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21" w:rsidRPr="00E91032" w:rsidRDefault="007D4863" w:rsidP="00E91032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E91032">
        <w:rPr>
          <w:rFonts w:ascii="Arial" w:hAnsi="Arial" w:cs="Arial"/>
          <w:b/>
          <w:bCs/>
          <w:noProof/>
          <w:sz w:val="22"/>
          <w:szCs w:val="22"/>
          <w:lang w:eastAsia="cs-CZ"/>
        </w:rPr>
        <w:drawing>
          <wp:anchor distT="0" distB="0" distL="114300" distR="114300" simplePos="0" relativeHeight="251658752" behindDoc="0" locked="0" layoutInCell="1" allowOverlap="1" wp14:anchorId="3DFF2128" wp14:editId="7FA7C63B">
            <wp:simplePos x="0" y="0"/>
            <wp:positionH relativeFrom="column">
              <wp:posOffset>2538095</wp:posOffset>
            </wp:positionH>
            <wp:positionV relativeFrom="paragraph">
              <wp:posOffset>-528955</wp:posOffset>
            </wp:positionV>
            <wp:extent cx="791210" cy="561975"/>
            <wp:effectExtent l="0" t="0" r="8890" b="9525"/>
            <wp:wrapTopAndBottom/>
            <wp:docPr id="6" name="obrázek 18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NKU_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E4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6CC94E" wp14:editId="0273A98E">
                <wp:simplePos x="0" y="0"/>
                <wp:positionH relativeFrom="column">
                  <wp:posOffset>-3200400</wp:posOffset>
                </wp:positionH>
                <wp:positionV relativeFrom="paragraph">
                  <wp:posOffset>6286500</wp:posOffset>
                </wp:positionV>
                <wp:extent cx="3086100" cy="8001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8F" w:rsidRDefault="00165B8F">
                            <w:pPr>
                              <w:rPr>
                                <w:rFonts w:ascii="Arial" w:hAnsi="Arial" w:cs="Arial"/>
                                <w:color w:val="0045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Název sekce</w:t>
                            </w:r>
                          </w:p>
                          <w:p w:rsidR="00165B8F" w:rsidRDefault="00165B8F">
                            <w:pPr>
                              <w:rPr>
                                <w:rFonts w:ascii="Arial" w:hAnsi="Arial" w:cs="Arial"/>
                                <w:color w:val="0045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Název odboru</w:t>
                            </w:r>
                          </w:p>
                          <w:p w:rsidR="00165B8F" w:rsidRDefault="00165B8F">
                            <w:pPr>
                              <w:rPr>
                                <w:rFonts w:ascii="Arial" w:hAnsi="Arial" w:cs="Arial"/>
                                <w:color w:val="0045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Název oddělení</w:t>
                            </w:r>
                          </w:p>
                          <w:p w:rsidR="00165B8F" w:rsidRDefault="00165B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Jankovcova 2, 170 04 Praha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2pt;margin-top:495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N4gQIAAA8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" stroked="f">
                <v:textbox>
                  <w:txbxContent>
                    <w:p w:rsidR="001704B6" w:rsidRDefault="001704B6">
                      <w:pPr>
                        <w:rPr>
                          <w:rFonts w:ascii="Arial" w:hAnsi="Arial" w:cs="Arial"/>
                          <w:color w:val="004595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Název sekce</w:t>
                      </w:r>
                    </w:p>
                    <w:p w:rsidR="001704B6" w:rsidRDefault="001704B6">
                      <w:pPr>
                        <w:rPr>
                          <w:rFonts w:ascii="Arial" w:hAnsi="Arial" w:cs="Arial"/>
                          <w:color w:val="004595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Název odboru</w:t>
                      </w:r>
                    </w:p>
                    <w:p w:rsidR="001704B6" w:rsidRDefault="001704B6">
                      <w:pPr>
                        <w:rPr>
                          <w:rFonts w:ascii="Arial" w:hAnsi="Arial" w:cs="Arial"/>
                          <w:color w:val="004595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Název oddělení</w:t>
                      </w:r>
                    </w:p>
                    <w:p w:rsidR="001704B6" w:rsidRDefault="001704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Jankovcova 2, 170 04 Praha 7</w:t>
                      </w:r>
                    </w:p>
                  </w:txbxContent>
                </v:textbox>
              </v:shape>
            </w:pict>
          </mc:Fallback>
        </mc:AlternateContent>
      </w:r>
      <w:r w:rsidR="00293AE4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C5580" wp14:editId="67A8C9B8">
                <wp:simplePos x="0" y="0"/>
                <wp:positionH relativeFrom="column">
                  <wp:posOffset>-3314700</wp:posOffset>
                </wp:positionH>
                <wp:positionV relativeFrom="paragraph">
                  <wp:posOffset>4914900</wp:posOffset>
                </wp:positionV>
                <wp:extent cx="3086100" cy="8001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8F" w:rsidRDefault="00165B8F">
                            <w:pPr>
                              <w:rPr>
                                <w:rFonts w:ascii="Arial" w:hAnsi="Arial" w:cs="Arial"/>
                                <w:color w:val="0045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Název sekce</w:t>
                            </w:r>
                          </w:p>
                          <w:p w:rsidR="00165B8F" w:rsidRDefault="00165B8F">
                            <w:pPr>
                              <w:rPr>
                                <w:rFonts w:ascii="Arial" w:hAnsi="Arial" w:cs="Arial"/>
                                <w:color w:val="0045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Název odboru</w:t>
                            </w:r>
                          </w:p>
                          <w:p w:rsidR="00165B8F" w:rsidRDefault="00165B8F">
                            <w:pPr>
                              <w:rPr>
                                <w:rFonts w:ascii="Arial" w:hAnsi="Arial" w:cs="Arial"/>
                                <w:color w:val="0045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Název oddělení</w:t>
                            </w:r>
                          </w:p>
                          <w:p w:rsidR="00165B8F" w:rsidRDefault="00165B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Jankovcova 2, 170 04 Praha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1pt;margin-top:387pt;width:24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" stroked="f">
                <v:textbox>
                  <w:txbxContent>
                    <w:p w:rsidR="001704B6" w:rsidRDefault="001704B6">
                      <w:pPr>
                        <w:rPr>
                          <w:rFonts w:ascii="Arial" w:hAnsi="Arial" w:cs="Arial"/>
                          <w:color w:val="004595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Název sekce</w:t>
                      </w:r>
                    </w:p>
                    <w:p w:rsidR="001704B6" w:rsidRDefault="001704B6">
                      <w:pPr>
                        <w:rPr>
                          <w:rFonts w:ascii="Arial" w:hAnsi="Arial" w:cs="Arial"/>
                          <w:color w:val="004595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Název odboru</w:t>
                      </w:r>
                    </w:p>
                    <w:p w:rsidR="001704B6" w:rsidRDefault="001704B6">
                      <w:pPr>
                        <w:rPr>
                          <w:rFonts w:ascii="Arial" w:hAnsi="Arial" w:cs="Arial"/>
                          <w:color w:val="004595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Název oddělení</w:t>
                      </w:r>
                    </w:p>
                    <w:p w:rsidR="001704B6" w:rsidRDefault="001704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Jankovcova 2, 170 04 Praha 7</w:t>
                      </w:r>
                    </w:p>
                  </w:txbxContent>
                </v:textbox>
              </v:shape>
            </w:pict>
          </mc:Fallback>
        </mc:AlternateContent>
      </w:r>
    </w:p>
    <w:p w:rsidR="00282721" w:rsidRPr="00E91032" w:rsidRDefault="00282721" w:rsidP="00E91032">
      <w:pPr>
        <w:jc w:val="center"/>
        <w:rPr>
          <w:rFonts w:ascii="Arial" w:hAnsi="Arial" w:cs="Arial"/>
          <w:b/>
          <w:sz w:val="28"/>
          <w:szCs w:val="28"/>
        </w:rPr>
      </w:pPr>
      <w:r w:rsidRPr="00E91032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282721" w:rsidRPr="00E91032" w:rsidRDefault="00282721" w:rsidP="00E91032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282721" w:rsidRPr="0015047E" w:rsidRDefault="00507F3F" w:rsidP="00E91032">
      <w:pPr>
        <w:jc w:val="center"/>
        <w:rPr>
          <w:rFonts w:ascii="Arial" w:hAnsi="Arial" w:cs="Arial"/>
          <w:b/>
          <w:sz w:val="28"/>
          <w:szCs w:val="28"/>
        </w:rPr>
      </w:pPr>
      <w:r w:rsidRPr="0015047E">
        <w:rPr>
          <w:rFonts w:ascii="Arial" w:hAnsi="Arial" w:cs="Arial"/>
          <w:b/>
          <w:sz w:val="28"/>
          <w:szCs w:val="28"/>
        </w:rPr>
        <w:t>1</w:t>
      </w:r>
      <w:r w:rsidR="0015047E" w:rsidRPr="0015047E">
        <w:rPr>
          <w:rFonts w:ascii="Arial" w:hAnsi="Arial" w:cs="Arial"/>
          <w:b/>
          <w:sz w:val="28"/>
          <w:szCs w:val="28"/>
        </w:rPr>
        <w:t>2</w:t>
      </w:r>
      <w:r w:rsidRPr="0015047E">
        <w:rPr>
          <w:rFonts w:ascii="Arial" w:hAnsi="Arial" w:cs="Arial"/>
          <w:b/>
          <w:sz w:val="28"/>
          <w:szCs w:val="28"/>
        </w:rPr>
        <w:t>/</w:t>
      </w:r>
      <w:r w:rsidR="0015047E" w:rsidRPr="0015047E">
        <w:rPr>
          <w:rFonts w:ascii="Arial" w:hAnsi="Arial" w:cs="Arial"/>
          <w:b/>
          <w:sz w:val="28"/>
          <w:szCs w:val="28"/>
        </w:rPr>
        <w:t>30</w:t>
      </w:r>
    </w:p>
    <w:p w:rsidR="00282721" w:rsidRPr="0015047E" w:rsidRDefault="00282721" w:rsidP="00E91032">
      <w:pPr>
        <w:jc w:val="center"/>
        <w:rPr>
          <w:rFonts w:ascii="Arial" w:hAnsi="Arial" w:cs="Arial"/>
          <w:b/>
          <w:sz w:val="22"/>
          <w:szCs w:val="22"/>
          <w:highlight w:val="green"/>
        </w:rPr>
      </w:pPr>
    </w:p>
    <w:p w:rsidR="000D6BEB" w:rsidRDefault="00282721" w:rsidP="00E91032">
      <w:pPr>
        <w:jc w:val="center"/>
        <w:rPr>
          <w:rFonts w:ascii="Arial" w:hAnsi="Arial" w:cs="Arial"/>
          <w:b/>
          <w:sz w:val="28"/>
          <w:szCs w:val="28"/>
        </w:rPr>
      </w:pPr>
      <w:r w:rsidRPr="0015047E">
        <w:rPr>
          <w:rFonts w:ascii="Arial" w:hAnsi="Arial" w:cs="Arial"/>
          <w:b/>
          <w:sz w:val="28"/>
          <w:szCs w:val="28"/>
        </w:rPr>
        <w:t>Závěrečný účet kapitoly státního rozpočtu</w:t>
      </w:r>
      <w:r w:rsidR="00941D1E">
        <w:rPr>
          <w:rFonts w:ascii="Arial" w:hAnsi="Arial" w:cs="Arial"/>
          <w:b/>
          <w:sz w:val="28"/>
          <w:szCs w:val="28"/>
        </w:rPr>
        <w:t xml:space="preserve"> </w:t>
      </w:r>
      <w:r w:rsidR="00E91032" w:rsidRPr="0015047E">
        <w:rPr>
          <w:rFonts w:ascii="Arial" w:hAnsi="Arial" w:cs="Arial"/>
          <w:b/>
          <w:sz w:val="28"/>
          <w:szCs w:val="28"/>
        </w:rPr>
        <w:br/>
      </w:r>
      <w:r w:rsidRPr="0015047E">
        <w:rPr>
          <w:rFonts w:ascii="Arial" w:hAnsi="Arial" w:cs="Arial"/>
          <w:b/>
          <w:i/>
          <w:sz w:val="28"/>
          <w:szCs w:val="28"/>
        </w:rPr>
        <w:t>Ministerstvo školství, mládeže a tělovýchovy</w:t>
      </w:r>
      <w:r w:rsidRPr="0015047E">
        <w:rPr>
          <w:rFonts w:ascii="Arial" w:hAnsi="Arial" w:cs="Arial"/>
          <w:b/>
          <w:sz w:val="28"/>
          <w:szCs w:val="28"/>
        </w:rPr>
        <w:t xml:space="preserve"> za rok 20</w:t>
      </w:r>
      <w:r w:rsidR="00507F3F" w:rsidRPr="0015047E">
        <w:rPr>
          <w:rFonts w:ascii="Arial" w:hAnsi="Arial" w:cs="Arial"/>
          <w:b/>
          <w:sz w:val="28"/>
          <w:szCs w:val="28"/>
        </w:rPr>
        <w:t>1</w:t>
      </w:r>
      <w:r w:rsidR="0015047E" w:rsidRPr="0015047E">
        <w:rPr>
          <w:rFonts w:ascii="Arial" w:hAnsi="Arial" w:cs="Arial"/>
          <w:b/>
          <w:sz w:val="28"/>
          <w:szCs w:val="28"/>
        </w:rPr>
        <w:t xml:space="preserve">2, </w:t>
      </w:r>
    </w:p>
    <w:p w:rsidR="000D6BEB" w:rsidRPr="00E50173" w:rsidRDefault="0015047E" w:rsidP="00E91032">
      <w:pPr>
        <w:jc w:val="center"/>
        <w:rPr>
          <w:rFonts w:ascii="Arial" w:hAnsi="Arial" w:cs="Arial"/>
          <w:b/>
          <w:sz w:val="28"/>
          <w:szCs w:val="28"/>
        </w:rPr>
      </w:pPr>
      <w:r w:rsidRPr="0015047E">
        <w:rPr>
          <w:rFonts w:ascii="Arial" w:hAnsi="Arial" w:cs="Arial"/>
          <w:b/>
          <w:sz w:val="28"/>
          <w:szCs w:val="28"/>
        </w:rPr>
        <w:t xml:space="preserve">účetní závěrka a finanční výkazy </w:t>
      </w:r>
      <w:r w:rsidRPr="00E50173">
        <w:rPr>
          <w:rFonts w:ascii="Arial" w:hAnsi="Arial" w:cs="Arial"/>
          <w:b/>
          <w:sz w:val="28"/>
          <w:szCs w:val="28"/>
        </w:rPr>
        <w:t xml:space="preserve">Ministerstva školství, </w:t>
      </w:r>
    </w:p>
    <w:p w:rsidR="00282721" w:rsidRPr="0015047E" w:rsidRDefault="0015047E" w:rsidP="00E91032">
      <w:pPr>
        <w:jc w:val="center"/>
        <w:rPr>
          <w:rFonts w:ascii="Arial" w:hAnsi="Arial" w:cs="Arial"/>
          <w:b/>
          <w:sz w:val="28"/>
          <w:szCs w:val="28"/>
        </w:rPr>
      </w:pPr>
      <w:r w:rsidRPr="00E50173">
        <w:rPr>
          <w:rFonts w:ascii="Arial" w:hAnsi="Arial" w:cs="Arial"/>
          <w:b/>
          <w:sz w:val="28"/>
          <w:szCs w:val="28"/>
        </w:rPr>
        <w:t>mládeže a</w:t>
      </w:r>
      <w:r w:rsidR="005F3102" w:rsidRPr="00E50173">
        <w:rPr>
          <w:rFonts w:ascii="Arial" w:hAnsi="Arial" w:cs="Arial"/>
          <w:b/>
          <w:sz w:val="28"/>
          <w:szCs w:val="28"/>
        </w:rPr>
        <w:t xml:space="preserve"> </w:t>
      </w:r>
      <w:r w:rsidRPr="00E50173">
        <w:rPr>
          <w:rFonts w:ascii="Arial" w:hAnsi="Arial" w:cs="Arial"/>
          <w:b/>
          <w:sz w:val="28"/>
          <w:szCs w:val="28"/>
        </w:rPr>
        <w:t>tělovýchovy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 rok 2012</w:t>
      </w:r>
    </w:p>
    <w:p w:rsidR="00282721" w:rsidRPr="0015047E" w:rsidRDefault="00282721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82721" w:rsidRPr="0015047E" w:rsidRDefault="00282721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82721" w:rsidRPr="0015047E" w:rsidRDefault="00282721" w:rsidP="00741C30">
      <w:pPr>
        <w:jc w:val="both"/>
        <w:rPr>
          <w:rFonts w:ascii="Arial" w:hAnsi="Arial" w:cs="Arial"/>
          <w:sz w:val="22"/>
          <w:szCs w:val="22"/>
        </w:rPr>
      </w:pPr>
      <w:r w:rsidRPr="0015047E">
        <w:rPr>
          <w:rFonts w:ascii="Arial" w:hAnsi="Arial" w:cs="Arial"/>
          <w:sz w:val="22"/>
          <w:szCs w:val="22"/>
        </w:rPr>
        <w:t>Kontrolní akce byla zařazena do plánu kontrolní činnosti Nejvyššího kontrolního úřadu (dále jen „NKÚ“) na rok 20</w:t>
      </w:r>
      <w:r w:rsidR="00507F3F" w:rsidRPr="0015047E">
        <w:rPr>
          <w:rFonts w:ascii="Arial" w:hAnsi="Arial" w:cs="Arial"/>
          <w:sz w:val="22"/>
          <w:szCs w:val="22"/>
        </w:rPr>
        <w:t>1</w:t>
      </w:r>
      <w:r w:rsidR="0015047E" w:rsidRPr="0015047E">
        <w:rPr>
          <w:rFonts w:ascii="Arial" w:hAnsi="Arial" w:cs="Arial"/>
          <w:sz w:val="22"/>
          <w:szCs w:val="22"/>
        </w:rPr>
        <w:t>2</w:t>
      </w:r>
      <w:r w:rsidRPr="0015047E">
        <w:rPr>
          <w:rFonts w:ascii="Arial" w:hAnsi="Arial" w:cs="Arial"/>
          <w:sz w:val="22"/>
          <w:szCs w:val="22"/>
        </w:rPr>
        <w:t xml:space="preserve"> pod číslem </w:t>
      </w:r>
      <w:r w:rsidR="00507F3F" w:rsidRPr="0015047E">
        <w:rPr>
          <w:rFonts w:ascii="Arial" w:hAnsi="Arial" w:cs="Arial"/>
          <w:sz w:val="22"/>
          <w:szCs w:val="22"/>
        </w:rPr>
        <w:t>1</w:t>
      </w:r>
      <w:r w:rsidR="0015047E">
        <w:rPr>
          <w:rFonts w:ascii="Arial" w:hAnsi="Arial" w:cs="Arial"/>
          <w:sz w:val="22"/>
          <w:szCs w:val="22"/>
        </w:rPr>
        <w:t>2</w:t>
      </w:r>
      <w:r w:rsidR="00507F3F" w:rsidRPr="0015047E">
        <w:rPr>
          <w:rFonts w:ascii="Arial" w:hAnsi="Arial" w:cs="Arial"/>
          <w:sz w:val="22"/>
          <w:szCs w:val="22"/>
        </w:rPr>
        <w:t>/</w:t>
      </w:r>
      <w:r w:rsidR="0015047E">
        <w:rPr>
          <w:rFonts w:ascii="Arial" w:hAnsi="Arial" w:cs="Arial"/>
          <w:sz w:val="22"/>
          <w:szCs w:val="22"/>
        </w:rPr>
        <w:t>30</w:t>
      </w:r>
      <w:r w:rsidRPr="0015047E">
        <w:rPr>
          <w:rFonts w:ascii="Arial" w:hAnsi="Arial" w:cs="Arial"/>
          <w:sz w:val="22"/>
          <w:szCs w:val="22"/>
        </w:rPr>
        <w:t>. Kontrolní akci řídila a kontrolní závěr vypracovala členka NKÚ Ing. Jaromíra Steidlová.</w:t>
      </w:r>
    </w:p>
    <w:p w:rsidR="00282721" w:rsidRPr="0015047E" w:rsidRDefault="00282721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82721" w:rsidRPr="0015047E" w:rsidRDefault="00282721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  <w:r w:rsidRPr="0015047E">
        <w:rPr>
          <w:rFonts w:ascii="Arial" w:hAnsi="Arial" w:cs="Arial"/>
          <w:sz w:val="22"/>
          <w:szCs w:val="22"/>
        </w:rPr>
        <w:t>Cílem kontroly bylo prověřit</w:t>
      </w:r>
      <w:r w:rsidR="0015047E" w:rsidRPr="0015047E">
        <w:rPr>
          <w:rFonts w:ascii="Arial" w:hAnsi="Arial" w:cs="Arial"/>
          <w:sz w:val="22"/>
          <w:szCs w:val="22"/>
        </w:rPr>
        <w:t xml:space="preserve">, zda Ministerstvo školství, mládeže a tělovýchovy při sestavení závěrečného účtu a při vedení účetnictví a sestavení účetní závěrky a finančních výkazů za rok 2012 postupovalo </w:t>
      </w:r>
      <w:r w:rsidR="00765F23">
        <w:rPr>
          <w:rFonts w:ascii="Arial" w:hAnsi="Arial" w:cs="Arial"/>
          <w:sz w:val="22"/>
          <w:szCs w:val="22"/>
        </w:rPr>
        <w:t>v </w:t>
      </w:r>
      <w:r w:rsidR="0015047E" w:rsidRPr="0015047E">
        <w:rPr>
          <w:rFonts w:ascii="Arial" w:hAnsi="Arial" w:cs="Arial"/>
          <w:sz w:val="22"/>
          <w:szCs w:val="22"/>
        </w:rPr>
        <w:t xml:space="preserve">souladu </w:t>
      </w:r>
      <w:r w:rsidR="00765F23">
        <w:rPr>
          <w:rFonts w:ascii="Arial" w:hAnsi="Arial" w:cs="Arial"/>
          <w:sz w:val="22"/>
          <w:szCs w:val="22"/>
        </w:rPr>
        <w:t>s </w:t>
      </w:r>
      <w:r w:rsidR="0015047E" w:rsidRPr="0015047E">
        <w:rPr>
          <w:rFonts w:ascii="Arial" w:hAnsi="Arial" w:cs="Arial"/>
          <w:sz w:val="22"/>
          <w:szCs w:val="22"/>
        </w:rPr>
        <w:t>příslušnými právními předpisy.</w:t>
      </w:r>
      <w:r w:rsidR="005F3102">
        <w:rPr>
          <w:rFonts w:ascii="Arial" w:hAnsi="Arial" w:cs="Arial"/>
          <w:sz w:val="22"/>
          <w:szCs w:val="22"/>
        </w:rPr>
        <w:t xml:space="preserve"> </w:t>
      </w:r>
    </w:p>
    <w:p w:rsidR="00214027" w:rsidRPr="0015047E" w:rsidRDefault="00214027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82721" w:rsidRPr="0015047E" w:rsidRDefault="00282721" w:rsidP="00741C30">
      <w:pPr>
        <w:jc w:val="both"/>
        <w:rPr>
          <w:rFonts w:ascii="Arial" w:hAnsi="Arial" w:cs="Arial"/>
          <w:sz w:val="22"/>
          <w:szCs w:val="22"/>
        </w:rPr>
      </w:pPr>
      <w:r w:rsidRPr="0015047E">
        <w:rPr>
          <w:rFonts w:ascii="Arial" w:hAnsi="Arial" w:cs="Arial"/>
          <w:sz w:val="22"/>
          <w:szCs w:val="22"/>
        </w:rPr>
        <w:t xml:space="preserve">Kontrolovanou osobou bylo Ministerstvo školství, mládeže a tělovýchovy (dále </w:t>
      </w:r>
      <w:r w:rsidR="00DE1C97" w:rsidRPr="0015047E">
        <w:rPr>
          <w:rFonts w:ascii="Arial" w:hAnsi="Arial" w:cs="Arial"/>
          <w:sz w:val="22"/>
          <w:szCs w:val="22"/>
        </w:rPr>
        <w:t>také</w:t>
      </w:r>
      <w:r w:rsidRPr="0015047E">
        <w:rPr>
          <w:rFonts w:ascii="Arial" w:hAnsi="Arial" w:cs="Arial"/>
          <w:sz w:val="22"/>
          <w:szCs w:val="22"/>
        </w:rPr>
        <w:t xml:space="preserve"> „MŠMT“).</w:t>
      </w:r>
    </w:p>
    <w:p w:rsidR="00214027" w:rsidRPr="0015047E" w:rsidRDefault="00214027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82721" w:rsidRPr="0015047E" w:rsidRDefault="00282721" w:rsidP="00741C30">
      <w:pPr>
        <w:jc w:val="both"/>
        <w:rPr>
          <w:rFonts w:ascii="Arial" w:hAnsi="Arial" w:cs="Arial"/>
          <w:sz w:val="22"/>
          <w:szCs w:val="22"/>
        </w:rPr>
      </w:pPr>
      <w:r w:rsidRPr="0015047E">
        <w:rPr>
          <w:rFonts w:ascii="Arial" w:hAnsi="Arial" w:cs="Arial"/>
          <w:sz w:val="22"/>
          <w:szCs w:val="22"/>
        </w:rPr>
        <w:t>Ko</w:t>
      </w:r>
      <w:r w:rsidR="0025640B" w:rsidRPr="0015047E">
        <w:rPr>
          <w:rFonts w:ascii="Arial" w:hAnsi="Arial" w:cs="Arial"/>
          <w:sz w:val="22"/>
          <w:szCs w:val="22"/>
        </w:rPr>
        <w:t>ntrolovaným obdobím byl rok 20</w:t>
      </w:r>
      <w:r w:rsidR="00507F3F" w:rsidRPr="0015047E">
        <w:rPr>
          <w:rFonts w:ascii="Arial" w:hAnsi="Arial" w:cs="Arial"/>
          <w:sz w:val="22"/>
          <w:szCs w:val="22"/>
        </w:rPr>
        <w:t>1</w:t>
      </w:r>
      <w:r w:rsidR="0015047E" w:rsidRPr="0015047E">
        <w:rPr>
          <w:rFonts w:ascii="Arial" w:hAnsi="Arial" w:cs="Arial"/>
          <w:sz w:val="22"/>
          <w:szCs w:val="22"/>
        </w:rPr>
        <w:t>2</w:t>
      </w:r>
      <w:r w:rsidR="00E16BA2">
        <w:rPr>
          <w:rFonts w:ascii="Arial" w:hAnsi="Arial" w:cs="Arial"/>
          <w:sz w:val="22"/>
          <w:szCs w:val="22"/>
        </w:rPr>
        <w:t>, v případě věcných souvislostí i roky předchozí nebo rok následující.</w:t>
      </w:r>
    </w:p>
    <w:p w:rsidR="00214027" w:rsidRPr="0015047E" w:rsidRDefault="00214027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82721" w:rsidRPr="0015047E" w:rsidRDefault="0068594D" w:rsidP="00741C30">
      <w:pPr>
        <w:jc w:val="both"/>
        <w:rPr>
          <w:rFonts w:ascii="Arial" w:hAnsi="Arial" w:cs="Arial"/>
          <w:sz w:val="22"/>
          <w:szCs w:val="22"/>
        </w:rPr>
      </w:pPr>
      <w:r w:rsidRPr="0015047E">
        <w:rPr>
          <w:rFonts w:ascii="Arial" w:hAnsi="Arial" w:cs="Arial"/>
          <w:sz w:val="22"/>
          <w:szCs w:val="22"/>
        </w:rPr>
        <w:t>Kontrola byla prov</w:t>
      </w:r>
      <w:r w:rsidR="00E03ADC" w:rsidRPr="0015047E">
        <w:rPr>
          <w:rFonts w:ascii="Arial" w:hAnsi="Arial" w:cs="Arial"/>
          <w:sz w:val="22"/>
          <w:szCs w:val="22"/>
        </w:rPr>
        <w:t>ádě</w:t>
      </w:r>
      <w:r w:rsidRPr="0015047E">
        <w:rPr>
          <w:rFonts w:ascii="Arial" w:hAnsi="Arial" w:cs="Arial"/>
          <w:sz w:val="22"/>
          <w:szCs w:val="22"/>
        </w:rPr>
        <w:t xml:space="preserve">na </w:t>
      </w:r>
      <w:r w:rsidR="00765F23">
        <w:rPr>
          <w:rFonts w:ascii="Arial" w:hAnsi="Arial" w:cs="Arial"/>
          <w:sz w:val="22"/>
          <w:szCs w:val="22"/>
        </w:rPr>
        <w:t>v </w:t>
      </w:r>
      <w:r w:rsidRPr="0015047E">
        <w:rPr>
          <w:rFonts w:ascii="Arial" w:hAnsi="Arial" w:cs="Arial"/>
          <w:sz w:val="22"/>
          <w:szCs w:val="22"/>
        </w:rPr>
        <w:t xml:space="preserve">době od </w:t>
      </w:r>
      <w:r w:rsidR="00120A5E" w:rsidRPr="0015047E">
        <w:rPr>
          <w:rFonts w:ascii="Arial" w:hAnsi="Arial" w:cs="Arial"/>
          <w:sz w:val="22"/>
          <w:szCs w:val="22"/>
        </w:rPr>
        <w:t>listopadu</w:t>
      </w:r>
      <w:r w:rsidR="00507F3F" w:rsidRPr="0015047E">
        <w:rPr>
          <w:rFonts w:ascii="Arial" w:hAnsi="Arial" w:cs="Arial"/>
          <w:sz w:val="22"/>
          <w:szCs w:val="22"/>
        </w:rPr>
        <w:t xml:space="preserve"> 201</w:t>
      </w:r>
      <w:r w:rsidR="0015047E" w:rsidRPr="0015047E">
        <w:rPr>
          <w:rFonts w:ascii="Arial" w:hAnsi="Arial" w:cs="Arial"/>
          <w:sz w:val="22"/>
          <w:szCs w:val="22"/>
        </w:rPr>
        <w:t>2</w:t>
      </w:r>
      <w:r w:rsidRPr="0015047E">
        <w:rPr>
          <w:rFonts w:ascii="Arial" w:hAnsi="Arial" w:cs="Arial"/>
          <w:sz w:val="22"/>
          <w:szCs w:val="22"/>
        </w:rPr>
        <w:t xml:space="preserve"> do </w:t>
      </w:r>
      <w:r w:rsidR="0015047E" w:rsidRPr="0015047E">
        <w:rPr>
          <w:rFonts w:ascii="Arial" w:hAnsi="Arial" w:cs="Arial"/>
          <w:sz w:val="22"/>
          <w:szCs w:val="22"/>
        </w:rPr>
        <w:t>května</w:t>
      </w:r>
      <w:r w:rsidRPr="0015047E">
        <w:rPr>
          <w:rFonts w:ascii="Arial" w:hAnsi="Arial" w:cs="Arial"/>
          <w:sz w:val="22"/>
          <w:szCs w:val="22"/>
        </w:rPr>
        <w:t xml:space="preserve"> 20</w:t>
      </w:r>
      <w:r w:rsidR="00507F3F" w:rsidRPr="0015047E">
        <w:rPr>
          <w:rFonts w:ascii="Arial" w:hAnsi="Arial" w:cs="Arial"/>
          <w:sz w:val="22"/>
          <w:szCs w:val="22"/>
        </w:rPr>
        <w:t>1</w:t>
      </w:r>
      <w:r w:rsidR="0015047E" w:rsidRPr="0015047E">
        <w:rPr>
          <w:rFonts w:ascii="Arial" w:hAnsi="Arial" w:cs="Arial"/>
          <w:sz w:val="22"/>
          <w:szCs w:val="22"/>
        </w:rPr>
        <w:t>3</w:t>
      </w:r>
      <w:r w:rsidRPr="0015047E">
        <w:rPr>
          <w:rFonts w:ascii="Arial" w:hAnsi="Arial" w:cs="Arial"/>
          <w:sz w:val="22"/>
          <w:szCs w:val="22"/>
        </w:rPr>
        <w:t>.</w:t>
      </w:r>
    </w:p>
    <w:p w:rsidR="00214027" w:rsidRPr="0015047E" w:rsidRDefault="00214027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0166D" w:rsidRDefault="0020166D" w:rsidP="00741C30">
      <w:pPr>
        <w:jc w:val="both"/>
        <w:rPr>
          <w:rFonts w:ascii="Arial" w:hAnsi="Arial" w:cs="Arial"/>
          <w:sz w:val="22"/>
          <w:szCs w:val="22"/>
        </w:rPr>
      </w:pPr>
      <w:r w:rsidRPr="0070629B">
        <w:rPr>
          <w:rFonts w:ascii="Arial" w:hAnsi="Arial" w:cs="Arial"/>
          <w:sz w:val="22"/>
          <w:szCs w:val="22"/>
        </w:rPr>
        <w:t>Námitky</w:t>
      </w:r>
      <w:r>
        <w:rPr>
          <w:rFonts w:ascii="Arial" w:hAnsi="Arial" w:cs="Arial"/>
          <w:sz w:val="22"/>
          <w:szCs w:val="22"/>
        </w:rPr>
        <w:t xml:space="preserve"> proti kontrolnímu protokolu, které MŠMT podalo, byly vypořádány vedoucím skupiny kontrolujících rozhodnutím o námitkách. </w:t>
      </w:r>
    </w:p>
    <w:p w:rsidR="0020166D" w:rsidRPr="0070629B" w:rsidRDefault="0020166D" w:rsidP="00741C30">
      <w:pPr>
        <w:jc w:val="both"/>
        <w:rPr>
          <w:rFonts w:ascii="Arial" w:hAnsi="Arial" w:cs="Arial"/>
          <w:sz w:val="22"/>
          <w:szCs w:val="22"/>
        </w:rPr>
      </w:pPr>
    </w:p>
    <w:p w:rsidR="00282721" w:rsidRPr="0015047E" w:rsidRDefault="00282721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  <w:proofErr w:type="gramStart"/>
      <w:r w:rsidRPr="0015047E">
        <w:rPr>
          <w:rFonts w:ascii="Arial" w:hAnsi="Arial" w:cs="Arial"/>
          <w:b/>
          <w:bCs/>
          <w:i/>
          <w:iCs/>
          <w:spacing w:val="60"/>
          <w:sz w:val="22"/>
          <w:szCs w:val="22"/>
        </w:rPr>
        <w:t>Kolegium</w:t>
      </w:r>
      <w:r w:rsidRPr="0015047E"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  <w:r w:rsidRPr="0015047E">
        <w:rPr>
          <w:rFonts w:ascii="Arial" w:hAnsi="Arial" w:cs="Arial"/>
          <w:b/>
          <w:bCs/>
          <w:i/>
          <w:iCs/>
          <w:spacing w:val="60"/>
          <w:sz w:val="22"/>
          <w:szCs w:val="22"/>
        </w:rPr>
        <w:t>NKÚ</w:t>
      </w:r>
      <w:proofErr w:type="gramEnd"/>
      <w:r w:rsidRPr="0015047E">
        <w:rPr>
          <w:rFonts w:ascii="Arial" w:hAnsi="Arial" w:cs="Arial"/>
          <w:sz w:val="22"/>
          <w:szCs w:val="22"/>
        </w:rPr>
        <w:t xml:space="preserve"> </w:t>
      </w:r>
      <w:r w:rsidR="00BE519D" w:rsidRPr="0015047E">
        <w:rPr>
          <w:rFonts w:ascii="Arial" w:hAnsi="Arial" w:cs="Arial"/>
          <w:sz w:val="22"/>
          <w:szCs w:val="22"/>
        </w:rPr>
        <w:t xml:space="preserve">  </w:t>
      </w:r>
      <w:r w:rsidRPr="0015047E">
        <w:rPr>
          <w:rFonts w:ascii="Arial" w:hAnsi="Arial" w:cs="Arial"/>
          <w:sz w:val="22"/>
          <w:szCs w:val="22"/>
        </w:rPr>
        <w:t xml:space="preserve">na svém </w:t>
      </w:r>
      <w:r w:rsidR="001704B6">
        <w:rPr>
          <w:rFonts w:ascii="Arial" w:hAnsi="Arial" w:cs="Arial"/>
          <w:sz w:val="22"/>
          <w:szCs w:val="22"/>
        </w:rPr>
        <w:t xml:space="preserve">XIII. </w:t>
      </w:r>
      <w:r w:rsidRPr="0015047E">
        <w:rPr>
          <w:rFonts w:ascii="Arial" w:hAnsi="Arial" w:cs="Arial"/>
          <w:sz w:val="22"/>
          <w:szCs w:val="22"/>
        </w:rPr>
        <w:t xml:space="preserve">zasedání, konaném dne </w:t>
      </w:r>
      <w:r w:rsidR="001704B6">
        <w:rPr>
          <w:rFonts w:ascii="Arial" w:hAnsi="Arial" w:cs="Arial"/>
          <w:sz w:val="22"/>
          <w:szCs w:val="22"/>
        </w:rPr>
        <w:t xml:space="preserve">5. srpna </w:t>
      </w:r>
      <w:r w:rsidRPr="0015047E">
        <w:rPr>
          <w:rFonts w:ascii="Arial" w:hAnsi="Arial" w:cs="Arial"/>
          <w:sz w:val="22"/>
          <w:szCs w:val="22"/>
        </w:rPr>
        <w:t>20</w:t>
      </w:r>
      <w:r w:rsidR="00C44AD1" w:rsidRPr="0015047E">
        <w:rPr>
          <w:rFonts w:ascii="Arial" w:hAnsi="Arial" w:cs="Arial"/>
          <w:sz w:val="22"/>
          <w:szCs w:val="22"/>
        </w:rPr>
        <w:t>1</w:t>
      </w:r>
      <w:r w:rsidR="0015047E" w:rsidRPr="0015047E">
        <w:rPr>
          <w:rFonts w:ascii="Arial" w:hAnsi="Arial" w:cs="Arial"/>
          <w:sz w:val="22"/>
          <w:szCs w:val="22"/>
        </w:rPr>
        <w:t>3</w:t>
      </w:r>
      <w:r w:rsidRPr="0015047E">
        <w:rPr>
          <w:rFonts w:ascii="Arial" w:hAnsi="Arial" w:cs="Arial"/>
          <w:sz w:val="22"/>
          <w:szCs w:val="22"/>
        </w:rPr>
        <w:t>,</w:t>
      </w:r>
    </w:p>
    <w:p w:rsidR="0039592C" w:rsidRPr="004C35C0" w:rsidRDefault="00282721" w:rsidP="00741C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35C0">
        <w:rPr>
          <w:rFonts w:ascii="Arial" w:hAnsi="Arial" w:cs="Arial"/>
          <w:b/>
          <w:bCs/>
          <w:i/>
          <w:iCs/>
          <w:spacing w:val="60"/>
          <w:sz w:val="22"/>
          <w:szCs w:val="22"/>
        </w:rPr>
        <w:t>schválilo</w:t>
      </w:r>
      <w:r w:rsidRPr="004C35C0">
        <w:rPr>
          <w:rFonts w:ascii="Arial" w:hAnsi="Arial" w:cs="Arial"/>
          <w:sz w:val="22"/>
          <w:szCs w:val="22"/>
        </w:rPr>
        <w:t xml:space="preserve">   usnesením</w:t>
      </w:r>
      <w:proofErr w:type="gramEnd"/>
      <w:r w:rsidR="0001331E" w:rsidRPr="004C35C0">
        <w:rPr>
          <w:rFonts w:ascii="Arial" w:hAnsi="Arial" w:cs="Arial"/>
          <w:sz w:val="22"/>
          <w:szCs w:val="22"/>
        </w:rPr>
        <w:t xml:space="preserve"> </w:t>
      </w:r>
      <w:r w:rsidRPr="004C35C0">
        <w:rPr>
          <w:rFonts w:ascii="Arial" w:hAnsi="Arial" w:cs="Arial"/>
          <w:sz w:val="22"/>
          <w:szCs w:val="22"/>
        </w:rPr>
        <w:t xml:space="preserve">č. </w:t>
      </w:r>
      <w:r w:rsidR="00C63229">
        <w:rPr>
          <w:rFonts w:ascii="Arial" w:hAnsi="Arial" w:cs="Arial"/>
          <w:sz w:val="22"/>
          <w:szCs w:val="22"/>
        </w:rPr>
        <w:t>8</w:t>
      </w:r>
      <w:r w:rsidR="00935862" w:rsidRPr="004F2AAC">
        <w:rPr>
          <w:rFonts w:ascii="Arial" w:hAnsi="Arial" w:cs="Arial"/>
          <w:sz w:val="22"/>
          <w:szCs w:val="22"/>
        </w:rPr>
        <w:t>/</w:t>
      </w:r>
      <w:r w:rsidR="001704B6">
        <w:rPr>
          <w:rFonts w:ascii="Arial" w:hAnsi="Arial" w:cs="Arial"/>
          <w:sz w:val="22"/>
          <w:szCs w:val="22"/>
        </w:rPr>
        <w:t>XIII</w:t>
      </w:r>
      <w:r w:rsidR="00935862" w:rsidRPr="004C35C0">
        <w:rPr>
          <w:rFonts w:ascii="Arial" w:hAnsi="Arial" w:cs="Arial"/>
          <w:sz w:val="22"/>
          <w:szCs w:val="22"/>
        </w:rPr>
        <w:t>/</w:t>
      </w:r>
      <w:r w:rsidR="0039592C" w:rsidRPr="004C35C0">
        <w:rPr>
          <w:rFonts w:ascii="Arial" w:hAnsi="Arial" w:cs="Arial"/>
          <w:sz w:val="22"/>
          <w:szCs w:val="22"/>
        </w:rPr>
        <w:t>201</w:t>
      </w:r>
      <w:r w:rsidR="004C35C0" w:rsidRPr="004C35C0">
        <w:rPr>
          <w:rFonts w:ascii="Arial" w:hAnsi="Arial" w:cs="Arial"/>
          <w:sz w:val="22"/>
          <w:szCs w:val="22"/>
        </w:rPr>
        <w:t>3</w:t>
      </w:r>
    </w:p>
    <w:p w:rsidR="00282721" w:rsidRPr="004C35C0" w:rsidRDefault="00282721" w:rsidP="00741C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35C0">
        <w:rPr>
          <w:rFonts w:ascii="Arial" w:hAnsi="Arial" w:cs="Arial"/>
          <w:b/>
          <w:bCs/>
          <w:i/>
          <w:iCs/>
          <w:spacing w:val="60"/>
          <w:sz w:val="22"/>
          <w:szCs w:val="22"/>
        </w:rPr>
        <w:t>kontrolní</w:t>
      </w:r>
      <w:r w:rsidRPr="004C35C0"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  <w:r w:rsidRPr="004C35C0">
        <w:rPr>
          <w:rFonts w:ascii="Arial" w:hAnsi="Arial" w:cs="Arial"/>
          <w:b/>
          <w:bCs/>
          <w:i/>
          <w:iCs/>
          <w:spacing w:val="60"/>
          <w:sz w:val="22"/>
          <w:szCs w:val="22"/>
        </w:rPr>
        <w:t>závěr</w:t>
      </w:r>
      <w:proofErr w:type="gramEnd"/>
      <w:r w:rsidRPr="004C35C0">
        <w:rPr>
          <w:rFonts w:ascii="Arial" w:hAnsi="Arial" w:cs="Arial"/>
          <w:sz w:val="22"/>
          <w:szCs w:val="22"/>
        </w:rPr>
        <w:t xml:space="preserve">   </w:t>
      </w:r>
      <w:r w:rsidR="00765F23">
        <w:rPr>
          <w:rFonts w:ascii="Arial" w:hAnsi="Arial" w:cs="Arial"/>
          <w:sz w:val="22"/>
          <w:szCs w:val="22"/>
        </w:rPr>
        <w:t>v </w:t>
      </w:r>
      <w:r w:rsidRPr="004C35C0">
        <w:rPr>
          <w:rFonts w:ascii="Arial" w:hAnsi="Arial" w:cs="Arial"/>
          <w:sz w:val="22"/>
          <w:szCs w:val="22"/>
        </w:rPr>
        <w:t>tomto znění:</w:t>
      </w:r>
    </w:p>
    <w:p w:rsidR="00554E48" w:rsidRPr="0015047E" w:rsidRDefault="00554E48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14027" w:rsidRPr="0015047E" w:rsidRDefault="00214027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82721" w:rsidRPr="004C35C0" w:rsidRDefault="00282721" w:rsidP="00E91032">
      <w:pPr>
        <w:jc w:val="center"/>
        <w:rPr>
          <w:rFonts w:ascii="Arial" w:hAnsi="Arial" w:cs="Arial"/>
          <w:b/>
        </w:rPr>
      </w:pPr>
      <w:r w:rsidRPr="004C35C0">
        <w:rPr>
          <w:rFonts w:ascii="Arial" w:hAnsi="Arial" w:cs="Arial"/>
          <w:b/>
        </w:rPr>
        <w:t>I. Úvod</w:t>
      </w:r>
    </w:p>
    <w:p w:rsidR="00282721" w:rsidRPr="0015047E" w:rsidRDefault="00282721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82721" w:rsidRPr="0015047E" w:rsidRDefault="00282721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  <w:r w:rsidRPr="0091411C">
        <w:rPr>
          <w:rFonts w:ascii="Arial" w:hAnsi="Arial" w:cs="Arial"/>
          <w:sz w:val="22"/>
          <w:szCs w:val="22"/>
        </w:rPr>
        <w:t>MŠMT bylo zřízeno zákonem č. 2/1969 Sb., o zřízení ministerstev a jiných ústředních orgánů státní správy České republiky, ve znění pozdějších předpisů. MŠMT je ústředním orgánem státní správy, organizační složkou státu</w:t>
      </w:r>
      <w:r w:rsidR="00803F57" w:rsidRPr="0091411C">
        <w:rPr>
          <w:rFonts w:ascii="Arial" w:hAnsi="Arial" w:cs="Arial"/>
          <w:sz w:val="22"/>
          <w:szCs w:val="22"/>
        </w:rPr>
        <w:t xml:space="preserve"> (dále také „OSS“)</w:t>
      </w:r>
      <w:r w:rsidRPr="0091411C">
        <w:rPr>
          <w:rFonts w:ascii="Arial" w:hAnsi="Arial" w:cs="Arial"/>
          <w:sz w:val="22"/>
          <w:szCs w:val="22"/>
        </w:rPr>
        <w:t xml:space="preserve">, samostatnou účetní </w:t>
      </w:r>
      <w:r w:rsidR="00534C6B" w:rsidRPr="0091411C">
        <w:rPr>
          <w:rFonts w:ascii="Arial" w:hAnsi="Arial" w:cs="Arial"/>
          <w:sz w:val="22"/>
          <w:szCs w:val="22"/>
        </w:rPr>
        <w:t>jednotkou a</w:t>
      </w:r>
      <w:r w:rsidR="0001331E" w:rsidRPr="0091411C">
        <w:rPr>
          <w:rFonts w:ascii="Arial" w:hAnsi="Arial" w:cs="Arial"/>
          <w:sz w:val="22"/>
          <w:szCs w:val="22"/>
        </w:rPr>
        <w:t> </w:t>
      </w:r>
      <w:r w:rsidRPr="0091411C">
        <w:rPr>
          <w:rFonts w:ascii="Arial" w:hAnsi="Arial" w:cs="Arial"/>
          <w:sz w:val="22"/>
          <w:szCs w:val="22"/>
        </w:rPr>
        <w:t xml:space="preserve">správcem rozpočtové kapitoly. </w:t>
      </w:r>
    </w:p>
    <w:p w:rsidR="00282721" w:rsidRPr="0015047E" w:rsidRDefault="00282721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82721" w:rsidRPr="0091411C" w:rsidRDefault="00C813D5" w:rsidP="00741C3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1411C">
        <w:rPr>
          <w:rFonts w:ascii="Arial" w:hAnsi="Arial" w:cs="Arial"/>
          <w:bCs/>
          <w:iCs/>
          <w:sz w:val="22"/>
          <w:szCs w:val="22"/>
        </w:rPr>
        <w:t xml:space="preserve">MŠMT </w:t>
      </w:r>
      <w:r w:rsidR="00E03ADC" w:rsidRPr="0091411C">
        <w:rPr>
          <w:rFonts w:ascii="Arial" w:hAnsi="Arial" w:cs="Arial"/>
          <w:bCs/>
          <w:iCs/>
          <w:sz w:val="22"/>
          <w:szCs w:val="22"/>
        </w:rPr>
        <w:t xml:space="preserve">bylo </w:t>
      </w:r>
      <w:r w:rsidR="00765F23">
        <w:rPr>
          <w:rFonts w:ascii="Arial" w:hAnsi="Arial" w:cs="Arial"/>
          <w:bCs/>
          <w:iCs/>
          <w:sz w:val="22"/>
          <w:szCs w:val="22"/>
        </w:rPr>
        <w:t>k </w:t>
      </w:r>
      <w:r w:rsidR="000D0181" w:rsidRPr="0091411C">
        <w:rPr>
          <w:rFonts w:ascii="Arial" w:hAnsi="Arial" w:cs="Arial"/>
          <w:bCs/>
          <w:iCs/>
          <w:sz w:val="22"/>
          <w:szCs w:val="22"/>
        </w:rPr>
        <w:t>31. prosinci 201</w:t>
      </w:r>
      <w:r w:rsidR="0091411C" w:rsidRPr="0091411C">
        <w:rPr>
          <w:rFonts w:ascii="Arial" w:hAnsi="Arial" w:cs="Arial"/>
          <w:bCs/>
          <w:iCs/>
          <w:sz w:val="22"/>
          <w:szCs w:val="22"/>
        </w:rPr>
        <w:t>2</w:t>
      </w:r>
      <w:r w:rsidR="000D0181" w:rsidRPr="0091411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1411C">
        <w:rPr>
          <w:rFonts w:ascii="Arial" w:hAnsi="Arial" w:cs="Arial"/>
          <w:bCs/>
          <w:iCs/>
          <w:sz w:val="22"/>
          <w:szCs w:val="22"/>
        </w:rPr>
        <w:t xml:space="preserve">zřizovatelem </w:t>
      </w:r>
      <w:r w:rsidR="00DE1C97" w:rsidRPr="0091411C">
        <w:rPr>
          <w:rFonts w:ascii="Arial" w:hAnsi="Arial" w:cs="Arial"/>
          <w:bCs/>
          <w:iCs/>
          <w:sz w:val="22"/>
          <w:szCs w:val="22"/>
        </w:rPr>
        <w:t>dvou</w:t>
      </w:r>
      <w:r w:rsidRPr="0091411C">
        <w:rPr>
          <w:rFonts w:ascii="Arial" w:hAnsi="Arial" w:cs="Arial"/>
          <w:bCs/>
          <w:iCs/>
          <w:sz w:val="22"/>
          <w:szCs w:val="22"/>
        </w:rPr>
        <w:t xml:space="preserve"> </w:t>
      </w:r>
      <w:r w:rsidR="00803F57" w:rsidRPr="0091411C">
        <w:rPr>
          <w:rFonts w:ascii="Arial" w:hAnsi="Arial" w:cs="Arial"/>
          <w:bCs/>
          <w:iCs/>
          <w:sz w:val="22"/>
          <w:szCs w:val="22"/>
        </w:rPr>
        <w:t>OSS</w:t>
      </w:r>
      <w:r w:rsidRPr="0091411C">
        <w:rPr>
          <w:rFonts w:ascii="Arial" w:hAnsi="Arial" w:cs="Arial"/>
          <w:bCs/>
          <w:iCs/>
          <w:sz w:val="22"/>
          <w:szCs w:val="22"/>
        </w:rPr>
        <w:t xml:space="preserve"> a </w:t>
      </w:r>
      <w:r w:rsidR="00DE1C97" w:rsidRPr="0091411C">
        <w:rPr>
          <w:rFonts w:ascii="Arial" w:hAnsi="Arial" w:cs="Arial"/>
          <w:bCs/>
          <w:iCs/>
          <w:sz w:val="22"/>
          <w:szCs w:val="22"/>
        </w:rPr>
        <w:t>8</w:t>
      </w:r>
      <w:r w:rsidR="0091411C" w:rsidRPr="0091411C">
        <w:rPr>
          <w:rFonts w:ascii="Arial" w:hAnsi="Arial" w:cs="Arial"/>
          <w:bCs/>
          <w:iCs/>
          <w:sz w:val="22"/>
          <w:szCs w:val="22"/>
        </w:rPr>
        <w:t>1</w:t>
      </w:r>
      <w:r w:rsidR="00DE1C97" w:rsidRPr="0091411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1411C">
        <w:rPr>
          <w:rFonts w:ascii="Arial" w:hAnsi="Arial" w:cs="Arial"/>
          <w:bCs/>
          <w:iCs/>
          <w:sz w:val="22"/>
          <w:szCs w:val="22"/>
        </w:rPr>
        <w:t xml:space="preserve">příspěvkových organizací. </w:t>
      </w:r>
      <w:r w:rsidR="00282721" w:rsidRPr="0091411C">
        <w:rPr>
          <w:rFonts w:ascii="Arial" w:hAnsi="Arial" w:cs="Arial"/>
          <w:bCs/>
          <w:iCs/>
          <w:sz w:val="22"/>
          <w:szCs w:val="22"/>
        </w:rPr>
        <w:t xml:space="preserve">Údaje </w:t>
      </w:r>
      <w:r w:rsidRPr="0091411C">
        <w:rPr>
          <w:rFonts w:ascii="Arial" w:hAnsi="Arial" w:cs="Arial"/>
          <w:bCs/>
          <w:iCs/>
          <w:sz w:val="22"/>
          <w:szCs w:val="22"/>
        </w:rPr>
        <w:t>od těchto</w:t>
      </w:r>
      <w:r w:rsidR="00282721" w:rsidRPr="0091411C">
        <w:rPr>
          <w:rFonts w:ascii="Arial" w:hAnsi="Arial" w:cs="Arial"/>
          <w:bCs/>
          <w:iCs/>
          <w:sz w:val="22"/>
          <w:szCs w:val="22"/>
        </w:rPr>
        <w:t xml:space="preserve"> podřízen</w:t>
      </w:r>
      <w:r w:rsidRPr="0091411C">
        <w:rPr>
          <w:rFonts w:ascii="Arial" w:hAnsi="Arial" w:cs="Arial"/>
          <w:bCs/>
          <w:iCs/>
          <w:sz w:val="22"/>
          <w:szCs w:val="22"/>
        </w:rPr>
        <w:t>ých</w:t>
      </w:r>
      <w:r w:rsidR="00282721" w:rsidRPr="0091411C">
        <w:rPr>
          <w:rFonts w:ascii="Arial" w:hAnsi="Arial" w:cs="Arial"/>
          <w:bCs/>
          <w:iCs/>
          <w:sz w:val="22"/>
          <w:szCs w:val="22"/>
        </w:rPr>
        <w:t xml:space="preserve"> organizac</w:t>
      </w:r>
      <w:r w:rsidRPr="0091411C">
        <w:rPr>
          <w:rFonts w:ascii="Arial" w:hAnsi="Arial" w:cs="Arial"/>
          <w:bCs/>
          <w:iCs/>
          <w:sz w:val="22"/>
          <w:szCs w:val="22"/>
        </w:rPr>
        <w:t xml:space="preserve">í </w:t>
      </w:r>
      <w:r w:rsidR="00282721" w:rsidRPr="0091411C">
        <w:rPr>
          <w:rFonts w:ascii="Arial" w:hAnsi="Arial" w:cs="Arial"/>
          <w:bCs/>
          <w:iCs/>
          <w:sz w:val="22"/>
          <w:szCs w:val="22"/>
        </w:rPr>
        <w:t xml:space="preserve">se promítají do příjmů a výdajů kapitoly </w:t>
      </w:r>
      <w:r w:rsidR="00E16A14" w:rsidRPr="0091411C">
        <w:rPr>
          <w:rFonts w:ascii="Arial" w:hAnsi="Arial" w:cs="Arial"/>
          <w:sz w:val="22"/>
          <w:szCs w:val="22"/>
        </w:rPr>
        <w:t>státního rozpočtu 333</w:t>
      </w:r>
      <w:r w:rsidR="009C26B9" w:rsidRPr="0091411C">
        <w:rPr>
          <w:rFonts w:ascii="Arial" w:hAnsi="Arial" w:cs="Arial"/>
          <w:sz w:val="22"/>
          <w:szCs w:val="22"/>
        </w:rPr>
        <w:t xml:space="preserve"> </w:t>
      </w:r>
      <w:r w:rsidR="008B3E1D" w:rsidRPr="0091411C">
        <w:rPr>
          <w:rFonts w:ascii="Arial" w:hAnsi="Arial" w:cs="Arial"/>
          <w:sz w:val="22"/>
          <w:szCs w:val="22"/>
        </w:rPr>
        <w:t>–</w:t>
      </w:r>
      <w:r w:rsidR="009C26B9" w:rsidRPr="0091411C">
        <w:rPr>
          <w:rFonts w:ascii="Arial" w:hAnsi="Arial" w:cs="Arial"/>
          <w:sz w:val="22"/>
          <w:szCs w:val="22"/>
        </w:rPr>
        <w:t xml:space="preserve"> </w:t>
      </w:r>
      <w:r w:rsidR="005D409E" w:rsidRPr="0091411C">
        <w:rPr>
          <w:rFonts w:ascii="Arial" w:hAnsi="Arial" w:cs="Arial"/>
          <w:bCs/>
          <w:i/>
          <w:iCs/>
          <w:sz w:val="22"/>
          <w:szCs w:val="22"/>
        </w:rPr>
        <w:t>Ministerstvo školství, mládeže a tělovýchovy</w:t>
      </w:r>
      <w:r w:rsidR="00E16A14" w:rsidRPr="0091411C">
        <w:rPr>
          <w:rFonts w:ascii="Arial" w:hAnsi="Arial" w:cs="Arial"/>
          <w:bCs/>
          <w:iCs/>
          <w:sz w:val="22"/>
          <w:szCs w:val="22"/>
        </w:rPr>
        <w:t xml:space="preserve"> (dále</w:t>
      </w:r>
      <w:r w:rsidR="00E16BA2">
        <w:rPr>
          <w:rFonts w:ascii="Arial" w:hAnsi="Arial" w:cs="Arial"/>
          <w:bCs/>
          <w:iCs/>
          <w:sz w:val="22"/>
          <w:szCs w:val="22"/>
        </w:rPr>
        <w:t xml:space="preserve"> jen</w:t>
      </w:r>
      <w:r w:rsidR="00E16A14" w:rsidRPr="0091411C">
        <w:rPr>
          <w:rFonts w:ascii="Arial" w:hAnsi="Arial" w:cs="Arial"/>
          <w:bCs/>
          <w:iCs/>
          <w:sz w:val="22"/>
          <w:szCs w:val="22"/>
        </w:rPr>
        <w:t xml:space="preserve"> „kapitola 333 MŠMT“).</w:t>
      </w:r>
    </w:p>
    <w:p w:rsidR="00E03ADC" w:rsidRPr="0015047E" w:rsidRDefault="00E03ADC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CD0F0B" w:rsidRPr="00AA631B" w:rsidRDefault="00765F23" w:rsidP="00741C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EE4847" w:rsidRPr="00AA631B">
        <w:rPr>
          <w:rFonts w:ascii="Arial" w:hAnsi="Arial" w:cs="Arial"/>
          <w:sz w:val="22"/>
          <w:szCs w:val="22"/>
        </w:rPr>
        <w:t>roce 201</w:t>
      </w:r>
      <w:r w:rsidR="0091411C" w:rsidRPr="00AA631B">
        <w:rPr>
          <w:rFonts w:ascii="Arial" w:hAnsi="Arial" w:cs="Arial"/>
          <w:sz w:val="22"/>
          <w:szCs w:val="22"/>
        </w:rPr>
        <w:t>2</w:t>
      </w:r>
      <w:r w:rsidR="00EE4847" w:rsidRPr="00AA631B">
        <w:rPr>
          <w:rFonts w:ascii="Arial" w:hAnsi="Arial" w:cs="Arial"/>
          <w:sz w:val="22"/>
          <w:szCs w:val="22"/>
        </w:rPr>
        <w:t xml:space="preserve"> </w:t>
      </w:r>
      <w:r w:rsidR="000D0181" w:rsidRPr="00AA631B">
        <w:rPr>
          <w:rFonts w:ascii="Arial" w:hAnsi="Arial" w:cs="Arial"/>
          <w:sz w:val="22"/>
          <w:szCs w:val="22"/>
        </w:rPr>
        <w:t xml:space="preserve">činil </w:t>
      </w:r>
      <w:r w:rsidR="00EE4847" w:rsidRPr="00AA631B">
        <w:rPr>
          <w:rFonts w:ascii="Arial" w:hAnsi="Arial" w:cs="Arial"/>
          <w:sz w:val="22"/>
          <w:szCs w:val="22"/>
        </w:rPr>
        <w:t>p</w:t>
      </w:r>
      <w:r w:rsidR="00CD0F0B" w:rsidRPr="00AA631B">
        <w:rPr>
          <w:rFonts w:ascii="Arial" w:hAnsi="Arial" w:cs="Arial"/>
          <w:sz w:val="22"/>
          <w:szCs w:val="22"/>
        </w:rPr>
        <w:t>odíl příjmů</w:t>
      </w:r>
      <w:r w:rsidR="00167A59" w:rsidRPr="00AA631B">
        <w:rPr>
          <w:rFonts w:ascii="Arial" w:hAnsi="Arial" w:cs="Arial"/>
          <w:sz w:val="22"/>
          <w:szCs w:val="22"/>
        </w:rPr>
        <w:t xml:space="preserve"> </w:t>
      </w:r>
      <w:r w:rsidR="00CD0F0B" w:rsidRPr="00AA631B">
        <w:rPr>
          <w:rFonts w:ascii="Arial" w:hAnsi="Arial" w:cs="Arial"/>
          <w:sz w:val="22"/>
          <w:szCs w:val="22"/>
        </w:rPr>
        <w:t>MŠMT na celkovém souhrnu příjmů kapitoly 333 MŠMT</w:t>
      </w:r>
      <w:r w:rsidR="000D0181" w:rsidRPr="00AA631B">
        <w:rPr>
          <w:rFonts w:ascii="Arial" w:hAnsi="Arial" w:cs="Arial"/>
          <w:sz w:val="22"/>
          <w:szCs w:val="22"/>
        </w:rPr>
        <w:t xml:space="preserve"> </w:t>
      </w:r>
      <w:r w:rsidR="00167A59" w:rsidRPr="00AA631B">
        <w:rPr>
          <w:rFonts w:ascii="Arial" w:hAnsi="Arial" w:cs="Arial"/>
          <w:sz w:val="22"/>
          <w:szCs w:val="22"/>
        </w:rPr>
        <w:t>99,</w:t>
      </w:r>
      <w:r w:rsidR="00F44370" w:rsidRPr="00AA631B">
        <w:rPr>
          <w:rFonts w:ascii="Arial" w:hAnsi="Arial" w:cs="Arial"/>
          <w:sz w:val="22"/>
          <w:szCs w:val="22"/>
        </w:rPr>
        <w:t>9</w:t>
      </w:r>
      <w:r w:rsidR="00AA631B" w:rsidRPr="00AA631B">
        <w:rPr>
          <w:rFonts w:ascii="Arial" w:hAnsi="Arial" w:cs="Arial"/>
          <w:sz w:val="22"/>
          <w:szCs w:val="22"/>
        </w:rPr>
        <w:t>6</w:t>
      </w:r>
      <w:r w:rsidR="0001331E" w:rsidRPr="00AA631B">
        <w:rPr>
          <w:rFonts w:ascii="Arial" w:hAnsi="Arial" w:cs="Arial"/>
          <w:sz w:val="22"/>
          <w:szCs w:val="22"/>
        </w:rPr>
        <w:t> </w:t>
      </w:r>
      <w:r w:rsidR="00167A59" w:rsidRPr="00AA631B">
        <w:rPr>
          <w:rFonts w:ascii="Arial" w:hAnsi="Arial" w:cs="Arial"/>
          <w:sz w:val="22"/>
          <w:szCs w:val="22"/>
        </w:rPr>
        <w:t xml:space="preserve">% a </w:t>
      </w:r>
      <w:r w:rsidR="00A74EA0" w:rsidRPr="00AA631B">
        <w:rPr>
          <w:rFonts w:ascii="Arial" w:hAnsi="Arial" w:cs="Arial"/>
          <w:sz w:val="22"/>
          <w:szCs w:val="22"/>
        </w:rPr>
        <w:t xml:space="preserve">podíl </w:t>
      </w:r>
      <w:r w:rsidR="00167A59" w:rsidRPr="00AA631B">
        <w:rPr>
          <w:rFonts w:ascii="Arial" w:hAnsi="Arial" w:cs="Arial"/>
          <w:sz w:val="22"/>
          <w:szCs w:val="22"/>
        </w:rPr>
        <w:t xml:space="preserve">výdajů </w:t>
      </w:r>
      <w:r w:rsidR="00A74EA0" w:rsidRPr="00AA631B">
        <w:rPr>
          <w:rFonts w:ascii="Arial" w:hAnsi="Arial" w:cs="Arial"/>
          <w:sz w:val="22"/>
          <w:szCs w:val="22"/>
        </w:rPr>
        <w:t xml:space="preserve">MŠMT </w:t>
      </w:r>
      <w:r w:rsidR="00167A59" w:rsidRPr="00AA631B">
        <w:rPr>
          <w:rFonts w:ascii="Arial" w:hAnsi="Arial" w:cs="Arial"/>
          <w:sz w:val="22"/>
          <w:szCs w:val="22"/>
        </w:rPr>
        <w:t xml:space="preserve">na celkovém souhrnu výdajů </w:t>
      </w:r>
      <w:r w:rsidR="00A74EA0" w:rsidRPr="00AA631B">
        <w:rPr>
          <w:rFonts w:ascii="Arial" w:hAnsi="Arial" w:cs="Arial"/>
          <w:sz w:val="22"/>
          <w:szCs w:val="22"/>
        </w:rPr>
        <w:t xml:space="preserve">kapitoly 333 MŠMT </w:t>
      </w:r>
      <w:r w:rsidR="0038485C" w:rsidRPr="00AA631B">
        <w:rPr>
          <w:rFonts w:ascii="Arial" w:hAnsi="Arial" w:cs="Arial"/>
          <w:sz w:val="22"/>
          <w:szCs w:val="22"/>
        </w:rPr>
        <w:t>byl</w:t>
      </w:r>
      <w:r w:rsidR="00A74EA0" w:rsidRPr="00AA631B">
        <w:rPr>
          <w:rFonts w:ascii="Arial" w:hAnsi="Arial" w:cs="Arial"/>
          <w:sz w:val="22"/>
          <w:szCs w:val="22"/>
        </w:rPr>
        <w:t xml:space="preserve"> </w:t>
      </w:r>
      <w:r w:rsidR="00CD0F0B" w:rsidRPr="00AA631B">
        <w:rPr>
          <w:rFonts w:ascii="Arial" w:hAnsi="Arial" w:cs="Arial"/>
          <w:sz w:val="22"/>
          <w:szCs w:val="22"/>
        </w:rPr>
        <w:t>99,6</w:t>
      </w:r>
      <w:r w:rsidR="00AA631B" w:rsidRPr="00AA631B">
        <w:rPr>
          <w:rFonts w:ascii="Arial" w:hAnsi="Arial" w:cs="Arial"/>
          <w:sz w:val="22"/>
          <w:szCs w:val="22"/>
        </w:rPr>
        <w:t>5</w:t>
      </w:r>
      <w:r w:rsidR="00CD0F0B" w:rsidRPr="00AA631B">
        <w:rPr>
          <w:rFonts w:ascii="Arial" w:hAnsi="Arial" w:cs="Arial"/>
          <w:sz w:val="22"/>
          <w:szCs w:val="22"/>
        </w:rPr>
        <w:t xml:space="preserve"> %. Podíl aktiv MŠMT na celkovém souhrnu aktiv kapitoly 333 MŠMT </w:t>
      </w:r>
      <w:r>
        <w:rPr>
          <w:rFonts w:ascii="Arial" w:hAnsi="Arial" w:cs="Arial"/>
          <w:sz w:val="22"/>
          <w:szCs w:val="22"/>
        </w:rPr>
        <w:t>v </w:t>
      </w:r>
      <w:r w:rsidR="00CD0F0B" w:rsidRPr="00AA631B">
        <w:rPr>
          <w:rFonts w:ascii="Arial" w:hAnsi="Arial" w:cs="Arial"/>
          <w:sz w:val="22"/>
          <w:szCs w:val="22"/>
        </w:rPr>
        <w:t>roce 20</w:t>
      </w:r>
      <w:r w:rsidR="00C44AD1" w:rsidRPr="00AA631B">
        <w:rPr>
          <w:rFonts w:ascii="Arial" w:hAnsi="Arial" w:cs="Arial"/>
          <w:sz w:val="22"/>
          <w:szCs w:val="22"/>
        </w:rPr>
        <w:t>1</w:t>
      </w:r>
      <w:r w:rsidR="00AA631B">
        <w:rPr>
          <w:rFonts w:ascii="Arial" w:hAnsi="Arial" w:cs="Arial"/>
          <w:sz w:val="22"/>
          <w:szCs w:val="22"/>
        </w:rPr>
        <w:t>2</w:t>
      </w:r>
      <w:r w:rsidR="00CD0F0B" w:rsidRPr="00AA631B">
        <w:rPr>
          <w:rFonts w:ascii="Arial" w:hAnsi="Arial" w:cs="Arial"/>
          <w:sz w:val="22"/>
          <w:szCs w:val="22"/>
        </w:rPr>
        <w:t xml:space="preserve"> byl </w:t>
      </w:r>
      <w:r w:rsidR="00732FD4">
        <w:rPr>
          <w:rFonts w:ascii="Arial" w:hAnsi="Arial" w:cs="Arial"/>
          <w:sz w:val="22"/>
          <w:szCs w:val="22"/>
        </w:rPr>
        <w:t>93</w:t>
      </w:r>
      <w:r w:rsidR="00DE1C97" w:rsidRPr="00AA631B">
        <w:rPr>
          <w:rFonts w:ascii="Arial" w:hAnsi="Arial" w:cs="Arial"/>
          <w:sz w:val="22"/>
          <w:szCs w:val="22"/>
        </w:rPr>
        <w:t>,</w:t>
      </w:r>
      <w:r w:rsidR="00732FD4">
        <w:rPr>
          <w:rFonts w:ascii="Arial" w:hAnsi="Arial" w:cs="Arial"/>
          <w:sz w:val="22"/>
          <w:szCs w:val="22"/>
        </w:rPr>
        <w:t>30</w:t>
      </w:r>
      <w:r w:rsidR="00CD0F0B" w:rsidRPr="00AA631B">
        <w:rPr>
          <w:rFonts w:ascii="Arial" w:hAnsi="Arial" w:cs="Arial"/>
          <w:sz w:val="22"/>
          <w:szCs w:val="22"/>
        </w:rPr>
        <w:t xml:space="preserve"> %.</w:t>
      </w:r>
      <w:r w:rsidR="00392AC2">
        <w:rPr>
          <w:rFonts w:ascii="Arial" w:hAnsi="Arial" w:cs="Arial"/>
          <w:sz w:val="22"/>
          <w:szCs w:val="22"/>
        </w:rPr>
        <w:t xml:space="preserve"> Podíl nákladů</w:t>
      </w:r>
      <w:r w:rsidR="0078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</w:t>
      </w:r>
      <w:r w:rsidR="00784955">
        <w:rPr>
          <w:rFonts w:ascii="Arial" w:hAnsi="Arial" w:cs="Arial"/>
          <w:sz w:val="22"/>
          <w:szCs w:val="22"/>
        </w:rPr>
        <w:t>hlavní činnosti</w:t>
      </w:r>
      <w:r w:rsidR="00392AC2">
        <w:rPr>
          <w:rFonts w:ascii="Arial" w:hAnsi="Arial" w:cs="Arial"/>
          <w:sz w:val="22"/>
          <w:szCs w:val="22"/>
        </w:rPr>
        <w:t xml:space="preserve"> MŠMT na celkovém souhrnu nákladů</w:t>
      </w:r>
      <w:r w:rsidR="0078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</w:t>
      </w:r>
      <w:r w:rsidR="00784955">
        <w:rPr>
          <w:rFonts w:ascii="Arial" w:hAnsi="Arial" w:cs="Arial"/>
          <w:sz w:val="22"/>
          <w:szCs w:val="22"/>
        </w:rPr>
        <w:t>hlavní činnosti</w:t>
      </w:r>
      <w:r w:rsidR="00392AC2">
        <w:rPr>
          <w:rFonts w:ascii="Arial" w:hAnsi="Arial" w:cs="Arial"/>
          <w:sz w:val="22"/>
          <w:szCs w:val="22"/>
        </w:rPr>
        <w:t xml:space="preserve"> kapitoly 333 MŠMT </w:t>
      </w:r>
      <w:r>
        <w:rPr>
          <w:rFonts w:ascii="Arial" w:hAnsi="Arial" w:cs="Arial"/>
          <w:sz w:val="22"/>
          <w:szCs w:val="22"/>
        </w:rPr>
        <w:t>v </w:t>
      </w:r>
      <w:r w:rsidR="00392AC2">
        <w:rPr>
          <w:rFonts w:ascii="Arial" w:hAnsi="Arial" w:cs="Arial"/>
          <w:sz w:val="22"/>
          <w:szCs w:val="22"/>
        </w:rPr>
        <w:t>roce 2012 byl</w:t>
      </w:r>
      <w:r w:rsidR="00784955">
        <w:rPr>
          <w:rFonts w:ascii="Arial" w:hAnsi="Arial" w:cs="Arial"/>
          <w:sz w:val="22"/>
          <w:szCs w:val="22"/>
        </w:rPr>
        <w:t xml:space="preserve"> 96,46 </w:t>
      </w:r>
      <w:r w:rsidR="00392AC2">
        <w:rPr>
          <w:rFonts w:ascii="Arial" w:hAnsi="Arial" w:cs="Arial"/>
          <w:sz w:val="22"/>
          <w:szCs w:val="22"/>
        </w:rPr>
        <w:t>% a podíl výnosů</w:t>
      </w:r>
      <w:r w:rsidR="0078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</w:t>
      </w:r>
      <w:r w:rsidR="00784955">
        <w:rPr>
          <w:rFonts w:ascii="Arial" w:hAnsi="Arial" w:cs="Arial"/>
          <w:sz w:val="22"/>
          <w:szCs w:val="22"/>
        </w:rPr>
        <w:t>hlavní činnosti</w:t>
      </w:r>
      <w:r w:rsidR="00392AC2">
        <w:rPr>
          <w:rFonts w:ascii="Arial" w:hAnsi="Arial" w:cs="Arial"/>
          <w:sz w:val="22"/>
          <w:szCs w:val="22"/>
        </w:rPr>
        <w:t xml:space="preserve"> MŠMT na celkovém souhrnu výnosů </w:t>
      </w:r>
      <w:r>
        <w:rPr>
          <w:rFonts w:ascii="Arial" w:hAnsi="Arial" w:cs="Arial"/>
          <w:sz w:val="22"/>
          <w:szCs w:val="22"/>
        </w:rPr>
        <w:t>z </w:t>
      </w:r>
      <w:r w:rsidR="00784955">
        <w:rPr>
          <w:rFonts w:ascii="Arial" w:hAnsi="Arial" w:cs="Arial"/>
          <w:sz w:val="22"/>
          <w:szCs w:val="22"/>
        </w:rPr>
        <w:t xml:space="preserve">hlavní činnosti </w:t>
      </w:r>
      <w:r w:rsidR="00392AC2">
        <w:rPr>
          <w:rFonts w:ascii="Arial" w:hAnsi="Arial" w:cs="Arial"/>
          <w:sz w:val="22"/>
          <w:szCs w:val="22"/>
        </w:rPr>
        <w:t>ka</w:t>
      </w:r>
      <w:r w:rsidR="00784955">
        <w:rPr>
          <w:rFonts w:ascii="Arial" w:hAnsi="Arial" w:cs="Arial"/>
          <w:sz w:val="22"/>
          <w:szCs w:val="22"/>
        </w:rPr>
        <w:t xml:space="preserve">pitoly 333 MŠMT </w:t>
      </w:r>
      <w:r>
        <w:rPr>
          <w:rFonts w:ascii="Arial" w:hAnsi="Arial" w:cs="Arial"/>
          <w:sz w:val="22"/>
          <w:szCs w:val="22"/>
        </w:rPr>
        <w:t>v </w:t>
      </w:r>
      <w:r w:rsidR="00784955">
        <w:rPr>
          <w:rFonts w:ascii="Arial" w:hAnsi="Arial" w:cs="Arial"/>
          <w:sz w:val="22"/>
          <w:szCs w:val="22"/>
        </w:rPr>
        <w:t>roce 2012 byl 15,25</w:t>
      </w:r>
      <w:r w:rsidR="00BD3843">
        <w:rPr>
          <w:rFonts w:ascii="Arial" w:hAnsi="Arial" w:cs="Arial"/>
          <w:sz w:val="22"/>
          <w:szCs w:val="22"/>
        </w:rPr>
        <w:t xml:space="preserve"> </w:t>
      </w:r>
      <w:r w:rsidR="00392AC2">
        <w:rPr>
          <w:rFonts w:ascii="Arial" w:hAnsi="Arial" w:cs="Arial"/>
          <w:sz w:val="22"/>
          <w:szCs w:val="22"/>
        </w:rPr>
        <w:t>%.</w:t>
      </w:r>
    </w:p>
    <w:p w:rsidR="00C46660" w:rsidRPr="0015047E" w:rsidRDefault="00C46660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DE1C97" w:rsidRPr="0091411C" w:rsidRDefault="00DE1C97" w:rsidP="00741C30">
      <w:pPr>
        <w:jc w:val="both"/>
        <w:rPr>
          <w:rFonts w:ascii="Arial" w:hAnsi="Arial" w:cs="Arial"/>
          <w:sz w:val="22"/>
          <w:szCs w:val="22"/>
        </w:rPr>
      </w:pPr>
      <w:r w:rsidRPr="0091411C">
        <w:rPr>
          <w:rFonts w:ascii="Arial" w:hAnsi="Arial" w:cs="Arial"/>
          <w:sz w:val="22"/>
          <w:szCs w:val="22"/>
        </w:rPr>
        <w:lastRenderedPageBreak/>
        <w:t xml:space="preserve">Kontrolovány byly činnosti a skutečnosti, které byly předmětem účetnictví MŠMT a měly vliv na hodnoty kontrolovaných </w:t>
      </w:r>
      <w:r w:rsidR="00E670FA" w:rsidRPr="0091411C">
        <w:rPr>
          <w:rFonts w:ascii="Arial" w:hAnsi="Arial" w:cs="Arial"/>
          <w:sz w:val="22"/>
          <w:szCs w:val="22"/>
        </w:rPr>
        <w:t xml:space="preserve">významných </w:t>
      </w:r>
      <w:r w:rsidRPr="0091411C">
        <w:rPr>
          <w:rFonts w:ascii="Arial" w:hAnsi="Arial" w:cs="Arial"/>
          <w:sz w:val="22"/>
          <w:szCs w:val="22"/>
        </w:rPr>
        <w:t xml:space="preserve">konečných zůstatků účtů </w:t>
      </w:r>
      <w:r w:rsidR="00765F23">
        <w:rPr>
          <w:rFonts w:ascii="Arial" w:hAnsi="Arial" w:cs="Arial"/>
          <w:sz w:val="22"/>
          <w:szCs w:val="22"/>
        </w:rPr>
        <w:t>v </w:t>
      </w:r>
      <w:r w:rsidRPr="0091411C">
        <w:rPr>
          <w:rFonts w:ascii="Arial" w:hAnsi="Arial" w:cs="Arial"/>
          <w:sz w:val="22"/>
          <w:szCs w:val="22"/>
        </w:rPr>
        <w:t>účetní závěrce MŠMT k</w:t>
      </w:r>
      <w:r w:rsidR="0001331E" w:rsidRPr="0091411C">
        <w:rPr>
          <w:rFonts w:ascii="Arial" w:hAnsi="Arial" w:cs="Arial"/>
          <w:sz w:val="22"/>
          <w:szCs w:val="22"/>
        </w:rPr>
        <w:t> </w:t>
      </w:r>
      <w:r w:rsidRPr="0091411C">
        <w:rPr>
          <w:rFonts w:ascii="Arial" w:hAnsi="Arial" w:cs="Arial"/>
          <w:sz w:val="22"/>
          <w:szCs w:val="22"/>
        </w:rPr>
        <w:t>31. prosinci 201</w:t>
      </w:r>
      <w:r w:rsidR="0091411C" w:rsidRPr="0091411C">
        <w:rPr>
          <w:rFonts w:ascii="Arial" w:hAnsi="Arial" w:cs="Arial"/>
          <w:sz w:val="22"/>
          <w:szCs w:val="22"/>
        </w:rPr>
        <w:t>2</w:t>
      </w:r>
      <w:r w:rsidRPr="0091411C">
        <w:rPr>
          <w:rFonts w:ascii="Arial" w:hAnsi="Arial" w:cs="Arial"/>
          <w:sz w:val="22"/>
          <w:szCs w:val="22"/>
        </w:rPr>
        <w:t xml:space="preserve"> (dále také „ÚZ“)</w:t>
      </w:r>
      <w:r w:rsidR="00C60ADA" w:rsidRPr="0091411C">
        <w:rPr>
          <w:rFonts w:ascii="Arial" w:hAnsi="Arial" w:cs="Arial"/>
          <w:sz w:val="22"/>
          <w:szCs w:val="22"/>
        </w:rPr>
        <w:t>,</w:t>
      </w:r>
      <w:r w:rsidRPr="0091411C">
        <w:rPr>
          <w:rFonts w:ascii="Arial" w:hAnsi="Arial" w:cs="Arial"/>
          <w:sz w:val="22"/>
          <w:szCs w:val="22"/>
        </w:rPr>
        <w:t xml:space="preserve"> na hodnotu údajů ve finančních výkazech MŠMT za rok 201</w:t>
      </w:r>
      <w:r w:rsidR="0091411C" w:rsidRPr="0091411C">
        <w:rPr>
          <w:rFonts w:ascii="Arial" w:hAnsi="Arial" w:cs="Arial"/>
          <w:sz w:val="22"/>
          <w:szCs w:val="22"/>
        </w:rPr>
        <w:t>2</w:t>
      </w:r>
      <w:r w:rsidRPr="0091411C">
        <w:rPr>
          <w:rFonts w:ascii="Arial" w:hAnsi="Arial" w:cs="Arial"/>
          <w:sz w:val="22"/>
          <w:szCs w:val="22"/>
        </w:rPr>
        <w:t xml:space="preserve"> a na závěrečný účet kapitoly </w:t>
      </w:r>
      <w:r w:rsidR="00C60ADA" w:rsidRPr="0091411C">
        <w:rPr>
          <w:rFonts w:ascii="Arial" w:hAnsi="Arial" w:cs="Arial"/>
          <w:sz w:val="22"/>
          <w:szCs w:val="22"/>
        </w:rPr>
        <w:t xml:space="preserve">333 </w:t>
      </w:r>
      <w:r w:rsidRPr="0091411C">
        <w:rPr>
          <w:rFonts w:ascii="Arial" w:hAnsi="Arial" w:cs="Arial"/>
          <w:sz w:val="22"/>
          <w:szCs w:val="22"/>
        </w:rPr>
        <w:t>MŠMT</w:t>
      </w:r>
      <w:r w:rsidR="00C60ADA" w:rsidRPr="0091411C">
        <w:rPr>
          <w:rFonts w:ascii="Arial" w:hAnsi="Arial" w:cs="Arial"/>
          <w:sz w:val="22"/>
          <w:szCs w:val="22"/>
        </w:rPr>
        <w:t xml:space="preserve"> </w:t>
      </w:r>
      <w:r w:rsidRPr="0091411C">
        <w:rPr>
          <w:rFonts w:ascii="Arial" w:hAnsi="Arial" w:cs="Arial"/>
          <w:sz w:val="22"/>
          <w:szCs w:val="22"/>
        </w:rPr>
        <w:t>za rok 201</w:t>
      </w:r>
      <w:r w:rsidR="0091411C" w:rsidRPr="0091411C">
        <w:rPr>
          <w:rFonts w:ascii="Arial" w:hAnsi="Arial" w:cs="Arial"/>
          <w:sz w:val="22"/>
          <w:szCs w:val="22"/>
        </w:rPr>
        <w:t>2</w:t>
      </w:r>
      <w:r w:rsidRPr="0091411C">
        <w:rPr>
          <w:rFonts w:ascii="Arial" w:hAnsi="Arial" w:cs="Arial"/>
          <w:sz w:val="22"/>
          <w:szCs w:val="22"/>
        </w:rPr>
        <w:t>.</w:t>
      </w:r>
    </w:p>
    <w:p w:rsidR="00DE1C97" w:rsidRPr="0015047E" w:rsidRDefault="00DE1C97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DE1C97" w:rsidRPr="0091411C" w:rsidRDefault="00DE1C97" w:rsidP="00741C30">
      <w:pPr>
        <w:jc w:val="both"/>
        <w:rPr>
          <w:rFonts w:ascii="Arial" w:hAnsi="Arial" w:cs="Arial"/>
          <w:sz w:val="22"/>
          <w:szCs w:val="22"/>
        </w:rPr>
      </w:pPr>
      <w:r w:rsidRPr="0091411C">
        <w:rPr>
          <w:rFonts w:ascii="Arial" w:hAnsi="Arial" w:cs="Arial"/>
          <w:sz w:val="22"/>
          <w:szCs w:val="22"/>
        </w:rPr>
        <w:t xml:space="preserve">Kontrola byla provedena u položek </w:t>
      </w:r>
      <w:r w:rsidR="00F209E9" w:rsidRPr="0091411C">
        <w:rPr>
          <w:rFonts w:ascii="Arial" w:hAnsi="Arial" w:cs="Arial"/>
          <w:sz w:val="22"/>
          <w:szCs w:val="22"/>
        </w:rPr>
        <w:t>ÚZ</w:t>
      </w:r>
      <w:r w:rsidRPr="0091411C">
        <w:rPr>
          <w:rFonts w:ascii="Arial" w:hAnsi="Arial" w:cs="Arial"/>
          <w:sz w:val="22"/>
          <w:szCs w:val="22"/>
        </w:rPr>
        <w:t xml:space="preserve"> a finančních výkazů výběrovým způsobem</w:t>
      </w:r>
      <w:r w:rsidR="009C26B9" w:rsidRPr="0091411C">
        <w:rPr>
          <w:rFonts w:ascii="Arial" w:hAnsi="Arial" w:cs="Arial"/>
          <w:sz w:val="22"/>
          <w:szCs w:val="22"/>
        </w:rPr>
        <w:t xml:space="preserve"> v</w:t>
      </w:r>
      <w:r w:rsidR="0001331E" w:rsidRPr="0091411C">
        <w:rPr>
          <w:rFonts w:ascii="Arial" w:hAnsi="Arial" w:cs="Arial"/>
          <w:sz w:val="22"/>
          <w:szCs w:val="22"/>
        </w:rPr>
        <w:t> </w:t>
      </w:r>
      <w:r w:rsidR="009C26B9" w:rsidRPr="0091411C">
        <w:rPr>
          <w:rFonts w:ascii="Arial" w:hAnsi="Arial" w:cs="Arial"/>
          <w:sz w:val="22"/>
          <w:szCs w:val="22"/>
        </w:rPr>
        <w:t xml:space="preserve">návaznosti na jejich </w:t>
      </w:r>
      <w:r w:rsidR="005D39E5" w:rsidRPr="0091411C">
        <w:rPr>
          <w:rFonts w:ascii="Arial" w:hAnsi="Arial" w:cs="Arial"/>
          <w:sz w:val="22"/>
          <w:szCs w:val="22"/>
        </w:rPr>
        <w:t>významnost</w:t>
      </w:r>
      <w:r w:rsidRPr="0091411C">
        <w:rPr>
          <w:rFonts w:ascii="Arial" w:hAnsi="Arial" w:cs="Arial"/>
          <w:sz w:val="22"/>
          <w:szCs w:val="22"/>
        </w:rPr>
        <w:t>.</w:t>
      </w:r>
      <w:r w:rsidR="005F3102">
        <w:rPr>
          <w:rFonts w:ascii="Arial" w:hAnsi="Arial" w:cs="Arial"/>
          <w:sz w:val="22"/>
          <w:szCs w:val="22"/>
        </w:rPr>
        <w:t xml:space="preserve"> </w:t>
      </w:r>
    </w:p>
    <w:p w:rsidR="00282721" w:rsidRPr="0015047E" w:rsidRDefault="00282721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C46660" w:rsidRPr="0091411C" w:rsidRDefault="00C46660" w:rsidP="00741C30">
      <w:pPr>
        <w:jc w:val="both"/>
        <w:rPr>
          <w:rFonts w:ascii="Arial" w:hAnsi="Arial" w:cs="Arial"/>
          <w:sz w:val="22"/>
          <w:szCs w:val="22"/>
        </w:rPr>
      </w:pPr>
      <w:r w:rsidRPr="0091411C">
        <w:rPr>
          <w:rFonts w:ascii="Arial" w:hAnsi="Arial" w:cs="Arial"/>
          <w:sz w:val="22"/>
          <w:szCs w:val="22"/>
        </w:rPr>
        <w:t xml:space="preserve">Tato kontrolní akce </w:t>
      </w:r>
      <w:r w:rsidR="00B0369D" w:rsidRPr="0091411C">
        <w:rPr>
          <w:rFonts w:ascii="Arial" w:hAnsi="Arial" w:cs="Arial"/>
          <w:sz w:val="22"/>
          <w:szCs w:val="22"/>
        </w:rPr>
        <w:t>navazuje</w:t>
      </w:r>
      <w:r w:rsidR="002449FA" w:rsidRPr="0091411C">
        <w:rPr>
          <w:rFonts w:ascii="Arial" w:hAnsi="Arial" w:cs="Arial"/>
          <w:sz w:val="22"/>
          <w:szCs w:val="22"/>
        </w:rPr>
        <w:t xml:space="preserve"> svým zaměřením</w:t>
      </w:r>
      <w:r w:rsidR="00B0369D" w:rsidRPr="0091411C">
        <w:rPr>
          <w:rFonts w:ascii="Arial" w:hAnsi="Arial" w:cs="Arial"/>
          <w:sz w:val="22"/>
          <w:szCs w:val="22"/>
        </w:rPr>
        <w:t xml:space="preserve"> na</w:t>
      </w:r>
      <w:r w:rsidR="00BC5001" w:rsidRPr="0091411C">
        <w:rPr>
          <w:rFonts w:ascii="Arial" w:hAnsi="Arial" w:cs="Arial"/>
          <w:sz w:val="22"/>
          <w:szCs w:val="22"/>
        </w:rPr>
        <w:t xml:space="preserve"> </w:t>
      </w:r>
      <w:r w:rsidR="0091411C" w:rsidRPr="0091411C">
        <w:rPr>
          <w:rFonts w:ascii="Arial" w:hAnsi="Arial" w:cs="Arial"/>
          <w:sz w:val="22"/>
          <w:szCs w:val="22"/>
        </w:rPr>
        <w:t xml:space="preserve">šest </w:t>
      </w:r>
      <w:r w:rsidR="00BC5001" w:rsidRPr="0091411C">
        <w:rPr>
          <w:rFonts w:ascii="Arial" w:hAnsi="Arial" w:cs="Arial"/>
          <w:sz w:val="22"/>
          <w:szCs w:val="22"/>
        </w:rPr>
        <w:t>předchozí</w:t>
      </w:r>
      <w:r w:rsidR="00F46FD8" w:rsidRPr="0091411C">
        <w:rPr>
          <w:rFonts w:ascii="Arial" w:hAnsi="Arial" w:cs="Arial"/>
          <w:sz w:val="22"/>
          <w:szCs w:val="22"/>
        </w:rPr>
        <w:t>ch</w:t>
      </w:r>
      <w:r w:rsidR="00B0369D" w:rsidRPr="0091411C">
        <w:rPr>
          <w:rFonts w:ascii="Arial" w:hAnsi="Arial" w:cs="Arial"/>
          <w:sz w:val="22"/>
          <w:szCs w:val="22"/>
        </w:rPr>
        <w:t xml:space="preserve"> </w:t>
      </w:r>
      <w:r w:rsidRPr="0091411C">
        <w:rPr>
          <w:rFonts w:ascii="Arial" w:hAnsi="Arial" w:cs="Arial"/>
          <w:sz w:val="22"/>
          <w:szCs w:val="22"/>
        </w:rPr>
        <w:t>kontrolní</w:t>
      </w:r>
      <w:r w:rsidR="00F46FD8" w:rsidRPr="0091411C">
        <w:rPr>
          <w:rFonts w:ascii="Arial" w:hAnsi="Arial" w:cs="Arial"/>
          <w:sz w:val="22"/>
          <w:szCs w:val="22"/>
        </w:rPr>
        <w:t>ch</w:t>
      </w:r>
      <w:r w:rsidRPr="0091411C">
        <w:rPr>
          <w:rFonts w:ascii="Arial" w:hAnsi="Arial" w:cs="Arial"/>
          <w:sz w:val="22"/>
          <w:szCs w:val="22"/>
        </w:rPr>
        <w:t xml:space="preserve"> akc</w:t>
      </w:r>
      <w:r w:rsidR="00F46FD8" w:rsidRPr="0091411C">
        <w:rPr>
          <w:rFonts w:ascii="Arial" w:hAnsi="Arial" w:cs="Arial"/>
          <w:sz w:val="22"/>
          <w:szCs w:val="22"/>
        </w:rPr>
        <w:t>í</w:t>
      </w:r>
      <w:r w:rsidR="00BC5001" w:rsidRPr="0091411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E457EF" w:rsidRPr="0091411C">
        <w:rPr>
          <w:rFonts w:ascii="Arial" w:hAnsi="Arial" w:cs="Arial"/>
          <w:sz w:val="22"/>
          <w:szCs w:val="22"/>
        </w:rPr>
        <w:t>,</w:t>
      </w:r>
      <w:r w:rsidRPr="0091411C">
        <w:rPr>
          <w:rFonts w:ascii="Arial" w:hAnsi="Arial" w:cs="Arial"/>
          <w:sz w:val="22"/>
          <w:szCs w:val="22"/>
        </w:rPr>
        <w:t xml:space="preserve"> </w:t>
      </w:r>
      <w:r w:rsidR="00554E48" w:rsidRPr="0091411C">
        <w:rPr>
          <w:rFonts w:ascii="Arial" w:hAnsi="Arial" w:cs="Arial"/>
          <w:sz w:val="22"/>
          <w:szCs w:val="22"/>
        </w:rPr>
        <w:t>v</w:t>
      </w:r>
      <w:r w:rsidR="002B51EB">
        <w:rPr>
          <w:rFonts w:ascii="Arial" w:hAnsi="Arial" w:cs="Arial"/>
          <w:sz w:val="22"/>
          <w:szCs w:val="22"/>
        </w:rPr>
        <w:t> </w:t>
      </w:r>
      <w:r w:rsidR="00554E48" w:rsidRPr="0091411C">
        <w:rPr>
          <w:rFonts w:ascii="Arial" w:hAnsi="Arial" w:cs="Arial"/>
          <w:sz w:val="22"/>
          <w:szCs w:val="22"/>
        </w:rPr>
        <w:t xml:space="preserve">jejichž rámci byly kontrolovány vždy činnosti, majetek a závazky, které byly předmětem účetnictví MŠMT a měly vliv na hodnoty vykázané </w:t>
      </w:r>
      <w:r w:rsidR="00765F23">
        <w:rPr>
          <w:rFonts w:ascii="Arial" w:hAnsi="Arial" w:cs="Arial"/>
          <w:sz w:val="22"/>
          <w:szCs w:val="22"/>
        </w:rPr>
        <w:t>v </w:t>
      </w:r>
      <w:r w:rsidR="00554E48" w:rsidRPr="0091411C">
        <w:rPr>
          <w:rFonts w:ascii="Arial" w:hAnsi="Arial" w:cs="Arial"/>
          <w:sz w:val="22"/>
          <w:szCs w:val="22"/>
        </w:rPr>
        <w:t xml:space="preserve">ÚZ </w:t>
      </w:r>
      <w:r w:rsidR="00765F23">
        <w:rPr>
          <w:rFonts w:ascii="Arial" w:hAnsi="Arial" w:cs="Arial"/>
          <w:sz w:val="22"/>
          <w:szCs w:val="22"/>
        </w:rPr>
        <w:t>k </w:t>
      </w:r>
      <w:r w:rsidR="00554E48" w:rsidRPr="0091411C">
        <w:rPr>
          <w:rFonts w:ascii="Arial" w:hAnsi="Arial" w:cs="Arial"/>
          <w:sz w:val="22"/>
          <w:szCs w:val="22"/>
        </w:rPr>
        <w:t>31. prosinci</w:t>
      </w:r>
      <w:r w:rsidR="00E94004" w:rsidRPr="0091411C">
        <w:rPr>
          <w:rFonts w:ascii="Arial" w:hAnsi="Arial" w:cs="Arial"/>
          <w:sz w:val="22"/>
          <w:szCs w:val="22"/>
        </w:rPr>
        <w:t xml:space="preserve"> a na závěrečné účty kapitoly 333 MŠMT</w:t>
      </w:r>
      <w:r w:rsidR="00554E48" w:rsidRPr="0091411C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v </w:t>
      </w:r>
      <w:r w:rsidR="00554E48" w:rsidRPr="0091411C">
        <w:rPr>
          <w:rFonts w:ascii="Arial" w:hAnsi="Arial" w:cs="Arial"/>
          <w:sz w:val="22"/>
          <w:szCs w:val="22"/>
        </w:rPr>
        <w:t>letech 2005</w:t>
      </w:r>
      <w:r w:rsidR="00A04E5F" w:rsidRPr="0091411C">
        <w:rPr>
          <w:rFonts w:ascii="Arial" w:hAnsi="Arial" w:cs="Arial"/>
          <w:sz w:val="22"/>
          <w:szCs w:val="22"/>
        </w:rPr>
        <w:t xml:space="preserve"> až </w:t>
      </w:r>
      <w:r w:rsidR="00554E48" w:rsidRPr="0091411C">
        <w:rPr>
          <w:rFonts w:ascii="Arial" w:hAnsi="Arial" w:cs="Arial"/>
          <w:sz w:val="22"/>
          <w:szCs w:val="22"/>
        </w:rPr>
        <w:t>200</w:t>
      </w:r>
      <w:r w:rsidR="00C44AD1" w:rsidRPr="0091411C">
        <w:rPr>
          <w:rFonts w:ascii="Arial" w:hAnsi="Arial" w:cs="Arial"/>
          <w:sz w:val="22"/>
          <w:szCs w:val="22"/>
        </w:rPr>
        <w:t>8</w:t>
      </w:r>
      <w:r w:rsidR="0091411C" w:rsidRPr="0091411C">
        <w:rPr>
          <w:rFonts w:ascii="Arial" w:hAnsi="Arial" w:cs="Arial"/>
          <w:sz w:val="22"/>
          <w:szCs w:val="22"/>
        </w:rPr>
        <w:t xml:space="preserve">, </w:t>
      </w:r>
      <w:r w:rsidR="00F46FD8" w:rsidRPr="0091411C">
        <w:rPr>
          <w:rFonts w:ascii="Arial" w:hAnsi="Arial" w:cs="Arial"/>
          <w:sz w:val="22"/>
          <w:szCs w:val="22"/>
        </w:rPr>
        <w:t>2010</w:t>
      </w:r>
      <w:r w:rsidR="00392AC2">
        <w:rPr>
          <w:rFonts w:ascii="Arial" w:hAnsi="Arial" w:cs="Arial"/>
          <w:sz w:val="22"/>
          <w:szCs w:val="22"/>
        </w:rPr>
        <w:t>,</w:t>
      </w:r>
      <w:r w:rsidR="0091411C" w:rsidRPr="0091411C">
        <w:rPr>
          <w:rFonts w:ascii="Arial" w:hAnsi="Arial" w:cs="Arial"/>
          <w:sz w:val="22"/>
          <w:szCs w:val="22"/>
        </w:rPr>
        <w:t xml:space="preserve"> 2011</w:t>
      </w:r>
      <w:r w:rsidR="00E94004" w:rsidRPr="0091411C">
        <w:rPr>
          <w:rFonts w:ascii="Arial" w:hAnsi="Arial" w:cs="Arial"/>
          <w:sz w:val="22"/>
          <w:szCs w:val="22"/>
        </w:rPr>
        <w:t xml:space="preserve"> a rovněž na hodnotu údajů ve finančních výkazech MŠMT za rok 2010</w:t>
      </w:r>
      <w:r w:rsidR="0091411C" w:rsidRPr="0091411C">
        <w:rPr>
          <w:rFonts w:ascii="Arial" w:hAnsi="Arial" w:cs="Arial"/>
          <w:sz w:val="22"/>
          <w:szCs w:val="22"/>
        </w:rPr>
        <w:t xml:space="preserve"> a 2011</w:t>
      </w:r>
      <w:r w:rsidR="00E94004" w:rsidRPr="0091411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075B50" w:rsidRPr="0091411C">
        <w:rPr>
          <w:rFonts w:ascii="Arial" w:hAnsi="Arial" w:cs="Arial"/>
          <w:sz w:val="22"/>
          <w:szCs w:val="22"/>
        </w:rPr>
        <w:t>.</w:t>
      </w:r>
    </w:p>
    <w:p w:rsidR="00282721" w:rsidRPr="00787F8C" w:rsidRDefault="00282721" w:rsidP="00741C30">
      <w:pPr>
        <w:jc w:val="both"/>
        <w:rPr>
          <w:rFonts w:ascii="Arial" w:hAnsi="Arial" w:cs="Arial"/>
          <w:sz w:val="18"/>
          <w:szCs w:val="18"/>
          <w:highlight w:val="green"/>
        </w:rPr>
      </w:pPr>
    </w:p>
    <w:p w:rsidR="008F1A6A" w:rsidRPr="0091411C" w:rsidRDefault="00214027" w:rsidP="009347B6">
      <w:pPr>
        <w:ind w:left="624" w:hanging="624"/>
        <w:jc w:val="both"/>
        <w:rPr>
          <w:rFonts w:ascii="Arial" w:hAnsi="Arial" w:cs="Arial"/>
          <w:iCs/>
          <w:sz w:val="18"/>
          <w:szCs w:val="18"/>
        </w:rPr>
      </w:pPr>
      <w:r w:rsidRPr="0091411C">
        <w:rPr>
          <w:rFonts w:ascii="Arial" w:hAnsi="Arial" w:cs="Arial"/>
          <w:b/>
          <w:iCs/>
          <w:sz w:val="18"/>
          <w:szCs w:val="18"/>
        </w:rPr>
        <w:t>Pozn</w:t>
      </w:r>
      <w:r w:rsidR="00982E0F" w:rsidRPr="0091411C">
        <w:rPr>
          <w:rFonts w:ascii="Arial" w:hAnsi="Arial" w:cs="Arial"/>
          <w:b/>
          <w:iCs/>
          <w:sz w:val="18"/>
          <w:szCs w:val="18"/>
        </w:rPr>
        <w:t>.</w:t>
      </w:r>
      <w:r w:rsidRPr="0091411C">
        <w:rPr>
          <w:rFonts w:ascii="Arial" w:hAnsi="Arial" w:cs="Arial"/>
          <w:b/>
          <w:iCs/>
          <w:sz w:val="18"/>
          <w:szCs w:val="18"/>
        </w:rPr>
        <w:t>:</w:t>
      </w:r>
      <w:r w:rsidR="00524FE9" w:rsidRPr="0091411C">
        <w:rPr>
          <w:rFonts w:ascii="Arial" w:hAnsi="Arial" w:cs="Arial"/>
          <w:b/>
          <w:iCs/>
          <w:sz w:val="18"/>
          <w:szCs w:val="18"/>
        </w:rPr>
        <w:t xml:space="preserve"> </w:t>
      </w:r>
      <w:r w:rsidRPr="0091411C">
        <w:rPr>
          <w:rFonts w:ascii="Arial" w:hAnsi="Arial" w:cs="Arial"/>
          <w:iCs/>
          <w:sz w:val="18"/>
          <w:szCs w:val="18"/>
        </w:rPr>
        <w:t xml:space="preserve">Všechny právní předpisy uváděné </w:t>
      </w:r>
      <w:r w:rsidR="00765F23">
        <w:rPr>
          <w:rFonts w:ascii="Arial" w:hAnsi="Arial" w:cs="Arial"/>
          <w:iCs/>
          <w:sz w:val="18"/>
          <w:szCs w:val="18"/>
        </w:rPr>
        <w:t>v </w:t>
      </w:r>
      <w:r w:rsidRPr="0091411C">
        <w:rPr>
          <w:rFonts w:ascii="Arial" w:hAnsi="Arial" w:cs="Arial"/>
          <w:iCs/>
          <w:sz w:val="18"/>
          <w:szCs w:val="18"/>
        </w:rPr>
        <w:t>tomto kontrolním závěru jsou aplikovány ve znění účinném pro kontrolované období.</w:t>
      </w:r>
    </w:p>
    <w:p w:rsidR="002B51EB" w:rsidRPr="0015047E" w:rsidRDefault="002B51EB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82721" w:rsidRPr="00F52CE0" w:rsidRDefault="00282721" w:rsidP="00741C30">
      <w:pPr>
        <w:jc w:val="center"/>
        <w:rPr>
          <w:rFonts w:ascii="Arial" w:hAnsi="Arial" w:cs="Arial"/>
          <w:b/>
        </w:rPr>
      </w:pPr>
      <w:r w:rsidRPr="00F52CE0">
        <w:rPr>
          <w:rFonts w:ascii="Arial" w:hAnsi="Arial" w:cs="Arial"/>
          <w:b/>
        </w:rPr>
        <w:t>II. Skutečnosti zjištěné při kontrole</w:t>
      </w:r>
    </w:p>
    <w:p w:rsidR="00FB3A39" w:rsidRPr="0015047E" w:rsidRDefault="00FB3A39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C369C1" w:rsidRPr="00F52CE0" w:rsidRDefault="00E379CA" w:rsidP="00741C30">
      <w:pPr>
        <w:jc w:val="both"/>
        <w:rPr>
          <w:rFonts w:ascii="Arial" w:hAnsi="Arial" w:cs="Arial"/>
          <w:b/>
          <w:sz w:val="22"/>
          <w:szCs w:val="22"/>
        </w:rPr>
      </w:pPr>
      <w:r w:rsidRPr="00F52CE0">
        <w:rPr>
          <w:rFonts w:ascii="Arial" w:hAnsi="Arial" w:cs="Arial"/>
          <w:b/>
          <w:sz w:val="22"/>
          <w:szCs w:val="22"/>
        </w:rPr>
        <w:t xml:space="preserve">1. </w:t>
      </w:r>
      <w:r w:rsidR="00C369C1" w:rsidRPr="00F52CE0">
        <w:rPr>
          <w:rFonts w:ascii="Arial" w:hAnsi="Arial" w:cs="Arial"/>
          <w:b/>
          <w:sz w:val="22"/>
          <w:szCs w:val="22"/>
        </w:rPr>
        <w:t xml:space="preserve">Účetní závěrka MŠMT </w:t>
      </w:r>
      <w:r w:rsidR="00765F23">
        <w:rPr>
          <w:rFonts w:ascii="Arial" w:hAnsi="Arial" w:cs="Arial"/>
          <w:b/>
          <w:sz w:val="22"/>
          <w:szCs w:val="22"/>
        </w:rPr>
        <w:t>k </w:t>
      </w:r>
      <w:r w:rsidR="00C369C1" w:rsidRPr="00F52CE0">
        <w:rPr>
          <w:rFonts w:ascii="Arial" w:hAnsi="Arial" w:cs="Arial"/>
          <w:b/>
          <w:sz w:val="22"/>
          <w:szCs w:val="22"/>
        </w:rPr>
        <w:t>31. prosinci 201</w:t>
      </w:r>
      <w:r w:rsidR="00F52CE0" w:rsidRPr="00F52CE0">
        <w:rPr>
          <w:rFonts w:ascii="Arial" w:hAnsi="Arial" w:cs="Arial"/>
          <w:b/>
          <w:sz w:val="22"/>
          <w:szCs w:val="22"/>
        </w:rPr>
        <w:t>2</w:t>
      </w:r>
    </w:p>
    <w:p w:rsidR="00C369C1" w:rsidRPr="0015047E" w:rsidRDefault="00C369C1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64159" w:rsidRPr="00F52CE0" w:rsidRDefault="00264159" w:rsidP="00741C30">
      <w:pPr>
        <w:jc w:val="both"/>
        <w:rPr>
          <w:rFonts w:ascii="Arial" w:hAnsi="Arial" w:cs="Arial"/>
          <w:bCs/>
          <w:sz w:val="22"/>
          <w:szCs w:val="22"/>
        </w:rPr>
      </w:pPr>
      <w:r w:rsidRPr="00F52CE0">
        <w:rPr>
          <w:rFonts w:ascii="Arial" w:hAnsi="Arial" w:cs="Arial"/>
          <w:sz w:val="22"/>
          <w:szCs w:val="22"/>
        </w:rPr>
        <w:t xml:space="preserve">MŠMT sestavilo ÚZ </w:t>
      </w:r>
      <w:r w:rsidR="00765F23">
        <w:rPr>
          <w:rFonts w:ascii="Arial" w:hAnsi="Arial" w:cs="Arial"/>
          <w:sz w:val="22"/>
          <w:szCs w:val="22"/>
        </w:rPr>
        <w:t>v </w:t>
      </w:r>
      <w:r w:rsidRPr="00F52CE0">
        <w:rPr>
          <w:rFonts w:ascii="Arial" w:hAnsi="Arial" w:cs="Arial"/>
          <w:sz w:val="22"/>
          <w:szCs w:val="22"/>
        </w:rPr>
        <w:t xml:space="preserve">rozsahu dle </w:t>
      </w:r>
      <w:r w:rsidRPr="00F52CE0">
        <w:rPr>
          <w:rFonts w:ascii="Arial" w:hAnsi="Arial" w:cs="Arial"/>
          <w:bCs/>
          <w:sz w:val="22"/>
          <w:szCs w:val="22"/>
        </w:rPr>
        <w:t>§ 18 odst. 1 zákona</w:t>
      </w:r>
      <w:r w:rsidR="00E52D87" w:rsidRPr="00F52CE0">
        <w:rPr>
          <w:rFonts w:ascii="Arial" w:hAnsi="Arial" w:cs="Arial"/>
          <w:bCs/>
          <w:sz w:val="22"/>
          <w:szCs w:val="22"/>
        </w:rPr>
        <w:t xml:space="preserve"> č. 563/1991 Sb.,</w:t>
      </w:r>
      <w:r w:rsidRPr="00F52CE0">
        <w:rPr>
          <w:rFonts w:ascii="Arial" w:hAnsi="Arial" w:cs="Arial"/>
          <w:bCs/>
          <w:sz w:val="22"/>
          <w:szCs w:val="22"/>
        </w:rPr>
        <w:t xml:space="preserve"> o</w:t>
      </w:r>
      <w:r w:rsidR="0001331E" w:rsidRPr="00F52CE0">
        <w:rPr>
          <w:rFonts w:ascii="Arial" w:hAnsi="Arial" w:cs="Arial"/>
          <w:bCs/>
          <w:sz w:val="22"/>
          <w:szCs w:val="22"/>
        </w:rPr>
        <w:t xml:space="preserve"> </w:t>
      </w:r>
      <w:r w:rsidR="00E91032" w:rsidRPr="00F52CE0">
        <w:rPr>
          <w:rFonts w:ascii="Arial" w:hAnsi="Arial" w:cs="Arial"/>
          <w:bCs/>
          <w:sz w:val="22"/>
          <w:szCs w:val="22"/>
        </w:rPr>
        <w:t>účetnictví, tj.</w:t>
      </w:r>
      <w:r w:rsidR="00690F62">
        <w:rPr>
          <w:rFonts w:ascii="Arial" w:hAnsi="Arial" w:cs="Arial"/>
          <w:bCs/>
          <w:sz w:val="22"/>
          <w:szCs w:val="22"/>
        </w:rPr>
        <w:t> </w:t>
      </w:r>
      <w:r w:rsidRPr="00F52CE0">
        <w:rPr>
          <w:rFonts w:ascii="Arial" w:hAnsi="Arial" w:cs="Arial"/>
          <w:bCs/>
          <w:sz w:val="22"/>
          <w:szCs w:val="22"/>
        </w:rPr>
        <w:t xml:space="preserve">sestavilo </w:t>
      </w:r>
      <w:r w:rsidR="00646D32" w:rsidRPr="00F52CE0">
        <w:rPr>
          <w:rFonts w:ascii="Arial" w:hAnsi="Arial" w:cs="Arial"/>
          <w:bCs/>
          <w:sz w:val="22"/>
          <w:szCs w:val="22"/>
        </w:rPr>
        <w:t>r</w:t>
      </w:r>
      <w:r w:rsidRPr="00F52CE0">
        <w:rPr>
          <w:rFonts w:ascii="Arial" w:hAnsi="Arial" w:cs="Arial"/>
          <w:bCs/>
          <w:sz w:val="22"/>
          <w:szCs w:val="22"/>
        </w:rPr>
        <w:t xml:space="preserve">ozvahu, </w:t>
      </w:r>
      <w:r w:rsidR="00646D32" w:rsidRPr="00F52CE0">
        <w:rPr>
          <w:rFonts w:ascii="Arial" w:hAnsi="Arial" w:cs="Arial"/>
          <w:bCs/>
          <w:sz w:val="22"/>
          <w:szCs w:val="22"/>
        </w:rPr>
        <w:t>v</w:t>
      </w:r>
      <w:r w:rsidRPr="00F52CE0">
        <w:rPr>
          <w:rFonts w:ascii="Arial" w:hAnsi="Arial" w:cs="Arial"/>
          <w:bCs/>
          <w:sz w:val="22"/>
          <w:szCs w:val="22"/>
        </w:rPr>
        <w:t xml:space="preserve">ýkaz zisku a ztráty, </w:t>
      </w:r>
      <w:r w:rsidR="00646D32" w:rsidRPr="00F52CE0">
        <w:rPr>
          <w:rFonts w:ascii="Arial" w:hAnsi="Arial" w:cs="Arial"/>
          <w:bCs/>
          <w:sz w:val="22"/>
          <w:szCs w:val="22"/>
        </w:rPr>
        <w:t>p</w:t>
      </w:r>
      <w:r w:rsidRPr="00F52CE0">
        <w:rPr>
          <w:rFonts w:ascii="Arial" w:hAnsi="Arial" w:cs="Arial"/>
          <w:bCs/>
          <w:sz w:val="22"/>
          <w:szCs w:val="22"/>
        </w:rPr>
        <w:t xml:space="preserve">řílohu, </w:t>
      </w:r>
      <w:r w:rsidR="00646D32" w:rsidRPr="00F52CE0">
        <w:rPr>
          <w:rFonts w:ascii="Arial" w:hAnsi="Arial" w:cs="Arial"/>
          <w:bCs/>
          <w:sz w:val="22"/>
          <w:szCs w:val="22"/>
        </w:rPr>
        <w:t>p</w:t>
      </w:r>
      <w:r w:rsidRPr="00F52CE0">
        <w:rPr>
          <w:rFonts w:ascii="Arial" w:hAnsi="Arial" w:cs="Arial"/>
          <w:bCs/>
          <w:sz w:val="22"/>
          <w:szCs w:val="22"/>
        </w:rPr>
        <w:t>řehled o peněžních tocích a</w:t>
      </w:r>
      <w:r w:rsidR="005F3102">
        <w:rPr>
          <w:rFonts w:ascii="Arial" w:hAnsi="Arial" w:cs="Arial"/>
          <w:bCs/>
          <w:sz w:val="22"/>
          <w:szCs w:val="22"/>
        </w:rPr>
        <w:t xml:space="preserve"> </w:t>
      </w:r>
      <w:r w:rsidR="00646D32" w:rsidRPr="00F52CE0">
        <w:rPr>
          <w:rFonts w:ascii="Arial" w:hAnsi="Arial" w:cs="Arial"/>
          <w:bCs/>
          <w:sz w:val="22"/>
          <w:szCs w:val="22"/>
        </w:rPr>
        <w:t>p</w:t>
      </w:r>
      <w:r w:rsidRPr="00F52CE0">
        <w:rPr>
          <w:rFonts w:ascii="Arial" w:hAnsi="Arial" w:cs="Arial"/>
          <w:bCs/>
          <w:sz w:val="22"/>
          <w:szCs w:val="22"/>
        </w:rPr>
        <w:t>řehled o</w:t>
      </w:r>
      <w:r w:rsidR="00982E0F" w:rsidRPr="00F52CE0">
        <w:rPr>
          <w:rFonts w:ascii="Arial" w:hAnsi="Arial" w:cs="Arial"/>
          <w:bCs/>
          <w:sz w:val="22"/>
          <w:szCs w:val="22"/>
        </w:rPr>
        <w:t> </w:t>
      </w:r>
      <w:r w:rsidRPr="00F52CE0">
        <w:rPr>
          <w:rFonts w:ascii="Arial" w:hAnsi="Arial" w:cs="Arial"/>
          <w:bCs/>
          <w:sz w:val="22"/>
          <w:szCs w:val="22"/>
        </w:rPr>
        <w:t>změnách vlastního kapitálu. Takto sestavená ÚZ obsahovala veškeré náleži</w:t>
      </w:r>
      <w:r w:rsidR="00994A7F" w:rsidRPr="00F52CE0">
        <w:rPr>
          <w:rFonts w:ascii="Arial" w:hAnsi="Arial" w:cs="Arial"/>
          <w:bCs/>
          <w:sz w:val="22"/>
          <w:szCs w:val="22"/>
        </w:rPr>
        <w:t>tosti dle § 18 odst. 2 zákona o</w:t>
      </w:r>
      <w:r w:rsidR="0001331E" w:rsidRPr="00F52CE0">
        <w:rPr>
          <w:rFonts w:ascii="Arial" w:hAnsi="Arial" w:cs="Arial"/>
          <w:bCs/>
          <w:sz w:val="22"/>
          <w:szCs w:val="22"/>
        </w:rPr>
        <w:t xml:space="preserve"> </w:t>
      </w:r>
      <w:r w:rsidRPr="00F52CE0">
        <w:rPr>
          <w:rFonts w:ascii="Arial" w:hAnsi="Arial" w:cs="Arial"/>
          <w:bCs/>
          <w:sz w:val="22"/>
          <w:szCs w:val="22"/>
        </w:rPr>
        <w:t xml:space="preserve">účetnictví. </w:t>
      </w:r>
    </w:p>
    <w:p w:rsidR="00264159" w:rsidRPr="0015047E" w:rsidRDefault="00264159" w:rsidP="00741C30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2D0CDF" w:rsidRPr="00F52CE0" w:rsidRDefault="002D0CDF" w:rsidP="00E50173">
      <w:pPr>
        <w:tabs>
          <w:tab w:val="right" w:pos="9072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F52CE0">
        <w:rPr>
          <w:rFonts w:ascii="Arial" w:hAnsi="Arial" w:cs="Arial"/>
          <w:b/>
          <w:sz w:val="22"/>
          <w:szCs w:val="22"/>
        </w:rPr>
        <w:t>Tabulka č. 1 –</w:t>
      </w:r>
      <w:r w:rsidRPr="00F52CE0">
        <w:rPr>
          <w:rFonts w:ascii="Arial" w:hAnsi="Arial" w:cs="Arial"/>
          <w:sz w:val="22"/>
          <w:szCs w:val="22"/>
        </w:rPr>
        <w:t xml:space="preserve"> </w:t>
      </w:r>
      <w:r w:rsidRPr="00F52CE0">
        <w:rPr>
          <w:rFonts w:ascii="Arial" w:hAnsi="Arial" w:cs="Arial"/>
          <w:b/>
          <w:sz w:val="22"/>
          <w:szCs w:val="22"/>
        </w:rPr>
        <w:t>Základní</w:t>
      </w:r>
      <w:r w:rsidRPr="00F52CE0">
        <w:rPr>
          <w:rFonts w:ascii="Arial" w:hAnsi="Arial" w:cs="Arial"/>
          <w:sz w:val="22"/>
          <w:szCs w:val="22"/>
        </w:rPr>
        <w:t xml:space="preserve"> </w:t>
      </w:r>
      <w:r w:rsidRPr="00F52CE0">
        <w:rPr>
          <w:rFonts w:ascii="Arial" w:hAnsi="Arial" w:cs="Arial"/>
          <w:b/>
          <w:sz w:val="22"/>
          <w:szCs w:val="22"/>
        </w:rPr>
        <w:t xml:space="preserve">údaje účetní závěrky MŠMT </w:t>
      </w:r>
      <w:r w:rsidR="00765F23">
        <w:rPr>
          <w:rFonts w:ascii="Arial" w:hAnsi="Arial" w:cs="Arial"/>
          <w:b/>
          <w:sz w:val="22"/>
          <w:szCs w:val="22"/>
        </w:rPr>
        <w:t>k </w:t>
      </w:r>
      <w:r w:rsidRPr="00F52CE0">
        <w:rPr>
          <w:rFonts w:ascii="Arial" w:hAnsi="Arial" w:cs="Arial"/>
          <w:b/>
          <w:sz w:val="22"/>
          <w:szCs w:val="22"/>
        </w:rPr>
        <w:t>31. prosinci 201</w:t>
      </w:r>
      <w:r w:rsidR="00F52CE0" w:rsidRPr="00F52CE0">
        <w:rPr>
          <w:rFonts w:ascii="Arial" w:hAnsi="Arial" w:cs="Arial"/>
          <w:b/>
          <w:sz w:val="22"/>
          <w:szCs w:val="22"/>
        </w:rPr>
        <w:t>2</w:t>
      </w:r>
      <w:r w:rsidR="00D63F5F" w:rsidRPr="00F52CE0">
        <w:rPr>
          <w:rFonts w:ascii="Arial" w:hAnsi="Arial" w:cs="Arial"/>
          <w:b/>
          <w:sz w:val="22"/>
          <w:szCs w:val="22"/>
        </w:rPr>
        <w:t xml:space="preserve"> </w:t>
      </w:r>
      <w:r w:rsidR="00142AFA" w:rsidRPr="00F52CE0">
        <w:rPr>
          <w:rFonts w:ascii="Arial" w:hAnsi="Arial" w:cs="Arial"/>
          <w:b/>
          <w:sz w:val="22"/>
          <w:szCs w:val="22"/>
        </w:rPr>
        <w:tab/>
      </w:r>
      <w:r w:rsidRPr="00F52CE0">
        <w:rPr>
          <w:rFonts w:ascii="Arial" w:hAnsi="Arial" w:cs="Arial"/>
          <w:b/>
          <w:sz w:val="22"/>
          <w:szCs w:val="22"/>
        </w:rPr>
        <w:t>(v Kč)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5032"/>
      </w:tblGrid>
      <w:tr w:rsidR="002D0CDF" w:rsidRPr="00F52CE0" w:rsidTr="00E50173">
        <w:trPr>
          <w:trHeight w:val="283"/>
        </w:trPr>
        <w:tc>
          <w:tcPr>
            <w:tcW w:w="4040" w:type="dxa"/>
            <w:shd w:val="clear" w:color="auto" w:fill="95B3D7" w:themeFill="accent1" w:themeFillTint="99"/>
            <w:vAlign w:val="center"/>
          </w:tcPr>
          <w:p w:rsidR="002D0CDF" w:rsidRPr="00C63229" w:rsidRDefault="002D0CDF" w:rsidP="0074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229">
              <w:rPr>
                <w:rFonts w:ascii="Arial" w:hAnsi="Arial" w:cs="Arial"/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5032" w:type="dxa"/>
            <w:shd w:val="clear" w:color="auto" w:fill="95B3D7" w:themeFill="accent1" w:themeFillTint="99"/>
            <w:vAlign w:val="center"/>
          </w:tcPr>
          <w:p w:rsidR="002D0CDF" w:rsidRPr="00C63229" w:rsidRDefault="002D0CDF" w:rsidP="0074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229">
              <w:rPr>
                <w:rFonts w:ascii="Arial" w:hAnsi="Arial" w:cs="Arial"/>
                <w:b/>
                <w:bCs/>
                <w:sz w:val="22"/>
                <w:szCs w:val="22"/>
              </w:rPr>
              <w:t>Účetní hodnota</w:t>
            </w:r>
          </w:p>
        </w:tc>
      </w:tr>
      <w:tr w:rsidR="002D0CDF" w:rsidRPr="0015047E" w:rsidTr="0015654B">
        <w:trPr>
          <w:trHeight w:val="283"/>
        </w:trPr>
        <w:tc>
          <w:tcPr>
            <w:tcW w:w="4040" w:type="dxa"/>
            <w:vAlign w:val="center"/>
          </w:tcPr>
          <w:p w:rsidR="002D0CDF" w:rsidRPr="00C63229" w:rsidRDefault="002D0CDF" w:rsidP="00741C30">
            <w:pPr>
              <w:rPr>
                <w:rFonts w:ascii="Arial" w:hAnsi="Arial" w:cs="Arial"/>
                <w:sz w:val="22"/>
                <w:szCs w:val="22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Aktiva (netto)</w:t>
            </w:r>
          </w:p>
        </w:tc>
        <w:tc>
          <w:tcPr>
            <w:tcW w:w="5032" w:type="dxa"/>
            <w:tcMar>
              <w:right w:w="57" w:type="dxa"/>
            </w:tcMar>
            <w:vAlign w:val="center"/>
          </w:tcPr>
          <w:p w:rsidR="002D0CDF" w:rsidRPr="00C63229" w:rsidRDefault="002D0CDF" w:rsidP="0015654B">
            <w:pPr>
              <w:ind w:firstLine="142"/>
              <w:jc w:val="right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15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6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569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645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799</w:t>
            </w:r>
            <w:r w:rsidRPr="00C63229">
              <w:rPr>
                <w:rFonts w:ascii="Arial" w:hAnsi="Arial" w:cs="Arial"/>
                <w:sz w:val="22"/>
                <w:szCs w:val="22"/>
              </w:rPr>
              <w:t>,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2D0CDF" w:rsidRPr="0015047E" w:rsidTr="0015654B">
        <w:trPr>
          <w:trHeight w:val="283"/>
        </w:trPr>
        <w:tc>
          <w:tcPr>
            <w:tcW w:w="4040" w:type="dxa"/>
            <w:vAlign w:val="center"/>
          </w:tcPr>
          <w:p w:rsidR="002D0CDF" w:rsidRPr="00C63229" w:rsidRDefault="002D0CDF" w:rsidP="00741C30">
            <w:pPr>
              <w:rPr>
                <w:rFonts w:ascii="Arial" w:hAnsi="Arial" w:cs="Arial"/>
                <w:sz w:val="22"/>
                <w:szCs w:val="22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Pasiva</w:t>
            </w:r>
          </w:p>
        </w:tc>
        <w:tc>
          <w:tcPr>
            <w:tcW w:w="5032" w:type="dxa"/>
            <w:tcMar>
              <w:right w:w="57" w:type="dxa"/>
            </w:tcMar>
            <w:vAlign w:val="center"/>
          </w:tcPr>
          <w:p w:rsidR="002D0CDF" w:rsidRPr="00C63229" w:rsidRDefault="002D0CDF" w:rsidP="0015654B">
            <w:pPr>
              <w:ind w:firstLine="142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15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6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569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645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799</w:t>
            </w:r>
            <w:r w:rsidRPr="00C63229">
              <w:rPr>
                <w:rFonts w:ascii="Arial" w:hAnsi="Arial" w:cs="Arial"/>
                <w:sz w:val="22"/>
                <w:szCs w:val="22"/>
              </w:rPr>
              <w:t>,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2D0CDF" w:rsidRPr="0015047E" w:rsidTr="0015654B">
        <w:trPr>
          <w:trHeight w:val="283"/>
        </w:trPr>
        <w:tc>
          <w:tcPr>
            <w:tcW w:w="4040" w:type="dxa"/>
            <w:vAlign w:val="center"/>
          </w:tcPr>
          <w:p w:rsidR="002D0CDF" w:rsidRPr="00C63229" w:rsidRDefault="002D0CDF" w:rsidP="00741C30">
            <w:pPr>
              <w:rPr>
                <w:rFonts w:ascii="Arial" w:hAnsi="Arial" w:cs="Arial"/>
                <w:sz w:val="22"/>
                <w:szCs w:val="22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Náklady</w:t>
            </w:r>
          </w:p>
        </w:tc>
        <w:tc>
          <w:tcPr>
            <w:tcW w:w="5032" w:type="dxa"/>
            <w:tcMar>
              <w:right w:w="57" w:type="dxa"/>
            </w:tcMar>
            <w:vAlign w:val="center"/>
          </w:tcPr>
          <w:p w:rsidR="002D0CDF" w:rsidRPr="00C63229" w:rsidRDefault="002D0CDF" w:rsidP="0015654B">
            <w:pPr>
              <w:ind w:firstLine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12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0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047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335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377</w:t>
            </w:r>
            <w:r w:rsidRPr="00C63229">
              <w:rPr>
                <w:rFonts w:ascii="Arial" w:hAnsi="Arial" w:cs="Arial"/>
                <w:sz w:val="22"/>
                <w:szCs w:val="22"/>
              </w:rPr>
              <w:t>,</w:t>
            </w:r>
            <w:r w:rsidR="00F52CE0" w:rsidRPr="00C6322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2D0CDF" w:rsidRPr="0015047E" w:rsidTr="0015654B">
        <w:trPr>
          <w:trHeight w:val="283"/>
        </w:trPr>
        <w:tc>
          <w:tcPr>
            <w:tcW w:w="4040" w:type="dxa"/>
            <w:vAlign w:val="center"/>
          </w:tcPr>
          <w:p w:rsidR="002D0CDF" w:rsidRPr="00C63229" w:rsidRDefault="002D0CDF" w:rsidP="00741C30">
            <w:pPr>
              <w:rPr>
                <w:rFonts w:ascii="Arial" w:hAnsi="Arial" w:cs="Arial"/>
                <w:sz w:val="22"/>
                <w:szCs w:val="22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Výnosy</w:t>
            </w:r>
          </w:p>
        </w:tc>
        <w:tc>
          <w:tcPr>
            <w:tcW w:w="5032" w:type="dxa"/>
            <w:tcMar>
              <w:right w:w="57" w:type="dxa"/>
            </w:tcMar>
            <w:vAlign w:val="center"/>
          </w:tcPr>
          <w:p w:rsidR="002D0CDF" w:rsidRPr="00C63229" w:rsidRDefault="00F52CE0" w:rsidP="0015654B">
            <w:pPr>
              <w:ind w:firstLine="142"/>
              <w:jc w:val="right"/>
              <w:rPr>
                <w:rFonts w:ascii="Arial" w:hAnsi="Arial" w:cs="Arial"/>
                <w:sz w:val="22"/>
                <w:szCs w:val="22"/>
                <w:highlight w:val="green"/>
                <w:vertAlign w:val="superscript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691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229">
              <w:rPr>
                <w:rFonts w:ascii="Arial" w:hAnsi="Arial" w:cs="Arial"/>
                <w:sz w:val="22"/>
                <w:szCs w:val="22"/>
              </w:rPr>
              <w:t>811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229">
              <w:rPr>
                <w:rFonts w:ascii="Arial" w:hAnsi="Arial" w:cs="Arial"/>
                <w:sz w:val="22"/>
                <w:szCs w:val="22"/>
              </w:rPr>
              <w:t>548</w:t>
            </w:r>
            <w:r w:rsidR="002D0CDF" w:rsidRPr="00C63229">
              <w:rPr>
                <w:rFonts w:ascii="Arial" w:hAnsi="Arial" w:cs="Arial"/>
                <w:sz w:val="22"/>
                <w:szCs w:val="22"/>
              </w:rPr>
              <w:t>,</w:t>
            </w:r>
            <w:r w:rsidRPr="00C63229"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</w:tbl>
    <w:p w:rsidR="002D0CDF" w:rsidRPr="00F52CE0" w:rsidRDefault="002D0CDF" w:rsidP="00741C30">
      <w:pPr>
        <w:pStyle w:val="NormlnKZ"/>
        <w:spacing w:before="40" w:after="0"/>
        <w:ind w:firstLine="0"/>
        <w:rPr>
          <w:rFonts w:ascii="Arial" w:hAnsi="Arial" w:cs="Arial"/>
          <w:b/>
          <w:szCs w:val="22"/>
        </w:rPr>
      </w:pPr>
      <w:r w:rsidRPr="00F52CE0">
        <w:rPr>
          <w:rFonts w:ascii="Arial" w:hAnsi="Arial" w:cs="Arial"/>
          <w:b/>
          <w:sz w:val="18"/>
          <w:szCs w:val="18"/>
        </w:rPr>
        <w:t>Zdroj:</w:t>
      </w:r>
      <w:r w:rsidRPr="00F52CE0">
        <w:rPr>
          <w:rFonts w:ascii="Arial" w:hAnsi="Arial" w:cs="Arial"/>
          <w:sz w:val="18"/>
          <w:szCs w:val="18"/>
        </w:rPr>
        <w:t xml:space="preserve"> </w:t>
      </w:r>
      <w:r w:rsidR="00373830" w:rsidRPr="00F52CE0">
        <w:rPr>
          <w:rFonts w:ascii="Arial" w:hAnsi="Arial" w:cs="Arial"/>
          <w:sz w:val="18"/>
          <w:szCs w:val="18"/>
        </w:rPr>
        <w:t>ú</w:t>
      </w:r>
      <w:r w:rsidRPr="00F52CE0">
        <w:rPr>
          <w:rFonts w:ascii="Arial" w:hAnsi="Arial" w:cs="Arial"/>
          <w:sz w:val="18"/>
          <w:szCs w:val="18"/>
        </w:rPr>
        <w:t xml:space="preserve">četní závěrka MŠMT </w:t>
      </w:r>
      <w:r w:rsidR="00765F23">
        <w:rPr>
          <w:rFonts w:ascii="Arial" w:hAnsi="Arial" w:cs="Arial"/>
          <w:sz w:val="18"/>
          <w:szCs w:val="18"/>
        </w:rPr>
        <w:t>k </w:t>
      </w:r>
      <w:r w:rsidRPr="00F52CE0">
        <w:rPr>
          <w:rFonts w:ascii="Arial" w:hAnsi="Arial" w:cs="Arial"/>
          <w:sz w:val="18"/>
          <w:szCs w:val="18"/>
        </w:rPr>
        <w:t>31. prosinci 201</w:t>
      </w:r>
      <w:r w:rsidR="00F52CE0" w:rsidRPr="00F52CE0">
        <w:rPr>
          <w:rFonts w:ascii="Arial" w:hAnsi="Arial" w:cs="Arial"/>
          <w:sz w:val="18"/>
          <w:szCs w:val="18"/>
        </w:rPr>
        <w:t>2</w:t>
      </w:r>
      <w:r w:rsidRPr="00F52CE0">
        <w:rPr>
          <w:rFonts w:ascii="Arial" w:hAnsi="Arial" w:cs="Arial"/>
          <w:szCs w:val="22"/>
        </w:rPr>
        <w:t>.</w:t>
      </w:r>
    </w:p>
    <w:p w:rsidR="002D0CDF" w:rsidRPr="0015047E" w:rsidRDefault="002D0CDF" w:rsidP="00C369C1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787F8C" w:rsidRDefault="00264159" w:rsidP="00E50173">
      <w:pPr>
        <w:pStyle w:val="Titulek"/>
        <w:tabs>
          <w:tab w:val="left" w:pos="8364"/>
        </w:tabs>
        <w:spacing w:before="0" w:after="40"/>
        <w:ind w:right="-284"/>
        <w:rPr>
          <w:rFonts w:ascii="Arial" w:hAnsi="Arial" w:cs="Arial"/>
          <w:i/>
          <w:iCs/>
          <w:sz w:val="22"/>
          <w:szCs w:val="22"/>
        </w:rPr>
      </w:pPr>
      <w:r w:rsidRPr="00F52CE0">
        <w:rPr>
          <w:rFonts w:ascii="Arial" w:hAnsi="Arial" w:cs="Arial"/>
          <w:bCs w:val="0"/>
          <w:sz w:val="22"/>
          <w:szCs w:val="22"/>
        </w:rPr>
        <w:t xml:space="preserve">Tabulka č. </w:t>
      </w:r>
      <w:r w:rsidR="002D0CDF" w:rsidRPr="00F52CE0">
        <w:rPr>
          <w:rFonts w:ascii="Arial" w:hAnsi="Arial" w:cs="Arial"/>
          <w:bCs w:val="0"/>
          <w:sz w:val="22"/>
          <w:szCs w:val="22"/>
        </w:rPr>
        <w:t>2</w:t>
      </w:r>
      <w:r w:rsidRPr="00F52CE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52CE0">
        <w:rPr>
          <w:rFonts w:ascii="Arial" w:hAnsi="Arial" w:cs="Arial"/>
          <w:bCs w:val="0"/>
          <w:sz w:val="22"/>
          <w:szCs w:val="22"/>
        </w:rPr>
        <w:t>–</w:t>
      </w:r>
      <w:r w:rsidRPr="00F52CE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52CE0">
        <w:rPr>
          <w:rFonts w:ascii="Arial" w:hAnsi="Arial" w:cs="Arial"/>
          <w:sz w:val="22"/>
          <w:szCs w:val="22"/>
        </w:rPr>
        <w:t>Údaje za běžné</w:t>
      </w:r>
      <w:r w:rsidR="004029FE">
        <w:rPr>
          <w:rFonts w:ascii="Arial" w:hAnsi="Arial" w:cs="Arial"/>
          <w:sz w:val="22"/>
          <w:szCs w:val="22"/>
        </w:rPr>
        <w:t xml:space="preserve"> účetní</w:t>
      </w:r>
      <w:r w:rsidRPr="00F52CE0">
        <w:rPr>
          <w:rFonts w:ascii="Arial" w:hAnsi="Arial" w:cs="Arial"/>
          <w:sz w:val="22"/>
          <w:szCs w:val="22"/>
        </w:rPr>
        <w:t xml:space="preserve"> období</w:t>
      </w:r>
      <w:r w:rsidRPr="00F52CE0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F52CE0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z </w:t>
      </w:r>
      <w:r w:rsidRPr="00F52CE0">
        <w:rPr>
          <w:rFonts w:ascii="Arial" w:hAnsi="Arial" w:cs="Arial"/>
          <w:sz w:val="22"/>
          <w:szCs w:val="22"/>
        </w:rPr>
        <w:t xml:space="preserve">výkazu </w:t>
      </w:r>
      <w:r w:rsidR="00646D32" w:rsidRPr="00F52CE0">
        <w:rPr>
          <w:rFonts w:ascii="Arial" w:hAnsi="Arial" w:cs="Arial"/>
          <w:iCs/>
          <w:sz w:val="22"/>
          <w:szCs w:val="22"/>
        </w:rPr>
        <w:t>r</w:t>
      </w:r>
      <w:r w:rsidRPr="00F52CE0">
        <w:rPr>
          <w:rFonts w:ascii="Arial" w:hAnsi="Arial" w:cs="Arial"/>
          <w:iCs/>
          <w:sz w:val="22"/>
          <w:szCs w:val="22"/>
        </w:rPr>
        <w:t>ozvaha</w:t>
      </w:r>
      <w:r w:rsidRPr="00F52CE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64159" w:rsidRPr="00F52CE0" w:rsidRDefault="00765F23" w:rsidP="002C1D6E">
      <w:pPr>
        <w:pStyle w:val="Titulek"/>
        <w:tabs>
          <w:tab w:val="right" w:pos="9072"/>
        </w:tabs>
        <w:spacing w:before="0" w:after="40"/>
        <w:ind w:left="1531" w:right="-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r w:rsidR="00F52CE0">
        <w:rPr>
          <w:rFonts w:ascii="Arial" w:hAnsi="Arial" w:cs="Arial"/>
          <w:sz w:val="22"/>
          <w:szCs w:val="22"/>
        </w:rPr>
        <w:t>31. prosinci 2012</w:t>
      </w:r>
      <w:r w:rsidR="00D63F5F" w:rsidRPr="00F52CE0">
        <w:rPr>
          <w:rFonts w:ascii="Arial" w:hAnsi="Arial" w:cs="Arial"/>
          <w:sz w:val="22"/>
          <w:szCs w:val="22"/>
        </w:rPr>
        <w:t xml:space="preserve"> </w:t>
      </w:r>
      <w:r w:rsidR="00741C30" w:rsidRPr="00F52CE0">
        <w:rPr>
          <w:rFonts w:ascii="Arial" w:hAnsi="Arial" w:cs="Arial"/>
          <w:sz w:val="22"/>
          <w:szCs w:val="22"/>
        </w:rPr>
        <w:tab/>
      </w:r>
      <w:r w:rsidR="00264159" w:rsidRPr="00F52CE0">
        <w:rPr>
          <w:rFonts w:ascii="Arial" w:hAnsi="Arial" w:cs="Arial"/>
          <w:sz w:val="22"/>
          <w:szCs w:val="22"/>
        </w:rPr>
        <w:t>(v Kč)</w:t>
      </w:r>
    </w:p>
    <w:tbl>
      <w:tblPr>
        <w:tblW w:w="9058" w:type="dxa"/>
        <w:jc w:val="center"/>
        <w:tblInd w:w="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1559"/>
        <w:gridCol w:w="1559"/>
        <w:gridCol w:w="1411"/>
        <w:gridCol w:w="1559"/>
        <w:gridCol w:w="1559"/>
      </w:tblGrid>
      <w:tr w:rsidR="00264159" w:rsidRPr="0015047E" w:rsidTr="00E50173">
        <w:trPr>
          <w:trHeight w:val="283"/>
          <w:jc w:val="center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64159" w:rsidRPr="00E50173" w:rsidRDefault="00264159" w:rsidP="003B4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543">
              <w:rPr>
                <w:rFonts w:ascii="Arial" w:hAnsi="Arial" w:cs="Arial"/>
                <w:b/>
                <w:bCs/>
                <w:sz w:val="18"/>
                <w:szCs w:val="18"/>
              </w:rPr>
              <w:t>Aktiva (v netto hodnotě)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64159" w:rsidRPr="00E50173" w:rsidRDefault="00264159" w:rsidP="003B4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Pasiva </w:t>
            </w:r>
          </w:p>
        </w:tc>
      </w:tr>
      <w:tr w:rsidR="00264159" w:rsidRPr="0015047E" w:rsidTr="00E50173">
        <w:trPr>
          <w:trHeight w:val="28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64159" w:rsidRPr="00E50173" w:rsidRDefault="00992D6C" w:rsidP="003B4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7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264159" w:rsidRPr="00E50173">
              <w:rPr>
                <w:rFonts w:ascii="Arial" w:hAnsi="Arial" w:cs="Arial"/>
                <w:b/>
                <w:bCs/>
                <w:sz w:val="18"/>
                <w:szCs w:val="18"/>
              </w:rPr>
              <w:t>tálá aktiva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64159" w:rsidRPr="00E50173" w:rsidRDefault="00992D6C" w:rsidP="003B4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73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264159" w:rsidRPr="00E50173">
              <w:rPr>
                <w:rFonts w:ascii="Arial" w:hAnsi="Arial" w:cs="Arial"/>
                <w:b/>
                <w:bCs/>
                <w:sz w:val="18"/>
                <w:szCs w:val="18"/>
              </w:rPr>
              <w:t>běžná aktiva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64159" w:rsidRPr="00E50173" w:rsidRDefault="00992D6C" w:rsidP="003B4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7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64159" w:rsidRPr="00E50173">
              <w:rPr>
                <w:rFonts w:ascii="Arial" w:hAnsi="Arial" w:cs="Arial"/>
                <w:b/>
                <w:bCs/>
                <w:sz w:val="18"/>
                <w:szCs w:val="18"/>
              </w:rPr>
              <w:t>ktiva celkem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64159" w:rsidRPr="00E50173" w:rsidRDefault="00992D6C" w:rsidP="00EE4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73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264159" w:rsidRPr="00E50173">
              <w:rPr>
                <w:rFonts w:ascii="Arial" w:hAnsi="Arial" w:cs="Arial"/>
                <w:b/>
                <w:bCs/>
                <w:sz w:val="18"/>
                <w:szCs w:val="18"/>
              </w:rPr>
              <w:t>lastní kapitál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64159" w:rsidRPr="00E50173" w:rsidRDefault="00992D6C" w:rsidP="00EE4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73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264159" w:rsidRPr="00E50173">
              <w:rPr>
                <w:rFonts w:ascii="Arial" w:hAnsi="Arial" w:cs="Arial"/>
                <w:b/>
                <w:bCs/>
                <w:sz w:val="18"/>
                <w:szCs w:val="18"/>
              </w:rPr>
              <w:t>izí zdroje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64159" w:rsidRPr="00E50173" w:rsidRDefault="00992D6C" w:rsidP="003B4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73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264159" w:rsidRPr="00E50173">
              <w:rPr>
                <w:rFonts w:ascii="Arial" w:hAnsi="Arial" w:cs="Arial"/>
                <w:b/>
                <w:bCs/>
                <w:sz w:val="18"/>
                <w:szCs w:val="18"/>
              </w:rPr>
              <w:t>asiva celkem</w:t>
            </w:r>
          </w:p>
        </w:tc>
      </w:tr>
      <w:tr w:rsidR="00264159" w:rsidRPr="0015047E" w:rsidTr="00E50173">
        <w:trPr>
          <w:trHeight w:val="28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15047E" w:rsidRDefault="00F52CE0" w:rsidP="00F52CE0">
            <w:pPr>
              <w:jc w:val="right"/>
              <w:rPr>
                <w:rFonts w:ascii="Arial" w:hAnsi="Arial" w:cs="Arial"/>
                <w:sz w:val="15"/>
                <w:szCs w:val="15"/>
                <w:highlight w:val="green"/>
              </w:rPr>
            </w:pPr>
            <w:r w:rsidRPr="00F52CE0">
              <w:rPr>
                <w:rFonts w:ascii="Arial" w:hAnsi="Arial" w:cs="Arial"/>
                <w:sz w:val="15"/>
                <w:szCs w:val="15"/>
              </w:rPr>
              <w:t>35</w:t>
            </w:r>
            <w:r w:rsidR="005F310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52CE0">
              <w:rPr>
                <w:rFonts w:ascii="Arial" w:hAnsi="Arial" w:cs="Arial"/>
                <w:sz w:val="15"/>
                <w:szCs w:val="15"/>
              </w:rPr>
              <w:t>651</w:t>
            </w:r>
            <w:r w:rsidR="005F310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52CE0">
              <w:rPr>
                <w:rFonts w:ascii="Arial" w:hAnsi="Arial" w:cs="Arial"/>
                <w:sz w:val="15"/>
                <w:szCs w:val="15"/>
              </w:rPr>
              <w:t>905</w:t>
            </w:r>
            <w:r w:rsidR="005F310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52CE0">
              <w:rPr>
                <w:rFonts w:ascii="Arial" w:hAnsi="Arial" w:cs="Arial"/>
                <w:sz w:val="15"/>
                <w:szCs w:val="15"/>
              </w:rPr>
              <w:t>685,50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470704" w:rsidRDefault="00264159" w:rsidP="0047070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70704">
              <w:rPr>
                <w:rFonts w:ascii="Arial" w:hAnsi="Arial" w:cs="Arial"/>
                <w:sz w:val="15"/>
                <w:szCs w:val="15"/>
              </w:rPr>
              <w:t>1</w:t>
            </w:r>
            <w:r w:rsidR="00470704" w:rsidRPr="00470704">
              <w:rPr>
                <w:rFonts w:ascii="Arial" w:hAnsi="Arial" w:cs="Arial"/>
                <w:sz w:val="15"/>
                <w:szCs w:val="15"/>
              </w:rPr>
              <w:t>20</w:t>
            </w:r>
            <w:r w:rsidR="0001331E" w:rsidRPr="0047070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70704" w:rsidRPr="00470704">
              <w:rPr>
                <w:rFonts w:ascii="Arial" w:hAnsi="Arial" w:cs="Arial"/>
                <w:sz w:val="15"/>
                <w:szCs w:val="15"/>
              </w:rPr>
              <w:t>917</w:t>
            </w:r>
            <w:r w:rsidR="0001331E" w:rsidRPr="0047070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70704" w:rsidRPr="00470704">
              <w:rPr>
                <w:rFonts w:ascii="Arial" w:hAnsi="Arial" w:cs="Arial"/>
                <w:sz w:val="15"/>
                <w:szCs w:val="15"/>
              </w:rPr>
              <w:t>740</w:t>
            </w:r>
            <w:r w:rsidR="0001331E" w:rsidRPr="0047070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70704" w:rsidRPr="00470704">
              <w:rPr>
                <w:rFonts w:ascii="Arial" w:hAnsi="Arial" w:cs="Arial"/>
                <w:sz w:val="15"/>
                <w:szCs w:val="15"/>
              </w:rPr>
              <w:t>113</w:t>
            </w:r>
            <w:r w:rsidRPr="00470704">
              <w:rPr>
                <w:rFonts w:ascii="Arial" w:hAnsi="Arial" w:cs="Arial"/>
                <w:sz w:val="15"/>
                <w:szCs w:val="15"/>
              </w:rPr>
              <w:t>,8</w:t>
            </w:r>
            <w:r w:rsidR="00470704" w:rsidRPr="00470704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470704" w:rsidRDefault="00F52CE0" w:rsidP="00F52CE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70704">
              <w:rPr>
                <w:rFonts w:ascii="Arial" w:hAnsi="Arial" w:cs="Arial"/>
                <w:sz w:val="15"/>
                <w:szCs w:val="15"/>
              </w:rPr>
              <w:t>156</w:t>
            </w:r>
            <w:r w:rsidR="0001331E" w:rsidRPr="0047070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70704">
              <w:rPr>
                <w:rFonts w:ascii="Arial" w:hAnsi="Arial" w:cs="Arial"/>
                <w:sz w:val="15"/>
                <w:szCs w:val="15"/>
              </w:rPr>
              <w:t>569</w:t>
            </w:r>
            <w:r w:rsidR="0001331E" w:rsidRPr="0047070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70704">
              <w:rPr>
                <w:rFonts w:ascii="Arial" w:hAnsi="Arial" w:cs="Arial"/>
                <w:sz w:val="15"/>
                <w:szCs w:val="15"/>
              </w:rPr>
              <w:t>645</w:t>
            </w:r>
            <w:r w:rsidR="0001331E" w:rsidRPr="0047070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70704">
              <w:rPr>
                <w:rFonts w:ascii="Arial" w:hAnsi="Arial" w:cs="Arial"/>
                <w:sz w:val="15"/>
                <w:szCs w:val="15"/>
              </w:rPr>
              <w:t>799</w:t>
            </w:r>
            <w:r w:rsidR="00264159" w:rsidRPr="00470704">
              <w:rPr>
                <w:rFonts w:ascii="Arial" w:hAnsi="Arial" w:cs="Arial"/>
                <w:sz w:val="15"/>
                <w:szCs w:val="15"/>
              </w:rPr>
              <w:t>,</w:t>
            </w:r>
            <w:r w:rsidRPr="00470704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15047E" w:rsidRDefault="00470704" w:rsidP="00470704">
            <w:pPr>
              <w:jc w:val="right"/>
              <w:rPr>
                <w:rFonts w:ascii="Arial" w:hAnsi="Arial" w:cs="Arial"/>
                <w:sz w:val="15"/>
                <w:szCs w:val="15"/>
                <w:highlight w:val="green"/>
              </w:rPr>
            </w:pPr>
            <w:r w:rsidRPr="00470704">
              <w:rPr>
                <w:rFonts w:ascii="Arial" w:hAnsi="Arial" w:cs="Arial"/>
                <w:sz w:val="15"/>
                <w:szCs w:val="15"/>
              </w:rPr>
              <w:t>33</w:t>
            </w:r>
            <w:r w:rsidR="0001331E" w:rsidRPr="0047070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70704">
              <w:rPr>
                <w:rFonts w:ascii="Arial" w:hAnsi="Arial" w:cs="Arial"/>
                <w:sz w:val="15"/>
                <w:szCs w:val="15"/>
              </w:rPr>
              <w:t>209</w:t>
            </w:r>
            <w:r w:rsidR="0001331E" w:rsidRPr="0047070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70704">
              <w:rPr>
                <w:rFonts w:ascii="Arial" w:hAnsi="Arial" w:cs="Arial"/>
                <w:sz w:val="15"/>
                <w:szCs w:val="15"/>
              </w:rPr>
              <w:t>528</w:t>
            </w:r>
            <w:r w:rsidR="0001331E" w:rsidRPr="0047070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70704">
              <w:rPr>
                <w:rFonts w:ascii="Arial" w:hAnsi="Arial" w:cs="Arial"/>
                <w:sz w:val="15"/>
                <w:szCs w:val="15"/>
              </w:rPr>
              <w:t>555</w:t>
            </w:r>
            <w:r w:rsidR="00264159" w:rsidRPr="00470704">
              <w:rPr>
                <w:rFonts w:ascii="Arial" w:hAnsi="Arial" w:cs="Arial"/>
                <w:sz w:val="15"/>
                <w:szCs w:val="15"/>
              </w:rPr>
              <w:t>,</w:t>
            </w:r>
            <w:r w:rsidRPr="00470704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15047E" w:rsidRDefault="00470704" w:rsidP="00470704">
            <w:pPr>
              <w:jc w:val="right"/>
              <w:rPr>
                <w:rFonts w:ascii="Arial" w:hAnsi="Arial" w:cs="Arial"/>
                <w:sz w:val="15"/>
                <w:szCs w:val="15"/>
                <w:highlight w:val="green"/>
              </w:rPr>
            </w:pPr>
            <w:r w:rsidRPr="00470704">
              <w:rPr>
                <w:rFonts w:ascii="Arial" w:hAnsi="Arial" w:cs="Arial"/>
                <w:sz w:val="15"/>
                <w:szCs w:val="15"/>
              </w:rPr>
              <w:t>123 360</w:t>
            </w:r>
            <w:r w:rsidR="0001331E" w:rsidRPr="0047070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70704">
              <w:rPr>
                <w:rFonts w:ascii="Arial" w:hAnsi="Arial" w:cs="Arial"/>
                <w:sz w:val="15"/>
                <w:szCs w:val="15"/>
              </w:rPr>
              <w:t>117</w:t>
            </w:r>
            <w:r w:rsidR="0001331E" w:rsidRPr="0047070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70704">
              <w:rPr>
                <w:rFonts w:ascii="Arial" w:hAnsi="Arial" w:cs="Arial"/>
                <w:sz w:val="15"/>
                <w:szCs w:val="15"/>
              </w:rPr>
              <w:t>244</w:t>
            </w:r>
            <w:r w:rsidR="00264159" w:rsidRPr="00470704">
              <w:rPr>
                <w:rFonts w:ascii="Arial" w:hAnsi="Arial" w:cs="Arial"/>
                <w:sz w:val="15"/>
                <w:szCs w:val="15"/>
              </w:rPr>
              <w:t>,</w:t>
            </w:r>
            <w:r w:rsidRPr="00470704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15047E" w:rsidRDefault="00264159" w:rsidP="00F52CE0">
            <w:pPr>
              <w:jc w:val="right"/>
              <w:rPr>
                <w:rFonts w:ascii="Arial" w:hAnsi="Arial" w:cs="Arial"/>
                <w:sz w:val="15"/>
                <w:szCs w:val="15"/>
                <w:highlight w:val="green"/>
              </w:rPr>
            </w:pPr>
            <w:r w:rsidRPr="00F52CE0">
              <w:rPr>
                <w:rFonts w:ascii="Arial" w:hAnsi="Arial" w:cs="Arial"/>
                <w:sz w:val="15"/>
                <w:szCs w:val="15"/>
              </w:rPr>
              <w:t>15</w:t>
            </w:r>
            <w:r w:rsidR="00F52CE0" w:rsidRPr="00F52CE0">
              <w:rPr>
                <w:rFonts w:ascii="Arial" w:hAnsi="Arial" w:cs="Arial"/>
                <w:sz w:val="15"/>
                <w:szCs w:val="15"/>
              </w:rPr>
              <w:t>6</w:t>
            </w:r>
            <w:r w:rsidR="0001331E" w:rsidRPr="00F52CE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52CE0" w:rsidRPr="00F52CE0">
              <w:rPr>
                <w:rFonts w:ascii="Arial" w:hAnsi="Arial" w:cs="Arial"/>
                <w:sz w:val="15"/>
                <w:szCs w:val="15"/>
              </w:rPr>
              <w:t>569</w:t>
            </w:r>
            <w:r w:rsidR="0001331E" w:rsidRPr="00F52CE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52CE0" w:rsidRPr="00F52CE0">
              <w:rPr>
                <w:rFonts w:ascii="Arial" w:hAnsi="Arial" w:cs="Arial"/>
                <w:sz w:val="15"/>
                <w:szCs w:val="15"/>
              </w:rPr>
              <w:t>645</w:t>
            </w:r>
            <w:r w:rsidR="0001331E" w:rsidRPr="00F52CE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52CE0" w:rsidRPr="00F52CE0">
              <w:rPr>
                <w:rFonts w:ascii="Arial" w:hAnsi="Arial" w:cs="Arial"/>
                <w:sz w:val="15"/>
                <w:szCs w:val="15"/>
              </w:rPr>
              <w:t>799</w:t>
            </w:r>
            <w:r w:rsidRPr="00F52CE0">
              <w:rPr>
                <w:rFonts w:ascii="Arial" w:hAnsi="Arial" w:cs="Arial"/>
                <w:sz w:val="15"/>
                <w:szCs w:val="15"/>
              </w:rPr>
              <w:t>,</w:t>
            </w:r>
            <w:r w:rsidR="00F52CE0" w:rsidRPr="00F52CE0">
              <w:rPr>
                <w:rFonts w:ascii="Arial" w:hAnsi="Arial" w:cs="Arial"/>
                <w:sz w:val="15"/>
                <w:szCs w:val="15"/>
              </w:rPr>
              <w:t>34</w:t>
            </w:r>
          </w:p>
        </w:tc>
      </w:tr>
    </w:tbl>
    <w:p w:rsidR="00646D32" w:rsidRDefault="00264159" w:rsidP="007A35E3">
      <w:pPr>
        <w:spacing w:before="40"/>
        <w:rPr>
          <w:rFonts w:ascii="Arial" w:hAnsi="Arial" w:cs="Arial"/>
          <w:sz w:val="18"/>
          <w:szCs w:val="18"/>
          <w:lang w:eastAsia="cs-CZ"/>
        </w:rPr>
      </w:pPr>
      <w:r w:rsidRPr="00F52CE0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F52CE0">
        <w:rPr>
          <w:rFonts w:ascii="Arial" w:hAnsi="Arial" w:cs="Arial"/>
          <w:sz w:val="18"/>
          <w:szCs w:val="18"/>
          <w:lang w:eastAsia="cs-CZ"/>
        </w:rPr>
        <w:t xml:space="preserve"> </w:t>
      </w:r>
      <w:r w:rsidR="00373830" w:rsidRPr="00F52CE0">
        <w:rPr>
          <w:rFonts w:ascii="Arial" w:hAnsi="Arial" w:cs="Arial"/>
          <w:sz w:val="18"/>
          <w:szCs w:val="18"/>
          <w:lang w:eastAsia="cs-CZ"/>
        </w:rPr>
        <w:t>ú</w:t>
      </w:r>
      <w:r w:rsidRPr="00F52CE0">
        <w:rPr>
          <w:rFonts w:ascii="Arial" w:hAnsi="Arial" w:cs="Arial"/>
          <w:sz w:val="18"/>
          <w:szCs w:val="18"/>
          <w:lang w:eastAsia="cs-CZ"/>
        </w:rPr>
        <w:t xml:space="preserve">četní závěrka MŠMT </w:t>
      </w:r>
      <w:r w:rsidR="00765F23">
        <w:rPr>
          <w:rFonts w:ascii="Arial" w:hAnsi="Arial" w:cs="Arial"/>
          <w:sz w:val="18"/>
          <w:szCs w:val="18"/>
          <w:lang w:eastAsia="cs-CZ"/>
        </w:rPr>
        <w:t>k </w:t>
      </w:r>
      <w:r w:rsidRPr="00F52CE0">
        <w:rPr>
          <w:rFonts w:ascii="Arial" w:hAnsi="Arial" w:cs="Arial"/>
          <w:sz w:val="18"/>
          <w:szCs w:val="18"/>
          <w:lang w:eastAsia="cs-CZ"/>
        </w:rPr>
        <w:t>31. prosinci 201</w:t>
      </w:r>
      <w:r w:rsidR="00F52CE0" w:rsidRPr="00F52CE0">
        <w:rPr>
          <w:rFonts w:ascii="Arial" w:hAnsi="Arial" w:cs="Arial"/>
          <w:sz w:val="18"/>
          <w:szCs w:val="18"/>
          <w:lang w:eastAsia="cs-CZ"/>
        </w:rPr>
        <w:t>2</w:t>
      </w:r>
      <w:r w:rsidRPr="00F52CE0">
        <w:rPr>
          <w:rFonts w:ascii="Arial" w:hAnsi="Arial" w:cs="Arial"/>
          <w:sz w:val="18"/>
          <w:szCs w:val="18"/>
          <w:lang w:eastAsia="cs-CZ"/>
        </w:rPr>
        <w:t>.</w:t>
      </w:r>
    </w:p>
    <w:p w:rsidR="00B562E6" w:rsidRPr="00522146" w:rsidRDefault="00B562E6" w:rsidP="00522146">
      <w:pPr>
        <w:rPr>
          <w:rFonts w:ascii="Arial" w:hAnsi="Arial" w:cs="Arial"/>
          <w:sz w:val="22"/>
          <w:szCs w:val="22"/>
          <w:lang w:eastAsia="cs-CZ"/>
        </w:rPr>
      </w:pPr>
    </w:p>
    <w:p w:rsidR="00A40A97" w:rsidRDefault="00BC3592" w:rsidP="00891EC9">
      <w:pPr>
        <w:tabs>
          <w:tab w:val="left" w:pos="8505"/>
        </w:tabs>
        <w:spacing w:after="4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Na údaje</w:t>
      </w:r>
      <w:r w:rsidR="00446F2D">
        <w:rPr>
          <w:rFonts w:ascii="Arial" w:hAnsi="Arial" w:cs="Arial"/>
          <w:sz w:val="22"/>
          <w:szCs w:val="22"/>
          <w:lang w:eastAsia="cs-CZ"/>
        </w:rPr>
        <w:t xml:space="preserve"> vykázané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>
        <w:rPr>
          <w:rFonts w:ascii="Arial" w:hAnsi="Arial" w:cs="Arial"/>
          <w:sz w:val="22"/>
          <w:szCs w:val="22"/>
          <w:lang w:eastAsia="cs-CZ"/>
        </w:rPr>
        <w:t xml:space="preserve">ÚZ </w:t>
      </w:r>
      <w:r w:rsidR="00E16BA2">
        <w:rPr>
          <w:rFonts w:ascii="Arial" w:hAnsi="Arial" w:cs="Arial"/>
          <w:sz w:val="22"/>
          <w:szCs w:val="22"/>
          <w:lang w:eastAsia="cs-CZ"/>
        </w:rPr>
        <w:t xml:space="preserve">za </w:t>
      </w:r>
      <w:r>
        <w:rPr>
          <w:rFonts w:ascii="Arial" w:hAnsi="Arial" w:cs="Arial"/>
          <w:sz w:val="22"/>
          <w:szCs w:val="22"/>
          <w:lang w:eastAsia="cs-CZ"/>
        </w:rPr>
        <w:t>ro</w:t>
      </w:r>
      <w:r w:rsidR="00E16BA2">
        <w:rPr>
          <w:rFonts w:ascii="Arial" w:hAnsi="Arial" w:cs="Arial"/>
          <w:sz w:val="22"/>
          <w:szCs w:val="22"/>
          <w:lang w:eastAsia="cs-CZ"/>
        </w:rPr>
        <w:t>k</w:t>
      </w:r>
      <w:r>
        <w:rPr>
          <w:rFonts w:ascii="Arial" w:hAnsi="Arial" w:cs="Arial"/>
          <w:sz w:val="22"/>
          <w:szCs w:val="22"/>
          <w:lang w:eastAsia="cs-CZ"/>
        </w:rPr>
        <w:t xml:space="preserve"> 2012 měly v</w:t>
      </w:r>
      <w:r w:rsidR="00891EC9">
        <w:rPr>
          <w:rFonts w:ascii="Arial" w:hAnsi="Arial" w:cs="Arial"/>
          <w:sz w:val="22"/>
          <w:szCs w:val="22"/>
          <w:lang w:eastAsia="cs-CZ"/>
        </w:rPr>
        <w:t>ýznam</w:t>
      </w:r>
      <w:r w:rsidR="00D108CC">
        <w:rPr>
          <w:rFonts w:ascii="Arial" w:hAnsi="Arial" w:cs="Arial"/>
          <w:sz w:val="22"/>
          <w:szCs w:val="22"/>
          <w:lang w:eastAsia="cs-CZ"/>
        </w:rPr>
        <w:t xml:space="preserve">ný dopad </w:t>
      </w:r>
      <w:r>
        <w:rPr>
          <w:rFonts w:ascii="Arial" w:hAnsi="Arial" w:cs="Arial"/>
          <w:sz w:val="22"/>
          <w:szCs w:val="22"/>
          <w:lang w:eastAsia="cs-CZ"/>
        </w:rPr>
        <w:t>právními předpisy stanovené</w:t>
      </w:r>
      <w:r w:rsidR="00D108CC">
        <w:rPr>
          <w:rFonts w:ascii="Arial" w:hAnsi="Arial" w:cs="Arial"/>
          <w:sz w:val="22"/>
          <w:szCs w:val="22"/>
          <w:lang w:eastAsia="cs-CZ"/>
        </w:rPr>
        <w:t xml:space="preserve"> změny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891EC9">
        <w:rPr>
          <w:rFonts w:ascii="Arial" w:hAnsi="Arial" w:cs="Arial"/>
          <w:sz w:val="22"/>
          <w:szCs w:val="22"/>
          <w:lang w:eastAsia="cs-CZ"/>
        </w:rPr>
        <w:t>účtování a vykazování účetních informací</w:t>
      </w:r>
      <w:r w:rsidR="00446F2D">
        <w:rPr>
          <w:rFonts w:ascii="Arial" w:hAnsi="Arial" w:cs="Arial"/>
          <w:sz w:val="22"/>
          <w:szCs w:val="22"/>
          <w:lang w:eastAsia="cs-CZ"/>
        </w:rPr>
        <w:t xml:space="preserve"> u</w:t>
      </w:r>
      <w:r w:rsidR="00891EC9">
        <w:rPr>
          <w:rFonts w:ascii="Arial" w:hAnsi="Arial" w:cs="Arial"/>
          <w:sz w:val="22"/>
          <w:szCs w:val="22"/>
          <w:lang w:eastAsia="cs-CZ"/>
        </w:rPr>
        <w:t xml:space="preserve"> vybraný</w:t>
      </w:r>
      <w:r w:rsidR="00446F2D">
        <w:rPr>
          <w:rFonts w:ascii="Arial" w:hAnsi="Arial" w:cs="Arial"/>
          <w:sz w:val="22"/>
          <w:szCs w:val="22"/>
          <w:lang w:eastAsia="cs-CZ"/>
        </w:rPr>
        <w:t>ch</w:t>
      </w:r>
      <w:r w:rsidR="00891EC9">
        <w:rPr>
          <w:rFonts w:ascii="Arial" w:hAnsi="Arial" w:cs="Arial"/>
          <w:sz w:val="22"/>
          <w:szCs w:val="22"/>
          <w:lang w:eastAsia="cs-CZ"/>
        </w:rPr>
        <w:t xml:space="preserve"> účetní</w:t>
      </w:r>
      <w:r w:rsidR="00446F2D">
        <w:rPr>
          <w:rFonts w:ascii="Arial" w:hAnsi="Arial" w:cs="Arial"/>
          <w:sz w:val="22"/>
          <w:szCs w:val="22"/>
          <w:lang w:eastAsia="cs-CZ"/>
        </w:rPr>
        <w:t>ch</w:t>
      </w:r>
      <w:r w:rsidR="00891EC9">
        <w:rPr>
          <w:rFonts w:ascii="Arial" w:hAnsi="Arial" w:cs="Arial"/>
          <w:sz w:val="22"/>
          <w:szCs w:val="22"/>
          <w:lang w:eastAsia="cs-CZ"/>
        </w:rPr>
        <w:t xml:space="preserve"> jednot</w:t>
      </w:r>
      <w:r w:rsidR="00446F2D">
        <w:rPr>
          <w:rFonts w:ascii="Arial" w:hAnsi="Arial" w:cs="Arial"/>
          <w:sz w:val="22"/>
          <w:szCs w:val="22"/>
          <w:lang w:eastAsia="cs-CZ"/>
        </w:rPr>
        <w:t>e</w:t>
      </w:r>
      <w:r w:rsidR="00891EC9">
        <w:rPr>
          <w:rFonts w:ascii="Arial" w:hAnsi="Arial" w:cs="Arial"/>
          <w:sz w:val="22"/>
          <w:szCs w:val="22"/>
          <w:lang w:eastAsia="cs-CZ"/>
        </w:rPr>
        <w:t xml:space="preserve">k. </w:t>
      </w:r>
      <w:r w:rsidR="00D108CC">
        <w:rPr>
          <w:rFonts w:ascii="Arial" w:hAnsi="Arial" w:cs="Arial"/>
          <w:sz w:val="22"/>
          <w:szCs w:val="22"/>
          <w:lang w:eastAsia="cs-CZ"/>
        </w:rPr>
        <w:t xml:space="preserve">Změny ve vykazování </w:t>
      </w:r>
      <w:r w:rsidR="00E16BA2">
        <w:rPr>
          <w:rFonts w:ascii="Arial" w:hAnsi="Arial" w:cs="Arial"/>
          <w:sz w:val="22"/>
          <w:szCs w:val="22"/>
          <w:lang w:eastAsia="cs-CZ"/>
        </w:rPr>
        <w:t xml:space="preserve">byly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>
        <w:rPr>
          <w:rFonts w:ascii="Arial" w:hAnsi="Arial" w:cs="Arial"/>
          <w:sz w:val="22"/>
          <w:szCs w:val="22"/>
          <w:lang w:eastAsia="cs-CZ"/>
        </w:rPr>
        <w:t xml:space="preserve">roce 2012 </w:t>
      </w:r>
      <w:r w:rsidR="00E16BA2">
        <w:rPr>
          <w:rFonts w:ascii="Arial" w:hAnsi="Arial" w:cs="Arial"/>
          <w:sz w:val="22"/>
          <w:szCs w:val="22"/>
          <w:lang w:eastAsia="cs-CZ"/>
        </w:rPr>
        <w:t>(</w:t>
      </w:r>
      <w:r>
        <w:rPr>
          <w:rFonts w:ascii="Arial" w:hAnsi="Arial" w:cs="Arial"/>
          <w:sz w:val="22"/>
          <w:szCs w:val="22"/>
          <w:lang w:eastAsia="cs-CZ"/>
        </w:rPr>
        <w:t xml:space="preserve">stejně jako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>
        <w:rPr>
          <w:rFonts w:ascii="Arial" w:hAnsi="Arial" w:cs="Arial"/>
          <w:sz w:val="22"/>
          <w:szCs w:val="22"/>
          <w:lang w:eastAsia="cs-CZ"/>
        </w:rPr>
        <w:t>letech 2010 a 2011</w:t>
      </w:r>
      <w:r w:rsidR="00E16BA2">
        <w:rPr>
          <w:rFonts w:ascii="Arial" w:hAnsi="Arial" w:cs="Arial"/>
          <w:sz w:val="22"/>
          <w:szCs w:val="22"/>
          <w:lang w:eastAsia="cs-CZ"/>
        </w:rPr>
        <w:t>)</w:t>
      </w:r>
      <w:r w:rsidR="00392AC2">
        <w:rPr>
          <w:rFonts w:ascii="Arial" w:hAnsi="Arial" w:cs="Arial"/>
          <w:sz w:val="22"/>
          <w:szCs w:val="22"/>
          <w:lang w:eastAsia="cs-CZ"/>
        </w:rPr>
        <w:t xml:space="preserve"> významné a jejich znalost </w:t>
      </w:r>
      <w:r w:rsidR="00FF2F5D">
        <w:rPr>
          <w:rFonts w:ascii="Arial" w:hAnsi="Arial" w:cs="Arial"/>
          <w:sz w:val="22"/>
          <w:szCs w:val="22"/>
          <w:lang w:eastAsia="cs-CZ"/>
        </w:rPr>
        <w:t xml:space="preserve">je </w:t>
      </w:r>
      <w:r w:rsidR="00392AC2">
        <w:rPr>
          <w:rFonts w:ascii="Arial" w:hAnsi="Arial" w:cs="Arial"/>
          <w:sz w:val="22"/>
          <w:szCs w:val="22"/>
          <w:lang w:eastAsia="cs-CZ"/>
        </w:rPr>
        <w:t>pro správné meziroční srovnání vykazovaných účetních informací nezbytná</w:t>
      </w:r>
      <w:r w:rsidR="00784955">
        <w:rPr>
          <w:rStyle w:val="Znakapoznpodarou"/>
          <w:rFonts w:ascii="Arial" w:hAnsi="Arial" w:cs="Arial"/>
          <w:sz w:val="22"/>
          <w:szCs w:val="22"/>
          <w:lang w:eastAsia="cs-CZ"/>
        </w:rPr>
        <w:footnoteReference w:id="4"/>
      </w:r>
      <w:r w:rsidR="00392AC2">
        <w:rPr>
          <w:rFonts w:ascii="Arial" w:hAnsi="Arial" w:cs="Arial"/>
          <w:sz w:val="22"/>
          <w:szCs w:val="22"/>
          <w:lang w:eastAsia="cs-CZ"/>
        </w:rPr>
        <w:t>.</w:t>
      </w:r>
    </w:p>
    <w:p w:rsidR="00CB5150" w:rsidRDefault="00CB5150" w:rsidP="00862FC9">
      <w:pPr>
        <w:pStyle w:val="Titulek"/>
        <w:tabs>
          <w:tab w:val="left" w:pos="8505"/>
        </w:tabs>
        <w:spacing w:before="0" w:after="40"/>
        <w:ind w:right="-284"/>
        <w:rPr>
          <w:rFonts w:ascii="Arial" w:hAnsi="Arial" w:cs="Arial"/>
          <w:bCs w:val="0"/>
          <w:sz w:val="22"/>
          <w:szCs w:val="22"/>
        </w:rPr>
      </w:pPr>
    </w:p>
    <w:p w:rsidR="00862FC9" w:rsidRPr="00F52CE0" w:rsidRDefault="00862FC9" w:rsidP="005820FB">
      <w:pPr>
        <w:pStyle w:val="Titulek"/>
        <w:tabs>
          <w:tab w:val="left" w:pos="8505"/>
        </w:tabs>
        <w:spacing w:before="0" w:after="40"/>
        <w:ind w:right="-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Graf</w:t>
      </w:r>
      <w:r w:rsidRPr="00F52CE0">
        <w:rPr>
          <w:rFonts w:ascii="Arial" w:hAnsi="Arial" w:cs="Arial"/>
          <w:bCs w:val="0"/>
          <w:sz w:val="22"/>
          <w:szCs w:val="22"/>
        </w:rPr>
        <w:t xml:space="preserve"> č. </w:t>
      </w:r>
      <w:r>
        <w:rPr>
          <w:rFonts w:ascii="Arial" w:hAnsi="Arial" w:cs="Arial"/>
          <w:bCs w:val="0"/>
          <w:sz w:val="22"/>
          <w:szCs w:val="22"/>
        </w:rPr>
        <w:t>1</w:t>
      </w:r>
      <w:r w:rsidRPr="00F52CE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52CE0">
        <w:rPr>
          <w:rFonts w:ascii="Arial" w:hAnsi="Arial" w:cs="Arial"/>
          <w:bCs w:val="0"/>
          <w:sz w:val="22"/>
          <w:szCs w:val="22"/>
        </w:rPr>
        <w:t>–</w:t>
      </w:r>
      <w:r>
        <w:rPr>
          <w:rFonts w:ascii="Arial" w:hAnsi="Arial" w:cs="Arial"/>
          <w:bCs w:val="0"/>
          <w:sz w:val="22"/>
          <w:szCs w:val="22"/>
        </w:rPr>
        <w:t xml:space="preserve"> Vývoj struktury aktiv MŠMT</w:t>
      </w:r>
    </w:p>
    <w:p w:rsidR="00891EC9" w:rsidRDefault="00862FC9" w:rsidP="00522146">
      <w:pPr>
        <w:tabs>
          <w:tab w:val="left" w:pos="8505"/>
        </w:tabs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70629B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514F8DDB" wp14:editId="7401E79E">
            <wp:extent cx="5759450" cy="25927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č. 1, bez des. mís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EC9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A40A97" w:rsidRDefault="00B665CE" w:rsidP="00522146">
      <w:pPr>
        <w:tabs>
          <w:tab w:val="left" w:pos="8505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B665CE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B665CE">
        <w:rPr>
          <w:rFonts w:ascii="Arial" w:hAnsi="Arial" w:cs="Arial"/>
          <w:sz w:val="18"/>
          <w:szCs w:val="18"/>
          <w:lang w:eastAsia="cs-CZ"/>
        </w:rPr>
        <w:t xml:space="preserve"> </w:t>
      </w:r>
      <w:r w:rsidR="00E16BA2">
        <w:rPr>
          <w:rFonts w:ascii="Arial" w:hAnsi="Arial" w:cs="Arial"/>
          <w:sz w:val="18"/>
          <w:szCs w:val="18"/>
        </w:rPr>
        <w:t>ú</w:t>
      </w:r>
      <w:r w:rsidR="0020166D">
        <w:rPr>
          <w:rFonts w:ascii="Arial" w:hAnsi="Arial" w:cs="Arial"/>
          <w:sz w:val="18"/>
          <w:szCs w:val="18"/>
        </w:rPr>
        <w:t>četní závěrky MŠMT</w:t>
      </w:r>
      <w:r w:rsidRPr="00B665CE">
        <w:rPr>
          <w:rFonts w:ascii="Arial" w:hAnsi="Arial" w:cs="Arial"/>
          <w:sz w:val="18"/>
          <w:szCs w:val="18"/>
        </w:rPr>
        <w:t>.</w:t>
      </w:r>
    </w:p>
    <w:p w:rsidR="00B665CE" w:rsidRDefault="00B665CE" w:rsidP="00522146">
      <w:pPr>
        <w:tabs>
          <w:tab w:val="left" w:pos="8505"/>
        </w:tabs>
        <w:jc w:val="both"/>
        <w:rPr>
          <w:rFonts w:ascii="Arial" w:hAnsi="Arial" w:cs="Arial"/>
          <w:sz w:val="22"/>
          <w:szCs w:val="22"/>
          <w:lang w:eastAsia="cs-CZ"/>
        </w:rPr>
      </w:pPr>
    </w:p>
    <w:p w:rsidR="00392AC2" w:rsidRDefault="00392AC2" w:rsidP="00891EC9">
      <w:pPr>
        <w:tabs>
          <w:tab w:val="left" w:pos="8505"/>
        </w:tabs>
        <w:spacing w:after="4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Vývoj struktury aktiv MŠMT zobrazuje nejen rozsah a obsah účetních případů MŠMT dle skutečností, které jsou předmětem účetnictví, ale zejména vliv účetních metod stanovených nově od roku 2010 pro vybrané účetní jednotky</w:t>
      </w:r>
      <w:r w:rsidR="00926375">
        <w:rPr>
          <w:rFonts w:ascii="Arial" w:hAnsi="Arial" w:cs="Arial"/>
          <w:sz w:val="22"/>
          <w:szCs w:val="22"/>
          <w:lang w:eastAsia="cs-CZ"/>
        </w:rPr>
        <w:t>.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B4433">
        <w:rPr>
          <w:rFonts w:ascii="Arial" w:hAnsi="Arial" w:cs="Arial"/>
          <w:sz w:val="22"/>
          <w:szCs w:val="22"/>
          <w:lang w:eastAsia="cs-CZ"/>
        </w:rPr>
        <w:t>Zejména jde o</w:t>
      </w:r>
      <w:r>
        <w:rPr>
          <w:rFonts w:ascii="Arial" w:hAnsi="Arial" w:cs="Arial"/>
          <w:sz w:val="22"/>
          <w:szCs w:val="22"/>
          <w:lang w:eastAsia="cs-CZ"/>
        </w:rPr>
        <w:t xml:space="preserve"> vykazování nových aktiv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>
        <w:rPr>
          <w:rFonts w:ascii="Arial" w:hAnsi="Arial" w:cs="Arial"/>
          <w:sz w:val="22"/>
          <w:szCs w:val="22"/>
          <w:lang w:eastAsia="cs-CZ"/>
        </w:rPr>
        <w:t>roce 2010 a 2011</w:t>
      </w:r>
      <w:r w:rsidR="00CB4433">
        <w:rPr>
          <w:rFonts w:ascii="Arial" w:hAnsi="Arial" w:cs="Arial"/>
          <w:sz w:val="22"/>
          <w:szCs w:val="22"/>
          <w:lang w:eastAsia="cs-CZ"/>
        </w:rPr>
        <w:t>. P</w:t>
      </w:r>
      <w:r>
        <w:rPr>
          <w:rFonts w:ascii="Arial" w:hAnsi="Arial" w:cs="Arial"/>
          <w:sz w:val="22"/>
          <w:szCs w:val="22"/>
          <w:lang w:eastAsia="cs-CZ"/>
        </w:rPr>
        <w:t xml:space="preserve">eněžní prostředky poskytnuté na transfery jsou do doby finančního vypořádání vykazovány </w:t>
      </w:r>
      <w:r w:rsidR="00CB4433">
        <w:rPr>
          <w:rFonts w:ascii="Arial" w:hAnsi="Arial" w:cs="Arial"/>
          <w:sz w:val="22"/>
          <w:szCs w:val="22"/>
          <w:lang w:eastAsia="cs-CZ"/>
        </w:rPr>
        <w:t xml:space="preserve">jako zálohy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>
        <w:rPr>
          <w:rFonts w:ascii="Arial" w:hAnsi="Arial" w:cs="Arial"/>
          <w:sz w:val="22"/>
          <w:szCs w:val="22"/>
          <w:lang w:eastAsia="cs-CZ"/>
        </w:rPr>
        <w:t>oběžných aktivech</w:t>
      </w:r>
      <w:r w:rsidR="00CB4433">
        <w:rPr>
          <w:rFonts w:ascii="Arial" w:hAnsi="Arial" w:cs="Arial"/>
          <w:sz w:val="22"/>
          <w:szCs w:val="22"/>
          <w:lang w:eastAsia="cs-CZ"/>
        </w:rPr>
        <w:t xml:space="preserve"> a také</w:t>
      </w:r>
      <w:r>
        <w:rPr>
          <w:rFonts w:ascii="Arial" w:hAnsi="Arial" w:cs="Arial"/>
          <w:sz w:val="22"/>
          <w:szCs w:val="22"/>
          <w:lang w:eastAsia="cs-CZ"/>
        </w:rPr>
        <w:t xml:space="preserve"> celkově dosažené příjmy za účetní období </w:t>
      </w:r>
      <w:r w:rsidR="00CB4433">
        <w:rPr>
          <w:rFonts w:ascii="Arial" w:hAnsi="Arial" w:cs="Arial"/>
          <w:sz w:val="22"/>
          <w:szCs w:val="22"/>
          <w:lang w:eastAsia="cs-CZ"/>
        </w:rPr>
        <w:t>jsou součástí oběžných aktiv. Tím</w:t>
      </w:r>
      <w:r>
        <w:rPr>
          <w:rFonts w:ascii="Arial" w:hAnsi="Arial" w:cs="Arial"/>
          <w:sz w:val="22"/>
          <w:szCs w:val="22"/>
          <w:lang w:eastAsia="cs-CZ"/>
        </w:rPr>
        <w:t xml:space="preserve"> se </w:t>
      </w:r>
      <w:r w:rsidR="00CB4433">
        <w:rPr>
          <w:rFonts w:ascii="Arial" w:hAnsi="Arial" w:cs="Arial"/>
          <w:sz w:val="22"/>
          <w:szCs w:val="22"/>
          <w:lang w:eastAsia="cs-CZ"/>
        </w:rPr>
        <w:t>změnila</w:t>
      </w:r>
      <w:r>
        <w:rPr>
          <w:rFonts w:ascii="Arial" w:hAnsi="Arial" w:cs="Arial"/>
          <w:sz w:val="22"/>
          <w:szCs w:val="22"/>
          <w:lang w:eastAsia="cs-CZ"/>
        </w:rPr>
        <w:t xml:space="preserve"> nejen struktura </w:t>
      </w:r>
      <w:r w:rsidR="00CB4433">
        <w:rPr>
          <w:rFonts w:ascii="Arial" w:hAnsi="Arial" w:cs="Arial"/>
          <w:sz w:val="22"/>
          <w:szCs w:val="22"/>
          <w:lang w:eastAsia="cs-CZ"/>
        </w:rPr>
        <w:t xml:space="preserve">a výše oběžných </w:t>
      </w:r>
      <w:r>
        <w:rPr>
          <w:rFonts w:ascii="Arial" w:hAnsi="Arial" w:cs="Arial"/>
          <w:sz w:val="22"/>
          <w:szCs w:val="22"/>
          <w:lang w:eastAsia="cs-CZ"/>
        </w:rPr>
        <w:t xml:space="preserve">aktiv, ale i </w:t>
      </w:r>
      <w:r w:rsidR="00CB4433">
        <w:rPr>
          <w:rFonts w:ascii="Arial" w:hAnsi="Arial" w:cs="Arial"/>
          <w:sz w:val="22"/>
          <w:szCs w:val="22"/>
          <w:lang w:eastAsia="cs-CZ"/>
        </w:rPr>
        <w:t>celková</w:t>
      </w:r>
      <w:r>
        <w:rPr>
          <w:rFonts w:ascii="Arial" w:hAnsi="Arial" w:cs="Arial"/>
          <w:sz w:val="22"/>
          <w:szCs w:val="22"/>
          <w:lang w:eastAsia="cs-CZ"/>
        </w:rPr>
        <w:t xml:space="preserve"> bilanční sum</w:t>
      </w:r>
      <w:r w:rsidR="00CB4433">
        <w:rPr>
          <w:rFonts w:ascii="Arial" w:hAnsi="Arial" w:cs="Arial"/>
          <w:sz w:val="22"/>
          <w:szCs w:val="22"/>
          <w:lang w:eastAsia="cs-CZ"/>
        </w:rPr>
        <w:t>a</w:t>
      </w:r>
      <w:r>
        <w:rPr>
          <w:rFonts w:ascii="Arial" w:hAnsi="Arial" w:cs="Arial"/>
          <w:sz w:val="22"/>
          <w:szCs w:val="22"/>
          <w:lang w:eastAsia="cs-CZ"/>
        </w:rPr>
        <w:t xml:space="preserve"> MŠMT, která se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>
        <w:rPr>
          <w:rFonts w:ascii="Arial" w:hAnsi="Arial" w:cs="Arial"/>
          <w:sz w:val="22"/>
          <w:szCs w:val="22"/>
          <w:lang w:eastAsia="cs-CZ"/>
        </w:rPr>
        <w:t>jednotek miliard korun zvýšila od roku 2010 na s</w:t>
      </w:r>
      <w:r w:rsidR="00BC3592">
        <w:rPr>
          <w:rFonts w:ascii="Arial" w:hAnsi="Arial" w:cs="Arial"/>
          <w:sz w:val="22"/>
          <w:szCs w:val="22"/>
          <w:lang w:eastAsia="cs-CZ"/>
        </w:rPr>
        <w:t xml:space="preserve">tovky miliard korun.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BC3592">
        <w:rPr>
          <w:rFonts w:ascii="Arial" w:hAnsi="Arial" w:cs="Arial"/>
          <w:sz w:val="22"/>
          <w:szCs w:val="22"/>
          <w:lang w:eastAsia="cs-CZ"/>
        </w:rPr>
        <w:t>roce 2012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>
        <w:rPr>
          <w:rFonts w:ascii="Arial" w:hAnsi="Arial" w:cs="Arial"/>
          <w:sz w:val="22"/>
          <w:szCs w:val="22"/>
          <w:lang w:eastAsia="cs-CZ"/>
        </w:rPr>
        <w:t>důsledku změny vykazování</w:t>
      </w:r>
      <w:r w:rsidR="00CB4433">
        <w:rPr>
          <w:rFonts w:ascii="Arial" w:hAnsi="Arial" w:cs="Arial"/>
          <w:sz w:val="22"/>
          <w:szCs w:val="22"/>
          <w:lang w:eastAsia="cs-CZ"/>
        </w:rPr>
        <w:t>, kdy</w:t>
      </w:r>
      <w:r w:rsidR="00926375">
        <w:rPr>
          <w:rFonts w:ascii="Arial" w:hAnsi="Arial" w:cs="Arial"/>
          <w:sz w:val="22"/>
          <w:szCs w:val="22"/>
          <w:lang w:eastAsia="cs-CZ"/>
        </w:rPr>
        <w:t xml:space="preserve"> </w:t>
      </w:r>
      <w:r w:rsidR="00E16BA2">
        <w:rPr>
          <w:rFonts w:ascii="Arial" w:hAnsi="Arial" w:cs="Arial"/>
          <w:sz w:val="22"/>
          <w:szCs w:val="22"/>
          <w:lang w:eastAsia="cs-CZ"/>
        </w:rPr>
        <w:t xml:space="preserve">se </w:t>
      </w:r>
      <w:r w:rsidR="00BC3592">
        <w:rPr>
          <w:rFonts w:ascii="Arial" w:hAnsi="Arial" w:cs="Arial"/>
          <w:sz w:val="22"/>
          <w:szCs w:val="22"/>
          <w:lang w:eastAsia="cs-CZ"/>
        </w:rPr>
        <w:t>poskytnuté zálohy na transfery začínají rozlišovat na dlouhodobé a krátkodobé a celkově dosažené příjmy za účetní období se vykaz</w:t>
      </w:r>
      <w:r w:rsidR="006972DC">
        <w:rPr>
          <w:rFonts w:ascii="Arial" w:hAnsi="Arial" w:cs="Arial"/>
          <w:sz w:val="22"/>
          <w:szCs w:val="22"/>
          <w:lang w:eastAsia="cs-CZ"/>
        </w:rPr>
        <w:t>ují</w:t>
      </w:r>
      <w:r w:rsidR="00BC359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6D32F9">
        <w:rPr>
          <w:rFonts w:ascii="Arial" w:hAnsi="Arial" w:cs="Arial"/>
          <w:sz w:val="22"/>
          <w:szCs w:val="22"/>
          <w:lang w:eastAsia="cs-CZ"/>
        </w:rPr>
        <w:t>pasivech</w:t>
      </w:r>
      <w:r w:rsidR="00CB4433">
        <w:rPr>
          <w:rFonts w:ascii="Arial" w:hAnsi="Arial" w:cs="Arial"/>
          <w:sz w:val="22"/>
          <w:szCs w:val="22"/>
          <w:lang w:eastAsia="cs-CZ"/>
        </w:rPr>
        <w:t>,</w:t>
      </w:r>
      <w:r w:rsidR="00BC359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972DC">
        <w:rPr>
          <w:rFonts w:ascii="Arial" w:hAnsi="Arial" w:cs="Arial"/>
          <w:sz w:val="22"/>
          <w:szCs w:val="22"/>
          <w:lang w:eastAsia="cs-CZ"/>
        </w:rPr>
        <w:t xml:space="preserve">se </w:t>
      </w:r>
      <w:r w:rsidR="00BC3592">
        <w:rPr>
          <w:rFonts w:ascii="Arial" w:hAnsi="Arial" w:cs="Arial"/>
          <w:sz w:val="22"/>
          <w:szCs w:val="22"/>
          <w:lang w:eastAsia="cs-CZ"/>
        </w:rPr>
        <w:t>snižuje hodnota oběžných aktiv a narůstá hodnota stálých aktiv.</w:t>
      </w:r>
    </w:p>
    <w:p w:rsidR="00A40A97" w:rsidRDefault="00A40A97" w:rsidP="00891EC9">
      <w:pPr>
        <w:tabs>
          <w:tab w:val="left" w:pos="8505"/>
        </w:tabs>
        <w:spacing w:after="40"/>
        <w:jc w:val="both"/>
        <w:rPr>
          <w:rFonts w:ascii="Arial" w:hAnsi="Arial" w:cs="Arial"/>
          <w:sz w:val="22"/>
          <w:szCs w:val="22"/>
          <w:lang w:eastAsia="cs-CZ"/>
        </w:rPr>
      </w:pPr>
    </w:p>
    <w:p w:rsidR="00862FC9" w:rsidRPr="00F52CE0" w:rsidRDefault="00862FC9" w:rsidP="00862FC9">
      <w:pPr>
        <w:pStyle w:val="Titulek"/>
        <w:tabs>
          <w:tab w:val="left" w:pos="8505"/>
        </w:tabs>
        <w:spacing w:before="0" w:after="40"/>
        <w:ind w:right="-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Graf</w:t>
      </w:r>
      <w:r w:rsidRPr="00F52CE0">
        <w:rPr>
          <w:rFonts w:ascii="Arial" w:hAnsi="Arial" w:cs="Arial"/>
          <w:bCs w:val="0"/>
          <w:sz w:val="22"/>
          <w:szCs w:val="22"/>
        </w:rPr>
        <w:t xml:space="preserve"> č. </w:t>
      </w:r>
      <w:r>
        <w:rPr>
          <w:rFonts w:ascii="Arial" w:hAnsi="Arial" w:cs="Arial"/>
          <w:bCs w:val="0"/>
          <w:sz w:val="22"/>
          <w:szCs w:val="22"/>
        </w:rPr>
        <w:t>2</w:t>
      </w:r>
      <w:r w:rsidRPr="00F52CE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52CE0">
        <w:rPr>
          <w:rFonts w:ascii="Arial" w:hAnsi="Arial" w:cs="Arial"/>
          <w:bCs w:val="0"/>
          <w:sz w:val="22"/>
          <w:szCs w:val="22"/>
        </w:rPr>
        <w:t>–</w:t>
      </w:r>
      <w:r>
        <w:rPr>
          <w:rFonts w:ascii="Arial" w:hAnsi="Arial" w:cs="Arial"/>
          <w:bCs w:val="0"/>
          <w:sz w:val="22"/>
          <w:szCs w:val="22"/>
        </w:rPr>
        <w:t xml:space="preserve"> Vývoj struktury pasiv MŠMT</w:t>
      </w:r>
    </w:p>
    <w:p w:rsidR="00A40A97" w:rsidRDefault="00AA15ED" w:rsidP="00522146">
      <w:pPr>
        <w:tabs>
          <w:tab w:val="left" w:pos="8505"/>
        </w:tabs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70629B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081F892B" wp14:editId="3CDDF855">
            <wp:extent cx="5759450" cy="25927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č. 2, bez des. mís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CE" w:rsidRDefault="00B665CE" w:rsidP="00522146">
      <w:pPr>
        <w:tabs>
          <w:tab w:val="left" w:pos="8505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B665CE">
        <w:rPr>
          <w:rFonts w:ascii="Arial" w:hAnsi="Arial" w:cs="Arial"/>
          <w:b/>
          <w:sz w:val="18"/>
          <w:szCs w:val="18"/>
          <w:lang w:eastAsia="cs-CZ"/>
        </w:rPr>
        <w:t>Zdroj:</w:t>
      </w:r>
      <w:r w:rsidR="0020166D">
        <w:rPr>
          <w:rFonts w:ascii="Arial" w:hAnsi="Arial" w:cs="Arial"/>
          <w:sz w:val="18"/>
          <w:szCs w:val="18"/>
        </w:rPr>
        <w:t xml:space="preserve"> </w:t>
      </w:r>
      <w:r w:rsidR="00E16BA2">
        <w:rPr>
          <w:rFonts w:ascii="Arial" w:hAnsi="Arial" w:cs="Arial"/>
          <w:sz w:val="18"/>
          <w:szCs w:val="18"/>
        </w:rPr>
        <w:t>ú</w:t>
      </w:r>
      <w:r w:rsidR="0020166D">
        <w:rPr>
          <w:rFonts w:ascii="Arial" w:hAnsi="Arial" w:cs="Arial"/>
          <w:sz w:val="18"/>
          <w:szCs w:val="18"/>
        </w:rPr>
        <w:t>četní závěrky MŠMT</w:t>
      </w:r>
      <w:r w:rsidRPr="00B665CE">
        <w:rPr>
          <w:rFonts w:ascii="Arial" w:hAnsi="Arial" w:cs="Arial"/>
          <w:sz w:val="18"/>
          <w:szCs w:val="18"/>
        </w:rPr>
        <w:t>.</w:t>
      </w:r>
    </w:p>
    <w:p w:rsidR="00A40A97" w:rsidRDefault="00A40A97" w:rsidP="00522146">
      <w:pPr>
        <w:tabs>
          <w:tab w:val="left" w:pos="8505"/>
        </w:tabs>
        <w:jc w:val="both"/>
        <w:rPr>
          <w:rFonts w:ascii="Arial" w:hAnsi="Arial" w:cs="Arial"/>
          <w:sz w:val="22"/>
          <w:szCs w:val="22"/>
          <w:lang w:eastAsia="cs-CZ"/>
        </w:rPr>
      </w:pPr>
    </w:p>
    <w:p w:rsidR="00BC3592" w:rsidRDefault="006972DC" w:rsidP="00522146">
      <w:p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lastRenderedPageBreak/>
        <w:t xml:space="preserve">Vývoj struktury pasiv MŠMT zobrazuje výše uvedené skutečnosti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>
        <w:rPr>
          <w:rFonts w:ascii="Arial" w:hAnsi="Arial" w:cs="Arial"/>
          <w:sz w:val="22"/>
          <w:szCs w:val="22"/>
          <w:lang w:eastAsia="cs-CZ"/>
        </w:rPr>
        <w:t xml:space="preserve">pohledu zdrojů.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>
        <w:rPr>
          <w:rFonts w:ascii="Arial" w:hAnsi="Arial" w:cs="Arial"/>
          <w:sz w:val="22"/>
          <w:szCs w:val="22"/>
          <w:lang w:eastAsia="cs-CZ"/>
        </w:rPr>
        <w:t xml:space="preserve">letech 2010 a 2011 byly výdaje realizované za celé účetní období vykazovány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>
        <w:rPr>
          <w:rFonts w:ascii="Arial" w:hAnsi="Arial" w:cs="Arial"/>
          <w:sz w:val="22"/>
          <w:szCs w:val="22"/>
          <w:lang w:eastAsia="cs-CZ"/>
        </w:rPr>
        <w:t xml:space="preserve">souladu </w:t>
      </w:r>
      <w:r w:rsidR="00765F23">
        <w:rPr>
          <w:rFonts w:ascii="Arial" w:hAnsi="Arial" w:cs="Arial"/>
          <w:sz w:val="22"/>
          <w:szCs w:val="22"/>
          <w:lang w:eastAsia="cs-CZ"/>
        </w:rPr>
        <w:t>s </w:t>
      </w:r>
      <w:r>
        <w:rPr>
          <w:rFonts w:ascii="Arial" w:hAnsi="Arial" w:cs="Arial"/>
          <w:sz w:val="22"/>
          <w:szCs w:val="22"/>
          <w:lang w:eastAsia="cs-CZ"/>
        </w:rPr>
        <w:t xml:space="preserve">platnou účetní regulací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>
        <w:rPr>
          <w:rFonts w:ascii="Arial" w:hAnsi="Arial" w:cs="Arial"/>
          <w:sz w:val="22"/>
          <w:szCs w:val="22"/>
          <w:lang w:eastAsia="cs-CZ"/>
        </w:rPr>
        <w:t xml:space="preserve">rámci cizích zdrojů.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>
        <w:rPr>
          <w:rFonts w:ascii="Arial" w:hAnsi="Arial" w:cs="Arial"/>
          <w:sz w:val="22"/>
          <w:szCs w:val="22"/>
          <w:lang w:eastAsia="cs-CZ"/>
        </w:rPr>
        <w:t>důsledku této skutečnosti se změnila nejen struktura pasiv (nárůst cizích zdrojů a záporný vlastní kapitál), ale i vývoj bilanční sumy MŠMT.</w:t>
      </w:r>
    </w:p>
    <w:p w:rsidR="00522146" w:rsidRDefault="00522146" w:rsidP="00522146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BC3592" w:rsidRDefault="006972DC" w:rsidP="00522146">
      <w:pPr>
        <w:tabs>
          <w:tab w:val="left" w:pos="8505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Od roku 2012 jsou výdaje realizované za účetní období vykazovány ve vlastním kapitálu (se</w:t>
      </w:r>
      <w:r w:rsidR="00690F62">
        <w:rPr>
          <w:rFonts w:ascii="Arial" w:hAnsi="Arial" w:cs="Arial"/>
          <w:sz w:val="22"/>
          <w:szCs w:val="22"/>
          <w:lang w:eastAsia="cs-CZ"/>
        </w:rPr>
        <w:t> </w:t>
      </w:r>
      <w:r>
        <w:rPr>
          <w:rFonts w:ascii="Arial" w:hAnsi="Arial" w:cs="Arial"/>
          <w:sz w:val="22"/>
          <w:szCs w:val="22"/>
          <w:lang w:eastAsia="cs-CZ"/>
        </w:rPr>
        <w:t xml:space="preserve">znaménkem plus) a </w:t>
      </w:r>
      <w:r w:rsidR="00765F23">
        <w:rPr>
          <w:rFonts w:ascii="Arial" w:hAnsi="Arial" w:cs="Arial"/>
          <w:sz w:val="22"/>
          <w:szCs w:val="22"/>
          <w:lang w:eastAsia="cs-CZ"/>
        </w:rPr>
        <w:t>s </w:t>
      </w:r>
      <w:r>
        <w:rPr>
          <w:rFonts w:ascii="Arial" w:hAnsi="Arial" w:cs="Arial"/>
          <w:sz w:val="22"/>
          <w:szCs w:val="22"/>
          <w:lang w:eastAsia="cs-CZ"/>
        </w:rPr>
        <w:t xml:space="preserve">nimi jsou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>
        <w:rPr>
          <w:rFonts w:ascii="Arial" w:hAnsi="Arial" w:cs="Arial"/>
          <w:sz w:val="22"/>
          <w:szCs w:val="22"/>
          <w:lang w:eastAsia="cs-CZ"/>
        </w:rPr>
        <w:t>této části účetní závěrky vykazovány i příjmy dosažené za účetní období (se znaménkem m</w:t>
      </w:r>
      <w:r w:rsidR="00E16BA2">
        <w:rPr>
          <w:rFonts w:ascii="Arial" w:hAnsi="Arial" w:cs="Arial"/>
          <w:sz w:val="22"/>
          <w:szCs w:val="22"/>
          <w:lang w:eastAsia="cs-CZ"/>
        </w:rPr>
        <w:t>i</w:t>
      </w:r>
      <w:r>
        <w:rPr>
          <w:rFonts w:ascii="Arial" w:hAnsi="Arial" w:cs="Arial"/>
          <w:sz w:val="22"/>
          <w:szCs w:val="22"/>
          <w:lang w:eastAsia="cs-CZ"/>
        </w:rPr>
        <w:t xml:space="preserve">nus). Ve vlastním kapitálu je tak od roku 2012 vykazováno saldo příjmů a výdajů za účetní období.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>
        <w:rPr>
          <w:rFonts w:ascii="Arial" w:hAnsi="Arial" w:cs="Arial"/>
          <w:sz w:val="22"/>
          <w:szCs w:val="22"/>
          <w:lang w:eastAsia="cs-CZ"/>
        </w:rPr>
        <w:t xml:space="preserve">důsledku toho došlo </w:t>
      </w:r>
      <w:r w:rsidR="00765F23">
        <w:rPr>
          <w:rFonts w:ascii="Arial" w:hAnsi="Arial" w:cs="Arial"/>
          <w:sz w:val="22"/>
          <w:szCs w:val="22"/>
          <w:lang w:eastAsia="cs-CZ"/>
        </w:rPr>
        <w:t>k </w:t>
      </w:r>
      <w:r>
        <w:rPr>
          <w:rFonts w:ascii="Arial" w:hAnsi="Arial" w:cs="Arial"/>
          <w:sz w:val="22"/>
          <w:szCs w:val="22"/>
          <w:lang w:eastAsia="cs-CZ"/>
        </w:rPr>
        <w:t>poklesu cizích zdrojů a</w:t>
      </w:r>
      <w:r w:rsidR="002B51EB">
        <w:rPr>
          <w:rFonts w:ascii="Arial" w:hAnsi="Arial" w:cs="Arial"/>
          <w:sz w:val="22"/>
          <w:szCs w:val="22"/>
          <w:lang w:eastAsia="cs-CZ"/>
        </w:rPr>
        <w:t> </w:t>
      </w:r>
      <w:r>
        <w:rPr>
          <w:rFonts w:ascii="Arial" w:hAnsi="Arial" w:cs="Arial"/>
          <w:sz w:val="22"/>
          <w:szCs w:val="22"/>
          <w:lang w:eastAsia="cs-CZ"/>
        </w:rPr>
        <w:t>vlastní kapitál je kladný.</w:t>
      </w:r>
      <w:r w:rsidR="00784955">
        <w:rPr>
          <w:rFonts w:ascii="Arial" w:hAnsi="Arial" w:cs="Arial"/>
          <w:sz w:val="22"/>
          <w:szCs w:val="22"/>
          <w:lang w:eastAsia="cs-CZ"/>
        </w:rPr>
        <w:t xml:space="preserve"> Vliv na celkovou vykazovanou výši vlastního kapitálu má od roku 2010 také nově vykazovaný hospodářský výsledek jako rozdíl nákladů a výnosů.</w:t>
      </w:r>
    </w:p>
    <w:p w:rsidR="00522146" w:rsidRDefault="00522146" w:rsidP="00522146">
      <w:pPr>
        <w:tabs>
          <w:tab w:val="left" w:pos="8505"/>
        </w:tabs>
        <w:jc w:val="both"/>
        <w:rPr>
          <w:rFonts w:ascii="Arial" w:hAnsi="Arial" w:cs="Arial"/>
          <w:sz w:val="22"/>
          <w:szCs w:val="22"/>
          <w:lang w:eastAsia="cs-CZ"/>
        </w:rPr>
      </w:pPr>
    </w:p>
    <w:p w:rsidR="00784955" w:rsidRDefault="00784955" w:rsidP="00522146">
      <w:pPr>
        <w:tabs>
          <w:tab w:val="left" w:pos="8505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Nárůst hodnoty celkových pasiv je od roku 2010 ovlivněn i nově vykazovanou hodnotou dohadných účtů pasivních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>
        <w:rPr>
          <w:rFonts w:ascii="Arial" w:hAnsi="Arial" w:cs="Arial"/>
          <w:sz w:val="22"/>
          <w:szCs w:val="22"/>
          <w:lang w:eastAsia="cs-CZ"/>
        </w:rPr>
        <w:t xml:space="preserve">poskytnutých a </w:t>
      </w:r>
      <w:r w:rsidR="00765F23">
        <w:rPr>
          <w:rFonts w:ascii="Arial" w:hAnsi="Arial" w:cs="Arial"/>
          <w:sz w:val="22"/>
          <w:szCs w:val="22"/>
          <w:lang w:eastAsia="cs-CZ"/>
        </w:rPr>
        <w:t>k </w:t>
      </w:r>
      <w:r>
        <w:rPr>
          <w:rFonts w:ascii="Arial" w:hAnsi="Arial" w:cs="Arial"/>
          <w:sz w:val="22"/>
          <w:szCs w:val="22"/>
          <w:lang w:eastAsia="cs-CZ"/>
        </w:rPr>
        <w:t>datu</w:t>
      </w:r>
      <w:r w:rsidR="0020166D">
        <w:rPr>
          <w:rFonts w:ascii="Arial" w:hAnsi="Arial" w:cs="Arial"/>
          <w:sz w:val="22"/>
          <w:szCs w:val="22"/>
          <w:lang w:eastAsia="cs-CZ"/>
        </w:rPr>
        <w:t xml:space="preserve"> účetní závěrky</w:t>
      </w:r>
      <w:r>
        <w:rPr>
          <w:rFonts w:ascii="Arial" w:hAnsi="Arial" w:cs="Arial"/>
          <w:sz w:val="22"/>
          <w:szCs w:val="22"/>
          <w:lang w:eastAsia="cs-CZ"/>
        </w:rPr>
        <w:t xml:space="preserve"> nevyúčtovaných transferů.</w:t>
      </w:r>
    </w:p>
    <w:p w:rsidR="00FA5D2F" w:rsidRPr="00FA5D2F" w:rsidRDefault="00FA5D2F" w:rsidP="00DC1A2F">
      <w:pPr>
        <w:tabs>
          <w:tab w:val="left" w:pos="8505"/>
        </w:tabs>
        <w:jc w:val="both"/>
        <w:rPr>
          <w:rFonts w:ascii="Arial" w:hAnsi="Arial" w:cs="Arial"/>
          <w:sz w:val="22"/>
          <w:szCs w:val="22"/>
          <w:lang w:eastAsia="cs-CZ"/>
        </w:rPr>
      </w:pPr>
    </w:p>
    <w:p w:rsidR="00E16BA2" w:rsidRDefault="00264159" w:rsidP="00C953C5">
      <w:pPr>
        <w:tabs>
          <w:tab w:val="left" w:pos="8505"/>
        </w:tabs>
        <w:spacing w:after="40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470704">
        <w:rPr>
          <w:rFonts w:ascii="Arial" w:hAnsi="Arial" w:cs="Arial"/>
          <w:b/>
          <w:sz w:val="22"/>
          <w:szCs w:val="22"/>
        </w:rPr>
        <w:t xml:space="preserve">Tabulka č. </w:t>
      </w:r>
      <w:r w:rsidR="00E94004" w:rsidRPr="00470704">
        <w:rPr>
          <w:rFonts w:ascii="Arial" w:hAnsi="Arial" w:cs="Arial"/>
          <w:b/>
          <w:sz w:val="22"/>
          <w:szCs w:val="22"/>
        </w:rPr>
        <w:t>3</w:t>
      </w:r>
      <w:r w:rsidRPr="00470704">
        <w:rPr>
          <w:rFonts w:ascii="Arial" w:hAnsi="Arial" w:cs="Arial"/>
          <w:b/>
          <w:sz w:val="22"/>
          <w:szCs w:val="22"/>
        </w:rPr>
        <w:t xml:space="preserve"> – Údaje za běžné </w:t>
      </w:r>
      <w:r w:rsidR="004029FE">
        <w:rPr>
          <w:rFonts w:ascii="Arial" w:hAnsi="Arial" w:cs="Arial"/>
          <w:b/>
          <w:sz w:val="22"/>
          <w:szCs w:val="22"/>
        </w:rPr>
        <w:t xml:space="preserve">účetní </w:t>
      </w:r>
      <w:r w:rsidRPr="00470704">
        <w:rPr>
          <w:rFonts w:ascii="Arial" w:hAnsi="Arial" w:cs="Arial"/>
          <w:b/>
          <w:sz w:val="22"/>
          <w:szCs w:val="22"/>
        </w:rPr>
        <w:t xml:space="preserve">období </w:t>
      </w:r>
      <w:r w:rsidR="00765F23">
        <w:rPr>
          <w:rFonts w:ascii="Arial" w:hAnsi="Arial" w:cs="Arial"/>
          <w:b/>
          <w:sz w:val="22"/>
          <w:szCs w:val="22"/>
        </w:rPr>
        <w:t>z </w:t>
      </w:r>
      <w:r w:rsidR="00470704" w:rsidRPr="00470704">
        <w:rPr>
          <w:rFonts w:ascii="Arial" w:hAnsi="Arial" w:cs="Arial"/>
          <w:b/>
          <w:sz w:val="22"/>
          <w:szCs w:val="22"/>
        </w:rPr>
        <w:t>v</w:t>
      </w:r>
      <w:r w:rsidRPr="00470704">
        <w:rPr>
          <w:rFonts w:ascii="Arial" w:hAnsi="Arial" w:cs="Arial"/>
          <w:b/>
          <w:sz w:val="22"/>
          <w:szCs w:val="22"/>
        </w:rPr>
        <w:t>ýkazu zisku a z</w:t>
      </w:r>
      <w:r w:rsidR="00C953C5" w:rsidRPr="00470704">
        <w:rPr>
          <w:rFonts w:ascii="Arial" w:hAnsi="Arial" w:cs="Arial"/>
          <w:b/>
          <w:sz w:val="22"/>
          <w:szCs w:val="22"/>
        </w:rPr>
        <w:t xml:space="preserve">tráty </w:t>
      </w:r>
    </w:p>
    <w:p w:rsidR="00264159" w:rsidRPr="00470704" w:rsidRDefault="00765F23" w:rsidP="00E50173">
      <w:pPr>
        <w:tabs>
          <w:tab w:val="left" w:pos="8505"/>
        </w:tabs>
        <w:spacing w:after="40"/>
        <w:ind w:left="1531"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</w:t>
      </w:r>
      <w:r w:rsidR="00C953C5" w:rsidRPr="00470704">
        <w:rPr>
          <w:rFonts w:ascii="Arial" w:hAnsi="Arial" w:cs="Arial"/>
          <w:b/>
          <w:sz w:val="22"/>
          <w:szCs w:val="22"/>
        </w:rPr>
        <w:t>31. prosinci 201</w:t>
      </w:r>
      <w:r w:rsidR="00470704" w:rsidRPr="00470704">
        <w:rPr>
          <w:rFonts w:ascii="Arial" w:hAnsi="Arial" w:cs="Arial"/>
          <w:b/>
          <w:sz w:val="22"/>
          <w:szCs w:val="22"/>
        </w:rPr>
        <w:t xml:space="preserve">2 </w:t>
      </w:r>
      <w:r w:rsidR="00C953C5" w:rsidRPr="00470704">
        <w:rPr>
          <w:rFonts w:ascii="Arial" w:hAnsi="Arial" w:cs="Arial"/>
          <w:b/>
          <w:sz w:val="22"/>
          <w:szCs w:val="22"/>
        </w:rPr>
        <w:tab/>
      </w:r>
      <w:r w:rsidR="00264159" w:rsidRPr="00470704">
        <w:rPr>
          <w:rFonts w:ascii="Arial" w:hAnsi="Arial" w:cs="Arial"/>
          <w:b/>
          <w:bCs/>
          <w:sz w:val="22"/>
          <w:szCs w:val="22"/>
        </w:rPr>
        <w:t>(v Kč)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4219"/>
      </w:tblGrid>
      <w:tr w:rsidR="00264159" w:rsidRPr="0015047E" w:rsidTr="00E50173">
        <w:trPr>
          <w:trHeight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64159" w:rsidRPr="00C63229" w:rsidRDefault="00264159" w:rsidP="003B45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229">
              <w:rPr>
                <w:rFonts w:ascii="Arial" w:hAnsi="Arial" w:cs="Arial"/>
                <w:b/>
                <w:bCs/>
                <w:sz w:val="22"/>
                <w:szCs w:val="22"/>
              </w:rPr>
              <w:t>Náklady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64159" w:rsidRPr="00C63229" w:rsidRDefault="00264159" w:rsidP="003B45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229">
              <w:rPr>
                <w:rFonts w:ascii="Arial" w:hAnsi="Arial" w:cs="Arial"/>
                <w:b/>
                <w:bCs/>
                <w:sz w:val="22"/>
                <w:szCs w:val="22"/>
              </w:rPr>
              <w:t>Výnosy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64159" w:rsidRPr="00C63229" w:rsidRDefault="00264159" w:rsidP="00470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 w:rsidRPr="00C632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Výsledek hospodaření </w:t>
            </w:r>
            <w:r w:rsidR="00470704" w:rsidRPr="00C63229">
              <w:rPr>
                <w:rFonts w:ascii="Arial" w:hAnsi="Arial" w:cs="Arial"/>
                <w:b/>
                <w:bCs/>
                <w:sz w:val="22"/>
                <w:szCs w:val="22"/>
              </w:rPr>
              <w:t>běžného účetního období</w:t>
            </w:r>
          </w:p>
        </w:tc>
      </w:tr>
      <w:tr w:rsidR="00264159" w:rsidRPr="0015654B" w:rsidTr="0015654B">
        <w:trPr>
          <w:trHeight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159" w:rsidRPr="00C63229" w:rsidRDefault="00264159" w:rsidP="0015654B">
            <w:pPr>
              <w:jc w:val="right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12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0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047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335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377</w:t>
            </w:r>
            <w:r w:rsidRPr="00C63229">
              <w:rPr>
                <w:rFonts w:ascii="Arial" w:hAnsi="Arial" w:cs="Arial"/>
                <w:sz w:val="22"/>
                <w:szCs w:val="22"/>
              </w:rPr>
              <w:t>,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159" w:rsidRPr="00C63229" w:rsidRDefault="0015654B" w:rsidP="001565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691 811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229">
              <w:rPr>
                <w:rFonts w:ascii="Arial" w:hAnsi="Arial" w:cs="Arial"/>
                <w:sz w:val="22"/>
                <w:szCs w:val="22"/>
              </w:rPr>
              <w:t>548</w:t>
            </w:r>
            <w:r w:rsidR="00264159" w:rsidRPr="00C63229">
              <w:rPr>
                <w:rFonts w:ascii="Arial" w:hAnsi="Arial" w:cs="Arial"/>
                <w:sz w:val="22"/>
                <w:szCs w:val="22"/>
              </w:rPr>
              <w:t>,</w:t>
            </w:r>
            <w:r w:rsidRPr="00C63229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159" w:rsidRPr="00C63229" w:rsidRDefault="009B6199" w:rsidP="00E50173">
            <w:pPr>
              <w:ind w:right="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−</w:t>
            </w:r>
            <w:r w:rsidR="00264159" w:rsidRPr="00C63229">
              <w:rPr>
                <w:rFonts w:ascii="Arial" w:hAnsi="Arial" w:cs="Arial"/>
                <w:sz w:val="22"/>
                <w:szCs w:val="22"/>
              </w:rPr>
              <w:t>1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19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355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523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828</w:t>
            </w:r>
            <w:r w:rsidR="00264159" w:rsidRPr="00C63229">
              <w:rPr>
                <w:rFonts w:ascii="Arial" w:hAnsi="Arial" w:cs="Arial"/>
                <w:sz w:val="22"/>
                <w:szCs w:val="22"/>
              </w:rPr>
              <w:t>,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4</w:t>
            </w:r>
            <w:r w:rsidR="00264159" w:rsidRPr="00C6322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64159" w:rsidRPr="00470704" w:rsidRDefault="00264159" w:rsidP="00C953C5">
      <w:pPr>
        <w:spacing w:before="40"/>
        <w:rPr>
          <w:rFonts w:ascii="Arial" w:hAnsi="Arial" w:cs="Arial"/>
          <w:sz w:val="18"/>
          <w:szCs w:val="18"/>
          <w:lang w:eastAsia="cs-CZ"/>
        </w:rPr>
      </w:pPr>
      <w:r w:rsidRPr="00470704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470704">
        <w:rPr>
          <w:rFonts w:ascii="Arial" w:hAnsi="Arial" w:cs="Arial"/>
          <w:sz w:val="18"/>
          <w:szCs w:val="18"/>
          <w:lang w:eastAsia="cs-CZ"/>
        </w:rPr>
        <w:t xml:space="preserve"> </w:t>
      </w:r>
      <w:r w:rsidR="00646D32" w:rsidRPr="00470704">
        <w:rPr>
          <w:rFonts w:ascii="Arial" w:hAnsi="Arial" w:cs="Arial"/>
          <w:sz w:val="18"/>
          <w:szCs w:val="18"/>
          <w:lang w:eastAsia="cs-CZ"/>
        </w:rPr>
        <w:t>ú</w:t>
      </w:r>
      <w:r w:rsidRPr="00470704">
        <w:rPr>
          <w:rFonts w:ascii="Arial" w:hAnsi="Arial" w:cs="Arial"/>
          <w:sz w:val="18"/>
          <w:szCs w:val="18"/>
          <w:lang w:eastAsia="cs-CZ"/>
        </w:rPr>
        <w:t xml:space="preserve">četní </w:t>
      </w:r>
      <w:r w:rsidR="00470704" w:rsidRPr="00470704">
        <w:rPr>
          <w:rFonts w:ascii="Arial" w:hAnsi="Arial" w:cs="Arial"/>
          <w:sz w:val="18"/>
          <w:szCs w:val="18"/>
          <w:lang w:eastAsia="cs-CZ"/>
        </w:rPr>
        <w:t xml:space="preserve">závěrka MŠMT </w:t>
      </w:r>
      <w:r w:rsidR="00765F23">
        <w:rPr>
          <w:rFonts w:ascii="Arial" w:hAnsi="Arial" w:cs="Arial"/>
          <w:sz w:val="18"/>
          <w:szCs w:val="18"/>
          <w:lang w:eastAsia="cs-CZ"/>
        </w:rPr>
        <w:t>k </w:t>
      </w:r>
      <w:r w:rsidR="00470704" w:rsidRPr="00470704">
        <w:rPr>
          <w:rFonts w:ascii="Arial" w:hAnsi="Arial" w:cs="Arial"/>
          <w:sz w:val="18"/>
          <w:szCs w:val="18"/>
          <w:lang w:eastAsia="cs-CZ"/>
        </w:rPr>
        <w:t>31. prosinci 2012</w:t>
      </w:r>
      <w:r w:rsidRPr="00470704">
        <w:rPr>
          <w:rFonts w:ascii="Arial" w:hAnsi="Arial" w:cs="Arial"/>
          <w:sz w:val="18"/>
          <w:szCs w:val="18"/>
          <w:lang w:eastAsia="cs-CZ"/>
        </w:rPr>
        <w:t>.</w:t>
      </w:r>
    </w:p>
    <w:p w:rsidR="00264159" w:rsidRPr="0015047E" w:rsidRDefault="00264159" w:rsidP="00264159">
      <w:pPr>
        <w:rPr>
          <w:rFonts w:ascii="Arial" w:hAnsi="Arial" w:cs="Arial"/>
          <w:sz w:val="22"/>
          <w:szCs w:val="22"/>
          <w:highlight w:val="green"/>
          <w:lang w:eastAsia="cs-CZ"/>
        </w:rPr>
      </w:pPr>
    </w:p>
    <w:p w:rsidR="00E16BA2" w:rsidRDefault="00264159" w:rsidP="00E379CA">
      <w:pPr>
        <w:tabs>
          <w:tab w:val="left" w:pos="8505"/>
        </w:tabs>
        <w:spacing w:after="40"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15654B">
        <w:rPr>
          <w:rFonts w:ascii="Arial" w:hAnsi="Arial" w:cs="Arial"/>
          <w:b/>
          <w:sz w:val="22"/>
          <w:szCs w:val="22"/>
        </w:rPr>
        <w:t xml:space="preserve">Tabulka č. </w:t>
      </w:r>
      <w:r w:rsidR="00E94004" w:rsidRPr="0015654B">
        <w:rPr>
          <w:rFonts w:ascii="Arial" w:hAnsi="Arial" w:cs="Arial"/>
          <w:b/>
          <w:sz w:val="22"/>
          <w:szCs w:val="22"/>
        </w:rPr>
        <w:t>4</w:t>
      </w:r>
      <w:r w:rsidRPr="0015654B">
        <w:rPr>
          <w:rFonts w:ascii="Arial" w:hAnsi="Arial" w:cs="Arial"/>
          <w:b/>
          <w:sz w:val="22"/>
          <w:szCs w:val="22"/>
        </w:rPr>
        <w:t xml:space="preserve"> – Údaje za běžné </w:t>
      </w:r>
      <w:r w:rsidR="004029FE">
        <w:rPr>
          <w:rFonts w:ascii="Arial" w:hAnsi="Arial" w:cs="Arial"/>
          <w:b/>
          <w:sz w:val="22"/>
          <w:szCs w:val="22"/>
        </w:rPr>
        <w:t xml:space="preserve">účetní </w:t>
      </w:r>
      <w:r w:rsidRPr="0015654B">
        <w:rPr>
          <w:rFonts w:ascii="Arial" w:hAnsi="Arial" w:cs="Arial"/>
          <w:b/>
          <w:sz w:val="22"/>
          <w:szCs w:val="22"/>
        </w:rPr>
        <w:t xml:space="preserve">období </w:t>
      </w:r>
      <w:r w:rsidR="00765F23">
        <w:rPr>
          <w:rFonts w:ascii="Arial" w:hAnsi="Arial" w:cs="Arial"/>
          <w:b/>
          <w:sz w:val="22"/>
          <w:szCs w:val="22"/>
        </w:rPr>
        <w:t>z </w:t>
      </w:r>
      <w:r w:rsidR="00646D32" w:rsidRPr="0015654B">
        <w:rPr>
          <w:rFonts w:ascii="Arial" w:hAnsi="Arial" w:cs="Arial"/>
          <w:b/>
          <w:sz w:val="22"/>
          <w:szCs w:val="22"/>
        </w:rPr>
        <w:t>p</w:t>
      </w:r>
      <w:r w:rsidRPr="0015654B">
        <w:rPr>
          <w:rFonts w:ascii="Arial" w:hAnsi="Arial" w:cs="Arial"/>
          <w:b/>
          <w:sz w:val="22"/>
          <w:szCs w:val="22"/>
        </w:rPr>
        <w:t xml:space="preserve">řílohy ÚZ </w:t>
      </w:r>
    </w:p>
    <w:p w:rsidR="00264159" w:rsidRPr="0015654B" w:rsidRDefault="00765F23" w:rsidP="00E50173">
      <w:pPr>
        <w:tabs>
          <w:tab w:val="left" w:pos="8505"/>
        </w:tabs>
        <w:spacing w:after="40"/>
        <w:ind w:left="1531"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</w:t>
      </w:r>
      <w:r w:rsidR="00264159" w:rsidRPr="0015654B">
        <w:rPr>
          <w:rFonts w:ascii="Arial" w:hAnsi="Arial" w:cs="Arial"/>
          <w:b/>
          <w:sz w:val="22"/>
          <w:szCs w:val="22"/>
        </w:rPr>
        <w:t>31. prosinci 201</w:t>
      </w:r>
      <w:r w:rsidR="0015654B">
        <w:rPr>
          <w:rFonts w:ascii="Arial" w:hAnsi="Arial" w:cs="Arial"/>
          <w:b/>
          <w:sz w:val="22"/>
          <w:szCs w:val="22"/>
        </w:rPr>
        <w:t>2</w:t>
      </w:r>
      <w:r w:rsidR="00264159" w:rsidRPr="0015654B">
        <w:rPr>
          <w:rFonts w:ascii="Arial" w:hAnsi="Arial" w:cs="Arial"/>
          <w:b/>
          <w:sz w:val="22"/>
          <w:szCs w:val="22"/>
        </w:rPr>
        <w:t xml:space="preserve">, část </w:t>
      </w:r>
      <w:proofErr w:type="gramStart"/>
      <w:r w:rsidR="00264159" w:rsidRPr="0015654B">
        <w:rPr>
          <w:rFonts w:ascii="Arial" w:hAnsi="Arial" w:cs="Arial"/>
          <w:b/>
          <w:sz w:val="22"/>
          <w:szCs w:val="22"/>
        </w:rPr>
        <w:t>A.4</w:t>
      </w:r>
      <w:r w:rsidR="00E379CA" w:rsidRPr="0015654B">
        <w:rPr>
          <w:rFonts w:ascii="Arial" w:hAnsi="Arial" w:cs="Arial"/>
          <w:b/>
          <w:sz w:val="22"/>
          <w:szCs w:val="22"/>
        </w:rPr>
        <w:t>.</w:t>
      </w:r>
      <w:r w:rsidR="00E379CA" w:rsidRPr="0015654B">
        <w:rPr>
          <w:rFonts w:ascii="Arial" w:hAnsi="Arial" w:cs="Arial"/>
          <w:b/>
          <w:sz w:val="22"/>
          <w:szCs w:val="22"/>
        </w:rPr>
        <w:tab/>
      </w:r>
      <w:r w:rsidR="00264159" w:rsidRPr="0015654B">
        <w:rPr>
          <w:rFonts w:ascii="Arial" w:hAnsi="Arial" w:cs="Arial"/>
          <w:b/>
          <w:bCs/>
          <w:sz w:val="22"/>
          <w:szCs w:val="22"/>
        </w:rPr>
        <w:t>(v Kč</w:t>
      </w:r>
      <w:proofErr w:type="gramEnd"/>
      <w:r w:rsidR="00264159" w:rsidRPr="0015654B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264159" w:rsidRPr="0015654B" w:rsidTr="00E50173">
        <w:trPr>
          <w:trHeight w:val="283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64159" w:rsidRPr="00C63229" w:rsidRDefault="00264159" w:rsidP="003B45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229">
              <w:rPr>
                <w:rFonts w:ascii="Arial" w:hAnsi="Arial" w:cs="Arial"/>
                <w:b/>
                <w:bCs/>
                <w:sz w:val="22"/>
                <w:szCs w:val="22"/>
              </w:rPr>
              <w:t>Podrozvahové účty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64159" w:rsidRPr="00C63229" w:rsidRDefault="00264159" w:rsidP="003B45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229">
              <w:rPr>
                <w:rFonts w:ascii="Arial" w:hAnsi="Arial" w:cs="Arial"/>
                <w:b/>
                <w:bCs/>
                <w:sz w:val="22"/>
                <w:szCs w:val="22"/>
              </w:rPr>
              <w:t>Účetní hodnota</w:t>
            </w:r>
          </w:p>
        </w:tc>
      </w:tr>
      <w:tr w:rsidR="00264159" w:rsidRPr="0015047E" w:rsidTr="008D58B2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264159" w:rsidP="003B454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gramStart"/>
            <w:r w:rsidRPr="00C63229">
              <w:rPr>
                <w:rFonts w:ascii="Arial" w:hAnsi="Arial" w:cs="Arial"/>
                <w:sz w:val="20"/>
                <w:szCs w:val="20"/>
              </w:rPr>
              <w:t>P.I.</w:t>
            </w:r>
            <w:proofErr w:type="gramEnd"/>
            <w:r w:rsidRPr="00C63229">
              <w:rPr>
                <w:rFonts w:ascii="Arial" w:hAnsi="Arial" w:cs="Arial"/>
                <w:sz w:val="20"/>
                <w:szCs w:val="20"/>
              </w:rPr>
              <w:t xml:space="preserve"> Majetek účetní jednotky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15654B" w:rsidP="00E50173">
            <w:pPr>
              <w:ind w:right="71"/>
              <w:jc w:val="right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6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229">
              <w:rPr>
                <w:rFonts w:ascii="Arial" w:hAnsi="Arial" w:cs="Arial"/>
                <w:sz w:val="22"/>
                <w:szCs w:val="22"/>
              </w:rPr>
              <w:t>964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229">
              <w:rPr>
                <w:rFonts w:ascii="Arial" w:hAnsi="Arial" w:cs="Arial"/>
                <w:sz w:val="22"/>
                <w:szCs w:val="22"/>
              </w:rPr>
              <w:t>419</w:t>
            </w:r>
            <w:r w:rsidR="00264159" w:rsidRPr="00C63229">
              <w:rPr>
                <w:rFonts w:ascii="Arial" w:hAnsi="Arial" w:cs="Arial"/>
                <w:sz w:val="22"/>
                <w:szCs w:val="22"/>
              </w:rPr>
              <w:t>,</w:t>
            </w:r>
            <w:r w:rsidRPr="00C6322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264159" w:rsidRPr="0015047E" w:rsidTr="008D58B2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15654B" w:rsidP="003B454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gramStart"/>
            <w:r w:rsidRPr="00C63229">
              <w:rPr>
                <w:rFonts w:ascii="Arial" w:hAnsi="Arial" w:cs="Arial"/>
                <w:sz w:val="20"/>
                <w:szCs w:val="20"/>
              </w:rPr>
              <w:t>P.II</w:t>
            </w:r>
            <w:proofErr w:type="gramEnd"/>
            <w:r w:rsidRPr="00C63229">
              <w:rPr>
                <w:rFonts w:ascii="Arial" w:hAnsi="Arial" w:cs="Arial"/>
                <w:sz w:val="20"/>
                <w:szCs w:val="20"/>
              </w:rPr>
              <w:t>. Vyřazené</w:t>
            </w:r>
            <w:r w:rsidR="00264159" w:rsidRPr="00C63229">
              <w:rPr>
                <w:rFonts w:ascii="Arial" w:hAnsi="Arial" w:cs="Arial"/>
                <w:sz w:val="20"/>
                <w:szCs w:val="20"/>
              </w:rPr>
              <w:t xml:space="preserve"> pohledávky a závazky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15654B" w:rsidP="00E50173">
            <w:pPr>
              <w:ind w:right="71"/>
              <w:jc w:val="right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5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229">
              <w:rPr>
                <w:rFonts w:ascii="Arial" w:hAnsi="Arial" w:cs="Arial"/>
                <w:sz w:val="22"/>
                <w:szCs w:val="22"/>
              </w:rPr>
              <w:t>588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229">
              <w:rPr>
                <w:rFonts w:ascii="Arial" w:hAnsi="Arial" w:cs="Arial"/>
                <w:sz w:val="22"/>
                <w:szCs w:val="22"/>
              </w:rPr>
              <w:t>748</w:t>
            </w:r>
            <w:r w:rsidR="00264159" w:rsidRPr="00C63229">
              <w:rPr>
                <w:rFonts w:ascii="Arial" w:hAnsi="Arial" w:cs="Arial"/>
                <w:sz w:val="22"/>
                <w:szCs w:val="22"/>
              </w:rPr>
              <w:t>,</w:t>
            </w:r>
            <w:r w:rsidRPr="00C6322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64159" w:rsidRPr="0015047E" w:rsidTr="008D58B2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264159" w:rsidP="003B454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gramStart"/>
            <w:r w:rsidRPr="00C63229">
              <w:rPr>
                <w:rFonts w:ascii="Arial" w:hAnsi="Arial" w:cs="Arial"/>
                <w:sz w:val="20"/>
                <w:szCs w:val="20"/>
              </w:rPr>
              <w:t>P.III</w:t>
            </w:r>
            <w:proofErr w:type="gramEnd"/>
            <w:r w:rsidRPr="00C63229">
              <w:rPr>
                <w:rFonts w:ascii="Arial" w:hAnsi="Arial" w:cs="Arial"/>
                <w:sz w:val="20"/>
                <w:szCs w:val="20"/>
              </w:rPr>
              <w:t xml:space="preserve">. Podmíněné pohledávky </w:t>
            </w:r>
            <w:r w:rsidR="00765F23">
              <w:rPr>
                <w:rFonts w:ascii="Arial" w:hAnsi="Arial" w:cs="Arial"/>
                <w:sz w:val="20"/>
                <w:szCs w:val="20"/>
              </w:rPr>
              <w:t>z </w:t>
            </w:r>
            <w:r w:rsidRPr="00C63229">
              <w:rPr>
                <w:rFonts w:ascii="Arial" w:hAnsi="Arial" w:cs="Arial"/>
                <w:sz w:val="20"/>
                <w:szCs w:val="20"/>
              </w:rPr>
              <w:t>důvodu užívání majetku jinou osobou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264159" w:rsidP="00E50173">
            <w:pPr>
              <w:ind w:right="71"/>
              <w:jc w:val="right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18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229">
              <w:rPr>
                <w:rFonts w:ascii="Arial" w:hAnsi="Arial" w:cs="Arial"/>
                <w:sz w:val="22"/>
                <w:szCs w:val="22"/>
              </w:rPr>
              <w:t>1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35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280</w:t>
            </w:r>
            <w:r w:rsidRPr="00C63229">
              <w:rPr>
                <w:rFonts w:ascii="Arial" w:hAnsi="Arial" w:cs="Arial"/>
                <w:sz w:val="22"/>
                <w:szCs w:val="22"/>
              </w:rPr>
              <w:t>,04</w:t>
            </w:r>
          </w:p>
        </w:tc>
      </w:tr>
      <w:tr w:rsidR="00264159" w:rsidRPr="0015047E" w:rsidTr="008D58B2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264159" w:rsidP="003B454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gramStart"/>
            <w:r w:rsidRPr="00C63229">
              <w:rPr>
                <w:rFonts w:ascii="Arial" w:hAnsi="Arial" w:cs="Arial"/>
                <w:sz w:val="20"/>
                <w:szCs w:val="20"/>
              </w:rPr>
              <w:t>P.IV</w:t>
            </w:r>
            <w:proofErr w:type="gramEnd"/>
            <w:r w:rsidRPr="00C63229">
              <w:rPr>
                <w:rFonts w:ascii="Arial" w:hAnsi="Arial" w:cs="Arial"/>
                <w:sz w:val="20"/>
                <w:szCs w:val="20"/>
              </w:rPr>
              <w:t>. Další podmíněné pohledávky a ostatní podmíněná aktiva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15654B" w:rsidP="00E50173">
            <w:pPr>
              <w:ind w:right="71"/>
              <w:jc w:val="right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13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229">
              <w:rPr>
                <w:rFonts w:ascii="Arial" w:hAnsi="Arial" w:cs="Arial"/>
                <w:sz w:val="22"/>
                <w:szCs w:val="22"/>
              </w:rPr>
              <w:t>561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229">
              <w:rPr>
                <w:rFonts w:ascii="Arial" w:hAnsi="Arial" w:cs="Arial"/>
                <w:sz w:val="22"/>
                <w:szCs w:val="22"/>
              </w:rPr>
              <w:t>276</w:t>
            </w:r>
            <w:r w:rsidR="00264159" w:rsidRPr="00C63229">
              <w:rPr>
                <w:rFonts w:ascii="Arial" w:hAnsi="Arial" w:cs="Arial"/>
                <w:sz w:val="22"/>
                <w:szCs w:val="22"/>
              </w:rPr>
              <w:t>,</w:t>
            </w:r>
            <w:r w:rsidRPr="00C6322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264159" w:rsidRPr="0015047E" w:rsidTr="008D58B2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264159" w:rsidP="003B454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gramStart"/>
            <w:r w:rsidRPr="00C63229">
              <w:rPr>
                <w:rFonts w:ascii="Arial" w:hAnsi="Arial" w:cs="Arial"/>
                <w:sz w:val="20"/>
                <w:szCs w:val="20"/>
              </w:rPr>
              <w:t>P.V.</w:t>
            </w:r>
            <w:proofErr w:type="gramEnd"/>
            <w:r w:rsidRPr="00C63229">
              <w:rPr>
                <w:rFonts w:ascii="Arial" w:hAnsi="Arial" w:cs="Arial"/>
                <w:sz w:val="20"/>
                <w:szCs w:val="20"/>
              </w:rPr>
              <w:t xml:space="preserve"> Podmíněné závazky </w:t>
            </w:r>
            <w:r w:rsidR="00765F23">
              <w:rPr>
                <w:rFonts w:ascii="Arial" w:hAnsi="Arial" w:cs="Arial"/>
                <w:sz w:val="20"/>
                <w:szCs w:val="20"/>
              </w:rPr>
              <w:t>z </w:t>
            </w:r>
            <w:r w:rsidRPr="00C63229">
              <w:rPr>
                <w:rFonts w:ascii="Arial" w:hAnsi="Arial" w:cs="Arial"/>
                <w:sz w:val="20"/>
                <w:szCs w:val="20"/>
              </w:rPr>
              <w:t>důvodu užívání cizího majetku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264159" w:rsidP="00E50173">
            <w:pPr>
              <w:ind w:right="71"/>
              <w:jc w:val="right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8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229">
              <w:rPr>
                <w:rFonts w:ascii="Arial" w:hAnsi="Arial" w:cs="Arial"/>
                <w:sz w:val="22"/>
                <w:szCs w:val="22"/>
              </w:rPr>
              <w:t>9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33</w:t>
            </w:r>
            <w:r w:rsidR="0001331E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54B" w:rsidRPr="00C63229">
              <w:rPr>
                <w:rFonts w:ascii="Arial" w:hAnsi="Arial" w:cs="Arial"/>
                <w:sz w:val="22"/>
                <w:szCs w:val="22"/>
              </w:rPr>
              <w:t>023</w:t>
            </w:r>
            <w:r w:rsidRPr="00C63229">
              <w:rPr>
                <w:rFonts w:ascii="Arial" w:hAnsi="Arial" w:cs="Arial"/>
                <w:sz w:val="22"/>
                <w:szCs w:val="22"/>
              </w:rPr>
              <w:t>,</w:t>
            </w:r>
            <w:r w:rsidR="00121869" w:rsidRPr="00C6322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264159" w:rsidRPr="0015047E" w:rsidTr="008D58B2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264159" w:rsidP="003B454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gramStart"/>
            <w:r w:rsidRPr="00C63229">
              <w:rPr>
                <w:rFonts w:ascii="Arial" w:hAnsi="Arial" w:cs="Arial"/>
                <w:sz w:val="20"/>
                <w:szCs w:val="20"/>
              </w:rPr>
              <w:t>P.VI</w:t>
            </w:r>
            <w:proofErr w:type="gramEnd"/>
            <w:r w:rsidRPr="00C63229">
              <w:rPr>
                <w:rFonts w:ascii="Arial" w:hAnsi="Arial" w:cs="Arial"/>
                <w:sz w:val="20"/>
                <w:szCs w:val="20"/>
              </w:rPr>
              <w:t>. Další podmíněné závazky a ostatní podmíněná pasiva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264159" w:rsidP="00E50173">
            <w:pPr>
              <w:ind w:right="71"/>
              <w:jc w:val="right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C63229">
              <w:rPr>
                <w:rFonts w:ascii="Arial" w:hAnsi="Arial" w:cs="Arial"/>
                <w:sz w:val="22"/>
                <w:szCs w:val="22"/>
              </w:rPr>
              <w:t>5</w:t>
            </w:r>
            <w:r w:rsidR="00121869" w:rsidRPr="00C63229">
              <w:rPr>
                <w:rFonts w:ascii="Arial" w:hAnsi="Arial" w:cs="Arial"/>
                <w:sz w:val="22"/>
                <w:szCs w:val="22"/>
              </w:rPr>
              <w:t>1</w:t>
            </w:r>
            <w:r w:rsidR="005F3102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869" w:rsidRPr="00C63229">
              <w:rPr>
                <w:rFonts w:ascii="Arial" w:hAnsi="Arial" w:cs="Arial"/>
                <w:sz w:val="22"/>
                <w:szCs w:val="22"/>
              </w:rPr>
              <w:t>673</w:t>
            </w:r>
            <w:r w:rsidR="005F3102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578" w:rsidRPr="00C63229">
              <w:rPr>
                <w:rFonts w:ascii="Arial" w:hAnsi="Arial" w:cs="Arial"/>
                <w:sz w:val="22"/>
                <w:szCs w:val="22"/>
              </w:rPr>
              <w:t>614</w:t>
            </w:r>
            <w:r w:rsidR="005F3102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578" w:rsidRPr="00C63229">
              <w:rPr>
                <w:rFonts w:ascii="Arial" w:hAnsi="Arial" w:cs="Arial"/>
                <w:sz w:val="22"/>
                <w:szCs w:val="22"/>
              </w:rPr>
              <w:t>477,29</w:t>
            </w:r>
            <w:r w:rsidR="00121869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64159" w:rsidRPr="0015047E" w:rsidTr="008D58B2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264159" w:rsidP="003B454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gramStart"/>
            <w:r w:rsidRPr="00C63229">
              <w:rPr>
                <w:rFonts w:ascii="Arial" w:hAnsi="Arial" w:cs="Arial"/>
                <w:sz w:val="20"/>
                <w:szCs w:val="20"/>
              </w:rPr>
              <w:t>P.VII</w:t>
            </w:r>
            <w:proofErr w:type="gramEnd"/>
            <w:r w:rsidRPr="00C63229">
              <w:rPr>
                <w:rFonts w:ascii="Arial" w:hAnsi="Arial" w:cs="Arial"/>
                <w:sz w:val="20"/>
                <w:szCs w:val="20"/>
              </w:rPr>
              <w:t>. Vyrovnávací účty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9" w:rsidRPr="00C63229" w:rsidRDefault="00740D19" w:rsidP="00E50173">
            <w:pPr>
              <w:ind w:right="71"/>
              <w:jc w:val="right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997B05">
              <w:rPr>
                <w:rFonts w:ascii="Arial" w:hAnsi="Arial" w:cs="Arial"/>
              </w:rPr>
              <w:t>−</w:t>
            </w:r>
            <w:r w:rsidR="00810578" w:rsidRPr="00C63229">
              <w:rPr>
                <w:rFonts w:ascii="Arial" w:hAnsi="Arial" w:cs="Arial"/>
                <w:sz w:val="22"/>
                <w:szCs w:val="22"/>
              </w:rPr>
              <w:t>51</w:t>
            </w:r>
            <w:r w:rsidR="005F3102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578" w:rsidRPr="00C63229">
              <w:rPr>
                <w:rFonts w:ascii="Arial" w:hAnsi="Arial" w:cs="Arial"/>
                <w:sz w:val="22"/>
                <w:szCs w:val="22"/>
              </w:rPr>
              <w:t>645</w:t>
            </w:r>
            <w:r w:rsidR="005F3102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578" w:rsidRPr="00C63229">
              <w:rPr>
                <w:rFonts w:ascii="Arial" w:hAnsi="Arial" w:cs="Arial"/>
                <w:sz w:val="22"/>
                <w:szCs w:val="22"/>
              </w:rPr>
              <w:t>362</w:t>
            </w:r>
            <w:r w:rsidR="005F3102" w:rsidRPr="00C6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578" w:rsidRPr="00C63229">
              <w:rPr>
                <w:rFonts w:ascii="Arial" w:hAnsi="Arial" w:cs="Arial"/>
                <w:sz w:val="22"/>
                <w:szCs w:val="22"/>
              </w:rPr>
              <w:t>198,27</w:t>
            </w:r>
          </w:p>
        </w:tc>
      </w:tr>
    </w:tbl>
    <w:p w:rsidR="00264159" w:rsidRPr="0015654B" w:rsidRDefault="00264159" w:rsidP="00E379CA">
      <w:pPr>
        <w:spacing w:before="40"/>
        <w:rPr>
          <w:rFonts w:ascii="Arial" w:hAnsi="Arial" w:cs="Arial"/>
          <w:sz w:val="18"/>
          <w:szCs w:val="18"/>
          <w:lang w:eastAsia="cs-CZ"/>
        </w:rPr>
      </w:pPr>
      <w:r w:rsidRPr="0015654B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15654B">
        <w:rPr>
          <w:rFonts w:ascii="Arial" w:hAnsi="Arial" w:cs="Arial"/>
          <w:sz w:val="18"/>
          <w:szCs w:val="18"/>
          <w:lang w:eastAsia="cs-CZ"/>
        </w:rPr>
        <w:t xml:space="preserve"> </w:t>
      </w:r>
      <w:r w:rsidR="00646D32" w:rsidRPr="0015654B">
        <w:rPr>
          <w:rFonts w:ascii="Arial" w:hAnsi="Arial" w:cs="Arial"/>
          <w:sz w:val="18"/>
          <w:szCs w:val="18"/>
          <w:lang w:eastAsia="cs-CZ"/>
        </w:rPr>
        <w:t>ú</w:t>
      </w:r>
      <w:r w:rsidRPr="0015654B">
        <w:rPr>
          <w:rFonts w:ascii="Arial" w:hAnsi="Arial" w:cs="Arial"/>
          <w:sz w:val="18"/>
          <w:szCs w:val="18"/>
          <w:lang w:eastAsia="cs-CZ"/>
        </w:rPr>
        <w:t xml:space="preserve">četní závěrka MŠMT </w:t>
      </w:r>
      <w:r w:rsidR="00765F23">
        <w:rPr>
          <w:rFonts w:ascii="Arial" w:hAnsi="Arial" w:cs="Arial"/>
          <w:sz w:val="18"/>
          <w:szCs w:val="18"/>
          <w:lang w:eastAsia="cs-CZ"/>
        </w:rPr>
        <w:t>k </w:t>
      </w:r>
      <w:r w:rsidRPr="0015654B">
        <w:rPr>
          <w:rFonts w:ascii="Arial" w:hAnsi="Arial" w:cs="Arial"/>
          <w:sz w:val="18"/>
          <w:szCs w:val="18"/>
          <w:lang w:eastAsia="cs-CZ"/>
        </w:rPr>
        <w:t>31. prosinci 201</w:t>
      </w:r>
      <w:r w:rsidR="0015654B" w:rsidRPr="0015654B">
        <w:rPr>
          <w:rFonts w:ascii="Arial" w:hAnsi="Arial" w:cs="Arial"/>
          <w:sz w:val="18"/>
          <w:szCs w:val="18"/>
          <w:lang w:eastAsia="cs-CZ"/>
        </w:rPr>
        <w:t>2</w:t>
      </w:r>
      <w:r w:rsidRPr="0015654B">
        <w:rPr>
          <w:rFonts w:ascii="Arial" w:hAnsi="Arial" w:cs="Arial"/>
          <w:sz w:val="18"/>
          <w:szCs w:val="18"/>
          <w:lang w:eastAsia="cs-CZ"/>
        </w:rPr>
        <w:t>.</w:t>
      </w:r>
    </w:p>
    <w:p w:rsidR="00264159" w:rsidRPr="0015047E" w:rsidRDefault="00264159" w:rsidP="00C369C1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C369C1" w:rsidRPr="00EE4910" w:rsidRDefault="00E379CA" w:rsidP="00E379CA">
      <w:pPr>
        <w:pStyle w:val="NormlnKZ"/>
        <w:spacing w:after="0"/>
        <w:ind w:left="426" w:hanging="426"/>
        <w:rPr>
          <w:rFonts w:ascii="Arial" w:hAnsi="Arial" w:cs="Arial"/>
          <w:b/>
          <w:szCs w:val="22"/>
        </w:rPr>
      </w:pPr>
      <w:r w:rsidRPr="00EE4910">
        <w:rPr>
          <w:rFonts w:ascii="Arial" w:hAnsi="Arial" w:cs="Arial"/>
          <w:b/>
          <w:szCs w:val="22"/>
        </w:rPr>
        <w:t xml:space="preserve">1.1 </w:t>
      </w:r>
      <w:r w:rsidR="00C369C1" w:rsidRPr="00EE4910">
        <w:rPr>
          <w:rFonts w:ascii="Arial" w:hAnsi="Arial" w:cs="Arial"/>
          <w:b/>
          <w:szCs w:val="22"/>
        </w:rPr>
        <w:t xml:space="preserve">Regulace účinná </w:t>
      </w:r>
      <w:r w:rsidR="00765F23">
        <w:rPr>
          <w:rFonts w:ascii="Arial" w:hAnsi="Arial" w:cs="Arial"/>
          <w:b/>
          <w:szCs w:val="22"/>
        </w:rPr>
        <w:t>v </w:t>
      </w:r>
      <w:r w:rsidR="00C369C1" w:rsidRPr="00EE4910">
        <w:rPr>
          <w:rFonts w:ascii="Arial" w:hAnsi="Arial" w:cs="Arial"/>
          <w:b/>
          <w:szCs w:val="22"/>
        </w:rPr>
        <w:t>roce 201</w:t>
      </w:r>
      <w:r w:rsidR="00EE4910" w:rsidRPr="00EE4910">
        <w:rPr>
          <w:rFonts w:ascii="Arial" w:hAnsi="Arial" w:cs="Arial"/>
          <w:b/>
          <w:szCs w:val="22"/>
        </w:rPr>
        <w:t>2</w:t>
      </w:r>
      <w:r w:rsidR="00D6753C" w:rsidRPr="00EE4910">
        <w:rPr>
          <w:rFonts w:ascii="Arial" w:hAnsi="Arial" w:cs="Arial"/>
          <w:b/>
          <w:szCs w:val="22"/>
        </w:rPr>
        <w:t xml:space="preserve"> </w:t>
      </w:r>
      <w:r w:rsidR="00E94004" w:rsidRPr="00EE4910">
        <w:rPr>
          <w:rFonts w:ascii="Arial" w:hAnsi="Arial" w:cs="Arial"/>
          <w:b/>
          <w:szCs w:val="22"/>
        </w:rPr>
        <w:t xml:space="preserve">a její vliv na ÚZ a na možnost vyjádřit se </w:t>
      </w:r>
      <w:r w:rsidR="00765F23">
        <w:rPr>
          <w:rFonts w:ascii="Arial" w:hAnsi="Arial" w:cs="Arial"/>
          <w:b/>
          <w:szCs w:val="22"/>
        </w:rPr>
        <w:t>k </w:t>
      </w:r>
      <w:r w:rsidR="00E94004" w:rsidRPr="00EE4910">
        <w:rPr>
          <w:rFonts w:ascii="Arial" w:hAnsi="Arial" w:cs="Arial"/>
          <w:b/>
          <w:szCs w:val="22"/>
        </w:rPr>
        <w:t>její spolehlivosti</w:t>
      </w:r>
    </w:p>
    <w:p w:rsidR="00763584" w:rsidRPr="0015047E" w:rsidRDefault="00763584" w:rsidP="00E379CA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  <w:lang w:eastAsia="en-US"/>
        </w:rPr>
      </w:pPr>
    </w:p>
    <w:p w:rsidR="007E574F" w:rsidRPr="0087660C" w:rsidRDefault="00765F23" w:rsidP="00E379C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 </w:t>
      </w:r>
      <w:r w:rsidR="0020166D">
        <w:rPr>
          <w:rFonts w:ascii="Arial" w:hAnsi="Arial" w:cs="Arial"/>
          <w:bCs/>
          <w:sz w:val="22"/>
          <w:szCs w:val="22"/>
        </w:rPr>
        <w:t>účinností pro rok 2012</w:t>
      </w:r>
      <w:r w:rsidR="005B5133" w:rsidRPr="00EE4910">
        <w:rPr>
          <w:rFonts w:ascii="Arial" w:hAnsi="Arial" w:cs="Arial"/>
          <w:bCs/>
          <w:sz w:val="22"/>
          <w:szCs w:val="22"/>
        </w:rPr>
        <w:t xml:space="preserve"> byl</w:t>
      </w:r>
      <w:r w:rsidR="00665956" w:rsidRPr="00EE4910">
        <w:rPr>
          <w:rFonts w:ascii="Arial" w:hAnsi="Arial" w:cs="Arial"/>
          <w:bCs/>
          <w:sz w:val="22"/>
          <w:szCs w:val="22"/>
        </w:rPr>
        <w:t xml:space="preserve"> </w:t>
      </w:r>
      <w:r w:rsidR="005B5133" w:rsidRPr="00EE4910">
        <w:rPr>
          <w:rFonts w:ascii="Arial" w:hAnsi="Arial" w:cs="Arial"/>
          <w:bCs/>
          <w:sz w:val="22"/>
          <w:szCs w:val="22"/>
        </w:rPr>
        <w:t xml:space="preserve">novelizován zákon </w:t>
      </w:r>
      <w:r w:rsidR="00025D2C">
        <w:rPr>
          <w:rFonts w:ascii="Arial" w:hAnsi="Arial" w:cs="Arial"/>
          <w:bCs/>
          <w:sz w:val="22"/>
          <w:szCs w:val="22"/>
        </w:rPr>
        <w:t>o účetnictví</w:t>
      </w:r>
      <w:r w:rsidR="00740D19">
        <w:rPr>
          <w:rFonts w:ascii="Arial" w:hAnsi="Arial" w:cs="Arial"/>
          <w:bCs/>
          <w:sz w:val="22"/>
          <w:szCs w:val="22"/>
        </w:rPr>
        <w:t xml:space="preserve"> a</w:t>
      </w:r>
      <w:r w:rsidR="00025D2C">
        <w:rPr>
          <w:rFonts w:ascii="Arial" w:hAnsi="Arial" w:cs="Arial"/>
          <w:bCs/>
          <w:sz w:val="22"/>
          <w:szCs w:val="22"/>
        </w:rPr>
        <w:t xml:space="preserve"> </w:t>
      </w:r>
      <w:r w:rsidR="00136711" w:rsidRPr="00EE4910">
        <w:rPr>
          <w:rFonts w:ascii="Arial" w:hAnsi="Arial" w:cs="Arial"/>
          <w:bCs/>
          <w:sz w:val="22"/>
          <w:szCs w:val="22"/>
        </w:rPr>
        <w:t>vyhláška č. 410/2009 Sb</w:t>
      </w:r>
      <w:r w:rsidR="00CC2FBE" w:rsidRPr="00EE4910">
        <w:rPr>
          <w:rFonts w:ascii="Arial" w:hAnsi="Arial" w:cs="Arial"/>
          <w:bCs/>
          <w:sz w:val="22"/>
          <w:szCs w:val="22"/>
        </w:rPr>
        <w:t>.</w:t>
      </w:r>
      <w:r w:rsidR="006512CE" w:rsidRPr="00EE4910">
        <w:rPr>
          <w:rFonts w:ascii="Arial" w:hAnsi="Arial" w:cs="Arial"/>
          <w:bCs/>
          <w:sz w:val="22"/>
          <w:szCs w:val="22"/>
        </w:rPr>
        <w:t>, kterou se provádějí některá ustanovení zákona č. 563/1991 Sb., o účetnictví, ve znění pozdějších předpisů, pro některé vybrané účetní jednotky</w:t>
      </w:r>
      <w:r w:rsidR="00740D19">
        <w:rPr>
          <w:rFonts w:ascii="Arial" w:hAnsi="Arial" w:cs="Arial"/>
          <w:bCs/>
          <w:sz w:val="22"/>
          <w:szCs w:val="22"/>
        </w:rPr>
        <w:t>. Zároveň byla novelizována</w:t>
      </w:r>
      <w:r w:rsidR="006972DC">
        <w:rPr>
          <w:rFonts w:ascii="Arial" w:hAnsi="Arial" w:cs="Arial"/>
          <w:bCs/>
          <w:sz w:val="22"/>
          <w:szCs w:val="22"/>
        </w:rPr>
        <w:t xml:space="preserve"> také</w:t>
      </w:r>
      <w:r w:rsidR="00C369C1" w:rsidRPr="0087660C">
        <w:rPr>
          <w:rFonts w:ascii="Arial" w:hAnsi="Arial" w:cs="Arial"/>
          <w:bCs/>
          <w:sz w:val="22"/>
          <w:szCs w:val="22"/>
        </w:rPr>
        <w:t xml:space="preserve"> vyhláška</w:t>
      </w:r>
      <w:r w:rsidR="007F6E6C" w:rsidRPr="0087660C">
        <w:rPr>
          <w:rFonts w:ascii="Arial" w:hAnsi="Arial" w:cs="Arial"/>
          <w:bCs/>
          <w:sz w:val="22"/>
          <w:szCs w:val="22"/>
        </w:rPr>
        <w:t xml:space="preserve"> </w:t>
      </w:r>
      <w:r w:rsidR="00136711" w:rsidRPr="0087660C">
        <w:rPr>
          <w:rFonts w:ascii="Arial" w:hAnsi="Arial" w:cs="Arial"/>
          <w:bCs/>
          <w:sz w:val="22"/>
          <w:szCs w:val="22"/>
        </w:rPr>
        <w:t>č. 383/2009 Sb., o</w:t>
      </w:r>
      <w:r w:rsidR="002B51EB">
        <w:rPr>
          <w:rFonts w:ascii="Arial" w:hAnsi="Arial" w:cs="Arial"/>
          <w:bCs/>
          <w:sz w:val="22"/>
          <w:szCs w:val="22"/>
        </w:rPr>
        <w:t> </w:t>
      </w:r>
      <w:r w:rsidR="00136711" w:rsidRPr="0087660C">
        <w:rPr>
          <w:rFonts w:ascii="Arial" w:hAnsi="Arial" w:cs="Arial"/>
          <w:bCs/>
          <w:sz w:val="22"/>
          <w:szCs w:val="22"/>
        </w:rPr>
        <w:t xml:space="preserve">účetních záznamech </w:t>
      </w:r>
      <w:r>
        <w:rPr>
          <w:rFonts w:ascii="Arial" w:hAnsi="Arial" w:cs="Arial"/>
          <w:bCs/>
          <w:sz w:val="22"/>
          <w:szCs w:val="22"/>
        </w:rPr>
        <w:t>v </w:t>
      </w:r>
      <w:r w:rsidR="00136711" w:rsidRPr="0087660C">
        <w:rPr>
          <w:rFonts w:ascii="Arial" w:hAnsi="Arial" w:cs="Arial"/>
          <w:bCs/>
          <w:sz w:val="22"/>
          <w:szCs w:val="22"/>
        </w:rPr>
        <w:t>technické formě vybraných účetních jednotek</w:t>
      </w:r>
      <w:r w:rsidR="007E574F" w:rsidRPr="0087660C">
        <w:rPr>
          <w:rFonts w:ascii="Arial" w:hAnsi="Arial" w:cs="Arial"/>
          <w:bCs/>
          <w:sz w:val="22"/>
          <w:szCs w:val="22"/>
        </w:rPr>
        <w:t xml:space="preserve"> a jejich předávání do centrálního systému účetních informací státu a o požadavcích na technické a</w:t>
      </w:r>
      <w:r w:rsidR="005F3102">
        <w:rPr>
          <w:rFonts w:ascii="Arial" w:hAnsi="Arial" w:cs="Arial"/>
          <w:bCs/>
          <w:sz w:val="22"/>
          <w:szCs w:val="22"/>
        </w:rPr>
        <w:t xml:space="preserve"> </w:t>
      </w:r>
      <w:r w:rsidR="007E574F" w:rsidRPr="0087660C">
        <w:rPr>
          <w:rFonts w:ascii="Arial" w:hAnsi="Arial" w:cs="Arial"/>
          <w:bCs/>
          <w:sz w:val="22"/>
          <w:szCs w:val="22"/>
        </w:rPr>
        <w:t>smíšené formy účetních záznamů (technická</w:t>
      </w:r>
      <w:r w:rsidR="007F6E6C" w:rsidRPr="0087660C">
        <w:rPr>
          <w:rFonts w:ascii="Arial" w:hAnsi="Arial" w:cs="Arial"/>
          <w:bCs/>
          <w:sz w:val="22"/>
          <w:szCs w:val="22"/>
        </w:rPr>
        <w:t xml:space="preserve"> vyhláška o účetních záznamech)</w:t>
      </w:r>
      <w:r w:rsidR="00E46E4D" w:rsidRPr="0087660C">
        <w:rPr>
          <w:rFonts w:ascii="Arial" w:hAnsi="Arial" w:cs="Arial"/>
          <w:bCs/>
          <w:sz w:val="22"/>
          <w:szCs w:val="22"/>
        </w:rPr>
        <w:t xml:space="preserve">, a to zejména </w:t>
      </w:r>
      <w:r>
        <w:rPr>
          <w:rFonts w:ascii="Arial" w:hAnsi="Arial" w:cs="Arial"/>
          <w:bCs/>
          <w:sz w:val="22"/>
          <w:szCs w:val="22"/>
        </w:rPr>
        <w:t>v </w:t>
      </w:r>
      <w:r w:rsidR="00E46E4D" w:rsidRPr="0087660C">
        <w:rPr>
          <w:rFonts w:ascii="Arial" w:hAnsi="Arial" w:cs="Arial"/>
          <w:bCs/>
          <w:sz w:val="22"/>
          <w:szCs w:val="22"/>
        </w:rPr>
        <w:t xml:space="preserve">souvislosti se zavedením povinnosti předávat pomocný analytický přehled. </w:t>
      </w:r>
    </w:p>
    <w:p w:rsidR="00E379CA" w:rsidRDefault="00E379CA" w:rsidP="00E379CA">
      <w:pPr>
        <w:jc w:val="both"/>
        <w:rPr>
          <w:rFonts w:ascii="Arial" w:hAnsi="Arial" w:cs="Arial"/>
          <w:bCs/>
          <w:sz w:val="22"/>
          <w:szCs w:val="22"/>
          <w:highlight w:val="green"/>
        </w:rPr>
      </w:pPr>
    </w:p>
    <w:p w:rsidR="0080604A" w:rsidRPr="001233B8" w:rsidRDefault="0080604A" w:rsidP="00E379CA">
      <w:pPr>
        <w:jc w:val="both"/>
        <w:rPr>
          <w:rFonts w:ascii="Arial" w:hAnsi="Arial" w:cs="Arial"/>
          <w:bCs/>
          <w:sz w:val="22"/>
          <w:szCs w:val="22"/>
        </w:rPr>
      </w:pPr>
      <w:r w:rsidRPr="001233B8">
        <w:rPr>
          <w:rFonts w:ascii="Arial" w:hAnsi="Arial" w:cs="Arial"/>
          <w:bCs/>
          <w:sz w:val="22"/>
          <w:szCs w:val="22"/>
        </w:rPr>
        <w:t>Nov</w:t>
      </w:r>
      <w:r>
        <w:rPr>
          <w:rFonts w:ascii="Arial" w:hAnsi="Arial" w:cs="Arial"/>
          <w:bCs/>
          <w:sz w:val="22"/>
          <w:szCs w:val="22"/>
        </w:rPr>
        <w:t>elizace vyhlášky č. 410/2009 Sb. se týkala téměř všech ustanovení, obsahovala 215</w:t>
      </w:r>
      <w:r w:rsidR="00690F62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novelizačních bodů odlišného významu a dopadu. Pro účetní období 2012 však stále existovalo množství položek rozvahy a výkazu zisku a ztráty, které </w:t>
      </w:r>
      <w:r w:rsidR="00740D19">
        <w:rPr>
          <w:rFonts w:ascii="Arial" w:hAnsi="Arial" w:cs="Arial"/>
          <w:bCs/>
          <w:sz w:val="22"/>
          <w:szCs w:val="22"/>
        </w:rPr>
        <w:t xml:space="preserve">nejsou </w:t>
      </w:r>
      <w:r>
        <w:rPr>
          <w:rFonts w:ascii="Arial" w:hAnsi="Arial" w:cs="Arial"/>
          <w:bCs/>
          <w:sz w:val="22"/>
          <w:szCs w:val="22"/>
        </w:rPr>
        <w:t xml:space="preserve">ve vyhlášce </w:t>
      </w:r>
      <w:r w:rsidR="00740D19">
        <w:rPr>
          <w:rFonts w:ascii="Arial" w:hAnsi="Arial" w:cs="Arial"/>
          <w:bCs/>
          <w:sz w:val="22"/>
          <w:szCs w:val="22"/>
        </w:rPr>
        <w:t xml:space="preserve">obsahově </w:t>
      </w:r>
      <w:r>
        <w:rPr>
          <w:rFonts w:ascii="Arial" w:hAnsi="Arial" w:cs="Arial"/>
          <w:bCs/>
          <w:sz w:val="22"/>
          <w:szCs w:val="22"/>
        </w:rPr>
        <w:t>vymezeny</w:t>
      </w:r>
      <w:r w:rsidR="00740D19">
        <w:rPr>
          <w:rFonts w:ascii="Arial" w:hAnsi="Arial" w:cs="Arial"/>
          <w:bCs/>
          <w:sz w:val="22"/>
          <w:szCs w:val="22"/>
        </w:rPr>
        <w:t>.</w:t>
      </w:r>
      <w:r w:rsidR="00DC1A2F">
        <w:rPr>
          <w:rFonts w:ascii="Arial" w:hAnsi="Arial" w:cs="Arial"/>
          <w:bCs/>
          <w:sz w:val="22"/>
          <w:szCs w:val="22"/>
        </w:rPr>
        <w:t xml:space="preserve"> </w:t>
      </w:r>
      <w:r w:rsidR="00740D19">
        <w:rPr>
          <w:rFonts w:ascii="Arial" w:hAnsi="Arial" w:cs="Arial"/>
          <w:bCs/>
          <w:sz w:val="22"/>
          <w:szCs w:val="22"/>
        </w:rPr>
        <w:t>P</w:t>
      </w:r>
      <w:r w:rsidR="00DC1A2F">
        <w:rPr>
          <w:rFonts w:ascii="Arial" w:hAnsi="Arial" w:cs="Arial"/>
          <w:bCs/>
          <w:sz w:val="22"/>
          <w:szCs w:val="22"/>
        </w:rPr>
        <w:t>ro</w:t>
      </w:r>
      <w:r>
        <w:rPr>
          <w:rFonts w:ascii="Arial" w:hAnsi="Arial" w:cs="Arial"/>
          <w:bCs/>
          <w:sz w:val="22"/>
          <w:szCs w:val="22"/>
        </w:rPr>
        <w:t xml:space="preserve"> určení jejich obsahového vymezení je nutné vycházet </w:t>
      </w:r>
      <w:r w:rsidR="00765F23">
        <w:rPr>
          <w:rFonts w:ascii="Arial" w:hAnsi="Arial" w:cs="Arial"/>
          <w:bCs/>
          <w:sz w:val="22"/>
          <w:szCs w:val="22"/>
        </w:rPr>
        <w:t>z </w:t>
      </w:r>
      <w:r>
        <w:rPr>
          <w:rFonts w:ascii="Arial" w:hAnsi="Arial" w:cs="Arial"/>
          <w:bCs/>
          <w:sz w:val="22"/>
          <w:szCs w:val="22"/>
        </w:rPr>
        <w:t>§</w:t>
      </w:r>
      <w:r w:rsidR="002B51EB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10 odst.</w:t>
      </w:r>
      <w:r w:rsidR="00690F62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1 vyhlášky</w:t>
      </w:r>
      <w:r w:rsidR="00740D19">
        <w:rPr>
          <w:rFonts w:ascii="Arial" w:hAnsi="Arial" w:cs="Arial"/>
          <w:bCs/>
          <w:sz w:val="22"/>
          <w:szCs w:val="22"/>
        </w:rPr>
        <w:t xml:space="preserve"> č. 410/2009 Sb.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740D19">
        <w:rPr>
          <w:rFonts w:ascii="Arial" w:hAnsi="Arial" w:cs="Arial"/>
          <w:bCs/>
          <w:sz w:val="22"/>
          <w:szCs w:val="22"/>
        </w:rPr>
        <w:t>kde je stanoveno</w:t>
      </w:r>
      <w:r>
        <w:rPr>
          <w:rFonts w:ascii="Arial" w:hAnsi="Arial" w:cs="Arial"/>
          <w:bCs/>
          <w:sz w:val="22"/>
          <w:szCs w:val="22"/>
        </w:rPr>
        <w:t>, že ne</w:t>
      </w:r>
      <w:r w:rsidR="00740D19">
        <w:rPr>
          <w:rFonts w:ascii="Arial" w:hAnsi="Arial" w:cs="Arial"/>
          <w:bCs/>
          <w:sz w:val="22"/>
          <w:szCs w:val="22"/>
        </w:rPr>
        <w:t>určí-li</w:t>
      </w:r>
      <w:r>
        <w:rPr>
          <w:rFonts w:ascii="Arial" w:hAnsi="Arial" w:cs="Arial"/>
          <w:bCs/>
          <w:sz w:val="22"/>
          <w:szCs w:val="22"/>
        </w:rPr>
        <w:t xml:space="preserve"> příslušné ustanovení vyhlášky jinak, obsahové vymezení jednotlivých položek účetní závěrky vychází </w:t>
      </w:r>
      <w:r w:rsidR="00765F23">
        <w:rPr>
          <w:rFonts w:ascii="Arial" w:hAnsi="Arial" w:cs="Arial"/>
          <w:bCs/>
          <w:sz w:val="22"/>
          <w:szCs w:val="22"/>
        </w:rPr>
        <w:t>z </w:t>
      </w:r>
      <w:r>
        <w:rPr>
          <w:rFonts w:ascii="Arial" w:hAnsi="Arial" w:cs="Arial"/>
          <w:bCs/>
          <w:sz w:val="22"/>
          <w:szCs w:val="22"/>
        </w:rPr>
        <w:t xml:space="preserve">názvu dané položky, jejího systematického zatřídění </w:t>
      </w:r>
      <w:r w:rsidR="00765F23">
        <w:rPr>
          <w:rFonts w:ascii="Arial" w:hAnsi="Arial" w:cs="Arial"/>
          <w:bCs/>
          <w:sz w:val="22"/>
          <w:szCs w:val="22"/>
        </w:rPr>
        <w:t>v </w:t>
      </w:r>
      <w:r>
        <w:rPr>
          <w:rFonts w:ascii="Arial" w:hAnsi="Arial" w:cs="Arial"/>
          <w:bCs/>
          <w:sz w:val="22"/>
          <w:szCs w:val="22"/>
        </w:rPr>
        <w:t xml:space="preserve">příslušné části účetní závěrky a případně </w:t>
      </w:r>
      <w:r w:rsidR="00765F23">
        <w:rPr>
          <w:rFonts w:ascii="Arial" w:hAnsi="Arial" w:cs="Arial"/>
          <w:bCs/>
          <w:sz w:val="22"/>
          <w:szCs w:val="22"/>
        </w:rPr>
        <w:lastRenderedPageBreak/>
        <w:t>z </w:t>
      </w:r>
      <w:r>
        <w:rPr>
          <w:rFonts w:ascii="Arial" w:hAnsi="Arial" w:cs="Arial"/>
          <w:bCs/>
          <w:sz w:val="22"/>
          <w:szCs w:val="22"/>
        </w:rPr>
        <w:t xml:space="preserve">obvyklého způsobu užití příslušného syntetického účtu. </w:t>
      </w:r>
      <w:r w:rsidR="00740D19">
        <w:rPr>
          <w:rFonts w:ascii="Arial" w:hAnsi="Arial" w:cs="Arial"/>
          <w:bCs/>
          <w:sz w:val="22"/>
          <w:szCs w:val="22"/>
        </w:rPr>
        <w:t xml:space="preserve">Ve vyhlášce </w:t>
      </w:r>
      <w:r>
        <w:rPr>
          <w:rFonts w:ascii="Arial" w:hAnsi="Arial" w:cs="Arial"/>
          <w:bCs/>
          <w:sz w:val="22"/>
          <w:szCs w:val="22"/>
        </w:rPr>
        <w:t>nejsou vymezeny obsahy 31 rozvahových účtů a 27 výsledkových účtů.</w:t>
      </w:r>
    </w:p>
    <w:p w:rsidR="006972DC" w:rsidRPr="0015047E" w:rsidRDefault="006972DC" w:rsidP="00E379CA">
      <w:pPr>
        <w:jc w:val="both"/>
        <w:rPr>
          <w:rFonts w:ascii="Arial" w:hAnsi="Arial" w:cs="Arial"/>
          <w:bCs/>
          <w:sz w:val="22"/>
          <w:szCs w:val="22"/>
          <w:highlight w:val="green"/>
        </w:rPr>
      </w:pPr>
    </w:p>
    <w:p w:rsidR="00B42BBD" w:rsidRPr="0087660C" w:rsidRDefault="00B42BBD" w:rsidP="00E379CA">
      <w:pPr>
        <w:jc w:val="both"/>
        <w:rPr>
          <w:rFonts w:ascii="Arial" w:hAnsi="Arial" w:cs="Arial"/>
          <w:bCs/>
          <w:sz w:val="22"/>
          <w:szCs w:val="22"/>
        </w:rPr>
      </w:pPr>
      <w:r w:rsidRPr="0087660C">
        <w:rPr>
          <w:rFonts w:ascii="Arial" w:hAnsi="Arial" w:cs="Arial"/>
          <w:bCs/>
          <w:sz w:val="22"/>
          <w:szCs w:val="22"/>
        </w:rPr>
        <w:t xml:space="preserve">Účetní regulace platná pro </w:t>
      </w:r>
      <w:r w:rsidR="00803F57" w:rsidRPr="0087660C">
        <w:rPr>
          <w:rFonts w:ascii="Arial" w:hAnsi="Arial" w:cs="Arial"/>
          <w:bCs/>
          <w:sz w:val="22"/>
          <w:szCs w:val="22"/>
        </w:rPr>
        <w:t>OSS</w:t>
      </w:r>
      <w:r w:rsidRPr="0087660C">
        <w:rPr>
          <w:rFonts w:ascii="Arial" w:hAnsi="Arial" w:cs="Arial"/>
          <w:bCs/>
          <w:sz w:val="22"/>
          <w:szCs w:val="22"/>
        </w:rPr>
        <w:t xml:space="preserve"> </w:t>
      </w:r>
      <w:r w:rsidR="00E46E4D" w:rsidRPr="0087660C">
        <w:rPr>
          <w:rFonts w:ascii="Arial" w:hAnsi="Arial" w:cs="Arial"/>
          <w:bCs/>
          <w:sz w:val="22"/>
          <w:szCs w:val="22"/>
        </w:rPr>
        <w:t>ne</w:t>
      </w:r>
      <w:r w:rsidRPr="0087660C">
        <w:rPr>
          <w:rFonts w:ascii="Arial" w:hAnsi="Arial" w:cs="Arial"/>
          <w:bCs/>
          <w:sz w:val="22"/>
          <w:szCs w:val="22"/>
        </w:rPr>
        <w:t>byla pro účetní období roku 201</w:t>
      </w:r>
      <w:r w:rsidR="00E46E4D" w:rsidRPr="0087660C">
        <w:rPr>
          <w:rFonts w:ascii="Arial" w:hAnsi="Arial" w:cs="Arial"/>
          <w:bCs/>
          <w:sz w:val="22"/>
          <w:szCs w:val="22"/>
        </w:rPr>
        <w:t>2</w:t>
      </w:r>
      <w:r w:rsidRPr="0087660C">
        <w:rPr>
          <w:rFonts w:ascii="Arial" w:hAnsi="Arial" w:cs="Arial"/>
          <w:bCs/>
          <w:sz w:val="22"/>
          <w:szCs w:val="22"/>
        </w:rPr>
        <w:t xml:space="preserve"> doplněna </w:t>
      </w:r>
      <w:r w:rsidR="00E46E4D" w:rsidRPr="0087660C">
        <w:rPr>
          <w:rFonts w:ascii="Arial" w:hAnsi="Arial" w:cs="Arial"/>
          <w:bCs/>
          <w:sz w:val="22"/>
          <w:szCs w:val="22"/>
        </w:rPr>
        <w:t>žádnými novými</w:t>
      </w:r>
      <w:r w:rsidRPr="0087660C">
        <w:rPr>
          <w:rFonts w:ascii="Arial" w:hAnsi="Arial" w:cs="Arial"/>
          <w:bCs/>
          <w:sz w:val="22"/>
          <w:szCs w:val="22"/>
        </w:rPr>
        <w:t xml:space="preserve"> český</w:t>
      </w:r>
      <w:r w:rsidR="00E46E4D" w:rsidRPr="0087660C">
        <w:rPr>
          <w:rFonts w:ascii="Arial" w:hAnsi="Arial" w:cs="Arial"/>
          <w:bCs/>
          <w:sz w:val="22"/>
          <w:szCs w:val="22"/>
        </w:rPr>
        <w:t>mi</w:t>
      </w:r>
      <w:r w:rsidRPr="0087660C">
        <w:rPr>
          <w:rFonts w:ascii="Arial" w:hAnsi="Arial" w:cs="Arial"/>
          <w:bCs/>
          <w:sz w:val="22"/>
          <w:szCs w:val="22"/>
        </w:rPr>
        <w:t xml:space="preserve"> účetní</w:t>
      </w:r>
      <w:r w:rsidR="00E46E4D" w:rsidRPr="0087660C">
        <w:rPr>
          <w:rFonts w:ascii="Arial" w:hAnsi="Arial" w:cs="Arial"/>
          <w:bCs/>
          <w:sz w:val="22"/>
          <w:szCs w:val="22"/>
        </w:rPr>
        <w:t>mi</w:t>
      </w:r>
      <w:r w:rsidRPr="0087660C">
        <w:rPr>
          <w:rFonts w:ascii="Arial" w:hAnsi="Arial" w:cs="Arial"/>
          <w:bCs/>
          <w:sz w:val="22"/>
          <w:szCs w:val="22"/>
        </w:rPr>
        <w:t xml:space="preserve"> standard</w:t>
      </w:r>
      <w:r w:rsidR="00E46E4D" w:rsidRPr="0087660C">
        <w:rPr>
          <w:rFonts w:ascii="Arial" w:hAnsi="Arial" w:cs="Arial"/>
          <w:bCs/>
          <w:sz w:val="22"/>
          <w:szCs w:val="22"/>
        </w:rPr>
        <w:t>y</w:t>
      </w:r>
      <w:r w:rsidR="0066374A" w:rsidRPr="0087660C">
        <w:rPr>
          <w:rFonts w:ascii="Arial" w:hAnsi="Arial" w:cs="Arial"/>
          <w:bCs/>
          <w:sz w:val="22"/>
          <w:szCs w:val="22"/>
        </w:rPr>
        <w:t xml:space="preserve"> pro některé vybrané</w:t>
      </w:r>
      <w:r w:rsidR="0066374A" w:rsidRPr="0087660C">
        <w:rPr>
          <w:rStyle w:val="Znakapoznpodarou"/>
          <w:rFonts w:ascii="Arial" w:hAnsi="Arial" w:cs="Arial"/>
          <w:bCs/>
          <w:sz w:val="22"/>
          <w:szCs w:val="22"/>
        </w:rPr>
        <w:footnoteReference w:id="5"/>
      </w:r>
      <w:r w:rsidR="0066374A" w:rsidRPr="0087660C">
        <w:rPr>
          <w:rFonts w:ascii="Arial" w:hAnsi="Arial" w:cs="Arial"/>
          <w:bCs/>
          <w:sz w:val="22"/>
          <w:szCs w:val="22"/>
        </w:rPr>
        <w:t xml:space="preserve"> účetní jednotky</w:t>
      </w:r>
      <w:r w:rsidR="00E46E4D" w:rsidRPr="0087660C">
        <w:rPr>
          <w:rFonts w:ascii="Arial" w:hAnsi="Arial" w:cs="Arial"/>
          <w:bCs/>
          <w:sz w:val="22"/>
          <w:szCs w:val="22"/>
        </w:rPr>
        <w:t xml:space="preserve">. Celkem tak </w:t>
      </w:r>
      <w:r w:rsidR="00765F23">
        <w:rPr>
          <w:rFonts w:ascii="Arial" w:hAnsi="Arial" w:cs="Arial"/>
          <w:bCs/>
          <w:sz w:val="22"/>
          <w:szCs w:val="22"/>
        </w:rPr>
        <w:t>v </w:t>
      </w:r>
      <w:r w:rsidR="00E46E4D" w:rsidRPr="0087660C">
        <w:rPr>
          <w:rFonts w:ascii="Arial" w:hAnsi="Arial" w:cs="Arial"/>
          <w:bCs/>
          <w:sz w:val="22"/>
          <w:szCs w:val="22"/>
        </w:rPr>
        <w:t>roce 2012 platilo i nadále osm českých účetních standardů (dále také „ČÚS“)</w:t>
      </w:r>
      <w:r w:rsidR="006972DC">
        <w:rPr>
          <w:rFonts w:ascii="Arial" w:hAnsi="Arial" w:cs="Arial"/>
          <w:bCs/>
          <w:sz w:val="22"/>
          <w:szCs w:val="22"/>
        </w:rPr>
        <w:t xml:space="preserve">, </w:t>
      </w:r>
      <w:r w:rsidR="00765F23">
        <w:rPr>
          <w:rFonts w:ascii="Arial" w:hAnsi="Arial" w:cs="Arial"/>
          <w:bCs/>
          <w:sz w:val="22"/>
          <w:szCs w:val="22"/>
        </w:rPr>
        <w:t>z </w:t>
      </w:r>
      <w:r w:rsidR="006972DC">
        <w:rPr>
          <w:rFonts w:ascii="Arial" w:hAnsi="Arial" w:cs="Arial"/>
          <w:bCs/>
          <w:sz w:val="22"/>
          <w:szCs w:val="22"/>
        </w:rPr>
        <w:t>nichž</w:t>
      </w:r>
      <w:r w:rsidR="004B4205">
        <w:rPr>
          <w:rFonts w:ascii="Arial" w:hAnsi="Arial" w:cs="Arial"/>
          <w:bCs/>
          <w:sz w:val="22"/>
          <w:szCs w:val="22"/>
        </w:rPr>
        <w:t xml:space="preserve"> </w:t>
      </w:r>
      <w:r w:rsidR="00E46E4D" w:rsidRPr="0087660C">
        <w:rPr>
          <w:rFonts w:ascii="Arial" w:hAnsi="Arial" w:cs="Arial"/>
          <w:bCs/>
          <w:sz w:val="22"/>
          <w:szCs w:val="22"/>
        </w:rPr>
        <w:t xml:space="preserve">část byla pro rok 2012 </w:t>
      </w:r>
      <w:r w:rsidR="006972DC">
        <w:rPr>
          <w:rFonts w:ascii="Arial" w:hAnsi="Arial" w:cs="Arial"/>
          <w:bCs/>
          <w:sz w:val="22"/>
          <w:szCs w:val="22"/>
        </w:rPr>
        <w:t>novelizována</w:t>
      </w:r>
      <w:r w:rsidR="00E46E4D" w:rsidRPr="0087660C">
        <w:rPr>
          <w:rFonts w:ascii="Arial" w:hAnsi="Arial" w:cs="Arial"/>
          <w:bCs/>
          <w:sz w:val="22"/>
          <w:szCs w:val="22"/>
        </w:rPr>
        <w:t xml:space="preserve">: </w:t>
      </w:r>
    </w:p>
    <w:p w:rsidR="008675A0" w:rsidRPr="0087660C" w:rsidRDefault="0087660C" w:rsidP="00E379C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7660C">
        <w:rPr>
          <w:rFonts w:ascii="Arial" w:hAnsi="Arial" w:cs="Arial"/>
          <w:sz w:val="22"/>
          <w:szCs w:val="22"/>
        </w:rPr>
        <w:t xml:space="preserve">ČÚS č. 701 – </w:t>
      </w:r>
      <w:r w:rsidRPr="001233B8">
        <w:rPr>
          <w:rFonts w:ascii="Arial" w:hAnsi="Arial" w:cs="Arial"/>
          <w:i/>
          <w:sz w:val="22"/>
          <w:szCs w:val="22"/>
        </w:rPr>
        <w:t>Účty a zásady účtování na účtech</w:t>
      </w:r>
      <w:r w:rsidRPr="0087660C">
        <w:rPr>
          <w:rFonts w:ascii="Arial" w:hAnsi="Arial" w:cs="Arial"/>
          <w:sz w:val="22"/>
          <w:szCs w:val="22"/>
        </w:rPr>
        <w:t xml:space="preserve"> (oznámením MF č.</w:t>
      </w:r>
      <w:r w:rsidR="00317B5E" w:rsidRPr="00E50173">
        <w:rPr>
          <w:rFonts w:ascii="Arial" w:hAnsi="Arial" w:cs="Arial"/>
          <w:sz w:val="16"/>
          <w:szCs w:val="16"/>
          <w:vertAlign w:val="superscript"/>
        </w:rPr>
        <w:t> </w:t>
      </w:r>
      <w:r w:rsidRPr="0087660C">
        <w:rPr>
          <w:rFonts w:ascii="Arial" w:hAnsi="Arial" w:cs="Arial"/>
          <w:sz w:val="22"/>
          <w:szCs w:val="22"/>
        </w:rPr>
        <w:t xml:space="preserve">j. 28/109524/2011-284 zveřejněném ve </w:t>
      </w:r>
      <w:r w:rsidRPr="00E50173">
        <w:rPr>
          <w:rFonts w:ascii="Arial" w:hAnsi="Arial" w:cs="Arial"/>
          <w:i/>
          <w:sz w:val="22"/>
          <w:szCs w:val="22"/>
        </w:rPr>
        <w:t>Finančním zpravodaji</w:t>
      </w:r>
      <w:r w:rsidRPr="0087660C">
        <w:rPr>
          <w:rFonts w:ascii="Arial" w:hAnsi="Arial" w:cs="Arial"/>
          <w:sz w:val="22"/>
          <w:szCs w:val="22"/>
        </w:rPr>
        <w:t xml:space="preserve"> č. 9/2011)</w:t>
      </w:r>
      <w:r w:rsidR="00646D32" w:rsidRPr="0087660C">
        <w:rPr>
          <w:rFonts w:ascii="Arial" w:hAnsi="Arial" w:cs="Arial"/>
          <w:sz w:val="22"/>
          <w:szCs w:val="22"/>
        </w:rPr>
        <w:t>,</w:t>
      </w:r>
    </w:p>
    <w:p w:rsidR="00B42BBD" w:rsidRPr="0087660C" w:rsidRDefault="0087660C" w:rsidP="00E379C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7660C">
        <w:rPr>
          <w:rFonts w:ascii="Arial" w:hAnsi="Arial" w:cs="Arial"/>
          <w:sz w:val="22"/>
          <w:szCs w:val="22"/>
        </w:rPr>
        <w:t xml:space="preserve">ČÚS č. 703 – </w:t>
      </w:r>
      <w:r w:rsidRPr="001233B8">
        <w:rPr>
          <w:rFonts w:ascii="Arial" w:hAnsi="Arial" w:cs="Arial"/>
          <w:i/>
          <w:sz w:val="22"/>
          <w:szCs w:val="22"/>
        </w:rPr>
        <w:t>Transfery</w:t>
      </w:r>
      <w:r w:rsidRPr="0087660C">
        <w:rPr>
          <w:rFonts w:ascii="Arial" w:hAnsi="Arial" w:cs="Arial"/>
          <w:sz w:val="22"/>
          <w:szCs w:val="22"/>
        </w:rPr>
        <w:t xml:space="preserve"> (oznámením MF č.</w:t>
      </w:r>
      <w:r w:rsidR="00317B5E" w:rsidRPr="00E50173">
        <w:rPr>
          <w:rFonts w:ascii="Arial" w:hAnsi="Arial" w:cs="Arial"/>
          <w:sz w:val="16"/>
          <w:szCs w:val="16"/>
        </w:rPr>
        <w:t> </w:t>
      </w:r>
      <w:r w:rsidRPr="0087660C">
        <w:rPr>
          <w:rFonts w:ascii="Arial" w:hAnsi="Arial" w:cs="Arial"/>
          <w:sz w:val="22"/>
          <w:szCs w:val="22"/>
        </w:rPr>
        <w:t xml:space="preserve">j. 28/109524/2011-284 zveřejněném ve </w:t>
      </w:r>
      <w:r w:rsidRPr="00E50173">
        <w:rPr>
          <w:rFonts w:ascii="Arial" w:hAnsi="Arial" w:cs="Arial"/>
          <w:i/>
          <w:sz w:val="22"/>
          <w:szCs w:val="22"/>
        </w:rPr>
        <w:t>Finančním zpravodaji</w:t>
      </w:r>
      <w:r w:rsidRPr="0087660C">
        <w:rPr>
          <w:rFonts w:ascii="Arial" w:hAnsi="Arial" w:cs="Arial"/>
          <w:sz w:val="22"/>
          <w:szCs w:val="22"/>
        </w:rPr>
        <w:t xml:space="preserve"> č. 9/2011)</w:t>
      </w:r>
      <w:r w:rsidR="00646D32" w:rsidRPr="0087660C">
        <w:rPr>
          <w:rFonts w:ascii="Arial" w:hAnsi="Arial" w:cs="Arial"/>
          <w:bCs/>
          <w:sz w:val="22"/>
          <w:szCs w:val="22"/>
        </w:rPr>
        <w:t>,</w:t>
      </w:r>
      <w:r w:rsidR="005F3102">
        <w:rPr>
          <w:rFonts w:ascii="Arial" w:hAnsi="Arial" w:cs="Arial"/>
          <w:bCs/>
          <w:sz w:val="22"/>
          <w:szCs w:val="22"/>
        </w:rPr>
        <w:t xml:space="preserve"> </w:t>
      </w:r>
    </w:p>
    <w:p w:rsidR="00B42BBD" w:rsidRPr="0087660C" w:rsidRDefault="0087660C" w:rsidP="00E379C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7660C">
        <w:rPr>
          <w:rFonts w:ascii="Arial" w:hAnsi="Arial" w:cs="Arial"/>
          <w:sz w:val="22"/>
          <w:szCs w:val="22"/>
        </w:rPr>
        <w:t xml:space="preserve">ČÚS č. 706 – </w:t>
      </w:r>
      <w:r w:rsidRPr="001233B8">
        <w:rPr>
          <w:rFonts w:ascii="Arial" w:hAnsi="Arial" w:cs="Arial"/>
          <w:i/>
          <w:sz w:val="22"/>
          <w:szCs w:val="22"/>
        </w:rPr>
        <w:t>Opravné položky a vyřazení pohledávek</w:t>
      </w:r>
      <w:r w:rsidRPr="0087660C">
        <w:rPr>
          <w:rFonts w:ascii="Arial" w:hAnsi="Arial" w:cs="Arial"/>
          <w:sz w:val="22"/>
          <w:szCs w:val="22"/>
        </w:rPr>
        <w:t xml:space="preserve"> (oznámením MF č.</w:t>
      </w:r>
      <w:r w:rsidR="00317B5E" w:rsidRPr="00E50173">
        <w:rPr>
          <w:rFonts w:ascii="Arial" w:hAnsi="Arial" w:cs="Arial"/>
          <w:sz w:val="16"/>
          <w:szCs w:val="16"/>
        </w:rPr>
        <w:t> </w:t>
      </w:r>
      <w:r w:rsidRPr="0087660C">
        <w:rPr>
          <w:rFonts w:ascii="Arial" w:hAnsi="Arial" w:cs="Arial"/>
          <w:sz w:val="22"/>
          <w:szCs w:val="22"/>
        </w:rPr>
        <w:t>j.</w:t>
      </w:r>
      <w:r w:rsidR="002B51EB">
        <w:rPr>
          <w:rFonts w:ascii="Arial" w:hAnsi="Arial" w:cs="Arial"/>
          <w:sz w:val="22"/>
          <w:szCs w:val="22"/>
        </w:rPr>
        <w:t> </w:t>
      </w:r>
      <w:r w:rsidRPr="0087660C">
        <w:rPr>
          <w:rFonts w:ascii="Arial" w:hAnsi="Arial" w:cs="Arial"/>
          <w:sz w:val="22"/>
          <w:szCs w:val="22"/>
        </w:rPr>
        <w:t xml:space="preserve">28/109524/2011-284 zveřejněném ve </w:t>
      </w:r>
      <w:r w:rsidRPr="00E50173">
        <w:rPr>
          <w:rFonts w:ascii="Arial" w:hAnsi="Arial" w:cs="Arial"/>
          <w:i/>
          <w:sz w:val="22"/>
          <w:szCs w:val="22"/>
        </w:rPr>
        <w:t>Finančním zpravodaji</w:t>
      </w:r>
      <w:r w:rsidRPr="0087660C">
        <w:rPr>
          <w:rFonts w:ascii="Arial" w:hAnsi="Arial" w:cs="Arial"/>
          <w:sz w:val="22"/>
          <w:szCs w:val="22"/>
        </w:rPr>
        <w:t xml:space="preserve"> č. 9/2011)</w:t>
      </w:r>
      <w:r w:rsidR="00646D32" w:rsidRPr="0087660C">
        <w:rPr>
          <w:rFonts w:ascii="Arial" w:hAnsi="Arial" w:cs="Arial"/>
          <w:sz w:val="22"/>
          <w:szCs w:val="22"/>
        </w:rPr>
        <w:t>,</w:t>
      </w:r>
    </w:p>
    <w:p w:rsidR="0087660C" w:rsidRPr="0087660C" w:rsidRDefault="0087660C" w:rsidP="00E379C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7660C">
        <w:rPr>
          <w:rFonts w:ascii="Arial" w:hAnsi="Arial" w:cs="Arial"/>
          <w:sz w:val="22"/>
          <w:szCs w:val="22"/>
        </w:rPr>
        <w:t xml:space="preserve">ČÚS č. 707 – </w:t>
      </w:r>
      <w:r w:rsidRPr="001233B8">
        <w:rPr>
          <w:rFonts w:ascii="Arial" w:hAnsi="Arial" w:cs="Arial"/>
          <w:i/>
          <w:sz w:val="22"/>
          <w:szCs w:val="22"/>
        </w:rPr>
        <w:t>Zásoby</w:t>
      </w:r>
      <w:r w:rsidRPr="0087660C">
        <w:rPr>
          <w:rFonts w:ascii="Arial" w:hAnsi="Arial" w:cs="Arial"/>
          <w:sz w:val="22"/>
          <w:szCs w:val="22"/>
        </w:rPr>
        <w:t xml:space="preserve"> (oznámením MF č.</w:t>
      </w:r>
      <w:r w:rsidR="00317B5E" w:rsidRPr="00E50173">
        <w:rPr>
          <w:rFonts w:ascii="Arial" w:hAnsi="Arial" w:cs="Arial"/>
          <w:sz w:val="16"/>
          <w:szCs w:val="16"/>
        </w:rPr>
        <w:t> </w:t>
      </w:r>
      <w:r w:rsidRPr="0087660C">
        <w:rPr>
          <w:rFonts w:ascii="Arial" w:hAnsi="Arial" w:cs="Arial"/>
          <w:sz w:val="22"/>
          <w:szCs w:val="22"/>
        </w:rPr>
        <w:t xml:space="preserve">j. 28/109524/2011-284 zveřejněném ve </w:t>
      </w:r>
      <w:r w:rsidRPr="00E50173">
        <w:rPr>
          <w:rFonts w:ascii="Arial" w:hAnsi="Arial" w:cs="Arial"/>
          <w:i/>
          <w:sz w:val="22"/>
          <w:szCs w:val="22"/>
        </w:rPr>
        <w:t>Finančním zpravodaji</w:t>
      </w:r>
      <w:r w:rsidRPr="0087660C">
        <w:rPr>
          <w:rFonts w:ascii="Arial" w:hAnsi="Arial" w:cs="Arial"/>
          <w:sz w:val="22"/>
          <w:szCs w:val="22"/>
        </w:rPr>
        <w:t xml:space="preserve"> č. 9/2011),</w:t>
      </w:r>
    </w:p>
    <w:p w:rsidR="0087660C" w:rsidRPr="0087660C" w:rsidRDefault="0087660C" w:rsidP="00E379C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7660C">
        <w:rPr>
          <w:rFonts w:ascii="Arial" w:hAnsi="Arial" w:cs="Arial"/>
          <w:sz w:val="22"/>
          <w:szCs w:val="22"/>
        </w:rPr>
        <w:t xml:space="preserve">ČÚS č. 708 – </w:t>
      </w:r>
      <w:r w:rsidRPr="001233B8">
        <w:rPr>
          <w:rFonts w:ascii="Arial" w:hAnsi="Arial" w:cs="Arial"/>
          <w:i/>
          <w:sz w:val="22"/>
          <w:szCs w:val="22"/>
        </w:rPr>
        <w:t>Odpisování dlouhodobého majetku</w:t>
      </w:r>
      <w:r w:rsidRPr="0087660C">
        <w:rPr>
          <w:rFonts w:ascii="Arial" w:hAnsi="Arial" w:cs="Arial"/>
          <w:sz w:val="22"/>
          <w:szCs w:val="22"/>
        </w:rPr>
        <w:t xml:space="preserve"> (oznámením MF č.</w:t>
      </w:r>
      <w:r w:rsidR="00317B5E" w:rsidRPr="00E50173">
        <w:rPr>
          <w:rFonts w:ascii="Arial" w:hAnsi="Arial" w:cs="Arial"/>
          <w:sz w:val="16"/>
          <w:szCs w:val="16"/>
          <w:vertAlign w:val="superscript"/>
        </w:rPr>
        <w:t> </w:t>
      </w:r>
      <w:r w:rsidRPr="0087660C">
        <w:rPr>
          <w:rFonts w:ascii="Arial" w:hAnsi="Arial" w:cs="Arial"/>
          <w:sz w:val="22"/>
          <w:szCs w:val="22"/>
        </w:rPr>
        <w:t xml:space="preserve">j. 28/93428/2011-282 zveřejněném ve </w:t>
      </w:r>
      <w:r w:rsidRPr="00E50173">
        <w:rPr>
          <w:rFonts w:ascii="Arial" w:hAnsi="Arial" w:cs="Arial"/>
          <w:i/>
          <w:sz w:val="22"/>
          <w:szCs w:val="22"/>
        </w:rPr>
        <w:t>Finančním zpravodaji</w:t>
      </w:r>
      <w:r w:rsidRPr="0087660C">
        <w:rPr>
          <w:rFonts w:ascii="Arial" w:hAnsi="Arial" w:cs="Arial"/>
          <w:sz w:val="22"/>
          <w:szCs w:val="22"/>
        </w:rPr>
        <w:t xml:space="preserve"> č. 5/2011).</w:t>
      </w:r>
    </w:p>
    <w:p w:rsidR="00AA6037" w:rsidRPr="0015047E" w:rsidRDefault="00AA6037" w:rsidP="00E379CA">
      <w:pPr>
        <w:jc w:val="both"/>
        <w:rPr>
          <w:rFonts w:ascii="Arial" w:hAnsi="Arial" w:cs="Arial"/>
          <w:bCs/>
          <w:sz w:val="22"/>
          <w:szCs w:val="22"/>
          <w:highlight w:val="green"/>
        </w:rPr>
      </w:pPr>
    </w:p>
    <w:p w:rsidR="00C369C1" w:rsidRPr="00F21A03" w:rsidRDefault="00E379CA" w:rsidP="00E379CA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 w:rsidRPr="00F21A03">
        <w:rPr>
          <w:rFonts w:ascii="Arial" w:hAnsi="Arial" w:cs="Arial"/>
          <w:b/>
          <w:szCs w:val="22"/>
        </w:rPr>
        <w:t xml:space="preserve">1.1.1 </w:t>
      </w:r>
      <w:r w:rsidR="00C369C1" w:rsidRPr="00F21A03">
        <w:rPr>
          <w:rFonts w:ascii="Arial" w:hAnsi="Arial" w:cs="Arial"/>
          <w:b/>
          <w:szCs w:val="22"/>
        </w:rPr>
        <w:t>Skutečnosti ovlivňující vypovídací</w:t>
      </w:r>
      <w:r w:rsidR="00AA6037" w:rsidRPr="00F21A03">
        <w:rPr>
          <w:rFonts w:ascii="Arial" w:hAnsi="Arial" w:cs="Arial"/>
          <w:b/>
          <w:szCs w:val="22"/>
        </w:rPr>
        <w:t xml:space="preserve"> schopnost informací </w:t>
      </w:r>
      <w:r w:rsidR="00765F23">
        <w:rPr>
          <w:rFonts w:ascii="Arial" w:hAnsi="Arial" w:cs="Arial"/>
          <w:b/>
          <w:szCs w:val="22"/>
        </w:rPr>
        <w:t>v </w:t>
      </w:r>
      <w:r w:rsidR="00AA6037" w:rsidRPr="00F21A03">
        <w:rPr>
          <w:rFonts w:ascii="Arial" w:hAnsi="Arial" w:cs="Arial"/>
          <w:b/>
          <w:szCs w:val="22"/>
        </w:rPr>
        <w:t>účetní závěrce</w:t>
      </w:r>
    </w:p>
    <w:p w:rsidR="00AA6037" w:rsidRPr="0015047E" w:rsidRDefault="00AA6037" w:rsidP="00E379CA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AA6037" w:rsidRPr="00F21A03" w:rsidRDefault="00AA6037" w:rsidP="00E50173">
      <w:pPr>
        <w:spacing w:after="120"/>
        <w:rPr>
          <w:rFonts w:ascii="Arial" w:hAnsi="Arial" w:cs="Arial"/>
          <w:b/>
          <w:i/>
          <w:sz w:val="22"/>
          <w:szCs w:val="22"/>
        </w:rPr>
      </w:pPr>
      <w:r w:rsidRPr="00F21A03">
        <w:rPr>
          <w:rFonts w:ascii="Arial" w:hAnsi="Arial" w:cs="Arial"/>
          <w:b/>
          <w:i/>
          <w:sz w:val="22"/>
          <w:szCs w:val="22"/>
        </w:rPr>
        <w:t xml:space="preserve">Vykazování podmíněných závazků týkajících se prostředků </w:t>
      </w:r>
      <w:r w:rsidR="00765F23">
        <w:rPr>
          <w:rFonts w:ascii="Arial" w:hAnsi="Arial" w:cs="Arial"/>
          <w:b/>
          <w:i/>
          <w:sz w:val="22"/>
          <w:szCs w:val="22"/>
        </w:rPr>
        <w:t>z </w:t>
      </w:r>
      <w:r w:rsidRPr="00F21A03">
        <w:rPr>
          <w:rFonts w:ascii="Arial" w:hAnsi="Arial" w:cs="Arial"/>
          <w:b/>
          <w:i/>
          <w:sz w:val="22"/>
          <w:szCs w:val="22"/>
        </w:rPr>
        <w:t>nástrojů spolufinancovaných ze zahraničí</w:t>
      </w:r>
    </w:p>
    <w:p w:rsidR="00AA6037" w:rsidRPr="0015047E" w:rsidRDefault="00B04F1C" w:rsidP="00AA6037">
      <w:pPr>
        <w:jc w:val="both"/>
        <w:rPr>
          <w:rFonts w:ascii="Arial" w:hAnsi="Arial" w:cs="Arial"/>
          <w:sz w:val="22"/>
          <w:szCs w:val="22"/>
          <w:highlight w:val="green"/>
          <w:lang w:eastAsia="cs-CZ"/>
        </w:rPr>
      </w:pPr>
      <w:r w:rsidRPr="00C51110">
        <w:rPr>
          <w:rFonts w:ascii="Arial" w:hAnsi="Arial" w:cs="Arial"/>
          <w:sz w:val="22"/>
          <w:szCs w:val="22"/>
          <w:lang w:eastAsia="cs-CZ"/>
        </w:rPr>
        <w:t>Dle vyhlášky č. 410/2009 Sb. jsou pro podmíněné závazky</w:t>
      </w:r>
      <w:r w:rsidR="00317B5E">
        <w:rPr>
          <w:rFonts w:ascii="Arial" w:hAnsi="Arial" w:cs="Arial"/>
          <w:sz w:val="22"/>
          <w:szCs w:val="22"/>
          <w:lang w:eastAsia="cs-CZ"/>
        </w:rPr>
        <w:t xml:space="preserve">, které vyplývají z rozhodnutí příslušných subjektů a týkají </w:t>
      </w:r>
      <w:r w:rsidR="00B805DC" w:rsidRPr="00C51110">
        <w:rPr>
          <w:rFonts w:ascii="Arial" w:hAnsi="Arial" w:cs="Arial"/>
          <w:sz w:val="22"/>
          <w:szCs w:val="22"/>
          <w:lang w:eastAsia="cs-CZ"/>
        </w:rPr>
        <w:t xml:space="preserve">se prostředků </w:t>
      </w:r>
      <w:r w:rsidR="001B602A">
        <w:rPr>
          <w:rFonts w:ascii="Arial" w:hAnsi="Arial" w:cs="Arial"/>
          <w:sz w:val="22"/>
          <w:szCs w:val="22"/>
          <w:lang w:eastAsia="cs-CZ"/>
        </w:rPr>
        <w:t>spolufinancovaných ze zahraničí</w:t>
      </w:r>
      <w:r w:rsidR="0035355B">
        <w:rPr>
          <w:rFonts w:ascii="Arial" w:hAnsi="Arial" w:cs="Arial"/>
          <w:sz w:val="22"/>
          <w:szCs w:val="22"/>
          <w:lang w:eastAsia="cs-CZ"/>
        </w:rPr>
        <w:t>,</w:t>
      </w:r>
      <w:r w:rsidRPr="00C51110">
        <w:rPr>
          <w:rFonts w:ascii="Arial" w:hAnsi="Arial" w:cs="Arial"/>
          <w:sz w:val="22"/>
          <w:szCs w:val="22"/>
          <w:lang w:eastAsia="cs-CZ"/>
        </w:rPr>
        <w:t xml:space="preserve"> stanoveny účty 975 – </w:t>
      </w:r>
      <w:r w:rsidRPr="00C51110">
        <w:rPr>
          <w:rFonts w:ascii="Arial" w:hAnsi="Arial" w:cs="Arial"/>
          <w:i/>
          <w:sz w:val="22"/>
          <w:szCs w:val="22"/>
          <w:lang w:eastAsia="cs-CZ"/>
        </w:rPr>
        <w:t xml:space="preserve">Krátkodobé podmíněné závazky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z </w:t>
      </w:r>
      <w:r w:rsidR="00F21A03" w:rsidRPr="00C51110">
        <w:rPr>
          <w:rFonts w:ascii="Arial" w:hAnsi="Arial" w:cs="Arial"/>
          <w:i/>
          <w:sz w:val="22"/>
          <w:szCs w:val="22"/>
          <w:lang w:eastAsia="cs-CZ"/>
        </w:rPr>
        <w:t>nástrojů spolufinancovaných ze zahraničí</w:t>
      </w:r>
      <w:r w:rsidRPr="00C51110">
        <w:rPr>
          <w:rFonts w:ascii="Arial" w:hAnsi="Arial" w:cs="Arial"/>
          <w:sz w:val="22"/>
          <w:szCs w:val="22"/>
          <w:lang w:eastAsia="cs-CZ"/>
        </w:rPr>
        <w:t xml:space="preserve"> a 976 – </w:t>
      </w:r>
      <w:r w:rsidRPr="00C51110">
        <w:rPr>
          <w:rFonts w:ascii="Arial" w:hAnsi="Arial" w:cs="Arial"/>
          <w:i/>
          <w:sz w:val="22"/>
          <w:szCs w:val="22"/>
          <w:lang w:eastAsia="cs-CZ"/>
        </w:rPr>
        <w:t xml:space="preserve">Dlouhodobé podmíněné závazky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z </w:t>
      </w:r>
      <w:r w:rsidR="00C51110" w:rsidRPr="00C51110">
        <w:rPr>
          <w:rFonts w:ascii="Arial" w:hAnsi="Arial" w:cs="Arial"/>
          <w:i/>
          <w:sz w:val="22"/>
          <w:szCs w:val="22"/>
          <w:lang w:eastAsia="cs-CZ"/>
        </w:rPr>
        <w:t>nástrojů spolufinancovaných ze zahraničí</w:t>
      </w:r>
      <w:r w:rsidR="00984E9F" w:rsidRPr="00C51110">
        <w:rPr>
          <w:rFonts w:ascii="Arial" w:hAnsi="Arial" w:cs="Arial"/>
          <w:sz w:val="22"/>
          <w:szCs w:val="22"/>
          <w:lang w:eastAsia="cs-CZ"/>
        </w:rPr>
        <w:t>.</w:t>
      </w:r>
      <w:r w:rsidR="006805B5" w:rsidRPr="00C5111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51110">
        <w:rPr>
          <w:rFonts w:ascii="Arial" w:hAnsi="Arial" w:cs="Arial"/>
          <w:sz w:val="22"/>
          <w:szCs w:val="22"/>
        </w:rPr>
        <w:t xml:space="preserve">Oproti tomu </w:t>
      </w:r>
      <w:r w:rsidR="00AA6037" w:rsidRPr="00C51110">
        <w:rPr>
          <w:rFonts w:ascii="Arial" w:hAnsi="Arial" w:cs="Arial"/>
          <w:sz w:val="22"/>
          <w:szCs w:val="22"/>
        </w:rPr>
        <w:t>ČÚS č. 703</w:t>
      </w:r>
      <w:r w:rsidR="00AA6037" w:rsidRPr="00C51110">
        <w:rPr>
          <w:rFonts w:ascii="Arial" w:hAnsi="Arial" w:cs="Arial"/>
          <w:sz w:val="22"/>
          <w:szCs w:val="22"/>
          <w:lang w:eastAsia="cs-CZ"/>
        </w:rPr>
        <w:t xml:space="preserve"> stanovuje </w:t>
      </w:r>
      <w:r w:rsidR="00947F1E" w:rsidRPr="00C51110">
        <w:rPr>
          <w:rFonts w:ascii="Arial" w:hAnsi="Arial" w:cs="Arial"/>
          <w:sz w:val="22"/>
          <w:szCs w:val="22"/>
          <w:lang w:eastAsia="cs-CZ"/>
        </w:rPr>
        <w:t xml:space="preserve">povinnost </w:t>
      </w:r>
      <w:r w:rsidR="00AA6037" w:rsidRPr="00C51110">
        <w:rPr>
          <w:rFonts w:ascii="Arial" w:hAnsi="Arial" w:cs="Arial"/>
          <w:sz w:val="22"/>
          <w:szCs w:val="22"/>
          <w:lang w:eastAsia="cs-CZ"/>
        </w:rPr>
        <w:t xml:space="preserve">účtovat o podmíněných závazcích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AA6037" w:rsidRPr="00C51110">
        <w:rPr>
          <w:rFonts w:ascii="Arial" w:hAnsi="Arial" w:cs="Arial"/>
          <w:sz w:val="22"/>
          <w:szCs w:val="22"/>
          <w:lang w:eastAsia="cs-CZ"/>
        </w:rPr>
        <w:t xml:space="preserve">případě poskytovatele na účty 973 – </w:t>
      </w:r>
      <w:r w:rsidR="00AA6037" w:rsidRPr="00C51110">
        <w:rPr>
          <w:rFonts w:ascii="Arial" w:hAnsi="Arial" w:cs="Arial"/>
          <w:i/>
          <w:sz w:val="22"/>
          <w:szCs w:val="22"/>
          <w:lang w:eastAsia="cs-CZ"/>
        </w:rPr>
        <w:t xml:space="preserve">Krátkodobé podmíněné závazky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z </w:t>
      </w:r>
      <w:r w:rsidR="00AA6037" w:rsidRPr="00C51110">
        <w:rPr>
          <w:rFonts w:ascii="Arial" w:hAnsi="Arial" w:cs="Arial"/>
          <w:i/>
          <w:sz w:val="22"/>
          <w:szCs w:val="22"/>
          <w:lang w:eastAsia="cs-CZ"/>
        </w:rPr>
        <w:t>jiných smluv</w:t>
      </w:r>
      <w:r w:rsidR="00AA6037" w:rsidRPr="00C51110">
        <w:rPr>
          <w:rFonts w:ascii="Arial" w:hAnsi="Arial" w:cs="Arial"/>
          <w:sz w:val="22"/>
          <w:szCs w:val="22"/>
          <w:lang w:eastAsia="cs-CZ"/>
        </w:rPr>
        <w:t xml:space="preserve"> a 974 – </w:t>
      </w:r>
      <w:r w:rsidR="00AA6037" w:rsidRPr="00C51110">
        <w:rPr>
          <w:rFonts w:ascii="Arial" w:hAnsi="Arial" w:cs="Arial"/>
          <w:i/>
          <w:sz w:val="22"/>
          <w:szCs w:val="22"/>
          <w:lang w:eastAsia="cs-CZ"/>
        </w:rPr>
        <w:t xml:space="preserve">Dlouhodobé podmíněné závazky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z </w:t>
      </w:r>
      <w:r w:rsidR="00AA6037" w:rsidRPr="00C51110">
        <w:rPr>
          <w:rFonts w:ascii="Arial" w:hAnsi="Arial" w:cs="Arial"/>
          <w:i/>
          <w:sz w:val="22"/>
          <w:szCs w:val="22"/>
          <w:lang w:eastAsia="cs-CZ"/>
        </w:rPr>
        <w:t>jiných smluv</w:t>
      </w:r>
      <w:r w:rsidR="00984E9F" w:rsidRPr="00C51110">
        <w:rPr>
          <w:rFonts w:ascii="Arial" w:hAnsi="Arial" w:cs="Arial"/>
          <w:sz w:val="22"/>
          <w:szCs w:val="22"/>
          <w:lang w:eastAsia="cs-CZ"/>
        </w:rPr>
        <w:t xml:space="preserve">. </w:t>
      </w:r>
      <w:r w:rsidR="00AA6037" w:rsidRPr="00C51110">
        <w:rPr>
          <w:rFonts w:ascii="Arial" w:hAnsi="Arial" w:cs="Arial"/>
          <w:sz w:val="22"/>
          <w:szCs w:val="22"/>
          <w:lang w:eastAsia="cs-CZ"/>
        </w:rPr>
        <w:t>Povinnost</w:t>
      </w:r>
      <w:r w:rsidR="00AA6037" w:rsidRPr="00F21A03">
        <w:rPr>
          <w:rFonts w:ascii="Arial" w:hAnsi="Arial" w:cs="Arial"/>
          <w:sz w:val="22"/>
          <w:szCs w:val="22"/>
          <w:lang w:eastAsia="cs-CZ"/>
        </w:rPr>
        <w:t xml:space="preserve"> stanovená </w:t>
      </w:r>
      <w:r w:rsidR="00AA6037" w:rsidRPr="00F21A03">
        <w:rPr>
          <w:rFonts w:ascii="Arial" w:hAnsi="Arial" w:cs="Arial"/>
          <w:sz w:val="22"/>
          <w:szCs w:val="22"/>
        </w:rPr>
        <w:t>ČÚS č. 703</w:t>
      </w:r>
      <w:r w:rsidR="00AA6037" w:rsidRPr="00F21A0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F21A03">
        <w:rPr>
          <w:rFonts w:ascii="Arial" w:hAnsi="Arial" w:cs="Arial"/>
          <w:sz w:val="22"/>
          <w:szCs w:val="22"/>
          <w:lang w:eastAsia="cs-CZ"/>
        </w:rPr>
        <w:t xml:space="preserve">však </w:t>
      </w:r>
      <w:r w:rsidR="00AA6037" w:rsidRPr="00F21A03">
        <w:rPr>
          <w:rFonts w:ascii="Arial" w:hAnsi="Arial" w:cs="Arial"/>
          <w:sz w:val="22"/>
          <w:szCs w:val="22"/>
          <w:lang w:eastAsia="cs-CZ"/>
        </w:rPr>
        <w:t xml:space="preserve">nevyplývá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 w:rsidR="00AA6037" w:rsidRPr="00F21A03">
        <w:rPr>
          <w:rFonts w:ascii="Arial" w:hAnsi="Arial" w:cs="Arial"/>
          <w:sz w:val="22"/>
          <w:szCs w:val="22"/>
          <w:lang w:eastAsia="cs-CZ"/>
        </w:rPr>
        <w:t xml:space="preserve">obsahového vymezení těchto účtů uvedeného ve vyhlášce č. 410/2009 Sb. </w:t>
      </w:r>
      <w:r w:rsidR="00135976" w:rsidRPr="00F21A03">
        <w:rPr>
          <w:rFonts w:ascii="Arial" w:hAnsi="Arial" w:cs="Arial"/>
          <w:sz w:val="22"/>
          <w:szCs w:val="22"/>
          <w:lang w:eastAsia="cs-CZ"/>
        </w:rPr>
        <w:t xml:space="preserve">Pro tyto účetní případy </w:t>
      </w:r>
      <w:r w:rsidRPr="00F21A03">
        <w:rPr>
          <w:rFonts w:ascii="Arial" w:hAnsi="Arial" w:cs="Arial"/>
          <w:sz w:val="22"/>
          <w:szCs w:val="22"/>
          <w:lang w:eastAsia="cs-CZ"/>
        </w:rPr>
        <w:t xml:space="preserve">tak nelze splnit požadavky stanovené účetní regulací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Pr="00F21A03">
        <w:rPr>
          <w:rFonts w:ascii="Arial" w:hAnsi="Arial" w:cs="Arial"/>
          <w:sz w:val="22"/>
          <w:szCs w:val="22"/>
          <w:lang w:eastAsia="cs-CZ"/>
        </w:rPr>
        <w:t>celém jejím rozsahu.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974D2">
        <w:rPr>
          <w:rFonts w:ascii="Arial" w:hAnsi="Arial" w:cs="Arial"/>
          <w:sz w:val="22"/>
          <w:szCs w:val="22"/>
          <w:lang w:eastAsia="cs-CZ"/>
        </w:rPr>
        <w:t xml:space="preserve">MŠMT v ÚZ vykázalo podmíněné závazky vyplývající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 w:rsidR="003974D2">
        <w:rPr>
          <w:rFonts w:ascii="Arial" w:hAnsi="Arial" w:cs="Arial"/>
          <w:sz w:val="22"/>
          <w:szCs w:val="22"/>
          <w:lang w:eastAsia="cs-CZ"/>
        </w:rPr>
        <w:t xml:space="preserve">vydaných rozhodnutí o poskytnutí dotace spolufinancované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 w:rsidR="003974D2">
        <w:rPr>
          <w:rFonts w:ascii="Arial" w:hAnsi="Arial" w:cs="Arial"/>
          <w:sz w:val="22"/>
          <w:szCs w:val="22"/>
          <w:lang w:eastAsia="cs-CZ"/>
        </w:rPr>
        <w:t xml:space="preserve">rozpočtu Evropské unie (dále jen „EU“) na účtu 976 – </w:t>
      </w:r>
      <w:r w:rsidR="003974D2" w:rsidRPr="001233B8">
        <w:rPr>
          <w:rFonts w:ascii="Arial" w:hAnsi="Arial" w:cs="Arial"/>
          <w:i/>
          <w:sz w:val="22"/>
          <w:szCs w:val="22"/>
          <w:lang w:eastAsia="cs-CZ"/>
        </w:rPr>
        <w:t xml:space="preserve">Dlouhodobé podmíněné závazky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z </w:t>
      </w:r>
      <w:r w:rsidR="003974D2" w:rsidRPr="001233B8">
        <w:rPr>
          <w:rFonts w:ascii="Arial" w:hAnsi="Arial" w:cs="Arial"/>
          <w:i/>
          <w:sz w:val="22"/>
          <w:szCs w:val="22"/>
          <w:lang w:eastAsia="cs-CZ"/>
        </w:rPr>
        <w:t>nástrojů spolufinancovaných ze zahraničí</w:t>
      </w:r>
      <w:r w:rsidR="003974D2" w:rsidRPr="00E50173">
        <w:rPr>
          <w:rFonts w:ascii="Arial" w:hAnsi="Arial" w:cs="Arial"/>
          <w:sz w:val="22"/>
          <w:szCs w:val="22"/>
          <w:lang w:eastAsia="cs-CZ"/>
        </w:rPr>
        <w:t>,</w:t>
      </w:r>
      <w:r w:rsidR="003974D2">
        <w:rPr>
          <w:rFonts w:ascii="Arial" w:hAnsi="Arial" w:cs="Arial"/>
          <w:i/>
          <w:sz w:val="22"/>
          <w:szCs w:val="22"/>
          <w:lang w:eastAsia="cs-CZ"/>
        </w:rPr>
        <w:t xml:space="preserve"> </w:t>
      </w:r>
      <w:r w:rsidR="003974D2">
        <w:rPr>
          <w:rFonts w:ascii="Arial" w:hAnsi="Arial" w:cs="Arial"/>
          <w:sz w:val="22"/>
          <w:szCs w:val="22"/>
          <w:lang w:eastAsia="cs-CZ"/>
        </w:rPr>
        <w:t xml:space="preserve">účtovalo tak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3974D2">
        <w:rPr>
          <w:rFonts w:ascii="Arial" w:hAnsi="Arial" w:cs="Arial"/>
          <w:sz w:val="22"/>
          <w:szCs w:val="22"/>
          <w:lang w:eastAsia="cs-CZ"/>
        </w:rPr>
        <w:t>souladu s obsahovým vymezením účtu dle vyhlášky č. 410/2009 Sb.</w:t>
      </w:r>
    </w:p>
    <w:p w:rsidR="00AA6037" w:rsidRPr="0015047E" w:rsidRDefault="00AA6037" w:rsidP="00AA6037">
      <w:pPr>
        <w:jc w:val="both"/>
        <w:rPr>
          <w:rFonts w:ascii="Arial" w:hAnsi="Arial" w:cs="Arial"/>
          <w:sz w:val="22"/>
          <w:szCs w:val="22"/>
          <w:highlight w:val="green"/>
          <w:lang w:eastAsia="cs-CZ"/>
        </w:rPr>
      </w:pPr>
    </w:p>
    <w:p w:rsidR="00AA6037" w:rsidRPr="00F21A03" w:rsidRDefault="00AA6037" w:rsidP="00E50173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F21A03">
        <w:rPr>
          <w:rFonts w:ascii="Arial" w:hAnsi="Arial" w:cs="Arial"/>
          <w:b/>
          <w:i/>
          <w:sz w:val="22"/>
          <w:szCs w:val="22"/>
          <w:lang w:eastAsia="cs-CZ"/>
        </w:rPr>
        <w:t xml:space="preserve">Finanční </w:t>
      </w:r>
      <w:r w:rsidR="00F21A03" w:rsidRPr="00F21A03">
        <w:rPr>
          <w:rFonts w:ascii="Arial" w:hAnsi="Arial" w:cs="Arial"/>
          <w:b/>
          <w:i/>
          <w:sz w:val="22"/>
          <w:szCs w:val="22"/>
          <w:lang w:eastAsia="cs-CZ"/>
        </w:rPr>
        <w:t>vypořádání transferů za rok 2011</w:t>
      </w:r>
    </w:p>
    <w:p w:rsidR="00BB3E28" w:rsidRPr="0015047E" w:rsidRDefault="00B04F1C" w:rsidP="00AA6037">
      <w:pPr>
        <w:suppressAutoHyphens/>
        <w:jc w:val="both"/>
        <w:rPr>
          <w:rFonts w:ascii="Arial" w:hAnsi="Arial" w:cs="Arial"/>
          <w:i/>
          <w:sz w:val="22"/>
          <w:szCs w:val="22"/>
          <w:highlight w:val="green"/>
        </w:rPr>
      </w:pPr>
      <w:r w:rsidRPr="00C51110">
        <w:rPr>
          <w:rFonts w:ascii="Arial" w:hAnsi="Arial" w:cs="Arial"/>
          <w:bCs/>
          <w:iCs/>
          <w:sz w:val="22"/>
          <w:szCs w:val="22"/>
        </w:rPr>
        <w:t xml:space="preserve">Problematiku finančního vypořádání transferů upravuje </w:t>
      </w:r>
      <w:r w:rsidR="00AA6037" w:rsidRPr="00C51110">
        <w:rPr>
          <w:rFonts w:ascii="Arial" w:hAnsi="Arial" w:cs="Arial"/>
          <w:bCs/>
          <w:iCs/>
          <w:sz w:val="22"/>
          <w:szCs w:val="22"/>
        </w:rPr>
        <w:t>ČÚS č. 703</w:t>
      </w:r>
      <w:r w:rsidR="000F445A" w:rsidRPr="00C51110">
        <w:rPr>
          <w:rFonts w:ascii="Arial" w:hAnsi="Arial" w:cs="Arial"/>
          <w:bCs/>
          <w:iCs/>
          <w:sz w:val="22"/>
          <w:szCs w:val="22"/>
        </w:rPr>
        <w:t>,</w:t>
      </w:r>
      <w:r w:rsidR="00AA6037" w:rsidRPr="00C51110">
        <w:rPr>
          <w:rFonts w:ascii="Arial" w:hAnsi="Arial" w:cs="Arial"/>
          <w:bCs/>
          <w:iCs/>
          <w:sz w:val="22"/>
          <w:szCs w:val="22"/>
        </w:rPr>
        <w:t xml:space="preserve"> avšak</w:t>
      </w:r>
      <w:r w:rsidR="00B805DC" w:rsidRPr="00C51110">
        <w:rPr>
          <w:rFonts w:ascii="Arial" w:hAnsi="Arial" w:cs="Arial"/>
          <w:bCs/>
          <w:iCs/>
          <w:sz w:val="22"/>
          <w:szCs w:val="22"/>
        </w:rPr>
        <w:t xml:space="preserve"> tuto problematiku neupravuje dostatečně </w:t>
      </w:r>
      <w:r w:rsidR="003161D2" w:rsidRPr="00C51110">
        <w:rPr>
          <w:rFonts w:ascii="Arial" w:hAnsi="Arial" w:cs="Arial"/>
          <w:bCs/>
          <w:iCs/>
          <w:sz w:val="22"/>
          <w:szCs w:val="22"/>
        </w:rPr>
        <w:t>–</w:t>
      </w:r>
      <w:r w:rsidR="00B805DC" w:rsidRPr="00C51110">
        <w:rPr>
          <w:rFonts w:ascii="Arial" w:hAnsi="Arial" w:cs="Arial"/>
          <w:bCs/>
          <w:iCs/>
          <w:sz w:val="22"/>
          <w:szCs w:val="22"/>
        </w:rPr>
        <w:t xml:space="preserve"> zejména neupravuje, jak má OSS účtovat o převodu prostředků, </w:t>
      </w:r>
      <w:r w:rsidR="00CB7110">
        <w:rPr>
          <w:rFonts w:ascii="Arial" w:hAnsi="Arial" w:cs="Arial"/>
          <w:bCs/>
          <w:iCs/>
          <w:sz w:val="22"/>
          <w:szCs w:val="22"/>
        </w:rPr>
        <w:t xml:space="preserve">které </w:t>
      </w:r>
      <w:r w:rsidR="00B805DC" w:rsidRPr="00C51110">
        <w:rPr>
          <w:rFonts w:ascii="Arial" w:hAnsi="Arial" w:cs="Arial"/>
          <w:bCs/>
          <w:iCs/>
          <w:sz w:val="22"/>
          <w:szCs w:val="22"/>
        </w:rPr>
        <w:t xml:space="preserve">představují výši vratek </w:t>
      </w:r>
      <w:r w:rsidR="00765F23">
        <w:rPr>
          <w:rFonts w:ascii="Arial" w:hAnsi="Arial" w:cs="Arial"/>
          <w:bCs/>
          <w:iCs/>
          <w:sz w:val="22"/>
          <w:szCs w:val="22"/>
        </w:rPr>
        <w:t>z </w:t>
      </w:r>
      <w:r w:rsidR="00B805DC" w:rsidRPr="00C51110">
        <w:rPr>
          <w:rFonts w:ascii="Arial" w:hAnsi="Arial" w:cs="Arial"/>
          <w:bCs/>
          <w:iCs/>
          <w:sz w:val="22"/>
          <w:szCs w:val="22"/>
        </w:rPr>
        <w:t>finančního vypořádání, ze svého</w:t>
      </w:r>
      <w:r w:rsidR="0001331E" w:rsidRPr="00C51110">
        <w:rPr>
          <w:rFonts w:ascii="Arial" w:hAnsi="Arial" w:cs="Arial"/>
          <w:bCs/>
          <w:iCs/>
          <w:sz w:val="22"/>
          <w:szCs w:val="22"/>
        </w:rPr>
        <w:t xml:space="preserve"> </w:t>
      </w:r>
      <w:r w:rsidR="00B805DC" w:rsidRPr="00C51110">
        <w:rPr>
          <w:rFonts w:ascii="Arial" w:hAnsi="Arial" w:cs="Arial"/>
          <w:bCs/>
          <w:iCs/>
          <w:sz w:val="22"/>
          <w:szCs w:val="22"/>
        </w:rPr>
        <w:t>účtu cizích prostředků na příjmový (vypořádací) účet Ministerstva financí</w:t>
      </w:r>
      <w:r w:rsidRPr="00C51110">
        <w:rPr>
          <w:rFonts w:ascii="Arial" w:hAnsi="Arial" w:cs="Arial"/>
          <w:bCs/>
          <w:iCs/>
          <w:sz w:val="22"/>
          <w:szCs w:val="22"/>
        </w:rPr>
        <w:t>.</w:t>
      </w:r>
      <w:r w:rsidR="00AA6037" w:rsidRPr="00C5111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1723E" w:rsidRPr="00C51110">
        <w:rPr>
          <w:rFonts w:ascii="Arial" w:hAnsi="Arial" w:cs="Arial"/>
          <w:sz w:val="22"/>
          <w:szCs w:val="22"/>
        </w:rPr>
        <w:t xml:space="preserve">MŠMT </w:t>
      </w:r>
      <w:r w:rsidR="00765F23">
        <w:rPr>
          <w:rFonts w:ascii="Arial" w:hAnsi="Arial" w:cs="Arial"/>
          <w:sz w:val="22"/>
          <w:szCs w:val="22"/>
        </w:rPr>
        <w:t>v </w:t>
      </w:r>
      <w:r w:rsidR="0031723E" w:rsidRPr="00C51110">
        <w:rPr>
          <w:rFonts w:ascii="Arial" w:hAnsi="Arial" w:cs="Arial"/>
          <w:sz w:val="22"/>
          <w:szCs w:val="22"/>
        </w:rPr>
        <w:t>roce 201</w:t>
      </w:r>
      <w:r w:rsidR="00C51110" w:rsidRPr="00C51110">
        <w:rPr>
          <w:rFonts w:ascii="Arial" w:hAnsi="Arial" w:cs="Arial"/>
          <w:sz w:val="22"/>
          <w:szCs w:val="22"/>
        </w:rPr>
        <w:t>2</w:t>
      </w:r>
      <w:r w:rsidR="0031723E" w:rsidRPr="00C51110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v </w:t>
      </w:r>
      <w:r w:rsidR="0031723E" w:rsidRPr="00C51110">
        <w:rPr>
          <w:rFonts w:ascii="Arial" w:hAnsi="Arial" w:cs="Arial"/>
          <w:sz w:val="22"/>
          <w:szCs w:val="22"/>
        </w:rPr>
        <w:t xml:space="preserve">souladu </w:t>
      </w:r>
      <w:r w:rsidR="00765F23">
        <w:rPr>
          <w:rFonts w:ascii="Arial" w:hAnsi="Arial" w:cs="Arial"/>
          <w:sz w:val="22"/>
          <w:szCs w:val="22"/>
        </w:rPr>
        <w:t>s </w:t>
      </w:r>
      <w:r w:rsidR="0031723E" w:rsidRPr="00C51110">
        <w:rPr>
          <w:rFonts w:ascii="Arial" w:hAnsi="Arial" w:cs="Arial"/>
          <w:sz w:val="22"/>
          <w:szCs w:val="22"/>
        </w:rPr>
        <w:t>vyhláškou č.</w:t>
      </w:r>
      <w:r w:rsidR="00C66961" w:rsidRPr="00C51110">
        <w:rPr>
          <w:rFonts w:ascii="Arial" w:hAnsi="Arial" w:cs="Arial"/>
          <w:sz w:val="22"/>
          <w:szCs w:val="22"/>
        </w:rPr>
        <w:t> </w:t>
      </w:r>
      <w:r w:rsidR="0031723E" w:rsidRPr="00C51110">
        <w:rPr>
          <w:rFonts w:ascii="Arial" w:hAnsi="Arial" w:cs="Arial"/>
          <w:sz w:val="22"/>
          <w:szCs w:val="22"/>
        </w:rPr>
        <w:t>52/2008 Sb.</w:t>
      </w:r>
      <w:r w:rsidR="00135976" w:rsidRPr="00C51110">
        <w:rPr>
          <w:rFonts w:ascii="Arial" w:hAnsi="Arial" w:cs="Arial"/>
          <w:sz w:val="22"/>
          <w:szCs w:val="22"/>
        </w:rPr>
        <w:t>, kterou se stanoví zásady a</w:t>
      </w:r>
      <w:r w:rsidR="0001331E" w:rsidRPr="00C51110">
        <w:rPr>
          <w:rFonts w:ascii="Arial" w:hAnsi="Arial" w:cs="Arial"/>
          <w:sz w:val="22"/>
          <w:szCs w:val="22"/>
        </w:rPr>
        <w:t xml:space="preserve"> </w:t>
      </w:r>
      <w:r w:rsidR="0031723E" w:rsidRPr="00C51110">
        <w:rPr>
          <w:rFonts w:ascii="Arial" w:hAnsi="Arial" w:cs="Arial"/>
          <w:sz w:val="22"/>
          <w:szCs w:val="22"/>
        </w:rPr>
        <w:t>termíny finančního vypořádání vztahů se státním rozpočtem, státními finančními aktivy nebo Národním fondem</w:t>
      </w:r>
      <w:r w:rsidR="00CB7110">
        <w:rPr>
          <w:rFonts w:ascii="Arial" w:hAnsi="Arial" w:cs="Arial"/>
          <w:sz w:val="22"/>
          <w:szCs w:val="22"/>
        </w:rPr>
        <w:t>,</w:t>
      </w:r>
      <w:r w:rsidR="0031723E" w:rsidRPr="00C51110">
        <w:rPr>
          <w:rFonts w:ascii="Arial" w:hAnsi="Arial" w:cs="Arial"/>
          <w:sz w:val="22"/>
          <w:szCs w:val="22"/>
        </w:rPr>
        <w:t xml:space="preserve"> provedlo finanční vypořádání vzt</w:t>
      </w:r>
      <w:r w:rsidR="00135976" w:rsidRPr="00C51110">
        <w:rPr>
          <w:rFonts w:ascii="Arial" w:hAnsi="Arial" w:cs="Arial"/>
          <w:sz w:val="22"/>
          <w:szCs w:val="22"/>
        </w:rPr>
        <w:t>ahů se státním rozpočtem za rok</w:t>
      </w:r>
      <w:r w:rsidR="0001331E" w:rsidRPr="00C51110">
        <w:rPr>
          <w:rFonts w:ascii="Arial" w:hAnsi="Arial" w:cs="Arial"/>
          <w:sz w:val="22"/>
          <w:szCs w:val="22"/>
        </w:rPr>
        <w:t xml:space="preserve"> </w:t>
      </w:r>
      <w:r w:rsidR="0031723E" w:rsidRPr="00C51110">
        <w:rPr>
          <w:rFonts w:ascii="Arial" w:hAnsi="Arial" w:cs="Arial"/>
          <w:sz w:val="22"/>
          <w:szCs w:val="22"/>
        </w:rPr>
        <w:t>201</w:t>
      </w:r>
      <w:r w:rsidR="00C51110">
        <w:rPr>
          <w:rFonts w:ascii="Arial" w:hAnsi="Arial" w:cs="Arial"/>
          <w:sz w:val="22"/>
          <w:szCs w:val="22"/>
        </w:rPr>
        <w:t>1</w:t>
      </w:r>
      <w:r w:rsidR="00A81D0A" w:rsidRPr="00C51110">
        <w:rPr>
          <w:rFonts w:ascii="Arial" w:hAnsi="Arial" w:cs="Arial"/>
          <w:sz w:val="22"/>
          <w:szCs w:val="22"/>
        </w:rPr>
        <w:t>.</w:t>
      </w:r>
      <w:r w:rsidR="00570445" w:rsidRPr="00C51110">
        <w:rPr>
          <w:rFonts w:ascii="Arial" w:hAnsi="Arial" w:cs="Arial"/>
          <w:sz w:val="22"/>
          <w:szCs w:val="22"/>
        </w:rPr>
        <w:t xml:space="preserve"> </w:t>
      </w:r>
      <w:r w:rsidR="00A81D0A" w:rsidRPr="00C51110">
        <w:rPr>
          <w:rFonts w:ascii="Arial" w:hAnsi="Arial" w:cs="Arial"/>
          <w:sz w:val="22"/>
          <w:szCs w:val="22"/>
        </w:rPr>
        <w:t>V</w:t>
      </w:r>
      <w:r w:rsidR="00135976" w:rsidRPr="00C51110">
        <w:rPr>
          <w:rFonts w:ascii="Arial" w:hAnsi="Arial" w:cs="Arial"/>
          <w:sz w:val="22"/>
          <w:szCs w:val="22"/>
        </w:rPr>
        <w:t xml:space="preserve">ratky </w:t>
      </w:r>
      <w:r w:rsidR="00B01956" w:rsidRPr="00C51110">
        <w:rPr>
          <w:rFonts w:ascii="Arial" w:hAnsi="Arial" w:cs="Arial"/>
          <w:sz w:val="22"/>
          <w:szCs w:val="22"/>
        </w:rPr>
        <w:t>dotací</w:t>
      </w:r>
      <w:r w:rsidR="0031723E" w:rsidRPr="00C51110">
        <w:rPr>
          <w:rFonts w:ascii="Arial" w:hAnsi="Arial" w:cs="Arial"/>
          <w:sz w:val="22"/>
          <w:szCs w:val="22"/>
        </w:rPr>
        <w:t xml:space="preserve"> ve výši </w:t>
      </w:r>
      <w:r w:rsidR="00C51110" w:rsidRPr="00C51110">
        <w:rPr>
          <w:rFonts w:ascii="Arial" w:hAnsi="Arial" w:cs="Arial"/>
          <w:sz w:val="22"/>
          <w:szCs w:val="22"/>
        </w:rPr>
        <w:t>58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="00C51110" w:rsidRPr="00C51110">
        <w:rPr>
          <w:rFonts w:ascii="Arial" w:hAnsi="Arial" w:cs="Arial"/>
          <w:sz w:val="22"/>
          <w:szCs w:val="22"/>
        </w:rPr>
        <w:t>193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="00C51110" w:rsidRPr="00C51110">
        <w:rPr>
          <w:rFonts w:ascii="Arial" w:hAnsi="Arial" w:cs="Arial"/>
          <w:sz w:val="22"/>
          <w:szCs w:val="22"/>
        </w:rPr>
        <w:t>084,43</w:t>
      </w:r>
      <w:r w:rsidR="0031723E" w:rsidRPr="00C51110">
        <w:rPr>
          <w:rFonts w:ascii="Arial" w:hAnsi="Arial" w:cs="Arial"/>
          <w:sz w:val="22"/>
          <w:szCs w:val="22"/>
        </w:rPr>
        <w:t xml:space="preserve"> Kč</w:t>
      </w:r>
      <w:r w:rsidR="00570445" w:rsidRPr="00C51110">
        <w:rPr>
          <w:rFonts w:ascii="Arial" w:hAnsi="Arial" w:cs="Arial"/>
          <w:sz w:val="22"/>
          <w:szCs w:val="22"/>
        </w:rPr>
        <w:t>, které byly následně</w:t>
      </w:r>
      <w:r w:rsidR="00B01956" w:rsidRPr="00C51110">
        <w:rPr>
          <w:rFonts w:ascii="Arial" w:hAnsi="Arial" w:cs="Arial"/>
          <w:sz w:val="22"/>
          <w:szCs w:val="22"/>
        </w:rPr>
        <w:t xml:space="preserve"> převeden</w:t>
      </w:r>
      <w:r w:rsidR="00570445" w:rsidRPr="00C51110">
        <w:rPr>
          <w:rFonts w:ascii="Arial" w:hAnsi="Arial" w:cs="Arial"/>
          <w:sz w:val="22"/>
          <w:szCs w:val="22"/>
        </w:rPr>
        <w:t>y</w:t>
      </w:r>
      <w:r w:rsidR="00B01956" w:rsidRPr="00C51110">
        <w:rPr>
          <w:rFonts w:ascii="Arial" w:hAnsi="Arial" w:cs="Arial"/>
          <w:sz w:val="22"/>
          <w:szCs w:val="22"/>
        </w:rPr>
        <w:t xml:space="preserve"> na příjmový účet </w:t>
      </w:r>
      <w:r w:rsidR="0031723E" w:rsidRPr="00C51110">
        <w:rPr>
          <w:rFonts w:ascii="Arial" w:hAnsi="Arial" w:cs="Arial"/>
          <w:sz w:val="22"/>
          <w:szCs w:val="22"/>
        </w:rPr>
        <w:t>Ministerstva financí</w:t>
      </w:r>
      <w:r w:rsidR="00A81D0A" w:rsidRPr="00C51110">
        <w:rPr>
          <w:rFonts w:ascii="Arial" w:hAnsi="Arial" w:cs="Arial"/>
          <w:sz w:val="22"/>
          <w:szCs w:val="22"/>
        </w:rPr>
        <w:t>, účtovalo</w:t>
      </w:r>
      <w:r w:rsidR="0031723E" w:rsidRPr="00C51110">
        <w:rPr>
          <w:rFonts w:ascii="Arial" w:hAnsi="Arial" w:cs="Arial"/>
          <w:sz w:val="22"/>
          <w:szCs w:val="22"/>
        </w:rPr>
        <w:t xml:space="preserve"> prostřednictvím účtu </w:t>
      </w:r>
      <w:r w:rsidR="00B01956" w:rsidRPr="00C51110">
        <w:rPr>
          <w:rFonts w:ascii="Arial" w:hAnsi="Arial" w:cs="Arial"/>
          <w:sz w:val="22"/>
          <w:szCs w:val="22"/>
        </w:rPr>
        <w:t>245</w:t>
      </w:r>
      <w:r w:rsidR="00352C91" w:rsidRPr="00C51110">
        <w:rPr>
          <w:rFonts w:ascii="Arial" w:hAnsi="Arial" w:cs="Arial"/>
          <w:sz w:val="22"/>
          <w:szCs w:val="22"/>
        </w:rPr>
        <w:t> </w:t>
      </w:r>
      <w:r w:rsidR="00135976" w:rsidRPr="00C51110">
        <w:rPr>
          <w:rFonts w:ascii="Arial" w:hAnsi="Arial" w:cs="Arial"/>
          <w:sz w:val="22"/>
          <w:szCs w:val="22"/>
        </w:rPr>
        <w:t xml:space="preserve">– </w:t>
      </w:r>
      <w:r w:rsidR="00B01956" w:rsidRPr="00C51110">
        <w:rPr>
          <w:rFonts w:ascii="Arial" w:hAnsi="Arial" w:cs="Arial"/>
          <w:i/>
          <w:sz w:val="22"/>
          <w:szCs w:val="22"/>
        </w:rPr>
        <w:t>Jiné běžné</w:t>
      </w:r>
      <w:r w:rsidR="00B01956" w:rsidRPr="00C51110">
        <w:rPr>
          <w:rFonts w:ascii="Arial" w:hAnsi="Arial" w:cs="Arial"/>
          <w:sz w:val="22"/>
          <w:szCs w:val="22"/>
        </w:rPr>
        <w:t xml:space="preserve"> </w:t>
      </w:r>
      <w:r w:rsidR="00B01956" w:rsidRPr="00C51110">
        <w:rPr>
          <w:rFonts w:ascii="Arial" w:hAnsi="Arial" w:cs="Arial"/>
          <w:i/>
          <w:sz w:val="22"/>
          <w:szCs w:val="22"/>
        </w:rPr>
        <w:t>účty</w:t>
      </w:r>
      <w:r w:rsidR="00BB3E28" w:rsidRPr="00C51110">
        <w:rPr>
          <w:rFonts w:ascii="Arial" w:hAnsi="Arial" w:cs="Arial"/>
          <w:i/>
          <w:sz w:val="22"/>
          <w:szCs w:val="22"/>
        </w:rPr>
        <w:t xml:space="preserve"> </w:t>
      </w:r>
      <w:r w:rsidR="00BB3E28" w:rsidRPr="00C51110">
        <w:rPr>
          <w:rFonts w:ascii="Arial" w:hAnsi="Arial" w:cs="Arial"/>
          <w:sz w:val="22"/>
          <w:szCs w:val="22"/>
        </w:rPr>
        <w:t>a</w:t>
      </w:r>
      <w:r w:rsidR="003216A1" w:rsidRPr="00C51110">
        <w:rPr>
          <w:rFonts w:ascii="Arial" w:hAnsi="Arial" w:cs="Arial"/>
          <w:sz w:val="22"/>
          <w:szCs w:val="22"/>
        </w:rPr>
        <w:t xml:space="preserve"> na </w:t>
      </w:r>
      <w:r w:rsidR="002D0CDF" w:rsidRPr="00C51110">
        <w:rPr>
          <w:rFonts w:ascii="Arial" w:hAnsi="Arial" w:cs="Arial"/>
          <w:sz w:val="22"/>
          <w:szCs w:val="22"/>
        </w:rPr>
        <w:t xml:space="preserve">stranu </w:t>
      </w:r>
      <w:r w:rsidR="006C4429" w:rsidRPr="00C51110">
        <w:rPr>
          <w:rFonts w:ascii="Arial" w:hAnsi="Arial" w:cs="Arial"/>
          <w:sz w:val="22"/>
          <w:szCs w:val="22"/>
        </w:rPr>
        <w:t>„</w:t>
      </w:r>
      <w:r w:rsidR="00CB7110">
        <w:rPr>
          <w:rFonts w:ascii="Arial" w:hAnsi="Arial" w:cs="Arial"/>
          <w:sz w:val="22"/>
          <w:szCs w:val="22"/>
        </w:rPr>
        <w:t>m</w:t>
      </w:r>
      <w:r w:rsidR="002D0CDF" w:rsidRPr="00C51110">
        <w:rPr>
          <w:rFonts w:ascii="Arial" w:hAnsi="Arial" w:cs="Arial"/>
          <w:sz w:val="22"/>
          <w:szCs w:val="22"/>
        </w:rPr>
        <w:t xml:space="preserve">á </w:t>
      </w:r>
      <w:r w:rsidR="00CB7110">
        <w:rPr>
          <w:rFonts w:ascii="Arial" w:hAnsi="Arial" w:cs="Arial"/>
          <w:sz w:val="22"/>
          <w:szCs w:val="22"/>
        </w:rPr>
        <w:t>d</w:t>
      </w:r>
      <w:r w:rsidR="002D0CDF" w:rsidRPr="00C51110">
        <w:rPr>
          <w:rFonts w:ascii="Arial" w:hAnsi="Arial" w:cs="Arial"/>
          <w:sz w:val="22"/>
          <w:szCs w:val="22"/>
        </w:rPr>
        <w:t>áti</w:t>
      </w:r>
      <w:r w:rsidR="006C4429" w:rsidRPr="00C51110">
        <w:rPr>
          <w:rFonts w:ascii="Arial" w:hAnsi="Arial" w:cs="Arial"/>
          <w:sz w:val="22"/>
          <w:szCs w:val="22"/>
        </w:rPr>
        <w:t>“</w:t>
      </w:r>
      <w:r w:rsidR="003216A1" w:rsidRPr="00C51110">
        <w:rPr>
          <w:rFonts w:ascii="Arial" w:hAnsi="Arial" w:cs="Arial"/>
          <w:sz w:val="22"/>
          <w:szCs w:val="22"/>
        </w:rPr>
        <w:t xml:space="preserve"> účtu </w:t>
      </w:r>
      <w:r w:rsidR="0031723E" w:rsidRPr="00C51110">
        <w:rPr>
          <w:rFonts w:ascii="Arial" w:hAnsi="Arial" w:cs="Arial"/>
          <w:sz w:val="22"/>
          <w:szCs w:val="22"/>
        </w:rPr>
        <w:t xml:space="preserve">401 – </w:t>
      </w:r>
      <w:r w:rsidR="0031723E" w:rsidRPr="00C51110">
        <w:rPr>
          <w:rFonts w:ascii="Arial" w:hAnsi="Arial" w:cs="Arial"/>
          <w:i/>
          <w:sz w:val="22"/>
          <w:szCs w:val="22"/>
        </w:rPr>
        <w:t>Jmění účetní jednotky</w:t>
      </w:r>
      <w:r w:rsidR="00BB3E28" w:rsidRPr="00C51110">
        <w:rPr>
          <w:rFonts w:ascii="Arial" w:hAnsi="Arial" w:cs="Arial"/>
          <w:i/>
          <w:sz w:val="22"/>
          <w:szCs w:val="22"/>
        </w:rPr>
        <w:t>.</w:t>
      </w:r>
    </w:p>
    <w:p w:rsidR="00CA4830" w:rsidRPr="0015047E" w:rsidRDefault="00CA4830" w:rsidP="00AA6037">
      <w:pPr>
        <w:suppressAutoHyphens/>
        <w:jc w:val="both"/>
        <w:rPr>
          <w:rFonts w:ascii="Arial" w:hAnsi="Arial" w:cs="Arial"/>
          <w:sz w:val="22"/>
          <w:szCs w:val="22"/>
          <w:highlight w:val="green"/>
        </w:rPr>
      </w:pPr>
    </w:p>
    <w:p w:rsidR="00AA6037" w:rsidRPr="00C51110" w:rsidRDefault="00570445" w:rsidP="00AA6037">
      <w:pPr>
        <w:suppressAutoHyphens/>
        <w:jc w:val="both"/>
        <w:rPr>
          <w:rFonts w:ascii="Arial" w:hAnsi="Arial" w:cs="Arial"/>
          <w:sz w:val="22"/>
          <w:szCs w:val="22"/>
        </w:rPr>
      </w:pPr>
      <w:r w:rsidRPr="00C51110">
        <w:rPr>
          <w:rFonts w:ascii="Arial" w:hAnsi="Arial" w:cs="Arial"/>
          <w:sz w:val="22"/>
          <w:szCs w:val="22"/>
        </w:rPr>
        <w:lastRenderedPageBreak/>
        <w:t>Použití účtu</w:t>
      </w:r>
      <w:r w:rsidR="00970AEF" w:rsidRPr="00C51110">
        <w:rPr>
          <w:rFonts w:ascii="Arial" w:hAnsi="Arial" w:cs="Arial"/>
          <w:sz w:val="22"/>
          <w:szCs w:val="22"/>
        </w:rPr>
        <w:t xml:space="preserve"> 401</w:t>
      </w:r>
      <w:r w:rsidR="004B4205">
        <w:rPr>
          <w:rFonts w:ascii="Arial" w:hAnsi="Arial" w:cs="Arial"/>
          <w:sz w:val="22"/>
          <w:szCs w:val="22"/>
        </w:rPr>
        <w:t xml:space="preserve"> </w:t>
      </w:r>
      <w:r w:rsidR="004B4205" w:rsidRPr="00C51110">
        <w:rPr>
          <w:rFonts w:ascii="Arial" w:hAnsi="Arial" w:cs="Arial"/>
          <w:sz w:val="22"/>
          <w:szCs w:val="22"/>
        </w:rPr>
        <w:t>–</w:t>
      </w:r>
      <w:r w:rsidR="00A90BAF">
        <w:rPr>
          <w:rFonts w:ascii="Arial" w:hAnsi="Arial" w:cs="Arial"/>
          <w:sz w:val="22"/>
          <w:szCs w:val="22"/>
        </w:rPr>
        <w:t xml:space="preserve"> </w:t>
      </w:r>
      <w:r w:rsidR="00A90BAF" w:rsidRPr="001233B8">
        <w:rPr>
          <w:rFonts w:ascii="Arial" w:hAnsi="Arial" w:cs="Arial"/>
          <w:i/>
          <w:sz w:val="22"/>
          <w:szCs w:val="22"/>
        </w:rPr>
        <w:t>Jmění účetní jednotky</w:t>
      </w:r>
      <w:r w:rsidRPr="00C51110">
        <w:rPr>
          <w:rFonts w:ascii="Arial" w:hAnsi="Arial" w:cs="Arial"/>
          <w:sz w:val="22"/>
          <w:szCs w:val="22"/>
        </w:rPr>
        <w:t xml:space="preserve"> nelze považovat jednoznačně za nesprávné, neboť MŠMT použilo určitou </w:t>
      </w:r>
      <w:r w:rsidR="00C51110" w:rsidRPr="00C51110">
        <w:rPr>
          <w:rFonts w:ascii="Arial" w:hAnsi="Arial" w:cs="Arial"/>
          <w:sz w:val="22"/>
          <w:szCs w:val="22"/>
        </w:rPr>
        <w:t xml:space="preserve">analogii </w:t>
      </w:r>
      <w:r w:rsidR="00765F23">
        <w:rPr>
          <w:rFonts w:ascii="Arial" w:hAnsi="Arial" w:cs="Arial"/>
          <w:sz w:val="22"/>
          <w:szCs w:val="22"/>
        </w:rPr>
        <w:t>s </w:t>
      </w:r>
      <w:r w:rsidR="00C51110" w:rsidRPr="00C51110">
        <w:rPr>
          <w:rFonts w:ascii="Arial" w:hAnsi="Arial" w:cs="Arial"/>
          <w:sz w:val="22"/>
          <w:szCs w:val="22"/>
        </w:rPr>
        <w:t>ustanovením bodu 4.13</w:t>
      </w:r>
      <w:r w:rsidRPr="00C51110">
        <w:rPr>
          <w:rFonts w:ascii="Arial" w:hAnsi="Arial" w:cs="Arial"/>
          <w:sz w:val="22"/>
          <w:szCs w:val="22"/>
        </w:rPr>
        <w:t xml:space="preserve"> ČÚS </w:t>
      </w:r>
      <w:r w:rsidR="002D0CDF" w:rsidRPr="00C51110">
        <w:rPr>
          <w:rFonts w:ascii="Arial" w:hAnsi="Arial" w:cs="Arial"/>
          <w:sz w:val="22"/>
          <w:szCs w:val="22"/>
        </w:rPr>
        <w:t xml:space="preserve">č. </w:t>
      </w:r>
      <w:r w:rsidRPr="00C51110">
        <w:rPr>
          <w:rFonts w:ascii="Arial" w:hAnsi="Arial" w:cs="Arial"/>
          <w:sz w:val="22"/>
          <w:szCs w:val="22"/>
        </w:rPr>
        <w:t>703</w:t>
      </w:r>
      <w:r w:rsidR="00970AEF" w:rsidRPr="00C51110">
        <w:rPr>
          <w:rFonts w:ascii="Arial" w:hAnsi="Arial" w:cs="Arial"/>
          <w:sz w:val="22"/>
          <w:szCs w:val="22"/>
        </w:rPr>
        <w:t xml:space="preserve">, který </w:t>
      </w:r>
      <w:r w:rsidR="00894BDB" w:rsidRPr="00C51110">
        <w:rPr>
          <w:rFonts w:ascii="Arial" w:hAnsi="Arial" w:cs="Arial"/>
          <w:sz w:val="22"/>
          <w:szCs w:val="22"/>
        </w:rPr>
        <w:t>tento</w:t>
      </w:r>
      <w:r w:rsidR="00970AEF" w:rsidRPr="00C51110">
        <w:rPr>
          <w:rFonts w:ascii="Arial" w:hAnsi="Arial" w:cs="Arial"/>
          <w:sz w:val="22"/>
          <w:szCs w:val="22"/>
        </w:rPr>
        <w:t xml:space="preserve"> úč</w:t>
      </w:r>
      <w:r w:rsidR="00894BDB" w:rsidRPr="00C51110">
        <w:rPr>
          <w:rFonts w:ascii="Arial" w:hAnsi="Arial" w:cs="Arial"/>
          <w:sz w:val="22"/>
          <w:szCs w:val="22"/>
        </w:rPr>
        <w:t>e</w:t>
      </w:r>
      <w:r w:rsidR="00970AEF" w:rsidRPr="00C51110">
        <w:rPr>
          <w:rFonts w:ascii="Arial" w:hAnsi="Arial" w:cs="Arial"/>
          <w:sz w:val="22"/>
          <w:szCs w:val="22"/>
        </w:rPr>
        <w:t>t</w:t>
      </w:r>
      <w:r w:rsidR="00894BDB" w:rsidRPr="00C51110">
        <w:rPr>
          <w:rFonts w:ascii="Arial" w:hAnsi="Arial" w:cs="Arial"/>
          <w:sz w:val="22"/>
          <w:szCs w:val="22"/>
        </w:rPr>
        <w:t xml:space="preserve"> stanoví pro finanční</w:t>
      </w:r>
      <w:r w:rsidR="00970AEF" w:rsidRPr="00C51110">
        <w:rPr>
          <w:rFonts w:ascii="Arial" w:hAnsi="Arial" w:cs="Arial"/>
          <w:sz w:val="22"/>
          <w:szCs w:val="22"/>
        </w:rPr>
        <w:t xml:space="preserve"> vypořádání </w:t>
      </w:r>
      <w:r w:rsidR="00765F23">
        <w:rPr>
          <w:rFonts w:ascii="Arial" w:hAnsi="Arial" w:cs="Arial"/>
          <w:sz w:val="22"/>
          <w:szCs w:val="22"/>
        </w:rPr>
        <w:t>v </w:t>
      </w:r>
      <w:r w:rsidR="00970AEF" w:rsidRPr="00C51110">
        <w:rPr>
          <w:rFonts w:ascii="Arial" w:hAnsi="Arial" w:cs="Arial"/>
          <w:sz w:val="22"/>
          <w:szCs w:val="22"/>
        </w:rPr>
        <w:t>příslušném rozpočtovém roce</w:t>
      </w:r>
      <w:r w:rsidR="00894BDB" w:rsidRPr="00C51110">
        <w:rPr>
          <w:rFonts w:ascii="Arial" w:hAnsi="Arial" w:cs="Arial"/>
          <w:sz w:val="22"/>
          <w:szCs w:val="22"/>
        </w:rPr>
        <w:t>.</w:t>
      </w:r>
      <w:r w:rsidR="007C5F8C" w:rsidRPr="00C51110">
        <w:rPr>
          <w:rFonts w:ascii="Arial" w:hAnsi="Arial" w:cs="Arial"/>
          <w:sz w:val="22"/>
          <w:szCs w:val="22"/>
        </w:rPr>
        <w:t xml:space="preserve"> Při tomto</w:t>
      </w:r>
      <w:r w:rsidR="009D687C" w:rsidRPr="00C51110">
        <w:rPr>
          <w:rFonts w:ascii="Arial" w:hAnsi="Arial" w:cs="Arial"/>
          <w:sz w:val="22"/>
          <w:szCs w:val="22"/>
        </w:rPr>
        <w:t xml:space="preserve"> postup</w:t>
      </w:r>
      <w:r w:rsidR="007C5F8C" w:rsidRPr="00C51110">
        <w:rPr>
          <w:rFonts w:ascii="Arial" w:hAnsi="Arial" w:cs="Arial"/>
          <w:sz w:val="22"/>
          <w:szCs w:val="22"/>
        </w:rPr>
        <w:t>u dochází ke</w:t>
      </w:r>
      <w:r w:rsidR="009D687C" w:rsidRPr="00C51110">
        <w:rPr>
          <w:rFonts w:ascii="Arial" w:hAnsi="Arial" w:cs="Arial"/>
          <w:sz w:val="22"/>
          <w:szCs w:val="22"/>
        </w:rPr>
        <w:t xml:space="preserve"> sn</w:t>
      </w:r>
      <w:r w:rsidR="007C5F8C" w:rsidRPr="00C51110">
        <w:rPr>
          <w:rFonts w:ascii="Arial" w:hAnsi="Arial" w:cs="Arial"/>
          <w:sz w:val="22"/>
          <w:szCs w:val="22"/>
        </w:rPr>
        <w:t>ížení</w:t>
      </w:r>
      <w:r w:rsidR="009D687C" w:rsidRPr="00C51110">
        <w:rPr>
          <w:rFonts w:ascii="Arial" w:hAnsi="Arial" w:cs="Arial"/>
          <w:sz w:val="22"/>
          <w:szCs w:val="22"/>
        </w:rPr>
        <w:t xml:space="preserve"> hodnot</w:t>
      </w:r>
      <w:r w:rsidR="007C5F8C" w:rsidRPr="00C51110">
        <w:rPr>
          <w:rFonts w:ascii="Arial" w:hAnsi="Arial" w:cs="Arial"/>
          <w:sz w:val="22"/>
          <w:szCs w:val="22"/>
        </w:rPr>
        <w:t>y</w:t>
      </w:r>
      <w:r w:rsidR="009D687C" w:rsidRPr="00C51110">
        <w:rPr>
          <w:rFonts w:ascii="Arial" w:hAnsi="Arial" w:cs="Arial"/>
          <w:sz w:val="22"/>
          <w:szCs w:val="22"/>
        </w:rPr>
        <w:t xml:space="preserve"> jmění OSS</w:t>
      </w:r>
      <w:r w:rsidR="00E12CA9" w:rsidRPr="00C51110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v </w:t>
      </w:r>
      <w:r w:rsidR="00E12CA9" w:rsidRPr="00C51110">
        <w:rPr>
          <w:rFonts w:ascii="Arial" w:hAnsi="Arial" w:cs="Arial"/>
          <w:sz w:val="22"/>
          <w:szCs w:val="22"/>
        </w:rPr>
        <w:t>důsledku přeposlání peněžních prostředků Ministerstvu financí od konečného příjemce transferu</w:t>
      </w:r>
      <w:r w:rsidR="009D687C" w:rsidRPr="00C51110">
        <w:rPr>
          <w:rFonts w:ascii="Arial" w:hAnsi="Arial" w:cs="Arial"/>
          <w:sz w:val="22"/>
          <w:szCs w:val="22"/>
        </w:rPr>
        <w:t>.</w:t>
      </w:r>
      <w:r w:rsidR="006C4429" w:rsidRPr="00C51110">
        <w:rPr>
          <w:rFonts w:ascii="Arial" w:hAnsi="Arial" w:cs="Arial"/>
          <w:sz w:val="22"/>
          <w:szCs w:val="22"/>
        </w:rPr>
        <w:t xml:space="preserve"> </w:t>
      </w:r>
      <w:r w:rsidR="003216A1" w:rsidRPr="00C51110">
        <w:rPr>
          <w:rFonts w:ascii="Arial" w:hAnsi="Arial" w:cs="Arial"/>
          <w:sz w:val="22"/>
          <w:szCs w:val="22"/>
        </w:rPr>
        <w:t xml:space="preserve">Současně ale </w:t>
      </w:r>
      <w:r w:rsidR="00AA6037" w:rsidRPr="00C51110">
        <w:rPr>
          <w:rFonts w:ascii="Arial" w:hAnsi="Arial" w:cs="Arial"/>
          <w:sz w:val="22"/>
          <w:szCs w:val="22"/>
        </w:rPr>
        <w:t>může být dovozováno, že vybrané účetní jednotky mohly použít i jiné účty, např. úč</w:t>
      </w:r>
      <w:r w:rsidR="003216A1" w:rsidRPr="00C51110">
        <w:rPr>
          <w:rFonts w:ascii="Arial" w:hAnsi="Arial" w:cs="Arial"/>
          <w:sz w:val="22"/>
          <w:szCs w:val="22"/>
        </w:rPr>
        <w:t>e</w:t>
      </w:r>
      <w:r w:rsidR="00135976" w:rsidRPr="00C51110">
        <w:rPr>
          <w:rFonts w:ascii="Arial" w:hAnsi="Arial" w:cs="Arial"/>
          <w:sz w:val="22"/>
          <w:szCs w:val="22"/>
        </w:rPr>
        <w:t>t 404</w:t>
      </w:r>
      <w:r w:rsidR="0001331E" w:rsidRPr="00C51110">
        <w:rPr>
          <w:rFonts w:ascii="Arial" w:hAnsi="Arial" w:cs="Arial"/>
          <w:sz w:val="22"/>
          <w:szCs w:val="22"/>
        </w:rPr>
        <w:t xml:space="preserve"> </w:t>
      </w:r>
      <w:r w:rsidR="00135976" w:rsidRPr="00C51110">
        <w:rPr>
          <w:rFonts w:ascii="Arial" w:hAnsi="Arial" w:cs="Arial"/>
          <w:sz w:val="22"/>
          <w:szCs w:val="22"/>
        </w:rPr>
        <w:t>–</w:t>
      </w:r>
      <w:r w:rsidR="0001331E" w:rsidRPr="00C51110">
        <w:rPr>
          <w:rFonts w:ascii="Arial" w:hAnsi="Arial" w:cs="Arial"/>
          <w:sz w:val="22"/>
          <w:szCs w:val="22"/>
        </w:rPr>
        <w:t xml:space="preserve"> </w:t>
      </w:r>
      <w:r w:rsidR="00AA6037" w:rsidRPr="00C51110">
        <w:rPr>
          <w:rFonts w:ascii="Arial" w:hAnsi="Arial" w:cs="Arial"/>
          <w:i/>
          <w:sz w:val="22"/>
          <w:szCs w:val="22"/>
        </w:rPr>
        <w:t>Agregované příjmy a výdaje minulých</w:t>
      </w:r>
      <w:r w:rsidR="00420525">
        <w:rPr>
          <w:rFonts w:ascii="Arial" w:hAnsi="Arial" w:cs="Arial"/>
          <w:i/>
          <w:sz w:val="22"/>
          <w:szCs w:val="22"/>
        </w:rPr>
        <w:t xml:space="preserve"> </w:t>
      </w:r>
      <w:r w:rsidR="008069C0">
        <w:rPr>
          <w:rFonts w:ascii="Arial" w:hAnsi="Arial" w:cs="Arial"/>
          <w:i/>
          <w:sz w:val="22"/>
          <w:szCs w:val="22"/>
        </w:rPr>
        <w:t>období</w:t>
      </w:r>
      <w:r w:rsidR="00AA6037" w:rsidRPr="00C51110">
        <w:rPr>
          <w:rFonts w:ascii="Arial" w:hAnsi="Arial" w:cs="Arial"/>
          <w:sz w:val="22"/>
          <w:szCs w:val="22"/>
        </w:rPr>
        <w:t xml:space="preserve">, na kterém </w:t>
      </w:r>
      <w:r w:rsidR="00135976" w:rsidRPr="00C51110">
        <w:rPr>
          <w:rFonts w:ascii="Arial" w:hAnsi="Arial" w:cs="Arial"/>
          <w:sz w:val="22"/>
          <w:szCs w:val="22"/>
        </w:rPr>
        <w:t xml:space="preserve">jsou </w:t>
      </w:r>
      <w:r w:rsidR="0031723E" w:rsidRPr="00C51110">
        <w:rPr>
          <w:rFonts w:ascii="Arial" w:hAnsi="Arial" w:cs="Arial"/>
          <w:sz w:val="22"/>
          <w:szCs w:val="22"/>
        </w:rPr>
        <w:t xml:space="preserve">vykázány </w:t>
      </w:r>
      <w:r w:rsidR="00AA6037" w:rsidRPr="00C51110">
        <w:rPr>
          <w:rFonts w:ascii="Arial" w:hAnsi="Arial" w:cs="Arial"/>
          <w:sz w:val="22"/>
          <w:szCs w:val="22"/>
        </w:rPr>
        <w:t>transfer</w:t>
      </w:r>
      <w:r w:rsidR="00135976" w:rsidRPr="00C51110">
        <w:rPr>
          <w:rFonts w:ascii="Arial" w:hAnsi="Arial" w:cs="Arial"/>
          <w:sz w:val="22"/>
          <w:szCs w:val="22"/>
        </w:rPr>
        <w:t xml:space="preserve">y </w:t>
      </w:r>
      <w:r w:rsidR="0031723E" w:rsidRPr="00C51110">
        <w:rPr>
          <w:rFonts w:ascii="Arial" w:hAnsi="Arial" w:cs="Arial"/>
          <w:sz w:val="22"/>
          <w:szCs w:val="22"/>
        </w:rPr>
        <w:t xml:space="preserve">poskytnuté </w:t>
      </w:r>
      <w:r w:rsidR="00765F23">
        <w:rPr>
          <w:rFonts w:ascii="Arial" w:hAnsi="Arial" w:cs="Arial"/>
          <w:sz w:val="22"/>
          <w:szCs w:val="22"/>
        </w:rPr>
        <w:t>v </w:t>
      </w:r>
      <w:r w:rsidR="0031723E" w:rsidRPr="00C51110">
        <w:rPr>
          <w:rFonts w:ascii="Arial" w:hAnsi="Arial" w:cs="Arial"/>
          <w:sz w:val="22"/>
          <w:szCs w:val="22"/>
        </w:rPr>
        <w:t>předchozích letech</w:t>
      </w:r>
      <w:r w:rsidR="00AA6037" w:rsidRPr="00C51110">
        <w:rPr>
          <w:rFonts w:ascii="Arial" w:hAnsi="Arial" w:cs="Arial"/>
          <w:sz w:val="22"/>
          <w:szCs w:val="22"/>
        </w:rPr>
        <w:t xml:space="preserve">. </w:t>
      </w:r>
      <w:r w:rsidR="005419CB" w:rsidRPr="00C51110">
        <w:rPr>
          <w:rFonts w:ascii="Arial" w:hAnsi="Arial" w:cs="Arial"/>
          <w:sz w:val="22"/>
          <w:szCs w:val="22"/>
        </w:rPr>
        <w:t>P</w:t>
      </w:r>
      <w:r w:rsidR="00135976" w:rsidRPr="00C51110">
        <w:rPr>
          <w:rFonts w:ascii="Arial" w:hAnsi="Arial" w:cs="Arial"/>
          <w:sz w:val="22"/>
          <w:szCs w:val="22"/>
        </w:rPr>
        <w:t xml:space="preserve">ředpisy regulující účetnictví </w:t>
      </w:r>
      <w:r w:rsidR="005419CB" w:rsidRPr="00C51110">
        <w:rPr>
          <w:rFonts w:ascii="Arial" w:hAnsi="Arial" w:cs="Arial"/>
          <w:sz w:val="22"/>
          <w:szCs w:val="22"/>
        </w:rPr>
        <w:t>by měly tuto typickou a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="005419CB" w:rsidRPr="00C51110">
        <w:rPr>
          <w:rFonts w:ascii="Arial" w:hAnsi="Arial" w:cs="Arial"/>
          <w:sz w:val="22"/>
          <w:szCs w:val="22"/>
        </w:rPr>
        <w:t xml:space="preserve">běžnou záležitost jednoznačně stanovit a omezit tím u vybraných účetních jednotek možnost různých účetních přístupů založených na </w:t>
      </w:r>
      <w:r w:rsidR="00831076">
        <w:rPr>
          <w:rFonts w:ascii="Arial" w:hAnsi="Arial" w:cs="Arial"/>
          <w:sz w:val="22"/>
          <w:szCs w:val="22"/>
        </w:rPr>
        <w:t xml:space="preserve">odlišných </w:t>
      </w:r>
      <w:r w:rsidR="005419CB" w:rsidRPr="00C51110">
        <w:rPr>
          <w:rFonts w:ascii="Arial" w:hAnsi="Arial" w:cs="Arial"/>
          <w:sz w:val="22"/>
          <w:szCs w:val="22"/>
        </w:rPr>
        <w:t>výklad</w:t>
      </w:r>
      <w:r w:rsidR="00831076">
        <w:rPr>
          <w:rFonts w:ascii="Arial" w:hAnsi="Arial" w:cs="Arial"/>
          <w:sz w:val="22"/>
          <w:szCs w:val="22"/>
        </w:rPr>
        <w:t>ech</w:t>
      </w:r>
      <w:r w:rsidR="005419CB" w:rsidRPr="00C51110">
        <w:rPr>
          <w:rFonts w:ascii="Arial" w:hAnsi="Arial" w:cs="Arial"/>
          <w:sz w:val="22"/>
          <w:szCs w:val="22"/>
        </w:rPr>
        <w:t>.</w:t>
      </w:r>
    </w:p>
    <w:p w:rsidR="00AA6037" w:rsidRPr="0015047E" w:rsidRDefault="00AA6037" w:rsidP="00AA6037">
      <w:pPr>
        <w:suppressAutoHyphens/>
        <w:jc w:val="both"/>
        <w:rPr>
          <w:rFonts w:ascii="Arial" w:hAnsi="Arial" w:cs="Arial"/>
          <w:sz w:val="22"/>
          <w:szCs w:val="22"/>
          <w:highlight w:val="green"/>
        </w:rPr>
      </w:pPr>
    </w:p>
    <w:p w:rsidR="00AA6037" w:rsidRPr="00F21A03" w:rsidRDefault="00F21A03" w:rsidP="00E50173">
      <w:pPr>
        <w:suppressAutoHyphens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F21A03">
        <w:rPr>
          <w:rFonts w:ascii="Arial" w:hAnsi="Arial" w:cs="Arial"/>
          <w:b/>
          <w:i/>
          <w:sz w:val="22"/>
          <w:szCs w:val="22"/>
        </w:rPr>
        <w:t xml:space="preserve">Dohadné </w:t>
      </w:r>
      <w:r w:rsidR="00A90BAF" w:rsidRPr="00F21A03">
        <w:rPr>
          <w:rFonts w:ascii="Arial" w:hAnsi="Arial" w:cs="Arial"/>
          <w:b/>
          <w:i/>
          <w:sz w:val="22"/>
          <w:szCs w:val="22"/>
        </w:rPr>
        <w:t>účty</w:t>
      </w:r>
      <w:r w:rsidR="00A90BAF">
        <w:rPr>
          <w:rFonts w:ascii="Arial" w:hAnsi="Arial" w:cs="Arial"/>
          <w:b/>
          <w:i/>
          <w:sz w:val="22"/>
          <w:szCs w:val="22"/>
        </w:rPr>
        <w:t xml:space="preserve"> vykazované </w:t>
      </w:r>
      <w:r w:rsidRPr="00F21A03">
        <w:rPr>
          <w:rFonts w:ascii="Arial" w:hAnsi="Arial" w:cs="Arial"/>
          <w:b/>
          <w:i/>
          <w:sz w:val="22"/>
          <w:szCs w:val="22"/>
        </w:rPr>
        <w:t>jako krátkodobé pohledávky a závazky</w:t>
      </w:r>
    </w:p>
    <w:p w:rsidR="00FE6313" w:rsidRDefault="00C51110" w:rsidP="00AA6037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FE6313">
        <w:rPr>
          <w:rFonts w:ascii="Arial" w:hAnsi="Arial" w:cs="Arial"/>
          <w:sz w:val="22"/>
          <w:szCs w:val="22"/>
        </w:rPr>
        <w:t xml:space="preserve">Vyhláška č. 410/2009 Sb. stanovuje vybraným účetním jednotkám povinnost vykazovat dohadné účty pouze </w:t>
      </w:r>
      <w:r w:rsidR="00765F23">
        <w:rPr>
          <w:rFonts w:ascii="Arial" w:hAnsi="Arial" w:cs="Arial"/>
          <w:sz w:val="22"/>
          <w:szCs w:val="22"/>
        </w:rPr>
        <w:t>v </w:t>
      </w:r>
      <w:r w:rsidRPr="00FE6313">
        <w:rPr>
          <w:rFonts w:ascii="Arial" w:hAnsi="Arial" w:cs="Arial"/>
          <w:sz w:val="22"/>
          <w:szCs w:val="22"/>
        </w:rPr>
        <w:t>rámci krátkodobých pohledávek či krátkodobých závazků</w:t>
      </w:r>
      <w:r w:rsidR="00FE6313" w:rsidRPr="00FE6313">
        <w:rPr>
          <w:rFonts w:ascii="Arial" w:hAnsi="Arial" w:cs="Arial"/>
          <w:sz w:val="22"/>
          <w:szCs w:val="22"/>
        </w:rPr>
        <w:t xml:space="preserve">. </w:t>
      </w:r>
    </w:p>
    <w:p w:rsidR="00431192" w:rsidRPr="00FE6313" w:rsidRDefault="00431192" w:rsidP="00AA6037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FE6313" w:rsidRDefault="00FE6313" w:rsidP="00AA6037">
      <w:pPr>
        <w:pStyle w:val="Odstavecseseznamem"/>
        <w:ind w:left="0"/>
        <w:jc w:val="both"/>
        <w:rPr>
          <w:rFonts w:ascii="Arial" w:hAnsi="Arial" w:cs="Arial"/>
          <w:sz w:val="22"/>
          <w:szCs w:val="22"/>
          <w:highlight w:val="green"/>
        </w:rPr>
      </w:pPr>
      <w:r w:rsidRPr="00FE6313">
        <w:rPr>
          <w:rFonts w:ascii="Arial" w:hAnsi="Arial" w:cs="Arial"/>
          <w:sz w:val="22"/>
          <w:szCs w:val="22"/>
        </w:rPr>
        <w:t xml:space="preserve">Účet 389 – </w:t>
      </w:r>
      <w:r w:rsidRPr="00B7471D">
        <w:rPr>
          <w:rFonts w:ascii="Arial" w:hAnsi="Arial" w:cs="Arial"/>
          <w:i/>
          <w:sz w:val="22"/>
          <w:szCs w:val="22"/>
        </w:rPr>
        <w:t>Dohadné účty pasivní</w:t>
      </w:r>
      <w:r w:rsidRPr="00FE6313">
        <w:rPr>
          <w:rFonts w:ascii="Arial" w:hAnsi="Arial" w:cs="Arial"/>
          <w:sz w:val="22"/>
          <w:szCs w:val="22"/>
        </w:rPr>
        <w:t xml:space="preserve"> je na MŠMT tvořen mimo jiné prostředky, které MŠMT</w:t>
      </w:r>
      <w:r>
        <w:rPr>
          <w:rFonts w:ascii="Arial" w:hAnsi="Arial" w:cs="Arial"/>
          <w:sz w:val="22"/>
          <w:szCs w:val="22"/>
        </w:rPr>
        <w:t xml:space="preserve"> </w:t>
      </w:r>
      <w:r w:rsidRPr="00FE6313">
        <w:rPr>
          <w:rFonts w:ascii="Arial" w:hAnsi="Arial" w:cs="Arial"/>
          <w:sz w:val="22"/>
          <w:szCs w:val="22"/>
        </w:rPr>
        <w:t xml:space="preserve">poskytlo </w:t>
      </w:r>
      <w:r w:rsidR="00765F23">
        <w:rPr>
          <w:rFonts w:ascii="Arial" w:hAnsi="Arial" w:cs="Arial"/>
          <w:sz w:val="22"/>
          <w:szCs w:val="22"/>
        </w:rPr>
        <w:t>v </w:t>
      </w:r>
      <w:r w:rsidRPr="00FE6313">
        <w:rPr>
          <w:rFonts w:ascii="Arial" w:hAnsi="Arial" w:cs="Arial"/>
          <w:sz w:val="22"/>
          <w:szCs w:val="22"/>
        </w:rPr>
        <w:t xml:space="preserve">rámci </w:t>
      </w:r>
      <w:r w:rsidR="007D4E09" w:rsidRPr="00B65B01">
        <w:rPr>
          <w:rFonts w:ascii="Arial" w:hAnsi="Arial" w:cs="Arial"/>
          <w:sz w:val="22"/>
          <w:szCs w:val="22"/>
        </w:rPr>
        <w:t xml:space="preserve">operačních programů </w:t>
      </w:r>
      <w:r w:rsidR="007D4E09" w:rsidRPr="00B65B01">
        <w:rPr>
          <w:rFonts w:ascii="Arial" w:hAnsi="Arial" w:cs="Arial"/>
          <w:i/>
          <w:sz w:val="22"/>
          <w:szCs w:val="22"/>
        </w:rPr>
        <w:t>Vzdělávání pro konkurenceschopnost</w:t>
      </w:r>
      <w:r w:rsidR="007D4E09" w:rsidRPr="00B65B01">
        <w:rPr>
          <w:rFonts w:ascii="Arial" w:hAnsi="Arial" w:cs="Arial"/>
          <w:sz w:val="22"/>
          <w:szCs w:val="22"/>
        </w:rPr>
        <w:t xml:space="preserve"> a </w:t>
      </w:r>
      <w:r w:rsidR="007D4E09" w:rsidRPr="00B65B01">
        <w:rPr>
          <w:rFonts w:ascii="Arial" w:hAnsi="Arial" w:cs="Arial"/>
          <w:i/>
          <w:sz w:val="22"/>
          <w:szCs w:val="22"/>
        </w:rPr>
        <w:t>Výzkum a</w:t>
      </w:r>
      <w:r w:rsidR="002B51EB">
        <w:rPr>
          <w:rFonts w:ascii="Arial" w:hAnsi="Arial" w:cs="Arial"/>
          <w:i/>
          <w:sz w:val="22"/>
          <w:szCs w:val="22"/>
        </w:rPr>
        <w:t> </w:t>
      </w:r>
      <w:r w:rsidR="007D4E09" w:rsidRPr="00B65B01">
        <w:rPr>
          <w:rFonts w:ascii="Arial" w:hAnsi="Arial" w:cs="Arial"/>
          <w:i/>
          <w:sz w:val="22"/>
          <w:szCs w:val="22"/>
        </w:rPr>
        <w:t>vývoj pro inovace</w:t>
      </w:r>
      <w:r w:rsidRPr="00FE6313">
        <w:rPr>
          <w:rFonts w:ascii="Arial" w:hAnsi="Arial" w:cs="Arial"/>
          <w:sz w:val="22"/>
          <w:szCs w:val="22"/>
        </w:rPr>
        <w:t xml:space="preserve">, a to </w:t>
      </w:r>
      <w:r w:rsidR="00431192">
        <w:rPr>
          <w:rFonts w:ascii="Arial" w:hAnsi="Arial" w:cs="Arial"/>
          <w:sz w:val="22"/>
          <w:szCs w:val="22"/>
        </w:rPr>
        <w:t>konkrétně podílem určeným</w:t>
      </w:r>
      <w:r w:rsidRPr="00FE6313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k </w:t>
      </w:r>
      <w:r w:rsidRPr="00FE6313">
        <w:rPr>
          <w:rFonts w:ascii="Arial" w:hAnsi="Arial" w:cs="Arial"/>
          <w:sz w:val="22"/>
          <w:szCs w:val="22"/>
        </w:rPr>
        <w:t>financování ze státního rozpočtu (15</w:t>
      </w:r>
      <w:r w:rsidR="00596872">
        <w:rPr>
          <w:rFonts w:ascii="Arial" w:hAnsi="Arial" w:cs="Arial"/>
          <w:sz w:val="22"/>
          <w:szCs w:val="22"/>
        </w:rPr>
        <w:t> </w:t>
      </w:r>
      <w:r w:rsidRPr="00FE6313">
        <w:rPr>
          <w:rFonts w:ascii="Arial" w:hAnsi="Arial" w:cs="Arial"/>
          <w:sz w:val="22"/>
          <w:szCs w:val="22"/>
        </w:rPr>
        <w:t xml:space="preserve">% z částky poskytnuté příjemcům). Tyto prostředky jsou na účtu 389 – </w:t>
      </w:r>
      <w:r w:rsidRPr="00FE6313">
        <w:rPr>
          <w:rFonts w:ascii="Arial" w:hAnsi="Arial" w:cs="Arial"/>
          <w:i/>
          <w:sz w:val="22"/>
          <w:szCs w:val="22"/>
        </w:rPr>
        <w:t>Dohadné účty pasivní</w:t>
      </w:r>
      <w:r w:rsidRPr="00FE6313">
        <w:rPr>
          <w:rFonts w:ascii="Arial" w:hAnsi="Arial" w:cs="Arial"/>
          <w:sz w:val="22"/>
          <w:szCs w:val="22"/>
        </w:rPr>
        <w:t xml:space="preserve"> vyk</w:t>
      </w:r>
      <w:r w:rsidR="00431192">
        <w:rPr>
          <w:rFonts w:ascii="Arial" w:hAnsi="Arial" w:cs="Arial"/>
          <w:sz w:val="22"/>
          <w:szCs w:val="22"/>
        </w:rPr>
        <w:t>azovány</w:t>
      </w:r>
      <w:r w:rsidRPr="00FE6313">
        <w:rPr>
          <w:rFonts w:ascii="Arial" w:hAnsi="Arial" w:cs="Arial"/>
          <w:sz w:val="22"/>
          <w:szCs w:val="22"/>
        </w:rPr>
        <w:t xml:space="preserve"> až do okamžiku jejich vypořádání, ke kterému dochází za období delší než jeden rok od okamžiku poskytnutí zálohy</w:t>
      </w:r>
      <w:r w:rsidR="00021A9A">
        <w:rPr>
          <w:rFonts w:ascii="Arial" w:hAnsi="Arial" w:cs="Arial"/>
          <w:sz w:val="22"/>
          <w:szCs w:val="22"/>
        </w:rPr>
        <w:t xml:space="preserve"> na transfer</w:t>
      </w:r>
      <w:r w:rsidR="00A90BAF">
        <w:rPr>
          <w:rFonts w:ascii="Arial" w:hAnsi="Arial" w:cs="Arial"/>
          <w:sz w:val="22"/>
          <w:szCs w:val="22"/>
        </w:rPr>
        <w:t>,</w:t>
      </w:r>
      <w:r w:rsidRPr="00FE6313">
        <w:rPr>
          <w:rFonts w:ascii="Arial" w:hAnsi="Arial" w:cs="Arial"/>
          <w:sz w:val="22"/>
          <w:szCs w:val="22"/>
        </w:rPr>
        <w:t xml:space="preserve"> a proto MŠMT tyto poskytnuté zálohy zachycuje </w:t>
      </w:r>
      <w:r w:rsidR="00765F23">
        <w:rPr>
          <w:rFonts w:ascii="Arial" w:hAnsi="Arial" w:cs="Arial"/>
          <w:sz w:val="22"/>
          <w:szCs w:val="22"/>
        </w:rPr>
        <w:t>v </w:t>
      </w:r>
      <w:r w:rsidRPr="00FE6313">
        <w:rPr>
          <w:rFonts w:ascii="Arial" w:hAnsi="Arial" w:cs="Arial"/>
          <w:sz w:val="22"/>
          <w:szCs w:val="22"/>
        </w:rPr>
        <w:t xml:space="preserve">souladu </w:t>
      </w:r>
      <w:r w:rsidR="00765F23">
        <w:rPr>
          <w:rFonts w:ascii="Arial" w:hAnsi="Arial" w:cs="Arial"/>
          <w:sz w:val="22"/>
          <w:szCs w:val="22"/>
        </w:rPr>
        <w:t>s </w:t>
      </w:r>
      <w:r w:rsidRPr="00FE6313">
        <w:rPr>
          <w:rFonts w:ascii="Arial" w:hAnsi="Arial" w:cs="Arial"/>
          <w:sz w:val="22"/>
          <w:szCs w:val="22"/>
        </w:rPr>
        <w:t xml:space="preserve">vyhláškou č. 410/2009 Sb. a ČÚS č. 703 jako dlouhodobé pohledávky na účtu 471 – </w:t>
      </w:r>
      <w:r w:rsidRPr="00FE6313">
        <w:rPr>
          <w:rFonts w:ascii="Arial" w:hAnsi="Arial" w:cs="Arial"/>
          <w:i/>
          <w:sz w:val="22"/>
          <w:szCs w:val="22"/>
        </w:rPr>
        <w:t>Dlouhodobé poskytnuté zálohy na transfery</w:t>
      </w:r>
      <w:r w:rsidRPr="00FE6313">
        <w:rPr>
          <w:rFonts w:ascii="Arial" w:hAnsi="Arial" w:cs="Arial"/>
          <w:sz w:val="22"/>
          <w:szCs w:val="22"/>
        </w:rPr>
        <w:t xml:space="preserve">. </w:t>
      </w:r>
      <w:r w:rsidR="00765F23">
        <w:rPr>
          <w:rFonts w:ascii="Arial" w:hAnsi="Arial" w:cs="Arial"/>
          <w:sz w:val="22"/>
          <w:szCs w:val="22"/>
        </w:rPr>
        <w:t>V </w:t>
      </w:r>
      <w:r w:rsidRPr="00FE6313">
        <w:rPr>
          <w:rFonts w:ascii="Arial" w:hAnsi="Arial" w:cs="Arial"/>
          <w:sz w:val="22"/>
          <w:szCs w:val="22"/>
        </w:rPr>
        <w:t>účetní závěrce je tak</w:t>
      </w:r>
      <w:r w:rsidR="009F3728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v </w:t>
      </w:r>
      <w:r w:rsidR="009F3728">
        <w:rPr>
          <w:rFonts w:ascii="Arial" w:hAnsi="Arial" w:cs="Arial"/>
          <w:sz w:val="22"/>
          <w:szCs w:val="22"/>
        </w:rPr>
        <w:t>rozvaze</w:t>
      </w:r>
      <w:r w:rsidRPr="00FE6313">
        <w:rPr>
          <w:rFonts w:ascii="Arial" w:hAnsi="Arial" w:cs="Arial"/>
          <w:sz w:val="22"/>
          <w:szCs w:val="22"/>
        </w:rPr>
        <w:t xml:space="preserve"> tento poskytnutý transfer vykázán </w:t>
      </w:r>
      <w:r w:rsidR="00765F23">
        <w:rPr>
          <w:rFonts w:ascii="Arial" w:hAnsi="Arial" w:cs="Arial"/>
          <w:sz w:val="22"/>
          <w:szCs w:val="22"/>
        </w:rPr>
        <w:t>v </w:t>
      </w:r>
      <w:r w:rsidRPr="00FE6313">
        <w:rPr>
          <w:rFonts w:ascii="Arial" w:hAnsi="Arial" w:cs="Arial"/>
          <w:sz w:val="22"/>
          <w:szCs w:val="22"/>
        </w:rPr>
        <w:t>aktivech jako dlouhodobá pohledávka a</w:t>
      </w:r>
      <w:r w:rsidR="00596872">
        <w:rPr>
          <w:rFonts w:ascii="Arial" w:hAnsi="Arial" w:cs="Arial"/>
          <w:sz w:val="22"/>
          <w:szCs w:val="22"/>
        </w:rPr>
        <w:t> </w:t>
      </w:r>
      <w:r w:rsidR="00765F23">
        <w:rPr>
          <w:rFonts w:ascii="Arial" w:hAnsi="Arial" w:cs="Arial"/>
          <w:sz w:val="22"/>
          <w:szCs w:val="22"/>
        </w:rPr>
        <w:t>v </w:t>
      </w:r>
      <w:r w:rsidRPr="00FE6313">
        <w:rPr>
          <w:rFonts w:ascii="Arial" w:hAnsi="Arial" w:cs="Arial"/>
          <w:sz w:val="22"/>
          <w:szCs w:val="22"/>
        </w:rPr>
        <w:t>pasivech jako krátkodobý závazek</w:t>
      </w:r>
      <w:r w:rsidR="009F3728">
        <w:rPr>
          <w:rFonts w:ascii="Arial" w:hAnsi="Arial" w:cs="Arial"/>
          <w:sz w:val="22"/>
          <w:szCs w:val="22"/>
        </w:rPr>
        <w:t>.</w:t>
      </w:r>
      <w:r w:rsidR="00420525">
        <w:rPr>
          <w:rFonts w:ascii="Arial" w:hAnsi="Arial" w:cs="Arial"/>
          <w:sz w:val="22"/>
          <w:szCs w:val="22"/>
        </w:rPr>
        <w:t xml:space="preserve"> </w:t>
      </w:r>
      <w:r w:rsidR="009F3728">
        <w:rPr>
          <w:rFonts w:ascii="Arial" w:hAnsi="Arial" w:cs="Arial"/>
          <w:sz w:val="22"/>
          <w:szCs w:val="22"/>
        </w:rPr>
        <w:t xml:space="preserve">Skutečnost je tak vykazována </w:t>
      </w:r>
      <w:r w:rsidR="00765F23">
        <w:rPr>
          <w:rFonts w:ascii="Arial" w:hAnsi="Arial" w:cs="Arial"/>
          <w:sz w:val="22"/>
          <w:szCs w:val="22"/>
        </w:rPr>
        <w:t>v </w:t>
      </w:r>
      <w:r w:rsidR="009F3728">
        <w:rPr>
          <w:rFonts w:ascii="Arial" w:hAnsi="Arial" w:cs="Arial"/>
          <w:sz w:val="22"/>
          <w:szCs w:val="22"/>
        </w:rPr>
        <w:t>informační asymetrii aktiv a pasiv z hlediska času.</w:t>
      </w:r>
    </w:p>
    <w:p w:rsidR="00AA6037" w:rsidRPr="0015047E" w:rsidRDefault="00AA6037" w:rsidP="00AA6037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AA6037" w:rsidRPr="00BB6AC7" w:rsidRDefault="00E379CA" w:rsidP="00E379CA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 w:rsidRPr="00BB6AC7">
        <w:rPr>
          <w:rFonts w:ascii="Arial" w:hAnsi="Arial" w:cs="Arial"/>
          <w:b/>
          <w:szCs w:val="22"/>
        </w:rPr>
        <w:t xml:space="preserve">1.1.2 </w:t>
      </w:r>
      <w:r w:rsidR="00AA6037" w:rsidRPr="00BB6AC7">
        <w:rPr>
          <w:rFonts w:ascii="Arial" w:hAnsi="Arial" w:cs="Arial"/>
          <w:b/>
          <w:szCs w:val="22"/>
        </w:rPr>
        <w:t>Části účetní závěrky, ke kterým se NKÚ nevyj</w:t>
      </w:r>
      <w:r w:rsidR="002D0CDF" w:rsidRPr="00BB6AC7">
        <w:rPr>
          <w:rFonts w:ascii="Arial" w:hAnsi="Arial" w:cs="Arial"/>
          <w:b/>
          <w:szCs w:val="22"/>
        </w:rPr>
        <w:t>a</w:t>
      </w:r>
      <w:r w:rsidR="00AA6037" w:rsidRPr="00BB6AC7">
        <w:rPr>
          <w:rFonts w:ascii="Arial" w:hAnsi="Arial" w:cs="Arial"/>
          <w:b/>
          <w:szCs w:val="22"/>
        </w:rPr>
        <w:t>dř</w:t>
      </w:r>
      <w:r w:rsidR="002D0CDF" w:rsidRPr="00BB6AC7">
        <w:rPr>
          <w:rFonts w:ascii="Arial" w:hAnsi="Arial" w:cs="Arial"/>
          <w:b/>
          <w:szCs w:val="22"/>
        </w:rPr>
        <w:t>uje</w:t>
      </w:r>
    </w:p>
    <w:p w:rsidR="00E379CA" w:rsidRPr="0015047E" w:rsidRDefault="00E379CA" w:rsidP="0013459C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13459C" w:rsidRPr="003E4EB0" w:rsidRDefault="0013459C" w:rsidP="003E4EB0">
      <w:pPr>
        <w:jc w:val="both"/>
        <w:rPr>
          <w:rFonts w:ascii="Arial" w:hAnsi="Arial" w:cs="Arial"/>
          <w:sz w:val="22"/>
          <w:szCs w:val="22"/>
          <w:highlight w:val="green"/>
        </w:rPr>
      </w:pPr>
      <w:r w:rsidRPr="00BB6AC7">
        <w:rPr>
          <w:rFonts w:ascii="Arial" w:hAnsi="Arial" w:cs="Arial"/>
          <w:sz w:val="22"/>
          <w:szCs w:val="22"/>
        </w:rPr>
        <w:t xml:space="preserve">Částka </w:t>
      </w:r>
      <w:r w:rsidR="00765F23">
        <w:rPr>
          <w:rFonts w:ascii="Arial" w:hAnsi="Arial" w:cs="Arial"/>
          <w:sz w:val="22"/>
          <w:szCs w:val="22"/>
        </w:rPr>
        <w:t>z </w:t>
      </w:r>
      <w:r w:rsidRPr="00BB6AC7">
        <w:rPr>
          <w:rFonts w:ascii="Arial" w:hAnsi="Arial" w:cs="Arial"/>
          <w:sz w:val="22"/>
          <w:szCs w:val="22"/>
        </w:rPr>
        <w:t>položek ÚZ, ke které se NKÚ nevyj</w:t>
      </w:r>
      <w:r w:rsidR="002D0CDF" w:rsidRPr="00BB6AC7">
        <w:rPr>
          <w:rFonts w:ascii="Arial" w:hAnsi="Arial" w:cs="Arial"/>
          <w:sz w:val="22"/>
          <w:szCs w:val="22"/>
        </w:rPr>
        <w:t>a</w:t>
      </w:r>
      <w:r w:rsidRPr="00BB6AC7">
        <w:rPr>
          <w:rFonts w:ascii="Arial" w:hAnsi="Arial" w:cs="Arial"/>
          <w:sz w:val="22"/>
          <w:szCs w:val="22"/>
        </w:rPr>
        <w:t>dř</w:t>
      </w:r>
      <w:r w:rsidR="002D0CDF" w:rsidRPr="00BB6AC7">
        <w:rPr>
          <w:rFonts w:ascii="Arial" w:hAnsi="Arial" w:cs="Arial"/>
          <w:sz w:val="22"/>
          <w:szCs w:val="22"/>
        </w:rPr>
        <w:t>uje</w:t>
      </w:r>
      <w:r w:rsidRPr="00BB6AC7">
        <w:rPr>
          <w:rFonts w:ascii="Arial" w:hAnsi="Arial" w:cs="Arial"/>
          <w:sz w:val="22"/>
          <w:szCs w:val="22"/>
        </w:rPr>
        <w:t xml:space="preserve">, byla vyčíslena celkem ve výši </w:t>
      </w:r>
      <w:r w:rsidR="00BB6AC7" w:rsidRPr="00BB6AC7">
        <w:rPr>
          <w:rFonts w:ascii="Arial" w:hAnsi="Arial" w:cs="Arial"/>
          <w:sz w:val="22"/>
          <w:szCs w:val="22"/>
        </w:rPr>
        <w:t>49 442 689 806,64</w:t>
      </w:r>
      <w:r w:rsidRPr="00BB6AC7">
        <w:rPr>
          <w:rFonts w:ascii="Arial" w:hAnsi="Arial" w:cs="Arial"/>
          <w:sz w:val="22"/>
          <w:szCs w:val="22"/>
        </w:rPr>
        <w:t xml:space="preserve"> Kč</w:t>
      </w:r>
      <w:r w:rsidR="00301FFA">
        <w:rPr>
          <w:rFonts w:ascii="Arial" w:hAnsi="Arial" w:cs="Arial"/>
          <w:sz w:val="22"/>
          <w:szCs w:val="22"/>
        </w:rPr>
        <w:t xml:space="preserve">, a to za oblast </w:t>
      </w:r>
      <w:r w:rsidR="00C94E9D">
        <w:rPr>
          <w:rFonts w:ascii="Arial" w:hAnsi="Arial" w:cs="Arial"/>
          <w:sz w:val="22"/>
          <w:szCs w:val="22"/>
        </w:rPr>
        <w:t>týkající se poskytování peněžních prostředků státního rozpočtu na předfinancování</w:t>
      </w:r>
      <w:r w:rsidR="00301FFA">
        <w:rPr>
          <w:rFonts w:ascii="Arial" w:hAnsi="Arial" w:cs="Arial"/>
          <w:sz w:val="22"/>
          <w:szCs w:val="22"/>
        </w:rPr>
        <w:t xml:space="preserve"> výdajů, které mají být</w:t>
      </w:r>
      <w:r w:rsidR="009F3728">
        <w:rPr>
          <w:rFonts w:ascii="Arial" w:hAnsi="Arial" w:cs="Arial"/>
          <w:sz w:val="22"/>
          <w:szCs w:val="22"/>
        </w:rPr>
        <w:t xml:space="preserve"> následně</w:t>
      </w:r>
      <w:r w:rsidR="00301FFA">
        <w:rPr>
          <w:rFonts w:ascii="Arial" w:hAnsi="Arial" w:cs="Arial"/>
          <w:sz w:val="22"/>
          <w:szCs w:val="22"/>
        </w:rPr>
        <w:t xml:space="preserve"> kryty prostředky </w:t>
      </w:r>
      <w:r w:rsidR="00765F23">
        <w:rPr>
          <w:rFonts w:ascii="Arial" w:hAnsi="Arial" w:cs="Arial"/>
          <w:sz w:val="22"/>
          <w:szCs w:val="22"/>
        </w:rPr>
        <w:t>z </w:t>
      </w:r>
      <w:r w:rsidR="00301FFA">
        <w:rPr>
          <w:rFonts w:ascii="Arial" w:hAnsi="Arial" w:cs="Arial"/>
          <w:sz w:val="22"/>
          <w:szCs w:val="22"/>
        </w:rPr>
        <w:t xml:space="preserve">rozpočtu </w:t>
      </w:r>
      <w:r w:rsidR="00301FFA" w:rsidRPr="004C4C57">
        <w:rPr>
          <w:rFonts w:ascii="Arial" w:hAnsi="Arial" w:cs="Arial"/>
          <w:sz w:val="22"/>
          <w:szCs w:val="22"/>
        </w:rPr>
        <w:t>EU</w:t>
      </w:r>
      <w:r w:rsidRPr="004C4C57">
        <w:rPr>
          <w:rFonts w:ascii="Arial" w:hAnsi="Arial" w:cs="Arial"/>
          <w:sz w:val="22"/>
          <w:szCs w:val="22"/>
        </w:rPr>
        <w:t>.</w:t>
      </w:r>
      <w:r w:rsidR="00301FFA" w:rsidRPr="004C4C57">
        <w:rPr>
          <w:rFonts w:ascii="Arial" w:hAnsi="Arial" w:cs="Arial"/>
          <w:sz w:val="22"/>
          <w:szCs w:val="22"/>
        </w:rPr>
        <w:t xml:space="preserve"> </w:t>
      </w:r>
      <w:r w:rsidR="009F3728">
        <w:rPr>
          <w:rFonts w:ascii="Arial" w:hAnsi="Arial" w:cs="Arial"/>
          <w:sz w:val="22"/>
          <w:szCs w:val="22"/>
        </w:rPr>
        <w:t xml:space="preserve">I přes novelu ČÚS </w:t>
      </w:r>
      <w:r w:rsidR="00431192">
        <w:rPr>
          <w:rFonts w:ascii="Arial" w:hAnsi="Arial" w:cs="Arial"/>
          <w:sz w:val="22"/>
          <w:szCs w:val="22"/>
        </w:rPr>
        <w:t xml:space="preserve">č. </w:t>
      </w:r>
      <w:r w:rsidR="009F3728">
        <w:rPr>
          <w:rFonts w:ascii="Arial" w:hAnsi="Arial" w:cs="Arial"/>
          <w:sz w:val="22"/>
          <w:szCs w:val="22"/>
        </w:rPr>
        <w:t>703 pro rok 2012</w:t>
      </w:r>
      <w:r w:rsidR="00181F08">
        <w:rPr>
          <w:rFonts w:ascii="Arial" w:hAnsi="Arial" w:cs="Arial"/>
          <w:sz w:val="22"/>
          <w:szCs w:val="22"/>
        </w:rPr>
        <w:t xml:space="preserve"> přetrvává od roku 2010</w:t>
      </w:r>
      <w:r w:rsidR="009F3728">
        <w:rPr>
          <w:rFonts w:ascii="Arial" w:hAnsi="Arial" w:cs="Arial"/>
          <w:sz w:val="22"/>
          <w:szCs w:val="22"/>
        </w:rPr>
        <w:t xml:space="preserve"> </w:t>
      </w:r>
      <w:r w:rsidR="00181F08">
        <w:rPr>
          <w:rFonts w:ascii="Arial" w:hAnsi="Arial" w:cs="Arial"/>
          <w:sz w:val="22"/>
          <w:szCs w:val="22"/>
        </w:rPr>
        <w:t>skutečnost</w:t>
      </w:r>
      <w:r w:rsidR="009F3728">
        <w:rPr>
          <w:rFonts w:ascii="Arial" w:hAnsi="Arial" w:cs="Arial"/>
          <w:sz w:val="22"/>
          <w:szCs w:val="22"/>
        </w:rPr>
        <w:t>, že</w:t>
      </w:r>
      <w:r w:rsidR="00181F08">
        <w:rPr>
          <w:rFonts w:ascii="Arial" w:hAnsi="Arial" w:cs="Arial"/>
          <w:sz w:val="22"/>
          <w:szCs w:val="22"/>
        </w:rPr>
        <w:t xml:space="preserve"> tento standard</w:t>
      </w:r>
      <w:r w:rsidR="009F3728">
        <w:rPr>
          <w:rFonts w:ascii="Arial" w:hAnsi="Arial" w:cs="Arial"/>
          <w:sz w:val="22"/>
          <w:szCs w:val="22"/>
        </w:rPr>
        <w:t xml:space="preserve"> nestanovuje závazné postupy účtování pro poskytování těchto peněžních prostředků ani pro jejich následnou úhradu </w:t>
      </w:r>
      <w:r w:rsidR="00765F23">
        <w:rPr>
          <w:rFonts w:ascii="Arial" w:hAnsi="Arial" w:cs="Arial"/>
          <w:sz w:val="22"/>
          <w:szCs w:val="22"/>
        </w:rPr>
        <w:t>z </w:t>
      </w:r>
      <w:r w:rsidR="009F3728">
        <w:rPr>
          <w:rFonts w:ascii="Arial" w:hAnsi="Arial" w:cs="Arial"/>
          <w:sz w:val="22"/>
          <w:szCs w:val="22"/>
        </w:rPr>
        <w:t>prostředků rozpočtu EU</w:t>
      </w:r>
      <w:r w:rsidR="00431192">
        <w:rPr>
          <w:rFonts w:ascii="Arial" w:hAnsi="Arial" w:cs="Arial"/>
          <w:sz w:val="22"/>
          <w:szCs w:val="22"/>
        </w:rPr>
        <w:t>.</w:t>
      </w:r>
      <w:r w:rsidR="009F3728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9F3728">
        <w:rPr>
          <w:rFonts w:ascii="Arial" w:hAnsi="Arial" w:cs="Arial"/>
          <w:sz w:val="22"/>
          <w:szCs w:val="22"/>
        </w:rPr>
        <w:t xml:space="preserve"> To vede</w:t>
      </w:r>
      <w:r w:rsidR="00301FFA" w:rsidRPr="000C6832">
        <w:rPr>
          <w:rFonts w:ascii="Arial" w:hAnsi="Arial" w:cs="Arial"/>
          <w:sz w:val="22"/>
          <w:szCs w:val="22"/>
        </w:rPr>
        <w:t xml:space="preserve"> vybrané účetní jednotky k nutnosti aplikovat účetní postupy založené na výkladovém stanovisku daného předpisu. </w:t>
      </w:r>
      <w:r w:rsidR="002B7B2E" w:rsidRPr="00096467">
        <w:rPr>
          <w:rFonts w:ascii="Arial" w:hAnsi="Arial" w:cs="Arial"/>
          <w:bCs/>
          <w:iCs/>
          <w:sz w:val="22"/>
          <w:szCs w:val="22"/>
        </w:rPr>
        <w:t>Přitom i</w:t>
      </w:r>
      <w:r w:rsidRPr="00096467">
        <w:rPr>
          <w:rFonts w:ascii="Arial" w:hAnsi="Arial" w:cs="Arial"/>
          <w:bCs/>
          <w:iCs/>
          <w:sz w:val="22"/>
          <w:szCs w:val="22"/>
        </w:rPr>
        <w:t>nformace o</w:t>
      </w:r>
      <w:r w:rsidRPr="00096467">
        <w:rPr>
          <w:rFonts w:ascii="Arial" w:hAnsi="Arial" w:cs="Arial"/>
          <w:sz w:val="22"/>
          <w:szCs w:val="22"/>
        </w:rPr>
        <w:t xml:space="preserve"> </w:t>
      </w:r>
      <w:r w:rsidR="00BF4BB9" w:rsidRPr="00096467">
        <w:rPr>
          <w:rFonts w:ascii="Arial" w:hAnsi="Arial" w:cs="Arial"/>
          <w:sz w:val="22"/>
          <w:szCs w:val="22"/>
        </w:rPr>
        <w:t xml:space="preserve">těchto účetních případech jsou </w:t>
      </w:r>
      <w:r w:rsidR="00765F23">
        <w:rPr>
          <w:rFonts w:ascii="Arial" w:hAnsi="Arial" w:cs="Arial"/>
          <w:sz w:val="22"/>
          <w:szCs w:val="22"/>
        </w:rPr>
        <w:t>v </w:t>
      </w:r>
      <w:r w:rsidRPr="00096467">
        <w:rPr>
          <w:rFonts w:ascii="Arial" w:hAnsi="Arial" w:cs="Arial"/>
          <w:sz w:val="22"/>
          <w:szCs w:val="22"/>
        </w:rPr>
        <w:t>účetní závěr</w:t>
      </w:r>
      <w:r w:rsidR="00BF4BB9" w:rsidRPr="00096467">
        <w:rPr>
          <w:rFonts w:ascii="Arial" w:hAnsi="Arial" w:cs="Arial"/>
          <w:sz w:val="22"/>
          <w:szCs w:val="22"/>
        </w:rPr>
        <w:t>ce</w:t>
      </w:r>
      <w:r w:rsidRPr="00096467">
        <w:rPr>
          <w:rFonts w:ascii="Arial" w:hAnsi="Arial" w:cs="Arial"/>
          <w:sz w:val="22"/>
          <w:szCs w:val="22"/>
        </w:rPr>
        <w:t xml:space="preserve"> MŠMT významn</w:t>
      </w:r>
      <w:r w:rsidR="00BF4BB9" w:rsidRPr="00096467">
        <w:rPr>
          <w:rFonts w:ascii="Arial" w:hAnsi="Arial" w:cs="Arial"/>
          <w:sz w:val="22"/>
          <w:szCs w:val="22"/>
        </w:rPr>
        <w:t>é</w:t>
      </w:r>
      <w:r w:rsidRPr="00096467">
        <w:rPr>
          <w:rFonts w:ascii="Arial" w:hAnsi="Arial" w:cs="Arial"/>
          <w:sz w:val="22"/>
          <w:szCs w:val="22"/>
        </w:rPr>
        <w:t>.</w:t>
      </w:r>
    </w:p>
    <w:p w:rsidR="00DC7154" w:rsidRDefault="00DC7154" w:rsidP="00E379CA">
      <w:pPr>
        <w:jc w:val="both"/>
        <w:rPr>
          <w:rFonts w:ascii="Arial" w:hAnsi="Arial" w:cs="Arial"/>
          <w:sz w:val="22"/>
          <w:szCs w:val="22"/>
        </w:rPr>
      </w:pPr>
    </w:p>
    <w:p w:rsidR="0013459C" w:rsidRPr="00B65B01" w:rsidRDefault="00844CD7" w:rsidP="00E379CA">
      <w:pPr>
        <w:jc w:val="both"/>
        <w:rPr>
          <w:rFonts w:ascii="Arial" w:hAnsi="Arial" w:cs="Arial"/>
          <w:sz w:val="22"/>
          <w:szCs w:val="22"/>
        </w:rPr>
      </w:pPr>
      <w:r w:rsidRPr="00B65B01">
        <w:rPr>
          <w:rFonts w:ascii="Arial" w:hAnsi="Arial" w:cs="Arial"/>
          <w:sz w:val="22"/>
          <w:szCs w:val="22"/>
        </w:rPr>
        <w:t>U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="00E228BE" w:rsidRPr="00B65B01">
        <w:rPr>
          <w:rFonts w:ascii="Arial" w:hAnsi="Arial" w:cs="Arial"/>
          <w:sz w:val="22"/>
          <w:szCs w:val="22"/>
        </w:rPr>
        <w:t>transferů</w:t>
      </w:r>
      <w:r w:rsidR="00DC7154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v </w:t>
      </w:r>
      <w:r w:rsidR="00181F08">
        <w:rPr>
          <w:rFonts w:ascii="Arial" w:hAnsi="Arial" w:cs="Arial"/>
          <w:sz w:val="22"/>
          <w:szCs w:val="22"/>
        </w:rPr>
        <w:t xml:space="preserve">rámci operačního programu </w:t>
      </w:r>
      <w:r w:rsidR="00181F08" w:rsidRPr="001233B8">
        <w:rPr>
          <w:rFonts w:ascii="Arial" w:hAnsi="Arial" w:cs="Arial"/>
          <w:i/>
          <w:sz w:val="22"/>
          <w:szCs w:val="22"/>
        </w:rPr>
        <w:t>Vzdělávání pro</w:t>
      </w:r>
      <w:r w:rsidR="00181F08">
        <w:rPr>
          <w:rFonts w:ascii="Arial" w:hAnsi="Arial" w:cs="Arial"/>
          <w:sz w:val="22"/>
          <w:szCs w:val="22"/>
        </w:rPr>
        <w:t xml:space="preserve"> </w:t>
      </w:r>
      <w:r w:rsidR="00181F08" w:rsidRPr="001233B8">
        <w:rPr>
          <w:rFonts w:ascii="Arial" w:hAnsi="Arial" w:cs="Arial"/>
          <w:i/>
          <w:sz w:val="22"/>
          <w:szCs w:val="22"/>
        </w:rPr>
        <w:t>konkurenceschopnost</w:t>
      </w:r>
      <w:r w:rsidR="00181F08">
        <w:rPr>
          <w:rFonts w:ascii="Arial" w:hAnsi="Arial" w:cs="Arial"/>
          <w:sz w:val="22"/>
          <w:szCs w:val="22"/>
        </w:rPr>
        <w:t xml:space="preserve"> a</w:t>
      </w:r>
      <w:r w:rsidR="002B51EB">
        <w:rPr>
          <w:rFonts w:ascii="Arial" w:hAnsi="Arial" w:cs="Arial"/>
          <w:sz w:val="22"/>
          <w:szCs w:val="22"/>
        </w:rPr>
        <w:t> </w:t>
      </w:r>
      <w:r w:rsidR="00181F08">
        <w:rPr>
          <w:rFonts w:ascii="Arial" w:hAnsi="Arial" w:cs="Arial"/>
          <w:sz w:val="22"/>
          <w:szCs w:val="22"/>
        </w:rPr>
        <w:t xml:space="preserve">operačního programu </w:t>
      </w:r>
      <w:r w:rsidR="00181F08" w:rsidRPr="001233B8">
        <w:rPr>
          <w:rFonts w:ascii="Arial" w:hAnsi="Arial" w:cs="Arial"/>
          <w:i/>
          <w:sz w:val="22"/>
          <w:szCs w:val="22"/>
        </w:rPr>
        <w:t>Výzkum a vývoj pro inovace</w:t>
      </w:r>
      <w:r w:rsidR="00E228BE" w:rsidRPr="00B65B01">
        <w:rPr>
          <w:rFonts w:ascii="Arial" w:hAnsi="Arial" w:cs="Arial"/>
          <w:sz w:val="22"/>
          <w:szCs w:val="22"/>
        </w:rPr>
        <w:t xml:space="preserve"> MŠMT </w:t>
      </w:r>
      <w:r w:rsidR="00765F23">
        <w:rPr>
          <w:rFonts w:ascii="Arial" w:hAnsi="Arial" w:cs="Arial"/>
          <w:sz w:val="22"/>
          <w:szCs w:val="22"/>
        </w:rPr>
        <w:t>v </w:t>
      </w:r>
      <w:r w:rsidR="00E228BE" w:rsidRPr="00B65B01">
        <w:rPr>
          <w:rFonts w:ascii="Arial" w:hAnsi="Arial" w:cs="Arial"/>
          <w:sz w:val="22"/>
          <w:szCs w:val="22"/>
        </w:rPr>
        <w:t>roce 201</w:t>
      </w:r>
      <w:r w:rsidR="00B65B01" w:rsidRPr="00B65B01">
        <w:rPr>
          <w:rFonts w:ascii="Arial" w:hAnsi="Arial" w:cs="Arial"/>
          <w:sz w:val="22"/>
          <w:szCs w:val="22"/>
        </w:rPr>
        <w:t>2</w:t>
      </w:r>
      <w:r w:rsidR="0013459C" w:rsidRPr="00B65B01">
        <w:rPr>
          <w:rFonts w:ascii="Arial" w:hAnsi="Arial" w:cs="Arial"/>
          <w:sz w:val="22"/>
          <w:szCs w:val="22"/>
        </w:rPr>
        <w:t xml:space="preserve"> účtova</w:t>
      </w:r>
      <w:r w:rsidR="00B1060E" w:rsidRPr="00B65B01">
        <w:rPr>
          <w:rFonts w:ascii="Arial" w:hAnsi="Arial" w:cs="Arial"/>
          <w:sz w:val="22"/>
          <w:szCs w:val="22"/>
        </w:rPr>
        <w:t>lo</w:t>
      </w:r>
      <w:r w:rsidR="0013459C" w:rsidRPr="00B65B01">
        <w:rPr>
          <w:rFonts w:ascii="Arial" w:hAnsi="Arial" w:cs="Arial"/>
          <w:sz w:val="22"/>
          <w:szCs w:val="22"/>
        </w:rPr>
        <w:t>:</w:t>
      </w:r>
    </w:p>
    <w:p w:rsidR="0013459C" w:rsidRPr="00B65B01" w:rsidRDefault="0013459C" w:rsidP="00CA4830">
      <w:pPr>
        <w:pStyle w:val="Odstavecseseznamem"/>
        <w:numPr>
          <w:ilvl w:val="0"/>
          <w:numId w:val="10"/>
        </w:numPr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65B01">
        <w:rPr>
          <w:rFonts w:ascii="Arial" w:hAnsi="Arial" w:cs="Arial"/>
          <w:sz w:val="22"/>
          <w:szCs w:val="22"/>
        </w:rPr>
        <w:t>jak</w:t>
      </w:r>
      <w:r w:rsidR="004638EF" w:rsidRPr="00B65B01">
        <w:rPr>
          <w:rFonts w:ascii="Arial" w:hAnsi="Arial" w:cs="Arial"/>
          <w:sz w:val="22"/>
          <w:szCs w:val="22"/>
        </w:rPr>
        <w:t>o</w:t>
      </w:r>
      <w:r w:rsidR="00E228BE" w:rsidRPr="00B65B01">
        <w:rPr>
          <w:rFonts w:ascii="Arial" w:hAnsi="Arial" w:cs="Arial"/>
          <w:sz w:val="22"/>
          <w:szCs w:val="22"/>
        </w:rPr>
        <w:t xml:space="preserve"> </w:t>
      </w:r>
      <w:r w:rsidRPr="00B65B01">
        <w:rPr>
          <w:rFonts w:ascii="Arial" w:hAnsi="Arial" w:cs="Arial"/>
          <w:sz w:val="22"/>
          <w:szCs w:val="22"/>
        </w:rPr>
        <w:t>poskytovatel</w:t>
      </w:r>
      <w:r w:rsidR="00E86D08" w:rsidRPr="00B65B01">
        <w:rPr>
          <w:rFonts w:ascii="Arial" w:hAnsi="Arial" w:cs="Arial"/>
          <w:sz w:val="22"/>
          <w:szCs w:val="22"/>
        </w:rPr>
        <w:t xml:space="preserve"> </w:t>
      </w:r>
      <w:r w:rsidR="004638EF" w:rsidRPr="00B65B01">
        <w:rPr>
          <w:rFonts w:ascii="Arial" w:hAnsi="Arial" w:cs="Arial"/>
          <w:sz w:val="22"/>
          <w:szCs w:val="22"/>
        </w:rPr>
        <w:t>u</w:t>
      </w:r>
      <w:r w:rsidRPr="00B65B01">
        <w:rPr>
          <w:rFonts w:ascii="Arial" w:hAnsi="Arial" w:cs="Arial"/>
          <w:sz w:val="22"/>
          <w:szCs w:val="22"/>
        </w:rPr>
        <w:t xml:space="preserve"> té části transferu, </w:t>
      </w:r>
      <w:r w:rsidR="004638EF" w:rsidRPr="00B65B01">
        <w:rPr>
          <w:rFonts w:ascii="Arial" w:hAnsi="Arial" w:cs="Arial"/>
          <w:sz w:val="22"/>
          <w:szCs w:val="22"/>
        </w:rPr>
        <w:t xml:space="preserve">která </w:t>
      </w:r>
      <w:r w:rsidR="00C82AB8" w:rsidRPr="00B65B01">
        <w:rPr>
          <w:rFonts w:ascii="Arial" w:hAnsi="Arial" w:cs="Arial"/>
          <w:sz w:val="22"/>
          <w:szCs w:val="22"/>
        </w:rPr>
        <w:t>byla</w:t>
      </w:r>
      <w:r w:rsidR="004638EF" w:rsidRPr="00B65B01">
        <w:rPr>
          <w:rFonts w:ascii="Arial" w:hAnsi="Arial" w:cs="Arial"/>
          <w:sz w:val="22"/>
          <w:szCs w:val="22"/>
        </w:rPr>
        <w:t xml:space="preserve"> financována ze státního rozpočtu</w:t>
      </w:r>
      <w:r w:rsidR="00296BF4">
        <w:rPr>
          <w:rFonts w:ascii="Arial" w:hAnsi="Arial" w:cs="Arial"/>
          <w:sz w:val="22"/>
          <w:szCs w:val="22"/>
        </w:rPr>
        <w:t>,</w:t>
      </w:r>
      <w:r w:rsidR="00C94E9D">
        <w:rPr>
          <w:rFonts w:ascii="Arial" w:hAnsi="Arial" w:cs="Arial"/>
          <w:sz w:val="22"/>
          <w:szCs w:val="22"/>
        </w:rPr>
        <w:t xml:space="preserve"> </w:t>
      </w:r>
      <w:r w:rsidR="00431192">
        <w:rPr>
          <w:rFonts w:ascii="Arial" w:hAnsi="Arial" w:cs="Arial"/>
          <w:sz w:val="22"/>
          <w:szCs w:val="22"/>
        </w:rPr>
        <w:br/>
      </w:r>
      <w:r w:rsidR="00C94E9D">
        <w:rPr>
          <w:rFonts w:ascii="Arial" w:hAnsi="Arial" w:cs="Arial"/>
          <w:sz w:val="22"/>
          <w:szCs w:val="22"/>
        </w:rPr>
        <w:t xml:space="preserve">tzn. </w:t>
      </w:r>
      <w:r w:rsidR="00431192">
        <w:rPr>
          <w:rFonts w:ascii="Arial" w:hAnsi="Arial" w:cs="Arial"/>
          <w:sz w:val="22"/>
          <w:szCs w:val="22"/>
        </w:rPr>
        <w:t>u </w:t>
      </w:r>
      <w:r w:rsidR="00C94E9D">
        <w:rPr>
          <w:rFonts w:ascii="Arial" w:hAnsi="Arial" w:cs="Arial"/>
          <w:sz w:val="22"/>
          <w:szCs w:val="22"/>
        </w:rPr>
        <w:t>15</w:t>
      </w:r>
      <w:r w:rsidR="002B51EB">
        <w:rPr>
          <w:rFonts w:ascii="Arial" w:hAnsi="Arial" w:cs="Arial"/>
          <w:sz w:val="22"/>
          <w:szCs w:val="22"/>
        </w:rPr>
        <w:t> </w:t>
      </w:r>
      <w:r w:rsidR="00C94E9D">
        <w:rPr>
          <w:rFonts w:ascii="Arial" w:hAnsi="Arial" w:cs="Arial"/>
          <w:sz w:val="22"/>
          <w:szCs w:val="22"/>
        </w:rPr>
        <w:t xml:space="preserve">% </w:t>
      </w:r>
      <w:r w:rsidR="00765F23">
        <w:rPr>
          <w:rFonts w:ascii="Arial" w:hAnsi="Arial" w:cs="Arial"/>
          <w:sz w:val="22"/>
          <w:szCs w:val="22"/>
        </w:rPr>
        <w:t>z </w:t>
      </w:r>
      <w:r w:rsidR="00C94E9D">
        <w:rPr>
          <w:rFonts w:ascii="Arial" w:hAnsi="Arial" w:cs="Arial"/>
          <w:sz w:val="22"/>
          <w:szCs w:val="22"/>
        </w:rPr>
        <w:t>částky poskytnuté příjemcům</w:t>
      </w:r>
      <w:r w:rsidR="00C82AB8" w:rsidRPr="00B65B01">
        <w:rPr>
          <w:rFonts w:ascii="Arial" w:hAnsi="Arial" w:cs="Arial"/>
          <w:sz w:val="22"/>
          <w:szCs w:val="22"/>
        </w:rPr>
        <w:t xml:space="preserve"> (</w:t>
      </w:r>
      <w:r w:rsidR="002B7B2E" w:rsidRPr="00B65B01">
        <w:rPr>
          <w:rFonts w:ascii="Arial" w:hAnsi="Arial" w:cs="Arial"/>
          <w:sz w:val="22"/>
          <w:szCs w:val="22"/>
        </w:rPr>
        <w:t>p</w:t>
      </w:r>
      <w:r w:rsidR="00C82AB8" w:rsidRPr="00B65B01">
        <w:rPr>
          <w:rFonts w:ascii="Arial" w:hAnsi="Arial" w:cs="Arial"/>
          <w:sz w:val="22"/>
          <w:szCs w:val="22"/>
        </w:rPr>
        <w:t>oskytnuté transfery</w:t>
      </w:r>
      <w:r w:rsidR="002B7B2E" w:rsidRPr="00B65B01">
        <w:rPr>
          <w:rFonts w:ascii="Arial" w:hAnsi="Arial" w:cs="Arial"/>
          <w:sz w:val="22"/>
          <w:szCs w:val="22"/>
        </w:rPr>
        <w:t xml:space="preserve"> proto účtovalo</w:t>
      </w:r>
      <w:r w:rsidR="00C82AB8" w:rsidRPr="00B65B01">
        <w:rPr>
          <w:rFonts w:ascii="Arial" w:hAnsi="Arial" w:cs="Arial"/>
          <w:sz w:val="22"/>
          <w:szCs w:val="22"/>
        </w:rPr>
        <w:t xml:space="preserve"> jako </w:t>
      </w:r>
      <w:r w:rsidR="00DC7154">
        <w:rPr>
          <w:rFonts w:ascii="Arial" w:hAnsi="Arial" w:cs="Arial"/>
          <w:sz w:val="22"/>
          <w:szCs w:val="22"/>
        </w:rPr>
        <w:t xml:space="preserve">dlouhodobou </w:t>
      </w:r>
      <w:r w:rsidR="00C82AB8" w:rsidRPr="00B65B01">
        <w:rPr>
          <w:rFonts w:ascii="Arial" w:hAnsi="Arial" w:cs="Arial"/>
          <w:sz w:val="22"/>
          <w:szCs w:val="22"/>
        </w:rPr>
        <w:t xml:space="preserve">poskytnutou zálohu na transfer, která je určena </w:t>
      </w:r>
      <w:r w:rsidR="00765F23">
        <w:rPr>
          <w:rFonts w:ascii="Arial" w:hAnsi="Arial" w:cs="Arial"/>
          <w:sz w:val="22"/>
          <w:szCs w:val="22"/>
        </w:rPr>
        <w:t>k </w:t>
      </w:r>
      <w:r w:rsidR="00C82AB8" w:rsidRPr="00B65B01">
        <w:rPr>
          <w:rFonts w:ascii="Arial" w:hAnsi="Arial" w:cs="Arial"/>
          <w:sz w:val="22"/>
          <w:szCs w:val="22"/>
        </w:rPr>
        <w:t>finančnímu vypořádání</w:t>
      </w:r>
      <w:r w:rsidR="007B58D4" w:rsidRPr="00B65B01">
        <w:rPr>
          <w:rFonts w:ascii="Arial" w:hAnsi="Arial" w:cs="Arial"/>
          <w:sz w:val="22"/>
          <w:szCs w:val="22"/>
        </w:rPr>
        <w:t>,</w:t>
      </w:r>
      <w:r w:rsidR="002B7B2E" w:rsidRPr="00B65B01">
        <w:rPr>
          <w:rFonts w:ascii="Arial" w:hAnsi="Arial" w:cs="Arial"/>
          <w:sz w:val="22"/>
          <w:szCs w:val="22"/>
        </w:rPr>
        <w:t xml:space="preserve"> a</w:t>
      </w:r>
      <w:r w:rsidR="002B51EB">
        <w:rPr>
          <w:rFonts w:ascii="Arial" w:hAnsi="Arial" w:cs="Arial"/>
          <w:sz w:val="22"/>
          <w:szCs w:val="22"/>
        </w:rPr>
        <w:t> </w:t>
      </w:r>
      <w:r w:rsidR="00B65B01" w:rsidRPr="00B65B01">
        <w:rPr>
          <w:rFonts w:ascii="Arial" w:hAnsi="Arial" w:cs="Arial"/>
          <w:sz w:val="22"/>
          <w:szCs w:val="22"/>
        </w:rPr>
        <w:t>současně</w:t>
      </w:r>
      <w:r w:rsidR="002B7B2E" w:rsidRPr="00B65B01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v </w:t>
      </w:r>
      <w:r w:rsidR="00043643">
        <w:rPr>
          <w:rFonts w:ascii="Arial" w:hAnsi="Arial" w:cs="Arial"/>
          <w:sz w:val="22"/>
          <w:szCs w:val="22"/>
        </w:rPr>
        <w:t>příslušné</w:t>
      </w:r>
      <w:r w:rsidR="002B7B2E" w:rsidRPr="00B65B01">
        <w:rPr>
          <w:rFonts w:ascii="Arial" w:hAnsi="Arial" w:cs="Arial"/>
          <w:sz w:val="22"/>
          <w:szCs w:val="22"/>
        </w:rPr>
        <w:t xml:space="preserve"> výši</w:t>
      </w:r>
      <w:r w:rsidR="004B6ADE" w:rsidRPr="00B65B01">
        <w:rPr>
          <w:rFonts w:ascii="Arial" w:hAnsi="Arial" w:cs="Arial"/>
          <w:sz w:val="22"/>
          <w:szCs w:val="22"/>
        </w:rPr>
        <w:t xml:space="preserve"> </w:t>
      </w:r>
      <w:r w:rsidR="002B7B2E" w:rsidRPr="00B65B01">
        <w:rPr>
          <w:rFonts w:ascii="Arial" w:hAnsi="Arial" w:cs="Arial"/>
          <w:sz w:val="22"/>
          <w:szCs w:val="22"/>
        </w:rPr>
        <w:t>vytvořilo</w:t>
      </w:r>
      <w:r w:rsidR="00C94E9D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k </w:t>
      </w:r>
      <w:r w:rsidR="00C94E9D">
        <w:rPr>
          <w:rFonts w:ascii="Arial" w:hAnsi="Arial" w:cs="Arial"/>
          <w:sz w:val="22"/>
          <w:szCs w:val="22"/>
        </w:rPr>
        <w:t>datu ÚZ</w:t>
      </w:r>
      <w:r w:rsidR="002B7B2E" w:rsidRPr="00B65B01">
        <w:rPr>
          <w:rFonts w:ascii="Arial" w:hAnsi="Arial" w:cs="Arial"/>
          <w:sz w:val="22"/>
          <w:szCs w:val="22"/>
        </w:rPr>
        <w:t xml:space="preserve"> dohadné účty </w:t>
      </w:r>
      <w:r w:rsidR="004B6ADE" w:rsidRPr="00B65B01">
        <w:rPr>
          <w:rFonts w:ascii="Arial" w:hAnsi="Arial" w:cs="Arial"/>
          <w:sz w:val="22"/>
          <w:szCs w:val="22"/>
        </w:rPr>
        <w:t>pasivní</w:t>
      </w:r>
      <w:r w:rsidR="002B7B2E" w:rsidRPr="00B65B01">
        <w:rPr>
          <w:rFonts w:ascii="Arial" w:hAnsi="Arial" w:cs="Arial"/>
          <w:sz w:val="22"/>
          <w:szCs w:val="22"/>
        </w:rPr>
        <w:t xml:space="preserve"> souvztažně oproti příslušnému nákladovému účtu);</w:t>
      </w:r>
    </w:p>
    <w:p w:rsidR="0013459C" w:rsidRPr="00B65B01" w:rsidRDefault="004638EF" w:rsidP="00CA4830">
      <w:pPr>
        <w:pStyle w:val="Odstavecseseznamem"/>
        <w:numPr>
          <w:ilvl w:val="0"/>
          <w:numId w:val="10"/>
        </w:numPr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65B01">
        <w:rPr>
          <w:rFonts w:ascii="Arial" w:hAnsi="Arial" w:cs="Arial"/>
          <w:sz w:val="22"/>
          <w:szCs w:val="22"/>
        </w:rPr>
        <w:t xml:space="preserve">jako </w:t>
      </w:r>
      <w:r w:rsidR="0013459C" w:rsidRPr="00B65B01">
        <w:rPr>
          <w:rFonts w:ascii="Arial" w:hAnsi="Arial" w:cs="Arial"/>
          <w:sz w:val="22"/>
          <w:szCs w:val="22"/>
        </w:rPr>
        <w:t>zprostředkovatel zahraničního transferu</w:t>
      </w:r>
      <w:r w:rsidRPr="00B65B01">
        <w:rPr>
          <w:rFonts w:ascii="Arial" w:hAnsi="Arial" w:cs="Arial"/>
          <w:sz w:val="22"/>
          <w:szCs w:val="22"/>
        </w:rPr>
        <w:t xml:space="preserve"> u </w:t>
      </w:r>
      <w:r w:rsidR="0013459C" w:rsidRPr="00B65B01">
        <w:rPr>
          <w:rFonts w:ascii="Arial" w:hAnsi="Arial" w:cs="Arial"/>
          <w:sz w:val="22"/>
          <w:szCs w:val="22"/>
        </w:rPr>
        <w:t>té</w:t>
      </w:r>
      <w:r w:rsidRPr="00B65B01">
        <w:rPr>
          <w:rFonts w:ascii="Arial" w:hAnsi="Arial" w:cs="Arial"/>
          <w:sz w:val="22"/>
          <w:szCs w:val="22"/>
        </w:rPr>
        <w:t xml:space="preserve"> </w:t>
      </w:r>
      <w:r w:rsidR="0013459C" w:rsidRPr="00B65B01">
        <w:rPr>
          <w:rFonts w:ascii="Arial" w:hAnsi="Arial" w:cs="Arial"/>
          <w:sz w:val="22"/>
          <w:szCs w:val="22"/>
        </w:rPr>
        <w:t>části</w:t>
      </w:r>
      <w:r w:rsidR="00043643">
        <w:rPr>
          <w:rFonts w:ascii="Arial" w:hAnsi="Arial" w:cs="Arial"/>
          <w:sz w:val="22"/>
          <w:szCs w:val="22"/>
        </w:rPr>
        <w:t xml:space="preserve"> poskytnutých prostředků</w:t>
      </w:r>
      <w:r w:rsidRPr="00B65B01">
        <w:rPr>
          <w:rFonts w:ascii="Arial" w:hAnsi="Arial" w:cs="Arial"/>
          <w:sz w:val="22"/>
          <w:szCs w:val="22"/>
        </w:rPr>
        <w:t>, která</w:t>
      </w:r>
      <w:r w:rsidR="00C94E9D">
        <w:rPr>
          <w:rFonts w:ascii="Arial" w:hAnsi="Arial" w:cs="Arial"/>
          <w:sz w:val="22"/>
          <w:szCs w:val="22"/>
        </w:rPr>
        <w:t xml:space="preserve"> by</w:t>
      </w:r>
      <w:r w:rsidR="0013459C" w:rsidRPr="00B65B01">
        <w:rPr>
          <w:rFonts w:ascii="Arial" w:hAnsi="Arial" w:cs="Arial"/>
          <w:sz w:val="22"/>
          <w:szCs w:val="22"/>
        </w:rPr>
        <w:t xml:space="preserve"> měla být ref</w:t>
      </w:r>
      <w:r w:rsidRPr="00B65B01">
        <w:rPr>
          <w:rFonts w:ascii="Arial" w:hAnsi="Arial" w:cs="Arial"/>
          <w:sz w:val="22"/>
          <w:szCs w:val="22"/>
        </w:rPr>
        <w:t>undována</w:t>
      </w:r>
      <w:r w:rsidR="0013459C" w:rsidRPr="00B65B01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z </w:t>
      </w:r>
      <w:r w:rsidR="0013459C" w:rsidRPr="00B65B01">
        <w:rPr>
          <w:rFonts w:ascii="Arial" w:hAnsi="Arial" w:cs="Arial"/>
          <w:sz w:val="22"/>
          <w:szCs w:val="22"/>
        </w:rPr>
        <w:t>Národního fondu</w:t>
      </w:r>
      <w:r w:rsidR="00296BF4">
        <w:rPr>
          <w:rFonts w:ascii="Arial" w:hAnsi="Arial" w:cs="Arial"/>
          <w:sz w:val="22"/>
          <w:szCs w:val="22"/>
        </w:rPr>
        <w:t>,</w:t>
      </w:r>
      <w:r w:rsidR="00C94E9D">
        <w:rPr>
          <w:rFonts w:ascii="Arial" w:hAnsi="Arial" w:cs="Arial"/>
          <w:sz w:val="22"/>
          <w:szCs w:val="22"/>
        </w:rPr>
        <w:t xml:space="preserve"> tzn. </w:t>
      </w:r>
      <w:r w:rsidR="00043643">
        <w:rPr>
          <w:rFonts w:ascii="Arial" w:hAnsi="Arial" w:cs="Arial"/>
          <w:sz w:val="22"/>
          <w:szCs w:val="22"/>
        </w:rPr>
        <w:t>u </w:t>
      </w:r>
      <w:r w:rsidR="00C94E9D">
        <w:rPr>
          <w:rFonts w:ascii="Arial" w:hAnsi="Arial" w:cs="Arial"/>
          <w:sz w:val="22"/>
          <w:szCs w:val="22"/>
        </w:rPr>
        <w:t xml:space="preserve">85 % </w:t>
      </w:r>
      <w:r w:rsidR="00765F23">
        <w:rPr>
          <w:rFonts w:ascii="Arial" w:hAnsi="Arial" w:cs="Arial"/>
          <w:sz w:val="22"/>
          <w:szCs w:val="22"/>
        </w:rPr>
        <w:t>z </w:t>
      </w:r>
      <w:r w:rsidR="00C94E9D">
        <w:rPr>
          <w:rFonts w:ascii="Arial" w:hAnsi="Arial" w:cs="Arial"/>
          <w:sz w:val="22"/>
          <w:szCs w:val="22"/>
        </w:rPr>
        <w:t>částky poskytnuté příjemcům</w:t>
      </w:r>
      <w:r w:rsidR="002B7B2E" w:rsidRPr="00B65B01">
        <w:rPr>
          <w:rFonts w:ascii="Arial" w:hAnsi="Arial" w:cs="Arial"/>
          <w:sz w:val="22"/>
          <w:szCs w:val="22"/>
        </w:rPr>
        <w:t xml:space="preserve"> (</w:t>
      </w:r>
      <w:r w:rsidR="00043643">
        <w:rPr>
          <w:rFonts w:ascii="Arial" w:hAnsi="Arial" w:cs="Arial"/>
          <w:sz w:val="22"/>
          <w:szCs w:val="22"/>
        </w:rPr>
        <w:t>tyto</w:t>
      </w:r>
      <w:r w:rsidR="00043643" w:rsidRPr="00B65B01">
        <w:rPr>
          <w:rFonts w:ascii="Arial" w:hAnsi="Arial" w:cs="Arial"/>
          <w:sz w:val="22"/>
          <w:szCs w:val="22"/>
        </w:rPr>
        <w:t xml:space="preserve"> </w:t>
      </w:r>
      <w:r w:rsidR="002B7B2E" w:rsidRPr="00B65B01">
        <w:rPr>
          <w:rFonts w:ascii="Arial" w:hAnsi="Arial" w:cs="Arial"/>
          <w:sz w:val="22"/>
          <w:szCs w:val="22"/>
        </w:rPr>
        <w:t>tran</w:t>
      </w:r>
      <w:r w:rsidR="00E228BE" w:rsidRPr="00B65B01">
        <w:rPr>
          <w:rFonts w:ascii="Arial" w:hAnsi="Arial" w:cs="Arial"/>
          <w:sz w:val="22"/>
          <w:szCs w:val="22"/>
        </w:rPr>
        <w:t>s</w:t>
      </w:r>
      <w:r w:rsidR="002B7B2E" w:rsidRPr="00B65B01">
        <w:rPr>
          <w:rFonts w:ascii="Arial" w:hAnsi="Arial" w:cs="Arial"/>
          <w:sz w:val="22"/>
          <w:szCs w:val="22"/>
        </w:rPr>
        <w:t xml:space="preserve">fery proto účtovalo pouze prostřednictvím </w:t>
      </w:r>
      <w:r w:rsidR="00E92017">
        <w:rPr>
          <w:rFonts w:ascii="Arial" w:hAnsi="Arial" w:cs="Arial"/>
          <w:sz w:val="22"/>
          <w:szCs w:val="22"/>
        </w:rPr>
        <w:t>zúčtovacích vztahů</w:t>
      </w:r>
      <w:r w:rsidR="002B7B2E" w:rsidRPr="00B65B01">
        <w:rPr>
          <w:rFonts w:ascii="Arial" w:hAnsi="Arial" w:cs="Arial"/>
          <w:sz w:val="22"/>
          <w:szCs w:val="22"/>
        </w:rPr>
        <w:t>)</w:t>
      </w:r>
      <w:r w:rsidR="0013459C" w:rsidRPr="00B65B01">
        <w:rPr>
          <w:rFonts w:ascii="Arial" w:hAnsi="Arial" w:cs="Arial"/>
          <w:sz w:val="22"/>
          <w:szCs w:val="22"/>
        </w:rPr>
        <w:t>.</w:t>
      </w:r>
    </w:p>
    <w:p w:rsidR="00E91032" w:rsidRDefault="00E91032" w:rsidP="00E379CA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E92017" w:rsidRPr="00067CD6" w:rsidRDefault="00E92017" w:rsidP="00E92017">
      <w:pPr>
        <w:jc w:val="both"/>
        <w:rPr>
          <w:rFonts w:ascii="Arial" w:hAnsi="Arial" w:cs="Arial"/>
          <w:sz w:val="22"/>
          <w:szCs w:val="22"/>
        </w:rPr>
      </w:pPr>
      <w:r w:rsidRPr="00E92017">
        <w:rPr>
          <w:rFonts w:ascii="Arial" w:hAnsi="Arial" w:cs="Arial"/>
          <w:sz w:val="22"/>
          <w:szCs w:val="22"/>
        </w:rPr>
        <w:lastRenderedPageBreak/>
        <w:t xml:space="preserve">Postup stanovený </w:t>
      </w:r>
      <w:r w:rsidR="00765F23">
        <w:rPr>
          <w:rFonts w:ascii="Arial" w:hAnsi="Arial" w:cs="Arial"/>
          <w:sz w:val="22"/>
          <w:szCs w:val="22"/>
        </w:rPr>
        <w:t>v </w:t>
      </w:r>
      <w:r w:rsidRPr="00E92017">
        <w:rPr>
          <w:rFonts w:ascii="Arial" w:hAnsi="Arial" w:cs="Arial"/>
          <w:sz w:val="22"/>
          <w:szCs w:val="22"/>
        </w:rPr>
        <w:t xml:space="preserve">ČÚS č. 703 (konkrétně </w:t>
      </w:r>
      <w:r w:rsidR="00765F23">
        <w:rPr>
          <w:rFonts w:ascii="Arial" w:hAnsi="Arial" w:cs="Arial"/>
          <w:sz w:val="22"/>
          <w:szCs w:val="22"/>
        </w:rPr>
        <w:t>v </w:t>
      </w:r>
      <w:r w:rsidRPr="00E92017">
        <w:rPr>
          <w:rFonts w:ascii="Arial" w:hAnsi="Arial" w:cs="Arial"/>
          <w:sz w:val="22"/>
          <w:szCs w:val="22"/>
        </w:rPr>
        <w:t xml:space="preserve">bodu 5.1.2.) pro zprostředkovatele zahraničního transferu neodpovídá skutečné praxi předfinancování. ČÚS č. 703 stanovuje postupy účtování pro případ, že zprostředkovatel nejdříve získá peněžní prostředky určené ke zprostředkování a následně je odešle příslušnému subjektu. Praxe předfinancování ze státního rozpočtu je však založena na tom, že peněžní prostředky jsou odeslány konečnému příjemci ze státního rozpočtu, </w:t>
      </w:r>
      <w:r w:rsidR="00765F23">
        <w:rPr>
          <w:rFonts w:ascii="Arial" w:hAnsi="Arial" w:cs="Arial"/>
          <w:sz w:val="22"/>
          <w:szCs w:val="22"/>
        </w:rPr>
        <w:t>v </w:t>
      </w:r>
      <w:r w:rsidRPr="00E92017">
        <w:rPr>
          <w:rFonts w:ascii="Arial" w:hAnsi="Arial" w:cs="Arial"/>
          <w:sz w:val="22"/>
          <w:szCs w:val="22"/>
        </w:rPr>
        <w:t xml:space="preserve">tomto případě </w:t>
      </w:r>
      <w:r w:rsidR="00765F23">
        <w:rPr>
          <w:rFonts w:ascii="Arial" w:hAnsi="Arial" w:cs="Arial"/>
          <w:sz w:val="22"/>
          <w:szCs w:val="22"/>
        </w:rPr>
        <w:t>z </w:t>
      </w:r>
      <w:r w:rsidRPr="00E92017">
        <w:rPr>
          <w:rFonts w:ascii="Arial" w:hAnsi="Arial" w:cs="Arial"/>
          <w:sz w:val="22"/>
          <w:szCs w:val="22"/>
        </w:rPr>
        <w:t>rozpočtu správce kapitoly, a až v</w:t>
      </w:r>
      <w:r w:rsidR="002B51EB">
        <w:rPr>
          <w:rFonts w:ascii="Arial" w:hAnsi="Arial" w:cs="Arial"/>
          <w:sz w:val="22"/>
          <w:szCs w:val="22"/>
        </w:rPr>
        <w:t> </w:t>
      </w:r>
      <w:r w:rsidRPr="00E92017">
        <w:rPr>
          <w:rFonts w:ascii="Arial" w:hAnsi="Arial" w:cs="Arial"/>
          <w:sz w:val="22"/>
          <w:szCs w:val="22"/>
        </w:rPr>
        <w:t xml:space="preserve">následujících časových obdobích jsou na základě žádosti refundovány </w:t>
      </w:r>
      <w:r w:rsidR="00765F23">
        <w:rPr>
          <w:rFonts w:ascii="Arial" w:hAnsi="Arial" w:cs="Arial"/>
          <w:sz w:val="22"/>
          <w:szCs w:val="22"/>
        </w:rPr>
        <w:t>z </w:t>
      </w:r>
      <w:r w:rsidRPr="00E92017">
        <w:rPr>
          <w:rFonts w:ascii="Arial" w:hAnsi="Arial" w:cs="Arial"/>
          <w:sz w:val="22"/>
          <w:szCs w:val="22"/>
        </w:rPr>
        <w:t xml:space="preserve">Národního fondu. Postupy stanovené </w:t>
      </w:r>
      <w:r w:rsidR="00765F23">
        <w:rPr>
          <w:rFonts w:ascii="Arial" w:hAnsi="Arial" w:cs="Arial"/>
          <w:sz w:val="22"/>
          <w:szCs w:val="22"/>
        </w:rPr>
        <w:t>v </w:t>
      </w:r>
      <w:r w:rsidRPr="00E92017">
        <w:rPr>
          <w:rFonts w:ascii="Arial" w:hAnsi="Arial" w:cs="Arial"/>
          <w:sz w:val="22"/>
          <w:szCs w:val="22"/>
        </w:rPr>
        <w:t xml:space="preserve">ČÚS č. 703 jsou proto na předfinancování neaplikovatelné. </w:t>
      </w:r>
      <w:r w:rsidR="00765F23">
        <w:rPr>
          <w:rFonts w:ascii="Arial" w:hAnsi="Arial" w:cs="Arial"/>
          <w:sz w:val="22"/>
          <w:szCs w:val="22"/>
        </w:rPr>
        <w:t>Z </w:t>
      </w:r>
      <w:r w:rsidRPr="00E92017">
        <w:rPr>
          <w:rFonts w:ascii="Arial" w:hAnsi="Arial" w:cs="Arial"/>
          <w:sz w:val="22"/>
          <w:szCs w:val="22"/>
        </w:rPr>
        <w:t xml:space="preserve">tohoto důvodu si MŠMT stanovilo vlastní účetní postupy pro zprostředkovatele při předfinancování </w:t>
      </w:r>
      <w:r w:rsidR="00765F23">
        <w:rPr>
          <w:rFonts w:ascii="Arial" w:hAnsi="Arial" w:cs="Arial"/>
          <w:sz w:val="22"/>
          <w:szCs w:val="22"/>
        </w:rPr>
        <w:t>v </w:t>
      </w:r>
      <w:r w:rsidRPr="00E92017">
        <w:rPr>
          <w:rFonts w:ascii="Arial" w:hAnsi="Arial" w:cs="Arial"/>
          <w:sz w:val="22"/>
          <w:szCs w:val="22"/>
        </w:rPr>
        <w:t xml:space="preserve">rámci </w:t>
      </w:r>
      <w:r w:rsidR="00847872">
        <w:rPr>
          <w:rFonts w:ascii="Arial" w:hAnsi="Arial" w:cs="Arial"/>
          <w:sz w:val="22"/>
          <w:szCs w:val="22"/>
        </w:rPr>
        <w:t xml:space="preserve">operačního programu </w:t>
      </w:r>
      <w:r w:rsidR="00847872" w:rsidRPr="00DD0B51">
        <w:rPr>
          <w:rFonts w:ascii="Arial" w:hAnsi="Arial" w:cs="Arial"/>
          <w:i/>
          <w:sz w:val="22"/>
          <w:szCs w:val="22"/>
        </w:rPr>
        <w:t>Vzdělávání pro</w:t>
      </w:r>
      <w:r w:rsidR="00847872">
        <w:rPr>
          <w:rFonts w:ascii="Arial" w:hAnsi="Arial" w:cs="Arial"/>
          <w:sz w:val="22"/>
          <w:szCs w:val="22"/>
        </w:rPr>
        <w:t xml:space="preserve"> </w:t>
      </w:r>
      <w:r w:rsidR="00847872" w:rsidRPr="00DD0B51">
        <w:rPr>
          <w:rFonts w:ascii="Arial" w:hAnsi="Arial" w:cs="Arial"/>
          <w:i/>
          <w:sz w:val="22"/>
          <w:szCs w:val="22"/>
        </w:rPr>
        <w:t>konkurenceschopnost</w:t>
      </w:r>
      <w:r w:rsidR="00847872">
        <w:rPr>
          <w:rFonts w:ascii="Arial" w:hAnsi="Arial" w:cs="Arial"/>
          <w:sz w:val="22"/>
          <w:szCs w:val="22"/>
        </w:rPr>
        <w:t xml:space="preserve"> a operačního programu </w:t>
      </w:r>
      <w:r w:rsidR="00847872" w:rsidRPr="00DD0B51">
        <w:rPr>
          <w:rFonts w:ascii="Arial" w:hAnsi="Arial" w:cs="Arial"/>
          <w:i/>
          <w:sz w:val="22"/>
          <w:szCs w:val="22"/>
        </w:rPr>
        <w:t>Výzkum a vývoj pro inovace</w:t>
      </w:r>
      <w:r w:rsidR="00296BF4">
        <w:rPr>
          <w:rFonts w:ascii="Arial" w:hAnsi="Arial" w:cs="Arial"/>
          <w:sz w:val="22"/>
          <w:szCs w:val="22"/>
        </w:rPr>
        <w:t>.</w:t>
      </w:r>
    </w:p>
    <w:p w:rsidR="00E92017" w:rsidRPr="00E92017" w:rsidRDefault="00E92017" w:rsidP="00E9201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92017" w:rsidRDefault="00E92017" w:rsidP="00E92017">
      <w:pPr>
        <w:jc w:val="both"/>
        <w:rPr>
          <w:rFonts w:ascii="Arial" w:hAnsi="Arial" w:cs="Arial"/>
          <w:sz w:val="22"/>
          <w:szCs w:val="22"/>
        </w:rPr>
      </w:pPr>
      <w:r w:rsidRPr="00E92017">
        <w:rPr>
          <w:rFonts w:ascii="Arial" w:hAnsi="Arial" w:cs="Arial"/>
          <w:sz w:val="22"/>
          <w:szCs w:val="22"/>
        </w:rPr>
        <w:t xml:space="preserve">Postupy MŠMT nemají přímou oporu </w:t>
      </w:r>
      <w:r w:rsidR="00765F23">
        <w:rPr>
          <w:rFonts w:ascii="Arial" w:hAnsi="Arial" w:cs="Arial"/>
          <w:sz w:val="22"/>
          <w:szCs w:val="22"/>
        </w:rPr>
        <w:t>v </w:t>
      </w:r>
      <w:r w:rsidRPr="00E92017">
        <w:rPr>
          <w:rFonts w:ascii="Arial" w:hAnsi="Arial" w:cs="Arial"/>
          <w:sz w:val="22"/>
          <w:szCs w:val="22"/>
        </w:rPr>
        <w:t>předpisech upravujících účetnictví OSS, jedná se o</w:t>
      </w:r>
      <w:r w:rsidR="002B51EB">
        <w:rPr>
          <w:rFonts w:ascii="Arial" w:hAnsi="Arial" w:cs="Arial"/>
          <w:sz w:val="22"/>
          <w:szCs w:val="22"/>
        </w:rPr>
        <w:t> </w:t>
      </w:r>
      <w:r w:rsidRPr="00E92017">
        <w:rPr>
          <w:rFonts w:ascii="Arial" w:hAnsi="Arial" w:cs="Arial"/>
          <w:sz w:val="22"/>
          <w:szCs w:val="22"/>
        </w:rPr>
        <w:t>řešení</w:t>
      </w:r>
      <w:r w:rsidR="00885244">
        <w:rPr>
          <w:rFonts w:ascii="Arial" w:hAnsi="Arial" w:cs="Arial"/>
          <w:sz w:val="22"/>
          <w:szCs w:val="22"/>
        </w:rPr>
        <w:t xml:space="preserve"> na základě určité výkladové aplikace</w:t>
      </w:r>
      <w:r w:rsidRPr="00E92017">
        <w:rPr>
          <w:rFonts w:ascii="Arial" w:hAnsi="Arial" w:cs="Arial"/>
          <w:sz w:val="22"/>
          <w:szCs w:val="22"/>
        </w:rPr>
        <w:t xml:space="preserve">. </w:t>
      </w:r>
    </w:p>
    <w:p w:rsidR="00043643" w:rsidRPr="00E92017" w:rsidRDefault="00043643" w:rsidP="00E92017">
      <w:pPr>
        <w:jc w:val="both"/>
        <w:rPr>
          <w:rFonts w:ascii="Arial" w:hAnsi="Arial" w:cs="Arial"/>
          <w:sz w:val="22"/>
          <w:szCs w:val="22"/>
        </w:rPr>
      </w:pPr>
    </w:p>
    <w:p w:rsidR="00E92017" w:rsidRPr="00E92017" w:rsidRDefault="00E92017" w:rsidP="00E92017">
      <w:pPr>
        <w:jc w:val="both"/>
        <w:rPr>
          <w:rFonts w:ascii="Arial" w:hAnsi="Arial" w:cs="Arial"/>
          <w:sz w:val="22"/>
          <w:szCs w:val="22"/>
        </w:rPr>
      </w:pPr>
      <w:r w:rsidRPr="00E92017">
        <w:rPr>
          <w:rFonts w:ascii="Arial" w:hAnsi="Arial" w:cs="Arial"/>
          <w:sz w:val="22"/>
          <w:szCs w:val="22"/>
        </w:rPr>
        <w:t xml:space="preserve">MŠMT při hledání vhodného účetního přístupu vycházelo </w:t>
      </w:r>
      <w:r w:rsidR="00765F23">
        <w:rPr>
          <w:rFonts w:ascii="Arial" w:hAnsi="Arial" w:cs="Arial"/>
          <w:sz w:val="22"/>
          <w:szCs w:val="22"/>
        </w:rPr>
        <w:t>z </w:t>
      </w:r>
      <w:r w:rsidRPr="00E92017">
        <w:rPr>
          <w:rFonts w:ascii="Arial" w:hAnsi="Arial" w:cs="Arial"/>
          <w:sz w:val="22"/>
          <w:szCs w:val="22"/>
        </w:rPr>
        <w:t>toho, že jím poskytované transfery</w:t>
      </w:r>
      <w:r w:rsidR="00847872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v </w:t>
      </w:r>
      <w:r w:rsidR="00847872">
        <w:rPr>
          <w:rFonts w:ascii="Arial" w:hAnsi="Arial" w:cs="Arial"/>
          <w:sz w:val="22"/>
          <w:szCs w:val="22"/>
        </w:rPr>
        <w:t>rámci</w:t>
      </w:r>
      <w:r w:rsidR="00847872" w:rsidRPr="00847872">
        <w:rPr>
          <w:rFonts w:ascii="Arial" w:hAnsi="Arial" w:cs="Arial"/>
          <w:sz w:val="22"/>
          <w:szCs w:val="22"/>
        </w:rPr>
        <w:t xml:space="preserve"> </w:t>
      </w:r>
      <w:r w:rsidR="00847872">
        <w:rPr>
          <w:rFonts w:ascii="Arial" w:hAnsi="Arial" w:cs="Arial"/>
          <w:sz w:val="22"/>
          <w:szCs w:val="22"/>
        </w:rPr>
        <w:t xml:space="preserve">operačního programu </w:t>
      </w:r>
      <w:r w:rsidR="00847872" w:rsidRPr="00DD0B51">
        <w:rPr>
          <w:rFonts w:ascii="Arial" w:hAnsi="Arial" w:cs="Arial"/>
          <w:i/>
          <w:sz w:val="22"/>
          <w:szCs w:val="22"/>
        </w:rPr>
        <w:t>Vzdělávání pro</w:t>
      </w:r>
      <w:r w:rsidR="00847872">
        <w:rPr>
          <w:rFonts w:ascii="Arial" w:hAnsi="Arial" w:cs="Arial"/>
          <w:sz w:val="22"/>
          <w:szCs w:val="22"/>
        </w:rPr>
        <w:t xml:space="preserve"> </w:t>
      </w:r>
      <w:r w:rsidR="00847872" w:rsidRPr="00DD0B51">
        <w:rPr>
          <w:rFonts w:ascii="Arial" w:hAnsi="Arial" w:cs="Arial"/>
          <w:i/>
          <w:sz w:val="22"/>
          <w:szCs w:val="22"/>
        </w:rPr>
        <w:t>konkurenceschopnost</w:t>
      </w:r>
      <w:r w:rsidR="00847872">
        <w:rPr>
          <w:rFonts w:ascii="Arial" w:hAnsi="Arial" w:cs="Arial"/>
          <w:sz w:val="22"/>
          <w:szCs w:val="22"/>
        </w:rPr>
        <w:t xml:space="preserve"> a operačního programu </w:t>
      </w:r>
      <w:r w:rsidR="00847872" w:rsidRPr="00DD0B51">
        <w:rPr>
          <w:rFonts w:ascii="Arial" w:hAnsi="Arial" w:cs="Arial"/>
          <w:i/>
          <w:sz w:val="22"/>
          <w:szCs w:val="22"/>
        </w:rPr>
        <w:t>Výzkum a vývoj pro inovace</w:t>
      </w:r>
      <w:r w:rsidRPr="00E92017">
        <w:rPr>
          <w:rFonts w:ascii="Arial" w:hAnsi="Arial" w:cs="Arial"/>
          <w:sz w:val="22"/>
          <w:szCs w:val="22"/>
        </w:rPr>
        <w:t xml:space="preserve"> jsou zahraničním transferem podle ČÚS č. 703. K</w:t>
      </w:r>
      <w:r w:rsidR="002B51EB">
        <w:rPr>
          <w:rFonts w:ascii="Arial" w:hAnsi="Arial" w:cs="Arial"/>
          <w:sz w:val="22"/>
          <w:szCs w:val="22"/>
        </w:rPr>
        <w:t> </w:t>
      </w:r>
      <w:r w:rsidRPr="00E92017">
        <w:rPr>
          <w:rFonts w:ascii="Arial" w:hAnsi="Arial" w:cs="Arial"/>
          <w:sz w:val="22"/>
          <w:szCs w:val="22"/>
        </w:rPr>
        <w:t>tomu je však třeba uvést, že termín „zahraniční transfer“ je ve smyslu uvedeného standardu nejasný a umožňuje více výkladů. Není jednoznačné, zda lze prostředky operačních programů na MŠMT za zahraniční transfer považovat</w:t>
      </w:r>
      <w:r w:rsidRPr="00E92017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Pr="00E92017">
        <w:rPr>
          <w:rFonts w:ascii="Arial" w:hAnsi="Arial" w:cs="Arial"/>
          <w:sz w:val="22"/>
          <w:szCs w:val="22"/>
        </w:rPr>
        <w:t>, a zda je tedy MŠMT oprávněno účtovat jako zprostředkovatel zahraničního transferu.</w:t>
      </w:r>
      <w:r w:rsidR="00043643">
        <w:rPr>
          <w:rFonts w:ascii="Arial" w:hAnsi="Arial" w:cs="Arial"/>
          <w:sz w:val="22"/>
          <w:szCs w:val="22"/>
        </w:rPr>
        <w:t xml:space="preserve"> </w:t>
      </w:r>
      <w:r w:rsidRPr="00E92017">
        <w:rPr>
          <w:rFonts w:ascii="Arial" w:hAnsi="Arial" w:cs="Arial"/>
          <w:sz w:val="22"/>
          <w:szCs w:val="22"/>
        </w:rPr>
        <w:t xml:space="preserve">Přístup MŠMT </w:t>
      </w:r>
      <w:r w:rsidR="00765F23">
        <w:rPr>
          <w:rFonts w:ascii="Arial" w:hAnsi="Arial" w:cs="Arial"/>
          <w:sz w:val="22"/>
          <w:szCs w:val="22"/>
        </w:rPr>
        <w:t>k </w:t>
      </w:r>
      <w:r w:rsidRPr="00E92017">
        <w:rPr>
          <w:rFonts w:ascii="Arial" w:hAnsi="Arial" w:cs="Arial"/>
          <w:sz w:val="22"/>
          <w:szCs w:val="22"/>
        </w:rPr>
        <w:t>účtování o</w:t>
      </w:r>
      <w:r w:rsidR="00596872">
        <w:rPr>
          <w:rFonts w:ascii="Arial" w:hAnsi="Arial" w:cs="Arial"/>
          <w:sz w:val="22"/>
          <w:szCs w:val="22"/>
        </w:rPr>
        <w:t> </w:t>
      </w:r>
      <w:r w:rsidRPr="00E92017">
        <w:rPr>
          <w:rFonts w:ascii="Arial" w:hAnsi="Arial" w:cs="Arial"/>
          <w:sz w:val="22"/>
          <w:szCs w:val="22"/>
        </w:rPr>
        <w:t xml:space="preserve">předfinancování </w:t>
      </w:r>
      <w:r w:rsidR="00847872">
        <w:rPr>
          <w:rFonts w:ascii="Arial" w:hAnsi="Arial" w:cs="Arial"/>
          <w:sz w:val="22"/>
          <w:szCs w:val="22"/>
        </w:rPr>
        <w:t xml:space="preserve">ze státního rozpočtu </w:t>
      </w:r>
      <w:r w:rsidR="00765F23">
        <w:rPr>
          <w:rFonts w:ascii="Arial" w:hAnsi="Arial" w:cs="Arial"/>
          <w:sz w:val="22"/>
          <w:szCs w:val="22"/>
        </w:rPr>
        <w:t>v </w:t>
      </w:r>
      <w:r w:rsidR="00847872">
        <w:rPr>
          <w:rFonts w:ascii="Arial" w:hAnsi="Arial" w:cs="Arial"/>
          <w:sz w:val="22"/>
          <w:szCs w:val="22"/>
        </w:rPr>
        <w:t>rámci</w:t>
      </w:r>
      <w:r w:rsidRPr="00E92017">
        <w:rPr>
          <w:rFonts w:ascii="Arial" w:hAnsi="Arial" w:cs="Arial"/>
          <w:sz w:val="22"/>
          <w:szCs w:val="22"/>
        </w:rPr>
        <w:t xml:space="preserve"> </w:t>
      </w:r>
      <w:r w:rsidR="00847872">
        <w:rPr>
          <w:rFonts w:ascii="Arial" w:hAnsi="Arial" w:cs="Arial"/>
          <w:sz w:val="22"/>
          <w:szCs w:val="22"/>
        </w:rPr>
        <w:t xml:space="preserve">operačního programu </w:t>
      </w:r>
      <w:r w:rsidR="00847872" w:rsidRPr="00DD0B51">
        <w:rPr>
          <w:rFonts w:ascii="Arial" w:hAnsi="Arial" w:cs="Arial"/>
          <w:i/>
          <w:sz w:val="22"/>
          <w:szCs w:val="22"/>
        </w:rPr>
        <w:t>Vzdělávání pro</w:t>
      </w:r>
      <w:r w:rsidR="00847872">
        <w:rPr>
          <w:rFonts w:ascii="Arial" w:hAnsi="Arial" w:cs="Arial"/>
          <w:sz w:val="22"/>
          <w:szCs w:val="22"/>
        </w:rPr>
        <w:t xml:space="preserve"> </w:t>
      </w:r>
      <w:r w:rsidR="00847872" w:rsidRPr="00DD0B51">
        <w:rPr>
          <w:rFonts w:ascii="Arial" w:hAnsi="Arial" w:cs="Arial"/>
          <w:i/>
          <w:sz w:val="22"/>
          <w:szCs w:val="22"/>
        </w:rPr>
        <w:t>konkurenceschopnost</w:t>
      </w:r>
      <w:r w:rsidR="00847872">
        <w:rPr>
          <w:rFonts w:ascii="Arial" w:hAnsi="Arial" w:cs="Arial"/>
          <w:sz w:val="22"/>
          <w:szCs w:val="22"/>
        </w:rPr>
        <w:t xml:space="preserve"> a operačního programu </w:t>
      </w:r>
      <w:r w:rsidR="00847872" w:rsidRPr="00DD0B51">
        <w:rPr>
          <w:rFonts w:ascii="Arial" w:hAnsi="Arial" w:cs="Arial"/>
          <w:i/>
          <w:sz w:val="22"/>
          <w:szCs w:val="22"/>
        </w:rPr>
        <w:t>Výzkum a vývoj pro inovace</w:t>
      </w:r>
      <w:r w:rsidR="00847872" w:rsidRPr="00B65B01">
        <w:rPr>
          <w:rFonts w:ascii="Arial" w:hAnsi="Arial" w:cs="Arial"/>
          <w:sz w:val="22"/>
          <w:szCs w:val="22"/>
        </w:rPr>
        <w:t xml:space="preserve"> </w:t>
      </w:r>
      <w:r w:rsidRPr="00E92017">
        <w:rPr>
          <w:rFonts w:ascii="Arial" w:hAnsi="Arial" w:cs="Arial"/>
          <w:sz w:val="22"/>
          <w:szCs w:val="22"/>
        </w:rPr>
        <w:t xml:space="preserve">je sice promyšleně nastaven </w:t>
      </w:r>
      <w:r w:rsidR="00765F23">
        <w:rPr>
          <w:rFonts w:ascii="Arial" w:hAnsi="Arial" w:cs="Arial"/>
          <w:sz w:val="22"/>
          <w:szCs w:val="22"/>
        </w:rPr>
        <w:t>s </w:t>
      </w:r>
      <w:r w:rsidRPr="00E92017">
        <w:rPr>
          <w:rFonts w:ascii="Arial" w:hAnsi="Arial" w:cs="Arial"/>
          <w:sz w:val="22"/>
          <w:szCs w:val="22"/>
        </w:rPr>
        <w:t xml:space="preserve">ohledem na výkladově možné pojetí zprostředkovatele zahraničního transferu, </w:t>
      </w:r>
      <w:r w:rsidR="00765F23">
        <w:rPr>
          <w:rFonts w:ascii="Arial" w:hAnsi="Arial" w:cs="Arial"/>
          <w:sz w:val="22"/>
          <w:szCs w:val="22"/>
        </w:rPr>
        <w:t>z </w:t>
      </w:r>
      <w:r w:rsidRPr="00E92017">
        <w:rPr>
          <w:rFonts w:ascii="Arial" w:hAnsi="Arial" w:cs="Arial"/>
          <w:sz w:val="22"/>
          <w:szCs w:val="22"/>
        </w:rPr>
        <w:t xml:space="preserve">ČÚS č. 703 však lze vyvozovat i jiné přijatelné výklady. </w:t>
      </w:r>
      <w:r w:rsidR="00EB7D76">
        <w:rPr>
          <w:rFonts w:ascii="Arial" w:hAnsi="Arial" w:cs="Arial"/>
          <w:sz w:val="22"/>
          <w:szCs w:val="22"/>
        </w:rPr>
        <w:t>Správnost p</w:t>
      </w:r>
      <w:r w:rsidRPr="00E92017">
        <w:rPr>
          <w:rFonts w:ascii="Arial" w:hAnsi="Arial" w:cs="Arial"/>
          <w:sz w:val="22"/>
          <w:szCs w:val="22"/>
        </w:rPr>
        <w:t>ostup</w:t>
      </w:r>
      <w:r w:rsidR="00EB7D76">
        <w:rPr>
          <w:rFonts w:ascii="Arial" w:hAnsi="Arial" w:cs="Arial"/>
          <w:sz w:val="22"/>
          <w:szCs w:val="22"/>
        </w:rPr>
        <w:t>ů</w:t>
      </w:r>
      <w:r w:rsidRPr="00E92017">
        <w:rPr>
          <w:rFonts w:ascii="Arial" w:hAnsi="Arial" w:cs="Arial"/>
          <w:sz w:val="22"/>
          <w:szCs w:val="22"/>
        </w:rPr>
        <w:t xml:space="preserve"> účtování zvolen</w:t>
      </w:r>
      <w:r w:rsidR="00EB7D76">
        <w:rPr>
          <w:rFonts w:ascii="Arial" w:hAnsi="Arial" w:cs="Arial"/>
          <w:sz w:val="22"/>
          <w:szCs w:val="22"/>
        </w:rPr>
        <w:t>ých</w:t>
      </w:r>
      <w:r w:rsidRPr="00E92017">
        <w:rPr>
          <w:rFonts w:ascii="Arial" w:hAnsi="Arial" w:cs="Arial"/>
          <w:sz w:val="22"/>
          <w:szCs w:val="22"/>
        </w:rPr>
        <w:t xml:space="preserve"> MŠMT tak nelze ze strany NKÚ jednoznačně </w:t>
      </w:r>
      <w:r w:rsidR="00EB7D76">
        <w:rPr>
          <w:rFonts w:ascii="Arial" w:hAnsi="Arial" w:cs="Arial"/>
          <w:sz w:val="22"/>
          <w:szCs w:val="22"/>
        </w:rPr>
        <w:t xml:space="preserve">posoudit </w:t>
      </w:r>
      <w:r w:rsidR="00AD42D0">
        <w:rPr>
          <w:rFonts w:ascii="Arial" w:hAnsi="Arial" w:cs="Arial"/>
          <w:sz w:val="22"/>
          <w:szCs w:val="22"/>
        </w:rPr>
        <w:t>ve vztahu k </w:t>
      </w:r>
      <w:r w:rsidRPr="00E92017">
        <w:rPr>
          <w:rFonts w:ascii="Arial" w:hAnsi="Arial" w:cs="Arial"/>
          <w:sz w:val="22"/>
          <w:szCs w:val="22"/>
        </w:rPr>
        <w:t>ustanovení</w:t>
      </w:r>
      <w:r w:rsidR="00AD42D0">
        <w:rPr>
          <w:rFonts w:ascii="Arial" w:hAnsi="Arial" w:cs="Arial"/>
          <w:sz w:val="22"/>
          <w:szCs w:val="22"/>
        </w:rPr>
        <w:t>m</w:t>
      </w:r>
      <w:r w:rsidRPr="00E92017">
        <w:rPr>
          <w:rFonts w:ascii="Arial" w:hAnsi="Arial" w:cs="Arial"/>
          <w:sz w:val="22"/>
          <w:szCs w:val="22"/>
        </w:rPr>
        <w:t xml:space="preserve"> </w:t>
      </w:r>
      <w:r w:rsidR="00AD42D0">
        <w:rPr>
          <w:rFonts w:ascii="Arial" w:hAnsi="Arial" w:cs="Arial"/>
          <w:sz w:val="22"/>
          <w:szCs w:val="22"/>
        </w:rPr>
        <w:t xml:space="preserve">účetních </w:t>
      </w:r>
      <w:r w:rsidRPr="00E92017">
        <w:rPr>
          <w:rFonts w:ascii="Arial" w:hAnsi="Arial" w:cs="Arial"/>
          <w:sz w:val="22"/>
          <w:szCs w:val="22"/>
        </w:rPr>
        <w:t xml:space="preserve">předpisů, a proto </w:t>
      </w:r>
      <w:r w:rsidR="00EB7D76">
        <w:rPr>
          <w:rFonts w:ascii="Arial" w:hAnsi="Arial" w:cs="Arial"/>
          <w:sz w:val="22"/>
          <w:szCs w:val="22"/>
        </w:rPr>
        <w:t xml:space="preserve">NKÚ </w:t>
      </w:r>
      <w:r w:rsidRPr="00E92017">
        <w:rPr>
          <w:rFonts w:ascii="Arial" w:hAnsi="Arial" w:cs="Arial"/>
          <w:sz w:val="22"/>
          <w:szCs w:val="22"/>
        </w:rPr>
        <w:t xml:space="preserve">ani </w:t>
      </w:r>
      <w:r w:rsidR="00847872">
        <w:rPr>
          <w:rFonts w:ascii="Arial" w:hAnsi="Arial" w:cs="Arial"/>
          <w:sz w:val="22"/>
          <w:szCs w:val="22"/>
        </w:rPr>
        <w:t>nehodnotí</w:t>
      </w:r>
      <w:r w:rsidRPr="00E92017">
        <w:rPr>
          <w:rFonts w:ascii="Arial" w:hAnsi="Arial" w:cs="Arial"/>
          <w:sz w:val="22"/>
          <w:szCs w:val="22"/>
        </w:rPr>
        <w:t xml:space="preserve"> správnost</w:t>
      </w:r>
      <w:r w:rsidR="00847872">
        <w:rPr>
          <w:rFonts w:ascii="Arial" w:hAnsi="Arial" w:cs="Arial"/>
          <w:sz w:val="22"/>
          <w:szCs w:val="22"/>
        </w:rPr>
        <w:t xml:space="preserve"> těchto</w:t>
      </w:r>
      <w:r w:rsidRPr="00E92017">
        <w:rPr>
          <w:rFonts w:ascii="Arial" w:hAnsi="Arial" w:cs="Arial"/>
          <w:sz w:val="22"/>
          <w:szCs w:val="22"/>
        </w:rPr>
        <w:t xml:space="preserve"> vykázaných údajů.</w:t>
      </w:r>
    </w:p>
    <w:p w:rsidR="006805B5" w:rsidRPr="0015047E" w:rsidRDefault="006805B5" w:rsidP="00E379CA">
      <w:pPr>
        <w:jc w:val="both"/>
        <w:rPr>
          <w:rFonts w:ascii="Arial" w:hAnsi="Arial" w:cs="Arial"/>
          <w:bCs/>
          <w:iCs/>
          <w:sz w:val="22"/>
          <w:szCs w:val="22"/>
          <w:highlight w:val="green"/>
        </w:rPr>
      </w:pPr>
    </w:p>
    <w:p w:rsidR="00E92017" w:rsidRPr="000C31DE" w:rsidRDefault="00765F23" w:rsidP="00E92017">
      <w:pPr>
        <w:jc w:val="both"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  <w:lang w:eastAsia="hi-IN" w:bidi="hi-IN"/>
        </w:rPr>
        <w:t>Z </w:t>
      </w:r>
      <w:r w:rsidR="00E92017" w:rsidRPr="000C31DE">
        <w:rPr>
          <w:rFonts w:ascii="Arial" w:hAnsi="Arial" w:cs="Arial"/>
          <w:sz w:val="22"/>
          <w:szCs w:val="22"/>
          <w:lang w:eastAsia="hi-IN" w:bidi="hi-IN"/>
        </w:rPr>
        <w:t>uvedených dův</w:t>
      </w:r>
      <w:r w:rsidR="000C31DE" w:rsidRPr="000C31DE">
        <w:rPr>
          <w:rFonts w:ascii="Arial" w:hAnsi="Arial" w:cs="Arial"/>
          <w:sz w:val="22"/>
          <w:szCs w:val="22"/>
          <w:lang w:eastAsia="hi-IN" w:bidi="hi-IN"/>
        </w:rPr>
        <w:t>odů se NKÚ</w:t>
      </w:r>
      <w:r w:rsidR="00E92017" w:rsidRPr="000C31DE">
        <w:rPr>
          <w:rFonts w:ascii="Arial" w:hAnsi="Arial" w:cs="Arial"/>
          <w:sz w:val="22"/>
          <w:szCs w:val="22"/>
          <w:lang w:eastAsia="hi-IN" w:bidi="hi-IN"/>
        </w:rPr>
        <w:t xml:space="preserve"> nevyjadřuje ke správnosti účtování a vykazování některých položek ÚZ, které souvisejí </w:t>
      </w:r>
      <w:r>
        <w:rPr>
          <w:rFonts w:ascii="Arial" w:hAnsi="Arial" w:cs="Arial"/>
          <w:sz w:val="22"/>
          <w:szCs w:val="22"/>
          <w:lang w:eastAsia="hi-IN" w:bidi="hi-IN"/>
        </w:rPr>
        <w:t>s </w:t>
      </w:r>
      <w:r w:rsidR="00E92017" w:rsidRPr="000C31DE">
        <w:rPr>
          <w:rFonts w:ascii="Arial" w:hAnsi="Arial" w:cs="Arial"/>
          <w:sz w:val="22"/>
          <w:szCs w:val="22"/>
          <w:lang w:eastAsia="hi-IN" w:bidi="hi-IN"/>
        </w:rPr>
        <w:t xml:space="preserve">prostředky určenými </w:t>
      </w:r>
      <w:r>
        <w:rPr>
          <w:rFonts w:ascii="Arial" w:hAnsi="Arial" w:cs="Arial"/>
          <w:sz w:val="22"/>
          <w:szCs w:val="22"/>
          <w:lang w:eastAsia="hi-IN" w:bidi="hi-IN"/>
        </w:rPr>
        <w:t>k </w:t>
      </w:r>
      <w:r w:rsidR="00E92017" w:rsidRPr="000C31DE">
        <w:rPr>
          <w:rFonts w:ascii="Arial" w:hAnsi="Arial" w:cs="Arial"/>
          <w:sz w:val="22"/>
          <w:szCs w:val="22"/>
          <w:lang w:eastAsia="hi-IN" w:bidi="hi-IN"/>
        </w:rPr>
        <w:t xml:space="preserve">refundaci </w:t>
      </w:r>
      <w:r>
        <w:rPr>
          <w:rFonts w:ascii="Arial" w:hAnsi="Arial" w:cs="Arial"/>
          <w:sz w:val="22"/>
          <w:szCs w:val="22"/>
          <w:lang w:eastAsia="hi-IN" w:bidi="hi-IN"/>
        </w:rPr>
        <w:t>z </w:t>
      </w:r>
      <w:r w:rsidR="00E92017" w:rsidRPr="000C31DE">
        <w:rPr>
          <w:rFonts w:ascii="Arial" w:hAnsi="Arial" w:cs="Arial"/>
          <w:sz w:val="22"/>
          <w:szCs w:val="22"/>
          <w:lang w:eastAsia="hi-IN" w:bidi="hi-IN"/>
        </w:rPr>
        <w:t xml:space="preserve">Národního fondu </w:t>
      </w:r>
      <w:r w:rsidR="00847872">
        <w:rPr>
          <w:rFonts w:ascii="Arial" w:hAnsi="Arial" w:cs="Arial"/>
          <w:sz w:val="22"/>
          <w:szCs w:val="22"/>
        </w:rPr>
        <w:t>u</w:t>
      </w:r>
      <w:r w:rsidR="002B51EB">
        <w:rPr>
          <w:rFonts w:ascii="Arial" w:hAnsi="Arial" w:cs="Arial"/>
          <w:sz w:val="22"/>
          <w:szCs w:val="22"/>
        </w:rPr>
        <w:t> </w:t>
      </w:r>
      <w:r w:rsidR="00847872">
        <w:rPr>
          <w:rFonts w:ascii="Arial" w:hAnsi="Arial" w:cs="Arial"/>
          <w:sz w:val="22"/>
          <w:szCs w:val="22"/>
        </w:rPr>
        <w:t xml:space="preserve">operačního programu </w:t>
      </w:r>
      <w:r w:rsidR="00847872" w:rsidRPr="00DD0B51">
        <w:rPr>
          <w:rFonts w:ascii="Arial" w:hAnsi="Arial" w:cs="Arial"/>
          <w:i/>
          <w:sz w:val="22"/>
          <w:szCs w:val="22"/>
        </w:rPr>
        <w:t>Vzdělávání pro</w:t>
      </w:r>
      <w:r w:rsidR="00847872">
        <w:rPr>
          <w:rFonts w:ascii="Arial" w:hAnsi="Arial" w:cs="Arial"/>
          <w:sz w:val="22"/>
          <w:szCs w:val="22"/>
        </w:rPr>
        <w:t xml:space="preserve"> </w:t>
      </w:r>
      <w:r w:rsidR="00847872" w:rsidRPr="00DD0B51">
        <w:rPr>
          <w:rFonts w:ascii="Arial" w:hAnsi="Arial" w:cs="Arial"/>
          <w:i/>
          <w:sz w:val="22"/>
          <w:szCs w:val="22"/>
        </w:rPr>
        <w:t>konkurenceschopnost</w:t>
      </w:r>
      <w:r w:rsidR="00847872">
        <w:rPr>
          <w:rFonts w:ascii="Arial" w:hAnsi="Arial" w:cs="Arial"/>
          <w:sz w:val="22"/>
          <w:szCs w:val="22"/>
        </w:rPr>
        <w:t xml:space="preserve"> a operačního programu </w:t>
      </w:r>
      <w:r w:rsidR="00847872" w:rsidRPr="00DD0B51">
        <w:rPr>
          <w:rFonts w:ascii="Arial" w:hAnsi="Arial" w:cs="Arial"/>
          <w:i/>
          <w:sz w:val="22"/>
          <w:szCs w:val="22"/>
        </w:rPr>
        <w:t>Výzkum a vývoj pro inovace</w:t>
      </w:r>
      <w:r w:rsidR="00E92017" w:rsidRPr="000C31DE">
        <w:rPr>
          <w:rFonts w:ascii="Arial" w:hAnsi="Arial" w:cs="Arial"/>
          <w:sz w:val="22"/>
          <w:szCs w:val="22"/>
          <w:lang w:eastAsia="hi-IN" w:bidi="hi-IN"/>
        </w:rPr>
        <w:t xml:space="preserve"> </w:t>
      </w:r>
      <w:r w:rsidR="00AD42D0">
        <w:rPr>
          <w:rFonts w:ascii="Arial" w:hAnsi="Arial" w:cs="Arial"/>
          <w:sz w:val="22"/>
          <w:szCs w:val="22"/>
          <w:lang w:eastAsia="hi-IN" w:bidi="hi-IN"/>
        </w:rPr>
        <w:t xml:space="preserve">a které jsou </w:t>
      </w:r>
      <w:r w:rsidR="00E92017" w:rsidRPr="000C31DE">
        <w:rPr>
          <w:rFonts w:ascii="Arial" w:hAnsi="Arial" w:cs="Arial"/>
          <w:sz w:val="22"/>
          <w:szCs w:val="22"/>
          <w:lang w:eastAsia="hi-IN" w:bidi="hi-IN"/>
        </w:rPr>
        <w:t>vykáz</w:t>
      </w:r>
      <w:r w:rsidR="00AD42D0">
        <w:rPr>
          <w:rFonts w:ascii="Arial" w:hAnsi="Arial" w:cs="Arial"/>
          <w:sz w:val="22"/>
          <w:szCs w:val="22"/>
          <w:lang w:eastAsia="hi-IN" w:bidi="hi-IN"/>
        </w:rPr>
        <w:t>ány</w:t>
      </w:r>
      <w:r w:rsidR="00E92017" w:rsidRPr="000C31DE">
        <w:rPr>
          <w:rFonts w:ascii="Arial" w:hAnsi="Arial" w:cs="Arial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sz w:val="22"/>
          <w:szCs w:val="22"/>
          <w:lang w:eastAsia="hi-IN" w:bidi="hi-IN"/>
        </w:rPr>
        <w:t>v </w:t>
      </w:r>
      <w:r w:rsidR="00E92017" w:rsidRPr="000C31DE">
        <w:rPr>
          <w:rFonts w:ascii="Arial" w:hAnsi="Arial" w:cs="Arial"/>
          <w:sz w:val="22"/>
          <w:szCs w:val="22"/>
          <w:lang w:eastAsia="hi-IN" w:bidi="hi-IN"/>
        </w:rPr>
        <w:t xml:space="preserve">rozvaze nebo výkazu zisku a ztráty </w:t>
      </w:r>
      <w:r>
        <w:rPr>
          <w:rFonts w:ascii="Arial" w:hAnsi="Arial" w:cs="Arial"/>
          <w:sz w:val="22"/>
          <w:szCs w:val="22"/>
          <w:lang w:eastAsia="hi-IN" w:bidi="hi-IN"/>
        </w:rPr>
        <w:t>v </w:t>
      </w:r>
      <w:r w:rsidR="00E92017" w:rsidRPr="000C31DE">
        <w:rPr>
          <w:rFonts w:ascii="Arial" w:hAnsi="Arial" w:cs="Arial"/>
          <w:sz w:val="22"/>
          <w:szCs w:val="22"/>
          <w:lang w:eastAsia="hi-IN" w:bidi="hi-IN"/>
        </w:rPr>
        <w:t>údajích za běžné účetní období. Jedná se o následující případy:</w:t>
      </w:r>
    </w:p>
    <w:p w:rsidR="00E92017" w:rsidRPr="000C31DE" w:rsidRDefault="00E92017" w:rsidP="000C31DE">
      <w:pPr>
        <w:pStyle w:val="Odstavecseseznamem"/>
        <w:numPr>
          <w:ilvl w:val="0"/>
          <w:numId w:val="10"/>
        </w:numPr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C31DE">
        <w:rPr>
          <w:rFonts w:ascii="Arial" w:hAnsi="Arial" w:cs="Arial"/>
          <w:sz w:val="22"/>
          <w:szCs w:val="22"/>
        </w:rPr>
        <w:t>V případě částky 123 293 885 659,95 Kč vykázané jako krátkodobé závazky na účtu 389</w:t>
      </w:r>
      <w:r w:rsidR="00AD42D0">
        <w:rPr>
          <w:rFonts w:ascii="Arial" w:hAnsi="Arial" w:cs="Arial"/>
          <w:sz w:val="22"/>
          <w:szCs w:val="22"/>
        </w:rPr>
        <w:t> </w:t>
      </w:r>
      <w:r w:rsidRPr="000C31DE">
        <w:rPr>
          <w:rFonts w:ascii="Arial" w:hAnsi="Arial" w:cs="Arial"/>
          <w:sz w:val="22"/>
          <w:szCs w:val="22"/>
        </w:rPr>
        <w:t xml:space="preserve">– </w:t>
      </w:r>
      <w:r w:rsidRPr="000C31DE">
        <w:rPr>
          <w:rFonts w:ascii="Arial" w:hAnsi="Arial" w:cs="Arial"/>
          <w:i/>
          <w:sz w:val="22"/>
          <w:szCs w:val="22"/>
        </w:rPr>
        <w:t>Dohadné účty pasivní</w:t>
      </w:r>
      <w:r w:rsidRPr="000C31DE">
        <w:rPr>
          <w:rFonts w:ascii="Arial" w:hAnsi="Arial" w:cs="Arial"/>
          <w:sz w:val="22"/>
          <w:szCs w:val="22"/>
        </w:rPr>
        <w:t xml:space="preserve"> se </w:t>
      </w:r>
      <w:r w:rsidR="000C31DE">
        <w:rPr>
          <w:rFonts w:ascii="Arial" w:hAnsi="Arial" w:cs="Arial"/>
          <w:sz w:val="22"/>
          <w:szCs w:val="22"/>
        </w:rPr>
        <w:t>NKÚ</w:t>
      </w:r>
      <w:r w:rsidRPr="000C31DE">
        <w:rPr>
          <w:rFonts w:ascii="Arial" w:hAnsi="Arial" w:cs="Arial"/>
          <w:sz w:val="22"/>
          <w:szCs w:val="22"/>
        </w:rPr>
        <w:t xml:space="preserve"> nevyjadřuje </w:t>
      </w:r>
      <w:r w:rsidR="00765F23">
        <w:rPr>
          <w:rFonts w:ascii="Arial" w:hAnsi="Arial" w:cs="Arial"/>
          <w:sz w:val="22"/>
          <w:szCs w:val="22"/>
        </w:rPr>
        <w:t>k </w:t>
      </w:r>
      <w:r w:rsidRPr="000C31DE">
        <w:rPr>
          <w:rFonts w:ascii="Arial" w:hAnsi="Arial" w:cs="Arial"/>
          <w:sz w:val="22"/>
          <w:szCs w:val="22"/>
        </w:rPr>
        <w:t>tomu, zda zůstatek tohoto účtu není podhodnocen o 49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Pr="000C31DE">
        <w:rPr>
          <w:rFonts w:ascii="Arial" w:hAnsi="Arial" w:cs="Arial"/>
          <w:sz w:val="22"/>
          <w:szCs w:val="22"/>
        </w:rPr>
        <w:t>442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Pr="000C31DE">
        <w:rPr>
          <w:rFonts w:ascii="Arial" w:hAnsi="Arial" w:cs="Arial"/>
          <w:sz w:val="22"/>
          <w:szCs w:val="22"/>
        </w:rPr>
        <w:t>689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Pr="000C31DE">
        <w:rPr>
          <w:rFonts w:ascii="Arial" w:hAnsi="Arial" w:cs="Arial"/>
          <w:sz w:val="22"/>
          <w:szCs w:val="22"/>
        </w:rPr>
        <w:t>806,64 Kč</w:t>
      </w:r>
      <w:r w:rsidRPr="000C31DE">
        <w:rPr>
          <w:rFonts w:ascii="Arial" w:hAnsi="Arial"/>
          <w:sz w:val="22"/>
          <w:szCs w:val="22"/>
          <w:vertAlign w:val="superscript"/>
        </w:rPr>
        <w:footnoteReference w:id="8"/>
      </w:r>
      <w:r w:rsidRPr="000C31DE">
        <w:rPr>
          <w:rFonts w:ascii="Arial" w:hAnsi="Arial" w:cs="Arial"/>
          <w:sz w:val="22"/>
          <w:szCs w:val="22"/>
        </w:rPr>
        <w:t>.</w:t>
      </w:r>
    </w:p>
    <w:p w:rsidR="00E92017" w:rsidRPr="000C31DE" w:rsidRDefault="00E92017" w:rsidP="000C31DE">
      <w:pPr>
        <w:pStyle w:val="Odstavecseseznamem"/>
        <w:numPr>
          <w:ilvl w:val="0"/>
          <w:numId w:val="10"/>
        </w:numPr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C31DE">
        <w:rPr>
          <w:rFonts w:ascii="Arial" w:hAnsi="Arial" w:cs="Arial"/>
          <w:sz w:val="22"/>
          <w:szCs w:val="22"/>
        </w:rPr>
        <w:t xml:space="preserve">V případě částky 34 213 526 005,50 Kč vykázané jako pohledávky na účtu </w:t>
      </w:r>
      <w:r w:rsidR="007E0A4B">
        <w:rPr>
          <w:rFonts w:ascii="Arial" w:hAnsi="Arial" w:cs="Arial"/>
          <w:sz w:val="22"/>
          <w:szCs w:val="22"/>
        </w:rPr>
        <w:br/>
      </w:r>
      <w:r w:rsidRPr="000C31DE">
        <w:rPr>
          <w:rFonts w:ascii="Arial" w:hAnsi="Arial" w:cs="Arial"/>
          <w:sz w:val="22"/>
          <w:szCs w:val="22"/>
        </w:rPr>
        <w:t>471</w:t>
      </w:r>
      <w:r w:rsidR="007E0A4B">
        <w:rPr>
          <w:rFonts w:ascii="Arial" w:hAnsi="Arial" w:cs="Arial"/>
          <w:sz w:val="22"/>
          <w:szCs w:val="22"/>
        </w:rPr>
        <w:t> </w:t>
      </w:r>
      <w:r w:rsidRPr="000C31DE">
        <w:rPr>
          <w:rFonts w:ascii="Arial" w:hAnsi="Arial" w:cs="Arial"/>
          <w:sz w:val="22"/>
          <w:szCs w:val="22"/>
        </w:rPr>
        <w:t xml:space="preserve">– </w:t>
      </w:r>
      <w:r w:rsidRPr="000C31DE">
        <w:rPr>
          <w:rFonts w:ascii="Arial" w:hAnsi="Arial" w:cs="Arial"/>
          <w:i/>
          <w:sz w:val="22"/>
          <w:szCs w:val="22"/>
        </w:rPr>
        <w:t>Dlouhodobé poskytnuté zálohy na transfery</w:t>
      </w:r>
      <w:r w:rsidR="003860F0">
        <w:rPr>
          <w:rFonts w:ascii="Arial" w:hAnsi="Arial" w:cs="Arial"/>
          <w:sz w:val="22"/>
          <w:szCs w:val="22"/>
        </w:rPr>
        <w:t xml:space="preserve"> se NKÚ</w:t>
      </w:r>
      <w:r w:rsidRPr="000C31DE">
        <w:rPr>
          <w:rFonts w:ascii="Arial" w:hAnsi="Arial" w:cs="Arial"/>
          <w:sz w:val="22"/>
          <w:szCs w:val="22"/>
        </w:rPr>
        <w:t xml:space="preserve"> nevyjadřuje </w:t>
      </w:r>
      <w:r w:rsidR="00765F23">
        <w:rPr>
          <w:rFonts w:ascii="Arial" w:hAnsi="Arial" w:cs="Arial"/>
          <w:sz w:val="22"/>
          <w:szCs w:val="22"/>
        </w:rPr>
        <w:t>k </w:t>
      </w:r>
      <w:r w:rsidRPr="000C31DE">
        <w:rPr>
          <w:rFonts w:ascii="Arial" w:hAnsi="Arial" w:cs="Arial"/>
          <w:sz w:val="22"/>
          <w:szCs w:val="22"/>
        </w:rPr>
        <w:t>tomu, zda zůstatek tohoto účtu není podhodnocen o 11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Pr="000C31DE">
        <w:rPr>
          <w:rFonts w:ascii="Arial" w:hAnsi="Arial" w:cs="Arial"/>
          <w:sz w:val="22"/>
          <w:szCs w:val="22"/>
        </w:rPr>
        <w:t>472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Pr="000C31DE">
        <w:rPr>
          <w:rFonts w:ascii="Arial" w:hAnsi="Arial" w:cs="Arial"/>
          <w:sz w:val="22"/>
          <w:szCs w:val="22"/>
        </w:rPr>
        <w:t>956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Pr="000C31DE">
        <w:rPr>
          <w:rFonts w:ascii="Arial" w:hAnsi="Arial" w:cs="Arial"/>
          <w:sz w:val="22"/>
          <w:szCs w:val="22"/>
        </w:rPr>
        <w:t>764,05 Kč</w:t>
      </w:r>
      <w:r w:rsidRPr="000C31DE">
        <w:rPr>
          <w:rFonts w:ascii="Arial" w:hAnsi="Arial"/>
          <w:sz w:val="22"/>
          <w:szCs w:val="22"/>
          <w:vertAlign w:val="superscript"/>
        </w:rPr>
        <w:footnoteReference w:id="9"/>
      </w:r>
      <w:r w:rsidRPr="000C31DE">
        <w:rPr>
          <w:rFonts w:ascii="Arial" w:hAnsi="Arial" w:cs="Arial"/>
          <w:sz w:val="22"/>
          <w:szCs w:val="22"/>
        </w:rPr>
        <w:t>.</w:t>
      </w:r>
    </w:p>
    <w:p w:rsidR="00E92017" w:rsidRPr="000C31DE" w:rsidRDefault="00E92017" w:rsidP="000C31DE">
      <w:pPr>
        <w:pStyle w:val="Odstavecseseznamem"/>
        <w:numPr>
          <w:ilvl w:val="0"/>
          <w:numId w:val="10"/>
        </w:numPr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C31DE">
        <w:rPr>
          <w:rFonts w:ascii="Arial" w:hAnsi="Arial" w:cs="Arial"/>
          <w:sz w:val="22"/>
          <w:szCs w:val="22"/>
        </w:rPr>
        <w:t xml:space="preserve">V případě částky ve výši 119 034 698 621,25 Kč vykázané na účtu 571 – </w:t>
      </w:r>
      <w:r w:rsidRPr="000C31DE">
        <w:rPr>
          <w:rFonts w:ascii="Arial" w:hAnsi="Arial" w:cs="Arial"/>
          <w:i/>
          <w:sz w:val="22"/>
          <w:szCs w:val="22"/>
        </w:rPr>
        <w:t>Náklady vybraných ústředních vládních institucí na transfery</w:t>
      </w:r>
      <w:r w:rsidRPr="000C31DE">
        <w:rPr>
          <w:rFonts w:ascii="Arial" w:hAnsi="Arial" w:cs="Arial"/>
          <w:sz w:val="22"/>
          <w:szCs w:val="22"/>
        </w:rPr>
        <w:t xml:space="preserve"> se </w:t>
      </w:r>
      <w:r w:rsidR="003860F0">
        <w:rPr>
          <w:rFonts w:ascii="Arial" w:hAnsi="Arial" w:cs="Arial"/>
          <w:sz w:val="22"/>
          <w:szCs w:val="22"/>
        </w:rPr>
        <w:t>NKÚ</w:t>
      </w:r>
      <w:r w:rsidRPr="000C31DE">
        <w:rPr>
          <w:rFonts w:ascii="Arial" w:hAnsi="Arial" w:cs="Arial"/>
          <w:sz w:val="22"/>
          <w:szCs w:val="22"/>
        </w:rPr>
        <w:t xml:space="preserve"> nevyjadřuje </w:t>
      </w:r>
      <w:r w:rsidR="00765F23">
        <w:rPr>
          <w:rFonts w:ascii="Arial" w:hAnsi="Arial" w:cs="Arial"/>
          <w:sz w:val="22"/>
          <w:szCs w:val="22"/>
        </w:rPr>
        <w:t>k </w:t>
      </w:r>
      <w:r w:rsidRPr="000C31DE">
        <w:rPr>
          <w:rFonts w:ascii="Arial" w:hAnsi="Arial" w:cs="Arial"/>
          <w:sz w:val="22"/>
          <w:szCs w:val="22"/>
        </w:rPr>
        <w:t>tomu, zda zůstatek tohoto účtu není podhodnocen o 17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Pr="000C31DE">
        <w:rPr>
          <w:rFonts w:ascii="Arial" w:hAnsi="Arial" w:cs="Arial"/>
          <w:sz w:val="22"/>
          <w:szCs w:val="22"/>
        </w:rPr>
        <w:t>590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Pr="000C31DE">
        <w:rPr>
          <w:rFonts w:ascii="Arial" w:hAnsi="Arial" w:cs="Arial"/>
          <w:sz w:val="22"/>
          <w:szCs w:val="22"/>
        </w:rPr>
        <w:t>034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Pr="000C31DE">
        <w:rPr>
          <w:rFonts w:ascii="Arial" w:hAnsi="Arial" w:cs="Arial"/>
          <w:sz w:val="22"/>
          <w:szCs w:val="22"/>
        </w:rPr>
        <w:t>447,96 Kč</w:t>
      </w:r>
      <w:r w:rsidRPr="000C31DE">
        <w:rPr>
          <w:rFonts w:ascii="Arial" w:hAnsi="Arial"/>
          <w:sz w:val="22"/>
          <w:szCs w:val="22"/>
          <w:vertAlign w:val="superscript"/>
        </w:rPr>
        <w:footnoteReference w:id="10"/>
      </w:r>
      <w:r w:rsidRPr="000C31DE">
        <w:rPr>
          <w:rFonts w:ascii="Arial" w:hAnsi="Arial" w:cs="Arial"/>
          <w:sz w:val="22"/>
          <w:szCs w:val="22"/>
        </w:rPr>
        <w:t>.</w:t>
      </w:r>
    </w:p>
    <w:p w:rsidR="007E0A4B" w:rsidRDefault="007E0A4B" w:rsidP="00E379CA">
      <w:pPr>
        <w:jc w:val="both"/>
        <w:rPr>
          <w:rFonts w:ascii="Arial" w:hAnsi="Arial" w:cs="Arial"/>
          <w:sz w:val="22"/>
          <w:szCs w:val="22"/>
        </w:rPr>
      </w:pPr>
    </w:p>
    <w:p w:rsidR="000C31DE" w:rsidRPr="000C31DE" w:rsidRDefault="000C31DE" w:rsidP="00E379CA">
      <w:pPr>
        <w:jc w:val="both"/>
        <w:rPr>
          <w:rFonts w:ascii="Arial" w:hAnsi="Arial" w:cs="Arial"/>
          <w:sz w:val="22"/>
          <w:szCs w:val="22"/>
          <w:highlight w:val="green"/>
        </w:rPr>
      </w:pPr>
      <w:r w:rsidRPr="000C31DE">
        <w:rPr>
          <w:rFonts w:ascii="Arial" w:hAnsi="Arial" w:cs="Arial"/>
          <w:sz w:val="22"/>
          <w:szCs w:val="22"/>
        </w:rPr>
        <w:t xml:space="preserve">Účetní pravidla by </w:t>
      </w:r>
      <w:r w:rsidR="00765F23">
        <w:rPr>
          <w:rFonts w:ascii="Arial" w:hAnsi="Arial" w:cs="Arial"/>
          <w:sz w:val="22"/>
          <w:szCs w:val="22"/>
        </w:rPr>
        <w:t>v </w:t>
      </w:r>
      <w:r w:rsidRPr="000C31DE">
        <w:rPr>
          <w:rFonts w:ascii="Arial" w:hAnsi="Arial" w:cs="Arial"/>
          <w:sz w:val="22"/>
          <w:szCs w:val="22"/>
        </w:rPr>
        <w:t>oblasti předfinancování prostředků, které mají být</w:t>
      </w:r>
      <w:r w:rsidR="007C2A9C">
        <w:rPr>
          <w:rFonts w:ascii="Arial" w:hAnsi="Arial" w:cs="Arial"/>
          <w:sz w:val="22"/>
          <w:szCs w:val="22"/>
        </w:rPr>
        <w:t xml:space="preserve"> následně</w:t>
      </w:r>
      <w:r w:rsidRPr="000C31DE">
        <w:rPr>
          <w:rFonts w:ascii="Arial" w:hAnsi="Arial" w:cs="Arial"/>
          <w:sz w:val="22"/>
          <w:szCs w:val="22"/>
        </w:rPr>
        <w:t xml:space="preserve"> kryty prostředky </w:t>
      </w:r>
      <w:r w:rsidR="00765F23">
        <w:rPr>
          <w:rFonts w:ascii="Arial" w:hAnsi="Arial" w:cs="Arial"/>
          <w:sz w:val="22"/>
          <w:szCs w:val="22"/>
        </w:rPr>
        <w:t>z </w:t>
      </w:r>
      <w:r w:rsidRPr="000C31DE">
        <w:rPr>
          <w:rFonts w:ascii="Arial" w:hAnsi="Arial" w:cs="Arial"/>
          <w:sz w:val="22"/>
          <w:szCs w:val="22"/>
        </w:rPr>
        <w:t>rozpočtu EU,</w:t>
      </w:r>
      <w:r w:rsidRPr="000C31D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C31DE">
        <w:rPr>
          <w:rFonts w:ascii="Arial" w:hAnsi="Arial" w:cs="Arial"/>
          <w:sz w:val="22"/>
          <w:szCs w:val="22"/>
        </w:rPr>
        <w:t>a</w:t>
      </w:r>
      <w:r w:rsidR="007C2A9C">
        <w:rPr>
          <w:rFonts w:ascii="Arial" w:hAnsi="Arial" w:cs="Arial"/>
          <w:sz w:val="22"/>
          <w:szCs w:val="22"/>
        </w:rPr>
        <w:t xml:space="preserve"> také</w:t>
      </w:r>
      <w:r w:rsidRPr="000C31DE">
        <w:rPr>
          <w:rFonts w:ascii="Arial" w:hAnsi="Arial" w:cs="Arial"/>
          <w:sz w:val="22"/>
          <w:szCs w:val="22"/>
        </w:rPr>
        <w:t xml:space="preserve"> pro identifikaci zprostředkovatele zahraničního transferu měla být pro vybrané účetní jednotky jednoznačně stanovena, aby nevznikaly pochyby o</w:t>
      </w:r>
      <w:r w:rsidR="002B51EB">
        <w:rPr>
          <w:rFonts w:ascii="Arial" w:hAnsi="Arial" w:cs="Arial"/>
          <w:sz w:val="22"/>
          <w:szCs w:val="22"/>
        </w:rPr>
        <w:t> </w:t>
      </w:r>
      <w:r w:rsidRPr="000C31DE">
        <w:rPr>
          <w:rFonts w:ascii="Arial" w:hAnsi="Arial" w:cs="Arial"/>
          <w:sz w:val="22"/>
          <w:szCs w:val="22"/>
        </w:rPr>
        <w:t>správném účetním postupu a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Pr="000C31DE">
        <w:rPr>
          <w:rFonts w:ascii="Arial" w:hAnsi="Arial" w:cs="Arial"/>
          <w:sz w:val="22"/>
          <w:szCs w:val="22"/>
        </w:rPr>
        <w:t xml:space="preserve">vykázání údajů, tzn. o výši aktiv, závazků, nákladů a výnosů těchto účetních jednotek. </w:t>
      </w:r>
      <w:r>
        <w:rPr>
          <w:rFonts w:ascii="Arial" w:hAnsi="Arial" w:cs="Arial"/>
          <w:sz w:val="22"/>
          <w:szCs w:val="22"/>
        </w:rPr>
        <w:t>NKÚ</w:t>
      </w:r>
      <w:r w:rsidRPr="000C31DE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v </w:t>
      </w:r>
      <w:r w:rsidRPr="000C31DE">
        <w:rPr>
          <w:rFonts w:ascii="Arial" w:hAnsi="Arial" w:cs="Arial"/>
          <w:sz w:val="22"/>
          <w:szCs w:val="22"/>
        </w:rPr>
        <w:t xml:space="preserve">souvislosti </w:t>
      </w:r>
      <w:r w:rsidR="00765F23">
        <w:rPr>
          <w:rFonts w:ascii="Arial" w:hAnsi="Arial" w:cs="Arial"/>
          <w:sz w:val="22"/>
          <w:szCs w:val="22"/>
        </w:rPr>
        <w:t>s </w:t>
      </w:r>
      <w:r w:rsidR="007E0A4B">
        <w:rPr>
          <w:rFonts w:ascii="Arial" w:hAnsi="Arial" w:cs="Arial"/>
          <w:sz w:val="22"/>
          <w:szCs w:val="22"/>
        </w:rPr>
        <w:t>uvedenými</w:t>
      </w:r>
      <w:r w:rsidRPr="000C31DE">
        <w:rPr>
          <w:rFonts w:ascii="Arial" w:hAnsi="Arial" w:cs="Arial"/>
          <w:sz w:val="22"/>
          <w:szCs w:val="22"/>
        </w:rPr>
        <w:t xml:space="preserve"> údaji vykazovanými </w:t>
      </w:r>
      <w:r w:rsidR="00765F23">
        <w:rPr>
          <w:rFonts w:ascii="Arial" w:hAnsi="Arial" w:cs="Arial"/>
          <w:sz w:val="22"/>
          <w:szCs w:val="22"/>
        </w:rPr>
        <w:t>v </w:t>
      </w:r>
      <w:r w:rsidRPr="000C31DE">
        <w:rPr>
          <w:rFonts w:ascii="Arial" w:hAnsi="Arial" w:cs="Arial"/>
          <w:sz w:val="22"/>
          <w:szCs w:val="22"/>
        </w:rPr>
        <w:t xml:space="preserve">účetních závěrkách vybraných účetních jednotek upozorňuje na riziko </w:t>
      </w:r>
      <w:r w:rsidR="007C2A9C">
        <w:rPr>
          <w:rFonts w:ascii="Arial" w:hAnsi="Arial" w:cs="Arial"/>
          <w:sz w:val="22"/>
          <w:szCs w:val="22"/>
        </w:rPr>
        <w:t xml:space="preserve">možné </w:t>
      </w:r>
      <w:r w:rsidRPr="000C31DE">
        <w:rPr>
          <w:rFonts w:ascii="Arial" w:hAnsi="Arial" w:cs="Arial"/>
          <w:sz w:val="22"/>
          <w:szCs w:val="22"/>
        </w:rPr>
        <w:t xml:space="preserve">nesrovnatelnosti </w:t>
      </w:r>
      <w:r w:rsidR="007E0A4B">
        <w:rPr>
          <w:rFonts w:ascii="Arial" w:hAnsi="Arial" w:cs="Arial"/>
          <w:sz w:val="22"/>
          <w:szCs w:val="22"/>
        </w:rPr>
        <w:t>těchto údajů</w:t>
      </w:r>
      <w:r w:rsidRPr="000C31DE">
        <w:rPr>
          <w:rFonts w:ascii="Arial" w:hAnsi="Arial" w:cs="Arial"/>
          <w:sz w:val="22"/>
          <w:szCs w:val="22"/>
        </w:rPr>
        <w:t xml:space="preserve"> mezi účetními obdobími</w:t>
      </w:r>
      <w:r w:rsidR="007C2A9C">
        <w:rPr>
          <w:rStyle w:val="Znakapoznpodarou"/>
          <w:rFonts w:ascii="Arial" w:hAnsi="Arial" w:cs="Arial"/>
          <w:sz w:val="22"/>
          <w:szCs w:val="22"/>
        </w:rPr>
        <w:footnoteReference w:id="11"/>
      </w:r>
      <w:r w:rsidR="00D108CC">
        <w:rPr>
          <w:rFonts w:ascii="Arial" w:hAnsi="Arial" w:cs="Arial"/>
          <w:sz w:val="22"/>
          <w:szCs w:val="22"/>
        </w:rPr>
        <w:t xml:space="preserve"> (</w:t>
      </w:r>
      <w:r w:rsidR="00765F23">
        <w:rPr>
          <w:rFonts w:ascii="Arial" w:hAnsi="Arial" w:cs="Arial"/>
          <w:sz w:val="22"/>
          <w:szCs w:val="22"/>
        </w:rPr>
        <w:t>v </w:t>
      </w:r>
      <w:r w:rsidR="00D108CC">
        <w:rPr>
          <w:rFonts w:ascii="Arial" w:hAnsi="Arial" w:cs="Arial"/>
          <w:sz w:val="22"/>
          <w:szCs w:val="22"/>
        </w:rPr>
        <w:t xml:space="preserve">případě změny </w:t>
      </w:r>
      <w:r w:rsidR="00765F23">
        <w:rPr>
          <w:rFonts w:ascii="Arial" w:hAnsi="Arial" w:cs="Arial"/>
          <w:sz w:val="22"/>
          <w:szCs w:val="22"/>
        </w:rPr>
        <w:t>v </w:t>
      </w:r>
      <w:r w:rsidR="00D108CC">
        <w:rPr>
          <w:rFonts w:ascii="Arial" w:hAnsi="Arial" w:cs="Arial"/>
          <w:sz w:val="22"/>
          <w:szCs w:val="22"/>
        </w:rPr>
        <w:t>účtování a vykazování)</w:t>
      </w:r>
      <w:r w:rsidRPr="000C31DE">
        <w:rPr>
          <w:rFonts w:ascii="Arial" w:hAnsi="Arial" w:cs="Arial"/>
          <w:sz w:val="22"/>
          <w:szCs w:val="22"/>
        </w:rPr>
        <w:t xml:space="preserve"> i</w:t>
      </w:r>
      <w:r w:rsidR="002B51EB">
        <w:rPr>
          <w:rFonts w:ascii="Arial" w:hAnsi="Arial" w:cs="Arial"/>
          <w:sz w:val="22"/>
          <w:szCs w:val="22"/>
        </w:rPr>
        <w:t> </w:t>
      </w:r>
      <w:r w:rsidRPr="000C31DE">
        <w:rPr>
          <w:rFonts w:ascii="Arial" w:hAnsi="Arial" w:cs="Arial"/>
          <w:sz w:val="22"/>
          <w:szCs w:val="22"/>
        </w:rPr>
        <w:t>mezi účetními jednotkami navzájem</w:t>
      </w:r>
      <w:r w:rsidR="007C2A9C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v </w:t>
      </w:r>
      <w:r w:rsidR="007C2A9C">
        <w:rPr>
          <w:rFonts w:ascii="Arial" w:hAnsi="Arial" w:cs="Arial"/>
          <w:sz w:val="22"/>
          <w:szCs w:val="22"/>
        </w:rPr>
        <w:t>jednom účetním období</w:t>
      </w:r>
      <w:r w:rsidRPr="000C31DE">
        <w:rPr>
          <w:rFonts w:ascii="Arial" w:hAnsi="Arial" w:cs="Arial"/>
          <w:sz w:val="22"/>
          <w:szCs w:val="22"/>
        </w:rPr>
        <w:t>.</w:t>
      </w:r>
    </w:p>
    <w:p w:rsidR="000C31DE" w:rsidRDefault="000C31DE" w:rsidP="00E379CA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13459C" w:rsidRPr="00810578" w:rsidRDefault="00886F01" w:rsidP="00886F01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 w:rsidRPr="00810578">
        <w:rPr>
          <w:rFonts w:ascii="Arial" w:hAnsi="Arial" w:cs="Arial"/>
          <w:b/>
          <w:szCs w:val="22"/>
        </w:rPr>
        <w:t xml:space="preserve">1.2 </w:t>
      </w:r>
      <w:r w:rsidR="0013459C" w:rsidRPr="00810578">
        <w:rPr>
          <w:rFonts w:ascii="Arial" w:hAnsi="Arial" w:cs="Arial"/>
          <w:b/>
          <w:szCs w:val="22"/>
        </w:rPr>
        <w:t xml:space="preserve">Nesprávnosti </w:t>
      </w:r>
      <w:r w:rsidR="00765F23">
        <w:rPr>
          <w:rFonts w:ascii="Arial" w:hAnsi="Arial" w:cs="Arial"/>
          <w:b/>
          <w:szCs w:val="22"/>
        </w:rPr>
        <w:t>v </w:t>
      </w:r>
      <w:r w:rsidR="0013459C" w:rsidRPr="00810578">
        <w:rPr>
          <w:rFonts w:ascii="Arial" w:hAnsi="Arial" w:cs="Arial"/>
          <w:b/>
          <w:szCs w:val="22"/>
        </w:rPr>
        <w:t>účetní závěrce</w:t>
      </w:r>
      <w:r w:rsidR="00B805DC" w:rsidRPr="00810578">
        <w:rPr>
          <w:rFonts w:ascii="Arial" w:hAnsi="Arial" w:cs="Arial"/>
          <w:b/>
          <w:szCs w:val="22"/>
        </w:rPr>
        <w:t xml:space="preserve"> a hlavní příčiny těchto nesprávností</w:t>
      </w:r>
    </w:p>
    <w:p w:rsidR="000032DA" w:rsidRPr="0015047E" w:rsidRDefault="000032DA" w:rsidP="0013459C">
      <w:pPr>
        <w:pStyle w:val="NormlnKZ"/>
        <w:spacing w:after="0"/>
        <w:ind w:firstLine="0"/>
        <w:rPr>
          <w:rFonts w:ascii="Arial" w:hAnsi="Arial" w:cs="Arial"/>
          <w:bCs/>
          <w:spacing w:val="-2"/>
          <w:szCs w:val="22"/>
          <w:highlight w:val="green"/>
        </w:rPr>
      </w:pPr>
    </w:p>
    <w:p w:rsidR="0013459C" w:rsidRPr="0015047E" w:rsidRDefault="00765F23" w:rsidP="0013459C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  <w:r>
        <w:rPr>
          <w:rFonts w:ascii="Arial" w:hAnsi="Arial" w:cs="Arial"/>
          <w:bCs/>
          <w:spacing w:val="-2"/>
          <w:szCs w:val="22"/>
        </w:rPr>
        <w:t>V </w:t>
      </w:r>
      <w:r w:rsidR="0013459C" w:rsidRPr="00810578">
        <w:rPr>
          <w:rFonts w:ascii="Arial" w:hAnsi="Arial" w:cs="Arial"/>
          <w:bCs/>
          <w:spacing w:val="-2"/>
          <w:szCs w:val="22"/>
        </w:rPr>
        <w:t xml:space="preserve">účetní závěrce MŠMT </w:t>
      </w:r>
      <w:r>
        <w:rPr>
          <w:rFonts w:ascii="Arial" w:hAnsi="Arial" w:cs="Arial"/>
          <w:bCs/>
          <w:spacing w:val="-2"/>
          <w:szCs w:val="22"/>
        </w:rPr>
        <w:t>k </w:t>
      </w:r>
      <w:r w:rsidR="0013459C" w:rsidRPr="00810578">
        <w:rPr>
          <w:rFonts w:ascii="Arial" w:hAnsi="Arial" w:cs="Arial"/>
          <w:bCs/>
          <w:spacing w:val="-2"/>
          <w:szCs w:val="22"/>
        </w:rPr>
        <w:t>31. prosinci 201</w:t>
      </w:r>
      <w:r w:rsidR="00810578" w:rsidRPr="00810578">
        <w:rPr>
          <w:rFonts w:ascii="Arial" w:hAnsi="Arial" w:cs="Arial"/>
          <w:bCs/>
          <w:spacing w:val="-2"/>
          <w:szCs w:val="22"/>
        </w:rPr>
        <w:t>2</w:t>
      </w:r>
      <w:r w:rsidR="0013459C" w:rsidRPr="00810578">
        <w:rPr>
          <w:rFonts w:ascii="Arial" w:hAnsi="Arial" w:cs="Arial"/>
          <w:bCs/>
          <w:spacing w:val="-2"/>
          <w:szCs w:val="22"/>
        </w:rPr>
        <w:t xml:space="preserve"> </w:t>
      </w:r>
      <w:r>
        <w:rPr>
          <w:rFonts w:ascii="Arial" w:hAnsi="Arial" w:cs="Arial"/>
          <w:bCs/>
          <w:spacing w:val="-2"/>
          <w:szCs w:val="22"/>
        </w:rPr>
        <w:t>v </w:t>
      </w:r>
      <w:r w:rsidR="0013459C" w:rsidRPr="00810578">
        <w:rPr>
          <w:rFonts w:ascii="Arial" w:hAnsi="Arial" w:cs="Arial"/>
          <w:bCs/>
          <w:spacing w:val="-2"/>
          <w:szCs w:val="22"/>
        </w:rPr>
        <w:t xml:space="preserve">údajích za běžné </w:t>
      </w:r>
      <w:r w:rsidR="004029FE">
        <w:rPr>
          <w:rFonts w:ascii="Arial" w:hAnsi="Arial" w:cs="Arial"/>
          <w:bCs/>
          <w:spacing w:val="-2"/>
          <w:szCs w:val="22"/>
        </w:rPr>
        <w:t xml:space="preserve">účetní </w:t>
      </w:r>
      <w:r w:rsidR="0013459C" w:rsidRPr="00810578">
        <w:rPr>
          <w:rFonts w:ascii="Arial" w:hAnsi="Arial" w:cs="Arial"/>
          <w:bCs/>
          <w:spacing w:val="-2"/>
          <w:szCs w:val="22"/>
        </w:rPr>
        <w:t xml:space="preserve">období byla zjištěna celková nesprávnost ve výši </w:t>
      </w:r>
      <w:r w:rsidR="00810578">
        <w:rPr>
          <w:rFonts w:ascii="Arial" w:hAnsi="Arial" w:cs="Arial"/>
          <w:bCs/>
          <w:spacing w:val="-2"/>
          <w:szCs w:val="22"/>
        </w:rPr>
        <w:t>90</w:t>
      </w:r>
      <w:r w:rsidR="005F3102">
        <w:rPr>
          <w:rFonts w:ascii="Arial" w:hAnsi="Arial" w:cs="Arial"/>
          <w:bCs/>
          <w:spacing w:val="-2"/>
          <w:szCs w:val="22"/>
        </w:rPr>
        <w:t xml:space="preserve"> </w:t>
      </w:r>
      <w:r w:rsidR="00810578">
        <w:rPr>
          <w:rFonts w:ascii="Arial" w:hAnsi="Arial" w:cs="Arial"/>
          <w:bCs/>
          <w:spacing w:val="-2"/>
          <w:szCs w:val="22"/>
        </w:rPr>
        <w:t>097</w:t>
      </w:r>
      <w:r w:rsidR="005F3102">
        <w:rPr>
          <w:rFonts w:ascii="Arial" w:hAnsi="Arial" w:cs="Arial"/>
          <w:bCs/>
          <w:spacing w:val="-2"/>
          <w:szCs w:val="22"/>
        </w:rPr>
        <w:t xml:space="preserve"> </w:t>
      </w:r>
      <w:r w:rsidR="00810578">
        <w:rPr>
          <w:rFonts w:ascii="Arial" w:hAnsi="Arial" w:cs="Arial"/>
          <w:bCs/>
          <w:spacing w:val="-2"/>
          <w:szCs w:val="22"/>
        </w:rPr>
        <w:t>869,</w:t>
      </w:r>
      <w:r w:rsidR="00810578" w:rsidRPr="00810578">
        <w:rPr>
          <w:rFonts w:ascii="Arial" w:hAnsi="Arial" w:cs="Arial"/>
          <w:bCs/>
          <w:spacing w:val="-2"/>
          <w:szCs w:val="22"/>
        </w:rPr>
        <w:t>87</w:t>
      </w:r>
      <w:r w:rsidR="0013459C" w:rsidRPr="00810578">
        <w:rPr>
          <w:rFonts w:ascii="Arial" w:hAnsi="Arial" w:cs="Arial"/>
          <w:bCs/>
          <w:spacing w:val="-2"/>
          <w:szCs w:val="22"/>
        </w:rPr>
        <w:t xml:space="preserve"> Kč, </w:t>
      </w:r>
      <w:r>
        <w:rPr>
          <w:rFonts w:ascii="Arial" w:hAnsi="Arial" w:cs="Arial"/>
          <w:bCs/>
          <w:spacing w:val="-2"/>
          <w:szCs w:val="22"/>
        </w:rPr>
        <w:t>z </w:t>
      </w:r>
      <w:r w:rsidR="0013459C" w:rsidRPr="00810578">
        <w:rPr>
          <w:rFonts w:ascii="Arial" w:hAnsi="Arial" w:cs="Arial"/>
          <w:bCs/>
          <w:spacing w:val="-2"/>
          <w:szCs w:val="22"/>
        </w:rPr>
        <w:t xml:space="preserve">toho </w:t>
      </w:r>
      <w:r w:rsidR="00810578" w:rsidRPr="00810578">
        <w:rPr>
          <w:rFonts w:ascii="Arial" w:hAnsi="Arial" w:cs="Arial"/>
          <w:bCs/>
          <w:spacing w:val="-2"/>
          <w:szCs w:val="22"/>
        </w:rPr>
        <w:t>73</w:t>
      </w:r>
      <w:r w:rsidR="005F3102">
        <w:rPr>
          <w:rFonts w:ascii="Arial" w:hAnsi="Arial" w:cs="Arial"/>
          <w:bCs/>
          <w:spacing w:val="-2"/>
          <w:szCs w:val="22"/>
        </w:rPr>
        <w:t xml:space="preserve"> </w:t>
      </w:r>
      <w:r w:rsidR="00810578" w:rsidRPr="00810578">
        <w:rPr>
          <w:rFonts w:ascii="Arial" w:hAnsi="Arial" w:cs="Arial"/>
          <w:bCs/>
          <w:spacing w:val="-2"/>
          <w:szCs w:val="22"/>
        </w:rPr>
        <w:t>401</w:t>
      </w:r>
      <w:r w:rsidR="005F3102">
        <w:rPr>
          <w:rFonts w:ascii="Arial" w:hAnsi="Arial" w:cs="Arial"/>
          <w:bCs/>
          <w:spacing w:val="-2"/>
          <w:szCs w:val="22"/>
        </w:rPr>
        <w:t xml:space="preserve"> </w:t>
      </w:r>
      <w:r w:rsidR="00810578" w:rsidRPr="00810578">
        <w:rPr>
          <w:rFonts w:ascii="Arial" w:hAnsi="Arial" w:cs="Arial"/>
          <w:bCs/>
          <w:spacing w:val="-2"/>
          <w:szCs w:val="22"/>
        </w:rPr>
        <w:t>250,78</w:t>
      </w:r>
      <w:r w:rsidR="0013459C" w:rsidRPr="00810578">
        <w:rPr>
          <w:rFonts w:ascii="Arial" w:hAnsi="Arial" w:cs="Arial"/>
          <w:bCs/>
          <w:spacing w:val="-2"/>
          <w:szCs w:val="22"/>
        </w:rPr>
        <w:t xml:space="preserve"> Kč byla nesprávnost zjištěná </w:t>
      </w:r>
      <w:r>
        <w:rPr>
          <w:rFonts w:ascii="Arial" w:hAnsi="Arial" w:cs="Arial"/>
          <w:bCs/>
          <w:spacing w:val="-2"/>
          <w:szCs w:val="22"/>
        </w:rPr>
        <w:t>v </w:t>
      </w:r>
      <w:r w:rsidR="0013459C" w:rsidRPr="00810578">
        <w:rPr>
          <w:rFonts w:ascii="Arial" w:hAnsi="Arial" w:cs="Arial"/>
          <w:bCs/>
          <w:spacing w:val="-2"/>
          <w:szCs w:val="22"/>
        </w:rPr>
        <w:t xml:space="preserve">údajích </w:t>
      </w:r>
      <w:r w:rsidR="00207724" w:rsidRPr="00810578">
        <w:rPr>
          <w:rFonts w:ascii="Arial" w:hAnsi="Arial" w:cs="Arial"/>
          <w:bCs/>
          <w:spacing w:val="-2"/>
          <w:szCs w:val="22"/>
        </w:rPr>
        <w:t>p</w:t>
      </w:r>
      <w:r w:rsidR="0013459C" w:rsidRPr="00810578">
        <w:rPr>
          <w:rFonts w:ascii="Arial" w:hAnsi="Arial" w:cs="Arial"/>
          <w:bCs/>
          <w:spacing w:val="-2"/>
          <w:szCs w:val="22"/>
        </w:rPr>
        <w:t>řílo</w:t>
      </w:r>
      <w:r w:rsidR="0082042C">
        <w:rPr>
          <w:rFonts w:ascii="Arial" w:hAnsi="Arial" w:cs="Arial"/>
          <w:bCs/>
          <w:spacing w:val="-2"/>
          <w:szCs w:val="22"/>
        </w:rPr>
        <w:t>hy</w:t>
      </w:r>
      <w:r w:rsidR="0013459C" w:rsidRPr="00810578">
        <w:rPr>
          <w:rFonts w:ascii="Arial" w:hAnsi="Arial" w:cs="Arial"/>
          <w:bCs/>
          <w:spacing w:val="-2"/>
          <w:szCs w:val="22"/>
        </w:rPr>
        <w:t xml:space="preserve"> ÚZ. </w:t>
      </w:r>
      <w:r w:rsidR="0013459C" w:rsidRPr="00810578">
        <w:rPr>
          <w:rFonts w:ascii="Arial" w:hAnsi="Arial" w:cs="Arial"/>
          <w:szCs w:val="22"/>
        </w:rPr>
        <w:t>Na celkové nesprávnosti se podílelo nadhodnocení a</w:t>
      </w:r>
      <w:r w:rsidR="007B33C5" w:rsidRPr="00810578">
        <w:rPr>
          <w:rFonts w:ascii="Arial" w:hAnsi="Arial" w:cs="Arial"/>
          <w:szCs w:val="22"/>
        </w:rPr>
        <w:t> </w:t>
      </w:r>
      <w:r w:rsidR="0013459C" w:rsidRPr="00810578">
        <w:rPr>
          <w:rFonts w:ascii="Arial" w:hAnsi="Arial" w:cs="Arial"/>
          <w:szCs w:val="22"/>
        </w:rPr>
        <w:t xml:space="preserve">podhodnocení zůstatků jednotlivých účtů výkazu </w:t>
      </w:r>
      <w:r w:rsidR="00207724" w:rsidRPr="00810578">
        <w:rPr>
          <w:rFonts w:ascii="Arial" w:hAnsi="Arial" w:cs="Arial"/>
          <w:szCs w:val="22"/>
        </w:rPr>
        <w:t>r</w:t>
      </w:r>
      <w:r w:rsidR="0013459C" w:rsidRPr="00810578">
        <w:rPr>
          <w:rFonts w:ascii="Arial" w:hAnsi="Arial" w:cs="Arial"/>
          <w:szCs w:val="22"/>
        </w:rPr>
        <w:t xml:space="preserve">ozvaha, </w:t>
      </w:r>
      <w:r w:rsidR="00207724" w:rsidRPr="00810578">
        <w:rPr>
          <w:rFonts w:ascii="Arial" w:hAnsi="Arial" w:cs="Arial"/>
          <w:szCs w:val="22"/>
        </w:rPr>
        <w:t>v</w:t>
      </w:r>
      <w:r w:rsidR="0013459C" w:rsidRPr="00810578">
        <w:rPr>
          <w:rFonts w:ascii="Arial" w:hAnsi="Arial" w:cs="Arial"/>
          <w:szCs w:val="22"/>
        </w:rPr>
        <w:t>ýkazu zisku a ztráty</w:t>
      </w:r>
      <w:r w:rsidR="0082042C">
        <w:rPr>
          <w:rFonts w:ascii="Arial" w:hAnsi="Arial" w:cs="Arial"/>
          <w:szCs w:val="22"/>
        </w:rPr>
        <w:t>,</w:t>
      </w:r>
      <w:r w:rsidR="0013459C" w:rsidRPr="00810578">
        <w:rPr>
          <w:rFonts w:ascii="Arial" w:hAnsi="Arial" w:cs="Arial"/>
          <w:szCs w:val="22"/>
        </w:rPr>
        <w:t xml:space="preserve"> </w:t>
      </w:r>
      <w:r w:rsidR="00207724" w:rsidRPr="00810578">
        <w:rPr>
          <w:rFonts w:ascii="Arial" w:hAnsi="Arial" w:cs="Arial"/>
          <w:szCs w:val="22"/>
        </w:rPr>
        <w:t>p</w:t>
      </w:r>
      <w:r w:rsidR="0013459C" w:rsidRPr="00810578">
        <w:rPr>
          <w:rFonts w:ascii="Arial" w:hAnsi="Arial" w:cs="Arial"/>
          <w:szCs w:val="22"/>
        </w:rPr>
        <w:t xml:space="preserve">řílohy ÚZ a položek </w:t>
      </w:r>
      <w:r w:rsidR="00207724" w:rsidRPr="00810578">
        <w:rPr>
          <w:rFonts w:ascii="Arial" w:hAnsi="Arial" w:cs="Arial"/>
          <w:szCs w:val="22"/>
        </w:rPr>
        <w:t>přehledu o</w:t>
      </w:r>
      <w:r w:rsidR="005F3102">
        <w:rPr>
          <w:rFonts w:ascii="Arial" w:hAnsi="Arial" w:cs="Arial"/>
          <w:szCs w:val="22"/>
        </w:rPr>
        <w:t xml:space="preserve"> </w:t>
      </w:r>
      <w:r w:rsidR="00810578" w:rsidRPr="00810578">
        <w:rPr>
          <w:rFonts w:ascii="Arial" w:hAnsi="Arial" w:cs="Arial"/>
          <w:szCs w:val="22"/>
        </w:rPr>
        <w:t>změnách vlastního kapitálu</w:t>
      </w:r>
      <w:r w:rsidR="0013459C" w:rsidRPr="0081057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 </w:t>
      </w:r>
      <w:r w:rsidR="0013459C" w:rsidRPr="00810578">
        <w:rPr>
          <w:rFonts w:ascii="Arial" w:hAnsi="Arial" w:cs="Arial"/>
          <w:szCs w:val="22"/>
        </w:rPr>
        <w:t xml:space="preserve">důsledku toho, že MŠMT porušilo </w:t>
      </w:r>
      <w:r>
        <w:rPr>
          <w:rFonts w:ascii="Arial" w:hAnsi="Arial" w:cs="Arial"/>
          <w:szCs w:val="22"/>
        </w:rPr>
        <w:t>v </w:t>
      </w:r>
      <w:r w:rsidR="0013459C" w:rsidRPr="00810578">
        <w:rPr>
          <w:rFonts w:ascii="Arial" w:hAnsi="Arial" w:cs="Arial"/>
          <w:szCs w:val="22"/>
        </w:rPr>
        <w:t>roce 201</w:t>
      </w:r>
      <w:r w:rsidR="00810578" w:rsidRPr="00810578">
        <w:rPr>
          <w:rFonts w:ascii="Arial" w:hAnsi="Arial" w:cs="Arial"/>
          <w:szCs w:val="22"/>
        </w:rPr>
        <w:t>2</w:t>
      </w:r>
      <w:r w:rsidR="0013459C" w:rsidRPr="00810578">
        <w:rPr>
          <w:rFonts w:ascii="Arial" w:hAnsi="Arial" w:cs="Arial"/>
          <w:szCs w:val="22"/>
        </w:rPr>
        <w:t xml:space="preserve"> právní předpisy upravující účetnictví a</w:t>
      </w:r>
      <w:r w:rsidR="00FE4FCC" w:rsidRPr="00810578">
        <w:rPr>
          <w:rFonts w:ascii="Arial" w:hAnsi="Arial" w:cs="Arial"/>
          <w:szCs w:val="22"/>
        </w:rPr>
        <w:t xml:space="preserve"> účetní</w:t>
      </w:r>
      <w:r w:rsidR="0013459C" w:rsidRPr="00810578">
        <w:rPr>
          <w:rFonts w:ascii="Arial" w:hAnsi="Arial" w:cs="Arial"/>
          <w:szCs w:val="22"/>
        </w:rPr>
        <w:t xml:space="preserve"> výkaznictví OSS.</w:t>
      </w:r>
      <w:r w:rsidR="00207724" w:rsidRPr="00810578">
        <w:rPr>
          <w:rFonts w:ascii="Arial" w:hAnsi="Arial" w:cs="Arial"/>
          <w:szCs w:val="22"/>
        </w:rPr>
        <w:t xml:space="preserve"> </w:t>
      </w:r>
      <w:r w:rsidR="0013459C" w:rsidRPr="00810578">
        <w:rPr>
          <w:rFonts w:ascii="Arial" w:hAnsi="Arial" w:cs="Arial"/>
          <w:spacing w:val="-2"/>
          <w:szCs w:val="22"/>
        </w:rPr>
        <w:t xml:space="preserve">Nesprávnosti byly identifikovány dle jednotlivých položek ÚZ </w:t>
      </w:r>
      <w:r>
        <w:rPr>
          <w:rFonts w:ascii="Arial" w:hAnsi="Arial" w:cs="Arial"/>
          <w:spacing w:val="-2"/>
          <w:szCs w:val="22"/>
        </w:rPr>
        <w:t>s </w:t>
      </w:r>
      <w:r w:rsidR="0013459C" w:rsidRPr="00810578">
        <w:rPr>
          <w:rFonts w:ascii="Arial" w:hAnsi="Arial" w:cs="Arial"/>
          <w:spacing w:val="-2"/>
          <w:szCs w:val="22"/>
        </w:rPr>
        <w:t>ohledem na jejich obsahové</w:t>
      </w:r>
      <w:r w:rsidR="0013459C" w:rsidRPr="00810578">
        <w:rPr>
          <w:rFonts w:ascii="Arial" w:hAnsi="Arial" w:cs="Arial"/>
          <w:szCs w:val="22"/>
        </w:rPr>
        <w:t xml:space="preserve"> vymezení podle ustanovení § 4 zákona o účetnictví a podle vyhlášky č. 410/2009 Sb.</w:t>
      </w:r>
    </w:p>
    <w:p w:rsidR="003F7603" w:rsidRPr="0015047E" w:rsidRDefault="003F7603" w:rsidP="003F7603">
      <w:pPr>
        <w:rPr>
          <w:rFonts w:ascii="Arial" w:hAnsi="Arial" w:cs="Arial"/>
          <w:sz w:val="22"/>
          <w:szCs w:val="22"/>
          <w:highlight w:val="green"/>
        </w:rPr>
      </w:pPr>
    </w:p>
    <w:p w:rsidR="0013459C" w:rsidRPr="0035326B" w:rsidRDefault="00886F01" w:rsidP="00886F01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 w:rsidRPr="0035326B">
        <w:rPr>
          <w:rFonts w:ascii="Arial" w:hAnsi="Arial" w:cs="Arial"/>
          <w:b/>
          <w:szCs w:val="22"/>
        </w:rPr>
        <w:t xml:space="preserve">1.2.1 </w:t>
      </w:r>
      <w:r w:rsidR="0013459C" w:rsidRPr="0035326B">
        <w:rPr>
          <w:rFonts w:ascii="Arial" w:hAnsi="Arial" w:cs="Arial"/>
          <w:b/>
          <w:szCs w:val="22"/>
        </w:rPr>
        <w:t>Správnost a úplnost účetnictví</w:t>
      </w:r>
    </w:p>
    <w:p w:rsidR="00012362" w:rsidRPr="0015047E" w:rsidRDefault="00012362" w:rsidP="000032DA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13459C" w:rsidRPr="0035326B" w:rsidRDefault="0013459C" w:rsidP="0013459C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35326B">
        <w:rPr>
          <w:rFonts w:ascii="Arial" w:hAnsi="Arial" w:cs="Arial"/>
          <w:szCs w:val="22"/>
        </w:rPr>
        <w:t>MŠMT</w:t>
      </w:r>
      <w:r w:rsidR="00D108CC">
        <w:rPr>
          <w:rFonts w:ascii="Arial" w:hAnsi="Arial" w:cs="Arial"/>
          <w:szCs w:val="22"/>
        </w:rPr>
        <w:t xml:space="preserve"> </w:t>
      </w:r>
      <w:r w:rsidR="00765F23">
        <w:rPr>
          <w:rFonts w:ascii="Arial" w:hAnsi="Arial" w:cs="Arial"/>
          <w:szCs w:val="22"/>
        </w:rPr>
        <w:t>v </w:t>
      </w:r>
      <w:r w:rsidR="00D108CC">
        <w:rPr>
          <w:rFonts w:ascii="Arial" w:hAnsi="Arial" w:cs="Arial"/>
          <w:szCs w:val="22"/>
        </w:rPr>
        <w:t>některých případech</w:t>
      </w:r>
      <w:r w:rsidRPr="0035326B">
        <w:rPr>
          <w:rFonts w:ascii="Arial" w:hAnsi="Arial" w:cs="Arial"/>
          <w:szCs w:val="22"/>
        </w:rPr>
        <w:t xml:space="preserve"> nevedlo </w:t>
      </w:r>
      <w:r w:rsidR="00765F23">
        <w:rPr>
          <w:rFonts w:ascii="Arial" w:hAnsi="Arial" w:cs="Arial"/>
          <w:szCs w:val="22"/>
        </w:rPr>
        <w:t>v </w:t>
      </w:r>
      <w:r w:rsidRPr="0035326B">
        <w:rPr>
          <w:rFonts w:ascii="Arial" w:hAnsi="Arial" w:cs="Arial"/>
          <w:szCs w:val="22"/>
        </w:rPr>
        <w:t>roce 201</w:t>
      </w:r>
      <w:r w:rsidR="0035326B" w:rsidRPr="0035326B">
        <w:rPr>
          <w:rFonts w:ascii="Arial" w:hAnsi="Arial" w:cs="Arial"/>
          <w:szCs w:val="22"/>
        </w:rPr>
        <w:t>2</w:t>
      </w:r>
      <w:r w:rsidRPr="0035326B">
        <w:rPr>
          <w:rFonts w:ascii="Arial" w:hAnsi="Arial" w:cs="Arial"/>
          <w:szCs w:val="22"/>
        </w:rPr>
        <w:t xml:space="preserve"> správné a úplné účetnictví ve smyslu zákona o účetnictví a</w:t>
      </w:r>
      <w:r w:rsidR="005F3102">
        <w:rPr>
          <w:rFonts w:ascii="Arial" w:hAnsi="Arial" w:cs="Arial"/>
          <w:szCs w:val="22"/>
        </w:rPr>
        <w:t xml:space="preserve"> </w:t>
      </w:r>
      <w:r w:rsidRPr="0035326B">
        <w:rPr>
          <w:rFonts w:ascii="Arial" w:hAnsi="Arial" w:cs="Arial"/>
          <w:szCs w:val="22"/>
        </w:rPr>
        <w:t>dalších právních předpisů</w:t>
      </w:r>
      <w:r w:rsidR="00D108CC">
        <w:rPr>
          <w:rFonts w:ascii="Arial" w:hAnsi="Arial" w:cs="Arial"/>
          <w:szCs w:val="22"/>
        </w:rPr>
        <w:t>. Nedosta</w:t>
      </w:r>
      <w:r w:rsidRPr="0035326B">
        <w:rPr>
          <w:rFonts w:ascii="Arial" w:hAnsi="Arial" w:cs="Arial"/>
          <w:szCs w:val="22"/>
        </w:rPr>
        <w:t xml:space="preserve">tky byly zjištěny zejména </w:t>
      </w:r>
      <w:r w:rsidR="00765F23">
        <w:rPr>
          <w:rFonts w:ascii="Arial" w:hAnsi="Arial" w:cs="Arial"/>
          <w:szCs w:val="22"/>
        </w:rPr>
        <w:t>v </w:t>
      </w:r>
      <w:r w:rsidRPr="0035326B">
        <w:rPr>
          <w:rFonts w:ascii="Arial" w:hAnsi="Arial" w:cs="Arial"/>
          <w:szCs w:val="22"/>
        </w:rPr>
        <w:t>následujících případech.</w:t>
      </w:r>
    </w:p>
    <w:p w:rsidR="0013459C" w:rsidRPr="0015047E" w:rsidRDefault="0013459C" w:rsidP="0013459C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13459C" w:rsidRPr="0035326B" w:rsidRDefault="00886F01" w:rsidP="00886F01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 w:rsidRPr="0035326B">
        <w:rPr>
          <w:rFonts w:ascii="Arial" w:hAnsi="Arial" w:cs="Arial"/>
          <w:b/>
          <w:szCs w:val="22"/>
        </w:rPr>
        <w:t xml:space="preserve">1.2.1.1 </w:t>
      </w:r>
      <w:r w:rsidR="0013459C" w:rsidRPr="0035326B">
        <w:rPr>
          <w:rFonts w:ascii="Arial" w:hAnsi="Arial" w:cs="Arial"/>
          <w:b/>
          <w:szCs w:val="22"/>
        </w:rPr>
        <w:t>Rozvaha</w:t>
      </w:r>
    </w:p>
    <w:p w:rsidR="007C660D" w:rsidRPr="0015047E" w:rsidRDefault="007C660D" w:rsidP="000032DA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13459C" w:rsidRPr="008A3369" w:rsidRDefault="008A3369" w:rsidP="00E50173">
      <w:pPr>
        <w:pStyle w:val="NormlnKZ"/>
        <w:ind w:firstLine="0"/>
        <w:rPr>
          <w:rFonts w:ascii="Arial" w:hAnsi="Arial" w:cs="Arial"/>
          <w:b/>
          <w:i/>
          <w:spacing w:val="-2"/>
          <w:szCs w:val="22"/>
        </w:rPr>
      </w:pPr>
      <w:r w:rsidRPr="008A3369">
        <w:rPr>
          <w:rFonts w:ascii="Arial" w:hAnsi="Arial" w:cs="Arial"/>
          <w:b/>
          <w:i/>
          <w:spacing w:val="-2"/>
          <w:szCs w:val="22"/>
        </w:rPr>
        <w:t>Oprava ocenění pozemku</w:t>
      </w:r>
    </w:p>
    <w:p w:rsidR="0013459C" w:rsidRPr="008A3369" w:rsidRDefault="0013459C" w:rsidP="0013459C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8A3369">
        <w:rPr>
          <w:rFonts w:ascii="Arial" w:hAnsi="Arial" w:cs="Arial"/>
          <w:sz w:val="22"/>
          <w:szCs w:val="22"/>
          <w:lang w:eastAsia="cs-CZ"/>
        </w:rPr>
        <w:t>MŠMT</w:t>
      </w:r>
      <w:r w:rsidR="008A3369" w:rsidRPr="008A336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A7E67">
        <w:rPr>
          <w:rFonts w:ascii="Arial" w:hAnsi="Arial" w:cs="Arial"/>
          <w:sz w:val="22"/>
          <w:szCs w:val="22"/>
          <w:lang w:eastAsia="cs-CZ"/>
        </w:rPr>
        <w:t>snížení</w:t>
      </w:r>
      <w:r w:rsidR="008A3369" w:rsidRPr="008A3369">
        <w:rPr>
          <w:rFonts w:ascii="Arial" w:hAnsi="Arial" w:cs="Arial"/>
          <w:sz w:val="22"/>
          <w:szCs w:val="22"/>
          <w:lang w:eastAsia="cs-CZ"/>
        </w:rPr>
        <w:t xml:space="preserve"> ocenění pozemku</w:t>
      </w:r>
      <w:r w:rsidR="0082042C">
        <w:rPr>
          <w:rFonts w:ascii="Arial" w:hAnsi="Arial" w:cs="Arial"/>
          <w:sz w:val="22"/>
          <w:szCs w:val="22"/>
          <w:lang w:eastAsia="cs-CZ"/>
        </w:rPr>
        <w:t xml:space="preserve"> účtovalo</w:t>
      </w:r>
      <w:r w:rsidR="00885244">
        <w:rPr>
          <w:rFonts w:ascii="Arial" w:hAnsi="Arial" w:cs="Arial"/>
          <w:sz w:val="22"/>
          <w:szCs w:val="22"/>
          <w:lang w:eastAsia="cs-CZ"/>
        </w:rPr>
        <w:t xml:space="preserve"> formou opravy</w:t>
      </w:r>
      <w:r w:rsidR="0082042C">
        <w:rPr>
          <w:rFonts w:ascii="Arial" w:hAnsi="Arial" w:cs="Arial"/>
          <w:sz w:val="22"/>
          <w:szCs w:val="22"/>
          <w:lang w:eastAsia="cs-CZ"/>
        </w:rPr>
        <w:t xml:space="preserve"> nesprávně na</w:t>
      </w:r>
      <w:r w:rsidR="008A3369" w:rsidRPr="008A3369">
        <w:rPr>
          <w:rFonts w:ascii="Arial" w:hAnsi="Arial" w:cs="Arial"/>
          <w:sz w:val="22"/>
          <w:szCs w:val="22"/>
          <w:lang w:eastAsia="cs-CZ"/>
        </w:rPr>
        <w:t xml:space="preserve"> účtu 408 – </w:t>
      </w:r>
      <w:r w:rsidR="008A3369" w:rsidRPr="008A3369">
        <w:rPr>
          <w:rFonts w:ascii="Arial" w:hAnsi="Arial" w:cs="Arial"/>
          <w:i/>
          <w:sz w:val="22"/>
          <w:szCs w:val="22"/>
          <w:lang w:eastAsia="cs-CZ"/>
        </w:rPr>
        <w:t>Opravy minulých období</w:t>
      </w:r>
      <w:r w:rsidR="008A3369" w:rsidRPr="008A3369">
        <w:rPr>
          <w:rFonts w:ascii="Arial" w:hAnsi="Arial" w:cs="Arial"/>
          <w:sz w:val="22"/>
          <w:szCs w:val="22"/>
          <w:lang w:eastAsia="cs-CZ"/>
        </w:rPr>
        <w:t xml:space="preserve">, přestože se nejednalo o opravu minulých účetních období, která by ovlivnila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8A3369" w:rsidRPr="008A3369">
        <w:rPr>
          <w:rFonts w:ascii="Arial" w:hAnsi="Arial" w:cs="Arial"/>
          <w:sz w:val="22"/>
          <w:szCs w:val="22"/>
          <w:lang w:eastAsia="cs-CZ"/>
        </w:rPr>
        <w:t xml:space="preserve">minulých účetních obdobích výši výsledku hospodaření.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8A3369" w:rsidRPr="008A3369">
        <w:rPr>
          <w:rFonts w:ascii="Arial" w:hAnsi="Arial" w:cs="Arial"/>
          <w:sz w:val="22"/>
          <w:szCs w:val="22"/>
          <w:lang w:eastAsia="cs-CZ"/>
        </w:rPr>
        <w:t xml:space="preserve">důsledku toho MŠMT ve výkazu rozvaha podhodnotilo zůstatek účtu 408 – </w:t>
      </w:r>
      <w:r w:rsidR="008A3369" w:rsidRPr="008A3369">
        <w:rPr>
          <w:rFonts w:ascii="Arial" w:hAnsi="Arial" w:cs="Arial"/>
          <w:i/>
          <w:sz w:val="22"/>
          <w:szCs w:val="22"/>
          <w:lang w:eastAsia="cs-CZ"/>
        </w:rPr>
        <w:t>Opravy minulých období</w:t>
      </w:r>
      <w:r w:rsidR="008A3369" w:rsidRPr="008A3369">
        <w:rPr>
          <w:rFonts w:ascii="Arial" w:hAnsi="Arial" w:cs="Arial"/>
          <w:sz w:val="22"/>
          <w:szCs w:val="22"/>
          <w:lang w:eastAsia="cs-CZ"/>
        </w:rPr>
        <w:t xml:space="preserve"> o</w:t>
      </w:r>
      <w:r w:rsidR="002B51EB">
        <w:rPr>
          <w:rFonts w:ascii="Arial" w:hAnsi="Arial" w:cs="Arial"/>
          <w:sz w:val="22"/>
          <w:szCs w:val="22"/>
          <w:lang w:eastAsia="cs-CZ"/>
        </w:rPr>
        <w:t> </w:t>
      </w:r>
      <w:r w:rsidR="008A3369" w:rsidRPr="008A3369">
        <w:rPr>
          <w:rFonts w:ascii="Arial" w:hAnsi="Arial" w:cs="Arial"/>
          <w:sz w:val="22"/>
          <w:szCs w:val="22"/>
          <w:lang w:eastAsia="cs-CZ"/>
        </w:rPr>
        <w:t>2 610</w:t>
      </w:r>
      <w:r w:rsidR="002B51EB">
        <w:rPr>
          <w:rFonts w:ascii="Arial" w:hAnsi="Arial" w:cs="Arial"/>
          <w:sz w:val="22"/>
          <w:szCs w:val="22"/>
          <w:lang w:eastAsia="cs-CZ"/>
        </w:rPr>
        <w:t> </w:t>
      </w:r>
      <w:r w:rsidR="008A3369" w:rsidRPr="008A3369">
        <w:rPr>
          <w:rFonts w:ascii="Arial" w:hAnsi="Arial" w:cs="Arial"/>
          <w:sz w:val="22"/>
          <w:szCs w:val="22"/>
          <w:lang w:eastAsia="cs-CZ"/>
        </w:rPr>
        <w:t>860</w:t>
      </w:r>
      <w:r w:rsidR="002B51EB">
        <w:rPr>
          <w:rFonts w:ascii="Arial" w:hAnsi="Arial" w:cs="Arial"/>
          <w:sz w:val="22"/>
          <w:szCs w:val="22"/>
          <w:lang w:eastAsia="cs-CZ"/>
        </w:rPr>
        <w:t> </w:t>
      </w:r>
      <w:r w:rsidR="008A3369" w:rsidRPr="008A3369">
        <w:rPr>
          <w:rFonts w:ascii="Arial" w:hAnsi="Arial" w:cs="Arial"/>
          <w:sz w:val="22"/>
          <w:szCs w:val="22"/>
          <w:lang w:eastAsia="cs-CZ"/>
        </w:rPr>
        <w:t xml:space="preserve">Kč a o stejnou částku nadhodnotilo zůstatek účtu 401 – </w:t>
      </w:r>
      <w:r w:rsidR="008A3369" w:rsidRPr="008A3369">
        <w:rPr>
          <w:rFonts w:ascii="Arial" w:hAnsi="Arial" w:cs="Arial"/>
          <w:i/>
          <w:sz w:val="22"/>
          <w:szCs w:val="22"/>
          <w:lang w:eastAsia="cs-CZ"/>
        </w:rPr>
        <w:t>Jmění účetní jednotky</w:t>
      </w:r>
      <w:r w:rsidR="008A3369" w:rsidRPr="008A3369">
        <w:rPr>
          <w:rFonts w:ascii="Arial" w:hAnsi="Arial" w:cs="Arial"/>
          <w:sz w:val="22"/>
          <w:szCs w:val="22"/>
          <w:lang w:eastAsia="cs-CZ"/>
        </w:rPr>
        <w:t xml:space="preserve">. </w:t>
      </w:r>
    </w:p>
    <w:p w:rsidR="0013459C" w:rsidRDefault="0013459C" w:rsidP="0013459C">
      <w:pPr>
        <w:pStyle w:val="NormlnKZ"/>
        <w:spacing w:after="0"/>
        <w:ind w:firstLine="0"/>
        <w:rPr>
          <w:rFonts w:ascii="Arial" w:hAnsi="Arial" w:cs="Arial"/>
          <w:spacing w:val="-2"/>
          <w:szCs w:val="22"/>
          <w:highlight w:val="green"/>
        </w:rPr>
      </w:pPr>
    </w:p>
    <w:p w:rsidR="00754B84" w:rsidRPr="0035326B" w:rsidRDefault="00754B84" w:rsidP="00754B84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1.2.1.2</w:t>
      </w:r>
      <w:r w:rsidRPr="0035326B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Výkaz zisku a ztráty</w:t>
      </w:r>
    </w:p>
    <w:p w:rsidR="00754B84" w:rsidRDefault="00754B84" w:rsidP="0013459C">
      <w:pPr>
        <w:pStyle w:val="NormlnKZ"/>
        <w:spacing w:after="0"/>
        <w:ind w:firstLine="0"/>
        <w:rPr>
          <w:rFonts w:ascii="Arial" w:hAnsi="Arial" w:cs="Arial"/>
          <w:spacing w:val="-2"/>
          <w:szCs w:val="22"/>
          <w:highlight w:val="green"/>
        </w:rPr>
      </w:pPr>
    </w:p>
    <w:p w:rsidR="00754B84" w:rsidRPr="00754B84" w:rsidRDefault="00754B84" w:rsidP="00E50173">
      <w:pPr>
        <w:pStyle w:val="NormlnKZ"/>
        <w:ind w:firstLine="0"/>
        <w:rPr>
          <w:rFonts w:ascii="Arial" w:hAnsi="Arial" w:cs="Arial"/>
          <w:b/>
          <w:i/>
          <w:spacing w:val="-2"/>
          <w:szCs w:val="22"/>
        </w:rPr>
      </w:pPr>
      <w:r w:rsidRPr="00754B84">
        <w:rPr>
          <w:rFonts w:ascii="Arial" w:hAnsi="Arial" w:cs="Arial"/>
          <w:b/>
          <w:i/>
          <w:spacing w:val="-2"/>
          <w:szCs w:val="22"/>
        </w:rPr>
        <w:t>Časové rozlišení</w:t>
      </w:r>
    </w:p>
    <w:p w:rsidR="00754B84" w:rsidRPr="00754B84" w:rsidRDefault="00754B84" w:rsidP="0013459C">
      <w:pPr>
        <w:pStyle w:val="NormlnKZ"/>
        <w:spacing w:after="0"/>
        <w:ind w:firstLine="0"/>
        <w:rPr>
          <w:rFonts w:ascii="Arial" w:hAnsi="Arial" w:cs="Arial"/>
          <w:spacing w:val="-2"/>
          <w:szCs w:val="22"/>
        </w:rPr>
      </w:pPr>
      <w:r w:rsidRPr="00754B84">
        <w:rPr>
          <w:rFonts w:ascii="Arial" w:hAnsi="Arial" w:cs="Arial"/>
          <w:spacing w:val="-2"/>
          <w:szCs w:val="22"/>
        </w:rPr>
        <w:t xml:space="preserve">Ve výkazu zisku a ztráty MŠMT </w:t>
      </w:r>
      <w:r w:rsidR="0082042C">
        <w:rPr>
          <w:rFonts w:ascii="Arial" w:hAnsi="Arial" w:cs="Arial"/>
          <w:spacing w:val="-2"/>
          <w:szCs w:val="22"/>
        </w:rPr>
        <w:t>zejména</w:t>
      </w:r>
      <w:r w:rsidRPr="00754B84">
        <w:rPr>
          <w:rFonts w:ascii="Arial" w:hAnsi="Arial" w:cs="Arial"/>
          <w:spacing w:val="-2"/>
          <w:szCs w:val="22"/>
        </w:rPr>
        <w:t>:</w:t>
      </w:r>
    </w:p>
    <w:p w:rsidR="00754B84" w:rsidRPr="0070629B" w:rsidRDefault="0082042C" w:rsidP="0070629B">
      <w:pPr>
        <w:pStyle w:val="Odstavecseseznamem"/>
        <w:numPr>
          <w:ilvl w:val="0"/>
          <w:numId w:val="2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70629B">
        <w:rPr>
          <w:rFonts w:ascii="Arial" w:hAnsi="Arial" w:cs="Arial"/>
          <w:sz w:val="22"/>
          <w:szCs w:val="22"/>
          <w:lang w:eastAsia="cs-CZ"/>
        </w:rPr>
        <w:t xml:space="preserve">časově nerozlišilo 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náklady </w:t>
      </w:r>
      <w:r w:rsidR="004761DA">
        <w:rPr>
          <w:rFonts w:ascii="Arial" w:hAnsi="Arial" w:cs="Arial"/>
          <w:sz w:val="22"/>
          <w:szCs w:val="22"/>
          <w:lang w:eastAsia="cs-CZ"/>
        </w:rPr>
        <w:t>n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a účast na </w:t>
      </w:r>
      <w:r w:rsidR="00754B84" w:rsidRPr="00E50173">
        <w:rPr>
          <w:rFonts w:ascii="Arial" w:hAnsi="Arial" w:cs="Arial"/>
          <w:i/>
          <w:sz w:val="22"/>
          <w:szCs w:val="22"/>
          <w:lang w:eastAsia="cs-CZ"/>
        </w:rPr>
        <w:t>Evropském metrologickém výzkumném programu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na období roku 2013 ve výši 1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>549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>726,26 Kč a nesprávně o této skutečnosti účtovalo do nákladů roku 2012</w:t>
      </w:r>
      <w:r w:rsidRPr="0070629B">
        <w:rPr>
          <w:rFonts w:ascii="Arial" w:hAnsi="Arial" w:cs="Arial"/>
          <w:sz w:val="22"/>
          <w:szCs w:val="22"/>
          <w:lang w:eastAsia="cs-CZ"/>
        </w:rPr>
        <w:t xml:space="preserve">;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důsledku toho MŠMT ve výkazu zisku a ztráty o uvedenou částku nadhodnotilo zůstatek účtu 571 – </w:t>
      </w:r>
      <w:r w:rsidR="00754B84" w:rsidRPr="0070629B">
        <w:rPr>
          <w:rFonts w:ascii="Arial" w:hAnsi="Arial" w:cs="Arial"/>
          <w:i/>
          <w:sz w:val="22"/>
          <w:szCs w:val="22"/>
          <w:lang w:eastAsia="cs-CZ"/>
        </w:rPr>
        <w:t xml:space="preserve">Náklady vybraných ústředních vládních institucí na </w:t>
      </w:r>
      <w:r w:rsidR="00754B84" w:rsidRPr="0070629B">
        <w:rPr>
          <w:rFonts w:ascii="Arial" w:hAnsi="Arial" w:cs="Arial"/>
          <w:i/>
          <w:sz w:val="22"/>
          <w:szCs w:val="22"/>
          <w:lang w:eastAsia="cs-CZ"/>
        </w:rPr>
        <w:lastRenderedPageBreak/>
        <w:t>transfery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a o stejnou částku podhodnotilo zůstatek účtu 381 – </w:t>
      </w:r>
      <w:r w:rsidR="00754B84" w:rsidRPr="0070629B">
        <w:rPr>
          <w:rFonts w:ascii="Arial" w:hAnsi="Arial" w:cs="Arial"/>
          <w:i/>
          <w:sz w:val="22"/>
          <w:szCs w:val="22"/>
          <w:lang w:eastAsia="cs-CZ"/>
        </w:rPr>
        <w:t>Náklady příštích období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ve výkazu rozvaha</w:t>
      </w:r>
      <w:r w:rsidRPr="0070629B">
        <w:rPr>
          <w:rFonts w:ascii="Arial" w:hAnsi="Arial" w:cs="Arial"/>
          <w:sz w:val="22"/>
          <w:szCs w:val="22"/>
          <w:lang w:eastAsia="cs-CZ"/>
        </w:rPr>
        <w:t>;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754B84" w:rsidRPr="0070629B" w:rsidRDefault="0082042C" w:rsidP="0070629B">
      <w:pPr>
        <w:pStyle w:val="Odstavecseseznamem"/>
        <w:numPr>
          <w:ilvl w:val="0"/>
          <w:numId w:val="2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70629B">
        <w:rPr>
          <w:rFonts w:ascii="Arial" w:hAnsi="Arial" w:cs="Arial"/>
          <w:sz w:val="22"/>
          <w:szCs w:val="22"/>
          <w:lang w:eastAsia="cs-CZ"/>
        </w:rPr>
        <w:t xml:space="preserve">časově nerozlišilo 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náklady </w:t>
      </w:r>
      <w:r w:rsidR="004761DA">
        <w:rPr>
          <w:rFonts w:ascii="Arial" w:hAnsi="Arial" w:cs="Arial"/>
          <w:sz w:val="22"/>
          <w:szCs w:val="22"/>
          <w:lang w:eastAsia="cs-CZ"/>
        </w:rPr>
        <w:t>n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a analýzu nabídky dalšího vzdělávání zpracovanou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roce 2012 </w:t>
      </w:r>
      <w:r w:rsidR="004761DA">
        <w:rPr>
          <w:rFonts w:ascii="Arial" w:hAnsi="Arial" w:cs="Arial"/>
          <w:sz w:val="22"/>
          <w:szCs w:val="22"/>
          <w:lang w:eastAsia="cs-CZ"/>
        </w:rPr>
        <w:t>za cenu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526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>800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>Kč a nesprávně o této skutečnosti účtovalo do nákladů roku 2013</w:t>
      </w:r>
      <w:r w:rsidRPr="0070629B">
        <w:rPr>
          <w:rFonts w:ascii="Arial" w:hAnsi="Arial" w:cs="Arial"/>
          <w:sz w:val="22"/>
          <w:szCs w:val="22"/>
          <w:lang w:eastAsia="cs-CZ"/>
        </w:rPr>
        <w:t>;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0629B">
        <w:rPr>
          <w:rFonts w:ascii="Arial" w:hAnsi="Arial" w:cs="Arial"/>
          <w:sz w:val="22"/>
          <w:szCs w:val="22"/>
          <w:lang w:eastAsia="cs-CZ"/>
        </w:rPr>
        <w:t>v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 důsledku toho MŠMT ve výkazu zisku a ztráty o uvedenou částku podhodnotilo zůstatek účtu 518 – </w:t>
      </w:r>
      <w:r w:rsidR="00754B84" w:rsidRPr="0070629B">
        <w:rPr>
          <w:rFonts w:ascii="Arial" w:hAnsi="Arial" w:cs="Arial"/>
          <w:i/>
          <w:sz w:val="22"/>
          <w:szCs w:val="22"/>
          <w:lang w:eastAsia="cs-CZ"/>
        </w:rPr>
        <w:t>Ostatní služby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a o stejnou částku podhodnotilo zůstatek účtu </w:t>
      </w:r>
      <w:r w:rsidR="00542FF0">
        <w:rPr>
          <w:rFonts w:ascii="Arial" w:hAnsi="Arial" w:cs="Arial"/>
          <w:sz w:val="22"/>
          <w:szCs w:val="22"/>
          <w:lang w:eastAsia="cs-CZ"/>
        </w:rPr>
        <w:br/>
      </w:r>
      <w:r w:rsidR="00754B84" w:rsidRPr="0070629B">
        <w:rPr>
          <w:rFonts w:ascii="Arial" w:hAnsi="Arial" w:cs="Arial"/>
          <w:sz w:val="22"/>
          <w:szCs w:val="22"/>
          <w:lang w:eastAsia="cs-CZ"/>
        </w:rPr>
        <w:t>383</w:t>
      </w:r>
      <w:r w:rsidR="004761DA">
        <w:rPr>
          <w:rFonts w:ascii="Arial" w:hAnsi="Arial" w:cs="Arial"/>
          <w:sz w:val="22"/>
          <w:szCs w:val="22"/>
          <w:lang w:eastAsia="cs-CZ"/>
        </w:rPr>
        <w:t> 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– </w:t>
      </w:r>
      <w:r w:rsidR="00754B84" w:rsidRPr="0070629B">
        <w:rPr>
          <w:rFonts w:ascii="Arial" w:hAnsi="Arial" w:cs="Arial"/>
          <w:i/>
          <w:sz w:val="22"/>
          <w:szCs w:val="22"/>
          <w:lang w:eastAsia="cs-CZ"/>
        </w:rPr>
        <w:t>Výdaje příštích období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ve výkazu rozvaha</w:t>
      </w:r>
      <w:r w:rsidRPr="0070629B">
        <w:rPr>
          <w:rFonts w:ascii="Arial" w:hAnsi="Arial" w:cs="Arial"/>
          <w:sz w:val="22"/>
          <w:szCs w:val="22"/>
          <w:lang w:eastAsia="cs-CZ"/>
        </w:rPr>
        <w:t>;</w:t>
      </w:r>
    </w:p>
    <w:p w:rsidR="00754B84" w:rsidRPr="0070629B" w:rsidRDefault="0082042C" w:rsidP="0070629B">
      <w:pPr>
        <w:pStyle w:val="Odstavecseseznamem"/>
        <w:numPr>
          <w:ilvl w:val="0"/>
          <w:numId w:val="2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70629B">
        <w:rPr>
          <w:rFonts w:ascii="Arial" w:hAnsi="Arial" w:cs="Arial"/>
          <w:sz w:val="22"/>
          <w:szCs w:val="22"/>
          <w:lang w:eastAsia="cs-CZ"/>
        </w:rPr>
        <w:t>postupovalo nekonzistentně</w:t>
      </w:r>
      <w:r w:rsidR="004F5E57"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>při časovém rozliš</w:t>
      </w:r>
      <w:r w:rsidR="004761DA">
        <w:rPr>
          <w:rFonts w:ascii="Arial" w:hAnsi="Arial" w:cs="Arial"/>
          <w:sz w:val="22"/>
          <w:szCs w:val="22"/>
          <w:lang w:eastAsia="cs-CZ"/>
        </w:rPr>
        <w:t>ování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nákladů </w:t>
      </w:r>
      <w:r w:rsidR="004761DA">
        <w:rPr>
          <w:rFonts w:ascii="Arial" w:hAnsi="Arial" w:cs="Arial"/>
          <w:sz w:val="22"/>
          <w:szCs w:val="22"/>
          <w:lang w:eastAsia="cs-CZ"/>
        </w:rPr>
        <w:t>n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>a softwarové licence, u</w:t>
      </w:r>
      <w:r w:rsidR="004761DA">
        <w:rPr>
          <w:rFonts w:ascii="Arial" w:hAnsi="Arial" w:cs="Arial"/>
          <w:sz w:val="22"/>
          <w:szCs w:val="22"/>
          <w:lang w:eastAsia="cs-CZ"/>
        </w:rPr>
        <w:t> 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nichž byla sjednána doba užívání </w:t>
      </w:r>
      <w:r w:rsidR="00C612A2" w:rsidRPr="0070629B">
        <w:rPr>
          <w:rFonts w:ascii="Arial" w:hAnsi="Arial" w:cs="Arial"/>
          <w:sz w:val="22"/>
          <w:szCs w:val="22"/>
          <w:lang w:eastAsia="cs-CZ"/>
        </w:rPr>
        <w:t xml:space="preserve">na dobu </w:t>
      </w:r>
      <w:r w:rsidR="00DC1A2F">
        <w:rPr>
          <w:rFonts w:ascii="Arial" w:hAnsi="Arial" w:cs="Arial"/>
          <w:sz w:val="22"/>
          <w:szCs w:val="22"/>
          <w:lang w:eastAsia="cs-CZ"/>
        </w:rPr>
        <w:t xml:space="preserve">jednoho </w:t>
      </w:r>
      <w:r w:rsidR="00C612A2" w:rsidRPr="0070629B">
        <w:rPr>
          <w:rFonts w:ascii="Arial" w:hAnsi="Arial" w:cs="Arial"/>
          <w:sz w:val="22"/>
          <w:szCs w:val="22"/>
          <w:lang w:eastAsia="cs-CZ"/>
        </w:rPr>
        <w:t>roku (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>od 1.</w:t>
      </w:r>
      <w:r w:rsidR="009A4C54"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21A9A" w:rsidRPr="0070629B">
        <w:rPr>
          <w:rFonts w:ascii="Arial" w:hAnsi="Arial" w:cs="Arial"/>
          <w:sz w:val="22"/>
          <w:szCs w:val="22"/>
          <w:lang w:eastAsia="cs-CZ"/>
        </w:rPr>
        <w:t>ledna</w:t>
      </w:r>
      <w:r w:rsidR="009A4C54"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>2013 do 31.</w:t>
      </w:r>
      <w:r w:rsidR="004761DA">
        <w:rPr>
          <w:rFonts w:ascii="Arial" w:hAnsi="Arial" w:cs="Arial"/>
          <w:sz w:val="22"/>
          <w:szCs w:val="22"/>
          <w:lang w:eastAsia="cs-CZ"/>
        </w:rPr>
        <w:t> </w:t>
      </w:r>
      <w:r w:rsidR="00021A9A" w:rsidRPr="0070629B">
        <w:rPr>
          <w:rFonts w:ascii="Arial" w:hAnsi="Arial" w:cs="Arial"/>
          <w:sz w:val="22"/>
          <w:szCs w:val="22"/>
          <w:lang w:eastAsia="cs-CZ"/>
        </w:rPr>
        <w:t>prosince</w:t>
      </w:r>
      <w:r w:rsidR="009A4C54"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>2013</w:t>
      </w:r>
      <w:r w:rsidR="00C612A2" w:rsidRPr="0070629B">
        <w:rPr>
          <w:rFonts w:ascii="Arial" w:hAnsi="Arial" w:cs="Arial"/>
          <w:sz w:val="22"/>
          <w:szCs w:val="22"/>
          <w:lang w:eastAsia="cs-CZ"/>
        </w:rPr>
        <w:t>)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a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612A2" w:rsidRPr="0070629B">
        <w:rPr>
          <w:rFonts w:ascii="Arial" w:hAnsi="Arial" w:cs="Arial"/>
          <w:sz w:val="22"/>
          <w:szCs w:val="22"/>
          <w:lang w:eastAsia="cs-CZ"/>
        </w:rPr>
        <w:t>které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byly pořízeny</w:t>
      </w:r>
      <w:r w:rsidR="00C612A2"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C612A2" w:rsidRPr="0070629B">
        <w:rPr>
          <w:rFonts w:ascii="Arial" w:hAnsi="Arial" w:cs="Arial"/>
          <w:sz w:val="22"/>
          <w:szCs w:val="22"/>
          <w:lang w:eastAsia="cs-CZ"/>
        </w:rPr>
        <w:t>roce 2012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na základě jedné smlouvy</w:t>
      </w:r>
      <w:r w:rsidR="00C612A2" w:rsidRPr="0070629B">
        <w:rPr>
          <w:rFonts w:ascii="Arial" w:hAnsi="Arial" w:cs="Arial"/>
          <w:sz w:val="22"/>
          <w:szCs w:val="22"/>
          <w:lang w:eastAsia="cs-CZ"/>
        </w:rPr>
        <w:t>;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90E1D" w:rsidRPr="0070629B">
        <w:rPr>
          <w:rFonts w:ascii="Arial" w:hAnsi="Arial" w:cs="Arial"/>
          <w:sz w:val="22"/>
          <w:szCs w:val="22"/>
          <w:lang w:eastAsia="cs-CZ"/>
        </w:rPr>
        <w:t>MŠMT</w:t>
      </w:r>
      <w:r w:rsidR="00590E1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část nákladů </w:t>
      </w:r>
      <w:r w:rsidR="000301D0" w:rsidRPr="0070629B">
        <w:rPr>
          <w:rFonts w:ascii="Arial" w:hAnsi="Arial" w:cs="Arial"/>
          <w:sz w:val="22"/>
          <w:szCs w:val="22"/>
          <w:lang w:eastAsia="cs-CZ"/>
        </w:rPr>
        <w:t>ve výši</w:t>
      </w:r>
      <w:r w:rsidR="000301D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301D0" w:rsidRPr="0070629B">
        <w:rPr>
          <w:rFonts w:ascii="Arial" w:hAnsi="Arial" w:cs="Arial"/>
          <w:sz w:val="22"/>
          <w:szCs w:val="22"/>
          <w:lang w:eastAsia="cs-CZ"/>
        </w:rPr>
        <w:t>1</w:t>
      </w:r>
      <w:r w:rsidR="000301D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301D0" w:rsidRPr="0070629B">
        <w:rPr>
          <w:rFonts w:ascii="Arial" w:hAnsi="Arial" w:cs="Arial"/>
          <w:sz w:val="22"/>
          <w:szCs w:val="22"/>
          <w:lang w:eastAsia="cs-CZ"/>
        </w:rPr>
        <w:t>324</w:t>
      </w:r>
      <w:r w:rsidR="000301D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301D0" w:rsidRPr="0070629B">
        <w:rPr>
          <w:rFonts w:ascii="Arial" w:hAnsi="Arial" w:cs="Arial"/>
          <w:sz w:val="22"/>
          <w:szCs w:val="22"/>
          <w:lang w:eastAsia="cs-CZ"/>
        </w:rPr>
        <w:t>510 Kč</w:t>
      </w:r>
      <w:r w:rsidR="000301D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>plně hra</w:t>
      </w:r>
      <w:r w:rsidR="000301D0">
        <w:rPr>
          <w:rFonts w:ascii="Arial" w:hAnsi="Arial" w:cs="Arial"/>
          <w:sz w:val="22"/>
          <w:szCs w:val="22"/>
          <w:lang w:eastAsia="cs-CZ"/>
        </w:rPr>
        <w:t>zenou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>prostředků státního rozpočtu časově nerozlišilo</w:t>
      </w:r>
      <w:r w:rsidR="00C612A2" w:rsidRPr="0070629B">
        <w:rPr>
          <w:rFonts w:ascii="Arial" w:hAnsi="Arial" w:cs="Arial"/>
          <w:sz w:val="22"/>
          <w:szCs w:val="22"/>
          <w:lang w:eastAsia="cs-CZ"/>
        </w:rPr>
        <w:t xml:space="preserve"> a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612A2" w:rsidRPr="0070629B">
        <w:rPr>
          <w:rFonts w:ascii="Arial" w:hAnsi="Arial" w:cs="Arial"/>
          <w:sz w:val="22"/>
          <w:szCs w:val="22"/>
          <w:lang w:eastAsia="cs-CZ"/>
        </w:rPr>
        <w:t>zaúčtovalo j</w:t>
      </w:r>
      <w:r w:rsidR="004761DA">
        <w:rPr>
          <w:rFonts w:ascii="Arial" w:hAnsi="Arial" w:cs="Arial"/>
          <w:sz w:val="22"/>
          <w:szCs w:val="22"/>
          <w:lang w:eastAsia="cs-CZ"/>
        </w:rPr>
        <w:t>i</w:t>
      </w:r>
      <w:r w:rsidR="00C612A2" w:rsidRPr="0070629B">
        <w:rPr>
          <w:rFonts w:ascii="Arial" w:hAnsi="Arial" w:cs="Arial"/>
          <w:sz w:val="22"/>
          <w:szCs w:val="22"/>
          <w:lang w:eastAsia="cs-CZ"/>
        </w:rPr>
        <w:t xml:space="preserve"> do nákladů roku 2012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a část nákladů</w:t>
      </w:r>
      <w:r w:rsidR="00590E1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90E1D" w:rsidRPr="0070629B">
        <w:rPr>
          <w:rFonts w:ascii="Arial" w:hAnsi="Arial" w:cs="Arial"/>
          <w:sz w:val="22"/>
          <w:szCs w:val="22"/>
          <w:lang w:eastAsia="cs-CZ"/>
        </w:rPr>
        <w:t>ve výši 434 975 Kč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hra</w:t>
      </w:r>
      <w:r w:rsidR="000301D0">
        <w:rPr>
          <w:rFonts w:ascii="Arial" w:hAnsi="Arial" w:cs="Arial"/>
          <w:sz w:val="22"/>
          <w:szCs w:val="22"/>
          <w:lang w:eastAsia="cs-CZ"/>
        </w:rPr>
        <w:t>zenou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 xml:space="preserve"> z prostředků technické pomoci </w:t>
      </w:r>
      <w:r w:rsidR="00C612A2" w:rsidRPr="0070629B">
        <w:rPr>
          <w:rFonts w:ascii="Arial" w:hAnsi="Arial" w:cs="Arial"/>
          <w:sz w:val="22"/>
          <w:szCs w:val="22"/>
        </w:rPr>
        <w:t xml:space="preserve">operačního programu </w:t>
      </w:r>
      <w:r w:rsidR="00C612A2" w:rsidRPr="0070629B">
        <w:rPr>
          <w:rFonts w:ascii="Arial" w:hAnsi="Arial" w:cs="Arial"/>
          <w:i/>
          <w:sz w:val="22"/>
          <w:szCs w:val="22"/>
        </w:rPr>
        <w:t>Výzkum a vývoj pro inovace</w:t>
      </w:r>
      <w:r w:rsidR="00C612A2"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54B84" w:rsidRPr="0070629B">
        <w:rPr>
          <w:rFonts w:ascii="Arial" w:hAnsi="Arial" w:cs="Arial"/>
          <w:sz w:val="22"/>
          <w:szCs w:val="22"/>
          <w:lang w:eastAsia="cs-CZ"/>
        </w:rPr>
        <w:t>časově rozlišilo.</w:t>
      </w:r>
    </w:p>
    <w:p w:rsidR="00754B84" w:rsidRDefault="00754B84" w:rsidP="0013459C">
      <w:pPr>
        <w:pStyle w:val="NormlnKZ"/>
        <w:spacing w:after="0"/>
        <w:ind w:firstLine="0"/>
        <w:rPr>
          <w:rFonts w:ascii="Arial" w:hAnsi="Arial" w:cs="Arial"/>
          <w:spacing w:val="-2"/>
          <w:szCs w:val="22"/>
          <w:highlight w:val="green"/>
        </w:rPr>
      </w:pPr>
    </w:p>
    <w:p w:rsidR="00DC7273" w:rsidRDefault="00DC7273" w:rsidP="00DC7273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 w:rsidRPr="00DC7273">
        <w:rPr>
          <w:rFonts w:ascii="Arial" w:hAnsi="Arial" w:cs="Arial"/>
          <w:b/>
          <w:szCs w:val="22"/>
        </w:rPr>
        <w:t>1.2.1.</w:t>
      </w:r>
      <w:r w:rsidR="00754B84">
        <w:rPr>
          <w:rFonts w:ascii="Arial" w:hAnsi="Arial" w:cs="Arial"/>
          <w:b/>
          <w:szCs w:val="22"/>
        </w:rPr>
        <w:t>3</w:t>
      </w:r>
      <w:r w:rsidRPr="00DC7273">
        <w:rPr>
          <w:rFonts w:ascii="Arial" w:hAnsi="Arial" w:cs="Arial"/>
          <w:b/>
          <w:szCs w:val="22"/>
        </w:rPr>
        <w:t xml:space="preserve"> Přehled o změnách vlastního kapitálu</w:t>
      </w:r>
    </w:p>
    <w:p w:rsidR="00DC7273" w:rsidRPr="00E50173" w:rsidRDefault="00DC7273" w:rsidP="00DC7273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DC7273" w:rsidRPr="008A3369" w:rsidRDefault="00DC7273" w:rsidP="00E50173">
      <w:pPr>
        <w:pStyle w:val="NormlnKZ"/>
        <w:ind w:firstLine="0"/>
        <w:rPr>
          <w:rFonts w:ascii="Arial" w:hAnsi="Arial" w:cs="Arial"/>
          <w:b/>
          <w:i/>
          <w:spacing w:val="-2"/>
          <w:szCs w:val="22"/>
        </w:rPr>
      </w:pPr>
      <w:r>
        <w:rPr>
          <w:rFonts w:ascii="Arial" w:hAnsi="Arial" w:cs="Arial"/>
          <w:b/>
          <w:i/>
          <w:spacing w:val="-2"/>
          <w:szCs w:val="22"/>
        </w:rPr>
        <w:t>Darovaný nemovitý majetek</w:t>
      </w:r>
    </w:p>
    <w:p w:rsidR="009D20E2" w:rsidRPr="009D20E2" w:rsidRDefault="009D20E2" w:rsidP="00DC7273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9D20E2">
        <w:rPr>
          <w:rFonts w:ascii="Arial" w:hAnsi="Arial" w:cs="Arial"/>
          <w:szCs w:val="22"/>
        </w:rPr>
        <w:t>MŠMT</w:t>
      </w:r>
      <w:r>
        <w:rPr>
          <w:rFonts w:ascii="Arial" w:hAnsi="Arial" w:cs="Arial"/>
          <w:szCs w:val="22"/>
        </w:rPr>
        <w:t xml:space="preserve"> informaci o bezúplatn</w:t>
      </w:r>
      <w:r w:rsidR="006A5614">
        <w:rPr>
          <w:rFonts w:ascii="Arial" w:hAnsi="Arial" w:cs="Arial"/>
          <w:szCs w:val="22"/>
        </w:rPr>
        <w:t>ém</w:t>
      </w:r>
      <w:r>
        <w:rPr>
          <w:rFonts w:ascii="Arial" w:hAnsi="Arial" w:cs="Arial"/>
          <w:szCs w:val="22"/>
        </w:rPr>
        <w:t xml:space="preserve"> převod</w:t>
      </w:r>
      <w:r w:rsidR="006A561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 pozemku a budovy </w:t>
      </w:r>
      <w:r w:rsidR="00765F23">
        <w:rPr>
          <w:rFonts w:ascii="Arial" w:hAnsi="Arial" w:cs="Arial"/>
          <w:szCs w:val="22"/>
        </w:rPr>
        <w:t>z </w:t>
      </w:r>
      <w:r>
        <w:rPr>
          <w:rFonts w:ascii="Arial" w:hAnsi="Arial" w:cs="Arial"/>
          <w:szCs w:val="22"/>
        </w:rPr>
        <w:t xml:space="preserve">titulu uzavřené darovací smlouvy </w:t>
      </w:r>
      <w:r w:rsidR="00765F23">
        <w:rPr>
          <w:rFonts w:ascii="Arial" w:hAnsi="Arial" w:cs="Arial"/>
          <w:szCs w:val="22"/>
        </w:rPr>
        <w:t>s </w:t>
      </w:r>
      <w:r w:rsidR="006A5614">
        <w:rPr>
          <w:rFonts w:ascii="Arial" w:hAnsi="Arial" w:cs="Arial"/>
          <w:szCs w:val="22"/>
        </w:rPr>
        <w:t xml:space="preserve">vyšším územně samosprávným celkem vykázalo </w:t>
      </w:r>
      <w:r>
        <w:rPr>
          <w:rFonts w:ascii="Arial" w:hAnsi="Arial" w:cs="Arial"/>
          <w:szCs w:val="22"/>
        </w:rPr>
        <w:t>nesprávně na položkách „</w:t>
      </w:r>
      <w:proofErr w:type="gramStart"/>
      <w:r w:rsidRPr="009D20E2">
        <w:rPr>
          <w:rFonts w:ascii="Arial" w:hAnsi="Arial" w:cs="Arial"/>
          <w:i/>
          <w:szCs w:val="22"/>
        </w:rPr>
        <w:t>A.I.1.</w:t>
      </w:r>
      <w:proofErr w:type="gramEnd"/>
      <w:r w:rsidR="00016A49">
        <w:rPr>
          <w:rFonts w:ascii="Arial" w:hAnsi="Arial" w:cs="Arial"/>
          <w:i/>
          <w:szCs w:val="22"/>
        </w:rPr>
        <w:t> </w:t>
      </w:r>
      <w:r w:rsidRPr="009D20E2">
        <w:rPr>
          <w:rFonts w:ascii="Arial" w:hAnsi="Arial" w:cs="Arial"/>
          <w:i/>
          <w:szCs w:val="22"/>
        </w:rPr>
        <w:t xml:space="preserve">Změna, vznik nebo zánik příslušnosti hospodařit </w:t>
      </w:r>
      <w:r w:rsidR="00765F23">
        <w:rPr>
          <w:rFonts w:ascii="Arial" w:hAnsi="Arial" w:cs="Arial"/>
          <w:i/>
          <w:szCs w:val="22"/>
        </w:rPr>
        <w:t>s </w:t>
      </w:r>
      <w:r w:rsidRPr="009D20E2">
        <w:rPr>
          <w:rFonts w:ascii="Arial" w:hAnsi="Arial" w:cs="Arial"/>
          <w:i/>
          <w:szCs w:val="22"/>
        </w:rPr>
        <w:t>majetkem státu</w:t>
      </w:r>
      <w:r>
        <w:rPr>
          <w:rFonts w:ascii="Arial" w:hAnsi="Arial" w:cs="Arial"/>
          <w:szCs w:val="22"/>
        </w:rPr>
        <w:t>“ a „</w:t>
      </w:r>
      <w:proofErr w:type="gramStart"/>
      <w:r w:rsidRPr="009D20E2">
        <w:rPr>
          <w:rFonts w:ascii="Arial" w:hAnsi="Arial" w:cs="Arial"/>
          <w:i/>
          <w:szCs w:val="22"/>
        </w:rPr>
        <w:t>A.I.6.</w:t>
      </w:r>
      <w:proofErr w:type="gramEnd"/>
      <w:r w:rsidRPr="009D20E2">
        <w:rPr>
          <w:rFonts w:ascii="Arial" w:hAnsi="Arial" w:cs="Arial"/>
          <w:i/>
          <w:szCs w:val="22"/>
        </w:rPr>
        <w:t xml:space="preserve"> Ostatní</w:t>
      </w:r>
      <w:r>
        <w:rPr>
          <w:rFonts w:ascii="Arial" w:hAnsi="Arial" w:cs="Arial"/>
          <w:szCs w:val="22"/>
        </w:rPr>
        <w:t>“ místo na položce „</w:t>
      </w:r>
      <w:proofErr w:type="gramStart"/>
      <w:r w:rsidRPr="009D20E2">
        <w:rPr>
          <w:rFonts w:ascii="Arial" w:hAnsi="Arial" w:cs="Arial"/>
          <w:i/>
          <w:szCs w:val="22"/>
        </w:rPr>
        <w:t>A.I.5.</w:t>
      </w:r>
      <w:proofErr w:type="gramEnd"/>
      <w:r w:rsidRPr="009D20E2">
        <w:rPr>
          <w:rFonts w:ascii="Arial" w:hAnsi="Arial" w:cs="Arial"/>
          <w:i/>
          <w:szCs w:val="22"/>
        </w:rPr>
        <w:t xml:space="preserve"> Dary</w:t>
      </w:r>
      <w:r>
        <w:rPr>
          <w:rFonts w:ascii="Arial" w:hAnsi="Arial" w:cs="Arial"/>
          <w:szCs w:val="22"/>
        </w:rPr>
        <w:t>“,</w:t>
      </w:r>
      <w:r w:rsidR="006A5614">
        <w:rPr>
          <w:rFonts w:ascii="Arial" w:hAnsi="Arial" w:cs="Arial"/>
          <w:szCs w:val="22"/>
        </w:rPr>
        <w:t xml:space="preserve"> kde </w:t>
      </w:r>
      <w:r w:rsidR="00765F23">
        <w:rPr>
          <w:rFonts w:ascii="Arial" w:hAnsi="Arial" w:cs="Arial"/>
          <w:szCs w:val="22"/>
        </w:rPr>
        <w:t>v </w:t>
      </w:r>
      <w:r w:rsidR="006A5614">
        <w:rPr>
          <w:rFonts w:ascii="Arial" w:hAnsi="Arial" w:cs="Arial"/>
          <w:szCs w:val="22"/>
        </w:rPr>
        <w:t xml:space="preserve">souladu </w:t>
      </w:r>
      <w:r w:rsidR="00765F23">
        <w:rPr>
          <w:rFonts w:ascii="Arial" w:hAnsi="Arial" w:cs="Arial"/>
          <w:szCs w:val="22"/>
        </w:rPr>
        <w:t>s </w:t>
      </w:r>
      <w:r w:rsidR="006A5614">
        <w:rPr>
          <w:rFonts w:ascii="Arial" w:hAnsi="Arial" w:cs="Arial"/>
          <w:szCs w:val="22"/>
        </w:rPr>
        <w:t xml:space="preserve">vyhláškou č. 410/2009 Sb. mají být </w:t>
      </w:r>
      <w:r>
        <w:rPr>
          <w:rFonts w:ascii="Arial" w:hAnsi="Arial" w:cs="Arial"/>
          <w:szCs w:val="22"/>
        </w:rPr>
        <w:t>případy zvýšení či snížení položky rozvahy „</w:t>
      </w:r>
      <w:proofErr w:type="gramStart"/>
      <w:r w:rsidRPr="009D20E2">
        <w:rPr>
          <w:rFonts w:ascii="Arial" w:hAnsi="Arial" w:cs="Arial"/>
          <w:i/>
          <w:szCs w:val="22"/>
        </w:rPr>
        <w:t>C.I.1.</w:t>
      </w:r>
      <w:proofErr w:type="gramEnd"/>
      <w:r w:rsidRPr="009D20E2">
        <w:rPr>
          <w:rFonts w:ascii="Arial" w:hAnsi="Arial" w:cs="Arial"/>
          <w:i/>
          <w:szCs w:val="22"/>
        </w:rPr>
        <w:t xml:space="preserve"> Jmění účetní jednotky</w:t>
      </w:r>
      <w:r>
        <w:rPr>
          <w:rFonts w:ascii="Arial" w:hAnsi="Arial" w:cs="Arial"/>
          <w:szCs w:val="22"/>
        </w:rPr>
        <w:t xml:space="preserve">“ </w:t>
      </w:r>
      <w:r w:rsidR="00765F23">
        <w:rPr>
          <w:rFonts w:ascii="Arial" w:hAnsi="Arial" w:cs="Arial"/>
          <w:szCs w:val="22"/>
        </w:rPr>
        <w:t>z </w:t>
      </w:r>
      <w:r>
        <w:rPr>
          <w:rFonts w:ascii="Arial" w:hAnsi="Arial" w:cs="Arial"/>
          <w:szCs w:val="22"/>
        </w:rPr>
        <w:t xml:space="preserve">titulu darovací smlouvy správně </w:t>
      </w:r>
      <w:r w:rsidR="006A5614">
        <w:rPr>
          <w:rFonts w:ascii="Arial" w:hAnsi="Arial" w:cs="Arial"/>
          <w:szCs w:val="22"/>
        </w:rPr>
        <w:t>vykázány</w:t>
      </w:r>
      <w:r>
        <w:rPr>
          <w:rFonts w:ascii="Arial" w:hAnsi="Arial" w:cs="Arial"/>
          <w:szCs w:val="22"/>
        </w:rPr>
        <w:t xml:space="preserve">. </w:t>
      </w:r>
      <w:r w:rsidR="00765F23">
        <w:rPr>
          <w:rFonts w:ascii="Arial" w:hAnsi="Arial" w:cs="Arial"/>
          <w:szCs w:val="22"/>
        </w:rPr>
        <w:t>V </w:t>
      </w:r>
      <w:r>
        <w:rPr>
          <w:rFonts w:ascii="Arial" w:hAnsi="Arial" w:cs="Arial"/>
          <w:szCs w:val="22"/>
        </w:rPr>
        <w:t xml:space="preserve">důsledku toho MŠMT </w:t>
      </w:r>
      <w:r w:rsidR="00765F23">
        <w:rPr>
          <w:rFonts w:ascii="Arial" w:hAnsi="Arial" w:cs="Arial"/>
          <w:szCs w:val="22"/>
        </w:rPr>
        <w:t>v </w:t>
      </w:r>
      <w:r>
        <w:rPr>
          <w:rFonts w:ascii="Arial" w:hAnsi="Arial" w:cs="Arial"/>
          <w:szCs w:val="22"/>
        </w:rPr>
        <w:t xml:space="preserve">přehledu o změnách vlastního kapitálu ve sloupci </w:t>
      </w:r>
      <w:r w:rsidRPr="00E50173">
        <w:rPr>
          <w:rFonts w:ascii="Arial" w:hAnsi="Arial" w:cs="Arial"/>
          <w:i/>
          <w:szCs w:val="22"/>
        </w:rPr>
        <w:t>Snížení stavu</w:t>
      </w:r>
      <w:r>
        <w:rPr>
          <w:rFonts w:ascii="Arial" w:hAnsi="Arial" w:cs="Arial"/>
          <w:szCs w:val="22"/>
        </w:rPr>
        <w:t xml:space="preserve"> nadhodnotilo položku „</w:t>
      </w:r>
      <w:proofErr w:type="gramStart"/>
      <w:r w:rsidRPr="000D57B1">
        <w:rPr>
          <w:rFonts w:ascii="Arial" w:hAnsi="Arial" w:cs="Arial"/>
          <w:i/>
          <w:szCs w:val="22"/>
        </w:rPr>
        <w:t>A.I.1.</w:t>
      </w:r>
      <w:proofErr w:type="gramEnd"/>
      <w:r w:rsidRPr="000D57B1">
        <w:rPr>
          <w:rFonts w:ascii="Arial" w:hAnsi="Arial" w:cs="Arial"/>
          <w:i/>
          <w:szCs w:val="22"/>
        </w:rPr>
        <w:t xml:space="preserve"> Změna, vznik nebo zánik příslušnosti hospodařit s majetkem státu</w:t>
      </w:r>
      <w:r>
        <w:rPr>
          <w:rFonts w:ascii="Arial" w:hAnsi="Arial" w:cs="Arial"/>
          <w:szCs w:val="22"/>
        </w:rPr>
        <w:t>“ o 5</w:t>
      </w:r>
      <w:r w:rsidR="005F310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940</w:t>
      </w:r>
      <w:r w:rsidR="005F310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000 Kč, nadhodnotilo položku „</w:t>
      </w:r>
      <w:proofErr w:type="gramStart"/>
      <w:r w:rsidRPr="000D57B1">
        <w:rPr>
          <w:rFonts w:ascii="Arial" w:hAnsi="Arial" w:cs="Arial"/>
          <w:i/>
          <w:szCs w:val="22"/>
        </w:rPr>
        <w:t>A.I.6.</w:t>
      </w:r>
      <w:proofErr w:type="gramEnd"/>
      <w:r w:rsidRPr="000D57B1">
        <w:rPr>
          <w:rFonts w:ascii="Arial" w:hAnsi="Arial" w:cs="Arial"/>
          <w:i/>
          <w:szCs w:val="22"/>
        </w:rPr>
        <w:t xml:space="preserve"> Ostatní</w:t>
      </w:r>
      <w:r>
        <w:rPr>
          <w:rFonts w:ascii="Arial" w:hAnsi="Arial" w:cs="Arial"/>
          <w:szCs w:val="22"/>
        </w:rPr>
        <w:t>“ o</w:t>
      </w:r>
      <w:r w:rsidR="00016A49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6</w:t>
      </w:r>
      <w:r w:rsidR="00016A49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281</w:t>
      </w:r>
      <w:r w:rsidR="00016A49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224,70 Kč a</w:t>
      </w:r>
      <w:r w:rsidR="002B51EB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podhodnotilo položku „</w:t>
      </w:r>
      <w:proofErr w:type="gramStart"/>
      <w:r w:rsidRPr="000D57B1">
        <w:rPr>
          <w:rFonts w:ascii="Arial" w:hAnsi="Arial" w:cs="Arial"/>
          <w:i/>
          <w:szCs w:val="22"/>
        </w:rPr>
        <w:t>A.I.5.</w:t>
      </w:r>
      <w:proofErr w:type="gramEnd"/>
      <w:r w:rsidRPr="000D57B1">
        <w:rPr>
          <w:rFonts w:ascii="Arial" w:hAnsi="Arial" w:cs="Arial"/>
          <w:i/>
          <w:szCs w:val="22"/>
        </w:rPr>
        <w:t xml:space="preserve"> Dary</w:t>
      </w:r>
      <w:r w:rsidR="000D57B1">
        <w:rPr>
          <w:rFonts w:ascii="Arial" w:hAnsi="Arial" w:cs="Arial"/>
          <w:szCs w:val="22"/>
        </w:rPr>
        <w:t>“ o 12</w:t>
      </w:r>
      <w:r w:rsidR="005F3102">
        <w:rPr>
          <w:rFonts w:ascii="Arial" w:hAnsi="Arial" w:cs="Arial"/>
          <w:szCs w:val="22"/>
        </w:rPr>
        <w:t xml:space="preserve"> </w:t>
      </w:r>
      <w:r w:rsidR="000D57B1">
        <w:rPr>
          <w:rFonts w:ascii="Arial" w:hAnsi="Arial" w:cs="Arial"/>
          <w:szCs w:val="22"/>
        </w:rPr>
        <w:t>221</w:t>
      </w:r>
      <w:r w:rsidR="005F3102">
        <w:rPr>
          <w:rFonts w:ascii="Arial" w:hAnsi="Arial" w:cs="Arial"/>
          <w:szCs w:val="22"/>
        </w:rPr>
        <w:t xml:space="preserve"> </w:t>
      </w:r>
      <w:r w:rsidR="000D57B1">
        <w:rPr>
          <w:rFonts w:ascii="Arial" w:hAnsi="Arial" w:cs="Arial"/>
          <w:szCs w:val="22"/>
        </w:rPr>
        <w:t>224,70 Kč.</w:t>
      </w:r>
    </w:p>
    <w:p w:rsidR="00DC7273" w:rsidRDefault="00DC7273" w:rsidP="000032DA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13459C" w:rsidRPr="00E676E8" w:rsidRDefault="00754B84" w:rsidP="000032DA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1.2.1.4</w:t>
      </w:r>
      <w:r w:rsidR="00886F01" w:rsidRPr="00E676E8">
        <w:rPr>
          <w:rFonts w:ascii="Arial" w:hAnsi="Arial" w:cs="Arial"/>
          <w:b/>
          <w:szCs w:val="22"/>
        </w:rPr>
        <w:t xml:space="preserve"> </w:t>
      </w:r>
      <w:r w:rsidR="0013459C" w:rsidRPr="00E676E8">
        <w:rPr>
          <w:rFonts w:ascii="Arial" w:hAnsi="Arial" w:cs="Arial"/>
          <w:b/>
          <w:szCs w:val="22"/>
        </w:rPr>
        <w:t>Příloha ÚZ</w:t>
      </w:r>
    </w:p>
    <w:p w:rsidR="002820FC" w:rsidRPr="0015047E" w:rsidRDefault="002820FC" w:rsidP="000032DA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2820FC" w:rsidRPr="009D7B6C" w:rsidRDefault="009D7B6C" w:rsidP="00E50173">
      <w:pPr>
        <w:spacing w:after="120"/>
        <w:jc w:val="both"/>
        <w:rPr>
          <w:rFonts w:ascii="Arial" w:hAnsi="Arial" w:cs="Arial"/>
          <w:b/>
          <w:i/>
          <w:sz w:val="22"/>
          <w:szCs w:val="22"/>
          <w:lang w:eastAsia="cs-CZ"/>
        </w:rPr>
      </w:pPr>
      <w:r w:rsidRPr="009D7B6C">
        <w:rPr>
          <w:rFonts w:ascii="Arial" w:hAnsi="Arial" w:cs="Arial"/>
          <w:b/>
          <w:i/>
          <w:sz w:val="22"/>
          <w:szCs w:val="22"/>
          <w:lang w:eastAsia="cs-CZ"/>
        </w:rPr>
        <w:t xml:space="preserve">Podmíněné závazky </w:t>
      </w:r>
      <w:r w:rsidR="00765F23">
        <w:rPr>
          <w:rFonts w:ascii="Arial" w:hAnsi="Arial" w:cs="Arial"/>
          <w:b/>
          <w:i/>
          <w:sz w:val="22"/>
          <w:szCs w:val="22"/>
          <w:lang w:eastAsia="cs-CZ"/>
        </w:rPr>
        <w:t>z </w:t>
      </w:r>
      <w:r w:rsidRPr="009D7B6C">
        <w:rPr>
          <w:rFonts w:ascii="Arial" w:hAnsi="Arial" w:cs="Arial"/>
          <w:b/>
          <w:i/>
          <w:sz w:val="22"/>
          <w:szCs w:val="22"/>
          <w:lang w:eastAsia="cs-CZ"/>
        </w:rPr>
        <w:t>jiných smluv</w:t>
      </w:r>
    </w:p>
    <w:p w:rsidR="002820FC" w:rsidRPr="001233B8" w:rsidRDefault="00765F23" w:rsidP="001233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 </w:t>
      </w:r>
      <w:r w:rsidR="009D7B6C" w:rsidRPr="00AA0E87">
        <w:rPr>
          <w:rFonts w:ascii="Arial" w:hAnsi="Arial" w:cs="Arial"/>
          <w:sz w:val="22"/>
          <w:szCs w:val="22"/>
          <w:lang w:eastAsia="cs-CZ"/>
        </w:rPr>
        <w:t>příloze účetní závěrky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D7B6C" w:rsidRPr="00AA0E87">
        <w:rPr>
          <w:rFonts w:ascii="Arial" w:hAnsi="Arial" w:cs="Arial"/>
          <w:sz w:val="22"/>
          <w:szCs w:val="22"/>
          <w:lang w:eastAsia="cs-CZ"/>
        </w:rPr>
        <w:t>ne</w:t>
      </w:r>
      <w:r w:rsidR="002820FC" w:rsidRPr="00AA0E87">
        <w:rPr>
          <w:rFonts w:ascii="Arial" w:hAnsi="Arial" w:cs="Arial"/>
          <w:sz w:val="22"/>
          <w:szCs w:val="22"/>
          <w:lang w:eastAsia="cs-CZ"/>
        </w:rPr>
        <w:t xml:space="preserve">vykázalo </w:t>
      </w:r>
      <w:r w:rsidR="000301D0">
        <w:rPr>
          <w:rFonts w:ascii="Arial" w:hAnsi="Arial" w:cs="Arial"/>
          <w:sz w:val="22"/>
          <w:szCs w:val="22"/>
          <w:lang w:eastAsia="cs-CZ"/>
        </w:rPr>
        <w:t>MŠMT</w:t>
      </w:r>
      <w:r w:rsidR="000301D0" w:rsidRPr="00AA0E8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D7B6C" w:rsidRPr="00AA0E87">
        <w:rPr>
          <w:rFonts w:ascii="Arial" w:hAnsi="Arial" w:cs="Arial"/>
          <w:sz w:val="22"/>
          <w:szCs w:val="22"/>
          <w:lang w:eastAsia="cs-CZ"/>
        </w:rPr>
        <w:t xml:space="preserve">podmíněné 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krátkodobé a dlouhodobé </w:t>
      </w:r>
      <w:r w:rsidR="009D7B6C" w:rsidRPr="00AA0E87">
        <w:rPr>
          <w:rFonts w:ascii="Arial" w:hAnsi="Arial" w:cs="Arial"/>
          <w:sz w:val="22"/>
          <w:szCs w:val="22"/>
          <w:lang w:eastAsia="cs-CZ"/>
        </w:rPr>
        <w:t xml:space="preserve">závazky plynoucí </w:t>
      </w:r>
      <w:r>
        <w:rPr>
          <w:rFonts w:ascii="Arial" w:hAnsi="Arial" w:cs="Arial"/>
          <w:sz w:val="22"/>
          <w:szCs w:val="22"/>
          <w:lang w:eastAsia="cs-CZ"/>
        </w:rPr>
        <w:t>z </w:t>
      </w:r>
      <w:r w:rsidR="00300971">
        <w:rPr>
          <w:rFonts w:ascii="Arial" w:hAnsi="Arial" w:cs="Arial"/>
          <w:sz w:val="22"/>
          <w:szCs w:val="22"/>
          <w:lang w:eastAsia="cs-CZ"/>
        </w:rPr>
        <w:t xml:space="preserve">řady </w:t>
      </w:r>
      <w:r w:rsidR="00AA0E87" w:rsidRPr="00AA0E87">
        <w:rPr>
          <w:rFonts w:ascii="Arial" w:hAnsi="Arial" w:cs="Arial"/>
          <w:sz w:val="22"/>
          <w:szCs w:val="22"/>
          <w:lang w:eastAsia="cs-CZ"/>
        </w:rPr>
        <w:t>uzavřených smluv</w:t>
      </w:r>
      <w:r w:rsidR="002820FC" w:rsidRPr="00AA0E87">
        <w:rPr>
          <w:rFonts w:ascii="Arial" w:hAnsi="Arial" w:cs="Arial"/>
          <w:sz w:val="22"/>
          <w:szCs w:val="22"/>
          <w:lang w:eastAsia="cs-CZ"/>
        </w:rPr>
        <w:t xml:space="preserve">. </w:t>
      </w:r>
      <w:r>
        <w:rPr>
          <w:rFonts w:ascii="Arial" w:hAnsi="Arial" w:cs="Arial"/>
          <w:sz w:val="22"/>
          <w:szCs w:val="22"/>
          <w:lang w:eastAsia="cs-CZ"/>
        </w:rPr>
        <w:t>V 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důsledku toho MŠMT </w:t>
      </w:r>
      <w:r>
        <w:rPr>
          <w:rFonts w:ascii="Arial" w:hAnsi="Arial" w:cs="Arial"/>
          <w:sz w:val="22"/>
          <w:szCs w:val="22"/>
          <w:lang w:eastAsia="cs-CZ"/>
        </w:rPr>
        <w:t>v 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příloze ÚZ </w:t>
      </w:r>
      <w:r>
        <w:rPr>
          <w:rFonts w:ascii="Arial" w:hAnsi="Arial" w:cs="Arial"/>
          <w:sz w:val="22"/>
          <w:szCs w:val="22"/>
          <w:lang w:eastAsia="cs-CZ"/>
        </w:rPr>
        <w:t>v 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části </w:t>
      </w:r>
      <w:proofErr w:type="gramStart"/>
      <w:r w:rsidR="006A5614">
        <w:rPr>
          <w:rFonts w:ascii="Arial" w:hAnsi="Arial" w:cs="Arial"/>
          <w:sz w:val="22"/>
          <w:szCs w:val="22"/>
          <w:lang w:eastAsia="cs-CZ"/>
        </w:rPr>
        <w:t>A.4. podhodnotilo</w:t>
      </w:r>
      <w:proofErr w:type="gramEnd"/>
      <w:r w:rsidR="006A5614">
        <w:rPr>
          <w:rFonts w:ascii="Arial" w:hAnsi="Arial" w:cs="Arial"/>
          <w:sz w:val="22"/>
          <w:szCs w:val="22"/>
          <w:lang w:eastAsia="cs-CZ"/>
        </w:rPr>
        <w:t>:</w:t>
      </w:r>
    </w:p>
    <w:p w:rsidR="002820FC" w:rsidRPr="0070629B" w:rsidRDefault="002820FC" w:rsidP="0070629B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70629B">
        <w:rPr>
          <w:rFonts w:ascii="Arial" w:hAnsi="Arial" w:cs="Arial"/>
          <w:sz w:val="22"/>
          <w:szCs w:val="22"/>
          <w:lang w:eastAsia="cs-CZ"/>
        </w:rPr>
        <w:t>zůstatek účtu 97</w:t>
      </w:r>
      <w:r w:rsidR="00AA0E87" w:rsidRPr="0070629B">
        <w:rPr>
          <w:rFonts w:ascii="Arial" w:hAnsi="Arial" w:cs="Arial"/>
          <w:sz w:val="22"/>
          <w:szCs w:val="22"/>
          <w:lang w:eastAsia="cs-CZ"/>
        </w:rPr>
        <w:t>3</w:t>
      </w:r>
      <w:r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C660D" w:rsidRPr="0070629B">
        <w:rPr>
          <w:rFonts w:ascii="Arial" w:hAnsi="Arial" w:cs="Arial"/>
          <w:sz w:val="22"/>
          <w:szCs w:val="22"/>
          <w:lang w:eastAsia="cs-CZ"/>
        </w:rPr>
        <w:t>–</w:t>
      </w:r>
      <w:r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A0E87" w:rsidRPr="0070629B">
        <w:rPr>
          <w:rFonts w:ascii="Arial" w:hAnsi="Arial" w:cs="Arial"/>
          <w:i/>
          <w:sz w:val="22"/>
          <w:szCs w:val="22"/>
          <w:lang w:eastAsia="cs-CZ"/>
        </w:rPr>
        <w:t xml:space="preserve">Krátkodobé podmíněné závazky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z </w:t>
      </w:r>
      <w:r w:rsidR="00AA0E87" w:rsidRPr="0070629B">
        <w:rPr>
          <w:rFonts w:ascii="Arial" w:hAnsi="Arial" w:cs="Arial"/>
          <w:i/>
          <w:sz w:val="22"/>
          <w:szCs w:val="22"/>
          <w:lang w:eastAsia="cs-CZ"/>
        </w:rPr>
        <w:t>jiných smluv</w:t>
      </w:r>
      <w:r w:rsidRPr="0070629B">
        <w:rPr>
          <w:rFonts w:ascii="Arial" w:hAnsi="Arial" w:cs="Arial"/>
          <w:sz w:val="22"/>
          <w:szCs w:val="22"/>
          <w:lang w:eastAsia="cs-CZ"/>
        </w:rPr>
        <w:t xml:space="preserve"> o </w:t>
      </w:r>
      <w:r w:rsidR="00FB4B94" w:rsidRPr="0070629B">
        <w:rPr>
          <w:rFonts w:ascii="Arial" w:hAnsi="Arial" w:cs="Arial"/>
          <w:sz w:val="22"/>
          <w:szCs w:val="22"/>
          <w:lang w:eastAsia="cs-CZ"/>
        </w:rPr>
        <w:t>3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B4B94" w:rsidRPr="0070629B">
        <w:rPr>
          <w:rFonts w:ascii="Arial" w:hAnsi="Arial" w:cs="Arial"/>
          <w:sz w:val="22"/>
          <w:szCs w:val="22"/>
          <w:lang w:eastAsia="cs-CZ"/>
        </w:rPr>
        <w:t>852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B4B94" w:rsidRPr="0070629B">
        <w:rPr>
          <w:rFonts w:ascii="Arial" w:hAnsi="Arial" w:cs="Arial"/>
          <w:sz w:val="22"/>
          <w:szCs w:val="22"/>
          <w:lang w:eastAsia="cs-CZ"/>
        </w:rPr>
        <w:t>000</w:t>
      </w:r>
      <w:r w:rsidR="00AA0E87"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0629B">
        <w:rPr>
          <w:rFonts w:ascii="Arial" w:hAnsi="Arial" w:cs="Arial"/>
          <w:sz w:val="22"/>
          <w:szCs w:val="22"/>
          <w:lang w:eastAsia="cs-CZ"/>
        </w:rPr>
        <w:t>Kč</w:t>
      </w:r>
      <w:r w:rsidR="006A5614" w:rsidRPr="0070629B">
        <w:rPr>
          <w:rFonts w:ascii="Arial" w:hAnsi="Arial" w:cs="Arial"/>
          <w:sz w:val="22"/>
          <w:szCs w:val="22"/>
          <w:lang w:eastAsia="cs-CZ"/>
        </w:rPr>
        <w:t>;</w:t>
      </w:r>
      <w:r w:rsidR="00AA0E87"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A5614" w:rsidRPr="0070629B">
        <w:rPr>
          <w:rFonts w:ascii="Arial" w:hAnsi="Arial" w:cs="Arial"/>
          <w:sz w:val="22"/>
          <w:szCs w:val="22"/>
          <w:lang w:eastAsia="cs-CZ"/>
        </w:rPr>
        <w:t>t</w:t>
      </w:r>
      <w:r w:rsidR="00AA0E87" w:rsidRPr="0070629B">
        <w:rPr>
          <w:rFonts w:ascii="Arial" w:hAnsi="Arial" w:cs="Arial"/>
          <w:sz w:val="22"/>
          <w:szCs w:val="22"/>
          <w:lang w:eastAsia="cs-CZ"/>
        </w:rPr>
        <w:t xml:space="preserve">ato skutečnost měla vliv i na konečný zůstatek souvztažného účtu 999 – </w:t>
      </w:r>
      <w:r w:rsidR="00AA0E87" w:rsidRPr="0070629B">
        <w:rPr>
          <w:rFonts w:ascii="Arial" w:hAnsi="Arial" w:cs="Arial"/>
          <w:i/>
          <w:sz w:val="22"/>
          <w:szCs w:val="22"/>
          <w:lang w:eastAsia="cs-CZ"/>
        </w:rPr>
        <w:t>Vyrovnávací účet k podrozvahovým účtům</w:t>
      </w:r>
      <w:r w:rsidR="006A5614" w:rsidRPr="0070629B">
        <w:rPr>
          <w:rFonts w:ascii="Arial" w:hAnsi="Arial" w:cs="Arial"/>
          <w:sz w:val="22"/>
          <w:szCs w:val="22"/>
          <w:lang w:eastAsia="cs-CZ"/>
        </w:rPr>
        <w:t>;</w:t>
      </w:r>
      <w:r w:rsidR="00AA0E87" w:rsidRPr="0070629B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2820FC" w:rsidRPr="0070629B" w:rsidRDefault="00AA0E87" w:rsidP="0070629B">
      <w:pPr>
        <w:pStyle w:val="Odstavecseseznamem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70629B">
        <w:rPr>
          <w:rFonts w:ascii="Arial" w:hAnsi="Arial" w:cs="Arial"/>
          <w:sz w:val="22"/>
          <w:szCs w:val="22"/>
          <w:lang w:eastAsia="cs-CZ"/>
        </w:rPr>
        <w:t xml:space="preserve">zůstatek účtu 974 – </w:t>
      </w:r>
      <w:r w:rsidRPr="0070629B">
        <w:rPr>
          <w:rFonts w:ascii="Arial" w:hAnsi="Arial" w:cs="Arial"/>
          <w:i/>
          <w:sz w:val="22"/>
          <w:szCs w:val="22"/>
          <w:lang w:eastAsia="cs-CZ"/>
        </w:rPr>
        <w:t xml:space="preserve">Dlouhodobé podmíněné závazky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z </w:t>
      </w:r>
      <w:r w:rsidRPr="0070629B">
        <w:rPr>
          <w:rFonts w:ascii="Arial" w:hAnsi="Arial" w:cs="Arial"/>
          <w:i/>
          <w:sz w:val="22"/>
          <w:szCs w:val="22"/>
          <w:lang w:eastAsia="cs-CZ"/>
        </w:rPr>
        <w:t>jiných smluv</w:t>
      </w:r>
      <w:r w:rsidRPr="0070629B">
        <w:rPr>
          <w:rFonts w:ascii="Arial" w:hAnsi="Arial" w:cs="Arial"/>
          <w:sz w:val="22"/>
          <w:szCs w:val="22"/>
          <w:lang w:eastAsia="cs-CZ"/>
        </w:rPr>
        <w:t xml:space="preserve"> o 74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0629B">
        <w:rPr>
          <w:rFonts w:ascii="Arial" w:hAnsi="Arial" w:cs="Arial"/>
          <w:sz w:val="22"/>
          <w:szCs w:val="22"/>
          <w:lang w:eastAsia="cs-CZ"/>
        </w:rPr>
        <w:t>687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0629B">
        <w:rPr>
          <w:rFonts w:ascii="Arial" w:hAnsi="Arial" w:cs="Arial"/>
          <w:sz w:val="22"/>
          <w:szCs w:val="22"/>
          <w:lang w:eastAsia="cs-CZ"/>
        </w:rPr>
        <w:t>513,98 Kč</w:t>
      </w:r>
      <w:r w:rsidR="006A5614" w:rsidRPr="0070629B">
        <w:rPr>
          <w:rFonts w:ascii="Arial" w:hAnsi="Arial" w:cs="Arial"/>
          <w:sz w:val="22"/>
          <w:szCs w:val="22"/>
          <w:lang w:eastAsia="cs-CZ"/>
        </w:rPr>
        <w:t>;</w:t>
      </w:r>
      <w:r w:rsidR="000C567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A5614" w:rsidRPr="0070629B">
        <w:rPr>
          <w:rFonts w:ascii="Arial" w:hAnsi="Arial" w:cs="Arial"/>
          <w:sz w:val="22"/>
          <w:szCs w:val="22"/>
          <w:lang w:eastAsia="cs-CZ"/>
        </w:rPr>
        <w:t>t</w:t>
      </w:r>
      <w:r w:rsidRPr="0070629B">
        <w:rPr>
          <w:rFonts w:ascii="Arial" w:hAnsi="Arial" w:cs="Arial"/>
          <w:sz w:val="22"/>
          <w:szCs w:val="22"/>
          <w:lang w:eastAsia="cs-CZ"/>
        </w:rPr>
        <w:t xml:space="preserve">ato skutečnost měla vliv i na konečný zůstatek souvztažného účtu 999 – </w:t>
      </w:r>
      <w:r w:rsidRPr="0070629B">
        <w:rPr>
          <w:rFonts w:ascii="Arial" w:hAnsi="Arial" w:cs="Arial"/>
          <w:i/>
          <w:sz w:val="22"/>
          <w:szCs w:val="22"/>
          <w:lang w:eastAsia="cs-CZ"/>
        </w:rPr>
        <w:t xml:space="preserve">Vyrovnávací účet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k </w:t>
      </w:r>
      <w:r w:rsidRPr="0070629B">
        <w:rPr>
          <w:rFonts w:ascii="Arial" w:hAnsi="Arial" w:cs="Arial"/>
          <w:i/>
          <w:sz w:val="22"/>
          <w:szCs w:val="22"/>
          <w:lang w:eastAsia="cs-CZ"/>
        </w:rPr>
        <w:t>podrozvahovým účtům</w:t>
      </w:r>
      <w:r w:rsidRPr="0070629B">
        <w:rPr>
          <w:rFonts w:ascii="Arial" w:hAnsi="Arial" w:cs="Arial"/>
          <w:sz w:val="22"/>
          <w:szCs w:val="22"/>
          <w:lang w:eastAsia="cs-CZ"/>
        </w:rPr>
        <w:t>.</w:t>
      </w:r>
    </w:p>
    <w:p w:rsidR="002820FC" w:rsidRPr="0015047E" w:rsidRDefault="002820FC" w:rsidP="00886F01">
      <w:pPr>
        <w:ind w:left="284"/>
        <w:jc w:val="both"/>
        <w:rPr>
          <w:rFonts w:ascii="Arial" w:hAnsi="Arial" w:cs="Arial"/>
          <w:sz w:val="22"/>
          <w:szCs w:val="22"/>
          <w:highlight w:val="green"/>
          <w:lang w:eastAsia="cs-CZ"/>
        </w:rPr>
      </w:pPr>
    </w:p>
    <w:p w:rsidR="002820FC" w:rsidRPr="007E5B32" w:rsidRDefault="002820FC" w:rsidP="0070629B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7E5B32">
        <w:rPr>
          <w:rFonts w:ascii="Arial" w:hAnsi="Arial" w:cs="Arial"/>
          <w:sz w:val="22"/>
          <w:szCs w:val="22"/>
          <w:lang w:eastAsia="cs-CZ"/>
        </w:rPr>
        <w:t xml:space="preserve">MŠMT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B248D1" w:rsidRPr="007E5B32">
        <w:rPr>
          <w:rFonts w:ascii="Arial" w:hAnsi="Arial" w:cs="Arial"/>
          <w:sz w:val="22"/>
          <w:szCs w:val="22"/>
          <w:lang w:eastAsia="cs-CZ"/>
        </w:rPr>
        <w:t>p</w:t>
      </w:r>
      <w:r w:rsidRPr="007E5B32">
        <w:rPr>
          <w:rFonts w:ascii="Arial" w:hAnsi="Arial" w:cs="Arial"/>
          <w:sz w:val="22"/>
          <w:szCs w:val="22"/>
          <w:lang w:eastAsia="cs-CZ"/>
        </w:rPr>
        <w:t>říloze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E5B32">
        <w:rPr>
          <w:rFonts w:ascii="Arial" w:hAnsi="Arial" w:cs="Arial"/>
          <w:sz w:val="22"/>
          <w:szCs w:val="22"/>
          <w:lang w:eastAsia="cs-CZ"/>
        </w:rPr>
        <w:t xml:space="preserve">ÚZ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Pr="007E5B32">
        <w:rPr>
          <w:rFonts w:ascii="Arial" w:hAnsi="Arial" w:cs="Arial"/>
          <w:sz w:val="22"/>
          <w:szCs w:val="22"/>
          <w:lang w:eastAsia="cs-CZ"/>
        </w:rPr>
        <w:t xml:space="preserve">části </w:t>
      </w:r>
      <w:proofErr w:type="gramStart"/>
      <w:r w:rsidRPr="007E5B32">
        <w:rPr>
          <w:rFonts w:ascii="Arial" w:hAnsi="Arial" w:cs="Arial"/>
          <w:sz w:val="22"/>
          <w:szCs w:val="22"/>
          <w:lang w:eastAsia="cs-CZ"/>
        </w:rPr>
        <w:t>A.4.</w:t>
      </w:r>
      <w:r w:rsidR="004F2AAC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E5B32">
        <w:rPr>
          <w:rFonts w:ascii="Arial" w:hAnsi="Arial" w:cs="Arial"/>
          <w:sz w:val="22"/>
          <w:szCs w:val="22"/>
          <w:lang w:eastAsia="cs-CZ"/>
        </w:rPr>
        <w:t>dále</w:t>
      </w:r>
      <w:proofErr w:type="gramEnd"/>
      <w:r w:rsidR="007E5B32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E5B32">
        <w:rPr>
          <w:rFonts w:ascii="Arial" w:hAnsi="Arial" w:cs="Arial"/>
          <w:sz w:val="22"/>
          <w:szCs w:val="22"/>
          <w:lang w:eastAsia="cs-CZ"/>
        </w:rPr>
        <w:t xml:space="preserve">podhodnotilo zůstatek účtu 974 </w:t>
      </w:r>
      <w:r w:rsidRPr="007E5B32">
        <w:rPr>
          <w:rFonts w:ascii="Arial" w:hAnsi="Arial" w:cs="Arial"/>
          <w:spacing w:val="-2"/>
          <w:sz w:val="22"/>
          <w:szCs w:val="22"/>
        </w:rPr>
        <w:t>–</w:t>
      </w:r>
      <w:r w:rsidRPr="007E5B32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E5B32">
        <w:rPr>
          <w:rFonts w:ascii="Arial" w:hAnsi="Arial" w:cs="Arial"/>
          <w:i/>
          <w:sz w:val="22"/>
          <w:szCs w:val="22"/>
          <w:lang w:eastAsia="cs-CZ"/>
        </w:rPr>
        <w:t xml:space="preserve">Dlouhodobé podmíněné závazky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z </w:t>
      </w:r>
      <w:r w:rsidRPr="007E5B32">
        <w:rPr>
          <w:rFonts w:ascii="Arial" w:hAnsi="Arial" w:cs="Arial"/>
          <w:i/>
          <w:sz w:val="22"/>
          <w:szCs w:val="22"/>
          <w:lang w:eastAsia="cs-CZ"/>
        </w:rPr>
        <w:t>jiných smluv</w:t>
      </w:r>
      <w:r w:rsidR="006A5614">
        <w:rPr>
          <w:rFonts w:ascii="Arial" w:hAnsi="Arial" w:cs="Arial"/>
          <w:i/>
          <w:sz w:val="22"/>
          <w:szCs w:val="22"/>
          <w:lang w:eastAsia="cs-CZ"/>
        </w:rPr>
        <w:t xml:space="preserve"> </w:t>
      </w:r>
      <w:r w:rsidR="006A5614" w:rsidRPr="001233B8">
        <w:rPr>
          <w:rFonts w:ascii="Arial" w:hAnsi="Arial" w:cs="Arial"/>
          <w:sz w:val="22"/>
          <w:szCs w:val="22"/>
          <w:lang w:eastAsia="cs-CZ"/>
        </w:rPr>
        <w:t>také tím</w:t>
      </w:r>
      <w:r w:rsidR="006A5614" w:rsidRPr="00E50173">
        <w:rPr>
          <w:rFonts w:ascii="Arial" w:hAnsi="Arial" w:cs="Arial"/>
          <w:sz w:val="22"/>
          <w:szCs w:val="22"/>
          <w:lang w:eastAsia="cs-CZ"/>
        </w:rPr>
        <w:t>,</w:t>
      </w:r>
      <w:r w:rsidR="006A5614">
        <w:rPr>
          <w:rFonts w:ascii="Arial" w:hAnsi="Arial" w:cs="Arial"/>
          <w:i/>
          <w:sz w:val="22"/>
          <w:szCs w:val="22"/>
          <w:lang w:eastAsia="cs-CZ"/>
        </w:rPr>
        <w:t xml:space="preserve"> </w:t>
      </w:r>
      <w:r w:rsidR="006A5614" w:rsidRPr="001233B8">
        <w:rPr>
          <w:rFonts w:ascii="Arial" w:hAnsi="Arial" w:cs="Arial"/>
          <w:sz w:val="22"/>
          <w:szCs w:val="22"/>
          <w:lang w:eastAsia="cs-CZ"/>
        </w:rPr>
        <w:t>že</w:t>
      </w:r>
      <w:r w:rsidRPr="007E5B3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Pr="007E5B32">
        <w:rPr>
          <w:rFonts w:ascii="Arial" w:hAnsi="Arial" w:cs="Arial"/>
          <w:sz w:val="22"/>
          <w:szCs w:val="22"/>
          <w:lang w:eastAsia="cs-CZ"/>
        </w:rPr>
        <w:t>roce 201</w:t>
      </w:r>
      <w:r w:rsidR="007E5B32">
        <w:rPr>
          <w:rFonts w:ascii="Arial" w:hAnsi="Arial" w:cs="Arial"/>
          <w:sz w:val="22"/>
          <w:szCs w:val="22"/>
          <w:lang w:eastAsia="cs-CZ"/>
        </w:rPr>
        <w:t>2</w:t>
      </w:r>
      <w:r w:rsidRPr="007E5B32">
        <w:rPr>
          <w:rFonts w:ascii="Arial" w:hAnsi="Arial" w:cs="Arial"/>
          <w:sz w:val="22"/>
          <w:szCs w:val="22"/>
          <w:lang w:eastAsia="cs-CZ"/>
        </w:rPr>
        <w:t xml:space="preserve"> neúčtovalo o podmíněné výši dlouhodobého závazku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 w:rsidRPr="007E5B32">
        <w:rPr>
          <w:rFonts w:ascii="Arial" w:hAnsi="Arial" w:cs="Arial"/>
          <w:sz w:val="22"/>
          <w:szCs w:val="22"/>
          <w:lang w:eastAsia="cs-CZ"/>
        </w:rPr>
        <w:t xml:space="preserve">titulu uzavřené nájemní smlouvy </w:t>
      </w:r>
      <w:r w:rsidR="000301D0">
        <w:rPr>
          <w:rFonts w:ascii="Arial" w:hAnsi="Arial" w:cs="Arial"/>
          <w:sz w:val="22"/>
          <w:szCs w:val="22"/>
          <w:lang w:eastAsia="cs-CZ"/>
        </w:rPr>
        <w:t>o nájmu</w:t>
      </w:r>
      <w:r w:rsidRPr="007E5B32">
        <w:rPr>
          <w:rFonts w:ascii="Arial" w:hAnsi="Arial" w:cs="Arial"/>
          <w:sz w:val="22"/>
          <w:szCs w:val="22"/>
          <w:lang w:eastAsia="cs-CZ"/>
        </w:rPr>
        <w:t xml:space="preserve"> nebytových prostor a</w:t>
      </w:r>
      <w:r w:rsidR="002B51EB">
        <w:rPr>
          <w:rFonts w:ascii="Arial" w:hAnsi="Arial" w:cs="Arial"/>
          <w:sz w:val="22"/>
          <w:szCs w:val="22"/>
          <w:lang w:eastAsia="cs-CZ"/>
        </w:rPr>
        <w:t> </w:t>
      </w:r>
      <w:r w:rsidRPr="007E5B32">
        <w:rPr>
          <w:rFonts w:ascii="Arial" w:hAnsi="Arial" w:cs="Arial"/>
          <w:sz w:val="22"/>
          <w:szCs w:val="22"/>
          <w:lang w:eastAsia="cs-CZ"/>
        </w:rPr>
        <w:t xml:space="preserve">nábytku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Pr="007E5B32">
        <w:rPr>
          <w:rFonts w:ascii="Arial" w:hAnsi="Arial" w:cs="Arial"/>
          <w:sz w:val="22"/>
          <w:szCs w:val="22"/>
          <w:lang w:eastAsia="cs-CZ"/>
        </w:rPr>
        <w:t>Praze</w:t>
      </w:r>
      <w:r w:rsidR="00B248D1" w:rsidRPr="007E5B32">
        <w:rPr>
          <w:rFonts w:ascii="Arial" w:hAnsi="Arial" w:cs="Arial"/>
          <w:sz w:val="22"/>
          <w:szCs w:val="22"/>
          <w:lang w:eastAsia="cs-CZ"/>
        </w:rPr>
        <w:t>-</w:t>
      </w:r>
      <w:r w:rsidR="007E5B32">
        <w:rPr>
          <w:rFonts w:ascii="Arial" w:hAnsi="Arial" w:cs="Arial"/>
          <w:sz w:val="22"/>
          <w:szCs w:val="22"/>
          <w:lang w:eastAsia="cs-CZ"/>
        </w:rPr>
        <w:t>Karlíně</w:t>
      </w:r>
      <w:r w:rsidRPr="007E5B32">
        <w:rPr>
          <w:rFonts w:ascii="Arial" w:hAnsi="Arial" w:cs="Arial"/>
          <w:sz w:val="22"/>
          <w:szCs w:val="22"/>
          <w:lang w:eastAsia="cs-CZ"/>
        </w:rPr>
        <w:t>.</w:t>
      </w:r>
      <w:r w:rsidR="00E86D08" w:rsidRPr="007E5B3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E5B32">
        <w:rPr>
          <w:rFonts w:ascii="Arial" w:hAnsi="Arial" w:cs="Arial"/>
          <w:sz w:val="22"/>
          <w:szCs w:val="22"/>
          <w:lang w:eastAsia="cs-CZ"/>
        </w:rPr>
        <w:t>Nevykázání tohoto podrozvahového závazku bylo zjištěno již v minulých kontrolních akcích</w:t>
      </w:r>
      <w:r w:rsidR="00071290">
        <w:rPr>
          <w:rFonts w:ascii="Arial" w:hAnsi="Arial" w:cs="Arial"/>
          <w:sz w:val="22"/>
          <w:szCs w:val="22"/>
          <w:lang w:eastAsia="cs-CZ"/>
        </w:rPr>
        <w:t xml:space="preserve"> č.</w:t>
      </w:r>
      <w:r w:rsidR="007E5B32">
        <w:rPr>
          <w:rFonts w:ascii="Arial" w:hAnsi="Arial" w:cs="Arial"/>
          <w:sz w:val="22"/>
          <w:szCs w:val="22"/>
          <w:lang w:eastAsia="cs-CZ"/>
        </w:rPr>
        <w:t xml:space="preserve"> 10/20 </w:t>
      </w:r>
      <w:r w:rsidR="000301D0">
        <w:rPr>
          <w:rFonts w:ascii="Arial" w:hAnsi="Arial" w:cs="Arial"/>
          <w:sz w:val="22"/>
          <w:szCs w:val="22"/>
          <w:lang w:eastAsia="cs-CZ"/>
        </w:rPr>
        <w:t>a</w:t>
      </w:r>
      <w:r w:rsidR="0007129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E5B32">
        <w:rPr>
          <w:rFonts w:ascii="Arial" w:hAnsi="Arial" w:cs="Arial"/>
          <w:sz w:val="22"/>
          <w:szCs w:val="22"/>
          <w:lang w:eastAsia="cs-CZ"/>
        </w:rPr>
        <w:t>11/29.</w:t>
      </w:r>
    </w:p>
    <w:p w:rsidR="00DC1A2F" w:rsidRPr="0015047E" w:rsidRDefault="00DC1A2F" w:rsidP="000032DA">
      <w:pPr>
        <w:jc w:val="both"/>
        <w:rPr>
          <w:rFonts w:ascii="Arial" w:hAnsi="Arial" w:cs="Arial"/>
          <w:sz w:val="22"/>
          <w:szCs w:val="22"/>
          <w:highlight w:val="green"/>
          <w:lang w:eastAsia="cs-CZ"/>
        </w:rPr>
      </w:pPr>
    </w:p>
    <w:p w:rsidR="002820FC" w:rsidRDefault="007E5B32" w:rsidP="00E50173">
      <w:pPr>
        <w:spacing w:after="120"/>
        <w:jc w:val="both"/>
        <w:rPr>
          <w:rFonts w:ascii="Arial" w:hAnsi="Arial" w:cs="Arial"/>
          <w:b/>
          <w:i/>
          <w:sz w:val="22"/>
          <w:szCs w:val="22"/>
          <w:lang w:eastAsia="cs-CZ"/>
        </w:rPr>
      </w:pPr>
      <w:r w:rsidRPr="007E5B32">
        <w:rPr>
          <w:rFonts w:ascii="Arial" w:hAnsi="Arial" w:cs="Arial"/>
          <w:b/>
          <w:i/>
          <w:sz w:val="22"/>
          <w:szCs w:val="22"/>
          <w:lang w:eastAsia="cs-CZ"/>
        </w:rPr>
        <w:t>Nepodvojný účetní zápis</w:t>
      </w:r>
    </w:p>
    <w:p w:rsidR="001E4547" w:rsidRPr="00FB4B94" w:rsidRDefault="00300971" w:rsidP="000032DA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FB4B94">
        <w:rPr>
          <w:rFonts w:ascii="Arial" w:hAnsi="Arial" w:cs="Arial"/>
          <w:sz w:val="22"/>
          <w:szCs w:val="22"/>
          <w:lang w:eastAsia="cs-CZ"/>
        </w:rPr>
        <w:t xml:space="preserve">MŠMT účtovalo nepodvojným účetním zápisem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1E4547" w:rsidRPr="00FB4B94">
        <w:rPr>
          <w:rFonts w:ascii="Arial" w:hAnsi="Arial" w:cs="Arial"/>
          <w:sz w:val="22"/>
          <w:szCs w:val="22"/>
          <w:lang w:eastAsia="cs-CZ"/>
        </w:rPr>
        <w:t>částce 7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E4547" w:rsidRPr="00FB4B94">
        <w:rPr>
          <w:rFonts w:ascii="Arial" w:hAnsi="Arial" w:cs="Arial"/>
          <w:sz w:val="22"/>
          <w:szCs w:val="22"/>
          <w:lang w:eastAsia="cs-CZ"/>
        </w:rPr>
        <w:t>064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E4547" w:rsidRPr="00FB4B94">
        <w:rPr>
          <w:rFonts w:ascii="Arial" w:hAnsi="Arial" w:cs="Arial"/>
          <w:sz w:val="22"/>
          <w:szCs w:val="22"/>
          <w:lang w:eastAsia="cs-CZ"/>
        </w:rPr>
        <w:t xml:space="preserve">421,20 Kč </w:t>
      </w:r>
      <w:r w:rsidRPr="00FB4B94">
        <w:rPr>
          <w:rFonts w:ascii="Arial" w:hAnsi="Arial" w:cs="Arial"/>
          <w:sz w:val="22"/>
          <w:szCs w:val="22"/>
          <w:lang w:eastAsia="cs-CZ"/>
        </w:rPr>
        <w:t xml:space="preserve">o vyřazení dlouhodobých podmíněných závazků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 w:rsidRPr="00FB4B94">
        <w:rPr>
          <w:rFonts w:ascii="Arial" w:hAnsi="Arial" w:cs="Arial"/>
          <w:sz w:val="22"/>
          <w:szCs w:val="22"/>
          <w:lang w:eastAsia="cs-CZ"/>
        </w:rPr>
        <w:t>jiných smluv</w:t>
      </w:r>
      <w:r w:rsidR="001E4547" w:rsidRPr="00FB4B94">
        <w:rPr>
          <w:rFonts w:ascii="Arial" w:hAnsi="Arial" w:cs="Arial"/>
          <w:sz w:val="22"/>
          <w:szCs w:val="22"/>
          <w:lang w:eastAsia="cs-CZ"/>
        </w:rPr>
        <w:t>, neboť o tomto účetním případu účtovalo pouze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 na straně „</w:t>
      </w:r>
      <w:r w:rsidR="005C7D50">
        <w:rPr>
          <w:rFonts w:ascii="Arial" w:hAnsi="Arial" w:cs="Arial"/>
          <w:sz w:val="22"/>
          <w:szCs w:val="22"/>
          <w:lang w:eastAsia="cs-CZ"/>
        </w:rPr>
        <w:t>d</w:t>
      </w:r>
      <w:r w:rsidR="006A5614">
        <w:rPr>
          <w:rFonts w:ascii="Arial" w:hAnsi="Arial" w:cs="Arial"/>
          <w:sz w:val="22"/>
          <w:szCs w:val="22"/>
          <w:lang w:eastAsia="cs-CZ"/>
        </w:rPr>
        <w:t>al“</w:t>
      </w:r>
      <w:r w:rsidR="001E4547" w:rsidRPr="00FB4B94">
        <w:rPr>
          <w:rFonts w:ascii="Arial" w:hAnsi="Arial" w:cs="Arial"/>
          <w:sz w:val="22"/>
          <w:szCs w:val="22"/>
          <w:lang w:eastAsia="cs-CZ"/>
        </w:rPr>
        <w:t xml:space="preserve"> účtu 974 – </w:t>
      </w:r>
      <w:r w:rsidR="001E4547" w:rsidRPr="00FB4B94">
        <w:rPr>
          <w:rFonts w:ascii="Arial" w:hAnsi="Arial" w:cs="Arial"/>
          <w:i/>
          <w:sz w:val="22"/>
          <w:szCs w:val="22"/>
          <w:lang w:eastAsia="cs-CZ"/>
        </w:rPr>
        <w:t xml:space="preserve">Dlouhodobé podmíněné závazky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z </w:t>
      </w:r>
      <w:r w:rsidR="001E4547" w:rsidRPr="00FB4B94">
        <w:rPr>
          <w:rFonts w:ascii="Arial" w:hAnsi="Arial" w:cs="Arial"/>
          <w:i/>
          <w:sz w:val="22"/>
          <w:szCs w:val="22"/>
          <w:lang w:eastAsia="cs-CZ"/>
        </w:rPr>
        <w:t>jiných smluv</w:t>
      </w:r>
      <w:r w:rsidR="005C7D50">
        <w:rPr>
          <w:rFonts w:ascii="Arial" w:hAnsi="Arial" w:cs="Arial"/>
          <w:sz w:val="22"/>
          <w:szCs w:val="22"/>
          <w:lang w:eastAsia="cs-CZ"/>
        </w:rPr>
        <w:t>,</w:t>
      </w:r>
      <w:r w:rsidR="001E4547" w:rsidRPr="00FB4B94">
        <w:rPr>
          <w:rFonts w:ascii="Arial" w:hAnsi="Arial" w:cs="Arial"/>
          <w:sz w:val="22"/>
          <w:szCs w:val="22"/>
          <w:lang w:eastAsia="cs-CZ"/>
        </w:rPr>
        <w:t xml:space="preserve"> a</w:t>
      </w:r>
      <w:r w:rsidR="005C7D50">
        <w:rPr>
          <w:rFonts w:ascii="Arial" w:hAnsi="Arial" w:cs="Arial"/>
          <w:sz w:val="22"/>
          <w:szCs w:val="22"/>
          <w:lang w:eastAsia="cs-CZ"/>
        </w:rPr>
        <w:t>le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A5614">
        <w:rPr>
          <w:rFonts w:ascii="Arial" w:hAnsi="Arial" w:cs="Arial"/>
          <w:sz w:val="22"/>
          <w:szCs w:val="22"/>
          <w:lang w:eastAsia="cs-CZ"/>
        </w:rPr>
        <w:t>už ne na straně „</w:t>
      </w:r>
      <w:r w:rsidR="005C7D50">
        <w:rPr>
          <w:rFonts w:ascii="Arial" w:hAnsi="Arial" w:cs="Arial"/>
          <w:sz w:val="22"/>
          <w:szCs w:val="22"/>
          <w:lang w:eastAsia="cs-CZ"/>
        </w:rPr>
        <w:t>m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á </w:t>
      </w:r>
      <w:r w:rsidR="005C7D50">
        <w:rPr>
          <w:rFonts w:ascii="Arial" w:hAnsi="Arial" w:cs="Arial"/>
          <w:sz w:val="22"/>
          <w:szCs w:val="22"/>
          <w:lang w:eastAsia="cs-CZ"/>
        </w:rPr>
        <w:t>d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áti“ </w:t>
      </w:r>
      <w:r w:rsidR="001E4547" w:rsidRPr="00FB4B94">
        <w:rPr>
          <w:rFonts w:ascii="Arial" w:hAnsi="Arial" w:cs="Arial"/>
          <w:sz w:val="22"/>
          <w:szCs w:val="22"/>
          <w:lang w:eastAsia="cs-CZ"/>
        </w:rPr>
        <w:t xml:space="preserve">účtu 999 – </w:t>
      </w:r>
      <w:r w:rsidR="001E4547" w:rsidRPr="00FB4B94">
        <w:rPr>
          <w:rFonts w:ascii="Arial" w:hAnsi="Arial" w:cs="Arial"/>
          <w:i/>
          <w:sz w:val="22"/>
          <w:szCs w:val="22"/>
          <w:lang w:eastAsia="cs-CZ"/>
        </w:rPr>
        <w:t xml:space="preserve">Vyrovnávací účet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k </w:t>
      </w:r>
      <w:r w:rsidR="001E4547" w:rsidRPr="00FB4B94">
        <w:rPr>
          <w:rFonts w:ascii="Arial" w:hAnsi="Arial" w:cs="Arial"/>
          <w:i/>
          <w:sz w:val="22"/>
          <w:szCs w:val="22"/>
          <w:lang w:eastAsia="cs-CZ"/>
        </w:rPr>
        <w:t>podrozvahovým účtům</w:t>
      </w:r>
      <w:r w:rsidRPr="00FB4B94">
        <w:rPr>
          <w:rFonts w:ascii="Arial" w:hAnsi="Arial" w:cs="Arial"/>
          <w:sz w:val="22"/>
          <w:szCs w:val="22"/>
          <w:lang w:eastAsia="cs-CZ"/>
        </w:rPr>
        <w:t>.</w:t>
      </w:r>
      <w:r w:rsidR="001E4547" w:rsidRPr="00FB4B9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důsledku této </w:t>
      </w:r>
      <w:r w:rsidR="006A5614">
        <w:rPr>
          <w:rFonts w:ascii="Arial" w:hAnsi="Arial" w:cs="Arial"/>
          <w:sz w:val="22"/>
          <w:szCs w:val="22"/>
          <w:lang w:eastAsia="cs-CZ"/>
        </w:rPr>
        <w:lastRenderedPageBreak/>
        <w:t xml:space="preserve">skutečnosti je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6A5614">
        <w:rPr>
          <w:rFonts w:ascii="Arial" w:hAnsi="Arial" w:cs="Arial"/>
          <w:sz w:val="22"/>
          <w:szCs w:val="22"/>
          <w:lang w:eastAsia="cs-CZ"/>
        </w:rPr>
        <w:t>příloze ÚZ konečný zůstatek účtu 999</w:t>
      </w:r>
      <w:r w:rsidR="009E7E5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E7E56" w:rsidRPr="00FB4B94">
        <w:rPr>
          <w:rFonts w:ascii="Arial" w:hAnsi="Arial" w:cs="Arial"/>
          <w:sz w:val="22"/>
          <w:szCs w:val="22"/>
          <w:lang w:eastAsia="cs-CZ"/>
        </w:rPr>
        <w:t>–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A5614" w:rsidRPr="001233B8">
        <w:rPr>
          <w:rFonts w:ascii="Arial" w:hAnsi="Arial" w:cs="Arial"/>
          <w:i/>
          <w:sz w:val="22"/>
          <w:szCs w:val="22"/>
          <w:lang w:eastAsia="cs-CZ"/>
        </w:rPr>
        <w:t xml:space="preserve">Vyrovnávací účet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k </w:t>
      </w:r>
      <w:r w:rsidR="006A5614" w:rsidRPr="001233B8">
        <w:rPr>
          <w:rFonts w:ascii="Arial" w:hAnsi="Arial" w:cs="Arial"/>
          <w:i/>
          <w:sz w:val="22"/>
          <w:szCs w:val="22"/>
          <w:lang w:eastAsia="cs-CZ"/>
        </w:rPr>
        <w:t>podrozvahovým účtům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 o </w:t>
      </w:r>
      <w:r w:rsidR="009E7E56">
        <w:rPr>
          <w:rFonts w:ascii="Arial" w:hAnsi="Arial" w:cs="Arial"/>
          <w:sz w:val="22"/>
          <w:szCs w:val="22"/>
          <w:lang w:eastAsia="cs-CZ"/>
        </w:rPr>
        <w:t xml:space="preserve">uvedenou </w:t>
      </w:r>
      <w:r w:rsidR="006A5614">
        <w:rPr>
          <w:rFonts w:ascii="Arial" w:hAnsi="Arial" w:cs="Arial"/>
          <w:sz w:val="22"/>
          <w:szCs w:val="22"/>
          <w:lang w:eastAsia="cs-CZ"/>
        </w:rPr>
        <w:t>částku podhodnocen.</w:t>
      </w:r>
      <w:r w:rsidR="001E4547" w:rsidRPr="00FB4B94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300971" w:rsidRPr="0015047E" w:rsidRDefault="00300971" w:rsidP="000032DA">
      <w:pPr>
        <w:jc w:val="both"/>
        <w:rPr>
          <w:rFonts w:ascii="Arial" w:hAnsi="Arial" w:cs="Arial"/>
          <w:sz w:val="22"/>
          <w:szCs w:val="22"/>
          <w:highlight w:val="green"/>
          <w:lang w:eastAsia="cs-CZ"/>
        </w:rPr>
      </w:pPr>
    </w:p>
    <w:p w:rsidR="002820FC" w:rsidRDefault="002820FC" w:rsidP="00E50173">
      <w:pPr>
        <w:spacing w:after="120"/>
        <w:jc w:val="both"/>
        <w:rPr>
          <w:rFonts w:ascii="Arial" w:hAnsi="Arial" w:cs="Arial"/>
          <w:b/>
          <w:i/>
          <w:sz w:val="22"/>
          <w:szCs w:val="22"/>
          <w:lang w:eastAsia="cs-CZ"/>
        </w:rPr>
      </w:pPr>
      <w:r w:rsidRPr="00EE159D">
        <w:rPr>
          <w:rFonts w:ascii="Arial" w:hAnsi="Arial" w:cs="Arial"/>
          <w:b/>
          <w:i/>
          <w:sz w:val="22"/>
          <w:szCs w:val="22"/>
          <w:lang w:eastAsia="cs-CZ"/>
        </w:rPr>
        <w:t xml:space="preserve">Neúplnost </w:t>
      </w:r>
      <w:r w:rsidR="00B248D1" w:rsidRPr="00EE159D">
        <w:rPr>
          <w:rFonts w:ascii="Arial" w:hAnsi="Arial" w:cs="Arial"/>
          <w:b/>
          <w:i/>
          <w:sz w:val="22"/>
          <w:szCs w:val="22"/>
          <w:lang w:eastAsia="cs-CZ"/>
        </w:rPr>
        <w:t>p</w:t>
      </w:r>
      <w:r w:rsidRPr="00EE159D">
        <w:rPr>
          <w:rFonts w:ascii="Arial" w:hAnsi="Arial" w:cs="Arial"/>
          <w:b/>
          <w:i/>
          <w:sz w:val="22"/>
          <w:szCs w:val="22"/>
          <w:lang w:eastAsia="cs-CZ"/>
        </w:rPr>
        <w:t>řílohy ÚZ</w:t>
      </w:r>
    </w:p>
    <w:p w:rsidR="002820FC" w:rsidRPr="00EE159D" w:rsidRDefault="002820FC" w:rsidP="00EE159D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EE159D">
        <w:rPr>
          <w:rFonts w:ascii="Arial" w:hAnsi="Arial" w:cs="Arial"/>
          <w:sz w:val="22"/>
          <w:szCs w:val="22"/>
          <w:lang w:eastAsia="cs-CZ"/>
        </w:rPr>
        <w:t>Příloha ÚZ neobsahovala informace o</w:t>
      </w:r>
      <w:r w:rsidR="00C57104" w:rsidRPr="00EE159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EE159D">
        <w:rPr>
          <w:rFonts w:ascii="Arial" w:hAnsi="Arial" w:cs="Arial"/>
          <w:sz w:val="22"/>
          <w:szCs w:val="22"/>
          <w:lang w:eastAsia="cs-CZ"/>
        </w:rPr>
        <w:t xml:space="preserve">použitých účetních metodách vztahujících se k zásobám </w:t>
      </w:r>
      <w:r w:rsidR="00EE159D" w:rsidRPr="00EE159D">
        <w:rPr>
          <w:rFonts w:ascii="Arial" w:hAnsi="Arial" w:cs="Arial"/>
          <w:sz w:val="22"/>
          <w:szCs w:val="22"/>
          <w:lang w:eastAsia="cs-CZ"/>
        </w:rPr>
        <w:t>účetní jednotky</w:t>
      </w:r>
      <w:r w:rsidR="005C7D50">
        <w:rPr>
          <w:rFonts w:ascii="Arial" w:hAnsi="Arial" w:cs="Arial"/>
          <w:sz w:val="22"/>
          <w:szCs w:val="22"/>
          <w:lang w:eastAsia="cs-CZ"/>
        </w:rPr>
        <w:t>,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2B0987">
        <w:rPr>
          <w:rFonts w:ascii="Arial" w:hAnsi="Arial" w:cs="Arial"/>
          <w:sz w:val="22"/>
          <w:szCs w:val="22"/>
          <w:lang w:eastAsia="cs-CZ"/>
        </w:rPr>
        <w:t>např.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 způsob oceňování zásob, způsob jejich účtování a</w:t>
      </w:r>
      <w:r w:rsidR="002B51EB">
        <w:rPr>
          <w:rFonts w:ascii="Arial" w:hAnsi="Arial" w:cs="Arial"/>
          <w:sz w:val="22"/>
          <w:szCs w:val="22"/>
          <w:lang w:eastAsia="cs-CZ"/>
        </w:rPr>
        <w:t> </w:t>
      </w:r>
      <w:r w:rsidR="006A5614">
        <w:rPr>
          <w:rFonts w:ascii="Arial" w:hAnsi="Arial" w:cs="Arial"/>
          <w:sz w:val="22"/>
          <w:szCs w:val="22"/>
          <w:lang w:eastAsia="cs-CZ"/>
        </w:rPr>
        <w:t xml:space="preserve">vymezení nákladů souvisejících </w:t>
      </w:r>
      <w:r w:rsidR="00765F23">
        <w:rPr>
          <w:rFonts w:ascii="Arial" w:hAnsi="Arial" w:cs="Arial"/>
          <w:sz w:val="22"/>
          <w:szCs w:val="22"/>
          <w:lang w:eastAsia="cs-CZ"/>
        </w:rPr>
        <w:t>s </w:t>
      </w:r>
      <w:r w:rsidR="006A5614">
        <w:rPr>
          <w:rFonts w:ascii="Arial" w:hAnsi="Arial" w:cs="Arial"/>
          <w:sz w:val="22"/>
          <w:szCs w:val="22"/>
          <w:lang w:eastAsia="cs-CZ"/>
        </w:rPr>
        <w:t>pořízením zásob.</w:t>
      </w:r>
    </w:p>
    <w:p w:rsidR="002820FC" w:rsidRPr="0015047E" w:rsidRDefault="002820FC" w:rsidP="000032DA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2820FC" w:rsidRPr="00AA631B" w:rsidRDefault="00886F01" w:rsidP="00886F01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 w:rsidRPr="00AA631B">
        <w:rPr>
          <w:rFonts w:ascii="Arial" w:hAnsi="Arial" w:cs="Arial"/>
          <w:b/>
          <w:szCs w:val="22"/>
        </w:rPr>
        <w:t xml:space="preserve">1.2.2 </w:t>
      </w:r>
      <w:r w:rsidR="002820FC" w:rsidRPr="00AA631B">
        <w:rPr>
          <w:rFonts w:ascii="Arial" w:hAnsi="Arial" w:cs="Arial"/>
          <w:b/>
          <w:szCs w:val="22"/>
        </w:rPr>
        <w:t>Průkaznost účetnictví</w:t>
      </w:r>
    </w:p>
    <w:p w:rsidR="00012362" w:rsidRPr="0015047E" w:rsidRDefault="00012362" w:rsidP="000032DA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5E4852" w:rsidRDefault="002820FC" w:rsidP="000032DA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5E4852">
        <w:rPr>
          <w:rFonts w:ascii="Arial" w:hAnsi="Arial" w:cs="Arial"/>
          <w:sz w:val="22"/>
          <w:szCs w:val="22"/>
          <w:lang w:eastAsia="cs-CZ"/>
        </w:rPr>
        <w:t xml:space="preserve">Jednou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 w:rsidRPr="005E4852">
        <w:rPr>
          <w:rFonts w:ascii="Arial" w:hAnsi="Arial" w:cs="Arial"/>
          <w:sz w:val="22"/>
          <w:szCs w:val="22"/>
          <w:lang w:eastAsia="cs-CZ"/>
        </w:rPr>
        <w:t>podmínek zabezpečujících průkaznost účetnictví je provedení inventarizace (§</w:t>
      </w:r>
      <w:r w:rsidR="00C921AD">
        <w:rPr>
          <w:rFonts w:ascii="Arial" w:hAnsi="Arial" w:cs="Arial"/>
          <w:sz w:val="22"/>
          <w:szCs w:val="22"/>
          <w:lang w:eastAsia="cs-CZ"/>
        </w:rPr>
        <w:t> </w:t>
      </w:r>
      <w:r w:rsidRPr="005E4852">
        <w:rPr>
          <w:rFonts w:ascii="Arial" w:hAnsi="Arial" w:cs="Arial"/>
          <w:sz w:val="22"/>
          <w:szCs w:val="22"/>
          <w:lang w:eastAsia="cs-CZ"/>
        </w:rPr>
        <w:t>8</w:t>
      </w:r>
      <w:r w:rsidR="00C921AD">
        <w:rPr>
          <w:rFonts w:ascii="Arial" w:hAnsi="Arial" w:cs="Arial"/>
          <w:sz w:val="22"/>
          <w:szCs w:val="22"/>
          <w:lang w:eastAsia="cs-CZ"/>
        </w:rPr>
        <w:t> </w:t>
      </w:r>
      <w:bookmarkStart w:id="0" w:name="_GoBack"/>
      <w:bookmarkEnd w:id="0"/>
      <w:r w:rsidRPr="005E4852">
        <w:rPr>
          <w:rFonts w:ascii="Arial" w:hAnsi="Arial" w:cs="Arial"/>
          <w:sz w:val="22"/>
          <w:szCs w:val="22"/>
          <w:lang w:eastAsia="cs-CZ"/>
        </w:rPr>
        <w:t>odst. 4 zákona o účetnictví).</w:t>
      </w:r>
    </w:p>
    <w:p w:rsidR="005E4852" w:rsidRDefault="005E4852" w:rsidP="000032DA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5E4852" w:rsidRDefault="005E4852" w:rsidP="00E50173">
      <w:pPr>
        <w:spacing w:after="120"/>
        <w:jc w:val="both"/>
        <w:rPr>
          <w:rFonts w:ascii="Arial" w:hAnsi="Arial" w:cs="Arial"/>
          <w:b/>
          <w:i/>
          <w:sz w:val="22"/>
          <w:szCs w:val="22"/>
          <w:lang w:eastAsia="cs-CZ"/>
        </w:rPr>
      </w:pPr>
      <w:r w:rsidRPr="005E4852">
        <w:rPr>
          <w:rFonts w:ascii="Arial" w:hAnsi="Arial" w:cs="Arial"/>
          <w:b/>
          <w:i/>
          <w:sz w:val="22"/>
          <w:szCs w:val="22"/>
          <w:lang w:eastAsia="cs-CZ"/>
        </w:rPr>
        <w:t>Dokladová inventura</w:t>
      </w:r>
    </w:p>
    <w:p w:rsidR="005E4852" w:rsidRDefault="005E4852" w:rsidP="000032DA">
      <w:p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MŠMT </w:t>
      </w:r>
      <w:r w:rsidR="003A7CB3">
        <w:rPr>
          <w:rFonts w:ascii="Arial" w:hAnsi="Arial" w:cs="Arial"/>
          <w:sz w:val="22"/>
          <w:szCs w:val="22"/>
          <w:lang w:eastAsia="cs-CZ"/>
        </w:rPr>
        <w:t xml:space="preserve">při inventarizaci </w:t>
      </w:r>
      <w:r>
        <w:rPr>
          <w:rFonts w:ascii="Arial" w:hAnsi="Arial" w:cs="Arial"/>
          <w:sz w:val="22"/>
          <w:szCs w:val="22"/>
          <w:lang w:eastAsia="cs-CZ"/>
        </w:rPr>
        <w:t>nezjistilo</w:t>
      </w:r>
      <w:r w:rsidR="003A7CB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skutečný stav:</w:t>
      </w:r>
    </w:p>
    <w:p w:rsidR="005E4852" w:rsidRDefault="005E4852" w:rsidP="005E4852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5E4852">
        <w:rPr>
          <w:rFonts w:ascii="Arial" w:hAnsi="Arial" w:cs="Arial"/>
          <w:sz w:val="22"/>
          <w:szCs w:val="22"/>
          <w:lang w:eastAsia="cs-CZ"/>
        </w:rPr>
        <w:t xml:space="preserve">krátkodobých podrozvahových závazků </w:t>
      </w:r>
      <w:r w:rsidR="005C7D50">
        <w:rPr>
          <w:rFonts w:ascii="Arial" w:hAnsi="Arial" w:cs="Arial"/>
          <w:sz w:val="22"/>
          <w:szCs w:val="22"/>
          <w:lang w:eastAsia="cs-CZ"/>
        </w:rPr>
        <w:t>(</w:t>
      </w:r>
      <w:r w:rsidRPr="005E4852">
        <w:rPr>
          <w:rFonts w:ascii="Arial" w:hAnsi="Arial" w:cs="Arial"/>
          <w:sz w:val="22"/>
          <w:szCs w:val="22"/>
          <w:lang w:eastAsia="cs-CZ"/>
        </w:rPr>
        <w:t xml:space="preserve">vyplývajících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 w:rsidRPr="005E4852">
        <w:rPr>
          <w:rFonts w:ascii="Arial" w:hAnsi="Arial" w:cs="Arial"/>
          <w:sz w:val="22"/>
          <w:szCs w:val="22"/>
          <w:lang w:eastAsia="cs-CZ"/>
        </w:rPr>
        <w:t>uzavřených smluv</w:t>
      </w:r>
      <w:r w:rsidR="005C7D50">
        <w:rPr>
          <w:rFonts w:ascii="Arial" w:hAnsi="Arial" w:cs="Arial"/>
          <w:sz w:val="22"/>
          <w:szCs w:val="22"/>
          <w:lang w:eastAsia="cs-CZ"/>
        </w:rPr>
        <w:t>)</w:t>
      </w:r>
      <w:r w:rsidRPr="005E4852">
        <w:rPr>
          <w:rFonts w:ascii="Arial" w:hAnsi="Arial" w:cs="Arial"/>
          <w:sz w:val="22"/>
          <w:szCs w:val="22"/>
          <w:lang w:eastAsia="cs-CZ"/>
        </w:rPr>
        <w:t xml:space="preserve"> vykazovaných na účtu 973 – </w:t>
      </w:r>
      <w:r w:rsidRPr="005E4852">
        <w:rPr>
          <w:rFonts w:ascii="Arial" w:hAnsi="Arial" w:cs="Arial"/>
          <w:i/>
          <w:sz w:val="22"/>
          <w:szCs w:val="22"/>
          <w:lang w:eastAsia="cs-CZ"/>
        </w:rPr>
        <w:t xml:space="preserve">Krátkodobé podmíněné závazky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z </w:t>
      </w:r>
      <w:r w:rsidRPr="005E4852">
        <w:rPr>
          <w:rFonts w:ascii="Arial" w:hAnsi="Arial" w:cs="Arial"/>
          <w:i/>
          <w:sz w:val="22"/>
          <w:szCs w:val="22"/>
          <w:lang w:eastAsia="cs-CZ"/>
        </w:rPr>
        <w:t>jiných smluv</w:t>
      </w:r>
      <w:r w:rsidRPr="005E4852">
        <w:rPr>
          <w:rFonts w:ascii="Arial" w:hAnsi="Arial" w:cs="Arial"/>
          <w:sz w:val="22"/>
          <w:szCs w:val="22"/>
          <w:lang w:eastAsia="cs-CZ"/>
        </w:rPr>
        <w:t>,</w:t>
      </w:r>
      <w:r w:rsidR="006066A1">
        <w:rPr>
          <w:rFonts w:ascii="Arial" w:hAnsi="Arial" w:cs="Arial"/>
          <w:sz w:val="22"/>
          <w:szCs w:val="22"/>
          <w:lang w:eastAsia="cs-CZ"/>
        </w:rPr>
        <w:t xml:space="preserve"> na kterém nevykázalo závazky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 w:rsidR="006066A1">
        <w:rPr>
          <w:rFonts w:ascii="Arial" w:hAnsi="Arial" w:cs="Arial"/>
          <w:sz w:val="22"/>
          <w:szCs w:val="22"/>
          <w:lang w:eastAsia="cs-CZ"/>
        </w:rPr>
        <w:t>existujících smluv</w:t>
      </w:r>
      <w:r w:rsidR="009C23AC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9C23AC">
        <w:rPr>
          <w:rFonts w:ascii="Arial" w:hAnsi="Arial" w:cs="Arial"/>
          <w:sz w:val="22"/>
          <w:szCs w:val="22"/>
          <w:lang w:eastAsia="cs-CZ"/>
        </w:rPr>
        <w:t>hodnotě 3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C23AC">
        <w:rPr>
          <w:rFonts w:ascii="Arial" w:hAnsi="Arial" w:cs="Arial"/>
          <w:sz w:val="22"/>
          <w:szCs w:val="22"/>
          <w:lang w:eastAsia="cs-CZ"/>
        </w:rPr>
        <w:t>852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C23AC">
        <w:rPr>
          <w:rFonts w:ascii="Arial" w:hAnsi="Arial" w:cs="Arial"/>
          <w:sz w:val="22"/>
          <w:szCs w:val="22"/>
          <w:lang w:eastAsia="cs-CZ"/>
        </w:rPr>
        <w:t>000 Kč</w:t>
      </w:r>
      <w:r w:rsidR="006066A1">
        <w:rPr>
          <w:rFonts w:ascii="Arial" w:hAnsi="Arial" w:cs="Arial"/>
          <w:sz w:val="22"/>
          <w:szCs w:val="22"/>
          <w:lang w:eastAsia="cs-CZ"/>
        </w:rPr>
        <w:t>;</w:t>
      </w:r>
    </w:p>
    <w:p w:rsidR="005E4852" w:rsidRDefault="005E4852" w:rsidP="005E4852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5E4852">
        <w:rPr>
          <w:rFonts w:ascii="Arial" w:hAnsi="Arial" w:cs="Arial"/>
          <w:sz w:val="22"/>
          <w:szCs w:val="22"/>
          <w:lang w:eastAsia="cs-CZ"/>
        </w:rPr>
        <w:t xml:space="preserve">dlouhodobých podrozvahových závazků </w:t>
      </w:r>
      <w:r w:rsidR="005C7D50">
        <w:rPr>
          <w:rFonts w:ascii="Arial" w:hAnsi="Arial" w:cs="Arial"/>
          <w:sz w:val="22"/>
          <w:szCs w:val="22"/>
          <w:lang w:eastAsia="cs-CZ"/>
        </w:rPr>
        <w:t>(</w:t>
      </w:r>
      <w:r w:rsidRPr="005E4852">
        <w:rPr>
          <w:rFonts w:ascii="Arial" w:hAnsi="Arial" w:cs="Arial"/>
          <w:sz w:val="22"/>
          <w:szCs w:val="22"/>
          <w:lang w:eastAsia="cs-CZ"/>
        </w:rPr>
        <w:t xml:space="preserve">vyplývajících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 w:rsidRPr="005E4852">
        <w:rPr>
          <w:rFonts w:ascii="Arial" w:hAnsi="Arial" w:cs="Arial"/>
          <w:sz w:val="22"/>
          <w:szCs w:val="22"/>
          <w:lang w:eastAsia="cs-CZ"/>
        </w:rPr>
        <w:t>uzavřených smluv</w:t>
      </w:r>
      <w:r w:rsidR="005C7D50">
        <w:rPr>
          <w:rFonts w:ascii="Arial" w:hAnsi="Arial" w:cs="Arial"/>
          <w:sz w:val="22"/>
          <w:szCs w:val="22"/>
          <w:lang w:eastAsia="cs-CZ"/>
        </w:rPr>
        <w:t>)</w:t>
      </w:r>
      <w:r w:rsidRPr="005E4852">
        <w:rPr>
          <w:rFonts w:ascii="Arial" w:hAnsi="Arial" w:cs="Arial"/>
          <w:sz w:val="22"/>
          <w:szCs w:val="22"/>
          <w:lang w:eastAsia="cs-CZ"/>
        </w:rPr>
        <w:t xml:space="preserve"> vykazovaných na účtu 974 – </w:t>
      </w:r>
      <w:r w:rsidRPr="005E4852">
        <w:rPr>
          <w:rFonts w:ascii="Arial" w:hAnsi="Arial" w:cs="Arial"/>
          <w:i/>
          <w:sz w:val="22"/>
          <w:szCs w:val="22"/>
          <w:lang w:eastAsia="cs-CZ"/>
        </w:rPr>
        <w:t xml:space="preserve">Dlouhodobé podmíněné závazky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z </w:t>
      </w:r>
      <w:r w:rsidRPr="005E4852">
        <w:rPr>
          <w:rFonts w:ascii="Arial" w:hAnsi="Arial" w:cs="Arial"/>
          <w:i/>
          <w:sz w:val="22"/>
          <w:szCs w:val="22"/>
          <w:lang w:eastAsia="cs-CZ"/>
        </w:rPr>
        <w:t>jiných smluv</w:t>
      </w:r>
      <w:r w:rsidR="006066A1" w:rsidRPr="00E50173">
        <w:rPr>
          <w:rFonts w:ascii="Arial" w:hAnsi="Arial" w:cs="Arial"/>
          <w:sz w:val="22"/>
          <w:szCs w:val="22"/>
          <w:lang w:eastAsia="cs-CZ"/>
        </w:rPr>
        <w:t>,</w:t>
      </w:r>
      <w:r w:rsidR="006066A1">
        <w:rPr>
          <w:rFonts w:ascii="Arial" w:hAnsi="Arial" w:cs="Arial"/>
          <w:i/>
          <w:sz w:val="22"/>
          <w:szCs w:val="22"/>
          <w:lang w:eastAsia="cs-CZ"/>
        </w:rPr>
        <w:t xml:space="preserve"> </w:t>
      </w:r>
      <w:r w:rsidR="006066A1">
        <w:rPr>
          <w:rFonts w:ascii="Arial" w:hAnsi="Arial" w:cs="Arial"/>
          <w:sz w:val="22"/>
          <w:szCs w:val="22"/>
          <w:lang w:eastAsia="cs-CZ"/>
        </w:rPr>
        <w:t xml:space="preserve">na kterém nevykázalo závazky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 w:rsidR="006066A1">
        <w:rPr>
          <w:rFonts w:ascii="Arial" w:hAnsi="Arial" w:cs="Arial"/>
          <w:sz w:val="22"/>
          <w:szCs w:val="22"/>
          <w:lang w:eastAsia="cs-CZ"/>
        </w:rPr>
        <w:t>existujících smluv</w:t>
      </w:r>
      <w:r w:rsidR="009C23AC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9C23AC">
        <w:rPr>
          <w:rFonts w:ascii="Arial" w:hAnsi="Arial" w:cs="Arial"/>
          <w:sz w:val="22"/>
          <w:szCs w:val="22"/>
          <w:lang w:eastAsia="cs-CZ"/>
        </w:rPr>
        <w:t>hodnotě 74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C23AC">
        <w:rPr>
          <w:rFonts w:ascii="Arial" w:hAnsi="Arial" w:cs="Arial"/>
          <w:sz w:val="22"/>
          <w:szCs w:val="22"/>
          <w:lang w:eastAsia="cs-CZ"/>
        </w:rPr>
        <w:t>687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C23AC">
        <w:rPr>
          <w:rFonts w:ascii="Arial" w:hAnsi="Arial" w:cs="Arial"/>
          <w:sz w:val="22"/>
          <w:szCs w:val="22"/>
          <w:lang w:eastAsia="cs-CZ"/>
        </w:rPr>
        <w:t>513,98 Kč</w:t>
      </w:r>
      <w:r w:rsidR="006066A1">
        <w:rPr>
          <w:rFonts w:ascii="Arial" w:hAnsi="Arial" w:cs="Arial"/>
          <w:sz w:val="22"/>
          <w:szCs w:val="22"/>
          <w:lang w:eastAsia="cs-CZ"/>
        </w:rPr>
        <w:t xml:space="preserve"> a navíc</w:t>
      </w:r>
      <w:r w:rsidR="00772DCC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772DCC">
        <w:rPr>
          <w:rFonts w:ascii="Arial" w:hAnsi="Arial" w:cs="Arial"/>
          <w:sz w:val="22"/>
          <w:szCs w:val="22"/>
          <w:lang w:eastAsia="cs-CZ"/>
        </w:rPr>
        <w:t xml:space="preserve">rozporu </w:t>
      </w:r>
      <w:r w:rsidR="00765F23">
        <w:rPr>
          <w:rFonts w:ascii="Arial" w:hAnsi="Arial" w:cs="Arial"/>
          <w:sz w:val="22"/>
          <w:szCs w:val="22"/>
          <w:lang w:eastAsia="cs-CZ"/>
        </w:rPr>
        <w:t>s </w:t>
      </w:r>
      <w:r w:rsidR="00772DCC">
        <w:rPr>
          <w:rFonts w:ascii="Arial" w:hAnsi="Arial" w:cs="Arial"/>
          <w:sz w:val="22"/>
          <w:szCs w:val="22"/>
          <w:lang w:eastAsia="cs-CZ"/>
        </w:rPr>
        <w:t xml:space="preserve">§ 8 odst. 1 zákona o účetnictví vykázalo </w:t>
      </w:r>
      <w:r w:rsidR="00B562E6">
        <w:rPr>
          <w:rFonts w:ascii="Arial" w:hAnsi="Arial" w:cs="Arial"/>
          <w:sz w:val="22"/>
          <w:szCs w:val="22"/>
          <w:lang w:eastAsia="cs-CZ"/>
        </w:rPr>
        <w:t>s</w:t>
      </w:r>
      <w:r w:rsidR="006066A1">
        <w:rPr>
          <w:rFonts w:ascii="Arial" w:hAnsi="Arial" w:cs="Arial"/>
          <w:sz w:val="22"/>
          <w:szCs w:val="22"/>
          <w:lang w:eastAsia="cs-CZ"/>
        </w:rPr>
        <w:t>kutečnosti</w:t>
      </w:r>
      <w:r w:rsidR="00B562E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72DCC">
        <w:rPr>
          <w:rFonts w:ascii="Arial" w:hAnsi="Arial" w:cs="Arial"/>
          <w:sz w:val="22"/>
          <w:szCs w:val="22"/>
          <w:lang w:eastAsia="cs-CZ"/>
        </w:rPr>
        <w:t>ve výši 2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72DCC">
        <w:rPr>
          <w:rFonts w:ascii="Arial" w:hAnsi="Arial" w:cs="Arial"/>
          <w:sz w:val="22"/>
          <w:szCs w:val="22"/>
          <w:lang w:eastAsia="cs-CZ"/>
        </w:rPr>
        <w:t>705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72DCC">
        <w:rPr>
          <w:rFonts w:ascii="Arial" w:hAnsi="Arial" w:cs="Arial"/>
          <w:sz w:val="22"/>
          <w:szCs w:val="22"/>
          <w:lang w:eastAsia="cs-CZ"/>
        </w:rPr>
        <w:t xml:space="preserve">842 Kč, </w:t>
      </w:r>
      <w:r w:rsidR="006066A1">
        <w:rPr>
          <w:rFonts w:ascii="Arial" w:hAnsi="Arial" w:cs="Arial"/>
          <w:sz w:val="22"/>
          <w:szCs w:val="22"/>
          <w:lang w:eastAsia="cs-CZ"/>
        </w:rPr>
        <w:t>kter</w:t>
      </w:r>
      <w:r w:rsidR="00165B8F">
        <w:rPr>
          <w:rFonts w:ascii="Arial" w:hAnsi="Arial" w:cs="Arial"/>
          <w:sz w:val="22"/>
          <w:szCs w:val="22"/>
          <w:lang w:eastAsia="cs-CZ"/>
        </w:rPr>
        <w:t>á</w:t>
      </w:r>
      <w:r w:rsidR="006066A1">
        <w:rPr>
          <w:rFonts w:ascii="Arial" w:hAnsi="Arial" w:cs="Arial"/>
          <w:sz w:val="22"/>
          <w:szCs w:val="22"/>
          <w:lang w:eastAsia="cs-CZ"/>
        </w:rPr>
        <w:t xml:space="preserve"> nebyl</w:t>
      </w:r>
      <w:r w:rsidR="00165B8F">
        <w:rPr>
          <w:rFonts w:ascii="Arial" w:hAnsi="Arial" w:cs="Arial"/>
          <w:sz w:val="22"/>
          <w:szCs w:val="22"/>
          <w:lang w:eastAsia="cs-CZ"/>
        </w:rPr>
        <w:t>a</w:t>
      </w:r>
      <w:r w:rsidR="006066A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6066A1">
        <w:rPr>
          <w:rFonts w:ascii="Arial" w:hAnsi="Arial" w:cs="Arial"/>
          <w:sz w:val="22"/>
          <w:szCs w:val="22"/>
          <w:lang w:eastAsia="cs-CZ"/>
        </w:rPr>
        <w:t>souladu s</w:t>
      </w:r>
      <w:r w:rsidR="00AD4C10">
        <w:rPr>
          <w:rFonts w:ascii="Arial" w:hAnsi="Arial" w:cs="Arial"/>
          <w:sz w:val="22"/>
          <w:szCs w:val="22"/>
          <w:lang w:eastAsia="cs-CZ"/>
        </w:rPr>
        <w:t xml:space="preserve"> prokázanou skutečností dle vydaných rozhodnutí </w:t>
      </w:r>
      <w:r w:rsidR="00EA5075">
        <w:rPr>
          <w:rFonts w:ascii="Arial" w:hAnsi="Arial" w:cs="Arial"/>
          <w:sz w:val="22"/>
          <w:szCs w:val="22"/>
          <w:lang w:eastAsia="cs-CZ"/>
        </w:rPr>
        <w:t>a</w:t>
      </w:r>
      <w:r w:rsidR="00AD4C10">
        <w:rPr>
          <w:rFonts w:ascii="Arial" w:hAnsi="Arial" w:cs="Arial"/>
          <w:sz w:val="22"/>
          <w:szCs w:val="22"/>
          <w:lang w:eastAsia="cs-CZ"/>
        </w:rPr>
        <w:t xml:space="preserve"> uzavřených smluv</w:t>
      </w:r>
      <w:r w:rsidR="006066A1">
        <w:rPr>
          <w:rFonts w:ascii="Arial" w:hAnsi="Arial" w:cs="Arial"/>
          <w:sz w:val="22"/>
          <w:szCs w:val="22"/>
          <w:lang w:eastAsia="cs-CZ"/>
        </w:rPr>
        <w:t>;</w:t>
      </w:r>
    </w:p>
    <w:p w:rsidR="005E4852" w:rsidRPr="005E4852" w:rsidRDefault="005E4852" w:rsidP="005E4852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5E4852">
        <w:rPr>
          <w:rFonts w:ascii="Arial" w:hAnsi="Arial" w:cs="Arial"/>
          <w:sz w:val="22"/>
          <w:szCs w:val="22"/>
          <w:lang w:eastAsia="cs-CZ"/>
        </w:rPr>
        <w:t xml:space="preserve">dlouhodobých podrozvahových závazků </w:t>
      </w:r>
      <w:r w:rsidR="005C7D50">
        <w:rPr>
          <w:rFonts w:ascii="Arial" w:hAnsi="Arial" w:cs="Arial"/>
          <w:sz w:val="22"/>
          <w:szCs w:val="22"/>
          <w:lang w:eastAsia="cs-CZ"/>
        </w:rPr>
        <w:t>(</w:t>
      </w:r>
      <w:r w:rsidRPr="005E4852">
        <w:rPr>
          <w:rFonts w:ascii="Arial" w:hAnsi="Arial" w:cs="Arial"/>
          <w:sz w:val="22"/>
          <w:szCs w:val="22"/>
          <w:lang w:eastAsia="cs-CZ"/>
        </w:rPr>
        <w:t xml:space="preserve">vyplývajících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 w:rsidRPr="005E4852">
        <w:rPr>
          <w:rFonts w:ascii="Arial" w:hAnsi="Arial" w:cs="Arial"/>
          <w:sz w:val="22"/>
          <w:szCs w:val="22"/>
          <w:lang w:eastAsia="cs-CZ"/>
        </w:rPr>
        <w:t>vydaných rozhodnutí</w:t>
      </w:r>
      <w:r w:rsidR="005C7D50">
        <w:rPr>
          <w:rFonts w:ascii="Arial" w:hAnsi="Arial" w:cs="Arial"/>
          <w:sz w:val="22"/>
          <w:szCs w:val="22"/>
          <w:lang w:eastAsia="cs-CZ"/>
        </w:rPr>
        <w:t>)</w:t>
      </w:r>
      <w:r w:rsidRPr="005E4852">
        <w:rPr>
          <w:rFonts w:ascii="Arial" w:hAnsi="Arial" w:cs="Arial"/>
          <w:sz w:val="22"/>
          <w:szCs w:val="22"/>
          <w:lang w:eastAsia="cs-CZ"/>
        </w:rPr>
        <w:t xml:space="preserve"> vykazovaných na účtu 976 – </w:t>
      </w:r>
      <w:r w:rsidRPr="003A7CB3">
        <w:rPr>
          <w:rFonts w:ascii="Arial" w:hAnsi="Arial" w:cs="Arial"/>
          <w:i/>
          <w:sz w:val="22"/>
          <w:szCs w:val="22"/>
          <w:lang w:eastAsia="cs-CZ"/>
        </w:rPr>
        <w:t xml:space="preserve">Dlouhodobé podmíněné závazky </w:t>
      </w:r>
      <w:r w:rsidR="00765F23">
        <w:rPr>
          <w:rFonts w:ascii="Arial" w:hAnsi="Arial" w:cs="Arial"/>
          <w:i/>
          <w:sz w:val="22"/>
          <w:szCs w:val="22"/>
          <w:lang w:eastAsia="cs-CZ"/>
        </w:rPr>
        <w:t>z </w:t>
      </w:r>
      <w:r w:rsidRPr="003A7CB3">
        <w:rPr>
          <w:rFonts w:ascii="Arial" w:hAnsi="Arial" w:cs="Arial"/>
          <w:i/>
          <w:sz w:val="22"/>
          <w:szCs w:val="22"/>
          <w:lang w:eastAsia="cs-CZ"/>
        </w:rPr>
        <w:t>nástrojů spolufinancovaných ze zahraničí</w:t>
      </w:r>
      <w:r w:rsidR="006066A1">
        <w:rPr>
          <w:rFonts w:ascii="Arial" w:hAnsi="Arial" w:cs="Arial"/>
          <w:sz w:val="22"/>
          <w:szCs w:val="22"/>
          <w:lang w:eastAsia="cs-CZ"/>
        </w:rPr>
        <w:t>, na kterém</w:t>
      </w:r>
      <w:r w:rsidR="00AE556C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AE556C">
        <w:rPr>
          <w:rFonts w:ascii="Arial" w:hAnsi="Arial" w:cs="Arial"/>
          <w:sz w:val="22"/>
          <w:szCs w:val="22"/>
          <w:lang w:eastAsia="cs-CZ"/>
        </w:rPr>
        <w:t xml:space="preserve">rozporu </w:t>
      </w:r>
      <w:r w:rsidR="00765F23">
        <w:rPr>
          <w:rFonts w:ascii="Arial" w:hAnsi="Arial" w:cs="Arial"/>
          <w:sz w:val="22"/>
          <w:szCs w:val="22"/>
          <w:lang w:eastAsia="cs-CZ"/>
        </w:rPr>
        <w:t>s </w:t>
      </w:r>
      <w:r w:rsidR="00AE556C">
        <w:rPr>
          <w:rFonts w:ascii="Arial" w:hAnsi="Arial" w:cs="Arial"/>
          <w:sz w:val="22"/>
          <w:szCs w:val="22"/>
          <w:lang w:eastAsia="cs-CZ"/>
        </w:rPr>
        <w:t>§ 8 odst. 1 zákona o účetnictví vykázalo podmíněný závazek ve výši 5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E556C">
        <w:rPr>
          <w:rFonts w:ascii="Arial" w:hAnsi="Arial" w:cs="Arial"/>
          <w:sz w:val="22"/>
          <w:szCs w:val="22"/>
          <w:lang w:eastAsia="cs-CZ"/>
        </w:rPr>
        <w:t>410</w:t>
      </w:r>
      <w:r w:rsidR="005F310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E556C">
        <w:rPr>
          <w:rFonts w:ascii="Arial" w:hAnsi="Arial" w:cs="Arial"/>
          <w:sz w:val="22"/>
          <w:szCs w:val="22"/>
          <w:lang w:eastAsia="cs-CZ"/>
        </w:rPr>
        <w:t>000 Kč, je</w:t>
      </w:r>
      <w:r w:rsidR="00765F23">
        <w:rPr>
          <w:rFonts w:ascii="Arial" w:hAnsi="Arial" w:cs="Arial"/>
          <w:sz w:val="22"/>
          <w:szCs w:val="22"/>
          <w:lang w:eastAsia="cs-CZ"/>
        </w:rPr>
        <w:t>n</w:t>
      </w:r>
      <w:r w:rsidR="00AE556C">
        <w:rPr>
          <w:rFonts w:ascii="Arial" w:hAnsi="Arial" w:cs="Arial"/>
          <w:sz w:val="22"/>
          <w:szCs w:val="22"/>
          <w:lang w:eastAsia="cs-CZ"/>
        </w:rPr>
        <w:t xml:space="preserve">ž </w:t>
      </w:r>
      <w:r w:rsidR="00582178">
        <w:rPr>
          <w:rFonts w:ascii="Arial" w:hAnsi="Arial" w:cs="Arial"/>
          <w:sz w:val="22"/>
          <w:szCs w:val="22"/>
          <w:lang w:eastAsia="cs-CZ"/>
        </w:rPr>
        <w:t>nebyl</w:t>
      </w:r>
      <w:r w:rsidR="00AE556C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="00AE556C">
        <w:rPr>
          <w:rFonts w:ascii="Arial" w:hAnsi="Arial" w:cs="Arial"/>
          <w:sz w:val="22"/>
          <w:szCs w:val="22"/>
          <w:lang w:eastAsia="cs-CZ"/>
        </w:rPr>
        <w:t xml:space="preserve">souladu </w:t>
      </w:r>
      <w:r w:rsidR="00765F23">
        <w:rPr>
          <w:rFonts w:ascii="Arial" w:hAnsi="Arial" w:cs="Arial"/>
          <w:sz w:val="22"/>
          <w:szCs w:val="22"/>
          <w:lang w:eastAsia="cs-CZ"/>
        </w:rPr>
        <w:t>s </w:t>
      </w:r>
      <w:r w:rsidR="00AE556C">
        <w:rPr>
          <w:rFonts w:ascii="Arial" w:hAnsi="Arial" w:cs="Arial"/>
          <w:sz w:val="22"/>
          <w:szCs w:val="22"/>
          <w:lang w:eastAsia="cs-CZ"/>
        </w:rPr>
        <w:t>prokázanou skutečností dle vydaného rozhodnutí</w:t>
      </w:r>
      <w:r w:rsidRPr="005E4852">
        <w:rPr>
          <w:rFonts w:ascii="Arial" w:hAnsi="Arial" w:cs="Arial"/>
          <w:sz w:val="22"/>
          <w:szCs w:val="22"/>
          <w:lang w:eastAsia="cs-CZ"/>
        </w:rPr>
        <w:t xml:space="preserve">. </w:t>
      </w:r>
    </w:p>
    <w:p w:rsidR="005E4852" w:rsidRDefault="005E4852" w:rsidP="005E485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highlight w:val="green"/>
          <w:lang w:eastAsia="cs-CZ"/>
        </w:rPr>
      </w:pPr>
    </w:p>
    <w:p w:rsidR="003A7CB3" w:rsidRDefault="003A7CB3" w:rsidP="00E50173">
      <w:pPr>
        <w:tabs>
          <w:tab w:val="left" w:pos="284"/>
        </w:tabs>
        <w:spacing w:after="120"/>
        <w:jc w:val="both"/>
        <w:rPr>
          <w:rFonts w:ascii="Arial" w:hAnsi="Arial" w:cs="Arial"/>
          <w:b/>
          <w:i/>
          <w:sz w:val="22"/>
          <w:szCs w:val="22"/>
          <w:lang w:eastAsia="cs-CZ"/>
        </w:rPr>
      </w:pPr>
      <w:r w:rsidRPr="003A7CB3">
        <w:rPr>
          <w:rFonts w:ascii="Arial" w:hAnsi="Arial" w:cs="Arial"/>
          <w:b/>
          <w:i/>
          <w:sz w:val="22"/>
          <w:szCs w:val="22"/>
          <w:lang w:eastAsia="cs-CZ"/>
        </w:rPr>
        <w:t>Fyzická inventura</w:t>
      </w:r>
    </w:p>
    <w:p w:rsidR="003A7CB3" w:rsidRPr="007D296F" w:rsidRDefault="003A7CB3" w:rsidP="005E485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7D296F">
        <w:rPr>
          <w:rFonts w:ascii="Arial" w:hAnsi="Arial" w:cs="Arial"/>
          <w:sz w:val="22"/>
          <w:szCs w:val="22"/>
          <w:lang w:eastAsia="cs-CZ"/>
        </w:rPr>
        <w:t xml:space="preserve">MŠMT </w:t>
      </w:r>
      <w:r w:rsidR="002A2356">
        <w:rPr>
          <w:rFonts w:ascii="Arial" w:hAnsi="Arial" w:cs="Arial"/>
          <w:sz w:val="22"/>
          <w:szCs w:val="22"/>
          <w:lang w:eastAsia="cs-CZ"/>
        </w:rPr>
        <w:t>v rozporu s </w:t>
      </w:r>
      <w:r w:rsidRPr="007D296F">
        <w:rPr>
          <w:rFonts w:ascii="Arial" w:hAnsi="Arial" w:cs="Arial"/>
          <w:sz w:val="22"/>
          <w:szCs w:val="22"/>
          <w:lang w:eastAsia="cs-CZ"/>
        </w:rPr>
        <w:t>§ 6 odst. 5 vyhlášky č. 270/2010 Sb., o inventarizaci majetku a</w:t>
      </w:r>
      <w:r w:rsidR="002B51EB">
        <w:rPr>
          <w:rFonts w:ascii="Arial" w:hAnsi="Arial" w:cs="Arial"/>
          <w:sz w:val="22"/>
          <w:szCs w:val="22"/>
          <w:lang w:eastAsia="cs-CZ"/>
        </w:rPr>
        <w:t> </w:t>
      </w:r>
      <w:r w:rsidRPr="007D296F">
        <w:rPr>
          <w:rFonts w:ascii="Arial" w:hAnsi="Arial" w:cs="Arial"/>
          <w:sz w:val="22"/>
          <w:szCs w:val="22"/>
          <w:lang w:eastAsia="cs-CZ"/>
        </w:rPr>
        <w:t>závazků</w:t>
      </w:r>
      <w:r w:rsidR="002A2356">
        <w:rPr>
          <w:rFonts w:ascii="Arial" w:hAnsi="Arial" w:cs="Arial"/>
          <w:sz w:val="22"/>
          <w:szCs w:val="22"/>
          <w:lang w:eastAsia="cs-CZ"/>
        </w:rPr>
        <w:t>,</w:t>
      </w:r>
      <w:r w:rsidRPr="007D296F">
        <w:rPr>
          <w:rFonts w:ascii="Arial" w:hAnsi="Arial" w:cs="Arial"/>
          <w:sz w:val="22"/>
          <w:szCs w:val="22"/>
          <w:lang w:eastAsia="cs-CZ"/>
        </w:rPr>
        <w:t xml:space="preserve"> </w:t>
      </w:r>
      <w:r w:rsidR="002A2356" w:rsidRPr="007D296F">
        <w:rPr>
          <w:rFonts w:ascii="Arial" w:hAnsi="Arial" w:cs="Arial"/>
          <w:sz w:val="22"/>
          <w:szCs w:val="22"/>
          <w:lang w:eastAsia="cs-CZ"/>
        </w:rPr>
        <w:t xml:space="preserve">neprovedlo </w:t>
      </w:r>
      <w:r w:rsidRPr="007D296F">
        <w:rPr>
          <w:rFonts w:ascii="Arial" w:hAnsi="Arial" w:cs="Arial"/>
          <w:sz w:val="22"/>
          <w:szCs w:val="22"/>
          <w:lang w:eastAsia="cs-CZ"/>
        </w:rPr>
        <w:t xml:space="preserve">fyzickou inventuru najatého majetku nacházejícího se </w:t>
      </w:r>
      <w:r w:rsidR="00765F23">
        <w:rPr>
          <w:rFonts w:ascii="Arial" w:hAnsi="Arial" w:cs="Arial"/>
          <w:sz w:val="22"/>
          <w:szCs w:val="22"/>
          <w:lang w:eastAsia="cs-CZ"/>
        </w:rPr>
        <w:t>v </w:t>
      </w:r>
      <w:r w:rsidRPr="007D296F">
        <w:rPr>
          <w:rFonts w:ascii="Arial" w:hAnsi="Arial" w:cs="Arial"/>
          <w:sz w:val="22"/>
          <w:szCs w:val="22"/>
          <w:lang w:eastAsia="cs-CZ"/>
        </w:rPr>
        <w:t>budovách, ke kterým má MŠMT příslušnost hospodař</w:t>
      </w:r>
      <w:r w:rsidR="00582178">
        <w:rPr>
          <w:rFonts w:ascii="Arial" w:hAnsi="Arial" w:cs="Arial"/>
          <w:sz w:val="22"/>
          <w:szCs w:val="22"/>
          <w:lang w:eastAsia="cs-CZ"/>
        </w:rPr>
        <w:t>it</w:t>
      </w:r>
      <w:r w:rsidRPr="007D296F">
        <w:rPr>
          <w:rFonts w:ascii="Arial" w:hAnsi="Arial" w:cs="Arial"/>
          <w:sz w:val="22"/>
          <w:szCs w:val="22"/>
          <w:lang w:eastAsia="cs-CZ"/>
        </w:rPr>
        <w:t xml:space="preserve">, přičemž </w:t>
      </w:r>
      <w:r w:rsidR="00765F23">
        <w:rPr>
          <w:rFonts w:ascii="Arial" w:hAnsi="Arial" w:cs="Arial"/>
          <w:sz w:val="22"/>
          <w:szCs w:val="22"/>
          <w:lang w:eastAsia="cs-CZ"/>
        </w:rPr>
        <w:t>z </w:t>
      </w:r>
      <w:r w:rsidRPr="007D296F">
        <w:rPr>
          <w:rFonts w:ascii="Arial" w:hAnsi="Arial" w:cs="Arial"/>
          <w:sz w:val="22"/>
          <w:szCs w:val="22"/>
          <w:lang w:eastAsia="cs-CZ"/>
        </w:rPr>
        <w:t>takto najatého majetku vznikaly MŠMT práva a</w:t>
      </w:r>
      <w:r w:rsidR="008A32D2">
        <w:rPr>
          <w:rFonts w:ascii="Arial" w:hAnsi="Arial" w:cs="Arial"/>
          <w:sz w:val="22"/>
          <w:szCs w:val="22"/>
          <w:lang w:eastAsia="cs-CZ"/>
        </w:rPr>
        <w:t> </w:t>
      </w:r>
      <w:r w:rsidRPr="007D296F">
        <w:rPr>
          <w:rFonts w:ascii="Arial" w:hAnsi="Arial" w:cs="Arial"/>
          <w:sz w:val="22"/>
          <w:szCs w:val="22"/>
          <w:lang w:eastAsia="cs-CZ"/>
        </w:rPr>
        <w:t xml:space="preserve">povinnosti. </w:t>
      </w:r>
    </w:p>
    <w:p w:rsidR="003A7CB3" w:rsidRDefault="003A7CB3" w:rsidP="005E485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highlight w:val="green"/>
          <w:lang w:eastAsia="cs-CZ"/>
        </w:rPr>
      </w:pPr>
    </w:p>
    <w:p w:rsidR="002820FC" w:rsidRPr="000D57B1" w:rsidRDefault="006805B5" w:rsidP="006805B5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 w:rsidRPr="000D57B1">
        <w:rPr>
          <w:rFonts w:ascii="Arial" w:hAnsi="Arial" w:cs="Arial"/>
          <w:b/>
          <w:szCs w:val="22"/>
          <w:lang w:eastAsia="en-US"/>
        </w:rPr>
        <w:t xml:space="preserve">2. </w:t>
      </w:r>
      <w:r w:rsidR="002820FC" w:rsidRPr="000D57B1">
        <w:rPr>
          <w:rFonts w:ascii="Arial" w:hAnsi="Arial" w:cs="Arial"/>
          <w:b/>
          <w:szCs w:val="22"/>
          <w:lang w:eastAsia="en-US"/>
        </w:rPr>
        <w:t>Finanční výkazy M</w:t>
      </w:r>
      <w:r w:rsidR="002D1C31" w:rsidRPr="000D57B1">
        <w:rPr>
          <w:rFonts w:ascii="Arial" w:hAnsi="Arial" w:cs="Arial"/>
          <w:b/>
          <w:szCs w:val="22"/>
          <w:lang w:eastAsia="en-US"/>
        </w:rPr>
        <w:t>Š</w:t>
      </w:r>
      <w:r w:rsidR="002820FC" w:rsidRPr="000D57B1">
        <w:rPr>
          <w:rFonts w:ascii="Arial" w:hAnsi="Arial" w:cs="Arial"/>
          <w:b/>
          <w:szCs w:val="22"/>
          <w:lang w:eastAsia="en-US"/>
        </w:rPr>
        <w:t xml:space="preserve">MT </w:t>
      </w:r>
      <w:r w:rsidR="00AA72DB" w:rsidRPr="000D57B1">
        <w:rPr>
          <w:rFonts w:ascii="Arial" w:hAnsi="Arial" w:cs="Arial"/>
          <w:b/>
          <w:szCs w:val="22"/>
          <w:lang w:eastAsia="en-US"/>
        </w:rPr>
        <w:t>za rok</w:t>
      </w:r>
      <w:r w:rsidR="000D57B1" w:rsidRPr="000D57B1">
        <w:rPr>
          <w:rFonts w:ascii="Arial" w:hAnsi="Arial" w:cs="Arial"/>
          <w:b/>
          <w:szCs w:val="22"/>
          <w:lang w:eastAsia="en-US"/>
        </w:rPr>
        <w:t xml:space="preserve"> 2012</w:t>
      </w:r>
    </w:p>
    <w:p w:rsidR="00067C50" w:rsidRPr="0015047E" w:rsidRDefault="00067C50" w:rsidP="000032DA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700ED1" w:rsidRPr="000D57B1" w:rsidRDefault="00765F23" w:rsidP="00003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700ED1" w:rsidRPr="000D57B1">
        <w:rPr>
          <w:rFonts w:ascii="Arial" w:hAnsi="Arial" w:cs="Arial"/>
          <w:sz w:val="22"/>
          <w:szCs w:val="22"/>
        </w:rPr>
        <w:t xml:space="preserve">průběhu kontroly byly prověřovány také </w:t>
      </w:r>
      <w:r w:rsidR="000A6FCA" w:rsidRPr="000D57B1">
        <w:rPr>
          <w:rFonts w:ascii="Arial" w:hAnsi="Arial" w:cs="Arial"/>
          <w:sz w:val="22"/>
          <w:szCs w:val="22"/>
        </w:rPr>
        <w:t xml:space="preserve">následující </w:t>
      </w:r>
      <w:r w:rsidR="00700ED1" w:rsidRPr="000D57B1">
        <w:rPr>
          <w:rFonts w:ascii="Arial" w:hAnsi="Arial" w:cs="Arial"/>
          <w:sz w:val="22"/>
          <w:szCs w:val="22"/>
        </w:rPr>
        <w:t xml:space="preserve">finanční výkazy: </w:t>
      </w:r>
      <w:r w:rsidR="000A6FCA" w:rsidRPr="000D57B1">
        <w:rPr>
          <w:rFonts w:ascii="Arial" w:hAnsi="Arial" w:cs="Arial"/>
          <w:sz w:val="22"/>
          <w:szCs w:val="22"/>
        </w:rPr>
        <w:t>v</w:t>
      </w:r>
      <w:r w:rsidR="00700ED1" w:rsidRPr="000D57B1">
        <w:rPr>
          <w:rFonts w:ascii="Arial" w:hAnsi="Arial" w:cs="Arial"/>
          <w:sz w:val="22"/>
          <w:szCs w:val="22"/>
        </w:rPr>
        <w:t>ýkaz pro hodnocení plnění rozpočtu</w:t>
      </w:r>
      <w:r w:rsidR="00E94004" w:rsidRPr="000D57B1">
        <w:rPr>
          <w:rFonts w:ascii="Arial" w:hAnsi="Arial" w:cs="Arial"/>
          <w:sz w:val="22"/>
          <w:szCs w:val="22"/>
        </w:rPr>
        <w:t xml:space="preserve"> správců kapitol, organizačních složek státu a státních fondů (dále </w:t>
      </w:r>
      <w:r w:rsidR="00EB66B3" w:rsidRPr="000D57B1">
        <w:rPr>
          <w:rFonts w:ascii="Arial" w:hAnsi="Arial" w:cs="Arial"/>
          <w:sz w:val="22"/>
          <w:szCs w:val="22"/>
        </w:rPr>
        <w:t xml:space="preserve">také </w:t>
      </w:r>
      <w:r w:rsidR="00E94004" w:rsidRPr="000D57B1">
        <w:rPr>
          <w:rFonts w:ascii="Arial" w:hAnsi="Arial" w:cs="Arial"/>
          <w:sz w:val="22"/>
          <w:szCs w:val="22"/>
        </w:rPr>
        <w:t>„</w:t>
      </w:r>
      <w:r w:rsidR="000A6FCA" w:rsidRPr="000D57B1">
        <w:rPr>
          <w:rFonts w:ascii="Arial" w:hAnsi="Arial" w:cs="Arial"/>
          <w:sz w:val="22"/>
          <w:szCs w:val="22"/>
        </w:rPr>
        <w:t>v</w:t>
      </w:r>
      <w:r w:rsidR="00E94004" w:rsidRPr="000D57B1">
        <w:rPr>
          <w:rFonts w:ascii="Arial" w:hAnsi="Arial" w:cs="Arial"/>
          <w:sz w:val="22"/>
          <w:szCs w:val="22"/>
        </w:rPr>
        <w:t>ýkaz pro hodnocení plnění rozpočtu“)</w:t>
      </w:r>
      <w:r w:rsidR="00700ED1" w:rsidRPr="000D57B1">
        <w:rPr>
          <w:rFonts w:ascii="Arial" w:hAnsi="Arial" w:cs="Arial"/>
          <w:sz w:val="22"/>
          <w:szCs w:val="22"/>
        </w:rPr>
        <w:t xml:space="preserve"> a </w:t>
      </w:r>
      <w:r w:rsidR="000A6FCA" w:rsidRPr="000D57B1">
        <w:rPr>
          <w:rFonts w:ascii="Arial" w:hAnsi="Arial" w:cs="Arial"/>
          <w:sz w:val="22"/>
          <w:szCs w:val="22"/>
        </w:rPr>
        <w:t>v</w:t>
      </w:r>
      <w:r w:rsidR="00700ED1" w:rsidRPr="000D57B1">
        <w:rPr>
          <w:rFonts w:ascii="Arial" w:hAnsi="Arial" w:cs="Arial"/>
          <w:sz w:val="22"/>
          <w:szCs w:val="22"/>
        </w:rPr>
        <w:t xml:space="preserve">ýkaz o nárocích </w:t>
      </w:r>
      <w:r>
        <w:rPr>
          <w:rFonts w:ascii="Arial" w:hAnsi="Arial" w:cs="Arial"/>
          <w:sz w:val="22"/>
          <w:szCs w:val="22"/>
        </w:rPr>
        <w:t>z </w:t>
      </w:r>
      <w:r w:rsidR="00700ED1" w:rsidRPr="000D57B1">
        <w:rPr>
          <w:rFonts w:ascii="Arial" w:hAnsi="Arial" w:cs="Arial"/>
          <w:sz w:val="22"/>
          <w:szCs w:val="22"/>
        </w:rPr>
        <w:t>nespotřebovaných výdajů OSS.</w:t>
      </w:r>
    </w:p>
    <w:p w:rsidR="00DC1A2F" w:rsidRPr="0015047E" w:rsidRDefault="00DC1A2F" w:rsidP="000032DA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700ED1" w:rsidRPr="000D57B1" w:rsidRDefault="00700ED1" w:rsidP="000032DA">
      <w:pPr>
        <w:tabs>
          <w:tab w:val="left" w:pos="8364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D57B1">
        <w:rPr>
          <w:rFonts w:ascii="Arial" w:hAnsi="Arial" w:cs="Arial"/>
          <w:b/>
          <w:sz w:val="22"/>
          <w:szCs w:val="22"/>
        </w:rPr>
        <w:t xml:space="preserve">Tabulka č. </w:t>
      </w:r>
      <w:r w:rsidR="00E94004" w:rsidRPr="000D57B1">
        <w:rPr>
          <w:rFonts w:ascii="Arial" w:hAnsi="Arial" w:cs="Arial"/>
          <w:b/>
          <w:sz w:val="22"/>
          <w:szCs w:val="22"/>
        </w:rPr>
        <w:t>5</w:t>
      </w:r>
      <w:r w:rsidRPr="000D57B1">
        <w:rPr>
          <w:rFonts w:ascii="Arial" w:hAnsi="Arial" w:cs="Arial"/>
          <w:b/>
          <w:sz w:val="22"/>
          <w:szCs w:val="22"/>
        </w:rPr>
        <w:t xml:space="preserve"> – Údaje </w:t>
      </w:r>
      <w:r w:rsidR="00765F23">
        <w:rPr>
          <w:rFonts w:ascii="Arial" w:hAnsi="Arial" w:cs="Arial"/>
          <w:b/>
          <w:sz w:val="22"/>
          <w:szCs w:val="22"/>
        </w:rPr>
        <w:t>z </w:t>
      </w:r>
      <w:r w:rsidR="000A6FCA" w:rsidRPr="000D57B1">
        <w:rPr>
          <w:rFonts w:ascii="Arial" w:hAnsi="Arial" w:cs="Arial"/>
          <w:b/>
          <w:sz w:val="22"/>
          <w:szCs w:val="22"/>
        </w:rPr>
        <w:t>v</w:t>
      </w:r>
      <w:r w:rsidRPr="000D57B1">
        <w:rPr>
          <w:rFonts w:ascii="Arial" w:hAnsi="Arial" w:cs="Arial"/>
          <w:b/>
          <w:sz w:val="22"/>
          <w:szCs w:val="22"/>
        </w:rPr>
        <w:t xml:space="preserve">ýkazu pro hodnocení plnění rozpočtu </w:t>
      </w:r>
      <w:r w:rsidR="00AA72DB" w:rsidRPr="000D57B1">
        <w:rPr>
          <w:rFonts w:ascii="Arial" w:hAnsi="Arial" w:cs="Arial"/>
          <w:b/>
          <w:sz w:val="22"/>
          <w:szCs w:val="22"/>
        </w:rPr>
        <w:t>za rok</w:t>
      </w:r>
      <w:r w:rsidR="000D57B1" w:rsidRPr="000D57B1">
        <w:rPr>
          <w:rFonts w:ascii="Arial" w:hAnsi="Arial" w:cs="Arial"/>
          <w:b/>
          <w:sz w:val="22"/>
          <w:szCs w:val="22"/>
        </w:rPr>
        <w:t xml:space="preserve"> 2012</w:t>
      </w:r>
      <w:r w:rsidR="00067C50" w:rsidRPr="000D57B1">
        <w:rPr>
          <w:rFonts w:ascii="Arial" w:hAnsi="Arial" w:cs="Arial"/>
          <w:b/>
          <w:sz w:val="22"/>
          <w:szCs w:val="22"/>
        </w:rPr>
        <w:t xml:space="preserve"> </w:t>
      </w:r>
      <w:r w:rsidR="000032DA" w:rsidRPr="000D57B1">
        <w:rPr>
          <w:rFonts w:ascii="Arial" w:hAnsi="Arial" w:cs="Arial"/>
          <w:b/>
          <w:sz w:val="22"/>
          <w:szCs w:val="22"/>
        </w:rPr>
        <w:tab/>
      </w:r>
      <w:r w:rsidRPr="000D57B1">
        <w:rPr>
          <w:rFonts w:ascii="Arial" w:hAnsi="Arial" w:cs="Arial"/>
          <w:b/>
          <w:bCs/>
          <w:sz w:val="22"/>
          <w:szCs w:val="22"/>
        </w:rPr>
        <w:t>(</w:t>
      </w:r>
      <w:r w:rsidR="00765F23">
        <w:rPr>
          <w:rFonts w:ascii="Arial" w:hAnsi="Arial" w:cs="Arial"/>
          <w:b/>
          <w:bCs/>
          <w:sz w:val="22"/>
          <w:szCs w:val="22"/>
        </w:rPr>
        <w:t>v </w:t>
      </w:r>
      <w:r w:rsidRPr="000D57B1">
        <w:rPr>
          <w:rFonts w:ascii="Arial" w:hAnsi="Arial" w:cs="Arial"/>
          <w:b/>
          <w:bCs/>
          <w:sz w:val="22"/>
          <w:szCs w:val="22"/>
        </w:rPr>
        <w:t>Kč)</w:t>
      </w:r>
    </w:p>
    <w:tbl>
      <w:tblPr>
        <w:tblW w:w="9007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344"/>
        <w:gridCol w:w="2138"/>
        <w:gridCol w:w="2539"/>
      </w:tblGrid>
      <w:tr w:rsidR="000032DA" w:rsidRPr="0015047E" w:rsidTr="00E50173">
        <w:trPr>
          <w:cantSplit/>
          <w:trHeight w:val="283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00ED1" w:rsidRPr="00E50173" w:rsidRDefault="00700ED1" w:rsidP="003B45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017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Rozpočtové příjmy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00ED1" w:rsidRPr="00E50173" w:rsidRDefault="00700ED1" w:rsidP="003B45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017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Rozpočtové výdaje</w:t>
            </w:r>
          </w:p>
        </w:tc>
      </w:tr>
      <w:tr w:rsidR="000032DA" w:rsidRPr="0015047E" w:rsidTr="00E50173">
        <w:trPr>
          <w:cantSplit/>
          <w:trHeight w:val="28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00ED1" w:rsidRPr="00E50173" w:rsidRDefault="00700ED1" w:rsidP="003B45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017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Rozpočet</w:t>
            </w:r>
            <w:r w:rsidRPr="00E5017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po změnách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00ED1" w:rsidRPr="00E50173" w:rsidRDefault="00700ED1" w:rsidP="003B45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017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Výsledek </w:t>
            </w:r>
            <w:r w:rsidRPr="00E5017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od počátku roku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00ED1" w:rsidRPr="00E50173" w:rsidRDefault="00700ED1" w:rsidP="003B45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017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Konečný rozpočet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00ED1" w:rsidRPr="00E50173" w:rsidRDefault="00700ED1" w:rsidP="003B45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017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Výsledek </w:t>
            </w:r>
            <w:r w:rsidRPr="00E5017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od počátku roku</w:t>
            </w:r>
          </w:p>
        </w:tc>
      </w:tr>
      <w:tr w:rsidR="000032DA" w:rsidRPr="0015047E" w:rsidTr="008D58B2">
        <w:trPr>
          <w:cantSplit/>
          <w:trHeight w:val="28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D1" w:rsidRPr="00C63229" w:rsidRDefault="000D57B1" w:rsidP="000D57B1">
            <w:pPr>
              <w:ind w:right="104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01331E"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098</w:t>
            </w:r>
            <w:r w:rsidR="0001331E"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910</w:t>
            </w:r>
            <w:r w:rsidR="0001331E"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00ED1"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D1" w:rsidRPr="00C63229" w:rsidRDefault="000D57B1" w:rsidP="000D57B1">
            <w:pPr>
              <w:ind w:right="104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01331E"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079</w:t>
            </w:r>
            <w:r w:rsidR="0001331E"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044</w:t>
            </w:r>
            <w:r w:rsidR="0001331E"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774</w:t>
            </w:r>
            <w:r w:rsidR="00700ED1"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D1" w:rsidRPr="00C63229" w:rsidRDefault="000D57B1" w:rsidP="000D57B1">
            <w:pPr>
              <w:ind w:right="104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143</w:t>
            </w:r>
            <w:r w:rsidR="0001331E"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968</w:t>
            </w:r>
            <w:r w:rsidR="0001331E"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227</w:t>
            </w:r>
            <w:r w:rsidR="0001331E"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495</w:t>
            </w:r>
            <w:r w:rsidR="00700ED1"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D1" w:rsidRPr="00C63229" w:rsidRDefault="00700ED1" w:rsidP="000D57B1">
            <w:pPr>
              <w:ind w:right="104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13</w:t>
            </w:r>
            <w:r w:rsidR="000D57B1" w:rsidRPr="00C63229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7</w:t>
            </w:r>
            <w:r w:rsidR="0001331E" w:rsidRPr="00C63229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0D57B1" w:rsidRPr="00C63229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696</w:t>
            </w:r>
            <w:r w:rsidR="0001331E" w:rsidRPr="00C63229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0D57B1" w:rsidRPr="00C63229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765</w:t>
            </w:r>
            <w:r w:rsidR="0001331E" w:rsidRPr="00C63229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0D57B1" w:rsidRPr="00C63229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719</w:t>
            </w:r>
            <w:r w:rsidRPr="00C63229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,</w:t>
            </w:r>
            <w:r w:rsidR="000D57B1" w:rsidRPr="00C63229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98</w:t>
            </w:r>
          </w:p>
        </w:tc>
      </w:tr>
    </w:tbl>
    <w:p w:rsidR="00700ED1" w:rsidRPr="000D57B1" w:rsidRDefault="00700ED1" w:rsidP="000032DA">
      <w:pPr>
        <w:spacing w:before="40"/>
        <w:rPr>
          <w:rFonts w:ascii="Arial" w:hAnsi="Arial" w:cs="Arial"/>
          <w:sz w:val="18"/>
          <w:szCs w:val="18"/>
          <w:lang w:eastAsia="cs-CZ"/>
        </w:rPr>
      </w:pPr>
      <w:r w:rsidRPr="000D57B1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0D57B1">
        <w:rPr>
          <w:rFonts w:ascii="Arial" w:hAnsi="Arial" w:cs="Arial"/>
          <w:sz w:val="18"/>
          <w:szCs w:val="18"/>
          <w:lang w:eastAsia="cs-CZ"/>
        </w:rPr>
        <w:t xml:space="preserve"> </w:t>
      </w:r>
      <w:r w:rsidR="000A6FCA" w:rsidRPr="000D57B1">
        <w:rPr>
          <w:rFonts w:ascii="Arial" w:hAnsi="Arial" w:cs="Arial"/>
          <w:sz w:val="18"/>
          <w:szCs w:val="18"/>
          <w:lang w:eastAsia="cs-CZ"/>
        </w:rPr>
        <w:t>v</w:t>
      </w:r>
      <w:r w:rsidRPr="000D57B1">
        <w:rPr>
          <w:rFonts w:ascii="Arial" w:hAnsi="Arial" w:cs="Arial"/>
          <w:sz w:val="18"/>
          <w:szCs w:val="18"/>
          <w:lang w:eastAsia="cs-CZ"/>
        </w:rPr>
        <w:t>ýkaz pro hodnocení plnění rozpočtu</w:t>
      </w:r>
      <w:r w:rsidR="00353CA3">
        <w:rPr>
          <w:rFonts w:ascii="Arial" w:hAnsi="Arial" w:cs="Arial"/>
          <w:sz w:val="18"/>
          <w:szCs w:val="18"/>
          <w:lang w:eastAsia="cs-CZ"/>
        </w:rPr>
        <w:t xml:space="preserve"> MŠMT</w:t>
      </w:r>
      <w:r w:rsidRPr="000D57B1">
        <w:rPr>
          <w:rFonts w:ascii="Arial" w:hAnsi="Arial" w:cs="Arial"/>
          <w:sz w:val="18"/>
          <w:szCs w:val="18"/>
          <w:lang w:eastAsia="cs-CZ"/>
        </w:rPr>
        <w:t xml:space="preserve"> </w:t>
      </w:r>
      <w:r w:rsidR="00AA72DB" w:rsidRPr="000D57B1">
        <w:rPr>
          <w:rFonts w:ascii="Arial" w:hAnsi="Arial" w:cs="Arial"/>
          <w:sz w:val="18"/>
          <w:szCs w:val="18"/>
          <w:lang w:eastAsia="cs-CZ"/>
        </w:rPr>
        <w:t xml:space="preserve">za rok </w:t>
      </w:r>
      <w:r w:rsidRPr="000D57B1">
        <w:rPr>
          <w:rFonts w:ascii="Arial" w:hAnsi="Arial" w:cs="Arial"/>
          <w:sz w:val="18"/>
          <w:szCs w:val="18"/>
          <w:lang w:eastAsia="cs-CZ"/>
        </w:rPr>
        <w:t>201</w:t>
      </w:r>
      <w:r w:rsidR="000D57B1" w:rsidRPr="000D57B1">
        <w:rPr>
          <w:rFonts w:ascii="Arial" w:hAnsi="Arial" w:cs="Arial"/>
          <w:sz w:val="18"/>
          <w:szCs w:val="18"/>
          <w:lang w:eastAsia="cs-CZ"/>
        </w:rPr>
        <w:t>2</w:t>
      </w:r>
      <w:r w:rsidRPr="000D57B1">
        <w:rPr>
          <w:rFonts w:ascii="Arial" w:hAnsi="Arial" w:cs="Arial"/>
          <w:sz w:val="18"/>
          <w:szCs w:val="18"/>
          <w:lang w:eastAsia="cs-CZ"/>
        </w:rPr>
        <w:t>.</w:t>
      </w:r>
    </w:p>
    <w:p w:rsidR="00067C50" w:rsidRPr="0015047E" w:rsidRDefault="00067C50" w:rsidP="00700ED1">
      <w:pPr>
        <w:rPr>
          <w:rFonts w:ascii="Arial" w:hAnsi="Arial" w:cs="Arial"/>
          <w:sz w:val="22"/>
          <w:szCs w:val="22"/>
          <w:highlight w:val="green"/>
          <w:lang w:eastAsia="cs-CZ"/>
        </w:rPr>
      </w:pPr>
    </w:p>
    <w:p w:rsidR="004E0AC8" w:rsidRPr="00762CA8" w:rsidRDefault="0076257E" w:rsidP="0076257E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 w:rsidRPr="00762CA8">
        <w:rPr>
          <w:rFonts w:ascii="Arial" w:hAnsi="Arial" w:cs="Arial"/>
          <w:b/>
          <w:szCs w:val="22"/>
        </w:rPr>
        <w:t xml:space="preserve">2.1 </w:t>
      </w:r>
      <w:r w:rsidR="004E0AC8" w:rsidRPr="00762CA8">
        <w:rPr>
          <w:rFonts w:ascii="Arial" w:hAnsi="Arial" w:cs="Arial"/>
          <w:b/>
          <w:szCs w:val="22"/>
        </w:rPr>
        <w:t xml:space="preserve">Regulace účinná </w:t>
      </w:r>
      <w:r w:rsidR="00765F23">
        <w:rPr>
          <w:rFonts w:ascii="Arial" w:hAnsi="Arial" w:cs="Arial"/>
          <w:b/>
          <w:szCs w:val="22"/>
        </w:rPr>
        <w:t>v </w:t>
      </w:r>
      <w:r w:rsidR="004E0AC8" w:rsidRPr="00762CA8">
        <w:rPr>
          <w:rFonts w:ascii="Arial" w:hAnsi="Arial" w:cs="Arial"/>
          <w:b/>
          <w:szCs w:val="22"/>
        </w:rPr>
        <w:t>roce 201</w:t>
      </w:r>
      <w:r w:rsidR="00E676E8" w:rsidRPr="00762CA8">
        <w:rPr>
          <w:rFonts w:ascii="Arial" w:hAnsi="Arial" w:cs="Arial"/>
          <w:b/>
          <w:szCs w:val="22"/>
        </w:rPr>
        <w:t>2</w:t>
      </w:r>
      <w:r w:rsidR="004E0AC8" w:rsidRPr="00762CA8">
        <w:rPr>
          <w:rFonts w:ascii="Arial" w:hAnsi="Arial" w:cs="Arial"/>
          <w:b/>
          <w:szCs w:val="22"/>
        </w:rPr>
        <w:t xml:space="preserve"> </w:t>
      </w:r>
      <w:r w:rsidR="00FE4FCC" w:rsidRPr="00762CA8">
        <w:rPr>
          <w:rFonts w:ascii="Arial" w:hAnsi="Arial" w:cs="Arial"/>
          <w:b/>
          <w:szCs w:val="22"/>
        </w:rPr>
        <w:t>pro oblast finančního výkaznictví OSS</w:t>
      </w:r>
    </w:p>
    <w:p w:rsidR="000C3FFE" w:rsidRPr="0015047E" w:rsidRDefault="000C3FFE" w:rsidP="000C3FFE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0C3FFE" w:rsidRPr="00CD4A1C" w:rsidRDefault="00A670BA" w:rsidP="002B3FF6">
      <w:pPr>
        <w:jc w:val="both"/>
        <w:rPr>
          <w:rFonts w:ascii="Arial" w:hAnsi="Arial" w:cs="Arial"/>
          <w:bCs/>
          <w:sz w:val="22"/>
          <w:szCs w:val="22"/>
        </w:rPr>
      </w:pPr>
      <w:r w:rsidRPr="00762CA8">
        <w:rPr>
          <w:rFonts w:ascii="Arial" w:hAnsi="Arial" w:cs="Arial"/>
          <w:sz w:val="22"/>
          <w:szCs w:val="22"/>
        </w:rPr>
        <w:t>F</w:t>
      </w:r>
      <w:r w:rsidR="000C3FFE" w:rsidRPr="00762CA8">
        <w:rPr>
          <w:rFonts w:ascii="Arial" w:hAnsi="Arial" w:cs="Arial"/>
          <w:sz w:val="22"/>
          <w:szCs w:val="22"/>
        </w:rPr>
        <w:t>inanční výkaz</w:t>
      </w:r>
      <w:r w:rsidRPr="00762CA8">
        <w:rPr>
          <w:rFonts w:ascii="Arial" w:hAnsi="Arial" w:cs="Arial"/>
          <w:sz w:val="22"/>
          <w:szCs w:val="22"/>
        </w:rPr>
        <w:t>y</w:t>
      </w:r>
      <w:r w:rsidR="000C3FFE" w:rsidRPr="00762CA8">
        <w:rPr>
          <w:rFonts w:ascii="Arial" w:hAnsi="Arial" w:cs="Arial"/>
          <w:sz w:val="22"/>
          <w:szCs w:val="22"/>
        </w:rPr>
        <w:t xml:space="preserve"> </w:t>
      </w:r>
      <w:r w:rsidRPr="00762CA8">
        <w:rPr>
          <w:rFonts w:ascii="Arial" w:hAnsi="Arial" w:cs="Arial"/>
          <w:sz w:val="22"/>
          <w:szCs w:val="22"/>
        </w:rPr>
        <w:t xml:space="preserve">byly </w:t>
      </w:r>
      <w:r w:rsidR="00765F23">
        <w:rPr>
          <w:rFonts w:ascii="Arial" w:hAnsi="Arial" w:cs="Arial"/>
          <w:sz w:val="22"/>
          <w:szCs w:val="22"/>
        </w:rPr>
        <w:t>v </w:t>
      </w:r>
      <w:r w:rsidRPr="00762CA8">
        <w:rPr>
          <w:rFonts w:ascii="Arial" w:hAnsi="Arial" w:cs="Arial"/>
          <w:sz w:val="22"/>
          <w:szCs w:val="22"/>
        </w:rPr>
        <w:t>roce</w:t>
      </w:r>
      <w:r w:rsidR="000C3FFE" w:rsidRPr="00762CA8">
        <w:rPr>
          <w:rFonts w:ascii="Arial" w:hAnsi="Arial" w:cs="Arial"/>
          <w:sz w:val="22"/>
          <w:szCs w:val="22"/>
        </w:rPr>
        <w:t xml:space="preserve"> 201</w:t>
      </w:r>
      <w:r w:rsidR="00762CA8" w:rsidRPr="00762CA8">
        <w:rPr>
          <w:rFonts w:ascii="Arial" w:hAnsi="Arial" w:cs="Arial"/>
          <w:sz w:val="22"/>
          <w:szCs w:val="22"/>
        </w:rPr>
        <w:t>2</w:t>
      </w:r>
      <w:r w:rsidR="000C3FFE" w:rsidRPr="00762CA8">
        <w:rPr>
          <w:rFonts w:ascii="Arial" w:hAnsi="Arial" w:cs="Arial"/>
          <w:sz w:val="22"/>
          <w:szCs w:val="22"/>
        </w:rPr>
        <w:t xml:space="preserve"> upraven</w:t>
      </w:r>
      <w:r w:rsidRPr="00762CA8">
        <w:rPr>
          <w:rFonts w:ascii="Arial" w:hAnsi="Arial" w:cs="Arial"/>
          <w:sz w:val="22"/>
          <w:szCs w:val="22"/>
        </w:rPr>
        <w:t>y</w:t>
      </w:r>
      <w:r w:rsidR="000C3FFE" w:rsidRPr="00762CA8">
        <w:rPr>
          <w:rFonts w:ascii="Arial" w:hAnsi="Arial" w:cs="Arial"/>
          <w:sz w:val="22"/>
          <w:szCs w:val="22"/>
        </w:rPr>
        <w:t xml:space="preserve"> zejména zákonem č.</w:t>
      </w:r>
      <w:r w:rsidR="00092B3A" w:rsidRPr="00762CA8">
        <w:rPr>
          <w:rFonts w:ascii="Arial" w:hAnsi="Arial" w:cs="Arial"/>
          <w:sz w:val="22"/>
          <w:szCs w:val="22"/>
        </w:rPr>
        <w:t xml:space="preserve"> 218/2000 Sb., o</w:t>
      </w:r>
      <w:r w:rsidR="00067C50" w:rsidRPr="00762CA8">
        <w:rPr>
          <w:rFonts w:ascii="Arial" w:hAnsi="Arial" w:cs="Arial"/>
          <w:sz w:val="22"/>
          <w:szCs w:val="22"/>
        </w:rPr>
        <w:t> </w:t>
      </w:r>
      <w:r w:rsidR="000C3FFE" w:rsidRPr="00762CA8">
        <w:rPr>
          <w:rFonts w:ascii="Arial" w:hAnsi="Arial" w:cs="Arial"/>
          <w:sz w:val="22"/>
          <w:szCs w:val="22"/>
        </w:rPr>
        <w:t>rozpočtových pravidlech a o změně některých souvisejících zákonů (rozpočtová pravidla), vyhláškou č. 323/2002 Sb.</w:t>
      </w:r>
      <w:r w:rsidR="00092B3A" w:rsidRPr="00762CA8">
        <w:rPr>
          <w:rFonts w:ascii="Arial" w:hAnsi="Arial" w:cs="Arial"/>
          <w:sz w:val="22"/>
          <w:szCs w:val="22"/>
        </w:rPr>
        <w:t>,</w:t>
      </w:r>
      <w:r w:rsidR="000C3FFE" w:rsidRPr="00762CA8">
        <w:rPr>
          <w:rFonts w:ascii="Arial" w:hAnsi="Arial" w:cs="Arial"/>
          <w:sz w:val="22"/>
          <w:szCs w:val="22"/>
        </w:rPr>
        <w:t xml:space="preserve"> o rozpočtové skladbě</w:t>
      </w:r>
      <w:r w:rsidR="002A2356">
        <w:rPr>
          <w:rFonts w:ascii="Arial" w:hAnsi="Arial" w:cs="Arial"/>
          <w:sz w:val="22"/>
          <w:szCs w:val="22"/>
        </w:rPr>
        <w:t>,</w:t>
      </w:r>
      <w:r w:rsidR="000C3FFE" w:rsidRPr="00762CA8">
        <w:rPr>
          <w:rFonts w:ascii="Arial" w:hAnsi="Arial" w:cs="Arial"/>
          <w:sz w:val="22"/>
          <w:szCs w:val="22"/>
        </w:rPr>
        <w:t xml:space="preserve"> a vyhláškou č. 449/2009 Sb., o způsobu, </w:t>
      </w:r>
      <w:r w:rsidR="000C3FFE" w:rsidRPr="00762CA8">
        <w:rPr>
          <w:rFonts w:ascii="Arial" w:hAnsi="Arial" w:cs="Arial"/>
          <w:sz w:val="22"/>
          <w:szCs w:val="22"/>
        </w:rPr>
        <w:lastRenderedPageBreak/>
        <w:t>termínech a rozsahu údajů předkládaných pro hodnocení plnění státního rozpočtu, rozpočtů státních fondů, rozpočtů územních samosprávn</w:t>
      </w:r>
      <w:r w:rsidR="00CC400F">
        <w:rPr>
          <w:rFonts w:ascii="Arial" w:hAnsi="Arial" w:cs="Arial"/>
          <w:sz w:val="22"/>
          <w:szCs w:val="22"/>
        </w:rPr>
        <w:t>ý</w:t>
      </w:r>
      <w:r w:rsidR="000C3FFE" w:rsidRPr="00762CA8">
        <w:rPr>
          <w:rFonts w:ascii="Arial" w:hAnsi="Arial" w:cs="Arial"/>
          <w:sz w:val="22"/>
          <w:szCs w:val="22"/>
        </w:rPr>
        <w:t xml:space="preserve">ch celků, rozpočtů dobrovolných svazků obcí a rozpočtů </w:t>
      </w:r>
      <w:r w:rsidR="002A2356">
        <w:rPr>
          <w:rFonts w:ascii="Arial" w:hAnsi="Arial" w:cs="Arial"/>
          <w:sz w:val="22"/>
          <w:szCs w:val="22"/>
        </w:rPr>
        <w:t>r</w:t>
      </w:r>
      <w:r w:rsidR="000C3FFE" w:rsidRPr="00762CA8">
        <w:rPr>
          <w:rFonts w:ascii="Arial" w:hAnsi="Arial" w:cs="Arial"/>
          <w:sz w:val="22"/>
          <w:szCs w:val="22"/>
        </w:rPr>
        <w:t xml:space="preserve">egionálních rad regionů soudržnosti. </w:t>
      </w:r>
      <w:r w:rsidRPr="00762CA8">
        <w:rPr>
          <w:rFonts w:ascii="Arial" w:hAnsi="Arial" w:cs="Arial"/>
          <w:sz w:val="22"/>
          <w:szCs w:val="22"/>
        </w:rPr>
        <w:t>Tyto</w:t>
      </w:r>
      <w:r w:rsidR="000C3FFE" w:rsidRPr="00762CA8">
        <w:rPr>
          <w:rFonts w:ascii="Arial" w:hAnsi="Arial" w:cs="Arial"/>
          <w:sz w:val="22"/>
          <w:szCs w:val="22"/>
        </w:rPr>
        <w:t xml:space="preserve"> právní předpisy byly </w:t>
      </w:r>
      <w:r w:rsidR="00765F23">
        <w:rPr>
          <w:rFonts w:ascii="Arial" w:hAnsi="Arial" w:cs="Arial"/>
          <w:sz w:val="22"/>
          <w:szCs w:val="22"/>
        </w:rPr>
        <w:t>s </w:t>
      </w:r>
      <w:r w:rsidR="000C3FFE" w:rsidRPr="00762CA8">
        <w:rPr>
          <w:rFonts w:ascii="Arial" w:hAnsi="Arial" w:cs="Arial"/>
          <w:sz w:val="22"/>
          <w:szCs w:val="22"/>
        </w:rPr>
        <w:t>účinností pro rok 201</w:t>
      </w:r>
      <w:r w:rsidR="00762CA8">
        <w:rPr>
          <w:rFonts w:ascii="Arial" w:hAnsi="Arial" w:cs="Arial"/>
          <w:sz w:val="22"/>
          <w:szCs w:val="22"/>
        </w:rPr>
        <w:t>2</w:t>
      </w:r>
      <w:r w:rsidR="000C3FFE" w:rsidRPr="00762CA8">
        <w:rPr>
          <w:rFonts w:ascii="Arial" w:hAnsi="Arial" w:cs="Arial"/>
          <w:sz w:val="22"/>
          <w:szCs w:val="22"/>
        </w:rPr>
        <w:t xml:space="preserve"> novelizovány</w:t>
      </w:r>
      <w:r w:rsidR="000C3FFE" w:rsidRPr="00D04A68">
        <w:rPr>
          <w:rFonts w:ascii="Arial" w:hAnsi="Arial" w:cs="Arial"/>
          <w:sz w:val="22"/>
          <w:szCs w:val="22"/>
        </w:rPr>
        <w:t xml:space="preserve">. </w:t>
      </w:r>
    </w:p>
    <w:p w:rsidR="004E0AC8" w:rsidRPr="0015047E" w:rsidRDefault="004E0AC8" w:rsidP="004E0AC8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703840" w:rsidRPr="000D57B1" w:rsidRDefault="0076257E" w:rsidP="0076257E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 w:rsidRPr="000D57B1">
        <w:rPr>
          <w:rFonts w:ascii="Arial" w:hAnsi="Arial" w:cs="Arial"/>
          <w:b/>
          <w:szCs w:val="22"/>
        </w:rPr>
        <w:t xml:space="preserve">2.2 </w:t>
      </w:r>
      <w:r w:rsidR="00703840" w:rsidRPr="000D57B1">
        <w:rPr>
          <w:rFonts w:ascii="Arial" w:hAnsi="Arial" w:cs="Arial"/>
          <w:b/>
          <w:szCs w:val="22"/>
        </w:rPr>
        <w:t xml:space="preserve">Nesprávnosti ve </w:t>
      </w:r>
      <w:r w:rsidR="00501494" w:rsidRPr="000D57B1">
        <w:rPr>
          <w:rFonts w:ascii="Arial" w:hAnsi="Arial" w:cs="Arial"/>
          <w:b/>
          <w:szCs w:val="22"/>
        </w:rPr>
        <w:t>v</w:t>
      </w:r>
      <w:r w:rsidR="00700ED1" w:rsidRPr="000D57B1">
        <w:rPr>
          <w:rFonts w:ascii="Arial" w:hAnsi="Arial" w:cs="Arial"/>
          <w:b/>
          <w:szCs w:val="22"/>
        </w:rPr>
        <w:t>ýkaz</w:t>
      </w:r>
      <w:r w:rsidR="00501494" w:rsidRPr="000D57B1">
        <w:rPr>
          <w:rFonts w:ascii="Arial" w:hAnsi="Arial" w:cs="Arial"/>
          <w:b/>
          <w:szCs w:val="22"/>
        </w:rPr>
        <w:t>u</w:t>
      </w:r>
      <w:r w:rsidR="00700ED1" w:rsidRPr="000D57B1">
        <w:rPr>
          <w:rFonts w:ascii="Arial" w:hAnsi="Arial" w:cs="Arial"/>
          <w:b/>
          <w:szCs w:val="22"/>
        </w:rPr>
        <w:t xml:space="preserve"> pro hodnocení plnění rozpočtu</w:t>
      </w:r>
    </w:p>
    <w:p w:rsidR="00703840" w:rsidRPr="0015047E" w:rsidRDefault="00703840" w:rsidP="00703840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700ED1" w:rsidRPr="0015047E" w:rsidRDefault="00700ED1" w:rsidP="00501494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  <w:r w:rsidRPr="000D57B1">
        <w:rPr>
          <w:rFonts w:ascii="Arial" w:hAnsi="Arial" w:cs="Arial"/>
          <w:bCs/>
          <w:szCs w:val="22"/>
          <w:lang w:eastAsia="en-US"/>
        </w:rPr>
        <w:t xml:space="preserve">Ve </w:t>
      </w:r>
      <w:r w:rsidR="00501494" w:rsidRPr="000D57B1">
        <w:rPr>
          <w:rFonts w:ascii="Arial" w:hAnsi="Arial" w:cs="Arial"/>
          <w:bCs/>
          <w:szCs w:val="22"/>
          <w:lang w:eastAsia="en-US"/>
        </w:rPr>
        <w:t>v</w:t>
      </w:r>
      <w:r w:rsidRPr="000D57B1">
        <w:rPr>
          <w:rFonts w:ascii="Arial" w:hAnsi="Arial" w:cs="Arial"/>
          <w:bCs/>
          <w:szCs w:val="22"/>
          <w:lang w:eastAsia="en-US"/>
        </w:rPr>
        <w:t xml:space="preserve">ýkazu pro hodnocení plnění rozpočtu byly identifikovány nesprávnosti dle jednotlivých paragrafů a položek rozpočtové skladby a byla </w:t>
      </w:r>
      <w:r w:rsidR="00335970">
        <w:rPr>
          <w:rFonts w:ascii="Arial" w:hAnsi="Arial" w:cs="Arial"/>
          <w:bCs/>
          <w:szCs w:val="22"/>
          <w:lang w:eastAsia="en-US"/>
        </w:rPr>
        <w:t>pr</w:t>
      </w:r>
      <w:r w:rsidRPr="000D57B1">
        <w:rPr>
          <w:rFonts w:ascii="Arial" w:hAnsi="Arial" w:cs="Arial"/>
          <w:bCs/>
          <w:szCs w:val="22"/>
          <w:lang w:eastAsia="en-US"/>
        </w:rPr>
        <w:t>ověřována správnost třídění příjmů a</w:t>
      </w:r>
      <w:r w:rsidR="002B51EB">
        <w:rPr>
          <w:rFonts w:ascii="Arial" w:hAnsi="Arial" w:cs="Arial"/>
          <w:bCs/>
          <w:szCs w:val="22"/>
          <w:lang w:eastAsia="en-US"/>
        </w:rPr>
        <w:t> </w:t>
      </w:r>
      <w:r w:rsidRPr="000D57B1">
        <w:rPr>
          <w:rFonts w:ascii="Arial" w:hAnsi="Arial" w:cs="Arial"/>
          <w:bCs/>
          <w:szCs w:val="22"/>
          <w:lang w:eastAsia="en-US"/>
        </w:rPr>
        <w:t xml:space="preserve">výdajů dle vyhlášky č. 323/2002 Sb. Dále bylo </w:t>
      </w:r>
      <w:r w:rsidR="00335970">
        <w:rPr>
          <w:rFonts w:ascii="Arial" w:hAnsi="Arial" w:cs="Arial"/>
          <w:bCs/>
          <w:szCs w:val="22"/>
          <w:lang w:eastAsia="en-US"/>
        </w:rPr>
        <w:t>pr</w:t>
      </w:r>
      <w:r w:rsidRPr="000D57B1">
        <w:rPr>
          <w:rFonts w:ascii="Arial" w:hAnsi="Arial" w:cs="Arial"/>
          <w:bCs/>
          <w:szCs w:val="22"/>
          <w:lang w:eastAsia="en-US"/>
        </w:rPr>
        <w:t>ověřováno, zda byla dodržena ustanovení vyhlášky č. 449/2009 Sb.</w:t>
      </w:r>
      <w:r w:rsidR="0076257E" w:rsidRPr="000D57B1">
        <w:rPr>
          <w:rFonts w:ascii="Arial" w:hAnsi="Arial" w:cs="Arial"/>
          <w:bCs/>
          <w:szCs w:val="22"/>
          <w:lang w:eastAsia="en-US"/>
        </w:rPr>
        <w:t xml:space="preserve"> </w:t>
      </w:r>
      <w:r w:rsidRPr="000D57B1">
        <w:rPr>
          <w:rFonts w:ascii="Arial" w:hAnsi="Arial" w:cs="Arial"/>
          <w:szCs w:val="22"/>
        </w:rPr>
        <w:t xml:space="preserve">Ve </w:t>
      </w:r>
      <w:r w:rsidR="00501494" w:rsidRPr="000D57B1">
        <w:rPr>
          <w:rFonts w:ascii="Arial" w:hAnsi="Arial" w:cs="Arial"/>
          <w:szCs w:val="22"/>
        </w:rPr>
        <w:t>v</w:t>
      </w:r>
      <w:r w:rsidRPr="000D57B1">
        <w:rPr>
          <w:rFonts w:ascii="Arial" w:hAnsi="Arial" w:cs="Arial"/>
          <w:szCs w:val="22"/>
        </w:rPr>
        <w:t xml:space="preserve">ýkazu pro hodnocení plnění rozpočtu byla zjištěna celková nesprávnost ve výši </w:t>
      </w:r>
      <w:r w:rsidR="000D57B1">
        <w:rPr>
          <w:rFonts w:ascii="Arial" w:hAnsi="Arial" w:cs="Arial"/>
          <w:szCs w:val="22"/>
        </w:rPr>
        <w:t>2</w:t>
      </w:r>
      <w:r w:rsidR="005F3102">
        <w:rPr>
          <w:rFonts w:ascii="Arial" w:hAnsi="Arial" w:cs="Arial"/>
          <w:szCs w:val="22"/>
        </w:rPr>
        <w:t xml:space="preserve"> </w:t>
      </w:r>
      <w:r w:rsidR="000D57B1">
        <w:rPr>
          <w:rFonts w:ascii="Arial" w:hAnsi="Arial" w:cs="Arial"/>
          <w:szCs w:val="22"/>
        </w:rPr>
        <w:t>179</w:t>
      </w:r>
      <w:r w:rsidR="005F3102">
        <w:rPr>
          <w:rFonts w:ascii="Arial" w:hAnsi="Arial" w:cs="Arial"/>
          <w:szCs w:val="22"/>
        </w:rPr>
        <w:t xml:space="preserve"> </w:t>
      </w:r>
      <w:r w:rsidR="000D57B1" w:rsidRPr="000D57B1">
        <w:rPr>
          <w:rFonts w:ascii="Arial" w:hAnsi="Arial" w:cs="Arial"/>
          <w:szCs w:val="22"/>
        </w:rPr>
        <w:t>119</w:t>
      </w:r>
      <w:r w:rsidRPr="000D57B1">
        <w:rPr>
          <w:rFonts w:ascii="Arial" w:hAnsi="Arial" w:cs="Arial"/>
          <w:szCs w:val="22"/>
        </w:rPr>
        <w:t xml:space="preserve"> Kč, </w:t>
      </w:r>
      <w:r w:rsidR="00765F23">
        <w:rPr>
          <w:rFonts w:ascii="Arial" w:hAnsi="Arial" w:cs="Arial"/>
          <w:szCs w:val="22"/>
        </w:rPr>
        <w:t>z </w:t>
      </w:r>
      <w:r w:rsidRPr="000D57B1">
        <w:rPr>
          <w:rFonts w:ascii="Arial" w:hAnsi="Arial" w:cs="Arial"/>
          <w:szCs w:val="22"/>
        </w:rPr>
        <w:t xml:space="preserve">toho </w:t>
      </w:r>
      <w:r w:rsidR="000D57B1" w:rsidRPr="000D57B1">
        <w:rPr>
          <w:rFonts w:ascii="Arial" w:hAnsi="Arial" w:cs="Arial"/>
          <w:szCs w:val="22"/>
        </w:rPr>
        <w:t>2</w:t>
      </w:r>
      <w:r w:rsidR="005F3102">
        <w:rPr>
          <w:rFonts w:ascii="Arial" w:hAnsi="Arial" w:cs="Arial"/>
          <w:szCs w:val="22"/>
        </w:rPr>
        <w:t xml:space="preserve"> </w:t>
      </w:r>
      <w:r w:rsidR="000D57B1" w:rsidRPr="000D57B1">
        <w:rPr>
          <w:rFonts w:ascii="Arial" w:hAnsi="Arial" w:cs="Arial"/>
          <w:szCs w:val="22"/>
        </w:rPr>
        <w:t>172 149</w:t>
      </w:r>
      <w:r w:rsidRPr="000D57B1">
        <w:rPr>
          <w:rFonts w:ascii="Arial" w:hAnsi="Arial" w:cs="Arial"/>
          <w:szCs w:val="22"/>
        </w:rPr>
        <w:t xml:space="preserve"> Kč </w:t>
      </w:r>
      <w:r w:rsidR="000E6484" w:rsidRPr="000D57B1">
        <w:rPr>
          <w:rFonts w:ascii="Arial" w:hAnsi="Arial" w:cs="Arial"/>
          <w:szCs w:val="22"/>
        </w:rPr>
        <w:t>byly</w:t>
      </w:r>
      <w:r w:rsidRPr="000D57B1">
        <w:rPr>
          <w:rFonts w:ascii="Arial" w:hAnsi="Arial" w:cs="Arial"/>
          <w:szCs w:val="22"/>
        </w:rPr>
        <w:t xml:space="preserve"> nesprávnosti identifikované </w:t>
      </w:r>
      <w:r w:rsidR="000E6484" w:rsidRPr="000D57B1">
        <w:rPr>
          <w:rFonts w:ascii="Arial" w:hAnsi="Arial" w:cs="Arial"/>
          <w:szCs w:val="22"/>
        </w:rPr>
        <w:t>u</w:t>
      </w:r>
      <w:r w:rsidR="002B51EB">
        <w:rPr>
          <w:rFonts w:ascii="Arial" w:hAnsi="Arial" w:cs="Arial"/>
          <w:szCs w:val="22"/>
        </w:rPr>
        <w:t> </w:t>
      </w:r>
      <w:r w:rsidR="000D57B1" w:rsidRPr="000D57B1">
        <w:rPr>
          <w:rFonts w:ascii="Arial" w:hAnsi="Arial" w:cs="Arial"/>
          <w:szCs w:val="22"/>
        </w:rPr>
        <w:t>výdajových</w:t>
      </w:r>
      <w:r w:rsidRPr="000D57B1">
        <w:rPr>
          <w:rFonts w:ascii="Arial" w:hAnsi="Arial" w:cs="Arial"/>
          <w:szCs w:val="22"/>
        </w:rPr>
        <w:t xml:space="preserve"> rozpočtových položek.</w:t>
      </w:r>
    </w:p>
    <w:p w:rsidR="00700ED1" w:rsidRPr="0015047E" w:rsidRDefault="00700ED1" w:rsidP="00703840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264159" w:rsidRPr="009E4075" w:rsidRDefault="00264159" w:rsidP="00E50173">
      <w:pPr>
        <w:pStyle w:val="vod"/>
        <w:keepNext w:val="0"/>
        <w:tabs>
          <w:tab w:val="clear" w:pos="787"/>
        </w:tabs>
        <w:spacing w:before="0" w:after="120"/>
        <w:rPr>
          <w:rFonts w:ascii="Arial" w:hAnsi="Arial" w:cs="Arial"/>
          <w:i/>
          <w:sz w:val="22"/>
          <w:szCs w:val="22"/>
        </w:rPr>
      </w:pPr>
      <w:r w:rsidRPr="009E4075">
        <w:rPr>
          <w:rFonts w:ascii="Arial" w:hAnsi="Arial" w:cs="Arial"/>
          <w:i/>
          <w:sz w:val="22"/>
          <w:szCs w:val="22"/>
        </w:rPr>
        <w:t>Softwarové licence</w:t>
      </w:r>
    </w:p>
    <w:p w:rsidR="00264159" w:rsidRPr="00964F55" w:rsidRDefault="002A2356" w:rsidP="00264159">
      <w:pPr>
        <w:pStyle w:val="NormlnKZ"/>
        <w:spacing w:after="0"/>
        <w:ind w:firstLine="0"/>
        <w:rPr>
          <w:rFonts w:ascii="Arial" w:hAnsi="Arial" w:cs="Arial"/>
          <w:spacing w:val="-2"/>
          <w:szCs w:val="22"/>
        </w:rPr>
      </w:pPr>
      <w:r w:rsidRPr="00964F55">
        <w:rPr>
          <w:rFonts w:ascii="Arial" w:hAnsi="Arial" w:cs="Arial"/>
          <w:spacing w:val="-2"/>
          <w:szCs w:val="22"/>
        </w:rPr>
        <w:t>MŠMT</w:t>
      </w:r>
      <w:r>
        <w:rPr>
          <w:rFonts w:ascii="Arial" w:hAnsi="Arial" w:cs="Arial"/>
          <w:spacing w:val="-2"/>
          <w:szCs w:val="22"/>
        </w:rPr>
        <w:t xml:space="preserve"> vykazovalo </w:t>
      </w:r>
      <w:r>
        <w:rPr>
          <w:rFonts w:ascii="Arial" w:hAnsi="Arial" w:cs="Arial"/>
          <w:szCs w:val="22"/>
        </w:rPr>
        <w:t>v</w:t>
      </w:r>
      <w:r w:rsidR="002B0987">
        <w:rPr>
          <w:rFonts w:ascii="Arial" w:hAnsi="Arial" w:cs="Arial"/>
          <w:szCs w:val="22"/>
        </w:rPr>
        <w:t>e výdajích</w:t>
      </w:r>
      <w:r w:rsidR="00264159" w:rsidRPr="00964F55">
        <w:rPr>
          <w:rFonts w:ascii="Arial" w:hAnsi="Arial" w:cs="Arial"/>
          <w:spacing w:val="-2"/>
          <w:szCs w:val="22"/>
        </w:rPr>
        <w:t xml:space="preserve"> </w:t>
      </w:r>
      <w:r w:rsidR="002B0987">
        <w:rPr>
          <w:rFonts w:ascii="Arial" w:hAnsi="Arial" w:cs="Arial"/>
          <w:spacing w:val="-2"/>
          <w:szCs w:val="22"/>
        </w:rPr>
        <w:t xml:space="preserve">nesprávně </w:t>
      </w:r>
      <w:r w:rsidR="00264159" w:rsidRPr="00964F55">
        <w:rPr>
          <w:rFonts w:ascii="Arial" w:hAnsi="Arial" w:cs="Arial"/>
          <w:spacing w:val="-2"/>
          <w:szCs w:val="22"/>
        </w:rPr>
        <w:t>na</w:t>
      </w:r>
      <w:r w:rsidR="002B0987">
        <w:rPr>
          <w:rFonts w:ascii="Arial" w:hAnsi="Arial" w:cs="Arial"/>
          <w:spacing w:val="-2"/>
          <w:szCs w:val="22"/>
        </w:rPr>
        <w:t xml:space="preserve"> rozpočtové</w:t>
      </w:r>
      <w:r w:rsidR="00264159" w:rsidRPr="00964F55">
        <w:rPr>
          <w:rFonts w:ascii="Arial" w:hAnsi="Arial" w:cs="Arial"/>
          <w:spacing w:val="-2"/>
          <w:szCs w:val="22"/>
        </w:rPr>
        <w:t xml:space="preserve"> položce </w:t>
      </w:r>
      <w:r w:rsidR="009E4075" w:rsidRPr="00964F55">
        <w:rPr>
          <w:rFonts w:ascii="Arial" w:hAnsi="Arial" w:cs="Arial"/>
          <w:spacing w:val="-2"/>
          <w:szCs w:val="22"/>
        </w:rPr>
        <w:t>5041</w:t>
      </w:r>
      <w:r w:rsidR="00264159" w:rsidRPr="00964F55">
        <w:rPr>
          <w:rFonts w:ascii="Arial" w:hAnsi="Arial" w:cs="Arial"/>
          <w:spacing w:val="-2"/>
          <w:szCs w:val="22"/>
        </w:rPr>
        <w:t xml:space="preserve"> – </w:t>
      </w:r>
      <w:r w:rsidR="009E4075" w:rsidRPr="00964F55">
        <w:rPr>
          <w:rFonts w:ascii="Arial" w:hAnsi="Arial" w:cs="Arial"/>
          <w:i/>
          <w:spacing w:val="-2"/>
          <w:szCs w:val="22"/>
        </w:rPr>
        <w:t>Odměny za užití duševního vlastnictví</w:t>
      </w:r>
      <w:r w:rsidR="009E4075" w:rsidRPr="00964F55">
        <w:rPr>
          <w:rFonts w:ascii="Arial" w:hAnsi="Arial" w:cs="Arial"/>
          <w:spacing w:val="-2"/>
          <w:szCs w:val="22"/>
        </w:rPr>
        <w:t xml:space="preserve"> </w:t>
      </w:r>
      <w:r w:rsidR="00264159" w:rsidRPr="00964F55">
        <w:rPr>
          <w:rFonts w:ascii="Arial" w:hAnsi="Arial" w:cs="Arial"/>
          <w:spacing w:val="-2"/>
          <w:szCs w:val="22"/>
        </w:rPr>
        <w:t>výdaje</w:t>
      </w:r>
      <w:r w:rsidR="002B0987">
        <w:rPr>
          <w:rFonts w:ascii="Arial" w:hAnsi="Arial" w:cs="Arial"/>
          <w:spacing w:val="-2"/>
          <w:szCs w:val="22"/>
        </w:rPr>
        <w:t xml:space="preserve"> za</w:t>
      </w:r>
      <w:r w:rsidR="00264159" w:rsidRPr="00964F55">
        <w:rPr>
          <w:rFonts w:ascii="Arial" w:hAnsi="Arial" w:cs="Arial"/>
          <w:spacing w:val="-2"/>
          <w:szCs w:val="22"/>
        </w:rPr>
        <w:t xml:space="preserve"> softwarov</w:t>
      </w:r>
      <w:r w:rsidR="002B0987">
        <w:rPr>
          <w:rFonts w:ascii="Arial" w:hAnsi="Arial" w:cs="Arial"/>
          <w:spacing w:val="-2"/>
          <w:szCs w:val="22"/>
        </w:rPr>
        <w:t>é</w:t>
      </w:r>
      <w:r w:rsidR="00264159" w:rsidRPr="00964F55">
        <w:rPr>
          <w:rFonts w:ascii="Arial" w:hAnsi="Arial" w:cs="Arial"/>
          <w:spacing w:val="-2"/>
          <w:szCs w:val="22"/>
        </w:rPr>
        <w:t xml:space="preserve"> licenc</w:t>
      </w:r>
      <w:r w:rsidR="002B0987">
        <w:rPr>
          <w:rFonts w:ascii="Arial" w:hAnsi="Arial" w:cs="Arial"/>
          <w:spacing w:val="-2"/>
          <w:szCs w:val="22"/>
        </w:rPr>
        <w:t>e</w:t>
      </w:r>
      <w:r w:rsidR="00264159" w:rsidRPr="00964F55">
        <w:rPr>
          <w:rFonts w:ascii="Arial" w:hAnsi="Arial" w:cs="Arial"/>
          <w:spacing w:val="-2"/>
          <w:szCs w:val="22"/>
        </w:rPr>
        <w:t xml:space="preserve">, </w:t>
      </w:r>
      <w:r w:rsidR="009E4075" w:rsidRPr="00964F55">
        <w:rPr>
          <w:rFonts w:ascii="Arial" w:hAnsi="Arial" w:cs="Arial"/>
          <w:spacing w:val="-2"/>
          <w:szCs w:val="22"/>
        </w:rPr>
        <w:t>které</w:t>
      </w:r>
      <w:r w:rsidR="00264159" w:rsidRPr="00964F55">
        <w:rPr>
          <w:rFonts w:ascii="Arial" w:hAnsi="Arial" w:cs="Arial"/>
          <w:spacing w:val="-2"/>
          <w:szCs w:val="22"/>
        </w:rPr>
        <w:t xml:space="preserve"> </w:t>
      </w:r>
      <w:r w:rsidR="009E4075" w:rsidRPr="00964F55">
        <w:rPr>
          <w:rFonts w:ascii="Arial" w:hAnsi="Arial" w:cs="Arial"/>
          <w:spacing w:val="-2"/>
          <w:szCs w:val="22"/>
        </w:rPr>
        <w:t xml:space="preserve">byly MŠMT poskytnuty na základě smlouvy uzavřené </w:t>
      </w:r>
      <w:r w:rsidR="00765F23">
        <w:rPr>
          <w:rFonts w:ascii="Arial" w:hAnsi="Arial" w:cs="Arial"/>
          <w:spacing w:val="-2"/>
          <w:szCs w:val="22"/>
        </w:rPr>
        <w:t>s </w:t>
      </w:r>
      <w:r w:rsidR="002B0987">
        <w:rPr>
          <w:rFonts w:ascii="Arial" w:hAnsi="Arial" w:cs="Arial"/>
          <w:spacing w:val="-2"/>
          <w:szCs w:val="22"/>
        </w:rPr>
        <w:t xml:space="preserve">obchodní společností </w:t>
      </w:r>
      <w:r w:rsidR="009E4075" w:rsidRPr="00964F55">
        <w:rPr>
          <w:rFonts w:ascii="Arial" w:hAnsi="Arial" w:cs="Arial"/>
          <w:spacing w:val="-2"/>
          <w:szCs w:val="22"/>
        </w:rPr>
        <w:t xml:space="preserve">na dobu </w:t>
      </w:r>
      <w:r w:rsidR="002B0987">
        <w:rPr>
          <w:rFonts w:ascii="Arial" w:hAnsi="Arial" w:cs="Arial"/>
          <w:spacing w:val="-2"/>
          <w:szCs w:val="22"/>
        </w:rPr>
        <w:t>jednoho roku</w:t>
      </w:r>
      <w:r w:rsidR="009E4075" w:rsidRPr="00964F55">
        <w:rPr>
          <w:rFonts w:ascii="Arial" w:hAnsi="Arial" w:cs="Arial"/>
          <w:spacing w:val="-2"/>
          <w:szCs w:val="22"/>
        </w:rPr>
        <w:t xml:space="preserve">. Tyto výdaje </w:t>
      </w:r>
      <w:r w:rsidR="00264159" w:rsidRPr="00964F55">
        <w:rPr>
          <w:rFonts w:ascii="Arial" w:hAnsi="Arial" w:cs="Arial"/>
          <w:spacing w:val="-2"/>
          <w:szCs w:val="22"/>
        </w:rPr>
        <w:t>nesplňovaly</w:t>
      </w:r>
      <w:r w:rsidR="009E4075" w:rsidRPr="00964F55">
        <w:rPr>
          <w:rFonts w:ascii="Arial" w:hAnsi="Arial" w:cs="Arial"/>
          <w:spacing w:val="-2"/>
          <w:szCs w:val="22"/>
        </w:rPr>
        <w:t xml:space="preserve"> obsahové vymezení </w:t>
      </w:r>
      <w:r w:rsidR="002B0987">
        <w:rPr>
          <w:rFonts w:ascii="Arial" w:hAnsi="Arial" w:cs="Arial"/>
          <w:spacing w:val="-2"/>
          <w:szCs w:val="22"/>
        </w:rPr>
        <w:t xml:space="preserve">rozpočtové </w:t>
      </w:r>
      <w:r w:rsidR="009E4075" w:rsidRPr="00964F55">
        <w:rPr>
          <w:rFonts w:ascii="Arial" w:hAnsi="Arial" w:cs="Arial"/>
          <w:spacing w:val="-2"/>
          <w:szCs w:val="22"/>
        </w:rPr>
        <w:t>položky 5041</w:t>
      </w:r>
      <w:r w:rsidR="00964F55" w:rsidRPr="00964F55">
        <w:rPr>
          <w:rFonts w:ascii="Arial" w:hAnsi="Arial" w:cs="Arial"/>
          <w:spacing w:val="-2"/>
          <w:szCs w:val="22"/>
        </w:rPr>
        <w:t xml:space="preserve"> – </w:t>
      </w:r>
      <w:r w:rsidR="00964F55" w:rsidRPr="00964F55">
        <w:rPr>
          <w:rFonts w:ascii="Arial" w:hAnsi="Arial" w:cs="Arial"/>
          <w:i/>
          <w:spacing w:val="-2"/>
          <w:szCs w:val="22"/>
        </w:rPr>
        <w:t>Odměny za užití duševního vlastnictví</w:t>
      </w:r>
      <w:r w:rsidR="009E4075" w:rsidRPr="00964F55">
        <w:rPr>
          <w:rFonts w:ascii="Arial" w:hAnsi="Arial" w:cs="Arial"/>
          <w:spacing w:val="-2"/>
          <w:szCs w:val="22"/>
        </w:rPr>
        <w:t>; správně měly být klasifikovány</w:t>
      </w:r>
      <w:r w:rsidR="002B0987">
        <w:rPr>
          <w:rFonts w:ascii="Arial" w:hAnsi="Arial" w:cs="Arial"/>
          <w:spacing w:val="-2"/>
          <w:szCs w:val="22"/>
        </w:rPr>
        <w:t xml:space="preserve"> rozpočtovou </w:t>
      </w:r>
      <w:r w:rsidR="009E4075" w:rsidRPr="00964F55">
        <w:rPr>
          <w:rFonts w:ascii="Arial" w:hAnsi="Arial" w:cs="Arial"/>
          <w:spacing w:val="-2"/>
          <w:szCs w:val="22"/>
        </w:rPr>
        <w:t xml:space="preserve">položkou 5164 – </w:t>
      </w:r>
      <w:r w:rsidR="009E4075" w:rsidRPr="00964F55">
        <w:rPr>
          <w:rFonts w:ascii="Arial" w:hAnsi="Arial" w:cs="Arial"/>
          <w:i/>
          <w:spacing w:val="-2"/>
          <w:szCs w:val="22"/>
        </w:rPr>
        <w:t>Nájemné</w:t>
      </w:r>
      <w:r w:rsidR="009E4075" w:rsidRPr="00964F55">
        <w:rPr>
          <w:rFonts w:ascii="Arial" w:hAnsi="Arial" w:cs="Arial"/>
          <w:spacing w:val="-2"/>
          <w:szCs w:val="22"/>
        </w:rPr>
        <w:t xml:space="preserve">. </w:t>
      </w:r>
      <w:r w:rsidR="00765F23">
        <w:rPr>
          <w:rFonts w:ascii="Arial" w:hAnsi="Arial" w:cs="Arial"/>
          <w:spacing w:val="-2"/>
          <w:szCs w:val="22"/>
        </w:rPr>
        <w:t>V </w:t>
      </w:r>
      <w:r w:rsidR="00264159" w:rsidRPr="00964F55">
        <w:rPr>
          <w:rFonts w:ascii="Arial" w:hAnsi="Arial" w:cs="Arial"/>
          <w:spacing w:val="-2"/>
          <w:szCs w:val="22"/>
        </w:rPr>
        <w:t xml:space="preserve">důsledku toho MŠMT ve </w:t>
      </w:r>
      <w:r w:rsidR="008763C1" w:rsidRPr="00964F55">
        <w:rPr>
          <w:rFonts w:ascii="Arial" w:hAnsi="Arial" w:cs="Arial"/>
          <w:spacing w:val="-2"/>
          <w:szCs w:val="22"/>
        </w:rPr>
        <w:t>v</w:t>
      </w:r>
      <w:r w:rsidR="00264159" w:rsidRPr="00964F55">
        <w:rPr>
          <w:rFonts w:ascii="Arial" w:hAnsi="Arial" w:cs="Arial"/>
          <w:spacing w:val="-2"/>
          <w:szCs w:val="22"/>
        </w:rPr>
        <w:t>ýkazu pro hodnocení plnění rozpočtu</w:t>
      </w:r>
      <w:r w:rsidR="002B0987">
        <w:rPr>
          <w:rFonts w:ascii="Arial" w:hAnsi="Arial" w:cs="Arial"/>
          <w:spacing w:val="-2"/>
          <w:szCs w:val="22"/>
        </w:rPr>
        <w:t xml:space="preserve"> nadhodnotilo</w:t>
      </w:r>
      <w:r w:rsidR="00264159" w:rsidRPr="00964F55">
        <w:rPr>
          <w:rFonts w:ascii="Arial" w:hAnsi="Arial" w:cs="Arial"/>
          <w:spacing w:val="-2"/>
          <w:szCs w:val="22"/>
        </w:rPr>
        <w:t xml:space="preserve"> na paragrafech 3261 – </w:t>
      </w:r>
      <w:r w:rsidR="00264159" w:rsidRPr="00964F55">
        <w:rPr>
          <w:rFonts w:ascii="Arial" w:hAnsi="Arial" w:cs="Arial"/>
          <w:i/>
          <w:spacing w:val="-2"/>
          <w:szCs w:val="22"/>
        </w:rPr>
        <w:t>Činnost ústředního orgánu státní správy ve vzdělávání</w:t>
      </w:r>
      <w:r w:rsidR="00264159" w:rsidRPr="00964F55">
        <w:rPr>
          <w:rFonts w:ascii="Arial" w:hAnsi="Arial" w:cs="Arial"/>
          <w:spacing w:val="-2"/>
          <w:szCs w:val="22"/>
        </w:rPr>
        <w:t xml:space="preserve"> </w:t>
      </w:r>
      <w:r w:rsidR="00E16513" w:rsidRPr="00964F55">
        <w:rPr>
          <w:rFonts w:ascii="Arial" w:hAnsi="Arial" w:cs="Arial"/>
          <w:spacing w:val="-2"/>
          <w:szCs w:val="22"/>
        </w:rPr>
        <w:t>a</w:t>
      </w:r>
      <w:r w:rsidR="005F3102">
        <w:rPr>
          <w:rFonts w:ascii="Arial" w:hAnsi="Arial" w:cs="Arial"/>
          <w:spacing w:val="-2"/>
          <w:szCs w:val="22"/>
        </w:rPr>
        <w:t xml:space="preserve"> </w:t>
      </w:r>
      <w:r w:rsidR="00264159" w:rsidRPr="00964F55">
        <w:rPr>
          <w:rFonts w:ascii="Arial" w:hAnsi="Arial" w:cs="Arial"/>
          <w:spacing w:val="-2"/>
          <w:szCs w:val="22"/>
        </w:rPr>
        <w:t xml:space="preserve">3809 – </w:t>
      </w:r>
      <w:r w:rsidR="00264159" w:rsidRPr="00964F55">
        <w:rPr>
          <w:rFonts w:ascii="Arial" w:hAnsi="Arial" w:cs="Arial"/>
          <w:i/>
          <w:spacing w:val="-2"/>
          <w:szCs w:val="22"/>
        </w:rPr>
        <w:t>Ostatní výzkum a vývoj odvětvově nespecifikovaný</w:t>
      </w:r>
      <w:r w:rsidR="00264159" w:rsidRPr="00964F55">
        <w:rPr>
          <w:rFonts w:ascii="Arial" w:hAnsi="Arial" w:cs="Arial"/>
          <w:spacing w:val="-2"/>
          <w:szCs w:val="22"/>
        </w:rPr>
        <w:t xml:space="preserve"> výdaje na</w:t>
      </w:r>
      <w:r w:rsidR="002B0987">
        <w:rPr>
          <w:rFonts w:ascii="Arial" w:hAnsi="Arial" w:cs="Arial"/>
          <w:spacing w:val="-2"/>
          <w:szCs w:val="22"/>
        </w:rPr>
        <w:t xml:space="preserve"> rozpočtové</w:t>
      </w:r>
      <w:r w:rsidR="00264159" w:rsidRPr="00964F55">
        <w:rPr>
          <w:rFonts w:ascii="Arial" w:hAnsi="Arial" w:cs="Arial"/>
          <w:spacing w:val="-2"/>
          <w:szCs w:val="22"/>
        </w:rPr>
        <w:t xml:space="preserve"> položce 5</w:t>
      </w:r>
      <w:r w:rsidR="00964F55" w:rsidRPr="00964F55">
        <w:rPr>
          <w:rFonts w:ascii="Arial" w:hAnsi="Arial" w:cs="Arial"/>
          <w:spacing w:val="-2"/>
          <w:szCs w:val="22"/>
        </w:rPr>
        <w:t>041</w:t>
      </w:r>
      <w:r w:rsidR="00264159" w:rsidRPr="00964F55">
        <w:rPr>
          <w:rFonts w:ascii="Arial" w:hAnsi="Arial" w:cs="Arial"/>
          <w:spacing w:val="-2"/>
          <w:szCs w:val="22"/>
        </w:rPr>
        <w:t xml:space="preserve"> – </w:t>
      </w:r>
      <w:r w:rsidR="00964F55" w:rsidRPr="00964F55">
        <w:rPr>
          <w:rFonts w:ascii="Arial" w:hAnsi="Arial" w:cs="Arial"/>
          <w:i/>
          <w:spacing w:val="-2"/>
          <w:szCs w:val="22"/>
        </w:rPr>
        <w:t>Odměny za užití duševního vlastnictví</w:t>
      </w:r>
      <w:r w:rsidR="00264159" w:rsidRPr="00964F55">
        <w:rPr>
          <w:rFonts w:ascii="Arial" w:hAnsi="Arial" w:cs="Arial"/>
          <w:spacing w:val="-2"/>
          <w:szCs w:val="22"/>
        </w:rPr>
        <w:t xml:space="preserve"> o</w:t>
      </w:r>
      <w:r w:rsidR="002B51EB">
        <w:rPr>
          <w:rFonts w:ascii="Arial" w:hAnsi="Arial" w:cs="Arial"/>
          <w:spacing w:val="-2"/>
          <w:szCs w:val="22"/>
        </w:rPr>
        <w:t> </w:t>
      </w:r>
      <w:r w:rsidR="00264159" w:rsidRPr="00964F55">
        <w:rPr>
          <w:rFonts w:ascii="Arial" w:hAnsi="Arial" w:cs="Arial"/>
          <w:spacing w:val="-2"/>
          <w:szCs w:val="22"/>
        </w:rPr>
        <w:t>1</w:t>
      </w:r>
      <w:r w:rsidR="00964F55" w:rsidRPr="00964F55">
        <w:rPr>
          <w:rFonts w:ascii="Arial" w:hAnsi="Arial" w:cs="Arial"/>
          <w:spacing w:val="-2"/>
          <w:szCs w:val="22"/>
        </w:rPr>
        <w:t> 759 485</w:t>
      </w:r>
      <w:r w:rsidR="00264159" w:rsidRPr="00964F55">
        <w:rPr>
          <w:rFonts w:ascii="Arial" w:hAnsi="Arial" w:cs="Arial"/>
          <w:spacing w:val="-2"/>
          <w:szCs w:val="22"/>
        </w:rPr>
        <w:t xml:space="preserve"> Kč</w:t>
      </w:r>
      <w:r w:rsidR="00964F55" w:rsidRPr="00964F55">
        <w:rPr>
          <w:rFonts w:ascii="Arial" w:hAnsi="Arial" w:cs="Arial"/>
          <w:spacing w:val="-2"/>
          <w:szCs w:val="22"/>
        </w:rPr>
        <w:t xml:space="preserve"> a o stejnou částku podhodnotilo na uvedených paragrafech výdaje na </w:t>
      </w:r>
      <w:r w:rsidR="002B0987">
        <w:rPr>
          <w:rFonts w:ascii="Arial" w:hAnsi="Arial" w:cs="Arial"/>
          <w:spacing w:val="-2"/>
          <w:szCs w:val="22"/>
        </w:rPr>
        <w:t xml:space="preserve">rozpočtové </w:t>
      </w:r>
      <w:r w:rsidR="00964F55" w:rsidRPr="00964F55">
        <w:rPr>
          <w:rFonts w:ascii="Arial" w:hAnsi="Arial" w:cs="Arial"/>
          <w:spacing w:val="-2"/>
          <w:szCs w:val="22"/>
        </w:rPr>
        <w:t xml:space="preserve">položce 5164 – </w:t>
      </w:r>
      <w:r w:rsidR="00964F55" w:rsidRPr="00964F55">
        <w:rPr>
          <w:rFonts w:ascii="Arial" w:hAnsi="Arial" w:cs="Arial"/>
          <w:i/>
          <w:spacing w:val="-2"/>
          <w:szCs w:val="22"/>
        </w:rPr>
        <w:t>Nájemné</w:t>
      </w:r>
      <w:r w:rsidR="00264159" w:rsidRPr="00964F55">
        <w:rPr>
          <w:rFonts w:ascii="Arial" w:hAnsi="Arial" w:cs="Arial"/>
          <w:spacing w:val="-2"/>
          <w:szCs w:val="22"/>
        </w:rPr>
        <w:t>.</w:t>
      </w:r>
      <w:r w:rsidR="002B0987">
        <w:rPr>
          <w:rFonts w:ascii="Arial" w:hAnsi="Arial" w:cs="Arial"/>
          <w:spacing w:val="-2"/>
          <w:szCs w:val="22"/>
        </w:rPr>
        <w:t xml:space="preserve"> Vykazování těchto výdajů na nesprávné rozpočtové položce bylo</w:t>
      </w:r>
      <w:r w:rsidR="001A7D88">
        <w:rPr>
          <w:rFonts w:ascii="Arial" w:hAnsi="Arial" w:cs="Arial"/>
          <w:spacing w:val="-2"/>
          <w:szCs w:val="22"/>
        </w:rPr>
        <w:t xml:space="preserve"> zjištěn</w:t>
      </w:r>
      <w:r w:rsidR="002B0987">
        <w:rPr>
          <w:rFonts w:ascii="Arial" w:hAnsi="Arial" w:cs="Arial"/>
          <w:spacing w:val="-2"/>
          <w:szCs w:val="22"/>
        </w:rPr>
        <w:t>o</w:t>
      </w:r>
      <w:r w:rsidR="001A7D88">
        <w:rPr>
          <w:rFonts w:ascii="Arial" w:hAnsi="Arial" w:cs="Arial"/>
          <w:spacing w:val="-2"/>
          <w:szCs w:val="22"/>
        </w:rPr>
        <w:t xml:space="preserve"> již při kontrolní akci č. 11/29</w:t>
      </w:r>
      <w:r>
        <w:rPr>
          <w:rFonts w:ascii="Arial" w:hAnsi="Arial" w:cs="Arial"/>
          <w:spacing w:val="-2"/>
          <w:szCs w:val="22"/>
        </w:rPr>
        <w:t>.</w:t>
      </w:r>
      <w:r w:rsidR="002B0987">
        <w:rPr>
          <w:rStyle w:val="Znakapoznpodarou"/>
          <w:rFonts w:ascii="Arial" w:hAnsi="Arial" w:cs="Arial"/>
          <w:spacing w:val="-2"/>
          <w:szCs w:val="22"/>
        </w:rPr>
        <w:footnoteReference w:id="12"/>
      </w:r>
    </w:p>
    <w:p w:rsidR="00264159" w:rsidRPr="0015047E" w:rsidRDefault="00264159" w:rsidP="00264159">
      <w:pPr>
        <w:pStyle w:val="NormlnKZ"/>
        <w:spacing w:after="0"/>
        <w:ind w:firstLine="0"/>
        <w:rPr>
          <w:rFonts w:ascii="Arial" w:hAnsi="Arial" w:cs="Arial"/>
          <w:spacing w:val="-2"/>
          <w:szCs w:val="22"/>
          <w:highlight w:val="green"/>
        </w:rPr>
      </w:pPr>
    </w:p>
    <w:p w:rsidR="00264159" w:rsidRPr="00644ADF" w:rsidRDefault="00644ADF" w:rsidP="00E50173">
      <w:pPr>
        <w:pStyle w:val="vod"/>
        <w:keepNext w:val="0"/>
        <w:tabs>
          <w:tab w:val="clear" w:pos="787"/>
        </w:tabs>
        <w:spacing w:before="0" w:after="120"/>
        <w:rPr>
          <w:rFonts w:ascii="Arial" w:hAnsi="Arial" w:cs="Arial"/>
          <w:i/>
          <w:sz w:val="22"/>
          <w:szCs w:val="22"/>
        </w:rPr>
      </w:pPr>
      <w:r w:rsidRPr="00644ADF">
        <w:rPr>
          <w:rFonts w:ascii="Arial" w:hAnsi="Arial" w:cs="Arial"/>
          <w:i/>
          <w:sz w:val="22"/>
          <w:szCs w:val="22"/>
        </w:rPr>
        <w:t>Výdaje, jejichž úhrada přešla na MŠMT ze zrušené příspěvkové organizace</w:t>
      </w:r>
      <w:r w:rsidR="00582B26">
        <w:rPr>
          <w:rFonts w:ascii="Arial" w:hAnsi="Arial" w:cs="Arial"/>
          <w:i/>
          <w:sz w:val="22"/>
          <w:szCs w:val="22"/>
        </w:rPr>
        <w:t xml:space="preserve"> zřízené</w:t>
      </w:r>
      <w:r w:rsidRPr="00644ADF">
        <w:rPr>
          <w:rFonts w:ascii="Arial" w:hAnsi="Arial" w:cs="Arial"/>
          <w:i/>
          <w:sz w:val="22"/>
          <w:szCs w:val="22"/>
        </w:rPr>
        <w:t xml:space="preserve"> MŠMT </w:t>
      </w:r>
    </w:p>
    <w:p w:rsidR="00264159" w:rsidRPr="001233B8" w:rsidRDefault="00582B26" w:rsidP="00264159">
      <w:pPr>
        <w:pStyle w:val="vod"/>
        <w:keepNext w:val="0"/>
        <w:tabs>
          <w:tab w:val="clear" w:pos="787"/>
        </w:tabs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MŠMT </w:t>
      </w:r>
      <w:r w:rsidR="00765F23">
        <w:rPr>
          <w:rFonts w:ascii="Arial" w:hAnsi="Arial" w:cs="Arial"/>
          <w:b w:val="0"/>
          <w:sz w:val="22"/>
          <w:szCs w:val="22"/>
        </w:rPr>
        <w:t>v </w:t>
      </w:r>
      <w:r>
        <w:rPr>
          <w:rFonts w:ascii="Arial" w:hAnsi="Arial" w:cs="Arial"/>
          <w:b w:val="0"/>
          <w:sz w:val="22"/>
          <w:szCs w:val="22"/>
        </w:rPr>
        <w:t>roce 2011 zrušilo svoji příspěvkovou organizaci</w:t>
      </w:r>
      <w:r w:rsidR="00885244">
        <w:rPr>
          <w:rStyle w:val="Znakapoznpodarou"/>
          <w:rFonts w:ascii="Arial" w:hAnsi="Arial" w:cs="Arial"/>
          <w:b w:val="0"/>
          <w:sz w:val="22"/>
          <w:szCs w:val="22"/>
        </w:rPr>
        <w:footnoteReference w:id="13"/>
      </w:r>
      <w:r>
        <w:rPr>
          <w:rFonts w:ascii="Arial" w:hAnsi="Arial" w:cs="Arial"/>
          <w:b w:val="0"/>
          <w:sz w:val="22"/>
          <w:szCs w:val="22"/>
        </w:rPr>
        <w:t xml:space="preserve"> a </w:t>
      </w:r>
      <w:r w:rsidR="00765F23">
        <w:rPr>
          <w:rFonts w:ascii="Arial" w:hAnsi="Arial" w:cs="Arial"/>
          <w:b w:val="0"/>
          <w:sz w:val="22"/>
          <w:szCs w:val="22"/>
        </w:rPr>
        <w:t>k </w:t>
      </w:r>
      <w:r>
        <w:rPr>
          <w:rFonts w:ascii="Arial" w:hAnsi="Arial" w:cs="Arial"/>
          <w:b w:val="0"/>
          <w:sz w:val="22"/>
          <w:szCs w:val="22"/>
        </w:rPr>
        <w:t xml:space="preserve">1. lednu 2012 převzalo jako zřizovatel veškeré nevypořádané pohledávky a závazky této organizace. Pro </w:t>
      </w:r>
      <w:r w:rsidR="002A2356">
        <w:rPr>
          <w:rFonts w:ascii="Arial" w:hAnsi="Arial" w:cs="Arial"/>
          <w:b w:val="0"/>
          <w:sz w:val="22"/>
          <w:szCs w:val="22"/>
        </w:rPr>
        <w:t xml:space="preserve">vykazování </w:t>
      </w:r>
      <w:r>
        <w:rPr>
          <w:rFonts w:ascii="Arial" w:hAnsi="Arial" w:cs="Arial"/>
          <w:b w:val="0"/>
          <w:sz w:val="22"/>
          <w:szCs w:val="22"/>
        </w:rPr>
        <w:t xml:space="preserve">úhrad všech těchto závazků si MŠMT stanovilo nesprávnou položku rozpočtové skladby 5909 – </w:t>
      </w:r>
      <w:r w:rsidRPr="001233B8">
        <w:rPr>
          <w:rFonts w:ascii="Arial" w:hAnsi="Arial" w:cs="Arial"/>
          <w:b w:val="0"/>
          <w:i/>
          <w:sz w:val="22"/>
          <w:szCs w:val="22"/>
        </w:rPr>
        <w:t>Ostatní neinvestiční výdaje</w:t>
      </w:r>
      <w:r w:rsidR="00183F42">
        <w:rPr>
          <w:rFonts w:ascii="Arial" w:hAnsi="Arial" w:cs="Arial"/>
          <w:b w:val="0"/>
          <w:i/>
          <w:sz w:val="22"/>
          <w:szCs w:val="22"/>
        </w:rPr>
        <w:t xml:space="preserve"> jinde nezařazené</w:t>
      </w:r>
      <w:r w:rsidR="00AA6DEC" w:rsidRPr="00E50173">
        <w:rPr>
          <w:rFonts w:ascii="Arial" w:hAnsi="Arial" w:cs="Arial"/>
          <w:b w:val="0"/>
          <w:sz w:val="22"/>
          <w:szCs w:val="22"/>
        </w:rPr>
        <w:t>,</w:t>
      </w:r>
      <w:r w:rsidR="00BE5A34">
        <w:rPr>
          <w:rFonts w:ascii="Arial" w:hAnsi="Arial" w:cs="Arial"/>
          <w:b w:val="0"/>
          <w:sz w:val="22"/>
          <w:szCs w:val="22"/>
        </w:rPr>
        <w:t xml:space="preserve"> přestože vyhláška č. 323/2002 Sb. stanovuje, že položka rozpočtové skladby vyjadřuje druh výdaje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="00264159" w:rsidRPr="001A7D88">
        <w:rPr>
          <w:rFonts w:ascii="Arial" w:hAnsi="Arial" w:cs="Arial"/>
          <w:b w:val="0"/>
          <w:sz w:val="22"/>
          <w:szCs w:val="22"/>
        </w:rPr>
        <w:t>MŠMT</w:t>
      </w:r>
      <w:r w:rsidR="00183F42">
        <w:rPr>
          <w:rFonts w:ascii="Arial" w:hAnsi="Arial" w:cs="Arial"/>
          <w:b w:val="0"/>
          <w:sz w:val="22"/>
          <w:szCs w:val="22"/>
        </w:rPr>
        <w:t xml:space="preserve"> </w:t>
      </w:r>
      <w:r w:rsidR="00BE5A34">
        <w:rPr>
          <w:rFonts w:ascii="Arial" w:hAnsi="Arial" w:cs="Arial"/>
          <w:b w:val="0"/>
          <w:sz w:val="22"/>
          <w:szCs w:val="22"/>
        </w:rPr>
        <w:t xml:space="preserve">tak </w:t>
      </w:r>
      <w:r w:rsidR="002A2356">
        <w:rPr>
          <w:rFonts w:ascii="Arial" w:hAnsi="Arial" w:cs="Arial"/>
          <w:b w:val="0"/>
          <w:sz w:val="22"/>
          <w:szCs w:val="22"/>
        </w:rPr>
        <w:t xml:space="preserve">např. </w:t>
      </w:r>
      <w:r w:rsidR="00644ADF" w:rsidRPr="001A7D88">
        <w:rPr>
          <w:rFonts w:ascii="Arial" w:hAnsi="Arial" w:cs="Arial"/>
          <w:b w:val="0"/>
          <w:sz w:val="22"/>
          <w:szCs w:val="22"/>
        </w:rPr>
        <w:t>hradilo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A2356">
        <w:rPr>
          <w:rFonts w:ascii="Arial" w:hAnsi="Arial" w:cs="Arial"/>
          <w:b w:val="0"/>
          <w:sz w:val="22"/>
          <w:szCs w:val="22"/>
        </w:rPr>
        <w:t xml:space="preserve">po příspěvkové organizaci </w:t>
      </w:r>
      <w:r w:rsidR="00644ADF" w:rsidRPr="001A7D88">
        <w:rPr>
          <w:rFonts w:ascii="Arial" w:hAnsi="Arial" w:cs="Arial"/>
          <w:b w:val="0"/>
          <w:sz w:val="22"/>
          <w:szCs w:val="22"/>
        </w:rPr>
        <w:t>výdaje za nedoplatek na zemním plynu</w:t>
      </w:r>
      <w:r>
        <w:rPr>
          <w:rFonts w:ascii="Arial" w:hAnsi="Arial" w:cs="Arial"/>
          <w:b w:val="0"/>
          <w:sz w:val="22"/>
          <w:szCs w:val="22"/>
        </w:rPr>
        <w:t xml:space="preserve"> a</w:t>
      </w:r>
      <w:r w:rsidR="0020739A" w:rsidRPr="001A7D88">
        <w:rPr>
          <w:rFonts w:ascii="Arial" w:hAnsi="Arial" w:cs="Arial"/>
          <w:b w:val="0"/>
          <w:sz w:val="22"/>
          <w:szCs w:val="22"/>
        </w:rPr>
        <w:t xml:space="preserve"> vyk</w:t>
      </w:r>
      <w:r>
        <w:rPr>
          <w:rFonts w:ascii="Arial" w:hAnsi="Arial" w:cs="Arial"/>
          <w:b w:val="0"/>
          <w:sz w:val="22"/>
          <w:szCs w:val="22"/>
        </w:rPr>
        <w:t>ázalo je</w:t>
      </w:r>
      <w:r w:rsidR="0020739A" w:rsidRPr="001A7D88">
        <w:rPr>
          <w:rFonts w:ascii="Arial" w:hAnsi="Arial" w:cs="Arial"/>
          <w:b w:val="0"/>
          <w:sz w:val="22"/>
          <w:szCs w:val="22"/>
        </w:rPr>
        <w:t xml:space="preserve"> nesprávně na</w:t>
      </w:r>
      <w:r>
        <w:rPr>
          <w:rFonts w:ascii="Arial" w:hAnsi="Arial" w:cs="Arial"/>
          <w:b w:val="0"/>
          <w:sz w:val="22"/>
          <w:szCs w:val="22"/>
        </w:rPr>
        <w:t xml:space="preserve"> rozpočtové</w:t>
      </w:r>
      <w:r w:rsidR="0020739A" w:rsidRPr="001A7D88">
        <w:rPr>
          <w:rFonts w:ascii="Arial" w:hAnsi="Arial" w:cs="Arial"/>
          <w:b w:val="0"/>
          <w:sz w:val="22"/>
          <w:szCs w:val="22"/>
        </w:rPr>
        <w:t xml:space="preserve"> položce 5909 – </w:t>
      </w:r>
      <w:r w:rsidR="0020739A" w:rsidRPr="001A7D88">
        <w:rPr>
          <w:rFonts w:ascii="Arial" w:hAnsi="Arial" w:cs="Arial"/>
          <w:b w:val="0"/>
          <w:i/>
          <w:sz w:val="22"/>
          <w:szCs w:val="22"/>
        </w:rPr>
        <w:t>Ostatní neinvestiční výdaje jinde nezařazené</w:t>
      </w:r>
      <w:r w:rsidR="0020739A" w:rsidRPr="001A7D88">
        <w:rPr>
          <w:rFonts w:ascii="Arial" w:hAnsi="Arial" w:cs="Arial"/>
          <w:b w:val="0"/>
          <w:sz w:val="22"/>
          <w:szCs w:val="22"/>
        </w:rPr>
        <w:t>, přestože druhem pořizované služby byla dodávka zemního plynu</w:t>
      </w:r>
      <w:r w:rsidR="00BE5A34">
        <w:rPr>
          <w:rStyle w:val="Znakapoznpodarou"/>
          <w:rFonts w:ascii="Arial" w:hAnsi="Arial" w:cs="Arial"/>
          <w:b w:val="0"/>
          <w:sz w:val="22"/>
          <w:szCs w:val="22"/>
        </w:rPr>
        <w:footnoteReference w:id="14"/>
      </w:r>
      <w:r w:rsidR="0020739A" w:rsidRPr="001A7D88">
        <w:rPr>
          <w:rFonts w:ascii="Arial" w:hAnsi="Arial" w:cs="Arial"/>
          <w:b w:val="0"/>
          <w:sz w:val="22"/>
          <w:szCs w:val="22"/>
        </w:rPr>
        <w:t xml:space="preserve">. </w:t>
      </w:r>
      <w:r w:rsidR="00765F23">
        <w:rPr>
          <w:rFonts w:ascii="Arial" w:hAnsi="Arial" w:cs="Arial"/>
          <w:b w:val="0"/>
          <w:sz w:val="22"/>
          <w:szCs w:val="22"/>
        </w:rPr>
        <w:t>V </w:t>
      </w:r>
      <w:r w:rsidR="0020739A" w:rsidRPr="001A7D88">
        <w:rPr>
          <w:rFonts w:ascii="Arial" w:hAnsi="Arial" w:cs="Arial"/>
          <w:b w:val="0"/>
          <w:sz w:val="22"/>
          <w:szCs w:val="22"/>
        </w:rPr>
        <w:t xml:space="preserve">důsledku toho MŠMT ve výkazu pro hodnocení plnění rozpočtu na paragrafu 3261 – </w:t>
      </w:r>
      <w:r w:rsidR="0020739A" w:rsidRPr="001A7D88">
        <w:rPr>
          <w:rFonts w:ascii="Arial" w:hAnsi="Arial" w:cs="Arial"/>
          <w:b w:val="0"/>
          <w:i/>
          <w:sz w:val="22"/>
          <w:szCs w:val="22"/>
        </w:rPr>
        <w:t>Činnost ústředního orgánu státní správy ve vzdělávání</w:t>
      </w:r>
      <w:r w:rsidR="0020739A" w:rsidRPr="001A7D88">
        <w:rPr>
          <w:rFonts w:ascii="Arial" w:hAnsi="Arial" w:cs="Arial"/>
          <w:b w:val="0"/>
          <w:sz w:val="22"/>
          <w:szCs w:val="22"/>
        </w:rPr>
        <w:t xml:space="preserve"> nadhodnotilo výdaje na</w:t>
      </w:r>
      <w:r>
        <w:rPr>
          <w:rFonts w:ascii="Arial" w:hAnsi="Arial" w:cs="Arial"/>
          <w:b w:val="0"/>
          <w:sz w:val="22"/>
          <w:szCs w:val="22"/>
        </w:rPr>
        <w:t xml:space="preserve"> rozpočtové</w:t>
      </w:r>
      <w:r w:rsidR="0020739A" w:rsidRPr="001A7D88">
        <w:rPr>
          <w:rFonts w:ascii="Arial" w:hAnsi="Arial" w:cs="Arial"/>
          <w:b w:val="0"/>
          <w:sz w:val="22"/>
          <w:szCs w:val="22"/>
        </w:rPr>
        <w:t xml:space="preserve"> položce 5909 – </w:t>
      </w:r>
      <w:r w:rsidR="0020739A" w:rsidRPr="001A7D88">
        <w:rPr>
          <w:rFonts w:ascii="Arial" w:hAnsi="Arial" w:cs="Arial"/>
          <w:b w:val="0"/>
          <w:i/>
          <w:sz w:val="22"/>
          <w:szCs w:val="22"/>
        </w:rPr>
        <w:t>Ostatní neinvestiční výdaje jinde nezařazené</w:t>
      </w:r>
      <w:r w:rsidR="0020739A" w:rsidRPr="001A7D88">
        <w:rPr>
          <w:rFonts w:ascii="Arial" w:hAnsi="Arial" w:cs="Arial"/>
          <w:b w:val="0"/>
          <w:sz w:val="22"/>
          <w:szCs w:val="22"/>
        </w:rPr>
        <w:t xml:space="preserve"> o 26</w:t>
      </w:r>
      <w:r w:rsidR="005F3102">
        <w:rPr>
          <w:rFonts w:ascii="Arial" w:hAnsi="Arial" w:cs="Arial"/>
          <w:b w:val="0"/>
          <w:sz w:val="22"/>
          <w:szCs w:val="22"/>
        </w:rPr>
        <w:t xml:space="preserve"> </w:t>
      </w:r>
      <w:r w:rsidR="0020739A" w:rsidRPr="001A7D88">
        <w:rPr>
          <w:rFonts w:ascii="Arial" w:hAnsi="Arial" w:cs="Arial"/>
          <w:b w:val="0"/>
          <w:sz w:val="22"/>
          <w:szCs w:val="22"/>
        </w:rPr>
        <w:t xml:space="preserve">974 Kč a o stejnou částku podhodnotilo výdaje na </w:t>
      </w:r>
      <w:r>
        <w:rPr>
          <w:rFonts w:ascii="Arial" w:hAnsi="Arial" w:cs="Arial"/>
          <w:b w:val="0"/>
          <w:sz w:val="22"/>
          <w:szCs w:val="22"/>
        </w:rPr>
        <w:t xml:space="preserve">rozpočtové </w:t>
      </w:r>
      <w:r w:rsidR="0020739A" w:rsidRPr="001A7D88">
        <w:rPr>
          <w:rFonts w:ascii="Arial" w:hAnsi="Arial" w:cs="Arial"/>
          <w:b w:val="0"/>
          <w:sz w:val="22"/>
          <w:szCs w:val="22"/>
        </w:rPr>
        <w:t xml:space="preserve">položce 5153 – </w:t>
      </w:r>
      <w:r w:rsidR="0020739A" w:rsidRPr="001A7D88">
        <w:rPr>
          <w:rFonts w:ascii="Arial" w:hAnsi="Arial" w:cs="Arial"/>
          <w:b w:val="0"/>
          <w:i/>
          <w:sz w:val="22"/>
          <w:szCs w:val="22"/>
        </w:rPr>
        <w:t>Plyn</w:t>
      </w:r>
      <w:r w:rsidR="0020739A" w:rsidRPr="001A7D88">
        <w:rPr>
          <w:rFonts w:ascii="Arial" w:hAnsi="Arial" w:cs="Arial"/>
          <w:b w:val="0"/>
          <w:sz w:val="22"/>
          <w:szCs w:val="22"/>
        </w:rPr>
        <w:t xml:space="preserve">. </w:t>
      </w:r>
    </w:p>
    <w:p w:rsidR="002B51EB" w:rsidRDefault="002B51EB" w:rsidP="0076257E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</w:p>
    <w:p w:rsidR="00582178" w:rsidRDefault="0076257E" w:rsidP="00582178">
      <w:pPr>
        <w:jc w:val="both"/>
        <w:rPr>
          <w:rFonts w:ascii="Arial" w:hAnsi="Arial" w:cs="Arial"/>
          <w:b/>
          <w:sz w:val="22"/>
          <w:szCs w:val="22"/>
        </w:rPr>
      </w:pPr>
      <w:r w:rsidRPr="0070629B">
        <w:rPr>
          <w:rFonts w:ascii="Arial" w:hAnsi="Arial" w:cs="Arial"/>
          <w:b/>
          <w:sz w:val="22"/>
          <w:szCs w:val="22"/>
        </w:rPr>
        <w:t xml:space="preserve">3. </w:t>
      </w:r>
      <w:r w:rsidR="00446F2D" w:rsidRPr="0070629B">
        <w:rPr>
          <w:rFonts w:ascii="Arial" w:hAnsi="Arial" w:cs="Arial"/>
          <w:b/>
          <w:sz w:val="22"/>
          <w:szCs w:val="22"/>
        </w:rPr>
        <w:t>Možnost o</w:t>
      </w:r>
      <w:r w:rsidR="00582178" w:rsidRPr="00183F42">
        <w:rPr>
          <w:rFonts w:ascii="Arial" w:hAnsi="Arial" w:cs="Arial"/>
          <w:b/>
          <w:sz w:val="22"/>
          <w:szCs w:val="22"/>
        </w:rPr>
        <w:t xml:space="preserve">prav nesprávností </w:t>
      </w:r>
      <w:r w:rsidR="00446F2D" w:rsidRPr="00183F42">
        <w:rPr>
          <w:rFonts w:ascii="Arial" w:hAnsi="Arial" w:cs="Arial"/>
          <w:b/>
          <w:sz w:val="22"/>
          <w:szCs w:val="22"/>
        </w:rPr>
        <w:t>zjištěných</w:t>
      </w:r>
      <w:r w:rsidR="00582178" w:rsidRPr="00183F42">
        <w:rPr>
          <w:rFonts w:ascii="Arial" w:hAnsi="Arial" w:cs="Arial"/>
          <w:b/>
          <w:sz w:val="22"/>
          <w:szCs w:val="22"/>
        </w:rPr>
        <w:t xml:space="preserve">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BE5A34" w:rsidRPr="00183F42">
        <w:rPr>
          <w:rFonts w:ascii="Arial" w:hAnsi="Arial" w:cs="Arial"/>
          <w:b/>
          <w:sz w:val="22"/>
          <w:szCs w:val="22"/>
        </w:rPr>
        <w:t>průběhu</w:t>
      </w:r>
      <w:r w:rsidR="00582178" w:rsidRPr="00183F42">
        <w:rPr>
          <w:rFonts w:ascii="Arial" w:hAnsi="Arial" w:cs="Arial"/>
          <w:b/>
          <w:sz w:val="22"/>
          <w:szCs w:val="22"/>
        </w:rPr>
        <w:t xml:space="preserve"> kontrol</w:t>
      </w:r>
      <w:r w:rsidR="00EC176B" w:rsidRPr="00183F42">
        <w:rPr>
          <w:rFonts w:ascii="Arial" w:hAnsi="Arial" w:cs="Arial"/>
          <w:b/>
          <w:sz w:val="22"/>
          <w:szCs w:val="22"/>
        </w:rPr>
        <w:t>y</w:t>
      </w:r>
      <w:r w:rsidR="00582178" w:rsidRPr="00183F42">
        <w:rPr>
          <w:rFonts w:ascii="Arial" w:hAnsi="Arial" w:cs="Arial"/>
          <w:b/>
          <w:sz w:val="22"/>
          <w:szCs w:val="22"/>
        </w:rPr>
        <w:t xml:space="preserve"> </w:t>
      </w:r>
    </w:p>
    <w:p w:rsidR="00DC1A2F" w:rsidRPr="00183F42" w:rsidRDefault="00DC1A2F" w:rsidP="00582178">
      <w:pPr>
        <w:jc w:val="both"/>
        <w:rPr>
          <w:rFonts w:ascii="Arial" w:hAnsi="Arial" w:cs="Arial"/>
          <w:b/>
          <w:sz w:val="22"/>
          <w:szCs w:val="22"/>
        </w:rPr>
      </w:pPr>
    </w:p>
    <w:p w:rsidR="00582178" w:rsidRPr="00F336D3" w:rsidRDefault="00582178" w:rsidP="00582178">
      <w:pPr>
        <w:jc w:val="both"/>
        <w:rPr>
          <w:rFonts w:ascii="Arial" w:hAnsi="Arial" w:cs="Arial"/>
          <w:sz w:val="22"/>
          <w:szCs w:val="22"/>
        </w:rPr>
      </w:pPr>
      <w:r w:rsidRPr="00D90EC9">
        <w:rPr>
          <w:rFonts w:ascii="Arial" w:hAnsi="Arial" w:cs="Arial"/>
          <w:sz w:val="22"/>
          <w:szCs w:val="22"/>
        </w:rPr>
        <w:t>Kontrol</w:t>
      </w:r>
      <w:r w:rsidR="00D00E7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byla u MŠMT</w:t>
      </w:r>
      <w:r w:rsidRPr="00D90EC9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ahájena </w:t>
      </w:r>
      <w:r w:rsidR="00765F23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průběhu kontrolovaného účetního</w:t>
      </w:r>
      <w:r w:rsidRPr="00D90EC9">
        <w:rPr>
          <w:rFonts w:ascii="Arial" w:hAnsi="Arial" w:cs="Arial"/>
          <w:sz w:val="22"/>
          <w:szCs w:val="22"/>
        </w:rPr>
        <w:t xml:space="preserve"> období 2012, což umožnilo </w:t>
      </w:r>
      <w:r>
        <w:rPr>
          <w:rFonts w:ascii="Arial" w:hAnsi="Arial" w:cs="Arial"/>
          <w:sz w:val="22"/>
          <w:szCs w:val="22"/>
        </w:rPr>
        <w:t xml:space="preserve">MŠMT některé </w:t>
      </w:r>
      <w:r w:rsidRPr="00D90EC9">
        <w:rPr>
          <w:rFonts w:ascii="Arial" w:hAnsi="Arial" w:cs="Arial"/>
          <w:sz w:val="22"/>
          <w:szCs w:val="22"/>
        </w:rPr>
        <w:t>identifikovan</w:t>
      </w:r>
      <w:r>
        <w:rPr>
          <w:rFonts w:ascii="Arial" w:hAnsi="Arial" w:cs="Arial"/>
          <w:sz w:val="22"/>
          <w:szCs w:val="22"/>
        </w:rPr>
        <w:t xml:space="preserve">é nesprávnosti opravit ještě před sestavením ÚZ. MŠMT takto opravilo nesprávnosti </w:t>
      </w:r>
      <w:r w:rsidR="00765F23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částce přesahující 8</w:t>
      </w:r>
      <w:r w:rsidR="005F31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000</w:t>
      </w:r>
      <w:r w:rsidR="005F31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000 Kč.</w:t>
      </w:r>
      <w:r w:rsidR="00D00E74">
        <w:rPr>
          <w:rFonts w:ascii="Arial" w:hAnsi="Arial" w:cs="Arial"/>
          <w:sz w:val="22"/>
          <w:szCs w:val="22"/>
        </w:rPr>
        <w:t xml:space="preserve"> MŠMT chtělo i po uzavření účetních knih a sestavení účetní závěrky za účetní období 2012</w:t>
      </w:r>
      <w:r w:rsidR="00170234">
        <w:rPr>
          <w:rFonts w:ascii="Arial" w:hAnsi="Arial" w:cs="Arial"/>
          <w:sz w:val="22"/>
          <w:szCs w:val="22"/>
        </w:rPr>
        <w:t xml:space="preserve"> využít možnosti dané § 17 odst. 7 zákona </w:t>
      </w:r>
      <w:r w:rsidR="004727BC">
        <w:rPr>
          <w:rFonts w:ascii="Arial" w:hAnsi="Arial" w:cs="Arial"/>
          <w:sz w:val="22"/>
          <w:szCs w:val="22"/>
        </w:rPr>
        <w:t>o účetnictví</w:t>
      </w:r>
      <w:r w:rsidR="00170234">
        <w:rPr>
          <w:rFonts w:ascii="Arial" w:hAnsi="Arial" w:cs="Arial"/>
          <w:sz w:val="22"/>
          <w:szCs w:val="22"/>
        </w:rPr>
        <w:t xml:space="preserve"> a účetní knihy opět otevřít, provést opravu dalších v průběhu kontroly identifikovaných nesprávností </w:t>
      </w:r>
      <w:r w:rsidR="00D00E74">
        <w:rPr>
          <w:rFonts w:ascii="Arial" w:hAnsi="Arial" w:cs="Arial"/>
          <w:sz w:val="22"/>
          <w:szCs w:val="22"/>
        </w:rPr>
        <w:t xml:space="preserve">a sestavit novou účetní závěrku </w:t>
      </w:r>
      <w:r w:rsidR="00D00E74">
        <w:rPr>
          <w:rFonts w:ascii="Arial" w:hAnsi="Arial" w:cs="Arial"/>
          <w:sz w:val="22"/>
          <w:szCs w:val="22"/>
        </w:rPr>
        <w:lastRenderedPageBreak/>
        <w:t>k 31.</w:t>
      </w:r>
      <w:r w:rsidR="002B51EB">
        <w:rPr>
          <w:rFonts w:ascii="Arial" w:hAnsi="Arial" w:cs="Arial"/>
          <w:sz w:val="22"/>
          <w:szCs w:val="22"/>
        </w:rPr>
        <w:t> </w:t>
      </w:r>
      <w:r w:rsidR="00D00E74">
        <w:rPr>
          <w:rFonts w:ascii="Arial" w:hAnsi="Arial" w:cs="Arial"/>
          <w:sz w:val="22"/>
          <w:szCs w:val="22"/>
        </w:rPr>
        <w:t>prosinci 2012.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="00885244">
        <w:rPr>
          <w:rFonts w:ascii="Arial" w:hAnsi="Arial" w:cs="Arial"/>
          <w:sz w:val="22"/>
          <w:szCs w:val="22"/>
        </w:rPr>
        <w:t xml:space="preserve">To však MŠMT dle svého vyjádření nemohlo </w:t>
      </w:r>
      <w:r w:rsidR="00765F23">
        <w:rPr>
          <w:rFonts w:ascii="Arial" w:hAnsi="Arial" w:cs="Arial"/>
          <w:sz w:val="22"/>
          <w:szCs w:val="22"/>
        </w:rPr>
        <w:t>z </w:t>
      </w:r>
      <w:r w:rsidR="00885244">
        <w:rPr>
          <w:rFonts w:ascii="Arial" w:hAnsi="Arial" w:cs="Arial"/>
          <w:sz w:val="22"/>
          <w:szCs w:val="22"/>
        </w:rPr>
        <w:t>technických</w:t>
      </w:r>
      <w:r w:rsidR="005F3102">
        <w:rPr>
          <w:rFonts w:ascii="Arial" w:hAnsi="Arial" w:cs="Arial"/>
          <w:sz w:val="22"/>
          <w:szCs w:val="22"/>
        </w:rPr>
        <w:t xml:space="preserve"> </w:t>
      </w:r>
      <w:r w:rsidR="00885244">
        <w:rPr>
          <w:rFonts w:ascii="Arial" w:hAnsi="Arial" w:cs="Arial"/>
          <w:sz w:val="22"/>
          <w:szCs w:val="22"/>
        </w:rPr>
        <w:t xml:space="preserve">důvodů ve vztahu </w:t>
      </w:r>
      <w:r w:rsidR="00765F23">
        <w:rPr>
          <w:rFonts w:ascii="Arial" w:hAnsi="Arial" w:cs="Arial"/>
          <w:sz w:val="22"/>
          <w:szCs w:val="22"/>
        </w:rPr>
        <w:t>k </w:t>
      </w:r>
      <w:r w:rsidR="00885244" w:rsidRPr="00E50173">
        <w:rPr>
          <w:rFonts w:ascii="Arial" w:hAnsi="Arial" w:cs="Arial"/>
          <w:i/>
          <w:sz w:val="22"/>
          <w:szCs w:val="22"/>
        </w:rPr>
        <w:t>Centrálnímu systému účetní</w:t>
      </w:r>
      <w:r w:rsidR="003C448C" w:rsidRPr="00E50173">
        <w:rPr>
          <w:rFonts w:ascii="Arial" w:hAnsi="Arial" w:cs="Arial"/>
          <w:i/>
          <w:sz w:val="22"/>
          <w:szCs w:val="22"/>
        </w:rPr>
        <w:t>ch</w:t>
      </w:r>
      <w:r w:rsidR="00885244" w:rsidRPr="00E50173">
        <w:rPr>
          <w:rFonts w:ascii="Arial" w:hAnsi="Arial" w:cs="Arial"/>
          <w:i/>
          <w:sz w:val="22"/>
          <w:szCs w:val="22"/>
        </w:rPr>
        <w:t xml:space="preserve"> informací státu</w:t>
      </w:r>
      <w:r w:rsidR="00EA5075">
        <w:rPr>
          <w:rFonts w:ascii="Arial" w:hAnsi="Arial" w:cs="Arial"/>
          <w:sz w:val="22"/>
          <w:szCs w:val="22"/>
        </w:rPr>
        <w:t xml:space="preserve"> </w:t>
      </w:r>
      <w:r w:rsidR="005958C5">
        <w:rPr>
          <w:rFonts w:ascii="Arial" w:hAnsi="Arial" w:cs="Arial"/>
          <w:sz w:val="22"/>
          <w:szCs w:val="22"/>
        </w:rPr>
        <w:t>provést</w:t>
      </w:r>
      <w:r w:rsidR="00EA5075">
        <w:rPr>
          <w:rFonts w:ascii="Arial" w:hAnsi="Arial" w:cs="Arial"/>
          <w:sz w:val="22"/>
          <w:szCs w:val="22"/>
        </w:rPr>
        <w:t>.</w:t>
      </w:r>
      <w:r w:rsidR="00885244">
        <w:rPr>
          <w:rFonts w:ascii="Arial" w:hAnsi="Arial" w:cs="Arial"/>
          <w:sz w:val="22"/>
          <w:szCs w:val="22"/>
        </w:rPr>
        <w:t xml:space="preserve"> </w:t>
      </w:r>
      <w:r w:rsidR="00446F2D" w:rsidRPr="001233B8">
        <w:rPr>
          <w:rFonts w:ascii="Arial" w:hAnsi="Arial" w:cs="Arial"/>
          <w:sz w:val="22"/>
          <w:szCs w:val="22"/>
        </w:rPr>
        <w:t>O</w:t>
      </w:r>
      <w:r w:rsidR="00D00E74" w:rsidRPr="001233B8">
        <w:rPr>
          <w:rFonts w:ascii="Arial" w:hAnsi="Arial" w:cs="Arial"/>
          <w:sz w:val="22"/>
          <w:szCs w:val="22"/>
        </w:rPr>
        <w:t xml:space="preserve">pravy těchto nesprávností </w:t>
      </w:r>
      <w:r w:rsidR="00170234">
        <w:rPr>
          <w:rFonts w:ascii="Arial" w:hAnsi="Arial" w:cs="Arial"/>
          <w:sz w:val="22"/>
          <w:szCs w:val="22"/>
        </w:rPr>
        <w:t xml:space="preserve">tak </w:t>
      </w:r>
      <w:r w:rsidR="00446F2D">
        <w:rPr>
          <w:rFonts w:ascii="Arial" w:hAnsi="Arial" w:cs="Arial"/>
          <w:sz w:val="22"/>
          <w:szCs w:val="22"/>
        </w:rPr>
        <w:t>mohou být provedeny</w:t>
      </w:r>
      <w:r w:rsidR="00D00E74" w:rsidRPr="001233B8">
        <w:rPr>
          <w:rFonts w:ascii="Arial" w:hAnsi="Arial" w:cs="Arial"/>
          <w:sz w:val="22"/>
          <w:szCs w:val="22"/>
        </w:rPr>
        <w:t xml:space="preserve"> až </w:t>
      </w:r>
      <w:r w:rsidR="00765F23">
        <w:rPr>
          <w:rFonts w:ascii="Arial" w:hAnsi="Arial" w:cs="Arial"/>
          <w:sz w:val="22"/>
          <w:szCs w:val="22"/>
        </w:rPr>
        <w:t>v </w:t>
      </w:r>
      <w:r w:rsidR="00D00E74" w:rsidRPr="001233B8">
        <w:rPr>
          <w:rFonts w:ascii="Arial" w:hAnsi="Arial" w:cs="Arial"/>
          <w:sz w:val="22"/>
          <w:szCs w:val="22"/>
        </w:rPr>
        <w:t>účetním období 2013.</w:t>
      </w:r>
      <w:r w:rsidR="00D00E74" w:rsidRPr="00D00E74">
        <w:rPr>
          <w:rFonts w:ascii="Arial" w:hAnsi="Arial" w:cs="Arial"/>
          <w:sz w:val="22"/>
          <w:szCs w:val="22"/>
        </w:rPr>
        <w:t xml:space="preserve"> </w:t>
      </w:r>
    </w:p>
    <w:p w:rsidR="00582178" w:rsidRPr="0073707E" w:rsidRDefault="00582178" w:rsidP="00582178">
      <w:pPr>
        <w:jc w:val="both"/>
        <w:rPr>
          <w:rFonts w:ascii="Arial" w:hAnsi="Arial" w:cs="Arial"/>
          <w:sz w:val="22"/>
          <w:szCs w:val="22"/>
        </w:rPr>
      </w:pPr>
    </w:p>
    <w:p w:rsidR="0013459C" w:rsidRPr="0015047E" w:rsidRDefault="00582178" w:rsidP="000032DA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  <w:r>
        <w:rPr>
          <w:rFonts w:ascii="Arial" w:hAnsi="Arial" w:cs="Arial"/>
          <w:b/>
          <w:szCs w:val="22"/>
        </w:rPr>
        <w:t>4</w:t>
      </w:r>
      <w:r w:rsidRPr="001A7D88">
        <w:rPr>
          <w:rFonts w:ascii="Arial" w:hAnsi="Arial" w:cs="Arial"/>
          <w:b/>
          <w:szCs w:val="22"/>
        </w:rPr>
        <w:t xml:space="preserve">. </w:t>
      </w:r>
      <w:r>
        <w:rPr>
          <w:rFonts w:ascii="Arial" w:hAnsi="Arial" w:cs="Arial"/>
          <w:b/>
          <w:szCs w:val="22"/>
        </w:rPr>
        <w:t>Závěre</w:t>
      </w:r>
      <w:r w:rsidR="004644E9">
        <w:rPr>
          <w:rFonts w:ascii="Arial" w:hAnsi="Arial" w:cs="Arial"/>
          <w:b/>
          <w:szCs w:val="22"/>
        </w:rPr>
        <w:t>č</w:t>
      </w:r>
      <w:r>
        <w:rPr>
          <w:rFonts w:ascii="Arial" w:hAnsi="Arial" w:cs="Arial"/>
          <w:b/>
          <w:szCs w:val="22"/>
        </w:rPr>
        <w:t>ný účet</w:t>
      </w:r>
    </w:p>
    <w:p w:rsidR="00183F42" w:rsidRDefault="00183F42" w:rsidP="00264159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825F1A" w:rsidRPr="00CD49C8" w:rsidRDefault="00264159" w:rsidP="00264159">
      <w:pPr>
        <w:jc w:val="both"/>
        <w:rPr>
          <w:rFonts w:ascii="Arial" w:hAnsi="Arial" w:cs="Arial"/>
          <w:spacing w:val="-2"/>
          <w:sz w:val="22"/>
          <w:szCs w:val="22"/>
        </w:rPr>
      </w:pPr>
      <w:r w:rsidRPr="00CD49C8">
        <w:rPr>
          <w:rFonts w:ascii="Arial" w:hAnsi="Arial" w:cs="Arial"/>
          <w:spacing w:val="-2"/>
          <w:sz w:val="22"/>
          <w:szCs w:val="22"/>
        </w:rPr>
        <w:t>Závěrečný účet kapitoly 333 MŠMT za rok 201</w:t>
      </w:r>
      <w:r w:rsidR="001A7D88" w:rsidRPr="00CD49C8">
        <w:rPr>
          <w:rFonts w:ascii="Arial" w:hAnsi="Arial" w:cs="Arial"/>
          <w:spacing w:val="-2"/>
          <w:sz w:val="22"/>
          <w:szCs w:val="22"/>
        </w:rPr>
        <w:t>2</w:t>
      </w:r>
      <w:r w:rsidRPr="00CD49C8">
        <w:rPr>
          <w:rFonts w:ascii="Arial" w:hAnsi="Arial" w:cs="Arial"/>
          <w:spacing w:val="-2"/>
          <w:sz w:val="22"/>
          <w:szCs w:val="22"/>
        </w:rPr>
        <w:t xml:space="preserve"> byl zpracován </w:t>
      </w:r>
      <w:r w:rsidR="00765F23">
        <w:rPr>
          <w:rFonts w:ascii="Arial" w:hAnsi="Arial" w:cs="Arial"/>
          <w:spacing w:val="-2"/>
          <w:sz w:val="22"/>
          <w:szCs w:val="22"/>
        </w:rPr>
        <w:t>v </w:t>
      </w:r>
      <w:r w:rsidRPr="00CD49C8">
        <w:rPr>
          <w:rFonts w:ascii="Arial" w:hAnsi="Arial" w:cs="Arial"/>
          <w:spacing w:val="-2"/>
          <w:sz w:val="22"/>
          <w:szCs w:val="22"/>
        </w:rPr>
        <w:t>rozsahu stanoveném vyhláškou č. 419/2001 Sb.</w:t>
      </w:r>
      <w:r w:rsidR="00EC176B">
        <w:rPr>
          <w:rFonts w:ascii="Arial" w:hAnsi="Arial" w:cs="Arial"/>
          <w:spacing w:val="-2"/>
          <w:sz w:val="22"/>
          <w:szCs w:val="22"/>
        </w:rPr>
        <w:t>,</w:t>
      </w:r>
      <w:r w:rsidR="00183F42">
        <w:rPr>
          <w:rFonts w:ascii="Arial" w:hAnsi="Arial" w:cs="Arial"/>
          <w:spacing w:val="-2"/>
          <w:sz w:val="22"/>
          <w:szCs w:val="22"/>
        </w:rPr>
        <w:t xml:space="preserve"> </w:t>
      </w:r>
      <w:r w:rsidR="00EC176B">
        <w:rPr>
          <w:rFonts w:ascii="Arial" w:hAnsi="Arial" w:cs="Arial"/>
          <w:spacing w:val="-2"/>
          <w:sz w:val="22"/>
          <w:szCs w:val="22"/>
        </w:rPr>
        <w:t>o rozsahu, struktuře a termínech údajů předkládaných pro vypracování návrhu státního závěrečného účtu a o rozsahu a termínech sestavení návrhů závěrečných účtů kapitol státního rozpočtu</w:t>
      </w:r>
      <w:r w:rsidR="00BD7137" w:rsidRPr="00CD49C8">
        <w:rPr>
          <w:rFonts w:ascii="Arial" w:hAnsi="Arial" w:cs="Arial"/>
          <w:spacing w:val="-2"/>
          <w:sz w:val="22"/>
          <w:szCs w:val="22"/>
        </w:rPr>
        <w:t>,</w:t>
      </w:r>
      <w:r w:rsidRPr="00CD49C8">
        <w:rPr>
          <w:rFonts w:ascii="Arial" w:hAnsi="Arial" w:cs="Arial"/>
          <w:spacing w:val="-2"/>
          <w:sz w:val="22"/>
          <w:szCs w:val="22"/>
        </w:rPr>
        <w:t xml:space="preserve"> </w:t>
      </w:r>
      <w:r w:rsidR="00BD7137" w:rsidRPr="00CD49C8">
        <w:rPr>
          <w:rFonts w:ascii="Arial" w:hAnsi="Arial" w:cs="Arial"/>
          <w:spacing w:val="-2"/>
          <w:sz w:val="22"/>
          <w:szCs w:val="22"/>
        </w:rPr>
        <w:t xml:space="preserve">tj. </w:t>
      </w:r>
      <w:r w:rsidRPr="00CD49C8">
        <w:rPr>
          <w:rFonts w:ascii="Arial" w:hAnsi="Arial" w:cs="Arial"/>
          <w:spacing w:val="-2"/>
          <w:sz w:val="22"/>
          <w:szCs w:val="22"/>
        </w:rPr>
        <w:t>obsahoval průvodní zprávu, povinné číselné sestavy a tabulkové přílohy</w:t>
      </w:r>
      <w:r w:rsidR="00BD7137" w:rsidRPr="00CD49C8">
        <w:rPr>
          <w:rFonts w:ascii="Arial" w:hAnsi="Arial" w:cs="Arial"/>
          <w:spacing w:val="-2"/>
          <w:sz w:val="22"/>
          <w:szCs w:val="22"/>
        </w:rPr>
        <w:t xml:space="preserve">, </w:t>
      </w:r>
      <w:r w:rsidR="00765F23">
        <w:rPr>
          <w:rFonts w:ascii="Arial" w:hAnsi="Arial" w:cs="Arial"/>
          <w:spacing w:val="-2"/>
          <w:sz w:val="22"/>
          <w:szCs w:val="22"/>
        </w:rPr>
        <w:t>s </w:t>
      </w:r>
      <w:r w:rsidR="00F336D3">
        <w:rPr>
          <w:rFonts w:ascii="Arial" w:hAnsi="Arial" w:cs="Arial"/>
          <w:spacing w:val="-2"/>
          <w:sz w:val="22"/>
          <w:szCs w:val="22"/>
        </w:rPr>
        <w:t>jedinou</w:t>
      </w:r>
      <w:r w:rsidR="00BD7137" w:rsidRPr="00CD49C8">
        <w:rPr>
          <w:rFonts w:ascii="Arial" w:hAnsi="Arial" w:cs="Arial"/>
          <w:spacing w:val="-2"/>
          <w:sz w:val="22"/>
          <w:szCs w:val="22"/>
        </w:rPr>
        <w:t xml:space="preserve"> výjimkou</w:t>
      </w:r>
      <w:r w:rsidR="00183F42">
        <w:rPr>
          <w:rFonts w:ascii="Arial" w:hAnsi="Arial" w:cs="Arial"/>
          <w:spacing w:val="-2"/>
          <w:sz w:val="22"/>
          <w:szCs w:val="22"/>
        </w:rPr>
        <w:t xml:space="preserve">: </w:t>
      </w:r>
      <w:r w:rsidR="002B0987">
        <w:rPr>
          <w:rFonts w:ascii="Arial" w:hAnsi="Arial" w:cs="Arial"/>
          <w:spacing w:val="-2"/>
          <w:sz w:val="22"/>
          <w:szCs w:val="22"/>
        </w:rPr>
        <w:t>p</w:t>
      </w:r>
      <w:r w:rsidR="00BD7137" w:rsidRPr="00CD49C8">
        <w:rPr>
          <w:rFonts w:ascii="Arial" w:hAnsi="Arial" w:cs="Arial"/>
          <w:spacing w:val="-2"/>
          <w:sz w:val="22"/>
          <w:szCs w:val="22"/>
        </w:rPr>
        <w:t>růvodní zpráva neobsahovala informaci o</w:t>
      </w:r>
      <w:r w:rsidR="008A32D2">
        <w:rPr>
          <w:rFonts w:ascii="Arial" w:hAnsi="Arial" w:cs="Arial"/>
          <w:spacing w:val="-2"/>
          <w:sz w:val="22"/>
          <w:szCs w:val="22"/>
        </w:rPr>
        <w:t> </w:t>
      </w:r>
      <w:r w:rsidR="00BD7137" w:rsidRPr="00CD49C8">
        <w:rPr>
          <w:rFonts w:ascii="Arial" w:hAnsi="Arial" w:cs="Arial"/>
          <w:spacing w:val="-2"/>
          <w:sz w:val="22"/>
          <w:szCs w:val="22"/>
        </w:rPr>
        <w:t xml:space="preserve">bezúplatných převodech majetku </w:t>
      </w:r>
      <w:r w:rsidR="00765F23">
        <w:rPr>
          <w:rFonts w:ascii="Arial" w:hAnsi="Arial" w:cs="Arial"/>
          <w:spacing w:val="-2"/>
          <w:sz w:val="22"/>
          <w:szCs w:val="22"/>
        </w:rPr>
        <w:t>z </w:t>
      </w:r>
      <w:r w:rsidR="00BD7137" w:rsidRPr="00CD49C8">
        <w:rPr>
          <w:rFonts w:ascii="Arial" w:hAnsi="Arial" w:cs="Arial"/>
          <w:spacing w:val="-2"/>
          <w:sz w:val="22"/>
          <w:szCs w:val="22"/>
        </w:rPr>
        <w:t xml:space="preserve">MŠMT na územní samosprávné celky, přestože </w:t>
      </w:r>
      <w:r w:rsidR="00765F23">
        <w:rPr>
          <w:rFonts w:ascii="Arial" w:hAnsi="Arial" w:cs="Arial"/>
          <w:spacing w:val="-2"/>
          <w:sz w:val="22"/>
          <w:szCs w:val="22"/>
        </w:rPr>
        <w:t>v </w:t>
      </w:r>
      <w:r w:rsidR="00BD7137" w:rsidRPr="00CD49C8">
        <w:rPr>
          <w:rFonts w:ascii="Arial" w:hAnsi="Arial" w:cs="Arial"/>
          <w:spacing w:val="-2"/>
          <w:sz w:val="22"/>
          <w:szCs w:val="22"/>
        </w:rPr>
        <w:t xml:space="preserve">roce 2012 </w:t>
      </w:r>
      <w:r w:rsidR="00765F23">
        <w:rPr>
          <w:rFonts w:ascii="Arial" w:hAnsi="Arial" w:cs="Arial"/>
          <w:spacing w:val="-2"/>
          <w:sz w:val="22"/>
          <w:szCs w:val="22"/>
        </w:rPr>
        <w:t>k </w:t>
      </w:r>
      <w:r w:rsidR="00BD7137" w:rsidRPr="00CD49C8">
        <w:rPr>
          <w:rFonts w:ascii="Arial" w:hAnsi="Arial" w:cs="Arial"/>
          <w:spacing w:val="-2"/>
          <w:sz w:val="22"/>
          <w:szCs w:val="22"/>
        </w:rPr>
        <w:t xml:space="preserve">těmto převodům docházelo. MŠMT </w:t>
      </w:r>
      <w:r w:rsidR="00765F23">
        <w:rPr>
          <w:rFonts w:ascii="Arial" w:hAnsi="Arial" w:cs="Arial"/>
          <w:spacing w:val="-2"/>
          <w:sz w:val="22"/>
          <w:szCs w:val="22"/>
        </w:rPr>
        <w:t>v </w:t>
      </w:r>
      <w:r w:rsidR="00BD7137" w:rsidRPr="00CD49C8">
        <w:rPr>
          <w:rFonts w:ascii="Arial" w:hAnsi="Arial" w:cs="Arial"/>
          <w:spacing w:val="-2"/>
          <w:sz w:val="22"/>
          <w:szCs w:val="22"/>
        </w:rPr>
        <w:t>roce 2012 realizovalo</w:t>
      </w:r>
      <w:r w:rsidR="00F336D3">
        <w:rPr>
          <w:rFonts w:ascii="Arial" w:hAnsi="Arial" w:cs="Arial"/>
          <w:spacing w:val="-2"/>
          <w:sz w:val="22"/>
          <w:szCs w:val="22"/>
        </w:rPr>
        <w:t xml:space="preserve"> </w:t>
      </w:r>
      <w:r w:rsidR="00765F23">
        <w:rPr>
          <w:rFonts w:ascii="Arial" w:hAnsi="Arial" w:cs="Arial"/>
          <w:spacing w:val="-2"/>
          <w:sz w:val="22"/>
          <w:szCs w:val="22"/>
        </w:rPr>
        <w:t>v </w:t>
      </w:r>
      <w:r w:rsidR="00F336D3">
        <w:rPr>
          <w:rFonts w:ascii="Arial" w:hAnsi="Arial" w:cs="Arial"/>
          <w:spacing w:val="-2"/>
          <w:sz w:val="22"/>
          <w:szCs w:val="22"/>
        </w:rPr>
        <w:t xml:space="preserve">souladu </w:t>
      </w:r>
      <w:r w:rsidR="00765F23">
        <w:rPr>
          <w:rFonts w:ascii="Arial" w:hAnsi="Arial" w:cs="Arial"/>
          <w:spacing w:val="-2"/>
          <w:sz w:val="22"/>
          <w:szCs w:val="22"/>
        </w:rPr>
        <w:t>s </w:t>
      </w:r>
      <w:r w:rsidR="00F336D3">
        <w:rPr>
          <w:rFonts w:ascii="Arial" w:hAnsi="Arial" w:cs="Arial"/>
          <w:spacing w:val="-2"/>
          <w:sz w:val="22"/>
          <w:szCs w:val="22"/>
        </w:rPr>
        <w:t>§ 22 odst. 2 zákona č. 219/2000 Sb.,</w:t>
      </w:r>
      <w:r w:rsidR="005958C5">
        <w:rPr>
          <w:rFonts w:ascii="Arial" w:hAnsi="Arial" w:cs="Arial"/>
          <w:spacing w:val="-2"/>
          <w:sz w:val="22"/>
          <w:szCs w:val="22"/>
        </w:rPr>
        <w:t xml:space="preserve"> o majetku České republiky a</w:t>
      </w:r>
      <w:r w:rsidR="00A478C1">
        <w:rPr>
          <w:rFonts w:ascii="Arial" w:hAnsi="Arial" w:cs="Arial"/>
          <w:spacing w:val="-2"/>
          <w:sz w:val="22"/>
          <w:szCs w:val="22"/>
        </w:rPr>
        <w:t> </w:t>
      </w:r>
      <w:r w:rsidR="005958C5">
        <w:rPr>
          <w:rFonts w:ascii="Arial" w:hAnsi="Arial" w:cs="Arial"/>
          <w:spacing w:val="-2"/>
          <w:sz w:val="22"/>
          <w:szCs w:val="22"/>
        </w:rPr>
        <w:t xml:space="preserve">jejím vystupování </w:t>
      </w:r>
      <w:r w:rsidR="00765F23">
        <w:rPr>
          <w:rFonts w:ascii="Arial" w:hAnsi="Arial" w:cs="Arial"/>
          <w:spacing w:val="-2"/>
          <w:sz w:val="22"/>
          <w:szCs w:val="22"/>
        </w:rPr>
        <w:t>v </w:t>
      </w:r>
      <w:r w:rsidR="005958C5">
        <w:rPr>
          <w:rFonts w:ascii="Arial" w:hAnsi="Arial" w:cs="Arial"/>
          <w:spacing w:val="-2"/>
          <w:sz w:val="22"/>
          <w:szCs w:val="22"/>
        </w:rPr>
        <w:t>právních vztazích</w:t>
      </w:r>
      <w:r w:rsidR="003C448C">
        <w:rPr>
          <w:rFonts w:ascii="Arial" w:hAnsi="Arial" w:cs="Arial"/>
          <w:spacing w:val="-2"/>
          <w:sz w:val="22"/>
          <w:szCs w:val="22"/>
        </w:rPr>
        <w:t>,</w:t>
      </w:r>
      <w:r w:rsidR="00BD7137" w:rsidRPr="00CD49C8">
        <w:rPr>
          <w:rFonts w:ascii="Arial" w:hAnsi="Arial" w:cs="Arial"/>
          <w:spacing w:val="-2"/>
          <w:sz w:val="22"/>
          <w:szCs w:val="22"/>
        </w:rPr>
        <w:t xml:space="preserve"> bezúplatné převody</w:t>
      </w:r>
      <w:r w:rsidR="00121517">
        <w:rPr>
          <w:rFonts w:ascii="Arial" w:hAnsi="Arial" w:cs="Arial"/>
          <w:spacing w:val="-2"/>
          <w:sz w:val="22"/>
          <w:szCs w:val="22"/>
        </w:rPr>
        <w:t xml:space="preserve"> pozemků o</w:t>
      </w:r>
      <w:r w:rsidR="005F3102">
        <w:rPr>
          <w:rFonts w:ascii="Arial" w:hAnsi="Arial" w:cs="Arial"/>
          <w:spacing w:val="-2"/>
          <w:sz w:val="22"/>
          <w:szCs w:val="22"/>
        </w:rPr>
        <w:t xml:space="preserve"> </w:t>
      </w:r>
      <w:r w:rsidR="00121517">
        <w:rPr>
          <w:rFonts w:ascii="Arial" w:hAnsi="Arial" w:cs="Arial"/>
          <w:spacing w:val="-2"/>
          <w:sz w:val="22"/>
          <w:szCs w:val="22"/>
        </w:rPr>
        <w:t>celkové výměře 4</w:t>
      </w:r>
      <w:r w:rsidR="002B51EB">
        <w:rPr>
          <w:rFonts w:ascii="Arial" w:hAnsi="Arial" w:cs="Arial"/>
          <w:spacing w:val="-2"/>
          <w:sz w:val="22"/>
          <w:szCs w:val="22"/>
        </w:rPr>
        <w:t> </w:t>
      </w:r>
      <w:r w:rsidR="00121517">
        <w:rPr>
          <w:rFonts w:ascii="Arial" w:hAnsi="Arial" w:cs="Arial"/>
          <w:spacing w:val="-2"/>
          <w:sz w:val="22"/>
          <w:szCs w:val="22"/>
        </w:rPr>
        <w:t>124</w:t>
      </w:r>
      <w:r w:rsidR="002B51EB">
        <w:rPr>
          <w:rFonts w:ascii="Arial" w:hAnsi="Arial" w:cs="Arial"/>
          <w:spacing w:val="-2"/>
          <w:sz w:val="22"/>
          <w:szCs w:val="22"/>
        </w:rPr>
        <w:t> </w:t>
      </w:r>
      <w:r w:rsidR="00121517">
        <w:rPr>
          <w:rFonts w:ascii="Arial" w:hAnsi="Arial" w:cs="Arial"/>
          <w:spacing w:val="-2"/>
          <w:sz w:val="22"/>
          <w:szCs w:val="22"/>
        </w:rPr>
        <w:t>m</w:t>
      </w:r>
      <w:r w:rsidR="00121517">
        <w:rPr>
          <w:rFonts w:ascii="Arial" w:hAnsi="Arial" w:cs="Arial"/>
          <w:spacing w:val="-2"/>
          <w:sz w:val="22"/>
          <w:szCs w:val="22"/>
          <w:vertAlign w:val="superscript"/>
        </w:rPr>
        <w:t>2</w:t>
      </w:r>
      <w:r w:rsidR="00121517">
        <w:rPr>
          <w:rFonts w:ascii="Arial" w:hAnsi="Arial" w:cs="Arial"/>
          <w:spacing w:val="-2"/>
          <w:sz w:val="22"/>
          <w:szCs w:val="22"/>
          <w:vertAlign w:val="subscript"/>
        </w:rPr>
        <w:t xml:space="preserve"> </w:t>
      </w:r>
      <w:r w:rsidR="00121517">
        <w:rPr>
          <w:rFonts w:ascii="Arial" w:hAnsi="Arial" w:cs="Arial"/>
          <w:spacing w:val="-2"/>
          <w:sz w:val="22"/>
          <w:szCs w:val="22"/>
        </w:rPr>
        <w:t xml:space="preserve">a jedné budovy </w:t>
      </w:r>
      <w:r w:rsidR="003C448C">
        <w:rPr>
          <w:rFonts w:ascii="Arial" w:hAnsi="Arial" w:cs="Arial"/>
          <w:spacing w:val="-2"/>
          <w:sz w:val="22"/>
          <w:szCs w:val="22"/>
        </w:rPr>
        <w:t xml:space="preserve">– </w:t>
      </w:r>
      <w:r w:rsidR="00121517">
        <w:rPr>
          <w:rFonts w:ascii="Arial" w:hAnsi="Arial" w:cs="Arial"/>
          <w:spacing w:val="-2"/>
          <w:sz w:val="22"/>
          <w:szCs w:val="22"/>
        </w:rPr>
        <w:t xml:space="preserve">vše </w:t>
      </w:r>
      <w:r w:rsidR="00765F23">
        <w:rPr>
          <w:rFonts w:ascii="Arial" w:hAnsi="Arial" w:cs="Arial"/>
          <w:spacing w:val="-2"/>
          <w:sz w:val="22"/>
          <w:szCs w:val="22"/>
        </w:rPr>
        <w:t>v </w:t>
      </w:r>
      <w:r w:rsidR="00121517">
        <w:rPr>
          <w:rFonts w:ascii="Arial" w:hAnsi="Arial" w:cs="Arial"/>
          <w:spacing w:val="-2"/>
          <w:sz w:val="22"/>
          <w:szCs w:val="22"/>
        </w:rPr>
        <w:t>celkové účetní hodnotě 12</w:t>
      </w:r>
      <w:r w:rsidR="005F3102">
        <w:rPr>
          <w:rFonts w:ascii="Arial" w:hAnsi="Arial" w:cs="Arial"/>
          <w:spacing w:val="-2"/>
          <w:sz w:val="22"/>
          <w:szCs w:val="22"/>
        </w:rPr>
        <w:t xml:space="preserve"> </w:t>
      </w:r>
      <w:r w:rsidR="00121517">
        <w:rPr>
          <w:rFonts w:ascii="Arial" w:hAnsi="Arial" w:cs="Arial"/>
          <w:spacing w:val="-2"/>
          <w:sz w:val="22"/>
          <w:szCs w:val="22"/>
        </w:rPr>
        <w:t>238</w:t>
      </w:r>
      <w:r w:rsidR="005F3102">
        <w:rPr>
          <w:rFonts w:ascii="Arial" w:hAnsi="Arial" w:cs="Arial"/>
          <w:spacing w:val="-2"/>
          <w:sz w:val="22"/>
          <w:szCs w:val="22"/>
        </w:rPr>
        <w:t xml:space="preserve"> </w:t>
      </w:r>
      <w:r w:rsidR="00121517">
        <w:rPr>
          <w:rFonts w:ascii="Arial" w:hAnsi="Arial" w:cs="Arial"/>
          <w:spacing w:val="-2"/>
          <w:sz w:val="22"/>
          <w:szCs w:val="22"/>
        </w:rPr>
        <w:t>044,60 Kč.</w:t>
      </w:r>
      <w:r w:rsidR="00BD7137" w:rsidRPr="00CD49C8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264159" w:rsidRPr="0015047E" w:rsidRDefault="00264159" w:rsidP="00264159">
      <w:pPr>
        <w:jc w:val="both"/>
        <w:rPr>
          <w:rFonts w:ascii="Arial" w:hAnsi="Arial" w:cs="Arial"/>
          <w:bCs/>
          <w:sz w:val="22"/>
          <w:szCs w:val="22"/>
          <w:highlight w:val="green"/>
        </w:rPr>
      </w:pPr>
    </w:p>
    <w:p w:rsidR="009C3547" w:rsidRPr="005D4E1F" w:rsidRDefault="0076257E" w:rsidP="00E50173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D4E1F">
        <w:rPr>
          <w:rFonts w:ascii="Arial" w:hAnsi="Arial" w:cs="Arial"/>
          <w:b/>
          <w:sz w:val="22"/>
          <w:szCs w:val="22"/>
        </w:rPr>
        <w:t xml:space="preserve">5. </w:t>
      </w:r>
      <w:r w:rsidR="009C3547" w:rsidRPr="005D4E1F">
        <w:rPr>
          <w:rFonts w:ascii="Arial" w:hAnsi="Arial" w:cs="Arial"/>
          <w:b/>
          <w:sz w:val="22"/>
          <w:szCs w:val="22"/>
        </w:rPr>
        <w:t>Kontrola opatření</w:t>
      </w:r>
      <w:r w:rsidR="00582178">
        <w:rPr>
          <w:rFonts w:ascii="Arial" w:hAnsi="Arial" w:cs="Arial"/>
          <w:b/>
          <w:sz w:val="22"/>
          <w:szCs w:val="22"/>
        </w:rPr>
        <w:t xml:space="preserve"> přijatých MŠMT </w:t>
      </w:r>
      <w:r w:rsidR="00EC176B">
        <w:rPr>
          <w:rFonts w:ascii="Arial" w:hAnsi="Arial" w:cs="Arial"/>
          <w:b/>
          <w:sz w:val="22"/>
          <w:szCs w:val="22"/>
        </w:rPr>
        <w:t>k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="00EC176B">
        <w:rPr>
          <w:rFonts w:ascii="Arial" w:hAnsi="Arial" w:cs="Arial"/>
          <w:b/>
          <w:sz w:val="22"/>
          <w:szCs w:val="22"/>
        </w:rPr>
        <w:t xml:space="preserve">nápravě </w:t>
      </w:r>
      <w:r w:rsidR="003C448C">
        <w:rPr>
          <w:rFonts w:ascii="Arial" w:hAnsi="Arial" w:cs="Arial"/>
          <w:b/>
          <w:sz w:val="22"/>
          <w:szCs w:val="22"/>
        </w:rPr>
        <w:t xml:space="preserve">nedostatků </w:t>
      </w:r>
      <w:r w:rsidR="00EC176B">
        <w:rPr>
          <w:rFonts w:ascii="Arial" w:hAnsi="Arial" w:cs="Arial"/>
          <w:b/>
          <w:sz w:val="22"/>
          <w:szCs w:val="22"/>
        </w:rPr>
        <w:t>zjištěn</w:t>
      </w:r>
      <w:r w:rsidR="003C448C">
        <w:rPr>
          <w:rFonts w:ascii="Arial" w:hAnsi="Arial" w:cs="Arial"/>
          <w:b/>
          <w:sz w:val="22"/>
          <w:szCs w:val="22"/>
        </w:rPr>
        <w:t xml:space="preserve">ých </w:t>
      </w:r>
      <w:r w:rsidR="009C3547" w:rsidRPr="005D4E1F">
        <w:rPr>
          <w:rFonts w:ascii="Arial" w:hAnsi="Arial" w:cs="Arial"/>
          <w:b/>
          <w:sz w:val="22"/>
          <w:szCs w:val="22"/>
        </w:rPr>
        <w:t>kontrolní akc</w:t>
      </w:r>
      <w:r w:rsidR="003C448C">
        <w:rPr>
          <w:rFonts w:ascii="Arial" w:hAnsi="Arial" w:cs="Arial"/>
          <w:b/>
          <w:sz w:val="22"/>
          <w:szCs w:val="22"/>
        </w:rPr>
        <w:t>í</w:t>
      </w:r>
      <w:r w:rsidR="009C3547" w:rsidRPr="005D4E1F">
        <w:rPr>
          <w:rFonts w:ascii="Arial" w:hAnsi="Arial" w:cs="Arial"/>
          <w:b/>
          <w:sz w:val="22"/>
          <w:szCs w:val="22"/>
        </w:rPr>
        <w:t xml:space="preserve"> č.</w:t>
      </w:r>
      <w:r w:rsidR="009C6536">
        <w:rPr>
          <w:rFonts w:ascii="Arial" w:hAnsi="Arial" w:cs="Arial"/>
          <w:b/>
          <w:sz w:val="22"/>
          <w:szCs w:val="22"/>
        </w:rPr>
        <w:t> </w:t>
      </w:r>
      <w:r w:rsidR="00B805DC" w:rsidRPr="005D4E1F">
        <w:rPr>
          <w:rFonts w:ascii="Arial" w:hAnsi="Arial" w:cs="Arial"/>
          <w:b/>
          <w:sz w:val="22"/>
          <w:szCs w:val="22"/>
        </w:rPr>
        <w:t>1</w:t>
      </w:r>
      <w:r w:rsidR="00681D7F" w:rsidRPr="005D4E1F">
        <w:rPr>
          <w:rFonts w:ascii="Arial" w:hAnsi="Arial" w:cs="Arial"/>
          <w:b/>
          <w:sz w:val="22"/>
          <w:szCs w:val="22"/>
        </w:rPr>
        <w:t>1</w:t>
      </w:r>
      <w:r w:rsidR="009C3547" w:rsidRPr="005D4E1F">
        <w:rPr>
          <w:rFonts w:ascii="Arial" w:hAnsi="Arial" w:cs="Arial"/>
          <w:b/>
          <w:sz w:val="22"/>
          <w:szCs w:val="22"/>
        </w:rPr>
        <w:t>/2</w:t>
      </w:r>
      <w:r w:rsidR="00681D7F" w:rsidRPr="005D4E1F">
        <w:rPr>
          <w:rFonts w:ascii="Arial" w:hAnsi="Arial" w:cs="Arial"/>
          <w:b/>
          <w:sz w:val="22"/>
          <w:szCs w:val="22"/>
        </w:rPr>
        <w:t>9</w:t>
      </w:r>
    </w:p>
    <w:p w:rsidR="009C3547" w:rsidRPr="0015047E" w:rsidRDefault="009C3547" w:rsidP="000032DA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027366" w:rsidRDefault="00765F23" w:rsidP="00003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r w:rsidR="009C3547" w:rsidRPr="005D4E1F">
        <w:rPr>
          <w:rFonts w:ascii="Arial" w:hAnsi="Arial" w:cs="Arial"/>
          <w:sz w:val="22"/>
          <w:szCs w:val="22"/>
        </w:rPr>
        <w:t xml:space="preserve">nápravě </w:t>
      </w:r>
      <w:r w:rsidR="003C448C">
        <w:rPr>
          <w:rFonts w:ascii="Arial" w:hAnsi="Arial" w:cs="Arial"/>
          <w:sz w:val="22"/>
          <w:szCs w:val="22"/>
        </w:rPr>
        <w:t xml:space="preserve">nedostatků </w:t>
      </w:r>
      <w:r w:rsidR="005D4E1F" w:rsidRPr="005D4E1F">
        <w:rPr>
          <w:rFonts w:ascii="Arial" w:hAnsi="Arial" w:cs="Arial"/>
          <w:sz w:val="22"/>
          <w:szCs w:val="22"/>
        </w:rPr>
        <w:t>zjištěn</w:t>
      </w:r>
      <w:r w:rsidR="003C448C">
        <w:rPr>
          <w:rFonts w:ascii="Arial" w:hAnsi="Arial" w:cs="Arial"/>
          <w:sz w:val="22"/>
          <w:szCs w:val="22"/>
        </w:rPr>
        <w:t>ých</w:t>
      </w:r>
      <w:r w:rsidR="005D4E1F" w:rsidRPr="005D4E1F">
        <w:rPr>
          <w:rFonts w:ascii="Arial" w:hAnsi="Arial" w:cs="Arial"/>
          <w:sz w:val="22"/>
          <w:szCs w:val="22"/>
        </w:rPr>
        <w:t xml:space="preserve"> kontrolní akc</w:t>
      </w:r>
      <w:r w:rsidR="003C448C">
        <w:rPr>
          <w:rFonts w:ascii="Arial" w:hAnsi="Arial" w:cs="Arial"/>
          <w:sz w:val="22"/>
          <w:szCs w:val="22"/>
        </w:rPr>
        <w:t>í</w:t>
      </w:r>
      <w:r w:rsidR="005D4E1F" w:rsidRPr="005D4E1F">
        <w:rPr>
          <w:rFonts w:ascii="Arial" w:hAnsi="Arial" w:cs="Arial"/>
          <w:sz w:val="22"/>
          <w:szCs w:val="22"/>
        </w:rPr>
        <w:t xml:space="preserve"> </w:t>
      </w:r>
      <w:r w:rsidR="003C448C">
        <w:rPr>
          <w:rFonts w:ascii="Arial" w:hAnsi="Arial" w:cs="Arial"/>
          <w:sz w:val="22"/>
          <w:szCs w:val="22"/>
        </w:rPr>
        <w:t xml:space="preserve">NKÚ </w:t>
      </w:r>
      <w:r w:rsidR="005D4E1F" w:rsidRPr="005D4E1F">
        <w:rPr>
          <w:rFonts w:ascii="Arial" w:hAnsi="Arial" w:cs="Arial"/>
          <w:sz w:val="22"/>
          <w:szCs w:val="22"/>
        </w:rPr>
        <w:t xml:space="preserve">č. 11/29 přijalo </w:t>
      </w:r>
      <w:r w:rsidR="009C3547" w:rsidRPr="005D4E1F">
        <w:rPr>
          <w:rFonts w:ascii="Arial" w:hAnsi="Arial" w:cs="Arial"/>
          <w:sz w:val="22"/>
          <w:szCs w:val="22"/>
        </w:rPr>
        <w:t>MŠMT</w:t>
      </w:r>
      <w:r w:rsidR="005D4E1F" w:rsidRPr="005D4E1F">
        <w:rPr>
          <w:rFonts w:ascii="Arial" w:hAnsi="Arial" w:cs="Arial"/>
          <w:sz w:val="22"/>
          <w:szCs w:val="22"/>
        </w:rPr>
        <w:t xml:space="preserve"> řadu opatření, která přispěla</w:t>
      </w:r>
      <w:r w:rsidR="00E10762">
        <w:rPr>
          <w:rFonts w:ascii="Arial" w:hAnsi="Arial" w:cs="Arial"/>
          <w:sz w:val="22"/>
          <w:szCs w:val="22"/>
        </w:rPr>
        <w:t xml:space="preserve"> </w:t>
      </w:r>
      <w:r w:rsidR="005D4E1F" w:rsidRPr="005D4E1F">
        <w:rPr>
          <w:rFonts w:ascii="Arial" w:hAnsi="Arial" w:cs="Arial"/>
          <w:sz w:val="22"/>
          <w:szCs w:val="22"/>
        </w:rPr>
        <w:t>k odstranění většiny identifikovaných nesprávností</w:t>
      </w:r>
      <w:r w:rsidR="00E10762">
        <w:rPr>
          <w:rFonts w:ascii="Arial" w:hAnsi="Arial" w:cs="Arial"/>
          <w:sz w:val="22"/>
          <w:szCs w:val="22"/>
        </w:rPr>
        <w:t>.</w:t>
      </w:r>
      <w:r w:rsidR="00027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</w:t>
      </w:r>
      <w:r w:rsidR="00027366">
        <w:rPr>
          <w:rFonts w:ascii="Arial" w:hAnsi="Arial" w:cs="Arial"/>
          <w:sz w:val="22"/>
          <w:szCs w:val="22"/>
        </w:rPr>
        <w:t>kontrolovaném období 2012</w:t>
      </w:r>
      <w:r w:rsidR="00E10762">
        <w:rPr>
          <w:rFonts w:ascii="Arial" w:hAnsi="Arial" w:cs="Arial"/>
          <w:sz w:val="22"/>
          <w:szCs w:val="22"/>
        </w:rPr>
        <w:t xml:space="preserve"> </w:t>
      </w:r>
      <w:r w:rsidR="00027366">
        <w:rPr>
          <w:rFonts w:ascii="Arial" w:hAnsi="Arial" w:cs="Arial"/>
          <w:sz w:val="22"/>
          <w:szCs w:val="22"/>
        </w:rPr>
        <w:t xml:space="preserve">přetrvávaly některé </w:t>
      </w:r>
      <w:r w:rsidR="00EC176B">
        <w:rPr>
          <w:rFonts w:ascii="Arial" w:hAnsi="Arial" w:cs="Arial"/>
          <w:sz w:val="22"/>
          <w:szCs w:val="22"/>
        </w:rPr>
        <w:t>opakující se</w:t>
      </w:r>
      <w:r w:rsidR="00027366">
        <w:rPr>
          <w:rFonts w:ascii="Arial" w:hAnsi="Arial" w:cs="Arial"/>
          <w:sz w:val="22"/>
          <w:szCs w:val="22"/>
        </w:rPr>
        <w:t xml:space="preserve"> nedostatky:</w:t>
      </w:r>
    </w:p>
    <w:p w:rsidR="00027366" w:rsidRPr="0070629B" w:rsidRDefault="00027366" w:rsidP="0070629B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0629B">
        <w:rPr>
          <w:rFonts w:ascii="Arial" w:hAnsi="Arial" w:cs="Arial"/>
          <w:sz w:val="22"/>
          <w:szCs w:val="22"/>
        </w:rPr>
        <w:t xml:space="preserve">nevykazování podmíněných závazků vyplývajících </w:t>
      </w:r>
      <w:r w:rsidR="00765F23">
        <w:rPr>
          <w:rFonts w:ascii="Arial" w:hAnsi="Arial" w:cs="Arial"/>
          <w:sz w:val="22"/>
          <w:szCs w:val="22"/>
        </w:rPr>
        <w:t>z </w:t>
      </w:r>
      <w:r w:rsidRPr="0070629B">
        <w:rPr>
          <w:rFonts w:ascii="Arial" w:hAnsi="Arial" w:cs="Arial"/>
          <w:sz w:val="22"/>
          <w:szCs w:val="22"/>
        </w:rPr>
        <w:t xml:space="preserve">dlouhodobých i krátkodobých smluv v účetní závěrce a nedostatečná inventarizace </w:t>
      </w:r>
      <w:r w:rsidR="00765F23">
        <w:rPr>
          <w:rFonts w:ascii="Arial" w:hAnsi="Arial" w:cs="Arial"/>
          <w:sz w:val="22"/>
          <w:szCs w:val="22"/>
        </w:rPr>
        <w:t>v </w:t>
      </w:r>
      <w:r w:rsidRPr="0070629B">
        <w:rPr>
          <w:rFonts w:ascii="Arial" w:hAnsi="Arial" w:cs="Arial"/>
          <w:sz w:val="22"/>
          <w:szCs w:val="22"/>
        </w:rPr>
        <w:t xml:space="preserve">této oblasti, </w:t>
      </w:r>
    </w:p>
    <w:p w:rsidR="00027366" w:rsidRPr="0070629B" w:rsidRDefault="00027366" w:rsidP="0070629B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0629B">
        <w:rPr>
          <w:rFonts w:ascii="Arial" w:hAnsi="Arial" w:cs="Arial"/>
          <w:sz w:val="22"/>
          <w:szCs w:val="22"/>
        </w:rPr>
        <w:t xml:space="preserve">neprovádění fyzické inventury </w:t>
      </w:r>
      <w:r w:rsidR="0020166D">
        <w:rPr>
          <w:rFonts w:ascii="Arial" w:hAnsi="Arial" w:cs="Arial"/>
          <w:sz w:val="22"/>
          <w:szCs w:val="22"/>
        </w:rPr>
        <w:t xml:space="preserve">najatého </w:t>
      </w:r>
      <w:r w:rsidRPr="0070629B">
        <w:rPr>
          <w:rFonts w:ascii="Arial" w:hAnsi="Arial" w:cs="Arial"/>
          <w:sz w:val="22"/>
          <w:szCs w:val="22"/>
        </w:rPr>
        <w:t>majetku</w:t>
      </w:r>
      <w:r w:rsidR="0020166D">
        <w:rPr>
          <w:rFonts w:ascii="Arial" w:hAnsi="Arial" w:cs="Arial"/>
          <w:sz w:val="22"/>
          <w:szCs w:val="22"/>
        </w:rPr>
        <w:t xml:space="preserve"> nacházejícího se </w:t>
      </w:r>
      <w:r w:rsidR="00765F23">
        <w:rPr>
          <w:rFonts w:ascii="Arial" w:hAnsi="Arial" w:cs="Arial"/>
          <w:sz w:val="22"/>
          <w:szCs w:val="22"/>
        </w:rPr>
        <w:t>v </w:t>
      </w:r>
      <w:r w:rsidR="0020166D">
        <w:rPr>
          <w:rFonts w:ascii="Arial" w:hAnsi="Arial" w:cs="Arial"/>
          <w:sz w:val="22"/>
          <w:szCs w:val="22"/>
        </w:rPr>
        <w:t>budovách, ke kterým má MŠMT příslušnost hospodařit</w:t>
      </w:r>
      <w:r w:rsidRPr="0070629B">
        <w:rPr>
          <w:rFonts w:ascii="Arial" w:hAnsi="Arial" w:cs="Arial"/>
          <w:sz w:val="22"/>
          <w:szCs w:val="22"/>
        </w:rPr>
        <w:t>,</w:t>
      </w:r>
    </w:p>
    <w:p w:rsidR="00027366" w:rsidRPr="0070629B" w:rsidRDefault="00027366" w:rsidP="0070629B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0629B">
        <w:rPr>
          <w:rFonts w:ascii="Arial" w:hAnsi="Arial" w:cs="Arial"/>
          <w:sz w:val="22"/>
          <w:szCs w:val="22"/>
        </w:rPr>
        <w:t xml:space="preserve">nesprávná klasifikace </w:t>
      </w:r>
      <w:r w:rsidR="00EF51D3" w:rsidRPr="0070629B">
        <w:rPr>
          <w:rFonts w:ascii="Arial" w:hAnsi="Arial" w:cs="Arial"/>
          <w:sz w:val="22"/>
          <w:szCs w:val="22"/>
        </w:rPr>
        <w:t xml:space="preserve">rozpočtových </w:t>
      </w:r>
      <w:r w:rsidRPr="0070629B">
        <w:rPr>
          <w:rFonts w:ascii="Arial" w:hAnsi="Arial" w:cs="Arial"/>
          <w:sz w:val="22"/>
          <w:szCs w:val="22"/>
        </w:rPr>
        <w:t xml:space="preserve">výdajů za užívání softwarových licencí </w:t>
      </w:r>
      <w:r w:rsidR="00EF51D3" w:rsidRPr="0070629B">
        <w:rPr>
          <w:rFonts w:ascii="Arial" w:hAnsi="Arial" w:cs="Arial"/>
          <w:sz w:val="22"/>
          <w:szCs w:val="22"/>
        </w:rPr>
        <w:t xml:space="preserve">poskytnutých </w:t>
      </w:r>
      <w:r w:rsidRPr="0070629B">
        <w:rPr>
          <w:rFonts w:ascii="Arial" w:hAnsi="Arial" w:cs="Arial"/>
          <w:sz w:val="22"/>
          <w:szCs w:val="22"/>
        </w:rPr>
        <w:t xml:space="preserve">na dobu 1 roku, </w:t>
      </w:r>
    </w:p>
    <w:p w:rsidR="00027366" w:rsidRPr="0070629B" w:rsidRDefault="00027366" w:rsidP="0070629B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0629B">
        <w:rPr>
          <w:rFonts w:ascii="Arial" w:hAnsi="Arial" w:cs="Arial"/>
          <w:sz w:val="22"/>
          <w:szCs w:val="22"/>
        </w:rPr>
        <w:t xml:space="preserve">bezúplatné poskytování prostor a zařízení dodavateli stravovacích služeb </w:t>
      </w:r>
      <w:r w:rsidR="00765F23">
        <w:rPr>
          <w:rFonts w:ascii="Arial" w:hAnsi="Arial" w:cs="Arial"/>
          <w:sz w:val="22"/>
          <w:szCs w:val="22"/>
        </w:rPr>
        <w:t>v </w:t>
      </w:r>
      <w:r w:rsidRPr="0070629B">
        <w:rPr>
          <w:rFonts w:ascii="Arial" w:hAnsi="Arial" w:cs="Arial"/>
          <w:sz w:val="22"/>
          <w:szCs w:val="22"/>
        </w:rPr>
        <w:t>rozporu s</w:t>
      </w:r>
      <w:r w:rsidR="002B51EB">
        <w:rPr>
          <w:rFonts w:ascii="Arial" w:hAnsi="Arial" w:cs="Arial"/>
          <w:sz w:val="22"/>
          <w:szCs w:val="22"/>
        </w:rPr>
        <w:t> </w:t>
      </w:r>
      <w:r w:rsidRPr="0070629B">
        <w:rPr>
          <w:rFonts w:ascii="Arial" w:hAnsi="Arial" w:cs="Arial"/>
          <w:sz w:val="22"/>
          <w:szCs w:val="22"/>
        </w:rPr>
        <w:t>§</w:t>
      </w:r>
      <w:r w:rsidR="002B51EB">
        <w:rPr>
          <w:rFonts w:ascii="Arial" w:hAnsi="Arial" w:cs="Arial"/>
          <w:sz w:val="22"/>
          <w:szCs w:val="22"/>
        </w:rPr>
        <w:t> </w:t>
      </w:r>
      <w:r w:rsidRPr="0070629B">
        <w:rPr>
          <w:rFonts w:ascii="Arial" w:hAnsi="Arial" w:cs="Arial"/>
          <w:sz w:val="22"/>
          <w:szCs w:val="22"/>
        </w:rPr>
        <w:t>27 zákona č. 219/2000 Sb.</w:t>
      </w:r>
      <w:r w:rsidR="00D8654B">
        <w:rPr>
          <w:rFonts w:ascii="Arial" w:hAnsi="Arial" w:cs="Arial"/>
          <w:sz w:val="22"/>
          <w:szCs w:val="22"/>
        </w:rPr>
        <w:t xml:space="preserve">, čímž </w:t>
      </w:r>
      <w:r w:rsidR="00FE7306" w:rsidRPr="0070629B">
        <w:rPr>
          <w:rFonts w:ascii="Arial" w:hAnsi="Arial" w:cs="Arial"/>
          <w:sz w:val="22"/>
          <w:szCs w:val="22"/>
        </w:rPr>
        <w:t xml:space="preserve">MŠMT i </w:t>
      </w:r>
      <w:r w:rsidR="00765F23">
        <w:rPr>
          <w:rFonts w:ascii="Arial" w:hAnsi="Arial" w:cs="Arial"/>
          <w:sz w:val="22"/>
          <w:szCs w:val="22"/>
        </w:rPr>
        <w:t>v </w:t>
      </w:r>
      <w:r w:rsidR="00FE7306" w:rsidRPr="0070629B">
        <w:rPr>
          <w:rFonts w:ascii="Arial" w:hAnsi="Arial" w:cs="Arial"/>
          <w:sz w:val="22"/>
          <w:szCs w:val="22"/>
        </w:rPr>
        <w:t>roce 2012 snižovalo</w:t>
      </w:r>
      <w:r w:rsidR="00D8654B">
        <w:rPr>
          <w:rFonts w:ascii="Arial" w:hAnsi="Arial" w:cs="Arial"/>
          <w:sz w:val="22"/>
          <w:szCs w:val="22"/>
        </w:rPr>
        <w:t xml:space="preserve"> možný</w:t>
      </w:r>
      <w:r w:rsidR="00FE7306" w:rsidRPr="0070629B">
        <w:rPr>
          <w:rFonts w:ascii="Arial" w:hAnsi="Arial" w:cs="Arial"/>
          <w:sz w:val="22"/>
          <w:szCs w:val="22"/>
        </w:rPr>
        <w:t xml:space="preserve"> výnos z tohoto majetku </w:t>
      </w:r>
      <w:r w:rsidR="0020166D">
        <w:rPr>
          <w:rFonts w:ascii="Arial" w:hAnsi="Arial" w:cs="Arial"/>
          <w:sz w:val="22"/>
          <w:szCs w:val="22"/>
        </w:rPr>
        <w:t>státu</w:t>
      </w:r>
      <w:r w:rsidR="00FE7306" w:rsidRPr="0070629B">
        <w:rPr>
          <w:rFonts w:ascii="Arial" w:hAnsi="Arial" w:cs="Arial"/>
          <w:sz w:val="22"/>
          <w:szCs w:val="22"/>
        </w:rPr>
        <w:t>.</w:t>
      </w:r>
    </w:p>
    <w:p w:rsidR="00DC1A2F" w:rsidRDefault="00DC1A2F" w:rsidP="000032DA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DC1A2F" w:rsidRPr="0015047E" w:rsidRDefault="00DC1A2F" w:rsidP="000032DA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984D3D" w:rsidRDefault="00984D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82721" w:rsidRPr="00EA3367" w:rsidRDefault="00282721" w:rsidP="000032DA">
      <w:pPr>
        <w:jc w:val="center"/>
        <w:rPr>
          <w:rFonts w:ascii="Arial" w:hAnsi="Arial" w:cs="Arial"/>
          <w:b/>
        </w:rPr>
      </w:pPr>
      <w:r w:rsidRPr="00EA3367">
        <w:rPr>
          <w:rFonts w:ascii="Arial" w:hAnsi="Arial" w:cs="Arial"/>
          <w:b/>
        </w:rPr>
        <w:lastRenderedPageBreak/>
        <w:t xml:space="preserve">III. </w:t>
      </w:r>
      <w:r w:rsidR="00983A9A" w:rsidRPr="00EA3367">
        <w:rPr>
          <w:rFonts w:ascii="Arial" w:hAnsi="Arial" w:cs="Arial"/>
          <w:b/>
        </w:rPr>
        <w:t>Shrnutí a v</w:t>
      </w:r>
      <w:r w:rsidRPr="00EA3367">
        <w:rPr>
          <w:rFonts w:ascii="Arial" w:hAnsi="Arial" w:cs="Arial"/>
          <w:b/>
        </w:rPr>
        <w:t>yhodnocení</w:t>
      </w:r>
    </w:p>
    <w:p w:rsidR="00303468" w:rsidRPr="0015047E" w:rsidRDefault="00303468" w:rsidP="000032DA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4363AF" w:rsidRPr="0070629B" w:rsidRDefault="002F37FA" w:rsidP="000032DA">
      <w:pPr>
        <w:jc w:val="both"/>
        <w:rPr>
          <w:rFonts w:ascii="Arial" w:hAnsi="Arial" w:cs="Arial"/>
          <w:sz w:val="22"/>
          <w:szCs w:val="22"/>
        </w:rPr>
      </w:pPr>
      <w:r w:rsidRPr="0070629B">
        <w:rPr>
          <w:rFonts w:ascii="Arial" w:hAnsi="Arial" w:cs="Arial"/>
          <w:sz w:val="22"/>
          <w:szCs w:val="22"/>
        </w:rPr>
        <w:t>Kontrolou mělo být prověřeno, zda MŠMT při sestavení závěrečného účtu</w:t>
      </w:r>
      <w:r w:rsidR="00EC176B" w:rsidRPr="0070629B">
        <w:rPr>
          <w:rFonts w:ascii="Arial" w:hAnsi="Arial" w:cs="Arial"/>
          <w:sz w:val="22"/>
          <w:szCs w:val="22"/>
        </w:rPr>
        <w:t>,</w:t>
      </w:r>
      <w:r w:rsidRPr="0070629B">
        <w:rPr>
          <w:rFonts w:ascii="Arial" w:hAnsi="Arial" w:cs="Arial"/>
          <w:sz w:val="22"/>
          <w:szCs w:val="22"/>
        </w:rPr>
        <w:t xml:space="preserve"> při vedení účetnictví a sestavení účetní závěrky a finančních výkazů za rok 2012 postupovalo </w:t>
      </w:r>
      <w:r w:rsidR="00765F23">
        <w:rPr>
          <w:rFonts w:ascii="Arial" w:hAnsi="Arial" w:cs="Arial"/>
          <w:sz w:val="22"/>
          <w:szCs w:val="22"/>
        </w:rPr>
        <w:t>v </w:t>
      </w:r>
      <w:r w:rsidRPr="0070629B">
        <w:rPr>
          <w:rFonts w:ascii="Arial" w:hAnsi="Arial" w:cs="Arial"/>
          <w:sz w:val="22"/>
          <w:szCs w:val="22"/>
        </w:rPr>
        <w:t xml:space="preserve">souladu s příslušnými právními předpisy. </w:t>
      </w:r>
    </w:p>
    <w:p w:rsidR="005D727B" w:rsidRPr="001233B8" w:rsidRDefault="005D727B" w:rsidP="000032DA">
      <w:pPr>
        <w:jc w:val="both"/>
        <w:rPr>
          <w:rFonts w:ascii="Arial" w:hAnsi="Arial" w:cs="Arial"/>
          <w:b/>
          <w:sz w:val="22"/>
          <w:szCs w:val="22"/>
        </w:rPr>
      </w:pPr>
    </w:p>
    <w:p w:rsidR="005D727B" w:rsidRPr="00862FC9" w:rsidRDefault="005D727B" w:rsidP="000032DA">
      <w:pPr>
        <w:jc w:val="both"/>
        <w:rPr>
          <w:rFonts w:ascii="Arial" w:hAnsi="Arial" w:cs="Arial"/>
          <w:sz w:val="22"/>
          <w:szCs w:val="22"/>
        </w:rPr>
      </w:pPr>
      <w:r w:rsidRPr="0070629B">
        <w:rPr>
          <w:rFonts w:ascii="Arial" w:hAnsi="Arial" w:cs="Arial"/>
          <w:sz w:val="22"/>
          <w:szCs w:val="22"/>
        </w:rPr>
        <w:t xml:space="preserve">MŠMT je organizační složkou státu. Organizační složky státu jsou povinny </w:t>
      </w:r>
      <w:r w:rsidR="00765F23">
        <w:rPr>
          <w:rFonts w:ascii="Arial" w:hAnsi="Arial" w:cs="Arial"/>
          <w:sz w:val="22"/>
          <w:szCs w:val="22"/>
        </w:rPr>
        <w:t>v </w:t>
      </w:r>
      <w:r w:rsidRPr="0070629B">
        <w:rPr>
          <w:rFonts w:ascii="Arial" w:hAnsi="Arial" w:cs="Arial"/>
          <w:sz w:val="22"/>
          <w:szCs w:val="22"/>
        </w:rPr>
        <w:t xml:space="preserve">souladu se zákonem o účetnictví účtovat o stavu a pohybu majetku a jiných aktiv, závazků a jiných pasiv, o nákladech a výnosech a o výsledku hospodaření. Informace, které předkládají v účetní závěrce, musí být spolehlivé, srovnatelné, srozumitelné a posuzují se </w:t>
      </w:r>
      <w:r w:rsidR="00765F23">
        <w:rPr>
          <w:rFonts w:ascii="Arial" w:hAnsi="Arial" w:cs="Arial"/>
          <w:sz w:val="22"/>
          <w:szCs w:val="22"/>
        </w:rPr>
        <w:t>z </w:t>
      </w:r>
      <w:r w:rsidRPr="0070629B">
        <w:rPr>
          <w:rFonts w:ascii="Arial" w:hAnsi="Arial" w:cs="Arial"/>
          <w:sz w:val="22"/>
          <w:szCs w:val="22"/>
        </w:rPr>
        <w:t>hlediska</w:t>
      </w:r>
      <w:r w:rsidRPr="00862FC9">
        <w:rPr>
          <w:rFonts w:ascii="Arial" w:hAnsi="Arial" w:cs="Arial"/>
          <w:sz w:val="22"/>
          <w:szCs w:val="22"/>
        </w:rPr>
        <w:t xml:space="preserve"> </w:t>
      </w:r>
      <w:r w:rsidRPr="0070629B">
        <w:rPr>
          <w:rFonts w:ascii="Arial" w:hAnsi="Arial" w:cs="Arial"/>
          <w:sz w:val="22"/>
          <w:szCs w:val="22"/>
        </w:rPr>
        <w:t>významnosti.</w:t>
      </w:r>
      <w:r w:rsidRPr="00862FC9">
        <w:rPr>
          <w:rFonts w:ascii="Arial" w:hAnsi="Arial" w:cs="Arial"/>
          <w:sz w:val="22"/>
          <w:szCs w:val="22"/>
        </w:rPr>
        <w:t xml:space="preserve"> </w:t>
      </w:r>
    </w:p>
    <w:p w:rsidR="00517EF2" w:rsidRPr="007B781C" w:rsidRDefault="00517EF2" w:rsidP="000032DA">
      <w:pPr>
        <w:jc w:val="both"/>
        <w:rPr>
          <w:rFonts w:ascii="Arial" w:hAnsi="Arial" w:cs="Arial"/>
          <w:sz w:val="22"/>
          <w:szCs w:val="22"/>
        </w:rPr>
      </w:pPr>
    </w:p>
    <w:p w:rsidR="00EC176B" w:rsidRDefault="005C1209" w:rsidP="000032DA">
      <w:pPr>
        <w:jc w:val="both"/>
        <w:rPr>
          <w:rFonts w:ascii="Arial" w:hAnsi="Arial" w:cs="Arial"/>
          <w:sz w:val="22"/>
          <w:szCs w:val="22"/>
        </w:rPr>
      </w:pPr>
      <w:r w:rsidRPr="0070629B">
        <w:rPr>
          <w:rFonts w:ascii="Arial" w:hAnsi="Arial" w:cs="Arial"/>
          <w:sz w:val="22"/>
          <w:szCs w:val="22"/>
        </w:rPr>
        <w:t xml:space="preserve">Pro kontrolované období </w:t>
      </w:r>
      <w:r w:rsidR="00EC176B" w:rsidRPr="0070629B">
        <w:rPr>
          <w:rFonts w:ascii="Arial" w:hAnsi="Arial" w:cs="Arial"/>
          <w:sz w:val="22"/>
          <w:szCs w:val="22"/>
        </w:rPr>
        <w:t xml:space="preserve">byl </w:t>
      </w:r>
      <w:r w:rsidR="00765F23">
        <w:rPr>
          <w:rFonts w:ascii="Arial" w:hAnsi="Arial" w:cs="Arial"/>
          <w:sz w:val="22"/>
          <w:szCs w:val="22"/>
        </w:rPr>
        <w:t>s </w:t>
      </w:r>
      <w:r w:rsidR="00EC176B" w:rsidRPr="0070629B">
        <w:rPr>
          <w:rFonts w:ascii="Arial" w:hAnsi="Arial" w:cs="Arial"/>
          <w:sz w:val="22"/>
          <w:szCs w:val="22"/>
        </w:rPr>
        <w:t>účinností od 1. ledna 2012 novelizován zákon o účetnictví, vyhláška č. 410/2009 Sb., vyhláška č. 383/2009 Sb</w:t>
      </w:r>
      <w:r w:rsidR="00E10762" w:rsidRPr="0070629B">
        <w:rPr>
          <w:rFonts w:ascii="Arial" w:hAnsi="Arial" w:cs="Arial"/>
          <w:sz w:val="22"/>
          <w:szCs w:val="22"/>
        </w:rPr>
        <w:t>.</w:t>
      </w:r>
      <w:r w:rsidR="00EC176B" w:rsidRPr="0070629B">
        <w:rPr>
          <w:rFonts w:ascii="Arial" w:hAnsi="Arial" w:cs="Arial"/>
          <w:sz w:val="22"/>
          <w:szCs w:val="22"/>
        </w:rPr>
        <w:t xml:space="preserve"> a vyhl</w:t>
      </w:r>
      <w:r w:rsidR="00E10762" w:rsidRPr="0070629B">
        <w:rPr>
          <w:rFonts w:ascii="Arial" w:hAnsi="Arial" w:cs="Arial"/>
          <w:sz w:val="22"/>
          <w:szCs w:val="22"/>
        </w:rPr>
        <w:t xml:space="preserve">áška </w:t>
      </w:r>
      <w:r w:rsidR="00EC176B" w:rsidRPr="0070629B">
        <w:rPr>
          <w:rFonts w:ascii="Arial" w:hAnsi="Arial" w:cs="Arial"/>
          <w:sz w:val="22"/>
          <w:szCs w:val="22"/>
        </w:rPr>
        <w:t>č</w:t>
      </w:r>
      <w:r w:rsidR="00E10762" w:rsidRPr="0070629B">
        <w:rPr>
          <w:rFonts w:ascii="Arial" w:hAnsi="Arial" w:cs="Arial"/>
          <w:sz w:val="22"/>
          <w:szCs w:val="22"/>
        </w:rPr>
        <w:t>.</w:t>
      </w:r>
      <w:r w:rsidR="00EC176B" w:rsidRPr="0070629B">
        <w:rPr>
          <w:rFonts w:ascii="Arial" w:hAnsi="Arial" w:cs="Arial"/>
          <w:sz w:val="22"/>
          <w:szCs w:val="22"/>
        </w:rPr>
        <w:t xml:space="preserve"> 449/2009 Sb.</w:t>
      </w:r>
    </w:p>
    <w:p w:rsidR="008A32D2" w:rsidRPr="0070629B" w:rsidRDefault="008A32D2" w:rsidP="000032DA">
      <w:pPr>
        <w:jc w:val="both"/>
        <w:rPr>
          <w:rFonts w:ascii="Arial" w:hAnsi="Arial" w:cs="Arial"/>
          <w:sz w:val="22"/>
          <w:szCs w:val="22"/>
        </w:rPr>
      </w:pPr>
    </w:p>
    <w:p w:rsidR="00197DB8" w:rsidRPr="0070629B" w:rsidRDefault="00EC176B" w:rsidP="000032DA">
      <w:pPr>
        <w:jc w:val="both"/>
        <w:rPr>
          <w:rFonts w:ascii="Arial" w:hAnsi="Arial" w:cs="Arial"/>
          <w:sz w:val="22"/>
          <w:szCs w:val="22"/>
        </w:rPr>
      </w:pPr>
      <w:r w:rsidRPr="0070629B">
        <w:rPr>
          <w:rFonts w:ascii="Arial" w:hAnsi="Arial" w:cs="Arial"/>
          <w:sz w:val="22"/>
          <w:szCs w:val="22"/>
        </w:rPr>
        <w:t>Ve vyhlášce č. 410/2009 Sb. není pro účetní období 2012 stanoveno obsahové vymezení celkem 58 syntetických účtů</w:t>
      </w:r>
      <w:r w:rsidR="00BF4370">
        <w:rPr>
          <w:rFonts w:ascii="Arial" w:hAnsi="Arial" w:cs="Arial"/>
          <w:sz w:val="22"/>
          <w:szCs w:val="22"/>
        </w:rPr>
        <w:t>,</w:t>
      </w:r>
      <w:r w:rsidRPr="0070629B">
        <w:rPr>
          <w:rFonts w:ascii="Arial" w:hAnsi="Arial" w:cs="Arial"/>
          <w:sz w:val="22"/>
          <w:szCs w:val="22"/>
        </w:rPr>
        <w:t xml:space="preserve"> tj. 17</w:t>
      </w:r>
      <w:r w:rsidR="00BF4370">
        <w:rPr>
          <w:rFonts w:ascii="Arial" w:hAnsi="Arial" w:cs="Arial"/>
          <w:sz w:val="22"/>
          <w:szCs w:val="22"/>
        </w:rPr>
        <w:t> </w:t>
      </w:r>
      <w:r w:rsidRPr="0070629B">
        <w:rPr>
          <w:rFonts w:ascii="Arial" w:hAnsi="Arial" w:cs="Arial"/>
          <w:sz w:val="22"/>
          <w:szCs w:val="22"/>
        </w:rPr>
        <w:t xml:space="preserve">% účtů směrné účtové osnovy, což může vést </w:t>
      </w:r>
      <w:r w:rsidR="00765F23">
        <w:rPr>
          <w:rFonts w:ascii="Arial" w:hAnsi="Arial" w:cs="Arial"/>
          <w:sz w:val="22"/>
          <w:szCs w:val="22"/>
        </w:rPr>
        <w:t>v </w:t>
      </w:r>
      <w:r w:rsidRPr="0070629B">
        <w:rPr>
          <w:rFonts w:ascii="Arial" w:hAnsi="Arial" w:cs="Arial"/>
          <w:sz w:val="22"/>
          <w:szCs w:val="22"/>
        </w:rPr>
        <w:t xml:space="preserve">některých případech </w:t>
      </w:r>
      <w:r w:rsidR="00765F23">
        <w:rPr>
          <w:rFonts w:ascii="Arial" w:hAnsi="Arial" w:cs="Arial"/>
          <w:sz w:val="22"/>
          <w:szCs w:val="22"/>
        </w:rPr>
        <w:t>k </w:t>
      </w:r>
      <w:r w:rsidRPr="0070629B">
        <w:rPr>
          <w:rFonts w:ascii="Arial" w:hAnsi="Arial" w:cs="Arial"/>
          <w:sz w:val="22"/>
          <w:szCs w:val="22"/>
        </w:rPr>
        <w:t>výkladovým obtížím při volbě správného syntetického účtu. Pro kontrolované období</w:t>
      </w:r>
      <w:r w:rsidR="00E10762" w:rsidRPr="0070629B">
        <w:rPr>
          <w:rFonts w:ascii="Arial" w:hAnsi="Arial" w:cs="Arial"/>
          <w:sz w:val="22"/>
          <w:szCs w:val="22"/>
        </w:rPr>
        <w:t xml:space="preserve"> </w:t>
      </w:r>
      <w:r w:rsidR="005C1209" w:rsidRPr="0070629B">
        <w:rPr>
          <w:rFonts w:ascii="Arial" w:hAnsi="Arial" w:cs="Arial"/>
          <w:sz w:val="22"/>
          <w:szCs w:val="22"/>
        </w:rPr>
        <w:t xml:space="preserve">nebyl vydán žádný nový český účetní standard a </w:t>
      </w:r>
      <w:r w:rsidR="00765F23">
        <w:rPr>
          <w:rFonts w:ascii="Arial" w:hAnsi="Arial" w:cs="Arial"/>
          <w:sz w:val="22"/>
          <w:szCs w:val="22"/>
        </w:rPr>
        <w:t>k </w:t>
      </w:r>
      <w:r w:rsidR="005C1209" w:rsidRPr="0070629B">
        <w:rPr>
          <w:rFonts w:ascii="Arial" w:hAnsi="Arial" w:cs="Arial"/>
          <w:sz w:val="22"/>
          <w:szCs w:val="22"/>
        </w:rPr>
        <w:t xml:space="preserve">dosažení souladu při používání účetních metod a </w:t>
      </w:r>
      <w:r w:rsidR="00765F23">
        <w:rPr>
          <w:rFonts w:ascii="Arial" w:hAnsi="Arial" w:cs="Arial"/>
          <w:sz w:val="22"/>
          <w:szCs w:val="22"/>
        </w:rPr>
        <w:t>k </w:t>
      </w:r>
      <w:r w:rsidR="005C1209" w:rsidRPr="0070629B">
        <w:rPr>
          <w:rFonts w:ascii="Arial" w:hAnsi="Arial" w:cs="Arial"/>
          <w:sz w:val="22"/>
          <w:szCs w:val="22"/>
        </w:rPr>
        <w:t xml:space="preserve">zajištění vyšší míry srovnatelnosti účetních závěrek </w:t>
      </w:r>
      <w:r w:rsidR="00BF4370">
        <w:rPr>
          <w:rFonts w:ascii="Arial" w:hAnsi="Arial" w:cs="Arial"/>
          <w:sz w:val="22"/>
          <w:szCs w:val="22"/>
        </w:rPr>
        <w:t>sestavovaných</w:t>
      </w:r>
      <w:r w:rsidR="005C1209" w:rsidRPr="0070629B">
        <w:rPr>
          <w:rFonts w:ascii="Arial" w:hAnsi="Arial" w:cs="Arial"/>
          <w:sz w:val="22"/>
          <w:szCs w:val="22"/>
        </w:rPr>
        <w:t xml:space="preserve"> někter</w:t>
      </w:r>
      <w:r w:rsidR="00BF4370">
        <w:rPr>
          <w:rFonts w:ascii="Arial" w:hAnsi="Arial" w:cs="Arial"/>
          <w:sz w:val="22"/>
          <w:szCs w:val="22"/>
        </w:rPr>
        <w:t>ými</w:t>
      </w:r>
      <w:r w:rsidR="005C1209" w:rsidRPr="0070629B">
        <w:rPr>
          <w:rFonts w:ascii="Arial" w:hAnsi="Arial" w:cs="Arial"/>
          <w:sz w:val="22"/>
          <w:szCs w:val="22"/>
        </w:rPr>
        <w:t xml:space="preserve"> vybran</w:t>
      </w:r>
      <w:r w:rsidR="00BF4370">
        <w:rPr>
          <w:rFonts w:ascii="Arial" w:hAnsi="Arial" w:cs="Arial"/>
          <w:sz w:val="22"/>
          <w:szCs w:val="22"/>
        </w:rPr>
        <w:t>ými</w:t>
      </w:r>
      <w:r w:rsidR="005C1209" w:rsidRPr="0070629B">
        <w:rPr>
          <w:rFonts w:ascii="Arial" w:hAnsi="Arial" w:cs="Arial"/>
          <w:sz w:val="22"/>
          <w:szCs w:val="22"/>
        </w:rPr>
        <w:t xml:space="preserve"> účetní</w:t>
      </w:r>
      <w:r w:rsidR="00BF4370">
        <w:rPr>
          <w:rFonts w:ascii="Arial" w:hAnsi="Arial" w:cs="Arial"/>
          <w:sz w:val="22"/>
          <w:szCs w:val="22"/>
        </w:rPr>
        <w:t>mi</w:t>
      </w:r>
      <w:r w:rsidR="005C1209" w:rsidRPr="0070629B">
        <w:rPr>
          <w:rFonts w:ascii="Arial" w:hAnsi="Arial" w:cs="Arial"/>
          <w:sz w:val="22"/>
          <w:szCs w:val="22"/>
        </w:rPr>
        <w:t xml:space="preserve"> jednotk</w:t>
      </w:r>
      <w:r w:rsidR="00BF4370">
        <w:rPr>
          <w:rFonts w:ascii="Arial" w:hAnsi="Arial" w:cs="Arial"/>
          <w:sz w:val="22"/>
          <w:szCs w:val="22"/>
        </w:rPr>
        <w:t>ami</w:t>
      </w:r>
      <w:r w:rsidR="005C1209" w:rsidRPr="0070629B">
        <w:rPr>
          <w:rFonts w:ascii="Arial" w:hAnsi="Arial" w:cs="Arial"/>
          <w:sz w:val="22"/>
          <w:szCs w:val="22"/>
        </w:rPr>
        <w:t xml:space="preserve"> bylo nadále </w:t>
      </w:r>
      <w:r w:rsidR="00765F23">
        <w:rPr>
          <w:rFonts w:ascii="Arial" w:hAnsi="Arial" w:cs="Arial"/>
          <w:sz w:val="22"/>
          <w:szCs w:val="22"/>
        </w:rPr>
        <w:t>v </w:t>
      </w:r>
      <w:r w:rsidR="005C1209" w:rsidRPr="0070629B">
        <w:rPr>
          <w:rFonts w:ascii="Arial" w:hAnsi="Arial" w:cs="Arial"/>
          <w:sz w:val="22"/>
          <w:szCs w:val="22"/>
        </w:rPr>
        <w:t xml:space="preserve">platnosti pouze osm českých účetních standardů. </w:t>
      </w:r>
    </w:p>
    <w:p w:rsidR="005C1209" w:rsidRPr="001233B8" w:rsidRDefault="005C1209" w:rsidP="000032DA">
      <w:pPr>
        <w:jc w:val="both"/>
        <w:rPr>
          <w:rFonts w:ascii="Arial" w:hAnsi="Arial" w:cs="Arial"/>
          <w:b/>
          <w:sz w:val="22"/>
          <w:szCs w:val="22"/>
        </w:rPr>
      </w:pPr>
    </w:p>
    <w:p w:rsidR="004029FE" w:rsidRDefault="00765F23" w:rsidP="00003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</w:t>
      </w:r>
      <w:r w:rsidR="004029FE" w:rsidRPr="001233B8">
        <w:rPr>
          <w:rFonts w:ascii="Arial" w:hAnsi="Arial" w:cs="Arial"/>
          <w:b/>
          <w:sz w:val="22"/>
          <w:szCs w:val="22"/>
        </w:rPr>
        <w:t xml:space="preserve">účetní závěrce MŠMT </w:t>
      </w:r>
      <w:r>
        <w:rPr>
          <w:rFonts w:ascii="Arial" w:hAnsi="Arial" w:cs="Arial"/>
          <w:b/>
          <w:sz w:val="22"/>
          <w:szCs w:val="22"/>
        </w:rPr>
        <w:t>k </w:t>
      </w:r>
      <w:r w:rsidR="004029FE" w:rsidRPr="001233B8">
        <w:rPr>
          <w:rFonts w:ascii="Arial" w:hAnsi="Arial" w:cs="Arial"/>
          <w:b/>
          <w:sz w:val="22"/>
          <w:szCs w:val="22"/>
        </w:rPr>
        <w:t xml:space="preserve">31. prosinci 2012 byla kontrolou NKÚ zjištěna celková nesprávnost </w:t>
      </w:r>
      <w:r>
        <w:rPr>
          <w:rFonts w:ascii="Arial" w:hAnsi="Arial" w:cs="Arial"/>
          <w:b/>
          <w:sz w:val="22"/>
          <w:szCs w:val="22"/>
        </w:rPr>
        <w:t>v </w:t>
      </w:r>
      <w:r w:rsidR="004029FE" w:rsidRPr="001233B8">
        <w:rPr>
          <w:rFonts w:ascii="Arial" w:hAnsi="Arial" w:cs="Arial"/>
          <w:b/>
          <w:sz w:val="22"/>
          <w:szCs w:val="22"/>
        </w:rPr>
        <w:t>údajích za běžné účetní období ve výši 90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="004029FE" w:rsidRPr="001233B8">
        <w:rPr>
          <w:rFonts w:ascii="Arial" w:hAnsi="Arial" w:cs="Arial"/>
          <w:b/>
          <w:sz w:val="22"/>
          <w:szCs w:val="22"/>
        </w:rPr>
        <w:t>097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="004029FE" w:rsidRPr="001233B8">
        <w:rPr>
          <w:rFonts w:ascii="Arial" w:hAnsi="Arial" w:cs="Arial"/>
          <w:b/>
          <w:sz w:val="22"/>
          <w:szCs w:val="22"/>
        </w:rPr>
        <w:t>869,87 Kč.</w:t>
      </w:r>
      <w:r w:rsidR="005C1209" w:rsidRPr="001233B8">
        <w:rPr>
          <w:rFonts w:ascii="Arial" w:hAnsi="Arial" w:cs="Arial"/>
          <w:b/>
          <w:sz w:val="22"/>
          <w:szCs w:val="22"/>
        </w:rPr>
        <w:t xml:space="preserve"> </w:t>
      </w:r>
      <w:r w:rsidR="004644E9">
        <w:rPr>
          <w:rFonts w:ascii="Arial" w:hAnsi="Arial" w:cs="Arial"/>
          <w:b/>
          <w:sz w:val="22"/>
          <w:szCs w:val="22"/>
        </w:rPr>
        <w:t>Největší nesprávnosti byly</w:t>
      </w:r>
      <w:r w:rsidR="00E107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 </w:t>
      </w:r>
      <w:r w:rsidR="004644E9">
        <w:rPr>
          <w:rFonts w:ascii="Arial" w:hAnsi="Arial" w:cs="Arial"/>
          <w:b/>
          <w:sz w:val="22"/>
          <w:szCs w:val="22"/>
        </w:rPr>
        <w:t xml:space="preserve">příloze ÚZ (např. </w:t>
      </w:r>
      <w:r w:rsidR="005C1209" w:rsidRPr="001233B8">
        <w:rPr>
          <w:rFonts w:ascii="Arial" w:hAnsi="Arial" w:cs="Arial"/>
          <w:b/>
          <w:sz w:val="22"/>
          <w:szCs w:val="22"/>
        </w:rPr>
        <w:t>nevykázané podmíněné</w:t>
      </w:r>
      <w:r w:rsidR="00EA5075">
        <w:rPr>
          <w:rFonts w:ascii="Arial" w:hAnsi="Arial" w:cs="Arial"/>
          <w:b/>
          <w:sz w:val="22"/>
          <w:szCs w:val="22"/>
        </w:rPr>
        <w:t xml:space="preserve"> dlouhodobé a</w:t>
      </w:r>
      <w:r w:rsidR="002B51EB">
        <w:rPr>
          <w:rFonts w:ascii="Arial" w:hAnsi="Arial" w:cs="Arial"/>
          <w:b/>
          <w:sz w:val="22"/>
          <w:szCs w:val="22"/>
        </w:rPr>
        <w:t> </w:t>
      </w:r>
      <w:r w:rsidR="00EA5075">
        <w:rPr>
          <w:rFonts w:ascii="Arial" w:hAnsi="Arial" w:cs="Arial"/>
          <w:b/>
          <w:sz w:val="22"/>
          <w:szCs w:val="22"/>
        </w:rPr>
        <w:t>krátkodobé</w:t>
      </w:r>
      <w:r w:rsidR="005C1209" w:rsidRPr="001233B8">
        <w:rPr>
          <w:rFonts w:ascii="Arial" w:hAnsi="Arial" w:cs="Arial"/>
          <w:b/>
          <w:sz w:val="22"/>
          <w:szCs w:val="22"/>
        </w:rPr>
        <w:t xml:space="preserve"> závazky plynoucí </w:t>
      </w:r>
      <w:r>
        <w:rPr>
          <w:rFonts w:ascii="Arial" w:hAnsi="Arial" w:cs="Arial"/>
          <w:b/>
          <w:sz w:val="22"/>
          <w:szCs w:val="22"/>
        </w:rPr>
        <w:t>z </w:t>
      </w:r>
      <w:r w:rsidR="005C1209" w:rsidRPr="001233B8">
        <w:rPr>
          <w:rFonts w:ascii="Arial" w:hAnsi="Arial" w:cs="Arial"/>
          <w:b/>
          <w:sz w:val="22"/>
          <w:szCs w:val="22"/>
        </w:rPr>
        <w:t>uzavřených smluv</w:t>
      </w:r>
      <w:r w:rsidR="00EA5075">
        <w:rPr>
          <w:rFonts w:ascii="Arial" w:hAnsi="Arial" w:cs="Arial"/>
          <w:b/>
          <w:sz w:val="22"/>
          <w:szCs w:val="22"/>
        </w:rPr>
        <w:t xml:space="preserve"> a naopak</w:t>
      </w:r>
      <w:r w:rsidR="005C1209" w:rsidRPr="001233B8">
        <w:rPr>
          <w:rFonts w:ascii="Arial" w:hAnsi="Arial" w:cs="Arial"/>
          <w:b/>
          <w:sz w:val="22"/>
          <w:szCs w:val="22"/>
        </w:rPr>
        <w:t xml:space="preserve"> </w:t>
      </w:r>
      <w:r w:rsidR="00DB4412" w:rsidRPr="001233B8">
        <w:rPr>
          <w:rFonts w:ascii="Arial" w:hAnsi="Arial" w:cs="Arial"/>
          <w:b/>
          <w:sz w:val="22"/>
          <w:szCs w:val="22"/>
        </w:rPr>
        <w:t xml:space="preserve">vykázané dlouhodobé podmíněné </w:t>
      </w:r>
      <w:r w:rsidR="00957734">
        <w:rPr>
          <w:rFonts w:ascii="Arial" w:hAnsi="Arial" w:cs="Arial"/>
          <w:b/>
          <w:sz w:val="22"/>
          <w:szCs w:val="22"/>
        </w:rPr>
        <w:t>závazky</w:t>
      </w:r>
      <w:r w:rsidR="00DB4412" w:rsidRPr="001233B8">
        <w:rPr>
          <w:rFonts w:ascii="Arial" w:hAnsi="Arial" w:cs="Arial"/>
          <w:b/>
          <w:sz w:val="22"/>
          <w:szCs w:val="22"/>
        </w:rPr>
        <w:t>, jež nebyly prokázány na skutečnost</w:t>
      </w:r>
      <w:r w:rsidR="004644E9">
        <w:rPr>
          <w:rFonts w:ascii="Arial" w:hAnsi="Arial" w:cs="Arial"/>
          <w:b/>
          <w:sz w:val="22"/>
          <w:szCs w:val="22"/>
        </w:rPr>
        <w:t xml:space="preserve">) a </w:t>
      </w:r>
      <w:r>
        <w:rPr>
          <w:rFonts w:ascii="Arial" w:hAnsi="Arial" w:cs="Arial"/>
          <w:b/>
          <w:sz w:val="22"/>
          <w:szCs w:val="22"/>
        </w:rPr>
        <w:t>v </w:t>
      </w:r>
      <w:r w:rsidR="004644E9">
        <w:rPr>
          <w:rFonts w:ascii="Arial" w:hAnsi="Arial" w:cs="Arial"/>
          <w:b/>
          <w:sz w:val="22"/>
          <w:szCs w:val="22"/>
        </w:rPr>
        <w:t>přehledu o změnách vlastního kapitálu (nesprávně vykázané případy darovaného majetku).</w:t>
      </w:r>
      <w:r w:rsidR="00DB4412" w:rsidRPr="001233B8">
        <w:rPr>
          <w:rFonts w:ascii="Arial" w:hAnsi="Arial" w:cs="Arial"/>
          <w:b/>
          <w:sz w:val="22"/>
          <w:szCs w:val="22"/>
        </w:rPr>
        <w:t xml:space="preserve"> Rovněž byly identifikovány nedostatky </w:t>
      </w:r>
      <w:r>
        <w:rPr>
          <w:rFonts w:ascii="Arial" w:hAnsi="Arial" w:cs="Arial"/>
          <w:b/>
          <w:sz w:val="22"/>
          <w:szCs w:val="22"/>
        </w:rPr>
        <w:t>v </w:t>
      </w:r>
      <w:r w:rsidR="00DB4412" w:rsidRPr="001233B8">
        <w:rPr>
          <w:rFonts w:ascii="Arial" w:hAnsi="Arial" w:cs="Arial"/>
          <w:b/>
          <w:sz w:val="22"/>
          <w:szCs w:val="22"/>
        </w:rPr>
        <w:t>aplikaci účetní metody časového rozlišení.</w:t>
      </w:r>
    </w:p>
    <w:p w:rsidR="00EA5075" w:rsidRDefault="00EA5075" w:rsidP="000032DA">
      <w:pPr>
        <w:jc w:val="both"/>
        <w:rPr>
          <w:rFonts w:ascii="Arial" w:hAnsi="Arial" w:cs="Arial"/>
          <w:b/>
          <w:sz w:val="22"/>
          <w:szCs w:val="22"/>
        </w:rPr>
      </w:pPr>
    </w:p>
    <w:p w:rsidR="00EA5075" w:rsidRDefault="00EA5075" w:rsidP="00003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Výše zjištěných nesprávností byla ovlivněna i skutečností, že po zaslání dat ÚZ do </w:t>
      </w:r>
      <w:r w:rsidRPr="00E50173">
        <w:rPr>
          <w:rFonts w:ascii="Arial" w:hAnsi="Arial" w:cs="Arial"/>
          <w:b/>
          <w:i/>
          <w:sz w:val="22"/>
          <w:szCs w:val="22"/>
        </w:rPr>
        <w:t>Centrálního systému účetních informací státu</w:t>
      </w:r>
      <w:r>
        <w:rPr>
          <w:rFonts w:ascii="Arial" w:hAnsi="Arial" w:cs="Arial"/>
          <w:b/>
          <w:sz w:val="22"/>
          <w:szCs w:val="22"/>
        </w:rPr>
        <w:t xml:space="preserve"> nebylo dle vyjádření MŠMT z technických důvodů možné opravit nesprávnosti do účetního období 2012, přestože to zákon o účetnictví umožňuje.</w:t>
      </w:r>
    </w:p>
    <w:p w:rsidR="001F677B" w:rsidRPr="001233B8" w:rsidRDefault="001F677B" w:rsidP="000032DA">
      <w:pPr>
        <w:jc w:val="both"/>
        <w:rPr>
          <w:rFonts w:ascii="Arial" w:hAnsi="Arial" w:cs="Arial"/>
          <w:b/>
          <w:sz w:val="22"/>
          <w:szCs w:val="22"/>
        </w:rPr>
      </w:pPr>
    </w:p>
    <w:p w:rsidR="00FA5C80" w:rsidRDefault="004029FE" w:rsidP="000032DA">
      <w:pPr>
        <w:jc w:val="both"/>
        <w:rPr>
          <w:rFonts w:ascii="Arial" w:hAnsi="Arial" w:cs="Arial"/>
          <w:b/>
          <w:sz w:val="22"/>
          <w:szCs w:val="22"/>
        </w:rPr>
      </w:pPr>
      <w:r w:rsidRPr="00EA5075">
        <w:rPr>
          <w:rFonts w:ascii="Arial" w:hAnsi="Arial" w:cs="Arial"/>
          <w:b/>
          <w:sz w:val="22"/>
          <w:szCs w:val="22"/>
        </w:rPr>
        <w:t xml:space="preserve">Spolehlivost údajů účetní závěrky jako celku je nutné posuzovat </w:t>
      </w:r>
      <w:r w:rsidR="00765F23">
        <w:rPr>
          <w:rFonts w:ascii="Arial" w:hAnsi="Arial" w:cs="Arial"/>
          <w:b/>
          <w:sz w:val="22"/>
          <w:szCs w:val="22"/>
        </w:rPr>
        <w:t>z </w:t>
      </w:r>
      <w:r w:rsidRPr="00EA5075">
        <w:rPr>
          <w:rFonts w:ascii="Arial" w:hAnsi="Arial" w:cs="Arial"/>
          <w:b/>
          <w:sz w:val="22"/>
          <w:szCs w:val="22"/>
        </w:rPr>
        <w:t>hlediska významnosti. Možnost vyjádřit</w:t>
      </w:r>
      <w:r w:rsidRPr="00183D36">
        <w:rPr>
          <w:rFonts w:ascii="Arial" w:hAnsi="Arial" w:cs="Arial"/>
          <w:b/>
          <w:sz w:val="22"/>
          <w:szCs w:val="22"/>
        </w:rPr>
        <w:t xml:space="preserve"> se ke spolehlivosti údajů účetní závěrky však byla limitována stavem právních předpisů </w:t>
      </w:r>
      <w:r w:rsidR="00BF4370">
        <w:rPr>
          <w:rFonts w:ascii="Arial" w:hAnsi="Arial" w:cs="Arial"/>
          <w:b/>
          <w:sz w:val="22"/>
          <w:szCs w:val="22"/>
        </w:rPr>
        <w:t xml:space="preserve">účinných pro </w:t>
      </w:r>
      <w:r w:rsidRPr="00183D36">
        <w:rPr>
          <w:rFonts w:ascii="Arial" w:hAnsi="Arial" w:cs="Arial"/>
          <w:b/>
          <w:sz w:val="22"/>
          <w:szCs w:val="22"/>
        </w:rPr>
        <w:t>oblast účetnictví</w:t>
      </w:r>
      <w:r w:rsidR="00005CA3" w:rsidRPr="00183D36">
        <w:rPr>
          <w:rFonts w:ascii="Arial" w:hAnsi="Arial" w:cs="Arial"/>
          <w:b/>
          <w:sz w:val="22"/>
          <w:szCs w:val="22"/>
        </w:rPr>
        <w:t xml:space="preserve">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005CA3" w:rsidRPr="00183D36">
        <w:rPr>
          <w:rFonts w:ascii="Arial" w:hAnsi="Arial" w:cs="Arial"/>
          <w:b/>
          <w:sz w:val="22"/>
          <w:szCs w:val="22"/>
        </w:rPr>
        <w:t>roce 2012 a</w:t>
      </w:r>
      <w:r w:rsidR="00BF4370">
        <w:rPr>
          <w:rFonts w:ascii="Arial" w:hAnsi="Arial" w:cs="Arial"/>
          <w:b/>
          <w:sz w:val="22"/>
          <w:szCs w:val="22"/>
        </w:rPr>
        <w:t> </w:t>
      </w:r>
      <w:r w:rsidR="00005CA3" w:rsidRPr="00183D36">
        <w:rPr>
          <w:rFonts w:ascii="Arial" w:hAnsi="Arial" w:cs="Arial"/>
          <w:b/>
          <w:sz w:val="22"/>
          <w:szCs w:val="22"/>
        </w:rPr>
        <w:t>možností vyhodnotit správnost jejich aplikace MŠMT.</w:t>
      </w:r>
      <w:r w:rsidR="0065763E" w:rsidRPr="0070629B">
        <w:rPr>
          <w:rFonts w:ascii="Arial" w:hAnsi="Arial" w:cs="Arial"/>
          <w:b/>
          <w:sz w:val="22"/>
          <w:szCs w:val="22"/>
        </w:rPr>
        <w:t xml:space="preserve">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EA5075" w:rsidRPr="0070629B">
        <w:rPr>
          <w:rFonts w:ascii="Arial" w:hAnsi="Arial" w:cs="Arial"/>
          <w:b/>
          <w:sz w:val="22"/>
          <w:szCs w:val="22"/>
        </w:rPr>
        <w:t>případě, že by tato omezení s významným dopadem na ÚZ neexistovala, NKÚ by se ke spolehlivosti údajů ÚZ vyjádřil.</w:t>
      </w:r>
    </w:p>
    <w:p w:rsidR="004F2AAC" w:rsidRPr="00EA5075" w:rsidRDefault="004F2AAC" w:rsidP="000032DA">
      <w:pPr>
        <w:jc w:val="both"/>
        <w:rPr>
          <w:rFonts w:ascii="Arial" w:hAnsi="Arial" w:cs="Arial"/>
          <w:b/>
          <w:sz w:val="22"/>
          <w:szCs w:val="22"/>
        </w:rPr>
      </w:pPr>
    </w:p>
    <w:p w:rsidR="00B562E6" w:rsidRDefault="001F1E9B" w:rsidP="000032DA">
      <w:pPr>
        <w:jc w:val="both"/>
        <w:rPr>
          <w:rFonts w:ascii="Arial" w:hAnsi="Arial" w:cs="Arial"/>
          <w:b/>
          <w:sz w:val="22"/>
          <w:szCs w:val="22"/>
        </w:rPr>
      </w:pPr>
      <w:r w:rsidRPr="00183D36">
        <w:rPr>
          <w:rFonts w:ascii="Arial" w:hAnsi="Arial" w:cs="Arial"/>
          <w:b/>
          <w:sz w:val="22"/>
          <w:szCs w:val="22"/>
        </w:rPr>
        <w:t>Současná legislativa upravující vedení účetnictví i nadále zahrnuje oblasti, které jsou nedostatečně upraveny právními předpisy</w:t>
      </w:r>
      <w:r w:rsidR="009F526B">
        <w:rPr>
          <w:rFonts w:ascii="Arial" w:hAnsi="Arial" w:cs="Arial"/>
          <w:b/>
          <w:sz w:val="22"/>
          <w:szCs w:val="22"/>
        </w:rPr>
        <w:t>,</w:t>
      </w:r>
      <w:r w:rsidRPr="00183D36">
        <w:rPr>
          <w:rFonts w:ascii="Arial" w:hAnsi="Arial" w:cs="Arial"/>
          <w:b/>
          <w:sz w:val="22"/>
          <w:szCs w:val="22"/>
        </w:rPr>
        <w:t xml:space="preserve"> či jsou jednotlivá ustanovení účetní regulace vůči sobě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Pr="00183D36">
        <w:rPr>
          <w:rFonts w:ascii="Arial" w:hAnsi="Arial" w:cs="Arial"/>
          <w:b/>
          <w:sz w:val="22"/>
          <w:szCs w:val="22"/>
        </w:rPr>
        <w:t xml:space="preserve">rozporu. Tím dochází </w:t>
      </w:r>
      <w:r w:rsidR="00765F23">
        <w:rPr>
          <w:rFonts w:ascii="Arial" w:hAnsi="Arial" w:cs="Arial"/>
          <w:b/>
          <w:sz w:val="22"/>
          <w:szCs w:val="22"/>
        </w:rPr>
        <w:t>k </w:t>
      </w:r>
      <w:r w:rsidRPr="00183D36">
        <w:rPr>
          <w:rFonts w:ascii="Arial" w:hAnsi="Arial" w:cs="Arial"/>
          <w:b/>
          <w:sz w:val="22"/>
          <w:szCs w:val="22"/>
        </w:rPr>
        <w:t>situacím, kdy jsou vybrané účetní jednotky</w:t>
      </w:r>
      <w:r w:rsidR="00765F23">
        <w:rPr>
          <w:rFonts w:ascii="Arial" w:hAnsi="Arial" w:cs="Arial"/>
          <w:b/>
          <w:sz w:val="22"/>
          <w:szCs w:val="22"/>
        </w:rPr>
        <w:t>,</w:t>
      </w:r>
      <w:r w:rsidR="00D8654B">
        <w:rPr>
          <w:rFonts w:ascii="Arial" w:hAnsi="Arial" w:cs="Arial"/>
          <w:b/>
          <w:sz w:val="22"/>
          <w:szCs w:val="22"/>
        </w:rPr>
        <w:t xml:space="preserve"> tzn.</w:t>
      </w:r>
      <w:r w:rsidR="009347B6">
        <w:rPr>
          <w:rFonts w:ascii="Arial" w:hAnsi="Arial" w:cs="Arial"/>
          <w:b/>
          <w:sz w:val="22"/>
          <w:szCs w:val="22"/>
        </w:rPr>
        <w:t xml:space="preserve"> </w:t>
      </w:r>
      <w:r w:rsidR="00D8654B">
        <w:rPr>
          <w:rFonts w:ascii="Arial" w:hAnsi="Arial" w:cs="Arial"/>
          <w:b/>
          <w:sz w:val="22"/>
          <w:szCs w:val="22"/>
        </w:rPr>
        <w:t>včetně organizačních složek státu</w:t>
      </w:r>
      <w:r w:rsidR="00765F23">
        <w:rPr>
          <w:rFonts w:ascii="Arial" w:hAnsi="Arial" w:cs="Arial"/>
          <w:b/>
          <w:sz w:val="22"/>
          <w:szCs w:val="22"/>
        </w:rPr>
        <w:t>,</w:t>
      </w:r>
      <w:r w:rsidRPr="00183D36">
        <w:rPr>
          <w:rFonts w:ascii="Arial" w:hAnsi="Arial" w:cs="Arial"/>
          <w:b/>
          <w:sz w:val="22"/>
          <w:szCs w:val="22"/>
        </w:rPr>
        <w:t xml:space="preserve"> nuceny přistoupit </w:t>
      </w:r>
      <w:r w:rsidR="00765F23">
        <w:rPr>
          <w:rFonts w:ascii="Arial" w:hAnsi="Arial" w:cs="Arial"/>
          <w:b/>
          <w:sz w:val="22"/>
          <w:szCs w:val="22"/>
        </w:rPr>
        <w:t>k </w:t>
      </w:r>
      <w:r w:rsidRPr="00183D36">
        <w:rPr>
          <w:rFonts w:ascii="Arial" w:hAnsi="Arial" w:cs="Arial"/>
          <w:b/>
          <w:sz w:val="22"/>
          <w:szCs w:val="22"/>
        </w:rPr>
        <w:t xml:space="preserve">účetním postupům </w:t>
      </w:r>
      <w:r w:rsidR="00EA5075">
        <w:rPr>
          <w:rFonts w:ascii="Arial" w:hAnsi="Arial" w:cs="Arial"/>
          <w:b/>
          <w:sz w:val="22"/>
          <w:szCs w:val="22"/>
        </w:rPr>
        <w:t xml:space="preserve">na základě </w:t>
      </w:r>
      <w:r w:rsidR="009F526B">
        <w:rPr>
          <w:rFonts w:ascii="Arial" w:hAnsi="Arial" w:cs="Arial"/>
          <w:b/>
          <w:sz w:val="22"/>
          <w:szCs w:val="22"/>
        </w:rPr>
        <w:t xml:space="preserve">svých vlastních výkladů </w:t>
      </w:r>
      <w:r w:rsidR="009A08BE">
        <w:rPr>
          <w:rFonts w:ascii="Arial" w:hAnsi="Arial" w:cs="Arial"/>
          <w:b/>
          <w:sz w:val="22"/>
          <w:szCs w:val="22"/>
        </w:rPr>
        <w:t xml:space="preserve">a aplikací </w:t>
      </w:r>
      <w:r w:rsidR="009F526B">
        <w:rPr>
          <w:rFonts w:ascii="Arial" w:hAnsi="Arial" w:cs="Arial"/>
          <w:b/>
          <w:sz w:val="22"/>
          <w:szCs w:val="22"/>
        </w:rPr>
        <w:t>regulatorních předpisů</w:t>
      </w:r>
      <w:r w:rsidR="00EA5075">
        <w:rPr>
          <w:rFonts w:ascii="Arial" w:hAnsi="Arial" w:cs="Arial"/>
          <w:b/>
          <w:sz w:val="22"/>
          <w:szCs w:val="22"/>
        </w:rPr>
        <w:t>.</w:t>
      </w:r>
    </w:p>
    <w:p w:rsidR="00845052" w:rsidRPr="00EA5075" w:rsidRDefault="00845052" w:rsidP="000032DA">
      <w:pPr>
        <w:jc w:val="both"/>
        <w:rPr>
          <w:rFonts w:ascii="Arial" w:hAnsi="Arial" w:cs="Arial"/>
          <w:b/>
          <w:sz w:val="22"/>
          <w:szCs w:val="22"/>
        </w:rPr>
      </w:pPr>
    </w:p>
    <w:p w:rsidR="00A529C6" w:rsidRPr="0070629B" w:rsidRDefault="00D8654B" w:rsidP="00003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Předpisy</w:t>
      </w:r>
      <w:r w:rsidR="00172664" w:rsidRPr="0070629B">
        <w:rPr>
          <w:rFonts w:ascii="Arial" w:hAnsi="Arial" w:cs="Arial"/>
          <w:sz w:val="22"/>
          <w:szCs w:val="22"/>
        </w:rPr>
        <w:t xml:space="preserve"> pro vedení účetnictví </w:t>
      </w:r>
      <w:r>
        <w:rPr>
          <w:rFonts w:ascii="Arial" w:hAnsi="Arial" w:cs="Arial"/>
          <w:sz w:val="22"/>
          <w:szCs w:val="22"/>
        </w:rPr>
        <w:t>sice nemohou</w:t>
      </w:r>
      <w:r w:rsidR="00172664" w:rsidRPr="0070629B">
        <w:rPr>
          <w:rFonts w:ascii="Arial" w:hAnsi="Arial" w:cs="Arial"/>
          <w:sz w:val="22"/>
          <w:szCs w:val="22"/>
        </w:rPr>
        <w:t xml:space="preserve"> </w:t>
      </w:r>
      <w:r w:rsidR="009A08BE">
        <w:rPr>
          <w:rFonts w:ascii="Arial" w:hAnsi="Arial" w:cs="Arial"/>
          <w:sz w:val="22"/>
          <w:szCs w:val="22"/>
        </w:rPr>
        <w:t>upravit</w:t>
      </w:r>
      <w:r w:rsidR="009A08BE" w:rsidRPr="0070629B">
        <w:rPr>
          <w:rFonts w:ascii="Arial" w:hAnsi="Arial" w:cs="Arial"/>
          <w:sz w:val="22"/>
          <w:szCs w:val="22"/>
        </w:rPr>
        <w:t xml:space="preserve"> </w:t>
      </w:r>
      <w:r w:rsidR="00172664" w:rsidRPr="0070629B">
        <w:rPr>
          <w:rFonts w:ascii="Arial" w:hAnsi="Arial" w:cs="Arial"/>
          <w:sz w:val="22"/>
          <w:szCs w:val="22"/>
        </w:rPr>
        <w:t>vykazování všech</w:t>
      </w:r>
      <w:r w:rsidR="001F1E9B" w:rsidRPr="0070629B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v </w:t>
      </w:r>
      <w:r w:rsidR="00172664" w:rsidRPr="0070629B">
        <w:rPr>
          <w:rFonts w:ascii="Arial" w:hAnsi="Arial" w:cs="Arial"/>
          <w:sz w:val="22"/>
          <w:szCs w:val="22"/>
        </w:rPr>
        <w:t xml:space="preserve">praxi </w:t>
      </w:r>
      <w:r w:rsidR="001F1E9B" w:rsidRPr="0070629B">
        <w:rPr>
          <w:rFonts w:ascii="Arial" w:hAnsi="Arial" w:cs="Arial"/>
          <w:sz w:val="22"/>
          <w:szCs w:val="22"/>
        </w:rPr>
        <w:t>existující</w:t>
      </w:r>
      <w:r w:rsidR="00172664" w:rsidRPr="0070629B">
        <w:rPr>
          <w:rFonts w:ascii="Arial" w:hAnsi="Arial" w:cs="Arial"/>
          <w:sz w:val="22"/>
          <w:szCs w:val="22"/>
        </w:rPr>
        <w:t>ch</w:t>
      </w:r>
      <w:r w:rsidR="001F1E9B" w:rsidRPr="0070629B">
        <w:rPr>
          <w:rFonts w:ascii="Arial" w:hAnsi="Arial" w:cs="Arial"/>
          <w:sz w:val="22"/>
          <w:szCs w:val="22"/>
        </w:rPr>
        <w:t xml:space="preserve"> účetní</w:t>
      </w:r>
      <w:r w:rsidR="00172664" w:rsidRPr="0070629B">
        <w:rPr>
          <w:rFonts w:ascii="Arial" w:hAnsi="Arial" w:cs="Arial"/>
          <w:sz w:val="22"/>
          <w:szCs w:val="22"/>
        </w:rPr>
        <w:t>ch</w:t>
      </w:r>
      <w:r w:rsidR="001F1E9B" w:rsidRPr="0070629B">
        <w:rPr>
          <w:rFonts w:ascii="Arial" w:hAnsi="Arial" w:cs="Arial"/>
          <w:sz w:val="22"/>
          <w:szCs w:val="22"/>
        </w:rPr>
        <w:t xml:space="preserve"> případ</w:t>
      </w:r>
      <w:r w:rsidR="00172664" w:rsidRPr="0070629B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>, nicméně</w:t>
      </w:r>
      <w:r w:rsidR="009347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172664" w:rsidRPr="0070629B">
        <w:rPr>
          <w:rFonts w:ascii="Arial" w:hAnsi="Arial" w:cs="Arial"/>
          <w:sz w:val="22"/>
          <w:szCs w:val="22"/>
        </w:rPr>
        <w:t xml:space="preserve">ro běžné, standardní, typické účetní případy by </w:t>
      </w:r>
      <w:r>
        <w:rPr>
          <w:rFonts w:ascii="Arial" w:hAnsi="Arial" w:cs="Arial"/>
          <w:sz w:val="22"/>
          <w:szCs w:val="22"/>
        </w:rPr>
        <w:t>měly stanovit</w:t>
      </w:r>
      <w:r w:rsidR="00172664" w:rsidRPr="0070629B">
        <w:rPr>
          <w:rFonts w:ascii="Arial" w:hAnsi="Arial" w:cs="Arial"/>
          <w:sz w:val="22"/>
          <w:szCs w:val="22"/>
        </w:rPr>
        <w:t xml:space="preserve"> postupy účtování a</w:t>
      </w:r>
      <w:r w:rsidR="009C356B" w:rsidRPr="0070629B">
        <w:rPr>
          <w:rFonts w:ascii="Arial" w:hAnsi="Arial" w:cs="Arial"/>
          <w:sz w:val="22"/>
          <w:szCs w:val="22"/>
        </w:rPr>
        <w:t xml:space="preserve"> způsob</w:t>
      </w:r>
      <w:r w:rsidR="00172664" w:rsidRPr="0070629B">
        <w:rPr>
          <w:rFonts w:ascii="Arial" w:hAnsi="Arial" w:cs="Arial"/>
          <w:sz w:val="22"/>
          <w:szCs w:val="22"/>
        </w:rPr>
        <w:t xml:space="preserve"> jejich vykazování</w:t>
      </w:r>
      <w:r w:rsidR="00A529C6" w:rsidRPr="0070629B">
        <w:rPr>
          <w:rFonts w:ascii="Arial" w:hAnsi="Arial" w:cs="Arial"/>
          <w:sz w:val="22"/>
          <w:szCs w:val="22"/>
        </w:rPr>
        <w:t>. P</w:t>
      </w:r>
      <w:r w:rsidR="009C356B" w:rsidRPr="0070629B">
        <w:rPr>
          <w:rFonts w:ascii="Arial" w:hAnsi="Arial" w:cs="Arial"/>
          <w:sz w:val="22"/>
          <w:szCs w:val="22"/>
        </w:rPr>
        <w:t>ro ostatní případy by měl</w:t>
      </w:r>
      <w:r w:rsidR="00A529C6" w:rsidRPr="0070629B">
        <w:rPr>
          <w:rFonts w:ascii="Arial" w:hAnsi="Arial" w:cs="Arial"/>
          <w:sz w:val="22"/>
          <w:szCs w:val="22"/>
        </w:rPr>
        <w:t xml:space="preserve"> být vodítkem v českém účetnictví </w:t>
      </w:r>
      <w:r w:rsidR="009A08BE">
        <w:rPr>
          <w:rFonts w:ascii="Arial" w:hAnsi="Arial" w:cs="Arial"/>
          <w:sz w:val="22"/>
          <w:szCs w:val="22"/>
        </w:rPr>
        <w:t xml:space="preserve">zatím </w:t>
      </w:r>
      <w:r w:rsidR="00A529C6" w:rsidRPr="0070629B">
        <w:rPr>
          <w:rFonts w:ascii="Arial" w:hAnsi="Arial" w:cs="Arial"/>
          <w:sz w:val="22"/>
          <w:szCs w:val="22"/>
        </w:rPr>
        <w:t>neexistující tzv. koncepční rámec, který by formuloval východiska pro konstrukci účetního výkaznictví, vymezil klíčové pojmy, jejich definice a další skutečnosti.</w:t>
      </w:r>
      <w:r w:rsidR="00172664" w:rsidRPr="0070629B">
        <w:rPr>
          <w:rFonts w:ascii="Arial" w:hAnsi="Arial" w:cs="Arial"/>
          <w:sz w:val="22"/>
          <w:szCs w:val="22"/>
        </w:rPr>
        <w:t xml:space="preserve"> To by značně přispělo </w:t>
      </w:r>
      <w:r w:rsidR="00765F23">
        <w:rPr>
          <w:rFonts w:ascii="Arial" w:hAnsi="Arial" w:cs="Arial"/>
          <w:sz w:val="22"/>
          <w:szCs w:val="22"/>
        </w:rPr>
        <w:t>k </w:t>
      </w:r>
      <w:r w:rsidR="00172664" w:rsidRPr="0070629B">
        <w:rPr>
          <w:rFonts w:ascii="Arial" w:hAnsi="Arial" w:cs="Arial"/>
          <w:sz w:val="22"/>
          <w:szCs w:val="22"/>
        </w:rPr>
        <w:t>zajištění správného vedení účetnictví</w:t>
      </w:r>
      <w:r w:rsidR="009A08BE">
        <w:rPr>
          <w:rFonts w:ascii="Arial" w:hAnsi="Arial" w:cs="Arial"/>
          <w:sz w:val="22"/>
          <w:szCs w:val="22"/>
        </w:rPr>
        <w:t>,</w:t>
      </w:r>
      <w:r w:rsidR="00172664" w:rsidRPr="0070629B">
        <w:rPr>
          <w:rFonts w:ascii="Arial" w:hAnsi="Arial" w:cs="Arial"/>
          <w:sz w:val="22"/>
          <w:szCs w:val="22"/>
        </w:rPr>
        <w:t xml:space="preserve"> a tím </w:t>
      </w:r>
      <w:r w:rsidR="00A529C6" w:rsidRPr="0070629B">
        <w:rPr>
          <w:rFonts w:ascii="Arial" w:hAnsi="Arial" w:cs="Arial"/>
          <w:sz w:val="22"/>
          <w:szCs w:val="22"/>
        </w:rPr>
        <w:t xml:space="preserve">ke </w:t>
      </w:r>
      <w:r w:rsidR="00172664" w:rsidRPr="0070629B">
        <w:rPr>
          <w:rFonts w:ascii="Arial" w:hAnsi="Arial" w:cs="Arial"/>
          <w:sz w:val="22"/>
          <w:szCs w:val="22"/>
        </w:rPr>
        <w:t xml:space="preserve">spolehlivosti </w:t>
      </w:r>
      <w:r w:rsidR="00172664" w:rsidRPr="0070629B">
        <w:rPr>
          <w:rFonts w:ascii="Arial" w:hAnsi="Arial" w:cs="Arial"/>
          <w:sz w:val="22"/>
          <w:szCs w:val="22"/>
        </w:rPr>
        <w:lastRenderedPageBreak/>
        <w:t>a</w:t>
      </w:r>
      <w:r w:rsidR="002B51EB">
        <w:rPr>
          <w:rFonts w:ascii="Arial" w:hAnsi="Arial" w:cs="Arial"/>
          <w:sz w:val="22"/>
          <w:szCs w:val="22"/>
        </w:rPr>
        <w:t> </w:t>
      </w:r>
      <w:r w:rsidR="00172664" w:rsidRPr="0070629B">
        <w:rPr>
          <w:rFonts w:ascii="Arial" w:hAnsi="Arial" w:cs="Arial"/>
          <w:sz w:val="22"/>
          <w:szCs w:val="22"/>
        </w:rPr>
        <w:t>srovnatelnosti vykazovaných údajů.</w:t>
      </w:r>
      <w:r w:rsidR="00A529C6" w:rsidRPr="0070629B">
        <w:rPr>
          <w:rFonts w:ascii="Arial" w:hAnsi="Arial" w:cs="Arial"/>
          <w:sz w:val="22"/>
          <w:szCs w:val="22"/>
        </w:rPr>
        <w:t xml:space="preserve"> Současně </w:t>
      </w:r>
      <w:r>
        <w:rPr>
          <w:rFonts w:ascii="Arial" w:hAnsi="Arial" w:cs="Arial"/>
          <w:sz w:val="22"/>
          <w:szCs w:val="22"/>
        </w:rPr>
        <w:t>by to umožnilo lépe posoudit,</w:t>
      </w:r>
      <w:r w:rsidR="00A529C6" w:rsidRPr="0070629B">
        <w:rPr>
          <w:rFonts w:ascii="Arial" w:hAnsi="Arial" w:cs="Arial"/>
          <w:sz w:val="22"/>
          <w:szCs w:val="22"/>
        </w:rPr>
        <w:t xml:space="preserve"> zda účetní závěrka byla sestavena </w:t>
      </w:r>
      <w:r w:rsidR="00765F23">
        <w:rPr>
          <w:rFonts w:ascii="Arial" w:hAnsi="Arial" w:cs="Arial"/>
          <w:sz w:val="22"/>
          <w:szCs w:val="22"/>
        </w:rPr>
        <w:t>v </w:t>
      </w:r>
      <w:r w:rsidR="00A529C6" w:rsidRPr="0070629B">
        <w:rPr>
          <w:rFonts w:ascii="Arial" w:hAnsi="Arial" w:cs="Arial"/>
          <w:sz w:val="22"/>
          <w:szCs w:val="22"/>
        </w:rPr>
        <w:t xml:space="preserve">souladu </w:t>
      </w:r>
      <w:r w:rsidR="00765F23">
        <w:rPr>
          <w:rFonts w:ascii="Arial" w:hAnsi="Arial" w:cs="Arial"/>
          <w:sz w:val="22"/>
          <w:szCs w:val="22"/>
        </w:rPr>
        <w:t>s </w:t>
      </w:r>
      <w:r w:rsidR="00A529C6" w:rsidRPr="0070629B">
        <w:rPr>
          <w:rFonts w:ascii="Arial" w:hAnsi="Arial" w:cs="Arial"/>
          <w:sz w:val="22"/>
          <w:szCs w:val="22"/>
        </w:rPr>
        <w:t>příslušnou platnou účetní regulací</w:t>
      </w:r>
      <w:r w:rsidR="009A08BE">
        <w:rPr>
          <w:rFonts w:ascii="Arial" w:hAnsi="Arial" w:cs="Arial"/>
          <w:sz w:val="22"/>
          <w:szCs w:val="22"/>
        </w:rPr>
        <w:t>,</w:t>
      </w:r>
      <w:r w:rsidR="00A529C6" w:rsidRPr="0070629B">
        <w:rPr>
          <w:rFonts w:ascii="Arial" w:hAnsi="Arial" w:cs="Arial"/>
          <w:sz w:val="22"/>
          <w:szCs w:val="22"/>
        </w:rPr>
        <w:t xml:space="preserve"> či nikoli.</w:t>
      </w:r>
    </w:p>
    <w:p w:rsidR="00B562E6" w:rsidRPr="001233B8" w:rsidRDefault="00B562E6" w:rsidP="000032DA">
      <w:pPr>
        <w:jc w:val="both"/>
        <w:rPr>
          <w:rFonts w:ascii="Arial" w:hAnsi="Arial" w:cs="Arial"/>
          <w:b/>
          <w:sz w:val="22"/>
          <w:szCs w:val="22"/>
        </w:rPr>
      </w:pPr>
    </w:p>
    <w:p w:rsidR="002569B5" w:rsidRDefault="00D8654B" w:rsidP="00003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 MŠMT se NKÚ nevyjadřuje ke správnosti účtování a vyk</w:t>
      </w:r>
      <w:r w:rsidR="009A08BE">
        <w:rPr>
          <w:rFonts w:ascii="Arial" w:hAnsi="Arial" w:cs="Arial"/>
          <w:b/>
          <w:sz w:val="22"/>
          <w:szCs w:val="22"/>
        </w:rPr>
        <w:t>azování</w:t>
      </w:r>
      <w:r>
        <w:rPr>
          <w:rFonts w:ascii="Arial" w:hAnsi="Arial" w:cs="Arial"/>
          <w:b/>
          <w:sz w:val="22"/>
          <w:szCs w:val="22"/>
        </w:rPr>
        <w:t xml:space="preserve"> částky</w:t>
      </w:r>
      <w:r w:rsidRPr="001233B8">
        <w:rPr>
          <w:rFonts w:ascii="Arial" w:hAnsi="Arial" w:cs="Arial"/>
          <w:b/>
          <w:sz w:val="22"/>
          <w:szCs w:val="22"/>
        </w:rPr>
        <w:t xml:space="preserve">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Pr="001233B8">
        <w:rPr>
          <w:rFonts w:ascii="Arial" w:hAnsi="Arial" w:cs="Arial"/>
          <w:b/>
          <w:sz w:val="22"/>
          <w:szCs w:val="22"/>
        </w:rPr>
        <w:t>celkové výši 49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Pr="001233B8">
        <w:rPr>
          <w:rFonts w:ascii="Arial" w:hAnsi="Arial" w:cs="Arial"/>
          <w:b/>
          <w:sz w:val="22"/>
          <w:szCs w:val="22"/>
        </w:rPr>
        <w:t>442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Pr="001233B8">
        <w:rPr>
          <w:rFonts w:ascii="Arial" w:hAnsi="Arial" w:cs="Arial"/>
          <w:b/>
          <w:sz w:val="22"/>
          <w:szCs w:val="22"/>
        </w:rPr>
        <w:t>689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Pr="001233B8">
        <w:rPr>
          <w:rFonts w:ascii="Arial" w:hAnsi="Arial" w:cs="Arial"/>
          <w:b/>
          <w:sz w:val="22"/>
          <w:szCs w:val="22"/>
        </w:rPr>
        <w:t>806,64 Kč</w:t>
      </w:r>
      <w:r>
        <w:rPr>
          <w:rFonts w:ascii="Arial" w:hAnsi="Arial" w:cs="Arial"/>
          <w:b/>
          <w:sz w:val="22"/>
          <w:szCs w:val="22"/>
        </w:rPr>
        <w:t xml:space="preserve"> (tato hodnota</w:t>
      </w:r>
      <w:r w:rsidRPr="001233B8">
        <w:rPr>
          <w:rFonts w:ascii="Arial" w:hAnsi="Arial" w:cs="Arial"/>
          <w:b/>
          <w:sz w:val="22"/>
          <w:szCs w:val="22"/>
        </w:rPr>
        <w:t xml:space="preserve"> přesahuje dvacetinásobek stanovené hladiny významnosti</w:t>
      </w:r>
      <w:r w:rsidRPr="001233B8">
        <w:rPr>
          <w:rStyle w:val="Znakapoznpodarou"/>
          <w:rFonts w:ascii="Arial" w:hAnsi="Arial" w:cs="Arial"/>
          <w:b/>
          <w:sz w:val="22"/>
          <w:szCs w:val="22"/>
        </w:rPr>
        <w:footnoteReference w:id="15"/>
      </w:r>
      <w:r>
        <w:rPr>
          <w:rFonts w:ascii="Arial" w:hAnsi="Arial" w:cs="Arial"/>
          <w:b/>
          <w:sz w:val="22"/>
          <w:szCs w:val="22"/>
        </w:rPr>
        <w:t>), neboť</w:t>
      </w:r>
      <w:r w:rsidRPr="001233B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="00FA5C80" w:rsidRPr="001233B8">
        <w:rPr>
          <w:rFonts w:ascii="Arial" w:hAnsi="Arial" w:cs="Arial"/>
          <w:b/>
          <w:sz w:val="22"/>
          <w:szCs w:val="22"/>
        </w:rPr>
        <w:t>ro účetní období roku 2012 přetrvávala</w:t>
      </w:r>
      <w:r w:rsidR="00A529C6">
        <w:rPr>
          <w:rFonts w:ascii="Arial" w:hAnsi="Arial" w:cs="Arial"/>
          <w:b/>
          <w:sz w:val="22"/>
          <w:szCs w:val="22"/>
        </w:rPr>
        <w:t xml:space="preserve">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A529C6">
        <w:rPr>
          <w:rFonts w:ascii="Arial" w:hAnsi="Arial" w:cs="Arial"/>
          <w:b/>
          <w:sz w:val="22"/>
          <w:szCs w:val="22"/>
        </w:rPr>
        <w:t>účetní regulaci</w:t>
      </w:r>
      <w:r w:rsidR="00FA5C80" w:rsidRPr="001233B8">
        <w:rPr>
          <w:rFonts w:ascii="Arial" w:hAnsi="Arial" w:cs="Arial"/>
          <w:b/>
          <w:sz w:val="22"/>
          <w:szCs w:val="22"/>
        </w:rPr>
        <w:t xml:space="preserve"> nedostatečná úprava oblasti předfinancování výdajů</w:t>
      </w:r>
      <w:r w:rsidR="00A529C6">
        <w:rPr>
          <w:rFonts w:ascii="Arial" w:hAnsi="Arial" w:cs="Arial"/>
          <w:b/>
          <w:sz w:val="22"/>
          <w:szCs w:val="22"/>
        </w:rPr>
        <w:t xml:space="preserve"> státního rozpočtu</w:t>
      </w:r>
      <w:r w:rsidR="00FA5C80" w:rsidRPr="001233B8">
        <w:rPr>
          <w:rFonts w:ascii="Arial" w:hAnsi="Arial" w:cs="Arial"/>
          <w:b/>
          <w:sz w:val="22"/>
          <w:szCs w:val="22"/>
        </w:rPr>
        <w:t xml:space="preserve">, jež mají být </w:t>
      </w:r>
      <w:r w:rsidR="00A529C6">
        <w:rPr>
          <w:rFonts w:ascii="Arial" w:hAnsi="Arial" w:cs="Arial"/>
          <w:b/>
          <w:sz w:val="22"/>
          <w:szCs w:val="22"/>
        </w:rPr>
        <w:t xml:space="preserve">následně </w:t>
      </w:r>
      <w:r w:rsidR="00FA5C80" w:rsidRPr="001233B8">
        <w:rPr>
          <w:rFonts w:ascii="Arial" w:hAnsi="Arial" w:cs="Arial"/>
          <w:b/>
          <w:sz w:val="22"/>
          <w:szCs w:val="22"/>
        </w:rPr>
        <w:t>kryty</w:t>
      </w:r>
      <w:r w:rsidR="00A529C6">
        <w:rPr>
          <w:rFonts w:ascii="Arial" w:hAnsi="Arial" w:cs="Arial"/>
          <w:b/>
          <w:sz w:val="22"/>
          <w:szCs w:val="22"/>
        </w:rPr>
        <w:t xml:space="preserve"> </w:t>
      </w:r>
      <w:r w:rsidR="00765F23">
        <w:rPr>
          <w:rFonts w:ascii="Arial" w:hAnsi="Arial" w:cs="Arial"/>
          <w:b/>
          <w:sz w:val="22"/>
          <w:szCs w:val="22"/>
        </w:rPr>
        <w:t>z </w:t>
      </w:r>
      <w:r w:rsidR="00FA5C80" w:rsidRPr="001233B8">
        <w:rPr>
          <w:rFonts w:ascii="Arial" w:hAnsi="Arial" w:cs="Arial"/>
          <w:b/>
          <w:sz w:val="22"/>
          <w:szCs w:val="22"/>
        </w:rPr>
        <w:t>prostředk</w:t>
      </w:r>
      <w:r w:rsidR="00A529C6">
        <w:rPr>
          <w:rFonts w:ascii="Arial" w:hAnsi="Arial" w:cs="Arial"/>
          <w:b/>
          <w:sz w:val="22"/>
          <w:szCs w:val="22"/>
        </w:rPr>
        <w:t>ů rozpočtu</w:t>
      </w:r>
      <w:r w:rsidR="00FA5C80" w:rsidRPr="001233B8">
        <w:rPr>
          <w:rFonts w:ascii="Arial" w:hAnsi="Arial" w:cs="Arial"/>
          <w:b/>
          <w:sz w:val="22"/>
          <w:szCs w:val="22"/>
        </w:rPr>
        <w:t xml:space="preserve"> EU. Informace vykazované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FA5C80" w:rsidRPr="001233B8">
        <w:rPr>
          <w:rFonts w:ascii="Arial" w:hAnsi="Arial" w:cs="Arial"/>
          <w:b/>
          <w:sz w:val="22"/>
          <w:szCs w:val="22"/>
        </w:rPr>
        <w:t xml:space="preserve">souvislosti </w:t>
      </w:r>
      <w:r w:rsidR="00765F23">
        <w:rPr>
          <w:rFonts w:ascii="Arial" w:hAnsi="Arial" w:cs="Arial"/>
          <w:b/>
          <w:sz w:val="22"/>
          <w:szCs w:val="22"/>
        </w:rPr>
        <w:t>s </w:t>
      </w:r>
      <w:r w:rsidR="00FA5C80" w:rsidRPr="001233B8">
        <w:rPr>
          <w:rFonts w:ascii="Arial" w:hAnsi="Arial" w:cs="Arial"/>
          <w:b/>
          <w:sz w:val="22"/>
          <w:szCs w:val="22"/>
        </w:rPr>
        <w:t xml:space="preserve">touto oblastí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FA5C80" w:rsidRPr="001233B8">
        <w:rPr>
          <w:rFonts w:ascii="Arial" w:hAnsi="Arial" w:cs="Arial"/>
          <w:b/>
          <w:sz w:val="22"/>
          <w:szCs w:val="22"/>
        </w:rPr>
        <w:t>účetní</w:t>
      </w:r>
      <w:r w:rsidR="009F798F" w:rsidRPr="001233B8">
        <w:rPr>
          <w:rFonts w:ascii="Arial" w:hAnsi="Arial" w:cs="Arial"/>
          <w:b/>
          <w:sz w:val="22"/>
          <w:szCs w:val="22"/>
        </w:rPr>
        <w:t>ch</w:t>
      </w:r>
      <w:r w:rsidR="00FA5C80" w:rsidRPr="001233B8">
        <w:rPr>
          <w:rFonts w:ascii="Arial" w:hAnsi="Arial" w:cs="Arial"/>
          <w:b/>
          <w:sz w:val="22"/>
          <w:szCs w:val="22"/>
        </w:rPr>
        <w:t xml:space="preserve"> závěrkách jsou přitom u mnoha vybraných účetních jednotek významné, a </w:t>
      </w:r>
      <w:r w:rsidR="00765F23">
        <w:rPr>
          <w:rFonts w:ascii="Arial" w:hAnsi="Arial" w:cs="Arial"/>
          <w:b/>
          <w:sz w:val="22"/>
          <w:szCs w:val="22"/>
        </w:rPr>
        <w:t>z </w:t>
      </w:r>
      <w:r w:rsidR="00FA5C80" w:rsidRPr="001233B8">
        <w:rPr>
          <w:rFonts w:ascii="Arial" w:hAnsi="Arial" w:cs="Arial"/>
          <w:b/>
          <w:sz w:val="22"/>
          <w:szCs w:val="22"/>
        </w:rPr>
        <w:t xml:space="preserve">finančního pohledu tvoří hlavní část účetních výkazů. </w:t>
      </w:r>
      <w:r w:rsidR="00F35A76">
        <w:rPr>
          <w:rFonts w:ascii="Arial" w:hAnsi="Arial" w:cs="Arial"/>
          <w:b/>
          <w:sz w:val="22"/>
          <w:szCs w:val="22"/>
        </w:rPr>
        <w:t xml:space="preserve">Přístup MŠMT k účtování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F35A76">
        <w:rPr>
          <w:rFonts w:ascii="Arial" w:hAnsi="Arial" w:cs="Arial"/>
          <w:b/>
          <w:sz w:val="22"/>
          <w:szCs w:val="22"/>
        </w:rPr>
        <w:t xml:space="preserve">této oblasti je sice promyšleně nastaven </w:t>
      </w:r>
      <w:r w:rsidR="00765F23">
        <w:rPr>
          <w:rFonts w:ascii="Arial" w:hAnsi="Arial" w:cs="Arial"/>
          <w:b/>
          <w:sz w:val="22"/>
          <w:szCs w:val="22"/>
        </w:rPr>
        <w:t>s </w:t>
      </w:r>
      <w:r w:rsidR="00F35A76">
        <w:rPr>
          <w:rFonts w:ascii="Arial" w:hAnsi="Arial" w:cs="Arial"/>
          <w:b/>
          <w:sz w:val="22"/>
          <w:szCs w:val="22"/>
        </w:rPr>
        <w:t xml:space="preserve">ohledem na výkladově možné pojetí zprostředkovatele zahraničního transferu, </w:t>
      </w:r>
      <w:r w:rsidR="00765F23">
        <w:rPr>
          <w:rFonts w:ascii="Arial" w:hAnsi="Arial" w:cs="Arial"/>
          <w:b/>
          <w:sz w:val="22"/>
          <w:szCs w:val="22"/>
        </w:rPr>
        <w:t>z </w:t>
      </w:r>
      <w:r w:rsidR="00F35A76">
        <w:rPr>
          <w:rFonts w:ascii="Arial" w:hAnsi="Arial" w:cs="Arial"/>
          <w:b/>
          <w:sz w:val="22"/>
          <w:szCs w:val="22"/>
        </w:rPr>
        <w:t xml:space="preserve">ČÚS </w:t>
      </w:r>
      <w:r w:rsidR="00957734">
        <w:rPr>
          <w:rFonts w:ascii="Arial" w:hAnsi="Arial" w:cs="Arial"/>
          <w:b/>
          <w:sz w:val="22"/>
          <w:szCs w:val="22"/>
        </w:rPr>
        <w:t xml:space="preserve">č. </w:t>
      </w:r>
      <w:r w:rsidR="00F35A76">
        <w:rPr>
          <w:rFonts w:ascii="Arial" w:hAnsi="Arial" w:cs="Arial"/>
          <w:b/>
          <w:sz w:val="22"/>
          <w:szCs w:val="22"/>
        </w:rPr>
        <w:t xml:space="preserve">703 však lze vyvozovat i jiné přijatelné výklady. </w:t>
      </w:r>
    </w:p>
    <w:p w:rsidR="009A08BE" w:rsidRPr="001233B8" w:rsidRDefault="009A08BE" w:rsidP="000032DA">
      <w:pPr>
        <w:jc w:val="both"/>
        <w:rPr>
          <w:rFonts w:ascii="Arial" w:hAnsi="Arial" w:cs="Arial"/>
          <w:b/>
          <w:sz w:val="22"/>
          <w:szCs w:val="22"/>
        </w:rPr>
      </w:pPr>
    </w:p>
    <w:p w:rsidR="004029FE" w:rsidRPr="0070629B" w:rsidRDefault="002569B5" w:rsidP="000032DA">
      <w:pPr>
        <w:jc w:val="both"/>
        <w:rPr>
          <w:rFonts w:ascii="Arial" w:hAnsi="Arial" w:cs="Arial"/>
          <w:sz w:val="22"/>
          <w:szCs w:val="22"/>
        </w:rPr>
      </w:pPr>
      <w:r w:rsidRPr="00EA5075">
        <w:rPr>
          <w:rFonts w:ascii="Arial" w:hAnsi="Arial" w:cs="Arial"/>
          <w:b/>
          <w:sz w:val="22"/>
          <w:szCs w:val="22"/>
        </w:rPr>
        <w:t xml:space="preserve">Nejednoznačnost a nejasnost aplikace účetních předpisů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Pr="00EA5075">
        <w:rPr>
          <w:rFonts w:ascii="Arial" w:hAnsi="Arial" w:cs="Arial"/>
          <w:b/>
          <w:sz w:val="22"/>
          <w:szCs w:val="22"/>
        </w:rPr>
        <w:t>této oblasti ne</w:t>
      </w:r>
      <w:r w:rsidR="00323EE3">
        <w:rPr>
          <w:rFonts w:ascii="Arial" w:hAnsi="Arial" w:cs="Arial"/>
          <w:b/>
          <w:sz w:val="22"/>
          <w:szCs w:val="22"/>
        </w:rPr>
        <w:t>jsou</w:t>
      </w:r>
      <w:r w:rsidRPr="00EA5075">
        <w:rPr>
          <w:rFonts w:ascii="Arial" w:hAnsi="Arial" w:cs="Arial"/>
          <w:b/>
          <w:sz w:val="22"/>
          <w:szCs w:val="22"/>
        </w:rPr>
        <w:t xml:space="preserve"> dáván</w:t>
      </w:r>
      <w:r w:rsidR="00323EE3">
        <w:rPr>
          <w:rFonts w:ascii="Arial" w:hAnsi="Arial" w:cs="Arial"/>
          <w:b/>
          <w:sz w:val="22"/>
          <w:szCs w:val="22"/>
        </w:rPr>
        <w:t>y</w:t>
      </w:r>
      <w:r w:rsidRPr="00EA5075">
        <w:rPr>
          <w:rFonts w:ascii="Arial" w:hAnsi="Arial" w:cs="Arial"/>
          <w:b/>
          <w:sz w:val="22"/>
          <w:szCs w:val="22"/>
        </w:rPr>
        <w:t xml:space="preserve"> k tíži MŠMT</w:t>
      </w:r>
      <w:r w:rsidRPr="0070629B">
        <w:rPr>
          <w:rFonts w:ascii="Arial" w:hAnsi="Arial" w:cs="Arial"/>
          <w:sz w:val="22"/>
          <w:szCs w:val="22"/>
        </w:rPr>
        <w:t>, současně však ved</w:t>
      </w:r>
      <w:r w:rsidR="00323EE3">
        <w:rPr>
          <w:rFonts w:ascii="Arial" w:hAnsi="Arial" w:cs="Arial"/>
          <w:sz w:val="22"/>
          <w:szCs w:val="22"/>
        </w:rPr>
        <w:t>ou</w:t>
      </w:r>
      <w:r w:rsidRPr="0070629B">
        <w:rPr>
          <w:rFonts w:ascii="Arial" w:hAnsi="Arial" w:cs="Arial"/>
          <w:sz w:val="22"/>
          <w:szCs w:val="22"/>
        </w:rPr>
        <w:t xml:space="preserve"> </w:t>
      </w:r>
      <w:r w:rsidR="00765F23">
        <w:rPr>
          <w:rFonts w:ascii="Arial" w:hAnsi="Arial" w:cs="Arial"/>
          <w:sz w:val="22"/>
          <w:szCs w:val="22"/>
        </w:rPr>
        <w:t>k </w:t>
      </w:r>
      <w:r w:rsidRPr="0070629B">
        <w:rPr>
          <w:rFonts w:ascii="Arial" w:hAnsi="Arial" w:cs="Arial"/>
          <w:sz w:val="22"/>
          <w:szCs w:val="22"/>
        </w:rPr>
        <w:t xml:space="preserve">tomu, že uživatelům účetní závěrky </w:t>
      </w:r>
      <w:r w:rsidR="00323EE3" w:rsidRPr="0070629B">
        <w:rPr>
          <w:rFonts w:ascii="Arial" w:hAnsi="Arial" w:cs="Arial"/>
          <w:sz w:val="22"/>
          <w:szCs w:val="22"/>
        </w:rPr>
        <w:t xml:space="preserve">nelze poskytnout </w:t>
      </w:r>
      <w:r w:rsidRPr="0070629B">
        <w:rPr>
          <w:rFonts w:ascii="Arial" w:hAnsi="Arial" w:cs="Arial"/>
          <w:sz w:val="22"/>
          <w:szCs w:val="22"/>
        </w:rPr>
        <w:t>informaci o tom, zda účetní závěrka podává</w:t>
      </w:r>
      <w:r w:rsidR="00323EE3">
        <w:rPr>
          <w:rFonts w:ascii="Arial" w:hAnsi="Arial" w:cs="Arial"/>
          <w:sz w:val="22"/>
          <w:szCs w:val="22"/>
        </w:rPr>
        <w:t>,</w:t>
      </w:r>
      <w:r w:rsidRPr="0070629B">
        <w:rPr>
          <w:rFonts w:ascii="Arial" w:hAnsi="Arial" w:cs="Arial"/>
          <w:sz w:val="22"/>
          <w:szCs w:val="22"/>
        </w:rPr>
        <w:t xml:space="preserve"> či nepodává věrný a poctivý obraz předmětu účetnictví a finanční situace účetní jednotky dle § 7 odst. 1 zákona o účetnictví, neboť při jiném výkladu nejednoznačných ustanovení účetních předpisů by mohly být podány informace jiné, které by mohly jiným způsobem ovlivnit rozhodování a úsudek uživatele účetní závěrky.</w:t>
      </w:r>
      <w:r w:rsidR="005F3102">
        <w:rPr>
          <w:rFonts w:ascii="Arial" w:hAnsi="Arial" w:cs="Arial"/>
          <w:sz w:val="22"/>
          <w:szCs w:val="22"/>
        </w:rPr>
        <w:t xml:space="preserve">  </w:t>
      </w:r>
    </w:p>
    <w:p w:rsidR="004029FE" w:rsidRDefault="004029FE" w:rsidP="000032DA">
      <w:pPr>
        <w:jc w:val="both"/>
        <w:rPr>
          <w:rFonts w:ascii="Arial" w:hAnsi="Arial" w:cs="Arial"/>
          <w:b/>
          <w:sz w:val="22"/>
          <w:szCs w:val="22"/>
        </w:rPr>
      </w:pPr>
    </w:p>
    <w:p w:rsidR="00862FC9" w:rsidRPr="00F52CE0" w:rsidRDefault="00862FC9" w:rsidP="00E50173">
      <w:pPr>
        <w:pStyle w:val="Titulek"/>
        <w:tabs>
          <w:tab w:val="left" w:pos="8505"/>
        </w:tabs>
        <w:spacing w:before="0" w:after="40"/>
        <w:ind w:left="1134" w:right="-2" w:hanging="113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Graf</w:t>
      </w:r>
      <w:r w:rsidRPr="00F52CE0">
        <w:rPr>
          <w:rFonts w:ascii="Arial" w:hAnsi="Arial" w:cs="Arial"/>
          <w:bCs w:val="0"/>
          <w:sz w:val="22"/>
          <w:szCs w:val="22"/>
        </w:rPr>
        <w:t xml:space="preserve"> č. </w:t>
      </w:r>
      <w:r>
        <w:rPr>
          <w:rFonts w:ascii="Arial" w:hAnsi="Arial" w:cs="Arial"/>
          <w:bCs w:val="0"/>
          <w:sz w:val="22"/>
          <w:szCs w:val="22"/>
        </w:rPr>
        <w:t>3</w:t>
      </w:r>
      <w:r w:rsidRPr="00F52CE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52CE0">
        <w:rPr>
          <w:rFonts w:ascii="Arial" w:hAnsi="Arial" w:cs="Arial"/>
          <w:bCs w:val="0"/>
          <w:sz w:val="22"/>
          <w:szCs w:val="22"/>
        </w:rPr>
        <w:t>–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="000A788F">
        <w:rPr>
          <w:rFonts w:ascii="Arial" w:hAnsi="Arial" w:cs="Arial"/>
          <w:bCs w:val="0"/>
          <w:sz w:val="22"/>
          <w:szCs w:val="22"/>
        </w:rPr>
        <w:t>Srovnání</w:t>
      </w:r>
      <w:r>
        <w:rPr>
          <w:rFonts w:ascii="Arial" w:hAnsi="Arial" w:cs="Arial"/>
          <w:bCs w:val="0"/>
          <w:sz w:val="22"/>
          <w:szCs w:val="22"/>
        </w:rPr>
        <w:t xml:space="preserve"> celkových zjištěných nesprávností a </w:t>
      </w:r>
      <w:r w:rsidR="000A788F">
        <w:rPr>
          <w:rFonts w:ascii="Arial" w:hAnsi="Arial" w:cs="Arial"/>
          <w:bCs w:val="0"/>
          <w:sz w:val="22"/>
          <w:szCs w:val="22"/>
        </w:rPr>
        <w:t xml:space="preserve">celkové </w:t>
      </w:r>
      <w:r>
        <w:rPr>
          <w:rFonts w:ascii="Arial" w:hAnsi="Arial" w:cs="Arial"/>
          <w:bCs w:val="0"/>
          <w:sz w:val="22"/>
          <w:szCs w:val="22"/>
        </w:rPr>
        <w:t>část</w:t>
      </w:r>
      <w:r w:rsidR="000A788F">
        <w:rPr>
          <w:rFonts w:ascii="Arial" w:hAnsi="Arial" w:cs="Arial"/>
          <w:bCs w:val="0"/>
          <w:sz w:val="22"/>
          <w:szCs w:val="22"/>
        </w:rPr>
        <w:t>ky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="00765F23">
        <w:rPr>
          <w:rFonts w:ascii="Arial" w:hAnsi="Arial" w:cs="Arial"/>
          <w:bCs w:val="0"/>
          <w:sz w:val="22"/>
          <w:szCs w:val="22"/>
        </w:rPr>
        <w:t>z </w:t>
      </w:r>
      <w:r>
        <w:rPr>
          <w:rFonts w:ascii="Arial" w:hAnsi="Arial" w:cs="Arial"/>
          <w:bCs w:val="0"/>
          <w:sz w:val="22"/>
          <w:szCs w:val="22"/>
        </w:rPr>
        <w:t>položek ÚZ, ke kter</w:t>
      </w:r>
      <w:r w:rsidR="000A788F">
        <w:rPr>
          <w:rFonts w:ascii="Arial" w:hAnsi="Arial" w:cs="Arial"/>
          <w:bCs w:val="0"/>
          <w:sz w:val="22"/>
          <w:szCs w:val="22"/>
        </w:rPr>
        <w:t>é</w:t>
      </w:r>
      <w:r>
        <w:rPr>
          <w:rFonts w:ascii="Arial" w:hAnsi="Arial" w:cs="Arial"/>
          <w:bCs w:val="0"/>
          <w:sz w:val="22"/>
          <w:szCs w:val="22"/>
        </w:rPr>
        <w:t xml:space="preserve"> se NKÚ nevyj</w:t>
      </w:r>
      <w:r w:rsidR="000A788F">
        <w:rPr>
          <w:rFonts w:ascii="Arial" w:hAnsi="Arial" w:cs="Arial"/>
          <w:bCs w:val="0"/>
          <w:sz w:val="22"/>
          <w:szCs w:val="22"/>
        </w:rPr>
        <w:t>ádřil</w:t>
      </w:r>
    </w:p>
    <w:p w:rsidR="00C74239" w:rsidRDefault="00674FAD" w:rsidP="000F51E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0629B">
        <w:rPr>
          <w:rFonts w:ascii="Arial" w:hAnsi="Arial" w:cs="Arial"/>
          <w:b/>
          <w:noProof/>
          <w:sz w:val="22"/>
          <w:szCs w:val="22"/>
          <w:lang w:eastAsia="cs-CZ"/>
        </w:rPr>
        <w:drawing>
          <wp:inline distT="0" distB="0" distL="0" distR="0" wp14:anchorId="1F1466E4" wp14:editId="6CBC0C4C">
            <wp:extent cx="5759450" cy="259270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č. 3 a 4, bez des. mís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239" w:rsidRPr="00323EE3" w:rsidRDefault="00AC500B" w:rsidP="000032DA">
      <w:pPr>
        <w:jc w:val="both"/>
        <w:rPr>
          <w:rFonts w:ascii="Arial" w:hAnsi="Arial" w:cs="Arial"/>
          <w:b/>
          <w:sz w:val="22"/>
          <w:szCs w:val="22"/>
        </w:rPr>
      </w:pPr>
      <w:r w:rsidRPr="00B665CE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B665CE">
        <w:rPr>
          <w:rFonts w:ascii="Arial" w:hAnsi="Arial" w:cs="Arial"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sz w:val="18"/>
          <w:szCs w:val="18"/>
          <w:lang w:eastAsia="cs-CZ"/>
        </w:rPr>
        <w:t>kontrolní závěry NKÚ</w:t>
      </w:r>
      <w:r w:rsidR="00D8654B">
        <w:rPr>
          <w:rFonts w:ascii="Arial" w:hAnsi="Arial" w:cs="Arial"/>
          <w:sz w:val="18"/>
          <w:szCs w:val="18"/>
          <w:vertAlign w:val="superscript"/>
          <w:lang w:eastAsia="cs-CZ"/>
        </w:rPr>
        <w:t>1)</w:t>
      </w:r>
      <w:r w:rsidR="00323EE3">
        <w:rPr>
          <w:rFonts w:ascii="Arial" w:hAnsi="Arial" w:cs="Arial"/>
          <w:sz w:val="18"/>
          <w:szCs w:val="18"/>
          <w:lang w:eastAsia="cs-CZ"/>
        </w:rPr>
        <w:t>.</w:t>
      </w:r>
    </w:p>
    <w:p w:rsidR="00AC500B" w:rsidRDefault="00AC500B" w:rsidP="000032DA">
      <w:pPr>
        <w:jc w:val="both"/>
        <w:rPr>
          <w:rFonts w:ascii="Arial" w:hAnsi="Arial" w:cs="Arial"/>
          <w:b/>
          <w:sz w:val="22"/>
          <w:szCs w:val="22"/>
        </w:rPr>
      </w:pPr>
    </w:p>
    <w:p w:rsidR="00B562E6" w:rsidRDefault="00BB74FB" w:rsidP="000032DA">
      <w:pPr>
        <w:jc w:val="both"/>
        <w:rPr>
          <w:rFonts w:ascii="Arial" w:hAnsi="Arial" w:cs="Arial"/>
          <w:b/>
          <w:sz w:val="22"/>
          <w:szCs w:val="22"/>
        </w:rPr>
      </w:pPr>
      <w:r w:rsidRPr="001233B8">
        <w:rPr>
          <w:rFonts w:ascii="Arial" w:hAnsi="Arial" w:cs="Arial"/>
          <w:b/>
          <w:sz w:val="22"/>
          <w:szCs w:val="22"/>
        </w:rPr>
        <w:t>Kontrol</w:t>
      </w:r>
      <w:r w:rsidR="00F35A76">
        <w:rPr>
          <w:rFonts w:ascii="Arial" w:hAnsi="Arial" w:cs="Arial"/>
          <w:b/>
          <w:sz w:val="22"/>
          <w:szCs w:val="22"/>
        </w:rPr>
        <w:t>a</w:t>
      </w:r>
      <w:r w:rsidR="00957734">
        <w:rPr>
          <w:rFonts w:ascii="Arial" w:hAnsi="Arial" w:cs="Arial"/>
          <w:b/>
          <w:sz w:val="22"/>
          <w:szCs w:val="22"/>
        </w:rPr>
        <w:t xml:space="preserve"> </w:t>
      </w:r>
      <w:r w:rsidR="00CD4A1C" w:rsidRPr="001233B8">
        <w:rPr>
          <w:rFonts w:ascii="Arial" w:hAnsi="Arial" w:cs="Arial"/>
          <w:b/>
          <w:sz w:val="22"/>
          <w:szCs w:val="22"/>
        </w:rPr>
        <w:t>nav</w:t>
      </w:r>
      <w:r w:rsidR="00323EE3">
        <w:rPr>
          <w:rFonts w:ascii="Arial" w:hAnsi="Arial" w:cs="Arial"/>
          <w:b/>
          <w:sz w:val="22"/>
          <w:szCs w:val="22"/>
        </w:rPr>
        <w:t>ázala</w:t>
      </w:r>
      <w:r w:rsidR="00CD4A1C" w:rsidRPr="001233B8">
        <w:rPr>
          <w:rFonts w:ascii="Arial" w:hAnsi="Arial" w:cs="Arial"/>
          <w:b/>
          <w:sz w:val="22"/>
          <w:szCs w:val="22"/>
        </w:rPr>
        <w:t xml:space="preserve"> svým zaměřením</w:t>
      </w:r>
      <w:r w:rsidRPr="001233B8">
        <w:rPr>
          <w:rFonts w:ascii="Arial" w:hAnsi="Arial" w:cs="Arial"/>
          <w:b/>
          <w:sz w:val="22"/>
          <w:szCs w:val="22"/>
        </w:rPr>
        <w:t xml:space="preserve"> na předchozí</w:t>
      </w:r>
      <w:r w:rsidR="00CD4A1C" w:rsidRPr="001233B8">
        <w:rPr>
          <w:rFonts w:ascii="Arial" w:hAnsi="Arial" w:cs="Arial"/>
          <w:b/>
          <w:sz w:val="22"/>
          <w:szCs w:val="22"/>
        </w:rPr>
        <w:t xml:space="preserve">ch šest </w:t>
      </w:r>
      <w:r w:rsidRPr="001233B8">
        <w:rPr>
          <w:rFonts w:ascii="Arial" w:hAnsi="Arial" w:cs="Arial"/>
          <w:b/>
          <w:sz w:val="22"/>
          <w:szCs w:val="22"/>
        </w:rPr>
        <w:t>kontrolní</w:t>
      </w:r>
      <w:r w:rsidR="00CD4A1C" w:rsidRPr="001233B8">
        <w:rPr>
          <w:rFonts w:ascii="Arial" w:hAnsi="Arial" w:cs="Arial"/>
          <w:b/>
          <w:sz w:val="22"/>
          <w:szCs w:val="22"/>
        </w:rPr>
        <w:t>ch</w:t>
      </w:r>
      <w:r w:rsidRPr="001233B8">
        <w:rPr>
          <w:rFonts w:ascii="Arial" w:hAnsi="Arial" w:cs="Arial"/>
          <w:b/>
          <w:sz w:val="22"/>
          <w:szCs w:val="22"/>
        </w:rPr>
        <w:t xml:space="preserve"> akc</w:t>
      </w:r>
      <w:r w:rsidR="00CD4A1C" w:rsidRPr="001233B8">
        <w:rPr>
          <w:rFonts w:ascii="Arial" w:hAnsi="Arial" w:cs="Arial"/>
          <w:b/>
          <w:sz w:val="22"/>
          <w:szCs w:val="22"/>
        </w:rPr>
        <w:t>í</w:t>
      </w:r>
      <w:r w:rsidR="00F35A76">
        <w:rPr>
          <w:rFonts w:ascii="Arial" w:hAnsi="Arial" w:cs="Arial"/>
          <w:b/>
          <w:sz w:val="22"/>
          <w:szCs w:val="22"/>
        </w:rPr>
        <w:t xml:space="preserve"> realizovaných </w:t>
      </w:r>
      <w:r w:rsidRPr="001233B8">
        <w:rPr>
          <w:rFonts w:ascii="Arial" w:hAnsi="Arial" w:cs="Arial"/>
          <w:b/>
          <w:sz w:val="22"/>
          <w:szCs w:val="22"/>
        </w:rPr>
        <w:t>u MŠMT.</w:t>
      </w:r>
      <w:r w:rsidR="00CD4A1C" w:rsidRPr="001233B8">
        <w:rPr>
          <w:rFonts w:ascii="Arial" w:hAnsi="Arial" w:cs="Arial"/>
          <w:b/>
          <w:sz w:val="22"/>
          <w:szCs w:val="22"/>
        </w:rPr>
        <w:t xml:space="preserve"> </w:t>
      </w:r>
      <w:r w:rsidRPr="001233B8">
        <w:rPr>
          <w:rFonts w:ascii="Arial" w:hAnsi="Arial" w:cs="Arial"/>
          <w:b/>
          <w:sz w:val="22"/>
          <w:szCs w:val="22"/>
        </w:rPr>
        <w:t xml:space="preserve">U prvních čtyř se NKÚ vyjádřil ke spolehlivosti účetní závěrky a </w:t>
      </w:r>
      <w:r w:rsidR="00845052">
        <w:rPr>
          <w:rFonts w:ascii="Arial" w:hAnsi="Arial" w:cs="Arial"/>
          <w:b/>
          <w:sz w:val="22"/>
          <w:szCs w:val="22"/>
        </w:rPr>
        <w:t>(</w:t>
      </w:r>
      <w:r w:rsidR="00765F23">
        <w:rPr>
          <w:rFonts w:ascii="Arial" w:hAnsi="Arial" w:cs="Arial"/>
          <w:b/>
          <w:sz w:val="22"/>
          <w:szCs w:val="22"/>
        </w:rPr>
        <w:t>s </w:t>
      </w:r>
      <w:r w:rsidRPr="001233B8">
        <w:rPr>
          <w:rFonts w:ascii="Arial" w:hAnsi="Arial" w:cs="Arial"/>
          <w:b/>
          <w:sz w:val="22"/>
          <w:szCs w:val="22"/>
        </w:rPr>
        <w:t>výjimkou kontrolní akce č. 06/21</w:t>
      </w:r>
      <w:r w:rsidR="00845052">
        <w:rPr>
          <w:rFonts w:ascii="Arial" w:hAnsi="Arial" w:cs="Arial"/>
          <w:b/>
          <w:sz w:val="22"/>
          <w:szCs w:val="22"/>
        </w:rPr>
        <w:t>)</w:t>
      </w:r>
      <w:r w:rsidRPr="001233B8">
        <w:rPr>
          <w:rFonts w:ascii="Arial" w:hAnsi="Arial" w:cs="Arial"/>
          <w:b/>
          <w:sz w:val="22"/>
          <w:szCs w:val="22"/>
        </w:rPr>
        <w:t xml:space="preserve"> konstatoval, že </w:t>
      </w:r>
      <w:r w:rsidR="00335970" w:rsidRPr="001233B8">
        <w:rPr>
          <w:rFonts w:ascii="Arial" w:hAnsi="Arial" w:cs="Arial"/>
          <w:b/>
          <w:sz w:val="22"/>
          <w:szCs w:val="22"/>
        </w:rPr>
        <w:t>pr</w:t>
      </w:r>
      <w:r w:rsidRPr="001233B8">
        <w:rPr>
          <w:rFonts w:ascii="Arial" w:hAnsi="Arial" w:cs="Arial"/>
          <w:b/>
          <w:sz w:val="22"/>
          <w:szCs w:val="22"/>
        </w:rPr>
        <w:t xml:space="preserve">ověřovaná účetní závěrka podává věrný a poctivý obraz předmětu účetnictví. </w:t>
      </w:r>
      <w:r w:rsidR="00BD1709" w:rsidRPr="001233B8">
        <w:rPr>
          <w:rFonts w:ascii="Arial" w:hAnsi="Arial" w:cs="Arial"/>
          <w:b/>
          <w:sz w:val="22"/>
          <w:szCs w:val="22"/>
        </w:rPr>
        <w:t xml:space="preserve">Od kontrolní akce č. 10/20, </w:t>
      </w:r>
      <w:r w:rsidR="00765F23">
        <w:rPr>
          <w:rFonts w:ascii="Arial" w:hAnsi="Arial" w:cs="Arial"/>
          <w:b/>
          <w:sz w:val="22"/>
          <w:szCs w:val="22"/>
        </w:rPr>
        <w:t>v</w:t>
      </w:r>
      <w:r w:rsidR="00323EE3">
        <w:rPr>
          <w:rFonts w:ascii="Arial" w:hAnsi="Arial" w:cs="Arial"/>
          <w:b/>
          <w:sz w:val="22"/>
          <w:szCs w:val="22"/>
        </w:rPr>
        <w:t xml:space="preserve"> jejímž </w:t>
      </w:r>
      <w:r w:rsidR="00BD1709" w:rsidRPr="001233B8">
        <w:rPr>
          <w:rFonts w:ascii="Arial" w:hAnsi="Arial" w:cs="Arial"/>
          <w:b/>
          <w:sz w:val="22"/>
          <w:szCs w:val="22"/>
        </w:rPr>
        <w:t xml:space="preserve">rámci byla </w:t>
      </w:r>
      <w:r w:rsidR="00335970" w:rsidRPr="001233B8">
        <w:rPr>
          <w:rFonts w:ascii="Arial" w:hAnsi="Arial" w:cs="Arial"/>
          <w:b/>
          <w:sz w:val="22"/>
          <w:szCs w:val="22"/>
        </w:rPr>
        <w:t>pr</w:t>
      </w:r>
      <w:r w:rsidR="00BD1709" w:rsidRPr="001233B8">
        <w:rPr>
          <w:rFonts w:ascii="Arial" w:hAnsi="Arial" w:cs="Arial"/>
          <w:b/>
          <w:sz w:val="22"/>
          <w:szCs w:val="22"/>
        </w:rPr>
        <w:t xml:space="preserve">ověřována účetní závěrka již reflektující významné změny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BD1709" w:rsidRPr="001233B8">
        <w:rPr>
          <w:rFonts w:ascii="Arial" w:hAnsi="Arial" w:cs="Arial"/>
          <w:b/>
          <w:sz w:val="22"/>
          <w:szCs w:val="22"/>
        </w:rPr>
        <w:t xml:space="preserve">souvislosti </w:t>
      </w:r>
      <w:r w:rsidR="00765F23">
        <w:rPr>
          <w:rFonts w:ascii="Arial" w:hAnsi="Arial" w:cs="Arial"/>
          <w:b/>
          <w:sz w:val="22"/>
          <w:szCs w:val="22"/>
        </w:rPr>
        <w:t>s </w:t>
      </w:r>
      <w:r w:rsidR="00BD1709" w:rsidRPr="001233B8">
        <w:rPr>
          <w:rFonts w:ascii="Arial" w:hAnsi="Arial" w:cs="Arial"/>
          <w:b/>
          <w:sz w:val="22"/>
          <w:szCs w:val="22"/>
        </w:rPr>
        <w:t>reform</w:t>
      </w:r>
      <w:r w:rsidR="00CD4A1C" w:rsidRPr="001233B8">
        <w:rPr>
          <w:rFonts w:ascii="Arial" w:hAnsi="Arial" w:cs="Arial"/>
          <w:b/>
          <w:sz w:val="22"/>
          <w:szCs w:val="22"/>
        </w:rPr>
        <w:t>ou</w:t>
      </w:r>
      <w:r w:rsidR="00BD1709" w:rsidRPr="001233B8">
        <w:rPr>
          <w:rFonts w:ascii="Arial" w:hAnsi="Arial" w:cs="Arial"/>
          <w:b/>
          <w:sz w:val="22"/>
          <w:szCs w:val="22"/>
        </w:rPr>
        <w:t xml:space="preserve"> účetnictví státu, je NKÚ limitován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BD1709" w:rsidRPr="001233B8">
        <w:rPr>
          <w:rFonts w:ascii="Arial" w:hAnsi="Arial" w:cs="Arial"/>
          <w:b/>
          <w:sz w:val="22"/>
          <w:szCs w:val="22"/>
        </w:rPr>
        <w:t>možnosti vyjádřit se ke spolehlivosti účetní závěrky stavem právních předpisů</w:t>
      </w:r>
      <w:r w:rsidR="00CD4A1C" w:rsidRPr="001233B8">
        <w:rPr>
          <w:rFonts w:ascii="Arial" w:hAnsi="Arial" w:cs="Arial"/>
          <w:b/>
          <w:sz w:val="22"/>
          <w:szCs w:val="22"/>
        </w:rPr>
        <w:t xml:space="preserve">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CD4A1C" w:rsidRPr="001233B8">
        <w:rPr>
          <w:rFonts w:ascii="Arial" w:hAnsi="Arial" w:cs="Arial"/>
          <w:b/>
          <w:sz w:val="22"/>
          <w:szCs w:val="22"/>
        </w:rPr>
        <w:t>oblasti účetnictví</w:t>
      </w:r>
      <w:r w:rsidR="00BD1709" w:rsidRPr="001233B8">
        <w:rPr>
          <w:rFonts w:ascii="Arial" w:hAnsi="Arial" w:cs="Arial"/>
          <w:b/>
          <w:sz w:val="22"/>
          <w:szCs w:val="22"/>
        </w:rPr>
        <w:t xml:space="preserve">. </w:t>
      </w:r>
      <w:r w:rsidR="00EA5075">
        <w:rPr>
          <w:rFonts w:ascii="Arial" w:hAnsi="Arial" w:cs="Arial"/>
          <w:b/>
          <w:sz w:val="22"/>
          <w:szCs w:val="22"/>
        </w:rPr>
        <w:t>O</w:t>
      </w:r>
      <w:r w:rsidR="00BD1709" w:rsidRPr="001233B8">
        <w:rPr>
          <w:rFonts w:ascii="Arial" w:hAnsi="Arial" w:cs="Arial"/>
          <w:b/>
          <w:sz w:val="22"/>
          <w:szCs w:val="22"/>
        </w:rPr>
        <w:t>d kontrolní akce č.</w:t>
      </w:r>
      <w:r w:rsidR="00984D3D">
        <w:rPr>
          <w:rFonts w:ascii="Arial" w:hAnsi="Arial" w:cs="Arial"/>
          <w:b/>
          <w:sz w:val="22"/>
          <w:szCs w:val="22"/>
        </w:rPr>
        <w:t> </w:t>
      </w:r>
      <w:r w:rsidR="00BD1709" w:rsidRPr="001233B8">
        <w:rPr>
          <w:rFonts w:ascii="Arial" w:hAnsi="Arial" w:cs="Arial"/>
          <w:b/>
          <w:sz w:val="22"/>
          <w:szCs w:val="22"/>
        </w:rPr>
        <w:t>10/20</w:t>
      </w:r>
      <w:r w:rsidR="00EA5075">
        <w:rPr>
          <w:rFonts w:ascii="Arial" w:hAnsi="Arial" w:cs="Arial"/>
          <w:b/>
          <w:sz w:val="22"/>
          <w:szCs w:val="22"/>
        </w:rPr>
        <w:t xml:space="preserve"> se</w:t>
      </w:r>
      <w:r w:rsidR="00BD1709" w:rsidRPr="001233B8">
        <w:rPr>
          <w:rFonts w:ascii="Arial" w:hAnsi="Arial" w:cs="Arial"/>
          <w:b/>
          <w:sz w:val="22"/>
          <w:szCs w:val="22"/>
        </w:rPr>
        <w:t xml:space="preserve"> částka</w:t>
      </w:r>
      <w:r w:rsidR="0094479C">
        <w:rPr>
          <w:rFonts w:ascii="Arial" w:hAnsi="Arial" w:cs="Arial"/>
          <w:b/>
          <w:sz w:val="22"/>
          <w:szCs w:val="22"/>
        </w:rPr>
        <w:t xml:space="preserve"> </w:t>
      </w:r>
      <w:r w:rsidR="00BD1709" w:rsidRPr="001233B8">
        <w:rPr>
          <w:rFonts w:ascii="Arial" w:hAnsi="Arial" w:cs="Arial"/>
          <w:b/>
          <w:sz w:val="22"/>
          <w:szCs w:val="22"/>
        </w:rPr>
        <w:t xml:space="preserve">zjištěných </w:t>
      </w:r>
      <w:r w:rsidR="00F35A76">
        <w:rPr>
          <w:rFonts w:ascii="Arial" w:hAnsi="Arial" w:cs="Arial"/>
          <w:b/>
          <w:sz w:val="22"/>
          <w:szCs w:val="22"/>
        </w:rPr>
        <w:t xml:space="preserve">celkových </w:t>
      </w:r>
      <w:r w:rsidR="00BD1709" w:rsidRPr="001233B8">
        <w:rPr>
          <w:rFonts w:ascii="Arial" w:hAnsi="Arial" w:cs="Arial"/>
          <w:b/>
          <w:sz w:val="22"/>
          <w:szCs w:val="22"/>
        </w:rPr>
        <w:t xml:space="preserve">nesprávností u MŠMT snižuje až po </w:t>
      </w:r>
      <w:r w:rsidR="00F35A76">
        <w:rPr>
          <w:rFonts w:ascii="Arial" w:hAnsi="Arial" w:cs="Arial"/>
          <w:b/>
          <w:sz w:val="22"/>
          <w:szCs w:val="22"/>
        </w:rPr>
        <w:t>jej</w:t>
      </w:r>
      <w:r w:rsidR="00EA5075">
        <w:rPr>
          <w:rFonts w:ascii="Arial" w:hAnsi="Arial" w:cs="Arial"/>
          <w:b/>
          <w:sz w:val="22"/>
          <w:szCs w:val="22"/>
        </w:rPr>
        <w:t>í</w:t>
      </w:r>
      <w:r w:rsidR="00F35A76">
        <w:rPr>
          <w:rFonts w:ascii="Arial" w:hAnsi="Arial" w:cs="Arial"/>
          <w:b/>
          <w:sz w:val="22"/>
          <w:szCs w:val="22"/>
        </w:rPr>
        <w:t xml:space="preserve"> </w:t>
      </w:r>
      <w:r w:rsidR="00BD1709" w:rsidRPr="001233B8">
        <w:rPr>
          <w:rFonts w:ascii="Arial" w:hAnsi="Arial" w:cs="Arial"/>
          <w:b/>
          <w:sz w:val="22"/>
          <w:szCs w:val="22"/>
        </w:rPr>
        <w:lastRenderedPageBreak/>
        <w:t>nejnižší hodnotu vyčíslenou v</w:t>
      </w:r>
      <w:r w:rsidR="002B51EB">
        <w:rPr>
          <w:rFonts w:ascii="Arial" w:hAnsi="Arial" w:cs="Arial"/>
          <w:b/>
          <w:sz w:val="22"/>
          <w:szCs w:val="22"/>
        </w:rPr>
        <w:t> </w:t>
      </w:r>
      <w:r w:rsidR="00F35A76">
        <w:rPr>
          <w:rFonts w:ascii="Arial" w:hAnsi="Arial" w:cs="Arial"/>
          <w:b/>
          <w:sz w:val="22"/>
          <w:szCs w:val="22"/>
        </w:rPr>
        <w:t>této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="00BD1709" w:rsidRPr="001233B8">
        <w:rPr>
          <w:rFonts w:ascii="Arial" w:hAnsi="Arial" w:cs="Arial"/>
          <w:b/>
          <w:sz w:val="22"/>
          <w:szCs w:val="22"/>
        </w:rPr>
        <w:t>kontrol</w:t>
      </w:r>
      <w:r w:rsidR="00C63229">
        <w:rPr>
          <w:rFonts w:ascii="Arial" w:hAnsi="Arial" w:cs="Arial"/>
          <w:b/>
          <w:sz w:val="22"/>
          <w:szCs w:val="22"/>
        </w:rPr>
        <w:t>ní akci</w:t>
      </w:r>
      <w:r w:rsidR="00EA5075">
        <w:rPr>
          <w:rFonts w:ascii="Arial" w:hAnsi="Arial" w:cs="Arial"/>
          <w:b/>
          <w:sz w:val="22"/>
          <w:szCs w:val="22"/>
        </w:rPr>
        <w:t xml:space="preserve">. To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EA5075">
        <w:rPr>
          <w:rFonts w:ascii="Arial" w:hAnsi="Arial" w:cs="Arial"/>
          <w:b/>
          <w:sz w:val="22"/>
          <w:szCs w:val="22"/>
        </w:rPr>
        <w:t>jednotlivých letech</w:t>
      </w:r>
      <w:r w:rsidR="00D108CC" w:rsidRPr="001233B8">
        <w:rPr>
          <w:rFonts w:ascii="Arial" w:hAnsi="Arial" w:cs="Arial"/>
          <w:b/>
          <w:sz w:val="22"/>
          <w:szCs w:val="22"/>
        </w:rPr>
        <w:t xml:space="preserve"> vytváří</w:t>
      </w:r>
      <w:r w:rsidR="0070629B">
        <w:rPr>
          <w:rFonts w:ascii="Arial" w:hAnsi="Arial" w:cs="Arial"/>
          <w:b/>
          <w:sz w:val="22"/>
          <w:szCs w:val="22"/>
        </w:rPr>
        <w:t xml:space="preserve"> </w:t>
      </w:r>
      <w:r w:rsidR="00F35A76">
        <w:rPr>
          <w:rFonts w:ascii="Arial" w:hAnsi="Arial" w:cs="Arial"/>
          <w:b/>
          <w:sz w:val="22"/>
          <w:szCs w:val="22"/>
        </w:rPr>
        <w:t>potenciální</w:t>
      </w:r>
      <w:r w:rsidR="00D108CC" w:rsidRPr="001233B8">
        <w:rPr>
          <w:rFonts w:ascii="Arial" w:hAnsi="Arial" w:cs="Arial"/>
          <w:b/>
          <w:sz w:val="22"/>
          <w:szCs w:val="22"/>
        </w:rPr>
        <w:t xml:space="preserve"> předpoklad pro konstatování, že prověřovaná účetní závěrka podává věrný a poctivý obraz předmětu účetnictví</w:t>
      </w:r>
      <w:r w:rsidR="00CA11AC">
        <w:rPr>
          <w:rFonts w:ascii="Arial" w:hAnsi="Arial" w:cs="Arial"/>
          <w:b/>
          <w:sz w:val="22"/>
          <w:szCs w:val="22"/>
        </w:rPr>
        <w:t>.</w:t>
      </w:r>
      <w:r w:rsidR="0070629B">
        <w:rPr>
          <w:rFonts w:ascii="Arial" w:hAnsi="Arial" w:cs="Arial"/>
          <w:b/>
          <w:sz w:val="22"/>
          <w:szCs w:val="22"/>
        </w:rPr>
        <w:t xml:space="preserve"> </w:t>
      </w:r>
      <w:r w:rsidR="00CA11AC">
        <w:rPr>
          <w:rFonts w:ascii="Arial" w:hAnsi="Arial" w:cs="Arial"/>
          <w:b/>
          <w:sz w:val="22"/>
          <w:szCs w:val="22"/>
        </w:rPr>
        <w:t xml:space="preserve">Oproti tomu ale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CA11AC">
        <w:rPr>
          <w:rFonts w:ascii="Arial" w:hAnsi="Arial" w:cs="Arial"/>
          <w:b/>
          <w:sz w:val="22"/>
          <w:szCs w:val="22"/>
        </w:rPr>
        <w:t xml:space="preserve">čase </w:t>
      </w:r>
      <w:r w:rsidR="00B9153A">
        <w:rPr>
          <w:rFonts w:ascii="Arial" w:hAnsi="Arial" w:cs="Arial"/>
          <w:b/>
          <w:sz w:val="22"/>
          <w:szCs w:val="22"/>
        </w:rPr>
        <w:t xml:space="preserve">narůstá na </w:t>
      </w:r>
      <w:r w:rsidR="00BD1709" w:rsidRPr="001233B8">
        <w:rPr>
          <w:rFonts w:ascii="Arial" w:hAnsi="Arial" w:cs="Arial"/>
          <w:b/>
          <w:sz w:val="22"/>
          <w:szCs w:val="22"/>
        </w:rPr>
        <w:t>polož</w:t>
      </w:r>
      <w:r w:rsidR="00B9153A">
        <w:rPr>
          <w:rFonts w:ascii="Arial" w:hAnsi="Arial" w:cs="Arial"/>
          <w:b/>
          <w:sz w:val="22"/>
          <w:szCs w:val="22"/>
        </w:rPr>
        <w:t>kách</w:t>
      </w:r>
      <w:r w:rsidR="00BD1709" w:rsidRPr="001233B8">
        <w:rPr>
          <w:rFonts w:ascii="Arial" w:hAnsi="Arial" w:cs="Arial"/>
          <w:b/>
          <w:sz w:val="22"/>
          <w:szCs w:val="22"/>
        </w:rPr>
        <w:t xml:space="preserve"> účetní závěrky</w:t>
      </w:r>
      <w:r w:rsidR="001A0A90">
        <w:rPr>
          <w:rFonts w:ascii="Arial" w:hAnsi="Arial" w:cs="Arial"/>
          <w:b/>
          <w:sz w:val="22"/>
          <w:szCs w:val="22"/>
        </w:rPr>
        <w:t xml:space="preserve"> </w:t>
      </w:r>
      <w:r w:rsidR="001A0A90" w:rsidRPr="001233B8">
        <w:rPr>
          <w:rFonts w:ascii="Arial" w:hAnsi="Arial" w:cs="Arial"/>
          <w:b/>
          <w:sz w:val="22"/>
          <w:szCs w:val="22"/>
        </w:rPr>
        <w:t>částka</w:t>
      </w:r>
      <w:r w:rsidR="00BD1709" w:rsidRPr="001233B8">
        <w:rPr>
          <w:rFonts w:ascii="Arial" w:hAnsi="Arial" w:cs="Arial"/>
          <w:b/>
          <w:sz w:val="22"/>
          <w:szCs w:val="22"/>
        </w:rPr>
        <w:t xml:space="preserve">, ke které se NKÚ </w:t>
      </w:r>
      <w:r w:rsidR="00F62A73" w:rsidRPr="001233B8">
        <w:rPr>
          <w:rFonts w:ascii="Arial" w:hAnsi="Arial" w:cs="Arial"/>
          <w:b/>
          <w:sz w:val="22"/>
          <w:szCs w:val="22"/>
        </w:rPr>
        <w:t>nevyjadřuje</w:t>
      </w:r>
      <w:r w:rsidR="00F62A73">
        <w:rPr>
          <w:rStyle w:val="Znakapoznpodarou"/>
          <w:rFonts w:ascii="Arial" w:hAnsi="Arial" w:cs="Arial"/>
          <w:b/>
          <w:sz w:val="22"/>
          <w:szCs w:val="22"/>
        </w:rPr>
        <w:footnoteReference w:id="16"/>
      </w:r>
      <w:r w:rsidR="00F62A73">
        <w:rPr>
          <w:rFonts w:ascii="Arial" w:hAnsi="Arial" w:cs="Arial"/>
          <w:b/>
          <w:sz w:val="22"/>
          <w:szCs w:val="22"/>
        </w:rPr>
        <w:t xml:space="preserve"> </w:t>
      </w:r>
      <w:r w:rsidR="00765F23">
        <w:rPr>
          <w:rFonts w:ascii="Arial" w:hAnsi="Arial" w:cs="Arial"/>
          <w:b/>
          <w:sz w:val="22"/>
          <w:szCs w:val="22"/>
        </w:rPr>
        <w:t>z </w:t>
      </w:r>
      <w:r w:rsidR="00BD1709" w:rsidRPr="001233B8">
        <w:rPr>
          <w:rFonts w:ascii="Arial" w:hAnsi="Arial" w:cs="Arial"/>
          <w:b/>
          <w:sz w:val="22"/>
          <w:szCs w:val="22"/>
        </w:rPr>
        <w:t xml:space="preserve">důvodu přetrvávajících nejasností a nejednoznačností předpisů upravujících účetnictví. </w:t>
      </w:r>
    </w:p>
    <w:p w:rsidR="000E4B7B" w:rsidRPr="001233B8" w:rsidRDefault="000E4B7B" w:rsidP="000032DA">
      <w:pPr>
        <w:jc w:val="both"/>
        <w:rPr>
          <w:rFonts w:ascii="Arial" w:hAnsi="Arial" w:cs="Arial"/>
          <w:b/>
          <w:sz w:val="22"/>
          <w:szCs w:val="22"/>
        </w:rPr>
      </w:pPr>
    </w:p>
    <w:p w:rsidR="00517EF2" w:rsidRPr="001233B8" w:rsidRDefault="003F5FEA" w:rsidP="00003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Nutné je</w:t>
      </w:r>
      <w:r w:rsidR="00B60D3B" w:rsidRPr="001233B8">
        <w:rPr>
          <w:rFonts w:ascii="Arial" w:hAnsi="Arial" w:cs="Arial"/>
          <w:b/>
          <w:sz w:val="22"/>
          <w:szCs w:val="22"/>
        </w:rPr>
        <w:t xml:space="preserve"> také upozornit na skutečnost, že některé kvantitativně významné položky v účetní závěrce</w:t>
      </w:r>
      <w:r>
        <w:rPr>
          <w:rFonts w:ascii="Arial" w:hAnsi="Arial" w:cs="Arial"/>
          <w:b/>
          <w:sz w:val="22"/>
          <w:szCs w:val="22"/>
        </w:rPr>
        <w:t xml:space="preserve"> MŠMT</w:t>
      </w:r>
      <w:r w:rsidR="00B60D3B" w:rsidRPr="001233B8">
        <w:rPr>
          <w:rFonts w:ascii="Arial" w:hAnsi="Arial" w:cs="Arial"/>
          <w:b/>
          <w:sz w:val="22"/>
          <w:szCs w:val="22"/>
        </w:rPr>
        <w:t xml:space="preserve"> </w:t>
      </w:r>
      <w:r w:rsidR="00765F23">
        <w:rPr>
          <w:rFonts w:ascii="Arial" w:hAnsi="Arial" w:cs="Arial"/>
          <w:b/>
          <w:sz w:val="22"/>
          <w:szCs w:val="22"/>
        </w:rPr>
        <w:t>k </w:t>
      </w:r>
      <w:r w:rsidR="00B60D3B" w:rsidRPr="001233B8">
        <w:rPr>
          <w:rFonts w:ascii="Arial" w:hAnsi="Arial" w:cs="Arial"/>
          <w:b/>
          <w:sz w:val="22"/>
          <w:szCs w:val="22"/>
        </w:rPr>
        <w:t xml:space="preserve">31. prosinci 2012 jsou vykázány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B60D3B" w:rsidRPr="001233B8">
        <w:rPr>
          <w:rFonts w:ascii="Arial" w:hAnsi="Arial" w:cs="Arial"/>
          <w:b/>
          <w:sz w:val="22"/>
          <w:szCs w:val="22"/>
        </w:rPr>
        <w:t xml:space="preserve">souladu </w:t>
      </w:r>
      <w:r w:rsidR="00765F23">
        <w:rPr>
          <w:rFonts w:ascii="Arial" w:hAnsi="Arial" w:cs="Arial"/>
          <w:b/>
          <w:sz w:val="22"/>
          <w:szCs w:val="22"/>
        </w:rPr>
        <w:t>s </w:t>
      </w:r>
      <w:r w:rsidR="00B60D3B" w:rsidRPr="001233B8">
        <w:rPr>
          <w:rFonts w:ascii="Arial" w:hAnsi="Arial" w:cs="Arial"/>
          <w:b/>
          <w:sz w:val="22"/>
          <w:szCs w:val="22"/>
        </w:rPr>
        <w:t xml:space="preserve">právními předpisy, nicméně jejich interpretace </w:t>
      </w:r>
      <w:r>
        <w:rPr>
          <w:rFonts w:ascii="Arial" w:hAnsi="Arial" w:cs="Arial"/>
          <w:b/>
          <w:sz w:val="22"/>
          <w:szCs w:val="22"/>
        </w:rPr>
        <w:t>nemusí být bez znalosti aktuálně platné účetní regulace správná.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3E2197">
        <w:rPr>
          <w:rFonts w:ascii="Arial" w:hAnsi="Arial" w:cs="Arial"/>
          <w:b/>
          <w:sz w:val="22"/>
          <w:szCs w:val="22"/>
        </w:rPr>
        <w:t xml:space="preserve">konkrétním případě jde </w:t>
      </w:r>
      <w:r w:rsidR="00B60D3B" w:rsidRPr="001233B8">
        <w:rPr>
          <w:rFonts w:ascii="Arial" w:hAnsi="Arial" w:cs="Arial"/>
          <w:b/>
          <w:sz w:val="22"/>
          <w:szCs w:val="22"/>
        </w:rPr>
        <w:t>o dohadné účty</w:t>
      </w:r>
      <w:r w:rsidR="003E2197">
        <w:rPr>
          <w:rFonts w:ascii="Arial" w:hAnsi="Arial" w:cs="Arial"/>
          <w:b/>
          <w:sz w:val="22"/>
          <w:szCs w:val="22"/>
        </w:rPr>
        <w:t xml:space="preserve"> pasivní</w:t>
      </w:r>
      <w:r w:rsidR="00B60D3B" w:rsidRPr="001233B8">
        <w:rPr>
          <w:rFonts w:ascii="Arial" w:hAnsi="Arial" w:cs="Arial"/>
          <w:b/>
          <w:sz w:val="22"/>
          <w:szCs w:val="22"/>
        </w:rPr>
        <w:t xml:space="preserve">, které </w:t>
      </w:r>
      <w:r w:rsidR="003E2197">
        <w:rPr>
          <w:rFonts w:ascii="Arial" w:hAnsi="Arial" w:cs="Arial"/>
          <w:b/>
          <w:sz w:val="22"/>
          <w:szCs w:val="22"/>
        </w:rPr>
        <w:t>musí být</w:t>
      </w:r>
      <w:r w:rsidR="00B60D3B" w:rsidRPr="001233B8">
        <w:rPr>
          <w:rFonts w:ascii="Arial" w:hAnsi="Arial" w:cs="Arial"/>
          <w:b/>
          <w:sz w:val="22"/>
          <w:szCs w:val="22"/>
        </w:rPr>
        <w:t xml:space="preserve"> vykazovány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B60D3B" w:rsidRPr="001233B8">
        <w:rPr>
          <w:rFonts w:ascii="Arial" w:hAnsi="Arial" w:cs="Arial"/>
          <w:b/>
          <w:sz w:val="22"/>
          <w:szCs w:val="22"/>
        </w:rPr>
        <w:t>rozvaze</w:t>
      </w:r>
      <w:r w:rsidR="003E2197">
        <w:rPr>
          <w:rFonts w:ascii="Arial" w:hAnsi="Arial" w:cs="Arial"/>
          <w:b/>
          <w:sz w:val="22"/>
          <w:szCs w:val="22"/>
        </w:rPr>
        <w:t xml:space="preserve"> organizačních složek státu</w:t>
      </w:r>
      <w:r w:rsidR="00B60D3B" w:rsidRPr="001233B8">
        <w:rPr>
          <w:rFonts w:ascii="Arial" w:hAnsi="Arial" w:cs="Arial"/>
          <w:b/>
          <w:sz w:val="22"/>
          <w:szCs w:val="22"/>
        </w:rPr>
        <w:t xml:space="preserve"> pouze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B60D3B" w:rsidRPr="001233B8">
        <w:rPr>
          <w:rFonts w:ascii="Arial" w:hAnsi="Arial" w:cs="Arial"/>
          <w:b/>
          <w:sz w:val="22"/>
          <w:szCs w:val="22"/>
        </w:rPr>
        <w:t>rámci krátkodobých závazků, přestože</w:t>
      </w:r>
      <w:r w:rsidR="003E2197">
        <w:rPr>
          <w:rFonts w:ascii="Arial" w:hAnsi="Arial" w:cs="Arial"/>
          <w:b/>
          <w:sz w:val="22"/>
          <w:szCs w:val="22"/>
        </w:rPr>
        <w:t xml:space="preserve"> významná</w:t>
      </w:r>
      <w:r w:rsidR="00B562E6">
        <w:rPr>
          <w:rFonts w:ascii="Arial" w:hAnsi="Arial" w:cs="Arial"/>
          <w:b/>
          <w:sz w:val="22"/>
          <w:szCs w:val="22"/>
        </w:rPr>
        <w:t xml:space="preserve"> </w:t>
      </w:r>
      <w:r w:rsidR="003E2197">
        <w:rPr>
          <w:rFonts w:ascii="Arial" w:hAnsi="Arial" w:cs="Arial"/>
          <w:b/>
          <w:sz w:val="22"/>
          <w:szCs w:val="22"/>
        </w:rPr>
        <w:t>část jejich zůstatk</w:t>
      </w:r>
      <w:r w:rsidR="00F62A73">
        <w:rPr>
          <w:rFonts w:ascii="Arial" w:hAnsi="Arial" w:cs="Arial"/>
          <w:b/>
          <w:sz w:val="22"/>
          <w:szCs w:val="22"/>
        </w:rPr>
        <w:t>ů</w:t>
      </w:r>
      <w:r w:rsidR="003E2197">
        <w:rPr>
          <w:rFonts w:ascii="Arial" w:hAnsi="Arial" w:cs="Arial"/>
          <w:b/>
          <w:sz w:val="22"/>
          <w:szCs w:val="22"/>
        </w:rPr>
        <w:t xml:space="preserve"> má u MŠMT </w:t>
      </w:r>
      <w:r w:rsidR="00B60D3B" w:rsidRPr="001233B8">
        <w:rPr>
          <w:rFonts w:ascii="Arial" w:hAnsi="Arial" w:cs="Arial"/>
          <w:b/>
          <w:sz w:val="22"/>
          <w:szCs w:val="22"/>
        </w:rPr>
        <w:t>dlouhodobý charakter.</w:t>
      </w:r>
    </w:p>
    <w:p w:rsidR="00B60D3B" w:rsidRPr="001233B8" w:rsidRDefault="00B60D3B" w:rsidP="000032DA">
      <w:pPr>
        <w:jc w:val="both"/>
        <w:rPr>
          <w:rFonts w:ascii="Arial" w:hAnsi="Arial" w:cs="Arial"/>
          <w:b/>
          <w:sz w:val="22"/>
          <w:szCs w:val="22"/>
        </w:rPr>
      </w:pPr>
    </w:p>
    <w:p w:rsidR="000E4B7B" w:rsidRPr="001233B8" w:rsidRDefault="000E4B7B" w:rsidP="000032DA">
      <w:pPr>
        <w:jc w:val="both"/>
        <w:rPr>
          <w:rFonts w:ascii="Arial" w:hAnsi="Arial" w:cs="Arial"/>
          <w:b/>
          <w:sz w:val="22"/>
          <w:szCs w:val="22"/>
        </w:rPr>
      </w:pPr>
      <w:r w:rsidRPr="001233B8">
        <w:rPr>
          <w:rFonts w:ascii="Arial" w:hAnsi="Arial" w:cs="Arial"/>
          <w:b/>
          <w:sz w:val="22"/>
          <w:szCs w:val="22"/>
        </w:rPr>
        <w:t>Kontrolou byly prověřeny také finanční výkazy MŠMT za rok 2012. Ve výkazu pro hodnocení plnění rozpočtu byla zjištěna celková nesprávnost ve výši 2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Pr="001233B8">
        <w:rPr>
          <w:rFonts w:ascii="Arial" w:hAnsi="Arial" w:cs="Arial"/>
          <w:b/>
          <w:sz w:val="22"/>
          <w:szCs w:val="22"/>
        </w:rPr>
        <w:t>179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Pr="001233B8">
        <w:rPr>
          <w:rFonts w:ascii="Arial" w:hAnsi="Arial" w:cs="Arial"/>
          <w:b/>
          <w:sz w:val="22"/>
          <w:szCs w:val="22"/>
        </w:rPr>
        <w:t>119 Kč. Z toho 2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Pr="001233B8">
        <w:rPr>
          <w:rFonts w:ascii="Arial" w:hAnsi="Arial" w:cs="Arial"/>
          <w:b/>
          <w:sz w:val="22"/>
          <w:szCs w:val="22"/>
        </w:rPr>
        <w:t>172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Pr="001233B8">
        <w:rPr>
          <w:rFonts w:ascii="Arial" w:hAnsi="Arial" w:cs="Arial"/>
          <w:b/>
          <w:sz w:val="22"/>
          <w:szCs w:val="22"/>
        </w:rPr>
        <w:t>149 Kč byly nesprávnosti identifikované u výdajových rozpočtových položek</w:t>
      </w:r>
      <w:r w:rsidR="00DB4412" w:rsidRPr="001233B8">
        <w:rPr>
          <w:rFonts w:ascii="Arial" w:hAnsi="Arial" w:cs="Arial"/>
          <w:b/>
          <w:sz w:val="22"/>
          <w:szCs w:val="22"/>
        </w:rPr>
        <w:t xml:space="preserve">, a to zejména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="00DB4412" w:rsidRPr="001233B8">
        <w:rPr>
          <w:rFonts w:ascii="Arial" w:hAnsi="Arial" w:cs="Arial"/>
          <w:b/>
          <w:sz w:val="22"/>
          <w:szCs w:val="22"/>
        </w:rPr>
        <w:t xml:space="preserve">souvislosti </w:t>
      </w:r>
      <w:r w:rsidR="00765F23">
        <w:rPr>
          <w:rFonts w:ascii="Arial" w:hAnsi="Arial" w:cs="Arial"/>
          <w:b/>
          <w:sz w:val="22"/>
          <w:szCs w:val="22"/>
        </w:rPr>
        <w:t>s </w:t>
      </w:r>
      <w:r w:rsidR="00DB4412" w:rsidRPr="001233B8">
        <w:rPr>
          <w:rFonts w:ascii="Arial" w:hAnsi="Arial" w:cs="Arial"/>
          <w:b/>
          <w:sz w:val="22"/>
          <w:szCs w:val="22"/>
        </w:rPr>
        <w:t>nesprávnou klasifikací výdajů za užívání softwarových licencí</w:t>
      </w:r>
      <w:r w:rsidRPr="001233B8">
        <w:rPr>
          <w:rFonts w:ascii="Arial" w:hAnsi="Arial" w:cs="Arial"/>
          <w:b/>
          <w:sz w:val="22"/>
          <w:szCs w:val="22"/>
        </w:rPr>
        <w:t xml:space="preserve">. </w:t>
      </w:r>
    </w:p>
    <w:p w:rsidR="000E4B7B" w:rsidRPr="001233B8" w:rsidRDefault="000E4B7B" w:rsidP="000032DA">
      <w:pPr>
        <w:jc w:val="both"/>
        <w:rPr>
          <w:rFonts w:ascii="Arial" w:hAnsi="Arial" w:cs="Arial"/>
          <w:b/>
          <w:sz w:val="22"/>
          <w:szCs w:val="22"/>
        </w:rPr>
      </w:pPr>
    </w:p>
    <w:p w:rsidR="00EA3367" w:rsidRPr="0073707E" w:rsidRDefault="000E4B7B" w:rsidP="000032DA">
      <w:pPr>
        <w:jc w:val="both"/>
        <w:rPr>
          <w:rFonts w:ascii="Arial" w:hAnsi="Arial" w:cs="Arial"/>
          <w:b/>
          <w:sz w:val="22"/>
          <w:szCs w:val="22"/>
          <w:highlight w:val="green"/>
        </w:rPr>
      </w:pPr>
      <w:r w:rsidRPr="001233B8">
        <w:rPr>
          <w:rFonts w:ascii="Arial" w:hAnsi="Arial" w:cs="Arial"/>
          <w:b/>
          <w:sz w:val="22"/>
          <w:szCs w:val="22"/>
        </w:rPr>
        <w:t>Závěrečný účet kapitoly 333 MŠMT za rok 2012 neobsahoval informaci o</w:t>
      </w:r>
      <w:r w:rsidR="003E2197">
        <w:rPr>
          <w:rFonts w:ascii="Arial" w:hAnsi="Arial" w:cs="Arial"/>
          <w:b/>
          <w:sz w:val="22"/>
          <w:szCs w:val="22"/>
        </w:rPr>
        <w:t xml:space="preserve"> realizovaných</w:t>
      </w:r>
      <w:r w:rsidRPr="001233B8">
        <w:rPr>
          <w:rFonts w:ascii="Arial" w:hAnsi="Arial" w:cs="Arial"/>
          <w:b/>
          <w:sz w:val="22"/>
          <w:szCs w:val="22"/>
        </w:rPr>
        <w:t xml:space="preserve"> bezúplatných převodech majetku </w:t>
      </w:r>
      <w:r w:rsidR="00765F23">
        <w:rPr>
          <w:rFonts w:ascii="Arial" w:hAnsi="Arial" w:cs="Arial"/>
          <w:b/>
          <w:sz w:val="22"/>
          <w:szCs w:val="22"/>
        </w:rPr>
        <w:t>z </w:t>
      </w:r>
      <w:r w:rsidRPr="001233B8">
        <w:rPr>
          <w:rFonts w:ascii="Arial" w:hAnsi="Arial" w:cs="Arial"/>
          <w:b/>
          <w:sz w:val="22"/>
          <w:szCs w:val="22"/>
        </w:rPr>
        <w:t xml:space="preserve">MŠMT na územní samosprávné celky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Pr="001233B8">
        <w:rPr>
          <w:rFonts w:ascii="Arial" w:hAnsi="Arial" w:cs="Arial"/>
          <w:b/>
          <w:sz w:val="22"/>
          <w:szCs w:val="22"/>
        </w:rPr>
        <w:t>celkové účetní hodnotě 12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Pr="001233B8">
        <w:rPr>
          <w:rFonts w:ascii="Arial" w:hAnsi="Arial" w:cs="Arial"/>
          <w:b/>
          <w:sz w:val="22"/>
          <w:szCs w:val="22"/>
        </w:rPr>
        <w:t>238</w:t>
      </w:r>
      <w:r w:rsidR="005F3102">
        <w:rPr>
          <w:rFonts w:ascii="Arial" w:hAnsi="Arial" w:cs="Arial"/>
          <w:b/>
          <w:sz w:val="22"/>
          <w:szCs w:val="22"/>
        </w:rPr>
        <w:t xml:space="preserve"> </w:t>
      </w:r>
      <w:r w:rsidRPr="001233B8">
        <w:rPr>
          <w:rFonts w:ascii="Arial" w:hAnsi="Arial" w:cs="Arial"/>
          <w:b/>
          <w:sz w:val="22"/>
          <w:szCs w:val="22"/>
        </w:rPr>
        <w:t xml:space="preserve">044,60 Kč; </w:t>
      </w:r>
      <w:r w:rsidR="00765F23">
        <w:rPr>
          <w:rFonts w:ascii="Arial" w:hAnsi="Arial" w:cs="Arial"/>
          <w:b/>
          <w:sz w:val="22"/>
          <w:szCs w:val="22"/>
        </w:rPr>
        <w:t>v</w:t>
      </w:r>
      <w:r w:rsidR="00841E1C">
        <w:rPr>
          <w:rFonts w:ascii="Arial" w:hAnsi="Arial" w:cs="Arial"/>
          <w:b/>
          <w:sz w:val="22"/>
          <w:szCs w:val="22"/>
        </w:rPr>
        <w:t>e vztahu k </w:t>
      </w:r>
      <w:r w:rsidRPr="001233B8">
        <w:rPr>
          <w:rFonts w:ascii="Arial" w:hAnsi="Arial" w:cs="Arial"/>
          <w:b/>
          <w:sz w:val="22"/>
          <w:szCs w:val="22"/>
        </w:rPr>
        <w:t>ostatní</w:t>
      </w:r>
      <w:r w:rsidR="00841E1C">
        <w:rPr>
          <w:rFonts w:ascii="Arial" w:hAnsi="Arial" w:cs="Arial"/>
          <w:b/>
          <w:sz w:val="22"/>
          <w:szCs w:val="22"/>
        </w:rPr>
        <w:t>m</w:t>
      </w:r>
      <w:r w:rsidRPr="001233B8">
        <w:rPr>
          <w:rFonts w:ascii="Arial" w:hAnsi="Arial" w:cs="Arial"/>
          <w:b/>
          <w:sz w:val="22"/>
          <w:szCs w:val="22"/>
        </w:rPr>
        <w:t xml:space="preserve"> náležitoste</w:t>
      </w:r>
      <w:r w:rsidR="00841E1C">
        <w:rPr>
          <w:rFonts w:ascii="Arial" w:hAnsi="Arial" w:cs="Arial"/>
          <w:b/>
          <w:sz w:val="22"/>
          <w:szCs w:val="22"/>
        </w:rPr>
        <w:t>m</w:t>
      </w:r>
      <w:r w:rsidRPr="001233B8">
        <w:rPr>
          <w:rFonts w:ascii="Arial" w:hAnsi="Arial" w:cs="Arial"/>
          <w:b/>
          <w:sz w:val="22"/>
          <w:szCs w:val="22"/>
        </w:rPr>
        <w:t xml:space="preserve"> byl </w:t>
      </w:r>
      <w:r w:rsidR="00DB4412" w:rsidRPr="001233B8">
        <w:rPr>
          <w:rFonts w:ascii="Arial" w:hAnsi="Arial" w:cs="Arial"/>
          <w:b/>
          <w:sz w:val="22"/>
          <w:szCs w:val="22"/>
        </w:rPr>
        <w:t xml:space="preserve">závěrečný účet kapitoly 333 MŠMT </w:t>
      </w:r>
      <w:r w:rsidRPr="001233B8">
        <w:rPr>
          <w:rFonts w:ascii="Arial" w:hAnsi="Arial" w:cs="Arial"/>
          <w:b/>
          <w:sz w:val="22"/>
          <w:szCs w:val="22"/>
        </w:rPr>
        <w:t xml:space="preserve">sestaven </w:t>
      </w:r>
      <w:r w:rsidR="00765F23">
        <w:rPr>
          <w:rFonts w:ascii="Arial" w:hAnsi="Arial" w:cs="Arial"/>
          <w:b/>
          <w:sz w:val="22"/>
          <w:szCs w:val="22"/>
        </w:rPr>
        <w:t>v </w:t>
      </w:r>
      <w:r w:rsidRPr="001233B8">
        <w:rPr>
          <w:rFonts w:ascii="Arial" w:hAnsi="Arial" w:cs="Arial"/>
          <w:b/>
          <w:sz w:val="22"/>
          <w:szCs w:val="22"/>
        </w:rPr>
        <w:t xml:space="preserve">souladu </w:t>
      </w:r>
      <w:r w:rsidR="00765F23">
        <w:rPr>
          <w:rFonts w:ascii="Arial" w:hAnsi="Arial" w:cs="Arial"/>
          <w:b/>
          <w:sz w:val="22"/>
          <w:szCs w:val="22"/>
        </w:rPr>
        <w:t>s </w:t>
      </w:r>
      <w:r w:rsidRPr="001233B8">
        <w:rPr>
          <w:rFonts w:ascii="Arial" w:hAnsi="Arial" w:cs="Arial"/>
          <w:b/>
          <w:sz w:val="22"/>
          <w:szCs w:val="22"/>
        </w:rPr>
        <w:t>vyhláškou č. 419/2001 Sb.</w:t>
      </w:r>
    </w:p>
    <w:sectPr w:rsidR="00EA3367" w:rsidRPr="0073707E" w:rsidSect="00DC1A2F">
      <w:footerReference w:type="even" r:id="rId16"/>
      <w:footerReference w:type="default" r:id="rId1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8F" w:rsidRDefault="00165B8F">
      <w:r>
        <w:separator/>
      </w:r>
    </w:p>
  </w:endnote>
  <w:endnote w:type="continuationSeparator" w:id="0">
    <w:p w:rsidR="00165B8F" w:rsidRDefault="0016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8F" w:rsidRDefault="00165B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165B8F" w:rsidRDefault="00165B8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61579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65B8F" w:rsidRPr="00C953C5" w:rsidRDefault="00165B8F" w:rsidP="00C953C5">
        <w:pPr>
          <w:pStyle w:val="Zpat"/>
          <w:tabs>
            <w:tab w:val="clear" w:pos="4536"/>
          </w:tabs>
          <w:jc w:val="center"/>
          <w:rPr>
            <w:rFonts w:ascii="Arial" w:hAnsi="Arial" w:cs="Arial"/>
            <w:sz w:val="22"/>
            <w:szCs w:val="22"/>
          </w:rPr>
        </w:pPr>
        <w:r w:rsidRPr="00C953C5">
          <w:rPr>
            <w:rFonts w:ascii="Arial" w:hAnsi="Arial" w:cs="Arial"/>
            <w:sz w:val="22"/>
            <w:szCs w:val="22"/>
          </w:rPr>
          <w:fldChar w:fldCharType="begin"/>
        </w:r>
        <w:r w:rsidRPr="00C953C5">
          <w:rPr>
            <w:rFonts w:ascii="Arial" w:hAnsi="Arial" w:cs="Arial"/>
            <w:sz w:val="22"/>
            <w:szCs w:val="22"/>
          </w:rPr>
          <w:instrText>PAGE   \* MERGEFORMAT</w:instrText>
        </w:r>
        <w:r w:rsidRPr="00C953C5">
          <w:rPr>
            <w:rFonts w:ascii="Arial" w:hAnsi="Arial" w:cs="Arial"/>
            <w:sz w:val="22"/>
            <w:szCs w:val="22"/>
          </w:rPr>
          <w:fldChar w:fldCharType="separate"/>
        </w:r>
        <w:r w:rsidR="00C921AD">
          <w:rPr>
            <w:rFonts w:ascii="Arial" w:hAnsi="Arial" w:cs="Arial"/>
            <w:noProof/>
            <w:sz w:val="22"/>
            <w:szCs w:val="22"/>
          </w:rPr>
          <w:t>10</w:t>
        </w:r>
        <w:r w:rsidRPr="00C953C5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8F" w:rsidRDefault="00165B8F">
      <w:r>
        <w:separator/>
      </w:r>
    </w:p>
  </w:footnote>
  <w:footnote w:type="continuationSeparator" w:id="0">
    <w:p w:rsidR="00165B8F" w:rsidRDefault="00165B8F">
      <w:r>
        <w:continuationSeparator/>
      </w:r>
    </w:p>
  </w:footnote>
  <w:footnote w:id="1">
    <w:p w:rsidR="00165B8F" w:rsidRDefault="00165B8F" w:rsidP="00982E0F">
      <w:pPr>
        <w:pStyle w:val="Textpoznpodarou"/>
        <w:ind w:left="284" w:hanging="284"/>
        <w:jc w:val="both"/>
        <w:rPr>
          <w:rFonts w:ascii="Arial" w:hAnsi="Arial" w:cs="Arial"/>
        </w:rPr>
      </w:pPr>
      <w:r w:rsidRPr="00CA4D3C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F46FD8">
        <w:rPr>
          <w:rFonts w:ascii="Arial" w:hAnsi="Arial" w:cs="Arial"/>
          <w:sz w:val="18"/>
          <w:szCs w:val="18"/>
        </w:rPr>
        <w:t>Kontrolní akc</w:t>
      </w:r>
      <w:r>
        <w:rPr>
          <w:rFonts w:ascii="Arial" w:hAnsi="Arial" w:cs="Arial"/>
          <w:sz w:val="18"/>
          <w:szCs w:val="18"/>
        </w:rPr>
        <w:t>e</w:t>
      </w:r>
      <w:r w:rsidRPr="00F46FD8">
        <w:rPr>
          <w:rFonts w:ascii="Arial" w:hAnsi="Arial" w:cs="Arial"/>
          <w:sz w:val="18"/>
          <w:szCs w:val="18"/>
        </w:rPr>
        <w:t xml:space="preserve"> č. 06/21 (kon</w:t>
      </w:r>
      <w:r>
        <w:rPr>
          <w:rFonts w:ascii="Arial" w:hAnsi="Arial" w:cs="Arial"/>
          <w:sz w:val="18"/>
          <w:szCs w:val="18"/>
        </w:rPr>
        <w:t>t</w:t>
      </w:r>
      <w:r w:rsidRPr="00F46FD8">
        <w:rPr>
          <w:rFonts w:ascii="Arial" w:hAnsi="Arial" w:cs="Arial"/>
          <w:sz w:val="18"/>
          <w:szCs w:val="18"/>
        </w:rPr>
        <w:t>rolní závěr byl zveřejněn v</w:t>
      </w:r>
      <w:r>
        <w:rPr>
          <w:rFonts w:ascii="Arial" w:hAnsi="Arial" w:cs="Arial"/>
          <w:sz w:val="18"/>
          <w:szCs w:val="18"/>
        </w:rPr>
        <w:t xml:space="preserve"> </w:t>
      </w:r>
      <w:r w:rsidRPr="00F46FD8">
        <w:rPr>
          <w:rFonts w:ascii="Arial" w:hAnsi="Arial" w:cs="Arial"/>
          <w:sz w:val="18"/>
          <w:szCs w:val="18"/>
        </w:rPr>
        <w:t xml:space="preserve">částce 1/2007 </w:t>
      </w:r>
      <w:r w:rsidRPr="00C72219">
        <w:rPr>
          <w:rFonts w:ascii="Arial" w:hAnsi="Arial" w:cs="Arial"/>
          <w:i/>
          <w:sz w:val="18"/>
          <w:szCs w:val="18"/>
        </w:rPr>
        <w:t>Věstníku NKÚ</w:t>
      </w:r>
      <w:r>
        <w:rPr>
          <w:rFonts w:ascii="Arial" w:hAnsi="Arial" w:cs="Arial"/>
          <w:sz w:val="18"/>
          <w:szCs w:val="18"/>
        </w:rPr>
        <w:t xml:space="preserve">), kontrolní akce č. 07/26 </w:t>
      </w:r>
      <w:r w:rsidRPr="00F46FD8">
        <w:rPr>
          <w:rFonts w:ascii="Arial" w:hAnsi="Arial" w:cs="Arial"/>
          <w:sz w:val="18"/>
          <w:szCs w:val="18"/>
        </w:rPr>
        <w:t>(kontrolní závěr byl zveřejněn v</w:t>
      </w:r>
      <w:r>
        <w:rPr>
          <w:rFonts w:ascii="Arial" w:hAnsi="Arial" w:cs="Arial"/>
          <w:sz w:val="18"/>
          <w:szCs w:val="18"/>
        </w:rPr>
        <w:t xml:space="preserve"> </w:t>
      </w:r>
      <w:r w:rsidRPr="00F46FD8">
        <w:rPr>
          <w:rFonts w:ascii="Arial" w:hAnsi="Arial" w:cs="Arial"/>
          <w:sz w:val="18"/>
          <w:szCs w:val="18"/>
        </w:rPr>
        <w:t xml:space="preserve">částce 4/2007 </w:t>
      </w:r>
      <w:r w:rsidRPr="00C72219">
        <w:rPr>
          <w:rFonts w:ascii="Arial" w:hAnsi="Arial" w:cs="Arial"/>
          <w:i/>
          <w:sz w:val="18"/>
          <w:szCs w:val="18"/>
        </w:rPr>
        <w:t>Věstníku NKÚ</w:t>
      </w:r>
      <w:r w:rsidRPr="00F46FD8">
        <w:rPr>
          <w:rFonts w:ascii="Arial" w:hAnsi="Arial" w:cs="Arial"/>
          <w:sz w:val="18"/>
          <w:szCs w:val="18"/>
        </w:rPr>
        <w:t>), kontrolní akc</w:t>
      </w:r>
      <w:r>
        <w:rPr>
          <w:rFonts w:ascii="Arial" w:hAnsi="Arial" w:cs="Arial"/>
          <w:sz w:val="18"/>
          <w:szCs w:val="18"/>
        </w:rPr>
        <w:t>e</w:t>
      </w:r>
      <w:r w:rsidRPr="00F46FD8">
        <w:rPr>
          <w:rFonts w:ascii="Arial" w:hAnsi="Arial" w:cs="Arial"/>
          <w:sz w:val="18"/>
          <w:szCs w:val="18"/>
        </w:rPr>
        <w:t xml:space="preserve"> č. 08/10 (kontrolní závěr byl zveřejněn v</w:t>
      </w:r>
      <w:r>
        <w:rPr>
          <w:rFonts w:ascii="Arial" w:hAnsi="Arial" w:cs="Arial"/>
          <w:sz w:val="18"/>
          <w:szCs w:val="18"/>
        </w:rPr>
        <w:t xml:space="preserve"> </w:t>
      </w:r>
      <w:r w:rsidRPr="00F46FD8">
        <w:rPr>
          <w:rFonts w:ascii="Arial" w:hAnsi="Arial" w:cs="Arial"/>
          <w:sz w:val="18"/>
          <w:szCs w:val="18"/>
        </w:rPr>
        <w:t xml:space="preserve">částce 4/2008 </w:t>
      </w:r>
      <w:r w:rsidRPr="00C72219">
        <w:rPr>
          <w:rFonts w:ascii="Arial" w:hAnsi="Arial" w:cs="Arial"/>
          <w:i/>
          <w:sz w:val="18"/>
          <w:szCs w:val="18"/>
        </w:rPr>
        <w:t>Věstníku NKÚ</w:t>
      </w:r>
      <w:r w:rsidRPr="00F46FD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</w:t>
      </w:r>
      <w:r w:rsidRPr="00DC7116">
        <w:rPr>
          <w:rFonts w:ascii="Arial" w:hAnsi="Arial" w:cs="Arial"/>
          <w:sz w:val="18"/>
          <w:szCs w:val="18"/>
        </w:rPr>
        <w:t>kontrolní akc</w:t>
      </w:r>
      <w:r>
        <w:rPr>
          <w:rFonts w:ascii="Arial" w:hAnsi="Arial" w:cs="Arial"/>
          <w:sz w:val="18"/>
          <w:szCs w:val="18"/>
        </w:rPr>
        <w:t>e</w:t>
      </w:r>
      <w:r w:rsidRPr="00DC7116">
        <w:rPr>
          <w:rFonts w:ascii="Arial" w:hAnsi="Arial" w:cs="Arial"/>
          <w:sz w:val="18"/>
          <w:szCs w:val="18"/>
        </w:rPr>
        <w:t xml:space="preserve"> č. 09/07 (kontrolní závěr byl zveřejněn v</w:t>
      </w:r>
      <w:r>
        <w:rPr>
          <w:rFonts w:ascii="Arial" w:hAnsi="Arial" w:cs="Arial"/>
          <w:sz w:val="18"/>
          <w:szCs w:val="18"/>
        </w:rPr>
        <w:t xml:space="preserve"> </w:t>
      </w:r>
      <w:r w:rsidRPr="00DC7116">
        <w:rPr>
          <w:rFonts w:ascii="Arial" w:hAnsi="Arial" w:cs="Arial"/>
          <w:sz w:val="18"/>
          <w:szCs w:val="18"/>
        </w:rPr>
        <w:t>částce 4/2009</w:t>
      </w:r>
      <w:r>
        <w:rPr>
          <w:rFonts w:ascii="Arial" w:hAnsi="Arial" w:cs="Arial"/>
          <w:sz w:val="18"/>
          <w:szCs w:val="18"/>
        </w:rPr>
        <w:t xml:space="preserve"> </w:t>
      </w:r>
      <w:r w:rsidRPr="00C72219">
        <w:rPr>
          <w:rFonts w:ascii="Arial" w:hAnsi="Arial" w:cs="Arial"/>
          <w:i/>
          <w:sz w:val="18"/>
          <w:szCs w:val="18"/>
        </w:rPr>
        <w:t>Věstníku NKÚ</w:t>
      </w:r>
      <w:r>
        <w:rPr>
          <w:rFonts w:ascii="Arial" w:hAnsi="Arial" w:cs="Arial"/>
          <w:sz w:val="18"/>
          <w:szCs w:val="18"/>
        </w:rPr>
        <w:t xml:space="preserve">), </w:t>
      </w:r>
      <w:r w:rsidRPr="00113872">
        <w:rPr>
          <w:rFonts w:ascii="Arial" w:hAnsi="Arial" w:cs="Arial"/>
          <w:sz w:val="18"/>
          <w:szCs w:val="18"/>
        </w:rPr>
        <w:t>kontrolní akc</w:t>
      </w:r>
      <w:r>
        <w:rPr>
          <w:rFonts w:ascii="Arial" w:hAnsi="Arial" w:cs="Arial"/>
          <w:sz w:val="18"/>
          <w:szCs w:val="18"/>
        </w:rPr>
        <w:t>e</w:t>
      </w:r>
      <w:r w:rsidRPr="00113872">
        <w:rPr>
          <w:rFonts w:ascii="Arial" w:hAnsi="Arial" w:cs="Arial"/>
          <w:sz w:val="18"/>
          <w:szCs w:val="18"/>
        </w:rPr>
        <w:t xml:space="preserve"> č. 10/20 (kontrolní závěr byl zveřejněn v</w:t>
      </w:r>
      <w:r>
        <w:rPr>
          <w:rFonts w:ascii="Arial" w:hAnsi="Arial" w:cs="Arial"/>
          <w:sz w:val="18"/>
          <w:szCs w:val="18"/>
        </w:rPr>
        <w:t xml:space="preserve"> </w:t>
      </w:r>
      <w:r w:rsidRPr="00113872">
        <w:rPr>
          <w:rFonts w:ascii="Arial" w:hAnsi="Arial" w:cs="Arial"/>
          <w:sz w:val="18"/>
          <w:szCs w:val="18"/>
        </w:rPr>
        <w:t xml:space="preserve">částce 3/2011 </w:t>
      </w:r>
      <w:r w:rsidRPr="00C72219">
        <w:rPr>
          <w:rFonts w:ascii="Arial" w:hAnsi="Arial" w:cs="Arial"/>
          <w:i/>
          <w:sz w:val="18"/>
          <w:szCs w:val="18"/>
        </w:rPr>
        <w:t>Věstníku NKÚ</w:t>
      </w:r>
      <w:r w:rsidRPr="0011387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a kontrolní akce č. 11/29 (kontrolní závěr byl zveřejněn v částce 3/2012 </w:t>
      </w:r>
      <w:r w:rsidRPr="00C72219">
        <w:rPr>
          <w:rFonts w:ascii="Arial" w:hAnsi="Arial" w:cs="Arial"/>
          <w:i/>
          <w:sz w:val="18"/>
          <w:szCs w:val="18"/>
        </w:rPr>
        <w:t>Věstníku NKÚ</w:t>
      </w:r>
      <w:r>
        <w:rPr>
          <w:rFonts w:ascii="Arial" w:hAnsi="Arial" w:cs="Arial"/>
          <w:sz w:val="18"/>
          <w:szCs w:val="18"/>
        </w:rPr>
        <w:t>)</w:t>
      </w:r>
      <w:r w:rsidRPr="00113872">
        <w:rPr>
          <w:rFonts w:ascii="Arial" w:hAnsi="Arial" w:cs="Arial"/>
          <w:sz w:val="18"/>
          <w:szCs w:val="18"/>
        </w:rPr>
        <w:t>.</w:t>
      </w:r>
    </w:p>
  </w:footnote>
  <w:footnote w:id="2">
    <w:p w:rsidR="00165B8F" w:rsidRDefault="00165B8F" w:rsidP="00982E0F">
      <w:pPr>
        <w:pStyle w:val="Textpoznpodarou"/>
        <w:ind w:left="284" w:hanging="284"/>
      </w:pPr>
      <w:r w:rsidRPr="00DE338E">
        <w:rPr>
          <w:rStyle w:val="Znakapoznpodarou"/>
          <w:rFonts w:ascii="Arial" w:hAnsi="Arial" w:cs="Arial"/>
          <w:sz w:val="18"/>
          <w:szCs w:val="18"/>
        </w:rPr>
        <w:footnoteRef/>
      </w:r>
      <w:r>
        <w:tab/>
      </w:r>
      <w:r w:rsidRPr="00DE338E">
        <w:rPr>
          <w:rFonts w:ascii="Arial" w:hAnsi="Arial" w:cs="Arial"/>
          <w:sz w:val="18"/>
          <w:szCs w:val="18"/>
        </w:rPr>
        <w:t>Finanční výkazy nejsou od 1.</w:t>
      </w:r>
      <w:r>
        <w:rPr>
          <w:rFonts w:ascii="Arial" w:hAnsi="Arial" w:cs="Arial"/>
          <w:sz w:val="18"/>
          <w:szCs w:val="18"/>
        </w:rPr>
        <w:t xml:space="preserve"> ledna </w:t>
      </w:r>
      <w:r w:rsidRPr="00DE338E">
        <w:rPr>
          <w:rFonts w:ascii="Arial" w:hAnsi="Arial" w:cs="Arial"/>
          <w:sz w:val="18"/>
          <w:szCs w:val="18"/>
        </w:rPr>
        <w:t>2010 součástí účetní závěrky.</w:t>
      </w:r>
    </w:p>
  </w:footnote>
  <w:footnote w:id="3">
    <w:p w:rsidR="00165B8F" w:rsidRPr="00113872" w:rsidRDefault="00165B8F" w:rsidP="00982E0F">
      <w:pPr>
        <w:pStyle w:val="Textpoznpodarou"/>
        <w:ind w:left="284" w:hanging="284"/>
        <w:rPr>
          <w:highlight w:val="lightGray"/>
        </w:rPr>
      </w:pPr>
      <w:r w:rsidRPr="00113872">
        <w:rPr>
          <w:rStyle w:val="Znakapoznpodarou"/>
          <w:rFonts w:ascii="Arial" w:hAnsi="Arial" w:cs="Arial"/>
          <w:sz w:val="18"/>
          <w:szCs w:val="18"/>
        </w:rPr>
        <w:footnoteRef/>
      </w:r>
      <w:r>
        <w:tab/>
      </w:r>
      <w:r w:rsidRPr="00113872">
        <w:rPr>
          <w:rFonts w:ascii="Arial" w:hAnsi="Arial" w:cs="Arial"/>
          <w:sz w:val="18"/>
          <w:szCs w:val="18"/>
        </w:rPr>
        <w:t>Konečné stavy účtů v</w:t>
      </w:r>
      <w:r>
        <w:rPr>
          <w:rFonts w:ascii="Arial" w:hAnsi="Arial" w:cs="Arial"/>
          <w:sz w:val="18"/>
          <w:szCs w:val="18"/>
        </w:rPr>
        <w:t xml:space="preserve"> ÚZ.</w:t>
      </w:r>
      <w:r w:rsidRPr="00113872">
        <w:rPr>
          <w:rFonts w:ascii="Arial" w:hAnsi="Arial" w:cs="Arial"/>
          <w:sz w:val="18"/>
          <w:szCs w:val="18"/>
        </w:rPr>
        <w:t xml:space="preserve"> </w:t>
      </w:r>
    </w:p>
  </w:footnote>
  <w:footnote w:id="4">
    <w:p w:rsidR="00165B8F" w:rsidRPr="001233B8" w:rsidRDefault="00165B8F" w:rsidP="009347B6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9347B6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Změny ve vykazování mají být popsány v příloze účetní závěrky, ta ale není zveřejňována v prezentačním systému účetních a finančních informací státu (ÚFIS).</w:t>
      </w:r>
    </w:p>
  </w:footnote>
  <w:footnote w:id="5">
    <w:p w:rsidR="00165B8F" w:rsidRPr="00E379CA" w:rsidRDefault="00165B8F" w:rsidP="002E469C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9CA">
        <w:rPr>
          <w:rStyle w:val="Znakapoznpodarou"/>
          <w:rFonts w:ascii="Arial" w:hAnsi="Arial" w:cs="Arial"/>
          <w:sz w:val="18"/>
          <w:szCs w:val="18"/>
        </w:rPr>
        <w:footnoteRef/>
      </w:r>
      <w:r w:rsidRPr="00E379CA">
        <w:rPr>
          <w:rFonts w:ascii="Arial" w:hAnsi="Arial" w:cs="Arial"/>
          <w:sz w:val="18"/>
          <w:szCs w:val="18"/>
        </w:rPr>
        <w:tab/>
        <w:t>Vybranými účetními jednotkami jsou podle § 1 odst. 3 zákona o účetnictví</w:t>
      </w:r>
      <w:r>
        <w:rPr>
          <w:rFonts w:ascii="Arial" w:hAnsi="Arial" w:cs="Arial"/>
          <w:sz w:val="18"/>
          <w:szCs w:val="18"/>
        </w:rPr>
        <w:t>:</w:t>
      </w:r>
      <w:r w:rsidRPr="00E379CA">
        <w:rPr>
          <w:rFonts w:ascii="Arial" w:hAnsi="Arial" w:cs="Arial"/>
          <w:sz w:val="18"/>
          <w:szCs w:val="18"/>
        </w:rPr>
        <w:t xml:space="preserve"> OSS, státní fondy podle rozpočtových pravidel, Pozemkový fond ČR, územní samosprávné celky, dobrovolné svazky obcí, </w:t>
      </w:r>
      <w:r>
        <w:rPr>
          <w:rFonts w:ascii="Arial" w:hAnsi="Arial" w:cs="Arial"/>
          <w:sz w:val="18"/>
          <w:szCs w:val="18"/>
        </w:rPr>
        <w:t>r</w:t>
      </w:r>
      <w:r w:rsidRPr="00E379CA">
        <w:rPr>
          <w:rFonts w:ascii="Arial" w:hAnsi="Arial" w:cs="Arial"/>
          <w:sz w:val="18"/>
          <w:szCs w:val="18"/>
        </w:rPr>
        <w:t>egionální rady regionů soudržnosti, příspěvkové organizace a zdravotní pojišťovny. České účetní standardy č. 701 až 708 v bodu 1. uvádějí, že jejich cílem je stanovit postupy účtování, a to „</w:t>
      </w:r>
      <w:r w:rsidRPr="00E50173">
        <w:rPr>
          <w:rFonts w:ascii="Arial" w:hAnsi="Arial" w:cs="Arial"/>
          <w:i/>
          <w:sz w:val="18"/>
          <w:szCs w:val="18"/>
        </w:rPr>
        <w:t>pro některé vybrané účetní jednotky</w:t>
      </w:r>
      <w:r w:rsidRPr="00E379CA">
        <w:rPr>
          <w:rFonts w:ascii="Arial" w:hAnsi="Arial" w:cs="Arial"/>
          <w:sz w:val="18"/>
          <w:szCs w:val="18"/>
        </w:rPr>
        <w:t>“. Vyhláška č.</w:t>
      </w:r>
      <w:r>
        <w:rPr>
          <w:rFonts w:ascii="Arial" w:hAnsi="Arial" w:cs="Arial"/>
          <w:sz w:val="18"/>
          <w:szCs w:val="18"/>
        </w:rPr>
        <w:t xml:space="preserve"> </w:t>
      </w:r>
      <w:r w:rsidRPr="00E379CA">
        <w:rPr>
          <w:rFonts w:ascii="Arial" w:hAnsi="Arial" w:cs="Arial"/>
          <w:sz w:val="18"/>
          <w:szCs w:val="18"/>
        </w:rPr>
        <w:t>410/2009 Sb. v § 2 uvádí výčet vybraných účetních jednotek, na které se tato vyhláška vztahuje, jedná se o</w:t>
      </w:r>
      <w:r>
        <w:rPr>
          <w:rFonts w:ascii="Arial" w:hAnsi="Arial" w:cs="Arial"/>
          <w:sz w:val="18"/>
          <w:szCs w:val="18"/>
        </w:rPr>
        <w:t xml:space="preserve"> </w:t>
      </w:r>
      <w:r w:rsidRPr="00E379CA">
        <w:rPr>
          <w:rFonts w:ascii="Arial" w:hAnsi="Arial" w:cs="Arial"/>
          <w:sz w:val="18"/>
          <w:szCs w:val="18"/>
        </w:rPr>
        <w:t>vybrané účetní jednotky kromě zdravotních pojišťoven. České účetní standardy č. 701 až 708 se tak vztahují na vybrané účetní jednotky kromě zdravotních pojišťoven.</w:t>
      </w:r>
    </w:p>
  </w:footnote>
  <w:footnote w:id="6">
    <w:p w:rsidR="00165B8F" w:rsidRPr="00C860AD" w:rsidRDefault="00165B8F" w:rsidP="002B51EB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70629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C860AD">
        <w:rPr>
          <w:rFonts w:ascii="Arial" w:hAnsi="Arial" w:cs="Arial"/>
          <w:sz w:val="18"/>
          <w:szCs w:val="18"/>
        </w:rPr>
        <w:t xml:space="preserve">Od roku 2010, kdy byly pro vybrané účetní jednotky nově stanoveny postupy účtování a vykazování, a to i v oblasti poskytování transferů, nebyly v ČÚS </w:t>
      </w:r>
      <w:r>
        <w:rPr>
          <w:rFonts w:ascii="Arial" w:hAnsi="Arial" w:cs="Arial"/>
          <w:sz w:val="18"/>
          <w:szCs w:val="18"/>
        </w:rPr>
        <w:t xml:space="preserve">č. </w:t>
      </w:r>
      <w:r w:rsidRPr="00C860AD">
        <w:rPr>
          <w:rFonts w:ascii="Arial" w:hAnsi="Arial" w:cs="Arial"/>
          <w:sz w:val="18"/>
          <w:szCs w:val="18"/>
        </w:rPr>
        <w:t xml:space="preserve">703 definovány postupy účtování pro poskytování peněžních prostředků státního rozpočtu na předfinancování výdajů, které mají být následně uhrazeny </w:t>
      </w:r>
      <w:r>
        <w:rPr>
          <w:rFonts w:ascii="Arial" w:hAnsi="Arial" w:cs="Arial"/>
          <w:sz w:val="18"/>
          <w:szCs w:val="18"/>
        </w:rPr>
        <w:t>z </w:t>
      </w:r>
      <w:r w:rsidRPr="00C860AD">
        <w:rPr>
          <w:rFonts w:ascii="Arial" w:hAnsi="Arial" w:cs="Arial"/>
          <w:sz w:val="18"/>
          <w:szCs w:val="18"/>
        </w:rPr>
        <w:t xml:space="preserve">prostředků rozpočtu EU, ani pro následnou úhradu těchto výdajů </w:t>
      </w:r>
      <w:r>
        <w:rPr>
          <w:rFonts w:ascii="Arial" w:hAnsi="Arial" w:cs="Arial"/>
          <w:sz w:val="18"/>
          <w:szCs w:val="18"/>
        </w:rPr>
        <w:t>z </w:t>
      </w:r>
      <w:r w:rsidRPr="00C860AD">
        <w:rPr>
          <w:rFonts w:ascii="Arial" w:hAnsi="Arial" w:cs="Arial"/>
          <w:sz w:val="18"/>
          <w:szCs w:val="18"/>
        </w:rPr>
        <w:t>rozpočtu EU. NKÚ se proto v letech 2010 a 2011 ke správnosti údajů vykázaných v dané oblasti nevyjádřil.</w:t>
      </w:r>
    </w:p>
  </w:footnote>
  <w:footnote w:id="7">
    <w:p w:rsidR="00165B8F" w:rsidRPr="00886F01" w:rsidRDefault="00165B8F" w:rsidP="00E92017">
      <w:pPr>
        <w:pStyle w:val="Textpoznpodarou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32EE7">
        <w:rPr>
          <w:rStyle w:val="Znakapoznpodarou"/>
          <w:rFonts w:ascii="Arial" w:hAnsi="Arial" w:cs="Arial"/>
          <w:sz w:val="18"/>
          <w:szCs w:val="18"/>
        </w:rPr>
        <w:footnoteRef/>
      </w:r>
      <w:r w:rsidRPr="00732EE7"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 xml:space="preserve"> </w:t>
      </w:r>
      <w:r w:rsidRPr="00732EE7">
        <w:rPr>
          <w:rFonts w:ascii="Arial" w:hAnsi="Arial" w:cs="Arial"/>
          <w:sz w:val="18"/>
          <w:szCs w:val="18"/>
        </w:rPr>
        <w:t>ČÚS č. 703</w:t>
      </w:r>
      <w:r>
        <w:rPr>
          <w:rFonts w:ascii="Arial" w:hAnsi="Arial" w:cs="Arial"/>
          <w:sz w:val="18"/>
          <w:szCs w:val="18"/>
        </w:rPr>
        <w:t xml:space="preserve"> je v</w:t>
      </w:r>
      <w:r w:rsidRPr="00732EE7">
        <w:rPr>
          <w:rFonts w:ascii="Arial" w:hAnsi="Arial" w:cs="Arial"/>
          <w:sz w:val="18"/>
          <w:szCs w:val="18"/>
        </w:rPr>
        <w:t xml:space="preserve"> bodu 3.1 e) vymezen zahraniční transfer tak, že se jedná o prostředky získané od subjektu se sídlem v</w:t>
      </w:r>
      <w:r>
        <w:rPr>
          <w:rFonts w:ascii="Arial" w:hAnsi="Arial" w:cs="Arial"/>
          <w:sz w:val="18"/>
          <w:szCs w:val="18"/>
        </w:rPr>
        <w:t xml:space="preserve"> </w:t>
      </w:r>
      <w:r w:rsidRPr="00732EE7">
        <w:rPr>
          <w:rFonts w:ascii="Arial" w:hAnsi="Arial" w:cs="Arial"/>
          <w:sz w:val="18"/>
          <w:szCs w:val="18"/>
        </w:rPr>
        <w:t>zahraničí. MŠMT získává</w:t>
      </w:r>
      <w:r>
        <w:rPr>
          <w:rFonts w:ascii="Arial" w:hAnsi="Arial" w:cs="Arial"/>
          <w:sz w:val="18"/>
          <w:szCs w:val="18"/>
        </w:rPr>
        <w:t xml:space="preserve"> </w:t>
      </w:r>
      <w:r w:rsidRPr="00732EE7">
        <w:rPr>
          <w:rFonts w:ascii="Arial" w:hAnsi="Arial" w:cs="Arial"/>
          <w:sz w:val="18"/>
          <w:szCs w:val="18"/>
        </w:rPr>
        <w:t xml:space="preserve">refundované prostředky od Národního fondu, ten však nemá sídlo v zahraničí, je součástí Ministerstva financí. Je proto možný i výklad, že prostředky přijaté </w:t>
      </w:r>
      <w:r>
        <w:rPr>
          <w:rFonts w:ascii="Arial" w:hAnsi="Arial" w:cs="Arial"/>
          <w:sz w:val="18"/>
          <w:szCs w:val="18"/>
        </w:rPr>
        <w:t>z </w:t>
      </w:r>
      <w:r w:rsidRPr="00732EE7">
        <w:rPr>
          <w:rFonts w:ascii="Arial" w:hAnsi="Arial" w:cs="Arial"/>
          <w:sz w:val="18"/>
          <w:szCs w:val="18"/>
        </w:rPr>
        <w:t>Národního fondu jsou prostředky přijatými od poskytovatele se sídlem v</w:t>
      </w:r>
      <w:r>
        <w:rPr>
          <w:rFonts w:ascii="Arial" w:hAnsi="Arial" w:cs="Arial"/>
          <w:sz w:val="18"/>
          <w:szCs w:val="18"/>
        </w:rPr>
        <w:t xml:space="preserve"> </w:t>
      </w:r>
      <w:r w:rsidRPr="00732EE7">
        <w:rPr>
          <w:rFonts w:ascii="Arial" w:hAnsi="Arial" w:cs="Arial"/>
          <w:sz w:val="18"/>
          <w:szCs w:val="18"/>
        </w:rPr>
        <w:t>tuzemsku; v</w:t>
      </w:r>
      <w:r>
        <w:rPr>
          <w:rFonts w:ascii="Arial" w:hAnsi="Arial" w:cs="Arial"/>
          <w:sz w:val="18"/>
          <w:szCs w:val="18"/>
        </w:rPr>
        <w:t xml:space="preserve"> </w:t>
      </w:r>
      <w:r w:rsidRPr="00732EE7">
        <w:rPr>
          <w:rFonts w:ascii="Arial" w:hAnsi="Arial" w:cs="Arial"/>
          <w:sz w:val="18"/>
          <w:szCs w:val="18"/>
        </w:rPr>
        <w:t>takovém případě by tyto prostředky nebyly považovány za zahraniční transfer.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</w:footnote>
  <w:footnote w:id="8">
    <w:p w:rsidR="00165B8F" w:rsidRDefault="00165B8F" w:rsidP="00E92017">
      <w:pPr>
        <w:pStyle w:val="Textpoznpodarou"/>
        <w:ind w:left="284" w:hanging="284"/>
        <w:jc w:val="both"/>
      </w:pPr>
      <w:r w:rsidRPr="000C31DE">
        <w:rPr>
          <w:rStyle w:val="Znakapoznpodarou"/>
          <w:rFonts w:ascii="Arial" w:hAnsi="Arial" w:cs="Arial"/>
          <w:sz w:val="18"/>
          <w:szCs w:val="18"/>
        </w:rPr>
        <w:footnoteRef/>
      </w:r>
      <w:r w:rsidRPr="000032DA">
        <w:rPr>
          <w:rFonts w:cs="Arial"/>
          <w:sz w:val="18"/>
          <w:szCs w:val="18"/>
        </w:rPr>
        <w:tab/>
      </w:r>
      <w:r w:rsidRPr="000C31DE">
        <w:rPr>
          <w:rFonts w:ascii="Arial" w:hAnsi="Arial" w:cs="Arial"/>
          <w:sz w:val="18"/>
          <w:szCs w:val="18"/>
        </w:rPr>
        <w:t>Tuto částku tvoří částka 37</w:t>
      </w:r>
      <w:r>
        <w:rPr>
          <w:rFonts w:ascii="Arial" w:hAnsi="Arial" w:cs="Arial"/>
          <w:sz w:val="18"/>
          <w:szCs w:val="18"/>
        </w:rPr>
        <w:t xml:space="preserve"> </w:t>
      </w:r>
      <w:r w:rsidRPr="000C31DE">
        <w:rPr>
          <w:rFonts w:ascii="Arial" w:hAnsi="Arial" w:cs="Arial"/>
          <w:sz w:val="18"/>
          <w:szCs w:val="18"/>
        </w:rPr>
        <w:t>969</w:t>
      </w:r>
      <w:r>
        <w:rPr>
          <w:rFonts w:ascii="Arial" w:hAnsi="Arial" w:cs="Arial"/>
          <w:sz w:val="18"/>
          <w:szCs w:val="18"/>
        </w:rPr>
        <w:t xml:space="preserve"> </w:t>
      </w:r>
      <w:r w:rsidRPr="000C31DE">
        <w:rPr>
          <w:rFonts w:ascii="Arial" w:hAnsi="Arial" w:cs="Arial"/>
          <w:sz w:val="18"/>
          <w:szCs w:val="18"/>
        </w:rPr>
        <w:t>733</w:t>
      </w:r>
      <w:r>
        <w:rPr>
          <w:rFonts w:ascii="Arial" w:hAnsi="Arial" w:cs="Arial"/>
          <w:sz w:val="18"/>
          <w:szCs w:val="18"/>
        </w:rPr>
        <w:t xml:space="preserve"> </w:t>
      </w:r>
      <w:r w:rsidRPr="000C31DE">
        <w:rPr>
          <w:rFonts w:ascii="Arial" w:hAnsi="Arial" w:cs="Arial"/>
          <w:sz w:val="18"/>
          <w:szCs w:val="18"/>
        </w:rPr>
        <w:t>042,59 Kč (v této výši MŠMT nevytvořilo a nevykázalo</w:t>
      </w:r>
      <w:r>
        <w:rPr>
          <w:rFonts w:ascii="Arial" w:hAnsi="Arial" w:cs="Arial"/>
          <w:sz w:val="18"/>
          <w:szCs w:val="18"/>
        </w:rPr>
        <w:t xml:space="preserve"> v roce 2012</w:t>
      </w:r>
      <w:r w:rsidRPr="000C31DE">
        <w:rPr>
          <w:rFonts w:ascii="Arial" w:hAnsi="Arial" w:cs="Arial"/>
          <w:sz w:val="18"/>
          <w:szCs w:val="18"/>
        </w:rPr>
        <w:t xml:space="preserve"> dohadné položky k</w:t>
      </w:r>
      <w:r>
        <w:rPr>
          <w:rFonts w:ascii="Arial" w:hAnsi="Arial" w:cs="Arial"/>
          <w:sz w:val="18"/>
          <w:szCs w:val="18"/>
        </w:rPr>
        <w:t xml:space="preserve"> </w:t>
      </w:r>
      <w:r w:rsidRPr="000C31DE">
        <w:rPr>
          <w:rFonts w:ascii="Arial" w:hAnsi="Arial" w:cs="Arial"/>
          <w:sz w:val="18"/>
          <w:szCs w:val="18"/>
        </w:rPr>
        <w:t>transferům</w:t>
      </w:r>
      <w:r>
        <w:rPr>
          <w:rFonts w:ascii="Arial" w:hAnsi="Arial" w:cs="Arial"/>
          <w:sz w:val="18"/>
          <w:szCs w:val="18"/>
        </w:rPr>
        <w:t xml:space="preserve"> poskytnutým v roce 2012 a v letech předchozích v rámci</w:t>
      </w:r>
      <w:r w:rsidRPr="000C31DE">
        <w:rPr>
          <w:rFonts w:ascii="Arial" w:hAnsi="Arial" w:cs="Arial"/>
          <w:sz w:val="18"/>
          <w:szCs w:val="18"/>
        </w:rPr>
        <w:t xml:space="preserve"> </w:t>
      </w:r>
      <w:r w:rsidRPr="001233B8">
        <w:rPr>
          <w:rFonts w:ascii="Arial" w:hAnsi="Arial" w:cs="Arial"/>
          <w:sz w:val="18"/>
          <w:szCs w:val="18"/>
        </w:rPr>
        <w:t xml:space="preserve">operačního programu </w:t>
      </w:r>
      <w:r w:rsidRPr="001233B8">
        <w:rPr>
          <w:rFonts w:ascii="Arial" w:hAnsi="Arial" w:cs="Arial"/>
          <w:i/>
          <w:sz w:val="18"/>
          <w:szCs w:val="18"/>
        </w:rPr>
        <w:t>Vzdělávání pro</w:t>
      </w:r>
      <w:r w:rsidRPr="001233B8">
        <w:rPr>
          <w:rFonts w:ascii="Arial" w:hAnsi="Arial" w:cs="Arial"/>
          <w:sz w:val="18"/>
          <w:szCs w:val="18"/>
        </w:rPr>
        <w:t xml:space="preserve"> </w:t>
      </w:r>
      <w:r w:rsidRPr="001233B8">
        <w:rPr>
          <w:rFonts w:ascii="Arial" w:hAnsi="Arial" w:cs="Arial"/>
          <w:i/>
          <w:sz w:val="18"/>
          <w:szCs w:val="18"/>
        </w:rPr>
        <w:t>konkurenceschopnost</w:t>
      </w:r>
      <w:r w:rsidRPr="001233B8">
        <w:rPr>
          <w:rFonts w:ascii="Arial" w:hAnsi="Arial" w:cs="Arial"/>
          <w:sz w:val="18"/>
          <w:szCs w:val="18"/>
        </w:rPr>
        <w:t xml:space="preserve"> a operačního programu </w:t>
      </w:r>
      <w:r w:rsidRPr="001233B8">
        <w:rPr>
          <w:rFonts w:ascii="Arial" w:hAnsi="Arial" w:cs="Arial"/>
          <w:i/>
          <w:sz w:val="18"/>
          <w:szCs w:val="18"/>
        </w:rPr>
        <w:t>Výzkum a vývoj pro inovace</w:t>
      </w:r>
      <w:r w:rsidRPr="000C31DE">
        <w:rPr>
          <w:rFonts w:ascii="Arial" w:hAnsi="Arial" w:cs="Arial"/>
          <w:sz w:val="18"/>
          <w:szCs w:val="18"/>
        </w:rPr>
        <w:t xml:space="preserve">, u kterých očekávalo refundaci </w:t>
      </w:r>
      <w:r>
        <w:rPr>
          <w:rFonts w:ascii="Arial" w:hAnsi="Arial" w:cs="Arial"/>
          <w:sz w:val="18"/>
          <w:szCs w:val="18"/>
        </w:rPr>
        <w:t>z </w:t>
      </w:r>
      <w:r w:rsidRPr="000C31DE">
        <w:rPr>
          <w:rFonts w:ascii="Arial" w:hAnsi="Arial" w:cs="Arial"/>
          <w:sz w:val="18"/>
          <w:szCs w:val="18"/>
        </w:rPr>
        <w:t xml:space="preserve">Národního fondu) a částka </w:t>
      </w:r>
      <w:r w:rsidRPr="000C31DE">
        <w:rPr>
          <w:rFonts w:ascii="Arial" w:hAnsi="Arial" w:cs="Arial"/>
          <w:sz w:val="18"/>
          <w:szCs w:val="18"/>
          <w:lang w:eastAsia="hi-IN" w:bidi="hi-IN"/>
        </w:rPr>
        <w:t>11</w:t>
      </w:r>
      <w:r>
        <w:rPr>
          <w:rFonts w:ascii="Arial" w:hAnsi="Arial" w:cs="Arial"/>
          <w:sz w:val="18"/>
          <w:szCs w:val="18"/>
          <w:lang w:eastAsia="hi-IN" w:bidi="hi-IN"/>
        </w:rPr>
        <w:t xml:space="preserve"> </w:t>
      </w:r>
      <w:r w:rsidRPr="000C31DE">
        <w:rPr>
          <w:rFonts w:ascii="Arial" w:hAnsi="Arial" w:cs="Arial"/>
          <w:sz w:val="18"/>
          <w:szCs w:val="18"/>
          <w:lang w:eastAsia="hi-IN" w:bidi="hi-IN"/>
        </w:rPr>
        <w:t>472</w:t>
      </w:r>
      <w:r>
        <w:rPr>
          <w:rFonts w:ascii="Arial" w:hAnsi="Arial" w:cs="Arial"/>
          <w:sz w:val="18"/>
          <w:szCs w:val="18"/>
          <w:lang w:eastAsia="hi-IN" w:bidi="hi-IN"/>
        </w:rPr>
        <w:t xml:space="preserve"> </w:t>
      </w:r>
      <w:r w:rsidRPr="000C31DE">
        <w:rPr>
          <w:rFonts w:ascii="Arial" w:hAnsi="Arial" w:cs="Arial"/>
          <w:sz w:val="18"/>
          <w:szCs w:val="18"/>
          <w:lang w:eastAsia="hi-IN" w:bidi="hi-IN"/>
        </w:rPr>
        <w:t>956</w:t>
      </w:r>
      <w:r>
        <w:rPr>
          <w:rFonts w:ascii="Arial" w:hAnsi="Arial" w:cs="Arial"/>
          <w:sz w:val="18"/>
          <w:szCs w:val="18"/>
          <w:lang w:eastAsia="hi-IN" w:bidi="hi-IN"/>
        </w:rPr>
        <w:t xml:space="preserve"> </w:t>
      </w:r>
      <w:r w:rsidRPr="000C31DE">
        <w:rPr>
          <w:rFonts w:ascii="Arial" w:hAnsi="Arial" w:cs="Arial"/>
          <w:sz w:val="18"/>
          <w:szCs w:val="18"/>
          <w:lang w:eastAsia="hi-IN" w:bidi="hi-IN"/>
        </w:rPr>
        <w:t>764,05 Kč (viz následující poznámka)</w:t>
      </w:r>
      <w:r w:rsidRPr="000C31DE">
        <w:rPr>
          <w:rFonts w:ascii="Arial" w:hAnsi="Arial" w:cs="Arial"/>
          <w:sz w:val="18"/>
          <w:szCs w:val="18"/>
        </w:rPr>
        <w:t>.</w:t>
      </w:r>
    </w:p>
  </w:footnote>
  <w:footnote w:id="9">
    <w:p w:rsidR="00165B8F" w:rsidRDefault="00165B8F" w:rsidP="00E92017">
      <w:pPr>
        <w:pStyle w:val="Textpoznpodarou"/>
        <w:ind w:left="284" w:hanging="284"/>
        <w:jc w:val="both"/>
      </w:pPr>
      <w:r w:rsidRPr="000C31DE">
        <w:rPr>
          <w:rStyle w:val="Znakapoznpodarou"/>
          <w:rFonts w:ascii="Arial" w:hAnsi="Arial" w:cs="Arial"/>
          <w:sz w:val="18"/>
          <w:szCs w:val="18"/>
        </w:rPr>
        <w:footnoteRef/>
      </w:r>
      <w:r w:rsidRPr="000032DA">
        <w:rPr>
          <w:rFonts w:cs="Arial"/>
          <w:sz w:val="18"/>
          <w:szCs w:val="18"/>
        </w:rPr>
        <w:tab/>
      </w:r>
      <w:r w:rsidRPr="000C31DE">
        <w:rPr>
          <w:rFonts w:ascii="Arial" w:hAnsi="Arial" w:cs="Arial"/>
          <w:sz w:val="18"/>
          <w:szCs w:val="18"/>
        </w:rPr>
        <w:t xml:space="preserve">O tuto výši snížilo MŠMT zůstatek účtu 471 </w:t>
      </w:r>
      <w:r>
        <w:rPr>
          <w:rFonts w:ascii="Arial" w:hAnsi="Arial" w:cs="Arial"/>
          <w:sz w:val="18"/>
          <w:szCs w:val="18"/>
        </w:rPr>
        <w:t>z </w:t>
      </w:r>
      <w:r w:rsidRPr="000C31DE">
        <w:rPr>
          <w:rFonts w:ascii="Arial" w:hAnsi="Arial" w:cs="Arial"/>
          <w:sz w:val="18"/>
          <w:szCs w:val="18"/>
        </w:rPr>
        <w:t>titulu</w:t>
      </w:r>
      <w:r>
        <w:rPr>
          <w:rFonts w:ascii="Arial" w:hAnsi="Arial" w:cs="Arial"/>
          <w:sz w:val="18"/>
          <w:szCs w:val="18"/>
        </w:rPr>
        <w:t xml:space="preserve"> nároku na prostředky následně</w:t>
      </w:r>
      <w:r w:rsidRPr="000C31DE">
        <w:rPr>
          <w:rFonts w:ascii="Arial" w:hAnsi="Arial" w:cs="Arial"/>
          <w:sz w:val="18"/>
          <w:szCs w:val="18"/>
        </w:rPr>
        <w:t xml:space="preserve"> přijat</w:t>
      </w:r>
      <w:r>
        <w:rPr>
          <w:rFonts w:ascii="Arial" w:hAnsi="Arial" w:cs="Arial"/>
          <w:sz w:val="18"/>
          <w:szCs w:val="18"/>
        </w:rPr>
        <w:t>é</w:t>
      </w:r>
      <w:r w:rsidRPr="000C31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 </w:t>
      </w:r>
      <w:r w:rsidRPr="000C31DE">
        <w:rPr>
          <w:rFonts w:ascii="Arial" w:hAnsi="Arial" w:cs="Arial"/>
          <w:sz w:val="18"/>
          <w:szCs w:val="18"/>
        </w:rPr>
        <w:t>Národního fondu.</w:t>
      </w:r>
    </w:p>
  </w:footnote>
  <w:footnote w:id="10">
    <w:p w:rsidR="00165B8F" w:rsidRDefault="00165B8F" w:rsidP="0070629B">
      <w:pPr>
        <w:pStyle w:val="Textpoznpodarou"/>
        <w:ind w:left="284" w:hanging="284"/>
        <w:jc w:val="both"/>
      </w:pPr>
      <w:r w:rsidRPr="000C31DE">
        <w:rPr>
          <w:rStyle w:val="Znakapoznpodarou"/>
          <w:rFonts w:ascii="Arial" w:hAnsi="Arial" w:cs="Arial"/>
          <w:sz w:val="18"/>
          <w:szCs w:val="18"/>
        </w:rPr>
        <w:footnoteRef/>
      </w:r>
      <w:r w:rsidRPr="000032DA">
        <w:rPr>
          <w:rFonts w:cs="Arial"/>
          <w:sz w:val="18"/>
          <w:szCs w:val="18"/>
        </w:rPr>
        <w:tab/>
      </w:r>
      <w:r w:rsidRPr="000C31DE">
        <w:rPr>
          <w:rFonts w:ascii="Arial" w:hAnsi="Arial" w:cs="Arial"/>
          <w:sz w:val="18"/>
          <w:szCs w:val="18"/>
        </w:rPr>
        <w:t>T</w:t>
      </w:r>
      <w:r w:rsidRPr="000C31DE">
        <w:rPr>
          <w:rFonts w:ascii="Arial" w:hAnsi="Arial" w:cs="Arial"/>
          <w:sz w:val="18"/>
          <w:szCs w:val="18"/>
          <w:lang w:eastAsia="hi-IN" w:bidi="hi-IN"/>
        </w:rPr>
        <w:t>ato částka byla poskytnuta v</w:t>
      </w:r>
      <w:r>
        <w:rPr>
          <w:rFonts w:ascii="Arial" w:hAnsi="Arial" w:cs="Arial"/>
          <w:sz w:val="18"/>
          <w:szCs w:val="18"/>
          <w:lang w:eastAsia="hi-IN" w:bidi="hi-IN"/>
        </w:rPr>
        <w:t xml:space="preserve"> </w:t>
      </w:r>
      <w:r w:rsidRPr="000C31DE">
        <w:rPr>
          <w:rFonts w:ascii="Arial" w:hAnsi="Arial" w:cs="Arial"/>
          <w:sz w:val="18"/>
          <w:szCs w:val="18"/>
          <w:lang w:eastAsia="hi-IN" w:bidi="hi-IN"/>
        </w:rPr>
        <w:t xml:space="preserve">rámci </w:t>
      </w:r>
      <w:r w:rsidRPr="001233B8">
        <w:rPr>
          <w:rFonts w:ascii="Arial" w:hAnsi="Arial" w:cs="Arial"/>
          <w:sz w:val="18"/>
          <w:szCs w:val="18"/>
        </w:rPr>
        <w:t xml:space="preserve">operačního programu </w:t>
      </w:r>
      <w:r w:rsidRPr="001233B8">
        <w:rPr>
          <w:rFonts w:ascii="Arial" w:hAnsi="Arial" w:cs="Arial"/>
          <w:i/>
          <w:sz w:val="18"/>
          <w:szCs w:val="18"/>
        </w:rPr>
        <w:t>Vzdělávání pro</w:t>
      </w:r>
      <w:r w:rsidRPr="001233B8">
        <w:rPr>
          <w:rFonts w:ascii="Arial" w:hAnsi="Arial" w:cs="Arial"/>
          <w:sz w:val="18"/>
          <w:szCs w:val="18"/>
        </w:rPr>
        <w:t xml:space="preserve"> </w:t>
      </w:r>
      <w:r w:rsidRPr="001233B8">
        <w:rPr>
          <w:rFonts w:ascii="Arial" w:hAnsi="Arial" w:cs="Arial"/>
          <w:i/>
          <w:sz w:val="18"/>
          <w:szCs w:val="18"/>
        </w:rPr>
        <w:t>konkurenceschopnost</w:t>
      </w:r>
      <w:r w:rsidRPr="001233B8">
        <w:rPr>
          <w:rFonts w:ascii="Arial" w:hAnsi="Arial" w:cs="Arial"/>
          <w:sz w:val="18"/>
          <w:szCs w:val="18"/>
        </w:rPr>
        <w:t xml:space="preserve"> a operačního programu </w:t>
      </w:r>
      <w:r w:rsidRPr="001233B8">
        <w:rPr>
          <w:rFonts w:ascii="Arial" w:hAnsi="Arial" w:cs="Arial"/>
          <w:i/>
          <w:sz w:val="18"/>
          <w:szCs w:val="18"/>
        </w:rPr>
        <w:t>Výzkum a vývoj pro inovace</w:t>
      </w:r>
      <w:r w:rsidRPr="000C31DE">
        <w:rPr>
          <w:rFonts w:ascii="Arial" w:hAnsi="Arial" w:cs="Arial"/>
          <w:sz w:val="18"/>
          <w:szCs w:val="18"/>
          <w:lang w:eastAsia="hi-IN" w:bidi="hi-IN"/>
        </w:rPr>
        <w:t xml:space="preserve"> v</w:t>
      </w:r>
      <w:r>
        <w:rPr>
          <w:rFonts w:ascii="Arial" w:hAnsi="Arial" w:cs="Arial"/>
          <w:sz w:val="18"/>
          <w:szCs w:val="18"/>
          <w:lang w:eastAsia="hi-IN" w:bidi="hi-IN"/>
        </w:rPr>
        <w:t xml:space="preserve"> </w:t>
      </w:r>
      <w:r w:rsidRPr="000C31DE">
        <w:rPr>
          <w:rFonts w:ascii="Arial" w:hAnsi="Arial" w:cs="Arial"/>
          <w:sz w:val="18"/>
          <w:szCs w:val="18"/>
          <w:lang w:eastAsia="hi-IN" w:bidi="hi-IN"/>
        </w:rPr>
        <w:t>roce 2012, přičemž se jedná o částku, ke které MŠMT netvořilo dohadné položky (tj. jednalo se o podíl určený k</w:t>
      </w:r>
      <w:r>
        <w:rPr>
          <w:rFonts w:ascii="Arial" w:hAnsi="Arial" w:cs="Arial"/>
          <w:sz w:val="18"/>
          <w:szCs w:val="18"/>
          <w:lang w:eastAsia="hi-IN" w:bidi="hi-IN"/>
        </w:rPr>
        <w:t xml:space="preserve"> </w:t>
      </w:r>
      <w:r w:rsidRPr="000C31DE">
        <w:rPr>
          <w:rFonts w:ascii="Arial" w:hAnsi="Arial" w:cs="Arial"/>
          <w:sz w:val="18"/>
          <w:szCs w:val="18"/>
          <w:lang w:eastAsia="hi-IN" w:bidi="hi-IN"/>
        </w:rPr>
        <w:t>refundaci</w:t>
      </w:r>
      <w:r>
        <w:rPr>
          <w:rFonts w:ascii="Arial" w:hAnsi="Arial" w:cs="Arial"/>
          <w:sz w:val="18"/>
          <w:szCs w:val="18"/>
          <w:lang w:eastAsia="hi-IN" w:bidi="hi-IN"/>
        </w:rPr>
        <w:t xml:space="preserve"> z prostředků EU</w:t>
      </w:r>
      <w:r w:rsidRPr="000C31DE">
        <w:rPr>
          <w:rFonts w:ascii="Arial" w:hAnsi="Arial" w:cs="Arial"/>
          <w:sz w:val="18"/>
          <w:szCs w:val="18"/>
          <w:lang w:eastAsia="hi-IN" w:bidi="hi-IN"/>
        </w:rPr>
        <w:t>).</w:t>
      </w:r>
    </w:p>
  </w:footnote>
  <w:footnote w:id="11">
    <w:p w:rsidR="00165B8F" w:rsidRPr="00E50173" w:rsidRDefault="00165B8F" w:rsidP="0070629B">
      <w:pPr>
        <w:pStyle w:val="Textpoznpodarou"/>
        <w:ind w:left="284" w:hanging="284"/>
        <w:jc w:val="both"/>
        <w:rPr>
          <w:rStyle w:val="Znakapoznpodarou"/>
          <w:rFonts w:ascii="Arial" w:hAnsi="Arial" w:cs="Arial"/>
          <w:sz w:val="18"/>
          <w:szCs w:val="18"/>
          <w:vertAlign w:val="baseline"/>
        </w:rPr>
      </w:pPr>
      <w:r w:rsidRPr="0070629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67CD6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 </w:t>
      </w:r>
      <w:r w:rsidRPr="00067CD6">
        <w:rPr>
          <w:rFonts w:ascii="Arial" w:hAnsi="Arial" w:cs="Arial"/>
          <w:sz w:val="18"/>
          <w:szCs w:val="18"/>
        </w:rPr>
        <w:t xml:space="preserve">roce 2010 ČÚS </w:t>
      </w:r>
      <w:r>
        <w:rPr>
          <w:rFonts w:ascii="Arial" w:hAnsi="Arial" w:cs="Arial"/>
          <w:sz w:val="18"/>
          <w:szCs w:val="18"/>
        </w:rPr>
        <w:t>č. </w:t>
      </w:r>
      <w:r w:rsidRPr="00067CD6">
        <w:rPr>
          <w:rFonts w:ascii="Arial" w:hAnsi="Arial" w:cs="Arial"/>
          <w:sz w:val="18"/>
          <w:szCs w:val="18"/>
        </w:rPr>
        <w:t xml:space="preserve">703 umožňoval různé výklady, jak účtovat o předfinancování peněžních prostředků ze státního rozpočtu a o jejich následné refundaci </w:t>
      </w:r>
      <w:r>
        <w:rPr>
          <w:rFonts w:ascii="Arial" w:hAnsi="Arial" w:cs="Arial"/>
          <w:sz w:val="18"/>
          <w:szCs w:val="18"/>
        </w:rPr>
        <w:t>z </w:t>
      </w:r>
      <w:r w:rsidRPr="00067CD6">
        <w:rPr>
          <w:rFonts w:ascii="Arial" w:hAnsi="Arial" w:cs="Arial"/>
          <w:sz w:val="18"/>
          <w:szCs w:val="18"/>
        </w:rPr>
        <w:t>prostředků rozpočtu EU. MŠMT v</w:t>
      </w:r>
      <w:r>
        <w:rPr>
          <w:rFonts w:ascii="Arial" w:hAnsi="Arial" w:cs="Arial"/>
          <w:sz w:val="18"/>
          <w:szCs w:val="18"/>
        </w:rPr>
        <w:t xml:space="preserve"> </w:t>
      </w:r>
      <w:r w:rsidRPr="00067CD6">
        <w:rPr>
          <w:rFonts w:ascii="Arial" w:hAnsi="Arial" w:cs="Arial"/>
          <w:sz w:val="18"/>
          <w:szCs w:val="18"/>
        </w:rPr>
        <w:t>roce 2010 účtovalo celou poskytnutou částku při předfinancování jako poskytovatel. V</w:t>
      </w:r>
      <w:r>
        <w:rPr>
          <w:rFonts w:ascii="Arial" w:hAnsi="Arial" w:cs="Arial"/>
          <w:sz w:val="18"/>
          <w:szCs w:val="18"/>
        </w:rPr>
        <w:t xml:space="preserve"> </w:t>
      </w:r>
      <w:r w:rsidRPr="00067CD6">
        <w:rPr>
          <w:rFonts w:ascii="Arial" w:hAnsi="Arial" w:cs="Arial"/>
          <w:sz w:val="18"/>
          <w:szCs w:val="18"/>
        </w:rPr>
        <w:t xml:space="preserve">roce 2011 nový ČÚS </w:t>
      </w:r>
      <w:r>
        <w:rPr>
          <w:rFonts w:ascii="Arial" w:hAnsi="Arial" w:cs="Arial"/>
          <w:sz w:val="18"/>
          <w:szCs w:val="18"/>
        </w:rPr>
        <w:t>č. </w:t>
      </w:r>
      <w:r w:rsidRPr="00067CD6">
        <w:rPr>
          <w:rFonts w:ascii="Arial" w:hAnsi="Arial" w:cs="Arial"/>
          <w:sz w:val="18"/>
          <w:szCs w:val="18"/>
        </w:rPr>
        <w:t>703 určil popisem subjekty, které jsou v</w:t>
      </w:r>
      <w:r>
        <w:rPr>
          <w:rFonts w:ascii="Arial" w:hAnsi="Arial" w:cs="Arial"/>
          <w:sz w:val="18"/>
          <w:szCs w:val="18"/>
        </w:rPr>
        <w:t xml:space="preserve"> </w:t>
      </w:r>
      <w:r w:rsidRPr="00067CD6">
        <w:rPr>
          <w:rFonts w:ascii="Arial" w:hAnsi="Arial" w:cs="Arial"/>
          <w:sz w:val="18"/>
          <w:szCs w:val="18"/>
        </w:rPr>
        <w:t>procesu realizovaných finančních toků zprostředkovatelem zahraničního transferu, a</w:t>
      </w:r>
      <w:r>
        <w:rPr>
          <w:rFonts w:ascii="Arial" w:hAnsi="Arial" w:cs="Arial"/>
          <w:sz w:val="18"/>
          <w:szCs w:val="18"/>
        </w:rPr>
        <w:t> </w:t>
      </w:r>
      <w:r w:rsidRPr="00067CD6">
        <w:rPr>
          <w:rFonts w:ascii="Arial" w:hAnsi="Arial" w:cs="Arial"/>
          <w:sz w:val="18"/>
          <w:szCs w:val="18"/>
        </w:rPr>
        <w:t>stanovil pro ně postupy účtování. MŠMT v</w:t>
      </w:r>
      <w:r>
        <w:rPr>
          <w:rFonts w:ascii="Arial" w:hAnsi="Arial" w:cs="Arial"/>
          <w:sz w:val="18"/>
          <w:szCs w:val="18"/>
        </w:rPr>
        <w:t xml:space="preserve"> </w:t>
      </w:r>
      <w:r w:rsidRPr="00067CD6">
        <w:rPr>
          <w:rFonts w:ascii="Arial" w:hAnsi="Arial" w:cs="Arial"/>
          <w:sz w:val="18"/>
          <w:szCs w:val="18"/>
        </w:rPr>
        <w:t>důsledku toho změnilo postupy účtování v</w:t>
      </w:r>
      <w:r>
        <w:rPr>
          <w:rFonts w:ascii="Arial" w:hAnsi="Arial" w:cs="Arial"/>
          <w:sz w:val="18"/>
          <w:szCs w:val="18"/>
        </w:rPr>
        <w:t xml:space="preserve"> </w:t>
      </w:r>
      <w:r w:rsidRPr="00067CD6">
        <w:rPr>
          <w:rFonts w:ascii="Arial" w:hAnsi="Arial" w:cs="Arial"/>
          <w:sz w:val="18"/>
          <w:szCs w:val="18"/>
        </w:rPr>
        <w:t xml:space="preserve">této oblasti a pro část prostředků, které by měly být následně </w:t>
      </w:r>
      <w:r>
        <w:rPr>
          <w:rFonts w:ascii="Arial" w:hAnsi="Arial" w:cs="Arial"/>
          <w:sz w:val="18"/>
          <w:szCs w:val="18"/>
        </w:rPr>
        <w:t>u</w:t>
      </w:r>
      <w:r w:rsidRPr="00067CD6">
        <w:rPr>
          <w:rFonts w:ascii="Arial" w:hAnsi="Arial" w:cs="Arial"/>
          <w:sz w:val="18"/>
          <w:szCs w:val="18"/>
        </w:rPr>
        <w:t xml:space="preserve">hrazeny </w:t>
      </w:r>
      <w:r>
        <w:rPr>
          <w:rFonts w:ascii="Arial" w:hAnsi="Arial" w:cs="Arial"/>
          <w:sz w:val="18"/>
          <w:szCs w:val="18"/>
        </w:rPr>
        <w:t>z </w:t>
      </w:r>
      <w:r w:rsidRPr="00067CD6">
        <w:rPr>
          <w:rFonts w:ascii="Arial" w:hAnsi="Arial" w:cs="Arial"/>
          <w:sz w:val="18"/>
          <w:szCs w:val="18"/>
        </w:rPr>
        <w:t>prostředků rozpočtu EU (tj. 85 % částky poskytnuté příjemci)</w:t>
      </w:r>
      <w:r>
        <w:rPr>
          <w:rFonts w:ascii="Arial" w:hAnsi="Arial" w:cs="Arial"/>
          <w:sz w:val="18"/>
          <w:szCs w:val="18"/>
        </w:rPr>
        <w:t>,</w:t>
      </w:r>
      <w:r w:rsidRPr="00067CD6">
        <w:rPr>
          <w:rFonts w:ascii="Arial" w:hAnsi="Arial" w:cs="Arial"/>
          <w:sz w:val="18"/>
          <w:szCs w:val="18"/>
        </w:rPr>
        <w:t xml:space="preserve"> se považovalo za zprostředkovatele.</w:t>
      </w:r>
    </w:p>
    <w:p w:rsidR="00165B8F" w:rsidRPr="001233B8" w:rsidRDefault="00165B8F" w:rsidP="0082042C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12">
    <w:p w:rsidR="00165B8F" w:rsidRPr="001233B8" w:rsidRDefault="00165B8F" w:rsidP="002B51E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70629B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tab/>
      </w:r>
      <w:r w:rsidRPr="001233B8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 </w:t>
      </w:r>
      <w:r w:rsidRPr="001233B8">
        <w:rPr>
          <w:rFonts w:ascii="Arial" w:hAnsi="Arial" w:cs="Arial"/>
          <w:sz w:val="18"/>
          <w:szCs w:val="18"/>
        </w:rPr>
        <w:t>roce 2011</w:t>
      </w:r>
      <w:r>
        <w:rPr>
          <w:rFonts w:ascii="Arial" w:hAnsi="Arial" w:cs="Arial"/>
          <w:sz w:val="18"/>
          <w:szCs w:val="18"/>
        </w:rPr>
        <w:t xml:space="preserve"> byly tyto výdaje vykazovány na rozpočtové položce 5172 – </w:t>
      </w:r>
      <w:r w:rsidRPr="001233B8">
        <w:rPr>
          <w:rFonts w:ascii="Arial" w:hAnsi="Arial" w:cs="Arial"/>
          <w:i/>
          <w:sz w:val="18"/>
          <w:szCs w:val="18"/>
        </w:rPr>
        <w:t>Programové vybavení</w:t>
      </w:r>
      <w:r>
        <w:rPr>
          <w:rFonts w:ascii="Arial" w:hAnsi="Arial" w:cs="Arial"/>
          <w:sz w:val="18"/>
          <w:szCs w:val="18"/>
        </w:rPr>
        <w:t>.</w:t>
      </w:r>
    </w:p>
  </w:footnote>
  <w:footnote w:id="13">
    <w:p w:rsidR="00165B8F" w:rsidRPr="0070629B" w:rsidRDefault="00165B8F" w:rsidP="002B51E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9347B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tab/>
      </w:r>
      <w:r w:rsidRPr="0070629B">
        <w:rPr>
          <w:rFonts w:ascii="Arial" w:hAnsi="Arial" w:cs="Arial"/>
          <w:sz w:val="18"/>
          <w:szCs w:val="18"/>
        </w:rPr>
        <w:t>Ústav pro informace ve vzdělávání.</w:t>
      </w:r>
    </w:p>
  </w:footnote>
  <w:footnote w:id="14">
    <w:p w:rsidR="00165B8F" w:rsidRPr="001233B8" w:rsidRDefault="00165B8F" w:rsidP="002B51EB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9347B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tab/>
      </w:r>
      <w:r w:rsidRPr="001233B8">
        <w:rPr>
          <w:rFonts w:ascii="Arial" w:hAnsi="Arial" w:cs="Arial"/>
          <w:sz w:val="18"/>
          <w:szCs w:val="18"/>
        </w:rPr>
        <w:t>Oproti tomu ve výkazu zisku a ztráty vykázalo MŠMT náklady</w:t>
      </w:r>
      <w:r>
        <w:rPr>
          <w:rFonts w:ascii="Arial" w:hAnsi="Arial" w:cs="Arial"/>
          <w:sz w:val="18"/>
          <w:szCs w:val="18"/>
        </w:rPr>
        <w:t xml:space="preserve"> související s tímto účetním případem</w:t>
      </w:r>
      <w:r w:rsidRPr="001233B8">
        <w:rPr>
          <w:rFonts w:ascii="Arial" w:hAnsi="Arial" w:cs="Arial"/>
          <w:sz w:val="18"/>
          <w:szCs w:val="18"/>
        </w:rPr>
        <w:t xml:space="preserve"> správně na </w:t>
      </w:r>
      <w:r>
        <w:rPr>
          <w:rFonts w:ascii="Arial" w:hAnsi="Arial" w:cs="Arial"/>
          <w:sz w:val="18"/>
          <w:szCs w:val="18"/>
        </w:rPr>
        <w:t>ú</w:t>
      </w:r>
      <w:r w:rsidRPr="001233B8">
        <w:rPr>
          <w:rFonts w:ascii="Arial" w:hAnsi="Arial" w:cs="Arial"/>
          <w:sz w:val="18"/>
          <w:szCs w:val="18"/>
        </w:rPr>
        <w:t>čtu</w:t>
      </w:r>
      <w:r>
        <w:rPr>
          <w:rFonts w:ascii="Arial" w:hAnsi="Arial" w:cs="Arial"/>
          <w:sz w:val="18"/>
          <w:szCs w:val="18"/>
        </w:rPr>
        <w:t xml:space="preserve"> 502 – </w:t>
      </w:r>
      <w:r w:rsidRPr="001233B8">
        <w:rPr>
          <w:rFonts w:ascii="Arial" w:hAnsi="Arial" w:cs="Arial"/>
          <w:i/>
          <w:sz w:val="18"/>
          <w:szCs w:val="18"/>
        </w:rPr>
        <w:t>Spotřeba energie.</w:t>
      </w:r>
    </w:p>
  </w:footnote>
  <w:footnote w:id="15">
    <w:p w:rsidR="00165B8F" w:rsidRPr="002569B5" w:rsidRDefault="00165B8F" w:rsidP="00D8654B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2569B5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tab/>
      </w:r>
      <w:r w:rsidRPr="002569B5">
        <w:rPr>
          <w:rFonts w:ascii="Arial" w:hAnsi="Arial" w:cs="Arial"/>
          <w:sz w:val="18"/>
          <w:szCs w:val="18"/>
        </w:rPr>
        <w:t>Pro účetní závěrku MŠMT k</w:t>
      </w:r>
      <w:r>
        <w:rPr>
          <w:rFonts w:ascii="Arial" w:hAnsi="Arial" w:cs="Arial"/>
          <w:sz w:val="18"/>
          <w:szCs w:val="18"/>
        </w:rPr>
        <w:t xml:space="preserve"> </w:t>
      </w:r>
      <w:r w:rsidRPr="002569B5">
        <w:rPr>
          <w:rFonts w:ascii="Arial" w:hAnsi="Arial" w:cs="Arial"/>
          <w:sz w:val="18"/>
          <w:szCs w:val="18"/>
        </w:rPr>
        <w:t>31. prosinci 2012 byla stanovena hladina významnosti v</w:t>
      </w:r>
      <w:r>
        <w:rPr>
          <w:rFonts w:ascii="Arial" w:hAnsi="Arial" w:cs="Arial"/>
          <w:sz w:val="18"/>
          <w:szCs w:val="18"/>
        </w:rPr>
        <w:t xml:space="preserve"> </w:t>
      </w:r>
      <w:r w:rsidRPr="002569B5">
        <w:rPr>
          <w:rFonts w:ascii="Arial" w:hAnsi="Arial" w:cs="Arial"/>
          <w:sz w:val="18"/>
          <w:szCs w:val="18"/>
        </w:rPr>
        <w:t xml:space="preserve">souladu </w:t>
      </w:r>
      <w:r>
        <w:rPr>
          <w:rFonts w:ascii="Arial" w:hAnsi="Arial" w:cs="Arial"/>
          <w:sz w:val="18"/>
          <w:szCs w:val="18"/>
        </w:rPr>
        <w:t>s </w:t>
      </w:r>
      <w:r w:rsidRPr="002569B5">
        <w:rPr>
          <w:rFonts w:ascii="Arial" w:hAnsi="Arial" w:cs="Arial"/>
          <w:sz w:val="18"/>
          <w:szCs w:val="18"/>
        </w:rPr>
        <w:t xml:space="preserve">dlouhodobě uplatňovaným kritériem NKÚ, a to ve výši maximálně 2 % </w:t>
      </w:r>
      <w:r>
        <w:rPr>
          <w:rFonts w:ascii="Arial" w:hAnsi="Arial" w:cs="Arial"/>
          <w:sz w:val="18"/>
          <w:szCs w:val="18"/>
        </w:rPr>
        <w:t>z </w:t>
      </w:r>
      <w:r w:rsidRPr="002569B5">
        <w:rPr>
          <w:rFonts w:ascii="Arial" w:hAnsi="Arial" w:cs="Arial"/>
          <w:sz w:val="18"/>
          <w:szCs w:val="18"/>
        </w:rPr>
        <w:t>hodnoty, která je nejcharakterističtější veličinou pro účetní jednotku. Pro účetní závěrku M</w:t>
      </w:r>
      <w:r>
        <w:rPr>
          <w:rFonts w:ascii="Arial" w:hAnsi="Arial" w:cs="Arial"/>
          <w:sz w:val="18"/>
          <w:szCs w:val="18"/>
        </w:rPr>
        <w:t>Š</w:t>
      </w:r>
      <w:r w:rsidRPr="002569B5">
        <w:rPr>
          <w:rFonts w:ascii="Arial" w:hAnsi="Arial" w:cs="Arial"/>
          <w:sz w:val="18"/>
          <w:szCs w:val="18"/>
        </w:rPr>
        <w:t>MT k</w:t>
      </w:r>
      <w:r>
        <w:rPr>
          <w:rFonts w:ascii="Arial" w:hAnsi="Arial" w:cs="Arial"/>
          <w:sz w:val="18"/>
          <w:szCs w:val="18"/>
        </w:rPr>
        <w:t xml:space="preserve"> </w:t>
      </w:r>
      <w:r w:rsidRPr="002569B5">
        <w:rPr>
          <w:rFonts w:ascii="Arial" w:hAnsi="Arial" w:cs="Arial"/>
          <w:sz w:val="18"/>
          <w:szCs w:val="18"/>
        </w:rPr>
        <w:t xml:space="preserve">31. prosinci 2012 byla hladina významnosti stanovena ve výši 2 % </w:t>
      </w:r>
      <w:r>
        <w:rPr>
          <w:rFonts w:ascii="Arial" w:hAnsi="Arial" w:cs="Arial"/>
          <w:sz w:val="18"/>
          <w:szCs w:val="18"/>
        </w:rPr>
        <w:t>z </w:t>
      </w:r>
      <w:r w:rsidRPr="002569B5">
        <w:rPr>
          <w:rFonts w:ascii="Arial" w:hAnsi="Arial" w:cs="Arial"/>
          <w:sz w:val="18"/>
          <w:szCs w:val="18"/>
        </w:rPr>
        <w:t>hodnoty nákladů, tj. ve výši 2</w:t>
      </w:r>
      <w:r>
        <w:rPr>
          <w:rFonts w:ascii="Arial" w:hAnsi="Arial" w:cs="Arial"/>
          <w:sz w:val="18"/>
          <w:szCs w:val="18"/>
        </w:rPr>
        <w:t xml:space="preserve"> </w:t>
      </w:r>
      <w:r w:rsidRPr="002569B5">
        <w:rPr>
          <w:rFonts w:ascii="Arial" w:hAnsi="Arial" w:cs="Arial"/>
          <w:sz w:val="18"/>
          <w:szCs w:val="18"/>
        </w:rPr>
        <w:t>400</w:t>
      </w:r>
      <w:r>
        <w:rPr>
          <w:rFonts w:ascii="Arial" w:hAnsi="Arial" w:cs="Arial"/>
          <w:sz w:val="18"/>
          <w:szCs w:val="18"/>
        </w:rPr>
        <w:t xml:space="preserve"> </w:t>
      </w:r>
      <w:r w:rsidRPr="002569B5">
        <w:rPr>
          <w:rFonts w:ascii="Arial" w:hAnsi="Arial" w:cs="Arial"/>
          <w:sz w:val="18"/>
          <w:szCs w:val="18"/>
        </w:rPr>
        <w:t>000</w:t>
      </w:r>
      <w:r>
        <w:rPr>
          <w:rFonts w:ascii="Arial" w:hAnsi="Arial" w:cs="Arial"/>
          <w:sz w:val="18"/>
          <w:szCs w:val="18"/>
        </w:rPr>
        <w:t xml:space="preserve"> </w:t>
      </w:r>
      <w:r w:rsidRPr="002569B5">
        <w:rPr>
          <w:rFonts w:ascii="Arial" w:hAnsi="Arial" w:cs="Arial"/>
          <w:sz w:val="18"/>
          <w:szCs w:val="18"/>
        </w:rPr>
        <w:t xml:space="preserve">000 Kč. </w:t>
      </w:r>
    </w:p>
  </w:footnote>
  <w:footnote w:id="16">
    <w:p w:rsidR="00165B8F" w:rsidRPr="001233B8" w:rsidRDefault="00165B8F" w:rsidP="00F62A73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70629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Snižuje se počet oblastí, ke kterým se NKÚ nevyjadřuje, ale u MŠMT se zvyšuje hodnota údajů vykázaných v oblasti transferů.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4">
    <w:nsid w:val="02675040"/>
    <w:multiLevelType w:val="multilevel"/>
    <w:tmpl w:val="B512E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">
    <w:nsid w:val="03D82421"/>
    <w:multiLevelType w:val="hybridMultilevel"/>
    <w:tmpl w:val="A08C89D2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DB14AA4"/>
    <w:multiLevelType w:val="hybridMultilevel"/>
    <w:tmpl w:val="17381F2E"/>
    <w:lvl w:ilvl="0" w:tplc="69EC1214">
      <w:start w:val="1"/>
      <w:numFmt w:val="bullet"/>
      <w:pStyle w:val="Fousteka"/>
      <w:lvlText w:val=""/>
      <w:lvlJc w:val="left"/>
      <w:pPr>
        <w:tabs>
          <w:tab w:val="num" w:pos="721"/>
        </w:tabs>
        <w:ind w:left="721" w:hanging="381"/>
      </w:pPr>
      <w:rPr>
        <w:rFonts w:ascii="Symbol" w:hAnsi="Symbol" w:hint="default"/>
        <w:sz w:val="16"/>
      </w:rPr>
    </w:lvl>
    <w:lvl w:ilvl="1" w:tplc="5490A942"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>
    <w:nsid w:val="25794540"/>
    <w:multiLevelType w:val="hybridMultilevel"/>
    <w:tmpl w:val="CF2A0F24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4B04"/>
    <w:multiLevelType w:val="hybridMultilevel"/>
    <w:tmpl w:val="A30EDF82"/>
    <w:lvl w:ilvl="0" w:tplc="5490A94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103DA6"/>
    <w:multiLevelType w:val="hybridMultilevel"/>
    <w:tmpl w:val="B1DA7872"/>
    <w:lvl w:ilvl="0" w:tplc="5490A94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AA0ED7"/>
    <w:multiLevelType w:val="hybridMultilevel"/>
    <w:tmpl w:val="BCF69AF6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E0399"/>
    <w:multiLevelType w:val="hybridMultilevel"/>
    <w:tmpl w:val="54781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67BF4"/>
    <w:multiLevelType w:val="hybridMultilevel"/>
    <w:tmpl w:val="A2B0B9A8"/>
    <w:lvl w:ilvl="0" w:tplc="008087FA">
      <w:start w:val="1"/>
      <w:numFmt w:val="bullet"/>
      <w:pStyle w:val="Fousnadpis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5490A9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20E43"/>
    <w:multiLevelType w:val="hybridMultilevel"/>
    <w:tmpl w:val="9AE4AA3A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D6292"/>
    <w:multiLevelType w:val="hybridMultilevel"/>
    <w:tmpl w:val="1E028BDE"/>
    <w:lvl w:ilvl="0" w:tplc="FD1CD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931DA"/>
    <w:multiLevelType w:val="hybridMultilevel"/>
    <w:tmpl w:val="BE7E5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F5FC9"/>
    <w:multiLevelType w:val="hybridMultilevel"/>
    <w:tmpl w:val="A8F08086"/>
    <w:lvl w:ilvl="0" w:tplc="25F0C2E6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4B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3699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13E11"/>
    <w:multiLevelType w:val="multilevel"/>
    <w:tmpl w:val="6FD81BF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8">
    <w:nsid w:val="471F2159"/>
    <w:multiLevelType w:val="multilevel"/>
    <w:tmpl w:val="2F589E66"/>
    <w:lvl w:ilvl="0">
      <w:start w:val="1"/>
      <w:numFmt w:val="decimal"/>
      <w:pStyle w:val="len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E902844"/>
    <w:multiLevelType w:val="hybridMultilevel"/>
    <w:tmpl w:val="C4DCD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E13A7"/>
    <w:multiLevelType w:val="hybridMultilevel"/>
    <w:tmpl w:val="7EC02BD4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C7BBC"/>
    <w:multiLevelType w:val="multilevel"/>
    <w:tmpl w:val="B512E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2">
    <w:nsid w:val="56BF2913"/>
    <w:multiLevelType w:val="hybridMultilevel"/>
    <w:tmpl w:val="B51A4BC2"/>
    <w:lvl w:ilvl="0" w:tplc="45E60D26">
      <w:start w:val="1"/>
      <w:numFmt w:val="decimal"/>
      <w:pStyle w:val="KZ-nadpis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94411"/>
    <w:multiLevelType w:val="hybridMultilevel"/>
    <w:tmpl w:val="8D9C0494"/>
    <w:lvl w:ilvl="0" w:tplc="67AED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D1805"/>
    <w:multiLevelType w:val="hybridMultilevel"/>
    <w:tmpl w:val="5290EF6A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C1A5E"/>
    <w:multiLevelType w:val="hybridMultilevel"/>
    <w:tmpl w:val="682CE736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7399E"/>
    <w:multiLevelType w:val="hybridMultilevel"/>
    <w:tmpl w:val="FA926B96"/>
    <w:lvl w:ilvl="0" w:tplc="E01C13B6">
      <w:start w:val="1"/>
      <w:numFmt w:val="lowerLetter"/>
      <w:lvlText w:val="%1)"/>
      <w:lvlJc w:val="left"/>
      <w:pPr>
        <w:tabs>
          <w:tab w:val="num" w:pos="1104"/>
        </w:tabs>
        <w:ind w:left="1104" w:hanging="684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293727C"/>
    <w:multiLevelType w:val="hybridMultilevel"/>
    <w:tmpl w:val="BE7E58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F626B3"/>
    <w:multiLevelType w:val="hybridMultilevel"/>
    <w:tmpl w:val="E1343F18"/>
    <w:lvl w:ilvl="0" w:tplc="5490A94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1E5469"/>
    <w:multiLevelType w:val="hybridMultilevel"/>
    <w:tmpl w:val="2C8C52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91B774F"/>
    <w:multiLevelType w:val="hybridMultilevel"/>
    <w:tmpl w:val="64963762"/>
    <w:lvl w:ilvl="0" w:tplc="04050017">
      <w:start w:val="1"/>
      <w:numFmt w:val="bullet"/>
      <w:pStyle w:val="Fous"/>
      <w:lvlText w:val=""/>
      <w:lvlJc w:val="left"/>
      <w:pPr>
        <w:tabs>
          <w:tab w:val="num" w:pos="722"/>
        </w:tabs>
        <w:ind w:left="722" w:hanging="382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1">
    <w:nsid w:val="740A02FC"/>
    <w:multiLevelType w:val="hybridMultilevel"/>
    <w:tmpl w:val="ADF8B232"/>
    <w:lvl w:ilvl="0" w:tplc="685E6B7C">
      <w:start w:val="1"/>
      <w:numFmt w:val="upperRoman"/>
      <w:pStyle w:val="Nadpis5"/>
      <w:lvlText w:val="%1."/>
      <w:lvlJc w:val="right"/>
      <w:pPr>
        <w:tabs>
          <w:tab w:val="num" w:pos="540"/>
        </w:tabs>
        <w:ind w:left="540" w:hanging="18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57789B"/>
    <w:multiLevelType w:val="multilevel"/>
    <w:tmpl w:val="D76843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22"/>
  </w:num>
  <w:num w:numId="4">
    <w:abstractNumId w:val="6"/>
  </w:num>
  <w:num w:numId="5">
    <w:abstractNumId w:val="12"/>
  </w:num>
  <w:num w:numId="6">
    <w:abstractNumId w:val="30"/>
  </w:num>
  <w:num w:numId="7">
    <w:abstractNumId w:val="18"/>
  </w:num>
  <w:num w:numId="8">
    <w:abstractNumId w:val="32"/>
  </w:num>
  <w:num w:numId="9">
    <w:abstractNumId w:val="10"/>
  </w:num>
  <w:num w:numId="10">
    <w:abstractNumId w:val="24"/>
  </w:num>
  <w:num w:numId="11">
    <w:abstractNumId w:val="15"/>
  </w:num>
  <w:num w:numId="12">
    <w:abstractNumId w:val="25"/>
  </w:num>
  <w:num w:numId="13">
    <w:abstractNumId w:val="23"/>
  </w:num>
  <w:num w:numId="14">
    <w:abstractNumId w:val="20"/>
  </w:num>
  <w:num w:numId="15">
    <w:abstractNumId w:val="21"/>
  </w:num>
  <w:num w:numId="16">
    <w:abstractNumId w:val="4"/>
  </w:num>
  <w:num w:numId="17">
    <w:abstractNumId w:val="17"/>
  </w:num>
  <w:num w:numId="18">
    <w:abstractNumId w:val="13"/>
  </w:num>
  <w:num w:numId="19">
    <w:abstractNumId w:val="11"/>
  </w:num>
  <w:num w:numId="20">
    <w:abstractNumId w:val="7"/>
  </w:num>
  <w:num w:numId="21">
    <w:abstractNumId w:val="5"/>
  </w:num>
  <w:num w:numId="22">
    <w:abstractNumId w:val="26"/>
  </w:num>
  <w:num w:numId="23">
    <w:abstractNumId w:val="29"/>
  </w:num>
  <w:num w:numId="24">
    <w:abstractNumId w:val="19"/>
  </w:num>
  <w:num w:numId="25">
    <w:abstractNumId w:val="14"/>
  </w:num>
  <w:num w:numId="26">
    <w:abstractNumId w:val="27"/>
  </w:num>
  <w:num w:numId="27">
    <w:abstractNumId w:val="28"/>
  </w:num>
  <w:num w:numId="28">
    <w:abstractNumId w:val="9"/>
  </w:num>
  <w:num w:numId="2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oNotShadeFormData/>
  <w:noPunctuationKerning/>
  <w:characterSpacingControl w:val="doNotCompress"/>
  <w:hdrShapeDefaults>
    <o:shapedefaults v:ext="edit" spidmax="152577">
      <o:colormru v:ext="edit" colors="#0045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14"/>
    <w:rsid w:val="00000D5B"/>
    <w:rsid w:val="0000206C"/>
    <w:rsid w:val="00002231"/>
    <w:rsid w:val="00002803"/>
    <w:rsid w:val="00002D0F"/>
    <w:rsid w:val="00003298"/>
    <w:rsid w:val="000032DA"/>
    <w:rsid w:val="0000479E"/>
    <w:rsid w:val="00005CA3"/>
    <w:rsid w:val="000110CA"/>
    <w:rsid w:val="000121A1"/>
    <w:rsid w:val="00012362"/>
    <w:rsid w:val="000125B2"/>
    <w:rsid w:val="0001331E"/>
    <w:rsid w:val="000143D9"/>
    <w:rsid w:val="00015A66"/>
    <w:rsid w:val="00016A49"/>
    <w:rsid w:val="000170D5"/>
    <w:rsid w:val="000179F4"/>
    <w:rsid w:val="00020402"/>
    <w:rsid w:val="00021A9A"/>
    <w:rsid w:val="000222E9"/>
    <w:rsid w:val="00025D2C"/>
    <w:rsid w:val="0002606C"/>
    <w:rsid w:val="00027366"/>
    <w:rsid w:val="00027FB6"/>
    <w:rsid w:val="000301D0"/>
    <w:rsid w:val="00030A55"/>
    <w:rsid w:val="00037A8C"/>
    <w:rsid w:val="00037D9D"/>
    <w:rsid w:val="000433B4"/>
    <w:rsid w:val="00043643"/>
    <w:rsid w:val="00043D74"/>
    <w:rsid w:val="00044756"/>
    <w:rsid w:val="00046B1A"/>
    <w:rsid w:val="00047FCF"/>
    <w:rsid w:val="00050600"/>
    <w:rsid w:val="000511C4"/>
    <w:rsid w:val="00051A94"/>
    <w:rsid w:val="00051E71"/>
    <w:rsid w:val="0005210A"/>
    <w:rsid w:val="0005313C"/>
    <w:rsid w:val="000553D0"/>
    <w:rsid w:val="000559B9"/>
    <w:rsid w:val="00057415"/>
    <w:rsid w:val="000608AB"/>
    <w:rsid w:val="00060ADA"/>
    <w:rsid w:val="000623CC"/>
    <w:rsid w:val="000653A0"/>
    <w:rsid w:val="00067C50"/>
    <w:rsid w:val="00067CD6"/>
    <w:rsid w:val="00071290"/>
    <w:rsid w:val="00072966"/>
    <w:rsid w:val="0007325B"/>
    <w:rsid w:val="00075B50"/>
    <w:rsid w:val="00076A8F"/>
    <w:rsid w:val="000824FB"/>
    <w:rsid w:val="00082E84"/>
    <w:rsid w:val="0008514A"/>
    <w:rsid w:val="0008591C"/>
    <w:rsid w:val="00086718"/>
    <w:rsid w:val="0009084B"/>
    <w:rsid w:val="00090871"/>
    <w:rsid w:val="00092B35"/>
    <w:rsid w:val="00092B3A"/>
    <w:rsid w:val="000931CC"/>
    <w:rsid w:val="000935FD"/>
    <w:rsid w:val="00093BD6"/>
    <w:rsid w:val="00094565"/>
    <w:rsid w:val="00094C65"/>
    <w:rsid w:val="00096467"/>
    <w:rsid w:val="000966F3"/>
    <w:rsid w:val="000967FA"/>
    <w:rsid w:val="000974F5"/>
    <w:rsid w:val="00097EF7"/>
    <w:rsid w:val="000A030D"/>
    <w:rsid w:val="000A4BAA"/>
    <w:rsid w:val="000A6120"/>
    <w:rsid w:val="000A668A"/>
    <w:rsid w:val="000A6FCA"/>
    <w:rsid w:val="000A74A1"/>
    <w:rsid w:val="000A788F"/>
    <w:rsid w:val="000B00B0"/>
    <w:rsid w:val="000B0490"/>
    <w:rsid w:val="000B3A62"/>
    <w:rsid w:val="000B3E51"/>
    <w:rsid w:val="000B4171"/>
    <w:rsid w:val="000B5390"/>
    <w:rsid w:val="000C01E4"/>
    <w:rsid w:val="000C0410"/>
    <w:rsid w:val="000C16CA"/>
    <w:rsid w:val="000C21CF"/>
    <w:rsid w:val="000C31DE"/>
    <w:rsid w:val="000C3FFE"/>
    <w:rsid w:val="000C48A5"/>
    <w:rsid w:val="000C4936"/>
    <w:rsid w:val="000C5679"/>
    <w:rsid w:val="000C6832"/>
    <w:rsid w:val="000D0181"/>
    <w:rsid w:val="000D1B14"/>
    <w:rsid w:val="000D1FAD"/>
    <w:rsid w:val="000D240F"/>
    <w:rsid w:val="000D44B7"/>
    <w:rsid w:val="000D5024"/>
    <w:rsid w:val="000D57B1"/>
    <w:rsid w:val="000D6BEB"/>
    <w:rsid w:val="000D7981"/>
    <w:rsid w:val="000E0ABD"/>
    <w:rsid w:val="000E31F4"/>
    <w:rsid w:val="000E4B7B"/>
    <w:rsid w:val="000E4F4E"/>
    <w:rsid w:val="000E5543"/>
    <w:rsid w:val="000E5D91"/>
    <w:rsid w:val="000E6241"/>
    <w:rsid w:val="000E6484"/>
    <w:rsid w:val="000E7119"/>
    <w:rsid w:val="000F00DA"/>
    <w:rsid w:val="000F0135"/>
    <w:rsid w:val="000F05FB"/>
    <w:rsid w:val="000F2CBE"/>
    <w:rsid w:val="000F3478"/>
    <w:rsid w:val="000F4335"/>
    <w:rsid w:val="000F445A"/>
    <w:rsid w:val="000F4A48"/>
    <w:rsid w:val="000F51EE"/>
    <w:rsid w:val="000F5389"/>
    <w:rsid w:val="0010188B"/>
    <w:rsid w:val="00102EB7"/>
    <w:rsid w:val="00103819"/>
    <w:rsid w:val="0010387C"/>
    <w:rsid w:val="00103A87"/>
    <w:rsid w:val="00104008"/>
    <w:rsid w:val="001050D5"/>
    <w:rsid w:val="00106F84"/>
    <w:rsid w:val="001070CE"/>
    <w:rsid w:val="00112195"/>
    <w:rsid w:val="00112A3F"/>
    <w:rsid w:val="0011357C"/>
    <w:rsid w:val="00113872"/>
    <w:rsid w:val="001143A3"/>
    <w:rsid w:val="00114801"/>
    <w:rsid w:val="00115C2B"/>
    <w:rsid w:val="00117305"/>
    <w:rsid w:val="00117776"/>
    <w:rsid w:val="00117BF5"/>
    <w:rsid w:val="00120A5E"/>
    <w:rsid w:val="00121517"/>
    <w:rsid w:val="00121869"/>
    <w:rsid w:val="00122630"/>
    <w:rsid w:val="001233B8"/>
    <w:rsid w:val="00124F24"/>
    <w:rsid w:val="00126DED"/>
    <w:rsid w:val="00127250"/>
    <w:rsid w:val="00127DF4"/>
    <w:rsid w:val="00131367"/>
    <w:rsid w:val="001313CA"/>
    <w:rsid w:val="0013170D"/>
    <w:rsid w:val="001319CE"/>
    <w:rsid w:val="00131CA3"/>
    <w:rsid w:val="001328D8"/>
    <w:rsid w:val="00133F7E"/>
    <w:rsid w:val="0013459C"/>
    <w:rsid w:val="00134AFF"/>
    <w:rsid w:val="00135034"/>
    <w:rsid w:val="0013548C"/>
    <w:rsid w:val="00135976"/>
    <w:rsid w:val="00136711"/>
    <w:rsid w:val="00142AFA"/>
    <w:rsid w:val="0014387A"/>
    <w:rsid w:val="00147818"/>
    <w:rsid w:val="001479A2"/>
    <w:rsid w:val="001501D4"/>
    <w:rsid w:val="0015047E"/>
    <w:rsid w:val="001515A7"/>
    <w:rsid w:val="001523CD"/>
    <w:rsid w:val="001525BA"/>
    <w:rsid w:val="00155ED0"/>
    <w:rsid w:val="0015654B"/>
    <w:rsid w:val="00156677"/>
    <w:rsid w:val="00157385"/>
    <w:rsid w:val="00157554"/>
    <w:rsid w:val="00157EC7"/>
    <w:rsid w:val="00161D19"/>
    <w:rsid w:val="00162537"/>
    <w:rsid w:val="0016476F"/>
    <w:rsid w:val="00165B8F"/>
    <w:rsid w:val="0016743C"/>
    <w:rsid w:val="00167A59"/>
    <w:rsid w:val="00170234"/>
    <w:rsid w:val="001704B6"/>
    <w:rsid w:val="00171808"/>
    <w:rsid w:val="00172300"/>
    <w:rsid w:val="00172664"/>
    <w:rsid w:val="0017393F"/>
    <w:rsid w:val="001742FF"/>
    <w:rsid w:val="00177818"/>
    <w:rsid w:val="001800C8"/>
    <w:rsid w:val="00180FE1"/>
    <w:rsid w:val="00181F08"/>
    <w:rsid w:val="00182A10"/>
    <w:rsid w:val="00182AA2"/>
    <w:rsid w:val="00183D36"/>
    <w:rsid w:val="00183F42"/>
    <w:rsid w:val="001844CA"/>
    <w:rsid w:val="001846C6"/>
    <w:rsid w:val="00185A46"/>
    <w:rsid w:val="00185C21"/>
    <w:rsid w:val="0018603C"/>
    <w:rsid w:val="00186E5A"/>
    <w:rsid w:val="0019010E"/>
    <w:rsid w:val="00190F2B"/>
    <w:rsid w:val="0019255C"/>
    <w:rsid w:val="001928F8"/>
    <w:rsid w:val="00192C89"/>
    <w:rsid w:val="0019449A"/>
    <w:rsid w:val="00194F5F"/>
    <w:rsid w:val="00195237"/>
    <w:rsid w:val="00197604"/>
    <w:rsid w:val="00197C4B"/>
    <w:rsid w:val="00197DB8"/>
    <w:rsid w:val="001A0A90"/>
    <w:rsid w:val="001A36D2"/>
    <w:rsid w:val="001A3F48"/>
    <w:rsid w:val="001A42D3"/>
    <w:rsid w:val="001A5C19"/>
    <w:rsid w:val="001A60AA"/>
    <w:rsid w:val="001A7162"/>
    <w:rsid w:val="001A7D88"/>
    <w:rsid w:val="001B0779"/>
    <w:rsid w:val="001B298A"/>
    <w:rsid w:val="001B602A"/>
    <w:rsid w:val="001C2226"/>
    <w:rsid w:val="001C27DF"/>
    <w:rsid w:val="001C630E"/>
    <w:rsid w:val="001C6D17"/>
    <w:rsid w:val="001D3501"/>
    <w:rsid w:val="001D3B45"/>
    <w:rsid w:val="001D6B75"/>
    <w:rsid w:val="001D6FAC"/>
    <w:rsid w:val="001E059B"/>
    <w:rsid w:val="001E073B"/>
    <w:rsid w:val="001E127E"/>
    <w:rsid w:val="001E284B"/>
    <w:rsid w:val="001E4547"/>
    <w:rsid w:val="001E491D"/>
    <w:rsid w:val="001E5A54"/>
    <w:rsid w:val="001E7302"/>
    <w:rsid w:val="001E7ACE"/>
    <w:rsid w:val="001E7DFA"/>
    <w:rsid w:val="001F02EC"/>
    <w:rsid w:val="001F07AB"/>
    <w:rsid w:val="001F18A9"/>
    <w:rsid w:val="001F1E9B"/>
    <w:rsid w:val="001F1FDA"/>
    <w:rsid w:val="001F6444"/>
    <w:rsid w:val="001F677B"/>
    <w:rsid w:val="002001A8"/>
    <w:rsid w:val="00200C4C"/>
    <w:rsid w:val="002013AB"/>
    <w:rsid w:val="0020166D"/>
    <w:rsid w:val="00203B48"/>
    <w:rsid w:val="00205A42"/>
    <w:rsid w:val="00206D92"/>
    <w:rsid w:val="00206F9B"/>
    <w:rsid w:val="0020739A"/>
    <w:rsid w:val="0020767C"/>
    <w:rsid w:val="00207724"/>
    <w:rsid w:val="002102FB"/>
    <w:rsid w:val="00211078"/>
    <w:rsid w:val="00211790"/>
    <w:rsid w:val="00211976"/>
    <w:rsid w:val="00212410"/>
    <w:rsid w:val="0021293E"/>
    <w:rsid w:val="002138F3"/>
    <w:rsid w:val="00214027"/>
    <w:rsid w:val="00217DA5"/>
    <w:rsid w:val="00220799"/>
    <w:rsid w:val="00220CD4"/>
    <w:rsid w:val="002233A4"/>
    <w:rsid w:val="00225B89"/>
    <w:rsid w:val="00225DCF"/>
    <w:rsid w:val="0022657E"/>
    <w:rsid w:val="00226728"/>
    <w:rsid w:val="0022713F"/>
    <w:rsid w:val="0023196C"/>
    <w:rsid w:val="002320A9"/>
    <w:rsid w:val="00232174"/>
    <w:rsid w:val="00232389"/>
    <w:rsid w:val="00233476"/>
    <w:rsid w:val="00235382"/>
    <w:rsid w:val="00236A6E"/>
    <w:rsid w:val="00241482"/>
    <w:rsid w:val="00242169"/>
    <w:rsid w:val="0024238D"/>
    <w:rsid w:val="002427EB"/>
    <w:rsid w:val="0024283B"/>
    <w:rsid w:val="00242FD0"/>
    <w:rsid w:val="002449FA"/>
    <w:rsid w:val="002453FB"/>
    <w:rsid w:val="00246CD7"/>
    <w:rsid w:val="00246FBC"/>
    <w:rsid w:val="00251524"/>
    <w:rsid w:val="00251755"/>
    <w:rsid w:val="0025200F"/>
    <w:rsid w:val="00253B88"/>
    <w:rsid w:val="00253FA9"/>
    <w:rsid w:val="0025640B"/>
    <w:rsid w:val="002566DC"/>
    <w:rsid w:val="002569B5"/>
    <w:rsid w:val="00256D96"/>
    <w:rsid w:val="00257002"/>
    <w:rsid w:val="00257908"/>
    <w:rsid w:val="00261AE5"/>
    <w:rsid w:val="00262C85"/>
    <w:rsid w:val="002636EA"/>
    <w:rsid w:val="00264159"/>
    <w:rsid w:val="00264271"/>
    <w:rsid w:val="00265E80"/>
    <w:rsid w:val="002676FC"/>
    <w:rsid w:val="00270DCD"/>
    <w:rsid w:val="00270EA1"/>
    <w:rsid w:val="00273027"/>
    <w:rsid w:val="0027372C"/>
    <w:rsid w:val="00274567"/>
    <w:rsid w:val="00274AEF"/>
    <w:rsid w:val="00275145"/>
    <w:rsid w:val="0027526B"/>
    <w:rsid w:val="0027597A"/>
    <w:rsid w:val="00280671"/>
    <w:rsid w:val="00280D6F"/>
    <w:rsid w:val="00281543"/>
    <w:rsid w:val="002820FC"/>
    <w:rsid w:val="002823EF"/>
    <w:rsid w:val="00282721"/>
    <w:rsid w:val="00282BEB"/>
    <w:rsid w:val="00283C5E"/>
    <w:rsid w:val="002859BA"/>
    <w:rsid w:val="00290839"/>
    <w:rsid w:val="002917C6"/>
    <w:rsid w:val="00293425"/>
    <w:rsid w:val="00293765"/>
    <w:rsid w:val="00293AE4"/>
    <w:rsid w:val="00295F3C"/>
    <w:rsid w:val="00296BF4"/>
    <w:rsid w:val="002971BA"/>
    <w:rsid w:val="002A176A"/>
    <w:rsid w:val="002A2356"/>
    <w:rsid w:val="002A3869"/>
    <w:rsid w:val="002A5AE1"/>
    <w:rsid w:val="002A73C6"/>
    <w:rsid w:val="002A76BA"/>
    <w:rsid w:val="002B0719"/>
    <w:rsid w:val="002B0987"/>
    <w:rsid w:val="002B10CC"/>
    <w:rsid w:val="002B291B"/>
    <w:rsid w:val="002B3C99"/>
    <w:rsid w:val="002B3FF6"/>
    <w:rsid w:val="002B43E7"/>
    <w:rsid w:val="002B4409"/>
    <w:rsid w:val="002B51EB"/>
    <w:rsid w:val="002B7B2E"/>
    <w:rsid w:val="002C007D"/>
    <w:rsid w:val="002C02D1"/>
    <w:rsid w:val="002C0F75"/>
    <w:rsid w:val="002C1200"/>
    <w:rsid w:val="002C1D6E"/>
    <w:rsid w:val="002C4130"/>
    <w:rsid w:val="002C42FB"/>
    <w:rsid w:val="002C4E48"/>
    <w:rsid w:val="002C54AF"/>
    <w:rsid w:val="002C59B5"/>
    <w:rsid w:val="002C5C4F"/>
    <w:rsid w:val="002C62E7"/>
    <w:rsid w:val="002C6FD1"/>
    <w:rsid w:val="002C7EE0"/>
    <w:rsid w:val="002D0095"/>
    <w:rsid w:val="002D0C60"/>
    <w:rsid w:val="002D0CDF"/>
    <w:rsid w:val="002D122C"/>
    <w:rsid w:val="002D16E5"/>
    <w:rsid w:val="002D1C31"/>
    <w:rsid w:val="002D2B83"/>
    <w:rsid w:val="002D2E76"/>
    <w:rsid w:val="002D3B24"/>
    <w:rsid w:val="002D3D03"/>
    <w:rsid w:val="002D5E92"/>
    <w:rsid w:val="002D6B57"/>
    <w:rsid w:val="002D7002"/>
    <w:rsid w:val="002D715A"/>
    <w:rsid w:val="002E2CCE"/>
    <w:rsid w:val="002E469C"/>
    <w:rsid w:val="002E6566"/>
    <w:rsid w:val="002E6C92"/>
    <w:rsid w:val="002F026E"/>
    <w:rsid w:val="002F101E"/>
    <w:rsid w:val="002F1308"/>
    <w:rsid w:val="002F1CB8"/>
    <w:rsid w:val="002F219D"/>
    <w:rsid w:val="002F2B34"/>
    <w:rsid w:val="002F37FA"/>
    <w:rsid w:val="002F6FC6"/>
    <w:rsid w:val="002F7A33"/>
    <w:rsid w:val="00300971"/>
    <w:rsid w:val="00301B29"/>
    <w:rsid w:val="00301FFA"/>
    <w:rsid w:val="00302C54"/>
    <w:rsid w:val="0030319A"/>
    <w:rsid w:val="00303468"/>
    <w:rsid w:val="00303EFF"/>
    <w:rsid w:val="003046AA"/>
    <w:rsid w:val="00305E40"/>
    <w:rsid w:val="00306E77"/>
    <w:rsid w:val="00307A42"/>
    <w:rsid w:val="00307B42"/>
    <w:rsid w:val="00310125"/>
    <w:rsid w:val="00310768"/>
    <w:rsid w:val="003161D2"/>
    <w:rsid w:val="0031723E"/>
    <w:rsid w:val="00317B5E"/>
    <w:rsid w:val="003216A1"/>
    <w:rsid w:val="00322542"/>
    <w:rsid w:val="00323EE3"/>
    <w:rsid w:val="00323FAF"/>
    <w:rsid w:val="00330C14"/>
    <w:rsid w:val="0033133D"/>
    <w:rsid w:val="00333052"/>
    <w:rsid w:val="00333950"/>
    <w:rsid w:val="00334720"/>
    <w:rsid w:val="003347E4"/>
    <w:rsid w:val="00334AEA"/>
    <w:rsid w:val="00334B40"/>
    <w:rsid w:val="003357A0"/>
    <w:rsid w:val="00335970"/>
    <w:rsid w:val="0034131F"/>
    <w:rsid w:val="00342E98"/>
    <w:rsid w:val="00343720"/>
    <w:rsid w:val="00344B3B"/>
    <w:rsid w:val="003465AA"/>
    <w:rsid w:val="00350FB7"/>
    <w:rsid w:val="003514C5"/>
    <w:rsid w:val="00352735"/>
    <w:rsid w:val="00352C91"/>
    <w:rsid w:val="0035326B"/>
    <w:rsid w:val="0035355B"/>
    <w:rsid w:val="00353A4D"/>
    <w:rsid w:val="00353CA3"/>
    <w:rsid w:val="0035409A"/>
    <w:rsid w:val="003549FD"/>
    <w:rsid w:val="00354DFF"/>
    <w:rsid w:val="003553B8"/>
    <w:rsid w:val="00355906"/>
    <w:rsid w:val="00355EDD"/>
    <w:rsid w:val="003562C2"/>
    <w:rsid w:val="003606CA"/>
    <w:rsid w:val="00363116"/>
    <w:rsid w:val="00364D58"/>
    <w:rsid w:val="003671D1"/>
    <w:rsid w:val="00367377"/>
    <w:rsid w:val="00367F1D"/>
    <w:rsid w:val="00370A93"/>
    <w:rsid w:val="00370D04"/>
    <w:rsid w:val="00372769"/>
    <w:rsid w:val="003729AB"/>
    <w:rsid w:val="00373830"/>
    <w:rsid w:val="00373A2D"/>
    <w:rsid w:val="00374133"/>
    <w:rsid w:val="00374A8D"/>
    <w:rsid w:val="00375710"/>
    <w:rsid w:val="00377256"/>
    <w:rsid w:val="003779ED"/>
    <w:rsid w:val="00377CFF"/>
    <w:rsid w:val="00382C58"/>
    <w:rsid w:val="00383436"/>
    <w:rsid w:val="00383667"/>
    <w:rsid w:val="0038485C"/>
    <w:rsid w:val="0038498F"/>
    <w:rsid w:val="00385C32"/>
    <w:rsid w:val="00385EA6"/>
    <w:rsid w:val="003860F0"/>
    <w:rsid w:val="003875FA"/>
    <w:rsid w:val="003902A4"/>
    <w:rsid w:val="00392AC2"/>
    <w:rsid w:val="0039592C"/>
    <w:rsid w:val="00396ADF"/>
    <w:rsid w:val="003974D2"/>
    <w:rsid w:val="003975FF"/>
    <w:rsid w:val="00397EE4"/>
    <w:rsid w:val="003A0779"/>
    <w:rsid w:val="003A0AF2"/>
    <w:rsid w:val="003A10F3"/>
    <w:rsid w:val="003A234F"/>
    <w:rsid w:val="003A292A"/>
    <w:rsid w:val="003A3476"/>
    <w:rsid w:val="003A4DCC"/>
    <w:rsid w:val="003A583C"/>
    <w:rsid w:val="003A71C4"/>
    <w:rsid w:val="003A7CB3"/>
    <w:rsid w:val="003A7E67"/>
    <w:rsid w:val="003B01D4"/>
    <w:rsid w:val="003B09D1"/>
    <w:rsid w:val="003B182C"/>
    <w:rsid w:val="003B3DFA"/>
    <w:rsid w:val="003B42AD"/>
    <w:rsid w:val="003B43D9"/>
    <w:rsid w:val="003B4547"/>
    <w:rsid w:val="003C037E"/>
    <w:rsid w:val="003C03EA"/>
    <w:rsid w:val="003C3BCB"/>
    <w:rsid w:val="003C448C"/>
    <w:rsid w:val="003C484F"/>
    <w:rsid w:val="003C5C4B"/>
    <w:rsid w:val="003C68B7"/>
    <w:rsid w:val="003D24BA"/>
    <w:rsid w:val="003D25AE"/>
    <w:rsid w:val="003D268E"/>
    <w:rsid w:val="003E0456"/>
    <w:rsid w:val="003E2197"/>
    <w:rsid w:val="003E4EB0"/>
    <w:rsid w:val="003E519B"/>
    <w:rsid w:val="003E55AE"/>
    <w:rsid w:val="003E5939"/>
    <w:rsid w:val="003E7430"/>
    <w:rsid w:val="003E7505"/>
    <w:rsid w:val="003E77C2"/>
    <w:rsid w:val="003E7942"/>
    <w:rsid w:val="003E7FD8"/>
    <w:rsid w:val="003E7FF7"/>
    <w:rsid w:val="003F0F13"/>
    <w:rsid w:val="003F1749"/>
    <w:rsid w:val="003F1B3A"/>
    <w:rsid w:val="003F3DEE"/>
    <w:rsid w:val="003F4F28"/>
    <w:rsid w:val="003F59CE"/>
    <w:rsid w:val="003F5FEA"/>
    <w:rsid w:val="003F6E2D"/>
    <w:rsid w:val="003F7603"/>
    <w:rsid w:val="003F7BC1"/>
    <w:rsid w:val="00401135"/>
    <w:rsid w:val="00402309"/>
    <w:rsid w:val="004029FE"/>
    <w:rsid w:val="00402A8B"/>
    <w:rsid w:val="0040506D"/>
    <w:rsid w:val="004050F6"/>
    <w:rsid w:val="00407514"/>
    <w:rsid w:val="004075F5"/>
    <w:rsid w:val="00410968"/>
    <w:rsid w:val="0041149E"/>
    <w:rsid w:val="004123AF"/>
    <w:rsid w:val="004147A2"/>
    <w:rsid w:val="004148DE"/>
    <w:rsid w:val="00416877"/>
    <w:rsid w:val="00416BF6"/>
    <w:rsid w:val="00420001"/>
    <w:rsid w:val="00420525"/>
    <w:rsid w:val="004207B4"/>
    <w:rsid w:val="004210CE"/>
    <w:rsid w:val="00422264"/>
    <w:rsid w:val="00422E15"/>
    <w:rsid w:val="00424201"/>
    <w:rsid w:val="00424811"/>
    <w:rsid w:val="004256D5"/>
    <w:rsid w:val="0042664F"/>
    <w:rsid w:val="00426955"/>
    <w:rsid w:val="00426EF4"/>
    <w:rsid w:val="004301BA"/>
    <w:rsid w:val="00431192"/>
    <w:rsid w:val="0043183E"/>
    <w:rsid w:val="00432ECA"/>
    <w:rsid w:val="0043343B"/>
    <w:rsid w:val="004335AA"/>
    <w:rsid w:val="004358CC"/>
    <w:rsid w:val="004363AF"/>
    <w:rsid w:val="00436AF9"/>
    <w:rsid w:val="00437A26"/>
    <w:rsid w:val="00442078"/>
    <w:rsid w:val="0044460C"/>
    <w:rsid w:val="00445C9D"/>
    <w:rsid w:val="004464F0"/>
    <w:rsid w:val="00446F2D"/>
    <w:rsid w:val="00451E67"/>
    <w:rsid w:val="00452226"/>
    <w:rsid w:val="004535CE"/>
    <w:rsid w:val="004539F3"/>
    <w:rsid w:val="00455002"/>
    <w:rsid w:val="004552EB"/>
    <w:rsid w:val="00455C6A"/>
    <w:rsid w:val="00457AD4"/>
    <w:rsid w:val="004606BF"/>
    <w:rsid w:val="0046121B"/>
    <w:rsid w:val="00461394"/>
    <w:rsid w:val="00461A1D"/>
    <w:rsid w:val="0046335E"/>
    <w:rsid w:val="004638EF"/>
    <w:rsid w:val="00464024"/>
    <w:rsid w:val="004644E9"/>
    <w:rsid w:val="00465E60"/>
    <w:rsid w:val="004673E2"/>
    <w:rsid w:val="00470704"/>
    <w:rsid w:val="00470A3A"/>
    <w:rsid w:val="00470C32"/>
    <w:rsid w:val="00472509"/>
    <w:rsid w:val="004727BC"/>
    <w:rsid w:val="00475A3F"/>
    <w:rsid w:val="004761DA"/>
    <w:rsid w:val="004773D8"/>
    <w:rsid w:val="0047748A"/>
    <w:rsid w:val="00477BA8"/>
    <w:rsid w:val="00477C8C"/>
    <w:rsid w:val="004801D9"/>
    <w:rsid w:val="0048034B"/>
    <w:rsid w:val="00481697"/>
    <w:rsid w:val="0048171F"/>
    <w:rsid w:val="00481B93"/>
    <w:rsid w:val="00482E9C"/>
    <w:rsid w:val="004830A1"/>
    <w:rsid w:val="0048353C"/>
    <w:rsid w:val="00483C42"/>
    <w:rsid w:val="004851B2"/>
    <w:rsid w:val="004851FB"/>
    <w:rsid w:val="00485B5E"/>
    <w:rsid w:val="0048757E"/>
    <w:rsid w:val="00490C41"/>
    <w:rsid w:val="00490DBD"/>
    <w:rsid w:val="00492B83"/>
    <w:rsid w:val="00492E93"/>
    <w:rsid w:val="00492F21"/>
    <w:rsid w:val="00496D8E"/>
    <w:rsid w:val="00497FAE"/>
    <w:rsid w:val="004A136E"/>
    <w:rsid w:val="004A3059"/>
    <w:rsid w:val="004A34EA"/>
    <w:rsid w:val="004A3C37"/>
    <w:rsid w:val="004A75A2"/>
    <w:rsid w:val="004B15B9"/>
    <w:rsid w:val="004B245D"/>
    <w:rsid w:val="004B27B3"/>
    <w:rsid w:val="004B4205"/>
    <w:rsid w:val="004B5EA4"/>
    <w:rsid w:val="004B6ADE"/>
    <w:rsid w:val="004C30DF"/>
    <w:rsid w:val="004C35C0"/>
    <w:rsid w:val="004C36BA"/>
    <w:rsid w:val="004C3E1D"/>
    <w:rsid w:val="004C4C57"/>
    <w:rsid w:val="004C6AF6"/>
    <w:rsid w:val="004C6CB8"/>
    <w:rsid w:val="004C6FA2"/>
    <w:rsid w:val="004D02FB"/>
    <w:rsid w:val="004D06D6"/>
    <w:rsid w:val="004D0757"/>
    <w:rsid w:val="004D1E11"/>
    <w:rsid w:val="004D216E"/>
    <w:rsid w:val="004D2FA0"/>
    <w:rsid w:val="004D3F3A"/>
    <w:rsid w:val="004D4AF3"/>
    <w:rsid w:val="004D53BB"/>
    <w:rsid w:val="004D56F2"/>
    <w:rsid w:val="004D59D0"/>
    <w:rsid w:val="004E0AC8"/>
    <w:rsid w:val="004E0B90"/>
    <w:rsid w:val="004E25B0"/>
    <w:rsid w:val="004E3FE5"/>
    <w:rsid w:val="004E40EA"/>
    <w:rsid w:val="004E42BF"/>
    <w:rsid w:val="004E44AD"/>
    <w:rsid w:val="004E61E5"/>
    <w:rsid w:val="004E7C60"/>
    <w:rsid w:val="004F0D0E"/>
    <w:rsid w:val="004F25ED"/>
    <w:rsid w:val="004F2AAC"/>
    <w:rsid w:val="004F3131"/>
    <w:rsid w:val="004F5E57"/>
    <w:rsid w:val="004F7707"/>
    <w:rsid w:val="005003C6"/>
    <w:rsid w:val="00500570"/>
    <w:rsid w:val="00501494"/>
    <w:rsid w:val="00501E1D"/>
    <w:rsid w:val="0050464A"/>
    <w:rsid w:val="00506C4F"/>
    <w:rsid w:val="00507041"/>
    <w:rsid w:val="00507065"/>
    <w:rsid w:val="00507F3F"/>
    <w:rsid w:val="005114A1"/>
    <w:rsid w:val="00512F45"/>
    <w:rsid w:val="00516263"/>
    <w:rsid w:val="00516D66"/>
    <w:rsid w:val="00517403"/>
    <w:rsid w:val="00517B3C"/>
    <w:rsid w:val="00517EF2"/>
    <w:rsid w:val="00522146"/>
    <w:rsid w:val="00523229"/>
    <w:rsid w:val="00524FE9"/>
    <w:rsid w:val="005257D9"/>
    <w:rsid w:val="00527DDB"/>
    <w:rsid w:val="00530136"/>
    <w:rsid w:val="00530D27"/>
    <w:rsid w:val="0053181F"/>
    <w:rsid w:val="00531D02"/>
    <w:rsid w:val="00532C36"/>
    <w:rsid w:val="00534C6B"/>
    <w:rsid w:val="00534D88"/>
    <w:rsid w:val="00534F08"/>
    <w:rsid w:val="00540A4E"/>
    <w:rsid w:val="00540CDB"/>
    <w:rsid w:val="00540E37"/>
    <w:rsid w:val="005419CB"/>
    <w:rsid w:val="00542FF0"/>
    <w:rsid w:val="005430FD"/>
    <w:rsid w:val="0054583D"/>
    <w:rsid w:val="0055312A"/>
    <w:rsid w:val="00554A69"/>
    <w:rsid w:val="00554E48"/>
    <w:rsid w:val="00555AA7"/>
    <w:rsid w:val="00556A79"/>
    <w:rsid w:val="00560BEC"/>
    <w:rsid w:val="00561477"/>
    <w:rsid w:val="0056327E"/>
    <w:rsid w:val="00563CAA"/>
    <w:rsid w:val="00567AFF"/>
    <w:rsid w:val="00570445"/>
    <w:rsid w:val="00571E2D"/>
    <w:rsid w:val="00573D81"/>
    <w:rsid w:val="00574C93"/>
    <w:rsid w:val="00577AE7"/>
    <w:rsid w:val="0058194E"/>
    <w:rsid w:val="005820FB"/>
    <w:rsid w:val="00582178"/>
    <w:rsid w:val="00582B26"/>
    <w:rsid w:val="005834D9"/>
    <w:rsid w:val="00583528"/>
    <w:rsid w:val="00585279"/>
    <w:rsid w:val="00585755"/>
    <w:rsid w:val="00590908"/>
    <w:rsid w:val="00590E1D"/>
    <w:rsid w:val="00591D41"/>
    <w:rsid w:val="00594461"/>
    <w:rsid w:val="005958C5"/>
    <w:rsid w:val="00595EB8"/>
    <w:rsid w:val="00596239"/>
    <w:rsid w:val="00596872"/>
    <w:rsid w:val="00597067"/>
    <w:rsid w:val="0059708F"/>
    <w:rsid w:val="00597AE7"/>
    <w:rsid w:val="005A07C5"/>
    <w:rsid w:val="005A1B64"/>
    <w:rsid w:val="005A2319"/>
    <w:rsid w:val="005A5C3E"/>
    <w:rsid w:val="005A698F"/>
    <w:rsid w:val="005B0A0C"/>
    <w:rsid w:val="005B0AB3"/>
    <w:rsid w:val="005B3183"/>
    <w:rsid w:val="005B34B0"/>
    <w:rsid w:val="005B4764"/>
    <w:rsid w:val="005B5133"/>
    <w:rsid w:val="005B6233"/>
    <w:rsid w:val="005B74DD"/>
    <w:rsid w:val="005C086A"/>
    <w:rsid w:val="005C0FDD"/>
    <w:rsid w:val="005C1209"/>
    <w:rsid w:val="005C15AD"/>
    <w:rsid w:val="005C1D97"/>
    <w:rsid w:val="005C5447"/>
    <w:rsid w:val="005C6122"/>
    <w:rsid w:val="005C6491"/>
    <w:rsid w:val="005C7662"/>
    <w:rsid w:val="005C79C2"/>
    <w:rsid w:val="005C7D50"/>
    <w:rsid w:val="005D0100"/>
    <w:rsid w:val="005D0CF9"/>
    <w:rsid w:val="005D1C5E"/>
    <w:rsid w:val="005D2134"/>
    <w:rsid w:val="005D2D87"/>
    <w:rsid w:val="005D39E5"/>
    <w:rsid w:val="005D3DC6"/>
    <w:rsid w:val="005D409E"/>
    <w:rsid w:val="005D4626"/>
    <w:rsid w:val="005D4E1F"/>
    <w:rsid w:val="005D6821"/>
    <w:rsid w:val="005D727B"/>
    <w:rsid w:val="005E0215"/>
    <w:rsid w:val="005E057F"/>
    <w:rsid w:val="005E0BE9"/>
    <w:rsid w:val="005E1878"/>
    <w:rsid w:val="005E3491"/>
    <w:rsid w:val="005E3E9C"/>
    <w:rsid w:val="005E44B2"/>
    <w:rsid w:val="005E4852"/>
    <w:rsid w:val="005E537C"/>
    <w:rsid w:val="005E64C7"/>
    <w:rsid w:val="005F0200"/>
    <w:rsid w:val="005F3102"/>
    <w:rsid w:val="005F3ABB"/>
    <w:rsid w:val="005F3B6A"/>
    <w:rsid w:val="005F4C97"/>
    <w:rsid w:val="005F5523"/>
    <w:rsid w:val="005F6971"/>
    <w:rsid w:val="00601745"/>
    <w:rsid w:val="00601BA5"/>
    <w:rsid w:val="00603634"/>
    <w:rsid w:val="00604F60"/>
    <w:rsid w:val="006057DE"/>
    <w:rsid w:val="006066A1"/>
    <w:rsid w:val="00607E2C"/>
    <w:rsid w:val="006111B3"/>
    <w:rsid w:val="00611AAF"/>
    <w:rsid w:val="00611C51"/>
    <w:rsid w:val="00612B10"/>
    <w:rsid w:val="00613330"/>
    <w:rsid w:val="00613A01"/>
    <w:rsid w:val="00613FCF"/>
    <w:rsid w:val="00614A8F"/>
    <w:rsid w:val="00616173"/>
    <w:rsid w:val="00617C67"/>
    <w:rsid w:val="00620745"/>
    <w:rsid w:val="0062695E"/>
    <w:rsid w:val="00627805"/>
    <w:rsid w:val="00627E07"/>
    <w:rsid w:val="00630C98"/>
    <w:rsid w:val="00632435"/>
    <w:rsid w:val="00633203"/>
    <w:rsid w:val="00633F6A"/>
    <w:rsid w:val="006344AC"/>
    <w:rsid w:val="00636301"/>
    <w:rsid w:val="006374ED"/>
    <w:rsid w:val="0064093A"/>
    <w:rsid w:val="006418DE"/>
    <w:rsid w:val="006429C4"/>
    <w:rsid w:val="0064341B"/>
    <w:rsid w:val="006440C0"/>
    <w:rsid w:val="00644ADF"/>
    <w:rsid w:val="00645FFB"/>
    <w:rsid w:val="00646D32"/>
    <w:rsid w:val="006472E7"/>
    <w:rsid w:val="006512CE"/>
    <w:rsid w:val="006553FA"/>
    <w:rsid w:val="0065763E"/>
    <w:rsid w:val="00660B22"/>
    <w:rsid w:val="00661BD4"/>
    <w:rsid w:val="0066257C"/>
    <w:rsid w:val="00662FCC"/>
    <w:rsid w:val="006634E3"/>
    <w:rsid w:val="0066374A"/>
    <w:rsid w:val="00663EE2"/>
    <w:rsid w:val="006645E2"/>
    <w:rsid w:val="006650D0"/>
    <w:rsid w:val="00665527"/>
    <w:rsid w:val="00665956"/>
    <w:rsid w:val="00665C36"/>
    <w:rsid w:val="00666100"/>
    <w:rsid w:val="00671A47"/>
    <w:rsid w:val="006729B5"/>
    <w:rsid w:val="00673248"/>
    <w:rsid w:val="00673D97"/>
    <w:rsid w:val="00674F2E"/>
    <w:rsid w:val="00674FAD"/>
    <w:rsid w:val="0067621F"/>
    <w:rsid w:val="00677E27"/>
    <w:rsid w:val="006805B5"/>
    <w:rsid w:val="0068106E"/>
    <w:rsid w:val="00681D7F"/>
    <w:rsid w:val="00683D6E"/>
    <w:rsid w:val="0068594D"/>
    <w:rsid w:val="00685A7C"/>
    <w:rsid w:val="00686EF6"/>
    <w:rsid w:val="006905DF"/>
    <w:rsid w:val="00690F62"/>
    <w:rsid w:val="00691501"/>
    <w:rsid w:val="00693F37"/>
    <w:rsid w:val="006942F2"/>
    <w:rsid w:val="006972DC"/>
    <w:rsid w:val="00697C5A"/>
    <w:rsid w:val="006A09A2"/>
    <w:rsid w:val="006A0F84"/>
    <w:rsid w:val="006A2D0B"/>
    <w:rsid w:val="006A2D7C"/>
    <w:rsid w:val="006A3256"/>
    <w:rsid w:val="006A4770"/>
    <w:rsid w:val="006A5614"/>
    <w:rsid w:val="006A6159"/>
    <w:rsid w:val="006B18E3"/>
    <w:rsid w:val="006B1BEC"/>
    <w:rsid w:val="006B4B29"/>
    <w:rsid w:val="006B6CE0"/>
    <w:rsid w:val="006C0F29"/>
    <w:rsid w:val="006C4429"/>
    <w:rsid w:val="006C4BB3"/>
    <w:rsid w:val="006C4D66"/>
    <w:rsid w:val="006C4F18"/>
    <w:rsid w:val="006C5D79"/>
    <w:rsid w:val="006C66E8"/>
    <w:rsid w:val="006C7566"/>
    <w:rsid w:val="006D1496"/>
    <w:rsid w:val="006D1818"/>
    <w:rsid w:val="006D1D84"/>
    <w:rsid w:val="006D2029"/>
    <w:rsid w:val="006D32F9"/>
    <w:rsid w:val="006D4108"/>
    <w:rsid w:val="006D61D8"/>
    <w:rsid w:val="006D69D0"/>
    <w:rsid w:val="006E06E0"/>
    <w:rsid w:val="006E0D02"/>
    <w:rsid w:val="006E3519"/>
    <w:rsid w:val="006E35A0"/>
    <w:rsid w:val="006E3D71"/>
    <w:rsid w:val="006E51D8"/>
    <w:rsid w:val="006E5A23"/>
    <w:rsid w:val="006E5F01"/>
    <w:rsid w:val="006E6488"/>
    <w:rsid w:val="006E66CA"/>
    <w:rsid w:val="006E78FF"/>
    <w:rsid w:val="006E7CCA"/>
    <w:rsid w:val="006F17E4"/>
    <w:rsid w:val="006F20E5"/>
    <w:rsid w:val="006F2FB2"/>
    <w:rsid w:val="006F31A6"/>
    <w:rsid w:val="006F3A2C"/>
    <w:rsid w:val="006F47A8"/>
    <w:rsid w:val="006F50FF"/>
    <w:rsid w:val="006F5A28"/>
    <w:rsid w:val="006F6E3C"/>
    <w:rsid w:val="006F70C7"/>
    <w:rsid w:val="006F7D85"/>
    <w:rsid w:val="006F7EB7"/>
    <w:rsid w:val="00700A14"/>
    <w:rsid w:val="00700ED1"/>
    <w:rsid w:val="007019B0"/>
    <w:rsid w:val="00703659"/>
    <w:rsid w:val="00703840"/>
    <w:rsid w:val="00703A01"/>
    <w:rsid w:val="00704067"/>
    <w:rsid w:val="0070629B"/>
    <w:rsid w:val="00710487"/>
    <w:rsid w:val="00712178"/>
    <w:rsid w:val="00712920"/>
    <w:rsid w:val="00712982"/>
    <w:rsid w:val="007141D6"/>
    <w:rsid w:val="00715F0B"/>
    <w:rsid w:val="00716C85"/>
    <w:rsid w:val="007203B7"/>
    <w:rsid w:val="00720F43"/>
    <w:rsid w:val="00721A96"/>
    <w:rsid w:val="0072216B"/>
    <w:rsid w:val="00722C11"/>
    <w:rsid w:val="00722C3A"/>
    <w:rsid w:val="00722E82"/>
    <w:rsid w:val="00724E98"/>
    <w:rsid w:val="007264BC"/>
    <w:rsid w:val="0072788B"/>
    <w:rsid w:val="007318E8"/>
    <w:rsid w:val="00732020"/>
    <w:rsid w:val="00732DFD"/>
    <w:rsid w:val="00732E84"/>
    <w:rsid w:val="00732EE7"/>
    <w:rsid w:val="00732FD4"/>
    <w:rsid w:val="00733887"/>
    <w:rsid w:val="00734192"/>
    <w:rsid w:val="00734F91"/>
    <w:rsid w:val="0073656A"/>
    <w:rsid w:val="0073707E"/>
    <w:rsid w:val="00740D19"/>
    <w:rsid w:val="0074151D"/>
    <w:rsid w:val="00741C30"/>
    <w:rsid w:val="007421C6"/>
    <w:rsid w:val="00742BA7"/>
    <w:rsid w:val="00743437"/>
    <w:rsid w:val="00743655"/>
    <w:rsid w:val="00743C1B"/>
    <w:rsid w:val="00744450"/>
    <w:rsid w:val="0074544A"/>
    <w:rsid w:val="00745C99"/>
    <w:rsid w:val="00745CDA"/>
    <w:rsid w:val="00746C0E"/>
    <w:rsid w:val="00750B43"/>
    <w:rsid w:val="00750CAE"/>
    <w:rsid w:val="00750CDC"/>
    <w:rsid w:val="007538AA"/>
    <w:rsid w:val="00753DE4"/>
    <w:rsid w:val="00754B84"/>
    <w:rsid w:val="00756A3D"/>
    <w:rsid w:val="00756C0C"/>
    <w:rsid w:val="0076052D"/>
    <w:rsid w:val="00761672"/>
    <w:rsid w:val="00761720"/>
    <w:rsid w:val="0076257E"/>
    <w:rsid w:val="00762CA8"/>
    <w:rsid w:val="00763584"/>
    <w:rsid w:val="0076478F"/>
    <w:rsid w:val="00765F23"/>
    <w:rsid w:val="00767241"/>
    <w:rsid w:val="00771779"/>
    <w:rsid w:val="0077287D"/>
    <w:rsid w:val="00772DCC"/>
    <w:rsid w:val="00773DEB"/>
    <w:rsid w:val="00777C45"/>
    <w:rsid w:val="0078123F"/>
    <w:rsid w:val="00784041"/>
    <w:rsid w:val="0078464B"/>
    <w:rsid w:val="00784942"/>
    <w:rsid w:val="00784955"/>
    <w:rsid w:val="00784D03"/>
    <w:rsid w:val="00785359"/>
    <w:rsid w:val="0078598D"/>
    <w:rsid w:val="00785A33"/>
    <w:rsid w:val="00787F8C"/>
    <w:rsid w:val="0079152F"/>
    <w:rsid w:val="007919EF"/>
    <w:rsid w:val="00794A6E"/>
    <w:rsid w:val="007952DD"/>
    <w:rsid w:val="007959D5"/>
    <w:rsid w:val="007A35E3"/>
    <w:rsid w:val="007A43DD"/>
    <w:rsid w:val="007A440B"/>
    <w:rsid w:val="007A58A8"/>
    <w:rsid w:val="007A64E6"/>
    <w:rsid w:val="007A7C59"/>
    <w:rsid w:val="007B0B41"/>
    <w:rsid w:val="007B1277"/>
    <w:rsid w:val="007B1BEB"/>
    <w:rsid w:val="007B33C5"/>
    <w:rsid w:val="007B45D0"/>
    <w:rsid w:val="007B58D4"/>
    <w:rsid w:val="007B637E"/>
    <w:rsid w:val="007B781C"/>
    <w:rsid w:val="007C08B9"/>
    <w:rsid w:val="007C0F57"/>
    <w:rsid w:val="007C296A"/>
    <w:rsid w:val="007C2A9C"/>
    <w:rsid w:val="007C3755"/>
    <w:rsid w:val="007C3967"/>
    <w:rsid w:val="007C5A39"/>
    <w:rsid w:val="007C5F8C"/>
    <w:rsid w:val="007C6591"/>
    <w:rsid w:val="007C660D"/>
    <w:rsid w:val="007C6D82"/>
    <w:rsid w:val="007D0B34"/>
    <w:rsid w:val="007D21D7"/>
    <w:rsid w:val="007D22DB"/>
    <w:rsid w:val="007D25E2"/>
    <w:rsid w:val="007D296F"/>
    <w:rsid w:val="007D2D94"/>
    <w:rsid w:val="007D4863"/>
    <w:rsid w:val="007D4E09"/>
    <w:rsid w:val="007D5316"/>
    <w:rsid w:val="007D5C47"/>
    <w:rsid w:val="007D5C5D"/>
    <w:rsid w:val="007D7286"/>
    <w:rsid w:val="007D7647"/>
    <w:rsid w:val="007E0A4B"/>
    <w:rsid w:val="007E0F01"/>
    <w:rsid w:val="007E3149"/>
    <w:rsid w:val="007E48D5"/>
    <w:rsid w:val="007E574F"/>
    <w:rsid w:val="007E5A43"/>
    <w:rsid w:val="007E5B32"/>
    <w:rsid w:val="007E6F79"/>
    <w:rsid w:val="007E7640"/>
    <w:rsid w:val="007F0D7C"/>
    <w:rsid w:val="007F2C0B"/>
    <w:rsid w:val="007F3B32"/>
    <w:rsid w:val="007F3E7A"/>
    <w:rsid w:val="007F4177"/>
    <w:rsid w:val="007F4A23"/>
    <w:rsid w:val="007F6E6C"/>
    <w:rsid w:val="007F707C"/>
    <w:rsid w:val="007F7215"/>
    <w:rsid w:val="007F76D7"/>
    <w:rsid w:val="007F7AD1"/>
    <w:rsid w:val="0080103E"/>
    <w:rsid w:val="00801788"/>
    <w:rsid w:val="00801802"/>
    <w:rsid w:val="0080248E"/>
    <w:rsid w:val="00803F57"/>
    <w:rsid w:val="0080562A"/>
    <w:rsid w:val="0080604A"/>
    <w:rsid w:val="008066E6"/>
    <w:rsid w:val="00806921"/>
    <w:rsid w:val="008069C0"/>
    <w:rsid w:val="008076DB"/>
    <w:rsid w:val="0081025E"/>
    <w:rsid w:val="00810578"/>
    <w:rsid w:val="00810812"/>
    <w:rsid w:val="00811383"/>
    <w:rsid w:val="00812180"/>
    <w:rsid w:val="00813516"/>
    <w:rsid w:val="00816CBF"/>
    <w:rsid w:val="00817B74"/>
    <w:rsid w:val="00817C8D"/>
    <w:rsid w:val="00817D52"/>
    <w:rsid w:val="0082042C"/>
    <w:rsid w:val="0082080B"/>
    <w:rsid w:val="0082266E"/>
    <w:rsid w:val="00823EE8"/>
    <w:rsid w:val="0082595C"/>
    <w:rsid w:val="00825F1A"/>
    <w:rsid w:val="00826842"/>
    <w:rsid w:val="00826D3E"/>
    <w:rsid w:val="0082715F"/>
    <w:rsid w:val="00827197"/>
    <w:rsid w:val="008306E3"/>
    <w:rsid w:val="00831076"/>
    <w:rsid w:val="0083115D"/>
    <w:rsid w:val="008311D3"/>
    <w:rsid w:val="00836248"/>
    <w:rsid w:val="00836F27"/>
    <w:rsid w:val="00837B4F"/>
    <w:rsid w:val="008419C5"/>
    <w:rsid w:val="00841E1C"/>
    <w:rsid w:val="00841F61"/>
    <w:rsid w:val="00842615"/>
    <w:rsid w:val="00844A0D"/>
    <w:rsid w:val="00844CD7"/>
    <w:rsid w:val="00845052"/>
    <w:rsid w:val="00847872"/>
    <w:rsid w:val="0084790D"/>
    <w:rsid w:val="00855953"/>
    <w:rsid w:val="00855FFE"/>
    <w:rsid w:val="00861D6E"/>
    <w:rsid w:val="00861DAB"/>
    <w:rsid w:val="00862E46"/>
    <w:rsid w:val="00862FC9"/>
    <w:rsid w:val="008632E5"/>
    <w:rsid w:val="00865618"/>
    <w:rsid w:val="008675A0"/>
    <w:rsid w:val="00867C07"/>
    <w:rsid w:val="008701CA"/>
    <w:rsid w:val="00872185"/>
    <w:rsid w:val="00875459"/>
    <w:rsid w:val="008763C1"/>
    <w:rsid w:val="0087660C"/>
    <w:rsid w:val="00880E60"/>
    <w:rsid w:val="00882512"/>
    <w:rsid w:val="008849C8"/>
    <w:rsid w:val="00885244"/>
    <w:rsid w:val="00885656"/>
    <w:rsid w:val="00886753"/>
    <w:rsid w:val="00886854"/>
    <w:rsid w:val="00886F01"/>
    <w:rsid w:val="00891EC9"/>
    <w:rsid w:val="0089217E"/>
    <w:rsid w:val="00893378"/>
    <w:rsid w:val="008948E2"/>
    <w:rsid w:val="00894BDB"/>
    <w:rsid w:val="00894FEB"/>
    <w:rsid w:val="008A1470"/>
    <w:rsid w:val="008A1644"/>
    <w:rsid w:val="008A22D0"/>
    <w:rsid w:val="008A2F6E"/>
    <w:rsid w:val="008A313B"/>
    <w:rsid w:val="008A32D2"/>
    <w:rsid w:val="008A3369"/>
    <w:rsid w:val="008A4BBE"/>
    <w:rsid w:val="008A5685"/>
    <w:rsid w:val="008A5E31"/>
    <w:rsid w:val="008A66B3"/>
    <w:rsid w:val="008B3284"/>
    <w:rsid w:val="008B3CAB"/>
    <w:rsid w:val="008B3E1D"/>
    <w:rsid w:val="008B3E9E"/>
    <w:rsid w:val="008B4B32"/>
    <w:rsid w:val="008C14F4"/>
    <w:rsid w:val="008C1E08"/>
    <w:rsid w:val="008C2D6B"/>
    <w:rsid w:val="008C6131"/>
    <w:rsid w:val="008C629A"/>
    <w:rsid w:val="008C75D3"/>
    <w:rsid w:val="008D0892"/>
    <w:rsid w:val="008D1F65"/>
    <w:rsid w:val="008D35AA"/>
    <w:rsid w:val="008D47E8"/>
    <w:rsid w:val="008D5114"/>
    <w:rsid w:val="008D513E"/>
    <w:rsid w:val="008D58B2"/>
    <w:rsid w:val="008D6283"/>
    <w:rsid w:val="008D67B5"/>
    <w:rsid w:val="008D755A"/>
    <w:rsid w:val="008E2581"/>
    <w:rsid w:val="008E3070"/>
    <w:rsid w:val="008E31B1"/>
    <w:rsid w:val="008E3A32"/>
    <w:rsid w:val="008E4C3B"/>
    <w:rsid w:val="008E5ACF"/>
    <w:rsid w:val="008E6105"/>
    <w:rsid w:val="008F08EB"/>
    <w:rsid w:val="008F0EBF"/>
    <w:rsid w:val="008F1A6A"/>
    <w:rsid w:val="008F4132"/>
    <w:rsid w:val="00900518"/>
    <w:rsid w:val="0090085B"/>
    <w:rsid w:val="00900C90"/>
    <w:rsid w:val="00904BE8"/>
    <w:rsid w:val="00905AF9"/>
    <w:rsid w:val="00910289"/>
    <w:rsid w:val="0091058D"/>
    <w:rsid w:val="00911276"/>
    <w:rsid w:val="0091180F"/>
    <w:rsid w:val="00912C98"/>
    <w:rsid w:val="009135F6"/>
    <w:rsid w:val="0091377B"/>
    <w:rsid w:val="0091411C"/>
    <w:rsid w:val="009157F6"/>
    <w:rsid w:val="00915FE7"/>
    <w:rsid w:val="009166D6"/>
    <w:rsid w:val="00921D52"/>
    <w:rsid w:val="00923A03"/>
    <w:rsid w:val="00925590"/>
    <w:rsid w:val="009255FB"/>
    <w:rsid w:val="00925B0E"/>
    <w:rsid w:val="00926375"/>
    <w:rsid w:val="00930DB3"/>
    <w:rsid w:val="00931CAB"/>
    <w:rsid w:val="00932B9C"/>
    <w:rsid w:val="00932D92"/>
    <w:rsid w:val="00932DE3"/>
    <w:rsid w:val="009347B6"/>
    <w:rsid w:val="009347F1"/>
    <w:rsid w:val="00934BD0"/>
    <w:rsid w:val="00934E97"/>
    <w:rsid w:val="0093579E"/>
    <w:rsid w:val="00935862"/>
    <w:rsid w:val="00935B99"/>
    <w:rsid w:val="009363EB"/>
    <w:rsid w:val="0093659B"/>
    <w:rsid w:val="00941D1E"/>
    <w:rsid w:val="009429F9"/>
    <w:rsid w:val="0094363A"/>
    <w:rsid w:val="00943952"/>
    <w:rsid w:val="0094479C"/>
    <w:rsid w:val="0094606B"/>
    <w:rsid w:val="009466C8"/>
    <w:rsid w:val="00947F1E"/>
    <w:rsid w:val="00950FDB"/>
    <w:rsid w:val="00951263"/>
    <w:rsid w:val="009529D4"/>
    <w:rsid w:val="00953412"/>
    <w:rsid w:val="009556F3"/>
    <w:rsid w:val="009567AC"/>
    <w:rsid w:val="00957734"/>
    <w:rsid w:val="00960A8C"/>
    <w:rsid w:val="00964F55"/>
    <w:rsid w:val="009658C2"/>
    <w:rsid w:val="00965E93"/>
    <w:rsid w:val="00967332"/>
    <w:rsid w:val="00970AEF"/>
    <w:rsid w:val="00972373"/>
    <w:rsid w:val="0097255E"/>
    <w:rsid w:val="00972FC3"/>
    <w:rsid w:val="00974D43"/>
    <w:rsid w:val="00975721"/>
    <w:rsid w:val="00976317"/>
    <w:rsid w:val="009767A5"/>
    <w:rsid w:val="00977C7A"/>
    <w:rsid w:val="00980338"/>
    <w:rsid w:val="009806F2"/>
    <w:rsid w:val="00982E0F"/>
    <w:rsid w:val="00983A9A"/>
    <w:rsid w:val="00984D3D"/>
    <w:rsid w:val="00984E9F"/>
    <w:rsid w:val="009872B8"/>
    <w:rsid w:val="00987833"/>
    <w:rsid w:val="0099118D"/>
    <w:rsid w:val="009914B9"/>
    <w:rsid w:val="00991718"/>
    <w:rsid w:val="00992D6C"/>
    <w:rsid w:val="0099439A"/>
    <w:rsid w:val="00994A7F"/>
    <w:rsid w:val="00996C48"/>
    <w:rsid w:val="009A08BE"/>
    <w:rsid w:val="009A12EB"/>
    <w:rsid w:val="009A1817"/>
    <w:rsid w:val="009A1919"/>
    <w:rsid w:val="009A33B5"/>
    <w:rsid w:val="009A35F2"/>
    <w:rsid w:val="009A367A"/>
    <w:rsid w:val="009A4C54"/>
    <w:rsid w:val="009A4CA4"/>
    <w:rsid w:val="009A4EF2"/>
    <w:rsid w:val="009A6C5B"/>
    <w:rsid w:val="009A6E17"/>
    <w:rsid w:val="009A7879"/>
    <w:rsid w:val="009B051E"/>
    <w:rsid w:val="009B27BE"/>
    <w:rsid w:val="009B2A00"/>
    <w:rsid w:val="009B2C11"/>
    <w:rsid w:val="009B31D8"/>
    <w:rsid w:val="009B4004"/>
    <w:rsid w:val="009B6199"/>
    <w:rsid w:val="009B7DD5"/>
    <w:rsid w:val="009C23AC"/>
    <w:rsid w:val="009C26B9"/>
    <w:rsid w:val="009C28F6"/>
    <w:rsid w:val="009C291D"/>
    <w:rsid w:val="009C2A52"/>
    <w:rsid w:val="009C2D1E"/>
    <w:rsid w:val="009C2F43"/>
    <w:rsid w:val="009C3547"/>
    <w:rsid w:val="009C356B"/>
    <w:rsid w:val="009C4851"/>
    <w:rsid w:val="009C5847"/>
    <w:rsid w:val="009C5BD8"/>
    <w:rsid w:val="009C6536"/>
    <w:rsid w:val="009D0B45"/>
    <w:rsid w:val="009D0D54"/>
    <w:rsid w:val="009D12CB"/>
    <w:rsid w:val="009D18CA"/>
    <w:rsid w:val="009D20E2"/>
    <w:rsid w:val="009D28F4"/>
    <w:rsid w:val="009D42DA"/>
    <w:rsid w:val="009D570A"/>
    <w:rsid w:val="009D674E"/>
    <w:rsid w:val="009D687C"/>
    <w:rsid w:val="009D73D0"/>
    <w:rsid w:val="009D73F6"/>
    <w:rsid w:val="009D7B6C"/>
    <w:rsid w:val="009E173E"/>
    <w:rsid w:val="009E4075"/>
    <w:rsid w:val="009E41C8"/>
    <w:rsid w:val="009E58CC"/>
    <w:rsid w:val="009E5A02"/>
    <w:rsid w:val="009E5E80"/>
    <w:rsid w:val="009E6FA4"/>
    <w:rsid w:val="009E7E56"/>
    <w:rsid w:val="009F07A6"/>
    <w:rsid w:val="009F2380"/>
    <w:rsid w:val="009F3728"/>
    <w:rsid w:val="009F3EE0"/>
    <w:rsid w:val="009F526B"/>
    <w:rsid w:val="009F559E"/>
    <w:rsid w:val="009F5DC4"/>
    <w:rsid w:val="009F6175"/>
    <w:rsid w:val="009F798F"/>
    <w:rsid w:val="00A01811"/>
    <w:rsid w:val="00A01A9E"/>
    <w:rsid w:val="00A0211A"/>
    <w:rsid w:val="00A023C0"/>
    <w:rsid w:val="00A0240F"/>
    <w:rsid w:val="00A049FC"/>
    <w:rsid w:val="00A04E5F"/>
    <w:rsid w:val="00A05321"/>
    <w:rsid w:val="00A05CE0"/>
    <w:rsid w:val="00A071EB"/>
    <w:rsid w:val="00A078E7"/>
    <w:rsid w:val="00A07E7C"/>
    <w:rsid w:val="00A10227"/>
    <w:rsid w:val="00A12677"/>
    <w:rsid w:val="00A14A32"/>
    <w:rsid w:val="00A17A4A"/>
    <w:rsid w:val="00A17CA4"/>
    <w:rsid w:val="00A2099D"/>
    <w:rsid w:val="00A20A83"/>
    <w:rsid w:val="00A22504"/>
    <w:rsid w:val="00A232C3"/>
    <w:rsid w:val="00A23A7B"/>
    <w:rsid w:val="00A23CE4"/>
    <w:rsid w:val="00A24323"/>
    <w:rsid w:val="00A2494A"/>
    <w:rsid w:val="00A27E54"/>
    <w:rsid w:val="00A31183"/>
    <w:rsid w:val="00A31F6F"/>
    <w:rsid w:val="00A354DC"/>
    <w:rsid w:val="00A372E3"/>
    <w:rsid w:val="00A372EB"/>
    <w:rsid w:val="00A40607"/>
    <w:rsid w:val="00A40A97"/>
    <w:rsid w:val="00A4115B"/>
    <w:rsid w:val="00A44068"/>
    <w:rsid w:val="00A464EB"/>
    <w:rsid w:val="00A476B1"/>
    <w:rsid w:val="00A4784D"/>
    <w:rsid w:val="00A478C1"/>
    <w:rsid w:val="00A51497"/>
    <w:rsid w:val="00A52519"/>
    <w:rsid w:val="00A52575"/>
    <w:rsid w:val="00A529C6"/>
    <w:rsid w:val="00A53377"/>
    <w:rsid w:val="00A53AC7"/>
    <w:rsid w:val="00A53E91"/>
    <w:rsid w:val="00A54270"/>
    <w:rsid w:val="00A55F7F"/>
    <w:rsid w:val="00A56302"/>
    <w:rsid w:val="00A56A99"/>
    <w:rsid w:val="00A571C9"/>
    <w:rsid w:val="00A5730F"/>
    <w:rsid w:val="00A60C1B"/>
    <w:rsid w:val="00A628FD"/>
    <w:rsid w:val="00A63A3A"/>
    <w:rsid w:val="00A66135"/>
    <w:rsid w:val="00A66530"/>
    <w:rsid w:val="00A66EFB"/>
    <w:rsid w:val="00A670BA"/>
    <w:rsid w:val="00A70089"/>
    <w:rsid w:val="00A70305"/>
    <w:rsid w:val="00A721B9"/>
    <w:rsid w:val="00A74675"/>
    <w:rsid w:val="00A7493A"/>
    <w:rsid w:val="00A74C4E"/>
    <w:rsid w:val="00A74EA0"/>
    <w:rsid w:val="00A813B0"/>
    <w:rsid w:val="00A81B8A"/>
    <w:rsid w:val="00A81D0A"/>
    <w:rsid w:val="00A82D9E"/>
    <w:rsid w:val="00A8521D"/>
    <w:rsid w:val="00A8656C"/>
    <w:rsid w:val="00A87968"/>
    <w:rsid w:val="00A87FB4"/>
    <w:rsid w:val="00A90954"/>
    <w:rsid w:val="00A90BAF"/>
    <w:rsid w:val="00A9296E"/>
    <w:rsid w:val="00A931E2"/>
    <w:rsid w:val="00A93E8E"/>
    <w:rsid w:val="00A9447B"/>
    <w:rsid w:val="00A95B54"/>
    <w:rsid w:val="00A95EDC"/>
    <w:rsid w:val="00A97B69"/>
    <w:rsid w:val="00A97BB8"/>
    <w:rsid w:val="00AA0E87"/>
    <w:rsid w:val="00AA15ED"/>
    <w:rsid w:val="00AA235F"/>
    <w:rsid w:val="00AA5B0C"/>
    <w:rsid w:val="00AA6037"/>
    <w:rsid w:val="00AA631B"/>
    <w:rsid w:val="00AA6387"/>
    <w:rsid w:val="00AA695C"/>
    <w:rsid w:val="00AA6DEC"/>
    <w:rsid w:val="00AA72DB"/>
    <w:rsid w:val="00AB24E3"/>
    <w:rsid w:val="00AB3187"/>
    <w:rsid w:val="00AB4835"/>
    <w:rsid w:val="00AB4A4E"/>
    <w:rsid w:val="00AB4CB3"/>
    <w:rsid w:val="00AB55C5"/>
    <w:rsid w:val="00AB5998"/>
    <w:rsid w:val="00AB5D2F"/>
    <w:rsid w:val="00AC1B14"/>
    <w:rsid w:val="00AC2140"/>
    <w:rsid w:val="00AC2936"/>
    <w:rsid w:val="00AC2D4F"/>
    <w:rsid w:val="00AC500B"/>
    <w:rsid w:val="00AC65FE"/>
    <w:rsid w:val="00AC6F05"/>
    <w:rsid w:val="00AD1279"/>
    <w:rsid w:val="00AD35BA"/>
    <w:rsid w:val="00AD3607"/>
    <w:rsid w:val="00AD36BE"/>
    <w:rsid w:val="00AD4113"/>
    <w:rsid w:val="00AD42D0"/>
    <w:rsid w:val="00AD472D"/>
    <w:rsid w:val="00AD4C10"/>
    <w:rsid w:val="00AD559F"/>
    <w:rsid w:val="00AD63EE"/>
    <w:rsid w:val="00AD78FA"/>
    <w:rsid w:val="00AE1ACC"/>
    <w:rsid w:val="00AE27D7"/>
    <w:rsid w:val="00AE290E"/>
    <w:rsid w:val="00AE556C"/>
    <w:rsid w:val="00AE6877"/>
    <w:rsid w:val="00AF06EC"/>
    <w:rsid w:val="00AF104A"/>
    <w:rsid w:val="00AF26B5"/>
    <w:rsid w:val="00AF2825"/>
    <w:rsid w:val="00AF46D4"/>
    <w:rsid w:val="00AF4B49"/>
    <w:rsid w:val="00AF510A"/>
    <w:rsid w:val="00B007C4"/>
    <w:rsid w:val="00B00EDE"/>
    <w:rsid w:val="00B01956"/>
    <w:rsid w:val="00B02AE8"/>
    <w:rsid w:val="00B0369D"/>
    <w:rsid w:val="00B04A89"/>
    <w:rsid w:val="00B04F1C"/>
    <w:rsid w:val="00B05674"/>
    <w:rsid w:val="00B0624A"/>
    <w:rsid w:val="00B0689E"/>
    <w:rsid w:val="00B07D51"/>
    <w:rsid w:val="00B07EDB"/>
    <w:rsid w:val="00B1014C"/>
    <w:rsid w:val="00B1060E"/>
    <w:rsid w:val="00B108C0"/>
    <w:rsid w:val="00B12056"/>
    <w:rsid w:val="00B12186"/>
    <w:rsid w:val="00B1311D"/>
    <w:rsid w:val="00B164EB"/>
    <w:rsid w:val="00B1712F"/>
    <w:rsid w:val="00B20B85"/>
    <w:rsid w:val="00B21080"/>
    <w:rsid w:val="00B22117"/>
    <w:rsid w:val="00B22399"/>
    <w:rsid w:val="00B22F3B"/>
    <w:rsid w:val="00B235AF"/>
    <w:rsid w:val="00B23C5E"/>
    <w:rsid w:val="00B248D1"/>
    <w:rsid w:val="00B3031D"/>
    <w:rsid w:val="00B3051E"/>
    <w:rsid w:val="00B31CE9"/>
    <w:rsid w:val="00B31F35"/>
    <w:rsid w:val="00B32442"/>
    <w:rsid w:val="00B342B4"/>
    <w:rsid w:val="00B347AE"/>
    <w:rsid w:val="00B348E4"/>
    <w:rsid w:val="00B36C25"/>
    <w:rsid w:val="00B414E2"/>
    <w:rsid w:val="00B42BAA"/>
    <w:rsid w:val="00B42BBD"/>
    <w:rsid w:val="00B45078"/>
    <w:rsid w:val="00B4521A"/>
    <w:rsid w:val="00B47157"/>
    <w:rsid w:val="00B476FD"/>
    <w:rsid w:val="00B51795"/>
    <w:rsid w:val="00B5225E"/>
    <w:rsid w:val="00B52C04"/>
    <w:rsid w:val="00B562E6"/>
    <w:rsid w:val="00B5799F"/>
    <w:rsid w:val="00B60608"/>
    <w:rsid w:val="00B60BD8"/>
    <w:rsid w:val="00B60D3B"/>
    <w:rsid w:val="00B620D7"/>
    <w:rsid w:val="00B62FB4"/>
    <w:rsid w:val="00B633E5"/>
    <w:rsid w:val="00B635DE"/>
    <w:rsid w:val="00B64FB4"/>
    <w:rsid w:val="00B65B01"/>
    <w:rsid w:val="00B65C72"/>
    <w:rsid w:val="00B665CE"/>
    <w:rsid w:val="00B679A8"/>
    <w:rsid w:val="00B7045C"/>
    <w:rsid w:val="00B70B9D"/>
    <w:rsid w:val="00B73526"/>
    <w:rsid w:val="00B7373C"/>
    <w:rsid w:val="00B73BBB"/>
    <w:rsid w:val="00B73D46"/>
    <w:rsid w:val="00B74221"/>
    <w:rsid w:val="00B7471D"/>
    <w:rsid w:val="00B765B8"/>
    <w:rsid w:val="00B77413"/>
    <w:rsid w:val="00B77B35"/>
    <w:rsid w:val="00B77B56"/>
    <w:rsid w:val="00B805DC"/>
    <w:rsid w:val="00B80C04"/>
    <w:rsid w:val="00B80E8B"/>
    <w:rsid w:val="00B83435"/>
    <w:rsid w:val="00B8424E"/>
    <w:rsid w:val="00B84D25"/>
    <w:rsid w:val="00B8538B"/>
    <w:rsid w:val="00B87563"/>
    <w:rsid w:val="00B90111"/>
    <w:rsid w:val="00B90182"/>
    <w:rsid w:val="00B90D67"/>
    <w:rsid w:val="00B90E07"/>
    <w:rsid w:val="00B9153A"/>
    <w:rsid w:val="00B91779"/>
    <w:rsid w:val="00B92BA5"/>
    <w:rsid w:val="00BA0EFF"/>
    <w:rsid w:val="00BA3021"/>
    <w:rsid w:val="00BA4124"/>
    <w:rsid w:val="00BA623A"/>
    <w:rsid w:val="00BA6BB5"/>
    <w:rsid w:val="00BA7729"/>
    <w:rsid w:val="00BB0812"/>
    <w:rsid w:val="00BB0F3B"/>
    <w:rsid w:val="00BB0F67"/>
    <w:rsid w:val="00BB175F"/>
    <w:rsid w:val="00BB1AE5"/>
    <w:rsid w:val="00BB2FC0"/>
    <w:rsid w:val="00BB3E28"/>
    <w:rsid w:val="00BB3E44"/>
    <w:rsid w:val="00BB4AAC"/>
    <w:rsid w:val="00BB5D96"/>
    <w:rsid w:val="00BB6AC7"/>
    <w:rsid w:val="00BB74FB"/>
    <w:rsid w:val="00BB78C5"/>
    <w:rsid w:val="00BB78CD"/>
    <w:rsid w:val="00BB7C58"/>
    <w:rsid w:val="00BC0595"/>
    <w:rsid w:val="00BC0832"/>
    <w:rsid w:val="00BC1184"/>
    <w:rsid w:val="00BC1503"/>
    <w:rsid w:val="00BC20C1"/>
    <w:rsid w:val="00BC3592"/>
    <w:rsid w:val="00BC3AA6"/>
    <w:rsid w:val="00BC486E"/>
    <w:rsid w:val="00BC5001"/>
    <w:rsid w:val="00BC635B"/>
    <w:rsid w:val="00BD1709"/>
    <w:rsid w:val="00BD3843"/>
    <w:rsid w:val="00BD3851"/>
    <w:rsid w:val="00BD43E0"/>
    <w:rsid w:val="00BD52E7"/>
    <w:rsid w:val="00BD5833"/>
    <w:rsid w:val="00BD5BA2"/>
    <w:rsid w:val="00BD6C22"/>
    <w:rsid w:val="00BD7137"/>
    <w:rsid w:val="00BE036B"/>
    <w:rsid w:val="00BE04DC"/>
    <w:rsid w:val="00BE2349"/>
    <w:rsid w:val="00BE3AC6"/>
    <w:rsid w:val="00BE3F6A"/>
    <w:rsid w:val="00BE50DA"/>
    <w:rsid w:val="00BE519D"/>
    <w:rsid w:val="00BE55E8"/>
    <w:rsid w:val="00BE5A34"/>
    <w:rsid w:val="00BE6AE6"/>
    <w:rsid w:val="00BE7AFC"/>
    <w:rsid w:val="00BE7FD3"/>
    <w:rsid w:val="00BF1A59"/>
    <w:rsid w:val="00BF3704"/>
    <w:rsid w:val="00BF3A69"/>
    <w:rsid w:val="00BF4370"/>
    <w:rsid w:val="00BF4BB9"/>
    <w:rsid w:val="00BF576E"/>
    <w:rsid w:val="00BF5ADE"/>
    <w:rsid w:val="00BF6107"/>
    <w:rsid w:val="00BF7A99"/>
    <w:rsid w:val="00C00743"/>
    <w:rsid w:val="00C0082C"/>
    <w:rsid w:val="00C029CA"/>
    <w:rsid w:val="00C02CED"/>
    <w:rsid w:val="00C02E23"/>
    <w:rsid w:val="00C03BBA"/>
    <w:rsid w:val="00C04877"/>
    <w:rsid w:val="00C04BB3"/>
    <w:rsid w:val="00C05F89"/>
    <w:rsid w:val="00C0725B"/>
    <w:rsid w:val="00C07C9D"/>
    <w:rsid w:val="00C13FA8"/>
    <w:rsid w:val="00C15194"/>
    <w:rsid w:val="00C20AA1"/>
    <w:rsid w:val="00C21DF5"/>
    <w:rsid w:val="00C2252A"/>
    <w:rsid w:val="00C22E90"/>
    <w:rsid w:val="00C2489F"/>
    <w:rsid w:val="00C2516C"/>
    <w:rsid w:val="00C2518D"/>
    <w:rsid w:val="00C25260"/>
    <w:rsid w:val="00C25322"/>
    <w:rsid w:val="00C27D95"/>
    <w:rsid w:val="00C300D4"/>
    <w:rsid w:val="00C31AD3"/>
    <w:rsid w:val="00C31BAB"/>
    <w:rsid w:val="00C32230"/>
    <w:rsid w:val="00C330D3"/>
    <w:rsid w:val="00C33111"/>
    <w:rsid w:val="00C356A5"/>
    <w:rsid w:val="00C369C1"/>
    <w:rsid w:val="00C36E72"/>
    <w:rsid w:val="00C408B8"/>
    <w:rsid w:val="00C40FA3"/>
    <w:rsid w:val="00C42A95"/>
    <w:rsid w:val="00C43664"/>
    <w:rsid w:val="00C442EF"/>
    <w:rsid w:val="00C44AD1"/>
    <w:rsid w:val="00C46660"/>
    <w:rsid w:val="00C47DEC"/>
    <w:rsid w:val="00C51110"/>
    <w:rsid w:val="00C527DF"/>
    <w:rsid w:val="00C5351B"/>
    <w:rsid w:val="00C53747"/>
    <w:rsid w:val="00C545C3"/>
    <w:rsid w:val="00C5495D"/>
    <w:rsid w:val="00C57104"/>
    <w:rsid w:val="00C60ADA"/>
    <w:rsid w:val="00C612A2"/>
    <w:rsid w:val="00C6236D"/>
    <w:rsid w:val="00C6246C"/>
    <w:rsid w:val="00C6278C"/>
    <w:rsid w:val="00C63229"/>
    <w:rsid w:val="00C6361C"/>
    <w:rsid w:val="00C6375B"/>
    <w:rsid w:val="00C64AFC"/>
    <w:rsid w:val="00C655B0"/>
    <w:rsid w:val="00C66961"/>
    <w:rsid w:val="00C66B0F"/>
    <w:rsid w:val="00C67C56"/>
    <w:rsid w:val="00C71001"/>
    <w:rsid w:val="00C71250"/>
    <w:rsid w:val="00C72219"/>
    <w:rsid w:val="00C74239"/>
    <w:rsid w:val="00C75224"/>
    <w:rsid w:val="00C754FA"/>
    <w:rsid w:val="00C75C94"/>
    <w:rsid w:val="00C75DF2"/>
    <w:rsid w:val="00C76D0A"/>
    <w:rsid w:val="00C7783E"/>
    <w:rsid w:val="00C813D5"/>
    <w:rsid w:val="00C81B8E"/>
    <w:rsid w:val="00C82AB8"/>
    <w:rsid w:val="00C8324B"/>
    <w:rsid w:val="00C84636"/>
    <w:rsid w:val="00C860AD"/>
    <w:rsid w:val="00C87D6B"/>
    <w:rsid w:val="00C909A9"/>
    <w:rsid w:val="00C91317"/>
    <w:rsid w:val="00C921AD"/>
    <w:rsid w:val="00C93B9E"/>
    <w:rsid w:val="00C94403"/>
    <w:rsid w:val="00C94E9D"/>
    <w:rsid w:val="00C953C5"/>
    <w:rsid w:val="00C95931"/>
    <w:rsid w:val="00C97965"/>
    <w:rsid w:val="00CA085A"/>
    <w:rsid w:val="00CA11AC"/>
    <w:rsid w:val="00CA3148"/>
    <w:rsid w:val="00CA3970"/>
    <w:rsid w:val="00CA4830"/>
    <w:rsid w:val="00CA4D3C"/>
    <w:rsid w:val="00CA626F"/>
    <w:rsid w:val="00CB111D"/>
    <w:rsid w:val="00CB128F"/>
    <w:rsid w:val="00CB38C1"/>
    <w:rsid w:val="00CB4433"/>
    <w:rsid w:val="00CB4DBC"/>
    <w:rsid w:val="00CB4F78"/>
    <w:rsid w:val="00CB5150"/>
    <w:rsid w:val="00CB5181"/>
    <w:rsid w:val="00CB7110"/>
    <w:rsid w:val="00CB78EE"/>
    <w:rsid w:val="00CB7EE0"/>
    <w:rsid w:val="00CC2C96"/>
    <w:rsid w:val="00CC2FBE"/>
    <w:rsid w:val="00CC3DAC"/>
    <w:rsid w:val="00CC400F"/>
    <w:rsid w:val="00CC5087"/>
    <w:rsid w:val="00CC59EF"/>
    <w:rsid w:val="00CD0F0B"/>
    <w:rsid w:val="00CD10C6"/>
    <w:rsid w:val="00CD1B2F"/>
    <w:rsid w:val="00CD4101"/>
    <w:rsid w:val="00CD49C8"/>
    <w:rsid w:val="00CD4A1C"/>
    <w:rsid w:val="00CD6482"/>
    <w:rsid w:val="00CE0597"/>
    <w:rsid w:val="00CE14E8"/>
    <w:rsid w:val="00CE185F"/>
    <w:rsid w:val="00CE2375"/>
    <w:rsid w:val="00CE3B60"/>
    <w:rsid w:val="00CE466B"/>
    <w:rsid w:val="00CE520D"/>
    <w:rsid w:val="00CE5A6C"/>
    <w:rsid w:val="00CE5CDB"/>
    <w:rsid w:val="00CE6A09"/>
    <w:rsid w:val="00CE6B6F"/>
    <w:rsid w:val="00CE71EE"/>
    <w:rsid w:val="00CE7BA7"/>
    <w:rsid w:val="00CF0C9D"/>
    <w:rsid w:val="00CF16A5"/>
    <w:rsid w:val="00CF255C"/>
    <w:rsid w:val="00CF3817"/>
    <w:rsid w:val="00CF384D"/>
    <w:rsid w:val="00CF643B"/>
    <w:rsid w:val="00CF655D"/>
    <w:rsid w:val="00D002C9"/>
    <w:rsid w:val="00D0057D"/>
    <w:rsid w:val="00D007B1"/>
    <w:rsid w:val="00D00E74"/>
    <w:rsid w:val="00D01336"/>
    <w:rsid w:val="00D04A68"/>
    <w:rsid w:val="00D05A62"/>
    <w:rsid w:val="00D07A65"/>
    <w:rsid w:val="00D103E3"/>
    <w:rsid w:val="00D108CC"/>
    <w:rsid w:val="00D12774"/>
    <w:rsid w:val="00D12801"/>
    <w:rsid w:val="00D12815"/>
    <w:rsid w:val="00D1589D"/>
    <w:rsid w:val="00D168F5"/>
    <w:rsid w:val="00D171C7"/>
    <w:rsid w:val="00D174E6"/>
    <w:rsid w:val="00D2019E"/>
    <w:rsid w:val="00D2052F"/>
    <w:rsid w:val="00D229C8"/>
    <w:rsid w:val="00D24E99"/>
    <w:rsid w:val="00D25EF1"/>
    <w:rsid w:val="00D26AE6"/>
    <w:rsid w:val="00D272F1"/>
    <w:rsid w:val="00D27FDA"/>
    <w:rsid w:val="00D32EF1"/>
    <w:rsid w:val="00D337C5"/>
    <w:rsid w:val="00D3392F"/>
    <w:rsid w:val="00D33B8D"/>
    <w:rsid w:val="00D35538"/>
    <w:rsid w:val="00D373B1"/>
    <w:rsid w:val="00D408F0"/>
    <w:rsid w:val="00D4174E"/>
    <w:rsid w:val="00D41E9D"/>
    <w:rsid w:val="00D41F5D"/>
    <w:rsid w:val="00D43560"/>
    <w:rsid w:val="00D435BB"/>
    <w:rsid w:val="00D44125"/>
    <w:rsid w:val="00D517F8"/>
    <w:rsid w:val="00D52056"/>
    <w:rsid w:val="00D5239D"/>
    <w:rsid w:val="00D52ACB"/>
    <w:rsid w:val="00D55DDF"/>
    <w:rsid w:val="00D56CE1"/>
    <w:rsid w:val="00D61F74"/>
    <w:rsid w:val="00D63F5F"/>
    <w:rsid w:val="00D64415"/>
    <w:rsid w:val="00D652D5"/>
    <w:rsid w:val="00D6753C"/>
    <w:rsid w:val="00D676A3"/>
    <w:rsid w:val="00D71CB9"/>
    <w:rsid w:val="00D73EE0"/>
    <w:rsid w:val="00D74484"/>
    <w:rsid w:val="00D74746"/>
    <w:rsid w:val="00D804A9"/>
    <w:rsid w:val="00D81AB2"/>
    <w:rsid w:val="00D84071"/>
    <w:rsid w:val="00D851D8"/>
    <w:rsid w:val="00D86273"/>
    <w:rsid w:val="00D8654B"/>
    <w:rsid w:val="00D90EC9"/>
    <w:rsid w:val="00D92793"/>
    <w:rsid w:val="00D92A51"/>
    <w:rsid w:val="00D92F85"/>
    <w:rsid w:val="00D93369"/>
    <w:rsid w:val="00D93950"/>
    <w:rsid w:val="00D944B6"/>
    <w:rsid w:val="00D97E1A"/>
    <w:rsid w:val="00D97F10"/>
    <w:rsid w:val="00DA1139"/>
    <w:rsid w:val="00DA1ABB"/>
    <w:rsid w:val="00DA2AE2"/>
    <w:rsid w:val="00DA420B"/>
    <w:rsid w:val="00DA6646"/>
    <w:rsid w:val="00DA6E43"/>
    <w:rsid w:val="00DA79BE"/>
    <w:rsid w:val="00DB02D7"/>
    <w:rsid w:val="00DB0CFA"/>
    <w:rsid w:val="00DB366E"/>
    <w:rsid w:val="00DB369A"/>
    <w:rsid w:val="00DB4412"/>
    <w:rsid w:val="00DB5727"/>
    <w:rsid w:val="00DB621A"/>
    <w:rsid w:val="00DB6C77"/>
    <w:rsid w:val="00DB7AE1"/>
    <w:rsid w:val="00DC0EE4"/>
    <w:rsid w:val="00DC1A2F"/>
    <w:rsid w:val="00DC3FEC"/>
    <w:rsid w:val="00DC64E7"/>
    <w:rsid w:val="00DC6A38"/>
    <w:rsid w:val="00DC6ABF"/>
    <w:rsid w:val="00DC7116"/>
    <w:rsid w:val="00DC7154"/>
    <w:rsid w:val="00DC7273"/>
    <w:rsid w:val="00DD12A1"/>
    <w:rsid w:val="00DD3C77"/>
    <w:rsid w:val="00DD59C2"/>
    <w:rsid w:val="00DE12DA"/>
    <w:rsid w:val="00DE1C97"/>
    <w:rsid w:val="00DE2599"/>
    <w:rsid w:val="00DE280D"/>
    <w:rsid w:val="00DE2DA8"/>
    <w:rsid w:val="00DE338E"/>
    <w:rsid w:val="00DE35B1"/>
    <w:rsid w:val="00DE450F"/>
    <w:rsid w:val="00DE465E"/>
    <w:rsid w:val="00DE4721"/>
    <w:rsid w:val="00DE485A"/>
    <w:rsid w:val="00DE4DC0"/>
    <w:rsid w:val="00DF25F7"/>
    <w:rsid w:val="00DF27A0"/>
    <w:rsid w:val="00DF5D46"/>
    <w:rsid w:val="00DF6E3B"/>
    <w:rsid w:val="00DF7CA1"/>
    <w:rsid w:val="00E01E8B"/>
    <w:rsid w:val="00E03ADC"/>
    <w:rsid w:val="00E04DB4"/>
    <w:rsid w:val="00E050BD"/>
    <w:rsid w:val="00E0571D"/>
    <w:rsid w:val="00E05A82"/>
    <w:rsid w:val="00E071D2"/>
    <w:rsid w:val="00E07885"/>
    <w:rsid w:val="00E10762"/>
    <w:rsid w:val="00E1168C"/>
    <w:rsid w:val="00E121F7"/>
    <w:rsid w:val="00E12A98"/>
    <w:rsid w:val="00E12CA9"/>
    <w:rsid w:val="00E13DF1"/>
    <w:rsid w:val="00E15ECE"/>
    <w:rsid w:val="00E16513"/>
    <w:rsid w:val="00E1693C"/>
    <w:rsid w:val="00E16A14"/>
    <w:rsid w:val="00E16BA2"/>
    <w:rsid w:val="00E1774F"/>
    <w:rsid w:val="00E17D87"/>
    <w:rsid w:val="00E206C2"/>
    <w:rsid w:val="00E212E1"/>
    <w:rsid w:val="00E228BE"/>
    <w:rsid w:val="00E25E2A"/>
    <w:rsid w:val="00E264AA"/>
    <w:rsid w:val="00E3091A"/>
    <w:rsid w:val="00E30A6E"/>
    <w:rsid w:val="00E337B6"/>
    <w:rsid w:val="00E3730F"/>
    <w:rsid w:val="00E379CA"/>
    <w:rsid w:val="00E37E27"/>
    <w:rsid w:val="00E41134"/>
    <w:rsid w:val="00E41BF1"/>
    <w:rsid w:val="00E41C4F"/>
    <w:rsid w:val="00E42D4A"/>
    <w:rsid w:val="00E43D6A"/>
    <w:rsid w:val="00E43E5D"/>
    <w:rsid w:val="00E457EF"/>
    <w:rsid w:val="00E45A09"/>
    <w:rsid w:val="00E45B79"/>
    <w:rsid w:val="00E46E4D"/>
    <w:rsid w:val="00E47340"/>
    <w:rsid w:val="00E473AE"/>
    <w:rsid w:val="00E47585"/>
    <w:rsid w:val="00E475BB"/>
    <w:rsid w:val="00E50173"/>
    <w:rsid w:val="00E5116B"/>
    <w:rsid w:val="00E520C9"/>
    <w:rsid w:val="00E52D87"/>
    <w:rsid w:val="00E55EDE"/>
    <w:rsid w:val="00E55FD5"/>
    <w:rsid w:val="00E5673E"/>
    <w:rsid w:val="00E60BF5"/>
    <w:rsid w:val="00E61A1D"/>
    <w:rsid w:val="00E63898"/>
    <w:rsid w:val="00E64FF9"/>
    <w:rsid w:val="00E661EA"/>
    <w:rsid w:val="00E670FA"/>
    <w:rsid w:val="00E67658"/>
    <w:rsid w:val="00E676E8"/>
    <w:rsid w:val="00E67CA9"/>
    <w:rsid w:val="00E70888"/>
    <w:rsid w:val="00E725C2"/>
    <w:rsid w:val="00E72660"/>
    <w:rsid w:val="00E72DB6"/>
    <w:rsid w:val="00E825F4"/>
    <w:rsid w:val="00E82E65"/>
    <w:rsid w:val="00E84AD9"/>
    <w:rsid w:val="00E85442"/>
    <w:rsid w:val="00E85F97"/>
    <w:rsid w:val="00E86D08"/>
    <w:rsid w:val="00E90253"/>
    <w:rsid w:val="00E9086D"/>
    <w:rsid w:val="00E91032"/>
    <w:rsid w:val="00E91A6A"/>
    <w:rsid w:val="00E91B5E"/>
    <w:rsid w:val="00E92017"/>
    <w:rsid w:val="00E926FE"/>
    <w:rsid w:val="00E94004"/>
    <w:rsid w:val="00E95A4F"/>
    <w:rsid w:val="00E970DC"/>
    <w:rsid w:val="00E97223"/>
    <w:rsid w:val="00E97369"/>
    <w:rsid w:val="00EA257A"/>
    <w:rsid w:val="00EA3367"/>
    <w:rsid w:val="00EA40CD"/>
    <w:rsid w:val="00EA459C"/>
    <w:rsid w:val="00EA5075"/>
    <w:rsid w:val="00EA52EB"/>
    <w:rsid w:val="00EA5FB1"/>
    <w:rsid w:val="00EA6551"/>
    <w:rsid w:val="00EB3DE1"/>
    <w:rsid w:val="00EB4050"/>
    <w:rsid w:val="00EB4B73"/>
    <w:rsid w:val="00EB526C"/>
    <w:rsid w:val="00EB5931"/>
    <w:rsid w:val="00EB5ECE"/>
    <w:rsid w:val="00EB66B3"/>
    <w:rsid w:val="00EB7D76"/>
    <w:rsid w:val="00EC176B"/>
    <w:rsid w:val="00EC1BAE"/>
    <w:rsid w:val="00EC1EF2"/>
    <w:rsid w:val="00EC30F1"/>
    <w:rsid w:val="00EC350F"/>
    <w:rsid w:val="00EC43E5"/>
    <w:rsid w:val="00EC5BC4"/>
    <w:rsid w:val="00EC64F9"/>
    <w:rsid w:val="00ED03FD"/>
    <w:rsid w:val="00ED07D4"/>
    <w:rsid w:val="00ED4359"/>
    <w:rsid w:val="00ED5397"/>
    <w:rsid w:val="00ED706D"/>
    <w:rsid w:val="00ED70FA"/>
    <w:rsid w:val="00EE06E5"/>
    <w:rsid w:val="00EE159D"/>
    <w:rsid w:val="00EE1977"/>
    <w:rsid w:val="00EE1DE7"/>
    <w:rsid w:val="00EE2124"/>
    <w:rsid w:val="00EE25BA"/>
    <w:rsid w:val="00EE293B"/>
    <w:rsid w:val="00EE453C"/>
    <w:rsid w:val="00EE4847"/>
    <w:rsid w:val="00EE4910"/>
    <w:rsid w:val="00EE5072"/>
    <w:rsid w:val="00EE5C66"/>
    <w:rsid w:val="00EE62B9"/>
    <w:rsid w:val="00EF14D6"/>
    <w:rsid w:val="00EF17C5"/>
    <w:rsid w:val="00EF491C"/>
    <w:rsid w:val="00EF4C7B"/>
    <w:rsid w:val="00EF51D3"/>
    <w:rsid w:val="00EF5C15"/>
    <w:rsid w:val="00EF669A"/>
    <w:rsid w:val="00EF6C55"/>
    <w:rsid w:val="00EF78B6"/>
    <w:rsid w:val="00F0159C"/>
    <w:rsid w:val="00F01D65"/>
    <w:rsid w:val="00F02A0F"/>
    <w:rsid w:val="00F042BF"/>
    <w:rsid w:val="00F066A2"/>
    <w:rsid w:val="00F06FCE"/>
    <w:rsid w:val="00F071AB"/>
    <w:rsid w:val="00F077EE"/>
    <w:rsid w:val="00F10628"/>
    <w:rsid w:val="00F10782"/>
    <w:rsid w:val="00F12D39"/>
    <w:rsid w:val="00F13E3E"/>
    <w:rsid w:val="00F143FC"/>
    <w:rsid w:val="00F17E52"/>
    <w:rsid w:val="00F20353"/>
    <w:rsid w:val="00F203AB"/>
    <w:rsid w:val="00F205E1"/>
    <w:rsid w:val="00F209E9"/>
    <w:rsid w:val="00F217CA"/>
    <w:rsid w:val="00F21A03"/>
    <w:rsid w:val="00F22C7F"/>
    <w:rsid w:val="00F230AB"/>
    <w:rsid w:val="00F235AD"/>
    <w:rsid w:val="00F2504D"/>
    <w:rsid w:val="00F25DA0"/>
    <w:rsid w:val="00F26FC8"/>
    <w:rsid w:val="00F300FF"/>
    <w:rsid w:val="00F30845"/>
    <w:rsid w:val="00F320BC"/>
    <w:rsid w:val="00F321B0"/>
    <w:rsid w:val="00F32CA9"/>
    <w:rsid w:val="00F336D3"/>
    <w:rsid w:val="00F33C0E"/>
    <w:rsid w:val="00F35A76"/>
    <w:rsid w:val="00F35DEC"/>
    <w:rsid w:val="00F364D7"/>
    <w:rsid w:val="00F4332B"/>
    <w:rsid w:val="00F44370"/>
    <w:rsid w:val="00F45EAA"/>
    <w:rsid w:val="00F46FD8"/>
    <w:rsid w:val="00F478DB"/>
    <w:rsid w:val="00F50C64"/>
    <w:rsid w:val="00F51299"/>
    <w:rsid w:val="00F521DC"/>
    <w:rsid w:val="00F52CE0"/>
    <w:rsid w:val="00F52E2E"/>
    <w:rsid w:val="00F53FFE"/>
    <w:rsid w:val="00F54651"/>
    <w:rsid w:val="00F566C9"/>
    <w:rsid w:val="00F57BEF"/>
    <w:rsid w:val="00F57F1C"/>
    <w:rsid w:val="00F60EA7"/>
    <w:rsid w:val="00F61A63"/>
    <w:rsid w:val="00F61EF6"/>
    <w:rsid w:val="00F62A73"/>
    <w:rsid w:val="00F64CDC"/>
    <w:rsid w:val="00F6798F"/>
    <w:rsid w:val="00F71170"/>
    <w:rsid w:val="00F71326"/>
    <w:rsid w:val="00F7188B"/>
    <w:rsid w:val="00F71EF1"/>
    <w:rsid w:val="00F72428"/>
    <w:rsid w:val="00F72E84"/>
    <w:rsid w:val="00F73D2F"/>
    <w:rsid w:val="00F747B8"/>
    <w:rsid w:val="00F74BFA"/>
    <w:rsid w:val="00F768B6"/>
    <w:rsid w:val="00F77200"/>
    <w:rsid w:val="00F77951"/>
    <w:rsid w:val="00F81521"/>
    <w:rsid w:val="00F81A6C"/>
    <w:rsid w:val="00F8445B"/>
    <w:rsid w:val="00F84461"/>
    <w:rsid w:val="00F90C9A"/>
    <w:rsid w:val="00F94610"/>
    <w:rsid w:val="00F9469C"/>
    <w:rsid w:val="00F946B6"/>
    <w:rsid w:val="00F94990"/>
    <w:rsid w:val="00F9535D"/>
    <w:rsid w:val="00F96193"/>
    <w:rsid w:val="00FA21AA"/>
    <w:rsid w:val="00FA3B56"/>
    <w:rsid w:val="00FA5C80"/>
    <w:rsid w:val="00FA5D2F"/>
    <w:rsid w:val="00FA5E43"/>
    <w:rsid w:val="00FA6431"/>
    <w:rsid w:val="00FB004E"/>
    <w:rsid w:val="00FB1014"/>
    <w:rsid w:val="00FB179C"/>
    <w:rsid w:val="00FB19CE"/>
    <w:rsid w:val="00FB21D5"/>
    <w:rsid w:val="00FB270E"/>
    <w:rsid w:val="00FB2787"/>
    <w:rsid w:val="00FB391E"/>
    <w:rsid w:val="00FB3A39"/>
    <w:rsid w:val="00FB42AD"/>
    <w:rsid w:val="00FB4970"/>
    <w:rsid w:val="00FB4B94"/>
    <w:rsid w:val="00FB5B11"/>
    <w:rsid w:val="00FB6659"/>
    <w:rsid w:val="00FB6B89"/>
    <w:rsid w:val="00FB71CB"/>
    <w:rsid w:val="00FB7245"/>
    <w:rsid w:val="00FC0D1C"/>
    <w:rsid w:val="00FC1113"/>
    <w:rsid w:val="00FC2E37"/>
    <w:rsid w:val="00FC44BA"/>
    <w:rsid w:val="00FC4924"/>
    <w:rsid w:val="00FC7EB7"/>
    <w:rsid w:val="00FD11B4"/>
    <w:rsid w:val="00FD2D9F"/>
    <w:rsid w:val="00FD4A1A"/>
    <w:rsid w:val="00FD6989"/>
    <w:rsid w:val="00FE0BEF"/>
    <w:rsid w:val="00FE1000"/>
    <w:rsid w:val="00FE1F01"/>
    <w:rsid w:val="00FE2783"/>
    <w:rsid w:val="00FE371A"/>
    <w:rsid w:val="00FE4FCC"/>
    <w:rsid w:val="00FE6313"/>
    <w:rsid w:val="00FE671F"/>
    <w:rsid w:val="00FE7306"/>
    <w:rsid w:val="00FE7BFC"/>
    <w:rsid w:val="00FF0395"/>
    <w:rsid w:val="00FF16CD"/>
    <w:rsid w:val="00FF2F5D"/>
    <w:rsid w:val="00FF42FC"/>
    <w:rsid w:val="00FF4914"/>
    <w:rsid w:val="00FF5021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o:colormru v:ext="edit" colors="#00459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EF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uiPriority w:val="9"/>
    <w:qFormat/>
    <w:rsid w:val="00BA0EF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qFormat/>
    <w:rsid w:val="00BA0EFF"/>
    <w:pPr>
      <w:keepNext/>
      <w:spacing w:before="360" w:after="240"/>
      <w:outlineLvl w:val="1"/>
    </w:pPr>
    <w:rPr>
      <w:b/>
      <w:bCs/>
      <w:iCs/>
      <w:sz w:val="28"/>
      <w:lang w:eastAsia="cs-CZ"/>
    </w:rPr>
  </w:style>
  <w:style w:type="paragraph" w:styleId="Nadpis3">
    <w:name w:val="heading 3"/>
    <w:basedOn w:val="Nadpis2"/>
    <w:next w:val="Normln"/>
    <w:link w:val="Nadpis3Char"/>
    <w:uiPriority w:val="9"/>
    <w:qFormat/>
    <w:rsid w:val="0083115D"/>
    <w:pPr>
      <w:keepLines/>
      <w:spacing w:before="240" w:after="60"/>
      <w:ind w:left="1134" w:hanging="850"/>
      <w:jc w:val="both"/>
      <w:outlineLvl w:val="2"/>
    </w:pPr>
    <w:rPr>
      <w:rFonts w:ascii="Arial" w:hAnsi="Arial" w:cs="Arial"/>
      <w:sz w:val="26"/>
      <w:szCs w:val="26"/>
      <w:lang w:eastAsia="en-US"/>
    </w:rPr>
  </w:style>
  <w:style w:type="paragraph" w:styleId="Nadpis4">
    <w:name w:val="heading 4"/>
    <w:basedOn w:val="Normln"/>
    <w:next w:val="Normln"/>
    <w:uiPriority w:val="9"/>
    <w:qFormat/>
    <w:rsid w:val="00BA0EFF"/>
    <w:pPr>
      <w:keepNext/>
      <w:outlineLvl w:val="3"/>
    </w:pPr>
    <w:rPr>
      <w:sz w:val="28"/>
      <w:lang w:eastAsia="cs-CZ"/>
    </w:rPr>
  </w:style>
  <w:style w:type="paragraph" w:styleId="Nadpis5">
    <w:name w:val="heading 5"/>
    <w:basedOn w:val="Normln"/>
    <w:next w:val="Normln"/>
    <w:uiPriority w:val="9"/>
    <w:qFormat/>
    <w:rsid w:val="00BA0EFF"/>
    <w:pPr>
      <w:numPr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A0EFF"/>
    <w:pPr>
      <w:keepNext/>
      <w:outlineLvl w:val="5"/>
    </w:pPr>
    <w:rPr>
      <w:b/>
      <w:bCs/>
      <w:sz w:val="32"/>
      <w:lang w:eastAsia="cs-CZ"/>
    </w:rPr>
  </w:style>
  <w:style w:type="paragraph" w:styleId="Nadpis7">
    <w:name w:val="heading 7"/>
    <w:basedOn w:val="Normln"/>
    <w:next w:val="Normln"/>
    <w:qFormat/>
    <w:rsid w:val="00BA0EFF"/>
    <w:p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BA0EFF"/>
    <w:p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qFormat/>
    <w:rsid w:val="00BA0EFF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ravodaj1">
    <w:name w:val="Zpravodaj 1"/>
    <w:basedOn w:val="Zkladntext2"/>
    <w:next w:val="Zkladntext2"/>
    <w:rsid w:val="00BA0EFF"/>
    <w:pPr>
      <w:spacing w:after="0" w:line="240" w:lineRule="auto"/>
    </w:pPr>
    <w:rPr>
      <w:rFonts w:ascii="Palatino Linotype" w:hAnsi="Palatino Linotype" w:cs="Arial"/>
      <w:b/>
      <w:bCs/>
      <w:color w:val="000080"/>
      <w:sz w:val="40"/>
    </w:rPr>
  </w:style>
  <w:style w:type="paragraph" w:styleId="Zkladntext2">
    <w:name w:val="Body Text 2"/>
    <w:basedOn w:val="Normln"/>
    <w:semiHidden/>
    <w:rsid w:val="00BA0EFF"/>
    <w:pPr>
      <w:spacing w:after="120" w:line="480" w:lineRule="auto"/>
    </w:pPr>
  </w:style>
  <w:style w:type="paragraph" w:customStyle="1" w:styleId="Zpravodaj2">
    <w:name w:val="Zpravodaj2"/>
    <w:basedOn w:val="Nadpis1"/>
    <w:next w:val="Zkladntext"/>
    <w:rsid w:val="00BA0EFF"/>
    <w:pPr>
      <w:spacing w:before="0" w:after="0"/>
      <w:jc w:val="both"/>
    </w:pPr>
    <w:rPr>
      <w:rFonts w:ascii="Palatino Linotype" w:hAnsi="Palatino Linotype" w:cs="Times New Roman"/>
      <w:kern w:val="0"/>
      <w:sz w:val="28"/>
      <w:szCs w:val="24"/>
    </w:rPr>
  </w:style>
  <w:style w:type="paragraph" w:styleId="Zkladntext">
    <w:name w:val="Body Text"/>
    <w:basedOn w:val="Normln"/>
    <w:semiHidden/>
    <w:rsid w:val="00BA0EFF"/>
    <w:pPr>
      <w:spacing w:after="120"/>
    </w:pPr>
  </w:style>
  <w:style w:type="paragraph" w:customStyle="1" w:styleId="Zpravodaj3">
    <w:name w:val="Zpravodaj3"/>
    <w:basedOn w:val="Nadpis5"/>
    <w:next w:val="Zkladntext"/>
    <w:rsid w:val="00BA0EFF"/>
    <w:pPr>
      <w:keepNext/>
      <w:spacing w:before="0" w:after="0"/>
    </w:pPr>
    <w:rPr>
      <w:rFonts w:ascii="Palatino Linotype" w:hAnsi="Palatino Linotype"/>
      <w:sz w:val="28"/>
      <w:szCs w:val="24"/>
      <w:u w:val="single"/>
    </w:rPr>
  </w:style>
  <w:style w:type="paragraph" w:customStyle="1" w:styleId="KZ-nadpis">
    <w:name w:val="KZ-nadpis"/>
    <w:basedOn w:val="Normln"/>
    <w:next w:val="Normln"/>
    <w:rsid w:val="00BA0EFF"/>
    <w:pPr>
      <w:numPr>
        <w:numId w:val="3"/>
      </w:numPr>
      <w:spacing w:after="120"/>
    </w:pPr>
    <w:rPr>
      <w:b/>
      <w:bCs/>
      <w:sz w:val="28"/>
    </w:rPr>
  </w:style>
  <w:style w:type="paragraph" w:customStyle="1" w:styleId="Pressrelease">
    <w:name w:val="Press release"/>
    <w:basedOn w:val="Normlnweb"/>
    <w:rsid w:val="00BA0EFF"/>
    <w:pPr>
      <w:spacing w:after="120"/>
      <w:ind w:firstLine="720"/>
    </w:pPr>
    <w:rPr>
      <w:b/>
      <w:bCs/>
      <w:i/>
      <w:iCs/>
      <w:lang w:val="en-US"/>
    </w:rPr>
  </w:style>
  <w:style w:type="paragraph" w:styleId="Normlnweb">
    <w:name w:val="Normal (Web)"/>
    <w:basedOn w:val="Normln"/>
    <w:uiPriority w:val="99"/>
    <w:rsid w:val="00BA0EFF"/>
  </w:style>
  <w:style w:type="paragraph" w:styleId="Zhlav">
    <w:name w:val="header"/>
    <w:basedOn w:val="Normln"/>
    <w:semiHidden/>
    <w:rsid w:val="00BA0E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A0E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BA0EFF"/>
    <w:rPr>
      <w:color w:val="0000FF"/>
      <w:u w:val="single"/>
    </w:rPr>
  </w:style>
  <w:style w:type="character" w:styleId="slostrnky">
    <w:name w:val="page number"/>
    <w:basedOn w:val="Standardnpsmoodstavce"/>
    <w:semiHidden/>
    <w:rsid w:val="00BA0EFF"/>
  </w:style>
  <w:style w:type="paragraph" w:customStyle="1" w:styleId="Fousteka">
    <w:name w:val="Fous tečka"/>
    <w:basedOn w:val="Normln"/>
    <w:rsid w:val="00BA0EFF"/>
    <w:pPr>
      <w:numPr>
        <w:numId w:val="4"/>
      </w:numPr>
      <w:tabs>
        <w:tab w:val="clear" w:pos="721"/>
        <w:tab w:val="num" w:pos="180"/>
      </w:tabs>
      <w:spacing w:after="60"/>
      <w:ind w:left="180" w:hanging="180"/>
      <w:jc w:val="both"/>
    </w:pPr>
    <w:rPr>
      <w:sz w:val="22"/>
      <w:lang w:eastAsia="cs-CZ"/>
    </w:rPr>
  </w:style>
  <w:style w:type="paragraph" w:customStyle="1" w:styleId="Fousnadpis">
    <w:name w:val="Fous nadpis"/>
    <w:basedOn w:val="Normln"/>
    <w:rsid w:val="00BA0EFF"/>
    <w:pPr>
      <w:numPr>
        <w:numId w:val="5"/>
      </w:numPr>
      <w:tabs>
        <w:tab w:val="clear" w:pos="720"/>
        <w:tab w:val="num" w:pos="360"/>
      </w:tabs>
      <w:spacing w:before="120" w:after="120"/>
      <w:ind w:left="360" w:hanging="360"/>
      <w:jc w:val="both"/>
    </w:pPr>
    <w:rPr>
      <w:b/>
      <w:bCs/>
      <w:sz w:val="22"/>
      <w:lang w:eastAsia="cs-CZ"/>
    </w:rPr>
  </w:style>
  <w:style w:type="paragraph" w:customStyle="1" w:styleId="Fous">
    <w:name w:val="Fous"/>
    <w:basedOn w:val="Normln"/>
    <w:rsid w:val="00BA0EFF"/>
    <w:pPr>
      <w:numPr>
        <w:numId w:val="6"/>
      </w:numPr>
      <w:tabs>
        <w:tab w:val="clear" w:pos="722"/>
        <w:tab w:val="num" w:pos="360"/>
      </w:tabs>
      <w:ind w:left="360" w:hanging="360"/>
      <w:jc w:val="both"/>
    </w:pPr>
    <w:rPr>
      <w:sz w:val="22"/>
      <w:lang w:eastAsia="cs-CZ"/>
    </w:rPr>
  </w:style>
  <w:style w:type="paragraph" w:customStyle="1" w:styleId="lenn1">
    <w:name w:val="členění 1"/>
    <w:basedOn w:val="Normln"/>
    <w:rsid w:val="00BA0EFF"/>
    <w:pPr>
      <w:numPr>
        <w:numId w:val="7"/>
      </w:numPr>
    </w:pPr>
    <w:rPr>
      <w:b/>
      <w:lang w:eastAsia="cs-CZ"/>
    </w:rPr>
  </w:style>
  <w:style w:type="paragraph" w:customStyle="1" w:styleId="NadpisKZ">
    <w:name w:val="Nadpis KZ"/>
    <w:basedOn w:val="Zkladntext2"/>
    <w:rsid w:val="00BA0EFF"/>
    <w:pPr>
      <w:spacing w:before="120" w:after="360" w:line="240" w:lineRule="auto"/>
    </w:pPr>
    <w:rPr>
      <w:b/>
      <w:bCs/>
      <w:sz w:val="32"/>
      <w:lang w:eastAsia="cs-CZ"/>
    </w:rPr>
  </w:style>
  <w:style w:type="paragraph" w:customStyle="1" w:styleId="NormlnKZ">
    <w:name w:val="Normální KZ"/>
    <w:basedOn w:val="Normln"/>
    <w:rsid w:val="00BA0EFF"/>
    <w:pPr>
      <w:spacing w:after="120"/>
      <w:ind w:firstLine="425"/>
      <w:jc w:val="both"/>
    </w:pPr>
    <w:rPr>
      <w:sz w:val="22"/>
      <w:lang w:eastAsia="cs-CZ"/>
    </w:rPr>
  </w:style>
  <w:style w:type="paragraph" w:customStyle="1" w:styleId="vod">
    <w:name w:val="Úvod"/>
    <w:basedOn w:val="Nadpisvod"/>
    <w:rsid w:val="00BA0EFF"/>
    <w:pPr>
      <w:tabs>
        <w:tab w:val="clear" w:pos="360"/>
      </w:tabs>
      <w:ind w:left="0" w:firstLine="0"/>
    </w:pPr>
  </w:style>
  <w:style w:type="paragraph" w:customStyle="1" w:styleId="Nadpisvod">
    <w:name w:val="Nadpis úvod"/>
    <w:basedOn w:val="Nadpis1"/>
    <w:rsid w:val="00BA0EFF"/>
    <w:pPr>
      <w:numPr>
        <w:numId w:val="0"/>
      </w:numPr>
      <w:tabs>
        <w:tab w:val="num" w:pos="360"/>
        <w:tab w:val="num" w:pos="787"/>
      </w:tabs>
      <w:spacing w:before="360" w:after="240"/>
      <w:ind w:left="787" w:hanging="360"/>
      <w:jc w:val="both"/>
    </w:pPr>
    <w:rPr>
      <w:rFonts w:ascii="Times New Roman" w:hAnsi="Times New Roman" w:cs="Times New Roman"/>
      <w:kern w:val="0"/>
      <w:sz w:val="28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BA0EFF"/>
    <w:rPr>
      <w:vertAlign w:val="superscript"/>
    </w:rPr>
  </w:style>
  <w:style w:type="paragraph" w:styleId="Titulek">
    <w:name w:val="caption"/>
    <w:basedOn w:val="Normln"/>
    <w:next w:val="Normln"/>
    <w:uiPriority w:val="35"/>
    <w:qFormat/>
    <w:rsid w:val="00BA0EFF"/>
    <w:pPr>
      <w:spacing w:before="120" w:after="120"/>
    </w:pPr>
    <w:rPr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A0EFF"/>
    <w:pPr>
      <w:jc w:val="center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sid w:val="00BA0EFF"/>
    <w:rPr>
      <w:sz w:val="20"/>
      <w:szCs w:val="20"/>
      <w:lang w:eastAsia="cs-CZ"/>
    </w:rPr>
  </w:style>
  <w:style w:type="paragraph" w:customStyle="1" w:styleId="Normln0">
    <w:name w:val="Norm‡ln’"/>
    <w:rsid w:val="00BA0EF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Sledovanodkaz">
    <w:name w:val="FollowedHyperlink"/>
    <w:basedOn w:val="Standardnpsmoodstavce"/>
    <w:semiHidden/>
    <w:rsid w:val="00BA0EFF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0EFF"/>
    <w:pPr>
      <w:ind w:left="720"/>
      <w:contextualSpacing/>
    </w:pPr>
  </w:style>
  <w:style w:type="character" w:customStyle="1" w:styleId="ZkladntextChar">
    <w:name w:val="Základní text Char"/>
    <w:basedOn w:val="Standardnpsmoodstavce"/>
    <w:rsid w:val="00BA0EFF"/>
    <w:rPr>
      <w:sz w:val="24"/>
      <w:szCs w:val="24"/>
      <w:lang w:eastAsia="en-US"/>
    </w:rPr>
  </w:style>
  <w:style w:type="paragraph" w:styleId="Textbubliny">
    <w:name w:val="Balloon Text"/>
    <w:basedOn w:val="Normln"/>
    <w:semiHidden/>
    <w:unhideWhenUsed/>
    <w:rsid w:val="00BA0E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A0EFF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semiHidden/>
    <w:unhideWhenUsed/>
    <w:rsid w:val="00BA0EFF"/>
    <w:rPr>
      <w:sz w:val="20"/>
      <w:szCs w:val="20"/>
    </w:rPr>
  </w:style>
  <w:style w:type="character" w:customStyle="1" w:styleId="TextvysvtlivekChar">
    <w:name w:val="Text vysvětlivek Char"/>
    <w:basedOn w:val="Standardnpsmoodstavce"/>
    <w:semiHidden/>
    <w:rsid w:val="00BA0EF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BA0EFF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BA0EFF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BA0EFF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BA0EFF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sid w:val="00BA0EFF"/>
    <w:rPr>
      <w:b/>
      <w:bCs/>
    </w:rPr>
  </w:style>
  <w:style w:type="character" w:customStyle="1" w:styleId="PedmtkomenteChar">
    <w:name w:val="Předmět komentáře Char"/>
    <w:basedOn w:val="TextkomenteChar"/>
    <w:semiHidden/>
    <w:rsid w:val="00BA0EFF"/>
    <w:rPr>
      <w:b/>
      <w:bCs/>
      <w:lang w:eastAsia="en-US"/>
    </w:rPr>
  </w:style>
  <w:style w:type="paragraph" w:styleId="Revize">
    <w:name w:val="Revision"/>
    <w:hidden/>
    <w:semiHidden/>
    <w:rsid w:val="00BA0EFF"/>
    <w:rPr>
      <w:sz w:val="24"/>
      <w:szCs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CD0F0B"/>
    <w:rPr>
      <w:sz w:val="24"/>
      <w:lang w:eastAsia="en-US"/>
    </w:rPr>
  </w:style>
  <w:style w:type="paragraph" w:customStyle="1" w:styleId="Nadpisrovn3">
    <w:name w:val="Nadpis úrovně 3"/>
    <w:basedOn w:val="NormlnKZ"/>
    <w:next w:val="NormlnKZ"/>
    <w:rsid w:val="007E0F01"/>
    <w:pPr>
      <w:keepNext/>
      <w:spacing w:before="240"/>
      <w:ind w:firstLine="0"/>
      <w:jc w:val="left"/>
    </w:pPr>
    <w:rPr>
      <w:b/>
      <w:sz w:val="26"/>
    </w:rPr>
  </w:style>
  <w:style w:type="character" w:customStyle="1" w:styleId="Nadpis3Char">
    <w:name w:val="Nadpis 3 Char"/>
    <w:basedOn w:val="Standardnpsmoodstavce"/>
    <w:link w:val="Nadpis3"/>
    <w:uiPriority w:val="9"/>
    <w:rsid w:val="0083115D"/>
    <w:rPr>
      <w:rFonts w:ascii="Arial" w:hAnsi="Arial" w:cs="Arial"/>
      <w:b/>
      <w:bCs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157385"/>
    <w:pPr>
      <w:spacing w:after="120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31367"/>
  </w:style>
  <w:style w:type="character" w:customStyle="1" w:styleId="ZpatChar">
    <w:name w:val="Zápatí Char"/>
    <w:basedOn w:val="Standardnpsmoodstavce"/>
    <w:link w:val="Zpat"/>
    <w:uiPriority w:val="99"/>
    <w:rsid w:val="00C953C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EF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uiPriority w:val="9"/>
    <w:qFormat/>
    <w:rsid w:val="00BA0EF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qFormat/>
    <w:rsid w:val="00BA0EFF"/>
    <w:pPr>
      <w:keepNext/>
      <w:spacing w:before="360" w:after="240"/>
      <w:outlineLvl w:val="1"/>
    </w:pPr>
    <w:rPr>
      <w:b/>
      <w:bCs/>
      <w:iCs/>
      <w:sz w:val="28"/>
      <w:lang w:eastAsia="cs-CZ"/>
    </w:rPr>
  </w:style>
  <w:style w:type="paragraph" w:styleId="Nadpis3">
    <w:name w:val="heading 3"/>
    <w:basedOn w:val="Nadpis2"/>
    <w:next w:val="Normln"/>
    <w:link w:val="Nadpis3Char"/>
    <w:uiPriority w:val="9"/>
    <w:qFormat/>
    <w:rsid w:val="0083115D"/>
    <w:pPr>
      <w:keepLines/>
      <w:spacing w:before="240" w:after="60"/>
      <w:ind w:left="1134" w:hanging="850"/>
      <w:jc w:val="both"/>
      <w:outlineLvl w:val="2"/>
    </w:pPr>
    <w:rPr>
      <w:rFonts w:ascii="Arial" w:hAnsi="Arial" w:cs="Arial"/>
      <w:sz w:val="26"/>
      <w:szCs w:val="26"/>
      <w:lang w:eastAsia="en-US"/>
    </w:rPr>
  </w:style>
  <w:style w:type="paragraph" w:styleId="Nadpis4">
    <w:name w:val="heading 4"/>
    <w:basedOn w:val="Normln"/>
    <w:next w:val="Normln"/>
    <w:uiPriority w:val="9"/>
    <w:qFormat/>
    <w:rsid w:val="00BA0EFF"/>
    <w:pPr>
      <w:keepNext/>
      <w:outlineLvl w:val="3"/>
    </w:pPr>
    <w:rPr>
      <w:sz w:val="28"/>
      <w:lang w:eastAsia="cs-CZ"/>
    </w:rPr>
  </w:style>
  <w:style w:type="paragraph" w:styleId="Nadpis5">
    <w:name w:val="heading 5"/>
    <w:basedOn w:val="Normln"/>
    <w:next w:val="Normln"/>
    <w:uiPriority w:val="9"/>
    <w:qFormat/>
    <w:rsid w:val="00BA0EFF"/>
    <w:pPr>
      <w:numPr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A0EFF"/>
    <w:pPr>
      <w:keepNext/>
      <w:outlineLvl w:val="5"/>
    </w:pPr>
    <w:rPr>
      <w:b/>
      <w:bCs/>
      <w:sz w:val="32"/>
      <w:lang w:eastAsia="cs-CZ"/>
    </w:rPr>
  </w:style>
  <w:style w:type="paragraph" w:styleId="Nadpis7">
    <w:name w:val="heading 7"/>
    <w:basedOn w:val="Normln"/>
    <w:next w:val="Normln"/>
    <w:qFormat/>
    <w:rsid w:val="00BA0EFF"/>
    <w:p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BA0EFF"/>
    <w:p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qFormat/>
    <w:rsid w:val="00BA0EFF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ravodaj1">
    <w:name w:val="Zpravodaj 1"/>
    <w:basedOn w:val="Zkladntext2"/>
    <w:next w:val="Zkladntext2"/>
    <w:rsid w:val="00BA0EFF"/>
    <w:pPr>
      <w:spacing w:after="0" w:line="240" w:lineRule="auto"/>
    </w:pPr>
    <w:rPr>
      <w:rFonts w:ascii="Palatino Linotype" w:hAnsi="Palatino Linotype" w:cs="Arial"/>
      <w:b/>
      <w:bCs/>
      <w:color w:val="000080"/>
      <w:sz w:val="40"/>
    </w:rPr>
  </w:style>
  <w:style w:type="paragraph" w:styleId="Zkladntext2">
    <w:name w:val="Body Text 2"/>
    <w:basedOn w:val="Normln"/>
    <w:semiHidden/>
    <w:rsid w:val="00BA0EFF"/>
    <w:pPr>
      <w:spacing w:after="120" w:line="480" w:lineRule="auto"/>
    </w:pPr>
  </w:style>
  <w:style w:type="paragraph" w:customStyle="1" w:styleId="Zpravodaj2">
    <w:name w:val="Zpravodaj2"/>
    <w:basedOn w:val="Nadpis1"/>
    <w:next w:val="Zkladntext"/>
    <w:rsid w:val="00BA0EFF"/>
    <w:pPr>
      <w:spacing w:before="0" w:after="0"/>
      <w:jc w:val="both"/>
    </w:pPr>
    <w:rPr>
      <w:rFonts w:ascii="Palatino Linotype" w:hAnsi="Palatino Linotype" w:cs="Times New Roman"/>
      <w:kern w:val="0"/>
      <w:sz w:val="28"/>
      <w:szCs w:val="24"/>
    </w:rPr>
  </w:style>
  <w:style w:type="paragraph" w:styleId="Zkladntext">
    <w:name w:val="Body Text"/>
    <w:basedOn w:val="Normln"/>
    <w:semiHidden/>
    <w:rsid w:val="00BA0EFF"/>
    <w:pPr>
      <w:spacing w:after="120"/>
    </w:pPr>
  </w:style>
  <w:style w:type="paragraph" w:customStyle="1" w:styleId="Zpravodaj3">
    <w:name w:val="Zpravodaj3"/>
    <w:basedOn w:val="Nadpis5"/>
    <w:next w:val="Zkladntext"/>
    <w:rsid w:val="00BA0EFF"/>
    <w:pPr>
      <w:keepNext/>
      <w:spacing w:before="0" w:after="0"/>
    </w:pPr>
    <w:rPr>
      <w:rFonts w:ascii="Palatino Linotype" w:hAnsi="Palatino Linotype"/>
      <w:sz w:val="28"/>
      <w:szCs w:val="24"/>
      <w:u w:val="single"/>
    </w:rPr>
  </w:style>
  <w:style w:type="paragraph" w:customStyle="1" w:styleId="KZ-nadpis">
    <w:name w:val="KZ-nadpis"/>
    <w:basedOn w:val="Normln"/>
    <w:next w:val="Normln"/>
    <w:rsid w:val="00BA0EFF"/>
    <w:pPr>
      <w:numPr>
        <w:numId w:val="3"/>
      </w:numPr>
      <w:spacing w:after="120"/>
    </w:pPr>
    <w:rPr>
      <w:b/>
      <w:bCs/>
      <w:sz w:val="28"/>
    </w:rPr>
  </w:style>
  <w:style w:type="paragraph" w:customStyle="1" w:styleId="Pressrelease">
    <w:name w:val="Press release"/>
    <w:basedOn w:val="Normlnweb"/>
    <w:rsid w:val="00BA0EFF"/>
    <w:pPr>
      <w:spacing w:after="120"/>
      <w:ind w:firstLine="720"/>
    </w:pPr>
    <w:rPr>
      <w:b/>
      <w:bCs/>
      <w:i/>
      <w:iCs/>
      <w:lang w:val="en-US"/>
    </w:rPr>
  </w:style>
  <w:style w:type="paragraph" w:styleId="Normlnweb">
    <w:name w:val="Normal (Web)"/>
    <w:basedOn w:val="Normln"/>
    <w:uiPriority w:val="99"/>
    <w:rsid w:val="00BA0EFF"/>
  </w:style>
  <w:style w:type="paragraph" w:styleId="Zhlav">
    <w:name w:val="header"/>
    <w:basedOn w:val="Normln"/>
    <w:semiHidden/>
    <w:rsid w:val="00BA0E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A0E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BA0EFF"/>
    <w:rPr>
      <w:color w:val="0000FF"/>
      <w:u w:val="single"/>
    </w:rPr>
  </w:style>
  <w:style w:type="character" w:styleId="slostrnky">
    <w:name w:val="page number"/>
    <w:basedOn w:val="Standardnpsmoodstavce"/>
    <w:semiHidden/>
    <w:rsid w:val="00BA0EFF"/>
  </w:style>
  <w:style w:type="paragraph" w:customStyle="1" w:styleId="Fousteka">
    <w:name w:val="Fous tečka"/>
    <w:basedOn w:val="Normln"/>
    <w:rsid w:val="00BA0EFF"/>
    <w:pPr>
      <w:numPr>
        <w:numId w:val="4"/>
      </w:numPr>
      <w:tabs>
        <w:tab w:val="clear" w:pos="721"/>
        <w:tab w:val="num" w:pos="180"/>
      </w:tabs>
      <w:spacing w:after="60"/>
      <w:ind w:left="180" w:hanging="180"/>
      <w:jc w:val="both"/>
    </w:pPr>
    <w:rPr>
      <w:sz w:val="22"/>
      <w:lang w:eastAsia="cs-CZ"/>
    </w:rPr>
  </w:style>
  <w:style w:type="paragraph" w:customStyle="1" w:styleId="Fousnadpis">
    <w:name w:val="Fous nadpis"/>
    <w:basedOn w:val="Normln"/>
    <w:rsid w:val="00BA0EFF"/>
    <w:pPr>
      <w:numPr>
        <w:numId w:val="5"/>
      </w:numPr>
      <w:tabs>
        <w:tab w:val="clear" w:pos="720"/>
        <w:tab w:val="num" w:pos="360"/>
      </w:tabs>
      <w:spacing w:before="120" w:after="120"/>
      <w:ind w:left="360" w:hanging="360"/>
      <w:jc w:val="both"/>
    </w:pPr>
    <w:rPr>
      <w:b/>
      <w:bCs/>
      <w:sz w:val="22"/>
      <w:lang w:eastAsia="cs-CZ"/>
    </w:rPr>
  </w:style>
  <w:style w:type="paragraph" w:customStyle="1" w:styleId="Fous">
    <w:name w:val="Fous"/>
    <w:basedOn w:val="Normln"/>
    <w:rsid w:val="00BA0EFF"/>
    <w:pPr>
      <w:numPr>
        <w:numId w:val="6"/>
      </w:numPr>
      <w:tabs>
        <w:tab w:val="clear" w:pos="722"/>
        <w:tab w:val="num" w:pos="360"/>
      </w:tabs>
      <w:ind w:left="360" w:hanging="360"/>
      <w:jc w:val="both"/>
    </w:pPr>
    <w:rPr>
      <w:sz w:val="22"/>
      <w:lang w:eastAsia="cs-CZ"/>
    </w:rPr>
  </w:style>
  <w:style w:type="paragraph" w:customStyle="1" w:styleId="lenn1">
    <w:name w:val="členění 1"/>
    <w:basedOn w:val="Normln"/>
    <w:rsid w:val="00BA0EFF"/>
    <w:pPr>
      <w:numPr>
        <w:numId w:val="7"/>
      </w:numPr>
    </w:pPr>
    <w:rPr>
      <w:b/>
      <w:lang w:eastAsia="cs-CZ"/>
    </w:rPr>
  </w:style>
  <w:style w:type="paragraph" w:customStyle="1" w:styleId="NadpisKZ">
    <w:name w:val="Nadpis KZ"/>
    <w:basedOn w:val="Zkladntext2"/>
    <w:rsid w:val="00BA0EFF"/>
    <w:pPr>
      <w:spacing w:before="120" w:after="360" w:line="240" w:lineRule="auto"/>
    </w:pPr>
    <w:rPr>
      <w:b/>
      <w:bCs/>
      <w:sz w:val="32"/>
      <w:lang w:eastAsia="cs-CZ"/>
    </w:rPr>
  </w:style>
  <w:style w:type="paragraph" w:customStyle="1" w:styleId="NormlnKZ">
    <w:name w:val="Normální KZ"/>
    <w:basedOn w:val="Normln"/>
    <w:rsid w:val="00BA0EFF"/>
    <w:pPr>
      <w:spacing w:after="120"/>
      <w:ind w:firstLine="425"/>
      <w:jc w:val="both"/>
    </w:pPr>
    <w:rPr>
      <w:sz w:val="22"/>
      <w:lang w:eastAsia="cs-CZ"/>
    </w:rPr>
  </w:style>
  <w:style w:type="paragraph" w:customStyle="1" w:styleId="vod">
    <w:name w:val="Úvod"/>
    <w:basedOn w:val="Nadpisvod"/>
    <w:rsid w:val="00BA0EFF"/>
    <w:pPr>
      <w:tabs>
        <w:tab w:val="clear" w:pos="360"/>
      </w:tabs>
      <w:ind w:left="0" w:firstLine="0"/>
    </w:pPr>
  </w:style>
  <w:style w:type="paragraph" w:customStyle="1" w:styleId="Nadpisvod">
    <w:name w:val="Nadpis úvod"/>
    <w:basedOn w:val="Nadpis1"/>
    <w:rsid w:val="00BA0EFF"/>
    <w:pPr>
      <w:numPr>
        <w:numId w:val="0"/>
      </w:numPr>
      <w:tabs>
        <w:tab w:val="num" w:pos="360"/>
        <w:tab w:val="num" w:pos="787"/>
      </w:tabs>
      <w:spacing w:before="360" w:after="240"/>
      <w:ind w:left="787" w:hanging="360"/>
      <w:jc w:val="both"/>
    </w:pPr>
    <w:rPr>
      <w:rFonts w:ascii="Times New Roman" w:hAnsi="Times New Roman" w:cs="Times New Roman"/>
      <w:kern w:val="0"/>
      <w:sz w:val="28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BA0EFF"/>
    <w:rPr>
      <w:vertAlign w:val="superscript"/>
    </w:rPr>
  </w:style>
  <w:style w:type="paragraph" w:styleId="Titulek">
    <w:name w:val="caption"/>
    <w:basedOn w:val="Normln"/>
    <w:next w:val="Normln"/>
    <w:uiPriority w:val="35"/>
    <w:qFormat/>
    <w:rsid w:val="00BA0EFF"/>
    <w:pPr>
      <w:spacing w:before="120" w:after="120"/>
    </w:pPr>
    <w:rPr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A0EFF"/>
    <w:pPr>
      <w:jc w:val="center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sid w:val="00BA0EFF"/>
    <w:rPr>
      <w:sz w:val="20"/>
      <w:szCs w:val="20"/>
      <w:lang w:eastAsia="cs-CZ"/>
    </w:rPr>
  </w:style>
  <w:style w:type="paragraph" w:customStyle="1" w:styleId="Normln0">
    <w:name w:val="Norm‡ln’"/>
    <w:rsid w:val="00BA0EF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Sledovanodkaz">
    <w:name w:val="FollowedHyperlink"/>
    <w:basedOn w:val="Standardnpsmoodstavce"/>
    <w:semiHidden/>
    <w:rsid w:val="00BA0EFF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0EFF"/>
    <w:pPr>
      <w:ind w:left="720"/>
      <w:contextualSpacing/>
    </w:pPr>
  </w:style>
  <w:style w:type="character" w:customStyle="1" w:styleId="ZkladntextChar">
    <w:name w:val="Základní text Char"/>
    <w:basedOn w:val="Standardnpsmoodstavce"/>
    <w:rsid w:val="00BA0EFF"/>
    <w:rPr>
      <w:sz w:val="24"/>
      <w:szCs w:val="24"/>
      <w:lang w:eastAsia="en-US"/>
    </w:rPr>
  </w:style>
  <w:style w:type="paragraph" w:styleId="Textbubliny">
    <w:name w:val="Balloon Text"/>
    <w:basedOn w:val="Normln"/>
    <w:semiHidden/>
    <w:unhideWhenUsed/>
    <w:rsid w:val="00BA0E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A0EFF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semiHidden/>
    <w:unhideWhenUsed/>
    <w:rsid w:val="00BA0EFF"/>
    <w:rPr>
      <w:sz w:val="20"/>
      <w:szCs w:val="20"/>
    </w:rPr>
  </w:style>
  <w:style w:type="character" w:customStyle="1" w:styleId="TextvysvtlivekChar">
    <w:name w:val="Text vysvětlivek Char"/>
    <w:basedOn w:val="Standardnpsmoodstavce"/>
    <w:semiHidden/>
    <w:rsid w:val="00BA0EF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BA0EFF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BA0EFF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BA0EFF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BA0EFF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sid w:val="00BA0EFF"/>
    <w:rPr>
      <w:b/>
      <w:bCs/>
    </w:rPr>
  </w:style>
  <w:style w:type="character" w:customStyle="1" w:styleId="PedmtkomenteChar">
    <w:name w:val="Předmět komentáře Char"/>
    <w:basedOn w:val="TextkomenteChar"/>
    <w:semiHidden/>
    <w:rsid w:val="00BA0EFF"/>
    <w:rPr>
      <w:b/>
      <w:bCs/>
      <w:lang w:eastAsia="en-US"/>
    </w:rPr>
  </w:style>
  <w:style w:type="paragraph" w:styleId="Revize">
    <w:name w:val="Revision"/>
    <w:hidden/>
    <w:semiHidden/>
    <w:rsid w:val="00BA0EFF"/>
    <w:rPr>
      <w:sz w:val="24"/>
      <w:szCs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CD0F0B"/>
    <w:rPr>
      <w:sz w:val="24"/>
      <w:lang w:eastAsia="en-US"/>
    </w:rPr>
  </w:style>
  <w:style w:type="paragraph" w:customStyle="1" w:styleId="Nadpisrovn3">
    <w:name w:val="Nadpis úrovně 3"/>
    <w:basedOn w:val="NormlnKZ"/>
    <w:next w:val="NormlnKZ"/>
    <w:rsid w:val="007E0F01"/>
    <w:pPr>
      <w:keepNext/>
      <w:spacing w:before="240"/>
      <w:ind w:firstLine="0"/>
      <w:jc w:val="left"/>
    </w:pPr>
    <w:rPr>
      <w:b/>
      <w:sz w:val="26"/>
    </w:rPr>
  </w:style>
  <w:style w:type="character" w:customStyle="1" w:styleId="Nadpis3Char">
    <w:name w:val="Nadpis 3 Char"/>
    <w:basedOn w:val="Standardnpsmoodstavce"/>
    <w:link w:val="Nadpis3"/>
    <w:uiPriority w:val="9"/>
    <w:rsid w:val="0083115D"/>
    <w:rPr>
      <w:rFonts w:ascii="Arial" w:hAnsi="Arial" w:cs="Arial"/>
      <w:b/>
      <w:bCs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157385"/>
    <w:pPr>
      <w:spacing w:after="120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31367"/>
  </w:style>
  <w:style w:type="character" w:customStyle="1" w:styleId="ZpatChar">
    <w:name w:val="Zápatí Char"/>
    <w:basedOn w:val="Standardnpsmoodstavce"/>
    <w:link w:val="Zpat"/>
    <w:uiPriority w:val="99"/>
    <w:rsid w:val="00C953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B52C1-4508-4E09-A3A7-3705880580DC}"/>
</file>

<file path=customXml/itemProps2.xml><?xml version="1.0" encoding="utf-8"?>
<ds:datastoreItem xmlns:ds="http://schemas.openxmlformats.org/officeDocument/2006/customXml" ds:itemID="{2F778051-A4F1-49D1-845A-BEE418E7E1F0}"/>
</file>

<file path=customXml/itemProps3.xml><?xml version="1.0" encoding="utf-8"?>
<ds:datastoreItem xmlns:ds="http://schemas.openxmlformats.org/officeDocument/2006/customXml" ds:itemID="{D6A65570-E5FE-4421-A6AE-1299BA349238}"/>
</file>

<file path=customXml/itemProps4.xml><?xml version="1.0" encoding="utf-8"?>
<ds:datastoreItem xmlns:ds="http://schemas.openxmlformats.org/officeDocument/2006/customXml" ds:itemID="{F6165FE8-E9C5-4619-92E9-6E1445F0A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5766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sekce</vt:lpstr>
    </vt:vector>
  </TitlesOfParts>
  <Company>NKU</Company>
  <LinksUpToDate>false</LinksUpToDate>
  <CharactersWithSpaces>39707</CharactersWithSpaces>
  <SharedDoc>false</SharedDoc>
  <HLinks>
    <vt:vector size="6" baseType="variant">
      <vt:variant>
        <vt:i4>4390930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http://wwwinfo.mfcr.cz/ufis/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12/30</dc:title>
  <dc:creator>GREŠOVÁ Romana</dc:creator>
  <cp:lastModifiedBy>POKORNÁ Jana</cp:lastModifiedBy>
  <cp:revision>18</cp:revision>
  <cp:lastPrinted>2013-08-15T06:54:00Z</cp:lastPrinted>
  <dcterms:created xsi:type="dcterms:W3CDTF">2013-08-20T06:06:00Z</dcterms:created>
  <dcterms:modified xsi:type="dcterms:W3CDTF">2013-08-28T08:37:00Z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11/29-NKU30/815/12</vt:lpwstr>
  </property>
  <property fmtid="{D5CDD505-2E9C-101B-9397-08002B2CF9AE}" pid="3" name="SZ_Spis_Pisemnost">
    <vt:lpwstr>11/29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*B000159833*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12-10349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/>
  </property>
  <property fmtid="{D5CDD505-2E9C-101B-9397-08002B2CF9AE}" pid="18" name="Vec_Pisemnost">
    <vt:lpwstr>Usnesení 14/XV/2012 schvalující KZ 11/29, vč. KZ</vt:lpwstr>
  </property>
  <property fmtid="{D5CDD505-2E9C-101B-9397-08002B2CF9AE}" pid="19" name="DatumPoriz_Pisemnost">
    <vt:lpwstr>6.8.2012</vt:lpwstr>
  </property>
  <property fmtid="{D5CDD505-2E9C-101B-9397-08002B2CF9AE}" pid="20" name="Contact_PostaOdes_All">
    <vt:lpwstr/>
  </property>
</Properties>
</file>