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4C" w:rsidRDefault="00FD304C" w:rsidP="00FD304C">
      <w:pPr>
        <w:jc w:val="center"/>
        <w:rPr>
          <w:rFonts w:cs="Arial"/>
          <w:color w:val="000000" w:themeColor="text1"/>
          <w:szCs w:val="22"/>
          <w:lang w:val="cs-CZ"/>
        </w:rPr>
      </w:pPr>
      <w:r w:rsidRPr="00FD304C">
        <w:rPr>
          <w:noProof/>
          <w:color w:val="000000" w:themeColor="text1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75EF1FBA" wp14:editId="71A127DD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790575" cy="552450"/>
            <wp:effectExtent l="0" t="0" r="9525" b="0"/>
            <wp:wrapTopAndBottom/>
            <wp:docPr id="2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KU_LOGO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DC5" w:rsidRPr="00FD304C" w:rsidRDefault="00DF1DC5" w:rsidP="00FD304C">
      <w:pPr>
        <w:jc w:val="center"/>
        <w:rPr>
          <w:rFonts w:cs="Arial"/>
          <w:color w:val="000000" w:themeColor="text1"/>
          <w:szCs w:val="22"/>
          <w:lang w:val="cs-CZ"/>
        </w:rPr>
      </w:pPr>
    </w:p>
    <w:p w:rsidR="00FD42E6" w:rsidRPr="00FD304C" w:rsidRDefault="00FD42E6" w:rsidP="00FD304C">
      <w:pPr>
        <w:jc w:val="center"/>
        <w:rPr>
          <w:rFonts w:cs="Arial"/>
          <w:color w:val="000000" w:themeColor="text1"/>
          <w:szCs w:val="22"/>
          <w:lang w:val="cs-CZ"/>
        </w:rPr>
      </w:pPr>
    </w:p>
    <w:p w:rsidR="00DF1DC5" w:rsidRPr="0091348B" w:rsidRDefault="00DF1DC5" w:rsidP="00FD304C">
      <w:pPr>
        <w:jc w:val="center"/>
        <w:rPr>
          <w:rFonts w:cs="Arial"/>
          <w:b/>
          <w:color w:val="000000" w:themeColor="text1"/>
          <w:sz w:val="28"/>
          <w:szCs w:val="28"/>
          <w:lang w:val="cs-CZ"/>
        </w:rPr>
      </w:pPr>
      <w:r w:rsidRPr="0091348B">
        <w:rPr>
          <w:rFonts w:cs="Arial"/>
          <w:b/>
          <w:color w:val="000000" w:themeColor="text1"/>
          <w:sz w:val="28"/>
          <w:szCs w:val="28"/>
          <w:lang w:val="cs-CZ"/>
        </w:rPr>
        <w:t>Kontrolní závěr z kontrolní akce</w:t>
      </w:r>
    </w:p>
    <w:p w:rsidR="00DF1DC5" w:rsidRPr="00FD304C" w:rsidRDefault="00DF1DC5" w:rsidP="00FD304C">
      <w:pPr>
        <w:jc w:val="center"/>
        <w:rPr>
          <w:rFonts w:cs="Arial"/>
          <w:color w:val="000000" w:themeColor="text1"/>
          <w:sz w:val="24"/>
          <w:lang w:val="cs-CZ"/>
        </w:rPr>
      </w:pPr>
    </w:p>
    <w:p w:rsidR="00DF1DC5" w:rsidRPr="0091348B" w:rsidRDefault="00DF1DC5" w:rsidP="00FD304C">
      <w:pPr>
        <w:jc w:val="center"/>
        <w:rPr>
          <w:rFonts w:cs="Arial"/>
          <w:b/>
          <w:color w:val="000000" w:themeColor="text1"/>
          <w:sz w:val="28"/>
          <w:szCs w:val="28"/>
          <w:lang w:val="cs-CZ"/>
        </w:rPr>
      </w:pPr>
      <w:r w:rsidRPr="0091348B">
        <w:rPr>
          <w:rFonts w:cs="Arial"/>
          <w:b/>
          <w:color w:val="000000" w:themeColor="text1"/>
          <w:sz w:val="28"/>
          <w:szCs w:val="28"/>
          <w:lang w:val="cs-CZ"/>
        </w:rPr>
        <w:t>13/22</w:t>
      </w:r>
    </w:p>
    <w:p w:rsidR="00DF1DC5" w:rsidRPr="00FD304C" w:rsidRDefault="00DF1DC5" w:rsidP="00FD304C">
      <w:pPr>
        <w:jc w:val="center"/>
        <w:rPr>
          <w:rFonts w:cs="Arial"/>
          <w:color w:val="000000" w:themeColor="text1"/>
          <w:sz w:val="24"/>
          <w:lang w:val="cs-CZ"/>
        </w:rPr>
      </w:pPr>
    </w:p>
    <w:p w:rsidR="00562935" w:rsidRPr="0091348B" w:rsidRDefault="00DF1DC5" w:rsidP="00FD304C">
      <w:pPr>
        <w:jc w:val="center"/>
        <w:rPr>
          <w:rFonts w:cs="Arial"/>
          <w:b/>
          <w:color w:val="000000" w:themeColor="text1"/>
          <w:sz w:val="28"/>
          <w:szCs w:val="28"/>
          <w:lang w:val="cs-CZ"/>
        </w:rPr>
      </w:pPr>
      <w:r w:rsidRPr="0091348B">
        <w:rPr>
          <w:rFonts w:cs="Arial"/>
          <w:b/>
          <w:color w:val="000000" w:themeColor="text1"/>
          <w:sz w:val="28"/>
          <w:szCs w:val="28"/>
          <w:lang w:val="cs-CZ"/>
        </w:rPr>
        <w:t xml:space="preserve">Prostředky vybírané na základě zákona ve prospěch </w:t>
      </w:r>
    </w:p>
    <w:p w:rsidR="00DF1DC5" w:rsidRPr="0091348B" w:rsidRDefault="00DF1DC5" w:rsidP="00FD304C">
      <w:pPr>
        <w:jc w:val="center"/>
        <w:rPr>
          <w:rFonts w:cs="Arial"/>
          <w:b/>
          <w:color w:val="000000" w:themeColor="text1"/>
          <w:sz w:val="28"/>
          <w:szCs w:val="28"/>
          <w:lang w:val="cs-CZ"/>
        </w:rPr>
      </w:pPr>
      <w:r w:rsidRPr="0091348B">
        <w:rPr>
          <w:rFonts w:cs="Arial"/>
          <w:b/>
          <w:color w:val="000000" w:themeColor="text1"/>
          <w:sz w:val="28"/>
          <w:szCs w:val="28"/>
          <w:lang w:val="cs-CZ"/>
        </w:rPr>
        <w:t>České průmyslové zdravotní pojišťovny</w:t>
      </w:r>
    </w:p>
    <w:p w:rsidR="00DF1DC5" w:rsidRPr="00FD304C" w:rsidRDefault="00DF1DC5" w:rsidP="00FD304C">
      <w:pPr>
        <w:rPr>
          <w:rFonts w:cs="Arial"/>
          <w:color w:val="000000" w:themeColor="text1"/>
          <w:szCs w:val="22"/>
          <w:lang w:val="cs-CZ"/>
        </w:rPr>
      </w:pPr>
    </w:p>
    <w:p w:rsidR="00DF1DC5" w:rsidRPr="00FD304C" w:rsidRDefault="00DF1DC5" w:rsidP="00FD304C">
      <w:pPr>
        <w:rPr>
          <w:rFonts w:cs="Arial"/>
          <w:color w:val="000000" w:themeColor="text1"/>
          <w:szCs w:val="22"/>
          <w:lang w:val="cs-CZ"/>
        </w:rPr>
      </w:pPr>
    </w:p>
    <w:p w:rsidR="00DF1DC5" w:rsidRPr="00FD304C" w:rsidRDefault="00DF1DC5" w:rsidP="00FD304C">
      <w:pPr>
        <w:rPr>
          <w:rFonts w:cs="Arial"/>
          <w:color w:val="000000"/>
          <w:szCs w:val="22"/>
          <w:lang w:val="cs-CZ"/>
        </w:rPr>
      </w:pPr>
      <w:r w:rsidRPr="00FD304C">
        <w:rPr>
          <w:rFonts w:cs="Arial"/>
          <w:color w:val="000000"/>
          <w:szCs w:val="22"/>
          <w:lang w:val="cs-CZ"/>
        </w:rPr>
        <w:t>Kontrolní akce byla zařazena do plánu kontrolní činnosti Nejvyššího kontrolního úřadu (dále jen „NKÚ“) na rok 2013 pod číslem 13/22. Kontrolní akci řídila a kontrolní záv</w:t>
      </w:r>
      <w:r w:rsidR="009D4833">
        <w:rPr>
          <w:rFonts w:cs="Arial"/>
          <w:color w:val="000000"/>
          <w:szCs w:val="22"/>
          <w:lang w:val="cs-CZ"/>
        </w:rPr>
        <w:t>ěr vypracovala členka NKÚ JUDr. </w:t>
      </w:r>
      <w:r w:rsidRPr="00FD304C">
        <w:rPr>
          <w:rFonts w:cs="Arial"/>
          <w:color w:val="000000"/>
          <w:szCs w:val="22"/>
          <w:lang w:val="cs-CZ"/>
        </w:rPr>
        <w:t xml:space="preserve">Eliška </w:t>
      </w:r>
      <w:proofErr w:type="spellStart"/>
      <w:r w:rsidRPr="00FD304C">
        <w:rPr>
          <w:rFonts w:cs="Arial"/>
          <w:color w:val="000000"/>
          <w:szCs w:val="22"/>
          <w:lang w:val="cs-CZ"/>
        </w:rPr>
        <w:t>Kadaňová</w:t>
      </w:r>
      <w:proofErr w:type="spellEnd"/>
      <w:r w:rsidRPr="00FD304C">
        <w:rPr>
          <w:rFonts w:cs="Arial"/>
          <w:color w:val="000000"/>
          <w:szCs w:val="22"/>
          <w:lang w:val="cs-CZ"/>
        </w:rPr>
        <w:t>.</w:t>
      </w:r>
    </w:p>
    <w:p w:rsidR="00DF1DC5" w:rsidRPr="00FD304C" w:rsidRDefault="00DF1DC5" w:rsidP="00FD304C">
      <w:pPr>
        <w:rPr>
          <w:rFonts w:cs="Arial"/>
          <w:color w:val="000000"/>
          <w:szCs w:val="22"/>
          <w:lang w:val="cs-CZ"/>
        </w:rPr>
      </w:pPr>
    </w:p>
    <w:p w:rsidR="00DF1DC5" w:rsidRPr="00FD304C" w:rsidRDefault="00DF1DC5" w:rsidP="00FD304C">
      <w:pPr>
        <w:rPr>
          <w:rFonts w:cs="Arial"/>
          <w:color w:val="000000"/>
          <w:szCs w:val="22"/>
          <w:lang w:val="cs-CZ"/>
        </w:rPr>
      </w:pPr>
      <w:r w:rsidRPr="00FD304C">
        <w:rPr>
          <w:rFonts w:cs="Arial"/>
          <w:color w:val="000000"/>
          <w:szCs w:val="22"/>
          <w:lang w:val="cs-CZ"/>
        </w:rPr>
        <w:t>Cílem kontroly bylo prověřit hospodaření s prostředky vybíranými na základě zákona ve prospěch České průmyslové zdravotní pojišťovny, včetně dopadu procesu sloučení.</w:t>
      </w:r>
    </w:p>
    <w:p w:rsidR="00DF1DC5" w:rsidRPr="00FD304C" w:rsidRDefault="00DF1DC5" w:rsidP="00FD304C">
      <w:pPr>
        <w:rPr>
          <w:rFonts w:cs="Arial"/>
          <w:color w:val="000000"/>
          <w:szCs w:val="22"/>
          <w:lang w:val="cs-CZ"/>
        </w:rPr>
      </w:pPr>
    </w:p>
    <w:p w:rsidR="00DF1DC5" w:rsidRPr="00FD304C" w:rsidRDefault="00DF1DC5" w:rsidP="00FD304C">
      <w:pPr>
        <w:rPr>
          <w:rFonts w:cs="Arial"/>
          <w:color w:val="000000"/>
          <w:szCs w:val="22"/>
          <w:lang w:val="cs-CZ"/>
        </w:rPr>
      </w:pPr>
      <w:r w:rsidRPr="00FD304C">
        <w:rPr>
          <w:rFonts w:cs="Arial"/>
          <w:color w:val="000000"/>
          <w:szCs w:val="22"/>
          <w:lang w:val="cs-CZ"/>
        </w:rPr>
        <w:t>Kontrola byla prováděna od června 2013 do dubna 2014.</w:t>
      </w:r>
    </w:p>
    <w:p w:rsidR="00DF1DC5" w:rsidRPr="00FD304C" w:rsidRDefault="00DF1DC5" w:rsidP="00FD304C">
      <w:pPr>
        <w:rPr>
          <w:rFonts w:cs="Arial"/>
          <w:color w:val="000000"/>
          <w:szCs w:val="22"/>
          <w:lang w:val="cs-CZ"/>
        </w:rPr>
      </w:pPr>
    </w:p>
    <w:p w:rsidR="00DF1DC5" w:rsidRPr="00FD304C" w:rsidRDefault="00733530" w:rsidP="00FD304C">
      <w:pPr>
        <w:rPr>
          <w:rFonts w:cs="Arial"/>
          <w:color w:val="000000"/>
          <w:szCs w:val="22"/>
          <w:lang w:val="cs-CZ"/>
        </w:rPr>
      </w:pPr>
      <w:r w:rsidRPr="00FD304C">
        <w:rPr>
          <w:rFonts w:cs="Arial"/>
          <w:bCs/>
          <w:color w:val="000000"/>
          <w:szCs w:val="22"/>
          <w:lang w:val="cs-CZ"/>
        </w:rPr>
        <w:t xml:space="preserve">Kontrolovaným obdobím byly roky 2009 až 2012, </w:t>
      </w:r>
      <w:r w:rsidRPr="00FD304C">
        <w:rPr>
          <w:rFonts w:cs="Arial"/>
          <w:color w:val="000000"/>
          <w:szCs w:val="22"/>
          <w:lang w:val="cs-CZ"/>
        </w:rPr>
        <w:t>v případě věcných souvislostí i období předcházející a období do ukončení kontroly</w:t>
      </w:r>
      <w:r w:rsidR="00DF1DC5" w:rsidRPr="00FD304C">
        <w:rPr>
          <w:rFonts w:cs="Arial"/>
          <w:color w:val="000000"/>
          <w:szCs w:val="22"/>
          <w:lang w:val="cs-CZ"/>
        </w:rPr>
        <w:t xml:space="preserve">. </w:t>
      </w:r>
    </w:p>
    <w:p w:rsidR="00DF1DC5" w:rsidRPr="00FD304C" w:rsidRDefault="00DF1DC5" w:rsidP="00FD304C">
      <w:pPr>
        <w:rPr>
          <w:rFonts w:cs="Arial"/>
          <w:color w:val="000000"/>
          <w:szCs w:val="22"/>
          <w:lang w:val="cs-CZ"/>
        </w:rPr>
      </w:pPr>
    </w:p>
    <w:p w:rsidR="00733530" w:rsidRPr="00FD304C" w:rsidRDefault="00733530" w:rsidP="00FD304C">
      <w:pPr>
        <w:rPr>
          <w:rFonts w:cs="Arial"/>
          <w:color w:val="000000"/>
          <w:szCs w:val="22"/>
          <w:lang w:val="cs-CZ"/>
        </w:rPr>
      </w:pPr>
      <w:r w:rsidRPr="00FD304C">
        <w:rPr>
          <w:rFonts w:cs="Arial"/>
          <w:color w:val="000000"/>
          <w:szCs w:val="22"/>
          <w:lang w:val="cs-CZ"/>
        </w:rPr>
        <w:t>Kontrolované</w:t>
      </w:r>
      <w:r w:rsidR="00DF1DC5" w:rsidRPr="00FD304C">
        <w:rPr>
          <w:rFonts w:cs="Arial"/>
          <w:color w:val="000000"/>
          <w:szCs w:val="22"/>
          <w:lang w:val="cs-CZ"/>
        </w:rPr>
        <w:t xml:space="preserve"> osob</w:t>
      </w:r>
      <w:r w:rsidRPr="00FD304C">
        <w:rPr>
          <w:rFonts w:cs="Arial"/>
          <w:color w:val="000000"/>
          <w:szCs w:val="22"/>
          <w:lang w:val="cs-CZ"/>
        </w:rPr>
        <w:t>y</w:t>
      </w:r>
      <w:r w:rsidR="00DF1DC5" w:rsidRPr="00FD304C">
        <w:rPr>
          <w:rFonts w:cs="Arial"/>
          <w:color w:val="000000"/>
          <w:szCs w:val="22"/>
          <w:lang w:val="cs-CZ"/>
        </w:rPr>
        <w:t xml:space="preserve">: </w:t>
      </w:r>
    </w:p>
    <w:p w:rsidR="00350CC9" w:rsidRPr="00FD304C" w:rsidRDefault="00350CC9" w:rsidP="00FD304C">
      <w:pPr>
        <w:rPr>
          <w:rFonts w:cs="Arial"/>
          <w:color w:val="000000"/>
          <w:szCs w:val="22"/>
          <w:lang w:val="cs-CZ"/>
        </w:rPr>
      </w:pPr>
      <w:r w:rsidRPr="00FD304C">
        <w:rPr>
          <w:rFonts w:cs="Arial"/>
          <w:color w:val="000000"/>
          <w:szCs w:val="22"/>
          <w:lang w:val="cs-CZ"/>
        </w:rPr>
        <w:t>Ministerstvo zdravotnictví,</w:t>
      </w:r>
    </w:p>
    <w:p w:rsidR="00DF1DC5" w:rsidRPr="00FD304C" w:rsidRDefault="00733530" w:rsidP="00FD304C">
      <w:pPr>
        <w:rPr>
          <w:rFonts w:cs="Arial"/>
          <w:color w:val="000000"/>
          <w:szCs w:val="22"/>
          <w:lang w:val="cs-CZ"/>
        </w:rPr>
      </w:pPr>
      <w:r w:rsidRPr="00FD304C">
        <w:rPr>
          <w:rFonts w:cs="Arial"/>
          <w:color w:val="000000"/>
          <w:szCs w:val="22"/>
          <w:lang w:val="cs-CZ"/>
        </w:rPr>
        <w:t>Česká průmyslová zdravotní pojišťovna</w:t>
      </w:r>
      <w:r w:rsidR="00350CC9" w:rsidRPr="00FD304C">
        <w:rPr>
          <w:rFonts w:cs="Arial"/>
          <w:color w:val="000000"/>
          <w:szCs w:val="22"/>
          <w:lang w:val="cs-CZ"/>
        </w:rPr>
        <w:t>.</w:t>
      </w:r>
    </w:p>
    <w:p w:rsidR="00350CC9" w:rsidRPr="00FD304C" w:rsidRDefault="00350CC9" w:rsidP="00FD304C">
      <w:pPr>
        <w:rPr>
          <w:rFonts w:cs="Arial"/>
          <w:color w:val="000000"/>
          <w:szCs w:val="22"/>
          <w:lang w:val="cs-CZ"/>
        </w:rPr>
      </w:pPr>
    </w:p>
    <w:p w:rsidR="00DF1DC5" w:rsidRPr="00FD304C" w:rsidRDefault="00DF1DC5" w:rsidP="00FD304C">
      <w:pPr>
        <w:rPr>
          <w:rFonts w:cs="Arial"/>
          <w:szCs w:val="22"/>
          <w:lang w:val="cs-CZ"/>
        </w:rPr>
      </w:pPr>
      <w:r w:rsidRPr="00FD304C">
        <w:rPr>
          <w:rFonts w:cs="Arial"/>
          <w:color w:val="000000"/>
          <w:szCs w:val="22"/>
          <w:lang w:val="cs-CZ"/>
        </w:rPr>
        <w:t>Námitky proti kontrolnímu protokolu</w:t>
      </w:r>
      <w:r w:rsidR="00E46F42" w:rsidRPr="00FD304C">
        <w:rPr>
          <w:rFonts w:cs="Arial"/>
          <w:color w:val="000000"/>
          <w:szCs w:val="22"/>
          <w:lang w:val="cs-CZ"/>
        </w:rPr>
        <w:t>, které podala Česká průmyslová zdravotní pojišťovna,</w:t>
      </w:r>
      <w:r w:rsidRPr="00FD304C">
        <w:rPr>
          <w:rFonts w:cs="Arial"/>
          <w:color w:val="000000"/>
          <w:szCs w:val="22"/>
          <w:lang w:val="cs-CZ"/>
        </w:rPr>
        <w:t xml:space="preserve"> vypořádal vedoucí skupiny kontrolujících rozhodnutím o námitkách.</w:t>
      </w:r>
      <w:r w:rsidR="00556785" w:rsidRPr="00FD304C">
        <w:rPr>
          <w:rFonts w:cs="Arial"/>
          <w:color w:val="000000"/>
          <w:szCs w:val="22"/>
          <w:lang w:val="cs-CZ"/>
        </w:rPr>
        <w:t xml:space="preserve"> Odvolání</w:t>
      </w:r>
      <w:r w:rsidR="00B14F99" w:rsidRPr="00FD304C">
        <w:rPr>
          <w:rFonts w:cs="Arial"/>
          <w:color w:val="000000"/>
          <w:szCs w:val="22"/>
          <w:lang w:val="cs-CZ"/>
        </w:rPr>
        <w:t xml:space="preserve"> proti rozhodnutí o námitkách bylo vypořádáno </w:t>
      </w:r>
      <w:r w:rsidR="008B4258" w:rsidRPr="00FD304C">
        <w:rPr>
          <w:rFonts w:cs="Arial"/>
          <w:color w:val="000000"/>
          <w:szCs w:val="22"/>
          <w:lang w:val="cs-CZ"/>
        </w:rPr>
        <w:t xml:space="preserve">usnesením </w:t>
      </w:r>
      <w:r w:rsidR="00B14F99" w:rsidRPr="00FD304C">
        <w:rPr>
          <w:rFonts w:cs="Arial"/>
          <w:color w:val="000000"/>
          <w:szCs w:val="22"/>
          <w:lang w:val="cs-CZ"/>
        </w:rPr>
        <w:t xml:space="preserve">Kolegia </w:t>
      </w:r>
      <w:r w:rsidR="008B4258" w:rsidRPr="00FD304C">
        <w:rPr>
          <w:rFonts w:cs="Arial"/>
          <w:color w:val="000000"/>
          <w:szCs w:val="22"/>
          <w:lang w:val="cs-CZ"/>
        </w:rPr>
        <w:t xml:space="preserve">NKÚ </w:t>
      </w:r>
      <w:r w:rsidR="00B14F99" w:rsidRPr="00FD304C">
        <w:rPr>
          <w:rFonts w:cs="Arial"/>
          <w:color w:val="000000"/>
          <w:szCs w:val="22"/>
          <w:lang w:val="cs-CZ"/>
        </w:rPr>
        <w:t>č. 6/VIII/2014</w:t>
      </w:r>
      <w:r w:rsidR="00556785" w:rsidRPr="00FD304C">
        <w:rPr>
          <w:rFonts w:cs="Arial"/>
          <w:color w:val="000000"/>
          <w:szCs w:val="22"/>
          <w:lang w:val="cs-CZ"/>
        </w:rPr>
        <w:t>.</w:t>
      </w:r>
    </w:p>
    <w:p w:rsidR="00DF1DC5" w:rsidRPr="00FD304C" w:rsidRDefault="00DF1DC5" w:rsidP="00FD304C">
      <w:pPr>
        <w:rPr>
          <w:rFonts w:cs="Arial"/>
          <w:color w:val="000000"/>
          <w:szCs w:val="22"/>
          <w:lang w:val="cs-CZ"/>
        </w:rPr>
      </w:pPr>
    </w:p>
    <w:p w:rsidR="00350CC9" w:rsidRPr="00FD304C" w:rsidRDefault="00350CC9" w:rsidP="00FD304C">
      <w:pPr>
        <w:rPr>
          <w:rFonts w:cs="Arial"/>
          <w:color w:val="000000"/>
          <w:szCs w:val="22"/>
          <w:lang w:val="cs-CZ"/>
        </w:rPr>
      </w:pPr>
    </w:p>
    <w:p w:rsidR="00DF1DC5" w:rsidRPr="00FD304C" w:rsidRDefault="00DF1DC5" w:rsidP="00FD304C">
      <w:pPr>
        <w:rPr>
          <w:rFonts w:cs="Arial"/>
          <w:color w:val="000000"/>
          <w:szCs w:val="22"/>
          <w:lang w:val="cs-CZ"/>
        </w:rPr>
      </w:pPr>
      <w:proofErr w:type="gramStart"/>
      <w:r w:rsidRPr="00FD304C">
        <w:rPr>
          <w:rFonts w:cs="Arial"/>
          <w:b/>
          <w:i/>
          <w:color w:val="000000"/>
          <w:spacing w:val="40"/>
          <w:szCs w:val="22"/>
          <w:lang w:val="cs-CZ"/>
        </w:rPr>
        <w:t>Kolegium</w:t>
      </w:r>
      <w:r w:rsidRPr="00FD304C">
        <w:rPr>
          <w:rFonts w:cs="Arial"/>
          <w:b/>
          <w:i/>
          <w:color w:val="000000"/>
          <w:szCs w:val="22"/>
          <w:lang w:val="cs-CZ"/>
        </w:rPr>
        <w:t xml:space="preserve">   </w:t>
      </w:r>
      <w:r w:rsidRPr="00FD304C">
        <w:rPr>
          <w:rFonts w:cs="Arial"/>
          <w:b/>
          <w:i/>
          <w:color w:val="000000"/>
          <w:spacing w:val="40"/>
          <w:szCs w:val="22"/>
          <w:lang w:val="cs-CZ"/>
        </w:rPr>
        <w:t>NKÚ</w:t>
      </w:r>
      <w:proofErr w:type="gramEnd"/>
      <w:r w:rsidRPr="00FD304C">
        <w:rPr>
          <w:rFonts w:cs="Arial"/>
          <w:b/>
          <w:i/>
          <w:color w:val="000000"/>
          <w:szCs w:val="22"/>
          <w:lang w:val="cs-CZ"/>
        </w:rPr>
        <w:t xml:space="preserve">   </w:t>
      </w:r>
      <w:r w:rsidRPr="00FD304C">
        <w:rPr>
          <w:rFonts w:cs="Arial"/>
          <w:color w:val="000000"/>
          <w:szCs w:val="22"/>
          <w:lang w:val="cs-CZ"/>
        </w:rPr>
        <w:t>na svém</w:t>
      </w:r>
      <w:r w:rsidR="00733530" w:rsidRPr="00FD304C">
        <w:rPr>
          <w:rFonts w:cs="Arial"/>
          <w:color w:val="000000"/>
          <w:szCs w:val="22"/>
          <w:lang w:val="cs-CZ"/>
        </w:rPr>
        <w:t xml:space="preserve"> </w:t>
      </w:r>
      <w:r w:rsidR="00C932A7" w:rsidRPr="00FD304C">
        <w:rPr>
          <w:rFonts w:cs="Arial"/>
          <w:color w:val="000000"/>
          <w:szCs w:val="22"/>
          <w:lang w:val="cs-CZ"/>
        </w:rPr>
        <w:t xml:space="preserve">X. </w:t>
      </w:r>
      <w:r w:rsidRPr="00FD304C">
        <w:rPr>
          <w:rFonts w:cs="Arial"/>
          <w:color w:val="000000"/>
          <w:szCs w:val="22"/>
          <w:lang w:val="cs-CZ"/>
        </w:rPr>
        <w:t>zasedání, konaném dne</w:t>
      </w:r>
      <w:r w:rsidR="00350CC9" w:rsidRPr="00FD304C">
        <w:rPr>
          <w:rFonts w:cs="Arial"/>
          <w:color w:val="000000"/>
          <w:szCs w:val="22"/>
          <w:lang w:val="cs-CZ"/>
        </w:rPr>
        <w:t xml:space="preserve"> </w:t>
      </w:r>
      <w:r w:rsidR="00C932A7" w:rsidRPr="00FD304C">
        <w:rPr>
          <w:rFonts w:cs="Arial"/>
          <w:color w:val="000000"/>
          <w:szCs w:val="22"/>
          <w:lang w:val="cs-CZ"/>
        </w:rPr>
        <w:t xml:space="preserve">26. května </w:t>
      </w:r>
      <w:r w:rsidR="00350CC9" w:rsidRPr="00FD304C">
        <w:rPr>
          <w:rFonts w:cs="Arial"/>
          <w:color w:val="000000"/>
          <w:szCs w:val="22"/>
          <w:lang w:val="cs-CZ"/>
        </w:rPr>
        <w:t>2014,</w:t>
      </w:r>
      <w:r w:rsidRPr="00FD304C">
        <w:rPr>
          <w:rFonts w:cs="Arial"/>
          <w:color w:val="000000"/>
          <w:szCs w:val="22"/>
          <w:lang w:val="cs-CZ"/>
        </w:rPr>
        <w:t xml:space="preserve"> </w:t>
      </w:r>
    </w:p>
    <w:p w:rsidR="00350CC9" w:rsidRPr="00FD304C" w:rsidRDefault="00DF1DC5" w:rsidP="00FD304C">
      <w:pPr>
        <w:rPr>
          <w:rFonts w:cs="Arial"/>
          <w:color w:val="000000"/>
          <w:szCs w:val="22"/>
          <w:lang w:val="cs-CZ"/>
        </w:rPr>
      </w:pPr>
      <w:proofErr w:type="gramStart"/>
      <w:r w:rsidRPr="00FD304C">
        <w:rPr>
          <w:rFonts w:cs="Arial"/>
          <w:b/>
          <w:i/>
          <w:color w:val="000000"/>
          <w:spacing w:val="40"/>
          <w:szCs w:val="22"/>
          <w:lang w:val="cs-CZ"/>
        </w:rPr>
        <w:t>schválilo</w:t>
      </w:r>
      <w:r w:rsidRPr="00FD304C">
        <w:rPr>
          <w:rFonts w:cs="Arial"/>
          <w:b/>
          <w:i/>
          <w:color w:val="000000"/>
          <w:szCs w:val="22"/>
          <w:lang w:val="cs-CZ"/>
        </w:rPr>
        <w:t xml:space="preserve">   </w:t>
      </w:r>
      <w:r w:rsidRPr="00FD304C">
        <w:rPr>
          <w:rFonts w:cs="Arial"/>
          <w:color w:val="000000"/>
          <w:szCs w:val="22"/>
          <w:lang w:val="cs-CZ"/>
        </w:rPr>
        <w:t>usnesením</w:t>
      </w:r>
      <w:proofErr w:type="gramEnd"/>
      <w:r w:rsidRPr="00FD304C">
        <w:rPr>
          <w:rFonts w:cs="Arial"/>
          <w:color w:val="000000"/>
          <w:szCs w:val="22"/>
          <w:lang w:val="cs-CZ"/>
        </w:rPr>
        <w:t xml:space="preserve"> č. </w:t>
      </w:r>
      <w:r w:rsidR="00354D69" w:rsidRPr="00FD304C">
        <w:rPr>
          <w:rFonts w:cs="Arial"/>
          <w:color w:val="000000"/>
          <w:szCs w:val="22"/>
          <w:lang w:val="cs-CZ"/>
        </w:rPr>
        <w:t>12</w:t>
      </w:r>
      <w:r w:rsidR="00350CC9" w:rsidRPr="00FD304C">
        <w:rPr>
          <w:rFonts w:cs="Arial"/>
          <w:color w:val="000000"/>
          <w:szCs w:val="22"/>
          <w:lang w:val="cs-CZ"/>
        </w:rPr>
        <w:t>/</w:t>
      </w:r>
      <w:r w:rsidR="00C932A7" w:rsidRPr="00FD304C">
        <w:rPr>
          <w:rFonts w:cs="Arial"/>
          <w:color w:val="000000"/>
          <w:szCs w:val="22"/>
          <w:lang w:val="cs-CZ"/>
        </w:rPr>
        <w:t>X</w:t>
      </w:r>
      <w:r w:rsidR="00350CC9" w:rsidRPr="00FD304C">
        <w:rPr>
          <w:rFonts w:cs="Arial"/>
          <w:color w:val="000000"/>
          <w:szCs w:val="22"/>
          <w:lang w:val="cs-CZ"/>
        </w:rPr>
        <w:t>/2014</w:t>
      </w:r>
    </w:p>
    <w:p w:rsidR="00DF1DC5" w:rsidRPr="00FD304C" w:rsidRDefault="00DF1DC5" w:rsidP="00FD304C">
      <w:pPr>
        <w:rPr>
          <w:rFonts w:cs="Arial"/>
          <w:color w:val="000000"/>
          <w:szCs w:val="22"/>
          <w:lang w:val="cs-CZ"/>
        </w:rPr>
      </w:pPr>
      <w:proofErr w:type="gramStart"/>
      <w:r w:rsidRPr="00FD304C">
        <w:rPr>
          <w:rFonts w:cs="Arial"/>
          <w:b/>
          <w:i/>
          <w:color w:val="000000"/>
          <w:spacing w:val="40"/>
          <w:szCs w:val="22"/>
          <w:lang w:val="cs-CZ"/>
        </w:rPr>
        <w:t>kontrolní</w:t>
      </w:r>
      <w:r w:rsidRPr="00FD304C">
        <w:rPr>
          <w:rFonts w:cs="Arial"/>
          <w:b/>
          <w:i/>
          <w:color w:val="000000"/>
          <w:szCs w:val="22"/>
          <w:lang w:val="cs-CZ"/>
        </w:rPr>
        <w:t xml:space="preserve">   </w:t>
      </w:r>
      <w:r w:rsidRPr="00FD304C">
        <w:rPr>
          <w:rFonts w:cs="Arial"/>
          <w:b/>
          <w:i/>
          <w:color w:val="000000"/>
          <w:spacing w:val="40"/>
          <w:szCs w:val="22"/>
          <w:lang w:val="cs-CZ"/>
        </w:rPr>
        <w:t>závěr</w:t>
      </w:r>
      <w:proofErr w:type="gramEnd"/>
      <w:r w:rsidRPr="00FD304C">
        <w:rPr>
          <w:rFonts w:cs="Arial"/>
          <w:b/>
          <w:i/>
          <w:color w:val="000000"/>
          <w:szCs w:val="22"/>
          <w:lang w:val="cs-CZ"/>
        </w:rPr>
        <w:t xml:space="preserve">   </w:t>
      </w:r>
      <w:r w:rsidRPr="00FD304C">
        <w:rPr>
          <w:rFonts w:cs="Arial"/>
          <w:color w:val="000000"/>
          <w:szCs w:val="22"/>
          <w:lang w:val="cs-CZ"/>
        </w:rPr>
        <w:t>v tomto znění:</w:t>
      </w:r>
    </w:p>
    <w:p w:rsidR="00DF1DC5" w:rsidRPr="00FD304C" w:rsidRDefault="00DF1DC5" w:rsidP="00FD304C">
      <w:pPr>
        <w:rPr>
          <w:rFonts w:cs="Arial"/>
          <w:color w:val="000000"/>
          <w:szCs w:val="22"/>
          <w:lang w:val="cs-CZ"/>
        </w:rPr>
      </w:pPr>
    </w:p>
    <w:p w:rsidR="00DF1DC5" w:rsidRPr="00FD304C" w:rsidRDefault="00DF1DC5" w:rsidP="00FD304C">
      <w:pPr>
        <w:rPr>
          <w:rFonts w:cs="Arial"/>
          <w:color w:val="000000"/>
          <w:szCs w:val="22"/>
          <w:lang w:val="cs-CZ"/>
        </w:rPr>
      </w:pPr>
    </w:p>
    <w:p w:rsidR="00DF1DC5" w:rsidRPr="00FD304C" w:rsidRDefault="00FD42E6" w:rsidP="00FD304C">
      <w:pPr>
        <w:ind w:left="360"/>
        <w:jc w:val="center"/>
        <w:rPr>
          <w:rFonts w:cs="Arial"/>
          <w:b/>
          <w:sz w:val="24"/>
          <w:lang w:val="cs-CZ"/>
        </w:rPr>
      </w:pPr>
      <w:r w:rsidRPr="00FD304C">
        <w:rPr>
          <w:rFonts w:cs="Arial"/>
          <w:b/>
          <w:sz w:val="24"/>
          <w:lang w:val="cs-CZ"/>
        </w:rPr>
        <w:t xml:space="preserve">I. </w:t>
      </w:r>
      <w:r w:rsidR="00DF1DC5" w:rsidRPr="00FD304C">
        <w:rPr>
          <w:rFonts w:cs="Arial"/>
          <w:b/>
          <w:sz w:val="24"/>
          <w:lang w:val="cs-CZ"/>
        </w:rPr>
        <w:t>Úvod</w:t>
      </w:r>
    </w:p>
    <w:p w:rsidR="00556785" w:rsidRPr="00FD304C" w:rsidRDefault="00556785" w:rsidP="00FD304C">
      <w:pPr>
        <w:pStyle w:val="Odstavecseseznamem"/>
        <w:ind w:left="0"/>
        <w:rPr>
          <w:rFonts w:cs="Arial"/>
          <w:szCs w:val="22"/>
          <w:lang w:val="cs-CZ"/>
        </w:rPr>
      </w:pPr>
    </w:p>
    <w:p w:rsidR="0084583F" w:rsidRPr="00FD304C" w:rsidRDefault="0084583F" w:rsidP="00FD304C">
      <w:pPr>
        <w:rPr>
          <w:rFonts w:cs="Arial"/>
          <w:lang w:val="cs-CZ"/>
        </w:rPr>
      </w:pPr>
      <w:r w:rsidRPr="00FD304C">
        <w:rPr>
          <w:rFonts w:cs="Arial"/>
          <w:lang w:val="cs-CZ"/>
        </w:rPr>
        <w:t>Vznik, činnost a zánik resortních, oborových, podnikových a dalších zdravotních pojišťoven (dále také „zaměstnanecká pojišťovna“) upravuje zákon č. 280/1992 Sb.</w:t>
      </w:r>
      <w:r w:rsidRPr="00FD304C">
        <w:rPr>
          <w:rStyle w:val="Znakapoznpodarou"/>
          <w:rFonts w:cs="Arial"/>
          <w:lang w:val="cs-CZ"/>
        </w:rPr>
        <w:footnoteReference w:id="2"/>
      </w:r>
      <w:r w:rsidRPr="00FD304C">
        <w:rPr>
          <w:rFonts w:cs="Arial"/>
          <w:lang w:val="cs-CZ"/>
        </w:rPr>
        <w:t xml:space="preserve"> Podle tohoto zákona je zaměstnanecká pojišťovna právnickou osobou, v právních vztazích vystupuje svým jménem, může nabývat práv a povinností a nese odpovědnost z těchto vztahů vyplývající. Zapisuje se do obchodního rejstříku. Zaměstnanecká pojišťovna hospodaří s vlastním majetkem a majetkem jí svěřeným. Nesmí zřizovat a provozovat poskytovatele zdravotních služeb ani podnikat s prostředky plynoucími z veřejného zdravotního pojištění. </w:t>
      </w:r>
    </w:p>
    <w:p w:rsidR="0084583F" w:rsidRPr="00FD304C" w:rsidRDefault="0084583F" w:rsidP="00FD304C">
      <w:pPr>
        <w:rPr>
          <w:rFonts w:cs="Arial"/>
          <w:lang w:val="cs-CZ"/>
        </w:rPr>
      </w:pPr>
    </w:p>
    <w:p w:rsidR="00C56773" w:rsidRPr="00FD304C" w:rsidRDefault="0048662B" w:rsidP="00FD304C">
      <w:pPr>
        <w:rPr>
          <w:rFonts w:cs="Arial"/>
          <w:szCs w:val="22"/>
          <w:lang w:val="cs-CZ"/>
        </w:rPr>
      </w:pPr>
      <w:r w:rsidRPr="00FD304C">
        <w:rPr>
          <w:rFonts w:cs="Arial"/>
          <w:szCs w:val="22"/>
          <w:lang w:val="cs-CZ"/>
        </w:rPr>
        <w:lastRenderedPageBreak/>
        <w:t xml:space="preserve">Po přijetí výše uvedeného </w:t>
      </w:r>
      <w:r w:rsidR="00C06C2C" w:rsidRPr="00FD304C">
        <w:rPr>
          <w:rFonts w:cs="Arial"/>
          <w:szCs w:val="22"/>
          <w:lang w:val="cs-CZ"/>
        </w:rPr>
        <w:t>zákon</w:t>
      </w:r>
      <w:r w:rsidRPr="00FD304C">
        <w:rPr>
          <w:rFonts w:cs="Arial"/>
          <w:szCs w:val="22"/>
          <w:lang w:val="cs-CZ"/>
        </w:rPr>
        <w:t>a vznikl</w:t>
      </w:r>
      <w:r w:rsidR="00926199">
        <w:rPr>
          <w:rFonts w:cs="Arial"/>
          <w:szCs w:val="22"/>
          <w:lang w:val="cs-CZ"/>
        </w:rPr>
        <w:t>o</w:t>
      </w:r>
      <w:r w:rsidRPr="00FD304C">
        <w:rPr>
          <w:rFonts w:cs="Arial"/>
          <w:szCs w:val="22"/>
          <w:lang w:val="cs-CZ"/>
        </w:rPr>
        <w:t xml:space="preserve"> přes </w:t>
      </w:r>
      <w:r w:rsidR="00926199">
        <w:rPr>
          <w:rFonts w:cs="Arial"/>
          <w:szCs w:val="22"/>
          <w:lang w:val="cs-CZ"/>
        </w:rPr>
        <w:t>20</w:t>
      </w:r>
      <w:r w:rsidRPr="00FD304C">
        <w:rPr>
          <w:rFonts w:cs="Arial"/>
          <w:szCs w:val="22"/>
          <w:lang w:val="cs-CZ"/>
        </w:rPr>
        <w:t xml:space="preserve"> </w:t>
      </w:r>
      <w:r w:rsidR="00556785" w:rsidRPr="00FD304C">
        <w:rPr>
          <w:rFonts w:cs="Arial"/>
          <w:szCs w:val="22"/>
          <w:lang w:val="cs-CZ"/>
        </w:rPr>
        <w:t>zaměstnaneckých po</w:t>
      </w:r>
      <w:r w:rsidRPr="00FD304C">
        <w:rPr>
          <w:rFonts w:cs="Arial"/>
          <w:szCs w:val="22"/>
          <w:lang w:val="cs-CZ"/>
        </w:rPr>
        <w:t>jišťoven</w:t>
      </w:r>
      <w:r w:rsidR="00350CC9" w:rsidRPr="00FD304C">
        <w:rPr>
          <w:rFonts w:cs="Arial"/>
          <w:szCs w:val="22"/>
          <w:lang w:val="cs-CZ"/>
        </w:rPr>
        <w:t>.</w:t>
      </w:r>
      <w:r w:rsidR="002324A7" w:rsidRPr="00FD304C">
        <w:rPr>
          <w:rFonts w:cs="Arial"/>
          <w:szCs w:val="22"/>
          <w:lang w:val="cs-CZ"/>
        </w:rPr>
        <w:t xml:space="preserve"> </w:t>
      </w:r>
      <w:r w:rsidR="00556785" w:rsidRPr="00FD304C">
        <w:rPr>
          <w:rFonts w:cs="Arial"/>
          <w:szCs w:val="22"/>
          <w:lang w:val="cs-CZ"/>
        </w:rPr>
        <w:t xml:space="preserve">Kromě </w:t>
      </w:r>
      <w:r w:rsidR="00C746BD" w:rsidRPr="00FD304C">
        <w:rPr>
          <w:rFonts w:cs="Arial"/>
          <w:szCs w:val="22"/>
          <w:lang w:val="cs-CZ"/>
        </w:rPr>
        <w:t>úhrad</w:t>
      </w:r>
      <w:r w:rsidRPr="00FD304C">
        <w:rPr>
          <w:rFonts w:cs="Arial"/>
          <w:szCs w:val="22"/>
          <w:lang w:val="cs-CZ"/>
        </w:rPr>
        <w:t xml:space="preserve"> zdravotní</w:t>
      </w:r>
      <w:r w:rsidR="00611657" w:rsidRPr="00FD304C">
        <w:rPr>
          <w:rFonts w:cs="Arial"/>
          <w:szCs w:val="22"/>
          <w:lang w:val="cs-CZ"/>
        </w:rPr>
        <w:t>ch služeb</w:t>
      </w:r>
      <w:r w:rsidR="00790BCF" w:rsidRPr="00FD304C">
        <w:rPr>
          <w:rFonts w:cs="Arial"/>
          <w:szCs w:val="22"/>
          <w:lang w:val="cs-CZ"/>
        </w:rPr>
        <w:t xml:space="preserve"> z prostředků </w:t>
      </w:r>
      <w:r w:rsidR="00466617" w:rsidRPr="00FD304C">
        <w:rPr>
          <w:rFonts w:cs="Arial"/>
          <w:szCs w:val="22"/>
          <w:lang w:val="cs-CZ"/>
        </w:rPr>
        <w:t xml:space="preserve">veřejného zdravotního pojištění </w:t>
      </w:r>
      <w:r w:rsidR="00556785" w:rsidRPr="00FD304C">
        <w:rPr>
          <w:rFonts w:cs="Arial"/>
          <w:szCs w:val="22"/>
          <w:lang w:val="cs-CZ"/>
        </w:rPr>
        <w:t xml:space="preserve">bylo počítáno s různými druhy připojištění a </w:t>
      </w:r>
      <w:r w:rsidR="002324A7" w:rsidRPr="00FD304C">
        <w:rPr>
          <w:rFonts w:cs="Arial"/>
          <w:szCs w:val="22"/>
          <w:lang w:val="cs-CZ"/>
        </w:rPr>
        <w:t>například</w:t>
      </w:r>
      <w:r w:rsidR="00556785" w:rsidRPr="00FD304C">
        <w:rPr>
          <w:rFonts w:cs="Arial"/>
          <w:szCs w:val="22"/>
          <w:lang w:val="cs-CZ"/>
        </w:rPr>
        <w:t xml:space="preserve"> </w:t>
      </w:r>
      <w:r w:rsidR="00C06C2C" w:rsidRPr="00FD304C">
        <w:rPr>
          <w:rFonts w:cs="Arial"/>
          <w:szCs w:val="22"/>
          <w:lang w:val="cs-CZ"/>
        </w:rPr>
        <w:t>také</w:t>
      </w:r>
      <w:r w:rsidR="00721677" w:rsidRPr="00FD304C">
        <w:rPr>
          <w:rFonts w:cs="Arial"/>
          <w:szCs w:val="22"/>
          <w:lang w:val="cs-CZ"/>
        </w:rPr>
        <w:t xml:space="preserve"> </w:t>
      </w:r>
      <w:r w:rsidR="0034231C" w:rsidRPr="00FD304C">
        <w:rPr>
          <w:rFonts w:cs="Arial"/>
          <w:szCs w:val="22"/>
          <w:lang w:val="cs-CZ"/>
        </w:rPr>
        <w:t xml:space="preserve">s </w:t>
      </w:r>
      <w:r w:rsidR="00556785" w:rsidRPr="00FD304C">
        <w:rPr>
          <w:rFonts w:cs="Arial"/>
          <w:szCs w:val="22"/>
          <w:lang w:val="cs-CZ"/>
        </w:rPr>
        <w:t>tím, že pojištěncům budou</w:t>
      </w:r>
      <w:r w:rsidR="00EF012B" w:rsidRPr="00FD304C">
        <w:rPr>
          <w:rFonts w:cs="Arial"/>
          <w:szCs w:val="22"/>
          <w:lang w:val="cs-CZ"/>
        </w:rPr>
        <w:t xml:space="preserve"> zaměstnanecké </w:t>
      </w:r>
      <w:r w:rsidR="00466617" w:rsidRPr="00FD304C">
        <w:rPr>
          <w:rFonts w:cs="Arial"/>
          <w:szCs w:val="22"/>
          <w:lang w:val="cs-CZ"/>
        </w:rPr>
        <w:t xml:space="preserve">pojišťovny </w:t>
      </w:r>
      <w:r w:rsidR="002324A7" w:rsidRPr="00FD304C">
        <w:rPr>
          <w:rFonts w:cs="Arial"/>
          <w:szCs w:val="22"/>
          <w:lang w:val="cs-CZ"/>
        </w:rPr>
        <w:t>hradit</w:t>
      </w:r>
      <w:r w:rsidR="00556785" w:rsidRPr="00FD304C">
        <w:rPr>
          <w:rFonts w:cs="Arial"/>
          <w:szCs w:val="22"/>
          <w:lang w:val="cs-CZ"/>
        </w:rPr>
        <w:t xml:space="preserve"> péči, na které by se finančně podíleli zaměstnavatelé. Uvažováno</w:t>
      </w:r>
      <w:r w:rsidR="00EF012B" w:rsidRPr="00FD304C">
        <w:rPr>
          <w:rFonts w:cs="Arial"/>
          <w:szCs w:val="22"/>
          <w:lang w:val="cs-CZ"/>
        </w:rPr>
        <w:t xml:space="preserve"> </w:t>
      </w:r>
      <w:r w:rsidR="00556785" w:rsidRPr="00FD304C">
        <w:rPr>
          <w:rFonts w:cs="Arial"/>
          <w:szCs w:val="22"/>
          <w:lang w:val="cs-CZ"/>
        </w:rPr>
        <w:t xml:space="preserve">bylo </w:t>
      </w:r>
      <w:r w:rsidR="001B673D">
        <w:rPr>
          <w:rFonts w:cs="Arial"/>
          <w:szCs w:val="22"/>
          <w:lang w:val="cs-CZ"/>
        </w:rPr>
        <w:t>o možnosti</w:t>
      </w:r>
      <w:r w:rsidR="00685537">
        <w:rPr>
          <w:rFonts w:cs="Arial"/>
          <w:szCs w:val="22"/>
          <w:lang w:val="cs-CZ"/>
        </w:rPr>
        <w:t>, že</w:t>
      </w:r>
      <w:r w:rsidR="00556785" w:rsidRPr="00FD304C">
        <w:rPr>
          <w:rFonts w:cs="Arial"/>
          <w:szCs w:val="22"/>
          <w:lang w:val="cs-CZ"/>
        </w:rPr>
        <w:t xml:space="preserve"> </w:t>
      </w:r>
      <w:r w:rsidR="00466617" w:rsidRPr="00FD304C">
        <w:rPr>
          <w:rFonts w:cs="Arial"/>
          <w:szCs w:val="22"/>
          <w:lang w:val="cs-CZ"/>
        </w:rPr>
        <w:t xml:space="preserve">zdravotní </w:t>
      </w:r>
      <w:r w:rsidR="007E56AC" w:rsidRPr="00FD304C">
        <w:rPr>
          <w:rFonts w:cs="Arial"/>
          <w:szCs w:val="22"/>
          <w:lang w:val="cs-CZ"/>
        </w:rPr>
        <w:t xml:space="preserve">pojišťovny </w:t>
      </w:r>
      <w:r w:rsidR="00685537">
        <w:rPr>
          <w:rFonts w:cs="Arial"/>
          <w:szCs w:val="22"/>
          <w:lang w:val="cs-CZ"/>
        </w:rPr>
        <w:t xml:space="preserve">budou moct </w:t>
      </w:r>
      <w:r w:rsidR="007E56AC" w:rsidRPr="00FD304C">
        <w:rPr>
          <w:rFonts w:cs="Arial"/>
          <w:szCs w:val="22"/>
          <w:lang w:val="cs-CZ"/>
        </w:rPr>
        <w:t xml:space="preserve">snížit </w:t>
      </w:r>
      <w:r w:rsidR="00556785" w:rsidRPr="00FD304C">
        <w:rPr>
          <w:rFonts w:cs="Arial"/>
          <w:szCs w:val="22"/>
          <w:lang w:val="cs-CZ"/>
        </w:rPr>
        <w:t>sazbu pojistného pro své pojištěnce</w:t>
      </w:r>
      <w:r w:rsidR="00933CD1" w:rsidRPr="00FD304C">
        <w:rPr>
          <w:rFonts w:cs="Arial"/>
          <w:szCs w:val="22"/>
          <w:lang w:val="cs-CZ"/>
        </w:rPr>
        <w:t>.</w:t>
      </w:r>
      <w:r w:rsidR="006E3F86" w:rsidRPr="00FD304C">
        <w:rPr>
          <w:rFonts w:cs="Arial"/>
          <w:szCs w:val="22"/>
          <w:lang w:val="cs-CZ"/>
        </w:rPr>
        <w:t xml:space="preserve"> </w:t>
      </w:r>
      <w:r w:rsidR="00933CD1" w:rsidRPr="00FD304C">
        <w:rPr>
          <w:rFonts w:cs="Arial"/>
          <w:szCs w:val="22"/>
          <w:lang w:val="cs-CZ"/>
        </w:rPr>
        <w:t>V</w:t>
      </w:r>
      <w:r w:rsidR="006E3F86" w:rsidRPr="00FD304C">
        <w:rPr>
          <w:rFonts w:cs="Arial"/>
          <w:szCs w:val="22"/>
          <w:lang w:val="cs-CZ"/>
        </w:rPr>
        <w:t>ýrazně byl</w:t>
      </w:r>
      <w:r w:rsidR="00933CD1" w:rsidRPr="00FD304C">
        <w:rPr>
          <w:rFonts w:cs="Arial"/>
          <w:szCs w:val="22"/>
          <w:lang w:val="cs-CZ"/>
        </w:rPr>
        <w:t xml:space="preserve"> v té době</w:t>
      </w:r>
      <w:r w:rsidR="00B37145" w:rsidRPr="00FD304C">
        <w:rPr>
          <w:rFonts w:cs="Arial"/>
          <w:szCs w:val="22"/>
          <w:lang w:val="cs-CZ"/>
        </w:rPr>
        <w:t xml:space="preserve"> </w:t>
      </w:r>
      <w:r w:rsidR="007E56AC" w:rsidRPr="00FD304C">
        <w:rPr>
          <w:rFonts w:cs="Arial"/>
          <w:szCs w:val="22"/>
          <w:lang w:val="cs-CZ"/>
        </w:rPr>
        <w:t xml:space="preserve">sledován </w:t>
      </w:r>
      <w:r w:rsidR="00B94EE6" w:rsidRPr="00FD304C">
        <w:rPr>
          <w:rFonts w:cs="Arial"/>
          <w:szCs w:val="22"/>
          <w:lang w:val="cs-CZ"/>
        </w:rPr>
        <w:t xml:space="preserve">záměr vytvořit </w:t>
      </w:r>
      <w:r w:rsidR="00C06C2C" w:rsidRPr="00FD304C">
        <w:rPr>
          <w:rFonts w:cs="Arial"/>
          <w:szCs w:val="22"/>
          <w:lang w:val="cs-CZ"/>
        </w:rPr>
        <w:t>pod</w:t>
      </w:r>
      <w:r w:rsidR="00B94EE6" w:rsidRPr="00FD304C">
        <w:rPr>
          <w:rFonts w:cs="Arial"/>
          <w:szCs w:val="22"/>
          <w:lang w:val="cs-CZ"/>
        </w:rPr>
        <w:t xml:space="preserve">mínky pro konkurenční prostředí. </w:t>
      </w:r>
    </w:p>
    <w:p w:rsidR="0084583F" w:rsidRPr="00FD304C" w:rsidRDefault="0084583F" w:rsidP="00FD304C">
      <w:pPr>
        <w:rPr>
          <w:rFonts w:cs="Arial"/>
          <w:szCs w:val="22"/>
          <w:lang w:val="cs-CZ"/>
        </w:rPr>
      </w:pPr>
    </w:p>
    <w:p w:rsidR="0084583F" w:rsidRPr="00FD304C" w:rsidRDefault="006E3F86" w:rsidP="00FD304C">
      <w:pPr>
        <w:rPr>
          <w:rFonts w:cs="Arial"/>
          <w:lang w:val="cs-CZ"/>
        </w:rPr>
      </w:pPr>
      <w:r w:rsidRPr="00FD304C">
        <w:rPr>
          <w:rFonts w:cs="Arial"/>
          <w:lang w:val="cs-CZ"/>
        </w:rPr>
        <w:t xml:space="preserve">O povolení k </w:t>
      </w:r>
      <w:r w:rsidR="0084583F" w:rsidRPr="00FD304C">
        <w:rPr>
          <w:rFonts w:cs="Arial"/>
          <w:lang w:val="cs-CZ"/>
        </w:rPr>
        <w:t xml:space="preserve">provádění veřejného zdravotního pojištění rozhoduje Ministerstvo zdravotnictví po vyjádření Ministerstva financí. </w:t>
      </w:r>
      <w:r w:rsidRPr="00FD304C">
        <w:rPr>
          <w:rFonts w:cs="Arial"/>
          <w:szCs w:val="22"/>
          <w:lang w:val="cs-CZ"/>
        </w:rPr>
        <w:t xml:space="preserve">K 1. lednu 2014 působilo v </w:t>
      </w:r>
      <w:r w:rsidR="00790BCF" w:rsidRPr="00FD304C">
        <w:rPr>
          <w:rFonts w:cs="Arial"/>
          <w:szCs w:val="22"/>
          <w:lang w:val="cs-CZ"/>
        </w:rPr>
        <w:t xml:space="preserve">České republice </w:t>
      </w:r>
      <w:r w:rsidRPr="00FD304C">
        <w:rPr>
          <w:rFonts w:cs="Arial"/>
          <w:szCs w:val="22"/>
          <w:lang w:val="cs-CZ"/>
        </w:rPr>
        <w:t xml:space="preserve">vedle Všeobecné zdravotní pojišťovny </w:t>
      </w:r>
      <w:r w:rsidR="00790BCF" w:rsidRPr="00FD304C">
        <w:rPr>
          <w:rFonts w:cs="Arial"/>
          <w:szCs w:val="22"/>
          <w:lang w:val="cs-CZ"/>
        </w:rPr>
        <w:t xml:space="preserve">ČR </w:t>
      </w:r>
      <w:r w:rsidR="0089706D" w:rsidRPr="00FD304C">
        <w:rPr>
          <w:rFonts w:cs="Arial"/>
          <w:szCs w:val="22"/>
          <w:lang w:val="cs-CZ"/>
        </w:rPr>
        <w:t xml:space="preserve">(dále také „VZP“) </w:t>
      </w:r>
      <w:r w:rsidRPr="00FD304C">
        <w:rPr>
          <w:rFonts w:cs="Arial"/>
          <w:szCs w:val="22"/>
          <w:lang w:val="cs-CZ"/>
        </w:rPr>
        <w:t xml:space="preserve">šest zaměstnaneckých pojišťoven. </w:t>
      </w:r>
    </w:p>
    <w:p w:rsidR="006E3F86" w:rsidRPr="00FD304C" w:rsidRDefault="006E3F86" w:rsidP="00FD304C">
      <w:pPr>
        <w:rPr>
          <w:rFonts w:cs="Arial"/>
          <w:b/>
          <w:lang w:val="cs-CZ"/>
        </w:rPr>
      </w:pPr>
    </w:p>
    <w:p w:rsidR="0034231C" w:rsidRPr="00FD304C" w:rsidRDefault="0034231C" w:rsidP="00FD304C">
      <w:pPr>
        <w:rPr>
          <w:rFonts w:cs="Arial"/>
          <w:szCs w:val="22"/>
          <w:lang w:val="cs-CZ"/>
        </w:rPr>
      </w:pPr>
      <w:r w:rsidRPr="00FD304C">
        <w:rPr>
          <w:rFonts w:cs="Arial"/>
          <w:b/>
          <w:szCs w:val="22"/>
          <w:lang w:val="cs-CZ"/>
        </w:rPr>
        <w:t>Česká průmyslová zdravotní pojišťovna</w:t>
      </w:r>
      <w:r w:rsidRPr="00FD304C">
        <w:rPr>
          <w:rFonts w:cs="Arial"/>
          <w:szCs w:val="22"/>
          <w:lang w:val="cs-CZ"/>
        </w:rPr>
        <w:t xml:space="preserve"> (dále také „ČPZP“)</w:t>
      </w:r>
      <w:r w:rsidR="00C06C2C" w:rsidRPr="00FD304C">
        <w:rPr>
          <w:rFonts w:cs="Arial"/>
          <w:szCs w:val="22"/>
          <w:lang w:val="cs-CZ"/>
        </w:rPr>
        <w:t xml:space="preserve">, která </w:t>
      </w:r>
      <w:r w:rsidRPr="00FD304C">
        <w:rPr>
          <w:rFonts w:cs="Arial"/>
          <w:szCs w:val="22"/>
          <w:lang w:val="cs-CZ"/>
        </w:rPr>
        <w:t xml:space="preserve">vznikla v roce 1992 pod názvem Hutnická </w:t>
      </w:r>
      <w:r w:rsidR="009F58F7" w:rsidRPr="00FD304C">
        <w:rPr>
          <w:rFonts w:cs="Arial"/>
          <w:szCs w:val="22"/>
          <w:lang w:val="cs-CZ"/>
        </w:rPr>
        <w:t xml:space="preserve">zaměstnanecká </w:t>
      </w:r>
      <w:r w:rsidR="006E3F86" w:rsidRPr="00FD304C">
        <w:rPr>
          <w:rFonts w:cs="Arial"/>
          <w:szCs w:val="22"/>
          <w:lang w:val="cs-CZ"/>
        </w:rPr>
        <w:t>pojišťovna (dále také „HZP“)</w:t>
      </w:r>
      <w:r w:rsidR="00926199">
        <w:rPr>
          <w:rFonts w:cs="Arial"/>
          <w:szCs w:val="22"/>
          <w:lang w:val="cs-CZ"/>
        </w:rPr>
        <w:t>,</w:t>
      </w:r>
      <w:r w:rsidR="006E3F86" w:rsidRPr="00FD304C">
        <w:rPr>
          <w:rFonts w:cs="Arial"/>
          <w:szCs w:val="22"/>
          <w:lang w:val="cs-CZ"/>
        </w:rPr>
        <w:t xml:space="preserve"> je</w:t>
      </w:r>
      <w:r w:rsidR="008758A6" w:rsidRPr="00FD304C">
        <w:rPr>
          <w:rFonts w:cs="Arial"/>
          <w:szCs w:val="22"/>
          <w:lang w:val="cs-CZ"/>
        </w:rPr>
        <w:t xml:space="preserve"> v současné době </w:t>
      </w:r>
      <w:r w:rsidR="006E3F86" w:rsidRPr="00FD304C">
        <w:rPr>
          <w:rFonts w:cs="Arial"/>
          <w:szCs w:val="22"/>
          <w:lang w:val="cs-CZ"/>
        </w:rPr>
        <w:t>z</w:t>
      </w:r>
      <w:r w:rsidR="00C06C2C" w:rsidRPr="00FD304C">
        <w:rPr>
          <w:rFonts w:cs="Arial"/>
          <w:szCs w:val="22"/>
          <w:lang w:val="cs-CZ"/>
        </w:rPr>
        <w:t xml:space="preserve"> hlediska počtu pojištěnců druhou největší zaměstnaneckou pojišťovnou </w:t>
      </w:r>
      <w:r w:rsidRPr="00FD304C">
        <w:rPr>
          <w:rFonts w:cs="Arial"/>
          <w:szCs w:val="22"/>
          <w:lang w:val="cs-CZ"/>
        </w:rPr>
        <w:t>v ČR.</w:t>
      </w:r>
    </w:p>
    <w:p w:rsidR="006754DD" w:rsidRPr="00FD304C" w:rsidRDefault="006754DD" w:rsidP="00FD304C">
      <w:pPr>
        <w:rPr>
          <w:rFonts w:cs="Arial"/>
          <w:lang w:val="cs-CZ"/>
        </w:rPr>
      </w:pPr>
    </w:p>
    <w:p w:rsidR="004B0D5E" w:rsidRPr="00FD304C" w:rsidRDefault="006754DD" w:rsidP="00FD304C">
      <w:pPr>
        <w:rPr>
          <w:rFonts w:cs="Arial"/>
          <w:lang w:val="cs-CZ"/>
        </w:rPr>
      </w:pPr>
      <w:r w:rsidRPr="00FD304C">
        <w:rPr>
          <w:rFonts w:cs="Arial"/>
          <w:b/>
          <w:bCs/>
          <w:lang w:val="cs-CZ"/>
        </w:rPr>
        <w:t xml:space="preserve">Ministerstvo zdravotnictví </w:t>
      </w:r>
      <w:r w:rsidR="002654F8" w:rsidRPr="00FD304C">
        <w:rPr>
          <w:rFonts w:cs="Arial"/>
          <w:bCs/>
          <w:lang w:val="cs-CZ"/>
        </w:rPr>
        <w:t xml:space="preserve">(dále také „MZ“) </w:t>
      </w:r>
      <w:r w:rsidRPr="00FD304C">
        <w:rPr>
          <w:rFonts w:cs="Arial"/>
          <w:lang w:val="cs-CZ"/>
        </w:rPr>
        <w:t xml:space="preserve">je ústředním orgánem státní správy mimo jiné </w:t>
      </w:r>
      <w:r w:rsidR="002654F8" w:rsidRPr="00FD304C">
        <w:rPr>
          <w:rFonts w:cs="Arial"/>
          <w:lang w:val="cs-CZ"/>
        </w:rPr>
        <w:t>pro zdravotní pojištění</w:t>
      </w:r>
      <w:r w:rsidRPr="00FD304C">
        <w:rPr>
          <w:rFonts w:cs="Arial"/>
          <w:lang w:val="cs-CZ"/>
        </w:rPr>
        <w:t>.</w:t>
      </w:r>
      <w:r w:rsidR="002654F8" w:rsidRPr="00FD304C">
        <w:rPr>
          <w:rFonts w:cs="Arial"/>
          <w:lang w:val="cs-CZ"/>
        </w:rPr>
        <w:t xml:space="preserve"> Zvláštní právní předpisy</w:t>
      </w:r>
      <w:r w:rsidR="00D4610D" w:rsidRPr="00FD304C">
        <w:rPr>
          <w:rFonts w:cs="Arial"/>
          <w:lang w:val="cs-CZ"/>
        </w:rPr>
        <w:t>,</w:t>
      </w:r>
      <w:r w:rsidR="00B94EE6" w:rsidRPr="00FD304C">
        <w:rPr>
          <w:rFonts w:cs="Arial"/>
          <w:lang w:val="cs-CZ"/>
        </w:rPr>
        <w:t xml:space="preserve"> zejména zákon č. 280/1992 </w:t>
      </w:r>
      <w:proofErr w:type="gramStart"/>
      <w:r w:rsidR="00B94EE6" w:rsidRPr="00FD304C">
        <w:rPr>
          <w:rFonts w:cs="Arial"/>
          <w:lang w:val="cs-CZ"/>
        </w:rPr>
        <w:t>Sb.</w:t>
      </w:r>
      <w:r w:rsidR="007D736E" w:rsidRPr="00FD304C">
        <w:rPr>
          <w:rFonts w:cs="Arial"/>
          <w:vertAlign w:val="superscript"/>
          <w:lang w:val="cs-CZ"/>
        </w:rPr>
        <w:t>1</w:t>
      </w:r>
      <w:r w:rsidR="00D4610D" w:rsidRPr="00FD304C">
        <w:rPr>
          <w:rFonts w:cs="Arial"/>
          <w:lang w:val="cs-CZ"/>
        </w:rPr>
        <w:t>,</w:t>
      </w:r>
      <w:r w:rsidR="00B94EE6" w:rsidRPr="00FD304C">
        <w:rPr>
          <w:rFonts w:cs="Arial"/>
          <w:lang w:val="cs-CZ"/>
        </w:rPr>
        <w:t xml:space="preserve"> </w:t>
      </w:r>
      <w:r w:rsidR="002654F8" w:rsidRPr="00FD304C">
        <w:rPr>
          <w:rFonts w:cs="Arial"/>
          <w:lang w:val="cs-CZ"/>
        </w:rPr>
        <w:t>specif</w:t>
      </w:r>
      <w:r w:rsidR="00B94EE6" w:rsidRPr="00FD304C">
        <w:rPr>
          <w:rFonts w:cs="Arial"/>
          <w:lang w:val="cs-CZ"/>
        </w:rPr>
        <w:t>ikují</w:t>
      </w:r>
      <w:proofErr w:type="gramEnd"/>
      <w:r w:rsidR="00B94EE6" w:rsidRPr="00FD304C">
        <w:rPr>
          <w:rFonts w:cs="Arial"/>
          <w:lang w:val="cs-CZ"/>
        </w:rPr>
        <w:t xml:space="preserve"> pravomoci a povinnosti MZ</w:t>
      </w:r>
      <w:r w:rsidR="0036104E" w:rsidRPr="00FD304C">
        <w:rPr>
          <w:rFonts w:cs="Arial"/>
          <w:lang w:val="cs-CZ"/>
        </w:rPr>
        <w:t xml:space="preserve"> ve vztahu k zaměstnaneckým pojišťovnám</w:t>
      </w:r>
      <w:r w:rsidR="00B94EE6" w:rsidRPr="00FD304C">
        <w:rPr>
          <w:rFonts w:cs="Arial"/>
          <w:lang w:val="cs-CZ"/>
        </w:rPr>
        <w:t xml:space="preserve">. </w:t>
      </w:r>
      <w:r w:rsidR="004B0D5E" w:rsidRPr="00FD304C">
        <w:rPr>
          <w:rFonts w:cs="Arial"/>
          <w:lang w:val="cs-CZ"/>
        </w:rPr>
        <w:t xml:space="preserve">Zjistí-li MZ závažné nedostatky v činnosti zaměstnanecké pojišťovny, je oprávněno podle povahy zjištěného nedostatku vyžadovat, aby </w:t>
      </w:r>
      <w:r w:rsidR="006E3F86" w:rsidRPr="00FD304C">
        <w:rPr>
          <w:rFonts w:cs="Arial"/>
          <w:lang w:val="cs-CZ"/>
        </w:rPr>
        <w:t xml:space="preserve">byla </w:t>
      </w:r>
      <w:r w:rsidR="004B0D5E" w:rsidRPr="00FD304C">
        <w:rPr>
          <w:rFonts w:cs="Arial"/>
          <w:lang w:val="cs-CZ"/>
        </w:rPr>
        <w:t>ve stanovené lhůtě zjedn</w:t>
      </w:r>
      <w:r w:rsidR="006E3F86" w:rsidRPr="00FD304C">
        <w:rPr>
          <w:rFonts w:cs="Arial"/>
          <w:lang w:val="cs-CZ"/>
        </w:rPr>
        <w:t>ána náprava</w:t>
      </w:r>
      <w:r w:rsidR="004B0D5E" w:rsidRPr="00FD304C">
        <w:rPr>
          <w:rFonts w:cs="Arial"/>
          <w:lang w:val="cs-CZ"/>
        </w:rPr>
        <w:t xml:space="preserve">, nebo může na dobu nejvýše jednoho roku rozhodnout o zavedení nucené správy. </w:t>
      </w:r>
    </w:p>
    <w:p w:rsidR="00C56773" w:rsidRPr="00FD304C" w:rsidRDefault="00C56773" w:rsidP="00FD304C">
      <w:pPr>
        <w:rPr>
          <w:rFonts w:cs="Arial"/>
          <w:lang w:val="cs-CZ"/>
        </w:rPr>
      </w:pPr>
    </w:p>
    <w:p w:rsidR="003B48D1" w:rsidRPr="00FD304C" w:rsidRDefault="003B48D1" w:rsidP="00FD304C">
      <w:pPr>
        <w:rPr>
          <w:rFonts w:cs="Arial"/>
          <w:lang w:val="cs-CZ"/>
        </w:rPr>
      </w:pPr>
      <w:r w:rsidRPr="00FD304C">
        <w:rPr>
          <w:rFonts w:cs="Arial"/>
          <w:lang w:val="cs-CZ"/>
        </w:rPr>
        <w:t xml:space="preserve">Kontrole byly podrobeny </w:t>
      </w:r>
      <w:r w:rsidR="00634FA6" w:rsidRPr="00FD304C">
        <w:rPr>
          <w:rFonts w:cs="Arial"/>
          <w:lang w:val="cs-CZ"/>
        </w:rPr>
        <w:t xml:space="preserve">činnosti kontrolovaných osob </w:t>
      </w:r>
      <w:r w:rsidRPr="00FD304C">
        <w:rPr>
          <w:rFonts w:cs="Arial"/>
          <w:lang w:val="cs-CZ"/>
        </w:rPr>
        <w:t xml:space="preserve">z hlediska </w:t>
      </w:r>
      <w:r w:rsidR="00CA4075" w:rsidRPr="00FD304C">
        <w:rPr>
          <w:rFonts w:cs="Arial"/>
          <w:lang w:val="cs-CZ"/>
        </w:rPr>
        <w:t>souladu s právními předpisy</w:t>
      </w:r>
      <w:r w:rsidR="00D04657">
        <w:rPr>
          <w:rFonts w:cs="Arial"/>
          <w:lang w:val="cs-CZ"/>
        </w:rPr>
        <w:t xml:space="preserve"> a z hlediska</w:t>
      </w:r>
      <w:r w:rsidRPr="00FD304C">
        <w:rPr>
          <w:rFonts w:cs="Arial"/>
          <w:lang w:val="cs-CZ"/>
        </w:rPr>
        <w:t xml:space="preserve"> formální a věcné správnosti</w:t>
      </w:r>
      <w:r w:rsidR="00634FA6" w:rsidRPr="00FD304C">
        <w:rPr>
          <w:rFonts w:cs="Arial"/>
          <w:lang w:val="cs-CZ"/>
        </w:rPr>
        <w:t>, a to</w:t>
      </w:r>
      <w:r w:rsidRPr="00FD304C">
        <w:rPr>
          <w:rFonts w:cs="Arial"/>
          <w:lang w:val="cs-CZ"/>
        </w:rPr>
        <w:t xml:space="preserve"> zejména: výběr pojistného na veřejné zdravotní pojištění včetně vymáhání a</w:t>
      </w:r>
      <w:r w:rsidR="00350CC9" w:rsidRPr="00FD304C">
        <w:rPr>
          <w:rFonts w:cs="Arial"/>
          <w:lang w:val="cs-CZ"/>
        </w:rPr>
        <w:t> </w:t>
      </w:r>
      <w:r w:rsidRPr="00FD304C">
        <w:rPr>
          <w:rFonts w:cs="Arial"/>
          <w:lang w:val="cs-CZ"/>
        </w:rPr>
        <w:t>odpisu pohledávek, úhrady zdravotní</w:t>
      </w:r>
      <w:r w:rsidR="000B6D68" w:rsidRPr="00FD304C">
        <w:rPr>
          <w:rFonts w:cs="Arial"/>
          <w:lang w:val="cs-CZ"/>
        </w:rPr>
        <w:t>ch</w:t>
      </w:r>
      <w:r w:rsidRPr="00FD304C">
        <w:rPr>
          <w:rFonts w:cs="Arial"/>
          <w:lang w:val="cs-CZ"/>
        </w:rPr>
        <w:t xml:space="preserve"> </w:t>
      </w:r>
      <w:r w:rsidR="000B6D68" w:rsidRPr="00FD304C">
        <w:rPr>
          <w:rFonts w:cs="Arial"/>
          <w:lang w:val="cs-CZ"/>
        </w:rPr>
        <w:t>služeb</w:t>
      </w:r>
      <w:r w:rsidRPr="00FD304C">
        <w:rPr>
          <w:rFonts w:cs="Arial"/>
          <w:lang w:val="cs-CZ"/>
        </w:rPr>
        <w:t xml:space="preserve">, </w:t>
      </w:r>
      <w:r w:rsidR="00017FAB" w:rsidRPr="00FD304C">
        <w:rPr>
          <w:rFonts w:cs="Arial"/>
          <w:lang w:val="cs-CZ"/>
        </w:rPr>
        <w:t xml:space="preserve">vedení </w:t>
      </w:r>
      <w:r w:rsidRPr="00FD304C">
        <w:rPr>
          <w:rFonts w:cs="Arial"/>
          <w:lang w:val="cs-CZ"/>
        </w:rPr>
        <w:t xml:space="preserve">účetnictví, </w:t>
      </w:r>
      <w:r w:rsidR="00017FAB" w:rsidRPr="00FD304C">
        <w:rPr>
          <w:rFonts w:cs="Arial"/>
          <w:lang w:val="cs-CZ"/>
        </w:rPr>
        <w:t>tvorba a</w:t>
      </w:r>
      <w:r w:rsidR="00EA244A" w:rsidRPr="00FD304C">
        <w:rPr>
          <w:rFonts w:cs="Arial"/>
          <w:lang w:val="cs-CZ"/>
        </w:rPr>
        <w:t xml:space="preserve"> čerpání prostředků soustředěných </w:t>
      </w:r>
      <w:r w:rsidR="000B6D68" w:rsidRPr="00FD304C">
        <w:rPr>
          <w:rFonts w:cs="Arial"/>
          <w:lang w:val="cs-CZ"/>
        </w:rPr>
        <w:t>ve</w:t>
      </w:r>
      <w:r w:rsidR="00EA244A" w:rsidRPr="00FD304C">
        <w:rPr>
          <w:rFonts w:cs="Arial"/>
          <w:lang w:val="cs-CZ"/>
        </w:rPr>
        <w:t xml:space="preserve"> </w:t>
      </w:r>
      <w:r w:rsidRPr="00FD304C">
        <w:rPr>
          <w:rFonts w:cs="Arial"/>
          <w:lang w:val="cs-CZ"/>
        </w:rPr>
        <w:t>vybran</w:t>
      </w:r>
      <w:r w:rsidR="00EA244A" w:rsidRPr="00FD304C">
        <w:rPr>
          <w:rFonts w:cs="Arial"/>
          <w:lang w:val="cs-CZ"/>
        </w:rPr>
        <w:t>ých</w:t>
      </w:r>
      <w:r w:rsidRPr="00FD304C">
        <w:rPr>
          <w:rFonts w:cs="Arial"/>
          <w:lang w:val="cs-CZ"/>
        </w:rPr>
        <w:t xml:space="preserve"> fond</w:t>
      </w:r>
      <w:r w:rsidR="00EA244A" w:rsidRPr="00FD304C">
        <w:rPr>
          <w:rFonts w:cs="Arial"/>
          <w:lang w:val="cs-CZ"/>
        </w:rPr>
        <w:t>ech</w:t>
      </w:r>
      <w:r w:rsidR="007A7219" w:rsidRPr="00FD304C">
        <w:rPr>
          <w:rFonts w:cs="Arial"/>
          <w:lang w:val="cs-CZ"/>
        </w:rPr>
        <w:t xml:space="preserve"> </w:t>
      </w:r>
      <w:r w:rsidR="00EA244A" w:rsidRPr="00FD304C">
        <w:rPr>
          <w:rFonts w:cs="Arial"/>
          <w:lang w:val="cs-CZ"/>
        </w:rPr>
        <w:t xml:space="preserve">a </w:t>
      </w:r>
      <w:r w:rsidR="00C06C2C" w:rsidRPr="00FD304C">
        <w:rPr>
          <w:rFonts w:cs="Arial"/>
          <w:lang w:val="cs-CZ"/>
        </w:rPr>
        <w:t xml:space="preserve">postup při </w:t>
      </w:r>
      <w:r w:rsidRPr="00FD304C">
        <w:rPr>
          <w:rFonts w:cs="Arial"/>
          <w:lang w:val="cs-CZ"/>
        </w:rPr>
        <w:t>sluč</w:t>
      </w:r>
      <w:r w:rsidR="00EA244A" w:rsidRPr="00FD304C">
        <w:rPr>
          <w:rFonts w:cs="Arial"/>
          <w:lang w:val="cs-CZ"/>
        </w:rPr>
        <w:t>ování</w:t>
      </w:r>
      <w:r w:rsidR="000B6D68" w:rsidRPr="00FD304C">
        <w:rPr>
          <w:rFonts w:cs="Arial"/>
          <w:lang w:val="cs-CZ"/>
        </w:rPr>
        <w:t xml:space="preserve"> zaměstnaneckých pojišťoven</w:t>
      </w:r>
      <w:r w:rsidR="00EA244A" w:rsidRPr="00FD304C">
        <w:rPr>
          <w:rFonts w:cs="Arial"/>
          <w:lang w:val="cs-CZ"/>
        </w:rPr>
        <w:t>.</w:t>
      </w:r>
      <w:r w:rsidRPr="00FD304C">
        <w:rPr>
          <w:rFonts w:cs="Arial"/>
          <w:lang w:val="cs-CZ"/>
        </w:rPr>
        <w:t xml:space="preserve"> </w:t>
      </w:r>
    </w:p>
    <w:p w:rsidR="001F7354" w:rsidRPr="00FD304C" w:rsidRDefault="001F7354" w:rsidP="00FD304C">
      <w:pPr>
        <w:rPr>
          <w:rFonts w:cs="Arial"/>
          <w:lang w:val="cs-CZ"/>
        </w:rPr>
      </w:pPr>
    </w:p>
    <w:p w:rsidR="00225138" w:rsidRPr="00FD304C" w:rsidRDefault="003B48D1" w:rsidP="00FD304C">
      <w:pPr>
        <w:ind w:left="567" w:hanging="567"/>
        <w:rPr>
          <w:rFonts w:cs="Arial"/>
          <w:iCs/>
          <w:sz w:val="18"/>
          <w:szCs w:val="18"/>
          <w:lang w:val="cs-CZ"/>
        </w:rPr>
      </w:pPr>
      <w:r w:rsidRPr="0091348B">
        <w:rPr>
          <w:rFonts w:cs="Arial"/>
          <w:b/>
          <w:bCs/>
          <w:iCs/>
          <w:sz w:val="18"/>
          <w:szCs w:val="18"/>
          <w:lang w:val="cs-CZ"/>
        </w:rPr>
        <w:t>Pozn</w:t>
      </w:r>
      <w:r w:rsidR="00F63279" w:rsidRPr="0091348B">
        <w:rPr>
          <w:rFonts w:cs="Arial"/>
          <w:b/>
          <w:bCs/>
          <w:iCs/>
          <w:sz w:val="18"/>
          <w:szCs w:val="18"/>
          <w:lang w:val="cs-CZ"/>
        </w:rPr>
        <w:t>.</w:t>
      </w:r>
      <w:r w:rsidRPr="0091348B">
        <w:rPr>
          <w:rFonts w:cs="Arial"/>
          <w:b/>
          <w:bCs/>
          <w:iCs/>
          <w:sz w:val="18"/>
          <w:szCs w:val="18"/>
          <w:lang w:val="cs-CZ"/>
        </w:rPr>
        <w:t>:</w:t>
      </w:r>
      <w:r w:rsidRPr="00FD304C">
        <w:rPr>
          <w:rFonts w:cs="Arial"/>
          <w:bCs/>
          <w:iCs/>
          <w:sz w:val="18"/>
          <w:szCs w:val="18"/>
          <w:lang w:val="cs-CZ"/>
        </w:rPr>
        <w:tab/>
      </w:r>
      <w:r w:rsidR="00225138" w:rsidRPr="00FD304C">
        <w:rPr>
          <w:rFonts w:cs="Arial"/>
          <w:iCs/>
          <w:sz w:val="18"/>
          <w:szCs w:val="18"/>
          <w:lang w:val="cs-CZ"/>
        </w:rPr>
        <w:t>Právní předpisy uvedené v tomto kontrolním závěru</w:t>
      </w:r>
      <w:r w:rsidRPr="00FD304C">
        <w:rPr>
          <w:rFonts w:cs="Arial"/>
          <w:iCs/>
          <w:sz w:val="18"/>
          <w:szCs w:val="18"/>
          <w:lang w:val="cs-CZ"/>
        </w:rPr>
        <w:t xml:space="preserve"> jsou aplikovány </w:t>
      </w:r>
      <w:r w:rsidR="00225138" w:rsidRPr="00FD304C">
        <w:rPr>
          <w:rFonts w:cs="Arial"/>
          <w:iCs/>
          <w:sz w:val="18"/>
          <w:szCs w:val="18"/>
          <w:lang w:val="cs-CZ"/>
        </w:rPr>
        <w:t>ve znění účinném pro kontrolované období.</w:t>
      </w:r>
    </w:p>
    <w:p w:rsidR="007C4CF5" w:rsidRPr="00FD304C" w:rsidRDefault="007C4CF5" w:rsidP="00FD304C">
      <w:pPr>
        <w:rPr>
          <w:rFonts w:cs="Arial"/>
          <w:iCs/>
          <w:lang w:val="cs-CZ"/>
        </w:rPr>
      </w:pPr>
    </w:p>
    <w:p w:rsidR="007C4CF5" w:rsidRPr="00FD304C" w:rsidRDefault="007C4CF5" w:rsidP="00FD304C">
      <w:pPr>
        <w:rPr>
          <w:rFonts w:cs="Arial"/>
          <w:lang w:val="cs-CZ"/>
        </w:rPr>
      </w:pPr>
    </w:p>
    <w:p w:rsidR="00225138" w:rsidRPr="00FD304C" w:rsidRDefault="003B48D1" w:rsidP="00FD304C">
      <w:pPr>
        <w:jc w:val="center"/>
        <w:rPr>
          <w:rFonts w:cs="Arial"/>
          <w:b/>
          <w:sz w:val="24"/>
          <w:lang w:val="cs-CZ"/>
        </w:rPr>
      </w:pPr>
      <w:bookmarkStart w:id="0" w:name="_Toc210799922"/>
      <w:r w:rsidRPr="00FD304C">
        <w:rPr>
          <w:rFonts w:cs="Arial"/>
          <w:b/>
          <w:sz w:val="24"/>
          <w:lang w:val="cs-CZ"/>
        </w:rPr>
        <w:t xml:space="preserve">II. </w:t>
      </w:r>
      <w:r w:rsidR="00225138" w:rsidRPr="00FD304C">
        <w:rPr>
          <w:rFonts w:cs="Arial"/>
          <w:b/>
          <w:sz w:val="24"/>
          <w:lang w:val="cs-CZ"/>
        </w:rPr>
        <w:t xml:space="preserve">Skutečnosti zjištěné </w:t>
      </w:r>
      <w:r w:rsidR="00926199">
        <w:rPr>
          <w:rFonts w:cs="Arial"/>
          <w:b/>
          <w:sz w:val="24"/>
          <w:lang w:val="cs-CZ"/>
        </w:rPr>
        <w:t xml:space="preserve">při </w:t>
      </w:r>
      <w:r w:rsidR="00225138" w:rsidRPr="00FD304C">
        <w:rPr>
          <w:rFonts w:cs="Arial"/>
          <w:b/>
          <w:sz w:val="24"/>
          <w:lang w:val="cs-CZ"/>
        </w:rPr>
        <w:t>kontrol</w:t>
      </w:r>
      <w:bookmarkEnd w:id="0"/>
      <w:r w:rsidR="00926199">
        <w:rPr>
          <w:rFonts w:cs="Arial"/>
          <w:b/>
          <w:sz w:val="24"/>
          <w:lang w:val="cs-CZ"/>
        </w:rPr>
        <w:t>e</w:t>
      </w:r>
    </w:p>
    <w:p w:rsidR="00933AA7" w:rsidRPr="00FD304C" w:rsidRDefault="00933AA7" w:rsidP="00FD304C">
      <w:pPr>
        <w:rPr>
          <w:rFonts w:cs="Arial"/>
          <w:lang w:val="cs-CZ"/>
        </w:rPr>
      </w:pPr>
    </w:p>
    <w:p w:rsidR="00C36320" w:rsidRPr="00FD304C" w:rsidRDefault="00180457" w:rsidP="00FD304C">
      <w:pPr>
        <w:rPr>
          <w:rFonts w:cs="Arial"/>
          <w:b/>
          <w:lang w:val="cs-CZ"/>
        </w:rPr>
      </w:pPr>
      <w:r w:rsidRPr="00FD304C">
        <w:rPr>
          <w:rFonts w:cs="Arial"/>
          <w:b/>
          <w:lang w:val="cs-CZ"/>
        </w:rPr>
        <w:t>1</w:t>
      </w:r>
      <w:r w:rsidR="00F366EE" w:rsidRPr="00FD304C">
        <w:rPr>
          <w:rFonts w:cs="Arial"/>
          <w:b/>
          <w:lang w:val="cs-CZ"/>
        </w:rPr>
        <w:t xml:space="preserve">. </w:t>
      </w:r>
      <w:r w:rsidR="00C36320" w:rsidRPr="00FD304C">
        <w:rPr>
          <w:rFonts w:cs="Arial"/>
          <w:b/>
          <w:lang w:val="cs-CZ"/>
        </w:rPr>
        <w:t>Slučování zaměstnaneckých pojišťoven</w:t>
      </w:r>
    </w:p>
    <w:p w:rsidR="00D96BD0" w:rsidRPr="00FD304C" w:rsidRDefault="00D96BD0" w:rsidP="00FD304C">
      <w:pPr>
        <w:ind w:left="720" w:hanging="720"/>
        <w:jc w:val="left"/>
        <w:rPr>
          <w:rFonts w:cs="Arial"/>
          <w:szCs w:val="22"/>
          <w:lang w:val="cs-CZ"/>
        </w:rPr>
      </w:pPr>
    </w:p>
    <w:p w:rsidR="00D96BD0" w:rsidRPr="00FD304C" w:rsidRDefault="00634FA6" w:rsidP="00FD304C">
      <w:pPr>
        <w:rPr>
          <w:rFonts w:cs="Arial"/>
          <w:szCs w:val="22"/>
          <w:lang w:val="cs-CZ"/>
        </w:rPr>
      </w:pPr>
      <w:r w:rsidRPr="00FD304C">
        <w:rPr>
          <w:rFonts w:cs="Arial"/>
          <w:szCs w:val="22"/>
          <w:lang w:val="cs-CZ"/>
        </w:rPr>
        <w:t xml:space="preserve">Právní </w:t>
      </w:r>
      <w:r w:rsidR="00D96BD0" w:rsidRPr="00FD304C">
        <w:rPr>
          <w:rFonts w:cs="Arial"/>
          <w:szCs w:val="22"/>
          <w:lang w:val="cs-CZ"/>
        </w:rPr>
        <w:t>úprava</w:t>
      </w:r>
      <w:r w:rsidR="0003064C" w:rsidRPr="00FD304C">
        <w:rPr>
          <w:rFonts w:cs="Arial"/>
          <w:szCs w:val="22"/>
          <w:lang w:val="cs-CZ"/>
        </w:rPr>
        <w:t xml:space="preserve"> umožňuje</w:t>
      </w:r>
      <w:r w:rsidR="00226C5E" w:rsidRPr="00FD304C">
        <w:rPr>
          <w:rFonts w:cs="Arial"/>
          <w:szCs w:val="22"/>
          <w:lang w:val="cs-CZ"/>
        </w:rPr>
        <w:t xml:space="preserve">, resp. </w:t>
      </w:r>
      <w:r w:rsidR="0003064C" w:rsidRPr="00FD304C">
        <w:rPr>
          <w:rFonts w:cs="Arial"/>
          <w:szCs w:val="22"/>
          <w:lang w:val="cs-CZ"/>
        </w:rPr>
        <w:t>neomezuje</w:t>
      </w:r>
      <w:r w:rsidR="0076041F">
        <w:rPr>
          <w:rFonts w:cs="Arial"/>
          <w:szCs w:val="22"/>
          <w:lang w:val="cs-CZ"/>
        </w:rPr>
        <w:t>,</w:t>
      </w:r>
      <w:r w:rsidR="0003064C" w:rsidRPr="00FD304C">
        <w:rPr>
          <w:rFonts w:cs="Arial"/>
          <w:szCs w:val="22"/>
          <w:lang w:val="cs-CZ"/>
        </w:rPr>
        <w:t xml:space="preserve"> sl</w:t>
      </w:r>
      <w:r w:rsidR="00D96BD0" w:rsidRPr="00FD304C">
        <w:rPr>
          <w:rFonts w:cs="Arial"/>
          <w:szCs w:val="22"/>
          <w:lang w:val="cs-CZ"/>
        </w:rPr>
        <w:t>uč</w:t>
      </w:r>
      <w:r w:rsidR="0003064C" w:rsidRPr="00FD304C">
        <w:rPr>
          <w:rFonts w:cs="Arial"/>
          <w:szCs w:val="22"/>
          <w:lang w:val="cs-CZ"/>
        </w:rPr>
        <w:t xml:space="preserve">ování </w:t>
      </w:r>
      <w:r w:rsidRPr="00FD304C">
        <w:rPr>
          <w:rFonts w:cs="Arial"/>
          <w:szCs w:val="22"/>
          <w:lang w:val="cs-CZ"/>
        </w:rPr>
        <w:t xml:space="preserve">zdravotních </w:t>
      </w:r>
      <w:r w:rsidR="00D96BD0" w:rsidRPr="00FD304C">
        <w:rPr>
          <w:rFonts w:cs="Arial"/>
          <w:szCs w:val="22"/>
          <w:lang w:val="cs-CZ"/>
        </w:rPr>
        <w:t>pojišťoven</w:t>
      </w:r>
      <w:r w:rsidR="00180457" w:rsidRPr="00FD304C">
        <w:rPr>
          <w:rFonts w:cs="Arial"/>
          <w:szCs w:val="22"/>
          <w:lang w:val="cs-CZ"/>
        </w:rPr>
        <w:t xml:space="preserve"> při splnění </w:t>
      </w:r>
      <w:r w:rsidR="0084583F" w:rsidRPr="00FD304C">
        <w:rPr>
          <w:rFonts w:cs="Arial"/>
          <w:szCs w:val="22"/>
          <w:lang w:val="cs-CZ"/>
        </w:rPr>
        <w:t>zákonem stanovených</w:t>
      </w:r>
      <w:r w:rsidR="00180457" w:rsidRPr="00FD304C">
        <w:rPr>
          <w:rFonts w:cs="Arial"/>
          <w:szCs w:val="22"/>
          <w:lang w:val="cs-CZ"/>
        </w:rPr>
        <w:t xml:space="preserve"> podmínek</w:t>
      </w:r>
      <w:r w:rsidR="007A7219" w:rsidRPr="00FD304C">
        <w:rPr>
          <w:rFonts w:cs="Arial"/>
          <w:szCs w:val="22"/>
          <w:lang w:val="cs-CZ"/>
        </w:rPr>
        <w:t xml:space="preserve">. </w:t>
      </w:r>
      <w:r w:rsidR="00226C5E" w:rsidRPr="00FD304C">
        <w:rPr>
          <w:rFonts w:cs="Arial"/>
          <w:szCs w:val="22"/>
          <w:lang w:val="cs-CZ"/>
        </w:rPr>
        <w:t>Proces slučování</w:t>
      </w:r>
      <w:r w:rsidRPr="00FD304C">
        <w:rPr>
          <w:rFonts w:cs="Arial"/>
          <w:szCs w:val="22"/>
          <w:lang w:val="cs-CZ"/>
        </w:rPr>
        <w:t xml:space="preserve"> a samotné sloučení </w:t>
      </w:r>
      <w:r w:rsidR="00226C5E" w:rsidRPr="00FD304C">
        <w:rPr>
          <w:rFonts w:cs="Arial"/>
          <w:szCs w:val="22"/>
          <w:lang w:val="cs-CZ"/>
        </w:rPr>
        <w:t>z</w:t>
      </w:r>
      <w:r w:rsidR="0003064C" w:rsidRPr="00FD304C">
        <w:rPr>
          <w:rFonts w:cs="Arial"/>
          <w:szCs w:val="22"/>
          <w:lang w:val="cs-CZ"/>
        </w:rPr>
        <w:t xml:space="preserve">ávisí </w:t>
      </w:r>
      <w:r w:rsidR="00226C5E" w:rsidRPr="00FD304C">
        <w:rPr>
          <w:rFonts w:cs="Arial"/>
          <w:szCs w:val="22"/>
          <w:lang w:val="cs-CZ"/>
        </w:rPr>
        <w:t>na posouzení</w:t>
      </w:r>
      <w:r w:rsidR="0003064C" w:rsidRPr="00FD304C">
        <w:rPr>
          <w:rFonts w:cs="Arial"/>
          <w:szCs w:val="22"/>
          <w:lang w:val="cs-CZ"/>
        </w:rPr>
        <w:t xml:space="preserve"> </w:t>
      </w:r>
      <w:r w:rsidR="00336342" w:rsidRPr="00FD304C">
        <w:rPr>
          <w:rFonts w:cs="Arial"/>
          <w:szCs w:val="22"/>
          <w:lang w:val="cs-CZ"/>
        </w:rPr>
        <w:t>MZ</w:t>
      </w:r>
      <w:r w:rsidR="007A7219" w:rsidRPr="00FD304C">
        <w:rPr>
          <w:rFonts w:cs="Arial"/>
          <w:szCs w:val="22"/>
          <w:lang w:val="cs-CZ"/>
        </w:rPr>
        <w:t xml:space="preserve">, které je </w:t>
      </w:r>
      <w:r w:rsidR="006E3F86" w:rsidRPr="00FD304C">
        <w:rPr>
          <w:rFonts w:cs="Arial"/>
          <w:szCs w:val="22"/>
          <w:lang w:val="cs-CZ"/>
        </w:rPr>
        <w:t xml:space="preserve">po vyjádření </w:t>
      </w:r>
      <w:r w:rsidR="00851758" w:rsidRPr="00FD304C">
        <w:rPr>
          <w:rFonts w:cs="Arial"/>
          <w:szCs w:val="22"/>
          <w:lang w:val="cs-CZ"/>
        </w:rPr>
        <w:t>Ministerstva financí (dále také „</w:t>
      </w:r>
      <w:r w:rsidR="006E3F86" w:rsidRPr="00FD304C">
        <w:rPr>
          <w:rFonts w:cs="Arial"/>
          <w:szCs w:val="22"/>
          <w:lang w:val="cs-CZ"/>
        </w:rPr>
        <w:t>MF</w:t>
      </w:r>
      <w:r w:rsidR="00851758" w:rsidRPr="00FD304C">
        <w:rPr>
          <w:rFonts w:cs="Arial"/>
          <w:szCs w:val="22"/>
          <w:lang w:val="cs-CZ"/>
        </w:rPr>
        <w:t>“)</w:t>
      </w:r>
      <w:r w:rsidR="006E3F86" w:rsidRPr="00FD304C">
        <w:rPr>
          <w:rFonts w:cs="Arial"/>
          <w:szCs w:val="22"/>
          <w:lang w:val="cs-CZ"/>
        </w:rPr>
        <w:t xml:space="preserve"> </w:t>
      </w:r>
      <w:r w:rsidR="007A7219" w:rsidRPr="00FD304C">
        <w:rPr>
          <w:rFonts w:cs="Arial"/>
          <w:szCs w:val="22"/>
          <w:lang w:val="cs-CZ"/>
        </w:rPr>
        <w:t xml:space="preserve">oprávněno </w:t>
      </w:r>
      <w:r w:rsidR="00180457" w:rsidRPr="00FD304C">
        <w:rPr>
          <w:rFonts w:cs="Arial"/>
          <w:szCs w:val="22"/>
          <w:lang w:val="cs-CZ"/>
        </w:rPr>
        <w:t xml:space="preserve">o sloučení rozhodnout. </w:t>
      </w:r>
      <w:r w:rsidR="006E3F86" w:rsidRPr="00FD304C">
        <w:rPr>
          <w:rFonts w:cs="Arial"/>
          <w:szCs w:val="22"/>
          <w:lang w:val="cs-CZ"/>
        </w:rPr>
        <w:t>S</w:t>
      </w:r>
      <w:r w:rsidR="00B872A5" w:rsidRPr="00FD304C">
        <w:rPr>
          <w:rFonts w:cs="Arial"/>
          <w:szCs w:val="22"/>
          <w:lang w:val="cs-CZ"/>
        </w:rPr>
        <w:t xml:space="preserve">e žádostí o povolení </w:t>
      </w:r>
      <w:r w:rsidR="006E3F86" w:rsidRPr="00FD304C">
        <w:rPr>
          <w:rFonts w:cs="Arial"/>
          <w:szCs w:val="22"/>
          <w:lang w:val="cs-CZ"/>
        </w:rPr>
        <w:t xml:space="preserve">předkládá </w:t>
      </w:r>
      <w:r w:rsidR="0084583F" w:rsidRPr="00FD304C">
        <w:rPr>
          <w:rFonts w:cs="Arial"/>
          <w:szCs w:val="22"/>
          <w:lang w:val="cs-CZ"/>
        </w:rPr>
        <w:t xml:space="preserve">zdravotní pojišťovna </w:t>
      </w:r>
      <w:r w:rsidR="006E3F86" w:rsidRPr="00FD304C">
        <w:rPr>
          <w:rFonts w:cs="Arial"/>
          <w:szCs w:val="22"/>
          <w:lang w:val="cs-CZ"/>
        </w:rPr>
        <w:t xml:space="preserve">také </w:t>
      </w:r>
      <w:r w:rsidR="00B872A5" w:rsidRPr="00FD304C">
        <w:rPr>
          <w:rFonts w:cs="Arial"/>
          <w:szCs w:val="22"/>
          <w:lang w:val="cs-CZ"/>
        </w:rPr>
        <w:t xml:space="preserve">nový </w:t>
      </w:r>
      <w:r w:rsidR="0089706D" w:rsidRPr="00FD304C">
        <w:rPr>
          <w:rFonts w:cs="Arial"/>
          <w:szCs w:val="22"/>
          <w:lang w:val="cs-CZ"/>
        </w:rPr>
        <w:t>návrh zdravotně pojistného</w:t>
      </w:r>
      <w:r w:rsidR="00B872A5" w:rsidRPr="00FD304C">
        <w:rPr>
          <w:rFonts w:cs="Arial"/>
          <w:szCs w:val="22"/>
          <w:lang w:val="cs-CZ"/>
        </w:rPr>
        <w:t xml:space="preserve"> plán</w:t>
      </w:r>
      <w:r w:rsidR="0089706D" w:rsidRPr="00FD304C">
        <w:rPr>
          <w:rFonts w:cs="Arial"/>
          <w:szCs w:val="22"/>
          <w:lang w:val="cs-CZ"/>
        </w:rPr>
        <w:t>u</w:t>
      </w:r>
      <w:r w:rsidR="00B872A5" w:rsidRPr="00FD304C">
        <w:rPr>
          <w:rFonts w:cs="Arial"/>
          <w:szCs w:val="22"/>
          <w:lang w:val="cs-CZ"/>
        </w:rPr>
        <w:t>.</w:t>
      </w:r>
    </w:p>
    <w:p w:rsidR="00D96BD0" w:rsidRPr="00FD304C" w:rsidRDefault="00D96BD0" w:rsidP="00FD304C">
      <w:pPr>
        <w:rPr>
          <w:rFonts w:cs="Arial"/>
          <w:szCs w:val="22"/>
          <w:lang w:val="cs-CZ"/>
        </w:rPr>
      </w:pPr>
    </w:p>
    <w:p w:rsidR="00A20345" w:rsidRPr="00FD304C" w:rsidRDefault="00D96BD0" w:rsidP="00FD304C">
      <w:pPr>
        <w:rPr>
          <w:rFonts w:cs="Arial"/>
          <w:szCs w:val="22"/>
          <w:lang w:val="cs-CZ"/>
        </w:rPr>
      </w:pPr>
      <w:r w:rsidRPr="00FD304C">
        <w:rPr>
          <w:rFonts w:cs="Arial"/>
          <w:szCs w:val="22"/>
          <w:lang w:val="cs-CZ"/>
        </w:rPr>
        <w:t xml:space="preserve">MZ </w:t>
      </w:r>
      <w:r w:rsidR="00634FA6" w:rsidRPr="00FD304C">
        <w:rPr>
          <w:rFonts w:cs="Arial"/>
          <w:szCs w:val="22"/>
          <w:lang w:val="cs-CZ"/>
        </w:rPr>
        <w:t xml:space="preserve">postupně </w:t>
      </w:r>
      <w:r w:rsidRPr="00FD304C">
        <w:rPr>
          <w:rFonts w:cs="Arial"/>
          <w:szCs w:val="22"/>
          <w:lang w:val="cs-CZ"/>
        </w:rPr>
        <w:t xml:space="preserve">povolilo </w:t>
      </w:r>
      <w:r w:rsidR="00B31A4F" w:rsidRPr="00FD304C">
        <w:rPr>
          <w:rFonts w:cs="Arial"/>
          <w:szCs w:val="22"/>
          <w:lang w:val="cs-CZ"/>
        </w:rPr>
        <w:t xml:space="preserve">sloučení </w:t>
      </w:r>
      <w:r w:rsidR="00F66A73" w:rsidRPr="00FD304C">
        <w:rPr>
          <w:rFonts w:cs="Arial"/>
          <w:szCs w:val="22"/>
          <w:lang w:val="cs-CZ"/>
        </w:rPr>
        <w:t>HZP</w:t>
      </w:r>
      <w:r w:rsidR="00C36320" w:rsidRPr="00FD304C">
        <w:rPr>
          <w:rFonts w:cs="Arial"/>
          <w:szCs w:val="22"/>
          <w:lang w:val="cs-CZ"/>
        </w:rPr>
        <w:t xml:space="preserve">, respektive </w:t>
      </w:r>
      <w:r w:rsidR="00F66A73" w:rsidRPr="00FD304C">
        <w:rPr>
          <w:rFonts w:cs="Arial"/>
          <w:szCs w:val="22"/>
          <w:lang w:val="cs-CZ"/>
        </w:rPr>
        <w:t>ČPZP</w:t>
      </w:r>
      <w:r w:rsidR="0076041F">
        <w:rPr>
          <w:rFonts w:cs="Arial"/>
          <w:szCs w:val="22"/>
          <w:lang w:val="cs-CZ"/>
        </w:rPr>
        <w:t>,</w:t>
      </w:r>
      <w:r w:rsidR="00C36320" w:rsidRPr="00FD304C">
        <w:rPr>
          <w:rFonts w:cs="Arial"/>
          <w:szCs w:val="22"/>
          <w:lang w:val="cs-CZ"/>
        </w:rPr>
        <w:t xml:space="preserve"> se třemi dalšími zaměstnaneckými pojišťovnami</w:t>
      </w:r>
      <w:r w:rsidR="00B31A4F" w:rsidRPr="00FD304C">
        <w:rPr>
          <w:rFonts w:cs="Arial"/>
          <w:szCs w:val="22"/>
          <w:lang w:val="cs-CZ"/>
        </w:rPr>
        <w:t>:</w:t>
      </w:r>
    </w:p>
    <w:p w:rsidR="008758A6" w:rsidRPr="00FD304C" w:rsidRDefault="00A20345" w:rsidP="00B734E9">
      <w:pPr>
        <w:pStyle w:val="Odstavecseseznamem"/>
        <w:numPr>
          <w:ilvl w:val="0"/>
          <w:numId w:val="36"/>
        </w:numPr>
        <w:ind w:left="284" w:hanging="284"/>
        <w:rPr>
          <w:rFonts w:cs="Arial"/>
          <w:szCs w:val="22"/>
          <w:lang w:val="cs-CZ"/>
        </w:rPr>
      </w:pPr>
      <w:r w:rsidRPr="00FD304C">
        <w:rPr>
          <w:rFonts w:cs="Arial"/>
          <w:szCs w:val="22"/>
          <w:lang w:val="cs-CZ"/>
        </w:rPr>
        <w:t>k</w:t>
      </w:r>
      <w:r w:rsidR="00634FA6" w:rsidRPr="00FD304C">
        <w:rPr>
          <w:rFonts w:cs="Arial"/>
          <w:szCs w:val="22"/>
          <w:lang w:val="cs-CZ"/>
        </w:rPr>
        <w:t>e dni</w:t>
      </w:r>
      <w:r w:rsidR="00C36320" w:rsidRPr="00FD304C">
        <w:rPr>
          <w:rFonts w:cs="Arial"/>
          <w:szCs w:val="22"/>
          <w:lang w:val="cs-CZ"/>
        </w:rPr>
        <w:t> 1. 7. 2009</w:t>
      </w:r>
      <w:r w:rsidR="00B31A4F" w:rsidRPr="00FD304C">
        <w:rPr>
          <w:rFonts w:cs="Arial"/>
          <w:szCs w:val="22"/>
          <w:lang w:val="cs-CZ"/>
        </w:rPr>
        <w:t xml:space="preserve"> </w:t>
      </w:r>
      <w:r w:rsidR="00C36320" w:rsidRPr="00FD304C">
        <w:rPr>
          <w:rFonts w:cs="Arial"/>
          <w:szCs w:val="22"/>
          <w:lang w:val="cs-CZ"/>
        </w:rPr>
        <w:t>se Zdravotní pojišťovnou AGEL (dále také „ZPA“)</w:t>
      </w:r>
      <w:r w:rsidR="00926199">
        <w:rPr>
          <w:rFonts w:cs="Arial"/>
          <w:szCs w:val="22"/>
          <w:lang w:val="cs-CZ"/>
        </w:rPr>
        <w:t>;</w:t>
      </w:r>
      <w:r w:rsidRPr="00FD304C">
        <w:rPr>
          <w:rFonts w:cs="Arial"/>
          <w:szCs w:val="22"/>
          <w:lang w:val="cs-CZ"/>
        </w:rPr>
        <w:t xml:space="preserve"> </w:t>
      </w:r>
    </w:p>
    <w:p w:rsidR="00A20345" w:rsidRPr="00FD304C" w:rsidRDefault="008B1BDD" w:rsidP="00B734E9">
      <w:pPr>
        <w:pStyle w:val="Odstavecseseznamem"/>
        <w:numPr>
          <w:ilvl w:val="0"/>
          <w:numId w:val="36"/>
        </w:numPr>
        <w:ind w:left="284" w:hanging="284"/>
        <w:rPr>
          <w:rFonts w:cs="Arial"/>
          <w:szCs w:val="22"/>
          <w:lang w:val="cs-CZ"/>
        </w:rPr>
      </w:pPr>
      <w:r w:rsidRPr="00FD304C">
        <w:rPr>
          <w:rFonts w:cs="Arial"/>
          <w:szCs w:val="22"/>
          <w:lang w:val="cs-CZ"/>
        </w:rPr>
        <w:t>ke</w:t>
      </w:r>
      <w:r w:rsidR="00634FA6" w:rsidRPr="00FD304C">
        <w:rPr>
          <w:rFonts w:cs="Arial"/>
          <w:szCs w:val="22"/>
          <w:lang w:val="cs-CZ"/>
        </w:rPr>
        <w:t xml:space="preserve"> dni</w:t>
      </w:r>
      <w:r w:rsidR="00A20345" w:rsidRPr="00FD304C">
        <w:rPr>
          <w:rFonts w:cs="Arial"/>
          <w:szCs w:val="22"/>
          <w:lang w:val="cs-CZ"/>
        </w:rPr>
        <w:t xml:space="preserve"> </w:t>
      </w:r>
      <w:r w:rsidR="00C36320" w:rsidRPr="00FD304C">
        <w:rPr>
          <w:rFonts w:cs="Arial"/>
          <w:szCs w:val="22"/>
          <w:lang w:val="cs-CZ"/>
        </w:rPr>
        <w:t>1. 10. 2009 s Českou národní zdravotní pojišťovnou (dále také „ČNZP“)</w:t>
      </w:r>
      <w:r w:rsidR="0093094B" w:rsidRPr="00FD304C">
        <w:rPr>
          <w:rFonts w:cs="Arial"/>
          <w:szCs w:val="22"/>
          <w:lang w:val="cs-CZ"/>
        </w:rPr>
        <w:t xml:space="preserve">; </w:t>
      </w:r>
      <w:r w:rsidR="00ED254D" w:rsidRPr="00FD304C">
        <w:rPr>
          <w:rFonts w:cs="Arial"/>
          <w:szCs w:val="22"/>
          <w:lang w:val="cs-CZ"/>
        </w:rPr>
        <w:t>ke stejnému dni</w:t>
      </w:r>
      <w:r w:rsidR="00C36320" w:rsidRPr="00FD304C">
        <w:rPr>
          <w:rFonts w:cs="Arial"/>
          <w:szCs w:val="22"/>
          <w:lang w:val="cs-CZ"/>
        </w:rPr>
        <w:t xml:space="preserve"> došlo ke změně názvu HZP na Českou průmyslovou zdravotní pojišťovnu</w:t>
      </w:r>
      <w:r w:rsidR="00926199">
        <w:rPr>
          <w:rFonts w:cs="Arial"/>
          <w:szCs w:val="22"/>
          <w:lang w:val="cs-CZ"/>
        </w:rPr>
        <w:t>;</w:t>
      </w:r>
      <w:r w:rsidR="00C36320" w:rsidRPr="00FD304C">
        <w:rPr>
          <w:rFonts w:cs="Arial"/>
          <w:szCs w:val="22"/>
          <w:lang w:val="cs-CZ"/>
        </w:rPr>
        <w:t xml:space="preserve"> </w:t>
      </w:r>
    </w:p>
    <w:p w:rsidR="00A20345" w:rsidRPr="00FD304C" w:rsidRDefault="00A20345" w:rsidP="00B734E9">
      <w:pPr>
        <w:pStyle w:val="Odstavecseseznamem"/>
        <w:numPr>
          <w:ilvl w:val="0"/>
          <w:numId w:val="36"/>
        </w:numPr>
        <w:ind w:left="284" w:hanging="284"/>
        <w:rPr>
          <w:rFonts w:cs="Arial"/>
          <w:szCs w:val="22"/>
          <w:lang w:val="cs-CZ"/>
        </w:rPr>
      </w:pPr>
      <w:r w:rsidRPr="00FD304C">
        <w:rPr>
          <w:rFonts w:cs="Arial"/>
          <w:szCs w:val="22"/>
          <w:lang w:val="cs-CZ"/>
        </w:rPr>
        <w:t>k</w:t>
      </w:r>
      <w:r w:rsidR="00634FA6" w:rsidRPr="00FD304C">
        <w:rPr>
          <w:rFonts w:cs="Arial"/>
          <w:szCs w:val="22"/>
          <w:lang w:val="cs-CZ"/>
        </w:rPr>
        <w:t>e dni</w:t>
      </w:r>
      <w:r w:rsidR="00C36320" w:rsidRPr="00FD304C">
        <w:rPr>
          <w:rFonts w:cs="Arial"/>
          <w:szCs w:val="22"/>
          <w:lang w:val="cs-CZ"/>
        </w:rPr>
        <w:t xml:space="preserve"> 1.</w:t>
      </w:r>
      <w:r w:rsidR="0093094B" w:rsidRPr="00FD304C">
        <w:rPr>
          <w:rFonts w:cs="Arial"/>
          <w:szCs w:val="22"/>
          <w:lang w:val="cs-CZ"/>
        </w:rPr>
        <w:t xml:space="preserve"> </w:t>
      </w:r>
      <w:r w:rsidR="00C36320" w:rsidRPr="00FD304C">
        <w:rPr>
          <w:rFonts w:cs="Arial"/>
          <w:szCs w:val="22"/>
          <w:lang w:val="cs-CZ"/>
        </w:rPr>
        <w:t>10.</w:t>
      </w:r>
      <w:r w:rsidR="0093094B" w:rsidRPr="00FD304C">
        <w:rPr>
          <w:rFonts w:cs="Arial"/>
          <w:szCs w:val="22"/>
          <w:lang w:val="cs-CZ"/>
        </w:rPr>
        <w:t xml:space="preserve"> </w:t>
      </w:r>
      <w:r w:rsidR="00C36320" w:rsidRPr="00FD304C">
        <w:rPr>
          <w:rFonts w:cs="Arial"/>
          <w:szCs w:val="22"/>
          <w:lang w:val="cs-CZ"/>
        </w:rPr>
        <w:t>2012 se Zdravotní pojišťovnou METAL</w:t>
      </w:r>
      <w:r w:rsidR="00AE1320" w:rsidRPr="00FD304C">
        <w:rPr>
          <w:rFonts w:cs="Arial"/>
          <w:szCs w:val="22"/>
          <w:lang w:val="cs-CZ"/>
        </w:rPr>
        <w:t>-</w:t>
      </w:r>
      <w:r w:rsidR="00516760" w:rsidRPr="00FD304C">
        <w:rPr>
          <w:rFonts w:cs="Arial"/>
          <w:szCs w:val="22"/>
          <w:lang w:val="cs-CZ"/>
        </w:rPr>
        <w:t xml:space="preserve">ALIANCE (dále také „ZP M-A“). </w:t>
      </w:r>
    </w:p>
    <w:p w:rsidR="00336342" w:rsidRPr="00FD304C" w:rsidRDefault="00336342" w:rsidP="00FD304C">
      <w:pPr>
        <w:rPr>
          <w:rFonts w:cs="Arial"/>
          <w:szCs w:val="22"/>
          <w:lang w:val="cs-CZ"/>
        </w:rPr>
      </w:pPr>
    </w:p>
    <w:p w:rsidR="00C36320" w:rsidRPr="00FD304C" w:rsidRDefault="00C36320" w:rsidP="00FD304C">
      <w:pPr>
        <w:rPr>
          <w:rFonts w:cs="Arial"/>
          <w:szCs w:val="22"/>
          <w:lang w:val="cs-CZ"/>
        </w:rPr>
      </w:pPr>
      <w:r w:rsidRPr="00FD304C">
        <w:rPr>
          <w:rFonts w:cs="Arial"/>
          <w:szCs w:val="22"/>
          <w:lang w:val="cs-CZ"/>
        </w:rPr>
        <w:t xml:space="preserve">ZPA, ČNZP </w:t>
      </w:r>
      <w:r w:rsidR="00A20345" w:rsidRPr="00FD304C">
        <w:rPr>
          <w:rFonts w:cs="Arial"/>
          <w:szCs w:val="22"/>
          <w:lang w:val="cs-CZ"/>
        </w:rPr>
        <w:t>i</w:t>
      </w:r>
      <w:r w:rsidRPr="00FD304C">
        <w:rPr>
          <w:rFonts w:cs="Arial"/>
          <w:szCs w:val="22"/>
          <w:lang w:val="cs-CZ"/>
        </w:rPr>
        <w:t xml:space="preserve"> ZP M-A byly k datu sloučení zrušeny bez likvidace, vešker</w:t>
      </w:r>
      <w:r w:rsidR="00851758" w:rsidRPr="00FD304C">
        <w:rPr>
          <w:rFonts w:cs="Arial"/>
          <w:szCs w:val="22"/>
          <w:lang w:val="cs-CZ"/>
        </w:rPr>
        <w:t>ý majetek</w:t>
      </w:r>
      <w:r w:rsidRPr="00FD304C">
        <w:rPr>
          <w:rFonts w:cs="Arial"/>
          <w:szCs w:val="22"/>
          <w:lang w:val="cs-CZ"/>
        </w:rPr>
        <w:t xml:space="preserve">, závazky </w:t>
      </w:r>
      <w:r w:rsidR="00851758" w:rsidRPr="00FD304C">
        <w:rPr>
          <w:rFonts w:cs="Arial"/>
          <w:szCs w:val="22"/>
          <w:lang w:val="cs-CZ"/>
        </w:rPr>
        <w:t>a</w:t>
      </w:r>
      <w:r w:rsidR="00C932A7" w:rsidRPr="00FD304C">
        <w:rPr>
          <w:rFonts w:cs="Arial"/>
          <w:szCs w:val="22"/>
          <w:lang w:val="cs-CZ"/>
        </w:rPr>
        <w:t> </w:t>
      </w:r>
      <w:r w:rsidR="00851758" w:rsidRPr="00FD304C">
        <w:rPr>
          <w:rFonts w:cs="Arial"/>
          <w:szCs w:val="22"/>
          <w:lang w:val="cs-CZ"/>
        </w:rPr>
        <w:t xml:space="preserve">pohledávky </w:t>
      </w:r>
      <w:r w:rsidRPr="00FD304C">
        <w:rPr>
          <w:rFonts w:cs="Arial"/>
          <w:szCs w:val="22"/>
          <w:lang w:val="cs-CZ"/>
        </w:rPr>
        <w:t xml:space="preserve">přešly na právního nástupce, tedy na HZP, </w:t>
      </w:r>
      <w:r w:rsidR="00A920EA" w:rsidRPr="00FD304C">
        <w:rPr>
          <w:rFonts w:cs="Arial"/>
          <w:szCs w:val="22"/>
          <w:lang w:val="cs-CZ"/>
        </w:rPr>
        <w:t>resp.</w:t>
      </w:r>
      <w:r w:rsidRPr="00FD304C">
        <w:rPr>
          <w:rFonts w:cs="Arial"/>
          <w:szCs w:val="22"/>
          <w:lang w:val="cs-CZ"/>
        </w:rPr>
        <w:t xml:space="preserve"> ČPZP. </w:t>
      </w:r>
      <w:r w:rsidR="002E3C0E" w:rsidRPr="00FD304C">
        <w:rPr>
          <w:rFonts w:cs="Arial"/>
          <w:szCs w:val="22"/>
          <w:lang w:val="cs-CZ"/>
        </w:rPr>
        <w:t xml:space="preserve">Zrušované </w:t>
      </w:r>
      <w:r w:rsidR="00851758" w:rsidRPr="00FD304C">
        <w:rPr>
          <w:rFonts w:cs="Arial"/>
          <w:szCs w:val="22"/>
          <w:lang w:val="cs-CZ"/>
        </w:rPr>
        <w:t xml:space="preserve">zaměstnanecké pojišťovny </w:t>
      </w:r>
      <w:r w:rsidR="00917CC1" w:rsidRPr="00FD304C">
        <w:rPr>
          <w:rFonts w:cs="Arial"/>
          <w:szCs w:val="22"/>
          <w:lang w:val="cs-CZ"/>
        </w:rPr>
        <w:t>sestavily</w:t>
      </w:r>
      <w:r w:rsidR="002E3C0E" w:rsidRPr="00FD304C">
        <w:rPr>
          <w:rFonts w:cs="Arial"/>
          <w:szCs w:val="22"/>
          <w:lang w:val="cs-CZ"/>
        </w:rPr>
        <w:t xml:space="preserve"> ke dni </w:t>
      </w:r>
      <w:r w:rsidR="0084583F" w:rsidRPr="00FD304C">
        <w:rPr>
          <w:rFonts w:cs="Arial"/>
          <w:szCs w:val="22"/>
          <w:lang w:val="cs-CZ"/>
        </w:rPr>
        <w:t>zrušení</w:t>
      </w:r>
      <w:r w:rsidR="002E3C0E" w:rsidRPr="00FD304C">
        <w:rPr>
          <w:rFonts w:cs="Arial"/>
          <w:szCs w:val="22"/>
          <w:lang w:val="cs-CZ"/>
        </w:rPr>
        <w:t xml:space="preserve"> mimořádnou účetní závěrku. Záporný </w:t>
      </w:r>
      <w:r w:rsidR="00917CC1" w:rsidRPr="00FD304C">
        <w:rPr>
          <w:rFonts w:cs="Arial"/>
          <w:szCs w:val="22"/>
          <w:lang w:val="cs-CZ"/>
        </w:rPr>
        <w:t>vlastní kapitál</w:t>
      </w:r>
      <w:r w:rsidR="00E319ED" w:rsidRPr="00FD304C">
        <w:rPr>
          <w:rFonts w:cs="Arial"/>
          <w:szCs w:val="22"/>
          <w:lang w:val="cs-CZ"/>
        </w:rPr>
        <w:t xml:space="preserve"> (</w:t>
      </w:r>
      <w:r w:rsidR="0076041F">
        <w:rPr>
          <w:rFonts w:cs="Arial"/>
          <w:szCs w:val="22"/>
          <w:lang w:val="cs-CZ"/>
        </w:rPr>
        <w:t>−</w:t>
      </w:r>
      <w:r w:rsidR="00E319ED" w:rsidRPr="00FD304C">
        <w:rPr>
          <w:rFonts w:cs="Arial"/>
          <w:szCs w:val="22"/>
          <w:lang w:val="cs-CZ"/>
        </w:rPr>
        <w:t xml:space="preserve">3 855 tis. Kč) </w:t>
      </w:r>
      <w:r w:rsidR="002E3C0E" w:rsidRPr="00FD304C">
        <w:rPr>
          <w:rFonts w:cs="Arial"/>
          <w:szCs w:val="22"/>
          <w:lang w:val="cs-CZ"/>
        </w:rPr>
        <w:t>vykázala pouze ZPA</w:t>
      </w:r>
      <w:r w:rsidR="004B0D5E" w:rsidRPr="00FD304C">
        <w:rPr>
          <w:rFonts w:cs="Arial"/>
          <w:szCs w:val="22"/>
          <w:lang w:val="cs-CZ"/>
        </w:rPr>
        <w:t xml:space="preserve">, </w:t>
      </w:r>
      <w:r w:rsidR="00851758" w:rsidRPr="00FD304C">
        <w:rPr>
          <w:rFonts w:cs="Arial"/>
          <w:szCs w:val="22"/>
          <w:lang w:val="cs-CZ"/>
        </w:rPr>
        <w:t xml:space="preserve">která evidovala </w:t>
      </w:r>
      <w:r w:rsidR="004B0D5E" w:rsidRPr="00FD304C">
        <w:rPr>
          <w:rFonts w:cs="Arial"/>
          <w:szCs w:val="22"/>
          <w:lang w:val="cs-CZ"/>
        </w:rPr>
        <w:t>záporné</w:t>
      </w:r>
      <w:r w:rsidR="00CD6BC4" w:rsidRPr="00FD304C">
        <w:rPr>
          <w:rFonts w:cs="Arial"/>
          <w:szCs w:val="22"/>
          <w:lang w:val="cs-CZ"/>
        </w:rPr>
        <w:t xml:space="preserve"> zůstatky provozního fondu, fondu reprodukce majetku a fondu prevence.</w:t>
      </w:r>
      <w:r w:rsidR="004A6465" w:rsidRPr="00FD304C">
        <w:rPr>
          <w:rFonts w:cs="Arial"/>
          <w:szCs w:val="22"/>
          <w:lang w:val="cs-CZ"/>
        </w:rPr>
        <w:t xml:space="preserve"> </w:t>
      </w:r>
    </w:p>
    <w:p w:rsidR="00F4331E" w:rsidRPr="00FD304C" w:rsidRDefault="00F4331E" w:rsidP="00FD304C">
      <w:pPr>
        <w:rPr>
          <w:rFonts w:cs="Arial"/>
          <w:szCs w:val="22"/>
          <w:lang w:val="cs-CZ"/>
        </w:rPr>
      </w:pPr>
    </w:p>
    <w:p w:rsidR="00EF71C9" w:rsidRPr="00FD304C" w:rsidRDefault="00A920EA" w:rsidP="00FD304C">
      <w:pPr>
        <w:rPr>
          <w:rFonts w:cs="Arial"/>
          <w:lang w:val="cs-CZ"/>
        </w:rPr>
      </w:pPr>
      <w:r w:rsidRPr="00FD304C">
        <w:rPr>
          <w:rFonts w:cs="Arial"/>
          <w:lang w:val="cs-CZ"/>
        </w:rPr>
        <w:lastRenderedPageBreak/>
        <w:t>Pokud jde o HZP, resp. ČPZP</w:t>
      </w:r>
      <w:r w:rsidR="0076041F">
        <w:rPr>
          <w:rFonts w:cs="Arial"/>
          <w:lang w:val="cs-CZ"/>
        </w:rPr>
        <w:t>,</w:t>
      </w:r>
      <w:r w:rsidRPr="00FD304C">
        <w:rPr>
          <w:rFonts w:cs="Arial"/>
          <w:lang w:val="cs-CZ"/>
        </w:rPr>
        <w:t xml:space="preserve"> p</w:t>
      </w:r>
      <w:r w:rsidR="00F4331E" w:rsidRPr="00FD304C">
        <w:rPr>
          <w:rFonts w:cs="Arial"/>
          <w:lang w:val="cs-CZ"/>
        </w:rPr>
        <w:t>rávní předpisy</w:t>
      </w:r>
      <w:r w:rsidR="00CF51F5" w:rsidRPr="00FD304C">
        <w:rPr>
          <w:rFonts w:cs="Arial"/>
          <w:lang w:val="cs-CZ"/>
        </w:rPr>
        <w:t xml:space="preserve"> </w:t>
      </w:r>
      <w:r w:rsidR="00F4331E" w:rsidRPr="00FD304C">
        <w:rPr>
          <w:rFonts w:cs="Arial"/>
          <w:lang w:val="cs-CZ"/>
        </w:rPr>
        <w:t>neuvádějí</w:t>
      </w:r>
      <w:r w:rsidR="00926199">
        <w:rPr>
          <w:rFonts w:cs="Arial"/>
          <w:lang w:val="cs-CZ"/>
        </w:rPr>
        <w:t xml:space="preserve"> </w:t>
      </w:r>
      <w:r w:rsidR="00926199" w:rsidRPr="00FD304C">
        <w:rPr>
          <w:rFonts w:cs="Arial"/>
          <w:lang w:val="cs-CZ"/>
        </w:rPr>
        <w:t>výslovně</w:t>
      </w:r>
      <w:r w:rsidR="00F4331E" w:rsidRPr="00FD304C">
        <w:rPr>
          <w:rFonts w:cs="Arial"/>
          <w:lang w:val="cs-CZ"/>
        </w:rPr>
        <w:t xml:space="preserve"> povinnost, aby </w:t>
      </w:r>
      <w:r w:rsidR="0089412B" w:rsidRPr="00FD304C">
        <w:rPr>
          <w:rFonts w:cs="Arial"/>
          <w:lang w:val="cs-CZ"/>
        </w:rPr>
        <w:t>zdravotní pojišťovna pokračující v činnosti sestavila</w:t>
      </w:r>
      <w:r w:rsidR="00F4331E" w:rsidRPr="00FD304C">
        <w:rPr>
          <w:rFonts w:cs="Arial"/>
          <w:lang w:val="cs-CZ"/>
        </w:rPr>
        <w:t xml:space="preserve"> ke dni předcházejícímu </w:t>
      </w:r>
      <w:r w:rsidR="00550B92" w:rsidRPr="00FD304C">
        <w:rPr>
          <w:rFonts w:cs="Arial"/>
          <w:lang w:val="cs-CZ"/>
        </w:rPr>
        <w:t xml:space="preserve">dni </w:t>
      </w:r>
      <w:r w:rsidR="00F4331E" w:rsidRPr="00FD304C">
        <w:rPr>
          <w:rFonts w:cs="Arial"/>
          <w:lang w:val="cs-CZ"/>
        </w:rPr>
        <w:t>sloučení mimořádnou účetní závěrku</w:t>
      </w:r>
      <w:r w:rsidR="00755322" w:rsidRPr="00FD304C">
        <w:rPr>
          <w:rFonts w:cs="Arial"/>
          <w:lang w:val="cs-CZ"/>
        </w:rPr>
        <w:t xml:space="preserve">. </w:t>
      </w:r>
      <w:r w:rsidR="00D96BD0" w:rsidRPr="00FD304C">
        <w:rPr>
          <w:rFonts w:cs="Arial"/>
          <w:lang w:val="cs-CZ"/>
        </w:rPr>
        <w:t>Názory</w:t>
      </w:r>
      <w:r w:rsidR="00BE7C67" w:rsidRPr="00FD304C">
        <w:rPr>
          <w:rFonts w:cs="Arial"/>
          <w:lang w:val="cs-CZ"/>
        </w:rPr>
        <w:t xml:space="preserve"> </w:t>
      </w:r>
      <w:r w:rsidR="001B35D0" w:rsidRPr="00FD304C">
        <w:rPr>
          <w:rFonts w:cs="Arial"/>
          <w:lang w:val="cs-CZ"/>
        </w:rPr>
        <w:t xml:space="preserve">posuzujících </w:t>
      </w:r>
      <w:r w:rsidR="0089412B" w:rsidRPr="00FD304C">
        <w:rPr>
          <w:rFonts w:cs="Arial"/>
          <w:lang w:val="cs-CZ"/>
        </w:rPr>
        <w:t>ministerstev</w:t>
      </w:r>
      <w:r w:rsidR="00F366EE" w:rsidRPr="00FD304C">
        <w:rPr>
          <w:rFonts w:cs="Arial"/>
          <w:lang w:val="cs-CZ"/>
        </w:rPr>
        <w:t xml:space="preserve"> </w:t>
      </w:r>
      <w:r w:rsidR="00660566" w:rsidRPr="00FD304C">
        <w:rPr>
          <w:rFonts w:cs="Arial"/>
          <w:lang w:val="cs-CZ"/>
        </w:rPr>
        <w:t>na tuto otázku nebyly</w:t>
      </w:r>
      <w:r w:rsidR="00CF51F5" w:rsidRPr="00FD304C">
        <w:rPr>
          <w:rFonts w:cs="Arial"/>
          <w:lang w:val="cs-CZ"/>
        </w:rPr>
        <w:t xml:space="preserve"> </w:t>
      </w:r>
      <w:r w:rsidR="00F366EE" w:rsidRPr="00FD304C">
        <w:rPr>
          <w:rFonts w:cs="Arial"/>
          <w:lang w:val="cs-CZ"/>
        </w:rPr>
        <w:t>při procesu slučování</w:t>
      </w:r>
      <w:r w:rsidR="00D96BD0" w:rsidRPr="00FD304C">
        <w:rPr>
          <w:rFonts w:cs="Arial"/>
          <w:lang w:val="cs-CZ"/>
        </w:rPr>
        <w:t xml:space="preserve"> </w:t>
      </w:r>
      <w:r w:rsidR="00CF51F5" w:rsidRPr="00FD304C">
        <w:rPr>
          <w:rFonts w:cs="Arial"/>
          <w:lang w:val="cs-CZ"/>
        </w:rPr>
        <w:t xml:space="preserve">shodné. Nakonec se MZ přiklonilo k názoru, že </w:t>
      </w:r>
      <w:r w:rsidR="0089412B" w:rsidRPr="00FD304C">
        <w:rPr>
          <w:rFonts w:cs="Arial"/>
          <w:lang w:val="cs-CZ"/>
        </w:rPr>
        <w:t>zdravotní pojišťovna pokračující v činnosti</w:t>
      </w:r>
      <w:r w:rsidR="00660566" w:rsidRPr="00FD304C">
        <w:rPr>
          <w:rFonts w:cs="Arial"/>
          <w:lang w:val="cs-CZ"/>
        </w:rPr>
        <w:t xml:space="preserve"> nemusí sestavovat mimořádnou účetní závěrku</w:t>
      </w:r>
      <w:r w:rsidR="00926199">
        <w:rPr>
          <w:rFonts w:cs="Arial"/>
          <w:lang w:val="cs-CZ"/>
        </w:rPr>
        <w:t>,</w:t>
      </w:r>
      <w:r w:rsidR="00660566" w:rsidRPr="00FD304C">
        <w:rPr>
          <w:rFonts w:cs="Arial"/>
          <w:lang w:val="cs-CZ"/>
        </w:rPr>
        <w:t xml:space="preserve"> a od své</w:t>
      </w:r>
      <w:r w:rsidR="00EF71C9" w:rsidRPr="00FD304C">
        <w:rPr>
          <w:rFonts w:cs="Arial"/>
          <w:lang w:val="cs-CZ"/>
        </w:rPr>
        <w:t>h</w:t>
      </w:r>
      <w:r w:rsidR="00660566" w:rsidRPr="00FD304C">
        <w:rPr>
          <w:rFonts w:cs="Arial"/>
          <w:lang w:val="cs-CZ"/>
        </w:rPr>
        <w:t xml:space="preserve">o </w:t>
      </w:r>
      <w:r w:rsidRPr="00FD304C">
        <w:rPr>
          <w:rFonts w:cs="Arial"/>
          <w:lang w:val="cs-CZ"/>
        </w:rPr>
        <w:t xml:space="preserve">původního </w:t>
      </w:r>
      <w:r w:rsidR="00EF71C9" w:rsidRPr="00FD304C">
        <w:rPr>
          <w:rFonts w:cs="Arial"/>
          <w:lang w:val="cs-CZ"/>
        </w:rPr>
        <w:t xml:space="preserve">požadavku </w:t>
      </w:r>
      <w:r w:rsidR="00634FA6" w:rsidRPr="00FD304C">
        <w:rPr>
          <w:rFonts w:cs="Arial"/>
          <w:lang w:val="cs-CZ"/>
        </w:rPr>
        <w:t>na jej</w:t>
      </w:r>
      <w:r w:rsidR="00180457" w:rsidRPr="00FD304C">
        <w:rPr>
          <w:rFonts w:cs="Arial"/>
          <w:lang w:val="cs-CZ"/>
        </w:rPr>
        <w:t xml:space="preserve">í </w:t>
      </w:r>
      <w:r w:rsidR="00634FA6" w:rsidRPr="00FD304C">
        <w:rPr>
          <w:rFonts w:cs="Arial"/>
          <w:lang w:val="cs-CZ"/>
        </w:rPr>
        <w:t xml:space="preserve">sestavení </w:t>
      </w:r>
      <w:r w:rsidR="00660566" w:rsidRPr="00FD304C">
        <w:rPr>
          <w:rFonts w:cs="Arial"/>
          <w:lang w:val="cs-CZ"/>
        </w:rPr>
        <w:t>ustoupilo.</w:t>
      </w:r>
      <w:r w:rsidR="00D43744" w:rsidRPr="00FD304C">
        <w:rPr>
          <w:rFonts w:cs="Arial"/>
          <w:lang w:val="cs-CZ"/>
        </w:rPr>
        <w:t xml:space="preserve"> </w:t>
      </w:r>
      <w:r w:rsidR="00DD20A3" w:rsidRPr="00FD304C">
        <w:rPr>
          <w:rFonts w:cs="Arial"/>
          <w:lang w:val="cs-CZ"/>
        </w:rPr>
        <w:t>HZP, resp. ČPZP</w:t>
      </w:r>
      <w:r w:rsidR="0076041F">
        <w:rPr>
          <w:rFonts w:cs="Arial"/>
          <w:lang w:val="cs-CZ"/>
        </w:rPr>
        <w:t>,</w:t>
      </w:r>
      <w:r w:rsidR="00DD20A3" w:rsidRPr="00FD304C">
        <w:rPr>
          <w:rFonts w:cs="Arial"/>
          <w:lang w:val="cs-CZ"/>
        </w:rPr>
        <w:t xml:space="preserve"> v souvislosti se sloučeními mimořádnou účetní závěrku nesestavila.</w:t>
      </w:r>
    </w:p>
    <w:p w:rsidR="003B2892" w:rsidRPr="00FD304C" w:rsidRDefault="003B2892" w:rsidP="00FD304C">
      <w:pPr>
        <w:rPr>
          <w:rFonts w:cs="Arial"/>
          <w:lang w:val="cs-CZ"/>
        </w:rPr>
      </w:pPr>
    </w:p>
    <w:p w:rsidR="0087157F" w:rsidRPr="00FD304C" w:rsidRDefault="0087157F" w:rsidP="00FD304C">
      <w:pPr>
        <w:rPr>
          <w:rFonts w:cs="Arial"/>
          <w:b/>
          <w:lang w:val="cs-CZ"/>
        </w:rPr>
      </w:pPr>
      <w:r w:rsidRPr="00FD304C">
        <w:rPr>
          <w:rFonts w:cs="Arial"/>
          <w:b/>
          <w:lang w:val="cs-CZ"/>
        </w:rPr>
        <w:t>V případě slučování zdravotních pojišťoven nejsou právní úpravou stanovena kritéria pro posouzení, kdy je takovýto postup z hlediska veřejného zájmu účelný</w:t>
      </w:r>
      <w:r w:rsidR="00926199">
        <w:rPr>
          <w:rFonts w:cs="Arial"/>
          <w:b/>
          <w:lang w:val="cs-CZ"/>
        </w:rPr>
        <w:t>,</w:t>
      </w:r>
      <w:r w:rsidRPr="00FD304C">
        <w:rPr>
          <w:rFonts w:cs="Arial"/>
          <w:b/>
          <w:lang w:val="cs-CZ"/>
        </w:rPr>
        <w:t xml:space="preserve"> a kdy nikoliv. </w:t>
      </w:r>
      <w:r w:rsidR="00731E5E" w:rsidRPr="00FD304C">
        <w:rPr>
          <w:rFonts w:cs="Arial"/>
          <w:b/>
          <w:lang w:val="cs-CZ"/>
        </w:rPr>
        <w:t xml:space="preserve">Rovněž </w:t>
      </w:r>
      <w:r w:rsidRPr="00FD304C">
        <w:rPr>
          <w:rFonts w:cs="Arial"/>
          <w:b/>
          <w:lang w:val="cs-CZ"/>
        </w:rPr>
        <w:t xml:space="preserve">chybí závazná právní úprava povinnosti sestavit účetní závěrku pro zdravotní pojišťovnu pokračující v činnosti, </w:t>
      </w:r>
      <w:r w:rsidR="00926199">
        <w:rPr>
          <w:rFonts w:cs="Arial"/>
          <w:b/>
          <w:lang w:val="cs-CZ"/>
        </w:rPr>
        <w:t>přitom</w:t>
      </w:r>
      <w:r w:rsidRPr="00FD304C">
        <w:rPr>
          <w:rFonts w:cs="Arial"/>
          <w:b/>
          <w:lang w:val="cs-CZ"/>
        </w:rPr>
        <w:t xml:space="preserve"> tato závěrka dokládá stav hospodaření účetní jednotky před sloučením, slouží jako základna pro sestavení zahajovací rozvahy ke dni sloučení a má potřebnou vypovídací schopnost. Ve sledovaných letech, kdy došlo ke sloučení zdravotních pojišťoven, dosahovala výše aktiv HZP</w:t>
      </w:r>
      <w:r w:rsidR="0076041F">
        <w:rPr>
          <w:rFonts w:cs="Arial"/>
          <w:b/>
          <w:lang w:val="cs-CZ"/>
        </w:rPr>
        <w:t>,</w:t>
      </w:r>
      <w:r w:rsidRPr="00FD304C">
        <w:rPr>
          <w:rFonts w:cs="Arial"/>
          <w:b/>
          <w:lang w:val="cs-CZ"/>
        </w:rPr>
        <w:t xml:space="preserve"> resp. ČPZP</w:t>
      </w:r>
      <w:r w:rsidR="0076041F">
        <w:rPr>
          <w:rFonts w:cs="Arial"/>
          <w:b/>
          <w:lang w:val="cs-CZ"/>
        </w:rPr>
        <w:t>,</w:t>
      </w:r>
      <w:r w:rsidRPr="00FD304C">
        <w:rPr>
          <w:rFonts w:cs="Arial"/>
          <w:b/>
          <w:lang w:val="cs-CZ"/>
        </w:rPr>
        <w:t xml:space="preserve"> cca 5 mld. Kč. </w:t>
      </w:r>
    </w:p>
    <w:p w:rsidR="0087157F" w:rsidRPr="00FD304C" w:rsidRDefault="0087157F" w:rsidP="00FD304C">
      <w:pPr>
        <w:rPr>
          <w:rFonts w:cs="Arial"/>
          <w:lang w:val="cs-CZ"/>
        </w:rPr>
      </w:pPr>
    </w:p>
    <w:p w:rsidR="00F366EE" w:rsidRPr="00A859AD" w:rsidRDefault="00A859AD" w:rsidP="00A859AD">
      <w:pPr>
        <w:rPr>
          <w:b/>
          <w:lang w:val="cs-CZ"/>
        </w:rPr>
      </w:pPr>
      <w:r w:rsidRPr="00A859AD">
        <w:rPr>
          <w:b/>
          <w:lang w:val="cs-CZ"/>
        </w:rPr>
        <w:t xml:space="preserve">2. </w:t>
      </w:r>
      <w:r w:rsidR="0003064C" w:rsidRPr="00A859AD">
        <w:rPr>
          <w:b/>
          <w:lang w:val="cs-CZ"/>
        </w:rPr>
        <w:t>Zdravotně pojistný plán</w:t>
      </w:r>
    </w:p>
    <w:p w:rsidR="00F366EE" w:rsidRPr="00FD304C" w:rsidRDefault="00F366EE" w:rsidP="00FD304C">
      <w:pPr>
        <w:rPr>
          <w:rFonts w:cs="Arial"/>
          <w:lang w:val="cs-CZ"/>
        </w:rPr>
      </w:pPr>
    </w:p>
    <w:p w:rsidR="00B1480F" w:rsidRPr="00FD304C" w:rsidRDefault="00C132FC" w:rsidP="00FD304C">
      <w:pPr>
        <w:rPr>
          <w:rFonts w:cs="Arial"/>
          <w:lang w:val="cs-CZ"/>
        </w:rPr>
      </w:pPr>
      <w:r w:rsidRPr="00FD304C">
        <w:rPr>
          <w:rFonts w:cs="Arial"/>
          <w:lang w:val="cs-CZ"/>
        </w:rPr>
        <w:t>Návrh zdravotně pojistného</w:t>
      </w:r>
      <w:r w:rsidR="00B1480F" w:rsidRPr="00FD304C">
        <w:rPr>
          <w:rFonts w:cs="Arial"/>
          <w:lang w:val="cs-CZ"/>
        </w:rPr>
        <w:t xml:space="preserve"> plán</w:t>
      </w:r>
      <w:r w:rsidRPr="00FD304C">
        <w:rPr>
          <w:rFonts w:cs="Arial"/>
          <w:lang w:val="cs-CZ"/>
        </w:rPr>
        <w:t>u</w:t>
      </w:r>
      <w:r w:rsidR="00B1480F" w:rsidRPr="00FD304C">
        <w:rPr>
          <w:rFonts w:cs="Arial"/>
          <w:lang w:val="cs-CZ"/>
        </w:rPr>
        <w:t xml:space="preserve"> (dále také „ZPP“) jsou </w:t>
      </w:r>
      <w:r w:rsidR="00FE1C98" w:rsidRPr="00FD304C">
        <w:rPr>
          <w:rFonts w:cs="Arial"/>
          <w:lang w:val="cs-CZ"/>
        </w:rPr>
        <w:t>zaměstnanecké</w:t>
      </w:r>
      <w:r w:rsidR="00B1480F" w:rsidRPr="00FD304C">
        <w:rPr>
          <w:rFonts w:cs="Arial"/>
          <w:lang w:val="cs-CZ"/>
        </w:rPr>
        <w:t xml:space="preserve"> pojišťovny povinny předložit k</w:t>
      </w:r>
      <w:r w:rsidR="004A0980" w:rsidRPr="00FD304C">
        <w:rPr>
          <w:rFonts w:cs="Arial"/>
          <w:lang w:val="cs-CZ"/>
        </w:rPr>
        <w:t> </w:t>
      </w:r>
      <w:r w:rsidR="00B1480F" w:rsidRPr="00FD304C">
        <w:rPr>
          <w:rFonts w:cs="Arial"/>
          <w:lang w:val="cs-CZ"/>
        </w:rPr>
        <w:t xml:space="preserve">posouzení MZ a MF. Na návrh vlády ho schvaluje Poslanecká sněmovna Parlamentu ČR. Není-li ZPP schválen, </w:t>
      </w:r>
      <w:r w:rsidR="008B1BDD" w:rsidRPr="00FD304C">
        <w:rPr>
          <w:rFonts w:cs="Arial"/>
          <w:lang w:val="cs-CZ"/>
        </w:rPr>
        <w:t xml:space="preserve">hospodaří </w:t>
      </w:r>
      <w:r w:rsidR="00B1480F" w:rsidRPr="00FD304C">
        <w:rPr>
          <w:rFonts w:cs="Arial"/>
          <w:lang w:val="cs-CZ"/>
        </w:rPr>
        <w:t xml:space="preserve">zdravotní pojišťovny do </w:t>
      </w:r>
      <w:r w:rsidR="009F58F7" w:rsidRPr="00FD304C">
        <w:rPr>
          <w:rFonts w:cs="Arial"/>
          <w:lang w:val="cs-CZ"/>
        </w:rPr>
        <w:t xml:space="preserve">jeho </w:t>
      </w:r>
      <w:r w:rsidR="00B1480F" w:rsidRPr="00FD304C">
        <w:rPr>
          <w:rFonts w:cs="Arial"/>
          <w:lang w:val="cs-CZ"/>
        </w:rPr>
        <w:t xml:space="preserve">schválení </w:t>
      </w:r>
      <w:r w:rsidR="008B1BDD" w:rsidRPr="00FD304C">
        <w:rPr>
          <w:rFonts w:cs="Arial"/>
          <w:lang w:val="cs-CZ"/>
        </w:rPr>
        <w:t>v</w:t>
      </w:r>
      <w:r w:rsidR="00DD20A3" w:rsidRPr="00FD304C">
        <w:rPr>
          <w:rFonts w:cs="Arial"/>
          <w:lang w:val="cs-CZ"/>
        </w:rPr>
        <w:t> </w:t>
      </w:r>
      <w:r w:rsidR="00B1480F" w:rsidRPr="00FD304C">
        <w:rPr>
          <w:rFonts w:cs="Arial"/>
          <w:lang w:val="cs-CZ"/>
        </w:rPr>
        <w:t>provizori</w:t>
      </w:r>
      <w:r w:rsidR="008B1BDD" w:rsidRPr="00FD304C">
        <w:rPr>
          <w:rFonts w:cs="Arial"/>
          <w:lang w:val="cs-CZ"/>
        </w:rPr>
        <w:t>u</w:t>
      </w:r>
      <w:r w:rsidR="00DD20A3" w:rsidRPr="00FD304C">
        <w:rPr>
          <w:rFonts w:cs="Arial"/>
          <w:lang w:val="cs-CZ"/>
        </w:rPr>
        <w:t>, jehož</w:t>
      </w:r>
      <w:r w:rsidR="008B1BDD" w:rsidRPr="00FD304C">
        <w:rPr>
          <w:rFonts w:cs="Arial"/>
          <w:lang w:val="cs-CZ"/>
        </w:rPr>
        <w:t xml:space="preserve"> základem </w:t>
      </w:r>
      <w:r w:rsidR="00B1480F" w:rsidRPr="00FD304C">
        <w:rPr>
          <w:rFonts w:cs="Arial"/>
          <w:lang w:val="cs-CZ"/>
        </w:rPr>
        <w:t>je návrh ZPP na příslušný kalendářní rok.</w:t>
      </w:r>
    </w:p>
    <w:p w:rsidR="008B1BDD" w:rsidRPr="00FD304C" w:rsidRDefault="008B1BDD" w:rsidP="00FD304C">
      <w:pPr>
        <w:rPr>
          <w:rFonts w:cs="Arial"/>
          <w:i/>
          <w:lang w:val="cs-CZ"/>
        </w:rPr>
      </w:pPr>
    </w:p>
    <w:p w:rsidR="008E64EB" w:rsidRPr="00FD304C" w:rsidRDefault="008E64EB" w:rsidP="00FD304C">
      <w:pPr>
        <w:rPr>
          <w:rFonts w:cs="Arial"/>
          <w:b/>
          <w:lang w:val="cs-CZ"/>
        </w:rPr>
      </w:pPr>
      <w:r w:rsidRPr="00FD304C">
        <w:rPr>
          <w:rFonts w:cs="Arial"/>
          <w:b/>
          <w:lang w:val="cs-CZ"/>
        </w:rPr>
        <w:t>Návrh zdravotně pojistného plán</w:t>
      </w:r>
      <w:r w:rsidR="00FC624A" w:rsidRPr="00FD304C">
        <w:rPr>
          <w:rFonts w:cs="Arial"/>
          <w:b/>
          <w:lang w:val="cs-CZ"/>
        </w:rPr>
        <w:t>u</w:t>
      </w:r>
      <w:r w:rsidRPr="00FD304C">
        <w:rPr>
          <w:rFonts w:cs="Arial"/>
          <w:b/>
          <w:lang w:val="cs-CZ"/>
        </w:rPr>
        <w:t>, který byl schválen správní radou HZP, resp. ČPZP,</w:t>
      </w:r>
      <w:r w:rsidR="00F017CF" w:rsidRPr="00FD304C">
        <w:rPr>
          <w:rFonts w:cs="Arial"/>
          <w:b/>
          <w:lang w:val="cs-CZ"/>
        </w:rPr>
        <w:t xml:space="preserve"> a který byl </w:t>
      </w:r>
      <w:r w:rsidR="002A626B" w:rsidRPr="00FD304C">
        <w:rPr>
          <w:rFonts w:cs="Arial"/>
          <w:b/>
          <w:lang w:val="cs-CZ"/>
        </w:rPr>
        <w:t xml:space="preserve">řádně </w:t>
      </w:r>
      <w:r w:rsidR="00F017CF" w:rsidRPr="00FD304C">
        <w:rPr>
          <w:rFonts w:cs="Arial"/>
          <w:b/>
          <w:lang w:val="cs-CZ"/>
        </w:rPr>
        <w:t>předložen,</w:t>
      </w:r>
      <w:r w:rsidRPr="00FD304C">
        <w:rPr>
          <w:rFonts w:cs="Arial"/>
          <w:b/>
          <w:lang w:val="cs-CZ"/>
        </w:rPr>
        <w:t xml:space="preserve"> nebyl </w:t>
      </w:r>
      <w:r w:rsidR="00354D69" w:rsidRPr="00FD304C">
        <w:rPr>
          <w:rFonts w:cs="Arial"/>
          <w:b/>
          <w:lang w:val="cs-CZ"/>
        </w:rPr>
        <w:t xml:space="preserve">vůbec </w:t>
      </w:r>
      <w:r w:rsidRPr="00FD304C">
        <w:rPr>
          <w:rFonts w:cs="Arial"/>
          <w:b/>
          <w:lang w:val="cs-CZ"/>
        </w:rPr>
        <w:t>pro období let 2006, 2007, 2009 a 2010 Poslaneckou sn</w:t>
      </w:r>
      <w:r w:rsidR="00A859AD">
        <w:rPr>
          <w:rFonts w:cs="Arial"/>
          <w:b/>
          <w:lang w:val="cs-CZ"/>
        </w:rPr>
        <w:t>ěmovnou Parlamentu ČR schválen.</w:t>
      </w:r>
      <w:r w:rsidR="0076041F">
        <w:rPr>
          <w:rFonts w:cs="Arial"/>
          <w:b/>
          <w:lang w:val="cs-CZ"/>
        </w:rPr>
        <w:t xml:space="preserve"> </w:t>
      </w:r>
      <w:r w:rsidR="00F017CF" w:rsidRPr="00FD304C">
        <w:rPr>
          <w:rFonts w:cs="Arial"/>
          <w:b/>
          <w:lang w:val="cs-CZ"/>
        </w:rPr>
        <w:t xml:space="preserve">Pro období let 2008, 2011 a 2012 byl </w:t>
      </w:r>
      <w:r w:rsidR="004C2301" w:rsidRPr="00FD304C">
        <w:rPr>
          <w:rFonts w:cs="Arial"/>
          <w:b/>
          <w:lang w:val="cs-CZ"/>
        </w:rPr>
        <w:t xml:space="preserve">návrh </w:t>
      </w:r>
      <w:r w:rsidR="00F017CF" w:rsidRPr="00FD304C">
        <w:rPr>
          <w:rFonts w:cs="Arial"/>
          <w:b/>
          <w:lang w:val="cs-CZ"/>
        </w:rPr>
        <w:t>ZPP sch</w:t>
      </w:r>
      <w:r w:rsidR="00A859AD">
        <w:rPr>
          <w:rFonts w:cs="Arial"/>
          <w:b/>
          <w:lang w:val="cs-CZ"/>
        </w:rPr>
        <w:t xml:space="preserve">válen až v průběhu těchto let. </w:t>
      </w:r>
      <w:r w:rsidR="00E319ED" w:rsidRPr="00FD304C">
        <w:rPr>
          <w:rFonts w:cs="Arial"/>
          <w:b/>
          <w:lang w:val="cs-CZ"/>
        </w:rPr>
        <w:t>Z</w:t>
      </w:r>
      <w:r w:rsidR="00F017CF" w:rsidRPr="00FD304C">
        <w:rPr>
          <w:rFonts w:cs="Arial"/>
          <w:b/>
          <w:lang w:val="cs-CZ"/>
        </w:rPr>
        <w:t>namená</w:t>
      </w:r>
      <w:r w:rsidR="00E319ED" w:rsidRPr="00FD304C">
        <w:rPr>
          <w:rFonts w:cs="Arial"/>
          <w:b/>
          <w:lang w:val="cs-CZ"/>
        </w:rPr>
        <w:t xml:space="preserve"> to</w:t>
      </w:r>
      <w:r w:rsidR="00F017CF" w:rsidRPr="00FD304C">
        <w:rPr>
          <w:rFonts w:cs="Arial"/>
          <w:b/>
          <w:lang w:val="cs-CZ"/>
        </w:rPr>
        <w:t>, že zdravotn</w:t>
      </w:r>
      <w:r w:rsidR="00FC624A" w:rsidRPr="00FD304C">
        <w:rPr>
          <w:rFonts w:cs="Arial"/>
          <w:b/>
          <w:lang w:val="cs-CZ"/>
        </w:rPr>
        <w:t>í pojišťovna v</w:t>
      </w:r>
      <w:r w:rsidR="002A626B" w:rsidRPr="00FD304C">
        <w:rPr>
          <w:rFonts w:cs="Arial"/>
          <w:b/>
          <w:lang w:val="cs-CZ"/>
        </w:rPr>
        <w:t xml:space="preserve">e </w:t>
      </w:r>
      <w:r w:rsidR="00926199">
        <w:rPr>
          <w:rFonts w:cs="Arial"/>
          <w:b/>
          <w:lang w:val="cs-CZ"/>
        </w:rPr>
        <w:t>zmíněných</w:t>
      </w:r>
      <w:r w:rsidR="00FC624A" w:rsidRPr="00FD304C">
        <w:rPr>
          <w:rFonts w:cs="Arial"/>
          <w:b/>
          <w:lang w:val="cs-CZ"/>
        </w:rPr>
        <w:t xml:space="preserve"> letech</w:t>
      </w:r>
      <w:r w:rsidR="00C132FC" w:rsidRPr="00FD304C">
        <w:rPr>
          <w:rFonts w:cs="Arial"/>
          <w:b/>
          <w:lang w:val="cs-CZ"/>
        </w:rPr>
        <w:t>,</w:t>
      </w:r>
      <w:r w:rsidR="00FC624A" w:rsidRPr="00FD304C">
        <w:rPr>
          <w:rFonts w:cs="Arial"/>
          <w:b/>
          <w:lang w:val="cs-CZ"/>
        </w:rPr>
        <w:t xml:space="preserve"> popřípadě </w:t>
      </w:r>
      <w:r w:rsidR="0076041F">
        <w:rPr>
          <w:rFonts w:cs="Arial"/>
          <w:b/>
          <w:lang w:val="cs-CZ"/>
        </w:rPr>
        <w:t>v </w:t>
      </w:r>
      <w:r w:rsidR="00FC624A" w:rsidRPr="00FD304C">
        <w:rPr>
          <w:rFonts w:cs="Arial"/>
          <w:b/>
          <w:lang w:val="cs-CZ"/>
        </w:rPr>
        <w:t xml:space="preserve">části </w:t>
      </w:r>
      <w:r w:rsidR="00926199">
        <w:rPr>
          <w:rFonts w:cs="Arial"/>
          <w:b/>
          <w:lang w:val="cs-CZ"/>
        </w:rPr>
        <w:t xml:space="preserve">těchto </w:t>
      </w:r>
      <w:r w:rsidR="002A626B" w:rsidRPr="00FD304C">
        <w:rPr>
          <w:rFonts w:cs="Arial"/>
          <w:b/>
          <w:lang w:val="cs-CZ"/>
        </w:rPr>
        <w:t>let</w:t>
      </w:r>
      <w:r w:rsidR="00C132FC" w:rsidRPr="00FD304C">
        <w:rPr>
          <w:rFonts w:cs="Arial"/>
          <w:b/>
          <w:lang w:val="cs-CZ"/>
        </w:rPr>
        <w:t>,</w:t>
      </w:r>
      <w:r w:rsidR="00F017CF" w:rsidRPr="00FD304C">
        <w:rPr>
          <w:rFonts w:cs="Arial"/>
          <w:b/>
          <w:lang w:val="cs-CZ"/>
        </w:rPr>
        <w:t xml:space="preserve"> hospodařila v provizoriu, které odpovídalo návrhu zdravotně pojistného plánu.</w:t>
      </w:r>
      <w:r w:rsidR="0076041F">
        <w:rPr>
          <w:rFonts w:cs="Arial"/>
          <w:b/>
          <w:lang w:val="cs-CZ"/>
        </w:rPr>
        <w:t xml:space="preserve"> </w:t>
      </w:r>
      <w:r w:rsidR="00F017CF" w:rsidRPr="00FD304C">
        <w:rPr>
          <w:rFonts w:cs="Arial"/>
          <w:b/>
          <w:lang w:val="cs-CZ"/>
        </w:rPr>
        <w:t>Ani nově sestavené návrhy zdravotně pojistného plánu předkládané s žádostí o</w:t>
      </w:r>
      <w:r w:rsidR="00464273" w:rsidRPr="00FD304C">
        <w:rPr>
          <w:rFonts w:cs="Arial"/>
          <w:b/>
          <w:lang w:val="cs-CZ"/>
        </w:rPr>
        <w:t> </w:t>
      </w:r>
      <w:r w:rsidR="00F017CF" w:rsidRPr="00FD304C">
        <w:rPr>
          <w:rFonts w:cs="Arial"/>
          <w:b/>
          <w:lang w:val="cs-CZ"/>
        </w:rPr>
        <w:t xml:space="preserve">povolení sloučení nebyly </w:t>
      </w:r>
      <w:r w:rsidR="0076041F" w:rsidRPr="00FD304C">
        <w:rPr>
          <w:rFonts w:cs="Arial"/>
          <w:b/>
          <w:lang w:val="cs-CZ"/>
        </w:rPr>
        <w:t>schváleny</w:t>
      </w:r>
      <w:r w:rsidR="0076041F">
        <w:rPr>
          <w:rFonts w:cs="Arial"/>
          <w:b/>
          <w:lang w:val="cs-CZ"/>
        </w:rPr>
        <w:t xml:space="preserve"> </w:t>
      </w:r>
      <w:r w:rsidR="00F017CF" w:rsidRPr="00FD304C">
        <w:rPr>
          <w:rFonts w:cs="Arial"/>
          <w:b/>
          <w:lang w:val="cs-CZ"/>
        </w:rPr>
        <w:t>zákonem</w:t>
      </w:r>
      <w:r w:rsidR="00C132FC" w:rsidRPr="00FD304C">
        <w:rPr>
          <w:rFonts w:cs="Arial"/>
          <w:b/>
          <w:vertAlign w:val="superscript"/>
          <w:lang w:val="cs-CZ"/>
        </w:rPr>
        <w:t>1</w:t>
      </w:r>
      <w:r w:rsidR="00F017CF" w:rsidRPr="00FD304C">
        <w:rPr>
          <w:rFonts w:cs="Arial"/>
          <w:b/>
          <w:lang w:val="cs-CZ"/>
        </w:rPr>
        <w:t xml:space="preserve"> požadovaným způsobem.</w:t>
      </w:r>
    </w:p>
    <w:p w:rsidR="004B0D5E" w:rsidRPr="00A859AD" w:rsidRDefault="004B0D5E" w:rsidP="00FD304C">
      <w:pPr>
        <w:rPr>
          <w:rFonts w:cs="Arial"/>
          <w:color w:val="000000" w:themeColor="text1"/>
          <w:lang w:val="cs-CZ"/>
        </w:rPr>
      </w:pPr>
    </w:p>
    <w:p w:rsidR="003B2892" w:rsidRPr="00A859AD" w:rsidRDefault="00A859AD" w:rsidP="00A859AD">
      <w:pPr>
        <w:rPr>
          <w:b/>
          <w:lang w:val="cs-CZ"/>
        </w:rPr>
      </w:pPr>
      <w:r>
        <w:rPr>
          <w:b/>
          <w:lang w:val="cs-CZ"/>
        </w:rPr>
        <w:t xml:space="preserve">3. </w:t>
      </w:r>
      <w:r w:rsidR="003B2892" w:rsidRPr="00A859AD">
        <w:rPr>
          <w:b/>
          <w:lang w:val="cs-CZ"/>
        </w:rPr>
        <w:t>Zabezpečování v</w:t>
      </w:r>
      <w:r w:rsidR="0040315A" w:rsidRPr="00A859AD">
        <w:rPr>
          <w:b/>
          <w:lang w:val="cs-CZ"/>
        </w:rPr>
        <w:t>eřejné</w:t>
      </w:r>
      <w:r w:rsidR="003B2892" w:rsidRPr="00A859AD">
        <w:rPr>
          <w:b/>
          <w:lang w:val="cs-CZ"/>
        </w:rPr>
        <w:t>ho</w:t>
      </w:r>
      <w:r w:rsidR="0040315A" w:rsidRPr="00A859AD">
        <w:rPr>
          <w:b/>
          <w:lang w:val="cs-CZ"/>
        </w:rPr>
        <w:t xml:space="preserve"> zdravotní</w:t>
      </w:r>
      <w:r w:rsidR="003B2892" w:rsidRPr="00A859AD">
        <w:rPr>
          <w:b/>
          <w:lang w:val="cs-CZ"/>
        </w:rPr>
        <w:t>ho</w:t>
      </w:r>
      <w:r w:rsidR="0040315A" w:rsidRPr="00A859AD">
        <w:rPr>
          <w:b/>
          <w:lang w:val="cs-CZ"/>
        </w:rPr>
        <w:t xml:space="preserve"> pojištění</w:t>
      </w:r>
    </w:p>
    <w:p w:rsidR="003B2892" w:rsidRPr="00FD304C" w:rsidRDefault="003B2892" w:rsidP="00A859AD">
      <w:pPr>
        <w:pStyle w:val="Odstavecseseznamem"/>
        <w:tabs>
          <w:tab w:val="left" w:pos="6720"/>
        </w:tabs>
        <w:ind w:left="0"/>
        <w:rPr>
          <w:rFonts w:cs="Arial"/>
          <w:lang w:val="cs-CZ"/>
        </w:rPr>
      </w:pPr>
    </w:p>
    <w:p w:rsidR="001D3B70" w:rsidRPr="0076041F" w:rsidRDefault="003B2892" w:rsidP="00FD304C">
      <w:pPr>
        <w:pStyle w:val="Odstavecseseznamem"/>
        <w:tabs>
          <w:tab w:val="left" w:pos="6720"/>
        </w:tabs>
        <w:ind w:left="0"/>
        <w:rPr>
          <w:rFonts w:cs="Arial"/>
          <w:lang w:val="cs-CZ"/>
        </w:rPr>
      </w:pPr>
      <w:r w:rsidRPr="00FD304C">
        <w:rPr>
          <w:rFonts w:cs="Arial"/>
          <w:lang w:val="cs-CZ"/>
        </w:rPr>
        <w:t xml:space="preserve">Zdravotní pojišťovny jsou </w:t>
      </w:r>
      <w:r w:rsidR="008B1BDD" w:rsidRPr="00FD304C">
        <w:rPr>
          <w:rFonts w:cs="Arial"/>
          <w:lang w:val="cs-CZ"/>
        </w:rPr>
        <w:t>v</w:t>
      </w:r>
      <w:r w:rsidR="00B930F7" w:rsidRPr="00FD304C">
        <w:rPr>
          <w:rFonts w:cs="Arial"/>
          <w:lang w:val="cs-CZ"/>
        </w:rPr>
        <w:t xml:space="preserve"> rámci </w:t>
      </w:r>
      <w:r w:rsidR="005E4958" w:rsidRPr="00FD304C">
        <w:rPr>
          <w:rFonts w:cs="Arial"/>
          <w:lang w:val="cs-CZ"/>
        </w:rPr>
        <w:t xml:space="preserve">veřejného zdravotního pojištění </w:t>
      </w:r>
      <w:r w:rsidRPr="00FD304C">
        <w:rPr>
          <w:rFonts w:cs="Arial"/>
          <w:lang w:val="cs-CZ"/>
        </w:rPr>
        <w:t>povinny</w:t>
      </w:r>
      <w:r w:rsidR="00E02C5E" w:rsidRPr="00FD304C">
        <w:rPr>
          <w:rFonts w:cs="Arial"/>
          <w:lang w:val="cs-CZ"/>
        </w:rPr>
        <w:t xml:space="preserve"> </w:t>
      </w:r>
      <w:r w:rsidR="005E4958" w:rsidRPr="00FD304C">
        <w:rPr>
          <w:rFonts w:cs="Arial"/>
          <w:lang w:val="cs-CZ"/>
        </w:rPr>
        <w:t>zajišť</w:t>
      </w:r>
      <w:r w:rsidR="005F7092" w:rsidRPr="00FD304C">
        <w:rPr>
          <w:rFonts w:cs="Arial"/>
          <w:lang w:val="cs-CZ"/>
        </w:rPr>
        <w:t>ovat</w:t>
      </w:r>
      <w:r w:rsidR="005E4958" w:rsidRPr="00FD304C">
        <w:rPr>
          <w:rFonts w:cs="Arial"/>
          <w:lang w:val="cs-CZ"/>
        </w:rPr>
        <w:t xml:space="preserve"> </w:t>
      </w:r>
      <w:r w:rsidR="005E4958" w:rsidRPr="00FD304C">
        <w:rPr>
          <w:rFonts w:cs="Arial"/>
          <w:b/>
          <w:lang w:val="cs-CZ"/>
        </w:rPr>
        <w:t>výběr pojistného</w:t>
      </w:r>
      <w:r w:rsidR="00205A97" w:rsidRPr="00FD304C">
        <w:rPr>
          <w:rFonts w:cs="Arial"/>
          <w:b/>
          <w:lang w:val="cs-CZ"/>
        </w:rPr>
        <w:t xml:space="preserve"> </w:t>
      </w:r>
      <w:r w:rsidR="00205A97" w:rsidRPr="00FD304C">
        <w:rPr>
          <w:rFonts w:cs="Arial"/>
          <w:lang w:val="cs-CZ"/>
        </w:rPr>
        <w:t>na veřejné zdravotní pojištění</w:t>
      </w:r>
      <w:r w:rsidR="005E4958" w:rsidRPr="00FD304C">
        <w:rPr>
          <w:rFonts w:cs="Arial"/>
          <w:lang w:val="cs-CZ"/>
        </w:rPr>
        <w:t xml:space="preserve"> (dále také „pojistné“) </w:t>
      </w:r>
      <w:r w:rsidR="00E02C5E" w:rsidRPr="00FD304C">
        <w:rPr>
          <w:rFonts w:cs="Arial"/>
          <w:lang w:val="cs-CZ"/>
        </w:rPr>
        <w:t>a</w:t>
      </w:r>
      <w:r w:rsidR="005E4958" w:rsidRPr="00FD304C">
        <w:rPr>
          <w:rFonts w:cs="Arial"/>
          <w:lang w:val="cs-CZ"/>
        </w:rPr>
        <w:t xml:space="preserve"> </w:t>
      </w:r>
      <w:r w:rsidR="001D3B70" w:rsidRPr="00FD304C">
        <w:rPr>
          <w:rFonts w:cs="Arial"/>
          <w:b/>
          <w:lang w:val="cs-CZ"/>
        </w:rPr>
        <w:t>úhradu zdravotní</w:t>
      </w:r>
      <w:r w:rsidR="00205A97" w:rsidRPr="00FD304C">
        <w:rPr>
          <w:rFonts w:cs="Arial"/>
          <w:b/>
          <w:lang w:val="cs-CZ"/>
        </w:rPr>
        <w:t>ch</w:t>
      </w:r>
      <w:r w:rsidR="001D3B70" w:rsidRPr="00FD304C">
        <w:rPr>
          <w:rFonts w:cs="Arial"/>
          <w:b/>
          <w:lang w:val="cs-CZ"/>
        </w:rPr>
        <w:t xml:space="preserve"> </w:t>
      </w:r>
      <w:r w:rsidR="00205A97" w:rsidRPr="00FD304C">
        <w:rPr>
          <w:rFonts w:cs="Arial"/>
          <w:b/>
          <w:lang w:val="cs-CZ"/>
        </w:rPr>
        <w:t>služeb</w:t>
      </w:r>
      <w:r w:rsidR="001D3B70" w:rsidRPr="00FD304C">
        <w:rPr>
          <w:rFonts w:cs="Arial"/>
          <w:lang w:val="cs-CZ"/>
        </w:rPr>
        <w:t xml:space="preserve"> z prostředků veřejného zdravotního pojištěn</w:t>
      </w:r>
      <w:r w:rsidR="001A3864" w:rsidRPr="00FD304C">
        <w:rPr>
          <w:rFonts w:cs="Arial"/>
          <w:lang w:val="cs-CZ"/>
        </w:rPr>
        <w:t>í</w:t>
      </w:r>
      <w:r w:rsidR="003A73D7" w:rsidRPr="00FD304C">
        <w:rPr>
          <w:rFonts w:cs="Arial"/>
          <w:lang w:val="cs-CZ"/>
        </w:rPr>
        <w:t xml:space="preserve"> za podmínek stanovených příslušnými zákony</w:t>
      </w:r>
      <w:r w:rsidR="00C23A2E" w:rsidRPr="00FD304C">
        <w:rPr>
          <w:rFonts w:cs="Arial"/>
          <w:vertAlign w:val="superscript"/>
          <w:lang w:val="cs-CZ"/>
        </w:rPr>
        <w:t>1,</w:t>
      </w:r>
      <w:r w:rsidR="00C23A2E" w:rsidRPr="00FD304C">
        <w:rPr>
          <w:rStyle w:val="Znakapoznpodarou"/>
          <w:rFonts w:cs="Arial"/>
          <w:lang w:val="cs-CZ"/>
        </w:rPr>
        <w:footnoteReference w:id="3"/>
      </w:r>
      <w:r w:rsidR="00C23A2E" w:rsidRPr="00FD304C">
        <w:rPr>
          <w:rFonts w:cs="Arial"/>
          <w:vertAlign w:val="superscript"/>
          <w:lang w:val="cs-CZ"/>
        </w:rPr>
        <w:t>,</w:t>
      </w:r>
      <w:r w:rsidR="00C23A2E" w:rsidRPr="00FD304C">
        <w:rPr>
          <w:rStyle w:val="Znakapoznpodarou"/>
          <w:rFonts w:cs="Arial"/>
          <w:lang w:val="cs-CZ"/>
        </w:rPr>
        <w:footnoteReference w:id="4"/>
      </w:r>
      <w:r w:rsidR="00164AF2" w:rsidRPr="00FD304C">
        <w:rPr>
          <w:rFonts w:cs="Arial"/>
          <w:lang w:val="cs-CZ"/>
        </w:rPr>
        <w:t>, zejména zákonem č.</w:t>
      </w:r>
      <w:r w:rsidR="00E02C5E" w:rsidRPr="00FD304C">
        <w:rPr>
          <w:rFonts w:cs="Arial"/>
          <w:lang w:val="cs-CZ"/>
        </w:rPr>
        <w:t xml:space="preserve"> 48/1997 </w:t>
      </w:r>
      <w:proofErr w:type="gramStart"/>
      <w:r w:rsidR="00E02C5E" w:rsidRPr="00FD304C">
        <w:rPr>
          <w:rFonts w:cs="Arial"/>
          <w:lang w:val="cs-CZ"/>
        </w:rPr>
        <w:t>Sb.</w:t>
      </w:r>
      <w:r w:rsidR="002A626B" w:rsidRPr="00FD304C">
        <w:rPr>
          <w:rFonts w:cs="Arial"/>
          <w:vertAlign w:val="superscript"/>
          <w:lang w:val="cs-CZ"/>
        </w:rPr>
        <w:t>2</w:t>
      </w:r>
      <w:proofErr w:type="gramEnd"/>
    </w:p>
    <w:p w:rsidR="00E02C5E" w:rsidRPr="0076041F" w:rsidRDefault="00E02C5E" w:rsidP="00FD304C">
      <w:pPr>
        <w:rPr>
          <w:rFonts w:cs="Arial"/>
          <w:lang w:val="cs-CZ"/>
        </w:rPr>
      </w:pPr>
    </w:p>
    <w:p w:rsidR="009F43D0" w:rsidRPr="00FD304C" w:rsidRDefault="009F43D0" w:rsidP="00A859AD">
      <w:pPr>
        <w:tabs>
          <w:tab w:val="right" w:pos="9072"/>
        </w:tabs>
        <w:spacing w:after="40"/>
        <w:rPr>
          <w:rFonts w:cs="Arial"/>
          <w:b/>
          <w:lang w:val="cs-CZ"/>
        </w:rPr>
      </w:pPr>
      <w:r w:rsidRPr="00FD304C">
        <w:rPr>
          <w:rFonts w:cs="Arial"/>
          <w:b/>
          <w:lang w:val="cs-CZ"/>
        </w:rPr>
        <w:t>Tabulka č. 1 – V</w:t>
      </w:r>
      <w:r w:rsidR="0076041F">
        <w:rPr>
          <w:rFonts w:cs="Arial"/>
          <w:b/>
          <w:lang w:val="cs-CZ"/>
        </w:rPr>
        <w:t>ybrané základní ukazatele ČPZP</w:t>
      </w:r>
      <w:r w:rsidR="0076041F">
        <w:rPr>
          <w:rFonts w:cs="Arial"/>
          <w:b/>
          <w:lang w:val="cs-CZ"/>
        </w:rPr>
        <w:tab/>
      </w:r>
    </w:p>
    <w:tbl>
      <w:tblPr>
        <w:tblW w:w="4911" w:type="pct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2"/>
        <w:gridCol w:w="1031"/>
        <w:gridCol w:w="1031"/>
        <w:gridCol w:w="1030"/>
        <w:gridCol w:w="1024"/>
      </w:tblGrid>
      <w:tr w:rsidR="009F43D0" w:rsidRPr="00FD304C" w:rsidTr="0076041F">
        <w:trPr>
          <w:trHeight w:val="227"/>
          <w:jc w:val="center"/>
        </w:trPr>
        <w:tc>
          <w:tcPr>
            <w:tcW w:w="2725" w:type="pct"/>
            <w:shd w:val="clear" w:color="auto" w:fill="auto"/>
            <w:noWrap/>
            <w:vAlign w:val="center"/>
            <w:hideMark/>
          </w:tcPr>
          <w:p w:rsidR="009F43D0" w:rsidRPr="00FD304C" w:rsidRDefault="009F43D0" w:rsidP="00A859AD">
            <w:pPr>
              <w:jc w:val="left"/>
              <w:rPr>
                <w:rFonts w:cs="Arial"/>
                <w:b/>
                <w:color w:val="000000"/>
                <w:sz w:val="16"/>
                <w:szCs w:val="16"/>
                <w:lang w:val="cs-CZ" w:eastAsia="cs-CZ"/>
              </w:rPr>
            </w:pPr>
            <w:r w:rsidRPr="00FD304C">
              <w:rPr>
                <w:rFonts w:cs="Arial"/>
                <w:b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9F43D0" w:rsidRPr="00FD304C" w:rsidRDefault="009F43D0" w:rsidP="00FD304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FD304C">
              <w:rPr>
                <w:rFonts w:cs="Arial"/>
                <w:b/>
                <w:bCs/>
                <w:color w:val="000000"/>
                <w:sz w:val="16"/>
                <w:szCs w:val="16"/>
                <w:lang w:val="cs-CZ" w:eastAsia="cs-CZ"/>
              </w:rPr>
              <w:t>2009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9F43D0" w:rsidRPr="00FD304C" w:rsidRDefault="009F43D0" w:rsidP="00FD304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FD304C">
              <w:rPr>
                <w:rFonts w:cs="Arial"/>
                <w:b/>
                <w:bCs/>
                <w:color w:val="000000"/>
                <w:sz w:val="16"/>
                <w:szCs w:val="16"/>
                <w:lang w:val="cs-CZ" w:eastAsia="cs-CZ"/>
              </w:rPr>
              <w:t>2010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9F43D0" w:rsidRPr="00FD304C" w:rsidRDefault="009F43D0" w:rsidP="00FD304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FD304C">
              <w:rPr>
                <w:rFonts w:cs="Arial"/>
                <w:b/>
                <w:bCs/>
                <w:color w:val="000000"/>
                <w:sz w:val="16"/>
                <w:szCs w:val="16"/>
                <w:lang w:val="cs-CZ" w:eastAsia="cs-CZ"/>
              </w:rPr>
              <w:t>2011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9F43D0" w:rsidRPr="00FD304C" w:rsidRDefault="009F43D0" w:rsidP="00FD304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FD304C">
              <w:rPr>
                <w:rFonts w:cs="Arial"/>
                <w:b/>
                <w:bCs/>
                <w:color w:val="000000"/>
                <w:sz w:val="16"/>
                <w:szCs w:val="16"/>
                <w:lang w:val="cs-CZ" w:eastAsia="cs-CZ"/>
              </w:rPr>
              <w:t>2012</w:t>
            </w:r>
          </w:p>
        </w:tc>
      </w:tr>
      <w:tr w:rsidR="009F43D0" w:rsidRPr="00FD304C" w:rsidTr="0076041F">
        <w:trPr>
          <w:trHeight w:val="227"/>
          <w:jc w:val="center"/>
        </w:trPr>
        <w:tc>
          <w:tcPr>
            <w:tcW w:w="2725" w:type="pct"/>
            <w:shd w:val="clear" w:color="auto" w:fill="auto"/>
            <w:noWrap/>
            <w:vAlign w:val="center"/>
          </w:tcPr>
          <w:p w:rsidR="009F43D0" w:rsidRPr="00C90634" w:rsidRDefault="009F43D0" w:rsidP="00A859AD">
            <w:pPr>
              <w:jc w:val="left"/>
              <w:rPr>
                <w:rFonts w:cs="Arial"/>
                <w:color w:val="000000"/>
                <w:sz w:val="16"/>
                <w:szCs w:val="16"/>
                <w:lang w:val="cs-CZ" w:eastAsia="cs-CZ"/>
              </w:rPr>
            </w:pPr>
            <w:r w:rsidRPr="00C90634">
              <w:rPr>
                <w:rFonts w:cs="Arial"/>
                <w:color w:val="000000"/>
                <w:sz w:val="16"/>
                <w:szCs w:val="16"/>
                <w:lang w:val="cs-CZ" w:eastAsia="cs-CZ"/>
              </w:rPr>
              <w:t>Průměrný počet pojištěnců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9F43D0" w:rsidRPr="00C90634" w:rsidRDefault="009F43D0" w:rsidP="00A859A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90634">
              <w:rPr>
                <w:rFonts w:cs="Arial"/>
                <w:color w:val="000000"/>
                <w:sz w:val="16"/>
                <w:szCs w:val="16"/>
              </w:rPr>
              <w:t>468 422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F43D0" w:rsidRPr="00C90634" w:rsidRDefault="009F43D0" w:rsidP="00A859A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90634">
              <w:rPr>
                <w:rFonts w:cs="Arial"/>
                <w:color w:val="000000"/>
                <w:sz w:val="16"/>
                <w:szCs w:val="16"/>
              </w:rPr>
              <w:t>714 142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9F43D0" w:rsidRPr="00C90634" w:rsidRDefault="009F43D0" w:rsidP="00A859A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90634">
              <w:rPr>
                <w:rFonts w:cs="Arial"/>
                <w:color w:val="000000"/>
                <w:sz w:val="16"/>
                <w:szCs w:val="16"/>
              </w:rPr>
              <w:t>722 700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9F43D0" w:rsidRPr="00C90634" w:rsidRDefault="009F43D0" w:rsidP="00A859A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90634">
              <w:rPr>
                <w:rFonts w:cs="Arial"/>
                <w:color w:val="000000"/>
                <w:sz w:val="16"/>
                <w:szCs w:val="16"/>
              </w:rPr>
              <w:t>845 745</w:t>
            </w:r>
          </w:p>
        </w:tc>
      </w:tr>
      <w:tr w:rsidR="009F43D0" w:rsidRPr="00FD304C" w:rsidTr="0076041F">
        <w:trPr>
          <w:trHeight w:val="227"/>
          <w:jc w:val="center"/>
        </w:trPr>
        <w:tc>
          <w:tcPr>
            <w:tcW w:w="2725" w:type="pct"/>
            <w:shd w:val="clear" w:color="auto" w:fill="auto"/>
            <w:noWrap/>
            <w:vAlign w:val="center"/>
            <w:hideMark/>
          </w:tcPr>
          <w:p w:rsidR="009F43D0" w:rsidRPr="00C90634" w:rsidRDefault="009F43D0" w:rsidP="00A859AD">
            <w:pPr>
              <w:jc w:val="left"/>
              <w:rPr>
                <w:rFonts w:cs="Arial"/>
                <w:color w:val="000000"/>
                <w:sz w:val="16"/>
                <w:szCs w:val="16"/>
                <w:lang w:val="cs-CZ" w:eastAsia="cs-CZ"/>
              </w:rPr>
            </w:pPr>
            <w:r w:rsidRPr="00C90634">
              <w:rPr>
                <w:rFonts w:cs="Arial"/>
                <w:color w:val="000000"/>
                <w:sz w:val="16"/>
                <w:szCs w:val="16"/>
                <w:lang w:val="cs-CZ" w:eastAsia="cs-CZ"/>
              </w:rPr>
              <w:t>Předpisy pojistného (v tis. Kč)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9F43D0" w:rsidRPr="00FD304C" w:rsidRDefault="009F43D0" w:rsidP="00A859A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cs-CZ" w:eastAsia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 w:eastAsia="cs-CZ"/>
              </w:rPr>
              <w:t>6 484 592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9F43D0" w:rsidRPr="00FD304C" w:rsidRDefault="009F43D0" w:rsidP="00A859A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cs-CZ" w:eastAsia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 w:eastAsia="cs-CZ"/>
              </w:rPr>
              <w:t>10 145 778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9F43D0" w:rsidRPr="00FD304C" w:rsidRDefault="009F43D0" w:rsidP="00A859A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 w:eastAsia="cs-CZ"/>
              </w:rPr>
              <w:t>10 393 44</w:t>
            </w:r>
            <w:r w:rsidRPr="00FD304C">
              <w:rPr>
                <w:rFonts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9F43D0" w:rsidRPr="00FD304C" w:rsidRDefault="009F43D0" w:rsidP="00A859A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eastAsia="cs-CZ"/>
              </w:rPr>
              <w:t>12 623 760</w:t>
            </w:r>
          </w:p>
        </w:tc>
      </w:tr>
      <w:tr w:rsidR="009F43D0" w:rsidRPr="00FD304C" w:rsidTr="0076041F">
        <w:trPr>
          <w:trHeight w:val="227"/>
          <w:jc w:val="center"/>
        </w:trPr>
        <w:tc>
          <w:tcPr>
            <w:tcW w:w="2725" w:type="pct"/>
            <w:shd w:val="clear" w:color="auto" w:fill="auto"/>
            <w:noWrap/>
            <w:vAlign w:val="center"/>
          </w:tcPr>
          <w:p w:rsidR="009F43D0" w:rsidRPr="00C90634" w:rsidRDefault="009F43D0" w:rsidP="00A859AD">
            <w:pPr>
              <w:jc w:val="left"/>
              <w:rPr>
                <w:rFonts w:cs="Arial"/>
                <w:color w:val="000000"/>
                <w:sz w:val="16"/>
                <w:szCs w:val="16"/>
                <w:lang w:val="cs-CZ" w:eastAsia="cs-CZ"/>
              </w:rPr>
            </w:pPr>
            <w:r w:rsidRPr="00C90634">
              <w:rPr>
                <w:rFonts w:cs="Arial"/>
                <w:color w:val="000000"/>
                <w:sz w:val="16"/>
                <w:szCs w:val="16"/>
                <w:lang w:val="cs-CZ" w:eastAsia="cs-CZ"/>
              </w:rPr>
              <w:t>Uhrazené pojistné (v tis. Kč)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9F43D0" w:rsidRPr="00FD304C" w:rsidRDefault="009F43D0" w:rsidP="00A859A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eastAsia="cs-CZ"/>
              </w:rPr>
              <w:t>6 230 538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F43D0" w:rsidRPr="00FD304C" w:rsidRDefault="009F43D0" w:rsidP="00A859A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eastAsia="cs-CZ"/>
              </w:rPr>
              <w:t>9 818 465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9F43D0" w:rsidRPr="00FD304C" w:rsidRDefault="009F43D0" w:rsidP="00A859A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eastAsia="cs-CZ"/>
              </w:rPr>
              <w:t>10 243 053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9F43D0" w:rsidRPr="00FD304C" w:rsidRDefault="009F43D0" w:rsidP="00A859A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eastAsia="cs-CZ"/>
              </w:rPr>
              <w:t>12 262 928</w:t>
            </w:r>
          </w:p>
        </w:tc>
      </w:tr>
      <w:tr w:rsidR="009F43D0" w:rsidRPr="00FD304C" w:rsidTr="0076041F">
        <w:trPr>
          <w:trHeight w:val="227"/>
          <w:jc w:val="center"/>
        </w:trPr>
        <w:tc>
          <w:tcPr>
            <w:tcW w:w="2725" w:type="pct"/>
            <w:shd w:val="clear" w:color="auto" w:fill="auto"/>
            <w:noWrap/>
            <w:vAlign w:val="center"/>
            <w:hideMark/>
          </w:tcPr>
          <w:p w:rsidR="009F43D0" w:rsidRPr="00C90634" w:rsidRDefault="009F43D0" w:rsidP="00A859AD">
            <w:pPr>
              <w:jc w:val="left"/>
              <w:rPr>
                <w:rFonts w:cs="Arial"/>
                <w:color w:val="000000"/>
                <w:sz w:val="16"/>
                <w:szCs w:val="16"/>
                <w:lang w:val="cs-CZ" w:eastAsia="cs-CZ"/>
              </w:rPr>
            </w:pPr>
            <w:r w:rsidRPr="00C90634">
              <w:rPr>
                <w:rFonts w:cs="Arial"/>
                <w:color w:val="000000"/>
                <w:sz w:val="16"/>
                <w:szCs w:val="16"/>
                <w:lang w:val="cs-CZ" w:eastAsia="cs-CZ"/>
              </w:rPr>
              <w:t>Prostředky z přerozdělování pojistného (v tis. Kč)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9F43D0" w:rsidRPr="00FD304C" w:rsidRDefault="009F43D0" w:rsidP="00A859A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eastAsia="cs-CZ"/>
              </w:rPr>
              <w:t>2 115 913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9F43D0" w:rsidRPr="00FD304C" w:rsidRDefault="009F43D0" w:rsidP="00A859A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eastAsia="cs-CZ"/>
              </w:rPr>
              <w:t>3 292 951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9F43D0" w:rsidRPr="00FD304C" w:rsidRDefault="009F43D0" w:rsidP="00A859A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eastAsia="cs-CZ"/>
              </w:rPr>
              <w:t>3 310 392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9F43D0" w:rsidRPr="00FD304C" w:rsidRDefault="009F43D0" w:rsidP="00A859A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eastAsia="cs-CZ"/>
              </w:rPr>
              <w:t>4 039 067</w:t>
            </w:r>
          </w:p>
        </w:tc>
      </w:tr>
      <w:tr w:rsidR="009F43D0" w:rsidRPr="00FD304C" w:rsidTr="0076041F">
        <w:trPr>
          <w:trHeight w:val="227"/>
          <w:jc w:val="center"/>
        </w:trPr>
        <w:tc>
          <w:tcPr>
            <w:tcW w:w="2725" w:type="pct"/>
            <w:shd w:val="clear" w:color="auto" w:fill="auto"/>
            <w:noWrap/>
            <w:vAlign w:val="center"/>
            <w:hideMark/>
          </w:tcPr>
          <w:p w:rsidR="009F43D0" w:rsidRPr="00C90634" w:rsidRDefault="009F43D0" w:rsidP="00A859AD">
            <w:pPr>
              <w:jc w:val="left"/>
              <w:rPr>
                <w:rFonts w:cs="Arial"/>
                <w:color w:val="000000"/>
                <w:sz w:val="16"/>
                <w:szCs w:val="16"/>
                <w:lang w:val="cs-CZ" w:eastAsia="cs-CZ"/>
              </w:rPr>
            </w:pPr>
            <w:r w:rsidRPr="00C90634">
              <w:rPr>
                <w:rFonts w:cs="Arial"/>
                <w:color w:val="000000"/>
                <w:sz w:val="16"/>
                <w:szCs w:val="16"/>
                <w:lang w:val="cs-CZ" w:eastAsia="cs-CZ"/>
              </w:rPr>
              <w:t>Pohledávky za plátci po lhůtě splatnosti k 31.</w:t>
            </w:r>
            <w:r w:rsidR="00F63279" w:rsidRPr="00C90634">
              <w:rPr>
                <w:rFonts w:cs="Arial"/>
                <w:color w:val="000000"/>
                <w:sz w:val="16"/>
                <w:szCs w:val="16"/>
                <w:lang w:val="cs-CZ" w:eastAsia="cs-CZ"/>
              </w:rPr>
              <w:t> </w:t>
            </w:r>
            <w:r w:rsidRPr="00C90634">
              <w:rPr>
                <w:rFonts w:cs="Arial"/>
                <w:color w:val="000000"/>
                <w:sz w:val="16"/>
                <w:szCs w:val="16"/>
                <w:lang w:val="cs-CZ" w:eastAsia="cs-CZ"/>
              </w:rPr>
              <w:t>12. (v tis. Kč)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:rsidR="009F43D0" w:rsidRPr="00FD304C" w:rsidRDefault="009F43D0" w:rsidP="00A859A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eastAsia="cs-CZ"/>
              </w:rPr>
              <w:t>1 697 265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9F43D0" w:rsidRPr="00FD304C" w:rsidRDefault="009F43D0" w:rsidP="00A859A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eastAsia="cs-CZ"/>
              </w:rPr>
              <w:t>858 331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9F43D0" w:rsidRPr="00FD304C" w:rsidRDefault="009F43D0" w:rsidP="00A859A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eastAsia="cs-CZ"/>
              </w:rPr>
              <w:t>797 937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9F43D0" w:rsidRPr="00FD304C" w:rsidRDefault="009F43D0" w:rsidP="00A859A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eastAsia="cs-CZ"/>
              </w:rPr>
              <w:t>1 572 976</w:t>
            </w:r>
          </w:p>
        </w:tc>
      </w:tr>
    </w:tbl>
    <w:p w:rsidR="009F43D0" w:rsidRPr="00FD304C" w:rsidRDefault="009F43D0" w:rsidP="00A859AD">
      <w:pPr>
        <w:spacing w:before="40"/>
        <w:rPr>
          <w:rFonts w:cs="Arial"/>
          <w:bCs/>
          <w:sz w:val="18"/>
          <w:szCs w:val="18"/>
          <w:lang w:val="cs-CZ"/>
        </w:rPr>
      </w:pPr>
      <w:r w:rsidRPr="00FD304C">
        <w:rPr>
          <w:rFonts w:cs="Arial"/>
          <w:b/>
          <w:bCs/>
          <w:sz w:val="18"/>
          <w:szCs w:val="18"/>
          <w:lang w:val="cs-CZ"/>
        </w:rPr>
        <w:t>Zdroj:</w:t>
      </w:r>
      <w:r w:rsidRPr="00FD304C">
        <w:rPr>
          <w:rFonts w:cs="Arial"/>
          <w:bCs/>
          <w:sz w:val="18"/>
          <w:szCs w:val="18"/>
          <w:lang w:val="cs-CZ"/>
        </w:rPr>
        <w:t xml:space="preserve"> </w:t>
      </w:r>
      <w:r w:rsidR="0076041F">
        <w:rPr>
          <w:rFonts w:cs="Arial"/>
          <w:bCs/>
          <w:sz w:val="18"/>
          <w:szCs w:val="18"/>
          <w:lang w:val="cs-CZ"/>
        </w:rPr>
        <w:t>v</w:t>
      </w:r>
      <w:r w:rsidRPr="00FD304C">
        <w:rPr>
          <w:rFonts w:cs="Arial"/>
          <w:bCs/>
          <w:sz w:val="18"/>
          <w:szCs w:val="18"/>
          <w:lang w:val="cs-CZ"/>
        </w:rPr>
        <w:t xml:space="preserve">ýroční zprávy ČPZP za roky 2009 až 2012. </w:t>
      </w:r>
    </w:p>
    <w:p w:rsidR="009F43D0" w:rsidRPr="00A859AD" w:rsidRDefault="009F43D0" w:rsidP="00FD304C">
      <w:pPr>
        <w:rPr>
          <w:rFonts w:cs="Arial"/>
          <w:lang w:val="cs-CZ"/>
        </w:rPr>
      </w:pPr>
    </w:p>
    <w:p w:rsidR="009F43D0" w:rsidRPr="00FD304C" w:rsidRDefault="005E519A" w:rsidP="00FD304C">
      <w:pPr>
        <w:rPr>
          <w:rFonts w:cs="Arial"/>
          <w:lang w:val="cs-CZ"/>
        </w:rPr>
      </w:pPr>
      <w:r w:rsidRPr="00FD304C">
        <w:rPr>
          <w:rFonts w:cs="Arial"/>
          <w:lang w:val="cs-CZ"/>
        </w:rPr>
        <w:t>K 31. prosinci 2012</w:t>
      </w:r>
      <w:r w:rsidR="002A626B" w:rsidRPr="00FD304C">
        <w:rPr>
          <w:rFonts w:cs="Arial"/>
          <w:lang w:val="cs-CZ"/>
        </w:rPr>
        <w:t xml:space="preserve"> dosáhl </w:t>
      </w:r>
      <w:r w:rsidR="00FC708D" w:rsidRPr="00FD304C">
        <w:rPr>
          <w:rFonts w:cs="Arial"/>
          <w:lang w:val="cs-CZ"/>
        </w:rPr>
        <w:t>počet</w:t>
      </w:r>
      <w:r w:rsidRPr="00FD304C">
        <w:rPr>
          <w:rFonts w:cs="Arial"/>
          <w:lang w:val="cs-CZ"/>
        </w:rPr>
        <w:t xml:space="preserve"> pojištěnců ČPZP 1 171 395.</w:t>
      </w:r>
      <w:r w:rsidR="00FC708D" w:rsidRPr="00FD304C">
        <w:rPr>
          <w:rFonts w:cs="Arial"/>
          <w:lang w:val="cs-CZ"/>
        </w:rPr>
        <w:t xml:space="preserve"> </w:t>
      </w:r>
      <w:r w:rsidR="007557AF" w:rsidRPr="00FD304C">
        <w:rPr>
          <w:rFonts w:cs="Arial"/>
          <w:lang w:val="cs-CZ"/>
        </w:rPr>
        <w:t>V roce 2012 došlo k</w:t>
      </w:r>
      <w:r w:rsidR="00FC708D" w:rsidRPr="00FD304C">
        <w:rPr>
          <w:rFonts w:cs="Arial"/>
          <w:lang w:val="cs-CZ"/>
        </w:rPr>
        <w:t> jeho nárůstu v důsledku sloučení ČPZP se ZP M-A.</w:t>
      </w:r>
    </w:p>
    <w:p w:rsidR="00276A74" w:rsidRPr="00FD304C" w:rsidRDefault="00276A74" w:rsidP="00FD304C">
      <w:pPr>
        <w:jc w:val="left"/>
        <w:rPr>
          <w:rFonts w:cs="Arial"/>
          <w:lang w:val="cs-CZ"/>
        </w:rPr>
      </w:pPr>
    </w:p>
    <w:p w:rsidR="008445AE" w:rsidRPr="00FD304C" w:rsidRDefault="009F58F7" w:rsidP="00FD304C">
      <w:pPr>
        <w:rPr>
          <w:rFonts w:cs="Arial"/>
          <w:b/>
          <w:lang w:val="cs-CZ"/>
        </w:rPr>
      </w:pPr>
      <w:r w:rsidRPr="00FD304C">
        <w:rPr>
          <w:rFonts w:cs="Arial"/>
          <w:b/>
          <w:lang w:val="cs-CZ"/>
        </w:rPr>
        <w:t xml:space="preserve">3.1 </w:t>
      </w:r>
      <w:r w:rsidR="003B2892" w:rsidRPr="00FD304C">
        <w:rPr>
          <w:rFonts w:cs="Arial"/>
          <w:b/>
          <w:lang w:val="cs-CZ"/>
        </w:rPr>
        <w:t>Výběr p</w:t>
      </w:r>
      <w:r w:rsidR="008445AE" w:rsidRPr="00FD304C">
        <w:rPr>
          <w:rFonts w:cs="Arial"/>
          <w:b/>
          <w:lang w:val="cs-CZ"/>
        </w:rPr>
        <w:t>ojistné</w:t>
      </w:r>
      <w:r w:rsidR="003B2892" w:rsidRPr="00FD304C">
        <w:rPr>
          <w:rFonts w:cs="Arial"/>
          <w:b/>
          <w:lang w:val="cs-CZ"/>
        </w:rPr>
        <w:t>ho</w:t>
      </w:r>
      <w:r w:rsidR="008445AE" w:rsidRPr="00FD304C">
        <w:rPr>
          <w:rFonts w:cs="Arial"/>
          <w:b/>
          <w:lang w:val="cs-CZ"/>
        </w:rPr>
        <w:t xml:space="preserve"> </w:t>
      </w:r>
    </w:p>
    <w:p w:rsidR="00B734E9" w:rsidRDefault="00B734E9" w:rsidP="00FD304C">
      <w:pPr>
        <w:rPr>
          <w:rFonts w:cs="Arial"/>
          <w:lang w:val="cs-CZ"/>
        </w:rPr>
      </w:pPr>
    </w:p>
    <w:p w:rsidR="001D3B70" w:rsidRPr="00FD304C" w:rsidRDefault="00C375CC" w:rsidP="00FD304C">
      <w:pPr>
        <w:rPr>
          <w:rFonts w:cs="Arial"/>
          <w:lang w:val="cs-CZ"/>
        </w:rPr>
      </w:pPr>
      <w:r w:rsidRPr="00FD304C">
        <w:rPr>
          <w:rFonts w:cs="Arial"/>
          <w:lang w:val="cs-CZ"/>
        </w:rPr>
        <w:t>Stěžejním</w:t>
      </w:r>
      <w:r w:rsidR="0040315A" w:rsidRPr="00FD304C">
        <w:rPr>
          <w:rFonts w:cs="Arial"/>
          <w:lang w:val="cs-CZ"/>
        </w:rPr>
        <w:t xml:space="preserve"> příjmem </w:t>
      </w:r>
      <w:r w:rsidR="00E02C5E" w:rsidRPr="00FD304C">
        <w:rPr>
          <w:rFonts w:cs="Arial"/>
          <w:lang w:val="cs-CZ"/>
        </w:rPr>
        <w:t xml:space="preserve">každé </w:t>
      </w:r>
      <w:r w:rsidR="0040315A" w:rsidRPr="00FD304C">
        <w:rPr>
          <w:rFonts w:cs="Arial"/>
          <w:lang w:val="cs-CZ"/>
        </w:rPr>
        <w:t xml:space="preserve">zdravotní pojišťovny jsou platby pojistného, které zdravotním pojišťovnám hradí pojištěnci, zaměstnavatelé a stát. </w:t>
      </w:r>
      <w:r w:rsidR="003B2892" w:rsidRPr="00FD304C">
        <w:rPr>
          <w:rFonts w:cs="Arial"/>
          <w:lang w:val="cs-CZ"/>
        </w:rPr>
        <w:t>Z</w:t>
      </w:r>
      <w:r w:rsidR="001D3B70" w:rsidRPr="00FD304C">
        <w:rPr>
          <w:rFonts w:cs="Arial"/>
          <w:lang w:val="cs-CZ"/>
        </w:rPr>
        <w:t>ákon</w:t>
      </w:r>
      <w:r w:rsidR="003B2892" w:rsidRPr="00FD304C">
        <w:rPr>
          <w:rFonts w:cs="Arial"/>
          <w:lang w:val="cs-CZ"/>
        </w:rPr>
        <w:t xml:space="preserve">em </w:t>
      </w:r>
      <w:r w:rsidR="00D545C8" w:rsidRPr="00FD304C">
        <w:rPr>
          <w:rFonts w:cs="Arial"/>
          <w:lang w:val="cs-CZ"/>
        </w:rPr>
        <w:t>č. 438/2004 Sb.</w:t>
      </w:r>
      <w:r w:rsidR="00D545C8" w:rsidRPr="00FD304C">
        <w:rPr>
          <w:rStyle w:val="Znakapoznpodarou"/>
          <w:rFonts w:cs="Arial"/>
          <w:lang w:val="cs-CZ"/>
        </w:rPr>
        <w:footnoteReference w:id="5"/>
      </w:r>
      <w:r w:rsidR="00E02C5E" w:rsidRPr="00FD304C">
        <w:rPr>
          <w:rFonts w:cs="Arial"/>
          <w:lang w:val="cs-CZ"/>
        </w:rPr>
        <w:t xml:space="preserve"> </w:t>
      </w:r>
      <w:r w:rsidR="003B2892" w:rsidRPr="00FD304C">
        <w:rPr>
          <w:rFonts w:cs="Arial"/>
          <w:lang w:val="cs-CZ"/>
        </w:rPr>
        <w:t>bylo rozhodnuto o maximální možné míře přerozdělování</w:t>
      </w:r>
      <w:r w:rsidR="000B2558" w:rsidRPr="00FD304C">
        <w:rPr>
          <w:rFonts w:cs="Arial"/>
          <w:lang w:val="cs-CZ"/>
        </w:rPr>
        <w:t xml:space="preserve">, tj. o </w:t>
      </w:r>
      <w:r w:rsidR="00D545C8" w:rsidRPr="00FD304C">
        <w:rPr>
          <w:rFonts w:cs="Arial"/>
          <w:lang w:val="cs-CZ"/>
        </w:rPr>
        <w:t>přerozdělování</w:t>
      </w:r>
      <w:r w:rsidR="000B2558" w:rsidRPr="00FD304C">
        <w:rPr>
          <w:rFonts w:cs="Arial"/>
          <w:lang w:val="cs-CZ"/>
        </w:rPr>
        <w:t xml:space="preserve"> veškerého vybraného pojistného </w:t>
      </w:r>
      <w:r w:rsidR="0040315A" w:rsidRPr="00FD304C">
        <w:rPr>
          <w:rFonts w:cs="Arial"/>
          <w:lang w:val="cs-CZ"/>
        </w:rPr>
        <w:t>prostřednictvím zvláštního účtu veřejného zdravotního pojištění</w:t>
      </w:r>
      <w:r w:rsidR="00FC624A" w:rsidRPr="00FD304C">
        <w:rPr>
          <w:rFonts w:cs="Arial"/>
          <w:lang w:val="cs-CZ"/>
        </w:rPr>
        <w:t xml:space="preserve"> spravovaného VZP</w:t>
      </w:r>
      <w:r w:rsidR="0040315A" w:rsidRPr="00FD304C">
        <w:rPr>
          <w:rFonts w:cs="Arial"/>
          <w:lang w:val="cs-CZ"/>
        </w:rPr>
        <w:t xml:space="preserve">. </w:t>
      </w:r>
    </w:p>
    <w:p w:rsidR="00424867" w:rsidRPr="00FD304C" w:rsidRDefault="00424867" w:rsidP="00FD304C">
      <w:pPr>
        <w:rPr>
          <w:rFonts w:cs="Arial"/>
          <w:highlight w:val="yellow"/>
          <w:lang w:val="cs-CZ"/>
        </w:rPr>
      </w:pPr>
    </w:p>
    <w:p w:rsidR="00424867" w:rsidRPr="00FD304C" w:rsidRDefault="00424867" w:rsidP="00FD304C">
      <w:pPr>
        <w:rPr>
          <w:rFonts w:cs="Arial"/>
          <w:b/>
          <w:lang w:val="cs-CZ"/>
        </w:rPr>
      </w:pPr>
      <w:r w:rsidRPr="00FD304C">
        <w:rPr>
          <w:rFonts w:cs="Arial"/>
          <w:b/>
          <w:lang w:val="cs-CZ"/>
        </w:rPr>
        <w:t xml:space="preserve">ČPZP v kontrolovaném období odepsala pohledávky za plátci pojistného </w:t>
      </w:r>
      <w:r w:rsidR="00EE12E8" w:rsidRPr="00FD304C">
        <w:rPr>
          <w:rFonts w:cs="Arial"/>
          <w:b/>
          <w:lang w:val="cs-CZ"/>
        </w:rPr>
        <w:t>v celkové výši 302</w:t>
      </w:r>
      <w:r w:rsidR="005C67D3">
        <w:rPr>
          <w:rFonts w:cs="Arial"/>
          <w:b/>
          <w:lang w:val="cs-CZ"/>
        </w:rPr>
        <w:t> </w:t>
      </w:r>
      <w:r w:rsidR="00EE12E8" w:rsidRPr="00FD304C">
        <w:rPr>
          <w:rFonts w:cs="Arial"/>
          <w:b/>
          <w:lang w:val="cs-CZ"/>
        </w:rPr>
        <w:t>890</w:t>
      </w:r>
      <w:r w:rsidR="005C67D3">
        <w:rPr>
          <w:rFonts w:cs="Arial"/>
          <w:b/>
          <w:lang w:val="cs-CZ"/>
        </w:rPr>
        <w:t> tis. </w:t>
      </w:r>
      <w:r w:rsidR="00EE12E8" w:rsidRPr="00FD304C">
        <w:rPr>
          <w:rFonts w:cs="Arial"/>
          <w:b/>
          <w:lang w:val="cs-CZ"/>
        </w:rPr>
        <w:t xml:space="preserve">Kč, z toho </w:t>
      </w:r>
      <w:r w:rsidRPr="00FD304C">
        <w:rPr>
          <w:rFonts w:cs="Arial"/>
          <w:b/>
          <w:lang w:val="cs-CZ"/>
        </w:rPr>
        <w:t xml:space="preserve">pojistné </w:t>
      </w:r>
      <w:r w:rsidR="00EE12E8" w:rsidRPr="00FD304C">
        <w:rPr>
          <w:rFonts w:cs="Arial"/>
          <w:b/>
          <w:lang w:val="cs-CZ"/>
        </w:rPr>
        <w:t xml:space="preserve">činilo </w:t>
      </w:r>
      <w:r w:rsidRPr="00FD304C">
        <w:rPr>
          <w:rFonts w:cs="Arial"/>
          <w:b/>
          <w:lang w:val="cs-CZ"/>
        </w:rPr>
        <w:t>136</w:t>
      </w:r>
      <w:r w:rsidR="005C67D3">
        <w:rPr>
          <w:rFonts w:cs="Arial"/>
          <w:b/>
          <w:lang w:val="cs-CZ"/>
        </w:rPr>
        <w:t> </w:t>
      </w:r>
      <w:r w:rsidRPr="00FD304C">
        <w:rPr>
          <w:rFonts w:cs="Arial"/>
          <w:b/>
          <w:lang w:val="cs-CZ"/>
        </w:rPr>
        <w:t>843</w:t>
      </w:r>
      <w:r w:rsidR="005C67D3">
        <w:rPr>
          <w:rFonts w:cs="Arial"/>
          <w:b/>
          <w:lang w:val="cs-CZ"/>
        </w:rPr>
        <w:t> </w:t>
      </w:r>
      <w:r w:rsidRPr="00FD304C">
        <w:rPr>
          <w:rFonts w:cs="Arial"/>
          <w:b/>
          <w:lang w:val="cs-CZ"/>
        </w:rPr>
        <w:t>ti</w:t>
      </w:r>
      <w:r w:rsidR="00EE12E8" w:rsidRPr="00FD304C">
        <w:rPr>
          <w:rFonts w:cs="Arial"/>
          <w:b/>
          <w:lang w:val="cs-CZ"/>
        </w:rPr>
        <w:t>s.</w:t>
      </w:r>
      <w:r w:rsidR="005C67D3">
        <w:rPr>
          <w:rFonts w:cs="Arial"/>
          <w:b/>
          <w:lang w:val="cs-CZ"/>
        </w:rPr>
        <w:t> </w:t>
      </w:r>
      <w:r w:rsidR="00EE12E8" w:rsidRPr="00FD304C">
        <w:rPr>
          <w:rFonts w:cs="Arial"/>
          <w:b/>
          <w:lang w:val="cs-CZ"/>
        </w:rPr>
        <w:t>Kč a</w:t>
      </w:r>
      <w:r w:rsidRPr="00FD304C">
        <w:rPr>
          <w:rFonts w:cs="Arial"/>
          <w:b/>
          <w:lang w:val="cs-CZ"/>
        </w:rPr>
        <w:t xml:space="preserve"> penále </w:t>
      </w:r>
      <w:r w:rsidR="00A33C28" w:rsidRPr="00FD304C">
        <w:rPr>
          <w:rFonts w:cs="Arial"/>
          <w:b/>
          <w:lang w:val="cs-CZ"/>
        </w:rPr>
        <w:t xml:space="preserve">činilo </w:t>
      </w:r>
      <w:r w:rsidR="005C67D3">
        <w:rPr>
          <w:rFonts w:cs="Arial"/>
          <w:b/>
          <w:lang w:val="cs-CZ"/>
        </w:rPr>
        <w:t>166 047 tis. </w:t>
      </w:r>
      <w:r w:rsidRPr="00FD304C">
        <w:rPr>
          <w:rFonts w:cs="Arial"/>
          <w:b/>
          <w:lang w:val="cs-CZ"/>
        </w:rPr>
        <w:t>Kč.</w:t>
      </w:r>
    </w:p>
    <w:p w:rsidR="0097314A" w:rsidRPr="00FD304C" w:rsidRDefault="0097314A" w:rsidP="00FD304C">
      <w:pPr>
        <w:rPr>
          <w:rFonts w:cs="Arial"/>
          <w:lang w:val="cs-CZ"/>
        </w:rPr>
      </w:pPr>
    </w:p>
    <w:p w:rsidR="0090658D" w:rsidRPr="00FD304C" w:rsidRDefault="000B2558" w:rsidP="00FD304C">
      <w:pPr>
        <w:rPr>
          <w:rFonts w:cs="Arial"/>
          <w:lang w:val="cs-CZ"/>
        </w:rPr>
      </w:pPr>
      <w:r w:rsidRPr="00FD304C">
        <w:rPr>
          <w:rFonts w:cs="Arial"/>
          <w:lang w:val="cs-CZ"/>
        </w:rPr>
        <w:t xml:space="preserve">V souvislosti s výběrem pojistného </w:t>
      </w:r>
      <w:r w:rsidR="0090658D" w:rsidRPr="00FD304C">
        <w:rPr>
          <w:rFonts w:cs="Arial"/>
          <w:lang w:val="cs-CZ"/>
        </w:rPr>
        <w:t xml:space="preserve">jsou </w:t>
      </w:r>
      <w:r w:rsidRPr="00FD304C">
        <w:rPr>
          <w:rFonts w:cs="Arial"/>
          <w:lang w:val="cs-CZ"/>
        </w:rPr>
        <w:t xml:space="preserve">zdravotní pojišťovny </w:t>
      </w:r>
      <w:r w:rsidR="0090658D" w:rsidRPr="00FD304C">
        <w:rPr>
          <w:rFonts w:cs="Arial"/>
          <w:lang w:val="cs-CZ"/>
        </w:rPr>
        <w:t>oprávněny provádět kontrolu plateb</w:t>
      </w:r>
      <w:r w:rsidRPr="00FD304C">
        <w:rPr>
          <w:rFonts w:cs="Arial"/>
          <w:lang w:val="cs-CZ"/>
        </w:rPr>
        <w:t xml:space="preserve"> pojistného</w:t>
      </w:r>
      <w:r w:rsidR="0090658D" w:rsidRPr="00FD304C">
        <w:rPr>
          <w:rFonts w:cs="Arial"/>
          <w:lang w:val="cs-CZ"/>
        </w:rPr>
        <w:t xml:space="preserve">. </w:t>
      </w:r>
      <w:r w:rsidR="00EE12E8" w:rsidRPr="00FD304C">
        <w:rPr>
          <w:rFonts w:cs="Arial"/>
          <w:lang w:val="cs-CZ"/>
        </w:rPr>
        <w:t>V devíti ze 108</w:t>
      </w:r>
      <w:r w:rsidR="004A0EE9">
        <w:rPr>
          <w:rFonts w:cs="Arial"/>
          <w:lang w:val="cs-CZ"/>
        </w:rPr>
        <w:t xml:space="preserve"> </w:t>
      </w:r>
      <w:r w:rsidR="004A0EE9" w:rsidRPr="00FD304C">
        <w:rPr>
          <w:rFonts w:cs="Arial"/>
          <w:lang w:val="cs-CZ"/>
        </w:rPr>
        <w:t>případů vybraných</w:t>
      </w:r>
      <w:r w:rsidR="00EE12E8" w:rsidRPr="00FD304C">
        <w:rPr>
          <w:rFonts w:cs="Arial"/>
          <w:lang w:val="cs-CZ"/>
        </w:rPr>
        <w:t xml:space="preserve"> ke kontrole </w:t>
      </w:r>
      <w:r w:rsidR="009F43D0" w:rsidRPr="00FD304C">
        <w:rPr>
          <w:rFonts w:cs="Arial"/>
          <w:lang w:val="cs-CZ"/>
        </w:rPr>
        <w:t xml:space="preserve">provedla ČPZP kontrolu </w:t>
      </w:r>
      <w:r w:rsidR="00B96266" w:rsidRPr="00FD304C">
        <w:rPr>
          <w:rFonts w:cs="Arial"/>
          <w:lang w:val="cs-CZ"/>
        </w:rPr>
        <w:t xml:space="preserve">za období </w:t>
      </w:r>
      <w:r w:rsidR="00EE12E8" w:rsidRPr="00FD304C">
        <w:rPr>
          <w:rFonts w:cs="Arial"/>
          <w:lang w:val="cs-CZ"/>
        </w:rPr>
        <w:t>delší než pět let</w:t>
      </w:r>
      <w:r w:rsidR="00354D69" w:rsidRPr="00FD304C">
        <w:rPr>
          <w:rFonts w:cs="Arial"/>
          <w:lang w:val="cs-CZ"/>
        </w:rPr>
        <w:t>.</w:t>
      </w:r>
      <w:r w:rsidR="007F74E5" w:rsidRPr="00FD304C">
        <w:rPr>
          <w:rFonts w:cs="Arial"/>
          <w:lang w:val="cs-CZ"/>
        </w:rPr>
        <w:t xml:space="preserve"> Z uvedených devíti případů </w:t>
      </w:r>
      <w:r w:rsidR="00EE12E8" w:rsidRPr="00FD304C">
        <w:rPr>
          <w:rFonts w:cs="Arial"/>
          <w:lang w:val="cs-CZ"/>
        </w:rPr>
        <w:t>byly</w:t>
      </w:r>
      <w:r w:rsidR="007F74E5" w:rsidRPr="00FD304C">
        <w:rPr>
          <w:rFonts w:cs="Arial"/>
          <w:lang w:val="cs-CZ"/>
        </w:rPr>
        <w:t xml:space="preserve"> </w:t>
      </w:r>
      <w:r w:rsidR="00BE19A2" w:rsidRPr="00FD304C">
        <w:rPr>
          <w:rFonts w:cs="Arial"/>
          <w:lang w:val="cs-CZ"/>
        </w:rPr>
        <w:t xml:space="preserve">do ukončení </w:t>
      </w:r>
      <w:r w:rsidR="00EE12E8" w:rsidRPr="00FD304C">
        <w:rPr>
          <w:rFonts w:cs="Arial"/>
          <w:lang w:val="cs-CZ"/>
        </w:rPr>
        <w:t xml:space="preserve">kontroly NKÚ </w:t>
      </w:r>
      <w:r w:rsidR="007F74E5" w:rsidRPr="00FD304C">
        <w:rPr>
          <w:rFonts w:cs="Arial"/>
          <w:lang w:val="cs-CZ"/>
        </w:rPr>
        <w:t xml:space="preserve">označeny za bezvýsledně vymáhané </w:t>
      </w:r>
      <w:r w:rsidR="00EE12E8" w:rsidRPr="00FD304C">
        <w:rPr>
          <w:rFonts w:cs="Arial"/>
          <w:lang w:val="cs-CZ"/>
        </w:rPr>
        <w:t>pohledávky v</w:t>
      </w:r>
      <w:r w:rsidR="004A0980" w:rsidRPr="00FD304C">
        <w:rPr>
          <w:rFonts w:cs="Arial"/>
          <w:lang w:val="cs-CZ"/>
        </w:rPr>
        <w:t> </w:t>
      </w:r>
      <w:r w:rsidR="00EE12E8" w:rsidRPr="00FD304C">
        <w:rPr>
          <w:rFonts w:cs="Arial"/>
          <w:lang w:val="cs-CZ"/>
        </w:rPr>
        <w:t>částce 1</w:t>
      </w:r>
      <w:r w:rsidR="004A0EE9">
        <w:rPr>
          <w:rFonts w:cs="Arial"/>
          <w:lang w:val="cs-CZ"/>
        </w:rPr>
        <w:t> </w:t>
      </w:r>
      <w:r w:rsidR="00EE12E8" w:rsidRPr="00FD304C">
        <w:rPr>
          <w:rFonts w:cs="Arial"/>
          <w:lang w:val="cs-CZ"/>
        </w:rPr>
        <w:t>442</w:t>
      </w:r>
      <w:r w:rsidR="004A0EE9">
        <w:rPr>
          <w:rFonts w:cs="Arial"/>
          <w:lang w:val="cs-CZ"/>
        </w:rPr>
        <w:t> </w:t>
      </w:r>
      <w:r w:rsidR="00EE12E8" w:rsidRPr="00FD304C">
        <w:rPr>
          <w:rFonts w:cs="Arial"/>
          <w:lang w:val="cs-CZ"/>
        </w:rPr>
        <w:t>974</w:t>
      </w:r>
      <w:r w:rsidR="004A0EE9">
        <w:rPr>
          <w:rFonts w:cs="Arial"/>
          <w:lang w:val="cs-CZ"/>
        </w:rPr>
        <w:t> </w:t>
      </w:r>
      <w:r w:rsidR="00EE12E8" w:rsidRPr="00FD304C">
        <w:rPr>
          <w:rFonts w:cs="Arial"/>
          <w:lang w:val="cs-CZ"/>
        </w:rPr>
        <w:t>Kč</w:t>
      </w:r>
      <w:r w:rsidR="006304C6">
        <w:rPr>
          <w:rFonts w:cs="Arial"/>
          <w:lang w:val="cs-CZ"/>
        </w:rPr>
        <w:t xml:space="preserve"> a byly odepsány</w:t>
      </w:r>
      <w:r w:rsidR="00EE12E8" w:rsidRPr="00FD304C">
        <w:rPr>
          <w:rFonts w:cs="Arial"/>
          <w:lang w:val="cs-CZ"/>
        </w:rPr>
        <w:t>.</w:t>
      </w:r>
    </w:p>
    <w:p w:rsidR="0090658D" w:rsidRPr="00FD304C" w:rsidRDefault="0090658D" w:rsidP="00FD304C">
      <w:pPr>
        <w:rPr>
          <w:rFonts w:cs="Arial"/>
          <w:lang w:val="cs-CZ"/>
        </w:rPr>
      </w:pPr>
    </w:p>
    <w:p w:rsidR="00660A24" w:rsidRPr="00FD304C" w:rsidRDefault="00660A24" w:rsidP="00FD304C">
      <w:pPr>
        <w:rPr>
          <w:rFonts w:cs="Arial"/>
          <w:lang w:val="cs-CZ"/>
        </w:rPr>
      </w:pPr>
      <w:r w:rsidRPr="00FD304C">
        <w:rPr>
          <w:rFonts w:cs="Arial"/>
          <w:lang w:val="cs-CZ"/>
        </w:rPr>
        <w:t>Nezaplatí-li plátce pojistného pojistné ve stanovené výši a včas, je příslušná zdravotní pojišťovna povinna</w:t>
      </w:r>
      <w:r w:rsidR="00E015B3" w:rsidRPr="00FD304C">
        <w:rPr>
          <w:rFonts w:cs="Arial"/>
          <w:lang w:val="cs-CZ"/>
        </w:rPr>
        <w:t xml:space="preserve"> dle zákona</w:t>
      </w:r>
      <w:r w:rsidR="00E015B3" w:rsidRPr="00FD304C">
        <w:rPr>
          <w:rFonts w:cs="Arial"/>
          <w:vertAlign w:val="superscript"/>
          <w:lang w:val="cs-CZ"/>
        </w:rPr>
        <w:t>2</w:t>
      </w:r>
      <w:r w:rsidRPr="00FD304C">
        <w:rPr>
          <w:rFonts w:cs="Arial"/>
          <w:lang w:val="cs-CZ"/>
        </w:rPr>
        <w:t xml:space="preserve"> vymáhat na dlužníkovi zaplacení dlužné částky včetně penále. Zdravotní pojišťovny rozhodují ve věcech placení pojistného a penále platebními výměry</w:t>
      </w:r>
      <w:r w:rsidR="007F74E5" w:rsidRPr="00FD304C">
        <w:rPr>
          <w:rFonts w:cs="Arial"/>
          <w:lang w:val="cs-CZ"/>
        </w:rPr>
        <w:t>,</w:t>
      </w:r>
      <w:r w:rsidRPr="00FD304C">
        <w:rPr>
          <w:rFonts w:cs="Arial"/>
          <w:lang w:val="cs-CZ"/>
        </w:rPr>
        <w:t xml:space="preserve"> dlužné pojistné a penále lze předepsat k úhradě též výkazem nedoplatk</w:t>
      </w:r>
      <w:r w:rsidR="007F74E5" w:rsidRPr="00FD304C">
        <w:rPr>
          <w:rFonts w:cs="Arial"/>
          <w:lang w:val="cs-CZ"/>
        </w:rPr>
        <w:t xml:space="preserve">ů. Vykonatelné platební výměry i </w:t>
      </w:r>
      <w:r w:rsidRPr="00FD304C">
        <w:rPr>
          <w:rFonts w:cs="Arial"/>
          <w:lang w:val="cs-CZ"/>
        </w:rPr>
        <w:t>výkazy nedoplatků jsou titulem pro soudní nebo správní výkon rozhodnutí.</w:t>
      </w:r>
      <w:r w:rsidR="002A626B" w:rsidRPr="00FD304C">
        <w:rPr>
          <w:rFonts w:cs="Arial"/>
          <w:lang w:val="cs-CZ"/>
        </w:rPr>
        <w:t xml:space="preserve"> </w:t>
      </w:r>
      <w:r w:rsidRPr="00FD304C">
        <w:rPr>
          <w:rFonts w:cs="Arial"/>
          <w:lang w:val="cs-CZ"/>
        </w:rPr>
        <w:t xml:space="preserve">ČPZP ve sledovaném období z důvodu menší administrativní náročnosti využívala k předepsání dlužného pojistného pouze formu výkazu nedoplatků. </w:t>
      </w:r>
    </w:p>
    <w:p w:rsidR="007F74E5" w:rsidRPr="00FD304C" w:rsidRDefault="007F74E5" w:rsidP="00FD304C">
      <w:pPr>
        <w:rPr>
          <w:rFonts w:cs="Arial"/>
          <w:lang w:val="cs-CZ"/>
        </w:rPr>
      </w:pPr>
    </w:p>
    <w:p w:rsidR="007C3D1C" w:rsidRPr="00FD304C" w:rsidRDefault="007C3D1C" w:rsidP="00FD304C">
      <w:pPr>
        <w:rPr>
          <w:rFonts w:cs="Arial"/>
          <w:lang w:val="cs-CZ"/>
        </w:rPr>
      </w:pPr>
      <w:r w:rsidRPr="00FD304C">
        <w:rPr>
          <w:rFonts w:cs="Arial"/>
          <w:lang w:val="cs-CZ"/>
        </w:rPr>
        <w:t xml:space="preserve">V rámci kontroly postupu při vymáhání pohledávek bylo </w:t>
      </w:r>
      <w:r w:rsidR="004A0EE9" w:rsidRPr="00FD304C">
        <w:rPr>
          <w:rFonts w:cs="Arial"/>
          <w:lang w:val="cs-CZ"/>
        </w:rPr>
        <w:t>zjištěno</w:t>
      </w:r>
      <w:r w:rsidR="004A0EE9">
        <w:rPr>
          <w:rFonts w:cs="Arial"/>
          <w:lang w:val="cs-CZ"/>
        </w:rPr>
        <w:t xml:space="preserve"> na vzorku 121 případů, u </w:t>
      </w:r>
      <w:r w:rsidRPr="00FD304C">
        <w:rPr>
          <w:rFonts w:cs="Arial"/>
          <w:lang w:val="cs-CZ"/>
        </w:rPr>
        <w:t xml:space="preserve">nichž celková neuhrazená výše pohledávek dosáhla 89 168 495,95 Kč, že ČPZP ve třech případech nepodala včas přihlášky pohledávek </w:t>
      </w:r>
      <w:r w:rsidR="004A0EE9" w:rsidRPr="00FD304C">
        <w:rPr>
          <w:rFonts w:cs="Arial"/>
          <w:lang w:val="cs-CZ"/>
        </w:rPr>
        <w:t>ve výši 927 758 Kč</w:t>
      </w:r>
      <w:r w:rsidR="004A0EE9">
        <w:rPr>
          <w:rFonts w:cs="Arial"/>
          <w:lang w:val="cs-CZ"/>
        </w:rPr>
        <w:t xml:space="preserve"> </w:t>
      </w:r>
      <w:r w:rsidRPr="00FD304C">
        <w:rPr>
          <w:rFonts w:cs="Arial"/>
          <w:lang w:val="cs-CZ"/>
        </w:rPr>
        <w:t>do dědického řízení, což vedlo k jejich odpisu.</w:t>
      </w:r>
    </w:p>
    <w:p w:rsidR="00660A24" w:rsidRPr="00A859AD" w:rsidRDefault="00660A24" w:rsidP="00FD304C">
      <w:pPr>
        <w:rPr>
          <w:rFonts w:cs="Arial"/>
          <w:lang w:val="cs-CZ"/>
        </w:rPr>
      </w:pPr>
    </w:p>
    <w:p w:rsidR="001234CE" w:rsidRPr="00FD304C" w:rsidRDefault="0097314A" w:rsidP="00FD304C">
      <w:pPr>
        <w:rPr>
          <w:rFonts w:cs="Arial"/>
          <w:lang w:val="cs-CZ"/>
        </w:rPr>
      </w:pPr>
      <w:r w:rsidRPr="00FD304C">
        <w:rPr>
          <w:rFonts w:cs="Arial"/>
          <w:lang w:val="cs-CZ"/>
        </w:rPr>
        <w:t>J</w:t>
      </w:r>
      <w:r w:rsidR="001234CE" w:rsidRPr="00FD304C">
        <w:rPr>
          <w:rFonts w:cs="Arial"/>
          <w:lang w:val="cs-CZ"/>
        </w:rPr>
        <w:t>estliže zaměstnavatel nebo osoba samostatně výdělečně činná</w:t>
      </w:r>
      <w:r w:rsidR="00755B77" w:rsidRPr="00FD304C">
        <w:rPr>
          <w:rFonts w:cs="Arial"/>
          <w:lang w:val="cs-CZ"/>
        </w:rPr>
        <w:t xml:space="preserve"> (dále také „OSVČ“)</w:t>
      </w:r>
      <w:r w:rsidR="005F7092" w:rsidRPr="00FD304C">
        <w:rPr>
          <w:rFonts w:cs="Arial"/>
          <w:lang w:val="cs-CZ"/>
        </w:rPr>
        <w:t xml:space="preserve"> </w:t>
      </w:r>
      <w:r w:rsidR="00E50CD0" w:rsidRPr="00FD304C">
        <w:rPr>
          <w:rFonts w:cs="Arial"/>
          <w:lang w:val="cs-CZ"/>
        </w:rPr>
        <w:t>nesplní</w:t>
      </w:r>
      <w:r w:rsidR="001234CE" w:rsidRPr="00FD304C">
        <w:rPr>
          <w:rFonts w:cs="Arial"/>
          <w:lang w:val="cs-CZ"/>
        </w:rPr>
        <w:t xml:space="preserve"> povinnost podat přehled</w:t>
      </w:r>
      <w:r w:rsidR="00755B77" w:rsidRPr="00FD304C">
        <w:rPr>
          <w:rFonts w:cs="Arial"/>
          <w:lang w:val="cs-CZ"/>
        </w:rPr>
        <w:t xml:space="preserve"> </w:t>
      </w:r>
      <w:r w:rsidR="004A42EB" w:rsidRPr="00FD304C">
        <w:rPr>
          <w:rFonts w:cs="Arial"/>
          <w:szCs w:val="22"/>
          <w:lang w:val="cs-CZ"/>
        </w:rPr>
        <w:t>o platbách pojistného, respektive</w:t>
      </w:r>
      <w:r w:rsidR="004A42EB" w:rsidRPr="00FD304C">
        <w:rPr>
          <w:rFonts w:cs="Arial"/>
          <w:lang w:val="cs-CZ"/>
        </w:rPr>
        <w:t xml:space="preserve"> </w:t>
      </w:r>
      <w:r w:rsidR="00755B77" w:rsidRPr="00FD304C">
        <w:rPr>
          <w:rFonts w:cs="Arial"/>
          <w:lang w:val="cs-CZ"/>
        </w:rPr>
        <w:t>o svých příjmech a výdajích</w:t>
      </w:r>
      <w:r w:rsidR="004A0EE9">
        <w:rPr>
          <w:rFonts w:cs="Arial"/>
          <w:lang w:val="cs-CZ"/>
        </w:rPr>
        <w:t>,</w:t>
      </w:r>
      <w:r w:rsidR="00C82415" w:rsidRPr="00FD304C">
        <w:rPr>
          <w:rFonts w:cs="Arial"/>
          <w:lang w:val="cs-CZ"/>
        </w:rPr>
        <w:t xml:space="preserve"> </w:t>
      </w:r>
      <w:r w:rsidR="001234CE" w:rsidRPr="00FD304C">
        <w:rPr>
          <w:rFonts w:cs="Arial"/>
          <w:lang w:val="cs-CZ"/>
        </w:rPr>
        <w:t>a tato povinnost ne</w:t>
      </w:r>
      <w:r w:rsidR="00C82415" w:rsidRPr="00FD304C">
        <w:rPr>
          <w:rFonts w:cs="Arial"/>
          <w:lang w:val="cs-CZ"/>
        </w:rPr>
        <w:t xml:space="preserve">ní </w:t>
      </w:r>
      <w:r w:rsidR="001234CE" w:rsidRPr="00FD304C">
        <w:rPr>
          <w:rFonts w:cs="Arial"/>
          <w:lang w:val="cs-CZ"/>
        </w:rPr>
        <w:t>splněna ani v</w:t>
      </w:r>
      <w:r w:rsidR="006565CA" w:rsidRPr="00FD304C">
        <w:rPr>
          <w:rFonts w:cs="Arial"/>
          <w:lang w:val="cs-CZ"/>
        </w:rPr>
        <w:t xml:space="preserve"> pojišťovnou určené </w:t>
      </w:r>
      <w:r w:rsidR="00DE6167" w:rsidRPr="00FD304C">
        <w:rPr>
          <w:rFonts w:cs="Arial"/>
          <w:lang w:val="cs-CZ"/>
        </w:rPr>
        <w:t xml:space="preserve">lhůtě, je </w:t>
      </w:r>
      <w:r w:rsidR="001234CE" w:rsidRPr="00FD304C">
        <w:rPr>
          <w:rFonts w:cs="Arial"/>
          <w:lang w:val="cs-CZ"/>
        </w:rPr>
        <w:t xml:space="preserve">zdravotní pojišťovna </w:t>
      </w:r>
      <w:r w:rsidR="00E50CD0" w:rsidRPr="00FD304C">
        <w:rPr>
          <w:rFonts w:cs="Arial"/>
          <w:lang w:val="cs-CZ"/>
        </w:rPr>
        <w:t xml:space="preserve">oprávněna </w:t>
      </w:r>
      <w:r w:rsidR="00EA6344" w:rsidRPr="00FD304C">
        <w:rPr>
          <w:rFonts w:cs="Arial"/>
          <w:lang w:val="cs-CZ"/>
        </w:rPr>
        <w:t>dle zákona</w:t>
      </w:r>
      <w:r w:rsidR="00EA6344" w:rsidRPr="00FD304C">
        <w:rPr>
          <w:rFonts w:cs="Arial"/>
          <w:vertAlign w:val="superscript"/>
          <w:lang w:val="cs-CZ"/>
        </w:rPr>
        <w:t>3</w:t>
      </w:r>
      <w:r w:rsidR="00EA6344" w:rsidRPr="00FD304C">
        <w:rPr>
          <w:rFonts w:cs="Arial"/>
          <w:lang w:val="cs-CZ"/>
        </w:rPr>
        <w:t xml:space="preserve"> </w:t>
      </w:r>
      <w:r w:rsidR="001234CE" w:rsidRPr="00FD304C">
        <w:rPr>
          <w:rFonts w:cs="Arial"/>
          <w:lang w:val="cs-CZ"/>
        </w:rPr>
        <w:t>stanovit rozhodnutím pravděpodobnou výši pojistného, byl</w:t>
      </w:r>
      <w:r w:rsidR="00E50CD0" w:rsidRPr="00FD304C">
        <w:rPr>
          <w:rFonts w:cs="Arial"/>
          <w:lang w:val="cs-CZ"/>
        </w:rPr>
        <w:t xml:space="preserve">-li </w:t>
      </w:r>
      <w:r w:rsidR="001234CE" w:rsidRPr="00FD304C">
        <w:rPr>
          <w:rFonts w:cs="Arial"/>
          <w:lang w:val="cs-CZ"/>
        </w:rPr>
        <w:t>plátce ve výzvě na tento následek upozorněn.</w:t>
      </w:r>
    </w:p>
    <w:p w:rsidR="007F74E5" w:rsidRPr="00FD304C" w:rsidRDefault="007F74E5" w:rsidP="00FD304C">
      <w:pPr>
        <w:rPr>
          <w:rFonts w:cs="Arial"/>
          <w:lang w:val="cs-CZ"/>
        </w:rPr>
      </w:pPr>
    </w:p>
    <w:p w:rsidR="00020A12" w:rsidRPr="00FD304C" w:rsidRDefault="001234CE" w:rsidP="00FD304C">
      <w:pPr>
        <w:rPr>
          <w:rFonts w:cs="Arial"/>
          <w:lang w:val="cs-CZ"/>
        </w:rPr>
      </w:pPr>
      <w:r w:rsidRPr="00FD304C">
        <w:rPr>
          <w:rFonts w:cs="Arial"/>
          <w:lang w:val="cs-CZ"/>
        </w:rPr>
        <w:t>Na vzorku</w:t>
      </w:r>
      <w:r w:rsidR="00C82415" w:rsidRPr="00FD304C">
        <w:rPr>
          <w:rFonts w:cs="Arial"/>
          <w:lang w:val="cs-CZ"/>
        </w:rPr>
        <w:t xml:space="preserve"> vybraných </w:t>
      </w:r>
      <w:r w:rsidRPr="00FD304C">
        <w:rPr>
          <w:rFonts w:cs="Arial"/>
          <w:lang w:val="cs-CZ"/>
        </w:rPr>
        <w:t xml:space="preserve">rozhodnutí o pravděpodobné výši pojistného, kterými bylo </w:t>
      </w:r>
      <w:r w:rsidR="00E50CD0" w:rsidRPr="00FD304C">
        <w:rPr>
          <w:rFonts w:cs="Arial"/>
          <w:lang w:val="cs-CZ"/>
        </w:rPr>
        <w:t xml:space="preserve">zaměstnavatelům </w:t>
      </w:r>
      <w:r w:rsidRPr="00FD304C">
        <w:rPr>
          <w:rFonts w:cs="Arial"/>
          <w:lang w:val="cs-CZ"/>
        </w:rPr>
        <w:t xml:space="preserve">stanoveno pojistné </w:t>
      </w:r>
      <w:r w:rsidR="00E50CD0" w:rsidRPr="00FD304C">
        <w:rPr>
          <w:rFonts w:cs="Arial"/>
          <w:lang w:val="cs-CZ"/>
        </w:rPr>
        <w:t xml:space="preserve">a penále </w:t>
      </w:r>
      <w:r w:rsidRPr="00FD304C">
        <w:rPr>
          <w:rFonts w:cs="Arial"/>
          <w:lang w:val="cs-CZ"/>
        </w:rPr>
        <w:t xml:space="preserve">ve výši </w:t>
      </w:r>
      <w:r w:rsidR="005F7092" w:rsidRPr="00FD304C">
        <w:rPr>
          <w:rFonts w:cs="Arial"/>
          <w:lang w:val="cs-CZ"/>
        </w:rPr>
        <w:t xml:space="preserve">celkem </w:t>
      </w:r>
      <w:r w:rsidRPr="00FD304C">
        <w:rPr>
          <w:rFonts w:cs="Arial"/>
          <w:lang w:val="cs-CZ"/>
        </w:rPr>
        <w:t>3 420 134 Kč</w:t>
      </w:r>
      <w:r w:rsidR="00EA6344" w:rsidRPr="00FD304C">
        <w:rPr>
          <w:rFonts w:cs="Arial"/>
          <w:lang w:val="cs-CZ"/>
        </w:rPr>
        <w:t>,</w:t>
      </w:r>
      <w:r w:rsidRPr="00FD304C">
        <w:rPr>
          <w:rFonts w:cs="Arial"/>
          <w:lang w:val="cs-CZ"/>
        </w:rPr>
        <w:t xml:space="preserve"> </w:t>
      </w:r>
      <w:r w:rsidR="006565CA" w:rsidRPr="00FD304C">
        <w:rPr>
          <w:rFonts w:cs="Arial"/>
          <w:lang w:val="cs-CZ"/>
        </w:rPr>
        <w:t xml:space="preserve">nebyl v postupu </w:t>
      </w:r>
      <w:r w:rsidRPr="00FD304C">
        <w:rPr>
          <w:rFonts w:cs="Arial"/>
          <w:lang w:val="cs-CZ"/>
        </w:rPr>
        <w:t xml:space="preserve">ČPZP </w:t>
      </w:r>
      <w:r w:rsidR="006565CA" w:rsidRPr="00FD304C">
        <w:rPr>
          <w:rFonts w:cs="Arial"/>
          <w:lang w:val="cs-CZ"/>
        </w:rPr>
        <w:t>shledán nedostatek</w:t>
      </w:r>
      <w:r w:rsidR="00614E00" w:rsidRPr="00FD304C">
        <w:rPr>
          <w:rFonts w:cs="Arial"/>
          <w:lang w:val="cs-CZ"/>
        </w:rPr>
        <w:t>.</w:t>
      </w:r>
      <w:r w:rsidR="005F7092" w:rsidRPr="00FD304C">
        <w:rPr>
          <w:rFonts w:cs="Arial"/>
          <w:lang w:val="cs-CZ"/>
        </w:rPr>
        <w:t xml:space="preserve"> </w:t>
      </w:r>
      <w:r w:rsidR="004A0980" w:rsidRPr="00FD304C">
        <w:rPr>
          <w:rFonts w:cs="Arial"/>
          <w:lang w:val="cs-CZ"/>
        </w:rPr>
        <w:t>Postup, který</w:t>
      </w:r>
      <w:r w:rsidR="00614E00" w:rsidRPr="00FD304C">
        <w:rPr>
          <w:rFonts w:cs="Arial"/>
          <w:lang w:val="cs-CZ"/>
        </w:rPr>
        <w:t xml:space="preserve"> neměl zákonnou oporu, </w:t>
      </w:r>
      <w:r w:rsidR="00066A62" w:rsidRPr="00FD304C">
        <w:rPr>
          <w:rFonts w:cs="Arial"/>
          <w:lang w:val="cs-CZ"/>
        </w:rPr>
        <w:t>byl</w:t>
      </w:r>
      <w:r w:rsidR="007F74E5" w:rsidRPr="00FD304C">
        <w:rPr>
          <w:rFonts w:cs="Arial"/>
          <w:lang w:val="cs-CZ"/>
        </w:rPr>
        <w:t xml:space="preserve"> </w:t>
      </w:r>
      <w:r w:rsidR="00614E00" w:rsidRPr="00FD304C">
        <w:rPr>
          <w:rFonts w:cs="Arial"/>
          <w:lang w:val="cs-CZ"/>
        </w:rPr>
        <w:t xml:space="preserve">v rámci kontroly </w:t>
      </w:r>
      <w:r w:rsidR="00066A62" w:rsidRPr="00FD304C">
        <w:rPr>
          <w:rFonts w:cs="Arial"/>
          <w:lang w:val="cs-CZ"/>
        </w:rPr>
        <w:t>zjištěn</w:t>
      </w:r>
      <w:r w:rsidRPr="00FD304C">
        <w:rPr>
          <w:rFonts w:cs="Arial"/>
          <w:lang w:val="cs-CZ"/>
        </w:rPr>
        <w:t xml:space="preserve"> </w:t>
      </w:r>
      <w:r w:rsidR="00066A62" w:rsidRPr="00FD304C">
        <w:rPr>
          <w:rFonts w:cs="Arial"/>
          <w:lang w:val="cs-CZ"/>
        </w:rPr>
        <w:t xml:space="preserve">u </w:t>
      </w:r>
      <w:r w:rsidRPr="00FD304C">
        <w:rPr>
          <w:rFonts w:cs="Arial"/>
          <w:lang w:val="cs-CZ"/>
        </w:rPr>
        <w:t>předepisování pojistného u OSVČ</w:t>
      </w:r>
      <w:r w:rsidR="00614E00" w:rsidRPr="00FD304C">
        <w:rPr>
          <w:rFonts w:cs="Arial"/>
          <w:lang w:val="cs-CZ"/>
        </w:rPr>
        <w:t>,</w:t>
      </w:r>
      <w:r w:rsidRPr="00FD304C">
        <w:rPr>
          <w:rFonts w:cs="Arial"/>
          <w:lang w:val="cs-CZ"/>
        </w:rPr>
        <w:t xml:space="preserve"> které nepod</w:t>
      </w:r>
      <w:r w:rsidR="00755B77" w:rsidRPr="00FD304C">
        <w:rPr>
          <w:rFonts w:cs="Arial"/>
          <w:lang w:val="cs-CZ"/>
        </w:rPr>
        <w:t xml:space="preserve">aly </w:t>
      </w:r>
      <w:r w:rsidR="005F7092" w:rsidRPr="00FD304C">
        <w:rPr>
          <w:rFonts w:cs="Arial"/>
          <w:lang w:val="cs-CZ"/>
        </w:rPr>
        <w:t>přehled</w:t>
      </w:r>
      <w:r w:rsidR="004A42EB" w:rsidRPr="00FD304C">
        <w:rPr>
          <w:rFonts w:cs="Arial"/>
          <w:lang w:val="cs-CZ"/>
        </w:rPr>
        <w:t xml:space="preserve"> a</w:t>
      </w:r>
      <w:r w:rsidR="004A0EE9">
        <w:rPr>
          <w:rFonts w:cs="Arial"/>
          <w:lang w:val="cs-CZ"/>
        </w:rPr>
        <w:t> jejichž</w:t>
      </w:r>
      <w:r w:rsidR="004A42EB" w:rsidRPr="00FD304C">
        <w:rPr>
          <w:rFonts w:cs="Arial"/>
          <w:lang w:val="cs-CZ"/>
        </w:rPr>
        <w:t xml:space="preserve"> hlavním zdrojem příjmů bylo podnikání</w:t>
      </w:r>
      <w:r w:rsidR="006165D0" w:rsidRPr="00FD304C">
        <w:rPr>
          <w:rFonts w:cs="Arial"/>
          <w:lang w:val="cs-CZ"/>
        </w:rPr>
        <w:t xml:space="preserve">. ČPZP </w:t>
      </w:r>
      <w:r w:rsidR="005F7092" w:rsidRPr="00FD304C">
        <w:rPr>
          <w:rFonts w:cs="Arial"/>
          <w:lang w:val="cs-CZ"/>
        </w:rPr>
        <w:t xml:space="preserve">v těchto případech </w:t>
      </w:r>
      <w:r w:rsidR="006565CA" w:rsidRPr="00FD304C">
        <w:rPr>
          <w:rFonts w:cs="Arial"/>
          <w:lang w:val="cs-CZ"/>
        </w:rPr>
        <w:t xml:space="preserve">vycházela </w:t>
      </w:r>
      <w:r w:rsidR="005F7092" w:rsidRPr="00FD304C">
        <w:rPr>
          <w:rFonts w:cs="Arial"/>
          <w:lang w:val="cs-CZ"/>
        </w:rPr>
        <w:t xml:space="preserve">pouze </w:t>
      </w:r>
      <w:r w:rsidRPr="00FD304C">
        <w:rPr>
          <w:rFonts w:cs="Arial"/>
          <w:lang w:val="cs-CZ"/>
        </w:rPr>
        <w:t>z minimální</w:t>
      </w:r>
      <w:r w:rsidR="006565CA" w:rsidRPr="00FD304C">
        <w:rPr>
          <w:rFonts w:cs="Arial"/>
          <w:lang w:val="cs-CZ"/>
        </w:rPr>
        <w:t>ho vyměřovacího základu</w:t>
      </w:r>
      <w:r w:rsidR="006165D0" w:rsidRPr="00FD304C">
        <w:rPr>
          <w:rFonts w:cs="Arial"/>
          <w:lang w:val="cs-CZ"/>
        </w:rPr>
        <w:t xml:space="preserve">, </w:t>
      </w:r>
      <w:r w:rsidR="00614E00" w:rsidRPr="00FD304C">
        <w:rPr>
          <w:rFonts w:cs="Arial"/>
          <w:lang w:val="cs-CZ"/>
        </w:rPr>
        <w:t>nikoli z pravděpodobné výše</w:t>
      </w:r>
      <w:r w:rsidR="00280BB7" w:rsidRPr="00FD304C">
        <w:rPr>
          <w:rFonts w:cs="Arial"/>
          <w:lang w:val="cs-CZ"/>
        </w:rPr>
        <w:t xml:space="preserve"> pojistného</w:t>
      </w:r>
      <w:r w:rsidR="004A0EE9">
        <w:rPr>
          <w:rFonts w:cs="Arial"/>
          <w:lang w:val="cs-CZ"/>
        </w:rPr>
        <w:t>,</w:t>
      </w:r>
      <w:r w:rsidR="00280BB7" w:rsidRPr="00FD304C">
        <w:rPr>
          <w:rFonts w:cs="Arial"/>
          <w:lang w:val="cs-CZ"/>
        </w:rPr>
        <w:t xml:space="preserve"> a v </w:t>
      </w:r>
      <w:r w:rsidR="00020A12" w:rsidRPr="00FD304C">
        <w:rPr>
          <w:rFonts w:cs="Arial"/>
          <w:lang w:val="cs-CZ"/>
        </w:rPr>
        <w:t xml:space="preserve">důsledku toho </w:t>
      </w:r>
      <w:r w:rsidR="004A0EE9">
        <w:rPr>
          <w:rFonts w:cs="Arial"/>
          <w:lang w:val="cs-CZ"/>
        </w:rPr>
        <w:t>vedla v </w:t>
      </w:r>
      <w:r w:rsidR="00614E00" w:rsidRPr="00FD304C">
        <w:rPr>
          <w:rFonts w:cs="Arial"/>
          <w:lang w:val="cs-CZ"/>
        </w:rPr>
        <w:t>evidenci pohledávek za OSVČ nesprávné nižší částky</w:t>
      </w:r>
      <w:r w:rsidR="00020A12" w:rsidRPr="00FD304C">
        <w:rPr>
          <w:rFonts w:cs="Arial"/>
          <w:lang w:val="cs-CZ"/>
        </w:rPr>
        <w:t>.</w:t>
      </w:r>
    </w:p>
    <w:p w:rsidR="00020A12" w:rsidRPr="00A859AD" w:rsidRDefault="00020A12" w:rsidP="00FD304C">
      <w:pPr>
        <w:rPr>
          <w:rFonts w:cs="Arial"/>
          <w:lang w:val="cs-CZ"/>
        </w:rPr>
      </w:pPr>
    </w:p>
    <w:p w:rsidR="007D02E0" w:rsidRDefault="007D02E0">
      <w:pPr>
        <w:spacing w:after="200" w:line="276" w:lineRule="auto"/>
        <w:jc w:val="left"/>
        <w:rPr>
          <w:rFonts w:cs="Arial"/>
          <w:b/>
          <w:szCs w:val="22"/>
          <w:lang w:val="cs-CZ"/>
        </w:rPr>
      </w:pPr>
      <w:r>
        <w:rPr>
          <w:rFonts w:cs="Arial"/>
          <w:b/>
          <w:szCs w:val="22"/>
          <w:lang w:val="cs-CZ"/>
        </w:rPr>
        <w:br w:type="page"/>
      </w:r>
    </w:p>
    <w:p w:rsidR="00F554F1" w:rsidRPr="00FD304C" w:rsidRDefault="009F58F7" w:rsidP="00FD304C">
      <w:pPr>
        <w:outlineLvl w:val="1"/>
        <w:rPr>
          <w:rFonts w:cs="Arial"/>
          <w:b/>
          <w:szCs w:val="22"/>
          <w:lang w:val="cs-CZ"/>
        </w:rPr>
      </w:pPr>
      <w:r w:rsidRPr="00FD304C">
        <w:rPr>
          <w:rFonts w:cs="Arial"/>
          <w:b/>
          <w:szCs w:val="22"/>
          <w:lang w:val="cs-CZ"/>
        </w:rPr>
        <w:lastRenderedPageBreak/>
        <w:t xml:space="preserve">3.2 </w:t>
      </w:r>
      <w:r w:rsidR="00A54C80" w:rsidRPr="00FD304C">
        <w:rPr>
          <w:rFonts w:cs="Arial"/>
          <w:b/>
          <w:szCs w:val="22"/>
          <w:lang w:val="cs-CZ"/>
        </w:rPr>
        <w:t>Úhrady z</w:t>
      </w:r>
      <w:r w:rsidR="00F554F1" w:rsidRPr="00FD304C">
        <w:rPr>
          <w:rFonts w:cs="Arial"/>
          <w:b/>
          <w:szCs w:val="22"/>
          <w:lang w:val="cs-CZ"/>
        </w:rPr>
        <w:t>dravotní</w:t>
      </w:r>
      <w:r w:rsidR="00A54C80" w:rsidRPr="00FD304C">
        <w:rPr>
          <w:rFonts w:cs="Arial"/>
          <w:b/>
          <w:szCs w:val="22"/>
          <w:lang w:val="cs-CZ"/>
        </w:rPr>
        <w:t>ch služeb</w:t>
      </w:r>
    </w:p>
    <w:p w:rsidR="00B734E9" w:rsidRDefault="00B734E9" w:rsidP="00FD304C">
      <w:pPr>
        <w:autoSpaceDE w:val="0"/>
        <w:autoSpaceDN w:val="0"/>
        <w:adjustRightInd w:val="0"/>
        <w:rPr>
          <w:rFonts w:cs="Arial"/>
          <w:lang w:val="cs-CZ"/>
        </w:rPr>
      </w:pPr>
    </w:p>
    <w:p w:rsidR="001E0B21" w:rsidRPr="00FD304C" w:rsidRDefault="00087483" w:rsidP="00FD304C">
      <w:pPr>
        <w:autoSpaceDE w:val="0"/>
        <w:autoSpaceDN w:val="0"/>
        <w:adjustRightInd w:val="0"/>
        <w:rPr>
          <w:rFonts w:cs="Arial"/>
          <w:lang w:val="cs-CZ"/>
        </w:rPr>
      </w:pPr>
      <w:r w:rsidRPr="00FD304C">
        <w:rPr>
          <w:rFonts w:cs="Arial"/>
          <w:lang w:val="cs-CZ"/>
        </w:rPr>
        <w:t xml:space="preserve">Zdravotní pojišťovny jsou povinny zajistit poskytování hrazených </w:t>
      </w:r>
      <w:r w:rsidR="00E50CD0" w:rsidRPr="00FD304C">
        <w:rPr>
          <w:rFonts w:cs="Arial"/>
          <w:lang w:val="cs-CZ"/>
        </w:rPr>
        <w:t xml:space="preserve">zdravotních </w:t>
      </w:r>
      <w:r w:rsidRPr="00FD304C">
        <w:rPr>
          <w:rFonts w:cs="Arial"/>
          <w:lang w:val="cs-CZ"/>
        </w:rPr>
        <w:t>služeb svým pojištěncům, včetně jejich místní a časové dostupnosti</w:t>
      </w:r>
      <w:r w:rsidR="006304C6">
        <w:rPr>
          <w:rFonts w:cs="Arial"/>
          <w:lang w:val="cs-CZ"/>
        </w:rPr>
        <w:t>, a to</w:t>
      </w:r>
      <w:r w:rsidRPr="00FD304C">
        <w:rPr>
          <w:rFonts w:cs="Arial"/>
          <w:lang w:val="cs-CZ"/>
        </w:rPr>
        <w:t xml:space="preserve"> prostřednictvím smluvních poskytovatelů zdravotních služeb (dále také „</w:t>
      </w:r>
      <w:r w:rsidR="005C2FCA" w:rsidRPr="00FD304C">
        <w:rPr>
          <w:rFonts w:cs="Arial"/>
          <w:lang w:val="cs-CZ"/>
        </w:rPr>
        <w:t xml:space="preserve">poskytovatel </w:t>
      </w:r>
      <w:r w:rsidRPr="00FD304C">
        <w:rPr>
          <w:rFonts w:cs="Arial"/>
          <w:lang w:val="cs-CZ"/>
        </w:rPr>
        <w:t xml:space="preserve">ZS“), kteří tvoří síť smluvních </w:t>
      </w:r>
      <w:r w:rsidR="005C2FCA" w:rsidRPr="00FD304C">
        <w:rPr>
          <w:rFonts w:cs="Arial"/>
          <w:lang w:val="cs-CZ"/>
        </w:rPr>
        <w:t xml:space="preserve">poskytovatelů </w:t>
      </w:r>
      <w:r w:rsidRPr="00FD304C">
        <w:rPr>
          <w:rFonts w:cs="Arial"/>
          <w:lang w:val="cs-CZ"/>
        </w:rPr>
        <w:t xml:space="preserve">ZS. </w:t>
      </w:r>
      <w:r w:rsidR="001E0B21" w:rsidRPr="00FD304C">
        <w:rPr>
          <w:rFonts w:cs="Arial"/>
          <w:lang w:val="cs-CZ"/>
        </w:rPr>
        <w:t>Zákon</w:t>
      </w:r>
      <w:r w:rsidR="004A42EB" w:rsidRPr="00FD304C">
        <w:rPr>
          <w:rFonts w:cs="Arial"/>
          <w:vertAlign w:val="superscript"/>
          <w:lang w:val="cs-CZ"/>
        </w:rPr>
        <w:t>2</w:t>
      </w:r>
      <w:r w:rsidR="001E0B21" w:rsidRPr="00FD304C">
        <w:rPr>
          <w:rFonts w:cs="Arial"/>
          <w:lang w:val="cs-CZ"/>
        </w:rPr>
        <w:t xml:space="preserve"> ukládá zdravotním pojišťovnám </w:t>
      </w:r>
      <w:r w:rsidR="006304C6">
        <w:rPr>
          <w:rFonts w:cs="Arial"/>
          <w:lang w:val="cs-CZ"/>
        </w:rPr>
        <w:t xml:space="preserve">povinnost </w:t>
      </w:r>
      <w:r w:rsidR="001E0B21" w:rsidRPr="00FD304C">
        <w:rPr>
          <w:rFonts w:cs="Arial"/>
          <w:lang w:val="cs-CZ"/>
        </w:rPr>
        <w:t xml:space="preserve">vést seznam smluvních </w:t>
      </w:r>
      <w:r w:rsidR="005C2FCA" w:rsidRPr="00FD304C">
        <w:rPr>
          <w:rFonts w:cs="Arial"/>
          <w:lang w:val="cs-CZ"/>
        </w:rPr>
        <w:t xml:space="preserve">poskytovatelů </w:t>
      </w:r>
      <w:r w:rsidR="001E0B21" w:rsidRPr="00FD304C">
        <w:rPr>
          <w:rFonts w:cs="Arial"/>
          <w:lang w:val="cs-CZ"/>
        </w:rPr>
        <w:t>ZS a zveřejnit ho způsobem umožňují</w:t>
      </w:r>
      <w:r w:rsidR="00174620" w:rsidRPr="00FD304C">
        <w:rPr>
          <w:rFonts w:cs="Arial"/>
          <w:lang w:val="cs-CZ"/>
        </w:rPr>
        <w:t>cím</w:t>
      </w:r>
      <w:r w:rsidR="001E0B21" w:rsidRPr="00FD304C">
        <w:rPr>
          <w:rFonts w:cs="Arial"/>
          <w:lang w:val="cs-CZ"/>
        </w:rPr>
        <w:t xml:space="preserve"> dálkový přístup</w:t>
      </w:r>
      <w:r w:rsidR="00E50CD0" w:rsidRPr="00FD304C">
        <w:rPr>
          <w:rFonts w:cs="Arial"/>
          <w:lang w:val="cs-CZ"/>
        </w:rPr>
        <w:t>,</w:t>
      </w:r>
      <w:r w:rsidR="001E0B21" w:rsidRPr="00FD304C">
        <w:rPr>
          <w:rFonts w:cs="Arial"/>
          <w:lang w:val="cs-CZ"/>
        </w:rPr>
        <w:t xml:space="preserve"> </w:t>
      </w:r>
      <w:r w:rsidR="00E50CD0" w:rsidRPr="00FD304C">
        <w:rPr>
          <w:rFonts w:cs="Arial"/>
          <w:lang w:val="cs-CZ"/>
        </w:rPr>
        <w:t>současně</w:t>
      </w:r>
      <w:r w:rsidR="001E0B21" w:rsidRPr="00FD304C">
        <w:rPr>
          <w:rFonts w:cs="Arial"/>
          <w:lang w:val="cs-CZ"/>
        </w:rPr>
        <w:t xml:space="preserve"> ukládá </w:t>
      </w:r>
      <w:r w:rsidR="006304C6">
        <w:rPr>
          <w:rFonts w:cs="Arial"/>
          <w:lang w:val="cs-CZ"/>
        </w:rPr>
        <w:t xml:space="preserve">povinnost </w:t>
      </w:r>
      <w:r w:rsidR="001E0B21" w:rsidRPr="00FD304C">
        <w:rPr>
          <w:rFonts w:cs="Arial"/>
          <w:lang w:val="cs-CZ"/>
        </w:rPr>
        <w:t xml:space="preserve">vést </w:t>
      </w:r>
      <w:r w:rsidR="00E50CD0" w:rsidRPr="00FD304C">
        <w:rPr>
          <w:rFonts w:cs="Arial"/>
          <w:lang w:val="cs-CZ"/>
        </w:rPr>
        <w:t>u</w:t>
      </w:r>
      <w:r w:rsidR="005C2FCA" w:rsidRPr="00FD304C">
        <w:rPr>
          <w:rFonts w:cs="Arial"/>
          <w:lang w:val="cs-CZ"/>
        </w:rPr>
        <w:t> </w:t>
      </w:r>
      <w:r w:rsidR="00E50CD0" w:rsidRPr="00FD304C">
        <w:rPr>
          <w:rFonts w:cs="Arial"/>
          <w:lang w:val="cs-CZ"/>
        </w:rPr>
        <w:t xml:space="preserve">jednotlivých </w:t>
      </w:r>
      <w:r w:rsidR="005C2FCA" w:rsidRPr="00FD304C">
        <w:rPr>
          <w:rFonts w:cs="Arial"/>
          <w:lang w:val="cs-CZ"/>
        </w:rPr>
        <w:t xml:space="preserve">poskytovatelů </w:t>
      </w:r>
      <w:r w:rsidR="00E50CD0" w:rsidRPr="00FD304C">
        <w:rPr>
          <w:rFonts w:cs="Arial"/>
          <w:lang w:val="cs-CZ"/>
        </w:rPr>
        <w:t xml:space="preserve">ZS </w:t>
      </w:r>
      <w:r w:rsidR="001E0B21" w:rsidRPr="00FD304C">
        <w:rPr>
          <w:rFonts w:cs="Arial"/>
          <w:lang w:val="cs-CZ"/>
        </w:rPr>
        <w:t>přehled zdravotnických pracovníků</w:t>
      </w:r>
      <w:r w:rsidR="000B3DEE" w:rsidRPr="00FD304C">
        <w:rPr>
          <w:rFonts w:cs="Arial"/>
          <w:lang w:val="cs-CZ"/>
        </w:rPr>
        <w:t xml:space="preserve">. </w:t>
      </w:r>
    </w:p>
    <w:p w:rsidR="00400EBC" w:rsidRPr="00FD304C" w:rsidRDefault="00400EBC" w:rsidP="00FD304C">
      <w:pPr>
        <w:autoSpaceDE w:val="0"/>
        <w:autoSpaceDN w:val="0"/>
        <w:adjustRightInd w:val="0"/>
        <w:rPr>
          <w:rFonts w:cs="Arial"/>
          <w:lang w:val="cs-CZ"/>
        </w:rPr>
      </w:pPr>
    </w:p>
    <w:p w:rsidR="00E50CD0" w:rsidRPr="00FD304C" w:rsidRDefault="00E50CD0" w:rsidP="00FD304C">
      <w:pPr>
        <w:autoSpaceDE w:val="0"/>
        <w:autoSpaceDN w:val="0"/>
        <w:adjustRightInd w:val="0"/>
        <w:rPr>
          <w:rFonts w:cs="Arial"/>
          <w:b/>
          <w:lang w:val="cs-CZ"/>
        </w:rPr>
      </w:pPr>
      <w:r w:rsidRPr="00FD304C">
        <w:rPr>
          <w:rFonts w:cs="Arial"/>
          <w:b/>
          <w:lang w:val="cs-CZ"/>
        </w:rPr>
        <w:t>ČPZP požadovaným způsobem zveřejnila seznam smluvních poskytovatelů</w:t>
      </w:r>
      <w:r w:rsidR="00174620" w:rsidRPr="00FD304C">
        <w:rPr>
          <w:rFonts w:cs="Arial"/>
          <w:b/>
          <w:lang w:val="cs-CZ"/>
        </w:rPr>
        <w:t xml:space="preserve"> ZS</w:t>
      </w:r>
      <w:r w:rsidRPr="00FD304C">
        <w:rPr>
          <w:rFonts w:cs="Arial"/>
          <w:b/>
          <w:lang w:val="cs-CZ"/>
        </w:rPr>
        <w:t xml:space="preserve">, </w:t>
      </w:r>
      <w:r w:rsidR="000D1174">
        <w:rPr>
          <w:rFonts w:cs="Arial"/>
          <w:b/>
          <w:lang w:val="cs-CZ"/>
        </w:rPr>
        <w:t xml:space="preserve">avšak </w:t>
      </w:r>
      <w:r w:rsidRPr="00FD304C">
        <w:rPr>
          <w:rFonts w:cs="Arial"/>
          <w:b/>
          <w:lang w:val="cs-CZ"/>
        </w:rPr>
        <w:t>nevedla přehled zdravotnických pracovníků poskytujících hrazené služby u</w:t>
      </w:r>
      <w:r w:rsidR="00C932A7" w:rsidRPr="00FD304C">
        <w:rPr>
          <w:rFonts w:cs="Arial"/>
          <w:b/>
          <w:lang w:val="cs-CZ"/>
        </w:rPr>
        <w:t> </w:t>
      </w:r>
      <w:r w:rsidRPr="00FD304C">
        <w:rPr>
          <w:rFonts w:cs="Arial"/>
          <w:b/>
          <w:lang w:val="cs-CZ"/>
        </w:rPr>
        <w:t>jednotlivých smluvních poskytovatelů</w:t>
      </w:r>
      <w:r w:rsidR="00174620" w:rsidRPr="00FD304C">
        <w:rPr>
          <w:rFonts w:cs="Arial"/>
          <w:b/>
          <w:lang w:val="cs-CZ"/>
        </w:rPr>
        <w:t xml:space="preserve"> ZS</w:t>
      </w:r>
      <w:r w:rsidR="004C53DB" w:rsidRPr="00FD304C">
        <w:rPr>
          <w:rFonts w:cs="Arial"/>
          <w:b/>
          <w:lang w:val="cs-CZ"/>
        </w:rPr>
        <w:t>,</w:t>
      </w:r>
      <w:r w:rsidR="00CE7194" w:rsidRPr="00FD304C">
        <w:rPr>
          <w:rFonts w:cs="Arial"/>
          <w:b/>
          <w:lang w:val="cs-CZ"/>
        </w:rPr>
        <w:t xml:space="preserve"> jak </w:t>
      </w:r>
      <w:r w:rsidR="00354D69" w:rsidRPr="00FD304C">
        <w:rPr>
          <w:rFonts w:cs="Arial"/>
          <w:b/>
          <w:lang w:val="cs-CZ"/>
        </w:rPr>
        <w:t xml:space="preserve">také </w:t>
      </w:r>
      <w:r w:rsidR="00CE7194" w:rsidRPr="00FD304C">
        <w:rPr>
          <w:rFonts w:cs="Arial"/>
          <w:b/>
          <w:lang w:val="cs-CZ"/>
        </w:rPr>
        <w:t>stanoví zákon</w:t>
      </w:r>
      <w:r w:rsidR="00CE7194" w:rsidRPr="00FD304C">
        <w:rPr>
          <w:rFonts w:cs="Arial"/>
          <w:b/>
          <w:vertAlign w:val="superscript"/>
          <w:lang w:val="cs-CZ"/>
        </w:rPr>
        <w:t>2</w:t>
      </w:r>
      <w:r w:rsidR="00CE7194" w:rsidRPr="00FD304C">
        <w:rPr>
          <w:rFonts w:cs="Arial"/>
          <w:b/>
          <w:lang w:val="cs-CZ"/>
        </w:rPr>
        <w:t>.</w:t>
      </w:r>
    </w:p>
    <w:p w:rsidR="00304E47" w:rsidRPr="00A859AD" w:rsidRDefault="00304E47" w:rsidP="00FD304C">
      <w:pPr>
        <w:tabs>
          <w:tab w:val="left" w:pos="1418"/>
          <w:tab w:val="left" w:pos="1560"/>
        </w:tabs>
        <w:rPr>
          <w:rFonts w:cs="Arial"/>
          <w:bCs/>
          <w:lang w:val="cs-CZ"/>
        </w:rPr>
      </w:pPr>
    </w:p>
    <w:p w:rsidR="006176A5" w:rsidRPr="00FD304C" w:rsidRDefault="006176A5" w:rsidP="00A859AD">
      <w:pPr>
        <w:tabs>
          <w:tab w:val="left" w:pos="1418"/>
          <w:tab w:val="left" w:pos="1560"/>
        </w:tabs>
        <w:spacing w:after="40"/>
        <w:rPr>
          <w:rFonts w:cs="Arial"/>
          <w:b/>
          <w:szCs w:val="22"/>
          <w:lang w:val="cs-CZ"/>
        </w:rPr>
      </w:pPr>
      <w:r w:rsidRPr="00FD304C">
        <w:rPr>
          <w:rFonts w:cs="Arial"/>
          <w:b/>
          <w:bCs/>
          <w:lang w:val="cs-CZ"/>
        </w:rPr>
        <w:t>Tabulka č.</w:t>
      </w:r>
      <w:r w:rsidR="00562935" w:rsidRPr="00FD304C">
        <w:rPr>
          <w:rFonts w:cs="Arial"/>
          <w:b/>
          <w:bCs/>
          <w:lang w:val="cs-CZ"/>
        </w:rPr>
        <w:t xml:space="preserve"> </w:t>
      </w:r>
      <w:r w:rsidRPr="00FD304C">
        <w:rPr>
          <w:rFonts w:cs="Arial"/>
          <w:b/>
          <w:bCs/>
          <w:lang w:val="cs-CZ"/>
        </w:rPr>
        <w:t>2</w:t>
      </w:r>
      <w:r w:rsidR="00562935" w:rsidRPr="00FD304C">
        <w:rPr>
          <w:rFonts w:cs="Arial"/>
          <w:b/>
          <w:bCs/>
          <w:lang w:val="cs-CZ"/>
        </w:rPr>
        <w:t xml:space="preserve"> </w:t>
      </w:r>
      <w:r w:rsidR="00C932A7" w:rsidRPr="00FD304C">
        <w:rPr>
          <w:rFonts w:cs="Arial"/>
          <w:b/>
          <w:bCs/>
          <w:lang w:val="cs-CZ"/>
        </w:rPr>
        <w:t>–</w:t>
      </w:r>
      <w:r w:rsidR="00FF1DA4" w:rsidRPr="00FD304C">
        <w:rPr>
          <w:rFonts w:cs="Arial"/>
          <w:b/>
          <w:bCs/>
          <w:lang w:val="cs-CZ"/>
        </w:rPr>
        <w:t xml:space="preserve"> </w:t>
      </w:r>
      <w:r w:rsidRPr="00FD304C">
        <w:rPr>
          <w:rFonts w:cs="Arial"/>
          <w:b/>
          <w:szCs w:val="22"/>
          <w:lang w:val="cs-CZ"/>
        </w:rPr>
        <w:t xml:space="preserve">Počet smluvních poskytovatelů zdravotních služeb ČPZP </w:t>
      </w:r>
    </w:p>
    <w:tbl>
      <w:tblPr>
        <w:tblStyle w:val="Mkatabulky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964"/>
        <w:gridCol w:w="964"/>
        <w:gridCol w:w="964"/>
        <w:gridCol w:w="964"/>
        <w:gridCol w:w="964"/>
      </w:tblGrid>
      <w:tr w:rsidR="006176A5" w:rsidRPr="00FD304C" w:rsidTr="006304C6">
        <w:trPr>
          <w:trHeight w:val="227"/>
        </w:trPr>
        <w:tc>
          <w:tcPr>
            <w:tcW w:w="4252" w:type="dxa"/>
            <w:shd w:val="clear" w:color="auto" w:fill="auto"/>
            <w:vAlign w:val="center"/>
          </w:tcPr>
          <w:p w:rsidR="006176A5" w:rsidRPr="00FD304C" w:rsidRDefault="006176A5" w:rsidP="00FD304C">
            <w:pPr>
              <w:jc w:val="left"/>
              <w:rPr>
                <w:rFonts w:cs="Arial"/>
                <w:b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b/>
                <w:sz w:val="18"/>
                <w:szCs w:val="18"/>
                <w:lang w:val="cs-CZ"/>
              </w:rPr>
              <w:t>SPZS k 31. 12.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176A5" w:rsidRPr="00FD304C" w:rsidRDefault="006176A5" w:rsidP="00FD304C">
            <w:pPr>
              <w:jc w:val="center"/>
              <w:rPr>
                <w:rFonts w:cs="Arial"/>
                <w:b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b/>
                <w:sz w:val="18"/>
                <w:szCs w:val="18"/>
                <w:lang w:val="cs-CZ"/>
              </w:rPr>
              <w:t>2009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176A5" w:rsidRPr="00FD304C" w:rsidRDefault="006176A5" w:rsidP="00FD304C">
            <w:pPr>
              <w:jc w:val="center"/>
              <w:rPr>
                <w:rFonts w:cs="Arial"/>
                <w:b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b/>
                <w:sz w:val="18"/>
                <w:szCs w:val="18"/>
                <w:lang w:val="cs-CZ"/>
              </w:rPr>
              <w:t>2010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176A5" w:rsidRPr="00FD304C" w:rsidRDefault="006176A5" w:rsidP="00FD304C">
            <w:pPr>
              <w:jc w:val="center"/>
              <w:rPr>
                <w:rFonts w:cs="Arial"/>
                <w:b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b/>
                <w:sz w:val="18"/>
                <w:szCs w:val="18"/>
                <w:lang w:val="cs-CZ"/>
              </w:rPr>
              <w:t>2011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176A5" w:rsidRPr="00FD304C" w:rsidRDefault="006176A5" w:rsidP="00FD304C">
            <w:pPr>
              <w:jc w:val="center"/>
              <w:rPr>
                <w:rFonts w:cs="Arial"/>
                <w:b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b/>
                <w:sz w:val="18"/>
                <w:szCs w:val="18"/>
                <w:lang w:val="cs-CZ"/>
              </w:rPr>
              <w:t>2012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176A5" w:rsidRPr="00FD304C" w:rsidRDefault="006176A5" w:rsidP="00FD304C">
            <w:pPr>
              <w:jc w:val="center"/>
              <w:rPr>
                <w:rFonts w:cs="Arial"/>
                <w:b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b/>
                <w:sz w:val="18"/>
                <w:szCs w:val="18"/>
                <w:lang w:val="cs-CZ"/>
              </w:rPr>
              <w:t>2013*</w:t>
            </w:r>
          </w:p>
        </w:tc>
      </w:tr>
      <w:tr w:rsidR="006176A5" w:rsidRPr="00FD304C" w:rsidTr="006304C6">
        <w:trPr>
          <w:trHeight w:val="227"/>
        </w:trPr>
        <w:tc>
          <w:tcPr>
            <w:tcW w:w="4252" w:type="dxa"/>
            <w:shd w:val="clear" w:color="auto" w:fill="auto"/>
            <w:vAlign w:val="center"/>
          </w:tcPr>
          <w:p w:rsidR="006176A5" w:rsidRPr="00FD304C" w:rsidRDefault="006176A5" w:rsidP="00FD304C">
            <w:pPr>
              <w:jc w:val="left"/>
              <w:rPr>
                <w:rFonts w:cs="Arial"/>
                <w:b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b/>
                <w:sz w:val="18"/>
                <w:szCs w:val="18"/>
                <w:lang w:val="cs-CZ"/>
              </w:rPr>
              <w:t>Počet SPZS celkem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176A5" w:rsidRPr="00FD304C" w:rsidRDefault="006176A5" w:rsidP="00A859AD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24 870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176A5" w:rsidRPr="00FD304C" w:rsidRDefault="006176A5" w:rsidP="00A859AD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25 017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176A5" w:rsidRPr="00FD304C" w:rsidRDefault="006176A5" w:rsidP="00A859AD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24 849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176A5" w:rsidRPr="00FD304C" w:rsidRDefault="006176A5" w:rsidP="00A859AD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25 609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176A5" w:rsidRPr="00FD304C" w:rsidRDefault="006176A5" w:rsidP="00A859AD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25 721</w:t>
            </w:r>
          </w:p>
        </w:tc>
      </w:tr>
      <w:tr w:rsidR="006176A5" w:rsidRPr="00FD304C" w:rsidTr="006304C6">
        <w:trPr>
          <w:trHeight w:val="227"/>
        </w:trPr>
        <w:tc>
          <w:tcPr>
            <w:tcW w:w="4252" w:type="dxa"/>
            <w:shd w:val="clear" w:color="auto" w:fill="auto"/>
            <w:vAlign w:val="center"/>
          </w:tcPr>
          <w:p w:rsidR="006176A5" w:rsidRPr="003576CC" w:rsidRDefault="006176A5" w:rsidP="00C90634">
            <w:pPr>
              <w:pStyle w:val="Odstavecseseznamem"/>
              <w:numPr>
                <w:ilvl w:val="0"/>
                <w:numId w:val="39"/>
              </w:numPr>
              <w:ind w:left="255" w:hanging="198"/>
              <w:jc w:val="left"/>
              <w:rPr>
                <w:rFonts w:cs="Arial"/>
                <w:sz w:val="18"/>
                <w:szCs w:val="18"/>
                <w:lang w:val="cs-CZ"/>
              </w:rPr>
            </w:pPr>
            <w:r w:rsidRPr="003576CC">
              <w:rPr>
                <w:rFonts w:cs="Arial"/>
                <w:sz w:val="18"/>
                <w:szCs w:val="18"/>
                <w:lang w:val="cs-CZ"/>
              </w:rPr>
              <w:t xml:space="preserve">z toho: </w:t>
            </w:r>
            <w:r w:rsidR="006304C6" w:rsidRPr="003576CC">
              <w:rPr>
                <w:rFonts w:cs="Arial"/>
                <w:sz w:val="18"/>
                <w:szCs w:val="18"/>
                <w:lang w:val="cs-CZ"/>
              </w:rPr>
              <w:t>a</w:t>
            </w:r>
            <w:r w:rsidRPr="003576CC">
              <w:rPr>
                <w:rFonts w:cs="Arial"/>
                <w:sz w:val="18"/>
                <w:szCs w:val="18"/>
                <w:lang w:val="cs-CZ"/>
              </w:rPr>
              <w:t>mbulantní poskytovatelé ZS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176A5" w:rsidRPr="00FD304C" w:rsidRDefault="006176A5" w:rsidP="00A859AD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21 467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176A5" w:rsidRPr="00FD304C" w:rsidRDefault="006176A5" w:rsidP="00A859AD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21 641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176A5" w:rsidRPr="00FD304C" w:rsidRDefault="006176A5" w:rsidP="00A859AD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21 518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176A5" w:rsidRPr="00FD304C" w:rsidRDefault="006176A5" w:rsidP="00A859AD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22 119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176A5" w:rsidRPr="00FD304C" w:rsidRDefault="006176A5" w:rsidP="00A859AD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22 057</w:t>
            </w:r>
          </w:p>
        </w:tc>
      </w:tr>
      <w:tr w:rsidR="006176A5" w:rsidRPr="00FD304C" w:rsidTr="006304C6">
        <w:trPr>
          <w:trHeight w:val="227"/>
        </w:trPr>
        <w:tc>
          <w:tcPr>
            <w:tcW w:w="4252" w:type="dxa"/>
            <w:shd w:val="clear" w:color="auto" w:fill="auto"/>
            <w:vAlign w:val="center"/>
          </w:tcPr>
          <w:p w:rsidR="006176A5" w:rsidRPr="00C90634" w:rsidRDefault="003576CC" w:rsidP="000D1174">
            <w:pPr>
              <w:ind w:firstLine="794"/>
              <w:jc w:val="left"/>
              <w:rPr>
                <w:rFonts w:cs="Arial"/>
                <w:sz w:val="18"/>
                <w:szCs w:val="18"/>
                <w:lang w:val="cs-CZ"/>
              </w:rPr>
            </w:pPr>
            <w:r w:rsidRPr="00C90634">
              <w:rPr>
                <w:rFonts w:cs="Arial"/>
                <w:sz w:val="18"/>
                <w:szCs w:val="18"/>
                <w:lang w:val="cs-CZ"/>
              </w:rPr>
              <w:t xml:space="preserve">– </w:t>
            </w:r>
            <w:r w:rsidR="006304C6" w:rsidRPr="00C90634">
              <w:rPr>
                <w:rFonts w:cs="Arial"/>
                <w:sz w:val="18"/>
                <w:szCs w:val="18"/>
                <w:lang w:val="cs-CZ"/>
              </w:rPr>
              <w:t>p</w:t>
            </w:r>
            <w:r w:rsidR="006176A5" w:rsidRPr="00C90634">
              <w:rPr>
                <w:rFonts w:cs="Arial"/>
                <w:sz w:val="18"/>
                <w:szCs w:val="18"/>
                <w:lang w:val="cs-CZ"/>
              </w:rPr>
              <w:t>oskytovatelé lůžkových ZS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176A5" w:rsidRPr="00FD304C" w:rsidRDefault="006176A5" w:rsidP="00A859AD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276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176A5" w:rsidRPr="00FD304C" w:rsidRDefault="006176A5" w:rsidP="00A859AD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275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176A5" w:rsidRPr="00FD304C" w:rsidRDefault="006176A5" w:rsidP="00A859AD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277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176A5" w:rsidRPr="00FD304C" w:rsidRDefault="006176A5" w:rsidP="00A859AD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277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176A5" w:rsidRPr="00FD304C" w:rsidRDefault="006176A5" w:rsidP="00A859AD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276</w:t>
            </w:r>
          </w:p>
        </w:tc>
      </w:tr>
      <w:tr w:rsidR="006176A5" w:rsidRPr="00FD304C" w:rsidTr="006304C6">
        <w:trPr>
          <w:trHeight w:val="227"/>
        </w:trPr>
        <w:tc>
          <w:tcPr>
            <w:tcW w:w="4252" w:type="dxa"/>
            <w:shd w:val="clear" w:color="auto" w:fill="auto"/>
            <w:vAlign w:val="center"/>
          </w:tcPr>
          <w:p w:rsidR="006176A5" w:rsidRPr="003576CC" w:rsidRDefault="006176A5" w:rsidP="00C90634">
            <w:pPr>
              <w:pStyle w:val="Odstavecseseznamem"/>
              <w:numPr>
                <w:ilvl w:val="0"/>
                <w:numId w:val="38"/>
              </w:numPr>
              <w:ind w:left="255" w:hanging="198"/>
              <w:jc w:val="left"/>
              <w:rPr>
                <w:rFonts w:cs="Arial"/>
                <w:sz w:val="18"/>
                <w:szCs w:val="18"/>
                <w:lang w:val="cs-CZ"/>
              </w:rPr>
            </w:pPr>
            <w:r w:rsidRPr="003576CC">
              <w:rPr>
                <w:rFonts w:cs="Arial"/>
                <w:sz w:val="18"/>
                <w:szCs w:val="18"/>
                <w:lang w:val="cs-CZ"/>
              </w:rPr>
              <w:t xml:space="preserve">z toho: </w:t>
            </w:r>
            <w:r w:rsidR="006304C6" w:rsidRPr="003576CC">
              <w:rPr>
                <w:rFonts w:cs="Arial"/>
                <w:sz w:val="18"/>
                <w:szCs w:val="18"/>
                <w:lang w:val="cs-CZ"/>
              </w:rPr>
              <w:t>n</w:t>
            </w:r>
            <w:r w:rsidRPr="003576CC">
              <w:rPr>
                <w:rFonts w:cs="Arial"/>
                <w:sz w:val="18"/>
                <w:szCs w:val="18"/>
                <w:lang w:val="cs-CZ"/>
              </w:rPr>
              <w:t xml:space="preserve">emocnice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176A5" w:rsidRPr="00FD304C" w:rsidRDefault="006176A5" w:rsidP="00A859AD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156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176A5" w:rsidRPr="00FD304C" w:rsidRDefault="006176A5" w:rsidP="00A859AD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155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176A5" w:rsidRPr="00FD304C" w:rsidRDefault="006176A5" w:rsidP="00A859AD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157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176A5" w:rsidRPr="00FD304C" w:rsidRDefault="006176A5" w:rsidP="00A859AD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154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176A5" w:rsidRPr="00FD304C" w:rsidRDefault="006176A5" w:rsidP="00A859AD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153</w:t>
            </w:r>
          </w:p>
        </w:tc>
      </w:tr>
      <w:tr w:rsidR="006176A5" w:rsidRPr="00FD304C" w:rsidTr="006304C6">
        <w:trPr>
          <w:trHeight w:val="227"/>
        </w:trPr>
        <w:tc>
          <w:tcPr>
            <w:tcW w:w="4252" w:type="dxa"/>
            <w:shd w:val="clear" w:color="auto" w:fill="auto"/>
            <w:vAlign w:val="center"/>
          </w:tcPr>
          <w:p w:rsidR="006176A5" w:rsidRPr="00C90634" w:rsidRDefault="003576CC" w:rsidP="000D1174">
            <w:pPr>
              <w:ind w:firstLine="794"/>
              <w:jc w:val="left"/>
              <w:rPr>
                <w:rFonts w:cs="Arial"/>
                <w:sz w:val="18"/>
                <w:szCs w:val="18"/>
                <w:lang w:val="cs-CZ"/>
              </w:rPr>
            </w:pPr>
            <w:r w:rsidRPr="00C90634">
              <w:rPr>
                <w:rFonts w:cs="Arial"/>
                <w:sz w:val="18"/>
                <w:szCs w:val="18"/>
                <w:lang w:val="cs-CZ"/>
              </w:rPr>
              <w:t xml:space="preserve">– </w:t>
            </w:r>
            <w:r w:rsidR="006176A5" w:rsidRPr="00C90634">
              <w:rPr>
                <w:rFonts w:cs="Arial"/>
                <w:sz w:val="18"/>
                <w:szCs w:val="18"/>
                <w:lang w:val="cs-CZ"/>
              </w:rPr>
              <w:t>OLÚ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176A5" w:rsidRPr="00FD304C" w:rsidRDefault="006176A5" w:rsidP="00A859AD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50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176A5" w:rsidRPr="00FD304C" w:rsidRDefault="006176A5" w:rsidP="00A859AD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59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176A5" w:rsidRPr="00FD304C" w:rsidRDefault="006176A5" w:rsidP="00A859AD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58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176A5" w:rsidRPr="00FD304C" w:rsidRDefault="006176A5" w:rsidP="00A859AD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60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176A5" w:rsidRPr="00FD304C" w:rsidRDefault="006176A5" w:rsidP="00A859AD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59</w:t>
            </w:r>
          </w:p>
        </w:tc>
      </w:tr>
      <w:tr w:rsidR="006176A5" w:rsidRPr="00FD304C" w:rsidTr="006304C6">
        <w:trPr>
          <w:trHeight w:val="227"/>
        </w:trPr>
        <w:tc>
          <w:tcPr>
            <w:tcW w:w="4252" w:type="dxa"/>
            <w:shd w:val="clear" w:color="auto" w:fill="auto"/>
            <w:vAlign w:val="center"/>
          </w:tcPr>
          <w:p w:rsidR="006176A5" w:rsidRPr="00C90634" w:rsidRDefault="003576CC" w:rsidP="000D1174">
            <w:pPr>
              <w:ind w:firstLine="794"/>
              <w:jc w:val="left"/>
              <w:rPr>
                <w:rFonts w:cs="Arial"/>
                <w:sz w:val="18"/>
                <w:szCs w:val="18"/>
                <w:lang w:val="cs-CZ"/>
              </w:rPr>
            </w:pPr>
            <w:r w:rsidRPr="00C90634">
              <w:rPr>
                <w:rFonts w:cs="Arial"/>
                <w:sz w:val="18"/>
                <w:szCs w:val="18"/>
                <w:lang w:val="cs-CZ"/>
              </w:rPr>
              <w:t xml:space="preserve">– </w:t>
            </w:r>
            <w:r w:rsidR="006304C6" w:rsidRPr="00C90634">
              <w:rPr>
                <w:rFonts w:cs="Arial"/>
                <w:sz w:val="18"/>
                <w:szCs w:val="18"/>
                <w:lang w:val="cs-CZ"/>
              </w:rPr>
              <w:t>p</w:t>
            </w:r>
            <w:r w:rsidR="006176A5" w:rsidRPr="00C90634">
              <w:rPr>
                <w:rFonts w:cs="Arial"/>
                <w:sz w:val="18"/>
                <w:szCs w:val="18"/>
                <w:lang w:val="cs-CZ"/>
              </w:rPr>
              <w:t>oskytovatelé LLRS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176A5" w:rsidRPr="00FD304C" w:rsidRDefault="006176A5" w:rsidP="00A859AD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51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176A5" w:rsidRPr="00FD304C" w:rsidRDefault="006176A5" w:rsidP="00A859AD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49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176A5" w:rsidRPr="00FD304C" w:rsidRDefault="006176A5" w:rsidP="00A859AD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49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176A5" w:rsidRPr="00FD304C" w:rsidRDefault="006176A5" w:rsidP="00A859AD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55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176A5" w:rsidRPr="00FD304C" w:rsidRDefault="006176A5" w:rsidP="00A859AD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53</w:t>
            </w:r>
          </w:p>
        </w:tc>
      </w:tr>
      <w:tr w:rsidR="006176A5" w:rsidRPr="00FD304C" w:rsidTr="006304C6">
        <w:trPr>
          <w:trHeight w:val="227"/>
        </w:trPr>
        <w:tc>
          <w:tcPr>
            <w:tcW w:w="4252" w:type="dxa"/>
            <w:shd w:val="clear" w:color="auto" w:fill="auto"/>
            <w:vAlign w:val="center"/>
          </w:tcPr>
          <w:p w:rsidR="006176A5" w:rsidRPr="00C90634" w:rsidRDefault="003576CC" w:rsidP="000D1174">
            <w:pPr>
              <w:ind w:firstLine="794"/>
              <w:jc w:val="left"/>
              <w:rPr>
                <w:rFonts w:cs="Arial"/>
                <w:sz w:val="18"/>
                <w:szCs w:val="18"/>
                <w:lang w:val="cs-CZ"/>
              </w:rPr>
            </w:pPr>
            <w:r w:rsidRPr="00C90634">
              <w:rPr>
                <w:rFonts w:cs="Arial"/>
                <w:sz w:val="18"/>
                <w:szCs w:val="18"/>
                <w:lang w:val="cs-CZ"/>
              </w:rPr>
              <w:t xml:space="preserve">– </w:t>
            </w:r>
            <w:r w:rsidR="006304C6" w:rsidRPr="00C90634">
              <w:rPr>
                <w:rFonts w:cs="Arial"/>
                <w:sz w:val="18"/>
                <w:szCs w:val="18"/>
                <w:lang w:val="cs-CZ"/>
              </w:rPr>
              <w:t>o</w:t>
            </w:r>
            <w:r w:rsidR="006176A5" w:rsidRPr="00C90634">
              <w:rPr>
                <w:rFonts w:cs="Arial"/>
                <w:sz w:val="18"/>
                <w:szCs w:val="18"/>
                <w:lang w:val="cs-CZ"/>
              </w:rPr>
              <w:t>zdravovny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176A5" w:rsidRPr="00FD304C" w:rsidRDefault="006176A5" w:rsidP="00A859AD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17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176A5" w:rsidRPr="00FD304C" w:rsidRDefault="006176A5" w:rsidP="00A859AD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10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176A5" w:rsidRPr="00FD304C" w:rsidRDefault="006176A5" w:rsidP="00A859AD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176A5" w:rsidRPr="00FD304C" w:rsidRDefault="006176A5" w:rsidP="00A859AD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176A5" w:rsidRPr="00FD304C" w:rsidRDefault="006176A5" w:rsidP="00A859AD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4</w:t>
            </w:r>
          </w:p>
        </w:tc>
      </w:tr>
      <w:tr w:rsidR="006176A5" w:rsidRPr="00FD304C" w:rsidTr="006304C6">
        <w:trPr>
          <w:trHeight w:val="227"/>
        </w:trPr>
        <w:tc>
          <w:tcPr>
            <w:tcW w:w="4252" w:type="dxa"/>
            <w:shd w:val="clear" w:color="auto" w:fill="auto"/>
            <w:vAlign w:val="center"/>
          </w:tcPr>
          <w:p w:rsidR="006176A5" w:rsidRPr="00C90634" w:rsidRDefault="003576CC" w:rsidP="000D1174">
            <w:pPr>
              <w:ind w:firstLine="794"/>
              <w:jc w:val="left"/>
              <w:rPr>
                <w:rFonts w:cs="Arial"/>
                <w:sz w:val="18"/>
                <w:szCs w:val="18"/>
                <w:lang w:val="cs-CZ"/>
              </w:rPr>
            </w:pPr>
            <w:r w:rsidRPr="00C90634">
              <w:rPr>
                <w:rFonts w:cs="Arial"/>
                <w:sz w:val="18"/>
                <w:szCs w:val="18"/>
                <w:lang w:val="cs-CZ"/>
              </w:rPr>
              <w:t xml:space="preserve">– </w:t>
            </w:r>
            <w:r w:rsidR="006176A5" w:rsidRPr="00C90634">
              <w:rPr>
                <w:rFonts w:cs="Arial"/>
                <w:sz w:val="18"/>
                <w:szCs w:val="18"/>
                <w:lang w:val="cs-CZ"/>
              </w:rPr>
              <w:t>ZZS, doprava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176A5" w:rsidRPr="00FD304C" w:rsidRDefault="006176A5" w:rsidP="00A859AD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310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176A5" w:rsidRPr="00FD304C" w:rsidRDefault="006176A5" w:rsidP="00A859AD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304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176A5" w:rsidRPr="00FD304C" w:rsidRDefault="006176A5" w:rsidP="00A859AD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269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176A5" w:rsidRPr="00FD304C" w:rsidRDefault="006176A5" w:rsidP="00A859AD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265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176A5" w:rsidRPr="00FD304C" w:rsidRDefault="006176A5" w:rsidP="00A859AD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258</w:t>
            </w:r>
          </w:p>
        </w:tc>
      </w:tr>
      <w:tr w:rsidR="006176A5" w:rsidRPr="00FD304C" w:rsidTr="006304C6">
        <w:trPr>
          <w:trHeight w:val="227"/>
        </w:trPr>
        <w:tc>
          <w:tcPr>
            <w:tcW w:w="4252" w:type="dxa"/>
            <w:shd w:val="clear" w:color="auto" w:fill="auto"/>
            <w:vAlign w:val="center"/>
          </w:tcPr>
          <w:p w:rsidR="006176A5" w:rsidRPr="00C90634" w:rsidRDefault="003576CC" w:rsidP="000D1174">
            <w:pPr>
              <w:ind w:firstLine="794"/>
              <w:jc w:val="left"/>
              <w:rPr>
                <w:rFonts w:cs="Arial"/>
                <w:sz w:val="18"/>
                <w:szCs w:val="18"/>
                <w:vertAlign w:val="superscript"/>
                <w:lang w:val="cs-CZ"/>
              </w:rPr>
            </w:pPr>
            <w:r w:rsidRPr="00C90634">
              <w:rPr>
                <w:rFonts w:cs="Arial"/>
                <w:sz w:val="18"/>
                <w:szCs w:val="18"/>
                <w:lang w:val="cs-CZ"/>
              </w:rPr>
              <w:t xml:space="preserve">– </w:t>
            </w:r>
            <w:r w:rsidR="006304C6" w:rsidRPr="00C90634">
              <w:rPr>
                <w:rFonts w:cs="Arial"/>
                <w:sz w:val="18"/>
                <w:szCs w:val="18"/>
                <w:lang w:val="cs-CZ"/>
              </w:rPr>
              <w:t>l</w:t>
            </w:r>
            <w:r w:rsidR="006176A5" w:rsidRPr="00C90634">
              <w:rPr>
                <w:rFonts w:cs="Arial"/>
                <w:sz w:val="18"/>
                <w:szCs w:val="18"/>
                <w:lang w:val="cs-CZ"/>
              </w:rPr>
              <w:t xml:space="preserve">ékárny a výdejny </w:t>
            </w:r>
            <w:proofErr w:type="spellStart"/>
            <w:r w:rsidR="006176A5" w:rsidRPr="00C90634">
              <w:rPr>
                <w:rFonts w:cs="Arial"/>
                <w:sz w:val="18"/>
                <w:szCs w:val="18"/>
                <w:lang w:val="cs-CZ"/>
              </w:rPr>
              <w:t>ZPr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6176A5" w:rsidRPr="00FD304C" w:rsidRDefault="006176A5" w:rsidP="00A859AD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2 749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176A5" w:rsidRPr="00FD304C" w:rsidRDefault="006176A5" w:rsidP="00A859AD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2 738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176A5" w:rsidRPr="00FD304C" w:rsidRDefault="006176A5" w:rsidP="00A859AD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 xml:space="preserve">2 </w:t>
            </w:r>
            <w:r w:rsidR="00430B37" w:rsidRPr="00FD304C">
              <w:rPr>
                <w:rFonts w:cs="Arial"/>
                <w:sz w:val="18"/>
                <w:szCs w:val="18"/>
                <w:lang w:val="cs-CZ"/>
              </w:rPr>
              <w:t>733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176A5" w:rsidRPr="00FD304C" w:rsidRDefault="006176A5" w:rsidP="00A859AD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2 889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176A5" w:rsidRPr="00FD304C" w:rsidRDefault="006176A5" w:rsidP="00A859AD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 xml:space="preserve">2 </w:t>
            </w:r>
            <w:r w:rsidR="00430B37" w:rsidRPr="00FD304C">
              <w:rPr>
                <w:rFonts w:cs="Arial"/>
                <w:sz w:val="18"/>
                <w:szCs w:val="18"/>
                <w:lang w:val="cs-CZ"/>
              </w:rPr>
              <w:t>861</w:t>
            </w:r>
          </w:p>
        </w:tc>
      </w:tr>
    </w:tbl>
    <w:p w:rsidR="000D1174" w:rsidRDefault="006176A5" w:rsidP="00A859AD">
      <w:pPr>
        <w:tabs>
          <w:tab w:val="left" w:pos="557"/>
        </w:tabs>
        <w:spacing w:before="40"/>
        <w:ind w:left="6"/>
        <w:rPr>
          <w:rFonts w:cs="Arial"/>
          <w:sz w:val="18"/>
          <w:szCs w:val="18"/>
          <w:lang w:val="cs-CZ"/>
        </w:rPr>
      </w:pPr>
      <w:r w:rsidRPr="00FD304C">
        <w:rPr>
          <w:rFonts w:cs="Arial"/>
          <w:b/>
          <w:sz w:val="18"/>
          <w:szCs w:val="18"/>
          <w:lang w:val="cs-CZ"/>
        </w:rPr>
        <w:t>Zdroj:</w:t>
      </w:r>
      <w:r w:rsidRPr="00FD304C">
        <w:rPr>
          <w:rFonts w:cs="Arial"/>
          <w:sz w:val="18"/>
          <w:szCs w:val="18"/>
          <w:lang w:val="cs-CZ"/>
        </w:rPr>
        <w:t xml:space="preserve"> </w:t>
      </w:r>
      <w:r w:rsidR="000D1174">
        <w:rPr>
          <w:rFonts w:cs="Arial"/>
          <w:sz w:val="18"/>
          <w:szCs w:val="18"/>
          <w:lang w:val="cs-CZ"/>
        </w:rPr>
        <w:t>v</w:t>
      </w:r>
      <w:r w:rsidRPr="00FD304C">
        <w:rPr>
          <w:rFonts w:cs="Arial"/>
          <w:sz w:val="18"/>
          <w:szCs w:val="18"/>
          <w:lang w:val="cs-CZ"/>
        </w:rPr>
        <w:t>ýroční zprávy ČPZP za roky 2009</w:t>
      </w:r>
      <w:r w:rsidR="00994610" w:rsidRPr="00FD304C">
        <w:rPr>
          <w:rFonts w:cs="Arial"/>
          <w:sz w:val="18"/>
          <w:szCs w:val="18"/>
          <w:lang w:val="cs-CZ"/>
        </w:rPr>
        <w:t xml:space="preserve"> </w:t>
      </w:r>
      <w:r w:rsidRPr="00FD304C">
        <w:rPr>
          <w:rFonts w:cs="Arial"/>
          <w:sz w:val="18"/>
          <w:szCs w:val="18"/>
          <w:lang w:val="cs-CZ"/>
        </w:rPr>
        <w:t>a</w:t>
      </w:r>
      <w:r w:rsidR="00805A7C" w:rsidRPr="00FD304C">
        <w:rPr>
          <w:rFonts w:cs="Arial"/>
          <w:sz w:val="18"/>
          <w:szCs w:val="18"/>
          <w:lang w:val="cs-CZ"/>
        </w:rPr>
        <w:t>ž</w:t>
      </w:r>
      <w:r w:rsidRPr="00FD304C">
        <w:rPr>
          <w:rFonts w:cs="Arial"/>
          <w:sz w:val="18"/>
          <w:szCs w:val="18"/>
          <w:lang w:val="cs-CZ"/>
        </w:rPr>
        <w:t xml:space="preserve"> 2012, dokumentace ČPZP</w:t>
      </w:r>
      <w:r w:rsidR="000D1174">
        <w:rPr>
          <w:rFonts w:cs="Arial"/>
          <w:sz w:val="18"/>
          <w:szCs w:val="18"/>
          <w:lang w:val="cs-CZ"/>
        </w:rPr>
        <w:t>.</w:t>
      </w:r>
    </w:p>
    <w:p w:rsidR="006176A5" w:rsidRPr="00FD304C" w:rsidRDefault="006176A5" w:rsidP="00A859AD">
      <w:pPr>
        <w:tabs>
          <w:tab w:val="left" w:pos="557"/>
        </w:tabs>
        <w:spacing w:before="40"/>
        <w:ind w:left="6"/>
        <w:rPr>
          <w:rFonts w:cs="Arial"/>
          <w:sz w:val="18"/>
          <w:szCs w:val="18"/>
          <w:lang w:val="cs-CZ"/>
        </w:rPr>
      </w:pPr>
      <w:r w:rsidRPr="00FD304C">
        <w:rPr>
          <w:rFonts w:cs="Arial"/>
          <w:sz w:val="18"/>
          <w:szCs w:val="18"/>
          <w:lang w:val="cs-CZ"/>
        </w:rPr>
        <w:t xml:space="preserve">* </w:t>
      </w:r>
      <w:r w:rsidR="000D1174">
        <w:rPr>
          <w:rFonts w:cs="Arial"/>
          <w:sz w:val="18"/>
          <w:szCs w:val="18"/>
          <w:lang w:val="cs-CZ"/>
        </w:rPr>
        <w:t>P</w:t>
      </w:r>
      <w:r w:rsidRPr="00FD304C">
        <w:rPr>
          <w:rFonts w:cs="Arial"/>
          <w:sz w:val="18"/>
          <w:szCs w:val="18"/>
          <w:lang w:val="cs-CZ"/>
        </w:rPr>
        <w:t>ísemná informace ČPZP k </w:t>
      </w:r>
      <w:r w:rsidR="00805A7C" w:rsidRPr="00FD304C">
        <w:rPr>
          <w:rFonts w:cs="Arial"/>
          <w:sz w:val="18"/>
          <w:szCs w:val="18"/>
          <w:lang w:val="cs-CZ"/>
        </w:rPr>
        <w:t xml:space="preserve">údajům </w:t>
      </w:r>
      <w:r w:rsidRPr="00FD304C">
        <w:rPr>
          <w:rFonts w:cs="Arial"/>
          <w:sz w:val="18"/>
          <w:szCs w:val="18"/>
          <w:lang w:val="cs-CZ"/>
        </w:rPr>
        <w:t>za rok 2013 ze dne 10. 1. 2014, předložená smluvní dokumentace pro rok 2013.</w:t>
      </w:r>
    </w:p>
    <w:p w:rsidR="006176A5" w:rsidRPr="00FD304C" w:rsidRDefault="006176A5" w:rsidP="00FD304C">
      <w:pPr>
        <w:rPr>
          <w:rFonts w:cs="Arial"/>
          <w:sz w:val="18"/>
          <w:szCs w:val="18"/>
          <w:lang w:val="cs-CZ"/>
        </w:rPr>
      </w:pPr>
      <w:r w:rsidRPr="00FD304C">
        <w:rPr>
          <w:rFonts w:cs="Arial"/>
          <w:b/>
          <w:sz w:val="18"/>
          <w:szCs w:val="18"/>
          <w:lang w:val="cs-CZ"/>
        </w:rPr>
        <w:t>Zkratky:</w:t>
      </w:r>
      <w:r w:rsidRPr="00FD304C">
        <w:rPr>
          <w:rFonts w:cs="Arial"/>
          <w:sz w:val="18"/>
          <w:szCs w:val="18"/>
          <w:lang w:val="cs-CZ"/>
        </w:rPr>
        <w:t xml:space="preserve"> SPZS = smluvní poskytovatel zdravotních služeb, </w:t>
      </w:r>
      <w:r w:rsidRPr="00FD304C">
        <w:rPr>
          <w:rFonts w:cs="Arial"/>
          <w:color w:val="000000"/>
          <w:sz w:val="18"/>
          <w:szCs w:val="18"/>
          <w:lang w:val="cs-CZ" w:eastAsia="cs-CZ"/>
        </w:rPr>
        <w:t>ZS = zdravotní služby, OLÚ = odborné léčebné ústavy,</w:t>
      </w:r>
      <w:r w:rsidRPr="00FD304C">
        <w:rPr>
          <w:rFonts w:cs="Arial"/>
          <w:sz w:val="18"/>
          <w:szCs w:val="18"/>
          <w:lang w:val="cs-CZ" w:eastAsia="cs-CZ"/>
        </w:rPr>
        <w:t xml:space="preserve"> </w:t>
      </w:r>
      <w:r w:rsidRPr="00FD304C">
        <w:rPr>
          <w:rFonts w:cs="Arial"/>
          <w:sz w:val="18"/>
          <w:szCs w:val="18"/>
          <w:lang w:val="cs-CZ"/>
        </w:rPr>
        <w:t xml:space="preserve">LLRS = lázeňské </w:t>
      </w:r>
      <w:r w:rsidRPr="00FD304C">
        <w:rPr>
          <w:rFonts w:cs="Arial"/>
          <w:color w:val="000000"/>
          <w:sz w:val="18"/>
          <w:szCs w:val="18"/>
          <w:lang w:val="cs-CZ" w:eastAsia="cs-CZ"/>
        </w:rPr>
        <w:t xml:space="preserve">léčebně rehabilitační služby, </w:t>
      </w:r>
      <w:r w:rsidRPr="00FD304C">
        <w:rPr>
          <w:rFonts w:cs="Arial"/>
          <w:sz w:val="18"/>
          <w:szCs w:val="18"/>
          <w:lang w:val="cs-CZ" w:eastAsia="cs-CZ"/>
        </w:rPr>
        <w:t xml:space="preserve">ZZS </w:t>
      </w:r>
      <w:r w:rsidRPr="00FD304C">
        <w:rPr>
          <w:rFonts w:cs="Arial"/>
          <w:color w:val="000000"/>
          <w:sz w:val="18"/>
          <w:szCs w:val="18"/>
          <w:lang w:val="cs-CZ" w:eastAsia="cs-CZ"/>
        </w:rPr>
        <w:t xml:space="preserve">= zdravotnická záchranná služba, </w:t>
      </w:r>
      <w:proofErr w:type="spellStart"/>
      <w:r w:rsidRPr="00FD304C">
        <w:rPr>
          <w:rFonts w:cs="Arial"/>
          <w:color w:val="000000"/>
          <w:sz w:val="18"/>
          <w:szCs w:val="18"/>
          <w:lang w:val="cs-CZ" w:eastAsia="cs-CZ"/>
        </w:rPr>
        <w:t>ZPr</w:t>
      </w:r>
      <w:proofErr w:type="spellEnd"/>
      <w:r w:rsidRPr="00FD304C">
        <w:rPr>
          <w:rFonts w:cs="Arial"/>
          <w:color w:val="000000"/>
          <w:sz w:val="18"/>
          <w:szCs w:val="18"/>
          <w:lang w:val="cs-CZ" w:eastAsia="cs-CZ"/>
        </w:rPr>
        <w:t xml:space="preserve"> = zdravotnické prostředky.</w:t>
      </w:r>
    </w:p>
    <w:p w:rsidR="00F554F1" w:rsidRPr="00FD304C" w:rsidRDefault="00F554F1" w:rsidP="00FD304C">
      <w:pPr>
        <w:tabs>
          <w:tab w:val="left" w:pos="0"/>
          <w:tab w:val="left" w:pos="1418"/>
        </w:tabs>
        <w:rPr>
          <w:rFonts w:cs="Arial"/>
          <w:szCs w:val="22"/>
          <w:lang w:val="cs-CZ"/>
        </w:rPr>
      </w:pPr>
    </w:p>
    <w:p w:rsidR="00452684" w:rsidRPr="00FD304C" w:rsidRDefault="006247C9" w:rsidP="00FD304C">
      <w:pPr>
        <w:outlineLvl w:val="3"/>
        <w:rPr>
          <w:rFonts w:cs="Arial"/>
          <w:szCs w:val="22"/>
          <w:lang w:val="cs-CZ"/>
        </w:rPr>
      </w:pPr>
      <w:r w:rsidRPr="00FD304C">
        <w:rPr>
          <w:rFonts w:cs="Arial"/>
          <w:szCs w:val="22"/>
          <w:lang w:val="cs-CZ"/>
        </w:rPr>
        <w:t>V</w:t>
      </w:r>
      <w:r w:rsidR="00F554F1" w:rsidRPr="00FD304C">
        <w:rPr>
          <w:rFonts w:cs="Arial"/>
          <w:szCs w:val="22"/>
          <w:lang w:val="cs-CZ"/>
        </w:rPr>
        <w:t xml:space="preserve">ztahy mezi </w:t>
      </w:r>
      <w:r w:rsidRPr="00FD304C">
        <w:rPr>
          <w:rFonts w:cs="Arial"/>
          <w:szCs w:val="22"/>
          <w:lang w:val="cs-CZ"/>
        </w:rPr>
        <w:t>zdravotními pojišťovnami</w:t>
      </w:r>
      <w:r w:rsidR="00F554F1" w:rsidRPr="00FD304C">
        <w:rPr>
          <w:rFonts w:cs="Arial"/>
          <w:szCs w:val="22"/>
          <w:lang w:val="cs-CZ"/>
        </w:rPr>
        <w:t xml:space="preserve"> a poskytovateli</w:t>
      </w:r>
      <w:r w:rsidRPr="00FD304C">
        <w:rPr>
          <w:rFonts w:cs="Arial"/>
          <w:szCs w:val="22"/>
          <w:lang w:val="cs-CZ"/>
        </w:rPr>
        <w:t xml:space="preserve"> </w:t>
      </w:r>
      <w:r w:rsidR="00805A7C" w:rsidRPr="00FD304C">
        <w:rPr>
          <w:rFonts w:cs="Arial"/>
          <w:szCs w:val="22"/>
          <w:lang w:val="cs-CZ"/>
        </w:rPr>
        <w:t xml:space="preserve">ZS </w:t>
      </w:r>
      <w:r w:rsidRPr="00FD304C">
        <w:rPr>
          <w:rFonts w:cs="Arial"/>
          <w:szCs w:val="22"/>
          <w:lang w:val="cs-CZ"/>
        </w:rPr>
        <w:t>se řídí písemnými smlouvami uzavřenými podle rámcových smluv</w:t>
      </w:r>
      <w:r w:rsidR="00F554F1" w:rsidRPr="00FD304C">
        <w:rPr>
          <w:rFonts w:cs="Arial"/>
          <w:szCs w:val="22"/>
          <w:lang w:val="cs-CZ"/>
        </w:rPr>
        <w:t xml:space="preserve"> a právních předpisů upravujících veřejné zdravotní pojištění a</w:t>
      </w:r>
      <w:r w:rsidRPr="00FD304C">
        <w:rPr>
          <w:rFonts w:cs="Arial"/>
          <w:szCs w:val="22"/>
          <w:lang w:val="cs-CZ"/>
        </w:rPr>
        <w:t xml:space="preserve"> poskytování zdravotních služeb.</w:t>
      </w:r>
      <w:r w:rsidR="00484051">
        <w:rPr>
          <w:rFonts w:cs="Arial"/>
          <w:szCs w:val="22"/>
          <w:lang w:val="cs-CZ"/>
        </w:rPr>
        <w:t xml:space="preserve"> </w:t>
      </w:r>
      <w:r w:rsidR="00452684" w:rsidRPr="00FD304C">
        <w:rPr>
          <w:rFonts w:cs="Arial"/>
          <w:szCs w:val="22"/>
          <w:lang w:val="cs-CZ"/>
        </w:rPr>
        <w:t xml:space="preserve">V rámci procesu slučování zůstaly smluvní vztahy zachovány. </w:t>
      </w:r>
      <w:r w:rsidR="00CC6A5C" w:rsidRPr="00FD304C">
        <w:rPr>
          <w:rFonts w:cs="Arial"/>
          <w:szCs w:val="22"/>
          <w:lang w:val="cs-CZ"/>
        </w:rPr>
        <w:t xml:space="preserve">HZP, resp. </w:t>
      </w:r>
      <w:r w:rsidR="00452684" w:rsidRPr="00FD304C">
        <w:rPr>
          <w:rFonts w:cs="Arial"/>
          <w:szCs w:val="22"/>
          <w:lang w:val="cs-CZ"/>
        </w:rPr>
        <w:t xml:space="preserve">ČPZP poskytovatele zdravotních služeb písemně informovala o termínech sloučení, </w:t>
      </w:r>
      <w:r w:rsidR="006900AD" w:rsidRPr="00FD304C">
        <w:rPr>
          <w:rFonts w:cs="Arial"/>
          <w:szCs w:val="22"/>
          <w:lang w:val="cs-CZ"/>
        </w:rPr>
        <w:t xml:space="preserve">o platnosti </w:t>
      </w:r>
      <w:r w:rsidR="00484051">
        <w:rPr>
          <w:rFonts w:cs="Arial"/>
          <w:szCs w:val="22"/>
          <w:lang w:val="cs-CZ"/>
        </w:rPr>
        <w:t>s</w:t>
      </w:r>
      <w:r w:rsidR="006900AD" w:rsidRPr="00FD304C">
        <w:rPr>
          <w:rFonts w:cs="Arial"/>
          <w:szCs w:val="22"/>
          <w:lang w:val="cs-CZ"/>
        </w:rPr>
        <w:t>mluv a</w:t>
      </w:r>
      <w:r w:rsidR="00CC6A5C" w:rsidRPr="00FD304C">
        <w:rPr>
          <w:rFonts w:cs="Arial"/>
          <w:szCs w:val="22"/>
          <w:lang w:val="cs-CZ"/>
        </w:rPr>
        <w:t xml:space="preserve"> </w:t>
      </w:r>
      <w:r w:rsidR="00452684" w:rsidRPr="00FD304C">
        <w:rPr>
          <w:rFonts w:cs="Arial"/>
          <w:szCs w:val="22"/>
          <w:lang w:val="cs-CZ"/>
        </w:rPr>
        <w:t xml:space="preserve">stanovila nové předběžné měsíční zálohy, které uhradila ve sjednané výši. </w:t>
      </w:r>
      <w:r w:rsidR="00CE7194" w:rsidRPr="00FD304C">
        <w:rPr>
          <w:rFonts w:cs="Arial"/>
          <w:szCs w:val="22"/>
          <w:lang w:val="cs-CZ"/>
        </w:rPr>
        <w:t>Následně</w:t>
      </w:r>
      <w:r w:rsidR="00452684" w:rsidRPr="00FD304C">
        <w:rPr>
          <w:rFonts w:cs="Arial"/>
          <w:szCs w:val="22"/>
          <w:lang w:val="cs-CZ"/>
        </w:rPr>
        <w:t xml:space="preserve"> byly</w:t>
      </w:r>
      <w:r w:rsidR="00452684" w:rsidRPr="00484051">
        <w:rPr>
          <w:rFonts w:cs="Arial"/>
          <w:szCs w:val="22"/>
          <w:lang w:val="cs-CZ"/>
        </w:rPr>
        <w:t xml:space="preserve"> </w:t>
      </w:r>
      <w:r w:rsidR="00452684" w:rsidRPr="00FD304C">
        <w:rPr>
          <w:rFonts w:cs="Arial"/>
          <w:szCs w:val="22"/>
          <w:lang w:val="cs-CZ"/>
        </w:rPr>
        <w:t xml:space="preserve">uzavírány s poskytovateli </w:t>
      </w:r>
      <w:r w:rsidR="00280BB7" w:rsidRPr="00FD304C">
        <w:rPr>
          <w:rFonts w:cs="Arial"/>
          <w:szCs w:val="22"/>
          <w:lang w:val="cs-CZ"/>
        </w:rPr>
        <w:t xml:space="preserve">ZS </w:t>
      </w:r>
      <w:r w:rsidR="00452684" w:rsidRPr="00FD304C">
        <w:rPr>
          <w:rFonts w:cs="Arial"/>
          <w:szCs w:val="22"/>
          <w:lang w:val="cs-CZ"/>
        </w:rPr>
        <w:t xml:space="preserve">nové </w:t>
      </w:r>
      <w:r w:rsidR="00484051">
        <w:rPr>
          <w:rFonts w:cs="Arial"/>
          <w:szCs w:val="22"/>
          <w:lang w:val="cs-CZ"/>
        </w:rPr>
        <w:t>s</w:t>
      </w:r>
      <w:r w:rsidR="00452684" w:rsidRPr="00FD304C">
        <w:rPr>
          <w:rFonts w:cs="Arial"/>
          <w:szCs w:val="22"/>
          <w:lang w:val="cs-CZ"/>
        </w:rPr>
        <w:t>mlouvy a</w:t>
      </w:r>
      <w:r w:rsidR="004A0980" w:rsidRPr="00FD304C">
        <w:rPr>
          <w:rFonts w:cs="Arial"/>
          <w:szCs w:val="22"/>
          <w:lang w:val="cs-CZ"/>
        </w:rPr>
        <w:t> </w:t>
      </w:r>
      <w:r w:rsidR="00452684" w:rsidRPr="00FD304C">
        <w:rPr>
          <w:rFonts w:cs="Arial"/>
          <w:szCs w:val="22"/>
          <w:lang w:val="cs-CZ"/>
        </w:rPr>
        <w:t>cenová ujednání</w:t>
      </w:r>
      <w:r w:rsidR="006B42F6" w:rsidRPr="00FD304C">
        <w:rPr>
          <w:rStyle w:val="Znakapoznpodarou"/>
          <w:rFonts w:cs="Arial"/>
          <w:szCs w:val="22"/>
          <w:lang w:val="cs-CZ"/>
        </w:rPr>
        <w:footnoteReference w:id="6"/>
      </w:r>
      <w:r w:rsidR="00452684" w:rsidRPr="00FD304C">
        <w:rPr>
          <w:rFonts w:cs="Arial"/>
          <w:szCs w:val="22"/>
          <w:lang w:val="cs-CZ"/>
        </w:rPr>
        <w:t xml:space="preserve">. </w:t>
      </w:r>
    </w:p>
    <w:p w:rsidR="00F554F1" w:rsidRPr="00FD304C" w:rsidRDefault="00F554F1" w:rsidP="00FD304C">
      <w:pPr>
        <w:rPr>
          <w:rFonts w:cs="Arial"/>
          <w:szCs w:val="22"/>
          <w:lang w:val="cs-CZ"/>
        </w:rPr>
      </w:pPr>
    </w:p>
    <w:p w:rsidR="00DF22A4" w:rsidRPr="00FD304C" w:rsidRDefault="001E0B21" w:rsidP="00FD304C">
      <w:pPr>
        <w:rPr>
          <w:rFonts w:cs="Arial"/>
          <w:lang w:val="cs-CZ"/>
        </w:rPr>
      </w:pPr>
      <w:r w:rsidRPr="00FD304C">
        <w:rPr>
          <w:rFonts w:cs="Arial"/>
          <w:lang w:val="cs-CZ"/>
        </w:rPr>
        <w:t>Zdravotní služby hrazené ze zdravotního pojištění blíže specifikuje zákon</w:t>
      </w:r>
      <w:r w:rsidR="00575FB2" w:rsidRPr="00FD304C">
        <w:rPr>
          <w:rFonts w:cs="Arial"/>
          <w:lang w:val="cs-CZ"/>
        </w:rPr>
        <w:t xml:space="preserve"> č. 48/1997 </w:t>
      </w:r>
      <w:proofErr w:type="gramStart"/>
      <w:r w:rsidR="00575FB2" w:rsidRPr="00FD304C">
        <w:rPr>
          <w:rFonts w:cs="Arial"/>
          <w:lang w:val="cs-CZ"/>
        </w:rPr>
        <w:t>Sb.</w:t>
      </w:r>
      <w:r w:rsidR="00575FB2" w:rsidRPr="00FD304C">
        <w:rPr>
          <w:rFonts w:cs="Arial"/>
          <w:vertAlign w:val="superscript"/>
          <w:lang w:val="cs-CZ"/>
        </w:rPr>
        <w:t>2</w:t>
      </w:r>
      <w:r w:rsidRPr="00051BBA">
        <w:rPr>
          <w:rFonts w:cs="Arial"/>
          <w:lang w:val="cs-CZ"/>
        </w:rPr>
        <w:t xml:space="preserve"> </w:t>
      </w:r>
      <w:r w:rsidR="00F554F1" w:rsidRPr="00FD304C">
        <w:rPr>
          <w:rFonts w:cs="Arial"/>
          <w:lang w:val="cs-CZ"/>
        </w:rPr>
        <w:t>Formy</w:t>
      </w:r>
      <w:proofErr w:type="gramEnd"/>
      <w:r w:rsidR="00F554F1" w:rsidRPr="00FD304C">
        <w:rPr>
          <w:rFonts w:cs="Arial"/>
          <w:lang w:val="cs-CZ"/>
        </w:rPr>
        <w:t xml:space="preserve"> a výše úhrad zdravotních služeb hrazených z veřejného zdravotního pojištění se řídily úhradovými vyhláškami</w:t>
      </w:r>
      <w:r w:rsidR="000F2737" w:rsidRPr="00FD304C">
        <w:rPr>
          <w:rStyle w:val="Znakapoznpodarou"/>
          <w:rFonts w:cs="Arial"/>
          <w:lang w:val="cs-CZ"/>
        </w:rPr>
        <w:footnoteReference w:id="7"/>
      </w:r>
      <w:r w:rsidR="000F47C3" w:rsidRPr="00FD304C">
        <w:rPr>
          <w:rFonts w:cs="Arial"/>
          <w:lang w:val="cs-CZ"/>
        </w:rPr>
        <w:t xml:space="preserve"> vydanými</w:t>
      </w:r>
      <w:r w:rsidR="00F554F1" w:rsidRPr="00FD304C">
        <w:rPr>
          <w:rFonts w:cs="Arial"/>
          <w:lang w:val="cs-CZ"/>
        </w:rPr>
        <w:t xml:space="preserve"> MZ pro dané období.</w:t>
      </w:r>
    </w:p>
    <w:p w:rsidR="00DF22A4" w:rsidRPr="00FD304C" w:rsidRDefault="00DF22A4" w:rsidP="00FD304C">
      <w:pPr>
        <w:rPr>
          <w:rFonts w:cs="Arial"/>
          <w:lang w:val="cs-CZ"/>
        </w:rPr>
      </w:pPr>
    </w:p>
    <w:p w:rsidR="006176A5" w:rsidRPr="00FD304C" w:rsidRDefault="006176A5" w:rsidP="00FD304C">
      <w:pPr>
        <w:rPr>
          <w:rFonts w:cs="Arial"/>
          <w:szCs w:val="22"/>
          <w:lang w:val="cs-CZ"/>
        </w:rPr>
      </w:pPr>
      <w:r w:rsidRPr="00FD304C">
        <w:rPr>
          <w:rFonts w:cs="Arial"/>
          <w:szCs w:val="22"/>
          <w:lang w:val="cs-CZ"/>
        </w:rPr>
        <w:t>Z celkového počtu poskytovatelů ZS v jednotlivých segmentech uvedených v tabulce č.</w:t>
      </w:r>
      <w:r w:rsidR="000C0301" w:rsidRPr="00FD304C">
        <w:rPr>
          <w:rFonts w:cs="Arial"/>
          <w:szCs w:val="22"/>
          <w:lang w:val="cs-CZ"/>
        </w:rPr>
        <w:t> </w:t>
      </w:r>
      <w:r w:rsidRPr="00FD304C">
        <w:rPr>
          <w:rFonts w:cs="Arial"/>
          <w:szCs w:val="22"/>
          <w:lang w:val="cs-CZ"/>
        </w:rPr>
        <w:t>2</w:t>
      </w:r>
      <w:r w:rsidR="000C0301" w:rsidRPr="00FD304C">
        <w:rPr>
          <w:rFonts w:cs="Arial"/>
          <w:szCs w:val="22"/>
          <w:lang w:val="cs-CZ"/>
        </w:rPr>
        <w:t> </w:t>
      </w:r>
      <w:r w:rsidRPr="00FD304C">
        <w:rPr>
          <w:rFonts w:cs="Arial"/>
          <w:szCs w:val="22"/>
          <w:lang w:val="cs-CZ"/>
        </w:rPr>
        <w:t xml:space="preserve">byla kontrolována smluvní dokumentace týkající se 71 poskytovatelů ZS; z toho se jednalo o 18 lůžkových </w:t>
      </w:r>
      <w:r w:rsidR="005C2FCA" w:rsidRPr="00FD304C">
        <w:rPr>
          <w:rFonts w:cs="Arial"/>
          <w:szCs w:val="22"/>
          <w:lang w:val="cs-CZ"/>
        </w:rPr>
        <w:t xml:space="preserve">poskytovatelů </w:t>
      </w:r>
      <w:r w:rsidRPr="00FD304C">
        <w:rPr>
          <w:rFonts w:cs="Arial"/>
          <w:szCs w:val="22"/>
          <w:lang w:val="cs-CZ"/>
        </w:rPr>
        <w:t>ZS, 26 odborných léčebných ústavů, 21 poskytovatelů lázeňských léčebně rehabilitačních služeb</w:t>
      </w:r>
      <w:r w:rsidR="006E6C3C" w:rsidRPr="00FD304C">
        <w:rPr>
          <w:rFonts w:cs="Arial"/>
          <w:szCs w:val="22"/>
          <w:lang w:val="cs-CZ"/>
        </w:rPr>
        <w:t xml:space="preserve"> a šest d</w:t>
      </w:r>
      <w:r w:rsidRPr="00FD304C">
        <w:rPr>
          <w:rFonts w:cs="Arial"/>
          <w:szCs w:val="22"/>
          <w:lang w:val="cs-CZ"/>
        </w:rPr>
        <w:t>odavatelů tzv. cirkulujících zdravotnických prostředků</w:t>
      </w:r>
      <w:r w:rsidR="006E6C3C" w:rsidRPr="00FD304C">
        <w:rPr>
          <w:rFonts w:cs="Arial"/>
          <w:szCs w:val="22"/>
          <w:lang w:val="cs-CZ"/>
        </w:rPr>
        <w:t>.</w:t>
      </w:r>
    </w:p>
    <w:p w:rsidR="00DF22A4" w:rsidRPr="00FD304C" w:rsidRDefault="00DF22A4" w:rsidP="00FD304C">
      <w:pPr>
        <w:rPr>
          <w:rFonts w:cs="Arial"/>
          <w:lang w:val="cs-CZ"/>
        </w:rPr>
      </w:pPr>
    </w:p>
    <w:p w:rsidR="00F554F1" w:rsidRPr="00FD304C" w:rsidRDefault="00150BBC" w:rsidP="00FD304C">
      <w:pPr>
        <w:rPr>
          <w:rFonts w:cs="Arial"/>
          <w:lang w:val="cs-CZ"/>
        </w:rPr>
      </w:pPr>
      <w:r w:rsidRPr="00FD304C">
        <w:rPr>
          <w:rFonts w:cs="Arial"/>
          <w:lang w:val="cs-CZ"/>
        </w:rPr>
        <w:t xml:space="preserve">ČPZP </w:t>
      </w:r>
      <w:r w:rsidR="00DF22A4" w:rsidRPr="00FD304C">
        <w:rPr>
          <w:rFonts w:cs="Arial"/>
          <w:lang w:val="cs-CZ"/>
        </w:rPr>
        <w:t xml:space="preserve">se </w:t>
      </w:r>
      <w:r w:rsidRPr="00FD304C">
        <w:rPr>
          <w:rFonts w:cs="Arial"/>
          <w:lang w:val="cs-CZ"/>
        </w:rPr>
        <w:t xml:space="preserve">v kontrolovaném období </w:t>
      </w:r>
      <w:r w:rsidR="00805A7C" w:rsidRPr="00FD304C">
        <w:rPr>
          <w:rFonts w:cs="Arial"/>
          <w:lang w:val="cs-CZ"/>
        </w:rPr>
        <w:t xml:space="preserve">s poskytovateli ZS </w:t>
      </w:r>
      <w:r w:rsidR="00512410" w:rsidRPr="00FD304C">
        <w:rPr>
          <w:rFonts w:cs="Arial"/>
          <w:lang w:val="cs-CZ"/>
        </w:rPr>
        <w:t xml:space="preserve">dohodla </w:t>
      </w:r>
      <w:r w:rsidR="00F554F1" w:rsidRPr="00FD304C">
        <w:rPr>
          <w:rFonts w:cs="Arial"/>
          <w:lang w:val="cs-CZ"/>
        </w:rPr>
        <w:t>na jiném, individuálním způsobu úhrady a jiném referenč</w:t>
      </w:r>
      <w:r w:rsidR="004D7911" w:rsidRPr="00FD304C">
        <w:rPr>
          <w:rFonts w:cs="Arial"/>
          <w:lang w:val="cs-CZ"/>
        </w:rPr>
        <w:t>ním období</w:t>
      </w:r>
      <w:r w:rsidR="00484051">
        <w:rPr>
          <w:rFonts w:cs="Arial"/>
          <w:lang w:val="cs-CZ"/>
        </w:rPr>
        <w:t>,</w:t>
      </w:r>
      <w:r w:rsidR="004D7911" w:rsidRPr="00FD304C">
        <w:rPr>
          <w:rFonts w:cs="Arial"/>
          <w:lang w:val="cs-CZ"/>
        </w:rPr>
        <w:t xml:space="preserve"> než stanovil</w:t>
      </w:r>
      <w:r w:rsidR="000D1CAD">
        <w:rPr>
          <w:rFonts w:cs="Arial"/>
          <w:lang w:val="cs-CZ"/>
        </w:rPr>
        <w:t>y</w:t>
      </w:r>
      <w:r w:rsidRPr="00FD304C">
        <w:rPr>
          <w:rFonts w:cs="Arial"/>
          <w:lang w:val="cs-CZ"/>
        </w:rPr>
        <w:t xml:space="preserve"> </w:t>
      </w:r>
      <w:r w:rsidR="005A42ED" w:rsidRPr="00FD304C">
        <w:rPr>
          <w:rFonts w:cs="Arial"/>
          <w:lang w:val="cs-CZ"/>
        </w:rPr>
        <w:t>příslušn</w:t>
      </w:r>
      <w:r w:rsidR="000D1CAD">
        <w:rPr>
          <w:rFonts w:cs="Arial"/>
          <w:lang w:val="cs-CZ"/>
        </w:rPr>
        <w:t>é</w:t>
      </w:r>
      <w:r w:rsidR="005A42ED" w:rsidRPr="00FD304C">
        <w:rPr>
          <w:rFonts w:cs="Arial"/>
          <w:lang w:val="cs-CZ"/>
        </w:rPr>
        <w:t xml:space="preserve"> úhradov</w:t>
      </w:r>
      <w:r w:rsidR="000D1CAD">
        <w:rPr>
          <w:rFonts w:cs="Arial"/>
          <w:lang w:val="cs-CZ"/>
        </w:rPr>
        <w:t>é</w:t>
      </w:r>
      <w:r w:rsidR="005A42ED" w:rsidRPr="00FD304C">
        <w:rPr>
          <w:rFonts w:cs="Arial"/>
          <w:lang w:val="cs-CZ"/>
        </w:rPr>
        <w:t xml:space="preserve"> </w:t>
      </w:r>
      <w:r w:rsidRPr="00FD304C">
        <w:rPr>
          <w:rFonts w:cs="Arial"/>
          <w:lang w:val="cs-CZ"/>
        </w:rPr>
        <w:t>vyhlášk</w:t>
      </w:r>
      <w:r w:rsidR="000D1CAD">
        <w:rPr>
          <w:rFonts w:cs="Arial"/>
          <w:lang w:val="cs-CZ"/>
        </w:rPr>
        <w:t>y</w:t>
      </w:r>
      <w:r w:rsidR="009A39C9" w:rsidRPr="00FD304C">
        <w:rPr>
          <w:rFonts w:cs="Arial"/>
          <w:vertAlign w:val="superscript"/>
          <w:lang w:val="cs-CZ"/>
        </w:rPr>
        <w:t>6</w:t>
      </w:r>
      <w:r w:rsidR="00853E58" w:rsidRPr="00FD304C">
        <w:rPr>
          <w:rFonts w:cs="Arial"/>
          <w:lang w:val="cs-CZ"/>
        </w:rPr>
        <w:t xml:space="preserve">. </w:t>
      </w:r>
      <w:r w:rsidR="00853E58" w:rsidRPr="00FD304C">
        <w:rPr>
          <w:rFonts w:cs="Arial"/>
          <w:lang w:val="cs-CZ"/>
        </w:rPr>
        <w:lastRenderedPageBreak/>
        <w:t>Z</w:t>
      </w:r>
      <w:r w:rsidR="00232797" w:rsidRPr="00FD304C">
        <w:rPr>
          <w:rFonts w:cs="Arial"/>
          <w:lang w:val="cs-CZ"/>
        </w:rPr>
        <w:t>ákon</w:t>
      </w:r>
      <w:r w:rsidR="00805A7C" w:rsidRPr="00FD304C">
        <w:rPr>
          <w:rStyle w:val="Znakapoznpodarou"/>
          <w:rFonts w:cs="Arial"/>
          <w:lang w:val="cs-CZ"/>
        </w:rPr>
        <w:footnoteReference w:id="8"/>
      </w:r>
      <w:r w:rsidR="00232797" w:rsidRPr="00FD304C">
        <w:rPr>
          <w:rFonts w:cs="Arial"/>
          <w:lang w:val="cs-CZ"/>
        </w:rPr>
        <w:t xml:space="preserve"> takový postup umožňuje. </w:t>
      </w:r>
      <w:r w:rsidRPr="00FD304C">
        <w:rPr>
          <w:rFonts w:cs="Arial"/>
          <w:lang w:val="cs-CZ"/>
        </w:rPr>
        <w:t>T</w:t>
      </w:r>
      <w:r w:rsidR="00DF22A4" w:rsidRPr="00FD304C">
        <w:rPr>
          <w:rFonts w:cs="Arial"/>
          <w:lang w:val="cs-CZ"/>
        </w:rPr>
        <w:t xml:space="preserve">ímto </w:t>
      </w:r>
      <w:r w:rsidRPr="00FD304C">
        <w:rPr>
          <w:rFonts w:cs="Arial"/>
          <w:lang w:val="cs-CZ"/>
        </w:rPr>
        <w:t xml:space="preserve">způsobem </w:t>
      </w:r>
      <w:r w:rsidR="00996963" w:rsidRPr="00FD304C">
        <w:rPr>
          <w:rFonts w:cs="Arial"/>
          <w:lang w:val="cs-CZ"/>
        </w:rPr>
        <w:t xml:space="preserve">ČPZP </w:t>
      </w:r>
      <w:r w:rsidRPr="00FD304C">
        <w:rPr>
          <w:rFonts w:cs="Arial"/>
          <w:lang w:val="cs-CZ"/>
        </w:rPr>
        <w:t>postupovala i v roce 2010</w:t>
      </w:r>
      <w:r w:rsidR="004D6B96" w:rsidRPr="00FD304C">
        <w:rPr>
          <w:rFonts w:cs="Arial"/>
          <w:lang w:val="cs-CZ"/>
        </w:rPr>
        <w:t>, kdy však nesplnila</w:t>
      </w:r>
      <w:r w:rsidR="00F554F1" w:rsidRPr="00484051">
        <w:rPr>
          <w:rFonts w:cs="Arial"/>
          <w:lang w:val="cs-CZ"/>
        </w:rPr>
        <w:t xml:space="preserve"> </w:t>
      </w:r>
      <w:r w:rsidR="00213EAF" w:rsidRPr="00FD304C">
        <w:rPr>
          <w:rFonts w:cs="Arial"/>
          <w:lang w:val="cs-CZ"/>
        </w:rPr>
        <w:t>zákonem</w:t>
      </w:r>
      <w:r w:rsidR="009A39C9" w:rsidRPr="00FD304C">
        <w:rPr>
          <w:rFonts w:cs="Arial"/>
          <w:vertAlign w:val="superscript"/>
          <w:lang w:val="cs-CZ"/>
        </w:rPr>
        <w:t>7</w:t>
      </w:r>
      <w:r w:rsidR="00213EAF" w:rsidRPr="00FD304C">
        <w:rPr>
          <w:rFonts w:cs="Arial"/>
          <w:lang w:val="cs-CZ"/>
        </w:rPr>
        <w:t xml:space="preserve"> stanovenou</w:t>
      </w:r>
      <w:r w:rsidR="00213EAF" w:rsidRPr="00051BBA">
        <w:rPr>
          <w:rFonts w:cs="Arial"/>
          <w:lang w:val="cs-CZ"/>
        </w:rPr>
        <w:t xml:space="preserve"> </w:t>
      </w:r>
      <w:r w:rsidR="00F554F1" w:rsidRPr="00FD304C">
        <w:rPr>
          <w:rFonts w:cs="Arial"/>
          <w:lang w:val="cs-CZ"/>
        </w:rPr>
        <w:t xml:space="preserve">podmínku dodržení zdravotně pojistného plánu pro </w:t>
      </w:r>
      <w:r w:rsidR="004D6B96" w:rsidRPr="00FD304C">
        <w:rPr>
          <w:rFonts w:cs="Arial"/>
          <w:lang w:val="cs-CZ"/>
        </w:rPr>
        <w:t>uvedený rok</w:t>
      </w:r>
      <w:r w:rsidR="00F554F1" w:rsidRPr="00FD304C">
        <w:rPr>
          <w:rFonts w:cs="Arial"/>
          <w:lang w:val="cs-CZ"/>
        </w:rPr>
        <w:t xml:space="preserve">. </w:t>
      </w:r>
      <w:r w:rsidR="00DF22A4" w:rsidRPr="00FD304C">
        <w:rPr>
          <w:rFonts w:cs="Arial"/>
          <w:lang w:val="cs-CZ"/>
        </w:rPr>
        <w:t xml:space="preserve">Kromě roku 2010 </w:t>
      </w:r>
      <w:r w:rsidR="004D6B96" w:rsidRPr="00FD304C">
        <w:rPr>
          <w:rFonts w:cs="Arial"/>
          <w:lang w:val="cs-CZ"/>
        </w:rPr>
        <w:t>ČPZP zdravotně pojistný plán nepřekročila.</w:t>
      </w:r>
    </w:p>
    <w:p w:rsidR="00887F6E" w:rsidRPr="00FD304C" w:rsidRDefault="00887F6E" w:rsidP="00FD304C">
      <w:pPr>
        <w:rPr>
          <w:rFonts w:cs="Arial"/>
          <w:lang w:val="cs-CZ"/>
        </w:rPr>
      </w:pPr>
    </w:p>
    <w:p w:rsidR="00894D40" w:rsidRPr="00FD304C" w:rsidRDefault="00F44B50" w:rsidP="00FD304C">
      <w:pPr>
        <w:rPr>
          <w:rFonts w:cs="Arial"/>
          <w:szCs w:val="22"/>
          <w:lang w:val="cs-CZ"/>
        </w:rPr>
      </w:pPr>
      <w:r w:rsidRPr="00FD304C">
        <w:rPr>
          <w:rFonts w:cs="Arial"/>
          <w:szCs w:val="22"/>
          <w:lang w:val="cs-CZ"/>
        </w:rPr>
        <w:t>Nad rámec těchto</w:t>
      </w:r>
      <w:r w:rsidR="000F47C3" w:rsidRPr="00FD304C">
        <w:rPr>
          <w:rFonts w:cs="Arial"/>
          <w:szCs w:val="22"/>
          <w:lang w:val="cs-CZ"/>
        </w:rPr>
        <w:t xml:space="preserve"> individuálních</w:t>
      </w:r>
      <w:r w:rsidRPr="00FD304C">
        <w:rPr>
          <w:rFonts w:cs="Arial"/>
          <w:szCs w:val="22"/>
          <w:lang w:val="cs-CZ"/>
        </w:rPr>
        <w:t xml:space="preserve"> </w:t>
      </w:r>
      <w:r w:rsidR="00996963" w:rsidRPr="00FD304C">
        <w:rPr>
          <w:rFonts w:cs="Arial"/>
          <w:szCs w:val="22"/>
          <w:lang w:val="cs-CZ"/>
        </w:rPr>
        <w:t xml:space="preserve">cenových </w:t>
      </w:r>
      <w:r w:rsidRPr="00FD304C">
        <w:rPr>
          <w:rFonts w:cs="Arial"/>
          <w:szCs w:val="22"/>
          <w:lang w:val="cs-CZ"/>
        </w:rPr>
        <w:t>ujednání ČPZP dále uzavírala s n</w:t>
      </w:r>
      <w:r w:rsidR="00DF22A4" w:rsidRPr="00FD304C">
        <w:rPr>
          <w:rFonts w:cs="Arial"/>
          <w:szCs w:val="22"/>
          <w:lang w:val="cs-CZ"/>
        </w:rPr>
        <w:t xml:space="preserve">ěkterými </w:t>
      </w:r>
      <w:r w:rsidR="00B81BBE" w:rsidRPr="00FD304C">
        <w:rPr>
          <w:rFonts w:cs="Arial"/>
          <w:szCs w:val="22"/>
          <w:lang w:val="cs-CZ"/>
        </w:rPr>
        <w:t xml:space="preserve">poskytovateli </w:t>
      </w:r>
      <w:r w:rsidRPr="00FD304C">
        <w:rPr>
          <w:rFonts w:cs="Arial"/>
          <w:szCs w:val="22"/>
          <w:lang w:val="cs-CZ"/>
        </w:rPr>
        <w:t xml:space="preserve">ZS další </w:t>
      </w:r>
      <w:r w:rsidR="00B81BBE" w:rsidRPr="00FD304C">
        <w:rPr>
          <w:rFonts w:cs="Arial"/>
          <w:szCs w:val="22"/>
          <w:lang w:val="cs-CZ"/>
        </w:rPr>
        <w:t>d</w:t>
      </w:r>
      <w:r w:rsidRPr="00FD304C">
        <w:rPr>
          <w:rFonts w:cs="Arial"/>
          <w:szCs w:val="22"/>
          <w:lang w:val="cs-CZ"/>
        </w:rPr>
        <w:t>ohody</w:t>
      </w:r>
      <w:r w:rsidR="00B81BBE" w:rsidRPr="00FD304C">
        <w:rPr>
          <w:rFonts w:cs="Arial"/>
          <w:szCs w:val="22"/>
          <w:lang w:val="cs-CZ"/>
        </w:rPr>
        <w:t xml:space="preserve"> o navýšení </w:t>
      </w:r>
      <w:r w:rsidR="00E0731F" w:rsidRPr="00FD304C">
        <w:rPr>
          <w:rFonts w:cs="Arial"/>
          <w:szCs w:val="22"/>
          <w:lang w:val="cs-CZ"/>
        </w:rPr>
        <w:t xml:space="preserve">objemu a </w:t>
      </w:r>
      <w:r w:rsidR="00B81BBE" w:rsidRPr="00FD304C">
        <w:rPr>
          <w:rFonts w:cs="Arial"/>
          <w:szCs w:val="22"/>
          <w:lang w:val="cs-CZ"/>
        </w:rPr>
        <w:t>úhrad</w:t>
      </w:r>
      <w:r w:rsidR="00E0731F" w:rsidRPr="00FD304C">
        <w:rPr>
          <w:rFonts w:cs="Arial"/>
          <w:szCs w:val="22"/>
          <w:lang w:val="cs-CZ"/>
        </w:rPr>
        <w:t xml:space="preserve"> zdravotních služeb</w:t>
      </w:r>
      <w:r w:rsidRPr="00FD304C">
        <w:rPr>
          <w:rFonts w:cs="Arial"/>
          <w:szCs w:val="22"/>
          <w:lang w:val="cs-CZ"/>
        </w:rPr>
        <w:t xml:space="preserve">. </w:t>
      </w:r>
      <w:r w:rsidR="00853E58" w:rsidRPr="00FD304C">
        <w:rPr>
          <w:rFonts w:cs="Arial"/>
          <w:szCs w:val="22"/>
          <w:lang w:val="cs-CZ"/>
        </w:rPr>
        <w:t xml:space="preserve">Kontrolou příslušné dokumentace bylo například zjištěno, že </w:t>
      </w:r>
      <w:r w:rsidR="00894D40" w:rsidRPr="00FD304C">
        <w:rPr>
          <w:rFonts w:cs="Arial"/>
          <w:szCs w:val="22"/>
          <w:lang w:val="cs-CZ"/>
        </w:rPr>
        <w:t>v letech 2009 až 2013 se šesti poskytovateli ZS (z 18 kontrolovaných</w:t>
      </w:r>
      <w:r w:rsidR="00853E58" w:rsidRPr="00FD304C">
        <w:rPr>
          <w:rFonts w:cs="Arial"/>
          <w:szCs w:val="22"/>
          <w:lang w:val="cs-CZ"/>
        </w:rPr>
        <w:t xml:space="preserve"> případů</w:t>
      </w:r>
      <w:r w:rsidR="00894D40" w:rsidRPr="00FD304C">
        <w:rPr>
          <w:rFonts w:cs="Arial"/>
          <w:szCs w:val="22"/>
          <w:lang w:val="cs-CZ"/>
        </w:rPr>
        <w:t>) sjednala individuální úhrady a</w:t>
      </w:r>
      <w:r w:rsidR="002A626B" w:rsidRPr="00FD304C">
        <w:rPr>
          <w:rFonts w:cs="Arial"/>
          <w:szCs w:val="22"/>
          <w:lang w:val="cs-CZ"/>
        </w:rPr>
        <w:t> </w:t>
      </w:r>
      <w:r w:rsidR="00894D40" w:rsidRPr="00FD304C">
        <w:rPr>
          <w:rFonts w:cs="Arial"/>
          <w:szCs w:val="22"/>
          <w:lang w:val="cs-CZ"/>
        </w:rPr>
        <w:t xml:space="preserve">navýšení úhrad ve výši 184 877 tis. Kč, z toho s jedním poskytovatelem ZS uzavřela </w:t>
      </w:r>
      <w:r w:rsidR="002A626B" w:rsidRPr="00FD304C">
        <w:rPr>
          <w:rFonts w:cs="Arial"/>
          <w:szCs w:val="22"/>
          <w:lang w:val="cs-CZ"/>
        </w:rPr>
        <w:t xml:space="preserve">např. v roce 2011 </w:t>
      </w:r>
      <w:r w:rsidR="00894D40" w:rsidRPr="00FD304C">
        <w:rPr>
          <w:rFonts w:cs="Arial"/>
          <w:szCs w:val="22"/>
          <w:lang w:val="cs-CZ"/>
        </w:rPr>
        <w:t>dohody o navýšení úhrady za specializované zdravotní výkony ve výši 50</w:t>
      </w:r>
      <w:r w:rsidR="00C932A7" w:rsidRPr="00FD304C">
        <w:rPr>
          <w:rFonts w:cs="Arial"/>
          <w:szCs w:val="22"/>
          <w:lang w:val="cs-CZ"/>
        </w:rPr>
        <w:t> </w:t>
      </w:r>
      <w:r w:rsidR="00894D40" w:rsidRPr="00FD304C">
        <w:rPr>
          <w:rFonts w:cs="Arial"/>
          <w:szCs w:val="22"/>
          <w:lang w:val="cs-CZ"/>
        </w:rPr>
        <w:t>mil.</w:t>
      </w:r>
      <w:r w:rsidR="00C932A7" w:rsidRPr="00FD304C">
        <w:rPr>
          <w:rFonts w:cs="Arial"/>
          <w:szCs w:val="22"/>
          <w:lang w:val="cs-CZ"/>
        </w:rPr>
        <w:t> </w:t>
      </w:r>
      <w:r w:rsidR="005C393A" w:rsidRPr="00FD304C">
        <w:rPr>
          <w:rFonts w:cs="Arial"/>
          <w:szCs w:val="22"/>
          <w:lang w:val="cs-CZ"/>
        </w:rPr>
        <w:t>Kč.</w:t>
      </w:r>
    </w:p>
    <w:p w:rsidR="000133F0" w:rsidRPr="00A859AD" w:rsidRDefault="000133F0" w:rsidP="00FD304C">
      <w:pPr>
        <w:rPr>
          <w:rFonts w:cs="Arial"/>
          <w:color w:val="000000" w:themeColor="text1"/>
          <w:szCs w:val="22"/>
          <w:lang w:val="cs-CZ"/>
        </w:rPr>
      </w:pPr>
    </w:p>
    <w:p w:rsidR="005700DD" w:rsidRPr="00FD304C" w:rsidRDefault="003A1580" w:rsidP="00FD304C">
      <w:pPr>
        <w:rPr>
          <w:rFonts w:cs="Arial"/>
          <w:szCs w:val="22"/>
          <w:lang w:val="cs-CZ"/>
        </w:rPr>
      </w:pPr>
      <w:r w:rsidRPr="000E36C4">
        <w:rPr>
          <w:rFonts w:cs="Arial"/>
          <w:color w:val="000000" w:themeColor="text1"/>
          <w:szCs w:val="22"/>
          <w:lang w:val="cs-CZ"/>
        </w:rPr>
        <w:t>Ob</w:t>
      </w:r>
      <w:r w:rsidRPr="00FD304C">
        <w:rPr>
          <w:rFonts w:cs="Arial"/>
          <w:szCs w:val="22"/>
          <w:lang w:val="cs-CZ"/>
        </w:rPr>
        <w:t xml:space="preserve">dobně </w:t>
      </w:r>
      <w:r w:rsidR="00F554F1" w:rsidRPr="00FD304C">
        <w:rPr>
          <w:rFonts w:cs="Arial"/>
          <w:szCs w:val="22"/>
          <w:lang w:val="cs-CZ"/>
        </w:rPr>
        <w:t xml:space="preserve">ČPZP v letech 2010 až 2013 individuálně dohodla cenu za lázeňskou léčebně rehabilitační péči </w:t>
      </w:r>
      <w:r w:rsidR="00C40CBC" w:rsidRPr="00FD304C">
        <w:rPr>
          <w:rFonts w:cs="Arial"/>
          <w:szCs w:val="22"/>
          <w:lang w:val="cs-CZ"/>
        </w:rPr>
        <w:t>(dále také „lázeňsk</w:t>
      </w:r>
      <w:r w:rsidR="00994610" w:rsidRPr="00FD304C">
        <w:rPr>
          <w:rFonts w:cs="Arial"/>
          <w:szCs w:val="22"/>
          <w:lang w:val="cs-CZ"/>
        </w:rPr>
        <w:t>á</w:t>
      </w:r>
      <w:r w:rsidR="00C40CBC" w:rsidRPr="00FD304C">
        <w:rPr>
          <w:rFonts w:cs="Arial"/>
          <w:szCs w:val="22"/>
          <w:lang w:val="cs-CZ"/>
        </w:rPr>
        <w:t xml:space="preserve"> péč</w:t>
      </w:r>
      <w:r w:rsidR="00994610" w:rsidRPr="00FD304C">
        <w:rPr>
          <w:rFonts w:cs="Arial"/>
          <w:szCs w:val="22"/>
          <w:lang w:val="cs-CZ"/>
        </w:rPr>
        <w:t>e</w:t>
      </w:r>
      <w:r w:rsidR="00C40CBC" w:rsidRPr="00FD304C">
        <w:rPr>
          <w:rFonts w:cs="Arial"/>
          <w:szCs w:val="22"/>
          <w:lang w:val="cs-CZ"/>
        </w:rPr>
        <w:t xml:space="preserve">“) </w:t>
      </w:r>
      <w:r w:rsidR="00F554F1" w:rsidRPr="00FD304C">
        <w:rPr>
          <w:rFonts w:cs="Arial"/>
          <w:szCs w:val="22"/>
          <w:lang w:val="cs-CZ"/>
        </w:rPr>
        <w:t xml:space="preserve">s poskytovateli lázeňských léčebně rehabilitačních služeb </w:t>
      </w:r>
      <w:r w:rsidR="00C40CBC" w:rsidRPr="00FD304C">
        <w:rPr>
          <w:rFonts w:cs="Arial"/>
          <w:szCs w:val="22"/>
          <w:lang w:val="cs-CZ"/>
        </w:rPr>
        <w:t xml:space="preserve">(dále také „poskytovatel lázeňských služeb“) </w:t>
      </w:r>
      <w:r w:rsidR="00F554F1" w:rsidRPr="00FD304C">
        <w:rPr>
          <w:rFonts w:cs="Arial"/>
          <w:szCs w:val="22"/>
          <w:lang w:val="cs-CZ"/>
        </w:rPr>
        <w:t xml:space="preserve">a péči v rehabilitačních ústavech. Minimální úhrada </w:t>
      </w:r>
      <w:r w:rsidR="00E0731F" w:rsidRPr="00FD304C">
        <w:rPr>
          <w:rFonts w:cs="Arial"/>
          <w:szCs w:val="22"/>
          <w:lang w:val="cs-CZ"/>
        </w:rPr>
        <w:t xml:space="preserve">za lázeňskou péči </w:t>
      </w:r>
      <w:r w:rsidR="00AF28A7" w:rsidRPr="00FD304C">
        <w:rPr>
          <w:rFonts w:cs="Arial"/>
          <w:szCs w:val="22"/>
          <w:lang w:val="cs-CZ"/>
        </w:rPr>
        <w:t>(komplexní 850 Kč/osobu/den,</w:t>
      </w:r>
      <w:r w:rsidR="00F554F1" w:rsidRPr="00FD304C">
        <w:rPr>
          <w:rFonts w:cs="Arial"/>
          <w:szCs w:val="22"/>
          <w:lang w:val="cs-CZ"/>
        </w:rPr>
        <w:t xml:space="preserve"> </w:t>
      </w:r>
      <w:r w:rsidR="00AF28A7" w:rsidRPr="00FD304C">
        <w:rPr>
          <w:rFonts w:cs="Arial"/>
          <w:szCs w:val="22"/>
          <w:lang w:val="cs-CZ"/>
        </w:rPr>
        <w:t>p</w:t>
      </w:r>
      <w:r w:rsidR="00F554F1" w:rsidRPr="00FD304C">
        <w:rPr>
          <w:rFonts w:cs="Arial"/>
          <w:szCs w:val="22"/>
          <w:lang w:val="cs-CZ"/>
        </w:rPr>
        <w:t>říspěvkov</w:t>
      </w:r>
      <w:r w:rsidR="00AF28A7" w:rsidRPr="00FD304C">
        <w:rPr>
          <w:rFonts w:cs="Arial"/>
          <w:szCs w:val="22"/>
          <w:lang w:val="cs-CZ"/>
        </w:rPr>
        <w:t xml:space="preserve">á </w:t>
      </w:r>
      <w:r w:rsidR="00F554F1" w:rsidRPr="00FD304C">
        <w:rPr>
          <w:rFonts w:cs="Arial"/>
          <w:szCs w:val="22"/>
          <w:lang w:val="cs-CZ"/>
        </w:rPr>
        <w:t>250</w:t>
      </w:r>
      <w:r w:rsidR="00280BB7" w:rsidRPr="00FD304C">
        <w:rPr>
          <w:rFonts w:cs="Arial"/>
          <w:szCs w:val="22"/>
          <w:lang w:val="cs-CZ"/>
        </w:rPr>
        <w:t> </w:t>
      </w:r>
      <w:r w:rsidR="00F554F1" w:rsidRPr="00FD304C">
        <w:rPr>
          <w:rFonts w:cs="Arial"/>
          <w:szCs w:val="22"/>
          <w:lang w:val="cs-CZ"/>
        </w:rPr>
        <w:t>Kč/osobu/den) stanovená úhradovou vyhláškou</w:t>
      </w:r>
      <w:r w:rsidR="007E0E47" w:rsidRPr="00FD304C">
        <w:rPr>
          <w:rFonts w:cs="Arial"/>
          <w:szCs w:val="22"/>
          <w:vertAlign w:val="superscript"/>
          <w:lang w:val="cs-CZ"/>
        </w:rPr>
        <w:t>6</w:t>
      </w:r>
      <w:r w:rsidR="00AF28A7" w:rsidRPr="00FD304C">
        <w:rPr>
          <w:rFonts w:cs="Arial"/>
          <w:szCs w:val="22"/>
          <w:lang w:val="cs-CZ"/>
        </w:rPr>
        <w:t xml:space="preserve"> byla ČPZP dodržena; maximální úhrada vyhláškou stanovena nebyla. </w:t>
      </w:r>
      <w:r w:rsidR="00F554F1" w:rsidRPr="00FD304C">
        <w:rPr>
          <w:rFonts w:cs="Arial"/>
          <w:szCs w:val="22"/>
          <w:lang w:val="cs-CZ"/>
        </w:rPr>
        <w:t xml:space="preserve"> </w:t>
      </w:r>
    </w:p>
    <w:p w:rsidR="00994610" w:rsidRPr="00FD304C" w:rsidRDefault="00994610" w:rsidP="00FD304C">
      <w:pPr>
        <w:rPr>
          <w:rFonts w:cs="Arial"/>
          <w:szCs w:val="22"/>
          <w:lang w:val="cs-CZ"/>
        </w:rPr>
      </w:pPr>
    </w:p>
    <w:p w:rsidR="00D11700" w:rsidRPr="00FD304C" w:rsidRDefault="00D11700" w:rsidP="00FD304C">
      <w:pPr>
        <w:rPr>
          <w:rFonts w:cs="Arial"/>
          <w:szCs w:val="22"/>
          <w:lang w:val="cs-CZ"/>
        </w:rPr>
      </w:pPr>
      <w:r w:rsidRPr="00FD304C">
        <w:rPr>
          <w:rFonts w:cs="Arial"/>
          <w:szCs w:val="22"/>
          <w:lang w:val="cs-CZ"/>
        </w:rPr>
        <w:t>V cenových ujednáních uzavřených ČPZP s 21 poskytovateli lázeňských služeb bylo u</w:t>
      </w:r>
      <w:r w:rsidR="00C932A7" w:rsidRPr="00FD304C">
        <w:rPr>
          <w:rFonts w:cs="Arial"/>
          <w:szCs w:val="22"/>
          <w:lang w:val="cs-CZ"/>
        </w:rPr>
        <w:t> </w:t>
      </w:r>
      <w:r w:rsidRPr="00FD304C">
        <w:rPr>
          <w:rFonts w:cs="Arial"/>
          <w:szCs w:val="22"/>
          <w:lang w:val="cs-CZ"/>
        </w:rPr>
        <w:t>12</w:t>
      </w:r>
      <w:r w:rsidR="00C932A7" w:rsidRPr="00FD304C">
        <w:rPr>
          <w:rFonts w:cs="Arial"/>
          <w:szCs w:val="22"/>
          <w:lang w:val="cs-CZ"/>
        </w:rPr>
        <w:t> </w:t>
      </w:r>
      <w:r w:rsidRPr="00FD304C">
        <w:rPr>
          <w:rFonts w:cs="Arial"/>
          <w:szCs w:val="22"/>
          <w:lang w:val="cs-CZ"/>
        </w:rPr>
        <w:t>z</w:t>
      </w:r>
      <w:r w:rsidR="00C932A7" w:rsidRPr="00FD304C">
        <w:rPr>
          <w:rFonts w:cs="Arial"/>
          <w:szCs w:val="22"/>
          <w:lang w:val="cs-CZ"/>
        </w:rPr>
        <w:t> </w:t>
      </w:r>
      <w:r w:rsidRPr="00FD304C">
        <w:rPr>
          <w:rFonts w:cs="Arial"/>
          <w:szCs w:val="22"/>
          <w:lang w:val="cs-CZ"/>
        </w:rPr>
        <w:t>nich zjištěno u shodných indikací rozpětí od 142 do 423 Kč za léčení na osobu a den.</w:t>
      </w:r>
    </w:p>
    <w:p w:rsidR="00D11700" w:rsidRPr="00FD304C" w:rsidRDefault="00D11700" w:rsidP="00FD304C">
      <w:pPr>
        <w:rPr>
          <w:rFonts w:cs="Arial"/>
          <w:szCs w:val="22"/>
          <w:lang w:val="cs-CZ"/>
        </w:rPr>
      </w:pPr>
    </w:p>
    <w:p w:rsidR="00567444" w:rsidRPr="00FD304C" w:rsidRDefault="00567444" w:rsidP="00FD304C">
      <w:pPr>
        <w:rPr>
          <w:rFonts w:cs="Arial"/>
          <w:szCs w:val="22"/>
          <w:lang w:val="cs-CZ"/>
        </w:rPr>
      </w:pPr>
      <w:r w:rsidRPr="00FD304C">
        <w:rPr>
          <w:rFonts w:cs="Arial"/>
          <w:szCs w:val="22"/>
          <w:lang w:val="cs-CZ"/>
        </w:rPr>
        <w:t>Indikační seznam nespecifikuje skupiny pro přímé překlady (z akutního lůžka k poskytovateli lázeňských služeb). ČPZP se třemi poskytovateli lázeňských služeb individuálně sjednala přímé překlady k šesti indikacím</w:t>
      </w:r>
      <w:r w:rsidR="000D1CAD">
        <w:rPr>
          <w:rFonts w:cs="Arial"/>
          <w:szCs w:val="22"/>
          <w:lang w:val="cs-CZ"/>
        </w:rPr>
        <w:t>,</w:t>
      </w:r>
      <w:r w:rsidRPr="00FD304C">
        <w:rPr>
          <w:rFonts w:cs="Arial"/>
          <w:szCs w:val="22"/>
          <w:lang w:val="cs-CZ"/>
        </w:rPr>
        <w:t xml:space="preserve"> </w:t>
      </w:r>
      <w:r w:rsidR="000D1CAD">
        <w:rPr>
          <w:rFonts w:cs="Arial"/>
          <w:szCs w:val="22"/>
          <w:lang w:val="cs-CZ"/>
        </w:rPr>
        <w:t>čímž</w:t>
      </w:r>
      <w:r w:rsidRPr="00FD304C">
        <w:rPr>
          <w:rFonts w:cs="Arial"/>
          <w:szCs w:val="22"/>
          <w:lang w:val="cs-CZ"/>
        </w:rPr>
        <w:t xml:space="preserve"> </w:t>
      </w:r>
      <w:r w:rsidR="000D1CAD">
        <w:rPr>
          <w:rFonts w:cs="Arial"/>
          <w:szCs w:val="22"/>
          <w:lang w:val="cs-CZ"/>
        </w:rPr>
        <w:t xml:space="preserve">se </w:t>
      </w:r>
      <w:r w:rsidRPr="00FD304C">
        <w:rPr>
          <w:rFonts w:cs="Arial"/>
          <w:szCs w:val="22"/>
          <w:lang w:val="cs-CZ"/>
        </w:rPr>
        <w:t>navýšila cen</w:t>
      </w:r>
      <w:r w:rsidR="000D1CAD">
        <w:rPr>
          <w:rFonts w:cs="Arial"/>
          <w:szCs w:val="22"/>
          <w:lang w:val="cs-CZ"/>
        </w:rPr>
        <w:t>a za léčení na osobu a den v </w:t>
      </w:r>
      <w:r w:rsidRPr="00FD304C">
        <w:rPr>
          <w:rFonts w:cs="Arial"/>
          <w:szCs w:val="22"/>
          <w:lang w:val="cs-CZ"/>
        </w:rPr>
        <w:t>rozpětí od 61 do 426 Kč.</w:t>
      </w:r>
    </w:p>
    <w:p w:rsidR="00567444" w:rsidRPr="00FD304C" w:rsidRDefault="00567444" w:rsidP="00FD304C">
      <w:pPr>
        <w:rPr>
          <w:rFonts w:cs="Arial"/>
          <w:szCs w:val="22"/>
          <w:lang w:val="cs-CZ"/>
        </w:rPr>
      </w:pPr>
    </w:p>
    <w:p w:rsidR="00F554F1" w:rsidRPr="00FD304C" w:rsidRDefault="00973B66" w:rsidP="00FD304C">
      <w:pPr>
        <w:contextualSpacing/>
        <w:rPr>
          <w:rFonts w:cs="Arial"/>
          <w:b/>
          <w:lang w:val="cs-CZ"/>
        </w:rPr>
      </w:pPr>
      <w:r w:rsidRPr="00FD304C">
        <w:rPr>
          <w:rFonts w:cs="Arial"/>
          <w:szCs w:val="22"/>
          <w:lang w:val="cs-CZ"/>
        </w:rPr>
        <w:t>Z předložené dokumentace bylo zjištěno, že u</w:t>
      </w:r>
      <w:r w:rsidR="00575FB2" w:rsidRPr="00FD304C">
        <w:rPr>
          <w:rFonts w:cs="Arial"/>
          <w:szCs w:val="22"/>
          <w:lang w:val="cs-CZ"/>
        </w:rPr>
        <w:t xml:space="preserve"> rehabilitačních ústavů </w:t>
      </w:r>
      <w:r w:rsidR="00ED005C" w:rsidRPr="00FD304C">
        <w:rPr>
          <w:rFonts w:cs="Arial"/>
          <w:szCs w:val="22"/>
          <w:lang w:val="cs-CZ"/>
        </w:rPr>
        <w:t>došlo u 13 z 26 kontrolovaných případů</w:t>
      </w:r>
      <w:r w:rsidR="00ED005C">
        <w:rPr>
          <w:rFonts w:cs="Arial"/>
          <w:szCs w:val="22"/>
          <w:lang w:val="cs-CZ"/>
        </w:rPr>
        <w:t xml:space="preserve"> </w:t>
      </w:r>
      <w:r w:rsidR="00575FB2" w:rsidRPr="00FD304C">
        <w:rPr>
          <w:rFonts w:cs="Arial"/>
          <w:szCs w:val="22"/>
          <w:lang w:val="cs-CZ"/>
        </w:rPr>
        <w:t>k navýšení paušální sazby</w:t>
      </w:r>
      <w:r w:rsidRPr="00FD304C">
        <w:rPr>
          <w:rFonts w:cs="Arial"/>
          <w:szCs w:val="22"/>
          <w:lang w:val="cs-CZ"/>
        </w:rPr>
        <w:t xml:space="preserve">, </w:t>
      </w:r>
      <w:r w:rsidR="00575FB2" w:rsidRPr="00FD304C">
        <w:rPr>
          <w:rFonts w:cs="Arial"/>
          <w:szCs w:val="22"/>
          <w:lang w:val="cs-CZ"/>
        </w:rPr>
        <w:t>a to až o 264,47 Kč/osobu/den.</w:t>
      </w:r>
    </w:p>
    <w:p w:rsidR="00BE1076" w:rsidRPr="00A859AD" w:rsidRDefault="00BE1076" w:rsidP="00FD304C">
      <w:pPr>
        <w:contextualSpacing/>
        <w:rPr>
          <w:rFonts w:cs="Arial"/>
          <w:szCs w:val="22"/>
          <w:lang w:val="cs-CZ"/>
        </w:rPr>
      </w:pPr>
    </w:p>
    <w:p w:rsidR="00C16EEA" w:rsidRPr="00FD304C" w:rsidRDefault="00C16EEA" w:rsidP="00FD304C">
      <w:pPr>
        <w:contextualSpacing/>
        <w:rPr>
          <w:rFonts w:cs="Arial"/>
          <w:b/>
          <w:lang w:val="cs-CZ"/>
        </w:rPr>
      </w:pPr>
      <w:r w:rsidRPr="00FD304C">
        <w:rPr>
          <w:rFonts w:cs="Arial"/>
          <w:b/>
          <w:szCs w:val="22"/>
          <w:lang w:val="cs-CZ"/>
        </w:rPr>
        <w:t xml:space="preserve">NKÚ spatřuje značná rizika v možnosti zdravotních pojišťoven uzavírat </w:t>
      </w:r>
      <w:r w:rsidR="00BE0027" w:rsidRPr="00FD304C">
        <w:rPr>
          <w:rFonts w:cs="Arial"/>
          <w:b/>
          <w:szCs w:val="22"/>
          <w:lang w:val="cs-CZ"/>
        </w:rPr>
        <w:t xml:space="preserve">v rámci veřejného zdravotního pojištění </w:t>
      </w:r>
      <w:r w:rsidRPr="00FD304C">
        <w:rPr>
          <w:rFonts w:cs="Arial"/>
          <w:b/>
          <w:szCs w:val="22"/>
          <w:lang w:val="cs-CZ"/>
        </w:rPr>
        <w:t>jakákoli cenová ujednání bez stanovení určitých hranic či omezení nebo zvláštních podmínek. Tento postup, který platné právní předpisy připouštějí, nemá žádná transparentní pravidla a umožňuje subjektivní a</w:t>
      </w:r>
      <w:r w:rsidR="00C932A7" w:rsidRPr="00FD304C">
        <w:rPr>
          <w:rFonts w:cs="Arial"/>
          <w:b/>
          <w:szCs w:val="22"/>
          <w:lang w:val="cs-CZ"/>
        </w:rPr>
        <w:t> </w:t>
      </w:r>
      <w:r w:rsidRPr="00FD304C">
        <w:rPr>
          <w:rFonts w:cs="Arial"/>
          <w:b/>
          <w:szCs w:val="22"/>
          <w:lang w:val="cs-CZ"/>
        </w:rPr>
        <w:t>nerovný přístup zdravotních pojišťoven vůči poskytovatelům zdravotních služeb</w:t>
      </w:r>
      <w:r w:rsidR="004030D4" w:rsidRPr="00FD304C">
        <w:rPr>
          <w:rFonts w:cs="Arial"/>
          <w:b/>
          <w:szCs w:val="22"/>
          <w:lang w:val="cs-CZ"/>
        </w:rPr>
        <w:t>.</w:t>
      </w:r>
    </w:p>
    <w:p w:rsidR="00C16EEA" w:rsidRPr="00A859AD" w:rsidRDefault="00C16EEA" w:rsidP="000E36C4">
      <w:pPr>
        <w:pStyle w:val="Odstavecseseznamem"/>
        <w:ind w:left="0"/>
        <w:outlineLvl w:val="2"/>
        <w:rPr>
          <w:rFonts w:cs="Arial"/>
          <w:szCs w:val="22"/>
          <w:lang w:val="cs-CZ"/>
        </w:rPr>
      </w:pPr>
    </w:p>
    <w:p w:rsidR="003F6585" w:rsidRPr="00FD304C" w:rsidRDefault="004B7B9E" w:rsidP="00FD304C">
      <w:pPr>
        <w:tabs>
          <w:tab w:val="left" w:pos="567"/>
        </w:tabs>
        <w:outlineLvl w:val="2"/>
        <w:rPr>
          <w:rFonts w:cs="Arial"/>
          <w:b/>
          <w:szCs w:val="22"/>
          <w:lang w:val="cs-CZ"/>
        </w:rPr>
      </w:pPr>
      <w:r w:rsidRPr="00FD304C">
        <w:rPr>
          <w:rFonts w:cs="Arial"/>
          <w:b/>
          <w:szCs w:val="22"/>
          <w:lang w:val="cs-CZ"/>
        </w:rPr>
        <w:t>Seznam zdravotních výkonů</w:t>
      </w:r>
    </w:p>
    <w:p w:rsidR="00B734E9" w:rsidRDefault="00B734E9" w:rsidP="00FD304C">
      <w:pPr>
        <w:rPr>
          <w:rFonts w:cs="Arial"/>
          <w:szCs w:val="22"/>
          <w:lang w:val="cs-CZ"/>
        </w:rPr>
      </w:pPr>
    </w:p>
    <w:p w:rsidR="009C26A6" w:rsidRDefault="00E632D3" w:rsidP="00FD304C">
      <w:pPr>
        <w:rPr>
          <w:rFonts w:cs="Arial"/>
          <w:szCs w:val="22"/>
          <w:lang w:val="cs-CZ"/>
        </w:rPr>
      </w:pPr>
      <w:r w:rsidRPr="00FD304C">
        <w:rPr>
          <w:rFonts w:cs="Arial"/>
          <w:szCs w:val="22"/>
          <w:lang w:val="cs-CZ"/>
        </w:rPr>
        <w:t xml:space="preserve">Na základě zákonného zmocnění vydává MZ </w:t>
      </w:r>
      <w:r w:rsidR="00ED005C">
        <w:rPr>
          <w:rFonts w:cs="Arial"/>
          <w:szCs w:val="22"/>
          <w:lang w:val="cs-CZ"/>
        </w:rPr>
        <w:t>s</w:t>
      </w:r>
      <w:r w:rsidR="003F6585" w:rsidRPr="00FD304C">
        <w:rPr>
          <w:rFonts w:cs="Arial"/>
          <w:szCs w:val="22"/>
          <w:lang w:val="cs-CZ"/>
        </w:rPr>
        <w:t>eznam zdravotních výkonů</w:t>
      </w:r>
      <w:r w:rsidR="003F6585" w:rsidRPr="00FD304C">
        <w:rPr>
          <w:rFonts w:cs="Arial"/>
          <w:color w:val="548DD4" w:themeColor="text2" w:themeTint="99"/>
          <w:szCs w:val="22"/>
          <w:lang w:val="cs-CZ"/>
        </w:rPr>
        <w:t xml:space="preserve"> </w:t>
      </w:r>
      <w:r w:rsidR="003F6585" w:rsidRPr="00FD304C">
        <w:rPr>
          <w:rFonts w:cs="Arial"/>
          <w:szCs w:val="22"/>
          <w:lang w:val="cs-CZ"/>
        </w:rPr>
        <w:t>s bodovými hodnotami</w:t>
      </w:r>
      <w:r w:rsidR="00997F52" w:rsidRPr="00FD304C">
        <w:rPr>
          <w:rFonts w:cs="Arial"/>
          <w:szCs w:val="22"/>
          <w:lang w:val="cs-CZ"/>
        </w:rPr>
        <w:t xml:space="preserve"> (dále také </w:t>
      </w:r>
      <w:r w:rsidR="004B7B9E" w:rsidRPr="00FD304C">
        <w:rPr>
          <w:rFonts w:cs="Arial"/>
          <w:szCs w:val="22"/>
          <w:lang w:val="cs-CZ"/>
        </w:rPr>
        <w:t>„</w:t>
      </w:r>
      <w:r w:rsidR="00997F52" w:rsidRPr="00FD304C">
        <w:rPr>
          <w:rFonts w:cs="Arial"/>
          <w:szCs w:val="22"/>
          <w:lang w:val="cs-CZ"/>
        </w:rPr>
        <w:t>Seznam</w:t>
      </w:r>
      <w:r w:rsidR="004B7B9E" w:rsidRPr="00FD304C">
        <w:rPr>
          <w:rFonts w:cs="Arial"/>
          <w:szCs w:val="22"/>
          <w:lang w:val="cs-CZ"/>
        </w:rPr>
        <w:t>“</w:t>
      </w:r>
      <w:r w:rsidR="00997F52" w:rsidRPr="00FD304C">
        <w:rPr>
          <w:rFonts w:cs="Arial"/>
          <w:szCs w:val="22"/>
          <w:lang w:val="cs-CZ"/>
        </w:rPr>
        <w:t>)</w:t>
      </w:r>
      <w:r w:rsidR="003F6585" w:rsidRPr="00FD304C">
        <w:rPr>
          <w:rFonts w:cs="Arial"/>
          <w:szCs w:val="22"/>
          <w:lang w:val="cs-CZ"/>
        </w:rPr>
        <w:t xml:space="preserve"> </w:t>
      </w:r>
      <w:r w:rsidRPr="00FD304C">
        <w:rPr>
          <w:rFonts w:cs="Arial"/>
          <w:szCs w:val="22"/>
          <w:lang w:val="cs-CZ"/>
        </w:rPr>
        <w:t>formou</w:t>
      </w:r>
      <w:r w:rsidR="00F027F2" w:rsidRPr="00FD304C">
        <w:rPr>
          <w:rFonts w:cs="Arial"/>
          <w:szCs w:val="22"/>
          <w:lang w:val="cs-CZ"/>
        </w:rPr>
        <w:t xml:space="preserve"> vyhlášky</w:t>
      </w:r>
      <w:r w:rsidR="0031103D" w:rsidRPr="00FD304C">
        <w:rPr>
          <w:rStyle w:val="Znakapoznpodarou"/>
          <w:rFonts w:cs="Arial"/>
          <w:szCs w:val="22"/>
          <w:lang w:val="cs-CZ"/>
        </w:rPr>
        <w:footnoteReference w:id="9"/>
      </w:r>
      <w:r w:rsidR="003F6585" w:rsidRPr="00FD304C">
        <w:rPr>
          <w:rFonts w:cs="Arial"/>
          <w:szCs w:val="22"/>
          <w:lang w:val="cs-CZ"/>
        </w:rPr>
        <w:t>. Kontrolou bylo zjištěno, že ČPZP opakovaně, tj. v roce 2011, 2012 i 2013</w:t>
      </w:r>
      <w:r w:rsidR="000D1CAD">
        <w:rPr>
          <w:rFonts w:cs="Arial"/>
          <w:szCs w:val="22"/>
          <w:lang w:val="cs-CZ"/>
        </w:rPr>
        <w:t>,</w:t>
      </w:r>
      <w:r w:rsidR="003F6585" w:rsidRPr="00FD304C">
        <w:rPr>
          <w:rFonts w:cs="Arial"/>
          <w:szCs w:val="22"/>
          <w:lang w:val="cs-CZ"/>
        </w:rPr>
        <w:t xml:space="preserve"> sm</w:t>
      </w:r>
      <w:r w:rsidR="002B72C9" w:rsidRPr="00FD304C">
        <w:rPr>
          <w:rFonts w:cs="Arial"/>
          <w:szCs w:val="22"/>
          <w:lang w:val="cs-CZ"/>
        </w:rPr>
        <w:t xml:space="preserve">luvně dohodla </w:t>
      </w:r>
      <w:r w:rsidR="009C26A6" w:rsidRPr="00FD304C">
        <w:rPr>
          <w:rFonts w:cs="Arial"/>
          <w:szCs w:val="22"/>
          <w:lang w:val="cs-CZ"/>
        </w:rPr>
        <w:t xml:space="preserve">s jedním z poskytovatelů ZS </w:t>
      </w:r>
      <w:r w:rsidR="002B72C9" w:rsidRPr="00FD304C">
        <w:rPr>
          <w:rFonts w:cs="Arial"/>
          <w:szCs w:val="22"/>
          <w:lang w:val="cs-CZ"/>
        </w:rPr>
        <w:t>úhradu zdravotní</w:t>
      </w:r>
      <w:r w:rsidR="00570903" w:rsidRPr="00FD304C">
        <w:rPr>
          <w:rFonts w:cs="Arial"/>
          <w:szCs w:val="22"/>
          <w:lang w:val="cs-CZ"/>
        </w:rPr>
        <w:t>ch</w:t>
      </w:r>
      <w:r w:rsidR="002B72C9" w:rsidRPr="00FD304C">
        <w:rPr>
          <w:rFonts w:cs="Arial"/>
          <w:szCs w:val="22"/>
          <w:lang w:val="cs-CZ"/>
        </w:rPr>
        <w:t xml:space="preserve"> výkon</w:t>
      </w:r>
      <w:r w:rsidR="00570903" w:rsidRPr="00FD304C">
        <w:rPr>
          <w:rFonts w:cs="Arial"/>
          <w:szCs w:val="22"/>
          <w:lang w:val="cs-CZ"/>
        </w:rPr>
        <w:t>ů</w:t>
      </w:r>
      <w:r w:rsidR="00F027F2" w:rsidRPr="00FD304C">
        <w:rPr>
          <w:rFonts w:cs="Arial"/>
          <w:szCs w:val="22"/>
          <w:lang w:val="cs-CZ"/>
        </w:rPr>
        <w:t xml:space="preserve"> v </w:t>
      </w:r>
      <w:r w:rsidR="00997F52" w:rsidRPr="00FD304C">
        <w:rPr>
          <w:rFonts w:cs="Arial"/>
          <w:szCs w:val="22"/>
          <w:lang w:val="cs-CZ"/>
        </w:rPr>
        <w:t>S</w:t>
      </w:r>
      <w:r w:rsidR="003F6585" w:rsidRPr="00FD304C">
        <w:rPr>
          <w:rFonts w:cs="Arial"/>
          <w:szCs w:val="22"/>
          <w:lang w:val="cs-CZ"/>
        </w:rPr>
        <w:t xml:space="preserve">eznamu </w:t>
      </w:r>
      <w:r w:rsidRPr="00FD304C">
        <w:rPr>
          <w:rFonts w:cs="Arial"/>
          <w:szCs w:val="22"/>
          <w:lang w:val="cs-CZ"/>
        </w:rPr>
        <w:t>neuvedených</w:t>
      </w:r>
      <w:r w:rsidR="003F6585" w:rsidRPr="00FD304C">
        <w:rPr>
          <w:rFonts w:cs="Arial"/>
          <w:szCs w:val="22"/>
          <w:lang w:val="cs-CZ"/>
        </w:rPr>
        <w:t xml:space="preserve">, a </w:t>
      </w:r>
      <w:r w:rsidRPr="00FD304C">
        <w:rPr>
          <w:rFonts w:cs="Arial"/>
          <w:szCs w:val="22"/>
          <w:lang w:val="cs-CZ"/>
        </w:rPr>
        <w:t>tedy i bez stanovených bodových hodnot. Ve výjimečných případech může sice zdravotní pojišťovna hradit zdravotní služby jinak zdravotní pojišťovnou nehrazené, avšak pouze v případě</w:t>
      </w:r>
      <w:r w:rsidR="002A626B" w:rsidRPr="00FD304C">
        <w:rPr>
          <w:rFonts w:cs="Arial"/>
          <w:szCs w:val="22"/>
          <w:lang w:val="cs-CZ"/>
        </w:rPr>
        <w:t>,</w:t>
      </w:r>
      <w:r w:rsidRPr="00FD304C">
        <w:rPr>
          <w:rFonts w:cs="Arial"/>
          <w:szCs w:val="22"/>
          <w:lang w:val="cs-CZ"/>
        </w:rPr>
        <w:t xml:space="preserve"> je-li jejich poskytnutí jedinou možností z hlediska zdravotního stavu pojištěnce.</w:t>
      </w:r>
    </w:p>
    <w:p w:rsidR="00B734E9" w:rsidRDefault="00B734E9" w:rsidP="00FD304C">
      <w:pPr>
        <w:rPr>
          <w:rFonts w:cs="Arial"/>
          <w:szCs w:val="22"/>
          <w:lang w:val="cs-CZ"/>
        </w:rPr>
      </w:pPr>
    </w:p>
    <w:p w:rsidR="00570903" w:rsidRPr="00FD304C" w:rsidRDefault="009C26A6" w:rsidP="00FD304C">
      <w:pPr>
        <w:rPr>
          <w:rFonts w:cs="Arial"/>
          <w:szCs w:val="22"/>
          <w:lang w:val="cs-CZ"/>
        </w:rPr>
      </w:pPr>
      <w:r w:rsidRPr="00FD304C">
        <w:rPr>
          <w:rFonts w:cs="Arial"/>
          <w:szCs w:val="22"/>
          <w:lang w:val="cs-CZ"/>
        </w:rPr>
        <w:t xml:space="preserve">Seznam zdravotních výkonů byl v uvedených letech doplňován, nikoli však o </w:t>
      </w:r>
      <w:r w:rsidR="00E632D3" w:rsidRPr="00FD304C">
        <w:rPr>
          <w:rFonts w:cs="Arial"/>
          <w:szCs w:val="22"/>
          <w:lang w:val="cs-CZ"/>
        </w:rPr>
        <w:t>zjištěné</w:t>
      </w:r>
      <w:r w:rsidR="00775971" w:rsidRPr="00FD304C">
        <w:rPr>
          <w:rFonts w:cs="Arial"/>
          <w:szCs w:val="22"/>
          <w:lang w:val="cs-CZ"/>
        </w:rPr>
        <w:t xml:space="preserve"> </w:t>
      </w:r>
      <w:r w:rsidR="00E92B35" w:rsidRPr="00FD304C">
        <w:rPr>
          <w:rFonts w:cs="Arial"/>
          <w:szCs w:val="22"/>
          <w:lang w:val="cs-CZ"/>
        </w:rPr>
        <w:t xml:space="preserve">zdravotní </w:t>
      </w:r>
      <w:r w:rsidR="00775971" w:rsidRPr="00FD304C">
        <w:rPr>
          <w:rFonts w:cs="Arial"/>
          <w:szCs w:val="22"/>
          <w:lang w:val="cs-CZ"/>
        </w:rPr>
        <w:t>výkony</w:t>
      </w:r>
      <w:r w:rsidRPr="00FD304C">
        <w:rPr>
          <w:rFonts w:cs="Arial"/>
          <w:szCs w:val="22"/>
          <w:lang w:val="cs-CZ"/>
        </w:rPr>
        <w:t>. N</w:t>
      </w:r>
      <w:r w:rsidR="00570903" w:rsidRPr="00FD304C">
        <w:rPr>
          <w:rFonts w:cs="Arial"/>
          <w:szCs w:val="22"/>
          <w:lang w:val="cs-CZ"/>
        </w:rPr>
        <w:t xml:space="preserve">ávrhy </w:t>
      </w:r>
      <w:r w:rsidRPr="00FD304C">
        <w:rPr>
          <w:rFonts w:cs="Arial"/>
          <w:szCs w:val="22"/>
          <w:lang w:val="cs-CZ"/>
        </w:rPr>
        <w:t xml:space="preserve">na zařazení zdravotních výkonů do Seznamu </w:t>
      </w:r>
      <w:r w:rsidR="00F027F2" w:rsidRPr="00FD304C">
        <w:rPr>
          <w:rFonts w:cs="Arial"/>
          <w:szCs w:val="22"/>
          <w:lang w:val="cs-CZ"/>
        </w:rPr>
        <w:t>mohou podávat i</w:t>
      </w:r>
      <w:r w:rsidR="002A626B" w:rsidRPr="00FD304C">
        <w:rPr>
          <w:rFonts w:cs="Arial"/>
          <w:szCs w:val="22"/>
          <w:lang w:val="cs-CZ"/>
        </w:rPr>
        <w:t> </w:t>
      </w:r>
      <w:r w:rsidR="00F027F2" w:rsidRPr="00FD304C">
        <w:rPr>
          <w:rFonts w:cs="Arial"/>
          <w:szCs w:val="22"/>
          <w:lang w:val="cs-CZ"/>
        </w:rPr>
        <w:t xml:space="preserve">zdravotní pojišťovny. ČPZP tento návrh nepodala. </w:t>
      </w:r>
    </w:p>
    <w:p w:rsidR="006B42F6" w:rsidRPr="00FD304C" w:rsidRDefault="006B42F6" w:rsidP="00FD304C">
      <w:pPr>
        <w:rPr>
          <w:rFonts w:cs="Arial"/>
          <w:b/>
          <w:lang w:val="cs-CZ"/>
        </w:rPr>
      </w:pPr>
    </w:p>
    <w:p w:rsidR="001D6B2F" w:rsidRPr="00FD304C" w:rsidRDefault="00B549EC" w:rsidP="00FD304C">
      <w:pPr>
        <w:rPr>
          <w:rFonts w:cs="Arial"/>
          <w:b/>
          <w:lang w:val="cs-CZ"/>
        </w:rPr>
      </w:pPr>
      <w:r w:rsidRPr="00FD304C">
        <w:rPr>
          <w:rFonts w:cs="Arial"/>
          <w:b/>
          <w:szCs w:val="22"/>
          <w:lang w:val="cs-CZ"/>
        </w:rPr>
        <w:lastRenderedPageBreak/>
        <w:t>Ze základního fondu</w:t>
      </w:r>
      <w:r w:rsidRPr="00FD304C">
        <w:rPr>
          <w:rFonts w:cs="Arial"/>
          <w:b/>
          <w:lang w:val="cs-CZ"/>
        </w:rPr>
        <w:t xml:space="preserve"> </w:t>
      </w:r>
      <w:r w:rsidR="000D1CAD" w:rsidRPr="00FD304C">
        <w:rPr>
          <w:rFonts w:cs="Arial"/>
          <w:b/>
          <w:lang w:val="cs-CZ"/>
        </w:rPr>
        <w:t xml:space="preserve">hradila </w:t>
      </w:r>
      <w:r w:rsidRPr="00FD304C">
        <w:rPr>
          <w:rFonts w:cs="Arial"/>
          <w:b/>
          <w:lang w:val="cs-CZ"/>
        </w:rPr>
        <w:t>ČPZP</w:t>
      </w:r>
      <w:r w:rsidRPr="00FD304C">
        <w:rPr>
          <w:rFonts w:cs="Arial"/>
          <w:b/>
          <w:szCs w:val="22"/>
          <w:lang w:val="cs-CZ"/>
        </w:rPr>
        <w:t xml:space="preserve"> </w:t>
      </w:r>
      <w:r w:rsidR="00973B66" w:rsidRPr="00FD304C">
        <w:rPr>
          <w:rFonts w:cs="Arial"/>
          <w:b/>
          <w:lang w:val="cs-CZ"/>
        </w:rPr>
        <w:t xml:space="preserve">opakovaně </w:t>
      </w:r>
      <w:r w:rsidRPr="00FD304C">
        <w:rPr>
          <w:rFonts w:cs="Arial"/>
          <w:b/>
          <w:lang w:val="cs-CZ"/>
        </w:rPr>
        <w:t xml:space="preserve">také </w:t>
      </w:r>
      <w:r w:rsidR="001D6B2F" w:rsidRPr="00FD304C">
        <w:rPr>
          <w:rFonts w:cs="Arial"/>
          <w:b/>
          <w:lang w:val="cs-CZ"/>
        </w:rPr>
        <w:t>zdravotní výkony, které z hlediska požadavků na ně kladených nebyly doposud MZ uznány</w:t>
      </w:r>
      <w:r w:rsidR="001D6B2F" w:rsidRPr="00FD304C">
        <w:rPr>
          <w:rFonts w:cs="Arial"/>
          <w:b/>
          <w:szCs w:val="22"/>
          <w:lang w:val="cs-CZ"/>
        </w:rPr>
        <w:t xml:space="preserve"> a </w:t>
      </w:r>
      <w:r w:rsidRPr="00FD304C">
        <w:rPr>
          <w:rFonts w:cs="Arial"/>
          <w:b/>
          <w:szCs w:val="22"/>
          <w:lang w:val="cs-CZ"/>
        </w:rPr>
        <w:t xml:space="preserve">doplněny </w:t>
      </w:r>
      <w:r w:rsidR="001D6B2F" w:rsidRPr="00FD304C">
        <w:rPr>
          <w:rFonts w:cs="Arial"/>
          <w:b/>
          <w:szCs w:val="22"/>
          <w:lang w:val="cs-CZ"/>
        </w:rPr>
        <w:t xml:space="preserve">do </w:t>
      </w:r>
      <w:r w:rsidR="00ED005C">
        <w:rPr>
          <w:rFonts w:cs="Arial"/>
          <w:b/>
          <w:szCs w:val="22"/>
          <w:lang w:val="cs-CZ"/>
        </w:rPr>
        <w:t>s</w:t>
      </w:r>
      <w:r w:rsidR="001D6B2F" w:rsidRPr="00FD304C">
        <w:rPr>
          <w:rFonts w:cs="Arial"/>
          <w:b/>
          <w:szCs w:val="22"/>
          <w:lang w:val="cs-CZ"/>
        </w:rPr>
        <w:t xml:space="preserve">eznamu zdravotních výkonů </w:t>
      </w:r>
      <w:r w:rsidR="0031103D" w:rsidRPr="00FD304C">
        <w:rPr>
          <w:rFonts w:cs="Arial"/>
          <w:b/>
          <w:szCs w:val="22"/>
          <w:lang w:val="cs-CZ"/>
        </w:rPr>
        <w:t xml:space="preserve">s bodovými hodnotami. </w:t>
      </w:r>
    </w:p>
    <w:p w:rsidR="001D6B2F" w:rsidRPr="00A859AD" w:rsidRDefault="001D6B2F" w:rsidP="00FD304C">
      <w:pPr>
        <w:rPr>
          <w:rFonts w:cs="Arial"/>
          <w:szCs w:val="22"/>
          <w:lang w:val="cs-CZ"/>
        </w:rPr>
      </w:pPr>
    </w:p>
    <w:p w:rsidR="00256C80" w:rsidRPr="00FD304C" w:rsidRDefault="00256C80" w:rsidP="00FD304C">
      <w:pPr>
        <w:tabs>
          <w:tab w:val="left" w:pos="567"/>
        </w:tabs>
        <w:ind w:left="567" w:hanging="567"/>
        <w:contextualSpacing/>
        <w:outlineLvl w:val="2"/>
        <w:rPr>
          <w:rFonts w:cs="Arial"/>
          <w:b/>
          <w:szCs w:val="22"/>
          <w:lang w:val="cs-CZ"/>
        </w:rPr>
      </w:pPr>
      <w:r w:rsidRPr="00FD304C">
        <w:rPr>
          <w:rFonts w:cs="Arial"/>
          <w:b/>
          <w:szCs w:val="22"/>
          <w:lang w:val="cs-CZ"/>
        </w:rPr>
        <w:t>Náklady na zdravotní služby</w:t>
      </w:r>
    </w:p>
    <w:p w:rsidR="00B734E9" w:rsidRDefault="00B734E9" w:rsidP="00FD304C">
      <w:pPr>
        <w:tabs>
          <w:tab w:val="left" w:pos="0"/>
          <w:tab w:val="left" w:pos="1418"/>
          <w:tab w:val="right" w:pos="9072"/>
        </w:tabs>
        <w:rPr>
          <w:rFonts w:cs="Arial"/>
          <w:lang w:val="cs-CZ"/>
        </w:rPr>
      </w:pPr>
    </w:p>
    <w:p w:rsidR="00256C80" w:rsidRPr="00FD304C" w:rsidRDefault="006311A5" w:rsidP="00FD304C">
      <w:pPr>
        <w:tabs>
          <w:tab w:val="left" w:pos="0"/>
          <w:tab w:val="left" w:pos="1418"/>
          <w:tab w:val="right" w:pos="9072"/>
        </w:tabs>
        <w:rPr>
          <w:rFonts w:cs="Arial"/>
          <w:lang w:val="cs-CZ"/>
        </w:rPr>
      </w:pPr>
      <w:r w:rsidRPr="00FD304C">
        <w:rPr>
          <w:rFonts w:cs="Arial"/>
          <w:lang w:val="cs-CZ"/>
        </w:rPr>
        <w:t xml:space="preserve">Přehled nákladů na zdravotní služby dle jednotlivých segmentů a jejich meziroční vývoj v kontrolovaném období </w:t>
      </w:r>
      <w:r w:rsidR="000D1CAD">
        <w:rPr>
          <w:rFonts w:cs="Arial"/>
          <w:lang w:val="cs-CZ"/>
        </w:rPr>
        <w:t>jsou</w:t>
      </w:r>
      <w:r w:rsidRPr="00FD304C">
        <w:rPr>
          <w:rFonts w:cs="Arial"/>
          <w:lang w:val="cs-CZ"/>
        </w:rPr>
        <w:t xml:space="preserve"> uveden</w:t>
      </w:r>
      <w:r w:rsidR="000D1CAD">
        <w:rPr>
          <w:rFonts w:cs="Arial"/>
          <w:lang w:val="cs-CZ"/>
        </w:rPr>
        <w:t>y</w:t>
      </w:r>
      <w:r w:rsidRPr="00FD304C">
        <w:rPr>
          <w:rFonts w:cs="Arial"/>
          <w:lang w:val="cs-CZ"/>
        </w:rPr>
        <w:t xml:space="preserve"> v tabulce č. 3.</w:t>
      </w:r>
    </w:p>
    <w:p w:rsidR="00081139" w:rsidRPr="00FD304C" w:rsidRDefault="00081139" w:rsidP="00FD304C">
      <w:pPr>
        <w:tabs>
          <w:tab w:val="left" w:pos="1418"/>
          <w:tab w:val="left" w:pos="1560"/>
          <w:tab w:val="right" w:pos="9072"/>
        </w:tabs>
        <w:ind w:left="1560" w:hanging="1560"/>
        <w:rPr>
          <w:rFonts w:cs="Arial"/>
          <w:b/>
          <w:lang w:val="cs-CZ"/>
        </w:rPr>
      </w:pPr>
    </w:p>
    <w:p w:rsidR="005A2F30" w:rsidRPr="00FD304C" w:rsidRDefault="005A2F30" w:rsidP="000E36C4">
      <w:pPr>
        <w:tabs>
          <w:tab w:val="left" w:pos="1418"/>
          <w:tab w:val="left" w:pos="1560"/>
          <w:tab w:val="right" w:pos="9072"/>
        </w:tabs>
        <w:spacing w:after="40"/>
        <w:rPr>
          <w:rFonts w:cs="Arial"/>
          <w:b/>
          <w:lang w:val="cs-CZ"/>
        </w:rPr>
      </w:pPr>
      <w:r w:rsidRPr="00FD304C">
        <w:rPr>
          <w:rFonts w:cs="Arial"/>
          <w:b/>
          <w:lang w:val="cs-CZ"/>
        </w:rPr>
        <w:t xml:space="preserve">Tabulka č. 3 </w:t>
      </w:r>
      <w:r w:rsidR="00C932A7" w:rsidRPr="00FD304C">
        <w:rPr>
          <w:rFonts w:cs="Arial"/>
          <w:b/>
          <w:lang w:val="cs-CZ"/>
        </w:rPr>
        <w:t>–</w:t>
      </w:r>
      <w:r w:rsidR="00E9496D" w:rsidRPr="00FD304C">
        <w:rPr>
          <w:rFonts w:cs="Arial"/>
          <w:b/>
          <w:lang w:val="cs-CZ"/>
        </w:rPr>
        <w:t xml:space="preserve"> </w:t>
      </w:r>
      <w:r w:rsidRPr="00FD304C">
        <w:rPr>
          <w:rFonts w:cs="Arial"/>
          <w:b/>
          <w:lang w:val="cs-CZ"/>
        </w:rPr>
        <w:t>Náklady na zdravotní služby ve vybraných segmentech</w:t>
      </w:r>
      <w:r w:rsidRPr="00FD304C">
        <w:rPr>
          <w:rFonts w:cs="Arial"/>
          <w:b/>
          <w:lang w:val="cs-CZ"/>
        </w:rPr>
        <w:tab/>
        <w:t>(v tis. Kč)</w:t>
      </w:r>
    </w:p>
    <w:tbl>
      <w:tblPr>
        <w:tblStyle w:val="Mkatabulky1"/>
        <w:tblW w:w="9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4"/>
        <w:gridCol w:w="850"/>
        <w:gridCol w:w="918"/>
        <w:gridCol w:w="964"/>
        <w:gridCol w:w="918"/>
        <w:gridCol w:w="964"/>
        <w:gridCol w:w="918"/>
        <w:gridCol w:w="964"/>
      </w:tblGrid>
      <w:tr w:rsidR="005A2F30" w:rsidRPr="00FD304C" w:rsidTr="000E36C4">
        <w:trPr>
          <w:trHeight w:val="227"/>
        </w:trPr>
        <w:tc>
          <w:tcPr>
            <w:tcW w:w="2574" w:type="dxa"/>
            <w:vAlign w:val="center"/>
          </w:tcPr>
          <w:p w:rsidR="005A2F30" w:rsidRPr="00FD304C" w:rsidRDefault="005A2F30" w:rsidP="00FD304C">
            <w:pPr>
              <w:jc w:val="left"/>
              <w:rPr>
                <w:rFonts w:cs="Arial"/>
                <w:b/>
                <w:sz w:val="14"/>
                <w:szCs w:val="14"/>
                <w:lang w:val="cs-CZ"/>
              </w:rPr>
            </w:pPr>
          </w:p>
        </w:tc>
        <w:tc>
          <w:tcPr>
            <w:tcW w:w="850" w:type="dxa"/>
            <w:vAlign w:val="center"/>
          </w:tcPr>
          <w:p w:rsidR="005A2F30" w:rsidRPr="00FD304C" w:rsidRDefault="005A2F30" w:rsidP="00FD304C">
            <w:pPr>
              <w:jc w:val="center"/>
              <w:rPr>
                <w:rFonts w:cs="Arial"/>
                <w:b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b/>
                <w:sz w:val="14"/>
                <w:szCs w:val="14"/>
                <w:lang w:val="cs-CZ"/>
              </w:rPr>
              <w:t>2009</w:t>
            </w:r>
          </w:p>
        </w:tc>
        <w:tc>
          <w:tcPr>
            <w:tcW w:w="918" w:type="dxa"/>
            <w:vAlign w:val="center"/>
          </w:tcPr>
          <w:p w:rsidR="005A2F30" w:rsidRPr="00FD304C" w:rsidRDefault="005A2F30" w:rsidP="00FD304C">
            <w:pPr>
              <w:jc w:val="center"/>
              <w:rPr>
                <w:rFonts w:cs="Arial"/>
                <w:b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b/>
                <w:sz w:val="14"/>
                <w:szCs w:val="14"/>
                <w:lang w:val="cs-CZ"/>
              </w:rPr>
              <w:t>2010</w:t>
            </w:r>
          </w:p>
        </w:tc>
        <w:tc>
          <w:tcPr>
            <w:tcW w:w="964" w:type="dxa"/>
          </w:tcPr>
          <w:p w:rsidR="005A2F30" w:rsidRPr="00FD304C" w:rsidRDefault="005A2F30" w:rsidP="00FD304C">
            <w:pPr>
              <w:jc w:val="center"/>
              <w:rPr>
                <w:rFonts w:cs="Arial"/>
                <w:b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b/>
                <w:sz w:val="14"/>
                <w:szCs w:val="14"/>
                <w:lang w:val="cs-CZ"/>
              </w:rPr>
              <w:t>Meziroční změna</w:t>
            </w:r>
          </w:p>
          <w:p w:rsidR="005A2F30" w:rsidRPr="00FD304C" w:rsidRDefault="005A2F30" w:rsidP="00FD304C">
            <w:pPr>
              <w:jc w:val="center"/>
              <w:rPr>
                <w:rFonts w:cs="Arial"/>
                <w:b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b/>
                <w:sz w:val="14"/>
                <w:szCs w:val="14"/>
                <w:lang w:val="cs-CZ"/>
              </w:rPr>
              <w:t>2009</w:t>
            </w:r>
            <w:r w:rsidR="000D1CAD">
              <w:rPr>
                <w:rFonts w:cs="Arial"/>
                <w:b/>
                <w:sz w:val="14"/>
                <w:szCs w:val="14"/>
                <w:lang w:val="cs-CZ"/>
              </w:rPr>
              <w:t>–</w:t>
            </w:r>
            <w:r w:rsidRPr="00FD304C">
              <w:rPr>
                <w:rFonts w:cs="Arial"/>
                <w:b/>
                <w:sz w:val="14"/>
                <w:szCs w:val="14"/>
                <w:lang w:val="cs-CZ"/>
              </w:rPr>
              <w:t xml:space="preserve">2010 </w:t>
            </w:r>
          </w:p>
          <w:p w:rsidR="005A2F30" w:rsidRPr="00FD304C" w:rsidRDefault="005A2F30" w:rsidP="00FD304C">
            <w:pPr>
              <w:jc w:val="center"/>
              <w:rPr>
                <w:rFonts w:cs="Arial"/>
                <w:b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b/>
                <w:sz w:val="14"/>
                <w:szCs w:val="14"/>
                <w:lang w:val="cs-CZ"/>
              </w:rPr>
              <w:t>(v %)</w:t>
            </w:r>
          </w:p>
        </w:tc>
        <w:tc>
          <w:tcPr>
            <w:tcW w:w="918" w:type="dxa"/>
            <w:vAlign w:val="center"/>
          </w:tcPr>
          <w:p w:rsidR="005A2F30" w:rsidRPr="00FD304C" w:rsidRDefault="005A2F30" w:rsidP="00FD304C">
            <w:pPr>
              <w:jc w:val="center"/>
              <w:rPr>
                <w:rFonts w:cs="Arial"/>
                <w:b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b/>
                <w:sz w:val="14"/>
                <w:szCs w:val="14"/>
                <w:lang w:val="cs-CZ"/>
              </w:rPr>
              <w:t>2011</w:t>
            </w:r>
          </w:p>
        </w:tc>
        <w:tc>
          <w:tcPr>
            <w:tcW w:w="964" w:type="dxa"/>
            <w:vAlign w:val="center"/>
          </w:tcPr>
          <w:p w:rsidR="005A2F30" w:rsidRPr="00FD304C" w:rsidRDefault="005A2F30" w:rsidP="00FD304C">
            <w:pPr>
              <w:jc w:val="center"/>
              <w:rPr>
                <w:rFonts w:cs="Arial"/>
                <w:b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b/>
                <w:sz w:val="14"/>
                <w:szCs w:val="14"/>
                <w:lang w:val="cs-CZ"/>
              </w:rPr>
              <w:t>Meziroční změna</w:t>
            </w:r>
          </w:p>
          <w:p w:rsidR="005A2F30" w:rsidRPr="00FD304C" w:rsidRDefault="005A2F30" w:rsidP="00FD304C">
            <w:pPr>
              <w:jc w:val="center"/>
              <w:rPr>
                <w:rFonts w:cs="Arial"/>
                <w:b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b/>
                <w:sz w:val="14"/>
                <w:szCs w:val="14"/>
                <w:lang w:val="cs-CZ"/>
              </w:rPr>
              <w:t>2010</w:t>
            </w:r>
            <w:r w:rsidR="00ED005C">
              <w:rPr>
                <w:rFonts w:cs="Arial"/>
                <w:b/>
                <w:sz w:val="14"/>
                <w:szCs w:val="14"/>
                <w:lang w:val="cs-CZ"/>
              </w:rPr>
              <w:t>–</w:t>
            </w:r>
            <w:r w:rsidRPr="00FD304C">
              <w:rPr>
                <w:rFonts w:cs="Arial"/>
                <w:b/>
                <w:sz w:val="14"/>
                <w:szCs w:val="14"/>
                <w:lang w:val="cs-CZ"/>
              </w:rPr>
              <w:t xml:space="preserve">2011 </w:t>
            </w:r>
          </w:p>
          <w:p w:rsidR="005A2F30" w:rsidRPr="00FD304C" w:rsidRDefault="005A2F30" w:rsidP="00FD304C">
            <w:pPr>
              <w:jc w:val="center"/>
              <w:rPr>
                <w:rFonts w:cs="Arial"/>
                <w:b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b/>
                <w:sz w:val="14"/>
                <w:szCs w:val="14"/>
                <w:lang w:val="cs-CZ"/>
              </w:rPr>
              <w:t>(v %)</w:t>
            </w:r>
          </w:p>
        </w:tc>
        <w:tc>
          <w:tcPr>
            <w:tcW w:w="918" w:type="dxa"/>
            <w:vAlign w:val="center"/>
          </w:tcPr>
          <w:p w:rsidR="005A2F30" w:rsidRPr="00FD304C" w:rsidRDefault="005A2F30" w:rsidP="00FD304C">
            <w:pPr>
              <w:jc w:val="center"/>
              <w:rPr>
                <w:rFonts w:cs="Arial"/>
                <w:b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b/>
                <w:sz w:val="14"/>
                <w:szCs w:val="14"/>
                <w:lang w:val="cs-CZ"/>
              </w:rPr>
              <w:t>2012</w:t>
            </w:r>
          </w:p>
        </w:tc>
        <w:tc>
          <w:tcPr>
            <w:tcW w:w="964" w:type="dxa"/>
          </w:tcPr>
          <w:p w:rsidR="005A2F30" w:rsidRPr="00FD304C" w:rsidRDefault="005A2F30" w:rsidP="00FD304C">
            <w:pPr>
              <w:jc w:val="center"/>
              <w:rPr>
                <w:rFonts w:cs="Arial"/>
                <w:b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b/>
                <w:sz w:val="14"/>
                <w:szCs w:val="14"/>
                <w:lang w:val="cs-CZ"/>
              </w:rPr>
              <w:t>Meziroční změna</w:t>
            </w:r>
          </w:p>
          <w:p w:rsidR="005A2F30" w:rsidRPr="00FD304C" w:rsidRDefault="005A2F30" w:rsidP="00FD304C">
            <w:pPr>
              <w:jc w:val="center"/>
              <w:rPr>
                <w:rFonts w:cs="Arial"/>
                <w:b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b/>
                <w:sz w:val="14"/>
                <w:szCs w:val="14"/>
                <w:lang w:val="cs-CZ"/>
              </w:rPr>
              <w:t>2011</w:t>
            </w:r>
            <w:r w:rsidR="00ED005C">
              <w:rPr>
                <w:rFonts w:cs="Arial"/>
                <w:b/>
                <w:sz w:val="14"/>
                <w:szCs w:val="14"/>
                <w:lang w:val="cs-CZ"/>
              </w:rPr>
              <w:t>–</w:t>
            </w:r>
            <w:r w:rsidRPr="00FD304C">
              <w:rPr>
                <w:rFonts w:cs="Arial"/>
                <w:b/>
                <w:sz w:val="14"/>
                <w:szCs w:val="14"/>
                <w:lang w:val="cs-CZ"/>
              </w:rPr>
              <w:t xml:space="preserve">2012 </w:t>
            </w:r>
          </w:p>
          <w:p w:rsidR="005A2F30" w:rsidRPr="00FD304C" w:rsidRDefault="005A2F30" w:rsidP="00FD304C">
            <w:pPr>
              <w:jc w:val="center"/>
              <w:rPr>
                <w:rFonts w:cs="Arial"/>
                <w:b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b/>
                <w:sz w:val="14"/>
                <w:szCs w:val="14"/>
                <w:lang w:val="cs-CZ"/>
              </w:rPr>
              <w:t>(v %)</w:t>
            </w:r>
          </w:p>
        </w:tc>
      </w:tr>
      <w:tr w:rsidR="005A2F30" w:rsidRPr="00FD304C" w:rsidTr="000E36C4">
        <w:trPr>
          <w:trHeight w:val="227"/>
        </w:trPr>
        <w:tc>
          <w:tcPr>
            <w:tcW w:w="2574" w:type="dxa"/>
            <w:vAlign w:val="center"/>
          </w:tcPr>
          <w:p w:rsidR="005A2F30" w:rsidRPr="00FD304C" w:rsidRDefault="005A2F30" w:rsidP="00FD304C">
            <w:pPr>
              <w:jc w:val="left"/>
              <w:rPr>
                <w:rFonts w:cs="Arial"/>
                <w:b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b/>
                <w:sz w:val="14"/>
                <w:szCs w:val="14"/>
                <w:lang w:val="cs-CZ"/>
              </w:rPr>
              <w:t>Náklady SPZS celkem:</w:t>
            </w:r>
          </w:p>
        </w:tc>
        <w:tc>
          <w:tcPr>
            <w:tcW w:w="850" w:type="dxa"/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b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b/>
                <w:sz w:val="14"/>
                <w:szCs w:val="14"/>
                <w:lang w:val="cs-CZ"/>
              </w:rPr>
              <w:t>8 482 462</w:t>
            </w:r>
          </w:p>
        </w:tc>
        <w:tc>
          <w:tcPr>
            <w:tcW w:w="918" w:type="dxa"/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b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b/>
                <w:sz w:val="14"/>
                <w:szCs w:val="14"/>
                <w:lang w:val="cs-CZ"/>
              </w:rPr>
              <w:t>13 341 945</w:t>
            </w:r>
          </w:p>
        </w:tc>
        <w:tc>
          <w:tcPr>
            <w:tcW w:w="964" w:type="dxa"/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b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b/>
                <w:sz w:val="14"/>
                <w:szCs w:val="14"/>
                <w:lang w:val="cs-CZ"/>
              </w:rPr>
              <w:t>57,29</w:t>
            </w:r>
          </w:p>
        </w:tc>
        <w:tc>
          <w:tcPr>
            <w:tcW w:w="918" w:type="dxa"/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b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b/>
                <w:sz w:val="14"/>
                <w:szCs w:val="14"/>
                <w:lang w:val="cs-CZ"/>
              </w:rPr>
              <w:t>13 675 716</w:t>
            </w:r>
          </w:p>
        </w:tc>
        <w:tc>
          <w:tcPr>
            <w:tcW w:w="964" w:type="dxa"/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b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b/>
                <w:sz w:val="14"/>
                <w:szCs w:val="14"/>
                <w:lang w:val="cs-CZ"/>
              </w:rPr>
              <w:t>2,50</w:t>
            </w:r>
          </w:p>
        </w:tc>
        <w:tc>
          <w:tcPr>
            <w:tcW w:w="918" w:type="dxa"/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b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b/>
                <w:sz w:val="14"/>
                <w:szCs w:val="14"/>
                <w:lang w:val="cs-CZ"/>
              </w:rPr>
              <w:t>16 118 858</w:t>
            </w:r>
          </w:p>
        </w:tc>
        <w:tc>
          <w:tcPr>
            <w:tcW w:w="964" w:type="dxa"/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b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b/>
                <w:sz w:val="14"/>
                <w:szCs w:val="14"/>
                <w:lang w:val="cs-CZ"/>
              </w:rPr>
              <w:t>17,86</w:t>
            </w:r>
          </w:p>
        </w:tc>
      </w:tr>
      <w:tr w:rsidR="005A2F30" w:rsidRPr="00FD304C" w:rsidTr="000E36C4">
        <w:trPr>
          <w:trHeight w:val="227"/>
        </w:trPr>
        <w:tc>
          <w:tcPr>
            <w:tcW w:w="2574" w:type="dxa"/>
            <w:tcBorders>
              <w:bottom w:val="nil"/>
            </w:tcBorders>
            <w:vAlign w:val="center"/>
          </w:tcPr>
          <w:p w:rsidR="005A2F30" w:rsidRPr="00CA721B" w:rsidRDefault="005A2F30" w:rsidP="000D1CAD">
            <w:pPr>
              <w:jc w:val="left"/>
              <w:rPr>
                <w:rFonts w:cs="Arial"/>
                <w:sz w:val="14"/>
                <w:szCs w:val="14"/>
                <w:lang w:val="cs-CZ"/>
              </w:rPr>
            </w:pPr>
            <w:r w:rsidRPr="00CA721B">
              <w:rPr>
                <w:rFonts w:cs="Arial"/>
                <w:sz w:val="14"/>
                <w:szCs w:val="14"/>
                <w:lang w:val="cs-CZ"/>
              </w:rPr>
              <w:t>z toho: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</w:p>
        </w:tc>
        <w:tc>
          <w:tcPr>
            <w:tcW w:w="918" w:type="dxa"/>
            <w:tcBorders>
              <w:bottom w:val="nil"/>
            </w:tcBorders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</w:p>
        </w:tc>
        <w:tc>
          <w:tcPr>
            <w:tcW w:w="918" w:type="dxa"/>
            <w:tcBorders>
              <w:bottom w:val="nil"/>
            </w:tcBorders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</w:p>
        </w:tc>
        <w:tc>
          <w:tcPr>
            <w:tcW w:w="918" w:type="dxa"/>
            <w:tcBorders>
              <w:bottom w:val="nil"/>
            </w:tcBorders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</w:p>
        </w:tc>
      </w:tr>
      <w:tr w:rsidR="005A2F30" w:rsidRPr="00FD304C" w:rsidTr="000E36C4">
        <w:trPr>
          <w:trHeight w:val="227"/>
        </w:trPr>
        <w:tc>
          <w:tcPr>
            <w:tcW w:w="2574" w:type="dxa"/>
            <w:tcBorders>
              <w:top w:val="nil"/>
            </w:tcBorders>
            <w:vAlign w:val="center"/>
          </w:tcPr>
          <w:p w:rsidR="005A2F30" w:rsidRPr="00CA721B" w:rsidRDefault="000D1CAD" w:rsidP="00CA721B">
            <w:pPr>
              <w:pStyle w:val="Odstavecseseznamem"/>
              <w:numPr>
                <w:ilvl w:val="0"/>
                <w:numId w:val="40"/>
              </w:numPr>
              <w:ind w:left="226" w:hanging="113"/>
              <w:jc w:val="left"/>
              <w:rPr>
                <w:rFonts w:cs="Arial"/>
                <w:sz w:val="14"/>
                <w:szCs w:val="14"/>
                <w:lang w:val="cs-CZ"/>
              </w:rPr>
            </w:pPr>
            <w:r>
              <w:rPr>
                <w:rFonts w:cs="Arial"/>
                <w:sz w:val="14"/>
                <w:szCs w:val="14"/>
                <w:lang w:val="cs-CZ"/>
              </w:rPr>
              <w:t>a</w:t>
            </w:r>
            <w:r w:rsidR="005A2F30" w:rsidRPr="00CA721B">
              <w:rPr>
                <w:rFonts w:cs="Arial"/>
                <w:sz w:val="14"/>
                <w:szCs w:val="14"/>
                <w:lang w:val="cs-CZ"/>
              </w:rPr>
              <w:t>mbulantní poskytovatelé ZS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sz w:val="14"/>
                <w:szCs w:val="14"/>
                <w:lang w:val="cs-CZ"/>
              </w:rPr>
              <w:t>2 485 292</w:t>
            </w:r>
          </w:p>
        </w:tc>
        <w:tc>
          <w:tcPr>
            <w:tcW w:w="918" w:type="dxa"/>
            <w:tcBorders>
              <w:top w:val="nil"/>
            </w:tcBorders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sz w:val="14"/>
                <w:szCs w:val="14"/>
                <w:lang w:val="cs-CZ"/>
              </w:rPr>
              <w:t>3 964 772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sz w:val="14"/>
                <w:szCs w:val="14"/>
                <w:lang w:val="cs-CZ"/>
              </w:rPr>
              <w:t>59,53</w:t>
            </w:r>
          </w:p>
        </w:tc>
        <w:tc>
          <w:tcPr>
            <w:tcW w:w="918" w:type="dxa"/>
            <w:tcBorders>
              <w:top w:val="nil"/>
            </w:tcBorders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sz w:val="14"/>
                <w:szCs w:val="14"/>
                <w:lang w:val="cs-CZ"/>
              </w:rPr>
              <w:t>4 222 085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sz w:val="14"/>
                <w:szCs w:val="14"/>
                <w:lang w:val="cs-CZ"/>
              </w:rPr>
              <w:t>6,49</w:t>
            </w:r>
          </w:p>
        </w:tc>
        <w:tc>
          <w:tcPr>
            <w:tcW w:w="918" w:type="dxa"/>
            <w:tcBorders>
              <w:top w:val="nil"/>
            </w:tcBorders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sz w:val="14"/>
                <w:szCs w:val="14"/>
                <w:lang w:val="cs-CZ"/>
              </w:rPr>
              <w:t>4 881 600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sz w:val="14"/>
                <w:szCs w:val="14"/>
                <w:lang w:val="cs-CZ"/>
              </w:rPr>
              <w:t>15,62</w:t>
            </w:r>
          </w:p>
        </w:tc>
      </w:tr>
      <w:tr w:rsidR="005A2F30" w:rsidRPr="00FD304C" w:rsidTr="000E36C4">
        <w:trPr>
          <w:trHeight w:val="227"/>
        </w:trPr>
        <w:tc>
          <w:tcPr>
            <w:tcW w:w="2574" w:type="dxa"/>
            <w:tcBorders>
              <w:top w:val="nil"/>
            </w:tcBorders>
            <w:vAlign w:val="center"/>
          </w:tcPr>
          <w:p w:rsidR="005A2F30" w:rsidRPr="000D1CAD" w:rsidRDefault="005A2F30" w:rsidP="00CA721B">
            <w:pPr>
              <w:pStyle w:val="Odstavecseseznamem"/>
              <w:numPr>
                <w:ilvl w:val="0"/>
                <w:numId w:val="38"/>
              </w:numPr>
              <w:ind w:left="453" w:hanging="113"/>
              <w:jc w:val="left"/>
              <w:rPr>
                <w:rFonts w:cs="Arial"/>
                <w:sz w:val="14"/>
                <w:szCs w:val="14"/>
                <w:lang w:val="cs-CZ"/>
              </w:rPr>
            </w:pPr>
            <w:r w:rsidRPr="000D1CAD">
              <w:rPr>
                <w:rFonts w:cs="Arial"/>
                <w:sz w:val="14"/>
                <w:szCs w:val="14"/>
                <w:lang w:val="cs-CZ"/>
              </w:rPr>
              <w:t xml:space="preserve">z toho: praktičtí lékaři 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sz w:val="14"/>
                <w:szCs w:val="14"/>
                <w:lang w:val="cs-CZ"/>
              </w:rPr>
              <w:t>564 188</w:t>
            </w:r>
          </w:p>
        </w:tc>
        <w:tc>
          <w:tcPr>
            <w:tcW w:w="918" w:type="dxa"/>
            <w:tcBorders>
              <w:top w:val="nil"/>
            </w:tcBorders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sz w:val="14"/>
                <w:szCs w:val="14"/>
                <w:lang w:val="cs-CZ"/>
              </w:rPr>
              <w:t>945 650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sz w:val="14"/>
                <w:szCs w:val="14"/>
                <w:lang w:val="cs-CZ"/>
              </w:rPr>
              <w:t xml:space="preserve">67,61 </w:t>
            </w:r>
          </w:p>
        </w:tc>
        <w:tc>
          <w:tcPr>
            <w:tcW w:w="918" w:type="dxa"/>
            <w:tcBorders>
              <w:top w:val="nil"/>
            </w:tcBorders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sz w:val="14"/>
                <w:szCs w:val="14"/>
                <w:lang w:val="cs-CZ"/>
              </w:rPr>
              <w:t>953 911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sz w:val="14"/>
                <w:szCs w:val="14"/>
                <w:lang w:val="cs-CZ"/>
              </w:rPr>
              <w:t xml:space="preserve">0,87 </w:t>
            </w:r>
          </w:p>
        </w:tc>
        <w:tc>
          <w:tcPr>
            <w:tcW w:w="918" w:type="dxa"/>
            <w:tcBorders>
              <w:top w:val="nil"/>
            </w:tcBorders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sz w:val="14"/>
                <w:szCs w:val="14"/>
                <w:lang w:val="cs-CZ"/>
              </w:rPr>
              <w:t>1 666 760</w:t>
            </w:r>
          </w:p>
        </w:tc>
        <w:tc>
          <w:tcPr>
            <w:tcW w:w="964" w:type="dxa"/>
            <w:tcBorders>
              <w:top w:val="nil"/>
            </w:tcBorders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sz w:val="14"/>
                <w:szCs w:val="14"/>
                <w:lang w:val="cs-CZ"/>
              </w:rPr>
              <w:t>74,73</w:t>
            </w:r>
          </w:p>
        </w:tc>
      </w:tr>
      <w:tr w:rsidR="005A2F30" w:rsidRPr="00FD304C" w:rsidTr="000E36C4">
        <w:trPr>
          <w:trHeight w:val="227"/>
        </w:trPr>
        <w:tc>
          <w:tcPr>
            <w:tcW w:w="2574" w:type="dxa"/>
            <w:vAlign w:val="center"/>
          </w:tcPr>
          <w:p w:rsidR="005A2F30" w:rsidRPr="00CA721B" w:rsidRDefault="000D1CAD" w:rsidP="00CA721B">
            <w:pPr>
              <w:pStyle w:val="Odstavecseseznamem"/>
              <w:numPr>
                <w:ilvl w:val="0"/>
                <w:numId w:val="41"/>
              </w:numPr>
              <w:ind w:left="226" w:hanging="113"/>
              <w:jc w:val="left"/>
              <w:rPr>
                <w:rFonts w:cs="Arial"/>
                <w:sz w:val="14"/>
                <w:szCs w:val="14"/>
                <w:lang w:val="cs-CZ"/>
              </w:rPr>
            </w:pPr>
            <w:r>
              <w:rPr>
                <w:rFonts w:cs="Arial"/>
                <w:sz w:val="14"/>
                <w:szCs w:val="14"/>
                <w:lang w:val="cs-CZ"/>
              </w:rPr>
              <w:t>p</w:t>
            </w:r>
            <w:r w:rsidR="005A2F30" w:rsidRPr="00CA721B">
              <w:rPr>
                <w:rFonts w:cs="Arial"/>
                <w:sz w:val="14"/>
                <w:szCs w:val="14"/>
                <w:lang w:val="cs-CZ"/>
              </w:rPr>
              <w:t>oskytovatelé lůžkových ZS</w:t>
            </w:r>
          </w:p>
        </w:tc>
        <w:tc>
          <w:tcPr>
            <w:tcW w:w="850" w:type="dxa"/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sz w:val="14"/>
                <w:szCs w:val="14"/>
                <w:lang w:val="cs-CZ"/>
              </w:rPr>
              <w:t>3 987 993</w:t>
            </w:r>
          </w:p>
        </w:tc>
        <w:tc>
          <w:tcPr>
            <w:tcW w:w="918" w:type="dxa"/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sz w:val="14"/>
                <w:szCs w:val="14"/>
                <w:lang w:val="cs-CZ"/>
              </w:rPr>
              <w:t>6 458 056</w:t>
            </w:r>
          </w:p>
        </w:tc>
        <w:tc>
          <w:tcPr>
            <w:tcW w:w="964" w:type="dxa"/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sz w:val="14"/>
                <w:szCs w:val="14"/>
                <w:lang w:val="cs-CZ"/>
              </w:rPr>
              <w:t>61,94</w:t>
            </w:r>
          </w:p>
        </w:tc>
        <w:tc>
          <w:tcPr>
            <w:tcW w:w="918" w:type="dxa"/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sz w:val="14"/>
                <w:szCs w:val="14"/>
                <w:lang w:val="cs-CZ"/>
              </w:rPr>
              <w:t>6 447 849</w:t>
            </w:r>
          </w:p>
        </w:tc>
        <w:tc>
          <w:tcPr>
            <w:tcW w:w="964" w:type="dxa"/>
            <w:vAlign w:val="center"/>
          </w:tcPr>
          <w:p w:rsidR="005A2F30" w:rsidRPr="00FD304C" w:rsidRDefault="000D1CAD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  <w:r>
              <w:rPr>
                <w:rFonts w:cs="Arial"/>
                <w:sz w:val="14"/>
                <w:szCs w:val="14"/>
                <w:lang w:val="cs-CZ"/>
              </w:rPr>
              <w:t>−</w:t>
            </w:r>
            <w:r w:rsidR="005A2F30" w:rsidRPr="00FD304C">
              <w:rPr>
                <w:rFonts w:cs="Arial"/>
                <w:sz w:val="14"/>
                <w:szCs w:val="14"/>
                <w:lang w:val="cs-CZ"/>
              </w:rPr>
              <w:t>0,16</w:t>
            </w:r>
          </w:p>
        </w:tc>
        <w:tc>
          <w:tcPr>
            <w:tcW w:w="918" w:type="dxa"/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sz w:val="14"/>
                <w:szCs w:val="14"/>
                <w:lang w:val="cs-CZ"/>
              </w:rPr>
              <w:t>7 564 720</w:t>
            </w:r>
          </w:p>
        </w:tc>
        <w:tc>
          <w:tcPr>
            <w:tcW w:w="964" w:type="dxa"/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sz w:val="14"/>
                <w:szCs w:val="14"/>
                <w:lang w:val="cs-CZ"/>
              </w:rPr>
              <w:t>17,32</w:t>
            </w:r>
          </w:p>
        </w:tc>
      </w:tr>
      <w:tr w:rsidR="005A2F30" w:rsidRPr="00FD304C" w:rsidTr="000E36C4">
        <w:trPr>
          <w:trHeight w:val="227"/>
        </w:trPr>
        <w:tc>
          <w:tcPr>
            <w:tcW w:w="2574" w:type="dxa"/>
            <w:vAlign w:val="center"/>
          </w:tcPr>
          <w:p w:rsidR="005A2F30" w:rsidRPr="00CA721B" w:rsidRDefault="000D1CAD" w:rsidP="00CA721B">
            <w:pPr>
              <w:pStyle w:val="Odstavecseseznamem"/>
              <w:numPr>
                <w:ilvl w:val="0"/>
                <w:numId w:val="41"/>
              </w:numPr>
              <w:ind w:left="226" w:hanging="113"/>
              <w:jc w:val="left"/>
              <w:rPr>
                <w:rFonts w:cs="Arial"/>
                <w:sz w:val="14"/>
                <w:szCs w:val="14"/>
                <w:lang w:val="cs-CZ"/>
              </w:rPr>
            </w:pPr>
            <w:r>
              <w:rPr>
                <w:rFonts w:cs="Arial"/>
                <w:sz w:val="14"/>
                <w:szCs w:val="14"/>
                <w:lang w:val="cs-CZ"/>
              </w:rPr>
              <w:t>p</w:t>
            </w:r>
            <w:r w:rsidR="005A2F30" w:rsidRPr="00CA721B">
              <w:rPr>
                <w:rFonts w:cs="Arial"/>
                <w:sz w:val="14"/>
                <w:szCs w:val="14"/>
                <w:lang w:val="cs-CZ"/>
              </w:rPr>
              <w:t>oskytovatelé LLRS</w:t>
            </w:r>
          </w:p>
        </w:tc>
        <w:tc>
          <w:tcPr>
            <w:tcW w:w="850" w:type="dxa"/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sz w:val="14"/>
                <w:szCs w:val="14"/>
                <w:lang w:val="cs-CZ"/>
              </w:rPr>
              <w:t>138 222</w:t>
            </w:r>
          </w:p>
        </w:tc>
        <w:tc>
          <w:tcPr>
            <w:tcW w:w="918" w:type="dxa"/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sz w:val="14"/>
                <w:szCs w:val="14"/>
                <w:lang w:val="cs-CZ"/>
              </w:rPr>
              <w:t>200 183</w:t>
            </w:r>
          </w:p>
        </w:tc>
        <w:tc>
          <w:tcPr>
            <w:tcW w:w="964" w:type="dxa"/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sz w:val="14"/>
                <w:szCs w:val="14"/>
                <w:lang w:val="cs-CZ"/>
              </w:rPr>
              <w:t>44,83</w:t>
            </w:r>
          </w:p>
        </w:tc>
        <w:tc>
          <w:tcPr>
            <w:tcW w:w="918" w:type="dxa"/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sz w:val="14"/>
                <w:szCs w:val="14"/>
                <w:lang w:val="cs-CZ"/>
              </w:rPr>
              <w:t>207 881</w:t>
            </w:r>
          </w:p>
        </w:tc>
        <w:tc>
          <w:tcPr>
            <w:tcW w:w="964" w:type="dxa"/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sz w:val="14"/>
                <w:szCs w:val="14"/>
                <w:lang w:val="cs-CZ"/>
              </w:rPr>
              <w:t>3,85</w:t>
            </w:r>
          </w:p>
        </w:tc>
        <w:tc>
          <w:tcPr>
            <w:tcW w:w="918" w:type="dxa"/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sz w:val="14"/>
                <w:szCs w:val="14"/>
                <w:lang w:val="cs-CZ"/>
              </w:rPr>
              <w:t>186 926</w:t>
            </w:r>
          </w:p>
        </w:tc>
        <w:tc>
          <w:tcPr>
            <w:tcW w:w="964" w:type="dxa"/>
            <w:vAlign w:val="center"/>
          </w:tcPr>
          <w:p w:rsidR="005A2F30" w:rsidRPr="00FD304C" w:rsidRDefault="000D1CAD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  <w:r>
              <w:rPr>
                <w:rFonts w:cs="Arial"/>
                <w:sz w:val="14"/>
                <w:szCs w:val="14"/>
                <w:lang w:val="cs-CZ"/>
              </w:rPr>
              <w:t>−</w:t>
            </w:r>
            <w:r w:rsidR="005A2F30" w:rsidRPr="00FD304C">
              <w:rPr>
                <w:rFonts w:cs="Arial"/>
                <w:sz w:val="14"/>
                <w:szCs w:val="14"/>
                <w:lang w:val="cs-CZ"/>
              </w:rPr>
              <w:t>10,08</w:t>
            </w:r>
          </w:p>
        </w:tc>
      </w:tr>
      <w:tr w:rsidR="005A2F30" w:rsidRPr="00FD304C" w:rsidTr="000E36C4">
        <w:trPr>
          <w:trHeight w:val="227"/>
        </w:trPr>
        <w:tc>
          <w:tcPr>
            <w:tcW w:w="2574" w:type="dxa"/>
            <w:vAlign w:val="center"/>
          </w:tcPr>
          <w:p w:rsidR="005A2F30" w:rsidRPr="00CA721B" w:rsidRDefault="000D1CAD" w:rsidP="00CA721B">
            <w:pPr>
              <w:pStyle w:val="Odstavecseseznamem"/>
              <w:numPr>
                <w:ilvl w:val="0"/>
                <w:numId w:val="41"/>
              </w:numPr>
              <w:ind w:left="226" w:hanging="113"/>
              <w:jc w:val="left"/>
              <w:rPr>
                <w:rFonts w:cs="Arial"/>
                <w:sz w:val="14"/>
                <w:szCs w:val="14"/>
                <w:lang w:val="cs-CZ"/>
              </w:rPr>
            </w:pPr>
            <w:r>
              <w:rPr>
                <w:rFonts w:cs="Arial"/>
                <w:sz w:val="14"/>
                <w:szCs w:val="14"/>
                <w:lang w:val="cs-CZ"/>
              </w:rPr>
              <w:t>z</w:t>
            </w:r>
            <w:r w:rsidR="005A2F30" w:rsidRPr="00CA721B">
              <w:rPr>
                <w:rFonts w:cs="Arial"/>
                <w:sz w:val="14"/>
                <w:szCs w:val="14"/>
                <w:lang w:val="cs-CZ"/>
              </w:rPr>
              <w:t>áchranná ZS a doprava</w:t>
            </w:r>
          </w:p>
        </w:tc>
        <w:tc>
          <w:tcPr>
            <w:tcW w:w="850" w:type="dxa"/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sz w:val="14"/>
                <w:szCs w:val="14"/>
                <w:lang w:val="cs-CZ"/>
              </w:rPr>
              <w:t>96 044</w:t>
            </w:r>
          </w:p>
        </w:tc>
        <w:tc>
          <w:tcPr>
            <w:tcW w:w="918" w:type="dxa"/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sz w:val="14"/>
                <w:szCs w:val="14"/>
                <w:lang w:val="cs-CZ"/>
              </w:rPr>
              <w:t>179 266</w:t>
            </w:r>
          </w:p>
        </w:tc>
        <w:tc>
          <w:tcPr>
            <w:tcW w:w="964" w:type="dxa"/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sz w:val="14"/>
                <w:szCs w:val="14"/>
                <w:lang w:val="cs-CZ"/>
              </w:rPr>
              <w:t>86,65</w:t>
            </w:r>
          </w:p>
        </w:tc>
        <w:tc>
          <w:tcPr>
            <w:tcW w:w="918" w:type="dxa"/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sz w:val="14"/>
                <w:szCs w:val="14"/>
                <w:lang w:val="cs-CZ"/>
              </w:rPr>
              <w:t>191 163</w:t>
            </w:r>
          </w:p>
        </w:tc>
        <w:tc>
          <w:tcPr>
            <w:tcW w:w="964" w:type="dxa"/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sz w:val="14"/>
                <w:szCs w:val="14"/>
                <w:lang w:val="cs-CZ"/>
              </w:rPr>
              <w:t>6,64</w:t>
            </w:r>
          </w:p>
        </w:tc>
        <w:tc>
          <w:tcPr>
            <w:tcW w:w="918" w:type="dxa"/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sz w:val="14"/>
                <w:szCs w:val="14"/>
                <w:lang w:val="cs-CZ"/>
              </w:rPr>
              <w:t>230 741</w:t>
            </w:r>
          </w:p>
        </w:tc>
        <w:tc>
          <w:tcPr>
            <w:tcW w:w="964" w:type="dxa"/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sz w:val="14"/>
                <w:szCs w:val="14"/>
                <w:lang w:val="cs-CZ"/>
              </w:rPr>
              <w:t>20,70</w:t>
            </w:r>
          </w:p>
        </w:tc>
      </w:tr>
      <w:tr w:rsidR="005A2F30" w:rsidRPr="00FD304C" w:rsidTr="000E36C4">
        <w:trPr>
          <w:trHeight w:val="227"/>
        </w:trPr>
        <w:tc>
          <w:tcPr>
            <w:tcW w:w="2574" w:type="dxa"/>
            <w:vAlign w:val="center"/>
          </w:tcPr>
          <w:p w:rsidR="005A2F30" w:rsidRPr="00CA721B" w:rsidRDefault="000D1CAD" w:rsidP="00CA721B">
            <w:pPr>
              <w:pStyle w:val="Odstavecseseznamem"/>
              <w:numPr>
                <w:ilvl w:val="0"/>
                <w:numId w:val="41"/>
              </w:numPr>
              <w:ind w:left="226" w:hanging="113"/>
              <w:jc w:val="left"/>
              <w:rPr>
                <w:rFonts w:cs="Arial"/>
                <w:sz w:val="14"/>
                <w:szCs w:val="14"/>
                <w:lang w:val="cs-CZ"/>
              </w:rPr>
            </w:pPr>
            <w:r>
              <w:rPr>
                <w:rFonts w:cs="Arial"/>
                <w:sz w:val="14"/>
                <w:szCs w:val="14"/>
                <w:lang w:val="cs-CZ"/>
              </w:rPr>
              <w:t>l</w:t>
            </w:r>
            <w:r w:rsidR="005A2F30" w:rsidRPr="00CA721B">
              <w:rPr>
                <w:rFonts w:cs="Arial"/>
                <w:sz w:val="14"/>
                <w:szCs w:val="14"/>
                <w:lang w:val="cs-CZ"/>
              </w:rPr>
              <w:t xml:space="preserve">ékárny a výdejny </w:t>
            </w:r>
            <w:proofErr w:type="spellStart"/>
            <w:r w:rsidR="005A2F30" w:rsidRPr="00CA721B">
              <w:rPr>
                <w:rFonts w:cs="Arial"/>
                <w:sz w:val="14"/>
                <w:szCs w:val="14"/>
                <w:lang w:val="cs-CZ"/>
              </w:rPr>
              <w:t>ZPr</w:t>
            </w:r>
            <w:proofErr w:type="spellEnd"/>
          </w:p>
        </w:tc>
        <w:tc>
          <w:tcPr>
            <w:tcW w:w="850" w:type="dxa"/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sz w:val="14"/>
                <w:szCs w:val="14"/>
                <w:lang w:val="cs-CZ"/>
              </w:rPr>
              <w:t>1 649 779</w:t>
            </w:r>
          </w:p>
        </w:tc>
        <w:tc>
          <w:tcPr>
            <w:tcW w:w="918" w:type="dxa"/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sz w:val="14"/>
                <w:szCs w:val="14"/>
                <w:lang w:val="cs-CZ"/>
              </w:rPr>
              <w:t>2 417 440</w:t>
            </w:r>
          </w:p>
        </w:tc>
        <w:tc>
          <w:tcPr>
            <w:tcW w:w="964" w:type="dxa"/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sz w:val="14"/>
                <w:szCs w:val="14"/>
                <w:lang w:val="cs-CZ"/>
              </w:rPr>
              <w:t>46,53</w:t>
            </w:r>
          </w:p>
        </w:tc>
        <w:tc>
          <w:tcPr>
            <w:tcW w:w="918" w:type="dxa"/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sz w:val="14"/>
                <w:szCs w:val="14"/>
                <w:lang w:val="cs-CZ"/>
              </w:rPr>
              <w:t>2 469 797</w:t>
            </w:r>
          </w:p>
        </w:tc>
        <w:tc>
          <w:tcPr>
            <w:tcW w:w="964" w:type="dxa"/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sz w:val="14"/>
                <w:szCs w:val="14"/>
                <w:lang w:val="cs-CZ"/>
              </w:rPr>
              <w:t>2,17</w:t>
            </w:r>
          </w:p>
        </w:tc>
        <w:tc>
          <w:tcPr>
            <w:tcW w:w="918" w:type="dxa"/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sz w:val="14"/>
                <w:szCs w:val="14"/>
                <w:lang w:val="cs-CZ"/>
              </w:rPr>
              <w:t>3 009 660</w:t>
            </w:r>
          </w:p>
        </w:tc>
        <w:tc>
          <w:tcPr>
            <w:tcW w:w="964" w:type="dxa"/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sz w:val="14"/>
                <w:szCs w:val="14"/>
                <w:lang w:val="cs-CZ"/>
              </w:rPr>
              <w:t>21,86</w:t>
            </w:r>
          </w:p>
        </w:tc>
      </w:tr>
      <w:tr w:rsidR="005A2F30" w:rsidRPr="00FD304C" w:rsidTr="000E36C4">
        <w:trPr>
          <w:trHeight w:val="227"/>
        </w:trPr>
        <w:tc>
          <w:tcPr>
            <w:tcW w:w="2574" w:type="dxa"/>
            <w:vAlign w:val="center"/>
          </w:tcPr>
          <w:p w:rsidR="005A2F30" w:rsidRPr="00CA721B" w:rsidRDefault="005A2F30" w:rsidP="00CA721B">
            <w:pPr>
              <w:pStyle w:val="Odstavecseseznamem"/>
              <w:numPr>
                <w:ilvl w:val="0"/>
                <w:numId w:val="41"/>
              </w:numPr>
              <w:ind w:left="226" w:hanging="113"/>
              <w:jc w:val="left"/>
              <w:rPr>
                <w:rFonts w:cs="Arial"/>
                <w:sz w:val="14"/>
                <w:szCs w:val="14"/>
                <w:lang w:val="cs-CZ"/>
              </w:rPr>
            </w:pPr>
            <w:r w:rsidRPr="00CA721B">
              <w:rPr>
                <w:rFonts w:cs="Arial"/>
                <w:sz w:val="14"/>
                <w:szCs w:val="14"/>
                <w:lang w:val="cs-CZ"/>
              </w:rPr>
              <w:t>ostatní</w:t>
            </w:r>
          </w:p>
        </w:tc>
        <w:tc>
          <w:tcPr>
            <w:tcW w:w="850" w:type="dxa"/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sz w:val="14"/>
                <w:szCs w:val="14"/>
                <w:lang w:val="cs-CZ"/>
              </w:rPr>
              <w:t>12</w:t>
            </w:r>
            <w:r w:rsidR="00E9496D" w:rsidRPr="00FD304C">
              <w:rPr>
                <w:rFonts w:cs="Arial"/>
                <w:sz w:val="14"/>
                <w:szCs w:val="14"/>
                <w:lang w:val="cs-CZ"/>
              </w:rPr>
              <w:t>5</w:t>
            </w:r>
            <w:r w:rsidRPr="00FD304C">
              <w:rPr>
                <w:rFonts w:cs="Arial"/>
                <w:sz w:val="14"/>
                <w:szCs w:val="14"/>
                <w:lang w:val="cs-CZ"/>
              </w:rPr>
              <w:t xml:space="preserve"> </w:t>
            </w:r>
            <w:r w:rsidR="00E9496D" w:rsidRPr="00FD304C">
              <w:rPr>
                <w:rFonts w:cs="Arial"/>
                <w:sz w:val="14"/>
                <w:szCs w:val="14"/>
                <w:lang w:val="cs-CZ"/>
              </w:rPr>
              <w:t>132</w:t>
            </w:r>
          </w:p>
        </w:tc>
        <w:tc>
          <w:tcPr>
            <w:tcW w:w="918" w:type="dxa"/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sz w:val="14"/>
                <w:szCs w:val="14"/>
                <w:lang w:val="cs-CZ"/>
              </w:rPr>
              <w:t>122 228</w:t>
            </w:r>
          </w:p>
        </w:tc>
        <w:tc>
          <w:tcPr>
            <w:tcW w:w="964" w:type="dxa"/>
            <w:vAlign w:val="center"/>
          </w:tcPr>
          <w:p w:rsidR="005A2F30" w:rsidRPr="00FD304C" w:rsidRDefault="000D1CAD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  <w:r>
              <w:rPr>
                <w:rFonts w:cs="Arial"/>
                <w:sz w:val="14"/>
                <w:szCs w:val="14"/>
                <w:lang w:val="cs-CZ"/>
              </w:rPr>
              <w:t>−</w:t>
            </w:r>
            <w:r w:rsidR="00E9496D" w:rsidRPr="00FD304C">
              <w:rPr>
                <w:rFonts w:cs="Arial"/>
                <w:sz w:val="14"/>
                <w:szCs w:val="14"/>
                <w:lang w:val="cs-CZ"/>
              </w:rPr>
              <w:t>2,32</w:t>
            </w:r>
          </w:p>
        </w:tc>
        <w:tc>
          <w:tcPr>
            <w:tcW w:w="918" w:type="dxa"/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sz w:val="14"/>
                <w:szCs w:val="14"/>
                <w:lang w:val="cs-CZ"/>
              </w:rPr>
              <w:t>136 941</w:t>
            </w:r>
          </w:p>
        </w:tc>
        <w:tc>
          <w:tcPr>
            <w:tcW w:w="964" w:type="dxa"/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sz w:val="14"/>
                <w:szCs w:val="14"/>
                <w:lang w:val="cs-CZ"/>
              </w:rPr>
              <w:t>12,04</w:t>
            </w:r>
          </w:p>
        </w:tc>
        <w:tc>
          <w:tcPr>
            <w:tcW w:w="918" w:type="dxa"/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sz w:val="14"/>
                <w:szCs w:val="14"/>
                <w:lang w:val="cs-CZ"/>
              </w:rPr>
              <w:t>245 211</w:t>
            </w:r>
          </w:p>
        </w:tc>
        <w:tc>
          <w:tcPr>
            <w:tcW w:w="964" w:type="dxa"/>
            <w:vAlign w:val="center"/>
          </w:tcPr>
          <w:p w:rsidR="005A2F30" w:rsidRPr="00FD304C" w:rsidRDefault="005A2F30" w:rsidP="000E36C4">
            <w:pPr>
              <w:ind w:left="-130" w:right="57"/>
              <w:jc w:val="right"/>
              <w:rPr>
                <w:rFonts w:cs="Arial"/>
                <w:sz w:val="14"/>
                <w:szCs w:val="14"/>
                <w:lang w:val="cs-CZ"/>
              </w:rPr>
            </w:pPr>
            <w:r w:rsidRPr="00FD304C">
              <w:rPr>
                <w:rFonts w:cs="Arial"/>
                <w:sz w:val="14"/>
                <w:szCs w:val="14"/>
                <w:lang w:val="cs-CZ"/>
              </w:rPr>
              <w:t>79,06</w:t>
            </w:r>
          </w:p>
        </w:tc>
      </w:tr>
    </w:tbl>
    <w:p w:rsidR="005A2F30" w:rsidRPr="00FD304C" w:rsidRDefault="005A2F30" w:rsidP="000E36C4">
      <w:pPr>
        <w:spacing w:before="40"/>
        <w:rPr>
          <w:rFonts w:cs="Arial"/>
          <w:sz w:val="18"/>
          <w:szCs w:val="18"/>
          <w:lang w:val="cs-CZ"/>
        </w:rPr>
      </w:pPr>
      <w:r w:rsidRPr="00FD304C">
        <w:rPr>
          <w:rFonts w:cs="Arial"/>
          <w:b/>
          <w:sz w:val="18"/>
          <w:szCs w:val="18"/>
          <w:lang w:val="cs-CZ"/>
        </w:rPr>
        <w:t>Zdroj:</w:t>
      </w:r>
      <w:r w:rsidRPr="00FD304C">
        <w:rPr>
          <w:rFonts w:cs="Arial"/>
          <w:sz w:val="18"/>
          <w:szCs w:val="18"/>
          <w:lang w:val="cs-CZ"/>
        </w:rPr>
        <w:t xml:space="preserve"> </w:t>
      </w:r>
      <w:r w:rsidR="00ED005C">
        <w:rPr>
          <w:rFonts w:cs="Arial"/>
          <w:sz w:val="18"/>
          <w:szCs w:val="18"/>
          <w:lang w:val="cs-CZ"/>
        </w:rPr>
        <w:t>v</w:t>
      </w:r>
      <w:r w:rsidRPr="00FD304C">
        <w:rPr>
          <w:rFonts w:cs="Arial"/>
          <w:sz w:val="18"/>
          <w:szCs w:val="18"/>
          <w:lang w:val="cs-CZ"/>
        </w:rPr>
        <w:t xml:space="preserve">ýroční zprávy za roky 2009 až 2012, doklady předané </w:t>
      </w:r>
      <w:r w:rsidR="00E9496D" w:rsidRPr="00FD304C">
        <w:rPr>
          <w:rFonts w:cs="Arial"/>
          <w:sz w:val="18"/>
          <w:szCs w:val="18"/>
          <w:lang w:val="cs-CZ"/>
        </w:rPr>
        <w:t>ČPZP poskytovateli ZS za roky 2009</w:t>
      </w:r>
      <w:r w:rsidRPr="00FD304C">
        <w:rPr>
          <w:rFonts w:cs="Arial"/>
          <w:sz w:val="18"/>
          <w:szCs w:val="18"/>
          <w:lang w:val="cs-CZ"/>
        </w:rPr>
        <w:t xml:space="preserve"> a</w:t>
      </w:r>
      <w:r w:rsidR="00E9496D" w:rsidRPr="00FD304C">
        <w:rPr>
          <w:rFonts w:cs="Arial"/>
          <w:sz w:val="18"/>
          <w:szCs w:val="18"/>
          <w:lang w:val="cs-CZ"/>
        </w:rPr>
        <w:t>ž</w:t>
      </w:r>
      <w:r w:rsidRPr="00FD304C">
        <w:rPr>
          <w:rFonts w:cs="Arial"/>
          <w:sz w:val="18"/>
          <w:szCs w:val="18"/>
          <w:lang w:val="cs-CZ"/>
        </w:rPr>
        <w:t xml:space="preserve"> 2012.</w:t>
      </w:r>
    </w:p>
    <w:p w:rsidR="005A2F30" w:rsidRPr="00FD304C" w:rsidRDefault="005A2F30" w:rsidP="00FD304C">
      <w:pPr>
        <w:rPr>
          <w:rFonts w:cs="Arial"/>
          <w:sz w:val="18"/>
          <w:szCs w:val="18"/>
          <w:lang w:val="cs-CZ"/>
        </w:rPr>
      </w:pPr>
      <w:r w:rsidRPr="00FD304C">
        <w:rPr>
          <w:rFonts w:cs="Arial"/>
          <w:b/>
          <w:sz w:val="18"/>
          <w:szCs w:val="18"/>
          <w:lang w:val="cs-CZ"/>
        </w:rPr>
        <w:t>Zkratky:</w:t>
      </w:r>
      <w:r w:rsidRPr="00FD304C">
        <w:rPr>
          <w:rFonts w:cs="Arial"/>
          <w:sz w:val="18"/>
          <w:szCs w:val="18"/>
          <w:lang w:val="cs-CZ"/>
        </w:rPr>
        <w:t xml:space="preserve"> SPZS = smluvní poskytovatel zdravotních služeb, </w:t>
      </w:r>
      <w:r w:rsidR="00E9496D" w:rsidRPr="00FD304C">
        <w:rPr>
          <w:rFonts w:cs="Arial"/>
          <w:sz w:val="18"/>
          <w:szCs w:val="18"/>
          <w:lang w:val="cs-CZ"/>
        </w:rPr>
        <w:t xml:space="preserve">ZS = zdravotní služby, </w:t>
      </w:r>
      <w:r w:rsidRPr="00FD304C">
        <w:rPr>
          <w:rFonts w:cs="Arial"/>
          <w:sz w:val="18"/>
          <w:szCs w:val="18"/>
          <w:lang w:val="cs-CZ"/>
        </w:rPr>
        <w:t xml:space="preserve">LLRS = lázeňské léčebně rehabilitační služby, </w:t>
      </w:r>
      <w:proofErr w:type="spellStart"/>
      <w:r w:rsidRPr="00FD304C">
        <w:rPr>
          <w:rFonts w:cs="Arial"/>
          <w:sz w:val="18"/>
          <w:szCs w:val="18"/>
          <w:lang w:val="cs-CZ"/>
        </w:rPr>
        <w:t>ZPr</w:t>
      </w:r>
      <w:proofErr w:type="spellEnd"/>
      <w:r w:rsidRPr="00FD304C">
        <w:rPr>
          <w:rFonts w:cs="Arial"/>
          <w:sz w:val="18"/>
          <w:szCs w:val="18"/>
          <w:lang w:val="cs-CZ"/>
        </w:rPr>
        <w:t xml:space="preserve"> = zdravotnické prostředky, praktičtí lékaři =</w:t>
      </w:r>
      <w:r w:rsidR="00E9496D" w:rsidRPr="00FD304C">
        <w:rPr>
          <w:rFonts w:cs="Arial"/>
          <w:sz w:val="18"/>
          <w:szCs w:val="18"/>
          <w:lang w:val="cs-CZ"/>
        </w:rPr>
        <w:t xml:space="preserve"> </w:t>
      </w:r>
      <w:r w:rsidRPr="00FD304C">
        <w:rPr>
          <w:rFonts w:cs="Arial"/>
          <w:sz w:val="18"/>
          <w:szCs w:val="18"/>
          <w:lang w:val="cs-CZ"/>
        </w:rPr>
        <w:t>praktičtí lékaři pro dospělé a praktičtí lékaři pro děti a dorost</w:t>
      </w:r>
      <w:r w:rsidR="00994610" w:rsidRPr="00FD304C">
        <w:rPr>
          <w:rFonts w:cs="Arial"/>
          <w:sz w:val="18"/>
          <w:szCs w:val="18"/>
          <w:lang w:val="cs-CZ"/>
        </w:rPr>
        <w:t>.</w:t>
      </w:r>
    </w:p>
    <w:p w:rsidR="005A2F30" w:rsidRPr="00A859AD" w:rsidRDefault="005A2F30" w:rsidP="00FD304C">
      <w:pPr>
        <w:tabs>
          <w:tab w:val="left" w:pos="1418"/>
          <w:tab w:val="left" w:pos="1560"/>
          <w:tab w:val="right" w:pos="9072"/>
        </w:tabs>
        <w:ind w:left="1560" w:hanging="1560"/>
        <w:rPr>
          <w:rFonts w:cs="Arial"/>
          <w:lang w:val="cs-CZ"/>
        </w:rPr>
      </w:pPr>
    </w:p>
    <w:p w:rsidR="00F554F1" w:rsidRPr="00FD304C" w:rsidRDefault="00F554F1" w:rsidP="00FD304C">
      <w:pPr>
        <w:rPr>
          <w:rFonts w:cs="Arial"/>
          <w:szCs w:val="22"/>
          <w:lang w:val="cs-CZ"/>
        </w:rPr>
      </w:pPr>
      <w:r w:rsidRPr="00FD304C">
        <w:rPr>
          <w:rFonts w:cs="Arial"/>
          <w:b/>
          <w:szCs w:val="22"/>
          <w:lang w:val="cs-CZ"/>
        </w:rPr>
        <w:t>Náklady na léčivé přípravky</w:t>
      </w:r>
      <w:r w:rsidR="00881AC9" w:rsidRPr="00FD304C">
        <w:rPr>
          <w:rFonts w:cs="Arial"/>
          <w:b/>
          <w:szCs w:val="22"/>
          <w:lang w:val="cs-CZ"/>
        </w:rPr>
        <w:t xml:space="preserve"> (léky)</w:t>
      </w:r>
    </w:p>
    <w:p w:rsidR="00B734E9" w:rsidRDefault="00B734E9" w:rsidP="00FD304C">
      <w:pPr>
        <w:rPr>
          <w:rFonts w:cs="Arial"/>
          <w:szCs w:val="22"/>
          <w:lang w:val="cs-CZ"/>
        </w:rPr>
      </w:pPr>
    </w:p>
    <w:p w:rsidR="00853B1A" w:rsidRPr="00FD304C" w:rsidRDefault="00853B1A" w:rsidP="00FD304C">
      <w:pPr>
        <w:rPr>
          <w:rFonts w:cs="Arial"/>
          <w:szCs w:val="22"/>
          <w:lang w:val="cs-CZ"/>
        </w:rPr>
      </w:pPr>
      <w:r w:rsidRPr="00FD304C">
        <w:rPr>
          <w:rFonts w:cs="Arial"/>
          <w:szCs w:val="22"/>
          <w:lang w:val="cs-CZ"/>
        </w:rPr>
        <w:t xml:space="preserve">Přehled nákladů na léky vydané na recepty je uveden v tabulce č. 4. Tato tabulka nezahrnuje náklady na léčivé přípravky poskytnuté pojištěncům v rámci hospitalizace, </w:t>
      </w:r>
      <w:r w:rsidR="00ED005C">
        <w:rPr>
          <w:rFonts w:cs="Arial"/>
          <w:szCs w:val="22"/>
          <w:lang w:val="cs-CZ"/>
        </w:rPr>
        <w:t>které</w:t>
      </w:r>
      <w:r w:rsidRPr="00FD304C">
        <w:rPr>
          <w:rFonts w:cs="Arial"/>
          <w:szCs w:val="22"/>
          <w:lang w:val="cs-CZ"/>
        </w:rPr>
        <w:t xml:space="preserve"> jsou součástí výkonů zahrnutých do „ošetřovacího dne“.   </w:t>
      </w:r>
    </w:p>
    <w:p w:rsidR="00FD76A3" w:rsidRPr="00FD304C" w:rsidRDefault="00FD76A3" w:rsidP="00FD304C">
      <w:pPr>
        <w:rPr>
          <w:rFonts w:cs="Arial"/>
          <w:szCs w:val="22"/>
          <w:lang w:val="cs-CZ"/>
        </w:rPr>
      </w:pPr>
    </w:p>
    <w:p w:rsidR="00FD76A3" w:rsidRPr="00FD304C" w:rsidRDefault="00FD76A3" w:rsidP="000E36C4">
      <w:pPr>
        <w:tabs>
          <w:tab w:val="left" w:pos="1418"/>
          <w:tab w:val="left" w:pos="1560"/>
          <w:tab w:val="right" w:pos="9072"/>
        </w:tabs>
        <w:spacing w:after="40"/>
        <w:ind w:left="1559" w:hanging="1559"/>
        <w:rPr>
          <w:rFonts w:cs="Arial"/>
          <w:b/>
          <w:lang w:val="cs-CZ"/>
        </w:rPr>
      </w:pPr>
      <w:r w:rsidRPr="00FD304C">
        <w:rPr>
          <w:rFonts w:cs="Arial"/>
          <w:b/>
          <w:lang w:val="cs-CZ"/>
        </w:rPr>
        <w:t>Tabulka č. 4</w:t>
      </w:r>
      <w:r w:rsidR="00350CC9" w:rsidRPr="00FD304C">
        <w:rPr>
          <w:rFonts w:cs="Arial"/>
          <w:b/>
          <w:lang w:val="cs-CZ"/>
        </w:rPr>
        <w:t xml:space="preserve"> </w:t>
      </w:r>
      <w:r w:rsidR="00C932A7" w:rsidRPr="00FD304C">
        <w:rPr>
          <w:rFonts w:cs="Arial"/>
          <w:b/>
          <w:lang w:val="cs-CZ"/>
        </w:rPr>
        <w:t>–</w:t>
      </w:r>
      <w:r w:rsidR="00FF1DA4" w:rsidRPr="00FD304C">
        <w:rPr>
          <w:rFonts w:cs="Arial"/>
          <w:b/>
          <w:lang w:val="cs-CZ"/>
        </w:rPr>
        <w:t xml:space="preserve"> </w:t>
      </w:r>
      <w:r w:rsidRPr="00FD304C">
        <w:rPr>
          <w:rFonts w:cs="Arial"/>
          <w:b/>
          <w:lang w:val="cs-CZ"/>
        </w:rPr>
        <w:t>Náklady na léčivé přípravky</w:t>
      </w:r>
      <w:r w:rsidRPr="00FD304C">
        <w:rPr>
          <w:rFonts w:cs="Arial"/>
          <w:b/>
          <w:lang w:val="cs-CZ"/>
        </w:rPr>
        <w:tab/>
        <w:t>(v tis. Kč)</w:t>
      </w:r>
    </w:p>
    <w:tbl>
      <w:tblPr>
        <w:tblW w:w="4916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1008"/>
        <w:gridCol w:w="1180"/>
        <w:gridCol w:w="1180"/>
        <w:gridCol w:w="1174"/>
      </w:tblGrid>
      <w:tr w:rsidR="00FD76A3" w:rsidRPr="00FD304C" w:rsidTr="00F63279">
        <w:trPr>
          <w:cantSplit/>
          <w:trHeight w:val="227"/>
          <w:jc w:val="center"/>
        </w:trPr>
        <w:tc>
          <w:tcPr>
            <w:tcW w:w="2513" w:type="pct"/>
            <w:shd w:val="clear" w:color="auto" w:fill="auto"/>
            <w:vAlign w:val="center"/>
          </w:tcPr>
          <w:p w:rsidR="00FD76A3" w:rsidRPr="00FD304C" w:rsidRDefault="00FD76A3" w:rsidP="000E36C4">
            <w:pPr>
              <w:jc w:val="left"/>
              <w:rPr>
                <w:rFonts w:cs="Arial"/>
                <w:b/>
                <w:sz w:val="16"/>
                <w:szCs w:val="16"/>
                <w:lang w:val="cs-CZ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FD76A3" w:rsidRPr="00FD304C" w:rsidRDefault="00FD76A3" w:rsidP="00FD30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D304C">
              <w:rPr>
                <w:rFonts w:cs="Arial"/>
                <w:b/>
                <w:sz w:val="16"/>
                <w:szCs w:val="16"/>
              </w:rPr>
              <w:t>2009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D76A3" w:rsidRPr="00FD304C" w:rsidRDefault="00FD76A3" w:rsidP="00FD30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D304C">
              <w:rPr>
                <w:rFonts w:cs="Arial"/>
                <w:b/>
                <w:sz w:val="16"/>
                <w:szCs w:val="16"/>
              </w:rPr>
              <w:t>2010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D76A3" w:rsidRPr="00FD304C" w:rsidRDefault="00FD76A3" w:rsidP="00FD30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D304C">
              <w:rPr>
                <w:rFonts w:cs="Arial"/>
                <w:b/>
                <w:sz w:val="16"/>
                <w:szCs w:val="16"/>
              </w:rPr>
              <w:t>2011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FD76A3" w:rsidRPr="00FD304C" w:rsidRDefault="00FD76A3" w:rsidP="00FD30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D304C">
              <w:rPr>
                <w:rFonts w:cs="Arial"/>
                <w:b/>
                <w:sz w:val="16"/>
                <w:szCs w:val="16"/>
              </w:rPr>
              <w:t>2012</w:t>
            </w:r>
          </w:p>
        </w:tc>
      </w:tr>
      <w:tr w:rsidR="00FD76A3" w:rsidRPr="00FD304C" w:rsidTr="00F63279">
        <w:trPr>
          <w:cantSplit/>
          <w:trHeight w:val="227"/>
          <w:jc w:val="center"/>
        </w:trPr>
        <w:tc>
          <w:tcPr>
            <w:tcW w:w="2513" w:type="pct"/>
            <w:shd w:val="clear" w:color="auto" w:fill="auto"/>
            <w:vAlign w:val="center"/>
          </w:tcPr>
          <w:p w:rsidR="00FD76A3" w:rsidRPr="00FD304C" w:rsidRDefault="00FD76A3" w:rsidP="000E36C4">
            <w:pPr>
              <w:jc w:val="left"/>
              <w:rPr>
                <w:rFonts w:cs="Arial"/>
                <w:b/>
                <w:sz w:val="16"/>
                <w:szCs w:val="16"/>
                <w:lang w:val="cs-CZ"/>
              </w:rPr>
            </w:pPr>
            <w:r w:rsidRPr="00FD304C">
              <w:rPr>
                <w:rFonts w:cs="Arial"/>
                <w:b/>
                <w:sz w:val="16"/>
                <w:szCs w:val="16"/>
                <w:lang w:val="cs-CZ"/>
              </w:rPr>
              <w:t>Náklady na zdravotní služby celkem</w:t>
            </w:r>
          </w:p>
        </w:tc>
        <w:tc>
          <w:tcPr>
            <w:tcW w:w="552" w:type="pct"/>
            <w:vAlign w:val="center"/>
          </w:tcPr>
          <w:p w:rsidR="00FD76A3" w:rsidRPr="00FD304C" w:rsidRDefault="00FD76A3" w:rsidP="000E36C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D304C">
              <w:rPr>
                <w:rFonts w:cs="Arial"/>
                <w:sz w:val="16"/>
                <w:szCs w:val="16"/>
              </w:rPr>
              <w:t>8 482 462</w:t>
            </w:r>
          </w:p>
        </w:tc>
        <w:tc>
          <w:tcPr>
            <w:tcW w:w="646" w:type="pct"/>
            <w:vAlign w:val="center"/>
          </w:tcPr>
          <w:p w:rsidR="00FD76A3" w:rsidRPr="00FD304C" w:rsidRDefault="00FD76A3" w:rsidP="000E36C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D304C">
              <w:rPr>
                <w:rFonts w:cs="Arial"/>
                <w:sz w:val="16"/>
                <w:szCs w:val="16"/>
              </w:rPr>
              <w:t>13 341 945</w:t>
            </w:r>
          </w:p>
        </w:tc>
        <w:tc>
          <w:tcPr>
            <w:tcW w:w="646" w:type="pct"/>
            <w:vAlign w:val="center"/>
          </w:tcPr>
          <w:p w:rsidR="00FD76A3" w:rsidRPr="00FD304C" w:rsidRDefault="00FD76A3" w:rsidP="000E36C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D304C">
              <w:rPr>
                <w:rFonts w:cs="Arial"/>
                <w:sz w:val="16"/>
                <w:szCs w:val="16"/>
              </w:rPr>
              <w:t>13 675 716</w:t>
            </w:r>
          </w:p>
        </w:tc>
        <w:tc>
          <w:tcPr>
            <w:tcW w:w="643" w:type="pct"/>
            <w:vAlign w:val="center"/>
          </w:tcPr>
          <w:p w:rsidR="00FD76A3" w:rsidRPr="00FD304C" w:rsidRDefault="00FD76A3" w:rsidP="000E36C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D304C">
              <w:rPr>
                <w:rFonts w:cs="Arial"/>
                <w:sz w:val="16"/>
                <w:szCs w:val="16"/>
              </w:rPr>
              <w:t>16 118 858</w:t>
            </w:r>
          </w:p>
        </w:tc>
      </w:tr>
      <w:tr w:rsidR="00FD76A3" w:rsidRPr="00FD304C" w:rsidTr="00F63279">
        <w:trPr>
          <w:cantSplit/>
          <w:trHeight w:val="227"/>
          <w:jc w:val="center"/>
        </w:trPr>
        <w:tc>
          <w:tcPr>
            <w:tcW w:w="2513" w:type="pct"/>
            <w:shd w:val="clear" w:color="auto" w:fill="auto"/>
            <w:vAlign w:val="center"/>
          </w:tcPr>
          <w:p w:rsidR="00FD76A3" w:rsidRPr="00C21C0A" w:rsidRDefault="00ED005C" w:rsidP="00F63279">
            <w:pPr>
              <w:jc w:val="left"/>
              <w:rPr>
                <w:rFonts w:cs="Arial"/>
                <w:sz w:val="16"/>
                <w:szCs w:val="16"/>
                <w:lang w:val="cs-CZ"/>
              </w:rPr>
            </w:pPr>
            <w:r w:rsidRPr="00ED005C">
              <w:rPr>
                <w:rFonts w:cs="Arial"/>
                <w:sz w:val="16"/>
                <w:szCs w:val="16"/>
                <w:lang w:val="cs-CZ"/>
              </w:rPr>
              <w:t xml:space="preserve">– </w:t>
            </w:r>
            <w:r w:rsidR="00F63279" w:rsidRPr="00C21C0A">
              <w:rPr>
                <w:rFonts w:cs="Arial"/>
                <w:sz w:val="16"/>
                <w:szCs w:val="16"/>
                <w:lang w:val="cs-CZ"/>
              </w:rPr>
              <w:t>z</w:t>
            </w:r>
            <w:r w:rsidR="00FD76A3" w:rsidRPr="00C21C0A">
              <w:rPr>
                <w:rFonts w:cs="Arial"/>
                <w:sz w:val="16"/>
                <w:szCs w:val="16"/>
                <w:lang w:val="cs-CZ"/>
              </w:rPr>
              <w:t xml:space="preserve"> toho: </w:t>
            </w:r>
            <w:r w:rsidR="00F63279" w:rsidRPr="00C21C0A">
              <w:rPr>
                <w:rFonts w:cs="Arial"/>
                <w:sz w:val="16"/>
                <w:szCs w:val="16"/>
                <w:lang w:val="cs-CZ"/>
              </w:rPr>
              <w:t>n</w:t>
            </w:r>
            <w:r w:rsidR="00FD76A3" w:rsidRPr="00C21C0A">
              <w:rPr>
                <w:rFonts w:cs="Arial"/>
                <w:sz w:val="16"/>
                <w:szCs w:val="16"/>
                <w:lang w:val="cs-CZ"/>
              </w:rPr>
              <w:t>áklady na léčivé přípravky vydané na recepty</w:t>
            </w:r>
          </w:p>
        </w:tc>
        <w:tc>
          <w:tcPr>
            <w:tcW w:w="552" w:type="pct"/>
            <w:vAlign w:val="center"/>
          </w:tcPr>
          <w:p w:rsidR="00FD76A3" w:rsidRPr="00FD304C" w:rsidRDefault="00FD76A3" w:rsidP="000E36C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D304C">
              <w:rPr>
                <w:rFonts w:cs="Arial"/>
                <w:sz w:val="16"/>
                <w:szCs w:val="16"/>
              </w:rPr>
              <w:t>1 413 111</w:t>
            </w:r>
          </w:p>
        </w:tc>
        <w:tc>
          <w:tcPr>
            <w:tcW w:w="646" w:type="pct"/>
            <w:vAlign w:val="center"/>
          </w:tcPr>
          <w:p w:rsidR="00FD76A3" w:rsidRPr="00FD304C" w:rsidRDefault="00FD76A3" w:rsidP="000E36C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D304C">
              <w:rPr>
                <w:rFonts w:cs="Arial"/>
                <w:sz w:val="16"/>
                <w:szCs w:val="16"/>
              </w:rPr>
              <w:t>2 127 831</w:t>
            </w:r>
          </w:p>
        </w:tc>
        <w:tc>
          <w:tcPr>
            <w:tcW w:w="646" w:type="pct"/>
            <w:vAlign w:val="center"/>
          </w:tcPr>
          <w:p w:rsidR="00FD76A3" w:rsidRPr="00FD304C" w:rsidRDefault="00FD76A3" w:rsidP="000E36C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D304C">
              <w:rPr>
                <w:rFonts w:cs="Arial"/>
                <w:sz w:val="16"/>
                <w:szCs w:val="16"/>
              </w:rPr>
              <w:t xml:space="preserve">2 398 </w:t>
            </w:r>
            <w:r w:rsidR="00B40E8D" w:rsidRPr="00FD304C">
              <w:rPr>
                <w:rFonts w:cs="Arial"/>
                <w:sz w:val="16"/>
                <w:szCs w:val="16"/>
              </w:rPr>
              <w:t>386</w:t>
            </w:r>
          </w:p>
        </w:tc>
        <w:tc>
          <w:tcPr>
            <w:tcW w:w="643" w:type="pct"/>
            <w:vAlign w:val="center"/>
          </w:tcPr>
          <w:p w:rsidR="00FD76A3" w:rsidRPr="00FD304C" w:rsidRDefault="00FD76A3" w:rsidP="000E36C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D304C">
              <w:rPr>
                <w:rFonts w:cs="Arial"/>
                <w:sz w:val="16"/>
                <w:szCs w:val="16"/>
              </w:rPr>
              <w:t>2 573 630</w:t>
            </w:r>
          </w:p>
        </w:tc>
      </w:tr>
      <w:tr w:rsidR="00FD76A3" w:rsidRPr="00FD304C" w:rsidTr="00F63279">
        <w:trPr>
          <w:cantSplit/>
          <w:trHeight w:val="227"/>
          <w:jc w:val="center"/>
        </w:trPr>
        <w:tc>
          <w:tcPr>
            <w:tcW w:w="2513" w:type="pct"/>
            <w:shd w:val="clear" w:color="auto" w:fill="auto"/>
            <w:vAlign w:val="center"/>
          </w:tcPr>
          <w:p w:rsidR="00FD76A3" w:rsidRPr="00C21C0A" w:rsidRDefault="00FD76A3" w:rsidP="000E36C4">
            <w:pPr>
              <w:ind w:firstLine="621"/>
              <w:jc w:val="left"/>
              <w:rPr>
                <w:rFonts w:cs="Arial"/>
                <w:sz w:val="16"/>
                <w:szCs w:val="16"/>
                <w:lang w:val="cs-CZ"/>
              </w:rPr>
            </w:pPr>
            <w:r w:rsidRPr="00C21C0A">
              <w:rPr>
                <w:rFonts w:cs="Arial"/>
                <w:sz w:val="16"/>
                <w:szCs w:val="16"/>
                <w:lang w:val="cs-CZ"/>
              </w:rPr>
              <w:t>v %</w:t>
            </w:r>
            <w:r w:rsidR="00347742" w:rsidRPr="00C21C0A">
              <w:rPr>
                <w:rFonts w:cs="Arial"/>
                <w:sz w:val="16"/>
                <w:szCs w:val="16"/>
                <w:lang w:val="cs-CZ"/>
              </w:rPr>
              <w:t xml:space="preserve"> z celkových nákladů</w:t>
            </w:r>
          </w:p>
        </w:tc>
        <w:tc>
          <w:tcPr>
            <w:tcW w:w="552" w:type="pct"/>
            <w:vAlign w:val="center"/>
          </w:tcPr>
          <w:p w:rsidR="00FD76A3" w:rsidRPr="00FD304C" w:rsidRDefault="00FD76A3" w:rsidP="000E36C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D304C">
              <w:rPr>
                <w:rFonts w:cs="Arial"/>
                <w:sz w:val="16"/>
                <w:szCs w:val="16"/>
              </w:rPr>
              <w:t>16,66</w:t>
            </w:r>
          </w:p>
        </w:tc>
        <w:tc>
          <w:tcPr>
            <w:tcW w:w="646" w:type="pct"/>
            <w:vAlign w:val="center"/>
          </w:tcPr>
          <w:p w:rsidR="00FD76A3" w:rsidRPr="00FD304C" w:rsidRDefault="00FD76A3" w:rsidP="000E36C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D304C">
              <w:rPr>
                <w:rFonts w:cs="Arial"/>
                <w:sz w:val="16"/>
                <w:szCs w:val="16"/>
              </w:rPr>
              <w:t>15,95</w:t>
            </w:r>
          </w:p>
        </w:tc>
        <w:tc>
          <w:tcPr>
            <w:tcW w:w="646" w:type="pct"/>
            <w:vAlign w:val="center"/>
          </w:tcPr>
          <w:p w:rsidR="00FD76A3" w:rsidRPr="00FD304C" w:rsidRDefault="00FD76A3" w:rsidP="000E36C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D304C">
              <w:rPr>
                <w:rFonts w:cs="Arial"/>
                <w:sz w:val="16"/>
                <w:szCs w:val="16"/>
              </w:rPr>
              <w:t>17,54</w:t>
            </w:r>
          </w:p>
        </w:tc>
        <w:tc>
          <w:tcPr>
            <w:tcW w:w="643" w:type="pct"/>
            <w:vAlign w:val="center"/>
          </w:tcPr>
          <w:p w:rsidR="00FD76A3" w:rsidRPr="00FD304C" w:rsidRDefault="00FD76A3" w:rsidP="000E36C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D304C">
              <w:rPr>
                <w:rFonts w:cs="Arial"/>
                <w:sz w:val="16"/>
                <w:szCs w:val="16"/>
              </w:rPr>
              <w:t>15,97</w:t>
            </w:r>
          </w:p>
        </w:tc>
      </w:tr>
      <w:tr w:rsidR="00FD76A3" w:rsidRPr="00FD304C" w:rsidTr="00F63279">
        <w:trPr>
          <w:cantSplit/>
          <w:trHeight w:val="227"/>
          <w:jc w:val="center"/>
        </w:trPr>
        <w:tc>
          <w:tcPr>
            <w:tcW w:w="2513" w:type="pct"/>
            <w:shd w:val="clear" w:color="auto" w:fill="auto"/>
            <w:vAlign w:val="center"/>
          </w:tcPr>
          <w:p w:rsidR="00FD76A3" w:rsidRPr="00C21C0A" w:rsidRDefault="00ED005C" w:rsidP="00F63279">
            <w:pPr>
              <w:ind w:firstLine="621"/>
              <w:jc w:val="left"/>
              <w:rPr>
                <w:rFonts w:cs="Arial"/>
                <w:sz w:val="16"/>
                <w:szCs w:val="16"/>
                <w:lang w:val="cs-CZ"/>
              </w:rPr>
            </w:pPr>
            <w:r w:rsidRPr="00ED005C">
              <w:rPr>
                <w:rFonts w:cs="Arial"/>
                <w:sz w:val="16"/>
                <w:szCs w:val="16"/>
                <w:lang w:val="cs-CZ"/>
              </w:rPr>
              <w:t xml:space="preserve">– </w:t>
            </w:r>
            <w:r w:rsidR="00994610" w:rsidRPr="00C21C0A">
              <w:rPr>
                <w:rFonts w:cs="Arial"/>
                <w:sz w:val="16"/>
                <w:szCs w:val="16"/>
                <w:lang w:val="cs-CZ"/>
              </w:rPr>
              <w:t xml:space="preserve">z </w:t>
            </w:r>
            <w:r w:rsidR="00FD76A3" w:rsidRPr="00C21C0A">
              <w:rPr>
                <w:rFonts w:cs="Arial"/>
                <w:sz w:val="16"/>
                <w:szCs w:val="16"/>
                <w:lang w:val="cs-CZ"/>
              </w:rPr>
              <w:t xml:space="preserve">toho: </w:t>
            </w:r>
            <w:proofErr w:type="spellStart"/>
            <w:r w:rsidR="00F63279" w:rsidRPr="00C21C0A">
              <w:rPr>
                <w:rFonts w:cs="Arial"/>
                <w:sz w:val="16"/>
                <w:szCs w:val="16"/>
                <w:lang w:val="cs-CZ"/>
              </w:rPr>
              <w:t>c</w:t>
            </w:r>
            <w:r w:rsidR="00FD76A3" w:rsidRPr="00C21C0A">
              <w:rPr>
                <w:rFonts w:cs="Arial"/>
                <w:sz w:val="16"/>
                <w:szCs w:val="16"/>
                <w:lang w:val="cs-CZ"/>
              </w:rPr>
              <w:t>entrové</w:t>
            </w:r>
            <w:proofErr w:type="spellEnd"/>
            <w:r w:rsidR="00FD76A3" w:rsidRPr="00C21C0A">
              <w:rPr>
                <w:rFonts w:cs="Arial"/>
                <w:sz w:val="16"/>
                <w:szCs w:val="16"/>
                <w:lang w:val="cs-CZ"/>
              </w:rPr>
              <w:t xml:space="preserve"> léky</w:t>
            </w:r>
          </w:p>
        </w:tc>
        <w:tc>
          <w:tcPr>
            <w:tcW w:w="552" w:type="pct"/>
            <w:vAlign w:val="center"/>
          </w:tcPr>
          <w:p w:rsidR="00FD76A3" w:rsidRPr="00FD304C" w:rsidRDefault="00FD76A3" w:rsidP="000E36C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D304C">
              <w:rPr>
                <w:rFonts w:cs="Arial"/>
                <w:sz w:val="16"/>
                <w:szCs w:val="16"/>
              </w:rPr>
              <w:t>146 696</w:t>
            </w:r>
          </w:p>
        </w:tc>
        <w:tc>
          <w:tcPr>
            <w:tcW w:w="646" w:type="pct"/>
            <w:vAlign w:val="center"/>
          </w:tcPr>
          <w:p w:rsidR="00FD76A3" w:rsidRPr="00FD304C" w:rsidRDefault="00FD76A3" w:rsidP="000E36C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D304C">
              <w:rPr>
                <w:rFonts w:cs="Arial"/>
                <w:sz w:val="16"/>
                <w:szCs w:val="16"/>
              </w:rPr>
              <w:t>304 428</w:t>
            </w:r>
          </w:p>
        </w:tc>
        <w:tc>
          <w:tcPr>
            <w:tcW w:w="646" w:type="pct"/>
            <w:vAlign w:val="center"/>
          </w:tcPr>
          <w:p w:rsidR="00FD76A3" w:rsidRPr="00FD304C" w:rsidRDefault="00FD76A3" w:rsidP="000E36C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D304C">
              <w:rPr>
                <w:rFonts w:cs="Arial"/>
                <w:sz w:val="16"/>
                <w:szCs w:val="16"/>
              </w:rPr>
              <w:t>397 299</w:t>
            </w:r>
          </w:p>
        </w:tc>
        <w:tc>
          <w:tcPr>
            <w:tcW w:w="643" w:type="pct"/>
            <w:vAlign w:val="center"/>
          </w:tcPr>
          <w:p w:rsidR="00FD76A3" w:rsidRPr="00FD304C" w:rsidRDefault="00FD76A3" w:rsidP="000E36C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D304C">
              <w:rPr>
                <w:rFonts w:cs="Arial"/>
                <w:sz w:val="16"/>
                <w:szCs w:val="16"/>
              </w:rPr>
              <w:t>557 072</w:t>
            </w:r>
          </w:p>
        </w:tc>
      </w:tr>
      <w:tr w:rsidR="00FD76A3" w:rsidRPr="00FD304C" w:rsidTr="00F63279">
        <w:trPr>
          <w:cantSplit/>
          <w:trHeight w:val="227"/>
          <w:jc w:val="center"/>
        </w:trPr>
        <w:tc>
          <w:tcPr>
            <w:tcW w:w="2513" w:type="pct"/>
            <w:shd w:val="clear" w:color="auto" w:fill="auto"/>
            <w:vAlign w:val="center"/>
          </w:tcPr>
          <w:p w:rsidR="00FD76A3" w:rsidRPr="00C21C0A" w:rsidRDefault="00FD76A3" w:rsidP="000E36C4">
            <w:pPr>
              <w:ind w:firstLine="621"/>
              <w:jc w:val="left"/>
              <w:rPr>
                <w:rFonts w:cs="Arial"/>
                <w:sz w:val="16"/>
                <w:szCs w:val="16"/>
                <w:lang w:val="cs-CZ"/>
              </w:rPr>
            </w:pPr>
            <w:r w:rsidRPr="00C21C0A">
              <w:rPr>
                <w:rFonts w:cs="Arial"/>
                <w:sz w:val="16"/>
                <w:szCs w:val="16"/>
                <w:lang w:val="cs-CZ"/>
              </w:rPr>
              <w:t>v %</w:t>
            </w:r>
            <w:r w:rsidR="00347742" w:rsidRPr="00C21C0A">
              <w:rPr>
                <w:rFonts w:cs="Arial"/>
                <w:sz w:val="16"/>
                <w:szCs w:val="16"/>
                <w:lang w:val="cs-CZ"/>
              </w:rPr>
              <w:t xml:space="preserve"> z celkových nákladů</w:t>
            </w:r>
          </w:p>
        </w:tc>
        <w:tc>
          <w:tcPr>
            <w:tcW w:w="552" w:type="pct"/>
            <w:vAlign w:val="center"/>
          </w:tcPr>
          <w:p w:rsidR="00FD76A3" w:rsidRPr="00FD304C" w:rsidRDefault="00FD76A3" w:rsidP="000E36C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D304C">
              <w:rPr>
                <w:rFonts w:cs="Arial"/>
                <w:sz w:val="16"/>
                <w:szCs w:val="16"/>
              </w:rPr>
              <w:t>10,38</w:t>
            </w:r>
          </w:p>
        </w:tc>
        <w:tc>
          <w:tcPr>
            <w:tcW w:w="646" w:type="pct"/>
            <w:vAlign w:val="center"/>
          </w:tcPr>
          <w:p w:rsidR="00FD76A3" w:rsidRPr="00FD304C" w:rsidRDefault="00FD76A3" w:rsidP="000E36C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D304C">
              <w:rPr>
                <w:rFonts w:cs="Arial"/>
                <w:sz w:val="16"/>
                <w:szCs w:val="16"/>
              </w:rPr>
              <w:t>14,31</w:t>
            </w:r>
          </w:p>
        </w:tc>
        <w:tc>
          <w:tcPr>
            <w:tcW w:w="646" w:type="pct"/>
            <w:vAlign w:val="center"/>
          </w:tcPr>
          <w:p w:rsidR="00FD76A3" w:rsidRPr="00FD304C" w:rsidRDefault="00FD76A3" w:rsidP="000E36C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D304C">
              <w:rPr>
                <w:rFonts w:cs="Arial"/>
                <w:sz w:val="16"/>
                <w:szCs w:val="16"/>
              </w:rPr>
              <w:t>16,56</w:t>
            </w:r>
          </w:p>
        </w:tc>
        <w:tc>
          <w:tcPr>
            <w:tcW w:w="643" w:type="pct"/>
            <w:vAlign w:val="center"/>
          </w:tcPr>
          <w:p w:rsidR="00FD76A3" w:rsidRPr="00FD304C" w:rsidRDefault="00FD76A3" w:rsidP="000E36C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FD304C">
              <w:rPr>
                <w:rFonts w:cs="Arial"/>
                <w:sz w:val="16"/>
                <w:szCs w:val="16"/>
              </w:rPr>
              <w:t>21,65</w:t>
            </w:r>
          </w:p>
        </w:tc>
      </w:tr>
    </w:tbl>
    <w:p w:rsidR="00FD76A3" w:rsidRPr="00A859AD" w:rsidRDefault="00FD76A3" w:rsidP="00A859AD">
      <w:pPr>
        <w:spacing w:before="40"/>
        <w:rPr>
          <w:sz w:val="18"/>
          <w:szCs w:val="18"/>
          <w:lang w:val="cs-CZ"/>
        </w:rPr>
      </w:pPr>
      <w:r w:rsidRPr="00A859AD">
        <w:rPr>
          <w:b/>
          <w:sz w:val="18"/>
          <w:szCs w:val="18"/>
          <w:lang w:val="cs-CZ"/>
        </w:rPr>
        <w:t>Zdroj:</w:t>
      </w:r>
      <w:r w:rsidRPr="00A859AD">
        <w:rPr>
          <w:sz w:val="18"/>
          <w:szCs w:val="18"/>
          <w:lang w:val="cs-CZ"/>
        </w:rPr>
        <w:t xml:space="preserve"> </w:t>
      </w:r>
      <w:r w:rsidR="00ED005C">
        <w:rPr>
          <w:sz w:val="18"/>
          <w:szCs w:val="18"/>
          <w:lang w:val="cs-CZ"/>
        </w:rPr>
        <w:t>ú</w:t>
      </w:r>
      <w:r w:rsidR="00347742" w:rsidRPr="00A859AD">
        <w:rPr>
          <w:sz w:val="18"/>
          <w:szCs w:val="18"/>
          <w:lang w:val="cs-CZ"/>
        </w:rPr>
        <w:t xml:space="preserve">četní záznamy </w:t>
      </w:r>
      <w:r w:rsidRPr="00A859AD">
        <w:rPr>
          <w:sz w:val="18"/>
          <w:szCs w:val="18"/>
          <w:lang w:val="cs-CZ"/>
        </w:rPr>
        <w:t xml:space="preserve">ČPZP, </w:t>
      </w:r>
      <w:r w:rsidR="00ED005C">
        <w:rPr>
          <w:sz w:val="18"/>
          <w:szCs w:val="18"/>
          <w:lang w:val="cs-CZ"/>
        </w:rPr>
        <w:t>v</w:t>
      </w:r>
      <w:r w:rsidRPr="00A859AD">
        <w:rPr>
          <w:sz w:val="18"/>
          <w:szCs w:val="18"/>
          <w:lang w:val="cs-CZ"/>
        </w:rPr>
        <w:t>ýroční zprávy ČPZP za roky 2009 až 2012.</w:t>
      </w:r>
    </w:p>
    <w:p w:rsidR="00FD76A3" w:rsidRPr="00FD304C" w:rsidRDefault="00FD76A3" w:rsidP="00FD304C">
      <w:pPr>
        <w:rPr>
          <w:rFonts w:cs="Arial"/>
          <w:szCs w:val="22"/>
          <w:lang w:val="cs-CZ"/>
        </w:rPr>
      </w:pPr>
    </w:p>
    <w:p w:rsidR="00F554F1" w:rsidRPr="00FD304C" w:rsidRDefault="00853B1A" w:rsidP="00FD304C">
      <w:pPr>
        <w:rPr>
          <w:rFonts w:cs="Arial"/>
          <w:i/>
          <w:szCs w:val="22"/>
          <w:lang w:val="cs-CZ"/>
        </w:rPr>
      </w:pPr>
      <w:r w:rsidRPr="00FD304C">
        <w:rPr>
          <w:rFonts w:cs="Arial"/>
          <w:szCs w:val="22"/>
          <w:lang w:val="cs-CZ"/>
        </w:rPr>
        <w:t xml:space="preserve">Významné procento z celkových nákladů na léky tvoří náklady na </w:t>
      </w:r>
      <w:r w:rsidR="00D91D6E" w:rsidRPr="00FD304C">
        <w:rPr>
          <w:rFonts w:cs="Arial"/>
          <w:szCs w:val="22"/>
          <w:lang w:val="cs-CZ"/>
        </w:rPr>
        <w:t xml:space="preserve">tzv. </w:t>
      </w:r>
      <w:proofErr w:type="spellStart"/>
      <w:r w:rsidR="00D91D6E" w:rsidRPr="00FD304C">
        <w:rPr>
          <w:rFonts w:cs="Arial"/>
          <w:szCs w:val="22"/>
          <w:lang w:val="cs-CZ"/>
        </w:rPr>
        <w:t>centrové</w:t>
      </w:r>
      <w:proofErr w:type="spellEnd"/>
      <w:r w:rsidR="00D91D6E" w:rsidRPr="00FD304C">
        <w:rPr>
          <w:rFonts w:cs="Arial"/>
          <w:szCs w:val="22"/>
          <w:lang w:val="cs-CZ"/>
        </w:rPr>
        <w:t xml:space="preserve"> léky</w:t>
      </w:r>
      <w:r w:rsidR="006B42F6" w:rsidRPr="00FD304C">
        <w:rPr>
          <w:rStyle w:val="Znakapoznpodarou"/>
          <w:rFonts w:cs="Arial"/>
          <w:szCs w:val="22"/>
          <w:lang w:val="cs-CZ"/>
        </w:rPr>
        <w:footnoteReference w:id="10"/>
      </w:r>
      <w:r w:rsidR="00D91D6E" w:rsidRPr="00FD304C">
        <w:rPr>
          <w:rFonts w:cs="Arial"/>
          <w:szCs w:val="22"/>
          <w:lang w:val="cs-CZ"/>
        </w:rPr>
        <w:t xml:space="preserve">, které </w:t>
      </w:r>
      <w:r w:rsidRPr="00FD304C">
        <w:rPr>
          <w:rFonts w:cs="Arial"/>
          <w:szCs w:val="22"/>
          <w:lang w:val="cs-CZ"/>
        </w:rPr>
        <w:t xml:space="preserve">ČPZP sledovala odděleně. Tyto léky </w:t>
      </w:r>
      <w:r w:rsidR="00D91D6E" w:rsidRPr="00FD304C">
        <w:rPr>
          <w:rFonts w:cs="Arial"/>
          <w:szCs w:val="22"/>
          <w:lang w:val="cs-CZ"/>
        </w:rPr>
        <w:t xml:space="preserve">jsou hrazeny na základě </w:t>
      </w:r>
      <w:r w:rsidR="00575FB2" w:rsidRPr="00FD304C">
        <w:rPr>
          <w:rFonts w:cs="Arial"/>
          <w:szCs w:val="22"/>
          <w:lang w:val="cs-CZ"/>
        </w:rPr>
        <w:t xml:space="preserve">samostatných </w:t>
      </w:r>
      <w:r w:rsidR="00D91D6E" w:rsidRPr="00FD304C">
        <w:rPr>
          <w:rFonts w:cs="Arial"/>
          <w:szCs w:val="22"/>
          <w:lang w:val="cs-CZ"/>
        </w:rPr>
        <w:t>zvláštních</w:t>
      </w:r>
      <w:r w:rsidR="00CC2483" w:rsidRPr="00FD304C">
        <w:rPr>
          <w:rFonts w:cs="Arial"/>
          <w:szCs w:val="22"/>
          <w:lang w:val="cs-CZ"/>
        </w:rPr>
        <w:t xml:space="preserve"> smluv </w:t>
      </w:r>
      <w:r w:rsidR="00347742" w:rsidRPr="00FD304C">
        <w:rPr>
          <w:rFonts w:cs="Arial"/>
          <w:szCs w:val="22"/>
          <w:lang w:val="cs-CZ"/>
        </w:rPr>
        <w:t xml:space="preserve">uzavřených </w:t>
      </w:r>
      <w:r w:rsidR="00CC2483" w:rsidRPr="00FD304C">
        <w:rPr>
          <w:rFonts w:cs="Arial"/>
          <w:szCs w:val="22"/>
          <w:lang w:val="cs-CZ"/>
        </w:rPr>
        <w:t>s poskytovateli</w:t>
      </w:r>
      <w:r w:rsidR="00D91D6E" w:rsidRPr="00FD304C">
        <w:rPr>
          <w:rFonts w:cs="Arial"/>
          <w:szCs w:val="22"/>
          <w:lang w:val="cs-CZ"/>
        </w:rPr>
        <w:t xml:space="preserve"> ZS.</w:t>
      </w:r>
      <w:r w:rsidRPr="00FD304C">
        <w:rPr>
          <w:rFonts w:cs="Arial"/>
          <w:szCs w:val="22"/>
          <w:lang w:val="cs-CZ"/>
        </w:rPr>
        <w:t xml:space="preserve"> Např. v roce 2012 </w:t>
      </w:r>
      <w:r w:rsidR="002A626B" w:rsidRPr="00FD304C">
        <w:rPr>
          <w:rFonts w:cs="Arial"/>
          <w:szCs w:val="22"/>
          <w:lang w:val="cs-CZ"/>
        </w:rPr>
        <w:t xml:space="preserve">měla </w:t>
      </w:r>
      <w:r w:rsidR="00812FCE" w:rsidRPr="00FD304C">
        <w:rPr>
          <w:rFonts w:cs="Arial"/>
          <w:szCs w:val="22"/>
          <w:lang w:val="cs-CZ"/>
        </w:rPr>
        <w:t>ČPZP uzavřen</w:t>
      </w:r>
      <w:r w:rsidR="00F554F1" w:rsidRPr="00FD304C">
        <w:rPr>
          <w:rFonts w:cs="Arial"/>
          <w:szCs w:val="22"/>
          <w:lang w:val="cs-CZ"/>
        </w:rPr>
        <w:t xml:space="preserve">u </w:t>
      </w:r>
      <w:r w:rsidR="00CC2483" w:rsidRPr="00FD304C">
        <w:rPr>
          <w:rFonts w:cs="Arial"/>
          <w:szCs w:val="22"/>
          <w:lang w:val="cs-CZ"/>
        </w:rPr>
        <w:t>z</w:t>
      </w:r>
      <w:r w:rsidR="00F554F1" w:rsidRPr="00FD304C">
        <w:rPr>
          <w:rFonts w:cs="Arial"/>
          <w:szCs w:val="22"/>
          <w:lang w:val="cs-CZ"/>
        </w:rPr>
        <w:t xml:space="preserve">vláštní smlouvu celkem s 59 </w:t>
      </w:r>
      <w:r w:rsidR="005C2FCA" w:rsidRPr="00FD304C">
        <w:rPr>
          <w:rFonts w:cs="Arial"/>
          <w:szCs w:val="22"/>
          <w:lang w:val="cs-CZ"/>
        </w:rPr>
        <w:t xml:space="preserve">poskytovateli </w:t>
      </w:r>
      <w:r w:rsidR="00F554F1" w:rsidRPr="00FD304C">
        <w:rPr>
          <w:rFonts w:cs="Arial"/>
          <w:szCs w:val="22"/>
          <w:lang w:val="cs-CZ"/>
        </w:rPr>
        <w:t>ZS</w:t>
      </w:r>
      <w:r w:rsidRPr="00FD304C">
        <w:rPr>
          <w:rFonts w:cs="Arial"/>
          <w:szCs w:val="22"/>
          <w:lang w:val="cs-CZ"/>
        </w:rPr>
        <w:t xml:space="preserve">. </w:t>
      </w:r>
      <w:r w:rsidR="00F554F1" w:rsidRPr="00FD304C">
        <w:rPr>
          <w:rFonts w:cs="Arial"/>
          <w:szCs w:val="22"/>
          <w:lang w:val="cs-CZ"/>
        </w:rPr>
        <w:t xml:space="preserve">Smluvní síť specializovaných pracovišť se </w:t>
      </w:r>
      <w:r w:rsidR="00347742" w:rsidRPr="00FD304C">
        <w:rPr>
          <w:rFonts w:cs="Arial"/>
          <w:szCs w:val="22"/>
          <w:lang w:val="cs-CZ"/>
        </w:rPr>
        <w:t xml:space="preserve">zvláštní </w:t>
      </w:r>
      <w:r w:rsidR="00F554F1" w:rsidRPr="00FD304C">
        <w:rPr>
          <w:rFonts w:cs="Arial"/>
          <w:szCs w:val="22"/>
          <w:lang w:val="cs-CZ"/>
        </w:rPr>
        <w:t xml:space="preserve">smlouvou nezahrnovala všechna pracoviště se statutem centra pro léčbu </w:t>
      </w:r>
      <w:proofErr w:type="spellStart"/>
      <w:r w:rsidR="00F554F1" w:rsidRPr="00FD304C">
        <w:rPr>
          <w:rFonts w:cs="Arial"/>
          <w:szCs w:val="22"/>
          <w:lang w:val="cs-CZ"/>
        </w:rPr>
        <w:t>centrovými</w:t>
      </w:r>
      <w:proofErr w:type="spellEnd"/>
      <w:r w:rsidR="00F554F1" w:rsidRPr="00FD304C">
        <w:rPr>
          <w:rFonts w:cs="Arial"/>
          <w:szCs w:val="22"/>
          <w:lang w:val="cs-CZ"/>
        </w:rPr>
        <w:t xml:space="preserve"> léky</w:t>
      </w:r>
      <w:r w:rsidR="00FD76A3" w:rsidRPr="00FD304C">
        <w:rPr>
          <w:rFonts w:cs="Arial"/>
          <w:szCs w:val="22"/>
          <w:lang w:val="cs-CZ"/>
        </w:rPr>
        <w:t>.</w:t>
      </w:r>
      <w:r w:rsidR="00FD76A3" w:rsidRPr="00FD304C">
        <w:rPr>
          <w:rFonts w:cs="Arial"/>
          <w:i/>
          <w:szCs w:val="22"/>
          <w:lang w:val="cs-CZ"/>
        </w:rPr>
        <w:t xml:space="preserve"> </w:t>
      </w:r>
    </w:p>
    <w:p w:rsidR="00BF76EE" w:rsidRPr="00FD304C" w:rsidRDefault="00BF76EE" w:rsidP="00FD304C">
      <w:pPr>
        <w:rPr>
          <w:rFonts w:cs="Arial"/>
          <w:szCs w:val="22"/>
          <w:highlight w:val="yellow"/>
          <w:lang w:val="cs-CZ"/>
        </w:rPr>
      </w:pPr>
    </w:p>
    <w:p w:rsidR="00F554F1" w:rsidRPr="00FD304C" w:rsidRDefault="00F554F1" w:rsidP="00FD304C">
      <w:pPr>
        <w:tabs>
          <w:tab w:val="left" w:pos="567"/>
        </w:tabs>
        <w:ind w:left="567" w:hanging="567"/>
        <w:contextualSpacing/>
        <w:outlineLvl w:val="2"/>
        <w:rPr>
          <w:rFonts w:cs="Arial"/>
          <w:b/>
          <w:szCs w:val="22"/>
          <w:lang w:val="cs-CZ"/>
        </w:rPr>
      </w:pPr>
      <w:r w:rsidRPr="00FD304C">
        <w:rPr>
          <w:rFonts w:cs="Arial"/>
          <w:b/>
          <w:szCs w:val="22"/>
          <w:lang w:val="cs-CZ"/>
        </w:rPr>
        <w:t>Náklady na zdravotnické prostředky</w:t>
      </w:r>
    </w:p>
    <w:p w:rsidR="00B734E9" w:rsidRDefault="00B734E9" w:rsidP="00FD304C">
      <w:pPr>
        <w:rPr>
          <w:rFonts w:cs="Arial"/>
          <w:szCs w:val="22"/>
          <w:lang w:val="cs-CZ"/>
        </w:rPr>
      </w:pPr>
    </w:p>
    <w:p w:rsidR="00BD57BC" w:rsidRPr="00FD304C" w:rsidRDefault="00812FCE" w:rsidP="00FD304C">
      <w:pPr>
        <w:rPr>
          <w:rFonts w:cs="Arial"/>
          <w:szCs w:val="22"/>
          <w:lang w:val="cs-CZ"/>
        </w:rPr>
      </w:pPr>
      <w:r w:rsidRPr="00FD304C">
        <w:rPr>
          <w:rFonts w:cs="Arial"/>
          <w:szCs w:val="22"/>
          <w:lang w:val="cs-CZ"/>
        </w:rPr>
        <w:t>Do hrazených zdravotních služeb je zahrnuto i p</w:t>
      </w:r>
      <w:r w:rsidR="00F554F1" w:rsidRPr="00FD304C">
        <w:rPr>
          <w:rFonts w:cs="Arial"/>
          <w:szCs w:val="22"/>
          <w:lang w:val="cs-CZ"/>
        </w:rPr>
        <w:t>oskytování zdravo</w:t>
      </w:r>
      <w:r w:rsidRPr="00FD304C">
        <w:rPr>
          <w:rFonts w:cs="Arial"/>
          <w:szCs w:val="22"/>
          <w:lang w:val="cs-CZ"/>
        </w:rPr>
        <w:t>tnických prostředků</w:t>
      </w:r>
      <w:r w:rsidR="00347742" w:rsidRPr="00FD304C">
        <w:rPr>
          <w:rFonts w:cs="Arial"/>
          <w:szCs w:val="22"/>
          <w:lang w:val="cs-CZ"/>
        </w:rPr>
        <w:t xml:space="preserve"> (dále také „</w:t>
      </w:r>
      <w:proofErr w:type="spellStart"/>
      <w:r w:rsidR="00347742" w:rsidRPr="00FD304C">
        <w:rPr>
          <w:rFonts w:cs="Arial"/>
          <w:szCs w:val="22"/>
          <w:lang w:val="cs-CZ"/>
        </w:rPr>
        <w:t>ZPr</w:t>
      </w:r>
      <w:proofErr w:type="spellEnd"/>
      <w:r w:rsidR="00347742" w:rsidRPr="00FD304C">
        <w:rPr>
          <w:rFonts w:cs="Arial"/>
          <w:szCs w:val="22"/>
          <w:lang w:val="cs-CZ"/>
        </w:rPr>
        <w:t>“)</w:t>
      </w:r>
      <w:r w:rsidRPr="00FD304C">
        <w:rPr>
          <w:rFonts w:cs="Arial"/>
          <w:szCs w:val="22"/>
          <w:lang w:val="cs-CZ"/>
        </w:rPr>
        <w:t>.</w:t>
      </w:r>
      <w:r w:rsidR="00F554F1" w:rsidRPr="00FD304C">
        <w:rPr>
          <w:rFonts w:cs="Arial"/>
          <w:szCs w:val="22"/>
          <w:lang w:val="cs-CZ"/>
        </w:rPr>
        <w:t xml:space="preserve"> Mezi </w:t>
      </w:r>
      <w:proofErr w:type="spellStart"/>
      <w:r w:rsidR="00F554F1" w:rsidRPr="00FD304C">
        <w:rPr>
          <w:rFonts w:cs="Arial"/>
          <w:szCs w:val="22"/>
          <w:lang w:val="cs-CZ"/>
        </w:rPr>
        <w:t>ZPr</w:t>
      </w:r>
      <w:proofErr w:type="spellEnd"/>
      <w:r w:rsidR="00F554F1" w:rsidRPr="00FD304C">
        <w:rPr>
          <w:rFonts w:cs="Arial"/>
          <w:szCs w:val="22"/>
          <w:lang w:val="cs-CZ"/>
        </w:rPr>
        <w:t xml:space="preserve"> patří prostředky implantované, prostředky zapůjčené pojištěncům, tzv. </w:t>
      </w:r>
      <w:r w:rsidR="00F554F1" w:rsidRPr="00FD304C">
        <w:rPr>
          <w:rFonts w:cs="Arial"/>
          <w:szCs w:val="22"/>
          <w:lang w:val="cs-CZ"/>
        </w:rPr>
        <w:lastRenderedPageBreak/>
        <w:t xml:space="preserve">cirkulované (např. vozík mechanický, elektrický, polohovací lůžko) a prostředky kompenzační. </w:t>
      </w:r>
      <w:proofErr w:type="spellStart"/>
      <w:r w:rsidR="00BD57BC" w:rsidRPr="00FD304C">
        <w:rPr>
          <w:rFonts w:cs="Arial"/>
          <w:szCs w:val="22"/>
          <w:lang w:val="cs-CZ"/>
        </w:rPr>
        <w:t>ZPr</w:t>
      </w:r>
      <w:proofErr w:type="spellEnd"/>
      <w:r w:rsidR="00BD57BC" w:rsidRPr="00FD304C">
        <w:rPr>
          <w:rFonts w:cs="Arial"/>
          <w:szCs w:val="22"/>
          <w:lang w:val="cs-CZ"/>
        </w:rPr>
        <w:t xml:space="preserve"> poskytnuté pojištěncům v rámci hospitalizace jsou součástí výkonů zahrnutých do „ošetřovacího dne“.</w:t>
      </w:r>
    </w:p>
    <w:p w:rsidR="00204DED" w:rsidRPr="000E36C4" w:rsidRDefault="00204DED" w:rsidP="00FD304C">
      <w:pPr>
        <w:rPr>
          <w:rFonts w:cs="Arial"/>
          <w:color w:val="000000" w:themeColor="text1"/>
          <w:szCs w:val="22"/>
          <w:lang w:val="cs-CZ"/>
        </w:rPr>
      </w:pPr>
    </w:p>
    <w:p w:rsidR="009116AF" w:rsidRPr="000E36C4" w:rsidRDefault="00B40E8D" w:rsidP="00FD304C">
      <w:pPr>
        <w:rPr>
          <w:rFonts w:cs="Arial"/>
          <w:color w:val="000000" w:themeColor="text1"/>
          <w:szCs w:val="22"/>
          <w:lang w:val="cs-CZ"/>
        </w:rPr>
      </w:pPr>
      <w:r w:rsidRPr="000E36C4">
        <w:rPr>
          <w:rFonts w:cs="Arial"/>
          <w:color w:val="000000" w:themeColor="text1"/>
          <w:szCs w:val="22"/>
          <w:lang w:val="cs-CZ"/>
        </w:rPr>
        <w:t xml:space="preserve">ČPZP uhradila na základě smluv se 609 dodavateli zdravotnických prostředků v letech 2009 až 2012 za zdravotnické prostředky vydané na poukaz celkem 840 509 tis. Kč, tj. 1,63 % z celkových nákladů na zdravotní služby; z toho náklady na cirkulované </w:t>
      </w:r>
      <w:r w:rsidR="00FC5E21" w:rsidRPr="000E36C4">
        <w:rPr>
          <w:rFonts w:cs="Arial"/>
          <w:color w:val="000000" w:themeColor="text1"/>
          <w:szCs w:val="22"/>
          <w:lang w:val="cs-CZ"/>
        </w:rPr>
        <w:t xml:space="preserve">(opakovaně zapůjčované) </w:t>
      </w:r>
      <w:proofErr w:type="spellStart"/>
      <w:r w:rsidRPr="000E36C4">
        <w:rPr>
          <w:rFonts w:cs="Arial"/>
          <w:color w:val="000000" w:themeColor="text1"/>
          <w:szCs w:val="22"/>
          <w:lang w:val="cs-CZ"/>
        </w:rPr>
        <w:t>ZPr</w:t>
      </w:r>
      <w:proofErr w:type="spellEnd"/>
      <w:r w:rsidRPr="000E36C4">
        <w:rPr>
          <w:rFonts w:cs="Arial"/>
          <w:color w:val="000000" w:themeColor="text1"/>
          <w:szCs w:val="22"/>
          <w:lang w:val="cs-CZ"/>
        </w:rPr>
        <w:t xml:space="preserve"> činily 93 171 tis. Kč.</w:t>
      </w:r>
    </w:p>
    <w:p w:rsidR="00B40E8D" w:rsidRPr="000E36C4" w:rsidRDefault="00B40E8D" w:rsidP="00FD304C">
      <w:pPr>
        <w:rPr>
          <w:rFonts w:cs="Arial"/>
          <w:color w:val="000000" w:themeColor="text1"/>
          <w:szCs w:val="22"/>
          <w:lang w:val="cs-CZ"/>
        </w:rPr>
      </w:pPr>
    </w:p>
    <w:p w:rsidR="00B00B67" w:rsidRPr="00FD304C" w:rsidRDefault="00675D0F" w:rsidP="00A87877">
      <w:pPr>
        <w:tabs>
          <w:tab w:val="left" w:pos="8647"/>
        </w:tabs>
        <w:rPr>
          <w:rFonts w:cs="Arial"/>
          <w:szCs w:val="22"/>
          <w:lang w:val="cs-CZ"/>
        </w:rPr>
      </w:pPr>
      <w:r w:rsidRPr="00FD304C">
        <w:rPr>
          <w:rFonts w:cs="Arial"/>
          <w:szCs w:val="22"/>
          <w:lang w:val="cs-CZ"/>
        </w:rPr>
        <w:t xml:space="preserve">Výběr </w:t>
      </w:r>
      <w:r w:rsidR="00F554F1" w:rsidRPr="00FD304C">
        <w:rPr>
          <w:rFonts w:cs="Arial"/>
          <w:szCs w:val="22"/>
          <w:lang w:val="cs-CZ"/>
        </w:rPr>
        <w:t xml:space="preserve">dodavatelů </w:t>
      </w:r>
      <w:proofErr w:type="spellStart"/>
      <w:r w:rsidR="00F554F1" w:rsidRPr="00FD304C">
        <w:rPr>
          <w:rFonts w:cs="Arial"/>
          <w:szCs w:val="22"/>
          <w:lang w:val="cs-CZ"/>
        </w:rPr>
        <w:t>ZPr</w:t>
      </w:r>
      <w:proofErr w:type="spellEnd"/>
      <w:r w:rsidR="00F554F1" w:rsidRPr="00FD304C">
        <w:rPr>
          <w:rFonts w:cs="Arial"/>
          <w:szCs w:val="22"/>
          <w:lang w:val="cs-CZ"/>
        </w:rPr>
        <w:t xml:space="preserve"> nepodléhá režimu zákona č. 137/2006 Sb.</w:t>
      </w:r>
      <w:r w:rsidR="00537623" w:rsidRPr="00FD304C">
        <w:rPr>
          <w:rStyle w:val="Znakapoznpodarou"/>
          <w:rFonts w:cs="Arial"/>
          <w:szCs w:val="22"/>
          <w:lang w:val="cs-CZ"/>
        </w:rPr>
        <w:footnoteReference w:id="11"/>
      </w:r>
      <w:r w:rsidR="00F554F1" w:rsidRPr="00FD304C">
        <w:rPr>
          <w:rFonts w:cs="Arial"/>
          <w:szCs w:val="22"/>
          <w:lang w:val="cs-CZ"/>
        </w:rPr>
        <w:t xml:space="preserve"> </w:t>
      </w:r>
      <w:r w:rsidR="0064117B" w:rsidRPr="00FD304C">
        <w:rPr>
          <w:rFonts w:cs="Arial"/>
          <w:szCs w:val="22"/>
          <w:lang w:val="cs-CZ"/>
        </w:rPr>
        <w:t>Kontrolou smluvní dokumentace</w:t>
      </w:r>
      <w:r w:rsidR="00B00B67" w:rsidRPr="00FD304C">
        <w:rPr>
          <w:rFonts w:cs="Arial"/>
          <w:szCs w:val="22"/>
          <w:lang w:val="cs-CZ"/>
        </w:rPr>
        <w:t xml:space="preserve"> týkající se</w:t>
      </w:r>
      <w:r w:rsidR="00F554F1" w:rsidRPr="00FD304C">
        <w:rPr>
          <w:rFonts w:cs="Arial"/>
          <w:szCs w:val="22"/>
          <w:lang w:val="cs-CZ"/>
        </w:rPr>
        <w:t xml:space="preserve"> šesti d</w:t>
      </w:r>
      <w:r w:rsidR="00B00B67" w:rsidRPr="00FD304C">
        <w:rPr>
          <w:rFonts w:cs="Arial"/>
          <w:szCs w:val="22"/>
          <w:lang w:val="cs-CZ"/>
        </w:rPr>
        <w:t xml:space="preserve">odavatelů </w:t>
      </w:r>
      <w:proofErr w:type="spellStart"/>
      <w:r w:rsidR="00B00B67" w:rsidRPr="00FD304C">
        <w:rPr>
          <w:rFonts w:cs="Arial"/>
          <w:szCs w:val="22"/>
          <w:lang w:val="cs-CZ"/>
        </w:rPr>
        <w:t>ZPr</w:t>
      </w:r>
      <w:proofErr w:type="spellEnd"/>
      <w:r w:rsidR="00B00B67" w:rsidRPr="00FD304C">
        <w:rPr>
          <w:rFonts w:cs="Arial"/>
          <w:szCs w:val="22"/>
          <w:lang w:val="cs-CZ"/>
        </w:rPr>
        <w:t xml:space="preserve"> </w:t>
      </w:r>
      <w:r w:rsidR="0064117B" w:rsidRPr="00FD304C">
        <w:rPr>
          <w:rFonts w:cs="Arial"/>
          <w:szCs w:val="22"/>
          <w:lang w:val="cs-CZ"/>
        </w:rPr>
        <w:t>bylo zjištěno</w:t>
      </w:r>
      <w:r w:rsidR="00B00B67" w:rsidRPr="00FD304C">
        <w:rPr>
          <w:rFonts w:cs="Arial"/>
          <w:szCs w:val="22"/>
          <w:lang w:val="cs-CZ"/>
        </w:rPr>
        <w:t>, že ČPZP</w:t>
      </w:r>
      <w:r w:rsidR="00575FB2" w:rsidRPr="00FD304C">
        <w:rPr>
          <w:rFonts w:cs="Arial"/>
          <w:szCs w:val="22"/>
          <w:lang w:val="cs-CZ"/>
        </w:rPr>
        <w:t xml:space="preserve"> sjednala velmi obecná ustanovení smluv;</w:t>
      </w:r>
      <w:r w:rsidR="003F3DFD" w:rsidRPr="00FD304C">
        <w:rPr>
          <w:rFonts w:cs="Arial"/>
          <w:szCs w:val="22"/>
          <w:lang w:val="cs-CZ"/>
        </w:rPr>
        <w:t xml:space="preserve"> smlouvy například neobsahovaly </w:t>
      </w:r>
      <w:r w:rsidR="00B00B67" w:rsidRPr="00FD304C">
        <w:rPr>
          <w:rFonts w:cs="Arial"/>
          <w:szCs w:val="22"/>
          <w:lang w:val="cs-CZ"/>
        </w:rPr>
        <w:t xml:space="preserve">podrobněji </w:t>
      </w:r>
      <w:r w:rsidR="00575FB2" w:rsidRPr="00FD304C">
        <w:rPr>
          <w:rFonts w:cs="Arial"/>
          <w:szCs w:val="22"/>
          <w:lang w:val="cs-CZ"/>
        </w:rPr>
        <w:t xml:space="preserve">vymezený </w:t>
      </w:r>
      <w:r w:rsidR="00B00B67" w:rsidRPr="00FD304C">
        <w:rPr>
          <w:rFonts w:cs="Arial"/>
          <w:szCs w:val="22"/>
          <w:lang w:val="cs-CZ"/>
        </w:rPr>
        <w:t>předmět dodávky</w:t>
      </w:r>
      <w:r w:rsidR="0064117B" w:rsidRPr="00FD304C">
        <w:rPr>
          <w:rFonts w:cs="Arial"/>
          <w:szCs w:val="22"/>
          <w:lang w:val="cs-CZ"/>
        </w:rPr>
        <w:t xml:space="preserve">, ceník jednotlivých </w:t>
      </w:r>
      <w:proofErr w:type="spellStart"/>
      <w:r w:rsidR="0064117B" w:rsidRPr="00FD304C">
        <w:rPr>
          <w:rFonts w:cs="Arial"/>
          <w:szCs w:val="22"/>
          <w:lang w:val="cs-CZ"/>
        </w:rPr>
        <w:t>ZPr</w:t>
      </w:r>
      <w:proofErr w:type="spellEnd"/>
      <w:r w:rsidR="00B40E8D" w:rsidRPr="00FD304C">
        <w:rPr>
          <w:rFonts w:cs="Arial"/>
          <w:szCs w:val="22"/>
          <w:lang w:val="cs-CZ"/>
        </w:rPr>
        <w:t xml:space="preserve">, </w:t>
      </w:r>
      <w:r w:rsidR="0064117B" w:rsidRPr="00FD304C">
        <w:rPr>
          <w:rFonts w:cs="Arial"/>
          <w:szCs w:val="22"/>
          <w:lang w:val="cs-CZ"/>
        </w:rPr>
        <w:t xml:space="preserve">ani podmínky provádění oprav a </w:t>
      </w:r>
      <w:r w:rsidR="00B00B67" w:rsidRPr="00FD304C">
        <w:rPr>
          <w:rFonts w:cs="Arial"/>
          <w:szCs w:val="22"/>
          <w:lang w:val="cs-CZ"/>
        </w:rPr>
        <w:t>repasí</w:t>
      </w:r>
      <w:r w:rsidR="0064117B" w:rsidRPr="00FD304C">
        <w:rPr>
          <w:rFonts w:cs="Arial"/>
          <w:szCs w:val="22"/>
          <w:lang w:val="cs-CZ"/>
        </w:rPr>
        <w:t xml:space="preserve"> </w:t>
      </w:r>
      <w:proofErr w:type="spellStart"/>
      <w:r w:rsidR="0064117B" w:rsidRPr="00FD304C">
        <w:rPr>
          <w:rFonts w:cs="Arial"/>
          <w:szCs w:val="22"/>
          <w:lang w:val="cs-CZ"/>
        </w:rPr>
        <w:t>ZPr</w:t>
      </w:r>
      <w:proofErr w:type="spellEnd"/>
      <w:r w:rsidR="00575FB2" w:rsidRPr="00FD304C">
        <w:rPr>
          <w:rFonts w:cs="Arial"/>
          <w:szCs w:val="22"/>
          <w:lang w:val="cs-CZ"/>
        </w:rPr>
        <w:t xml:space="preserve"> a jejich přednostní vydávání z důvodů úspory nákladů</w:t>
      </w:r>
      <w:r w:rsidR="00B00B67" w:rsidRPr="00FD304C">
        <w:rPr>
          <w:rFonts w:cs="Arial"/>
          <w:szCs w:val="22"/>
          <w:lang w:val="cs-CZ"/>
        </w:rPr>
        <w:t>.</w:t>
      </w:r>
      <w:r w:rsidR="0064117B" w:rsidRPr="00FD304C">
        <w:rPr>
          <w:rFonts w:cs="Arial"/>
          <w:szCs w:val="22"/>
          <w:lang w:val="cs-CZ"/>
        </w:rPr>
        <w:t xml:space="preserve"> </w:t>
      </w:r>
    </w:p>
    <w:p w:rsidR="00304E47" w:rsidRPr="00FD304C" w:rsidRDefault="00304E47" w:rsidP="00FD304C">
      <w:pPr>
        <w:rPr>
          <w:rFonts w:cs="Arial"/>
          <w:szCs w:val="22"/>
          <w:lang w:val="cs-CZ"/>
        </w:rPr>
      </w:pPr>
    </w:p>
    <w:p w:rsidR="00127135" w:rsidRPr="00FD304C" w:rsidRDefault="00127135" w:rsidP="000E36C4">
      <w:pPr>
        <w:spacing w:after="40"/>
        <w:rPr>
          <w:rFonts w:cs="Arial"/>
          <w:b/>
          <w:szCs w:val="22"/>
          <w:lang w:val="cs-CZ"/>
        </w:rPr>
      </w:pPr>
      <w:r w:rsidRPr="00FD304C">
        <w:rPr>
          <w:rFonts w:cs="Arial"/>
          <w:b/>
          <w:bCs/>
          <w:szCs w:val="22"/>
          <w:lang w:val="cs-CZ"/>
        </w:rPr>
        <w:t>Tabulka č. 5</w:t>
      </w:r>
      <w:r w:rsidR="00562935" w:rsidRPr="00FD304C">
        <w:rPr>
          <w:rFonts w:cs="Arial"/>
          <w:b/>
          <w:bCs/>
          <w:szCs w:val="22"/>
          <w:lang w:val="cs-CZ"/>
        </w:rPr>
        <w:t xml:space="preserve"> </w:t>
      </w:r>
      <w:r w:rsidR="00C932A7" w:rsidRPr="00FD304C">
        <w:rPr>
          <w:rFonts w:cs="Arial"/>
          <w:b/>
          <w:bCs/>
          <w:szCs w:val="22"/>
          <w:lang w:val="cs-CZ"/>
        </w:rPr>
        <w:t>–</w:t>
      </w:r>
      <w:r w:rsidR="00FF1DA4" w:rsidRPr="00FD304C">
        <w:rPr>
          <w:rFonts w:cs="Arial"/>
          <w:b/>
          <w:bCs/>
          <w:szCs w:val="22"/>
          <w:lang w:val="cs-CZ"/>
        </w:rPr>
        <w:t xml:space="preserve"> </w:t>
      </w:r>
      <w:r w:rsidRPr="00FD304C">
        <w:rPr>
          <w:rFonts w:cs="Arial"/>
          <w:b/>
          <w:szCs w:val="22"/>
          <w:lang w:val="cs-CZ"/>
        </w:rPr>
        <w:t xml:space="preserve">Náklady na zapůjčené </w:t>
      </w:r>
      <w:r w:rsidR="00537623" w:rsidRPr="00FD304C">
        <w:rPr>
          <w:rFonts w:cs="Arial"/>
          <w:b/>
          <w:szCs w:val="22"/>
          <w:lang w:val="cs-CZ"/>
        </w:rPr>
        <w:t xml:space="preserve">cirkulované </w:t>
      </w:r>
      <w:proofErr w:type="spellStart"/>
      <w:r w:rsidRPr="00FD304C">
        <w:rPr>
          <w:rFonts w:cs="Arial"/>
          <w:b/>
          <w:szCs w:val="22"/>
          <w:lang w:val="cs-CZ"/>
        </w:rPr>
        <w:t>ZPr</w:t>
      </w:r>
      <w:proofErr w:type="spellEnd"/>
      <w:r w:rsidRPr="00FD304C">
        <w:rPr>
          <w:rFonts w:cs="Arial"/>
          <w:b/>
          <w:szCs w:val="22"/>
          <w:lang w:val="cs-CZ"/>
        </w:rPr>
        <w:t xml:space="preserve"> vydané na poukazy </w:t>
      </w:r>
    </w:p>
    <w:tbl>
      <w:tblPr>
        <w:tblW w:w="48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1503"/>
        <w:gridCol w:w="2041"/>
        <w:gridCol w:w="1278"/>
        <w:gridCol w:w="1985"/>
        <w:gridCol w:w="1413"/>
      </w:tblGrid>
      <w:tr w:rsidR="00127135" w:rsidRPr="00FD304C" w:rsidTr="00051BBA">
        <w:trPr>
          <w:trHeight w:val="227"/>
          <w:jc w:val="center"/>
        </w:trPr>
        <w:tc>
          <w:tcPr>
            <w:tcW w:w="440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135" w:rsidRPr="00FD304C" w:rsidRDefault="00127135" w:rsidP="00FD304C">
            <w:pPr>
              <w:jc w:val="center"/>
              <w:rPr>
                <w:rFonts w:cs="Arial"/>
                <w:b/>
                <w:bCs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b/>
                <w:bCs/>
                <w:sz w:val="18"/>
                <w:szCs w:val="18"/>
                <w:lang w:val="cs-CZ"/>
              </w:rPr>
              <w:t>Rok</w:t>
            </w:r>
          </w:p>
        </w:tc>
        <w:tc>
          <w:tcPr>
            <w:tcW w:w="834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135" w:rsidRPr="00FD304C" w:rsidRDefault="00127135" w:rsidP="00FD304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FD304C">
              <w:rPr>
                <w:rFonts w:cs="Arial"/>
                <w:b/>
                <w:bCs/>
                <w:color w:val="000000"/>
                <w:sz w:val="18"/>
                <w:szCs w:val="18"/>
                <w:lang w:val="cs-CZ" w:eastAsia="cs-CZ"/>
              </w:rPr>
              <w:t xml:space="preserve">Náklady </w:t>
            </w:r>
            <w:r w:rsidR="00537623" w:rsidRPr="00FD304C">
              <w:rPr>
                <w:rFonts w:cs="Arial"/>
                <w:b/>
                <w:bCs/>
                <w:color w:val="000000"/>
                <w:sz w:val="18"/>
                <w:szCs w:val="18"/>
                <w:lang w:val="cs-CZ" w:eastAsia="cs-CZ"/>
              </w:rPr>
              <w:br/>
            </w:r>
            <w:r w:rsidRPr="00FD304C">
              <w:rPr>
                <w:rFonts w:cs="Arial"/>
                <w:b/>
                <w:bCs/>
                <w:color w:val="000000"/>
                <w:sz w:val="18"/>
                <w:szCs w:val="18"/>
                <w:lang w:val="cs-CZ" w:eastAsia="cs-CZ"/>
              </w:rPr>
              <w:t xml:space="preserve">na </w:t>
            </w:r>
            <w:proofErr w:type="spellStart"/>
            <w:r w:rsidRPr="00FD304C">
              <w:rPr>
                <w:rFonts w:cs="Arial"/>
                <w:b/>
                <w:bCs/>
                <w:color w:val="000000"/>
                <w:sz w:val="18"/>
                <w:szCs w:val="18"/>
                <w:lang w:val="cs-CZ" w:eastAsia="cs-CZ"/>
              </w:rPr>
              <w:t>ZPr</w:t>
            </w:r>
            <w:proofErr w:type="spellEnd"/>
            <w:r w:rsidRPr="00FD304C">
              <w:rPr>
                <w:rFonts w:cs="Arial"/>
                <w:b/>
                <w:bCs/>
                <w:color w:val="000000"/>
                <w:sz w:val="18"/>
                <w:szCs w:val="18"/>
                <w:lang w:val="cs-CZ" w:eastAsia="cs-CZ"/>
              </w:rPr>
              <w:t xml:space="preserve"> vydané na poukazy celkem </w:t>
            </w:r>
            <w:r w:rsidRPr="00FD304C">
              <w:rPr>
                <w:rFonts w:cs="Arial"/>
                <w:b/>
                <w:bCs/>
                <w:color w:val="000000"/>
                <w:sz w:val="18"/>
                <w:szCs w:val="18"/>
                <w:lang w:val="cs-CZ" w:eastAsia="cs-CZ"/>
              </w:rPr>
              <w:br/>
              <w:t>(v Kč)</w:t>
            </w:r>
          </w:p>
        </w:tc>
        <w:tc>
          <w:tcPr>
            <w:tcW w:w="184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135" w:rsidRPr="00FD304C" w:rsidRDefault="00127135" w:rsidP="00FD304C">
            <w:pPr>
              <w:jc w:val="center"/>
              <w:rPr>
                <w:rFonts w:cs="Arial"/>
                <w:b/>
                <w:bCs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b/>
                <w:bCs/>
                <w:sz w:val="18"/>
                <w:szCs w:val="18"/>
                <w:lang w:val="cs-CZ"/>
              </w:rPr>
              <w:t xml:space="preserve">Zapůjčené </w:t>
            </w:r>
            <w:proofErr w:type="spellStart"/>
            <w:r w:rsidRPr="00FD304C">
              <w:rPr>
                <w:rFonts w:cs="Arial"/>
                <w:b/>
                <w:bCs/>
                <w:sz w:val="18"/>
                <w:szCs w:val="18"/>
                <w:lang w:val="cs-CZ"/>
              </w:rPr>
              <w:t>ZPr</w:t>
            </w:r>
            <w:proofErr w:type="spellEnd"/>
            <w:r w:rsidRPr="00FD304C">
              <w:rPr>
                <w:rFonts w:cs="Arial"/>
                <w:b/>
                <w:bCs/>
                <w:sz w:val="18"/>
                <w:szCs w:val="18"/>
                <w:lang w:val="cs-CZ"/>
              </w:rPr>
              <w:t xml:space="preserve"> k 31. 12.</w:t>
            </w:r>
          </w:p>
        </w:tc>
        <w:tc>
          <w:tcPr>
            <w:tcW w:w="1885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135" w:rsidRPr="00FD304C" w:rsidRDefault="00127135" w:rsidP="00FD304C">
            <w:pPr>
              <w:jc w:val="center"/>
              <w:rPr>
                <w:rFonts w:cs="Arial"/>
                <w:b/>
                <w:bCs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b/>
                <w:bCs/>
                <w:sz w:val="18"/>
                <w:szCs w:val="18"/>
                <w:lang w:val="cs-CZ"/>
              </w:rPr>
              <w:t xml:space="preserve">Z toho nově zapůjčené v období </w:t>
            </w:r>
            <w:r w:rsidR="00537623" w:rsidRPr="00FD304C">
              <w:rPr>
                <w:rFonts w:cs="Arial"/>
                <w:b/>
                <w:bCs/>
                <w:sz w:val="18"/>
                <w:szCs w:val="18"/>
                <w:lang w:val="cs-CZ"/>
              </w:rPr>
              <w:br/>
            </w:r>
            <w:r w:rsidRPr="00FD304C">
              <w:rPr>
                <w:rFonts w:cs="Arial"/>
                <w:b/>
                <w:bCs/>
                <w:sz w:val="18"/>
                <w:szCs w:val="18"/>
                <w:lang w:val="cs-CZ"/>
              </w:rPr>
              <w:t>od 1. 1. do 31.</w:t>
            </w:r>
            <w:r w:rsidR="000D1CAD">
              <w:rPr>
                <w:rFonts w:cs="Arial"/>
                <w:b/>
                <w:bCs/>
                <w:sz w:val="18"/>
                <w:szCs w:val="18"/>
                <w:lang w:val="cs-CZ"/>
              </w:rPr>
              <w:t> </w:t>
            </w:r>
            <w:r w:rsidRPr="00FD304C">
              <w:rPr>
                <w:rFonts w:cs="Arial"/>
                <w:b/>
                <w:bCs/>
                <w:sz w:val="18"/>
                <w:szCs w:val="18"/>
                <w:lang w:val="cs-CZ"/>
              </w:rPr>
              <w:t>12.</w:t>
            </w:r>
          </w:p>
        </w:tc>
      </w:tr>
      <w:tr w:rsidR="00127135" w:rsidRPr="00FD304C" w:rsidTr="00051BBA">
        <w:trPr>
          <w:trHeight w:val="227"/>
          <w:jc w:val="center"/>
        </w:trPr>
        <w:tc>
          <w:tcPr>
            <w:tcW w:w="440" w:type="pct"/>
            <w:vMerge/>
            <w:shd w:val="clear" w:color="auto" w:fill="auto"/>
            <w:vAlign w:val="center"/>
            <w:hideMark/>
          </w:tcPr>
          <w:p w:rsidR="00127135" w:rsidRPr="00FD304C" w:rsidRDefault="00127135" w:rsidP="00FD304C">
            <w:pPr>
              <w:jc w:val="center"/>
              <w:rPr>
                <w:rFonts w:cs="Arial"/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834" w:type="pct"/>
            <w:vMerge/>
            <w:shd w:val="clear" w:color="auto" w:fill="auto"/>
            <w:vAlign w:val="center"/>
            <w:hideMark/>
          </w:tcPr>
          <w:p w:rsidR="00127135" w:rsidRPr="00FD304C" w:rsidRDefault="00127135" w:rsidP="00FD304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11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135" w:rsidRPr="00FD304C" w:rsidRDefault="00127135" w:rsidP="00FD304C">
            <w:pPr>
              <w:jc w:val="center"/>
              <w:rPr>
                <w:rFonts w:cs="Arial"/>
                <w:b/>
                <w:bCs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b/>
                <w:bCs/>
                <w:sz w:val="18"/>
                <w:szCs w:val="18"/>
                <w:lang w:val="cs-CZ"/>
              </w:rPr>
              <w:t>Celková pořiz</w:t>
            </w:r>
            <w:r w:rsidR="000D5F20" w:rsidRPr="00FD304C">
              <w:rPr>
                <w:rFonts w:cs="Arial"/>
                <w:b/>
                <w:bCs/>
                <w:sz w:val="18"/>
                <w:szCs w:val="18"/>
                <w:lang w:val="cs-CZ"/>
              </w:rPr>
              <w:t>ovací</w:t>
            </w:r>
            <w:r w:rsidRPr="00FD304C">
              <w:rPr>
                <w:rFonts w:cs="Arial"/>
                <w:b/>
                <w:bCs/>
                <w:sz w:val="18"/>
                <w:szCs w:val="18"/>
                <w:lang w:val="cs-CZ"/>
              </w:rPr>
              <w:t xml:space="preserve"> cena </w:t>
            </w:r>
            <w:proofErr w:type="spellStart"/>
            <w:r w:rsidRPr="00FD304C">
              <w:rPr>
                <w:rFonts w:cs="Arial"/>
                <w:b/>
                <w:bCs/>
                <w:sz w:val="18"/>
                <w:szCs w:val="18"/>
                <w:lang w:val="cs-CZ"/>
              </w:rPr>
              <w:t>ZPr</w:t>
            </w:r>
            <w:proofErr w:type="spellEnd"/>
            <w:r w:rsidRPr="00FD304C">
              <w:rPr>
                <w:rFonts w:cs="Arial"/>
                <w:b/>
                <w:bCs/>
                <w:sz w:val="18"/>
                <w:szCs w:val="18"/>
                <w:lang w:val="cs-CZ"/>
              </w:rPr>
              <w:t xml:space="preserve"> </w:t>
            </w:r>
            <w:r w:rsidRPr="00FD304C">
              <w:rPr>
                <w:rFonts w:cs="Arial"/>
                <w:b/>
                <w:bCs/>
                <w:sz w:val="18"/>
                <w:szCs w:val="18"/>
                <w:lang w:val="cs-CZ"/>
              </w:rPr>
              <w:br/>
              <w:t>(v Kč)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135" w:rsidRPr="00FD304C" w:rsidRDefault="00127135" w:rsidP="00FD304C">
            <w:pPr>
              <w:jc w:val="center"/>
              <w:rPr>
                <w:rFonts w:cs="Arial"/>
                <w:b/>
                <w:bCs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b/>
                <w:bCs/>
                <w:sz w:val="18"/>
                <w:szCs w:val="18"/>
                <w:lang w:val="cs-CZ"/>
              </w:rPr>
              <w:t xml:space="preserve">Počet </w:t>
            </w:r>
            <w:r w:rsidR="000D5F20" w:rsidRPr="00FD304C">
              <w:rPr>
                <w:rFonts w:cs="Arial"/>
                <w:b/>
                <w:bCs/>
                <w:sz w:val="18"/>
                <w:szCs w:val="18"/>
                <w:lang w:val="cs-CZ"/>
              </w:rPr>
              <w:br/>
            </w:r>
            <w:r w:rsidRPr="00FD304C">
              <w:rPr>
                <w:rFonts w:cs="Arial"/>
                <w:b/>
                <w:bCs/>
                <w:sz w:val="18"/>
                <w:szCs w:val="18"/>
                <w:lang w:val="cs-CZ"/>
              </w:rPr>
              <w:t>(ks)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135" w:rsidRPr="00FD304C" w:rsidRDefault="00127135" w:rsidP="00FD304C">
            <w:pPr>
              <w:jc w:val="center"/>
              <w:rPr>
                <w:rFonts w:cs="Arial"/>
                <w:b/>
                <w:bCs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b/>
                <w:bCs/>
                <w:sz w:val="18"/>
                <w:szCs w:val="18"/>
                <w:lang w:val="cs-CZ"/>
              </w:rPr>
              <w:t xml:space="preserve">Pořizovací cena </w:t>
            </w:r>
            <w:r w:rsidR="000D5F20" w:rsidRPr="00FD304C">
              <w:rPr>
                <w:rFonts w:cs="Arial"/>
                <w:b/>
                <w:bCs/>
                <w:sz w:val="18"/>
                <w:szCs w:val="18"/>
                <w:lang w:val="cs-CZ"/>
              </w:rPr>
              <w:br/>
            </w:r>
            <w:r w:rsidRPr="00FD304C">
              <w:rPr>
                <w:rFonts w:cs="Arial"/>
                <w:b/>
                <w:bCs/>
                <w:sz w:val="18"/>
                <w:szCs w:val="18"/>
                <w:lang w:val="cs-CZ"/>
              </w:rPr>
              <w:t>(v Kč)</w:t>
            </w:r>
          </w:p>
        </w:tc>
        <w:tc>
          <w:tcPr>
            <w:tcW w:w="7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135" w:rsidRPr="00FD304C" w:rsidRDefault="00127135" w:rsidP="00FD304C">
            <w:pPr>
              <w:jc w:val="center"/>
              <w:rPr>
                <w:rFonts w:cs="Arial"/>
                <w:b/>
                <w:bCs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b/>
                <w:bCs/>
                <w:sz w:val="18"/>
                <w:szCs w:val="18"/>
                <w:lang w:val="cs-CZ"/>
              </w:rPr>
              <w:t>Počet</w:t>
            </w:r>
            <w:r w:rsidR="000D5F20" w:rsidRPr="00FD304C">
              <w:rPr>
                <w:rFonts w:cs="Arial"/>
                <w:b/>
                <w:bCs/>
                <w:sz w:val="18"/>
                <w:szCs w:val="18"/>
                <w:lang w:val="cs-CZ"/>
              </w:rPr>
              <w:br/>
            </w:r>
            <w:r w:rsidRPr="00FD304C">
              <w:rPr>
                <w:rFonts w:cs="Arial"/>
                <w:b/>
                <w:bCs/>
                <w:sz w:val="18"/>
                <w:szCs w:val="18"/>
                <w:lang w:val="cs-CZ"/>
              </w:rPr>
              <w:t>(ks)</w:t>
            </w:r>
          </w:p>
        </w:tc>
      </w:tr>
      <w:tr w:rsidR="00127135" w:rsidRPr="00FD304C" w:rsidTr="00051BBA">
        <w:trPr>
          <w:trHeight w:val="227"/>
          <w:jc w:val="center"/>
        </w:trPr>
        <w:tc>
          <w:tcPr>
            <w:tcW w:w="4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135" w:rsidRPr="00A87877" w:rsidRDefault="00127135" w:rsidP="00FD304C">
            <w:pPr>
              <w:jc w:val="center"/>
              <w:rPr>
                <w:rFonts w:cs="Arial"/>
                <w:bCs/>
                <w:sz w:val="18"/>
                <w:szCs w:val="18"/>
                <w:lang w:val="cs-CZ"/>
              </w:rPr>
            </w:pPr>
            <w:r w:rsidRPr="00A87877">
              <w:rPr>
                <w:rFonts w:cs="Arial"/>
                <w:bCs/>
                <w:sz w:val="18"/>
                <w:szCs w:val="18"/>
                <w:lang w:val="cs-CZ"/>
              </w:rPr>
              <w:t>2009</w:t>
            </w:r>
          </w:p>
        </w:tc>
        <w:tc>
          <w:tcPr>
            <w:tcW w:w="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135" w:rsidRPr="00FD304C" w:rsidRDefault="00127135" w:rsidP="00FD304C">
            <w:pPr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color w:val="000000"/>
                <w:sz w:val="18"/>
                <w:szCs w:val="18"/>
                <w:lang w:val="cs-CZ" w:eastAsia="cs-CZ"/>
              </w:rPr>
              <w:t>17 708 800</w:t>
            </w:r>
          </w:p>
        </w:tc>
        <w:tc>
          <w:tcPr>
            <w:tcW w:w="11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135" w:rsidRPr="00FD304C" w:rsidRDefault="00127135" w:rsidP="00FD304C">
            <w:pPr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33 688 008,96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135" w:rsidRPr="00FD304C" w:rsidRDefault="00127135" w:rsidP="00FD304C">
            <w:pPr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2 449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135" w:rsidRPr="00FD304C" w:rsidRDefault="00127135" w:rsidP="00FD304C">
            <w:pPr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14 387 626,26</w:t>
            </w:r>
          </w:p>
        </w:tc>
        <w:tc>
          <w:tcPr>
            <w:tcW w:w="7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135" w:rsidRPr="00FD304C" w:rsidRDefault="00127135" w:rsidP="00FD304C">
            <w:pPr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863</w:t>
            </w:r>
          </w:p>
        </w:tc>
      </w:tr>
      <w:tr w:rsidR="00127135" w:rsidRPr="00FD304C" w:rsidTr="00051BBA">
        <w:trPr>
          <w:trHeight w:val="227"/>
          <w:jc w:val="center"/>
        </w:trPr>
        <w:tc>
          <w:tcPr>
            <w:tcW w:w="4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135" w:rsidRPr="00A87877" w:rsidRDefault="00127135" w:rsidP="00FD304C">
            <w:pPr>
              <w:jc w:val="center"/>
              <w:rPr>
                <w:rFonts w:cs="Arial"/>
                <w:bCs/>
                <w:sz w:val="18"/>
                <w:szCs w:val="18"/>
                <w:lang w:val="cs-CZ"/>
              </w:rPr>
            </w:pPr>
            <w:r w:rsidRPr="00A87877">
              <w:rPr>
                <w:rFonts w:cs="Arial"/>
                <w:bCs/>
                <w:sz w:val="18"/>
                <w:szCs w:val="18"/>
                <w:lang w:val="cs-CZ"/>
              </w:rPr>
              <w:t>2010</w:t>
            </w:r>
          </w:p>
        </w:tc>
        <w:tc>
          <w:tcPr>
            <w:tcW w:w="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135" w:rsidRPr="00FD304C" w:rsidRDefault="00127135" w:rsidP="00FD304C">
            <w:pPr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color w:val="000000"/>
                <w:sz w:val="18"/>
                <w:szCs w:val="18"/>
                <w:lang w:val="cs-CZ" w:eastAsia="cs-CZ"/>
              </w:rPr>
              <w:t>22 046 496</w:t>
            </w:r>
          </w:p>
        </w:tc>
        <w:tc>
          <w:tcPr>
            <w:tcW w:w="11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135" w:rsidRPr="00FD304C" w:rsidRDefault="00127135" w:rsidP="00FD304C">
            <w:pPr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55 971 735,35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135" w:rsidRPr="00FD304C" w:rsidRDefault="00127135" w:rsidP="00FD304C">
            <w:pPr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3 991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135" w:rsidRPr="00FD304C" w:rsidRDefault="00127135" w:rsidP="00FD304C">
            <w:pPr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19 862 127,58</w:t>
            </w:r>
          </w:p>
        </w:tc>
        <w:tc>
          <w:tcPr>
            <w:tcW w:w="7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135" w:rsidRPr="00FD304C" w:rsidRDefault="00127135" w:rsidP="00FD304C">
            <w:pPr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1 249</w:t>
            </w:r>
          </w:p>
        </w:tc>
      </w:tr>
      <w:tr w:rsidR="00127135" w:rsidRPr="00FD304C" w:rsidTr="00051BBA">
        <w:trPr>
          <w:trHeight w:val="227"/>
          <w:jc w:val="center"/>
        </w:trPr>
        <w:tc>
          <w:tcPr>
            <w:tcW w:w="4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135" w:rsidRPr="00A87877" w:rsidRDefault="00127135" w:rsidP="00FD304C">
            <w:pPr>
              <w:jc w:val="center"/>
              <w:rPr>
                <w:rFonts w:cs="Arial"/>
                <w:bCs/>
                <w:sz w:val="18"/>
                <w:szCs w:val="18"/>
                <w:lang w:val="cs-CZ"/>
              </w:rPr>
            </w:pPr>
            <w:r w:rsidRPr="00A87877">
              <w:rPr>
                <w:rFonts w:cs="Arial"/>
                <w:bCs/>
                <w:sz w:val="18"/>
                <w:szCs w:val="18"/>
                <w:lang w:val="cs-CZ"/>
              </w:rPr>
              <w:t>2011</w:t>
            </w:r>
          </w:p>
        </w:tc>
        <w:tc>
          <w:tcPr>
            <w:tcW w:w="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135" w:rsidRPr="00FD304C" w:rsidRDefault="00127135" w:rsidP="00FD304C">
            <w:pPr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color w:val="000000"/>
                <w:sz w:val="18"/>
                <w:szCs w:val="18"/>
                <w:lang w:val="cs-CZ" w:eastAsia="cs-CZ"/>
              </w:rPr>
              <w:t>21 323 799</w:t>
            </w:r>
          </w:p>
        </w:tc>
        <w:tc>
          <w:tcPr>
            <w:tcW w:w="11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135" w:rsidRPr="00FD304C" w:rsidRDefault="00127135" w:rsidP="00FD304C">
            <w:pPr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76 635 493,77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135" w:rsidRPr="00FD304C" w:rsidRDefault="00127135" w:rsidP="00FD304C">
            <w:pPr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5 422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135" w:rsidRPr="00FD304C" w:rsidRDefault="00127135" w:rsidP="00FD304C">
            <w:pPr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17 306 759,24</w:t>
            </w:r>
          </w:p>
        </w:tc>
        <w:tc>
          <w:tcPr>
            <w:tcW w:w="7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135" w:rsidRPr="00FD304C" w:rsidRDefault="00127135" w:rsidP="00FD304C">
            <w:pPr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1 109</w:t>
            </w:r>
          </w:p>
        </w:tc>
      </w:tr>
      <w:tr w:rsidR="00127135" w:rsidRPr="00FD304C" w:rsidTr="00051BBA">
        <w:trPr>
          <w:trHeight w:val="227"/>
          <w:jc w:val="center"/>
        </w:trPr>
        <w:tc>
          <w:tcPr>
            <w:tcW w:w="44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135" w:rsidRPr="00A87877" w:rsidRDefault="00127135" w:rsidP="00FD304C">
            <w:pPr>
              <w:jc w:val="center"/>
              <w:rPr>
                <w:rFonts w:cs="Arial"/>
                <w:bCs/>
                <w:sz w:val="18"/>
                <w:szCs w:val="18"/>
                <w:lang w:val="cs-CZ"/>
              </w:rPr>
            </w:pPr>
            <w:r w:rsidRPr="00A87877">
              <w:rPr>
                <w:rFonts w:cs="Arial"/>
                <w:bCs/>
                <w:sz w:val="18"/>
                <w:szCs w:val="18"/>
                <w:lang w:val="cs-CZ"/>
              </w:rPr>
              <w:t>2012</w:t>
            </w:r>
          </w:p>
        </w:tc>
        <w:tc>
          <w:tcPr>
            <w:tcW w:w="8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135" w:rsidRPr="00FD304C" w:rsidRDefault="00127135" w:rsidP="00FD304C">
            <w:pPr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color w:val="000000"/>
                <w:sz w:val="18"/>
                <w:szCs w:val="18"/>
                <w:lang w:val="cs-CZ" w:eastAsia="cs-CZ"/>
              </w:rPr>
              <w:t>32 091 469</w:t>
            </w:r>
          </w:p>
        </w:tc>
        <w:tc>
          <w:tcPr>
            <w:tcW w:w="113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135" w:rsidRPr="00FD304C" w:rsidRDefault="00127135" w:rsidP="00FD304C">
            <w:pPr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106 312 661,60</w:t>
            </w:r>
          </w:p>
        </w:tc>
        <w:tc>
          <w:tcPr>
            <w:tcW w:w="7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135" w:rsidRPr="00FD304C" w:rsidRDefault="00127135" w:rsidP="00FD304C">
            <w:pPr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7 476</w:t>
            </w:r>
          </w:p>
        </w:tc>
        <w:tc>
          <w:tcPr>
            <w:tcW w:w="11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135" w:rsidRPr="00FD304C" w:rsidRDefault="00127135" w:rsidP="00FD304C">
            <w:pPr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24 758 721,95</w:t>
            </w:r>
          </w:p>
        </w:tc>
        <w:tc>
          <w:tcPr>
            <w:tcW w:w="7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135" w:rsidRPr="00FD304C" w:rsidRDefault="00127135" w:rsidP="00FD304C">
            <w:pPr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1 511</w:t>
            </w:r>
          </w:p>
        </w:tc>
      </w:tr>
    </w:tbl>
    <w:p w:rsidR="00127135" w:rsidRPr="00FD304C" w:rsidRDefault="00127135" w:rsidP="000E36C4">
      <w:pPr>
        <w:spacing w:before="40"/>
        <w:rPr>
          <w:rFonts w:cs="Arial"/>
          <w:sz w:val="18"/>
          <w:szCs w:val="18"/>
          <w:lang w:val="cs-CZ"/>
        </w:rPr>
      </w:pPr>
      <w:r w:rsidRPr="00FD304C">
        <w:rPr>
          <w:rFonts w:cs="Arial"/>
          <w:b/>
          <w:sz w:val="18"/>
          <w:szCs w:val="18"/>
          <w:lang w:val="cs-CZ"/>
        </w:rPr>
        <w:t>Zdroj:</w:t>
      </w:r>
      <w:r w:rsidRPr="00FD304C">
        <w:rPr>
          <w:rFonts w:cs="Arial"/>
          <w:sz w:val="18"/>
          <w:szCs w:val="18"/>
          <w:lang w:val="cs-CZ"/>
        </w:rPr>
        <w:t xml:space="preserve"> </w:t>
      </w:r>
      <w:r w:rsidR="005E7DC4">
        <w:rPr>
          <w:rFonts w:cs="Arial"/>
          <w:sz w:val="18"/>
          <w:szCs w:val="18"/>
          <w:lang w:val="cs-CZ"/>
        </w:rPr>
        <w:t>ú</w:t>
      </w:r>
      <w:r w:rsidRPr="00FD304C">
        <w:rPr>
          <w:rFonts w:cs="Arial"/>
          <w:sz w:val="18"/>
          <w:szCs w:val="18"/>
          <w:lang w:val="cs-CZ"/>
        </w:rPr>
        <w:t xml:space="preserve">daje předané ČPZP, </w:t>
      </w:r>
      <w:r w:rsidR="005E7DC4">
        <w:rPr>
          <w:rFonts w:cs="Arial"/>
          <w:sz w:val="18"/>
          <w:szCs w:val="18"/>
          <w:lang w:val="cs-CZ"/>
        </w:rPr>
        <w:t>s</w:t>
      </w:r>
      <w:r w:rsidRPr="00FD304C">
        <w:rPr>
          <w:rFonts w:cs="Arial"/>
          <w:sz w:val="18"/>
          <w:szCs w:val="18"/>
          <w:lang w:val="cs-CZ"/>
        </w:rPr>
        <w:t>dělení ČPZP ze dne 12. 2. 2014.</w:t>
      </w:r>
    </w:p>
    <w:p w:rsidR="00F554F1" w:rsidRPr="00FD304C" w:rsidRDefault="00F554F1" w:rsidP="00FD304C">
      <w:pPr>
        <w:rPr>
          <w:rFonts w:cs="Arial"/>
          <w:szCs w:val="22"/>
          <w:lang w:val="cs-CZ"/>
        </w:rPr>
      </w:pPr>
    </w:p>
    <w:p w:rsidR="00843906" w:rsidRPr="00FD304C" w:rsidRDefault="00843906" w:rsidP="00FD304C">
      <w:pPr>
        <w:rPr>
          <w:rFonts w:cs="Arial"/>
          <w:szCs w:val="22"/>
          <w:lang w:val="cs-CZ"/>
        </w:rPr>
      </w:pPr>
      <w:r w:rsidRPr="00FD304C">
        <w:rPr>
          <w:rFonts w:cs="Arial"/>
          <w:szCs w:val="22"/>
          <w:lang w:val="cs-CZ"/>
        </w:rPr>
        <w:t>Zákon</w:t>
      </w:r>
      <w:r w:rsidR="00611657" w:rsidRPr="00FD304C">
        <w:rPr>
          <w:rFonts w:cs="Arial"/>
          <w:szCs w:val="22"/>
          <w:vertAlign w:val="superscript"/>
          <w:lang w:val="cs-CZ"/>
        </w:rPr>
        <w:t>2</w:t>
      </w:r>
      <w:r w:rsidRPr="00FD304C">
        <w:rPr>
          <w:rFonts w:cs="Arial"/>
          <w:szCs w:val="22"/>
          <w:lang w:val="cs-CZ"/>
        </w:rPr>
        <w:t xml:space="preserve"> požaduje, aby zdravotní pojišťovny vedly evidenci zapůjčených zdravotnických prostřed</w:t>
      </w:r>
      <w:r w:rsidR="000D1CAD">
        <w:rPr>
          <w:rFonts w:cs="Arial"/>
          <w:szCs w:val="22"/>
          <w:lang w:val="cs-CZ"/>
        </w:rPr>
        <w:t>ků</w:t>
      </w:r>
      <w:r w:rsidRPr="00FD304C">
        <w:rPr>
          <w:rFonts w:cs="Arial"/>
          <w:szCs w:val="22"/>
          <w:lang w:val="cs-CZ"/>
        </w:rPr>
        <w:t xml:space="preserve">. ČPZP vede samostatný seznam zapůjčených </w:t>
      </w:r>
      <w:proofErr w:type="spellStart"/>
      <w:r w:rsidRPr="00FD304C">
        <w:rPr>
          <w:rFonts w:cs="Arial"/>
          <w:szCs w:val="22"/>
          <w:lang w:val="cs-CZ"/>
        </w:rPr>
        <w:t>ZPr</w:t>
      </w:r>
      <w:proofErr w:type="spellEnd"/>
      <w:r w:rsidR="00CE0098" w:rsidRPr="00FD304C">
        <w:rPr>
          <w:rFonts w:cs="Arial"/>
          <w:szCs w:val="22"/>
          <w:lang w:val="cs-CZ"/>
        </w:rPr>
        <w:t>. V</w:t>
      </w:r>
      <w:r w:rsidRPr="00FD304C">
        <w:rPr>
          <w:rFonts w:cs="Arial"/>
          <w:szCs w:val="22"/>
          <w:lang w:val="cs-CZ"/>
        </w:rPr>
        <w:t xml:space="preserve"> účetnictví ČPZP účtuje pouze </w:t>
      </w:r>
      <w:r w:rsidR="00051BBA">
        <w:rPr>
          <w:rFonts w:cs="Arial"/>
          <w:szCs w:val="22"/>
          <w:lang w:val="cs-CZ"/>
        </w:rPr>
        <w:t>o nákladech na jejich pořízení.</w:t>
      </w:r>
      <w:r w:rsidR="00B734E9">
        <w:rPr>
          <w:rFonts w:cs="Arial"/>
          <w:szCs w:val="22"/>
          <w:lang w:val="cs-CZ"/>
        </w:rPr>
        <w:t xml:space="preserve"> </w:t>
      </w:r>
      <w:r w:rsidRPr="00FD304C">
        <w:rPr>
          <w:rFonts w:cs="Arial"/>
          <w:szCs w:val="22"/>
          <w:lang w:val="cs-CZ"/>
        </w:rPr>
        <w:t xml:space="preserve">Náležitosti </w:t>
      </w:r>
      <w:r w:rsidR="00753366" w:rsidRPr="00FD304C">
        <w:rPr>
          <w:rFonts w:cs="Arial"/>
          <w:szCs w:val="22"/>
          <w:lang w:val="cs-CZ"/>
        </w:rPr>
        <w:t>zákonem</w:t>
      </w:r>
      <w:r w:rsidR="000D5F20" w:rsidRPr="00FD304C">
        <w:rPr>
          <w:rFonts w:cs="Arial"/>
          <w:szCs w:val="22"/>
          <w:vertAlign w:val="superscript"/>
          <w:lang w:val="cs-CZ"/>
        </w:rPr>
        <w:t>2</w:t>
      </w:r>
      <w:r w:rsidR="00753366" w:rsidRPr="00FD304C">
        <w:rPr>
          <w:rFonts w:cs="Arial"/>
          <w:szCs w:val="22"/>
          <w:lang w:val="cs-CZ"/>
        </w:rPr>
        <w:t xml:space="preserve"> požadované </w:t>
      </w:r>
      <w:r w:rsidRPr="00FD304C">
        <w:rPr>
          <w:rFonts w:cs="Arial"/>
          <w:szCs w:val="22"/>
          <w:lang w:val="cs-CZ"/>
        </w:rPr>
        <w:t xml:space="preserve">evidence ani její vztah k evidenci v účetnictví u </w:t>
      </w:r>
      <w:proofErr w:type="spellStart"/>
      <w:r w:rsidRPr="00FD304C">
        <w:rPr>
          <w:rFonts w:cs="Arial"/>
          <w:szCs w:val="22"/>
          <w:lang w:val="cs-CZ"/>
        </w:rPr>
        <w:t>ZPr</w:t>
      </w:r>
      <w:proofErr w:type="spellEnd"/>
      <w:r w:rsidR="000D5F20" w:rsidRPr="00FD304C">
        <w:rPr>
          <w:rFonts w:cs="Arial"/>
          <w:szCs w:val="22"/>
          <w:lang w:val="cs-CZ"/>
        </w:rPr>
        <w:t xml:space="preserve">, </w:t>
      </w:r>
      <w:r w:rsidR="006D1B24" w:rsidRPr="00FD304C">
        <w:rPr>
          <w:rFonts w:cs="Arial"/>
          <w:szCs w:val="22"/>
          <w:lang w:val="cs-CZ"/>
        </w:rPr>
        <w:t>které</w:t>
      </w:r>
      <w:r w:rsidR="000D5F20" w:rsidRPr="00FD304C">
        <w:rPr>
          <w:rFonts w:cs="Arial"/>
          <w:szCs w:val="22"/>
          <w:lang w:val="cs-CZ"/>
        </w:rPr>
        <w:t xml:space="preserve"> mají charakter dlouhodobého majetku</w:t>
      </w:r>
      <w:r w:rsidR="005E0CBC" w:rsidRPr="00FD304C">
        <w:rPr>
          <w:rFonts w:cs="Arial"/>
          <w:szCs w:val="22"/>
          <w:lang w:val="cs-CZ"/>
        </w:rPr>
        <w:t>,</w:t>
      </w:r>
      <w:r w:rsidRPr="00FD304C">
        <w:rPr>
          <w:rFonts w:cs="Arial"/>
          <w:szCs w:val="22"/>
          <w:lang w:val="cs-CZ"/>
        </w:rPr>
        <w:t xml:space="preserve"> právní předpisy blíže </w:t>
      </w:r>
      <w:r w:rsidR="00753366" w:rsidRPr="00FD304C">
        <w:rPr>
          <w:rFonts w:cs="Arial"/>
          <w:szCs w:val="22"/>
          <w:lang w:val="cs-CZ"/>
        </w:rPr>
        <w:t>nespecifikují.</w:t>
      </w:r>
    </w:p>
    <w:p w:rsidR="00D83DF6" w:rsidRPr="00FD304C" w:rsidRDefault="00D83DF6" w:rsidP="00FD304C">
      <w:pPr>
        <w:rPr>
          <w:rFonts w:cs="Arial"/>
          <w:szCs w:val="22"/>
          <w:lang w:val="cs-CZ"/>
        </w:rPr>
      </w:pPr>
    </w:p>
    <w:p w:rsidR="00D83DF6" w:rsidRPr="00FD304C" w:rsidRDefault="00753366" w:rsidP="00FD304C">
      <w:pPr>
        <w:rPr>
          <w:rFonts w:cs="Arial"/>
          <w:szCs w:val="22"/>
          <w:lang w:val="cs-CZ"/>
        </w:rPr>
      </w:pPr>
      <w:r w:rsidRPr="00FD304C">
        <w:rPr>
          <w:rFonts w:cs="Arial"/>
          <w:szCs w:val="22"/>
          <w:lang w:val="cs-CZ"/>
        </w:rPr>
        <w:t xml:space="preserve">K 31. prosinci 2012 </w:t>
      </w:r>
      <w:r w:rsidR="00F554F1" w:rsidRPr="00FD304C">
        <w:rPr>
          <w:rFonts w:cs="Arial"/>
          <w:szCs w:val="22"/>
          <w:lang w:val="cs-CZ"/>
        </w:rPr>
        <w:t xml:space="preserve">ČPZP evidovala </w:t>
      </w:r>
      <w:r w:rsidR="00334F0C" w:rsidRPr="00FD304C">
        <w:rPr>
          <w:rFonts w:cs="Arial"/>
          <w:szCs w:val="22"/>
          <w:lang w:val="cs-CZ"/>
        </w:rPr>
        <w:t xml:space="preserve">celkem 7 476 zapůjčených </w:t>
      </w:r>
      <w:proofErr w:type="spellStart"/>
      <w:r w:rsidR="00334F0C" w:rsidRPr="00FD304C">
        <w:rPr>
          <w:rFonts w:cs="Arial"/>
          <w:szCs w:val="22"/>
          <w:lang w:val="cs-CZ"/>
        </w:rPr>
        <w:t>ZPr</w:t>
      </w:r>
      <w:proofErr w:type="spellEnd"/>
      <w:r w:rsidR="00334F0C" w:rsidRPr="00FD304C">
        <w:rPr>
          <w:rFonts w:cs="Arial"/>
          <w:szCs w:val="22"/>
          <w:lang w:val="cs-CZ"/>
        </w:rPr>
        <w:t xml:space="preserve"> </w:t>
      </w:r>
      <w:r w:rsidR="00F554F1" w:rsidRPr="00FD304C">
        <w:rPr>
          <w:rFonts w:cs="Arial"/>
          <w:szCs w:val="22"/>
          <w:lang w:val="cs-CZ"/>
        </w:rPr>
        <w:t xml:space="preserve">v pořizovací ceně 106,31 mil. Kč. </w:t>
      </w:r>
      <w:r w:rsidRPr="00FD304C">
        <w:rPr>
          <w:rFonts w:cs="Arial"/>
          <w:szCs w:val="22"/>
          <w:lang w:val="cs-CZ"/>
        </w:rPr>
        <w:t xml:space="preserve">Kontrolou bylo zjištěno, že </w:t>
      </w:r>
      <w:r w:rsidR="00CE181B" w:rsidRPr="00FD304C">
        <w:rPr>
          <w:rFonts w:cs="Arial"/>
          <w:szCs w:val="22"/>
          <w:lang w:val="cs-CZ"/>
        </w:rPr>
        <w:t xml:space="preserve">v </w:t>
      </w:r>
      <w:r w:rsidR="005E0CBC" w:rsidRPr="00FD304C">
        <w:rPr>
          <w:rFonts w:cs="Arial"/>
          <w:szCs w:val="22"/>
          <w:lang w:val="cs-CZ"/>
        </w:rPr>
        <w:t xml:space="preserve">899 </w:t>
      </w:r>
      <w:r w:rsidR="0015019C" w:rsidRPr="00FD304C">
        <w:rPr>
          <w:rFonts w:cs="Arial"/>
          <w:szCs w:val="22"/>
          <w:lang w:val="cs-CZ"/>
        </w:rPr>
        <w:t xml:space="preserve">případech (zůstatková cena 7 434 149 Kč) </w:t>
      </w:r>
      <w:r w:rsidR="005E0CBC" w:rsidRPr="00FD304C">
        <w:rPr>
          <w:rFonts w:cs="Arial"/>
          <w:szCs w:val="22"/>
          <w:lang w:val="cs-CZ"/>
        </w:rPr>
        <w:t xml:space="preserve">z 1 063 prověřených případů </w:t>
      </w:r>
      <w:r w:rsidRPr="00FD304C">
        <w:rPr>
          <w:rFonts w:cs="Arial"/>
          <w:szCs w:val="22"/>
          <w:lang w:val="cs-CZ"/>
        </w:rPr>
        <w:t xml:space="preserve">ČPZP neprovedla </w:t>
      </w:r>
      <w:r w:rsidR="0015019C" w:rsidRPr="00FD304C">
        <w:rPr>
          <w:rFonts w:cs="Arial"/>
          <w:szCs w:val="22"/>
          <w:lang w:val="cs-CZ"/>
        </w:rPr>
        <w:t xml:space="preserve">vůči dodavatelům </w:t>
      </w:r>
      <w:r w:rsidRPr="00FD304C">
        <w:rPr>
          <w:rFonts w:cs="Arial"/>
          <w:szCs w:val="22"/>
          <w:lang w:val="cs-CZ"/>
        </w:rPr>
        <w:t xml:space="preserve">všechny kroky potřebné k navrácení zapůjčených </w:t>
      </w:r>
      <w:proofErr w:type="spellStart"/>
      <w:r w:rsidRPr="00FD304C">
        <w:rPr>
          <w:rFonts w:cs="Arial"/>
          <w:szCs w:val="22"/>
          <w:lang w:val="cs-CZ"/>
        </w:rPr>
        <w:t>ZPr</w:t>
      </w:r>
      <w:proofErr w:type="spellEnd"/>
      <w:r w:rsidRPr="00FD304C">
        <w:rPr>
          <w:rFonts w:cs="Arial"/>
          <w:szCs w:val="22"/>
          <w:lang w:val="cs-CZ"/>
        </w:rPr>
        <w:t xml:space="preserve">. </w:t>
      </w:r>
    </w:p>
    <w:p w:rsidR="00CE181B" w:rsidRPr="00FD304C" w:rsidRDefault="00CE181B" w:rsidP="00FD304C">
      <w:pPr>
        <w:rPr>
          <w:rFonts w:cs="Arial"/>
          <w:szCs w:val="22"/>
          <w:lang w:val="cs-CZ"/>
        </w:rPr>
      </w:pPr>
    </w:p>
    <w:p w:rsidR="00135B5A" w:rsidRPr="00FD304C" w:rsidRDefault="00F554F1" w:rsidP="00FD304C">
      <w:pPr>
        <w:rPr>
          <w:rFonts w:cs="Arial"/>
          <w:szCs w:val="22"/>
          <w:lang w:val="cs-CZ"/>
        </w:rPr>
      </w:pPr>
      <w:r w:rsidRPr="00FD304C">
        <w:rPr>
          <w:rFonts w:cs="Arial"/>
          <w:szCs w:val="22"/>
          <w:lang w:val="cs-CZ"/>
        </w:rPr>
        <w:t xml:space="preserve">Za kompenzační </w:t>
      </w:r>
      <w:proofErr w:type="spellStart"/>
      <w:r w:rsidRPr="00FD304C">
        <w:rPr>
          <w:rFonts w:cs="Arial"/>
          <w:szCs w:val="22"/>
          <w:lang w:val="cs-CZ"/>
        </w:rPr>
        <w:t>ZPr</w:t>
      </w:r>
      <w:proofErr w:type="spellEnd"/>
      <w:r w:rsidRPr="005E7DC4">
        <w:rPr>
          <w:rFonts w:cs="Arial"/>
          <w:szCs w:val="22"/>
          <w:lang w:val="cs-CZ"/>
        </w:rPr>
        <w:t xml:space="preserve"> </w:t>
      </w:r>
      <w:r w:rsidRPr="00FD304C">
        <w:rPr>
          <w:rFonts w:cs="Arial"/>
          <w:szCs w:val="22"/>
          <w:lang w:val="cs-CZ"/>
        </w:rPr>
        <w:t xml:space="preserve">(berle, hole, chodítka), které nepodléhají cirkulaci, </w:t>
      </w:r>
      <w:r w:rsidR="00135B5A" w:rsidRPr="00FD304C">
        <w:rPr>
          <w:rFonts w:cs="Arial"/>
          <w:szCs w:val="22"/>
          <w:lang w:val="cs-CZ"/>
        </w:rPr>
        <w:t xml:space="preserve">uhradila ČPZP od roku 2009 téměř </w:t>
      </w:r>
      <w:r w:rsidR="00BA5BFE" w:rsidRPr="00FD304C">
        <w:rPr>
          <w:rFonts w:cs="Arial"/>
          <w:szCs w:val="22"/>
          <w:lang w:val="cs-CZ"/>
        </w:rPr>
        <w:t>39 </w:t>
      </w:r>
      <w:r w:rsidR="00135B5A" w:rsidRPr="00FD304C">
        <w:rPr>
          <w:rFonts w:cs="Arial"/>
          <w:szCs w:val="22"/>
          <w:lang w:val="cs-CZ"/>
        </w:rPr>
        <w:t>545 tis. Kč</w:t>
      </w:r>
      <w:r w:rsidR="0004569A" w:rsidRPr="00FD304C">
        <w:rPr>
          <w:rFonts w:cs="Arial"/>
          <w:szCs w:val="22"/>
          <w:lang w:val="cs-CZ"/>
        </w:rPr>
        <w:t>. Tyto zdravotnické prostředky byly v </w:t>
      </w:r>
      <w:r w:rsidR="005E7DC4">
        <w:rPr>
          <w:rFonts w:cs="Arial"/>
          <w:szCs w:val="22"/>
          <w:lang w:val="cs-CZ"/>
        </w:rPr>
        <w:t>č</w:t>
      </w:r>
      <w:r w:rsidR="0004569A" w:rsidRPr="00FD304C">
        <w:rPr>
          <w:rFonts w:cs="Arial"/>
          <w:szCs w:val="22"/>
          <w:lang w:val="cs-CZ"/>
        </w:rPr>
        <w:t xml:space="preserve">íselnících VZP uvedeny jako nevratné, přičemž doba jejich použitelnosti (24 až 36 měsíců) by umožňovala </w:t>
      </w:r>
      <w:r w:rsidR="002454C2">
        <w:rPr>
          <w:rFonts w:cs="Arial"/>
          <w:szCs w:val="22"/>
          <w:lang w:val="cs-CZ"/>
        </w:rPr>
        <w:t>zavést</w:t>
      </w:r>
      <w:r w:rsidR="0004569A" w:rsidRPr="00FD304C">
        <w:rPr>
          <w:rFonts w:cs="Arial"/>
          <w:szCs w:val="22"/>
          <w:lang w:val="cs-CZ"/>
        </w:rPr>
        <w:t xml:space="preserve"> jejich cirkulac</w:t>
      </w:r>
      <w:r w:rsidR="002454C2">
        <w:rPr>
          <w:rFonts w:cs="Arial"/>
          <w:szCs w:val="22"/>
          <w:lang w:val="cs-CZ"/>
        </w:rPr>
        <w:t>i</w:t>
      </w:r>
      <w:r w:rsidR="003F3DFD" w:rsidRPr="00FD304C">
        <w:rPr>
          <w:rFonts w:cs="Arial"/>
          <w:szCs w:val="22"/>
          <w:lang w:val="cs-CZ"/>
        </w:rPr>
        <w:t xml:space="preserve">, tj. </w:t>
      </w:r>
      <w:r w:rsidR="0065798C" w:rsidRPr="00FD304C">
        <w:rPr>
          <w:rFonts w:cs="Arial"/>
          <w:szCs w:val="22"/>
          <w:lang w:val="cs-CZ"/>
        </w:rPr>
        <w:t>opětovné</w:t>
      </w:r>
      <w:r w:rsidR="003F3DFD" w:rsidRPr="00FD304C">
        <w:rPr>
          <w:rFonts w:cs="Arial"/>
          <w:szCs w:val="22"/>
          <w:lang w:val="cs-CZ"/>
        </w:rPr>
        <w:t xml:space="preserve"> </w:t>
      </w:r>
      <w:r w:rsidR="0065798C" w:rsidRPr="00FD304C">
        <w:rPr>
          <w:rFonts w:cs="Arial"/>
          <w:szCs w:val="22"/>
          <w:lang w:val="cs-CZ"/>
        </w:rPr>
        <w:t>zapůjčování</w:t>
      </w:r>
      <w:r w:rsidR="0004569A" w:rsidRPr="00FD304C">
        <w:rPr>
          <w:rFonts w:cs="Arial"/>
          <w:szCs w:val="22"/>
          <w:lang w:val="cs-CZ"/>
        </w:rPr>
        <w:t xml:space="preserve">. Např. </w:t>
      </w:r>
      <w:r w:rsidR="00135B5A" w:rsidRPr="00FD304C">
        <w:rPr>
          <w:rFonts w:cs="Arial"/>
          <w:szCs w:val="22"/>
          <w:lang w:val="cs-CZ"/>
        </w:rPr>
        <w:t>za berle, které jsou ve</w:t>
      </w:r>
      <w:r w:rsidR="00CE181B" w:rsidRPr="00FD304C">
        <w:rPr>
          <w:rFonts w:cs="Arial"/>
          <w:szCs w:val="22"/>
          <w:lang w:val="cs-CZ"/>
        </w:rPr>
        <w:t xml:space="preserve">deny jako nevratné </w:t>
      </w:r>
      <w:proofErr w:type="spellStart"/>
      <w:r w:rsidR="00CE181B" w:rsidRPr="00FD304C">
        <w:rPr>
          <w:rFonts w:cs="Arial"/>
          <w:szCs w:val="22"/>
          <w:lang w:val="cs-CZ"/>
        </w:rPr>
        <w:t>ZPr</w:t>
      </w:r>
      <w:proofErr w:type="spellEnd"/>
      <w:r w:rsidR="00CE181B" w:rsidRPr="00FD304C">
        <w:rPr>
          <w:rFonts w:cs="Arial"/>
          <w:szCs w:val="22"/>
          <w:lang w:val="cs-CZ"/>
        </w:rPr>
        <w:t xml:space="preserve">, </w:t>
      </w:r>
      <w:r w:rsidR="00135B5A" w:rsidRPr="00FD304C">
        <w:rPr>
          <w:rFonts w:cs="Arial"/>
          <w:szCs w:val="22"/>
          <w:lang w:val="cs-CZ"/>
        </w:rPr>
        <w:t>hradila</w:t>
      </w:r>
      <w:r w:rsidR="0004569A" w:rsidRPr="00FD304C">
        <w:rPr>
          <w:rFonts w:cs="Arial"/>
          <w:szCs w:val="22"/>
          <w:lang w:val="cs-CZ"/>
        </w:rPr>
        <w:t xml:space="preserve"> ČPZP</w:t>
      </w:r>
      <w:r w:rsidR="00135B5A" w:rsidRPr="00FD304C">
        <w:rPr>
          <w:rFonts w:cs="Arial"/>
          <w:szCs w:val="22"/>
          <w:lang w:val="cs-CZ"/>
        </w:rPr>
        <w:t xml:space="preserve"> ročně kolem 8 milionů Kč. </w:t>
      </w:r>
    </w:p>
    <w:p w:rsidR="00F554F1" w:rsidRPr="00FD304C" w:rsidRDefault="00F554F1" w:rsidP="00FD304C">
      <w:pPr>
        <w:tabs>
          <w:tab w:val="left" w:pos="0"/>
        </w:tabs>
        <w:rPr>
          <w:rFonts w:cs="Arial"/>
          <w:szCs w:val="22"/>
          <w:lang w:val="cs-CZ"/>
        </w:rPr>
      </w:pPr>
    </w:p>
    <w:p w:rsidR="00F554F1" w:rsidRPr="00FD304C" w:rsidRDefault="005C2FCA" w:rsidP="00FD304C">
      <w:pPr>
        <w:tabs>
          <w:tab w:val="left" w:pos="567"/>
        </w:tabs>
        <w:ind w:left="567" w:hanging="567"/>
        <w:contextualSpacing/>
        <w:outlineLvl w:val="2"/>
        <w:rPr>
          <w:rFonts w:cs="Arial"/>
          <w:b/>
          <w:szCs w:val="22"/>
          <w:lang w:val="cs-CZ"/>
        </w:rPr>
      </w:pPr>
      <w:r w:rsidRPr="00FD304C">
        <w:rPr>
          <w:rFonts w:cs="Arial"/>
          <w:b/>
          <w:szCs w:val="22"/>
          <w:lang w:val="cs-CZ"/>
        </w:rPr>
        <w:t xml:space="preserve">3.3 </w:t>
      </w:r>
      <w:r w:rsidR="00F554F1" w:rsidRPr="00FD304C">
        <w:rPr>
          <w:rFonts w:cs="Arial"/>
          <w:b/>
          <w:szCs w:val="22"/>
          <w:lang w:val="cs-CZ"/>
        </w:rPr>
        <w:t xml:space="preserve">Centrum mezistátních úhrad </w:t>
      </w:r>
    </w:p>
    <w:p w:rsidR="00B734E9" w:rsidRDefault="00B734E9" w:rsidP="00FD304C">
      <w:pPr>
        <w:tabs>
          <w:tab w:val="left" w:pos="0"/>
        </w:tabs>
        <w:rPr>
          <w:rFonts w:cs="Arial"/>
          <w:szCs w:val="22"/>
          <w:lang w:val="cs-CZ"/>
        </w:rPr>
      </w:pPr>
    </w:p>
    <w:p w:rsidR="00F554F1" w:rsidRPr="00FD304C" w:rsidRDefault="005E0CBC" w:rsidP="00FD304C">
      <w:pPr>
        <w:tabs>
          <w:tab w:val="left" w:pos="0"/>
        </w:tabs>
        <w:rPr>
          <w:rFonts w:cs="Arial"/>
          <w:b/>
          <w:szCs w:val="22"/>
          <w:lang w:val="cs-CZ"/>
        </w:rPr>
      </w:pPr>
      <w:r w:rsidRPr="00FD304C">
        <w:rPr>
          <w:rFonts w:cs="Arial"/>
          <w:szCs w:val="22"/>
          <w:lang w:val="cs-CZ"/>
        </w:rPr>
        <w:t>Centrum mezistátních úhrad (dále také „</w:t>
      </w:r>
      <w:r w:rsidR="00F554F1" w:rsidRPr="00FD304C">
        <w:rPr>
          <w:rFonts w:cs="Arial"/>
          <w:szCs w:val="22"/>
          <w:lang w:val="cs-CZ"/>
        </w:rPr>
        <w:t>CMÚ</w:t>
      </w:r>
      <w:r w:rsidRPr="00FD304C">
        <w:rPr>
          <w:rFonts w:cs="Arial"/>
          <w:szCs w:val="22"/>
          <w:lang w:val="cs-CZ"/>
        </w:rPr>
        <w:t>“)</w:t>
      </w:r>
      <w:r w:rsidR="00F554F1" w:rsidRPr="00FD304C">
        <w:rPr>
          <w:rFonts w:cs="Arial"/>
          <w:szCs w:val="22"/>
          <w:lang w:val="cs-CZ"/>
        </w:rPr>
        <w:t xml:space="preserve"> reprezentuje zdravotní pojišťovny ČR ve vztahu k</w:t>
      </w:r>
      <w:r w:rsidR="002D612F" w:rsidRPr="00FD304C">
        <w:rPr>
          <w:rFonts w:cs="Arial"/>
          <w:szCs w:val="22"/>
          <w:lang w:val="cs-CZ"/>
        </w:rPr>
        <w:t>e</w:t>
      </w:r>
      <w:r w:rsidR="0065798C" w:rsidRPr="00FD304C">
        <w:rPr>
          <w:rFonts w:cs="Arial"/>
          <w:szCs w:val="22"/>
          <w:lang w:val="cs-CZ"/>
        </w:rPr>
        <w:t xml:space="preserve"> </w:t>
      </w:r>
      <w:r w:rsidR="00F554F1" w:rsidRPr="00FD304C">
        <w:rPr>
          <w:rFonts w:cs="Arial"/>
          <w:szCs w:val="22"/>
          <w:lang w:val="cs-CZ"/>
        </w:rPr>
        <w:t>státům</w:t>
      </w:r>
      <w:r w:rsidR="002D612F" w:rsidRPr="00FD304C">
        <w:rPr>
          <w:rFonts w:cs="Arial"/>
          <w:szCs w:val="22"/>
          <w:lang w:val="cs-CZ"/>
        </w:rPr>
        <w:t xml:space="preserve"> EU a </w:t>
      </w:r>
      <w:r w:rsidR="002A626B" w:rsidRPr="00FD304C">
        <w:rPr>
          <w:rFonts w:cs="Arial"/>
          <w:szCs w:val="22"/>
          <w:lang w:val="cs-CZ"/>
        </w:rPr>
        <w:t>dalším</w:t>
      </w:r>
      <w:r w:rsidR="00F554F1" w:rsidRPr="00FD304C">
        <w:rPr>
          <w:rFonts w:cs="Arial"/>
          <w:szCs w:val="22"/>
          <w:lang w:val="cs-CZ"/>
        </w:rPr>
        <w:t xml:space="preserve">. CMÚ </w:t>
      </w:r>
      <w:r w:rsidR="00F554F1" w:rsidRPr="00FD304C">
        <w:rPr>
          <w:rFonts w:cs="Arial"/>
          <w:lang w:val="cs-CZ"/>
        </w:rPr>
        <w:t>vzniklo v roce 2001 jako styčný orgán MZ pro oblast zdravotní</w:t>
      </w:r>
      <w:r w:rsidR="00611657" w:rsidRPr="00FD304C">
        <w:rPr>
          <w:rFonts w:cs="Arial"/>
          <w:lang w:val="cs-CZ"/>
        </w:rPr>
        <w:t xml:space="preserve">ch služeb </w:t>
      </w:r>
      <w:r w:rsidR="00F554F1" w:rsidRPr="00FD304C">
        <w:rPr>
          <w:rFonts w:cs="Arial"/>
          <w:lang w:val="cs-CZ"/>
        </w:rPr>
        <w:t xml:space="preserve">a od 1. 5. 2004 vykonává funkci styčného orgánu nejen na základě zmocnění daného </w:t>
      </w:r>
      <w:r w:rsidR="004B42E3" w:rsidRPr="00FD304C">
        <w:rPr>
          <w:rFonts w:cs="Arial"/>
          <w:lang w:val="cs-CZ"/>
        </w:rPr>
        <w:t xml:space="preserve">příslušnými </w:t>
      </w:r>
      <w:r w:rsidR="00F554F1" w:rsidRPr="00FD304C">
        <w:rPr>
          <w:rFonts w:cs="Arial"/>
          <w:lang w:val="cs-CZ"/>
        </w:rPr>
        <w:t>mezinárodními smlouvami, ale i na základě</w:t>
      </w:r>
      <w:r w:rsidR="005A2F30" w:rsidRPr="00FD304C">
        <w:rPr>
          <w:rFonts w:cs="Arial"/>
          <w:lang w:val="cs-CZ"/>
        </w:rPr>
        <w:t xml:space="preserve"> předpisů EU</w:t>
      </w:r>
      <w:r w:rsidR="00F554F1" w:rsidRPr="00FD304C">
        <w:rPr>
          <w:rFonts w:cs="Arial"/>
          <w:lang w:val="cs-CZ"/>
        </w:rPr>
        <w:t>.</w:t>
      </w:r>
    </w:p>
    <w:p w:rsidR="00F554F1" w:rsidRPr="00A859AD" w:rsidRDefault="00F554F1" w:rsidP="00A859AD">
      <w:pPr>
        <w:contextualSpacing/>
        <w:jc w:val="left"/>
        <w:rPr>
          <w:rFonts w:cs="Arial"/>
          <w:szCs w:val="22"/>
          <w:lang w:val="cs-CZ"/>
        </w:rPr>
      </w:pPr>
    </w:p>
    <w:p w:rsidR="00F554F1" w:rsidRPr="00FD304C" w:rsidRDefault="00F554F1" w:rsidP="00FD304C">
      <w:pPr>
        <w:tabs>
          <w:tab w:val="left" w:pos="0"/>
        </w:tabs>
        <w:rPr>
          <w:rFonts w:cs="Arial"/>
          <w:szCs w:val="22"/>
          <w:lang w:val="cs-CZ"/>
        </w:rPr>
      </w:pPr>
      <w:r w:rsidRPr="00FD304C">
        <w:rPr>
          <w:rFonts w:cs="Arial"/>
          <w:szCs w:val="22"/>
          <w:lang w:val="cs-CZ"/>
        </w:rPr>
        <w:t xml:space="preserve">ČPZP uhradila za zdravotní služby poskytnuté pojištěncům v zahraničí v letech 2009 až 2012 </w:t>
      </w:r>
      <w:r w:rsidRPr="00FD304C">
        <w:rPr>
          <w:rFonts w:cs="Arial"/>
          <w:b/>
          <w:szCs w:val="22"/>
          <w:lang w:val="cs-CZ"/>
        </w:rPr>
        <w:t>celkem 77 887 tis</w:t>
      </w:r>
      <w:r w:rsidRPr="00A87877">
        <w:rPr>
          <w:rFonts w:cs="Arial"/>
          <w:b/>
          <w:szCs w:val="22"/>
          <w:lang w:val="cs-CZ"/>
        </w:rPr>
        <w:t>.</w:t>
      </w:r>
      <w:r w:rsidRPr="00FD304C">
        <w:rPr>
          <w:rFonts w:cs="Arial"/>
          <w:szCs w:val="22"/>
          <w:lang w:val="cs-CZ"/>
        </w:rPr>
        <w:t xml:space="preserve"> </w:t>
      </w:r>
      <w:r w:rsidRPr="00FD304C">
        <w:rPr>
          <w:rFonts w:cs="Arial"/>
          <w:b/>
          <w:szCs w:val="22"/>
          <w:lang w:val="cs-CZ"/>
        </w:rPr>
        <w:t>Kč</w:t>
      </w:r>
      <w:r w:rsidRPr="00FD304C">
        <w:rPr>
          <w:rFonts w:cs="Arial"/>
          <w:szCs w:val="22"/>
          <w:lang w:val="cs-CZ"/>
        </w:rPr>
        <w:t xml:space="preserve"> a za léčbu cizinců v ČR celkem </w:t>
      </w:r>
      <w:r w:rsidRPr="00FD304C">
        <w:rPr>
          <w:rFonts w:cs="Arial"/>
          <w:b/>
          <w:szCs w:val="22"/>
          <w:lang w:val="cs-CZ"/>
        </w:rPr>
        <w:t>67 454 tis. Kč.</w:t>
      </w:r>
      <w:r w:rsidRPr="00FD304C">
        <w:rPr>
          <w:rFonts w:cs="Arial"/>
          <w:szCs w:val="22"/>
          <w:lang w:val="cs-CZ"/>
        </w:rPr>
        <w:t xml:space="preserve"> Tyto částky </w:t>
      </w:r>
      <w:r w:rsidRPr="00FD304C">
        <w:rPr>
          <w:rFonts w:cs="Arial"/>
          <w:szCs w:val="22"/>
          <w:lang w:val="cs-CZ"/>
        </w:rPr>
        <w:lastRenderedPageBreak/>
        <w:t xml:space="preserve">nepředstavují </w:t>
      </w:r>
      <w:r w:rsidR="005C2FCA" w:rsidRPr="00FD304C">
        <w:rPr>
          <w:rFonts w:cs="Arial"/>
          <w:szCs w:val="22"/>
          <w:lang w:val="cs-CZ"/>
        </w:rPr>
        <w:t xml:space="preserve">pouze </w:t>
      </w:r>
      <w:r w:rsidRPr="00FD304C">
        <w:rPr>
          <w:rFonts w:cs="Arial"/>
          <w:szCs w:val="22"/>
          <w:lang w:val="cs-CZ"/>
        </w:rPr>
        <w:t>náklady za nutné a neodkladné léčení, ale</w:t>
      </w:r>
      <w:r w:rsidR="0084156E" w:rsidRPr="00FD304C">
        <w:rPr>
          <w:rFonts w:cs="Arial"/>
          <w:szCs w:val="22"/>
          <w:lang w:val="cs-CZ"/>
        </w:rPr>
        <w:t xml:space="preserve"> zahrnují </w:t>
      </w:r>
      <w:r w:rsidRPr="00FD304C">
        <w:rPr>
          <w:rFonts w:cs="Arial"/>
          <w:szCs w:val="22"/>
          <w:lang w:val="cs-CZ"/>
        </w:rPr>
        <w:t xml:space="preserve">i </w:t>
      </w:r>
      <w:r w:rsidR="0084156E" w:rsidRPr="00FD304C">
        <w:rPr>
          <w:rFonts w:cs="Arial"/>
          <w:szCs w:val="22"/>
          <w:lang w:val="cs-CZ"/>
        </w:rPr>
        <w:t xml:space="preserve">náklady za zdravotní </w:t>
      </w:r>
      <w:r w:rsidRPr="00FD304C">
        <w:rPr>
          <w:rFonts w:cs="Arial"/>
          <w:szCs w:val="22"/>
          <w:lang w:val="cs-CZ"/>
        </w:rPr>
        <w:t>péči vyžádanou</w:t>
      </w:r>
      <w:r w:rsidR="00CB7780" w:rsidRPr="00FD304C">
        <w:rPr>
          <w:rFonts w:cs="Arial"/>
          <w:szCs w:val="22"/>
          <w:lang w:val="cs-CZ"/>
        </w:rPr>
        <w:t xml:space="preserve"> pojištěncem</w:t>
      </w:r>
      <w:r w:rsidRPr="00FD304C">
        <w:rPr>
          <w:rFonts w:cs="Arial"/>
          <w:szCs w:val="22"/>
          <w:lang w:val="cs-CZ"/>
        </w:rPr>
        <w:t xml:space="preserve">. </w:t>
      </w:r>
    </w:p>
    <w:p w:rsidR="00F554F1" w:rsidRPr="00FD304C" w:rsidRDefault="00F554F1" w:rsidP="00FD304C">
      <w:pPr>
        <w:tabs>
          <w:tab w:val="left" w:pos="0"/>
        </w:tabs>
        <w:rPr>
          <w:rFonts w:cs="Arial"/>
          <w:szCs w:val="22"/>
          <w:lang w:val="cs-CZ"/>
        </w:rPr>
      </w:pPr>
    </w:p>
    <w:p w:rsidR="00F554F1" w:rsidRPr="00FD304C" w:rsidRDefault="00135B5A" w:rsidP="00FD304C">
      <w:pPr>
        <w:tabs>
          <w:tab w:val="left" w:pos="0"/>
        </w:tabs>
        <w:rPr>
          <w:rFonts w:cs="Arial"/>
          <w:b/>
          <w:szCs w:val="22"/>
          <w:lang w:val="cs-CZ"/>
        </w:rPr>
      </w:pPr>
      <w:r w:rsidRPr="00FD304C">
        <w:rPr>
          <w:rFonts w:cs="Arial"/>
          <w:b/>
          <w:szCs w:val="22"/>
          <w:lang w:val="cs-CZ"/>
        </w:rPr>
        <w:t>V porovnání s dřívějšími kontrolami provedenými NKÚ u zdravotních pojišťoven</w:t>
      </w:r>
      <w:r w:rsidR="004B42E3" w:rsidRPr="00FD304C">
        <w:rPr>
          <w:rStyle w:val="Znakapoznpodarou"/>
          <w:rFonts w:cs="Arial"/>
          <w:b/>
          <w:szCs w:val="22"/>
          <w:lang w:val="cs-CZ"/>
        </w:rPr>
        <w:footnoteReference w:id="12"/>
      </w:r>
      <w:r w:rsidRPr="00FD304C">
        <w:rPr>
          <w:rFonts w:cs="Arial"/>
          <w:b/>
          <w:szCs w:val="22"/>
          <w:lang w:val="cs-CZ"/>
        </w:rPr>
        <w:t xml:space="preserve"> lze </w:t>
      </w:r>
      <w:r w:rsidR="00F81F75">
        <w:rPr>
          <w:rFonts w:cs="Arial"/>
          <w:b/>
          <w:szCs w:val="22"/>
          <w:lang w:val="cs-CZ"/>
        </w:rPr>
        <w:t>pozorovat</w:t>
      </w:r>
      <w:r w:rsidRPr="00FD304C">
        <w:rPr>
          <w:rFonts w:cs="Arial"/>
          <w:b/>
          <w:szCs w:val="22"/>
          <w:lang w:val="cs-CZ"/>
        </w:rPr>
        <w:t xml:space="preserve"> od </w:t>
      </w:r>
      <w:r w:rsidR="00CB7780" w:rsidRPr="00FD304C">
        <w:rPr>
          <w:rFonts w:cs="Arial"/>
          <w:b/>
          <w:szCs w:val="22"/>
          <w:lang w:val="cs-CZ"/>
        </w:rPr>
        <w:t xml:space="preserve">roku </w:t>
      </w:r>
      <w:r w:rsidRPr="00FD304C">
        <w:rPr>
          <w:rFonts w:cs="Arial"/>
          <w:b/>
          <w:szCs w:val="22"/>
          <w:lang w:val="cs-CZ"/>
        </w:rPr>
        <w:t>2010 určité zlepšení</w:t>
      </w:r>
      <w:r w:rsidR="0084156E" w:rsidRPr="00FD304C">
        <w:rPr>
          <w:rFonts w:cs="Arial"/>
          <w:b/>
          <w:szCs w:val="22"/>
          <w:lang w:val="cs-CZ"/>
        </w:rPr>
        <w:t xml:space="preserve"> v</w:t>
      </w:r>
      <w:r w:rsidR="00CB7780" w:rsidRPr="00FD304C">
        <w:rPr>
          <w:rFonts w:cs="Arial"/>
          <w:b/>
          <w:szCs w:val="22"/>
          <w:lang w:val="cs-CZ"/>
        </w:rPr>
        <w:t> </w:t>
      </w:r>
      <w:r w:rsidR="0084156E" w:rsidRPr="00FD304C">
        <w:rPr>
          <w:rFonts w:cs="Arial"/>
          <w:b/>
          <w:szCs w:val="22"/>
          <w:lang w:val="cs-CZ"/>
        </w:rPr>
        <w:t>úhradách</w:t>
      </w:r>
      <w:r w:rsidR="00CB7780" w:rsidRPr="00FD304C">
        <w:rPr>
          <w:rFonts w:cs="Arial"/>
          <w:b/>
          <w:szCs w:val="22"/>
          <w:lang w:val="cs-CZ"/>
        </w:rPr>
        <w:t xml:space="preserve"> od</w:t>
      </w:r>
      <w:r w:rsidR="0084156E" w:rsidRPr="00FD304C">
        <w:rPr>
          <w:rFonts w:cs="Arial"/>
          <w:b/>
          <w:szCs w:val="22"/>
          <w:lang w:val="cs-CZ"/>
        </w:rPr>
        <w:t xml:space="preserve"> CMÚ</w:t>
      </w:r>
      <w:r w:rsidRPr="00FD304C">
        <w:rPr>
          <w:rFonts w:cs="Arial"/>
          <w:b/>
          <w:szCs w:val="22"/>
          <w:lang w:val="cs-CZ"/>
        </w:rPr>
        <w:t xml:space="preserve">. Objem pohledávek </w:t>
      </w:r>
      <w:r w:rsidR="0084156E" w:rsidRPr="00FD304C">
        <w:rPr>
          <w:rFonts w:cs="Arial"/>
          <w:b/>
          <w:szCs w:val="22"/>
          <w:lang w:val="cs-CZ"/>
        </w:rPr>
        <w:t>ČPZP za CMÚ</w:t>
      </w:r>
      <w:r w:rsidRPr="00FD304C">
        <w:rPr>
          <w:rFonts w:cs="Arial"/>
          <w:b/>
          <w:szCs w:val="22"/>
          <w:lang w:val="cs-CZ"/>
        </w:rPr>
        <w:t xml:space="preserve"> pře</w:t>
      </w:r>
      <w:r w:rsidR="0084156E" w:rsidRPr="00FD304C">
        <w:rPr>
          <w:rFonts w:cs="Arial"/>
          <w:b/>
          <w:szCs w:val="22"/>
          <w:lang w:val="cs-CZ"/>
        </w:rPr>
        <w:t>sto k 31. 12. 2012 činil</w:t>
      </w:r>
      <w:r w:rsidRPr="00FD304C">
        <w:rPr>
          <w:rFonts w:cs="Arial"/>
          <w:b/>
          <w:szCs w:val="22"/>
          <w:lang w:val="cs-CZ"/>
        </w:rPr>
        <w:t xml:space="preserve"> </w:t>
      </w:r>
      <w:r w:rsidR="0084156E" w:rsidRPr="00FD304C">
        <w:rPr>
          <w:rFonts w:cs="Arial"/>
          <w:b/>
          <w:szCs w:val="22"/>
          <w:lang w:val="cs-CZ"/>
        </w:rPr>
        <w:t>35 039 tis. Kč</w:t>
      </w:r>
      <w:r w:rsidR="00F81F75">
        <w:rPr>
          <w:rFonts w:cs="Arial"/>
          <w:b/>
          <w:szCs w:val="22"/>
          <w:lang w:val="cs-CZ"/>
        </w:rPr>
        <w:t>.</w:t>
      </w:r>
      <w:r w:rsidR="0084156E" w:rsidRPr="00FD304C">
        <w:rPr>
          <w:rFonts w:cs="Arial"/>
          <w:b/>
          <w:szCs w:val="22"/>
          <w:lang w:val="cs-CZ"/>
        </w:rPr>
        <w:t xml:space="preserve"> </w:t>
      </w:r>
      <w:r w:rsidR="00F81F75">
        <w:rPr>
          <w:rFonts w:cs="Arial"/>
          <w:b/>
          <w:szCs w:val="22"/>
          <w:lang w:val="cs-CZ"/>
        </w:rPr>
        <w:t>N</w:t>
      </w:r>
      <w:r w:rsidRPr="00FD304C">
        <w:rPr>
          <w:rFonts w:cs="Arial"/>
          <w:b/>
          <w:szCs w:val="22"/>
          <w:lang w:val="cs-CZ"/>
        </w:rPr>
        <w:t xml:space="preserve">ejstarší pohledávky jsou z roku 2005.  </w:t>
      </w:r>
    </w:p>
    <w:p w:rsidR="003A2DCA" w:rsidRPr="00FD304C" w:rsidRDefault="003A2DCA" w:rsidP="00FD304C">
      <w:pPr>
        <w:rPr>
          <w:rFonts w:cs="Arial"/>
          <w:lang w:val="cs-CZ"/>
        </w:rPr>
      </w:pPr>
    </w:p>
    <w:p w:rsidR="00603DEA" w:rsidRPr="00FD304C" w:rsidRDefault="005C2FCA" w:rsidP="00FD304C">
      <w:pPr>
        <w:outlineLvl w:val="1"/>
        <w:rPr>
          <w:rFonts w:eastAsiaTheme="minorHAnsi" w:cs="Arial"/>
          <w:szCs w:val="22"/>
          <w:lang w:val="cs-CZ"/>
        </w:rPr>
      </w:pPr>
      <w:r w:rsidRPr="00FD304C">
        <w:rPr>
          <w:rFonts w:cs="Arial"/>
          <w:b/>
          <w:szCs w:val="22"/>
          <w:lang w:val="cs-CZ"/>
        </w:rPr>
        <w:t xml:space="preserve">3.4 </w:t>
      </w:r>
      <w:r w:rsidR="003A2DCA" w:rsidRPr="00FD304C">
        <w:rPr>
          <w:rFonts w:cs="Arial"/>
          <w:b/>
          <w:szCs w:val="22"/>
          <w:lang w:val="cs-CZ"/>
        </w:rPr>
        <w:t>Náklady na zdravotní služby vynaložené v důsledku proti</w:t>
      </w:r>
      <w:r w:rsidR="0084156E" w:rsidRPr="00FD304C">
        <w:rPr>
          <w:rFonts w:cs="Arial"/>
          <w:b/>
          <w:szCs w:val="22"/>
          <w:lang w:val="cs-CZ"/>
        </w:rPr>
        <w:t xml:space="preserve">právního jednání </w:t>
      </w:r>
      <w:r w:rsidR="003A2DCA" w:rsidRPr="00FD304C">
        <w:rPr>
          <w:rFonts w:cs="Arial"/>
          <w:b/>
          <w:szCs w:val="22"/>
          <w:lang w:val="cs-CZ"/>
        </w:rPr>
        <w:t xml:space="preserve"> </w:t>
      </w:r>
    </w:p>
    <w:p w:rsidR="00B734E9" w:rsidRDefault="00B734E9" w:rsidP="00FD304C">
      <w:pPr>
        <w:pStyle w:val="Odstavecseseznamem"/>
        <w:ind w:left="0"/>
        <w:outlineLvl w:val="1"/>
        <w:rPr>
          <w:rFonts w:eastAsiaTheme="minorHAnsi" w:cs="Arial"/>
          <w:szCs w:val="22"/>
          <w:lang w:val="cs-CZ"/>
        </w:rPr>
      </w:pPr>
    </w:p>
    <w:p w:rsidR="00B734E9" w:rsidRPr="00FD304C" w:rsidRDefault="003A2DCA" w:rsidP="00FD304C">
      <w:pPr>
        <w:pStyle w:val="Odstavecseseznamem"/>
        <w:ind w:left="0"/>
        <w:outlineLvl w:val="1"/>
        <w:rPr>
          <w:rFonts w:eastAsiaTheme="minorHAnsi" w:cs="Arial"/>
          <w:szCs w:val="22"/>
          <w:lang w:val="cs-CZ"/>
        </w:rPr>
      </w:pPr>
      <w:r w:rsidRPr="00FD304C">
        <w:rPr>
          <w:rFonts w:eastAsiaTheme="minorHAnsi" w:cs="Arial"/>
          <w:szCs w:val="22"/>
          <w:lang w:val="cs-CZ"/>
        </w:rPr>
        <w:t xml:space="preserve">Zdravotní pojišťovna má </w:t>
      </w:r>
      <w:r w:rsidR="007776B9" w:rsidRPr="00FD304C">
        <w:rPr>
          <w:rFonts w:eastAsiaTheme="minorHAnsi" w:cs="Arial"/>
          <w:szCs w:val="22"/>
          <w:lang w:val="cs-CZ"/>
        </w:rPr>
        <w:t>dle zákona</w:t>
      </w:r>
      <w:r w:rsidR="007776B9" w:rsidRPr="00FD304C">
        <w:rPr>
          <w:rFonts w:eastAsiaTheme="minorHAnsi" w:cs="Arial"/>
          <w:szCs w:val="22"/>
          <w:vertAlign w:val="superscript"/>
          <w:lang w:val="cs-CZ"/>
        </w:rPr>
        <w:t>2</w:t>
      </w:r>
      <w:r w:rsidR="007776B9" w:rsidRPr="00FD304C">
        <w:rPr>
          <w:rFonts w:eastAsiaTheme="minorHAnsi" w:cs="Arial"/>
          <w:szCs w:val="22"/>
          <w:lang w:val="cs-CZ"/>
        </w:rPr>
        <w:t xml:space="preserve"> </w:t>
      </w:r>
      <w:r w:rsidRPr="00FD304C">
        <w:rPr>
          <w:rFonts w:eastAsiaTheme="minorHAnsi" w:cs="Arial"/>
          <w:szCs w:val="22"/>
          <w:lang w:val="cs-CZ"/>
        </w:rPr>
        <w:t xml:space="preserve">právo na náhradu nákladů </w:t>
      </w:r>
      <w:r w:rsidR="0084156E" w:rsidRPr="00FD304C">
        <w:rPr>
          <w:rFonts w:eastAsiaTheme="minorHAnsi" w:cs="Arial"/>
          <w:szCs w:val="22"/>
          <w:lang w:val="cs-CZ"/>
        </w:rPr>
        <w:t xml:space="preserve">vynaložených </w:t>
      </w:r>
      <w:r w:rsidR="00010D69" w:rsidRPr="00FD304C">
        <w:rPr>
          <w:rFonts w:eastAsiaTheme="minorHAnsi" w:cs="Arial"/>
          <w:szCs w:val="22"/>
          <w:lang w:val="cs-CZ"/>
        </w:rPr>
        <w:t>na hrazené služby</w:t>
      </w:r>
      <w:r w:rsidR="00607989" w:rsidRPr="00FD304C">
        <w:rPr>
          <w:rFonts w:eastAsiaTheme="minorHAnsi" w:cs="Arial"/>
          <w:szCs w:val="22"/>
          <w:lang w:val="cs-CZ"/>
        </w:rPr>
        <w:t xml:space="preserve"> (regresy)</w:t>
      </w:r>
      <w:r w:rsidR="0084156E" w:rsidRPr="00FD304C">
        <w:rPr>
          <w:rFonts w:eastAsiaTheme="minorHAnsi" w:cs="Arial"/>
          <w:szCs w:val="22"/>
          <w:lang w:val="cs-CZ"/>
        </w:rPr>
        <w:t xml:space="preserve">, které musely být vynaloženy </w:t>
      </w:r>
      <w:r w:rsidRPr="00FD304C">
        <w:rPr>
          <w:rFonts w:eastAsiaTheme="minorHAnsi" w:cs="Arial"/>
          <w:szCs w:val="22"/>
          <w:lang w:val="cs-CZ"/>
        </w:rPr>
        <w:t>v důsledku zaviněného protiprávního jedn</w:t>
      </w:r>
      <w:r w:rsidR="0084156E" w:rsidRPr="00FD304C">
        <w:rPr>
          <w:rFonts w:eastAsiaTheme="minorHAnsi" w:cs="Arial"/>
          <w:szCs w:val="22"/>
          <w:lang w:val="cs-CZ"/>
        </w:rPr>
        <w:t>ání třetí osoby.</w:t>
      </w:r>
    </w:p>
    <w:p w:rsidR="00B734E9" w:rsidRDefault="00B734E9" w:rsidP="00FD304C">
      <w:pPr>
        <w:rPr>
          <w:rFonts w:cs="Arial"/>
          <w:lang w:val="cs-CZ"/>
        </w:rPr>
      </w:pPr>
    </w:p>
    <w:p w:rsidR="00BA7A3A" w:rsidRPr="00FD304C" w:rsidRDefault="0084156E" w:rsidP="00FD304C">
      <w:pPr>
        <w:rPr>
          <w:rFonts w:cs="Arial"/>
          <w:lang w:val="cs-CZ"/>
        </w:rPr>
      </w:pPr>
      <w:r w:rsidRPr="00FD304C">
        <w:rPr>
          <w:rFonts w:cs="Arial"/>
          <w:lang w:val="cs-CZ"/>
        </w:rPr>
        <w:t>ČPZ</w:t>
      </w:r>
      <w:r w:rsidR="00CC44C5" w:rsidRPr="00FD304C">
        <w:rPr>
          <w:rFonts w:cs="Arial"/>
          <w:lang w:val="cs-CZ"/>
        </w:rPr>
        <w:t>P</w:t>
      </w:r>
      <w:r w:rsidRPr="00FD304C">
        <w:rPr>
          <w:rFonts w:cs="Arial"/>
          <w:lang w:val="cs-CZ"/>
        </w:rPr>
        <w:t xml:space="preserve"> ve sledovaném období obdržela o</w:t>
      </w:r>
      <w:r w:rsidR="00BA7A3A" w:rsidRPr="00FD304C">
        <w:rPr>
          <w:rFonts w:cs="Arial"/>
          <w:lang w:val="cs-CZ"/>
        </w:rPr>
        <w:t xml:space="preserve">známení o </w:t>
      </w:r>
      <w:r w:rsidR="00CC44C5" w:rsidRPr="00FD304C">
        <w:rPr>
          <w:rFonts w:cs="Arial"/>
          <w:lang w:val="cs-CZ"/>
        </w:rPr>
        <w:t>protiprávním jednání a zranění</w:t>
      </w:r>
      <w:r w:rsidR="00BA7A3A" w:rsidRPr="00FD304C">
        <w:rPr>
          <w:rFonts w:cs="Arial"/>
          <w:lang w:val="cs-CZ"/>
        </w:rPr>
        <w:t xml:space="preserve"> </w:t>
      </w:r>
      <w:r w:rsidRPr="00FD304C">
        <w:rPr>
          <w:rFonts w:cs="Arial"/>
          <w:lang w:val="cs-CZ"/>
        </w:rPr>
        <w:t xml:space="preserve">pojištěnce </w:t>
      </w:r>
      <w:r w:rsidR="00BA7A3A" w:rsidRPr="00FD304C">
        <w:rPr>
          <w:rFonts w:cs="Arial"/>
          <w:lang w:val="cs-CZ"/>
        </w:rPr>
        <w:t>od poskytovatelů zdravotních služeb, Policie ČR a z portálu zdravotních pojišťoven u hlášení dopravních nehod.</w:t>
      </w:r>
    </w:p>
    <w:p w:rsidR="00276A74" w:rsidRPr="00FD304C" w:rsidRDefault="00276A74" w:rsidP="00FD304C">
      <w:pPr>
        <w:rPr>
          <w:rFonts w:cs="Arial"/>
          <w:lang w:val="cs-CZ"/>
        </w:rPr>
      </w:pPr>
    </w:p>
    <w:p w:rsidR="006F3137" w:rsidRPr="00FD304C" w:rsidRDefault="006F3137" w:rsidP="000E36C4">
      <w:pPr>
        <w:spacing w:after="40"/>
        <w:rPr>
          <w:rFonts w:eastAsiaTheme="minorHAnsi" w:cs="Arial"/>
          <w:b/>
          <w:szCs w:val="22"/>
          <w:lang w:val="cs-CZ"/>
        </w:rPr>
      </w:pPr>
      <w:r w:rsidRPr="00FD304C">
        <w:rPr>
          <w:rFonts w:cs="Arial"/>
          <w:b/>
          <w:bCs/>
          <w:szCs w:val="22"/>
          <w:lang w:val="cs-CZ"/>
        </w:rPr>
        <w:t xml:space="preserve">Tabulka č. </w:t>
      </w:r>
      <w:r w:rsidR="009F58F7" w:rsidRPr="00FD304C">
        <w:rPr>
          <w:rFonts w:cs="Arial"/>
          <w:b/>
          <w:bCs/>
          <w:szCs w:val="22"/>
          <w:lang w:val="cs-CZ"/>
        </w:rPr>
        <w:t>6</w:t>
      </w:r>
      <w:r w:rsidR="00562935" w:rsidRPr="00FD304C">
        <w:rPr>
          <w:rFonts w:cs="Arial"/>
          <w:b/>
          <w:bCs/>
          <w:szCs w:val="22"/>
          <w:lang w:val="cs-CZ"/>
        </w:rPr>
        <w:t xml:space="preserve"> </w:t>
      </w:r>
      <w:r w:rsidR="00C932A7" w:rsidRPr="00FD304C">
        <w:rPr>
          <w:rFonts w:cs="Arial"/>
          <w:b/>
          <w:bCs/>
          <w:szCs w:val="22"/>
          <w:lang w:val="cs-CZ"/>
        </w:rPr>
        <w:t>–</w:t>
      </w:r>
      <w:r w:rsidR="00FF1DA4" w:rsidRPr="00FD304C">
        <w:rPr>
          <w:rFonts w:cs="Arial"/>
          <w:b/>
          <w:bCs/>
          <w:szCs w:val="22"/>
          <w:lang w:val="cs-CZ"/>
        </w:rPr>
        <w:t xml:space="preserve"> </w:t>
      </w:r>
      <w:r w:rsidRPr="00FD304C">
        <w:rPr>
          <w:rFonts w:eastAsiaTheme="minorHAnsi" w:cs="Arial"/>
          <w:b/>
          <w:szCs w:val="22"/>
          <w:lang w:val="cs-CZ"/>
        </w:rPr>
        <w:t xml:space="preserve">Počet případů náhrad škod (zaevidované případy v průběhu roku) </w:t>
      </w:r>
    </w:p>
    <w:tbl>
      <w:tblPr>
        <w:tblW w:w="9014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1275"/>
        <w:gridCol w:w="1276"/>
        <w:gridCol w:w="1275"/>
        <w:gridCol w:w="1276"/>
        <w:gridCol w:w="1361"/>
      </w:tblGrid>
      <w:tr w:rsidR="006F3137" w:rsidRPr="00FD304C" w:rsidTr="000E36C4">
        <w:trPr>
          <w:trHeight w:val="227"/>
          <w:jc w:val="center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37" w:rsidRPr="00FD304C" w:rsidRDefault="006F3137" w:rsidP="00FD304C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FD304C">
              <w:rPr>
                <w:rFonts w:cs="Arial"/>
                <w:b/>
                <w:bCs/>
                <w:color w:val="000000"/>
                <w:sz w:val="16"/>
                <w:szCs w:val="16"/>
                <w:lang w:val="cs-CZ" w:eastAsia="cs-CZ"/>
              </w:rPr>
              <w:t>Rok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37" w:rsidRPr="00FD304C" w:rsidRDefault="006F3137" w:rsidP="00FD304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FD304C">
              <w:rPr>
                <w:rFonts w:cs="Arial"/>
                <w:b/>
                <w:bCs/>
                <w:color w:val="000000"/>
                <w:sz w:val="16"/>
                <w:szCs w:val="16"/>
                <w:lang w:val="cs-CZ" w:eastAsia="cs-CZ"/>
              </w:rPr>
              <w:t>2008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37" w:rsidRPr="00FD304C" w:rsidRDefault="006F3137" w:rsidP="00FD304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FD304C">
              <w:rPr>
                <w:rFonts w:cs="Arial"/>
                <w:b/>
                <w:bCs/>
                <w:color w:val="000000"/>
                <w:sz w:val="16"/>
                <w:szCs w:val="16"/>
                <w:lang w:val="cs-CZ" w:eastAsia="cs-CZ"/>
              </w:rPr>
              <w:t>2009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37" w:rsidRPr="00FD304C" w:rsidRDefault="006F3137" w:rsidP="00FD304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FD304C">
              <w:rPr>
                <w:rFonts w:cs="Arial"/>
                <w:b/>
                <w:bCs/>
                <w:color w:val="000000"/>
                <w:sz w:val="16"/>
                <w:szCs w:val="16"/>
                <w:lang w:val="cs-CZ" w:eastAsia="cs-CZ"/>
              </w:rPr>
              <w:t>2010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37" w:rsidRPr="00FD304C" w:rsidRDefault="006F3137" w:rsidP="00FD304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FD304C">
              <w:rPr>
                <w:rFonts w:cs="Arial"/>
                <w:b/>
                <w:bCs/>
                <w:color w:val="000000"/>
                <w:sz w:val="16"/>
                <w:szCs w:val="16"/>
                <w:lang w:val="cs-CZ" w:eastAsia="cs-CZ"/>
              </w:rPr>
              <w:t>2011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137" w:rsidRPr="00FD304C" w:rsidRDefault="006F3137" w:rsidP="00FD304C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FD304C">
              <w:rPr>
                <w:rFonts w:cs="Arial"/>
                <w:b/>
                <w:bCs/>
                <w:color w:val="000000"/>
                <w:sz w:val="16"/>
                <w:szCs w:val="16"/>
                <w:lang w:val="cs-CZ" w:eastAsia="cs-CZ"/>
              </w:rPr>
              <w:t>2012</w:t>
            </w:r>
          </w:p>
        </w:tc>
      </w:tr>
      <w:tr w:rsidR="006F3137" w:rsidRPr="00FD304C" w:rsidTr="000E36C4">
        <w:trPr>
          <w:trHeight w:val="227"/>
          <w:jc w:val="center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37" w:rsidRPr="00A87877" w:rsidRDefault="006F3137" w:rsidP="00FD304C">
            <w:pPr>
              <w:jc w:val="left"/>
              <w:rPr>
                <w:rFonts w:cs="Arial"/>
                <w:bCs/>
                <w:color w:val="000000"/>
                <w:sz w:val="16"/>
                <w:szCs w:val="16"/>
                <w:lang w:val="cs-CZ" w:eastAsia="cs-CZ"/>
              </w:rPr>
            </w:pPr>
            <w:r w:rsidRPr="00A87877">
              <w:rPr>
                <w:rFonts w:cs="Arial"/>
                <w:bCs/>
                <w:color w:val="000000"/>
                <w:sz w:val="16"/>
                <w:szCs w:val="16"/>
                <w:lang w:val="cs-CZ" w:eastAsia="cs-CZ"/>
              </w:rPr>
              <w:t>Počet oznámení o zranění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37" w:rsidRPr="00FD304C" w:rsidRDefault="006F3137" w:rsidP="000E36C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cs-CZ" w:eastAsia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 w:eastAsia="cs-CZ"/>
              </w:rPr>
              <w:t>2 589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37" w:rsidRPr="00FD304C" w:rsidRDefault="006F3137" w:rsidP="000E36C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cs-CZ" w:eastAsia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 w:eastAsia="cs-CZ"/>
              </w:rPr>
              <w:t>3 335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37" w:rsidRPr="00FD304C" w:rsidRDefault="006F3137" w:rsidP="000E36C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cs-CZ" w:eastAsia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 w:eastAsia="cs-CZ"/>
              </w:rPr>
              <w:t>2 583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37" w:rsidRPr="00FD304C" w:rsidRDefault="006F3137" w:rsidP="000E36C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cs-CZ" w:eastAsia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 w:eastAsia="cs-CZ"/>
              </w:rPr>
              <w:t>4 437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137" w:rsidRPr="00FD304C" w:rsidRDefault="006F3137" w:rsidP="000E36C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cs-CZ" w:eastAsia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 w:eastAsia="cs-CZ"/>
              </w:rPr>
              <w:t>4 384</w:t>
            </w:r>
          </w:p>
        </w:tc>
      </w:tr>
      <w:tr w:rsidR="006F3137" w:rsidRPr="00FD304C" w:rsidTr="000E36C4">
        <w:trPr>
          <w:trHeight w:val="227"/>
          <w:jc w:val="center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37" w:rsidRPr="00A87877" w:rsidRDefault="006F3137" w:rsidP="00F63279">
            <w:pPr>
              <w:jc w:val="left"/>
              <w:rPr>
                <w:rFonts w:cs="Arial"/>
                <w:bCs/>
                <w:color w:val="000000"/>
                <w:sz w:val="16"/>
                <w:szCs w:val="16"/>
                <w:lang w:val="cs-CZ" w:eastAsia="cs-CZ"/>
              </w:rPr>
            </w:pPr>
            <w:r w:rsidRPr="00A87877">
              <w:rPr>
                <w:rFonts w:cs="Arial"/>
                <w:bCs/>
                <w:color w:val="000000"/>
                <w:sz w:val="16"/>
                <w:szCs w:val="16"/>
                <w:lang w:val="cs-CZ" w:eastAsia="cs-CZ"/>
              </w:rPr>
              <w:t>Počet případů zaevidovaných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37" w:rsidRPr="00FD304C" w:rsidRDefault="006F3137" w:rsidP="000E36C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cs-CZ" w:eastAsia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 w:eastAsia="cs-CZ"/>
              </w:rPr>
              <w:t>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37" w:rsidRPr="00FD304C" w:rsidRDefault="006F3137" w:rsidP="000E36C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cs-CZ" w:eastAsia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 w:eastAsia="cs-CZ"/>
              </w:rPr>
              <w:t>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37" w:rsidRPr="00FD304C" w:rsidRDefault="006F3137" w:rsidP="000E36C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cs-CZ" w:eastAsia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 w:eastAsia="cs-CZ"/>
              </w:rPr>
              <w:t>1 531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37" w:rsidRPr="00FD304C" w:rsidRDefault="006F3137" w:rsidP="000E36C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cs-CZ" w:eastAsia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 w:eastAsia="cs-CZ"/>
              </w:rPr>
              <w:t>1 683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137" w:rsidRPr="00FD304C" w:rsidRDefault="006F3137" w:rsidP="000E36C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cs-CZ" w:eastAsia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 w:eastAsia="cs-CZ"/>
              </w:rPr>
              <w:t>1 850</w:t>
            </w:r>
          </w:p>
        </w:tc>
      </w:tr>
      <w:tr w:rsidR="006F3137" w:rsidRPr="00FD304C" w:rsidTr="000E36C4">
        <w:trPr>
          <w:trHeight w:val="227"/>
          <w:jc w:val="center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37" w:rsidRPr="00A87877" w:rsidRDefault="006F3137" w:rsidP="00F63279">
            <w:pPr>
              <w:jc w:val="left"/>
              <w:rPr>
                <w:rFonts w:cs="Arial"/>
                <w:bCs/>
                <w:color w:val="000000"/>
                <w:sz w:val="16"/>
                <w:szCs w:val="16"/>
                <w:lang w:val="cs-CZ" w:eastAsia="cs-CZ"/>
              </w:rPr>
            </w:pPr>
            <w:r w:rsidRPr="00A87877">
              <w:rPr>
                <w:rFonts w:cs="Arial"/>
                <w:bCs/>
                <w:color w:val="000000"/>
                <w:sz w:val="16"/>
                <w:szCs w:val="16"/>
                <w:lang w:val="cs-CZ" w:eastAsia="cs-CZ"/>
              </w:rPr>
              <w:t>Počet případů vyčíslených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37" w:rsidRPr="00FD304C" w:rsidRDefault="006F3137" w:rsidP="000E36C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cs-CZ" w:eastAsia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 w:eastAsia="cs-CZ"/>
              </w:rPr>
              <w:t>1 360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37" w:rsidRPr="00FD304C" w:rsidRDefault="006F3137" w:rsidP="000E36C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cs-CZ" w:eastAsia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 w:eastAsia="cs-CZ"/>
              </w:rPr>
              <w:t>1 077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37" w:rsidRPr="00FD304C" w:rsidRDefault="006F3137" w:rsidP="000E36C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cs-CZ" w:eastAsia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 w:eastAsia="cs-CZ"/>
              </w:rPr>
              <w:t>1 599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37" w:rsidRPr="00FD304C" w:rsidRDefault="006F3137" w:rsidP="000E36C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cs-CZ" w:eastAsia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 w:eastAsia="cs-CZ"/>
              </w:rPr>
              <w:t>1 595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137" w:rsidRPr="00FD304C" w:rsidRDefault="006F3137" w:rsidP="000E36C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cs-CZ" w:eastAsia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 w:eastAsia="cs-CZ"/>
              </w:rPr>
              <w:t>1 871</w:t>
            </w:r>
          </w:p>
        </w:tc>
      </w:tr>
      <w:tr w:rsidR="006F3137" w:rsidRPr="00FD304C" w:rsidTr="000E36C4">
        <w:trPr>
          <w:trHeight w:val="227"/>
          <w:jc w:val="center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37" w:rsidRPr="00A87877" w:rsidRDefault="006F3137" w:rsidP="00FD304C">
            <w:pPr>
              <w:jc w:val="left"/>
              <w:rPr>
                <w:rFonts w:cs="Arial"/>
                <w:bCs/>
                <w:color w:val="000000"/>
                <w:sz w:val="16"/>
                <w:szCs w:val="16"/>
                <w:lang w:val="cs-CZ" w:eastAsia="cs-CZ"/>
              </w:rPr>
            </w:pPr>
            <w:r w:rsidRPr="00A87877">
              <w:rPr>
                <w:rFonts w:cs="Arial"/>
                <w:bCs/>
                <w:color w:val="000000"/>
                <w:sz w:val="16"/>
                <w:szCs w:val="16"/>
                <w:lang w:val="cs-CZ" w:eastAsia="cs-CZ"/>
              </w:rPr>
              <w:t>Částka vyčíslených případů (</w:t>
            </w:r>
            <w:r w:rsidR="00F63279" w:rsidRPr="00A87877">
              <w:rPr>
                <w:rFonts w:cs="Arial"/>
                <w:bCs/>
                <w:color w:val="000000"/>
                <w:sz w:val="16"/>
                <w:szCs w:val="16"/>
                <w:lang w:val="cs-CZ" w:eastAsia="cs-CZ"/>
              </w:rPr>
              <w:t>v </w:t>
            </w:r>
            <w:r w:rsidRPr="00A87877">
              <w:rPr>
                <w:rFonts w:cs="Arial"/>
                <w:bCs/>
                <w:color w:val="000000"/>
                <w:sz w:val="16"/>
                <w:szCs w:val="16"/>
                <w:lang w:val="cs-CZ" w:eastAsia="cs-CZ"/>
              </w:rPr>
              <w:t>Kč)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37" w:rsidRPr="00FD304C" w:rsidRDefault="006F3137" w:rsidP="000E36C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cs-CZ" w:eastAsia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 w:eastAsia="cs-CZ"/>
              </w:rPr>
              <w:t>24 749 817,00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37" w:rsidRPr="00FD304C" w:rsidRDefault="006F3137" w:rsidP="000E36C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cs-CZ" w:eastAsia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 w:eastAsia="cs-CZ"/>
              </w:rPr>
              <w:t>44 437 505,92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37" w:rsidRPr="00FD304C" w:rsidRDefault="006F3137" w:rsidP="000E36C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cs-CZ" w:eastAsia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 w:eastAsia="cs-CZ"/>
              </w:rPr>
              <w:t>45 285 398,43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37" w:rsidRPr="00FD304C" w:rsidRDefault="006F3137" w:rsidP="000E36C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cs-CZ" w:eastAsia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 w:eastAsia="cs-CZ"/>
              </w:rPr>
              <w:t>50 504 728,00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137" w:rsidRPr="00FD304C" w:rsidRDefault="006F3137" w:rsidP="000E36C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cs-CZ" w:eastAsia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 w:eastAsia="cs-CZ"/>
              </w:rPr>
              <w:t>41 738 304,00</w:t>
            </w:r>
          </w:p>
        </w:tc>
      </w:tr>
      <w:tr w:rsidR="006F3137" w:rsidRPr="00FD304C" w:rsidTr="000E36C4">
        <w:trPr>
          <w:trHeight w:val="227"/>
          <w:jc w:val="center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137" w:rsidRPr="00A87877" w:rsidRDefault="006F3137" w:rsidP="00FD304C">
            <w:pPr>
              <w:jc w:val="left"/>
              <w:rPr>
                <w:rFonts w:cs="Arial"/>
                <w:bCs/>
                <w:color w:val="000000"/>
                <w:sz w:val="16"/>
                <w:szCs w:val="16"/>
                <w:lang w:val="cs-CZ" w:eastAsia="cs-CZ"/>
              </w:rPr>
            </w:pPr>
            <w:r w:rsidRPr="00A87877">
              <w:rPr>
                <w:rFonts w:cs="Arial"/>
                <w:bCs/>
                <w:color w:val="000000"/>
                <w:sz w:val="16"/>
                <w:szCs w:val="16"/>
                <w:lang w:val="cs-CZ" w:eastAsia="cs-CZ"/>
              </w:rPr>
              <w:t>Účetní přírůstek pohledávek (</w:t>
            </w:r>
            <w:r w:rsidR="00F63279" w:rsidRPr="00A87877">
              <w:rPr>
                <w:rFonts w:cs="Arial"/>
                <w:bCs/>
                <w:color w:val="000000"/>
                <w:sz w:val="16"/>
                <w:szCs w:val="16"/>
                <w:lang w:val="cs-CZ" w:eastAsia="cs-CZ"/>
              </w:rPr>
              <w:t>v </w:t>
            </w:r>
            <w:r w:rsidRPr="00A87877">
              <w:rPr>
                <w:rFonts w:cs="Arial"/>
                <w:bCs/>
                <w:color w:val="000000"/>
                <w:sz w:val="16"/>
                <w:szCs w:val="16"/>
                <w:lang w:val="cs-CZ" w:eastAsia="cs-CZ"/>
              </w:rPr>
              <w:t>Kč)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137" w:rsidRPr="00FD304C" w:rsidRDefault="006F3137" w:rsidP="000E36C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eastAsia="cs-CZ"/>
              </w:rPr>
              <w:t>20 508 817,48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137" w:rsidRPr="00FD304C" w:rsidRDefault="006F3137" w:rsidP="000E36C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eastAsia="cs-CZ"/>
              </w:rPr>
              <w:t>33 463 851,77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137" w:rsidRPr="00FD304C" w:rsidRDefault="006F3137" w:rsidP="000E36C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eastAsia="cs-CZ"/>
              </w:rPr>
              <w:t>32 233 230,02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137" w:rsidRPr="00FD304C" w:rsidRDefault="006F3137" w:rsidP="000E36C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eastAsia="cs-CZ"/>
              </w:rPr>
              <w:t>25 336 240,09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137" w:rsidRPr="00FD304C" w:rsidRDefault="006F3137" w:rsidP="000E36C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eastAsia="cs-CZ"/>
              </w:rPr>
              <w:t>212 940 456,38</w:t>
            </w:r>
          </w:p>
        </w:tc>
      </w:tr>
      <w:tr w:rsidR="006F3137" w:rsidRPr="00FD304C" w:rsidTr="000E36C4">
        <w:trPr>
          <w:trHeight w:val="227"/>
          <w:jc w:val="center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137" w:rsidRPr="00A87877" w:rsidRDefault="006F3137" w:rsidP="00FD304C">
            <w:pPr>
              <w:jc w:val="left"/>
              <w:rPr>
                <w:rFonts w:cs="Arial"/>
                <w:bCs/>
                <w:color w:val="000000"/>
                <w:sz w:val="16"/>
                <w:szCs w:val="16"/>
                <w:lang w:val="cs-CZ" w:eastAsia="cs-CZ"/>
              </w:rPr>
            </w:pPr>
            <w:r w:rsidRPr="00A87877">
              <w:rPr>
                <w:rFonts w:cs="Arial"/>
                <w:bCs/>
                <w:color w:val="000000"/>
                <w:sz w:val="16"/>
                <w:szCs w:val="16"/>
                <w:lang w:val="cs-CZ" w:eastAsia="cs-CZ"/>
              </w:rPr>
              <w:t>Úhrada pohledávek (</w:t>
            </w:r>
            <w:r w:rsidR="00F63279" w:rsidRPr="00A87877">
              <w:rPr>
                <w:rFonts w:cs="Arial"/>
                <w:bCs/>
                <w:color w:val="000000"/>
                <w:sz w:val="16"/>
                <w:szCs w:val="16"/>
                <w:lang w:val="cs-CZ" w:eastAsia="cs-CZ"/>
              </w:rPr>
              <w:t>v </w:t>
            </w:r>
            <w:r w:rsidRPr="00A87877">
              <w:rPr>
                <w:rFonts w:cs="Arial"/>
                <w:bCs/>
                <w:color w:val="000000"/>
                <w:sz w:val="16"/>
                <w:szCs w:val="16"/>
                <w:lang w:val="cs-CZ" w:eastAsia="cs-CZ"/>
              </w:rPr>
              <w:t>Kč)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137" w:rsidRPr="00FD304C" w:rsidRDefault="006F3137" w:rsidP="000E36C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eastAsia="cs-CZ"/>
              </w:rPr>
              <w:t>17 021 369,68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137" w:rsidRPr="00FD304C" w:rsidRDefault="006F3137" w:rsidP="000E36C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eastAsia="cs-CZ"/>
              </w:rPr>
              <w:t>16 248 114,50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137" w:rsidRPr="00FD304C" w:rsidRDefault="006F3137" w:rsidP="000E36C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eastAsia="cs-CZ"/>
              </w:rPr>
              <w:t>28 727 149,78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137" w:rsidRPr="00FD304C" w:rsidRDefault="006F3137" w:rsidP="000E36C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eastAsia="cs-CZ"/>
              </w:rPr>
              <w:t>27 609 276,70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137" w:rsidRPr="00FD304C" w:rsidRDefault="006F3137" w:rsidP="000E36C4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eastAsia="cs-CZ"/>
              </w:rPr>
              <w:t>211 308 733,72</w:t>
            </w:r>
          </w:p>
        </w:tc>
      </w:tr>
    </w:tbl>
    <w:p w:rsidR="006F3137" w:rsidRPr="00FD304C" w:rsidRDefault="006F3137" w:rsidP="000E36C4">
      <w:pPr>
        <w:spacing w:before="40"/>
        <w:jc w:val="left"/>
        <w:rPr>
          <w:rFonts w:eastAsiaTheme="minorHAnsi" w:cs="Arial"/>
          <w:sz w:val="18"/>
          <w:szCs w:val="18"/>
          <w:lang w:val="cs-CZ"/>
        </w:rPr>
      </w:pPr>
      <w:r w:rsidRPr="00FD304C">
        <w:rPr>
          <w:rFonts w:eastAsiaTheme="minorHAnsi" w:cs="Arial"/>
          <w:b/>
          <w:sz w:val="18"/>
          <w:szCs w:val="18"/>
          <w:lang w:val="cs-CZ"/>
        </w:rPr>
        <w:t>Zdroj:</w:t>
      </w:r>
      <w:r w:rsidRPr="00FD304C">
        <w:rPr>
          <w:rFonts w:eastAsiaTheme="minorHAnsi" w:cs="Arial"/>
          <w:sz w:val="18"/>
          <w:szCs w:val="18"/>
          <w:lang w:val="cs-CZ"/>
        </w:rPr>
        <w:t xml:space="preserve"> </w:t>
      </w:r>
      <w:r w:rsidR="00F81F75">
        <w:rPr>
          <w:rFonts w:eastAsiaTheme="minorHAnsi" w:cs="Arial"/>
          <w:sz w:val="18"/>
          <w:szCs w:val="18"/>
          <w:lang w:val="cs-CZ"/>
        </w:rPr>
        <w:t>s</w:t>
      </w:r>
      <w:r w:rsidRPr="00FD304C">
        <w:rPr>
          <w:rFonts w:eastAsiaTheme="minorHAnsi" w:cs="Arial"/>
          <w:sz w:val="18"/>
          <w:szCs w:val="18"/>
          <w:lang w:val="cs-CZ"/>
        </w:rPr>
        <w:t>dělení ČPZP ze dne 10. 9. 2013</w:t>
      </w:r>
      <w:r w:rsidR="004763D5" w:rsidRPr="00FD304C">
        <w:rPr>
          <w:rFonts w:eastAsiaTheme="minorHAnsi" w:cs="Arial"/>
          <w:sz w:val="18"/>
          <w:szCs w:val="18"/>
          <w:lang w:val="cs-CZ"/>
        </w:rPr>
        <w:t>, z</w:t>
      </w:r>
      <w:r w:rsidRPr="00FD304C">
        <w:rPr>
          <w:rFonts w:eastAsiaTheme="minorHAnsi" w:cs="Arial"/>
          <w:sz w:val="18"/>
          <w:szCs w:val="18"/>
          <w:lang w:val="cs-CZ"/>
        </w:rPr>
        <w:t xml:space="preserve"> 18. 9. </w:t>
      </w:r>
      <w:proofErr w:type="gramStart"/>
      <w:r w:rsidRPr="00FD304C">
        <w:rPr>
          <w:rFonts w:eastAsiaTheme="minorHAnsi" w:cs="Arial"/>
          <w:sz w:val="18"/>
          <w:szCs w:val="18"/>
          <w:lang w:val="cs-CZ"/>
        </w:rPr>
        <w:t>2013</w:t>
      </w:r>
      <w:r w:rsidR="004763D5" w:rsidRPr="00FD304C">
        <w:rPr>
          <w:rFonts w:eastAsiaTheme="minorHAnsi" w:cs="Arial"/>
          <w:sz w:val="18"/>
          <w:szCs w:val="18"/>
          <w:lang w:val="cs-CZ"/>
        </w:rPr>
        <w:t xml:space="preserve"> a</w:t>
      </w:r>
      <w:r w:rsidRPr="00FD304C">
        <w:rPr>
          <w:rFonts w:eastAsiaTheme="minorHAnsi" w:cs="Arial"/>
          <w:sz w:val="18"/>
          <w:szCs w:val="18"/>
          <w:lang w:val="cs-CZ"/>
        </w:rPr>
        <w:t xml:space="preserve"> z 4. 2. 2014</w:t>
      </w:r>
      <w:proofErr w:type="gramEnd"/>
      <w:r w:rsidRPr="00FD304C">
        <w:rPr>
          <w:rFonts w:eastAsiaTheme="minorHAnsi" w:cs="Arial"/>
          <w:sz w:val="18"/>
          <w:szCs w:val="18"/>
          <w:lang w:val="cs-CZ"/>
        </w:rPr>
        <w:t>.</w:t>
      </w:r>
    </w:p>
    <w:p w:rsidR="006F3137" w:rsidRPr="00FD304C" w:rsidRDefault="006F3137" w:rsidP="00FD304C">
      <w:pPr>
        <w:rPr>
          <w:rFonts w:eastAsiaTheme="minorHAnsi" w:cs="Arial"/>
          <w:sz w:val="18"/>
          <w:szCs w:val="18"/>
          <w:lang w:val="cs-CZ"/>
        </w:rPr>
      </w:pPr>
      <w:r w:rsidRPr="00FD304C">
        <w:rPr>
          <w:rFonts w:eastAsiaTheme="minorHAnsi" w:cs="Arial"/>
          <w:b/>
          <w:sz w:val="18"/>
          <w:szCs w:val="18"/>
          <w:lang w:val="cs-CZ"/>
        </w:rPr>
        <w:t>Pozn.:</w:t>
      </w:r>
      <w:r w:rsidRPr="00FD304C">
        <w:rPr>
          <w:rFonts w:eastAsiaTheme="minorHAnsi" w:cs="Arial"/>
          <w:sz w:val="18"/>
          <w:szCs w:val="18"/>
          <w:lang w:val="cs-CZ"/>
        </w:rPr>
        <w:t xml:space="preserve"> Údaje v roce 2009 a v roce 2012 obsahují rovněž údaje za slučované pojišťovny.</w:t>
      </w:r>
    </w:p>
    <w:p w:rsidR="006F3137" w:rsidRPr="00FD304C" w:rsidRDefault="006F3137" w:rsidP="00FD304C">
      <w:pPr>
        <w:rPr>
          <w:rFonts w:cs="Arial"/>
          <w:lang w:val="cs-CZ"/>
        </w:rPr>
      </w:pPr>
    </w:p>
    <w:p w:rsidR="006F3137" w:rsidRDefault="006F3137" w:rsidP="00FD304C">
      <w:pPr>
        <w:tabs>
          <w:tab w:val="left" w:pos="4395"/>
        </w:tabs>
        <w:rPr>
          <w:rFonts w:cs="Arial"/>
          <w:szCs w:val="22"/>
          <w:lang w:val="cs-CZ"/>
        </w:rPr>
      </w:pPr>
      <w:r w:rsidRPr="00FD304C">
        <w:rPr>
          <w:rFonts w:cs="Arial"/>
          <w:szCs w:val="22"/>
          <w:lang w:val="cs-CZ"/>
        </w:rPr>
        <w:t xml:space="preserve">Tabulka č. </w:t>
      </w:r>
      <w:r w:rsidR="009F58F7" w:rsidRPr="00FD304C">
        <w:rPr>
          <w:rFonts w:cs="Arial"/>
          <w:szCs w:val="22"/>
          <w:lang w:val="cs-CZ"/>
        </w:rPr>
        <w:t>6</w:t>
      </w:r>
      <w:r w:rsidRPr="00FD304C">
        <w:rPr>
          <w:rFonts w:cs="Arial"/>
          <w:szCs w:val="22"/>
          <w:lang w:val="cs-CZ"/>
        </w:rPr>
        <w:t xml:space="preserve"> uvádí počty oznámení o zranění, které HZP, respektive ČPZP</w:t>
      </w:r>
      <w:r w:rsidR="00F81F75">
        <w:rPr>
          <w:rFonts w:cs="Arial"/>
          <w:szCs w:val="22"/>
          <w:lang w:val="cs-CZ"/>
        </w:rPr>
        <w:t>,</w:t>
      </w:r>
      <w:r w:rsidRPr="00FD304C">
        <w:rPr>
          <w:rFonts w:cs="Arial"/>
          <w:szCs w:val="22"/>
          <w:lang w:val="cs-CZ"/>
        </w:rPr>
        <w:t xml:space="preserve"> obdržela</w:t>
      </w:r>
      <w:r w:rsidR="00784DA8" w:rsidRPr="00FD304C">
        <w:rPr>
          <w:rFonts w:cs="Arial"/>
          <w:szCs w:val="22"/>
          <w:lang w:val="cs-CZ"/>
        </w:rPr>
        <w:t xml:space="preserve"> </w:t>
      </w:r>
      <w:r w:rsidR="00994610" w:rsidRPr="00FD304C">
        <w:rPr>
          <w:rFonts w:cs="Arial"/>
          <w:lang w:val="cs-CZ"/>
        </w:rPr>
        <w:t>od p</w:t>
      </w:r>
      <w:r w:rsidR="00177127" w:rsidRPr="00FD304C">
        <w:rPr>
          <w:rFonts w:cs="Arial"/>
          <w:lang w:val="cs-CZ"/>
        </w:rPr>
        <w:t>oskytovatelů ZS a</w:t>
      </w:r>
      <w:r w:rsidR="00994610" w:rsidRPr="00FD304C">
        <w:rPr>
          <w:rFonts w:cs="Arial"/>
          <w:lang w:val="cs-CZ"/>
        </w:rPr>
        <w:t xml:space="preserve"> Policie ČR</w:t>
      </w:r>
      <w:r w:rsidRPr="00FD304C">
        <w:rPr>
          <w:rFonts w:cs="Arial"/>
          <w:szCs w:val="22"/>
          <w:lang w:val="cs-CZ"/>
        </w:rPr>
        <w:t>. Dále jsou uvedeny počty případů, které ČPZP na základě přijatých oznámení v daném roce zaevidovala</w:t>
      </w:r>
      <w:r w:rsidR="002454C2">
        <w:rPr>
          <w:rFonts w:cs="Arial"/>
          <w:szCs w:val="22"/>
          <w:lang w:val="cs-CZ"/>
        </w:rPr>
        <w:t>,</w:t>
      </w:r>
      <w:r w:rsidRPr="00FD304C">
        <w:rPr>
          <w:rFonts w:cs="Arial"/>
          <w:szCs w:val="22"/>
          <w:lang w:val="cs-CZ"/>
        </w:rPr>
        <w:t xml:space="preserve"> a počty případů, u kterých již byly revizním lékařem vyčísleny náklady </w:t>
      </w:r>
      <w:r w:rsidR="002454C2">
        <w:rPr>
          <w:rFonts w:cs="Arial"/>
          <w:szCs w:val="22"/>
          <w:lang w:val="cs-CZ"/>
        </w:rPr>
        <w:t xml:space="preserve">na </w:t>
      </w:r>
      <w:r w:rsidRPr="00FD304C">
        <w:rPr>
          <w:rFonts w:cs="Arial"/>
          <w:szCs w:val="22"/>
          <w:lang w:val="cs-CZ"/>
        </w:rPr>
        <w:t>léčb</w:t>
      </w:r>
      <w:r w:rsidR="002454C2">
        <w:rPr>
          <w:rFonts w:cs="Arial"/>
          <w:szCs w:val="22"/>
          <w:lang w:val="cs-CZ"/>
        </w:rPr>
        <w:t>u</w:t>
      </w:r>
      <w:r w:rsidRPr="00FD304C">
        <w:rPr>
          <w:rFonts w:cs="Arial"/>
          <w:szCs w:val="22"/>
          <w:lang w:val="cs-CZ"/>
        </w:rPr>
        <w:t xml:space="preserve"> pojištěnce, </w:t>
      </w:r>
      <w:r w:rsidR="002454C2">
        <w:rPr>
          <w:rFonts w:cs="Arial"/>
          <w:szCs w:val="22"/>
          <w:lang w:val="cs-CZ"/>
        </w:rPr>
        <w:t>avšak</w:t>
      </w:r>
      <w:r w:rsidRPr="00FD304C">
        <w:rPr>
          <w:rFonts w:cs="Arial"/>
          <w:szCs w:val="22"/>
          <w:lang w:val="cs-CZ"/>
        </w:rPr>
        <w:t xml:space="preserve"> o kterých ČPZP ještě neúčtovala. V posledních dvou řádcích tabulky jsou uvedeny údaje z účetnictví ČPZP. Jedná se o obraty účtu 315</w:t>
      </w:r>
      <w:r w:rsidR="00F81F75">
        <w:rPr>
          <w:rFonts w:cs="Arial"/>
          <w:szCs w:val="22"/>
          <w:lang w:val="cs-CZ"/>
        </w:rPr>
        <w:t> –</w:t>
      </w:r>
      <w:r w:rsidRPr="00FD304C">
        <w:rPr>
          <w:rFonts w:cs="Arial"/>
          <w:szCs w:val="22"/>
          <w:lang w:val="cs-CZ"/>
        </w:rPr>
        <w:t xml:space="preserve"> </w:t>
      </w:r>
      <w:r w:rsidRPr="00FD304C">
        <w:rPr>
          <w:rFonts w:cs="Arial"/>
          <w:i/>
          <w:szCs w:val="22"/>
          <w:lang w:val="cs-CZ"/>
        </w:rPr>
        <w:t>Pohledávky z náhrad škod</w:t>
      </w:r>
      <w:r w:rsidRPr="00FD304C">
        <w:rPr>
          <w:rFonts w:cs="Arial"/>
          <w:szCs w:val="22"/>
          <w:lang w:val="cs-CZ"/>
        </w:rPr>
        <w:t>, které zachycují předepsanou výši pohledávek z titulu náhrad škod a přijaté úhrady.</w:t>
      </w:r>
      <w:r w:rsidR="00B734E9">
        <w:rPr>
          <w:rFonts w:cs="Arial"/>
          <w:szCs w:val="22"/>
          <w:lang w:val="cs-CZ"/>
        </w:rPr>
        <w:t xml:space="preserve"> </w:t>
      </w:r>
    </w:p>
    <w:p w:rsidR="00B734E9" w:rsidRDefault="00B734E9" w:rsidP="00FD304C">
      <w:pPr>
        <w:tabs>
          <w:tab w:val="left" w:pos="4395"/>
        </w:tabs>
        <w:rPr>
          <w:rFonts w:cs="Arial"/>
          <w:szCs w:val="22"/>
          <w:lang w:val="cs-CZ"/>
        </w:rPr>
      </w:pPr>
    </w:p>
    <w:p w:rsidR="006F3137" w:rsidRPr="00FD304C" w:rsidRDefault="006F3137" w:rsidP="00FD304C">
      <w:pPr>
        <w:rPr>
          <w:rFonts w:eastAsiaTheme="minorHAnsi" w:cs="Arial"/>
          <w:szCs w:val="22"/>
          <w:lang w:val="cs-CZ" w:eastAsia="cs-CZ"/>
        </w:rPr>
      </w:pPr>
      <w:r w:rsidRPr="00FD304C">
        <w:rPr>
          <w:rFonts w:eastAsiaTheme="minorHAnsi" w:cs="Arial"/>
          <w:szCs w:val="22"/>
          <w:lang w:val="cs-CZ"/>
        </w:rPr>
        <w:t>ČPZP o předpisech pohledávek z titulu náhrady škod</w:t>
      </w:r>
      <w:r w:rsidR="009F2979" w:rsidRPr="00FD304C">
        <w:rPr>
          <w:rFonts w:eastAsiaTheme="minorHAnsi" w:cs="Arial"/>
          <w:szCs w:val="22"/>
          <w:lang w:val="cs-CZ"/>
        </w:rPr>
        <w:t>y</w:t>
      </w:r>
      <w:r w:rsidRPr="00FD304C">
        <w:rPr>
          <w:rFonts w:eastAsiaTheme="minorHAnsi" w:cs="Arial"/>
          <w:szCs w:val="22"/>
          <w:lang w:val="cs-CZ"/>
        </w:rPr>
        <w:t xml:space="preserve"> </w:t>
      </w:r>
      <w:r w:rsidR="009F2979" w:rsidRPr="00FD304C">
        <w:rPr>
          <w:rFonts w:eastAsiaTheme="minorHAnsi" w:cs="Arial"/>
          <w:szCs w:val="22"/>
          <w:lang w:val="cs-CZ"/>
        </w:rPr>
        <w:t xml:space="preserve">ve zjištěných případech </w:t>
      </w:r>
      <w:r w:rsidRPr="00FD304C">
        <w:rPr>
          <w:rFonts w:eastAsiaTheme="minorHAnsi" w:cs="Arial"/>
          <w:szCs w:val="22"/>
          <w:lang w:val="cs-CZ"/>
        </w:rPr>
        <w:t>neúčtovala</w:t>
      </w:r>
      <w:r w:rsidR="009F2979" w:rsidRPr="00FD304C">
        <w:rPr>
          <w:rFonts w:eastAsiaTheme="minorHAnsi" w:cs="Arial"/>
          <w:szCs w:val="22"/>
          <w:lang w:val="cs-CZ" w:eastAsia="cs-CZ"/>
        </w:rPr>
        <w:t xml:space="preserve"> v </w:t>
      </w:r>
      <w:r w:rsidRPr="00FD304C">
        <w:rPr>
          <w:rFonts w:eastAsiaTheme="minorHAnsi" w:cs="Arial"/>
          <w:szCs w:val="22"/>
          <w:lang w:val="cs-CZ" w:eastAsia="cs-CZ"/>
        </w:rPr>
        <w:t>účetním období, s nímž časově a věcně souvisely</w:t>
      </w:r>
      <w:r w:rsidR="009F2979" w:rsidRPr="00FD304C">
        <w:rPr>
          <w:rFonts w:eastAsiaTheme="minorHAnsi" w:cs="Arial"/>
          <w:szCs w:val="22"/>
          <w:lang w:val="cs-CZ" w:eastAsia="cs-CZ"/>
        </w:rPr>
        <w:t>.</w:t>
      </w:r>
    </w:p>
    <w:p w:rsidR="002A626B" w:rsidRPr="00FD304C" w:rsidRDefault="002A626B" w:rsidP="00FD304C">
      <w:pPr>
        <w:rPr>
          <w:rFonts w:cs="Arial"/>
          <w:lang w:val="cs-CZ"/>
        </w:rPr>
      </w:pPr>
    </w:p>
    <w:p w:rsidR="000053E7" w:rsidRPr="00A859AD" w:rsidRDefault="00A859AD" w:rsidP="00A859AD">
      <w:pPr>
        <w:rPr>
          <w:rFonts w:cs="Arial"/>
          <w:b/>
          <w:szCs w:val="22"/>
          <w:lang w:val="cs-CZ"/>
        </w:rPr>
      </w:pPr>
      <w:r>
        <w:rPr>
          <w:rFonts w:cs="Arial"/>
          <w:b/>
          <w:szCs w:val="22"/>
          <w:lang w:val="cs-CZ"/>
        </w:rPr>
        <w:t xml:space="preserve">4. </w:t>
      </w:r>
      <w:r w:rsidR="000053E7" w:rsidRPr="00A859AD">
        <w:rPr>
          <w:rFonts w:cs="Arial"/>
          <w:b/>
          <w:szCs w:val="22"/>
          <w:lang w:val="cs-CZ"/>
        </w:rPr>
        <w:t>Fondy ČPZP</w:t>
      </w:r>
    </w:p>
    <w:p w:rsidR="000053E7" w:rsidRPr="00FD304C" w:rsidRDefault="000053E7" w:rsidP="00FD304C">
      <w:pPr>
        <w:rPr>
          <w:rFonts w:cs="Arial"/>
          <w:lang w:val="cs-CZ"/>
        </w:rPr>
      </w:pPr>
    </w:p>
    <w:p w:rsidR="000053E7" w:rsidRPr="00FD304C" w:rsidRDefault="000053E7" w:rsidP="00FD304C">
      <w:pPr>
        <w:rPr>
          <w:rFonts w:cs="Arial"/>
          <w:lang w:val="cs-CZ"/>
        </w:rPr>
      </w:pPr>
      <w:r w:rsidRPr="00FD304C">
        <w:rPr>
          <w:rFonts w:cs="Arial"/>
          <w:lang w:val="cs-CZ"/>
        </w:rPr>
        <w:t xml:space="preserve">Druhy, tvorbu, čerpání a správu fondů ČPZP upravuje zákon č. 280/1992 </w:t>
      </w:r>
      <w:proofErr w:type="gramStart"/>
      <w:r w:rsidRPr="00FD304C">
        <w:rPr>
          <w:rFonts w:cs="Arial"/>
          <w:lang w:val="cs-CZ"/>
        </w:rPr>
        <w:t>Sb.</w:t>
      </w:r>
      <w:r w:rsidRPr="00FD304C">
        <w:rPr>
          <w:rFonts w:cs="Arial"/>
          <w:vertAlign w:val="superscript"/>
          <w:lang w:val="cs-CZ"/>
        </w:rPr>
        <w:t>1</w:t>
      </w:r>
      <w:r w:rsidRPr="00FD304C">
        <w:rPr>
          <w:rFonts w:cs="Arial"/>
          <w:lang w:val="cs-CZ"/>
        </w:rPr>
        <w:t xml:space="preserve"> a prováděcí</w:t>
      </w:r>
      <w:proofErr w:type="gramEnd"/>
      <w:r w:rsidRPr="00FD304C">
        <w:rPr>
          <w:rFonts w:cs="Arial"/>
          <w:lang w:val="cs-CZ"/>
        </w:rPr>
        <w:t xml:space="preserve"> vyhláška k tomuto zákonu č. 418/2003 Sb.</w:t>
      </w:r>
      <w:r w:rsidRPr="00FD304C">
        <w:rPr>
          <w:rFonts w:cs="Arial"/>
          <w:vertAlign w:val="superscript"/>
          <w:lang w:val="cs-CZ"/>
        </w:rPr>
        <w:footnoteReference w:id="13"/>
      </w:r>
      <w:r w:rsidRPr="00FD304C">
        <w:rPr>
          <w:rFonts w:cs="Arial"/>
          <w:lang w:val="cs-CZ"/>
        </w:rPr>
        <w:t xml:space="preserve"> ČPZP spravovala sedm fondů, z toho v rámci této kontrolní akce byla prověřena tvorba a čerpání </w:t>
      </w:r>
      <w:r w:rsidR="00BC764E" w:rsidRPr="00FD304C">
        <w:rPr>
          <w:rFonts w:cs="Arial"/>
          <w:lang w:val="cs-CZ"/>
        </w:rPr>
        <w:t xml:space="preserve">čtyř </w:t>
      </w:r>
      <w:r w:rsidRPr="00FD304C">
        <w:rPr>
          <w:rFonts w:cs="Arial"/>
          <w:lang w:val="cs-CZ"/>
        </w:rPr>
        <w:t>fondů</w:t>
      </w:r>
      <w:r w:rsidR="00BC764E" w:rsidRPr="00FD304C">
        <w:rPr>
          <w:rFonts w:cs="Arial"/>
          <w:lang w:val="cs-CZ"/>
        </w:rPr>
        <w:t xml:space="preserve">. </w:t>
      </w:r>
    </w:p>
    <w:p w:rsidR="004715A4" w:rsidRPr="00FD304C" w:rsidRDefault="004715A4" w:rsidP="00FD304C">
      <w:pPr>
        <w:rPr>
          <w:rFonts w:cs="Arial"/>
          <w:lang w:val="cs-CZ"/>
        </w:rPr>
      </w:pPr>
    </w:p>
    <w:p w:rsidR="000053E7" w:rsidRPr="00FD304C" w:rsidRDefault="000053E7" w:rsidP="000E36C4">
      <w:pPr>
        <w:tabs>
          <w:tab w:val="left" w:pos="1418"/>
          <w:tab w:val="left" w:pos="1560"/>
          <w:tab w:val="right" w:pos="9072"/>
        </w:tabs>
        <w:spacing w:after="40"/>
        <w:ind w:left="1559" w:hanging="1559"/>
        <w:rPr>
          <w:rFonts w:cs="Arial"/>
          <w:b/>
          <w:lang w:val="cs-CZ"/>
        </w:rPr>
      </w:pPr>
      <w:r w:rsidRPr="00FD304C">
        <w:rPr>
          <w:rFonts w:cs="Arial"/>
          <w:b/>
          <w:lang w:val="cs-CZ"/>
        </w:rPr>
        <w:lastRenderedPageBreak/>
        <w:t xml:space="preserve">Tabulka č. </w:t>
      </w:r>
      <w:r w:rsidR="009F58F7" w:rsidRPr="00FD304C">
        <w:rPr>
          <w:rFonts w:cs="Arial"/>
          <w:b/>
          <w:lang w:val="cs-CZ"/>
        </w:rPr>
        <w:t>7</w:t>
      </w:r>
      <w:r w:rsidR="00562935" w:rsidRPr="00FD304C">
        <w:rPr>
          <w:rFonts w:cs="Arial"/>
          <w:b/>
          <w:lang w:val="cs-CZ"/>
        </w:rPr>
        <w:t xml:space="preserve"> </w:t>
      </w:r>
      <w:r w:rsidR="00C932A7" w:rsidRPr="00FD304C">
        <w:rPr>
          <w:rFonts w:cs="Arial"/>
          <w:b/>
          <w:lang w:val="cs-CZ"/>
        </w:rPr>
        <w:t>–</w:t>
      </w:r>
      <w:r w:rsidR="00FF1DA4" w:rsidRPr="00FD304C">
        <w:rPr>
          <w:rFonts w:cs="Arial"/>
          <w:b/>
          <w:lang w:val="cs-CZ"/>
        </w:rPr>
        <w:t xml:space="preserve"> </w:t>
      </w:r>
      <w:r w:rsidRPr="00FD304C">
        <w:rPr>
          <w:rFonts w:cs="Arial"/>
          <w:b/>
          <w:lang w:val="cs-CZ"/>
        </w:rPr>
        <w:t>Tvorba a čerpání kontrolovaných fondů ČPZP</w:t>
      </w:r>
      <w:r w:rsidRPr="00FD304C">
        <w:rPr>
          <w:rFonts w:cs="Arial"/>
          <w:b/>
          <w:lang w:val="cs-CZ"/>
        </w:rPr>
        <w:tab/>
        <w:t xml:space="preserve"> (v tis. Kč)</w:t>
      </w:r>
    </w:p>
    <w:tbl>
      <w:tblPr>
        <w:tblW w:w="494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195"/>
        <w:gridCol w:w="1275"/>
        <w:gridCol w:w="1295"/>
        <w:gridCol w:w="1314"/>
        <w:gridCol w:w="1328"/>
      </w:tblGrid>
      <w:tr w:rsidR="000053E7" w:rsidRPr="00FD304C" w:rsidTr="000E36C4">
        <w:trPr>
          <w:cantSplit/>
          <w:trHeight w:val="227"/>
        </w:trPr>
        <w:tc>
          <w:tcPr>
            <w:tcW w:w="2139" w:type="pct"/>
            <w:gridSpan w:val="2"/>
            <w:shd w:val="clear" w:color="auto" w:fill="auto"/>
            <w:vAlign w:val="center"/>
          </w:tcPr>
          <w:p w:rsidR="000053E7" w:rsidRPr="00FD304C" w:rsidRDefault="000053E7" w:rsidP="000E36C4">
            <w:pPr>
              <w:jc w:val="left"/>
              <w:rPr>
                <w:rFonts w:cs="Arial"/>
                <w:b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b/>
                <w:sz w:val="18"/>
                <w:szCs w:val="18"/>
                <w:lang w:val="cs-CZ"/>
              </w:rPr>
              <w:t>Fond ČPZP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0053E7" w:rsidRPr="00FD304C" w:rsidRDefault="000053E7" w:rsidP="000E36C4">
            <w:pPr>
              <w:jc w:val="center"/>
              <w:rPr>
                <w:rFonts w:cs="Arial"/>
                <w:b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b/>
                <w:sz w:val="18"/>
                <w:szCs w:val="18"/>
                <w:lang w:val="cs-CZ"/>
              </w:rPr>
              <w:t>2009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0053E7" w:rsidRPr="00FD304C" w:rsidRDefault="000053E7" w:rsidP="000E36C4">
            <w:pPr>
              <w:jc w:val="center"/>
              <w:rPr>
                <w:rFonts w:cs="Arial"/>
                <w:b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b/>
                <w:sz w:val="18"/>
                <w:szCs w:val="18"/>
                <w:lang w:val="cs-CZ"/>
              </w:rPr>
              <w:t>2010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053E7" w:rsidRPr="00FD304C" w:rsidRDefault="000053E7" w:rsidP="000E36C4">
            <w:pPr>
              <w:jc w:val="center"/>
              <w:rPr>
                <w:rFonts w:cs="Arial"/>
                <w:b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b/>
                <w:sz w:val="18"/>
                <w:szCs w:val="18"/>
                <w:lang w:val="cs-CZ"/>
              </w:rPr>
              <w:t>2011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0053E7" w:rsidRPr="00FD304C" w:rsidRDefault="000053E7" w:rsidP="000E36C4">
            <w:pPr>
              <w:jc w:val="center"/>
              <w:rPr>
                <w:rFonts w:cs="Arial"/>
                <w:b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b/>
                <w:sz w:val="18"/>
                <w:szCs w:val="18"/>
                <w:lang w:val="cs-CZ"/>
              </w:rPr>
              <w:t>2012</w:t>
            </w:r>
          </w:p>
        </w:tc>
      </w:tr>
      <w:tr w:rsidR="000053E7" w:rsidRPr="00FD304C" w:rsidTr="000E36C4">
        <w:trPr>
          <w:trHeight w:val="227"/>
        </w:trPr>
        <w:tc>
          <w:tcPr>
            <w:tcW w:w="934" w:type="pct"/>
            <w:vMerge w:val="restart"/>
            <w:shd w:val="clear" w:color="auto" w:fill="auto"/>
            <w:vAlign w:val="center"/>
          </w:tcPr>
          <w:p w:rsidR="000053E7" w:rsidRPr="00A87877" w:rsidRDefault="000053E7" w:rsidP="000E36C4">
            <w:pPr>
              <w:jc w:val="left"/>
              <w:rPr>
                <w:rFonts w:cs="Arial"/>
                <w:sz w:val="18"/>
                <w:szCs w:val="18"/>
                <w:lang w:val="cs-CZ"/>
              </w:rPr>
            </w:pPr>
            <w:r w:rsidRPr="00A87877">
              <w:rPr>
                <w:rFonts w:cs="Arial"/>
                <w:sz w:val="18"/>
                <w:szCs w:val="18"/>
                <w:lang w:val="cs-CZ"/>
              </w:rPr>
              <w:t>Základní fond</w:t>
            </w:r>
          </w:p>
        </w:tc>
        <w:tc>
          <w:tcPr>
            <w:tcW w:w="1205" w:type="pct"/>
            <w:vAlign w:val="center"/>
          </w:tcPr>
          <w:p w:rsidR="000053E7" w:rsidRPr="00A87877" w:rsidRDefault="000053E7" w:rsidP="000E36C4">
            <w:pPr>
              <w:jc w:val="left"/>
              <w:rPr>
                <w:rFonts w:cs="Arial"/>
                <w:sz w:val="18"/>
                <w:szCs w:val="18"/>
                <w:lang w:val="cs-CZ"/>
              </w:rPr>
            </w:pPr>
            <w:r w:rsidRPr="00A87877">
              <w:rPr>
                <w:rFonts w:cs="Arial"/>
                <w:sz w:val="18"/>
                <w:szCs w:val="18"/>
                <w:lang w:val="cs-CZ"/>
              </w:rPr>
              <w:t>Tvorba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0053E7" w:rsidRPr="00FD304C" w:rsidRDefault="000053E7" w:rsidP="000E36C4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10 595 615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0053E7" w:rsidRPr="00FD304C" w:rsidRDefault="000053E7" w:rsidP="000E36C4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13 556 742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053E7" w:rsidRPr="00FD304C" w:rsidRDefault="000053E7" w:rsidP="000E36C4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14 134 156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0053E7" w:rsidRPr="00FD304C" w:rsidRDefault="000053E7" w:rsidP="000E36C4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18 521 455</w:t>
            </w:r>
          </w:p>
        </w:tc>
      </w:tr>
      <w:tr w:rsidR="000053E7" w:rsidRPr="00FD304C" w:rsidTr="000E36C4">
        <w:trPr>
          <w:trHeight w:val="227"/>
        </w:trPr>
        <w:tc>
          <w:tcPr>
            <w:tcW w:w="934" w:type="pct"/>
            <w:vMerge/>
            <w:shd w:val="clear" w:color="auto" w:fill="auto"/>
            <w:vAlign w:val="center"/>
          </w:tcPr>
          <w:p w:rsidR="000053E7" w:rsidRPr="00A87877" w:rsidRDefault="000053E7" w:rsidP="000E36C4">
            <w:pPr>
              <w:jc w:val="left"/>
              <w:rPr>
                <w:rFonts w:cs="Arial"/>
                <w:sz w:val="18"/>
                <w:szCs w:val="18"/>
                <w:lang w:val="cs-CZ"/>
              </w:rPr>
            </w:pPr>
          </w:p>
        </w:tc>
        <w:tc>
          <w:tcPr>
            <w:tcW w:w="1205" w:type="pct"/>
            <w:vAlign w:val="center"/>
          </w:tcPr>
          <w:p w:rsidR="000053E7" w:rsidRPr="00A87877" w:rsidRDefault="000053E7" w:rsidP="000E36C4">
            <w:pPr>
              <w:jc w:val="left"/>
              <w:rPr>
                <w:rFonts w:cs="Arial"/>
                <w:sz w:val="18"/>
                <w:szCs w:val="18"/>
                <w:lang w:val="cs-CZ"/>
              </w:rPr>
            </w:pPr>
            <w:r w:rsidRPr="00A87877">
              <w:rPr>
                <w:rFonts w:cs="Arial"/>
                <w:sz w:val="18"/>
                <w:szCs w:val="18"/>
                <w:lang w:val="cs-CZ"/>
              </w:rPr>
              <w:t>Čerpání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0053E7" w:rsidRPr="00FD304C" w:rsidRDefault="000053E7" w:rsidP="000E36C4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8 714 464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0053E7" w:rsidRPr="00FD304C" w:rsidRDefault="000053E7" w:rsidP="000E36C4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14 691 921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053E7" w:rsidRPr="00FD304C" w:rsidRDefault="000053E7" w:rsidP="000E36C4">
            <w:pPr>
              <w:ind w:right="57"/>
              <w:jc w:val="right"/>
              <w:rPr>
                <w:rFonts w:cs="Arial"/>
                <w:sz w:val="18"/>
                <w:szCs w:val="18"/>
              </w:rPr>
            </w:pPr>
            <w:r w:rsidRPr="00FD304C">
              <w:rPr>
                <w:rFonts w:cs="Arial"/>
                <w:sz w:val="18"/>
                <w:szCs w:val="18"/>
              </w:rPr>
              <w:t>14 725 604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0053E7" w:rsidRPr="00FD304C" w:rsidRDefault="000053E7" w:rsidP="000E36C4">
            <w:pPr>
              <w:ind w:right="57"/>
              <w:jc w:val="right"/>
              <w:rPr>
                <w:rFonts w:cs="Arial"/>
                <w:sz w:val="18"/>
                <w:szCs w:val="18"/>
              </w:rPr>
            </w:pPr>
            <w:r w:rsidRPr="00FD304C">
              <w:rPr>
                <w:rFonts w:cs="Arial"/>
                <w:sz w:val="18"/>
                <w:szCs w:val="18"/>
              </w:rPr>
              <w:t>18 452 457</w:t>
            </w:r>
          </w:p>
        </w:tc>
      </w:tr>
      <w:tr w:rsidR="00F62A15" w:rsidRPr="00FD304C" w:rsidTr="000E36C4">
        <w:trPr>
          <w:trHeight w:val="227"/>
        </w:trPr>
        <w:tc>
          <w:tcPr>
            <w:tcW w:w="934" w:type="pct"/>
            <w:vMerge w:val="restart"/>
            <w:shd w:val="clear" w:color="auto" w:fill="auto"/>
            <w:vAlign w:val="center"/>
          </w:tcPr>
          <w:p w:rsidR="00F62A15" w:rsidRPr="00A87877" w:rsidRDefault="00F62A15" w:rsidP="000E36C4">
            <w:pPr>
              <w:jc w:val="left"/>
              <w:rPr>
                <w:rFonts w:cs="Arial"/>
                <w:sz w:val="18"/>
                <w:szCs w:val="18"/>
                <w:lang w:val="cs-CZ"/>
              </w:rPr>
            </w:pPr>
            <w:r w:rsidRPr="00A87877">
              <w:rPr>
                <w:rFonts w:cs="Arial"/>
                <w:sz w:val="18"/>
                <w:szCs w:val="18"/>
                <w:lang w:val="cs-CZ"/>
              </w:rPr>
              <w:t>Provozní fond</w:t>
            </w:r>
          </w:p>
        </w:tc>
        <w:tc>
          <w:tcPr>
            <w:tcW w:w="1205" w:type="pct"/>
            <w:vAlign w:val="center"/>
          </w:tcPr>
          <w:p w:rsidR="00F62A15" w:rsidRPr="00A87877" w:rsidRDefault="00F62A15" w:rsidP="000E36C4">
            <w:pPr>
              <w:jc w:val="left"/>
              <w:rPr>
                <w:rFonts w:cs="Arial"/>
                <w:sz w:val="18"/>
                <w:szCs w:val="18"/>
                <w:lang w:val="cs-CZ"/>
              </w:rPr>
            </w:pPr>
            <w:r w:rsidRPr="00A87877">
              <w:rPr>
                <w:rFonts w:cs="Arial"/>
                <w:sz w:val="18"/>
                <w:szCs w:val="18"/>
                <w:lang w:val="cs-CZ"/>
              </w:rPr>
              <w:t>Tvorba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F62A15" w:rsidRPr="00FD304C" w:rsidRDefault="00F62A15" w:rsidP="000E36C4">
            <w:pPr>
              <w:ind w:right="57"/>
              <w:jc w:val="right"/>
              <w:rPr>
                <w:rFonts w:cs="Arial"/>
                <w:sz w:val="18"/>
                <w:szCs w:val="18"/>
              </w:rPr>
            </w:pPr>
            <w:r w:rsidRPr="00FD304C">
              <w:rPr>
                <w:rFonts w:cs="Arial"/>
                <w:sz w:val="18"/>
                <w:szCs w:val="18"/>
              </w:rPr>
              <w:t xml:space="preserve">206 897 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62A15" w:rsidRPr="00FD304C" w:rsidRDefault="00F62A15" w:rsidP="000E36C4">
            <w:pPr>
              <w:ind w:right="57"/>
              <w:jc w:val="right"/>
              <w:rPr>
                <w:rFonts w:cs="Arial"/>
                <w:sz w:val="18"/>
                <w:szCs w:val="18"/>
              </w:rPr>
            </w:pPr>
            <w:r w:rsidRPr="00FD304C">
              <w:rPr>
                <w:rFonts w:cs="Arial"/>
                <w:sz w:val="18"/>
                <w:szCs w:val="18"/>
              </w:rPr>
              <w:t>426 476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F62A15" w:rsidRPr="00FD304C" w:rsidRDefault="00F62A15" w:rsidP="000E36C4">
            <w:pPr>
              <w:ind w:right="57"/>
              <w:jc w:val="right"/>
              <w:rPr>
                <w:rFonts w:cs="Arial"/>
                <w:sz w:val="18"/>
                <w:szCs w:val="18"/>
              </w:rPr>
            </w:pPr>
            <w:r w:rsidRPr="00FD304C">
              <w:rPr>
                <w:rFonts w:cs="Arial"/>
                <w:sz w:val="18"/>
                <w:szCs w:val="18"/>
              </w:rPr>
              <w:t>505 001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F62A15" w:rsidRPr="00FD304C" w:rsidRDefault="00F62A15" w:rsidP="000E36C4">
            <w:pPr>
              <w:ind w:right="57"/>
              <w:jc w:val="right"/>
              <w:rPr>
                <w:rFonts w:cs="Arial"/>
                <w:sz w:val="18"/>
                <w:szCs w:val="18"/>
              </w:rPr>
            </w:pPr>
            <w:r w:rsidRPr="00FD304C">
              <w:rPr>
                <w:rFonts w:cs="Arial"/>
                <w:sz w:val="18"/>
                <w:szCs w:val="18"/>
              </w:rPr>
              <w:t>641 924</w:t>
            </w:r>
          </w:p>
        </w:tc>
      </w:tr>
      <w:tr w:rsidR="00F62A15" w:rsidRPr="00FD304C" w:rsidTr="000E36C4">
        <w:trPr>
          <w:trHeight w:val="227"/>
        </w:trPr>
        <w:tc>
          <w:tcPr>
            <w:tcW w:w="934" w:type="pct"/>
            <w:vMerge/>
            <w:shd w:val="clear" w:color="auto" w:fill="auto"/>
            <w:vAlign w:val="center"/>
          </w:tcPr>
          <w:p w:rsidR="00F62A15" w:rsidRPr="00A87877" w:rsidRDefault="00F62A15" w:rsidP="000E36C4">
            <w:pPr>
              <w:jc w:val="left"/>
              <w:rPr>
                <w:rFonts w:cs="Arial"/>
                <w:sz w:val="18"/>
                <w:szCs w:val="18"/>
                <w:lang w:val="cs-CZ"/>
              </w:rPr>
            </w:pPr>
          </w:p>
        </w:tc>
        <w:tc>
          <w:tcPr>
            <w:tcW w:w="1205" w:type="pct"/>
            <w:vAlign w:val="center"/>
          </w:tcPr>
          <w:p w:rsidR="00F62A15" w:rsidRPr="00A87877" w:rsidRDefault="00F62A15" w:rsidP="000E36C4">
            <w:pPr>
              <w:jc w:val="left"/>
              <w:rPr>
                <w:rFonts w:cs="Arial"/>
                <w:sz w:val="18"/>
                <w:szCs w:val="18"/>
                <w:lang w:val="cs-CZ"/>
              </w:rPr>
            </w:pPr>
            <w:r w:rsidRPr="00A87877">
              <w:rPr>
                <w:rFonts w:cs="Arial"/>
                <w:sz w:val="18"/>
                <w:szCs w:val="18"/>
                <w:lang w:val="cs-CZ"/>
              </w:rPr>
              <w:t>Čerpání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F62A15" w:rsidRPr="00FD304C" w:rsidRDefault="00F62A15" w:rsidP="000E36C4">
            <w:pPr>
              <w:ind w:right="57"/>
              <w:jc w:val="right"/>
              <w:rPr>
                <w:rFonts w:cs="Arial"/>
                <w:sz w:val="18"/>
                <w:szCs w:val="18"/>
              </w:rPr>
            </w:pPr>
            <w:r w:rsidRPr="00FD304C">
              <w:rPr>
                <w:rFonts w:cs="Arial"/>
                <w:sz w:val="18"/>
                <w:szCs w:val="18"/>
              </w:rPr>
              <w:t>346 845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62A15" w:rsidRPr="00FD304C" w:rsidRDefault="00F62A15" w:rsidP="000E36C4">
            <w:pPr>
              <w:ind w:right="57"/>
              <w:jc w:val="right"/>
              <w:rPr>
                <w:rFonts w:cs="Arial"/>
                <w:sz w:val="18"/>
                <w:szCs w:val="18"/>
              </w:rPr>
            </w:pPr>
            <w:r w:rsidRPr="00FD304C">
              <w:rPr>
                <w:rFonts w:cs="Arial"/>
                <w:sz w:val="18"/>
                <w:szCs w:val="18"/>
              </w:rPr>
              <w:t>484 529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F62A15" w:rsidRPr="00FD304C" w:rsidRDefault="00F62A15" w:rsidP="000E36C4">
            <w:pPr>
              <w:ind w:right="57"/>
              <w:jc w:val="right"/>
              <w:rPr>
                <w:rFonts w:cs="Arial"/>
                <w:sz w:val="18"/>
                <w:szCs w:val="18"/>
              </w:rPr>
            </w:pPr>
            <w:r w:rsidRPr="00FD304C">
              <w:rPr>
                <w:rFonts w:cs="Arial"/>
                <w:sz w:val="18"/>
                <w:szCs w:val="18"/>
              </w:rPr>
              <w:t>461 916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F62A15" w:rsidRPr="00FD304C" w:rsidRDefault="00F62A15" w:rsidP="000E36C4">
            <w:pPr>
              <w:ind w:right="57"/>
              <w:jc w:val="right"/>
              <w:rPr>
                <w:rFonts w:cs="Arial"/>
                <w:sz w:val="18"/>
                <w:szCs w:val="18"/>
              </w:rPr>
            </w:pPr>
            <w:r w:rsidRPr="00FD304C">
              <w:rPr>
                <w:rFonts w:cs="Arial"/>
                <w:sz w:val="18"/>
                <w:szCs w:val="18"/>
              </w:rPr>
              <w:t>579 216</w:t>
            </w:r>
          </w:p>
        </w:tc>
      </w:tr>
      <w:tr w:rsidR="00F62A15" w:rsidRPr="00FD304C" w:rsidTr="000E36C4">
        <w:trPr>
          <w:trHeight w:val="227"/>
        </w:trPr>
        <w:tc>
          <w:tcPr>
            <w:tcW w:w="934" w:type="pct"/>
            <w:vMerge/>
            <w:shd w:val="clear" w:color="auto" w:fill="auto"/>
            <w:vAlign w:val="center"/>
          </w:tcPr>
          <w:p w:rsidR="00F62A15" w:rsidRPr="00A87877" w:rsidRDefault="00F62A15" w:rsidP="000E36C4">
            <w:pPr>
              <w:jc w:val="left"/>
              <w:rPr>
                <w:rFonts w:cs="Arial"/>
                <w:sz w:val="18"/>
                <w:szCs w:val="18"/>
                <w:lang w:val="cs-CZ"/>
              </w:rPr>
            </w:pPr>
          </w:p>
        </w:tc>
        <w:tc>
          <w:tcPr>
            <w:tcW w:w="1205" w:type="pct"/>
            <w:vAlign w:val="center"/>
          </w:tcPr>
          <w:p w:rsidR="00F62A15" w:rsidRPr="00A87877" w:rsidRDefault="00F62A15" w:rsidP="000E36C4">
            <w:pPr>
              <w:jc w:val="left"/>
              <w:rPr>
                <w:rFonts w:cs="Arial"/>
                <w:sz w:val="18"/>
                <w:szCs w:val="18"/>
                <w:lang w:val="cs-CZ"/>
              </w:rPr>
            </w:pPr>
            <w:r w:rsidRPr="00A87877">
              <w:rPr>
                <w:rFonts w:cs="Arial"/>
                <w:sz w:val="18"/>
                <w:szCs w:val="18"/>
                <w:lang w:val="cs-CZ"/>
              </w:rPr>
              <w:t>Zůstatek k 31. 12.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F62A15" w:rsidRPr="00FD304C" w:rsidRDefault="00C22747" w:rsidP="000E36C4">
            <w:pPr>
              <w:ind w:right="57"/>
              <w:jc w:val="right"/>
              <w:rPr>
                <w:rFonts w:cs="Arial"/>
                <w:sz w:val="18"/>
                <w:szCs w:val="18"/>
              </w:rPr>
            </w:pPr>
            <w:r w:rsidRPr="00FD304C">
              <w:rPr>
                <w:rFonts w:cs="Arial"/>
                <w:sz w:val="18"/>
                <w:szCs w:val="18"/>
              </w:rPr>
              <w:t>214 800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62A15" w:rsidRPr="00FD304C" w:rsidRDefault="00C22747" w:rsidP="000E36C4">
            <w:pPr>
              <w:ind w:right="57"/>
              <w:jc w:val="right"/>
              <w:rPr>
                <w:rFonts w:cs="Arial"/>
                <w:sz w:val="18"/>
                <w:szCs w:val="18"/>
              </w:rPr>
            </w:pPr>
            <w:r w:rsidRPr="00FD304C">
              <w:rPr>
                <w:rFonts w:cs="Arial"/>
                <w:sz w:val="18"/>
                <w:szCs w:val="18"/>
              </w:rPr>
              <w:t>156 747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F62A15" w:rsidRPr="00FD304C" w:rsidRDefault="00C22747" w:rsidP="000E36C4">
            <w:pPr>
              <w:ind w:right="57"/>
              <w:jc w:val="right"/>
              <w:rPr>
                <w:rFonts w:cs="Arial"/>
                <w:sz w:val="18"/>
                <w:szCs w:val="18"/>
              </w:rPr>
            </w:pPr>
            <w:r w:rsidRPr="00FD304C">
              <w:rPr>
                <w:rFonts w:cs="Arial"/>
                <w:sz w:val="18"/>
                <w:szCs w:val="18"/>
              </w:rPr>
              <w:t>199 832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F62A15" w:rsidRPr="00FD304C" w:rsidRDefault="00C22747" w:rsidP="000E36C4">
            <w:pPr>
              <w:ind w:right="57"/>
              <w:jc w:val="right"/>
              <w:rPr>
                <w:rFonts w:cs="Arial"/>
                <w:sz w:val="18"/>
                <w:szCs w:val="18"/>
              </w:rPr>
            </w:pPr>
            <w:r w:rsidRPr="00FD304C">
              <w:rPr>
                <w:rFonts w:cs="Arial"/>
                <w:sz w:val="18"/>
                <w:szCs w:val="18"/>
              </w:rPr>
              <w:t>262 540</w:t>
            </w:r>
          </w:p>
        </w:tc>
      </w:tr>
      <w:tr w:rsidR="000053E7" w:rsidRPr="00FD304C" w:rsidTr="000E36C4">
        <w:trPr>
          <w:trHeight w:val="227"/>
        </w:trPr>
        <w:tc>
          <w:tcPr>
            <w:tcW w:w="934" w:type="pct"/>
            <w:vMerge w:val="restart"/>
            <w:shd w:val="clear" w:color="auto" w:fill="auto"/>
            <w:vAlign w:val="center"/>
          </w:tcPr>
          <w:p w:rsidR="000053E7" w:rsidRPr="00A87877" w:rsidRDefault="000053E7" w:rsidP="000E36C4">
            <w:pPr>
              <w:jc w:val="left"/>
              <w:rPr>
                <w:rFonts w:cs="Arial"/>
                <w:sz w:val="18"/>
                <w:szCs w:val="18"/>
                <w:lang w:val="cs-CZ"/>
              </w:rPr>
            </w:pPr>
            <w:r w:rsidRPr="00A87877">
              <w:rPr>
                <w:rFonts w:cs="Arial"/>
                <w:sz w:val="18"/>
                <w:szCs w:val="18"/>
                <w:lang w:val="cs-CZ"/>
              </w:rPr>
              <w:t>Fond prevence</w:t>
            </w:r>
          </w:p>
        </w:tc>
        <w:tc>
          <w:tcPr>
            <w:tcW w:w="1205" w:type="pct"/>
            <w:vAlign w:val="center"/>
          </w:tcPr>
          <w:p w:rsidR="000053E7" w:rsidRPr="00A87877" w:rsidRDefault="000053E7" w:rsidP="000E36C4">
            <w:pPr>
              <w:jc w:val="left"/>
              <w:rPr>
                <w:rFonts w:cs="Arial"/>
                <w:sz w:val="18"/>
                <w:szCs w:val="18"/>
                <w:lang w:val="cs-CZ"/>
              </w:rPr>
            </w:pPr>
            <w:r w:rsidRPr="00A87877">
              <w:rPr>
                <w:rFonts w:cs="Arial"/>
                <w:sz w:val="18"/>
                <w:szCs w:val="18"/>
                <w:lang w:val="cs-CZ"/>
              </w:rPr>
              <w:t>Tvorba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0053E7" w:rsidRPr="00FD304C" w:rsidRDefault="000053E7" w:rsidP="000E36C4">
            <w:pPr>
              <w:ind w:right="57"/>
              <w:jc w:val="right"/>
              <w:rPr>
                <w:rFonts w:cs="Arial"/>
                <w:sz w:val="18"/>
                <w:szCs w:val="18"/>
              </w:rPr>
            </w:pPr>
            <w:r w:rsidRPr="00FD304C">
              <w:rPr>
                <w:rFonts w:cs="Arial"/>
                <w:sz w:val="18"/>
                <w:szCs w:val="18"/>
              </w:rPr>
              <w:t>574 522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0053E7" w:rsidRPr="00FD304C" w:rsidRDefault="000053E7" w:rsidP="000E36C4">
            <w:pPr>
              <w:ind w:right="57"/>
              <w:jc w:val="right"/>
              <w:rPr>
                <w:rFonts w:cs="Arial"/>
                <w:sz w:val="18"/>
                <w:szCs w:val="18"/>
              </w:rPr>
            </w:pPr>
            <w:r w:rsidRPr="00FD304C">
              <w:rPr>
                <w:rFonts w:cs="Arial"/>
                <w:sz w:val="18"/>
                <w:szCs w:val="18"/>
              </w:rPr>
              <w:t>177 862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053E7" w:rsidRPr="00FD304C" w:rsidRDefault="000053E7" w:rsidP="000E36C4">
            <w:pPr>
              <w:ind w:right="57"/>
              <w:jc w:val="right"/>
              <w:rPr>
                <w:rFonts w:cs="Arial"/>
                <w:sz w:val="18"/>
                <w:szCs w:val="18"/>
              </w:rPr>
            </w:pPr>
            <w:r w:rsidRPr="00FD304C">
              <w:rPr>
                <w:rFonts w:cs="Arial"/>
                <w:sz w:val="18"/>
                <w:szCs w:val="18"/>
              </w:rPr>
              <w:t>332 964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0053E7" w:rsidRPr="00FD304C" w:rsidRDefault="000053E7" w:rsidP="000E36C4">
            <w:pPr>
              <w:ind w:right="57"/>
              <w:jc w:val="right"/>
              <w:rPr>
                <w:rFonts w:cs="Arial"/>
                <w:sz w:val="18"/>
                <w:szCs w:val="18"/>
              </w:rPr>
            </w:pPr>
            <w:r w:rsidRPr="00FD304C">
              <w:rPr>
                <w:rFonts w:cs="Arial"/>
                <w:sz w:val="18"/>
                <w:szCs w:val="18"/>
              </w:rPr>
              <w:t>539 816</w:t>
            </w:r>
          </w:p>
        </w:tc>
      </w:tr>
      <w:tr w:rsidR="000053E7" w:rsidRPr="00FD304C" w:rsidTr="000E36C4">
        <w:trPr>
          <w:trHeight w:val="227"/>
        </w:trPr>
        <w:tc>
          <w:tcPr>
            <w:tcW w:w="934" w:type="pct"/>
            <w:vMerge/>
            <w:shd w:val="clear" w:color="auto" w:fill="auto"/>
            <w:vAlign w:val="center"/>
          </w:tcPr>
          <w:p w:rsidR="000053E7" w:rsidRPr="00A87877" w:rsidRDefault="000053E7" w:rsidP="000E36C4">
            <w:pPr>
              <w:jc w:val="left"/>
              <w:rPr>
                <w:rFonts w:cs="Arial"/>
                <w:sz w:val="18"/>
                <w:szCs w:val="18"/>
                <w:lang w:val="cs-CZ"/>
              </w:rPr>
            </w:pPr>
          </w:p>
        </w:tc>
        <w:tc>
          <w:tcPr>
            <w:tcW w:w="1205" w:type="pct"/>
            <w:vAlign w:val="center"/>
          </w:tcPr>
          <w:p w:rsidR="000053E7" w:rsidRPr="00A87877" w:rsidRDefault="000053E7" w:rsidP="000E36C4">
            <w:pPr>
              <w:jc w:val="left"/>
              <w:rPr>
                <w:rFonts w:cs="Arial"/>
                <w:sz w:val="18"/>
                <w:szCs w:val="18"/>
                <w:lang w:val="cs-CZ"/>
              </w:rPr>
            </w:pPr>
            <w:r w:rsidRPr="00A87877">
              <w:rPr>
                <w:rFonts w:cs="Arial"/>
                <w:sz w:val="18"/>
                <w:szCs w:val="18"/>
                <w:lang w:val="cs-CZ"/>
              </w:rPr>
              <w:t>Čerpání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0053E7" w:rsidRPr="00FD304C" w:rsidRDefault="000053E7" w:rsidP="000E36C4">
            <w:pPr>
              <w:ind w:right="57"/>
              <w:jc w:val="right"/>
              <w:rPr>
                <w:rFonts w:cs="Arial"/>
                <w:sz w:val="18"/>
                <w:szCs w:val="18"/>
              </w:rPr>
            </w:pPr>
            <w:r w:rsidRPr="00FD304C">
              <w:rPr>
                <w:rFonts w:cs="Arial"/>
                <w:sz w:val="18"/>
                <w:szCs w:val="18"/>
              </w:rPr>
              <w:t>149 557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0053E7" w:rsidRPr="00FD304C" w:rsidRDefault="000053E7" w:rsidP="000E36C4">
            <w:pPr>
              <w:ind w:right="57"/>
              <w:jc w:val="right"/>
              <w:rPr>
                <w:rFonts w:cs="Arial"/>
                <w:sz w:val="18"/>
                <w:szCs w:val="18"/>
              </w:rPr>
            </w:pPr>
            <w:r w:rsidRPr="00FD304C">
              <w:rPr>
                <w:rFonts w:cs="Arial"/>
                <w:sz w:val="18"/>
                <w:szCs w:val="18"/>
              </w:rPr>
              <w:t>459 463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053E7" w:rsidRPr="00FD304C" w:rsidRDefault="000053E7" w:rsidP="000E36C4">
            <w:pPr>
              <w:ind w:right="57"/>
              <w:jc w:val="right"/>
              <w:rPr>
                <w:rFonts w:cs="Arial"/>
                <w:sz w:val="18"/>
                <w:szCs w:val="18"/>
              </w:rPr>
            </w:pPr>
            <w:r w:rsidRPr="00FD304C">
              <w:rPr>
                <w:rFonts w:cs="Arial"/>
                <w:sz w:val="18"/>
                <w:szCs w:val="18"/>
              </w:rPr>
              <w:t>265 592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0053E7" w:rsidRPr="00FD304C" w:rsidRDefault="000053E7" w:rsidP="000E36C4">
            <w:pPr>
              <w:ind w:right="57"/>
              <w:jc w:val="right"/>
              <w:rPr>
                <w:rFonts w:cs="Arial"/>
                <w:sz w:val="18"/>
                <w:szCs w:val="18"/>
              </w:rPr>
            </w:pPr>
            <w:r w:rsidRPr="00FD304C">
              <w:rPr>
                <w:rFonts w:cs="Arial"/>
                <w:sz w:val="18"/>
                <w:szCs w:val="18"/>
              </w:rPr>
              <w:t>289 577</w:t>
            </w:r>
          </w:p>
        </w:tc>
      </w:tr>
      <w:tr w:rsidR="000053E7" w:rsidRPr="00FD304C" w:rsidTr="000E36C4">
        <w:trPr>
          <w:trHeight w:val="227"/>
        </w:trPr>
        <w:tc>
          <w:tcPr>
            <w:tcW w:w="934" w:type="pct"/>
            <w:vMerge w:val="restart"/>
            <w:shd w:val="clear" w:color="auto" w:fill="auto"/>
            <w:vAlign w:val="center"/>
          </w:tcPr>
          <w:p w:rsidR="000053E7" w:rsidRPr="00A87877" w:rsidRDefault="000053E7" w:rsidP="000E36C4">
            <w:pPr>
              <w:jc w:val="left"/>
              <w:rPr>
                <w:rFonts w:cs="Arial"/>
                <w:sz w:val="18"/>
                <w:szCs w:val="18"/>
                <w:lang w:val="cs-CZ"/>
              </w:rPr>
            </w:pPr>
            <w:r w:rsidRPr="00A87877">
              <w:rPr>
                <w:rFonts w:cs="Arial"/>
                <w:sz w:val="18"/>
                <w:szCs w:val="18"/>
                <w:lang w:val="cs-CZ"/>
              </w:rPr>
              <w:t>Rezervní fond</w:t>
            </w:r>
          </w:p>
        </w:tc>
        <w:tc>
          <w:tcPr>
            <w:tcW w:w="1205" w:type="pct"/>
            <w:vAlign w:val="center"/>
          </w:tcPr>
          <w:p w:rsidR="000053E7" w:rsidRPr="00A87877" w:rsidRDefault="000053E7" w:rsidP="000E36C4">
            <w:pPr>
              <w:jc w:val="left"/>
              <w:rPr>
                <w:rFonts w:cs="Arial"/>
                <w:sz w:val="18"/>
                <w:szCs w:val="18"/>
                <w:lang w:val="cs-CZ"/>
              </w:rPr>
            </w:pPr>
            <w:r w:rsidRPr="00A87877">
              <w:rPr>
                <w:rFonts w:cs="Arial"/>
                <w:sz w:val="18"/>
                <w:szCs w:val="18"/>
                <w:lang w:val="cs-CZ"/>
              </w:rPr>
              <w:t>Tvorba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0053E7" w:rsidRPr="00FD304C" w:rsidRDefault="000053E7" w:rsidP="000E36C4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129 242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0053E7" w:rsidRPr="00FD304C" w:rsidRDefault="000053E7" w:rsidP="000E36C4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16 104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053E7" w:rsidRPr="00FD304C" w:rsidRDefault="000053E7" w:rsidP="000E36C4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17 160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0053E7" w:rsidRPr="00FD304C" w:rsidRDefault="000053E7" w:rsidP="000E36C4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134 066</w:t>
            </w:r>
          </w:p>
        </w:tc>
      </w:tr>
      <w:tr w:rsidR="000053E7" w:rsidRPr="00FD304C" w:rsidTr="000E36C4">
        <w:trPr>
          <w:trHeight w:val="227"/>
        </w:trPr>
        <w:tc>
          <w:tcPr>
            <w:tcW w:w="934" w:type="pct"/>
            <w:vMerge/>
            <w:shd w:val="clear" w:color="auto" w:fill="auto"/>
            <w:vAlign w:val="center"/>
          </w:tcPr>
          <w:p w:rsidR="000053E7" w:rsidRPr="00A87877" w:rsidRDefault="000053E7" w:rsidP="000E36C4">
            <w:pPr>
              <w:jc w:val="left"/>
              <w:rPr>
                <w:rFonts w:cs="Arial"/>
                <w:sz w:val="18"/>
                <w:szCs w:val="18"/>
                <w:lang w:val="cs-CZ"/>
              </w:rPr>
            </w:pPr>
          </w:p>
        </w:tc>
        <w:tc>
          <w:tcPr>
            <w:tcW w:w="1205" w:type="pct"/>
            <w:vAlign w:val="center"/>
          </w:tcPr>
          <w:p w:rsidR="000053E7" w:rsidRPr="00A87877" w:rsidRDefault="000053E7" w:rsidP="000E36C4">
            <w:pPr>
              <w:jc w:val="left"/>
              <w:rPr>
                <w:rFonts w:cs="Arial"/>
                <w:sz w:val="18"/>
                <w:szCs w:val="18"/>
                <w:lang w:val="cs-CZ"/>
              </w:rPr>
            </w:pPr>
            <w:r w:rsidRPr="00A87877">
              <w:rPr>
                <w:rFonts w:cs="Arial"/>
                <w:sz w:val="18"/>
                <w:szCs w:val="18"/>
                <w:lang w:val="cs-CZ"/>
              </w:rPr>
              <w:t>Čerpání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0053E7" w:rsidRPr="00FD304C" w:rsidRDefault="000053E7" w:rsidP="000E36C4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50 003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0053E7" w:rsidRPr="00FD304C" w:rsidRDefault="000053E7" w:rsidP="000E36C4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2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053E7" w:rsidRPr="00FD304C" w:rsidRDefault="000053E7" w:rsidP="000E36C4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3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0053E7" w:rsidRPr="00FD304C" w:rsidRDefault="000053E7" w:rsidP="000E36C4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3</w:t>
            </w:r>
          </w:p>
        </w:tc>
      </w:tr>
      <w:tr w:rsidR="000053E7" w:rsidRPr="00FD304C" w:rsidTr="000E36C4">
        <w:trPr>
          <w:trHeight w:val="227"/>
        </w:trPr>
        <w:tc>
          <w:tcPr>
            <w:tcW w:w="934" w:type="pct"/>
            <w:vMerge/>
            <w:shd w:val="clear" w:color="auto" w:fill="auto"/>
            <w:vAlign w:val="center"/>
          </w:tcPr>
          <w:p w:rsidR="000053E7" w:rsidRPr="00A87877" w:rsidRDefault="000053E7" w:rsidP="000E36C4">
            <w:pPr>
              <w:jc w:val="left"/>
              <w:rPr>
                <w:rFonts w:cs="Arial"/>
                <w:sz w:val="18"/>
                <w:szCs w:val="18"/>
                <w:lang w:val="cs-CZ"/>
              </w:rPr>
            </w:pPr>
          </w:p>
        </w:tc>
        <w:tc>
          <w:tcPr>
            <w:tcW w:w="1205" w:type="pct"/>
            <w:vAlign w:val="center"/>
          </w:tcPr>
          <w:p w:rsidR="000053E7" w:rsidRPr="00A87877" w:rsidRDefault="000053E7" w:rsidP="000E36C4">
            <w:pPr>
              <w:jc w:val="left"/>
              <w:rPr>
                <w:rFonts w:cs="Arial"/>
                <w:sz w:val="18"/>
                <w:szCs w:val="18"/>
                <w:lang w:val="cs-CZ"/>
              </w:rPr>
            </w:pPr>
            <w:r w:rsidRPr="00A87877">
              <w:rPr>
                <w:rFonts w:cs="Arial"/>
                <w:sz w:val="18"/>
                <w:szCs w:val="18"/>
                <w:lang w:val="cs-CZ"/>
              </w:rPr>
              <w:t>Výše fondu k 31. 12.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0053E7" w:rsidRPr="00FD304C" w:rsidRDefault="000053E7" w:rsidP="000E36C4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158 148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0053E7" w:rsidRPr="00FD304C" w:rsidRDefault="000053E7" w:rsidP="000E36C4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174 250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0053E7" w:rsidRPr="00FD304C" w:rsidRDefault="000053E7" w:rsidP="000E36C4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191 407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0053E7" w:rsidRPr="00FD304C" w:rsidRDefault="000053E7" w:rsidP="000E36C4">
            <w:pPr>
              <w:ind w:right="57"/>
              <w:jc w:val="right"/>
              <w:rPr>
                <w:rFonts w:cs="Arial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sz w:val="18"/>
                <w:szCs w:val="18"/>
                <w:lang w:val="cs-CZ"/>
              </w:rPr>
              <w:t>325 470</w:t>
            </w:r>
          </w:p>
        </w:tc>
      </w:tr>
    </w:tbl>
    <w:p w:rsidR="000053E7" w:rsidRPr="00FD304C" w:rsidRDefault="000053E7" w:rsidP="000E36C4">
      <w:pPr>
        <w:spacing w:before="40"/>
        <w:rPr>
          <w:rFonts w:cs="Arial"/>
          <w:sz w:val="18"/>
          <w:szCs w:val="18"/>
          <w:lang w:val="cs-CZ"/>
        </w:rPr>
      </w:pPr>
      <w:r w:rsidRPr="00FD304C">
        <w:rPr>
          <w:rFonts w:cs="Arial"/>
          <w:b/>
          <w:sz w:val="18"/>
          <w:szCs w:val="18"/>
          <w:lang w:val="cs-CZ"/>
        </w:rPr>
        <w:t>Zdroj:</w:t>
      </w:r>
      <w:r w:rsidRPr="00FD304C">
        <w:rPr>
          <w:rFonts w:cs="Arial"/>
          <w:sz w:val="18"/>
          <w:szCs w:val="18"/>
          <w:lang w:val="cs-CZ"/>
        </w:rPr>
        <w:t xml:space="preserve"> </w:t>
      </w:r>
      <w:r w:rsidR="00F81F75">
        <w:rPr>
          <w:rFonts w:cs="Arial"/>
          <w:sz w:val="18"/>
          <w:szCs w:val="18"/>
          <w:lang w:val="cs-CZ"/>
        </w:rPr>
        <w:t>v</w:t>
      </w:r>
      <w:r w:rsidRPr="00FD304C">
        <w:rPr>
          <w:rFonts w:cs="Arial"/>
          <w:sz w:val="18"/>
          <w:szCs w:val="18"/>
          <w:lang w:val="cs-CZ"/>
        </w:rPr>
        <w:t xml:space="preserve">ýroční zprávy a </w:t>
      </w:r>
      <w:r w:rsidR="00F81F75">
        <w:rPr>
          <w:rFonts w:cs="Arial"/>
          <w:sz w:val="18"/>
          <w:szCs w:val="18"/>
          <w:lang w:val="cs-CZ"/>
        </w:rPr>
        <w:t>o</w:t>
      </w:r>
      <w:r w:rsidRPr="00FD304C">
        <w:rPr>
          <w:rFonts w:cs="Arial"/>
          <w:sz w:val="18"/>
          <w:szCs w:val="18"/>
          <w:lang w:val="cs-CZ"/>
        </w:rPr>
        <w:t>bratové předvahy ČPZP za roky 2009 až 2012.</w:t>
      </w:r>
    </w:p>
    <w:p w:rsidR="000053E7" w:rsidRPr="00FD304C" w:rsidRDefault="000053E7" w:rsidP="00FD304C">
      <w:pPr>
        <w:rPr>
          <w:rFonts w:cs="Arial"/>
          <w:lang w:val="cs-CZ"/>
        </w:rPr>
      </w:pPr>
    </w:p>
    <w:p w:rsidR="00BC764E" w:rsidRPr="00FD304C" w:rsidRDefault="004B357D" w:rsidP="00FD304C">
      <w:pPr>
        <w:rPr>
          <w:rFonts w:cs="Arial"/>
          <w:lang w:val="cs-CZ"/>
        </w:rPr>
      </w:pPr>
      <w:r w:rsidRPr="00FD304C">
        <w:rPr>
          <w:rFonts w:cs="Arial"/>
          <w:lang w:val="cs-CZ"/>
        </w:rPr>
        <w:t xml:space="preserve">ČPZP kromě fondů uvedených v tabulce č. </w:t>
      </w:r>
      <w:r w:rsidR="009808B2" w:rsidRPr="00FD304C">
        <w:rPr>
          <w:rFonts w:cs="Arial"/>
          <w:lang w:val="cs-CZ"/>
        </w:rPr>
        <w:t>7</w:t>
      </w:r>
      <w:r w:rsidRPr="00FD304C">
        <w:rPr>
          <w:rFonts w:cs="Arial"/>
          <w:lang w:val="cs-CZ"/>
        </w:rPr>
        <w:t xml:space="preserve"> vedla fond majetku, sociální fond a fond reprodukce majetku.</w:t>
      </w:r>
      <w:r w:rsidR="00B734E9">
        <w:rPr>
          <w:rFonts w:cs="Arial"/>
          <w:lang w:val="cs-CZ"/>
        </w:rPr>
        <w:t xml:space="preserve"> </w:t>
      </w:r>
      <w:r w:rsidR="000053E7" w:rsidRPr="00FD304C">
        <w:rPr>
          <w:rFonts w:cs="Arial"/>
          <w:lang w:val="cs-CZ"/>
        </w:rPr>
        <w:t xml:space="preserve">Nárůst částek tvorby a čerpání fondů ČPZP </w:t>
      </w:r>
      <w:r w:rsidR="007F5DE9" w:rsidRPr="00FD304C">
        <w:rPr>
          <w:rFonts w:cs="Arial"/>
          <w:lang w:val="cs-CZ"/>
        </w:rPr>
        <w:t>odpovídal jednotlivým sloučením</w:t>
      </w:r>
      <w:r w:rsidR="000053E7" w:rsidRPr="00FD304C">
        <w:rPr>
          <w:rFonts w:cs="Arial"/>
          <w:lang w:val="cs-CZ"/>
        </w:rPr>
        <w:t xml:space="preserve"> zdravotních pojišťoven</w:t>
      </w:r>
      <w:r w:rsidR="00C24951" w:rsidRPr="00FD304C">
        <w:rPr>
          <w:rFonts w:cs="Arial"/>
          <w:lang w:val="cs-CZ"/>
        </w:rPr>
        <w:t>.</w:t>
      </w:r>
      <w:r w:rsidR="00BC764E" w:rsidRPr="00FD304C">
        <w:rPr>
          <w:rFonts w:cs="Arial"/>
          <w:lang w:val="cs-CZ"/>
        </w:rPr>
        <w:t xml:space="preserve"> </w:t>
      </w:r>
    </w:p>
    <w:p w:rsidR="000053E7" w:rsidRPr="00FD304C" w:rsidRDefault="000053E7" w:rsidP="00FD304C">
      <w:pPr>
        <w:rPr>
          <w:rFonts w:cs="Arial"/>
          <w:lang w:val="cs-CZ"/>
        </w:rPr>
      </w:pPr>
    </w:p>
    <w:p w:rsidR="000053E7" w:rsidRPr="00FD304C" w:rsidRDefault="000053E7" w:rsidP="00FD304C">
      <w:pPr>
        <w:rPr>
          <w:rFonts w:cs="Arial"/>
          <w:b/>
          <w:lang w:val="cs-CZ"/>
        </w:rPr>
      </w:pPr>
      <w:r w:rsidRPr="00FD304C">
        <w:rPr>
          <w:rFonts w:cs="Arial"/>
          <w:b/>
          <w:lang w:val="cs-CZ"/>
        </w:rPr>
        <w:t>Převody zůstatků fondů zrušených zdravotních pojišťoven</w:t>
      </w:r>
    </w:p>
    <w:p w:rsidR="00B734E9" w:rsidRDefault="00B734E9" w:rsidP="00FD304C">
      <w:pPr>
        <w:rPr>
          <w:rFonts w:cs="Arial"/>
          <w:lang w:val="cs-CZ"/>
        </w:rPr>
      </w:pPr>
    </w:p>
    <w:p w:rsidR="002E785C" w:rsidRPr="00FD304C" w:rsidRDefault="00596307" w:rsidP="00FD304C">
      <w:pPr>
        <w:rPr>
          <w:rFonts w:cs="Arial"/>
          <w:lang w:val="cs-CZ"/>
        </w:rPr>
      </w:pPr>
      <w:r w:rsidRPr="00FD304C">
        <w:rPr>
          <w:rFonts w:cs="Arial"/>
          <w:lang w:val="cs-CZ"/>
        </w:rPr>
        <w:t>HZP</w:t>
      </w:r>
      <w:r w:rsidR="00F81F75">
        <w:rPr>
          <w:rFonts w:cs="Arial"/>
          <w:lang w:val="cs-CZ"/>
        </w:rPr>
        <w:t>,</w:t>
      </w:r>
      <w:r w:rsidRPr="00FD304C">
        <w:rPr>
          <w:rFonts w:cs="Arial"/>
          <w:lang w:val="cs-CZ"/>
        </w:rPr>
        <w:t xml:space="preserve"> resp. </w:t>
      </w:r>
      <w:r w:rsidR="002E785C" w:rsidRPr="00FD304C">
        <w:rPr>
          <w:rFonts w:cs="Arial"/>
          <w:lang w:val="cs-CZ"/>
        </w:rPr>
        <w:t>ČPZP</w:t>
      </w:r>
      <w:r w:rsidR="00F81F75">
        <w:rPr>
          <w:rFonts w:cs="Arial"/>
          <w:lang w:val="cs-CZ"/>
        </w:rPr>
        <w:t>,</w:t>
      </w:r>
      <w:r w:rsidR="002E785C" w:rsidRPr="00FD304C">
        <w:rPr>
          <w:rFonts w:cs="Arial"/>
          <w:lang w:val="cs-CZ"/>
        </w:rPr>
        <w:t xml:space="preserve"> při převodu zůstatků fondů zrušených zdravotních pojišťoven postupovala v souladu s</w:t>
      </w:r>
      <w:r w:rsidR="00FA4ACB" w:rsidRPr="00FD304C">
        <w:rPr>
          <w:rFonts w:cs="Arial"/>
          <w:lang w:val="cs-CZ"/>
        </w:rPr>
        <w:t> </w:t>
      </w:r>
      <w:r w:rsidR="002E785C" w:rsidRPr="00FD304C">
        <w:rPr>
          <w:rFonts w:cs="Arial"/>
          <w:lang w:val="cs-CZ"/>
        </w:rPr>
        <w:t>vyhláškou</w:t>
      </w:r>
      <w:r w:rsidR="00FA4ACB" w:rsidRPr="00FD304C">
        <w:rPr>
          <w:rFonts w:cs="Arial"/>
          <w:vertAlign w:val="superscript"/>
          <w:lang w:val="cs-CZ"/>
        </w:rPr>
        <w:t>1</w:t>
      </w:r>
      <w:r w:rsidR="001F0BE8" w:rsidRPr="00FD304C">
        <w:rPr>
          <w:rFonts w:cs="Arial"/>
          <w:vertAlign w:val="superscript"/>
          <w:lang w:val="cs-CZ"/>
        </w:rPr>
        <w:t>2</w:t>
      </w:r>
      <w:r w:rsidR="002E785C" w:rsidRPr="00FD304C">
        <w:rPr>
          <w:rFonts w:cs="Arial"/>
          <w:lang w:val="cs-CZ"/>
        </w:rPr>
        <w:t xml:space="preserve"> a převedla zůstatky základního fondu, rezervního fondu, provozního fondu, sociálního fondu a fondu reprodukce majetku zrušované zdravotní pojišťovny na příslušný vlastní fond. Stejně tak převedla finanční prostředky na bankovních účtech náležejících k těmto fondům. </w:t>
      </w:r>
      <w:r w:rsidR="008852AA" w:rsidRPr="00FD304C">
        <w:rPr>
          <w:rFonts w:cs="Arial"/>
          <w:lang w:val="cs-CZ"/>
        </w:rPr>
        <w:t xml:space="preserve">U </w:t>
      </w:r>
      <w:r w:rsidR="002E785C" w:rsidRPr="00FD304C">
        <w:rPr>
          <w:rFonts w:cs="Arial"/>
          <w:lang w:val="cs-CZ"/>
        </w:rPr>
        <w:t>fondu prevence, jehož převod v případě sloučení není upraven vyhláškou</w:t>
      </w:r>
      <w:r w:rsidR="00FA4ACB" w:rsidRPr="00FD304C">
        <w:rPr>
          <w:rFonts w:cs="Arial"/>
          <w:vertAlign w:val="superscript"/>
          <w:lang w:val="cs-CZ"/>
        </w:rPr>
        <w:t>1</w:t>
      </w:r>
      <w:r w:rsidR="001F0BE8" w:rsidRPr="00FD304C">
        <w:rPr>
          <w:rFonts w:cs="Arial"/>
          <w:vertAlign w:val="superscript"/>
          <w:lang w:val="cs-CZ"/>
        </w:rPr>
        <w:t>2</w:t>
      </w:r>
      <w:r w:rsidR="002E785C" w:rsidRPr="00FD304C">
        <w:rPr>
          <w:rFonts w:cs="Arial"/>
          <w:lang w:val="cs-CZ"/>
        </w:rPr>
        <w:t xml:space="preserve">, postupovala </w:t>
      </w:r>
      <w:r w:rsidRPr="00FD304C">
        <w:rPr>
          <w:rFonts w:cs="Arial"/>
          <w:lang w:val="cs-CZ"/>
        </w:rPr>
        <w:t xml:space="preserve">HZP, resp. </w:t>
      </w:r>
      <w:r w:rsidR="002E785C" w:rsidRPr="00FD304C">
        <w:rPr>
          <w:rFonts w:cs="Arial"/>
          <w:lang w:val="cs-CZ"/>
        </w:rPr>
        <w:t>ČPZP</w:t>
      </w:r>
      <w:r w:rsidR="00F81F75">
        <w:rPr>
          <w:rFonts w:cs="Arial"/>
          <w:lang w:val="cs-CZ"/>
        </w:rPr>
        <w:t>,</w:t>
      </w:r>
      <w:r w:rsidR="002E785C" w:rsidRPr="00FD304C">
        <w:rPr>
          <w:rFonts w:cs="Arial"/>
          <w:lang w:val="cs-CZ"/>
        </w:rPr>
        <w:t xml:space="preserve"> analogicky.</w:t>
      </w:r>
    </w:p>
    <w:p w:rsidR="00562935" w:rsidRPr="00FD304C" w:rsidRDefault="00562935" w:rsidP="00FD304C">
      <w:pPr>
        <w:rPr>
          <w:rFonts w:cs="Arial"/>
          <w:lang w:val="cs-CZ"/>
        </w:rPr>
      </w:pPr>
    </w:p>
    <w:p w:rsidR="00945B83" w:rsidRPr="00FD304C" w:rsidRDefault="00945B83" w:rsidP="000E36C4">
      <w:pPr>
        <w:tabs>
          <w:tab w:val="left" w:pos="1418"/>
          <w:tab w:val="left" w:pos="1560"/>
          <w:tab w:val="right" w:pos="9072"/>
        </w:tabs>
        <w:spacing w:after="40"/>
        <w:ind w:left="1559" w:hanging="1559"/>
        <w:rPr>
          <w:rFonts w:cs="Arial"/>
          <w:b/>
          <w:lang w:val="cs-CZ"/>
        </w:rPr>
      </w:pPr>
      <w:r w:rsidRPr="00FD304C">
        <w:rPr>
          <w:rFonts w:cs="Arial"/>
          <w:b/>
          <w:lang w:val="cs-CZ"/>
        </w:rPr>
        <w:t xml:space="preserve">Tabulka č. </w:t>
      </w:r>
      <w:r w:rsidR="009F58F7" w:rsidRPr="00FD304C">
        <w:rPr>
          <w:rFonts w:cs="Arial"/>
          <w:b/>
          <w:lang w:val="cs-CZ"/>
        </w:rPr>
        <w:t>8</w:t>
      </w:r>
      <w:r w:rsidR="00562935" w:rsidRPr="00FD304C">
        <w:rPr>
          <w:rFonts w:cs="Arial"/>
          <w:b/>
          <w:lang w:val="cs-CZ"/>
        </w:rPr>
        <w:t xml:space="preserve"> </w:t>
      </w:r>
      <w:r w:rsidR="00276A74" w:rsidRPr="00FD304C">
        <w:rPr>
          <w:rFonts w:cs="Arial"/>
          <w:b/>
          <w:lang w:val="cs-CZ"/>
        </w:rPr>
        <w:t>–</w:t>
      </w:r>
      <w:r w:rsidR="00FF1DA4" w:rsidRPr="00FD304C">
        <w:rPr>
          <w:rFonts w:cs="Arial"/>
          <w:b/>
          <w:lang w:val="cs-CZ"/>
        </w:rPr>
        <w:t xml:space="preserve"> </w:t>
      </w:r>
      <w:r w:rsidRPr="00FD304C">
        <w:rPr>
          <w:rFonts w:cs="Arial"/>
          <w:b/>
          <w:lang w:val="cs-CZ"/>
        </w:rPr>
        <w:t>Převody zůstatků fondů zrušených zdravotních pojišťoven</w:t>
      </w:r>
      <w:r w:rsidRPr="00FD304C">
        <w:rPr>
          <w:rFonts w:cs="Arial"/>
          <w:b/>
          <w:lang w:val="cs-CZ"/>
        </w:rPr>
        <w:tab/>
        <w:t xml:space="preserve"> (v Kč)</w:t>
      </w:r>
    </w:p>
    <w:tbl>
      <w:tblPr>
        <w:tblW w:w="4900" w:type="pct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2624"/>
        <w:gridCol w:w="1632"/>
        <w:gridCol w:w="1560"/>
        <w:gridCol w:w="1584"/>
      </w:tblGrid>
      <w:tr w:rsidR="00945B83" w:rsidRPr="000E36C4" w:rsidTr="000E36C4">
        <w:trPr>
          <w:cantSplit/>
          <w:trHeight w:val="227"/>
          <w:jc w:val="center"/>
        </w:trPr>
        <w:tc>
          <w:tcPr>
            <w:tcW w:w="2355" w:type="pct"/>
            <w:gridSpan w:val="2"/>
            <w:vAlign w:val="center"/>
          </w:tcPr>
          <w:p w:rsidR="00945B83" w:rsidRPr="000E36C4" w:rsidRDefault="00945B83" w:rsidP="00FD304C">
            <w:pPr>
              <w:jc w:val="left"/>
              <w:rPr>
                <w:rFonts w:cs="Arial"/>
                <w:b/>
                <w:sz w:val="16"/>
                <w:szCs w:val="16"/>
                <w:lang w:val="cs-CZ"/>
              </w:rPr>
            </w:pPr>
            <w:r w:rsidRPr="000E36C4">
              <w:rPr>
                <w:rFonts w:cs="Arial"/>
                <w:b/>
                <w:sz w:val="16"/>
                <w:szCs w:val="16"/>
                <w:lang w:val="cs-CZ"/>
              </w:rPr>
              <w:t>Převody zůstatků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945B83" w:rsidRPr="000E36C4" w:rsidRDefault="00945B83" w:rsidP="000E36C4">
            <w:pPr>
              <w:jc w:val="center"/>
              <w:rPr>
                <w:rFonts w:cs="Arial"/>
                <w:b/>
                <w:sz w:val="16"/>
                <w:szCs w:val="16"/>
                <w:lang w:val="cs-CZ"/>
              </w:rPr>
            </w:pPr>
            <w:r w:rsidRPr="000E36C4">
              <w:rPr>
                <w:rFonts w:cs="Arial"/>
                <w:b/>
                <w:sz w:val="16"/>
                <w:szCs w:val="16"/>
                <w:lang w:val="cs-CZ"/>
              </w:rPr>
              <w:t>Sloučení</w:t>
            </w:r>
            <w:r w:rsidR="000E36C4">
              <w:rPr>
                <w:rFonts w:cs="Arial"/>
                <w:b/>
                <w:sz w:val="16"/>
                <w:szCs w:val="16"/>
                <w:lang w:val="cs-CZ"/>
              </w:rPr>
              <w:t xml:space="preserve"> </w:t>
            </w:r>
            <w:r w:rsidR="000E36C4">
              <w:rPr>
                <w:rFonts w:cs="Arial"/>
                <w:b/>
                <w:sz w:val="16"/>
                <w:szCs w:val="16"/>
                <w:lang w:val="cs-CZ"/>
              </w:rPr>
              <w:br/>
            </w:r>
            <w:r w:rsidRPr="000E36C4">
              <w:rPr>
                <w:rFonts w:cs="Arial"/>
                <w:b/>
                <w:sz w:val="16"/>
                <w:szCs w:val="16"/>
                <w:lang w:val="cs-CZ"/>
              </w:rPr>
              <w:t xml:space="preserve">HZP se ZPA </w:t>
            </w:r>
            <w:r w:rsidR="000E36C4">
              <w:rPr>
                <w:rFonts w:cs="Arial"/>
                <w:b/>
                <w:sz w:val="16"/>
                <w:szCs w:val="16"/>
                <w:lang w:val="cs-CZ"/>
              </w:rPr>
              <w:br/>
              <w:t>k 1. 7. </w:t>
            </w:r>
            <w:r w:rsidRPr="000E36C4">
              <w:rPr>
                <w:rFonts w:cs="Arial"/>
                <w:b/>
                <w:sz w:val="16"/>
                <w:szCs w:val="16"/>
                <w:lang w:val="cs-CZ"/>
              </w:rPr>
              <w:t>2009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45B83" w:rsidRPr="000E36C4" w:rsidRDefault="00945B83" w:rsidP="000E36C4">
            <w:pPr>
              <w:jc w:val="center"/>
              <w:rPr>
                <w:rFonts w:cs="Arial"/>
                <w:b/>
                <w:sz w:val="16"/>
                <w:szCs w:val="16"/>
                <w:lang w:val="cs-CZ"/>
              </w:rPr>
            </w:pPr>
            <w:r w:rsidRPr="000E36C4">
              <w:rPr>
                <w:rFonts w:cs="Arial"/>
                <w:b/>
                <w:sz w:val="16"/>
                <w:szCs w:val="16"/>
                <w:lang w:val="cs-CZ"/>
              </w:rPr>
              <w:t xml:space="preserve">Sloučení </w:t>
            </w:r>
            <w:r w:rsidR="000E36C4">
              <w:rPr>
                <w:rFonts w:cs="Arial"/>
                <w:b/>
                <w:sz w:val="16"/>
                <w:szCs w:val="16"/>
                <w:lang w:val="cs-CZ"/>
              </w:rPr>
              <w:br/>
            </w:r>
            <w:r w:rsidRPr="000E36C4">
              <w:rPr>
                <w:rFonts w:cs="Arial"/>
                <w:b/>
                <w:sz w:val="16"/>
                <w:szCs w:val="16"/>
                <w:lang w:val="cs-CZ"/>
              </w:rPr>
              <w:t>HZP s ČNZP k 1.</w:t>
            </w:r>
            <w:r w:rsidR="000E36C4">
              <w:rPr>
                <w:rFonts w:cs="Arial"/>
                <w:b/>
                <w:sz w:val="16"/>
                <w:szCs w:val="16"/>
                <w:lang w:val="cs-CZ"/>
              </w:rPr>
              <w:t> 10. </w:t>
            </w:r>
            <w:r w:rsidRPr="000E36C4">
              <w:rPr>
                <w:rFonts w:cs="Arial"/>
                <w:b/>
                <w:sz w:val="16"/>
                <w:szCs w:val="16"/>
                <w:lang w:val="cs-CZ"/>
              </w:rPr>
              <w:t>2009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945B83" w:rsidRPr="000E36C4" w:rsidRDefault="00945B83" w:rsidP="000E36C4">
            <w:pPr>
              <w:jc w:val="center"/>
              <w:rPr>
                <w:rFonts w:cs="Arial"/>
                <w:b/>
                <w:sz w:val="16"/>
                <w:szCs w:val="16"/>
                <w:lang w:val="cs-CZ"/>
              </w:rPr>
            </w:pPr>
            <w:r w:rsidRPr="000E36C4">
              <w:rPr>
                <w:rFonts w:cs="Arial"/>
                <w:b/>
                <w:sz w:val="16"/>
                <w:szCs w:val="16"/>
                <w:lang w:val="cs-CZ"/>
              </w:rPr>
              <w:t xml:space="preserve">Sloučení </w:t>
            </w:r>
            <w:r w:rsidR="000E36C4">
              <w:rPr>
                <w:rFonts w:cs="Arial"/>
                <w:b/>
                <w:sz w:val="16"/>
                <w:szCs w:val="16"/>
                <w:lang w:val="cs-CZ"/>
              </w:rPr>
              <w:br/>
            </w:r>
            <w:r w:rsidRPr="000E36C4">
              <w:rPr>
                <w:rFonts w:cs="Arial"/>
                <w:b/>
                <w:sz w:val="16"/>
                <w:szCs w:val="16"/>
                <w:lang w:val="cs-CZ"/>
              </w:rPr>
              <w:t xml:space="preserve">ČPZP se ZP M-A </w:t>
            </w:r>
            <w:r w:rsidR="000E36C4">
              <w:rPr>
                <w:rFonts w:cs="Arial"/>
                <w:b/>
                <w:sz w:val="16"/>
                <w:szCs w:val="16"/>
                <w:lang w:val="cs-CZ"/>
              </w:rPr>
              <w:t>k 1. 10. </w:t>
            </w:r>
            <w:r w:rsidRPr="000E36C4">
              <w:rPr>
                <w:rFonts w:cs="Arial"/>
                <w:b/>
                <w:sz w:val="16"/>
                <w:szCs w:val="16"/>
                <w:lang w:val="cs-CZ"/>
              </w:rPr>
              <w:t>2012</w:t>
            </w:r>
          </w:p>
        </w:tc>
      </w:tr>
      <w:tr w:rsidR="00945B83" w:rsidRPr="000E36C4" w:rsidTr="000E36C4">
        <w:trPr>
          <w:trHeight w:val="227"/>
          <w:jc w:val="center"/>
        </w:trPr>
        <w:tc>
          <w:tcPr>
            <w:tcW w:w="902" w:type="pct"/>
            <w:vMerge w:val="restart"/>
            <w:vAlign w:val="center"/>
          </w:tcPr>
          <w:p w:rsidR="00945B83" w:rsidRPr="00A87877" w:rsidRDefault="00945B83" w:rsidP="00FD304C">
            <w:pPr>
              <w:jc w:val="left"/>
              <w:rPr>
                <w:rFonts w:cs="Arial"/>
                <w:sz w:val="16"/>
                <w:szCs w:val="16"/>
                <w:lang w:val="cs-CZ"/>
              </w:rPr>
            </w:pPr>
            <w:r w:rsidRPr="00A87877">
              <w:rPr>
                <w:rFonts w:cs="Arial"/>
                <w:sz w:val="16"/>
                <w:szCs w:val="16"/>
                <w:lang w:val="cs-CZ"/>
              </w:rPr>
              <w:t>Základní fond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945B83" w:rsidRPr="00A87877" w:rsidRDefault="00945B83" w:rsidP="00FD304C">
            <w:pPr>
              <w:jc w:val="left"/>
              <w:rPr>
                <w:rFonts w:cs="Arial"/>
                <w:sz w:val="16"/>
                <w:szCs w:val="16"/>
                <w:lang w:val="cs-CZ"/>
              </w:rPr>
            </w:pPr>
            <w:r w:rsidRPr="00A87877">
              <w:rPr>
                <w:rFonts w:cs="Arial"/>
                <w:sz w:val="16"/>
                <w:szCs w:val="16"/>
                <w:lang w:val="cs-CZ"/>
              </w:rPr>
              <w:t>zůstatek fondu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945B83" w:rsidRPr="000E36C4" w:rsidRDefault="00945B83" w:rsidP="000E36C4">
            <w:pPr>
              <w:ind w:right="57"/>
              <w:jc w:val="right"/>
              <w:rPr>
                <w:rFonts w:cs="Arial"/>
                <w:sz w:val="16"/>
                <w:szCs w:val="16"/>
                <w:lang w:val="cs-CZ"/>
              </w:rPr>
            </w:pPr>
            <w:r w:rsidRPr="000E36C4">
              <w:rPr>
                <w:rFonts w:cs="Arial"/>
                <w:sz w:val="16"/>
                <w:szCs w:val="16"/>
                <w:lang w:val="cs-CZ"/>
              </w:rPr>
              <w:t xml:space="preserve">37 608 123,99 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45B83" w:rsidRPr="000E36C4" w:rsidRDefault="00945B83" w:rsidP="000E36C4">
            <w:pPr>
              <w:ind w:right="57"/>
              <w:jc w:val="right"/>
              <w:rPr>
                <w:rFonts w:cs="Arial"/>
                <w:sz w:val="16"/>
                <w:szCs w:val="16"/>
                <w:lang w:val="cs-CZ"/>
              </w:rPr>
            </w:pPr>
            <w:r w:rsidRPr="000E36C4">
              <w:rPr>
                <w:rFonts w:cs="Arial"/>
                <w:sz w:val="16"/>
                <w:szCs w:val="16"/>
                <w:lang w:val="cs-CZ"/>
              </w:rPr>
              <w:t xml:space="preserve">1 855 779 799,23 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945B83" w:rsidRPr="000E36C4" w:rsidRDefault="00945B83" w:rsidP="000E36C4">
            <w:pPr>
              <w:ind w:right="57"/>
              <w:jc w:val="right"/>
              <w:rPr>
                <w:rFonts w:cs="Arial"/>
                <w:sz w:val="16"/>
                <w:szCs w:val="16"/>
                <w:lang w:val="cs-CZ"/>
              </w:rPr>
            </w:pPr>
            <w:r w:rsidRPr="000E36C4">
              <w:rPr>
                <w:rFonts w:cs="Arial"/>
                <w:sz w:val="16"/>
                <w:szCs w:val="16"/>
                <w:lang w:val="cs-CZ"/>
              </w:rPr>
              <w:t xml:space="preserve">1 609 806 445,75 </w:t>
            </w:r>
          </w:p>
        </w:tc>
      </w:tr>
      <w:tr w:rsidR="00945B83" w:rsidRPr="000E36C4" w:rsidTr="000E36C4">
        <w:trPr>
          <w:trHeight w:val="227"/>
          <w:jc w:val="center"/>
        </w:trPr>
        <w:tc>
          <w:tcPr>
            <w:tcW w:w="902" w:type="pct"/>
            <w:vMerge/>
            <w:vAlign w:val="center"/>
          </w:tcPr>
          <w:p w:rsidR="00945B83" w:rsidRPr="00A87877" w:rsidRDefault="00945B83" w:rsidP="00FD304C">
            <w:pPr>
              <w:jc w:val="left"/>
              <w:rPr>
                <w:rFonts w:cs="Arial"/>
                <w:sz w:val="16"/>
                <w:szCs w:val="16"/>
                <w:lang w:val="cs-CZ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945B83" w:rsidRPr="00A87877" w:rsidRDefault="00945B83" w:rsidP="00FD304C">
            <w:pPr>
              <w:jc w:val="left"/>
              <w:rPr>
                <w:rFonts w:cs="Arial"/>
                <w:sz w:val="16"/>
                <w:szCs w:val="16"/>
                <w:lang w:val="cs-CZ"/>
              </w:rPr>
            </w:pPr>
            <w:r w:rsidRPr="00A87877">
              <w:rPr>
                <w:rFonts w:cs="Arial"/>
                <w:sz w:val="16"/>
                <w:szCs w:val="16"/>
                <w:lang w:val="cs-CZ"/>
              </w:rPr>
              <w:t>peněžní prostředky na BÚ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945B83" w:rsidRPr="000E36C4" w:rsidRDefault="00945B83" w:rsidP="000E36C4">
            <w:pPr>
              <w:ind w:right="57"/>
              <w:jc w:val="right"/>
              <w:rPr>
                <w:rFonts w:cs="Arial"/>
                <w:sz w:val="16"/>
                <w:szCs w:val="16"/>
                <w:lang w:val="cs-CZ"/>
              </w:rPr>
            </w:pPr>
            <w:r w:rsidRPr="000E36C4">
              <w:rPr>
                <w:rFonts w:cs="Arial"/>
                <w:sz w:val="16"/>
                <w:szCs w:val="16"/>
                <w:lang w:val="cs-CZ"/>
              </w:rPr>
              <w:t xml:space="preserve">67 275 466,15 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45B83" w:rsidRPr="000E36C4" w:rsidRDefault="00945B83" w:rsidP="000E36C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E36C4">
              <w:rPr>
                <w:rFonts w:cs="Arial"/>
                <w:sz w:val="16"/>
                <w:szCs w:val="16"/>
                <w:lang w:val="cs-CZ"/>
              </w:rPr>
              <w:t>1 32</w:t>
            </w:r>
            <w:r w:rsidRPr="000E36C4">
              <w:rPr>
                <w:rFonts w:cs="Arial"/>
                <w:sz w:val="16"/>
                <w:szCs w:val="16"/>
              </w:rPr>
              <w:t xml:space="preserve">0 569 333,83 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945B83" w:rsidRPr="000E36C4" w:rsidRDefault="00945B83" w:rsidP="000E36C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E36C4">
              <w:rPr>
                <w:rFonts w:cs="Arial"/>
                <w:sz w:val="16"/>
                <w:szCs w:val="16"/>
              </w:rPr>
              <w:t xml:space="preserve">1 403 691 955,25 </w:t>
            </w:r>
          </w:p>
        </w:tc>
      </w:tr>
      <w:tr w:rsidR="00945B83" w:rsidRPr="000E36C4" w:rsidTr="000E36C4">
        <w:trPr>
          <w:trHeight w:val="227"/>
          <w:jc w:val="center"/>
        </w:trPr>
        <w:tc>
          <w:tcPr>
            <w:tcW w:w="902" w:type="pct"/>
            <w:vMerge w:val="restart"/>
            <w:vAlign w:val="center"/>
          </w:tcPr>
          <w:p w:rsidR="00945B83" w:rsidRPr="00A87877" w:rsidRDefault="00945B83" w:rsidP="00FD304C">
            <w:pPr>
              <w:jc w:val="left"/>
              <w:rPr>
                <w:rFonts w:cs="Arial"/>
                <w:sz w:val="16"/>
                <w:szCs w:val="16"/>
                <w:lang w:val="cs-CZ"/>
              </w:rPr>
            </w:pPr>
            <w:r w:rsidRPr="00A87877">
              <w:rPr>
                <w:rFonts w:cs="Arial"/>
                <w:sz w:val="16"/>
                <w:szCs w:val="16"/>
                <w:lang w:val="cs-CZ"/>
              </w:rPr>
              <w:t>Rezervní fond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945B83" w:rsidRPr="00A87877" w:rsidRDefault="00945B83" w:rsidP="00FD304C">
            <w:pPr>
              <w:jc w:val="left"/>
              <w:rPr>
                <w:rFonts w:cs="Arial"/>
                <w:sz w:val="16"/>
                <w:szCs w:val="16"/>
                <w:lang w:val="cs-CZ"/>
              </w:rPr>
            </w:pPr>
            <w:r w:rsidRPr="00A87877">
              <w:rPr>
                <w:rFonts w:cs="Arial"/>
                <w:sz w:val="16"/>
                <w:szCs w:val="16"/>
                <w:lang w:val="cs-CZ"/>
              </w:rPr>
              <w:t>zůstatek fondu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945B83" w:rsidRPr="000E36C4" w:rsidRDefault="00945B83" w:rsidP="000E36C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E36C4">
              <w:rPr>
                <w:rFonts w:cs="Arial"/>
                <w:sz w:val="16"/>
                <w:szCs w:val="16"/>
              </w:rPr>
              <w:t xml:space="preserve">50 021 144,18 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45B83" w:rsidRPr="000E36C4" w:rsidRDefault="00945B83" w:rsidP="000E36C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E36C4">
              <w:rPr>
                <w:rFonts w:cs="Arial"/>
                <w:sz w:val="16"/>
                <w:szCs w:val="16"/>
              </w:rPr>
              <w:t xml:space="preserve">70 917 380,28 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945B83" w:rsidRPr="000E36C4" w:rsidRDefault="00945B83" w:rsidP="000E36C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E36C4">
              <w:rPr>
                <w:rFonts w:cs="Arial"/>
                <w:sz w:val="16"/>
                <w:szCs w:val="16"/>
              </w:rPr>
              <w:t xml:space="preserve">108 416 959,84 </w:t>
            </w:r>
          </w:p>
        </w:tc>
      </w:tr>
      <w:tr w:rsidR="00945B83" w:rsidRPr="000E36C4" w:rsidTr="000E36C4">
        <w:trPr>
          <w:trHeight w:val="227"/>
          <w:jc w:val="center"/>
        </w:trPr>
        <w:tc>
          <w:tcPr>
            <w:tcW w:w="902" w:type="pct"/>
            <w:vMerge/>
            <w:vAlign w:val="center"/>
          </w:tcPr>
          <w:p w:rsidR="00945B83" w:rsidRPr="00A87877" w:rsidRDefault="00945B83" w:rsidP="00FD304C">
            <w:pPr>
              <w:jc w:val="left"/>
              <w:rPr>
                <w:rFonts w:cs="Arial"/>
                <w:sz w:val="16"/>
                <w:szCs w:val="16"/>
                <w:lang w:val="cs-CZ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945B83" w:rsidRPr="00A87877" w:rsidRDefault="00945B83" w:rsidP="00FD304C">
            <w:pPr>
              <w:jc w:val="left"/>
              <w:rPr>
                <w:rFonts w:cs="Arial"/>
                <w:sz w:val="16"/>
                <w:szCs w:val="16"/>
                <w:lang w:val="cs-CZ"/>
              </w:rPr>
            </w:pPr>
            <w:r w:rsidRPr="00A87877">
              <w:rPr>
                <w:rFonts w:cs="Arial"/>
                <w:sz w:val="16"/>
                <w:szCs w:val="16"/>
                <w:lang w:val="cs-CZ"/>
              </w:rPr>
              <w:t>peněžní prostředky na BÚ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945B83" w:rsidRPr="000E36C4" w:rsidRDefault="00945B83" w:rsidP="000E36C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E36C4">
              <w:rPr>
                <w:rFonts w:cs="Arial"/>
                <w:sz w:val="16"/>
                <w:szCs w:val="16"/>
              </w:rPr>
              <w:t xml:space="preserve">50 021 144,18 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45B83" w:rsidRPr="000E36C4" w:rsidRDefault="00945B83" w:rsidP="000E36C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E36C4">
              <w:rPr>
                <w:rFonts w:cs="Arial"/>
                <w:sz w:val="16"/>
                <w:szCs w:val="16"/>
              </w:rPr>
              <w:t xml:space="preserve">70 917 380,28 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945B83" w:rsidRPr="000E36C4" w:rsidRDefault="00945B83" w:rsidP="000E36C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E36C4">
              <w:rPr>
                <w:rFonts w:cs="Arial"/>
                <w:sz w:val="16"/>
                <w:szCs w:val="16"/>
              </w:rPr>
              <w:t xml:space="preserve">108 416 959,84 </w:t>
            </w:r>
          </w:p>
        </w:tc>
      </w:tr>
      <w:tr w:rsidR="00945B83" w:rsidRPr="000E36C4" w:rsidTr="000E36C4">
        <w:trPr>
          <w:trHeight w:val="227"/>
          <w:jc w:val="center"/>
        </w:trPr>
        <w:tc>
          <w:tcPr>
            <w:tcW w:w="902" w:type="pct"/>
            <w:vMerge w:val="restart"/>
            <w:vAlign w:val="center"/>
          </w:tcPr>
          <w:p w:rsidR="00945B83" w:rsidRPr="00A87877" w:rsidRDefault="00945B83" w:rsidP="00FD304C">
            <w:pPr>
              <w:jc w:val="left"/>
              <w:rPr>
                <w:rFonts w:cs="Arial"/>
                <w:sz w:val="16"/>
                <w:szCs w:val="16"/>
                <w:lang w:val="cs-CZ"/>
              </w:rPr>
            </w:pPr>
            <w:r w:rsidRPr="00A87877">
              <w:rPr>
                <w:rFonts w:cs="Arial"/>
                <w:sz w:val="16"/>
                <w:szCs w:val="16"/>
                <w:lang w:val="cs-CZ"/>
              </w:rPr>
              <w:t>Provozní fond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945B83" w:rsidRPr="00A87877" w:rsidRDefault="00945B83" w:rsidP="00FD304C">
            <w:pPr>
              <w:jc w:val="left"/>
              <w:rPr>
                <w:rFonts w:cs="Arial"/>
                <w:sz w:val="16"/>
                <w:szCs w:val="16"/>
                <w:lang w:val="cs-CZ"/>
              </w:rPr>
            </w:pPr>
            <w:r w:rsidRPr="00A87877">
              <w:rPr>
                <w:rFonts w:cs="Arial"/>
                <w:sz w:val="16"/>
                <w:szCs w:val="16"/>
                <w:lang w:val="cs-CZ"/>
              </w:rPr>
              <w:t>zůstatek fondu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945B83" w:rsidRPr="000E36C4" w:rsidRDefault="00F15496" w:rsidP="000E36C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−</w:t>
            </w:r>
            <w:r w:rsidR="00945B83" w:rsidRPr="000E36C4">
              <w:rPr>
                <w:rFonts w:cs="Arial"/>
                <w:sz w:val="16"/>
                <w:szCs w:val="16"/>
              </w:rPr>
              <w:t xml:space="preserve">92 611 887,39 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45B83" w:rsidRPr="000E36C4" w:rsidRDefault="00945B83" w:rsidP="000E36C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E36C4">
              <w:rPr>
                <w:rFonts w:cs="Arial"/>
                <w:sz w:val="16"/>
                <w:szCs w:val="16"/>
              </w:rPr>
              <w:t xml:space="preserve">1 019 225,24 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945B83" w:rsidRPr="000E36C4" w:rsidRDefault="00945B83" w:rsidP="000E36C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E36C4">
              <w:rPr>
                <w:rFonts w:cs="Arial"/>
                <w:sz w:val="16"/>
                <w:szCs w:val="16"/>
              </w:rPr>
              <w:t xml:space="preserve">36 079 982,02 </w:t>
            </w:r>
          </w:p>
        </w:tc>
      </w:tr>
      <w:tr w:rsidR="00945B83" w:rsidRPr="000E36C4" w:rsidTr="000E36C4">
        <w:trPr>
          <w:trHeight w:val="227"/>
          <w:jc w:val="center"/>
        </w:trPr>
        <w:tc>
          <w:tcPr>
            <w:tcW w:w="902" w:type="pct"/>
            <w:vMerge/>
            <w:vAlign w:val="center"/>
          </w:tcPr>
          <w:p w:rsidR="00945B83" w:rsidRPr="00A87877" w:rsidRDefault="00945B83" w:rsidP="00FD304C">
            <w:pPr>
              <w:jc w:val="left"/>
              <w:rPr>
                <w:rFonts w:cs="Arial"/>
                <w:sz w:val="16"/>
                <w:szCs w:val="16"/>
                <w:lang w:val="cs-CZ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945B83" w:rsidRPr="00A87877" w:rsidRDefault="00945B83" w:rsidP="00FD304C">
            <w:pPr>
              <w:jc w:val="left"/>
              <w:rPr>
                <w:rFonts w:cs="Arial"/>
                <w:sz w:val="16"/>
                <w:szCs w:val="16"/>
                <w:lang w:val="cs-CZ"/>
              </w:rPr>
            </w:pPr>
            <w:r w:rsidRPr="00A87877">
              <w:rPr>
                <w:rFonts w:cs="Arial"/>
                <w:sz w:val="16"/>
                <w:szCs w:val="16"/>
                <w:lang w:val="cs-CZ"/>
              </w:rPr>
              <w:t>peněžní prostředky na BÚ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945B83" w:rsidRPr="000E36C4" w:rsidRDefault="00945B83" w:rsidP="000E36C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E36C4">
              <w:rPr>
                <w:rFonts w:cs="Arial"/>
                <w:sz w:val="16"/>
                <w:szCs w:val="16"/>
              </w:rPr>
              <w:t xml:space="preserve">0 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45B83" w:rsidRPr="000E36C4" w:rsidRDefault="00945B83" w:rsidP="000E36C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E36C4">
              <w:rPr>
                <w:rFonts w:cs="Arial"/>
                <w:sz w:val="16"/>
                <w:szCs w:val="16"/>
              </w:rPr>
              <w:t xml:space="preserve">8 824 158,08 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945B83" w:rsidRPr="000E36C4" w:rsidRDefault="00945B83" w:rsidP="000E36C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E36C4">
              <w:rPr>
                <w:rFonts w:cs="Arial"/>
                <w:sz w:val="16"/>
                <w:szCs w:val="16"/>
              </w:rPr>
              <w:t xml:space="preserve">64 807 359,94 </w:t>
            </w:r>
          </w:p>
        </w:tc>
      </w:tr>
      <w:tr w:rsidR="00945B83" w:rsidRPr="000E36C4" w:rsidTr="000E36C4">
        <w:trPr>
          <w:trHeight w:val="227"/>
          <w:jc w:val="center"/>
        </w:trPr>
        <w:tc>
          <w:tcPr>
            <w:tcW w:w="902" w:type="pct"/>
            <w:vMerge w:val="restart"/>
            <w:vAlign w:val="center"/>
          </w:tcPr>
          <w:p w:rsidR="00945B83" w:rsidRPr="00A87877" w:rsidRDefault="00945B83" w:rsidP="00FD304C">
            <w:pPr>
              <w:jc w:val="left"/>
              <w:rPr>
                <w:rFonts w:cs="Arial"/>
                <w:sz w:val="16"/>
                <w:szCs w:val="16"/>
                <w:lang w:val="cs-CZ"/>
              </w:rPr>
            </w:pPr>
            <w:r w:rsidRPr="00A87877">
              <w:rPr>
                <w:rFonts w:cs="Arial"/>
                <w:sz w:val="16"/>
                <w:szCs w:val="16"/>
                <w:lang w:val="cs-CZ"/>
              </w:rPr>
              <w:t>Fond prevence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945B83" w:rsidRPr="00A87877" w:rsidRDefault="00945B83" w:rsidP="00FD304C">
            <w:pPr>
              <w:jc w:val="left"/>
              <w:rPr>
                <w:rFonts w:cs="Arial"/>
                <w:sz w:val="16"/>
                <w:szCs w:val="16"/>
                <w:lang w:val="cs-CZ"/>
              </w:rPr>
            </w:pPr>
            <w:r w:rsidRPr="00A87877">
              <w:rPr>
                <w:rFonts w:cs="Arial"/>
                <w:sz w:val="16"/>
                <w:szCs w:val="16"/>
                <w:lang w:val="cs-CZ"/>
              </w:rPr>
              <w:t>zůstatek fondu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945B83" w:rsidRPr="000E36C4" w:rsidRDefault="00F15496" w:rsidP="000E36C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−</w:t>
            </w:r>
            <w:r w:rsidR="00945B83" w:rsidRPr="000E36C4">
              <w:rPr>
                <w:rFonts w:cs="Arial"/>
                <w:sz w:val="16"/>
                <w:szCs w:val="16"/>
              </w:rPr>
              <w:t xml:space="preserve">201 638,06 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45B83" w:rsidRPr="000E36C4" w:rsidRDefault="00945B83" w:rsidP="000E36C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E36C4">
              <w:rPr>
                <w:rFonts w:cs="Arial"/>
                <w:sz w:val="16"/>
                <w:szCs w:val="16"/>
              </w:rPr>
              <w:t xml:space="preserve">394 377 299,52 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945B83" w:rsidRPr="000E36C4" w:rsidRDefault="00945B83" w:rsidP="000E36C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E36C4">
              <w:rPr>
                <w:rFonts w:cs="Arial"/>
                <w:sz w:val="16"/>
                <w:szCs w:val="16"/>
              </w:rPr>
              <w:t xml:space="preserve">281 791 477,11 </w:t>
            </w:r>
          </w:p>
        </w:tc>
      </w:tr>
      <w:tr w:rsidR="00945B83" w:rsidRPr="000E36C4" w:rsidTr="000E36C4">
        <w:trPr>
          <w:trHeight w:val="227"/>
          <w:jc w:val="center"/>
        </w:trPr>
        <w:tc>
          <w:tcPr>
            <w:tcW w:w="902" w:type="pct"/>
            <w:vMerge/>
            <w:vAlign w:val="center"/>
          </w:tcPr>
          <w:p w:rsidR="00945B83" w:rsidRPr="00A87877" w:rsidRDefault="00945B83" w:rsidP="00FD304C">
            <w:pPr>
              <w:jc w:val="left"/>
              <w:rPr>
                <w:rFonts w:cs="Arial"/>
                <w:sz w:val="16"/>
                <w:szCs w:val="16"/>
                <w:lang w:val="cs-CZ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945B83" w:rsidRPr="00A87877" w:rsidRDefault="00945B83" w:rsidP="00FD304C">
            <w:pPr>
              <w:jc w:val="left"/>
              <w:rPr>
                <w:rFonts w:cs="Arial"/>
                <w:sz w:val="16"/>
                <w:szCs w:val="16"/>
                <w:lang w:val="cs-CZ"/>
              </w:rPr>
            </w:pPr>
            <w:r w:rsidRPr="00A87877">
              <w:rPr>
                <w:rFonts w:cs="Arial"/>
                <w:sz w:val="16"/>
                <w:szCs w:val="16"/>
                <w:lang w:val="cs-CZ"/>
              </w:rPr>
              <w:t>peněžní prostředky na BÚ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945B83" w:rsidRPr="000E36C4" w:rsidRDefault="00945B83" w:rsidP="000E36C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E36C4">
              <w:rPr>
                <w:rFonts w:cs="Arial"/>
                <w:sz w:val="16"/>
                <w:szCs w:val="16"/>
              </w:rPr>
              <w:t xml:space="preserve">5 394,54 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45B83" w:rsidRPr="000E36C4" w:rsidRDefault="00945B83" w:rsidP="000E36C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E36C4">
              <w:rPr>
                <w:rFonts w:cs="Arial"/>
                <w:sz w:val="16"/>
                <w:szCs w:val="16"/>
              </w:rPr>
              <w:t xml:space="preserve">126 583 164,42 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945B83" w:rsidRPr="000E36C4" w:rsidRDefault="00945B83" w:rsidP="000E36C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E36C4">
              <w:rPr>
                <w:rFonts w:cs="Arial"/>
                <w:sz w:val="16"/>
                <w:szCs w:val="16"/>
              </w:rPr>
              <w:t xml:space="preserve">56 213 757,77 </w:t>
            </w:r>
          </w:p>
        </w:tc>
      </w:tr>
      <w:tr w:rsidR="00945B83" w:rsidRPr="000E36C4" w:rsidTr="000E36C4">
        <w:trPr>
          <w:trHeight w:val="227"/>
          <w:jc w:val="center"/>
        </w:trPr>
        <w:tc>
          <w:tcPr>
            <w:tcW w:w="902" w:type="pct"/>
            <w:vMerge w:val="restart"/>
            <w:vAlign w:val="center"/>
          </w:tcPr>
          <w:p w:rsidR="00945B83" w:rsidRPr="00A87877" w:rsidRDefault="00945B83" w:rsidP="00FD304C">
            <w:pPr>
              <w:jc w:val="left"/>
              <w:rPr>
                <w:rFonts w:cs="Arial"/>
                <w:sz w:val="16"/>
                <w:szCs w:val="16"/>
                <w:lang w:val="cs-CZ"/>
              </w:rPr>
            </w:pPr>
            <w:r w:rsidRPr="00A87877">
              <w:rPr>
                <w:rFonts w:cs="Arial"/>
                <w:sz w:val="16"/>
                <w:szCs w:val="16"/>
                <w:lang w:val="cs-CZ"/>
              </w:rPr>
              <w:t>Fond reprodukce majetku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945B83" w:rsidRPr="00A87877" w:rsidRDefault="00945B83" w:rsidP="00FD304C">
            <w:pPr>
              <w:jc w:val="left"/>
              <w:rPr>
                <w:rFonts w:cs="Arial"/>
                <w:sz w:val="16"/>
                <w:szCs w:val="16"/>
                <w:lang w:val="cs-CZ"/>
              </w:rPr>
            </w:pPr>
            <w:r w:rsidRPr="00A87877">
              <w:rPr>
                <w:rFonts w:cs="Arial"/>
                <w:sz w:val="16"/>
                <w:szCs w:val="16"/>
                <w:lang w:val="cs-CZ"/>
              </w:rPr>
              <w:t>zůstatek fondu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945B83" w:rsidRPr="000E36C4" w:rsidRDefault="00F15496" w:rsidP="000E36C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−</w:t>
            </w:r>
            <w:r w:rsidR="00945B83" w:rsidRPr="000E36C4">
              <w:rPr>
                <w:rFonts w:cs="Arial"/>
                <w:sz w:val="16"/>
                <w:szCs w:val="16"/>
              </w:rPr>
              <w:t xml:space="preserve">14 533 635,61 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45B83" w:rsidRPr="000E36C4" w:rsidRDefault="00945B83" w:rsidP="000E36C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E36C4">
              <w:rPr>
                <w:rFonts w:cs="Arial"/>
                <w:sz w:val="16"/>
                <w:szCs w:val="16"/>
              </w:rPr>
              <w:t xml:space="preserve">2 052,46 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945B83" w:rsidRPr="000E36C4" w:rsidRDefault="00945B83" w:rsidP="000E36C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E36C4">
              <w:rPr>
                <w:rFonts w:cs="Arial"/>
                <w:sz w:val="16"/>
                <w:szCs w:val="16"/>
              </w:rPr>
              <w:t xml:space="preserve">7 263 061,82 </w:t>
            </w:r>
          </w:p>
        </w:tc>
      </w:tr>
      <w:tr w:rsidR="00945B83" w:rsidRPr="000E36C4" w:rsidTr="000E36C4">
        <w:trPr>
          <w:trHeight w:val="227"/>
          <w:jc w:val="center"/>
        </w:trPr>
        <w:tc>
          <w:tcPr>
            <w:tcW w:w="902" w:type="pct"/>
            <w:vMerge/>
          </w:tcPr>
          <w:p w:rsidR="00945B83" w:rsidRPr="00A87877" w:rsidRDefault="00945B83" w:rsidP="00FD304C">
            <w:pPr>
              <w:rPr>
                <w:rFonts w:cs="Arial"/>
                <w:sz w:val="16"/>
                <w:szCs w:val="16"/>
                <w:lang w:val="cs-CZ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945B83" w:rsidRPr="00A87877" w:rsidRDefault="00945B83" w:rsidP="00FD304C">
            <w:pPr>
              <w:jc w:val="left"/>
              <w:rPr>
                <w:rFonts w:cs="Arial"/>
                <w:sz w:val="16"/>
                <w:szCs w:val="16"/>
                <w:lang w:val="cs-CZ"/>
              </w:rPr>
            </w:pPr>
            <w:r w:rsidRPr="00A87877">
              <w:rPr>
                <w:rFonts w:cs="Arial"/>
                <w:sz w:val="16"/>
                <w:szCs w:val="16"/>
                <w:lang w:val="cs-CZ"/>
              </w:rPr>
              <w:t>peněžní prostředky na BÚ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945B83" w:rsidRPr="000E36C4" w:rsidRDefault="00945B83" w:rsidP="000E36C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E36C4">
              <w:rPr>
                <w:rFonts w:cs="Arial"/>
                <w:sz w:val="16"/>
                <w:szCs w:val="16"/>
              </w:rPr>
              <w:t xml:space="preserve">151 908,06 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45B83" w:rsidRPr="000E36C4" w:rsidRDefault="00945B83" w:rsidP="000E36C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E36C4">
              <w:rPr>
                <w:rFonts w:cs="Arial"/>
                <w:sz w:val="16"/>
                <w:szCs w:val="16"/>
              </w:rPr>
              <w:t xml:space="preserve">2 592 492,46 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945B83" w:rsidRPr="000E36C4" w:rsidRDefault="00945B83" w:rsidP="000E36C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0E36C4">
              <w:rPr>
                <w:rFonts w:cs="Arial"/>
                <w:sz w:val="16"/>
                <w:szCs w:val="16"/>
              </w:rPr>
              <w:t xml:space="preserve">7 247 492,70 </w:t>
            </w:r>
          </w:p>
        </w:tc>
      </w:tr>
    </w:tbl>
    <w:p w:rsidR="00945B83" w:rsidRPr="00FD304C" w:rsidRDefault="00945B83" w:rsidP="000E36C4">
      <w:pPr>
        <w:spacing w:before="40"/>
        <w:rPr>
          <w:rFonts w:cs="Arial"/>
          <w:sz w:val="18"/>
          <w:szCs w:val="18"/>
          <w:lang w:val="cs-CZ"/>
        </w:rPr>
      </w:pPr>
      <w:r w:rsidRPr="00FD304C">
        <w:rPr>
          <w:rFonts w:cs="Arial"/>
          <w:b/>
          <w:sz w:val="18"/>
          <w:szCs w:val="18"/>
          <w:lang w:val="cs-CZ"/>
        </w:rPr>
        <w:t>Zdroj:</w:t>
      </w:r>
      <w:r w:rsidRPr="00FD304C">
        <w:rPr>
          <w:rFonts w:cs="Arial"/>
          <w:sz w:val="18"/>
          <w:szCs w:val="18"/>
          <w:lang w:val="cs-CZ"/>
        </w:rPr>
        <w:t xml:space="preserve"> </w:t>
      </w:r>
      <w:r w:rsidR="00F81F75">
        <w:rPr>
          <w:rFonts w:cs="Arial"/>
          <w:sz w:val="18"/>
          <w:szCs w:val="18"/>
          <w:lang w:val="cs-CZ"/>
        </w:rPr>
        <w:t>ú</w:t>
      </w:r>
      <w:r w:rsidRPr="00FD304C">
        <w:rPr>
          <w:rFonts w:cs="Arial"/>
          <w:sz w:val="18"/>
          <w:szCs w:val="18"/>
          <w:lang w:val="cs-CZ"/>
        </w:rPr>
        <w:t>četní záznamy ČPZP.</w:t>
      </w:r>
    </w:p>
    <w:p w:rsidR="00945B83" w:rsidRPr="00FD304C" w:rsidRDefault="00945B83" w:rsidP="00FD304C">
      <w:pPr>
        <w:rPr>
          <w:rFonts w:cs="Arial"/>
          <w:sz w:val="18"/>
          <w:szCs w:val="18"/>
          <w:lang w:val="cs-CZ"/>
        </w:rPr>
      </w:pPr>
      <w:r w:rsidRPr="00FD304C">
        <w:rPr>
          <w:rFonts w:cs="Arial"/>
          <w:b/>
          <w:sz w:val="18"/>
          <w:szCs w:val="18"/>
          <w:lang w:val="cs-CZ"/>
        </w:rPr>
        <w:t>Zkratka:</w:t>
      </w:r>
      <w:r w:rsidRPr="00FD304C">
        <w:rPr>
          <w:rFonts w:cs="Arial"/>
          <w:sz w:val="18"/>
          <w:szCs w:val="18"/>
          <w:lang w:val="cs-CZ"/>
        </w:rPr>
        <w:t xml:space="preserve"> BÚ = bankovní účet.</w:t>
      </w:r>
    </w:p>
    <w:p w:rsidR="000053E7" w:rsidRPr="00FD304C" w:rsidRDefault="000053E7" w:rsidP="00FD304C">
      <w:pPr>
        <w:rPr>
          <w:rFonts w:cs="Arial"/>
          <w:lang w:val="cs-CZ"/>
        </w:rPr>
      </w:pPr>
    </w:p>
    <w:p w:rsidR="000053E7" w:rsidRPr="00FD304C" w:rsidRDefault="000053E7" w:rsidP="00FD304C">
      <w:pPr>
        <w:rPr>
          <w:rFonts w:cs="Arial"/>
          <w:lang w:val="cs-CZ"/>
        </w:rPr>
      </w:pPr>
      <w:r w:rsidRPr="00FD304C">
        <w:rPr>
          <w:rFonts w:cs="Arial"/>
          <w:lang w:val="cs-CZ"/>
        </w:rPr>
        <w:t xml:space="preserve">Na základě sloučení HZP se ZPA byly na nástupnickou HZP převedeny záporné zůstatky </w:t>
      </w:r>
      <w:r w:rsidR="0049440B">
        <w:rPr>
          <w:rFonts w:cs="Arial"/>
          <w:lang w:val="cs-CZ"/>
        </w:rPr>
        <w:t>tří</w:t>
      </w:r>
      <w:r w:rsidRPr="00FD304C">
        <w:rPr>
          <w:rFonts w:cs="Arial"/>
          <w:lang w:val="cs-CZ"/>
        </w:rPr>
        <w:t xml:space="preserve"> fondů ZPA (čerpání těchto fondů převýšilo jejich zdroje). Jednalo se o záporn</w:t>
      </w:r>
      <w:r w:rsidR="00F81F75">
        <w:rPr>
          <w:rFonts w:cs="Arial"/>
          <w:lang w:val="cs-CZ"/>
        </w:rPr>
        <w:t>é</w:t>
      </w:r>
      <w:r w:rsidRPr="00FD304C">
        <w:rPr>
          <w:rFonts w:cs="Arial"/>
          <w:lang w:val="cs-CZ"/>
        </w:rPr>
        <w:t xml:space="preserve"> zůstat</w:t>
      </w:r>
      <w:r w:rsidR="00F81F75">
        <w:rPr>
          <w:rFonts w:cs="Arial"/>
          <w:lang w:val="cs-CZ"/>
        </w:rPr>
        <w:t>ky</w:t>
      </w:r>
      <w:r w:rsidRPr="00FD304C">
        <w:rPr>
          <w:rFonts w:cs="Arial"/>
          <w:lang w:val="cs-CZ"/>
        </w:rPr>
        <w:t xml:space="preserve"> provozního fondu ve výši </w:t>
      </w:r>
      <w:r w:rsidR="00F81F75">
        <w:rPr>
          <w:rFonts w:cs="Arial"/>
          <w:lang w:val="cs-CZ"/>
        </w:rPr>
        <w:t>−</w:t>
      </w:r>
      <w:r w:rsidRPr="00FD304C">
        <w:rPr>
          <w:rFonts w:cs="Arial"/>
          <w:lang w:val="cs-CZ"/>
        </w:rPr>
        <w:t xml:space="preserve">92 611 887,39 Kč, fondu prevence v částce </w:t>
      </w:r>
      <w:r w:rsidR="00F81F75">
        <w:rPr>
          <w:rFonts w:cs="Arial"/>
          <w:lang w:val="cs-CZ"/>
        </w:rPr>
        <w:t>−</w:t>
      </w:r>
      <w:r w:rsidRPr="00FD304C">
        <w:rPr>
          <w:rFonts w:cs="Arial"/>
          <w:lang w:val="cs-CZ"/>
        </w:rPr>
        <w:t>201 638,06 Kč a</w:t>
      </w:r>
      <w:r w:rsidR="00464273" w:rsidRPr="00FD304C">
        <w:rPr>
          <w:rFonts w:cs="Arial"/>
          <w:lang w:val="cs-CZ"/>
        </w:rPr>
        <w:t> </w:t>
      </w:r>
      <w:r w:rsidRPr="00FD304C">
        <w:rPr>
          <w:rFonts w:cs="Arial"/>
          <w:lang w:val="cs-CZ"/>
        </w:rPr>
        <w:t xml:space="preserve">fondu reprodukce majetku ve výši </w:t>
      </w:r>
      <w:r w:rsidR="00F81F75">
        <w:rPr>
          <w:rFonts w:cs="Arial"/>
          <w:lang w:val="cs-CZ"/>
        </w:rPr>
        <w:t>−</w:t>
      </w:r>
      <w:r w:rsidRPr="00FD304C">
        <w:rPr>
          <w:rFonts w:cs="Arial"/>
          <w:lang w:val="cs-CZ"/>
        </w:rPr>
        <w:t>14 533 635,61 Kč. Zdroji krytí záporného zůstatku provozního fondu ZPA byl kontokorentní úvěr a půjčka v celkové výši 79 888 765,14 Kč. Záporný zůstatek fondu reprodukce majetku ZPA byl způsoben neuhrazeným závazkem ZPA za nákup licence k informačnímu systému a hardware ve výši 14 685 543,67 Kč</w:t>
      </w:r>
      <w:r w:rsidR="00F15496">
        <w:rPr>
          <w:rFonts w:cs="Arial"/>
          <w:lang w:val="cs-CZ"/>
        </w:rPr>
        <w:t xml:space="preserve"> –</w:t>
      </w:r>
      <w:r w:rsidR="00A27D0F">
        <w:rPr>
          <w:rFonts w:cs="Arial"/>
          <w:lang w:val="cs-CZ"/>
        </w:rPr>
        <w:t xml:space="preserve"> </w:t>
      </w:r>
      <w:r w:rsidR="00F15496">
        <w:rPr>
          <w:rFonts w:cs="Arial"/>
          <w:lang w:val="cs-CZ"/>
        </w:rPr>
        <w:t>tento závazek</w:t>
      </w:r>
      <w:r w:rsidRPr="00FD304C">
        <w:rPr>
          <w:rFonts w:cs="Arial"/>
          <w:lang w:val="cs-CZ"/>
        </w:rPr>
        <w:t xml:space="preserve"> vznikl v době příprav sloučení HZP se ZPA. </w:t>
      </w:r>
      <w:r w:rsidR="00B83765" w:rsidRPr="00FD304C">
        <w:rPr>
          <w:rFonts w:cs="Arial"/>
          <w:lang w:val="cs-CZ"/>
        </w:rPr>
        <w:t>Úhradu všech uvedených závazků provedla po sloučení HZP.</w:t>
      </w:r>
      <w:r w:rsidRPr="00FD304C">
        <w:rPr>
          <w:rFonts w:cs="Arial"/>
          <w:lang w:val="cs-CZ"/>
        </w:rPr>
        <w:t xml:space="preserve"> </w:t>
      </w:r>
      <w:r w:rsidR="00AD1F6D" w:rsidRPr="00FD304C">
        <w:rPr>
          <w:rFonts w:cs="Arial"/>
          <w:lang w:val="cs-CZ"/>
        </w:rPr>
        <w:t>Informace</w:t>
      </w:r>
      <w:r w:rsidRPr="00FD304C">
        <w:rPr>
          <w:rFonts w:cs="Arial"/>
          <w:lang w:val="cs-CZ"/>
        </w:rPr>
        <w:t xml:space="preserve"> o převodu záporných zůstatků provozního fondu a</w:t>
      </w:r>
      <w:r w:rsidR="00A87877">
        <w:rPr>
          <w:rFonts w:cs="Arial"/>
          <w:lang w:val="cs-CZ"/>
        </w:rPr>
        <w:t> </w:t>
      </w:r>
      <w:r w:rsidRPr="00FD304C">
        <w:rPr>
          <w:rFonts w:cs="Arial"/>
          <w:lang w:val="cs-CZ"/>
        </w:rPr>
        <w:t>fondu reprodukce majetku ZPA na HZP byl</w:t>
      </w:r>
      <w:r w:rsidR="00B83765" w:rsidRPr="00FD304C">
        <w:rPr>
          <w:rFonts w:cs="Arial"/>
          <w:lang w:val="cs-CZ"/>
        </w:rPr>
        <w:t>a</w:t>
      </w:r>
      <w:r w:rsidRPr="00FD304C">
        <w:rPr>
          <w:rFonts w:cs="Arial"/>
          <w:lang w:val="cs-CZ"/>
        </w:rPr>
        <w:t xml:space="preserve"> </w:t>
      </w:r>
      <w:r w:rsidR="003062D3" w:rsidRPr="00FD304C">
        <w:rPr>
          <w:rFonts w:cs="Arial"/>
          <w:lang w:val="cs-CZ"/>
        </w:rPr>
        <w:t>uvedena</w:t>
      </w:r>
      <w:r w:rsidR="003062D3">
        <w:rPr>
          <w:rFonts w:cs="Arial"/>
          <w:lang w:val="cs-CZ"/>
        </w:rPr>
        <w:t xml:space="preserve"> </w:t>
      </w:r>
      <w:r w:rsidRPr="00FD304C">
        <w:rPr>
          <w:rFonts w:cs="Arial"/>
          <w:lang w:val="cs-CZ"/>
        </w:rPr>
        <w:t>v </w:t>
      </w:r>
      <w:r w:rsidR="00B83765" w:rsidRPr="00FD304C">
        <w:rPr>
          <w:rFonts w:cs="Arial"/>
          <w:lang w:val="cs-CZ"/>
        </w:rPr>
        <w:t xml:space="preserve">žádosti </w:t>
      </w:r>
      <w:r w:rsidR="003062D3">
        <w:rPr>
          <w:rFonts w:cs="Arial"/>
          <w:lang w:val="cs-CZ"/>
        </w:rPr>
        <w:t>o </w:t>
      </w:r>
      <w:r w:rsidRPr="00FD304C">
        <w:rPr>
          <w:rFonts w:cs="Arial"/>
          <w:lang w:val="cs-CZ"/>
        </w:rPr>
        <w:t>povolení sloučení podané na MZ</w:t>
      </w:r>
      <w:r w:rsidR="00E779F4" w:rsidRPr="00FD304C">
        <w:rPr>
          <w:rFonts w:cs="Arial"/>
          <w:lang w:val="cs-CZ"/>
        </w:rPr>
        <w:t xml:space="preserve">. </w:t>
      </w:r>
    </w:p>
    <w:p w:rsidR="00E779F4" w:rsidRPr="00FD304C" w:rsidRDefault="00E779F4" w:rsidP="00FD304C">
      <w:pPr>
        <w:rPr>
          <w:rFonts w:cs="Arial"/>
          <w:lang w:val="cs-CZ"/>
        </w:rPr>
      </w:pPr>
    </w:p>
    <w:p w:rsidR="007D02E0" w:rsidRDefault="007D02E0">
      <w:pPr>
        <w:spacing w:after="200" w:line="276" w:lineRule="auto"/>
        <w:jc w:val="left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br w:type="page"/>
      </w:r>
    </w:p>
    <w:p w:rsidR="000053E7" w:rsidRPr="000E36C4" w:rsidRDefault="009F58F7" w:rsidP="00FD304C">
      <w:pPr>
        <w:rPr>
          <w:rFonts w:cs="Arial"/>
          <w:b/>
          <w:color w:val="000000" w:themeColor="text1"/>
          <w:lang w:val="cs-CZ"/>
        </w:rPr>
      </w:pPr>
      <w:r w:rsidRPr="00FD304C">
        <w:rPr>
          <w:rFonts w:cs="Arial"/>
          <w:b/>
          <w:lang w:val="cs-CZ"/>
        </w:rPr>
        <w:lastRenderedPageBreak/>
        <w:t>4.1</w:t>
      </w:r>
      <w:r w:rsidR="00387B9A" w:rsidRPr="00FD304C">
        <w:rPr>
          <w:rFonts w:cs="Arial"/>
          <w:b/>
          <w:lang w:val="cs-CZ"/>
        </w:rPr>
        <w:t xml:space="preserve"> </w:t>
      </w:r>
      <w:r w:rsidR="000053E7" w:rsidRPr="00FD304C">
        <w:rPr>
          <w:rFonts w:cs="Arial"/>
          <w:b/>
          <w:lang w:val="cs-CZ"/>
        </w:rPr>
        <w:t>Základní fond</w:t>
      </w:r>
    </w:p>
    <w:p w:rsidR="009639A1" w:rsidRDefault="009639A1" w:rsidP="00FD304C">
      <w:pPr>
        <w:rPr>
          <w:rFonts w:cs="Arial"/>
          <w:lang w:val="cs-CZ"/>
        </w:rPr>
      </w:pPr>
    </w:p>
    <w:p w:rsidR="000053E7" w:rsidRPr="00FD304C" w:rsidRDefault="000053E7" w:rsidP="00FD304C">
      <w:pPr>
        <w:rPr>
          <w:rFonts w:cs="Arial"/>
          <w:lang w:val="cs-CZ"/>
        </w:rPr>
      </w:pPr>
      <w:r w:rsidRPr="00FD304C">
        <w:rPr>
          <w:rFonts w:cs="Arial"/>
          <w:lang w:val="cs-CZ"/>
        </w:rPr>
        <w:t xml:space="preserve">Zdrojem základního fondu jsou především platby pojistného na veřejné zdravotní pojištění. Tvorba základního fondu </w:t>
      </w:r>
      <w:r w:rsidR="002A626B" w:rsidRPr="00FD304C">
        <w:rPr>
          <w:rFonts w:cs="Arial"/>
          <w:lang w:val="cs-CZ"/>
        </w:rPr>
        <w:t xml:space="preserve">se </w:t>
      </w:r>
      <w:r w:rsidRPr="00FD304C">
        <w:rPr>
          <w:rFonts w:cs="Arial"/>
          <w:lang w:val="cs-CZ"/>
        </w:rPr>
        <w:t xml:space="preserve">v letech 2009 až 2012 </w:t>
      </w:r>
      <w:r w:rsidR="002459EA" w:rsidRPr="00FD304C">
        <w:rPr>
          <w:rFonts w:cs="Arial"/>
          <w:lang w:val="cs-CZ"/>
        </w:rPr>
        <w:t>pohybovala</w:t>
      </w:r>
      <w:r w:rsidRPr="00FD304C">
        <w:rPr>
          <w:rFonts w:cs="Arial"/>
          <w:lang w:val="cs-CZ"/>
        </w:rPr>
        <w:t xml:space="preserve"> v rozmezí 11 mld.</w:t>
      </w:r>
      <w:r w:rsidR="00F15496">
        <w:rPr>
          <w:rFonts w:cs="Arial"/>
          <w:lang w:val="cs-CZ"/>
        </w:rPr>
        <w:t> Kč</w:t>
      </w:r>
      <w:r w:rsidRPr="00FD304C">
        <w:rPr>
          <w:rFonts w:cs="Arial"/>
          <w:lang w:val="cs-CZ"/>
        </w:rPr>
        <w:t xml:space="preserve"> až 19</w:t>
      </w:r>
      <w:r w:rsidR="009F58F7" w:rsidRPr="00FD304C">
        <w:rPr>
          <w:rFonts w:cs="Arial"/>
          <w:lang w:val="cs-CZ"/>
        </w:rPr>
        <w:t> </w:t>
      </w:r>
      <w:r w:rsidRPr="00FD304C">
        <w:rPr>
          <w:rFonts w:cs="Arial"/>
          <w:lang w:val="cs-CZ"/>
        </w:rPr>
        <w:t>mld.</w:t>
      </w:r>
      <w:r w:rsidR="00C932A7" w:rsidRPr="00FD304C">
        <w:rPr>
          <w:rFonts w:cs="Arial"/>
          <w:lang w:val="cs-CZ"/>
        </w:rPr>
        <w:t> </w:t>
      </w:r>
      <w:r w:rsidRPr="00FD304C">
        <w:rPr>
          <w:rFonts w:cs="Arial"/>
          <w:lang w:val="cs-CZ"/>
        </w:rPr>
        <w:t>Kč</w:t>
      </w:r>
      <w:r w:rsidR="002459EA" w:rsidRPr="00FD304C">
        <w:rPr>
          <w:rFonts w:cs="Arial"/>
          <w:lang w:val="cs-CZ"/>
        </w:rPr>
        <w:t>.</w:t>
      </w:r>
      <w:r w:rsidRPr="00FD304C">
        <w:rPr>
          <w:rFonts w:cs="Arial"/>
          <w:lang w:val="cs-CZ"/>
        </w:rPr>
        <w:t xml:space="preserve"> </w:t>
      </w:r>
      <w:r w:rsidR="002459EA" w:rsidRPr="00FD304C">
        <w:rPr>
          <w:rFonts w:cs="Arial"/>
          <w:lang w:val="cs-CZ"/>
        </w:rPr>
        <w:t>Tomu odpovídalo č</w:t>
      </w:r>
      <w:r w:rsidRPr="00FD304C">
        <w:rPr>
          <w:rFonts w:cs="Arial"/>
          <w:lang w:val="cs-CZ"/>
        </w:rPr>
        <w:t>erpání základního fondu</w:t>
      </w:r>
      <w:r w:rsidR="002459EA" w:rsidRPr="00FD304C">
        <w:rPr>
          <w:rFonts w:cs="Arial"/>
          <w:lang w:val="cs-CZ"/>
        </w:rPr>
        <w:t>, které se pohybovalo v</w:t>
      </w:r>
      <w:r w:rsidR="005E75E6" w:rsidRPr="00FD304C">
        <w:rPr>
          <w:rFonts w:cs="Arial"/>
          <w:lang w:val="cs-CZ"/>
        </w:rPr>
        <w:t> </w:t>
      </w:r>
      <w:r w:rsidR="002459EA" w:rsidRPr="00FD304C">
        <w:rPr>
          <w:rFonts w:cs="Arial"/>
          <w:lang w:val="cs-CZ"/>
        </w:rPr>
        <w:t>rozmezí</w:t>
      </w:r>
      <w:r w:rsidR="005E75E6" w:rsidRPr="00FD304C">
        <w:rPr>
          <w:rFonts w:cs="Arial"/>
          <w:lang w:val="cs-CZ"/>
        </w:rPr>
        <w:t xml:space="preserve"> od</w:t>
      </w:r>
      <w:r w:rsidRPr="00FD304C">
        <w:rPr>
          <w:rFonts w:cs="Arial"/>
          <w:lang w:val="cs-CZ"/>
        </w:rPr>
        <w:t xml:space="preserve"> </w:t>
      </w:r>
      <w:r w:rsidR="005E75E6" w:rsidRPr="00FD304C">
        <w:rPr>
          <w:rFonts w:cs="Arial"/>
          <w:lang w:val="cs-CZ"/>
        </w:rPr>
        <w:t>9</w:t>
      </w:r>
      <w:r w:rsidR="00C932A7" w:rsidRPr="00FD304C">
        <w:rPr>
          <w:rFonts w:cs="Arial"/>
          <w:lang w:val="cs-CZ"/>
        </w:rPr>
        <w:t> </w:t>
      </w:r>
      <w:r w:rsidR="005E75E6" w:rsidRPr="00FD304C">
        <w:rPr>
          <w:rFonts w:cs="Arial"/>
          <w:lang w:val="cs-CZ"/>
        </w:rPr>
        <w:t xml:space="preserve">mld. Kč </w:t>
      </w:r>
      <w:r w:rsidRPr="00FD304C">
        <w:rPr>
          <w:rFonts w:cs="Arial"/>
          <w:lang w:val="cs-CZ"/>
        </w:rPr>
        <w:t xml:space="preserve">v roce 2009 </w:t>
      </w:r>
      <w:r w:rsidR="005E75E6" w:rsidRPr="00FD304C">
        <w:rPr>
          <w:rFonts w:cs="Arial"/>
          <w:lang w:val="cs-CZ"/>
        </w:rPr>
        <w:t>do</w:t>
      </w:r>
      <w:r w:rsidRPr="00FD304C">
        <w:rPr>
          <w:rFonts w:cs="Arial"/>
          <w:lang w:val="cs-CZ"/>
        </w:rPr>
        <w:t xml:space="preserve"> </w:t>
      </w:r>
      <w:r w:rsidR="005E75E6" w:rsidRPr="00FD304C">
        <w:rPr>
          <w:rFonts w:cs="Arial"/>
          <w:lang w:val="cs-CZ"/>
        </w:rPr>
        <w:t xml:space="preserve">18 mld. Kč </w:t>
      </w:r>
      <w:r w:rsidRPr="00FD304C">
        <w:rPr>
          <w:rFonts w:cs="Arial"/>
          <w:lang w:val="cs-CZ"/>
        </w:rPr>
        <w:t>v roce 2012</w:t>
      </w:r>
      <w:r w:rsidR="005E75E6" w:rsidRPr="00FD304C">
        <w:rPr>
          <w:rFonts w:cs="Arial"/>
          <w:lang w:val="cs-CZ"/>
        </w:rPr>
        <w:t>.</w:t>
      </w:r>
      <w:r w:rsidRPr="00FD304C">
        <w:rPr>
          <w:rFonts w:cs="Arial"/>
          <w:lang w:val="cs-CZ"/>
        </w:rPr>
        <w:t xml:space="preserve"> </w:t>
      </w:r>
    </w:p>
    <w:p w:rsidR="00BF2759" w:rsidRPr="00FD304C" w:rsidRDefault="00BF2759" w:rsidP="00FD304C">
      <w:pPr>
        <w:rPr>
          <w:rFonts w:cs="Arial"/>
          <w:lang w:val="cs-CZ"/>
        </w:rPr>
      </w:pPr>
    </w:p>
    <w:p w:rsidR="000053E7" w:rsidRPr="00C247EB" w:rsidRDefault="00E779F4" w:rsidP="00FD304C">
      <w:pPr>
        <w:rPr>
          <w:rFonts w:cs="Arial"/>
          <w:szCs w:val="22"/>
          <w:lang w:val="cs-CZ"/>
        </w:rPr>
      </w:pPr>
      <w:r w:rsidRPr="00FD304C">
        <w:rPr>
          <w:rFonts w:cs="Arial"/>
          <w:iCs/>
          <w:lang w:val="cs-CZ"/>
        </w:rPr>
        <w:t xml:space="preserve">V rámci provedené kontroly bylo ověřeno </w:t>
      </w:r>
      <w:r w:rsidR="00F15496">
        <w:rPr>
          <w:rFonts w:cs="Arial"/>
          <w:iCs/>
          <w:lang w:val="cs-CZ"/>
        </w:rPr>
        <w:t>s</w:t>
      </w:r>
      <w:r w:rsidRPr="00FD304C">
        <w:rPr>
          <w:rFonts w:cs="Arial"/>
          <w:iCs/>
          <w:lang w:val="cs-CZ"/>
        </w:rPr>
        <w:t>plnění povinnosti stanovené z</w:t>
      </w:r>
      <w:r w:rsidR="000053E7" w:rsidRPr="00FD304C">
        <w:rPr>
          <w:rFonts w:cs="Arial"/>
          <w:iCs/>
          <w:lang w:val="cs-CZ"/>
        </w:rPr>
        <w:t>ákonem č.</w:t>
      </w:r>
      <w:r w:rsidR="00350CC9" w:rsidRPr="00FD304C">
        <w:rPr>
          <w:rFonts w:cs="Arial"/>
          <w:iCs/>
          <w:lang w:val="cs-CZ"/>
        </w:rPr>
        <w:t> </w:t>
      </w:r>
      <w:r w:rsidR="000053E7" w:rsidRPr="00FD304C">
        <w:rPr>
          <w:rFonts w:cs="Arial"/>
          <w:iCs/>
          <w:lang w:val="cs-CZ"/>
        </w:rPr>
        <w:t>298/2011</w:t>
      </w:r>
      <w:r w:rsidR="00350CC9" w:rsidRPr="00FD304C">
        <w:rPr>
          <w:rFonts w:cs="Arial"/>
          <w:iCs/>
          <w:lang w:val="cs-CZ"/>
        </w:rPr>
        <w:t> </w:t>
      </w:r>
      <w:r w:rsidR="000053E7" w:rsidRPr="00FD304C">
        <w:rPr>
          <w:rFonts w:cs="Arial"/>
          <w:iCs/>
          <w:lang w:val="cs-CZ"/>
        </w:rPr>
        <w:t>Sb.</w:t>
      </w:r>
      <w:r w:rsidR="000053E7" w:rsidRPr="00FD304C">
        <w:rPr>
          <w:rFonts w:cs="Arial"/>
          <w:iCs/>
          <w:vertAlign w:val="superscript"/>
          <w:lang w:val="cs-CZ"/>
        </w:rPr>
        <w:footnoteReference w:id="14"/>
      </w:r>
      <w:r w:rsidR="000053E7" w:rsidRPr="00FD304C">
        <w:rPr>
          <w:rFonts w:cs="Arial"/>
          <w:iCs/>
          <w:lang w:val="cs-CZ"/>
        </w:rPr>
        <w:t xml:space="preserve"> převést k 1. 1. 2012 na zvláštní účet </w:t>
      </w:r>
      <w:r w:rsidR="00997F1A" w:rsidRPr="00FD304C">
        <w:rPr>
          <w:rFonts w:cs="Arial"/>
          <w:iCs/>
          <w:lang w:val="cs-CZ"/>
        </w:rPr>
        <w:t>veřejného</w:t>
      </w:r>
      <w:r w:rsidR="000053E7" w:rsidRPr="00FD304C">
        <w:rPr>
          <w:rFonts w:cs="Arial"/>
          <w:iCs/>
          <w:lang w:val="cs-CZ"/>
        </w:rPr>
        <w:t xml:space="preserve"> zdravotního pojištění </w:t>
      </w:r>
      <w:r w:rsidR="000053E7" w:rsidRPr="00FD304C">
        <w:rPr>
          <w:rFonts w:cs="Arial"/>
          <w:lang w:val="cs-CZ"/>
        </w:rPr>
        <w:t xml:space="preserve">ze základního fondu částku ve výši jedné třetiny částky, kterou evidovala příslušná zdravotní pojišťovna na tomto účtu k 31. prosinci 2010 (dále také „mimořádný odvod“). </w:t>
      </w:r>
      <w:r w:rsidR="008F44F7" w:rsidRPr="00FD304C">
        <w:rPr>
          <w:rFonts w:cs="Arial"/>
          <w:lang w:val="cs-CZ"/>
        </w:rPr>
        <w:t xml:space="preserve">Smyslem tohoto </w:t>
      </w:r>
      <w:r w:rsidR="00BF2759" w:rsidRPr="00FD304C">
        <w:rPr>
          <w:rFonts w:cs="Arial"/>
          <w:lang w:val="cs-CZ"/>
        </w:rPr>
        <w:t>odvod</w:t>
      </w:r>
      <w:r w:rsidR="008F44F7" w:rsidRPr="00FD304C">
        <w:rPr>
          <w:rFonts w:cs="Arial"/>
          <w:lang w:val="cs-CZ"/>
        </w:rPr>
        <w:t>u</w:t>
      </w:r>
      <w:r w:rsidR="00BF2759" w:rsidRPr="00FD304C">
        <w:rPr>
          <w:rFonts w:cs="Arial"/>
          <w:lang w:val="cs-CZ"/>
        </w:rPr>
        <w:t xml:space="preserve"> byl</w:t>
      </w:r>
      <w:r w:rsidR="008F44F7" w:rsidRPr="00FD304C">
        <w:rPr>
          <w:rFonts w:cs="Arial"/>
          <w:lang w:val="cs-CZ"/>
        </w:rPr>
        <w:t>o</w:t>
      </w:r>
      <w:r w:rsidR="000053E7" w:rsidRPr="00FD304C">
        <w:rPr>
          <w:rFonts w:cs="Arial"/>
          <w:lang w:val="cs-CZ"/>
        </w:rPr>
        <w:t xml:space="preserve"> dle uvedeného zákona zajištění kvality a dostupnosti zdravotní</w:t>
      </w:r>
      <w:r w:rsidR="00611657" w:rsidRPr="00FD304C">
        <w:rPr>
          <w:rFonts w:cs="Arial"/>
          <w:lang w:val="cs-CZ"/>
        </w:rPr>
        <w:t>ch služeb</w:t>
      </w:r>
      <w:r w:rsidR="000053E7" w:rsidRPr="00FD304C">
        <w:rPr>
          <w:rFonts w:cs="Arial"/>
          <w:lang w:val="cs-CZ"/>
        </w:rPr>
        <w:t>, fungování systému zdravotnictví a jeho stability v rámci finančních možností systému v</w:t>
      </w:r>
      <w:r w:rsidR="00BF2759" w:rsidRPr="00FD304C">
        <w:rPr>
          <w:rFonts w:cs="Arial"/>
          <w:lang w:val="cs-CZ"/>
        </w:rPr>
        <w:t>eřejného zdravotního pojištění.</w:t>
      </w:r>
      <w:r w:rsidR="009639A1">
        <w:rPr>
          <w:rFonts w:cs="Arial"/>
          <w:lang w:val="cs-CZ"/>
        </w:rPr>
        <w:t xml:space="preserve"> </w:t>
      </w:r>
      <w:r w:rsidR="002E785C" w:rsidRPr="00FD304C">
        <w:rPr>
          <w:rFonts w:cs="Arial"/>
          <w:lang w:val="cs-CZ"/>
        </w:rPr>
        <w:t xml:space="preserve">ČPZP v této souvislosti převedla na zvláštní účet </w:t>
      </w:r>
      <w:r w:rsidR="002E785C" w:rsidRPr="00FD304C">
        <w:rPr>
          <w:rFonts w:cs="Arial"/>
          <w:iCs/>
          <w:lang w:val="cs-CZ"/>
        </w:rPr>
        <w:t>veřejného</w:t>
      </w:r>
      <w:r w:rsidR="002E785C" w:rsidRPr="00FD304C">
        <w:rPr>
          <w:rFonts w:cs="Arial"/>
          <w:lang w:val="cs-CZ"/>
        </w:rPr>
        <w:t xml:space="preserve"> zdravotního pojištění ze </w:t>
      </w:r>
      <w:r w:rsidR="00F15496">
        <w:rPr>
          <w:rFonts w:cs="Arial"/>
          <w:lang w:val="cs-CZ"/>
        </w:rPr>
        <w:t xml:space="preserve">svého </w:t>
      </w:r>
      <w:r w:rsidR="002E785C" w:rsidRPr="00FD304C">
        <w:rPr>
          <w:rFonts w:cs="Arial"/>
          <w:lang w:val="cs-CZ"/>
        </w:rPr>
        <w:t>základního fondu částku ve výši 1 131 051 765 Kč. Dle zákona</w:t>
      </w:r>
      <w:r w:rsidR="0035424B" w:rsidRPr="00FD304C">
        <w:rPr>
          <w:rFonts w:cs="Arial"/>
          <w:vertAlign w:val="superscript"/>
          <w:lang w:val="cs-CZ"/>
        </w:rPr>
        <w:t xml:space="preserve">13 </w:t>
      </w:r>
      <w:r w:rsidR="002E785C" w:rsidRPr="00FD304C">
        <w:rPr>
          <w:rFonts w:cs="Arial"/>
          <w:lang w:val="cs-CZ"/>
        </w:rPr>
        <w:t xml:space="preserve">byly tyto finanční prostředky součástí prvního přerozdělování pojistného v roce 2012. </w:t>
      </w:r>
      <w:r w:rsidR="00ED26A6" w:rsidRPr="00FD304C">
        <w:rPr>
          <w:rFonts w:cs="Arial"/>
          <w:lang w:val="cs-CZ"/>
        </w:rPr>
        <w:t xml:space="preserve">Výsledným </w:t>
      </w:r>
      <w:r w:rsidR="002E785C" w:rsidRPr="00FD304C">
        <w:rPr>
          <w:rFonts w:cs="Arial"/>
          <w:lang w:val="cs-CZ"/>
        </w:rPr>
        <w:t xml:space="preserve">dopadem </w:t>
      </w:r>
      <w:r w:rsidR="004E6473" w:rsidRPr="00FD304C">
        <w:rPr>
          <w:rFonts w:cs="Arial"/>
          <w:lang w:val="cs-CZ"/>
        </w:rPr>
        <w:t xml:space="preserve">mimořádného odvodu </w:t>
      </w:r>
      <w:r w:rsidR="005E75E6" w:rsidRPr="00FD304C">
        <w:rPr>
          <w:rFonts w:cs="Arial"/>
          <w:lang w:val="cs-CZ"/>
        </w:rPr>
        <w:t xml:space="preserve">bylo snížení </w:t>
      </w:r>
      <w:r w:rsidR="002E785C" w:rsidRPr="00FD304C">
        <w:rPr>
          <w:rFonts w:cs="Arial"/>
          <w:lang w:val="cs-CZ"/>
        </w:rPr>
        <w:t xml:space="preserve">finančních prostředků </w:t>
      </w:r>
      <w:r w:rsidR="005E75E6" w:rsidRPr="00FD304C">
        <w:rPr>
          <w:rFonts w:cs="Arial"/>
          <w:lang w:val="cs-CZ"/>
        </w:rPr>
        <w:t xml:space="preserve">základního fondu ČPZP </w:t>
      </w:r>
      <w:r w:rsidR="002E785C" w:rsidRPr="00FD304C">
        <w:rPr>
          <w:rFonts w:cs="Arial"/>
          <w:lang w:val="cs-CZ"/>
        </w:rPr>
        <w:t>o 747 605 500 Kč.</w:t>
      </w:r>
      <w:r w:rsidR="009639A1">
        <w:rPr>
          <w:rFonts w:cs="Arial"/>
          <w:lang w:val="cs-CZ"/>
        </w:rPr>
        <w:t xml:space="preserve"> </w:t>
      </w:r>
      <w:r w:rsidR="00B07E71" w:rsidRPr="00FD304C">
        <w:rPr>
          <w:rFonts w:cs="Arial"/>
          <w:lang w:val="cs-CZ"/>
        </w:rPr>
        <w:t>M</w:t>
      </w:r>
      <w:r w:rsidRPr="00FD304C">
        <w:rPr>
          <w:rFonts w:cs="Arial"/>
          <w:lang w:val="cs-CZ"/>
        </w:rPr>
        <w:t>imořádný odvod</w:t>
      </w:r>
      <w:r w:rsidR="00B07E71" w:rsidRPr="00FD304C">
        <w:rPr>
          <w:rFonts w:cs="Arial"/>
          <w:lang w:val="cs-CZ"/>
        </w:rPr>
        <w:t xml:space="preserve"> se promítl do celkového přerozdělování pojistného</w:t>
      </w:r>
      <w:r w:rsidR="00ED26A6" w:rsidRPr="00FD304C">
        <w:rPr>
          <w:rFonts w:cs="Arial"/>
          <w:lang w:val="cs-CZ"/>
        </w:rPr>
        <w:t xml:space="preserve"> a</w:t>
      </w:r>
      <w:r w:rsidR="00B07E71" w:rsidRPr="00FD304C">
        <w:rPr>
          <w:rFonts w:cs="Arial"/>
          <w:lang w:val="cs-CZ"/>
        </w:rPr>
        <w:t xml:space="preserve"> očekávala</w:t>
      </w:r>
      <w:r w:rsidR="00ED26A6" w:rsidRPr="00FD304C">
        <w:rPr>
          <w:rFonts w:cs="Arial"/>
          <w:lang w:val="cs-CZ"/>
        </w:rPr>
        <w:t xml:space="preserve"> se od něj</w:t>
      </w:r>
      <w:r w:rsidR="00B07E71" w:rsidRPr="00FD304C">
        <w:rPr>
          <w:rFonts w:cs="Arial"/>
          <w:lang w:val="cs-CZ"/>
        </w:rPr>
        <w:t xml:space="preserve"> stabilizace finanční bilance systému</w:t>
      </w:r>
      <w:r w:rsidR="000053E7" w:rsidRPr="00FD304C">
        <w:rPr>
          <w:rFonts w:cs="Arial"/>
          <w:lang w:val="cs-CZ"/>
        </w:rPr>
        <w:t xml:space="preserve"> </w:t>
      </w:r>
      <w:r w:rsidR="00B07E71" w:rsidRPr="00FD304C">
        <w:rPr>
          <w:rFonts w:cs="Arial"/>
          <w:lang w:val="cs-CZ"/>
        </w:rPr>
        <w:t>veře</w:t>
      </w:r>
      <w:r w:rsidR="000053E7" w:rsidRPr="00FD304C">
        <w:rPr>
          <w:rFonts w:cs="Arial"/>
          <w:lang w:val="cs-CZ"/>
        </w:rPr>
        <w:t>jného zdravotního pojištění po přechodnou dobu</w:t>
      </w:r>
      <w:r w:rsidR="000053E7" w:rsidRPr="00C247EB">
        <w:rPr>
          <w:rFonts w:cs="Arial"/>
          <w:szCs w:val="22"/>
          <w:lang w:val="cs-CZ"/>
        </w:rPr>
        <w:t>.</w:t>
      </w:r>
      <w:r w:rsidR="00B07E71" w:rsidRPr="00C247EB">
        <w:rPr>
          <w:rFonts w:cs="Arial"/>
          <w:szCs w:val="22"/>
          <w:lang w:val="cs-CZ"/>
        </w:rPr>
        <w:t xml:space="preserve"> </w:t>
      </w:r>
    </w:p>
    <w:p w:rsidR="00304E47" w:rsidRPr="00FD304C" w:rsidRDefault="00304E47" w:rsidP="00FD304C">
      <w:pPr>
        <w:rPr>
          <w:rFonts w:cs="Arial"/>
          <w:lang w:val="cs-CZ"/>
        </w:rPr>
      </w:pPr>
    </w:p>
    <w:p w:rsidR="000377F7" w:rsidRPr="00FD304C" w:rsidRDefault="000377F7" w:rsidP="00FD304C">
      <w:pPr>
        <w:rPr>
          <w:rFonts w:cs="Arial"/>
          <w:b/>
          <w:lang w:val="cs-CZ"/>
        </w:rPr>
      </w:pPr>
      <w:r w:rsidRPr="00FD304C">
        <w:rPr>
          <w:rFonts w:cs="Arial"/>
          <w:b/>
          <w:lang w:val="cs-CZ"/>
        </w:rPr>
        <w:t>Čerpání základního fondu</w:t>
      </w:r>
    </w:p>
    <w:p w:rsidR="009639A1" w:rsidRDefault="009639A1" w:rsidP="00FD304C">
      <w:pPr>
        <w:rPr>
          <w:rFonts w:cs="Arial"/>
          <w:lang w:val="cs-CZ"/>
        </w:rPr>
      </w:pPr>
    </w:p>
    <w:p w:rsidR="005D5781" w:rsidRPr="00FD304C" w:rsidRDefault="005D5781" w:rsidP="00FD304C">
      <w:pPr>
        <w:rPr>
          <w:rFonts w:cs="Arial"/>
          <w:lang w:val="cs-CZ"/>
        </w:rPr>
      </w:pPr>
      <w:r w:rsidRPr="00FD304C">
        <w:rPr>
          <w:rFonts w:cs="Arial"/>
          <w:lang w:val="cs-CZ"/>
        </w:rPr>
        <w:t>Základní fond slouží dle zákona</w:t>
      </w:r>
      <w:r w:rsidR="0050502A" w:rsidRPr="00FD304C">
        <w:rPr>
          <w:rFonts w:cs="Arial"/>
          <w:vertAlign w:val="superscript"/>
          <w:lang w:val="cs-CZ"/>
        </w:rPr>
        <w:t>1</w:t>
      </w:r>
      <w:r w:rsidRPr="00FD304C">
        <w:rPr>
          <w:rFonts w:cs="Arial"/>
          <w:lang w:val="cs-CZ"/>
        </w:rPr>
        <w:t xml:space="preserve"> k úhradě poskytnutých hrazených služeb, k přídělům do vyjmenovaných fondů a dalším platbám v rozsahu stanoveném vyhláškou č. 418/2003 </w:t>
      </w:r>
      <w:proofErr w:type="gramStart"/>
      <w:r w:rsidRPr="00FD304C">
        <w:rPr>
          <w:rFonts w:cs="Arial"/>
          <w:lang w:val="cs-CZ"/>
        </w:rPr>
        <w:t>Sb.</w:t>
      </w:r>
      <w:r w:rsidRPr="00FD304C">
        <w:rPr>
          <w:rFonts w:cs="Arial"/>
          <w:vertAlign w:val="superscript"/>
          <w:lang w:val="cs-CZ"/>
        </w:rPr>
        <w:t>1</w:t>
      </w:r>
      <w:r w:rsidR="001F0BE8" w:rsidRPr="00FD304C">
        <w:rPr>
          <w:rFonts w:cs="Arial"/>
          <w:vertAlign w:val="superscript"/>
          <w:lang w:val="cs-CZ"/>
        </w:rPr>
        <w:t>2</w:t>
      </w:r>
      <w:proofErr w:type="gramEnd"/>
      <w:r w:rsidRPr="00FD304C">
        <w:rPr>
          <w:rFonts w:cs="Arial"/>
          <w:lang w:val="cs-CZ"/>
        </w:rPr>
        <w:t>.</w:t>
      </w:r>
    </w:p>
    <w:p w:rsidR="0050502A" w:rsidRPr="00FD304C" w:rsidRDefault="0050502A" w:rsidP="00FD304C">
      <w:pPr>
        <w:rPr>
          <w:rFonts w:cs="Arial"/>
          <w:lang w:val="cs-CZ"/>
        </w:rPr>
      </w:pPr>
      <w:r w:rsidRPr="00FD304C">
        <w:rPr>
          <w:rFonts w:cs="Arial"/>
          <w:lang w:val="cs-CZ"/>
        </w:rPr>
        <w:t>Tato v</w:t>
      </w:r>
      <w:r w:rsidR="0075321C" w:rsidRPr="00FD304C">
        <w:rPr>
          <w:rFonts w:cs="Arial"/>
          <w:lang w:val="cs-CZ"/>
        </w:rPr>
        <w:t xml:space="preserve">yhláška </w:t>
      </w:r>
      <w:r w:rsidRPr="00FD304C">
        <w:rPr>
          <w:rFonts w:cs="Arial"/>
          <w:lang w:val="cs-CZ"/>
        </w:rPr>
        <w:t xml:space="preserve">umožnila </w:t>
      </w:r>
      <w:r w:rsidR="0075321C" w:rsidRPr="00FD304C">
        <w:rPr>
          <w:rFonts w:cs="Arial"/>
          <w:lang w:val="cs-CZ"/>
        </w:rPr>
        <w:t xml:space="preserve">s účinností od 14. 9. 2012 čerpat prostředky základního fondu na náklady spojené s osobním účtem pojištěnce </w:t>
      </w:r>
      <w:r w:rsidR="002A626B" w:rsidRPr="00FD304C">
        <w:rPr>
          <w:rFonts w:cs="Arial"/>
          <w:lang w:val="cs-CZ"/>
        </w:rPr>
        <w:t>–</w:t>
      </w:r>
      <w:r w:rsidR="0075321C" w:rsidRPr="00FD304C">
        <w:rPr>
          <w:rFonts w:cs="Arial"/>
          <w:lang w:val="cs-CZ"/>
        </w:rPr>
        <w:t xml:space="preserve"> jeho vedením, dálkovým přístupem a</w:t>
      </w:r>
      <w:r w:rsidR="00C932A7" w:rsidRPr="00FD304C">
        <w:rPr>
          <w:rFonts w:cs="Arial"/>
          <w:lang w:val="cs-CZ"/>
        </w:rPr>
        <w:t> </w:t>
      </w:r>
      <w:r w:rsidR="0075321C" w:rsidRPr="00FD304C">
        <w:rPr>
          <w:rFonts w:cs="Arial"/>
          <w:lang w:val="cs-CZ"/>
        </w:rPr>
        <w:t xml:space="preserve">poskytováním informací pojištěnci. </w:t>
      </w:r>
    </w:p>
    <w:p w:rsidR="002A626B" w:rsidRPr="00FD304C" w:rsidRDefault="002A626B" w:rsidP="00FD304C">
      <w:pPr>
        <w:rPr>
          <w:rFonts w:cs="Arial"/>
          <w:lang w:val="cs-CZ"/>
        </w:rPr>
      </w:pPr>
    </w:p>
    <w:p w:rsidR="0075321C" w:rsidRPr="000E36C4" w:rsidRDefault="0075321C" w:rsidP="00FD304C">
      <w:pPr>
        <w:rPr>
          <w:rFonts w:cs="Arial"/>
          <w:color w:val="000000" w:themeColor="text1"/>
          <w:lang w:val="cs-CZ"/>
        </w:rPr>
      </w:pPr>
      <w:r w:rsidRPr="00FD304C">
        <w:rPr>
          <w:rFonts w:cs="Arial"/>
          <w:lang w:val="cs-CZ"/>
        </w:rPr>
        <w:t xml:space="preserve">NKÚ zdůrazňuje, že základní fond </w:t>
      </w:r>
      <w:r w:rsidR="0050502A" w:rsidRPr="00FD304C">
        <w:rPr>
          <w:rFonts w:cs="Arial"/>
          <w:lang w:val="cs-CZ"/>
        </w:rPr>
        <w:t>by měl krom</w:t>
      </w:r>
      <w:r w:rsidR="002A626B" w:rsidRPr="00FD304C">
        <w:rPr>
          <w:rFonts w:cs="Arial"/>
          <w:lang w:val="cs-CZ"/>
        </w:rPr>
        <w:t>ě</w:t>
      </w:r>
      <w:r w:rsidR="0050502A" w:rsidRPr="00FD304C">
        <w:rPr>
          <w:rFonts w:cs="Arial"/>
          <w:lang w:val="cs-CZ"/>
        </w:rPr>
        <w:t xml:space="preserve"> přídělů do příslušných fondů sloužit</w:t>
      </w:r>
      <w:r w:rsidRPr="00FD304C">
        <w:rPr>
          <w:rFonts w:cs="Arial"/>
          <w:lang w:val="cs-CZ"/>
        </w:rPr>
        <w:t xml:space="preserve"> k úhradě poskytnutých hrazených služeb, avšak v případě výše uvedených nákladů souvisejících s osobním účtem pojištěnce se </w:t>
      </w:r>
      <w:r w:rsidR="0050502A" w:rsidRPr="00FD304C">
        <w:rPr>
          <w:rFonts w:cs="Arial"/>
          <w:lang w:val="cs-CZ"/>
        </w:rPr>
        <w:t xml:space="preserve">o takové náklady </w:t>
      </w:r>
      <w:r w:rsidRPr="00FD304C">
        <w:rPr>
          <w:rFonts w:cs="Arial"/>
          <w:lang w:val="cs-CZ"/>
        </w:rPr>
        <w:t>nejedná.</w:t>
      </w:r>
      <w:r w:rsidRPr="000E36C4">
        <w:rPr>
          <w:rFonts w:cs="Arial"/>
          <w:color w:val="000000" w:themeColor="text1"/>
          <w:lang w:val="cs-CZ"/>
        </w:rPr>
        <w:t xml:space="preserve"> </w:t>
      </w:r>
    </w:p>
    <w:p w:rsidR="0075321C" w:rsidRPr="00FD304C" w:rsidRDefault="0075321C" w:rsidP="00FD304C">
      <w:pPr>
        <w:rPr>
          <w:rFonts w:cs="Arial"/>
          <w:lang w:val="cs-CZ"/>
        </w:rPr>
      </w:pPr>
    </w:p>
    <w:p w:rsidR="005A68AB" w:rsidRPr="00FD304C" w:rsidRDefault="000377F7" w:rsidP="00FD304C">
      <w:pPr>
        <w:rPr>
          <w:rFonts w:cs="Arial"/>
          <w:lang w:val="cs-CZ"/>
        </w:rPr>
      </w:pPr>
      <w:r w:rsidRPr="00FD304C">
        <w:rPr>
          <w:rFonts w:cs="Arial"/>
          <w:lang w:val="cs-CZ"/>
        </w:rPr>
        <w:t>V letech 2009</w:t>
      </w:r>
      <w:r w:rsidR="005B589A" w:rsidRPr="00FD304C">
        <w:rPr>
          <w:rFonts w:cs="Arial"/>
          <w:lang w:val="cs-CZ"/>
        </w:rPr>
        <w:t xml:space="preserve"> až </w:t>
      </w:r>
      <w:r w:rsidRPr="00FD304C">
        <w:rPr>
          <w:rFonts w:cs="Arial"/>
          <w:lang w:val="cs-CZ"/>
        </w:rPr>
        <w:t xml:space="preserve">2013 </w:t>
      </w:r>
      <w:r w:rsidR="005B589A" w:rsidRPr="00FD304C">
        <w:rPr>
          <w:rFonts w:cs="Arial"/>
          <w:lang w:val="cs-CZ"/>
        </w:rPr>
        <w:t xml:space="preserve">čerpala </w:t>
      </w:r>
      <w:r w:rsidRPr="00FD304C">
        <w:rPr>
          <w:rFonts w:cs="Arial"/>
          <w:lang w:val="cs-CZ"/>
        </w:rPr>
        <w:t xml:space="preserve">ČPZP prostředky základního fondu </w:t>
      </w:r>
      <w:r w:rsidR="00DB7A88" w:rsidRPr="00FD304C">
        <w:rPr>
          <w:rFonts w:cs="Arial"/>
          <w:lang w:val="cs-CZ"/>
        </w:rPr>
        <w:t xml:space="preserve">na různé svým charakterem odlišné projekty. </w:t>
      </w:r>
      <w:r w:rsidR="00A16471" w:rsidRPr="00FD304C">
        <w:rPr>
          <w:rFonts w:cs="Arial"/>
          <w:lang w:val="cs-CZ"/>
        </w:rPr>
        <w:t>Kontrolovány byly dva aktuální projekty, a to</w:t>
      </w:r>
      <w:r w:rsidRPr="00FD304C">
        <w:rPr>
          <w:rFonts w:cs="Arial"/>
          <w:lang w:val="cs-CZ"/>
        </w:rPr>
        <w:t xml:space="preserve"> projekt </w:t>
      </w:r>
      <w:r w:rsidRPr="0002714D">
        <w:rPr>
          <w:rFonts w:cs="Arial"/>
          <w:i/>
          <w:lang w:val="cs-CZ"/>
        </w:rPr>
        <w:t>Systém integrované péče</w:t>
      </w:r>
      <w:r w:rsidRPr="00FD304C">
        <w:rPr>
          <w:rFonts w:cs="Arial"/>
          <w:lang w:val="cs-CZ"/>
        </w:rPr>
        <w:t xml:space="preserve"> (dále také „SIP“)</w:t>
      </w:r>
      <w:r w:rsidR="00A16471" w:rsidRPr="00FD304C">
        <w:rPr>
          <w:rFonts w:cs="Arial"/>
          <w:lang w:val="cs-CZ"/>
        </w:rPr>
        <w:t>, který nesouvisel</w:t>
      </w:r>
      <w:r w:rsidR="00DB7A88" w:rsidRPr="00FD304C">
        <w:rPr>
          <w:rFonts w:cs="Arial"/>
          <w:lang w:val="cs-CZ"/>
        </w:rPr>
        <w:t xml:space="preserve"> s osobním účtem pojištěnce</w:t>
      </w:r>
      <w:r w:rsidR="00A16471" w:rsidRPr="00FD304C">
        <w:rPr>
          <w:rFonts w:cs="Arial"/>
          <w:lang w:val="cs-CZ"/>
        </w:rPr>
        <w:t>,</w:t>
      </w:r>
      <w:r w:rsidRPr="00FD304C">
        <w:rPr>
          <w:rFonts w:cs="Arial"/>
          <w:lang w:val="cs-CZ"/>
        </w:rPr>
        <w:t xml:space="preserve"> a projekt </w:t>
      </w:r>
      <w:r w:rsidRPr="0002714D">
        <w:rPr>
          <w:rFonts w:cs="Arial"/>
          <w:i/>
          <w:lang w:val="cs-CZ"/>
        </w:rPr>
        <w:t>Karta života</w:t>
      </w:r>
      <w:r w:rsidR="00DB7A88" w:rsidRPr="00FD304C">
        <w:rPr>
          <w:rFonts w:cs="Arial"/>
          <w:lang w:val="cs-CZ"/>
        </w:rPr>
        <w:t>, který se týk</w:t>
      </w:r>
      <w:r w:rsidR="00A16471" w:rsidRPr="00FD304C">
        <w:rPr>
          <w:rFonts w:cs="Arial"/>
          <w:lang w:val="cs-CZ"/>
        </w:rPr>
        <w:t>al</w:t>
      </w:r>
      <w:r w:rsidR="00DB7A88" w:rsidRPr="00FD304C">
        <w:rPr>
          <w:rFonts w:cs="Arial"/>
          <w:lang w:val="cs-CZ"/>
        </w:rPr>
        <w:t xml:space="preserve"> osobních účtů pojištěnců</w:t>
      </w:r>
      <w:r w:rsidRPr="00FD304C">
        <w:rPr>
          <w:rFonts w:cs="Arial"/>
          <w:lang w:val="cs-CZ"/>
        </w:rPr>
        <w:t>.</w:t>
      </w:r>
      <w:r w:rsidR="00E8331A" w:rsidRPr="00FD304C">
        <w:rPr>
          <w:rFonts w:cs="Arial"/>
          <w:lang w:val="cs-CZ"/>
        </w:rPr>
        <w:t xml:space="preserve"> </w:t>
      </w:r>
    </w:p>
    <w:p w:rsidR="000377F7" w:rsidRPr="00FD304C" w:rsidRDefault="000377F7" w:rsidP="00FD304C">
      <w:pPr>
        <w:rPr>
          <w:rFonts w:cs="Arial"/>
          <w:lang w:val="cs-CZ"/>
        </w:rPr>
      </w:pPr>
    </w:p>
    <w:p w:rsidR="00DB7A88" w:rsidRPr="0002714D" w:rsidRDefault="00DB7A88" w:rsidP="0002714D">
      <w:pPr>
        <w:rPr>
          <w:rFonts w:cs="Arial"/>
          <w:b/>
          <w:lang w:val="cs-CZ"/>
        </w:rPr>
      </w:pPr>
      <w:r w:rsidRPr="0002714D">
        <w:rPr>
          <w:rFonts w:cs="Arial"/>
          <w:b/>
          <w:lang w:val="cs-CZ"/>
        </w:rPr>
        <w:t xml:space="preserve">Projekt </w:t>
      </w:r>
      <w:r w:rsidRPr="0002714D">
        <w:rPr>
          <w:rFonts w:cs="Arial"/>
          <w:b/>
          <w:i/>
          <w:lang w:val="cs-CZ"/>
        </w:rPr>
        <w:t>Systém integrované péče</w:t>
      </w:r>
    </w:p>
    <w:p w:rsidR="009639A1" w:rsidRDefault="009639A1" w:rsidP="00FD304C">
      <w:pPr>
        <w:rPr>
          <w:rFonts w:cs="Arial"/>
          <w:lang w:val="cs-CZ"/>
        </w:rPr>
      </w:pPr>
    </w:p>
    <w:p w:rsidR="005B589A" w:rsidRPr="00FD304C" w:rsidRDefault="000377F7" w:rsidP="00FD304C">
      <w:pPr>
        <w:rPr>
          <w:rFonts w:cs="Arial"/>
          <w:lang w:val="cs-CZ"/>
        </w:rPr>
      </w:pPr>
      <w:r w:rsidRPr="0002714D">
        <w:rPr>
          <w:rFonts w:cs="Arial"/>
          <w:i/>
          <w:lang w:val="cs-CZ"/>
        </w:rPr>
        <w:t>Systém integrované péče</w:t>
      </w:r>
      <w:r w:rsidRPr="00FD304C">
        <w:rPr>
          <w:rFonts w:cs="Arial"/>
          <w:lang w:val="cs-CZ"/>
        </w:rPr>
        <w:t xml:space="preserve"> zavedly v roce 2008 zkušebně tři zdravotní pojišťovny, mezi nimi od listopadu 2008 i ČNZP. Po sloučení s ČNZP pokračovala v programu SIP i ČPZP. </w:t>
      </w:r>
      <w:r w:rsidR="009D2D1B" w:rsidRPr="00FD304C">
        <w:rPr>
          <w:rFonts w:cs="Arial"/>
          <w:lang w:val="cs-CZ"/>
        </w:rPr>
        <w:t>Cílem</w:t>
      </w:r>
      <w:r w:rsidR="009D2D1B" w:rsidRPr="00A859AD">
        <w:rPr>
          <w:rFonts w:cs="Arial"/>
          <w:lang w:val="cs-CZ"/>
        </w:rPr>
        <w:t xml:space="preserve"> </w:t>
      </w:r>
      <w:r w:rsidR="009D2D1B" w:rsidRPr="00FD304C">
        <w:rPr>
          <w:rFonts w:cs="Arial"/>
          <w:lang w:val="cs-CZ"/>
        </w:rPr>
        <w:t>bylo zapojit do projektu, který měl vést ke zvýšení kvality péče a zefektivnění vynakládání finančních prostředků</w:t>
      </w:r>
      <w:r w:rsidR="004E6473" w:rsidRPr="00FD304C">
        <w:rPr>
          <w:rFonts w:cs="Arial"/>
          <w:lang w:val="cs-CZ"/>
        </w:rPr>
        <w:t>,</w:t>
      </w:r>
      <w:r w:rsidR="009D2D1B" w:rsidRPr="00FD304C">
        <w:rPr>
          <w:rFonts w:cs="Arial"/>
          <w:lang w:val="cs-CZ"/>
        </w:rPr>
        <w:t xml:space="preserve"> </w:t>
      </w:r>
      <w:r w:rsidR="00F15496">
        <w:rPr>
          <w:rFonts w:cs="Arial"/>
          <w:lang w:val="cs-CZ"/>
        </w:rPr>
        <w:t>sedm tisíc</w:t>
      </w:r>
      <w:r w:rsidR="009D2D1B" w:rsidRPr="00FD304C">
        <w:rPr>
          <w:rFonts w:cs="Arial"/>
          <w:lang w:val="cs-CZ"/>
        </w:rPr>
        <w:t xml:space="preserve"> praktických lékařů.</w:t>
      </w:r>
      <w:r w:rsidR="005A68AB" w:rsidRPr="00FD304C">
        <w:rPr>
          <w:rFonts w:cs="Arial"/>
          <w:lang w:val="cs-CZ"/>
        </w:rPr>
        <w:t xml:space="preserve"> ČPZP vyčíslila náklady hrazené ze základního fondu praktickým lékařům, které souvisely s projektem SIP</w:t>
      </w:r>
      <w:r w:rsidR="00F15496">
        <w:rPr>
          <w:rFonts w:cs="Arial"/>
          <w:lang w:val="cs-CZ"/>
        </w:rPr>
        <w:t>,</w:t>
      </w:r>
      <w:r w:rsidR="005A68AB" w:rsidRPr="00FD304C">
        <w:rPr>
          <w:rFonts w:cs="Arial"/>
          <w:lang w:val="cs-CZ"/>
        </w:rPr>
        <w:t xml:space="preserve"> za období let 2009 až 2013 v částce 92 233 687,29 Kč.</w:t>
      </w:r>
    </w:p>
    <w:p w:rsidR="00204DED" w:rsidRPr="00FD304C" w:rsidRDefault="00204DED" w:rsidP="00FD304C">
      <w:pPr>
        <w:rPr>
          <w:rFonts w:cs="Arial"/>
          <w:lang w:val="cs-CZ"/>
        </w:rPr>
      </w:pPr>
    </w:p>
    <w:p w:rsidR="007D02E0" w:rsidRDefault="007D02E0">
      <w:pPr>
        <w:spacing w:after="200" w:line="276" w:lineRule="auto"/>
        <w:jc w:val="left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br w:type="page"/>
      </w:r>
    </w:p>
    <w:p w:rsidR="000377F7" w:rsidRPr="00FD304C" w:rsidRDefault="000377F7" w:rsidP="005355E1">
      <w:pPr>
        <w:tabs>
          <w:tab w:val="right" w:pos="9072"/>
        </w:tabs>
        <w:spacing w:after="40"/>
        <w:rPr>
          <w:rFonts w:cs="Arial"/>
          <w:b/>
          <w:lang w:val="cs-CZ"/>
        </w:rPr>
      </w:pPr>
      <w:r w:rsidRPr="00FD304C">
        <w:rPr>
          <w:rFonts w:cs="Arial"/>
          <w:b/>
          <w:lang w:val="cs-CZ"/>
        </w:rPr>
        <w:lastRenderedPageBreak/>
        <w:t xml:space="preserve">Tabulka č. </w:t>
      </w:r>
      <w:r w:rsidR="00400EBC" w:rsidRPr="00FD304C">
        <w:rPr>
          <w:rFonts w:cs="Arial"/>
          <w:b/>
          <w:lang w:val="cs-CZ"/>
        </w:rPr>
        <w:t xml:space="preserve">9 </w:t>
      </w:r>
      <w:r w:rsidR="002A626B" w:rsidRPr="00FD304C">
        <w:rPr>
          <w:rFonts w:cs="Arial"/>
          <w:b/>
          <w:lang w:val="cs-CZ"/>
        </w:rPr>
        <w:t>–</w:t>
      </w:r>
      <w:r w:rsidR="00FF1DA4" w:rsidRPr="00FD304C">
        <w:rPr>
          <w:rFonts w:cs="Arial"/>
          <w:b/>
          <w:lang w:val="cs-CZ"/>
        </w:rPr>
        <w:t xml:space="preserve"> </w:t>
      </w:r>
      <w:r w:rsidR="005B589A" w:rsidRPr="00FD304C">
        <w:rPr>
          <w:rFonts w:cs="Arial"/>
          <w:b/>
          <w:lang w:val="cs-CZ"/>
        </w:rPr>
        <w:t xml:space="preserve">Projekt SIP </w:t>
      </w:r>
      <w:r w:rsidR="002A626B" w:rsidRPr="00FD304C">
        <w:rPr>
          <w:rFonts w:cs="Arial"/>
          <w:b/>
          <w:lang w:val="cs-CZ"/>
        </w:rPr>
        <w:t>–</w:t>
      </w:r>
      <w:r w:rsidR="005B589A" w:rsidRPr="00FD304C">
        <w:rPr>
          <w:rFonts w:cs="Arial"/>
          <w:b/>
          <w:lang w:val="cs-CZ"/>
        </w:rPr>
        <w:t xml:space="preserve"> náklady v Kč, počet registrovaných </w:t>
      </w:r>
      <w:r w:rsidR="00177127" w:rsidRPr="00FD304C">
        <w:rPr>
          <w:rFonts w:cs="Arial"/>
          <w:b/>
          <w:lang w:val="cs-CZ"/>
        </w:rPr>
        <w:t>SPL</w:t>
      </w:r>
      <w:r w:rsidR="005B589A" w:rsidRPr="00FD304C">
        <w:rPr>
          <w:rFonts w:cs="Arial"/>
          <w:b/>
          <w:lang w:val="cs-CZ"/>
        </w:rPr>
        <w:t xml:space="preserve"> a pojištěnců</w:t>
      </w:r>
    </w:p>
    <w:tbl>
      <w:tblPr>
        <w:tblStyle w:val="Mkatabulky51"/>
        <w:tblW w:w="4882" w:type="pct"/>
        <w:jc w:val="center"/>
        <w:tblLook w:val="04A0" w:firstRow="1" w:lastRow="0" w:firstColumn="1" w:lastColumn="0" w:noHBand="0" w:noVBand="1"/>
      </w:tblPr>
      <w:tblGrid>
        <w:gridCol w:w="2835"/>
        <w:gridCol w:w="1560"/>
        <w:gridCol w:w="1558"/>
        <w:gridCol w:w="1558"/>
        <w:gridCol w:w="1558"/>
      </w:tblGrid>
      <w:tr w:rsidR="00CC5091" w:rsidRPr="00CC5091" w:rsidTr="00F15496">
        <w:trPr>
          <w:trHeight w:val="227"/>
          <w:jc w:val="center"/>
        </w:trPr>
        <w:tc>
          <w:tcPr>
            <w:tcW w:w="1563" w:type="pct"/>
            <w:shd w:val="clear" w:color="auto" w:fill="auto"/>
            <w:vAlign w:val="center"/>
          </w:tcPr>
          <w:p w:rsidR="00747017" w:rsidRPr="00CC5091" w:rsidRDefault="00747017" w:rsidP="005355E1">
            <w:pPr>
              <w:jc w:val="left"/>
              <w:rPr>
                <w:rFonts w:cs="Arial"/>
                <w:b/>
                <w:sz w:val="18"/>
                <w:szCs w:val="18"/>
                <w:lang w:val="cs-CZ" w:eastAsia="cs-CZ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747017" w:rsidRPr="00CC5091" w:rsidRDefault="00747017" w:rsidP="00FD304C">
            <w:pPr>
              <w:jc w:val="center"/>
              <w:rPr>
                <w:rFonts w:cs="Arial"/>
                <w:b/>
                <w:sz w:val="18"/>
                <w:szCs w:val="18"/>
                <w:lang w:eastAsia="cs-CZ"/>
              </w:rPr>
            </w:pPr>
            <w:r w:rsidRPr="00CC5091">
              <w:rPr>
                <w:rFonts w:cs="Arial"/>
                <w:b/>
                <w:sz w:val="18"/>
                <w:szCs w:val="18"/>
                <w:lang w:eastAsia="cs-CZ"/>
              </w:rPr>
              <w:t>2009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747017" w:rsidRPr="00CC5091" w:rsidRDefault="00747017" w:rsidP="00FD304C">
            <w:pPr>
              <w:jc w:val="center"/>
              <w:rPr>
                <w:rFonts w:cs="Arial"/>
                <w:b/>
                <w:sz w:val="18"/>
                <w:szCs w:val="18"/>
                <w:lang w:eastAsia="cs-CZ"/>
              </w:rPr>
            </w:pPr>
            <w:r w:rsidRPr="00CC5091">
              <w:rPr>
                <w:rFonts w:cs="Arial"/>
                <w:b/>
                <w:sz w:val="18"/>
                <w:szCs w:val="18"/>
                <w:lang w:eastAsia="cs-CZ"/>
              </w:rPr>
              <w:t>2010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747017" w:rsidRPr="00CC5091" w:rsidRDefault="00747017" w:rsidP="00FD304C">
            <w:pPr>
              <w:jc w:val="center"/>
              <w:rPr>
                <w:rFonts w:cs="Arial"/>
                <w:b/>
                <w:sz w:val="18"/>
                <w:szCs w:val="18"/>
                <w:lang w:eastAsia="cs-CZ"/>
              </w:rPr>
            </w:pPr>
            <w:r w:rsidRPr="00CC5091">
              <w:rPr>
                <w:rFonts w:cs="Arial"/>
                <w:b/>
                <w:sz w:val="18"/>
                <w:szCs w:val="18"/>
                <w:lang w:eastAsia="cs-CZ"/>
              </w:rPr>
              <w:t>2011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747017" w:rsidRPr="00CC5091" w:rsidRDefault="00747017" w:rsidP="00FD304C">
            <w:pPr>
              <w:jc w:val="center"/>
              <w:rPr>
                <w:rFonts w:cs="Arial"/>
                <w:b/>
                <w:sz w:val="18"/>
                <w:szCs w:val="18"/>
                <w:lang w:eastAsia="cs-CZ"/>
              </w:rPr>
            </w:pPr>
            <w:r w:rsidRPr="00CC5091">
              <w:rPr>
                <w:rFonts w:cs="Arial"/>
                <w:b/>
                <w:sz w:val="18"/>
                <w:szCs w:val="18"/>
                <w:lang w:eastAsia="cs-CZ"/>
              </w:rPr>
              <w:t>2012</w:t>
            </w:r>
          </w:p>
        </w:tc>
      </w:tr>
      <w:tr w:rsidR="00CC5091" w:rsidRPr="00CC5091" w:rsidTr="00F15496">
        <w:trPr>
          <w:trHeight w:val="227"/>
          <w:jc w:val="center"/>
        </w:trPr>
        <w:tc>
          <w:tcPr>
            <w:tcW w:w="1563" w:type="pct"/>
            <w:shd w:val="clear" w:color="auto" w:fill="auto"/>
            <w:vAlign w:val="center"/>
          </w:tcPr>
          <w:p w:rsidR="00747017" w:rsidRPr="00CC5091" w:rsidRDefault="00747017" w:rsidP="005355E1">
            <w:pPr>
              <w:jc w:val="left"/>
              <w:rPr>
                <w:rFonts w:cs="Arial"/>
                <w:sz w:val="18"/>
                <w:szCs w:val="18"/>
                <w:lang w:val="cs-CZ" w:eastAsia="cs-CZ"/>
              </w:rPr>
            </w:pPr>
            <w:r w:rsidRPr="00CC5091">
              <w:rPr>
                <w:rFonts w:cs="Arial"/>
                <w:sz w:val="18"/>
                <w:szCs w:val="18"/>
                <w:lang w:val="cs-CZ" w:eastAsia="cs-CZ"/>
              </w:rPr>
              <w:t>Počet SPL celkem</w:t>
            </w:r>
          </w:p>
        </w:tc>
        <w:tc>
          <w:tcPr>
            <w:tcW w:w="860" w:type="pct"/>
            <w:vAlign w:val="center"/>
          </w:tcPr>
          <w:p w:rsidR="00747017" w:rsidRPr="00CC5091" w:rsidRDefault="00747017" w:rsidP="005355E1">
            <w:pPr>
              <w:ind w:right="57"/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CC5091">
              <w:rPr>
                <w:rFonts w:cs="Arial"/>
                <w:sz w:val="18"/>
                <w:szCs w:val="18"/>
                <w:lang w:val="cs-CZ" w:eastAsia="cs-CZ"/>
              </w:rPr>
              <w:t>6 132</w:t>
            </w:r>
          </w:p>
        </w:tc>
        <w:tc>
          <w:tcPr>
            <w:tcW w:w="859" w:type="pct"/>
            <w:vAlign w:val="center"/>
          </w:tcPr>
          <w:p w:rsidR="00747017" w:rsidRPr="00CC5091" w:rsidRDefault="00747017" w:rsidP="005355E1">
            <w:pPr>
              <w:ind w:right="57"/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CC5091">
              <w:rPr>
                <w:rFonts w:cs="Arial"/>
                <w:sz w:val="18"/>
                <w:szCs w:val="18"/>
                <w:lang w:val="cs-CZ" w:eastAsia="cs-CZ"/>
              </w:rPr>
              <w:t>6 171</w:t>
            </w:r>
          </w:p>
        </w:tc>
        <w:tc>
          <w:tcPr>
            <w:tcW w:w="859" w:type="pct"/>
            <w:vAlign w:val="center"/>
          </w:tcPr>
          <w:p w:rsidR="00747017" w:rsidRPr="00CC5091" w:rsidRDefault="00747017" w:rsidP="005355E1">
            <w:pPr>
              <w:ind w:right="57"/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CC5091">
              <w:rPr>
                <w:rFonts w:cs="Arial"/>
                <w:sz w:val="18"/>
                <w:szCs w:val="18"/>
                <w:lang w:val="cs-CZ" w:eastAsia="cs-CZ"/>
              </w:rPr>
              <w:t>6 169</w:t>
            </w:r>
          </w:p>
        </w:tc>
        <w:tc>
          <w:tcPr>
            <w:tcW w:w="859" w:type="pct"/>
            <w:vAlign w:val="center"/>
          </w:tcPr>
          <w:p w:rsidR="00747017" w:rsidRPr="00CC5091" w:rsidRDefault="00747017" w:rsidP="005355E1">
            <w:pPr>
              <w:ind w:right="57"/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CC5091">
              <w:rPr>
                <w:rFonts w:cs="Arial"/>
                <w:sz w:val="18"/>
                <w:szCs w:val="18"/>
                <w:lang w:val="cs-CZ" w:eastAsia="cs-CZ"/>
              </w:rPr>
              <w:t>6 223</w:t>
            </w:r>
          </w:p>
        </w:tc>
      </w:tr>
      <w:tr w:rsidR="00CC5091" w:rsidRPr="00CC5091" w:rsidTr="00F15496">
        <w:trPr>
          <w:trHeight w:val="227"/>
          <w:jc w:val="center"/>
        </w:trPr>
        <w:tc>
          <w:tcPr>
            <w:tcW w:w="1563" w:type="pct"/>
            <w:shd w:val="clear" w:color="auto" w:fill="auto"/>
            <w:vAlign w:val="center"/>
          </w:tcPr>
          <w:p w:rsidR="00747017" w:rsidRPr="00A84866" w:rsidRDefault="00CC5091" w:rsidP="005355E1">
            <w:pPr>
              <w:jc w:val="left"/>
              <w:rPr>
                <w:rFonts w:cs="Arial"/>
                <w:sz w:val="18"/>
                <w:szCs w:val="18"/>
                <w:lang w:val="cs-CZ" w:eastAsia="cs-CZ"/>
              </w:rPr>
            </w:pPr>
            <w:r w:rsidRPr="00A84866">
              <w:rPr>
                <w:rFonts w:cs="Arial"/>
                <w:sz w:val="18"/>
                <w:szCs w:val="18"/>
                <w:lang w:val="cs-CZ" w:eastAsia="cs-CZ"/>
              </w:rPr>
              <w:t>–</w:t>
            </w:r>
            <w:r w:rsidR="00747017" w:rsidRPr="00A84866">
              <w:rPr>
                <w:rFonts w:cs="Arial"/>
                <w:sz w:val="18"/>
                <w:szCs w:val="18"/>
                <w:lang w:val="cs-CZ" w:eastAsia="cs-CZ"/>
              </w:rPr>
              <w:t xml:space="preserve"> z toho počet SPL v SIP </w:t>
            </w:r>
          </w:p>
        </w:tc>
        <w:tc>
          <w:tcPr>
            <w:tcW w:w="860" w:type="pct"/>
            <w:vAlign w:val="center"/>
          </w:tcPr>
          <w:p w:rsidR="00747017" w:rsidRPr="00CC5091" w:rsidRDefault="00747017" w:rsidP="005355E1">
            <w:pPr>
              <w:ind w:right="57"/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CC5091">
              <w:rPr>
                <w:rFonts w:cs="Arial"/>
                <w:sz w:val="18"/>
                <w:szCs w:val="18"/>
                <w:lang w:val="cs-CZ" w:eastAsia="cs-CZ"/>
              </w:rPr>
              <w:t>101</w:t>
            </w:r>
          </w:p>
        </w:tc>
        <w:tc>
          <w:tcPr>
            <w:tcW w:w="859" w:type="pct"/>
            <w:vAlign w:val="center"/>
          </w:tcPr>
          <w:p w:rsidR="00747017" w:rsidRPr="00CC5091" w:rsidRDefault="00747017" w:rsidP="005355E1">
            <w:pPr>
              <w:ind w:right="57"/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CC5091">
              <w:rPr>
                <w:rFonts w:cs="Arial"/>
                <w:sz w:val="18"/>
                <w:szCs w:val="18"/>
                <w:lang w:val="cs-CZ" w:eastAsia="cs-CZ"/>
              </w:rPr>
              <w:t>110</w:t>
            </w:r>
          </w:p>
        </w:tc>
        <w:tc>
          <w:tcPr>
            <w:tcW w:w="859" w:type="pct"/>
            <w:vAlign w:val="center"/>
          </w:tcPr>
          <w:p w:rsidR="00747017" w:rsidRPr="00CC5091" w:rsidRDefault="00747017" w:rsidP="005355E1">
            <w:pPr>
              <w:ind w:right="57"/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CC5091">
              <w:rPr>
                <w:rFonts w:cs="Arial"/>
                <w:sz w:val="18"/>
                <w:szCs w:val="18"/>
                <w:lang w:val="cs-CZ" w:eastAsia="cs-CZ"/>
              </w:rPr>
              <w:t>263</w:t>
            </w:r>
          </w:p>
        </w:tc>
        <w:tc>
          <w:tcPr>
            <w:tcW w:w="859" w:type="pct"/>
            <w:vAlign w:val="center"/>
          </w:tcPr>
          <w:p w:rsidR="00747017" w:rsidRPr="00CC5091" w:rsidRDefault="00747017" w:rsidP="005355E1">
            <w:pPr>
              <w:ind w:right="57"/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CC5091">
              <w:rPr>
                <w:rFonts w:cs="Arial"/>
                <w:sz w:val="18"/>
                <w:szCs w:val="18"/>
                <w:lang w:val="cs-CZ" w:eastAsia="cs-CZ"/>
              </w:rPr>
              <w:t>276</w:t>
            </w:r>
          </w:p>
        </w:tc>
      </w:tr>
      <w:tr w:rsidR="00CC5091" w:rsidRPr="00CC5091" w:rsidTr="00F15496">
        <w:trPr>
          <w:trHeight w:val="227"/>
          <w:jc w:val="center"/>
        </w:trPr>
        <w:tc>
          <w:tcPr>
            <w:tcW w:w="1563" w:type="pct"/>
            <w:shd w:val="clear" w:color="auto" w:fill="auto"/>
            <w:vAlign w:val="center"/>
          </w:tcPr>
          <w:p w:rsidR="00747017" w:rsidRPr="00CC5091" w:rsidRDefault="00747017" w:rsidP="005355E1">
            <w:pPr>
              <w:jc w:val="left"/>
              <w:rPr>
                <w:rFonts w:cs="Arial"/>
                <w:sz w:val="18"/>
                <w:szCs w:val="18"/>
                <w:lang w:val="cs-CZ" w:eastAsia="cs-CZ"/>
              </w:rPr>
            </w:pPr>
            <w:r w:rsidRPr="00CC5091">
              <w:rPr>
                <w:rFonts w:cs="Arial"/>
                <w:sz w:val="18"/>
                <w:szCs w:val="18"/>
                <w:lang w:val="cs-CZ" w:eastAsia="cs-CZ"/>
              </w:rPr>
              <w:t>Počet pojištěnců celkem</w:t>
            </w:r>
          </w:p>
        </w:tc>
        <w:tc>
          <w:tcPr>
            <w:tcW w:w="860" w:type="pct"/>
            <w:vAlign w:val="center"/>
          </w:tcPr>
          <w:p w:rsidR="00747017" w:rsidRPr="00CC5091" w:rsidRDefault="00747017" w:rsidP="005355E1">
            <w:pPr>
              <w:ind w:right="57"/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CC5091">
              <w:rPr>
                <w:rFonts w:cs="Arial"/>
                <w:sz w:val="18"/>
                <w:szCs w:val="18"/>
                <w:lang w:val="cs-CZ" w:eastAsia="cs-CZ"/>
              </w:rPr>
              <w:t>721 831</w:t>
            </w:r>
          </w:p>
        </w:tc>
        <w:tc>
          <w:tcPr>
            <w:tcW w:w="859" w:type="pct"/>
            <w:vAlign w:val="center"/>
          </w:tcPr>
          <w:p w:rsidR="00747017" w:rsidRPr="00CC5091" w:rsidRDefault="00747017" w:rsidP="005355E1">
            <w:pPr>
              <w:ind w:right="57"/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CC5091">
              <w:rPr>
                <w:rFonts w:cs="Arial"/>
                <w:sz w:val="18"/>
                <w:szCs w:val="18"/>
                <w:lang w:val="cs-CZ" w:eastAsia="cs-CZ"/>
              </w:rPr>
              <w:t>716 996</w:t>
            </w:r>
          </w:p>
        </w:tc>
        <w:tc>
          <w:tcPr>
            <w:tcW w:w="859" w:type="pct"/>
            <w:vAlign w:val="center"/>
          </w:tcPr>
          <w:p w:rsidR="00747017" w:rsidRPr="00CC5091" w:rsidRDefault="00747017" w:rsidP="005355E1">
            <w:pPr>
              <w:ind w:right="57"/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CC5091">
              <w:rPr>
                <w:rFonts w:cs="Arial"/>
                <w:sz w:val="18"/>
                <w:szCs w:val="18"/>
                <w:lang w:val="cs-CZ" w:eastAsia="cs-CZ"/>
              </w:rPr>
              <w:t>727 847</w:t>
            </w:r>
          </w:p>
        </w:tc>
        <w:tc>
          <w:tcPr>
            <w:tcW w:w="859" w:type="pct"/>
            <w:vAlign w:val="center"/>
          </w:tcPr>
          <w:p w:rsidR="00747017" w:rsidRPr="00CC5091" w:rsidRDefault="00747017" w:rsidP="005355E1">
            <w:pPr>
              <w:ind w:right="57"/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CC5091">
              <w:rPr>
                <w:rFonts w:cs="Arial"/>
                <w:sz w:val="18"/>
                <w:szCs w:val="18"/>
                <w:lang w:val="cs-CZ" w:eastAsia="cs-CZ"/>
              </w:rPr>
              <w:t>1 171 395</w:t>
            </w:r>
          </w:p>
        </w:tc>
      </w:tr>
      <w:tr w:rsidR="00CC5091" w:rsidRPr="00CC5091" w:rsidTr="00F15496">
        <w:trPr>
          <w:trHeight w:val="227"/>
          <w:jc w:val="center"/>
        </w:trPr>
        <w:tc>
          <w:tcPr>
            <w:tcW w:w="1563" w:type="pct"/>
            <w:shd w:val="clear" w:color="auto" w:fill="auto"/>
            <w:vAlign w:val="center"/>
          </w:tcPr>
          <w:p w:rsidR="00747017" w:rsidRPr="00A84866" w:rsidRDefault="00CC5091" w:rsidP="005355E1">
            <w:pPr>
              <w:jc w:val="left"/>
              <w:rPr>
                <w:rFonts w:cs="Arial"/>
                <w:sz w:val="18"/>
                <w:szCs w:val="18"/>
                <w:lang w:val="cs-CZ" w:eastAsia="cs-CZ"/>
              </w:rPr>
            </w:pPr>
            <w:r w:rsidRPr="00A84866">
              <w:rPr>
                <w:rFonts w:cs="Arial"/>
                <w:sz w:val="18"/>
                <w:szCs w:val="18"/>
                <w:lang w:val="cs-CZ" w:eastAsia="cs-CZ"/>
              </w:rPr>
              <w:t>–</w:t>
            </w:r>
            <w:r w:rsidR="00747017" w:rsidRPr="00A84866">
              <w:rPr>
                <w:rFonts w:cs="Arial"/>
                <w:sz w:val="18"/>
                <w:szCs w:val="18"/>
                <w:lang w:val="cs-CZ" w:eastAsia="cs-CZ"/>
              </w:rPr>
              <w:t xml:space="preserve"> z toho registrovaných v SIP</w:t>
            </w:r>
          </w:p>
        </w:tc>
        <w:tc>
          <w:tcPr>
            <w:tcW w:w="860" w:type="pct"/>
            <w:vAlign w:val="center"/>
          </w:tcPr>
          <w:p w:rsidR="00747017" w:rsidRPr="00CC5091" w:rsidRDefault="00747017" w:rsidP="005355E1">
            <w:pPr>
              <w:ind w:right="57"/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CC5091">
              <w:rPr>
                <w:rFonts w:cs="Arial"/>
                <w:sz w:val="18"/>
                <w:szCs w:val="18"/>
                <w:lang w:val="cs-CZ" w:eastAsia="cs-CZ"/>
              </w:rPr>
              <w:t>28 582</w:t>
            </w:r>
          </w:p>
        </w:tc>
        <w:tc>
          <w:tcPr>
            <w:tcW w:w="859" w:type="pct"/>
            <w:vAlign w:val="center"/>
          </w:tcPr>
          <w:p w:rsidR="00747017" w:rsidRPr="00CC5091" w:rsidRDefault="00747017" w:rsidP="005355E1">
            <w:pPr>
              <w:ind w:right="57"/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CC5091">
              <w:rPr>
                <w:rFonts w:cs="Arial"/>
                <w:sz w:val="18"/>
                <w:szCs w:val="18"/>
                <w:lang w:val="cs-CZ" w:eastAsia="cs-CZ"/>
              </w:rPr>
              <w:t>39 187</w:t>
            </w:r>
          </w:p>
        </w:tc>
        <w:tc>
          <w:tcPr>
            <w:tcW w:w="859" w:type="pct"/>
            <w:vAlign w:val="center"/>
          </w:tcPr>
          <w:p w:rsidR="00747017" w:rsidRPr="00CC5091" w:rsidRDefault="00747017" w:rsidP="005355E1">
            <w:pPr>
              <w:ind w:right="57"/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CC5091">
              <w:rPr>
                <w:rFonts w:cs="Arial"/>
                <w:sz w:val="18"/>
                <w:szCs w:val="18"/>
                <w:lang w:val="cs-CZ" w:eastAsia="cs-CZ"/>
              </w:rPr>
              <w:t>130 548</w:t>
            </w:r>
          </w:p>
        </w:tc>
        <w:tc>
          <w:tcPr>
            <w:tcW w:w="859" w:type="pct"/>
            <w:vAlign w:val="center"/>
          </w:tcPr>
          <w:p w:rsidR="00747017" w:rsidRPr="00CC5091" w:rsidRDefault="00747017" w:rsidP="005355E1">
            <w:pPr>
              <w:ind w:right="57"/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CC5091">
              <w:rPr>
                <w:rFonts w:cs="Arial"/>
                <w:sz w:val="18"/>
                <w:szCs w:val="18"/>
                <w:lang w:val="cs-CZ" w:eastAsia="cs-CZ"/>
              </w:rPr>
              <w:t>136 355</w:t>
            </w:r>
          </w:p>
        </w:tc>
      </w:tr>
      <w:tr w:rsidR="00CC5091" w:rsidRPr="00CC5091" w:rsidTr="00F15496">
        <w:trPr>
          <w:trHeight w:val="227"/>
          <w:jc w:val="center"/>
        </w:trPr>
        <w:tc>
          <w:tcPr>
            <w:tcW w:w="1563" w:type="pct"/>
            <w:shd w:val="clear" w:color="auto" w:fill="auto"/>
            <w:vAlign w:val="center"/>
          </w:tcPr>
          <w:p w:rsidR="00747017" w:rsidRPr="00CC5091" w:rsidRDefault="00747017" w:rsidP="005355E1">
            <w:pPr>
              <w:jc w:val="left"/>
              <w:rPr>
                <w:rFonts w:cs="Arial"/>
                <w:sz w:val="18"/>
                <w:szCs w:val="18"/>
                <w:lang w:val="cs-CZ" w:eastAsia="cs-CZ"/>
              </w:rPr>
            </w:pPr>
            <w:r w:rsidRPr="00CC5091">
              <w:rPr>
                <w:rFonts w:cs="Arial"/>
                <w:sz w:val="18"/>
                <w:szCs w:val="18"/>
                <w:lang w:val="cs-CZ" w:eastAsia="cs-CZ"/>
              </w:rPr>
              <w:t xml:space="preserve">Náklady ze ZF pro SPL v SIP </w:t>
            </w:r>
          </w:p>
        </w:tc>
        <w:tc>
          <w:tcPr>
            <w:tcW w:w="860" w:type="pct"/>
            <w:vAlign w:val="center"/>
          </w:tcPr>
          <w:p w:rsidR="00747017" w:rsidRPr="00CC5091" w:rsidRDefault="00747017" w:rsidP="005355E1">
            <w:pPr>
              <w:ind w:right="57"/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CC5091">
              <w:rPr>
                <w:rFonts w:cs="Arial"/>
                <w:sz w:val="18"/>
                <w:szCs w:val="18"/>
                <w:lang w:val="cs-CZ" w:eastAsia="cs-CZ"/>
              </w:rPr>
              <w:t>3 920 728</w:t>
            </w:r>
          </w:p>
        </w:tc>
        <w:tc>
          <w:tcPr>
            <w:tcW w:w="859" w:type="pct"/>
            <w:vAlign w:val="center"/>
          </w:tcPr>
          <w:p w:rsidR="00747017" w:rsidRPr="00CC5091" w:rsidRDefault="00747017" w:rsidP="005355E1">
            <w:pPr>
              <w:ind w:right="57"/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CC5091">
              <w:rPr>
                <w:rFonts w:cs="Arial"/>
                <w:sz w:val="18"/>
                <w:szCs w:val="18"/>
                <w:lang w:val="cs-CZ" w:eastAsia="cs-CZ"/>
              </w:rPr>
              <w:t>6 529 673</w:t>
            </w:r>
          </w:p>
        </w:tc>
        <w:tc>
          <w:tcPr>
            <w:tcW w:w="859" w:type="pct"/>
            <w:vAlign w:val="center"/>
          </w:tcPr>
          <w:p w:rsidR="00747017" w:rsidRPr="00CC5091" w:rsidRDefault="00747017" w:rsidP="005355E1">
            <w:pPr>
              <w:ind w:right="57"/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CC5091">
              <w:rPr>
                <w:rFonts w:cs="Arial"/>
                <w:sz w:val="18"/>
                <w:szCs w:val="18"/>
                <w:lang w:val="cs-CZ" w:eastAsia="cs-CZ"/>
              </w:rPr>
              <w:t>26 948 858</w:t>
            </w:r>
          </w:p>
        </w:tc>
        <w:tc>
          <w:tcPr>
            <w:tcW w:w="859" w:type="pct"/>
            <w:vAlign w:val="center"/>
          </w:tcPr>
          <w:p w:rsidR="00747017" w:rsidRPr="00CC5091" w:rsidRDefault="00747017" w:rsidP="005355E1">
            <w:pPr>
              <w:ind w:right="57"/>
              <w:jc w:val="right"/>
              <w:rPr>
                <w:rFonts w:cs="Arial"/>
                <w:sz w:val="18"/>
                <w:szCs w:val="18"/>
                <w:lang w:val="cs-CZ" w:eastAsia="cs-CZ"/>
              </w:rPr>
            </w:pPr>
            <w:r w:rsidRPr="00CC5091">
              <w:rPr>
                <w:rFonts w:cs="Arial"/>
                <w:sz w:val="18"/>
                <w:szCs w:val="18"/>
                <w:lang w:val="cs-CZ" w:eastAsia="cs-CZ"/>
              </w:rPr>
              <w:t>27 798 286</w:t>
            </w:r>
          </w:p>
        </w:tc>
      </w:tr>
    </w:tbl>
    <w:p w:rsidR="000377F7" w:rsidRPr="00FD304C" w:rsidRDefault="000377F7" w:rsidP="000E36C4">
      <w:pPr>
        <w:spacing w:before="40"/>
        <w:rPr>
          <w:rFonts w:cs="Arial"/>
          <w:sz w:val="18"/>
          <w:szCs w:val="18"/>
          <w:lang w:val="cs-CZ"/>
        </w:rPr>
      </w:pPr>
      <w:r w:rsidRPr="00FD304C">
        <w:rPr>
          <w:rFonts w:cs="Arial"/>
          <w:b/>
          <w:sz w:val="18"/>
          <w:szCs w:val="18"/>
          <w:lang w:val="cs-CZ"/>
        </w:rPr>
        <w:t>Zdroj:</w:t>
      </w:r>
      <w:r w:rsidRPr="00FD304C">
        <w:rPr>
          <w:rFonts w:cs="Arial"/>
          <w:sz w:val="18"/>
          <w:szCs w:val="18"/>
          <w:lang w:val="cs-CZ"/>
        </w:rPr>
        <w:t xml:space="preserve"> </w:t>
      </w:r>
      <w:r w:rsidR="00CC5091">
        <w:rPr>
          <w:rFonts w:cs="Arial"/>
          <w:sz w:val="18"/>
          <w:szCs w:val="18"/>
          <w:lang w:val="cs-CZ"/>
        </w:rPr>
        <w:t>i</w:t>
      </w:r>
      <w:r w:rsidRPr="00FD304C">
        <w:rPr>
          <w:rFonts w:cs="Arial"/>
          <w:sz w:val="18"/>
          <w:szCs w:val="18"/>
          <w:lang w:val="cs-CZ"/>
        </w:rPr>
        <w:t>nterní doklady ČPZP.</w:t>
      </w:r>
    </w:p>
    <w:p w:rsidR="000377F7" w:rsidRPr="00FD304C" w:rsidRDefault="000377F7" w:rsidP="00FD304C">
      <w:pPr>
        <w:tabs>
          <w:tab w:val="left" w:pos="709"/>
        </w:tabs>
        <w:rPr>
          <w:rFonts w:cs="Arial"/>
          <w:sz w:val="18"/>
          <w:szCs w:val="18"/>
          <w:lang w:val="cs-CZ"/>
        </w:rPr>
      </w:pPr>
      <w:r w:rsidRPr="00FD304C">
        <w:rPr>
          <w:rFonts w:cs="Arial"/>
          <w:b/>
          <w:sz w:val="18"/>
          <w:szCs w:val="18"/>
          <w:lang w:val="cs-CZ"/>
        </w:rPr>
        <w:t>Zkratky:</w:t>
      </w:r>
      <w:r w:rsidR="00177127" w:rsidRPr="00FD304C">
        <w:rPr>
          <w:rFonts w:cs="Arial"/>
          <w:sz w:val="18"/>
          <w:szCs w:val="18"/>
          <w:lang w:val="cs-CZ"/>
        </w:rPr>
        <w:t xml:space="preserve"> </w:t>
      </w:r>
      <w:r w:rsidR="00635884" w:rsidRPr="00FD304C">
        <w:rPr>
          <w:rFonts w:cs="Arial"/>
          <w:sz w:val="18"/>
          <w:szCs w:val="18"/>
          <w:lang w:val="cs-CZ"/>
        </w:rPr>
        <w:t>SPL = smluvní praktický lékař pro dospělé a smluvní praktický lékař pro děti a dorost</w:t>
      </w:r>
      <w:r w:rsidRPr="00FD304C">
        <w:rPr>
          <w:rFonts w:cs="Arial"/>
          <w:sz w:val="18"/>
          <w:szCs w:val="18"/>
          <w:lang w:val="cs-CZ"/>
        </w:rPr>
        <w:t>, ZF = základní fond.</w:t>
      </w:r>
    </w:p>
    <w:p w:rsidR="000377F7" w:rsidRPr="00FD304C" w:rsidRDefault="000377F7" w:rsidP="00FD304C">
      <w:pPr>
        <w:rPr>
          <w:rFonts w:cs="Arial"/>
          <w:lang w:val="cs-CZ"/>
        </w:rPr>
      </w:pPr>
    </w:p>
    <w:p w:rsidR="000377F7" w:rsidRPr="00FD304C" w:rsidRDefault="000377F7" w:rsidP="00FD304C">
      <w:pPr>
        <w:rPr>
          <w:rFonts w:cs="Arial"/>
          <w:szCs w:val="22"/>
          <w:lang w:val="cs-CZ"/>
        </w:rPr>
      </w:pPr>
      <w:r w:rsidRPr="00FD304C">
        <w:rPr>
          <w:rFonts w:cs="Arial"/>
          <w:szCs w:val="22"/>
          <w:lang w:val="cs-CZ"/>
        </w:rPr>
        <w:t xml:space="preserve">K 31. 12. 2009 bylo do projektu SIP zaregistrováno 1,6 % z celkového počtu </w:t>
      </w:r>
      <w:r w:rsidR="00635884" w:rsidRPr="00FD304C">
        <w:rPr>
          <w:rFonts w:cs="Arial"/>
          <w:szCs w:val="22"/>
          <w:lang w:val="cs-CZ"/>
        </w:rPr>
        <w:t>praktických lékařů</w:t>
      </w:r>
      <w:r w:rsidR="00747017" w:rsidRPr="00FD304C">
        <w:rPr>
          <w:rFonts w:cs="Arial"/>
          <w:szCs w:val="22"/>
          <w:lang w:val="cs-CZ"/>
        </w:rPr>
        <w:t xml:space="preserve"> a 4,4 %</w:t>
      </w:r>
      <w:r w:rsidRPr="00FD304C">
        <w:rPr>
          <w:rFonts w:cs="Arial"/>
          <w:szCs w:val="22"/>
          <w:lang w:val="cs-CZ"/>
        </w:rPr>
        <w:t xml:space="preserve"> k</w:t>
      </w:r>
      <w:r w:rsidR="000C5C98" w:rsidRPr="00FD304C">
        <w:rPr>
          <w:rFonts w:cs="Arial"/>
          <w:szCs w:val="22"/>
          <w:lang w:val="cs-CZ"/>
        </w:rPr>
        <w:t> </w:t>
      </w:r>
      <w:r w:rsidRPr="00FD304C">
        <w:rPr>
          <w:rFonts w:cs="Arial"/>
          <w:szCs w:val="22"/>
          <w:lang w:val="cs-CZ"/>
        </w:rPr>
        <w:t xml:space="preserve">31. 12. 2012. Podíl pojištěnců </w:t>
      </w:r>
      <w:r w:rsidR="005D1622">
        <w:rPr>
          <w:rFonts w:cs="Arial"/>
          <w:szCs w:val="22"/>
          <w:lang w:val="cs-CZ"/>
        </w:rPr>
        <w:t xml:space="preserve">zapojených do </w:t>
      </w:r>
      <w:r w:rsidRPr="00FD304C">
        <w:rPr>
          <w:rFonts w:cs="Arial"/>
          <w:szCs w:val="22"/>
          <w:lang w:val="cs-CZ"/>
        </w:rPr>
        <w:t>projektu SIP</w:t>
      </w:r>
      <w:r w:rsidR="005D1622">
        <w:rPr>
          <w:rFonts w:cs="Arial"/>
          <w:szCs w:val="22"/>
          <w:lang w:val="cs-CZ"/>
        </w:rPr>
        <w:t xml:space="preserve"> k celkovému počtu pojištěnců ČPZP činil 3,9 % v roce 2009 a </w:t>
      </w:r>
      <w:r w:rsidR="00747017" w:rsidRPr="00FD304C">
        <w:rPr>
          <w:rFonts w:cs="Arial"/>
          <w:szCs w:val="22"/>
          <w:lang w:val="cs-CZ"/>
        </w:rPr>
        <w:t>11,6 %</w:t>
      </w:r>
      <w:r w:rsidRPr="00FD304C">
        <w:rPr>
          <w:rFonts w:cs="Arial"/>
          <w:szCs w:val="22"/>
          <w:lang w:val="cs-CZ"/>
        </w:rPr>
        <w:t xml:space="preserve"> v roce 2012.</w:t>
      </w:r>
    </w:p>
    <w:p w:rsidR="000377F7" w:rsidRPr="009639A1" w:rsidRDefault="000377F7" w:rsidP="00FD304C">
      <w:pPr>
        <w:rPr>
          <w:rFonts w:cs="Arial"/>
          <w:lang w:val="cs-CZ"/>
        </w:rPr>
      </w:pPr>
    </w:p>
    <w:p w:rsidR="005355E1" w:rsidRDefault="0016356C" w:rsidP="00FD304C">
      <w:pPr>
        <w:rPr>
          <w:rFonts w:cs="Arial"/>
          <w:lang w:val="cs-CZ"/>
        </w:rPr>
      </w:pPr>
      <w:r w:rsidRPr="00FD304C">
        <w:rPr>
          <w:rFonts w:cs="Arial"/>
          <w:lang w:val="cs-CZ"/>
        </w:rPr>
        <w:t xml:space="preserve">V rámci kontroly bylo </w:t>
      </w:r>
      <w:r w:rsidR="00400FE2" w:rsidRPr="00FD304C">
        <w:rPr>
          <w:rFonts w:cs="Arial"/>
          <w:lang w:val="cs-CZ"/>
        </w:rPr>
        <w:t>zjištěno</w:t>
      </w:r>
      <w:r w:rsidRPr="00FD304C">
        <w:rPr>
          <w:rFonts w:cs="Arial"/>
          <w:lang w:val="cs-CZ"/>
        </w:rPr>
        <w:t xml:space="preserve">, že </w:t>
      </w:r>
      <w:r w:rsidR="000377F7" w:rsidRPr="00FD304C">
        <w:rPr>
          <w:rFonts w:cs="Arial"/>
          <w:lang w:val="cs-CZ"/>
        </w:rPr>
        <w:t xml:space="preserve">ČPZP </w:t>
      </w:r>
      <w:r w:rsidRPr="00FD304C">
        <w:rPr>
          <w:rFonts w:cs="Arial"/>
          <w:lang w:val="cs-CZ"/>
        </w:rPr>
        <w:t xml:space="preserve">použila </w:t>
      </w:r>
      <w:r w:rsidR="00E2676E" w:rsidRPr="00FD304C">
        <w:rPr>
          <w:rFonts w:cs="Arial"/>
          <w:lang w:val="cs-CZ"/>
        </w:rPr>
        <w:t>v rozporu se zákonem</w:t>
      </w:r>
      <w:r w:rsidR="00E2676E" w:rsidRPr="00FD304C">
        <w:rPr>
          <w:rFonts w:cs="Arial"/>
          <w:vertAlign w:val="superscript"/>
          <w:lang w:val="cs-CZ"/>
        </w:rPr>
        <w:t>1,2</w:t>
      </w:r>
      <w:r w:rsidR="00E2676E" w:rsidRPr="00FD304C">
        <w:rPr>
          <w:rFonts w:cs="Arial"/>
          <w:lang w:val="cs-CZ"/>
        </w:rPr>
        <w:t xml:space="preserve"> </w:t>
      </w:r>
      <w:r w:rsidRPr="00FD304C">
        <w:rPr>
          <w:rFonts w:cs="Arial"/>
          <w:lang w:val="cs-CZ"/>
        </w:rPr>
        <w:t>finanční prostředky základního fondu ve výši 36 309 967,49 Kč za administrativní úkony (např. verifikace údajů u</w:t>
      </w:r>
      <w:r w:rsidR="00464273" w:rsidRPr="00FD304C">
        <w:rPr>
          <w:rFonts w:cs="Arial"/>
          <w:lang w:val="cs-CZ"/>
        </w:rPr>
        <w:t> </w:t>
      </w:r>
      <w:r w:rsidRPr="00FD304C">
        <w:rPr>
          <w:rFonts w:cs="Arial"/>
          <w:lang w:val="cs-CZ"/>
        </w:rPr>
        <w:t xml:space="preserve">pacientů registrovaných v SIP, hodnocení spolupracujících poskytovatelů ZS), nikoliv za hrazené zdravotní služby </w:t>
      </w:r>
      <w:r w:rsidR="005D1622">
        <w:rPr>
          <w:rFonts w:cs="Arial"/>
          <w:lang w:val="cs-CZ"/>
        </w:rPr>
        <w:t>či</w:t>
      </w:r>
      <w:r w:rsidR="00E2395C" w:rsidRPr="00FD304C">
        <w:rPr>
          <w:rFonts w:cs="Arial"/>
          <w:lang w:val="cs-CZ"/>
        </w:rPr>
        <w:t xml:space="preserve"> </w:t>
      </w:r>
      <w:r w:rsidR="002A626B" w:rsidRPr="00FD304C">
        <w:rPr>
          <w:rFonts w:cs="Arial"/>
          <w:lang w:val="cs-CZ"/>
        </w:rPr>
        <w:t xml:space="preserve">za </w:t>
      </w:r>
      <w:r w:rsidR="00E2395C" w:rsidRPr="00FD304C">
        <w:rPr>
          <w:rFonts w:cs="Arial"/>
          <w:lang w:val="cs-CZ"/>
        </w:rPr>
        <w:t>náklady spojen</w:t>
      </w:r>
      <w:r w:rsidR="002A626B" w:rsidRPr="00FD304C">
        <w:rPr>
          <w:rFonts w:cs="Arial"/>
          <w:lang w:val="cs-CZ"/>
        </w:rPr>
        <w:t xml:space="preserve">é </w:t>
      </w:r>
      <w:r w:rsidR="00E2395C" w:rsidRPr="00FD304C">
        <w:rPr>
          <w:rFonts w:cs="Arial"/>
          <w:lang w:val="cs-CZ"/>
        </w:rPr>
        <w:t>s osobním účtem pojištěnce</w:t>
      </w:r>
      <w:r w:rsidRPr="00FD304C">
        <w:rPr>
          <w:rFonts w:cs="Arial"/>
          <w:lang w:val="cs-CZ"/>
        </w:rPr>
        <w:t xml:space="preserve">. </w:t>
      </w:r>
      <w:r w:rsidR="000377F7" w:rsidRPr="00FD304C">
        <w:rPr>
          <w:rFonts w:cs="Arial"/>
          <w:lang w:val="cs-CZ"/>
        </w:rPr>
        <w:t>Ke dni 31.</w:t>
      </w:r>
      <w:r w:rsidR="00464273" w:rsidRPr="00FD304C">
        <w:rPr>
          <w:rFonts w:cs="Arial"/>
          <w:lang w:val="cs-CZ"/>
        </w:rPr>
        <w:t> </w:t>
      </w:r>
      <w:r w:rsidR="000377F7" w:rsidRPr="00FD304C">
        <w:rPr>
          <w:rFonts w:cs="Arial"/>
          <w:lang w:val="cs-CZ"/>
        </w:rPr>
        <w:t>12.</w:t>
      </w:r>
      <w:r w:rsidR="00464273" w:rsidRPr="00FD304C">
        <w:rPr>
          <w:rFonts w:cs="Arial"/>
          <w:lang w:val="cs-CZ"/>
        </w:rPr>
        <w:t> </w:t>
      </w:r>
      <w:r w:rsidR="000377F7" w:rsidRPr="00FD304C">
        <w:rPr>
          <w:rFonts w:cs="Arial"/>
          <w:lang w:val="cs-CZ"/>
        </w:rPr>
        <w:t xml:space="preserve">2013 </w:t>
      </w:r>
      <w:r w:rsidR="009F30EB" w:rsidRPr="00FD304C">
        <w:rPr>
          <w:rFonts w:cs="Arial"/>
          <w:lang w:val="cs-CZ"/>
        </w:rPr>
        <w:t>r</w:t>
      </w:r>
      <w:r w:rsidR="000377F7" w:rsidRPr="00FD304C">
        <w:rPr>
          <w:rFonts w:cs="Arial"/>
          <w:lang w:val="cs-CZ"/>
        </w:rPr>
        <w:t xml:space="preserve">ozhodnutím účetní jednotky ze dne 4. 2. 2014 ČPZP přeúčtovala výše uvedenou částku ze základního </w:t>
      </w:r>
      <w:r w:rsidR="002D612F" w:rsidRPr="00FD304C">
        <w:rPr>
          <w:rFonts w:cs="Arial"/>
          <w:lang w:val="cs-CZ"/>
        </w:rPr>
        <w:t xml:space="preserve">fondu </w:t>
      </w:r>
      <w:r w:rsidR="000377F7" w:rsidRPr="00FD304C">
        <w:rPr>
          <w:rFonts w:cs="Arial"/>
          <w:lang w:val="cs-CZ"/>
        </w:rPr>
        <w:t xml:space="preserve">do </w:t>
      </w:r>
      <w:r w:rsidR="005C2FCA" w:rsidRPr="00FD304C">
        <w:rPr>
          <w:rFonts w:cs="Arial"/>
          <w:lang w:val="cs-CZ"/>
        </w:rPr>
        <w:t xml:space="preserve">nákladů </w:t>
      </w:r>
      <w:r w:rsidR="000377F7" w:rsidRPr="00FD304C">
        <w:rPr>
          <w:rFonts w:cs="Arial"/>
          <w:lang w:val="cs-CZ"/>
        </w:rPr>
        <w:t>provozního fondu</w:t>
      </w:r>
      <w:r w:rsidR="006C2DF8" w:rsidRPr="00FD304C">
        <w:rPr>
          <w:rFonts w:cs="Arial"/>
          <w:lang w:val="cs-CZ"/>
        </w:rPr>
        <w:t>.</w:t>
      </w:r>
      <w:r w:rsidR="009639A1">
        <w:rPr>
          <w:rFonts w:cs="Arial"/>
          <w:lang w:val="cs-CZ"/>
        </w:rPr>
        <w:t xml:space="preserve"> </w:t>
      </w:r>
    </w:p>
    <w:p w:rsidR="009639A1" w:rsidRPr="00FD304C" w:rsidRDefault="009639A1" w:rsidP="00FD304C">
      <w:pPr>
        <w:rPr>
          <w:rFonts w:cs="Arial"/>
          <w:lang w:val="cs-CZ"/>
        </w:rPr>
      </w:pPr>
    </w:p>
    <w:p w:rsidR="004667BC" w:rsidRPr="00FD304C" w:rsidRDefault="000D1683" w:rsidP="00FD304C">
      <w:pPr>
        <w:rPr>
          <w:rFonts w:cs="Arial"/>
          <w:lang w:val="cs-CZ"/>
        </w:rPr>
      </w:pPr>
      <w:r w:rsidRPr="00FD304C">
        <w:rPr>
          <w:rFonts w:cs="Arial"/>
          <w:lang w:val="cs-CZ"/>
        </w:rPr>
        <w:t>Dále ČPZP smluvním praktickým lékařům registrovaným v SIP z prostředků základního fondu navýšila kapitační platby</w:t>
      </w:r>
      <w:r w:rsidR="005D1622">
        <w:rPr>
          <w:rFonts w:cs="Arial"/>
          <w:lang w:val="cs-CZ"/>
        </w:rPr>
        <w:t>,</w:t>
      </w:r>
      <w:r w:rsidRPr="00FD304C">
        <w:rPr>
          <w:rFonts w:cs="Arial"/>
          <w:lang w:val="cs-CZ"/>
        </w:rPr>
        <w:t xml:space="preserve"> a to nejen za pojištěnce registrované v SIP, ale i za všechny další pojištěnce v jejich evidenci. Navýšení základní sazby kapitační platby se týkalo používání </w:t>
      </w:r>
      <w:proofErr w:type="spellStart"/>
      <w:r w:rsidRPr="00FD304C">
        <w:rPr>
          <w:rFonts w:cs="Arial"/>
          <w:lang w:val="cs-CZ"/>
        </w:rPr>
        <w:t>rychlotestů</w:t>
      </w:r>
      <w:proofErr w:type="spellEnd"/>
      <w:r w:rsidRPr="00FD304C">
        <w:rPr>
          <w:rFonts w:cs="Arial"/>
          <w:lang w:val="cs-CZ"/>
        </w:rPr>
        <w:t xml:space="preserve"> a zdravotních úkonů do základní kapitační platby již zahrnutých. Za tyto úkony ČPZP v letech 2009 až 2013 uhradila praktickým lékařům registrovaným v SIP více než 5</w:t>
      </w:r>
      <w:r w:rsidR="005C2C05" w:rsidRPr="00FD304C">
        <w:rPr>
          <w:rFonts w:cs="Arial"/>
          <w:lang w:val="cs-CZ"/>
        </w:rPr>
        <w:t>6</w:t>
      </w:r>
      <w:r w:rsidRPr="00FD304C">
        <w:rPr>
          <w:rFonts w:cs="Arial"/>
          <w:lang w:val="cs-CZ"/>
        </w:rPr>
        <w:t xml:space="preserve"> mil. Kč</w:t>
      </w:r>
      <w:r w:rsidR="005C2C05" w:rsidRPr="00FD304C">
        <w:rPr>
          <w:rFonts w:cs="Arial"/>
          <w:lang w:val="cs-CZ"/>
        </w:rPr>
        <w:t>.</w:t>
      </w:r>
    </w:p>
    <w:p w:rsidR="00F61C2B" w:rsidRPr="00FD304C" w:rsidRDefault="00F61C2B" w:rsidP="00FD304C">
      <w:pPr>
        <w:rPr>
          <w:rFonts w:cs="Arial"/>
          <w:lang w:val="cs-CZ"/>
        </w:rPr>
      </w:pPr>
    </w:p>
    <w:p w:rsidR="005C2C05" w:rsidRPr="00A84866" w:rsidRDefault="005C2C05" w:rsidP="00A84866">
      <w:pPr>
        <w:rPr>
          <w:rFonts w:cs="Arial"/>
          <w:b/>
          <w:lang w:val="cs-CZ"/>
        </w:rPr>
      </w:pPr>
      <w:r w:rsidRPr="00A84866">
        <w:rPr>
          <w:rFonts w:cs="Arial"/>
          <w:b/>
          <w:lang w:val="cs-CZ"/>
        </w:rPr>
        <w:t xml:space="preserve">Projekt </w:t>
      </w:r>
      <w:r w:rsidRPr="00A84866">
        <w:rPr>
          <w:rFonts w:cs="Arial"/>
          <w:b/>
          <w:i/>
          <w:lang w:val="cs-CZ"/>
        </w:rPr>
        <w:t>Karta života</w:t>
      </w:r>
    </w:p>
    <w:p w:rsidR="009639A1" w:rsidRDefault="009639A1" w:rsidP="00FD304C">
      <w:pPr>
        <w:rPr>
          <w:rFonts w:cs="Arial"/>
          <w:lang w:val="cs-CZ"/>
        </w:rPr>
      </w:pPr>
    </w:p>
    <w:p w:rsidR="005C2C05" w:rsidRPr="00FD304C" w:rsidRDefault="005C2C05" w:rsidP="00FD304C">
      <w:pPr>
        <w:rPr>
          <w:rFonts w:cs="Arial"/>
          <w:lang w:val="cs-CZ"/>
        </w:rPr>
      </w:pPr>
      <w:r w:rsidRPr="00FD304C">
        <w:rPr>
          <w:rFonts w:cs="Arial"/>
          <w:lang w:val="cs-CZ"/>
        </w:rPr>
        <w:t xml:space="preserve">Na základě </w:t>
      </w:r>
      <w:r w:rsidR="005D1622">
        <w:rPr>
          <w:rFonts w:cs="Arial"/>
          <w:lang w:val="cs-CZ"/>
        </w:rPr>
        <w:t>s</w:t>
      </w:r>
      <w:r w:rsidRPr="00FD304C">
        <w:rPr>
          <w:rFonts w:cs="Arial"/>
          <w:lang w:val="cs-CZ"/>
        </w:rPr>
        <w:t xml:space="preserve">mlouvy o spolupráci uzavřené mezi Zdravotní pojišťovnou ministerstva vnitra České republiky a ČPZP mohou od roku 2012 </w:t>
      </w:r>
      <w:r w:rsidR="002A626B" w:rsidRPr="00FD304C">
        <w:rPr>
          <w:rFonts w:cs="Arial"/>
          <w:lang w:val="cs-CZ"/>
        </w:rPr>
        <w:t xml:space="preserve">pojištěnci </w:t>
      </w:r>
      <w:r w:rsidRPr="00FD304C">
        <w:rPr>
          <w:rFonts w:cs="Arial"/>
          <w:lang w:val="cs-CZ"/>
        </w:rPr>
        <w:t xml:space="preserve">ČPZP využívat elektronickou službu </w:t>
      </w:r>
      <w:r w:rsidRPr="00A84866">
        <w:rPr>
          <w:rFonts w:cs="Arial"/>
          <w:i/>
          <w:lang w:val="cs-CZ"/>
        </w:rPr>
        <w:t>Karta života</w:t>
      </w:r>
      <w:r w:rsidRPr="00FD304C">
        <w:rPr>
          <w:rFonts w:cs="Arial"/>
          <w:lang w:val="cs-CZ"/>
        </w:rPr>
        <w:t>, která obsahuje soubor důležitých informací o zdraví pojištěnce a</w:t>
      </w:r>
      <w:r w:rsidR="002A626B" w:rsidRPr="00FD304C">
        <w:rPr>
          <w:rFonts w:cs="Arial"/>
          <w:lang w:val="cs-CZ"/>
        </w:rPr>
        <w:t> </w:t>
      </w:r>
      <w:r w:rsidRPr="00FD304C">
        <w:rPr>
          <w:rFonts w:cs="Arial"/>
          <w:lang w:val="cs-CZ"/>
        </w:rPr>
        <w:t>zároveň nabízí osobní účet pojištěnce (přehled celkové vykázané péče na pojištěnce) a</w:t>
      </w:r>
      <w:r w:rsidR="002A626B" w:rsidRPr="00FD304C">
        <w:rPr>
          <w:rFonts w:cs="Arial"/>
          <w:lang w:val="cs-CZ"/>
        </w:rPr>
        <w:t> </w:t>
      </w:r>
      <w:r w:rsidRPr="00FD304C">
        <w:rPr>
          <w:rFonts w:cs="Arial"/>
          <w:lang w:val="cs-CZ"/>
        </w:rPr>
        <w:t>přehled poplatků u</w:t>
      </w:r>
      <w:r w:rsidR="00C932A7" w:rsidRPr="00FD304C">
        <w:rPr>
          <w:rFonts w:cs="Arial"/>
          <w:lang w:val="cs-CZ"/>
        </w:rPr>
        <w:t> </w:t>
      </w:r>
      <w:r w:rsidRPr="00FD304C">
        <w:rPr>
          <w:rFonts w:cs="Arial"/>
          <w:lang w:val="cs-CZ"/>
        </w:rPr>
        <w:t xml:space="preserve">lékaře. Do projektu </w:t>
      </w:r>
      <w:r w:rsidRPr="00A84866">
        <w:rPr>
          <w:rFonts w:cs="Arial"/>
          <w:i/>
          <w:lang w:val="cs-CZ"/>
        </w:rPr>
        <w:t>Karta života</w:t>
      </w:r>
      <w:r w:rsidRPr="00FD304C">
        <w:rPr>
          <w:rFonts w:cs="Arial"/>
          <w:lang w:val="cs-CZ"/>
        </w:rPr>
        <w:t xml:space="preserve"> bylo v roce 2012 zapojeno pouze 0,65</w:t>
      </w:r>
      <w:r w:rsidR="002A626B" w:rsidRPr="00FD304C">
        <w:rPr>
          <w:rFonts w:cs="Arial"/>
          <w:lang w:val="cs-CZ"/>
        </w:rPr>
        <w:t> </w:t>
      </w:r>
      <w:r w:rsidRPr="00FD304C">
        <w:rPr>
          <w:rFonts w:cs="Arial"/>
          <w:lang w:val="cs-CZ"/>
        </w:rPr>
        <w:t xml:space="preserve">% z celkového počtu smluvních praktických lékařů. ČPZP </w:t>
      </w:r>
      <w:r w:rsidR="002A626B" w:rsidRPr="00FD304C">
        <w:rPr>
          <w:rFonts w:cs="Arial"/>
          <w:lang w:val="cs-CZ"/>
        </w:rPr>
        <w:t>od r</w:t>
      </w:r>
      <w:r w:rsidRPr="00FD304C">
        <w:rPr>
          <w:rFonts w:cs="Arial"/>
          <w:lang w:val="cs-CZ"/>
        </w:rPr>
        <w:t>oku 20</w:t>
      </w:r>
      <w:r w:rsidR="002A626B" w:rsidRPr="00FD304C">
        <w:rPr>
          <w:rFonts w:cs="Arial"/>
          <w:lang w:val="cs-CZ"/>
        </w:rPr>
        <w:t>12</w:t>
      </w:r>
      <w:r w:rsidRPr="00FD304C">
        <w:rPr>
          <w:rFonts w:cs="Arial"/>
          <w:lang w:val="cs-CZ"/>
        </w:rPr>
        <w:t xml:space="preserve"> do 30. 9. 2013 uhradila ze základního fondu smluvním praktickým lékařům registrovaný</w:t>
      </w:r>
      <w:r w:rsidR="005D1622">
        <w:rPr>
          <w:rFonts w:cs="Arial"/>
          <w:lang w:val="cs-CZ"/>
        </w:rPr>
        <w:t>m</w:t>
      </w:r>
      <w:r w:rsidRPr="00FD304C">
        <w:rPr>
          <w:rFonts w:cs="Arial"/>
          <w:lang w:val="cs-CZ"/>
        </w:rPr>
        <w:t xml:space="preserve"> v projektu </w:t>
      </w:r>
      <w:r w:rsidRPr="00A84866">
        <w:rPr>
          <w:rFonts w:cs="Arial"/>
          <w:i/>
          <w:lang w:val="cs-CZ"/>
        </w:rPr>
        <w:t>Karta života</w:t>
      </w:r>
      <w:r w:rsidRPr="00FD304C">
        <w:rPr>
          <w:rFonts w:cs="Arial"/>
          <w:lang w:val="cs-CZ"/>
        </w:rPr>
        <w:t xml:space="preserve"> celkem 51 000 Kč.</w:t>
      </w:r>
    </w:p>
    <w:p w:rsidR="005C2C05" w:rsidRPr="00FD304C" w:rsidRDefault="005C2C05" w:rsidP="00FD304C">
      <w:pPr>
        <w:rPr>
          <w:rFonts w:cs="Arial"/>
          <w:lang w:val="cs-CZ"/>
        </w:rPr>
      </w:pPr>
    </w:p>
    <w:p w:rsidR="000053E7" w:rsidRPr="00FD304C" w:rsidRDefault="009F58F7" w:rsidP="00FD304C">
      <w:pPr>
        <w:rPr>
          <w:rFonts w:cs="Arial"/>
          <w:b/>
          <w:lang w:val="cs-CZ"/>
        </w:rPr>
      </w:pPr>
      <w:r w:rsidRPr="00FD304C">
        <w:rPr>
          <w:rFonts w:cs="Arial"/>
          <w:b/>
          <w:lang w:val="cs-CZ"/>
        </w:rPr>
        <w:t>4.2</w:t>
      </w:r>
      <w:r w:rsidR="00333DF7" w:rsidRPr="00FD304C">
        <w:rPr>
          <w:rFonts w:cs="Arial"/>
          <w:b/>
          <w:lang w:val="cs-CZ"/>
        </w:rPr>
        <w:t xml:space="preserve"> </w:t>
      </w:r>
      <w:r w:rsidR="000053E7" w:rsidRPr="00FD304C">
        <w:rPr>
          <w:rFonts w:cs="Arial"/>
          <w:b/>
          <w:lang w:val="cs-CZ"/>
        </w:rPr>
        <w:t>Rezervní fond</w:t>
      </w:r>
    </w:p>
    <w:p w:rsidR="009639A1" w:rsidRDefault="009639A1" w:rsidP="00FD304C">
      <w:pPr>
        <w:rPr>
          <w:rFonts w:cs="Arial"/>
          <w:lang w:val="cs-CZ"/>
        </w:rPr>
      </w:pPr>
    </w:p>
    <w:p w:rsidR="005355E1" w:rsidRPr="00FD304C" w:rsidRDefault="000053E7" w:rsidP="00FD304C">
      <w:pPr>
        <w:rPr>
          <w:rFonts w:cs="Arial"/>
          <w:lang w:val="cs-CZ"/>
        </w:rPr>
      </w:pPr>
      <w:r w:rsidRPr="00FD304C">
        <w:rPr>
          <w:rFonts w:cs="Arial"/>
          <w:lang w:val="cs-CZ"/>
        </w:rPr>
        <w:t>Rezervní fond slouží ke krytí schodků základního fondu a ke krytí hrazených služeb v případ</w:t>
      </w:r>
      <w:r w:rsidR="005D1622">
        <w:rPr>
          <w:rFonts w:cs="Arial"/>
          <w:lang w:val="cs-CZ"/>
        </w:rPr>
        <w:t>ě</w:t>
      </w:r>
      <w:r w:rsidRPr="00FD304C">
        <w:rPr>
          <w:rFonts w:cs="Arial"/>
          <w:lang w:val="cs-CZ"/>
        </w:rPr>
        <w:t xml:space="preserve"> výskytu hromadných onemocnění a přírodních katastrof. </w:t>
      </w:r>
      <w:r w:rsidR="000541FE" w:rsidRPr="00FD304C">
        <w:rPr>
          <w:rFonts w:cs="Arial"/>
          <w:lang w:val="cs-CZ"/>
        </w:rPr>
        <w:t>Výše rezervního fondu podle zákona</w:t>
      </w:r>
      <w:r w:rsidR="000541FE" w:rsidRPr="00FD304C">
        <w:rPr>
          <w:rFonts w:cs="Arial"/>
          <w:vertAlign w:val="superscript"/>
          <w:lang w:val="cs-CZ"/>
        </w:rPr>
        <w:t>1</w:t>
      </w:r>
      <w:r w:rsidR="000541FE" w:rsidRPr="00FD304C">
        <w:rPr>
          <w:rFonts w:cs="Arial"/>
          <w:lang w:val="cs-CZ"/>
        </w:rPr>
        <w:t xml:space="preserve"> činí 1,5 % průměrných ročních výdajů základního fondu za bezprostředně předcházející tři kalendářní roky.</w:t>
      </w:r>
      <w:r w:rsidR="009639A1">
        <w:rPr>
          <w:rFonts w:cs="Arial"/>
          <w:lang w:val="cs-CZ"/>
        </w:rPr>
        <w:t xml:space="preserve"> </w:t>
      </w:r>
    </w:p>
    <w:p w:rsidR="005D1622" w:rsidRDefault="005D1622" w:rsidP="00FD304C">
      <w:pPr>
        <w:rPr>
          <w:rFonts w:cs="Arial"/>
          <w:lang w:val="cs-CZ"/>
        </w:rPr>
      </w:pPr>
    </w:p>
    <w:p w:rsidR="000053E7" w:rsidRPr="00FD304C" w:rsidRDefault="000053E7" w:rsidP="00FD304C">
      <w:pPr>
        <w:rPr>
          <w:rFonts w:cs="Arial"/>
          <w:lang w:val="cs-CZ"/>
        </w:rPr>
      </w:pPr>
      <w:r w:rsidRPr="00FD304C">
        <w:rPr>
          <w:rFonts w:cs="Arial"/>
          <w:lang w:val="cs-CZ"/>
        </w:rPr>
        <w:t xml:space="preserve">Výše rezervního fondu ČPZP </w:t>
      </w:r>
      <w:r w:rsidR="000C5732" w:rsidRPr="00FD304C">
        <w:rPr>
          <w:rFonts w:cs="Arial"/>
          <w:lang w:val="cs-CZ"/>
        </w:rPr>
        <w:t xml:space="preserve">se </w:t>
      </w:r>
      <w:r w:rsidRPr="00FD304C">
        <w:rPr>
          <w:rFonts w:cs="Arial"/>
          <w:lang w:val="cs-CZ"/>
        </w:rPr>
        <w:t>v období let 2009 až 2012 pohybovala v rozmezí 158</w:t>
      </w:r>
      <w:r w:rsidR="000C5C98" w:rsidRPr="00FD304C">
        <w:rPr>
          <w:rFonts w:cs="Arial"/>
          <w:lang w:val="cs-CZ"/>
        </w:rPr>
        <w:t> </w:t>
      </w:r>
      <w:r w:rsidRPr="00FD304C">
        <w:rPr>
          <w:rFonts w:cs="Arial"/>
          <w:lang w:val="cs-CZ"/>
        </w:rPr>
        <w:t>148</w:t>
      </w:r>
      <w:r w:rsidR="000C5C98" w:rsidRPr="00FD304C">
        <w:rPr>
          <w:rFonts w:cs="Arial"/>
          <w:lang w:val="cs-CZ"/>
        </w:rPr>
        <w:t> </w:t>
      </w:r>
      <w:r w:rsidRPr="00FD304C">
        <w:rPr>
          <w:rFonts w:cs="Arial"/>
          <w:lang w:val="cs-CZ"/>
        </w:rPr>
        <w:t>tis. Kč k 31. prosinci 2009 až 325 470 tis. Kč k 31. prosinci 2012. ČPZP</w:t>
      </w:r>
      <w:r w:rsidR="00A77B0B" w:rsidRPr="00FD304C">
        <w:rPr>
          <w:rFonts w:cs="Arial"/>
          <w:lang w:val="cs-CZ"/>
        </w:rPr>
        <w:t xml:space="preserve"> neudržovala v letech 2009 až 2011 rezervní fond v zákonem</w:t>
      </w:r>
      <w:r w:rsidR="00A77B0B" w:rsidRPr="00FD304C">
        <w:rPr>
          <w:rFonts w:cs="Arial"/>
          <w:vertAlign w:val="superscript"/>
          <w:lang w:val="cs-CZ"/>
        </w:rPr>
        <w:t>1</w:t>
      </w:r>
      <w:r w:rsidR="00A77B0B" w:rsidRPr="00FD304C">
        <w:rPr>
          <w:rFonts w:cs="Arial"/>
          <w:lang w:val="cs-CZ"/>
        </w:rPr>
        <w:t xml:space="preserve"> stanovené výši, nicméně se nejednalo o</w:t>
      </w:r>
      <w:r w:rsidR="00A84866">
        <w:rPr>
          <w:rFonts w:cs="Arial"/>
          <w:lang w:val="cs-CZ"/>
        </w:rPr>
        <w:t> </w:t>
      </w:r>
      <w:r w:rsidR="00A77B0B" w:rsidRPr="00FD304C">
        <w:rPr>
          <w:rFonts w:cs="Arial"/>
          <w:lang w:val="cs-CZ"/>
        </w:rPr>
        <w:t>významné odchylky</w:t>
      </w:r>
      <w:r w:rsidR="009639A1">
        <w:rPr>
          <w:rFonts w:cs="Arial"/>
          <w:lang w:val="cs-CZ"/>
        </w:rPr>
        <w:t>;</w:t>
      </w:r>
      <w:r w:rsidR="00A77B0B" w:rsidRPr="00FD304C">
        <w:rPr>
          <w:rFonts w:cs="Arial"/>
          <w:lang w:val="cs-CZ"/>
        </w:rPr>
        <w:t xml:space="preserve"> nejvyšší z nich v roce 2009 dosáhla 0,4 % výše tohoto fondu.</w:t>
      </w:r>
    </w:p>
    <w:p w:rsidR="000053E7" w:rsidRPr="00FD304C" w:rsidRDefault="000053E7" w:rsidP="00FD304C">
      <w:pPr>
        <w:rPr>
          <w:rFonts w:cs="Arial"/>
          <w:lang w:val="cs-CZ"/>
        </w:rPr>
      </w:pPr>
    </w:p>
    <w:p w:rsidR="007D02E0" w:rsidRDefault="007D02E0">
      <w:pPr>
        <w:spacing w:after="200" w:line="276" w:lineRule="auto"/>
        <w:jc w:val="left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br w:type="page"/>
      </w:r>
    </w:p>
    <w:p w:rsidR="000053E7" w:rsidRPr="00FD304C" w:rsidRDefault="009F58F7" w:rsidP="00FD304C">
      <w:pPr>
        <w:rPr>
          <w:rFonts w:cs="Arial"/>
          <w:b/>
          <w:lang w:val="cs-CZ"/>
        </w:rPr>
      </w:pPr>
      <w:r w:rsidRPr="00FD304C">
        <w:rPr>
          <w:rFonts w:cs="Arial"/>
          <w:b/>
          <w:lang w:val="cs-CZ"/>
        </w:rPr>
        <w:lastRenderedPageBreak/>
        <w:t>4.3</w:t>
      </w:r>
      <w:r w:rsidR="00251454" w:rsidRPr="00FD304C">
        <w:rPr>
          <w:rFonts w:cs="Arial"/>
          <w:b/>
          <w:lang w:val="cs-CZ"/>
        </w:rPr>
        <w:t xml:space="preserve"> </w:t>
      </w:r>
      <w:r w:rsidR="000053E7" w:rsidRPr="00FD304C">
        <w:rPr>
          <w:rFonts w:cs="Arial"/>
          <w:b/>
          <w:lang w:val="cs-CZ"/>
        </w:rPr>
        <w:t>Provozní fond</w:t>
      </w:r>
    </w:p>
    <w:p w:rsidR="009639A1" w:rsidRDefault="009639A1" w:rsidP="00FD304C">
      <w:pPr>
        <w:rPr>
          <w:rFonts w:cs="Arial"/>
          <w:szCs w:val="22"/>
          <w:lang w:val="cs-CZ"/>
        </w:rPr>
      </w:pPr>
    </w:p>
    <w:p w:rsidR="003A6C13" w:rsidRPr="00FD304C" w:rsidRDefault="000053E7" w:rsidP="00FD304C">
      <w:pPr>
        <w:rPr>
          <w:rFonts w:cs="Arial"/>
          <w:lang w:val="cs-CZ"/>
        </w:rPr>
      </w:pPr>
      <w:r w:rsidRPr="00FD304C">
        <w:rPr>
          <w:rFonts w:cs="Arial"/>
          <w:szCs w:val="22"/>
          <w:lang w:val="cs-CZ"/>
        </w:rPr>
        <w:t xml:space="preserve">Provozní fond </w:t>
      </w:r>
      <w:r w:rsidR="008E588B" w:rsidRPr="00FD304C">
        <w:rPr>
          <w:rFonts w:cs="Arial"/>
          <w:szCs w:val="22"/>
          <w:lang w:val="cs-CZ"/>
        </w:rPr>
        <w:t xml:space="preserve">slouží </w:t>
      </w:r>
      <w:r w:rsidRPr="00FD304C">
        <w:rPr>
          <w:rFonts w:cs="Arial"/>
          <w:szCs w:val="22"/>
          <w:lang w:val="cs-CZ"/>
        </w:rPr>
        <w:t>k</w:t>
      </w:r>
      <w:r w:rsidR="004C5F2B" w:rsidRPr="00FD304C">
        <w:rPr>
          <w:rFonts w:cs="Arial"/>
          <w:szCs w:val="22"/>
          <w:lang w:val="cs-CZ"/>
        </w:rPr>
        <w:t xml:space="preserve"> úhradě nákladů na </w:t>
      </w:r>
      <w:r w:rsidRPr="00FD304C">
        <w:rPr>
          <w:rFonts w:cs="Arial"/>
          <w:szCs w:val="22"/>
          <w:lang w:val="cs-CZ"/>
        </w:rPr>
        <w:t>činnost</w:t>
      </w:r>
      <w:r w:rsidR="008E588B" w:rsidRPr="00FD304C">
        <w:rPr>
          <w:rFonts w:cs="Arial"/>
          <w:szCs w:val="22"/>
          <w:lang w:val="cs-CZ"/>
        </w:rPr>
        <w:t xml:space="preserve"> zdravotní pojišťovny</w:t>
      </w:r>
      <w:r w:rsidRPr="00FD304C">
        <w:rPr>
          <w:rFonts w:cs="Arial"/>
          <w:szCs w:val="22"/>
          <w:lang w:val="cs-CZ"/>
        </w:rPr>
        <w:t>.</w:t>
      </w:r>
      <w:r w:rsidRPr="00FD304C">
        <w:rPr>
          <w:rFonts w:cs="Arial"/>
          <w:color w:val="4F81BD"/>
          <w:szCs w:val="22"/>
          <w:lang w:val="cs-CZ"/>
        </w:rPr>
        <w:t xml:space="preserve"> </w:t>
      </w:r>
      <w:r w:rsidRPr="00FD304C">
        <w:rPr>
          <w:rFonts w:cs="Arial"/>
          <w:szCs w:val="22"/>
          <w:lang w:val="cs-CZ"/>
        </w:rPr>
        <w:t xml:space="preserve">Zdrojem provozního fondu jsou především příděly ze základního fondu maximálně do výše ročního limitu nákladů na činnost zdravotní pojišťovny stanoveného dle vyhlášky č. 418/2003 </w:t>
      </w:r>
      <w:proofErr w:type="gramStart"/>
      <w:r w:rsidRPr="00FD304C">
        <w:rPr>
          <w:rFonts w:cs="Arial"/>
          <w:szCs w:val="22"/>
          <w:lang w:val="cs-CZ"/>
        </w:rPr>
        <w:t>Sb.</w:t>
      </w:r>
      <w:r w:rsidR="00CC54A4" w:rsidRPr="00FD304C">
        <w:rPr>
          <w:rFonts w:cs="Arial"/>
          <w:szCs w:val="22"/>
          <w:vertAlign w:val="superscript"/>
          <w:lang w:val="cs-CZ"/>
        </w:rPr>
        <w:t>1</w:t>
      </w:r>
      <w:r w:rsidR="001F0BE8" w:rsidRPr="00FD304C">
        <w:rPr>
          <w:rFonts w:cs="Arial"/>
          <w:szCs w:val="22"/>
          <w:vertAlign w:val="superscript"/>
          <w:lang w:val="cs-CZ"/>
        </w:rPr>
        <w:t>2</w:t>
      </w:r>
      <w:proofErr w:type="gramEnd"/>
      <w:r w:rsidR="00400EBC" w:rsidRPr="00FD304C">
        <w:rPr>
          <w:rFonts w:cs="Arial"/>
          <w:szCs w:val="22"/>
          <w:lang w:val="cs-CZ"/>
        </w:rPr>
        <w:t xml:space="preserve"> </w:t>
      </w:r>
      <w:r w:rsidRPr="00FD304C">
        <w:rPr>
          <w:rFonts w:cs="Arial"/>
          <w:lang w:val="cs-CZ"/>
        </w:rPr>
        <w:t xml:space="preserve">Příděly do provozního fondu </w:t>
      </w:r>
      <w:r w:rsidR="002D612F" w:rsidRPr="00FD304C">
        <w:rPr>
          <w:rFonts w:cs="Arial"/>
          <w:lang w:val="cs-CZ"/>
        </w:rPr>
        <w:t>se ve sledovaném období meziročně zvyšovaly; za</w:t>
      </w:r>
      <w:r w:rsidR="005D1622">
        <w:rPr>
          <w:rFonts w:cs="Arial"/>
          <w:lang w:val="cs-CZ"/>
        </w:rPr>
        <w:t xml:space="preserve"> </w:t>
      </w:r>
      <w:r w:rsidR="002D612F" w:rsidRPr="00FD304C">
        <w:rPr>
          <w:rFonts w:cs="Arial"/>
          <w:lang w:val="cs-CZ"/>
        </w:rPr>
        <w:t xml:space="preserve">rok 2009 </w:t>
      </w:r>
      <w:r w:rsidR="00853E58" w:rsidRPr="00FD304C">
        <w:rPr>
          <w:rFonts w:cs="Arial"/>
          <w:lang w:val="cs-CZ"/>
        </w:rPr>
        <w:t>činily</w:t>
      </w:r>
      <w:r w:rsidR="002D612F" w:rsidRPr="00FD304C">
        <w:rPr>
          <w:rFonts w:cs="Arial"/>
          <w:lang w:val="cs-CZ"/>
        </w:rPr>
        <w:t xml:space="preserve"> </w:t>
      </w:r>
      <w:r w:rsidR="00770229">
        <w:rPr>
          <w:rFonts w:cs="Arial"/>
          <w:lang w:val="cs-CZ"/>
        </w:rPr>
        <w:t>289 172 tis. </w:t>
      </w:r>
      <w:r w:rsidRPr="00FD304C">
        <w:rPr>
          <w:rFonts w:cs="Arial"/>
          <w:lang w:val="cs-CZ"/>
        </w:rPr>
        <w:t xml:space="preserve">Kč </w:t>
      </w:r>
      <w:r w:rsidR="002D612F" w:rsidRPr="00FD304C">
        <w:rPr>
          <w:rFonts w:cs="Arial"/>
          <w:lang w:val="cs-CZ"/>
        </w:rPr>
        <w:t xml:space="preserve">a </w:t>
      </w:r>
      <w:r w:rsidRPr="00FD304C">
        <w:rPr>
          <w:rFonts w:cs="Arial"/>
          <w:lang w:val="cs-CZ"/>
        </w:rPr>
        <w:t xml:space="preserve">za rok </w:t>
      </w:r>
      <w:r w:rsidR="002D612F" w:rsidRPr="00FD304C">
        <w:rPr>
          <w:rFonts w:cs="Arial"/>
          <w:lang w:val="cs-CZ"/>
        </w:rPr>
        <w:t xml:space="preserve">2012 dosáhly </w:t>
      </w:r>
      <w:r w:rsidRPr="00FD304C">
        <w:rPr>
          <w:rFonts w:cs="Arial"/>
          <w:lang w:val="cs-CZ"/>
        </w:rPr>
        <w:t>601</w:t>
      </w:r>
      <w:r w:rsidR="00770229">
        <w:rPr>
          <w:rFonts w:cs="Arial"/>
          <w:lang w:val="cs-CZ"/>
        </w:rPr>
        <w:t> 827 tis. </w:t>
      </w:r>
      <w:r w:rsidRPr="00FD304C">
        <w:rPr>
          <w:rFonts w:cs="Arial"/>
          <w:lang w:val="cs-CZ"/>
        </w:rPr>
        <w:t>Kč.</w:t>
      </w:r>
      <w:r w:rsidR="008E588B" w:rsidRPr="00FD304C">
        <w:rPr>
          <w:rFonts w:cs="Arial"/>
          <w:lang w:val="cs-CZ"/>
        </w:rPr>
        <w:t xml:space="preserve"> </w:t>
      </w:r>
      <w:r w:rsidRPr="00FD304C">
        <w:rPr>
          <w:rFonts w:cs="Arial"/>
          <w:lang w:val="cs-CZ"/>
        </w:rPr>
        <w:t xml:space="preserve"> </w:t>
      </w:r>
    </w:p>
    <w:p w:rsidR="00D143FF" w:rsidRPr="00FD304C" w:rsidRDefault="00D143FF" w:rsidP="00FD304C">
      <w:pPr>
        <w:rPr>
          <w:rFonts w:cs="Arial"/>
          <w:szCs w:val="22"/>
          <w:lang w:val="cs-CZ"/>
        </w:rPr>
      </w:pPr>
    </w:p>
    <w:p w:rsidR="000053E7" w:rsidRPr="00FD304C" w:rsidRDefault="00A71383" w:rsidP="00FD304C">
      <w:pPr>
        <w:rPr>
          <w:rFonts w:cs="Arial"/>
          <w:szCs w:val="22"/>
          <w:lang w:val="cs-CZ"/>
        </w:rPr>
      </w:pPr>
      <w:r w:rsidRPr="00FD304C">
        <w:rPr>
          <w:rFonts w:cs="Arial"/>
          <w:szCs w:val="22"/>
          <w:lang w:val="cs-CZ"/>
        </w:rPr>
        <w:t>Za systémové opatření k posílení prostředků základního fondu nelze považovat</w:t>
      </w:r>
      <w:r w:rsidR="003A6C13" w:rsidRPr="00FD304C">
        <w:rPr>
          <w:rFonts w:cs="Arial"/>
          <w:szCs w:val="22"/>
          <w:lang w:val="cs-CZ"/>
        </w:rPr>
        <w:t xml:space="preserve"> uzavření </w:t>
      </w:r>
      <w:r w:rsidR="00131D6D">
        <w:rPr>
          <w:rFonts w:cs="Arial"/>
          <w:szCs w:val="22"/>
          <w:lang w:val="cs-CZ"/>
        </w:rPr>
        <w:t>d</w:t>
      </w:r>
      <w:r w:rsidR="003A6C13" w:rsidRPr="00FD304C">
        <w:rPr>
          <w:rFonts w:cs="Arial"/>
          <w:szCs w:val="22"/>
          <w:lang w:val="cs-CZ"/>
        </w:rPr>
        <w:t>ohody</w:t>
      </w:r>
      <w:r w:rsidR="00DF5E6A" w:rsidRPr="00FD304C">
        <w:rPr>
          <w:rStyle w:val="Znakapoznpodarou"/>
          <w:rFonts w:cs="Arial"/>
          <w:szCs w:val="22"/>
          <w:lang w:val="cs-CZ"/>
        </w:rPr>
        <w:footnoteReference w:id="15"/>
      </w:r>
      <w:r w:rsidR="003A6C13" w:rsidRPr="00FD304C">
        <w:rPr>
          <w:rFonts w:cs="Arial"/>
          <w:szCs w:val="22"/>
          <w:lang w:val="cs-CZ"/>
        </w:rPr>
        <w:t xml:space="preserve"> mezi zdravotními pojišťovnami a MZ, </w:t>
      </w:r>
      <w:r w:rsidR="00DF5E6A" w:rsidRPr="00FD304C">
        <w:rPr>
          <w:rFonts w:cs="Arial"/>
          <w:szCs w:val="22"/>
          <w:lang w:val="cs-CZ"/>
        </w:rPr>
        <w:t xml:space="preserve">na </w:t>
      </w:r>
      <w:r w:rsidR="00131D6D">
        <w:rPr>
          <w:rFonts w:cs="Arial"/>
          <w:szCs w:val="22"/>
          <w:lang w:val="cs-CZ"/>
        </w:rPr>
        <w:t xml:space="preserve">jejímž </w:t>
      </w:r>
      <w:r w:rsidR="00DF5E6A" w:rsidRPr="00FD304C">
        <w:rPr>
          <w:rFonts w:cs="Arial"/>
          <w:szCs w:val="22"/>
          <w:lang w:val="cs-CZ"/>
        </w:rPr>
        <w:t>základě došlo ke</w:t>
      </w:r>
      <w:r w:rsidR="003A6C13" w:rsidRPr="00FD304C">
        <w:rPr>
          <w:rFonts w:cs="Arial"/>
          <w:szCs w:val="22"/>
          <w:lang w:val="cs-CZ"/>
        </w:rPr>
        <w:t xml:space="preserve"> snížení procenta (resp. koeficientu) ročního maximálního limitu nákladů na činnost za rok 2009 o</w:t>
      </w:r>
      <w:r w:rsidR="00464273" w:rsidRPr="00FD304C">
        <w:rPr>
          <w:rFonts w:cs="Arial"/>
          <w:szCs w:val="22"/>
          <w:lang w:val="cs-CZ"/>
        </w:rPr>
        <w:t> </w:t>
      </w:r>
      <w:r w:rsidR="003A6C13" w:rsidRPr="00FD304C">
        <w:rPr>
          <w:rFonts w:cs="Arial"/>
          <w:szCs w:val="22"/>
          <w:lang w:val="cs-CZ"/>
        </w:rPr>
        <w:t>0,25</w:t>
      </w:r>
      <w:r w:rsidR="00464273" w:rsidRPr="00FD304C">
        <w:rPr>
          <w:rFonts w:cs="Arial"/>
          <w:szCs w:val="22"/>
          <w:lang w:val="cs-CZ"/>
        </w:rPr>
        <w:t> </w:t>
      </w:r>
      <w:r w:rsidR="003A6C13" w:rsidRPr="00FD304C">
        <w:rPr>
          <w:rFonts w:cs="Arial"/>
          <w:szCs w:val="22"/>
          <w:lang w:val="cs-CZ"/>
        </w:rPr>
        <w:t>procentního bodu a za rok 2010 o 0,50 procentního bodu.</w:t>
      </w:r>
      <w:r w:rsidR="009639A1">
        <w:rPr>
          <w:rFonts w:cs="Arial"/>
          <w:szCs w:val="22"/>
          <w:lang w:val="cs-CZ"/>
        </w:rPr>
        <w:t xml:space="preserve"> </w:t>
      </w:r>
      <w:r w:rsidR="000053E7" w:rsidRPr="00FD304C">
        <w:rPr>
          <w:rFonts w:cs="Arial"/>
          <w:szCs w:val="22"/>
          <w:lang w:val="cs-CZ"/>
        </w:rPr>
        <w:t>ČPZP snížila roční limit nákladů na činnost v souladu s </w:t>
      </w:r>
      <w:r w:rsidR="00131D6D">
        <w:rPr>
          <w:rFonts w:cs="Arial"/>
          <w:szCs w:val="22"/>
          <w:lang w:val="cs-CZ"/>
        </w:rPr>
        <w:t>touto dohodou o </w:t>
      </w:r>
      <w:r w:rsidR="000053E7" w:rsidRPr="00FD304C">
        <w:rPr>
          <w:rFonts w:cs="Arial"/>
          <w:szCs w:val="22"/>
          <w:lang w:val="cs-CZ"/>
        </w:rPr>
        <w:t>21 015</w:t>
      </w:r>
      <w:r w:rsidR="00131D6D">
        <w:rPr>
          <w:rFonts w:cs="Arial"/>
          <w:szCs w:val="22"/>
          <w:lang w:val="cs-CZ"/>
        </w:rPr>
        <w:t> </w:t>
      </w:r>
      <w:r w:rsidR="000053E7" w:rsidRPr="00FD304C">
        <w:rPr>
          <w:rFonts w:cs="Arial"/>
          <w:szCs w:val="22"/>
          <w:lang w:val="cs-CZ"/>
        </w:rPr>
        <w:t>384</w:t>
      </w:r>
      <w:r w:rsidR="00131D6D">
        <w:rPr>
          <w:rFonts w:cs="Arial"/>
          <w:szCs w:val="22"/>
          <w:lang w:val="cs-CZ"/>
        </w:rPr>
        <w:t> </w:t>
      </w:r>
      <w:r w:rsidR="000053E7" w:rsidRPr="00FD304C">
        <w:rPr>
          <w:rFonts w:cs="Arial"/>
          <w:szCs w:val="22"/>
          <w:lang w:val="cs-CZ"/>
        </w:rPr>
        <w:t>Kč za rok 2009 a</w:t>
      </w:r>
      <w:r w:rsidR="007D02E0">
        <w:rPr>
          <w:rFonts w:cs="Arial"/>
          <w:szCs w:val="22"/>
          <w:lang w:val="cs-CZ"/>
        </w:rPr>
        <w:t> </w:t>
      </w:r>
      <w:r w:rsidR="000053E7" w:rsidRPr="00FD304C">
        <w:rPr>
          <w:rFonts w:cs="Arial"/>
          <w:szCs w:val="22"/>
          <w:lang w:val="cs-CZ"/>
        </w:rPr>
        <w:t>o</w:t>
      </w:r>
      <w:r w:rsidR="007D02E0">
        <w:rPr>
          <w:rFonts w:cs="Arial"/>
          <w:szCs w:val="22"/>
          <w:lang w:val="cs-CZ"/>
        </w:rPr>
        <w:t> </w:t>
      </w:r>
      <w:r w:rsidR="000053E7" w:rsidRPr="00FD304C">
        <w:rPr>
          <w:rFonts w:cs="Arial"/>
          <w:szCs w:val="22"/>
          <w:lang w:val="cs-CZ"/>
        </w:rPr>
        <w:t>65 824 283</w:t>
      </w:r>
      <w:r w:rsidR="007D02E0">
        <w:rPr>
          <w:rFonts w:cs="Arial"/>
          <w:szCs w:val="22"/>
          <w:lang w:val="cs-CZ"/>
        </w:rPr>
        <w:t> </w:t>
      </w:r>
      <w:r w:rsidR="000053E7" w:rsidRPr="00FD304C">
        <w:rPr>
          <w:rFonts w:cs="Arial"/>
          <w:szCs w:val="22"/>
          <w:lang w:val="cs-CZ"/>
        </w:rPr>
        <w:t xml:space="preserve">Kč za rok 2010 a tyto finanční prostředky nepřevedla ze základního fondu do provozního fondu. </w:t>
      </w:r>
      <w:r w:rsidR="00CF41A2" w:rsidRPr="00FD304C">
        <w:rPr>
          <w:rFonts w:cs="Arial"/>
          <w:szCs w:val="22"/>
          <w:lang w:val="cs-CZ"/>
        </w:rPr>
        <w:t>S</w:t>
      </w:r>
      <w:r w:rsidR="00CF41A2" w:rsidRPr="00FD304C">
        <w:rPr>
          <w:rFonts w:cs="Arial"/>
          <w:lang w:val="cs-CZ"/>
        </w:rPr>
        <w:t xml:space="preserve">nížení zdrojů provozního fondu </w:t>
      </w:r>
      <w:r w:rsidR="00B05EB9" w:rsidRPr="00FD304C">
        <w:rPr>
          <w:rFonts w:cs="Arial"/>
          <w:lang w:val="cs-CZ"/>
        </w:rPr>
        <w:t>bylo upraveno vyhláškou</w:t>
      </w:r>
      <w:r w:rsidR="00B05EB9" w:rsidRPr="00FD304C">
        <w:rPr>
          <w:rFonts w:cs="Arial"/>
          <w:vertAlign w:val="superscript"/>
          <w:lang w:val="cs-CZ"/>
        </w:rPr>
        <w:t>1</w:t>
      </w:r>
      <w:r w:rsidR="00F67CC1" w:rsidRPr="00FD304C">
        <w:rPr>
          <w:rFonts w:cs="Arial"/>
          <w:vertAlign w:val="superscript"/>
          <w:lang w:val="cs-CZ"/>
        </w:rPr>
        <w:t>2</w:t>
      </w:r>
      <w:r w:rsidR="00B05EB9" w:rsidRPr="00FD304C">
        <w:rPr>
          <w:rFonts w:cs="Arial"/>
          <w:lang w:val="cs-CZ"/>
        </w:rPr>
        <w:t xml:space="preserve"> až pro rok 2013.</w:t>
      </w:r>
    </w:p>
    <w:p w:rsidR="00400EBC" w:rsidRPr="00FD304C" w:rsidRDefault="00400EBC" w:rsidP="00FD304C">
      <w:pPr>
        <w:rPr>
          <w:rFonts w:cs="Arial"/>
          <w:lang w:val="cs-CZ"/>
        </w:rPr>
      </w:pPr>
    </w:p>
    <w:p w:rsidR="00400EBC" w:rsidRPr="00FD304C" w:rsidRDefault="00400EBC" w:rsidP="00FD304C">
      <w:pPr>
        <w:rPr>
          <w:rFonts w:cs="Arial"/>
          <w:lang w:val="cs-CZ"/>
        </w:rPr>
      </w:pPr>
      <w:r w:rsidRPr="00FD304C">
        <w:rPr>
          <w:rFonts w:cs="Arial"/>
          <w:lang w:val="cs-CZ"/>
        </w:rPr>
        <w:t>Čerpání provozního fondu v letech slučování zdravotních pojišťoven dosáhlo 346 845 tis. Kč v roce 2009 a 579 216 tis. Kč v roce 2012.</w:t>
      </w:r>
      <w:r w:rsidR="00DF5E6A" w:rsidRPr="00FD304C">
        <w:rPr>
          <w:rFonts w:cs="Arial"/>
          <w:lang w:val="cs-CZ"/>
        </w:rPr>
        <w:t xml:space="preserve"> Tabulka č. 10 obsahuje přehled čerpání provozního fondu za období, která nebyla poznamenána procesem slučování</w:t>
      </w:r>
      <w:r w:rsidR="00C938BC">
        <w:rPr>
          <w:rFonts w:cs="Arial"/>
          <w:lang w:val="cs-CZ"/>
        </w:rPr>
        <w:t>,</w:t>
      </w:r>
      <w:r w:rsidR="00F61C2B" w:rsidRPr="00FD304C">
        <w:rPr>
          <w:rFonts w:cs="Arial"/>
          <w:lang w:val="cs-CZ"/>
        </w:rPr>
        <w:t xml:space="preserve"> a</w:t>
      </w:r>
      <w:r w:rsidR="00DF5E6A" w:rsidRPr="00FD304C">
        <w:rPr>
          <w:rFonts w:cs="Arial"/>
          <w:lang w:val="cs-CZ"/>
        </w:rPr>
        <w:t xml:space="preserve"> </w:t>
      </w:r>
      <w:r w:rsidR="002D612F" w:rsidRPr="00FD304C">
        <w:rPr>
          <w:rFonts w:cs="Arial"/>
          <w:lang w:val="cs-CZ"/>
        </w:rPr>
        <w:t xml:space="preserve">jedná se proto o </w:t>
      </w:r>
      <w:r w:rsidR="00F61C2B" w:rsidRPr="00FD304C">
        <w:rPr>
          <w:rFonts w:cs="Arial"/>
          <w:lang w:val="cs-CZ"/>
        </w:rPr>
        <w:t>po</w:t>
      </w:r>
      <w:r w:rsidR="002D612F" w:rsidRPr="00FD304C">
        <w:rPr>
          <w:rFonts w:cs="Arial"/>
          <w:lang w:val="cs-CZ"/>
        </w:rPr>
        <w:t>rovnatelné údaje</w:t>
      </w:r>
      <w:r w:rsidR="00DF5E6A" w:rsidRPr="00FD304C">
        <w:rPr>
          <w:rFonts w:cs="Arial"/>
          <w:lang w:val="cs-CZ"/>
        </w:rPr>
        <w:t>.</w:t>
      </w:r>
    </w:p>
    <w:p w:rsidR="00276A74" w:rsidRPr="00FD304C" w:rsidRDefault="00276A74" w:rsidP="00FD304C">
      <w:pPr>
        <w:jc w:val="left"/>
        <w:rPr>
          <w:rFonts w:cs="Arial"/>
          <w:lang w:val="cs-CZ"/>
        </w:rPr>
      </w:pPr>
    </w:p>
    <w:p w:rsidR="000053E7" w:rsidRPr="00FD304C" w:rsidRDefault="000053E7" w:rsidP="005355E1">
      <w:pPr>
        <w:tabs>
          <w:tab w:val="left" w:pos="1418"/>
          <w:tab w:val="left" w:pos="1560"/>
          <w:tab w:val="right" w:pos="9072"/>
        </w:tabs>
        <w:spacing w:after="40"/>
        <w:ind w:left="1559" w:hanging="1559"/>
        <w:rPr>
          <w:rFonts w:cs="Arial"/>
          <w:b/>
          <w:lang w:val="cs-CZ"/>
        </w:rPr>
      </w:pPr>
      <w:r w:rsidRPr="00FD304C">
        <w:rPr>
          <w:rFonts w:cs="Arial"/>
          <w:b/>
          <w:lang w:val="cs-CZ"/>
        </w:rPr>
        <w:t>Tabulka č. 1</w:t>
      </w:r>
      <w:r w:rsidR="00400EBC" w:rsidRPr="00FD304C">
        <w:rPr>
          <w:rFonts w:cs="Arial"/>
          <w:b/>
          <w:lang w:val="cs-CZ"/>
        </w:rPr>
        <w:t>0</w:t>
      </w:r>
      <w:r w:rsidRPr="00FD304C">
        <w:rPr>
          <w:rFonts w:cs="Arial"/>
          <w:b/>
          <w:lang w:val="cs-CZ"/>
        </w:rPr>
        <w:tab/>
      </w:r>
      <w:r w:rsidR="00C932A7" w:rsidRPr="00FD304C">
        <w:rPr>
          <w:rFonts w:cs="Arial"/>
          <w:b/>
          <w:lang w:val="cs-CZ"/>
        </w:rPr>
        <w:t>–</w:t>
      </w:r>
      <w:r w:rsidR="00FF1DA4" w:rsidRPr="00FD304C">
        <w:rPr>
          <w:rFonts w:cs="Arial"/>
          <w:b/>
          <w:lang w:val="cs-CZ"/>
        </w:rPr>
        <w:t xml:space="preserve"> </w:t>
      </w:r>
      <w:r w:rsidRPr="00FD304C">
        <w:rPr>
          <w:rFonts w:cs="Arial"/>
          <w:b/>
          <w:lang w:val="cs-CZ"/>
        </w:rPr>
        <w:t xml:space="preserve">Přehled </w:t>
      </w:r>
      <w:r w:rsidR="00ED1C77">
        <w:rPr>
          <w:rFonts w:cs="Arial"/>
          <w:b/>
          <w:lang w:val="cs-CZ"/>
        </w:rPr>
        <w:t xml:space="preserve">čerpání </w:t>
      </w:r>
      <w:r w:rsidRPr="00FD304C">
        <w:rPr>
          <w:rFonts w:cs="Arial"/>
          <w:b/>
          <w:lang w:val="cs-CZ"/>
        </w:rPr>
        <w:t>významných položek provozního fondu ČPZP</w:t>
      </w:r>
    </w:p>
    <w:tbl>
      <w:tblPr>
        <w:tblW w:w="4919" w:type="pct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700"/>
        <w:gridCol w:w="1166"/>
        <w:gridCol w:w="1733"/>
        <w:gridCol w:w="1204"/>
      </w:tblGrid>
      <w:tr w:rsidR="000053E7" w:rsidRPr="00FD304C" w:rsidTr="005355E1">
        <w:trPr>
          <w:cantSplit/>
          <w:trHeight w:val="227"/>
          <w:jc w:val="center"/>
        </w:trPr>
        <w:tc>
          <w:tcPr>
            <w:tcW w:w="1799" w:type="pct"/>
            <w:vMerge w:val="restart"/>
            <w:shd w:val="clear" w:color="auto" w:fill="auto"/>
            <w:vAlign w:val="center"/>
          </w:tcPr>
          <w:p w:rsidR="000053E7" w:rsidRPr="00FD304C" w:rsidRDefault="000053E7" w:rsidP="005355E1">
            <w:pPr>
              <w:jc w:val="center"/>
              <w:rPr>
                <w:rFonts w:cs="Arial"/>
                <w:b/>
                <w:sz w:val="16"/>
                <w:szCs w:val="16"/>
                <w:lang w:val="cs-CZ"/>
              </w:rPr>
            </w:pPr>
            <w:r w:rsidRPr="00FD304C">
              <w:rPr>
                <w:rFonts w:cs="Arial"/>
                <w:b/>
                <w:sz w:val="16"/>
                <w:szCs w:val="16"/>
                <w:lang w:val="cs-CZ"/>
              </w:rPr>
              <w:t>Druh nákladů</w:t>
            </w:r>
          </w:p>
        </w:tc>
        <w:tc>
          <w:tcPr>
            <w:tcW w:w="1581" w:type="pct"/>
            <w:gridSpan w:val="2"/>
            <w:shd w:val="clear" w:color="auto" w:fill="auto"/>
            <w:vAlign w:val="center"/>
          </w:tcPr>
          <w:p w:rsidR="000053E7" w:rsidRPr="00FD304C" w:rsidRDefault="000053E7" w:rsidP="005355E1">
            <w:pPr>
              <w:jc w:val="center"/>
              <w:rPr>
                <w:rFonts w:cs="Arial"/>
                <w:b/>
                <w:sz w:val="16"/>
                <w:szCs w:val="16"/>
                <w:lang w:val="cs-CZ"/>
              </w:rPr>
            </w:pPr>
            <w:r w:rsidRPr="00FD304C">
              <w:rPr>
                <w:rFonts w:cs="Arial"/>
                <w:b/>
                <w:sz w:val="16"/>
                <w:szCs w:val="16"/>
                <w:lang w:val="cs-CZ"/>
              </w:rPr>
              <w:t>2010</w:t>
            </w:r>
          </w:p>
        </w:tc>
        <w:tc>
          <w:tcPr>
            <w:tcW w:w="1620" w:type="pct"/>
            <w:gridSpan w:val="2"/>
            <w:shd w:val="clear" w:color="auto" w:fill="auto"/>
            <w:vAlign w:val="center"/>
          </w:tcPr>
          <w:p w:rsidR="000053E7" w:rsidRPr="00FD304C" w:rsidRDefault="000053E7" w:rsidP="005355E1">
            <w:pPr>
              <w:jc w:val="center"/>
              <w:rPr>
                <w:rFonts w:cs="Arial"/>
                <w:b/>
                <w:sz w:val="16"/>
                <w:szCs w:val="16"/>
                <w:lang w:val="cs-CZ"/>
              </w:rPr>
            </w:pPr>
            <w:r w:rsidRPr="00FD304C">
              <w:rPr>
                <w:rFonts w:cs="Arial"/>
                <w:b/>
                <w:sz w:val="16"/>
                <w:szCs w:val="16"/>
                <w:lang w:val="cs-CZ"/>
              </w:rPr>
              <w:t>2011</w:t>
            </w:r>
          </w:p>
        </w:tc>
      </w:tr>
      <w:tr w:rsidR="000053E7" w:rsidRPr="0068072C" w:rsidTr="005355E1">
        <w:trPr>
          <w:cantSplit/>
          <w:trHeight w:val="227"/>
          <w:jc w:val="center"/>
        </w:trPr>
        <w:tc>
          <w:tcPr>
            <w:tcW w:w="1799" w:type="pct"/>
            <w:vMerge/>
            <w:shd w:val="clear" w:color="auto" w:fill="auto"/>
          </w:tcPr>
          <w:p w:rsidR="000053E7" w:rsidRPr="00FD304C" w:rsidRDefault="000053E7" w:rsidP="005355E1">
            <w:pPr>
              <w:jc w:val="center"/>
              <w:rPr>
                <w:rFonts w:cs="Arial"/>
                <w:b/>
                <w:color w:val="4F81BD"/>
                <w:sz w:val="16"/>
                <w:szCs w:val="16"/>
                <w:lang w:val="cs-CZ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0053E7" w:rsidRPr="00FD304C" w:rsidRDefault="000053E7" w:rsidP="005355E1">
            <w:pPr>
              <w:jc w:val="center"/>
              <w:rPr>
                <w:rFonts w:cs="Arial"/>
                <w:b/>
                <w:sz w:val="16"/>
                <w:szCs w:val="16"/>
                <w:lang w:val="cs-CZ"/>
              </w:rPr>
            </w:pPr>
            <w:r w:rsidRPr="00FD304C">
              <w:rPr>
                <w:rFonts w:cs="Arial"/>
                <w:b/>
                <w:sz w:val="16"/>
                <w:szCs w:val="16"/>
                <w:lang w:val="cs-CZ"/>
              </w:rPr>
              <w:t>v Kč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0053E7" w:rsidRPr="00FD304C" w:rsidRDefault="000053E7" w:rsidP="005355E1">
            <w:pPr>
              <w:jc w:val="center"/>
              <w:rPr>
                <w:rFonts w:cs="Arial"/>
                <w:b/>
                <w:sz w:val="16"/>
                <w:szCs w:val="16"/>
                <w:lang w:val="cs-CZ"/>
              </w:rPr>
            </w:pPr>
            <w:r w:rsidRPr="00FD304C">
              <w:rPr>
                <w:rFonts w:cs="Arial"/>
                <w:b/>
                <w:sz w:val="16"/>
                <w:szCs w:val="16"/>
                <w:lang w:val="cs-CZ"/>
              </w:rPr>
              <w:t>v % z celkového čerpání PF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0053E7" w:rsidRPr="00FD304C" w:rsidRDefault="000053E7" w:rsidP="005355E1">
            <w:pPr>
              <w:jc w:val="center"/>
              <w:rPr>
                <w:rFonts w:cs="Arial"/>
                <w:b/>
                <w:sz w:val="16"/>
                <w:szCs w:val="16"/>
                <w:lang w:val="cs-CZ"/>
              </w:rPr>
            </w:pPr>
            <w:r w:rsidRPr="00FD304C">
              <w:rPr>
                <w:rFonts w:cs="Arial"/>
                <w:b/>
                <w:sz w:val="16"/>
                <w:szCs w:val="16"/>
                <w:lang w:val="cs-CZ"/>
              </w:rPr>
              <w:t>v Kč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053E7" w:rsidRPr="00FD304C" w:rsidRDefault="000053E7" w:rsidP="005355E1">
            <w:pPr>
              <w:jc w:val="center"/>
              <w:rPr>
                <w:rFonts w:cs="Arial"/>
                <w:b/>
                <w:sz w:val="16"/>
                <w:szCs w:val="16"/>
                <w:lang w:val="cs-CZ"/>
              </w:rPr>
            </w:pPr>
            <w:r w:rsidRPr="00FD304C">
              <w:rPr>
                <w:rFonts w:cs="Arial"/>
                <w:b/>
                <w:sz w:val="16"/>
                <w:szCs w:val="16"/>
                <w:lang w:val="cs-CZ"/>
              </w:rPr>
              <w:t>v % z celkového čerpání PF</w:t>
            </w:r>
          </w:p>
        </w:tc>
      </w:tr>
      <w:tr w:rsidR="000053E7" w:rsidRPr="00FD304C" w:rsidTr="005355E1">
        <w:trPr>
          <w:trHeight w:val="227"/>
          <w:jc w:val="center"/>
        </w:trPr>
        <w:tc>
          <w:tcPr>
            <w:tcW w:w="1799" w:type="pct"/>
            <w:shd w:val="clear" w:color="auto" w:fill="auto"/>
            <w:vAlign w:val="center"/>
          </w:tcPr>
          <w:p w:rsidR="000053E7" w:rsidRPr="00A31962" w:rsidRDefault="000053E7" w:rsidP="00ED1C77">
            <w:pPr>
              <w:jc w:val="left"/>
              <w:rPr>
                <w:rFonts w:cs="Arial"/>
                <w:sz w:val="16"/>
                <w:szCs w:val="16"/>
                <w:lang w:val="cs-CZ"/>
              </w:rPr>
            </w:pPr>
            <w:r w:rsidRPr="00A31962">
              <w:rPr>
                <w:rFonts w:cs="Arial"/>
                <w:sz w:val="16"/>
                <w:szCs w:val="16"/>
                <w:lang w:val="cs-CZ"/>
              </w:rPr>
              <w:t>Čerpání provozního fondu celkem*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0053E7" w:rsidRPr="00FD304C" w:rsidRDefault="000053E7" w:rsidP="005355E1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cs="Arial"/>
                <w:b/>
                <w:bCs/>
                <w:color w:val="000000"/>
                <w:sz w:val="16"/>
                <w:szCs w:val="16"/>
                <w:lang w:val="cs-CZ"/>
              </w:rPr>
              <w:t>479 306 653,22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0053E7" w:rsidRPr="00FD304C" w:rsidRDefault="000053E7" w:rsidP="00FD304C">
            <w:pPr>
              <w:ind w:right="22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cs="Arial"/>
                <w:b/>
                <w:bCs/>
                <w:color w:val="000000"/>
                <w:sz w:val="16"/>
                <w:szCs w:val="16"/>
                <w:lang w:val="cs-CZ"/>
              </w:rPr>
              <w:t>-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0053E7" w:rsidRPr="00FD304C" w:rsidRDefault="000053E7" w:rsidP="005355E1">
            <w:pPr>
              <w:ind w:right="5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cs="Arial"/>
                <w:b/>
                <w:bCs/>
                <w:color w:val="000000"/>
                <w:sz w:val="16"/>
                <w:szCs w:val="16"/>
                <w:lang w:val="cs-CZ"/>
              </w:rPr>
              <w:t>457 125 795,35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053E7" w:rsidRPr="00FD304C" w:rsidRDefault="000053E7" w:rsidP="00FD304C">
            <w:pPr>
              <w:ind w:right="227"/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cs="Arial"/>
                <w:b/>
                <w:bCs/>
                <w:color w:val="000000"/>
                <w:sz w:val="16"/>
                <w:szCs w:val="16"/>
                <w:lang w:val="cs-CZ"/>
              </w:rPr>
              <w:t>-</w:t>
            </w:r>
          </w:p>
        </w:tc>
      </w:tr>
      <w:tr w:rsidR="000053E7" w:rsidRPr="00FD304C" w:rsidTr="005355E1">
        <w:trPr>
          <w:trHeight w:val="227"/>
          <w:jc w:val="center"/>
        </w:trPr>
        <w:tc>
          <w:tcPr>
            <w:tcW w:w="1799" w:type="pct"/>
            <w:shd w:val="clear" w:color="auto" w:fill="auto"/>
            <w:vAlign w:val="center"/>
          </w:tcPr>
          <w:p w:rsidR="000053E7" w:rsidRPr="00A31962" w:rsidRDefault="000053E7" w:rsidP="005355E1">
            <w:pPr>
              <w:jc w:val="left"/>
              <w:rPr>
                <w:rFonts w:cs="Arial"/>
                <w:sz w:val="16"/>
                <w:szCs w:val="16"/>
                <w:lang w:val="cs-CZ"/>
              </w:rPr>
            </w:pPr>
            <w:r w:rsidRPr="00A31962">
              <w:rPr>
                <w:rFonts w:cs="Arial"/>
                <w:sz w:val="16"/>
                <w:szCs w:val="16"/>
                <w:lang w:val="cs-CZ"/>
              </w:rPr>
              <w:t>Spotřeba energií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0053E7" w:rsidRPr="00FD304C" w:rsidRDefault="000053E7" w:rsidP="005355E1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/>
              </w:rPr>
              <w:t>6 568 259,49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0053E7" w:rsidRPr="00FD304C" w:rsidRDefault="005355E1" w:rsidP="00FD304C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cs="Arial"/>
                <w:color w:val="000000"/>
                <w:sz w:val="16"/>
                <w:szCs w:val="16"/>
                <w:lang w:val="cs-CZ"/>
              </w:rPr>
              <w:t>1,37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0053E7" w:rsidRPr="00FD304C" w:rsidRDefault="000053E7" w:rsidP="005355E1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/>
              </w:rPr>
              <w:t>6 681 342,31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053E7" w:rsidRPr="00FD304C" w:rsidRDefault="000053E7" w:rsidP="00FD304C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/>
              </w:rPr>
              <w:t>1,46</w:t>
            </w:r>
          </w:p>
        </w:tc>
      </w:tr>
      <w:tr w:rsidR="000053E7" w:rsidRPr="00FD304C" w:rsidTr="005355E1">
        <w:trPr>
          <w:trHeight w:val="227"/>
          <w:jc w:val="center"/>
        </w:trPr>
        <w:tc>
          <w:tcPr>
            <w:tcW w:w="1799" w:type="pct"/>
            <w:shd w:val="clear" w:color="auto" w:fill="auto"/>
            <w:vAlign w:val="center"/>
          </w:tcPr>
          <w:p w:rsidR="000053E7" w:rsidRPr="00A31962" w:rsidRDefault="000053E7" w:rsidP="005355E1">
            <w:pPr>
              <w:jc w:val="left"/>
              <w:rPr>
                <w:rFonts w:cs="Arial"/>
                <w:sz w:val="16"/>
                <w:szCs w:val="16"/>
                <w:lang w:val="cs-CZ"/>
              </w:rPr>
            </w:pPr>
            <w:r w:rsidRPr="00A31962">
              <w:rPr>
                <w:rFonts w:cs="Arial"/>
                <w:sz w:val="16"/>
                <w:szCs w:val="16"/>
                <w:lang w:val="cs-CZ"/>
              </w:rPr>
              <w:t>Telefonní poplatky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0053E7" w:rsidRPr="00FD304C" w:rsidRDefault="000053E7" w:rsidP="005355E1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/>
              </w:rPr>
              <w:t>6 115 466,21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0053E7" w:rsidRPr="00FD304C" w:rsidRDefault="005355E1" w:rsidP="00FD304C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cs="Arial"/>
                <w:color w:val="000000"/>
                <w:sz w:val="16"/>
                <w:szCs w:val="16"/>
                <w:lang w:val="cs-CZ"/>
              </w:rPr>
              <w:t>1,28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0053E7" w:rsidRPr="00FD304C" w:rsidRDefault="005355E1" w:rsidP="005355E1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cs="Arial"/>
                <w:color w:val="000000"/>
                <w:sz w:val="16"/>
                <w:szCs w:val="16"/>
                <w:lang w:val="cs-CZ"/>
              </w:rPr>
              <w:t>4 439 364,34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053E7" w:rsidRPr="00FD304C" w:rsidRDefault="000053E7" w:rsidP="00FD304C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/>
              </w:rPr>
              <w:t>0,97</w:t>
            </w:r>
          </w:p>
        </w:tc>
      </w:tr>
      <w:tr w:rsidR="000053E7" w:rsidRPr="00FD304C" w:rsidTr="005355E1">
        <w:trPr>
          <w:trHeight w:val="227"/>
          <w:jc w:val="center"/>
        </w:trPr>
        <w:tc>
          <w:tcPr>
            <w:tcW w:w="1799" w:type="pct"/>
            <w:shd w:val="clear" w:color="auto" w:fill="auto"/>
            <w:vAlign w:val="center"/>
          </w:tcPr>
          <w:p w:rsidR="000053E7" w:rsidRPr="00A31962" w:rsidRDefault="000053E7" w:rsidP="005355E1">
            <w:pPr>
              <w:jc w:val="left"/>
              <w:rPr>
                <w:rFonts w:cs="Arial"/>
                <w:sz w:val="16"/>
                <w:szCs w:val="16"/>
                <w:lang w:val="cs-CZ"/>
              </w:rPr>
            </w:pPr>
            <w:r w:rsidRPr="00A31962">
              <w:rPr>
                <w:rFonts w:cs="Arial"/>
                <w:sz w:val="16"/>
                <w:szCs w:val="16"/>
                <w:lang w:val="cs-CZ"/>
              </w:rPr>
              <w:t>Reklama, inzerce, reklamní plochy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0053E7" w:rsidRPr="00FD304C" w:rsidRDefault="000053E7" w:rsidP="005355E1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/>
              </w:rPr>
              <w:t>16 447 361,47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0053E7" w:rsidRPr="00FD304C" w:rsidRDefault="005355E1" w:rsidP="00FD304C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cs="Arial"/>
                <w:color w:val="000000"/>
                <w:sz w:val="16"/>
                <w:szCs w:val="16"/>
                <w:lang w:val="cs-CZ"/>
              </w:rPr>
              <w:t>3,43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0053E7" w:rsidRPr="00FD304C" w:rsidRDefault="000053E7" w:rsidP="005355E1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/>
              </w:rPr>
              <w:t>24 739 389,00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053E7" w:rsidRPr="00FD304C" w:rsidRDefault="000053E7" w:rsidP="00FD304C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/>
              </w:rPr>
              <w:t>5,41</w:t>
            </w:r>
          </w:p>
        </w:tc>
      </w:tr>
      <w:tr w:rsidR="000053E7" w:rsidRPr="00FD304C" w:rsidTr="005355E1">
        <w:trPr>
          <w:trHeight w:val="227"/>
          <w:jc w:val="center"/>
        </w:trPr>
        <w:tc>
          <w:tcPr>
            <w:tcW w:w="1799" w:type="pct"/>
            <w:shd w:val="clear" w:color="auto" w:fill="auto"/>
            <w:vAlign w:val="center"/>
          </w:tcPr>
          <w:p w:rsidR="000053E7" w:rsidRPr="00A31962" w:rsidRDefault="000053E7" w:rsidP="005355E1">
            <w:pPr>
              <w:jc w:val="left"/>
              <w:rPr>
                <w:rFonts w:cs="Arial"/>
                <w:sz w:val="16"/>
                <w:szCs w:val="16"/>
                <w:lang w:val="cs-CZ"/>
              </w:rPr>
            </w:pPr>
            <w:r w:rsidRPr="00A31962">
              <w:rPr>
                <w:rFonts w:cs="Arial"/>
                <w:sz w:val="16"/>
                <w:szCs w:val="16"/>
                <w:lang w:val="cs-CZ"/>
              </w:rPr>
              <w:t>Nájemné nebytových prostor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0053E7" w:rsidRPr="00FD304C" w:rsidRDefault="000053E7" w:rsidP="005355E1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/>
              </w:rPr>
              <w:t>20 499 585,22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0053E7" w:rsidRPr="00FD304C" w:rsidRDefault="000053E7" w:rsidP="005355E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/>
              </w:rPr>
              <w:t>4,28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0053E7" w:rsidRPr="00FD304C" w:rsidRDefault="000053E7" w:rsidP="005355E1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/>
              </w:rPr>
              <w:t>20 112 091,56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053E7" w:rsidRPr="00FD304C" w:rsidRDefault="000053E7" w:rsidP="00FD304C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/>
              </w:rPr>
              <w:t>4,40</w:t>
            </w:r>
          </w:p>
        </w:tc>
      </w:tr>
      <w:tr w:rsidR="000053E7" w:rsidRPr="00FD304C" w:rsidTr="005355E1">
        <w:trPr>
          <w:trHeight w:val="227"/>
          <w:jc w:val="center"/>
        </w:trPr>
        <w:tc>
          <w:tcPr>
            <w:tcW w:w="1799" w:type="pct"/>
            <w:shd w:val="clear" w:color="auto" w:fill="auto"/>
            <w:vAlign w:val="center"/>
          </w:tcPr>
          <w:p w:rsidR="000053E7" w:rsidRPr="00A31962" w:rsidRDefault="000053E7" w:rsidP="005355E1">
            <w:pPr>
              <w:jc w:val="left"/>
              <w:rPr>
                <w:rFonts w:cs="Arial"/>
                <w:sz w:val="16"/>
                <w:szCs w:val="16"/>
                <w:lang w:val="cs-CZ"/>
              </w:rPr>
            </w:pPr>
            <w:r w:rsidRPr="00A31962">
              <w:rPr>
                <w:rFonts w:cs="Arial"/>
                <w:sz w:val="16"/>
                <w:szCs w:val="16"/>
                <w:lang w:val="cs-CZ"/>
              </w:rPr>
              <w:t>Update SW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0053E7" w:rsidRPr="00FD304C" w:rsidRDefault="000053E7" w:rsidP="005355E1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/>
              </w:rPr>
              <w:t>20 461 122,73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0053E7" w:rsidRPr="00FD304C" w:rsidRDefault="000053E7" w:rsidP="005355E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/>
              </w:rPr>
              <w:t>4,27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0053E7" w:rsidRPr="00FD304C" w:rsidRDefault="000053E7" w:rsidP="005355E1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/>
              </w:rPr>
              <w:t>11 289 719,72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053E7" w:rsidRPr="00FD304C" w:rsidRDefault="000053E7" w:rsidP="00FD304C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/>
              </w:rPr>
              <w:t>2,47</w:t>
            </w:r>
          </w:p>
        </w:tc>
      </w:tr>
      <w:tr w:rsidR="000053E7" w:rsidRPr="00FD304C" w:rsidTr="005355E1">
        <w:trPr>
          <w:trHeight w:val="227"/>
          <w:jc w:val="center"/>
        </w:trPr>
        <w:tc>
          <w:tcPr>
            <w:tcW w:w="1799" w:type="pct"/>
            <w:shd w:val="clear" w:color="auto" w:fill="auto"/>
            <w:vAlign w:val="center"/>
          </w:tcPr>
          <w:p w:rsidR="000053E7" w:rsidRPr="00A31962" w:rsidRDefault="000053E7" w:rsidP="005355E1">
            <w:pPr>
              <w:jc w:val="left"/>
              <w:rPr>
                <w:rFonts w:cs="Arial"/>
                <w:sz w:val="16"/>
                <w:szCs w:val="16"/>
                <w:lang w:val="cs-CZ"/>
              </w:rPr>
            </w:pPr>
            <w:r w:rsidRPr="00A31962">
              <w:rPr>
                <w:rFonts w:cs="Arial"/>
                <w:sz w:val="16"/>
                <w:szCs w:val="16"/>
                <w:lang w:val="cs-CZ"/>
              </w:rPr>
              <w:t>Ostatní služby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0053E7" w:rsidRPr="00FD304C" w:rsidRDefault="000053E7" w:rsidP="005355E1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/>
              </w:rPr>
              <w:t>46 896 694,36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0053E7" w:rsidRPr="00FD304C" w:rsidRDefault="000053E7" w:rsidP="005355E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/>
              </w:rPr>
              <w:t>9,78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0053E7" w:rsidRPr="00FD304C" w:rsidRDefault="000053E7" w:rsidP="005355E1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/>
              </w:rPr>
              <w:t>41 519 699,48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053E7" w:rsidRPr="00FD304C" w:rsidRDefault="000053E7" w:rsidP="00FD304C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/>
              </w:rPr>
              <w:t>9,08</w:t>
            </w:r>
          </w:p>
        </w:tc>
      </w:tr>
      <w:tr w:rsidR="000053E7" w:rsidRPr="00FD304C" w:rsidTr="005355E1">
        <w:trPr>
          <w:trHeight w:val="227"/>
          <w:jc w:val="center"/>
        </w:trPr>
        <w:tc>
          <w:tcPr>
            <w:tcW w:w="1799" w:type="pct"/>
            <w:shd w:val="clear" w:color="auto" w:fill="auto"/>
            <w:vAlign w:val="center"/>
          </w:tcPr>
          <w:p w:rsidR="000053E7" w:rsidRPr="00A31962" w:rsidRDefault="000053E7" w:rsidP="005355E1">
            <w:pPr>
              <w:jc w:val="left"/>
              <w:rPr>
                <w:rFonts w:cs="Arial"/>
                <w:sz w:val="16"/>
                <w:szCs w:val="16"/>
                <w:lang w:val="cs-CZ"/>
              </w:rPr>
            </w:pPr>
            <w:r w:rsidRPr="00A31962">
              <w:rPr>
                <w:rFonts w:cs="Arial"/>
                <w:sz w:val="16"/>
                <w:szCs w:val="16"/>
                <w:lang w:val="cs-CZ"/>
              </w:rPr>
              <w:t>Odpisy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0053E7" w:rsidRPr="00FD304C" w:rsidRDefault="000053E7" w:rsidP="005355E1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/>
              </w:rPr>
              <w:t>45 610 225,18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0053E7" w:rsidRPr="00FD304C" w:rsidRDefault="000053E7" w:rsidP="005355E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/>
              </w:rPr>
              <w:t>9,52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0053E7" w:rsidRPr="00FD304C" w:rsidRDefault="000053E7" w:rsidP="005355E1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/>
              </w:rPr>
              <w:t>39 515 433,35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053E7" w:rsidRPr="00FD304C" w:rsidRDefault="000053E7" w:rsidP="00FD304C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/>
              </w:rPr>
              <w:t>8,64</w:t>
            </w:r>
          </w:p>
        </w:tc>
      </w:tr>
      <w:tr w:rsidR="000053E7" w:rsidRPr="00FD304C" w:rsidTr="005355E1">
        <w:trPr>
          <w:trHeight w:val="227"/>
          <w:jc w:val="center"/>
        </w:trPr>
        <w:tc>
          <w:tcPr>
            <w:tcW w:w="1799" w:type="pct"/>
            <w:shd w:val="clear" w:color="auto" w:fill="auto"/>
            <w:vAlign w:val="center"/>
          </w:tcPr>
          <w:p w:rsidR="000053E7" w:rsidRPr="00A31962" w:rsidRDefault="000053E7" w:rsidP="005355E1">
            <w:pPr>
              <w:jc w:val="left"/>
              <w:rPr>
                <w:rFonts w:cs="Arial"/>
                <w:sz w:val="16"/>
                <w:szCs w:val="16"/>
                <w:lang w:val="cs-CZ"/>
              </w:rPr>
            </w:pPr>
            <w:r w:rsidRPr="00A31962">
              <w:rPr>
                <w:rFonts w:cs="Arial"/>
                <w:sz w:val="16"/>
                <w:szCs w:val="16"/>
                <w:lang w:val="cs-CZ"/>
              </w:rPr>
              <w:t>Mzdové prostředky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0053E7" w:rsidRPr="00FD304C" w:rsidRDefault="000053E7" w:rsidP="005355E1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/>
              </w:rPr>
              <w:t>204 842 098,17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0053E7" w:rsidRPr="00FD304C" w:rsidRDefault="000053E7" w:rsidP="005355E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/>
              </w:rPr>
              <w:t>42,74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0053E7" w:rsidRPr="00FD304C" w:rsidRDefault="000053E7" w:rsidP="005355E1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/>
              </w:rPr>
              <w:t>207 210 300,46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053E7" w:rsidRPr="00FD304C" w:rsidRDefault="000053E7" w:rsidP="00FD304C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/>
              </w:rPr>
              <w:t>45,33</w:t>
            </w:r>
          </w:p>
        </w:tc>
      </w:tr>
      <w:tr w:rsidR="000053E7" w:rsidRPr="00FD304C" w:rsidTr="005355E1">
        <w:trPr>
          <w:trHeight w:val="227"/>
          <w:jc w:val="center"/>
        </w:trPr>
        <w:tc>
          <w:tcPr>
            <w:tcW w:w="1799" w:type="pct"/>
            <w:shd w:val="clear" w:color="auto" w:fill="auto"/>
            <w:vAlign w:val="center"/>
          </w:tcPr>
          <w:p w:rsidR="000053E7" w:rsidRPr="00A31962" w:rsidRDefault="000053E7" w:rsidP="005355E1">
            <w:pPr>
              <w:jc w:val="left"/>
              <w:rPr>
                <w:rFonts w:cs="Arial"/>
                <w:sz w:val="16"/>
                <w:szCs w:val="16"/>
                <w:lang w:val="cs-CZ"/>
              </w:rPr>
            </w:pPr>
            <w:r w:rsidRPr="00A31962">
              <w:rPr>
                <w:rFonts w:cs="Arial"/>
                <w:sz w:val="16"/>
                <w:szCs w:val="16"/>
                <w:lang w:val="cs-CZ"/>
              </w:rPr>
              <w:t>Zdravotní pojištění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0053E7" w:rsidRPr="00FD304C" w:rsidRDefault="000053E7" w:rsidP="005355E1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/>
              </w:rPr>
              <w:t>17 753 902,00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0053E7" w:rsidRPr="00FD304C" w:rsidRDefault="000053E7" w:rsidP="005355E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/>
              </w:rPr>
              <w:t>3,70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0053E7" w:rsidRPr="00FD304C" w:rsidRDefault="000053E7" w:rsidP="005355E1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/>
              </w:rPr>
              <w:t>17 959 272,18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053E7" w:rsidRPr="00FD304C" w:rsidRDefault="000053E7" w:rsidP="00FD304C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/>
              </w:rPr>
              <w:t>3,93</w:t>
            </w:r>
          </w:p>
        </w:tc>
      </w:tr>
      <w:tr w:rsidR="000053E7" w:rsidRPr="00FD304C" w:rsidTr="005355E1">
        <w:trPr>
          <w:trHeight w:val="227"/>
          <w:jc w:val="center"/>
        </w:trPr>
        <w:tc>
          <w:tcPr>
            <w:tcW w:w="1799" w:type="pct"/>
            <w:shd w:val="clear" w:color="auto" w:fill="auto"/>
            <w:vAlign w:val="center"/>
          </w:tcPr>
          <w:p w:rsidR="000053E7" w:rsidRPr="00A31962" w:rsidRDefault="000053E7" w:rsidP="005355E1">
            <w:pPr>
              <w:jc w:val="left"/>
              <w:rPr>
                <w:rFonts w:cs="Arial"/>
                <w:sz w:val="16"/>
                <w:szCs w:val="16"/>
                <w:lang w:val="cs-CZ"/>
              </w:rPr>
            </w:pPr>
            <w:r w:rsidRPr="00A31962">
              <w:rPr>
                <w:rFonts w:cs="Arial"/>
                <w:sz w:val="16"/>
                <w:szCs w:val="16"/>
                <w:lang w:val="cs-CZ"/>
              </w:rPr>
              <w:t>Sociální pojištění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0053E7" w:rsidRPr="00FD304C" w:rsidRDefault="000053E7" w:rsidP="005355E1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/>
              </w:rPr>
              <w:t>48 720 288,00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0053E7" w:rsidRPr="00FD304C" w:rsidRDefault="000053E7" w:rsidP="005355E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/>
              </w:rPr>
              <w:t>10,16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0053E7" w:rsidRPr="00FD304C" w:rsidRDefault="000053E7" w:rsidP="005355E1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/>
              </w:rPr>
              <w:t>48 928 516,50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053E7" w:rsidRPr="00FD304C" w:rsidRDefault="000053E7" w:rsidP="00FD304C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/>
              </w:rPr>
              <w:t>10,70</w:t>
            </w:r>
          </w:p>
        </w:tc>
      </w:tr>
      <w:tr w:rsidR="000053E7" w:rsidRPr="00FD304C" w:rsidTr="005355E1">
        <w:trPr>
          <w:trHeight w:val="227"/>
          <w:jc w:val="center"/>
        </w:trPr>
        <w:tc>
          <w:tcPr>
            <w:tcW w:w="1799" w:type="pct"/>
            <w:shd w:val="clear" w:color="auto" w:fill="auto"/>
            <w:vAlign w:val="center"/>
          </w:tcPr>
          <w:p w:rsidR="000053E7" w:rsidRPr="00A31962" w:rsidRDefault="000053E7" w:rsidP="005355E1">
            <w:pPr>
              <w:jc w:val="left"/>
              <w:rPr>
                <w:rFonts w:cs="Arial"/>
                <w:sz w:val="16"/>
                <w:szCs w:val="16"/>
                <w:lang w:val="cs-CZ"/>
              </w:rPr>
            </w:pPr>
            <w:r w:rsidRPr="00A31962">
              <w:rPr>
                <w:rFonts w:cs="Arial"/>
                <w:sz w:val="16"/>
                <w:szCs w:val="16"/>
                <w:lang w:val="cs-CZ"/>
              </w:rPr>
              <w:t>Ostatní osobní čerpání (stravné, zákonné pojištění úrazové)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0053E7" w:rsidRPr="00FD304C" w:rsidRDefault="000053E7" w:rsidP="005355E1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/>
              </w:rPr>
              <w:t>5 237 952,26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0053E7" w:rsidRPr="00FD304C" w:rsidRDefault="005355E1" w:rsidP="005355E1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cs="Arial"/>
                <w:color w:val="000000"/>
                <w:sz w:val="16"/>
                <w:szCs w:val="16"/>
                <w:lang w:val="cs-CZ"/>
              </w:rPr>
              <w:t>1,09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0053E7" w:rsidRPr="00FD304C" w:rsidRDefault="000053E7" w:rsidP="005355E1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/>
              </w:rPr>
              <w:t>5 103 396,67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053E7" w:rsidRPr="00FD304C" w:rsidRDefault="000053E7" w:rsidP="00FD304C">
            <w:pPr>
              <w:ind w:right="227"/>
              <w:jc w:val="right"/>
              <w:rPr>
                <w:rFonts w:cs="Arial"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cs="Arial"/>
                <w:color w:val="000000"/>
                <w:sz w:val="16"/>
                <w:szCs w:val="16"/>
                <w:lang w:val="cs-CZ"/>
              </w:rPr>
              <w:t>1,12</w:t>
            </w:r>
          </w:p>
        </w:tc>
      </w:tr>
    </w:tbl>
    <w:p w:rsidR="000053E7" w:rsidRPr="00FD304C" w:rsidRDefault="000053E7" w:rsidP="005355E1">
      <w:pPr>
        <w:tabs>
          <w:tab w:val="left" w:pos="567"/>
        </w:tabs>
        <w:spacing w:before="40"/>
        <w:rPr>
          <w:rFonts w:cs="Arial"/>
          <w:sz w:val="18"/>
          <w:szCs w:val="18"/>
          <w:lang w:val="cs-CZ"/>
        </w:rPr>
      </w:pPr>
      <w:r w:rsidRPr="00FD304C">
        <w:rPr>
          <w:rFonts w:cs="Arial"/>
          <w:b/>
          <w:sz w:val="18"/>
          <w:szCs w:val="18"/>
          <w:lang w:val="cs-CZ"/>
        </w:rPr>
        <w:t>Zdroj:</w:t>
      </w:r>
      <w:r w:rsidRPr="00FD304C">
        <w:rPr>
          <w:rFonts w:cs="Arial"/>
          <w:sz w:val="18"/>
          <w:szCs w:val="18"/>
          <w:lang w:val="cs-CZ"/>
        </w:rPr>
        <w:t xml:space="preserve"> </w:t>
      </w:r>
      <w:r w:rsidR="00C938BC">
        <w:rPr>
          <w:rFonts w:cs="Arial"/>
          <w:sz w:val="18"/>
          <w:szCs w:val="18"/>
          <w:lang w:val="cs-CZ"/>
        </w:rPr>
        <w:t>o</w:t>
      </w:r>
      <w:r w:rsidRPr="00FD304C">
        <w:rPr>
          <w:rFonts w:cs="Arial"/>
          <w:sz w:val="18"/>
          <w:szCs w:val="18"/>
          <w:lang w:val="cs-CZ"/>
        </w:rPr>
        <w:t xml:space="preserve">bratové předvahy ČPZP za období 1. 1. 2010 </w:t>
      </w:r>
      <w:r w:rsidR="00ED1C77">
        <w:rPr>
          <w:rFonts w:cs="Arial"/>
          <w:sz w:val="18"/>
          <w:szCs w:val="18"/>
          <w:lang w:val="cs-CZ"/>
        </w:rPr>
        <w:t>až</w:t>
      </w:r>
      <w:r w:rsidRPr="00FD304C">
        <w:rPr>
          <w:rFonts w:cs="Arial"/>
          <w:sz w:val="18"/>
          <w:szCs w:val="18"/>
          <w:lang w:val="cs-CZ"/>
        </w:rPr>
        <w:t xml:space="preserve"> 31. 12. 2010 a 1. 1. 2011 </w:t>
      </w:r>
      <w:r w:rsidR="00ED1C77">
        <w:rPr>
          <w:rFonts w:cs="Arial"/>
          <w:sz w:val="18"/>
          <w:szCs w:val="18"/>
          <w:lang w:val="cs-CZ"/>
        </w:rPr>
        <w:t>až</w:t>
      </w:r>
      <w:r w:rsidRPr="00FD304C">
        <w:rPr>
          <w:rFonts w:cs="Arial"/>
          <w:sz w:val="18"/>
          <w:szCs w:val="18"/>
          <w:lang w:val="cs-CZ"/>
        </w:rPr>
        <w:t xml:space="preserve"> 31. 12. 2011.</w:t>
      </w:r>
    </w:p>
    <w:p w:rsidR="000053E7" w:rsidRPr="00FD304C" w:rsidRDefault="000053E7" w:rsidP="005355E1">
      <w:pPr>
        <w:tabs>
          <w:tab w:val="left" w:pos="142"/>
        </w:tabs>
        <w:ind w:left="142" w:hanging="142"/>
        <w:rPr>
          <w:rFonts w:cs="Arial"/>
          <w:sz w:val="18"/>
          <w:szCs w:val="18"/>
          <w:lang w:val="cs-CZ"/>
        </w:rPr>
      </w:pPr>
      <w:r w:rsidRPr="00FD304C">
        <w:rPr>
          <w:rFonts w:cs="Arial"/>
          <w:sz w:val="18"/>
          <w:szCs w:val="18"/>
          <w:lang w:val="cs-CZ"/>
        </w:rPr>
        <w:t>*</w:t>
      </w:r>
      <w:r w:rsidRPr="00FD304C">
        <w:rPr>
          <w:rFonts w:cs="Arial"/>
          <w:sz w:val="18"/>
          <w:szCs w:val="18"/>
          <w:lang w:val="cs-CZ"/>
        </w:rPr>
        <w:tab/>
        <w:t>Čerpání provozního fondu celkem nezahrnuje příděl do sociálního fondu a příděl do fondu reprodukce majetku ve výši kladného rozdílu mezi prodejní a zůstatkovou cenou prodaného dlouhodobého majetku.</w:t>
      </w:r>
    </w:p>
    <w:p w:rsidR="00251454" w:rsidRPr="00FD304C" w:rsidRDefault="00DF5E6A" w:rsidP="005355E1">
      <w:pPr>
        <w:tabs>
          <w:tab w:val="left" w:pos="567"/>
        </w:tabs>
        <w:rPr>
          <w:rFonts w:cs="Arial"/>
          <w:sz w:val="18"/>
          <w:szCs w:val="18"/>
          <w:lang w:val="cs-CZ"/>
        </w:rPr>
      </w:pPr>
      <w:r w:rsidRPr="00FD304C">
        <w:rPr>
          <w:rFonts w:cs="Arial"/>
          <w:b/>
          <w:sz w:val="18"/>
          <w:szCs w:val="18"/>
          <w:lang w:val="cs-CZ"/>
        </w:rPr>
        <w:t>Zkratky</w:t>
      </w:r>
      <w:r w:rsidR="00251454" w:rsidRPr="00FD304C">
        <w:rPr>
          <w:rFonts w:cs="Arial"/>
          <w:b/>
          <w:sz w:val="18"/>
          <w:szCs w:val="18"/>
          <w:lang w:val="cs-CZ"/>
        </w:rPr>
        <w:t>:</w:t>
      </w:r>
      <w:r w:rsidR="00251454" w:rsidRPr="00FD304C">
        <w:rPr>
          <w:rFonts w:cs="Arial"/>
          <w:sz w:val="18"/>
          <w:szCs w:val="18"/>
          <w:lang w:val="cs-CZ"/>
        </w:rPr>
        <w:t xml:space="preserve"> PF = provozní fond</w:t>
      </w:r>
      <w:r w:rsidRPr="00FD304C">
        <w:rPr>
          <w:rFonts w:cs="Arial"/>
          <w:sz w:val="18"/>
          <w:szCs w:val="18"/>
          <w:lang w:val="cs-CZ"/>
        </w:rPr>
        <w:t>, SW = software</w:t>
      </w:r>
      <w:r w:rsidR="00251454" w:rsidRPr="00FD304C">
        <w:rPr>
          <w:rFonts w:cs="Arial"/>
          <w:sz w:val="18"/>
          <w:szCs w:val="18"/>
          <w:lang w:val="cs-CZ"/>
        </w:rPr>
        <w:t>.</w:t>
      </w:r>
    </w:p>
    <w:p w:rsidR="00D143FF" w:rsidRPr="00FD304C" w:rsidRDefault="00D143FF" w:rsidP="00FD304C">
      <w:pPr>
        <w:rPr>
          <w:rFonts w:cs="Arial"/>
          <w:lang w:val="cs-CZ"/>
        </w:rPr>
      </w:pPr>
    </w:p>
    <w:p w:rsidR="007D740F" w:rsidRPr="00FD304C" w:rsidRDefault="00400EBC" w:rsidP="00FD304C">
      <w:pPr>
        <w:rPr>
          <w:rFonts w:cs="Arial"/>
          <w:lang w:val="cs-CZ"/>
        </w:rPr>
      </w:pPr>
      <w:r w:rsidRPr="00FD304C">
        <w:rPr>
          <w:rFonts w:cs="Arial"/>
          <w:lang w:val="cs-CZ"/>
        </w:rPr>
        <w:t>N</w:t>
      </w:r>
      <w:r w:rsidR="000053E7" w:rsidRPr="00FD304C">
        <w:rPr>
          <w:rFonts w:cs="Arial"/>
          <w:lang w:val="cs-CZ"/>
        </w:rPr>
        <w:t>ejvyšší podíl na čerpání finančních prostředků provozního fondu měly mzdové náklady a</w:t>
      </w:r>
      <w:r w:rsidRPr="00FD304C">
        <w:rPr>
          <w:rFonts w:cs="Arial"/>
          <w:lang w:val="cs-CZ"/>
        </w:rPr>
        <w:t> </w:t>
      </w:r>
      <w:r w:rsidR="000053E7" w:rsidRPr="00FD304C">
        <w:rPr>
          <w:rFonts w:cs="Arial"/>
          <w:lang w:val="cs-CZ"/>
        </w:rPr>
        <w:t>související náklady na sociální a zdravotní pojištění. V roce 2010 tyto náklady představovaly 57 % a v roce 2011 se jednalo o 60 % celkových provozních nákladů ČPZP.</w:t>
      </w:r>
      <w:r w:rsidR="007D740F" w:rsidRPr="00FD304C">
        <w:rPr>
          <w:rFonts w:cs="Arial"/>
          <w:lang w:val="cs-CZ"/>
        </w:rPr>
        <w:t xml:space="preserve"> Průměrná hrubá měsíční mzda zaměstnanců ČPZP v letech 2009 až 2012 byla na úrovni 1,3</w:t>
      </w:r>
      <w:r w:rsidR="00C932A7" w:rsidRPr="00FD304C">
        <w:rPr>
          <w:rFonts w:cs="Arial"/>
          <w:lang w:val="cs-CZ"/>
        </w:rPr>
        <w:t> </w:t>
      </w:r>
      <w:r w:rsidR="007D740F" w:rsidRPr="00FD304C">
        <w:rPr>
          <w:rFonts w:cs="Arial"/>
          <w:lang w:val="cs-CZ"/>
        </w:rPr>
        <w:t xml:space="preserve">až 1,5násobku průměrné hrubé měsíční mzdy v národním hospodářství (ČR). </w:t>
      </w:r>
    </w:p>
    <w:p w:rsidR="000053E7" w:rsidRPr="00FD304C" w:rsidRDefault="000053E7" w:rsidP="00FD304C">
      <w:pPr>
        <w:rPr>
          <w:rFonts w:cs="Arial"/>
          <w:lang w:val="cs-CZ"/>
        </w:rPr>
      </w:pPr>
    </w:p>
    <w:p w:rsidR="000053E7" w:rsidRPr="00FD304C" w:rsidRDefault="00910028" w:rsidP="00FD304C">
      <w:pPr>
        <w:rPr>
          <w:rFonts w:cs="Arial"/>
          <w:lang w:val="cs-CZ"/>
        </w:rPr>
      </w:pPr>
      <w:r w:rsidRPr="00FD304C">
        <w:rPr>
          <w:rFonts w:cs="Arial"/>
          <w:lang w:val="cs-CZ"/>
        </w:rPr>
        <w:t>Poměrně vysoký podíl na provozních nákladech ČPZP měly náklady spojené s náborem nových pojištěnců</w:t>
      </w:r>
      <w:r w:rsidR="00984D4F" w:rsidRPr="00FD304C">
        <w:rPr>
          <w:rFonts w:cs="Arial"/>
          <w:lang w:val="cs-CZ"/>
        </w:rPr>
        <w:t xml:space="preserve"> a reklamou</w:t>
      </w:r>
      <w:r w:rsidRPr="00FD304C">
        <w:rPr>
          <w:rFonts w:cs="Arial"/>
          <w:lang w:val="cs-CZ"/>
        </w:rPr>
        <w:t xml:space="preserve">. </w:t>
      </w:r>
      <w:r w:rsidR="000053E7" w:rsidRPr="00FD304C">
        <w:rPr>
          <w:rFonts w:cs="Arial"/>
          <w:lang w:val="cs-CZ"/>
        </w:rPr>
        <w:t xml:space="preserve">ČPZP v letech 2009 až 2012 čerpala </w:t>
      </w:r>
      <w:r w:rsidR="002A0CD5" w:rsidRPr="00FD304C">
        <w:rPr>
          <w:rFonts w:cs="Arial"/>
          <w:lang w:val="cs-CZ"/>
        </w:rPr>
        <w:t>provozní fond</w:t>
      </w:r>
      <w:r w:rsidR="000053E7" w:rsidRPr="00FD304C">
        <w:rPr>
          <w:rFonts w:cs="Arial"/>
          <w:lang w:val="cs-CZ"/>
        </w:rPr>
        <w:t xml:space="preserve"> na </w:t>
      </w:r>
      <w:r w:rsidR="000053E7" w:rsidRPr="00FD304C">
        <w:rPr>
          <w:rFonts w:cs="Arial"/>
          <w:lang w:val="cs-CZ"/>
        </w:rPr>
        <w:lastRenderedPageBreak/>
        <w:t>náklady spojené s náborem nových pojištěnců v celkové výši 61 675 290 Kč. Např. v roce 2011 se jednalo o</w:t>
      </w:r>
      <w:r w:rsidR="00C932A7" w:rsidRPr="00FD304C">
        <w:rPr>
          <w:rFonts w:cs="Arial"/>
          <w:lang w:val="cs-CZ"/>
        </w:rPr>
        <w:t> </w:t>
      </w:r>
      <w:r w:rsidR="000053E7" w:rsidRPr="00FD304C">
        <w:rPr>
          <w:rFonts w:cs="Arial"/>
          <w:lang w:val="cs-CZ"/>
        </w:rPr>
        <w:t xml:space="preserve">celkovou částku 20 617 800 Kč, která představovala 4,5 % z celkových provozních nákladů ČPZP. Průměrné náklady na nábor jednoho nového pojištěnce </w:t>
      </w:r>
      <w:r w:rsidR="00ED1C77" w:rsidRPr="00FD304C">
        <w:rPr>
          <w:rFonts w:cs="Arial"/>
          <w:lang w:val="cs-CZ"/>
        </w:rPr>
        <w:t xml:space="preserve">činily </w:t>
      </w:r>
      <w:r w:rsidR="002D612F" w:rsidRPr="00FD304C">
        <w:rPr>
          <w:rFonts w:cs="Arial"/>
          <w:lang w:val="cs-CZ"/>
        </w:rPr>
        <w:t xml:space="preserve">ve sledovaných letech </w:t>
      </w:r>
      <w:r w:rsidR="000053E7" w:rsidRPr="00FD304C">
        <w:rPr>
          <w:rFonts w:cs="Arial"/>
          <w:lang w:val="cs-CZ"/>
        </w:rPr>
        <w:t>852</w:t>
      </w:r>
      <w:r w:rsidR="00FD42E6" w:rsidRPr="00FD304C">
        <w:rPr>
          <w:rFonts w:cs="Arial"/>
          <w:lang w:val="cs-CZ"/>
        </w:rPr>
        <w:t> </w:t>
      </w:r>
      <w:r w:rsidR="000053E7" w:rsidRPr="00FD304C">
        <w:rPr>
          <w:rFonts w:cs="Arial"/>
          <w:lang w:val="cs-CZ"/>
        </w:rPr>
        <w:t xml:space="preserve">Kč. </w:t>
      </w:r>
      <w:r w:rsidRPr="00FD304C">
        <w:rPr>
          <w:rFonts w:cs="Arial"/>
          <w:lang w:val="cs-CZ"/>
        </w:rPr>
        <w:t xml:space="preserve">K </w:t>
      </w:r>
      <w:r w:rsidR="00E347F4" w:rsidRPr="00FD304C">
        <w:rPr>
          <w:rFonts w:cs="Arial"/>
          <w:lang w:val="cs-CZ"/>
        </w:rPr>
        <w:t>obdobnému</w:t>
      </w:r>
      <w:r w:rsidRPr="00FD304C">
        <w:rPr>
          <w:rFonts w:cs="Arial"/>
          <w:lang w:val="cs-CZ"/>
        </w:rPr>
        <w:t xml:space="preserve"> účelu sloužily </w:t>
      </w:r>
      <w:r w:rsidR="00E347F4" w:rsidRPr="00FD304C">
        <w:rPr>
          <w:rFonts w:cs="Arial"/>
          <w:lang w:val="cs-CZ"/>
        </w:rPr>
        <w:t>také</w:t>
      </w:r>
      <w:r w:rsidRPr="00FD304C">
        <w:rPr>
          <w:rFonts w:cs="Arial"/>
          <w:lang w:val="cs-CZ"/>
        </w:rPr>
        <w:t xml:space="preserve"> náklady na reklamu. Celkové náklady na nábory nových pojištěnců a</w:t>
      </w:r>
      <w:r w:rsidR="00ED1C77">
        <w:rPr>
          <w:rFonts w:cs="Arial"/>
          <w:lang w:val="cs-CZ"/>
        </w:rPr>
        <w:t> na</w:t>
      </w:r>
      <w:r w:rsidRPr="00FD304C">
        <w:rPr>
          <w:rFonts w:cs="Arial"/>
          <w:lang w:val="cs-CZ"/>
        </w:rPr>
        <w:t xml:space="preserve"> reklamu </w:t>
      </w:r>
      <w:r w:rsidR="00ED1C77" w:rsidRPr="00FD304C">
        <w:rPr>
          <w:rFonts w:cs="Arial"/>
          <w:lang w:val="cs-CZ"/>
        </w:rPr>
        <w:t xml:space="preserve">dosáhly </w:t>
      </w:r>
      <w:r w:rsidR="00E347F4" w:rsidRPr="00FD304C">
        <w:rPr>
          <w:rFonts w:cs="Arial"/>
          <w:lang w:val="cs-CZ"/>
        </w:rPr>
        <w:t xml:space="preserve">v roce 2012 </w:t>
      </w:r>
      <w:r w:rsidR="00ED1C77">
        <w:rPr>
          <w:rFonts w:cs="Arial"/>
          <w:lang w:val="cs-CZ"/>
        </w:rPr>
        <w:t xml:space="preserve">výše </w:t>
      </w:r>
      <w:r w:rsidR="00E347F4" w:rsidRPr="00FD304C">
        <w:rPr>
          <w:rFonts w:cs="Arial"/>
          <w:lang w:val="cs-CZ"/>
        </w:rPr>
        <w:t xml:space="preserve">10,5 % </w:t>
      </w:r>
      <w:r w:rsidR="00ED1C77">
        <w:rPr>
          <w:rFonts w:cs="Arial"/>
          <w:lang w:val="cs-CZ"/>
        </w:rPr>
        <w:t>z </w:t>
      </w:r>
      <w:r w:rsidR="00E347F4" w:rsidRPr="00FD304C">
        <w:rPr>
          <w:rFonts w:cs="Arial"/>
          <w:lang w:val="cs-CZ"/>
        </w:rPr>
        <w:t xml:space="preserve">celkových provozních nákladů </w:t>
      </w:r>
      <w:r w:rsidR="00627AC3" w:rsidRPr="00FD304C">
        <w:rPr>
          <w:rFonts w:cs="Arial"/>
          <w:lang w:val="cs-CZ"/>
        </w:rPr>
        <w:t>–</w:t>
      </w:r>
      <w:r w:rsidR="00E347F4" w:rsidRPr="00FD304C">
        <w:rPr>
          <w:rFonts w:cs="Arial"/>
          <w:lang w:val="cs-CZ"/>
        </w:rPr>
        <w:t xml:space="preserve"> </w:t>
      </w:r>
      <w:r w:rsidR="00627AC3" w:rsidRPr="00FD304C">
        <w:rPr>
          <w:rFonts w:cs="Arial"/>
          <w:lang w:val="cs-CZ"/>
        </w:rPr>
        <w:t xml:space="preserve">blíže </w:t>
      </w:r>
      <w:r w:rsidR="00E347F4" w:rsidRPr="00FD304C">
        <w:rPr>
          <w:rFonts w:cs="Arial"/>
          <w:lang w:val="cs-CZ"/>
        </w:rPr>
        <w:t>viz</w:t>
      </w:r>
      <w:r w:rsidRPr="00FD304C">
        <w:rPr>
          <w:rFonts w:cs="Arial"/>
          <w:lang w:val="cs-CZ"/>
        </w:rPr>
        <w:t xml:space="preserve"> </w:t>
      </w:r>
      <w:r w:rsidR="00E347F4" w:rsidRPr="00FD304C">
        <w:rPr>
          <w:rFonts w:cs="Arial"/>
          <w:lang w:val="cs-CZ"/>
        </w:rPr>
        <w:t>tabulka</w:t>
      </w:r>
      <w:r w:rsidRPr="00FD304C">
        <w:rPr>
          <w:rFonts w:cs="Arial"/>
          <w:lang w:val="cs-CZ"/>
        </w:rPr>
        <w:t xml:space="preserve"> č. 11</w:t>
      </w:r>
      <w:r w:rsidR="00E347F4" w:rsidRPr="00FD304C">
        <w:rPr>
          <w:rFonts w:cs="Arial"/>
          <w:lang w:val="cs-CZ"/>
        </w:rPr>
        <w:t>.</w:t>
      </w:r>
      <w:r w:rsidRPr="00FD304C">
        <w:rPr>
          <w:rFonts w:cs="Arial"/>
          <w:lang w:val="cs-CZ"/>
        </w:rPr>
        <w:t xml:space="preserve"> </w:t>
      </w:r>
    </w:p>
    <w:p w:rsidR="000053E7" w:rsidRPr="00FD304C" w:rsidRDefault="000053E7" w:rsidP="00FD304C">
      <w:pPr>
        <w:rPr>
          <w:rFonts w:cs="Arial"/>
          <w:lang w:val="cs-CZ"/>
        </w:rPr>
      </w:pPr>
    </w:p>
    <w:p w:rsidR="00917B97" w:rsidRPr="00FD304C" w:rsidRDefault="00917B97" w:rsidP="005355E1">
      <w:pPr>
        <w:tabs>
          <w:tab w:val="left" w:pos="1418"/>
          <w:tab w:val="left" w:pos="1560"/>
          <w:tab w:val="right" w:pos="9072"/>
        </w:tabs>
        <w:spacing w:after="40"/>
        <w:ind w:left="1559" w:hanging="1559"/>
        <w:rPr>
          <w:rFonts w:cs="Arial"/>
          <w:b/>
          <w:lang w:val="cs-CZ"/>
        </w:rPr>
      </w:pPr>
      <w:r w:rsidRPr="00FD304C">
        <w:rPr>
          <w:rFonts w:cs="Arial"/>
          <w:b/>
          <w:lang w:val="cs-CZ"/>
        </w:rPr>
        <w:t>Tabulka č. 11</w:t>
      </w:r>
      <w:r w:rsidRPr="00FD304C">
        <w:rPr>
          <w:rFonts w:cs="Arial"/>
          <w:b/>
          <w:lang w:val="cs-CZ"/>
        </w:rPr>
        <w:tab/>
      </w:r>
      <w:r w:rsidR="00C932A7" w:rsidRPr="00FD304C">
        <w:rPr>
          <w:rFonts w:cs="Arial"/>
          <w:b/>
          <w:lang w:val="cs-CZ"/>
        </w:rPr>
        <w:t>–</w:t>
      </w:r>
      <w:r w:rsidRPr="00FD304C">
        <w:rPr>
          <w:rFonts w:cs="Arial"/>
          <w:b/>
          <w:lang w:val="cs-CZ"/>
        </w:rPr>
        <w:t xml:space="preserve"> Náklady na reklamu a nábory nových pojištěnců</w:t>
      </w:r>
      <w:r w:rsidRPr="00FD304C">
        <w:rPr>
          <w:rFonts w:cs="Arial"/>
          <w:b/>
          <w:lang w:val="cs-CZ"/>
        </w:rPr>
        <w:tab/>
        <w:t xml:space="preserve"> (v tis. Kč)</w:t>
      </w:r>
    </w:p>
    <w:tbl>
      <w:tblPr>
        <w:tblW w:w="4893" w:type="pct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9"/>
        <w:gridCol w:w="1077"/>
        <w:gridCol w:w="1077"/>
        <w:gridCol w:w="1076"/>
        <w:gridCol w:w="1076"/>
      </w:tblGrid>
      <w:tr w:rsidR="00917B97" w:rsidRPr="00FD304C" w:rsidTr="00ED1C77">
        <w:trPr>
          <w:cantSplit/>
          <w:trHeight w:val="227"/>
          <w:jc w:val="center"/>
        </w:trPr>
        <w:tc>
          <w:tcPr>
            <w:tcW w:w="2610" w:type="pct"/>
            <w:shd w:val="clear" w:color="auto" w:fill="auto"/>
            <w:vAlign w:val="center"/>
          </w:tcPr>
          <w:p w:rsidR="00917B97" w:rsidRPr="00FD304C" w:rsidRDefault="00917B97" w:rsidP="00FD304C">
            <w:pPr>
              <w:jc w:val="left"/>
              <w:rPr>
                <w:rFonts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917B97" w:rsidRPr="00FD304C" w:rsidRDefault="00917B97" w:rsidP="00FD304C">
            <w:pPr>
              <w:jc w:val="center"/>
              <w:rPr>
                <w:rFonts w:cs="Arial"/>
                <w:b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b/>
                <w:sz w:val="18"/>
                <w:szCs w:val="18"/>
                <w:lang w:val="cs-CZ"/>
              </w:rPr>
              <w:t>2009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917B97" w:rsidRPr="00FD304C" w:rsidRDefault="00917B97" w:rsidP="00FD304C">
            <w:pPr>
              <w:jc w:val="center"/>
              <w:rPr>
                <w:rFonts w:cs="Arial"/>
                <w:b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b/>
                <w:sz w:val="18"/>
                <w:szCs w:val="18"/>
                <w:lang w:val="cs-CZ"/>
              </w:rPr>
              <w:t>2010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917B97" w:rsidRPr="00FD304C" w:rsidRDefault="00917B97" w:rsidP="00FD304C">
            <w:pPr>
              <w:jc w:val="center"/>
              <w:rPr>
                <w:rFonts w:cs="Arial"/>
                <w:b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b/>
                <w:sz w:val="18"/>
                <w:szCs w:val="18"/>
                <w:lang w:val="cs-CZ"/>
              </w:rPr>
              <w:t>2011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917B97" w:rsidRPr="00FD304C" w:rsidRDefault="00917B97" w:rsidP="00FD304C">
            <w:pPr>
              <w:jc w:val="center"/>
              <w:rPr>
                <w:rFonts w:cs="Arial"/>
                <w:b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b/>
                <w:sz w:val="18"/>
                <w:szCs w:val="18"/>
                <w:lang w:val="cs-CZ"/>
              </w:rPr>
              <w:t>2012</w:t>
            </w:r>
          </w:p>
        </w:tc>
      </w:tr>
      <w:tr w:rsidR="00917B97" w:rsidRPr="00FD304C" w:rsidTr="00ED1C77">
        <w:trPr>
          <w:trHeight w:val="227"/>
          <w:jc w:val="center"/>
        </w:trPr>
        <w:tc>
          <w:tcPr>
            <w:tcW w:w="2610" w:type="pct"/>
            <w:shd w:val="clear" w:color="auto" w:fill="auto"/>
            <w:vAlign w:val="center"/>
          </w:tcPr>
          <w:p w:rsidR="00917B97" w:rsidRPr="00F06B93" w:rsidRDefault="00917B97" w:rsidP="00FD304C">
            <w:pPr>
              <w:jc w:val="left"/>
              <w:rPr>
                <w:rFonts w:cs="Arial"/>
                <w:sz w:val="18"/>
                <w:szCs w:val="18"/>
                <w:lang w:val="cs-CZ"/>
              </w:rPr>
            </w:pPr>
            <w:r w:rsidRPr="00F06B93">
              <w:rPr>
                <w:rFonts w:cs="Arial"/>
                <w:sz w:val="18"/>
                <w:szCs w:val="18"/>
                <w:lang w:val="cs-CZ"/>
              </w:rPr>
              <w:t>Náklady na rekl</w:t>
            </w:r>
            <w:r w:rsidR="00D30DF5" w:rsidRPr="00F06B93">
              <w:rPr>
                <w:rFonts w:cs="Arial"/>
                <w:sz w:val="18"/>
                <w:szCs w:val="18"/>
                <w:lang w:val="cs-CZ"/>
              </w:rPr>
              <w:t>amu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917B97" w:rsidRPr="00FD304C" w:rsidRDefault="00917B97" w:rsidP="005355E1">
            <w:pPr>
              <w:ind w:right="57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D304C">
              <w:rPr>
                <w:rFonts w:cs="Arial"/>
                <w:bCs/>
                <w:color w:val="000000"/>
                <w:sz w:val="18"/>
                <w:szCs w:val="18"/>
              </w:rPr>
              <w:t>21 954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917B97" w:rsidRPr="00FD304C" w:rsidRDefault="00917B97" w:rsidP="005355E1">
            <w:pPr>
              <w:ind w:right="57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D304C">
              <w:rPr>
                <w:rFonts w:cs="Arial"/>
                <w:bCs/>
                <w:color w:val="000000"/>
                <w:sz w:val="18"/>
                <w:szCs w:val="18"/>
              </w:rPr>
              <w:t>16 447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917B97" w:rsidRPr="00FD304C" w:rsidRDefault="00917B97" w:rsidP="005355E1">
            <w:pPr>
              <w:ind w:right="57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D304C">
              <w:rPr>
                <w:rFonts w:cs="Arial"/>
                <w:bCs/>
                <w:color w:val="000000"/>
                <w:sz w:val="18"/>
                <w:szCs w:val="18"/>
              </w:rPr>
              <w:t>24 739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917B97" w:rsidRPr="00FD304C" w:rsidRDefault="008A0424" w:rsidP="005355E1">
            <w:pPr>
              <w:ind w:right="57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D304C">
              <w:rPr>
                <w:rFonts w:cs="Arial"/>
                <w:bCs/>
                <w:color w:val="000000"/>
                <w:sz w:val="18"/>
                <w:szCs w:val="18"/>
              </w:rPr>
              <w:t>38 785</w:t>
            </w:r>
          </w:p>
        </w:tc>
      </w:tr>
      <w:tr w:rsidR="00917B97" w:rsidRPr="00FD304C" w:rsidTr="00ED1C77">
        <w:trPr>
          <w:trHeight w:val="227"/>
          <w:jc w:val="center"/>
        </w:trPr>
        <w:tc>
          <w:tcPr>
            <w:tcW w:w="2610" w:type="pct"/>
            <w:shd w:val="clear" w:color="auto" w:fill="auto"/>
            <w:vAlign w:val="center"/>
          </w:tcPr>
          <w:p w:rsidR="00917B97" w:rsidRPr="00F06B93" w:rsidRDefault="00917B97" w:rsidP="00FD304C">
            <w:pPr>
              <w:ind w:left="709" w:hanging="709"/>
              <w:jc w:val="left"/>
              <w:rPr>
                <w:rFonts w:cs="Arial"/>
                <w:sz w:val="18"/>
                <w:szCs w:val="18"/>
                <w:lang w:val="cs-CZ"/>
              </w:rPr>
            </w:pPr>
            <w:r w:rsidRPr="00F06B93">
              <w:rPr>
                <w:rFonts w:cs="Arial"/>
                <w:sz w:val="18"/>
                <w:szCs w:val="18"/>
                <w:lang w:val="cs-CZ"/>
              </w:rPr>
              <w:t>Náklady na nábory nových pojištěnců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917B97" w:rsidRPr="00FD304C" w:rsidRDefault="00917B97" w:rsidP="005355E1">
            <w:pPr>
              <w:ind w:right="57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D304C">
              <w:rPr>
                <w:rFonts w:cs="Arial"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917B97" w:rsidRPr="00FD304C" w:rsidRDefault="00917B97" w:rsidP="005355E1">
            <w:pPr>
              <w:ind w:right="57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D304C">
              <w:rPr>
                <w:rFonts w:cs="Arial"/>
                <w:bCs/>
                <w:color w:val="000000"/>
                <w:sz w:val="18"/>
                <w:szCs w:val="18"/>
              </w:rPr>
              <w:t>19 362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917B97" w:rsidRPr="00FD304C" w:rsidRDefault="00917B97" w:rsidP="005355E1">
            <w:pPr>
              <w:ind w:right="57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D304C">
              <w:rPr>
                <w:rFonts w:cs="Arial"/>
                <w:bCs/>
                <w:color w:val="000000"/>
                <w:sz w:val="18"/>
                <w:szCs w:val="18"/>
              </w:rPr>
              <w:t>20 618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917B97" w:rsidRPr="00FD304C" w:rsidRDefault="008A0424" w:rsidP="005355E1">
            <w:pPr>
              <w:ind w:right="57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D304C">
              <w:rPr>
                <w:rFonts w:cs="Arial"/>
                <w:bCs/>
                <w:color w:val="000000"/>
                <w:sz w:val="18"/>
                <w:szCs w:val="18"/>
              </w:rPr>
              <w:t>21 156</w:t>
            </w:r>
          </w:p>
        </w:tc>
      </w:tr>
      <w:tr w:rsidR="00917B97" w:rsidRPr="00FD304C" w:rsidTr="00ED1C77">
        <w:trPr>
          <w:trHeight w:val="227"/>
          <w:jc w:val="center"/>
        </w:trPr>
        <w:tc>
          <w:tcPr>
            <w:tcW w:w="2610" w:type="pct"/>
            <w:shd w:val="clear" w:color="auto" w:fill="auto"/>
            <w:vAlign w:val="center"/>
          </w:tcPr>
          <w:p w:rsidR="00917B97" w:rsidRPr="00FD304C" w:rsidRDefault="00917B97" w:rsidP="00FD304C">
            <w:pPr>
              <w:jc w:val="left"/>
              <w:rPr>
                <w:rFonts w:cs="Arial"/>
                <w:b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b/>
                <w:sz w:val="18"/>
                <w:szCs w:val="18"/>
                <w:lang w:val="cs-CZ"/>
              </w:rPr>
              <w:t>Celkové náklady na reklamu a nábory nových pojištěnců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917B97" w:rsidRPr="00FD304C" w:rsidRDefault="00917B97" w:rsidP="004516EF">
            <w:pPr>
              <w:ind w:right="57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D304C">
              <w:rPr>
                <w:rFonts w:cs="Arial"/>
                <w:b/>
                <w:bCs/>
                <w:color w:val="000000"/>
                <w:sz w:val="18"/>
                <w:szCs w:val="18"/>
              </w:rPr>
              <w:t>22 49</w:t>
            </w:r>
            <w:r w:rsidR="004516EF">
              <w:rPr>
                <w:rFonts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917B97" w:rsidRPr="00FD304C" w:rsidRDefault="00917B97" w:rsidP="005355E1">
            <w:pPr>
              <w:ind w:right="57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D304C">
              <w:rPr>
                <w:rFonts w:cs="Arial"/>
                <w:b/>
                <w:bCs/>
                <w:color w:val="000000"/>
                <w:sz w:val="18"/>
                <w:szCs w:val="18"/>
              </w:rPr>
              <w:t>35 809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917B97" w:rsidRPr="00FD304C" w:rsidRDefault="00917B97" w:rsidP="005355E1">
            <w:pPr>
              <w:ind w:right="57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D304C">
              <w:rPr>
                <w:rFonts w:cs="Arial"/>
                <w:b/>
                <w:bCs/>
                <w:color w:val="000000"/>
                <w:sz w:val="18"/>
                <w:szCs w:val="18"/>
              </w:rPr>
              <w:t>45 357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917B97" w:rsidRPr="00FD304C" w:rsidRDefault="008A0424" w:rsidP="005355E1">
            <w:pPr>
              <w:ind w:right="57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D304C">
              <w:rPr>
                <w:rFonts w:cs="Arial"/>
                <w:b/>
                <w:bCs/>
                <w:color w:val="000000"/>
                <w:sz w:val="18"/>
                <w:szCs w:val="18"/>
              </w:rPr>
              <w:t>59 941</w:t>
            </w:r>
          </w:p>
        </w:tc>
      </w:tr>
      <w:tr w:rsidR="00917B97" w:rsidRPr="00FD304C" w:rsidTr="00ED1C77">
        <w:trPr>
          <w:trHeight w:val="227"/>
          <w:jc w:val="center"/>
        </w:trPr>
        <w:tc>
          <w:tcPr>
            <w:tcW w:w="2610" w:type="pct"/>
            <w:shd w:val="clear" w:color="auto" w:fill="auto"/>
            <w:vAlign w:val="center"/>
          </w:tcPr>
          <w:p w:rsidR="00917B97" w:rsidRPr="00F06B93" w:rsidRDefault="00917B97" w:rsidP="00FD304C">
            <w:pPr>
              <w:jc w:val="left"/>
              <w:rPr>
                <w:rFonts w:cs="Arial"/>
                <w:sz w:val="18"/>
                <w:szCs w:val="18"/>
                <w:lang w:val="cs-CZ"/>
              </w:rPr>
            </w:pPr>
            <w:r w:rsidRPr="00F06B93">
              <w:rPr>
                <w:rFonts w:cs="Arial"/>
                <w:sz w:val="18"/>
                <w:szCs w:val="18"/>
                <w:lang w:val="cs-CZ"/>
              </w:rPr>
              <w:t>Celkové provozní náklady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917B97" w:rsidRPr="00FD304C" w:rsidRDefault="00917B97" w:rsidP="005355E1">
            <w:pPr>
              <w:ind w:right="57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D304C">
              <w:rPr>
                <w:rFonts w:cs="Arial"/>
                <w:bCs/>
                <w:color w:val="000000"/>
                <w:sz w:val="18"/>
                <w:szCs w:val="18"/>
              </w:rPr>
              <w:t>343 447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917B97" w:rsidRPr="00FD304C" w:rsidRDefault="00917B97" w:rsidP="005355E1">
            <w:pPr>
              <w:ind w:right="57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D304C">
              <w:rPr>
                <w:rFonts w:cs="Arial"/>
                <w:bCs/>
                <w:color w:val="000000"/>
                <w:sz w:val="18"/>
                <w:szCs w:val="18"/>
              </w:rPr>
              <w:t>479 307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917B97" w:rsidRPr="00FD304C" w:rsidRDefault="008A0424" w:rsidP="005355E1">
            <w:pPr>
              <w:ind w:right="57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D304C">
              <w:rPr>
                <w:rFonts w:cs="Arial"/>
                <w:bCs/>
                <w:color w:val="000000"/>
                <w:sz w:val="18"/>
                <w:szCs w:val="18"/>
              </w:rPr>
              <w:t>457 126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917B97" w:rsidRPr="00FD304C" w:rsidRDefault="008A0424" w:rsidP="005355E1">
            <w:pPr>
              <w:ind w:right="57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D304C">
              <w:rPr>
                <w:rFonts w:cs="Arial"/>
                <w:bCs/>
                <w:color w:val="000000"/>
                <w:sz w:val="18"/>
                <w:szCs w:val="18"/>
              </w:rPr>
              <w:t>573 636</w:t>
            </w:r>
          </w:p>
        </w:tc>
      </w:tr>
      <w:tr w:rsidR="00917B97" w:rsidRPr="00FD304C" w:rsidTr="00ED1C77">
        <w:trPr>
          <w:trHeight w:val="227"/>
          <w:jc w:val="center"/>
        </w:trPr>
        <w:tc>
          <w:tcPr>
            <w:tcW w:w="2610" w:type="pct"/>
            <w:shd w:val="clear" w:color="auto" w:fill="auto"/>
            <w:vAlign w:val="center"/>
          </w:tcPr>
          <w:p w:rsidR="00917B97" w:rsidRPr="00FD304C" w:rsidRDefault="00917B97" w:rsidP="00FD304C">
            <w:pPr>
              <w:jc w:val="left"/>
              <w:rPr>
                <w:rFonts w:cs="Arial"/>
                <w:b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b/>
                <w:sz w:val="18"/>
                <w:szCs w:val="18"/>
                <w:lang w:val="cs-CZ"/>
              </w:rPr>
              <w:t>Podíl nákladů na reklamu a nábory nových pojištěnců na celkových provozních nákladech</w:t>
            </w:r>
            <w:r w:rsidR="00ED1C77">
              <w:rPr>
                <w:rFonts w:cs="Arial"/>
                <w:b/>
                <w:sz w:val="18"/>
                <w:szCs w:val="18"/>
                <w:lang w:val="cs-CZ"/>
              </w:rPr>
              <w:t xml:space="preserve"> (v %)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917B97" w:rsidRPr="00FD304C" w:rsidRDefault="00917B97" w:rsidP="005355E1">
            <w:pPr>
              <w:ind w:right="57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D304C">
              <w:rPr>
                <w:rFonts w:cs="Arial"/>
                <w:b/>
                <w:bCs/>
                <w:color w:val="000000"/>
                <w:sz w:val="18"/>
                <w:szCs w:val="18"/>
              </w:rPr>
              <w:t>6,6 %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917B97" w:rsidRPr="00FD304C" w:rsidRDefault="00D30DF5" w:rsidP="005355E1">
            <w:pPr>
              <w:ind w:right="57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D304C">
              <w:rPr>
                <w:rFonts w:cs="Arial"/>
                <w:b/>
                <w:bCs/>
                <w:color w:val="000000"/>
                <w:sz w:val="18"/>
                <w:szCs w:val="18"/>
              </w:rPr>
              <w:t>7,5</w:t>
            </w:r>
            <w:r w:rsidR="00917B97" w:rsidRPr="00FD304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917B97" w:rsidRPr="00FD304C" w:rsidRDefault="008A0424" w:rsidP="005355E1">
            <w:pPr>
              <w:ind w:right="57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D304C">
              <w:rPr>
                <w:rFonts w:cs="Arial"/>
                <w:b/>
                <w:bCs/>
                <w:color w:val="000000"/>
                <w:sz w:val="18"/>
                <w:szCs w:val="18"/>
              </w:rPr>
              <w:t>9,9 %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917B97" w:rsidRPr="00FD304C" w:rsidRDefault="008A0424" w:rsidP="005355E1">
            <w:pPr>
              <w:ind w:right="57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D304C">
              <w:rPr>
                <w:rFonts w:cs="Arial"/>
                <w:b/>
                <w:bCs/>
                <w:color w:val="000000"/>
                <w:sz w:val="18"/>
                <w:szCs w:val="18"/>
              </w:rPr>
              <w:t>10,5 %</w:t>
            </w:r>
          </w:p>
        </w:tc>
      </w:tr>
    </w:tbl>
    <w:p w:rsidR="00917B97" w:rsidRPr="00FD304C" w:rsidRDefault="00917B97" w:rsidP="005355E1">
      <w:pPr>
        <w:spacing w:before="40"/>
        <w:rPr>
          <w:rFonts w:cs="Arial"/>
          <w:sz w:val="18"/>
          <w:szCs w:val="18"/>
          <w:lang w:val="cs-CZ"/>
        </w:rPr>
      </w:pPr>
      <w:r w:rsidRPr="00FD304C">
        <w:rPr>
          <w:rFonts w:cs="Arial"/>
          <w:b/>
          <w:sz w:val="18"/>
          <w:szCs w:val="18"/>
          <w:lang w:val="cs-CZ"/>
        </w:rPr>
        <w:t>Zdroj:</w:t>
      </w:r>
      <w:r w:rsidR="00D30DF5" w:rsidRPr="00FD304C">
        <w:rPr>
          <w:rFonts w:cs="Arial"/>
          <w:sz w:val="18"/>
          <w:szCs w:val="18"/>
          <w:lang w:val="cs-CZ"/>
        </w:rPr>
        <w:t xml:space="preserve"> </w:t>
      </w:r>
      <w:r w:rsidR="00C938BC">
        <w:rPr>
          <w:rFonts w:cs="Arial"/>
          <w:sz w:val="18"/>
          <w:szCs w:val="18"/>
          <w:lang w:val="cs-CZ"/>
        </w:rPr>
        <w:t>ú</w:t>
      </w:r>
      <w:r w:rsidR="00D30DF5" w:rsidRPr="00FD304C">
        <w:rPr>
          <w:rFonts w:cs="Arial"/>
          <w:sz w:val="18"/>
          <w:szCs w:val="18"/>
          <w:lang w:val="cs-CZ"/>
        </w:rPr>
        <w:t xml:space="preserve">četní záznamy ČPZP, </w:t>
      </w:r>
      <w:r w:rsidR="00C938BC">
        <w:rPr>
          <w:rFonts w:cs="Arial"/>
          <w:sz w:val="18"/>
          <w:szCs w:val="18"/>
          <w:lang w:val="cs-CZ"/>
        </w:rPr>
        <w:t>v</w:t>
      </w:r>
      <w:r w:rsidR="00D30DF5" w:rsidRPr="00FD304C">
        <w:rPr>
          <w:rFonts w:cs="Arial"/>
          <w:sz w:val="18"/>
          <w:szCs w:val="18"/>
          <w:lang w:val="cs-CZ"/>
        </w:rPr>
        <w:t>ýroční zprávy ČPZP za roky 2009 až 2012</w:t>
      </w:r>
      <w:r w:rsidRPr="00FD304C">
        <w:rPr>
          <w:rFonts w:cs="Arial"/>
          <w:sz w:val="18"/>
          <w:szCs w:val="18"/>
          <w:lang w:val="cs-CZ"/>
        </w:rPr>
        <w:t>.</w:t>
      </w:r>
    </w:p>
    <w:p w:rsidR="00917B97" w:rsidRPr="00FD304C" w:rsidRDefault="00917B97" w:rsidP="00FD304C">
      <w:pPr>
        <w:rPr>
          <w:rFonts w:cs="Arial"/>
          <w:lang w:val="cs-CZ"/>
        </w:rPr>
      </w:pPr>
    </w:p>
    <w:p w:rsidR="00DA15CF" w:rsidRPr="00FD304C" w:rsidRDefault="00DA15CF" w:rsidP="00FD304C">
      <w:pPr>
        <w:rPr>
          <w:rFonts w:cs="Arial"/>
          <w:b/>
          <w:lang w:val="cs-CZ"/>
        </w:rPr>
      </w:pPr>
      <w:r w:rsidRPr="00FD304C">
        <w:rPr>
          <w:rFonts w:cs="Arial"/>
          <w:b/>
          <w:lang w:val="cs-CZ"/>
        </w:rPr>
        <w:t>Vývoj provozních nákladů v souvislosti se sloučením zdravotních pojišťoven</w:t>
      </w:r>
    </w:p>
    <w:p w:rsidR="009639A1" w:rsidRDefault="009639A1" w:rsidP="00FD304C">
      <w:pPr>
        <w:rPr>
          <w:rFonts w:cs="Arial"/>
          <w:lang w:val="cs-CZ"/>
        </w:rPr>
      </w:pPr>
    </w:p>
    <w:p w:rsidR="00DA15CF" w:rsidRPr="00FD304C" w:rsidRDefault="00DA15CF" w:rsidP="00FD304C">
      <w:pPr>
        <w:rPr>
          <w:rFonts w:cs="Arial"/>
          <w:lang w:val="cs-CZ"/>
        </w:rPr>
      </w:pPr>
      <w:r w:rsidRPr="00FD304C">
        <w:rPr>
          <w:rFonts w:cs="Arial"/>
          <w:lang w:val="cs-CZ"/>
        </w:rPr>
        <w:t>V tabulce č. 1</w:t>
      </w:r>
      <w:r w:rsidR="00400EBC" w:rsidRPr="00FD304C">
        <w:rPr>
          <w:rFonts w:cs="Arial"/>
          <w:lang w:val="cs-CZ"/>
        </w:rPr>
        <w:t>2</w:t>
      </w:r>
      <w:r w:rsidRPr="00FD304C">
        <w:rPr>
          <w:rFonts w:cs="Arial"/>
          <w:lang w:val="cs-CZ"/>
        </w:rPr>
        <w:t xml:space="preserve"> jsou uvedeny provozní náklady sloučených zdravotních pojišťoven (HZP</w:t>
      </w:r>
      <w:r w:rsidR="00C938BC">
        <w:rPr>
          <w:rFonts w:cs="Arial"/>
          <w:lang w:val="cs-CZ"/>
        </w:rPr>
        <w:t>,</w:t>
      </w:r>
      <w:r w:rsidRPr="00FD304C">
        <w:rPr>
          <w:rFonts w:cs="Arial"/>
          <w:lang w:val="cs-CZ"/>
        </w:rPr>
        <w:t xml:space="preserve"> resp. ČPZP, ZPA a ČNZP) za roky 2008 a 2009 a dále vývoj provozních nákladů ČPZP v letech 2010 až 2012.</w:t>
      </w:r>
    </w:p>
    <w:p w:rsidR="006B42F6" w:rsidRPr="00FD304C" w:rsidRDefault="006B42F6" w:rsidP="00FD304C">
      <w:pPr>
        <w:rPr>
          <w:rFonts w:cs="Arial"/>
          <w:lang w:val="cs-CZ"/>
        </w:rPr>
      </w:pPr>
    </w:p>
    <w:p w:rsidR="00DA15CF" w:rsidRPr="00FD304C" w:rsidRDefault="00DA15CF" w:rsidP="005355E1">
      <w:pPr>
        <w:tabs>
          <w:tab w:val="left" w:pos="1418"/>
          <w:tab w:val="left" w:pos="1560"/>
          <w:tab w:val="right" w:pos="9072"/>
        </w:tabs>
        <w:spacing w:after="40"/>
        <w:ind w:left="1559" w:hanging="1559"/>
        <w:rPr>
          <w:rFonts w:cs="Arial"/>
          <w:b/>
          <w:lang w:val="cs-CZ"/>
        </w:rPr>
      </w:pPr>
      <w:r w:rsidRPr="00FD304C">
        <w:rPr>
          <w:rFonts w:cs="Arial"/>
          <w:b/>
          <w:lang w:val="cs-CZ"/>
        </w:rPr>
        <w:t>Tabulka č. 1</w:t>
      </w:r>
      <w:r w:rsidR="00400EBC" w:rsidRPr="00FD304C">
        <w:rPr>
          <w:rFonts w:cs="Arial"/>
          <w:b/>
          <w:lang w:val="cs-CZ"/>
        </w:rPr>
        <w:t>2</w:t>
      </w:r>
      <w:r w:rsidR="009F58F7" w:rsidRPr="00FD304C">
        <w:rPr>
          <w:rFonts w:cs="Arial"/>
          <w:b/>
          <w:lang w:val="cs-CZ"/>
        </w:rPr>
        <w:t xml:space="preserve"> </w:t>
      </w:r>
      <w:r w:rsidR="00C932A7" w:rsidRPr="00FD304C">
        <w:rPr>
          <w:rFonts w:cs="Arial"/>
          <w:b/>
          <w:lang w:val="cs-CZ"/>
        </w:rPr>
        <w:t>–</w:t>
      </w:r>
      <w:r w:rsidR="00FF1DA4" w:rsidRPr="00FD304C">
        <w:rPr>
          <w:rFonts w:cs="Arial"/>
          <w:b/>
          <w:lang w:val="cs-CZ"/>
        </w:rPr>
        <w:t xml:space="preserve"> </w:t>
      </w:r>
      <w:r w:rsidRPr="00FD304C">
        <w:rPr>
          <w:rFonts w:cs="Arial"/>
          <w:b/>
          <w:lang w:val="cs-CZ"/>
        </w:rPr>
        <w:t>Vývoj provozních nákladů</w:t>
      </w:r>
      <w:r w:rsidRPr="00FD304C">
        <w:rPr>
          <w:rFonts w:cs="Arial"/>
          <w:b/>
          <w:lang w:val="cs-CZ"/>
        </w:rPr>
        <w:tab/>
        <w:t>(v tis. Kč)</w:t>
      </w:r>
    </w:p>
    <w:tbl>
      <w:tblPr>
        <w:tblW w:w="4917" w:type="pct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  <w:gridCol w:w="924"/>
        <w:gridCol w:w="922"/>
        <w:gridCol w:w="1020"/>
        <w:gridCol w:w="1020"/>
        <w:gridCol w:w="919"/>
      </w:tblGrid>
      <w:tr w:rsidR="00DA15CF" w:rsidRPr="00FD304C" w:rsidTr="007A3D38">
        <w:trPr>
          <w:cantSplit/>
          <w:trHeight w:val="227"/>
          <w:jc w:val="center"/>
        </w:trPr>
        <w:tc>
          <w:tcPr>
            <w:tcW w:w="2348" w:type="pct"/>
            <w:shd w:val="clear" w:color="auto" w:fill="auto"/>
            <w:vAlign w:val="center"/>
          </w:tcPr>
          <w:p w:rsidR="00DA15CF" w:rsidRPr="00FD304C" w:rsidRDefault="00DA15CF" w:rsidP="00FD304C">
            <w:pPr>
              <w:jc w:val="left"/>
              <w:rPr>
                <w:rFonts w:cs="Arial"/>
                <w:b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b/>
                <w:sz w:val="18"/>
                <w:szCs w:val="18"/>
                <w:lang w:val="cs-CZ"/>
              </w:rPr>
              <w:t>Ukazatel</w:t>
            </w:r>
          </w:p>
        </w:tc>
        <w:tc>
          <w:tcPr>
            <w:tcW w:w="510" w:type="pct"/>
            <w:vAlign w:val="center"/>
          </w:tcPr>
          <w:p w:rsidR="00DA15CF" w:rsidRPr="00FD304C" w:rsidRDefault="00DA15CF" w:rsidP="00C938BC">
            <w:pPr>
              <w:jc w:val="center"/>
              <w:rPr>
                <w:rFonts w:cs="Arial"/>
                <w:b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b/>
                <w:sz w:val="18"/>
                <w:szCs w:val="18"/>
                <w:lang w:val="cs-CZ"/>
              </w:rPr>
              <w:t>2008*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A15CF" w:rsidRPr="00FD304C" w:rsidRDefault="00DA15CF" w:rsidP="00C938BC">
            <w:pPr>
              <w:jc w:val="center"/>
              <w:rPr>
                <w:rFonts w:cs="Arial"/>
                <w:b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b/>
                <w:sz w:val="18"/>
                <w:szCs w:val="18"/>
                <w:lang w:val="cs-CZ"/>
              </w:rPr>
              <w:t>2009**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DA15CF" w:rsidRPr="00FD304C" w:rsidRDefault="00DA15CF" w:rsidP="00FD304C">
            <w:pPr>
              <w:jc w:val="center"/>
              <w:rPr>
                <w:rFonts w:cs="Arial"/>
                <w:b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b/>
                <w:sz w:val="18"/>
                <w:szCs w:val="18"/>
                <w:lang w:val="cs-CZ"/>
              </w:rPr>
              <w:t>2010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DA15CF" w:rsidRPr="00FD304C" w:rsidRDefault="00DA15CF" w:rsidP="00FD304C">
            <w:pPr>
              <w:jc w:val="center"/>
              <w:rPr>
                <w:rFonts w:cs="Arial"/>
                <w:b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b/>
                <w:sz w:val="18"/>
                <w:szCs w:val="18"/>
                <w:lang w:val="cs-CZ"/>
              </w:rPr>
              <w:t>2011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A15CF" w:rsidRPr="00FD304C" w:rsidRDefault="00DA15CF" w:rsidP="00FD304C">
            <w:pPr>
              <w:jc w:val="center"/>
              <w:rPr>
                <w:rFonts w:cs="Arial"/>
                <w:b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b/>
                <w:sz w:val="18"/>
                <w:szCs w:val="18"/>
                <w:lang w:val="cs-CZ"/>
              </w:rPr>
              <w:t>2012</w:t>
            </w:r>
          </w:p>
        </w:tc>
      </w:tr>
      <w:tr w:rsidR="00DA15CF" w:rsidRPr="00FD304C" w:rsidTr="007A3D38">
        <w:trPr>
          <w:trHeight w:val="227"/>
          <w:jc w:val="center"/>
        </w:trPr>
        <w:tc>
          <w:tcPr>
            <w:tcW w:w="2348" w:type="pct"/>
            <w:shd w:val="clear" w:color="auto" w:fill="auto"/>
            <w:vAlign w:val="center"/>
          </w:tcPr>
          <w:p w:rsidR="00DA15CF" w:rsidRPr="00F06B93" w:rsidRDefault="00DA15CF" w:rsidP="00F63279">
            <w:pPr>
              <w:rPr>
                <w:rFonts w:cs="Arial"/>
                <w:sz w:val="18"/>
                <w:szCs w:val="18"/>
                <w:lang w:val="cs-CZ"/>
              </w:rPr>
            </w:pPr>
            <w:r w:rsidRPr="00F06B93">
              <w:rPr>
                <w:rFonts w:cs="Arial"/>
                <w:sz w:val="18"/>
                <w:szCs w:val="18"/>
                <w:lang w:val="cs-CZ"/>
              </w:rPr>
              <w:t>Provozní náklady***</w:t>
            </w:r>
          </w:p>
        </w:tc>
        <w:tc>
          <w:tcPr>
            <w:tcW w:w="510" w:type="pct"/>
            <w:vAlign w:val="center"/>
          </w:tcPr>
          <w:p w:rsidR="00DA15CF" w:rsidRPr="00FD304C" w:rsidRDefault="00DA15CF" w:rsidP="005355E1">
            <w:pPr>
              <w:ind w:right="57"/>
              <w:jc w:val="center"/>
              <w:rPr>
                <w:rFonts w:cs="Arial"/>
                <w:bCs/>
                <w:color w:val="000000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bCs/>
                <w:color w:val="000000"/>
                <w:sz w:val="18"/>
                <w:szCs w:val="18"/>
              </w:rPr>
              <w:t>549 632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A15CF" w:rsidRPr="00FD304C" w:rsidRDefault="00DA15CF" w:rsidP="005355E1">
            <w:pPr>
              <w:ind w:right="57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D304C">
              <w:rPr>
                <w:rFonts w:cs="Arial"/>
                <w:bCs/>
                <w:color w:val="000000"/>
                <w:sz w:val="18"/>
                <w:szCs w:val="18"/>
              </w:rPr>
              <w:t>546 838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DA15CF" w:rsidRPr="00FD304C" w:rsidRDefault="00DA15CF" w:rsidP="005355E1">
            <w:pPr>
              <w:ind w:right="57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D304C">
              <w:rPr>
                <w:rFonts w:cs="Arial"/>
                <w:bCs/>
                <w:color w:val="000000"/>
                <w:sz w:val="18"/>
                <w:szCs w:val="18"/>
              </w:rPr>
              <w:t>466 738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DA15CF" w:rsidRPr="00FD304C" w:rsidRDefault="00DA15CF" w:rsidP="005355E1">
            <w:pPr>
              <w:ind w:right="57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D304C">
              <w:rPr>
                <w:rFonts w:cs="Arial"/>
                <w:bCs/>
                <w:color w:val="000000"/>
                <w:sz w:val="18"/>
                <w:szCs w:val="18"/>
              </w:rPr>
              <w:t>439 345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A15CF" w:rsidRPr="00FD304C" w:rsidRDefault="00DA15CF" w:rsidP="005355E1">
            <w:pPr>
              <w:ind w:right="57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D304C">
              <w:rPr>
                <w:rFonts w:cs="Arial"/>
                <w:bCs/>
                <w:color w:val="000000"/>
                <w:sz w:val="18"/>
                <w:szCs w:val="18"/>
              </w:rPr>
              <w:t>572 874</w:t>
            </w:r>
          </w:p>
        </w:tc>
      </w:tr>
      <w:tr w:rsidR="00DA15CF" w:rsidRPr="00FD304C" w:rsidTr="007A3D38">
        <w:trPr>
          <w:trHeight w:val="227"/>
          <w:jc w:val="center"/>
        </w:trPr>
        <w:tc>
          <w:tcPr>
            <w:tcW w:w="2348" w:type="pct"/>
            <w:shd w:val="clear" w:color="auto" w:fill="auto"/>
            <w:vAlign w:val="center"/>
          </w:tcPr>
          <w:p w:rsidR="00DA15CF" w:rsidRPr="00F06B93" w:rsidRDefault="00DA15CF" w:rsidP="00FD304C">
            <w:pPr>
              <w:ind w:left="709" w:hanging="709"/>
              <w:rPr>
                <w:rFonts w:cs="Arial"/>
                <w:sz w:val="18"/>
                <w:szCs w:val="18"/>
                <w:lang w:val="cs-CZ"/>
              </w:rPr>
            </w:pPr>
            <w:r w:rsidRPr="00F06B93">
              <w:rPr>
                <w:rFonts w:cs="Arial"/>
                <w:sz w:val="18"/>
                <w:szCs w:val="18"/>
                <w:lang w:val="cs-CZ"/>
              </w:rPr>
              <w:t>Meziroční pokles</w:t>
            </w:r>
            <w:r w:rsidR="007A3D38">
              <w:rPr>
                <w:rFonts w:cs="Arial"/>
                <w:sz w:val="18"/>
                <w:szCs w:val="18"/>
                <w:lang w:val="cs-CZ"/>
              </w:rPr>
              <w:t>,</w:t>
            </w:r>
            <w:r w:rsidRPr="00F06B93">
              <w:rPr>
                <w:rFonts w:cs="Arial"/>
                <w:sz w:val="18"/>
                <w:szCs w:val="18"/>
                <w:lang w:val="cs-CZ"/>
              </w:rPr>
              <w:t xml:space="preserve"> resp. nárůst provozních nákladů</w:t>
            </w:r>
          </w:p>
        </w:tc>
        <w:tc>
          <w:tcPr>
            <w:tcW w:w="510" w:type="pct"/>
          </w:tcPr>
          <w:p w:rsidR="00DA15CF" w:rsidRPr="00FD304C" w:rsidRDefault="00DA15CF" w:rsidP="005355E1">
            <w:pPr>
              <w:ind w:right="57"/>
              <w:jc w:val="right"/>
              <w:rPr>
                <w:rFonts w:cs="Arial"/>
                <w:bCs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DA15CF" w:rsidRPr="00FD304C" w:rsidRDefault="007A3D38" w:rsidP="00F63279">
            <w:pPr>
              <w:ind w:right="57"/>
              <w:jc w:val="right"/>
              <w:rPr>
                <w:rFonts w:cs="Arial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cs-CZ"/>
              </w:rPr>
              <w:t>−</w:t>
            </w:r>
            <w:r w:rsidR="00DA15CF" w:rsidRPr="00FD304C">
              <w:rPr>
                <w:rFonts w:cs="Arial"/>
                <w:bCs/>
                <w:color w:val="000000"/>
                <w:sz w:val="18"/>
                <w:szCs w:val="18"/>
                <w:lang w:val="cs-CZ"/>
              </w:rPr>
              <w:t>2 794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DA15CF" w:rsidRPr="00FD304C" w:rsidRDefault="007A3D38" w:rsidP="00F63279">
            <w:pPr>
              <w:ind w:right="57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−</w:t>
            </w:r>
            <w:r w:rsidR="00DA15CF" w:rsidRPr="00FD304C">
              <w:rPr>
                <w:rFonts w:cs="Arial"/>
                <w:bCs/>
                <w:color w:val="000000"/>
                <w:sz w:val="18"/>
                <w:szCs w:val="18"/>
              </w:rPr>
              <w:t>80 100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DA15CF" w:rsidRPr="00FD304C" w:rsidRDefault="007A3D38" w:rsidP="00F63279">
            <w:pPr>
              <w:ind w:right="57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−</w:t>
            </w:r>
            <w:r w:rsidR="00DA15CF" w:rsidRPr="00FD304C">
              <w:rPr>
                <w:rFonts w:cs="Arial"/>
                <w:bCs/>
                <w:color w:val="000000"/>
                <w:sz w:val="18"/>
                <w:szCs w:val="18"/>
              </w:rPr>
              <w:t>27 393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A15CF" w:rsidRPr="00FD304C" w:rsidRDefault="00DA15CF" w:rsidP="005355E1">
            <w:pPr>
              <w:ind w:right="57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D304C">
              <w:rPr>
                <w:rFonts w:cs="Arial"/>
                <w:bCs/>
                <w:color w:val="000000"/>
                <w:sz w:val="18"/>
                <w:szCs w:val="18"/>
              </w:rPr>
              <w:t>133 529</w:t>
            </w:r>
          </w:p>
        </w:tc>
      </w:tr>
    </w:tbl>
    <w:p w:rsidR="00DA15CF" w:rsidRPr="00FD304C" w:rsidRDefault="00DA15CF" w:rsidP="005355E1">
      <w:pPr>
        <w:spacing w:before="40"/>
        <w:ind w:left="567" w:hanging="567"/>
        <w:rPr>
          <w:rFonts w:cs="Arial"/>
          <w:sz w:val="18"/>
          <w:szCs w:val="18"/>
          <w:lang w:val="cs-CZ"/>
        </w:rPr>
      </w:pPr>
      <w:r w:rsidRPr="00FD304C">
        <w:rPr>
          <w:rFonts w:cs="Arial"/>
          <w:b/>
          <w:sz w:val="18"/>
          <w:szCs w:val="18"/>
          <w:lang w:val="cs-CZ"/>
        </w:rPr>
        <w:t>Zdroj:</w:t>
      </w:r>
      <w:r w:rsidRPr="00FD304C">
        <w:rPr>
          <w:rFonts w:cs="Arial"/>
          <w:sz w:val="18"/>
          <w:szCs w:val="18"/>
          <w:lang w:val="cs-CZ"/>
        </w:rPr>
        <w:t xml:space="preserve"> </w:t>
      </w:r>
      <w:r w:rsidR="00C938BC">
        <w:rPr>
          <w:rFonts w:cs="Arial"/>
          <w:sz w:val="18"/>
          <w:szCs w:val="18"/>
          <w:lang w:val="cs-CZ"/>
        </w:rPr>
        <w:t>v</w:t>
      </w:r>
      <w:r w:rsidRPr="00FD304C">
        <w:rPr>
          <w:rFonts w:cs="Arial"/>
          <w:sz w:val="18"/>
          <w:szCs w:val="18"/>
          <w:lang w:val="cs-CZ"/>
        </w:rPr>
        <w:t>ýroční zprávy ČPZP za roky 2009 a</w:t>
      </w:r>
      <w:r w:rsidR="002A0CD5" w:rsidRPr="00FD304C">
        <w:rPr>
          <w:rFonts w:cs="Arial"/>
          <w:sz w:val="18"/>
          <w:szCs w:val="18"/>
          <w:lang w:val="cs-CZ"/>
        </w:rPr>
        <w:t>ž</w:t>
      </w:r>
      <w:r w:rsidRPr="00FD304C">
        <w:rPr>
          <w:rFonts w:cs="Arial"/>
          <w:sz w:val="18"/>
          <w:szCs w:val="18"/>
          <w:lang w:val="cs-CZ"/>
        </w:rPr>
        <w:t xml:space="preserve"> 2012, </w:t>
      </w:r>
      <w:r w:rsidR="00C938BC">
        <w:rPr>
          <w:rFonts w:cs="Arial"/>
          <w:sz w:val="18"/>
          <w:szCs w:val="18"/>
          <w:lang w:val="cs-CZ"/>
        </w:rPr>
        <w:t>z</w:t>
      </w:r>
      <w:r w:rsidRPr="00FD304C">
        <w:rPr>
          <w:rFonts w:cs="Arial"/>
          <w:sz w:val="18"/>
          <w:szCs w:val="18"/>
          <w:lang w:val="cs-CZ"/>
        </w:rPr>
        <w:t xml:space="preserve">práva nezávislého auditora o </w:t>
      </w:r>
      <w:r w:rsidR="005355E1">
        <w:rPr>
          <w:rFonts w:cs="Arial"/>
          <w:sz w:val="18"/>
          <w:szCs w:val="18"/>
          <w:lang w:val="cs-CZ"/>
        </w:rPr>
        <w:t>ověření účetní závěrky</w:t>
      </w:r>
      <w:r w:rsidR="00C938BC">
        <w:rPr>
          <w:rFonts w:cs="Arial"/>
          <w:sz w:val="18"/>
          <w:szCs w:val="18"/>
          <w:lang w:val="cs-CZ"/>
        </w:rPr>
        <w:t xml:space="preserve"> </w:t>
      </w:r>
      <w:r w:rsidR="00C938BC" w:rsidRPr="00FD304C">
        <w:rPr>
          <w:rFonts w:cs="Arial"/>
          <w:sz w:val="18"/>
          <w:szCs w:val="18"/>
          <w:lang w:val="cs-CZ"/>
        </w:rPr>
        <w:t>ZPA</w:t>
      </w:r>
      <w:r w:rsidR="005355E1">
        <w:rPr>
          <w:rFonts w:cs="Arial"/>
          <w:sz w:val="18"/>
          <w:szCs w:val="18"/>
          <w:lang w:val="cs-CZ"/>
        </w:rPr>
        <w:t xml:space="preserve"> k 30. 6. </w:t>
      </w:r>
      <w:r w:rsidRPr="00FD304C">
        <w:rPr>
          <w:rFonts w:cs="Arial"/>
          <w:sz w:val="18"/>
          <w:szCs w:val="18"/>
          <w:lang w:val="cs-CZ"/>
        </w:rPr>
        <w:t xml:space="preserve">2009, </w:t>
      </w:r>
      <w:r w:rsidR="00C938BC">
        <w:rPr>
          <w:rFonts w:cs="Arial"/>
          <w:sz w:val="18"/>
          <w:szCs w:val="18"/>
          <w:lang w:val="cs-CZ"/>
        </w:rPr>
        <w:t>z</w:t>
      </w:r>
      <w:r w:rsidRPr="00FD304C">
        <w:rPr>
          <w:rFonts w:cs="Arial"/>
          <w:sz w:val="18"/>
          <w:szCs w:val="18"/>
          <w:lang w:val="cs-CZ"/>
        </w:rPr>
        <w:t xml:space="preserve">práva nezávislého auditora o ověření účetní závěrky </w:t>
      </w:r>
      <w:r w:rsidR="00C938BC" w:rsidRPr="00FD304C">
        <w:rPr>
          <w:rFonts w:cs="Arial"/>
          <w:sz w:val="18"/>
          <w:szCs w:val="18"/>
          <w:lang w:val="cs-CZ"/>
        </w:rPr>
        <w:t>ČNZP</w:t>
      </w:r>
      <w:r w:rsidR="00C938BC">
        <w:rPr>
          <w:rFonts w:cs="Arial"/>
          <w:sz w:val="18"/>
          <w:szCs w:val="18"/>
          <w:lang w:val="cs-CZ"/>
        </w:rPr>
        <w:t xml:space="preserve"> </w:t>
      </w:r>
      <w:r w:rsidRPr="00FD304C">
        <w:rPr>
          <w:rFonts w:cs="Arial"/>
          <w:sz w:val="18"/>
          <w:szCs w:val="18"/>
          <w:lang w:val="cs-CZ"/>
        </w:rPr>
        <w:t>k</w:t>
      </w:r>
      <w:r w:rsidR="00FD42E6" w:rsidRPr="00FD304C">
        <w:rPr>
          <w:rFonts w:cs="Arial"/>
          <w:sz w:val="18"/>
          <w:szCs w:val="18"/>
          <w:lang w:val="cs-CZ"/>
        </w:rPr>
        <w:t> </w:t>
      </w:r>
      <w:r w:rsidRPr="00FD304C">
        <w:rPr>
          <w:rFonts w:cs="Arial"/>
          <w:sz w:val="18"/>
          <w:szCs w:val="18"/>
          <w:lang w:val="cs-CZ"/>
        </w:rPr>
        <w:t>30. 9. 2009.</w:t>
      </w:r>
    </w:p>
    <w:p w:rsidR="00DA15CF" w:rsidRPr="00FD304C" w:rsidRDefault="00DA15CF" w:rsidP="005355E1">
      <w:pPr>
        <w:tabs>
          <w:tab w:val="left" w:pos="709"/>
        </w:tabs>
        <w:ind w:left="284" w:hanging="284"/>
        <w:rPr>
          <w:rFonts w:cs="Arial"/>
          <w:sz w:val="18"/>
          <w:szCs w:val="18"/>
          <w:lang w:val="cs-CZ"/>
        </w:rPr>
      </w:pPr>
      <w:r w:rsidRPr="00FD304C">
        <w:rPr>
          <w:rFonts w:cs="Arial"/>
          <w:sz w:val="18"/>
          <w:szCs w:val="18"/>
          <w:lang w:val="cs-CZ"/>
        </w:rPr>
        <w:t>*</w:t>
      </w:r>
      <w:r w:rsidRPr="00FD304C">
        <w:rPr>
          <w:rFonts w:cs="Arial"/>
          <w:sz w:val="18"/>
          <w:szCs w:val="18"/>
          <w:lang w:val="cs-CZ"/>
        </w:rPr>
        <w:tab/>
        <w:t>Provozní náklady za rok 2008 zahrnují provozní náklady tří sloučených zd</w:t>
      </w:r>
      <w:r w:rsidR="005355E1">
        <w:rPr>
          <w:rFonts w:cs="Arial"/>
          <w:sz w:val="18"/>
          <w:szCs w:val="18"/>
          <w:lang w:val="cs-CZ"/>
        </w:rPr>
        <w:t>ravotních pojišťoven</w:t>
      </w:r>
      <w:r w:rsidR="007A3D38">
        <w:rPr>
          <w:rFonts w:cs="Arial"/>
          <w:sz w:val="18"/>
          <w:szCs w:val="18"/>
          <w:lang w:val="cs-CZ"/>
        </w:rPr>
        <w:t>:</w:t>
      </w:r>
      <w:r w:rsidR="005355E1">
        <w:rPr>
          <w:rFonts w:cs="Arial"/>
          <w:sz w:val="18"/>
          <w:szCs w:val="18"/>
          <w:lang w:val="cs-CZ"/>
        </w:rPr>
        <w:t xml:space="preserve"> HZP, ZPA a </w:t>
      </w:r>
      <w:r w:rsidRPr="00FD304C">
        <w:rPr>
          <w:rFonts w:cs="Arial"/>
          <w:sz w:val="18"/>
          <w:szCs w:val="18"/>
          <w:lang w:val="cs-CZ"/>
        </w:rPr>
        <w:t>ČNZP.</w:t>
      </w:r>
    </w:p>
    <w:p w:rsidR="00DA15CF" w:rsidRPr="00FD304C" w:rsidRDefault="00DA15CF" w:rsidP="005355E1">
      <w:pPr>
        <w:tabs>
          <w:tab w:val="left" w:pos="709"/>
          <w:tab w:val="left" w:pos="851"/>
        </w:tabs>
        <w:ind w:left="284" w:hanging="284"/>
        <w:rPr>
          <w:rFonts w:cs="Arial"/>
          <w:sz w:val="18"/>
          <w:szCs w:val="18"/>
          <w:lang w:val="cs-CZ"/>
        </w:rPr>
      </w:pPr>
      <w:r w:rsidRPr="00FD304C">
        <w:rPr>
          <w:rFonts w:cs="Arial"/>
          <w:sz w:val="18"/>
          <w:szCs w:val="18"/>
          <w:lang w:val="cs-CZ"/>
        </w:rPr>
        <w:t>**</w:t>
      </w:r>
      <w:r w:rsidRPr="00FD304C">
        <w:rPr>
          <w:rFonts w:cs="Arial"/>
          <w:sz w:val="18"/>
          <w:szCs w:val="18"/>
          <w:lang w:val="cs-CZ"/>
        </w:rPr>
        <w:tab/>
        <w:t>Provozní náklady za rok 2009 zahrnují provozní náklady HZP</w:t>
      </w:r>
      <w:r w:rsidR="00C938BC">
        <w:rPr>
          <w:rFonts w:cs="Arial"/>
          <w:sz w:val="18"/>
          <w:szCs w:val="18"/>
          <w:lang w:val="cs-CZ"/>
        </w:rPr>
        <w:t>,</w:t>
      </w:r>
      <w:r w:rsidRPr="00FD304C">
        <w:rPr>
          <w:rFonts w:cs="Arial"/>
          <w:sz w:val="18"/>
          <w:szCs w:val="18"/>
          <w:lang w:val="cs-CZ"/>
        </w:rPr>
        <w:t xml:space="preserve"> resp. ČPZP</w:t>
      </w:r>
      <w:r w:rsidR="00C938BC">
        <w:rPr>
          <w:rFonts w:cs="Arial"/>
          <w:sz w:val="18"/>
          <w:szCs w:val="18"/>
          <w:lang w:val="cs-CZ"/>
        </w:rPr>
        <w:t>,</w:t>
      </w:r>
      <w:r w:rsidRPr="00FD304C">
        <w:rPr>
          <w:rFonts w:cs="Arial"/>
          <w:sz w:val="18"/>
          <w:szCs w:val="18"/>
          <w:lang w:val="cs-CZ"/>
        </w:rPr>
        <w:t xml:space="preserve"> za </w:t>
      </w:r>
      <w:r w:rsidR="005355E1">
        <w:rPr>
          <w:rFonts w:cs="Arial"/>
          <w:sz w:val="18"/>
          <w:szCs w:val="18"/>
          <w:lang w:val="cs-CZ"/>
        </w:rPr>
        <w:t xml:space="preserve">rok 2009, provozní náklady ZPA </w:t>
      </w:r>
      <w:r w:rsidRPr="00FD304C">
        <w:rPr>
          <w:rFonts w:cs="Arial"/>
          <w:sz w:val="18"/>
          <w:szCs w:val="18"/>
          <w:lang w:val="cs-CZ"/>
        </w:rPr>
        <w:t>za období 1. 1. až 30. 6. 2009 a provozní náklady ČNZP za období 1. 1. až 30. 9. 2009.</w:t>
      </w:r>
    </w:p>
    <w:p w:rsidR="00DA15CF" w:rsidRPr="00FD304C" w:rsidRDefault="00DA15CF" w:rsidP="009B0204">
      <w:pPr>
        <w:ind w:left="284" w:hanging="284"/>
        <w:rPr>
          <w:rFonts w:cs="Arial"/>
          <w:sz w:val="18"/>
          <w:szCs w:val="18"/>
          <w:lang w:val="cs-CZ"/>
        </w:rPr>
      </w:pPr>
      <w:r w:rsidRPr="00FD304C">
        <w:rPr>
          <w:rFonts w:cs="Arial"/>
          <w:sz w:val="18"/>
          <w:szCs w:val="18"/>
          <w:lang w:val="cs-CZ"/>
        </w:rPr>
        <w:t>***</w:t>
      </w:r>
      <w:r w:rsidRPr="00FD304C">
        <w:rPr>
          <w:rFonts w:cs="Arial"/>
          <w:sz w:val="18"/>
          <w:szCs w:val="18"/>
          <w:lang w:val="cs-CZ"/>
        </w:rPr>
        <w:tab/>
        <w:t>Provozní náklady byly stanoveny ve výši odpovídající závazkům v oblasti provozní činnosti.</w:t>
      </w:r>
    </w:p>
    <w:p w:rsidR="00DA15CF" w:rsidRPr="00FD304C" w:rsidRDefault="00DA15CF" w:rsidP="00FD304C">
      <w:pPr>
        <w:rPr>
          <w:rFonts w:cs="Arial"/>
          <w:sz w:val="18"/>
          <w:lang w:val="cs-CZ"/>
        </w:rPr>
      </w:pPr>
    </w:p>
    <w:p w:rsidR="00DA15CF" w:rsidRPr="00FD304C" w:rsidRDefault="00DA15CF" w:rsidP="00FD304C">
      <w:pPr>
        <w:rPr>
          <w:rFonts w:cs="Arial"/>
          <w:lang w:val="cs-CZ"/>
        </w:rPr>
      </w:pPr>
      <w:r w:rsidRPr="00FD304C">
        <w:rPr>
          <w:rFonts w:cs="Arial"/>
          <w:lang w:val="cs-CZ"/>
        </w:rPr>
        <w:t>Z údajů uvedených v tabulce č. 1</w:t>
      </w:r>
      <w:r w:rsidR="00400EBC" w:rsidRPr="00FD304C">
        <w:rPr>
          <w:rFonts w:cs="Arial"/>
          <w:lang w:val="cs-CZ"/>
        </w:rPr>
        <w:t>2</w:t>
      </w:r>
      <w:r w:rsidRPr="00FD304C">
        <w:rPr>
          <w:rFonts w:cs="Arial"/>
          <w:lang w:val="cs-CZ"/>
        </w:rPr>
        <w:t xml:space="preserve"> vyplývá, že v oblasti provozních nákladů ČPZP </w:t>
      </w:r>
      <w:r w:rsidR="00B914E7" w:rsidRPr="00FD304C">
        <w:rPr>
          <w:rFonts w:cs="Arial"/>
          <w:lang w:val="cs-CZ"/>
        </w:rPr>
        <w:t>v</w:t>
      </w:r>
      <w:r w:rsidR="00C932A7" w:rsidRPr="00FD304C">
        <w:rPr>
          <w:rFonts w:cs="Arial"/>
          <w:lang w:val="cs-CZ"/>
        </w:rPr>
        <w:t> </w:t>
      </w:r>
      <w:r w:rsidR="00B914E7" w:rsidRPr="00FD304C">
        <w:rPr>
          <w:rFonts w:cs="Arial"/>
          <w:lang w:val="cs-CZ"/>
        </w:rPr>
        <w:t>letech</w:t>
      </w:r>
      <w:r w:rsidRPr="00FD304C">
        <w:rPr>
          <w:rFonts w:cs="Arial"/>
          <w:lang w:val="cs-CZ"/>
        </w:rPr>
        <w:t xml:space="preserve"> 2010 a 2011 </w:t>
      </w:r>
      <w:r w:rsidR="006F2762" w:rsidRPr="00FD304C">
        <w:rPr>
          <w:rFonts w:cs="Arial"/>
          <w:lang w:val="cs-CZ"/>
        </w:rPr>
        <w:t xml:space="preserve">došlo </w:t>
      </w:r>
      <w:r w:rsidRPr="00FD304C">
        <w:rPr>
          <w:rFonts w:cs="Arial"/>
          <w:lang w:val="cs-CZ"/>
        </w:rPr>
        <w:t xml:space="preserve">po sloučení </w:t>
      </w:r>
      <w:r w:rsidR="002A08CB" w:rsidRPr="00FD304C">
        <w:rPr>
          <w:rFonts w:cs="Arial"/>
          <w:lang w:val="cs-CZ"/>
        </w:rPr>
        <w:t>zdravotních pojišťoven k deklarovanému</w:t>
      </w:r>
      <w:r w:rsidRPr="00FD304C">
        <w:rPr>
          <w:rFonts w:cs="Arial"/>
          <w:lang w:val="cs-CZ"/>
        </w:rPr>
        <w:t xml:space="preserve"> snížení těchto nákladů v porovnání se souhrnnými</w:t>
      </w:r>
      <w:r w:rsidR="009B0204">
        <w:rPr>
          <w:rFonts w:cs="Arial"/>
          <w:lang w:val="cs-CZ"/>
        </w:rPr>
        <w:t xml:space="preserve"> </w:t>
      </w:r>
      <w:r w:rsidRPr="00FD304C">
        <w:rPr>
          <w:rFonts w:cs="Arial"/>
          <w:lang w:val="cs-CZ"/>
        </w:rPr>
        <w:t xml:space="preserve">provozními náklady </w:t>
      </w:r>
      <w:r w:rsidR="002A08CB" w:rsidRPr="00FD304C">
        <w:rPr>
          <w:rFonts w:cs="Arial"/>
          <w:lang w:val="cs-CZ"/>
        </w:rPr>
        <w:t xml:space="preserve">slučovaných </w:t>
      </w:r>
      <w:r w:rsidRPr="00FD304C">
        <w:rPr>
          <w:rFonts w:cs="Arial"/>
          <w:lang w:val="cs-CZ"/>
        </w:rPr>
        <w:t xml:space="preserve">zdravotních pojišťoven </w:t>
      </w:r>
      <w:r w:rsidR="002A0CD5" w:rsidRPr="00FD304C">
        <w:rPr>
          <w:rFonts w:cs="Arial"/>
          <w:lang w:val="cs-CZ"/>
        </w:rPr>
        <w:t xml:space="preserve">hospodařících jednotlivě </w:t>
      </w:r>
      <w:r w:rsidR="00B914E7" w:rsidRPr="00FD304C">
        <w:rPr>
          <w:rFonts w:cs="Arial"/>
          <w:lang w:val="cs-CZ"/>
        </w:rPr>
        <w:t>v letech</w:t>
      </w:r>
      <w:r w:rsidRPr="00FD304C">
        <w:rPr>
          <w:rFonts w:cs="Arial"/>
          <w:lang w:val="cs-CZ"/>
        </w:rPr>
        <w:t xml:space="preserve"> 2008 a 2009. </w:t>
      </w:r>
    </w:p>
    <w:p w:rsidR="00DA15CF" w:rsidRPr="00FD304C" w:rsidRDefault="00DA15CF" w:rsidP="00FD304C">
      <w:pPr>
        <w:rPr>
          <w:rFonts w:cs="Arial"/>
          <w:lang w:val="cs-CZ"/>
        </w:rPr>
      </w:pPr>
    </w:p>
    <w:p w:rsidR="00DA15CF" w:rsidRPr="00FD304C" w:rsidRDefault="00DA15CF" w:rsidP="005355E1">
      <w:pPr>
        <w:tabs>
          <w:tab w:val="left" w:pos="1418"/>
          <w:tab w:val="left" w:pos="1560"/>
        </w:tabs>
        <w:spacing w:after="40"/>
        <w:ind w:left="1559" w:right="-142" w:hanging="1559"/>
        <w:rPr>
          <w:rFonts w:cs="Arial"/>
          <w:b/>
          <w:lang w:val="cs-CZ"/>
        </w:rPr>
      </w:pPr>
      <w:r w:rsidRPr="00FD304C">
        <w:rPr>
          <w:rFonts w:cs="Arial"/>
          <w:b/>
          <w:lang w:val="cs-CZ"/>
        </w:rPr>
        <w:t>Tabulka č. 1</w:t>
      </w:r>
      <w:r w:rsidR="00400EBC" w:rsidRPr="00FD304C">
        <w:rPr>
          <w:rFonts w:cs="Arial"/>
          <w:b/>
          <w:lang w:val="cs-CZ"/>
        </w:rPr>
        <w:t>3</w:t>
      </w:r>
      <w:r w:rsidR="000C5C98" w:rsidRPr="00FD304C">
        <w:rPr>
          <w:rFonts w:cs="Arial"/>
          <w:b/>
          <w:lang w:val="cs-CZ"/>
        </w:rPr>
        <w:t xml:space="preserve"> </w:t>
      </w:r>
      <w:r w:rsidR="00051BBA">
        <w:rPr>
          <w:rFonts w:cs="Arial"/>
          <w:b/>
          <w:lang w:val="cs-CZ"/>
        </w:rPr>
        <w:t>–</w:t>
      </w:r>
      <w:r w:rsidR="00FF1DA4" w:rsidRPr="00FD304C">
        <w:rPr>
          <w:rFonts w:cs="Arial"/>
          <w:b/>
          <w:lang w:val="cs-CZ"/>
        </w:rPr>
        <w:t xml:space="preserve"> </w:t>
      </w:r>
      <w:r w:rsidRPr="00FD304C">
        <w:rPr>
          <w:rFonts w:cs="Arial"/>
          <w:b/>
          <w:lang w:val="cs-CZ"/>
        </w:rPr>
        <w:t>Vývoj provozních nákladů na j</w:t>
      </w:r>
      <w:r w:rsidR="005355E1">
        <w:rPr>
          <w:rFonts w:cs="Arial"/>
          <w:b/>
          <w:lang w:val="cs-CZ"/>
        </w:rPr>
        <w:t>ednoho pojištěnce a zaměstnance</w:t>
      </w:r>
    </w:p>
    <w:tbl>
      <w:tblPr>
        <w:tblW w:w="4893" w:type="pct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2"/>
        <w:gridCol w:w="993"/>
        <w:gridCol w:w="1028"/>
        <w:gridCol w:w="1028"/>
        <w:gridCol w:w="1028"/>
        <w:gridCol w:w="1026"/>
      </w:tblGrid>
      <w:tr w:rsidR="00DA15CF" w:rsidRPr="00FD304C" w:rsidTr="005355E1">
        <w:trPr>
          <w:cantSplit/>
          <w:trHeight w:val="227"/>
          <w:jc w:val="center"/>
        </w:trPr>
        <w:tc>
          <w:tcPr>
            <w:tcW w:w="2170" w:type="pct"/>
            <w:shd w:val="clear" w:color="auto" w:fill="auto"/>
            <w:vAlign w:val="center"/>
          </w:tcPr>
          <w:p w:rsidR="00DA15CF" w:rsidRPr="00FD304C" w:rsidRDefault="00DA15CF" w:rsidP="005355E1">
            <w:pPr>
              <w:jc w:val="left"/>
              <w:rPr>
                <w:rFonts w:cs="Arial"/>
                <w:b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b/>
                <w:sz w:val="18"/>
                <w:szCs w:val="18"/>
                <w:lang w:val="cs-CZ"/>
              </w:rPr>
              <w:t>Ukazatel</w:t>
            </w:r>
          </w:p>
        </w:tc>
        <w:tc>
          <w:tcPr>
            <w:tcW w:w="551" w:type="pct"/>
            <w:vAlign w:val="center"/>
          </w:tcPr>
          <w:p w:rsidR="00DA15CF" w:rsidRPr="00FD304C" w:rsidRDefault="00DA15CF" w:rsidP="005355E1">
            <w:pPr>
              <w:jc w:val="center"/>
              <w:rPr>
                <w:rFonts w:cs="Arial"/>
                <w:b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b/>
                <w:sz w:val="18"/>
                <w:szCs w:val="18"/>
                <w:lang w:val="cs-CZ"/>
              </w:rPr>
              <w:t>jednotka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DA15CF" w:rsidRPr="00FD304C" w:rsidRDefault="00DA15CF" w:rsidP="005355E1">
            <w:pPr>
              <w:jc w:val="center"/>
              <w:rPr>
                <w:rFonts w:cs="Arial"/>
                <w:b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b/>
                <w:sz w:val="18"/>
                <w:szCs w:val="18"/>
                <w:lang w:val="cs-CZ"/>
              </w:rPr>
              <w:t>2009*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DA15CF" w:rsidRPr="00FD304C" w:rsidRDefault="00DA15CF" w:rsidP="005355E1">
            <w:pPr>
              <w:jc w:val="center"/>
              <w:rPr>
                <w:rFonts w:cs="Arial"/>
                <w:b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b/>
                <w:sz w:val="18"/>
                <w:szCs w:val="18"/>
                <w:lang w:val="cs-CZ"/>
              </w:rPr>
              <w:t>2010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DA15CF" w:rsidRPr="00FD304C" w:rsidRDefault="00DA15CF" w:rsidP="005355E1">
            <w:pPr>
              <w:jc w:val="center"/>
              <w:rPr>
                <w:rFonts w:cs="Arial"/>
                <w:b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b/>
                <w:sz w:val="18"/>
                <w:szCs w:val="18"/>
                <w:lang w:val="cs-CZ"/>
              </w:rPr>
              <w:t>2011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DA15CF" w:rsidRPr="00FD304C" w:rsidRDefault="00DA15CF" w:rsidP="005355E1">
            <w:pPr>
              <w:jc w:val="center"/>
              <w:rPr>
                <w:rFonts w:cs="Arial"/>
                <w:b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b/>
                <w:sz w:val="18"/>
                <w:szCs w:val="18"/>
                <w:lang w:val="cs-CZ"/>
              </w:rPr>
              <w:t>2012</w:t>
            </w:r>
          </w:p>
        </w:tc>
      </w:tr>
      <w:tr w:rsidR="00DA15CF" w:rsidRPr="00FD304C" w:rsidTr="005355E1">
        <w:trPr>
          <w:trHeight w:val="227"/>
          <w:jc w:val="center"/>
        </w:trPr>
        <w:tc>
          <w:tcPr>
            <w:tcW w:w="2170" w:type="pct"/>
            <w:shd w:val="clear" w:color="auto" w:fill="auto"/>
            <w:vAlign w:val="center"/>
          </w:tcPr>
          <w:p w:rsidR="00DA15CF" w:rsidRPr="00F06B93" w:rsidRDefault="00DA15CF" w:rsidP="005355E1">
            <w:pPr>
              <w:jc w:val="left"/>
              <w:rPr>
                <w:rFonts w:cs="Arial"/>
                <w:sz w:val="18"/>
                <w:szCs w:val="18"/>
                <w:lang w:val="cs-CZ"/>
              </w:rPr>
            </w:pPr>
            <w:r w:rsidRPr="00F06B93">
              <w:rPr>
                <w:rFonts w:cs="Arial"/>
                <w:sz w:val="18"/>
                <w:szCs w:val="18"/>
                <w:lang w:val="cs-CZ"/>
              </w:rPr>
              <w:t>Provozní náklady na jednoho pojištěnce</w:t>
            </w:r>
          </w:p>
        </w:tc>
        <w:tc>
          <w:tcPr>
            <w:tcW w:w="551" w:type="pct"/>
            <w:vAlign w:val="center"/>
          </w:tcPr>
          <w:p w:rsidR="00DA15CF" w:rsidRPr="00FD304C" w:rsidRDefault="00DA15CF" w:rsidP="00FD304C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bCs/>
                <w:color w:val="000000"/>
                <w:sz w:val="18"/>
                <w:szCs w:val="18"/>
                <w:lang w:val="cs-CZ"/>
              </w:rPr>
              <w:t>v Kč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DA15CF" w:rsidRPr="00FD304C" w:rsidRDefault="00DA15CF" w:rsidP="00FD304C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D304C">
              <w:rPr>
                <w:rFonts w:cs="Arial"/>
                <w:bCs/>
                <w:color w:val="000000"/>
                <w:sz w:val="18"/>
                <w:szCs w:val="18"/>
              </w:rPr>
              <w:t>751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DA15CF" w:rsidRPr="00FD304C" w:rsidRDefault="00DA15CF" w:rsidP="00FD304C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D304C">
              <w:rPr>
                <w:rFonts w:cs="Arial"/>
                <w:bCs/>
                <w:color w:val="000000"/>
                <w:sz w:val="18"/>
                <w:szCs w:val="18"/>
              </w:rPr>
              <w:t>654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DA15CF" w:rsidRPr="00FD304C" w:rsidRDefault="00DA15CF" w:rsidP="00FD304C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D304C">
              <w:rPr>
                <w:rFonts w:cs="Arial"/>
                <w:bCs/>
                <w:color w:val="000000"/>
                <w:sz w:val="18"/>
                <w:szCs w:val="18"/>
              </w:rPr>
              <w:t>608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DA15CF" w:rsidRPr="00FD304C" w:rsidRDefault="00DA15CF" w:rsidP="00FD304C">
            <w:pPr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D304C">
              <w:rPr>
                <w:rFonts w:cs="Arial"/>
                <w:bCs/>
                <w:color w:val="000000"/>
                <w:sz w:val="18"/>
                <w:szCs w:val="18"/>
              </w:rPr>
              <w:t>677</w:t>
            </w:r>
          </w:p>
        </w:tc>
      </w:tr>
      <w:tr w:rsidR="00DA15CF" w:rsidRPr="00FD304C" w:rsidTr="005355E1">
        <w:trPr>
          <w:trHeight w:val="227"/>
          <w:jc w:val="center"/>
        </w:trPr>
        <w:tc>
          <w:tcPr>
            <w:tcW w:w="2170" w:type="pct"/>
            <w:shd w:val="clear" w:color="auto" w:fill="auto"/>
            <w:vAlign w:val="center"/>
          </w:tcPr>
          <w:p w:rsidR="00DA15CF" w:rsidRPr="00F06B93" w:rsidRDefault="00DA15CF" w:rsidP="005355E1">
            <w:pPr>
              <w:ind w:left="709" w:hanging="709"/>
              <w:jc w:val="left"/>
              <w:rPr>
                <w:rFonts w:cs="Arial"/>
                <w:sz w:val="18"/>
                <w:szCs w:val="18"/>
                <w:lang w:val="cs-CZ"/>
              </w:rPr>
            </w:pPr>
            <w:r w:rsidRPr="00F06B93">
              <w:rPr>
                <w:rFonts w:cs="Arial"/>
                <w:sz w:val="18"/>
                <w:szCs w:val="18"/>
                <w:lang w:val="cs-CZ"/>
              </w:rPr>
              <w:t>Provozní náklady na jednoho zaměstnance</w:t>
            </w:r>
          </w:p>
        </w:tc>
        <w:tc>
          <w:tcPr>
            <w:tcW w:w="551" w:type="pct"/>
            <w:vAlign w:val="center"/>
          </w:tcPr>
          <w:p w:rsidR="00DA15CF" w:rsidRPr="00FD304C" w:rsidRDefault="00DA15CF" w:rsidP="00FD304C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val="cs-CZ"/>
              </w:rPr>
            </w:pPr>
            <w:r w:rsidRPr="00FD304C">
              <w:rPr>
                <w:rFonts w:cs="Arial"/>
                <w:bCs/>
                <w:color w:val="000000"/>
                <w:sz w:val="18"/>
                <w:szCs w:val="18"/>
                <w:lang w:val="cs-CZ"/>
              </w:rPr>
              <w:t>v tis. Kč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DA15CF" w:rsidRPr="00FD304C" w:rsidRDefault="00DA15CF" w:rsidP="005355E1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FD304C">
              <w:rPr>
                <w:rFonts w:cs="Arial"/>
                <w:bCs/>
                <w:sz w:val="18"/>
                <w:szCs w:val="18"/>
              </w:rPr>
              <w:t>1 098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DA15CF" w:rsidRPr="00FD304C" w:rsidRDefault="00DA15CF" w:rsidP="005355E1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FD304C">
              <w:rPr>
                <w:rFonts w:cs="Arial"/>
                <w:bCs/>
                <w:sz w:val="18"/>
                <w:szCs w:val="18"/>
              </w:rPr>
              <w:t>970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DA15CF" w:rsidRPr="00FD304C" w:rsidRDefault="00DA15CF" w:rsidP="005355E1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FD304C">
              <w:rPr>
                <w:rFonts w:cs="Arial"/>
                <w:bCs/>
                <w:sz w:val="18"/>
                <w:szCs w:val="18"/>
              </w:rPr>
              <w:t>951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DA15CF" w:rsidRPr="00FD304C" w:rsidRDefault="00DA15CF" w:rsidP="005355E1">
            <w:pPr>
              <w:jc w:val="right"/>
              <w:rPr>
                <w:rFonts w:cs="Arial"/>
                <w:bCs/>
                <w:sz w:val="18"/>
                <w:szCs w:val="18"/>
              </w:rPr>
            </w:pPr>
            <w:r w:rsidRPr="00FD304C">
              <w:rPr>
                <w:rFonts w:cs="Arial"/>
                <w:bCs/>
                <w:sz w:val="18"/>
                <w:szCs w:val="18"/>
              </w:rPr>
              <w:t>1 189</w:t>
            </w:r>
          </w:p>
        </w:tc>
      </w:tr>
    </w:tbl>
    <w:p w:rsidR="00DA15CF" w:rsidRPr="00FD304C" w:rsidRDefault="00DA15CF" w:rsidP="00FD304C">
      <w:pPr>
        <w:spacing w:before="40"/>
        <w:ind w:left="567" w:hanging="567"/>
        <w:rPr>
          <w:rFonts w:cs="Arial"/>
          <w:sz w:val="18"/>
          <w:szCs w:val="18"/>
          <w:lang w:val="cs-CZ"/>
        </w:rPr>
      </w:pPr>
      <w:r w:rsidRPr="00FD304C">
        <w:rPr>
          <w:rFonts w:cs="Arial"/>
          <w:b/>
          <w:sz w:val="18"/>
          <w:szCs w:val="18"/>
          <w:lang w:val="cs-CZ"/>
        </w:rPr>
        <w:t>Zdroj:</w:t>
      </w:r>
      <w:r w:rsidRPr="00FD304C">
        <w:rPr>
          <w:rFonts w:cs="Arial"/>
          <w:sz w:val="18"/>
          <w:szCs w:val="18"/>
          <w:lang w:val="cs-CZ"/>
        </w:rPr>
        <w:t xml:space="preserve"> </w:t>
      </w:r>
      <w:r w:rsidRPr="00FD304C">
        <w:rPr>
          <w:rFonts w:cs="Arial"/>
          <w:sz w:val="18"/>
          <w:szCs w:val="18"/>
          <w:lang w:val="cs-CZ"/>
        </w:rPr>
        <w:tab/>
      </w:r>
      <w:r w:rsidR="009B0204">
        <w:rPr>
          <w:rFonts w:cs="Arial"/>
          <w:sz w:val="18"/>
          <w:szCs w:val="18"/>
          <w:lang w:val="cs-CZ"/>
        </w:rPr>
        <w:t>v</w:t>
      </w:r>
      <w:r w:rsidRPr="00FD304C">
        <w:rPr>
          <w:rFonts w:cs="Arial"/>
          <w:sz w:val="18"/>
          <w:szCs w:val="18"/>
          <w:lang w:val="cs-CZ"/>
        </w:rPr>
        <w:t xml:space="preserve">ýroční zprávy ČPZP za roky 2009 až 2012, </w:t>
      </w:r>
      <w:r w:rsidR="009B0204">
        <w:rPr>
          <w:rFonts w:cs="Arial"/>
          <w:sz w:val="18"/>
          <w:szCs w:val="18"/>
          <w:lang w:val="cs-CZ"/>
        </w:rPr>
        <w:t>t</w:t>
      </w:r>
      <w:r w:rsidRPr="00FD304C">
        <w:rPr>
          <w:rFonts w:cs="Arial"/>
          <w:sz w:val="18"/>
          <w:szCs w:val="18"/>
          <w:lang w:val="cs-CZ"/>
        </w:rPr>
        <w:t>abulka „Vybrané ukazatele hospodaření ZPA, ČNZP a</w:t>
      </w:r>
      <w:r w:rsidR="009F58F7" w:rsidRPr="00FD304C">
        <w:rPr>
          <w:rFonts w:cs="Arial"/>
          <w:sz w:val="18"/>
          <w:szCs w:val="18"/>
          <w:lang w:val="cs-CZ"/>
        </w:rPr>
        <w:t> </w:t>
      </w:r>
      <w:r w:rsidRPr="00FD304C">
        <w:rPr>
          <w:rFonts w:cs="Arial"/>
          <w:sz w:val="18"/>
          <w:szCs w:val="18"/>
          <w:lang w:val="cs-CZ"/>
        </w:rPr>
        <w:t>ČPZP v letech 2009</w:t>
      </w:r>
      <w:r w:rsidR="009B0204">
        <w:rPr>
          <w:rFonts w:cs="Arial"/>
          <w:sz w:val="18"/>
          <w:szCs w:val="18"/>
          <w:lang w:val="cs-CZ"/>
        </w:rPr>
        <w:t>–</w:t>
      </w:r>
      <w:r w:rsidRPr="00FD304C">
        <w:rPr>
          <w:rFonts w:cs="Arial"/>
          <w:sz w:val="18"/>
          <w:szCs w:val="18"/>
          <w:lang w:val="cs-CZ"/>
        </w:rPr>
        <w:t>2012“ zpracovaná ČPZP.</w:t>
      </w:r>
    </w:p>
    <w:p w:rsidR="00DA15CF" w:rsidRPr="00FD304C" w:rsidRDefault="00DA15CF" w:rsidP="009B0204">
      <w:pPr>
        <w:ind w:left="142" w:hanging="142"/>
        <w:rPr>
          <w:rFonts w:cs="Arial"/>
          <w:sz w:val="18"/>
          <w:szCs w:val="18"/>
          <w:lang w:val="cs-CZ"/>
        </w:rPr>
      </w:pPr>
      <w:r w:rsidRPr="00FD304C">
        <w:rPr>
          <w:rFonts w:cs="Arial"/>
          <w:sz w:val="18"/>
          <w:szCs w:val="18"/>
          <w:lang w:val="cs-CZ"/>
        </w:rPr>
        <w:t>*</w:t>
      </w:r>
      <w:r w:rsidR="009B0204">
        <w:rPr>
          <w:rFonts w:cs="Arial"/>
          <w:sz w:val="18"/>
          <w:szCs w:val="18"/>
          <w:lang w:val="cs-CZ"/>
        </w:rPr>
        <w:tab/>
      </w:r>
      <w:r w:rsidRPr="00FD304C">
        <w:rPr>
          <w:rFonts w:cs="Arial"/>
          <w:sz w:val="18"/>
          <w:szCs w:val="18"/>
          <w:lang w:val="cs-CZ"/>
        </w:rPr>
        <w:t>Výpočet provozních nákladů na jednoho pojištěnce</w:t>
      </w:r>
      <w:r w:rsidR="009B0204">
        <w:rPr>
          <w:rFonts w:cs="Arial"/>
          <w:sz w:val="18"/>
          <w:szCs w:val="18"/>
          <w:lang w:val="cs-CZ"/>
        </w:rPr>
        <w:t>,</w:t>
      </w:r>
      <w:r w:rsidRPr="00FD304C">
        <w:rPr>
          <w:rFonts w:cs="Arial"/>
          <w:sz w:val="18"/>
          <w:szCs w:val="18"/>
          <w:lang w:val="cs-CZ"/>
        </w:rPr>
        <w:t xml:space="preserve"> resp. na jednoho zaměstnance</w:t>
      </w:r>
      <w:r w:rsidR="009B0204">
        <w:rPr>
          <w:rFonts w:cs="Arial"/>
          <w:sz w:val="18"/>
          <w:szCs w:val="18"/>
          <w:lang w:val="cs-CZ"/>
        </w:rPr>
        <w:t>,</w:t>
      </w:r>
      <w:r w:rsidRPr="00FD304C">
        <w:rPr>
          <w:rFonts w:cs="Arial"/>
          <w:sz w:val="18"/>
          <w:szCs w:val="18"/>
          <w:lang w:val="cs-CZ"/>
        </w:rPr>
        <w:t xml:space="preserve"> vycházel z celkových provozních nákladů sloučených zdravotních pojišťoven (HZP</w:t>
      </w:r>
      <w:r w:rsidR="007A3D38">
        <w:rPr>
          <w:rFonts w:cs="Arial"/>
          <w:sz w:val="18"/>
          <w:szCs w:val="18"/>
          <w:lang w:val="cs-CZ"/>
        </w:rPr>
        <w:t>,</w:t>
      </w:r>
      <w:r w:rsidRPr="00FD304C">
        <w:rPr>
          <w:rFonts w:cs="Arial"/>
          <w:sz w:val="18"/>
          <w:szCs w:val="18"/>
          <w:lang w:val="cs-CZ"/>
        </w:rPr>
        <w:t xml:space="preserve"> resp. ČPZP, ZPA a ČNZP) za rok 2009 uvedených v tabulce č. 1</w:t>
      </w:r>
      <w:r w:rsidR="00280BB7" w:rsidRPr="00FD304C">
        <w:rPr>
          <w:rFonts w:cs="Arial"/>
          <w:sz w:val="18"/>
          <w:szCs w:val="18"/>
          <w:lang w:val="cs-CZ"/>
        </w:rPr>
        <w:t>2</w:t>
      </w:r>
      <w:r w:rsidRPr="00FD304C">
        <w:rPr>
          <w:rFonts w:cs="Arial"/>
          <w:sz w:val="18"/>
          <w:szCs w:val="18"/>
          <w:lang w:val="cs-CZ"/>
        </w:rPr>
        <w:t xml:space="preserve"> a z průměrného počtu pojištěnců</w:t>
      </w:r>
      <w:r w:rsidR="009B0204">
        <w:rPr>
          <w:rFonts w:cs="Arial"/>
          <w:sz w:val="18"/>
          <w:szCs w:val="18"/>
          <w:lang w:val="cs-CZ"/>
        </w:rPr>
        <w:t>,</w:t>
      </w:r>
      <w:r w:rsidRPr="00FD304C">
        <w:rPr>
          <w:rFonts w:cs="Arial"/>
          <w:sz w:val="18"/>
          <w:szCs w:val="18"/>
          <w:lang w:val="cs-CZ"/>
        </w:rPr>
        <w:t xml:space="preserve"> resp. zaměstnanců</w:t>
      </w:r>
      <w:r w:rsidR="009B0204">
        <w:rPr>
          <w:rFonts w:cs="Arial"/>
          <w:sz w:val="18"/>
          <w:szCs w:val="18"/>
          <w:lang w:val="cs-CZ"/>
        </w:rPr>
        <w:t>,</w:t>
      </w:r>
      <w:r w:rsidRPr="00FD304C">
        <w:rPr>
          <w:rFonts w:cs="Arial"/>
          <w:sz w:val="18"/>
          <w:szCs w:val="18"/>
          <w:lang w:val="cs-CZ"/>
        </w:rPr>
        <w:t xml:space="preserve"> sloučených zdravotních pojišťoven v tomto roce.</w:t>
      </w:r>
    </w:p>
    <w:p w:rsidR="00DA15CF" w:rsidRPr="00FD304C" w:rsidRDefault="00DA15CF" w:rsidP="00FD304C">
      <w:pPr>
        <w:rPr>
          <w:rFonts w:cs="Arial"/>
          <w:sz w:val="18"/>
          <w:szCs w:val="18"/>
          <w:lang w:val="cs-CZ"/>
        </w:rPr>
      </w:pPr>
    </w:p>
    <w:p w:rsidR="00B914E7" w:rsidRPr="00FD304C" w:rsidRDefault="00B914E7" w:rsidP="00FD304C">
      <w:pPr>
        <w:rPr>
          <w:rFonts w:cs="Arial"/>
          <w:lang w:val="cs-CZ"/>
        </w:rPr>
      </w:pPr>
      <w:r w:rsidRPr="00FD304C">
        <w:rPr>
          <w:rFonts w:cs="Arial"/>
          <w:lang w:val="cs-CZ"/>
        </w:rPr>
        <w:t>Z údajů uvedených v tabulce č. 13 vyplývá, že provozní náklady ČPZP na jednoho pojištěnce za roky 2010, 2011 i 2012 byly po sloučení HZP se ZPA a s ČNZP nižší v porovnání s provozními náklady na jednoho pojištěnce za rok 2009 zjištěnými souhrnně za uvedené tři zdravotní pojišťovny hospodařící jednotlivě. Provozní náklady ČPZP přepočtené na jednoho zaměstnance vykazovaly klesající trend v roce 2010 a 2011.</w:t>
      </w:r>
    </w:p>
    <w:p w:rsidR="00DA15CF" w:rsidRPr="00FD304C" w:rsidRDefault="00DA15CF" w:rsidP="00FD304C">
      <w:pPr>
        <w:rPr>
          <w:rFonts w:cs="Arial"/>
          <w:lang w:val="cs-CZ"/>
        </w:rPr>
      </w:pPr>
    </w:p>
    <w:p w:rsidR="00B914E7" w:rsidRPr="00FD304C" w:rsidRDefault="00B914E7" w:rsidP="00FD304C">
      <w:pPr>
        <w:rPr>
          <w:rFonts w:cs="Arial"/>
          <w:lang w:val="cs-CZ"/>
        </w:rPr>
      </w:pPr>
      <w:r w:rsidRPr="00FD304C">
        <w:rPr>
          <w:rFonts w:cs="Arial"/>
          <w:lang w:val="cs-CZ"/>
        </w:rPr>
        <w:lastRenderedPageBreak/>
        <w:t>Zvýšení provozních nákladů v roce 2012</w:t>
      </w:r>
      <w:r w:rsidR="0003627C" w:rsidRPr="00FD304C">
        <w:rPr>
          <w:rFonts w:cs="Arial"/>
          <w:lang w:val="cs-CZ"/>
        </w:rPr>
        <w:t xml:space="preserve"> bylo</w:t>
      </w:r>
      <w:r w:rsidRPr="00FD304C">
        <w:rPr>
          <w:rFonts w:cs="Arial"/>
          <w:lang w:val="cs-CZ"/>
        </w:rPr>
        <w:t xml:space="preserve"> způsobeno </w:t>
      </w:r>
      <w:r w:rsidR="0003627C" w:rsidRPr="00FD304C">
        <w:rPr>
          <w:rFonts w:cs="Arial"/>
          <w:lang w:val="cs-CZ"/>
        </w:rPr>
        <w:t xml:space="preserve">jak vlastním </w:t>
      </w:r>
      <w:r w:rsidRPr="00FD304C">
        <w:rPr>
          <w:rFonts w:cs="Arial"/>
          <w:lang w:val="cs-CZ"/>
        </w:rPr>
        <w:t>sloučením ČPZP se ZP M-A, kdy od 1. 10. 2012 se provozní náklady týkaly obou těchto zdravotních pojišťoven</w:t>
      </w:r>
      <w:r w:rsidR="0003627C" w:rsidRPr="00FD304C">
        <w:rPr>
          <w:rFonts w:cs="Arial"/>
          <w:lang w:val="cs-CZ"/>
        </w:rPr>
        <w:t>, tak vznikem</w:t>
      </w:r>
      <w:r w:rsidRPr="00FD304C">
        <w:rPr>
          <w:rFonts w:cs="Arial"/>
          <w:lang w:val="cs-CZ"/>
        </w:rPr>
        <w:t xml:space="preserve"> další</w:t>
      </w:r>
      <w:r w:rsidR="0003627C" w:rsidRPr="00FD304C">
        <w:rPr>
          <w:rFonts w:cs="Arial"/>
          <w:lang w:val="cs-CZ"/>
        </w:rPr>
        <w:t>ch</w:t>
      </w:r>
      <w:r w:rsidRPr="00FD304C">
        <w:rPr>
          <w:rFonts w:cs="Arial"/>
          <w:lang w:val="cs-CZ"/>
        </w:rPr>
        <w:t xml:space="preserve"> související</w:t>
      </w:r>
      <w:r w:rsidR="0059287F" w:rsidRPr="00FD304C">
        <w:rPr>
          <w:rFonts w:cs="Arial"/>
          <w:lang w:val="cs-CZ"/>
        </w:rPr>
        <w:t>ch</w:t>
      </w:r>
      <w:r w:rsidRPr="00FD304C">
        <w:rPr>
          <w:rFonts w:cs="Arial"/>
          <w:lang w:val="cs-CZ"/>
        </w:rPr>
        <w:t xml:space="preserve"> provozní</w:t>
      </w:r>
      <w:r w:rsidR="0059287F" w:rsidRPr="00FD304C">
        <w:rPr>
          <w:rFonts w:cs="Arial"/>
          <w:lang w:val="cs-CZ"/>
        </w:rPr>
        <w:t>ch nákladů</w:t>
      </w:r>
      <w:r w:rsidR="0003627C" w:rsidRPr="00FD304C">
        <w:rPr>
          <w:rFonts w:cs="Arial"/>
          <w:lang w:val="cs-CZ"/>
        </w:rPr>
        <w:t xml:space="preserve"> (např. náklad</w:t>
      </w:r>
      <w:r w:rsidR="007A3D38">
        <w:rPr>
          <w:rFonts w:cs="Arial"/>
          <w:lang w:val="cs-CZ"/>
        </w:rPr>
        <w:t>ů</w:t>
      </w:r>
      <w:r w:rsidR="0003627C" w:rsidRPr="00FD304C">
        <w:rPr>
          <w:rFonts w:cs="Arial"/>
          <w:lang w:val="cs-CZ"/>
        </w:rPr>
        <w:t xml:space="preserve"> na nové průkazy pojištěnců, na korespondenci s pojištěnci a poskytovateli ZS</w:t>
      </w:r>
      <w:r w:rsidR="007A3D38">
        <w:rPr>
          <w:rFonts w:cs="Arial"/>
          <w:lang w:val="cs-CZ"/>
        </w:rPr>
        <w:t xml:space="preserve"> či nákladů</w:t>
      </w:r>
      <w:r w:rsidR="0003627C" w:rsidRPr="00FD304C">
        <w:rPr>
          <w:rFonts w:cs="Arial"/>
          <w:lang w:val="cs-CZ"/>
        </w:rPr>
        <w:t xml:space="preserve"> v oblasti informačních technologií)</w:t>
      </w:r>
      <w:r w:rsidRPr="00FD304C">
        <w:rPr>
          <w:rFonts w:cs="Arial"/>
          <w:lang w:val="cs-CZ"/>
        </w:rPr>
        <w:t>.</w:t>
      </w:r>
    </w:p>
    <w:p w:rsidR="004715A4" w:rsidRPr="00FD304C" w:rsidRDefault="004715A4" w:rsidP="00FD304C">
      <w:pPr>
        <w:rPr>
          <w:rFonts w:cs="Arial"/>
          <w:lang w:val="cs-CZ"/>
        </w:rPr>
      </w:pPr>
    </w:p>
    <w:p w:rsidR="000053E7" w:rsidRPr="00FD304C" w:rsidRDefault="009F58F7" w:rsidP="00FD304C">
      <w:pPr>
        <w:rPr>
          <w:rFonts w:cs="Arial"/>
          <w:b/>
          <w:lang w:val="cs-CZ"/>
        </w:rPr>
      </w:pPr>
      <w:r w:rsidRPr="00FD304C">
        <w:rPr>
          <w:rFonts w:cs="Arial"/>
          <w:b/>
          <w:lang w:val="cs-CZ"/>
        </w:rPr>
        <w:t>4.4</w:t>
      </w:r>
      <w:r w:rsidR="00341474" w:rsidRPr="00FD304C">
        <w:rPr>
          <w:rFonts w:cs="Arial"/>
          <w:b/>
          <w:lang w:val="cs-CZ"/>
        </w:rPr>
        <w:t xml:space="preserve"> </w:t>
      </w:r>
      <w:r w:rsidR="000053E7" w:rsidRPr="00FD304C">
        <w:rPr>
          <w:rFonts w:cs="Arial"/>
          <w:b/>
          <w:lang w:val="cs-CZ"/>
        </w:rPr>
        <w:t>Fond prevence</w:t>
      </w:r>
    </w:p>
    <w:p w:rsidR="009639A1" w:rsidRDefault="009639A1" w:rsidP="00FD304C">
      <w:pPr>
        <w:rPr>
          <w:rFonts w:cs="Arial"/>
          <w:lang w:val="cs-CZ"/>
        </w:rPr>
      </w:pPr>
    </w:p>
    <w:p w:rsidR="000053E7" w:rsidRPr="00FD304C" w:rsidRDefault="000053E7" w:rsidP="00FD304C">
      <w:pPr>
        <w:rPr>
          <w:rFonts w:cs="Arial"/>
          <w:lang w:val="cs-CZ"/>
        </w:rPr>
      </w:pPr>
      <w:r w:rsidRPr="00FD304C">
        <w:rPr>
          <w:rFonts w:cs="Arial"/>
          <w:lang w:val="cs-CZ"/>
        </w:rPr>
        <w:t xml:space="preserve">Z fondu prevence lze nad rámec hrazených služeb hradit zdravotní služby, u nichž je prokazatelný preventivní, diagnostický nebo léčebný efekt a které jsou poskytovány pojištěncům v souvislosti s jejich existujícím nebo hrozícím onemocněním. </w:t>
      </w:r>
    </w:p>
    <w:p w:rsidR="00562935" w:rsidRPr="00FD304C" w:rsidRDefault="00562935" w:rsidP="00FD304C">
      <w:pPr>
        <w:rPr>
          <w:rFonts w:cs="Arial"/>
          <w:lang w:val="cs-CZ"/>
        </w:rPr>
      </w:pPr>
    </w:p>
    <w:p w:rsidR="00FD304C" w:rsidRDefault="00AE1320" w:rsidP="00FD304C">
      <w:pPr>
        <w:rPr>
          <w:rFonts w:cs="Arial"/>
          <w:lang w:val="cs-CZ"/>
        </w:rPr>
      </w:pPr>
      <w:r w:rsidRPr="00FD304C">
        <w:rPr>
          <w:rFonts w:cs="Arial"/>
          <w:lang w:val="cs-CZ"/>
        </w:rPr>
        <w:t>Zdroji fondu prevence byly dle zákona</w:t>
      </w:r>
      <w:r w:rsidRPr="00FD304C">
        <w:rPr>
          <w:rFonts w:cs="Arial"/>
          <w:vertAlign w:val="superscript"/>
          <w:lang w:val="cs-CZ"/>
        </w:rPr>
        <w:t>1</w:t>
      </w:r>
      <w:r w:rsidRPr="00FD304C">
        <w:rPr>
          <w:rFonts w:cs="Arial"/>
          <w:lang w:val="cs-CZ"/>
        </w:rPr>
        <w:t xml:space="preserve"> především předpisy penále, pokut a přirážek k</w:t>
      </w:r>
      <w:r w:rsidR="00C932A7" w:rsidRPr="00FD304C">
        <w:rPr>
          <w:rFonts w:cs="Arial"/>
          <w:lang w:val="cs-CZ"/>
        </w:rPr>
        <w:t> </w:t>
      </w:r>
      <w:r w:rsidRPr="00FD304C">
        <w:rPr>
          <w:rFonts w:cs="Arial"/>
          <w:lang w:val="cs-CZ"/>
        </w:rPr>
        <w:t xml:space="preserve">pojistnému a finanční prostředky vytvářené využíváním základního fondu (úroky z bankovních účtů). </w:t>
      </w:r>
      <w:r w:rsidR="000053E7" w:rsidRPr="00FD304C">
        <w:rPr>
          <w:rFonts w:cs="Arial"/>
          <w:lang w:val="cs-CZ"/>
        </w:rPr>
        <w:t>Tvorba fondu prevence v kontrolovaném období byla od 178 mil. Kč v roce 2010 do 575</w:t>
      </w:r>
      <w:r w:rsidR="00FD42E6" w:rsidRPr="00FD304C">
        <w:rPr>
          <w:rFonts w:cs="Arial"/>
          <w:lang w:val="cs-CZ"/>
        </w:rPr>
        <w:t> </w:t>
      </w:r>
      <w:r w:rsidR="000053E7" w:rsidRPr="00FD304C">
        <w:rPr>
          <w:rFonts w:cs="Arial"/>
          <w:lang w:val="cs-CZ"/>
        </w:rPr>
        <w:t>mil.</w:t>
      </w:r>
      <w:r w:rsidR="00FD42E6" w:rsidRPr="00FD304C">
        <w:rPr>
          <w:rFonts w:cs="Arial"/>
          <w:lang w:val="cs-CZ"/>
        </w:rPr>
        <w:t> </w:t>
      </w:r>
      <w:r w:rsidR="00FD304C">
        <w:rPr>
          <w:rFonts w:cs="Arial"/>
          <w:lang w:val="cs-CZ"/>
        </w:rPr>
        <w:t>Kč za rok 2009.</w:t>
      </w:r>
      <w:r w:rsidR="009639A1">
        <w:rPr>
          <w:rFonts w:cs="Arial"/>
          <w:lang w:val="cs-CZ"/>
        </w:rPr>
        <w:t xml:space="preserve"> </w:t>
      </w:r>
    </w:p>
    <w:p w:rsidR="009639A1" w:rsidRPr="00FD304C" w:rsidRDefault="009639A1" w:rsidP="00FD304C">
      <w:pPr>
        <w:rPr>
          <w:rFonts w:cs="Arial"/>
          <w:lang w:val="cs-CZ"/>
        </w:rPr>
      </w:pPr>
    </w:p>
    <w:p w:rsidR="000053E7" w:rsidRPr="00FD304C" w:rsidRDefault="000053E7" w:rsidP="00FD304C">
      <w:pPr>
        <w:rPr>
          <w:rFonts w:cs="Arial"/>
          <w:lang w:val="cs-CZ"/>
        </w:rPr>
      </w:pPr>
      <w:r w:rsidRPr="00FD304C">
        <w:rPr>
          <w:rFonts w:cs="Arial"/>
          <w:lang w:val="cs-CZ"/>
        </w:rPr>
        <w:t xml:space="preserve">ČPZP byla v letech 2009 a 2010 při tvorbě fondu prevence vázána </w:t>
      </w:r>
      <w:r w:rsidR="00C755C5" w:rsidRPr="00FD304C">
        <w:rPr>
          <w:rFonts w:cs="Arial"/>
          <w:lang w:val="cs-CZ"/>
        </w:rPr>
        <w:t>obdobně jako u</w:t>
      </w:r>
      <w:r w:rsidR="000C5C98" w:rsidRPr="00FD304C">
        <w:rPr>
          <w:rFonts w:cs="Arial"/>
          <w:lang w:val="cs-CZ"/>
        </w:rPr>
        <w:t> </w:t>
      </w:r>
      <w:r w:rsidR="00C755C5" w:rsidRPr="00FD304C">
        <w:rPr>
          <w:rFonts w:cs="Arial"/>
          <w:lang w:val="cs-CZ"/>
        </w:rPr>
        <w:t xml:space="preserve">provozního fondu </w:t>
      </w:r>
      <w:r w:rsidR="004B40C0">
        <w:rPr>
          <w:rFonts w:cs="Arial"/>
          <w:lang w:val="cs-CZ"/>
        </w:rPr>
        <w:t>d</w:t>
      </w:r>
      <w:r w:rsidRPr="00FD304C">
        <w:rPr>
          <w:rFonts w:cs="Arial"/>
          <w:lang w:val="cs-CZ"/>
        </w:rPr>
        <w:t>ohodou</w:t>
      </w:r>
      <w:r w:rsidR="00FE293A" w:rsidRPr="00FD304C">
        <w:rPr>
          <w:rFonts w:cs="Arial"/>
          <w:vertAlign w:val="superscript"/>
          <w:lang w:val="cs-CZ"/>
        </w:rPr>
        <w:t>14</w:t>
      </w:r>
      <w:r w:rsidR="00224048" w:rsidRPr="00FD304C">
        <w:rPr>
          <w:rFonts w:cs="Arial"/>
          <w:vertAlign w:val="superscript"/>
          <w:lang w:val="cs-CZ"/>
        </w:rPr>
        <w:t xml:space="preserve"> </w:t>
      </w:r>
      <w:r w:rsidR="00224048" w:rsidRPr="00FD304C">
        <w:rPr>
          <w:rFonts w:cs="Arial"/>
          <w:lang w:val="cs-CZ"/>
        </w:rPr>
        <w:t>uzavřenou s MZ</w:t>
      </w:r>
      <w:r w:rsidRPr="00FD304C">
        <w:rPr>
          <w:rFonts w:cs="Arial"/>
          <w:lang w:val="cs-CZ"/>
        </w:rPr>
        <w:t>, ve které byly uvedeny podmínky pro stanovení maximální výše tvorby fondu prevence. ČPZP v souladu s </w:t>
      </w:r>
      <w:r w:rsidR="004B40C0">
        <w:rPr>
          <w:rFonts w:cs="Arial"/>
          <w:lang w:val="cs-CZ"/>
        </w:rPr>
        <w:t>touto d</w:t>
      </w:r>
      <w:r w:rsidRPr="00FD304C">
        <w:rPr>
          <w:rFonts w:cs="Arial"/>
          <w:lang w:val="cs-CZ"/>
        </w:rPr>
        <w:t xml:space="preserve">ohodou převedla finanční prostředky přesahující částku maximální výše tvorby fondu prevence do základního fondu. Jednalo </w:t>
      </w:r>
      <w:r w:rsidR="007B6805" w:rsidRPr="00FD304C">
        <w:rPr>
          <w:rFonts w:cs="Arial"/>
          <w:lang w:val="cs-CZ"/>
        </w:rPr>
        <w:t xml:space="preserve">se </w:t>
      </w:r>
      <w:r w:rsidRPr="00FD304C">
        <w:rPr>
          <w:rFonts w:cs="Arial"/>
          <w:lang w:val="cs-CZ"/>
        </w:rPr>
        <w:t xml:space="preserve">o převod finančních prostředků fondu prevence ve výši </w:t>
      </w:r>
      <w:r w:rsidRPr="00FD304C">
        <w:rPr>
          <w:rFonts w:cs="Arial"/>
          <w:b/>
          <w:lang w:val="cs-CZ"/>
        </w:rPr>
        <w:t>30 342 895 Kč</w:t>
      </w:r>
      <w:r w:rsidRPr="00FD304C">
        <w:rPr>
          <w:rFonts w:cs="Arial"/>
          <w:lang w:val="cs-CZ"/>
        </w:rPr>
        <w:t xml:space="preserve"> za rok 2009 a </w:t>
      </w:r>
      <w:r w:rsidRPr="00FD304C">
        <w:rPr>
          <w:rFonts w:cs="Arial"/>
          <w:b/>
          <w:lang w:val="cs-CZ"/>
        </w:rPr>
        <w:t>68 609 114 Kč</w:t>
      </w:r>
      <w:r w:rsidRPr="00FD304C">
        <w:rPr>
          <w:rFonts w:cs="Arial"/>
          <w:lang w:val="cs-CZ"/>
        </w:rPr>
        <w:t xml:space="preserve"> za rok 2010.</w:t>
      </w:r>
    </w:p>
    <w:p w:rsidR="006B42F6" w:rsidRPr="00FD304C" w:rsidRDefault="006B42F6" w:rsidP="00FD304C">
      <w:pPr>
        <w:rPr>
          <w:rFonts w:cs="Arial"/>
          <w:lang w:val="cs-CZ"/>
        </w:rPr>
      </w:pPr>
    </w:p>
    <w:p w:rsidR="00341474" w:rsidRPr="009639A1" w:rsidRDefault="009639A1" w:rsidP="009639A1">
      <w:pPr>
        <w:outlineLvl w:val="1"/>
        <w:rPr>
          <w:rFonts w:cs="Arial"/>
          <w:b/>
          <w:szCs w:val="22"/>
          <w:lang w:val="cs-CZ"/>
        </w:rPr>
      </w:pPr>
      <w:r>
        <w:rPr>
          <w:rFonts w:cs="Arial"/>
          <w:b/>
          <w:szCs w:val="22"/>
          <w:lang w:val="cs-CZ"/>
        </w:rPr>
        <w:t xml:space="preserve">5. </w:t>
      </w:r>
      <w:r w:rsidR="00341474" w:rsidRPr="009639A1">
        <w:rPr>
          <w:rFonts w:cs="Arial"/>
          <w:b/>
          <w:szCs w:val="22"/>
          <w:lang w:val="cs-CZ"/>
        </w:rPr>
        <w:t>Účetnictví</w:t>
      </w:r>
    </w:p>
    <w:p w:rsidR="00341474" w:rsidRPr="00FD304C" w:rsidRDefault="00341474" w:rsidP="00FD304C">
      <w:pPr>
        <w:rPr>
          <w:rFonts w:cs="Arial"/>
          <w:lang w:val="cs-CZ"/>
        </w:rPr>
      </w:pPr>
    </w:p>
    <w:p w:rsidR="00D23C20" w:rsidRPr="00FD304C" w:rsidRDefault="00D23C20" w:rsidP="00FD304C">
      <w:pPr>
        <w:rPr>
          <w:rFonts w:cs="Arial"/>
          <w:lang w:val="cs-CZ"/>
        </w:rPr>
      </w:pPr>
      <w:r w:rsidRPr="00FD304C">
        <w:rPr>
          <w:rFonts w:cs="Arial"/>
          <w:szCs w:val="22"/>
          <w:lang w:val="cs-CZ"/>
        </w:rPr>
        <w:t>ČPZP byla v kontrolovaném období povinna při vedení účetnictví postupovat podle zákona č.</w:t>
      </w:r>
      <w:r w:rsidR="009F58F7" w:rsidRPr="00FD304C">
        <w:rPr>
          <w:rFonts w:cs="Arial"/>
          <w:szCs w:val="22"/>
          <w:lang w:val="cs-CZ"/>
        </w:rPr>
        <w:t> </w:t>
      </w:r>
      <w:r w:rsidRPr="00FD304C">
        <w:rPr>
          <w:rFonts w:cs="Arial"/>
          <w:szCs w:val="22"/>
          <w:lang w:val="cs-CZ"/>
        </w:rPr>
        <w:t>563/1991 Sb.</w:t>
      </w:r>
      <w:r w:rsidRPr="00FD304C">
        <w:rPr>
          <w:rFonts w:cs="Arial"/>
          <w:szCs w:val="22"/>
          <w:vertAlign w:val="superscript"/>
          <w:lang w:val="cs-CZ"/>
        </w:rPr>
        <w:footnoteReference w:id="16"/>
      </w:r>
      <w:r w:rsidRPr="00FD304C">
        <w:rPr>
          <w:rFonts w:cs="Arial"/>
          <w:szCs w:val="22"/>
          <w:lang w:val="cs-CZ"/>
        </w:rPr>
        <w:t xml:space="preserve"> a vyhlášky č. 503/2002 Sb.</w:t>
      </w:r>
      <w:r w:rsidR="004C1067" w:rsidRPr="00FD304C">
        <w:rPr>
          <w:rStyle w:val="Znakapoznpodarou"/>
          <w:rFonts w:cs="Arial"/>
          <w:szCs w:val="22"/>
          <w:lang w:val="cs-CZ"/>
        </w:rPr>
        <w:footnoteReference w:id="17"/>
      </w:r>
      <w:r w:rsidR="007A3D38">
        <w:rPr>
          <w:rFonts w:cs="Arial"/>
          <w:szCs w:val="22"/>
          <w:lang w:val="cs-CZ"/>
        </w:rPr>
        <w:t>.</w:t>
      </w:r>
      <w:r w:rsidRPr="00FD304C">
        <w:rPr>
          <w:rFonts w:cs="Arial"/>
          <w:szCs w:val="22"/>
          <w:lang w:val="cs-CZ"/>
        </w:rPr>
        <w:t xml:space="preserve"> Postupy účtování a účetní metody byly dále upraveny v </w:t>
      </w:r>
      <w:r w:rsidR="007A3D38">
        <w:rPr>
          <w:rFonts w:cs="Arial"/>
          <w:szCs w:val="22"/>
          <w:lang w:val="cs-CZ"/>
        </w:rPr>
        <w:t>č</w:t>
      </w:r>
      <w:r w:rsidRPr="00FD304C">
        <w:rPr>
          <w:rFonts w:cs="Arial"/>
          <w:szCs w:val="22"/>
          <w:lang w:val="cs-CZ"/>
        </w:rPr>
        <w:t>eských účetních standardech pro zdravotní pojišťovny</w:t>
      </w:r>
      <w:r w:rsidRPr="00FD304C">
        <w:rPr>
          <w:rFonts w:cs="Arial"/>
          <w:szCs w:val="22"/>
          <w:vertAlign w:val="superscript"/>
          <w:lang w:val="cs-CZ"/>
        </w:rPr>
        <w:footnoteReference w:id="18"/>
      </w:r>
      <w:r w:rsidRPr="00FD304C">
        <w:rPr>
          <w:rFonts w:cs="Arial"/>
          <w:szCs w:val="22"/>
          <w:lang w:val="cs-CZ"/>
        </w:rPr>
        <w:t>.</w:t>
      </w:r>
    </w:p>
    <w:p w:rsidR="004B34DE" w:rsidRPr="00FD304C" w:rsidRDefault="004B34DE" w:rsidP="00FD304C">
      <w:pPr>
        <w:rPr>
          <w:rFonts w:cs="Arial"/>
          <w:lang w:val="cs-CZ"/>
        </w:rPr>
      </w:pPr>
    </w:p>
    <w:p w:rsidR="00D23C20" w:rsidRPr="00FD304C" w:rsidRDefault="00D23C20" w:rsidP="00FD304C">
      <w:pPr>
        <w:rPr>
          <w:rFonts w:eastAsiaTheme="minorHAnsi" w:cs="Arial"/>
          <w:szCs w:val="22"/>
          <w:lang w:val="cs-CZ"/>
        </w:rPr>
      </w:pPr>
      <w:r w:rsidRPr="00FD304C">
        <w:rPr>
          <w:rFonts w:cs="Arial"/>
          <w:lang w:val="cs-CZ"/>
        </w:rPr>
        <w:t>Zdravotní pojišťovny</w:t>
      </w:r>
      <w:r w:rsidR="004B40C0">
        <w:rPr>
          <w:rFonts w:cs="Arial"/>
          <w:lang w:val="cs-CZ"/>
        </w:rPr>
        <w:t xml:space="preserve"> </w:t>
      </w:r>
      <w:r w:rsidR="004B40C0" w:rsidRPr="00FD304C">
        <w:rPr>
          <w:rFonts w:cs="Arial"/>
          <w:lang w:val="cs-CZ"/>
        </w:rPr>
        <w:t>mají</w:t>
      </w:r>
      <w:r w:rsidRPr="00FD304C">
        <w:rPr>
          <w:rFonts w:cs="Arial"/>
          <w:lang w:val="cs-CZ"/>
        </w:rPr>
        <w:t xml:space="preserve"> jakožto účetní jednotky povinnost účtovat o skutečnostech, které jsou předmětem účetnictví, do období, s nimiž tyto skutečnosti časově a věcně souvis</w:t>
      </w:r>
      <w:r w:rsidR="007A3D38">
        <w:rPr>
          <w:rFonts w:cs="Arial"/>
          <w:lang w:val="cs-CZ"/>
        </w:rPr>
        <w:t>ej</w:t>
      </w:r>
      <w:r w:rsidRPr="00FD304C">
        <w:rPr>
          <w:rFonts w:cs="Arial"/>
          <w:lang w:val="cs-CZ"/>
        </w:rPr>
        <w:t>í. Dále mají povinnost zjišťovat inventarizací skutečný stav veškerého majetku a závazků a</w:t>
      </w:r>
      <w:r w:rsidR="005C2FCA" w:rsidRPr="00FD304C">
        <w:rPr>
          <w:rFonts w:cs="Arial"/>
          <w:lang w:val="cs-CZ"/>
        </w:rPr>
        <w:t> </w:t>
      </w:r>
      <w:r w:rsidRPr="00FD304C">
        <w:rPr>
          <w:rFonts w:cs="Arial"/>
          <w:lang w:val="cs-CZ"/>
        </w:rPr>
        <w:t>ověřovat, zda zjištěný skutečný stav odpovídá stavu majetku a závazků v účetnictví.</w:t>
      </w:r>
    </w:p>
    <w:p w:rsidR="00D23C20" w:rsidRPr="00FD304C" w:rsidRDefault="00D23C20" w:rsidP="00FD304C">
      <w:pPr>
        <w:rPr>
          <w:rFonts w:eastAsiaTheme="minorHAnsi" w:cs="Arial"/>
          <w:szCs w:val="22"/>
          <w:lang w:val="cs-CZ"/>
        </w:rPr>
      </w:pPr>
    </w:p>
    <w:p w:rsidR="001B7148" w:rsidRPr="00FD304C" w:rsidRDefault="001B7148" w:rsidP="00FD304C">
      <w:pPr>
        <w:rPr>
          <w:rFonts w:eastAsiaTheme="minorHAnsi" w:cs="Arial"/>
          <w:szCs w:val="22"/>
          <w:lang w:val="cs-CZ"/>
        </w:rPr>
      </w:pPr>
      <w:r w:rsidRPr="00FD304C">
        <w:rPr>
          <w:rFonts w:eastAsiaTheme="minorHAnsi" w:cs="Arial"/>
          <w:szCs w:val="22"/>
          <w:lang w:val="cs-CZ"/>
        </w:rPr>
        <w:t xml:space="preserve">Zákon č. 563/1991 </w:t>
      </w:r>
      <w:proofErr w:type="gramStart"/>
      <w:r w:rsidRPr="00FD304C">
        <w:rPr>
          <w:rFonts w:eastAsiaTheme="minorHAnsi" w:cs="Arial"/>
          <w:szCs w:val="22"/>
          <w:lang w:val="cs-CZ"/>
        </w:rPr>
        <w:t>Sb.</w:t>
      </w:r>
      <w:r w:rsidR="00C30169" w:rsidRPr="00FD304C">
        <w:rPr>
          <w:rFonts w:eastAsiaTheme="minorHAnsi" w:cs="Arial"/>
          <w:szCs w:val="22"/>
          <w:vertAlign w:val="superscript"/>
          <w:lang w:val="cs-CZ"/>
        </w:rPr>
        <w:t>15</w:t>
      </w:r>
      <w:proofErr w:type="gramEnd"/>
      <w:r w:rsidRPr="00FD304C">
        <w:rPr>
          <w:rFonts w:eastAsiaTheme="minorHAnsi" w:cs="Arial"/>
          <w:szCs w:val="22"/>
          <w:lang w:val="cs-CZ"/>
        </w:rPr>
        <w:t xml:space="preserve"> nedodržela ČPZP v těchto zjištěných případech:</w:t>
      </w:r>
    </w:p>
    <w:p w:rsidR="00214BAD" w:rsidRPr="00FD304C" w:rsidRDefault="007A3D38" w:rsidP="009639A1">
      <w:pPr>
        <w:numPr>
          <w:ilvl w:val="0"/>
          <w:numId w:val="37"/>
        </w:numPr>
        <w:ind w:left="284" w:hanging="284"/>
        <w:contextualSpacing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N</w:t>
      </w:r>
      <w:r w:rsidR="00DA4784" w:rsidRPr="00FD304C">
        <w:rPr>
          <w:rFonts w:cs="Arial"/>
          <w:szCs w:val="22"/>
          <w:lang w:val="cs-CZ"/>
        </w:rPr>
        <w:t>eúčtovala o odpisech pohledávek vedených</w:t>
      </w:r>
      <w:r w:rsidR="00214BAD" w:rsidRPr="00FD304C">
        <w:rPr>
          <w:rFonts w:cs="Arial"/>
          <w:szCs w:val="22"/>
          <w:lang w:val="cs-CZ"/>
        </w:rPr>
        <w:t xml:space="preserve"> na účtu 311</w:t>
      </w:r>
      <w:r w:rsidR="004B40C0">
        <w:rPr>
          <w:rFonts w:cs="Arial"/>
          <w:szCs w:val="22"/>
          <w:lang w:val="cs-CZ"/>
        </w:rPr>
        <w:t> –</w:t>
      </w:r>
      <w:r w:rsidR="00214BAD" w:rsidRPr="00FD304C">
        <w:rPr>
          <w:rFonts w:cs="Arial"/>
          <w:szCs w:val="22"/>
          <w:lang w:val="cs-CZ"/>
        </w:rPr>
        <w:t xml:space="preserve"> </w:t>
      </w:r>
      <w:r w:rsidR="00214BAD" w:rsidRPr="00FD304C">
        <w:rPr>
          <w:rFonts w:cs="Arial"/>
          <w:i/>
          <w:szCs w:val="22"/>
          <w:lang w:val="cs-CZ"/>
        </w:rPr>
        <w:t xml:space="preserve">Pohledávky za plátci pojistného </w:t>
      </w:r>
      <w:r w:rsidR="00DA4784" w:rsidRPr="00FD304C">
        <w:rPr>
          <w:rFonts w:cs="Arial"/>
          <w:szCs w:val="22"/>
          <w:lang w:val="cs-CZ"/>
        </w:rPr>
        <w:t>minimálně ve</w:t>
      </w:r>
      <w:r w:rsidR="00DA4784" w:rsidRPr="00FD304C">
        <w:rPr>
          <w:rFonts w:cs="Arial"/>
          <w:i/>
          <w:szCs w:val="22"/>
          <w:lang w:val="cs-CZ"/>
        </w:rPr>
        <w:t xml:space="preserve"> </w:t>
      </w:r>
      <w:r w:rsidR="00DA4784" w:rsidRPr="00FD304C">
        <w:rPr>
          <w:rFonts w:cs="Arial"/>
          <w:szCs w:val="22"/>
          <w:lang w:val="cs-CZ"/>
        </w:rPr>
        <w:t xml:space="preserve">výši </w:t>
      </w:r>
      <w:r w:rsidR="00DA4784" w:rsidRPr="00FD304C">
        <w:rPr>
          <w:rFonts w:cs="Arial"/>
          <w:bCs/>
          <w:szCs w:val="22"/>
          <w:lang w:val="cs-CZ"/>
        </w:rPr>
        <w:t>68 456 131,92 Kč</w:t>
      </w:r>
      <w:r w:rsidR="00DA4784" w:rsidRPr="00FD304C">
        <w:rPr>
          <w:rFonts w:cs="Arial"/>
          <w:szCs w:val="22"/>
          <w:lang w:val="cs-CZ"/>
        </w:rPr>
        <w:t xml:space="preserve"> </w:t>
      </w:r>
      <w:r w:rsidR="00214BAD" w:rsidRPr="00FD304C">
        <w:rPr>
          <w:rFonts w:cs="Arial"/>
          <w:szCs w:val="22"/>
          <w:lang w:val="cs-CZ"/>
        </w:rPr>
        <w:t xml:space="preserve">do účetních období, </w:t>
      </w:r>
      <w:r w:rsidR="00214BAD" w:rsidRPr="00FD304C">
        <w:rPr>
          <w:rFonts w:eastAsiaTheme="minorHAnsi" w:cs="Arial"/>
          <w:szCs w:val="22"/>
          <w:lang w:val="cs-CZ" w:eastAsia="cs-CZ"/>
        </w:rPr>
        <w:t>s n</w:t>
      </w:r>
      <w:r w:rsidR="004B40C0">
        <w:rPr>
          <w:rFonts w:eastAsiaTheme="minorHAnsi" w:cs="Arial"/>
          <w:szCs w:val="22"/>
          <w:lang w:val="cs-CZ" w:eastAsia="cs-CZ"/>
        </w:rPr>
        <w:t>i</w:t>
      </w:r>
      <w:r w:rsidR="00214BAD" w:rsidRPr="00FD304C">
        <w:rPr>
          <w:rFonts w:eastAsiaTheme="minorHAnsi" w:cs="Arial"/>
          <w:szCs w:val="22"/>
          <w:lang w:val="cs-CZ" w:eastAsia="cs-CZ"/>
        </w:rPr>
        <w:t>m</w:t>
      </w:r>
      <w:r w:rsidR="00276A74" w:rsidRPr="00FD304C">
        <w:rPr>
          <w:rFonts w:eastAsiaTheme="minorHAnsi" w:cs="Arial"/>
          <w:szCs w:val="22"/>
          <w:lang w:val="cs-CZ" w:eastAsia="cs-CZ"/>
        </w:rPr>
        <w:t>i</w:t>
      </w:r>
      <w:r w:rsidR="00214BAD" w:rsidRPr="00FD304C">
        <w:rPr>
          <w:rFonts w:eastAsiaTheme="minorHAnsi" w:cs="Arial"/>
          <w:szCs w:val="22"/>
          <w:lang w:val="cs-CZ" w:eastAsia="cs-CZ"/>
        </w:rPr>
        <w:t xml:space="preserve">ž tyto </w:t>
      </w:r>
      <w:r>
        <w:rPr>
          <w:rFonts w:eastAsiaTheme="minorHAnsi" w:cs="Arial"/>
          <w:szCs w:val="22"/>
          <w:lang w:val="cs-CZ" w:eastAsia="cs-CZ"/>
        </w:rPr>
        <w:t>účetní případy</w:t>
      </w:r>
      <w:r w:rsidR="00214BAD" w:rsidRPr="00FD304C">
        <w:rPr>
          <w:rFonts w:eastAsiaTheme="minorHAnsi" w:cs="Arial"/>
          <w:szCs w:val="22"/>
          <w:lang w:val="cs-CZ" w:eastAsia="cs-CZ"/>
        </w:rPr>
        <w:t xml:space="preserve"> časově a věcně souvisely</w:t>
      </w:r>
      <w:r w:rsidR="00DA4784" w:rsidRPr="00FD304C">
        <w:rPr>
          <w:rFonts w:eastAsiaTheme="minorHAnsi" w:cs="Arial"/>
          <w:szCs w:val="22"/>
          <w:lang w:val="cs-CZ" w:eastAsia="cs-CZ"/>
        </w:rPr>
        <w:t>. Při dokladové inventuře výše uvedeného účtu nezjistila</w:t>
      </w:r>
      <w:r>
        <w:rPr>
          <w:rFonts w:eastAsiaTheme="minorHAnsi" w:cs="Arial"/>
          <w:szCs w:val="22"/>
          <w:lang w:val="cs-CZ" w:eastAsia="cs-CZ"/>
        </w:rPr>
        <w:t xml:space="preserve"> </w:t>
      </w:r>
      <w:r w:rsidRPr="00FD304C">
        <w:rPr>
          <w:rFonts w:eastAsiaTheme="minorHAnsi" w:cs="Arial"/>
          <w:szCs w:val="22"/>
          <w:lang w:val="cs-CZ" w:eastAsia="cs-CZ"/>
        </w:rPr>
        <w:t>ČPZP</w:t>
      </w:r>
      <w:r w:rsidR="00DA4784" w:rsidRPr="00FD304C">
        <w:rPr>
          <w:rFonts w:eastAsiaTheme="minorHAnsi" w:cs="Arial"/>
          <w:szCs w:val="22"/>
          <w:lang w:val="cs-CZ" w:eastAsia="cs-CZ"/>
        </w:rPr>
        <w:t xml:space="preserve"> skutečný stav těchto pohledávek.</w:t>
      </w:r>
    </w:p>
    <w:p w:rsidR="000053E7" w:rsidRPr="00FD304C" w:rsidRDefault="007A3D38" w:rsidP="009639A1">
      <w:pPr>
        <w:numPr>
          <w:ilvl w:val="0"/>
          <w:numId w:val="37"/>
        </w:numPr>
        <w:ind w:left="284" w:hanging="284"/>
        <w:contextualSpacing/>
        <w:rPr>
          <w:rFonts w:cs="Arial"/>
          <w:szCs w:val="22"/>
          <w:lang w:val="cs-CZ"/>
        </w:rPr>
      </w:pPr>
      <w:r>
        <w:rPr>
          <w:rFonts w:eastAsiaTheme="minorHAnsi" w:cs="Arial"/>
          <w:szCs w:val="22"/>
          <w:lang w:val="cs-CZ"/>
        </w:rPr>
        <w:t>N</w:t>
      </w:r>
      <w:r w:rsidR="00D23C20" w:rsidRPr="00FD304C">
        <w:rPr>
          <w:rFonts w:eastAsiaTheme="minorHAnsi" w:cs="Arial"/>
          <w:szCs w:val="22"/>
          <w:lang w:val="cs-CZ"/>
        </w:rPr>
        <w:t xml:space="preserve">eúčtovala o předpisech pohledávek z titulu náhrady nákladů na hrazené služby vynaložených v důsledku zaviněného protiprávního jednání třetí osoby vůči pojištěnci </w:t>
      </w:r>
      <w:r w:rsidR="00D23C20" w:rsidRPr="00FD304C">
        <w:rPr>
          <w:rFonts w:eastAsiaTheme="minorHAnsi" w:cs="Arial"/>
          <w:szCs w:val="22"/>
          <w:lang w:val="cs-CZ" w:eastAsia="cs-CZ"/>
        </w:rPr>
        <w:t xml:space="preserve">v celkové výši minimálně </w:t>
      </w:r>
      <w:r w:rsidR="00D23C20" w:rsidRPr="00FD304C">
        <w:rPr>
          <w:rFonts w:eastAsiaTheme="minorHAnsi" w:cs="Arial"/>
          <w:szCs w:val="22"/>
          <w:lang w:val="cs-CZ"/>
        </w:rPr>
        <w:t>9 134 238,33 Kč</w:t>
      </w:r>
      <w:r w:rsidR="00D23C20" w:rsidRPr="00FD304C">
        <w:rPr>
          <w:rFonts w:eastAsiaTheme="minorHAnsi" w:cs="Arial"/>
          <w:szCs w:val="22"/>
          <w:lang w:val="cs-CZ" w:eastAsia="cs-CZ"/>
        </w:rPr>
        <w:t xml:space="preserve"> v účetní</w:t>
      </w:r>
      <w:r>
        <w:rPr>
          <w:rFonts w:eastAsiaTheme="minorHAnsi" w:cs="Arial"/>
          <w:szCs w:val="22"/>
          <w:lang w:val="cs-CZ" w:eastAsia="cs-CZ"/>
        </w:rPr>
        <w:t>ch</w:t>
      </w:r>
      <w:r w:rsidR="00D23C20" w:rsidRPr="00FD304C">
        <w:rPr>
          <w:rFonts w:eastAsiaTheme="minorHAnsi" w:cs="Arial"/>
          <w:szCs w:val="22"/>
          <w:lang w:val="cs-CZ" w:eastAsia="cs-CZ"/>
        </w:rPr>
        <w:t xml:space="preserve"> období</w:t>
      </w:r>
      <w:r>
        <w:rPr>
          <w:rFonts w:eastAsiaTheme="minorHAnsi" w:cs="Arial"/>
          <w:szCs w:val="22"/>
          <w:lang w:val="cs-CZ" w:eastAsia="cs-CZ"/>
        </w:rPr>
        <w:t>ch</w:t>
      </w:r>
      <w:r w:rsidR="00D23C20" w:rsidRPr="00FD304C">
        <w:rPr>
          <w:rFonts w:eastAsiaTheme="minorHAnsi" w:cs="Arial"/>
          <w:szCs w:val="22"/>
          <w:lang w:val="cs-CZ" w:eastAsia="cs-CZ"/>
        </w:rPr>
        <w:t xml:space="preserve">, s nímž </w:t>
      </w:r>
      <w:r>
        <w:rPr>
          <w:rFonts w:eastAsiaTheme="minorHAnsi" w:cs="Arial"/>
          <w:szCs w:val="22"/>
          <w:lang w:val="cs-CZ" w:eastAsia="cs-CZ"/>
        </w:rPr>
        <w:t xml:space="preserve">tyto účetní případy </w:t>
      </w:r>
      <w:r w:rsidR="00D23C20" w:rsidRPr="00FD304C">
        <w:rPr>
          <w:rFonts w:eastAsiaTheme="minorHAnsi" w:cs="Arial"/>
          <w:szCs w:val="22"/>
          <w:lang w:val="cs-CZ" w:eastAsia="cs-CZ"/>
        </w:rPr>
        <w:t>časově a věcně souvisely.</w:t>
      </w:r>
      <w:r w:rsidR="00D23C20" w:rsidRPr="00FD304C">
        <w:rPr>
          <w:rFonts w:eastAsiaTheme="minorHAnsi" w:cs="Arial"/>
          <w:szCs w:val="22"/>
          <w:lang w:val="cs-CZ"/>
        </w:rPr>
        <w:t xml:space="preserve"> </w:t>
      </w:r>
    </w:p>
    <w:p w:rsidR="00EB50D9" w:rsidRPr="00FD304C" w:rsidRDefault="00EB50D9" w:rsidP="00FD304C">
      <w:pPr>
        <w:contextualSpacing/>
        <w:rPr>
          <w:rFonts w:cs="Arial"/>
          <w:szCs w:val="22"/>
          <w:lang w:val="cs-CZ"/>
        </w:rPr>
      </w:pPr>
    </w:p>
    <w:p w:rsidR="007D02E0" w:rsidRDefault="007D02E0">
      <w:pPr>
        <w:spacing w:after="200" w:line="276" w:lineRule="auto"/>
        <w:jc w:val="left"/>
        <w:rPr>
          <w:rFonts w:cs="Arial"/>
          <w:b/>
          <w:szCs w:val="22"/>
          <w:lang w:val="cs-CZ"/>
        </w:rPr>
      </w:pPr>
      <w:r>
        <w:rPr>
          <w:rFonts w:cs="Arial"/>
          <w:b/>
          <w:szCs w:val="22"/>
          <w:lang w:val="cs-CZ"/>
        </w:rPr>
        <w:br w:type="page"/>
      </w:r>
    </w:p>
    <w:p w:rsidR="00BC7A6D" w:rsidRPr="009639A1" w:rsidRDefault="009639A1" w:rsidP="009639A1">
      <w:pPr>
        <w:tabs>
          <w:tab w:val="left" w:pos="567"/>
        </w:tabs>
        <w:outlineLvl w:val="2"/>
        <w:rPr>
          <w:rFonts w:cs="Arial"/>
          <w:b/>
          <w:szCs w:val="22"/>
          <w:lang w:val="cs-CZ"/>
        </w:rPr>
      </w:pPr>
      <w:r>
        <w:rPr>
          <w:rFonts w:cs="Arial"/>
          <w:b/>
          <w:szCs w:val="22"/>
          <w:lang w:val="cs-CZ"/>
        </w:rPr>
        <w:lastRenderedPageBreak/>
        <w:t xml:space="preserve">6. </w:t>
      </w:r>
      <w:r w:rsidR="00BC7A6D" w:rsidRPr="009639A1">
        <w:rPr>
          <w:rFonts w:cs="Arial"/>
          <w:b/>
          <w:szCs w:val="22"/>
          <w:lang w:val="cs-CZ"/>
        </w:rPr>
        <w:t>Kontrolní činnost</w:t>
      </w:r>
      <w:r w:rsidR="003D0204" w:rsidRPr="009639A1">
        <w:rPr>
          <w:rFonts w:cs="Arial"/>
          <w:b/>
          <w:szCs w:val="22"/>
          <w:lang w:val="cs-CZ"/>
        </w:rPr>
        <w:t xml:space="preserve"> </w:t>
      </w:r>
      <w:r w:rsidR="007A3D38">
        <w:rPr>
          <w:rFonts w:cs="Arial"/>
          <w:b/>
          <w:szCs w:val="22"/>
          <w:lang w:val="cs-CZ"/>
        </w:rPr>
        <w:t xml:space="preserve">v oblasti </w:t>
      </w:r>
      <w:r w:rsidR="003D0204" w:rsidRPr="009639A1">
        <w:rPr>
          <w:rFonts w:cs="Arial"/>
          <w:b/>
          <w:szCs w:val="22"/>
          <w:lang w:val="cs-CZ"/>
        </w:rPr>
        <w:t>vykázaných zdravotních služeb</w:t>
      </w:r>
    </w:p>
    <w:p w:rsidR="009A2CFB" w:rsidRPr="00FD304C" w:rsidRDefault="009A2CFB" w:rsidP="00FD304C">
      <w:pPr>
        <w:pStyle w:val="Odstavecseseznamem"/>
        <w:ind w:left="0"/>
        <w:outlineLvl w:val="2"/>
        <w:rPr>
          <w:rFonts w:cs="Arial"/>
          <w:b/>
          <w:szCs w:val="22"/>
          <w:lang w:val="cs-CZ"/>
        </w:rPr>
      </w:pPr>
    </w:p>
    <w:p w:rsidR="008105E5" w:rsidRPr="00FD304C" w:rsidRDefault="00984FFC" w:rsidP="00FD304C">
      <w:pPr>
        <w:rPr>
          <w:rFonts w:cs="Arial"/>
          <w:lang w:val="cs-CZ"/>
        </w:rPr>
      </w:pPr>
      <w:r w:rsidRPr="00FD304C">
        <w:rPr>
          <w:rFonts w:cs="Arial"/>
          <w:szCs w:val="22"/>
          <w:lang w:val="cs-CZ"/>
        </w:rPr>
        <w:t xml:space="preserve">Zdravotní pojišťovny kontrolují využívání a poskytování hrazených služeb a jejich vyúčtování prostřednictvím informačních dat a revizních lékařů. </w:t>
      </w:r>
      <w:r w:rsidR="00BC7A6D" w:rsidRPr="00FD304C">
        <w:rPr>
          <w:rFonts w:cs="Arial"/>
          <w:lang w:val="cs-CZ"/>
        </w:rPr>
        <w:t xml:space="preserve">V letech 2009 až 2013 </w:t>
      </w:r>
      <w:r w:rsidRPr="00FD304C">
        <w:rPr>
          <w:rFonts w:cs="Arial"/>
          <w:lang w:val="cs-CZ"/>
        </w:rPr>
        <w:t xml:space="preserve">k prvotní (tzv. </w:t>
      </w:r>
      <w:proofErr w:type="spellStart"/>
      <w:r w:rsidRPr="00FD304C">
        <w:rPr>
          <w:rFonts w:cs="Arial"/>
          <w:lang w:val="cs-CZ"/>
        </w:rPr>
        <w:t>prerevizi</w:t>
      </w:r>
      <w:proofErr w:type="spellEnd"/>
      <w:r w:rsidRPr="00FD304C">
        <w:rPr>
          <w:rFonts w:cs="Arial"/>
          <w:lang w:val="cs-CZ"/>
        </w:rPr>
        <w:t xml:space="preserve">) a následné </w:t>
      </w:r>
      <w:r w:rsidR="00BC7A6D" w:rsidRPr="00FD304C">
        <w:rPr>
          <w:rFonts w:cs="Arial"/>
          <w:lang w:val="cs-CZ"/>
        </w:rPr>
        <w:t xml:space="preserve">kontrole </w:t>
      </w:r>
      <w:r w:rsidR="009A2CFB" w:rsidRPr="00FD304C">
        <w:rPr>
          <w:rFonts w:cs="Arial"/>
          <w:lang w:val="cs-CZ"/>
        </w:rPr>
        <w:t xml:space="preserve">vykázaných zdravotních služeb </w:t>
      </w:r>
      <w:r w:rsidR="004B40C0" w:rsidRPr="00FD304C">
        <w:rPr>
          <w:rFonts w:cs="Arial"/>
          <w:lang w:val="cs-CZ"/>
        </w:rPr>
        <w:t xml:space="preserve">ČPZP </w:t>
      </w:r>
      <w:r w:rsidR="00BC7A6D" w:rsidRPr="00FD304C">
        <w:rPr>
          <w:rFonts w:cs="Arial"/>
          <w:lang w:val="cs-CZ"/>
        </w:rPr>
        <w:t>využívala</w:t>
      </w:r>
      <w:r w:rsidR="008105E5" w:rsidRPr="00FD304C">
        <w:rPr>
          <w:rFonts w:cs="Arial"/>
          <w:lang w:val="cs-CZ"/>
        </w:rPr>
        <w:t xml:space="preserve"> především</w:t>
      </w:r>
      <w:r w:rsidR="00BC7A6D" w:rsidRPr="00FD304C">
        <w:rPr>
          <w:rFonts w:cs="Arial"/>
          <w:lang w:val="cs-CZ"/>
        </w:rPr>
        <w:t xml:space="preserve"> informační systém výdajové části. </w:t>
      </w:r>
      <w:r w:rsidR="008105E5" w:rsidRPr="00FD304C">
        <w:rPr>
          <w:rFonts w:cs="Arial"/>
          <w:lang w:val="cs-CZ"/>
        </w:rPr>
        <w:t xml:space="preserve">Fyzické kontroly u poskytovatelů ZS tvořily </w:t>
      </w:r>
      <w:r w:rsidR="00F91886" w:rsidRPr="00FD304C">
        <w:rPr>
          <w:rFonts w:cs="Arial"/>
          <w:lang w:val="cs-CZ"/>
        </w:rPr>
        <w:t>nepatrný podíl na celkovém počtu</w:t>
      </w:r>
      <w:r w:rsidR="008105E5" w:rsidRPr="00FD304C">
        <w:rPr>
          <w:rFonts w:cs="Arial"/>
          <w:lang w:val="cs-CZ"/>
        </w:rPr>
        <w:t xml:space="preserve"> provedených kontrol</w:t>
      </w:r>
      <w:r w:rsidR="003A1AA4" w:rsidRPr="00FD304C">
        <w:rPr>
          <w:rFonts w:cs="Arial"/>
          <w:lang w:val="cs-CZ"/>
        </w:rPr>
        <w:t xml:space="preserve">, přestože některé nedostatky ve vykazování zdravotních výkonů nelze zjistit jinak než </w:t>
      </w:r>
      <w:r w:rsidR="00F61C2B" w:rsidRPr="00FD304C">
        <w:rPr>
          <w:rFonts w:cs="Arial"/>
          <w:lang w:val="cs-CZ"/>
        </w:rPr>
        <w:t xml:space="preserve">ověřením </w:t>
      </w:r>
      <w:r w:rsidR="003A1AA4" w:rsidRPr="00FD304C">
        <w:rPr>
          <w:rFonts w:cs="Arial"/>
          <w:lang w:val="cs-CZ"/>
        </w:rPr>
        <w:t>u poskytovatele ZS</w:t>
      </w:r>
      <w:r w:rsidR="008105E5" w:rsidRPr="00FD304C">
        <w:rPr>
          <w:rFonts w:cs="Arial"/>
          <w:lang w:val="cs-CZ"/>
        </w:rPr>
        <w:t xml:space="preserve">. </w:t>
      </w:r>
      <w:r w:rsidR="00AE1320" w:rsidRPr="00FD304C">
        <w:rPr>
          <w:rFonts w:cs="Arial"/>
          <w:lang w:val="cs-CZ"/>
        </w:rPr>
        <w:t>U</w:t>
      </w:r>
      <w:r w:rsidR="004B40C0">
        <w:rPr>
          <w:rFonts w:cs="Arial"/>
          <w:lang w:val="cs-CZ"/>
        </w:rPr>
        <w:t> </w:t>
      </w:r>
      <w:r w:rsidR="00AE1320" w:rsidRPr="00FD304C">
        <w:rPr>
          <w:rFonts w:cs="Arial"/>
          <w:lang w:val="cs-CZ"/>
        </w:rPr>
        <w:t>poskytovatelů lázeňské léčebně rehabilitační péče a dodavatelů zdravotnických prostředků začala ČPZP provádět fyzické kontroly až v roce 2013.</w:t>
      </w:r>
    </w:p>
    <w:p w:rsidR="00280BB7" w:rsidRPr="00FD304C" w:rsidRDefault="00280BB7" w:rsidP="00FD304C">
      <w:pPr>
        <w:rPr>
          <w:rFonts w:cs="Arial"/>
          <w:lang w:val="cs-CZ"/>
        </w:rPr>
      </w:pPr>
    </w:p>
    <w:p w:rsidR="009A2CFB" w:rsidRPr="00FD304C" w:rsidRDefault="009A2CFB" w:rsidP="00FD304C">
      <w:pPr>
        <w:tabs>
          <w:tab w:val="left" w:pos="1418"/>
          <w:tab w:val="left" w:pos="1560"/>
        </w:tabs>
        <w:spacing w:after="40"/>
        <w:rPr>
          <w:rFonts w:cs="Arial"/>
          <w:b/>
          <w:bCs/>
          <w:lang w:val="cs-CZ"/>
        </w:rPr>
      </w:pPr>
      <w:r w:rsidRPr="00FD304C">
        <w:rPr>
          <w:rFonts w:cs="Arial"/>
          <w:b/>
          <w:bCs/>
          <w:lang w:val="cs-CZ"/>
        </w:rPr>
        <w:t>Tabulka č. 1</w:t>
      </w:r>
      <w:r w:rsidR="00280BB7" w:rsidRPr="00FD304C">
        <w:rPr>
          <w:rFonts w:cs="Arial"/>
          <w:b/>
          <w:bCs/>
          <w:lang w:val="cs-CZ"/>
        </w:rPr>
        <w:t>4</w:t>
      </w:r>
      <w:r w:rsidRPr="00FD304C">
        <w:rPr>
          <w:rFonts w:cs="Arial"/>
          <w:b/>
          <w:bCs/>
          <w:lang w:val="cs-CZ"/>
        </w:rPr>
        <w:tab/>
      </w:r>
      <w:r w:rsidR="00C932A7" w:rsidRPr="00FD304C">
        <w:rPr>
          <w:rFonts w:cs="Arial"/>
          <w:b/>
          <w:bCs/>
          <w:lang w:val="cs-CZ"/>
        </w:rPr>
        <w:t>–</w:t>
      </w:r>
      <w:r w:rsidR="00FF1DA4" w:rsidRPr="00FD304C">
        <w:rPr>
          <w:rFonts w:cs="Arial"/>
          <w:b/>
          <w:bCs/>
          <w:lang w:val="cs-CZ"/>
        </w:rPr>
        <w:t xml:space="preserve"> </w:t>
      </w:r>
      <w:r w:rsidR="00D21BCE" w:rsidRPr="00FD304C">
        <w:rPr>
          <w:rFonts w:eastAsiaTheme="minorHAnsi" w:cs="Arial"/>
          <w:b/>
          <w:bCs/>
          <w:color w:val="000000"/>
          <w:szCs w:val="22"/>
          <w:lang w:val="cs-CZ"/>
        </w:rPr>
        <w:t>Provedené kontroly</w:t>
      </w:r>
    </w:p>
    <w:tbl>
      <w:tblPr>
        <w:tblW w:w="9012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992"/>
        <w:gridCol w:w="1099"/>
        <w:gridCol w:w="1046"/>
        <w:gridCol w:w="1338"/>
        <w:gridCol w:w="1418"/>
        <w:gridCol w:w="1276"/>
      </w:tblGrid>
      <w:tr w:rsidR="009A2CFB" w:rsidRPr="00FD304C" w:rsidTr="00FD304C">
        <w:trPr>
          <w:trHeight w:val="227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A2CFB" w:rsidRPr="00FD304C" w:rsidRDefault="009A2CFB" w:rsidP="00FD304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val="cs-CZ"/>
              </w:rPr>
              <w:t>Rok</w:t>
            </w:r>
          </w:p>
        </w:tc>
        <w:tc>
          <w:tcPr>
            <w:tcW w:w="4271" w:type="dxa"/>
            <w:gridSpan w:val="4"/>
            <w:shd w:val="clear" w:color="auto" w:fill="auto"/>
            <w:vAlign w:val="center"/>
          </w:tcPr>
          <w:p w:rsidR="009A2CFB" w:rsidRPr="00FD304C" w:rsidRDefault="009A2CFB" w:rsidP="00FD304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val="cs-CZ"/>
              </w:rPr>
              <w:t>Provedené kontroly</w:t>
            </w:r>
            <w:r w:rsidR="00C81499" w:rsidRPr="00FD304C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val="cs-CZ"/>
              </w:rPr>
              <w:t xml:space="preserve"> (následné)</w:t>
            </w:r>
          </w:p>
        </w:tc>
        <w:tc>
          <w:tcPr>
            <w:tcW w:w="4032" w:type="dxa"/>
            <w:gridSpan w:val="3"/>
            <w:shd w:val="clear" w:color="auto" w:fill="auto"/>
            <w:vAlign w:val="center"/>
          </w:tcPr>
          <w:p w:rsidR="009A2CFB" w:rsidRPr="00FD304C" w:rsidRDefault="009A2CFB" w:rsidP="00FD304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val="cs-CZ"/>
              </w:rPr>
              <w:t>Finanční vyhodnocení kontrol (v Kč)</w:t>
            </w:r>
          </w:p>
        </w:tc>
      </w:tr>
      <w:tr w:rsidR="00FD304C" w:rsidRPr="004B40C0" w:rsidTr="00FD304C">
        <w:trPr>
          <w:trHeight w:val="227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9A2CFB" w:rsidRPr="00FD304C" w:rsidRDefault="009A2CFB" w:rsidP="00FD304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2CFB" w:rsidRPr="00FD304C" w:rsidRDefault="004B40C0" w:rsidP="00FD304C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val="cs-CZ"/>
              </w:rPr>
              <w:t>P</w:t>
            </w:r>
            <w:r w:rsidR="009A2CFB" w:rsidRPr="00FD304C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val="cs-CZ"/>
              </w:rPr>
              <w:t>očet kontrol celkem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9A2CFB" w:rsidRPr="00FD304C" w:rsidRDefault="004B40C0" w:rsidP="00FD304C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val="cs-CZ"/>
              </w:rPr>
              <w:t xml:space="preserve">– </w:t>
            </w:r>
            <w:r w:rsidR="009A2CFB" w:rsidRPr="00FD304C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val="cs-CZ"/>
              </w:rPr>
              <w:t>z toho</w:t>
            </w:r>
            <w:r w:rsidR="007A3D38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val="cs-CZ"/>
              </w:rPr>
              <w:t>:</w:t>
            </w:r>
            <w:r w:rsidR="009A2CFB" w:rsidRPr="00FD304C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val="cs-CZ"/>
              </w:rPr>
              <w:t xml:space="preserve"> fyzické kontroly na místě (%)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A2CFB" w:rsidRPr="00FD304C" w:rsidRDefault="004B40C0" w:rsidP="00FD304C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val="cs-CZ"/>
              </w:rPr>
              <w:t xml:space="preserve">– </w:t>
            </w:r>
            <w:r w:rsidR="009A2CFB" w:rsidRPr="00FD304C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val="cs-CZ"/>
              </w:rPr>
              <w:t>z toho</w:t>
            </w:r>
            <w:r w:rsidR="007A3D38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val="cs-CZ"/>
              </w:rPr>
              <w:t>:</w:t>
            </w:r>
            <w:r w:rsidR="009A2CFB" w:rsidRPr="00FD304C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val="cs-CZ"/>
              </w:rPr>
              <w:t xml:space="preserve"> </w:t>
            </w:r>
            <w:proofErr w:type="gramStart"/>
            <w:r w:rsidR="009A2CFB" w:rsidRPr="00FD304C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val="cs-CZ"/>
              </w:rPr>
              <w:t>kontroly v IS</w:t>
            </w:r>
            <w:proofErr w:type="gramEnd"/>
          </w:p>
        </w:tc>
        <w:tc>
          <w:tcPr>
            <w:tcW w:w="1338" w:type="dxa"/>
            <w:shd w:val="clear" w:color="auto" w:fill="auto"/>
            <w:vAlign w:val="center"/>
          </w:tcPr>
          <w:p w:rsidR="009A2CFB" w:rsidRPr="00FD304C" w:rsidRDefault="004B40C0" w:rsidP="00FD304C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val="cs-CZ"/>
              </w:rPr>
              <w:t>Č</w:t>
            </w:r>
            <w:r w:rsidR="00FD304C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val="cs-CZ"/>
              </w:rPr>
              <w:t>ástka k </w:t>
            </w:r>
            <w:r w:rsidR="009A2CFB" w:rsidRPr="00FD304C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val="cs-CZ"/>
              </w:rPr>
              <w:t>vrácení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2CFB" w:rsidRPr="00FD304C" w:rsidRDefault="004B40C0" w:rsidP="00FD304C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val="cs-CZ"/>
              </w:rPr>
              <w:t xml:space="preserve">– </w:t>
            </w:r>
            <w:r w:rsidR="009A2CFB" w:rsidRPr="00FD304C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val="cs-CZ"/>
              </w:rPr>
              <w:t>z toho</w:t>
            </w:r>
            <w:r w:rsidR="007A3D38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val="cs-CZ"/>
              </w:rPr>
              <w:t>:</w:t>
            </w:r>
            <w:r w:rsidR="009A2CFB" w:rsidRPr="00FD304C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val="cs-CZ"/>
              </w:rPr>
              <w:t xml:space="preserve"> z fyzické kontroly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CFB" w:rsidRPr="00FD304C" w:rsidRDefault="004B40C0" w:rsidP="00FD304C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val="cs-CZ"/>
              </w:rPr>
              <w:t>– z toho</w:t>
            </w:r>
            <w:r w:rsidR="007A3D38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val="cs-CZ"/>
              </w:rPr>
              <w:t>:</w:t>
            </w:r>
            <w:r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val="cs-CZ"/>
              </w:rPr>
              <w:t xml:space="preserve"> z </w:t>
            </w:r>
            <w:proofErr w:type="gramStart"/>
            <w:r w:rsidR="009A2CFB" w:rsidRPr="00FD304C">
              <w:rPr>
                <w:rFonts w:eastAsiaTheme="minorHAnsi" w:cs="Arial"/>
                <w:b/>
                <w:bCs/>
                <w:color w:val="000000"/>
                <w:sz w:val="16"/>
                <w:szCs w:val="16"/>
                <w:lang w:val="cs-CZ"/>
              </w:rPr>
              <w:t>kontroly v IS</w:t>
            </w:r>
            <w:proofErr w:type="gramEnd"/>
          </w:p>
        </w:tc>
      </w:tr>
      <w:tr w:rsidR="00FD304C" w:rsidRPr="00FD304C" w:rsidTr="00FD304C">
        <w:trPr>
          <w:trHeight w:val="22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A2CFB" w:rsidRPr="005D693C" w:rsidRDefault="009A2CFB" w:rsidP="00FD304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</w:pPr>
            <w:r w:rsidRPr="005D693C"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  <w:t>2009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2CFB" w:rsidRPr="00FD304C" w:rsidRDefault="009A2CFB" w:rsidP="00FD304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  <w:t>293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2CFB" w:rsidRPr="00FD304C" w:rsidRDefault="009A2CFB" w:rsidP="00FD304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  <w:t>52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A2CFB" w:rsidRPr="00FD304C" w:rsidRDefault="009A2CFB" w:rsidP="00FD304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  <w:t>17,75</w:t>
            </w:r>
            <w:r w:rsidR="007A3D38"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  <w:t> </w:t>
            </w:r>
            <w:r w:rsidRPr="00FD304C"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  <w:t>%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A2CFB" w:rsidRPr="00FD304C" w:rsidRDefault="009A2CFB" w:rsidP="00FD304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  <w:t>241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A2CFB" w:rsidRPr="00FD304C" w:rsidRDefault="009A2CFB" w:rsidP="00FD304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  <w:t>2 535 702,80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2CFB" w:rsidRPr="00FD304C" w:rsidRDefault="009A2CFB" w:rsidP="00FD304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  <w:t>958 665,87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CFB" w:rsidRPr="00FD304C" w:rsidRDefault="009A2CFB" w:rsidP="00FD304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  <w:t>1 577 036,93</w:t>
            </w:r>
          </w:p>
        </w:tc>
      </w:tr>
      <w:tr w:rsidR="00FD304C" w:rsidRPr="00FD304C" w:rsidTr="00FD304C">
        <w:trPr>
          <w:trHeight w:val="22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A2CFB" w:rsidRPr="005D693C" w:rsidRDefault="009A2CFB" w:rsidP="00FD304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</w:pPr>
            <w:r w:rsidRPr="005D693C"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  <w:t>2010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2CFB" w:rsidRPr="00FD304C" w:rsidRDefault="009A2CFB" w:rsidP="00FD304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  <w:t>1 328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2CFB" w:rsidRPr="00FD304C" w:rsidRDefault="009A2CFB" w:rsidP="00FD304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  <w:t>72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A2CFB" w:rsidRPr="00FD304C" w:rsidRDefault="009A2CFB" w:rsidP="00FD304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  <w:t>5,42</w:t>
            </w:r>
            <w:r w:rsidR="007A3D38"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  <w:t> </w:t>
            </w:r>
            <w:r w:rsidRPr="00FD304C"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  <w:t>%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A2CFB" w:rsidRPr="00FD304C" w:rsidRDefault="009A2CFB" w:rsidP="00FD304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  <w:t>1 256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A2CFB" w:rsidRPr="00FD304C" w:rsidRDefault="009A2CFB" w:rsidP="00FD304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  <w:t>27 466 716,36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2CFB" w:rsidRPr="00FD304C" w:rsidRDefault="009A2CFB" w:rsidP="00FD304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  <w:t>6 398 379,20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CFB" w:rsidRPr="00FD304C" w:rsidRDefault="009A2CFB" w:rsidP="00FD304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  <w:t>21 068 337,16</w:t>
            </w:r>
          </w:p>
        </w:tc>
      </w:tr>
      <w:tr w:rsidR="00FD304C" w:rsidRPr="00FD304C" w:rsidTr="00FD304C">
        <w:trPr>
          <w:trHeight w:val="22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A2CFB" w:rsidRPr="005D693C" w:rsidRDefault="009A2CFB" w:rsidP="00FD304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</w:pPr>
            <w:r w:rsidRPr="005D693C"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  <w:t>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2CFB" w:rsidRPr="00FD304C" w:rsidRDefault="009A2CFB" w:rsidP="00FD304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  <w:t>4 880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2CFB" w:rsidRPr="00FD304C" w:rsidRDefault="009A2CFB" w:rsidP="00FD304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  <w:t>128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A2CFB" w:rsidRPr="00FD304C" w:rsidRDefault="009A2CFB" w:rsidP="00FD304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  <w:t>2,62</w:t>
            </w:r>
            <w:r w:rsidR="007A3D38"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  <w:t> </w:t>
            </w:r>
            <w:r w:rsidRPr="00FD304C"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  <w:t>%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A2CFB" w:rsidRPr="00FD304C" w:rsidRDefault="009A2CFB" w:rsidP="00FD304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  <w:t>4 752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A2CFB" w:rsidRPr="00FD304C" w:rsidRDefault="009A2CFB" w:rsidP="00FD304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  <w:t>93 444 934,85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2CFB" w:rsidRPr="00FD304C" w:rsidRDefault="009A2CFB" w:rsidP="00FD304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  <w:t>9 664 939,13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CFB" w:rsidRPr="00FD304C" w:rsidRDefault="009A2CFB" w:rsidP="00FD304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  <w:t>83 779 995,72</w:t>
            </w:r>
          </w:p>
        </w:tc>
      </w:tr>
      <w:tr w:rsidR="00FD304C" w:rsidRPr="00FD304C" w:rsidTr="00FD304C">
        <w:trPr>
          <w:trHeight w:val="22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A2CFB" w:rsidRPr="005D693C" w:rsidRDefault="009A2CFB" w:rsidP="00FD304C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</w:pPr>
            <w:r w:rsidRPr="005D693C"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  <w:t>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2CFB" w:rsidRPr="00FD304C" w:rsidRDefault="009A2CFB" w:rsidP="00FD304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  <w:t>2 468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2CFB" w:rsidRPr="00FD304C" w:rsidRDefault="009A2CFB" w:rsidP="00FD304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  <w:t>88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A2CFB" w:rsidRPr="00FD304C" w:rsidRDefault="009A2CFB" w:rsidP="00FD304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  <w:t>3,57</w:t>
            </w:r>
            <w:r w:rsidR="007A3D38"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  <w:t> </w:t>
            </w:r>
            <w:r w:rsidRPr="00FD304C"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  <w:t>%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A2CFB" w:rsidRPr="00FD304C" w:rsidRDefault="009A2CFB" w:rsidP="00FD304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  <w:t>2 380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A2CFB" w:rsidRPr="00FD304C" w:rsidRDefault="009A2CFB" w:rsidP="00FD304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  <w:t>72 798 640,53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2CFB" w:rsidRPr="00FD304C" w:rsidRDefault="009A2CFB" w:rsidP="00FD304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  <w:t>4 373 211,35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CFB" w:rsidRPr="00FD304C" w:rsidRDefault="009A2CFB" w:rsidP="00FD304C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</w:pPr>
            <w:r w:rsidRPr="00FD304C">
              <w:rPr>
                <w:rFonts w:eastAsiaTheme="minorHAnsi" w:cs="Arial"/>
                <w:bCs/>
                <w:color w:val="000000"/>
                <w:sz w:val="16"/>
                <w:szCs w:val="16"/>
                <w:lang w:val="cs-CZ"/>
              </w:rPr>
              <w:t>68 425 429,18</w:t>
            </w:r>
          </w:p>
        </w:tc>
      </w:tr>
    </w:tbl>
    <w:p w:rsidR="009A2CFB" w:rsidRPr="00FD304C" w:rsidRDefault="009A2CFB" w:rsidP="00FD304C">
      <w:pPr>
        <w:tabs>
          <w:tab w:val="left" w:pos="567"/>
        </w:tabs>
        <w:spacing w:before="40"/>
        <w:ind w:left="567" w:hanging="567"/>
        <w:rPr>
          <w:rFonts w:cs="Arial"/>
          <w:sz w:val="18"/>
          <w:szCs w:val="18"/>
          <w:lang w:val="cs-CZ"/>
        </w:rPr>
      </w:pPr>
      <w:r w:rsidRPr="00FD304C">
        <w:rPr>
          <w:rFonts w:cs="Arial"/>
          <w:b/>
          <w:sz w:val="18"/>
          <w:szCs w:val="18"/>
          <w:lang w:val="cs-CZ"/>
        </w:rPr>
        <w:t>Zdroj:</w:t>
      </w:r>
      <w:r w:rsidRPr="00FD304C">
        <w:rPr>
          <w:rFonts w:cs="Arial"/>
          <w:sz w:val="18"/>
          <w:szCs w:val="18"/>
          <w:lang w:val="cs-CZ"/>
        </w:rPr>
        <w:t xml:space="preserve"> </w:t>
      </w:r>
      <w:r w:rsidR="004B40C0">
        <w:rPr>
          <w:rFonts w:cs="Arial"/>
          <w:sz w:val="18"/>
          <w:szCs w:val="18"/>
          <w:lang w:val="cs-CZ"/>
        </w:rPr>
        <w:t>s</w:t>
      </w:r>
      <w:r w:rsidRPr="00FD304C">
        <w:rPr>
          <w:rFonts w:cs="Arial"/>
          <w:sz w:val="18"/>
          <w:szCs w:val="18"/>
          <w:lang w:val="cs-CZ"/>
        </w:rPr>
        <w:t xml:space="preserve">ouhrnné tabulky revizních činností za I. až IV. čtvrtletí </w:t>
      </w:r>
      <w:r w:rsidR="007A3D38">
        <w:rPr>
          <w:rFonts w:cs="Arial"/>
          <w:sz w:val="18"/>
          <w:szCs w:val="18"/>
          <w:lang w:val="cs-CZ"/>
        </w:rPr>
        <w:t>let</w:t>
      </w:r>
      <w:r w:rsidRPr="00FD304C">
        <w:rPr>
          <w:rFonts w:cs="Arial"/>
          <w:sz w:val="18"/>
          <w:szCs w:val="18"/>
          <w:lang w:val="cs-CZ"/>
        </w:rPr>
        <w:t xml:space="preserve"> 2009 až 2012</w:t>
      </w:r>
      <w:r w:rsidR="005D693C">
        <w:rPr>
          <w:rFonts w:cs="Arial"/>
          <w:sz w:val="18"/>
          <w:szCs w:val="18"/>
          <w:lang w:val="cs-CZ"/>
        </w:rPr>
        <w:t>.</w:t>
      </w:r>
      <w:r w:rsidRPr="00FD304C">
        <w:rPr>
          <w:rFonts w:cs="Arial"/>
          <w:sz w:val="18"/>
          <w:szCs w:val="18"/>
          <w:lang w:val="cs-CZ"/>
        </w:rPr>
        <w:t xml:space="preserve"> </w:t>
      </w:r>
    </w:p>
    <w:p w:rsidR="009A2CFB" w:rsidRPr="00FD304C" w:rsidRDefault="004B34DE" w:rsidP="00FD304C">
      <w:pPr>
        <w:tabs>
          <w:tab w:val="left" w:pos="851"/>
        </w:tabs>
        <w:rPr>
          <w:rFonts w:cs="Arial"/>
          <w:sz w:val="18"/>
          <w:szCs w:val="18"/>
          <w:lang w:val="cs-CZ"/>
        </w:rPr>
      </w:pPr>
      <w:r w:rsidRPr="00FD304C">
        <w:rPr>
          <w:rFonts w:cs="Arial"/>
          <w:b/>
          <w:sz w:val="18"/>
          <w:szCs w:val="18"/>
          <w:lang w:val="cs-CZ"/>
        </w:rPr>
        <w:t>Zkratka</w:t>
      </w:r>
      <w:r w:rsidR="009A2CFB" w:rsidRPr="00FD304C">
        <w:rPr>
          <w:rFonts w:cs="Arial"/>
          <w:b/>
          <w:sz w:val="18"/>
          <w:szCs w:val="18"/>
          <w:lang w:val="cs-CZ"/>
        </w:rPr>
        <w:t>:</w:t>
      </w:r>
      <w:r w:rsidR="009A2CFB" w:rsidRPr="00FD304C">
        <w:rPr>
          <w:rFonts w:cs="Arial"/>
          <w:sz w:val="18"/>
          <w:szCs w:val="18"/>
          <w:lang w:val="cs-CZ"/>
        </w:rPr>
        <w:t xml:space="preserve"> IS = informační systém.</w:t>
      </w:r>
    </w:p>
    <w:p w:rsidR="00BC7A6D" w:rsidRPr="00FD304C" w:rsidRDefault="00BC7A6D" w:rsidP="00FD304C">
      <w:pPr>
        <w:tabs>
          <w:tab w:val="left" w:pos="851"/>
        </w:tabs>
        <w:rPr>
          <w:rFonts w:cs="Arial"/>
          <w:szCs w:val="22"/>
          <w:lang w:val="cs-CZ"/>
        </w:rPr>
      </w:pPr>
    </w:p>
    <w:p w:rsidR="00984FFC" w:rsidRPr="00FD304C" w:rsidRDefault="00984FFC" w:rsidP="00FD304C">
      <w:pPr>
        <w:tabs>
          <w:tab w:val="left" w:pos="851"/>
        </w:tabs>
        <w:rPr>
          <w:rFonts w:cs="Arial"/>
          <w:lang w:val="cs-CZ"/>
        </w:rPr>
      </w:pPr>
      <w:r w:rsidRPr="00FD304C">
        <w:rPr>
          <w:rFonts w:cs="Arial"/>
          <w:szCs w:val="22"/>
          <w:lang w:val="cs-CZ"/>
        </w:rPr>
        <w:t xml:space="preserve">Dle sdělení ČPZP nedostatky zjištěné její kontrolní činností spočívaly např. v nedostatečně </w:t>
      </w:r>
      <w:r w:rsidRPr="00FD304C">
        <w:rPr>
          <w:rFonts w:cs="Arial"/>
          <w:lang w:val="cs-CZ"/>
        </w:rPr>
        <w:t>průkazně vedené zdravotní dokumentaci, duplicitách ve vykazování zdravotních výkonů nebo</w:t>
      </w:r>
      <w:r w:rsidRPr="004B40C0">
        <w:rPr>
          <w:rFonts w:cs="Arial"/>
          <w:szCs w:val="22"/>
          <w:lang w:val="cs-CZ"/>
        </w:rPr>
        <w:t xml:space="preserve"> </w:t>
      </w:r>
      <w:r w:rsidR="007A3D38">
        <w:rPr>
          <w:rFonts w:cs="Arial"/>
          <w:szCs w:val="22"/>
          <w:lang w:val="cs-CZ"/>
        </w:rPr>
        <w:t>v </w:t>
      </w:r>
      <w:r w:rsidRPr="00FD304C">
        <w:rPr>
          <w:rFonts w:cs="Arial"/>
          <w:lang w:val="cs-CZ"/>
        </w:rPr>
        <w:t>chybném vykazování ošetřovacích dnů.</w:t>
      </w:r>
    </w:p>
    <w:p w:rsidR="0024235A" w:rsidRPr="00FD304C" w:rsidRDefault="0024235A" w:rsidP="00FD304C">
      <w:pPr>
        <w:tabs>
          <w:tab w:val="left" w:pos="851"/>
        </w:tabs>
        <w:rPr>
          <w:rFonts w:cs="Arial"/>
          <w:lang w:val="cs-CZ"/>
        </w:rPr>
      </w:pPr>
    </w:p>
    <w:p w:rsidR="00087439" w:rsidRPr="009639A1" w:rsidRDefault="009639A1" w:rsidP="009639A1">
      <w:pPr>
        <w:rPr>
          <w:rFonts w:cs="Arial"/>
          <w:b/>
          <w:lang w:val="cs-CZ"/>
        </w:rPr>
      </w:pPr>
      <w:r>
        <w:rPr>
          <w:rFonts w:cs="Arial"/>
          <w:b/>
          <w:lang w:val="cs-CZ"/>
        </w:rPr>
        <w:t xml:space="preserve">7. </w:t>
      </w:r>
      <w:r w:rsidR="00087439" w:rsidRPr="009639A1">
        <w:rPr>
          <w:rFonts w:cs="Arial"/>
          <w:b/>
          <w:lang w:val="cs-CZ"/>
        </w:rPr>
        <w:t>Vykazování údajů o hospodaření</w:t>
      </w:r>
    </w:p>
    <w:p w:rsidR="00087439" w:rsidRPr="00FD304C" w:rsidRDefault="00087439" w:rsidP="00FD304C">
      <w:pPr>
        <w:rPr>
          <w:rFonts w:cs="Arial"/>
          <w:lang w:val="cs-CZ"/>
        </w:rPr>
      </w:pPr>
    </w:p>
    <w:p w:rsidR="00FC219D" w:rsidRPr="00FD304C" w:rsidRDefault="000053E7" w:rsidP="00FD304C">
      <w:pPr>
        <w:rPr>
          <w:rFonts w:cs="Arial"/>
          <w:lang w:val="cs-CZ"/>
        </w:rPr>
      </w:pPr>
      <w:r w:rsidRPr="00FD304C">
        <w:rPr>
          <w:rFonts w:cs="Arial"/>
          <w:lang w:val="cs-CZ"/>
        </w:rPr>
        <w:t>Zaměstnanecká pojišťovna je po</w:t>
      </w:r>
      <w:r w:rsidR="005A57E2" w:rsidRPr="00FD304C">
        <w:rPr>
          <w:rFonts w:cs="Arial"/>
          <w:lang w:val="cs-CZ"/>
        </w:rPr>
        <w:t xml:space="preserve">vinna dle zákona č. 280/1992 </w:t>
      </w:r>
      <w:proofErr w:type="gramStart"/>
      <w:r w:rsidR="005A57E2" w:rsidRPr="00FD304C">
        <w:rPr>
          <w:rFonts w:cs="Arial"/>
          <w:lang w:val="cs-CZ"/>
        </w:rPr>
        <w:t>Sb.</w:t>
      </w:r>
      <w:r w:rsidR="004B34DE" w:rsidRPr="00FD304C">
        <w:rPr>
          <w:rFonts w:cs="Arial"/>
          <w:vertAlign w:val="superscript"/>
          <w:lang w:val="cs-CZ"/>
        </w:rPr>
        <w:t>1</w:t>
      </w:r>
      <w:r w:rsidR="005A57E2" w:rsidRPr="00FD304C">
        <w:rPr>
          <w:rFonts w:cs="Arial"/>
          <w:lang w:val="cs-CZ"/>
        </w:rPr>
        <w:t xml:space="preserve"> </w:t>
      </w:r>
      <w:r w:rsidRPr="00FD304C">
        <w:rPr>
          <w:rFonts w:cs="Arial"/>
          <w:lang w:val="cs-CZ"/>
        </w:rPr>
        <w:t>vždy</w:t>
      </w:r>
      <w:proofErr w:type="gramEnd"/>
      <w:r w:rsidRPr="00FD304C">
        <w:rPr>
          <w:rFonts w:cs="Arial"/>
          <w:lang w:val="cs-CZ"/>
        </w:rPr>
        <w:t xml:space="preserve"> do 60 dnů po skončení kalendářního čtvrtletí podat MZ a M</w:t>
      </w:r>
      <w:r w:rsidR="008815FE" w:rsidRPr="00FD304C">
        <w:rPr>
          <w:rFonts w:cs="Arial"/>
          <w:lang w:val="cs-CZ"/>
        </w:rPr>
        <w:t>F</w:t>
      </w:r>
      <w:r w:rsidRPr="00FD304C">
        <w:rPr>
          <w:rFonts w:cs="Arial"/>
          <w:lang w:val="cs-CZ"/>
        </w:rPr>
        <w:t xml:space="preserve"> </w:t>
      </w:r>
      <w:r w:rsidRPr="00FD304C">
        <w:rPr>
          <w:rFonts w:cs="Arial"/>
          <w:b/>
          <w:lang w:val="cs-CZ"/>
        </w:rPr>
        <w:t>zprávu o svém hospodaření.</w:t>
      </w:r>
      <w:r w:rsidRPr="00FD304C">
        <w:rPr>
          <w:rFonts w:cs="Arial"/>
          <w:lang w:val="cs-CZ"/>
        </w:rPr>
        <w:t xml:space="preserve"> Způsob podávání těchto informací a jejich rozsah stanovilo MZ prováděcími právními předpisy</w:t>
      </w:r>
      <w:r w:rsidRPr="00FD304C">
        <w:rPr>
          <w:rFonts w:cs="Arial"/>
          <w:vertAlign w:val="superscript"/>
          <w:lang w:val="cs-CZ"/>
        </w:rPr>
        <w:footnoteReference w:id="19"/>
      </w:r>
      <w:r w:rsidRPr="00FD304C">
        <w:rPr>
          <w:rFonts w:cs="Arial"/>
          <w:lang w:val="cs-CZ"/>
        </w:rPr>
        <w:t>.</w:t>
      </w:r>
      <w:r w:rsidR="00FC219D" w:rsidRPr="00FD304C">
        <w:rPr>
          <w:rFonts w:cs="Arial"/>
          <w:lang w:val="cs-CZ"/>
        </w:rPr>
        <w:t xml:space="preserve"> </w:t>
      </w:r>
    </w:p>
    <w:p w:rsidR="000053E7" w:rsidRPr="00FD304C" w:rsidRDefault="000053E7" w:rsidP="00FD304C">
      <w:pPr>
        <w:rPr>
          <w:rFonts w:cs="Arial"/>
          <w:lang w:val="cs-CZ"/>
        </w:rPr>
      </w:pPr>
    </w:p>
    <w:p w:rsidR="00FD304C" w:rsidRDefault="00087439" w:rsidP="00FD304C">
      <w:pPr>
        <w:tabs>
          <w:tab w:val="left" w:pos="0"/>
        </w:tabs>
        <w:rPr>
          <w:rFonts w:cs="Arial"/>
          <w:lang w:val="cs-CZ" w:eastAsia="cs-CZ"/>
        </w:rPr>
      </w:pPr>
      <w:r w:rsidRPr="00FD304C">
        <w:rPr>
          <w:rFonts w:cs="Arial"/>
          <w:lang w:val="cs-CZ" w:eastAsia="cs-CZ"/>
        </w:rPr>
        <w:t xml:space="preserve">Kontrolou bylo zjištěno, že ČPZP ve zprávách o hospodaření za roky 2009 až 2012 vykazovala v tabulkách týkajících se příjmů a výdajů jednotlivých fondů </w:t>
      </w:r>
      <w:r w:rsidR="00ED43DD" w:rsidRPr="00FD304C">
        <w:rPr>
          <w:rFonts w:cs="Arial"/>
          <w:lang w:val="cs-CZ" w:eastAsia="cs-CZ"/>
        </w:rPr>
        <w:t>údaje</w:t>
      </w:r>
      <w:r w:rsidRPr="00FD304C">
        <w:rPr>
          <w:rFonts w:cs="Arial"/>
          <w:lang w:val="cs-CZ" w:eastAsia="cs-CZ"/>
        </w:rPr>
        <w:t xml:space="preserve">, které neodpovídaly skutečnosti ve vazbě na samostatné bankovní účty fondů. Tyto rozdíly vycházely z nesprávné metody, kterou ČPZP používala pro vykazování těchto údajů. ČPZP v případě přídělů do fondů nebo převodů finančních prostředků mezi fondy zahrnula do příjmů a výdajů také částky vnitřního zúčtování pohledávek a závazků mezi fondy, přestože se nejednalo o skutečné příjmy a výdaje </w:t>
      </w:r>
      <w:r w:rsidR="00ED43DD" w:rsidRPr="00FD304C">
        <w:rPr>
          <w:rFonts w:cs="Arial"/>
          <w:lang w:val="cs-CZ" w:eastAsia="cs-CZ"/>
        </w:rPr>
        <w:t>příslušných fondů.</w:t>
      </w:r>
      <w:r w:rsidR="009639A1">
        <w:rPr>
          <w:rFonts w:cs="Arial"/>
          <w:lang w:val="cs-CZ" w:eastAsia="cs-CZ"/>
        </w:rPr>
        <w:t xml:space="preserve"> </w:t>
      </w:r>
      <w:r w:rsidR="000053E7" w:rsidRPr="00FD304C">
        <w:rPr>
          <w:rFonts w:cs="Arial"/>
          <w:lang w:val="cs-CZ" w:eastAsia="cs-CZ"/>
        </w:rPr>
        <w:t xml:space="preserve">Tímto postupem ČPZP </w:t>
      </w:r>
      <w:r w:rsidR="00DA5DD8" w:rsidRPr="00FD304C">
        <w:rPr>
          <w:rFonts w:cs="Arial"/>
          <w:lang w:val="cs-CZ" w:eastAsia="cs-CZ"/>
        </w:rPr>
        <w:t>došlo ke zkreslení vykazovaných údajů a nedodržení požadavků stanovených</w:t>
      </w:r>
      <w:r w:rsidR="000053E7" w:rsidRPr="00FD304C">
        <w:rPr>
          <w:rFonts w:cs="Arial"/>
          <w:lang w:val="cs-CZ" w:eastAsia="cs-CZ"/>
        </w:rPr>
        <w:t xml:space="preserve"> vyhláškami</w:t>
      </w:r>
      <w:r w:rsidR="004B34DE" w:rsidRPr="00FD304C">
        <w:rPr>
          <w:rFonts w:cs="Arial"/>
          <w:vertAlign w:val="superscript"/>
          <w:lang w:val="cs-CZ" w:eastAsia="cs-CZ"/>
        </w:rPr>
        <w:t>1</w:t>
      </w:r>
      <w:r w:rsidR="0001305E">
        <w:rPr>
          <w:rFonts w:cs="Arial"/>
          <w:vertAlign w:val="superscript"/>
          <w:lang w:val="cs-CZ" w:eastAsia="cs-CZ"/>
        </w:rPr>
        <w:t>8</w:t>
      </w:r>
      <w:r w:rsidR="000053E7" w:rsidRPr="00FD304C">
        <w:rPr>
          <w:rFonts w:cs="Arial"/>
          <w:lang w:val="cs-CZ" w:eastAsia="cs-CZ"/>
        </w:rPr>
        <w:t>.</w:t>
      </w:r>
      <w:r w:rsidR="009A2A3B" w:rsidRPr="00FD304C">
        <w:rPr>
          <w:rFonts w:cs="Arial"/>
          <w:lang w:val="cs-CZ" w:eastAsia="cs-CZ"/>
        </w:rPr>
        <w:t xml:space="preserve"> </w:t>
      </w:r>
    </w:p>
    <w:p w:rsidR="009639A1" w:rsidRPr="00FD304C" w:rsidRDefault="009639A1" w:rsidP="00FD304C">
      <w:pPr>
        <w:tabs>
          <w:tab w:val="left" w:pos="0"/>
        </w:tabs>
        <w:rPr>
          <w:rFonts w:cs="Arial"/>
          <w:lang w:val="cs-CZ" w:eastAsia="cs-CZ"/>
        </w:rPr>
      </w:pPr>
    </w:p>
    <w:p w:rsidR="000053E7" w:rsidRPr="00FD304C" w:rsidRDefault="000053E7" w:rsidP="00FD304C">
      <w:pPr>
        <w:tabs>
          <w:tab w:val="left" w:pos="0"/>
        </w:tabs>
        <w:rPr>
          <w:rFonts w:cs="Arial"/>
          <w:lang w:val="cs-CZ"/>
        </w:rPr>
      </w:pPr>
      <w:r w:rsidRPr="00FD304C">
        <w:rPr>
          <w:rFonts w:cs="Arial"/>
          <w:lang w:val="cs-CZ"/>
        </w:rPr>
        <w:t xml:space="preserve">Obdobně </w:t>
      </w:r>
      <w:r w:rsidR="00E248AD" w:rsidRPr="00FD304C">
        <w:rPr>
          <w:rFonts w:cs="Arial"/>
          <w:lang w:val="cs-CZ"/>
        </w:rPr>
        <w:t xml:space="preserve">jako ve zprávách o hospodaření </w:t>
      </w:r>
      <w:r w:rsidR="00C530F4" w:rsidRPr="00FD304C">
        <w:rPr>
          <w:rFonts w:cs="Arial"/>
          <w:lang w:val="cs-CZ"/>
        </w:rPr>
        <w:t>vykazovala</w:t>
      </w:r>
      <w:r w:rsidR="0001305E">
        <w:rPr>
          <w:rFonts w:cs="Arial"/>
          <w:lang w:val="cs-CZ"/>
        </w:rPr>
        <w:t xml:space="preserve"> </w:t>
      </w:r>
      <w:r w:rsidR="0001305E" w:rsidRPr="00FD304C">
        <w:rPr>
          <w:rFonts w:cs="Arial"/>
          <w:lang w:val="cs-CZ"/>
        </w:rPr>
        <w:t>ČPZP</w:t>
      </w:r>
      <w:r w:rsidR="00C530F4" w:rsidRPr="00FD304C">
        <w:rPr>
          <w:rFonts w:cs="Arial"/>
          <w:lang w:val="cs-CZ"/>
        </w:rPr>
        <w:t xml:space="preserve"> </w:t>
      </w:r>
      <w:r w:rsidR="00280BB7" w:rsidRPr="00FD304C">
        <w:rPr>
          <w:rFonts w:cs="Arial"/>
          <w:lang w:val="cs-CZ"/>
        </w:rPr>
        <w:t xml:space="preserve">výše </w:t>
      </w:r>
      <w:r w:rsidR="00C530F4" w:rsidRPr="00FD304C">
        <w:rPr>
          <w:rFonts w:cs="Arial"/>
          <w:lang w:val="cs-CZ"/>
        </w:rPr>
        <w:t xml:space="preserve">uvedené údaje </w:t>
      </w:r>
      <w:r w:rsidR="00280BB7" w:rsidRPr="00FD304C">
        <w:rPr>
          <w:rFonts w:cs="Arial"/>
          <w:lang w:val="cs-CZ"/>
        </w:rPr>
        <w:t xml:space="preserve">týkající se fondů </w:t>
      </w:r>
      <w:r w:rsidR="00C530F4" w:rsidRPr="00FD304C">
        <w:rPr>
          <w:rFonts w:cs="Arial"/>
          <w:lang w:val="cs-CZ"/>
        </w:rPr>
        <w:t>ve v</w:t>
      </w:r>
      <w:r w:rsidRPr="00FD304C">
        <w:rPr>
          <w:rFonts w:cs="Arial"/>
          <w:lang w:val="cs-CZ"/>
        </w:rPr>
        <w:t>ýročních zprávách za roky 2009 až 2012.</w:t>
      </w:r>
    </w:p>
    <w:p w:rsidR="000053E7" w:rsidRPr="00FD304C" w:rsidRDefault="000053E7" w:rsidP="00FD304C">
      <w:pPr>
        <w:rPr>
          <w:rFonts w:cs="Arial"/>
          <w:lang w:val="cs-CZ"/>
        </w:rPr>
      </w:pPr>
    </w:p>
    <w:p w:rsidR="00BC21A6" w:rsidRPr="00FD304C" w:rsidRDefault="00BC21A6" w:rsidP="00FD304C">
      <w:pPr>
        <w:rPr>
          <w:rFonts w:cs="Arial"/>
          <w:lang w:val="cs-CZ"/>
        </w:rPr>
      </w:pPr>
    </w:p>
    <w:p w:rsidR="00204DED" w:rsidRPr="00FD304C" w:rsidRDefault="00204DED" w:rsidP="00FD304C">
      <w:pPr>
        <w:jc w:val="center"/>
        <w:rPr>
          <w:rFonts w:cs="Arial"/>
          <w:b/>
          <w:sz w:val="24"/>
          <w:lang w:val="cs-CZ"/>
        </w:rPr>
      </w:pPr>
      <w:r w:rsidRPr="00FD304C">
        <w:rPr>
          <w:rFonts w:cs="Arial"/>
          <w:b/>
          <w:sz w:val="24"/>
          <w:lang w:val="cs-CZ"/>
        </w:rPr>
        <w:t>III. Shrnutí a vyhodnocení</w:t>
      </w:r>
    </w:p>
    <w:p w:rsidR="00204DED" w:rsidRPr="00FD304C" w:rsidRDefault="00204DED" w:rsidP="00FD304C">
      <w:pPr>
        <w:rPr>
          <w:rFonts w:cs="Arial"/>
          <w:lang w:val="cs-CZ"/>
        </w:rPr>
      </w:pPr>
    </w:p>
    <w:p w:rsidR="00204DED" w:rsidRPr="00FD304C" w:rsidRDefault="00204DED" w:rsidP="00FD304C">
      <w:pPr>
        <w:rPr>
          <w:rFonts w:cs="Arial"/>
          <w:lang w:val="cs-CZ"/>
        </w:rPr>
      </w:pPr>
      <w:r w:rsidRPr="00FD304C">
        <w:rPr>
          <w:rFonts w:cs="Arial"/>
          <w:lang w:val="cs-CZ"/>
        </w:rPr>
        <w:t>Česká průmyslová zdravotní pojišťovna (ČPZP) vznikla v roce 1992 pod názvem Hutnická zaměstnanecká pojišťovna. Po sloučení se třemi dalšími pojišťovnami je v současné době druhou největší zaměstnaneckou pojišťovnou v ČR. Ke konci roku 2012 dosáhl počet pojištěnců ČPZP</w:t>
      </w:r>
      <w:r w:rsidRPr="00FD304C">
        <w:rPr>
          <w:rFonts w:cs="Arial"/>
          <w:color w:val="4F81BD" w:themeColor="accent1"/>
          <w:lang w:val="cs-CZ"/>
        </w:rPr>
        <w:t xml:space="preserve"> </w:t>
      </w:r>
      <w:r w:rsidRPr="00FD304C">
        <w:rPr>
          <w:rFonts w:cs="Arial"/>
          <w:lang w:val="cs-CZ"/>
        </w:rPr>
        <w:t>1 171 395. Objem vybraného pojistného (včetně přerozdělení) v roce</w:t>
      </w:r>
      <w:r w:rsidR="0001305E">
        <w:rPr>
          <w:rFonts w:cs="Arial"/>
          <w:lang w:val="cs-CZ"/>
        </w:rPr>
        <w:t xml:space="preserve"> 2012</w:t>
      </w:r>
      <w:r w:rsidRPr="00FD304C">
        <w:rPr>
          <w:rFonts w:cs="Arial"/>
          <w:lang w:val="cs-CZ"/>
        </w:rPr>
        <w:t xml:space="preserve"> </w:t>
      </w:r>
      <w:r w:rsidRPr="00FD304C">
        <w:rPr>
          <w:rFonts w:cs="Arial"/>
          <w:lang w:val="cs-CZ"/>
        </w:rPr>
        <w:lastRenderedPageBreak/>
        <w:t>činil více než 16,6 miliard</w:t>
      </w:r>
      <w:r w:rsidR="0001305E">
        <w:rPr>
          <w:rFonts w:cs="Arial"/>
          <w:lang w:val="cs-CZ"/>
        </w:rPr>
        <w:t>y</w:t>
      </w:r>
      <w:r w:rsidRPr="00FD304C">
        <w:rPr>
          <w:rFonts w:cs="Arial"/>
          <w:lang w:val="cs-CZ"/>
        </w:rPr>
        <w:t xml:space="preserve"> Kč</w:t>
      </w:r>
      <w:r w:rsidR="00F61C2B" w:rsidRPr="00FD304C">
        <w:rPr>
          <w:rFonts w:cs="Arial"/>
          <w:lang w:val="cs-CZ"/>
        </w:rPr>
        <w:t xml:space="preserve"> a</w:t>
      </w:r>
      <w:r w:rsidRPr="00FD304C">
        <w:rPr>
          <w:rFonts w:cs="Arial"/>
          <w:lang w:val="cs-CZ"/>
        </w:rPr>
        <w:t xml:space="preserve"> náklady vynaložené na zdravotní služby v daném roce překročily 16 miliard Kč.</w:t>
      </w:r>
    </w:p>
    <w:p w:rsidR="00204DED" w:rsidRPr="00FD304C" w:rsidRDefault="00204DED" w:rsidP="00FD304C">
      <w:pPr>
        <w:rPr>
          <w:rFonts w:cs="Arial"/>
          <w:lang w:val="cs-CZ"/>
        </w:rPr>
      </w:pPr>
    </w:p>
    <w:p w:rsidR="00204DED" w:rsidRPr="00FD304C" w:rsidRDefault="00204DED" w:rsidP="00FD304C">
      <w:pPr>
        <w:rPr>
          <w:rFonts w:cs="Arial"/>
          <w:b/>
          <w:lang w:val="cs-CZ"/>
        </w:rPr>
      </w:pPr>
      <w:r w:rsidRPr="00FD304C">
        <w:rPr>
          <w:rFonts w:cs="Arial"/>
          <w:b/>
          <w:lang w:val="cs-CZ"/>
        </w:rPr>
        <w:t>Slučování zdravotních pojišťoven</w:t>
      </w:r>
    </w:p>
    <w:p w:rsidR="009639A1" w:rsidRDefault="009639A1" w:rsidP="00FD304C">
      <w:pPr>
        <w:rPr>
          <w:rFonts w:cs="Arial"/>
          <w:lang w:val="cs-CZ"/>
        </w:rPr>
      </w:pPr>
    </w:p>
    <w:p w:rsidR="00204DED" w:rsidRDefault="00204DED" w:rsidP="00FD304C">
      <w:pPr>
        <w:rPr>
          <w:rFonts w:cs="Arial"/>
          <w:lang w:val="cs-CZ"/>
        </w:rPr>
      </w:pPr>
      <w:r w:rsidRPr="00FD304C">
        <w:rPr>
          <w:rFonts w:cs="Arial"/>
          <w:lang w:val="cs-CZ"/>
        </w:rPr>
        <w:t>Pro slučování zdravotních pojišťoven nejsou stanovena kritéria k posouzení, zda a kdy je takový postup z hlediska veřejného zdravotního pojištění účelný</w:t>
      </w:r>
      <w:r w:rsidR="007650C8">
        <w:rPr>
          <w:rFonts w:cs="Arial"/>
          <w:lang w:val="cs-CZ"/>
        </w:rPr>
        <w:t>,</w:t>
      </w:r>
      <w:r w:rsidRPr="00FD304C">
        <w:rPr>
          <w:rFonts w:cs="Arial"/>
          <w:lang w:val="cs-CZ"/>
        </w:rPr>
        <w:t xml:space="preserve"> a kdy nikoli. Právní předpisy obsahují pouze obecné požadavky, jejichž splnění posuzuje MZ </w:t>
      </w:r>
      <w:r w:rsidR="007650C8">
        <w:rPr>
          <w:rFonts w:cs="Arial"/>
          <w:lang w:val="cs-CZ"/>
        </w:rPr>
        <w:t>a</w:t>
      </w:r>
      <w:r w:rsidRPr="00FD304C">
        <w:rPr>
          <w:rFonts w:cs="Arial"/>
          <w:lang w:val="cs-CZ"/>
        </w:rPr>
        <w:t> MF v rámci rozhodování o povolení žádosti o sloučení.</w:t>
      </w:r>
      <w:r w:rsidR="009639A1">
        <w:rPr>
          <w:rFonts w:cs="Arial"/>
          <w:lang w:val="cs-CZ"/>
        </w:rPr>
        <w:t xml:space="preserve"> </w:t>
      </w:r>
    </w:p>
    <w:p w:rsidR="009639A1" w:rsidRDefault="009639A1" w:rsidP="00FD304C">
      <w:pPr>
        <w:rPr>
          <w:rFonts w:cs="Arial"/>
          <w:lang w:val="cs-CZ"/>
        </w:rPr>
      </w:pPr>
    </w:p>
    <w:p w:rsidR="00FD304C" w:rsidRPr="00FD304C" w:rsidRDefault="00204DED" w:rsidP="00FD304C">
      <w:pPr>
        <w:rPr>
          <w:rFonts w:cs="Arial"/>
          <w:lang w:val="cs-CZ"/>
        </w:rPr>
      </w:pPr>
      <w:r w:rsidRPr="00FD304C">
        <w:rPr>
          <w:rFonts w:cs="Arial"/>
          <w:lang w:val="cs-CZ"/>
        </w:rPr>
        <w:t>Kontrolou postupu při slučování zdravotních pojišťoven v roce 2009 a v roce 2012 nebyla zjištěna závažná pochybení. Úhrada zdravotních služeb v průběhu slučování byla zajištěna. Zrušované zdravotní pojišťovny sestavily ke dni zrušení mimořádnou účetní závěrku. Pro zdravotní pojišťovnu pokračující v činnosti taková povinnost právními předpisy stanovena nebyla, což NKÚ považuje za nedostatek, a to jak z hlediska interních potřeb</w:t>
      </w:r>
      <w:r w:rsidR="007650C8">
        <w:rPr>
          <w:rFonts w:cs="Arial"/>
          <w:lang w:val="cs-CZ"/>
        </w:rPr>
        <w:t xml:space="preserve"> pojišťovny</w:t>
      </w:r>
      <w:r w:rsidRPr="00FD304C">
        <w:rPr>
          <w:rFonts w:cs="Arial"/>
          <w:lang w:val="cs-CZ"/>
        </w:rPr>
        <w:t>, tak z hlediska potřeb externích uživatelů. HZP</w:t>
      </w:r>
      <w:r w:rsidR="00FF4EE1" w:rsidRPr="00FD304C">
        <w:rPr>
          <w:rFonts w:cs="Arial"/>
          <w:lang w:val="cs-CZ"/>
        </w:rPr>
        <w:t>,</w:t>
      </w:r>
      <w:r w:rsidRPr="00FD304C">
        <w:rPr>
          <w:rFonts w:cs="Arial"/>
          <w:lang w:val="cs-CZ"/>
        </w:rPr>
        <w:t xml:space="preserve"> později </w:t>
      </w:r>
      <w:r w:rsidR="007650C8">
        <w:rPr>
          <w:rFonts w:cs="Arial"/>
          <w:lang w:val="cs-CZ"/>
        </w:rPr>
        <w:t xml:space="preserve">přejmenovaná na </w:t>
      </w:r>
      <w:r w:rsidRPr="00FD304C">
        <w:rPr>
          <w:rFonts w:cs="Arial"/>
          <w:lang w:val="cs-CZ"/>
        </w:rPr>
        <w:t>ČPZP</w:t>
      </w:r>
      <w:r w:rsidR="00FF4EE1" w:rsidRPr="00FD304C">
        <w:rPr>
          <w:rFonts w:cs="Arial"/>
          <w:lang w:val="cs-CZ"/>
        </w:rPr>
        <w:t>,</w:t>
      </w:r>
      <w:r w:rsidRPr="00FD304C">
        <w:rPr>
          <w:rFonts w:cs="Arial"/>
          <w:lang w:val="cs-CZ"/>
        </w:rPr>
        <w:t xml:space="preserve"> mimořádnou účetní závěrku v souvislosti se slučováním nesestav</w:t>
      </w:r>
      <w:r w:rsidR="00DA57EB">
        <w:rPr>
          <w:rFonts w:cs="Arial"/>
          <w:lang w:val="cs-CZ"/>
        </w:rPr>
        <w:t>ova</w:t>
      </w:r>
      <w:r w:rsidRPr="00FD304C">
        <w:rPr>
          <w:rFonts w:cs="Arial"/>
          <w:lang w:val="cs-CZ"/>
        </w:rPr>
        <w:t xml:space="preserve">la. </w:t>
      </w:r>
    </w:p>
    <w:p w:rsidR="009639A1" w:rsidRDefault="009639A1" w:rsidP="00FD304C">
      <w:pPr>
        <w:rPr>
          <w:rFonts w:cs="Arial"/>
          <w:lang w:val="cs-CZ"/>
        </w:rPr>
      </w:pPr>
    </w:p>
    <w:p w:rsidR="00204DED" w:rsidRPr="00FD304C" w:rsidRDefault="00204DED" w:rsidP="00FD304C">
      <w:pPr>
        <w:rPr>
          <w:rFonts w:cs="Arial"/>
          <w:lang w:val="cs-CZ"/>
        </w:rPr>
      </w:pPr>
      <w:r w:rsidRPr="00FD304C">
        <w:rPr>
          <w:rFonts w:cs="Arial"/>
          <w:lang w:val="cs-CZ"/>
        </w:rPr>
        <w:t>Z hlediska provozních nákladů bylo kontrolou údajů za roky 2010 a 2011 ověřeno, že sloučení zdravotních pojišťoven přispělo k deklarovanému snížení</w:t>
      </w:r>
      <w:r w:rsidR="009639A1">
        <w:rPr>
          <w:rFonts w:cs="Arial"/>
          <w:lang w:val="cs-CZ"/>
        </w:rPr>
        <w:t xml:space="preserve"> </w:t>
      </w:r>
      <w:r w:rsidR="007650C8">
        <w:rPr>
          <w:rFonts w:cs="Arial"/>
          <w:lang w:val="cs-CZ"/>
        </w:rPr>
        <w:t xml:space="preserve">provozních </w:t>
      </w:r>
      <w:r w:rsidR="009639A1">
        <w:rPr>
          <w:rFonts w:cs="Arial"/>
          <w:lang w:val="cs-CZ"/>
        </w:rPr>
        <w:t>nákladů</w:t>
      </w:r>
      <w:r w:rsidRPr="00FD304C">
        <w:rPr>
          <w:rFonts w:cs="Arial"/>
          <w:lang w:val="cs-CZ"/>
        </w:rPr>
        <w:t xml:space="preserve">.  </w:t>
      </w:r>
      <w:bookmarkStart w:id="1" w:name="_GoBack"/>
      <w:bookmarkEnd w:id="1"/>
    </w:p>
    <w:p w:rsidR="004C6D81" w:rsidRPr="0068072C" w:rsidRDefault="004C6D81" w:rsidP="00FD304C">
      <w:pPr>
        <w:rPr>
          <w:lang w:val="cs-CZ"/>
        </w:rPr>
      </w:pPr>
    </w:p>
    <w:p w:rsidR="00204DED" w:rsidRPr="00FD304C" w:rsidRDefault="00204DED" w:rsidP="00FD304C">
      <w:pPr>
        <w:rPr>
          <w:rFonts w:cs="Arial"/>
          <w:b/>
          <w:lang w:val="cs-CZ"/>
        </w:rPr>
      </w:pPr>
      <w:r w:rsidRPr="00FD304C">
        <w:rPr>
          <w:rFonts w:cs="Arial"/>
          <w:b/>
          <w:lang w:val="cs-CZ"/>
        </w:rPr>
        <w:t>Hospodaření s prostředky vybíranými na veřejné zdravotní pojištění</w:t>
      </w:r>
    </w:p>
    <w:p w:rsidR="009639A1" w:rsidRDefault="009639A1" w:rsidP="00FD304C">
      <w:pPr>
        <w:rPr>
          <w:rFonts w:cs="Arial"/>
          <w:lang w:val="cs-CZ"/>
        </w:rPr>
      </w:pPr>
    </w:p>
    <w:p w:rsidR="00204DED" w:rsidRPr="00FD304C" w:rsidRDefault="00204DED" w:rsidP="00FD304C">
      <w:pPr>
        <w:rPr>
          <w:rFonts w:cs="Arial"/>
          <w:lang w:val="cs-CZ"/>
        </w:rPr>
      </w:pPr>
      <w:r w:rsidRPr="00FD304C">
        <w:rPr>
          <w:rFonts w:cs="Arial"/>
          <w:lang w:val="cs-CZ"/>
        </w:rPr>
        <w:t xml:space="preserve">Zdravotní pojišťovny v rámci zabezpečování veřejného zdravotního pojištění zajišťují pomocí svěřených významných pravomocí především výběr pojistného a na druhé straně úhradu zdravotních služeb. </w:t>
      </w:r>
    </w:p>
    <w:p w:rsidR="00204DED" w:rsidRPr="00FD304C" w:rsidRDefault="00204DED" w:rsidP="00FD304C">
      <w:pPr>
        <w:rPr>
          <w:rFonts w:cs="Arial"/>
          <w:lang w:val="cs-CZ"/>
        </w:rPr>
      </w:pPr>
    </w:p>
    <w:p w:rsidR="00B05EB9" w:rsidRDefault="00B05EB9" w:rsidP="00FD304C">
      <w:pPr>
        <w:rPr>
          <w:rFonts w:cs="Arial"/>
          <w:lang w:val="cs-CZ"/>
        </w:rPr>
      </w:pPr>
      <w:r w:rsidRPr="00FD304C">
        <w:rPr>
          <w:rFonts w:cs="Arial"/>
          <w:lang w:val="cs-CZ"/>
        </w:rPr>
        <w:t>Základní dokument, tj. zdravotně pojistný plán</w:t>
      </w:r>
      <w:r w:rsidR="009639A1">
        <w:rPr>
          <w:rFonts w:cs="Arial"/>
          <w:lang w:val="cs-CZ"/>
        </w:rPr>
        <w:t>,</w:t>
      </w:r>
      <w:r w:rsidRPr="00FD304C">
        <w:rPr>
          <w:rFonts w:cs="Arial"/>
          <w:lang w:val="cs-CZ"/>
        </w:rPr>
        <w:t xml:space="preserve"> předložený HZP </w:t>
      </w:r>
      <w:r w:rsidR="00996C40">
        <w:rPr>
          <w:rFonts w:cs="Arial"/>
          <w:lang w:val="cs-CZ"/>
        </w:rPr>
        <w:t>(</w:t>
      </w:r>
      <w:r w:rsidRPr="00FD304C">
        <w:rPr>
          <w:rFonts w:cs="Arial"/>
          <w:lang w:val="cs-CZ"/>
        </w:rPr>
        <w:t>později ČPZP</w:t>
      </w:r>
      <w:r w:rsidR="00996C40">
        <w:rPr>
          <w:rFonts w:cs="Arial"/>
          <w:lang w:val="cs-CZ"/>
        </w:rPr>
        <w:t>)</w:t>
      </w:r>
      <w:r w:rsidRPr="00FD304C">
        <w:rPr>
          <w:rFonts w:cs="Arial"/>
          <w:lang w:val="cs-CZ"/>
        </w:rPr>
        <w:t xml:space="preserve"> nebyl Poslaneckou sněmovnou Parlamentu ČR ve sledovaném období, resp. od roku 2006</w:t>
      </w:r>
      <w:r w:rsidR="009639A1">
        <w:rPr>
          <w:rFonts w:cs="Arial"/>
          <w:lang w:val="cs-CZ"/>
        </w:rPr>
        <w:t>,</w:t>
      </w:r>
      <w:r w:rsidRPr="00FD304C">
        <w:rPr>
          <w:rFonts w:cs="Arial"/>
          <w:lang w:val="cs-CZ"/>
        </w:rPr>
        <w:t xml:space="preserve"> schválen před 1. lednem roku, na který byl sestavován a určen.</w:t>
      </w:r>
    </w:p>
    <w:p w:rsidR="00FD304C" w:rsidRPr="00FD304C" w:rsidRDefault="00FD304C" w:rsidP="00FD304C">
      <w:pPr>
        <w:rPr>
          <w:rFonts w:cs="Arial"/>
          <w:lang w:val="cs-CZ"/>
        </w:rPr>
      </w:pPr>
    </w:p>
    <w:p w:rsidR="00204DED" w:rsidRPr="00FD304C" w:rsidRDefault="00204DED" w:rsidP="00FD304C">
      <w:pPr>
        <w:rPr>
          <w:rFonts w:cs="Arial"/>
          <w:lang w:val="cs-CZ"/>
        </w:rPr>
      </w:pPr>
      <w:r w:rsidRPr="00FD304C">
        <w:rPr>
          <w:rFonts w:cs="Arial"/>
          <w:lang w:val="cs-CZ"/>
        </w:rPr>
        <w:t>Kontrolou hospodaření s prostředky vybranými</w:t>
      </w:r>
      <w:r w:rsidR="007650C8">
        <w:rPr>
          <w:rFonts w:cs="Arial"/>
          <w:lang w:val="cs-CZ"/>
        </w:rPr>
        <w:t xml:space="preserve"> </w:t>
      </w:r>
      <w:r w:rsidR="007650C8" w:rsidRPr="00FD304C">
        <w:rPr>
          <w:rFonts w:cs="Arial"/>
          <w:lang w:val="cs-CZ"/>
        </w:rPr>
        <w:t xml:space="preserve">HZP </w:t>
      </w:r>
      <w:r w:rsidR="007650C8">
        <w:rPr>
          <w:rFonts w:cs="Arial"/>
          <w:lang w:val="cs-CZ"/>
        </w:rPr>
        <w:t>(</w:t>
      </w:r>
      <w:r w:rsidR="007650C8" w:rsidRPr="00FD304C">
        <w:rPr>
          <w:rFonts w:cs="Arial"/>
          <w:lang w:val="cs-CZ"/>
        </w:rPr>
        <w:t>později ČPZP</w:t>
      </w:r>
      <w:r w:rsidR="007650C8">
        <w:rPr>
          <w:rFonts w:cs="Arial"/>
          <w:lang w:val="cs-CZ"/>
        </w:rPr>
        <w:t>)</w:t>
      </w:r>
      <w:r w:rsidRPr="00FD304C">
        <w:rPr>
          <w:rFonts w:cs="Arial"/>
          <w:lang w:val="cs-CZ"/>
        </w:rPr>
        <w:t xml:space="preserve"> na veřejné zdravotní pojištění bylo zjištěno:</w:t>
      </w:r>
    </w:p>
    <w:p w:rsidR="00204DED" w:rsidRPr="00FD304C" w:rsidRDefault="00B52203" w:rsidP="007D02E0">
      <w:pPr>
        <w:pStyle w:val="Odstavecseseznamem"/>
        <w:numPr>
          <w:ilvl w:val="0"/>
          <w:numId w:val="42"/>
        </w:numPr>
        <w:ind w:left="284" w:hanging="284"/>
        <w:rPr>
          <w:rFonts w:cs="Arial"/>
          <w:lang w:val="cs-CZ"/>
        </w:rPr>
      </w:pPr>
      <w:r w:rsidRPr="00FD304C">
        <w:rPr>
          <w:rFonts w:cs="Arial"/>
          <w:lang w:val="cs-CZ"/>
        </w:rPr>
        <w:t xml:space="preserve">U </w:t>
      </w:r>
      <w:r w:rsidR="00204DED" w:rsidRPr="00FD304C">
        <w:rPr>
          <w:rFonts w:cs="Arial"/>
          <w:lang w:val="cs-CZ"/>
        </w:rPr>
        <w:t xml:space="preserve">činností </w:t>
      </w:r>
      <w:r w:rsidRPr="00FD304C">
        <w:rPr>
          <w:rFonts w:cs="Arial"/>
          <w:lang w:val="cs-CZ"/>
        </w:rPr>
        <w:t xml:space="preserve">ČPZP </w:t>
      </w:r>
      <w:r w:rsidR="00204DED" w:rsidRPr="00FD304C">
        <w:rPr>
          <w:rFonts w:cs="Arial"/>
          <w:lang w:val="cs-CZ"/>
        </w:rPr>
        <w:t>spoje</w:t>
      </w:r>
      <w:r w:rsidRPr="00FD304C">
        <w:rPr>
          <w:rFonts w:cs="Arial"/>
          <w:lang w:val="cs-CZ"/>
        </w:rPr>
        <w:t xml:space="preserve">ných s výběrem pojistného byly </w:t>
      </w:r>
      <w:r w:rsidR="00204DED" w:rsidRPr="00FD304C">
        <w:rPr>
          <w:rFonts w:cs="Arial"/>
          <w:lang w:val="cs-CZ"/>
        </w:rPr>
        <w:t>z</w:t>
      </w:r>
      <w:r w:rsidR="00996C40">
        <w:rPr>
          <w:rFonts w:cs="Arial"/>
          <w:lang w:val="cs-CZ"/>
        </w:rPr>
        <w:t>jištěny obdobné přístupy jako u </w:t>
      </w:r>
      <w:r w:rsidR="00204DED" w:rsidRPr="00FD304C">
        <w:rPr>
          <w:rFonts w:cs="Arial"/>
          <w:lang w:val="cs-CZ"/>
        </w:rPr>
        <w:t>dříve kontrolovaných</w:t>
      </w:r>
      <w:r w:rsidR="007650C8">
        <w:rPr>
          <w:rFonts w:cs="Arial"/>
          <w:vertAlign w:val="superscript"/>
          <w:lang w:val="cs-CZ"/>
        </w:rPr>
        <w:t>11</w:t>
      </w:r>
      <w:r w:rsidR="00276A74" w:rsidRPr="00FD304C">
        <w:rPr>
          <w:rFonts w:cs="Arial"/>
          <w:color w:val="95B3D7" w:themeColor="accent1" w:themeTint="99"/>
          <w:vertAlign w:val="superscript"/>
          <w:lang w:val="cs-CZ"/>
        </w:rPr>
        <w:t xml:space="preserve"> </w:t>
      </w:r>
      <w:r w:rsidR="00204DED" w:rsidRPr="00FD304C">
        <w:rPr>
          <w:rFonts w:cs="Arial"/>
          <w:lang w:val="cs-CZ"/>
        </w:rPr>
        <w:t>zdravotních pojišťoven, např. kontrola plateb pojistného byla prováděna za poměrně dlouhé časové období, což dle NKÚ snižuje úspěšnost vymáhání dluh</w:t>
      </w:r>
      <w:r w:rsidR="00996C40">
        <w:rPr>
          <w:rFonts w:cs="Arial"/>
          <w:lang w:val="cs-CZ"/>
        </w:rPr>
        <w:t>ů</w:t>
      </w:r>
      <w:r w:rsidR="00204DED" w:rsidRPr="00FD304C">
        <w:rPr>
          <w:rFonts w:cs="Arial"/>
          <w:lang w:val="cs-CZ"/>
        </w:rPr>
        <w:t xml:space="preserve"> z titulu pojistného. ČPZP při výběru a vymáhání pojistného nevyužívala </w:t>
      </w:r>
      <w:r w:rsidR="007650C8" w:rsidRPr="00FD304C">
        <w:rPr>
          <w:rFonts w:cs="Arial"/>
          <w:lang w:val="cs-CZ"/>
        </w:rPr>
        <w:t xml:space="preserve">zcela </w:t>
      </w:r>
      <w:r w:rsidR="00204DED" w:rsidRPr="00FD304C">
        <w:rPr>
          <w:rFonts w:cs="Arial"/>
          <w:lang w:val="cs-CZ"/>
        </w:rPr>
        <w:t>instituty a oprávnění dané zdravotní pojišťovně zákonem</w:t>
      </w:r>
      <w:r w:rsidR="00204DED" w:rsidRPr="00FD304C">
        <w:rPr>
          <w:rFonts w:cs="Arial"/>
          <w:vertAlign w:val="superscript"/>
          <w:lang w:val="cs-CZ"/>
        </w:rPr>
        <w:t>3</w:t>
      </w:r>
      <w:r w:rsidR="00204DED" w:rsidRPr="00FD304C">
        <w:rPr>
          <w:rFonts w:cs="Arial"/>
          <w:lang w:val="cs-CZ"/>
        </w:rPr>
        <w:t xml:space="preserve">. </w:t>
      </w:r>
    </w:p>
    <w:p w:rsidR="00204DED" w:rsidRPr="00FD304C" w:rsidRDefault="00204DED" w:rsidP="007D02E0">
      <w:pPr>
        <w:pStyle w:val="Odstavecseseznamem"/>
        <w:numPr>
          <w:ilvl w:val="0"/>
          <w:numId w:val="42"/>
        </w:numPr>
        <w:ind w:left="284" w:hanging="284"/>
        <w:rPr>
          <w:rFonts w:cs="Arial"/>
          <w:lang w:val="cs-CZ"/>
        </w:rPr>
      </w:pPr>
      <w:r w:rsidRPr="00FD304C">
        <w:rPr>
          <w:rFonts w:cs="Arial"/>
          <w:lang w:val="cs-CZ"/>
        </w:rPr>
        <w:t xml:space="preserve">Při </w:t>
      </w:r>
      <w:r w:rsidR="007650C8">
        <w:rPr>
          <w:rFonts w:cs="Arial"/>
          <w:lang w:val="cs-CZ"/>
        </w:rPr>
        <w:t xml:space="preserve">kontrole </w:t>
      </w:r>
      <w:r w:rsidRPr="00FD304C">
        <w:rPr>
          <w:rFonts w:cs="Arial"/>
          <w:lang w:val="cs-CZ"/>
        </w:rPr>
        <w:t>úhrad vybraných zdravotních služeb bylo zjištěno, že ČPZP se dohodla s poskytovateli zdravotních služeb na jiném způsobu úhrady a na jiném referenčním období</w:t>
      </w:r>
      <w:r w:rsidR="007650C8">
        <w:rPr>
          <w:rFonts w:cs="Arial"/>
          <w:lang w:val="cs-CZ"/>
        </w:rPr>
        <w:t>,</w:t>
      </w:r>
      <w:r w:rsidRPr="00FD304C">
        <w:rPr>
          <w:rFonts w:cs="Arial"/>
          <w:lang w:val="cs-CZ"/>
        </w:rPr>
        <w:t xml:space="preserve"> než stanovila úhradová vyhláška</w:t>
      </w:r>
      <w:r w:rsidR="00276A74" w:rsidRPr="00FD304C">
        <w:rPr>
          <w:rFonts w:cs="Arial"/>
          <w:vertAlign w:val="superscript"/>
          <w:lang w:val="cs-CZ"/>
        </w:rPr>
        <w:t>6</w:t>
      </w:r>
      <w:r w:rsidRPr="00FD304C">
        <w:rPr>
          <w:rFonts w:cs="Arial"/>
          <w:lang w:val="cs-CZ"/>
        </w:rPr>
        <w:t xml:space="preserve"> MZ; takový postup právní předpisy sice umožňují, ale zároveň přináší určitá rizika. Ve srovnání s dříve provedenými kontrolami nebyl takový rozsah jiného způsobu úhrady zdravotních služeb, než stanovily úhradové vyhlášky, NKÚ zjištěn. </w:t>
      </w:r>
    </w:p>
    <w:p w:rsidR="00204DED" w:rsidRPr="00FD304C" w:rsidRDefault="00204DED" w:rsidP="007D02E0">
      <w:pPr>
        <w:pStyle w:val="Odstavecseseznamem"/>
        <w:numPr>
          <w:ilvl w:val="0"/>
          <w:numId w:val="42"/>
        </w:numPr>
        <w:ind w:left="284" w:hanging="284"/>
        <w:rPr>
          <w:rFonts w:cs="Arial"/>
          <w:lang w:val="cs-CZ"/>
        </w:rPr>
      </w:pPr>
      <w:r w:rsidRPr="00FD304C">
        <w:rPr>
          <w:rFonts w:cs="Arial"/>
          <w:lang w:val="cs-CZ"/>
        </w:rPr>
        <w:t xml:space="preserve">Nad rámec již individuálně sjednaných cenových ujednání ČPZP dohodla s některými poskytovateli ZS další navýšení úhrad. </w:t>
      </w:r>
    </w:p>
    <w:p w:rsidR="00204DED" w:rsidRPr="00FD304C" w:rsidRDefault="00204DED" w:rsidP="007D02E0">
      <w:pPr>
        <w:pStyle w:val="Odstavecseseznamem"/>
        <w:numPr>
          <w:ilvl w:val="0"/>
          <w:numId w:val="42"/>
        </w:numPr>
        <w:ind w:left="284" w:hanging="284"/>
        <w:rPr>
          <w:rFonts w:cs="Arial"/>
          <w:lang w:val="cs-CZ"/>
        </w:rPr>
      </w:pPr>
      <w:r w:rsidRPr="00FD304C">
        <w:rPr>
          <w:rFonts w:cs="Arial"/>
          <w:lang w:val="cs-CZ"/>
        </w:rPr>
        <w:t xml:space="preserve">Kontrolou bylo dále zjištěno, že ČPZP opakovaně smluvně dohodla úhradu zdravotních výkonů neuvedených ve vyhlášce MZ, kterou se vydává </w:t>
      </w:r>
      <w:r w:rsidR="00996C40">
        <w:rPr>
          <w:rFonts w:cs="Arial"/>
          <w:lang w:val="cs-CZ"/>
        </w:rPr>
        <w:t>s</w:t>
      </w:r>
      <w:r w:rsidRPr="00FD304C">
        <w:rPr>
          <w:rFonts w:cs="Arial"/>
          <w:lang w:val="cs-CZ"/>
        </w:rPr>
        <w:t>eznam zdravotních výkonů s bodovými hodnotami. Zákon takový postup umožňuje zcela výjimečně, přitom bylo zjištěno, že ČPZP opakovaně, a to v letech 2011, 2012 a 2013</w:t>
      </w:r>
      <w:r w:rsidR="007650C8">
        <w:rPr>
          <w:rFonts w:cs="Arial"/>
          <w:lang w:val="cs-CZ"/>
        </w:rPr>
        <w:t>,</w:t>
      </w:r>
      <w:r w:rsidRPr="00FD304C">
        <w:rPr>
          <w:rFonts w:cs="Arial"/>
          <w:lang w:val="cs-CZ"/>
        </w:rPr>
        <w:t xml:space="preserve"> uhradila dva typy zdravotních výkonů v seznamu zdravotních výkonů neuvedených. </w:t>
      </w:r>
    </w:p>
    <w:p w:rsidR="00204DED" w:rsidRPr="00FD304C" w:rsidRDefault="00204DED" w:rsidP="007D02E0">
      <w:pPr>
        <w:pStyle w:val="Odstavecseseznamem"/>
        <w:numPr>
          <w:ilvl w:val="0"/>
          <w:numId w:val="42"/>
        </w:numPr>
        <w:ind w:left="284" w:hanging="284"/>
        <w:rPr>
          <w:rFonts w:cs="Arial"/>
          <w:lang w:val="cs-CZ"/>
        </w:rPr>
      </w:pPr>
      <w:r w:rsidRPr="00FD304C">
        <w:rPr>
          <w:rFonts w:cs="Arial"/>
          <w:lang w:val="cs-CZ"/>
        </w:rPr>
        <w:t>S dodavateli zdravotnických prostředků uzavírala</w:t>
      </w:r>
      <w:r w:rsidR="007650C8">
        <w:rPr>
          <w:rFonts w:cs="Arial"/>
          <w:lang w:val="cs-CZ"/>
        </w:rPr>
        <w:t xml:space="preserve"> </w:t>
      </w:r>
      <w:r w:rsidR="007650C8" w:rsidRPr="00FD304C">
        <w:rPr>
          <w:rFonts w:cs="Arial"/>
          <w:lang w:val="cs-CZ"/>
        </w:rPr>
        <w:t>ČPZP</w:t>
      </w:r>
      <w:r w:rsidRPr="00FD304C">
        <w:rPr>
          <w:rFonts w:cs="Arial"/>
          <w:lang w:val="cs-CZ"/>
        </w:rPr>
        <w:t xml:space="preserve"> velmi obecná ujednání</w:t>
      </w:r>
      <w:r w:rsidR="00F61C2B" w:rsidRPr="00FD304C">
        <w:rPr>
          <w:rFonts w:cs="Arial"/>
          <w:lang w:val="cs-CZ"/>
        </w:rPr>
        <w:t>. V</w:t>
      </w:r>
      <w:r w:rsidRPr="00FD304C">
        <w:rPr>
          <w:rFonts w:cs="Arial"/>
          <w:lang w:val="cs-CZ"/>
        </w:rPr>
        <w:t xml:space="preserve">e smlouvách nebyl například podrobněji vymezen předmět dodávky, smlouvy neobsahovaly ceník jednotlivých zdravotnických prostředků a nebyly ani sjednány podrobnější podmínky týkající se oprav a repasí. </w:t>
      </w:r>
    </w:p>
    <w:p w:rsidR="00204DED" w:rsidRPr="00FD304C" w:rsidRDefault="00204DED" w:rsidP="00FD304C">
      <w:pPr>
        <w:rPr>
          <w:rFonts w:cs="Arial"/>
          <w:lang w:val="cs-CZ"/>
        </w:rPr>
      </w:pPr>
    </w:p>
    <w:p w:rsidR="00204DED" w:rsidRPr="00FD304C" w:rsidRDefault="00204DED" w:rsidP="00FD304C">
      <w:pPr>
        <w:rPr>
          <w:rFonts w:cs="Arial"/>
          <w:b/>
          <w:lang w:val="cs-CZ"/>
        </w:rPr>
      </w:pPr>
      <w:r w:rsidRPr="00FD304C">
        <w:rPr>
          <w:rFonts w:cs="Arial"/>
          <w:b/>
          <w:lang w:val="cs-CZ"/>
        </w:rPr>
        <w:t>Tvorba a čerpání fondů</w:t>
      </w:r>
    </w:p>
    <w:p w:rsidR="009639A1" w:rsidRDefault="009639A1" w:rsidP="00FD304C">
      <w:pPr>
        <w:rPr>
          <w:rFonts w:cs="Arial"/>
          <w:lang w:val="cs-CZ"/>
        </w:rPr>
      </w:pPr>
    </w:p>
    <w:p w:rsidR="00204DED" w:rsidRPr="00FD304C" w:rsidRDefault="00204DED" w:rsidP="00FD304C">
      <w:pPr>
        <w:rPr>
          <w:rFonts w:cs="Arial"/>
          <w:lang w:val="cs-CZ"/>
        </w:rPr>
      </w:pPr>
      <w:r w:rsidRPr="00FD304C">
        <w:rPr>
          <w:rFonts w:cs="Arial"/>
          <w:lang w:val="cs-CZ"/>
        </w:rPr>
        <w:t xml:space="preserve">Čtyři ze sedmi fondů ČPZP </w:t>
      </w:r>
      <w:r w:rsidR="00882F64">
        <w:rPr>
          <w:rFonts w:cs="Arial"/>
          <w:lang w:val="cs-CZ"/>
        </w:rPr>
        <w:t>prověřil NKÚ</w:t>
      </w:r>
      <w:r w:rsidRPr="00FD304C">
        <w:rPr>
          <w:rFonts w:cs="Arial"/>
          <w:lang w:val="cs-CZ"/>
        </w:rPr>
        <w:t xml:space="preserve"> z hlediska jejich tvorby a čerpání. Pokud jde o tvorbu kontrolovaných fondů, nebyly zjištěny závažné nedostatky. Z hlediska čerpání fondů spatřuje NKÚ nejzávažnější problém v čerpání prostředků základního fondu na různé projekty, které nemají dostatečnou zákonnou oporu. Jedním z realizovaných projektů ČPZP byl projekt </w:t>
      </w:r>
      <w:r w:rsidRPr="00F75F2A">
        <w:rPr>
          <w:rFonts w:cs="Arial"/>
          <w:i/>
          <w:lang w:val="cs-CZ"/>
        </w:rPr>
        <w:t>Systém integrované péče</w:t>
      </w:r>
      <w:r w:rsidRPr="00FD304C">
        <w:rPr>
          <w:rFonts w:cs="Arial"/>
          <w:lang w:val="cs-CZ"/>
        </w:rPr>
        <w:t>, v </w:t>
      </w:r>
      <w:r w:rsidR="00996C40">
        <w:rPr>
          <w:rFonts w:cs="Arial"/>
          <w:lang w:val="cs-CZ"/>
        </w:rPr>
        <w:t xml:space="preserve">jehož </w:t>
      </w:r>
      <w:r w:rsidRPr="00FD304C">
        <w:rPr>
          <w:rFonts w:cs="Arial"/>
          <w:lang w:val="cs-CZ"/>
        </w:rPr>
        <w:t>rámci</w:t>
      </w:r>
      <w:r w:rsidR="00B52203" w:rsidRPr="00FD304C">
        <w:rPr>
          <w:rFonts w:cs="Arial"/>
          <w:lang w:val="cs-CZ"/>
        </w:rPr>
        <w:t xml:space="preserve"> ČPZP mimo jiné navýšila praktickým lékařům </w:t>
      </w:r>
      <w:r w:rsidRPr="00FD304C">
        <w:rPr>
          <w:rFonts w:cs="Arial"/>
          <w:lang w:val="cs-CZ"/>
        </w:rPr>
        <w:t>celkem o</w:t>
      </w:r>
      <w:r w:rsidR="00882F64">
        <w:rPr>
          <w:rFonts w:cs="Arial"/>
          <w:lang w:val="cs-CZ"/>
        </w:rPr>
        <w:t> </w:t>
      </w:r>
      <w:r w:rsidR="00882F64" w:rsidRPr="00FD304C">
        <w:rPr>
          <w:rFonts w:cs="Arial"/>
          <w:lang w:val="cs-CZ"/>
        </w:rPr>
        <w:t>téměř</w:t>
      </w:r>
      <w:r w:rsidRPr="00FD304C">
        <w:rPr>
          <w:rFonts w:cs="Arial"/>
          <w:lang w:val="cs-CZ"/>
        </w:rPr>
        <w:t xml:space="preserve"> 36,5 mil. Kč kapitační platby za administrativní úkony, nikoliv za hrazené zdravotní služby definované zákonem. Tuto částku ČPZP v průběhu kontroly přeúčtovala ze základního fondu do nákladů provozního fondu. </w:t>
      </w:r>
    </w:p>
    <w:p w:rsidR="00204DED" w:rsidRPr="00FD304C" w:rsidRDefault="00204DED" w:rsidP="00FD304C">
      <w:pPr>
        <w:rPr>
          <w:rFonts w:cs="Arial"/>
          <w:lang w:val="cs-CZ"/>
        </w:rPr>
      </w:pPr>
    </w:p>
    <w:p w:rsidR="00204DED" w:rsidRPr="00FD304C" w:rsidRDefault="00204DED" w:rsidP="00FD304C">
      <w:pPr>
        <w:rPr>
          <w:rFonts w:cs="Arial"/>
          <w:lang w:val="cs-CZ"/>
        </w:rPr>
      </w:pPr>
      <w:r w:rsidRPr="00FD304C">
        <w:rPr>
          <w:rFonts w:cs="Arial"/>
          <w:lang w:val="cs-CZ"/>
        </w:rPr>
        <w:t xml:space="preserve">Výše finančních prostředků </w:t>
      </w:r>
      <w:r w:rsidR="00882F64">
        <w:rPr>
          <w:rFonts w:cs="Arial"/>
          <w:lang w:val="cs-CZ"/>
        </w:rPr>
        <w:t xml:space="preserve">ve </w:t>
      </w:r>
      <w:r w:rsidRPr="00FD304C">
        <w:rPr>
          <w:rFonts w:cs="Arial"/>
          <w:lang w:val="cs-CZ"/>
        </w:rPr>
        <w:t>fond</w:t>
      </w:r>
      <w:r w:rsidR="00882F64">
        <w:rPr>
          <w:rFonts w:cs="Arial"/>
          <w:lang w:val="cs-CZ"/>
        </w:rPr>
        <w:t>ech zdravotních pojišťoven</w:t>
      </w:r>
      <w:r w:rsidRPr="00FD304C">
        <w:rPr>
          <w:rFonts w:cs="Arial"/>
          <w:lang w:val="cs-CZ"/>
        </w:rPr>
        <w:t xml:space="preserve"> byla v kontrolovaném období ovlivněna opatřeními, jejichž smyslem měla být stabilizace systému veřejného zdravotního pojištění po přechodnou dobu. </w:t>
      </w:r>
      <w:r w:rsidRPr="00FD304C">
        <w:rPr>
          <w:rFonts w:cs="Arial"/>
          <w:iCs/>
          <w:lang w:val="cs-CZ"/>
        </w:rPr>
        <w:t>Na základě zákonem</w:t>
      </w:r>
      <w:r w:rsidR="00B52203" w:rsidRPr="00FD304C">
        <w:rPr>
          <w:rFonts w:cs="Arial"/>
          <w:iCs/>
          <w:vertAlign w:val="superscript"/>
          <w:lang w:val="cs-CZ"/>
        </w:rPr>
        <w:t>13</w:t>
      </w:r>
      <w:r w:rsidRPr="00FD304C">
        <w:rPr>
          <w:rFonts w:cs="Arial"/>
          <w:iCs/>
          <w:lang w:val="cs-CZ"/>
        </w:rPr>
        <w:t xml:space="preserve"> stanovené povinnosti ČPZP mimořádně odvedla k 1. 1. 2012 jednu třetinu prostředků základního fondu na zvláštní účet veřejného zdravotního pojištění, </w:t>
      </w:r>
      <w:r w:rsidR="00882F64">
        <w:rPr>
          <w:rFonts w:cs="Arial"/>
          <w:iCs/>
          <w:lang w:val="cs-CZ"/>
        </w:rPr>
        <w:t>v důsledku</w:t>
      </w:r>
      <w:r w:rsidR="006C0030">
        <w:rPr>
          <w:rFonts w:cs="Arial"/>
          <w:iCs/>
          <w:lang w:val="cs-CZ"/>
        </w:rPr>
        <w:t xml:space="preserve"> čehož došlo ke</w:t>
      </w:r>
      <w:r w:rsidRPr="00FD304C">
        <w:rPr>
          <w:rFonts w:cs="Arial"/>
          <w:iCs/>
          <w:lang w:val="cs-CZ"/>
        </w:rPr>
        <w:t xml:space="preserve"> snížen</w:t>
      </w:r>
      <w:r w:rsidR="006C0030">
        <w:rPr>
          <w:rFonts w:cs="Arial"/>
          <w:iCs/>
          <w:lang w:val="cs-CZ"/>
        </w:rPr>
        <w:t xml:space="preserve">í prostředků </w:t>
      </w:r>
      <w:r w:rsidR="00882F64">
        <w:rPr>
          <w:rFonts w:cs="Arial"/>
          <w:iCs/>
          <w:lang w:val="cs-CZ"/>
        </w:rPr>
        <w:t xml:space="preserve">v jejím </w:t>
      </w:r>
      <w:r w:rsidR="006C0030">
        <w:rPr>
          <w:rFonts w:cs="Arial"/>
          <w:iCs/>
          <w:lang w:val="cs-CZ"/>
        </w:rPr>
        <w:t>základní</w:t>
      </w:r>
      <w:r w:rsidR="00882F64">
        <w:rPr>
          <w:rFonts w:cs="Arial"/>
          <w:iCs/>
          <w:lang w:val="cs-CZ"/>
        </w:rPr>
        <w:t>m</w:t>
      </w:r>
      <w:r w:rsidR="006C0030">
        <w:rPr>
          <w:rFonts w:cs="Arial"/>
          <w:iCs/>
          <w:lang w:val="cs-CZ"/>
        </w:rPr>
        <w:t xml:space="preserve"> fondu o </w:t>
      </w:r>
      <w:r w:rsidRPr="00FD304C">
        <w:rPr>
          <w:rFonts w:cs="Arial"/>
          <w:iCs/>
          <w:lang w:val="cs-CZ"/>
        </w:rPr>
        <w:t xml:space="preserve">747 605 500 Kč. </w:t>
      </w:r>
      <w:r w:rsidRPr="00FD304C">
        <w:rPr>
          <w:rFonts w:cs="Arial"/>
          <w:lang w:val="cs-CZ"/>
        </w:rPr>
        <w:t xml:space="preserve">Tento mimořádný odvod prostředků základního fondu byl nesystémovým opatřením </w:t>
      </w:r>
      <w:r w:rsidR="00882F64">
        <w:rPr>
          <w:rFonts w:cs="Arial"/>
          <w:lang w:val="cs-CZ"/>
        </w:rPr>
        <w:t>a </w:t>
      </w:r>
      <w:r w:rsidRPr="00FD304C">
        <w:rPr>
          <w:rFonts w:cs="Arial"/>
          <w:lang w:val="cs-CZ"/>
        </w:rPr>
        <w:t xml:space="preserve">zasáhl do hospodaření zdravotních pojišťoven. Dalším dočasným opatřením bylo uzavření </w:t>
      </w:r>
      <w:r w:rsidR="006C0030">
        <w:rPr>
          <w:rFonts w:cs="Arial"/>
          <w:lang w:val="cs-CZ"/>
        </w:rPr>
        <w:t>d</w:t>
      </w:r>
      <w:r w:rsidRPr="00FD304C">
        <w:rPr>
          <w:rFonts w:cs="Arial"/>
          <w:lang w:val="cs-CZ"/>
        </w:rPr>
        <w:t>ohody</w:t>
      </w:r>
      <w:r w:rsidR="00B52203" w:rsidRPr="00FD304C">
        <w:rPr>
          <w:rFonts w:cs="Arial"/>
          <w:vertAlign w:val="superscript"/>
          <w:lang w:val="cs-CZ"/>
        </w:rPr>
        <w:t>14</w:t>
      </w:r>
      <w:r w:rsidRPr="00FD304C">
        <w:rPr>
          <w:rFonts w:cs="Arial"/>
          <w:lang w:val="cs-CZ"/>
        </w:rPr>
        <w:t xml:space="preserve"> mezi Ministerstvem zdravotnictví a zdravotními pojišťovnami, na </w:t>
      </w:r>
      <w:r w:rsidR="006C0030">
        <w:rPr>
          <w:rFonts w:cs="Arial"/>
          <w:lang w:val="cs-CZ"/>
        </w:rPr>
        <w:t xml:space="preserve">jejímž </w:t>
      </w:r>
      <w:r w:rsidRPr="00FD304C">
        <w:rPr>
          <w:rFonts w:cs="Arial"/>
          <w:lang w:val="cs-CZ"/>
        </w:rPr>
        <w:t xml:space="preserve">základě došlo v letech 2009 a 2010 ke snížení zdrojů provozního fondu a fondu prevence v zájmu posílení prostředků základního fondu. </w:t>
      </w:r>
      <w:r w:rsidR="00B52203" w:rsidRPr="00FD304C">
        <w:rPr>
          <w:rFonts w:cs="Arial"/>
          <w:lang w:val="cs-CZ"/>
        </w:rPr>
        <w:t xml:space="preserve">Snížení zdrojů provozního fondu </w:t>
      </w:r>
      <w:r w:rsidRPr="00FD304C">
        <w:rPr>
          <w:rFonts w:cs="Arial"/>
          <w:lang w:val="cs-CZ"/>
        </w:rPr>
        <w:t>bylo upraveno vyhláškou</w:t>
      </w:r>
      <w:r w:rsidRPr="00FD304C">
        <w:rPr>
          <w:rFonts w:cs="Arial"/>
          <w:vertAlign w:val="superscript"/>
          <w:lang w:val="cs-CZ"/>
        </w:rPr>
        <w:t>1</w:t>
      </w:r>
      <w:r w:rsidR="00F67CC1" w:rsidRPr="00FD304C">
        <w:rPr>
          <w:rFonts w:cs="Arial"/>
          <w:vertAlign w:val="superscript"/>
          <w:lang w:val="cs-CZ"/>
        </w:rPr>
        <w:t>2</w:t>
      </w:r>
      <w:r w:rsidRPr="00FD304C">
        <w:rPr>
          <w:rFonts w:cs="Arial"/>
          <w:lang w:val="cs-CZ"/>
        </w:rPr>
        <w:t xml:space="preserve"> až pro rok 2013.</w:t>
      </w:r>
    </w:p>
    <w:p w:rsidR="00F61C2B" w:rsidRPr="00FD304C" w:rsidRDefault="00F61C2B" w:rsidP="00FD304C">
      <w:pPr>
        <w:rPr>
          <w:rFonts w:cs="Arial"/>
          <w:lang w:val="cs-CZ"/>
        </w:rPr>
      </w:pPr>
    </w:p>
    <w:p w:rsidR="00FD304C" w:rsidRDefault="00204DED" w:rsidP="00FD304C">
      <w:pPr>
        <w:rPr>
          <w:rFonts w:cs="Arial"/>
          <w:lang w:val="cs-CZ"/>
        </w:rPr>
      </w:pPr>
      <w:r w:rsidRPr="00FD304C">
        <w:rPr>
          <w:rFonts w:cs="Arial"/>
          <w:lang w:val="cs-CZ"/>
        </w:rPr>
        <w:t>Novela vyhlášky</w:t>
      </w:r>
      <w:r w:rsidR="001F0BE8" w:rsidRPr="00FD304C">
        <w:rPr>
          <w:rFonts w:cs="Arial"/>
          <w:lang w:val="cs-CZ"/>
        </w:rPr>
        <w:t xml:space="preserve"> č. 418/2003 Sb. </w:t>
      </w:r>
      <w:r w:rsidR="00882F64">
        <w:rPr>
          <w:rFonts w:cs="Arial"/>
          <w:lang w:val="cs-CZ"/>
        </w:rPr>
        <w:t>účinná</w:t>
      </w:r>
      <w:r w:rsidRPr="00FD304C">
        <w:rPr>
          <w:rFonts w:cs="Arial"/>
          <w:lang w:val="cs-CZ"/>
        </w:rPr>
        <w:t xml:space="preserve"> od 14. 9. 2012 umožnila zdravotním pojišťovnám hradit ze základního fondu náklady spojené s</w:t>
      </w:r>
      <w:r w:rsidR="000C6871">
        <w:rPr>
          <w:rFonts w:cs="Arial"/>
          <w:lang w:val="cs-CZ"/>
        </w:rPr>
        <w:t xml:space="preserve"> tzv. osobními účty pojištěnců.</w:t>
      </w:r>
    </w:p>
    <w:p w:rsidR="000C6871" w:rsidRDefault="000C6871" w:rsidP="00FD304C">
      <w:pPr>
        <w:rPr>
          <w:rFonts w:cs="Arial"/>
          <w:lang w:val="cs-CZ"/>
        </w:rPr>
      </w:pPr>
    </w:p>
    <w:p w:rsidR="00FD304C" w:rsidRDefault="00FD304C">
      <w:pPr>
        <w:spacing w:after="200" w:line="276" w:lineRule="auto"/>
        <w:jc w:val="left"/>
        <w:rPr>
          <w:rFonts w:cs="Arial"/>
          <w:lang w:val="cs-CZ"/>
        </w:rPr>
      </w:pPr>
      <w:r>
        <w:rPr>
          <w:rFonts w:cs="Arial"/>
          <w:lang w:val="cs-CZ"/>
        </w:rPr>
        <w:br w:type="page"/>
      </w:r>
    </w:p>
    <w:p w:rsidR="00531D76" w:rsidRPr="008C3F84" w:rsidRDefault="00531D76" w:rsidP="00A859AD">
      <w:pPr>
        <w:jc w:val="right"/>
        <w:rPr>
          <w:rFonts w:cs="Arial"/>
          <w:b/>
          <w:lang w:val="cs-CZ"/>
        </w:rPr>
      </w:pPr>
      <w:r w:rsidRPr="008C3F84">
        <w:rPr>
          <w:b/>
          <w:noProof/>
          <w:lang w:val="cs-CZ"/>
        </w:rPr>
        <w:lastRenderedPageBreak/>
        <w:t>PŘÍLOHA č. 1</w:t>
      </w:r>
    </w:p>
    <w:p w:rsidR="00531D76" w:rsidRPr="008C3F84" w:rsidRDefault="00531D76" w:rsidP="00A859AD">
      <w:pPr>
        <w:spacing w:line="360" w:lineRule="auto"/>
        <w:ind w:left="1418" w:hanging="1418"/>
        <w:rPr>
          <w:rFonts w:cs="Arial"/>
          <w:b/>
          <w:lang w:val="cs-CZ"/>
        </w:rPr>
      </w:pPr>
    </w:p>
    <w:p w:rsidR="00531D76" w:rsidRPr="00882F64" w:rsidRDefault="00531D76" w:rsidP="00A859AD">
      <w:pPr>
        <w:spacing w:line="360" w:lineRule="auto"/>
        <w:ind w:left="1418" w:hanging="1418"/>
        <w:rPr>
          <w:rFonts w:cs="Arial"/>
          <w:b/>
          <w:sz w:val="24"/>
          <w:lang w:val="cs-CZ"/>
        </w:rPr>
      </w:pPr>
      <w:r w:rsidRPr="00882F64">
        <w:rPr>
          <w:rFonts w:cs="Arial"/>
          <w:b/>
          <w:sz w:val="24"/>
          <w:lang w:val="cs-CZ"/>
        </w:rPr>
        <w:t>Seznam zkratek</w:t>
      </w:r>
    </w:p>
    <w:p w:rsidR="00531D76" w:rsidRPr="008C3F84" w:rsidRDefault="00531D76" w:rsidP="00A859AD">
      <w:pPr>
        <w:spacing w:line="360" w:lineRule="auto"/>
        <w:ind w:left="1418" w:hanging="1418"/>
        <w:rPr>
          <w:rFonts w:cs="Arial"/>
          <w:lang w:val="cs-CZ"/>
        </w:rPr>
      </w:pPr>
    </w:p>
    <w:p w:rsidR="002272EC" w:rsidRDefault="002272EC" w:rsidP="00A859AD">
      <w:pPr>
        <w:tabs>
          <w:tab w:val="left" w:pos="2835"/>
        </w:tabs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BÚ</w:t>
      </w:r>
      <w:r>
        <w:rPr>
          <w:rFonts w:cs="Arial"/>
          <w:lang w:val="cs-CZ"/>
        </w:rPr>
        <w:tab/>
        <w:t>bankovní účet</w:t>
      </w:r>
    </w:p>
    <w:p w:rsidR="00531D76" w:rsidRPr="008C3F84" w:rsidRDefault="00531D76" w:rsidP="00A859AD">
      <w:pPr>
        <w:tabs>
          <w:tab w:val="left" w:pos="2835"/>
        </w:tabs>
        <w:spacing w:line="360" w:lineRule="auto"/>
        <w:rPr>
          <w:rFonts w:cs="Arial"/>
          <w:lang w:val="cs-CZ"/>
        </w:rPr>
      </w:pPr>
      <w:r w:rsidRPr="008C3F84">
        <w:rPr>
          <w:rFonts w:cs="Arial"/>
          <w:lang w:val="cs-CZ"/>
        </w:rPr>
        <w:t>CMÚ</w:t>
      </w:r>
      <w:r w:rsidRPr="008C3F84">
        <w:rPr>
          <w:rFonts w:cs="Arial"/>
          <w:lang w:val="cs-CZ"/>
        </w:rPr>
        <w:tab/>
        <w:t>Centrum mezistátních úhrad</w:t>
      </w:r>
    </w:p>
    <w:p w:rsidR="00531D76" w:rsidRPr="008C3F84" w:rsidRDefault="00531D76" w:rsidP="00A859AD">
      <w:pPr>
        <w:tabs>
          <w:tab w:val="left" w:pos="2835"/>
        </w:tabs>
        <w:spacing w:line="360" w:lineRule="auto"/>
        <w:jc w:val="left"/>
        <w:rPr>
          <w:rFonts w:cs="Arial"/>
          <w:szCs w:val="22"/>
          <w:lang w:val="cs-CZ"/>
        </w:rPr>
      </w:pPr>
      <w:r w:rsidRPr="008C3F84">
        <w:rPr>
          <w:rFonts w:cs="Arial"/>
          <w:szCs w:val="22"/>
          <w:lang w:val="cs-CZ"/>
        </w:rPr>
        <w:t>ČNZP</w:t>
      </w:r>
      <w:r w:rsidRPr="008C3F84">
        <w:rPr>
          <w:rFonts w:cs="Arial"/>
          <w:szCs w:val="22"/>
          <w:lang w:val="cs-CZ"/>
        </w:rPr>
        <w:tab/>
        <w:t>Česká národní zdravotní pojišťovna</w:t>
      </w:r>
    </w:p>
    <w:p w:rsidR="00531D76" w:rsidRPr="008C3F84" w:rsidRDefault="00531D76" w:rsidP="00A859AD">
      <w:pPr>
        <w:tabs>
          <w:tab w:val="left" w:pos="2835"/>
        </w:tabs>
        <w:spacing w:line="360" w:lineRule="auto"/>
        <w:jc w:val="left"/>
        <w:rPr>
          <w:rFonts w:cs="Arial"/>
          <w:szCs w:val="22"/>
          <w:lang w:val="cs-CZ"/>
        </w:rPr>
      </w:pPr>
      <w:r w:rsidRPr="008C3F84">
        <w:rPr>
          <w:rFonts w:cs="Arial"/>
          <w:szCs w:val="22"/>
          <w:lang w:val="cs-CZ"/>
        </w:rPr>
        <w:t>ČPZP</w:t>
      </w:r>
      <w:r w:rsidRPr="008C3F84">
        <w:rPr>
          <w:rFonts w:cs="Arial"/>
          <w:szCs w:val="22"/>
          <w:lang w:val="cs-CZ"/>
        </w:rPr>
        <w:tab/>
        <w:t>Česká průmyslová zdravotní pojišťovna</w:t>
      </w:r>
    </w:p>
    <w:p w:rsidR="00531D76" w:rsidRDefault="00531D76" w:rsidP="00A859AD">
      <w:pPr>
        <w:tabs>
          <w:tab w:val="left" w:pos="2835"/>
        </w:tabs>
        <w:spacing w:line="360" w:lineRule="auto"/>
        <w:rPr>
          <w:rFonts w:cs="Arial"/>
          <w:lang w:val="cs-CZ"/>
        </w:rPr>
      </w:pPr>
      <w:r w:rsidRPr="008C3F84">
        <w:rPr>
          <w:rFonts w:cs="Arial"/>
          <w:lang w:val="cs-CZ"/>
        </w:rPr>
        <w:t>ČR</w:t>
      </w:r>
      <w:r w:rsidRPr="008C3F84">
        <w:rPr>
          <w:rFonts w:cs="Arial"/>
          <w:lang w:val="cs-CZ"/>
        </w:rPr>
        <w:tab/>
        <w:t>Česká republika</w:t>
      </w:r>
    </w:p>
    <w:p w:rsidR="00177127" w:rsidRPr="008C3F84" w:rsidRDefault="00177127" w:rsidP="00A859AD">
      <w:pPr>
        <w:tabs>
          <w:tab w:val="left" w:pos="2835"/>
        </w:tabs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EU</w:t>
      </w:r>
      <w:r>
        <w:rPr>
          <w:rFonts w:cs="Arial"/>
          <w:lang w:val="cs-CZ"/>
        </w:rPr>
        <w:tab/>
        <w:t>Evropská unie</w:t>
      </w:r>
    </w:p>
    <w:p w:rsidR="00531D76" w:rsidRPr="008C3F84" w:rsidRDefault="00531D76" w:rsidP="00A859AD">
      <w:pPr>
        <w:tabs>
          <w:tab w:val="left" w:pos="2835"/>
        </w:tabs>
        <w:spacing w:line="360" w:lineRule="auto"/>
        <w:jc w:val="left"/>
        <w:rPr>
          <w:rFonts w:cs="Arial"/>
          <w:szCs w:val="22"/>
          <w:lang w:val="cs-CZ"/>
        </w:rPr>
      </w:pPr>
      <w:r w:rsidRPr="008C3F84">
        <w:rPr>
          <w:rFonts w:cs="Arial"/>
          <w:szCs w:val="22"/>
          <w:lang w:val="cs-CZ"/>
        </w:rPr>
        <w:t>HZP</w:t>
      </w:r>
      <w:r w:rsidRPr="008C3F84">
        <w:rPr>
          <w:rFonts w:cs="Arial"/>
          <w:szCs w:val="22"/>
          <w:lang w:val="cs-CZ"/>
        </w:rPr>
        <w:tab/>
        <w:t>Hutnická zaměstnanecká pojišťovna</w:t>
      </w:r>
    </w:p>
    <w:p w:rsidR="002272EC" w:rsidRDefault="002272EC" w:rsidP="00A859AD">
      <w:pPr>
        <w:tabs>
          <w:tab w:val="left" w:pos="2835"/>
        </w:tabs>
        <w:spacing w:line="360" w:lineRule="auto"/>
        <w:jc w:val="left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IS</w:t>
      </w:r>
      <w:r>
        <w:rPr>
          <w:rFonts w:cs="Arial"/>
          <w:szCs w:val="22"/>
          <w:lang w:val="cs-CZ"/>
        </w:rPr>
        <w:tab/>
        <w:t>informační systém</w:t>
      </w:r>
    </w:p>
    <w:p w:rsidR="002272EC" w:rsidRDefault="002272EC" w:rsidP="00A859AD">
      <w:pPr>
        <w:tabs>
          <w:tab w:val="left" w:pos="2835"/>
        </w:tabs>
        <w:spacing w:line="360" w:lineRule="auto"/>
        <w:jc w:val="left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LLRS</w:t>
      </w:r>
      <w:r>
        <w:rPr>
          <w:rFonts w:cs="Arial"/>
          <w:szCs w:val="22"/>
          <w:lang w:val="cs-CZ"/>
        </w:rPr>
        <w:tab/>
        <w:t>lázeňské léčebně rehabilitační služby</w:t>
      </w:r>
    </w:p>
    <w:p w:rsidR="00531D76" w:rsidRPr="008C3F84" w:rsidRDefault="00531D76" w:rsidP="00A859AD">
      <w:pPr>
        <w:tabs>
          <w:tab w:val="left" w:pos="2835"/>
        </w:tabs>
        <w:spacing w:line="360" w:lineRule="auto"/>
        <w:jc w:val="left"/>
        <w:rPr>
          <w:rFonts w:cs="Arial"/>
          <w:szCs w:val="22"/>
          <w:lang w:val="cs-CZ"/>
        </w:rPr>
      </w:pPr>
      <w:r w:rsidRPr="008C3F84">
        <w:rPr>
          <w:rFonts w:cs="Arial"/>
          <w:szCs w:val="22"/>
          <w:lang w:val="cs-CZ"/>
        </w:rPr>
        <w:t>MF</w:t>
      </w:r>
      <w:r w:rsidRPr="008C3F84">
        <w:rPr>
          <w:rFonts w:cs="Arial"/>
          <w:szCs w:val="22"/>
          <w:lang w:val="cs-CZ"/>
        </w:rPr>
        <w:tab/>
        <w:t>Ministerstvo financí ČR</w:t>
      </w:r>
    </w:p>
    <w:p w:rsidR="00531D76" w:rsidRPr="008C3F84" w:rsidRDefault="00531D76" w:rsidP="00A859AD">
      <w:pPr>
        <w:tabs>
          <w:tab w:val="left" w:pos="2835"/>
        </w:tabs>
        <w:spacing w:line="360" w:lineRule="auto"/>
        <w:jc w:val="left"/>
        <w:rPr>
          <w:rFonts w:cs="Arial"/>
          <w:bCs/>
          <w:szCs w:val="22"/>
          <w:lang w:val="cs-CZ"/>
        </w:rPr>
      </w:pPr>
      <w:r w:rsidRPr="008C3F84">
        <w:rPr>
          <w:rFonts w:cs="Arial"/>
          <w:szCs w:val="22"/>
          <w:lang w:val="cs-CZ"/>
        </w:rPr>
        <w:t>MZ</w:t>
      </w:r>
      <w:r w:rsidRPr="008C3F84">
        <w:rPr>
          <w:rFonts w:cs="Arial"/>
          <w:szCs w:val="22"/>
          <w:lang w:val="cs-CZ"/>
        </w:rPr>
        <w:tab/>
      </w:r>
      <w:r w:rsidRPr="008C3F84">
        <w:rPr>
          <w:rFonts w:cs="Arial"/>
          <w:bCs/>
          <w:szCs w:val="22"/>
          <w:lang w:val="cs-CZ"/>
        </w:rPr>
        <w:t>Ministerstvo zdravotnictví ČR</w:t>
      </w:r>
    </w:p>
    <w:p w:rsidR="00531D76" w:rsidRPr="008C3F84" w:rsidRDefault="00531D76" w:rsidP="00A859AD">
      <w:pPr>
        <w:tabs>
          <w:tab w:val="left" w:pos="2835"/>
        </w:tabs>
        <w:spacing w:line="360" w:lineRule="auto"/>
        <w:rPr>
          <w:rFonts w:cs="Arial"/>
          <w:lang w:val="cs-CZ"/>
        </w:rPr>
      </w:pPr>
      <w:r w:rsidRPr="008C3F84">
        <w:rPr>
          <w:rFonts w:cs="Arial"/>
          <w:lang w:val="cs-CZ"/>
        </w:rPr>
        <w:t>NKÚ</w:t>
      </w:r>
      <w:r w:rsidRPr="008C3F84">
        <w:rPr>
          <w:rFonts w:cs="Arial"/>
          <w:lang w:val="cs-CZ"/>
        </w:rPr>
        <w:tab/>
        <w:t>Nejvyšší kontrolní úřad</w:t>
      </w:r>
    </w:p>
    <w:p w:rsidR="002272EC" w:rsidRDefault="002272EC" w:rsidP="00A859AD">
      <w:pPr>
        <w:tabs>
          <w:tab w:val="left" w:pos="2835"/>
        </w:tabs>
        <w:spacing w:line="360" w:lineRule="auto"/>
        <w:rPr>
          <w:rFonts w:cs="Arial"/>
          <w:lang w:val="cs-CZ"/>
        </w:rPr>
      </w:pPr>
      <w:r>
        <w:rPr>
          <w:rFonts w:cs="Arial"/>
          <w:lang w:val="cs-CZ"/>
        </w:rPr>
        <w:t>OLÚ</w:t>
      </w:r>
      <w:r>
        <w:rPr>
          <w:rFonts w:cs="Arial"/>
          <w:lang w:val="cs-CZ"/>
        </w:rPr>
        <w:tab/>
        <w:t>odborné léčebné ústavy</w:t>
      </w:r>
    </w:p>
    <w:p w:rsidR="00531D76" w:rsidRPr="008C3F84" w:rsidRDefault="00531D76" w:rsidP="00A859AD">
      <w:pPr>
        <w:tabs>
          <w:tab w:val="left" w:pos="2835"/>
        </w:tabs>
        <w:spacing w:line="360" w:lineRule="auto"/>
        <w:rPr>
          <w:rFonts w:cs="Arial"/>
          <w:lang w:val="cs-CZ"/>
        </w:rPr>
      </w:pPr>
      <w:r w:rsidRPr="008C3F84">
        <w:rPr>
          <w:rFonts w:cs="Arial"/>
          <w:lang w:val="cs-CZ"/>
        </w:rPr>
        <w:t>OSVČ</w:t>
      </w:r>
      <w:r w:rsidRPr="008C3F84">
        <w:rPr>
          <w:rFonts w:cs="Arial"/>
          <w:lang w:val="cs-CZ"/>
        </w:rPr>
        <w:tab/>
        <w:t>osoba samostatně výdělečně činná</w:t>
      </w:r>
    </w:p>
    <w:p w:rsidR="002272EC" w:rsidRDefault="002272EC" w:rsidP="00A859AD">
      <w:pPr>
        <w:tabs>
          <w:tab w:val="left" w:pos="2835"/>
        </w:tabs>
        <w:spacing w:line="360" w:lineRule="auto"/>
        <w:jc w:val="left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PF</w:t>
      </w:r>
      <w:r>
        <w:rPr>
          <w:rFonts w:cs="Arial"/>
          <w:szCs w:val="22"/>
          <w:lang w:val="cs-CZ"/>
        </w:rPr>
        <w:tab/>
        <w:t>provozní fond</w:t>
      </w:r>
    </w:p>
    <w:p w:rsidR="00531D76" w:rsidRPr="008C3F84" w:rsidRDefault="00531D76" w:rsidP="00A859AD">
      <w:pPr>
        <w:tabs>
          <w:tab w:val="left" w:pos="2835"/>
        </w:tabs>
        <w:spacing w:line="360" w:lineRule="auto"/>
        <w:jc w:val="left"/>
        <w:rPr>
          <w:rFonts w:cs="Arial"/>
          <w:szCs w:val="22"/>
          <w:lang w:val="cs-CZ"/>
        </w:rPr>
      </w:pPr>
      <w:r w:rsidRPr="008C3F84">
        <w:rPr>
          <w:rFonts w:cs="Arial"/>
          <w:szCs w:val="22"/>
          <w:lang w:val="cs-CZ"/>
        </w:rPr>
        <w:t>poskytovatel ZS</w:t>
      </w:r>
      <w:r w:rsidRPr="008C3F84">
        <w:rPr>
          <w:rFonts w:cs="Arial"/>
          <w:szCs w:val="22"/>
          <w:lang w:val="cs-CZ"/>
        </w:rPr>
        <w:tab/>
        <w:t>poskytovatel zdravotních služeb</w:t>
      </w:r>
    </w:p>
    <w:p w:rsidR="00531D76" w:rsidRDefault="00531D76" w:rsidP="00A859AD">
      <w:pPr>
        <w:tabs>
          <w:tab w:val="left" w:pos="2835"/>
        </w:tabs>
        <w:spacing w:line="360" w:lineRule="auto"/>
        <w:jc w:val="left"/>
        <w:rPr>
          <w:rFonts w:cs="Arial"/>
          <w:szCs w:val="22"/>
          <w:lang w:val="cs-CZ"/>
        </w:rPr>
      </w:pPr>
      <w:r w:rsidRPr="008C3F84">
        <w:rPr>
          <w:rFonts w:cs="Arial"/>
          <w:szCs w:val="22"/>
          <w:lang w:val="cs-CZ"/>
        </w:rPr>
        <w:t>SIP</w:t>
      </w:r>
      <w:r w:rsidRPr="008C3F84">
        <w:rPr>
          <w:rFonts w:cs="Arial"/>
          <w:szCs w:val="22"/>
          <w:lang w:val="cs-CZ"/>
        </w:rPr>
        <w:tab/>
      </w:r>
      <w:r w:rsidR="006C0030">
        <w:rPr>
          <w:rFonts w:cs="Arial"/>
          <w:szCs w:val="22"/>
          <w:lang w:val="cs-CZ"/>
        </w:rPr>
        <w:t xml:space="preserve">projekt </w:t>
      </w:r>
      <w:r w:rsidRPr="00216DB1">
        <w:rPr>
          <w:rFonts w:cs="Arial"/>
          <w:i/>
          <w:szCs w:val="22"/>
          <w:lang w:val="cs-CZ"/>
        </w:rPr>
        <w:t>Systém integrované péče</w:t>
      </w:r>
    </w:p>
    <w:p w:rsidR="00177127" w:rsidRPr="00177127" w:rsidRDefault="00177127" w:rsidP="00A859AD">
      <w:pPr>
        <w:tabs>
          <w:tab w:val="left" w:pos="2835"/>
        </w:tabs>
        <w:spacing w:line="360" w:lineRule="auto"/>
        <w:ind w:left="2835" w:hanging="2835"/>
        <w:jc w:val="left"/>
        <w:rPr>
          <w:rFonts w:cs="Arial"/>
          <w:szCs w:val="22"/>
          <w:lang w:val="cs-CZ"/>
        </w:rPr>
      </w:pPr>
      <w:r w:rsidRPr="00177127">
        <w:rPr>
          <w:rFonts w:cs="Arial"/>
          <w:szCs w:val="22"/>
          <w:lang w:val="cs-CZ"/>
        </w:rPr>
        <w:t>SPL</w:t>
      </w:r>
      <w:r w:rsidRPr="00177127">
        <w:rPr>
          <w:rFonts w:cs="Arial"/>
          <w:szCs w:val="22"/>
          <w:lang w:val="cs-CZ"/>
        </w:rPr>
        <w:tab/>
      </w:r>
      <w:r w:rsidRPr="00182C13">
        <w:rPr>
          <w:rFonts w:cs="Arial"/>
          <w:szCs w:val="22"/>
          <w:lang w:val="cs-CZ"/>
        </w:rPr>
        <w:t>smluvní praktický lékař pro dospělé a smluvní praktický lékař pro děti a dorost</w:t>
      </w:r>
    </w:p>
    <w:p w:rsidR="006759CD" w:rsidRDefault="006759CD" w:rsidP="00A859AD">
      <w:pPr>
        <w:tabs>
          <w:tab w:val="left" w:pos="2835"/>
        </w:tabs>
        <w:spacing w:line="360" w:lineRule="auto"/>
        <w:jc w:val="left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SPZS</w:t>
      </w:r>
      <w:r>
        <w:rPr>
          <w:rFonts w:cs="Arial"/>
          <w:szCs w:val="22"/>
          <w:lang w:val="cs-CZ"/>
        </w:rPr>
        <w:tab/>
      </w:r>
      <w:r w:rsidR="002272EC">
        <w:rPr>
          <w:rFonts w:cs="Arial"/>
          <w:szCs w:val="22"/>
          <w:lang w:val="cs-CZ"/>
        </w:rPr>
        <w:t>smluvní poskytovatel zdravotních služeb</w:t>
      </w:r>
    </w:p>
    <w:p w:rsidR="002272EC" w:rsidRDefault="002272EC" w:rsidP="00A859AD">
      <w:pPr>
        <w:tabs>
          <w:tab w:val="left" w:pos="2835"/>
        </w:tabs>
        <w:spacing w:line="360" w:lineRule="auto"/>
        <w:jc w:val="left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SW</w:t>
      </w:r>
      <w:r>
        <w:rPr>
          <w:rFonts w:cs="Arial"/>
          <w:szCs w:val="22"/>
          <w:lang w:val="cs-CZ"/>
        </w:rPr>
        <w:tab/>
        <w:t>software</w:t>
      </w:r>
    </w:p>
    <w:p w:rsidR="00177127" w:rsidRPr="008C3F84" w:rsidRDefault="00177127" w:rsidP="00A859AD">
      <w:pPr>
        <w:tabs>
          <w:tab w:val="left" w:pos="2835"/>
        </w:tabs>
        <w:spacing w:line="360" w:lineRule="auto"/>
        <w:jc w:val="left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VZP</w:t>
      </w:r>
      <w:r>
        <w:rPr>
          <w:rFonts w:cs="Arial"/>
          <w:szCs w:val="22"/>
          <w:lang w:val="cs-CZ"/>
        </w:rPr>
        <w:tab/>
        <w:t>Všeobecná zdravotní pojišťovna ČR</w:t>
      </w:r>
    </w:p>
    <w:p w:rsidR="006759CD" w:rsidRDefault="006759CD" w:rsidP="00A859AD">
      <w:pPr>
        <w:tabs>
          <w:tab w:val="left" w:pos="2835"/>
        </w:tabs>
        <w:spacing w:line="360" w:lineRule="auto"/>
        <w:jc w:val="left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ZF</w:t>
      </w:r>
      <w:r>
        <w:rPr>
          <w:rFonts w:cs="Arial"/>
          <w:szCs w:val="22"/>
          <w:lang w:val="cs-CZ"/>
        </w:rPr>
        <w:tab/>
        <w:t>základní fond</w:t>
      </w:r>
    </w:p>
    <w:p w:rsidR="00531D76" w:rsidRPr="008C3F84" w:rsidRDefault="00531D76" w:rsidP="00A859AD">
      <w:pPr>
        <w:tabs>
          <w:tab w:val="left" w:pos="2835"/>
        </w:tabs>
        <w:spacing w:line="360" w:lineRule="auto"/>
        <w:jc w:val="left"/>
        <w:rPr>
          <w:rFonts w:cs="Arial"/>
          <w:szCs w:val="22"/>
          <w:lang w:val="cs-CZ"/>
        </w:rPr>
      </w:pPr>
      <w:r w:rsidRPr="008C3F84">
        <w:rPr>
          <w:rFonts w:cs="Arial"/>
          <w:szCs w:val="22"/>
          <w:lang w:val="cs-CZ"/>
        </w:rPr>
        <w:t>ZPA</w:t>
      </w:r>
      <w:r w:rsidRPr="008C3F84">
        <w:rPr>
          <w:rFonts w:cs="Arial"/>
          <w:szCs w:val="22"/>
          <w:lang w:val="cs-CZ"/>
        </w:rPr>
        <w:tab/>
        <w:t>Zdravotní pojišťovn</w:t>
      </w:r>
      <w:r w:rsidR="006C0030">
        <w:rPr>
          <w:rFonts w:cs="Arial"/>
          <w:szCs w:val="22"/>
          <w:lang w:val="cs-CZ"/>
        </w:rPr>
        <w:t>a</w:t>
      </w:r>
      <w:r w:rsidRPr="008C3F84">
        <w:rPr>
          <w:rFonts w:cs="Arial"/>
          <w:szCs w:val="22"/>
          <w:lang w:val="cs-CZ"/>
        </w:rPr>
        <w:t xml:space="preserve"> AGEL</w:t>
      </w:r>
    </w:p>
    <w:p w:rsidR="00531D76" w:rsidRPr="008C3F84" w:rsidRDefault="00531D76" w:rsidP="00A859AD">
      <w:pPr>
        <w:tabs>
          <w:tab w:val="left" w:pos="2835"/>
        </w:tabs>
        <w:spacing w:line="360" w:lineRule="auto"/>
        <w:jc w:val="left"/>
        <w:rPr>
          <w:rFonts w:cs="Arial"/>
          <w:szCs w:val="22"/>
          <w:lang w:val="cs-CZ"/>
        </w:rPr>
      </w:pPr>
      <w:r w:rsidRPr="008C3F84">
        <w:rPr>
          <w:rFonts w:cs="Arial"/>
          <w:szCs w:val="22"/>
          <w:lang w:val="cs-CZ"/>
        </w:rPr>
        <w:t>ZP M-A</w:t>
      </w:r>
      <w:r w:rsidRPr="008C3F84">
        <w:rPr>
          <w:rFonts w:cs="Arial"/>
          <w:szCs w:val="22"/>
          <w:lang w:val="cs-CZ"/>
        </w:rPr>
        <w:tab/>
        <w:t>Zdravotní pojišťovn</w:t>
      </w:r>
      <w:r w:rsidR="006C0030">
        <w:rPr>
          <w:rFonts w:cs="Arial"/>
          <w:szCs w:val="22"/>
          <w:lang w:val="cs-CZ"/>
        </w:rPr>
        <w:t>a</w:t>
      </w:r>
      <w:r w:rsidRPr="008C3F84">
        <w:rPr>
          <w:rFonts w:cs="Arial"/>
          <w:szCs w:val="22"/>
          <w:lang w:val="cs-CZ"/>
        </w:rPr>
        <w:t xml:space="preserve"> </w:t>
      </w:r>
      <w:proofErr w:type="gramStart"/>
      <w:r w:rsidRPr="008C3F84">
        <w:rPr>
          <w:rFonts w:cs="Arial"/>
          <w:szCs w:val="22"/>
          <w:lang w:val="cs-CZ"/>
        </w:rPr>
        <w:t>METAL</w:t>
      </w:r>
      <w:proofErr w:type="gramEnd"/>
      <w:r w:rsidRPr="008C3F84">
        <w:rPr>
          <w:rFonts w:cs="Arial"/>
          <w:szCs w:val="22"/>
          <w:lang w:val="cs-CZ"/>
        </w:rPr>
        <w:t>–</w:t>
      </w:r>
      <w:proofErr w:type="gramStart"/>
      <w:r w:rsidRPr="008C3F84">
        <w:rPr>
          <w:rFonts w:cs="Arial"/>
          <w:szCs w:val="22"/>
          <w:lang w:val="cs-CZ"/>
        </w:rPr>
        <w:t>ALIANCE</w:t>
      </w:r>
      <w:proofErr w:type="gramEnd"/>
    </w:p>
    <w:p w:rsidR="00531D76" w:rsidRPr="008C3F84" w:rsidRDefault="00531D76" w:rsidP="00A859AD">
      <w:pPr>
        <w:tabs>
          <w:tab w:val="left" w:pos="2835"/>
        </w:tabs>
        <w:spacing w:line="360" w:lineRule="auto"/>
        <w:jc w:val="left"/>
        <w:rPr>
          <w:rFonts w:cs="Arial"/>
          <w:szCs w:val="22"/>
          <w:lang w:val="cs-CZ"/>
        </w:rPr>
      </w:pPr>
      <w:r w:rsidRPr="008C3F84">
        <w:rPr>
          <w:rFonts w:cs="Arial"/>
          <w:szCs w:val="22"/>
          <w:lang w:val="cs-CZ"/>
        </w:rPr>
        <w:t>ZPP</w:t>
      </w:r>
      <w:r w:rsidRPr="008C3F84">
        <w:rPr>
          <w:rFonts w:cs="Arial"/>
          <w:szCs w:val="22"/>
          <w:lang w:val="cs-CZ"/>
        </w:rPr>
        <w:tab/>
      </w:r>
      <w:r w:rsidR="006C0030">
        <w:rPr>
          <w:rFonts w:cs="Arial"/>
          <w:szCs w:val="22"/>
          <w:lang w:val="cs-CZ"/>
        </w:rPr>
        <w:t>z</w:t>
      </w:r>
      <w:r w:rsidRPr="008C3F84">
        <w:rPr>
          <w:rFonts w:cs="Arial"/>
          <w:szCs w:val="22"/>
          <w:lang w:val="cs-CZ"/>
        </w:rPr>
        <w:t>dravotně pojistný plán</w:t>
      </w:r>
    </w:p>
    <w:p w:rsidR="00531D76" w:rsidRPr="008C3F84" w:rsidRDefault="00531D76" w:rsidP="00A859AD">
      <w:pPr>
        <w:tabs>
          <w:tab w:val="left" w:pos="2835"/>
        </w:tabs>
        <w:spacing w:line="360" w:lineRule="auto"/>
        <w:jc w:val="left"/>
        <w:rPr>
          <w:rFonts w:cs="Arial"/>
          <w:szCs w:val="22"/>
          <w:lang w:val="cs-CZ"/>
        </w:rPr>
      </w:pPr>
      <w:proofErr w:type="spellStart"/>
      <w:r w:rsidRPr="008C3F84">
        <w:rPr>
          <w:rFonts w:cs="Arial"/>
          <w:szCs w:val="22"/>
          <w:lang w:val="cs-CZ"/>
        </w:rPr>
        <w:t>ZPr</w:t>
      </w:r>
      <w:proofErr w:type="spellEnd"/>
      <w:r w:rsidRPr="008C3F84">
        <w:rPr>
          <w:rFonts w:cs="Arial"/>
          <w:szCs w:val="22"/>
          <w:lang w:val="cs-CZ"/>
        </w:rPr>
        <w:tab/>
        <w:t>zdravotnický prostředek</w:t>
      </w:r>
    </w:p>
    <w:p w:rsidR="00174620" w:rsidRDefault="006759CD" w:rsidP="00A859AD">
      <w:pPr>
        <w:tabs>
          <w:tab w:val="left" w:pos="2835"/>
        </w:tabs>
        <w:spacing w:line="360" w:lineRule="auto"/>
        <w:ind w:left="2835" w:hanging="2835"/>
        <w:jc w:val="left"/>
        <w:rPr>
          <w:lang w:val="cs-CZ"/>
        </w:rPr>
      </w:pPr>
      <w:r>
        <w:rPr>
          <w:lang w:val="cs-CZ"/>
        </w:rPr>
        <w:t>ZS</w:t>
      </w:r>
      <w:r>
        <w:rPr>
          <w:lang w:val="cs-CZ"/>
        </w:rPr>
        <w:tab/>
        <w:t>zdravotní služby</w:t>
      </w:r>
    </w:p>
    <w:p w:rsidR="002272EC" w:rsidRPr="0040315A" w:rsidRDefault="002272EC" w:rsidP="00A859AD">
      <w:pPr>
        <w:tabs>
          <w:tab w:val="left" w:pos="2835"/>
        </w:tabs>
        <w:spacing w:line="360" w:lineRule="auto"/>
        <w:ind w:left="2835" w:hanging="2835"/>
        <w:jc w:val="left"/>
        <w:rPr>
          <w:lang w:val="cs-CZ"/>
        </w:rPr>
      </w:pPr>
      <w:r>
        <w:rPr>
          <w:lang w:val="cs-CZ"/>
        </w:rPr>
        <w:t>ZZS</w:t>
      </w:r>
      <w:r>
        <w:rPr>
          <w:lang w:val="cs-CZ"/>
        </w:rPr>
        <w:tab/>
        <w:t>zdravotnická záchranná služba</w:t>
      </w:r>
    </w:p>
    <w:sectPr w:rsidR="002272EC" w:rsidRPr="0040315A" w:rsidSect="004A098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2E0" w:rsidRDefault="007D02E0" w:rsidP="00225138">
      <w:r>
        <w:separator/>
      </w:r>
    </w:p>
  </w:endnote>
  <w:endnote w:type="continuationSeparator" w:id="0">
    <w:p w:rsidR="007D02E0" w:rsidRDefault="007D02E0" w:rsidP="00225138">
      <w:r>
        <w:continuationSeparator/>
      </w:r>
    </w:p>
  </w:endnote>
  <w:endnote w:type="continuationNotice" w:id="1">
    <w:p w:rsidR="007D02E0" w:rsidRDefault="007D02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868621"/>
      <w:docPartObj>
        <w:docPartGallery w:val="Page Numbers (Bottom of Page)"/>
        <w:docPartUnique/>
      </w:docPartObj>
    </w:sdtPr>
    <w:sdtEndPr/>
    <w:sdtContent>
      <w:p w:rsidR="007D02E0" w:rsidRDefault="007D02E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72C" w:rsidRPr="0068072C">
          <w:rPr>
            <w:noProof/>
            <w:lang w:val="cs-CZ"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2E0" w:rsidRDefault="007D02E0" w:rsidP="00225138">
      <w:r>
        <w:separator/>
      </w:r>
    </w:p>
  </w:footnote>
  <w:footnote w:type="continuationSeparator" w:id="0">
    <w:p w:rsidR="007D02E0" w:rsidRDefault="007D02E0" w:rsidP="00225138">
      <w:r>
        <w:continuationSeparator/>
      </w:r>
    </w:p>
  </w:footnote>
  <w:footnote w:type="continuationNotice" w:id="1">
    <w:p w:rsidR="007D02E0" w:rsidRDefault="007D02E0"/>
  </w:footnote>
  <w:footnote w:id="2">
    <w:p w:rsidR="007D02E0" w:rsidRPr="003B48D1" w:rsidRDefault="007D02E0" w:rsidP="00350CC9">
      <w:pPr>
        <w:pStyle w:val="Textpoznpodarou"/>
        <w:ind w:left="284" w:hanging="284"/>
        <w:rPr>
          <w:sz w:val="18"/>
          <w:szCs w:val="18"/>
          <w:lang w:val="cs-CZ"/>
        </w:rPr>
      </w:pPr>
      <w:r w:rsidRPr="003B48D1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3B48D1">
        <w:rPr>
          <w:sz w:val="18"/>
          <w:szCs w:val="18"/>
          <w:lang w:val="cs-CZ"/>
        </w:rPr>
        <w:t>Zákon č. 280/1992 Sb., o resortních, oborových, podnikových a dalších zdravotních pojišťovnách.</w:t>
      </w:r>
    </w:p>
  </w:footnote>
  <w:footnote w:id="3">
    <w:p w:rsidR="007D02E0" w:rsidRPr="00182C13" w:rsidRDefault="007D02E0" w:rsidP="00C23A2E">
      <w:pPr>
        <w:pStyle w:val="Textpoznpodarou"/>
        <w:ind w:left="284" w:hanging="284"/>
        <w:rPr>
          <w:sz w:val="18"/>
          <w:szCs w:val="18"/>
          <w:lang w:val="cs-CZ"/>
        </w:rPr>
      </w:pPr>
      <w:r w:rsidRPr="00182C13">
        <w:rPr>
          <w:rStyle w:val="Znakapoznpodarou"/>
          <w:sz w:val="18"/>
          <w:szCs w:val="18"/>
        </w:rPr>
        <w:footnoteRef/>
      </w:r>
      <w:r w:rsidRPr="00B96266">
        <w:rPr>
          <w:rFonts w:cs="Arial"/>
          <w:noProof/>
          <w:color w:val="000000"/>
          <w:sz w:val="18"/>
          <w:szCs w:val="18"/>
          <w:lang w:val="cs-CZ"/>
        </w:rPr>
        <w:tab/>
        <w:t>Zákon č. 48/1997 Sb., o veřejném zdravotním pojištění a o změně a doplnění některých souvisejících zákonů.</w:t>
      </w:r>
    </w:p>
  </w:footnote>
  <w:footnote w:id="4">
    <w:p w:rsidR="007D02E0" w:rsidRPr="00182C13" w:rsidRDefault="007D02E0" w:rsidP="00C23A2E">
      <w:pPr>
        <w:pStyle w:val="Textpoznpodarou"/>
        <w:ind w:left="284" w:hanging="284"/>
        <w:rPr>
          <w:sz w:val="18"/>
          <w:szCs w:val="18"/>
          <w:lang w:val="cs-CZ"/>
        </w:rPr>
      </w:pPr>
      <w:r w:rsidRPr="00182C13">
        <w:rPr>
          <w:rStyle w:val="Znakapoznpodarou"/>
          <w:sz w:val="18"/>
          <w:szCs w:val="18"/>
        </w:rPr>
        <w:footnoteRef/>
      </w:r>
      <w:r w:rsidRPr="00182C13">
        <w:rPr>
          <w:sz w:val="18"/>
          <w:szCs w:val="18"/>
          <w:lang w:val="cs-CZ"/>
        </w:rPr>
        <w:tab/>
        <w:t>Zákon č. 592/1992</w:t>
      </w:r>
      <w:r>
        <w:rPr>
          <w:sz w:val="18"/>
          <w:szCs w:val="18"/>
          <w:lang w:val="cs-CZ"/>
        </w:rPr>
        <w:t xml:space="preserve"> Sb.</w:t>
      </w:r>
      <w:r w:rsidRPr="00182C13">
        <w:rPr>
          <w:sz w:val="18"/>
          <w:szCs w:val="18"/>
          <w:lang w:val="cs-CZ"/>
        </w:rPr>
        <w:t>, o pojistném na veřejné zdravotní pojištění.</w:t>
      </w:r>
    </w:p>
  </w:footnote>
  <w:footnote w:id="5">
    <w:p w:rsidR="007D02E0" w:rsidRPr="00805A7C" w:rsidRDefault="007D02E0" w:rsidP="00350CC9">
      <w:pPr>
        <w:pStyle w:val="Textpoznpodarou"/>
        <w:ind w:left="284" w:hanging="284"/>
        <w:rPr>
          <w:sz w:val="18"/>
          <w:szCs w:val="18"/>
          <w:lang w:val="cs-CZ"/>
        </w:rPr>
      </w:pPr>
      <w:r w:rsidRPr="00182C13">
        <w:rPr>
          <w:rStyle w:val="Znakapoznpodarou"/>
          <w:sz w:val="18"/>
          <w:szCs w:val="18"/>
        </w:rPr>
        <w:footnoteRef/>
      </w:r>
      <w:r w:rsidRPr="00182C13">
        <w:rPr>
          <w:sz w:val="18"/>
          <w:szCs w:val="18"/>
          <w:lang w:val="cs-CZ"/>
        </w:rPr>
        <w:tab/>
      </w:r>
      <w:r w:rsidRPr="00B96266">
        <w:rPr>
          <w:sz w:val="18"/>
          <w:szCs w:val="18"/>
          <w:lang w:val="cs-CZ"/>
        </w:rPr>
        <w:t xml:space="preserve">Zákon č. 438/2004 Sb., kterým se mění zákon č. 551/1991 Sb., o Všeobecné zdravotní pojišťovně České republiky, ve znění </w:t>
      </w:r>
      <w:r w:rsidRPr="00EA6344">
        <w:rPr>
          <w:sz w:val="18"/>
          <w:szCs w:val="18"/>
          <w:lang w:val="cs-CZ"/>
        </w:rPr>
        <w:t xml:space="preserve">pozdějších </w:t>
      </w:r>
      <w:r w:rsidRPr="00174620">
        <w:rPr>
          <w:sz w:val="18"/>
          <w:szCs w:val="18"/>
          <w:lang w:val="cs-CZ"/>
        </w:rPr>
        <w:t>předpisů, zákon č. 280/1992 Sb., o resortních, oborových, podnikových a dalších zdravotních pojišťovnách, ve znění pozdějších předpisů, zákon č. 592/1992 Sb., o pojistném na všeobecné zdravotní pojištění, ve znění pozdějších předpisů, a zákon č. 48/1997 Sb</w:t>
      </w:r>
      <w:r w:rsidRPr="00805A7C">
        <w:rPr>
          <w:sz w:val="18"/>
          <w:szCs w:val="18"/>
          <w:lang w:val="cs-CZ"/>
        </w:rPr>
        <w:t>., o veřejném zdravotním pojištění a o změně a doplnění některých souvisejících zákonů, ve znění pozdějších předpisů.</w:t>
      </w:r>
    </w:p>
  </w:footnote>
  <w:footnote w:id="6">
    <w:p w:rsidR="007D02E0" w:rsidRPr="006E6C3C" w:rsidRDefault="007D02E0" w:rsidP="006B42F6">
      <w:pPr>
        <w:pStyle w:val="Textpoznpodarou"/>
        <w:ind w:left="284" w:hanging="284"/>
        <w:rPr>
          <w:sz w:val="18"/>
          <w:szCs w:val="18"/>
          <w:lang w:val="cs-CZ"/>
        </w:rPr>
      </w:pPr>
      <w:r w:rsidRPr="006E6C3C">
        <w:rPr>
          <w:rStyle w:val="Znakapoznpodarou"/>
          <w:sz w:val="18"/>
          <w:szCs w:val="18"/>
        </w:rPr>
        <w:footnoteRef/>
      </w:r>
      <w:r w:rsidRPr="006E6C3C">
        <w:rPr>
          <w:sz w:val="18"/>
          <w:szCs w:val="18"/>
          <w:lang w:val="cs-CZ"/>
        </w:rPr>
        <w:tab/>
        <w:t>Cenové ujednání je samostatný dokument obsahující dohodu o ceně pro daný rok.</w:t>
      </w:r>
    </w:p>
  </w:footnote>
  <w:footnote w:id="7">
    <w:p w:rsidR="007D02E0" w:rsidRPr="006E6C3C" w:rsidRDefault="007D02E0" w:rsidP="00182C13">
      <w:pPr>
        <w:pStyle w:val="Textpoznpodarou"/>
        <w:ind w:left="284" w:hanging="284"/>
        <w:rPr>
          <w:sz w:val="18"/>
          <w:szCs w:val="18"/>
          <w:lang w:val="cs-CZ"/>
        </w:rPr>
      </w:pPr>
      <w:r w:rsidRPr="006E6C3C">
        <w:rPr>
          <w:rStyle w:val="Znakapoznpodarou"/>
          <w:sz w:val="18"/>
          <w:szCs w:val="18"/>
        </w:rPr>
        <w:footnoteRef/>
      </w:r>
      <w:r w:rsidRPr="006E6C3C">
        <w:rPr>
          <w:sz w:val="18"/>
          <w:szCs w:val="18"/>
          <w:lang w:val="cs-CZ"/>
        </w:rPr>
        <w:tab/>
        <w:t>Vyhláška č. 464/2008 Sb., č. 471/2009 Sb., č. 396/2010 Sb. a č. 425/2011 Sb., o stanovení hodnot bodu, výše úhrad zdravotní péče hrazené z veřejného zdravotního pojištění a regulačních omezení objemu poskytnuté zdravotní péče hrazené z veřejného zdravotního pojištění</w:t>
      </w:r>
      <w:r>
        <w:rPr>
          <w:sz w:val="18"/>
          <w:szCs w:val="18"/>
          <w:lang w:val="cs-CZ"/>
        </w:rPr>
        <w:t>.</w:t>
      </w:r>
    </w:p>
  </w:footnote>
  <w:footnote w:id="8">
    <w:p w:rsidR="007D02E0" w:rsidRPr="006E6C3C" w:rsidRDefault="007D02E0" w:rsidP="00182C13">
      <w:pPr>
        <w:pStyle w:val="Textpoznpodarou"/>
        <w:ind w:left="284" w:hanging="284"/>
        <w:rPr>
          <w:sz w:val="18"/>
          <w:szCs w:val="18"/>
          <w:lang w:val="cs-CZ"/>
        </w:rPr>
      </w:pPr>
      <w:r w:rsidRPr="006E6C3C">
        <w:rPr>
          <w:rStyle w:val="Znakapoznpodarou"/>
          <w:sz w:val="18"/>
          <w:szCs w:val="18"/>
        </w:rPr>
        <w:footnoteRef/>
      </w:r>
      <w:r w:rsidRPr="006E6C3C">
        <w:rPr>
          <w:sz w:val="18"/>
          <w:szCs w:val="18"/>
          <w:lang w:val="cs-CZ"/>
        </w:rPr>
        <w:tab/>
      </w:r>
      <w:r>
        <w:rPr>
          <w:sz w:val="18"/>
          <w:szCs w:val="18"/>
          <w:lang w:val="cs-CZ"/>
        </w:rPr>
        <w:t xml:space="preserve">Viz </w:t>
      </w:r>
      <w:r w:rsidRPr="006E6C3C">
        <w:rPr>
          <w:sz w:val="18"/>
          <w:szCs w:val="18"/>
          <w:lang w:val="cs-CZ"/>
        </w:rPr>
        <w:t xml:space="preserve">§ 17 odst. 5, resp. 6 zákona č. 48/1997 Sb., </w:t>
      </w:r>
      <w:r w:rsidRPr="006E6C3C">
        <w:rPr>
          <w:rFonts w:cs="Arial"/>
          <w:noProof/>
          <w:color w:val="000000"/>
          <w:sz w:val="18"/>
          <w:szCs w:val="18"/>
          <w:lang w:val="cs-CZ"/>
        </w:rPr>
        <w:t>o veřejném zdravotním pojištění a o změně a doplnění některých souvisejících zákonů.</w:t>
      </w:r>
    </w:p>
  </w:footnote>
  <w:footnote w:id="9">
    <w:p w:rsidR="007D02E0" w:rsidRPr="00E91B02" w:rsidRDefault="007D02E0" w:rsidP="0031103D">
      <w:pPr>
        <w:pStyle w:val="Textpoznpodarou"/>
        <w:ind w:left="284" w:hanging="284"/>
        <w:rPr>
          <w:sz w:val="18"/>
          <w:szCs w:val="18"/>
          <w:lang w:val="cs-CZ"/>
        </w:rPr>
      </w:pPr>
      <w:r w:rsidRPr="00E91B02">
        <w:rPr>
          <w:rStyle w:val="Znakapoznpodarou"/>
          <w:sz w:val="18"/>
          <w:szCs w:val="18"/>
        </w:rPr>
        <w:footnoteRef/>
      </w:r>
      <w:r w:rsidRPr="00E91B02">
        <w:rPr>
          <w:sz w:val="18"/>
          <w:szCs w:val="18"/>
          <w:lang w:val="cs-CZ"/>
        </w:rPr>
        <w:t xml:space="preserve"> </w:t>
      </w:r>
      <w:r w:rsidRPr="00E91B02">
        <w:rPr>
          <w:sz w:val="18"/>
          <w:szCs w:val="18"/>
          <w:lang w:val="cs-CZ"/>
        </w:rPr>
        <w:tab/>
        <w:t>Vyhláška č. 134/1998 Sb., kterou se vydává seznam zdravotních výkonů s bodovými hodnotami.</w:t>
      </w:r>
    </w:p>
  </w:footnote>
  <w:footnote w:id="10">
    <w:p w:rsidR="007D02E0" w:rsidRPr="00EF012E" w:rsidRDefault="007D02E0" w:rsidP="00C932A7">
      <w:pPr>
        <w:pStyle w:val="Textpoznpodarou"/>
        <w:ind w:left="284" w:hanging="284"/>
        <w:rPr>
          <w:sz w:val="18"/>
          <w:szCs w:val="18"/>
          <w:lang w:val="cs-CZ"/>
        </w:rPr>
      </w:pPr>
      <w:r w:rsidRPr="00EF012E">
        <w:rPr>
          <w:rStyle w:val="Znakapoznpodarou"/>
          <w:sz w:val="18"/>
          <w:szCs w:val="18"/>
        </w:rPr>
        <w:footnoteRef/>
      </w:r>
      <w:r>
        <w:rPr>
          <w:sz w:val="18"/>
          <w:szCs w:val="18"/>
          <w:lang w:val="cs-CZ"/>
        </w:rPr>
        <w:tab/>
      </w:r>
      <w:proofErr w:type="spellStart"/>
      <w:r w:rsidRPr="00EF012E">
        <w:rPr>
          <w:sz w:val="18"/>
          <w:szCs w:val="18"/>
          <w:lang w:val="cs-CZ"/>
        </w:rPr>
        <w:t>Centrové</w:t>
      </w:r>
      <w:proofErr w:type="spellEnd"/>
      <w:r w:rsidRPr="00EF012E">
        <w:rPr>
          <w:sz w:val="18"/>
          <w:szCs w:val="18"/>
          <w:lang w:val="cs-CZ"/>
        </w:rPr>
        <w:t xml:space="preserve"> léky jsou vysoce inovativní léčivé přípravky stanovené zákonem č. 48/1997 Sb., </w:t>
      </w:r>
      <w:r w:rsidRPr="00EF012E">
        <w:rPr>
          <w:rFonts w:cs="Arial"/>
          <w:noProof/>
          <w:color w:val="000000"/>
          <w:sz w:val="18"/>
          <w:szCs w:val="18"/>
          <w:lang w:val="cs-CZ"/>
        </w:rPr>
        <w:t>o veřejném zdravotním pojištění a o změně a doplnění některých souvisejících zákonů</w:t>
      </w:r>
      <w:r>
        <w:rPr>
          <w:rFonts w:cs="Arial"/>
          <w:noProof/>
          <w:color w:val="000000"/>
          <w:sz w:val="18"/>
          <w:szCs w:val="18"/>
          <w:lang w:val="cs-CZ"/>
        </w:rPr>
        <w:t>,</w:t>
      </w:r>
      <w:r w:rsidRPr="00EF012E">
        <w:rPr>
          <w:sz w:val="18"/>
          <w:szCs w:val="18"/>
          <w:lang w:val="cs-CZ"/>
        </w:rPr>
        <w:t xml:space="preserve"> a vyhláškou č. 63/2007 Sb., o</w:t>
      </w:r>
      <w:r>
        <w:rPr>
          <w:sz w:val="18"/>
          <w:szCs w:val="18"/>
          <w:lang w:val="cs-CZ"/>
        </w:rPr>
        <w:t> </w:t>
      </w:r>
      <w:r w:rsidRPr="00EF012E">
        <w:rPr>
          <w:sz w:val="18"/>
          <w:szCs w:val="18"/>
          <w:lang w:val="cs-CZ"/>
        </w:rPr>
        <w:t>úhradách léčiv a potravin pro zvláštní lékařské účely.</w:t>
      </w:r>
    </w:p>
  </w:footnote>
  <w:footnote w:id="11">
    <w:p w:rsidR="007D02E0" w:rsidRPr="008B2719" w:rsidRDefault="007D02E0" w:rsidP="008B2719">
      <w:pPr>
        <w:pStyle w:val="Textpoznpodarou"/>
        <w:ind w:left="284" w:hanging="284"/>
        <w:rPr>
          <w:sz w:val="18"/>
          <w:szCs w:val="18"/>
          <w:lang w:val="cs-CZ"/>
        </w:rPr>
      </w:pPr>
      <w:r w:rsidRPr="008B2719">
        <w:rPr>
          <w:rStyle w:val="Znakapoznpodarou"/>
          <w:sz w:val="18"/>
          <w:szCs w:val="18"/>
        </w:rPr>
        <w:footnoteRef/>
      </w:r>
      <w:r w:rsidRPr="008B2719">
        <w:rPr>
          <w:sz w:val="18"/>
          <w:szCs w:val="18"/>
          <w:lang w:val="cs-CZ"/>
        </w:rPr>
        <w:tab/>
        <w:t>Zákon č. 137/200</w:t>
      </w:r>
      <w:r>
        <w:rPr>
          <w:sz w:val="18"/>
          <w:szCs w:val="18"/>
          <w:lang w:val="cs-CZ"/>
        </w:rPr>
        <w:t>6</w:t>
      </w:r>
      <w:r w:rsidRPr="008B2719">
        <w:rPr>
          <w:sz w:val="18"/>
          <w:szCs w:val="18"/>
          <w:lang w:val="cs-CZ"/>
        </w:rPr>
        <w:t xml:space="preserve"> Sb., o veřejných zakázkách.</w:t>
      </w:r>
    </w:p>
  </w:footnote>
  <w:footnote w:id="12">
    <w:p w:rsidR="007D02E0" w:rsidRPr="008B2719" w:rsidRDefault="007D02E0" w:rsidP="00182C13">
      <w:pPr>
        <w:pStyle w:val="Textpoznpodarou"/>
        <w:ind w:left="284" w:hanging="284"/>
        <w:rPr>
          <w:sz w:val="18"/>
          <w:szCs w:val="18"/>
          <w:lang w:val="cs-CZ"/>
        </w:rPr>
      </w:pPr>
      <w:r w:rsidRPr="008B2719">
        <w:rPr>
          <w:rStyle w:val="Znakapoznpodarou"/>
          <w:sz w:val="18"/>
          <w:szCs w:val="18"/>
        </w:rPr>
        <w:footnoteRef/>
      </w:r>
      <w:r w:rsidRPr="008B2719">
        <w:rPr>
          <w:sz w:val="18"/>
          <w:szCs w:val="18"/>
          <w:lang w:val="cs-CZ"/>
        </w:rPr>
        <w:tab/>
        <w:t>Kontrolní akce č. 08/36</w:t>
      </w:r>
      <w:r>
        <w:rPr>
          <w:sz w:val="18"/>
          <w:szCs w:val="18"/>
          <w:lang w:val="cs-CZ"/>
        </w:rPr>
        <w:t> –</w:t>
      </w:r>
      <w:r w:rsidRPr="008B2719">
        <w:rPr>
          <w:sz w:val="18"/>
          <w:szCs w:val="18"/>
          <w:lang w:val="cs-CZ"/>
        </w:rPr>
        <w:t xml:space="preserve"> </w:t>
      </w:r>
      <w:r w:rsidRPr="00A87877">
        <w:rPr>
          <w:rFonts w:cs="Arial"/>
          <w:i/>
          <w:sz w:val="18"/>
          <w:szCs w:val="18"/>
          <w:lang w:val="cs-CZ"/>
        </w:rPr>
        <w:t>Prostředky vybírané na základě zákona Vojenskou zdravotní pojišťovnou České republiky</w:t>
      </w:r>
      <w:r w:rsidRPr="008B2719">
        <w:rPr>
          <w:sz w:val="18"/>
          <w:szCs w:val="18"/>
          <w:lang w:val="cs-CZ"/>
        </w:rPr>
        <w:t xml:space="preserve"> a č. 09/29</w:t>
      </w:r>
      <w:r>
        <w:rPr>
          <w:sz w:val="18"/>
          <w:szCs w:val="18"/>
          <w:lang w:val="cs-CZ"/>
        </w:rPr>
        <w:t> –</w:t>
      </w:r>
      <w:r w:rsidRPr="008B2719">
        <w:rPr>
          <w:sz w:val="18"/>
          <w:szCs w:val="18"/>
          <w:lang w:val="cs-CZ"/>
        </w:rPr>
        <w:t xml:space="preserve"> </w:t>
      </w:r>
      <w:r w:rsidRPr="00A87877">
        <w:rPr>
          <w:rFonts w:cs="Arial"/>
          <w:i/>
          <w:color w:val="000000"/>
          <w:sz w:val="18"/>
          <w:szCs w:val="18"/>
          <w:lang w:val="cs-CZ"/>
        </w:rPr>
        <w:t>Prostředky vybírané na základě zákona ve prospěch Všeobecné zdravotní pojišťovny České republiky</w:t>
      </w:r>
      <w:r w:rsidRPr="008B2719">
        <w:rPr>
          <w:rFonts w:cs="Arial"/>
          <w:color w:val="000000"/>
          <w:sz w:val="18"/>
          <w:szCs w:val="18"/>
          <w:lang w:val="cs-CZ"/>
        </w:rPr>
        <w:t>.</w:t>
      </w:r>
    </w:p>
  </w:footnote>
  <w:footnote w:id="13">
    <w:p w:rsidR="007D02E0" w:rsidRPr="000634B8" w:rsidRDefault="007D02E0" w:rsidP="00350CC9">
      <w:pPr>
        <w:pStyle w:val="Textpoznpodarou"/>
        <w:ind w:left="284" w:hanging="284"/>
        <w:rPr>
          <w:sz w:val="18"/>
          <w:szCs w:val="18"/>
          <w:lang w:val="cs-CZ"/>
        </w:rPr>
      </w:pPr>
      <w:r w:rsidRPr="000634B8">
        <w:rPr>
          <w:rStyle w:val="Znakapoznpodarou"/>
          <w:sz w:val="18"/>
          <w:szCs w:val="18"/>
        </w:rPr>
        <w:footnoteRef/>
      </w:r>
      <w:r>
        <w:rPr>
          <w:sz w:val="18"/>
          <w:szCs w:val="18"/>
          <w:lang w:val="cs-CZ"/>
        </w:rPr>
        <w:tab/>
      </w:r>
      <w:r w:rsidRPr="000634B8">
        <w:rPr>
          <w:sz w:val="18"/>
          <w:szCs w:val="18"/>
          <w:lang w:val="cs-CZ"/>
        </w:rPr>
        <w:t>Vyhláška č. 418/2003 Sb., kterou se stanoví podrobnější vymezení okruhu a výše příjmů a výdajů fondů veřejného zdravotního pojištění zdravotních pojišťoven, podmínky jejich tvorby, užití, přípustnosti vzájemných převodů finančních prostředků a hospodaření s nimi, limit nákladů na činnost zdravotních pojišťoven krytých ze zdrojů základního fondu včetně postupu propočtu tohoto limitu.</w:t>
      </w:r>
    </w:p>
  </w:footnote>
  <w:footnote w:id="14">
    <w:p w:rsidR="007D02E0" w:rsidRPr="000634B8" w:rsidRDefault="007D02E0" w:rsidP="00350CC9">
      <w:pPr>
        <w:pStyle w:val="Textpoznpodarou"/>
        <w:ind w:left="284" w:hanging="284"/>
        <w:rPr>
          <w:sz w:val="18"/>
          <w:szCs w:val="18"/>
          <w:lang w:val="cs-CZ"/>
        </w:rPr>
      </w:pPr>
      <w:r w:rsidRPr="000634B8">
        <w:rPr>
          <w:rStyle w:val="Znakapoznpodarou"/>
          <w:sz w:val="18"/>
          <w:szCs w:val="18"/>
        </w:rPr>
        <w:footnoteRef/>
      </w:r>
      <w:r>
        <w:rPr>
          <w:sz w:val="18"/>
          <w:szCs w:val="18"/>
          <w:lang w:val="cs-CZ"/>
        </w:rPr>
        <w:tab/>
      </w:r>
      <w:r w:rsidRPr="000634B8">
        <w:rPr>
          <w:sz w:val="18"/>
          <w:szCs w:val="18"/>
          <w:lang w:val="cs-CZ"/>
        </w:rPr>
        <w:t>Zákon č. 298/2011 Sb., kterým se mění zákon č. 48/1997 Sb., o veřejném zdravotním pojištění a o změně a</w:t>
      </w:r>
      <w:r>
        <w:rPr>
          <w:sz w:val="18"/>
          <w:szCs w:val="18"/>
          <w:lang w:val="cs-CZ"/>
        </w:rPr>
        <w:t> </w:t>
      </w:r>
      <w:r w:rsidRPr="000634B8">
        <w:rPr>
          <w:sz w:val="18"/>
          <w:szCs w:val="18"/>
          <w:lang w:val="cs-CZ"/>
        </w:rPr>
        <w:t>doplnění některých souvisejících zákonů, ve znění pozdějších předpisů, a další související zákony.</w:t>
      </w:r>
    </w:p>
  </w:footnote>
  <w:footnote w:id="15">
    <w:p w:rsidR="007D02E0" w:rsidRPr="00182C13" w:rsidRDefault="007D02E0" w:rsidP="00182C13">
      <w:pPr>
        <w:pStyle w:val="Textpoznpodarou"/>
        <w:ind w:left="284" w:hanging="284"/>
        <w:rPr>
          <w:lang w:val="cs-CZ"/>
        </w:rPr>
      </w:pPr>
      <w:r>
        <w:rPr>
          <w:rStyle w:val="Znakapoznpodarou"/>
        </w:rPr>
        <w:footnoteRef/>
      </w:r>
      <w:r w:rsidRPr="00182C13">
        <w:rPr>
          <w:lang w:val="cs-CZ"/>
        </w:rPr>
        <w:tab/>
      </w:r>
      <w:r w:rsidRPr="000634B8">
        <w:rPr>
          <w:sz w:val="18"/>
          <w:szCs w:val="18"/>
          <w:lang w:val="cs-CZ"/>
        </w:rPr>
        <w:t>Dohoda mezi zdravotními pojišťovnami a Ministerstvem zdravotnictví ČR ze dne 7. 5. 2009, ve které se zdravotní pojišťovny a MZ dohodly na postupu omezení tvorby provozního fondu a fondu prevence v letech 2009 a 2010 v zájmu posílení základního fondu v podmínkách hospodářské krize.</w:t>
      </w:r>
    </w:p>
  </w:footnote>
  <w:footnote w:id="16">
    <w:p w:rsidR="007D02E0" w:rsidRPr="004C1067" w:rsidRDefault="007D02E0" w:rsidP="000C5C98">
      <w:pPr>
        <w:pStyle w:val="Textpoznpodarou"/>
        <w:ind w:left="284" w:hanging="284"/>
        <w:rPr>
          <w:sz w:val="18"/>
          <w:szCs w:val="18"/>
          <w:lang w:val="cs-CZ"/>
        </w:rPr>
      </w:pPr>
      <w:r w:rsidRPr="004C1067">
        <w:rPr>
          <w:rStyle w:val="Znakapoznpodarou"/>
          <w:sz w:val="18"/>
          <w:szCs w:val="18"/>
        </w:rPr>
        <w:footnoteRef/>
      </w:r>
      <w:r w:rsidRPr="004C1067">
        <w:rPr>
          <w:sz w:val="18"/>
          <w:szCs w:val="18"/>
          <w:lang w:val="cs-CZ"/>
        </w:rPr>
        <w:tab/>
        <w:t>Zákon č. 563/1991 Sb., o účetnictví.</w:t>
      </w:r>
    </w:p>
  </w:footnote>
  <w:footnote w:id="17">
    <w:p w:rsidR="007D02E0" w:rsidRPr="004C1067" w:rsidRDefault="007D02E0" w:rsidP="004C1067">
      <w:pPr>
        <w:pStyle w:val="Textpoznpodarou"/>
        <w:ind w:left="284" w:hanging="284"/>
        <w:rPr>
          <w:sz w:val="18"/>
          <w:szCs w:val="18"/>
          <w:lang w:val="cs-CZ"/>
        </w:rPr>
      </w:pPr>
      <w:r w:rsidRPr="004C1067">
        <w:rPr>
          <w:rStyle w:val="Znakapoznpodarou"/>
          <w:sz w:val="18"/>
          <w:szCs w:val="18"/>
        </w:rPr>
        <w:footnoteRef/>
      </w:r>
      <w:r>
        <w:rPr>
          <w:sz w:val="18"/>
          <w:szCs w:val="18"/>
          <w:lang w:val="cs-CZ"/>
        </w:rPr>
        <w:tab/>
      </w:r>
      <w:r w:rsidRPr="004C1067">
        <w:rPr>
          <w:sz w:val="18"/>
          <w:szCs w:val="18"/>
          <w:lang w:val="cs-CZ"/>
        </w:rPr>
        <w:t>Vyhláška č. 503/2002 Sb., kterou se provádějí některá ustanovení zákona č. 563/1991 Sb., o účetnictví, ve znění pozdějších předpisů, pro zdravotní pojišťovny.</w:t>
      </w:r>
    </w:p>
  </w:footnote>
  <w:footnote w:id="18">
    <w:p w:rsidR="007D02E0" w:rsidRPr="004C1067" w:rsidRDefault="007D02E0" w:rsidP="004C1067">
      <w:pPr>
        <w:pStyle w:val="Textpoznpodarou"/>
        <w:ind w:left="284" w:hanging="284"/>
        <w:rPr>
          <w:sz w:val="18"/>
          <w:szCs w:val="18"/>
          <w:lang w:val="cs-CZ"/>
        </w:rPr>
      </w:pPr>
      <w:r w:rsidRPr="004C1067">
        <w:rPr>
          <w:rStyle w:val="Znakapoznpodarou"/>
          <w:sz w:val="18"/>
          <w:szCs w:val="18"/>
        </w:rPr>
        <w:footnoteRef/>
      </w:r>
      <w:r w:rsidRPr="004C1067">
        <w:rPr>
          <w:sz w:val="18"/>
          <w:szCs w:val="18"/>
          <w:lang w:val="cs-CZ"/>
        </w:rPr>
        <w:tab/>
        <w:t>České účetní standardy pro účetní jednotky, které účtují podle vyhlášky č. 503/2002 Sb., ve znění pozdějších předpisů</w:t>
      </w:r>
      <w:r>
        <w:rPr>
          <w:sz w:val="18"/>
          <w:szCs w:val="18"/>
          <w:lang w:val="cs-CZ"/>
        </w:rPr>
        <w:t>,</w:t>
      </w:r>
      <w:r w:rsidRPr="004C1067">
        <w:rPr>
          <w:sz w:val="18"/>
          <w:szCs w:val="18"/>
          <w:lang w:val="cs-CZ"/>
        </w:rPr>
        <w:t xml:space="preserve"> (dále jen „České účetní standardy pro zdravotní pojišťovny“) </w:t>
      </w:r>
      <w:r>
        <w:rPr>
          <w:sz w:val="18"/>
          <w:szCs w:val="18"/>
          <w:lang w:val="cs-CZ"/>
        </w:rPr>
        <w:t>– o</w:t>
      </w:r>
      <w:r w:rsidRPr="004C1067">
        <w:rPr>
          <w:sz w:val="18"/>
          <w:szCs w:val="18"/>
          <w:lang w:val="cs-CZ"/>
        </w:rPr>
        <w:t xml:space="preserve">známení č. FZ05/2004 (zrušeno 10. 12. 2009) a </w:t>
      </w:r>
      <w:r>
        <w:rPr>
          <w:sz w:val="18"/>
          <w:szCs w:val="18"/>
          <w:lang w:val="cs-CZ"/>
        </w:rPr>
        <w:t>o</w:t>
      </w:r>
      <w:r w:rsidRPr="004C1067">
        <w:rPr>
          <w:sz w:val="18"/>
          <w:szCs w:val="18"/>
          <w:lang w:val="cs-CZ"/>
        </w:rPr>
        <w:t xml:space="preserve">známení č. 281/93 878/2009 (pro účetní období započatá 1. 1. 2010 a později) zveřejněná ve </w:t>
      </w:r>
      <w:r w:rsidRPr="001271F5">
        <w:rPr>
          <w:i/>
          <w:sz w:val="18"/>
          <w:szCs w:val="18"/>
          <w:lang w:val="cs-CZ"/>
        </w:rPr>
        <w:t>Finančním zpravodaji</w:t>
      </w:r>
      <w:r w:rsidRPr="004C1067">
        <w:rPr>
          <w:sz w:val="18"/>
          <w:szCs w:val="18"/>
          <w:lang w:val="cs-CZ"/>
        </w:rPr>
        <w:t>.</w:t>
      </w:r>
    </w:p>
  </w:footnote>
  <w:footnote w:id="19">
    <w:p w:rsidR="007D02E0" w:rsidRPr="00673848" w:rsidRDefault="007D02E0" w:rsidP="000C5C98">
      <w:pPr>
        <w:pStyle w:val="Textpoznpodarou"/>
        <w:ind w:left="284" w:hanging="284"/>
        <w:rPr>
          <w:sz w:val="18"/>
          <w:szCs w:val="18"/>
          <w:lang w:val="cs-CZ"/>
        </w:rPr>
      </w:pPr>
      <w:r w:rsidRPr="00673848">
        <w:rPr>
          <w:rStyle w:val="Znakapoznpodarou"/>
          <w:sz w:val="18"/>
          <w:szCs w:val="18"/>
        </w:rPr>
        <w:footnoteRef/>
      </w:r>
      <w:r>
        <w:rPr>
          <w:sz w:val="18"/>
          <w:szCs w:val="18"/>
          <w:lang w:val="cs-CZ"/>
        </w:rPr>
        <w:tab/>
      </w:r>
      <w:r w:rsidRPr="00673848">
        <w:rPr>
          <w:sz w:val="18"/>
          <w:szCs w:val="18"/>
          <w:lang w:val="cs-CZ"/>
        </w:rPr>
        <w:t>Vyhláška č. 274/2005 Sb., o způsobu podávání informací o hospodaření zdravotních pojišťoven a jejich rozsahu</w:t>
      </w:r>
      <w:r>
        <w:rPr>
          <w:sz w:val="18"/>
          <w:szCs w:val="18"/>
          <w:lang w:val="cs-CZ"/>
        </w:rPr>
        <w:t>,</w:t>
      </w:r>
      <w:r w:rsidRPr="00673848">
        <w:rPr>
          <w:sz w:val="18"/>
          <w:szCs w:val="18"/>
          <w:lang w:val="cs-CZ"/>
        </w:rPr>
        <w:t xml:space="preserve"> (účinná od 15. 7. 2005, zrušená </w:t>
      </w:r>
      <w:r>
        <w:rPr>
          <w:sz w:val="18"/>
          <w:szCs w:val="18"/>
          <w:lang w:val="cs-CZ"/>
        </w:rPr>
        <w:t xml:space="preserve">ke dni </w:t>
      </w:r>
      <w:r w:rsidRPr="00673848">
        <w:rPr>
          <w:sz w:val="18"/>
          <w:szCs w:val="18"/>
          <w:lang w:val="cs-CZ"/>
        </w:rPr>
        <w:t xml:space="preserve">1. 1. 2011) a </w:t>
      </w:r>
      <w:r>
        <w:rPr>
          <w:sz w:val="18"/>
          <w:szCs w:val="18"/>
          <w:lang w:val="cs-CZ"/>
        </w:rPr>
        <w:t>v</w:t>
      </w:r>
      <w:r w:rsidRPr="00673848">
        <w:rPr>
          <w:sz w:val="18"/>
          <w:szCs w:val="18"/>
          <w:lang w:val="cs-CZ"/>
        </w:rPr>
        <w:t>yhláška č. 362/2010 Sb., o způsobu podávání informací o hospodaření zdravotních pojišťoven a jejich rozsahu</w:t>
      </w:r>
      <w:r>
        <w:rPr>
          <w:sz w:val="18"/>
          <w:szCs w:val="18"/>
          <w:lang w:val="cs-CZ"/>
        </w:rPr>
        <w:t>,</w:t>
      </w:r>
      <w:r w:rsidRPr="00673848">
        <w:rPr>
          <w:sz w:val="18"/>
          <w:szCs w:val="18"/>
          <w:lang w:val="cs-CZ"/>
        </w:rPr>
        <w:t xml:space="preserve"> (účinná od 1. 1. 2011).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2E0" w:rsidRDefault="007D02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A8C"/>
    <w:multiLevelType w:val="hybridMultilevel"/>
    <w:tmpl w:val="DC80986C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082C43CA"/>
    <w:multiLevelType w:val="hybridMultilevel"/>
    <w:tmpl w:val="DA520914"/>
    <w:lvl w:ilvl="0" w:tplc="0405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>
    <w:nsid w:val="0B9B785B"/>
    <w:multiLevelType w:val="hybridMultilevel"/>
    <w:tmpl w:val="F71ED166"/>
    <w:lvl w:ilvl="0" w:tplc="24C4FB1C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37F2A"/>
    <w:multiLevelType w:val="hybridMultilevel"/>
    <w:tmpl w:val="22928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032E7"/>
    <w:multiLevelType w:val="hybridMultilevel"/>
    <w:tmpl w:val="CC7E7A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57E1E"/>
    <w:multiLevelType w:val="hybridMultilevel"/>
    <w:tmpl w:val="A54012F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820B6"/>
    <w:multiLevelType w:val="hybridMultilevel"/>
    <w:tmpl w:val="2FBEFD4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466D3"/>
    <w:multiLevelType w:val="hybridMultilevel"/>
    <w:tmpl w:val="E06A0832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60516"/>
    <w:multiLevelType w:val="hybridMultilevel"/>
    <w:tmpl w:val="B6160848"/>
    <w:lvl w:ilvl="0" w:tplc="D52209CE">
      <w:start w:val="3"/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33B05"/>
    <w:multiLevelType w:val="hybridMultilevel"/>
    <w:tmpl w:val="DB34D3C0"/>
    <w:lvl w:ilvl="0" w:tplc="D52209CE">
      <w:start w:val="3"/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128FE"/>
    <w:multiLevelType w:val="hybridMultilevel"/>
    <w:tmpl w:val="A6848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42C76"/>
    <w:multiLevelType w:val="hybridMultilevel"/>
    <w:tmpl w:val="66705E8C"/>
    <w:lvl w:ilvl="0" w:tplc="35FC6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B7DE0"/>
    <w:multiLevelType w:val="hybridMultilevel"/>
    <w:tmpl w:val="49F8329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FCF5A46"/>
    <w:multiLevelType w:val="hybridMultilevel"/>
    <w:tmpl w:val="8A3A7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D1037"/>
    <w:multiLevelType w:val="hybridMultilevel"/>
    <w:tmpl w:val="3CE447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F3C1B"/>
    <w:multiLevelType w:val="hybridMultilevel"/>
    <w:tmpl w:val="0436F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C516F"/>
    <w:multiLevelType w:val="hybridMultilevel"/>
    <w:tmpl w:val="8856DB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927A2"/>
    <w:multiLevelType w:val="multilevel"/>
    <w:tmpl w:val="6C9E82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BD47EC3"/>
    <w:multiLevelType w:val="hybridMultilevel"/>
    <w:tmpl w:val="08C86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C03CE"/>
    <w:multiLevelType w:val="hybridMultilevel"/>
    <w:tmpl w:val="3C5281AE"/>
    <w:lvl w:ilvl="0" w:tplc="D52209CE">
      <w:start w:val="3"/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95070"/>
    <w:multiLevelType w:val="multilevel"/>
    <w:tmpl w:val="13A27E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0135A8C"/>
    <w:multiLevelType w:val="hybridMultilevel"/>
    <w:tmpl w:val="07BE5D22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>
    <w:nsid w:val="401B179B"/>
    <w:multiLevelType w:val="hybridMultilevel"/>
    <w:tmpl w:val="1BD88FB6"/>
    <w:lvl w:ilvl="0" w:tplc="F1B2FDEE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420F6C3D"/>
    <w:multiLevelType w:val="hybridMultilevel"/>
    <w:tmpl w:val="82F0D0D6"/>
    <w:lvl w:ilvl="0" w:tplc="3D369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6662778">
      <w:numFmt w:val="none"/>
      <w:lvlText w:val=""/>
      <w:lvlJc w:val="left"/>
      <w:pPr>
        <w:tabs>
          <w:tab w:val="num" w:pos="360"/>
        </w:tabs>
      </w:pPr>
    </w:lvl>
    <w:lvl w:ilvl="2" w:tplc="A052ED90">
      <w:numFmt w:val="none"/>
      <w:lvlText w:val=""/>
      <w:lvlJc w:val="left"/>
      <w:pPr>
        <w:tabs>
          <w:tab w:val="num" w:pos="360"/>
        </w:tabs>
      </w:pPr>
    </w:lvl>
    <w:lvl w:ilvl="3" w:tplc="320E9F6A">
      <w:numFmt w:val="none"/>
      <w:lvlText w:val=""/>
      <w:lvlJc w:val="left"/>
      <w:pPr>
        <w:tabs>
          <w:tab w:val="num" w:pos="360"/>
        </w:tabs>
      </w:pPr>
    </w:lvl>
    <w:lvl w:ilvl="4" w:tplc="2910AD0E">
      <w:numFmt w:val="none"/>
      <w:lvlText w:val=""/>
      <w:lvlJc w:val="left"/>
      <w:pPr>
        <w:tabs>
          <w:tab w:val="num" w:pos="360"/>
        </w:tabs>
      </w:pPr>
    </w:lvl>
    <w:lvl w:ilvl="5" w:tplc="5FFA8E9A">
      <w:numFmt w:val="none"/>
      <w:lvlText w:val=""/>
      <w:lvlJc w:val="left"/>
      <w:pPr>
        <w:tabs>
          <w:tab w:val="num" w:pos="360"/>
        </w:tabs>
      </w:pPr>
    </w:lvl>
    <w:lvl w:ilvl="6" w:tplc="5510D49C">
      <w:numFmt w:val="none"/>
      <w:lvlText w:val=""/>
      <w:lvlJc w:val="left"/>
      <w:pPr>
        <w:tabs>
          <w:tab w:val="num" w:pos="360"/>
        </w:tabs>
      </w:pPr>
    </w:lvl>
    <w:lvl w:ilvl="7" w:tplc="256AABDE">
      <w:numFmt w:val="none"/>
      <w:lvlText w:val=""/>
      <w:lvlJc w:val="left"/>
      <w:pPr>
        <w:tabs>
          <w:tab w:val="num" w:pos="360"/>
        </w:tabs>
      </w:pPr>
    </w:lvl>
    <w:lvl w:ilvl="8" w:tplc="F622FCA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5645F87"/>
    <w:multiLevelType w:val="multilevel"/>
    <w:tmpl w:val="EDBCCB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47F013EC"/>
    <w:multiLevelType w:val="hybridMultilevel"/>
    <w:tmpl w:val="39AC04DE"/>
    <w:lvl w:ilvl="0" w:tplc="BF72EB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A6657"/>
    <w:multiLevelType w:val="hybridMultilevel"/>
    <w:tmpl w:val="B98CBB48"/>
    <w:lvl w:ilvl="0" w:tplc="DC22C5C0">
      <w:start w:val="19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1D278A"/>
    <w:multiLevelType w:val="hybridMultilevel"/>
    <w:tmpl w:val="0344BD14"/>
    <w:lvl w:ilvl="0" w:tplc="24C4FB1C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040D4F"/>
    <w:multiLevelType w:val="hybridMultilevel"/>
    <w:tmpl w:val="97D8DE70"/>
    <w:lvl w:ilvl="0" w:tplc="184C8E0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9C522C"/>
    <w:multiLevelType w:val="hybridMultilevel"/>
    <w:tmpl w:val="D7E4B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E71213"/>
    <w:multiLevelType w:val="hybridMultilevel"/>
    <w:tmpl w:val="C2D03F44"/>
    <w:lvl w:ilvl="0" w:tplc="9BB01FBC">
      <w:start w:val="22"/>
      <w:numFmt w:val="bullet"/>
      <w:lvlText w:val="–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1">
    <w:nsid w:val="50297165"/>
    <w:multiLevelType w:val="hybridMultilevel"/>
    <w:tmpl w:val="DB861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304542"/>
    <w:multiLevelType w:val="hybridMultilevel"/>
    <w:tmpl w:val="1FB23B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183633"/>
    <w:multiLevelType w:val="hybridMultilevel"/>
    <w:tmpl w:val="6FFCA830"/>
    <w:lvl w:ilvl="0" w:tplc="94C847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B957BB"/>
    <w:multiLevelType w:val="hybridMultilevel"/>
    <w:tmpl w:val="D01448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8A5BF1"/>
    <w:multiLevelType w:val="hybridMultilevel"/>
    <w:tmpl w:val="0E423D3C"/>
    <w:lvl w:ilvl="0" w:tplc="D52209CE">
      <w:start w:val="3"/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174D05"/>
    <w:multiLevelType w:val="hybridMultilevel"/>
    <w:tmpl w:val="0CAC8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C54580"/>
    <w:multiLevelType w:val="hybridMultilevel"/>
    <w:tmpl w:val="E9CA79D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6B946604"/>
    <w:multiLevelType w:val="hybridMultilevel"/>
    <w:tmpl w:val="08C86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F6B5B"/>
    <w:multiLevelType w:val="hybridMultilevel"/>
    <w:tmpl w:val="91F4A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CA7028"/>
    <w:multiLevelType w:val="hybridMultilevel"/>
    <w:tmpl w:val="FCC60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401A58"/>
    <w:multiLevelType w:val="multilevel"/>
    <w:tmpl w:val="92FAEC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5"/>
  </w:num>
  <w:num w:numId="2">
    <w:abstractNumId w:val="26"/>
  </w:num>
  <w:num w:numId="3">
    <w:abstractNumId w:val="23"/>
  </w:num>
  <w:num w:numId="4">
    <w:abstractNumId w:val="29"/>
  </w:num>
  <w:num w:numId="5">
    <w:abstractNumId w:val="18"/>
  </w:num>
  <w:num w:numId="6">
    <w:abstractNumId w:val="34"/>
  </w:num>
  <w:num w:numId="7">
    <w:abstractNumId w:val="22"/>
  </w:num>
  <w:num w:numId="8">
    <w:abstractNumId w:val="11"/>
  </w:num>
  <w:num w:numId="9">
    <w:abstractNumId w:val="38"/>
  </w:num>
  <w:num w:numId="10">
    <w:abstractNumId w:val="28"/>
  </w:num>
  <w:num w:numId="11">
    <w:abstractNumId w:val="33"/>
  </w:num>
  <w:num w:numId="12">
    <w:abstractNumId w:val="5"/>
  </w:num>
  <w:num w:numId="13">
    <w:abstractNumId w:val="3"/>
  </w:num>
  <w:num w:numId="14">
    <w:abstractNumId w:val="13"/>
  </w:num>
  <w:num w:numId="15">
    <w:abstractNumId w:val="10"/>
  </w:num>
  <w:num w:numId="16">
    <w:abstractNumId w:val="39"/>
  </w:num>
  <w:num w:numId="17">
    <w:abstractNumId w:val="16"/>
  </w:num>
  <w:num w:numId="18">
    <w:abstractNumId w:val="32"/>
  </w:num>
  <w:num w:numId="19">
    <w:abstractNumId w:val="41"/>
  </w:num>
  <w:num w:numId="20">
    <w:abstractNumId w:val="6"/>
  </w:num>
  <w:num w:numId="21">
    <w:abstractNumId w:val="4"/>
  </w:num>
  <w:num w:numId="22">
    <w:abstractNumId w:val="31"/>
  </w:num>
  <w:num w:numId="23">
    <w:abstractNumId w:val="17"/>
  </w:num>
  <w:num w:numId="24">
    <w:abstractNumId w:val="14"/>
  </w:num>
  <w:num w:numId="25">
    <w:abstractNumId w:val="20"/>
  </w:num>
  <w:num w:numId="26">
    <w:abstractNumId w:val="24"/>
  </w:num>
  <w:num w:numId="27">
    <w:abstractNumId w:val="37"/>
  </w:num>
  <w:num w:numId="28">
    <w:abstractNumId w:val="15"/>
  </w:num>
  <w:num w:numId="29">
    <w:abstractNumId w:val="12"/>
  </w:num>
  <w:num w:numId="30">
    <w:abstractNumId w:val="7"/>
  </w:num>
  <w:num w:numId="31">
    <w:abstractNumId w:val="1"/>
  </w:num>
  <w:num w:numId="32">
    <w:abstractNumId w:val="40"/>
  </w:num>
  <w:num w:numId="33">
    <w:abstractNumId w:val="36"/>
  </w:num>
  <w:num w:numId="34">
    <w:abstractNumId w:val="27"/>
  </w:num>
  <w:num w:numId="35">
    <w:abstractNumId w:val="2"/>
  </w:num>
  <w:num w:numId="36">
    <w:abstractNumId w:val="19"/>
  </w:num>
  <w:num w:numId="37">
    <w:abstractNumId w:val="35"/>
  </w:num>
  <w:num w:numId="38">
    <w:abstractNumId w:val="0"/>
  </w:num>
  <w:num w:numId="39">
    <w:abstractNumId w:val="21"/>
  </w:num>
  <w:num w:numId="40">
    <w:abstractNumId w:val="30"/>
  </w:num>
  <w:num w:numId="41">
    <w:abstractNumId w:val="9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6D"/>
    <w:rsid w:val="000005D9"/>
    <w:rsid w:val="000053E7"/>
    <w:rsid w:val="00010D69"/>
    <w:rsid w:val="00012ACC"/>
    <w:rsid w:val="0001305E"/>
    <w:rsid w:val="000133F0"/>
    <w:rsid w:val="00017FAB"/>
    <w:rsid w:val="00020A12"/>
    <w:rsid w:val="00023BAA"/>
    <w:rsid w:val="0002714D"/>
    <w:rsid w:val="0003064C"/>
    <w:rsid w:val="0003627C"/>
    <w:rsid w:val="00036B3F"/>
    <w:rsid w:val="000377F7"/>
    <w:rsid w:val="0004569A"/>
    <w:rsid w:val="00051248"/>
    <w:rsid w:val="00051521"/>
    <w:rsid w:val="00051BBA"/>
    <w:rsid w:val="000541FE"/>
    <w:rsid w:val="000612B9"/>
    <w:rsid w:val="00064DD0"/>
    <w:rsid w:val="00065949"/>
    <w:rsid w:val="00066A62"/>
    <w:rsid w:val="0006773B"/>
    <w:rsid w:val="00075D59"/>
    <w:rsid w:val="00081139"/>
    <w:rsid w:val="00084126"/>
    <w:rsid w:val="00087439"/>
    <w:rsid w:val="00087483"/>
    <w:rsid w:val="000A0F82"/>
    <w:rsid w:val="000A3398"/>
    <w:rsid w:val="000B1F6D"/>
    <w:rsid w:val="000B2558"/>
    <w:rsid w:val="000B3DEE"/>
    <w:rsid w:val="000B6D68"/>
    <w:rsid w:val="000C0301"/>
    <w:rsid w:val="000C5732"/>
    <w:rsid w:val="000C5C98"/>
    <w:rsid w:val="000C6871"/>
    <w:rsid w:val="000D1174"/>
    <w:rsid w:val="000D1683"/>
    <w:rsid w:val="000D1CAD"/>
    <w:rsid w:val="000D5F20"/>
    <w:rsid w:val="000E3082"/>
    <w:rsid w:val="000E36C4"/>
    <w:rsid w:val="000F2737"/>
    <w:rsid w:val="000F47C3"/>
    <w:rsid w:val="000F6C9F"/>
    <w:rsid w:val="000F7F00"/>
    <w:rsid w:val="00106724"/>
    <w:rsid w:val="00107DE9"/>
    <w:rsid w:val="00112966"/>
    <w:rsid w:val="00112FCF"/>
    <w:rsid w:val="00115DBF"/>
    <w:rsid w:val="001234CE"/>
    <w:rsid w:val="00127135"/>
    <w:rsid w:val="001271F5"/>
    <w:rsid w:val="00131D6D"/>
    <w:rsid w:val="00134EF3"/>
    <w:rsid w:val="00135B5A"/>
    <w:rsid w:val="00141582"/>
    <w:rsid w:val="00142C4E"/>
    <w:rsid w:val="00144EAD"/>
    <w:rsid w:val="0015019C"/>
    <w:rsid w:val="00150BBC"/>
    <w:rsid w:val="00151B91"/>
    <w:rsid w:val="0015345B"/>
    <w:rsid w:val="00162820"/>
    <w:rsid w:val="0016356C"/>
    <w:rsid w:val="00164AF2"/>
    <w:rsid w:val="00174620"/>
    <w:rsid w:val="00177127"/>
    <w:rsid w:val="00180457"/>
    <w:rsid w:val="00182C13"/>
    <w:rsid w:val="00193AC6"/>
    <w:rsid w:val="001961CD"/>
    <w:rsid w:val="001A0213"/>
    <w:rsid w:val="001A1504"/>
    <w:rsid w:val="001A1553"/>
    <w:rsid w:val="001A18AB"/>
    <w:rsid w:val="001A3864"/>
    <w:rsid w:val="001A4844"/>
    <w:rsid w:val="001B0D88"/>
    <w:rsid w:val="001B35D0"/>
    <w:rsid w:val="001B542A"/>
    <w:rsid w:val="001B5887"/>
    <w:rsid w:val="001B673D"/>
    <w:rsid w:val="001B7148"/>
    <w:rsid w:val="001C3EF2"/>
    <w:rsid w:val="001D3B70"/>
    <w:rsid w:val="001D6B2F"/>
    <w:rsid w:val="001E0B21"/>
    <w:rsid w:val="001E2F57"/>
    <w:rsid w:val="001E4266"/>
    <w:rsid w:val="001E5A6D"/>
    <w:rsid w:val="001F0BE8"/>
    <w:rsid w:val="001F1527"/>
    <w:rsid w:val="001F2080"/>
    <w:rsid w:val="001F6402"/>
    <w:rsid w:val="001F7354"/>
    <w:rsid w:val="00201A47"/>
    <w:rsid w:val="00204DED"/>
    <w:rsid w:val="00205A97"/>
    <w:rsid w:val="00206CA7"/>
    <w:rsid w:val="00213EAF"/>
    <w:rsid w:val="00214BAD"/>
    <w:rsid w:val="00216DB1"/>
    <w:rsid w:val="00224048"/>
    <w:rsid w:val="00224F17"/>
    <w:rsid w:val="00225138"/>
    <w:rsid w:val="00226C5E"/>
    <w:rsid w:val="002272EC"/>
    <w:rsid w:val="002324A7"/>
    <w:rsid w:val="00232797"/>
    <w:rsid w:val="00232AC8"/>
    <w:rsid w:val="002362D8"/>
    <w:rsid w:val="00236F54"/>
    <w:rsid w:val="002404DE"/>
    <w:rsid w:val="0024235A"/>
    <w:rsid w:val="002454C2"/>
    <w:rsid w:val="002459EA"/>
    <w:rsid w:val="00251454"/>
    <w:rsid w:val="00252887"/>
    <w:rsid w:val="00254818"/>
    <w:rsid w:val="00254D32"/>
    <w:rsid w:val="00254F4C"/>
    <w:rsid w:val="0025518C"/>
    <w:rsid w:val="00256C80"/>
    <w:rsid w:val="002654F8"/>
    <w:rsid w:val="002709EC"/>
    <w:rsid w:val="00271226"/>
    <w:rsid w:val="00276A74"/>
    <w:rsid w:val="00280BB7"/>
    <w:rsid w:val="002821E8"/>
    <w:rsid w:val="00285585"/>
    <w:rsid w:val="00287279"/>
    <w:rsid w:val="0029351A"/>
    <w:rsid w:val="00294285"/>
    <w:rsid w:val="002949D8"/>
    <w:rsid w:val="002A08CB"/>
    <w:rsid w:val="002A0CD5"/>
    <w:rsid w:val="002A626B"/>
    <w:rsid w:val="002B2C06"/>
    <w:rsid w:val="002B72C9"/>
    <w:rsid w:val="002C3C7E"/>
    <w:rsid w:val="002D167E"/>
    <w:rsid w:val="002D18F2"/>
    <w:rsid w:val="002D2B11"/>
    <w:rsid w:val="002D612F"/>
    <w:rsid w:val="002E0B7D"/>
    <w:rsid w:val="002E3C0E"/>
    <w:rsid w:val="002E3E72"/>
    <w:rsid w:val="002E5C8C"/>
    <w:rsid w:val="002E785C"/>
    <w:rsid w:val="002E7D24"/>
    <w:rsid w:val="002F775E"/>
    <w:rsid w:val="00301C3A"/>
    <w:rsid w:val="00304E47"/>
    <w:rsid w:val="003062D3"/>
    <w:rsid w:val="0031103D"/>
    <w:rsid w:val="00311415"/>
    <w:rsid w:val="00312242"/>
    <w:rsid w:val="00320512"/>
    <w:rsid w:val="00333DF7"/>
    <w:rsid w:val="0033486D"/>
    <w:rsid w:val="00334F0C"/>
    <w:rsid w:val="00336342"/>
    <w:rsid w:val="00337FE6"/>
    <w:rsid w:val="00341474"/>
    <w:rsid w:val="0034231C"/>
    <w:rsid w:val="00342BAB"/>
    <w:rsid w:val="00343BA1"/>
    <w:rsid w:val="0034646E"/>
    <w:rsid w:val="00347742"/>
    <w:rsid w:val="00350CC9"/>
    <w:rsid w:val="00351094"/>
    <w:rsid w:val="00351D86"/>
    <w:rsid w:val="00352424"/>
    <w:rsid w:val="0035424B"/>
    <w:rsid w:val="00354D69"/>
    <w:rsid w:val="003576CC"/>
    <w:rsid w:val="0036104E"/>
    <w:rsid w:val="00364A4A"/>
    <w:rsid w:val="00387B9A"/>
    <w:rsid w:val="003A1580"/>
    <w:rsid w:val="003A1AA4"/>
    <w:rsid w:val="003A2160"/>
    <w:rsid w:val="003A2DCA"/>
    <w:rsid w:val="003A6C13"/>
    <w:rsid w:val="003A707C"/>
    <w:rsid w:val="003A73D7"/>
    <w:rsid w:val="003A795D"/>
    <w:rsid w:val="003A7E47"/>
    <w:rsid w:val="003B2892"/>
    <w:rsid w:val="003B48D1"/>
    <w:rsid w:val="003B5B3C"/>
    <w:rsid w:val="003C7424"/>
    <w:rsid w:val="003D0204"/>
    <w:rsid w:val="003D02D4"/>
    <w:rsid w:val="003D7815"/>
    <w:rsid w:val="003E3E75"/>
    <w:rsid w:val="003E690C"/>
    <w:rsid w:val="003F3DFD"/>
    <w:rsid w:val="003F6585"/>
    <w:rsid w:val="00400EBC"/>
    <w:rsid w:val="00400FE2"/>
    <w:rsid w:val="004030D4"/>
    <w:rsid w:val="0040315A"/>
    <w:rsid w:val="00424867"/>
    <w:rsid w:val="00430B37"/>
    <w:rsid w:val="004447A3"/>
    <w:rsid w:val="004516EF"/>
    <w:rsid w:val="004522C6"/>
    <w:rsid w:val="00452684"/>
    <w:rsid w:val="00464273"/>
    <w:rsid w:val="00466617"/>
    <w:rsid w:val="004667BC"/>
    <w:rsid w:val="00467008"/>
    <w:rsid w:val="004677B1"/>
    <w:rsid w:val="004715A4"/>
    <w:rsid w:val="0047373C"/>
    <w:rsid w:val="004755B9"/>
    <w:rsid w:val="004763D5"/>
    <w:rsid w:val="00477E06"/>
    <w:rsid w:val="00483F18"/>
    <w:rsid w:val="00484051"/>
    <w:rsid w:val="004860D8"/>
    <w:rsid w:val="0048662B"/>
    <w:rsid w:val="004929D7"/>
    <w:rsid w:val="004939C2"/>
    <w:rsid w:val="0049440B"/>
    <w:rsid w:val="004A0980"/>
    <w:rsid w:val="004A0EE9"/>
    <w:rsid w:val="004A42EB"/>
    <w:rsid w:val="004A6465"/>
    <w:rsid w:val="004B0D5E"/>
    <w:rsid w:val="004B2EBF"/>
    <w:rsid w:val="004B34DE"/>
    <w:rsid w:val="004B357D"/>
    <w:rsid w:val="004B40C0"/>
    <w:rsid w:val="004B42E3"/>
    <w:rsid w:val="004B58EF"/>
    <w:rsid w:val="004B7B9E"/>
    <w:rsid w:val="004C04A8"/>
    <w:rsid w:val="004C1067"/>
    <w:rsid w:val="004C1BA2"/>
    <w:rsid w:val="004C2301"/>
    <w:rsid w:val="004C4153"/>
    <w:rsid w:val="004C53DB"/>
    <w:rsid w:val="004C5C46"/>
    <w:rsid w:val="004C5F2B"/>
    <w:rsid w:val="004C5F5B"/>
    <w:rsid w:val="004C6D81"/>
    <w:rsid w:val="004C7B9C"/>
    <w:rsid w:val="004D6B96"/>
    <w:rsid w:val="004D7911"/>
    <w:rsid w:val="004E5B9F"/>
    <w:rsid w:val="004E624D"/>
    <w:rsid w:val="004E6473"/>
    <w:rsid w:val="004F1A00"/>
    <w:rsid w:val="0050502A"/>
    <w:rsid w:val="00507E32"/>
    <w:rsid w:val="00512410"/>
    <w:rsid w:val="00512D92"/>
    <w:rsid w:val="00513534"/>
    <w:rsid w:val="00516760"/>
    <w:rsid w:val="00520A1F"/>
    <w:rsid w:val="00521349"/>
    <w:rsid w:val="005215F1"/>
    <w:rsid w:val="0052492D"/>
    <w:rsid w:val="00525354"/>
    <w:rsid w:val="00527208"/>
    <w:rsid w:val="00531D76"/>
    <w:rsid w:val="00534215"/>
    <w:rsid w:val="005355E1"/>
    <w:rsid w:val="00537623"/>
    <w:rsid w:val="0054489E"/>
    <w:rsid w:val="00545164"/>
    <w:rsid w:val="005474EF"/>
    <w:rsid w:val="00550B92"/>
    <w:rsid w:val="00550D31"/>
    <w:rsid w:val="00556785"/>
    <w:rsid w:val="00560707"/>
    <w:rsid w:val="00562935"/>
    <w:rsid w:val="00563890"/>
    <w:rsid w:val="00567444"/>
    <w:rsid w:val="005700DD"/>
    <w:rsid w:val="00570903"/>
    <w:rsid w:val="00575FB2"/>
    <w:rsid w:val="005823C8"/>
    <w:rsid w:val="005828AF"/>
    <w:rsid w:val="00585222"/>
    <w:rsid w:val="00585C41"/>
    <w:rsid w:val="0058631D"/>
    <w:rsid w:val="0059287F"/>
    <w:rsid w:val="00592F37"/>
    <w:rsid w:val="0059526E"/>
    <w:rsid w:val="00596307"/>
    <w:rsid w:val="0059639D"/>
    <w:rsid w:val="00597297"/>
    <w:rsid w:val="005A0BF3"/>
    <w:rsid w:val="005A19B9"/>
    <w:rsid w:val="005A2F30"/>
    <w:rsid w:val="005A42ED"/>
    <w:rsid w:val="005A57E2"/>
    <w:rsid w:val="005A68AB"/>
    <w:rsid w:val="005B01FC"/>
    <w:rsid w:val="005B589A"/>
    <w:rsid w:val="005C24F5"/>
    <w:rsid w:val="005C2C05"/>
    <w:rsid w:val="005C2FCA"/>
    <w:rsid w:val="005C393A"/>
    <w:rsid w:val="005C52AA"/>
    <w:rsid w:val="005C67D3"/>
    <w:rsid w:val="005D1622"/>
    <w:rsid w:val="005D48C4"/>
    <w:rsid w:val="005D56E8"/>
    <w:rsid w:val="005D5781"/>
    <w:rsid w:val="005D693C"/>
    <w:rsid w:val="005E0CBC"/>
    <w:rsid w:val="005E4958"/>
    <w:rsid w:val="005E519A"/>
    <w:rsid w:val="005E75E6"/>
    <w:rsid w:val="005E7DC4"/>
    <w:rsid w:val="005F7092"/>
    <w:rsid w:val="00603DEA"/>
    <w:rsid w:val="00607989"/>
    <w:rsid w:val="0061119F"/>
    <w:rsid w:val="00611657"/>
    <w:rsid w:val="00614B52"/>
    <w:rsid w:val="00614E00"/>
    <w:rsid w:val="006165D0"/>
    <w:rsid w:val="006176A5"/>
    <w:rsid w:val="00622795"/>
    <w:rsid w:val="00622BFA"/>
    <w:rsid w:val="006247C9"/>
    <w:rsid w:val="00624A46"/>
    <w:rsid w:val="006252C8"/>
    <w:rsid w:val="006262B8"/>
    <w:rsid w:val="00627AC3"/>
    <w:rsid w:val="006304C6"/>
    <w:rsid w:val="006311A5"/>
    <w:rsid w:val="00634FA6"/>
    <w:rsid w:val="00635884"/>
    <w:rsid w:val="0064117B"/>
    <w:rsid w:val="00647D6B"/>
    <w:rsid w:val="00647FB5"/>
    <w:rsid w:val="00650831"/>
    <w:rsid w:val="006565CA"/>
    <w:rsid w:val="0065798C"/>
    <w:rsid w:val="00660566"/>
    <w:rsid w:val="00660A24"/>
    <w:rsid w:val="00666A77"/>
    <w:rsid w:val="00671B19"/>
    <w:rsid w:val="006723FB"/>
    <w:rsid w:val="00674007"/>
    <w:rsid w:val="006754DD"/>
    <w:rsid w:val="006759CD"/>
    <w:rsid w:val="00675D0F"/>
    <w:rsid w:val="0068072C"/>
    <w:rsid w:val="006817C3"/>
    <w:rsid w:val="00684F86"/>
    <w:rsid w:val="00685537"/>
    <w:rsid w:val="006900AD"/>
    <w:rsid w:val="00690708"/>
    <w:rsid w:val="0069519A"/>
    <w:rsid w:val="006A021D"/>
    <w:rsid w:val="006A0290"/>
    <w:rsid w:val="006A3081"/>
    <w:rsid w:val="006B00E0"/>
    <w:rsid w:val="006B2065"/>
    <w:rsid w:val="006B42F6"/>
    <w:rsid w:val="006B52E0"/>
    <w:rsid w:val="006C0030"/>
    <w:rsid w:val="006C2BD6"/>
    <w:rsid w:val="006C2DF8"/>
    <w:rsid w:val="006C458F"/>
    <w:rsid w:val="006C7D0D"/>
    <w:rsid w:val="006D095B"/>
    <w:rsid w:val="006D1B24"/>
    <w:rsid w:val="006D6DFE"/>
    <w:rsid w:val="006D7239"/>
    <w:rsid w:val="006E3F86"/>
    <w:rsid w:val="006E47EA"/>
    <w:rsid w:val="006E6C3C"/>
    <w:rsid w:val="006F159A"/>
    <w:rsid w:val="006F2261"/>
    <w:rsid w:val="006F2762"/>
    <w:rsid w:val="006F3137"/>
    <w:rsid w:val="0070181F"/>
    <w:rsid w:val="007041AD"/>
    <w:rsid w:val="007068C2"/>
    <w:rsid w:val="00712AC1"/>
    <w:rsid w:val="007204F2"/>
    <w:rsid w:val="007209C1"/>
    <w:rsid w:val="00721677"/>
    <w:rsid w:val="007266BF"/>
    <w:rsid w:val="00731E5E"/>
    <w:rsid w:val="00733530"/>
    <w:rsid w:val="00747017"/>
    <w:rsid w:val="0075321C"/>
    <w:rsid w:val="00753366"/>
    <w:rsid w:val="00755322"/>
    <w:rsid w:val="007557AF"/>
    <w:rsid w:val="00755B77"/>
    <w:rsid w:val="00755C57"/>
    <w:rsid w:val="007575DC"/>
    <w:rsid w:val="0076041F"/>
    <w:rsid w:val="007650C8"/>
    <w:rsid w:val="0076574A"/>
    <w:rsid w:val="00770229"/>
    <w:rsid w:val="00775971"/>
    <w:rsid w:val="007776B9"/>
    <w:rsid w:val="00782039"/>
    <w:rsid w:val="00782FB5"/>
    <w:rsid w:val="00783583"/>
    <w:rsid w:val="00784DA8"/>
    <w:rsid w:val="00787163"/>
    <w:rsid w:val="00787B98"/>
    <w:rsid w:val="00790BCF"/>
    <w:rsid w:val="007929F4"/>
    <w:rsid w:val="007A2153"/>
    <w:rsid w:val="007A3D38"/>
    <w:rsid w:val="007A7219"/>
    <w:rsid w:val="007B55D4"/>
    <w:rsid w:val="007B6805"/>
    <w:rsid w:val="007C1F34"/>
    <w:rsid w:val="007C3D1C"/>
    <w:rsid w:val="007C4488"/>
    <w:rsid w:val="007C4CF5"/>
    <w:rsid w:val="007C5F5B"/>
    <w:rsid w:val="007D02E0"/>
    <w:rsid w:val="007D736E"/>
    <w:rsid w:val="007D740F"/>
    <w:rsid w:val="007D7A9E"/>
    <w:rsid w:val="007E0E47"/>
    <w:rsid w:val="007E142E"/>
    <w:rsid w:val="007E2828"/>
    <w:rsid w:val="007E56AC"/>
    <w:rsid w:val="007E5E6C"/>
    <w:rsid w:val="007F5DE9"/>
    <w:rsid w:val="007F74E5"/>
    <w:rsid w:val="00801CA3"/>
    <w:rsid w:val="00805A7C"/>
    <w:rsid w:val="008105E5"/>
    <w:rsid w:val="00811CFE"/>
    <w:rsid w:val="00812FCE"/>
    <w:rsid w:val="0081484D"/>
    <w:rsid w:val="0082189E"/>
    <w:rsid w:val="00822141"/>
    <w:rsid w:val="00822E44"/>
    <w:rsid w:val="00830170"/>
    <w:rsid w:val="00832280"/>
    <w:rsid w:val="00832295"/>
    <w:rsid w:val="0084156E"/>
    <w:rsid w:val="00843906"/>
    <w:rsid w:val="008445AE"/>
    <w:rsid w:val="0084583F"/>
    <w:rsid w:val="0085122A"/>
    <w:rsid w:val="00851758"/>
    <w:rsid w:val="00852F7A"/>
    <w:rsid w:val="00853B1A"/>
    <w:rsid w:val="00853E58"/>
    <w:rsid w:val="00856C0B"/>
    <w:rsid w:val="00863D36"/>
    <w:rsid w:val="0087157F"/>
    <w:rsid w:val="008758A6"/>
    <w:rsid w:val="00877168"/>
    <w:rsid w:val="008815FE"/>
    <w:rsid w:val="00881AC9"/>
    <w:rsid w:val="00882F64"/>
    <w:rsid w:val="008852AA"/>
    <w:rsid w:val="00887F6E"/>
    <w:rsid w:val="00887FF4"/>
    <w:rsid w:val="0089412B"/>
    <w:rsid w:val="00894D40"/>
    <w:rsid w:val="00895119"/>
    <w:rsid w:val="00895DD2"/>
    <w:rsid w:val="0089706D"/>
    <w:rsid w:val="008A0424"/>
    <w:rsid w:val="008A2B3B"/>
    <w:rsid w:val="008A7352"/>
    <w:rsid w:val="008B1BDD"/>
    <w:rsid w:val="008B2719"/>
    <w:rsid w:val="008B4258"/>
    <w:rsid w:val="008C1164"/>
    <w:rsid w:val="008C2F8B"/>
    <w:rsid w:val="008C43C4"/>
    <w:rsid w:val="008D66AC"/>
    <w:rsid w:val="008D79E7"/>
    <w:rsid w:val="008E2730"/>
    <w:rsid w:val="008E588B"/>
    <w:rsid w:val="008E64EB"/>
    <w:rsid w:val="008F0946"/>
    <w:rsid w:val="008F245A"/>
    <w:rsid w:val="008F3774"/>
    <w:rsid w:val="008F44C4"/>
    <w:rsid w:val="008F44F7"/>
    <w:rsid w:val="0090658D"/>
    <w:rsid w:val="00907DE3"/>
    <w:rsid w:val="00910028"/>
    <w:rsid w:val="009115B1"/>
    <w:rsid w:val="009116AF"/>
    <w:rsid w:val="00911F56"/>
    <w:rsid w:val="0091348B"/>
    <w:rsid w:val="00915956"/>
    <w:rsid w:val="00917B97"/>
    <w:rsid w:val="00917CC1"/>
    <w:rsid w:val="00921D95"/>
    <w:rsid w:val="0092241B"/>
    <w:rsid w:val="00926199"/>
    <w:rsid w:val="00926A71"/>
    <w:rsid w:val="0093094B"/>
    <w:rsid w:val="00932F19"/>
    <w:rsid w:val="00933AA7"/>
    <w:rsid w:val="00933CD1"/>
    <w:rsid w:val="00942546"/>
    <w:rsid w:val="00943DF3"/>
    <w:rsid w:val="009459EB"/>
    <w:rsid w:val="00945B83"/>
    <w:rsid w:val="00947344"/>
    <w:rsid w:val="0095474B"/>
    <w:rsid w:val="009639A1"/>
    <w:rsid w:val="00963FBA"/>
    <w:rsid w:val="0096460D"/>
    <w:rsid w:val="0097314A"/>
    <w:rsid w:val="00973B66"/>
    <w:rsid w:val="009742C8"/>
    <w:rsid w:val="00977B94"/>
    <w:rsid w:val="00980881"/>
    <w:rsid w:val="009808B2"/>
    <w:rsid w:val="00984D4F"/>
    <w:rsid w:val="00984FFC"/>
    <w:rsid w:val="0099225A"/>
    <w:rsid w:val="00993796"/>
    <w:rsid w:val="00994610"/>
    <w:rsid w:val="00996963"/>
    <w:rsid w:val="00996C40"/>
    <w:rsid w:val="00997F1A"/>
    <w:rsid w:val="00997F52"/>
    <w:rsid w:val="009A1FE4"/>
    <w:rsid w:val="009A2A3B"/>
    <w:rsid w:val="009A2CFB"/>
    <w:rsid w:val="009A34AA"/>
    <w:rsid w:val="009A39C9"/>
    <w:rsid w:val="009A5C65"/>
    <w:rsid w:val="009B019E"/>
    <w:rsid w:val="009B0204"/>
    <w:rsid w:val="009C0849"/>
    <w:rsid w:val="009C26A6"/>
    <w:rsid w:val="009C27F3"/>
    <w:rsid w:val="009C4E9B"/>
    <w:rsid w:val="009D2D1B"/>
    <w:rsid w:val="009D416B"/>
    <w:rsid w:val="009D4833"/>
    <w:rsid w:val="009D7DF4"/>
    <w:rsid w:val="009F07E5"/>
    <w:rsid w:val="009F2979"/>
    <w:rsid w:val="009F30EB"/>
    <w:rsid w:val="009F43D0"/>
    <w:rsid w:val="009F58F7"/>
    <w:rsid w:val="00A04AC1"/>
    <w:rsid w:val="00A05174"/>
    <w:rsid w:val="00A10D86"/>
    <w:rsid w:val="00A12E55"/>
    <w:rsid w:val="00A14427"/>
    <w:rsid w:val="00A16471"/>
    <w:rsid w:val="00A16502"/>
    <w:rsid w:val="00A20345"/>
    <w:rsid w:val="00A24A39"/>
    <w:rsid w:val="00A24B0A"/>
    <w:rsid w:val="00A27D0F"/>
    <w:rsid w:val="00A27E85"/>
    <w:rsid w:val="00A31962"/>
    <w:rsid w:val="00A33081"/>
    <w:rsid w:val="00A33C28"/>
    <w:rsid w:val="00A3634E"/>
    <w:rsid w:val="00A5156C"/>
    <w:rsid w:val="00A52388"/>
    <w:rsid w:val="00A547AD"/>
    <w:rsid w:val="00A54C80"/>
    <w:rsid w:val="00A647DE"/>
    <w:rsid w:val="00A656C0"/>
    <w:rsid w:val="00A71383"/>
    <w:rsid w:val="00A77B0B"/>
    <w:rsid w:val="00A84866"/>
    <w:rsid w:val="00A859AD"/>
    <w:rsid w:val="00A862D6"/>
    <w:rsid w:val="00A87244"/>
    <w:rsid w:val="00A87877"/>
    <w:rsid w:val="00A920EA"/>
    <w:rsid w:val="00A93D8E"/>
    <w:rsid w:val="00A968B8"/>
    <w:rsid w:val="00AA0FCA"/>
    <w:rsid w:val="00AA1EBD"/>
    <w:rsid w:val="00AA7685"/>
    <w:rsid w:val="00AB1603"/>
    <w:rsid w:val="00AB20AF"/>
    <w:rsid w:val="00AB20B4"/>
    <w:rsid w:val="00AB2C96"/>
    <w:rsid w:val="00AB7C49"/>
    <w:rsid w:val="00AC0ECA"/>
    <w:rsid w:val="00AC4CDD"/>
    <w:rsid w:val="00AC51B2"/>
    <w:rsid w:val="00AC6890"/>
    <w:rsid w:val="00AD1F6D"/>
    <w:rsid w:val="00AE1320"/>
    <w:rsid w:val="00AF17F3"/>
    <w:rsid w:val="00AF28A7"/>
    <w:rsid w:val="00AF3DCA"/>
    <w:rsid w:val="00AF568F"/>
    <w:rsid w:val="00AF7286"/>
    <w:rsid w:val="00B00B67"/>
    <w:rsid w:val="00B02A55"/>
    <w:rsid w:val="00B05EB9"/>
    <w:rsid w:val="00B07E71"/>
    <w:rsid w:val="00B1480F"/>
    <w:rsid w:val="00B14F99"/>
    <w:rsid w:val="00B260C4"/>
    <w:rsid w:val="00B3131B"/>
    <w:rsid w:val="00B31A4F"/>
    <w:rsid w:val="00B33783"/>
    <w:rsid w:val="00B37145"/>
    <w:rsid w:val="00B40E8D"/>
    <w:rsid w:val="00B42DB0"/>
    <w:rsid w:val="00B4401A"/>
    <w:rsid w:val="00B45F07"/>
    <w:rsid w:val="00B45FDB"/>
    <w:rsid w:val="00B52203"/>
    <w:rsid w:val="00B549EC"/>
    <w:rsid w:val="00B5703B"/>
    <w:rsid w:val="00B570B6"/>
    <w:rsid w:val="00B60E75"/>
    <w:rsid w:val="00B66980"/>
    <w:rsid w:val="00B67CC5"/>
    <w:rsid w:val="00B734E9"/>
    <w:rsid w:val="00B7647A"/>
    <w:rsid w:val="00B81BBE"/>
    <w:rsid w:val="00B83765"/>
    <w:rsid w:val="00B84602"/>
    <w:rsid w:val="00B872A5"/>
    <w:rsid w:val="00B914E7"/>
    <w:rsid w:val="00B930F7"/>
    <w:rsid w:val="00B94EE6"/>
    <w:rsid w:val="00B96266"/>
    <w:rsid w:val="00BA1F7E"/>
    <w:rsid w:val="00BA2033"/>
    <w:rsid w:val="00BA5BFE"/>
    <w:rsid w:val="00BA7A3A"/>
    <w:rsid w:val="00BC21A6"/>
    <w:rsid w:val="00BC764E"/>
    <w:rsid w:val="00BC7A6D"/>
    <w:rsid w:val="00BD4007"/>
    <w:rsid w:val="00BD57BC"/>
    <w:rsid w:val="00BD6C30"/>
    <w:rsid w:val="00BE0027"/>
    <w:rsid w:val="00BE1076"/>
    <w:rsid w:val="00BE19A2"/>
    <w:rsid w:val="00BE4839"/>
    <w:rsid w:val="00BE7C67"/>
    <w:rsid w:val="00BE7FEE"/>
    <w:rsid w:val="00BF2759"/>
    <w:rsid w:val="00BF76EE"/>
    <w:rsid w:val="00C05075"/>
    <w:rsid w:val="00C06C2C"/>
    <w:rsid w:val="00C11E70"/>
    <w:rsid w:val="00C132FC"/>
    <w:rsid w:val="00C14DA6"/>
    <w:rsid w:val="00C151A7"/>
    <w:rsid w:val="00C16EEA"/>
    <w:rsid w:val="00C21C0A"/>
    <w:rsid w:val="00C22747"/>
    <w:rsid w:val="00C23A2E"/>
    <w:rsid w:val="00C247EB"/>
    <w:rsid w:val="00C24951"/>
    <w:rsid w:val="00C274A0"/>
    <w:rsid w:val="00C30169"/>
    <w:rsid w:val="00C315B6"/>
    <w:rsid w:val="00C341C8"/>
    <w:rsid w:val="00C36320"/>
    <w:rsid w:val="00C375CC"/>
    <w:rsid w:val="00C40CBC"/>
    <w:rsid w:val="00C4410D"/>
    <w:rsid w:val="00C530F4"/>
    <w:rsid w:val="00C56773"/>
    <w:rsid w:val="00C60E39"/>
    <w:rsid w:val="00C621B7"/>
    <w:rsid w:val="00C62787"/>
    <w:rsid w:val="00C673F0"/>
    <w:rsid w:val="00C746BD"/>
    <w:rsid w:val="00C74A65"/>
    <w:rsid w:val="00C74C78"/>
    <w:rsid w:val="00C74DC0"/>
    <w:rsid w:val="00C755C5"/>
    <w:rsid w:val="00C775CF"/>
    <w:rsid w:val="00C81499"/>
    <w:rsid w:val="00C82415"/>
    <w:rsid w:val="00C90634"/>
    <w:rsid w:val="00C932A7"/>
    <w:rsid w:val="00C938BC"/>
    <w:rsid w:val="00C948DE"/>
    <w:rsid w:val="00C96567"/>
    <w:rsid w:val="00C96B37"/>
    <w:rsid w:val="00CA4075"/>
    <w:rsid w:val="00CA58D3"/>
    <w:rsid w:val="00CA721B"/>
    <w:rsid w:val="00CB52E8"/>
    <w:rsid w:val="00CB6BD9"/>
    <w:rsid w:val="00CB6E6D"/>
    <w:rsid w:val="00CB7780"/>
    <w:rsid w:val="00CC09A8"/>
    <w:rsid w:val="00CC2483"/>
    <w:rsid w:val="00CC3D73"/>
    <w:rsid w:val="00CC44C5"/>
    <w:rsid w:val="00CC4F6A"/>
    <w:rsid w:val="00CC5091"/>
    <w:rsid w:val="00CC54A4"/>
    <w:rsid w:val="00CC6A5C"/>
    <w:rsid w:val="00CD6BC4"/>
    <w:rsid w:val="00CE0098"/>
    <w:rsid w:val="00CE181B"/>
    <w:rsid w:val="00CE274D"/>
    <w:rsid w:val="00CE4DBA"/>
    <w:rsid w:val="00CE7194"/>
    <w:rsid w:val="00CF41A2"/>
    <w:rsid w:val="00CF4779"/>
    <w:rsid w:val="00CF51F5"/>
    <w:rsid w:val="00CF6505"/>
    <w:rsid w:val="00D04657"/>
    <w:rsid w:val="00D04EDF"/>
    <w:rsid w:val="00D11700"/>
    <w:rsid w:val="00D143FF"/>
    <w:rsid w:val="00D21BCE"/>
    <w:rsid w:val="00D23C20"/>
    <w:rsid w:val="00D2686F"/>
    <w:rsid w:val="00D30DF5"/>
    <w:rsid w:val="00D35748"/>
    <w:rsid w:val="00D360C5"/>
    <w:rsid w:val="00D41B1A"/>
    <w:rsid w:val="00D43744"/>
    <w:rsid w:val="00D44F30"/>
    <w:rsid w:val="00D4610D"/>
    <w:rsid w:val="00D5127A"/>
    <w:rsid w:val="00D5319C"/>
    <w:rsid w:val="00D53288"/>
    <w:rsid w:val="00D545C8"/>
    <w:rsid w:val="00D56329"/>
    <w:rsid w:val="00D649DC"/>
    <w:rsid w:val="00D735C2"/>
    <w:rsid w:val="00D75324"/>
    <w:rsid w:val="00D83DF6"/>
    <w:rsid w:val="00D8452C"/>
    <w:rsid w:val="00D907F8"/>
    <w:rsid w:val="00D914E1"/>
    <w:rsid w:val="00D91AE8"/>
    <w:rsid w:val="00D91D6E"/>
    <w:rsid w:val="00D96BC9"/>
    <w:rsid w:val="00D96BD0"/>
    <w:rsid w:val="00DA15CF"/>
    <w:rsid w:val="00DA31ED"/>
    <w:rsid w:val="00DA4209"/>
    <w:rsid w:val="00DA4784"/>
    <w:rsid w:val="00DA57EB"/>
    <w:rsid w:val="00DA5DD8"/>
    <w:rsid w:val="00DB235B"/>
    <w:rsid w:val="00DB7A88"/>
    <w:rsid w:val="00DC39E4"/>
    <w:rsid w:val="00DD20A3"/>
    <w:rsid w:val="00DD353A"/>
    <w:rsid w:val="00DD68BC"/>
    <w:rsid w:val="00DD6E37"/>
    <w:rsid w:val="00DE6167"/>
    <w:rsid w:val="00DF0416"/>
    <w:rsid w:val="00DF1DC5"/>
    <w:rsid w:val="00DF20F6"/>
    <w:rsid w:val="00DF22A4"/>
    <w:rsid w:val="00DF45A5"/>
    <w:rsid w:val="00DF5E6A"/>
    <w:rsid w:val="00E015B3"/>
    <w:rsid w:val="00E02C5E"/>
    <w:rsid w:val="00E05366"/>
    <w:rsid w:val="00E0731F"/>
    <w:rsid w:val="00E1099C"/>
    <w:rsid w:val="00E12CE0"/>
    <w:rsid w:val="00E16873"/>
    <w:rsid w:val="00E2395C"/>
    <w:rsid w:val="00E24683"/>
    <w:rsid w:val="00E248AD"/>
    <w:rsid w:val="00E2676E"/>
    <w:rsid w:val="00E3096E"/>
    <w:rsid w:val="00E319ED"/>
    <w:rsid w:val="00E3380B"/>
    <w:rsid w:val="00E347F4"/>
    <w:rsid w:val="00E46F42"/>
    <w:rsid w:val="00E50CD0"/>
    <w:rsid w:val="00E53D35"/>
    <w:rsid w:val="00E632D3"/>
    <w:rsid w:val="00E66F62"/>
    <w:rsid w:val="00E72639"/>
    <w:rsid w:val="00E779F4"/>
    <w:rsid w:val="00E8331A"/>
    <w:rsid w:val="00E87D80"/>
    <w:rsid w:val="00E91B02"/>
    <w:rsid w:val="00E92B35"/>
    <w:rsid w:val="00E9496D"/>
    <w:rsid w:val="00EA244A"/>
    <w:rsid w:val="00EA6344"/>
    <w:rsid w:val="00EB50D9"/>
    <w:rsid w:val="00EB5D3B"/>
    <w:rsid w:val="00ED005C"/>
    <w:rsid w:val="00ED1C77"/>
    <w:rsid w:val="00ED254D"/>
    <w:rsid w:val="00ED26A6"/>
    <w:rsid w:val="00ED43DD"/>
    <w:rsid w:val="00EE12E8"/>
    <w:rsid w:val="00EE4FD8"/>
    <w:rsid w:val="00EE5FD7"/>
    <w:rsid w:val="00EF012B"/>
    <w:rsid w:val="00EF012E"/>
    <w:rsid w:val="00EF0D6B"/>
    <w:rsid w:val="00EF41C8"/>
    <w:rsid w:val="00EF71C9"/>
    <w:rsid w:val="00F017CF"/>
    <w:rsid w:val="00F027F2"/>
    <w:rsid w:val="00F04B3D"/>
    <w:rsid w:val="00F06B93"/>
    <w:rsid w:val="00F15496"/>
    <w:rsid w:val="00F1627D"/>
    <w:rsid w:val="00F17AAB"/>
    <w:rsid w:val="00F2418C"/>
    <w:rsid w:val="00F316E8"/>
    <w:rsid w:val="00F366EE"/>
    <w:rsid w:val="00F379B1"/>
    <w:rsid w:val="00F4331E"/>
    <w:rsid w:val="00F44B50"/>
    <w:rsid w:val="00F51760"/>
    <w:rsid w:val="00F554F1"/>
    <w:rsid w:val="00F61C2B"/>
    <w:rsid w:val="00F62603"/>
    <w:rsid w:val="00F62A15"/>
    <w:rsid w:val="00F63279"/>
    <w:rsid w:val="00F66A73"/>
    <w:rsid w:val="00F66D4A"/>
    <w:rsid w:val="00F67CC1"/>
    <w:rsid w:val="00F72C61"/>
    <w:rsid w:val="00F73856"/>
    <w:rsid w:val="00F75F2A"/>
    <w:rsid w:val="00F81383"/>
    <w:rsid w:val="00F81F75"/>
    <w:rsid w:val="00F864F3"/>
    <w:rsid w:val="00F87074"/>
    <w:rsid w:val="00F91886"/>
    <w:rsid w:val="00FA1D37"/>
    <w:rsid w:val="00FA2FA1"/>
    <w:rsid w:val="00FA4ACB"/>
    <w:rsid w:val="00FA6396"/>
    <w:rsid w:val="00FC219D"/>
    <w:rsid w:val="00FC5E21"/>
    <w:rsid w:val="00FC624A"/>
    <w:rsid w:val="00FC7075"/>
    <w:rsid w:val="00FC708D"/>
    <w:rsid w:val="00FD304C"/>
    <w:rsid w:val="00FD42E6"/>
    <w:rsid w:val="00FD4604"/>
    <w:rsid w:val="00FD4D03"/>
    <w:rsid w:val="00FD5C1E"/>
    <w:rsid w:val="00FD6A44"/>
    <w:rsid w:val="00FD76A3"/>
    <w:rsid w:val="00FE1C98"/>
    <w:rsid w:val="00FE293A"/>
    <w:rsid w:val="00FF1DA4"/>
    <w:rsid w:val="00FF4EE1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1DC5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1D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DC5"/>
    <w:rPr>
      <w:rFonts w:ascii="Tahoma" w:eastAsia="Times New Roman" w:hAnsi="Tahoma" w:cs="Tahoma"/>
      <w:sz w:val="16"/>
      <w:szCs w:val="16"/>
      <w:lang w:val="en-US"/>
    </w:rPr>
  </w:style>
  <w:style w:type="paragraph" w:styleId="Odstavecseseznamem">
    <w:name w:val="List Paragraph"/>
    <w:basedOn w:val="Normln"/>
    <w:uiPriority w:val="34"/>
    <w:qFormat/>
    <w:rsid w:val="0073353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2513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25138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225138"/>
    <w:rPr>
      <w:vertAlign w:val="superscript"/>
    </w:rPr>
  </w:style>
  <w:style w:type="paragraph" w:styleId="Revize">
    <w:name w:val="Revision"/>
    <w:hidden/>
    <w:uiPriority w:val="99"/>
    <w:semiHidden/>
    <w:rsid w:val="00A20345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table" w:styleId="Mkatabulky">
    <w:name w:val="Table Grid"/>
    <w:basedOn w:val="Normlntabulka"/>
    <w:uiPriority w:val="59"/>
    <w:rsid w:val="00B67C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5">
    <w:name w:val="Mřížka tabulky5"/>
    <w:basedOn w:val="Normlntabulka"/>
    <w:next w:val="Mkatabulky"/>
    <w:uiPriority w:val="59"/>
    <w:rsid w:val="00B67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871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7163"/>
    <w:rPr>
      <w:rFonts w:ascii="Arial" w:eastAsia="Times New Roman" w:hAnsi="Arial" w:cs="Times New Roman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7871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7163"/>
    <w:rPr>
      <w:rFonts w:ascii="Arial" w:eastAsia="Times New Roman" w:hAnsi="Arial" w:cs="Times New Roman"/>
      <w:szCs w:val="24"/>
      <w:lang w:val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1C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1C3A"/>
    <w:rPr>
      <w:rFonts w:ascii="Arial" w:eastAsia="Times New Roman" w:hAnsi="Arial" w:cs="Times New Roman"/>
      <w:sz w:val="20"/>
      <w:szCs w:val="20"/>
      <w:lang w:val="en-US"/>
    </w:rPr>
  </w:style>
  <w:style w:type="table" w:customStyle="1" w:styleId="Mkatabulky51">
    <w:name w:val="Mřížka tabulky51"/>
    <w:basedOn w:val="Normlntabulka"/>
    <w:uiPriority w:val="59"/>
    <w:rsid w:val="000377F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5A2F3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B05EB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E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EB9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1DC5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1D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DC5"/>
    <w:rPr>
      <w:rFonts w:ascii="Tahoma" w:eastAsia="Times New Roman" w:hAnsi="Tahoma" w:cs="Tahoma"/>
      <w:sz w:val="16"/>
      <w:szCs w:val="16"/>
      <w:lang w:val="en-US"/>
    </w:rPr>
  </w:style>
  <w:style w:type="paragraph" w:styleId="Odstavecseseznamem">
    <w:name w:val="List Paragraph"/>
    <w:basedOn w:val="Normln"/>
    <w:uiPriority w:val="34"/>
    <w:qFormat/>
    <w:rsid w:val="0073353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2513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25138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225138"/>
    <w:rPr>
      <w:vertAlign w:val="superscript"/>
    </w:rPr>
  </w:style>
  <w:style w:type="paragraph" w:styleId="Revize">
    <w:name w:val="Revision"/>
    <w:hidden/>
    <w:uiPriority w:val="99"/>
    <w:semiHidden/>
    <w:rsid w:val="00A20345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table" w:styleId="Mkatabulky">
    <w:name w:val="Table Grid"/>
    <w:basedOn w:val="Normlntabulka"/>
    <w:uiPriority w:val="59"/>
    <w:rsid w:val="00B67C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5">
    <w:name w:val="Mřížka tabulky5"/>
    <w:basedOn w:val="Normlntabulka"/>
    <w:next w:val="Mkatabulky"/>
    <w:uiPriority w:val="59"/>
    <w:rsid w:val="00B67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871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7163"/>
    <w:rPr>
      <w:rFonts w:ascii="Arial" w:eastAsia="Times New Roman" w:hAnsi="Arial" w:cs="Times New Roman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7871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7163"/>
    <w:rPr>
      <w:rFonts w:ascii="Arial" w:eastAsia="Times New Roman" w:hAnsi="Arial" w:cs="Times New Roman"/>
      <w:szCs w:val="24"/>
      <w:lang w:val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1C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1C3A"/>
    <w:rPr>
      <w:rFonts w:ascii="Arial" w:eastAsia="Times New Roman" w:hAnsi="Arial" w:cs="Times New Roman"/>
      <w:sz w:val="20"/>
      <w:szCs w:val="20"/>
      <w:lang w:val="en-US"/>
    </w:rPr>
  </w:style>
  <w:style w:type="table" w:customStyle="1" w:styleId="Mkatabulky51">
    <w:name w:val="Mřížka tabulky51"/>
    <w:basedOn w:val="Normlntabulka"/>
    <w:uiPriority w:val="59"/>
    <w:rsid w:val="000377F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5A2F3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B05EB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E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EB9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customXml" Target="../customXml/item3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D672CB-BEE4-4BA5-B51C-E48F82561F85}"/>
</file>

<file path=customXml/itemProps2.xml><?xml version="1.0" encoding="utf-8"?>
<ds:datastoreItem xmlns:ds="http://schemas.openxmlformats.org/officeDocument/2006/customXml" ds:itemID="{73B38B38-9F51-4AC3-B567-CEFBD2BD1475}"/>
</file>

<file path=customXml/itemProps3.xml><?xml version="1.0" encoding="utf-8"?>
<ds:datastoreItem xmlns:ds="http://schemas.openxmlformats.org/officeDocument/2006/customXml" ds:itemID="{F525AC7C-8FF2-48FD-A506-8D12E3824278}"/>
</file>

<file path=customXml/itemProps4.xml><?xml version="1.0" encoding="utf-8"?>
<ds:datastoreItem xmlns:ds="http://schemas.openxmlformats.org/officeDocument/2006/customXml" ds:itemID="{3B8FF181-DFED-49F1-A62A-DFE53369F613}"/>
</file>

<file path=customXml/itemProps5.xml><?xml version="1.0" encoding="utf-8"?>
<ds:datastoreItem xmlns:ds="http://schemas.openxmlformats.org/officeDocument/2006/customXml" ds:itemID="{8BC51979-4B8D-486B-865F-A9CF5643DD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7716</Words>
  <Characters>45529</Characters>
  <Application>Microsoft Office Word</Application>
  <DocSecurity>0</DocSecurity>
  <Lines>379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53139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13/22</dc:title>
  <dc:creator>SOBOTOVÁ Kateřina</dc:creator>
  <cp:lastModifiedBy>POKORNÁ Jana</cp:lastModifiedBy>
  <cp:revision>4</cp:revision>
  <cp:lastPrinted>2014-05-27T10:30:00Z</cp:lastPrinted>
  <dcterms:created xsi:type="dcterms:W3CDTF">2014-06-09T14:12:00Z</dcterms:created>
  <dcterms:modified xsi:type="dcterms:W3CDTF">2014-06-10T07:53:00Z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160/14-NKU200/261/14</vt:lpwstr>
  </property>
  <property fmtid="{D5CDD505-2E9C-101B-9397-08002B2CF9AE}" pid="3" name="Contact_PostaOdes_All">
    <vt:lpwstr>ROZDĚLOVNÍK...</vt:lpwstr>
  </property>
  <property fmtid="{D5CDD505-2E9C-101B-9397-08002B2CF9AE}" pid="4" name="SZ_Spis_Pisemnost">
    <vt:lpwstr>160/14</vt:lpwstr>
  </property>
  <property fmtid="{D5CDD505-2E9C-101B-9397-08002B2CF9AE}" pid="5" name="DisplayName_SpisovyUzel_PoziceZodpo_Pisemnost">
    <vt:lpwstr>200</vt:lpwstr>
  </property>
  <property fmtid="{D5CDD505-2E9C-101B-9397-08002B2CF9AE}" pid="6" name="Zkratka_SpisovyUzel_PoziceZodpo_Pisemnost">
    <vt:lpwstr>200</vt:lpwstr>
  </property>
  <property fmtid="{D5CDD505-2E9C-101B-9397-08002B2CF9AE}" pid="7" name="Key_BarCode_Pisemnost">
    <vt:lpwstr>*B000206164*</vt:lpwstr>
  </property>
  <property fmtid="{D5CDD505-2E9C-101B-9397-08002B2CF9AE}" pid="8" name="EC_Pisemnost">
    <vt:lpwstr>14-6451</vt:lpwstr>
  </property>
  <property fmtid="{D5CDD505-2E9C-101B-9397-08002B2CF9AE}" pid="9" name="Odkaz">
    <vt:lpwstr>ODKAZ</vt:lpwstr>
  </property>
  <property fmtid="{D5CDD505-2E9C-101B-9397-08002B2CF9AE}" pid="10" name="SkartacniZnakLhuta_PisemnostZnak">
    <vt:lpwstr>?/?</vt:lpwstr>
  </property>
  <property fmtid="{D5CDD505-2E9C-101B-9397-08002B2CF9AE}" pid="11" name="CJ_Spis_Pisemnost">
    <vt:lpwstr>CJ/SPIS/ROK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TEST">
    <vt:lpwstr>testovací pole</vt:lpwstr>
  </property>
  <property fmtid="{D5CDD505-2E9C-101B-9397-08002B2CF9AE}" pid="16" name="PocetListu_Pisemnost">
    <vt:lpwstr>10/1</vt:lpwstr>
  </property>
  <property fmtid="{D5CDD505-2E9C-101B-9397-08002B2CF9AE}" pid="17" name="Vec_Pisemnost">
    <vt:lpwstr>KZ 13/22 - připomínkové řízení</vt:lpwstr>
  </property>
  <property fmtid="{D5CDD505-2E9C-101B-9397-08002B2CF9AE}" pid="18" name="DatumPoriz_Pisemnost">
    <vt:lpwstr>7.5.2014</vt:lpwstr>
  </property>
  <property fmtid="{D5CDD505-2E9C-101B-9397-08002B2CF9AE}" pid="19" name="KRukam">
    <vt:lpwstr>{KRukam}</vt:lpwstr>
  </property>
  <property fmtid="{D5CDD505-2E9C-101B-9397-08002B2CF9AE}" pid="20" name="PocetListuDokumentu_Pisemnost">
    <vt:lpwstr>10</vt:lpwstr>
  </property>
  <property fmtid="{D5CDD505-2E9C-101B-9397-08002B2CF9AE}" pid="21" name="PocetPriloh_Pisemnost">
    <vt:lpwstr>1</vt:lpwstr>
  </property>
  <property fmtid="{D5CDD505-2E9C-101B-9397-08002B2CF9AE}" pid="22" name="TypPrilohy_Pisemnost">
    <vt:lpwstr>dokument ve Wordu</vt:lpwstr>
  </property>
  <property fmtid="{D5CDD505-2E9C-101B-9397-08002B2CF9AE}" pid="23" name="DisplayName_UserPoriz_Pisemnost">
    <vt:lpwstr>Ivana Růžičková</vt:lpwstr>
  </property>
  <property fmtid="{D5CDD505-2E9C-101B-9397-08002B2CF9AE}" pid="24" name="Podpis">
    <vt:lpwstr/>
  </property>
  <property fmtid="{D5CDD505-2E9C-101B-9397-08002B2CF9AE}" pid="25" name="SmlouvaCislo">
    <vt:lpwstr>ČÍSLO SMLOUVY</vt:lpwstr>
  </property>
  <property fmtid="{D5CDD505-2E9C-101B-9397-08002B2CF9AE}" pid="26" name="ContentTypeId">
    <vt:lpwstr>0x0101002F7A625AE9F5AB4A939F92BCAA7FEC02</vt:lpwstr>
  </property>
</Properties>
</file>