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F0D0" w14:textId="77777777" w:rsidR="00902074" w:rsidRDefault="00E620F7" w:rsidP="00FC602A">
      <w:pPr>
        <w:widowControl/>
        <w:jc w:val="center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DF969DA" wp14:editId="445EADDB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93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1483" w14:textId="77777777" w:rsidR="00FE5C8F" w:rsidRDefault="00FE5C8F" w:rsidP="00FC602A">
      <w:pPr>
        <w:widowControl/>
        <w:jc w:val="center"/>
        <w:rPr>
          <w:rFonts w:cs="Calibri"/>
          <w:b/>
          <w:szCs w:val="24"/>
        </w:rPr>
      </w:pPr>
    </w:p>
    <w:p w14:paraId="2F159ADD" w14:textId="77777777" w:rsidR="00902074" w:rsidRPr="006921D7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AE2EFBE" w14:textId="77777777" w:rsidR="00FE5C8F" w:rsidRPr="006921D7" w:rsidRDefault="00E620F7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6921D7">
        <w:rPr>
          <w:rFonts w:cs="Calibri"/>
          <w:b/>
          <w:bCs/>
          <w:color w:val="000000"/>
          <w:sz w:val="28"/>
          <w:szCs w:val="24"/>
        </w:rPr>
        <w:t>Kontrolní závěr z</w:t>
      </w:r>
      <w:bookmarkStart w:id="0" w:name="_GoBack"/>
      <w:bookmarkEnd w:id="0"/>
      <w:r w:rsidRPr="006921D7">
        <w:rPr>
          <w:rFonts w:cs="Calibri"/>
          <w:b/>
          <w:bCs/>
          <w:color w:val="000000"/>
          <w:sz w:val="28"/>
          <w:szCs w:val="24"/>
        </w:rPr>
        <w:t xml:space="preserve"> kontrolní akce</w:t>
      </w:r>
    </w:p>
    <w:p w14:paraId="1F14359A" w14:textId="77777777" w:rsidR="00902074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55905DF" w14:textId="77777777" w:rsidR="00FE5C8F" w:rsidRPr="006921D7" w:rsidRDefault="002A1657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20</w:t>
      </w:r>
      <w:r w:rsidR="00E620F7" w:rsidRPr="006921D7">
        <w:rPr>
          <w:rFonts w:cs="Calibri"/>
          <w:b/>
          <w:bCs/>
          <w:color w:val="000000"/>
          <w:sz w:val="28"/>
          <w:szCs w:val="24"/>
        </w:rPr>
        <w:t>/</w:t>
      </w:r>
      <w:r>
        <w:rPr>
          <w:rFonts w:cs="Calibri"/>
          <w:b/>
          <w:bCs/>
          <w:color w:val="000000"/>
          <w:sz w:val="28"/>
          <w:szCs w:val="24"/>
        </w:rPr>
        <w:t>12</w:t>
      </w:r>
    </w:p>
    <w:p w14:paraId="23432D4E" w14:textId="77777777" w:rsidR="00902074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32DD563" w14:textId="77777777" w:rsidR="00FE5C8F" w:rsidRPr="006921D7" w:rsidRDefault="002A1657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2A1657">
        <w:rPr>
          <w:rFonts w:cs="Calibri"/>
          <w:b/>
          <w:bCs/>
          <w:color w:val="000000"/>
          <w:sz w:val="28"/>
          <w:szCs w:val="24"/>
        </w:rPr>
        <w:t>Peněžní prostředky státu poskytované na programy protidrogové politiky</w:t>
      </w:r>
    </w:p>
    <w:p w14:paraId="70601ED0" w14:textId="77777777" w:rsidR="00FE5C8F" w:rsidRPr="00902074" w:rsidRDefault="00FE5C8F" w:rsidP="00FC602A">
      <w:pPr>
        <w:widowControl/>
        <w:rPr>
          <w:rFonts w:cs="Calibri"/>
          <w:szCs w:val="24"/>
        </w:rPr>
      </w:pPr>
    </w:p>
    <w:p w14:paraId="328B0853" w14:textId="77777777" w:rsidR="00902074" w:rsidRPr="00902074" w:rsidRDefault="00902074" w:rsidP="00FC602A">
      <w:pPr>
        <w:widowControl/>
        <w:rPr>
          <w:rFonts w:cs="Calibri"/>
          <w:szCs w:val="24"/>
        </w:rPr>
      </w:pPr>
    </w:p>
    <w:p w14:paraId="1ACB2E3F" w14:textId="77777777" w:rsidR="00FE5C8F" w:rsidRDefault="00E620F7" w:rsidP="00FC602A">
      <w:pPr>
        <w:widowControl/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</w:t>
      </w:r>
      <w:r w:rsidR="002A1657">
        <w:rPr>
          <w:rFonts w:cs="Calibri"/>
          <w:szCs w:val="24"/>
        </w:rPr>
        <w:t>20</w:t>
      </w:r>
      <w:r w:rsidRPr="000B4501">
        <w:rPr>
          <w:rFonts w:cs="Calibri"/>
          <w:szCs w:val="24"/>
        </w:rPr>
        <w:t xml:space="preserve"> pod číslem </w:t>
      </w:r>
      <w:r w:rsidR="002A1657">
        <w:rPr>
          <w:rFonts w:cs="Calibri"/>
          <w:szCs w:val="24"/>
        </w:rPr>
        <w:t>20</w:t>
      </w:r>
      <w:r w:rsidRPr="000B4501">
        <w:rPr>
          <w:rFonts w:cs="Calibri"/>
          <w:szCs w:val="24"/>
        </w:rPr>
        <w:t>/</w:t>
      </w:r>
      <w:r w:rsidR="002A1657">
        <w:rPr>
          <w:rFonts w:cs="Calibri"/>
          <w:szCs w:val="24"/>
        </w:rPr>
        <w:t>12</w:t>
      </w:r>
      <w:r w:rsidRPr="000B4501">
        <w:rPr>
          <w:rFonts w:cs="Calibri"/>
          <w:szCs w:val="24"/>
        </w:rPr>
        <w:t>. Kontrolní akci řídil a kontrolní závěr vypracoval člen NKÚ Ing. </w:t>
      </w:r>
      <w:r w:rsidR="00E07563">
        <w:rPr>
          <w:rFonts w:cs="Calibri"/>
          <w:szCs w:val="24"/>
        </w:rPr>
        <w:t>Adolf Beznoska</w:t>
      </w:r>
      <w:r w:rsidRPr="000B4501">
        <w:rPr>
          <w:rFonts w:cs="Calibri"/>
          <w:szCs w:val="24"/>
        </w:rPr>
        <w:t>.</w:t>
      </w:r>
    </w:p>
    <w:p w14:paraId="7FB9F568" w14:textId="77777777" w:rsidR="00FE5C8F" w:rsidRPr="00CC4145" w:rsidRDefault="00FE5C8F" w:rsidP="00FC602A">
      <w:pPr>
        <w:widowControl/>
        <w:rPr>
          <w:rFonts w:cs="Calibri"/>
          <w:sz w:val="22"/>
          <w:szCs w:val="24"/>
        </w:rPr>
      </w:pPr>
    </w:p>
    <w:p w14:paraId="1C08A4C6" w14:textId="766F6609" w:rsidR="00591FDD" w:rsidRDefault="00E620F7" w:rsidP="00FC602A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t xml:space="preserve">Cílem kontroly bylo </w:t>
      </w:r>
      <w:r w:rsidR="00477A5B">
        <w:rPr>
          <w:rFonts w:cs="Calibri"/>
          <w:szCs w:val="24"/>
        </w:rPr>
        <w:t>p</w:t>
      </w:r>
      <w:r w:rsidR="00477A5B" w:rsidRPr="00477A5B">
        <w:rPr>
          <w:rFonts w:cs="Calibri"/>
          <w:szCs w:val="24"/>
        </w:rPr>
        <w:t>rověřit, zda prostředky určené na programy protidrogové politiky byly vynakládány účelně a přispívaly tak k naplňování cílů stanovených pro tuto oblast</w:t>
      </w:r>
      <w:r w:rsidR="006A7F36">
        <w:rPr>
          <w:rFonts w:cs="Calibri"/>
          <w:szCs w:val="24"/>
        </w:rPr>
        <w:t>.</w:t>
      </w:r>
    </w:p>
    <w:p w14:paraId="12A5FB80" w14:textId="77777777" w:rsidR="00FE5C8F" w:rsidRPr="00CC4145" w:rsidRDefault="00FE5C8F" w:rsidP="00FC602A">
      <w:pPr>
        <w:widowControl/>
        <w:rPr>
          <w:rFonts w:cs="Calibri"/>
          <w:sz w:val="22"/>
          <w:szCs w:val="24"/>
        </w:rPr>
      </w:pPr>
    </w:p>
    <w:p w14:paraId="04AE207D" w14:textId="77777777" w:rsidR="00FE5C8F" w:rsidRPr="004C031F" w:rsidRDefault="00E620F7" w:rsidP="00FC602A">
      <w:pPr>
        <w:pStyle w:val="Zkladntextodsazen"/>
        <w:spacing w:after="0"/>
        <w:ind w:left="0"/>
        <w:rPr>
          <w:rFonts w:cs="Calibri"/>
        </w:rPr>
      </w:pPr>
      <w:r w:rsidRPr="004C031F">
        <w:rPr>
          <w:rFonts w:cs="Calibri"/>
        </w:rPr>
        <w:t>Kontrolováno bylo období</w:t>
      </w:r>
      <w:r>
        <w:rPr>
          <w:rFonts w:cs="Calibri"/>
        </w:rPr>
        <w:t xml:space="preserve"> let</w:t>
      </w:r>
      <w:r w:rsidRPr="004C031F">
        <w:rPr>
          <w:rFonts w:cs="Calibri"/>
        </w:rPr>
        <w:t xml:space="preserve"> 20</w:t>
      </w:r>
      <w:r>
        <w:rPr>
          <w:rFonts w:cs="Calibri"/>
        </w:rPr>
        <w:t>1</w:t>
      </w:r>
      <w:r w:rsidR="00477A5B">
        <w:rPr>
          <w:rFonts w:cs="Calibri"/>
        </w:rPr>
        <w:t>6</w:t>
      </w:r>
      <w:r w:rsidR="001E7809">
        <w:rPr>
          <w:rFonts w:cs="Calibri"/>
        </w:rPr>
        <w:t>–</w:t>
      </w:r>
      <w:r>
        <w:rPr>
          <w:rFonts w:cs="Calibri"/>
        </w:rPr>
        <w:t>2</w:t>
      </w:r>
      <w:r w:rsidRPr="004C031F">
        <w:rPr>
          <w:rFonts w:cs="Calibri"/>
        </w:rPr>
        <w:t>01</w:t>
      </w:r>
      <w:r w:rsidR="00477A5B">
        <w:rPr>
          <w:rFonts w:cs="Calibri"/>
        </w:rPr>
        <w:t>9</w:t>
      </w:r>
      <w:r w:rsidRPr="004C031F">
        <w:rPr>
          <w:rFonts w:cs="Calibri"/>
        </w:rPr>
        <w:t>,</w:t>
      </w:r>
      <w:r w:rsidRPr="004860A5">
        <w:rPr>
          <w:rFonts w:cs="Calibri"/>
          <w:sz w:val="22"/>
        </w:rPr>
        <w:t xml:space="preserve"> </w:t>
      </w:r>
      <w:r w:rsidRPr="004C031F">
        <w:rPr>
          <w:rFonts w:cs="Calibri"/>
        </w:rPr>
        <w:t xml:space="preserve">v případě věcných souvislostí i období </w:t>
      </w:r>
      <w:r>
        <w:rPr>
          <w:rFonts w:cs="Calibri"/>
        </w:rPr>
        <w:t>předcházející a </w:t>
      </w:r>
      <w:r w:rsidRPr="00D95701">
        <w:rPr>
          <w:rFonts w:cs="Calibri"/>
        </w:rPr>
        <w:t>následující</w:t>
      </w:r>
      <w:r w:rsidRPr="004C031F">
        <w:rPr>
          <w:rFonts w:cs="Calibri"/>
        </w:rPr>
        <w:t xml:space="preserve">. Kontrola byla prováděna u kontrolovaných osob od </w:t>
      </w:r>
      <w:r w:rsidR="00477A5B">
        <w:rPr>
          <w:rFonts w:cs="Calibri"/>
        </w:rPr>
        <w:t>května</w:t>
      </w:r>
      <w:r w:rsidR="00591FDD">
        <w:rPr>
          <w:rFonts w:cs="Calibri"/>
        </w:rPr>
        <w:t xml:space="preserve"> 20</w:t>
      </w:r>
      <w:r w:rsidR="00477A5B">
        <w:rPr>
          <w:rFonts w:cs="Calibri"/>
        </w:rPr>
        <w:t>20</w:t>
      </w:r>
      <w:r w:rsidRPr="004C031F">
        <w:rPr>
          <w:rFonts w:cs="Calibri"/>
        </w:rPr>
        <w:t xml:space="preserve"> do </w:t>
      </w:r>
      <w:r w:rsidR="00477A5B">
        <w:rPr>
          <w:rFonts w:cs="Calibri"/>
        </w:rPr>
        <w:t>prosince</w:t>
      </w:r>
      <w:r w:rsidR="00591FDD">
        <w:rPr>
          <w:rFonts w:cs="Calibri"/>
        </w:rPr>
        <w:t xml:space="preserve"> </w:t>
      </w:r>
      <w:r>
        <w:rPr>
          <w:rFonts w:cs="Calibri"/>
        </w:rPr>
        <w:t>20</w:t>
      </w:r>
      <w:r w:rsidR="00477A5B">
        <w:rPr>
          <w:rFonts w:cs="Calibri"/>
        </w:rPr>
        <w:t>20</w:t>
      </w:r>
      <w:r w:rsidRPr="004C031F">
        <w:rPr>
          <w:rFonts w:cs="Calibri"/>
        </w:rPr>
        <w:t>.</w:t>
      </w:r>
    </w:p>
    <w:p w14:paraId="27211DB9" w14:textId="77777777" w:rsidR="00FE5C8F" w:rsidRPr="00ED25F1" w:rsidRDefault="00FE5C8F" w:rsidP="00FC602A">
      <w:pPr>
        <w:widowControl/>
        <w:rPr>
          <w:rFonts w:cs="Calibri"/>
          <w:sz w:val="20"/>
          <w:szCs w:val="24"/>
        </w:rPr>
      </w:pPr>
    </w:p>
    <w:p w14:paraId="3C7E1288" w14:textId="77777777" w:rsidR="00FE5C8F" w:rsidRDefault="00E620F7" w:rsidP="00FC602A">
      <w:pPr>
        <w:widowControl/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4B99BA75" w14:textId="77777777" w:rsidR="0069205A" w:rsidRPr="0069205A" w:rsidRDefault="00477A5B" w:rsidP="00FC602A">
      <w:pPr>
        <w:widowControl/>
        <w:rPr>
          <w:rFonts w:cs="Calibri"/>
          <w:szCs w:val="24"/>
        </w:rPr>
      </w:pPr>
      <w:r w:rsidRPr="00477A5B">
        <w:rPr>
          <w:rFonts w:cs="Calibri"/>
          <w:szCs w:val="24"/>
        </w:rPr>
        <w:t>Úřad vlády České republiky</w:t>
      </w:r>
      <w:r>
        <w:rPr>
          <w:rFonts w:cs="Calibri"/>
          <w:szCs w:val="24"/>
        </w:rPr>
        <w:t xml:space="preserve"> </w:t>
      </w:r>
      <w:r w:rsidRPr="00DC0C53">
        <w:rPr>
          <w:rFonts w:cs="Calibri"/>
          <w:szCs w:val="24"/>
        </w:rPr>
        <w:t>(dále také „</w:t>
      </w:r>
      <w:r w:rsidRPr="00477A5B">
        <w:rPr>
          <w:rFonts w:cs="Calibri"/>
          <w:szCs w:val="24"/>
        </w:rPr>
        <w:t>Ú</w:t>
      </w:r>
      <w:r w:rsidR="00C86641">
        <w:rPr>
          <w:rFonts w:cs="Calibri"/>
          <w:szCs w:val="24"/>
        </w:rPr>
        <w:t xml:space="preserve">V </w:t>
      </w:r>
      <w:r w:rsidRPr="00477A5B">
        <w:rPr>
          <w:rFonts w:cs="Calibri"/>
          <w:szCs w:val="24"/>
        </w:rPr>
        <w:t>ČR</w:t>
      </w:r>
      <w:r w:rsidRPr="00DC0C53">
        <w:rPr>
          <w:rFonts w:cs="Calibri"/>
          <w:szCs w:val="24"/>
        </w:rPr>
        <w:t>“)</w:t>
      </w:r>
      <w:r>
        <w:rPr>
          <w:rFonts w:cs="Calibri"/>
          <w:szCs w:val="24"/>
        </w:rPr>
        <w:t>;</w:t>
      </w:r>
      <w:r w:rsidRPr="00477A5B">
        <w:rPr>
          <w:rFonts w:cs="Calibri"/>
          <w:szCs w:val="24"/>
        </w:rPr>
        <w:t xml:space="preserve"> </w:t>
      </w:r>
      <w:r w:rsidR="00F812D9">
        <w:rPr>
          <w:rFonts w:cs="Calibri"/>
          <w:szCs w:val="24"/>
        </w:rPr>
        <w:t xml:space="preserve">Ministerstvo spravedlnosti (dále také „MS“); </w:t>
      </w:r>
      <w:r w:rsidR="00E07563" w:rsidRPr="00E07563">
        <w:rPr>
          <w:rFonts w:cs="Calibri"/>
          <w:szCs w:val="24"/>
        </w:rPr>
        <w:t xml:space="preserve">Ministerstvo školství, mládeže a tělovýchovy </w:t>
      </w:r>
      <w:r w:rsidR="0069205A">
        <w:rPr>
          <w:rFonts w:cs="Calibri"/>
          <w:szCs w:val="24"/>
        </w:rPr>
        <w:t>(dále také „MŠMT“);</w:t>
      </w:r>
      <w:r w:rsidR="001251BF">
        <w:rPr>
          <w:rFonts w:cs="Calibri"/>
          <w:szCs w:val="24"/>
        </w:rPr>
        <w:t xml:space="preserve"> </w:t>
      </w:r>
      <w:r w:rsidR="00F812D9" w:rsidRPr="00DC0C53">
        <w:rPr>
          <w:rFonts w:cs="Calibri"/>
          <w:szCs w:val="24"/>
        </w:rPr>
        <w:t>Ministerstvo zdravotnictví</w:t>
      </w:r>
      <w:r w:rsidR="00F812D9">
        <w:rPr>
          <w:rFonts w:cs="Calibri"/>
          <w:szCs w:val="24"/>
        </w:rPr>
        <w:t xml:space="preserve"> (dále také „MZ</w:t>
      </w:r>
      <w:r w:rsidR="00F812D9" w:rsidRPr="00DC0C53">
        <w:rPr>
          <w:rFonts w:cs="Calibri"/>
          <w:szCs w:val="24"/>
        </w:rPr>
        <w:t>“);</w:t>
      </w:r>
      <w:r w:rsidR="00F812D9">
        <w:rPr>
          <w:rFonts w:cs="Calibri"/>
          <w:szCs w:val="24"/>
        </w:rPr>
        <w:t xml:space="preserve"> </w:t>
      </w:r>
      <w:r w:rsidR="001251BF" w:rsidRPr="001251BF">
        <w:rPr>
          <w:rFonts w:cs="Calibri"/>
          <w:szCs w:val="24"/>
        </w:rPr>
        <w:t>A.N.O. - Asociace nestátních organizací, Praha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KAPPA-HELP, z.s., Přerov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Magdaléna, o.p.s., Mníšek pod Brdy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P-centrum, spolek, Olomouc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POINT 14, z.ú., Plzeň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PREVENT 99 z.ú., Strakonice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PROGRESSIVE, o.p.s., Praha</w:t>
      </w:r>
      <w:r w:rsidR="001251BF">
        <w:rPr>
          <w:rFonts w:cs="Calibri"/>
          <w:szCs w:val="24"/>
        </w:rPr>
        <w:t>;</w:t>
      </w:r>
      <w:r w:rsidR="001251BF" w:rsidRPr="001251BF">
        <w:t xml:space="preserve"> </w:t>
      </w:r>
      <w:r w:rsidR="001251BF" w:rsidRPr="001251BF">
        <w:rPr>
          <w:rFonts w:cs="Calibri"/>
          <w:szCs w:val="24"/>
        </w:rPr>
        <w:t>Společnost Podané ruce o.p.s., Brno</w:t>
      </w:r>
      <w:r w:rsidR="001251BF">
        <w:rPr>
          <w:rFonts w:cs="Calibri"/>
          <w:szCs w:val="24"/>
        </w:rPr>
        <w:t xml:space="preserve">; </w:t>
      </w:r>
      <w:r w:rsidR="001251BF" w:rsidRPr="001251BF">
        <w:rPr>
          <w:rFonts w:cs="Calibri"/>
          <w:szCs w:val="24"/>
        </w:rPr>
        <w:t>Středisko prevence a léčby drogových závislostí - DROP IN, o.p.s., Praha</w:t>
      </w:r>
      <w:r w:rsidR="00F812D9">
        <w:rPr>
          <w:rFonts w:cs="Calibri"/>
          <w:szCs w:val="24"/>
        </w:rPr>
        <w:t xml:space="preserve"> (dále také „DROP IN“)</w:t>
      </w:r>
      <w:r w:rsidR="001251BF">
        <w:rPr>
          <w:rFonts w:cs="Calibri"/>
          <w:szCs w:val="24"/>
        </w:rPr>
        <w:t>.</w:t>
      </w:r>
    </w:p>
    <w:p w14:paraId="6392E62E" w14:textId="77777777" w:rsidR="00FE5C8F" w:rsidRDefault="00FE5C8F" w:rsidP="00FC602A">
      <w:pPr>
        <w:widowControl/>
        <w:rPr>
          <w:rFonts w:cs="Calibri"/>
          <w:szCs w:val="24"/>
        </w:rPr>
      </w:pPr>
    </w:p>
    <w:p w14:paraId="15955E16" w14:textId="77777777" w:rsidR="001251BF" w:rsidRPr="005872C0" w:rsidRDefault="001251BF" w:rsidP="00FC602A">
      <w:pPr>
        <w:widowControl/>
        <w:rPr>
          <w:rFonts w:cs="Calibri"/>
          <w:szCs w:val="24"/>
        </w:rPr>
      </w:pPr>
    </w:p>
    <w:p w14:paraId="1E4730A2" w14:textId="09325D5F" w:rsidR="00FE5C8F" w:rsidRPr="00DF67EB" w:rsidRDefault="00E620F7" w:rsidP="00FC602A">
      <w:pPr>
        <w:widowControl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 xml:space="preserve">K o l e g i u m   N K </w:t>
      </w:r>
      <w:r w:rsidRPr="00773E95">
        <w:rPr>
          <w:rFonts w:cs="Calibri"/>
          <w:b/>
          <w:bCs/>
          <w:i/>
          <w:iCs/>
          <w:szCs w:val="24"/>
        </w:rPr>
        <w:t>Ú</w:t>
      </w:r>
      <w:r w:rsidRPr="00773E95">
        <w:rPr>
          <w:rFonts w:cs="Calibri"/>
          <w:b/>
          <w:bCs/>
          <w:iCs/>
          <w:szCs w:val="24"/>
        </w:rPr>
        <w:t xml:space="preserve">   </w:t>
      </w:r>
      <w:r w:rsidRPr="00773E95">
        <w:rPr>
          <w:rFonts w:cs="Calibri"/>
          <w:szCs w:val="24"/>
        </w:rPr>
        <w:t>na svém</w:t>
      </w:r>
      <w:r w:rsidR="00B50A6D" w:rsidRPr="00773E95">
        <w:rPr>
          <w:rFonts w:cs="Calibri"/>
          <w:szCs w:val="24"/>
        </w:rPr>
        <w:t xml:space="preserve"> </w:t>
      </w:r>
      <w:r w:rsidR="00DF67EB">
        <w:rPr>
          <w:rFonts w:cs="Calibri"/>
          <w:szCs w:val="24"/>
        </w:rPr>
        <w:t>VII</w:t>
      </w:r>
      <w:r w:rsidRPr="00DF67EB">
        <w:rPr>
          <w:rFonts w:cs="Calibri"/>
          <w:szCs w:val="24"/>
        </w:rPr>
        <w:t xml:space="preserve">. jednání, které se konalo dne </w:t>
      </w:r>
      <w:r w:rsidR="00DF67EB">
        <w:rPr>
          <w:rFonts w:cs="Calibri"/>
          <w:szCs w:val="24"/>
        </w:rPr>
        <w:t>19</w:t>
      </w:r>
      <w:r w:rsidR="00B50A6D" w:rsidRPr="00DF67EB">
        <w:rPr>
          <w:rFonts w:cs="Calibri"/>
          <w:szCs w:val="24"/>
        </w:rPr>
        <w:t xml:space="preserve">. </w:t>
      </w:r>
      <w:r w:rsidR="00477A5B" w:rsidRPr="00DF67EB">
        <w:rPr>
          <w:rFonts w:cs="Calibri"/>
          <w:szCs w:val="24"/>
        </w:rPr>
        <w:t>dubna</w:t>
      </w:r>
      <w:r w:rsidR="00FF5858" w:rsidRPr="00DF67EB">
        <w:rPr>
          <w:rFonts w:cs="Calibri"/>
          <w:szCs w:val="24"/>
        </w:rPr>
        <w:t xml:space="preserve"> </w:t>
      </w:r>
      <w:r w:rsidR="005872C0" w:rsidRPr="00DF67EB">
        <w:rPr>
          <w:rFonts w:cs="Calibri"/>
          <w:szCs w:val="24"/>
        </w:rPr>
        <w:t>20</w:t>
      </w:r>
      <w:r w:rsidR="00E07563" w:rsidRPr="00DF67EB">
        <w:rPr>
          <w:rFonts w:cs="Calibri"/>
          <w:szCs w:val="24"/>
        </w:rPr>
        <w:t>2</w:t>
      </w:r>
      <w:r w:rsidR="00477A5B" w:rsidRPr="00DF67EB">
        <w:rPr>
          <w:rFonts w:cs="Calibri"/>
          <w:szCs w:val="24"/>
        </w:rPr>
        <w:t>1</w:t>
      </w:r>
      <w:r w:rsidRPr="00DF67EB">
        <w:rPr>
          <w:rFonts w:cs="Calibri"/>
          <w:szCs w:val="24"/>
        </w:rPr>
        <w:t>,</w:t>
      </w:r>
    </w:p>
    <w:p w14:paraId="2C218AFF" w14:textId="1BFD0AF8" w:rsidR="00FE5C8F" w:rsidRPr="000B4501" w:rsidRDefault="00E620F7" w:rsidP="00FC602A">
      <w:pPr>
        <w:widowControl/>
        <w:rPr>
          <w:rFonts w:cs="Calibri"/>
          <w:szCs w:val="24"/>
        </w:rPr>
      </w:pPr>
      <w:r w:rsidRPr="00DF67EB">
        <w:rPr>
          <w:rFonts w:cs="Calibri"/>
          <w:b/>
          <w:bCs/>
          <w:i/>
          <w:iCs/>
          <w:szCs w:val="24"/>
        </w:rPr>
        <w:t>s c h v á l i l o</w:t>
      </w:r>
      <w:r w:rsidRPr="00DF67EB">
        <w:rPr>
          <w:rFonts w:cs="Calibri"/>
          <w:b/>
          <w:bCs/>
          <w:iCs/>
          <w:szCs w:val="24"/>
        </w:rPr>
        <w:t xml:space="preserve">   </w:t>
      </w:r>
      <w:r w:rsidRPr="00DF67EB">
        <w:rPr>
          <w:rFonts w:cs="Calibri"/>
          <w:szCs w:val="24"/>
        </w:rPr>
        <w:t xml:space="preserve">usnesením č. </w:t>
      </w:r>
      <w:r w:rsidR="007A151D">
        <w:rPr>
          <w:rFonts w:cs="Calibri"/>
          <w:szCs w:val="24"/>
        </w:rPr>
        <w:t>9</w:t>
      </w:r>
      <w:r w:rsidR="00DF67EB">
        <w:rPr>
          <w:rFonts w:cs="Calibri"/>
          <w:szCs w:val="24"/>
        </w:rPr>
        <w:t>/VII</w:t>
      </w:r>
      <w:r w:rsidRPr="00DF67EB">
        <w:rPr>
          <w:rFonts w:cs="Calibri"/>
          <w:szCs w:val="24"/>
        </w:rPr>
        <w:t>/20</w:t>
      </w:r>
      <w:r w:rsidR="00E07563" w:rsidRPr="00DF67EB">
        <w:rPr>
          <w:rFonts w:cs="Calibri"/>
          <w:szCs w:val="24"/>
        </w:rPr>
        <w:t>2</w:t>
      </w:r>
      <w:r w:rsidR="00477A5B" w:rsidRPr="00DF67EB">
        <w:rPr>
          <w:rFonts w:cs="Calibri"/>
          <w:szCs w:val="24"/>
        </w:rPr>
        <w:t>1</w:t>
      </w:r>
    </w:p>
    <w:p w14:paraId="1DDE31CE" w14:textId="77777777" w:rsidR="00FE5C8F" w:rsidRDefault="00E620F7" w:rsidP="00FC602A">
      <w:pPr>
        <w:widowControl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70296527" w14:textId="77777777" w:rsidR="00F53B44" w:rsidRDefault="00F53B44" w:rsidP="00FC602A">
      <w:pPr>
        <w:widowControl/>
        <w:rPr>
          <w:rFonts w:cs="Calibri"/>
          <w:szCs w:val="24"/>
        </w:rPr>
      </w:pPr>
    </w:p>
    <w:p w14:paraId="7F1A87A5" w14:textId="77777777" w:rsidR="00F53B44" w:rsidRPr="000B4501" w:rsidRDefault="00F53B44" w:rsidP="00FC602A">
      <w:pPr>
        <w:widowControl/>
        <w:rPr>
          <w:rFonts w:cs="Calibri"/>
          <w:szCs w:val="24"/>
        </w:rPr>
      </w:pPr>
    </w:p>
    <w:p w14:paraId="37D2B629" w14:textId="77777777" w:rsidR="00FE5C8F" w:rsidRPr="00F53B44" w:rsidRDefault="00E620F7" w:rsidP="00FC602A">
      <w:pPr>
        <w:pStyle w:val="Nadpis1"/>
        <w:widowControl/>
        <w:numPr>
          <w:ilvl w:val="0"/>
          <w:numId w:val="0"/>
        </w:numPr>
      </w:pPr>
      <w:r w:rsidRPr="000B4501">
        <w:br w:type="page"/>
      </w:r>
    </w:p>
    <w:p w14:paraId="651A7C33" w14:textId="5CD76834" w:rsidR="00964D74" w:rsidRDefault="00964D74" w:rsidP="00FC602A">
      <w:pPr>
        <w:widowControl/>
        <w:jc w:val="center"/>
        <w:rPr>
          <w:rStyle w:val="A4"/>
          <w:b/>
          <w:color w:val="BDD6EE" w:themeColor="accent1" w:themeTint="66"/>
          <w:sz w:val="40"/>
          <w:szCs w:val="40"/>
        </w:rPr>
      </w:pPr>
      <w:r>
        <w:rPr>
          <w:rStyle w:val="A4"/>
          <w:b/>
          <w:color w:val="BDD6EE" w:themeColor="accent1" w:themeTint="66"/>
          <w:sz w:val="40"/>
          <w:szCs w:val="40"/>
        </w:rPr>
        <w:lastRenderedPageBreak/>
        <w:t>Programy protidrogové politiky</w:t>
      </w:r>
    </w:p>
    <w:p w14:paraId="441B8DF7" w14:textId="77777777" w:rsidR="00964D74" w:rsidRPr="00FF6659" w:rsidRDefault="00964D74" w:rsidP="00FC602A">
      <w:pPr>
        <w:widowControl/>
        <w:jc w:val="center"/>
        <w:rPr>
          <w:rStyle w:val="A4"/>
          <w:b/>
          <w:color w:val="FFFFFF" w:themeColor="background1"/>
          <w:sz w:val="40"/>
          <w:szCs w:val="40"/>
        </w:rPr>
      </w:pPr>
    </w:p>
    <w:p w14:paraId="7022039C" w14:textId="517B5B1D" w:rsidR="00964D74" w:rsidRDefault="00964D74" w:rsidP="00FC602A">
      <w:pPr>
        <w:widowControl/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2455AF" w14:paraId="19A9F407" w14:textId="77777777" w:rsidTr="002455AF">
        <w:trPr>
          <w:trHeight w:val="1953"/>
        </w:trPr>
        <w:tc>
          <w:tcPr>
            <w:tcW w:w="9070" w:type="dxa"/>
            <w:gridSpan w:val="2"/>
          </w:tcPr>
          <w:p w14:paraId="005B62D7" w14:textId="77777777" w:rsidR="002455AF" w:rsidRDefault="002455AF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 w:rsidRPr="00964D74">
              <w:rPr>
                <w:rStyle w:val="A5"/>
                <w:rFonts w:cs="Calibri"/>
                <w:lang w:eastAsia="en-US"/>
              </w:rPr>
              <w:t>84</w:t>
            </w:r>
            <w:r>
              <w:rPr>
                <w:rStyle w:val="A5"/>
                <w:rFonts w:cs="Calibri"/>
                <w:lang w:eastAsia="en-US"/>
              </w:rPr>
              <w:t>9</w:t>
            </w:r>
            <w:r w:rsidRPr="00964D74">
              <w:rPr>
                <w:rStyle w:val="A5"/>
                <w:rFonts w:cs="Calibri"/>
                <w:lang w:eastAsia="en-US"/>
              </w:rPr>
              <w:t xml:space="preserve"> </w:t>
            </w:r>
            <w:r>
              <w:rPr>
                <w:rStyle w:val="A5"/>
                <w:rFonts w:cs="Calibri"/>
                <w:lang w:eastAsia="en-US"/>
              </w:rPr>
              <w:t>mil. Kč</w:t>
            </w:r>
            <w:r>
              <w:rPr>
                <w:rFonts w:cs="Calibri"/>
                <w:b/>
                <w:color w:val="000000" w:themeColor="text1"/>
                <w:sz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Calibri"/>
                <w:b/>
                <w:color w:val="000000" w:themeColor="text1"/>
                <w:sz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1C3B3A81" w14:textId="5DFD6E63" w:rsidR="004A6E4C" w:rsidRDefault="009F1C1A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celkový objem </w:t>
            </w:r>
            <w:r w:rsidR="002455AF">
              <w:rPr>
                <w:rFonts w:cs="Calibri"/>
                <w:b/>
                <w:lang w:eastAsia="en-US"/>
              </w:rPr>
              <w:t>dotac</w:t>
            </w:r>
            <w:r>
              <w:rPr>
                <w:rFonts w:cs="Calibri"/>
                <w:b/>
                <w:lang w:eastAsia="en-US"/>
              </w:rPr>
              <w:t>í</w:t>
            </w:r>
            <w:r w:rsidR="004A6E4C">
              <w:rPr>
                <w:rFonts w:cs="Calibri"/>
                <w:b/>
                <w:lang w:eastAsia="en-US"/>
              </w:rPr>
              <w:t xml:space="preserve">, </w:t>
            </w:r>
          </w:p>
          <w:p w14:paraId="449C5D9C" w14:textId="4530C277" w:rsidR="002455AF" w:rsidRPr="00B103CE" w:rsidRDefault="004A6E4C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 w:rsidRPr="00D36AC9">
              <w:rPr>
                <w:rFonts w:cs="Calibri"/>
                <w:b/>
                <w:lang w:eastAsia="en-US"/>
              </w:rPr>
              <w:t xml:space="preserve">které poskytly </w:t>
            </w:r>
            <w:r w:rsidR="002455AF" w:rsidRPr="00B103CE">
              <w:rPr>
                <w:rFonts w:cs="Calibri"/>
                <w:b/>
                <w:lang w:eastAsia="en-US"/>
              </w:rPr>
              <w:t>ÚV ČR, MS, MŠMT a MZ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</w:p>
          <w:p w14:paraId="41994394" w14:textId="5AEFBE91" w:rsidR="004A6E4C" w:rsidRDefault="004A6E4C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v rámci programů protidrogové politiky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</w:p>
          <w:p w14:paraId="6816CF28" w14:textId="77777777" w:rsidR="00861F23" w:rsidRDefault="00861F23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 w:rsidRPr="00987823">
              <w:rPr>
                <w:rFonts w:cs="Calibri"/>
                <w:b/>
                <w:lang w:eastAsia="en-US"/>
              </w:rPr>
              <w:t>na roky 2016 až 2019</w:t>
            </w:r>
          </w:p>
          <w:p w14:paraId="4E2BF5C8" w14:textId="77777777" w:rsidR="00164961" w:rsidRDefault="00164961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</w:p>
          <w:p w14:paraId="257BCE66" w14:textId="414D5112" w:rsidR="00164961" w:rsidRPr="000C6DF3" w:rsidRDefault="00164961" w:rsidP="00FC602A">
            <w:pPr>
              <w:widowControl/>
              <w:jc w:val="center"/>
              <w:rPr>
                <w:rStyle w:val="A1"/>
                <w:rFonts w:cs="Calibri"/>
                <w:color w:val="auto"/>
                <w:sz w:val="24"/>
                <w:szCs w:val="20"/>
                <w:lang w:eastAsia="en-US"/>
              </w:rPr>
            </w:pPr>
          </w:p>
        </w:tc>
      </w:tr>
      <w:tr w:rsidR="000C6DF3" w14:paraId="2B50A2E5" w14:textId="77777777" w:rsidTr="000C6DF3">
        <w:trPr>
          <w:trHeight w:val="1953"/>
        </w:trPr>
        <w:tc>
          <w:tcPr>
            <w:tcW w:w="4532" w:type="dxa"/>
          </w:tcPr>
          <w:p w14:paraId="6A97DF0C" w14:textId="1DB90B77" w:rsidR="000C6DF3" w:rsidRDefault="000C6DF3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bCs/>
                <w:sz w:val="40"/>
                <w:szCs w:val="40"/>
                <w:lang w:eastAsia="en-US"/>
              </w:rPr>
              <w:t>95 mil. Kč</w:t>
            </w:r>
            <w:r w:rsidR="00E032F7">
              <w:rPr>
                <w:rFonts w:cs="Calibri"/>
                <w:b/>
                <w:bCs/>
                <w:sz w:val="40"/>
                <w:szCs w:val="40"/>
                <w:lang w:eastAsia="en-US"/>
              </w:rPr>
              <w:t xml:space="preserve"> </w:t>
            </w:r>
            <w:r>
              <w:rPr>
                <w:rFonts w:cs="Calibri"/>
                <w:b/>
                <w:sz w:val="20"/>
                <w:lang w:eastAsia="en-US"/>
              </w:rPr>
              <w:br/>
            </w:r>
          </w:p>
          <w:p w14:paraId="28036345" w14:textId="66B20970" w:rsidR="000C6DF3" w:rsidRDefault="009F1C1A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rFonts w:cs="Calibri"/>
                <w:b/>
                <w:lang w:eastAsia="en-US"/>
              </w:rPr>
              <w:t xml:space="preserve">výše </w:t>
            </w:r>
            <w:r w:rsidR="000C6DF3">
              <w:rPr>
                <w:rFonts w:cs="Calibri"/>
                <w:b/>
                <w:lang w:eastAsia="en-US"/>
              </w:rPr>
              <w:t>dotac</w:t>
            </w:r>
            <w:r>
              <w:rPr>
                <w:rFonts w:cs="Calibri"/>
                <w:b/>
                <w:lang w:eastAsia="en-US"/>
              </w:rPr>
              <w:t>í</w:t>
            </w:r>
            <w:r w:rsidR="000C6DF3">
              <w:rPr>
                <w:rFonts w:cs="Calibri"/>
                <w:b/>
                <w:lang w:eastAsia="en-US"/>
              </w:rPr>
              <w:t xml:space="preserve"> zkontrolovan</w:t>
            </w:r>
            <w:r>
              <w:rPr>
                <w:rFonts w:cs="Calibri"/>
                <w:b/>
                <w:lang w:eastAsia="en-US"/>
              </w:rPr>
              <w:t>ých</w:t>
            </w:r>
            <w:r w:rsidR="000C6DF3">
              <w:rPr>
                <w:rFonts w:cs="Calibri"/>
                <w:b/>
                <w:lang w:eastAsia="en-US"/>
              </w:rPr>
              <w:t xml:space="preserve"> NKÚ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  <w:r w:rsidR="000C6DF3" w:rsidRPr="001305EF">
              <w:rPr>
                <w:rFonts w:cs="Calibri"/>
                <w:b/>
                <w:lang w:eastAsia="en-US"/>
              </w:rPr>
              <w:br/>
            </w:r>
            <w:r w:rsidR="000C6DF3">
              <w:rPr>
                <w:rFonts w:cs="Calibri"/>
                <w:b/>
                <w:lang w:eastAsia="en-US"/>
              </w:rPr>
              <w:t>u poskytovatelů dotací</w:t>
            </w:r>
          </w:p>
        </w:tc>
        <w:tc>
          <w:tcPr>
            <w:tcW w:w="4538" w:type="dxa"/>
          </w:tcPr>
          <w:p w14:paraId="41085390" w14:textId="4ED8F80D" w:rsidR="000C6DF3" w:rsidRDefault="000C6DF3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Style w:val="A5"/>
                <w:rFonts w:cs="Calibri"/>
                <w:lang w:eastAsia="en-US"/>
              </w:rPr>
              <w:t>66</w:t>
            </w:r>
            <w:r w:rsidRPr="00964D74">
              <w:rPr>
                <w:rStyle w:val="A5"/>
                <w:rFonts w:cs="Calibri"/>
                <w:lang w:eastAsia="en-US"/>
              </w:rPr>
              <w:t xml:space="preserve"> </w:t>
            </w:r>
            <w:r>
              <w:rPr>
                <w:rStyle w:val="A5"/>
                <w:rFonts w:cs="Calibri"/>
                <w:lang w:eastAsia="en-US"/>
              </w:rPr>
              <w:t>mil. Kč</w:t>
            </w:r>
            <w:r w:rsidR="00E032F7">
              <w:rPr>
                <w:rStyle w:val="A5"/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b/>
                <w:color w:val="000000" w:themeColor="text1"/>
                <w:sz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250426C9" w14:textId="5A3347FE" w:rsidR="000C6DF3" w:rsidRDefault="009F1C1A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rFonts w:cs="Calibri"/>
                <w:b/>
                <w:lang w:eastAsia="en-US"/>
              </w:rPr>
              <w:t>výše dotací zkontrolovaných NKÚ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  <w:r w:rsidR="000C6DF3">
              <w:rPr>
                <w:rFonts w:cs="Calibri"/>
                <w:b/>
                <w:lang w:eastAsia="en-US"/>
              </w:rPr>
              <w:br/>
              <w:t>u příjemců dotací</w:t>
            </w:r>
          </w:p>
        </w:tc>
      </w:tr>
      <w:tr w:rsidR="00B269B7" w14:paraId="5A7277BC" w14:textId="77777777" w:rsidTr="00924AF8">
        <w:trPr>
          <w:trHeight w:val="1953"/>
        </w:trPr>
        <w:tc>
          <w:tcPr>
            <w:tcW w:w="4532" w:type="dxa"/>
          </w:tcPr>
          <w:p w14:paraId="3A2DE0B7" w14:textId="5A001DB2" w:rsidR="00B269B7" w:rsidRDefault="00B269B7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bCs/>
                <w:sz w:val="40"/>
                <w:szCs w:val="40"/>
                <w:lang w:eastAsia="en-US"/>
              </w:rPr>
              <w:t>90</w:t>
            </w:r>
            <w:r>
              <w:rPr>
                <w:rFonts w:cs="Calibri"/>
                <w:b/>
                <w:sz w:val="20"/>
                <w:lang w:eastAsia="en-US"/>
              </w:rPr>
              <w:br/>
            </w:r>
          </w:p>
          <w:p w14:paraId="0D129F21" w14:textId="14D81F8E" w:rsidR="00B269B7" w:rsidRDefault="004A6E4C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rFonts w:cs="Calibri"/>
                <w:b/>
                <w:lang w:eastAsia="en-US"/>
              </w:rPr>
              <w:t xml:space="preserve">počet dotací </w:t>
            </w:r>
            <w:r w:rsidR="00B269B7">
              <w:rPr>
                <w:rFonts w:cs="Calibri"/>
                <w:b/>
                <w:lang w:eastAsia="en-US"/>
              </w:rPr>
              <w:t xml:space="preserve">zkontrolovaných </w:t>
            </w:r>
            <w:r>
              <w:rPr>
                <w:rFonts w:cs="Calibri"/>
                <w:b/>
                <w:lang w:eastAsia="en-US"/>
              </w:rPr>
              <w:t>NKÚ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  <w:r w:rsidR="00B269B7" w:rsidRPr="001305EF">
              <w:rPr>
                <w:rFonts w:cs="Calibri"/>
                <w:b/>
                <w:lang w:eastAsia="en-US"/>
              </w:rPr>
              <w:br/>
            </w:r>
            <w:r w:rsidR="00B269B7">
              <w:rPr>
                <w:rFonts w:cs="Calibri"/>
                <w:b/>
                <w:lang w:eastAsia="en-US"/>
              </w:rPr>
              <w:t>u jejich poskytovatelů</w:t>
            </w:r>
          </w:p>
        </w:tc>
        <w:tc>
          <w:tcPr>
            <w:tcW w:w="4538" w:type="dxa"/>
          </w:tcPr>
          <w:p w14:paraId="1E6F75E1" w14:textId="31D6D88D" w:rsidR="00B269B7" w:rsidRDefault="00B269B7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Style w:val="A5"/>
                <w:rFonts w:cs="Calibri"/>
                <w:lang w:eastAsia="en-US"/>
              </w:rPr>
              <w:t>54</w:t>
            </w:r>
            <w:r>
              <w:rPr>
                <w:rFonts w:cs="Calibri"/>
                <w:b/>
                <w:color w:val="000000" w:themeColor="text1"/>
                <w:sz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3509F7C1" w14:textId="70CA102A" w:rsidR="00B269B7" w:rsidRDefault="004A6E4C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rFonts w:cs="Calibri"/>
                <w:b/>
                <w:lang w:eastAsia="en-US"/>
              </w:rPr>
              <w:t xml:space="preserve">počet dotací </w:t>
            </w:r>
            <w:r w:rsidR="00B269B7">
              <w:rPr>
                <w:rFonts w:cs="Calibri"/>
                <w:b/>
                <w:lang w:eastAsia="en-US"/>
              </w:rPr>
              <w:t xml:space="preserve">zkontrolovaných </w:t>
            </w:r>
            <w:r>
              <w:rPr>
                <w:rFonts w:cs="Calibri"/>
                <w:b/>
                <w:lang w:eastAsia="en-US"/>
              </w:rPr>
              <w:t>NKÚ</w:t>
            </w:r>
            <w:r w:rsidR="00E032F7">
              <w:rPr>
                <w:rFonts w:cs="Calibri"/>
                <w:b/>
                <w:lang w:eastAsia="en-US"/>
              </w:rPr>
              <w:t xml:space="preserve"> </w:t>
            </w:r>
            <w:r w:rsidR="00B269B7">
              <w:rPr>
                <w:rFonts w:cs="Calibri"/>
                <w:b/>
                <w:lang w:eastAsia="en-US"/>
              </w:rPr>
              <w:br/>
              <w:t>u jejich příjemců</w:t>
            </w:r>
          </w:p>
        </w:tc>
      </w:tr>
      <w:tr w:rsidR="000C6DF3" w14:paraId="525A9C91" w14:textId="77777777" w:rsidTr="000C6DF3">
        <w:trPr>
          <w:trHeight w:val="1953"/>
        </w:trPr>
        <w:tc>
          <w:tcPr>
            <w:tcW w:w="4532" w:type="dxa"/>
          </w:tcPr>
          <w:p w14:paraId="2DA302B1" w14:textId="1DF9A49C" w:rsidR="000C6DF3" w:rsidRDefault="000C6DF3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 w:rsidRPr="003C0046">
              <w:rPr>
                <w:rFonts w:cs="Calibri"/>
                <w:b/>
                <w:bCs/>
                <w:sz w:val="40"/>
                <w:szCs w:val="40"/>
                <w:lang w:eastAsia="en-US"/>
              </w:rPr>
              <w:t>11</w:t>
            </w:r>
            <w:r w:rsidR="00855F89">
              <w:rPr>
                <w:rFonts w:cs="Calibri"/>
                <w:b/>
                <w:bCs/>
                <w:sz w:val="40"/>
                <w:szCs w:val="40"/>
                <w:lang w:eastAsia="en-US"/>
              </w:rPr>
              <w:t>,</w:t>
            </w:r>
            <w:r w:rsidRPr="003C0046">
              <w:rPr>
                <w:rFonts w:cs="Calibri"/>
                <w:b/>
                <w:bCs/>
                <w:sz w:val="40"/>
                <w:szCs w:val="40"/>
                <w:lang w:eastAsia="en-US"/>
              </w:rPr>
              <w:t>3</w:t>
            </w:r>
            <w:r>
              <w:rPr>
                <w:rFonts w:cs="Calibri"/>
                <w:b/>
                <w:bCs/>
                <w:sz w:val="40"/>
                <w:szCs w:val="40"/>
                <w:lang w:eastAsia="en-US"/>
              </w:rPr>
              <w:t>5</w:t>
            </w:r>
            <w:r w:rsidR="00855F89">
              <w:rPr>
                <w:rFonts w:cs="Calibri"/>
                <w:b/>
                <w:bCs/>
                <w:sz w:val="40"/>
                <w:szCs w:val="40"/>
                <w:lang w:eastAsia="en-US"/>
              </w:rPr>
              <w:t xml:space="preserve"> mil.</w:t>
            </w:r>
            <w:r>
              <w:rPr>
                <w:rFonts w:cs="Calibri"/>
                <w:b/>
                <w:bCs/>
                <w:sz w:val="40"/>
                <w:szCs w:val="40"/>
                <w:lang w:eastAsia="en-US"/>
              </w:rPr>
              <w:t> Kč</w:t>
            </w:r>
            <w:r w:rsidR="00E032F7">
              <w:rPr>
                <w:rFonts w:cs="Calibri"/>
                <w:b/>
                <w:bCs/>
                <w:sz w:val="40"/>
                <w:szCs w:val="40"/>
                <w:lang w:eastAsia="en-US"/>
              </w:rPr>
              <w:t xml:space="preserve"> </w:t>
            </w:r>
            <w:r>
              <w:rPr>
                <w:rFonts w:cs="Calibri"/>
                <w:b/>
                <w:sz w:val="20"/>
                <w:lang w:eastAsia="en-US"/>
              </w:rPr>
              <w:br/>
            </w:r>
          </w:p>
          <w:p w14:paraId="4F85F5AB" w14:textId="61AB1CE9" w:rsidR="000C6DF3" w:rsidRDefault="000C6DF3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rFonts w:cs="Calibri"/>
                <w:b/>
                <w:lang w:eastAsia="en-US"/>
              </w:rPr>
              <w:t>neúčelné výdaje</w:t>
            </w:r>
          </w:p>
        </w:tc>
        <w:tc>
          <w:tcPr>
            <w:tcW w:w="4538" w:type="dxa"/>
          </w:tcPr>
          <w:p w14:paraId="7102C3AD" w14:textId="45B79DBE" w:rsidR="000C6DF3" w:rsidRDefault="00855F89" w:rsidP="00FC602A">
            <w:pPr>
              <w:widowControl/>
              <w:jc w:val="center"/>
              <w:rPr>
                <w:rFonts w:cs="Calibri"/>
                <w:b/>
                <w:lang w:eastAsia="en-US"/>
              </w:rPr>
            </w:pPr>
            <w:r>
              <w:rPr>
                <w:rStyle w:val="A5"/>
                <w:rFonts w:cs="Calibri"/>
                <w:lang w:eastAsia="en-US"/>
              </w:rPr>
              <w:t>0,</w:t>
            </w:r>
            <w:r w:rsidR="000C6DF3" w:rsidRPr="003C0046">
              <w:rPr>
                <w:rStyle w:val="A5"/>
                <w:rFonts w:cs="Calibri"/>
                <w:lang w:eastAsia="en-US"/>
              </w:rPr>
              <w:t>25</w:t>
            </w:r>
            <w:r w:rsidR="000C6DF3">
              <w:rPr>
                <w:rStyle w:val="A5"/>
                <w:rFonts w:cs="Calibri"/>
                <w:lang w:eastAsia="en-US"/>
              </w:rPr>
              <w:t xml:space="preserve">7 </w:t>
            </w:r>
            <w:r>
              <w:rPr>
                <w:rStyle w:val="A5"/>
                <w:rFonts w:cs="Calibri"/>
                <w:lang w:eastAsia="en-US"/>
              </w:rPr>
              <w:t xml:space="preserve">mil. </w:t>
            </w:r>
            <w:r w:rsidR="000C6DF3">
              <w:rPr>
                <w:rStyle w:val="A5"/>
                <w:rFonts w:cs="Calibri"/>
                <w:lang w:eastAsia="en-US"/>
              </w:rPr>
              <w:t>Kč</w:t>
            </w:r>
            <w:r w:rsidR="00E032F7">
              <w:rPr>
                <w:rStyle w:val="A5"/>
                <w:rFonts w:cs="Calibri"/>
                <w:lang w:eastAsia="en-US"/>
              </w:rPr>
              <w:t xml:space="preserve"> </w:t>
            </w:r>
            <w:r w:rsidR="000C6DF3">
              <w:rPr>
                <w:rFonts w:cs="Calibri"/>
                <w:b/>
                <w:color w:val="000000" w:themeColor="text1"/>
                <w:sz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612E9017" w14:textId="2E3CE6EC" w:rsidR="000C6DF3" w:rsidRPr="000C6DF3" w:rsidRDefault="000C6DF3" w:rsidP="00FC602A">
            <w:pPr>
              <w:widowControl/>
              <w:jc w:val="center"/>
              <w:rPr>
                <w:rStyle w:val="A1"/>
                <w:rFonts w:cs="Calibri"/>
                <w:color w:val="auto"/>
                <w:sz w:val="24"/>
                <w:szCs w:val="20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neoprávněné výdaje</w:t>
            </w:r>
          </w:p>
        </w:tc>
      </w:tr>
    </w:tbl>
    <w:p w14:paraId="2DE9F56C" w14:textId="1B073258" w:rsidR="001409EA" w:rsidRPr="0069205A" w:rsidRDefault="00E620F7" w:rsidP="00FC602A">
      <w:pPr>
        <w:widowControl/>
        <w:rPr>
          <w:rFonts w:cs="Calibri"/>
          <w:bCs/>
          <w:sz w:val="28"/>
          <w:szCs w:val="28"/>
        </w:rPr>
      </w:pPr>
      <w:r w:rsidRPr="0069205A">
        <w:br w:type="page"/>
      </w:r>
    </w:p>
    <w:p w14:paraId="0378F95E" w14:textId="77777777" w:rsidR="00E03108" w:rsidRPr="00DA6041" w:rsidRDefault="00E03108" w:rsidP="00FC602A">
      <w:pPr>
        <w:pStyle w:val="Nadpis1"/>
        <w:widowControl/>
      </w:pPr>
      <w:r w:rsidRPr="00DA6041">
        <w:lastRenderedPageBreak/>
        <w:t>Shrnutí a vyhodnocení</w:t>
      </w:r>
    </w:p>
    <w:p w14:paraId="5303496A" w14:textId="1E186D81" w:rsidR="005859D3" w:rsidRPr="00FC602A" w:rsidRDefault="00D71028" w:rsidP="00FC602A">
      <w:pPr>
        <w:widowControl/>
        <w:spacing w:after="120"/>
        <w:rPr>
          <w:szCs w:val="24"/>
        </w:rPr>
      </w:pPr>
      <w:r w:rsidRPr="00067C4C">
        <w:rPr>
          <w:szCs w:val="24"/>
        </w:rPr>
        <w:t xml:space="preserve">NKÚ provedl kontrolu programů </w:t>
      </w:r>
      <w:r w:rsidRPr="00FC602A">
        <w:rPr>
          <w:szCs w:val="24"/>
        </w:rPr>
        <w:t xml:space="preserve">protidrogové politiky. </w:t>
      </w:r>
      <w:r w:rsidR="00E03108" w:rsidRPr="00FC602A">
        <w:rPr>
          <w:szCs w:val="24"/>
        </w:rPr>
        <w:t xml:space="preserve">Cílem </w:t>
      </w:r>
      <w:r w:rsidRPr="00FC602A">
        <w:rPr>
          <w:szCs w:val="24"/>
        </w:rPr>
        <w:t>kontrolní akce</w:t>
      </w:r>
      <w:r w:rsidR="00E03108" w:rsidRPr="00FC602A">
        <w:rPr>
          <w:szCs w:val="24"/>
        </w:rPr>
        <w:t xml:space="preserve"> bylo prověřit, zda byly prostředky určené na </w:t>
      </w:r>
      <w:r w:rsidRPr="00FC602A">
        <w:rPr>
          <w:szCs w:val="24"/>
        </w:rPr>
        <w:t xml:space="preserve">tyto </w:t>
      </w:r>
      <w:r w:rsidR="00E03108" w:rsidRPr="00FC602A">
        <w:rPr>
          <w:szCs w:val="24"/>
        </w:rPr>
        <w:t>programy vynakládány účelně a přispívaly k naplňování cí</w:t>
      </w:r>
      <w:r w:rsidR="005859D3" w:rsidRPr="00FC602A">
        <w:rPr>
          <w:szCs w:val="24"/>
        </w:rPr>
        <w:t>lů stanovených pro tuto oblast.</w:t>
      </w:r>
    </w:p>
    <w:p w14:paraId="59EF8865" w14:textId="481F904F" w:rsidR="00855F89" w:rsidRDefault="00E03108" w:rsidP="00FC602A">
      <w:pPr>
        <w:widowControl/>
        <w:spacing w:after="120"/>
        <w:rPr>
          <w:b/>
          <w:szCs w:val="24"/>
        </w:rPr>
      </w:pPr>
      <w:r w:rsidRPr="00DA6041">
        <w:rPr>
          <w:szCs w:val="24"/>
        </w:rPr>
        <w:t xml:space="preserve">Kontrola se zaměřila na výdaje z kapitol státního rozpočtu </w:t>
      </w:r>
      <w:r w:rsidRPr="00067C4C">
        <w:rPr>
          <w:szCs w:val="24"/>
        </w:rPr>
        <w:t xml:space="preserve">304 </w:t>
      </w:r>
      <w:r w:rsidRPr="00F36363">
        <w:rPr>
          <w:i/>
          <w:szCs w:val="24"/>
        </w:rPr>
        <w:t xml:space="preserve">– Úřad vlády České </w:t>
      </w:r>
      <w:r w:rsidR="005721E0">
        <w:rPr>
          <w:i/>
          <w:szCs w:val="24"/>
        </w:rPr>
        <w:br/>
      </w:r>
      <w:r w:rsidRPr="00F36363">
        <w:rPr>
          <w:i/>
          <w:szCs w:val="24"/>
        </w:rPr>
        <w:t>republiky</w:t>
      </w:r>
      <w:r w:rsidRPr="00DA6041">
        <w:rPr>
          <w:szCs w:val="24"/>
        </w:rPr>
        <w:t xml:space="preserve">, </w:t>
      </w:r>
      <w:r w:rsidRPr="00067C4C">
        <w:rPr>
          <w:szCs w:val="24"/>
        </w:rPr>
        <w:t>333</w:t>
      </w:r>
      <w:r w:rsidRPr="00F36363">
        <w:rPr>
          <w:i/>
          <w:szCs w:val="24"/>
        </w:rPr>
        <w:t xml:space="preserve"> – Ministerstvo školství, mládeže a tělovýchovy</w:t>
      </w:r>
      <w:r w:rsidRPr="00DA6041">
        <w:rPr>
          <w:szCs w:val="24"/>
        </w:rPr>
        <w:t xml:space="preserve">, </w:t>
      </w:r>
      <w:r w:rsidRPr="00067C4C">
        <w:rPr>
          <w:szCs w:val="24"/>
        </w:rPr>
        <w:t>335</w:t>
      </w:r>
      <w:r w:rsidRPr="00F36363">
        <w:rPr>
          <w:i/>
          <w:szCs w:val="24"/>
        </w:rPr>
        <w:t xml:space="preserve"> – Ministerstvo zdravotnictví</w:t>
      </w:r>
      <w:r w:rsidRPr="00DA6041">
        <w:rPr>
          <w:szCs w:val="24"/>
        </w:rPr>
        <w:t xml:space="preserve"> a </w:t>
      </w:r>
      <w:r w:rsidRPr="00067C4C">
        <w:rPr>
          <w:szCs w:val="24"/>
        </w:rPr>
        <w:t>336</w:t>
      </w:r>
      <w:r w:rsidRPr="00F36363">
        <w:rPr>
          <w:i/>
          <w:szCs w:val="24"/>
        </w:rPr>
        <w:t xml:space="preserve"> – Ministerstvo spravedlnosti</w:t>
      </w:r>
      <w:r w:rsidRPr="00DA6041">
        <w:rPr>
          <w:szCs w:val="24"/>
        </w:rPr>
        <w:t xml:space="preserve"> určené na programy protidrogové politiky.</w:t>
      </w:r>
      <w:r w:rsidR="00855F89" w:rsidRPr="00855F89">
        <w:rPr>
          <w:b/>
          <w:szCs w:val="24"/>
        </w:rPr>
        <w:t xml:space="preserve"> </w:t>
      </w:r>
    </w:p>
    <w:p w14:paraId="40243F2D" w14:textId="7017BE61" w:rsidR="00E03108" w:rsidRDefault="00855F89" w:rsidP="00FC602A">
      <w:pPr>
        <w:widowControl/>
        <w:spacing w:after="120"/>
        <w:rPr>
          <w:szCs w:val="24"/>
        </w:rPr>
      </w:pPr>
      <w:r>
        <w:rPr>
          <w:b/>
          <w:szCs w:val="24"/>
        </w:rPr>
        <w:t>Přes značné množství vynakládaných prostředků se strategické cíle v protidrogové oblasti nedaří plnit a plnění cílů jednotlivých akčních plánů bylo v kontrolovaném období také nedostatečné.</w:t>
      </w:r>
    </w:p>
    <w:p w14:paraId="43CC8ADC" w14:textId="77777777" w:rsidR="00855F89" w:rsidRDefault="00855F89" w:rsidP="00FC602A">
      <w:pPr>
        <w:widowControl/>
        <w:spacing w:after="120"/>
        <w:rPr>
          <w:b/>
          <w:szCs w:val="24"/>
        </w:rPr>
      </w:pPr>
      <w:r>
        <w:rPr>
          <w:b/>
          <w:szCs w:val="24"/>
        </w:rPr>
        <w:t xml:space="preserve">Dle NKÚ nebyly peněžní prostředky z programu protidrogové politiky vynakládány vždy účelně. </w:t>
      </w:r>
    </w:p>
    <w:p w14:paraId="6638BB72" w14:textId="78C9ACF1" w:rsidR="00855F89" w:rsidRDefault="00855F89" w:rsidP="00FC602A">
      <w:pPr>
        <w:widowControl/>
        <w:spacing w:after="120"/>
        <w:rPr>
          <w:b/>
          <w:szCs w:val="24"/>
        </w:rPr>
      </w:pPr>
      <w:r>
        <w:rPr>
          <w:b/>
          <w:szCs w:val="24"/>
        </w:rPr>
        <w:t>Dotace v objemu 11,35 mil. Kč, které ÚV ČR poskytl na dofinancování projekt</w:t>
      </w:r>
      <w:r w:rsidR="0010229D">
        <w:rPr>
          <w:b/>
          <w:szCs w:val="24"/>
        </w:rPr>
        <w:t>ů</w:t>
      </w:r>
      <w:r>
        <w:rPr>
          <w:b/>
          <w:szCs w:val="24"/>
        </w:rPr>
        <w:t xml:space="preserve"> v samotném závěru roku, neměly významný vliv na splnění cílů podpořených projek</w:t>
      </w:r>
      <w:r w:rsidR="00CE13D3">
        <w:rPr>
          <w:b/>
          <w:szCs w:val="24"/>
        </w:rPr>
        <w:t>t</w:t>
      </w:r>
      <w:r>
        <w:rPr>
          <w:b/>
          <w:szCs w:val="24"/>
        </w:rPr>
        <w:t xml:space="preserve">ů. </w:t>
      </w:r>
    </w:p>
    <w:p w14:paraId="60D835E8" w14:textId="3038F687" w:rsidR="00B269B7" w:rsidRDefault="00D71028" w:rsidP="00FC602A">
      <w:pPr>
        <w:widowControl/>
        <w:spacing w:after="120"/>
        <w:rPr>
          <w:b/>
          <w:szCs w:val="24"/>
        </w:rPr>
      </w:pPr>
      <w:r w:rsidRPr="00D71028">
        <w:rPr>
          <w:b/>
          <w:szCs w:val="24"/>
        </w:rPr>
        <w:t xml:space="preserve">NKÚ kontrolou </w:t>
      </w:r>
      <w:r w:rsidR="00074753">
        <w:rPr>
          <w:b/>
          <w:szCs w:val="24"/>
        </w:rPr>
        <w:t xml:space="preserve">dále </w:t>
      </w:r>
      <w:r>
        <w:rPr>
          <w:b/>
          <w:szCs w:val="24"/>
        </w:rPr>
        <w:t>zjistil, že</w:t>
      </w:r>
      <w:r w:rsidR="006A54E1">
        <w:rPr>
          <w:b/>
          <w:szCs w:val="24"/>
        </w:rPr>
        <w:t xml:space="preserve"> </w:t>
      </w:r>
      <w:r w:rsidR="00861F23">
        <w:rPr>
          <w:b/>
          <w:szCs w:val="24"/>
        </w:rPr>
        <w:t>MS a MŠMT</w:t>
      </w:r>
      <w:r w:rsidR="006A54E1">
        <w:rPr>
          <w:b/>
          <w:szCs w:val="24"/>
        </w:rPr>
        <w:t xml:space="preserve"> </w:t>
      </w:r>
      <w:r w:rsidR="00E03108">
        <w:rPr>
          <w:b/>
          <w:szCs w:val="24"/>
        </w:rPr>
        <w:t>ne</w:t>
      </w:r>
      <w:r w:rsidR="006A54E1">
        <w:rPr>
          <w:b/>
          <w:szCs w:val="24"/>
        </w:rPr>
        <w:t>stanovily v programech protidrogové politiky</w:t>
      </w:r>
      <w:r w:rsidR="00E03108">
        <w:rPr>
          <w:b/>
          <w:szCs w:val="24"/>
        </w:rPr>
        <w:t xml:space="preserve"> </w:t>
      </w:r>
      <w:r w:rsidR="005859D3">
        <w:rPr>
          <w:b/>
          <w:szCs w:val="24"/>
        </w:rPr>
        <w:t xml:space="preserve">měřitelné </w:t>
      </w:r>
      <w:r w:rsidR="00E03108">
        <w:rPr>
          <w:b/>
          <w:szCs w:val="24"/>
        </w:rPr>
        <w:t>cíle</w:t>
      </w:r>
      <w:r w:rsidR="00384A67">
        <w:rPr>
          <w:b/>
          <w:szCs w:val="24"/>
        </w:rPr>
        <w:t>, na jejichž základě by bylo možné vyhodnotit jejich reálný dopad</w:t>
      </w:r>
      <w:r w:rsidR="00E03108">
        <w:rPr>
          <w:b/>
          <w:szCs w:val="24"/>
        </w:rPr>
        <w:t xml:space="preserve">. </w:t>
      </w:r>
    </w:p>
    <w:p w14:paraId="79C5B54B" w14:textId="1E6C3FCE" w:rsidR="00B269B7" w:rsidRDefault="00E03108" w:rsidP="00FC602A">
      <w:pPr>
        <w:widowControl/>
        <w:spacing w:after="120"/>
        <w:rPr>
          <w:b/>
          <w:szCs w:val="24"/>
        </w:rPr>
      </w:pPr>
      <w:r w:rsidRPr="00DA6041">
        <w:rPr>
          <w:b/>
          <w:szCs w:val="24"/>
        </w:rPr>
        <w:t>V</w:t>
      </w:r>
      <w:r w:rsidR="009310F2">
        <w:rPr>
          <w:b/>
          <w:szCs w:val="24"/>
        </w:rPr>
        <w:t>šechn</w:t>
      </w:r>
      <w:r w:rsidR="006F67B6">
        <w:rPr>
          <w:b/>
          <w:szCs w:val="24"/>
        </w:rPr>
        <w:t>a kontrolovaná ministerstva</w:t>
      </w:r>
      <w:r w:rsidR="005A1773">
        <w:rPr>
          <w:b/>
          <w:szCs w:val="24"/>
        </w:rPr>
        <w:t xml:space="preserve"> i ÚV ČR</w:t>
      </w:r>
      <w:r>
        <w:rPr>
          <w:b/>
          <w:szCs w:val="24"/>
        </w:rPr>
        <w:t xml:space="preserve"> v </w:t>
      </w:r>
      <w:r w:rsidRPr="00DA6041">
        <w:rPr>
          <w:b/>
          <w:szCs w:val="24"/>
        </w:rPr>
        <w:t xml:space="preserve">procesu poskytování </w:t>
      </w:r>
      <w:r w:rsidR="00723D0B">
        <w:rPr>
          <w:b/>
          <w:szCs w:val="24"/>
        </w:rPr>
        <w:t xml:space="preserve">a administrace </w:t>
      </w:r>
      <w:r w:rsidRPr="00DA6041">
        <w:rPr>
          <w:b/>
          <w:szCs w:val="24"/>
        </w:rPr>
        <w:t xml:space="preserve">dotací </w:t>
      </w:r>
      <w:r>
        <w:rPr>
          <w:b/>
          <w:szCs w:val="24"/>
        </w:rPr>
        <w:t>chybovaly, jejich kontrolní systémy selhávaly.</w:t>
      </w:r>
      <w:r w:rsidR="00B269B7">
        <w:rPr>
          <w:b/>
          <w:szCs w:val="24"/>
        </w:rPr>
        <w:t xml:space="preserve"> </w:t>
      </w:r>
      <w:r>
        <w:rPr>
          <w:b/>
          <w:szCs w:val="24"/>
        </w:rPr>
        <w:t xml:space="preserve">V některých případech bylo přidělování dotací navíc zcela netransparentní. </w:t>
      </w:r>
    </w:p>
    <w:p w14:paraId="499868C1" w14:textId="5682FA35" w:rsidR="00E03108" w:rsidRDefault="00E03108" w:rsidP="00FC602A">
      <w:pPr>
        <w:widowControl/>
        <w:spacing w:after="120"/>
        <w:rPr>
          <w:b/>
          <w:szCs w:val="24"/>
        </w:rPr>
      </w:pPr>
      <w:r>
        <w:rPr>
          <w:b/>
          <w:szCs w:val="24"/>
        </w:rPr>
        <w:t>Nedostatky byly zjištěny i u příjemců dotací.</w:t>
      </w:r>
    </w:p>
    <w:p w14:paraId="76F791EC" w14:textId="13F6CA5B" w:rsidR="00D71028" w:rsidRDefault="00E319A7" w:rsidP="00FC602A">
      <w:pPr>
        <w:widowControl/>
        <w:spacing w:after="120"/>
        <w:rPr>
          <w:b/>
          <w:szCs w:val="24"/>
        </w:rPr>
      </w:pPr>
      <w:r>
        <w:rPr>
          <w:b/>
          <w:szCs w:val="24"/>
        </w:rPr>
        <w:t xml:space="preserve">V roce 2020 došlo k centralizaci peněžních prostředků a dotačních titulů programu protidrogové politiky do rozpočtové kapitoly ÚV ČR. </w:t>
      </w:r>
      <w:r w:rsidR="00D71028" w:rsidRPr="00835D3F">
        <w:rPr>
          <w:b/>
          <w:szCs w:val="24"/>
        </w:rPr>
        <w:t xml:space="preserve">ÚV ČR se snaží </w:t>
      </w:r>
      <w:r w:rsidR="00384A67">
        <w:rPr>
          <w:b/>
          <w:szCs w:val="24"/>
        </w:rPr>
        <w:t>v rámci protidrogové oblasti</w:t>
      </w:r>
      <w:r w:rsidR="00384A67" w:rsidRPr="00835D3F">
        <w:rPr>
          <w:b/>
          <w:szCs w:val="24"/>
        </w:rPr>
        <w:t xml:space="preserve"> </w:t>
      </w:r>
      <w:r w:rsidR="00D71028" w:rsidRPr="00835D3F">
        <w:rPr>
          <w:b/>
          <w:szCs w:val="24"/>
        </w:rPr>
        <w:t xml:space="preserve">reagovat na situaci spojenou s </w:t>
      </w:r>
      <w:r w:rsidR="0068672C">
        <w:rPr>
          <w:b/>
          <w:szCs w:val="24"/>
        </w:rPr>
        <w:t>pan</w:t>
      </w:r>
      <w:r w:rsidR="00D71028" w:rsidRPr="00835D3F">
        <w:rPr>
          <w:b/>
          <w:szCs w:val="24"/>
        </w:rPr>
        <w:t xml:space="preserve">demií </w:t>
      </w:r>
      <w:r w:rsidR="0068672C">
        <w:rPr>
          <w:b/>
          <w:szCs w:val="24"/>
        </w:rPr>
        <w:t>covid</w:t>
      </w:r>
      <w:r w:rsidR="00F774DA">
        <w:rPr>
          <w:b/>
          <w:szCs w:val="24"/>
        </w:rPr>
        <w:t>u</w:t>
      </w:r>
      <w:r w:rsidR="00D71028" w:rsidRPr="00835D3F">
        <w:rPr>
          <w:b/>
          <w:szCs w:val="24"/>
        </w:rPr>
        <w:t>-19</w:t>
      </w:r>
      <w:r w:rsidR="00384A67">
        <w:rPr>
          <w:b/>
          <w:szCs w:val="24"/>
        </w:rPr>
        <w:t>.</w:t>
      </w:r>
    </w:p>
    <w:p w14:paraId="12A5F476" w14:textId="77777777" w:rsidR="00835D3F" w:rsidRPr="00F774DA" w:rsidRDefault="00835D3F" w:rsidP="00FC602A">
      <w:pPr>
        <w:widowControl/>
        <w:spacing w:after="120"/>
        <w:rPr>
          <w:b/>
          <w:szCs w:val="24"/>
        </w:rPr>
      </w:pPr>
      <w:r w:rsidRPr="00067C4C">
        <w:rPr>
          <w:szCs w:val="24"/>
        </w:rPr>
        <w:t>Shrnutí a vyhodnocení vychází z těchto hlavních zjištění z kontroly:</w:t>
      </w:r>
    </w:p>
    <w:p w14:paraId="03A011BC" w14:textId="27B54805" w:rsidR="00E03108" w:rsidRPr="00835D3F" w:rsidRDefault="00E03108" w:rsidP="00067C4C">
      <w:pPr>
        <w:pStyle w:val="Kapitoly"/>
        <w:spacing w:after="120"/>
      </w:pPr>
      <w:r w:rsidRPr="00835D3F">
        <w:t xml:space="preserve">Cíle </w:t>
      </w:r>
      <w:r w:rsidRPr="00067C4C">
        <w:rPr>
          <w:i/>
        </w:rPr>
        <w:t>Národní strategie protidrogové politiky pro období 2010–2018</w:t>
      </w:r>
      <w:r w:rsidRPr="00835D3F">
        <w:t xml:space="preserve"> se </w:t>
      </w:r>
      <w:r w:rsidR="00D930F9" w:rsidRPr="00835D3F">
        <w:t xml:space="preserve">nepodařilo </w:t>
      </w:r>
      <w:r w:rsidRPr="00835D3F">
        <w:t xml:space="preserve">naplnit </w:t>
      </w:r>
    </w:p>
    <w:p w14:paraId="2ED51BFC" w14:textId="19736FEA" w:rsidR="00E03108" w:rsidRPr="00DA6041" w:rsidRDefault="00E03108" w:rsidP="00FC602A">
      <w:pPr>
        <w:pStyle w:val="Odstavecseseznamem"/>
        <w:spacing w:after="120"/>
        <w:contextualSpacing w:val="0"/>
        <w:rPr>
          <w:szCs w:val="24"/>
        </w:rPr>
      </w:pPr>
      <w:r w:rsidRPr="00DA6041">
        <w:rPr>
          <w:szCs w:val="24"/>
        </w:rPr>
        <w:t xml:space="preserve">ÚV ČR provedl v roce 2018 evaluaci </w:t>
      </w:r>
      <w:r w:rsidRPr="00067C4C">
        <w:rPr>
          <w:i/>
          <w:szCs w:val="24"/>
        </w:rPr>
        <w:t>Národní strategie protidrogové politiky pro období</w:t>
      </w:r>
      <w:r w:rsidR="00D52922" w:rsidRPr="00067C4C">
        <w:rPr>
          <w:i/>
          <w:szCs w:val="24"/>
        </w:rPr>
        <w:t xml:space="preserve"> </w:t>
      </w:r>
      <w:r w:rsidR="00F34C40" w:rsidRPr="00067C4C">
        <w:rPr>
          <w:i/>
          <w:szCs w:val="24"/>
        </w:rPr>
        <w:br/>
      </w:r>
      <w:r w:rsidRPr="00067C4C">
        <w:rPr>
          <w:i/>
          <w:szCs w:val="24"/>
        </w:rPr>
        <w:t>2010–2018</w:t>
      </w:r>
      <w:r w:rsidR="00981D17">
        <w:rPr>
          <w:szCs w:val="24"/>
        </w:rPr>
        <w:t xml:space="preserve"> </w:t>
      </w:r>
      <w:r w:rsidR="00981D17" w:rsidRPr="00CB5338">
        <w:rPr>
          <w:szCs w:val="24"/>
        </w:rPr>
        <w:t>(dále také „Strategie 2018“)</w:t>
      </w:r>
      <w:r w:rsidRPr="00DA6041">
        <w:rPr>
          <w:szCs w:val="24"/>
        </w:rPr>
        <w:t xml:space="preserve">. Přestože ÚV ČR neměl v posledním roce </w:t>
      </w:r>
      <w:r w:rsidR="00981D17">
        <w:rPr>
          <w:szCs w:val="24"/>
        </w:rPr>
        <w:t xml:space="preserve">její </w:t>
      </w:r>
      <w:r w:rsidRPr="00DA6041">
        <w:rPr>
          <w:szCs w:val="24"/>
        </w:rPr>
        <w:t>účinnosti veškeré relevantní informace, vyhodnotil, že v oblasti nelegálních drog byl splněn pouze jeden cíl ze čtyř</w:t>
      </w:r>
      <w:r w:rsidR="00924AF8">
        <w:rPr>
          <w:szCs w:val="24"/>
        </w:rPr>
        <w:t xml:space="preserve">, které </w:t>
      </w:r>
      <w:r w:rsidR="00981D17" w:rsidRPr="00CB5338">
        <w:rPr>
          <w:szCs w:val="24"/>
        </w:rPr>
        <w:t>Strategie 2018</w:t>
      </w:r>
      <w:r w:rsidR="00924AF8">
        <w:rPr>
          <w:szCs w:val="24"/>
        </w:rPr>
        <w:t xml:space="preserve"> stanovila,</w:t>
      </w:r>
      <w:r w:rsidRPr="00DA6041">
        <w:rPr>
          <w:szCs w:val="24"/>
        </w:rPr>
        <w:t xml:space="preserve"> a stejně </w:t>
      </w:r>
      <w:r>
        <w:rPr>
          <w:szCs w:val="24"/>
        </w:rPr>
        <w:t xml:space="preserve">tak </w:t>
      </w:r>
      <w:r w:rsidR="00C2764B">
        <w:rPr>
          <w:szCs w:val="24"/>
        </w:rPr>
        <w:t xml:space="preserve">u </w:t>
      </w:r>
      <w:r w:rsidRPr="00DA6041">
        <w:rPr>
          <w:szCs w:val="24"/>
        </w:rPr>
        <w:t xml:space="preserve">hazardního hraní. V oblasti alkoholu </w:t>
      </w:r>
      <w:r w:rsidR="00A90D3F">
        <w:rPr>
          <w:szCs w:val="24"/>
        </w:rPr>
        <w:br/>
      </w:r>
      <w:r w:rsidRPr="00DA6041">
        <w:rPr>
          <w:szCs w:val="24"/>
        </w:rPr>
        <w:t>a kontroly tabáku nebyly cíle plněny vůbec nebo pouze částečně. Cíle jednotlivých akčních plánů, které měly sloužit k implementaci Strategie 2018, se nepodařilo splnit z více než 40 %, přestože na jejich realizaci stát prostřednictví</w:t>
      </w:r>
      <w:r w:rsidR="00AB0A9D">
        <w:rPr>
          <w:szCs w:val="24"/>
        </w:rPr>
        <w:t>m</w:t>
      </w:r>
      <w:r w:rsidRPr="00DA6041">
        <w:rPr>
          <w:szCs w:val="24"/>
        </w:rPr>
        <w:t xml:space="preserve"> dotačních programů každoročně vydával stovky milionů korun.</w:t>
      </w:r>
    </w:p>
    <w:p w14:paraId="0A075C1F" w14:textId="1777699C" w:rsidR="001A239E" w:rsidRPr="00DE3FF7" w:rsidRDefault="00860D4D" w:rsidP="00067C4C">
      <w:pPr>
        <w:pStyle w:val="Kapitoly"/>
        <w:spacing w:after="120"/>
        <w:rPr>
          <w:strike/>
        </w:rPr>
      </w:pPr>
      <w:r>
        <w:t>Některá ministerstva nestanovila c</w:t>
      </w:r>
      <w:r w:rsidR="001A239E" w:rsidRPr="001A239E">
        <w:t>íl</w:t>
      </w:r>
      <w:r>
        <w:t xml:space="preserve">e </w:t>
      </w:r>
      <w:r w:rsidR="001A239E" w:rsidRPr="001A239E">
        <w:t>protidrogových programů</w:t>
      </w:r>
      <w:r w:rsidR="00B04829">
        <w:t>,</w:t>
      </w:r>
      <w:r>
        <w:t xml:space="preserve"> </w:t>
      </w:r>
      <w:r w:rsidR="000C4B46">
        <w:t xml:space="preserve">také </w:t>
      </w:r>
      <w:r>
        <w:t>hodnocení dopad</w:t>
      </w:r>
      <w:r w:rsidR="00293BFD">
        <w:t>ů</w:t>
      </w:r>
      <w:r w:rsidRPr="001A239E">
        <w:t xml:space="preserve"> </w:t>
      </w:r>
      <w:r w:rsidR="000C4B46">
        <w:t>poskytnutých dotací některé re</w:t>
      </w:r>
      <w:r w:rsidR="00293BFD">
        <w:t>s</w:t>
      </w:r>
      <w:r w:rsidR="000C4B46">
        <w:t xml:space="preserve">orty neprováděly </w:t>
      </w:r>
    </w:p>
    <w:p w14:paraId="3D19BA24" w14:textId="4DB6599F" w:rsidR="00E03108" w:rsidRDefault="000B59CD" w:rsidP="00FC602A">
      <w:pPr>
        <w:widowControl/>
        <w:spacing w:after="120"/>
        <w:rPr>
          <w:szCs w:val="24"/>
        </w:rPr>
      </w:pPr>
      <w:r w:rsidRPr="000B59CD">
        <w:rPr>
          <w:szCs w:val="24"/>
        </w:rPr>
        <w:t xml:space="preserve">Dotační programy, jejichž prostřednictvím realizovaly </w:t>
      </w:r>
      <w:r w:rsidR="00860D4D">
        <w:rPr>
          <w:szCs w:val="24"/>
        </w:rPr>
        <w:t>MS a MŠMT</w:t>
      </w:r>
      <w:r w:rsidRPr="000B59CD">
        <w:rPr>
          <w:szCs w:val="24"/>
        </w:rPr>
        <w:t xml:space="preserve"> protidrogovou politiku státu, neměly nastaven</w:t>
      </w:r>
      <w:r w:rsidR="00292F1C">
        <w:rPr>
          <w:szCs w:val="24"/>
        </w:rPr>
        <w:t>y</w:t>
      </w:r>
      <w:r w:rsidRPr="000B59CD">
        <w:rPr>
          <w:szCs w:val="24"/>
        </w:rPr>
        <w:t xml:space="preserve"> měřitelné a vyhodnotitelné cíle</w:t>
      </w:r>
      <w:r>
        <w:rPr>
          <w:szCs w:val="24"/>
        </w:rPr>
        <w:t xml:space="preserve"> či ukazatele jejich účinnosti</w:t>
      </w:r>
      <w:r w:rsidRPr="000B59CD">
        <w:rPr>
          <w:szCs w:val="24"/>
        </w:rPr>
        <w:t xml:space="preserve">. </w:t>
      </w:r>
      <w:r w:rsidR="00860D4D">
        <w:rPr>
          <w:szCs w:val="24"/>
        </w:rPr>
        <w:t xml:space="preserve">Hodnocení </w:t>
      </w:r>
      <w:r w:rsidRPr="000B59CD">
        <w:rPr>
          <w:szCs w:val="24"/>
        </w:rPr>
        <w:t>plnění účelu</w:t>
      </w:r>
      <w:r w:rsidR="007972E6">
        <w:rPr>
          <w:szCs w:val="24"/>
        </w:rPr>
        <w:t xml:space="preserve"> </w:t>
      </w:r>
      <w:r w:rsidRPr="000B59CD">
        <w:rPr>
          <w:szCs w:val="24"/>
        </w:rPr>
        <w:t>a</w:t>
      </w:r>
      <w:r w:rsidR="007972E6">
        <w:rPr>
          <w:szCs w:val="24"/>
        </w:rPr>
        <w:t>ni</w:t>
      </w:r>
      <w:r w:rsidRPr="000B59CD">
        <w:rPr>
          <w:szCs w:val="24"/>
        </w:rPr>
        <w:t xml:space="preserve"> </w:t>
      </w:r>
      <w:r w:rsidR="00061183">
        <w:rPr>
          <w:szCs w:val="24"/>
        </w:rPr>
        <w:t xml:space="preserve">hodnocení </w:t>
      </w:r>
      <w:r w:rsidR="00981D17">
        <w:rPr>
          <w:szCs w:val="24"/>
        </w:rPr>
        <w:t>dopad</w:t>
      </w:r>
      <w:r w:rsidR="00860D4D">
        <w:rPr>
          <w:szCs w:val="24"/>
        </w:rPr>
        <w:t>u</w:t>
      </w:r>
      <w:r w:rsidR="00981D17" w:rsidRPr="000B59CD">
        <w:rPr>
          <w:szCs w:val="24"/>
        </w:rPr>
        <w:t xml:space="preserve"> </w:t>
      </w:r>
      <w:r w:rsidRPr="000B59CD">
        <w:rPr>
          <w:szCs w:val="24"/>
        </w:rPr>
        <w:t xml:space="preserve">vynakládaných </w:t>
      </w:r>
      <w:r w:rsidR="00D20DF5">
        <w:rPr>
          <w:szCs w:val="24"/>
        </w:rPr>
        <w:t xml:space="preserve">peněžních </w:t>
      </w:r>
      <w:r w:rsidRPr="000B59CD">
        <w:rPr>
          <w:szCs w:val="24"/>
        </w:rPr>
        <w:t xml:space="preserve">prostředků </w:t>
      </w:r>
      <w:r w:rsidR="00860D4D">
        <w:rPr>
          <w:szCs w:val="24"/>
        </w:rPr>
        <w:t>MŠMT a</w:t>
      </w:r>
      <w:r w:rsidR="00061183">
        <w:rPr>
          <w:szCs w:val="24"/>
        </w:rPr>
        <w:t> </w:t>
      </w:r>
      <w:r w:rsidR="00860D4D">
        <w:rPr>
          <w:szCs w:val="24"/>
        </w:rPr>
        <w:t xml:space="preserve">MZ </w:t>
      </w:r>
      <w:r w:rsidRPr="000B59CD">
        <w:rPr>
          <w:szCs w:val="24"/>
        </w:rPr>
        <w:t>nepro</w:t>
      </w:r>
      <w:r w:rsidR="00860D4D">
        <w:rPr>
          <w:szCs w:val="24"/>
        </w:rPr>
        <w:t>váděly</w:t>
      </w:r>
      <w:r w:rsidRPr="000B59CD">
        <w:rPr>
          <w:szCs w:val="24"/>
        </w:rPr>
        <w:t>.</w:t>
      </w:r>
    </w:p>
    <w:p w14:paraId="007D62B4" w14:textId="77777777" w:rsidR="00FC602A" w:rsidRDefault="00FC602A">
      <w:pPr>
        <w:widowControl/>
        <w:autoSpaceDE/>
        <w:autoSpaceDN/>
        <w:adjustRightInd/>
        <w:spacing w:after="160" w:line="259" w:lineRule="auto"/>
        <w:jc w:val="left"/>
        <w:rPr>
          <w:rFonts w:cs="Times New Roman"/>
          <w:b/>
          <w:szCs w:val="24"/>
          <w:lang w:eastAsia="en-US"/>
        </w:rPr>
      </w:pPr>
      <w:r>
        <w:br w:type="page"/>
      </w:r>
    </w:p>
    <w:p w14:paraId="1F06C4A2" w14:textId="767A0487" w:rsidR="00E03108" w:rsidRDefault="0080609B" w:rsidP="00067C4C">
      <w:pPr>
        <w:pStyle w:val="Kapitoly"/>
        <w:spacing w:after="120"/>
      </w:pPr>
      <w:r>
        <w:lastRenderedPageBreak/>
        <w:t>Dotace vyplacené Ú</w:t>
      </w:r>
      <w:r w:rsidR="00B73282">
        <w:t>řadem vlády</w:t>
      </w:r>
      <w:r>
        <w:t xml:space="preserve"> ČR v rámci tzv. d</w:t>
      </w:r>
      <w:r w:rsidR="00E03108" w:rsidRPr="00835D3F">
        <w:t xml:space="preserve">ofinancování </w:t>
      </w:r>
      <w:r>
        <w:t>projektů v roce</w:t>
      </w:r>
      <w:r w:rsidR="00E03108" w:rsidRPr="00835D3F">
        <w:t xml:space="preserve"> 2019</w:t>
      </w:r>
      <w:r>
        <w:t xml:space="preserve"> nelze považovat za účelné</w:t>
      </w:r>
    </w:p>
    <w:p w14:paraId="2D4AC3A0" w14:textId="5097E8B1" w:rsidR="00FD1102" w:rsidRPr="00FD1102" w:rsidRDefault="00E03108" w:rsidP="00FC602A">
      <w:pPr>
        <w:widowControl/>
        <w:spacing w:after="120"/>
        <w:rPr>
          <w:strike/>
          <w:szCs w:val="24"/>
        </w:rPr>
      </w:pPr>
      <w:r w:rsidRPr="00DA6041">
        <w:rPr>
          <w:szCs w:val="24"/>
        </w:rPr>
        <w:t>Dotace v oblasti protidrogové politiky byly</w:t>
      </w:r>
      <w:r w:rsidR="007972E6">
        <w:rPr>
          <w:szCs w:val="24"/>
        </w:rPr>
        <w:t xml:space="preserve"> v kontrolovaném období</w:t>
      </w:r>
      <w:r w:rsidRPr="00DA6041">
        <w:rPr>
          <w:szCs w:val="24"/>
        </w:rPr>
        <w:t xml:space="preserve"> vypláceny </w:t>
      </w:r>
      <w:r w:rsidR="00B73282" w:rsidRPr="00DA6041">
        <w:rPr>
          <w:szCs w:val="24"/>
        </w:rPr>
        <w:t xml:space="preserve">vždy </w:t>
      </w:r>
      <w:r w:rsidRPr="00DA6041">
        <w:rPr>
          <w:szCs w:val="24"/>
        </w:rPr>
        <w:t>na jeden kalendářní rok. ÚV ČR navýšil v roce 2019</w:t>
      </w:r>
      <w:r w:rsidR="0080609B">
        <w:rPr>
          <w:szCs w:val="24"/>
        </w:rPr>
        <w:t xml:space="preserve"> v rámci tzv. dofinancování</w:t>
      </w:r>
      <w:r w:rsidRPr="00DA6041">
        <w:rPr>
          <w:szCs w:val="24"/>
        </w:rPr>
        <w:t xml:space="preserve"> dotační prostředky</w:t>
      </w:r>
      <w:r w:rsidR="0080609B">
        <w:rPr>
          <w:szCs w:val="24"/>
        </w:rPr>
        <w:t xml:space="preserve"> </w:t>
      </w:r>
      <w:r w:rsidR="00A90D3F">
        <w:rPr>
          <w:szCs w:val="24"/>
        </w:rPr>
        <w:br/>
      </w:r>
      <w:r w:rsidR="0080609B">
        <w:rPr>
          <w:szCs w:val="24"/>
        </w:rPr>
        <w:t>na vybrané projekty</w:t>
      </w:r>
      <w:r w:rsidRPr="00DA6041">
        <w:rPr>
          <w:szCs w:val="24"/>
        </w:rPr>
        <w:t xml:space="preserve"> v samotném závěru roku, kdy už </w:t>
      </w:r>
      <w:r>
        <w:rPr>
          <w:szCs w:val="24"/>
        </w:rPr>
        <w:t xml:space="preserve">nebylo možné </w:t>
      </w:r>
      <w:r w:rsidR="0080609B">
        <w:rPr>
          <w:szCs w:val="24"/>
        </w:rPr>
        <w:t xml:space="preserve">jakkoliv výrazně </w:t>
      </w:r>
      <w:r>
        <w:rPr>
          <w:szCs w:val="24"/>
        </w:rPr>
        <w:t xml:space="preserve">ovlivnit </w:t>
      </w:r>
      <w:r w:rsidR="00981D17">
        <w:rPr>
          <w:szCs w:val="24"/>
        </w:rPr>
        <w:t xml:space="preserve">výstupy </w:t>
      </w:r>
      <w:r>
        <w:rPr>
          <w:szCs w:val="24"/>
        </w:rPr>
        <w:t>jednotlivých projektů</w:t>
      </w:r>
      <w:r w:rsidR="00FD1102" w:rsidRPr="00FD1102">
        <w:rPr>
          <w:szCs w:val="24"/>
        </w:rPr>
        <w:t>.</w:t>
      </w:r>
    </w:p>
    <w:p w14:paraId="5D5486EF" w14:textId="77777777" w:rsidR="00E03108" w:rsidRPr="00835D3F" w:rsidRDefault="00E03108" w:rsidP="00067C4C">
      <w:pPr>
        <w:pStyle w:val="Kapitoly"/>
        <w:spacing w:after="120"/>
      </w:pPr>
      <w:r w:rsidRPr="00835D3F">
        <w:t>Na MŠMT nebylo možné prostředky na protidrogovou politiku oddělit od jiných dotací</w:t>
      </w:r>
    </w:p>
    <w:p w14:paraId="0EC9730B" w14:textId="2A09B904" w:rsidR="00E03108" w:rsidRPr="005E6007" w:rsidRDefault="00E03108" w:rsidP="00FC602A">
      <w:pPr>
        <w:widowControl/>
        <w:spacing w:after="120"/>
        <w:rPr>
          <w:szCs w:val="24"/>
        </w:rPr>
      </w:pPr>
      <w:r w:rsidRPr="005E6007">
        <w:rPr>
          <w:szCs w:val="24"/>
        </w:rPr>
        <w:t xml:space="preserve">MŠMT v rámci poskytovaných dotací neoddělilo </w:t>
      </w:r>
      <w:r w:rsidR="00693B4C" w:rsidRPr="005E6007">
        <w:rPr>
          <w:szCs w:val="24"/>
        </w:rPr>
        <w:t xml:space="preserve">důsledně </w:t>
      </w:r>
      <w:r w:rsidRPr="005E6007">
        <w:rPr>
          <w:szCs w:val="24"/>
        </w:rPr>
        <w:t>oblast prevence protidrogové politiky a oblast prevence kriminality, resp. oblast sociální prevence</w:t>
      </w:r>
      <w:r w:rsidR="00C0234A">
        <w:rPr>
          <w:szCs w:val="24"/>
        </w:rPr>
        <w:t>.</w:t>
      </w:r>
      <w:r w:rsidRPr="005E6007">
        <w:rPr>
          <w:szCs w:val="24"/>
        </w:rPr>
        <w:t xml:space="preserve"> </w:t>
      </w:r>
      <w:r w:rsidR="00C0234A">
        <w:rPr>
          <w:szCs w:val="24"/>
        </w:rPr>
        <w:t>Z</w:t>
      </w:r>
      <w:r w:rsidRPr="005E6007">
        <w:rPr>
          <w:szCs w:val="24"/>
        </w:rPr>
        <w:t>nemožnilo tak správně vykazovat výdaje zařazené pod výdajový ukazatel</w:t>
      </w:r>
      <w:r>
        <w:rPr>
          <w:szCs w:val="24"/>
        </w:rPr>
        <w:t xml:space="preserve"> </w:t>
      </w:r>
      <w:r w:rsidRPr="00B103CE">
        <w:rPr>
          <w:i/>
          <w:szCs w:val="24"/>
        </w:rPr>
        <w:t>Program protidrogové politiky</w:t>
      </w:r>
      <w:r w:rsidR="00C0234A" w:rsidRPr="00067C4C">
        <w:rPr>
          <w:szCs w:val="24"/>
        </w:rPr>
        <w:t>,</w:t>
      </w:r>
      <w:r w:rsidR="00C0234A">
        <w:rPr>
          <w:szCs w:val="24"/>
        </w:rPr>
        <w:t xml:space="preserve"> a proto</w:t>
      </w:r>
      <w:r w:rsidR="00F4061C">
        <w:rPr>
          <w:szCs w:val="24"/>
        </w:rPr>
        <w:t xml:space="preserve"> nemohlo </w:t>
      </w:r>
      <w:r w:rsidR="00F4061C" w:rsidRPr="00F4061C">
        <w:rPr>
          <w:szCs w:val="24"/>
        </w:rPr>
        <w:t>soustavně sledova</w:t>
      </w:r>
      <w:r w:rsidR="00F4061C">
        <w:rPr>
          <w:szCs w:val="24"/>
        </w:rPr>
        <w:t>t</w:t>
      </w:r>
      <w:r w:rsidR="00F4061C" w:rsidRPr="00F4061C">
        <w:rPr>
          <w:szCs w:val="24"/>
        </w:rPr>
        <w:t xml:space="preserve"> a vyhodnocov</w:t>
      </w:r>
      <w:r w:rsidR="00F4061C">
        <w:rPr>
          <w:szCs w:val="24"/>
        </w:rPr>
        <w:t>at</w:t>
      </w:r>
      <w:r w:rsidR="00F4061C" w:rsidRPr="00F4061C">
        <w:rPr>
          <w:szCs w:val="24"/>
        </w:rPr>
        <w:t xml:space="preserve"> účelnost vynakládání výdajů ve své kapitole</w:t>
      </w:r>
      <w:r w:rsidR="00F4061C">
        <w:rPr>
          <w:rStyle w:val="Znakapoznpodarou"/>
          <w:szCs w:val="24"/>
        </w:rPr>
        <w:footnoteReference w:id="1"/>
      </w:r>
      <w:r w:rsidR="00F4061C">
        <w:rPr>
          <w:szCs w:val="24"/>
        </w:rPr>
        <w:t>.</w:t>
      </w:r>
    </w:p>
    <w:p w14:paraId="614F15E8" w14:textId="680D824B" w:rsidR="00E03108" w:rsidRPr="00835D3F" w:rsidRDefault="00E03108" w:rsidP="00067C4C">
      <w:pPr>
        <w:pStyle w:val="Kapitoly"/>
        <w:spacing w:after="120"/>
      </w:pPr>
      <w:r w:rsidRPr="00835D3F">
        <w:t xml:space="preserve">V samotném procesu poskytování dotací </w:t>
      </w:r>
      <w:r w:rsidR="002D4801">
        <w:t xml:space="preserve">a jejich administrace </w:t>
      </w:r>
      <w:r w:rsidRPr="00835D3F">
        <w:t xml:space="preserve">byla zjištěna řada </w:t>
      </w:r>
      <w:r w:rsidR="00C30BE3" w:rsidRPr="00C30BE3">
        <w:t>nedostatků</w:t>
      </w:r>
      <w:r w:rsidRPr="00835D3F">
        <w:t xml:space="preserve"> u všech</w:t>
      </w:r>
      <w:r w:rsidR="007812BC">
        <w:t xml:space="preserve"> kontrolovaných</w:t>
      </w:r>
      <w:r w:rsidRPr="00835D3F">
        <w:t xml:space="preserve"> poskytovatelů dotací</w:t>
      </w:r>
    </w:p>
    <w:p w14:paraId="320845DD" w14:textId="5C1C6E5B" w:rsidR="00E03108" w:rsidRPr="005E6007" w:rsidRDefault="0080609B" w:rsidP="00FC602A">
      <w:pPr>
        <w:widowControl/>
        <w:spacing w:after="120"/>
        <w:rPr>
          <w:szCs w:val="24"/>
        </w:rPr>
      </w:pPr>
      <w:r>
        <w:rPr>
          <w:szCs w:val="24"/>
        </w:rPr>
        <w:t>ÚV ČR i j</w:t>
      </w:r>
      <w:r w:rsidR="00E03108" w:rsidRPr="005E6007">
        <w:rPr>
          <w:szCs w:val="24"/>
        </w:rPr>
        <w:t>ednotliv</w:t>
      </w:r>
      <w:r w:rsidR="009310F2">
        <w:rPr>
          <w:szCs w:val="24"/>
        </w:rPr>
        <w:t>é res</w:t>
      </w:r>
      <w:r w:rsidR="00E03108" w:rsidRPr="005E6007">
        <w:rPr>
          <w:szCs w:val="24"/>
        </w:rPr>
        <w:t xml:space="preserve">orty </w:t>
      </w:r>
      <w:r w:rsidR="00E03108">
        <w:rPr>
          <w:szCs w:val="24"/>
        </w:rPr>
        <w:t xml:space="preserve">při </w:t>
      </w:r>
      <w:r w:rsidR="00E03108" w:rsidRPr="005E6007">
        <w:rPr>
          <w:szCs w:val="24"/>
        </w:rPr>
        <w:t xml:space="preserve">poskytování </w:t>
      </w:r>
      <w:r w:rsidR="00E03108">
        <w:rPr>
          <w:szCs w:val="24"/>
        </w:rPr>
        <w:t>a</w:t>
      </w:r>
      <w:r w:rsidR="00E03108" w:rsidRPr="005E6007">
        <w:rPr>
          <w:szCs w:val="24"/>
        </w:rPr>
        <w:t xml:space="preserve"> administrac</w:t>
      </w:r>
      <w:r w:rsidR="00E03108">
        <w:rPr>
          <w:szCs w:val="24"/>
        </w:rPr>
        <w:t>i</w:t>
      </w:r>
      <w:r w:rsidR="00E03108" w:rsidRPr="005E6007">
        <w:rPr>
          <w:szCs w:val="24"/>
        </w:rPr>
        <w:t xml:space="preserve"> dotací určených na protidrogovou politiku</w:t>
      </w:r>
      <w:r w:rsidR="00E03108">
        <w:rPr>
          <w:szCs w:val="24"/>
        </w:rPr>
        <w:t xml:space="preserve"> chybovaly. Nedostatky spočívaly v porušení právních předpisů, vlastních metodik </w:t>
      </w:r>
      <w:r w:rsidR="00A90D3F">
        <w:rPr>
          <w:szCs w:val="24"/>
        </w:rPr>
        <w:br/>
      </w:r>
      <w:r w:rsidR="00E03108">
        <w:rPr>
          <w:szCs w:val="24"/>
        </w:rPr>
        <w:t>i v</w:t>
      </w:r>
      <w:r w:rsidR="00C2764B">
        <w:rPr>
          <w:szCs w:val="24"/>
        </w:rPr>
        <w:t xml:space="preserve"> nesprávně</w:t>
      </w:r>
      <w:r w:rsidR="00E03108">
        <w:rPr>
          <w:szCs w:val="24"/>
        </w:rPr>
        <w:t xml:space="preserve"> nastaven</w:t>
      </w:r>
      <w:r w:rsidR="008134F2">
        <w:rPr>
          <w:szCs w:val="24"/>
        </w:rPr>
        <w:t>ých</w:t>
      </w:r>
      <w:r w:rsidR="00E03108">
        <w:rPr>
          <w:szCs w:val="24"/>
        </w:rPr>
        <w:t xml:space="preserve"> proces</w:t>
      </w:r>
      <w:r w:rsidR="008134F2">
        <w:rPr>
          <w:szCs w:val="24"/>
        </w:rPr>
        <w:t xml:space="preserve">ech. Jejich vnitřní kontrolní systémy </w:t>
      </w:r>
      <w:r w:rsidR="002D4801">
        <w:rPr>
          <w:szCs w:val="24"/>
        </w:rPr>
        <w:t xml:space="preserve">selhávaly, protože </w:t>
      </w:r>
      <w:r w:rsidR="008134F2">
        <w:rPr>
          <w:szCs w:val="24"/>
        </w:rPr>
        <w:t xml:space="preserve">chyby </w:t>
      </w:r>
      <w:r w:rsidR="002D4801">
        <w:rPr>
          <w:szCs w:val="24"/>
        </w:rPr>
        <w:t xml:space="preserve">včas </w:t>
      </w:r>
      <w:r w:rsidR="008134F2">
        <w:rPr>
          <w:szCs w:val="24"/>
        </w:rPr>
        <w:t>neodhalily.</w:t>
      </w:r>
    </w:p>
    <w:p w14:paraId="026D0E4C" w14:textId="77777777" w:rsidR="00E03108" w:rsidRPr="00835D3F" w:rsidRDefault="00E03108" w:rsidP="00067C4C">
      <w:pPr>
        <w:pStyle w:val="Kapitoly"/>
        <w:spacing w:after="120"/>
      </w:pPr>
      <w:r w:rsidRPr="00835D3F">
        <w:t>Rozhodování o přidělení dotací nebylo v některých případech transparentní</w:t>
      </w:r>
    </w:p>
    <w:p w14:paraId="2CCA3960" w14:textId="13A6BA44" w:rsidR="00E03108" w:rsidRDefault="002D4801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Proces hodnocení žádostí nebyl zcela transparentní. Od </w:t>
      </w:r>
      <w:r w:rsidR="00567D99">
        <w:rPr>
          <w:szCs w:val="24"/>
        </w:rPr>
        <w:t>MŠMT a MZ</w:t>
      </w:r>
      <w:r>
        <w:rPr>
          <w:szCs w:val="24"/>
        </w:rPr>
        <w:t xml:space="preserve"> získaly podporu</w:t>
      </w:r>
      <w:r w:rsidR="00E03108">
        <w:rPr>
          <w:szCs w:val="24"/>
        </w:rPr>
        <w:t xml:space="preserve"> i projekty, které nesplnily všechny náležitosti nebo nezískaly potřebný počet bodů od nezávislých hodnotitelů. </w:t>
      </w:r>
      <w:r w:rsidR="00E03108" w:rsidRPr="005E6007">
        <w:rPr>
          <w:szCs w:val="24"/>
        </w:rPr>
        <w:t xml:space="preserve">MŠMT </w:t>
      </w:r>
      <w:r w:rsidR="0097572F">
        <w:rPr>
          <w:szCs w:val="24"/>
        </w:rPr>
        <w:t>schválilo a vyplatilo</w:t>
      </w:r>
      <w:r w:rsidR="0097572F" w:rsidRPr="005E6007">
        <w:rPr>
          <w:szCs w:val="24"/>
        </w:rPr>
        <w:t xml:space="preserve"> </w:t>
      </w:r>
      <w:r w:rsidR="00E03108" w:rsidRPr="005E6007">
        <w:rPr>
          <w:szCs w:val="24"/>
        </w:rPr>
        <w:t>dotace</w:t>
      </w:r>
      <w:r w:rsidR="0097572F">
        <w:rPr>
          <w:szCs w:val="24"/>
        </w:rPr>
        <w:t xml:space="preserve"> i</w:t>
      </w:r>
      <w:r w:rsidR="00E03108" w:rsidRPr="005E6007">
        <w:rPr>
          <w:szCs w:val="24"/>
        </w:rPr>
        <w:t xml:space="preserve"> fyzické osobě, která se podílela na administraci dotací.</w:t>
      </w:r>
    </w:p>
    <w:p w14:paraId="6507E174" w14:textId="309C698D" w:rsidR="00E03108" w:rsidRPr="00835D3F" w:rsidRDefault="00A471C5" w:rsidP="00067C4C">
      <w:pPr>
        <w:pStyle w:val="Kapitoly"/>
        <w:spacing w:after="120"/>
      </w:pPr>
      <w:r>
        <w:t xml:space="preserve">Poskytovatelé dotací nereagovali </w:t>
      </w:r>
      <w:r w:rsidR="00475F1E">
        <w:t xml:space="preserve">důsledně </w:t>
      </w:r>
      <w:r>
        <w:t>na n</w:t>
      </w:r>
      <w:r w:rsidR="00E03108" w:rsidRPr="00835D3F">
        <w:t xml:space="preserve">eplnění povinností </w:t>
      </w:r>
      <w:r>
        <w:t xml:space="preserve">ze strany </w:t>
      </w:r>
      <w:r w:rsidR="00E03108" w:rsidRPr="00835D3F">
        <w:t>příjemc</w:t>
      </w:r>
      <w:r>
        <w:t>ů</w:t>
      </w:r>
      <w:r w:rsidR="006621EF">
        <w:t xml:space="preserve"> dotací</w:t>
      </w:r>
    </w:p>
    <w:p w14:paraId="7A611E37" w14:textId="37198F9C" w:rsidR="00E03108" w:rsidRPr="004B23AE" w:rsidRDefault="00E03108" w:rsidP="00FC602A">
      <w:pPr>
        <w:widowControl/>
        <w:spacing w:after="120"/>
        <w:rPr>
          <w:szCs w:val="24"/>
        </w:rPr>
      </w:pPr>
      <w:r w:rsidRPr="004B23AE">
        <w:rPr>
          <w:szCs w:val="24"/>
        </w:rPr>
        <w:t xml:space="preserve">V případě </w:t>
      </w:r>
      <w:r w:rsidR="00330636">
        <w:rPr>
          <w:szCs w:val="24"/>
        </w:rPr>
        <w:t>řady</w:t>
      </w:r>
      <w:r w:rsidRPr="004B23AE">
        <w:rPr>
          <w:szCs w:val="24"/>
        </w:rPr>
        <w:t xml:space="preserve"> projektů bylo z dokum</w:t>
      </w:r>
      <w:r w:rsidR="009310F2">
        <w:rPr>
          <w:szCs w:val="24"/>
        </w:rPr>
        <w:t xml:space="preserve">entace, kterou měl příslušný </w:t>
      </w:r>
      <w:r w:rsidR="0080609B">
        <w:rPr>
          <w:szCs w:val="24"/>
        </w:rPr>
        <w:t>poskytovatel</w:t>
      </w:r>
      <w:r w:rsidRPr="004B23AE">
        <w:rPr>
          <w:szCs w:val="24"/>
        </w:rPr>
        <w:t xml:space="preserve"> k dispozici, patrné, že příjemce dotace neplní nebo nesplnil některou z podmínek čerpání dotace. Příslušný</w:t>
      </w:r>
      <w:r w:rsidR="0080609B">
        <w:rPr>
          <w:szCs w:val="24"/>
        </w:rPr>
        <w:t xml:space="preserve"> </w:t>
      </w:r>
      <w:r w:rsidRPr="004B23AE">
        <w:rPr>
          <w:szCs w:val="24"/>
        </w:rPr>
        <w:t xml:space="preserve">poskytovatel však na tuto situaci </w:t>
      </w:r>
      <w:r w:rsidR="0084054A" w:rsidRPr="004B23AE">
        <w:rPr>
          <w:szCs w:val="24"/>
        </w:rPr>
        <w:t>nereagoval</w:t>
      </w:r>
      <w:r w:rsidR="0084054A">
        <w:rPr>
          <w:szCs w:val="24"/>
        </w:rPr>
        <w:t xml:space="preserve"> </w:t>
      </w:r>
      <w:r w:rsidRPr="004B23AE">
        <w:rPr>
          <w:szCs w:val="24"/>
        </w:rPr>
        <w:t xml:space="preserve">vhodným způsobem </w:t>
      </w:r>
      <w:r w:rsidR="002D4801">
        <w:rPr>
          <w:szCs w:val="24"/>
        </w:rPr>
        <w:t xml:space="preserve">a </w:t>
      </w:r>
      <w:r w:rsidR="000753F6">
        <w:rPr>
          <w:szCs w:val="24"/>
        </w:rPr>
        <w:t>nezjednal nápravu</w:t>
      </w:r>
      <w:r w:rsidRPr="004B23AE">
        <w:rPr>
          <w:szCs w:val="24"/>
        </w:rPr>
        <w:t>.</w:t>
      </w:r>
    </w:p>
    <w:p w14:paraId="7AD12694" w14:textId="35496CD1" w:rsidR="00AB092B" w:rsidRPr="00AB092B" w:rsidRDefault="00A471C5" w:rsidP="00067C4C">
      <w:pPr>
        <w:pStyle w:val="Kapitoly"/>
        <w:spacing w:after="120"/>
      </w:pPr>
      <w:r>
        <w:t xml:space="preserve">Dva </w:t>
      </w:r>
      <w:r w:rsidR="00AB092B" w:rsidRPr="00AB092B">
        <w:t>poskyt</w:t>
      </w:r>
      <w:r w:rsidR="00AB092B">
        <w:t>ovatel</w:t>
      </w:r>
      <w:r>
        <w:t>é</w:t>
      </w:r>
      <w:r w:rsidR="00AB092B">
        <w:t xml:space="preserve"> </w:t>
      </w:r>
      <w:r>
        <w:t xml:space="preserve">dotací neprováděli kontrolu </w:t>
      </w:r>
      <w:r w:rsidR="00E762BF">
        <w:t>u</w:t>
      </w:r>
      <w:r w:rsidR="00691E3E">
        <w:t xml:space="preserve"> příjemců</w:t>
      </w:r>
      <w:r w:rsidR="00AB092B">
        <w:t xml:space="preserve"> </w:t>
      </w:r>
      <w:r w:rsidR="00691E3E">
        <w:t xml:space="preserve">v </w:t>
      </w:r>
      <w:r w:rsidR="00AB092B">
        <w:t>dostatečném rozsahu</w:t>
      </w:r>
    </w:p>
    <w:p w14:paraId="44C1ECAF" w14:textId="50EDEB5E" w:rsidR="00E03108" w:rsidRPr="004B23AE" w:rsidRDefault="0080609B" w:rsidP="00FC602A">
      <w:pPr>
        <w:widowControl/>
        <w:spacing w:after="120"/>
        <w:rPr>
          <w:szCs w:val="24"/>
        </w:rPr>
      </w:pPr>
      <w:r>
        <w:rPr>
          <w:szCs w:val="24"/>
        </w:rPr>
        <w:t>Průběžná a následná k</w:t>
      </w:r>
      <w:r w:rsidR="00E03108">
        <w:rPr>
          <w:szCs w:val="24"/>
        </w:rPr>
        <w:t xml:space="preserve">ontrola </w:t>
      </w:r>
      <w:r w:rsidR="00691E3E">
        <w:rPr>
          <w:szCs w:val="24"/>
        </w:rPr>
        <w:t xml:space="preserve">prováděná poskytovatelem </w:t>
      </w:r>
      <w:r>
        <w:rPr>
          <w:szCs w:val="24"/>
        </w:rPr>
        <w:t xml:space="preserve">u příjemců </w:t>
      </w:r>
      <w:r w:rsidR="00AB092B">
        <w:rPr>
          <w:szCs w:val="24"/>
        </w:rPr>
        <w:t>podpory</w:t>
      </w:r>
      <w:r w:rsidR="00691E3E">
        <w:rPr>
          <w:szCs w:val="24"/>
        </w:rPr>
        <w:t xml:space="preserve"> </w:t>
      </w:r>
      <w:r w:rsidR="00E03108">
        <w:rPr>
          <w:szCs w:val="24"/>
        </w:rPr>
        <w:t>je</w:t>
      </w:r>
      <w:r w:rsidR="00E03108" w:rsidRPr="004B23AE">
        <w:rPr>
          <w:szCs w:val="24"/>
        </w:rPr>
        <w:t xml:space="preserve"> v případě dotací určených na protidrogovou politik</w:t>
      </w:r>
      <w:r w:rsidR="00E03108">
        <w:rPr>
          <w:szCs w:val="24"/>
        </w:rPr>
        <w:t xml:space="preserve">u </w:t>
      </w:r>
      <w:r w:rsidR="00E03108" w:rsidRPr="004B23AE">
        <w:rPr>
          <w:szCs w:val="24"/>
        </w:rPr>
        <w:t>nástroj</w:t>
      </w:r>
      <w:r w:rsidR="00925AF5">
        <w:rPr>
          <w:szCs w:val="24"/>
        </w:rPr>
        <w:t>em</w:t>
      </w:r>
      <w:r w:rsidR="00E03108" w:rsidRPr="004B23AE">
        <w:rPr>
          <w:szCs w:val="24"/>
        </w:rPr>
        <w:t xml:space="preserve">, </w:t>
      </w:r>
      <w:r w:rsidR="00911B00">
        <w:rPr>
          <w:szCs w:val="24"/>
        </w:rPr>
        <w:t>kterým lze</w:t>
      </w:r>
      <w:r w:rsidR="00E03108" w:rsidRPr="004B23AE">
        <w:rPr>
          <w:szCs w:val="24"/>
        </w:rPr>
        <w:t xml:space="preserve"> ověřit </w:t>
      </w:r>
      <w:r w:rsidR="00E03108">
        <w:rPr>
          <w:szCs w:val="24"/>
        </w:rPr>
        <w:t>s</w:t>
      </w:r>
      <w:r w:rsidR="00E03108" w:rsidRPr="004B23AE">
        <w:rPr>
          <w:szCs w:val="24"/>
        </w:rPr>
        <w:t xml:space="preserve">plnění podmínek čerpání dotace a </w:t>
      </w:r>
      <w:r w:rsidR="00911B00">
        <w:rPr>
          <w:szCs w:val="24"/>
        </w:rPr>
        <w:t>posoudit</w:t>
      </w:r>
      <w:r w:rsidR="00E03108" w:rsidRPr="004B23AE">
        <w:rPr>
          <w:szCs w:val="24"/>
        </w:rPr>
        <w:t xml:space="preserve"> účelnost</w:t>
      </w:r>
      <w:r w:rsidR="00BC6473">
        <w:rPr>
          <w:szCs w:val="24"/>
        </w:rPr>
        <w:t>, efektivnost a hospodárnost</w:t>
      </w:r>
      <w:r w:rsidR="00E03108" w:rsidRPr="004B23AE">
        <w:rPr>
          <w:szCs w:val="24"/>
        </w:rPr>
        <w:t xml:space="preserve"> vynakládaných prostředků.</w:t>
      </w:r>
      <w:r w:rsidR="00E03108">
        <w:rPr>
          <w:szCs w:val="24"/>
        </w:rPr>
        <w:t xml:space="preserve"> </w:t>
      </w:r>
      <w:r w:rsidR="00E930F3">
        <w:rPr>
          <w:szCs w:val="24"/>
        </w:rPr>
        <w:t>Veřejnosprávní k</w:t>
      </w:r>
      <w:r w:rsidR="00E03108" w:rsidRPr="004B23AE">
        <w:rPr>
          <w:szCs w:val="24"/>
        </w:rPr>
        <w:t xml:space="preserve">ontrola dotací přímo u jejich příjemců byla </w:t>
      </w:r>
      <w:r w:rsidR="00AB092B">
        <w:rPr>
          <w:szCs w:val="24"/>
        </w:rPr>
        <w:t>však</w:t>
      </w:r>
      <w:r w:rsidR="00E930F3">
        <w:rPr>
          <w:szCs w:val="24"/>
        </w:rPr>
        <w:t xml:space="preserve"> v kontrolovaném období</w:t>
      </w:r>
      <w:r w:rsidR="00AB092B">
        <w:rPr>
          <w:szCs w:val="24"/>
        </w:rPr>
        <w:t xml:space="preserve"> </w:t>
      </w:r>
      <w:r w:rsidR="00A90D3F">
        <w:rPr>
          <w:szCs w:val="24"/>
        </w:rPr>
        <w:br/>
      </w:r>
      <w:r w:rsidR="00E03108" w:rsidRPr="004B23AE">
        <w:rPr>
          <w:szCs w:val="24"/>
        </w:rPr>
        <w:t xml:space="preserve">ze strany </w:t>
      </w:r>
      <w:r w:rsidR="00AB092B">
        <w:rPr>
          <w:szCs w:val="24"/>
        </w:rPr>
        <w:t>MZ</w:t>
      </w:r>
      <w:r w:rsidR="00E930F3">
        <w:rPr>
          <w:szCs w:val="24"/>
        </w:rPr>
        <w:t xml:space="preserve"> pr</w:t>
      </w:r>
      <w:r w:rsidR="00911B00">
        <w:rPr>
          <w:szCs w:val="24"/>
        </w:rPr>
        <w:t xml:space="preserve">ovedena pouze v jediném případě, </w:t>
      </w:r>
      <w:r w:rsidR="00F0043C">
        <w:rPr>
          <w:szCs w:val="24"/>
        </w:rPr>
        <w:t xml:space="preserve">jenž </w:t>
      </w:r>
      <w:r w:rsidR="00691E3E">
        <w:rPr>
          <w:szCs w:val="24"/>
        </w:rPr>
        <w:t xml:space="preserve">ve finančním vyjádření </w:t>
      </w:r>
      <w:r w:rsidR="00F0043C">
        <w:rPr>
          <w:szCs w:val="24"/>
        </w:rPr>
        <w:t>představoval</w:t>
      </w:r>
      <w:r w:rsidR="00E930F3">
        <w:rPr>
          <w:szCs w:val="24"/>
        </w:rPr>
        <w:t xml:space="preserve"> </w:t>
      </w:r>
      <w:r w:rsidR="00911B00">
        <w:rPr>
          <w:szCs w:val="24"/>
        </w:rPr>
        <w:t xml:space="preserve">pouze </w:t>
      </w:r>
      <w:r w:rsidR="00E930F3">
        <w:rPr>
          <w:szCs w:val="24"/>
        </w:rPr>
        <w:t xml:space="preserve">2,6 % </w:t>
      </w:r>
      <w:r w:rsidR="00911B00">
        <w:rPr>
          <w:szCs w:val="24"/>
        </w:rPr>
        <w:t xml:space="preserve">všech </w:t>
      </w:r>
      <w:r w:rsidR="00E930F3">
        <w:rPr>
          <w:szCs w:val="24"/>
        </w:rPr>
        <w:t>prostředků</w:t>
      </w:r>
      <w:r w:rsidR="00911B00">
        <w:rPr>
          <w:szCs w:val="24"/>
        </w:rPr>
        <w:t xml:space="preserve"> </w:t>
      </w:r>
      <w:r w:rsidR="00691E3E">
        <w:rPr>
          <w:szCs w:val="24"/>
        </w:rPr>
        <w:t>poskytnutých</w:t>
      </w:r>
      <w:r w:rsidR="00691E3E" w:rsidDel="00691E3E">
        <w:rPr>
          <w:szCs w:val="24"/>
        </w:rPr>
        <w:t xml:space="preserve"> </w:t>
      </w:r>
      <w:r w:rsidR="00B71D38">
        <w:rPr>
          <w:szCs w:val="24"/>
        </w:rPr>
        <w:t>v</w:t>
      </w:r>
      <w:r w:rsidR="00D7371F">
        <w:rPr>
          <w:szCs w:val="24"/>
        </w:rPr>
        <w:t xml:space="preserve"> </w:t>
      </w:r>
      <w:r w:rsidR="00691E3E">
        <w:rPr>
          <w:szCs w:val="24"/>
        </w:rPr>
        <w:t>dan</w:t>
      </w:r>
      <w:r w:rsidR="00B71D38">
        <w:rPr>
          <w:szCs w:val="24"/>
        </w:rPr>
        <w:t>ém</w:t>
      </w:r>
      <w:r w:rsidR="00691E3E">
        <w:rPr>
          <w:szCs w:val="24"/>
        </w:rPr>
        <w:t xml:space="preserve"> ro</w:t>
      </w:r>
      <w:r w:rsidR="00B71D38">
        <w:rPr>
          <w:szCs w:val="24"/>
        </w:rPr>
        <w:t>ce</w:t>
      </w:r>
      <w:r w:rsidR="00E930F3">
        <w:rPr>
          <w:szCs w:val="24"/>
        </w:rPr>
        <w:t>.</w:t>
      </w:r>
      <w:r w:rsidR="00AB092B">
        <w:rPr>
          <w:szCs w:val="24"/>
        </w:rPr>
        <w:t xml:space="preserve"> M</w:t>
      </w:r>
      <w:r w:rsidR="00E930F3">
        <w:rPr>
          <w:szCs w:val="24"/>
        </w:rPr>
        <w:t xml:space="preserve">ŠMT </w:t>
      </w:r>
      <w:r w:rsidR="00911B00">
        <w:rPr>
          <w:szCs w:val="24"/>
        </w:rPr>
        <w:t>v období let 2016</w:t>
      </w:r>
      <w:r w:rsidR="00911B00" w:rsidRPr="00911B00">
        <w:rPr>
          <w:szCs w:val="24"/>
        </w:rPr>
        <w:t>–</w:t>
      </w:r>
      <w:r w:rsidR="00911B00">
        <w:rPr>
          <w:szCs w:val="24"/>
        </w:rPr>
        <w:t xml:space="preserve">2019 </w:t>
      </w:r>
      <w:r w:rsidR="00E930F3">
        <w:rPr>
          <w:szCs w:val="24"/>
        </w:rPr>
        <w:t>provedlo kontroly</w:t>
      </w:r>
      <w:r w:rsidR="00AB092B">
        <w:rPr>
          <w:szCs w:val="24"/>
        </w:rPr>
        <w:t xml:space="preserve"> v rozsahu 3</w:t>
      </w:r>
      <w:r w:rsidR="00E930F3">
        <w:rPr>
          <w:szCs w:val="24"/>
        </w:rPr>
        <w:t>,6</w:t>
      </w:r>
      <w:r w:rsidR="00AB092B">
        <w:rPr>
          <w:szCs w:val="24"/>
        </w:rPr>
        <w:t xml:space="preserve"> %</w:t>
      </w:r>
      <w:r w:rsidR="00AD26C6">
        <w:rPr>
          <w:szCs w:val="24"/>
        </w:rPr>
        <w:t xml:space="preserve"> poskytnutých prostředků</w:t>
      </w:r>
      <w:r w:rsidR="00E930F3">
        <w:rPr>
          <w:szCs w:val="24"/>
        </w:rPr>
        <w:t>.</w:t>
      </w:r>
      <w:r w:rsidR="00AB092B">
        <w:rPr>
          <w:szCs w:val="24"/>
        </w:rPr>
        <w:t xml:space="preserve"> </w:t>
      </w:r>
      <w:r w:rsidR="00E930F3">
        <w:rPr>
          <w:szCs w:val="24"/>
        </w:rPr>
        <w:t>N</w:t>
      </w:r>
      <w:r w:rsidR="00AB092B">
        <w:rPr>
          <w:szCs w:val="24"/>
        </w:rPr>
        <w:t xml:space="preserve">aproti tomu ÚV ČR </w:t>
      </w:r>
      <w:r w:rsidR="00911B00">
        <w:rPr>
          <w:szCs w:val="24"/>
        </w:rPr>
        <w:t>zejména prostřednictvím následných kontrol</w:t>
      </w:r>
      <w:r w:rsidR="00AB092B">
        <w:rPr>
          <w:szCs w:val="24"/>
        </w:rPr>
        <w:t xml:space="preserve"> </w:t>
      </w:r>
      <w:r w:rsidR="00911B00">
        <w:rPr>
          <w:szCs w:val="24"/>
        </w:rPr>
        <w:t xml:space="preserve">přezkoumal </w:t>
      </w:r>
      <w:r w:rsidR="00AB092B">
        <w:rPr>
          <w:szCs w:val="24"/>
        </w:rPr>
        <w:t>více než 13 %</w:t>
      </w:r>
      <w:r w:rsidR="00911B00">
        <w:rPr>
          <w:szCs w:val="24"/>
        </w:rPr>
        <w:t xml:space="preserve"> objemu poskytnuté podpory</w:t>
      </w:r>
      <w:r w:rsidR="00AD26C6">
        <w:rPr>
          <w:szCs w:val="24"/>
        </w:rPr>
        <w:t xml:space="preserve"> </w:t>
      </w:r>
      <w:r w:rsidR="00A90D3F">
        <w:rPr>
          <w:szCs w:val="24"/>
        </w:rPr>
        <w:br/>
      </w:r>
      <w:r w:rsidR="00AD26C6">
        <w:rPr>
          <w:szCs w:val="24"/>
        </w:rPr>
        <w:t xml:space="preserve">a MS </w:t>
      </w:r>
      <w:r w:rsidR="00911B00">
        <w:rPr>
          <w:szCs w:val="24"/>
        </w:rPr>
        <w:t xml:space="preserve">průběžně </w:t>
      </w:r>
      <w:r w:rsidR="00AD26C6">
        <w:rPr>
          <w:szCs w:val="24"/>
        </w:rPr>
        <w:t xml:space="preserve">prověřilo dokonce více než jednu třetinu </w:t>
      </w:r>
      <w:r w:rsidR="009B3725">
        <w:rPr>
          <w:szCs w:val="24"/>
        </w:rPr>
        <w:t xml:space="preserve">všech </w:t>
      </w:r>
      <w:r w:rsidR="00AD26C6">
        <w:rPr>
          <w:szCs w:val="24"/>
        </w:rPr>
        <w:t>dotací z programu protidrogové politiky.</w:t>
      </w:r>
    </w:p>
    <w:p w14:paraId="5EA1C539" w14:textId="4F0C333A" w:rsidR="00E03108" w:rsidRPr="00835D3F" w:rsidRDefault="007812BC" w:rsidP="00067C4C">
      <w:pPr>
        <w:pStyle w:val="Kapitoly"/>
        <w:keepNext/>
        <w:spacing w:after="120"/>
      </w:pPr>
      <w:r>
        <w:lastRenderedPageBreak/>
        <w:t>Někteří p</w:t>
      </w:r>
      <w:r w:rsidR="00E03108" w:rsidRPr="00835D3F">
        <w:t xml:space="preserve">říjemci </w:t>
      </w:r>
      <w:r>
        <w:t>neplnili podmínky poskytnutých dotací</w:t>
      </w:r>
    </w:p>
    <w:p w14:paraId="7F17F8C4" w14:textId="77777777" w:rsidR="00E03108" w:rsidRDefault="00E03108" w:rsidP="00FC602A">
      <w:pPr>
        <w:widowControl/>
        <w:spacing w:after="120"/>
        <w:rPr>
          <w:szCs w:val="24"/>
        </w:rPr>
      </w:pPr>
      <w:r w:rsidRPr="00C66AD7">
        <w:rPr>
          <w:szCs w:val="24"/>
        </w:rPr>
        <w:t>Příjemci dotací v některých případech nesplnil</w:t>
      </w:r>
      <w:r w:rsidR="00BC6473">
        <w:rPr>
          <w:szCs w:val="24"/>
        </w:rPr>
        <w:t>i</w:t>
      </w:r>
      <w:r w:rsidRPr="00C66AD7">
        <w:rPr>
          <w:szCs w:val="24"/>
        </w:rPr>
        <w:t xml:space="preserve"> podmínky, které jim poskytovatelé stanovili pro realizaci projektů. </w:t>
      </w:r>
      <w:r>
        <w:rPr>
          <w:szCs w:val="24"/>
        </w:rPr>
        <w:t>Nedostatky u příjemců dotací spočívaly zejména v:</w:t>
      </w:r>
    </w:p>
    <w:p w14:paraId="55AF67F8" w14:textId="6BEAFAC3" w:rsidR="00E03108" w:rsidRPr="00C66AD7" w:rsidRDefault="00E03108" w:rsidP="00FC602A">
      <w:pPr>
        <w:pStyle w:val="Odstavecseseznamem"/>
        <w:numPr>
          <w:ilvl w:val="0"/>
          <w:numId w:val="9"/>
        </w:numPr>
        <w:ind w:left="714" w:hanging="357"/>
        <w:contextualSpacing w:val="0"/>
        <w:rPr>
          <w:szCs w:val="24"/>
        </w:rPr>
      </w:pPr>
      <w:r w:rsidRPr="00C66AD7">
        <w:rPr>
          <w:szCs w:val="24"/>
        </w:rPr>
        <w:t>překročení stanoveného limitu pro mzd</w:t>
      </w:r>
      <w:r w:rsidR="00EF5A70">
        <w:rPr>
          <w:szCs w:val="24"/>
        </w:rPr>
        <w:t>y</w:t>
      </w:r>
      <w:r w:rsidRPr="00C66AD7">
        <w:rPr>
          <w:szCs w:val="24"/>
        </w:rPr>
        <w:t xml:space="preserve"> zaměstnanců </w:t>
      </w:r>
      <w:r w:rsidR="000D3F2A">
        <w:rPr>
          <w:szCs w:val="24"/>
        </w:rPr>
        <w:t xml:space="preserve">hrazené </w:t>
      </w:r>
      <w:r w:rsidRPr="00C66AD7">
        <w:rPr>
          <w:szCs w:val="24"/>
        </w:rPr>
        <w:t>z dotace;</w:t>
      </w:r>
    </w:p>
    <w:p w14:paraId="45347D2B" w14:textId="73DD59B4" w:rsidR="00E03108" w:rsidRPr="00C66AD7" w:rsidRDefault="00E03108" w:rsidP="00FC602A">
      <w:pPr>
        <w:pStyle w:val="Odstavecseseznamem"/>
        <w:numPr>
          <w:ilvl w:val="0"/>
          <w:numId w:val="9"/>
        </w:numPr>
        <w:ind w:left="714" w:hanging="357"/>
        <w:contextualSpacing w:val="0"/>
        <w:rPr>
          <w:szCs w:val="24"/>
        </w:rPr>
      </w:pPr>
      <w:r w:rsidRPr="00C66AD7">
        <w:rPr>
          <w:szCs w:val="24"/>
        </w:rPr>
        <w:t xml:space="preserve">překročení </w:t>
      </w:r>
      <w:r w:rsidR="00691E3E" w:rsidRPr="00C66AD7">
        <w:rPr>
          <w:szCs w:val="24"/>
        </w:rPr>
        <w:t>rozpočtu</w:t>
      </w:r>
      <w:r w:rsidR="00691E3E" w:rsidRPr="00C66AD7" w:rsidDel="003F6756">
        <w:rPr>
          <w:szCs w:val="24"/>
        </w:rPr>
        <w:t xml:space="preserve"> </w:t>
      </w:r>
      <w:r w:rsidR="00691E3E">
        <w:rPr>
          <w:szCs w:val="24"/>
        </w:rPr>
        <w:t xml:space="preserve">u </w:t>
      </w:r>
      <w:r w:rsidRPr="00C66AD7">
        <w:rPr>
          <w:szCs w:val="24"/>
        </w:rPr>
        <w:t>jednotlivých položek;</w:t>
      </w:r>
    </w:p>
    <w:p w14:paraId="09B2BFEE" w14:textId="0DC74A66" w:rsidR="00E03108" w:rsidRPr="00C66AD7" w:rsidRDefault="00E03108" w:rsidP="00FC602A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rPr>
          <w:szCs w:val="24"/>
        </w:rPr>
      </w:pPr>
      <w:r w:rsidRPr="00C66AD7">
        <w:rPr>
          <w:szCs w:val="24"/>
        </w:rPr>
        <w:t>uhrazení neuznatelných nákladů</w:t>
      </w:r>
      <w:r w:rsidR="00EF5A70">
        <w:rPr>
          <w:szCs w:val="24"/>
        </w:rPr>
        <w:t>.</w:t>
      </w:r>
    </w:p>
    <w:p w14:paraId="426B682E" w14:textId="44A469D1" w:rsidR="008C6E0C" w:rsidRDefault="00E03108" w:rsidP="00FC602A">
      <w:pPr>
        <w:widowControl/>
        <w:spacing w:after="120"/>
        <w:rPr>
          <w:rFonts w:cs="Times New Roman"/>
          <w:b/>
          <w:szCs w:val="24"/>
          <w:lang w:eastAsia="en-US"/>
        </w:rPr>
      </w:pPr>
      <w:r w:rsidRPr="00C66AD7">
        <w:rPr>
          <w:szCs w:val="24"/>
        </w:rPr>
        <w:t xml:space="preserve">Na základě zjištěných skutečností </w:t>
      </w:r>
      <w:r w:rsidR="00054AC7" w:rsidRPr="00054AC7">
        <w:rPr>
          <w:szCs w:val="24"/>
        </w:rPr>
        <w:t>NK</w:t>
      </w:r>
      <w:r w:rsidR="00054AC7">
        <w:rPr>
          <w:szCs w:val="24"/>
        </w:rPr>
        <w:t>Ú</w:t>
      </w:r>
      <w:r w:rsidR="00054AC7" w:rsidRPr="00054AC7">
        <w:rPr>
          <w:szCs w:val="24"/>
        </w:rPr>
        <w:t xml:space="preserve"> předal správcům daně údaje o porušení rozpočtové kázně</w:t>
      </w:r>
      <w:r w:rsidRPr="00C66AD7">
        <w:rPr>
          <w:rStyle w:val="Znakapoznpodarou"/>
          <w:rFonts w:eastAsiaTheme="majorEastAsia"/>
          <w:szCs w:val="24"/>
        </w:rPr>
        <w:footnoteReference w:id="2"/>
      </w:r>
      <w:r w:rsidRPr="00C66AD7">
        <w:rPr>
          <w:szCs w:val="24"/>
        </w:rPr>
        <w:t xml:space="preserve"> v </w:t>
      </w:r>
      <w:r w:rsidRPr="00B94A53">
        <w:rPr>
          <w:szCs w:val="24"/>
        </w:rPr>
        <w:t xml:space="preserve">celkové výši </w:t>
      </w:r>
      <w:r w:rsidR="00B94A53" w:rsidRPr="00B94A53">
        <w:rPr>
          <w:szCs w:val="24"/>
        </w:rPr>
        <w:t>256 54</w:t>
      </w:r>
      <w:r w:rsidR="00B94A53">
        <w:rPr>
          <w:szCs w:val="24"/>
        </w:rPr>
        <w:t>8</w:t>
      </w:r>
      <w:r w:rsidRPr="00B94A53">
        <w:rPr>
          <w:szCs w:val="24"/>
        </w:rPr>
        <w:t xml:space="preserve"> Kč.</w:t>
      </w:r>
    </w:p>
    <w:p w14:paraId="6184E0ED" w14:textId="439D1BE9" w:rsidR="00E03108" w:rsidRPr="00835D3F" w:rsidRDefault="00E03108" w:rsidP="00067C4C">
      <w:pPr>
        <w:pStyle w:val="Kapitoly"/>
        <w:spacing w:after="120"/>
      </w:pPr>
      <w:r w:rsidRPr="00835D3F">
        <w:t>Centralizace protidrogové politiky</w:t>
      </w:r>
    </w:p>
    <w:p w14:paraId="41B5D47E" w14:textId="00AAC4B7" w:rsidR="00080CD5" w:rsidRDefault="00E762BF" w:rsidP="00FC602A">
      <w:pPr>
        <w:widowControl/>
        <w:spacing w:after="120"/>
        <w:rPr>
          <w:szCs w:val="24"/>
        </w:rPr>
      </w:pPr>
      <w:r>
        <w:rPr>
          <w:szCs w:val="24"/>
        </w:rPr>
        <w:t>V roce 2020 fakticky proběhla</w:t>
      </w:r>
      <w:r w:rsidRPr="00375A4F">
        <w:rPr>
          <w:szCs w:val="24"/>
        </w:rPr>
        <w:t xml:space="preserve"> </w:t>
      </w:r>
      <w:r>
        <w:rPr>
          <w:szCs w:val="24"/>
        </w:rPr>
        <w:t>c</w:t>
      </w:r>
      <w:r w:rsidR="00E03108" w:rsidRPr="00375A4F">
        <w:rPr>
          <w:szCs w:val="24"/>
        </w:rPr>
        <w:t>entralizace</w:t>
      </w:r>
      <w:r w:rsidR="00E03108">
        <w:rPr>
          <w:szCs w:val="24"/>
        </w:rPr>
        <w:t xml:space="preserve"> protidrogové politiky směrem k ÚV ČR,</w:t>
      </w:r>
      <w:r>
        <w:rPr>
          <w:szCs w:val="24"/>
        </w:rPr>
        <w:t xml:space="preserve"> došlo tak ke sjednocení dotačních titulů a finančních prostředků, což </w:t>
      </w:r>
      <w:r w:rsidR="00E03108">
        <w:rPr>
          <w:szCs w:val="24"/>
        </w:rPr>
        <w:t xml:space="preserve">může </w:t>
      </w:r>
      <w:r w:rsidR="00E03108" w:rsidRPr="00375A4F">
        <w:rPr>
          <w:szCs w:val="24"/>
        </w:rPr>
        <w:t>přin</w:t>
      </w:r>
      <w:r w:rsidR="00E03108">
        <w:rPr>
          <w:szCs w:val="24"/>
        </w:rPr>
        <w:t>ést</w:t>
      </w:r>
      <w:r w:rsidR="00E03108" w:rsidRPr="00375A4F">
        <w:rPr>
          <w:szCs w:val="24"/>
        </w:rPr>
        <w:t xml:space="preserve"> zefektivnění procesů a </w:t>
      </w:r>
      <w:r w:rsidR="00054AC7">
        <w:rPr>
          <w:szCs w:val="24"/>
        </w:rPr>
        <w:t>snížení</w:t>
      </w:r>
      <w:r w:rsidR="00054AC7" w:rsidRPr="00375A4F">
        <w:rPr>
          <w:szCs w:val="24"/>
        </w:rPr>
        <w:t xml:space="preserve"> </w:t>
      </w:r>
      <w:r w:rsidR="00E03108" w:rsidRPr="00375A4F">
        <w:rPr>
          <w:szCs w:val="24"/>
        </w:rPr>
        <w:t>administrativní zátěže pro žadatele</w:t>
      </w:r>
      <w:r w:rsidR="00E03108">
        <w:rPr>
          <w:szCs w:val="24"/>
        </w:rPr>
        <w:t xml:space="preserve">, resp. </w:t>
      </w:r>
      <w:r w:rsidR="00E03108" w:rsidRPr="00375A4F">
        <w:rPr>
          <w:szCs w:val="24"/>
        </w:rPr>
        <w:t>příjemce dotací</w:t>
      </w:r>
      <w:r w:rsidR="00E03108">
        <w:rPr>
          <w:szCs w:val="24"/>
        </w:rPr>
        <w:t xml:space="preserve"> v</w:t>
      </w:r>
      <w:r w:rsidR="009572AE">
        <w:rPr>
          <w:szCs w:val="24"/>
        </w:rPr>
        <w:t> </w:t>
      </w:r>
      <w:r w:rsidR="00E03108">
        <w:rPr>
          <w:szCs w:val="24"/>
        </w:rPr>
        <w:t>této</w:t>
      </w:r>
      <w:r w:rsidR="009572AE">
        <w:rPr>
          <w:szCs w:val="24"/>
        </w:rPr>
        <w:t xml:space="preserve"> </w:t>
      </w:r>
      <w:r w:rsidR="00E03108">
        <w:rPr>
          <w:szCs w:val="24"/>
        </w:rPr>
        <w:t>oblasti</w:t>
      </w:r>
      <w:r w:rsidR="00E03108" w:rsidRPr="00375A4F">
        <w:rPr>
          <w:szCs w:val="24"/>
        </w:rPr>
        <w:t xml:space="preserve">. </w:t>
      </w:r>
      <w:r w:rsidR="00E03108">
        <w:rPr>
          <w:szCs w:val="24"/>
        </w:rPr>
        <w:t>ÚV ČR, který plně zodpovídá za protidrogovou politiku v</w:t>
      </w:r>
      <w:r w:rsidR="00445258">
        <w:rPr>
          <w:szCs w:val="24"/>
        </w:rPr>
        <w:t> </w:t>
      </w:r>
      <w:r w:rsidR="00E03108">
        <w:rPr>
          <w:szCs w:val="24"/>
        </w:rPr>
        <w:t>Č</w:t>
      </w:r>
      <w:r w:rsidR="00445258">
        <w:rPr>
          <w:szCs w:val="24"/>
        </w:rPr>
        <w:t>eské republice</w:t>
      </w:r>
      <w:r w:rsidR="00E03108">
        <w:rPr>
          <w:szCs w:val="24"/>
        </w:rPr>
        <w:t>, získá</w:t>
      </w:r>
      <w:r w:rsidR="00E03108" w:rsidRPr="00375A4F">
        <w:rPr>
          <w:szCs w:val="24"/>
        </w:rPr>
        <w:t xml:space="preserve"> lepší přehled </w:t>
      </w:r>
      <w:r w:rsidR="00445258">
        <w:rPr>
          <w:szCs w:val="24"/>
        </w:rPr>
        <w:br/>
      </w:r>
      <w:r w:rsidR="00E03108" w:rsidRPr="00375A4F">
        <w:rPr>
          <w:szCs w:val="24"/>
        </w:rPr>
        <w:t>o podporovaných projektech a službách</w:t>
      </w:r>
      <w:r w:rsidR="00BC6473">
        <w:rPr>
          <w:szCs w:val="24"/>
        </w:rPr>
        <w:t>, může</w:t>
      </w:r>
      <w:r w:rsidR="00E03108" w:rsidRPr="00375A4F">
        <w:rPr>
          <w:szCs w:val="24"/>
        </w:rPr>
        <w:t xml:space="preserve"> zjednoduš</w:t>
      </w:r>
      <w:r w:rsidR="00BC6473">
        <w:rPr>
          <w:szCs w:val="24"/>
        </w:rPr>
        <w:t>it</w:t>
      </w:r>
      <w:r w:rsidR="00E03108" w:rsidRPr="00375A4F">
        <w:rPr>
          <w:szCs w:val="24"/>
        </w:rPr>
        <w:t xml:space="preserve"> </w:t>
      </w:r>
      <w:r w:rsidR="00BC6473">
        <w:rPr>
          <w:szCs w:val="24"/>
        </w:rPr>
        <w:t>administrativu</w:t>
      </w:r>
      <w:r w:rsidR="00BC6473" w:rsidRPr="00375A4F">
        <w:rPr>
          <w:szCs w:val="24"/>
        </w:rPr>
        <w:t xml:space="preserve"> </w:t>
      </w:r>
      <w:r w:rsidR="00BC6473">
        <w:rPr>
          <w:szCs w:val="24"/>
        </w:rPr>
        <w:t xml:space="preserve">a </w:t>
      </w:r>
      <w:r w:rsidR="00EB512C">
        <w:rPr>
          <w:szCs w:val="24"/>
        </w:rPr>
        <w:t xml:space="preserve">zvýšit </w:t>
      </w:r>
      <w:r w:rsidR="00E03108" w:rsidRPr="00375A4F">
        <w:rPr>
          <w:szCs w:val="24"/>
        </w:rPr>
        <w:t>koordinac</w:t>
      </w:r>
      <w:r w:rsidR="00BC6473">
        <w:rPr>
          <w:szCs w:val="24"/>
        </w:rPr>
        <w:t>i</w:t>
      </w:r>
      <w:r w:rsidR="00E03108" w:rsidRPr="00375A4F">
        <w:rPr>
          <w:szCs w:val="24"/>
        </w:rPr>
        <w:t xml:space="preserve"> podpory</w:t>
      </w:r>
      <w:r w:rsidR="00BC6473">
        <w:rPr>
          <w:szCs w:val="24"/>
        </w:rPr>
        <w:t xml:space="preserve"> a lépe</w:t>
      </w:r>
      <w:r w:rsidR="00BC6473" w:rsidRPr="00375A4F">
        <w:rPr>
          <w:szCs w:val="24"/>
        </w:rPr>
        <w:t xml:space="preserve"> </w:t>
      </w:r>
      <w:r w:rsidR="00BC6473">
        <w:rPr>
          <w:szCs w:val="24"/>
        </w:rPr>
        <w:t>za</w:t>
      </w:r>
      <w:r w:rsidR="00BC6473" w:rsidRPr="00375A4F">
        <w:rPr>
          <w:szCs w:val="24"/>
        </w:rPr>
        <w:t>cíl</w:t>
      </w:r>
      <w:r w:rsidR="00BC6473">
        <w:rPr>
          <w:szCs w:val="24"/>
        </w:rPr>
        <w:t>it vynakládané prostředky v této oblasti</w:t>
      </w:r>
      <w:r w:rsidR="00E03108">
        <w:rPr>
          <w:szCs w:val="24"/>
        </w:rPr>
        <w:t>.</w:t>
      </w:r>
      <w:r w:rsidR="00675E32">
        <w:rPr>
          <w:szCs w:val="24"/>
        </w:rPr>
        <w:t xml:space="preserve"> Na vyhodnocení celého procesu centralizace bude</w:t>
      </w:r>
      <w:r w:rsidR="00D20DF5">
        <w:rPr>
          <w:szCs w:val="24"/>
        </w:rPr>
        <w:t xml:space="preserve"> však</w:t>
      </w:r>
      <w:r w:rsidR="00675E32">
        <w:rPr>
          <w:szCs w:val="24"/>
        </w:rPr>
        <w:t xml:space="preserve"> potřeba delší časový odstup.</w:t>
      </w:r>
    </w:p>
    <w:p w14:paraId="77A5AAEE" w14:textId="4FDCF74D" w:rsidR="00E03108" w:rsidRPr="00835D3F" w:rsidRDefault="00925AF5" w:rsidP="00FC602A">
      <w:pPr>
        <w:pStyle w:val="Kapitoly"/>
      </w:pPr>
      <w:r>
        <w:t>P</w:t>
      </w:r>
      <w:r w:rsidR="00080CD5">
        <w:t>rotidrogov</w:t>
      </w:r>
      <w:r>
        <w:t>á politika v době</w:t>
      </w:r>
      <w:r w:rsidR="00E03108" w:rsidRPr="00835D3F">
        <w:t xml:space="preserve"> </w:t>
      </w:r>
      <w:r w:rsidR="00946073">
        <w:t>pan</w:t>
      </w:r>
      <w:r w:rsidR="00E03108" w:rsidRPr="00835D3F">
        <w:t>demi</w:t>
      </w:r>
      <w:r>
        <w:t>e</w:t>
      </w:r>
      <w:r w:rsidR="00E03108" w:rsidRPr="00835D3F">
        <w:t xml:space="preserve"> </w:t>
      </w:r>
      <w:r w:rsidR="0068672C">
        <w:t>covid</w:t>
      </w:r>
      <w:r w:rsidR="00EB512C">
        <w:t>u</w:t>
      </w:r>
      <w:r w:rsidR="00E03108" w:rsidRPr="00835D3F">
        <w:t>-19</w:t>
      </w:r>
    </w:p>
    <w:p w14:paraId="299B5F67" w14:textId="1B93F888" w:rsidR="00835D3F" w:rsidRDefault="00E03108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ÚV ČR </w:t>
      </w:r>
      <w:r w:rsidRPr="00C02F02">
        <w:rPr>
          <w:szCs w:val="24"/>
        </w:rPr>
        <w:t>zpracov</w:t>
      </w:r>
      <w:r>
        <w:rPr>
          <w:szCs w:val="24"/>
        </w:rPr>
        <w:t>al</w:t>
      </w:r>
      <w:r w:rsidRPr="00C02F02">
        <w:rPr>
          <w:szCs w:val="24"/>
        </w:rPr>
        <w:t xml:space="preserve"> analýz</w:t>
      </w:r>
      <w:r>
        <w:rPr>
          <w:szCs w:val="24"/>
        </w:rPr>
        <w:t>u</w:t>
      </w:r>
      <w:r w:rsidRPr="00C02F02">
        <w:rPr>
          <w:szCs w:val="24"/>
        </w:rPr>
        <w:t xml:space="preserve"> situace </w:t>
      </w:r>
      <w:r w:rsidR="00EB512C">
        <w:rPr>
          <w:szCs w:val="24"/>
        </w:rPr>
        <w:t>ovlivněné</w:t>
      </w:r>
      <w:r w:rsidRPr="00C02F02">
        <w:rPr>
          <w:szCs w:val="24"/>
        </w:rPr>
        <w:t xml:space="preserve"> </w:t>
      </w:r>
      <w:r w:rsidR="00EB512C">
        <w:rPr>
          <w:szCs w:val="24"/>
        </w:rPr>
        <w:t xml:space="preserve">epidemií nemoci </w:t>
      </w:r>
      <w:r w:rsidR="0068672C">
        <w:rPr>
          <w:szCs w:val="24"/>
        </w:rPr>
        <w:t>covid</w:t>
      </w:r>
      <w:r w:rsidR="00946073" w:rsidRPr="00946073">
        <w:rPr>
          <w:szCs w:val="24"/>
        </w:rPr>
        <w:t>-19</w:t>
      </w:r>
      <w:r w:rsidRPr="00C02F02">
        <w:rPr>
          <w:szCs w:val="24"/>
        </w:rPr>
        <w:t xml:space="preserve">. </w:t>
      </w:r>
      <w:r>
        <w:rPr>
          <w:szCs w:val="24"/>
        </w:rPr>
        <w:t>P</w:t>
      </w:r>
      <w:r w:rsidRPr="00C02F02">
        <w:rPr>
          <w:szCs w:val="24"/>
        </w:rPr>
        <w:t xml:space="preserve">odrobnější analýza je </w:t>
      </w:r>
      <w:r>
        <w:rPr>
          <w:szCs w:val="24"/>
        </w:rPr>
        <w:t xml:space="preserve">také </w:t>
      </w:r>
      <w:r w:rsidRPr="00C02F02">
        <w:rPr>
          <w:szCs w:val="24"/>
        </w:rPr>
        <w:t xml:space="preserve">součástí </w:t>
      </w:r>
      <w:r w:rsidRPr="005A1773">
        <w:rPr>
          <w:i/>
          <w:szCs w:val="24"/>
        </w:rPr>
        <w:t xml:space="preserve">Výroční zprávy o stavu ve věcech drog v </w:t>
      </w:r>
      <w:r w:rsidRPr="002D55E2">
        <w:rPr>
          <w:i/>
          <w:szCs w:val="24"/>
        </w:rPr>
        <w:t>ČR</w:t>
      </w:r>
      <w:r w:rsidRPr="00067C4C">
        <w:rPr>
          <w:i/>
          <w:szCs w:val="24"/>
        </w:rPr>
        <w:t xml:space="preserve"> za rok 2019</w:t>
      </w:r>
      <w:r w:rsidR="00EB512C">
        <w:rPr>
          <w:szCs w:val="24"/>
        </w:rPr>
        <w:t>,</w:t>
      </w:r>
      <w:r w:rsidR="009A237B">
        <w:rPr>
          <w:szCs w:val="24"/>
        </w:rPr>
        <w:t xml:space="preserve"> </w:t>
      </w:r>
      <w:r w:rsidR="003F6756">
        <w:rPr>
          <w:szCs w:val="24"/>
        </w:rPr>
        <w:t>vydan</w:t>
      </w:r>
      <w:r w:rsidR="009A237B">
        <w:rPr>
          <w:szCs w:val="24"/>
        </w:rPr>
        <w:t>é</w:t>
      </w:r>
      <w:r w:rsidR="003F6756">
        <w:rPr>
          <w:szCs w:val="24"/>
        </w:rPr>
        <w:t xml:space="preserve"> v</w:t>
      </w:r>
      <w:r w:rsidR="009A237B">
        <w:rPr>
          <w:szCs w:val="24"/>
        </w:rPr>
        <w:t xml:space="preserve"> říjnu </w:t>
      </w:r>
      <w:r w:rsidR="003F6756">
        <w:rPr>
          <w:szCs w:val="24"/>
        </w:rPr>
        <w:t>2020</w:t>
      </w:r>
      <w:r w:rsidRPr="00C02F02">
        <w:rPr>
          <w:szCs w:val="24"/>
        </w:rPr>
        <w:t>.</w:t>
      </w:r>
      <w:r>
        <w:rPr>
          <w:szCs w:val="24"/>
        </w:rPr>
        <w:t xml:space="preserve"> Bylo</w:t>
      </w:r>
      <w:r w:rsidRPr="00C02F02">
        <w:rPr>
          <w:szCs w:val="24"/>
        </w:rPr>
        <w:t xml:space="preserve"> zpracov</w:t>
      </w:r>
      <w:r>
        <w:rPr>
          <w:szCs w:val="24"/>
        </w:rPr>
        <w:t>áno i</w:t>
      </w:r>
      <w:r w:rsidRPr="00C02F02">
        <w:rPr>
          <w:szCs w:val="24"/>
        </w:rPr>
        <w:t xml:space="preserve"> několik doporučených postupů zejména pro poskytování adiktologických služeb</w:t>
      </w:r>
      <w:r>
        <w:rPr>
          <w:szCs w:val="24"/>
        </w:rPr>
        <w:t xml:space="preserve">. </w:t>
      </w:r>
      <w:r w:rsidRPr="00C02F02">
        <w:rPr>
          <w:szCs w:val="24"/>
        </w:rPr>
        <w:t xml:space="preserve">ÚV ČR reagoval na negativní dopady pandemie </w:t>
      </w:r>
      <w:r w:rsidR="0068672C">
        <w:rPr>
          <w:szCs w:val="24"/>
        </w:rPr>
        <w:t>covid</w:t>
      </w:r>
      <w:r w:rsidR="00EB512C">
        <w:rPr>
          <w:szCs w:val="24"/>
        </w:rPr>
        <w:t>u</w:t>
      </w:r>
      <w:r w:rsidR="00946073" w:rsidRPr="00946073">
        <w:rPr>
          <w:szCs w:val="24"/>
        </w:rPr>
        <w:t>-19</w:t>
      </w:r>
      <w:r w:rsidRPr="00C02F02">
        <w:rPr>
          <w:szCs w:val="24"/>
        </w:rPr>
        <w:t xml:space="preserve"> vyhlášením druhé výzvy dotačního řízení v dubnu 2020</w:t>
      </w:r>
      <w:r w:rsidR="002D55E2">
        <w:rPr>
          <w:szCs w:val="24"/>
        </w:rPr>
        <w:t>;</w:t>
      </w:r>
      <w:r>
        <w:rPr>
          <w:szCs w:val="24"/>
        </w:rPr>
        <w:t xml:space="preserve"> u </w:t>
      </w:r>
      <w:r w:rsidR="002D55E2">
        <w:rPr>
          <w:szCs w:val="24"/>
        </w:rPr>
        <w:t>této výzvy</w:t>
      </w:r>
      <w:r>
        <w:rPr>
          <w:szCs w:val="24"/>
        </w:rPr>
        <w:t xml:space="preserve"> je d</w:t>
      </w:r>
      <w:r w:rsidRPr="00C02F02">
        <w:rPr>
          <w:szCs w:val="24"/>
        </w:rPr>
        <w:t xml:space="preserve">le uveřejněných priorit brán zřetel </w:t>
      </w:r>
      <w:r w:rsidR="0097572F">
        <w:rPr>
          <w:szCs w:val="24"/>
        </w:rPr>
        <w:t>přednostně</w:t>
      </w:r>
      <w:r w:rsidR="0097572F" w:rsidRPr="00C02F02">
        <w:rPr>
          <w:szCs w:val="24"/>
        </w:rPr>
        <w:t xml:space="preserve"> </w:t>
      </w:r>
      <w:r w:rsidRPr="00C02F02">
        <w:rPr>
          <w:szCs w:val="24"/>
        </w:rPr>
        <w:t xml:space="preserve">na finanční zajištění řešení negativních dopadů způsobených pandemií </w:t>
      </w:r>
      <w:r w:rsidR="002D55E2">
        <w:rPr>
          <w:szCs w:val="24"/>
        </w:rPr>
        <w:t xml:space="preserve">nemoci </w:t>
      </w:r>
      <w:r w:rsidR="0068672C">
        <w:rPr>
          <w:szCs w:val="24"/>
        </w:rPr>
        <w:t>covid</w:t>
      </w:r>
      <w:r w:rsidR="00946073" w:rsidRPr="00946073">
        <w:rPr>
          <w:szCs w:val="24"/>
        </w:rPr>
        <w:t>-19</w:t>
      </w:r>
      <w:r>
        <w:rPr>
          <w:szCs w:val="24"/>
        </w:rPr>
        <w:t xml:space="preserve"> v adiktologických službách.</w:t>
      </w:r>
    </w:p>
    <w:p w14:paraId="48A7BE78" w14:textId="77777777" w:rsidR="00804C37" w:rsidRPr="006C54D7" w:rsidRDefault="00E620F7" w:rsidP="00FC602A">
      <w:pPr>
        <w:pStyle w:val="Nadpis1"/>
        <w:widowControl/>
      </w:pPr>
      <w:r w:rsidRPr="006C54D7">
        <w:t>Informace o kontrolované oblasti</w:t>
      </w:r>
    </w:p>
    <w:p w14:paraId="6642E971" w14:textId="78EAE74A" w:rsidR="00E428BC" w:rsidRDefault="00835D3F" w:rsidP="00FC602A">
      <w:pPr>
        <w:widowControl/>
        <w:spacing w:after="120"/>
        <w:rPr>
          <w:szCs w:val="24"/>
        </w:rPr>
      </w:pPr>
      <w:r w:rsidRPr="00BA3E44">
        <w:rPr>
          <w:szCs w:val="24"/>
        </w:rPr>
        <w:t>Protidrogová politika je komplexní a koordinovaný soubor opatření zaměřených na</w:t>
      </w:r>
      <w:r w:rsidR="0084054A">
        <w:rPr>
          <w:szCs w:val="24"/>
        </w:rPr>
        <w:t xml:space="preserve"> </w:t>
      </w:r>
      <w:r w:rsidRPr="00BA3E44">
        <w:rPr>
          <w:szCs w:val="24"/>
        </w:rPr>
        <w:t>problematiku legálních i nelegálních návykových látek a patologického hráčství. Jejím cílem je snížit užívání všech typů drog a eliminovat potenciální rizika a škody, které</w:t>
      </w:r>
      <w:r w:rsidR="0084054A">
        <w:rPr>
          <w:szCs w:val="24"/>
        </w:rPr>
        <w:t xml:space="preserve"> </w:t>
      </w:r>
      <w:r w:rsidRPr="00BA3E44">
        <w:rPr>
          <w:szCs w:val="24"/>
        </w:rPr>
        <w:t>jednotlivcům i</w:t>
      </w:r>
      <w:r>
        <w:rPr>
          <w:szCs w:val="24"/>
        </w:rPr>
        <w:t> </w:t>
      </w:r>
      <w:r w:rsidRPr="00BA3E44">
        <w:rPr>
          <w:szCs w:val="24"/>
        </w:rPr>
        <w:t xml:space="preserve">společnosti mohou v </w:t>
      </w:r>
      <w:r w:rsidR="00CB5338">
        <w:rPr>
          <w:szCs w:val="24"/>
        </w:rPr>
        <w:t xml:space="preserve">důsledku jejich užívání </w:t>
      </w:r>
      <w:r w:rsidR="00C50EB3">
        <w:rPr>
          <w:szCs w:val="24"/>
        </w:rPr>
        <w:t>vznikat</w:t>
      </w:r>
      <w:r w:rsidR="00CB5338">
        <w:rPr>
          <w:szCs w:val="24"/>
        </w:rPr>
        <w:t>.</w:t>
      </w:r>
    </w:p>
    <w:p w14:paraId="30028AD0" w14:textId="79115EDE" w:rsidR="00CB5338" w:rsidRDefault="00B779F2" w:rsidP="00FC602A">
      <w:pPr>
        <w:widowControl/>
        <w:spacing w:after="120"/>
        <w:rPr>
          <w:szCs w:val="24"/>
        </w:rPr>
      </w:pPr>
      <w:r>
        <w:rPr>
          <w:szCs w:val="24"/>
        </w:rPr>
        <w:t>O</w:t>
      </w:r>
      <w:r w:rsidR="00835D3F" w:rsidRPr="00BA3E44">
        <w:rPr>
          <w:szCs w:val="24"/>
        </w:rPr>
        <w:t>dpovědnost za tvorbu a</w:t>
      </w:r>
      <w:r w:rsidR="00C50EB3">
        <w:rPr>
          <w:szCs w:val="24"/>
        </w:rPr>
        <w:t xml:space="preserve"> </w:t>
      </w:r>
      <w:r w:rsidR="00835D3F" w:rsidRPr="00BA3E44">
        <w:rPr>
          <w:szCs w:val="24"/>
        </w:rPr>
        <w:t xml:space="preserve">naplňování protidrogové politiky nese vláda </w:t>
      </w:r>
      <w:r>
        <w:rPr>
          <w:szCs w:val="24"/>
        </w:rPr>
        <w:t>České republiky</w:t>
      </w:r>
      <w:r w:rsidR="00835D3F" w:rsidRPr="00BA3E44">
        <w:rPr>
          <w:szCs w:val="24"/>
        </w:rPr>
        <w:t xml:space="preserve">. </w:t>
      </w:r>
      <w:r w:rsidR="00E428BC">
        <w:rPr>
          <w:szCs w:val="24"/>
        </w:rPr>
        <w:t>V</w:t>
      </w:r>
      <w:r w:rsidR="00835D3F" w:rsidRPr="00BA3E44">
        <w:rPr>
          <w:rFonts w:cs="Calibri"/>
          <w:szCs w:val="24"/>
        </w:rPr>
        <w:t xml:space="preserve">láda </w:t>
      </w:r>
      <w:r w:rsidR="00E428BC">
        <w:rPr>
          <w:rFonts w:cs="Calibri"/>
          <w:szCs w:val="24"/>
        </w:rPr>
        <w:t>provádí a koordinuje jednotlivá opatření v protidrogové oblasti</w:t>
      </w:r>
      <w:r w:rsidR="00835D3F" w:rsidRPr="00BA3E44">
        <w:rPr>
          <w:rFonts w:cs="Calibri"/>
          <w:szCs w:val="24"/>
        </w:rPr>
        <w:t xml:space="preserve"> prostřednictvím Rady vlády pro koordinaci protidrogové politiky</w:t>
      </w:r>
      <w:r w:rsidR="00835D3F" w:rsidRPr="00BA3E44">
        <w:rPr>
          <w:szCs w:val="24"/>
        </w:rPr>
        <w:t xml:space="preserve"> </w:t>
      </w:r>
      <w:r w:rsidR="00835D3F">
        <w:rPr>
          <w:szCs w:val="24"/>
        </w:rPr>
        <w:t>(dále také</w:t>
      </w:r>
      <w:r w:rsidR="00835D3F" w:rsidRPr="00BA3E44">
        <w:rPr>
          <w:szCs w:val="24"/>
        </w:rPr>
        <w:t xml:space="preserve"> „RVKPP“),</w:t>
      </w:r>
      <w:r w:rsidR="00BD57B8">
        <w:rPr>
          <w:szCs w:val="24"/>
        </w:rPr>
        <w:t xml:space="preserve"> jejímž předsedou je </w:t>
      </w:r>
      <w:r w:rsidR="00BD57B8" w:rsidRPr="00BD57B8">
        <w:rPr>
          <w:szCs w:val="24"/>
        </w:rPr>
        <w:t xml:space="preserve">předseda vlády </w:t>
      </w:r>
      <w:r w:rsidR="00BD57B8">
        <w:rPr>
          <w:szCs w:val="24"/>
        </w:rPr>
        <w:t>ČR,</w:t>
      </w:r>
      <w:r w:rsidR="00835D3F" w:rsidRPr="00BA3E44">
        <w:rPr>
          <w:szCs w:val="24"/>
        </w:rPr>
        <w:t xml:space="preserve"> </w:t>
      </w:r>
      <w:r w:rsidR="00CE7866">
        <w:rPr>
          <w:szCs w:val="24"/>
        </w:rPr>
        <w:t>d</w:t>
      </w:r>
      <w:r w:rsidR="00835D3F">
        <w:rPr>
          <w:szCs w:val="24"/>
        </w:rPr>
        <w:t xml:space="preserve">ále pomocí příslušných ministerstev </w:t>
      </w:r>
      <w:r w:rsidR="00835D3F" w:rsidRPr="00BA3E44">
        <w:rPr>
          <w:szCs w:val="24"/>
        </w:rPr>
        <w:t>a dalších zapojených subjektů.</w:t>
      </w:r>
      <w:r w:rsidR="00E428BC">
        <w:rPr>
          <w:szCs w:val="24"/>
        </w:rPr>
        <w:t xml:space="preserve"> </w:t>
      </w:r>
      <w:r w:rsidR="00E428BC" w:rsidRPr="00E428BC">
        <w:rPr>
          <w:szCs w:val="24"/>
        </w:rPr>
        <w:t>Oblast realizace a</w:t>
      </w:r>
      <w:r w:rsidR="0084054A">
        <w:rPr>
          <w:szCs w:val="24"/>
        </w:rPr>
        <w:t> </w:t>
      </w:r>
      <w:r w:rsidR="00E428BC" w:rsidRPr="00E428BC">
        <w:rPr>
          <w:szCs w:val="24"/>
        </w:rPr>
        <w:t>koordinace protidrogové politiky na národní i místní úrovni upravuje zákon č. 65/2017 Sb., o ochraně zdraví před škodlivými účinky návykových látek.</w:t>
      </w:r>
      <w:r w:rsidR="00CB5338">
        <w:rPr>
          <w:szCs w:val="24"/>
        </w:rPr>
        <w:t xml:space="preserve"> </w:t>
      </w:r>
      <w:r w:rsidR="00CB5338" w:rsidRPr="00CB5338">
        <w:rPr>
          <w:szCs w:val="24"/>
        </w:rPr>
        <w:t xml:space="preserve">Základními strategickými dokumenty protidrogové politiky účinnými v letech 2016–2019 byly </w:t>
      </w:r>
      <w:r w:rsidR="00CB5338" w:rsidRPr="00CB5338">
        <w:rPr>
          <w:i/>
          <w:szCs w:val="24"/>
        </w:rPr>
        <w:t>Národní strategie protidrogové politiky pro období 2010─2018</w:t>
      </w:r>
      <w:r w:rsidR="00CB5338" w:rsidRPr="00067C4C">
        <w:rPr>
          <w:rStyle w:val="Znakapoznpodarou"/>
          <w:szCs w:val="24"/>
        </w:rPr>
        <w:footnoteReference w:id="3"/>
      </w:r>
      <w:r w:rsidR="00CB5338" w:rsidRPr="00CB5338">
        <w:rPr>
          <w:szCs w:val="24"/>
        </w:rPr>
        <w:t xml:space="preserve"> a na ni navazující </w:t>
      </w:r>
      <w:r w:rsidR="00CB5338" w:rsidRPr="00CB5338">
        <w:rPr>
          <w:i/>
          <w:szCs w:val="24"/>
        </w:rPr>
        <w:t xml:space="preserve">Národní strategie prevence </w:t>
      </w:r>
      <w:r w:rsidR="00CB5338" w:rsidRPr="00CB5338">
        <w:rPr>
          <w:i/>
          <w:szCs w:val="24"/>
        </w:rPr>
        <w:lastRenderedPageBreak/>
        <w:t>a</w:t>
      </w:r>
      <w:r w:rsidR="0084054A">
        <w:rPr>
          <w:i/>
          <w:szCs w:val="24"/>
        </w:rPr>
        <w:t> </w:t>
      </w:r>
      <w:r w:rsidR="00CB5338" w:rsidRPr="00CB5338">
        <w:rPr>
          <w:i/>
          <w:szCs w:val="24"/>
        </w:rPr>
        <w:t>snižování škod spojených se</w:t>
      </w:r>
      <w:r w:rsidR="00CB7D74">
        <w:rPr>
          <w:i/>
          <w:szCs w:val="24"/>
        </w:rPr>
        <w:t xml:space="preserve"> </w:t>
      </w:r>
      <w:r w:rsidR="00CB5338" w:rsidRPr="00CB5338">
        <w:rPr>
          <w:i/>
          <w:szCs w:val="24"/>
        </w:rPr>
        <w:t>závislostním chováním na období 2019─2027</w:t>
      </w:r>
      <w:r w:rsidR="00CB5338" w:rsidRPr="00067C4C">
        <w:rPr>
          <w:rStyle w:val="Znakapoznpodarou"/>
          <w:szCs w:val="24"/>
        </w:rPr>
        <w:footnoteReference w:id="4"/>
      </w:r>
      <w:r w:rsidR="00CB5338" w:rsidRPr="00CB5338">
        <w:rPr>
          <w:szCs w:val="24"/>
        </w:rPr>
        <w:t xml:space="preserve"> (dále také „Strategie 2027“).</w:t>
      </w:r>
    </w:p>
    <w:p w14:paraId="6C942394" w14:textId="24AAF27F" w:rsidR="00E428BC" w:rsidRPr="00E31DB2" w:rsidRDefault="00E428BC" w:rsidP="00FC602A">
      <w:pPr>
        <w:widowControl/>
        <w:spacing w:after="120"/>
        <w:rPr>
          <w:szCs w:val="24"/>
        </w:rPr>
      </w:pPr>
      <w:r w:rsidRPr="00B103CE">
        <w:rPr>
          <w:szCs w:val="24"/>
        </w:rPr>
        <w:t xml:space="preserve">Systém financování projektů protidrogové politiky je vícezdrojový. </w:t>
      </w:r>
      <w:r w:rsidR="00CE7644" w:rsidRPr="00B103CE">
        <w:rPr>
          <w:szCs w:val="24"/>
        </w:rPr>
        <w:t xml:space="preserve">Neziskové organizace působící v této oblasti získávají prostředky především z veřejných rozpočtů, tj. zejména v podobě dotací z </w:t>
      </w:r>
      <w:r w:rsidR="00054AC7" w:rsidRPr="00B103CE">
        <w:rPr>
          <w:szCs w:val="24"/>
        </w:rPr>
        <w:t>p</w:t>
      </w:r>
      <w:r w:rsidR="00CE7644" w:rsidRPr="00B103CE">
        <w:rPr>
          <w:szCs w:val="24"/>
        </w:rPr>
        <w:t xml:space="preserve">rogramů protidrogové politiky, dotací na podporu sociálních služeb </w:t>
      </w:r>
      <w:r w:rsidR="00A90D3F">
        <w:rPr>
          <w:szCs w:val="24"/>
        </w:rPr>
        <w:br/>
      </w:r>
      <w:r w:rsidR="00CE7644" w:rsidRPr="00B103CE">
        <w:rPr>
          <w:szCs w:val="24"/>
        </w:rPr>
        <w:t xml:space="preserve">a dotací z rozpočtů samospráv. </w:t>
      </w:r>
      <w:r w:rsidR="00054AC7" w:rsidRPr="00B103CE">
        <w:rPr>
          <w:szCs w:val="24"/>
        </w:rPr>
        <w:t xml:space="preserve">Neziskové organizace získávají prostředky </w:t>
      </w:r>
      <w:r w:rsidR="002819BE" w:rsidRPr="00B103CE">
        <w:rPr>
          <w:szCs w:val="24"/>
        </w:rPr>
        <w:t xml:space="preserve">i </w:t>
      </w:r>
      <w:r w:rsidR="00054AC7" w:rsidRPr="00B103CE">
        <w:rPr>
          <w:szCs w:val="24"/>
        </w:rPr>
        <w:t>z dalších tuzemských zdrojů</w:t>
      </w:r>
      <w:r w:rsidR="00CE7644" w:rsidRPr="00B103CE">
        <w:rPr>
          <w:szCs w:val="24"/>
        </w:rPr>
        <w:t xml:space="preserve">, tj. </w:t>
      </w:r>
      <w:r w:rsidRPr="00B103CE">
        <w:rPr>
          <w:szCs w:val="24"/>
        </w:rPr>
        <w:t>nadac</w:t>
      </w:r>
      <w:r w:rsidR="00054AC7" w:rsidRPr="00B103CE">
        <w:rPr>
          <w:szCs w:val="24"/>
        </w:rPr>
        <w:t>í</w:t>
      </w:r>
      <w:r w:rsidRPr="00B103CE">
        <w:rPr>
          <w:szCs w:val="24"/>
        </w:rPr>
        <w:t>, sbír</w:t>
      </w:r>
      <w:r w:rsidR="00054AC7" w:rsidRPr="00B103CE">
        <w:rPr>
          <w:szCs w:val="24"/>
        </w:rPr>
        <w:t>e</w:t>
      </w:r>
      <w:r w:rsidRPr="00B103CE">
        <w:rPr>
          <w:szCs w:val="24"/>
        </w:rPr>
        <w:t>k, sponzorsk</w:t>
      </w:r>
      <w:r w:rsidR="00054AC7" w:rsidRPr="00B103CE">
        <w:rPr>
          <w:szCs w:val="24"/>
        </w:rPr>
        <w:t>ých</w:t>
      </w:r>
      <w:r w:rsidRPr="00B103CE">
        <w:rPr>
          <w:szCs w:val="24"/>
        </w:rPr>
        <w:t xml:space="preserve"> dar</w:t>
      </w:r>
      <w:r w:rsidR="00054AC7" w:rsidRPr="00B103CE">
        <w:rPr>
          <w:szCs w:val="24"/>
        </w:rPr>
        <w:t>ů</w:t>
      </w:r>
      <w:r w:rsidRPr="00B103CE">
        <w:rPr>
          <w:szCs w:val="24"/>
        </w:rPr>
        <w:t>, příjm</w:t>
      </w:r>
      <w:r w:rsidR="00054AC7" w:rsidRPr="00B103CE">
        <w:rPr>
          <w:szCs w:val="24"/>
        </w:rPr>
        <w:t>ů</w:t>
      </w:r>
      <w:r w:rsidRPr="00B103CE">
        <w:rPr>
          <w:szCs w:val="24"/>
        </w:rPr>
        <w:t xml:space="preserve"> od klientů</w:t>
      </w:r>
      <w:r w:rsidR="00CE7644" w:rsidRPr="00B103CE">
        <w:rPr>
          <w:szCs w:val="24"/>
        </w:rPr>
        <w:t xml:space="preserve"> atd.,</w:t>
      </w:r>
      <w:r w:rsidRPr="00B103CE">
        <w:rPr>
          <w:szCs w:val="24"/>
        </w:rPr>
        <w:t xml:space="preserve"> </w:t>
      </w:r>
      <w:r w:rsidR="007D7082">
        <w:rPr>
          <w:szCs w:val="24"/>
        </w:rPr>
        <w:t xml:space="preserve">a také </w:t>
      </w:r>
      <w:r w:rsidR="00A90D3F">
        <w:rPr>
          <w:szCs w:val="24"/>
        </w:rPr>
        <w:br/>
      </w:r>
      <w:r w:rsidR="00054AC7" w:rsidRPr="00B103CE">
        <w:rPr>
          <w:szCs w:val="24"/>
        </w:rPr>
        <w:t>ze</w:t>
      </w:r>
      <w:r w:rsidRPr="00B103CE">
        <w:rPr>
          <w:szCs w:val="24"/>
        </w:rPr>
        <w:t xml:space="preserve"> zahraniční</w:t>
      </w:r>
      <w:r w:rsidR="00054AC7" w:rsidRPr="00B103CE">
        <w:rPr>
          <w:szCs w:val="24"/>
        </w:rPr>
        <w:t>ch</w:t>
      </w:r>
      <w:r w:rsidRPr="00B103CE">
        <w:rPr>
          <w:szCs w:val="24"/>
        </w:rPr>
        <w:t xml:space="preserve"> zdroj</w:t>
      </w:r>
      <w:r w:rsidR="00054AC7" w:rsidRPr="00B103CE">
        <w:rPr>
          <w:szCs w:val="24"/>
        </w:rPr>
        <w:t>ů</w:t>
      </w:r>
      <w:r w:rsidRPr="00B103CE">
        <w:rPr>
          <w:szCs w:val="24"/>
        </w:rPr>
        <w:t>.</w:t>
      </w:r>
    </w:p>
    <w:p w14:paraId="14F6EEA2" w14:textId="2939AF3C" w:rsidR="00523B91" w:rsidRDefault="00835D3F" w:rsidP="00FC602A">
      <w:pPr>
        <w:widowControl/>
        <w:spacing w:after="120"/>
        <w:rPr>
          <w:szCs w:val="24"/>
        </w:rPr>
      </w:pPr>
      <w:r w:rsidRPr="004136CF">
        <w:rPr>
          <w:b/>
          <w:szCs w:val="24"/>
        </w:rPr>
        <w:t>Úřad vlády České republiky</w:t>
      </w:r>
      <w:r w:rsidRPr="00BA3E44">
        <w:rPr>
          <w:szCs w:val="24"/>
        </w:rPr>
        <w:t xml:space="preserve"> působí jako ústřední orgán státní správy</w:t>
      </w:r>
      <w:r w:rsidR="00CB5338">
        <w:rPr>
          <w:rStyle w:val="Znakapoznpodarou"/>
          <w:szCs w:val="24"/>
        </w:rPr>
        <w:footnoteReference w:id="5"/>
      </w:r>
      <w:r w:rsidR="00E31DB2">
        <w:rPr>
          <w:szCs w:val="24"/>
        </w:rPr>
        <w:t xml:space="preserve"> a</w:t>
      </w:r>
      <w:r w:rsidRPr="00BA3E44">
        <w:rPr>
          <w:szCs w:val="24"/>
        </w:rPr>
        <w:t xml:space="preserve"> </w:t>
      </w:r>
      <w:r w:rsidR="00E31DB2" w:rsidRPr="00E31DB2">
        <w:rPr>
          <w:szCs w:val="24"/>
        </w:rPr>
        <w:t xml:space="preserve">plní </w:t>
      </w:r>
      <w:r w:rsidR="00E31DB2">
        <w:rPr>
          <w:szCs w:val="24"/>
        </w:rPr>
        <w:t>ú</w:t>
      </w:r>
      <w:r w:rsidR="00E31DB2" w:rsidRPr="00E31DB2">
        <w:rPr>
          <w:szCs w:val="24"/>
        </w:rPr>
        <w:t xml:space="preserve">koly spojené </w:t>
      </w:r>
      <w:r w:rsidR="00E31DB2">
        <w:rPr>
          <w:szCs w:val="24"/>
        </w:rPr>
        <w:br/>
      </w:r>
      <w:r w:rsidR="00E31DB2" w:rsidRPr="00E31DB2">
        <w:rPr>
          <w:szCs w:val="24"/>
        </w:rPr>
        <w:t xml:space="preserve">s odborným, organizačním a technickým zabezpečením činnosti vlády </w:t>
      </w:r>
      <w:r w:rsidR="00E31DB2">
        <w:rPr>
          <w:szCs w:val="24"/>
        </w:rPr>
        <w:t>ČR</w:t>
      </w:r>
      <w:r w:rsidR="00E31DB2" w:rsidRPr="00E31DB2">
        <w:rPr>
          <w:szCs w:val="24"/>
        </w:rPr>
        <w:t>, jejích orgánů, členů vlády, kteří nejsou pověřeni řízením ministerstva nebo jiného úřadu, a orgánů, o nichž tak stanoví zvláštn</w:t>
      </w:r>
      <w:r w:rsidR="00E31DB2">
        <w:rPr>
          <w:szCs w:val="24"/>
        </w:rPr>
        <w:t>í zákon nebo tak rozhodne vláda</w:t>
      </w:r>
      <w:r w:rsidR="00E31DB2">
        <w:rPr>
          <w:rStyle w:val="Znakapoznpodarou"/>
          <w:szCs w:val="24"/>
        </w:rPr>
        <w:footnoteReference w:id="6"/>
      </w:r>
      <w:r w:rsidR="00E31DB2">
        <w:rPr>
          <w:szCs w:val="24"/>
        </w:rPr>
        <w:t xml:space="preserve">. </w:t>
      </w:r>
      <w:r w:rsidRPr="00BA3E44">
        <w:rPr>
          <w:szCs w:val="24"/>
        </w:rPr>
        <w:t xml:space="preserve">ÚV ČR je správcem kapitoly státního rozpočtu </w:t>
      </w:r>
      <w:r w:rsidRPr="00067C4C">
        <w:rPr>
          <w:szCs w:val="24"/>
        </w:rPr>
        <w:t>304</w:t>
      </w:r>
      <w:r w:rsidR="002819BE">
        <w:rPr>
          <w:i/>
          <w:szCs w:val="24"/>
        </w:rPr>
        <w:t xml:space="preserve"> </w:t>
      </w:r>
      <w:r w:rsidR="002819BE" w:rsidRPr="00E428BC">
        <w:rPr>
          <w:szCs w:val="24"/>
        </w:rPr>
        <w:t>–</w:t>
      </w:r>
      <w:r w:rsidR="002819BE">
        <w:rPr>
          <w:szCs w:val="24"/>
        </w:rPr>
        <w:t xml:space="preserve"> </w:t>
      </w:r>
      <w:r w:rsidRPr="00CE7866">
        <w:rPr>
          <w:i/>
          <w:szCs w:val="24"/>
        </w:rPr>
        <w:t>Úřad vlády České republiky</w:t>
      </w:r>
      <w:r w:rsidR="00CE7866">
        <w:rPr>
          <w:szCs w:val="24"/>
        </w:rPr>
        <w:t xml:space="preserve">, z níž byly v kontrolovaném období vydávány </w:t>
      </w:r>
      <w:r w:rsidR="00E31DB2">
        <w:rPr>
          <w:szCs w:val="24"/>
        </w:rPr>
        <w:t xml:space="preserve">peněžní </w:t>
      </w:r>
      <w:r w:rsidR="00CE7866">
        <w:rPr>
          <w:szCs w:val="24"/>
        </w:rPr>
        <w:t xml:space="preserve">prostředky v rámci výdajového ukazatele </w:t>
      </w:r>
      <w:r w:rsidR="00CE7866" w:rsidRPr="00CE7866">
        <w:rPr>
          <w:i/>
          <w:szCs w:val="24"/>
        </w:rPr>
        <w:t>Program protidrogové politiky</w:t>
      </w:r>
      <w:r w:rsidRPr="00BA3E44">
        <w:rPr>
          <w:szCs w:val="24"/>
        </w:rPr>
        <w:t>.</w:t>
      </w:r>
    </w:p>
    <w:p w14:paraId="598E5E24" w14:textId="57A1EE2A" w:rsidR="00E428BC" w:rsidRPr="00BA3E44" w:rsidRDefault="00BD57B8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Stálým </w:t>
      </w:r>
      <w:r w:rsidRPr="00E428BC">
        <w:rPr>
          <w:szCs w:val="24"/>
        </w:rPr>
        <w:t>poradním, iniciačním a koordinačním</w:t>
      </w:r>
      <w:r w:rsidR="00E428BC" w:rsidRPr="00E428BC">
        <w:rPr>
          <w:szCs w:val="24"/>
        </w:rPr>
        <w:t xml:space="preserve"> orgánem vlády ČR v otázkách protidrogové politiky je RVKPP</w:t>
      </w:r>
      <w:r w:rsidR="00CE7866">
        <w:rPr>
          <w:szCs w:val="24"/>
        </w:rPr>
        <w:t xml:space="preserve">, </w:t>
      </w:r>
      <w:r w:rsidR="00CE7866" w:rsidRPr="00BA3E44">
        <w:rPr>
          <w:szCs w:val="24"/>
        </w:rPr>
        <w:t xml:space="preserve">která je zařazena pod </w:t>
      </w:r>
      <w:r w:rsidR="00CE7866">
        <w:rPr>
          <w:szCs w:val="24"/>
        </w:rPr>
        <w:t>ÚV ČR</w:t>
      </w:r>
      <w:r w:rsidR="00E428BC" w:rsidRPr="00E428BC">
        <w:rPr>
          <w:szCs w:val="24"/>
        </w:rPr>
        <w:t xml:space="preserve">. V současné době má RVKPP 19 členů. RVKPP má k dispozici také pracovní orgány – výbory a pracovní skupiny. Vláda ČR rovněž zřídila funkci </w:t>
      </w:r>
      <w:r>
        <w:rPr>
          <w:szCs w:val="24"/>
        </w:rPr>
        <w:t>n</w:t>
      </w:r>
      <w:r w:rsidRPr="00BD57B8">
        <w:rPr>
          <w:szCs w:val="24"/>
        </w:rPr>
        <w:t>árodní koordinátork</w:t>
      </w:r>
      <w:r>
        <w:rPr>
          <w:szCs w:val="24"/>
        </w:rPr>
        <w:t>y</w:t>
      </w:r>
      <w:r w:rsidRPr="00BD57B8">
        <w:rPr>
          <w:szCs w:val="24"/>
        </w:rPr>
        <w:t xml:space="preserve"> pro oblast protidrogové politiky</w:t>
      </w:r>
      <w:r w:rsidR="00CE7866">
        <w:rPr>
          <w:szCs w:val="24"/>
        </w:rPr>
        <w:t xml:space="preserve">, </w:t>
      </w:r>
      <w:r w:rsidRPr="00BD57B8">
        <w:rPr>
          <w:szCs w:val="24"/>
        </w:rPr>
        <w:t xml:space="preserve">která je současně také výkonnou místopředsedkyní RVKPP a ředitelkou Odboru protidrogové politiky </w:t>
      </w:r>
      <w:r>
        <w:rPr>
          <w:szCs w:val="24"/>
        </w:rPr>
        <w:t>ÚV ČR</w:t>
      </w:r>
      <w:r w:rsidR="00E428BC" w:rsidRPr="00E428BC">
        <w:rPr>
          <w:szCs w:val="24"/>
        </w:rPr>
        <w:t>. ÚV ČR zajišťuje také koordinaci protidrogové politiky a spolupráci s místní úrovní. Metodicky vede krajské protidrogové koordinátory</w:t>
      </w:r>
      <w:r w:rsidR="00675E32">
        <w:rPr>
          <w:szCs w:val="24"/>
        </w:rPr>
        <w:t>.</w:t>
      </w:r>
    </w:p>
    <w:p w14:paraId="345020CC" w14:textId="05CB4ECE" w:rsidR="00835D3F" w:rsidRPr="00BA3E44" w:rsidRDefault="00835D3F" w:rsidP="00FC602A">
      <w:pPr>
        <w:widowControl/>
        <w:spacing w:after="120"/>
        <w:rPr>
          <w:szCs w:val="24"/>
        </w:rPr>
      </w:pPr>
      <w:r w:rsidRPr="004136CF">
        <w:rPr>
          <w:b/>
          <w:szCs w:val="24"/>
        </w:rPr>
        <w:t>Ministerstvo zdravotnictví</w:t>
      </w:r>
      <w:r w:rsidRPr="00BA3E44">
        <w:rPr>
          <w:szCs w:val="24"/>
        </w:rPr>
        <w:t xml:space="preserve"> je ústředním orgánem státní správy pro zdravotní služby, ochranu veřejného zdraví, zdravotnickou vědeckovýzkumnou činnost, poskytovatele zdravotních služeb v přímé řídicí působnosti, zacházení s návykovými látkami, přípravky, prekursory </w:t>
      </w:r>
      <w:r w:rsidR="00523B91">
        <w:rPr>
          <w:szCs w:val="24"/>
        </w:rPr>
        <w:br/>
      </w:r>
      <w:r w:rsidRPr="00BA3E44">
        <w:rPr>
          <w:szCs w:val="24"/>
        </w:rPr>
        <w:t>a pomocnými látkami, vyhledávání, ochranu a využívání přírodních léčivých zdrojů, přírodních léčebných lázní a</w:t>
      </w:r>
      <w:r w:rsidR="000C0A40">
        <w:rPr>
          <w:szCs w:val="24"/>
        </w:rPr>
        <w:t xml:space="preserve"> </w:t>
      </w:r>
      <w:r w:rsidRPr="00BA3E44">
        <w:rPr>
          <w:szCs w:val="24"/>
        </w:rPr>
        <w:t>zdrojů přírodních minerálních vod, léčiva a prostředky zdravotnické techniky pro prevenci, diagnostiku a léčení lidí, zdravotní pojištění a zdravotnický informační systém, pro používání biocidních přípravků a uvádění biocidních přípravků a účinných látek na trh</w:t>
      </w:r>
      <w:r w:rsidR="000C0A40">
        <w:rPr>
          <w:szCs w:val="24"/>
        </w:rPr>
        <w:t>.</w:t>
      </w:r>
      <w:r w:rsidR="009C681C">
        <w:rPr>
          <w:rStyle w:val="Znakapoznpodarou"/>
          <w:szCs w:val="24"/>
        </w:rPr>
        <w:footnoteReference w:id="7"/>
      </w:r>
      <w:r w:rsidRPr="00BA3E44">
        <w:rPr>
          <w:szCs w:val="24"/>
        </w:rPr>
        <w:t xml:space="preserve"> </w:t>
      </w:r>
      <w:r w:rsidR="009C681C" w:rsidRPr="00BA3E44">
        <w:rPr>
          <w:szCs w:val="24"/>
        </w:rPr>
        <w:t xml:space="preserve">MZ je správcem kapitoly státního rozpočtu </w:t>
      </w:r>
      <w:r w:rsidR="00C8733B" w:rsidRPr="00067C4C">
        <w:rPr>
          <w:szCs w:val="24"/>
        </w:rPr>
        <w:t>335 </w:t>
      </w:r>
      <w:r w:rsidR="00C8733B" w:rsidRPr="00E428BC">
        <w:rPr>
          <w:szCs w:val="24"/>
        </w:rPr>
        <w:t>–</w:t>
      </w:r>
      <w:r w:rsidR="00C8733B">
        <w:rPr>
          <w:i/>
          <w:szCs w:val="24"/>
        </w:rPr>
        <w:t> </w:t>
      </w:r>
      <w:r w:rsidR="009C681C" w:rsidRPr="009C681C">
        <w:rPr>
          <w:i/>
          <w:szCs w:val="24"/>
        </w:rPr>
        <w:t>Ministerstvo zdravotnictví</w:t>
      </w:r>
      <w:r w:rsidR="009C681C">
        <w:rPr>
          <w:szCs w:val="24"/>
        </w:rPr>
        <w:t xml:space="preserve">, z níž byly v kontrolovaném období vydávány </w:t>
      </w:r>
      <w:r w:rsidR="003231FD">
        <w:rPr>
          <w:szCs w:val="24"/>
        </w:rPr>
        <w:t>peněž</w:t>
      </w:r>
      <w:r w:rsidR="009C681C">
        <w:rPr>
          <w:szCs w:val="24"/>
        </w:rPr>
        <w:t xml:space="preserve">ní prostředky v rámci výdajového ukazatele </w:t>
      </w:r>
      <w:r w:rsidR="009C681C" w:rsidRPr="00CE7866">
        <w:rPr>
          <w:i/>
          <w:szCs w:val="24"/>
        </w:rPr>
        <w:t>Program protidrogové politiky</w:t>
      </w:r>
      <w:r w:rsidR="009C681C" w:rsidRPr="00BA3E44">
        <w:rPr>
          <w:szCs w:val="24"/>
        </w:rPr>
        <w:t>.</w:t>
      </w:r>
    </w:p>
    <w:p w14:paraId="584299B7" w14:textId="3CFD83A2" w:rsidR="008C6E0C" w:rsidRDefault="00835D3F" w:rsidP="00FC602A">
      <w:pPr>
        <w:widowControl/>
        <w:spacing w:after="120"/>
        <w:rPr>
          <w:b/>
          <w:szCs w:val="24"/>
        </w:rPr>
      </w:pPr>
      <w:r w:rsidRPr="00BA3E44">
        <w:rPr>
          <w:szCs w:val="24"/>
        </w:rPr>
        <w:t xml:space="preserve">MZ v protidrogové politice odpovídá za </w:t>
      </w:r>
      <w:r w:rsidR="003231FD" w:rsidRPr="003231FD">
        <w:rPr>
          <w:szCs w:val="24"/>
        </w:rPr>
        <w:t>přípravu právních předpisů</w:t>
      </w:r>
      <w:r w:rsidRPr="00BA3E44">
        <w:rPr>
          <w:szCs w:val="24"/>
        </w:rPr>
        <w:t xml:space="preserve"> týkající</w:t>
      </w:r>
      <w:r w:rsidR="0072087A">
        <w:rPr>
          <w:szCs w:val="24"/>
        </w:rPr>
        <w:t>ch</w:t>
      </w:r>
      <w:r w:rsidRPr="00BA3E44">
        <w:rPr>
          <w:szCs w:val="24"/>
        </w:rPr>
        <w:t xml:space="preserve"> se legálního zacházení s</w:t>
      </w:r>
      <w:r>
        <w:rPr>
          <w:szCs w:val="24"/>
        </w:rPr>
        <w:t> </w:t>
      </w:r>
      <w:r w:rsidRPr="00BA3E44">
        <w:rPr>
          <w:szCs w:val="24"/>
        </w:rPr>
        <w:t>návykovými látkami, přípravky, prekurzory a pomocnými látkami. Povoluje zacházení s</w:t>
      </w:r>
      <w:r>
        <w:rPr>
          <w:szCs w:val="24"/>
        </w:rPr>
        <w:t> </w:t>
      </w:r>
      <w:r w:rsidRPr="00BA3E44">
        <w:rPr>
          <w:szCs w:val="24"/>
        </w:rPr>
        <w:t>návykovými látkami, s přípravky, které je obsahují, s prekurzory a s pomocnými látkami, povoluje dovozy a vývozy těchto látek, vykonává kontrolní činnost a plní hlásnou povinnost o</w:t>
      </w:r>
      <w:r w:rsidR="0072087A">
        <w:rPr>
          <w:szCs w:val="24"/>
        </w:rPr>
        <w:t xml:space="preserve"> </w:t>
      </w:r>
      <w:r w:rsidRPr="00BA3E44">
        <w:rPr>
          <w:szCs w:val="24"/>
        </w:rPr>
        <w:t>dovozu, vývozu, výrobě a spotřebě a</w:t>
      </w:r>
      <w:r w:rsidR="0072087A">
        <w:rPr>
          <w:szCs w:val="24"/>
        </w:rPr>
        <w:t xml:space="preserve"> </w:t>
      </w:r>
      <w:r w:rsidRPr="00BA3E44">
        <w:rPr>
          <w:szCs w:val="24"/>
        </w:rPr>
        <w:t xml:space="preserve">stavu zásob uvedených látek pro orgány OSN a EU. Dále odpovídá za </w:t>
      </w:r>
      <w:r w:rsidR="003231FD" w:rsidRPr="003231FD">
        <w:rPr>
          <w:szCs w:val="24"/>
        </w:rPr>
        <w:t>přípravu právních předpisů</w:t>
      </w:r>
      <w:r w:rsidRPr="00BA3E44">
        <w:rPr>
          <w:szCs w:val="24"/>
        </w:rPr>
        <w:t xml:space="preserve"> týkající</w:t>
      </w:r>
      <w:r w:rsidR="0072087A">
        <w:rPr>
          <w:szCs w:val="24"/>
        </w:rPr>
        <w:t>ch</w:t>
      </w:r>
      <w:r w:rsidRPr="00BA3E44">
        <w:rPr>
          <w:szCs w:val="24"/>
        </w:rPr>
        <w:t xml:space="preserve"> se ochrany před škodami působenými tabákovými výrobky, alkoholem a jinými návykovými látkami včetně léčby </w:t>
      </w:r>
      <w:r w:rsidRPr="00BA3E44">
        <w:rPr>
          <w:szCs w:val="24"/>
        </w:rPr>
        <w:lastRenderedPageBreak/>
        <w:t>návykových nemocí, za realizaci a</w:t>
      </w:r>
      <w:r w:rsidR="008E068A">
        <w:rPr>
          <w:szCs w:val="24"/>
        </w:rPr>
        <w:t xml:space="preserve"> </w:t>
      </w:r>
      <w:r w:rsidRPr="00BA3E44">
        <w:rPr>
          <w:szCs w:val="24"/>
        </w:rPr>
        <w:t>financování této léčby a profesní vzdělávání pracovníků resortu a</w:t>
      </w:r>
      <w:r w:rsidR="008E068A">
        <w:rPr>
          <w:szCs w:val="24"/>
        </w:rPr>
        <w:t xml:space="preserve"> </w:t>
      </w:r>
      <w:r w:rsidRPr="00BA3E44">
        <w:rPr>
          <w:szCs w:val="24"/>
        </w:rPr>
        <w:t>protidrogovou politiku v</w:t>
      </w:r>
      <w:r>
        <w:rPr>
          <w:szCs w:val="24"/>
        </w:rPr>
        <w:t> </w:t>
      </w:r>
      <w:r w:rsidRPr="00BA3E44">
        <w:rPr>
          <w:szCs w:val="24"/>
        </w:rPr>
        <w:t>oblasti legálních návykových látek.</w:t>
      </w:r>
    </w:p>
    <w:p w14:paraId="19EE77C4" w14:textId="48CB1DC8" w:rsidR="008C6E0C" w:rsidRDefault="008C6E0C" w:rsidP="00FC602A">
      <w:pPr>
        <w:widowControl/>
        <w:spacing w:after="120"/>
        <w:rPr>
          <w:szCs w:val="24"/>
        </w:rPr>
      </w:pPr>
      <w:r w:rsidRPr="0017221F">
        <w:rPr>
          <w:b/>
          <w:szCs w:val="24"/>
        </w:rPr>
        <w:t>Ministerstvo školství, mládeže a tělovýchovy</w:t>
      </w:r>
      <w:r w:rsidRPr="00BA3E44">
        <w:rPr>
          <w:szCs w:val="24"/>
        </w:rPr>
        <w:t xml:space="preserve"> je ústředním orgánem státní správy pro předškolní zařízení, školská zařízení, základní školy, střední školy a vysoké školy, pro vědní politiku, výzkum a vývoj, včetně mezinárodní spolupráce v této oblasti, a pro vědecké hodnosti, pro státní péči o děti, mládež a tělesnou výchovu</w:t>
      </w:r>
      <w:r>
        <w:rPr>
          <w:rStyle w:val="Znakapoznpodarou"/>
          <w:szCs w:val="24"/>
        </w:rPr>
        <w:footnoteReference w:id="8"/>
      </w:r>
      <w:r w:rsidRPr="00BA3E44">
        <w:rPr>
          <w:szCs w:val="24"/>
        </w:rPr>
        <w:t xml:space="preserve">. MŠMT je správcem kapitoly státního rozpočtu </w:t>
      </w:r>
      <w:r w:rsidR="00283C19" w:rsidRPr="00067C4C">
        <w:rPr>
          <w:szCs w:val="24"/>
        </w:rPr>
        <w:t>333 –</w:t>
      </w:r>
      <w:r w:rsidR="00283C19">
        <w:rPr>
          <w:i/>
          <w:szCs w:val="24"/>
        </w:rPr>
        <w:t> </w:t>
      </w:r>
      <w:r w:rsidRPr="009C681C">
        <w:rPr>
          <w:i/>
          <w:szCs w:val="24"/>
        </w:rPr>
        <w:t>Ministerstvo školství, mládeže a tělovýchovy</w:t>
      </w:r>
      <w:r>
        <w:rPr>
          <w:szCs w:val="24"/>
        </w:rPr>
        <w:t>, z</w:t>
      </w:r>
      <w:r w:rsidR="009601B8">
        <w:rPr>
          <w:szCs w:val="24"/>
        </w:rPr>
        <w:t xml:space="preserve"> </w:t>
      </w:r>
      <w:r>
        <w:rPr>
          <w:szCs w:val="24"/>
        </w:rPr>
        <w:t xml:space="preserve">níž byly v kontrolovaném období vydávány </w:t>
      </w:r>
      <w:r w:rsidR="003231FD">
        <w:rPr>
          <w:szCs w:val="24"/>
        </w:rPr>
        <w:t>peněž</w:t>
      </w:r>
      <w:r>
        <w:rPr>
          <w:szCs w:val="24"/>
        </w:rPr>
        <w:t xml:space="preserve">ní prostředky v rámci výdajového ukazatele </w:t>
      </w:r>
      <w:r w:rsidRPr="00CE7866">
        <w:rPr>
          <w:i/>
          <w:szCs w:val="24"/>
        </w:rPr>
        <w:t>Program protidrogové politiky</w:t>
      </w:r>
      <w:r w:rsidRPr="00BA3E44">
        <w:rPr>
          <w:szCs w:val="24"/>
        </w:rPr>
        <w:t>.</w:t>
      </w:r>
    </w:p>
    <w:p w14:paraId="6C7564AE" w14:textId="64AFB7EA" w:rsidR="008C6E0C" w:rsidRPr="00BA3E44" w:rsidRDefault="008C6E0C" w:rsidP="00FC602A">
      <w:pPr>
        <w:widowControl/>
        <w:spacing w:after="120"/>
        <w:rPr>
          <w:szCs w:val="24"/>
        </w:rPr>
      </w:pPr>
      <w:r w:rsidRPr="00BA3E44">
        <w:rPr>
          <w:szCs w:val="24"/>
        </w:rPr>
        <w:t>MŠMT v protidrogové politice odpovídá především za primární prevenci užívání všech typů drog dětmi a</w:t>
      </w:r>
      <w:r>
        <w:rPr>
          <w:szCs w:val="24"/>
        </w:rPr>
        <w:t xml:space="preserve"> mladistvými, </w:t>
      </w:r>
      <w:r w:rsidRPr="00BA3E44">
        <w:rPr>
          <w:szCs w:val="24"/>
        </w:rPr>
        <w:t xml:space="preserve">za realizaci preventivních programů ve školách a ve školských zařízeních a za financování dalších preventivních programů realizovaných státními i nestátními organizacemi. Rovněž odpovídá za profesní přípravu pedagogických pracovníků pro </w:t>
      </w:r>
      <w:r w:rsidR="000157B4">
        <w:rPr>
          <w:szCs w:val="24"/>
        </w:rPr>
        <w:br/>
      </w:r>
      <w:r w:rsidRPr="00BA3E44">
        <w:rPr>
          <w:szCs w:val="24"/>
        </w:rPr>
        <w:t>účinné preventivní působení při výuce, vzdělávání a při výchově dětí a mládeže. V rámci speciálního školství nese odpovědnost za zabezpečení programů včasné a krizové intervence, léčebně-výchovné péče u</w:t>
      </w:r>
      <w:r w:rsidR="000157B4">
        <w:rPr>
          <w:szCs w:val="24"/>
        </w:rPr>
        <w:t xml:space="preserve"> </w:t>
      </w:r>
      <w:r w:rsidRPr="00BA3E44">
        <w:rPr>
          <w:szCs w:val="24"/>
        </w:rPr>
        <w:t>dětí a mlad</w:t>
      </w:r>
      <w:r>
        <w:rPr>
          <w:szCs w:val="24"/>
        </w:rPr>
        <w:t>istvých</w:t>
      </w:r>
      <w:r w:rsidRPr="00BA3E44">
        <w:rPr>
          <w:szCs w:val="24"/>
        </w:rPr>
        <w:t>, kteří s drogami experimentují nebo je zneužívají.</w:t>
      </w:r>
    </w:p>
    <w:p w14:paraId="04D86CAC" w14:textId="164AAAB4" w:rsidR="00835D3F" w:rsidRPr="00BA3E44" w:rsidRDefault="00835D3F" w:rsidP="00FC602A">
      <w:pPr>
        <w:widowControl/>
        <w:spacing w:before="240" w:after="120"/>
        <w:rPr>
          <w:szCs w:val="24"/>
        </w:rPr>
      </w:pPr>
      <w:r w:rsidRPr="004136CF">
        <w:rPr>
          <w:b/>
          <w:szCs w:val="24"/>
        </w:rPr>
        <w:t>Ministerstvo spravedlnosti</w:t>
      </w:r>
      <w:r w:rsidRPr="00BA3E44">
        <w:rPr>
          <w:szCs w:val="24"/>
        </w:rPr>
        <w:t xml:space="preserve"> působí </w:t>
      </w:r>
      <w:r w:rsidR="00675E32">
        <w:rPr>
          <w:szCs w:val="24"/>
        </w:rPr>
        <w:t xml:space="preserve">mj. </w:t>
      </w:r>
      <w:r w:rsidRPr="00BA3E44">
        <w:rPr>
          <w:szCs w:val="24"/>
        </w:rPr>
        <w:t xml:space="preserve">jako ústřední orgán státní správy pro vězeňství, </w:t>
      </w:r>
      <w:r w:rsidR="00A90D3F">
        <w:rPr>
          <w:szCs w:val="24"/>
        </w:rPr>
        <w:br/>
      </w:r>
      <w:r w:rsidRPr="00BA3E44">
        <w:rPr>
          <w:szCs w:val="24"/>
        </w:rPr>
        <w:t>je mu podřízena Vězeňská služba České republiky</w:t>
      </w:r>
      <w:r w:rsidR="004D203B">
        <w:rPr>
          <w:rStyle w:val="Znakapoznpodarou"/>
          <w:szCs w:val="24"/>
        </w:rPr>
        <w:footnoteReference w:id="9"/>
      </w:r>
      <w:r w:rsidR="00240F8A">
        <w:rPr>
          <w:szCs w:val="24"/>
        </w:rPr>
        <w:t>, dále</w:t>
      </w:r>
      <w:r w:rsidRPr="00BA3E44">
        <w:rPr>
          <w:szCs w:val="24"/>
        </w:rPr>
        <w:t xml:space="preserve"> je ústředním orgánem státní správy pro probaci a </w:t>
      </w:r>
      <w:r w:rsidR="008134F2">
        <w:rPr>
          <w:szCs w:val="24"/>
        </w:rPr>
        <w:t>mediaci</w:t>
      </w:r>
      <w:r w:rsidR="004D203B">
        <w:rPr>
          <w:rStyle w:val="Znakapoznpodarou"/>
          <w:szCs w:val="24"/>
        </w:rPr>
        <w:footnoteReference w:id="10"/>
      </w:r>
      <w:r w:rsidR="008134F2">
        <w:rPr>
          <w:szCs w:val="24"/>
        </w:rPr>
        <w:t xml:space="preserve">. MS </w:t>
      </w:r>
      <w:r w:rsidR="009C681C" w:rsidRPr="00BA3E44">
        <w:rPr>
          <w:szCs w:val="24"/>
        </w:rPr>
        <w:t xml:space="preserve">je správcem kapitoly státního rozpočtu </w:t>
      </w:r>
      <w:r w:rsidR="009C681C" w:rsidRPr="00067C4C">
        <w:rPr>
          <w:szCs w:val="24"/>
        </w:rPr>
        <w:t>336</w:t>
      </w:r>
      <w:r w:rsidR="009C681C" w:rsidRPr="009C681C">
        <w:rPr>
          <w:i/>
          <w:szCs w:val="24"/>
        </w:rPr>
        <w:t xml:space="preserve"> – Ministerstvo spravedlnosti</w:t>
      </w:r>
      <w:r w:rsidR="009C681C">
        <w:rPr>
          <w:szCs w:val="24"/>
        </w:rPr>
        <w:t>, z</w:t>
      </w:r>
      <w:r w:rsidR="009601B8">
        <w:rPr>
          <w:szCs w:val="24"/>
        </w:rPr>
        <w:t xml:space="preserve"> </w:t>
      </w:r>
      <w:r w:rsidR="009C681C">
        <w:rPr>
          <w:szCs w:val="24"/>
        </w:rPr>
        <w:t>níž byly v</w:t>
      </w:r>
      <w:r w:rsidR="009601B8">
        <w:rPr>
          <w:szCs w:val="24"/>
        </w:rPr>
        <w:t xml:space="preserve"> </w:t>
      </w:r>
      <w:r w:rsidR="009C681C">
        <w:rPr>
          <w:szCs w:val="24"/>
        </w:rPr>
        <w:t xml:space="preserve">kontrolovaném období vydávány </w:t>
      </w:r>
      <w:r w:rsidR="003231FD">
        <w:rPr>
          <w:szCs w:val="24"/>
        </w:rPr>
        <w:t>peněž</w:t>
      </w:r>
      <w:r w:rsidR="009C681C">
        <w:rPr>
          <w:szCs w:val="24"/>
        </w:rPr>
        <w:t>ní prostředky v</w:t>
      </w:r>
      <w:r w:rsidR="009601B8">
        <w:rPr>
          <w:szCs w:val="24"/>
        </w:rPr>
        <w:t xml:space="preserve"> </w:t>
      </w:r>
      <w:r w:rsidR="009C681C">
        <w:rPr>
          <w:szCs w:val="24"/>
        </w:rPr>
        <w:t xml:space="preserve">rámci výdajového ukazatele </w:t>
      </w:r>
      <w:r w:rsidR="009C681C" w:rsidRPr="00CE7866">
        <w:rPr>
          <w:i/>
          <w:szCs w:val="24"/>
        </w:rPr>
        <w:t>Program protidrogové politiky</w:t>
      </w:r>
      <w:r w:rsidR="009C681C" w:rsidRPr="00BA3E44">
        <w:rPr>
          <w:szCs w:val="24"/>
        </w:rPr>
        <w:t>.</w:t>
      </w:r>
    </w:p>
    <w:p w14:paraId="7DCDAAA5" w14:textId="1C512E10" w:rsidR="00835D3F" w:rsidRDefault="00835D3F" w:rsidP="00FC602A">
      <w:pPr>
        <w:widowControl/>
        <w:spacing w:after="120"/>
        <w:rPr>
          <w:szCs w:val="24"/>
        </w:rPr>
      </w:pPr>
      <w:r w:rsidRPr="00BA3E44">
        <w:rPr>
          <w:szCs w:val="24"/>
        </w:rPr>
        <w:t xml:space="preserve">MS </w:t>
      </w:r>
      <w:r w:rsidR="009310F2">
        <w:rPr>
          <w:szCs w:val="24"/>
        </w:rPr>
        <w:t>o</w:t>
      </w:r>
      <w:r w:rsidR="009310F2" w:rsidRPr="009310F2">
        <w:rPr>
          <w:szCs w:val="24"/>
        </w:rPr>
        <w:t>dpovídá za tvorbu návrhů</w:t>
      </w:r>
      <w:r w:rsidR="000C2477">
        <w:rPr>
          <w:szCs w:val="24"/>
        </w:rPr>
        <w:t xml:space="preserve"> právních předpisů</w:t>
      </w:r>
      <w:r w:rsidR="009310F2" w:rsidRPr="009310F2">
        <w:rPr>
          <w:szCs w:val="24"/>
        </w:rPr>
        <w:t xml:space="preserve"> v oblasti trestního práva. Vytváří podmínky pro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činnost soudů a státních zastupitelství ve věcech týkajících se drogové trestné činnosti.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Zabezpečuje činnost Probační a mediační služby, odklony v trestním řízení nebo alternativy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trestu odnětí svobody. Odpovídá za realizaci služeb prevence, léčby a minimalizace rizik</w:t>
      </w:r>
      <w:r w:rsidR="009310F2">
        <w:rPr>
          <w:szCs w:val="24"/>
        </w:rPr>
        <w:t xml:space="preserve"> </w:t>
      </w:r>
      <w:r w:rsidR="00523B91">
        <w:rPr>
          <w:szCs w:val="24"/>
        </w:rPr>
        <w:br/>
      </w:r>
      <w:r w:rsidR="009310F2" w:rsidRPr="009310F2">
        <w:rPr>
          <w:szCs w:val="24"/>
        </w:rPr>
        <w:t>a odpovídající pomoci osobám závislým na návykových látkách v podmínkách výkonu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vazby, výkonu trestu odnětí svobody a výkonu zabezpečovací detence. Současně nese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odpovědnost za profesní vzdělávání soudců, státních zástupců a pracovníků Vězeňské</w:t>
      </w:r>
      <w:r w:rsidR="009310F2">
        <w:rPr>
          <w:szCs w:val="24"/>
        </w:rPr>
        <w:t xml:space="preserve"> </w:t>
      </w:r>
      <w:r w:rsidR="009310F2" w:rsidRPr="009310F2">
        <w:rPr>
          <w:szCs w:val="24"/>
        </w:rPr>
        <w:t>služby Č</w:t>
      </w:r>
      <w:r w:rsidR="00445258">
        <w:rPr>
          <w:szCs w:val="24"/>
        </w:rPr>
        <w:t>eské republiky</w:t>
      </w:r>
      <w:r w:rsidR="009310F2" w:rsidRPr="009310F2">
        <w:rPr>
          <w:szCs w:val="24"/>
        </w:rPr>
        <w:t xml:space="preserve"> a Probační a mediační služby.</w:t>
      </w:r>
    </w:p>
    <w:p w14:paraId="56186F10" w14:textId="77777777" w:rsidR="00240F8A" w:rsidRPr="00BA3E44" w:rsidRDefault="00240F8A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Celkové skutečné výdaje jednotlivých kapitol státního rozpočtu v rámci protidrogové politiky </w:t>
      </w:r>
      <w:r w:rsidRPr="00BA3E44">
        <w:rPr>
          <w:szCs w:val="24"/>
        </w:rPr>
        <w:t xml:space="preserve">uvádí </w:t>
      </w:r>
      <w:r>
        <w:rPr>
          <w:szCs w:val="24"/>
        </w:rPr>
        <w:t xml:space="preserve">následující </w:t>
      </w:r>
      <w:r w:rsidRPr="00BA3E44">
        <w:rPr>
          <w:szCs w:val="24"/>
        </w:rPr>
        <w:t>tabulka.</w:t>
      </w:r>
    </w:p>
    <w:p w14:paraId="4360F097" w14:textId="77777777" w:rsidR="000C7737" w:rsidRDefault="000C7737">
      <w:pPr>
        <w:widowControl/>
        <w:autoSpaceDE/>
        <w:autoSpaceDN/>
        <w:adjustRightInd/>
        <w:spacing w:after="160" w:line="259" w:lineRule="auto"/>
        <w:jc w:val="left"/>
        <w:rPr>
          <w:b/>
          <w:szCs w:val="22"/>
          <w:lang w:eastAsia="en-US"/>
        </w:rPr>
      </w:pPr>
      <w:r>
        <w:br w:type="page"/>
      </w:r>
    </w:p>
    <w:p w14:paraId="0269A1CB" w14:textId="036BAFA8" w:rsidR="00240F8A" w:rsidRDefault="00FC602A" w:rsidP="00FC602A">
      <w:pPr>
        <w:pStyle w:val="Nzevtabulky"/>
        <w:numPr>
          <w:ilvl w:val="0"/>
          <w:numId w:val="0"/>
        </w:numPr>
        <w:spacing w:before="240" w:after="120"/>
        <w:ind w:left="1304" w:hanging="1304"/>
      </w:pPr>
      <w:r>
        <w:lastRenderedPageBreak/>
        <w:t xml:space="preserve">Tabulka č. 1: </w:t>
      </w:r>
      <w:r>
        <w:tab/>
      </w:r>
      <w:r w:rsidR="00240F8A">
        <w:t>Skutečné v</w:t>
      </w:r>
      <w:r w:rsidR="00240F8A" w:rsidRPr="00E42B8A">
        <w:t>ýdaje</w:t>
      </w:r>
      <w:r w:rsidR="00866B9F">
        <w:t xml:space="preserve"> z jednotlivých kapitol státního rozpočtu zařazené pod výdajový ukazatel</w:t>
      </w:r>
      <w:r w:rsidR="00240F8A">
        <w:t xml:space="preserve"> </w:t>
      </w:r>
      <w:r w:rsidR="00866B9F" w:rsidRPr="00866B9F">
        <w:rPr>
          <w:i/>
        </w:rPr>
        <w:t>Program protidrogové politiky</w:t>
      </w:r>
      <w:r w:rsidR="00240F8A">
        <w:t xml:space="preserve"> v letech 2016</w:t>
      </w:r>
      <w:r w:rsidR="00FD3E23" w:rsidRPr="00BA3E44">
        <w:rPr>
          <w:szCs w:val="24"/>
        </w:rPr>
        <w:t>–</w:t>
      </w:r>
      <w:r w:rsidR="00240F8A">
        <w:t>2019 (v tis. Kč)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043"/>
        <w:gridCol w:w="1047"/>
        <w:gridCol w:w="1043"/>
        <w:gridCol w:w="1043"/>
        <w:gridCol w:w="1043"/>
      </w:tblGrid>
      <w:tr w:rsidR="00240F8A" w:rsidRPr="00821367" w14:paraId="609B76DA" w14:textId="77777777" w:rsidTr="00872F11">
        <w:trPr>
          <w:trHeight w:val="332"/>
          <w:jc w:val="center"/>
        </w:trPr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29708838" w14:textId="553E76E1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Kapitola státního rozpočtu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268AE9" w14:textId="77777777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ABF0D3" w14:textId="77777777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42A2E0" w14:textId="77777777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146F2526" w14:textId="77777777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F1FF"/>
            <w:vAlign w:val="center"/>
          </w:tcPr>
          <w:p w14:paraId="06F0D802" w14:textId="77777777" w:rsidR="00240F8A" w:rsidRPr="00821367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240F8A" w:rsidRPr="00821367" w14:paraId="55F556F2" w14:textId="77777777" w:rsidTr="0084481D">
        <w:trPr>
          <w:trHeight w:val="300"/>
          <w:jc w:val="center"/>
        </w:trPr>
        <w:tc>
          <w:tcPr>
            <w:tcW w:w="21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76E4" w14:textId="58636E14" w:rsidR="00240F8A" w:rsidRPr="00821367" w:rsidRDefault="00240F8A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 xml:space="preserve">304 </w:t>
            </w:r>
            <w:r w:rsidR="00FC602A">
              <w:rPr>
                <w:rFonts w:cs="Calibri"/>
                <w:color w:val="000000"/>
                <w:sz w:val="18"/>
                <w:szCs w:val="18"/>
              </w:rPr>
              <w:t xml:space="preserve">– </w:t>
            </w:r>
            <w:r w:rsidRPr="00872F11">
              <w:rPr>
                <w:rFonts w:cs="Calibri"/>
                <w:i/>
                <w:color w:val="000000"/>
                <w:sz w:val="18"/>
                <w:szCs w:val="18"/>
              </w:rPr>
              <w:t>Úřad vlády České republiky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FAB" w14:textId="77777777" w:rsidR="00240F8A" w:rsidRPr="00821367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126 667,00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0F7" w14:textId="77777777" w:rsidR="00240F8A" w:rsidRPr="00821367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141 499,00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883" w14:textId="77777777" w:rsidR="00240F8A" w:rsidRPr="00821367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189 106,00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B8E7" w14:textId="77777777" w:rsidR="00240F8A" w:rsidRPr="00821367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231 090,00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626A" w14:textId="77777777" w:rsidR="00240F8A" w:rsidRPr="00821367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sz w:val="18"/>
                <w:szCs w:val="18"/>
              </w:rPr>
              <w:t>688 362,00</w:t>
            </w:r>
          </w:p>
        </w:tc>
      </w:tr>
      <w:tr w:rsidR="000D6662" w:rsidRPr="00821367" w14:paraId="06DC2911" w14:textId="77777777" w:rsidTr="007C63A5">
        <w:trPr>
          <w:trHeight w:val="300"/>
          <w:jc w:val="center"/>
        </w:trPr>
        <w:tc>
          <w:tcPr>
            <w:tcW w:w="21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BF6D" w14:textId="7982D505" w:rsidR="000D6662" w:rsidRPr="00821367" w:rsidRDefault="000D6662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33</w:t>
            </w: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FC602A">
              <w:rPr>
                <w:rFonts w:cs="Calibri"/>
                <w:color w:val="000000"/>
                <w:sz w:val="18"/>
                <w:szCs w:val="18"/>
              </w:rPr>
              <w:t xml:space="preserve"> –</w:t>
            </w:r>
            <w:r w:rsidRPr="0082136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2F11">
              <w:rPr>
                <w:rFonts w:cs="Calibri"/>
                <w:i/>
                <w:color w:val="000000"/>
                <w:sz w:val="18"/>
                <w:szCs w:val="18"/>
              </w:rPr>
              <w:t>Ministerstvo zdravotnictví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E0D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19 987,00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051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35 103,00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3DD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42 653,00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737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30 071,00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5268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sz w:val="18"/>
                <w:szCs w:val="18"/>
              </w:rPr>
              <w:t>127 814,00</w:t>
            </w:r>
          </w:p>
        </w:tc>
      </w:tr>
      <w:tr w:rsidR="004A0D72" w:rsidRPr="00821367" w14:paraId="0E15475F" w14:textId="77777777" w:rsidTr="007C63A5">
        <w:trPr>
          <w:trHeight w:val="300"/>
          <w:jc w:val="center"/>
        </w:trPr>
        <w:tc>
          <w:tcPr>
            <w:tcW w:w="21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7F69" w14:textId="2B332644" w:rsidR="004A0D72" w:rsidRPr="00821367" w:rsidRDefault="004A0D72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333</w:t>
            </w:r>
            <w:r w:rsidR="00FC602A">
              <w:rPr>
                <w:rFonts w:cs="Calibri"/>
                <w:color w:val="000000"/>
                <w:sz w:val="18"/>
                <w:szCs w:val="18"/>
              </w:rPr>
              <w:t xml:space="preserve"> –</w:t>
            </w:r>
            <w:r w:rsidRPr="0082136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2F11">
              <w:rPr>
                <w:rFonts w:cs="Calibri"/>
                <w:i/>
                <w:color w:val="000000"/>
                <w:sz w:val="18"/>
                <w:szCs w:val="18"/>
              </w:rPr>
              <w:t>Ministerstvo školství, mládeže a tělovýchovy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730" w14:textId="77777777" w:rsidR="004A0D72" w:rsidRPr="00821367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11 963,18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78B" w14:textId="77777777" w:rsidR="004A0D72" w:rsidRPr="00821367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12 058,50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4A0A" w14:textId="77777777" w:rsidR="004A0D72" w:rsidRPr="00821367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11 982,62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D14" w14:textId="77777777" w:rsidR="004A0D72" w:rsidRPr="00821367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19 011,70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4D17" w14:textId="77777777" w:rsidR="004A0D72" w:rsidRPr="00821367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sz w:val="18"/>
                <w:szCs w:val="18"/>
              </w:rPr>
              <w:t>55 016,00</w:t>
            </w:r>
          </w:p>
        </w:tc>
      </w:tr>
      <w:tr w:rsidR="000D6662" w:rsidRPr="00821367" w14:paraId="0C959CDF" w14:textId="77777777" w:rsidTr="007C63A5">
        <w:trPr>
          <w:trHeight w:val="315"/>
          <w:jc w:val="center"/>
        </w:trPr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0096" w14:textId="644FC582" w:rsidR="000D6662" w:rsidRPr="00821367" w:rsidRDefault="000D6662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336</w:t>
            </w:r>
            <w:r w:rsidR="00FC602A">
              <w:rPr>
                <w:rFonts w:cs="Calibri"/>
                <w:color w:val="000000"/>
                <w:sz w:val="18"/>
                <w:szCs w:val="18"/>
              </w:rPr>
              <w:t xml:space="preserve"> –</w:t>
            </w:r>
            <w:r w:rsidRPr="0082136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2F11">
              <w:rPr>
                <w:rFonts w:cs="Calibri"/>
                <w:i/>
                <w:color w:val="000000"/>
                <w:sz w:val="18"/>
                <w:szCs w:val="18"/>
              </w:rPr>
              <w:t>Ministerstvo spravedlnosti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412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8 553,91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E9E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16 494,22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C256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16 342,49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D43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14 362,87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8FCC19" w14:textId="77777777" w:rsidR="000D6662" w:rsidRPr="00821367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sz w:val="18"/>
                <w:szCs w:val="18"/>
              </w:rPr>
              <w:t>55 753,49</w:t>
            </w:r>
          </w:p>
        </w:tc>
      </w:tr>
      <w:tr w:rsidR="00240F8A" w:rsidRPr="00D57337" w14:paraId="0ACD4016" w14:textId="77777777" w:rsidTr="0084481D">
        <w:trPr>
          <w:trHeight w:val="315"/>
          <w:jc w:val="center"/>
        </w:trPr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4D977" w14:textId="77777777" w:rsidR="00240F8A" w:rsidRPr="00D57337" w:rsidRDefault="00240F8A" w:rsidP="00FC602A">
            <w:pPr>
              <w:widowControl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787BD" w14:textId="77777777" w:rsidR="00240F8A" w:rsidRPr="00D57337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rFonts w:cs="Calibri"/>
                <w:b/>
                <w:color w:val="000000"/>
                <w:sz w:val="18"/>
                <w:szCs w:val="18"/>
              </w:rPr>
              <w:t>167 171,09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F51E0" w14:textId="77777777" w:rsidR="00240F8A" w:rsidRPr="00D57337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rFonts w:cs="Calibri"/>
                <w:b/>
                <w:color w:val="000000"/>
                <w:sz w:val="18"/>
                <w:szCs w:val="18"/>
              </w:rPr>
              <w:t>205 154,72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4CDA7" w14:textId="77777777" w:rsidR="00240F8A" w:rsidRPr="00D57337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rFonts w:cs="Calibri"/>
                <w:b/>
                <w:color w:val="000000"/>
                <w:sz w:val="18"/>
                <w:szCs w:val="18"/>
              </w:rPr>
              <w:t>260 084,11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239E4" w14:textId="77777777" w:rsidR="00240F8A" w:rsidRPr="00D57337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rFonts w:cs="Calibri"/>
                <w:b/>
                <w:color w:val="000000"/>
                <w:sz w:val="18"/>
                <w:szCs w:val="18"/>
              </w:rPr>
              <w:t>294 535,57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987A" w14:textId="77777777" w:rsidR="00240F8A" w:rsidRPr="00D57337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57337">
              <w:rPr>
                <w:b/>
                <w:sz w:val="18"/>
                <w:szCs w:val="18"/>
              </w:rPr>
              <w:t>926 945,49</w:t>
            </w:r>
          </w:p>
        </w:tc>
      </w:tr>
    </w:tbl>
    <w:p w14:paraId="7F205592" w14:textId="31A0E386" w:rsidR="00240F8A" w:rsidRDefault="00240F8A" w:rsidP="00FC602A">
      <w:pPr>
        <w:widowControl/>
        <w:spacing w:after="120"/>
        <w:rPr>
          <w:sz w:val="20"/>
        </w:rPr>
      </w:pPr>
      <w:r w:rsidRPr="00716EDD">
        <w:rPr>
          <w:b/>
          <w:i/>
          <w:sz w:val="20"/>
        </w:rPr>
        <w:t>Zdroj:</w:t>
      </w:r>
      <w:r w:rsidRPr="00FC602A">
        <w:rPr>
          <w:sz w:val="20"/>
        </w:rPr>
        <w:tab/>
      </w:r>
      <w:r w:rsidRPr="00A61309">
        <w:rPr>
          <w:sz w:val="20"/>
        </w:rPr>
        <w:t xml:space="preserve">závěrečné účty </w:t>
      </w:r>
      <w:r>
        <w:rPr>
          <w:sz w:val="20"/>
        </w:rPr>
        <w:t>vybraných kapitol státního rozpočtu</w:t>
      </w:r>
      <w:r w:rsidRPr="00A61309">
        <w:rPr>
          <w:sz w:val="20"/>
        </w:rPr>
        <w:t>.</w:t>
      </w:r>
    </w:p>
    <w:p w14:paraId="167FB7C6" w14:textId="69916B1C" w:rsidR="00835D3F" w:rsidRPr="00A61309" w:rsidRDefault="006C3D9B" w:rsidP="00FC602A">
      <w:pPr>
        <w:widowControl/>
        <w:spacing w:after="120"/>
        <w:rPr>
          <w:sz w:val="20"/>
        </w:rPr>
      </w:pPr>
      <w:r>
        <w:rPr>
          <w:szCs w:val="24"/>
        </w:rPr>
        <w:t>Naprostá většina</w:t>
      </w:r>
      <w:r w:rsidR="00835D3F" w:rsidRPr="00BA3E44">
        <w:rPr>
          <w:szCs w:val="24"/>
        </w:rPr>
        <w:t xml:space="preserve"> </w:t>
      </w:r>
      <w:r>
        <w:rPr>
          <w:szCs w:val="24"/>
        </w:rPr>
        <w:t xml:space="preserve">prostředků z </w:t>
      </w:r>
      <w:r>
        <w:t>programů protidrogové politiky</w:t>
      </w:r>
      <w:r w:rsidRPr="00BA3E44">
        <w:rPr>
          <w:szCs w:val="24"/>
        </w:rPr>
        <w:t xml:space="preserve"> </w:t>
      </w:r>
      <w:r>
        <w:rPr>
          <w:szCs w:val="24"/>
        </w:rPr>
        <w:t>byla poskytnuta</w:t>
      </w:r>
      <w:r w:rsidR="00835D3F" w:rsidRPr="00BA3E44">
        <w:rPr>
          <w:szCs w:val="24"/>
        </w:rPr>
        <w:t xml:space="preserve"> </w:t>
      </w:r>
      <w:r>
        <w:rPr>
          <w:szCs w:val="24"/>
        </w:rPr>
        <w:t xml:space="preserve">formou dotací. Největší část z těchto dotací </w:t>
      </w:r>
      <w:r w:rsidR="00835D3F">
        <w:rPr>
          <w:szCs w:val="24"/>
        </w:rPr>
        <w:t xml:space="preserve">směřovala </w:t>
      </w:r>
      <w:r w:rsidR="00C21B6D">
        <w:rPr>
          <w:szCs w:val="24"/>
        </w:rPr>
        <w:t xml:space="preserve">na </w:t>
      </w:r>
      <w:r w:rsidR="00835D3F" w:rsidRPr="00BA3E44">
        <w:rPr>
          <w:szCs w:val="24"/>
        </w:rPr>
        <w:t xml:space="preserve">řešení problematiky nelegálních drog. </w:t>
      </w:r>
      <w:r w:rsidR="00835D3F">
        <w:rPr>
          <w:szCs w:val="24"/>
        </w:rPr>
        <w:t xml:space="preserve">Neinvestiční dotace byly ÚV ČR a MZ poskytovány </w:t>
      </w:r>
      <w:r w:rsidR="00835D3F" w:rsidRPr="00BA3E44">
        <w:rPr>
          <w:szCs w:val="24"/>
        </w:rPr>
        <w:t xml:space="preserve">převážně nestátním neziskovým organizacím, </w:t>
      </w:r>
      <w:r w:rsidR="00835D3F">
        <w:rPr>
          <w:szCs w:val="24"/>
        </w:rPr>
        <w:t>zajišťujícím</w:t>
      </w:r>
      <w:r w:rsidR="00835D3F" w:rsidRPr="00BA3E44">
        <w:rPr>
          <w:szCs w:val="24"/>
        </w:rPr>
        <w:t xml:space="preserve"> kontaktní a</w:t>
      </w:r>
      <w:r w:rsidR="00C21B6D">
        <w:rPr>
          <w:szCs w:val="24"/>
        </w:rPr>
        <w:t xml:space="preserve"> </w:t>
      </w:r>
      <w:r w:rsidR="00835D3F" w:rsidRPr="00BA3E44">
        <w:rPr>
          <w:szCs w:val="24"/>
        </w:rPr>
        <w:t>poradenské služby, ambulantní léčbu, terénní programy, doléčovací programy, primární prevenci, substituční léčbu, lůžkovou péči a další. Z dotačních programů MŠMT byly podpořeny projekty napomáhající výchově dětí a mládeže</w:t>
      </w:r>
      <w:r w:rsidR="00C21B6D">
        <w:rPr>
          <w:szCs w:val="24"/>
        </w:rPr>
        <w:t>,</w:t>
      </w:r>
      <w:r w:rsidR="00835D3F" w:rsidRPr="00BA3E44">
        <w:rPr>
          <w:szCs w:val="24"/>
        </w:rPr>
        <w:t xml:space="preserve"> </w:t>
      </w:r>
      <w:r w:rsidR="00835D3F" w:rsidRPr="00C60166">
        <w:rPr>
          <w:szCs w:val="24"/>
        </w:rPr>
        <w:t>ke zlepš</w:t>
      </w:r>
      <w:r w:rsidR="00C60166">
        <w:rPr>
          <w:szCs w:val="24"/>
        </w:rPr>
        <w:t>ová</w:t>
      </w:r>
      <w:r w:rsidR="00835D3F" w:rsidRPr="00C60166">
        <w:rPr>
          <w:szCs w:val="24"/>
        </w:rPr>
        <w:t>ní zdravotního stavu,</w:t>
      </w:r>
      <w:r w:rsidR="00835D3F" w:rsidRPr="00BA3E44">
        <w:rPr>
          <w:szCs w:val="24"/>
        </w:rPr>
        <w:t xml:space="preserve"> k</w:t>
      </w:r>
      <w:r w:rsidR="00835D3F">
        <w:rPr>
          <w:szCs w:val="24"/>
        </w:rPr>
        <w:t> </w:t>
      </w:r>
      <w:r w:rsidR="00835D3F" w:rsidRPr="00BA3E44">
        <w:rPr>
          <w:szCs w:val="24"/>
        </w:rPr>
        <w:t>osvojení pozitivního sociálního chování a rozvoji osobnosti a vzdělávací aktivity pro pedagogické pracovníky v</w:t>
      </w:r>
      <w:r w:rsidR="00835D3F">
        <w:rPr>
          <w:szCs w:val="24"/>
        </w:rPr>
        <w:t> </w:t>
      </w:r>
      <w:r w:rsidR="00835D3F" w:rsidRPr="00BA3E44">
        <w:rPr>
          <w:szCs w:val="24"/>
        </w:rPr>
        <w:t xml:space="preserve">předmětných oblastech. MS podpořilo projekty, které reagují na konkrétní potřeby </w:t>
      </w:r>
      <w:r w:rsidR="008119F4" w:rsidRPr="00BA3E44">
        <w:rPr>
          <w:szCs w:val="24"/>
        </w:rPr>
        <w:t>uživatelů drog</w:t>
      </w:r>
      <w:r w:rsidR="008119F4">
        <w:rPr>
          <w:szCs w:val="24"/>
        </w:rPr>
        <w:t xml:space="preserve"> </w:t>
      </w:r>
      <w:r w:rsidR="00835D3F" w:rsidRPr="00BA3E44">
        <w:rPr>
          <w:szCs w:val="24"/>
        </w:rPr>
        <w:t xml:space="preserve">vazebně stíhaných </w:t>
      </w:r>
      <w:r w:rsidR="008119F4">
        <w:rPr>
          <w:szCs w:val="24"/>
        </w:rPr>
        <w:t xml:space="preserve">či </w:t>
      </w:r>
      <w:r w:rsidR="00835D3F" w:rsidRPr="00BA3E44">
        <w:rPr>
          <w:szCs w:val="24"/>
        </w:rPr>
        <w:t>ve výkonu trestu odnětí svobody v</w:t>
      </w:r>
      <w:r w:rsidR="008119F4">
        <w:rPr>
          <w:szCs w:val="24"/>
        </w:rPr>
        <w:t> </w:t>
      </w:r>
      <w:r w:rsidR="00835D3F" w:rsidRPr="00BA3E44">
        <w:rPr>
          <w:szCs w:val="24"/>
        </w:rPr>
        <w:t>době zpravidla šest měsíců před</w:t>
      </w:r>
      <w:r w:rsidR="008119F4">
        <w:rPr>
          <w:szCs w:val="24"/>
        </w:rPr>
        <w:t xml:space="preserve"> </w:t>
      </w:r>
      <w:r w:rsidR="00835D3F" w:rsidRPr="00BA3E44">
        <w:rPr>
          <w:szCs w:val="24"/>
        </w:rPr>
        <w:t>očekávaným koncem výkonu trestu odnětí svobody nebo trestního opatření nebo</w:t>
      </w:r>
      <w:r w:rsidR="008119F4">
        <w:rPr>
          <w:szCs w:val="24"/>
        </w:rPr>
        <w:t xml:space="preserve"> </w:t>
      </w:r>
      <w:r w:rsidR="00835D3F" w:rsidRPr="00BA3E44">
        <w:rPr>
          <w:szCs w:val="24"/>
        </w:rPr>
        <w:t>v době tři měsíce před vznikem zákonných podmínek pro podání žádosti o</w:t>
      </w:r>
      <w:r w:rsidR="00082E33">
        <w:rPr>
          <w:szCs w:val="24"/>
        </w:rPr>
        <w:t> </w:t>
      </w:r>
      <w:r w:rsidR="00835D3F" w:rsidRPr="00BA3E44">
        <w:rPr>
          <w:szCs w:val="24"/>
        </w:rPr>
        <w:t>podmíněné propuštění, kdy jsou vytvářeny plány následné péče.</w:t>
      </w:r>
      <w:r w:rsidR="00835D3F">
        <w:rPr>
          <w:szCs w:val="24"/>
        </w:rPr>
        <w:t xml:space="preserve"> </w:t>
      </w:r>
    </w:p>
    <w:p w14:paraId="3CB9E066" w14:textId="13A3D35B" w:rsidR="00240F8A" w:rsidRDefault="00835D3F" w:rsidP="00FC602A">
      <w:pPr>
        <w:widowControl/>
        <w:spacing w:after="120"/>
        <w:rPr>
          <w:szCs w:val="24"/>
        </w:rPr>
      </w:pPr>
      <w:r w:rsidRPr="00BA3E44">
        <w:rPr>
          <w:szCs w:val="24"/>
        </w:rPr>
        <w:t xml:space="preserve">Největším poskytovatelem </w:t>
      </w:r>
      <w:r w:rsidR="00F640CC">
        <w:rPr>
          <w:szCs w:val="24"/>
        </w:rPr>
        <w:t xml:space="preserve">státních </w:t>
      </w:r>
      <w:r w:rsidRPr="00BA3E44">
        <w:rPr>
          <w:szCs w:val="24"/>
        </w:rPr>
        <w:t xml:space="preserve">dotací </w:t>
      </w:r>
      <w:r w:rsidR="00F640CC">
        <w:rPr>
          <w:szCs w:val="24"/>
        </w:rPr>
        <w:t>v protidrogové oblasti</w:t>
      </w:r>
      <w:r w:rsidRPr="00BA3E44">
        <w:rPr>
          <w:szCs w:val="24"/>
        </w:rPr>
        <w:t xml:space="preserve"> byl v</w:t>
      </w:r>
      <w:r w:rsidR="00184F36">
        <w:rPr>
          <w:szCs w:val="24"/>
        </w:rPr>
        <w:t> </w:t>
      </w:r>
      <w:r w:rsidRPr="00BA3E44">
        <w:rPr>
          <w:szCs w:val="24"/>
        </w:rPr>
        <w:t>kontrolovaných</w:t>
      </w:r>
      <w:r w:rsidR="00184F36">
        <w:rPr>
          <w:szCs w:val="24"/>
        </w:rPr>
        <w:t xml:space="preserve"> </w:t>
      </w:r>
      <w:r w:rsidRPr="00BA3E44">
        <w:rPr>
          <w:szCs w:val="24"/>
        </w:rPr>
        <w:t>letech 2016–2019 ÚV ČR, který</w:t>
      </w:r>
      <w:r w:rsidR="00F640CC">
        <w:rPr>
          <w:szCs w:val="24"/>
        </w:rPr>
        <w:t xml:space="preserve"> touto formou</w:t>
      </w:r>
      <w:r w:rsidRPr="00BA3E44">
        <w:rPr>
          <w:szCs w:val="24"/>
        </w:rPr>
        <w:t xml:space="preserve"> </w:t>
      </w:r>
      <w:r w:rsidR="00240F8A">
        <w:rPr>
          <w:szCs w:val="24"/>
        </w:rPr>
        <w:t>poskytl</w:t>
      </w:r>
      <w:r w:rsidR="00F640CC">
        <w:rPr>
          <w:szCs w:val="24"/>
        </w:rPr>
        <w:t xml:space="preserve"> </w:t>
      </w:r>
      <w:r w:rsidR="003231FD">
        <w:rPr>
          <w:szCs w:val="24"/>
        </w:rPr>
        <w:t>peněž</w:t>
      </w:r>
      <w:r w:rsidR="00F640CC">
        <w:rPr>
          <w:szCs w:val="24"/>
        </w:rPr>
        <w:t>ní prostředky v</w:t>
      </w:r>
      <w:r w:rsidR="00EF5A70">
        <w:rPr>
          <w:szCs w:val="24"/>
        </w:rPr>
        <w:t xml:space="preserve"> celkové</w:t>
      </w:r>
      <w:r w:rsidR="00F640CC">
        <w:rPr>
          <w:szCs w:val="24"/>
        </w:rPr>
        <w:t xml:space="preserve"> výši</w:t>
      </w:r>
      <w:r w:rsidR="00EF5A70">
        <w:rPr>
          <w:szCs w:val="24"/>
        </w:rPr>
        <w:t xml:space="preserve"> přesahující</w:t>
      </w:r>
      <w:r w:rsidR="00F640CC">
        <w:rPr>
          <w:szCs w:val="24"/>
        </w:rPr>
        <w:t xml:space="preserve"> </w:t>
      </w:r>
      <w:r w:rsidRPr="00BA3E44">
        <w:rPr>
          <w:szCs w:val="24"/>
        </w:rPr>
        <w:t>638 mil. Kč</w:t>
      </w:r>
      <w:r w:rsidR="00F640CC">
        <w:rPr>
          <w:szCs w:val="24"/>
        </w:rPr>
        <w:t xml:space="preserve">. Tento objem </w:t>
      </w:r>
      <w:r w:rsidRPr="00BA3E44">
        <w:rPr>
          <w:szCs w:val="24"/>
        </w:rPr>
        <w:t>činil</w:t>
      </w:r>
      <w:r w:rsidR="00F640CC">
        <w:rPr>
          <w:szCs w:val="24"/>
        </w:rPr>
        <w:t xml:space="preserve"> přes</w:t>
      </w:r>
      <w:r w:rsidRPr="00BA3E44">
        <w:rPr>
          <w:szCs w:val="24"/>
        </w:rPr>
        <w:t xml:space="preserve"> </w:t>
      </w:r>
      <w:r w:rsidR="00F640CC">
        <w:rPr>
          <w:szCs w:val="24"/>
        </w:rPr>
        <w:t>tři čtvrtiny všech dotačních</w:t>
      </w:r>
      <w:r w:rsidRPr="00BA3E44">
        <w:rPr>
          <w:szCs w:val="24"/>
        </w:rPr>
        <w:t xml:space="preserve"> prostředků </w:t>
      </w:r>
      <w:r w:rsidR="00F640CC">
        <w:rPr>
          <w:szCs w:val="24"/>
        </w:rPr>
        <w:t xml:space="preserve">poskytnutých </w:t>
      </w:r>
      <w:r w:rsidR="00523B91">
        <w:rPr>
          <w:szCs w:val="24"/>
        </w:rPr>
        <w:br/>
      </w:r>
      <w:r w:rsidR="00F640CC">
        <w:rPr>
          <w:szCs w:val="24"/>
        </w:rPr>
        <w:t>na</w:t>
      </w:r>
      <w:r w:rsidRPr="00BA3E44">
        <w:rPr>
          <w:szCs w:val="24"/>
        </w:rPr>
        <w:t xml:space="preserve"> program</w:t>
      </w:r>
      <w:r w:rsidR="00F640CC">
        <w:rPr>
          <w:szCs w:val="24"/>
        </w:rPr>
        <w:t>y protidrogové politiky ze státního rozpočtu</w:t>
      </w:r>
      <w:r w:rsidRPr="00BA3E44">
        <w:rPr>
          <w:szCs w:val="24"/>
        </w:rPr>
        <w:t>.</w:t>
      </w:r>
      <w:r w:rsidR="00F640CC">
        <w:rPr>
          <w:szCs w:val="24"/>
        </w:rPr>
        <w:t xml:space="preserve"> </w:t>
      </w:r>
      <w:r w:rsidR="00240F8A" w:rsidRPr="00240F8A">
        <w:rPr>
          <w:szCs w:val="24"/>
        </w:rPr>
        <w:t xml:space="preserve">Výši dotací </w:t>
      </w:r>
      <w:r w:rsidR="004D203B">
        <w:rPr>
          <w:szCs w:val="24"/>
        </w:rPr>
        <w:t>poskytnutých</w:t>
      </w:r>
      <w:r w:rsidR="004D203B" w:rsidRPr="00240F8A">
        <w:rPr>
          <w:szCs w:val="24"/>
        </w:rPr>
        <w:t xml:space="preserve"> </w:t>
      </w:r>
      <w:r w:rsidR="00184F36">
        <w:rPr>
          <w:szCs w:val="24"/>
        </w:rPr>
        <w:t>Úřadem vlády</w:t>
      </w:r>
      <w:r w:rsidR="00417D64">
        <w:rPr>
          <w:szCs w:val="24"/>
        </w:rPr>
        <w:t xml:space="preserve"> ČR a </w:t>
      </w:r>
      <w:r w:rsidR="00240F8A" w:rsidRPr="00240F8A">
        <w:rPr>
          <w:szCs w:val="24"/>
        </w:rPr>
        <w:t>jednotlivými resorty v rámci protidrogové politiky uvádí následující tabulka.</w:t>
      </w:r>
    </w:p>
    <w:p w14:paraId="41E28F1B" w14:textId="0EF01225" w:rsidR="00240F8A" w:rsidRDefault="00FC602A" w:rsidP="00872F11">
      <w:pPr>
        <w:pStyle w:val="Nzevtabulky"/>
        <w:numPr>
          <w:ilvl w:val="0"/>
          <w:numId w:val="0"/>
        </w:numPr>
        <w:tabs>
          <w:tab w:val="right" w:pos="9072"/>
        </w:tabs>
        <w:spacing w:before="240" w:after="120"/>
        <w:ind w:left="1304" w:hanging="1304"/>
      </w:pPr>
      <w:r>
        <w:t xml:space="preserve">Tabulka č. 2: </w:t>
      </w:r>
      <w:r w:rsidR="0084054A">
        <w:tab/>
      </w:r>
      <w:r w:rsidR="00F640CC">
        <w:t>D</w:t>
      </w:r>
      <w:r w:rsidR="00240F8A">
        <w:t>otace</w:t>
      </w:r>
      <w:r w:rsidR="00417D64" w:rsidRPr="00417D64">
        <w:t xml:space="preserve"> </w:t>
      </w:r>
      <w:r w:rsidR="00A90D3F">
        <w:t>v rámci</w:t>
      </w:r>
      <w:r w:rsidR="00417D64">
        <w:t xml:space="preserve"> program</w:t>
      </w:r>
      <w:r w:rsidR="00A90D3F">
        <w:t>ů</w:t>
      </w:r>
      <w:r w:rsidR="00417D64">
        <w:t xml:space="preserve"> protidrogové politiky </w:t>
      </w:r>
      <w:r w:rsidR="004D203B">
        <w:t xml:space="preserve">poskytnuté </w:t>
      </w:r>
      <w:r w:rsidR="0084054A">
        <w:t>Úřadem vlády</w:t>
      </w:r>
      <w:r w:rsidR="00417D64">
        <w:t xml:space="preserve"> ČR a</w:t>
      </w:r>
      <w:r>
        <w:t> </w:t>
      </w:r>
      <w:r w:rsidR="00F640CC">
        <w:t xml:space="preserve">jednotlivými </w:t>
      </w:r>
      <w:r w:rsidR="00A90D3F">
        <w:t xml:space="preserve">kontrolovanými </w:t>
      </w:r>
      <w:r w:rsidR="00F640CC">
        <w:t>resorty</w:t>
      </w:r>
      <w:r w:rsidR="00240F8A">
        <w:t xml:space="preserve"> </w:t>
      </w:r>
      <w:r w:rsidR="00417D64">
        <w:t>v letech 2016</w:t>
      </w:r>
      <w:r w:rsidR="00716EDD" w:rsidRPr="00BA3E44">
        <w:rPr>
          <w:szCs w:val="24"/>
        </w:rPr>
        <w:t>–</w:t>
      </w:r>
      <w:r w:rsidR="00417D64">
        <w:t xml:space="preserve">2019 </w:t>
      </w:r>
      <w:r w:rsidR="00716EDD">
        <w:tab/>
      </w:r>
      <w:r w:rsidR="00240F8A">
        <w:t>(v tis. Kč)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508"/>
        <w:gridCol w:w="1508"/>
        <w:gridCol w:w="1509"/>
        <w:gridCol w:w="1509"/>
        <w:gridCol w:w="1409"/>
      </w:tblGrid>
      <w:tr w:rsidR="00240F8A" w:rsidRPr="00821367" w14:paraId="1264AFA9" w14:textId="77777777" w:rsidTr="00872F11">
        <w:trPr>
          <w:trHeight w:val="332"/>
          <w:jc w:val="center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2B98E7C9" w14:textId="77777777" w:rsidR="00240F8A" w:rsidRPr="00240F8A" w:rsidRDefault="00417D64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Poskytovatel dotací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00CFDB" w14:textId="77777777" w:rsidR="00240F8A" w:rsidRPr="00240F8A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32C320" w14:textId="77777777" w:rsidR="00240F8A" w:rsidRPr="00240F8A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746FCE" w14:textId="77777777" w:rsidR="00240F8A" w:rsidRPr="00240F8A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69F1E8C2" w14:textId="77777777" w:rsidR="00240F8A" w:rsidRPr="00240F8A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F1FF"/>
            <w:vAlign w:val="center"/>
          </w:tcPr>
          <w:p w14:paraId="007B39CA" w14:textId="77777777" w:rsidR="00240F8A" w:rsidRPr="00240F8A" w:rsidRDefault="00240F8A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417D64" w:rsidRPr="00821367" w14:paraId="0DF3146F" w14:textId="77777777" w:rsidTr="00872F11">
        <w:trPr>
          <w:trHeight w:val="300"/>
          <w:jc w:val="center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9F7E" w14:textId="77777777" w:rsidR="00240F8A" w:rsidRPr="00240F8A" w:rsidRDefault="00240F8A" w:rsidP="00872F11">
            <w:pPr>
              <w:widowControl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color w:val="000000"/>
                <w:sz w:val="18"/>
                <w:szCs w:val="18"/>
              </w:rPr>
              <w:t>ÚV ČR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37C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118 234,00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1F3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128 902,00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E251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174 677,00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0B81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216 199,00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11AE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638 012,00</w:t>
            </w:r>
          </w:p>
        </w:tc>
      </w:tr>
      <w:tr w:rsidR="000D6662" w:rsidRPr="00821367" w14:paraId="2CA95DCC" w14:textId="77777777" w:rsidTr="00872F11">
        <w:trPr>
          <w:trHeight w:val="300"/>
          <w:jc w:val="center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C900" w14:textId="77777777" w:rsidR="000D6662" w:rsidRPr="00240F8A" w:rsidRDefault="000D6662" w:rsidP="00872F11">
            <w:pPr>
              <w:widowControl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color w:val="000000"/>
                <w:sz w:val="18"/>
                <w:szCs w:val="18"/>
              </w:rPr>
              <w:t>MZ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D16D" w14:textId="77777777" w:rsidR="000D6662" w:rsidRPr="00240F8A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19 987,00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26EE" w14:textId="77777777" w:rsidR="000D6662" w:rsidRPr="00240F8A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35 103,00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441" w14:textId="77777777" w:rsidR="000D6662" w:rsidRPr="00240F8A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42 653,00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982" w14:textId="77777777" w:rsidR="000D6662" w:rsidRPr="00240F8A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30 071,00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262D" w14:textId="77777777" w:rsidR="000D6662" w:rsidRPr="00240F8A" w:rsidRDefault="000D666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127 814,00</w:t>
            </w:r>
          </w:p>
        </w:tc>
      </w:tr>
      <w:tr w:rsidR="00417D64" w:rsidRPr="00821367" w14:paraId="21D3AA3E" w14:textId="77777777" w:rsidTr="00872F11">
        <w:trPr>
          <w:trHeight w:val="300"/>
          <w:jc w:val="center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A018" w14:textId="77777777" w:rsidR="00240F8A" w:rsidRPr="00240F8A" w:rsidRDefault="00240F8A" w:rsidP="00872F11">
            <w:pPr>
              <w:widowControl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color w:val="000000"/>
                <w:sz w:val="18"/>
                <w:szCs w:val="18"/>
              </w:rPr>
              <w:t>MŠMT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448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11 916,80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6A6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11 842,22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5A2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11 882,62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050F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19 366,11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D7EE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55 007,75</w:t>
            </w:r>
          </w:p>
        </w:tc>
      </w:tr>
      <w:tr w:rsidR="00417D64" w:rsidRPr="00821367" w14:paraId="555EC9E7" w14:textId="77777777" w:rsidTr="00872F11">
        <w:trPr>
          <w:trHeight w:val="315"/>
          <w:jc w:val="center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FA55" w14:textId="77777777" w:rsidR="00240F8A" w:rsidRPr="00240F8A" w:rsidRDefault="00240F8A" w:rsidP="00872F11">
            <w:pPr>
              <w:widowControl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2AF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4 200,00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7B51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8 000,00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0CD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7 963,00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22A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8 000,00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6DB8FE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40F8A">
              <w:rPr>
                <w:sz w:val="18"/>
                <w:szCs w:val="18"/>
              </w:rPr>
              <w:t>28 163,00</w:t>
            </w:r>
          </w:p>
        </w:tc>
      </w:tr>
      <w:tr w:rsidR="00240F8A" w:rsidRPr="00240F8A" w14:paraId="4A7B4CCA" w14:textId="77777777" w:rsidTr="00872F11">
        <w:trPr>
          <w:trHeight w:val="315"/>
          <w:jc w:val="center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496C2" w14:textId="77777777" w:rsidR="00240F8A" w:rsidRPr="00240F8A" w:rsidRDefault="00240F8A" w:rsidP="00872F11">
            <w:pPr>
              <w:widowControl/>
              <w:jc w:val="lef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86347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b/>
                <w:sz w:val="18"/>
                <w:szCs w:val="18"/>
              </w:rPr>
              <w:t>154 337,80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54341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b/>
                <w:sz w:val="18"/>
                <w:szCs w:val="18"/>
              </w:rPr>
              <w:t>183 847,22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1F1C0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b/>
                <w:sz w:val="18"/>
                <w:szCs w:val="18"/>
              </w:rPr>
              <w:t>237 175,62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42420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b/>
                <w:sz w:val="18"/>
                <w:szCs w:val="18"/>
              </w:rPr>
              <w:t>273 636,11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9D23" w14:textId="77777777" w:rsidR="00240F8A" w:rsidRPr="00240F8A" w:rsidRDefault="00240F8A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40F8A">
              <w:rPr>
                <w:b/>
                <w:sz w:val="18"/>
                <w:szCs w:val="18"/>
              </w:rPr>
              <w:t>848 996,75</w:t>
            </w:r>
          </w:p>
        </w:tc>
      </w:tr>
    </w:tbl>
    <w:p w14:paraId="773DABA2" w14:textId="79FFB472" w:rsidR="00240F8A" w:rsidRDefault="00240F8A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="00417D64">
        <w:rPr>
          <w:sz w:val="20"/>
        </w:rPr>
        <w:t xml:space="preserve">přehledy </w:t>
      </w:r>
      <w:r w:rsidR="004D203B">
        <w:rPr>
          <w:sz w:val="20"/>
        </w:rPr>
        <w:t xml:space="preserve">poskytnutých </w:t>
      </w:r>
      <w:r w:rsidR="00417D64">
        <w:rPr>
          <w:sz w:val="20"/>
        </w:rPr>
        <w:t>dotací ÚV ČR a jednotlivých resortů</w:t>
      </w:r>
      <w:r w:rsidRPr="00A61309">
        <w:rPr>
          <w:sz w:val="20"/>
        </w:rPr>
        <w:t>.</w:t>
      </w:r>
    </w:p>
    <w:p w14:paraId="13EE6648" w14:textId="2AF4BEE1" w:rsidR="00BA2841" w:rsidRDefault="00417D64" w:rsidP="00FC602A">
      <w:pPr>
        <w:widowControl/>
        <w:spacing w:after="120"/>
        <w:rPr>
          <w:szCs w:val="24"/>
        </w:rPr>
      </w:pPr>
      <w:r>
        <w:rPr>
          <w:szCs w:val="24"/>
        </w:rPr>
        <w:t>ÚV ČR a j</w:t>
      </w:r>
      <w:r w:rsidR="009310F2">
        <w:rPr>
          <w:szCs w:val="24"/>
        </w:rPr>
        <w:t>ednotlivé res</w:t>
      </w:r>
      <w:r w:rsidR="00835D3F" w:rsidRPr="00BA3E44">
        <w:rPr>
          <w:szCs w:val="24"/>
        </w:rPr>
        <w:t xml:space="preserve">orty </w:t>
      </w:r>
      <w:r w:rsidR="000E63BA" w:rsidRPr="00BA3E44">
        <w:rPr>
          <w:szCs w:val="24"/>
        </w:rPr>
        <w:t xml:space="preserve">každoročně </w:t>
      </w:r>
      <w:r w:rsidR="00835D3F" w:rsidRPr="00BA3E44">
        <w:rPr>
          <w:szCs w:val="24"/>
        </w:rPr>
        <w:t>vyhlaš</w:t>
      </w:r>
      <w:r>
        <w:rPr>
          <w:szCs w:val="24"/>
        </w:rPr>
        <w:t>ovaly</w:t>
      </w:r>
      <w:r w:rsidR="000E63BA">
        <w:rPr>
          <w:szCs w:val="24"/>
        </w:rPr>
        <w:t xml:space="preserve"> a na svých </w:t>
      </w:r>
      <w:r w:rsidR="000E63BA" w:rsidRPr="00BA3E44">
        <w:rPr>
          <w:szCs w:val="24"/>
        </w:rPr>
        <w:t>internet</w:t>
      </w:r>
      <w:r w:rsidR="000E63BA">
        <w:rPr>
          <w:szCs w:val="24"/>
        </w:rPr>
        <w:t xml:space="preserve">ových stránkách uveřejňovaly </w:t>
      </w:r>
      <w:r>
        <w:rPr>
          <w:szCs w:val="24"/>
        </w:rPr>
        <w:t>výzvy k </w:t>
      </w:r>
      <w:r w:rsidR="000E63BA">
        <w:rPr>
          <w:szCs w:val="24"/>
        </w:rPr>
        <w:t>předkládání</w:t>
      </w:r>
      <w:r>
        <w:rPr>
          <w:szCs w:val="24"/>
        </w:rPr>
        <w:t xml:space="preserve"> žádostí o </w:t>
      </w:r>
      <w:r w:rsidR="00835D3F" w:rsidRPr="00BA3E44">
        <w:rPr>
          <w:szCs w:val="24"/>
        </w:rPr>
        <w:t xml:space="preserve">neinvestiční dotace </w:t>
      </w:r>
      <w:r w:rsidR="000E63BA">
        <w:rPr>
          <w:szCs w:val="24"/>
        </w:rPr>
        <w:t>určené na</w:t>
      </w:r>
      <w:r w:rsidR="00835D3F" w:rsidRPr="00BA3E44">
        <w:rPr>
          <w:szCs w:val="24"/>
        </w:rPr>
        <w:t xml:space="preserve"> financování </w:t>
      </w:r>
      <w:r w:rsidR="000E63BA">
        <w:rPr>
          <w:szCs w:val="24"/>
        </w:rPr>
        <w:t>projektů z</w:t>
      </w:r>
      <w:r w:rsidR="00082E33">
        <w:rPr>
          <w:szCs w:val="24"/>
        </w:rPr>
        <w:t> </w:t>
      </w:r>
      <w:r w:rsidR="000E63BA">
        <w:rPr>
          <w:szCs w:val="24"/>
        </w:rPr>
        <w:t>oblasti</w:t>
      </w:r>
      <w:r w:rsidR="00835D3F" w:rsidRPr="00BA3E44">
        <w:rPr>
          <w:szCs w:val="24"/>
        </w:rPr>
        <w:t xml:space="preserve"> protidrogové politiky</w:t>
      </w:r>
      <w:r w:rsidR="000E63BA">
        <w:rPr>
          <w:szCs w:val="24"/>
        </w:rPr>
        <w:t>. V těchto výzvách</w:t>
      </w:r>
      <w:r w:rsidR="00835D3F">
        <w:rPr>
          <w:szCs w:val="24"/>
        </w:rPr>
        <w:t xml:space="preserve"> </w:t>
      </w:r>
      <w:r w:rsidR="000E63BA">
        <w:rPr>
          <w:szCs w:val="24"/>
        </w:rPr>
        <w:t>vymezi</w:t>
      </w:r>
      <w:r>
        <w:rPr>
          <w:szCs w:val="24"/>
        </w:rPr>
        <w:t>ly</w:t>
      </w:r>
      <w:r w:rsidR="00835D3F">
        <w:rPr>
          <w:szCs w:val="24"/>
        </w:rPr>
        <w:t xml:space="preserve"> </w:t>
      </w:r>
      <w:r w:rsidR="00BA2841">
        <w:rPr>
          <w:szCs w:val="24"/>
        </w:rPr>
        <w:t>prioritní oblasti</w:t>
      </w:r>
      <w:r w:rsidR="00835D3F">
        <w:rPr>
          <w:szCs w:val="24"/>
        </w:rPr>
        <w:t xml:space="preserve"> podpory</w:t>
      </w:r>
      <w:r w:rsidR="000E63BA">
        <w:rPr>
          <w:szCs w:val="24"/>
        </w:rPr>
        <w:t xml:space="preserve"> a</w:t>
      </w:r>
      <w:r w:rsidR="00BA2841">
        <w:rPr>
          <w:szCs w:val="24"/>
        </w:rPr>
        <w:t xml:space="preserve"> okruh oprávněných žadatelů o dotaci,</w:t>
      </w:r>
      <w:r w:rsidR="000E63BA">
        <w:rPr>
          <w:szCs w:val="24"/>
        </w:rPr>
        <w:t xml:space="preserve"> stanovily</w:t>
      </w:r>
      <w:r w:rsidR="00BA2841">
        <w:rPr>
          <w:szCs w:val="24"/>
        </w:rPr>
        <w:t xml:space="preserve"> náležitosti žádostí</w:t>
      </w:r>
      <w:r w:rsidR="00BA2841" w:rsidRPr="00BA3E44">
        <w:rPr>
          <w:szCs w:val="24"/>
        </w:rPr>
        <w:t xml:space="preserve"> o dotace</w:t>
      </w:r>
      <w:r w:rsidR="00BA2841">
        <w:rPr>
          <w:szCs w:val="24"/>
        </w:rPr>
        <w:t>, průběh dotačního řízení a základní podmínky realizace projektů</w:t>
      </w:r>
      <w:r w:rsidR="000E63BA">
        <w:rPr>
          <w:szCs w:val="24"/>
        </w:rPr>
        <w:t>. Konkrétní podmínky čerpání a využití dotace</w:t>
      </w:r>
      <w:r w:rsidR="00BA2841">
        <w:rPr>
          <w:szCs w:val="24"/>
        </w:rPr>
        <w:t xml:space="preserve"> byly následně příjemcům dotací </w:t>
      </w:r>
      <w:r w:rsidR="000E63BA">
        <w:rPr>
          <w:szCs w:val="24"/>
        </w:rPr>
        <w:t>stanoveny</w:t>
      </w:r>
      <w:r w:rsidR="00BA2841">
        <w:rPr>
          <w:szCs w:val="24"/>
        </w:rPr>
        <w:t xml:space="preserve"> v rozhodnutích o poskytnutí dotace.</w:t>
      </w:r>
    </w:p>
    <w:p w14:paraId="22AEA694" w14:textId="0A5C6388" w:rsidR="004A0D72" w:rsidRPr="00417D64" w:rsidRDefault="004A0D72" w:rsidP="00FC602A">
      <w:pPr>
        <w:widowControl/>
        <w:spacing w:after="120"/>
        <w:rPr>
          <w:szCs w:val="24"/>
        </w:rPr>
      </w:pPr>
      <w:r w:rsidRPr="00DF7A86">
        <w:rPr>
          <w:szCs w:val="24"/>
        </w:rPr>
        <w:t>Kromě řádných dotačních kol vyhlašoval</w:t>
      </w:r>
      <w:r>
        <w:rPr>
          <w:szCs w:val="24"/>
        </w:rPr>
        <w:t xml:space="preserve"> ÚV ČR v</w:t>
      </w:r>
      <w:r w:rsidR="00DF7A86">
        <w:rPr>
          <w:szCs w:val="24"/>
        </w:rPr>
        <w:t> </w:t>
      </w:r>
      <w:r>
        <w:rPr>
          <w:szCs w:val="24"/>
        </w:rPr>
        <w:t>kontrolovaných</w:t>
      </w:r>
      <w:r w:rsidR="00DF7A86">
        <w:rPr>
          <w:szCs w:val="24"/>
        </w:rPr>
        <w:t xml:space="preserve"> </w:t>
      </w:r>
      <w:r>
        <w:rPr>
          <w:szCs w:val="24"/>
        </w:rPr>
        <w:t xml:space="preserve">letech 2016–2019 </w:t>
      </w:r>
      <w:r w:rsidR="00523B91">
        <w:rPr>
          <w:szCs w:val="24"/>
        </w:rPr>
        <w:br/>
      </w:r>
      <w:r>
        <w:rPr>
          <w:szCs w:val="24"/>
        </w:rPr>
        <w:t>i mimořádná kola dotačního řízení či tzv. dofinancování již podpořených projektů. MZ pro rok</w:t>
      </w:r>
      <w:r w:rsidR="00DF7A86">
        <w:rPr>
          <w:szCs w:val="24"/>
        </w:rPr>
        <w:t xml:space="preserve"> </w:t>
      </w:r>
      <w:r w:rsidRPr="000D6662">
        <w:rPr>
          <w:szCs w:val="24"/>
        </w:rPr>
        <w:lastRenderedPageBreak/>
        <w:t>2017 vyhlá</w:t>
      </w:r>
      <w:r>
        <w:rPr>
          <w:szCs w:val="24"/>
        </w:rPr>
        <w:t>silo</w:t>
      </w:r>
      <w:r w:rsidRPr="000D6662">
        <w:rPr>
          <w:szCs w:val="24"/>
        </w:rPr>
        <w:t xml:space="preserve"> dvě kola dotačního řízení, </w:t>
      </w:r>
      <w:r w:rsidR="00DF7A86">
        <w:rPr>
          <w:szCs w:val="24"/>
        </w:rPr>
        <w:t xml:space="preserve">a to </w:t>
      </w:r>
      <w:r w:rsidRPr="000D6662">
        <w:rPr>
          <w:szCs w:val="24"/>
        </w:rPr>
        <w:t xml:space="preserve">z důvodu nevyčerpání všech </w:t>
      </w:r>
      <w:r w:rsidR="003231FD">
        <w:rPr>
          <w:szCs w:val="24"/>
        </w:rPr>
        <w:t>peněžn</w:t>
      </w:r>
      <w:r w:rsidRPr="000D6662">
        <w:rPr>
          <w:szCs w:val="24"/>
        </w:rPr>
        <w:t>ích</w:t>
      </w:r>
      <w:r>
        <w:rPr>
          <w:szCs w:val="24"/>
        </w:rPr>
        <w:t xml:space="preserve"> </w:t>
      </w:r>
      <w:r w:rsidRPr="000D6662">
        <w:rPr>
          <w:szCs w:val="24"/>
        </w:rPr>
        <w:t>prostředků z</w:t>
      </w:r>
      <w:r w:rsidR="00DF7A86">
        <w:rPr>
          <w:szCs w:val="24"/>
        </w:rPr>
        <w:t> </w:t>
      </w:r>
      <w:r w:rsidRPr="000D6662">
        <w:rPr>
          <w:szCs w:val="24"/>
        </w:rPr>
        <w:t>dotačního programu na tento rok</w:t>
      </w:r>
      <w:r>
        <w:rPr>
          <w:szCs w:val="24"/>
        </w:rPr>
        <w:t>.</w:t>
      </w:r>
    </w:p>
    <w:p w14:paraId="3BD69885" w14:textId="47A50D7E" w:rsidR="00835D3F" w:rsidRPr="00417D64" w:rsidRDefault="00835D3F" w:rsidP="00FC602A">
      <w:pPr>
        <w:widowControl/>
        <w:spacing w:after="120"/>
        <w:rPr>
          <w:szCs w:val="24"/>
        </w:rPr>
      </w:pPr>
      <w:r w:rsidRPr="00BA3E44">
        <w:rPr>
          <w:szCs w:val="24"/>
        </w:rPr>
        <w:t xml:space="preserve">Jednotlivé projekty </w:t>
      </w:r>
      <w:r w:rsidR="00417D64">
        <w:rPr>
          <w:szCs w:val="24"/>
        </w:rPr>
        <w:t>mohly být</w:t>
      </w:r>
      <w:r w:rsidRPr="00BA3E44">
        <w:rPr>
          <w:szCs w:val="24"/>
        </w:rPr>
        <w:t xml:space="preserve"> financovány z více zdrojů. </w:t>
      </w:r>
      <w:r w:rsidR="00417D64">
        <w:rPr>
          <w:szCs w:val="24"/>
        </w:rPr>
        <w:t>Standardní</w:t>
      </w:r>
      <w:r w:rsidRPr="00BA3E44">
        <w:rPr>
          <w:szCs w:val="24"/>
        </w:rPr>
        <w:t xml:space="preserve"> podpora ze státního rozpočtu </w:t>
      </w:r>
      <w:r>
        <w:rPr>
          <w:szCs w:val="24"/>
        </w:rPr>
        <w:t>byla</w:t>
      </w:r>
      <w:r w:rsidR="00BA2841">
        <w:rPr>
          <w:szCs w:val="24"/>
        </w:rPr>
        <w:t xml:space="preserve"> u jednotlivých projektů max. do výše</w:t>
      </w:r>
      <w:r w:rsidRPr="00BA3E44">
        <w:rPr>
          <w:szCs w:val="24"/>
        </w:rPr>
        <w:t xml:space="preserve"> 70</w:t>
      </w:r>
      <w:r>
        <w:rPr>
          <w:szCs w:val="24"/>
        </w:rPr>
        <w:t xml:space="preserve"> %, zbývající část byla</w:t>
      </w:r>
      <w:r w:rsidRPr="00BA3E44">
        <w:rPr>
          <w:szCs w:val="24"/>
        </w:rPr>
        <w:t xml:space="preserve"> financována z</w:t>
      </w:r>
      <w:r w:rsidR="00D25D0B">
        <w:rPr>
          <w:szCs w:val="24"/>
        </w:rPr>
        <w:t xml:space="preserve"> rozpočtů </w:t>
      </w:r>
      <w:r w:rsidRPr="00BA3E44">
        <w:rPr>
          <w:szCs w:val="24"/>
        </w:rPr>
        <w:t xml:space="preserve">krajů, obcí, </w:t>
      </w:r>
      <w:r w:rsidR="000D6662">
        <w:rPr>
          <w:szCs w:val="24"/>
        </w:rPr>
        <w:t xml:space="preserve">veřejných </w:t>
      </w:r>
      <w:r w:rsidRPr="00BA3E44">
        <w:rPr>
          <w:szCs w:val="24"/>
        </w:rPr>
        <w:t>s</w:t>
      </w:r>
      <w:r>
        <w:rPr>
          <w:szCs w:val="24"/>
        </w:rPr>
        <w:t>bírek, darů</w:t>
      </w:r>
      <w:r w:rsidR="00BA2841">
        <w:rPr>
          <w:szCs w:val="24"/>
        </w:rPr>
        <w:t>,</w:t>
      </w:r>
      <w:r>
        <w:rPr>
          <w:szCs w:val="24"/>
        </w:rPr>
        <w:t xml:space="preserve"> vlastních zdrojů</w:t>
      </w:r>
      <w:r w:rsidR="00BA2841">
        <w:rPr>
          <w:szCs w:val="24"/>
        </w:rPr>
        <w:t xml:space="preserve"> atd.</w:t>
      </w:r>
      <w:r>
        <w:rPr>
          <w:szCs w:val="24"/>
        </w:rPr>
        <w:t xml:space="preserve"> </w:t>
      </w:r>
    </w:p>
    <w:p w14:paraId="32A60148" w14:textId="05D4B42C" w:rsidR="00F640CC" w:rsidRDefault="00F640CC" w:rsidP="00FC602A">
      <w:pPr>
        <w:widowControl/>
        <w:spacing w:before="240" w:after="120"/>
        <w:rPr>
          <w:szCs w:val="24"/>
        </w:rPr>
      </w:pPr>
      <w:r>
        <w:rPr>
          <w:szCs w:val="24"/>
        </w:rPr>
        <w:t>Vláda svým usnesením</w:t>
      </w:r>
      <w:r>
        <w:rPr>
          <w:rStyle w:val="Znakapoznpodarou"/>
          <w:szCs w:val="24"/>
        </w:rPr>
        <w:footnoteReference w:id="11"/>
      </w:r>
      <w:r>
        <w:rPr>
          <w:szCs w:val="24"/>
        </w:rPr>
        <w:t xml:space="preserve"> rozhodla v roce 2019 </w:t>
      </w:r>
      <w:r w:rsidRPr="00BA3E44">
        <w:rPr>
          <w:szCs w:val="24"/>
        </w:rPr>
        <w:t xml:space="preserve">o centralizaci </w:t>
      </w:r>
      <w:r w:rsidR="003231FD">
        <w:rPr>
          <w:szCs w:val="24"/>
        </w:rPr>
        <w:t>peněžn</w:t>
      </w:r>
      <w:r w:rsidRPr="00BA3E44">
        <w:rPr>
          <w:szCs w:val="24"/>
        </w:rPr>
        <w:t>ích prostředků a</w:t>
      </w:r>
      <w:r w:rsidR="002A2CD5">
        <w:rPr>
          <w:szCs w:val="24"/>
        </w:rPr>
        <w:t xml:space="preserve"> </w:t>
      </w:r>
      <w:r w:rsidRPr="00BA3E44">
        <w:rPr>
          <w:szCs w:val="24"/>
        </w:rPr>
        <w:t xml:space="preserve">dotačních titulů programu protidrogové politiky z rozpočtů MZ </w:t>
      </w:r>
      <w:r>
        <w:rPr>
          <w:szCs w:val="24"/>
        </w:rPr>
        <w:t>a</w:t>
      </w:r>
      <w:r w:rsidR="002A2CD5">
        <w:rPr>
          <w:szCs w:val="24"/>
        </w:rPr>
        <w:t xml:space="preserve"> </w:t>
      </w:r>
      <w:r w:rsidRPr="00BA3E44">
        <w:rPr>
          <w:szCs w:val="24"/>
        </w:rPr>
        <w:t>MS do rozpočtové kapitoly ÚV</w:t>
      </w:r>
      <w:r>
        <w:rPr>
          <w:szCs w:val="24"/>
        </w:rPr>
        <w:t xml:space="preserve"> ČR. </w:t>
      </w:r>
      <w:r w:rsidR="00523B91">
        <w:rPr>
          <w:szCs w:val="24"/>
        </w:rPr>
        <w:br/>
      </w:r>
      <w:r>
        <w:rPr>
          <w:szCs w:val="24"/>
        </w:rPr>
        <w:t xml:space="preserve">Od roku 2020 vyhlašuje dotační řízení pro </w:t>
      </w:r>
      <w:r w:rsidRPr="00531DFC">
        <w:rPr>
          <w:szCs w:val="24"/>
        </w:rPr>
        <w:t>oblast protidrogové politiky</w:t>
      </w:r>
      <w:r>
        <w:rPr>
          <w:szCs w:val="24"/>
        </w:rPr>
        <w:t xml:space="preserve"> ÚV ČR, MŠMT</w:t>
      </w:r>
      <w:r w:rsidRPr="00BA3E44">
        <w:rPr>
          <w:szCs w:val="24"/>
        </w:rPr>
        <w:t xml:space="preserve"> </w:t>
      </w:r>
      <w:r>
        <w:rPr>
          <w:szCs w:val="24"/>
        </w:rPr>
        <w:t>bude dotace nadále poskytovat</w:t>
      </w:r>
      <w:r w:rsidRPr="00011E07">
        <w:rPr>
          <w:szCs w:val="24"/>
        </w:rPr>
        <w:t xml:space="preserve"> pouze úzce vymezenému okruhu žadatelů</w:t>
      </w:r>
      <w:r>
        <w:rPr>
          <w:szCs w:val="24"/>
        </w:rPr>
        <w:t>.</w:t>
      </w:r>
    </w:p>
    <w:p w14:paraId="258BEE44" w14:textId="77777777" w:rsidR="006C54D7" w:rsidRDefault="00E620F7" w:rsidP="00FC602A">
      <w:pPr>
        <w:pStyle w:val="Nadpis1"/>
        <w:widowControl/>
      </w:pPr>
      <w:r>
        <w:t>Rozsah kontroly</w:t>
      </w:r>
    </w:p>
    <w:p w14:paraId="044068A5" w14:textId="77777777" w:rsidR="002D35F9" w:rsidRDefault="00692A9E" w:rsidP="00FC602A">
      <w:pPr>
        <w:widowControl/>
        <w:spacing w:after="120"/>
        <w:rPr>
          <w:szCs w:val="24"/>
        </w:rPr>
      </w:pPr>
      <w:r w:rsidRPr="00692A9E">
        <w:rPr>
          <w:szCs w:val="24"/>
        </w:rPr>
        <w:t>Předmětem kontroly NKÚ byly</w:t>
      </w:r>
      <w:r>
        <w:rPr>
          <w:szCs w:val="24"/>
        </w:rPr>
        <w:t xml:space="preserve"> prostředky určené na programy protidrogové politiky.</w:t>
      </w:r>
      <w:r w:rsidR="002D35F9" w:rsidRPr="002D35F9">
        <w:t xml:space="preserve"> </w:t>
      </w:r>
      <w:r w:rsidR="002D35F9" w:rsidRPr="002D35F9">
        <w:rPr>
          <w:szCs w:val="24"/>
        </w:rPr>
        <w:t>Kontrolovaným obdobím byly roky 201</w:t>
      </w:r>
      <w:r w:rsidR="002D35F9">
        <w:rPr>
          <w:szCs w:val="24"/>
        </w:rPr>
        <w:t>6–</w:t>
      </w:r>
      <w:r w:rsidR="002D35F9" w:rsidRPr="002D35F9">
        <w:rPr>
          <w:szCs w:val="24"/>
        </w:rPr>
        <w:t>201</w:t>
      </w:r>
      <w:r w:rsidR="002D35F9">
        <w:rPr>
          <w:szCs w:val="24"/>
        </w:rPr>
        <w:t>9</w:t>
      </w:r>
      <w:r w:rsidR="002D35F9" w:rsidRPr="002D35F9">
        <w:rPr>
          <w:szCs w:val="24"/>
        </w:rPr>
        <w:t>, v případě věcných souvislostí i období předcházející a následující.</w:t>
      </w:r>
      <w:r>
        <w:rPr>
          <w:szCs w:val="24"/>
        </w:rPr>
        <w:t xml:space="preserve"> </w:t>
      </w:r>
      <w:r w:rsidR="002D35F9" w:rsidRPr="002D35F9">
        <w:rPr>
          <w:szCs w:val="24"/>
        </w:rPr>
        <w:t>Kontrolovanými osobami byl</w:t>
      </w:r>
      <w:r w:rsidR="002D35F9">
        <w:rPr>
          <w:szCs w:val="24"/>
        </w:rPr>
        <w:t>i ÚV ČR, MŠMT, MZ, MS a vybraní příjemci dotací z řad nestátních neziskových organizací.</w:t>
      </w:r>
    </w:p>
    <w:p w14:paraId="35FB2F6C" w14:textId="7AE80DD5" w:rsidR="002D35F9" w:rsidRPr="005A1773" w:rsidRDefault="002D35F9" w:rsidP="00FC602A">
      <w:pPr>
        <w:widowControl/>
        <w:spacing w:after="120"/>
        <w:rPr>
          <w:b/>
          <w:szCs w:val="24"/>
        </w:rPr>
      </w:pPr>
      <w:r w:rsidRPr="002D35F9">
        <w:rPr>
          <w:szCs w:val="24"/>
        </w:rPr>
        <w:t>Cílem kontroly bylo prověřit, zda prostředky určené na programy protidrogové politiky byly vynakládány účelně a přispívaly k naplňování cílů stanovených pro tuto oblast.</w:t>
      </w:r>
      <w:r>
        <w:rPr>
          <w:szCs w:val="24"/>
        </w:rPr>
        <w:t xml:space="preserve"> </w:t>
      </w:r>
      <w:r w:rsidR="00D25D0B">
        <w:rPr>
          <w:b/>
          <w:szCs w:val="24"/>
        </w:rPr>
        <w:t>Kontrolovány</w:t>
      </w:r>
      <w:r w:rsidR="00D25D0B" w:rsidRPr="005A1773">
        <w:rPr>
          <w:b/>
          <w:szCs w:val="24"/>
        </w:rPr>
        <w:t xml:space="preserve"> </w:t>
      </w:r>
      <w:r w:rsidR="00835D3F" w:rsidRPr="005A1773">
        <w:rPr>
          <w:b/>
          <w:szCs w:val="24"/>
        </w:rPr>
        <w:t>byly</w:t>
      </w:r>
      <w:r w:rsidRPr="005A1773">
        <w:rPr>
          <w:b/>
          <w:szCs w:val="24"/>
        </w:rPr>
        <w:t xml:space="preserve"> tyto</w:t>
      </w:r>
      <w:r w:rsidR="00835D3F" w:rsidRPr="005A1773">
        <w:rPr>
          <w:b/>
          <w:szCs w:val="24"/>
        </w:rPr>
        <w:t xml:space="preserve"> tři oblasti</w:t>
      </w:r>
      <w:r w:rsidRPr="005A1773">
        <w:rPr>
          <w:b/>
          <w:szCs w:val="24"/>
        </w:rPr>
        <w:t>:</w:t>
      </w:r>
    </w:p>
    <w:p w14:paraId="005725E5" w14:textId="4C10A1AC" w:rsidR="002D35F9" w:rsidRPr="005A1773" w:rsidRDefault="002A2CD5" w:rsidP="00FC602A">
      <w:pPr>
        <w:pStyle w:val="Odstavecseseznamem"/>
        <w:numPr>
          <w:ilvl w:val="0"/>
          <w:numId w:val="11"/>
        </w:numPr>
        <w:spacing w:after="120"/>
        <w:rPr>
          <w:b/>
          <w:szCs w:val="24"/>
        </w:rPr>
      </w:pPr>
      <w:r>
        <w:rPr>
          <w:b/>
          <w:szCs w:val="24"/>
        </w:rPr>
        <w:t>k</w:t>
      </w:r>
      <w:r w:rsidR="00835D3F" w:rsidRPr="005A1773">
        <w:rPr>
          <w:b/>
          <w:szCs w:val="24"/>
        </w:rPr>
        <w:t xml:space="preserve">oordinace </w:t>
      </w:r>
      <w:r w:rsidR="002D35F9" w:rsidRPr="005A1773">
        <w:rPr>
          <w:b/>
          <w:szCs w:val="24"/>
        </w:rPr>
        <w:t>a řízení;</w:t>
      </w:r>
    </w:p>
    <w:p w14:paraId="2A5565A2" w14:textId="35172B56" w:rsidR="002D35F9" w:rsidRPr="005A1773" w:rsidRDefault="002A2CD5" w:rsidP="00FC602A">
      <w:pPr>
        <w:pStyle w:val="Odstavecseseznamem"/>
        <w:numPr>
          <w:ilvl w:val="0"/>
          <w:numId w:val="11"/>
        </w:numPr>
        <w:spacing w:after="120"/>
        <w:rPr>
          <w:b/>
          <w:szCs w:val="24"/>
        </w:rPr>
      </w:pPr>
      <w:r>
        <w:rPr>
          <w:b/>
          <w:szCs w:val="24"/>
        </w:rPr>
        <w:t>p</w:t>
      </w:r>
      <w:r w:rsidR="00835D3F" w:rsidRPr="005A1773">
        <w:rPr>
          <w:b/>
          <w:szCs w:val="24"/>
        </w:rPr>
        <w:t>oskytování dotací z jednotlivých kapitol státního rozpočtu</w:t>
      </w:r>
      <w:r w:rsidR="002D35F9" w:rsidRPr="005A1773">
        <w:rPr>
          <w:b/>
          <w:szCs w:val="24"/>
        </w:rPr>
        <w:t>;</w:t>
      </w:r>
    </w:p>
    <w:p w14:paraId="551DC15E" w14:textId="54E652A4" w:rsidR="00523B91" w:rsidRPr="00523B91" w:rsidRDefault="002A2CD5" w:rsidP="00FC602A">
      <w:pPr>
        <w:pStyle w:val="Odstavecseseznamem"/>
        <w:numPr>
          <w:ilvl w:val="0"/>
          <w:numId w:val="11"/>
        </w:numPr>
        <w:spacing w:after="120"/>
        <w:rPr>
          <w:b/>
          <w:szCs w:val="24"/>
        </w:rPr>
      </w:pPr>
      <w:r>
        <w:rPr>
          <w:b/>
          <w:szCs w:val="24"/>
        </w:rPr>
        <w:t>v</w:t>
      </w:r>
      <w:r w:rsidR="00835D3F" w:rsidRPr="005A1773">
        <w:rPr>
          <w:b/>
          <w:szCs w:val="24"/>
        </w:rPr>
        <w:t xml:space="preserve">yužití dotací </w:t>
      </w:r>
      <w:r w:rsidR="001C1AFC" w:rsidRPr="005A1773">
        <w:rPr>
          <w:b/>
          <w:szCs w:val="24"/>
        </w:rPr>
        <w:t xml:space="preserve">jejich </w:t>
      </w:r>
      <w:r w:rsidR="00835D3F" w:rsidRPr="005A1773">
        <w:rPr>
          <w:b/>
          <w:szCs w:val="24"/>
        </w:rPr>
        <w:t>příjemci.</w:t>
      </w:r>
    </w:p>
    <w:p w14:paraId="1D85B8EC" w14:textId="66B13C23" w:rsidR="00835D3F" w:rsidRDefault="00835D3F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Koordinace </w:t>
      </w:r>
      <w:r w:rsidR="00D25D0B">
        <w:rPr>
          <w:szCs w:val="24"/>
        </w:rPr>
        <w:t xml:space="preserve">a řízení </w:t>
      </w:r>
      <w:r>
        <w:rPr>
          <w:szCs w:val="24"/>
        </w:rPr>
        <w:t>systému protidrogové politiky byl</w:t>
      </w:r>
      <w:r w:rsidR="00C12600">
        <w:rPr>
          <w:szCs w:val="24"/>
        </w:rPr>
        <w:t>y</w:t>
      </w:r>
      <w:r>
        <w:rPr>
          <w:szCs w:val="24"/>
        </w:rPr>
        <w:t xml:space="preserve"> kontrolován</w:t>
      </w:r>
      <w:r w:rsidR="00C12600">
        <w:rPr>
          <w:szCs w:val="24"/>
        </w:rPr>
        <w:t>y</w:t>
      </w:r>
      <w:r>
        <w:rPr>
          <w:szCs w:val="24"/>
        </w:rPr>
        <w:t xml:space="preserve"> u ÚV ČR</w:t>
      </w:r>
      <w:r w:rsidR="00D25D0B">
        <w:rPr>
          <w:szCs w:val="24"/>
        </w:rPr>
        <w:t xml:space="preserve">. </w:t>
      </w:r>
      <w:r w:rsidR="001C1AFC">
        <w:rPr>
          <w:szCs w:val="24"/>
        </w:rPr>
        <w:t>O</w:t>
      </w:r>
      <w:r>
        <w:rPr>
          <w:szCs w:val="24"/>
        </w:rPr>
        <w:t xml:space="preserve">d roku 2020 </w:t>
      </w:r>
      <w:r w:rsidR="001C1AFC">
        <w:rPr>
          <w:szCs w:val="24"/>
        </w:rPr>
        <w:t xml:space="preserve">dotace z programu protidrogové politiky téměř </w:t>
      </w:r>
      <w:r>
        <w:rPr>
          <w:szCs w:val="24"/>
        </w:rPr>
        <w:t xml:space="preserve">výhradně </w:t>
      </w:r>
      <w:r w:rsidR="002D35F9">
        <w:rPr>
          <w:szCs w:val="24"/>
        </w:rPr>
        <w:t>poskytuje</w:t>
      </w:r>
      <w:r>
        <w:rPr>
          <w:szCs w:val="24"/>
        </w:rPr>
        <w:t xml:space="preserve"> ÚV ČR, byl</w:t>
      </w:r>
      <w:r w:rsidR="002D35F9">
        <w:rPr>
          <w:szCs w:val="24"/>
        </w:rPr>
        <w:t xml:space="preserve"> proto</w:t>
      </w:r>
      <w:r>
        <w:rPr>
          <w:szCs w:val="24"/>
        </w:rPr>
        <w:t xml:space="preserve"> prověřen i přechod na tento</w:t>
      </w:r>
      <w:r w:rsidR="002D35F9">
        <w:rPr>
          <w:szCs w:val="24"/>
        </w:rPr>
        <w:t xml:space="preserve"> centrální</w:t>
      </w:r>
      <w:r>
        <w:rPr>
          <w:szCs w:val="24"/>
        </w:rPr>
        <w:t xml:space="preserve"> způsob poskytování dotací. Zároveň bylo </w:t>
      </w:r>
      <w:r w:rsidR="004D203B">
        <w:rPr>
          <w:szCs w:val="24"/>
        </w:rPr>
        <w:t>zjišťováno</w:t>
      </w:r>
      <w:r>
        <w:rPr>
          <w:szCs w:val="24"/>
        </w:rPr>
        <w:t xml:space="preserve">, </w:t>
      </w:r>
      <w:r w:rsidR="00FE766C">
        <w:rPr>
          <w:szCs w:val="24"/>
        </w:rPr>
        <w:t xml:space="preserve">zda ÚV ČR </w:t>
      </w:r>
      <w:r>
        <w:rPr>
          <w:szCs w:val="24"/>
        </w:rPr>
        <w:t>činil</w:t>
      </w:r>
      <w:r w:rsidR="00FE766C">
        <w:rPr>
          <w:szCs w:val="24"/>
        </w:rPr>
        <w:t xml:space="preserve"> kroky</w:t>
      </w:r>
      <w:r>
        <w:rPr>
          <w:szCs w:val="24"/>
        </w:rPr>
        <w:t xml:space="preserve"> ke zmírnění negativních důsledků pandemie </w:t>
      </w:r>
      <w:r w:rsidR="0068672C">
        <w:rPr>
          <w:szCs w:val="24"/>
        </w:rPr>
        <w:t>covid</w:t>
      </w:r>
      <w:r w:rsidR="00C12600">
        <w:rPr>
          <w:szCs w:val="24"/>
        </w:rPr>
        <w:t>u</w:t>
      </w:r>
      <w:r w:rsidR="0068672C">
        <w:rPr>
          <w:szCs w:val="24"/>
        </w:rPr>
        <w:t>-</w:t>
      </w:r>
      <w:r>
        <w:rPr>
          <w:szCs w:val="24"/>
        </w:rPr>
        <w:t>19 v oblasti závislostního chování.</w:t>
      </w:r>
    </w:p>
    <w:p w14:paraId="2E13FBB8" w14:textId="67B7123B" w:rsidR="00835D3F" w:rsidRDefault="00835D3F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U poskytovatelů dotací, tedy u </w:t>
      </w:r>
      <w:r w:rsidR="003120B5">
        <w:rPr>
          <w:szCs w:val="24"/>
        </w:rPr>
        <w:t xml:space="preserve">kontrolovaných osob, kterými byly </w:t>
      </w:r>
      <w:r>
        <w:rPr>
          <w:szCs w:val="24"/>
        </w:rPr>
        <w:t>ÚV ČR, MZ, MŠMT a MS</w:t>
      </w:r>
      <w:r w:rsidR="003120B5">
        <w:rPr>
          <w:szCs w:val="24"/>
        </w:rPr>
        <w:t>,</w:t>
      </w:r>
      <w:r>
        <w:rPr>
          <w:szCs w:val="24"/>
        </w:rPr>
        <w:t xml:space="preserve"> byla kontrola zaměřena na soulad vyhlašovaných dotačních programů se strategickými cíli </w:t>
      </w:r>
      <w:r w:rsidR="003120B5">
        <w:rPr>
          <w:szCs w:val="24"/>
        </w:rPr>
        <w:t>protidrogové politiky</w:t>
      </w:r>
      <w:r>
        <w:rPr>
          <w:szCs w:val="24"/>
        </w:rPr>
        <w:t>,</w:t>
      </w:r>
      <w:r w:rsidR="003120B5">
        <w:rPr>
          <w:szCs w:val="24"/>
        </w:rPr>
        <w:t xml:space="preserve"> </w:t>
      </w:r>
      <w:r w:rsidR="004A0D72">
        <w:rPr>
          <w:szCs w:val="24"/>
        </w:rPr>
        <w:t>z</w:t>
      </w:r>
      <w:r w:rsidR="004A0D72" w:rsidRPr="004A0D72">
        <w:rPr>
          <w:szCs w:val="24"/>
        </w:rPr>
        <w:t>acílení dotací</w:t>
      </w:r>
      <w:r w:rsidR="004A0D72">
        <w:rPr>
          <w:szCs w:val="24"/>
        </w:rPr>
        <w:t>,</w:t>
      </w:r>
      <w:r w:rsidR="004A0D72" w:rsidRPr="004A0D72">
        <w:rPr>
          <w:szCs w:val="24"/>
        </w:rPr>
        <w:t xml:space="preserve"> nastavení podmínek pro jejich poskytnutí a čerpání</w:t>
      </w:r>
      <w:r w:rsidR="003120B5">
        <w:rPr>
          <w:szCs w:val="24"/>
        </w:rPr>
        <w:t>,</w:t>
      </w:r>
      <w:r>
        <w:rPr>
          <w:szCs w:val="24"/>
        </w:rPr>
        <w:t xml:space="preserve"> plnění stanovených cílů, transparentnost výběru projektů k podpoře, administraci dotačního </w:t>
      </w:r>
      <w:r w:rsidR="003120B5">
        <w:rPr>
          <w:szCs w:val="24"/>
        </w:rPr>
        <w:t>řízení</w:t>
      </w:r>
      <w:r>
        <w:rPr>
          <w:szCs w:val="24"/>
        </w:rPr>
        <w:t xml:space="preserve"> a projektů od výzvy a podání žádosti o dotaci po vyúčtování a vyhodnocení projektů. Dále </w:t>
      </w:r>
      <w:r w:rsidR="00692A9E">
        <w:rPr>
          <w:szCs w:val="24"/>
        </w:rPr>
        <w:t xml:space="preserve">u </w:t>
      </w:r>
      <w:r w:rsidR="009F7CE8">
        <w:rPr>
          <w:szCs w:val="24"/>
        </w:rPr>
        <w:t>poskytovatelů dotací kontrola prověřila</w:t>
      </w:r>
      <w:r w:rsidR="00692A9E">
        <w:rPr>
          <w:szCs w:val="24"/>
        </w:rPr>
        <w:t xml:space="preserve"> nastavení a </w:t>
      </w:r>
      <w:r>
        <w:rPr>
          <w:szCs w:val="24"/>
        </w:rPr>
        <w:t>funkčn</w:t>
      </w:r>
      <w:r w:rsidR="00692A9E">
        <w:rPr>
          <w:szCs w:val="24"/>
        </w:rPr>
        <w:t>ost vnitřních</w:t>
      </w:r>
      <w:r>
        <w:rPr>
          <w:szCs w:val="24"/>
        </w:rPr>
        <w:t xml:space="preserve"> kontrolní</w:t>
      </w:r>
      <w:r w:rsidR="00692A9E">
        <w:rPr>
          <w:szCs w:val="24"/>
        </w:rPr>
        <w:t>ch</w:t>
      </w:r>
      <w:r>
        <w:rPr>
          <w:szCs w:val="24"/>
        </w:rPr>
        <w:t xml:space="preserve"> systém</w:t>
      </w:r>
      <w:r w:rsidR="00692A9E">
        <w:rPr>
          <w:szCs w:val="24"/>
        </w:rPr>
        <w:t>ů</w:t>
      </w:r>
      <w:r w:rsidR="003120B5">
        <w:rPr>
          <w:szCs w:val="24"/>
        </w:rPr>
        <w:t xml:space="preserve"> </w:t>
      </w:r>
      <w:r w:rsidR="009F7CE8">
        <w:rPr>
          <w:szCs w:val="24"/>
        </w:rPr>
        <w:t xml:space="preserve">a </w:t>
      </w:r>
      <w:r w:rsidR="003120B5">
        <w:rPr>
          <w:szCs w:val="24"/>
        </w:rPr>
        <w:t>způsob</w:t>
      </w:r>
      <w:r>
        <w:rPr>
          <w:szCs w:val="24"/>
        </w:rPr>
        <w:t xml:space="preserve"> monitorování</w:t>
      </w:r>
      <w:r w:rsidR="003120B5">
        <w:rPr>
          <w:szCs w:val="24"/>
        </w:rPr>
        <w:t>, vyhodnocování</w:t>
      </w:r>
      <w:r>
        <w:rPr>
          <w:szCs w:val="24"/>
        </w:rPr>
        <w:t xml:space="preserve"> a </w:t>
      </w:r>
      <w:r w:rsidR="003120B5">
        <w:rPr>
          <w:szCs w:val="24"/>
        </w:rPr>
        <w:t xml:space="preserve">kontroly </w:t>
      </w:r>
      <w:r>
        <w:rPr>
          <w:szCs w:val="24"/>
        </w:rPr>
        <w:t>průběhu jednotlivých pro</w:t>
      </w:r>
      <w:r w:rsidR="003120B5">
        <w:rPr>
          <w:szCs w:val="24"/>
        </w:rPr>
        <w:t xml:space="preserve">jektů </w:t>
      </w:r>
      <w:r w:rsidR="00A90D3F">
        <w:rPr>
          <w:szCs w:val="24"/>
        </w:rPr>
        <w:br/>
      </w:r>
      <w:r w:rsidR="003120B5">
        <w:rPr>
          <w:szCs w:val="24"/>
        </w:rPr>
        <w:t>i celého pro</w:t>
      </w:r>
      <w:r>
        <w:rPr>
          <w:szCs w:val="24"/>
        </w:rPr>
        <w:t>gram</w:t>
      </w:r>
      <w:r w:rsidR="003120B5">
        <w:rPr>
          <w:szCs w:val="24"/>
        </w:rPr>
        <w:t>u</w:t>
      </w:r>
      <w:r>
        <w:rPr>
          <w:szCs w:val="24"/>
        </w:rPr>
        <w:t>.</w:t>
      </w:r>
      <w:r w:rsidR="00821367">
        <w:rPr>
          <w:szCs w:val="24"/>
        </w:rPr>
        <w:t xml:space="preserve"> U těchto subjektů byl dále prověřován</w:t>
      </w:r>
      <w:r w:rsidR="00FE766C">
        <w:rPr>
          <w:szCs w:val="24"/>
        </w:rPr>
        <w:t xml:space="preserve"> výkon</w:t>
      </w:r>
      <w:r w:rsidR="00821367">
        <w:rPr>
          <w:szCs w:val="24"/>
        </w:rPr>
        <w:t xml:space="preserve"> kontrolní činnost</w:t>
      </w:r>
      <w:r w:rsidR="00FE766C">
        <w:rPr>
          <w:szCs w:val="24"/>
        </w:rPr>
        <w:t>i</w:t>
      </w:r>
      <w:r w:rsidR="00821367">
        <w:rPr>
          <w:szCs w:val="24"/>
        </w:rPr>
        <w:t xml:space="preserve"> prováděn</w:t>
      </w:r>
      <w:r w:rsidR="00FE766C">
        <w:rPr>
          <w:szCs w:val="24"/>
        </w:rPr>
        <w:t>é</w:t>
      </w:r>
      <w:r w:rsidR="00821367">
        <w:rPr>
          <w:szCs w:val="24"/>
        </w:rPr>
        <w:t xml:space="preserve"> u příjemců dotací. </w:t>
      </w:r>
      <w:r w:rsidR="00821367" w:rsidRPr="005A1773">
        <w:rPr>
          <w:b/>
          <w:szCs w:val="24"/>
        </w:rPr>
        <w:t>U poskytovatelů dotací zkontrolov</w:t>
      </w:r>
      <w:r w:rsidR="00301212" w:rsidRPr="005A1773">
        <w:rPr>
          <w:b/>
          <w:szCs w:val="24"/>
        </w:rPr>
        <w:t xml:space="preserve">al </w:t>
      </w:r>
      <w:r w:rsidR="009F7CE8" w:rsidRPr="005A1773">
        <w:rPr>
          <w:b/>
          <w:szCs w:val="24"/>
        </w:rPr>
        <w:t xml:space="preserve">NKÚ </w:t>
      </w:r>
      <w:r w:rsidR="00821367" w:rsidRPr="005A1773">
        <w:rPr>
          <w:b/>
          <w:szCs w:val="24"/>
        </w:rPr>
        <w:t>celkem 90 projektů, na jejichž realizaci bylo poskytnuto téměř 95 mil. Kč.</w:t>
      </w:r>
      <w:r w:rsidR="00821367">
        <w:rPr>
          <w:szCs w:val="24"/>
        </w:rPr>
        <w:t xml:space="preserve"> </w:t>
      </w:r>
      <w:r w:rsidR="00BC53F1">
        <w:rPr>
          <w:szCs w:val="24"/>
        </w:rPr>
        <w:t>P</w:t>
      </w:r>
      <w:r w:rsidR="00821367">
        <w:rPr>
          <w:szCs w:val="24"/>
        </w:rPr>
        <w:t xml:space="preserve">řehled </w:t>
      </w:r>
      <w:r w:rsidR="00BC53F1">
        <w:rPr>
          <w:szCs w:val="24"/>
        </w:rPr>
        <w:t>počt</w:t>
      </w:r>
      <w:r w:rsidR="009F7CE8">
        <w:rPr>
          <w:szCs w:val="24"/>
        </w:rPr>
        <w:t>u</w:t>
      </w:r>
      <w:r w:rsidR="00BC53F1">
        <w:rPr>
          <w:szCs w:val="24"/>
        </w:rPr>
        <w:t xml:space="preserve"> a </w:t>
      </w:r>
      <w:r w:rsidR="006F4B4E">
        <w:rPr>
          <w:szCs w:val="24"/>
        </w:rPr>
        <w:t xml:space="preserve">finančního </w:t>
      </w:r>
      <w:r w:rsidR="00BC53F1">
        <w:rPr>
          <w:szCs w:val="24"/>
        </w:rPr>
        <w:t>objem</w:t>
      </w:r>
      <w:r w:rsidR="009F7CE8">
        <w:rPr>
          <w:szCs w:val="24"/>
        </w:rPr>
        <w:t>u</w:t>
      </w:r>
      <w:r w:rsidR="00BC53F1">
        <w:rPr>
          <w:szCs w:val="24"/>
        </w:rPr>
        <w:t xml:space="preserve"> z</w:t>
      </w:r>
      <w:r w:rsidR="00821367">
        <w:rPr>
          <w:szCs w:val="24"/>
        </w:rPr>
        <w:t xml:space="preserve">kontrolovaných dotací </w:t>
      </w:r>
      <w:r w:rsidR="00301212">
        <w:rPr>
          <w:szCs w:val="24"/>
        </w:rPr>
        <w:t>u je</w:t>
      </w:r>
      <w:r w:rsidR="00BC53F1">
        <w:rPr>
          <w:szCs w:val="24"/>
        </w:rPr>
        <w:t>dnotlivých</w:t>
      </w:r>
      <w:r w:rsidR="00301212">
        <w:rPr>
          <w:szCs w:val="24"/>
        </w:rPr>
        <w:t xml:space="preserve"> poskytovatelů </w:t>
      </w:r>
      <w:r w:rsidR="00821367">
        <w:rPr>
          <w:szCs w:val="24"/>
        </w:rPr>
        <w:t>je uveden v následující tabulce.</w:t>
      </w:r>
    </w:p>
    <w:p w14:paraId="4FAC8E58" w14:textId="6C351E30" w:rsidR="00DD0BDF" w:rsidRPr="00DD0BDF" w:rsidRDefault="00716EDD" w:rsidP="00716EDD">
      <w:pPr>
        <w:pStyle w:val="Nzevtabulky"/>
        <w:numPr>
          <w:ilvl w:val="0"/>
          <w:numId w:val="0"/>
        </w:numPr>
        <w:spacing w:before="240" w:after="120"/>
      </w:pPr>
      <w:r>
        <w:lastRenderedPageBreak/>
        <w:t xml:space="preserve">Tabulka č. 3: </w:t>
      </w:r>
      <w:r w:rsidR="00DD0BDF">
        <w:t xml:space="preserve">Kontrolní vzorek dotací </w:t>
      </w:r>
      <w:r w:rsidR="00675627">
        <w:t>z</w:t>
      </w:r>
      <w:r w:rsidR="00DD0BDF">
        <w:t>kontrolovaných u jejich poskytovatelů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D0BDF" w:rsidRPr="008134F2" w14:paraId="386D11E3" w14:textId="77777777" w:rsidTr="00C61E1A">
        <w:trPr>
          <w:trHeight w:val="332"/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29DDB145" w14:textId="77777777" w:rsidR="00DD0BDF" w:rsidRPr="008134F2" w:rsidRDefault="00DD0BDF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Poskytovatel dotace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E65BBD" w14:textId="77777777" w:rsidR="00DD0BDF" w:rsidRPr="008134F2" w:rsidRDefault="00DD0BDF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Počet zkontrolovaných </w:t>
            </w:r>
            <w:r w:rsidR="000B3912">
              <w:rPr>
                <w:rFonts w:cs="Calibri"/>
                <w:b/>
                <w:color w:val="000000"/>
                <w:sz w:val="18"/>
                <w:szCs w:val="18"/>
              </w:rPr>
              <w:t>dotací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5A39EC" w14:textId="3356AC97" w:rsidR="00DD0BDF" w:rsidRPr="008134F2" w:rsidRDefault="006F4B4E" w:rsidP="006F4B4E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Objem </w:t>
            </w:r>
            <w:r w:rsidR="00DD0BDF">
              <w:rPr>
                <w:rFonts w:cs="Calibri"/>
                <w:b/>
                <w:color w:val="000000"/>
                <w:sz w:val="18"/>
                <w:szCs w:val="18"/>
              </w:rPr>
              <w:t>zkontrolovaných dotací (v Kč)</w:t>
            </w:r>
          </w:p>
        </w:tc>
      </w:tr>
      <w:tr w:rsidR="00DD0BDF" w:rsidRPr="00A21A66" w14:paraId="107FDDC0" w14:textId="77777777" w:rsidTr="00C12600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14BF" w14:textId="77777777" w:rsidR="00DD0BDF" w:rsidRPr="00A21A66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ÚV ČR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B0B6" w14:textId="77777777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2157" w14:textId="77777777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70EEF">
              <w:rPr>
                <w:rFonts w:cs="Calibri"/>
                <w:color w:val="000000"/>
                <w:sz w:val="18"/>
                <w:szCs w:val="18"/>
              </w:rPr>
              <w:t>37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B70EEF">
              <w:rPr>
                <w:rFonts w:cs="Calibri"/>
                <w:color w:val="000000"/>
                <w:sz w:val="18"/>
                <w:szCs w:val="18"/>
              </w:rPr>
              <w:t>619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70EEF">
              <w:rPr>
                <w:rFonts w:cs="Calibri"/>
                <w:color w:val="000000"/>
                <w:sz w:val="18"/>
                <w:szCs w:val="18"/>
              </w:rPr>
              <w:t>000</w:t>
            </w:r>
          </w:p>
        </w:tc>
      </w:tr>
      <w:tr w:rsidR="004A0D72" w:rsidRPr="00A21A66" w14:paraId="5FB30A77" w14:textId="77777777" w:rsidTr="00C12600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79E9" w14:textId="77777777" w:rsidR="004A0D72" w:rsidRPr="00A21A66" w:rsidRDefault="004A0D72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991E" w14:textId="77777777" w:rsidR="004A0D72" w:rsidRPr="00A21A66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396" w14:textId="77777777" w:rsidR="004A0D72" w:rsidRPr="00A21A66" w:rsidRDefault="004A0D72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21 683 933</w:t>
            </w:r>
          </w:p>
        </w:tc>
      </w:tr>
      <w:tr w:rsidR="00DD0BDF" w:rsidRPr="00A21A66" w14:paraId="14AA207D" w14:textId="77777777" w:rsidTr="00C12600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CBBF" w14:textId="77777777" w:rsidR="00DD0BDF" w:rsidRPr="00A21A66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MŠMT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0C51" w14:textId="77777777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6686" w14:textId="50356E1D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70EEF">
              <w:rPr>
                <w:rFonts w:cs="Calibri"/>
                <w:color w:val="000000"/>
                <w:sz w:val="18"/>
                <w:szCs w:val="18"/>
              </w:rPr>
              <w:t>7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B70EEF">
              <w:rPr>
                <w:rFonts w:cs="Calibri"/>
                <w:color w:val="000000"/>
                <w:sz w:val="18"/>
                <w:szCs w:val="18"/>
              </w:rPr>
              <w:t>472</w:t>
            </w:r>
            <w:r w:rsidR="007C63A5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B70EEF">
              <w:rPr>
                <w:rFonts w:cs="Calibri"/>
                <w:color w:val="000000"/>
                <w:sz w:val="18"/>
                <w:szCs w:val="18"/>
              </w:rPr>
              <w:t>857</w:t>
            </w:r>
          </w:p>
        </w:tc>
      </w:tr>
      <w:tr w:rsidR="00DD0BDF" w:rsidRPr="00A21A66" w14:paraId="387E6EF2" w14:textId="77777777" w:rsidTr="00C12600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B299" w14:textId="77777777" w:rsidR="00DD0BDF" w:rsidRPr="00A21A66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4E49" w14:textId="77777777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EA90" w14:textId="77777777" w:rsidR="00DD0BDF" w:rsidRPr="00A21A66" w:rsidRDefault="00DD0BDF" w:rsidP="00FC602A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28 163 460</w:t>
            </w:r>
          </w:p>
        </w:tc>
      </w:tr>
      <w:tr w:rsidR="00DD0BDF" w:rsidRPr="008134F2" w14:paraId="22EF60A3" w14:textId="77777777" w:rsidTr="00C12600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2FFE5" w14:textId="77777777" w:rsidR="00DD0BDF" w:rsidRPr="008134F2" w:rsidRDefault="00DD0BDF" w:rsidP="00FC602A">
            <w:pPr>
              <w:widowControl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134F2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FE70F" w14:textId="77777777" w:rsidR="00DD0BDF" w:rsidRPr="008134F2" w:rsidRDefault="00DD0BDF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FEF62" w14:textId="77777777" w:rsidR="00DD0BDF" w:rsidRPr="008134F2" w:rsidRDefault="00DD0BDF" w:rsidP="00FC602A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70EEF">
              <w:rPr>
                <w:rFonts w:cs="Calibri"/>
                <w:b/>
                <w:color w:val="000000"/>
                <w:sz w:val="18"/>
                <w:szCs w:val="18"/>
              </w:rPr>
              <w:t>94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B70EEF">
              <w:rPr>
                <w:rFonts w:cs="Calibri"/>
                <w:b/>
                <w:color w:val="000000"/>
                <w:sz w:val="18"/>
                <w:szCs w:val="18"/>
              </w:rPr>
              <w:t>939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B70EEF">
              <w:rPr>
                <w:rFonts w:cs="Calibri"/>
                <w:b/>
                <w:color w:val="000000"/>
                <w:sz w:val="18"/>
                <w:szCs w:val="18"/>
              </w:rPr>
              <w:t>250</w:t>
            </w:r>
          </w:p>
        </w:tc>
      </w:tr>
    </w:tbl>
    <w:p w14:paraId="545B257B" w14:textId="77777777" w:rsidR="00DD0BDF" w:rsidRPr="00A61309" w:rsidRDefault="00DD0BDF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="00821367">
        <w:rPr>
          <w:sz w:val="20"/>
        </w:rPr>
        <w:t>kontrolní protokoly jednotlivých kontrolovaných osob</w:t>
      </w:r>
      <w:r w:rsidRPr="00A61309">
        <w:rPr>
          <w:sz w:val="20"/>
        </w:rPr>
        <w:t>.</w:t>
      </w:r>
    </w:p>
    <w:p w14:paraId="47B9B879" w14:textId="40836AA1" w:rsidR="00447994" w:rsidRPr="00BA3E44" w:rsidRDefault="00447994" w:rsidP="00FC602A">
      <w:pPr>
        <w:widowControl/>
        <w:spacing w:before="240" w:after="120"/>
        <w:rPr>
          <w:szCs w:val="24"/>
        </w:rPr>
      </w:pPr>
      <w:r w:rsidRPr="00BA3E44">
        <w:rPr>
          <w:szCs w:val="24"/>
        </w:rPr>
        <w:t>Ke kontrole příjemců neinvestičních dotací</w:t>
      </w:r>
      <w:r>
        <w:rPr>
          <w:szCs w:val="24"/>
        </w:rPr>
        <w:t xml:space="preserve"> </w:t>
      </w:r>
      <w:r w:rsidRPr="00BA3E44">
        <w:rPr>
          <w:szCs w:val="24"/>
        </w:rPr>
        <w:t xml:space="preserve">byl vybrán </w:t>
      </w:r>
      <w:r w:rsidRPr="005A1773">
        <w:rPr>
          <w:b/>
          <w:szCs w:val="24"/>
        </w:rPr>
        <w:t xml:space="preserve">vzorek devíti </w:t>
      </w:r>
      <w:r w:rsidR="00FE766C" w:rsidRPr="00FE766C">
        <w:rPr>
          <w:b/>
          <w:szCs w:val="24"/>
        </w:rPr>
        <w:t xml:space="preserve">nestátních neziskových </w:t>
      </w:r>
      <w:r w:rsidRPr="005A1773">
        <w:rPr>
          <w:b/>
          <w:szCs w:val="24"/>
        </w:rPr>
        <w:t>organizací, které</w:t>
      </w:r>
      <w:r w:rsidRPr="00BA3E44">
        <w:rPr>
          <w:szCs w:val="24"/>
        </w:rPr>
        <w:t xml:space="preserve"> v průběhu kontrolovaného období let 2016─2019 </w:t>
      </w:r>
      <w:r w:rsidR="008442A9">
        <w:rPr>
          <w:szCs w:val="24"/>
        </w:rPr>
        <w:t xml:space="preserve">v součtu </w:t>
      </w:r>
      <w:r w:rsidRPr="005A1773">
        <w:rPr>
          <w:b/>
          <w:szCs w:val="24"/>
        </w:rPr>
        <w:t>získaly</w:t>
      </w:r>
      <w:r w:rsidRPr="00BA3E44">
        <w:rPr>
          <w:szCs w:val="24"/>
        </w:rPr>
        <w:t xml:space="preserve"> </w:t>
      </w:r>
      <w:r w:rsidR="008442A9">
        <w:rPr>
          <w:szCs w:val="24"/>
        </w:rPr>
        <w:t xml:space="preserve">téměř </w:t>
      </w:r>
      <w:r w:rsidR="008442A9" w:rsidRPr="005A1773">
        <w:rPr>
          <w:b/>
          <w:szCs w:val="24"/>
        </w:rPr>
        <w:t xml:space="preserve">jednu třetinu </w:t>
      </w:r>
      <w:r w:rsidR="00BC53F1">
        <w:rPr>
          <w:b/>
          <w:szCs w:val="24"/>
        </w:rPr>
        <w:t xml:space="preserve">celkové výše </w:t>
      </w:r>
      <w:r w:rsidR="008442A9" w:rsidRPr="005A1773">
        <w:rPr>
          <w:b/>
          <w:szCs w:val="24"/>
        </w:rPr>
        <w:t xml:space="preserve">všech dotací </w:t>
      </w:r>
      <w:r w:rsidRPr="005A1773">
        <w:rPr>
          <w:b/>
          <w:szCs w:val="24"/>
        </w:rPr>
        <w:t>z programů protidrogové politiky</w:t>
      </w:r>
      <w:r w:rsidRPr="00BA3E44">
        <w:rPr>
          <w:szCs w:val="24"/>
        </w:rPr>
        <w:t xml:space="preserve"> </w:t>
      </w:r>
      <w:r w:rsidR="00BC53F1">
        <w:rPr>
          <w:szCs w:val="24"/>
        </w:rPr>
        <w:t xml:space="preserve">poskytnutých </w:t>
      </w:r>
      <w:r w:rsidRPr="00BA3E44">
        <w:rPr>
          <w:szCs w:val="24"/>
        </w:rPr>
        <w:t>ÚV</w:t>
      </w:r>
      <w:r>
        <w:rPr>
          <w:szCs w:val="24"/>
        </w:rPr>
        <w:t> </w:t>
      </w:r>
      <w:r w:rsidRPr="00BA3E44">
        <w:rPr>
          <w:szCs w:val="24"/>
        </w:rPr>
        <w:t>ČR, MZ, MŠMT a MS.</w:t>
      </w:r>
    </w:p>
    <w:p w14:paraId="3AE6DD2A" w14:textId="5A00AAD8" w:rsidR="00A90D3F" w:rsidRDefault="00835D3F" w:rsidP="00FC602A">
      <w:pPr>
        <w:widowControl/>
        <w:spacing w:after="120"/>
        <w:rPr>
          <w:szCs w:val="24"/>
        </w:rPr>
      </w:pPr>
      <w:r>
        <w:rPr>
          <w:szCs w:val="24"/>
        </w:rPr>
        <w:t>U příjemců dotací bylo p</w:t>
      </w:r>
      <w:r w:rsidRPr="00E451D2">
        <w:rPr>
          <w:szCs w:val="24"/>
        </w:rPr>
        <w:t>rověřeno</w:t>
      </w:r>
      <w:r>
        <w:rPr>
          <w:szCs w:val="24"/>
        </w:rPr>
        <w:t>,</w:t>
      </w:r>
      <w:r w:rsidRPr="00E451D2">
        <w:rPr>
          <w:szCs w:val="24"/>
        </w:rPr>
        <w:t xml:space="preserve"> </w:t>
      </w:r>
      <w:r>
        <w:rPr>
          <w:szCs w:val="24"/>
        </w:rPr>
        <w:t xml:space="preserve">zda </w:t>
      </w:r>
      <w:r w:rsidR="00692A9E">
        <w:rPr>
          <w:szCs w:val="24"/>
        </w:rPr>
        <w:t>byly prostředky vynakládány</w:t>
      </w:r>
      <w:r>
        <w:rPr>
          <w:szCs w:val="24"/>
        </w:rPr>
        <w:t xml:space="preserve"> v souladu </w:t>
      </w:r>
      <w:r w:rsidR="00692A9E">
        <w:rPr>
          <w:szCs w:val="24"/>
        </w:rPr>
        <w:t xml:space="preserve">s právními předpisy a </w:t>
      </w:r>
      <w:r>
        <w:rPr>
          <w:szCs w:val="24"/>
        </w:rPr>
        <w:t xml:space="preserve">podmínkami stanovenými poskytovatelem </w:t>
      </w:r>
      <w:r w:rsidR="00692A9E">
        <w:rPr>
          <w:szCs w:val="24"/>
        </w:rPr>
        <w:t xml:space="preserve">dotace </w:t>
      </w:r>
      <w:r>
        <w:rPr>
          <w:szCs w:val="24"/>
        </w:rPr>
        <w:t>a zda bylo dosaženo požadovaného výstupu.</w:t>
      </w:r>
      <w:r w:rsidR="00821367">
        <w:rPr>
          <w:szCs w:val="24"/>
        </w:rPr>
        <w:t xml:space="preserve"> </w:t>
      </w:r>
      <w:r w:rsidR="00821367" w:rsidRPr="005A1773">
        <w:rPr>
          <w:b/>
          <w:szCs w:val="24"/>
        </w:rPr>
        <w:t xml:space="preserve">U příjemců dotací </w:t>
      </w:r>
      <w:r w:rsidR="00301212" w:rsidRPr="005A1773">
        <w:rPr>
          <w:b/>
          <w:szCs w:val="24"/>
        </w:rPr>
        <w:t xml:space="preserve">zkontroloval </w:t>
      </w:r>
      <w:r w:rsidR="001A3F8A" w:rsidRPr="005A1773">
        <w:rPr>
          <w:b/>
          <w:szCs w:val="24"/>
        </w:rPr>
        <w:t xml:space="preserve">NKÚ </w:t>
      </w:r>
      <w:r w:rsidR="00821367" w:rsidRPr="005A1773">
        <w:rPr>
          <w:b/>
          <w:szCs w:val="24"/>
        </w:rPr>
        <w:t>celkem 54 projektů, na jejichž realizaci bylo poskytnuto více než 66 mil. Kč.</w:t>
      </w:r>
      <w:r w:rsidR="00301212" w:rsidRPr="005A1773">
        <w:rPr>
          <w:b/>
          <w:szCs w:val="24"/>
        </w:rPr>
        <w:t xml:space="preserve"> </w:t>
      </w:r>
      <w:r w:rsidR="00675627">
        <w:rPr>
          <w:szCs w:val="24"/>
        </w:rPr>
        <w:t>P</w:t>
      </w:r>
      <w:r w:rsidR="00301212">
        <w:rPr>
          <w:szCs w:val="24"/>
        </w:rPr>
        <w:t xml:space="preserve">řehled </w:t>
      </w:r>
      <w:r w:rsidR="00675627">
        <w:rPr>
          <w:szCs w:val="24"/>
        </w:rPr>
        <w:t>počt</w:t>
      </w:r>
      <w:r w:rsidR="001A3F8A">
        <w:rPr>
          <w:szCs w:val="24"/>
        </w:rPr>
        <w:t>u</w:t>
      </w:r>
      <w:r w:rsidR="00675627">
        <w:rPr>
          <w:szCs w:val="24"/>
        </w:rPr>
        <w:t xml:space="preserve"> a </w:t>
      </w:r>
      <w:r w:rsidR="001A3F8A">
        <w:rPr>
          <w:szCs w:val="24"/>
        </w:rPr>
        <w:t xml:space="preserve">finančního </w:t>
      </w:r>
      <w:r w:rsidR="00675627">
        <w:rPr>
          <w:szCs w:val="24"/>
        </w:rPr>
        <w:t>objem</w:t>
      </w:r>
      <w:r w:rsidR="001A3F8A">
        <w:rPr>
          <w:szCs w:val="24"/>
        </w:rPr>
        <w:t>u</w:t>
      </w:r>
      <w:r w:rsidR="00675627">
        <w:rPr>
          <w:szCs w:val="24"/>
        </w:rPr>
        <w:t xml:space="preserve"> z</w:t>
      </w:r>
      <w:r w:rsidR="00301212">
        <w:rPr>
          <w:szCs w:val="24"/>
        </w:rPr>
        <w:t xml:space="preserve">kontrolovaných dotací u </w:t>
      </w:r>
      <w:r w:rsidR="00675627">
        <w:rPr>
          <w:szCs w:val="24"/>
        </w:rPr>
        <w:t xml:space="preserve">jednotlivých vybraných </w:t>
      </w:r>
      <w:r w:rsidR="00301212">
        <w:rPr>
          <w:szCs w:val="24"/>
        </w:rPr>
        <w:t>příjemců je uveden v následující tabulce.</w:t>
      </w:r>
    </w:p>
    <w:p w14:paraId="45BF5A9E" w14:textId="23B87C5F" w:rsidR="00DD0BDF" w:rsidRPr="00DD0BDF" w:rsidRDefault="00716EDD" w:rsidP="00716EDD">
      <w:pPr>
        <w:pStyle w:val="Nzevtabulky"/>
        <w:numPr>
          <w:ilvl w:val="0"/>
          <w:numId w:val="0"/>
        </w:numPr>
        <w:spacing w:before="240" w:after="120"/>
      </w:pPr>
      <w:r>
        <w:t xml:space="preserve">Tabulka č. 4: </w:t>
      </w:r>
      <w:r w:rsidR="00DD0BDF">
        <w:t xml:space="preserve">Kontrolní vzorek dotací </w:t>
      </w:r>
      <w:r w:rsidR="00675627">
        <w:t>z</w:t>
      </w:r>
      <w:r w:rsidR="00DD0BDF">
        <w:t>kontrolovaných u jejich příjemců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D0BDF" w:rsidRPr="00821367" w14:paraId="032E842C" w14:textId="77777777" w:rsidTr="00C61E1A">
        <w:trPr>
          <w:trHeight w:val="332"/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F1FF"/>
            <w:noWrap/>
            <w:vAlign w:val="center"/>
            <w:hideMark/>
          </w:tcPr>
          <w:p w14:paraId="59042861" w14:textId="77777777" w:rsidR="00DD0BDF" w:rsidRPr="00821367" w:rsidRDefault="00DD0BDF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Příjemce dotace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8DE7EF" w14:textId="77777777" w:rsidR="00DD0BDF" w:rsidRPr="00821367" w:rsidRDefault="00DD0BDF" w:rsidP="00FC602A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 xml:space="preserve">Počet zkontrolovaných </w:t>
            </w:r>
            <w:r w:rsidR="000B3912">
              <w:rPr>
                <w:rFonts w:cs="Calibri"/>
                <w:b/>
                <w:color w:val="000000"/>
                <w:sz w:val="18"/>
                <w:szCs w:val="18"/>
              </w:rPr>
              <w:t>dotací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07755E" w14:textId="2FEBAE37" w:rsidR="00DD0BDF" w:rsidRPr="00821367" w:rsidRDefault="006F4B4E" w:rsidP="006F4B4E">
            <w:pPr>
              <w:widowControl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Objem </w:t>
            </w:r>
            <w:r w:rsidR="00DD0BDF" w:rsidRPr="00821367">
              <w:rPr>
                <w:rFonts w:cs="Calibri"/>
                <w:b/>
                <w:color w:val="000000"/>
                <w:sz w:val="18"/>
                <w:szCs w:val="18"/>
              </w:rPr>
              <w:t>zkontrolovaných dotací (v Kč)</w:t>
            </w:r>
          </w:p>
        </w:tc>
      </w:tr>
      <w:tr w:rsidR="00DD0BDF" w:rsidRPr="00821367" w14:paraId="631E2F02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4A7A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A.N.O. - Asociace nestátních organizací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F088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6373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5 202 000</w:t>
            </w:r>
          </w:p>
        </w:tc>
      </w:tr>
      <w:tr w:rsidR="00DD0BDF" w:rsidRPr="00821367" w14:paraId="3EAAF477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3FDD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KAPPA-HELP, z.s.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B67D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8B89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3 229 750</w:t>
            </w:r>
          </w:p>
        </w:tc>
      </w:tr>
      <w:tr w:rsidR="00DD0BDF" w:rsidRPr="00821367" w14:paraId="683362EA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5013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Magdaléna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B061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461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6 922 028</w:t>
            </w:r>
          </w:p>
        </w:tc>
      </w:tr>
      <w:tr w:rsidR="00DD0BDF" w:rsidRPr="00821367" w14:paraId="3E0C5E7A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9782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0A4C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0F07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3 953 985</w:t>
            </w:r>
          </w:p>
        </w:tc>
      </w:tr>
      <w:tr w:rsidR="00DD0BDF" w:rsidRPr="00821367" w14:paraId="105BCAAC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4D7A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3563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D860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674 000</w:t>
            </w:r>
          </w:p>
        </w:tc>
      </w:tr>
      <w:tr w:rsidR="00DD0BDF" w:rsidRPr="00821367" w14:paraId="115EF838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ADC43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PREVENT 99 z.ú.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BD87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8696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3 042 141</w:t>
            </w:r>
          </w:p>
        </w:tc>
      </w:tr>
      <w:tr w:rsidR="00DD0BDF" w:rsidRPr="00821367" w14:paraId="4F8CE92D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4862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PROGRESSIVE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7A93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346C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15 013 000</w:t>
            </w:r>
          </w:p>
        </w:tc>
      </w:tr>
      <w:tr w:rsidR="00DD0BDF" w:rsidRPr="00821367" w14:paraId="60FBA0E4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4C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357B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6A81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13 455 189</w:t>
            </w:r>
          </w:p>
        </w:tc>
      </w:tr>
      <w:tr w:rsidR="00DD0BDF" w:rsidRPr="00821367" w14:paraId="6BD67ACA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5A" w14:textId="77777777" w:rsidR="00DD0BDF" w:rsidRPr="00821367" w:rsidRDefault="00DD0BDF" w:rsidP="00FC602A">
            <w:pPr>
              <w:widowControl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DROP IN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E746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3455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color w:val="000000"/>
                <w:sz w:val="18"/>
                <w:szCs w:val="18"/>
              </w:rPr>
              <w:t>14 986 216</w:t>
            </w:r>
          </w:p>
        </w:tc>
      </w:tr>
      <w:tr w:rsidR="00DD0BDF" w:rsidRPr="00821367" w14:paraId="5DB5C853" w14:textId="77777777" w:rsidTr="00C61E1A">
        <w:trPr>
          <w:trHeight w:val="283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19663" w14:textId="77777777" w:rsidR="00DD0BDF" w:rsidRPr="00821367" w:rsidRDefault="00DD0BDF" w:rsidP="00FC602A">
            <w:pPr>
              <w:widowControl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rFonts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294E" w14:textId="77777777" w:rsidR="00DD0BDF" w:rsidRPr="00821367" w:rsidRDefault="00DD0BDF" w:rsidP="00C12600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49144" w14:textId="77777777" w:rsidR="00DD0BDF" w:rsidRPr="00821367" w:rsidRDefault="00DD0BDF" w:rsidP="006F4B4E">
            <w:pPr>
              <w:widowControl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21367">
              <w:rPr>
                <w:b/>
                <w:sz w:val="18"/>
                <w:szCs w:val="18"/>
              </w:rPr>
              <w:t>66 478 309</w:t>
            </w:r>
          </w:p>
        </w:tc>
      </w:tr>
    </w:tbl>
    <w:p w14:paraId="21D30433" w14:textId="77777777" w:rsidR="00DD0BDF" w:rsidRPr="00A61309" w:rsidRDefault="00DD0BDF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="00821367">
        <w:rPr>
          <w:sz w:val="20"/>
        </w:rPr>
        <w:t>kontrolní protokoly jednotlivých kontrolovaných osob</w:t>
      </w:r>
      <w:r w:rsidRPr="00A61309">
        <w:rPr>
          <w:sz w:val="20"/>
        </w:rPr>
        <w:t>.</w:t>
      </w:r>
    </w:p>
    <w:p w14:paraId="3754EF85" w14:textId="582F597A" w:rsidR="00835D3F" w:rsidRDefault="00835D3F" w:rsidP="00FC602A">
      <w:pPr>
        <w:widowControl/>
        <w:spacing w:after="120"/>
        <w:rPr>
          <w:szCs w:val="24"/>
        </w:rPr>
      </w:pPr>
      <w:r>
        <w:rPr>
          <w:szCs w:val="24"/>
        </w:rPr>
        <w:t>Kritéria ke kontrole vycházela z právních předpisů</w:t>
      </w:r>
      <w:r w:rsidR="007C63A5">
        <w:rPr>
          <w:szCs w:val="24"/>
        </w:rPr>
        <w:t>,</w:t>
      </w:r>
      <w:r>
        <w:rPr>
          <w:szCs w:val="24"/>
        </w:rPr>
        <w:t xml:space="preserve"> a to zejména ze </w:t>
      </w:r>
      <w:r w:rsidR="00D57337" w:rsidRPr="00D57337">
        <w:rPr>
          <w:szCs w:val="24"/>
        </w:rPr>
        <w:t xml:space="preserve">zákona č. 218/2000 Sb., </w:t>
      </w:r>
      <w:r w:rsidR="00D57337">
        <w:rPr>
          <w:szCs w:val="24"/>
        </w:rPr>
        <w:t>z</w:t>
      </w:r>
      <w:r w:rsidR="00D57337" w:rsidRPr="00D57337">
        <w:rPr>
          <w:szCs w:val="24"/>
        </w:rPr>
        <w:t>ákon</w:t>
      </w:r>
      <w:r w:rsidR="00D57337">
        <w:rPr>
          <w:szCs w:val="24"/>
        </w:rPr>
        <w:t>a</w:t>
      </w:r>
      <w:r w:rsidR="00D57337" w:rsidRPr="00D57337">
        <w:rPr>
          <w:szCs w:val="24"/>
        </w:rPr>
        <w:t xml:space="preserve"> č. 320/2001 Sb., o finanční kontrole ve veřejné správě a o změně některých zákonů (zákon o finanční kontrole)</w:t>
      </w:r>
      <w:r w:rsidR="007C63A5">
        <w:rPr>
          <w:szCs w:val="24"/>
        </w:rPr>
        <w:t>,</w:t>
      </w:r>
      <w:r w:rsidR="00D57337">
        <w:rPr>
          <w:szCs w:val="24"/>
        </w:rPr>
        <w:t xml:space="preserve"> a příslušných vyhlášek</w:t>
      </w:r>
      <w:r w:rsidR="008939CE">
        <w:rPr>
          <w:szCs w:val="24"/>
        </w:rPr>
        <w:t>;</w:t>
      </w:r>
      <w:r>
        <w:rPr>
          <w:szCs w:val="24"/>
        </w:rPr>
        <w:t xml:space="preserve"> </w:t>
      </w:r>
      <w:r w:rsidR="007D1452">
        <w:rPr>
          <w:szCs w:val="24"/>
        </w:rPr>
        <w:t xml:space="preserve">dále ze </w:t>
      </w:r>
      <w:r w:rsidR="009F1BDE" w:rsidRPr="00C61E1A">
        <w:rPr>
          <w:i/>
          <w:szCs w:val="24"/>
        </w:rPr>
        <w:t>Zásad vlády pro poskytování dotací ze státního rozpočtu České republiky nestátním neziskovým organizacím ústředními orgány státní správy</w:t>
      </w:r>
      <w:r w:rsidR="009F1BDE">
        <w:rPr>
          <w:rStyle w:val="Znakapoznpodarou"/>
          <w:szCs w:val="24"/>
        </w:rPr>
        <w:footnoteReference w:id="12"/>
      </w:r>
      <w:r w:rsidR="007D1452">
        <w:rPr>
          <w:szCs w:val="24"/>
        </w:rPr>
        <w:t>, z</w:t>
      </w:r>
      <w:r w:rsidR="009F1BDE" w:rsidRPr="009F1BDE">
        <w:t xml:space="preserve"> </w:t>
      </w:r>
      <w:r w:rsidR="009F1BDE" w:rsidRPr="00C61E1A">
        <w:rPr>
          <w:i/>
          <w:szCs w:val="24"/>
        </w:rPr>
        <w:t>Pravidel pro vynakládání finančních prostředků státního rozpočtu na protidrogovou politiku</w:t>
      </w:r>
      <w:r w:rsidR="009F1BDE">
        <w:rPr>
          <w:rStyle w:val="Znakapoznpodarou"/>
          <w:szCs w:val="24"/>
        </w:rPr>
        <w:footnoteReference w:id="13"/>
      </w:r>
      <w:r w:rsidR="009F1BDE">
        <w:rPr>
          <w:szCs w:val="24"/>
        </w:rPr>
        <w:t xml:space="preserve">, </w:t>
      </w:r>
      <w:r w:rsidR="007D1452">
        <w:rPr>
          <w:szCs w:val="24"/>
        </w:rPr>
        <w:t>z</w:t>
      </w:r>
      <w:r>
        <w:rPr>
          <w:szCs w:val="24"/>
        </w:rPr>
        <w:t xml:space="preserve"> </w:t>
      </w:r>
      <w:r w:rsidR="003120B5">
        <w:rPr>
          <w:szCs w:val="24"/>
        </w:rPr>
        <w:t>m</w:t>
      </w:r>
      <w:r>
        <w:rPr>
          <w:szCs w:val="24"/>
        </w:rPr>
        <w:t>etodických materiálů vztahujících se k jednotlivým programům</w:t>
      </w:r>
      <w:r w:rsidR="007D1452">
        <w:rPr>
          <w:szCs w:val="24"/>
        </w:rPr>
        <w:t xml:space="preserve"> a</w:t>
      </w:r>
      <w:r w:rsidR="001A3F8A">
        <w:rPr>
          <w:szCs w:val="24"/>
        </w:rPr>
        <w:t> </w:t>
      </w:r>
      <w:r w:rsidR="007D1452">
        <w:rPr>
          <w:szCs w:val="24"/>
        </w:rPr>
        <w:t>z rozhodnutí o poskytnutí dotace</w:t>
      </w:r>
      <w:r>
        <w:rPr>
          <w:szCs w:val="24"/>
        </w:rPr>
        <w:t>.</w:t>
      </w:r>
    </w:p>
    <w:p w14:paraId="4A2486D5" w14:textId="5C2C32A1" w:rsidR="007C63A5" w:rsidRPr="00C12600" w:rsidRDefault="00835D3F" w:rsidP="00C12600">
      <w:pPr>
        <w:widowControl/>
        <w:spacing w:after="120"/>
        <w:ind w:left="567" w:hanging="567"/>
        <w:rPr>
          <w:sz w:val="20"/>
        </w:rPr>
      </w:pPr>
      <w:r w:rsidRPr="00C12600">
        <w:rPr>
          <w:b/>
          <w:sz w:val="20"/>
        </w:rPr>
        <w:t xml:space="preserve">Pozn.: </w:t>
      </w:r>
      <w:r w:rsidR="00C12600">
        <w:rPr>
          <w:b/>
          <w:sz w:val="20"/>
        </w:rPr>
        <w:tab/>
      </w:r>
      <w:r w:rsidRPr="00C12600">
        <w:rPr>
          <w:sz w:val="20"/>
        </w:rPr>
        <w:t>Právní předpisy uvedené v tomto kontrolním závěru jsou aplikovány ve znění účinném pro kontrolované období.</w:t>
      </w:r>
    </w:p>
    <w:p w14:paraId="76557FBA" w14:textId="77777777" w:rsidR="006C54D7" w:rsidRDefault="00E620F7" w:rsidP="00FC602A">
      <w:pPr>
        <w:pStyle w:val="Nadpis1"/>
        <w:widowControl/>
      </w:pPr>
      <w:r>
        <w:lastRenderedPageBreak/>
        <w:t>Podrobné skutečnosti zjištěné kontrolou</w:t>
      </w:r>
    </w:p>
    <w:p w14:paraId="4912076B" w14:textId="023C7739" w:rsidR="00835D3F" w:rsidRDefault="00835D3F" w:rsidP="00FC602A">
      <w:pPr>
        <w:pStyle w:val="Nadpiskapitoly"/>
        <w:ind w:left="284" w:hanging="284"/>
      </w:pPr>
      <w:r w:rsidRPr="00835D3F">
        <w:t xml:space="preserve">Cíle </w:t>
      </w:r>
      <w:r w:rsidRPr="00C61E1A">
        <w:rPr>
          <w:i/>
        </w:rPr>
        <w:t>Národní strategie protidrogové politiky pro období 2010–2018</w:t>
      </w:r>
      <w:r w:rsidRPr="00835D3F">
        <w:t xml:space="preserve"> se </w:t>
      </w:r>
      <w:r w:rsidR="00D930F9" w:rsidRPr="00835D3F">
        <w:t xml:space="preserve">nepodařilo </w:t>
      </w:r>
      <w:r w:rsidRPr="00835D3F">
        <w:t xml:space="preserve">naplnit </w:t>
      </w:r>
    </w:p>
    <w:p w14:paraId="53B36FA8" w14:textId="7440138C" w:rsidR="00592A32" w:rsidRPr="0028558C" w:rsidRDefault="00592A32" w:rsidP="00FC602A">
      <w:pPr>
        <w:widowControl/>
      </w:pPr>
      <w:r w:rsidRPr="00C8737E">
        <w:t xml:space="preserve">Strategie 2018 </w:t>
      </w:r>
      <w:r w:rsidR="00713B21">
        <w:t xml:space="preserve">byla </w:t>
      </w:r>
      <w:r w:rsidRPr="00C8737E">
        <w:t>klíčovým koncepčním dokumentem vlády ČR a zároveň programovým vyjádřením záměrů a postupu vlády</w:t>
      </w:r>
      <w:r w:rsidR="0065439B">
        <w:t xml:space="preserve"> ČR</w:t>
      </w:r>
      <w:r w:rsidRPr="00C8737E">
        <w:t xml:space="preserve"> při řešení problému užívání návykových látek a problémového hráčství. Součástí </w:t>
      </w:r>
      <w:r w:rsidRPr="00592A32">
        <w:t>Strategie 2018</w:t>
      </w:r>
      <w:r w:rsidRPr="00C8737E">
        <w:t xml:space="preserve"> </w:t>
      </w:r>
      <w:r w:rsidR="00713B21">
        <w:t>byl</w:t>
      </w:r>
      <w:r w:rsidRPr="00C8737E">
        <w:t xml:space="preserve"> i soubor opatře</w:t>
      </w:r>
      <w:r w:rsidR="00713B21">
        <w:t xml:space="preserve">ní směřujících k dosažení cílů </w:t>
      </w:r>
      <w:r w:rsidRPr="00C8737E">
        <w:t>rozpracov</w:t>
      </w:r>
      <w:r w:rsidR="00713B21">
        <w:t>a</w:t>
      </w:r>
      <w:r w:rsidRPr="00C8737E">
        <w:t>n</w:t>
      </w:r>
      <w:r w:rsidR="00713B21">
        <w:t>ý dále</w:t>
      </w:r>
      <w:r w:rsidRPr="00C8737E">
        <w:t xml:space="preserve"> v akčních plánech realizace Strategie 2018 včetně vyčíslení</w:t>
      </w:r>
      <w:r w:rsidR="00713B21">
        <w:t xml:space="preserve">, resp. </w:t>
      </w:r>
      <w:r w:rsidRPr="00C8737E">
        <w:t>vymezení potřebných zdrojů pro jeho implementaci.</w:t>
      </w:r>
      <w:r w:rsidR="0065439B">
        <w:t xml:space="preserve"> </w:t>
      </w:r>
      <w:r w:rsidRPr="005A1773">
        <w:rPr>
          <w:b/>
        </w:rPr>
        <w:t>Pilíře a hlavní cíle protidrogové politiky do roku 2018 shrnuje následující tabulka.</w:t>
      </w:r>
    </w:p>
    <w:p w14:paraId="25CF6D6E" w14:textId="16B9D64E" w:rsidR="00592A32" w:rsidRPr="00D30553" w:rsidRDefault="00716EDD" w:rsidP="00716EDD">
      <w:pPr>
        <w:pStyle w:val="Nzevtabulky"/>
        <w:numPr>
          <w:ilvl w:val="0"/>
          <w:numId w:val="0"/>
        </w:numPr>
        <w:spacing w:before="240"/>
      </w:pPr>
      <w:r>
        <w:t xml:space="preserve">Tabulka č. 5: </w:t>
      </w:r>
      <w:r w:rsidR="00592A32" w:rsidRPr="00D30553">
        <w:t>Cíle a pilíře protidrogové politiky dle Strategie 2018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6"/>
        <w:gridCol w:w="2085"/>
        <w:gridCol w:w="1994"/>
        <w:gridCol w:w="2085"/>
        <w:gridCol w:w="2085"/>
      </w:tblGrid>
      <w:tr w:rsidR="00592A32" w:rsidRPr="00D30553" w14:paraId="25643119" w14:textId="77777777" w:rsidTr="00713B21">
        <w:trPr>
          <w:trHeight w:val="20"/>
        </w:trPr>
        <w:tc>
          <w:tcPr>
            <w:tcW w:w="450" w:type="pct"/>
            <w:shd w:val="clear" w:color="auto" w:fill="E5F1FF"/>
            <w:vAlign w:val="center"/>
          </w:tcPr>
          <w:p w14:paraId="21A5CFEF" w14:textId="77777777" w:rsidR="00592A32" w:rsidRPr="00D30553" w:rsidRDefault="00592A32" w:rsidP="00FC602A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1150" w:type="pct"/>
            <w:shd w:val="clear" w:color="auto" w:fill="E5F1FF"/>
            <w:vAlign w:val="center"/>
          </w:tcPr>
          <w:p w14:paraId="7126B56D" w14:textId="77777777" w:rsidR="00592A32" w:rsidRPr="00D30553" w:rsidRDefault="00592A32" w:rsidP="00FC602A">
            <w:pPr>
              <w:pStyle w:val="tabulka"/>
              <w:jc w:val="center"/>
              <w:rPr>
                <w:b/>
              </w:rPr>
            </w:pPr>
            <w:r w:rsidRPr="00D30553">
              <w:rPr>
                <w:b/>
              </w:rPr>
              <w:t>Cíl I.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750AF9E0" w14:textId="77777777" w:rsidR="00592A32" w:rsidRPr="00D30553" w:rsidRDefault="00592A32" w:rsidP="00FC602A">
            <w:pPr>
              <w:pStyle w:val="tabulka"/>
              <w:jc w:val="center"/>
              <w:rPr>
                <w:b/>
              </w:rPr>
            </w:pPr>
            <w:r w:rsidRPr="00D30553">
              <w:rPr>
                <w:b/>
              </w:rPr>
              <w:t>Cíl II.</w:t>
            </w:r>
          </w:p>
        </w:tc>
        <w:tc>
          <w:tcPr>
            <w:tcW w:w="1150" w:type="pct"/>
            <w:shd w:val="clear" w:color="auto" w:fill="E5F1FF"/>
            <w:vAlign w:val="center"/>
          </w:tcPr>
          <w:p w14:paraId="4120FA24" w14:textId="77777777" w:rsidR="00592A32" w:rsidRPr="00D30553" w:rsidRDefault="00592A32" w:rsidP="00FC602A">
            <w:pPr>
              <w:pStyle w:val="tabulka"/>
              <w:jc w:val="center"/>
              <w:rPr>
                <w:b/>
              </w:rPr>
            </w:pPr>
            <w:r w:rsidRPr="00D30553">
              <w:rPr>
                <w:b/>
              </w:rPr>
              <w:t>Cíl III.</w:t>
            </w:r>
          </w:p>
        </w:tc>
        <w:tc>
          <w:tcPr>
            <w:tcW w:w="1150" w:type="pct"/>
            <w:shd w:val="clear" w:color="auto" w:fill="E5F1FF"/>
            <w:vAlign w:val="center"/>
          </w:tcPr>
          <w:p w14:paraId="292902FB" w14:textId="77777777" w:rsidR="00592A32" w:rsidRPr="00D30553" w:rsidRDefault="00592A32" w:rsidP="00FC602A">
            <w:pPr>
              <w:pStyle w:val="tabulka"/>
              <w:jc w:val="center"/>
              <w:rPr>
                <w:b/>
              </w:rPr>
            </w:pPr>
            <w:r w:rsidRPr="00D30553">
              <w:rPr>
                <w:b/>
              </w:rPr>
              <w:t>Cíl IV.</w:t>
            </w:r>
          </w:p>
        </w:tc>
      </w:tr>
      <w:tr w:rsidR="00592A32" w:rsidRPr="0028558C" w14:paraId="75A371FC" w14:textId="77777777" w:rsidTr="00713B21">
        <w:trPr>
          <w:cantSplit/>
          <w:trHeight w:val="1134"/>
        </w:trPr>
        <w:tc>
          <w:tcPr>
            <w:tcW w:w="450" w:type="pct"/>
            <w:textDirection w:val="btLr"/>
            <w:vAlign w:val="center"/>
          </w:tcPr>
          <w:p w14:paraId="0FBC64BA" w14:textId="77777777" w:rsidR="00592A32" w:rsidRPr="004B0C19" w:rsidRDefault="00592A32" w:rsidP="00FC602A">
            <w:pPr>
              <w:pStyle w:val="tabulka"/>
              <w:ind w:left="113" w:right="113"/>
              <w:jc w:val="center"/>
              <w:rPr>
                <w:sz w:val="20"/>
              </w:rPr>
            </w:pPr>
            <w:r w:rsidRPr="004B0C19">
              <w:rPr>
                <w:sz w:val="20"/>
              </w:rPr>
              <w:t>Strategický cíl</w:t>
            </w:r>
          </w:p>
        </w:tc>
        <w:tc>
          <w:tcPr>
            <w:tcW w:w="1150" w:type="pct"/>
            <w:vAlign w:val="center"/>
          </w:tcPr>
          <w:p w14:paraId="4970E27A" w14:textId="5ECB9017" w:rsidR="00592A32" w:rsidRPr="0028558C" w:rsidRDefault="00592A32" w:rsidP="00C202B7">
            <w:pPr>
              <w:pStyle w:val="tabulka"/>
              <w:jc w:val="left"/>
            </w:pPr>
            <w:r>
              <w:t>S</w:t>
            </w:r>
            <w:r w:rsidRPr="0028558C">
              <w:t>nížit míru experimentálního a</w:t>
            </w:r>
            <w:r w:rsidR="00C202B7">
              <w:t> </w:t>
            </w:r>
            <w:r w:rsidRPr="0028558C">
              <w:t>příležitostného užívání návykových látek zejména mladými lidmi, snížit míru hazardního hraní mezi dětmi a</w:t>
            </w:r>
            <w:r w:rsidR="00C202B7">
              <w:t> </w:t>
            </w:r>
            <w:r w:rsidRPr="0028558C">
              <w:t>mládeží</w:t>
            </w:r>
          </w:p>
        </w:tc>
        <w:tc>
          <w:tcPr>
            <w:tcW w:w="1100" w:type="pct"/>
            <w:vAlign w:val="center"/>
          </w:tcPr>
          <w:p w14:paraId="0AAD30EC" w14:textId="03B3AD19" w:rsidR="00592A32" w:rsidRPr="0028558C" w:rsidRDefault="00592A32" w:rsidP="00C202B7">
            <w:pPr>
              <w:pStyle w:val="tabulka"/>
              <w:jc w:val="left"/>
            </w:pPr>
            <w:r>
              <w:t>S</w:t>
            </w:r>
            <w:r w:rsidRPr="0028558C">
              <w:t>nížit míru problémového a</w:t>
            </w:r>
            <w:r w:rsidR="00C202B7">
              <w:t> </w:t>
            </w:r>
            <w:r w:rsidRPr="0028558C">
              <w:t>intenzivního užívání návykových látek a</w:t>
            </w:r>
            <w:r w:rsidR="00C202B7">
              <w:t> </w:t>
            </w:r>
            <w:r w:rsidRPr="0028558C">
              <w:t>problémového hráčství</w:t>
            </w:r>
          </w:p>
        </w:tc>
        <w:tc>
          <w:tcPr>
            <w:tcW w:w="1150" w:type="pct"/>
            <w:vAlign w:val="center"/>
          </w:tcPr>
          <w:p w14:paraId="313A95F7" w14:textId="1F0441AB" w:rsidR="00592A32" w:rsidRPr="0028558C" w:rsidRDefault="00592A32" w:rsidP="00C202B7">
            <w:pPr>
              <w:pStyle w:val="tabulka"/>
              <w:jc w:val="left"/>
            </w:pPr>
            <w:r>
              <w:t>S</w:t>
            </w:r>
            <w:r w:rsidRPr="0028558C">
              <w:t>nížit potenciální rizika spojená s</w:t>
            </w:r>
            <w:r w:rsidR="00C202B7">
              <w:t> </w:t>
            </w:r>
            <w:r w:rsidRPr="0028558C">
              <w:t xml:space="preserve">užíváním návykových látek </w:t>
            </w:r>
            <w:r w:rsidR="00C202B7">
              <w:br/>
            </w:r>
            <w:r w:rsidRPr="0028558C">
              <w:t>a s problémovým hráčstvím pro jedince a společnost</w:t>
            </w:r>
          </w:p>
        </w:tc>
        <w:tc>
          <w:tcPr>
            <w:tcW w:w="1150" w:type="pct"/>
            <w:vAlign w:val="center"/>
          </w:tcPr>
          <w:p w14:paraId="2F980278" w14:textId="77777777" w:rsidR="00592A32" w:rsidRPr="0028558C" w:rsidRDefault="00592A32" w:rsidP="00FC602A">
            <w:pPr>
              <w:pStyle w:val="tabulka"/>
              <w:jc w:val="left"/>
            </w:pPr>
            <w:r>
              <w:t>S</w:t>
            </w:r>
            <w:r w:rsidRPr="0028558C">
              <w:t>nížit dostupnost návykových látek zejména pro mladé lidi, posílit zákonnou regulaci hazardního hraní</w:t>
            </w:r>
          </w:p>
        </w:tc>
      </w:tr>
      <w:tr w:rsidR="00592A32" w:rsidRPr="0028558C" w14:paraId="19C714C1" w14:textId="77777777" w:rsidTr="00713B21">
        <w:trPr>
          <w:cantSplit/>
          <w:trHeight w:val="1134"/>
        </w:trPr>
        <w:tc>
          <w:tcPr>
            <w:tcW w:w="450" w:type="pct"/>
            <w:textDirection w:val="btLr"/>
            <w:vAlign w:val="center"/>
          </w:tcPr>
          <w:p w14:paraId="1A58B9D3" w14:textId="77777777" w:rsidR="00592A32" w:rsidRPr="004B0C19" w:rsidRDefault="00592A32" w:rsidP="00FC602A">
            <w:pPr>
              <w:pStyle w:val="tabulka"/>
              <w:ind w:left="113" w:right="113"/>
              <w:jc w:val="center"/>
              <w:rPr>
                <w:sz w:val="20"/>
              </w:rPr>
            </w:pPr>
            <w:r w:rsidRPr="004B0C19">
              <w:rPr>
                <w:sz w:val="20"/>
              </w:rPr>
              <w:t>Pilíře protidrogové politiky</w:t>
            </w:r>
          </w:p>
        </w:tc>
        <w:tc>
          <w:tcPr>
            <w:tcW w:w="1150" w:type="pct"/>
            <w:vAlign w:val="center"/>
          </w:tcPr>
          <w:p w14:paraId="58DD8F12" w14:textId="77777777" w:rsidR="00592A32" w:rsidRPr="0028558C" w:rsidRDefault="00592A32" w:rsidP="00FC602A">
            <w:pPr>
              <w:pStyle w:val="tabulka"/>
              <w:jc w:val="left"/>
            </w:pPr>
            <w:r>
              <w:t>P</w:t>
            </w:r>
            <w:r w:rsidRPr="0028558C">
              <w:t>rimární prevence</w:t>
            </w:r>
          </w:p>
        </w:tc>
        <w:tc>
          <w:tcPr>
            <w:tcW w:w="1100" w:type="pct"/>
            <w:vAlign w:val="center"/>
          </w:tcPr>
          <w:p w14:paraId="46C680F4" w14:textId="77777777" w:rsidR="00592A32" w:rsidRPr="0028558C" w:rsidRDefault="00592A32" w:rsidP="00FC602A">
            <w:pPr>
              <w:pStyle w:val="tabulka"/>
              <w:jc w:val="left"/>
            </w:pPr>
            <w:r>
              <w:t>L</w:t>
            </w:r>
            <w:r w:rsidRPr="0028558C">
              <w:t>éčba a sociální začleňování</w:t>
            </w:r>
          </w:p>
        </w:tc>
        <w:tc>
          <w:tcPr>
            <w:tcW w:w="1150" w:type="pct"/>
            <w:vAlign w:val="center"/>
          </w:tcPr>
          <w:p w14:paraId="484DDB32" w14:textId="77777777" w:rsidR="00592A32" w:rsidRPr="0028558C" w:rsidRDefault="00592A32" w:rsidP="00FC602A">
            <w:pPr>
              <w:pStyle w:val="tabulka"/>
              <w:jc w:val="left"/>
            </w:pPr>
            <w:r>
              <w:t>S</w:t>
            </w:r>
            <w:r w:rsidRPr="0028558C">
              <w:t>nižování rizik</w:t>
            </w:r>
          </w:p>
        </w:tc>
        <w:tc>
          <w:tcPr>
            <w:tcW w:w="1150" w:type="pct"/>
            <w:vAlign w:val="center"/>
          </w:tcPr>
          <w:p w14:paraId="6DDEDCBC" w14:textId="01580FB2" w:rsidR="00592A32" w:rsidRPr="0028558C" w:rsidRDefault="00592A32" w:rsidP="00C202B7">
            <w:pPr>
              <w:pStyle w:val="tabulka"/>
              <w:jc w:val="left"/>
            </w:pPr>
            <w:r>
              <w:t>S</w:t>
            </w:r>
            <w:r w:rsidRPr="0028558C">
              <w:t>nižování dostupnosti návykových látek a</w:t>
            </w:r>
            <w:r w:rsidR="00C202B7">
              <w:t> </w:t>
            </w:r>
            <w:r w:rsidRPr="0028558C">
              <w:t>rizikovosti hazardních her</w:t>
            </w:r>
          </w:p>
        </w:tc>
      </w:tr>
    </w:tbl>
    <w:p w14:paraId="0573FEB8" w14:textId="77777777" w:rsidR="00592A32" w:rsidRDefault="00592A32" w:rsidP="00FC602A">
      <w:pPr>
        <w:pStyle w:val="Poznmka"/>
      </w:pPr>
      <w:r w:rsidRPr="005A1773">
        <w:rPr>
          <w:b/>
          <w:i/>
        </w:rPr>
        <w:t>Zdroj:</w:t>
      </w:r>
      <w:r>
        <w:tab/>
      </w:r>
      <w:r w:rsidRPr="00C61E1A">
        <w:rPr>
          <w:i/>
        </w:rPr>
        <w:t>Národní strategie protidrogové politiky na období 2010 až 2018</w:t>
      </w:r>
      <w:r>
        <w:t>.</w:t>
      </w:r>
    </w:p>
    <w:p w14:paraId="4DFF7AB6" w14:textId="77777777" w:rsidR="00117C86" w:rsidRDefault="00592A32" w:rsidP="00FC602A">
      <w:pPr>
        <w:widowControl/>
        <w:spacing w:after="120"/>
      </w:pPr>
      <w:r w:rsidRPr="00574828">
        <w:t>Jednotlivým cílům Strategie 2018 nebyly přiřazeny žádné indikátory plnění či způsoby vyhodnocování jejich</w:t>
      </w:r>
      <w:r>
        <w:t xml:space="preserve"> naplňování</w:t>
      </w:r>
      <w:r w:rsidR="00117C86">
        <w:t>.</w:t>
      </w:r>
    </w:p>
    <w:p w14:paraId="5D1375DA" w14:textId="13CE12A2" w:rsidR="00592A32" w:rsidRDefault="00592A32" w:rsidP="00FC602A">
      <w:pPr>
        <w:widowControl/>
      </w:pPr>
      <w:r w:rsidRPr="007C3CA3">
        <w:t xml:space="preserve">Strategie 2018 byla rozvíjena celkem šesti tematickými akčními plány </w:t>
      </w:r>
      <w:r w:rsidR="001F6994">
        <w:t>(</w:t>
      </w:r>
      <w:r w:rsidRPr="007C3CA3">
        <w:t>pro problematiku nelegálních drog, hazardního hraní, alkoholu a tabáku</w:t>
      </w:r>
      <w:r w:rsidR="001F6994">
        <w:t>)</w:t>
      </w:r>
      <w:r w:rsidRPr="007C3CA3">
        <w:t>, které sloužily jako nástroj implementace definující cíle, zdroje, odpovědnosti, aktivity a časové rámce.</w:t>
      </w:r>
      <w:r>
        <w:t xml:space="preserve"> ÚV ČR vypracov</w:t>
      </w:r>
      <w:r w:rsidR="00117C86">
        <w:t>al</w:t>
      </w:r>
      <w:r>
        <w:t xml:space="preserve"> čtyři souhrnné</w:t>
      </w:r>
      <w:r w:rsidR="00DD0B56">
        <w:t xml:space="preserve"> hodnot</w:t>
      </w:r>
      <w:r w:rsidR="001F6994">
        <w:t>í</w:t>
      </w:r>
      <w:r w:rsidR="00DD0B56">
        <w:t>cí</w:t>
      </w:r>
      <w:r>
        <w:t xml:space="preserve"> zprávy</w:t>
      </w:r>
      <w:r w:rsidRPr="00B02F16">
        <w:t xml:space="preserve"> k akčním plánům realizace </w:t>
      </w:r>
      <w:r>
        <w:t xml:space="preserve">Strategie </w:t>
      </w:r>
      <w:r w:rsidRPr="00B02F16">
        <w:t>2018</w:t>
      </w:r>
      <w:r w:rsidR="000C2477">
        <w:t>, jež byly v jeho gesci</w:t>
      </w:r>
      <w:r w:rsidRPr="00B02F16">
        <w:t>.</w:t>
      </w:r>
      <w:r>
        <w:t xml:space="preserve"> </w:t>
      </w:r>
      <w:r w:rsidR="00DD0B56">
        <w:t>MZ vypracovalo jeden hodnot</w:t>
      </w:r>
      <w:r w:rsidR="001F6994">
        <w:t>í</w:t>
      </w:r>
      <w:r w:rsidR="00DD0B56">
        <w:t>cí dokument k </w:t>
      </w:r>
      <w:r w:rsidR="000C2477" w:rsidRPr="00C61E1A">
        <w:rPr>
          <w:i/>
        </w:rPr>
        <w:t>Akčnímu plánu pro oblast kontroly tabáku v České republice na období 2015 až 2018</w:t>
      </w:r>
      <w:r w:rsidR="00DD0B56">
        <w:t>.</w:t>
      </w:r>
      <w:r w:rsidR="00104B5A">
        <w:t xml:space="preserve"> Souhrnné hodnocení k </w:t>
      </w:r>
      <w:r w:rsidR="000C2477" w:rsidRPr="00C61E1A">
        <w:rPr>
          <w:i/>
        </w:rPr>
        <w:t>Akčnímu plánu k omezení škod působených alkoholem v České republice pro období 2015 až 2018</w:t>
      </w:r>
      <w:r w:rsidR="00104B5A">
        <w:t xml:space="preserve"> Ministerstvo zdravotnictví, do jehož gesce tento akční plán spadá, nezpracovalo.</w:t>
      </w:r>
      <w:r w:rsidR="00DD0B56">
        <w:t xml:space="preserve"> </w:t>
      </w:r>
      <w:r w:rsidRPr="007550DC">
        <w:t>Celkové vyhodnocení plnění úkolů/aktivit jednotlivých akčních plánů</w:t>
      </w:r>
      <w:r>
        <w:t xml:space="preserve"> shrnuje následující tabulka.</w:t>
      </w:r>
    </w:p>
    <w:p w14:paraId="4E9D0EF3" w14:textId="4FCF973C" w:rsidR="00592A32" w:rsidRPr="00D30553" w:rsidRDefault="00716EDD" w:rsidP="00716EDD">
      <w:pPr>
        <w:pStyle w:val="Nzevtabulky"/>
        <w:numPr>
          <w:ilvl w:val="0"/>
          <w:numId w:val="0"/>
        </w:numPr>
        <w:spacing w:before="240"/>
      </w:pPr>
      <w:r>
        <w:lastRenderedPageBreak/>
        <w:t xml:space="preserve">Tabulka č. 6: </w:t>
      </w:r>
      <w:r w:rsidR="00592A32" w:rsidRPr="00D30553">
        <w:t>Celkové vyhodnocení plnění úkolů/aktivit jednotlivých akčních plánů</w:t>
      </w:r>
    </w:p>
    <w:tbl>
      <w:tblPr>
        <w:tblStyle w:val="Mkatabulky"/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3051"/>
        <w:gridCol w:w="1074"/>
        <w:gridCol w:w="1347"/>
        <w:gridCol w:w="1345"/>
        <w:gridCol w:w="1410"/>
        <w:gridCol w:w="838"/>
        <w:gridCol w:w="9"/>
      </w:tblGrid>
      <w:tr w:rsidR="00FA0759" w:rsidRPr="00DE31F3" w14:paraId="79D9A9E7" w14:textId="77777777" w:rsidTr="00FA0759">
        <w:trPr>
          <w:trHeight w:val="20"/>
          <w:jc w:val="center"/>
        </w:trPr>
        <w:tc>
          <w:tcPr>
            <w:tcW w:w="1681" w:type="pct"/>
            <w:vMerge w:val="restart"/>
            <w:shd w:val="clear" w:color="auto" w:fill="E5F1FF"/>
            <w:vAlign w:val="center"/>
          </w:tcPr>
          <w:p w14:paraId="7A53698C" w14:textId="77777777" w:rsidR="00182DE7" w:rsidRPr="00DE31F3" w:rsidRDefault="00182DE7" w:rsidP="00FC602A">
            <w:pPr>
              <w:pStyle w:val="tabulka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Akční plán</w:t>
            </w:r>
          </w:p>
        </w:tc>
        <w:tc>
          <w:tcPr>
            <w:tcW w:w="592" w:type="pct"/>
            <w:vMerge w:val="restart"/>
            <w:shd w:val="clear" w:color="auto" w:fill="E5F1FF"/>
            <w:vAlign w:val="center"/>
          </w:tcPr>
          <w:p w14:paraId="3389B0F1" w14:textId="06A32EF3" w:rsidR="00182DE7" w:rsidRPr="00DE31F3" w:rsidRDefault="00182DE7" w:rsidP="00FC602A">
            <w:pPr>
              <w:pStyle w:val="tabulk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Gestor</w:t>
            </w:r>
          </w:p>
        </w:tc>
        <w:tc>
          <w:tcPr>
            <w:tcW w:w="2727" w:type="pct"/>
            <w:gridSpan w:val="5"/>
            <w:shd w:val="clear" w:color="auto" w:fill="E5F1FF"/>
            <w:vAlign w:val="center"/>
          </w:tcPr>
          <w:p w14:paraId="6D0527ED" w14:textId="693F115B" w:rsidR="00182DE7" w:rsidRPr="00DE31F3" w:rsidRDefault="00182DE7" w:rsidP="00FC602A">
            <w:pPr>
              <w:pStyle w:val="tabulka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Počet úkolů/aktivit</w:t>
            </w:r>
          </w:p>
        </w:tc>
      </w:tr>
      <w:tr w:rsidR="00FA0759" w:rsidRPr="00DE31F3" w14:paraId="6D4299B3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Merge/>
            <w:shd w:val="clear" w:color="auto" w:fill="E5F1FF"/>
            <w:vAlign w:val="center"/>
          </w:tcPr>
          <w:p w14:paraId="2E57F808" w14:textId="77777777" w:rsidR="00182DE7" w:rsidRPr="00DE31F3" w:rsidRDefault="00182DE7" w:rsidP="00FC602A">
            <w:pPr>
              <w:pStyle w:val="tabulka"/>
              <w:jc w:val="center"/>
              <w:rPr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E5F1FF"/>
            <w:vAlign w:val="center"/>
          </w:tcPr>
          <w:p w14:paraId="2DCEA22F" w14:textId="77777777" w:rsidR="00182DE7" w:rsidRPr="00DE31F3" w:rsidRDefault="00182DE7" w:rsidP="00FC602A">
            <w:pPr>
              <w:pStyle w:val="tabulka"/>
              <w:jc w:val="center"/>
              <w:rPr>
                <w:b/>
                <w:sz w:val="20"/>
              </w:rPr>
            </w:pPr>
          </w:p>
        </w:tc>
        <w:tc>
          <w:tcPr>
            <w:tcW w:w="742" w:type="pct"/>
            <w:shd w:val="clear" w:color="auto" w:fill="E5F1FF"/>
            <w:vAlign w:val="center"/>
          </w:tcPr>
          <w:p w14:paraId="7FD32125" w14:textId="4455E212" w:rsidR="00182DE7" w:rsidRPr="00DE31F3" w:rsidRDefault="00182DE7" w:rsidP="00FA0759">
            <w:pPr>
              <w:pStyle w:val="tabulka"/>
              <w:spacing w:after="60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Splněno</w:t>
            </w:r>
          </w:p>
        </w:tc>
        <w:tc>
          <w:tcPr>
            <w:tcW w:w="741" w:type="pct"/>
            <w:shd w:val="clear" w:color="auto" w:fill="E5F1FF"/>
            <w:vAlign w:val="center"/>
          </w:tcPr>
          <w:p w14:paraId="61AB8B44" w14:textId="77777777" w:rsidR="00182DE7" w:rsidRPr="00DE31F3" w:rsidRDefault="00182DE7" w:rsidP="00FA0759">
            <w:pPr>
              <w:pStyle w:val="tabulka"/>
              <w:spacing w:after="60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Částečně splněno</w:t>
            </w:r>
          </w:p>
        </w:tc>
        <w:tc>
          <w:tcPr>
            <w:tcW w:w="777" w:type="pct"/>
            <w:shd w:val="clear" w:color="auto" w:fill="E5F1FF"/>
            <w:vAlign w:val="center"/>
          </w:tcPr>
          <w:p w14:paraId="0D0A8F3D" w14:textId="77777777" w:rsidR="00182DE7" w:rsidRPr="00DE31F3" w:rsidRDefault="00182DE7" w:rsidP="00FA0759">
            <w:pPr>
              <w:pStyle w:val="tabulka"/>
              <w:spacing w:after="60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Nesplněno/ nehodnoceno</w:t>
            </w:r>
          </w:p>
        </w:tc>
        <w:tc>
          <w:tcPr>
            <w:tcW w:w="462" w:type="pct"/>
            <w:shd w:val="clear" w:color="auto" w:fill="E5F1FF"/>
            <w:vAlign w:val="center"/>
          </w:tcPr>
          <w:p w14:paraId="6925E156" w14:textId="77777777" w:rsidR="00182DE7" w:rsidRPr="00DE31F3" w:rsidRDefault="00182DE7" w:rsidP="00FA0759">
            <w:pPr>
              <w:pStyle w:val="tabulka"/>
              <w:spacing w:after="60"/>
              <w:jc w:val="center"/>
              <w:rPr>
                <w:b/>
                <w:sz w:val="20"/>
              </w:rPr>
            </w:pPr>
            <w:r w:rsidRPr="00DE31F3">
              <w:rPr>
                <w:b/>
                <w:sz w:val="20"/>
              </w:rPr>
              <w:t>Celkem</w:t>
            </w:r>
          </w:p>
        </w:tc>
      </w:tr>
      <w:tr w:rsidR="00FA0759" w:rsidRPr="00DE31F3" w14:paraId="442F7921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2F0F52BA" w14:textId="77777777" w:rsidR="00182DE7" w:rsidRPr="00DE31F3" w:rsidRDefault="00182DE7" w:rsidP="00FC602A">
            <w:pPr>
              <w:pStyle w:val="tabulka"/>
              <w:jc w:val="left"/>
              <w:rPr>
                <w:sz w:val="20"/>
              </w:rPr>
            </w:pPr>
            <w:r w:rsidRPr="00DE31F3">
              <w:rPr>
                <w:sz w:val="20"/>
              </w:rPr>
              <w:t>Akční plán 2010–2012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45E2A228" w14:textId="2C3DBED1" w:rsidR="00182DE7" w:rsidRPr="00DE31F3" w:rsidRDefault="00182DE7" w:rsidP="00FC602A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</w:rPr>
              <w:t>ÚV ČR</w:t>
            </w:r>
          </w:p>
        </w:tc>
        <w:tc>
          <w:tcPr>
            <w:tcW w:w="742" w:type="pct"/>
            <w:shd w:val="clear" w:color="auto" w:fill="92D050"/>
            <w:vAlign w:val="center"/>
          </w:tcPr>
          <w:p w14:paraId="79E57638" w14:textId="6B30B026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109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72F53B93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34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44FB72B5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42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7D6C70C7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185</w:t>
            </w:r>
          </w:p>
        </w:tc>
      </w:tr>
      <w:tr w:rsidR="00FA0759" w:rsidRPr="00DE31F3" w14:paraId="5B02B373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6C46C41F" w14:textId="77777777" w:rsidR="00182DE7" w:rsidRPr="00DE31F3" w:rsidRDefault="00182DE7" w:rsidP="00FC602A">
            <w:pPr>
              <w:pStyle w:val="tabulka"/>
              <w:jc w:val="left"/>
              <w:rPr>
                <w:sz w:val="20"/>
              </w:rPr>
            </w:pPr>
            <w:r w:rsidRPr="00DE31F3">
              <w:rPr>
                <w:sz w:val="20"/>
              </w:rPr>
              <w:t>Akční plán 2013–2015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4C6EEE19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</w:p>
        </w:tc>
        <w:tc>
          <w:tcPr>
            <w:tcW w:w="742" w:type="pct"/>
            <w:shd w:val="clear" w:color="auto" w:fill="92D050"/>
            <w:vAlign w:val="center"/>
          </w:tcPr>
          <w:p w14:paraId="71DED0FF" w14:textId="2273B838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56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0C04AAAB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26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2A14287B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18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261BFA9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100</w:t>
            </w:r>
          </w:p>
        </w:tc>
      </w:tr>
      <w:tr w:rsidR="00FA0759" w:rsidRPr="00DE31F3" w14:paraId="38157A7B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11AB22B0" w14:textId="77777777" w:rsidR="00182DE7" w:rsidRPr="00DE31F3" w:rsidRDefault="00182DE7" w:rsidP="00FC602A">
            <w:pPr>
              <w:pStyle w:val="tabulka"/>
              <w:jc w:val="left"/>
              <w:rPr>
                <w:sz w:val="20"/>
              </w:rPr>
            </w:pPr>
            <w:r w:rsidRPr="00DE31F3">
              <w:rPr>
                <w:sz w:val="20"/>
              </w:rPr>
              <w:t>Akční plán 2015–2018 pro oblast hazardního hraní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5F575F45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</w:p>
        </w:tc>
        <w:tc>
          <w:tcPr>
            <w:tcW w:w="742" w:type="pct"/>
            <w:shd w:val="clear" w:color="auto" w:fill="92D050"/>
            <w:vAlign w:val="center"/>
          </w:tcPr>
          <w:p w14:paraId="6D5E8098" w14:textId="56B0FFEF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40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5D782C12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11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663F9B42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13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1342252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64</w:t>
            </w:r>
          </w:p>
        </w:tc>
      </w:tr>
      <w:tr w:rsidR="00FA0759" w:rsidRPr="00DE31F3" w14:paraId="7B3C967A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2B08A098" w14:textId="77777777" w:rsidR="00182DE7" w:rsidRPr="00DE31F3" w:rsidRDefault="00182DE7" w:rsidP="00FC602A">
            <w:pPr>
              <w:pStyle w:val="tabulka"/>
              <w:jc w:val="left"/>
              <w:rPr>
                <w:sz w:val="20"/>
              </w:rPr>
            </w:pPr>
            <w:r w:rsidRPr="00DE31F3">
              <w:rPr>
                <w:sz w:val="20"/>
              </w:rPr>
              <w:t>Akční plán 2016–2018 v oblasti nelegálních návykových látek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24303DA9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</w:p>
        </w:tc>
        <w:tc>
          <w:tcPr>
            <w:tcW w:w="742" w:type="pct"/>
            <w:shd w:val="clear" w:color="auto" w:fill="92D050"/>
            <w:vAlign w:val="center"/>
          </w:tcPr>
          <w:p w14:paraId="0505ADE1" w14:textId="35EEC60A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63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45EC4F3A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24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15A850A5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15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752A84FB" w14:textId="77777777" w:rsidR="00182DE7" w:rsidRPr="00DE31F3" w:rsidRDefault="00182DE7" w:rsidP="00FC602A">
            <w:pPr>
              <w:pStyle w:val="tabulka"/>
              <w:jc w:val="right"/>
              <w:rPr>
                <w:sz w:val="20"/>
              </w:rPr>
            </w:pPr>
            <w:r w:rsidRPr="00DE31F3">
              <w:rPr>
                <w:sz w:val="20"/>
              </w:rPr>
              <w:t>102</w:t>
            </w:r>
          </w:p>
        </w:tc>
      </w:tr>
      <w:tr w:rsidR="00FA0759" w:rsidRPr="00DE31F3" w14:paraId="5B494810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14929FB5" w14:textId="3238E643" w:rsidR="00FA0759" w:rsidRPr="000C2477" w:rsidRDefault="00FA0759" w:rsidP="00FC602A">
            <w:pPr>
              <w:pStyle w:val="tabulka"/>
              <w:jc w:val="left"/>
              <w:rPr>
                <w:sz w:val="20"/>
              </w:rPr>
            </w:pPr>
            <w:r w:rsidRPr="000C2477">
              <w:rPr>
                <w:sz w:val="20"/>
              </w:rPr>
              <w:t>Akční plán pro oblast kontroly tabáku</w:t>
            </w:r>
            <w:r>
              <w:rPr>
                <w:sz w:val="20"/>
              </w:rPr>
              <w:t xml:space="preserve"> </w:t>
            </w:r>
            <w:r w:rsidRPr="000C2477">
              <w:rPr>
                <w:sz w:val="20"/>
              </w:rPr>
              <w:t>v České republice</w:t>
            </w:r>
          </w:p>
          <w:p w14:paraId="5E65CBEA" w14:textId="0CAFFB3D" w:rsidR="00FA0759" w:rsidRPr="00DE31F3" w:rsidRDefault="00FA0759" w:rsidP="00FC602A">
            <w:pPr>
              <w:pStyle w:val="tabulka"/>
              <w:jc w:val="left"/>
              <w:rPr>
                <w:sz w:val="20"/>
              </w:rPr>
            </w:pPr>
            <w:r w:rsidRPr="000C2477">
              <w:rPr>
                <w:sz w:val="20"/>
              </w:rPr>
              <w:t>na období 2015 až 2018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26BFD034" w14:textId="1E7F2807" w:rsidR="00FA0759" w:rsidRDefault="00FA0759" w:rsidP="00FC602A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</w:rPr>
              <w:t>MZ</w:t>
            </w:r>
          </w:p>
        </w:tc>
        <w:tc>
          <w:tcPr>
            <w:tcW w:w="742" w:type="pct"/>
            <w:shd w:val="clear" w:color="auto" w:fill="92D050"/>
            <w:vAlign w:val="center"/>
          </w:tcPr>
          <w:p w14:paraId="024CCB1E" w14:textId="69BA2F91" w:rsidR="00FA0759" w:rsidRPr="00DE31F3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57190215" w14:textId="77777777" w:rsidR="00FA0759" w:rsidRPr="00DE31F3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7571C4B5" w14:textId="77777777" w:rsidR="00FA0759" w:rsidRPr="00DE31F3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89445DF" w14:textId="77777777" w:rsidR="00FA0759" w:rsidRPr="00DE31F3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A0759" w:rsidRPr="00DE31F3" w14:paraId="07156E45" w14:textId="77777777" w:rsidTr="00FA0759">
        <w:trPr>
          <w:gridAfter w:val="1"/>
          <w:wAfter w:w="5" w:type="pct"/>
          <w:trHeight w:val="20"/>
          <w:jc w:val="center"/>
        </w:trPr>
        <w:tc>
          <w:tcPr>
            <w:tcW w:w="1681" w:type="pct"/>
            <w:vAlign w:val="center"/>
          </w:tcPr>
          <w:p w14:paraId="255E75AA" w14:textId="5646073C" w:rsidR="00FA0759" w:rsidRDefault="00FA0759" w:rsidP="00FC602A">
            <w:pPr>
              <w:pStyle w:val="tabulka"/>
              <w:jc w:val="left"/>
              <w:rPr>
                <w:sz w:val="20"/>
              </w:rPr>
            </w:pPr>
            <w:r w:rsidRPr="001C5924">
              <w:rPr>
                <w:sz w:val="20"/>
              </w:rPr>
              <w:t xml:space="preserve">Akční plán k omezení škod působených alkoholem </w:t>
            </w:r>
            <w:r w:rsidRPr="000C2477">
              <w:rPr>
                <w:sz w:val="20"/>
              </w:rPr>
              <w:t>v České republice</w:t>
            </w:r>
            <w:r w:rsidRPr="001C5924" w:rsidDel="000C2477">
              <w:rPr>
                <w:sz w:val="20"/>
              </w:rPr>
              <w:t xml:space="preserve"> </w:t>
            </w:r>
            <w:r w:rsidRPr="001C5924">
              <w:rPr>
                <w:sz w:val="20"/>
              </w:rPr>
              <w:t>pro období 2015 až 2018</w:t>
            </w:r>
          </w:p>
        </w:tc>
        <w:tc>
          <w:tcPr>
            <w:tcW w:w="592" w:type="pct"/>
            <w:vMerge/>
            <w:shd w:val="clear" w:color="auto" w:fill="auto"/>
          </w:tcPr>
          <w:p w14:paraId="37D22225" w14:textId="77777777" w:rsidR="00FA0759" w:rsidRDefault="00FA0759" w:rsidP="00FC602A">
            <w:pPr>
              <w:pStyle w:val="tabulka"/>
              <w:jc w:val="right"/>
              <w:rPr>
                <w:sz w:val="20"/>
              </w:rPr>
            </w:pPr>
          </w:p>
        </w:tc>
        <w:tc>
          <w:tcPr>
            <w:tcW w:w="742" w:type="pct"/>
            <w:shd w:val="clear" w:color="auto" w:fill="92D050"/>
            <w:vAlign w:val="center"/>
          </w:tcPr>
          <w:p w14:paraId="33D4CB28" w14:textId="27A31E67" w:rsidR="00FA0759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741" w:type="pct"/>
            <w:shd w:val="clear" w:color="auto" w:fill="FFC000"/>
            <w:vAlign w:val="center"/>
          </w:tcPr>
          <w:p w14:paraId="0582938E" w14:textId="77777777" w:rsidR="00FA0759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777" w:type="pct"/>
            <w:shd w:val="clear" w:color="auto" w:fill="FF0000"/>
            <w:vAlign w:val="center"/>
          </w:tcPr>
          <w:p w14:paraId="7D634FC7" w14:textId="77777777" w:rsidR="00FA0759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5F8710A" w14:textId="77777777" w:rsidR="00FA0759" w:rsidRDefault="00FA0759" w:rsidP="00FC602A">
            <w:pPr>
              <w:pStyle w:val="tabulka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 w14:paraId="5C33F42D" w14:textId="63AD863C" w:rsidR="00592A32" w:rsidRDefault="00592A32" w:rsidP="00FC602A">
      <w:pPr>
        <w:pStyle w:val="Poznmka"/>
      </w:pPr>
      <w:r w:rsidRPr="00117C86">
        <w:rPr>
          <w:b/>
          <w:i/>
        </w:rPr>
        <w:t>Zdroj:</w:t>
      </w:r>
      <w:r>
        <w:tab/>
      </w:r>
      <w:r w:rsidR="00FE7090">
        <w:t>s</w:t>
      </w:r>
      <w:r>
        <w:t>ouhrnné zprávy o plnění jednotlivých akčních plánů pro implementaci Strategie 2018.</w:t>
      </w:r>
    </w:p>
    <w:p w14:paraId="7EF3F00F" w14:textId="1303A8E5" w:rsidR="00182DE7" w:rsidRDefault="00592A32" w:rsidP="00FC602A">
      <w:pPr>
        <w:widowControl/>
        <w:spacing w:after="120"/>
      </w:pPr>
      <w:r w:rsidRPr="008D0D31">
        <w:t>Celkově byly úkoly a aktivity</w:t>
      </w:r>
      <w:r w:rsidRPr="00C27493">
        <w:t xml:space="preserve"> stanovené </w:t>
      </w:r>
      <w:r w:rsidR="00182DE7">
        <w:t xml:space="preserve">čtyřmi </w:t>
      </w:r>
      <w:r w:rsidRPr="00C27493">
        <w:t xml:space="preserve">akčními plány, které </w:t>
      </w:r>
      <w:r>
        <w:t xml:space="preserve">jsou </w:t>
      </w:r>
      <w:r w:rsidRPr="00B103CE">
        <w:rPr>
          <w:b/>
        </w:rPr>
        <w:t>v gesci ÚV ČR</w:t>
      </w:r>
      <w:r w:rsidRPr="00C61E1A">
        <w:rPr>
          <w:b/>
        </w:rPr>
        <w:t>,</w:t>
      </w:r>
      <w:r>
        <w:t xml:space="preserve"> plněny na</w:t>
      </w:r>
      <w:r w:rsidR="008D0D31">
        <w:t xml:space="preserve"> </w:t>
      </w:r>
      <w:r>
        <w:t>59,4 %.</w:t>
      </w:r>
      <w:r w:rsidRPr="00C27493">
        <w:t xml:space="preserve"> </w:t>
      </w:r>
      <w:r w:rsidRPr="005A1773">
        <w:rPr>
          <w:b/>
        </w:rPr>
        <w:t>Z 21,1 % byly splněny pouze částečně a z 19,5 % nebyly splněny vůbec.</w:t>
      </w:r>
      <w:r w:rsidRPr="00C27493">
        <w:t xml:space="preserve"> </w:t>
      </w:r>
    </w:p>
    <w:p w14:paraId="502B5B82" w14:textId="4DCCCE93" w:rsidR="00DD0B56" w:rsidRPr="00831AE6" w:rsidRDefault="00DD0B56" w:rsidP="00C61E1A">
      <w:pPr>
        <w:pStyle w:val="tabulka"/>
        <w:spacing w:after="120"/>
        <w:rPr>
          <w:szCs w:val="24"/>
        </w:rPr>
      </w:pPr>
      <w:r w:rsidRPr="00C61E1A">
        <w:rPr>
          <w:sz w:val="24"/>
          <w:szCs w:val="24"/>
        </w:rPr>
        <w:t xml:space="preserve">Z celkových 56 </w:t>
      </w:r>
      <w:r w:rsidR="001C5924" w:rsidRPr="00C61E1A">
        <w:rPr>
          <w:sz w:val="24"/>
          <w:szCs w:val="24"/>
        </w:rPr>
        <w:t xml:space="preserve">aktivit </w:t>
      </w:r>
      <w:r w:rsidRPr="00C61E1A">
        <w:rPr>
          <w:sz w:val="24"/>
          <w:szCs w:val="24"/>
        </w:rPr>
        <w:t xml:space="preserve">naplánovaných </w:t>
      </w:r>
      <w:r w:rsidRPr="00C61E1A">
        <w:rPr>
          <w:i/>
          <w:sz w:val="24"/>
          <w:szCs w:val="24"/>
        </w:rPr>
        <w:t>Akčním plánem pro oblast kontroly tabáku</w:t>
      </w:r>
      <w:r w:rsidR="008D0D31" w:rsidRPr="00C61E1A">
        <w:rPr>
          <w:i/>
          <w:sz w:val="24"/>
          <w:szCs w:val="24"/>
        </w:rPr>
        <w:t xml:space="preserve"> v České republice na období 2015 až 2018</w:t>
      </w:r>
      <w:r w:rsidRPr="00C61E1A">
        <w:rPr>
          <w:sz w:val="24"/>
          <w:szCs w:val="24"/>
        </w:rPr>
        <w:t xml:space="preserve">, </w:t>
      </w:r>
      <w:r w:rsidR="0065439B" w:rsidRPr="00C61E1A">
        <w:rPr>
          <w:sz w:val="24"/>
          <w:szCs w:val="24"/>
        </w:rPr>
        <w:t>jenž</w:t>
      </w:r>
      <w:r w:rsidRPr="00C61E1A">
        <w:rPr>
          <w:sz w:val="24"/>
          <w:szCs w:val="24"/>
        </w:rPr>
        <w:t xml:space="preserve"> byl </w:t>
      </w:r>
      <w:r w:rsidRPr="00C61E1A">
        <w:rPr>
          <w:b/>
          <w:sz w:val="24"/>
          <w:szCs w:val="24"/>
        </w:rPr>
        <w:t>v gesci MZ,</w:t>
      </w:r>
      <w:r w:rsidRPr="00C61E1A">
        <w:rPr>
          <w:sz w:val="24"/>
          <w:szCs w:val="24"/>
        </w:rPr>
        <w:t xml:space="preserve"> nebyl</w:t>
      </w:r>
      <w:r w:rsidR="001C5924" w:rsidRPr="00C61E1A">
        <w:rPr>
          <w:sz w:val="24"/>
          <w:szCs w:val="24"/>
        </w:rPr>
        <w:t>a</w:t>
      </w:r>
      <w:r w:rsidRPr="00C61E1A">
        <w:rPr>
          <w:sz w:val="24"/>
          <w:szCs w:val="24"/>
        </w:rPr>
        <w:t xml:space="preserve"> splněn</w:t>
      </w:r>
      <w:r w:rsidR="001C5924" w:rsidRPr="00C61E1A">
        <w:rPr>
          <w:sz w:val="24"/>
          <w:szCs w:val="24"/>
        </w:rPr>
        <w:t>a</w:t>
      </w:r>
      <w:r w:rsidRPr="00C61E1A">
        <w:rPr>
          <w:sz w:val="24"/>
          <w:szCs w:val="24"/>
        </w:rPr>
        <w:t xml:space="preserve"> pouze </w:t>
      </w:r>
      <w:r w:rsidR="001C5924" w:rsidRPr="00C61E1A">
        <w:rPr>
          <w:sz w:val="24"/>
          <w:szCs w:val="24"/>
        </w:rPr>
        <w:t>jedna</w:t>
      </w:r>
      <w:r w:rsidR="004902FB" w:rsidRPr="00C61E1A">
        <w:rPr>
          <w:sz w:val="24"/>
          <w:szCs w:val="24"/>
        </w:rPr>
        <w:t>, zcela splněno bylo 48,2 % všech naplánovaných aktivit</w:t>
      </w:r>
      <w:r w:rsidRPr="00C61E1A">
        <w:rPr>
          <w:sz w:val="24"/>
          <w:szCs w:val="24"/>
        </w:rPr>
        <w:t>.</w:t>
      </w:r>
    </w:p>
    <w:p w14:paraId="2A62590E" w14:textId="4AA4A7AC" w:rsidR="00242CC8" w:rsidRPr="0065439B" w:rsidRDefault="00242CC8" w:rsidP="00FC602A">
      <w:pPr>
        <w:widowControl/>
      </w:pPr>
      <w:r w:rsidRPr="0065439B">
        <w:t xml:space="preserve">ÚV ČR zpracoval v roce 2018 </w:t>
      </w:r>
      <w:r w:rsidRPr="005A1773">
        <w:rPr>
          <w:i/>
        </w:rPr>
        <w:t>Evaluaci Národní strategie protidrogové politiky na období</w:t>
      </w:r>
      <w:r w:rsidR="008D0D31">
        <w:rPr>
          <w:i/>
        </w:rPr>
        <w:t xml:space="preserve"> </w:t>
      </w:r>
      <w:r w:rsidR="00644D44">
        <w:rPr>
          <w:i/>
        </w:rPr>
        <w:br/>
      </w:r>
      <w:r w:rsidRPr="005A1773">
        <w:rPr>
          <w:i/>
        </w:rPr>
        <w:t>2010–2018</w:t>
      </w:r>
      <w:r w:rsidRPr="0065439B">
        <w:t xml:space="preserve"> (dále </w:t>
      </w:r>
      <w:r w:rsidR="00521F48" w:rsidRPr="0065439B">
        <w:t xml:space="preserve">také „Evaluace 2018“), tj. </w:t>
      </w:r>
      <w:r w:rsidRPr="0065439B">
        <w:t>celkové vyhodnocení Strategie 2018</w:t>
      </w:r>
      <w:r w:rsidR="00521F48" w:rsidRPr="0065439B">
        <w:t xml:space="preserve">. Evaluace 2018 byla tedy zpracována </w:t>
      </w:r>
      <w:r w:rsidRPr="0065439B">
        <w:t>v posledním roce</w:t>
      </w:r>
      <w:r w:rsidRPr="0065439B">
        <w:rPr>
          <w:i/>
        </w:rPr>
        <w:t xml:space="preserve"> </w:t>
      </w:r>
      <w:r w:rsidRPr="0065439B">
        <w:t>účinnosti</w:t>
      </w:r>
      <w:r w:rsidR="00521F48" w:rsidRPr="0065439B">
        <w:t xml:space="preserve"> Strategie 2018</w:t>
      </w:r>
      <w:r w:rsidRPr="0065439B">
        <w:t xml:space="preserve">, přestože v té době </w:t>
      </w:r>
      <w:r w:rsidR="00521F48" w:rsidRPr="0065439B">
        <w:t>ÚV</w:t>
      </w:r>
      <w:r w:rsidR="008D0D31">
        <w:t> </w:t>
      </w:r>
      <w:r w:rsidR="00521F48" w:rsidRPr="0065439B">
        <w:t xml:space="preserve">ČR </w:t>
      </w:r>
      <w:r w:rsidRPr="0065439B">
        <w:t>ještě nemohl mít k dispozici všechny informace z dané oblasti za poslední rok. Přehled plnění cílů Strategie 2018 dle evaluace, kterou provedl ÚV ČR</w:t>
      </w:r>
      <w:r w:rsidR="00C5421C">
        <w:t>,</w:t>
      </w:r>
      <w:r w:rsidRPr="0065439B">
        <w:t xml:space="preserve"> je uveden v následující tabulce.</w:t>
      </w:r>
    </w:p>
    <w:p w14:paraId="19FF24DC" w14:textId="1938AA1C" w:rsidR="00242CC8" w:rsidRPr="00956D93" w:rsidRDefault="00716EDD" w:rsidP="00716EDD">
      <w:pPr>
        <w:pStyle w:val="Nzevtabulky"/>
        <w:numPr>
          <w:ilvl w:val="0"/>
          <w:numId w:val="0"/>
        </w:numPr>
        <w:spacing w:before="240"/>
      </w:pPr>
      <w:r>
        <w:t xml:space="preserve">Tabulka č. 7: </w:t>
      </w:r>
      <w:r w:rsidR="00242CC8" w:rsidRPr="00956D93">
        <w:t>Celkové vyhodnocení naplnění cílů Strategie 2018 dle Evaluace 2018</w:t>
      </w:r>
    </w:p>
    <w:tbl>
      <w:tblPr>
        <w:tblStyle w:val="Mkatabulky"/>
        <w:tblW w:w="9072" w:type="dxa"/>
        <w:tblLook w:val="05A0" w:firstRow="1" w:lastRow="0" w:firstColumn="1" w:lastColumn="1" w:noHBand="0" w:noVBand="1"/>
      </w:tblPr>
      <w:tblGrid>
        <w:gridCol w:w="2931"/>
        <w:gridCol w:w="1534"/>
        <w:gridCol w:w="1534"/>
        <w:gridCol w:w="1539"/>
        <w:gridCol w:w="1534"/>
      </w:tblGrid>
      <w:tr w:rsidR="00242CC8" w:rsidRPr="00956D93" w14:paraId="5BAFA64E" w14:textId="77777777" w:rsidTr="00FC042D">
        <w:trPr>
          <w:trHeight w:val="20"/>
        </w:trPr>
        <w:tc>
          <w:tcPr>
            <w:tcW w:w="2977" w:type="dxa"/>
            <w:shd w:val="clear" w:color="auto" w:fill="E5F1FF"/>
            <w:vAlign w:val="center"/>
          </w:tcPr>
          <w:p w14:paraId="6C35DD4B" w14:textId="695AA02B" w:rsidR="00242CC8" w:rsidRPr="00956D93" w:rsidRDefault="00242CC8" w:rsidP="00FC602A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E5F1FF"/>
            <w:vAlign w:val="center"/>
          </w:tcPr>
          <w:p w14:paraId="69776A20" w14:textId="77777777" w:rsidR="00242CC8" w:rsidRPr="00956D93" w:rsidRDefault="00242CC8" w:rsidP="00FC602A">
            <w:pPr>
              <w:pStyle w:val="tabulka"/>
              <w:jc w:val="center"/>
              <w:rPr>
                <w:b/>
              </w:rPr>
            </w:pPr>
            <w:r w:rsidRPr="00956D93">
              <w:rPr>
                <w:b/>
              </w:rPr>
              <w:t>Cíl I.</w:t>
            </w:r>
          </w:p>
        </w:tc>
        <w:tc>
          <w:tcPr>
            <w:tcW w:w="1548" w:type="dxa"/>
            <w:shd w:val="clear" w:color="auto" w:fill="E5F1FF"/>
            <w:vAlign w:val="center"/>
          </w:tcPr>
          <w:p w14:paraId="252F2C69" w14:textId="77777777" w:rsidR="00242CC8" w:rsidRPr="00956D93" w:rsidRDefault="00242CC8" w:rsidP="00FC602A">
            <w:pPr>
              <w:pStyle w:val="tabulka"/>
              <w:jc w:val="center"/>
              <w:rPr>
                <w:b/>
              </w:rPr>
            </w:pPr>
            <w:r w:rsidRPr="00956D93">
              <w:rPr>
                <w:b/>
              </w:rPr>
              <w:t>Cíl II.</w:t>
            </w:r>
          </w:p>
        </w:tc>
        <w:tc>
          <w:tcPr>
            <w:tcW w:w="1548" w:type="dxa"/>
            <w:shd w:val="clear" w:color="auto" w:fill="E5F1FF"/>
            <w:vAlign w:val="center"/>
          </w:tcPr>
          <w:p w14:paraId="1DC7895F" w14:textId="77777777" w:rsidR="00242CC8" w:rsidRPr="00956D93" w:rsidRDefault="00242CC8" w:rsidP="00FC602A">
            <w:pPr>
              <w:pStyle w:val="tabulka"/>
              <w:jc w:val="center"/>
              <w:rPr>
                <w:b/>
              </w:rPr>
            </w:pPr>
            <w:r w:rsidRPr="00956D93">
              <w:rPr>
                <w:b/>
              </w:rPr>
              <w:t>Cíl III.</w:t>
            </w:r>
          </w:p>
        </w:tc>
        <w:tc>
          <w:tcPr>
            <w:tcW w:w="1548" w:type="dxa"/>
            <w:shd w:val="clear" w:color="auto" w:fill="E5F1FF"/>
            <w:vAlign w:val="center"/>
          </w:tcPr>
          <w:p w14:paraId="0AEDB118" w14:textId="77777777" w:rsidR="00242CC8" w:rsidRPr="00956D93" w:rsidRDefault="00242CC8" w:rsidP="00FC602A">
            <w:pPr>
              <w:pStyle w:val="tabulka"/>
              <w:jc w:val="center"/>
              <w:rPr>
                <w:b/>
              </w:rPr>
            </w:pPr>
            <w:r w:rsidRPr="00956D93">
              <w:rPr>
                <w:b/>
              </w:rPr>
              <w:t>Cíl IV.</w:t>
            </w:r>
          </w:p>
        </w:tc>
      </w:tr>
      <w:tr w:rsidR="00242CC8" w14:paraId="5E9AF928" w14:textId="77777777" w:rsidTr="00FC042D">
        <w:trPr>
          <w:trHeight w:val="20"/>
        </w:trPr>
        <w:tc>
          <w:tcPr>
            <w:tcW w:w="2977" w:type="dxa"/>
            <w:vAlign w:val="center"/>
          </w:tcPr>
          <w:p w14:paraId="7C8BEE33" w14:textId="36E361BC" w:rsidR="00242CC8" w:rsidRPr="008C535E" w:rsidRDefault="005143DB" w:rsidP="005143DB">
            <w:pPr>
              <w:pStyle w:val="tabulka"/>
              <w:jc w:val="left"/>
            </w:pPr>
            <w:r>
              <w:t>O</w:t>
            </w:r>
            <w:r w:rsidR="00242CC8" w:rsidRPr="008C535E">
              <w:t>blast nelegálních drog</w:t>
            </w:r>
          </w:p>
        </w:tc>
        <w:tc>
          <w:tcPr>
            <w:tcW w:w="1548" w:type="dxa"/>
            <w:shd w:val="clear" w:color="auto" w:fill="92D050"/>
            <w:vAlign w:val="center"/>
          </w:tcPr>
          <w:p w14:paraId="1F3E2200" w14:textId="742F68AD" w:rsidR="00242CC8" w:rsidRPr="008C535E" w:rsidRDefault="00C60166" w:rsidP="00FC602A">
            <w:pPr>
              <w:pStyle w:val="tabulka"/>
              <w:jc w:val="center"/>
            </w:pPr>
            <w:r>
              <w:t>splněn</w:t>
            </w:r>
          </w:p>
        </w:tc>
        <w:tc>
          <w:tcPr>
            <w:tcW w:w="1548" w:type="dxa"/>
            <w:shd w:val="clear" w:color="auto" w:fill="FF0000"/>
            <w:vAlign w:val="center"/>
          </w:tcPr>
          <w:p w14:paraId="2DAB1D10" w14:textId="59CFB952" w:rsidR="00242CC8" w:rsidRPr="008C535E" w:rsidRDefault="00C60166" w:rsidP="00FC602A">
            <w:pPr>
              <w:pStyle w:val="tabulka"/>
              <w:jc w:val="center"/>
            </w:pPr>
            <w:r>
              <w:t>nesplněn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1886B818" w14:textId="11055E07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0000"/>
            <w:vAlign w:val="center"/>
          </w:tcPr>
          <w:p w14:paraId="03513CED" w14:textId="15F4E0DA" w:rsidR="00242CC8" w:rsidRPr="008C535E" w:rsidRDefault="00C60166" w:rsidP="00FC602A">
            <w:pPr>
              <w:pStyle w:val="tabulka"/>
              <w:jc w:val="center"/>
            </w:pPr>
            <w:r>
              <w:t>nesplněn</w:t>
            </w:r>
          </w:p>
        </w:tc>
      </w:tr>
      <w:tr w:rsidR="00242CC8" w14:paraId="7D27129D" w14:textId="77777777" w:rsidTr="00FC042D">
        <w:trPr>
          <w:trHeight w:val="20"/>
        </w:trPr>
        <w:tc>
          <w:tcPr>
            <w:tcW w:w="2977" w:type="dxa"/>
            <w:vAlign w:val="center"/>
          </w:tcPr>
          <w:p w14:paraId="7A55620D" w14:textId="2F8F2153" w:rsidR="00242CC8" w:rsidRPr="008C535E" w:rsidRDefault="005143DB" w:rsidP="005143DB">
            <w:pPr>
              <w:pStyle w:val="tabulka"/>
              <w:jc w:val="left"/>
            </w:pPr>
            <w:r>
              <w:t>O</w:t>
            </w:r>
            <w:r w:rsidR="00242CC8" w:rsidRPr="008C535E">
              <w:t>blast alkoholu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389F7A7E" w14:textId="6E62C869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592B11A8" w14:textId="5EAF4D58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64514AB9" w14:textId="063703B6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0000"/>
            <w:vAlign w:val="center"/>
          </w:tcPr>
          <w:p w14:paraId="1DAC7C3E" w14:textId="07960F53" w:rsidR="00242CC8" w:rsidRPr="008C535E" w:rsidRDefault="00C60166" w:rsidP="00FC602A">
            <w:pPr>
              <w:pStyle w:val="tabulka"/>
              <w:jc w:val="center"/>
            </w:pPr>
            <w:r>
              <w:t>nesplněn</w:t>
            </w:r>
          </w:p>
        </w:tc>
      </w:tr>
      <w:tr w:rsidR="00242CC8" w14:paraId="1FB636E2" w14:textId="77777777" w:rsidTr="00FC042D">
        <w:trPr>
          <w:trHeight w:val="20"/>
        </w:trPr>
        <w:tc>
          <w:tcPr>
            <w:tcW w:w="2977" w:type="dxa"/>
            <w:vAlign w:val="center"/>
          </w:tcPr>
          <w:p w14:paraId="5F0204CC" w14:textId="3406D61B" w:rsidR="00242CC8" w:rsidRPr="008C535E" w:rsidRDefault="005143DB" w:rsidP="005143DB">
            <w:pPr>
              <w:pStyle w:val="tabulka"/>
              <w:jc w:val="left"/>
            </w:pPr>
            <w:r>
              <w:t>O</w:t>
            </w:r>
            <w:r w:rsidR="00242CC8" w:rsidRPr="008C535E">
              <w:t>blast kontroly tabáku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6B7EF85F" w14:textId="22D68B17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010B54CB" w14:textId="1BA2C414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2AC0A206" w14:textId="4E48FB1F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0000"/>
            <w:vAlign w:val="center"/>
          </w:tcPr>
          <w:p w14:paraId="3B149573" w14:textId="60D6B584" w:rsidR="00242CC8" w:rsidRPr="008C535E" w:rsidRDefault="00C60166" w:rsidP="00FC602A">
            <w:pPr>
              <w:pStyle w:val="tabulka"/>
              <w:jc w:val="center"/>
            </w:pPr>
            <w:r>
              <w:t>nesplněn</w:t>
            </w:r>
          </w:p>
        </w:tc>
      </w:tr>
      <w:tr w:rsidR="00242CC8" w14:paraId="6C107FAB" w14:textId="77777777" w:rsidTr="00FC042D">
        <w:trPr>
          <w:trHeight w:val="20"/>
        </w:trPr>
        <w:tc>
          <w:tcPr>
            <w:tcW w:w="2977" w:type="dxa"/>
            <w:vAlign w:val="center"/>
          </w:tcPr>
          <w:p w14:paraId="2C642CA8" w14:textId="197FD024" w:rsidR="00242CC8" w:rsidRPr="008C535E" w:rsidRDefault="005143DB" w:rsidP="005143DB">
            <w:pPr>
              <w:pStyle w:val="tabulka"/>
              <w:jc w:val="left"/>
            </w:pPr>
            <w:r>
              <w:t>O</w:t>
            </w:r>
            <w:r w:rsidR="00242CC8" w:rsidRPr="008C535E">
              <w:t>blast hazardního hraní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1A11F77C" w14:textId="27FE8051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C000"/>
            <w:vAlign w:val="center"/>
          </w:tcPr>
          <w:p w14:paraId="3E500A57" w14:textId="698D6476" w:rsidR="00242CC8" w:rsidRPr="008C535E" w:rsidRDefault="00C60166" w:rsidP="00FC602A">
            <w:pPr>
              <w:pStyle w:val="tabulka"/>
              <w:jc w:val="center"/>
            </w:pPr>
            <w:r>
              <w:t>č</w:t>
            </w:r>
            <w:r w:rsidRPr="00C60166">
              <w:t>ástečně splněn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1FA99196" w14:textId="77777777" w:rsidR="00242CC8" w:rsidRPr="008C535E" w:rsidRDefault="00242CC8" w:rsidP="00FC602A">
            <w:pPr>
              <w:pStyle w:val="tabulka"/>
              <w:jc w:val="center"/>
            </w:pPr>
            <w:r w:rsidRPr="008C535E">
              <w:t>nelze vyhodnotit</w:t>
            </w:r>
          </w:p>
        </w:tc>
        <w:tc>
          <w:tcPr>
            <w:tcW w:w="1548" w:type="dxa"/>
            <w:shd w:val="clear" w:color="auto" w:fill="92D050"/>
            <w:vAlign w:val="center"/>
          </w:tcPr>
          <w:p w14:paraId="4742E323" w14:textId="7053F62E" w:rsidR="00242CC8" w:rsidRPr="008C535E" w:rsidRDefault="00C60166" w:rsidP="00FC602A">
            <w:pPr>
              <w:pStyle w:val="tabulka"/>
              <w:jc w:val="center"/>
            </w:pPr>
            <w:r>
              <w:t>splněn</w:t>
            </w:r>
          </w:p>
        </w:tc>
      </w:tr>
    </w:tbl>
    <w:p w14:paraId="4FFEA7AD" w14:textId="77777777" w:rsidR="00242CC8" w:rsidRDefault="00242CC8" w:rsidP="00FC602A">
      <w:pPr>
        <w:pStyle w:val="Poznmka"/>
      </w:pPr>
      <w:r w:rsidRPr="005A1773">
        <w:rPr>
          <w:b/>
          <w:i/>
        </w:rPr>
        <w:t>Zdroj:</w:t>
      </w:r>
      <w:r>
        <w:tab/>
      </w:r>
      <w:r w:rsidRPr="00C61E1A">
        <w:rPr>
          <w:i/>
        </w:rPr>
        <w:t>Evaluace Národní strategie protidrogové politiky na období 2010–2018</w:t>
      </w:r>
      <w:r>
        <w:t>.</w:t>
      </w:r>
    </w:p>
    <w:p w14:paraId="777368B1" w14:textId="4CFBE5C3" w:rsidR="00521F48" w:rsidRPr="005A1773" w:rsidRDefault="00242CC8" w:rsidP="00FC602A">
      <w:pPr>
        <w:widowControl/>
        <w:spacing w:after="120"/>
        <w:rPr>
          <w:b/>
        </w:rPr>
      </w:pPr>
      <w:r w:rsidRPr="005A1773">
        <w:rPr>
          <w:b/>
        </w:rPr>
        <w:t xml:space="preserve">Dle Evaluace 2018 byl v oblasti nelegálních drog splněn pouze </w:t>
      </w:r>
      <w:r w:rsidR="005143DB">
        <w:rPr>
          <w:b/>
        </w:rPr>
        <w:t>c</w:t>
      </w:r>
      <w:r w:rsidRPr="005A1773">
        <w:rPr>
          <w:b/>
        </w:rPr>
        <w:t>íl I. a splnění ostatních cílů jednoznačně dosaženo nebylo. V oblasti alkoholu a v oblasti kontroly tabáku nebyly dle</w:t>
      </w:r>
      <w:r w:rsidR="005143DB">
        <w:rPr>
          <w:b/>
        </w:rPr>
        <w:t xml:space="preserve"> </w:t>
      </w:r>
      <w:r w:rsidRPr="005A1773">
        <w:rPr>
          <w:b/>
        </w:rPr>
        <w:t xml:space="preserve">Evaluace 2018 cíle splněny vůbec či byly splněny pouze částečně. V oblasti hazardního hraní byl splněn pouze </w:t>
      </w:r>
      <w:r w:rsidR="005143DB">
        <w:rPr>
          <w:b/>
        </w:rPr>
        <w:t>c</w:t>
      </w:r>
      <w:r w:rsidRPr="005A1773">
        <w:rPr>
          <w:b/>
        </w:rPr>
        <w:t xml:space="preserve">íl IV., splnění ostatních cílů nešlo ověřit </w:t>
      </w:r>
      <w:r w:rsidR="005143DB">
        <w:rPr>
          <w:b/>
        </w:rPr>
        <w:t>nebo</w:t>
      </w:r>
      <w:r w:rsidRPr="005A1773">
        <w:rPr>
          <w:b/>
        </w:rPr>
        <w:t xml:space="preserve"> byly splněny pouze částečně.</w:t>
      </w:r>
    </w:p>
    <w:p w14:paraId="21844E21" w14:textId="4F1C91A6" w:rsidR="00592A32" w:rsidRDefault="0065439B" w:rsidP="00FC602A">
      <w:pPr>
        <w:widowControl/>
        <w:spacing w:after="120"/>
      </w:pPr>
      <w:r w:rsidRPr="0065439B">
        <w:t xml:space="preserve">Stávající strategií v protidrogové oblasti je </w:t>
      </w:r>
      <w:r w:rsidR="00592A32" w:rsidRPr="005A1773">
        <w:rPr>
          <w:i/>
        </w:rPr>
        <w:t>Národní strategie prevence a snižování škod spojených se závislostním chováním na</w:t>
      </w:r>
      <w:r w:rsidR="005143DB">
        <w:rPr>
          <w:i/>
        </w:rPr>
        <w:t xml:space="preserve"> </w:t>
      </w:r>
      <w:r w:rsidR="00592A32" w:rsidRPr="005A1773">
        <w:rPr>
          <w:i/>
        </w:rPr>
        <w:t>období 2019─2027</w:t>
      </w:r>
      <w:r w:rsidRPr="0065439B">
        <w:t xml:space="preserve">. </w:t>
      </w:r>
      <w:r w:rsidR="00C60385">
        <w:t>Tato s</w:t>
      </w:r>
      <w:r w:rsidR="00592A32" w:rsidRPr="0065439B">
        <w:t xml:space="preserve">trategie se nově zaměřuje </w:t>
      </w:r>
      <w:r w:rsidR="00A90D3F">
        <w:br/>
      </w:r>
      <w:r w:rsidR="00592A32" w:rsidRPr="0065439B">
        <w:t xml:space="preserve">i na problematiku léčivých přípravků s obsahem psychoaktivních látek, konopí </w:t>
      </w:r>
      <w:r w:rsidR="00523B91">
        <w:br/>
      </w:r>
      <w:r w:rsidR="00592A32" w:rsidRPr="0065439B">
        <w:t>a kanabinoidů, na nadužívání internetu a nových technologií v české společnosti</w:t>
      </w:r>
      <w:r w:rsidR="001D2B2D">
        <w:t>.</w:t>
      </w:r>
    </w:p>
    <w:p w14:paraId="19F153B3" w14:textId="38FD287C" w:rsidR="00CC0DC4" w:rsidRDefault="00CC0DC4" w:rsidP="00FC602A">
      <w:pPr>
        <w:widowControl/>
        <w:spacing w:after="120"/>
      </w:pPr>
      <w:r w:rsidRPr="00CC0DC4">
        <w:lastRenderedPageBreak/>
        <w:t>Přes značné množství vynakládaných prostředků</w:t>
      </w:r>
      <w:r>
        <w:t xml:space="preserve"> Česká republika dlouhodobě obsazuje „přední“ příčky v mezinárodních srovnáních v oblasti konzumace alkoholu a tabákových výrobků</w:t>
      </w:r>
      <w:r w:rsidR="000C2477">
        <w:t xml:space="preserve"> (</w:t>
      </w:r>
      <w:r w:rsidR="00C60385">
        <w:t xml:space="preserve">viz </w:t>
      </w:r>
      <w:r>
        <w:t>příloha</w:t>
      </w:r>
      <w:r w:rsidR="000C2477">
        <w:t>)</w:t>
      </w:r>
      <w:r>
        <w:t>.</w:t>
      </w:r>
    </w:p>
    <w:p w14:paraId="2E3F2D1E" w14:textId="1BC65FCB" w:rsidR="0077333C" w:rsidRPr="0077333C" w:rsidRDefault="0077333C" w:rsidP="00FC602A">
      <w:pPr>
        <w:pStyle w:val="Nadpiskapitoly"/>
        <w:numPr>
          <w:ilvl w:val="0"/>
          <w:numId w:val="0"/>
        </w:numPr>
        <w:ind w:left="284" w:hanging="284"/>
        <w:rPr>
          <w:strike/>
        </w:rPr>
      </w:pPr>
      <w:r>
        <w:t xml:space="preserve">2. </w:t>
      </w:r>
      <w:r>
        <w:tab/>
      </w:r>
      <w:r w:rsidR="00675627" w:rsidRPr="00675627">
        <w:t>Některá ministerstva nestanovila cíle protidrogových programů</w:t>
      </w:r>
      <w:r w:rsidR="00675627">
        <w:t>,</w:t>
      </w:r>
      <w:r w:rsidR="00675627" w:rsidRPr="00675627">
        <w:t xml:space="preserve"> </w:t>
      </w:r>
      <w:r w:rsidR="00CA1063">
        <w:t xml:space="preserve">také </w:t>
      </w:r>
      <w:r w:rsidR="00675627" w:rsidRPr="00675627">
        <w:t>hodnocení dopad</w:t>
      </w:r>
      <w:r w:rsidR="008939CE">
        <w:t>ů</w:t>
      </w:r>
      <w:r w:rsidR="00CA1063">
        <w:t xml:space="preserve"> poskytnutých dotací některé re</w:t>
      </w:r>
      <w:r w:rsidR="00293BFD">
        <w:t>s</w:t>
      </w:r>
      <w:r w:rsidR="00CA1063">
        <w:t>orty neprováděly</w:t>
      </w:r>
      <w:r w:rsidR="00675627" w:rsidRPr="00675627">
        <w:t xml:space="preserve"> </w:t>
      </w:r>
    </w:p>
    <w:p w14:paraId="44901B72" w14:textId="25AD582A" w:rsidR="000C0A02" w:rsidRPr="004F625D" w:rsidRDefault="00E92D22" w:rsidP="00FC602A">
      <w:pPr>
        <w:widowControl/>
        <w:spacing w:after="120"/>
        <w:rPr>
          <w:szCs w:val="24"/>
        </w:rPr>
      </w:pPr>
      <w:r w:rsidRPr="00831AE6">
        <w:rPr>
          <w:szCs w:val="24"/>
        </w:rPr>
        <w:t>Hlavní</w:t>
      </w:r>
      <w:r w:rsidR="000C0A02" w:rsidRPr="00831AE6">
        <w:rPr>
          <w:szCs w:val="24"/>
        </w:rPr>
        <w:t xml:space="preserve"> cíle protidrogové politiky</w:t>
      </w:r>
      <w:r w:rsidR="000C0A02" w:rsidRPr="004F625D">
        <w:rPr>
          <w:szCs w:val="24"/>
        </w:rPr>
        <w:t xml:space="preserve"> závazné jak pro ÚV ČR, tak i pro jednotlivé resorty byly </w:t>
      </w:r>
      <w:r w:rsidR="00523B91">
        <w:rPr>
          <w:szCs w:val="24"/>
        </w:rPr>
        <w:br/>
      </w:r>
      <w:r w:rsidR="000C0A02" w:rsidRPr="004F625D">
        <w:rPr>
          <w:szCs w:val="24"/>
        </w:rPr>
        <w:t>v kontrolovaném období stanoveny prostřednictvím Strategie 2018, resp. Strategie 2027.</w:t>
      </w:r>
      <w:r w:rsidR="004F625D" w:rsidRPr="004F625D">
        <w:rPr>
          <w:szCs w:val="24"/>
        </w:rPr>
        <w:t xml:space="preserve"> Tyto obecné cíle byly dále rozpracovávány na úrovni jednotlivých resortů.</w:t>
      </w:r>
    </w:p>
    <w:p w14:paraId="6779CF09" w14:textId="4C78FDD4" w:rsidR="00757085" w:rsidRDefault="00FF7965" w:rsidP="00FC602A">
      <w:pPr>
        <w:pStyle w:val="Odstavecseseznamem"/>
        <w:spacing w:after="120"/>
        <w:contextualSpacing w:val="0"/>
        <w:rPr>
          <w:szCs w:val="24"/>
        </w:rPr>
      </w:pPr>
      <w:r w:rsidRPr="004F625D">
        <w:rPr>
          <w:szCs w:val="24"/>
        </w:rPr>
        <w:t xml:space="preserve">Kontrolou NKÚ bylo ověřeno, že </w:t>
      </w:r>
      <w:r w:rsidR="00787D4A" w:rsidRPr="004F625D">
        <w:rPr>
          <w:szCs w:val="24"/>
        </w:rPr>
        <w:t xml:space="preserve">MS sice </w:t>
      </w:r>
      <w:r w:rsidRPr="004F625D">
        <w:rPr>
          <w:szCs w:val="24"/>
        </w:rPr>
        <w:t>formulovalo protidrogovou politiku v</w:t>
      </w:r>
      <w:r w:rsidR="00787D4A" w:rsidRPr="004F625D">
        <w:rPr>
          <w:szCs w:val="24"/>
        </w:rPr>
        <w:t>e vlastní k</w:t>
      </w:r>
      <w:r w:rsidRPr="004F625D">
        <w:rPr>
          <w:szCs w:val="24"/>
        </w:rPr>
        <w:t>oncepci vězeňství</w:t>
      </w:r>
      <w:r w:rsidR="00787D4A" w:rsidRPr="004F625D">
        <w:rPr>
          <w:rStyle w:val="Znakapoznpodarou"/>
          <w:szCs w:val="24"/>
        </w:rPr>
        <w:footnoteReference w:id="14"/>
      </w:r>
      <w:r w:rsidRPr="004F625D">
        <w:rPr>
          <w:szCs w:val="24"/>
        </w:rPr>
        <w:t xml:space="preserve">, </w:t>
      </w:r>
      <w:r w:rsidR="00EE6AD5">
        <w:rPr>
          <w:szCs w:val="24"/>
        </w:rPr>
        <w:t xml:space="preserve">avšak </w:t>
      </w:r>
      <w:r w:rsidR="00AB0A9D" w:rsidRPr="00EE6AD5">
        <w:rPr>
          <w:szCs w:val="24"/>
        </w:rPr>
        <w:t>v žádných</w:t>
      </w:r>
      <w:r w:rsidRPr="00EE6AD5">
        <w:rPr>
          <w:szCs w:val="24"/>
        </w:rPr>
        <w:t xml:space="preserve"> koncepčních dokumentech </w:t>
      </w:r>
      <w:r w:rsidR="00AB0A9D" w:rsidRPr="00EE6AD5">
        <w:rPr>
          <w:szCs w:val="24"/>
        </w:rPr>
        <w:t>nestanovilo</w:t>
      </w:r>
      <w:r w:rsidRPr="00EE6AD5">
        <w:rPr>
          <w:szCs w:val="24"/>
        </w:rPr>
        <w:t xml:space="preserve"> indikátory</w:t>
      </w:r>
      <w:r w:rsidRPr="004F625D">
        <w:rPr>
          <w:szCs w:val="24"/>
        </w:rPr>
        <w:t xml:space="preserve">, které by umožňovaly vyhodnotit vývoj </w:t>
      </w:r>
      <w:r w:rsidR="004F625D" w:rsidRPr="004F625D">
        <w:rPr>
          <w:szCs w:val="24"/>
        </w:rPr>
        <w:t xml:space="preserve">v oblasti jím prováděné protidrogové politiky. </w:t>
      </w:r>
      <w:r w:rsidR="00CE676F" w:rsidRPr="005A1773">
        <w:rPr>
          <w:b/>
          <w:szCs w:val="24"/>
        </w:rPr>
        <w:t>C</w:t>
      </w:r>
      <w:r w:rsidRPr="005A1773">
        <w:rPr>
          <w:b/>
          <w:szCs w:val="24"/>
        </w:rPr>
        <w:t xml:space="preserve">íle </w:t>
      </w:r>
      <w:r w:rsidR="00E33F62" w:rsidRPr="005A1773">
        <w:rPr>
          <w:b/>
          <w:szCs w:val="24"/>
        </w:rPr>
        <w:t xml:space="preserve">samotného </w:t>
      </w:r>
      <w:r w:rsidRPr="005A1773">
        <w:rPr>
          <w:b/>
          <w:szCs w:val="24"/>
        </w:rPr>
        <w:t>dotačního programu protidrogové p</w:t>
      </w:r>
      <w:r w:rsidR="000C0A02" w:rsidRPr="005A1773">
        <w:rPr>
          <w:b/>
          <w:szCs w:val="24"/>
        </w:rPr>
        <w:t xml:space="preserve">olitiky ve věznicích </w:t>
      </w:r>
      <w:r w:rsidR="00CE676F" w:rsidRPr="005A1773">
        <w:rPr>
          <w:b/>
          <w:szCs w:val="24"/>
        </w:rPr>
        <w:t xml:space="preserve">MS </w:t>
      </w:r>
      <w:r w:rsidR="000C0A02" w:rsidRPr="005A1773">
        <w:rPr>
          <w:b/>
          <w:szCs w:val="24"/>
        </w:rPr>
        <w:t>nenastavilo</w:t>
      </w:r>
      <w:r w:rsidR="00CC04D3" w:rsidRPr="005A1773">
        <w:rPr>
          <w:b/>
          <w:szCs w:val="24"/>
        </w:rPr>
        <w:t xml:space="preserve"> vůbec</w:t>
      </w:r>
      <w:r w:rsidR="000C0A02" w:rsidRPr="00831AE6">
        <w:rPr>
          <w:b/>
          <w:szCs w:val="24"/>
        </w:rPr>
        <w:t>.</w:t>
      </w:r>
      <w:r w:rsidR="00757085">
        <w:rPr>
          <w:szCs w:val="24"/>
        </w:rPr>
        <w:t xml:space="preserve"> </w:t>
      </w:r>
      <w:r w:rsidR="00757085" w:rsidRPr="00757085">
        <w:rPr>
          <w:szCs w:val="24"/>
        </w:rPr>
        <w:t xml:space="preserve">Kontrolou NKÚ bylo </w:t>
      </w:r>
      <w:r w:rsidR="00CC04D3">
        <w:rPr>
          <w:szCs w:val="24"/>
        </w:rPr>
        <w:t xml:space="preserve">dále </w:t>
      </w:r>
      <w:r w:rsidR="00757085" w:rsidRPr="00757085">
        <w:rPr>
          <w:szCs w:val="24"/>
        </w:rPr>
        <w:t xml:space="preserve">zjištěno, že </w:t>
      </w:r>
      <w:r w:rsidR="00757085" w:rsidRPr="005A1773">
        <w:rPr>
          <w:b/>
          <w:szCs w:val="24"/>
        </w:rPr>
        <w:t>MS v rozhodnutích o poskytnutí dotace</w:t>
      </w:r>
      <w:r w:rsidR="00757085" w:rsidRPr="00757085">
        <w:rPr>
          <w:szCs w:val="24"/>
        </w:rPr>
        <w:t xml:space="preserve"> v rámci programu protidrogové politiky </w:t>
      </w:r>
      <w:r w:rsidR="00CC04D3">
        <w:rPr>
          <w:szCs w:val="24"/>
        </w:rPr>
        <w:t>v kontrolovaném období</w:t>
      </w:r>
      <w:r w:rsidR="00757085" w:rsidRPr="00757085">
        <w:rPr>
          <w:szCs w:val="24"/>
        </w:rPr>
        <w:t xml:space="preserve"> </w:t>
      </w:r>
      <w:r w:rsidR="00757085" w:rsidRPr="005A1773">
        <w:rPr>
          <w:b/>
          <w:szCs w:val="24"/>
        </w:rPr>
        <w:t xml:space="preserve">nestanovilo </w:t>
      </w:r>
      <w:r w:rsidR="00CC04D3" w:rsidRPr="005A1773">
        <w:rPr>
          <w:b/>
          <w:szCs w:val="24"/>
        </w:rPr>
        <w:t xml:space="preserve">žádné </w:t>
      </w:r>
      <w:r w:rsidR="00757085" w:rsidRPr="005A1773">
        <w:rPr>
          <w:b/>
          <w:szCs w:val="24"/>
        </w:rPr>
        <w:t>ukazatele, které měly být realizací projektu splněny</w:t>
      </w:r>
      <w:r w:rsidR="00EE6AD5" w:rsidRPr="005A1773">
        <w:rPr>
          <w:b/>
          <w:szCs w:val="24"/>
        </w:rPr>
        <w:t>.</w:t>
      </w:r>
      <w:r w:rsidR="00CC04D3">
        <w:rPr>
          <w:szCs w:val="24"/>
        </w:rPr>
        <w:t xml:space="preserve"> </w:t>
      </w:r>
      <w:r w:rsidR="00EE6AD5">
        <w:rPr>
          <w:szCs w:val="24"/>
        </w:rPr>
        <w:t>V</w:t>
      </w:r>
      <w:r w:rsidR="00757085" w:rsidRPr="00757085">
        <w:rPr>
          <w:szCs w:val="24"/>
        </w:rPr>
        <w:t xml:space="preserve"> rozhodnutích o poskytnutí dotace na roky 2016, 2017 a 2018 neuvedlo </w:t>
      </w:r>
      <w:r w:rsidR="00CC04D3">
        <w:rPr>
          <w:szCs w:val="24"/>
        </w:rPr>
        <w:t xml:space="preserve">ani </w:t>
      </w:r>
      <w:r w:rsidR="00757085" w:rsidRPr="00757085">
        <w:rPr>
          <w:szCs w:val="24"/>
        </w:rPr>
        <w:t>žádný odkaz na ukazatele uvedené v</w:t>
      </w:r>
      <w:r w:rsidR="00CC04D3">
        <w:rPr>
          <w:szCs w:val="24"/>
        </w:rPr>
        <w:t> </w:t>
      </w:r>
      <w:r w:rsidR="00757085" w:rsidRPr="00757085">
        <w:rPr>
          <w:szCs w:val="24"/>
        </w:rPr>
        <w:t>žádostech</w:t>
      </w:r>
      <w:r w:rsidR="00CC04D3">
        <w:rPr>
          <w:szCs w:val="24"/>
        </w:rPr>
        <w:t xml:space="preserve"> o dotace</w:t>
      </w:r>
      <w:r w:rsidR="00757085" w:rsidRPr="00757085">
        <w:rPr>
          <w:szCs w:val="24"/>
        </w:rPr>
        <w:t xml:space="preserve"> s tím</w:t>
      </w:r>
      <w:r w:rsidR="00CC04D3">
        <w:rPr>
          <w:szCs w:val="24"/>
        </w:rPr>
        <w:t>, že jsou tyto hodnoty závazné.</w:t>
      </w:r>
    </w:p>
    <w:p w14:paraId="47087851" w14:textId="51B4B454" w:rsidR="000C0A02" w:rsidRDefault="00182F15" w:rsidP="00FC602A">
      <w:pPr>
        <w:pStyle w:val="Odstavecseseznamem"/>
        <w:spacing w:after="120"/>
        <w:contextualSpacing w:val="0"/>
        <w:rPr>
          <w:szCs w:val="24"/>
        </w:rPr>
      </w:pPr>
      <w:r w:rsidRPr="005A1773">
        <w:rPr>
          <w:b/>
          <w:szCs w:val="24"/>
        </w:rPr>
        <w:t>MŠMT</w:t>
      </w:r>
      <w:r w:rsidRPr="004F625D">
        <w:rPr>
          <w:szCs w:val="24"/>
        </w:rPr>
        <w:t xml:space="preserve"> </w:t>
      </w:r>
      <w:r>
        <w:rPr>
          <w:szCs w:val="24"/>
        </w:rPr>
        <w:t>p</w:t>
      </w:r>
      <w:r w:rsidR="000844AF">
        <w:rPr>
          <w:szCs w:val="24"/>
        </w:rPr>
        <w:t>ro p</w:t>
      </w:r>
      <w:r w:rsidR="000C0A02" w:rsidRPr="004F625D">
        <w:rPr>
          <w:szCs w:val="24"/>
        </w:rPr>
        <w:t xml:space="preserve">rogram protidrogové politiky v kontrolovaném období </w:t>
      </w:r>
      <w:r w:rsidR="00CE676F">
        <w:rPr>
          <w:szCs w:val="24"/>
        </w:rPr>
        <w:t xml:space="preserve">rovněž </w:t>
      </w:r>
      <w:r w:rsidR="000844AF" w:rsidRPr="005A1773">
        <w:rPr>
          <w:b/>
          <w:szCs w:val="24"/>
        </w:rPr>
        <w:t>nedefinovalo</w:t>
      </w:r>
      <w:r w:rsidR="000C0A02" w:rsidRPr="005A1773">
        <w:rPr>
          <w:b/>
          <w:szCs w:val="24"/>
        </w:rPr>
        <w:t xml:space="preserve"> žádné měřitelné cíle, indikátory </w:t>
      </w:r>
      <w:r>
        <w:rPr>
          <w:b/>
          <w:szCs w:val="24"/>
        </w:rPr>
        <w:t>ani</w:t>
      </w:r>
      <w:r w:rsidR="000C0A02" w:rsidRPr="005A1773">
        <w:rPr>
          <w:b/>
          <w:szCs w:val="24"/>
        </w:rPr>
        <w:t xml:space="preserve"> jakékoliv jiné ukazatele</w:t>
      </w:r>
      <w:r w:rsidR="000C0A02" w:rsidRPr="00780145">
        <w:rPr>
          <w:b/>
          <w:szCs w:val="24"/>
        </w:rPr>
        <w:t>,</w:t>
      </w:r>
      <w:r w:rsidR="000C0A02" w:rsidRPr="004F625D">
        <w:rPr>
          <w:szCs w:val="24"/>
        </w:rPr>
        <w:t xml:space="preserve"> které by umožnily vyhodnocení dopadů poskytované podpory či naplňování strategických cílů v oblasti </w:t>
      </w:r>
      <w:r w:rsidR="00A70AFB" w:rsidRPr="004F625D">
        <w:rPr>
          <w:szCs w:val="24"/>
        </w:rPr>
        <w:t xml:space="preserve">státní </w:t>
      </w:r>
      <w:r w:rsidR="000C0A02" w:rsidRPr="004F625D">
        <w:rPr>
          <w:szCs w:val="24"/>
        </w:rPr>
        <w:t xml:space="preserve">protidrogové politiky. MŠMT </w:t>
      </w:r>
      <w:r w:rsidR="00CE676F">
        <w:rPr>
          <w:szCs w:val="24"/>
        </w:rPr>
        <w:t xml:space="preserve">tak </w:t>
      </w:r>
      <w:r w:rsidR="000C0A02" w:rsidRPr="004F625D">
        <w:rPr>
          <w:szCs w:val="24"/>
        </w:rPr>
        <w:t>nemohlo v kontrolovaném období vyhodnocovat hospodárnost, efektivnost a účelnost vynakládání výdajů na tento účel, protože k tomu nemělo odpovídající údaje.</w:t>
      </w:r>
      <w:r w:rsidR="004F625D">
        <w:rPr>
          <w:szCs w:val="24"/>
        </w:rPr>
        <w:t xml:space="preserve"> </w:t>
      </w:r>
      <w:r w:rsidR="004F625D" w:rsidRPr="005A1773">
        <w:rPr>
          <w:b/>
          <w:szCs w:val="24"/>
        </w:rPr>
        <w:t xml:space="preserve">MŠMT neprovádělo systematické vyhodnocování </w:t>
      </w:r>
      <w:r w:rsidR="002D395F">
        <w:rPr>
          <w:b/>
          <w:szCs w:val="24"/>
        </w:rPr>
        <w:t>dopad</w:t>
      </w:r>
      <w:r w:rsidR="00A70AFB">
        <w:rPr>
          <w:b/>
          <w:szCs w:val="24"/>
        </w:rPr>
        <w:t>ů</w:t>
      </w:r>
      <w:r w:rsidR="002D395F" w:rsidRPr="005A1773">
        <w:rPr>
          <w:b/>
          <w:szCs w:val="24"/>
        </w:rPr>
        <w:t xml:space="preserve"> </w:t>
      </w:r>
      <w:r w:rsidR="004F625D" w:rsidRPr="005A1773">
        <w:rPr>
          <w:b/>
          <w:szCs w:val="24"/>
        </w:rPr>
        <w:t>svého programu protidrogové politiky</w:t>
      </w:r>
      <w:r w:rsidR="00191FCC">
        <w:rPr>
          <w:szCs w:val="24"/>
        </w:rPr>
        <w:t xml:space="preserve"> a </w:t>
      </w:r>
      <w:r w:rsidR="00191FCC" w:rsidRPr="00191FCC">
        <w:rPr>
          <w:szCs w:val="24"/>
        </w:rPr>
        <w:t xml:space="preserve">v kontrolovaném období </w:t>
      </w:r>
      <w:r w:rsidR="00191FCC">
        <w:rPr>
          <w:szCs w:val="24"/>
        </w:rPr>
        <w:t xml:space="preserve">tak </w:t>
      </w:r>
      <w:r w:rsidR="004460DC">
        <w:rPr>
          <w:szCs w:val="24"/>
        </w:rPr>
        <w:t xml:space="preserve">neplnilo zákonnou povinnost </w:t>
      </w:r>
      <w:r w:rsidR="00191FCC" w:rsidRPr="00191FCC">
        <w:rPr>
          <w:szCs w:val="24"/>
        </w:rPr>
        <w:t>soustavně sledova</w:t>
      </w:r>
      <w:r w:rsidR="004460DC">
        <w:rPr>
          <w:szCs w:val="24"/>
        </w:rPr>
        <w:t>t</w:t>
      </w:r>
      <w:r w:rsidR="00191FCC" w:rsidRPr="00191FCC">
        <w:rPr>
          <w:szCs w:val="24"/>
        </w:rPr>
        <w:t xml:space="preserve"> a vyhodnocova</w:t>
      </w:r>
      <w:r w:rsidR="004460DC">
        <w:rPr>
          <w:szCs w:val="24"/>
        </w:rPr>
        <w:t>t</w:t>
      </w:r>
      <w:r w:rsidR="00191FCC" w:rsidRPr="00191FCC">
        <w:rPr>
          <w:szCs w:val="24"/>
        </w:rPr>
        <w:t xml:space="preserve"> </w:t>
      </w:r>
      <w:r w:rsidR="00B04829" w:rsidRPr="00B04829">
        <w:rPr>
          <w:szCs w:val="24"/>
        </w:rPr>
        <w:t xml:space="preserve">hospodárnost, efektivnost a </w:t>
      </w:r>
      <w:r w:rsidR="00191FCC" w:rsidRPr="00191FCC">
        <w:rPr>
          <w:szCs w:val="24"/>
        </w:rPr>
        <w:t>účelnost vynakládání výdajů ve své kapitole</w:t>
      </w:r>
      <w:r w:rsidR="00191FCC">
        <w:rPr>
          <w:rStyle w:val="Znakapoznpodarou"/>
          <w:szCs w:val="24"/>
        </w:rPr>
        <w:footnoteReference w:id="15"/>
      </w:r>
      <w:r w:rsidR="004460DC">
        <w:rPr>
          <w:szCs w:val="24"/>
        </w:rPr>
        <w:t>;</w:t>
      </w:r>
      <w:r w:rsidR="004F625D" w:rsidRPr="004F625D">
        <w:rPr>
          <w:szCs w:val="24"/>
        </w:rPr>
        <w:t xml:space="preserve"> </w:t>
      </w:r>
      <w:r w:rsidR="00191FCC">
        <w:rPr>
          <w:szCs w:val="24"/>
        </w:rPr>
        <w:t>sledovalo</w:t>
      </w:r>
      <w:r w:rsidR="004F625D" w:rsidRPr="004F625D">
        <w:rPr>
          <w:szCs w:val="24"/>
        </w:rPr>
        <w:t xml:space="preserve"> </w:t>
      </w:r>
      <w:r w:rsidR="004460DC" w:rsidRPr="004F625D">
        <w:rPr>
          <w:szCs w:val="24"/>
        </w:rPr>
        <w:t xml:space="preserve">pouze </w:t>
      </w:r>
      <w:r w:rsidR="004F625D" w:rsidRPr="004F625D">
        <w:rPr>
          <w:szCs w:val="24"/>
        </w:rPr>
        <w:t xml:space="preserve">plnění cílů jednotlivých projektů, které si nastavili </w:t>
      </w:r>
      <w:r w:rsidR="004460DC">
        <w:rPr>
          <w:szCs w:val="24"/>
        </w:rPr>
        <w:t xml:space="preserve">sami </w:t>
      </w:r>
      <w:r w:rsidR="004F625D" w:rsidRPr="004F625D">
        <w:rPr>
          <w:szCs w:val="24"/>
        </w:rPr>
        <w:t>žadatelé, resp. příjemci dotací v žádostech o dotac</w:t>
      </w:r>
      <w:r w:rsidR="00A70AFB">
        <w:rPr>
          <w:szCs w:val="24"/>
        </w:rPr>
        <w:t>i</w:t>
      </w:r>
      <w:r w:rsidR="004F625D" w:rsidRPr="004F625D">
        <w:rPr>
          <w:szCs w:val="24"/>
        </w:rPr>
        <w:t>.</w:t>
      </w:r>
    </w:p>
    <w:p w14:paraId="2AFC926B" w14:textId="1C76D40C" w:rsidR="000C0A02" w:rsidRPr="004F625D" w:rsidRDefault="000C0A02" w:rsidP="00FC602A">
      <w:pPr>
        <w:pStyle w:val="Odstavecseseznamem"/>
        <w:spacing w:after="120"/>
        <w:contextualSpacing w:val="0"/>
        <w:rPr>
          <w:szCs w:val="24"/>
        </w:rPr>
      </w:pPr>
      <w:r w:rsidRPr="005A1773">
        <w:rPr>
          <w:b/>
          <w:szCs w:val="24"/>
        </w:rPr>
        <w:t>MZ n</w:t>
      </w:r>
      <w:r w:rsidR="00CE676F" w:rsidRPr="005A1773">
        <w:rPr>
          <w:b/>
          <w:szCs w:val="24"/>
        </w:rPr>
        <w:t>e</w:t>
      </w:r>
      <w:r w:rsidR="00E33F62" w:rsidRPr="005A1773">
        <w:rPr>
          <w:b/>
          <w:szCs w:val="24"/>
        </w:rPr>
        <w:t>vypracova</w:t>
      </w:r>
      <w:r w:rsidR="00CE676F" w:rsidRPr="005A1773">
        <w:rPr>
          <w:b/>
          <w:szCs w:val="24"/>
        </w:rPr>
        <w:t>lo</w:t>
      </w:r>
      <w:r w:rsidR="00CE676F">
        <w:rPr>
          <w:szCs w:val="24"/>
        </w:rPr>
        <w:t xml:space="preserve"> žádné</w:t>
      </w:r>
      <w:r w:rsidR="00E33F62">
        <w:rPr>
          <w:szCs w:val="24"/>
        </w:rPr>
        <w:t xml:space="preserve"> vlastní </w:t>
      </w:r>
      <w:r w:rsidR="00E33F62" w:rsidRPr="005A1773">
        <w:rPr>
          <w:b/>
          <w:szCs w:val="24"/>
        </w:rPr>
        <w:t>analýzy</w:t>
      </w:r>
      <w:r w:rsidRPr="005A1773">
        <w:rPr>
          <w:b/>
          <w:szCs w:val="24"/>
        </w:rPr>
        <w:t xml:space="preserve"> </w:t>
      </w:r>
      <w:r w:rsidR="00E33F62" w:rsidRPr="005A1773">
        <w:rPr>
          <w:b/>
          <w:szCs w:val="24"/>
        </w:rPr>
        <w:t>ani další</w:t>
      </w:r>
      <w:r w:rsidRPr="005A1773">
        <w:rPr>
          <w:b/>
          <w:szCs w:val="24"/>
        </w:rPr>
        <w:t xml:space="preserve"> materiály k průběžnému či konečnému </w:t>
      </w:r>
      <w:r w:rsidR="004460DC">
        <w:rPr>
          <w:b/>
          <w:szCs w:val="24"/>
        </w:rPr>
        <w:t>hodnocení</w:t>
      </w:r>
      <w:r w:rsidRPr="005A1773">
        <w:rPr>
          <w:b/>
          <w:szCs w:val="24"/>
        </w:rPr>
        <w:t xml:space="preserve"> </w:t>
      </w:r>
      <w:r w:rsidR="00CE676F" w:rsidRPr="005A1773">
        <w:rPr>
          <w:b/>
          <w:szCs w:val="24"/>
        </w:rPr>
        <w:t xml:space="preserve">svého </w:t>
      </w:r>
      <w:r w:rsidRPr="005A1773">
        <w:rPr>
          <w:b/>
          <w:szCs w:val="24"/>
        </w:rPr>
        <w:t>program</w:t>
      </w:r>
      <w:r w:rsidR="00CE676F" w:rsidRPr="005A1773">
        <w:rPr>
          <w:b/>
          <w:szCs w:val="24"/>
        </w:rPr>
        <w:t>u</w:t>
      </w:r>
      <w:r w:rsidRPr="005A1773">
        <w:rPr>
          <w:b/>
          <w:szCs w:val="24"/>
        </w:rPr>
        <w:t xml:space="preserve"> protidrogové politiky </w:t>
      </w:r>
      <w:r w:rsidRPr="004F625D">
        <w:rPr>
          <w:szCs w:val="24"/>
        </w:rPr>
        <w:t>pro roky 2016</w:t>
      </w:r>
      <w:r w:rsidR="00CE676F" w:rsidRPr="00E92D22">
        <w:t>–</w:t>
      </w:r>
      <w:r w:rsidR="002641D7" w:rsidRPr="004F625D">
        <w:rPr>
          <w:szCs w:val="24"/>
        </w:rPr>
        <w:t>20</w:t>
      </w:r>
      <w:r w:rsidR="002641D7">
        <w:rPr>
          <w:szCs w:val="24"/>
        </w:rPr>
        <w:t>19</w:t>
      </w:r>
      <w:r w:rsidRPr="004F625D">
        <w:rPr>
          <w:szCs w:val="24"/>
        </w:rPr>
        <w:t>.</w:t>
      </w:r>
      <w:r w:rsidR="004630DD" w:rsidRPr="004630DD">
        <w:t xml:space="preserve"> </w:t>
      </w:r>
    </w:p>
    <w:p w14:paraId="158A62BC" w14:textId="15B19D3D" w:rsidR="004630DD" w:rsidRPr="004630DD" w:rsidRDefault="00D723BA" w:rsidP="00FC602A">
      <w:pPr>
        <w:pStyle w:val="Nadpiskapitoly"/>
        <w:numPr>
          <w:ilvl w:val="0"/>
          <w:numId w:val="0"/>
        </w:numPr>
        <w:ind w:left="284" w:hanging="284"/>
      </w:pPr>
      <w:r>
        <w:t>3.</w:t>
      </w:r>
      <w:r>
        <w:tab/>
      </w:r>
      <w:r w:rsidR="004630DD" w:rsidRPr="004630DD">
        <w:t xml:space="preserve">Dotace vyplacené </w:t>
      </w:r>
      <w:r w:rsidR="004460DC">
        <w:t>Úřadem vlády</w:t>
      </w:r>
      <w:r w:rsidR="004630DD" w:rsidRPr="004630DD">
        <w:t xml:space="preserve"> ČR v rámci tzv. dofinancování projektů v roce 2019 nelze považovat za účelné</w:t>
      </w:r>
    </w:p>
    <w:p w14:paraId="63A13B6B" w14:textId="470D5332" w:rsidR="00863428" w:rsidRPr="004630DD" w:rsidRDefault="00FC042D" w:rsidP="00FC602A">
      <w:pPr>
        <w:pStyle w:val="Odstavecseseznamem"/>
        <w:spacing w:after="120"/>
        <w:contextualSpacing w:val="0"/>
        <w:rPr>
          <w:b/>
          <w:szCs w:val="24"/>
        </w:rPr>
      </w:pPr>
      <w:r w:rsidRPr="00AF0580">
        <w:rPr>
          <w:szCs w:val="24"/>
        </w:rPr>
        <w:t>Dotace v oblasti protidrogové</w:t>
      </w:r>
      <w:r w:rsidRPr="004630DD">
        <w:rPr>
          <w:szCs w:val="24"/>
        </w:rPr>
        <w:t xml:space="preserve"> politiky byly ÚV ČR i jednotlivými resorty rozdělovány v rámci vyhlášených dotačních řízení a byly vždy určeny pouze na jeden kalendářní rok. Kromě řádných dotačních řízení </w:t>
      </w:r>
      <w:r w:rsidR="00AF0580" w:rsidRPr="004630DD">
        <w:rPr>
          <w:szCs w:val="24"/>
        </w:rPr>
        <w:t>vyhlašov</w:t>
      </w:r>
      <w:r w:rsidR="00AF0580">
        <w:rPr>
          <w:szCs w:val="24"/>
        </w:rPr>
        <w:t>al</w:t>
      </w:r>
      <w:r w:rsidRPr="004630DD">
        <w:rPr>
          <w:szCs w:val="24"/>
        </w:rPr>
        <w:t xml:space="preserve"> ÚV ČR v kontrolovaném období 2016</w:t>
      </w:r>
      <w:r w:rsidRPr="0065439B">
        <w:t>─</w:t>
      </w:r>
      <w:r w:rsidRPr="004630DD">
        <w:rPr>
          <w:szCs w:val="24"/>
        </w:rPr>
        <w:t xml:space="preserve">2019 i mimořádná dotační řízení a v případě roku 2018 a 2019 </w:t>
      </w:r>
      <w:r w:rsidR="00863428" w:rsidRPr="004630DD">
        <w:rPr>
          <w:szCs w:val="24"/>
        </w:rPr>
        <w:t>uveřejnil také výzvu na</w:t>
      </w:r>
      <w:r w:rsidRPr="004630DD">
        <w:rPr>
          <w:szCs w:val="24"/>
        </w:rPr>
        <w:t xml:space="preserve"> tzv. dofinancování. </w:t>
      </w:r>
      <w:r w:rsidR="00EE6AD5">
        <w:rPr>
          <w:szCs w:val="24"/>
        </w:rPr>
        <w:t>V</w:t>
      </w:r>
      <w:r w:rsidR="00EE6AD5" w:rsidRPr="004630DD">
        <w:rPr>
          <w:szCs w:val="24"/>
        </w:rPr>
        <w:t xml:space="preserve"> roce 2019 </w:t>
      </w:r>
      <w:r w:rsidR="00EE6AD5">
        <w:rPr>
          <w:szCs w:val="24"/>
        </w:rPr>
        <w:t>n</w:t>
      </w:r>
      <w:r w:rsidRPr="004630DD">
        <w:rPr>
          <w:szCs w:val="24"/>
        </w:rPr>
        <w:t>a</w:t>
      </w:r>
      <w:r w:rsidR="00863428" w:rsidRPr="004630DD">
        <w:rPr>
          <w:szCs w:val="24"/>
        </w:rPr>
        <w:t xml:space="preserve"> </w:t>
      </w:r>
      <w:r w:rsidRPr="004630DD">
        <w:rPr>
          <w:szCs w:val="24"/>
        </w:rPr>
        <w:t xml:space="preserve">výzvu </w:t>
      </w:r>
      <w:r w:rsidR="00863428" w:rsidRPr="004630DD">
        <w:rPr>
          <w:szCs w:val="24"/>
        </w:rPr>
        <w:t xml:space="preserve">určenou </w:t>
      </w:r>
      <w:r w:rsidRPr="004630DD">
        <w:rPr>
          <w:szCs w:val="24"/>
        </w:rPr>
        <w:t>k dofinancování stávajících realizovaných projektů ÚV ČR vyčlenil 77</w:t>
      </w:r>
      <w:r w:rsidR="00731ADC">
        <w:rPr>
          <w:szCs w:val="24"/>
        </w:rPr>
        <w:t xml:space="preserve"> </w:t>
      </w:r>
      <w:r w:rsidRPr="004630DD">
        <w:rPr>
          <w:szCs w:val="24"/>
        </w:rPr>
        <w:t>mil. Kč. Toto posílení dotačního programu schválila vláda</w:t>
      </w:r>
      <w:r w:rsidR="0057231A" w:rsidRPr="004630DD">
        <w:rPr>
          <w:szCs w:val="24"/>
        </w:rPr>
        <w:t xml:space="preserve"> ČR</w:t>
      </w:r>
      <w:r w:rsidR="004A0D72">
        <w:rPr>
          <w:szCs w:val="24"/>
        </w:rPr>
        <w:t xml:space="preserve"> dne</w:t>
      </w:r>
      <w:r w:rsidRPr="004630DD">
        <w:rPr>
          <w:szCs w:val="24"/>
        </w:rPr>
        <w:t xml:space="preserve"> 25. 11. 2019</w:t>
      </w:r>
      <w:r w:rsidR="0057231A" w:rsidRPr="004630DD">
        <w:rPr>
          <w:szCs w:val="24"/>
        </w:rPr>
        <w:t>, přičemž</w:t>
      </w:r>
      <w:r w:rsidRPr="004630DD">
        <w:rPr>
          <w:szCs w:val="24"/>
        </w:rPr>
        <w:t xml:space="preserve"> žádosti o</w:t>
      </w:r>
      <w:r w:rsidR="00905044">
        <w:rPr>
          <w:szCs w:val="24"/>
        </w:rPr>
        <w:t> </w:t>
      </w:r>
      <w:r w:rsidRPr="004630DD">
        <w:rPr>
          <w:szCs w:val="24"/>
        </w:rPr>
        <w:t>dofinancování měly být zasílány do 4. 12. 2</w:t>
      </w:r>
      <w:r w:rsidR="00644D44">
        <w:rPr>
          <w:szCs w:val="24"/>
        </w:rPr>
        <w:t>019. RVKPP rozhodla dne 17. 12. </w:t>
      </w:r>
      <w:r w:rsidRPr="004630DD">
        <w:rPr>
          <w:szCs w:val="24"/>
        </w:rPr>
        <w:t>2019 o</w:t>
      </w:r>
      <w:r w:rsidR="00731ADC">
        <w:rPr>
          <w:szCs w:val="24"/>
        </w:rPr>
        <w:t xml:space="preserve"> </w:t>
      </w:r>
      <w:r w:rsidRPr="004630DD">
        <w:rPr>
          <w:szCs w:val="24"/>
        </w:rPr>
        <w:t>rozdělení dotačních prostředků v celko</w:t>
      </w:r>
      <w:r w:rsidR="0057231A" w:rsidRPr="004630DD">
        <w:rPr>
          <w:szCs w:val="24"/>
        </w:rPr>
        <w:t xml:space="preserve">vé výši 11 348 000 Kč. </w:t>
      </w:r>
      <w:r w:rsidRPr="004630DD">
        <w:rPr>
          <w:szCs w:val="24"/>
        </w:rPr>
        <w:t>NKÚ z</w:t>
      </w:r>
      <w:r w:rsidR="0057231A" w:rsidRPr="004630DD">
        <w:rPr>
          <w:szCs w:val="24"/>
        </w:rPr>
        <w:t xml:space="preserve">jistil na vzorku pěti kontrolovaných projektů, které byly financovány </w:t>
      </w:r>
      <w:r w:rsidR="0057231A" w:rsidRPr="005A1773">
        <w:rPr>
          <w:b/>
          <w:szCs w:val="24"/>
        </w:rPr>
        <w:t>v rámci tzv. dofinancování, že</w:t>
      </w:r>
      <w:r w:rsidRPr="004630DD">
        <w:rPr>
          <w:szCs w:val="24"/>
        </w:rPr>
        <w:t xml:space="preserve"> </w:t>
      </w:r>
      <w:r w:rsidRPr="005A1773">
        <w:rPr>
          <w:b/>
          <w:szCs w:val="24"/>
        </w:rPr>
        <w:t xml:space="preserve">finanční prostředky </w:t>
      </w:r>
      <w:r w:rsidR="0057231A" w:rsidRPr="005A1773">
        <w:rPr>
          <w:b/>
          <w:szCs w:val="24"/>
        </w:rPr>
        <w:t xml:space="preserve">byly jejich </w:t>
      </w:r>
      <w:r w:rsidR="0057231A" w:rsidRPr="005A1773">
        <w:rPr>
          <w:b/>
          <w:szCs w:val="24"/>
        </w:rPr>
        <w:lastRenderedPageBreak/>
        <w:t xml:space="preserve">příjemcům </w:t>
      </w:r>
      <w:r w:rsidRPr="005A1773">
        <w:rPr>
          <w:b/>
          <w:szCs w:val="24"/>
        </w:rPr>
        <w:t>zaslány dne 23. 12.</w:t>
      </w:r>
      <w:r w:rsidR="0057231A" w:rsidRPr="005A1773">
        <w:rPr>
          <w:b/>
          <w:szCs w:val="24"/>
        </w:rPr>
        <w:t xml:space="preserve"> 2019</w:t>
      </w:r>
      <w:r w:rsidR="00863428" w:rsidRPr="005A1773">
        <w:rPr>
          <w:b/>
          <w:szCs w:val="24"/>
        </w:rPr>
        <w:t>, tj. 8 dnů před koncem roku</w:t>
      </w:r>
      <w:r w:rsidR="00863428" w:rsidRPr="00780145">
        <w:rPr>
          <w:b/>
          <w:szCs w:val="24"/>
        </w:rPr>
        <w:t>,</w:t>
      </w:r>
      <w:r w:rsidR="00863428" w:rsidRPr="004630DD">
        <w:rPr>
          <w:szCs w:val="24"/>
        </w:rPr>
        <w:t xml:space="preserve"> v němž měly být projekty realizovány.</w:t>
      </w:r>
    </w:p>
    <w:p w14:paraId="07388F32" w14:textId="38AB2B57" w:rsidR="00FC042D" w:rsidRDefault="002D395F" w:rsidP="00FC602A">
      <w:pPr>
        <w:widowControl/>
        <w:spacing w:after="120"/>
        <w:rPr>
          <w:szCs w:val="24"/>
        </w:rPr>
      </w:pPr>
      <w:r>
        <w:rPr>
          <w:szCs w:val="24"/>
        </w:rPr>
        <w:t>Nepotřebnost</w:t>
      </w:r>
      <w:r w:rsidRPr="00FC042D">
        <w:rPr>
          <w:szCs w:val="24"/>
        </w:rPr>
        <w:t xml:space="preserve"> </w:t>
      </w:r>
      <w:r w:rsidR="00FC042D" w:rsidRPr="00FC042D">
        <w:rPr>
          <w:szCs w:val="24"/>
        </w:rPr>
        <w:t xml:space="preserve">vyhlášení </w:t>
      </w:r>
      <w:r w:rsidR="008F70A5">
        <w:rPr>
          <w:szCs w:val="24"/>
        </w:rPr>
        <w:t xml:space="preserve">výzvy na </w:t>
      </w:r>
      <w:r w:rsidR="00FC042D" w:rsidRPr="00FC042D">
        <w:rPr>
          <w:szCs w:val="24"/>
        </w:rPr>
        <w:t xml:space="preserve">dofinancování je patrná </w:t>
      </w:r>
      <w:r w:rsidR="008F70A5">
        <w:rPr>
          <w:szCs w:val="24"/>
        </w:rPr>
        <w:t xml:space="preserve">i </w:t>
      </w:r>
      <w:r w:rsidR="00FC042D" w:rsidRPr="00FC042D">
        <w:rPr>
          <w:szCs w:val="24"/>
        </w:rPr>
        <w:t>z</w:t>
      </w:r>
      <w:r w:rsidR="008F70A5">
        <w:rPr>
          <w:szCs w:val="24"/>
        </w:rPr>
        <w:t>e skutečnosti</w:t>
      </w:r>
      <w:r w:rsidR="00FC042D" w:rsidRPr="00FC042D">
        <w:rPr>
          <w:szCs w:val="24"/>
        </w:rPr>
        <w:t xml:space="preserve">, že </w:t>
      </w:r>
      <w:r w:rsidR="008F70A5">
        <w:rPr>
          <w:szCs w:val="24"/>
        </w:rPr>
        <w:t xml:space="preserve">v jejím rámci žadatelé předložili žádosti o dotace v celkové výši </w:t>
      </w:r>
      <w:r w:rsidR="00FC042D" w:rsidRPr="00FC042D">
        <w:rPr>
          <w:szCs w:val="24"/>
        </w:rPr>
        <w:t xml:space="preserve">12 243 570 Kč, tj. </w:t>
      </w:r>
      <w:r w:rsidR="008F70A5">
        <w:rPr>
          <w:szCs w:val="24"/>
        </w:rPr>
        <w:t xml:space="preserve">ve výši </w:t>
      </w:r>
      <w:r w:rsidR="00FC042D" w:rsidRPr="00FC042D">
        <w:rPr>
          <w:szCs w:val="24"/>
        </w:rPr>
        <w:t xml:space="preserve">pouze </w:t>
      </w:r>
      <w:r w:rsidR="008F70A5">
        <w:rPr>
          <w:szCs w:val="24"/>
        </w:rPr>
        <w:t xml:space="preserve">necelých </w:t>
      </w:r>
      <w:r w:rsidR="00445258">
        <w:rPr>
          <w:szCs w:val="24"/>
        </w:rPr>
        <w:br/>
      </w:r>
      <w:r w:rsidR="00FC042D" w:rsidRPr="00FC042D">
        <w:rPr>
          <w:szCs w:val="24"/>
        </w:rPr>
        <w:t>1</w:t>
      </w:r>
      <w:r w:rsidR="008F70A5">
        <w:rPr>
          <w:szCs w:val="24"/>
        </w:rPr>
        <w:t>6</w:t>
      </w:r>
      <w:r w:rsidR="00905044">
        <w:rPr>
          <w:szCs w:val="24"/>
        </w:rPr>
        <w:t> </w:t>
      </w:r>
      <w:r w:rsidR="00FC042D" w:rsidRPr="00FC042D">
        <w:rPr>
          <w:szCs w:val="24"/>
        </w:rPr>
        <w:t xml:space="preserve">% alokovaných </w:t>
      </w:r>
      <w:r w:rsidR="008F70A5">
        <w:rPr>
          <w:szCs w:val="24"/>
        </w:rPr>
        <w:t>prostředků</w:t>
      </w:r>
      <w:r w:rsidR="00FC042D" w:rsidRPr="00FC042D">
        <w:rPr>
          <w:szCs w:val="24"/>
        </w:rPr>
        <w:t>.</w:t>
      </w:r>
    </w:p>
    <w:p w14:paraId="1FDA2684" w14:textId="59BD5D00" w:rsidR="008F70A5" w:rsidRPr="005A1773" w:rsidRDefault="00302332" w:rsidP="00FC602A">
      <w:pPr>
        <w:widowControl/>
        <w:spacing w:after="120"/>
        <w:rPr>
          <w:b/>
          <w:szCs w:val="24"/>
        </w:rPr>
      </w:pPr>
      <w:r>
        <w:rPr>
          <w:b/>
          <w:szCs w:val="24"/>
        </w:rPr>
        <w:t>Vynaložení p</w:t>
      </w:r>
      <w:r w:rsidR="00C30BE3" w:rsidRPr="00B103CE">
        <w:rPr>
          <w:b/>
          <w:szCs w:val="24"/>
        </w:rPr>
        <w:t>eněžní</w:t>
      </w:r>
      <w:r>
        <w:rPr>
          <w:b/>
          <w:szCs w:val="24"/>
        </w:rPr>
        <w:t>ch</w:t>
      </w:r>
      <w:r w:rsidR="00C30BE3" w:rsidRPr="00B103CE">
        <w:rPr>
          <w:b/>
          <w:szCs w:val="24"/>
        </w:rPr>
        <w:t xml:space="preserve"> </w:t>
      </w:r>
      <w:r>
        <w:rPr>
          <w:b/>
          <w:szCs w:val="24"/>
        </w:rPr>
        <w:t>prostředků</w:t>
      </w:r>
      <w:r w:rsidR="00863428" w:rsidRPr="00B103CE">
        <w:rPr>
          <w:b/>
          <w:szCs w:val="24"/>
        </w:rPr>
        <w:t xml:space="preserve">, jež </w:t>
      </w:r>
      <w:r w:rsidR="00C30BE3" w:rsidRPr="00B103CE">
        <w:rPr>
          <w:b/>
          <w:szCs w:val="24"/>
        </w:rPr>
        <w:t xml:space="preserve">poskytl ÚV ČR </w:t>
      </w:r>
      <w:r w:rsidR="00863428" w:rsidRPr="00B103CE">
        <w:rPr>
          <w:b/>
          <w:szCs w:val="24"/>
        </w:rPr>
        <w:t xml:space="preserve">prostřednictvím </w:t>
      </w:r>
      <w:r w:rsidR="00C30BE3" w:rsidRPr="00B103CE">
        <w:rPr>
          <w:b/>
          <w:szCs w:val="24"/>
        </w:rPr>
        <w:t>výzvy na dofinancování projektů v roce 2019,</w:t>
      </w:r>
      <w:r w:rsidR="00863428" w:rsidRPr="00B103CE">
        <w:rPr>
          <w:b/>
          <w:szCs w:val="24"/>
        </w:rPr>
        <w:t xml:space="preserve"> nelze považovat za</w:t>
      </w:r>
      <w:r w:rsidR="00EE33E6" w:rsidRPr="00B103CE">
        <w:rPr>
          <w:b/>
          <w:szCs w:val="24"/>
        </w:rPr>
        <w:t xml:space="preserve"> účelné</w:t>
      </w:r>
      <w:r w:rsidR="00863428" w:rsidRPr="00B103CE">
        <w:rPr>
          <w:b/>
          <w:szCs w:val="24"/>
        </w:rPr>
        <w:t>.</w:t>
      </w:r>
      <w:r w:rsidR="008F70A5">
        <w:rPr>
          <w:szCs w:val="24"/>
        </w:rPr>
        <w:t xml:space="preserve"> </w:t>
      </w:r>
      <w:r w:rsidR="008F70A5" w:rsidRPr="005A1773">
        <w:rPr>
          <w:b/>
          <w:szCs w:val="24"/>
        </w:rPr>
        <w:t>ÚV ČR nemohl těmito prostředky</w:t>
      </w:r>
      <w:r w:rsidR="008F70A5">
        <w:rPr>
          <w:szCs w:val="24"/>
        </w:rPr>
        <w:t xml:space="preserve"> </w:t>
      </w:r>
      <w:r w:rsidR="007D7870">
        <w:rPr>
          <w:szCs w:val="24"/>
        </w:rPr>
        <w:t xml:space="preserve">nijak </w:t>
      </w:r>
      <w:r w:rsidR="008F70A5">
        <w:rPr>
          <w:szCs w:val="24"/>
        </w:rPr>
        <w:t xml:space="preserve">významně </w:t>
      </w:r>
      <w:r w:rsidR="008F70A5" w:rsidRPr="005A1773">
        <w:rPr>
          <w:b/>
          <w:szCs w:val="24"/>
        </w:rPr>
        <w:t>ovlivnit výsledky jednotlivých projektů</w:t>
      </w:r>
      <w:r w:rsidR="008F70A5" w:rsidRPr="00780145">
        <w:rPr>
          <w:b/>
          <w:szCs w:val="24"/>
        </w:rPr>
        <w:t>,</w:t>
      </w:r>
      <w:r w:rsidR="008F70A5">
        <w:rPr>
          <w:szCs w:val="24"/>
        </w:rPr>
        <w:t xml:space="preserve"> </w:t>
      </w:r>
      <w:r w:rsidR="008F70A5" w:rsidRPr="005A1773">
        <w:rPr>
          <w:b/>
          <w:szCs w:val="24"/>
        </w:rPr>
        <w:t>prostředky</w:t>
      </w:r>
      <w:r w:rsidR="008F70A5">
        <w:rPr>
          <w:szCs w:val="24"/>
        </w:rPr>
        <w:t xml:space="preserve"> </w:t>
      </w:r>
      <w:r w:rsidR="00840DAA">
        <w:rPr>
          <w:szCs w:val="24"/>
        </w:rPr>
        <w:t xml:space="preserve">vyplacené </w:t>
      </w:r>
      <w:r w:rsidR="008F70A5">
        <w:rPr>
          <w:szCs w:val="24"/>
        </w:rPr>
        <w:t xml:space="preserve">v samotném závěru roku tak </w:t>
      </w:r>
      <w:r w:rsidR="008F70A5" w:rsidRPr="005A1773">
        <w:rPr>
          <w:b/>
          <w:szCs w:val="24"/>
        </w:rPr>
        <w:t>sloužily pouze ke zlepšení finanční situace jejich příjemců.</w:t>
      </w:r>
    </w:p>
    <w:p w14:paraId="0F045605" w14:textId="77777777" w:rsidR="00835D3F" w:rsidRPr="008F70A5" w:rsidRDefault="00835D3F" w:rsidP="00FC602A">
      <w:pPr>
        <w:pStyle w:val="Nadpiskapitoly"/>
        <w:numPr>
          <w:ilvl w:val="0"/>
          <w:numId w:val="11"/>
        </w:numPr>
        <w:ind w:left="284" w:hanging="284"/>
      </w:pPr>
      <w:r w:rsidRPr="008F70A5">
        <w:t>Na MŠMT nebylo možné prostředky na protidrogovou politiku oddělit od jiných dotací</w:t>
      </w:r>
    </w:p>
    <w:p w14:paraId="3464BCE8" w14:textId="15CACA29" w:rsidR="00965315" w:rsidRDefault="00CE268B" w:rsidP="00FC602A">
      <w:pPr>
        <w:pStyle w:val="Odstavecseseznamem"/>
        <w:spacing w:after="120"/>
        <w:contextualSpacing w:val="0"/>
        <w:rPr>
          <w:szCs w:val="24"/>
        </w:rPr>
      </w:pPr>
      <w:r>
        <w:rPr>
          <w:szCs w:val="24"/>
        </w:rPr>
        <w:t xml:space="preserve">Na </w:t>
      </w:r>
      <w:r w:rsidRPr="00CE268B">
        <w:rPr>
          <w:szCs w:val="24"/>
        </w:rPr>
        <w:t>MŠMT</w:t>
      </w:r>
      <w:r>
        <w:rPr>
          <w:szCs w:val="24"/>
        </w:rPr>
        <w:t xml:space="preserve"> byly v kontrolovaném období dotace z programu protidrogové politiky vypláceny společně s dotacemi z p</w:t>
      </w:r>
      <w:r w:rsidRPr="00CE268B">
        <w:rPr>
          <w:szCs w:val="24"/>
        </w:rPr>
        <w:t>rogram</w:t>
      </w:r>
      <w:r>
        <w:rPr>
          <w:szCs w:val="24"/>
        </w:rPr>
        <w:t>u</w:t>
      </w:r>
      <w:r w:rsidRPr="00CE268B">
        <w:rPr>
          <w:szCs w:val="24"/>
        </w:rPr>
        <w:t xml:space="preserve"> sociální prevence a prevence kriminality</w:t>
      </w:r>
      <w:r>
        <w:rPr>
          <w:szCs w:val="24"/>
        </w:rPr>
        <w:t>. MŠMT</w:t>
      </w:r>
      <w:r w:rsidRPr="00CE268B">
        <w:rPr>
          <w:szCs w:val="24"/>
        </w:rPr>
        <w:t xml:space="preserve"> ne</w:t>
      </w:r>
      <w:r>
        <w:rPr>
          <w:szCs w:val="24"/>
        </w:rPr>
        <w:t>bylo schopno doložit, jakým</w:t>
      </w:r>
      <w:r w:rsidRPr="00CE268B">
        <w:rPr>
          <w:szCs w:val="24"/>
        </w:rPr>
        <w:t xml:space="preserve"> způsobem a na základě jakých kritérií rozhodovalo o tom, zda bude dotace na </w:t>
      </w:r>
      <w:r>
        <w:rPr>
          <w:szCs w:val="24"/>
        </w:rPr>
        <w:t xml:space="preserve">konkrétní </w:t>
      </w:r>
      <w:r w:rsidRPr="00CE268B">
        <w:rPr>
          <w:szCs w:val="24"/>
        </w:rPr>
        <w:t xml:space="preserve">projekt zařazena </w:t>
      </w:r>
      <w:r w:rsidR="00E01C60">
        <w:rPr>
          <w:szCs w:val="24"/>
        </w:rPr>
        <w:t>pod závazným</w:t>
      </w:r>
      <w:r w:rsidRPr="00CE268B">
        <w:rPr>
          <w:szCs w:val="24"/>
        </w:rPr>
        <w:t xml:space="preserve"> výdajov</w:t>
      </w:r>
      <w:r w:rsidR="00E01C60">
        <w:rPr>
          <w:szCs w:val="24"/>
        </w:rPr>
        <w:t>ým</w:t>
      </w:r>
      <w:r w:rsidRPr="00CE268B">
        <w:rPr>
          <w:szCs w:val="24"/>
        </w:rPr>
        <w:t xml:space="preserve"> ukazatel</w:t>
      </w:r>
      <w:r w:rsidR="00E01C60">
        <w:rPr>
          <w:szCs w:val="24"/>
        </w:rPr>
        <w:t>em</w:t>
      </w:r>
      <w:r w:rsidRPr="00CE268B">
        <w:rPr>
          <w:szCs w:val="24"/>
        </w:rPr>
        <w:t xml:space="preserve"> státního rozpočtu </w:t>
      </w:r>
      <w:r w:rsidRPr="00F86F76">
        <w:rPr>
          <w:i/>
          <w:szCs w:val="24"/>
        </w:rPr>
        <w:t>Program protidrogové politiky</w:t>
      </w:r>
      <w:r w:rsidRPr="00CE268B">
        <w:rPr>
          <w:szCs w:val="24"/>
        </w:rPr>
        <w:t xml:space="preserve">, nebo </w:t>
      </w:r>
      <w:r w:rsidRPr="00F86F76">
        <w:rPr>
          <w:i/>
          <w:szCs w:val="24"/>
        </w:rPr>
        <w:t>Program sociální prevence a prevence kriminality</w:t>
      </w:r>
      <w:r w:rsidR="007741E5">
        <w:rPr>
          <w:szCs w:val="24"/>
        </w:rPr>
        <w:t xml:space="preserve">. </w:t>
      </w:r>
      <w:r w:rsidR="00F86F76">
        <w:rPr>
          <w:szCs w:val="24"/>
        </w:rPr>
        <w:t>Přestože p</w:t>
      </w:r>
      <w:r>
        <w:rPr>
          <w:szCs w:val="24"/>
        </w:rPr>
        <w:t>rostředky</w:t>
      </w:r>
      <w:r w:rsidR="00604F48">
        <w:rPr>
          <w:szCs w:val="24"/>
        </w:rPr>
        <w:t xml:space="preserve"> určené státním rozpočtem</w:t>
      </w:r>
      <w:r>
        <w:rPr>
          <w:szCs w:val="24"/>
        </w:rPr>
        <w:t xml:space="preserve"> na jednotlivé programy nelze </w:t>
      </w:r>
      <w:r w:rsidR="004A0D72">
        <w:rPr>
          <w:szCs w:val="24"/>
        </w:rPr>
        <w:t>zaměňovat</w:t>
      </w:r>
      <w:r w:rsidR="00F86F76">
        <w:rPr>
          <w:szCs w:val="24"/>
        </w:rPr>
        <w:t>, ž</w:t>
      </w:r>
      <w:r w:rsidR="00965315" w:rsidRPr="00965315">
        <w:rPr>
          <w:szCs w:val="24"/>
        </w:rPr>
        <w:t xml:space="preserve">ádosti o dotace, resp. podpořené projekty v rámci protidrogové politiky zahrnuté do kontrolního vzorku </w:t>
      </w:r>
      <w:r w:rsidR="00965315">
        <w:rPr>
          <w:szCs w:val="24"/>
        </w:rPr>
        <w:t>u poskytovatele dotací, jímž bylo MŠMT, se</w:t>
      </w:r>
      <w:r w:rsidR="00965315" w:rsidRPr="00965315">
        <w:rPr>
          <w:szCs w:val="24"/>
        </w:rPr>
        <w:t xml:space="preserve"> zaměř</w:t>
      </w:r>
      <w:r w:rsidR="00965315">
        <w:rPr>
          <w:szCs w:val="24"/>
        </w:rPr>
        <w:t>ovaly</w:t>
      </w:r>
      <w:r w:rsidR="00965315" w:rsidRPr="00965315">
        <w:rPr>
          <w:szCs w:val="24"/>
        </w:rPr>
        <w:t xml:space="preserve"> jak na preventivní aktivity v protidrogové oblasti, tak na aktivity v oblasti sociální prevence a prevence kriminality.</w:t>
      </w:r>
      <w:r w:rsidR="00965315">
        <w:rPr>
          <w:szCs w:val="24"/>
        </w:rPr>
        <w:t xml:space="preserve"> </w:t>
      </w:r>
      <w:r w:rsidR="007741E5">
        <w:rPr>
          <w:szCs w:val="24"/>
        </w:rPr>
        <w:t>Tím, že projekty podpořené MŠMT z programu protidrogové politiky byly zaměřeny obecně na prevenci</w:t>
      </w:r>
      <w:r w:rsidR="00E01C60">
        <w:rPr>
          <w:szCs w:val="24"/>
        </w:rPr>
        <w:t xml:space="preserve"> rizikového chování</w:t>
      </w:r>
      <w:r w:rsidR="007741E5">
        <w:rPr>
          <w:szCs w:val="24"/>
        </w:rPr>
        <w:t xml:space="preserve">, </w:t>
      </w:r>
      <w:r w:rsidR="007741E5" w:rsidRPr="005A1773">
        <w:rPr>
          <w:b/>
          <w:szCs w:val="24"/>
        </w:rPr>
        <w:t xml:space="preserve">MŠMT nerespektovalo účelovost prostředků státního rozpočtu, která je dána </w:t>
      </w:r>
      <w:r w:rsidR="00E01C60" w:rsidRPr="005A1773">
        <w:rPr>
          <w:b/>
          <w:szCs w:val="24"/>
        </w:rPr>
        <w:t xml:space="preserve">jeho </w:t>
      </w:r>
      <w:r w:rsidR="007741E5" w:rsidRPr="005A1773">
        <w:rPr>
          <w:b/>
          <w:szCs w:val="24"/>
        </w:rPr>
        <w:t>závaznými ukazateli</w:t>
      </w:r>
      <w:r w:rsidR="007741E5">
        <w:rPr>
          <w:rStyle w:val="Znakapoznpodarou"/>
          <w:szCs w:val="24"/>
        </w:rPr>
        <w:footnoteReference w:id="16"/>
      </w:r>
      <w:r w:rsidR="007741E5" w:rsidRPr="00CE268B">
        <w:rPr>
          <w:szCs w:val="24"/>
        </w:rPr>
        <w:t>.</w:t>
      </w:r>
    </w:p>
    <w:p w14:paraId="17AFE7E0" w14:textId="7BD52B59" w:rsidR="00965315" w:rsidRPr="00965315" w:rsidRDefault="007812BC" w:rsidP="00FC602A">
      <w:pPr>
        <w:pStyle w:val="Odstavecseseznamem"/>
        <w:spacing w:after="120"/>
        <w:contextualSpacing w:val="0"/>
        <w:rPr>
          <w:szCs w:val="24"/>
        </w:rPr>
      </w:pPr>
      <w:r>
        <w:rPr>
          <w:szCs w:val="24"/>
        </w:rPr>
        <w:t xml:space="preserve">Protože </w:t>
      </w:r>
      <w:r w:rsidR="00965315" w:rsidRPr="00965315">
        <w:rPr>
          <w:szCs w:val="24"/>
        </w:rPr>
        <w:t xml:space="preserve">MŠMT v rámci poskytovaných dotací neoddělilo </w:t>
      </w:r>
      <w:r w:rsidR="00495B64" w:rsidRPr="00965315">
        <w:rPr>
          <w:szCs w:val="24"/>
        </w:rPr>
        <w:t xml:space="preserve">důsledně </w:t>
      </w:r>
      <w:r w:rsidR="00965315" w:rsidRPr="00965315">
        <w:rPr>
          <w:szCs w:val="24"/>
        </w:rPr>
        <w:t>oblast prevence protidrogové politiky a oblast prevence kriminality, resp. oblast sociální prevence, znemožnilo</w:t>
      </w:r>
      <w:r w:rsidR="00F86F76">
        <w:rPr>
          <w:szCs w:val="24"/>
        </w:rPr>
        <w:t xml:space="preserve"> </w:t>
      </w:r>
      <w:r w:rsidR="00965315" w:rsidRPr="00965315">
        <w:rPr>
          <w:szCs w:val="24"/>
        </w:rPr>
        <w:t xml:space="preserve">správně vykazovat výdaje zařazené pod výdajový ukazatel </w:t>
      </w:r>
      <w:r w:rsidR="00965315" w:rsidRPr="00B103CE">
        <w:rPr>
          <w:i/>
          <w:szCs w:val="24"/>
        </w:rPr>
        <w:t>Program protidrogové politiky</w:t>
      </w:r>
      <w:r w:rsidR="00965315" w:rsidRPr="00965315">
        <w:rPr>
          <w:szCs w:val="24"/>
        </w:rPr>
        <w:t xml:space="preserve">. </w:t>
      </w:r>
      <w:r>
        <w:rPr>
          <w:szCs w:val="24"/>
        </w:rPr>
        <w:t>Splnění ú</w:t>
      </w:r>
      <w:r w:rsidR="00965315" w:rsidRPr="00B103CE">
        <w:rPr>
          <w:szCs w:val="24"/>
        </w:rPr>
        <w:t>čel</w:t>
      </w:r>
      <w:r>
        <w:rPr>
          <w:szCs w:val="24"/>
        </w:rPr>
        <w:t>u</w:t>
      </w:r>
      <w:r w:rsidR="00F86F76" w:rsidRPr="00B103CE">
        <w:rPr>
          <w:szCs w:val="24"/>
        </w:rPr>
        <w:t xml:space="preserve"> prostředků státního rozpočtu</w:t>
      </w:r>
      <w:r w:rsidR="00F86F76" w:rsidRPr="007812BC">
        <w:rPr>
          <w:szCs w:val="24"/>
        </w:rPr>
        <w:t xml:space="preserve"> </w:t>
      </w:r>
      <w:r w:rsidR="00965315" w:rsidRPr="007812BC">
        <w:rPr>
          <w:szCs w:val="24"/>
        </w:rPr>
        <w:t xml:space="preserve">tak </w:t>
      </w:r>
      <w:r w:rsidR="00965315" w:rsidRPr="00B103CE">
        <w:rPr>
          <w:szCs w:val="24"/>
        </w:rPr>
        <w:t>nelze</w:t>
      </w:r>
      <w:r w:rsidR="00965315" w:rsidRPr="007812BC">
        <w:rPr>
          <w:szCs w:val="24"/>
        </w:rPr>
        <w:t xml:space="preserve"> v případě prostředků poskytovaných </w:t>
      </w:r>
      <w:r w:rsidR="00445258">
        <w:rPr>
          <w:szCs w:val="24"/>
        </w:rPr>
        <w:br/>
      </w:r>
      <w:r w:rsidR="00965315" w:rsidRPr="007812BC">
        <w:rPr>
          <w:szCs w:val="24"/>
        </w:rPr>
        <w:t xml:space="preserve">z </w:t>
      </w:r>
      <w:r w:rsidR="00CE268B" w:rsidRPr="00B04829">
        <w:rPr>
          <w:szCs w:val="24"/>
        </w:rPr>
        <w:t xml:space="preserve">kapitoly státního rozpočtu </w:t>
      </w:r>
      <w:r w:rsidR="00CE268B" w:rsidRPr="00780145">
        <w:rPr>
          <w:szCs w:val="24"/>
        </w:rPr>
        <w:t>333</w:t>
      </w:r>
      <w:r w:rsidR="00CE268B" w:rsidRPr="00B04829">
        <w:rPr>
          <w:i/>
          <w:szCs w:val="24"/>
        </w:rPr>
        <w:t xml:space="preserve"> – Ministerstvo školství, mládeže a tělovýchovy</w:t>
      </w:r>
      <w:r w:rsidR="00965315" w:rsidRPr="00B04829">
        <w:rPr>
          <w:szCs w:val="24"/>
        </w:rPr>
        <w:t xml:space="preserve"> v rámci výdajového ukazatele </w:t>
      </w:r>
      <w:r w:rsidR="00965315" w:rsidRPr="00B103CE">
        <w:rPr>
          <w:i/>
          <w:szCs w:val="24"/>
        </w:rPr>
        <w:t>Program protidrogové politiky</w:t>
      </w:r>
      <w:r w:rsidR="00965315" w:rsidRPr="007812BC">
        <w:rPr>
          <w:szCs w:val="24"/>
        </w:rPr>
        <w:t xml:space="preserve"> </w:t>
      </w:r>
      <w:r w:rsidR="00965315" w:rsidRPr="00B103CE">
        <w:rPr>
          <w:szCs w:val="24"/>
        </w:rPr>
        <w:t>objektivně posoudit a vyhodnotit</w:t>
      </w:r>
      <w:r w:rsidR="00C0234A" w:rsidRPr="00B103CE">
        <w:rPr>
          <w:szCs w:val="24"/>
        </w:rPr>
        <w:t>.</w:t>
      </w:r>
      <w:r w:rsidR="00C0234A">
        <w:rPr>
          <w:b/>
          <w:szCs w:val="24"/>
        </w:rPr>
        <w:t xml:space="preserve"> </w:t>
      </w:r>
      <w:r w:rsidRPr="00B103CE">
        <w:rPr>
          <w:szCs w:val="24"/>
        </w:rPr>
        <w:t>V důsledku výše uvedených skutečností</w:t>
      </w:r>
      <w:r>
        <w:rPr>
          <w:b/>
          <w:szCs w:val="24"/>
        </w:rPr>
        <w:t xml:space="preserve"> </w:t>
      </w:r>
      <w:r w:rsidR="00C0234A">
        <w:rPr>
          <w:b/>
          <w:szCs w:val="24"/>
        </w:rPr>
        <w:t xml:space="preserve">MŠMT </w:t>
      </w:r>
      <w:r w:rsidR="00C0234A">
        <w:rPr>
          <w:b/>
        </w:rPr>
        <w:t xml:space="preserve">v kontrolovaném období nemohlo </w:t>
      </w:r>
      <w:r w:rsidR="00C0234A" w:rsidRPr="00CD440B">
        <w:rPr>
          <w:b/>
        </w:rPr>
        <w:t>soustavně sled</w:t>
      </w:r>
      <w:r w:rsidR="00C0234A">
        <w:rPr>
          <w:b/>
        </w:rPr>
        <w:t>ovat</w:t>
      </w:r>
      <w:r w:rsidR="00C0234A" w:rsidRPr="00CD440B">
        <w:rPr>
          <w:b/>
        </w:rPr>
        <w:t xml:space="preserve"> a vyhodnoc</w:t>
      </w:r>
      <w:r w:rsidR="00C0234A">
        <w:rPr>
          <w:b/>
        </w:rPr>
        <w:t>ovat</w:t>
      </w:r>
      <w:r w:rsidR="00C0234A" w:rsidRPr="00CD440B">
        <w:rPr>
          <w:b/>
        </w:rPr>
        <w:t xml:space="preserve"> účelnost vynakládání výdajů ve své kapitole</w:t>
      </w:r>
      <w:r w:rsidR="00C0234A">
        <w:rPr>
          <w:rStyle w:val="Znakapoznpodarou"/>
          <w:szCs w:val="24"/>
        </w:rPr>
        <w:footnoteReference w:id="17"/>
      </w:r>
      <w:r w:rsidR="00965315" w:rsidRPr="00965315">
        <w:rPr>
          <w:szCs w:val="24"/>
        </w:rPr>
        <w:t>.</w:t>
      </w:r>
    </w:p>
    <w:p w14:paraId="525F3CD0" w14:textId="1F104801" w:rsidR="00835D3F" w:rsidRDefault="00835D3F" w:rsidP="00FC602A">
      <w:pPr>
        <w:pStyle w:val="Nadpiskapitoly"/>
        <w:numPr>
          <w:ilvl w:val="0"/>
          <w:numId w:val="11"/>
        </w:numPr>
        <w:ind w:left="284" w:hanging="284"/>
      </w:pPr>
      <w:r w:rsidRPr="00835D3F">
        <w:t xml:space="preserve">V samotném procesu poskytování dotací </w:t>
      </w:r>
      <w:r w:rsidR="00051969" w:rsidRPr="00051969">
        <w:t xml:space="preserve">a jejich administrace </w:t>
      </w:r>
      <w:r w:rsidRPr="00835D3F">
        <w:t xml:space="preserve">byla zjištěna řada </w:t>
      </w:r>
      <w:r w:rsidR="00C30BE3">
        <w:t>nedostatků</w:t>
      </w:r>
      <w:r w:rsidR="00C30BE3" w:rsidRPr="00835D3F">
        <w:t xml:space="preserve"> </w:t>
      </w:r>
      <w:r w:rsidRPr="00835D3F">
        <w:t xml:space="preserve">u všech </w:t>
      </w:r>
      <w:r w:rsidR="007812BC">
        <w:t xml:space="preserve">kontrolovaných </w:t>
      </w:r>
      <w:r w:rsidRPr="00835D3F">
        <w:t>poskytovatelů dotací</w:t>
      </w:r>
    </w:p>
    <w:p w14:paraId="2AACD97F" w14:textId="6A4ABC34" w:rsidR="00051969" w:rsidRPr="005A1773" w:rsidRDefault="00263E9E" w:rsidP="00FC602A">
      <w:pPr>
        <w:pStyle w:val="Odstavecseseznamem"/>
        <w:spacing w:after="120"/>
        <w:contextualSpacing w:val="0"/>
        <w:rPr>
          <w:b/>
          <w:szCs w:val="24"/>
        </w:rPr>
      </w:pPr>
      <w:r>
        <w:rPr>
          <w:szCs w:val="24"/>
        </w:rPr>
        <w:t>P</w:t>
      </w:r>
      <w:r w:rsidR="00051969" w:rsidRPr="00051969">
        <w:rPr>
          <w:szCs w:val="24"/>
        </w:rPr>
        <w:t xml:space="preserve">oskytovatelé podpory v rámci protidrogové politiky se v kontrolovaném období při </w:t>
      </w:r>
      <w:r w:rsidR="00C30BE3">
        <w:rPr>
          <w:szCs w:val="24"/>
        </w:rPr>
        <w:t>poskytování</w:t>
      </w:r>
      <w:r w:rsidR="00051969" w:rsidRPr="00051969">
        <w:rPr>
          <w:szCs w:val="24"/>
        </w:rPr>
        <w:t xml:space="preserve"> a administraci dotací měli řídit především právními předpisy, ale také pravidly, která </w:t>
      </w:r>
      <w:r w:rsidR="00A00015">
        <w:rPr>
          <w:szCs w:val="24"/>
        </w:rPr>
        <w:t xml:space="preserve">si </w:t>
      </w:r>
      <w:r>
        <w:rPr>
          <w:szCs w:val="24"/>
        </w:rPr>
        <w:t xml:space="preserve">sami </w:t>
      </w:r>
      <w:r w:rsidR="00051969" w:rsidRPr="00051969">
        <w:rPr>
          <w:szCs w:val="24"/>
        </w:rPr>
        <w:t>stanovili pro jednotlivé dotační výzvy.</w:t>
      </w:r>
      <w:r w:rsidR="00051969">
        <w:rPr>
          <w:szCs w:val="24"/>
        </w:rPr>
        <w:t xml:space="preserve"> </w:t>
      </w:r>
      <w:r w:rsidR="006A51FA">
        <w:rPr>
          <w:szCs w:val="24"/>
        </w:rPr>
        <w:t xml:space="preserve">V některých případech však ÚV ČR </w:t>
      </w:r>
      <w:r w:rsidR="00445258">
        <w:rPr>
          <w:szCs w:val="24"/>
        </w:rPr>
        <w:br/>
      </w:r>
      <w:r w:rsidR="006A51FA">
        <w:rPr>
          <w:szCs w:val="24"/>
        </w:rPr>
        <w:t xml:space="preserve">i </w:t>
      </w:r>
      <w:r w:rsidR="00240878">
        <w:rPr>
          <w:szCs w:val="24"/>
        </w:rPr>
        <w:t>kontrolovaná ministerstva</w:t>
      </w:r>
      <w:r w:rsidR="006A51FA">
        <w:rPr>
          <w:szCs w:val="24"/>
        </w:rPr>
        <w:t xml:space="preserve"> stanovené postupy nedodržovaly a pravidla porušovaly.</w:t>
      </w:r>
      <w:r w:rsidR="00240878">
        <w:rPr>
          <w:szCs w:val="24"/>
        </w:rPr>
        <w:t xml:space="preserve"> </w:t>
      </w:r>
      <w:r w:rsidR="00C50F02" w:rsidRPr="005A1773">
        <w:rPr>
          <w:b/>
          <w:szCs w:val="24"/>
        </w:rPr>
        <w:t>NKÚ</w:t>
      </w:r>
      <w:r w:rsidR="00C50F02">
        <w:rPr>
          <w:szCs w:val="24"/>
        </w:rPr>
        <w:t xml:space="preserve"> kontrolou</w:t>
      </w:r>
      <w:r w:rsidR="00014D3C">
        <w:rPr>
          <w:szCs w:val="24"/>
        </w:rPr>
        <w:t xml:space="preserve"> vzorku vybraných dotací</w:t>
      </w:r>
      <w:r w:rsidR="00BB14F8">
        <w:rPr>
          <w:szCs w:val="24"/>
        </w:rPr>
        <w:t xml:space="preserve"> </w:t>
      </w:r>
      <w:r w:rsidR="00BB14F8" w:rsidRPr="005A1773">
        <w:rPr>
          <w:b/>
          <w:szCs w:val="24"/>
        </w:rPr>
        <w:t>u jejich poskytovatelů</w:t>
      </w:r>
      <w:r w:rsidR="00C50F02" w:rsidRPr="005A1773">
        <w:rPr>
          <w:b/>
          <w:szCs w:val="24"/>
        </w:rPr>
        <w:t xml:space="preserve"> zjistil zejména následující nedostatky:</w:t>
      </w:r>
    </w:p>
    <w:p w14:paraId="4420A01F" w14:textId="77777777" w:rsidR="006A51FA" w:rsidRDefault="00B228B4" w:rsidP="00FC602A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MŠMT a MZ nezpracovaly </w:t>
      </w:r>
      <w:r w:rsidR="0032075A">
        <w:rPr>
          <w:szCs w:val="24"/>
        </w:rPr>
        <w:t xml:space="preserve">závazný </w:t>
      </w:r>
      <w:r>
        <w:rPr>
          <w:szCs w:val="24"/>
        </w:rPr>
        <w:t>formulář</w:t>
      </w:r>
      <w:r w:rsidR="0032075A">
        <w:rPr>
          <w:szCs w:val="24"/>
        </w:rPr>
        <w:t xml:space="preserve"> pro podání</w:t>
      </w:r>
      <w:r>
        <w:rPr>
          <w:szCs w:val="24"/>
        </w:rPr>
        <w:t xml:space="preserve"> žádosti tak, aby obsahoval veškeré náležitosti stanovené zákonem</w:t>
      </w:r>
      <w:r>
        <w:rPr>
          <w:rStyle w:val="Znakapoznpodarou"/>
          <w:szCs w:val="24"/>
        </w:rPr>
        <w:footnoteReference w:id="18"/>
      </w:r>
      <w:r>
        <w:rPr>
          <w:szCs w:val="24"/>
        </w:rPr>
        <w:t>.</w:t>
      </w:r>
      <w:r w:rsidR="0032075A">
        <w:rPr>
          <w:szCs w:val="24"/>
        </w:rPr>
        <w:t xml:space="preserve"> </w:t>
      </w:r>
      <w:r w:rsidR="0032075A" w:rsidRPr="0032075A">
        <w:rPr>
          <w:szCs w:val="24"/>
        </w:rPr>
        <w:t xml:space="preserve">MŠMT </w:t>
      </w:r>
      <w:r w:rsidR="0032075A">
        <w:rPr>
          <w:szCs w:val="24"/>
        </w:rPr>
        <w:t xml:space="preserve">navíc </w:t>
      </w:r>
      <w:r w:rsidR="0032075A" w:rsidRPr="0032075A">
        <w:rPr>
          <w:szCs w:val="24"/>
        </w:rPr>
        <w:t xml:space="preserve">chybně nastavilo </w:t>
      </w:r>
      <w:r w:rsidR="0032075A">
        <w:rPr>
          <w:szCs w:val="24"/>
        </w:rPr>
        <w:t xml:space="preserve">i elektronický </w:t>
      </w:r>
      <w:r w:rsidR="0032075A" w:rsidRPr="0032075A">
        <w:rPr>
          <w:szCs w:val="24"/>
        </w:rPr>
        <w:lastRenderedPageBreak/>
        <w:t>formulář pro vyúčtování</w:t>
      </w:r>
      <w:r w:rsidR="0032075A">
        <w:rPr>
          <w:szCs w:val="24"/>
        </w:rPr>
        <w:t>, čímž</w:t>
      </w:r>
      <w:r w:rsidR="0032075A" w:rsidRPr="0032075A">
        <w:rPr>
          <w:szCs w:val="24"/>
        </w:rPr>
        <w:t xml:space="preserve"> znemožnilo příjemcům dotací předložit vyúčtování bez věcných nesprávností.</w:t>
      </w:r>
    </w:p>
    <w:p w14:paraId="024BE6DE" w14:textId="79575741" w:rsidR="0097572F" w:rsidRDefault="0032075A" w:rsidP="00FC602A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ÚV ČR vydal dvě změnová rozhodnutí o poskytnutí dotace až po skončení </w:t>
      </w:r>
      <w:r w:rsidR="001D2B2D">
        <w:rPr>
          <w:szCs w:val="24"/>
        </w:rPr>
        <w:t xml:space="preserve">kalendářního </w:t>
      </w:r>
      <w:r>
        <w:rPr>
          <w:szCs w:val="24"/>
        </w:rPr>
        <w:t xml:space="preserve">roku, na který byla dotace poskytnuta. </w:t>
      </w:r>
    </w:p>
    <w:p w14:paraId="32ABADF0" w14:textId="516722E1" w:rsidR="007A1BFC" w:rsidRDefault="0097572F" w:rsidP="00FC602A">
      <w:pPr>
        <w:pStyle w:val="Odstavecseseznamem"/>
        <w:numPr>
          <w:ilvl w:val="0"/>
          <w:numId w:val="17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ÚV ČR i kontrolované resorty vydaly </w:t>
      </w:r>
      <w:r w:rsidR="00575B9E">
        <w:rPr>
          <w:szCs w:val="24"/>
        </w:rPr>
        <w:t>v řadě případů</w:t>
      </w:r>
      <w:r w:rsidR="0032075A">
        <w:rPr>
          <w:szCs w:val="24"/>
        </w:rPr>
        <w:t xml:space="preserve"> rozhodnutí o poskytnutí </w:t>
      </w:r>
      <w:r w:rsidR="004A0D72">
        <w:rPr>
          <w:szCs w:val="24"/>
        </w:rPr>
        <w:t xml:space="preserve">dotace </w:t>
      </w:r>
      <w:r>
        <w:rPr>
          <w:szCs w:val="24"/>
        </w:rPr>
        <w:t>pozdě</w:t>
      </w:r>
      <w:r w:rsidR="00A935E6">
        <w:rPr>
          <w:szCs w:val="24"/>
        </w:rPr>
        <w:t>,</w:t>
      </w:r>
      <w:r w:rsidR="0032075A">
        <w:rPr>
          <w:szCs w:val="24"/>
        </w:rPr>
        <w:t xml:space="preserve"> a </w:t>
      </w:r>
      <w:r w:rsidR="00A935E6">
        <w:rPr>
          <w:szCs w:val="24"/>
        </w:rPr>
        <w:t xml:space="preserve">proto </w:t>
      </w:r>
      <w:r w:rsidR="0032075A">
        <w:rPr>
          <w:szCs w:val="24"/>
        </w:rPr>
        <w:t>nemohly vyplácet dotace ve stanoveném termínu</w:t>
      </w:r>
      <w:r>
        <w:rPr>
          <w:szCs w:val="24"/>
        </w:rPr>
        <w:t>, tj. do 31. března rozpočtového roku</w:t>
      </w:r>
      <w:r w:rsidR="00575B9E">
        <w:rPr>
          <w:rStyle w:val="Znakapoznpodarou"/>
          <w:szCs w:val="24"/>
        </w:rPr>
        <w:footnoteReference w:id="19"/>
      </w:r>
      <w:r w:rsidR="00575B9E">
        <w:rPr>
          <w:szCs w:val="24"/>
        </w:rPr>
        <w:t xml:space="preserve">. </w:t>
      </w:r>
      <w:r w:rsidR="00527914" w:rsidRPr="00527914">
        <w:rPr>
          <w:szCs w:val="24"/>
        </w:rPr>
        <w:t xml:space="preserve">Vydaná rozhodnutí o poskytnutí dotace nesplňovala </w:t>
      </w:r>
      <w:r w:rsidR="00A935E6" w:rsidRPr="00527914">
        <w:rPr>
          <w:szCs w:val="24"/>
        </w:rPr>
        <w:t xml:space="preserve">vždy </w:t>
      </w:r>
      <w:r w:rsidR="00527914" w:rsidRPr="00527914">
        <w:rPr>
          <w:szCs w:val="24"/>
        </w:rPr>
        <w:t>veškeré formální náležitosti stanovené zákonem</w:t>
      </w:r>
      <w:r w:rsidR="00E7348F">
        <w:rPr>
          <w:rStyle w:val="Znakapoznpodarou"/>
          <w:szCs w:val="24"/>
        </w:rPr>
        <w:footnoteReference w:id="20"/>
      </w:r>
      <w:r w:rsidR="00575B9E">
        <w:rPr>
          <w:szCs w:val="24"/>
        </w:rPr>
        <w:t>.</w:t>
      </w:r>
    </w:p>
    <w:p w14:paraId="1677FA77" w14:textId="76EA88EB" w:rsidR="005F4818" w:rsidRPr="005F4818" w:rsidRDefault="005F4818" w:rsidP="00FC602A">
      <w:pPr>
        <w:pStyle w:val="Odstavecseseznamem"/>
        <w:numPr>
          <w:ilvl w:val="0"/>
          <w:numId w:val="17"/>
        </w:numPr>
        <w:spacing w:after="120"/>
        <w:contextualSpacing w:val="0"/>
        <w:rPr>
          <w:szCs w:val="24"/>
        </w:rPr>
      </w:pPr>
      <w:r>
        <w:rPr>
          <w:szCs w:val="24"/>
        </w:rPr>
        <w:t>MZ u pěti dotací</w:t>
      </w:r>
      <w:r w:rsidRPr="00F11A8A">
        <w:rPr>
          <w:szCs w:val="24"/>
        </w:rPr>
        <w:t xml:space="preserve"> měnilo práva a</w:t>
      </w:r>
      <w:r>
        <w:rPr>
          <w:szCs w:val="24"/>
        </w:rPr>
        <w:t xml:space="preserve"> povinnosti příjemců dotací a závazné </w:t>
      </w:r>
      <w:r w:rsidRPr="00F11A8A">
        <w:rPr>
          <w:szCs w:val="24"/>
        </w:rPr>
        <w:t>parametry projektů</w:t>
      </w:r>
      <w:r>
        <w:rPr>
          <w:szCs w:val="24"/>
        </w:rPr>
        <w:t>, tj. zejména výši rozpočtu projektu, resp. podíl státní dotace na jeho financování,</w:t>
      </w:r>
      <w:r w:rsidRPr="00F11A8A">
        <w:rPr>
          <w:szCs w:val="24"/>
        </w:rPr>
        <w:t xml:space="preserve"> pouze neformálním sc</w:t>
      </w:r>
      <w:r>
        <w:rPr>
          <w:szCs w:val="24"/>
        </w:rPr>
        <w:t>hválením nebo vzetím na vědomí, aniž by vydalo příslušná změnová rozhodnutí.</w:t>
      </w:r>
    </w:p>
    <w:p w14:paraId="7F3CA082" w14:textId="28CF34AB" w:rsidR="00B228B4" w:rsidRDefault="00B228B4" w:rsidP="00FC602A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ÚV ČR a MŠMT nesplnily </w:t>
      </w:r>
      <w:r w:rsidR="0032075A">
        <w:rPr>
          <w:szCs w:val="24"/>
        </w:rPr>
        <w:t xml:space="preserve">u většiny kontrolovaných dotací </w:t>
      </w:r>
      <w:r>
        <w:rPr>
          <w:szCs w:val="24"/>
        </w:rPr>
        <w:t>povinnost uveřej</w:t>
      </w:r>
      <w:r w:rsidR="00AC6DCE">
        <w:rPr>
          <w:szCs w:val="24"/>
        </w:rPr>
        <w:t>nit</w:t>
      </w:r>
      <w:r>
        <w:rPr>
          <w:szCs w:val="24"/>
        </w:rPr>
        <w:t xml:space="preserve"> dokumenty k dotacím prostřednictvím </w:t>
      </w:r>
      <w:r w:rsidRPr="00B228B4">
        <w:rPr>
          <w:szCs w:val="24"/>
        </w:rPr>
        <w:t>informační</w:t>
      </w:r>
      <w:r w:rsidR="00AC6DCE">
        <w:rPr>
          <w:szCs w:val="24"/>
        </w:rPr>
        <w:t>ho</w:t>
      </w:r>
      <w:r w:rsidRPr="00B228B4">
        <w:rPr>
          <w:szCs w:val="24"/>
        </w:rPr>
        <w:t xml:space="preserve"> systému Ministerstva financí</w:t>
      </w:r>
      <w:r>
        <w:rPr>
          <w:szCs w:val="24"/>
        </w:rPr>
        <w:t xml:space="preserve"> </w:t>
      </w:r>
      <w:r w:rsidRPr="00B228B4">
        <w:rPr>
          <w:szCs w:val="24"/>
        </w:rPr>
        <w:t>(dotinfo.cz)</w:t>
      </w:r>
      <w:r w:rsidR="00191FCC">
        <w:rPr>
          <w:rStyle w:val="Znakapoznpodarou"/>
          <w:szCs w:val="24"/>
        </w:rPr>
        <w:footnoteReference w:id="21"/>
      </w:r>
      <w:r>
        <w:rPr>
          <w:szCs w:val="24"/>
        </w:rPr>
        <w:t>.</w:t>
      </w:r>
    </w:p>
    <w:p w14:paraId="53E690A3" w14:textId="324ACF16" w:rsidR="00B228B4" w:rsidRDefault="00B228B4" w:rsidP="00FC602A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4"/>
        </w:rPr>
      </w:pPr>
      <w:r w:rsidRPr="00B228B4">
        <w:rPr>
          <w:szCs w:val="24"/>
        </w:rPr>
        <w:t xml:space="preserve">MŠMT </w:t>
      </w:r>
      <w:r w:rsidR="00191FCC">
        <w:rPr>
          <w:szCs w:val="24"/>
        </w:rPr>
        <w:t>ve</w:t>
      </w:r>
      <w:r w:rsidRPr="00B228B4">
        <w:rPr>
          <w:szCs w:val="24"/>
        </w:rPr>
        <w:t xml:space="preserve"> 12 případech </w:t>
      </w:r>
      <w:r w:rsidR="00E01C60">
        <w:rPr>
          <w:szCs w:val="24"/>
        </w:rPr>
        <w:t>neprovedlo</w:t>
      </w:r>
      <w:r w:rsidR="00E01C60" w:rsidRPr="00B228B4">
        <w:rPr>
          <w:szCs w:val="24"/>
        </w:rPr>
        <w:t xml:space="preserve"> </w:t>
      </w:r>
      <w:r w:rsidRPr="00B228B4">
        <w:rPr>
          <w:szCs w:val="24"/>
        </w:rPr>
        <w:t>před vydáním rozhodnutí</w:t>
      </w:r>
      <w:r w:rsidR="00E01C60">
        <w:rPr>
          <w:szCs w:val="24"/>
        </w:rPr>
        <w:t xml:space="preserve"> o poskytnutí dotace předběžnou finanční kontrolu</w:t>
      </w:r>
      <w:r w:rsidRPr="00B228B4">
        <w:rPr>
          <w:szCs w:val="24"/>
        </w:rPr>
        <w:t xml:space="preserve"> v souladu s právními předpisy</w:t>
      </w:r>
      <w:r w:rsidR="0032075A">
        <w:rPr>
          <w:rStyle w:val="Znakapoznpodarou"/>
          <w:szCs w:val="24"/>
        </w:rPr>
        <w:footnoteReference w:id="22"/>
      </w:r>
      <w:r w:rsidR="0032075A">
        <w:rPr>
          <w:szCs w:val="24"/>
        </w:rPr>
        <w:t>.</w:t>
      </w:r>
    </w:p>
    <w:p w14:paraId="4F47AF54" w14:textId="14697C84" w:rsidR="00CD5FDB" w:rsidRDefault="00CD5FDB" w:rsidP="00FC602A">
      <w:pPr>
        <w:pStyle w:val="Odstavecseseznamem"/>
        <w:numPr>
          <w:ilvl w:val="0"/>
          <w:numId w:val="17"/>
        </w:numPr>
        <w:spacing w:after="120"/>
        <w:contextualSpacing w:val="0"/>
        <w:rPr>
          <w:szCs w:val="24"/>
        </w:rPr>
      </w:pPr>
      <w:r>
        <w:rPr>
          <w:szCs w:val="24"/>
        </w:rPr>
        <w:t>MZ stanovilo pro příjemce dotací lhůty</w:t>
      </w:r>
      <w:r w:rsidR="00A360D3">
        <w:rPr>
          <w:szCs w:val="24"/>
        </w:rPr>
        <w:t xml:space="preserve"> pro předložení </w:t>
      </w:r>
      <w:r w:rsidR="00882894">
        <w:rPr>
          <w:szCs w:val="24"/>
        </w:rPr>
        <w:t xml:space="preserve">finančního vypořádání </w:t>
      </w:r>
      <w:r>
        <w:rPr>
          <w:szCs w:val="24"/>
        </w:rPr>
        <w:t>v rozporu s příslušnou vyhláškou</w:t>
      </w:r>
      <w:r>
        <w:rPr>
          <w:rStyle w:val="Znakapoznpodarou"/>
          <w:szCs w:val="24"/>
        </w:rPr>
        <w:footnoteReference w:id="23"/>
      </w:r>
      <w:r w:rsidR="00411A45">
        <w:rPr>
          <w:szCs w:val="24"/>
        </w:rPr>
        <w:t>.</w:t>
      </w:r>
      <w:r w:rsidR="00C1731D">
        <w:rPr>
          <w:szCs w:val="24"/>
        </w:rPr>
        <w:t xml:space="preserve"> </w:t>
      </w:r>
      <w:r w:rsidR="00411A45">
        <w:rPr>
          <w:szCs w:val="24"/>
        </w:rPr>
        <w:t>T</w:t>
      </w:r>
      <w:r w:rsidR="000548C5">
        <w:rPr>
          <w:szCs w:val="24"/>
        </w:rPr>
        <w:t>aké</w:t>
      </w:r>
      <w:r w:rsidR="000548C5" w:rsidRPr="000548C5">
        <w:rPr>
          <w:szCs w:val="24"/>
        </w:rPr>
        <w:t xml:space="preserve"> podmínku vícezdrojového financování a povinné spoluúčasti </w:t>
      </w:r>
      <w:r w:rsidR="00411A45">
        <w:rPr>
          <w:szCs w:val="24"/>
        </w:rPr>
        <w:t xml:space="preserve">pro </w:t>
      </w:r>
      <w:r w:rsidR="000548C5" w:rsidRPr="000548C5">
        <w:rPr>
          <w:szCs w:val="24"/>
        </w:rPr>
        <w:t xml:space="preserve">příjemce dotace </w:t>
      </w:r>
      <w:r w:rsidR="000548C5">
        <w:rPr>
          <w:szCs w:val="24"/>
        </w:rPr>
        <w:t>stanovilo</w:t>
      </w:r>
      <w:r w:rsidR="00411A45">
        <w:rPr>
          <w:szCs w:val="24"/>
        </w:rPr>
        <w:t xml:space="preserve"> MZ</w:t>
      </w:r>
      <w:r w:rsidR="000548C5" w:rsidRPr="000548C5">
        <w:rPr>
          <w:szCs w:val="24"/>
        </w:rPr>
        <w:t xml:space="preserve"> </w:t>
      </w:r>
      <w:r w:rsidR="00C1731D">
        <w:rPr>
          <w:szCs w:val="24"/>
        </w:rPr>
        <w:t>v několika případech</w:t>
      </w:r>
      <w:r w:rsidR="00411A45">
        <w:rPr>
          <w:szCs w:val="24"/>
        </w:rPr>
        <w:t xml:space="preserve"> metodik pro poskytování dotací v rozporu se </w:t>
      </w:r>
      <w:r w:rsidR="00411A45">
        <w:t>z</w:t>
      </w:r>
      <w:r w:rsidR="00411A45" w:rsidRPr="00575B9E">
        <w:t>ásad</w:t>
      </w:r>
      <w:r w:rsidR="00411A45">
        <w:t>ami</w:t>
      </w:r>
      <w:r w:rsidR="00411A45" w:rsidRPr="00575B9E">
        <w:t xml:space="preserve"> vlády pro poskytování dotací</w:t>
      </w:r>
      <w:r w:rsidR="00411A45">
        <w:rPr>
          <w:rStyle w:val="Znakapoznpodarou"/>
        </w:rPr>
        <w:footnoteReference w:id="24"/>
      </w:r>
      <w:r w:rsidR="00B04829">
        <w:t>. P</w:t>
      </w:r>
      <w:r w:rsidR="00411A45" w:rsidRPr="00411A45">
        <w:t xml:space="preserve">ři důsledné aplikaci těchto striktnějších pravidel ze strany MZ by </w:t>
      </w:r>
      <w:r w:rsidR="00882894">
        <w:t>17 z 18</w:t>
      </w:r>
      <w:r w:rsidR="00411A45" w:rsidRPr="00411A45">
        <w:t xml:space="preserve"> kontrolovaných </w:t>
      </w:r>
      <w:r w:rsidR="00882894">
        <w:t>projektů</w:t>
      </w:r>
      <w:r w:rsidR="00882894" w:rsidRPr="00411A45">
        <w:t xml:space="preserve"> </w:t>
      </w:r>
      <w:r w:rsidR="00411A45" w:rsidRPr="00411A45">
        <w:t>povinnou spoluúčast</w:t>
      </w:r>
      <w:r w:rsidR="00411A45">
        <w:t xml:space="preserve"> </w:t>
      </w:r>
      <w:r w:rsidR="00411A45" w:rsidRPr="00411A45">
        <w:t>nesplnil</w:t>
      </w:r>
      <w:r w:rsidR="00882894">
        <w:t>o</w:t>
      </w:r>
      <w:r w:rsidR="00411A45">
        <w:t>.</w:t>
      </w:r>
      <w:r w:rsidR="00C1731D">
        <w:rPr>
          <w:szCs w:val="24"/>
        </w:rPr>
        <w:t xml:space="preserve"> MZ </w:t>
      </w:r>
      <w:r w:rsidR="00411A45">
        <w:rPr>
          <w:szCs w:val="24"/>
        </w:rPr>
        <w:t>rovněž</w:t>
      </w:r>
      <w:r w:rsidR="00C1731D">
        <w:rPr>
          <w:szCs w:val="24"/>
        </w:rPr>
        <w:t xml:space="preserve"> stanovilo podmínky pro příjemce dotace v rozhodnutích o poskytnutí dotace </w:t>
      </w:r>
      <w:r w:rsidR="00411A45">
        <w:rPr>
          <w:szCs w:val="24"/>
        </w:rPr>
        <w:t xml:space="preserve">v některých případech </w:t>
      </w:r>
      <w:r w:rsidR="00C1731D">
        <w:rPr>
          <w:szCs w:val="24"/>
        </w:rPr>
        <w:t xml:space="preserve">odlišně, než </w:t>
      </w:r>
      <w:r w:rsidR="00DC1674">
        <w:rPr>
          <w:szCs w:val="24"/>
        </w:rPr>
        <w:t xml:space="preserve">je uvedeno </w:t>
      </w:r>
      <w:r w:rsidR="00A360D3">
        <w:rPr>
          <w:szCs w:val="24"/>
        </w:rPr>
        <w:t>v</w:t>
      </w:r>
      <w:r w:rsidR="00DC1674">
        <w:rPr>
          <w:szCs w:val="24"/>
        </w:rPr>
        <w:t> </w:t>
      </w:r>
      <w:r w:rsidR="00C1731D">
        <w:rPr>
          <w:szCs w:val="24"/>
        </w:rPr>
        <w:t>příslušné metodice pro poskytování dotací.</w:t>
      </w:r>
    </w:p>
    <w:p w14:paraId="0C1E1BDC" w14:textId="6303B822" w:rsidR="00240878" w:rsidRPr="005A1773" w:rsidRDefault="00240878" w:rsidP="00780145">
      <w:pPr>
        <w:widowControl/>
        <w:spacing w:after="240"/>
        <w:rPr>
          <w:b/>
          <w:szCs w:val="24"/>
        </w:rPr>
      </w:pPr>
      <w:r w:rsidRPr="00240878">
        <w:rPr>
          <w:szCs w:val="24"/>
        </w:rPr>
        <w:t xml:space="preserve">Vzhledem k tomu, že </w:t>
      </w:r>
      <w:r w:rsidRPr="005A1773">
        <w:rPr>
          <w:b/>
          <w:szCs w:val="24"/>
        </w:rPr>
        <w:t>vnitřní kontrolní systémy poskytovatelů dotací</w:t>
      </w:r>
      <w:r w:rsidRPr="00240878">
        <w:rPr>
          <w:szCs w:val="24"/>
        </w:rPr>
        <w:t xml:space="preserve"> </w:t>
      </w:r>
      <w:r>
        <w:rPr>
          <w:szCs w:val="24"/>
        </w:rPr>
        <w:t xml:space="preserve">výše uvedeným </w:t>
      </w:r>
      <w:r w:rsidRPr="00240878">
        <w:rPr>
          <w:szCs w:val="24"/>
        </w:rPr>
        <w:t>chybám</w:t>
      </w:r>
      <w:r>
        <w:rPr>
          <w:szCs w:val="24"/>
        </w:rPr>
        <w:t xml:space="preserve"> včas</w:t>
      </w:r>
      <w:r w:rsidRPr="00240878">
        <w:rPr>
          <w:szCs w:val="24"/>
        </w:rPr>
        <w:t xml:space="preserve"> nezabránily, </w:t>
      </w:r>
      <w:r w:rsidRPr="005A1773">
        <w:rPr>
          <w:b/>
          <w:szCs w:val="24"/>
        </w:rPr>
        <w:t>nelze</w:t>
      </w:r>
      <w:r w:rsidRPr="00240878">
        <w:rPr>
          <w:szCs w:val="24"/>
        </w:rPr>
        <w:t xml:space="preserve"> je </w:t>
      </w:r>
      <w:r w:rsidRPr="005A1773">
        <w:rPr>
          <w:b/>
          <w:szCs w:val="24"/>
        </w:rPr>
        <w:t>považovat za správně nastavené a plně funkční.</w:t>
      </w:r>
    </w:p>
    <w:p w14:paraId="7A1F8170" w14:textId="77777777" w:rsidR="00835D3F" w:rsidRDefault="00835D3F" w:rsidP="00FC602A">
      <w:pPr>
        <w:pStyle w:val="Nadpiskapitoly"/>
        <w:numPr>
          <w:ilvl w:val="0"/>
          <w:numId w:val="11"/>
        </w:numPr>
        <w:ind w:left="284" w:hanging="284"/>
      </w:pPr>
      <w:r w:rsidRPr="00835D3F">
        <w:t>Rozhodování o přidělení dotací nebylo v některých případech transparentní</w:t>
      </w:r>
    </w:p>
    <w:p w14:paraId="25B5A092" w14:textId="2CEC05C0" w:rsidR="00574159" w:rsidRDefault="00F36141" w:rsidP="00FC602A">
      <w:pPr>
        <w:pStyle w:val="Odstavecseseznamem"/>
        <w:spacing w:after="120"/>
        <w:contextualSpacing w:val="0"/>
        <w:rPr>
          <w:szCs w:val="24"/>
        </w:rPr>
      </w:pPr>
      <w:r w:rsidRPr="00ED71A3">
        <w:rPr>
          <w:szCs w:val="24"/>
        </w:rPr>
        <w:t>Žádosti podané</w:t>
      </w:r>
      <w:r>
        <w:rPr>
          <w:szCs w:val="24"/>
        </w:rPr>
        <w:t xml:space="preserve"> na základě výzev ÚV ČR a jednotlivých resortů byly ze strany poskytovatelů </w:t>
      </w:r>
      <w:r w:rsidR="00BC562D">
        <w:rPr>
          <w:szCs w:val="24"/>
        </w:rPr>
        <w:t xml:space="preserve">dotací </w:t>
      </w:r>
      <w:r>
        <w:rPr>
          <w:szCs w:val="24"/>
        </w:rPr>
        <w:t xml:space="preserve">hodnoceny jak z pohledu splnění formálních náležitostí, tak </w:t>
      </w:r>
      <w:r w:rsidR="00BC562D">
        <w:rPr>
          <w:szCs w:val="24"/>
        </w:rPr>
        <w:t xml:space="preserve">i </w:t>
      </w:r>
      <w:r>
        <w:rPr>
          <w:szCs w:val="24"/>
        </w:rPr>
        <w:t xml:space="preserve">z pohledu věcného. </w:t>
      </w:r>
      <w:r w:rsidR="00E12F36">
        <w:rPr>
          <w:szCs w:val="24"/>
        </w:rPr>
        <w:br/>
      </w:r>
      <w:r w:rsidR="00574159">
        <w:rPr>
          <w:szCs w:val="24"/>
        </w:rPr>
        <w:t xml:space="preserve">Ne vždy </w:t>
      </w:r>
      <w:r w:rsidR="005747DF">
        <w:rPr>
          <w:szCs w:val="24"/>
        </w:rPr>
        <w:t>však</w:t>
      </w:r>
      <w:r w:rsidR="00574159">
        <w:rPr>
          <w:szCs w:val="24"/>
        </w:rPr>
        <w:t xml:space="preserve"> byla úplná pravidla pro hodnocení žádostí zveřejněna</w:t>
      </w:r>
      <w:r w:rsidR="00ED71A3">
        <w:rPr>
          <w:szCs w:val="24"/>
        </w:rPr>
        <w:t>,</w:t>
      </w:r>
      <w:r w:rsidR="00574159">
        <w:rPr>
          <w:szCs w:val="24"/>
        </w:rPr>
        <w:t xml:space="preserve"> žadatelé o dotace </w:t>
      </w:r>
      <w:r w:rsidR="005747DF">
        <w:rPr>
          <w:szCs w:val="24"/>
        </w:rPr>
        <w:t xml:space="preserve">tak </w:t>
      </w:r>
      <w:r w:rsidR="00574159">
        <w:rPr>
          <w:szCs w:val="24"/>
        </w:rPr>
        <w:t xml:space="preserve">neměli možnost dopředu zjistit, jakým způsobem budou </w:t>
      </w:r>
      <w:r w:rsidR="00ED71A3">
        <w:rPr>
          <w:szCs w:val="24"/>
        </w:rPr>
        <w:t>jejich</w:t>
      </w:r>
      <w:r w:rsidR="00574159">
        <w:rPr>
          <w:szCs w:val="24"/>
        </w:rPr>
        <w:t xml:space="preserve"> žádosti o dotace hodnoceny. </w:t>
      </w:r>
      <w:r w:rsidR="00574159" w:rsidRPr="00BC562D">
        <w:rPr>
          <w:szCs w:val="24"/>
        </w:rPr>
        <w:lastRenderedPageBreak/>
        <w:t xml:space="preserve">Tento fakt způsobil, že proces poskytování dotací </w:t>
      </w:r>
      <w:r w:rsidR="00574159">
        <w:rPr>
          <w:szCs w:val="24"/>
        </w:rPr>
        <w:t>nebyl zcela transparentní.</w:t>
      </w:r>
      <w:r w:rsidR="00014D3C">
        <w:rPr>
          <w:szCs w:val="24"/>
        </w:rPr>
        <w:t xml:space="preserve"> </w:t>
      </w:r>
      <w:r w:rsidR="00014D3C" w:rsidRPr="005A1773">
        <w:rPr>
          <w:b/>
          <w:szCs w:val="24"/>
        </w:rPr>
        <w:t xml:space="preserve">NKÚ spatřuje </w:t>
      </w:r>
      <w:r w:rsidR="00EA56A7">
        <w:rPr>
          <w:b/>
          <w:szCs w:val="24"/>
        </w:rPr>
        <w:t xml:space="preserve">příčiny </w:t>
      </w:r>
      <w:r w:rsidR="00014D3C" w:rsidRPr="005A1773">
        <w:rPr>
          <w:b/>
          <w:szCs w:val="24"/>
        </w:rPr>
        <w:t xml:space="preserve">snížení míry </w:t>
      </w:r>
      <w:r w:rsidR="007C6045" w:rsidRPr="005A1773">
        <w:rPr>
          <w:b/>
          <w:szCs w:val="24"/>
        </w:rPr>
        <w:t>transparent</w:t>
      </w:r>
      <w:r w:rsidR="00882894" w:rsidRPr="005A1773">
        <w:rPr>
          <w:b/>
          <w:szCs w:val="24"/>
        </w:rPr>
        <w:t>n</w:t>
      </w:r>
      <w:r w:rsidR="007C6045" w:rsidRPr="005A1773">
        <w:rPr>
          <w:b/>
          <w:szCs w:val="24"/>
        </w:rPr>
        <w:t>osti</w:t>
      </w:r>
      <w:r w:rsidR="002641D7">
        <w:rPr>
          <w:szCs w:val="24"/>
        </w:rPr>
        <w:t xml:space="preserve"> </w:t>
      </w:r>
      <w:r w:rsidR="00014D3C">
        <w:rPr>
          <w:szCs w:val="24"/>
        </w:rPr>
        <w:t xml:space="preserve">hodnoticího procesu </w:t>
      </w:r>
      <w:r w:rsidR="00014D3C" w:rsidRPr="005A1773">
        <w:rPr>
          <w:b/>
          <w:szCs w:val="24"/>
        </w:rPr>
        <w:t>v těchto skutečnostech:</w:t>
      </w:r>
    </w:p>
    <w:p w14:paraId="43DDD6AF" w14:textId="370FC65A" w:rsidR="00BC562D" w:rsidRDefault="00826851" w:rsidP="00FC602A">
      <w:pPr>
        <w:pStyle w:val="Odstavecseseznamem"/>
        <w:numPr>
          <w:ilvl w:val="0"/>
          <w:numId w:val="13"/>
        </w:numPr>
        <w:spacing w:after="120"/>
        <w:contextualSpacing w:val="0"/>
        <w:rPr>
          <w:szCs w:val="24"/>
        </w:rPr>
      </w:pPr>
      <w:r w:rsidRPr="00826851">
        <w:rPr>
          <w:szCs w:val="24"/>
        </w:rPr>
        <w:t>MŠMT v příslušné metodice</w:t>
      </w:r>
      <w:r>
        <w:rPr>
          <w:szCs w:val="24"/>
        </w:rPr>
        <w:t xml:space="preserve"> pro dotace poskytované na rok 2016</w:t>
      </w:r>
      <w:r w:rsidRPr="00826851">
        <w:rPr>
          <w:szCs w:val="24"/>
        </w:rPr>
        <w:t xml:space="preserve"> ani jiným způsobem nezveřejnilo kritéria věcného hodnocení žádostí o dotace, </w:t>
      </w:r>
      <w:r>
        <w:rPr>
          <w:szCs w:val="24"/>
        </w:rPr>
        <w:t xml:space="preserve">pro dotace poskytované </w:t>
      </w:r>
      <w:r w:rsidR="00445258">
        <w:rPr>
          <w:szCs w:val="24"/>
        </w:rPr>
        <w:br/>
      </w:r>
      <w:r>
        <w:rPr>
          <w:szCs w:val="24"/>
        </w:rPr>
        <w:t>na roky 2017 a 2018</w:t>
      </w:r>
      <w:r w:rsidRPr="00826851">
        <w:rPr>
          <w:szCs w:val="24"/>
        </w:rPr>
        <w:t xml:space="preserve"> nezveřejnilo váhy jednotlivých kritérií či bodové škály, které mají být uplatňovány při věcném hodnocení žádostí o dotace</w:t>
      </w:r>
      <w:r>
        <w:rPr>
          <w:szCs w:val="24"/>
        </w:rPr>
        <w:t>.</w:t>
      </w:r>
    </w:p>
    <w:p w14:paraId="3081C2A7" w14:textId="49C4B8E6" w:rsidR="00BC562D" w:rsidRPr="00051969" w:rsidRDefault="000A3A19" w:rsidP="00FC602A">
      <w:pPr>
        <w:pStyle w:val="Odstavecseseznamem"/>
        <w:numPr>
          <w:ilvl w:val="0"/>
          <w:numId w:val="13"/>
        </w:numPr>
        <w:spacing w:after="120"/>
        <w:contextualSpacing w:val="0"/>
        <w:rPr>
          <w:szCs w:val="24"/>
        </w:rPr>
      </w:pPr>
      <w:r w:rsidRPr="00051969">
        <w:rPr>
          <w:szCs w:val="24"/>
        </w:rPr>
        <w:t xml:space="preserve">V případě dotací poskytovaných </w:t>
      </w:r>
      <w:r w:rsidR="00EA56A7">
        <w:rPr>
          <w:szCs w:val="24"/>
        </w:rPr>
        <w:t>Úřadem vlády</w:t>
      </w:r>
      <w:r w:rsidRPr="00051969">
        <w:rPr>
          <w:szCs w:val="24"/>
        </w:rPr>
        <w:t xml:space="preserve"> ČR </w:t>
      </w:r>
      <w:r w:rsidR="00BC562D" w:rsidRPr="00051969">
        <w:rPr>
          <w:szCs w:val="24"/>
        </w:rPr>
        <w:t xml:space="preserve">na rok 2017 </w:t>
      </w:r>
      <w:r w:rsidRPr="00051969">
        <w:rPr>
          <w:szCs w:val="24"/>
        </w:rPr>
        <w:t>žadatelé o dotace sice byli prostřednictvím příslušné směrnice upravující dotační řízení obecně informováni, podle jakých hledisek budou žádosti posuzovány, přesn</w:t>
      </w:r>
      <w:r w:rsidR="00EA56A7">
        <w:rPr>
          <w:szCs w:val="24"/>
        </w:rPr>
        <w:t>ou</w:t>
      </w:r>
      <w:r w:rsidRPr="00051969">
        <w:rPr>
          <w:szCs w:val="24"/>
        </w:rPr>
        <w:t xml:space="preserve"> podob</w:t>
      </w:r>
      <w:r w:rsidR="00EA56A7">
        <w:rPr>
          <w:szCs w:val="24"/>
        </w:rPr>
        <w:t>u</w:t>
      </w:r>
      <w:r w:rsidRPr="00051969">
        <w:rPr>
          <w:szCs w:val="24"/>
        </w:rPr>
        <w:t xml:space="preserve"> kritérií a zejména pak jejich bodové váhy a postupy hodnocení však při podávání žádostí žadatelé neměli možnost zjistit.</w:t>
      </w:r>
    </w:p>
    <w:p w14:paraId="7D155AA7" w14:textId="4AEC2A20" w:rsidR="000A3A19" w:rsidRPr="00B04829" w:rsidRDefault="000A3A19" w:rsidP="00FC602A">
      <w:pPr>
        <w:pStyle w:val="Odstavecseseznamem"/>
        <w:numPr>
          <w:ilvl w:val="0"/>
          <w:numId w:val="13"/>
        </w:numPr>
        <w:spacing w:after="120"/>
        <w:contextualSpacing w:val="0"/>
        <w:rPr>
          <w:szCs w:val="24"/>
        </w:rPr>
      </w:pPr>
      <w:r w:rsidRPr="00567D99">
        <w:rPr>
          <w:szCs w:val="24"/>
        </w:rPr>
        <w:t>MS stanovilo v metodice pro poskytování dotací pro roky 2016, 2017 a 2018 jednoznačná a konkrétně vymezená kritéria hodnocení žádostí o dotace, avšak neuvedlo maximální počet bodů, který bylo možné získat za splnění jednotlivých kritérií.</w:t>
      </w:r>
      <w:r w:rsidR="00567D99" w:rsidRPr="007972E6">
        <w:rPr>
          <w:szCs w:val="24"/>
        </w:rPr>
        <w:t xml:space="preserve"> MS </w:t>
      </w:r>
      <w:r w:rsidR="00567D99" w:rsidRPr="007812BC">
        <w:rPr>
          <w:szCs w:val="24"/>
        </w:rPr>
        <w:t xml:space="preserve">také pochybilo, když v letech 2017–2019 nezveřejnilo na svých internetových stránkách seznam nebo pořadí úspěšnosti žádostí, které úspěšně prošly výběrovým dotačním řízením, </w:t>
      </w:r>
      <w:r w:rsidR="00567D99" w:rsidRPr="00B04829">
        <w:rPr>
          <w:szCs w:val="24"/>
        </w:rPr>
        <w:t>ve stanoveném termínu</w:t>
      </w:r>
      <w:r w:rsidR="00302332">
        <w:rPr>
          <w:rStyle w:val="Znakapoznpodarou"/>
          <w:szCs w:val="24"/>
        </w:rPr>
        <w:footnoteReference w:id="25"/>
      </w:r>
      <w:r w:rsidR="00567D99" w:rsidRPr="00B04829">
        <w:rPr>
          <w:szCs w:val="24"/>
        </w:rPr>
        <w:t>.</w:t>
      </w:r>
    </w:p>
    <w:p w14:paraId="3743BEA4" w14:textId="395EC072" w:rsidR="00D60A95" w:rsidRDefault="00D60A95" w:rsidP="00FC602A">
      <w:pPr>
        <w:pStyle w:val="Odstavecseseznamem"/>
        <w:spacing w:after="120"/>
        <w:contextualSpacing w:val="0"/>
        <w:rPr>
          <w:szCs w:val="24"/>
        </w:rPr>
      </w:pPr>
      <w:r w:rsidRPr="005A1773">
        <w:rPr>
          <w:b/>
          <w:szCs w:val="24"/>
        </w:rPr>
        <w:t>Resorty</w:t>
      </w:r>
      <w:r>
        <w:rPr>
          <w:szCs w:val="24"/>
        </w:rPr>
        <w:t xml:space="preserve"> </w:t>
      </w:r>
      <w:r w:rsidRPr="005A1773">
        <w:rPr>
          <w:b/>
          <w:szCs w:val="24"/>
        </w:rPr>
        <w:t xml:space="preserve">v řadě případů </w:t>
      </w:r>
      <w:r w:rsidR="00C30BE3">
        <w:rPr>
          <w:b/>
          <w:szCs w:val="24"/>
        </w:rPr>
        <w:t xml:space="preserve">rovněž </w:t>
      </w:r>
      <w:r w:rsidR="005747DF" w:rsidRPr="005A1773">
        <w:rPr>
          <w:b/>
          <w:szCs w:val="24"/>
        </w:rPr>
        <w:t>porušil</w:t>
      </w:r>
      <w:r w:rsidRPr="005A1773">
        <w:rPr>
          <w:b/>
          <w:szCs w:val="24"/>
        </w:rPr>
        <w:t>y</w:t>
      </w:r>
      <w:r w:rsidR="005747DF" w:rsidRPr="005A1773">
        <w:rPr>
          <w:b/>
          <w:szCs w:val="24"/>
        </w:rPr>
        <w:t xml:space="preserve"> </w:t>
      </w:r>
      <w:r w:rsidRPr="005A1773">
        <w:rPr>
          <w:b/>
          <w:szCs w:val="24"/>
        </w:rPr>
        <w:t xml:space="preserve">právní předpisy i </w:t>
      </w:r>
      <w:r w:rsidR="005747DF" w:rsidRPr="005A1773">
        <w:rPr>
          <w:b/>
          <w:szCs w:val="24"/>
        </w:rPr>
        <w:t>vlastní pravidla pro poskytování dotací</w:t>
      </w:r>
      <w:r>
        <w:rPr>
          <w:szCs w:val="24"/>
        </w:rPr>
        <w:t xml:space="preserve"> </w:t>
      </w:r>
      <w:r w:rsidR="000629D3">
        <w:rPr>
          <w:szCs w:val="24"/>
        </w:rPr>
        <w:t xml:space="preserve">a </w:t>
      </w:r>
      <w:r>
        <w:rPr>
          <w:szCs w:val="24"/>
        </w:rPr>
        <w:t xml:space="preserve">podpořily </w:t>
      </w:r>
      <w:r w:rsidR="00C30BE3">
        <w:rPr>
          <w:szCs w:val="24"/>
        </w:rPr>
        <w:t xml:space="preserve">také </w:t>
      </w:r>
      <w:r>
        <w:rPr>
          <w:szCs w:val="24"/>
        </w:rPr>
        <w:t xml:space="preserve">žádosti, které podmínky příslušné dotační výzvy nesplnily. </w:t>
      </w:r>
      <w:r w:rsidRPr="005A1773">
        <w:rPr>
          <w:b/>
          <w:szCs w:val="24"/>
        </w:rPr>
        <w:t>Poskytovatelé dotací</w:t>
      </w:r>
      <w:r>
        <w:rPr>
          <w:szCs w:val="24"/>
        </w:rPr>
        <w:t xml:space="preserve"> tímto postupem</w:t>
      </w:r>
      <w:r w:rsidR="005747DF" w:rsidRPr="005747DF">
        <w:rPr>
          <w:szCs w:val="24"/>
        </w:rPr>
        <w:t xml:space="preserve"> </w:t>
      </w:r>
      <w:r w:rsidR="005747DF" w:rsidRPr="005A1773">
        <w:rPr>
          <w:b/>
          <w:szCs w:val="24"/>
        </w:rPr>
        <w:t>vytvářel</w:t>
      </w:r>
      <w:r w:rsidR="000629D3" w:rsidRPr="005A1773">
        <w:rPr>
          <w:b/>
          <w:szCs w:val="24"/>
        </w:rPr>
        <w:t>i</w:t>
      </w:r>
      <w:r w:rsidR="005747DF" w:rsidRPr="005747DF">
        <w:rPr>
          <w:szCs w:val="24"/>
        </w:rPr>
        <w:t xml:space="preserve"> v kontrolovaném období pro žad</w:t>
      </w:r>
      <w:r w:rsidR="00E75B8F">
        <w:rPr>
          <w:szCs w:val="24"/>
        </w:rPr>
        <w:t xml:space="preserve">atele </w:t>
      </w:r>
      <w:r w:rsidR="00445258">
        <w:rPr>
          <w:szCs w:val="24"/>
        </w:rPr>
        <w:br/>
      </w:r>
      <w:r w:rsidR="00E75B8F">
        <w:rPr>
          <w:szCs w:val="24"/>
        </w:rPr>
        <w:t xml:space="preserve">o dotace </w:t>
      </w:r>
      <w:r w:rsidR="00E75B8F" w:rsidRPr="005A1773">
        <w:rPr>
          <w:b/>
          <w:szCs w:val="24"/>
        </w:rPr>
        <w:t>nerovné podmínky,</w:t>
      </w:r>
      <w:r w:rsidR="005747DF" w:rsidRPr="005A1773">
        <w:rPr>
          <w:b/>
          <w:szCs w:val="24"/>
        </w:rPr>
        <w:t xml:space="preserve"> netransparentní </w:t>
      </w:r>
      <w:r w:rsidR="00E75B8F" w:rsidRPr="005A1773">
        <w:rPr>
          <w:b/>
          <w:szCs w:val="24"/>
        </w:rPr>
        <w:t xml:space="preserve">a diskriminační </w:t>
      </w:r>
      <w:r w:rsidR="005747DF" w:rsidRPr="005A1773">
        <w:rPr>
          <w:b/>
          <w:szCs w:val="24"/>
        </w:rPr>
        <w:t>prostředí</w:t>
      </w:r>
      <w:r>
        <w:rPr>
          <w:szCs w:val="24"/>
        </w:rPr>
        <w:t>.</w:t>
      </w:r>
      <w:r w:rsidR="00E75B8F">
        <w:rPr>
          <w:szCs w:val="24"/>
        </w:rPr>
        <w:t xml:space="preserve"> Za významná pochybení resortů pokládá NKÚ níže uvedené skutečnosti:</w:t>
      </w:r>
    </w:p>
    <w:p w14:paraId="2E0C308C" w14:textId="28572C95" w:rsidR="00D60A95" w:rsidRDefault="00D60A95" w:rsidP="00FC602A">
      <w:pPr>
        <w:pStyle w:val="Odstavecseseznamem"/>
        <w:spacing w:after="120"/>
        <w:contextualSpacing w:val="0"/>
        <w:rPr>
          <w:szCs w:val="24"/>
        </w:rPr>
      </w:pPr>
      <w:r w:rsidRPr="005A1773">
        <w:rPr>
          <w:b/>
          <w:szCs w:val="24"/>
        </w:rPr>
        <w:t>M</w:t>
      </w:r>
      <w:r w:rsidR="00C30BE3">
        <w:rPr>
          <w:b/>
          <w:szCs w:val="24"/>
        </w:rPr>
        <w:t>inisterstvo zdravotnictví</w:t>
      </w:r>
    </w:p>
    <w:p w14:paraId="24AF2F92" w14:textId="4AD76F18" w:rsidR="00AE1DAC" w:rsidRDefault="00F45824" w:rsidP="00FC602A">
      <w:pPr>
        <w:pStyle w:val="Odstavecseseznamem"/>
        <w:numPr>
          <w:ilvl w:val="0"/>
          <w:numId w:val="15"/>
        </w:numPr>
        <w:spacing w:after="120"/>
        <w:contextualSpacing w:val="0"/>
        <w:rPr>
          <w:szCs w:val="24"/>
        </w:rPr>
      </w:pPr>
      <w:r>
        <w:rPr>
          <w:szCs w:val="24"/>
        </w:rPr>
        <w:t>V</w:t>
      </w:r>
      <w:r w:rsidR="00E76321">
        <w:rPr>
          <w:szCs w:val="24"/>
        </w:rPr>
        <w:t xml:space="preserve"> jednom případě </w:t>
      </w:r>
      <w:r>
        <w:rPr>
          <w:szCs w:val="24"/>
        </w:rPr>
        <w:t xml:space="preserve">MZ </w:t>
      </w:r>
      <w:r w:rsidR="00E76321" w:rsidRPr="00E76321">
        <w:rPr>
          <w:szCs w:val="24"/>
        </w:rPr>
        <w:t xml:space="preserve">nevyřadilo </w:t>
      </w:r>
      <w:r w:rsidR="00E76321">
        <w:rPr>
          <w:szCs w:val="24"/>
        </w:rPr>
        <w:t>žádost o dotaci, p</w:t>
      </w:r>
      <w:r w:rsidR="00E76321" w:rsidRPr="00E76321">
        <w:rPr>
          <w:szCs w:val="24"/>
        </w:rPr>
        <w:t>řestože žadatel nesplňoval podmínku bezdlužnosti vůči finančnímu úřadu stanovenou v</w:t>
      </w:r>
      <w:r w:rsidR="00E76321">
        <w:rPr>
          <w:szCs w:val="24"/>
        </w:rPr>
        <w:t> příslušné m</w:t>
      </w:r>
      <w:r w:rsidR="00E76321" w:rsidRPr="00E76321">
        <w:rPr>
          <w:szCs w:val="24"/>
        </w:rPr>
        <w:t xml:space="preserve">etodice pro </w:t>
      </w:r>
      <w:r w:rsidR="00E76321">
        <w:rPr>
          <w:szCs w:val="24"/>
        </w:rPr>
        <w:t xml:space="preserve">poskytování dotací na </w:t>
      </w:r>
      <w:r w:rsidR="00E76321" w:rsidRPr="00E76321">
        <w:rPr>
          <w:szCs w:val="24"/>
        </w:rPr>
        <w:t xml:space="preserve">rok 2016, </w:t>
      </w:r>
      <w:r w:rsidR="00E76321">
        <w:rPr>
          <w:szCs w:val="24"/>
        </w:rPr>
        <w:t xml:space="preserve">a naopak ji </w:t>
      </w:r>
      <w:r w:rsidR="00E76321" w:rsidRPr="00E76321">
        <w:rPr>
          <w:szCs w:val="24"/>
        </w:rPr>
        <w:t>podp</w:t>
      </w:r>
      <w:r w:rsidR="005747DF">
        <w:rPr>
          <w:szCs w:val="24"/>
        </w:rPr>
        <w:t>ořilo dotací ve výši 57 900 Kč</w:t>
      </w:r>
      <w:r>
        <w:rPr>
          <w:szCs w:val="24"/>
        </w:rPr>
        <w:t>.</w:t>
      </w:r>
    </w:p>
    <w:p w14:paraId="6FC0BD2B" w14:textId="4C280CB6" w:rsidR="005747DF" w:rsidRDefault="00F45824" w:rsidP="00FC602A">
      <w:pPr>
        <w:pStyle w:val="Odstavecseseznamem"/>
        <w:numPr>
          <w:ilvl w:val="0"/>
          <w:numId w:val="15"/>
        </w:numPr>
        <w:spacing w:after="120"/>
        <w:contextualSpacing w:val="0"/>
        <w:rPr>
          <w:szCs w:val="24"/>
        </w:rPr>
      </w:pPr>
      <w:r>
        <w:rPr>
          <w:szCs w:val="24"/>
        </w:rPr>
        <w:t>K</w:t>
      </w:r>
      <w:r w:rsidR="002C7011">
        <w:rPr>
          <w:szCs w:val="24"/>
        </w:rPr>
        <w:t xml:space="preserve">dyž </w:t>
      </w:r>
      <w:r w:rsidR="00AE1DAC" w:rsidRPr="005747DF">
        <w:rPr>
          <w:szCs w:val="24"/>
        </w:rPr>
        <w:t>žadatel ve dvou případech (dotace na projekt realizovaný v roce 2016 a 2018) nedodržel termín pro podání žádosti stanovený v příslušné metodice, resp. zásilka nebyla prokazatelně přijat</w:t>
      </w:r>
      <w:r>
        <w:rPr>
          <w:szCs w:val="24"/>
        </w:rPr>
        <w:t>a</w:t>
      </w:r>
      <w:r w:rsidR="00AE1DAC" w:rsidRPr="005747DF">
        <w:rPr>
          <w:szCs w:val="24"/>
        </w:rPr>
        <w:t xml:space="preserve"> do výše uvedeného termínu, </w:t>
      </w:r>
      <w:r>
        <w:rPr>
          <w:szCs w:val="24"/>
        </w:rPr>
        <w:t xml:space="preserve">MZ </w:t>
      </w:r>
      <w:r w:rsidR="00AE1DAC" w:rsidRPr="005747DF">
        <w:rPr>
          <w:szCs w:val="24"/>
        </w:rPr>
        <w:t xml:space="preserve">nevyřadilo </w:t>
      </w:r>
      <w:r>
        <w:rPr>
          <w:szCs w:val="24"/>
        </w:rPr>
        <w:t xml:space="preserve">tyto </w:t>
      </w:r>
      <w:r w:rsidR="006F142E">
        <w:rPr>
          <w:szCs w:val="24"/>
        </w:rPr>
        <w:br/>
      </w:r>
      <w:r w:rsidRPr="005747DF">
        <w:rPr>
          <w:szCs w:val="24"/>
        </w:rPr>
        <w:t xml:space="preserve">žádosti </w:t>
      </w:r>
      <w:r w:rsidR="00AE1DAC" w:rsidRPr="005747DF">
        <w:rPr>
          <w:szCs w:val="24"/>
        </w:rPr>
        <w:t>z</w:t>
      </w:r>
      <w:r w:rsidR="00BC3356">
        <w:rPr>
          <w:szCs w:val="24"/>
        </w:rPr>
        <w:t xml:space="preserve"> </w:t>
      </w:r>
      <w:r w:rsidR="00AE1DAC" w:rsidRPr="005747DF">
        <w:rPr>
          <w:szCs w:val="24"/>
        </w:rPr>
        <w:t>dotačního řízení a projekty podpořilo částkou v</w:t>
      </w:r>
      <w:r w:rsidR="006F142E">
        <w:rPr>
          <w:szCs w:val="24"/>
        </w:rPr>
        <w:t xml:space="preserve"> </w:t>
      </w:r>
      <w:r w:rsidR="00AE1DAC" w:rsidRPr="005747DF">
        <w:rPr>
          <w:szCs w:val="24"/>
        </w:rPr>
        <w:t>celkové výši 1</w:t>
      </w:r>
      <w:r w:rsidR="006F142E">
        <w:rPr>
          <w:szCs w:val="24"/>
        </w:rPr>
        <w:t xml:space="preserve"> </w:t>
      </w:r>
      <w:r w:rsidR="00AE1DAC" w:rsidRPr="005747DF">
        <w:rPr>
          <w:szCs w:val="24"/>
        </w:rPr>
        <w:t>371 265 Kč a</w:t>
      </w:r>
      <w:r>
        <w:rPr>
          <w:szCs w:val="24"/>
        </w:rPr>
        <w:t> </w:t>
      </w:r>
      <w:r w:rsidR="00AE1DAC" w:rsidRPr="005747DF">
        <w:rPr>
          <w:szCs w:val="24"/>
        </w:rPr>
        <w:t>2 490 400</w:t>
      </w:r>
      <w:r>
        <w:rPr>
          <w:szCs w:val="24"/>
        </w:rPr>
        <w:t> </w:t>
      </w:r>
      <w:r w:rsidR="00731ADC">
        <w:rPr>
          <w:szCs w:val="24"/>
        </w:rPr>
        <w:t>Kč.</w:t>
      </w:r>
    </w:p>
    <w:p w14:paraId="5025FF40" w14:textId="21973CCD" w:rsidR="005747DF" w:rsidRDefault="00900DA1" w:rsidP="00FC602A">
      <w:pPr>
        <w:pStyle w:val="Odstavecseseznamem"/>
        <w:numPr>
          <w:ilvl w:val="0"/>
          <w:numId w:val="15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MZ </w:t>
      </w:r>
      <w:r w:rsidR="000375E1">
        <w:rPr>
          <w:szCs w:val="24"/>
        </w:rPr>
        <w:t xml:space="preserve">podpořilo částkou v </w:t>
      </w:r>
      <w:r w:rsidR="000375E1" w:rsidRPr="005747DF">
        <w:rPr>
          <w:szCs w:val="24"/>
        </w:rPr>
        <w:t>celkové výši 150 000 Kč</w:t>
      </w:r>
      <w:r w:rsidR="007A41B3" w:rsidRPr="005747DF">
        <w:rPr>
          <w:szCs w:val="24"/>
        </w:rPr>
        <w:t xml:space="preserve"> </w:t>
      </w:r>
      <w:r w:rsidR="000375E1">
        <w:rPr>
          <w:szCs w:val="24"/>
        </w:rPr>
        <w:t>žadatele</w:t>
      </w:r>
      <w:r w:rsidR="004A701D" w:rsidRPr="005747DF">
        <w:rPr>
          <w:szCs w:val="24"/>
        </w:rPr>
        <w:t xml:space="preserve">, </w:t>
      </w:r>
      <w:r w:rsidR="000375E1">
        <w:rPr>
          <w:szCs w:val="24"/>
        </w:rPr>
        <w:t>jenž ve dvou žádostech o</w:t>
      </w:r>
      <w:r>
        <w:rPr>
          <w:szCs w:val="24"/>
        </w:rPr>
        <w:t> </w:t>
      </w:r>
      <w:r w:rsidR="000375E1">
        <w:rPr>
          <w:szCs w:val="24"/>
        </w:rPr>
        <w:t>dotac</w:t>
      </w:r>
      <w:r>
        <w:rPr>
          <w:szCs w:val="24"/>
        </w:rPr>
        <w:t>i</w:t>
      </w:r>
      <w:r w:rsidR="000375E1">
        <w:rPr>
          <w:szCs w:val="24"/>
        </w:rPr>
        <w:t xml:space="preserve"> neuvedl</w:t>
      </w:r>
      <w:r w:rsidR="004A701D">
        <w:rPr>
          <w:szCs w:val="24"/>
        </w:rPr>
        <w:t xml:space="preserve"> </w:t>
      </w:r>
      <w:r w:rsidR="004A701D" w:rsidRPr="005747DF">
        <w:rPr>
          <w:szCs w:val="24"/>
        </w:rPr>
        <w:t>účel</w:t>
      </w:r>
      <w:r w:rsidR="000375E1">
        <w:rPr>
          <w:szCs w:val="24"/>
        </w:rPr>
        <w:t xml:space="preserve"> dotace</w:t>
      </w:r>
      <w:r w:rsidR="004A701D">
        <w:rPr>
          <w:rStyle w:val="Znakapoznpodarou"/>
          <w:szCs w:val="24"/>
        </w:rPr>
        <w:footnoteReference w:id="26"/>
      </w:r>
      <w:r w:rsidR="004A701D" w:rsidRPr="005747DF">
        <w:rPr>
          <w:szCs w:val="24"/>
        </w:rPr>
        <w:t>,</w:t>
      </w:r>
      <w:r w:rsidR="004A701D">
        <w:rPr>
          <w:szCs w:val="24"/>
        </w:rPr>
        <w:t xml:space="preserve"> aniž by </w:t>
      </w:r>
      <w:r w:rsidR="000375E1">
        <w:rPr>
          <w:szCs w:val="24"/>
        </w:rPr>
        <w:t xml:space="preserve">jej </w:t>
      </w:r>
      <w:r w:rsidR="004A701D" w:rsidRPr="005747DF">
        <w:rPr>
          <w:szCs w:val="24"/>
        </w:rPr>
        <w:t xml:space="preserve">požádalo o </w:t>
      </w:r>
      <w:r w:rsidR="004A701D">
        <w:rPr>
          <w:szCs w:val="24"/>
        </w:rPr>
        <w:t xml:space="preserve">jejich </w:t>
      </w:r>
      <w:r w:rsidR="004A701D" w:rsidRPr="005747DF">
        <w:rPr>
          <w:szCs w:val="24"/>
        </w:rPr>
        <w:t>doplnění</w:t>
      </w:r>
      <w:r>
        <w:rPr>
          <w:szCs w:val="24"/>
        </w:rPr>
        <w:t>.</w:t>
      </w:r>
    </w:p>
    <w:p w14:paraId="5CBE11FD" w14:textId="69DAA9BF" w:rsidR="005747DF" w:rsidRDefault="00900DA1" w:rsidP="00FC602A">
      <w:pPr>
        <w:pStyle w:val="Odstavecseseznamem"/>
        <w:numPr>
          <w:ilvl w:val="0"/>
          <w:numId w:val="15"/>
        </w:numPr>
        <w:spacing w:after="120"/>
        <w:rPr>
          <w:szCs w:val="24"/>
        </w:rPr>
      </w:pPr>
      <w:r>
        <w:rPr>
          <w:szCs w:val="24"/>
        </w:rPr>
        <w:t xml:space="preserve">MZ </w:t>
      </w:r>
      <w:r w:rsidR="005747DF">
        <w:rPr>
          <w:szCs w:val="24"/>
        </w:rPr>
        <w:t>p</w:t>
      </w:r>
      <w:r w:rsidR="005747DF" w:rsidRPr="005747DF">
        <w:rPr>
          <w:szCs w:val="24"/>
        </w:rPr>
        <w:t xml:space="preserve">odpořilo žádosti, které neobsahovaly kompletní požadované přílohy, nepožádalo </w:t>
      </w:r>
      <w:r w:rsidR="00E12F36">
        <w:rPr>
          <w:szCs w:val="24"/>
        </w:rPr>
        <w:br/>
      </w:r>
      <w:r w:rsidR="005747DF" w:rsidRPr="005747DF">
        <w:rPr>
          <w:szCs w:val="24"/>
        </w:rPr>
        <w:t>o jejich doplnění a akceptovalo je tak v neúplné podobě:</w:t>
      </w:r>
    </w:p>
    <w:p w14:paraId="02C50BA7" w14:textId="57CAB914" w:rsidR="007274A7" w:rsidRDefault="005747DF" w:rsidP="00FC602A">
      <w:pPr>
        <w:pStyle w:val="Odstavecseseznamem"/>
        <w:numPr>
          <w:ilvl w:val="0"/>
          <w:numId w:val="14"/>
        </w:numPr>
        <w:spacing w:after="120"/>
        <w:rPr>
          <w:szCs w:val="24"/>
        </w:rPr>
      </w:pPr>
      <w:r>
        <w:rPr>
          <w:szCs w:val="24"/>
        </w:rPr>
        <w:t>v</w:t>
      </w:r>
      <w:r w:rsidR="007274A7">
        <w:rPr>
          <w:szCs w:val="24"/>
        </w:rPr>
        <w:t xml:space="preserve">e </w:t>
      </w:r>
      <w:r w:rsidR="007274A7" w:rsidRPr="007274A7">
        <w:rPr>
          <w:szCs w:val="24"/>
        </w:rPr>
        <w:t>třech případech žádostí o dotace</w:t>
      </w:r>
      <w:r w:rsidR="007274A7">
        <w:rPr>
          <w:szCs w:val="24"/>
        </w:rPr>
        <w:t xml:space="preserve"> na rok 2016</w:t>
      </w:r>
      <w:r>
        <w:rPr>
          <w:szCs w:val="24"/>
        </w:rPr>
        <w:t xml:space="preserve">, na jejichž základě </w:t>
      </w:r>
      <w:r w:rsidR="007274A7" w:rsidRPr="007274A7">
        <w:rPr>
          <w:szCs w:val="24"/>
        </w:rPr>
        <w:t>poskytlo dota</w:t>
      </w:r>
      <w:r w:rsidR="00D60A95">
        <w:rPr>
          <w:szCs w:val="24"/>
        </w:rPr>
        <w:t>ce v celkové výši 4 146 227 Kč</w:t>
      </w:r>
      <w:r w:rsidR="00900DA1">
        <w:rPr>
          <w:szCs w:val="24"/>
        </w:rPr>
        <w:t>;</w:t>
      </w:r>
    </w:p>
    <w:p w14:paraId="5C5CB8FE" w14:textId="1F9A6679" w:rsidR="005747DF" w:rsidRDefault="005747DF" w:rsidP="00FC602A">
      <w:pPr>
        <w:pStyle w:val="Odstavecseseznamem"/>
        <w:numPr>
          <w:ilvl w:val="0"/>
          <w:numId w:val="14"/>
        </w:numPr>
        <w:spacing w:after="120"/>
        <w:rPr>
          <w:szCs w:val="24"/>
        </w:rPr>
      </w:pPr>
      <w:r w:rsidRPr="005747DF">
        <w:rPr>
          <w:szCs w:val="24"/>
        </w:rPr>
        <w:t>ve čtyřech případech žádostí o dotace na rok 201</w:t>
      </w:r>
      <w:r>
        <w:rPr>
          <w:szCs w:val="24"/>
        </w:rPr>
        <w:t>7</w:t>
      </w:r>
      <w:r w:rsidRPr="005747DF">
        <w:rPr>
          <w:szCs w:val="24"/>
        </w:rPr>
        <w:t xml:space="preserve">, </w:t>
      </w:r>
      <w:r w:rsidR="00A3292D">
        <w:rPr>
          <w:szCs w:val="24"/>
        </w:rPr>
        <w:t xml:space="preserve">na jejichž základě </w:t>
      </w:r>
      <w:r w:rsidR="00A3292D" w:rsidRPr="007274A7">
        <w:rPr>
          <w:szCs w:val="24"/>
        </w:rPr>
        <w:t>poskytlo dota</w:t>
      </w:r>
      <w:r w:rsidR="00A3292D">
        <w:rPr>
          <w:szCs w:val="24"/>
        </w:rPr>
        <w:t xml:space="preserve">ce v celkové výši </w:t>
      </w:r>
      <w:r w:rsidR="00D60A95">
        <w:rPr>
          <w:szCs w:val="24"/>
        </w:rPr>
        <w:t>3 788 678 Kč</w:t>
      </w:r>
      <w:r w:rsidR="00900DA1">
        <w:rPr>
          <w:szCs w:val="24"/>
        </w:rPr>
        <w:t>;</w:t>
      </w:r>
    </w:p>
    <w:p w14:paraId="6C31D25F" w14:textId="36DF87D1" w:rsidR="005747DF" w:rsidRDefault="005747DF" w:rsidP="00FC602A">
      <w:pPr>
        <w:pStyle w:val="Odstavecseseznamem"/>
        <w:numPr>
          <w:ilvl w:val="0"/>
          <w:numId w:val="14"/>
        </w:numPr>
        <w:spacing w:after="120"/>
        <w:rPr>
          <w:szCs w:val="24"/>
        </w:rPr>
      </w:pPr>
      <w:r w:rsidRPr="005747DF">
        <w:rPr>
          <w:szCs w:val="24"/>
        </w:rPr>
        <w:lastRenderedPageBreak/>
        <w:t>ve třech případech žádostí o dotace na rok 201</w:t>
      </w:r>
      <w:r>
        <w:rPr>
          <w:szCs w:val="24"/>
        </w:rPr>
        <w:t>8</w:t>
      </w:r>
      <w:r w:rsidRPr="005747DF">
        <w:rPr>
          <w:szCs w:val="24"/>
        </w:rPr>
        <w:t xml:space="preserve">, </w:t>
      </w:r>
      <w:r w:rsidR="00A3292D">
        <w:rPr>
          <w:szCs w:val="24"/>
        </w:rPr>
        <w:t xml:space="preserve">na jejichž základě </w:t>
      </w:r>
      <w:r w:rsidR="00A3292D" w:rsidRPr="007274A7">
        <w:rPr>
          <w:szCs w:val="24"/>
        </w:rPr>
        <w:t>poskytlo dota</w:t>
      </w:r>
      <w:r w:rsidR="00A3292D">
        <w:rPr>
          <w:szCs w:val="24"/>
        </w:rPr>
        <w:t xml:space="preserve">ce v celkové výši </w:t>
      </w:r>
      <w:r w:rsidRPr="007274A7">
        <w:rPr>
          <w:szCs w:val="24"/>
        </w:rPr>
        <w:t>7 587</w:t>
      </w:r>
      <w:r>
        <w:rPr>
          <w:szCs w:val="24"/>
        </w:rPr>
        <w:t> </w:t>
      </w:r>
      <w:r w:rsidRPr="007274A7">
        <w:rPr>
          <w:szCs w:val="24"/>
        </w:rPr>
        <w:t xml:space="preserve">050 </w:t>
      </w:r>
      <w:r>
        <w:rPr>
          <w:szCs w:val="24"/>
        </w:rPr>
        <w:t>Kč</w:t>
      </w:r>
      <w:r w:rsidR="00900DA1">
        <w:rPr>
          <w:szCs w:val="24"/>
        </w:rPr>
        <w:t>;</w:t>
      </w:r>
    </w:p>
    <w:p w14:paraId="4E607F25" w14:textId="386A1CFE" w:rsidR="005747DF" w:rsidRDefault="005747DF" w:rsidP="00FC602A">
      <w:pPr>
        <w:pStyle w:val="Odstavecseseznamem"/>
        <w:numPr>
          <w:ilvl w:val="0"/>
          <w:numId w:val="14"/>
        </w:numPr>
        <w:spacing w:after="120"/>
        <w:rPr>
          <w:szCs w:val="24"/>
        </w:rPr>
      </w:pPr>
      <w:r w:rsidRPr="005747DF">
        <w:rPr>
          <w:szCs w:val="24"/>
        </w:rPr>
        <w:t xml:space="preserve">ve </w:t>
      </w:r>
      <w:r>
        <w:rPr>
          <w:szCs w:val="24"/>
        </w:rPr>
        <w:t>dvou</w:t>
      </w:r>
      <w:r w:rsidRPr="005747DF">
        <w:rPr>
          <w:szCs w:val="24"/>
        </w:rPr>
        <w:t xml:space="preserve"> případech žádostí o dotace na rok 201</w:t>
      </w:r>
      <w:r>
        <w:rPr>
          <w:szCs w:val="24"/>
        </w:rPr>
        <w:t>9</w:t>
      </w:r>
      <w:r w:rsidRPr="005747DF">
        <w:rPr>
          <w:szCs w:val="24"/>
        </w:rPr>
        <w:t xml:space="preserve">, </w:t>
      </w:r>
      <w:r w:rsidR="00A3292D">
        <w:rPr>
          <w:szCs w:val="24"/>
        </w:rPr>
        <w:t xml:space="preserve">na jejichž základě </w:t>
      </w:r>
      <w:r w:rsidR="00A3292D" w:rsidRPr="007274A7">
        <w:rPr>
          <w:szCs w:val="24"/>
        </w:rPr>
        <w:t>poskytlo dota</w:t>
      </w:r>
      <w:r w:rsidR="00A3292D">
        <w:rPr>
          <w:szCs w:val="24"/>
        </w:rPr>
        <w:t xml:space="preserve">ce v celkové výši </w:t>
      </w:r>
      <w:r w:rsidRPr="007274A7">
        <w:rPr>
          <w:szCs w:val="24"/>
        </w:rPr>
        <w:t>3 071</w:t>
      </w:r>
      <w:r>
        <w:rPr>
          <w:szCs w:val="24"/>
        </w:rPr>
        <w:t> </w:t>
      </w:r>
      <w:r w:rsidRPr="007274A7">
        <w:rPr>
          <w:szCs w:val="24"/>
        </w:rPr>
        <w:t>287</w:t>
      </w:r>
      <w:r>
        <w:rPr>
          <w:szCs w:val="24"/>
        </w:rPr>
        <w:t xml:space="preserve"> Kč</w:t>
      </w:r>
      <w:r w:rsidR="00900DA1">
        <w:rPr>
          <w:szCs w:val="24"/>
        </w:rPr>
        <w:t>.</w:t>
      </w:r>
    </w:p>
    <w:p w14:paraId="66FA995D" w14:textId="4BB6B0A4" w:rsidR="00797E8F" w:rsidRPr="00797E8F" w:rsidRDefault="009700C0" w:rsidP="00FC602A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rPr>
          <w:szCs w:val="24"/>
        </w:rPr>
      </w:pPr>
      <w:r>
        <w:rPr>
          <w:szCs w:val="24"/>
        </w:rPr>
        <w:t>V</w:t>
      </w:r>
      <w:r w:rsidR="00797E8F">
        <w:rPr>
          <w:szCs w:val="24"/>
        </w:rPr>
        <w:t>e dvou případech</w:t>
      </w:r>
      <w:r w:rsidR="00797E8F" w:rsidRPr="00797E8F">
        <w:rPr>
          <w:szCs w:val="24"/>
        </w:rPr>
        <w:t xml:space="preserve"> </w:t>
      </w:r>
      <w:r>
        <w:rPr>
          <w:szCs w:val="24"/>
        </w:rPr>
        <w:t xml:space="preserve">MZ </w:t>
      </w:r>
      <w:r w:rsidR="00797E8F" w:rsidRPr="00797E8F">
        <w:rPr>
          <w:szCs w:val="24"/>
        </w:rPr>
        <w:t xml:space="preserve">nearchivovalo </w:t>
      </w:r>
      <w:r w:rsidRPr="00797E8F">
        <w:rPr>
          <w:szCs w:val="24"/>
        </w:rPr>
        <w:t>k</w:t>
      </w:r>
      <w:r>
        <w:rPr>
          <w:szCs w:val="24"/>
        </w:rPr>
        <w:t> </w:t>
      </w:r>
      <w:r w:rsidRPr="00797E8F">
        <w:rPr>
          <w:szCs w:val="24"/>
        </w:rPr>
        <w:t>projekt</w:t>
      </w:r>
      <w:r>
        <w:rPr>
          <w:szCs w:val="24"/>
        </w:rPr>
        <w:t>ům</w:t>
      </w:r>
      <w:r w:rsidRPr="00797E8F">
        <w:rPr>
          <w:szCs w:val="24"/>
        </w:rPr>
        <w:t xml:space="preserve"> </w:t>
      </w:r>
      <w:r w:rsidR="00797E8F" w:rsidRPr="00797E8F">
        <w:rPr>
          <w:szCs w:val="24"/>
        </w:rPr>
        <w:t>oponentsk</w:t>
      </w:r>
      <w:r w:rsidR="00797E8F">
        <w:rPr>
          <w:szCs w:val="24"/>
        </w:rPr>
        <w:t>é</w:t>
      </w:r>
      <w:r w:rsidR="00797E8F" w:rsidRPr="00797E8F">
        <w:rPr>
          <w:szCs w:val="24"/>
        </w:rPr>
        <w:t xml:space="preserve"> posudk</w:t>
      </w:r>
      <w:r w:rsidR="00797E8F">
        <w:rPr>
          <w:szCs w:val="24"/>
        </w:rPr>
        <w:t>y, které byly součástí hodnocení žádostí</w:t>
      </w:r>
      <w:r w:rsidR="00797E8F">
        <w:rPr>
          <w:rStyle w:val="Znakapoznpodarou"/>
          <w:szCs w:val="24"/>
        </w:rPr>
        <w:footnoteReference w:id="27"/>
      </w:r>
      <w:r w:rsidR="00D60A95">
        <w:rPr>
          <w:szCs w:val="24"/>
        </w:rPr>
        <w:t>.</w:t>
      </w:r>
    </w:p>
    <w:p w14:paraId="36DA6658" w14:textId="695EC1E1" w:rsidR="00F43969" w:rsidRDefault="00D60A95" w:rsidP="00FC602A">
      <w:pPr>
        <w:pStyle w:val="Odstavecseseznamem"/>
        <w:spacing w:after="120"/>
        <w:contextualSpacing w:val="0"/>
        <w:rPr>
          <w:szCs w:val="24"/>
        </w:rPr>
      </w:pPr>
      <w:r w:rsidRPr="005A1773">
        <w:rPr>
          <w:b/>
          <w:szCs w:val="24"/>
        </w:rPr>
        <w:t>M</w:t>
      </w:r>
      <w:r w:rsidR="00C30BE3">
        <w:rPr>
          <w:b/>
          <w:szCs w:val="24"/>
        </w:rPr>
        <w:t>inisterstvo školství</w:t>
      </w:r>
      <w:r w:rsidR="001829DC">
        <w:rPr>
          <w:b/>
          <w:szCs w:val="24"/>
        </w:rPr>
        <w:t>,</w:t>
      </w:r>
      <w:r w:rsidR="00C30BE3">
        <w:rPr>
          <w:b/>
          <w:szCs w:val="24"/>
        </w:rPr>
        <w:t xml:space="preserve"> mládeže a tělovýchovy</w:t>
      </w:r>
    </w:p>
    <w:p w14:paraId="13649655" w14:textId="3AA36C41" w:rsidR="00FD2A52" w:rsidRPr="00FD2A52" w:rsidRDefault="007F4BA3" w:rsidP="00FC602A">
      <w:pPr>
        <w:pStyle w:val="Odstavecseseznamem"/>
        <w:numPr>
          <w:ilvl w:val="0"/>
          <w:numId w:val="16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MŠMT </w:t>
      </w:r>
      <w:r w:rsidR="00FD2A52" w:rsidRPr="00FD2A52">
        <w:rPr>
          <w:szCs w:val="24"/>
        </w:rPr>
        <w:t xml:space="preserve">v jednom případě plně podpořilo </w:t>
      </w:r>
      <w:r w:rsidR="00780896">
        <w:rPr>
          <w:szCs w:val="24"/>
        </w:rPr>
        <w:t xml:space="preserve">částkou </w:t>
      </w:r>
      <w:r w:rsidR="00780896" w:rsidRPr="00F43969">
        <w:rPr>
          <w:szCs w:val="24"/>
        </w:rPr>
        <w:t>700 000 Kč</w:t>
      </w:r>
      <w:r w:rsidR="00780896" w:rsidRPr="00FD2A52">
        <w:rPr>
          <w:szCs w:val="24"/>
        </w:rPr>
        <w:t xml:space="preserve"> </w:t>
      </w:r>
      <w:r w:rsidR="00FD2A52" w:rsidRPr="00FD2A52">
        <w:rPr>
          <w:szCs w:val="24"/>
        </w:rPr>
        <w:t>žádost</w:t>
      </w:r>
      <w:r w:rsidR="00780896">
        <w:rPr>
          <w:szCs w:val="24"/>
        </w:rPr>
        <w:t xml:space="preserve"> o dotaci na rok 2019</w:t>
      </w:r>
      <w:r w:rsidR="00FD2A52" w:rsidRPr="00FD2A52">
        <w:rPr>
          <w:szCs w:val="24"/>
        </w:rPr>
        <w:t>, která získala</w:t>
      </w:r>
      <w:r w:rsidR="00FD2A52">
        <w:rPr>
          <w:szCs w:val="24"/>
        </w:rPr>
        <w:t xml:space="preserve"> od nezávislých hodnotitelů</w:t>
      </w:r>
      <w:r w:rsidR="00FD2A52" w:rsidRPr="00FD2A52">
        <w:rPr>
          <w:szCs w:val="24"/>
        </w:rPr>
        <w:t xml:space="preserve"> méně </w:t>
      </w:r>
      <w:r w:rsidR="00FD2A52">
        <w:rPr>
          <w:szCs w:val="24"/>
        </w:rPr>
        <w:t>než 36 bodů, přestože dotace měla být v tomto případě krácena na 50 % požadované částky</w:t>
      </w:r>
      <w:r>
        <w:rPr>
          <w:szCs w:val="24"/>
        </w:rPr>
        <w:t>.</w:t>
      </w:r>
    </w:p>
    <w:p w14:paraId="14E7FA7F" w14:textId="7FAF28F9" w:rsidR="00FD2A52" w:rsidRDefault="007F4BA3" w:rsidP="00FC602A">
      <w:pPr>
        <w:pStyle w:val="Odstavecseseznamem"/>
        <w:numPr>
          <w:ilvl w:val="0"/>
          <w:numId w:val="16"/>
        </w:numPr>
        <w:spacing w:after="120"/>
        <w:contextualSpacing w:val="0"/>
        <w:rPr>
          <w:szCs w:val="24"/>
        </w:rPr>
      </w:pPr>
      <w:r>
        <w:rPr>
          <w:szCs w:val="24"/>
        </w:rPr>
        <w:t>V</w:t>
      </w:r>
      <w:r w:rsidR="00FD2A52">
        <w:rPr>
          <w:szCs w:val="24"/>
        </w:rPr>
        <w:t>e</w:t>
      </w:r>
      <w:r w:rsidR="00FD2A52" w:rsidRPr="00FD2A52">
        <w:rPr>
          <w:szCs w:val="24"/>
        </w:rPr>
        <w:t xml:space="preserve"> třech případech podpořilo </w:t>
      </w:r>
      <w:r>
        <w:rPr>
          <w:szCs w:val="24"/>
        </w:rPr>
        <w:t xml:space="preserve">MŠMT </w:t>
      </w:r>
      <w:r w:rsidR="00780896">
        <w:rPr>
          <w:szCs w:val="24"/>
        </w:rPr>
        <w:t xml:space="preserve">částkou v souhrnné výši </w:t>
      </w:r>
      <w:r w:rsidR="00780896" w:rsidRPr="00780896">
        <w:rPr>
          <w:szCs w:val="24"/>
        </w:rPr>
        <w:t>1 277</w:t>
      </w:r>
      <w:r w:rsidR="00780896">
        <w:rPr>
          <w:szCs w:val="24"/>
        </w:rPr>
        <w:t> </w:t>
      </w:r>
      <w:r w:rsidR="00780896" w:rsidRPr="00780896">
        <w:rPr>
          <w:szCs w:val="24"/>
        </w:rPr>
        <w:t>200</w:t>
      </w:r>
      <w:r w:rsidR="00780896">
        <w:rPr>
          <w:szCs w:val="24"/>
        </w:rPr>
        <w:t xml:space="preserve"> Kč </w:t>
      </w:r>
      <w:r w:rsidR="00780896" w:rsidRPr="00FD2A52">
        <w:rPr>
          <w:szCs w:val="24"/>
        </w:rPr>
        <w:t>žádosti</w:t>
      </w:r>
      <w:r w:rsidR="00780896">
        <w:rPr>
          <w:szCs w:val="24"/>
        </w:rPr>
        <w:t xml:space="preserve"> o</w:t>
      </w:r>
      <w:r>
        <w:rPr>
          <w:szCs w:val="24"/>
        </w:rPr>
        <w:t> </w:t>
      </w:r>
      <w:r w:rsidR="00780896">
        <w:rPr>
          <w:szCs w:val="24"/>
        </w:rPr>
        <w:t>dotace na rok 2019</w:t>
      </w:r>
      <w:r w:rsidR="00FD2A52" w:rsidRPr="00FD2A52">
        <w:rPr>
          <w:szCs w:val="24"/>
        </w:rPr>
        <w:t>, které získal</w:t>
      </w:r>
      <w:r w:rsidR="00FD2A52">
        <w:rPr>
          <w:szCs w:val="24"/>
        </w:rPr>
        <w:t>y od nezávislých hodnotitelů</w:t>
      </w:r>
      <w:r w:rsidR="00FD2A52" w:rsidRPr="00FD2A52">
        <w:rPr>
          <w:szCs w:val="24"/>
        </w:rPr>
        <w:t xml:space="preserve"> </w:t>
      </w:r>
      <w:r w:rsidR="00FD2A52">
        <w:rPr>
          <w:szCs w:val="24"/>
        </w:rPr>
        <w:t>méně než 30 bodů</w:t>
      </w:r>
      <w:r w:rsidR="00EC21CC">
        <w:rPr>
          <w:szCs w:val="24"/>
        </w:rPr>
        <w:t>,</w:t>
      </w:r>
      <w:r w:rsidR="00FD2A52">
        <w:rPr>
          <w:szCs w:val="24"/>
        </w:rPr>
        <w:t xml:space="preserve"> a</w:t>
      </w:r>
      <w:r>
        <w:rPr>
          <w:szCs w:val="24"/>
        </w:rPr>
        <w:t> </w:t>
      </w:r>
      <w:r w:rsidR="00EC21CC">
        <w:rPr>
          <w:szCs w:val="24"/>
        </w:rPr>
        <w:t xml:space="preserve">tudíž </w:t>
      </w:r>
      <w:r w:rsidR="00FD2A52">
        <w:rPr>
          <w:szCs w:val="24"/>
        </w:rPr>
        <w:t xml:space="preserve">neměly být vůbec podpořeny, přičemž v jednom případě byla podpořena </w:t>
      </w:r>
      <w:r w:rsidR="00975FA7">
        <w:rPr>
          <w:szCs w:val="24"/>
        </w:rPr>
        <w:t xml:space="preserve">v plné výši, tj. ve výši 332 000 Kč, </w:t>
      </w:r>
      <w:r w:rsidR="00FD2A52">
        <w:rPr>
          <w:szCs w:val="24"/>
        </w:rPr>
        <w:t>i ž</w:t>
      </w:r>
      <w:r w:rsidR="00FD2A52" w:rsidRPr="00FD2A52">
        <w:rPr>
          <w:szCs w:val="24"/>
        </w:rPr>
        <w:t>ádost o dotac</w:t>
      </w:r>
      <w:r w:rsidR="00FD2A52">
        <w:rPr>
          <w:szCs w:val="24"/>
        </w:rPr>
        <w:t xml:space="preserve">i, </w:t>
      </w:r>
      <w:r w:rsidR="00FD2A52" w:rsidRPr="00FD2A52">
        <w:rPr>
          <w:szCs w:val="24"/>
        </w:rPr>
        <w:t>kter</w:t>
      </w:r>
      <w:r w:rsidR="00FD2A52">
        <w:rPr>
          <w:szCs w:val="24"/>
        </w:rPr>
        <w:t>á</w:t>
      </w:r>
      <w:r w:rsidR="00FD2A52" w:rsidRPr="00FD2A52">
        <w:rPr>
          <w:szCs w:val="24"/>
        </w:rPr>
        <w:t xml:space="preserve"> </w:t>
      </w:r>
      <w:r w:rsidR="00EC21CC" w:rsidRPr="00FD2A52">
        <w:rPr>
          <w:szCs w:val="24"/>
        </w:rPr>
        <w:t xml:space="preserve">dokonce </w:t>
      </w:r>
      <w:r w:rsidR="00FD2A52" w:rsidRPr="00FD2A52">
        <w:rPr>
          <w:szCs w:val="24"/>
        </w:rPr>
        <w:t>získal</w:t>
      </w:r>
      <w:r w:rsidR="00FD2A52">
        <w:rPr>
          <w:szCs w:val="24"/>
        </w:rPr>
        <w:t>a</w:t>
      </w:r>
      <w:r w:rsidR="00FD2A52" w:rsidRPr="00FD2A52">
        <w:rPr>
          <w:szCs w:val="24"/>
        </w:rPr>
        <w:t xml:space="preserve"> v jednom hodnocení 0 bodů a ve</w:t>
      </w:r>
      <w:r w:rsidR="00975FA7">
        <w:rPr>
          <w:szCs w:val="24"/>
        </w:rPr>
        <w:t xml:space="preserve"> druhém hodnocení pouze 15 bodů</w:t>
      </w:r>
      <w:r w:rsidR="00EC21CC">
        <w:rPr>
          <w:szCs w:val="24"/>
        </w:rPr>
        <w:t>;</w:t>
      </w:r>
      <w:r w:rsidR="00975FA7">
        <w:rPr>
          <w:szCs w:val="24"/>
        </w:rPr>
        <w:t xml:space="preserve"> v</w:t>
      </w:r>
      <w:r w:rsidR="00FD2A52" w:rsidRPr="00FD2A52">
        <w:rPr>
          <w:szCs w:val="24"/>
        </w:rPr>
        <w:t xml:space="preserve"> tomto případě se navíc jedn</w:t>
      </w:r>
      <w:r w:rsidR="00975FA7">
        <w:rPr>
          <w:szCs w:val="24"/>
        </w:rPr>
        <w:t>alo</w:t>
      </w:r>
      <w:r w:rsidR="00FD2A52" w:rsidRPr="00FD2A52">
        <w:rPr>
          <w:szCs w:val="24"/>
        </w:rPr>
        <w:t xml:space="preserve"> o</w:t>
      </w:r>
      <w:r>
        <w:rPr>
          <w:szCs w:val="24"/>
        </w:rPr>
        <w:t> </w:t>
      </w:r>
      <w:r w:rsidR="00975FA7">
        <w:rPr>
          <w:szCs w:val="24"/>
        </w:rPr>
        <w:t xml:space="preserve">žádost, jež </w:t>
      </w:r>
      <w:r w:rsidR="00FD2A52" w:rsidRPr="00FD2A52">
        <w:rPr>
          <w:szCs w:val="24"/>
        </w:rPr>
        <w:t>měla být vyřazena z dotačního řízení již na základě chybějících náležitostí</w:t>
      </w:r>
      <w:r w:rsidR="00975FA7">
        <w:rPr>
          <w:szCs w:val="24"/>
        </w:rPr>
        <w:t xml:space="preserve"> (bod </w:t>
      </w:r>
      <w:r w:rsidR="00074B09">
        <w:rPr>
          <w:szCs w:val="24"/>
        </w:rPr>
        <w:t>5</w:t>
      </w:r>
      <w:r w:rsidR="00975FA7">
        <w:rPr>
          <w:szCs w:val="24"/>
        </w:rPr>
        <w:t>)</w:t>
      </w:r>
      <w:r>
        <w:rPr>
          <w:szCs w:val="24"/>
        </w:rPr>
        <w:t>.</w:t>
      </w:r>
    </w:p>
    <w:p w14:paraId="228195C8" w14:textId="45F8F3E7" w:rsidR="007A1BFC" w:rsidRDefault="007F4BA3" w:rsidP="00FC602A">
      <w:pPr>
        <w:pStyle w:val="Odstavecseseznamem"/>
        <w:numPr>
          <w:ilvl w:val="0"/>
          <w:numId w:val="16"/>
        </w:numPr>
        <w:spacing w:after="120"/>
        <w:contextualSpacing w:val="0"/>
        <w:rPr>
          <w:szCs w:val="24"/>
        </w:rPr>
      </w:pPr>
      <w:r>
        <w:rPr>
          <w:szCs w:val="24"/>
        </w:rPr>
        <w:t>V</w:t>
      </w:r>
      <w:r w:rsidR="007A1BFC">
        <w:rPr>
          <w:szCs w:val="24"/>
        </w:rPr>
        <w:t xml:space="preserve">e třech případech </w:t>
      </w:r>
      <w:r w:rsidR="00604FB5">
        <w:rPr>
          <w:szCs w:val="24"/>
        </w:rPr>
        <w:t xml:space="preserve">MŠMT </w:t>
      </w:r>
      <w:r w:rsidR="007A1BFC" w:rsidRPr="007A1BFC">
        <w:rPr>
          <w:szCs w:val="24"/>
        </w:rPr>
        <w:t>poskytlo dotace, které tvořily více než 70 % celkových nákladů projektu</w:t>
      </w:r>
      <w:r w:rsidR="00604FB5">
        <w:rPr>
          <w:szCs w:val="24"/>
        </w:rPr>
        <w:t>,</w:t>
      </w:r>
      <w:r w:rsidR="007A1BFC" w:rsidRPr="007A1BFC">
        <w:rPr>
          <w:szCs w:val="24"/>
        </w:rPr>
        <w:t xml:space="preserve"> bez řádného odůvodněn</w:t>
      </w:r>
      <w:r w:rsidR="004114B9">
        <w:rPr>
          <w:szCs w:val="24"/>
        </w:rPr>
        <w:t>í</w:t>
      </w:r>
      <w:r w:rsidR="007A1BFC">
        <w:rPr>
          <w:rStyle w:val="Znakapoznpodarou"/>
          <w:szCs w:val="24"/>
        </w:rPr>
        <w:footnoteReference w:id="28"/>
      </w:r>
      <w:r w:rsidR="007A1BFC">
        <w:rPr>
          <w:szCs w:val="24"/>
        </w:rPr>
        <w:t>, přičemž v těchto případech se jednalo o</w:t>
      </w:r>
      <w:r>
        <w:rPr>
          <w:szCs w:val="24"/>
        </w:rPr>
        <w:t> </w:t>
      </w:r>
      <w:r w:rsidR="007A1BFC">
        <w:rPr>
          <w:szCs w:val="24"/>
        </w:rPr>
        <w:t>dotace poskytnuté fyzickým osobám</w:t>
      </w:r>
      <w:r>
        <w:rPr>
          <w:szCs w:val="24"/>
        </w:rPr>
        <w:t>.</w:t>
      </w:r>
    </w:p>
    <w:p w14:paraId="443E411D" w14:textId="4D1E9446" w:rsidR="00074B09" w:rsidRDefault="007F4BA3" w:rsidP="00FC602A">
      <w:pPr>
        <w:pStyle w:val="Odstavecseseznamem"/>
        <w:numPr>
          <w:ilvl w:val="0"/>
          <w:numId w:val="16"/>
        </w:numPr>
        <w:spacing w:after="120"/>
        <w:contextualSpacing w:val="0"/>
        <w:rPr>
          <w:szCs w:val="24"/>
        </w:rPr>
      </w:pPr>
      <w:r>
        <w:rPr>
          <w:szCs w:val="24"/>
        </w:rPr>
        <w:t>V</w:t>
      </w:r>
      <w:r w:rsidR="00074B09">
        <w:rPr>
          <w:szCs w:val="24"/>
        </w:rPr>
        <w:t xml:space="preserve"> jednom případě </w:t>
      </w:r>
      <w:r>
        <w:rPr>
          <w:szCs w:val="24"/>
        </w:rPr>
        <w:t xml:space="preserve">MŠMT </w:t>
      </w:r>
      <w:r w:rsidR="00074B09">
        <w:rPr>
          <w:szCs w:val="24"/>
        </w:rPr>
        <w:t>nevyřadilo a podpořilo částkou 337 210 Kč žádost o dotaci na rok 2016, která neobsahovala všechny povinné přílohy a byla podepsána osobou, jež nepředložila plnou moc k jednání za žadatele</w:t>
      </w:r>
      <w:r>
        <w:rPr>
          <w:szCs w:val="24"/>
        </w:rPr>
        <w:t>.</w:t>
      </w:r>
    </w:p>
    <w:p w14:paraId="550916C5" w14:textId="18FDA166" w:rsidR="00074B09" w:rsidRPr="00A16131" w:rsidRDefault="007F4BA3" w:rsidP="00FC602A">
      <w:pPr>
        <w:pStyle w:val="Odstavecseseznamem"/>
        <w:numPr>
          <w:ilvl w:val="0"/>
          <w:numId w:val="16"/>
        </w:numPr>
        <w:spacing w:after="120"/>
        <w:contextualSpacing w:val="0"/>
        <w:rPr>
          <w:szCs w:val="24"/>
        </w:rPr>
      </w:pPr>
      <w:r w:rsidRPr="00D44814">
        <w:rPr>
          <w:szCs w:val="24"/>
        </w:rPr>
        <w:t>V</w:t>
      </w:r>
      <w:r w:rsidR="00074B09" w:rsidRPr="00D44814">
        <w:rPr>
          <w:szCs w:val="24"/>
        </w:rPr>
        <w:t xml:space="preserve"> jednom případě </w:t>
      </w:r>
      <w:r w:rsidRPr="00D44814">
        <w:rPr>
          <w:szCs w:val="24"/>
        </w:rPr>
        <w:t>MŠMT</w:t>
      </w:r>
      <w:r>
        <w:rPr>
          <w:szCs w:val="24"/>
        </w:rPr>
        <w:t xml:space="preserve"> </w:t>
      </w:r>
      <w:r w:rsidR="00074B09">
        <w:rPr>
          <w:szCs w:val="24"/>
        </w:rPr>
        <w:t>nevyřadilo a podpořilo částkou 332 000 Kč žádost o dotaci na rok 2019, která v rozporu s příslušnou metodikou neobsahovala odůvodnění významnosti projektu a</w:t>
      </w:r>
      <w:r w:rsidR="00D44814">
        <w:rPr>
          <w:szCs w:val="24"/>
        </w:rPr>
        <w:t>ni</w:t>
      </w:r>
      <w:r w:rsidR="00074B09">
        <w:rPr>
          <w:szCs w:val="24"/>
        </w:rPr>
        <w:t xml:space="preserve"> rodné číslo žadatele</w:t>
      </w:r>
      <w:r w:rsidR="00074B09">
        <w:rPr>
          <w:rStyle w:val="Znakapoznpodarou"/>
          <w:szCs w:val="24"/>
        </w:rPr>
        <w:footnoteReference w:id="29"/>
      </w:r>
      <w:r>
        <w:rPr>
          <w:szCs w:val="24"/>
        </w:rPr>
        <w:t>.</w:t>
      </w:r>
    </w:p>
    <w:p w14:paraId="605BE39C" w14:textId="7FF4BA08" w:rsidR="00975FA7" w:rsidRDefault="007F4BA3" w:rsidP="00FC602A">
      <w:pPr>
        <w:pStyle w:val="Odstavecseseznamem"/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V</w:t>
      </w:r>
      <w:r w:rsidR="00975FA7">
        <w:rPr>
          <w:szCs w:val="24"/>
        </w:rPr>
        <w:t xml:space="preserve"> jednom</w:t>
      </w:r>
      <w:r w:rsidR="00975FA7" w:rsidRPr="00975FA7">
        <w:rPr>
          <w:szCs w:val="24"/>
        </w:rPr>
        <w:t xml:space="preserve"> případě </w:t>
      </w:r>
      <w:r>
        <w:rPr>
          <w:szCs w:val="24"/>
        </w:rPr>
        <w:t xml:space="preserve">MŠMT </w:t>
      </w:r>
      <w:r w:rsidR="00975FA7" w:rsidRPr="00975FA7">
        <w:rPr>
          <w:szCs w:val="24"/>
        </w:rPr>
        <w:t>nezajistilo hodn</w:t>
      </w:r>
      <w:r w:rsidR="00975FA7">
        <w:rPr>
          <w:szCs w:val="24"/>
        </w:rPr>
        <w:t>ocení žádosti dvěma hodnotiteli.</w:t>
      </w:r>
    </w:p>
    <w:p w14:paraId="4037BC3A" w14:textId="3BC893C9" w:rsidR="00975FA7" w:rsidRDefault="00975FA7" w:rsidP="00FC602A">
      <w:pPr>
        <w:widowControl/>
        <w:spacing w:after="120"/>
        <w:rPr>
          <w:szCs w:val="24"/>
        </w:rPr>
      </w:pPr>
      <w:r>
        <w:rPr>
          <w:szCs w:val="24"/>
        </w:rPr>
        <w:t xml:space="preserve">MŠMT jako jediný resort </w:t>
      </w:r>
      <w:r w:rsidR="000629D3">
        <w:rPr>
          <w:szCs w:val="24"/>
        </w:rPr>
        <w:t>v rámci protidrogové politiky poskyt</w:t>
      </w:r>
      <w:r w:rsidR="00AB0A9D">
        <w:rPr>
          <w:szCs w:val="24"/>
        </w:rPr>
        <w:t>ovalo</w:t>
      </w:r>
      <w:r w:rsidR="000629D3">
        <w:rPr>
          <w:szCs w:val="24"/>
        </w:rPr>
        <w:t xml:space="preserve"> v kontrolovaném období </w:t>
      </w:r>
      <w:r>
        <w:rPr>
          <w:szCs w:val="24"/>
        </w:rPr>
        <w:t>dotac</w:t>
      </w:r>
      <w:r w:rsidR="000629D3">
        <w:rPr>
          <w:szCs w:val="24"/>
        </w:rPr>
        <w:t xml:space="preserve">e i fyzickým osobám. </w:t>
      </w:r>
      <w:r w:rsidR="000629D3" w:rsidRPr="005A1773">
        <w:rPr>
          <w:b/>
          <w:szCs w:val="24"/>
        </w:rPr>
        <w:t>MŠMT</w:t>
      </w:r>
      <w:r w:rsidR="00780896" w:rsidRPr="005A1773">
        <w:rPr>
          <w:b/>
          <w:szCs w:val="24"/>
        </w:rPr>
        <w:t xml:space="preserve"> </w:t>
      </w:r>
      <w:r w:rsidR="000629D3" w:rsidRPr="005A1773">
        <w:rPr>
          <w:b/>
          <w:szCs w:val="24"/>
        </w:rPr>
        <w:t xml:space="preserve">schválilo </w:t>
      </w:r>
      <w:r w:rsidR="00AB0A9D" w:rsidRPr="005A1773">
        <w:rPr>
          <w:b/>
          <w:szCs w:val="24"/>
        </w:rPr>
        <w:t xml:space="preserve">dvě žádosti o </w:t>
      </w:r>
      <w:r w:rsidR="000629D3" w:rsidRPr="005A1773">
        <w:rPr>
          <w:b/>
          <w:szCs w:val="24"/>
        </w:rPr>
        <w:t xml:space="preserve">dotaci </w:t>
      </w:r>
      <w:r w:rsidR="00780896" w:rsidRPr="005A1773">
        <w:rPr>
          <w:b/>
          <w:szCs w:val="24"/>
        </w:rPr>
        <w:t xml:space="preserve">na rok 2017 a 2018 </w:t>
      </w:r>
      <w:r w:rsidR="00E12F36">
        <w:rPr>
          <w:b/>
          <w:szCs w:val="24"/>
        </w:rPr>
        <w:br/>
      </w:r>
      <w:r w:rsidR="00AB0A9D" w:rsidRPr="005A1773">
        <w:rPr>
          <w:b/>
          <w:szCs w:val="24"/>
        </w:rPr>
        <w:t xml:space="preserve">a </w:t>
      </w:r>
      <w:r w:rsidR="00780896" w:rsidRPr="005A1773">
        <w:rPr>
          <w:b/>
          <w:szCs w:val="24"/>
        </w:rPr>
        <w:t xml:space="preserve">na základě </w:t>
      </w:r>
      <w:r w:rsidR="00AB0A9D" w:rsidRPr="005A1773">
        <w:rPr>
          <w:b/>
          <w:szCs w:val="24"/>
        </w:rPr>
        <w:t>těchto</w:t>
      </w:r>
      <w:r w:rsidR="00780896" w:rsidRPr="005A1773">
        <w:rPr>
          <w:b/>
          <w:szCs w:val="24"/>
        </w:rPr>
        <w:t xml:space="preserve"> žádostí poskytlo dotace v celkové výši 656 640 Kč </w:t>
      </w:r>
      <w:r w:rsidR="000629D3" w:rsidRPr="005A1773">
        <w:rPr>
          <w:b/>
          <w:szCs w:val="24"/>
        </w:rPr>
        <w:t>fyzické osobě, která se přímo podílela</w:t>
      </w:r>
      <w:r w:rsidR="000629D3" w:rsidRPr="005A1773">
        <w:rPr>
          <w:b/>
        </w:rPr>
        <w:t xml:space="preserve"> </w:t>
      </w:r>
      <w:r w:rsidR="000629D3" w:rsidRPr="005A1773">
        <w:rPr>
          <w:b/>
          <w:szCs w:val="24"/>
        </w:rPr>
        <w:t>na administraci dotací a hodnoticím procesu</w:t>
      </w:r>
      <w:r w:rsidR="00AB0A9D" w:rsidRPr="005A1773">
        <w:rPr>
          <w:b/>
          <w:szCs w:val="24"/>
        </w:rPr>
        <w:t>.</w:t>
      </w:r>
      <w:r w:rsidR="00AB0A9D">
        <w:rPr>
          <w:szCs w:val="24"/>
        </w:rPr>
        <w:t xml:space="preserve"> </w:t>
      </w:r>
      <w:r w:rsidR="00AB0A9D" w:rsidRPr="005A1773">
        <w:rPr>
          <w:b/>
          <w:szCs w:val="24"/>
        </w:rPr>
        <w:t>MŠMT tímto postupem</w:t>
      </w:r>
      <w:r w:rsidR="000629D3" w:rsidRPr="005A1773">
        <w:rPr>
          <w:b/>
          <w:szCs w:val="24"/>
        </w:rPr>
        <w:t xml:space="preserve"> způsobilo, že proces hodnocení žádostí o dotace,</w:t>
      </w:r>
      <w:r w:rsidR="000629D3" w:rsidRPr="000629D3">
        <w:rPr>
          <w:szCs w:val="24"/>
        </w:rPr>
        <w:t xml:space="preserve"> resp. podaných projektů </w:t>
      </w:r>
      <w:r w:rsidR="000629D3" w:rsidRPr="005A1773">
        <w:rPr>
          <w:b/>
          <w:szCs w:val="24"/>
        </w:rPr>
        <w:t>byl</w:t>
      </w:r>
      <w:r w:rsidR="000629D3" w:rsidRPr="000629D3">
        <w:rPr>
          <w:szCs w:val="24"/>
        </w:rPr>
        <w:t xml:space="preserve"> pro dotace určené na roky 2017 a 2018 </w:t>
      </w:r>
      <w:r w:rsidR="000629D3" w:rsidRPr="005A1773">
        <w:rPr>
          <w:b/>
          <w:szCs w:val="24"/>
        </w:rPr>
        <w:t>netransparentní</w:t>
      </w:r>
      <w:r w:rsidR="00EE7ACD">
        <w:rPr>
          <w:b/>
          <w:szCs w:val="24"/>
        </w:rPr>
        <w:t xml:space="preserve"> a</w:t>
      </w:r>
      <w:r w:rsidR="000629D3" w:rsidRPr="005A1773">
        <w:rPr>
          <w:b/>
          <w:szCs w:val="24"/>
        </w:rPr>
        <w:t xml:space="preserve"> diskriminační</w:t>
      </w:r>
      <w:r w:rsidR="000629D3">
        <w:rPr>
          <w:szCs w:val="24"/>
        </w:rPr>
        <w:t>.</w:t>
      </w:r>
    </w:p>
    <w:p w14:paraId="42A4CF56" w14:textId="77777777" w:rsidR="007701DC" w:rsidRDefault="007701DC">
      <w:pPr>
        <w:widowControl/>
        <w:autoSpaceDE/>
        <w:autoSpaceDN/>
        <w:adjustRightInd/>
        <w:spacing w:after="160" w:line="259" w:lineRule="auto"/>
        <w:jc w:val="left"/>
        <w:rPr>
          <w:rFonts w:cs="Times New Roman"/>
          <w:b/>
          <w:szCs w:val="24"/>
          <w:lang w:eastAsia="en-US"/>
        </w:rPr>
      </w:pPr>
      <w:r>
        <w:br w:type="page"/>
      </w:r>
    </w:p>
    <w:p w14:paraId="7B437EBE" w14:textId="345FA8A1" w:rsidR="001A239E" w:rsidRPr="001A239E" w:rsidRDefault="00E762BF" w:rsidP="00FC602A">
      <w:pPr>
        <w:pStyle w:val="Nadpiskapitoly"/>
        <w:numPr>
          <w:ilvl w:val="0"/>
          <w:numId w:val="11"/>
        </w:numPr>
        <w:ind w:left="284" w:hanging="284"/>
      </w:pPr>
      <w:r w:rsidRPr="00E762BF">
        <w:lastRenderedPageBreak/>
        <w:t xml:space="preserve">Poskytovatelé dotací nereagovali </w:t>
      </w:r>
      <w:r w:rsidR="00B90E2B" w:rsidRPr="00E762BF">
        <w:t xml:space="preserve">důsledně </w:t>
      </w:r>
      <w:r w:rsidRPr="00E762BF">
        <w:t>na neplnění povinností ze strany příjemců</w:t>
      </w:r>
      <w:r w:rsidR="006621EF">
        <w:t xml:space="preserve"> dotací</w:t>
      </w:r>
    </w:p>
    <w:p w14:paraId="722E95D2" w14:textId="48152626" w:rsidR="00940C10" w:rsidRPr="007B0506" w:rsidRDefault="00940C10" w:rsidP="00FC602A">
      <w:pPr>
        <w:pStyle w:val="Odstavecseseznamem"/>
        <w:spacing w:after="120"/>
        <w:contextualSpacing w:val="0"/>
        <w:rPr>
          <w:szCs w:val="24"/>
        </w:rPr>
      </w:pPr>
      <w:r w:rsidRPr="007B0506">
        <w:rPr>
          <w:szCs w:val="24"/>
        </w:rPr>
        <w:t xml:space="preserve">ÚV ČR i kontrolované resorty zapojené do protidrogové politiky měly při administraci dotací vedle </w:t>
      </w:r>
      <w:r w:rsidR="006621EF" w:rsidRPr="006621EF">
        <w:rPr>
          <w:szCs w:val="24"/>
        </w:rPr>
        <w:t>souladu postupů s právními předpisy</w:t>
      </w:r>
      <w:r w:rsidRPr="007B0506">
        <w:rPr>
          <w:szCs w:val="24"/>
        </w:rPr>
        <w:t xml:space="preserve"> dbát také na rovný přístup ke všem příjemcům dotací a důsledně vymáhat plnění veškerých podmínek z jejich strany. </w:t>
      </w:r>
      <w:r w:rsidR="002C7011" w:rsidRPr="007B0506">
        <w:rPr>
          <w:szCs w:val="24"/>
        </w:rPr>
        <w:t xml:space="preserve">NKÚ </w:t>
      </w:r>
      <w:r w:rsidR="002C7011">
        <w:rPr>
          <w:szCs w:val="24"/>
        </w:rPr>
        <w:t>p</w:t>
      </w:r>
      <w:r w:rsidR="007B0506" w:rsidRPr="007B0506">
        <w:rPr>
          <w:szCs w:val="24"/>
        </w:rPr>
        <w:t xml:space="preserve">ři kontrole zjistil, že </w:t>
      </w:r>
      <w:r w:rsidR="006621EF">
        <w:rPr>
          <w:szCs w:val="24"/>
        </w:rPr>
        <w:t>u</w:t>
      </w:r>
      <w:r w:rsidR="00F953C3" w:rsidRPr="007B0506">
        <w:rPr>
          <w:szCs w:val="24"/>
        </w:rPr>
        <w:t xml:space="preserve"> řady projektů bylo </w:t>
      </w:r>
      <w:r w:rsidR="007B0506" w:rsidRPr="007B0506">
        <w:rPr>
          <w:szCs w:val="24"/>
        </w:rPr>
        <w:t>už z</w:t>
      </w:r>
      <w:r w:rsidR="00F953C3" w:rsidRPr="007B0506">
        <w:rPr>
          <w:szCs w:val="24"/>
        </w:rPr>
        <w:t xml:space="preserve"> dokument</w:t>
      </w:r>
      <w:r w:rsidR="007B0506" w:rsidRPr="007B0506">
        <w:rPr>
          <w:szCs w:val="24"/>
        </w:rPr>
        <w:t>ů</w:t>
      </w:r>
      <w:r w:rsidR="00F953C3" w:rsidRPr="007B0506">
        <w:rPr>
          <w:szCs w:val="24"/>
        </w:rPr>
        <w:t>, kter</w:t>
      </w:r>
      <w:r w:rsidR="007B0506" w:rsidRPr="007B0506">
        <w:rPr>
          <w:szCs w:val="24"/>
        </w:rPr>
        <w:t>é</w:t>
      </w:r>
      <w:r w:rsidR="00F953C3" w:rsidRPr="007B0506">
        <w:rPr>
          <w:szCs w:val="24"/>
        </w:rPr>
        <w:t xml:space="preserve"> měl příslušný poskytovatel k dispozici, patrné, že příjemce dotace neplní nebo nesplnil některou z podmínek čerpání dotace</w:t>
      </w:r>
      <w:r w:rsidR="00180519">
        <w:rPr>
          <w:szCs w:val="24"/>
        </w:rPr>
        <w:t xml:space="preserve"> nebo jejich splnění řádně nedoložil</w:t>
      </w:r>
      <w:r w:rsidR="00F953C3" w:rsidRPr="007B0506">
        <w:rPr>
          <w:szCs w:val="24"/>
        </w:rPr>
        <w:t xml:space="preserve">. </w:t>
      </w:r>
      <w:r w:rsidR="007B0506" w:rsidRPr="005A1773">
        <w:rPr>
          <w:b/>
          <w:szCs w:val="24"/>
        </w:rPr>
        <w:t>Poskytovatel</w:t>
      </w:r>
      <w:r w:rsidR="00180519" w:rsidRPr="005A1773">
        <w:rPr>
          <w:b/>
          <w:szCs w:val="24"/>
        </w:rPr>
        <w:t>é</w:t>
      </w:r>
      <w:r w:rsidR="007B0506" w:rsidRPr="005A1773">
        <w:rPr>
          <w:b/>
          <w:szCs w:val="24"/>
        </w:rPr>
        <w:t xml:space="preserve"> </w:t>
      </w:r>
      <w:r w:rsidR="00180519" w:rsidRPr="005A1773">
        <w:rPr>
          <w:b/>
          <w:szCs w:val="24"/>
        </w:rPr>
        <w:t xml:space="preserve">dotací </w:t>
      </w:r>
      <w:r w:rsidR="009B1B3A" w:rsidRPr="009B1B3A">
        <w:rPr>
          <w:b/>
          <w:szCs w:val="24"/>
        </w:rPr>
        <w:t>nevyžadovali</w:t>
      </w:r>
      <w:r w:rsidR="009B1B3A" w:rsidRPr="0074602E">
        <w:rPr>
          <w:b/>
          <w:szCs w:val="24"/>
        </w:rPr>
        <w:t xml:space="preserve"> vždy</w:t>
      </w:r>
      <w:r w:rsidR="009B1B3A">
        <w:rPr>
          <w:szCs w:val="24"/>
        </w:rPr>
        <w:t xml:space="preserve"> </w:t>
      </w:r>
      <w:r w:rsidR="009B1B3A" w:rsidRPr="005A1773">
        <w:rPr>
          <w:b/>
          <w:szCs w:val="24"/>
        </w:rPr>
        <w:t xml:space="preserve">důsledně </w:t>
      </w:r>
      <w:r w:rsidR="009B1B3A" w:rsidRPr="0074602E">
        <w:rPr>
          <w:szCs w:val="24"/>
        </w:rPr>
        <w:t>od</w:t>
      </w:r>
      <w:r w:rsidR="009B1B3A">
        <w:rPr>
          <w:b/>
          <w:szCs w:val="24"/>
        </w:rPr>
        <w:t xml:space="preserve"> </w:t>
      </w:r>
      <w:r w:rsidR="009B1B3A" w:rsidRPr="007B0506">
        <w:rPr>
          <w:szCs w:val="24"/>
        </w:rPr>
        <w:t xml:space="preserve">příjemců dotací </w:t>
      </w:r>
      <w:r w:rsidR="00180519" w:rsidRPr="005A1773">
        <w:rPr>
          <w:b/>
          <w:szCs w:val="24"/>
        </w:rPr>
        <w:t>dodržování</w:t>
      </w:r>
      <w:r w:rsidR="007B0506" w:rsidRPr="007B0506">
        <w:rPr>
          <w:szCs w:val="24"/>
        </w:rPr>
        <w:t xml:space="preserve"> </w:t>
      </w:r>
      <w:r w:rsidR="00180519">
        <w:rPr>
          <w:szCs w:val="24"/>
        </w:rPr>
        <w:t xml:space="preserve">předem stanovených </w:t>
      </w:r>
      <w:r w:rsidR="007B0506" w:rsidRPr="005A1773">
        <w:rPr>
          <w:b/>
          <w:szCs w:val="24"/>
        </w:rPr>
        <w:t xml:space="preserve">pravidel </w:t>
      </w:r>
      <w:r w:rsidR="007C6045">
        <w:rPr>
          <w:szCs w:val="24"/>
        </w:rPr>
        <w:t xml:space="preserve">a v případě </w:t>
      </w:r>
      <w:r w:rsidR="00180519">
        <w:rPr>
          <w:szCs w:val="24"/>
        </w:rPr>
        <w:t>jejich porušování</w:t>
      </w:r>
      <w:r w:rsidR="007B0506" w:rsidRPr="007B0506">
        <w:rPr>
          <w:szCs w:val="24"/>
        </w:rPr>
        <w:t xml:space="preserve"> </w:t>
      </w:r>
      <w:r w:rsidR="009B1B3A" w:rsidRPr="007B0506">
        <w:rPr>
          <w:szCs w:val="24"/>
        </w:rPr>
        <w:t>nereagoval</w:t>
      </w:r>
      <w:r w:rsidR="009B1B3A">
        <w:rPr>
          <w:szCs w:val="24"/>
        </w:rPr>
        <w:t>i</w:t>
      </w:r>
      <w:r w:rsidR="009B1B3A" w:rsidRPr="007B0506">
        <w:rPr>
          <w:szCs w:val="24"/>
        </w:rPr>
        <w:t xml:space="preserve"> </w:t>
      </w:r>
      <w:r w:rsidR="00180519">
        <w:rPr>
          <w:szCs w:val="24"/>
        </w:rPr>
        <w:t>vhodným způsobem</w:t>
      </w:r>
      <w:r w:rsidR="007B0506" w:rsidRPr="007B0506">
        <w:rPr>
          <w:szCs w:val="24"/>
        </w:rPr>
        <w:t xml:space="preserve"> na danou situaci. </w:t>
      </w:r>
      <w:r w:rsidRPr="005A1773">
        <w:rPr>
          <w:b/>
          <w:szCs w:val="24"/>
        </w:rPr>
        <w:t xml:space="preserve">NKÚ kontrolou vzorku vybraných dotací zjistil zejména následující </w:t>
      </w:r>
      <w:r w:rsidR="007B0506" w:rsidRPr="005A1773">
        <w:rPr>
          <w:b/>
          <w:szCs w:val="24"/>
        </w:rPr>
        <w:t>pochybení</w:t>
      </w:r>
      <w:r w:rsidR="00180519" w:rsidRPr="005A1773">
        <w:rPr>
          <w:b/>
          <w:szCs w:val="24"/>
        </w:rPr>
        <w:t xml:space="preserve"> MZ, MŠMT a ÚV</w:t>
      </w:r>
      <w:r w:rsidR="00EF5A70" w:rsidRPr="005A1773">
        <w:rPr>
          <w:b/>
          <w:szCs w:val="24"/>
        </w:rPr>
        <w:t xml:space="preserve"> ČR</w:t>
      </w:r>
      <w:r w:rsidRPr="005A1773">
        <w:rPr>
          <w:b/>
          <w:szCs w:val="24"/>
        </w:rPr>
        <w:t>:</w:t>
      </w:r>
    </w:p>
    <w:p w14:paraId="7B2756CB" w14:textId="32D5C92C" w:rsidR="006E48C3" w:rsidRDefault="006E48C3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MZ ve třech případech </w:t>
      </w:r>
      <w:r w:rsidRPr="006E48C3">
        <w:rPr>
          <w:szCs w:val="24"/>
        </w:rPr>
        <w:t>nemělo informaci, zda pozice</w:t>
      </w:r>
      <w:r>
        <w:rPr>
          <w:szCs w:val="24"/>
        </w:rPr>
        <w:t>, na jejíž mzdové náklady žadatel použil část dotace,</w:t>
      </w:r>
      <w:r w:rsidRPr="006E48C3">
        <w:rPr>
          <w:szCs w:val="24"/>
        </w:rPr>
        <w:t xml:space="preserve"> byla v době realizace projektu obsazena a kým</w:t>
      </w:r>
      <w:r>
        <w:rPr>
          <w:szCs w:val="24"/>
        </w:rPr>
        <w:t>. MZ v těchto případech</w:t>
      </w:r>
      <w:r w:rsidRPr="006E48C3">
        <w:rPr>
          <w:szCs w:val="24"/>
        </w:rPr>
        <w:t xml:space="preserve"> neprověřilo, zda čerpání dotace na tuto pozici </w:t>
      </w:r>
      <w:r>
        <w:rPr>
          <w:szCs w:val="24"/>
        </w:rPr>
        <w:t>bylo oprávněné</w:t>
      </w:r>
      <w:r w:rsidRPr="006E48C3">
        <w:rPr>
          <w:szCs w:val="24"/>
        </w:rPr>
        <w:t>.</w:t>
      </w:r>
    </w:p>
    <w:p w14:paraId="78D38F2E" w14:textId="5C372AB7" w:rsidR="006E48C3" w:rsidRDefault="006E48C3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>
        <w:rPr>
          <w:szCs w:val="24"/>
        </w:rPr>
        <w:t>MZ v</w:t>
      </w:r>
      <w:r w:rsidR="00882894">
        <w:rPr>
          <w:szCs w:val="24"/>
        </w:rPr>
        <w:t>e čtyřech</w:t>
      </w:r>
      <w:r w:rsidR="008372D7">
        <w:rPr>
          <w:szCs w:val="24"/>
        </w:rPr>
        <w:t xml:space="preserve"> p</w:t>
      </w:r>
      <w:r>
        <w:rPr>
          <w:szCs w:val="24"/>
        </w:rPr>
        <w:t>řípad</w:t>
      </w:r>
      <w:r w:rsidR="008372D7">
        <w:rPr>
          <w:szCs w:val="24"/>
        </w:rPr>
        <w:t xml:space="preserve">ech </w:t>
      </w:r>
      <w:r w:rsidR="008372D7" w:rsidRPr="008372D7">
        <w:rPr>
          <w:szCs w:val="24"/>
        </w:rPr>
        <w:t>nevy</w:t>
      </w:r>
      <w:r w:rsidR="008372D7">
        <w:rPr>
          <w:szCs w:val="24"/>
        </w:rPr>
        <w:t>žadoval</w:t>
      </w:r>
      <w:r w:rsidR="00C01851">
        <w:rPr>
          <w:szCs w:val="24"/>
        </w:rPr>
        <w:t>o</w:t>
      </w:r>
      <w:r w:rsidR="008372D7">
        <w:rPr>
          <w:szCs w:val="24"/>
        </w:rPr>
        <w:t xml:space="preserve"> po příjemcích dotace</w:t>
      </w:r>
      <w:r w:rsidR="008372D7" w:rsidRPr="008372D7">
        <w:rPr>
          <w:szCs w:val="24"/>
        </w:rPr>
        <w:t xml:space="preserve"> splnění podmínky</w:t>
      </w:r>
      <w:r w:rsidR="008372D7">
        <w:rPr>
          <w:szCs w:val="24"/>
        </w:rPr>
        <w:t xml:space="preserve">, která spočívala v předložení </w:t>
      </w:r>
      <w:r w:rsidR="008372D7" w:rsidRPr="008372D7">
        <w:rPr>
          <w:szCs w:val="24"/>
        </w:rPr>
        <w:t>zpráv</w:t>
      </w:r>
      <w:r w:rsidR="008372D7">
        <w:rPr>
          <w:szCs w:val="24"/>
        </w:rPr>
        <w:t>y</w:t>
      </w:r>
      <w:r w:rsidR="008372D7" w:rsidRPr="008372D7">
        <w:rPr>
          <w:szCs w:val="24"/>
        </w:rPr>
        <w:t xml:space="preserve"> nezávislého auditora o revizi hospodaření s prostředky ze </w:t>
      </w:r>
      <w:r w:rsidR="007B0506">
        <w:rPr>
          <w:szCs w:val="24"/>
        </w:rPr>
        <w:t>státního rozpočtu</w:t>
      </w:r>
      <w:r w:rsidR="008372D7">
        <w:rPr>
          <w:szCs w:val="24"/>
        </w:rPr>
        <w:t>.</w:t>
      </w:r>
    </w:p>
    <w:p w14:paraId="570A0534" w14:textId="5195DA23" w:rsidR="00C153BF" w:rsidRPr="00C153BF" w:rsidRDefault="00B94BB9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>
        <w:rPr>
          <w:szCs w:val="24"/>
        </w:rPr>
        <w:t>V řadě případů kontrolovaných projektů podpořených MZ nesouhlasily údaje</w:t>
      </w:r>
      <w:r w:rsidR="00C153BF" w:rsidRPr="00C153BF">
        <w:rPr>
          <w:szCs w:val="24"/>
        </w:rPr>
        <w:t xml:space="preserve"> </w:t>
      </w:r>
      <w:r w:rsidR="00E12F36">
        <w:rPr>
          <w:szCs w:val="24"/>
        </w:rPr>
        <w:br/>
      </w:r>
      <w:r w:rsidR="00C153BF" w:rsidRPr="00C153BF">
        <w:rPr>
          <w:szCs w:val="24"/>
        </w:rPr>
        <w:t>v závěrečné zprávě</w:t>
      </w:r>
      <w:r w:rsidR="00882894">
        <w:rPr>
          <w:szCs w:val="24"/>
        </w:rPr>
        <w:t xml:space="preserve"> o realizaci projektu</w:t>
      </w:r>
      <w:r w:rsidR="00C153BF" w:rsidRPr="00C153BF">
        <w:rPr>
          <w:szCs w:val="24"/>
        </w:rPr>
        <w:t xml:space="preserve"> </w:t>
      </w:r>
      <w:r>
        <w:rPr>
          <w:szCs w:val="24"/>
        </w:rPr>
        <w:t>s údaji uvedenými</w:t>
      </w:r>
      <w:r w:rsidR="00C153BF" w:rsidRPr="00C153BF">
        <w:rPr>
          <w:szCs w:val="24"/>
        </w:rPr>
        <w:t xml:space="preserve"> </w:t>
      </w:r>
      <w:r>
        <w:rPr>
          <w:szCs w:val="24"/>
        </w:rPr>
        <w:t xml:space="preserve">v </w:t>
      </w:r>
      <w:r w:rsidR="00C153BF" w:rsidRPr="00C153BF">
        <w:rPr>
          <w:szCs w:val="24"/>
        </w:rPr>
        <w:t>závěrečném vyúčtování projektu</w:t>
      </w:r>
      <w:r>
        <w:rPr>
          <w:szCs w:val="24"/>
        </w:rPr>
        <w:t>, případně byly předloženy různé varianty těchto dokumentů</w:t>
      </w:r>
      <w:r w:rsidR="00140286">
        <w:rPr>
          <w:szCs w:val="24"/>
        </w:rPr>
        <w:t xml:space="preserve"> nebo byly předloženy v neúplné podobě či s chybnými údaji</w:t>
      </w:r>
      <w:r>
        <w:rPr>
          <w:szCs w:val="24"/>
        </w:rPr>
        <w:t>.</w:t>
      </w:r>
      <w:r w:rsidR="00C153BF" w:rsidRPr="00C153BF">
        <w:rPr>
          <w:szCs w:val="24"/>
        </w:rPr>
        <w:t xml:space="preserve"> MZ</w:t>
      </w:r>
      <w:r>
        <w:rPr>
          <w:szCs w:val="24"/>
        </w:rPr>
        <w:t xml:space="preserve"> přesto</w:t>
      </w:r>
      <w:r w:rsidR="00C153BF" w:rsidRPr="00C153BF">
        <w:rPr>
          <w:szCs w:val="24"/>
        </w:rPr>
        <w:t xml:space="preserve"> nepožádalo příjemce </w:t>
      </w:r>
      <w:r w:rsidR="00E12F36">
        <w:rPr>
          <w:szCs w:val="24"/>
        </w:rPr>
        <w:br/>
      </w:r>
      <w:r w:rsidR="00C153BF" w:rsidRPr="00C153BF">
        <w:rPr>
          <w:szCs w:val="24"/>
        </w:rPr>
        <w:t>o zjednání nápravy</w:t>
      </w:r>
      <w:r>
        <w:rPr>
          <w:szCs w:val="24"/>
        </w:rPr>
        <w:t xml:space="preserve">, </w:t>
      </w:r>
      <w:r w:rsidR="00C153BF" w:rsidRPr="00C153BF">
        <w:rPr>
          <w:szCs w:val="24"/>
        </w:rPr>
        <w:t xml:space="preserve">zdůvodnění </w:t>
      </w:r>
      <w:r w:rsidR="00140286">
        <w:rPr>
          <w:szCs w:val="24"/>
        </w:rPr>
        <w:t xml:space="preserve">rozporů </w:t>
      </w:r>
      <w:r>
        <w:rPr>
          <w:szCs w:val="24"/>
        </w:rPr>
        <w:t>či</w:t>
      </w:r>
      <w:r w:rsidR="00C153BF" w:rsidRPr="00C153BF">
        <w:rPr>
          <w:szCs w:val="24"/>
        </w:rPr>
        <w:t xml:space="preserve"> o doložení relevantních dokladů a</w:t>
      </w:r>
      <w:r w:rsidR="007701DC">
        <w:rPr>
          <w:szCs w:val="24"/>
        </w:rPr>
        <w:t> </w:t>
      </w:r>
      <w:r w:rsidR="00C153BF" w:rsidRPr="00C153BF">
        <w:rPr>
          <w:szCs w:val="24"/>
        </w:rPr>
        <w:t>akceptovalo</w:t>
      </w:r>
      <w:r>
        <w:rPr>
          <w:szCs w:val="24"/>
        </w:rPr>
        <w:t xml:space="preserve"> </w:t>
      </w:r>
      <w:r w:rsidR="00C01851">
        <w:rPr>
          <w:szCs w:val="24"/>
        </w:rPr>
        <w:t>zmíněné dokumenty</w:t>
      </w:r>
      <w:r w:rsidR="00C153BF" w:rsidRPr="00C153BF">
        <w:rPr>
          <w:szCs w:val="24"/>
        </w:rPr>
        <w:t xml:space="preserve"> </w:t>
      </w:r>
      <w:r>
        <w:rPr>
          <w:szCs w:val="24"/>
        </w:rPr>
        <w:t xml:space="preserve">v této podobě </w:t>
      </w:r>
      <w:r w:rsidR="00C153BF" w:rsidRPr="00C153BF">
        <w:rPr>
          <w:szCs w:val="24"/>
        </w:rPr>
        <w:t>bez prověření je</w:t>
      </w:r>
      <w:r>
        <w:rPr>
          <w:szCs w:val="24"/>
        </w:rPr>
        <w:t>jich</w:t>
      </w:r>
      <w:r w:rsidR="00C153BF" w:rsidRPr="00C153BF">
        <w:rPr>
          <w:szCs w:val="24"/>
        </w:rPr>
        <w:t xml:space="preserve"> věrohodnosti.</w:t>
      </w:r>
    </w:p>
    <w:p w14:paraId="25697CC9" w14:textId="3DE2CD1A" w:rsidR="00F11A8A" w:rsidRDefault="007C56CC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MZ dokonce v jednom případě </w:t>
      </w:r>
      <w:r w:rsidR="006A697F">
        <w:rPr>
          <w:szCs w:val="24"/>
        </w:rPr>
        <w:t>na</w:t>
      </w:r>
      <w:r w:rsidRPr="007C56CC">
        <w:rPr>
          <w:szCs w:val="24"/>
        </w:rPr>
        <w:t>místo</w:t>
      </w:r>
      <w:r w:rsidR="006A697F">
        <w:rPr>
          <w:szCs w:val="24"/>
        </w:rPr>
        <w:t xml:space="preserve"> zaslání</w:t>
      </w:r>
      <w:r w:rsidRPr="007C56CC">
        <w:rPr>
          <w:szCs w:val="24"/>
        </w:rPr>
        <w:t xml:space="preserve"> </w:t>
      </w:r>
      <w:r>
        <w:rPr>
          <w:szCs w:val="24"/>
        </w:rPr>
        <w:t>požadavku</w:t>
      </w:r>
      <w:r w:rsidR="006A697F">
        <w:rPr>
          <w:szCs w:val="24"/>
        </w:rPr>
        <w:t xml:space="preserve"> na</w:t>
      </w:r>
      <w:r w:rsidRPr="007C56CC">
        <w:rPr>
          <w:szCs w:val="24"/>
        </w:rPr>
        <w:t xml:space="preserve"> vrá</w:t>
      </w:r>
      <w:r>
        <w:rPr>
          <w:szCs w:val="24"/>
        </w:rPr>
        <w:t>cení</w:t>
      </w:r>
      <w:r w:rsidRPr="007C56CC">
        <w:rPr>
          <w:szCs w:val="24"/>
        </w:rPr>
        <w:t xml:space="preserve"> poměrn</w:t>
      </w:r>
      <w:r>
        <w:rPr>
          <w:szCs w:val="24"/>
        </w:rPr>
        <w:t>é</w:t>
      </w:r>
      <w:r w:rsidRPr="007C56CC">
        <w:rPr>
          <w:szCs w:val="24"/>
        </w:rPr>
        <w:t xml:space="preserve"> část</w:t>
      </w:r>
      <w:r>
        <w:rPr>
          <w:szCs w:val="24"/>
        </w:rPr>
        <w:t>i</w:t>
      </w:r>
      <w:r w:rsidRPr="007C56CC">
        <w:rPr>
          <w:szCs w:val="24"/>
        </w:rPr>
        <w:t xml:space="preserve"> dotace</w:t>
      </w:r>
      <w:r w:rsidR="00BA4935">
        <w:rPr>
          <w:szCs w:val="24"/>
        </w:rPr>
        <w:t xml:space="preserve"> </w:t>
      </w:r>
      <w:r w:rsidRPr="007C56CC">
        <w:rPr>
          <w:szCs w:val="24"/>
        </w:rPr>
        <w:t>naopak navrhlo příjemci</w:t>
      </w:r>
      <w:r>
        <w:rPr>
          <w:szCs w:val="24"/>
        </w:rPr>
        <w:t>, aby</w:t>
      </w:r>
      <w:r w:rsidRPr="007C56CC">
        <w:rPr>
          <w:szCs w:val="24"/>
        </w:rPr>
        <w:t xml:space="preserve"> upravi</w:t>
      </w:r>
      <w:r>
        <w:rPr>
          <w:szCs w:val="24"/>
        </w:rPr>
        <w:t>l</w:t>
      </w:r>
      <w:r w:rsidRPr="007C56CC">
        <w:rPr>
          <w:szCs w:val="24"/>
        </w:rPr>
        <w:t xml:space="preserve"> a zkresli</w:t>
      </w:r>
      <w:r>
        <w:rPr>
          <w:szCs w:val="24"/>
        </w:rPr>
        <w:t>l</w:t>
      </w:r>
      <w:r w:rsidRPr="007C56CC">
        <w:rPr>
          <w:szCs w:val="24"/>
        </w:rPr>
        <w:t xml:space="preserve"> </w:t>
      </w:r>
      <w:r>
        <w:rPr>
          <w:szCs w:val="24"/>
        </w:rPr>
        <w:t>vykázané</w:t>
      </w:r>
      <w:r w:rsidRPr="007C56CC">
        <w:rPr>
          <w:szCs w:val="24"/>
        </w:rPr>
        <w:t xml:space="preserve"> náklady</w:t>
      </w:r>
      <w:r>
        <w:rPr>
          <w:szCs w:val="24"/>
        </w:rPr>
        <w:t xml:space="preserve"> projektu </w:t>
      </w:r>
      <w:r w:rsidR="00E12F36">
        <w:rPr>
          <w:szCs w:val="24"/>
        </w:rPr>
        <w:br/>
      </w:r>
      <w:r>
        <w:rPr>
          <w:szCs w:val="24"/>
        </w:rPr>
        <w:t>a předložil upravené vyúčtování. MZ také akceptovalo antedatovaná vyúčtování.</w:t>
      </w:r>
    </w:p>
    <w:p w14:paraId="3BA1A5BF" w14:textId="0017434A" w:rsidR="00940C10" w:rsidRPr="00F47D92" w:rsidRDefault="00940C10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 w:rsidRPr="00F47D92">
        <w:rPr>
          <w:szCs w:val="24"/>
        </w:rPr>
        <w:t>MŠMT ve třech případech kontrolovaných projektů</w:t>
      </w:r>
      <w:r w:rsidR="006A697F" w:rsidRPr="00F47D92">
        <w:rPr>
          <w:szCs w:val="24"/>
        </w:rPr>
        <w:t xml:space="preserve"> akceptovalo zásadní porušení podmínek poskytnutí dotace. V jednom případě příjemce n</w:t>
      </w:r>
      <w:r w:rsidRPr="00F47D92">
        <w:rPr>
          <w:szCs w:val="24"/>
        </w:rPr>
        <w:t>espln</w:t>
      </w:r>
      <w:r w:rsidR="006A697F" w:rsidRPr="00F47D92">
        <w:rPr>
          <w:szCs w:val="24"/>
        </w:rPr>
        <w:t>il</w:t>
      </w:r>
      <w:r w:rsidRPr="00F47D92">
        <w:rPr>
          <w:szCs w:val="24"/>
        </w:rPr>
        <w:t xml:space="preserve"> celkový rozpočet </w:t>
      </w:r>
      <w:r w:rsidR="00E12F36">
        <w:rPr>
          <w:szCs w:val="24"/>
        </w:rPr>
        <w:br/>
      </w:r>
      <w:r w:rsidRPr="00F47D92">
        <w:rPr>
          <w:szCs w:val="24"/>
        </w:rPr>
        <w:t>a cíl projektu</w:t>
      </w:r>
      <w:r w:rsidR="006A697F" w:rsidRPr="00F47D92">
        <w:rPr>
          <w:szCs w:val="24"/>
        </w:rPr>
        <w:t>, ve druhém</w:t>
      </w:r>
      <w:r w:rsidRPr="00F47D92">
        <w:rPr>
          <w:szCs w:val="24"/>
        </w:rPr>
        <w:t xml:space="preserve"> případě</w:t>
      </w:r>
      <w:r w:rsidR="006A697F" w:rsidRPr="00F47D92">
        <w:rPr>
          <w:szCs w:val="24"/>
        </w:rPr>
        <w:t xml:space="preserve"> nespl</w:t>
      </w:r>
      <w:r w:rsidRPr="00F47D92">
        <w:rPr>
          <w:szCs w:val="24"/>
        </w:rPr>
        <w:t>n</w:t>
      </w:r>
      <w:r w:rsidR="006A697F" w:rsidRPr="00F47D92">
        <w:rPr>
          <w:szCs w:val="24"/>
        </w:rPr>
        <w:t>il tentýž příjemce v dalším roce</w:t>
      </w:r>
      <w:r w:rsidRPr="00F47D92">
        <w:rPr>
          <w:szCs w:val="24"/>
        </w:rPr>
        <w:t xml:space="preserve"> celkový rozpočet a podíl spolufinancování projektu</w:t>
      </w:r>
      <w:r w:rsidR="006A697F" w:rsidRPr="00F47D92">
        <w:rPr>
          <w:szCs w:val="24"/>
        </w:rPr>
        <w:t xml:space="preserve"> a ve třetím případě jiný příjemce nesplnil cíl projektu. Ve všech třech případech se jednalo o příjemce dotace z řad fyzických osob.</w:t>
      </w:r>
      <w:r w:rsidRPr="00F47D92">
        <w:rPr>
          <w:szCs w:val="24"/>
        </w:rPr>
        <w:t xml:space="preserve"> MŠMT nevyvodilo z </w:t>
      </w:r>
      <w:r w:rsidR="00956E99">
        <w:rPr>
          <w:szCs w:val="24"/>
        </w:rPr>
        <w:t>těchto</w:t>
      </w:r>
      <w:r w:rsidRPr="00F47D92">
        <w:rPr>
          <w:szCs w:val="24"/>
        </w:rPr>
        <w:t xml:space="preserve"> porušení patřičné důsledky pro příjemce dotace, </w:t>
      </w:r>
      <w:r w:rsidR="006A697F" w:rsidRPr="00F47D92">
        <w:rPr>
          <w:szCs w:val="24"/>
        </w:rPr>
        <w:t xml:space="preserve">resp. </w:t>
      </w:r>
      <w:r w:rsidRPr="00F47D92">
        <w:rPr>
          <w:szCs w:val="24"/>
        </w:rPr>
        <w:t>nevymáhalo finanční prostředky v celkové výši 754 248 Kč použité v rozporu s</w:t>
      </w:r>
      <w:r w:rsidR="00956E99">
        <w:rPr>
          <w:szCs w:val="24"/>
        </w:rPr>
        <w:t> </w:t>
      </w:r>
      <w:r w:rsidRPr="00F47D92">
        <w:rPr>
          <w:szCs w:val="24"/>
        </w:rPr>
        <w:t>podmínkami stanovenými v</w:t>
      </w:r>
      <w:r w:rsidR="001F782E">
        <w:rPr>
          <w:szCs w:val="24"/>
        </w:rPr>
        <w:t> </w:t>
      </w:r>
      <w:r w:rsidRPr="00F47D92">
        <w:rPr>
          <w:szCs w:val="24"/>
        </w:rPr>
        <w:t>rozhodnutích</w:t>
      </w:r>
      <w:r w:rsidR="001F782E">
        <w:rPr>
          <w:szCs w:val="24"/>
        </w:rPr>
        <w:t xml:space="preserve"> o</w:t>
      </w:r>
      <w:r w:rsidRPr="00F47D92">
        <w:rPr>
          <w:szCs w:val="24"/>
        </w:rPr>
        <w:t xml:space="preserve"> </w:t>
      </w:r>
      <w:r w:rsidR="00F47D92">
        <w:rPr>
          <w:szCs w:val="24"/>
        </w:rPr>
        <w:t>poskytnutí dotace.</w:t>
      </w:r>
    </w:p>
    <w:p w14:paraId="06DE8433" w14:textId="0B3A81DB" w:rsidR="007B0506" w:rsidRDefault="007B0506" w:rsidP="00FC602A">
      <w:pPr>
        <w:pStyle w:val="Odstavecseseznamem"/>
        <w:numPr>
          <w:ilvl w:val="0"/>
          <w:numId w:val="18"/>
        </w:numPr>
        <w:spacing w:after="120"/>
        <w:contextualSpacing w:val="0"/>
        <w:rPr>
          <w:szCs w:val="24"/>
        </w:rPr>
      </w:pPr>
      <w:r w:rsidRPr="001D2D0F">
        <w:rPr>
          <w:szCs w:val="24"/>
        </w:rPr>
        <w:t>ÚV ČR akceptoval</w:t>
      </w:r>
      <w:r>
        <w:rPr>
          <w:szCs w:val="24"/>
        </w:rPr>
        <w:t xml:space="preserve"> </w:t>
      </w:r>
      <w:r w:rsidRPr="001D2D0F">
        <w:rPr>
          <w:szCs w:val="24"/>
        </w:rPr>
        <w:t xml:space="preserve">vyúčtování dotací </w:t>
      </w:r>
      <w:r>
        <w:rPr>
          <w:szCs w:val="24"/>
        </w:rPr>
        <w:t>několika</w:t>
      </w:r>
      <w:r w:rsidRPr="001D2D0F">
        <w:rPr>
          <w:szCs w:val="24"/>
        </w:rPr>
        <w:t xml:space="preserve"> projektů, z nichž bylo patrné, že</w:t>
      </w:r>
      <w:r w:rsidR="00911E3F">
        <w:rPr>
          <w:szCs w:val="24"/>
        </w:rPr>
        <w:t xml:space="preserve"> v nich uvedené položky, tj. např. pořízení výpočetní</w:t>
      </w:r>
      <w:r w:rsidRPr="001D2D0F">
        <w:rPr>
          <w:szCs w:val="24"/>
        </w:rPr>
        <w:t xml:space="preserve"> </w:t>
      </w:r>
      <w:r w:rsidR="00911E3F">
        <w:rPr>
          <w:szCs w:val="24"/>
        </w:rPr>
        <w:t>techniky, byly pořízeny až na konci roku</w:t>
      </w:r>
      <w:r w:rsidR="005B3F96">
        <w:rPr>
          <w:szCs w:val="24"/>
        </w:rPr>
        <w:t>,</w:t>
      </w:r>
      <w:r w:rsidR="00911E3F">
        <w:rPr>
          <w:szCs w:val="24"/>
        </w:rPr>
        <w:t xml:space="preserve"> na který byly dotace poskytnuty</w:t>
      </w:r>
      <w:r w:rsidR="005B3F96">
        <w:rPr>
          <w:szCs w:val="24"/>
        </w:rPr>
        <w:t>,</w:t>
      </w:r>
      <w:r w:rsidR="00911E3F">
        <w:rPr>
          <w:szCs w:val="24"/>
        </w:rPr>
        <w:t xml:space="preserve"> </w:t>
      </w:r>
      <w:r w:rsidRPr="001D2D0F">
        <w:rPr>
          <w:szCs w:val="24"/>
        </w:rPr>
        <w:t>a ne</w:t>
      </w:r>
      <w:r>
        <w:rPr>
          <w:szCs w:val="24"/>
        </w:rPr>
        <w:t>musely</w:t>
      </w:r>
      <w:r w:rsidRPr="001D2D0F">
        <w:rPr>
          <w:szCs w:val="24"/>
        </w:rPr>
        <w:t xml:space="preserve"> tak</w:t>
      </w:r>
      <w:r>
        <w:rPr>
          <w:szCs w:val="24"/>
        </w:rPr>
        <w:t xml:space="preserve"> být</w:t>
      </w:r>
      <w:r w:rsidRPr="001D2D0F">
        <w:rPr>
          <w:szCs w:val="24"/>
        </w:rPr>
        <w:t xml:space="preserve"> nezbytné k dosažení účelu stanoveného v rozhodnutí o poskytnutí dotace. </w:t>
      </w:r>
      <w:r>
        <w:rPr>
          <w:szCs w:val="24"/>
        </w:rPr>
        <w:t>V</w:t>
      </w:r>
      <w:r w:rsidRPr="001D2D0F">
        <w:rPr>
          <w:szCs w:val="24"/>
        </w:rPr>
        <w:t>ysoké riziko neúčelnosti</w:t>
      </w:r>
      <w:r w:rsidR="00750313">
        <w:rPr>
          <w:szCs w:val="24"/>
        </w:rPr>
        <w:t xml:space="preserve"> u </w:t>
      </w:r>
      <w:r>
        <w:rPr>
          <w:szCs w:val="24"/>
        </w:rPr>
        <w:t xml:space="preserve">pořízených položek ÚV ČR </w:t>
      </w:r>
      <w:r w:rsidRPr="001D2D0F">
        <w:rPr>
          <w:szCs w:val="24"/>
        </w:rPr>
        <w:t>nijak neprověřoval.</w:t>
      </w:r>
    </w:p>
    <w:p w14:paraId="0B36D9A6" w14:textId="1B251D06" w:rsidR="00F47D92" w:rsidRPr="002C7011" w:rsidRDefault="00F47D92" w:rsidP="00FC602A">
      <w:pPr>
        <w:widowControl/>
        <w:spacing w:after="120"/>
        <w:rPr>
          <w:b/>
          <w:szCs w:val="24"/>
        </w:rPr>
      </w:pPr>
      <w:r>
        <w:rPr>
          <w:szCs w:val="24"/>
        </w:rPr>
        <w:t xml:space="preserve">Výše popsaný </w:t>
      </w:r>
      <w:r w:rsidRPr="005A1773">
        <w:rPr>
          <w:b/>
          <w:szCs w:val="24"/>
        </w:rPr>
        <w:t>postup</w:t>
      </w:r>
      <w:r>
        <w:rPr>
          <w:szCs w:val="24"/>
        </w:rPr>
        <w:t xml:space="preserve"> jednotlivých </w:t>
      </w:r>
      <w:r w:rsidRPr="005A1773">
        <w:rPr>
          <w:b/>
          <w:szCs w:val="24"/>
        </w:rPr>
        <w:t>poskytovatelů dotací v rámci protidrogové politiky vytvářel</w:t>
      </w:r>
      <w:r>
        <w:rPr>
          <w:szCs w:val="24"/>
        </w:rPr>
        <w:t xml:space="preserve"> v kontrolovaném období </w:t>
      </w:r>
      <w:r w:rsidRPr="005A1773">
        <w:rPr>
          <w:b/>
          <w:szCs w:val="24"/>
        </w:rPr>
        <w:t>nerovné podmínky</w:t>
      </w:r>
      <w:r w:rsidRPr="00F47D92">
        <w:rPr>
          <w:szCs w:val="24"/>
        </w:rPr>
        <w:t xml:space="preserve"> pro příjemce dotací</w:t>
      </w:r>
      <w:r>
        <w:rPr>
          <w:szCs w:val="24"/>
        </w:rPr>
        <w:t xml:space="preserve">. </w:t>
      </w:r>
      <w:r w:rsidR="009F5D7F">
        <w:rPr>
          <w:szCs w:val="24"/>
        </w:rPr>
        <w:t>Uvedené</w:t>
      </w:r>
      <w:r w:rsidR="00BA4935">
        <w:rPr>
          <w:szCs w:val="24"/>
        </w:rPr>
        <w:t xml:space="preserve"> </w:t>
      </w:r>
      <w:r w:rsidR="002C7011" w:rsidRPr="002C7011">
        <w:rPr>
          <w:b/>
          <w:szCs w:val="24"/>
        </w:rPr>
        <w:t>s</w:t>
      </w:r>
      <w:r w:rsidRPr="002C7011">
        <w:rPr>
          <w:b/>
          <w:szCs w:val="24"/>
        </w:rPr>
        <w:t xml:space="preserve">kutečnosti svědčí také o </w:t>
      </w:r>
      <w:r w:rsidR="00125199" w:rsidRPr="002C7011">
        <w:rPr>
          <w:b/>
          <w:szCs w:val="24"/>
        </w:rPr>
        <w:t xml:space="preserve">nefunkčnosti </w:t>
      </w:r>
      <w:r w:rsidR="00437109" w:rsidRPr="002C7011">
        <w:rPr>
          <w:b/>
          <w:szCs w:val="24"/>
        </w:rPr>
        <w:t xml:space="preserve">jejich </w:t>
      </w:r>
      <w:r w:rsidR="00125199" w:rsidRPr="002C7011">
        <w:rPr>
          <w:b/>
          <w:szCs w:val="24"/>
        </w:rPr>
        <w:t>vnitř</w:t>
      </w:r>
      <w:r w:rsidRPr="002C7011">
        <w:rPr>
          <w:b/>
          <w:szCs w:val="24"/>
        </w:rPr>
        <w:t>ních kontrolních systémů</w:t>
      </w:r>
      <w:r w:rsidRPr="0074602E">
        <w:rPr>
          <w:b/>
          <w:szCs w:val="24"/>
        </w:rPr>
        <w:t>.</w:t>
      </w:r>
    </w:p>
    <w:p w14:paraId="33963070" w14:textId="77777777" w:rsidR="007701DC" w:rsidRDefault="007701DC">
      <w:pPr>
        <w:widowControl/>
        <w:autoSpaceDE/>
        <w:autoSpaceDN/>
        <w:adjustRightInd/>
        <w:spacing w:after="160" w:line="259" w:lineRule="auto"/>
        <w:jc w:val="left"/>
        <w:rPr>
          <w:rFonts w:cs="Times New Roman"/>
          <w:b/>
          <w:szCs w:val="24"/>
          <w:lang w:eastAsia="en-US"/>
        </w:rPr>
      </w:pPr>
      <w:r>
        <w:br w:type="page"/>
      </w:r>
    </w:p>
    <w:p w14:paraId="1273BEC7" w14:textId="5B47197C" w:rsidR="00835D3F" w:rsidRDefault="00E762BF" w:rsidP="00FC602A">
      <w:pPr>
        <w:pStyle w:val="Nadpiskapitoly"/>
        <w:numPr>
          <w:ilvl w:val="0"/>
          <w:numId w:val="11"/>
        </w:numPr>
        <w:ind w:left="284" w:hanging="284"/>
      </w:pPr>
      <w:r w:rsidRPr="00E762BF">
        <w:lastRenderedPageBreak/>
        <w:t>Dva poskytovatelé dotací neprováděli kontrolu u příjemců v dostatečném rozsahu</w:t>
      </w:r>
      <w:r w:rsidRPr="00E762BF" w:rsidDel="00A471C5">
        <w:t xml:space="preserve"> </w:t>
      </w:r>
    </w:p>
    <w:p w14:paraId="7D6A8E03" w14:textId="59C089D3" w:rsidR="00EA7FB7" w:rsidRDefault="00EA7FB7" w:rsidP="00FC602A">
      <w:pPr>
        <w:widowControl/>
        <w:spacing w:after="120"/>
        <w:rPr>
          <w:szCs w:val="24"/>
        </w:rPr>
      </w:pPr>
      <w:r w:rsidRPr="00E805C0">
        <w:rPr>
          <w:szCs w:val="24"/>
        </w:rPr>
        <w:t>Poskytovatelé jsou povinni vykonávat</w:t>
      </w:r>
      <w:r>
        <w:rPr>
          <w:szCs w:val="24"/>
        </w:rPr>
        <w:t xml:space="preserve"> veřejnosprávní kontrolu </w:t>
      </w:r>
      <w:r w:rsidRPr="00EA7FB7">
        <w:rPr>
          <w:szCs w:val="24"/>
        </w:rPr>
        <w:t xml:space="preserve">u příjemců </w:t>
      </w:r>
      <w:r>
        <w:rPr>
          <w:szCs w:val="24"/>
        </w:rPr>
        <w:t>dotací</w:t>
      </w:r>
      <w:r>
        <w:rPr>
          <w:rStyle w:val="Znakapoznpodarou"/>
          <w:szCs w:val="24"/>
        </w:rPr>
        <w:footnoteReference w:id="30"/>
      </w:r>
      <w:r>
        <w:rPr>
          <w:szCs w:val="24"/>
        </w:rPr>
        <w:t xml:space="preserve">. </w:t>
      </w:r>
      <w:r w:rsidR="00097D05">
        <w:rPr>
          <w:szCs w:val="24"/>
        </w:rPr>
        <w:t xml:space="preserve">ÚV ČR </w:t>
      </w:r>
      <w:r w:rsidR="00E12F36">
        <w:rPr>
          <w:szCs w:val="24"/>
        </w:rPr>
        <w:br/>
      </w:r>
      <w:r w:rsidR="00097D05">
        <w:rPr>
          <w:szCs w:val="24"/>
        </w:rPr>
        <w:t xml:space="preserve">i jednotlivé resorty měly v kontrolovaném období </w:t>
      </w:r>
      <w:r w:rsidRPr="00EA7FB7">
        <w:rPr>
          <w:szCs w:val="24"/>
        </w:rPr>
        <w:t>zajistit kontrolní činnost u příjemců finančních prostředků</w:t>
      </w:r>
      <w:r w:rsidR="00097D05">
        <w:rPr>
          <w:szCs w:val="24"/>
        </w:rPr>
        <w:t xml:space="preserve"> z programů protidrogové politiky</w:t>
      </w:r>
      <w:r w:rsidRPr="00EA7FB7">
        <w:rPr>
          <w:szCs w:val="24"/>
        </w:rPr>
        <w:t xml:space="preserve"> v dostatečném rozsahu a odpovídající kvalitě. Průběžn</w:t>
      </w:r>
      <w:r w:rsidR="00437109">
        <w:rPr>
          <w:szCs w:val="24"/>
        </w:rPr>
        <w:t>ou</w:t>
      </w:r>
      <w:r w:rsidRPr="00EA7FB7">
        <w:rPr>
          <w:szCs w:val="24"/>
        </w:rPr>
        <w:t xml:space="preserve"> a následn</w:t>
      </w:r>
      <w:r w:rsidR="00437109">
        <w:rPr>
          <w:szCs w:val="24"/>
        </w:rPr>
        <w:t>ou</w:t>
      </w:r>
      <w:r w:rsidRPr="00EA7FB7">
        <w:rPr>
          <w:szCs w:val="24"/>
        </w:rPr>
        <w:t xml:space="preserve"> kontrol</w:t>
      </w:r>
      <w:r w:rsidR="00437109">
        <w:rPr>
          <w:szCs w:val="24"/>
        </w:rPr>
        <w:t>ou</w:t>
      </w:r>
      <w:r w:rsidRPr="00EA7FB7">
        <w:rPr>
          <w:szCs w:val="24"/>
        </w:rPr>
        <w:t xml:space="preserve"> u příjemců dotací je </w:t>
      </w:r>
      <w:r>
        <w:rPr>
          <w:szCs w:val="24"/>
        </w:rPr>
        <w:t xml:space="preserve">nejen </w:t>
      </w:r>
      <w:r w:rsidRPr="00EA7FB7">
        <w:rPr>
          <w:szCs w:val="24"/>
        </w:rPr>
        <w:t>v případě dotací určených na protidrogovou politiku</w:t>
      </w:r>
      <w:r w:rsidR="00437109">
        <w:rPr>
          <w:szCs w:val="24"/>
        </w:rPr>
        <w:t xml:space="preserve"> možné</w:t>
      </w:r>
      <w:r w:rsidRPr="00EA7FB7">
        <w:rPr>
          <w:szCs w:val="24"/>
        </w:rPr>
        <w:t xml:space="preserve"> ověřit plnění podmínek čerpání dotace a </w:t>
      </w:r>
      <w:r w:rsidR="00437109">
        <w:rPr>
          <w:szCs w:val="24"/>
        </w:rPr>
        <w:t>posoudit</w:t>
      </w:r>
      <w:r w:rsidRPr="00EA7FB7">
        <w:rPr>
          <w:szCs w:val="24"/>
        </w:rPr>
        <w:t xml:space="preserve"> účelnost, efektivnost a hospodárnost vynakládaných prostředků</w:t>
      </w:r>
      <w:r>
        <w:rPr>
          <w:szCs w:val="24"/>
        </w:rPr>
        <w:t>.</w:t>
      </w:r>
    </w:p>
    <w:p w14:paraId="7BD7125B" w14:textId="44B293E3" w:rsidR="00EA7FB7" w:rsidRPr="00EA7FB7" w:rsidRDefault="00EA7FB7" w:rsidP="00FC602A">
      <w:pPr>
        <w:widowControl/>
        <w:spacing w:after="120"/>
        <w:rPr>
          <w:szCs w:val="24"/>
        </w:rPr>
      </w:pPr>
      <w:r w:rsidRPr="005A1773">
        <w:rPr>
          <w:b/>
          <w:szCs w:val="24"/>
        </w:rPr>
        <w:t>MZ provedlo</w:t>
      </w:r>
      <w:r w:rsidRPr="00EA7FB7">
        <w:rPr>
          <w:szCs w:val="24"/>
        </w:rPr>
        <w:t xml:space="preserve"> v</w:t>
      </w:r>
      <w:r w:rsidR="00C85D20">
        <w:rPr>
          <w:szCs w:val="24"/>
        </w:rPr>
        <w:t> kontrolovaném období v</w:t>
      </w:r>
      <w:r w:rsidRPr="00EA7FB7">
        <w:rPr>
          <w:szCs w:val="24"/>
        </w:rPr>
        <w:t xml:space="preserve"> rámci protidrogové politiky </w:t>
      </w:r>
      <w:r w:rsidRPr="005A1773">
        <w:rPr>
          <w:b/>
          <w:szCs w:val="24"/>
        </w:rPr>
        <w:t>pouze jednu kontrolu</w:t>
      </w:r>
      <w:r w:rsidRPr="00EA7FB7">
        <w:rPr>
          <w:szCs w:val="24"/>
        </w:rPr>
        <w:t xml:space="preserve"> </w:t>
      </w:r>
      <w:r w:rsidR="00E12F36">
        <w:rPr>
          <w:szCs w:val="24"/>
        </w:rPr>
        <w:br/>
      </w:r>
      <w:r w:rsidR="00636B86">
        <w:rPr>
          <w:szCs w:val="24"/>
        </w:rPr>
        <w:t xml:space="preserve">u příjemce dotace </w:t>
      </w:r>
      <w:r w:rsidRPr="00EA7FB7">
        <w:rPr>
          <w:szCs w:val="24"/>
        </w:rPr>
        <w:t xml:space="preserve">v roce 2016. Jednalo se o následnou veřejnosprávní kontrolu projektu z roku 2015, na </w:t>
      </w:r>
      <w:r w:rsidR="00C85D20">
        <w:rPr>
          <w:szCs w:val="24"/>
        </w:rPr>
        <w:t xml:space="preserve">jehož realizaci MZ poskytlo </w:t>
      </w:r>
      <w:r w:rsidRPr="00EA7FB7">
        <w:rPr>
          <w:szCs w:val="24"/>
        </w:rPr>
        <w:t xml:space="preserve">prostředky ve výši </w:t>
      </w:r>
      <w:r w:rsidR="00C85D20">
        <w:rPr>
          <w:szCs w:val="24"/>
        </w:rPr>
        <w:t>500 000 Kč, tj.</w:t>
      </w:r>
      <w:r w:rsidRPr="00EA7FB7">
        <w:rPr>
          <w:szCs w:val="24"/>
        </w:rPr>
        <w:t xml:space="preserve"> </w:t>
      </w:r>
      <w:r w:rsidRPr="005A1773">
        <w:rPr>
          <w:b/>
          <w:szCs w:val="24"/>
        </w:rPr>
        <w:t>2,6 % poskytnutých dotací</w:t>
      </w:r>
      <w:r w:rsidRPr="00EA7FB7">
        <w:rPr>
          <w:szCs w:val="24"/>
        </w:rPr>
        <w:t xml:space="preserve"> na protidrogovou politiku</w:t>
      </w:r>
      <w:r w:rsidR="00C85D20">
        <w:rPr>
          <w:szCs w:val="24"/>
        </w:rPr>
        <w:t xml:space="preserve"> v roce 2015</w:t>
      </w:r>
      <w:r w:rsidRPr="00EA7FB7">
        <w:rPr>
          <w:szCs w:val="24"/>
        </w:rPr>
        <w:t>.</w:t>
      </w:r>
      <w:r w:rsidR="00AF650C">
        <w:rPr>
          <w:szCs w:val="24"/>
        </w:rPr>
        <w:t xml:space="preserve"> </w:t>
      </w:r>
      <w:r w:rsidRPr="00EA7FB7">
        <w:rPr>
          <w:szCs w:val="24"/>
        </w:rPr>
        <w:t>V ostatních letech kontrolovaného období neprovedlo MZ žádnou další ná</w:t>
      </w:r>
      <w:r w:rsidR="00AF650C">
        <w:rPr>
          <w:szCs w:val="24"/>
        </w:rPr>
        <w:t>slednou ani průběžnou kontrolu.</w:t>
      </w:r>
    </w:p>
    <w:p w14:paraId="04E82446" w14:textId="03F724F1" w:rsidR="000C363D" w:rsidRDefault="00EA7FB7" w:rsidP="00FC602A">
      <w:pPr>
        <w:widowControl/>
        <w:spacing w:after="120"/>
        <w:rPr>
          <w:szCs w:val="24"/>
        </w:rPr>
      </w:pPr>
      <w:r w:rsidRPr="005A1773">
        <w:rPr>
          <w:b/>
          <w:szCs w:val="24"/>
        </w:rPr>
        <w:t>MŠMT provedlo</w:t>
      </w:r>
      <w:r w:rsidRPr="00EA7FB7">
        <w:rPr>
          <w:szCs w:val="24"/>
        </w:rPr>
        <w:t xml:space="preserve"> v kontrolovaném období celkem </w:t>
      </w:r>
      <w:r w:rsidRPr="005A1773">
        <w:rPr>
          <w:b/>
          <w:szCs w:val="24"/>
        </w:rPr>
        <w:t xml:space="preserve">čtyři průběžné </w:t>
      </w:r>
      <w:r w:rsidR="00CB2C93">
        <w:rPr>
          <w:b/>
          <w:szCs w:val="24"/>
        </w:rPr>
        <w:t xml:space="preserve">kontroly </w:t>
      </w:r>
      <w:r w:rsidRPr="005A1773">
        <w:rPr>
          <w:b/>
          <w:szCs w:val="24"/>
        </w:rPr>
        <w:t>a sedm následných kontrol</w:t>
      </w:r>
      <w:r w:rsidRPr="00EA7FB7">
        <w:rPr>
          <w:szCs w:val="24"/>
        </w:rPr>
        <w:t xml:space="preserve"> dotací u příjemců.</w:t>
      </w:r>
      <w:r w:rsidR="00AF650C">
        <w:rPr>
          <w:szCs w:val="24"/>
        </w:rPr>
        <w:t xml:space="preserve"> </w:t>
      </w:r>
      <w:r w:rsidRPr="00EA7FB7">
        <w:rPr>
          <w:szCs w:val="24"/>
        </w:rPr>
        <w:t xml:space="preserve">V roce 2016 provedlo MŠMT jednu průběžnou kontrolu projektu, na </w:t>
      </w:r>
      <w:r w:rsidR="009B3725">
        <w:rPr>
          <w:szCs w:val="24"/>
        </w:rPr>
        <w:t>jehož realizaci poskytlo</w:t>
      </w:r>
      <w:r w:rsidRPr="00EA7FB7">
        <w:rPr>
          <w:szCs w:val="24"/>
        </w:rPr>
        <w:t xml:space="preserve"> dotac</w:t>
      </w:r>
      <w:r w:rsidR="009B3725">
        <w:rPr>
          <w:szCs w:val="24"/>
        </w:rPr>
        <w:t>i</w:t>
      </w:r>
      <w:r w:rsidRPr="00EA7FB7">
        <w:rPr>
          <w:szCs w:val="24"/>
        </w:rPr>
        <w:t xml:space="preserve"> ve výši 183 581 Kč</w:t>
      </w:r>
      <w:r w:rsidR="009B3725">
        <w:rPr>
          <w:szCs w:val="24"/>
        </w:rPr>
        <w:t>,</w:t>
      </w:r>
      <w:r w:rsidRPr="00EA7FB7">
        <w:rPr>
          <w:szCs w:val="24"/>
        </w:rPr>
        <w:t xml:space="preserve"> a v</w:t>
      </w:r>
      <w:r w:rsidR="009B3725">
        <w:rPr>
          <w:szCs w:val="24"/>
        </w:rPr>
        <w:t> </w:t>
      </w:r>
      <w:r w:rsidRPr="00EA7FB7">
        <w:rPr>
          <w:szCs w:val="24"/>
        </w:rPr>
        <w:t>roce</w:t>
      </w:r>
      <w:r w:rsidR="009B3725">
        <w:rPr>
          <w:szCs w:val="24"/>
        </w:rPr>
        <w:t xml:space="preserve"> </w:t>
      </w:r>
      <w:r w:rsidRPr="00EA7FB7">
        <w:rPr>
          <w:szCs w:val="24"/>
        </w:rPr>
        <w:t xml:space="preserve">2017 </w:t>
      </w:r>
      <w:r w:rsidR="009B3725">
        <w:rPr>
          <w:szCs w:val="24"/>
        </w:rPr>
        <w:t>uskutečnilo</w:t>
      </w:r>
      <w:r w:rsidR="009B3725" w:rsidRPr="00EA7FB7">
        <w:rPr>
          <w:szCs w:val="24"/>
        </w:rPr>
        <w:t xml:space="preserve"> </w:t>
      </w:r>
      <w:r w:rsidRPr="00EA7FB7">
        <w:rPr>
          <w:szCs w:val="24"/>
        </w:rPr>
        <w:t xml:space="preserve">tři průběžné kontroly </w:t>
      </w:r>
      <w:r w:rsidR="00115DAC">
        <w:rPr>
          <w:szCs w:val="24"/>
        </w:rPr>
        <w:t>u</w:t>
      </w:r>
      <w:r w:rsidRPr="00EA7FB7">
        <w:rPr>
          <w:szCs w:val="24"/>
        </w:rPr>
        <w:t xml:space="preserve"> projekt</w:t>
      </w:r>
      <w:r w:rsidR="00115DAC">
        <w:rPr>
          <w:szCs w:val="24"/>
        </w:rPr>
        <w:t>ů</w:t>
      </w:r>
      <w:r w:rsidRPr="00EA7FB7">
        <w:rPr>
          <w:szCs w:val="24"/>
        </w:rPr>
        <w:t xml:space="preserve">, na </w:t>
      </w:r>
      <w:r w:rsidR="009B3725">
        <w:rPr>
          <w:szCs w:val="24"/>
        </w:rPr>
        <w:t>jejichž realizaci</w:t>
      </w:r>
      <w:r w:rsidRPr="00EA7FB7">
        <w:rPr>
          <w:szCs w:val="24"/>
        </w:rPr>
        <w:t xml:space="preserve"> poskyt</w:t>
      </w:r>
      <w:r w:rsidR="009B3725">
        <w:rPr>
          <w:szCs w:val="24"/>
        </w:rPr>
        <w:t>lo</w:t>
      </w:r>
      <w:r w:rsidRPr="00EA7FB7">
        <w:rPr>
          <w:szCs w:val="24"/>
        </w:rPr>
        <w:t xml:space="preserve"> dotace v celkové výši 338 089 Kč. V ostatních letech kontrolovaného období nebyla proveden</w:t>
      </w:r>
      <w:r w:rsidR="009B3725">
        <w:rPr>
          <w:szCs w:val="24"/>
        </w:rPr>
        <w:t>a žádná</w:t>
      </w:r>
      <w:r w:rsidRPr="00EA7FB7">
        <w:rPr>
          <w:szCs w:val="24"/>
        </w:rPr>
        <w:t xml:space="preserve"> průběžná kontrola.</w:t>
      </w:r>
      <w:r w:rsidR="00AF650C">
        <w:rPr>
          <w:szCs w:val="24"/>
        </w:rPr>
        <w:t xml:space="preserve"> </w:t>
      </w:r>
      <w:r w:rsidRPr="00EA7FB7">
        <w:rPr>
          <w:szCs w:val="24"/>
        </w:rPr>
        <w:t xml:space="preserve">V roce 2019 provedlo MŠMT následnou veřejnosprávní kontrolu sedmi projektů, na </w:t>
      </w:r>
      <w:r w:rsidR="009B3725">
        <w:rPr>
          <w:szCs w:val="24"/>
        </w:rPr>
        <w:t>jejichž realizaci</w:t>
      </w:r>
      <w:r w:rsidRPr="00EA7FB7">
        <w:rPr>
          <w:szCs w:val="24"/>
        </w:rPr>
        <w:t xml:space="preserve"> byly poskytnuty finanční prostředky v celkové výši 1 482 497 Kč. Čtyři projekty byly z roku 2017 </w:t>
      </w:r>
      <w:r w:rsidR="00C46698">
        <w:rPr>
          <w:szCs w:val="24"/>
        </w:rPr>
        <w:br/>
      </w:r>
      <w:r w:rsidRPr="00EA7FB7">
        <w:rPr>
          <w:szCs w:val="24"/>
        </w:rPr>
        <w:t xml:space="preserve">a tři z roku 2018. Celkem tak bylo v kontrolovaném období v rámci následných kontrol zkontrolováno </w:t>
      </w:r>
      <w:r w:rsidR="00AF650C">
        <w:rPr>
          <w:szCs w:val="24"/>
        </w:rPr>
        <w:t xml:space="preserve">pouze </w:t>
      </w:r>
      <w:r w:rsidRPr="00EA7FB7">
        <w:rPr>
          <w:szCs w:val="24"/>
        </w:rPr>
        <w:t>2,2 % poskytnutých dotací na protidrogovou politiku.</w:t>
      </w:r>
      <w:r w:rsidR="00C85D20">
        <w:rPr>
          <w:szCs w:val="24"/>
        </w:rPr>
        <w:t xml:space="preserve"> </w:t>
      </w:r>
      <w:r w:rsidR="00C85D20" w:rsidRPr="005A1773">
        <w:rPr>
          <w:b/>
          <w:szCs w:val="24"/>
        </w:rPr>
        <w:t>Rozsah</w:t>
      </w:r>
      <w:r w:rsidR="00C85D20">
        <w:rPr>
          <w:szCs w:val="24"/>
        </w:rPr>
        <w:t xml:space="preserve"> všech zrealizovaných </w:t>
      </w:r>
      <w:r w:rsidR="00C85D20" w:rsidRPr="005A1773">
        <w:rPr>
          <w:b/>
          <w:szCs w:val="24"/>
        </w:rPr>
        <w:t>kontrol</w:t>
      </w:r>
      <w:r w:rsidR="00C85D20">
        <w:rPr>
          <w:szCs w:val="24"/>
        </w:rPr>
        <w:t xml:space="preserve"> v letech </w:t>
      </w:r>
      <w:r w:rsidR="00C85D20" w:rsidRPr="00AF650C">
        <w:rPr>
          <w:szCs w:val="24"/>
        </w:rPr>
        <w:t>2016–2019</w:t>
      </w:r>
      <w:r w:rsidR="00C85D20">
        <w:rPr>
          <w:szCs w:val="24"/>
        </w:rPr>
        <w:t xml:space="preserve"> </w:t>
      </w:r>
      <w:r w:rsidR="00C85D20" w:rsidRPr="005A1773">
        <w:rPr>
          <w:b/>
          <w:szCs w:val="24"/>
        </w:rPr>
        <w:t>nedosáhl ani 3,7 %</w:t>
      </w:r>
      <w:r w:rsidR="00C85D20">
        <w:rPr>
          <w:szCs w:val="24"/>
        </w:rPr>
        <w:t xml:space="preserve"> všech </w:t>
      </w:r>
      <w:r w:rsidR="00C85D20" w:rsidRPr="005A1773">
        <w:rPr>
          <w:b/>
          <w:szCs w:val="24"/>
        </w:rPr>
        <w:t>dotačních prostředků</w:t>
      </w:r>
      <w:r w:rsidR="00C85D20">
        <w:rPr>
          <w:szCs w:val="24"/>
        </w:rPr>
        <w:t xml:space="preserve"> vyplacených MŠMT v tomto období</w:t>
      </w:r>
      <w:r w:rsidR="00E930F3">
        <w:rPr>
          <w:szCs w:val="24"/>
        </w:rPr>
        <w:t>.</w:t>
      </w:r>
    </w:p>
    <w:p w14:paraId="58C4449B" w14:textId="59C3DDF6" w:rsidR="00AF650C" w:rsidRPr="00AF650C" w:rsidRDefault="00AF650C" w:rsidP="00FC602A">
      <w:pPr>
        <w:widowControl/>
        <w:spacing w:after="120"/>
        <w:rPr>
          <w:szCs w:val="24"/>
        </w:rPr>
      </w:pPr>
      <w:r w:rsidRPr="005A1773">
        <w:rPr>
          <w:b/>
          <w:szCs w:val="24"/>
        </w:rPr>
        <w:t>MS</w:t>
      </w:r>
      <w:r w:rsidRPr="00AF650C">
        <w:rPr>
          <w:szCs w:val="24"/>
        </w:rPr>
        <w:t xml:space="preserve"> provádělo v kontrolovaném období průběžné kontroly</w:t>
      </w:r>
      <w:r w:rsidR="00486570">
        <w:rPr>
          <w:szCs w:val="24"/>
        </w:rPr>
        <w:t xml:space="preserve"> u příjemců dotací</w:t>
      </w:r>
      <w:r w:rsidRPr="00AF650C">
        <w:rPr>
          <w:szCs w:val="24"/>
        </w:rPr>
        <w:t xml:space="preserve"> každoročně. Celkem jich v letech 2016–2019 </w:t>
      </w:r>
      <w:r w:rsidRPr="005A1773">
        <w:rPr>
          <w:b/>
          <w:szCs w:val="24"/>
        </w:rPr>
        <w:t>provedlo 11</w:t>
      </w:r>
      <w:r w:rsidRPr="00AF650C">
        <w:rPr>
          <w:szCs w:val="24"/>
        </w:rPr>
        <w:t xml:space="preserve"> a prověřilo jimi </w:t>
      </w:r>
      <w:r w:rsidR="005023C6">
        <w:rPr>
          <w:szCs w:val="24"/>
        </w:rPr>
        <w:t>dotac</w:t>
      </w:r>
      <w:r w:rsidR="00C46698">
        <w:rPr>
          <w:szCs w:val="24"/>
        </w:rPr>
        <w:t>e</w:t>
      </w:r>
      <w:r w:rsidRPr="00AF650C">
        <w:rPr>
          <w:szCs w:val="24"/>
        </w:rPr>
        <w:t xml:space="preserve"> </w:t>
      </w:r>
      <w:r w:rsidR="00C46698">
        <w:rPr>
          <w:szCs w:val="24"/>
        </w:rPr>
        <w:t>v úhrnné</w:t>
      </w:r>
      <w:r w:rsidRPr="00AF650C">
        <w:rPr>
          <w:szCs w:val="24"/>
        </w:rPr>
        <w:t xml:space="preserve"> výši 9</w:t>
      </w:r>
      <w:r w:rsidR="00C46698">
        <w:rPr>
          <w:szCs w:val="24"/>
        </w:rPr>
        <w:t> </w:t>
      </w:r>
      <w:r w:rsidRPr="00AF650C">
        <w:rPr>
          <w:szCs w:val="24"/>
        </w:rPr>
        <w:t>369</w:t>
      </w:r>
      <w:r w:rsidR="00C46698">
        <w:rPr>
          <w:szCs w:val="24"/>
        </w:rPr>
        <w:t> </w:t>
      </w:r>
      <w:r w:rsidRPr="00AF650C">
        <w:rPr>
          <w:szCs w:val="24"/>
        </w:rPr>
        <w:t>706</w:t>
      </w:r>
      <w:r w:rsidR="00C46698">
        <w:rPr>
          <w:szCs w:val="24"/>
        </w:rPr>
        <w:t> </w:t>
      </w:r>
      <w:r w:rsidRPr="00AF650C">
        <w:rPr>
          <w:szCs w:val="24"/>
        </w:rPr>
        <w:t>Kč, tj.</w:t>
      </w:r>
      <w:r w:rsidR="00C46698">
        <w:rPr>
          <w:szCs w:val="24"/>
        </w:rPr>
        <w:t> </w:t>
      </w:r>
      <w:r w:rsidRPr="005A1773">
        <w:rPr>
          <w:b/>
          <w:szCs w:val="24"/>
        </w:rPr>
        <w:t>33,</w:t>
      </w:r>
      <w:r w:rsidR="00E41A1E" w:rsidRPr="005A1773">
        <w:rPr>
          <w:b/>
          <w:szCs w:val="24"/>
        </w:rPr>
        <w:t>3</w:t>
      </w:r>
      <w:r w:rsidRPr="005A1773">
        <w:rPr>
          <w:b/>
          <w:szCs w:val="24"/>
        </w:rPr>
        <w:t xml:space="preserve"> %</w:t>
      </w:r>
      <w:r w:rsidRPr="00AF650C">
        <w:rPr>
          <w:szCs w:val="24"/>
        </w:rPr>
        <w:t xml:space="preserve"> z celkového </w:t>
      </w:r>
      <w:r w:rsidRPr="005A1773">
        <w:rPr>
          <w:b/>
          <w:szCs w:val="24"/>
        </w:rPr>
        <w:t xml:space="preserve">objemu </w:t>
      </w:r>
      <w:r w:rsidR="00A850B7">
        <w:rPr>
          <w:b/>
          <w:szCs w:val="24"/>
        </w:rPr>
        <w:t>prostředků</w:t>
      </w:r>
      <w:r w:rsidR="00A850B7">
        <w:rPr>
          <w:szCs w:val="24"/>
        </w:rPr>
        <w:t xml:space="preserve"> </w:t>
      </w:r>
      <w:r w:rsidRPr="005A1773">
        <w:rPr>
          <w:b/>
          <w:szCs w:val="24"/>
        </w:rPr>
        <w:t xml:space="preserve">poskytnutých </w:t>
      </w:r>
      <w:r w:rsidR="00C85D20">
        <w:rPr>
          <w:szCs w:val="24"/>
        </w:rPr>
        <w:t>v tomto období</w:t>
      </w:r>
      <w:r w:rsidRPr="00AF650C">
        <w:rPr>
          <w:szCs w:val="24"/>
        </w:rPr>
        <w:t>. Následn</w:t>
      </w:r>
      <w:r w:rsidR="009B3725">
        <w:rPr>
          <w:szCs w:val="24"/>
        </w:rPr>
        <w:t>é</w:t>
      </w:r>
      <w:r w:rsidRPr="00AF650C">
        <w:rPr>
          <w:szCs w:val="24"/>
        </w:rPr>
        <w:t xml:space="preserve"> veřejnosprávní kontrol</w:t>
      </w:r>
      <w:r w:rsidR="001C0DCA">
        <w:rPr>
          <w:szCs w:val="24"/>
        </w:rPr>
        <w:t>y</w:t>
      </w:r>
      <w:r w:rsidRPr="00AF650C">
        <w:rPr>
          <w:szCs w:val="24"/>
        </w:rPr>
        <w:t xml:space="preserve"> </w:t>
      </w:r>
      <w:r w:rsidR="001C0DCA">
        <w:rPr>
          <w:szCs w:val="24"/>
        </w:rPr>
        <w:t>MS</w:t>
      </w:r>
      <w:r w:rsidRPr="00AF650C">
        <w:rPr>
          <w:szCs w:val="24"/>
        </w:rPr>
        <w:t xml:space="preserve"> v kontrolovaném období </w:t>
      </w:r>
      <w:r w:rsidR="001C0DCA">
        <w:rPr>
          <w:szCs w:val="24"/>
        </w:rPr>
        <w:t>neprovádělo</w:t>
      </w:r>
      <w:r w:rsidRPr="00AF650C">
        <w:rPr>
          <w:szCs w:val="24"/>
        </w:rPr>
        <w:t>.</w:t>
      </w:r>
    </w:p>
    <w:p w14:paraId="7C88CA78" w14:textId="610BC84F" w:rsidR="00AF650C" w:rsidRPr="00EA7FB7" w:rsidRDefault="00AF650C" w:rsidP="00FC602A">
      <w:pPr>
        <w:widowControl/>
        <w:spacing w:after="120"/>
        <w:rPr>
          <w:szCs w:val="24"/>
        </w:rPr>
      </w:pPr>
      <w:r w:rsidRPr="00AF650C">
        <w:rPr>
          <w:szCs w:val="24"/>
        </w:rPr>
        <w:t xml:space="preserve">ÚV ČR </w:t>
      </w:r>
      <w:r w:rsidR="001C0DCA">
        <w:rPr>
          <w:szCs w:val="24"/>
        </w:rPr>
        <w:t>realizoval</w:t>
      </w:r>
      <w:r w:rsidRPr="00AF650C">
        <w:rPr>
          <w:szCs w:val="24"/>
        </w:rPr>
        <w:t xml:space="preserve"> průběžn</w:t>
      </w:r>
      <w:r w:rsidR="00C85D20">
        <w:rPr>
          <w:szCs w:val="24"/>
        </w:rPr>
        <w:t>é</w:t>
      </w:r>
      <w:r w:rsidRPr="00AF650C">
        <w:rPr>
          <w:szCs w:val="24"/>
        </w:rPr>
        <w:t xml:space="preserve"> kontrol</w:t>
      </w:r>
      <w:r w:rsidR="00C85D20">
        <w:rPr>
          <w:szCs w:val="24"/>
        </w:rPr>
        <w:t>y</w:t>
      </w:r>
      <w:r w:rsidR="00486570">
        <w:rPr>
          <w:szCs w:val="24"/>
        </w:rPr>
        <w:t xml:space="preserve"> u příjemců dotací</w:t>
      </w:r>
      <w:r w:rsidRPr="00AF650C">
        <w:rPr>
          <w:szCs w:val="24"/>
        </w:rPr>
        <w:t xml:space="preserve"> pou</w:t>
      </w:r>
      <w:r w:rsidR="00771122">
        <w:rPr>
          <w:szCs w:val="24"/>
        </w:rPr>
        <w:t>ze v roce 2016. Jednalo se o 12 </w:t>
      </w:r>
      <w:r w:rsidRPr="00AF650C">
        <w:rPr>
          <w:szCs w:val="24"/>
        </w:rPr>
        <w:t>průběžných kontrol projektů, na něž byl</w:t>
      </w:r>
      <w:r w:rsidR="00734501">
        <w:rPr>
          <w:szCs w:val="24"/>
        </w:rPr>
        <w:t>y</w:t>
      </w:r>
      <w:r w:rsidRPr="00AF650C">
        <w:rPr>
          <w:szCs w:val="24"/>
        </w:rPr>
        <w:t xml:space="preserve"> poskytnut</w:t>
      </w:r>
      <w:r w:rsidR="00734501">
        <w:rPr>
          <w:szCs w:val="24"/>
        </w:rPr>
        <w:t>y</w:t>
      </w:r>
      <w:r w:rsidRPr="00AF650C">
        <w:rPr>
          <w:szCs w:val="24"/>
        </w:rPr>
        <w:t xml:space="preserve"> dotace v celkové výši 6 342 000 Kč. V</w:t>
      </w:r>
      <w:r w:rsidR="00734501">
        <w:rPr>
          <w:szCs w:val="24"/>
        </w:rPr>
        <w:t> </w:t>
      </w:r>
      <w:r w:rsidRPr="00AF650C">
        <w:rPr>
          <w:szCs w:val="24"/>
        </w:rPr>
        <w:t>ostatních letech kontrolovaného období průběžné kontroly ÚV</w:t>
      </w:r>
      <w:r w:rsidR="00277843">
        <w:rPr>
          <w:szCs w:val="24"/>
        </w:rPr>
        <w:t xml:space="preserve"> ČR</w:t>
      </w:r>
      <w:r w:rsidRPr="00AF650C">
        <w:rPr>
          <w:szCs w:val="24"/>
        </w:rPr>
        <w:t xml:space="preserve"> </w:t>
      </w:r>
      <w:r w:rsidR="00097D05">
        <w:rPr>
          <w:szCs w:val="24"/>
        </w:rPr>
        <w:t xml:space="preserve">sice </w:t>
      </w:r>
      <w:r w:rsidRPr="00AF650C">
        <w:rPr>
          <w:szCs w:val="24"/>
        </w:rPr>
        <w:t>neprováděl</w:t>
      </w:r>
      <w:r w:rsidR="00097D05">
        <w:rPr>
          <w:szCs w:val="24"/>
        </w:rPr>
        <w:t>, ale n</w:t>
      </w:r>
      <w:r w:rsidRPr="00AF650C">
        <w:rPr>
          <w:szCs w:val="24"/>
        </w:rPr>
        <w:t xml:space="preserve">ásledné veřejnosprávní kontroly prováděl ÚV ČR v kontrolovaném období každoročně. </w:t>
      </w:r>
      <w:r w:rsidR="00E12F36">
        <w:rPr>
          <w:szCs w:val="24"/>
        </w:rPr>
        <w:br/>
      </w:r>
      <w:r w:rsidR="00486570">
        <w:rPr>
          <w:szCs w:val="24"/>
        </w:rPr>
        <w:t>V</w:t>
      </w:r>
      <w:r w:rsidR="00486570" w:rsidRPr="00AF650C">
        <w:rPr>
          <w:szCs w:val="24"/>
        </w:rPr>
        <w:t xml:space="preserve"> letech 2016–2019 </w:t>
      </w:r>
      <w:r w:rsidR="00486570" w:rsidRPr="005A1773">
        <w:rPr>
          <w:b/>
          <w:szCs w:val="24"/>
        </w:rPr>
        <w:t>ÚV ČR provedl</w:t>
      </w:r>
      <w:r w:rsidR="00486570" w:rsidRPr="00AF650C">
        <w:rPr>
          <w:szCs w:val="24"/>
        </w:rPr>
        <w:t xml:space="preserve"> </w:t>
      </w:r>
      <w:r w:rsidR="00486570">
        <w:rPr>
          <w:szCs w:val="24"/>
        </w:rPr>
        <w:t>celkem</w:t>
      </w:r>
      <w:r w:rsidRPr="00AF650C">
        <w:rPr>
          <w:szCs w:val="24"/>
        </w:rPr>
        <w:t xml:space="preserve"> </w:t>
      </w:r>
      <w:r w:rsidRPr="005A1773">
        <w:rPr>
          <w:b/>
          <w:szCs w:val="24"/>
        </w:rPr>
        <w:t>119 kontrol</w:t>
      </w:r>
      <w:r w:rsidRPr="00AF650C">
        <w:rPr>
          <w:szCs w:val="24"/>
        </w:rPr>
        <w:t xml:space="preserve"> a zkontrolován</w:t>
      </w:r>
      <w:r w:rsidR="005023C6">
        <w:rPr>
          <w:szCs w:val="24"/>
        </w:rPr>
        <w:t>y byly</w:t>
      </w:r>
      <w:r w:rsidRPr="00AF650C">
        <w:rPr>
          <w:szCs w:val="24"/>
        </w:rPr>
        <w:t xml:space="preserve"> dotace</w:t>
      </w:r>
      <w:r w:rsidR="00771122">
        <w:rPr>
          <w:szCs w:val="24"/>
        </w:rPr>
        <w:t xml:space="preserve"> ve výši 67 </w:t>
      </w:r>
      <w:r w:rsidRPr="00AF650C">
        <w:rPr>
          <w:szCs w:val="24"/>
        </w:rPr>
        <w:t xml:space="preserve">691 000 Kč, což je </w:t>
      </w:r>
      <w:r w:rsidRPr="005A1773">
        <w:rPr>
          <w:b/>
          <w:szCs w:val="24"/>
        </w:rPr>
        <w:t>13,</w:t>
      </w:r>
      <w:r w:rsidR="00F36826" w:rsidRPr="005A1773">
        <w:rPr>
          <w:b/>
          <w:szCs w:val="24"/>
        </w:rPr>
        <w:t>2</w:t>
      </w:r>
      <w:r w:rsidRPr="005A1773">
        <w:rPr>
          <w:b/>
          <w:szCs w:val="24"/>
        </w:rPr>
        <w:t xml:space="preserve"> %</w:t>
      </w:r>
      <w:r w:rsidRPr="00AF650C">
        <w:rPr>
          <w:szCs w:val="24"/>
        </w:rPr>
        <w:t xml:space="preserve"> z celkové</w:t>
      </w:r>
      <w:r w:rsidR="00097D05">
        <w:rPr>
          <w:szCs w:val="24"/>
        </w:rPr>
        <w:t xml:space="preserve">ho objemu poskytnutých </w:t>
      </w:r>
      <w:r w:rsidR="005023C6">
        <w:rPr>
          <w:szCs w:val="24"/>
        </w:rPr>
        <w:t>dotací</w:t>
      </w:r>
      <w:r w:rsidR="005E5334">
        <w:rPr>
          <w:szCs w:val="24"/>
        </w:rPr>
        <w:t xml:space="preserve"> v tomto období</w:t>
      </w:r>
      <w:r w:rsidR="00097D05">
        <w:rPr>
          <w:szCs w:val="24"/>
        </w:rPr>
        <w:t>.</w:t>
      </w:r>
    </w:p>
    <w:p w14:paraId="26CC4778" w14:textId="04EBCCE8" w:rsidR="00835D3F" w:rsidRDefault="007812BC" w:rsidP="00FC602A">
      <w:pPr>
        <w:pStyle w:val="Nadpiskapitoly"/>
        <w:numPr>
          <w:ilvl w:val="0"/>
          <w:numId w:val="11"/>
        </w:numPr>
        <w:ind w:left="284" w:hanging="284"/>
      </w:pPr>
      <w:r w:rsidRPr="007812BC">
        <w:t>Někteří příjemci neplnili podmínky poskytnutých dotací</w:t>
      </w:r>
    </w:p>
    <w:p w14:paraId="05DE9366" w14:textId="0C1EA425" w:rsidR="0091762A" w:rsidRPr="005A1773" w:rsidRDefault="00F32A56" w:rsidP="00FC602A">
      <w:pPr>
        <w:widowControl/>
        <w:spacing w:after="120"/>
        <w:rPr>
          <w:b/>
        </w:rPr>
      </w:pPr>
      <w:r w:rsidRPr="00F32A56">
        <w:t xml:space="preserve">Kontrola NKÚ byla provedena u </w:t>
      </w:r>
      <w:r>
        <w:t>9</w:t>
      </w:r>
      <w:r w:rsidRPr="00F32A56">
        <w:t xml:space="preserve"> </w:t>
      </w:r>
      <w:r>
        <w:t>příjemců dotací z</w:t>
      </w:r>
      <w:r w:rsidR="0091762A">
        <w:t> řad nestátních neziskových organizací. Z</w:t>
      </w:r>
      <w:r>
        <w:t xml:space="preserve">kontrolováno bylo celkem 54 dotací v celkové výši </w:t>
      </w:r>
      <w:r w:rsidRPr="00F32A56">
        <w:t>66</w:t>
      </w:r>
      <w:r w:rsidR="00E83E12">
        <w:t xml:space="preserve"> </w:t>
      </w:r>
      <w:r w:rsidRPr="00F32A56">
        <w:t>478</w:t>
      </w:r>
      <w:r w:rsidR="00A850B7">
        <w:t xml:space="preserve"> </w:t>
      </w:r>
      <w:r w:rsidRPr="00F32A56">
        <w:t>309</w:t>
      </w:r>
      <w:r>
        <w:t xml:space="preserve"> Kč</w:t>
      </w:r>
      <w:r w:rsidRPr="00F32A56">
        <w:t>, kter</w:t>
      </w:r>
      <w:r w:rsidR="0091762A">
        <w:t xml:space="preserve">é z </w:t>
      </w:r>
      <w:r w:rsidR="0091762A" w:rsidRPr="00F32A56">
        <w:t>program</w:t>
      </w:r>
      <w:r w:rsidR="0091762A">
        <w:t xml:space="preserve">ů protidrogové politiky poskytly ÚV ČR, MŠMT, MZ a MS. </w:t>
      </w:r>
      <w:r w:rsidR="0091762A" w:rsidRPr="005A1773">
        <w:t xml:space="preserve">Neúčelnost </w:t>
      </w:r>
      <w:r w:rsidR="00437109">
        <w:t>peněžních prostředků vynaložených na realiz</w:t>
      </w:r>
      <w:r w:rsidR="005023C6">
        <w:t>a</w:t>
      </w:r>
      <w:r w:rsidR="00437109">
        <w:t xml:space="preserve">ci </w:t>
      </w:r>
      <w:r w:rsidR="0091762A" w:rsidRPr="005A1773">
        <w:t>projektů NKÚ u</w:t>
      </w:r>
      <w:r w:rsidR="00612E06">
        <w:t xml:space="preserve"> </w:t>
      </w:r>
      <w:r w:rsidR="0091762A" w:rsidRPr="005A1773">
        <w:t>žádného příjemce dotace nekonstatoval.</w:t>
      </w:r>
      <w:r w:rsidR="0038466A">
        <w:t xml:space="preserve"> </w:t>
      </w:r>
      <w:r w:rsidR="0038466A" w:rsidRPr="005A1773">
        <w:rPr>
          <w:b/>
        </w:rPr>
        <w:t xml:space="preserve">NKÚ </w:t>
      </w:r>
      <w:r w:rsidR="00445258">
        <w:rPr>
          <w:b/>
        </w:rPr>
        <w:br/>
      </w:r>
      <w:r w:rsidR="0038466A" w:rsidRPr="005A1773">
        <w:rPr>
          <w:b/>
        </w:rPr>
        <w:t xml:space="preserve">u příjemců dotací </w:t>
      </w:r>
      <w:r w:rsidR="00A16131">
        <w:rPr>
          <w:b/>
        </w:rPr>
        <w:t>zjistil</w:t>
      </w:r>
      <w:r w:rsidR="00486570">
        <w:t xml:space="preserve"> </w:t>
      </w:r>
      <w:r w:rsidR="0038466A">
        <w:t xml:space="preserve">zejména </w:t>
      </w:r>
      <w:r w:rsidR="0038466A" w:rsidRPr="00486570">
        <w:t>pochybení</w:t>
      </w:r>
      <w:r w:rsidR="0038466A">
        <w:t>, která spočívala v </w:t>
      </w:r>
      <w:r w:rsidR="0038466A" w:rsidRPr="005A1773">
        <w:rPr>
          <w:b/>
        </w:rPr>
        <w:t>porušení podmínek stanovených rozhodnutím</w:t>
      </w:r>
      <w:r w:rsidR="00734501">
        <w:rPr>
          <w:b/>
        </w:rPr>
        <w:t>i</w:t>
      </w:r>
      <w:r w:rsidR="0038466A" w:rsidRPr="005A1773">
        <w:rPr>
          <w:b/>
        </w:rPr>
        <w:t xml:space="preserve"> o poskytnutí dotace</w:t>
      </w:r>
      <w:r w:rsidR="0038466A">
        <w:t xml:space="preserve">. </w:t>
      </w:r>
      <w:r w:rsidR="0038466A" w:rsidRPr="005A1773">
        <w:rPr>
          <w:b/>
        </w:rPr>
        <w:t>Konkrétně se jednalo o tyto nedostatky:</w:t>
      </w:r>
    </w:p>
    <w:p w14:paraId="46C96A80" w14:textId="77777777" w:rsidR="003D1BB0" w:rsidRDefault="003D1BB0" w:rsidP="00FC602A">
      <w:pPr>
        <w:widowControl/>
        <w:spacing w:after="120"/>
      </w:pPr>
      <w:r w:rsidRPr="003D1BB0">
        <w:t>Příjemce DROP IN</w:t>
      </w:r>
      <w:r w:rsidR="00B41902">
        <w:t xml:space="preserve"> </w:t>
      </w:r>
      <w:r w:rsidR="00A41FB5" w:rsidRPr="00A41FB5">
        <w:t xml:space="preserve">se dopustil porušení povinností </w:t>
      </w:r>
      <w:r w:rsidR="00A41FB5">
        <w:t>stanovených v rozhodnutí</w:t>
      </w:r>
      <w:r w:rsidR="00A41FB5" w:rsidRPr="00A41FB5">
        <w:t xml:space="preserve"> o poskytnutí dotace</w:t>
      </w:r>
      <w:r w:rsidR="00A41FB5">
        <w:t xml:space="preserve"> tím, že</w:t>
      </w:r>
      <w:r w:rsidR="00A41FB5" w:rsidRPr="00A41FB5">
        <w:t xml:space="preserve"> </w:t>
      </w:r>
      <w:r w:rsidR="00A41FB5">
        <w:t xml:space="preserve">z poskytnuté dotace uhradil neuznatelné náklady. Konkrétně do nákladů </w:t>
      </w:r>
      <w:r w:rsidR="00A41FB5">
        <w:lastRenderedPageBreak/>
        <w:t>projektu hrazených z dotace zahrnul i částku ve výši 24 817,10 Kč za pořízení notebooku, přestože tyto náklady v rozpočtu dotace nebyly stanoveny.</w:t>
      </w:r>
    </w:p>
    <w:p w14:paraId="38077E0D" w14:textId="6BD09C43" w:rsidR="003D1BB0" w:rsidRDefault="003D1BB0" w:rsidP="00FC602A">
      <w:pPr>
        <w:widowControl/>
        <w:spacing w:after="120"/>
      </w:pPr>
      <w:r w:rsidRPr="005A1773">
        <w:t>U příjemce dotace KAPPA-HELP, z.s.</w:t>
      </w:r>
      <w:r w:rsidR="00612E06">
        <w:t>,</w:t>
      </w:r>
      <w:r w:rsidRPr="005A1773">
        <w:t xml:space="preserve"> byly zjištěny nedostatky u dvou projektů. V jednom případě byly z dotačních prostředků hrazeny neuznatelné výdaje</w:t>
      </w:r>
      <w:r w:rsidR="0007078B">
        <w:t xml:space="preserve"> ve výši 2 000 Kč</w:t>
      </w:r>
      <w:r w:rsidRPr="005A1773">
        <w:t>. V druhém případě nebyl dodržen stanovený maximální podíl dotace na financování služby poskytované v rámci projektu. V tomto případě navíc příjemce dotace nedodržel výši a skladbu celkových nákladů projektu.</w:t>
      </w:r>
    </w:p>
    <w:p w14:paraId="127B927D" w14:textId="1FFF1D55" w:rsidR="005942F5" w:rsidRDefault="003D1BB0" w:rsidP="00FC602A">
      <w:pPr>
        <w:widowControl/>
        <w:spacing w:after="120"/>
      </w:pPr>
      <w:r w:rsidRPr="00365437">
        <w:t>P</w:t>
      </w:r>
      <w:r w:rsidR="005942F5" w:rsidRPr="00365437">
        <w:t>říjemce dotace Magdaléna, o.p.s.,</w:t>
      </w:r>
      <w:r w:rsidR="005942F5">
        <w:t xml:space="preserve"> </w:t>
      </w:r>
      <w:r>
        <w:t xml:space="preserve">chyboval v případě </w:t>
      </w:r>
      <w:r w:rsidR="005942F5">
        <w:t xml:space="preserve">tří projektů. Tento příjemce porušil povinnosti stanovené v rozhodnutí o poskytnutí dotace, když </w:t>
      </w:r>
      <w:r w:rsidR="005942F5" w:rsidRPr="008C1D4E">
        <w:t>překroč</w:t>
      </w:r>
      <w:r w:rsidR="005942F5">
        <w:t xml:space="preserve">il </w:t>
      </w:r>
      <w:r w:rsidR="005942F5" w:rsidRPr="008C1D4E">
        <w:t xml:space="preserve">maximální limit </w:t>
      </w:r>
      <w:r w:rsidR="00165720">
        <w:br/>
      </w:r>
      <w:r w:rsidR="005942F5" w:rsidRPr="008C1D4E">
        <w:t xml:space="preserve">pro uplatnění </w:t>
      </w:r>
      <w:r w:rsidR="005942F5">
        <w:t xml:space="preserve">měsíční hrubé mzdy zaměstnanců v daném projektu. U jednoho projektu </w:t>
      </w:r>
      <w:r w:rsidR="00165720">
        <w:br/>
      </w:r>
      <w:r w:rsidR="005942F5">
        <w:t xml:space="preserve">uhradil příjemce z dotace osobní náklady a odvody za dva zaměstnance, kteří nebyli zdravotnickými pracovníky, přestože to podmínky projektu </w:t>
      </w:r>
      <w:r>
        <w:t>neumožňovaly. P</w:t>
      </w:r>
      <w:r w:rsidRPr="005942F5">
        <w:t>říjemce dotace Magdaléna, o.p.s.,</w:t>
      </w:r>
      <w:r>
        <w:t xml:space="preserve"> také v </w:t>
      </w:r>
      <w:r w:rsidR="005942F5">
        <w:t xml:space="preserve">jednom případě </w:t>
      </w:r>
      <w:r>
        <w:t>nepodložil</w:t>
      </w:r>
      <w:r w:rsidR="005942F5">
        <w:t xml:space="preserve"> částk</w:t>
      </w:r>
      <w:r>
        <w:t>u</w:t>
      </w:r>
      <w:r w:rsidR="005942F5">
        <w:t xml:space="preserve"> mzdových nákladů skutečně odvedenou prací na projektu.</w:t>
      </w:r>
      <w:r w:rsidR="005942F5">
        <w:rPr>
          <w:b/>
        </w:rPr>
        <w:t xml:space="preserve"> </w:t>
      </w:r>
      <w:r w:rsidR="005942F5">
        <w:t xml:space="preserve">Příjemce </w:t>
      </w:r>
      <w:r w:rsidR="005942F5" w:rsidRPr="005942F5">
        <w:t>dotace se tak dopustil neoprávněného použití peněžních prostředků v celkové výši 209 582,84 Kč. Tento příjemce navíc v jednom případě nesplnil při podání žádosti o dotaci požadavek na vzdělání u jednoho zaměstnance zajišťujícího selektivní primární prevenci, který požadovalo ve výzvě MŠMT jako poskytovatel dotace. MŠMT však tento nedostatek nerozporovalo a</w:t>
      </w:r>
      <w:r w:rsidR="005942F5">
        <w:t xml:space="preserve"> dotaci přesto poskytlo.</w:t>
      </w:r>
    </w:p>
    <w:p w14:paraId="29AF901E" w14:textId="3020BAEB" w:rsidR="003D1BB0" w:rsidRDefault="003D1BB0" w:rsidP="00FC602A">
      <w:pPr>
        <w:widowControl/>
        <w:spacing w:after="120"/>
      </w:pPr>
      <w:r w:rsidRPr="005942F5">
        <w:t>Příjemce dotace PROGRESSIVE, o.p.s., u dvou z</w:t>
      </w:r>
      <w:r>
        <w:t xml:space="preserve"> kontrolovaných </w:t>
      </w:r>
      <w:r w:rsidRPr="005942F5">
        <w:t>projektů</w:t>
      </w:r>
      <w:r>
        <w:t xml:space="preserve"> nedodržel</w:t>
      </w:r>
      <w:r w:rsidRPr="005942F5">
        <w:t xml:space="preserve"> povinnost stanoven</w:t>
      </w:r>
      <w:r w:rsidR="00B35C90">
        <w:t>ou</w:t>
      </w:r>
      <w:r>
        <w:t xml:space="preserve"> rozhodnutím o poskytnutí dotace</w:t>
      </w:r>
      <w:r w:rsidR="00B35C90">
        <w:t>, neboť</w:t>
      </w:r>
      <w:r>
        <w:t xml:space="preserve"> použil </w:t>
      </w:r>
      <w:r w:rsidR="00CA6588">
        <w:t xml:space="preserve">část </w:t>
      </w:r>
      <w:r>
        <w:t>poskytnut</w:t>
      </w:r>
      <w:r w:rsidR="00CA6588">
        <w:t>ých</w:t>
      </w:r>
      <w:r>
        <w:t xml:space="preserve"> finanční</w:t>
      </w:r>
      <w:r w:rsidR="00CA6588">
        <w:t>ch</w:t>
      </w:r>
      <w:r>
        <w:t xml:space="preserve"> prostředk</w:t>
      </w:r>
      <w:r w:rsidR="00CA6588">
        <w:t>ů</w:t>
      </w:r>
      <w:r>
        <w:t xml:space="preserve"> </w:t>
      </w:r>
      <w:r w:rsidR="00B35C90">
        <w:t xml:space="preserve">v celkové výši 20 148 Kč </w:t>
      </w:r>
      <w:r>
        <w:t>na úhradu nákladů nesouvisejících s projektem.</w:t>
      </w:r>
    </w:p>
    <w:p w14:paraId="4F38860C" w14:textId="09A34F75" w:rsidR="00A41FB5" w:rsidRPr="00A41FB5" w:rsidRDefault="00CA6588" w:rsidP="00FC602A">
      <w:pPr>
        <w:widowControl/>
        <w:spacing w:after="120"/>
        <w:rPr>
          <w:szCs w:val="24"/>
        </w:rPr>
      </w:pPr>
      <w:r w:rsidRPr="00054AC7">
        <w:rPr>
          <w:szCs w:val="24"/>
        </w:rPr>
        <w:t>NK</w:t>
      </w:r>
      <w:r>
        <w:rPr>
          <w:szCs w:val="24"/>
        </w:rPr>
        <w:t>Ú</w:t>
      </w:r>
      <w:r w:rsidRPr="00054AC7">
        <w:rPr>
          <w:szCs w:val="24"/>
        </w:rPr>
        <w:t xml:space="preserve"> </w:t>
      </w:r>
      <w:r>
        <w:rPr>
          <w:szCs w:val="24"/>
        </w:rPr>
        <w:t>n</w:t>
      </w:r>
      <w:r w:rsidR="00A41FB5" w:rsidRPr="00C66AD7">
        <w:rPr>
          <w:szCs w:val="24"/>
        </w:rPr>
        <w:t xml:space="preserve">a základě zjištěných skutečností </w:t>
      </w:r>
      <w:r w:rsidR="00054AC7" w:rsidRPr="00054AC7">
        <w:rPr>
          <w:szCs w:val="24"/>
        </w:rPr>
        <w:t>předal správcům daně údaje o porušení rozpočtové kázně</w:t>
      </w:r>
      <w:r w:rsidR="00A41FB5" w:rsidRPr="00C66AD7">
        <w:rPr>
          <w:rStyle w:val="Znakapoznpodarou"/>
          <w:rFonts w:eastAsiaTheme="majorEastAsia"/>
          <w:szCs w:val="24"/>
        </w:rPr>
        <w:footnoteReference w:id="31"/>
      </w:r>
      <w:r w:rsidR="00A41FB5" w:rsidRPr="00C66AD7">
        <w:rPr>
          <w:szCs w:val="24"/>
        </w:rPr>
        <w:t xml:space="preserve"> v celkové výši </w:t>
      </w:r>
      <w:r w:rsidR="00B94A53" w:rsidRPr="00B94A53">
        <w:rPr>
          <w:szCs w:val="24"/>
        </w:rPr>
        <w:t>256</w:t>
      </w:r>
      <w:r w:rsidR="00B94A53">
        <w:rPr>
          <w:szCs w:val="24"/>
        </w:rPr>
        <w:t xml:space="preserve"> </w:t>
      </w:r>
      <w:r w:rsidR="00B94A53" w:rsidRPr="00B94A53">
        <w:rPr>
          <w:szCs w:val="24"/>
        </w:rPr>
        <w:t>547,94</w:t>
      </w:r>
      <w:r w:rsidR="00B35C90">
        <w:rPr>
          <w:szCs w:val="24"/>
        </w:rPr>
        <w:t> </w:t>
      </w:r>
      <w:r w:rsidR="00A41FB5" w:rsidRPr="00192783">
        <w:rPr>
          <w:szCs w:val="24"/>
        </w:rPr>
        <w:t>Kč</w:t>
      </w:r>
      <w:r w:rsidR="00A41FB5" w:rsidRPr="00C66AD7">
        <w:rPr>
          <w:szCs w:val="24"/>
        </w:rPr>
        <w:t>.</w:t>
      </w:r>
    </w:p>
    <w:p w14:paraId="467B4836" w14:textId="2C69FB51" w:rsidR="00835D3F" w:rsidRDefault="00835D3F" w:rsidP="00FC602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b/>
          <w:szCs w:val="24"/>
        </w:rPr>
      </w:pPr>
      <w:r w:rsidRPr="00835D3F">
        <w:rPr>
          <w:b/>
          <w:szCs w:val="24"/>
        </w:rPr>
        <w:t>Centralizace protidrogové politiky</w:t>
      </w:r>
    </w:p>
    <w:p w14:paraId="028E0EE5" w14:textId="259CC933" w:rsidR="006B322D" w:rsidRPr="006B322D" w:rsidRDefault="006B322D" w:rsidP="00FC602A">
      <w:pPr>
        <w:pStyle w:val="Odstavecseseznamem"/>
        <w:spacing w:after="120"/>
        <w:contextualSpacing w:val="0"/>
        <w:rPr>
          <w:szCs w:val="24"/>
        </w:rPr>
      </w:pPr>
      <w:r w:rsidRPr="00986054">
        <w:rPr>
          <w:szCs w:val="24"/>
        </w:rPr>
        <w:t>Vláda ČR usnesením ze dne 22. července</w:t>
      </w:r>
      <w:r w:rsidRPr="006B322D">
        <w:rPr>
          <w:szCs w:val="24"/>
        </w:rPr>
        <w:t xml:space="preserve"> 2019 č. 532 schválila centralizaci finančních prostředků vyčleněných ze státního rozpočtu na dotační programy protidrogové politiky. </w:t>
      </w:r>
      <w:r w:rsidR="00E12F36">
        <w:rPr>
          <w:szCs w:val="24"/>
        </w:rPr>
        <w:br/>
      </w:r>
      <w:r w:rsidRPr="006B322D">
        <w:rPr>
          <w:szCs w:val="24"/>
        </w:rPr>
        <w:t>M</w:t>
      </w:r>
      <w:r>
        <w:rPr>
          <w:szCs w:val="24"/>
        </w:rPr>
        <w:t>Z</w:t>
      </w:r>
      <w:r w:rsidRPr="006B322D">
        <w:rPr>
          <w:szCs w:val="24"/>
        </w:rPr>
        <w:t xml:space="preserve"> a M</w:t>
      </w:r>
      <w:r>
        <w:rPr>
          <w:szCs w:val="24"/>
        </w:rPr>
        <w:t>S</w:t>
      </w:r>
      <w:r w:rsidRPr="006B322D">
        <w:rPr>
          <w:szCs w:val="24"/>
        </w:rPr>
        <w:t xml:space="preserve"> již nem</w:t>
      </w:r>
      <w:r>
        <w:rPr>
          <w:szCs w:val="24"/>
        </w:rPr>
        <w:t>ají vyhlašovat dotační řízení pro</w:t>
      </w:r>
      <w:r w:rsidRPr="006B322D">
        <w:rPr>
          <w:szCs w:val="24"/>
        </w:rPr>
        <w:t xml:space="preserve"> oblast protidrogové politiky. Z </w:t>
      </w:r>
      <w:r w:rsidRPr="00BA3E44">
        <w:rPr>
          <w:szCs w:val="24"/>
        </w:rPr>
        <w:t xml:space="preserve">kapitoly státního rozpočtu </w:t>
      </w:r>
      <w:r w:rsidRPr="0074602E">
        <w:rPr>
          <w:szCs w:val="24"/>
        </w:rPr>
        <w:t>333</w:t>
      </w:r>
      <w:r w:rsidRPr="009C681C">
        <w:rPr>
          <w:i/>
          <w:szCs w:val="24"/>
        </w:rPr>
        <w:t xml:space="preserve"> – Ministerstvo školství, mládeže a tělovýchovy</w:t>
      </w:r>
      <w:r w:rsidRPr="006B322D">
        <w:rPr>
          <w:szCs w:val="24"/>
        </w:rPr>
        <w:t xml:space="preserve"> mají být dotace nadále poskytovány pouze úzce vymezenému okruhu žadatelů, přičemž dle zákona č. 355/2019 Sb., o státním rozpočtu České republiky na rok 2020, </w:t>
      </w:r>
      <w:r w:rsidR="0034389F">
        <w:rPr>
          <w:szCs w:val="24"/>
        </w:rPr>
        <w:t>bylo</w:t>
      </w:r>
      <w:r w:rsidRPr="006B322D">
        <w:rPr>
          <w:szCs w:val="24"/>
        </w:rPr>
        <w:t xml:space="preserve"> v této kapitole na program protidrogové politiky vyčleněno 3,7 mil. Kč</w:t>
      </w:r>
      <w:r w:rsidR="00DD3AFB">
        <w:rPr>
          <w:szCs w:val="24"/>
        </w:rPr>
        <w:t xml:space="preserve"> a dle </w:t>
      </w:r>
      <w:r w:rsidR="00DD3AFB" w:rsidRPr="006B322D">
        <w:rPr>
          <w:szCs w:val="24"/>
        </w:rPr>
        <w:t xml:space="preserve">zákona č. </w:t>
      </w:r>
      <w:r w:rsidR="00DD3AFB">
        <w:rPr>
          <w:szCs w:val="24"/>
        </w:rPr>
        <w:t>600</w:t>
      </w:r>
      <w:r w:rsidR="00DD3AFB" w:rsidRPr="006B322D">
        <w:rPr>
          <w:szCs w:val="24"/>
        </w:rPr>
        <w:t>/20</w:t>
      </w:r>
      <w:r w:rsidR="00DD3AFB">
        <w:rPr>
          <w:szCs w:val="24"/>
        </w:rPr>
        <w:t>20</w:t>
      </w:r>
      <w:r w:rsidR="00DD3AFB" w:rsidRPr="006B322D">
        <w:rPr>
          <w:szCs w:val="24"/>
        </w:rPr>
        <w:t xml:space="preserve"> Sb., o státním rozp</w:t>
      </w:r>
      <w:r w:rsidR="00DD3AFB">
        <w:rPr>
          <w:szCs w:val="24"/>
        </w:rPr>
        <w:t>očtu České republiky na rok 2021</w:t>
      </w:r>
      <w:r w:rsidR="00986054">
        <w:rPr>
          <w:szCs w:val="24"/>
        </w:rPr>
        <w:t>,</w:t>
      </w:r>
      <w:r w:rsidR="00DD3AFB">
        <w:rPr>
          <w:szCs w:val="24"/>
        </w:rPr>
        <w:t xml:space="preserve"> taktéž </w:t>
      </w:r>
      <w:r w:rsidR="00DD3AFB" w:rsidRPr="006B322D">
        <w:rPr>
          <w:szCs w:val="24"/>
        </w:rPr>
        <w:t>3,7 mil. Kč</w:t>
      </w:r>
      <w:r w:rsidRPr="006B322D">
        <w:rPr>
          <w:szCs w:val="24"/>
        </w:rPr>
        <w:t>.</w:t>
      </w:r>
    </w:p>
    <w:p w14:paraId="1EDE216A" w14:textId="1F235743" w:rsidR="0034389F" w:rsidRDefault="006B322D" w:rsidP="00FC602A">
      <w:pPr>
        <w:pStyle w:val="Odstavecseseznamem"/>
        <w:spacing w:after="120"/>
        <w:contextualSpacing w:val="0"/>
        <w:rPr>
          <w:szCs w:val="24"/>
        </w:rPr>
      </w:pPr>
      <w:r>
        <w:rPr>
          <w:szCs w:val="24"/>
        </w:rPr>
        <w:t>K centralizaci protidrogové politiky směrem k ÚV ČR bylo přistoupeno na základě</w:t>
      </w:r>
      <w:r w:rsidR="0034389F">
        <w:rPr>
          <w:szCs w:val="24"/>
        </w:rPr>
        <w:t xml:space="preserve"> mezi</w:t>
      </w:r>
      <w:r w:rsidRPr="006B322D">
        <w:rPr>
          <w:szCs w:val="24"/>
        </w:rPr>
        <w:t>resortních jednání</w:t>
      </w:r>
      <w:r w:rsidR="000915F6">
        <w:rPr>
          <w:szCs w:val="24"/>
        </w:rPr>
        <w:t>,</w:t>
      </w:r>
      <w:r w:rsidR="0034389F">
        <w:rPr>
          <w:szCs w:val="24"/>
        </w:rPr>
        <w:t xml:space="preserve"> analýzy</w:t>
      </w:r>
      <w:r w:rsidRPr="006B322D">
        <w:rPr>
          <w:szCs w:val="24"/>
        </w:rPr>
        <w:t xml:space="preserve"> systému financování adiktologických služeb</w:t>
      </w:r>
      <w:r w:rsidR="0034389F">
        <w:rPr>
          <w:szCs w:val="24"/>
        </w:rPr>
        <w:t>, kterou</w:t>
      </w:r>
      <w:r w:rsidRPr="006B322D">
        <w:rPr>
          <w:szCs w:val="24"/>
        </w:rPr>
        <w:t xml:space="preserve"> zpracova</w:t>
      </w:r>
      <w:r w:rsidR="0034389F">
        <w:rPr>
          <w:szCs w:val="24"/>
        </w:rPr>
        <w:t>l</w:t>
      </w:r>
      <w:r w:rsidRPr="006B322D">
        <w:rPr>
          <w:szCs w:val="24"/>
        </w:rPr>
        <w:t xml:space="preserve"> ÚV ČR</w:t>
      </w:r>
      <w:r w:rsidR="000915F6">
        <w:rPr>
          <w:szCs w:val="24"/>
        </w:rPr>
        <w:t>,</w:t>
      </w:r>
      <w:r w:rsidRPr="006B322D">
        <w:rPr>
          <w:szCs w:val="24"/>
        </w:rPr>
        <w:t xml:space="preserve"> a </w:t>
      </w:r>
      <w:r w:rsidR="0034389F">
        <w:rPr>
          <w:szCs w:val="24"/>
        </w:rPr>
        <w:t xml:space="preserve">dalších </w:t>
      </w:r>
      <w:r w:rsidRPr="006B322D">
        <w:rPr>
          <w:szCs w:val="24"/>
        </w:rPr>
        <w:t>materiál</w:t>
      </w:r>
      <w:r w:rsidR="0034389F">
        <w:rPr>
          <w:szCs w:val="24"/>
        </w:rPr>
        <w:t>ů</w:t>
      </w:r>
      <w:r w:rsidRPr="006B322D">
        <w:rPr>
          <w:szCs w:val="24"/>
        </w:rPr>
        <w:t>.</w:t>
      </w:r>
      <w:r w:rsidR="0034389F">
        <w:rPr>
          <w:szCs w:val="24"/>
        </w:rPr>
        <w:t xml:space="preserve"> ÚV ČR provede ucelené v</w:t>
      </w:r>
      <w:r w:rsidRPr="006B322D">
        <w:rPr>
          <w:szCs w:val="24"/>
        </w:rPr>
        <w:t xml:space="preserve">yhodnocení </w:t>
      </w:r>
      <w:r w:rsidR="0034389F">
        <w:rPr>
          <w:szCs w:val="24"/>
        </w:rPr>
        <w:t xml:space="preserve">přínosů </w:t>
      </w:r>
      <w:r w:rsidRPr="006B322D">
        <w:rPr>
          <w:szCs w:val="24"/>
        </w:rPr>
        <w:t xml:space="preserve">centralizace </w:t>
      </w:r>
      <w:r w:rsidR="0034389F">
        <w:rPr>
          <w:szCs w:val="24"/>
        </w:rPr>
        <w:t xml:space="preserve">dotačních prostředků </w:t>
      </w:r>
      <w:r w:rsidRPr="006B322D">
        <w:rPr>
          <w:szCs w:val="24"/>
        </w:rPr>
        <w:t>po uzavření dotačního roku 2020.</w:t>
      </w:r>
    </w:p>
    <w:p w14:paraId="4AB49828" w14:textId="2E43594E" w:rsidR="006B322D" w:rsidRDefault="006E26A5" w:rsidP="0074602E">
      <w:pPr>
        <w:pStyle w:val="Odstavecseseznamem"/>
        <w:contextualSpacing w:val="0"/>
        <w:rPr>
          <w:szCs w:val="24"/>
        </w:rPr>
      </w:pPr>
      <w:r>
        <w:rPr>
          <w:szCs w:val="24"/>
        </w:rPr>
        <w:t xml:space="preserve">Již nyní lze </w:t>
      </w:r>
      <w:r w:rsidR="00D83DDD">
        <w:rPr>
          <w:szCs w:val="24"/>
        </w:rPr>
        <w:t>konstatovat</w:t>
      </w:r>
      <w:r>
        <w:rPr>
          <w:szCs w:val="24"/>
        </w:rPr>
        <w:t xml:space="preserve">, že </w:t>
      </w:r>
      <w:r w:rsidR="00E13ABF">
        <w:rPr>
          <w:szCs w:val="24"/>
        </w:rPr>
        <w:t>tento krok přinesl</w:t>
      </w:r>
      <w:r w:rsidR="006B322D" w:rsidRPr="006B322D">
        <w:rPr>
          <w:szCs w:val="24"/>
        </w:rPr>
        <w:t xml:space="preserve"> zefektivnění procesů a </w:t>
      </w:r>
      <w:r w:rsidR="00054AC7">
        <w:rPr>
          <w:szCs w:val="24"/>
        </w:rPr>
        <w:t>snížení</w:t>
      </w:r>
      <w:r w:rsidR="00054AC7" w:rsidRPr="006B322D">
        <w:rPr>
          <w:szCs w:val="24"/>
        </w:rPr>
        <w:t xml:space="preserve"> </w:t>
      </w:r>
      <w:r w:rsidR="006B322D" w:rsidRPr="006B322D">
        <w:rPr>
          <w:szCs w:val="24"/>
        </w:rPr>
        <w:t>administrativní zátěže pro žadatele</w:t>
      </w:r>
      <w:r>
        <w:rPr>
          <w:szCs w:val="24"/>
        </w:rPr>
        <w:t xml:space="preserve">, resp. </w:t>
      </w:r>
      <w:r w:rsidR="006B322D" w:rsidRPr="006B322D">
        <w:rPr>
          <w:szCs w:val="24"/>
        </w:rPr>
        <w:t>příjemce dotací.</w:t>
      </w:r>
      <w:r>
        <w:rPr>
          <w:szCs w:val="24"/>
        </w:rPr>
        <w:t xml:space="preserve"> </w:t>
      </w:r>
      <w:r w:rsidR="00E13ABF">
        <w:rPr>
          <w:szCs w:val="24"/>
        </w:rPr>
        <w:t xml:space="preserve">Z pohledu </w:t>
      </w:r>
      <w:r>
        <w:rPr>
          <w:szCs w:val="24"/>
        </w:rPr>
        <w:t xml:space="preserve">ÚV ČR a RVKPP </w:t>
      </w:r>
      <w:r w:rsidR="006B322D" w:rsidRPr="006B322D">
        <w:rPr>
          <w:szCs w:val="24"/>
        </w:rPr>
        <w:t xml:space="preserve">přinesla centralizace </w:t>
      </w:r>
      <w:r w:rsidR="00D34092">
        <w:rPr>
          <w:szCs w:val="24"/>
        </w:rPr>
        <w:t>větší</w:t>
      </w:r>
      <w:r w:rsidR="006B322D" w:rsidRPr="006B322D">
        <w:rPr>
          <w:szCs w:val="24"/>
        </w:rPr>
        <w:t xml:space="preserve"> přehled o podporovaných projektech a službách, </w:t>
      </w:r>
      <w:r w:rsidR="00D34092" w:rsidRPr="006B322D">
        <w:rPr>
          <w:szCs w:val="24"/>
        </w:rPr>
        <w:t>lepší</w:t>
      </w:r>
      <w:r w:rsidR="006B322D" w:rsidRPr="006B322D">
        <w:rPr>
          <w:szCs w:val="24"/>
        </w:rPr>
        <w:t xml:space="preserve"> zam</w:t>
      </w:r>
      <w:r w:rsidR="00D34092">
        <w:rPr>
          <w:szCs w:val="24"/>
        </w:rPr>
        <w:t>ě</w:t>
      </w:r>
      <w:r w:rsidR="006B322D" w:rsidRPr="006B322D">
        <w:rPr>
          <w:szCs w:val="24"/>
        </w:rPr>
        <w:t>ření podpory a zjednodušení koordinace podpory.</w:t>
      </w:r>
      <w:r>
        <w:rPr>
          <w:szCs w:val="24"/>
        </w:rPr>
        <w:t xml:space="preserve"> Dle vyjádření ÚV ČR centralizaci uvítali i</w:t>
      </w:r>
      <w:r w:rsidR="006B322D" w:rsidRPr="006B322D">
        <w:rPr>
          <w:szCs w:val="24"/>
        </w:rPr>
        <w:t xml:space="preserve"> příjemc</w:t>
      </w:r>
      <w:r>
        <w:rPr>
          <w:szCs w:val="24"/>
        </w:rPr>
        <w:t>i dotací, resp. nestátní neziskové organizace působící v této oblasti.</w:t>
      </w:r>
      <w:r w:rsidR="007701DC">
        <w:rPr>
          <w:szCs w:val="24"/>
        </w:rPr>
        <w:t xml:space="preserve"> </w:t>
      </w:r>
    </w:p>
    <w:p w14:paraId="0E56E68C" w14:textId="7886B500" w:rsidR="00675E32" w:rsidRPr="00B103CE" w:rsidRDefault="00675E32" w:rsidP="00E83E12">
      <w:pPr>
        <w:widowControl/>
        <w:spacing w:after="120"/>
        <w:rPr>
          <w:b/>
          <w:szCs w:val="24"/>
        </w:rPr>
      </w:pPr>
      <w:r w:rsidRPr="00B103CE">
        <w:rPr>
          <w:b/>
          <w:szCs w:val="24"/>
        </w:rPr>
        <w:t>Na vyhodnocení celého procesu centralizace bude potřeba delší časový odstup.</w:t>
      </w:r>
    </w:p>
    <w:p w14:paraId="0D3E0D4D" w14:textId="2BD932F5" w:rsidR="00835D3F" w:rsidRDefault="00D20DF5" w:rsidP="00FC602A">
      <w:pPr>
        <w:pStyle w:val="Nadpiskapitoly"/>
        <w:numPr>
          <w:ilvl w:val="0"/>
          <w:numId w:val="11"/>
        </w:numPr>
        <w:ind w:left="426" w:hanging="426"/>
      </w:pPr>
      <w:r w:rsidRPr="00D20DF5">
        <w:lastRenderedPageBreak/>
        <w:t>Protidrogová politika v době pandemie covid</w:t>
      </w:r>
      <w:r w:rsidR="00D34092">
        <w:t>u</w:t>
      </w:r>
      <w:r w:rsidRPr="00D20DF5">
        <w:t>-19</w:t>
      </w:r>
    </w:p>
    <w:p w14:paraId="2091037D" w14:textId="417E05E2" w:rsidR="0040732F" w:rsidRPr="0040732F" w:rsidRDefault="0040732F" w:rsidP="00FC602A">
      <w:pPr>
        <w:pStyle w:val="Odstavecseseznamem"/>
        <w:spacing w:after="120"/>
        <w:contextualSpacing w:val="0"/>
        <w:rPr>
          <w:szCs w:val="24"/>
        </w:rPr>
      </w:pPr>
      <w:r>
        <w:rPr>
          <w:szCs w:val="24"/>
        </w:rPr>
        <w:t>V</w:t>
      </w:r>
      <w:r w:rsidRPr="0040732F">
        <w:rPr>
          <w:szCs w:val="24"/>
        </w:rPr>
        <w:t xml:space="preserve"> průběhu první i druhé vlny </w:t>
      </w:r>
      <w:r w:rsidR="00946073">
        <w:rPr>
          <w:szCs w:val="24"/>
        </w:rPr>
        <w:t>pan</w:t>
      </w:r>
      <w:r>
        <w:rPr>
          <w:szCs w:val="24"/>
        </w:rPr>
        <w:t>demie</w:t>
      </w:r>
      <w:r w:rsidR="00946073" w:rsidRPr="00946073">
        <w:t xml:space="preserve"> </w:t>
      </w:r>
      <w:r w:rsidR="0068672C" w:rsidRPr="0040732F">
        <w:rPr>
          <w:szCs w:val="24"/>
        </w:rPr>
        <w:t>covid</w:t>
      </w:r>
      <w:r w:rsidR="00D34092">
        <w:rPr>
          <w:szCs w:val="24"/>
        </w:rPr>
        <w:t>u</w:t>
      </w:r>
      <w:r w:rsidR="00946073" w:rsidRPr="00946073">
        <w:rPr>
          <w:szCs w:val="24"/>
        </w:rPr>
        <w:t>-19</w:t>
      </w:r>
      <w:r w:rsidRPr="0040732F">
        <w:rPr>
          <w:szCs w:val="24"/>
        </w:rPr>
        <w:t xml:space="preserve"> ÚV ČR intenzivně komun</w:t>
      </w:r>
      <w:r>
        <w:rPr>
          <w:szCs w:val="24"/>
        </w:rPr>
        <w:t>ikoval s</w:t>
      </w:r>
      <w:r w:rsidR="00D34092">
        <w:rPr>
          <w:szCs w:val="24"/>
        </w:rPr>
        <w:t> </w:t>
      </w:r>
      <w:r>
        <w:rPr>
          <w:szCs w:val="24"/>
        </w:rPr>
        <w:t xml:space="preserve">poskytovateli služeb v protidrogové oblasti. </w:t>
      </w:r>
      <w:r w:rsidR="00E83866" w:rsidRPr="0040732F">
        <w:rPr>
          <w:szCs w:val="24"/>
        </w:rPr>
        <w:t>ÚV ČR</w:t>
      </w:r>
      <w:r w:rsidRPr="0040732F">
        <w:rPr>
          <w:szCs w:val="24"/>
        </w:rPr>
        <w:t xml:space="preserve"> také </w:t>
      </w:r>
      <w:r w:rsidR="00A91C47">
        <w:rPr>
          <w:szCs w:val="24"/>
        </w:rPr>
        <w:t>vy</w:t>
      </w:r>
      <w:r w:rsidR="00E83866" w:rsidRPr="0040732F">
        <w:rPr>
          <w:szCs w:val="24"/>
        </w:rPr>
        <w:t>pracov</w:t>
      </w:r>
      <w:r w:rsidR="00E83866">
        <w:rPr>
          <w:szCs w:val="24"/>
        </w:rPr>
        <w:t>al</w:t>
      </w:r>
      <w:r w:rsidR="00E83866" w:rsidRPr="0040732F">
        <w:rPr>
          <w:szCs w:val="24"/>
        </w:rPr>
        <w:t xml:space="preserve"> </w:t>
      </w:r>
      <w:r w:rsidRPr="0040732F">
        <w:rPr>
          <w:szCs w:val="24"/>
        </w:rPr>
        <w:t>analýz</w:t>
      </w:r>
      <w:r w:rsidR="00E83866">
        <w:rPr>
          <w:szCs w:val="24"/>
        </w:rPr>
        <w:t>u</w:t>
      </w:r>
      <w:r w:rsidRPr="0040732F">
        <w:rPr>
          <w:szCs w:val="24"/>
        </w:rPr>
        <w:t xml:space="preserve"> situace </w:t>
      </w:r>
      <w:r w:rsidR="00A91C47">
        <w:rPr>
          <w:szCs w:val="24"/>
        </w:rPr>
        <w:t>ovlivněné</w:t>
      </w:r>
      <w:r w:rsidR="00A91C47" w:rsidRPr="00C02F02">
        <w:rPr>
          <w:szCs w:val="24"/>
        </w:rPr>
        <w:t xml:space="preserve"> </w:t>
      </w:r>
      <w:r w:rsidR="00946073">
        <w:rPr>
          <w:szCs w:val="24"/>
        </w:rPr>
        <w:t>pandemi</w:t>
      </w:r>
      <w:r w:rsidR="00A91C47">
        <w:rPr>
          <w:szCs w:val="24"/>
        </w:rPr>
        <w:t>í</w:t>
      </w:r>
      <w:r w:rsidR="005B3F96">
        <w:rPr>
          <w:szCs w:val="24"/>
        </w:rPr>
        <w:t xml:space="preserve"> </w:t>
      </w:r>
      <w:r w:rsidR="00A91C47">
        <w:rPr>
          <w:szCs w:val="24"/>
        </w:rPr>
        <w:t xml:space="preserve">nemoci </w:t>
      </w:r>
      <w:r w:rsidRPr="0040732F">
        <w:rPr>
          <w:szCs w:val="24"/>
        </w:rPr>
        <w:t>covid-19</w:t>
      </w:r>
      <w:r w:rsidR="00946073">
        <w:rPr>
          <w:szCs w:val="24"/>
        </w:rPr>
        <w:t xml:space="preserve"> v této oblasti</w:t>
      </w:r>
      <w:r w:rsidR="00E83866">
        <w:rPr>
          <w:szCs w:val="24"/>
        </w:rPr>
        <w:t xml:space="preserve">, </w:t>
      </w:r>
      <w:r w:rsidR="00A91C47">
        <w:rPr>
          <w:szCs w:val="24"/>
        </w:rPr>
        <w:t>materiál</w:t>
      </w:r>
      <w:r w:rsidR="00E83866">
        <w:rPr>
          <w:szCs w:val="24"/>
        </w:rPr>
        <w:t xml:space="preserve"> projednala</w:t>
      </w:r>
      <w:r w:rsidRPr="0040732F">
        <w:rPr>
          <w:szCs w:val="24"/>
        </w:rPr>
        <w:t xml:space="preserve"> RVKPP</w:t>
      </w:r>
      <w:r w:rsidR="00E83866">
        <w:rPr>
          <w:szCs w:val="24"/>
        </w:rPr>
        <w:t>.</w:t>
      </w:r>
      <w:r w:rsidRPr="0040732F">
        <w:rPr>
          <w:szCs w:val="24"/>
        </w:rPr>
        <w:t xml:space="preserve"> </w:t>
      </w:r>
      <w:r w:rsidR="00E83866">
        <w:rPr>
          <w:szCs w:val="24"/>
        </w:rPr>
        <w:t>P</w:t>
      </w:r>
      <w:r w:rsidRPr="0040732F">
        <w:rPr>
          <w:szCs w:val="24"/>
        </w:rPr>
        <w:t xml:space="preserve">odrobnější analýza je součástí </w:t>
      </w:r>
      <w:r w:rsidRPr="005A1773">
        <w:rPr>
          <w:i/>
          <w:szCs w:val="24"/>
        </w:rPr>
        <w:t>Výroční zprávy o stavu ve věcech drog v ČR za rok 2019</w:t>
      </w:r>
      <w:r w:rsidR="007C6045">
        <w:rPr>
          <w:rStyle w:val="Znakapoznpodarou"/>
          <w:szCs w:val="24"/>
        </w:rPr>
        <w:footnoteReference w:id="32"/>
      </w:r>
      <w:r w:rsidR="007C6045">
        <w:rPr>
          <w:szCs w:val="24"/>
        </w:rPr>
        <w:t xml:space="preserve"> vydané v říjnu 2020</w:t>
      </w:r>
      <w:r>
        <w:rPr>
          <w:szCs w:val="24"/>
        </w:rPr>
        <w:t>, kterou</w:t>
      </w:r>
      <w:r w:rsidRPr="0040732F">
        <w:rPr>
          <w:szCs w:val="24"/>
        </w:rPr>
        <w:t xml:space="preserve"> projedna</w:t>
      </w:r>
      <w:r>
        <w:rPr>
          <w:szCs w:val="24"/>
        </w:rPr>
        <w:t>la jak</w:t>
      </w:r>
      <w:r w:rsidRPr="0040732F">
        <w:rPr>
          <w:szCs w:val="24"/>
        </w:rPr>
        <w:t xml:space="preserve"> RVKPP</w:t>
      </w:r>
      <w:r>
        <w:rPr>
          <w:szCs w:val="24"/>
        </w:rPr>
        <w:t>, tak</w:t>
      </w:r>
      <w:r w:rsidRPr="0040732F">
        <w:rPr>
          <w:szCs w:val="24"/>
        </w:rPr>
        <w:t xml:space="preserve"> vlád</w:t>
      </w:r>
      <w:r>
        <w:rPr>
          <w:szCs w:val="24"/>
        </w:rPr>
        <w:t>a</w:t>
      </w:r>
      <w:r w:rsidRPr="0040732F">
        <w:rPr>
          <w:szCs w:val="24"/>
        </w:rPr>
        <w:t xml:space="preserve"> ČR. </w:t>
      </w:r>
      <w:r>
        <w:rPr>
          <w:szCs w:val="24"/>
        </w:rPr>
        <w:t>ÚV ČR</w:t>
      </w:r>
      <w:r w:rsidRPr="0040732F">
        <w:rPr>
          <w:szCs w:val="24"/>
        </w:rPr>
        <w:t xml:space="preserve"> dále </w:t>
      </w:r>
      <w:r w:rsidR="00A91C47">
        <w:rPr>
          <w:szCs w:val="24"/>
        </w:rPr>
        <w:t>vy</w:t>
      </w:r>
      <w:r w:rsidRPr="0040732F">
        <w:rPr>
          <w:szCs w:val="24"/>
        </w:rPr>
        <w:t>pracoval několik doporučených postupů zejména pro poskytování adiktologických služeb a dle svého vyjádření informoval o</w:t>
      </w:r>
      <w:r w:rsidR="00A91C47">
        <w:rPr>
          <w:szCs w:val="24"/>
        </w:rPr>
        <w:t xml:space="preserve"> zahraničních </w:t>
      </w:r>
      <w:r w:rsidRPr="0040732F">
        <w:rPr>
          <w:szCs w:val="24"/>
        </w:rPr>
        <w:t xml:space="preserve">studiích </w:t>
      </w:r>
      <w:r w:rsidR="00A91C47">
        <w:rPr>
          <w:szCs w:val="24"/>
        </w:rPr>
        <w:t>týkajících se</w:t>
      </w:r>
      <w:r w:rsidRPr="0040732F">
        <w:rPr>
          <w:szCs w:val="24"/>
        </w:rPr>
        <w:t xml:space="preserve"> dopadů</w:t>
      </w:r>
      <w:r w:rsidR="00946073">
        <w:rPr>
          <w:szCs w:val="24"/>
        </w:rPr>
        <w:t xml:space="preserve"> pandemie</w:t>
      </w:r>
      <w:r w:rsidRPr="0040732F">
        <w:rPr>
          <w:szCs w:val="24"/>
        </w:rPr>
        <w:t xml:space="preserve"> </w:t>
      </w:r>
      <w:r w:rsidR="00A91C47">
        <w:rPr>
          <w:szCs w:val="24"/>
        </w:rPr>
        <w:t xml:space="preserve">nemoci </w:t>
      </w:r>
      <w:r w:rsidR="0068672C" w:rsidRPr="0040732F">
        <w:rPr>
          <w:szCs w:val="24"/>
        </w:rPr>
        <w:t>covid</w:t>
      </w:r>
      <w:r w:rsidR="00946073" w:rsidRPr="00946073">
        <w:rPr>
          <w:szCs w:val="24"/>
        </w:rPr>
        <w:t>-19</w:t>
      </w:r>
      <w:r w:rsidRPr="0040732F">
        <w:rPr>
          <w:szCs w:val="24"/>
        </w:rPr>
        <w:t>.</w:t>
      </w:r>
    </w:p>
    <w:p w14:paraId="763F94F2" w14:textId="01C4D1A1" w:rsidR="000C363D" w:rsidRDefault="0040732F" w:rsidP="00FC602A">
      <w:pPr>
        <w:pStyle w:val="Odstavecseseznamem"/>
        <w:spacing w:after="120"/>
        <w:contextualSpacing w:val="0"/>
        <w:rPr>
          <w:rFonts w:asciiTheme="minorHAnsi" w:hAnsiTheme="minorHAnsi" w:cstheme="minorHAnsi"/>
          <w:b/>
        </w:rPr>
      </w:pPr>
      <w:r w:rsidRPr="0040732F">
        <w:rPr>
          <w:szCs w:val="24"/>
        </w:rPr>
        <w:t xml:space="preserve">ÚV ČR reagoval na negativní dopady pandemie </w:t>
      </w:r>
      <w:r w:rsidR="00632EB5">
        <w:rPr>
          <w:szCs w:val="24"/>
        </w:rPr>
        <w:t xml:space="preserve">nemoci </w:t>
      </w:r>
      <w:r w:rsidR="0068672C" w:rsidRPr="0040732F">
        <w:rPr>
          <w:szCs w:val="24"/>
        </w:rPr>
        <w:t>covid</w:t>
      </w:r>
      <w:r w:rsidR="00946073" w:rsidRPr="00946073">
        <w:rPr>
          <w:szCs w:val="24"/>
        </w:rPr>
        <w:t>-19</w:t>
      </w:r>
      <w:r w:rsidRPr="0040732F">
        <w:rPr>
          <w:szCs w:val="24"/>
        </w:rPr>
        <w:t xml:space="preserve"> na adiktologické služby vyhlášením druhé výzvy dotačního řízení v dubnu 2020. Dle uveřejněných priorit dotačního řízení měl být </w:t>
      </w:r>
      <w:r w:rsidR="005023C6">
        <w:rPr>
          <w:szCs w:val="24"/>
        </w:rPr>
        <w:t xml:space="preserve">v </w:t>
      </w:r>
      <w:r w:rsidRPr="0040732F">
        <w:rPr>
          <w:szCs w:val="24"/>
        </w:rPr>
        <w:t xml:space="preserve">rámci výzvy brán zřetel </w:t>
      </w:r>
      <w:r w:rsidR="0097572F">
        <w:rPr>
          <w:szCs w:val="24"/>
        </w:rPr>
        <w:t>přednos</w:t>
      </w:r>
      <w:r w:rsidR="0097572F" w:rsidRPr="0040732F">
        <w:rPr>
          <w:szCs w:val="24"/>
        </w:rPr>
        <w:t xml:space="preserve">tně </w:t>
      </w:r>
      <w:r w:rsidRPr="0040732F">
        <w:rPr>
          <w:szCs w:val="24"/>
        </w:rPr>
        <w:t xml:space="preserve">na finanční zajištění řešení negativních dopadů způsobených pandemií </w:t>
      </w:r>
      <w:r w:rsidR="0068672C" w:rsidRPr="0040732F">
        <w:rPr>
          <w:szCs w:val="24"/>
        </w:rPr>
        <w:t>covid</w:t>
      </w:r>
      <w:r w:rsidR="00632EB5">
        <w:rPr>
          <w:szCs w:val="24"/>
        </w:rPr>
        <w:t>u</w:t>
      </w:r>
      <w:r w:rsidR="00946073" w:rsidRPr="00946073">
        <w:rPr>
          <w:szCs w:val="24"/>
        </w:rPr>
        <w:t>-19</w:t>
      </w:r>
      <w:r w:rsidRPr="0040732F">
        <w:rPr>
          <w:szCs w:val="24"/>
        </w:rPr>
        <w:t xml:space="preserve"> v adiktologických službách. Zároveň ÚV</w:t>
      </w:r>
      <w:r w:rsidR="00BC3356">
        <w:rPr>
          <w:szCs w:val="24"/>
        </w:rPr>
        <w:t> </w:t>
      </w:r>
      <w:r w:rsidRPr="0040732F">
        <w:rPr>
          <w:szCs w:val="24"/>
        </w:rPr>
        <w:t xml:space="preserve">ČR informoval příjemce dotací o </w:t>
      </w:r>
      <w:r w:rsidR="00632EB5">
        <w:rPr>
          <w:szCs w:val="24"/>
        </w:rPr>
        <w:t xml:space="preserve">tom, že </w:t>
      </w:r>
      <w:r w:rsidRPr="0040732F">
        <w:rPr>
          <w:szCs w:val="24"/>
        </w:rPr>
        <w:t>mo</w:t>
      </w:r>
      <w:r w:rsidR="00632EB5">
        <w:rPr>
          <w:szCs w:val="24"/>
        </w:rPr>
        <w:t>hou</w:t>
      </w:r>
      <w:r w:rsidRPr="0040732F">
        <w:rPr>
          <w:szCs w:val="24"/>
        </w:rPr>
        <w:t xml:space="preserve"> přizpůsobit čerpání dotace náklad</w:t>
      </w:r>
      <w:r w:rsidR="00946073">
        <w:rPr>
          <w:szCs w:val="24"/>
        </w:rPr>
        <w:t>ům</w:t>
      </w:r>
      <w:r w:rsidRPr="0040732F">
        <w:rPr>
          <w:szCs w:val="24"/>
        </w:rPr>
        <w:t xml:space="preserve"> související</w:t>
      </w:r>
      <w:r w:rsidR="00946073">
        <w:rPr>
          <w:szCs w:val="24"/>
        </w:rPr>
        <w:t>m</w:t>
      </w:r>
      <w:r w:rsidRPr="0040732F">
        <w:rPr>
          <w:szCs w:val="24"/>
        </w:rPr>
        <w:t xml:space="preserve"> s</w:t>
      </w:r>
      <w:r w:rsidR="00632EB5">
        <w:rPr>
          <w:szCs w:val="24"/>
        </w:rPr>
        <w:t> </w:t>
      </w:r>
      <w:r w:rsidR="00946073">
        <w:rPr>
          <w:szCs w:val="24"/>
        </w:rPr>
        <w:t>pandemií</w:t>
      </w:r>
      <w:r w:rsidRPr="0040732F">
        <w:rPr>
          <w:szCs w:val="24"/>
        </w:rPr>
        <w:t xml:space="preserve"> </w:t>
      </w:r>
      <w:r w:rsidR="0068672C" w:rsidRPr="0040732F">
        <w:rPr>
          <w:szCs w:val="24"/>
        </w:rPr>
        <w:t>covid</w:t>
      </w:r>
      <w:r w:rsidR="00632EB5">
        <w:rPr>
          <w:szCs w:val="24"/>
        </w:rPr>
        <w:t>u</w:t>
      </w:r>
      <w:r w:rsidR="00946073" w:rsidRPr="00946073">
        <w:rPr>
          <w:szCs w:val="24"/>
        </w:rPr>
        <w:t>-19</w:t>
      </w:r>
      <w:r w:rsidRPr="0040732F">
        <w:rPr>
          <w:szCs w:val="24"/>
        </w:rPr>
        <w:t xml:space="preserve"> ve svých projektech v intencích podmínek dotačního řízení.</w:t>
      </w:r>
    </w:p>
    <w:p w14:paraId="0B63AC33" w14:textId="70289001" w:rsidR="00C02B9A" w:rsidRDefault="00C02B9A" w:rsidP="00FC602A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</w:p>
    <w:p w14:paraId="566B41E8" w14:textId="77777777" w:rsidR="00FE3E2B" w:rsidRDefault="00FE3E2B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041ED25" w14:textId="46E19057" w:rsidR="00E5265F" w:rsidRDefault="00E620F7" w:rsidP="0074602E">
      <w:pPr>
        <w:widowControl/>
        <w:spacing w:after="240"/>
        <w:rPr>
          <w:rFonts w:asciiTheme="minorHAnsi" w:hAnsiTheme="minorHAnsi" w:cstheme="minorHAnsi"/>
        </w:rPr>
      </w:pPr>
      <w:r w:rsidRPr="00973765">
        <w:rPr>
          <w:rFonts w:asciiTheme="minorHAnsi" w:hAnsiTheme="minorHAnsi" w:cstheme="minorHAnsi"/>
          <w:b/>
        </w:rPr>
        <w:lastRenderedPageBreak/>
        <w:t>Seznam zkratek</w:t>
      </w:r>
    </w:p>
    <w:p w14:paraId="69BDFE33" w14:textId="77777777" w:rsidR="004460DC" w:rsidRDefault="004460DC" w:rsidP="0074602E">
      <w:pPr>
        <w:widowControl/>
        <w:spacing w:after="80"/>
        <w:ind w:left="2127" w:hanging="2127"/>
      </w:pPr>
      <w:r>
        <w:t>ČR</w:t>
      </w:r>
      <w:r>
        <w:tab/>
        <w:t>Česká republika</w:t>
      </w:r>
    </w:p>
    <w:p w14:paraId="38CDD633" w14:textId="0F8AB752" w:rsidR="004460DC" w:rsidRDefault="004460DC" w:rsidP="0074602E">
      <w:pPr>
        <w:widowControl/>
        <w:spacing w:after="80"/>
        <w:ind w:left="2127" w:hanging="2127"/>
      </w:pPr>
      <w:r w:rsidRPr="00A50070">
        <w:t>DROP IN</w:t>
      </w:r>
      <w:r>
        <w:tab/>
      </w:r>
      <w:r w:rsidRPr="00A50070">
        <w:t>Středisko prevence a léčby drogových závislostí - DROP IN, o.p.s.</w:t>
      </w:r>
    </w:p>
    <w:p w14:paraId="4B9F3D0A" w14:textId="77777777" w:rsidR="004460DC" w:rsidRDefault="004460DC" w:rsidP="0074602E">
      <w:pPr>
        <w:widowControl/>
        <w:spacing w:after="80"/>
        <w:ind w:left="2127" w:hanging="2127"/>
      </w:pPr>
      <w:r w:rsidRPr="00052A8A">
        <w:t>EU</w:t>
      </w:r>
      <w:r w:rsidRPr="00052A8A">
        <w:tab/>
        <w:t>Evropská unie</w:t>
      </w:r>
    </w:p>
    <w:p w14:paraId="36F592A8" w14:textId="7D8633AC" w:rsidR="004460DC" w:rsidRDefault="004460DC" w:rsidP="0074602E">
      <w:pPr>
        <w:widowControl/>
        <w:spacing w:after="80"/>
        <w:ind w:left="2127" w:hanging="2127"/>
      </w:pPr>
      <w:r w:rsidRPr="0065439B">
        <w:t>Evaluace 2018</w:t>
      </w:r>
      <w:r>
        <w:tab/>
      </w:r>
      <w:r w:rsidRPr="0074602E">
        <w:rPr>
          <w:i/>
        </w:rPr>
        <w:t>Evaluace Národní strategie protidrogové politiky na období 2010–2018</w:t>
      </w:r>
    </w:p>
    <w:p w14:paraId="060811B3" w14:textId="112E06E4" w:rsidR="004460DC" w:rsidRDefault="004460DC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ab/>
        <w:t>Ministerstvo spravedlnosti</w:t>
      </w:r>
    </w:p>
    <w:p w14:paraId="7E9BAB42" w14:textId="4F3FCE96" w:rsidR="004460DC" w:rsidRDefault="004460DC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</w:t>
      </w:r>
      <w:r>
        <w:rPr>
          <w:rFonts w:asciiTheme="minorHAnsi" w:hAnsiTheme="minorHAnsi" w:cstheme="minorHAnsi"/>
        </w:rPr>
        <w:tab/>
        <w:t>Ministerstvo školství, mládeže a tělovýchovy</w:t>
      </w:r>
    </w:p>
    <w:p w14:paraId="3505FBC3" w14:textId="60FBD91C" w:rsidR="004460DC" w:rsidRDefault="004460DC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ab/>
        <w:t>Ministerstvo zdravotnictví</w:t>
      </w:r>
    </w:p>
    <w:p w14:paraId="41983A30" w14:textId="3CE3E8A0" w:rsidR="004460DC" w:rsidRDefault="004460DC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  <w:t>Nejvyšší kontrolní úřad</w:t>
      </w:r>
    </w:p>
    <w:p w14:paraId="07FD0ED2" w14:textId="77777777" w:rsidR="004460DC" w:rsidRDefault="004460DC" w:rsidP="0074602E">
      <w:pPr>
        <w:widowControl/>
        <w:spacing w:after="80"/>
        <w:ind w:left="2127" w:hanging="2127"/>
      </w:pPr>
      <w:r>
        <w:t>OSN</w:t>
      </w:r>
      <w:r>
        <w:tab/>
        <w:t>Organizace spojených národů</w:t>
      </w:r>
    </w:p>
    <w:p w14:paraId="122E376E" w14:textId="77777777" w:rsidR="004460DC" w:rsidRDefault="004460DC" w:rsidP="0074602E">
      <w:pPr>
        <w:widowControl/>
        <w:spacing w:after="80"/>
        <w:ind w:left="2127" w:hanging="2127"/>
      </w:pPr>
      <w:r w:rsidRPr="0040732F">
        <w:rPr>
          <w:szCs w:val="24"/>
        </w:rPr>
        <w:t>RVKPP</w:t>
      </w:r>
      <w:r>
        <w:tab/>
      </w:r>
      <w:r w:rsidRPr="0040732F">
        <w:t>Rad</w:t>
      </w:r>
      <w:r>
        <w:t xml:space="preserve">a </w:t>
      </w:r>
      <w:r w:rsidRPr="0040732F">
        <w:t>vlády pro koordinaci protidrogové politiky</w:t>
      </w:r>
    </w:p>
    <w:p w14:paraId="12111FBA" w14:textId="77777777" w:rsidR="004460DC" w:rsidRDefault="004460DC" w:rsidP="0074602E">
      <w:pPr>
        <w:widowControl/>
        <w:spacing w:after="80"/>
        <w:ind w:left="2127" w:hanging="2127"/>
      </w:pPr>
      <w:r>
        <w:t>Strategie 2018</w:t>
      </w:r>
      <w:r>
        <w:tab/>
      </w:r>
      <w:r w:rsidRPr="0074602E">
        <w:rPr>
          <w:i/>
        </w:rPr>
        <w:t>Národní strategie protidrogové politiky pro období 2010–2018</w:t>
      </w:r>
    </w:p>
    <w:p w14:paraId="35FACEDB" w14:textId="77777777" w:rsidR="004460DC" w:rsidRDefault="004460DC" w:rsidP="0074602E">
      <w:pPr>
        <w:widowControl/>
        <w:spacing w:after="80"/>
        <w:ind w:left="2127" w:hanging="2127"/>
      </w:pPr>
      <w:r w:rsidRPr="0065439B">
        <w:t>Strategie 2027</w:t>
      </w:r>
      <w:r>
        <w:tab/>
      </w:r>
      <w:r w:rsidRPr="0074602E">
        <w:rPr>
          <w:i/>
        </w:rPr>
        <w:t>Národní strategie prevence a snižování škod spojených se závislostním chováním na období 2019─2027</w:t>
      </w:r>
    </w:p>
    <w:p w14:paraId="71DE6872" w14:textId="7B821317" w:rsidR="004460DC" w:rsidRDefault="004460DC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ÚV ČR</w:t>
      </w:r>
      <w:r>
        <w:rPr>
          <w:rFonts w:asciiTheme="minorHAnsi" w:hAnsiTheme="minorHAnsi" w:cstheme="minorHAnsi"/>
        </w:rPr>
        <w:tab/>
        <w:t>Úřad vlády České republiky</w:t>
      </w:r>
    </w:p>
    <w:p w14:paraId="617ABC9D" w14:textId="77777777" w:rsidR="006D595D" w:rsidRDefault="006D595D" w:rsidP="00FC602A">
      <w:pPr>
        <w:widowControl/>
      </w:pPr>
    </w:p>
    <w:p w14:paraId="3CA2BF4F" w14:textId="77777777" w:rsidR="006D595D" w:rsidRPr="00505037" w:rsidRDefault="006D595D" w:rsidP="00FC602A">
      <w:pPr>
        <w:widowControl/>
        <w:sectPr w:rsidR="006D595D" w:rsidRPr="00505037" w:rsidSect="0020427E">
          <w:footerReference w:type="default" r:id="rId12"/>
          <w:headerReference w:type="first" r:id="rId13"/>
          <w:pgSz w:w="11909" w:h="16838" w:code="9"/>
          <w:pgMar w:top="1417" w:right="1417" w:bottom="1417" w:left="1417" w:header="709" w:footer="709" w:gutter="0"/>
          <w:cols w:space="60"/>
          <w:noEndnote/>
          <w:titlePg/>
          <w:docGrid w:linePitch="326"/>
        </w:sectPr>
      </w:pPr>
    </w:p>
    <w:p w14:paraId="4A91FF3B" w14:textId="3C2E0E70" w:rsidR="00E5265F" w:rsidRDefault="00F36363" w:rsidP="00FC602A">
      <w:pPr>
        <w:widowControl/>
        <w:autoSpaceDE/>
        <w:autoSpaceDN/>
        <w:adjustRightInd/>
        <w:spacing w:after="160"/>
        <w:jc w:val="right"/>
      </w:pPr>
      <w:r>
        <w:lastRenderedPageBreak/>
        <w:t>Příloha</w:t>
      </w:r>
    </w:p>
    <w:p w14:paraId="7CB1EDF5" w14:textId="5A134B16" w:rsidR="00F36363" w:rsidRPr="0074602E" w:rsidRDefault="00F36363" w:rsidP="00FC602A">
      <w:pPr>
        <w:widowControl/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</w:pPr>
      <w:r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 xml:space="preserve">Graf č. 1: Smrtelná předávkování drogami </w:t>
      </w:r>
      <w:r w:rsidR="00E12F36"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>(srovnání vybraných zemí Evropy)</w:t>
      </w:r>
    </w:p>
    <w:p w14:paraId="5102D1B4" w14:textId="77777777" w:rsidR="00F36363" w:rsidRDefault="00F36363" w:rsidP="00FC602A">
      <w:pPr>
        <w:widowControl/>
        <w:rPr>
          <w:noProof/>
        </w:rPr>
      </w:pPr>
      <w:r>
        <w:rPr>
          <w:noProof/>
        </w:rPr>
        <w:drawing>
          <wp:inline distT="0" distB="0" distL="0" distR="0" wp14:anchorId="02CF4D2D" wp14:editId="1FC24AF9">
            <wp:extent cx="5760720" cy="36957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33D069" w14:textId="72F9199D" w:rsidR="00F36363" w:rsidRDefault="00F36363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Pr="00C61E47">
        <w:rPr>
          <w:sz w:val="20"/>
        </w:rPr>
        <w:t>Evropské monitorovací centrum pro drogy a drogovou závislost (EMCDDA)</w:t>
      </w:r>
      <w:r w:rsidRPr="00A61309">
        <w:rPr>
          <w:sz w:val="20"/>
        </w:rPr>
        <w:t>.</w:t>
      </w:r>
    </w:p>
    <w:p w14:paraId="7E457B95" w14:textId="77777777" w:rsidR="008E068A" w:rsidRDefault="008E068A" w:rsidP="007E771B">
      <w:pPr>
        <w:widowControl/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</w:pPr>
    </w:p>
    <w:p w14:paraId="33AD1826" w14:textId="2DCBCB5D" w:rsidR="00F36363" w:rsidRPr="0074602E" w:rsidRDefault="00F36363" w:rsidP="0074602E">
      <w:pPr>
        <w:widowControl/>
        <w:spacing w:before="240"/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</w:pPr>
      <w:r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>Graf č. 2: Největší konzumenti alkoholu ve světě</w:t>
      </w:r>
      <w:r w:rsidR="00E12F36"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 xml:space="preserve"> (</w:t>
      </w:r>
      <w:r w:rsidR="00E12F36" w:rsidRPr="0074602E">
        <w:rPr>
          <w:rFonts w:asciiTheme="minorHAnsi" w:eastAsia="Arial" w:hAnsiTheme="minorHAnsi" w:cstheme="minorHAnsi"/>
          <w:b/>
          <w:bCs/>
          <w:color w:val="000000"/>
          <w:lang w:bidi="cs-CZ"/>
        </w:rPr>
        <w:t>spotřeba litrů čistého lihu na osobu)</w:t>
      </w:r>
    </w:p>
    <w:p w14:paraId="357A36A7" w14:textId="77777777" w:rsidR="00F36363" w:rsidRDefault="00F36363" w:rsidP="00FC602A">
      <w:pPr>
        <w:widowControl/>
        <w:spacing w:after="120"/>
        <w:rPr>
          <w:sz w:val="20"/>
        </w:rPr>
      </w:pPr>
      <w:r>
        <w:rPr>
          <w:noProof/>
        </w:rPr>
        <w:drawing>
          <wp:inline distT="0" distB="0" distL="0" distR="0" wp14:anchorId="31979BCB" wp14:editId="074F31E2">
            <wp:extent cx="5760720" cy="2797521"/>
            <wp:effectExtent l="0" t="0" r="0" b="317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8F8088" w14:textId="77777777" w:rsidR="00F36363" w:rsidRDefault="00F36363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Pr="00DC58E0">
        <w:rPr>
          <w:sz w:val="20"/>
        </w:rPr>
        <w:t>Organizace pro hospodářskou spolupráci a rozvoj</w:t>
      </w:r>
      <w:r>
        <w:rPr>
          <w:sz w:val="20"/>
        </w:rPr>
        <w:t xml:space="preserve"> (OECD)</w:t>
      </w:r>
      <w:r w:rsidRPr="00A61309">
        <w:rPr>
          <w:sz w:val="20"/>
        </w:rPr>
        <w:t>.</w:t>
      </w:r>
    </w:p>
    <w:p w14:paraId="339514C5" w14:textId="77777777" w:rsidR="00E12F36" w:rsidRDefault="00E12F36" w:rsidP="00FC602A">
      <w:pPr>
        <w:widowControl/>
        <w:autoSpaceDE/>
        <w:autoSpaceDN/>
        <w:adjustRightInd/>
        <w:spacing w:after="160" w:line="259" w:lineRule="auto"/>
        <w:jc w:val="left"/>
        <w:rPr>
          <w:rFonts w:ascii="Arial" w:eastAsia="Arial" w:hAnsi="Arial"/>
          <w:b/>
          <w:bCs/>
          <w:color w:val="000000"/>
          <w:szCs w:val="24"/>
          <w:lang w:bidi="cs-CZ"/>
        </w:rPr>
      </w:pPr>
      <w:r>
        <w:rPr>
          <w:rFonts w:ascii="Arial" w:eastAsia="Arial" w:hAnsi="Arial"/>
          <w:b/>
          <w:bCs/>
          <w:color w:val="000000"/>
          <w:szCs w:val="24"/>
          <w:lang w:bidi="cs-CZ"/>
        </w:rPr>
        <w:br w:type="page"/>
      </w:r>
    </w:p>
    <w:p w14:paraId="1842AF69" w14:textId="76668228" w:rsidR="00F36363" w:rsidRPr="0074602E" w:rsidRDefault="00F36363" w:rsidP="0074602E">
      <w:pPr>
        <w:widowControl/>
        <w:ind w:left="964" w:hanging="964"/>
        <w:rPr>
          <w:rFonts w:asciiTheme="minorHAnsi" w:hAnsiTheme="minorHAnsi" w:cstheme="minorHAnsi"/>
          <w:sz w:val="20"/>
        </w:rPr>
      </w:pPr>
      <w:r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lastRenderedPageBreak/>
        <w:t xml:space="preserve">Graf č. 3: </w:t>
      </w:r>
      <w:r w:rsidR="00FE3E2B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ab/>
      </w:r>
      <w:r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>Největší kuřáci ve světě</w:t>
      </w:r>
      <w:r w:rsidR="0030113C"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 xml:space="preserve"> </w:t>
      </w:r>
      <w:r w:rsidR="0030113C" w:rsidRPr="0074602E">
        <w:rPr>
          <w:rFonts w:asciiTheme="minorHAnsi" w:hAnsiTheme="minorHAnsi" w:cstheme="minorHAnsi"/>
          <w:b/>
          <w:szCs w:val="24"/>
        </w:rPr>
        <w:t>–</w:t>
      </w:r>
      <w:r w:rsidR="00E12F36" w:rsidRPr="0074602E">
        <w:rPr>
          <w:rFonts w:asciiTheme="minorHAnsi" w:eastAsia="Arial" w:hAnsiTheme="minorHAnsi" w:cstheme="minorHAnsi"/>
          <w:b/>
          <w:bCs/>
          <w:color w:val="000000"/>
          <w:szCs w:val="24"/>
          <w:lang w:bidi="cs-CZ"/>
        </w:rPr>
        <w:t xml:space="preserve"> podíl denních kuřáků v populaci starší 15 let v roce 2019 nebo nejbližší dostupná data (v %)</w:t>
      </w:r>
    </w:p>
    <w:p w14:paraId="515005FE" w14:textId="77777777" w:rsidR="00F36363" w:rsidRDefault="00F36363" w:rsidP="00FC602A">
      <w:pPr>
        <w:widowControl/>
        <w:spacing w:after="120"/>
        <w:rPr>
          <w:sz w:val="20"/>
        </w:rPr>
      </w:pPr>
      <w:r>
        <w:rPr>
          <w:noProof/>
        </w:rPr>
        <w:drawing>
          <wp:inline distT="0" distB="0" distL="0" distR="0" wp14:anchorId="695A471C" wp14:editId="725B81DD">
            <wp:extent cx="564515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4962AD" w14:textId="5A711B2C" w:rsidR="00F36363" w:rsidRPr="00F36363" w:rsidRDefault="00F36363" w:rsidP="00FC602A">
      <w:pPr>
        <w:widowControl/>
        <w:spacing w:after="120"/>
        <w:rPr>
          <w:sz w:val="20"/>
        </w:rPr>
      </w:pPr>
      <w:r w:rsidRPr="008762E5">
        <w:rPr>
          <w:b/>
          <w:i/>
          <w:sz w:val="20"/>
        </w:rPr>
        <w:t>Zdroj:</w:t>
      </w:r>
      <w:r>
        <w:rPr>
          <w:sz w:val="20"/>
        </w:rPr>
        <w:tab/>
      </w:r>
      <w:r w:rsidRPr="00DC58E0">
        <w:rPr>
          <w:sz w:val="20"/>
        </w:rPr>
        <w:t>Organizace pro hospodářskou spolupráci a rozvoj</w:t>
      </w:r>
      <w:r>
        <w:rPr>
          <w:sz w:val="20"/>
        </w:rPr>
        <w:t xml:space="preserve"> (OECD)</w:t>
      </w:r>
      <w:r w:rsidRPr="00A61309">
        <w:rPr>
          <w:sz w:val="20"/>
        </w:rPr>
        <w:t>.</w:t>
      </w:r>
    </w:p>
    <w:sectPr w:rsidR="00F36363" w:rsidRPr="00F36363" w:rsidSect="00345176">
      <w:pgSz w:w="11909" w:h="16838" w:code="9"/>
      <w:pgMar w:top="1417" w:right="1417" w:bottom="1417" w:left="141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CABC" w14:textId="77777777" w:rsidR="00153A1C" w:rsidRDefault="00153A1C">
      <w:r>
        <w:separator/>
      </w:r>
    </w:p>
  </w:endnote>
  <w:endnote w:type="continuationSeparator" w:id="0">
    <w:p w14:paraId="01D1D15B" w14:textId="77777777" w:rsidR="00153A1C" w:rsidRDefault="0015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6069"/>
      <w:docPartObj>
        <w:docPartGallery w:val="Page Numbers (Bottom of Page)"/>
        <w:docPartUnique/>
      </w:docPartObj>
    </w:sdtPr>
    <w:sdtEndPr/>
    <w:sdtContent>
      <w:p w14:paraId="3C5E85F1" w14:textId="67877B80" w:rsidR="00153A1C" w:rsidRDefault="00153A1C" w:rsidP="009347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B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9C01B" w14:textId="77777777" w:rsidR="00153A1C" w:rsidRDefault="00153A1C" w:rsidP="00FE5C8F">
      <w:r>
        <w:separator/>
      </w:r>
    </w:p>
  </w:footnote>
  <w:footnote w:type="continuationSeparator" w:id="0">
    <w:p w14:paraId="2CA02284" w14:textId="77777777" w:rsidR="00153A1C" w:rsidRDefault="00153A1C" w:rsidP="00FE5C8F">
      <w:r>
        <w:continuationSeparator/>
      </w:r>
    </w:p>
  </w:footnote>
  <w:footnote w:id="1">
    <w:p w14:paraId="2F4DE958" w14:textId="0EECCF95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F4061C">
        <w:t>§ 39 odst. 3 zákona č. 218/2000 Sb.</w:t>
      </w:r>
      <w:r>
        <w:t>,</w:t>
      </w:r>
      <w:r w:rsidRPr="00F4061C">
        <w:t xml:space="preserve"> o rozpočtových pravidlech a o změně některých souvisejících zákonů (rozpočtová pravidla)</w:t>
      </w:r>
      <w:r>
        <w:t>.</w:t>
      </w:r>
    </w:p>
  </w:footnote>
  <w:footnote w:id="2">
    <w:p w14:paraId="7B2A8372" w14:textId="4DD3DFB5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66AD7">
        <w:t>Ustanovení § 44 odst. 1 písm. b) zákona č. 218/2000 Sb.</w:t>
      </w:r>
    </w:p>
  </w:footnote>
  <w:footnote w:id="3">
    <w:p w14:paraId="2901AC65" w14:textId="165D6EC8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Strategie byla s</w:t>
      </w:r>
      <w:r w:rsidRPr="00CB5338">
        <w:t>chválen</w:t>
      </w:r>
      <w:r>
        <w:t>a</w:t>
      </w:r>
      <w:r w:rsidRPr="00CB5338">
        <w:t xml:space="preserve"> usnesením vlády</w:t>
      </w:r>
      <w:r>
        <w:t xml:space="preserve"> ČR</w:t>
      </w:r>
      <w:r w:rsidRPr="00CB5338">
        <w:t xml:space="preserve"> ze dne 10. května 2010 č. 340</w:t>
      </w:r>
      <w:r>
        <w:t xml:space="preserve">, </w:t>
      </w:r>
      <w:r w:rsidRPr="00067C4C">
        <w:rPr>
          <w:i/>
        </w:rPr>
        <w:t>o Národní strategii protidrogové politiky na období let 2010 až 2018</w:t>
      </w:r>
      <w:r>
        <w:t>.</w:t>
      </w:r>
    </w:p>
  </w:footnote>
  <w:footnote w:id="4">
    <w:p w14:paraId="403F5B75" w14:textId="743C3BA0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Strategie byla s</w:t>
      </w:r>
      <w:r w:rsidRPr="00CB5338">
        <w:t>chválen</w:t>
      </w:r>
      <w:r>
        <w:t>a</w:t>
      </w:r>
      <w:r w:rsidRPr="00CB5338">
        <w:t xml:space="preserve"> usnesením vlády</w:t>
      </w:r>
      <w:r>
        <w:t xml:space="preserve"> ČR</w:t>
      </w:r>
      <w:r w:rsidRPr="00CB5338">
        <w:t xml:space="preserve"> ze dne 13. května 2019 č. 329</w:t>
      </w:r>
      <w:r>
        <w:t xml:space="preserve">, </w:t>
      </w:r>
      <w:r w:rsidRPr="00067C4C">
        <w:rPr>
          <w:i/>
        </w:rPr>
        <w:t>o Národní strategii prevence a snižování škod spojených se závislostním chováním 2019–2027</w:t>
      </w:r>
      <w:r>
        <w:t>.</w:t>
      </w:r>
    </w:p>
  </w:footnote>
  <w:footnote w:id="5">
    <w:p w14:paraId="59A47D41" w14:textId="1D45EA8B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CB5338">
        <w:t>stanovení § 2 zákona č. 2/1969 Sb., o zřízení ministerstev a jiných ústředních orgán</w:t>
      </w:r>
      <w:r>
        <w:t>ů státní správy České republiky.</w:t>
      </w:r>
    </w:p>
  </w:footnote>
  <w:footnote w:id="6">
    <w:p w14:paraId="37908C24" w14:textId="0EE273BD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E31DB2">
        <w:t xml:space="preserve">§ 2 </w:t>
      </w:r>
      <w:r>
        <w:t xml:space="preserve">odst. 2 </w:t>
      </w:r>
      <w:r w:rsidRPr="00E31DB2">
        <w:t xml:space="preserve">zákona </w:t>
      </w:r>
      <w:r>
        <w:t>č. 2/1969 Sb.</w:t>
      </w:r>
    </w:p>
  </w:footnote>
  <w:footnote w:id="7">
    <w:p w14:paraId="66034795" w14:textId="34523FA1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</w:t>
      </w:r>
      <w:r w:rsidRPr="009C681C">
        <w:t xml:space="preserve"> § 10 odst. 1 zákona </w:t>
      </w:r>
      <w:r>
        <w:t>č. 2/1969 Sb.</w:t>
      </w:r>
    </w:p>
  </w:footnote>
  <w:footnote w:id="8">
    <w:p w14:paraId="6EA4562D" w14:textId="6A4FB2DE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</w:t>
      </w:r>
      <w:r w:rsidRPr="00CE7866">
        <w:t xml:space="preserve"> § 7 odst. 1 zákona </w:t>
      </w:r>
      <w:r>
        <w:t>č. 2/1969 Sb.</w:t>
      </w:r>
    </w:p>
  </w:footnote>
  <w:footnote w:id="9">
    <w:p w14:paraId="1F00900C" w14:textId="168D4AD1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9C681C">
        <w:t xml:space="preserve">stanovení § 11 odst. 3 zákona </w:t>
      </w:r>
      <w:r>
        <w:t>č. 2/1969 Sb.</w:t>
      </w:r>
    </w:p>
  </w:footnote>
  <w:footnote w:id="10">
    <w:p w14:paraId="698BDF24" w14:textId="1F13C36C" w:rsidR="00153A1C" w:rsidRDefault="00153A1C" w:rsidP="00FC6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9C681C">
        <w:t xml:space="preserve">stanovení § 11 odst. </w:t>
      </w:r>
      <w:r>
        <w:t>4</w:t>
      </w:r>
      <w:r w:rsidRPr="009C681C">
        <w:t xml:space="preserve"> zákona </w:t>
      </w:r>
      <w:r>
        <w:t>č. 2/1969 Sb.</w:t>
      </w:r>
    </w:p>
  </w:footnote>
  <w:footnote w:id="11">
    <w:p w14:paraId="2E150337" w14:textId="1D1349E3" w:rsidR="00153A1C" w:rsidRDefault="00153A1C" w:rsidP="00DF7A8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</w:t>
      </w:r>
      <w:r w:rsidRPr="00240F8A">
        <w:t>ze dne 22. července 2019 č. 532</w:t>
      </w:r>
      <w:r>
        <w:t xml:space="preserve">, </w:t>
      </w:r>
      <w:r w:rsidRPr="00872F11">
        <w:rPr>
          <w:i/>
        </w:rPr>
        <w:t xml:space="preserve">o změně systému financování adiktologických služeb </w:t>
      </w:r>
      <w:r w:rsidRPr="00872F11">
        <w:rPr>
          <w:i/>
          <w:szCs w:val="24"/>
        </w:rPr>
        <w:t>–</w:t>
      </w:r>
      <w:r w:rsidRPr="00872F11">
        <w:rPr>
          <w:i/>
        </w:rPr>
        <w:t xml:space="preserve"> centralizaci finančních prostředků a dotačních titulů Programu protidrogové politiky Ministerstva školství, mládeže a tělovýchovy, Ministerstva zdravotnictví a Ministerstva spravedlnosti v rozpočtové kapitole 304 </w:t>
      </w:r>
      <w:r w:rsidRPr="00872F11">
        <w:rPr>
          <w:i/>
          <w:szCs w:val="24"/>
        </w:rPr>
        <w:t>–</w:t>
      </w:r>
      <w:r w:rsidRPr="00872F11">
        <w:rPr>
          <w:i/>
        </w:rPr>
        <w:t xml:space="preserve"> Úřad vlády počínaje rokem 2020</w:t>
      </w:r>
      <w:r>
        <w:t>.</w:t>
      </w:r>
    </w:p>
  </w:footnote>
  <w:footnote w:id="12">
    <w:p w14:paraId="77291198" w14:textId="7D16356A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Materiál byl schválen</w:t>
      </w:r>
      <w:r w:rsidRPr="009F1BDE">
        <w:t xml:space="preserve"> usnesením vlády</w:t>
      </w:r>
      <w:r>
        <w:t xml:space="preserve"> ČR</w:t>
      </w:r>
      <w:r w:rsidRPr="009F1BDE">
        <w:t xml:space="preserve"> ze dne 1. února 2010 č. 92</w:t>
      </w:r>
      <w:r>
        <w:t xml:space="preserve">, </w:t>
      </w:r>
      <w:r w:rsidRPr="00C61E1A">
        <w:rPr>
          <w:i/>
        </w:rPr>
        <w:t>o Zásadách vlády pro poskytování dotací ze státního rozpočtu České republiky nestátním neziskovým organizacím ústředními orgány státní správy</w:t>
      </w:r>
      <w:r>
        <w:t>.</w:t>
      </w:r>
    </w:p>
  </w:footnote>
  <w:footnote w:id="13">
    <w:p w14:paraId="7D94F265" w14:textId="77054907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Materiál byl schválen</w:t>
      </w:r>
      <w:r w:rsidRPr="009F1BDE">
        <w:t xml:space="preserve"> </w:t>
      </w:r>
      <w:r>
        <w:t xml:space="preserve">usnesením vlády ČR ze dne 18. dubna 2012 č. 283, </w:t>
      </w:r>
      <w:r w:rsidRPr="00C61E1A">
        <w:rPr>
          <w:i/>
        </w:rPr>
        <w:t>o Pravidlech pro vynakládání finančních prostředků státního rozpočtu na protidrogovou politiku</w:t>
      </w:r>
      <w:r>
        <w:t>.</w:t>
      </w:r>
    </w:p>
  </w:footnote>
  <w:footnote w:id="14">
    <w:p w14:paraId="5504CC1B" w14:textId="7E0C18D4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80145">
        <w:rPr>
          <w:i/>
        </w:rPr>
        <w:t>Koncepce vězeňství do roku 2025</w:t>
      </w:r>
      <w:r>
        <w:t>.</w:t>
      </w:r>
    </w:p>
  </w:footnote>
  <w:footnote w:id="15">
    <w:p w14:paraId="341701CC" w14:textId="12E941AB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191FCC">
        <w:t xml:space="preserve">§ 39 odst. 3 </w:t>
      </w:r>
      <w:r>
        <w:t>zákona č. 218/2000 Sb.</w:t>
      </w:r>
    </w:p>
  </w:footnote>
  <w:footnote w:id="16">
    <w:p w14:paraId="555F53E9" w14:textId="3BA518B3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F86F76">
        <w:t>stanovení § 21</w:t>
      </w:r>
      <w:r>
        <w:t xml:space="preserve"> odst. 1 zákona č. 218/2000 Sb.</w:t>
      </w:r>
    </w:p>
  </w:footnote>
  <w:footnote w:id="17">
    <w:p w14:paraId="31E075DD" w14:textId="5FDAEA31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F4061C">
        <w:t>§ 3</w:t>
      </w:r>
      <w:r>
        <w:t>9 odst. 3 zákona č. 218/2000 Sb.</w:t>
      </w:r>
    </w:p>
  </w:footnote>
  <w:footnote w:id="18">
    <w:p w14:paraId="0D8339FF" w14:textId="3D816FFA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B228B4">
        <w:t>§ 14 odst. 3 zákona č. 218/2000 Sb.</w:t>
      </w:r>
    </w:p>
  </w:footnote>
  <w:footnote w:id="19">
    <w:p w14:paraId="7E549452" w14:textId="122EAD87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U</w:t>
      </w:r>
      <w:r w:rsidRPr="00575B9E">
        <w:t xml:space="preserve">stanovení části druhé odst. </w:t>
      </w:r>
      <w:r>
        <w:t>8</w:t>
      </w:r>
      <w:r w:rsidRPr="00575B9E">
        <w:t xml:space="preserve"> </w:t>
      </w:r>
      <w:r w:rsidRPr="00780145">
        <w:rPr>
          <w:i/>
        </w:rPr>
        <w:t>Zásad vlády pro poskytování dotací ze státního rozpočtu České republiky nestátním neziskovým organizacím ústředními orgány státní správy</w:t>
      </w:r>
      <w:r>
        <w:t>.</w:t>
      </w:r>
    </w:p>
  </w:footnote>
  <w:footnote w:id="20">
    <w:p w14:paraId="0DCAFFD5" w14:textId="17A06E8A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7348F">
        <w:t xml:space="preserve">Ustanovení § 14 odst. </w:t>
      </w:r>
      <w:r>
        <w:t>4</w:t>
      </w:r>
      <w:r w:rsidRPr="00E7348F">
        <w:t xml:space="preserve"> zákona č. 218/2000 Sb.</w:t>
      </w:r>
      <w:r>
        <w:t>, resp.</w:t>
      </w:r>
      <w:r w:rsidRPr="007A1BFC">
        <w:t xml:space="preserve"> ustanovení § 69 odst. 1 zákona č. 500/2004 Sb.</w:t>
      </w:r>
      <w:r>
        <w:t>, správní řád.</w:t>
      </w:r>
    </w:p>
  </w:footnote>
  <w:footnote w:id="21">
    <w:p w14:paraId="3FC5538A" w14:textId="234587A8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191FCC">
        <w:t>stanovení § 18a odst. 1</w:t>
      </w:r>
      <w:r>
        <w:t xml:space="preserve"> a 5</w:t>
      </w:r>
      <w:r w:rsidRPr="00191FCC">
        <w:t xml:space="preserve"> zákona č. 218/2000 Sb.</w:t>
      </w:r>
    </w:p>
  </w:footnote>
  <w:footnote w:id="22">
    <w:p w14:paraId="1022A1B6" w14:textId="094790AD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32075A">
        <w:t>§ 11 odst. 2</w:t>
      </w:r>
      <w:r>
        <w:t>,</w:t>
      </w:r>
      <w:r w:rsidRPr="0032075A">
        <w:t xml:space="preserve"> § 26 odst. 1 a § 6 odst. 2 písm. a) zákona č. 320/2001 Sb.</w:t>
      </w:r>
    </w:p>
  </w:footnote>
  <w:footnote w:id="23">
    <w:p w14:paraId="1BA28F06" w14:textId="489B9830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C1731D">
        <w:t xml:space="preserve">§ 9 odst. 1 a 2 vyhlášky č. 367/2015 Sb., o zásadách a lhůtách finančního vypořádání vztahů </w:t>
      </w:r>
      <w:r>
        <w:br/>
      </w:r>
      <w:r w:rsidRPr="00C1731D">
        <w:t>se státním rozpočtem, státními finančními aktivy a Národním fondem (vyhláška o finančním vypořádání)</w:t>
      </w:r>
      <w:r>
        <w:t>.</w:t>
      </w:r>
    </w:p>
  </w:footnote>
  <w:footnote w:id="24">
    <w:p w14:paraId="7711857A" w14:textId="44E3029A" w:rsidR="00153A1C" w:rsidRPr="00411A45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11A45">
        <w:t>části druh</w:t>
      </w:r>
      <w:r>
        <w:t xml:space="preserve">é </w:t>
      </w:r>
      <w:r w:rsidRPr="00411A45">
        <w:t>odst. 7 a 10</w:t>
      </w:r>
      <w:r>
        <w:t xml:space="preserve"> </w:t>
      </w:r>
      <w:r w:rsidRPr="00780145">
        <w:rPr>
          <w:i/>
        </w:rPr>
        <w:t>Zásad vlády pro poskytování dotací ze státního rozpočtu České republiky nestátním neziskovým organizacím ústředními orgány státní správy</w:t>
      </w:r>
      <w:r>
        <w:t>.</w:t>
      </w:r>
    </w:p>
  </w:footnote>
  <w:footnote w:id="25">
    <w:p w14:paraId="6118EC68" w14:textId="1FA4257F" w:rsidR="00153A1C" w:rsidRDefault="00153A1C" w:rsidP="0013405D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11A45">
        <w:t>části druh</w:t>
      </w:r>
      <w:r>
        <w:t xml:space="preserve">é </w:t>
      </w:r>
      <w:r w:rsidRPr="00411A45">
        <w:t xml:space="preserve">odst. </w:t>
      </w:r>
      <w:r>
        <w:t xml:space="preserve">5 </w:t>
      </w:r>
      <w:r w:rsidRPr="00780145">
        <w:rPr>
          <w:i/>
        </w:rPr>
        <w:t>Zásad vlády pro poskytování dotací ze státního rozpočtu České republiky nestátním neziskovým organizacím ústředními orgány státní správy</w:t>
      </w:r>
      <w:r>
        <w:t>.</w:t>
      </w:r>
    </w:p>
  </w:footnote>
  <w:footnote w:id="26">
    <w:p w14:paraId="7DFE6ADC" w14:textId="0C210F06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7A41B3">
        <w:t>§ 14 odst. 3 písm. c) zákona č. 218/2000 Sb.</w:t>
      </w:r>
    </w:p>
  </w:footnote>
  <w:footnote w:id="27">
    <w:p w14:paraId="5F766EAB" w14:textId="1D85625E" w:rsidR="00153A1C" w:rsidRDefault="00153A1C" w:rsidP="0013405D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  <w:t>MZ</w:t>
      </w:r>
      <w:r w:rsidRPr="00797E8F">
        <w:t xml:space="preserve"> </w:t>
      </w:r>
      <w:r>
        <w:t xml:space="preserve">tak </w:t>
      </w:r>
      <w:r w:rsidRPr="00797E8F">
        <w:t xml:space="preserve">porušilo povinnost uchovávat dokumenty ve smyslu </w:t>
      </w:r>
      <w:r>
        <w:t xml:space="preserve">ustanovení </w:t>
      </w:r>
      <w:r w:rsidRPr="00797E8F">
        <w:t xml:space="preserve">§ </w:t>
      </w:r>
      <w:r>
        <w:t xml:space="preserve">3 odst. 1 písm. a) ve spojení s ustanovením </w:t>
      </w:r>
      <w:r w:rsidRPr="00797E8F">
        <w:t>§ 2 písm. e) zákona č. 499/2004 Sb.</w:t>
      </w:r>
      <w:r>
        <w:t xml:space="preserve">, </w:t>
      </w:r>
      <w:r w:rsidRPr="00797E8F">
        <w:t>o archivnictví a spisové službě a o změně některých zákonů</w:t>
      </w:r>
      <w:r>
        <w:t>.</w:t>
      </w:r>
    </w:p>
  </w:footnote>
  <w:footnote w:id="28">
    <w:p w14:paraId="2764933A" w14:textId="6C790A0B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U</w:t>
      </w:r>
      <w:r w:rsidRPr="007A1BFC">
        <w:t xml:space="preserve">stanovení části druhé odst. 7 </w:t>
      </w:r>
      <w:r w:rsidRPr="001B6CB2">
        <w:rPr>
          <w:i/>
        </w:rPr>
        <w:t>Zásad vlády pro poskytování dotací ze státního rozpočtu České republiky nestátním neziskovým organizacím ústředními orgány státní správy</w:t>
      </w:r>
      <w:r>
        <w:t>.</w:t>
      </w:r>
    </w:p>
  </w:footnote>
  <w:footnote w:id="29">
    <w:p w14:paraId="063D17B7" w14:textId="0663B213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F43969">
        <w:t>§ 14 odst. 3 písm. a) zákona č. 218/2000 Sb.</w:t>
      </w:r>
    </w:p>
  </w:footnote>
  <w:footnote w:id="30">
    <w:p w14:paraId="7AD304CE" w14:textId="3DF9B14E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EA7FB7">
        <w:t>stanovení § 8</w:t>
      </w:r>
      <w:r>
        <w:t xml:space="preserve"> odst. 2 zákona č. 320/2001 Sb.</w:t>
      </w:r>
    </w:p>
  </w:footnote>
  <w:footnote w:id="31">
    <w:p w14:paraId="2F4ADFF4" w14:textId="3158FE2A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66AD7">
        <w:t>Ustanovení § 44 odst. 1 písm. b) zákona č. 218/2000 Sb.</w:t>
      </w:r>
    </w:p>
  </w:footnote>
  <w:footnote w:id="32">
    <w:p w14:paraId="28E6146F" w14:textId="685F97E4" w:rsidR="00153A1C" w:rsidRDefault="00153A1C" w:rsidP="001A3F8A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Dostupná z </w:t>
      </w:r>
      <w:hyperlink r:id="rId1" w:history="1">
        <w:r w:rsidRPr="008834E6">
          <w:rPr>
            <w:rStyle w:val="Hypertextovodkaz"/>
          </w:rPr>
          <w:t>https://www.vlada.cz/assets/ppov/protidrogova-politika/vyrocni-zpravy/VZdrogy2019_v02_s-obalkou.pdf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069D" w14:textId="77777777" w:rsidR="00153A1C" w:rsidRDefault="00153A1C" w:rsidP="00617D3A">
    <w:pPr>
      <w:pStyle w:val="Zhlav"/>
      <w:jc w:val="right"/>
    </w:pPr>
  </w:p>
  <w:p w14:paraId="45037061" w14:textId="77777777" w:rsidR="00153A1C" w:rsidRDefault="00153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8D"/>
    <w:multiLevelType w:val="hybridMultilevel"/>
    <w:tmpl w:val="865A8E5A"/>
    <w:lvl w:ilvl="0" w:tplc="2A403854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17204D0" w:tentative="1">
      <w:start w:val="1"/>
      <w:numFmt w:val="lowerLetter"/>
      <w:lvlText w:val="%2."/>
      <w:lvlJc w:val="left"/>
      <w:pPr>
        <w:ind w:left="2005" w:hanging="360"/>
      </w:pPr>
    </w:lvl>
    <w:lvl w:ilvl="2" w:tplc="1CE6FC94" w:tentative="1">
      <w:start w:val="1"/>
      <w:numFmt w:val="lowerRoman"/>
      <w:lvlText w:val="%3."/>
      <w:lvlJc w:val="right"/>
      <w:pPr>
        <w:ind w:left="2725" w:hanging="180"/>
      </w:pPr>
    </w:lvl>
    <w:lvl w:ilvl="3" w:tplc="7C043002" w:tentative="1">
      <w:start w:val="1"/>
      <w:numFmt w:val="decimal"/>
      <w:lvlText w:val="%4."/>
      <w:lvlJc w:val="left"/>
      <w:pPr>
        <w:ind w:left="3445" w:hanging="360"/>
      </w:pPr>
    </w:lvl>
    <w:lvl w:ilvl="4" w:tplc="45EE503A" w:tentative="1">
      <w:start w:val="1"/>
      <w:numFmt w:val="lowerLetter"/>
      <w:lvlText w:val="%5."/>
      <w:lvlJc w:val="left"/>
      <w:pPr>
        <w:ind w:left="4165" w:hanging="360"/>
      </w:pPr>
    </w:lvl>
    <w:lvl w:ilvl="5" w:tplc="52EEF0A2" w:tentative="1">
      <w:start w:val="1"/>
      <w:numFmt w:val="lowerRoman"/>
      <w:lvlText w:val="%6."/>
      <w:lvlJc w:val="right"/>
      <w:pPr>
        <w:ind w:left="4885" w:hanging="180"/>
      </w:pPr>
    </w:lvl>
    <w:lvl w:ilvl="6" w:tplc="0114A6F4" w:tentative="1">
      <w:start w:val="1"/>
      <w:numFmt w:val="decimal"/>
      <w:lvlText w:val="%7."/>
      <w:lvlJc w:val="left"/>
      <w:pPr>
        <w:ind w:left="5605" w:hanging="360"/>
      </w:pPr>
    </w:lvl>
    <w:lvl w:ilvl="7" w:tplc="753AB0A4" w:tentative="1">
      <w:start w:val="1"/>
      <w:numFmt w:val="lowerLetter"/>
      <w:lvlText w:val="%8."/>
      <w:lvlJc w:val="left"/>
      <w:pPr>
        <w:ind w:left="6325" w:hanging="360"/>
      </w:pPr>
    </w:lvl>
    <w:lvl w:ilvl="8" w:tplc="0EDA1CD6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3C32C416"/>
    <w:lvl w:ilvl="0" w:tplc="3BEEA4D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F7FC0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F43F04" w:tentative="1">
      <w:start w:val="1"/>
      <w:numFmt w:val="lowerRoman"/>
      <w:lvlText w:val="%3."/>
      <w:lvlJc w:val="right"/>
      <w:pPr>
        <w:ind w:left="2160" w:hanging="180"/>
      </w:pPr>
    </w:lvl>
    <w:lvl w:ilvl="3" w:tplc="11E4D48A" w:tentative="1">
      <w:start w:val="1"/>
      <w:numFmt w:val="decimal"/>
      <w:lvlText w:val="%4."/>
      <w:lvlJc w:val="left"/>
      <w:pPr>
        <w:ind w:left="2880" w:hanging="360"/>
      </w:pPr>
    </w:lvl>
    <w:lvl w:ilvl="4" w:tplc="4490D3F6" w:tentative="1">
      <w:start w:val="1"/>
      <w:numFmt w:val="lowerLetter"/>
      <w:lvlText w:val="%5."/>
      <w:lvlJc w:val="left"/>
      <w:pPr>
        <w:ind w:left="3600" w:hanging="360"/>
      </w:pPr>
    </w:lvl>
    <w:lvl w:ilvl="5" w:tplc="10D40FE2" w:tentative="1">
      <w:start w:val="1"/>
      <w:numFmt w:val="lowerRoman"/>
      <w:lvlText w:val="%6."/>
      <w:lvlJc w:val="right"/>
      <w:pPr>
        <w:ind w:left="4320" w:hanging="180"/>
      </w:pPr>
    </w:lvl>
    <w:lvl w:ilvl="6" w:tplc="CD4A3540" w:tentative="1">
      <w:start w:val="1"/>
      <w:numFmt w:val="decimal"/>
      <w:lvlText w:val="%7."/>
      <w:lvlJc w:val="left"/>
      <w:pPr>
        <w:ind w:left="5040" w:hanging="360"/>
      </w:pPr>
    </w:lvl>
    <w:lvl w:ilvl="7" w:tplc="57AE1B02" w:tentative="1">
      <w:start w:val="1"/>
      <w:numFmt w:val="lowerLetter"/>
      <w:lvlText w:val="%8."/>
      <w:lvlJc w:val="left"/>
      <w:pPr>
        <w:ind w:left="5760" w:hanging="360"/>
      </w:pPr>
    </w:lvl>
    <w:lvl w:ilvl="8" w:tplc="86C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552"/>
    <w:multiLevelType w:val="hybridMultilevel"/>
    <w:tmpl w:val="BC4AF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FA5"/>
    <w:multiLevelType w:val="hybridMultilevel"/>
    <w:tmpl w:val="B71055A2"/>
    <w:lvl w:ilvl="0" w:tplc="80BC1F00">
      <w:start w:val="1"/>
      <w:numFmt w:val="decimal"/>
      <w:pStyle w:val="Kapitoly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2874"/>
    <w:multiLevelType w:val="hybridMultilevel"/>
    <w:tmpl w:val="82B6E81A"/>
    <w:lvl w:ilvl="0" w:tplc="A2A62A14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90AA5F78" w:tentative="1">
      <w:start w:val="1"/>
      <w:numFmt w:val="lowerLetter"/>
      <w:lvlText w:val="%2."/>
      <w:lvlJc w:val="left"/>
      <w:pPr>
        <w:ind w:left="1440" w:hanging="360"/>
      </w:pPr>
    </w:lvl>
    <w:lvl w:ilvl="2" w:tplc="F326B368" w:tentative="1">
      <w:start w:val="1"/>
      <w:numFmt w:val="lowerRoman"/>
      <w:lvlText w:val="%3."/>
      <w:lvlJc w:val="right"/>
      <w:pPr>
        <w:ind w:left="2160" w:hanging="180"/>
      </w:pPr>
    </w:lvl>
    <w:lvl w:ilvl="3" w:tplc="17FA159A" w:tentative="1">
      <w:start w:val="1"/>
      <w:numFmt w:val="decimal"/>
      <w:lvlText w:val="%4."/>
      <w:lvlJc w:val="left"/>
      <w:pPr>
        <w:ind w:left="2880" w:hanging="360"/>
      </w:pPr>
    </w:lvl>
    <w:lvl w:ilvl="4" w:tplc="F2E84B6C" w:tentative="1">
      <w:start w:val="1"/>
      <w:numFmt w:val="lowerLetter"/>
      <w:lvlText w:val="%5."/>
      <w:lvlJc w:val="left"/>
      <w:pPr>
        <w:ind w:left="3600" w:hanging="360"/>
      </w:pPr>
    </w:lvl>
    <w:lvl w:ilvl="5" w:tplc="FFE6B288" w:tentative="1">
      <w:start w:val="1"/>
      <w:numFmt w:val="lowerRoman"/>
      <w:lvlText w:val="%6."/>
      <w:lvlJc w:val="right"/>
      <w:pPr>
        <w:ind w:left="4320" w:hanging="180"/>
      </w:pPr>
    </w:lvl>
    <w:lvl w:ilvl="6" w:tplc="7ABCE8B2" w:tentative="1">
      <w:start w:val="1"/>
      <w:numFmt w:val="decimal"/>
      <w:lvlText w:val="%7."/>
      <w:lvlJc w:val="left"/>
      <w:pPr>
        <w:ind w:left="5040" w:hanging="360"/>
      </w:pPr>
    </w:lvl>
    <w:lvl w:ilvl="7" w:tplc="7910EA32" w:tentative="1">
      <w:start w:val="1"/>
      <w:numFmt w:val="lowerLetter"/>
      <w:lvlText w:val="%8."/>
      <w:lvlJc w:val="left"/>
      <w:pPr>
        <w:ind w:left="5760" w:hanging="360"/>
      </w:pPr>
    </w:lvl>
    <w:lvl w:ilvl="8" w:tplc="FD94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395"/>
    <w:multiLevelType w:val="hybridMultilevel"/>
    <w:tmpl w:val="68088A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A27DA7"/>
    <w:multiLevelType w:val="hybridMultilevel"/>
    <w:tmpl w:val="9D1E3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1483"/>
    <w:multiLevelType w:val="hybridMultilevel"/>
    <w:tmpl w:val="B3565872"/>
    <w:lvl w:ilvl="0" w:tplc="AFA84400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0F22C788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2FDC6180">
      <w:start w:val="1"/>
      <w:numFmt w:val="lowerRoman"/>
      <w:lvlText w:val="%3."/>
      <w:lvlJc w:val="right"/>
      <w:pPr>
        <w:ind w:left="2160" w:hanging="180"/>
      </w:pPr>
    </w:lvl>
    <w:lvl w:ilvl="3" w:tplc="058890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CC0F438" w:tentative="1">
      <w:start w:val="1"/>
      <w:numFmt w:val="lowerLetter"/>
      <w:lvlText w:val="%5."/>
      <w:lvlJc w:val="left"/>
      <w:pPr>
        <w:ind w:left="3600" w:hanging="360"/>
      </w:pPr>
    </w:lvl>
    <w:lvl w:ilvl="5" w:tplc="8A2C1AAC" w:tentative="1">
      <w:start w:val="1"/>
      <w:numFmt w:val="lowerRoman"/>
      <w:lvlText w:val="%6."/>
      <w:lvlJc w:val="right"/>
      <w:pPr>
        <w:ind w:left="4320" w:hanging="180"/>
      </w:pPr>
    </w:lvl>
    <w:lvl w:ilvl="6" w:tplc="91A87D54" w:tentative="1">
      <w:start w:val="1"/>
      <w:numFmt w:val="decimal"/>
      <w:lvlText w:val="%7."/>
      <w:lvlJc w:val="left"/>
      <w:pPr>
        <w:ind w:left="5040" w:hanging="360"/>
      </w:pPr>
    </w:lvl>
    <w:lvl w:ilvl="7" w:tplc="721AC048" w:tentative="1">
      <w:start w:val="1"/>
      <w:numFmt w:val="lowerLetter"/>
      <w:lvlText w:val="%8."/>
      <w:lvlJc w:val="left"/>
      <w:pPr>
        <w:ind w:left="5760" w:hanging="360"/>
      </w:pPr>
    </w:lvl>
    <w:lvl w:ilvl="8" w:tplc="0DCEE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4029"/>
    <w:multiLevelType w:val="hybridMultilevel"/>
    <w:tmpl w:val="50869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13F59"/>
    <w:multiLevelType w:val="hybridMultilevel"/>
    <w:tmpl w:val="408221C2"/>
    <w:lvl w:ilvl="0" w:tplc="8828F664">
      <w:start w:val="1"/>
      <w:numFmt w:val="decimal"/>
      <w:pStyle w:val="Nadpiskapitoly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B44"/>
    <w:multiLevelType w:val="hybridMultilevel"/>
    <w:tmpl w:val="E29059DA"/>
    <w:lvl w:ilvl="0" w:tplc="623AC104">
      <w:start w:val="1"/>
      <w:numFmt w:val="decimal"/>
      <w:pStyle w:val="Graf"/>
      <w:lvlText w:val="Graf č. %1: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4A5098" w:tentative="1">
      <w:start w:val="1"/>
      <w:numFmt w:val="lowerLetter"/>
      <w:lvlText w:val="%2."/>
      <w:lvlJc w:val="left"/>
      <w:pPr>
        <w:ind w:left="1440" w:hanging="360"/>
      </w:pPr>
    </w:lvl>
    <w:lvl w:ilvl="2" w:tplc="6D942D9C" w:tentative="1">
      <w:start w:val="1"/>
      <w:numFmt w:val="lowerRoman"/>
      <w:lvlText w:val="%3."/>
      <w:lvlJc w:val="right"/>
      <w:pPr>
        <w:ind w:left="2160" w:hanging="180"/>
      </w:pPr>
    </w:lvl>
    <w:lvl w:ilvl="3" w:tplc="350C9584" w:tentative="1">
      <w:start w:val="1"/>
      <w:numFmt w:val="decimal"/>
      <w:lvlText w:val="%4."/>
      <w:lvlJc w:val="left"/>
      <w:pPr>
        <w:ind w:left="2880" w:hanging="360"/>
      </w:pPr>
    </w:lvl>
    <w:lvl w:ilvl="4" w:tplc="917837B4" w:tentative="1">
      <w:start w:val="1"/>
      <w:numFmt w:val="lowerLetter"/>
      <w:lvlText w:val="%5."/>
      <w:lvlJc w:val="left"/>
      <w:pPr>
        <w:ind w:left="3600" w:hanging="360"/>
      </w:pPr>
    </w:lvl>
    <w:lvl w:ilvl="5" w:tplc="404ACECA" w:tentative="1">
      <w:start w:val="1"/>
      <w:numFmt w:val="lowerRoman"/>
      <w:lvlText w:val="%6."/>
      <w:lvlJc w:val="right"/>
      <w:pPr>
        <w:ind w:left="4320" w:hanging="180"/>
      </w:pPr>
    </w:lvl>
    <w:lvl w:ilvl="6" w:tplc="AFE201C8" w:tentative="1">
      <w:start w:val="1"/>
      <w:numFmt w:val="decimal"/>
      <w:lvlText w:val="%7."/>
      <w:lvlJc w:val="left"/>
      <w:pPr>
        <w:ind w:left="5040" w:hanging="360"/>
      </w:pPr>
    </w:lvl>
    <w:lvl w:ilvl="7" w:tplc="C532C262" w:tentative="1">
      <w:start w:val="1"/>
      <w:numFmt w:val="lowerLetter"/>
      <w:lvlText w:val="%8."/>
      <w:lvlJc w:val="left"/>
      <w:pPr>
        <w:ind w:left="5760" w:hanging="360"/>
      </w:pPr>
    </w:lvl>
    <w:lvl w:ilvl="8" w:tplc="CB88D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7EA8"/>
    <w:multiLevelType w:val="hybridMultilevel"/>
    <w:tmpl w:val="7778B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2050"/>
    <w:multiLevelType w:val="hybridMultilevel"/>
    <w:tmpl w:val="C3809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3E2A"/>
    <w:multiLevelType w:val="hybridMultilevel"/>
    <w:tmpl w:val="7D3E1ECC"/>
    <w:lvl w:ilvl="0" w:tplc="39FA8A44">
      <w:start w:val="1"/>
      <w:numFmt w:val="decimal"/>
      <w:lvlText w:val="%1."/>
      <w:lvlJc w:val="left"/>
      <w:pPr>
        <w:ind w:left="720" w:hanging="360"/>
      </w:pPr>
    </w:lvl>
    <w:lvl w:ilvl="1" w:tplc="CB644D7E">
      <w:start w:val="1"/>
      <w:numFmt w:val="decimal"/>
      <w:pStyle w:val="Nadpis2"/>
      <w:lvlText w:val="%2."/>
      <w:lvlJc w:val="left"/>
      <w:pPr>
        <w:ind w:left="1440" w:hanging="360"/>
      </w:pPr>
    </w:lvl>
    <w:lvl w:ilvl="2" w:tplc="67D86B2A" w:tentative="1">
      <w:start w:val="1"/>
      <w:numFmt w:val="lowerRoman"/>
      <w:lvlText w:val="%3."/>
      <w:lvlJc w:val="right"/>
      <w:pPr>
        <w:ind w:left="2160" w:hanging="180"/>
      </w:pPr>
    </w:lvl>
    <w:lvl w:ilvl="3" w:tplc="CCB84FCA" w:tentative="1">
      <w:start w:val="1"/>
      <w:numFmt w:val="decimal"/>
      <w:lvlText w:val="%4."/>
      <w:lvlJc w:val="left"/>
      <w:pPr>
        <w:ind w:left="2880" w:hanging="360"/>
      </w:pPr>
    </w:lvl>
    <w:lvl w:ilvl="4" w:tplc="4D8089F4" w:tentative="1">
      <w:start w:val="1"/>
      <w:numFmt w:val="lowerLetter"/>
      <w:lvlText w:val="%5."/>
      <w:lvlJc w:val="left"/>
      <w:pPr>
        <w:ind w:left="3600" w:hanging="360"/>
      </w:pPr>
    </w:lvl>
    <w:lvl w:ilvl="5" w:tplc="D1D46970" w:tentative="1">
      <w:start w:val="1"/>
      <w:numFmt w:val="lowerRoman"/>
      <w:lvlText w:val="%6."/>
      <w:lvlJc w:val="right"/>
      <w:pPr>
        <w:ind w:left="4320" w:hanging="180"/>
      </w:pPr>
    </w:lvl>
    <w:lvl w:ilvl="6" w:tplc="7450B90A" w:tentative="1">
      <w:start w:val="1"/>
      <w:numFmt w:val="decimal"/>
      <w:lvlText w:val="%7."/>
      <w:lvlJc w:val="left"/>
      <w:pPr>
        <w:ind w:left="5040" w:hanging="360"/>
      </w:pPr>
    </w:lvl>
    <w:lvl w:ilvl="7" w:tplc="63BCB906" w:tentative="1">
      <w:start w:val="1"/>
      <w:numFmt w:val="lowerLetter"/>
      <w:lvlText w:val="%8."/>
      <w:lvlJc w:val="left"/>
      <w:pPr>
        <w:ind w:left="5760" w:hanging="360"/>
      </w:pPr>
    </w:lvl>
    <w:lvl w:ilvl="8" w:tplc="9DB48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3F3F"/>
    <w:multiLevelType w:val="hybridMultilevel"/>
    <w:tmpl w:val="0F602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78BE"/>
    <w:multiLevelType w:val="hybridMultilevel"/>
    <w:tmpl w:val="D492A60E"/>
    <w:lvl w:ilvl="0" w:tplc="BDDC34BA">
      <w:start w:val="1"/>
      <w:numFmt w:val="decimal"/>
      <w:pStyle w:val="Nadpisshrnut"/>
      <w:lvlText w:val="%1."/>
      <w:lvlJc w:val="left"/>
      <w:pPr>
        <w:ind w:left="720" w:hanging="360"/>
      </w:pPr>
    </w:lvl>
    <w:lvl w:ilvl="1" w:tplc="289A1C68" w:tentative="1">
      <w:start w:val="1"/>
      <w:numFmt w:val="lowerLetter"/>
      <w:lvlText w:val="%2."/>
      <w:lvlJc w:val="left"/>
      <w:pPr>
        <w:ind w:left="1440" w:hanging="360"/>
      </w:pPr>
    </w:lvl>
    <w:lvl w:ilvl="2" w:tplc="1F1A819E" w:tentative="1">
      <w:start w:val="1"/>
      <w:numFmt w:val="lowerRoman"/>
      <w:lvlText w:val="%3."/>
      <w:lvlJc w:val="right"/>
      <w:pPr>
        <w:ind w:left="2160" w:hanging="180"/>
      </w:pPr>
    </w:lvl>
    <w:lvl w:ilvl="3" w:tplc="F6608956" w:tentative="1">
      <w:start w:val="1"/>
      <w:numFmt w:val="decimal"/>
      <w:lvlText w:val="%4."/>
      <w:lvlJc w:val="left"/>
      <w:pPr>
        <w:ind w:left="2880" w:hanging="360"/>
      </w:pPr>
    </w:lvl>
    <w:lvl w:ilvl="4" w:tplc="29A864B8" w:tentative="1">
      <w:start w:val="1"/>
      <w:numFmt w:val="lowerLetter"/>
      <w:lvlText w:val="%5."/>
      <w:lvlJc w:val="left"/>
      <w:pPr>
        <w:ind w:left="3600" w:hanging="360"/>
      </w:pPr>
    </w:lvl>
    <w:lvl w:ilvl="5" w:tplc="733E77EE" w:tentative="1">
      <w:start w:val="1"/>
      <w:numFmt w:val="lowerRoman"/>
      <w:lvlText w:val="%6."/>
      <w:lvlJc w:val="right"/>
      <w:pPr>
        <w:ind w:left="4320" w:hanging="180"/>
      </w:pPr>
    </w:lvl>
    <w:lvl w:ilvl="6" w:tplc="4FE0B2A0" w:tentative="1">
      <w:start w:val="1"/>
      <w:numFmt w:val="decimal"/>
      <w:lvlText w:val="%7."/>
      <w:lvlJc w:val="left"/>
      <w:pPr>
        <w:ind w:left="5040" w:hanging="360"/>
      </w:pPr>
    </w:lvl>
    <w:lvl w:ilvl="7" w:tplc="40A67958" w:tentative="1">
      <w:start w:val="1"/>
      <w:numFmt w:val="lowerLetter"/>
      <w:lvlText w:val="%8."/>
      <w:lvlJc w:val="left"/>
      <w:pPr>
        <w:ind w:left="5760" w:hanging="360"/>
      </w:pPr>
    </w:lvl>
    <w:lvl w:ilvl="8" w:tplc="A9F4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CE1"/>
    <w:multiLevelType w:val="multilevel"/>
    <w:tmpl w:val="B6EC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337B72"/>
    <w:multiLevelType w:val="hybridMultilevel"/>
    <w:tmpl w:val="4C42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16"/>
  </w:num>
  <w:num w:numId="6">
    <w:abstractNumId w:val="0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4"/>
  </w:num>
  <w:num w:numId="18">
    <w:abstractNumId w:val="12"/>
  </w:num>
  <w:num w:numId="19">
    <w:abstractNumId w:val="3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000FFE"/>
    <w:rsid w:val="000015CC"/>
    <w:rsid w:val="00001D11"/>
    <w:rsid w:val="00002DB8"/>
    <w:rsid w:val="000060D1"/>
    <w:rsid w:val="000073B1"/>
    <w:rsid w:val="00010034"/>
    <w:rsid w:val="00010B73"/>
    <w:rsid w:val="00014D3C"/>
    <w:rsid w:val="000157B4"/>
    <w:rsid w:val="0001797C"/>
    <w:rsid w:val="000216FB"/>
    <w:rsid w:val="0002178C"/>
    <w:rsid w:val="00021C82"/>
    <w:rsid w:val="00025E8E"/>
    <w:rsid w:val="00026069"/>
    <w:rsid w:val="0003105F"/>
    <w:rsid w:val="00032629"/>
    <w:rsid w:val="00032ED4"/>
    <w:rsid w:val="000330A4"/>
    <w:rsid w:val="000375E1"/>
    <w:rsid w:val="00040565"/>
    <w:rsid w:val="000408D6"/>
    <w:rsid w:val="00042BE4"/>
    <w:rsid w:val="00042F65"/>
    <w:rsid w:val="00047D6E"/>
    <w:rsid w:val="00050212"/>
    <w:rsid w:val="0005095D"/>
    <w:rsid w:val="00050C66"/>
    <w:rsid w:val="00051969"/>
    <w:rsid w:val="00052A8A"/>
    <w:rsid w:val="000548C5"/>
    <w:rsid w:val="00054A06"/>
    <w:rsid w:val="00054AC7"/>
    <w:rsid w:val="00055AC4"/>
    <w:rsid w:val="000567B6"/>
    <w:rsid w:val="000574AB"/>
    <w:rsid w:val="00057731"/>
    <w:rsid w:val="0006108D"/>
    <w:rsid w:val="00061183"/>
    <w:rsid w:val="00062685"/>
    <w:rsid w:val="000629D3"/>
    <w:rsid w:val="00063634"/>
    <w:rsid w:val="00063AD6"/>
    <w:rsid w:val="000640EC"/>
    <w:rsid w:val="00064EFB"/>
    <w:rsid w:val="00065116"/>
    <w:rsid w:val="0006583D"/>
    <w:rsid w:val="00065CCB"/>
    <w:rsid w:val="00066070"/>
    <w:rsid w:val="000662AD"/>
    <w:rsid w:val="00066E28"/>
    <w:rsid w:val="00067A13"/>
    <w:rsid w:val="00067C4C"/>
    <w:rsid w:val="0007011A"/>
    <w:rsid w:val="0007078B"/>
    <w:rsid w:val="00073F69"/>
    <w:rsid w:val="00074753"/>
    <w:rsid w:val="000747D8"/>
    <w:rsid w:val="00074B09"/>
    <w:rsid w:val="00074C5C"/>
    <w:rsid w:val="000753F6"/>
    <w:rsid w:val="00075B4D"/>
    <w:rsid w:val="00075BBE"/>
    <w:rsid w:val="00075DA8"/>
    <w:rsid w:val="00077227"/>
    <w:rsid w:val="00080CD5"/>
    <w:rsid w:val="000821C1"/>
    <w:rsid w:val="00082E33"/>
    <w:rsid w:val="00083C67"/>
    <w:rsid w:val="000844AF"/>
    <w:rsid w:val="00084E35"/>
    <w:rsid w:val="0008544F"/>
    <w:rsid w:val="0008633C"/>
    <w:rsid w:val="00087257"/>
    <w:rsid w:val="00087AB1"/>
    <w:rsid w:val="00091117"/>
    <w:rsid w:val="0009124C"/>
    <w:rsid w:val="000915F6"/>
    <w:rsid w:val="00093208"/>
    <w:rsid w:val="000952F4"/>
    <w:rsid w:val="000962B3"/>
    <w:rsid w:val="0009651C"/>
    <w:rsid w:val="000965D8"/>
    <w:rsid w:val="000971D8"/>
    <w:rsid w:val="0009738D"/>
    <w:rsid w:val="00097B44"/>
    <w:rsid w:val="00097D05"/>
    <w:rsid w:val="000A1DCD"/>
    <w:rsid w:val="000A26EA"/>
    <w:rsid w:val="000A3A19"/>
    <w:rsid w:val="000A476F"/>
    <w:rsid w:val="000A6378"/>
    <w:rsid w:val="000A64D4"/>
    <w:rsid w:val="000A6F64"/>
    <w:rsid w:val="000A791D"/>
    <w:rsid w:val="000B0A0A"/>
    <w:rsid w:val="000B1323"/>
    <w:rsid w:val="000B20D3"/>
    <w:rsid w:val="000B3263"/>
    <w:rsid w:val="000B3912"/>
    <w:rsid w:val="000B3E3F"/>
    <w:rsid w:val="000B3F8D"/>
    <w:rsid w:val="000B4501"/>
    <w:rsid w:val="000B59CD"/>
    <w:rsid w:val="000B5ED8"/>
    <w:rsid w:val="000C0A02"/>
    <w:rsid w:val="000C0A40"/>
    <w:rsid w:val="000C1D2D"/>
    <w:rsid w:val="000C21A4"/>
    <w:rsid w:val="000C2477"/>
    <w:rsid w:val="000C2C90"/>
    <w:rsid w:val="000C363D"/>
    <w:rsid w:val="000C470A"/>
    <w:rsid w:val="000C4B46"/>
    <w:rsid w:val="000C4F6A"/>
    <w:rsid w:val="000C6DF3"/>
    <w:rsid w:val="000C7737"/>
    <w:rsid w:val="000D052B"/>
    <w:rsid w:val="000D19E4"/>
    <w:rsid w:val="000D2B6A"/>
    <w:rsid w:val="000D3F2A"/>
    <w:rsid w:val="000D4D4E"/>
    <w:rsid w:val="000D6662"/>
    <w:rsid w:val="000E1206"/>
    <w:rsid w:val="000E180C"/>
    <w:rsid w:val="000E271D"/>
    <w:rsid w:val="000E2DD2"/>
    <w:rsid w:val="000E492F"/>
    <w:rsid w:val="000E50B7"/>
    <w:rsid w:val="000E54A6"/>
    <w:rsid w:val="000E571E"/>
    <w:rsid w:val="000E63BA"/>
    <w:rsid w:val="000E65ED"/>
    <w:rsid w:val="000E7260"/>
    <w:rsid w:val="000F0BAA"/>
    <w:rsid w:val="000F1587"/>
    <w:rsid w:val="000F2AC5"/>
    <w:rsid w:val="000F36E1"/>
    <w:rsid w:val="000F4867"/>
    <w:rsid w:val="000F6176"/>
    <w:rsid w:val="0010229D"/>
    <w:rsid w:val="001030E8"/>
    <w:rsid w:val="00104B5A"/>
    <w:rsid w:val="001053E8"/>
    <w:rsid w:val="001054F6"/>
    <w:rsid w:val="001106ED"/>
    <w:rsid w:val="00110938"/>
    <w:rsid w:val="00110FF4"/>
    <w:rsid w:val="00111B81"/>
    <w:rsid w:val="00114029"/>
    <w:rsid w:val="00114194"/>
    <w:rsid w:val="00115DAC"/>
    <w:rsid w:val="00117C86"/>
    <w:rsid w:val="001205D5"/>
    <w:rsid w:val="00121197"/>
    <w:rsid w:val="00121600"/>
    <w:rsid w:val="001217CA"/>
    <w:rsid w:val="00123C85"/>
    <w:rsid w:val="001247C0"/>
    <w:rsid w:val="00125199"/>
    <w:rsid w:val="001251BF"/>
    <w:rsid w:val="00126083"/>
    <w:rsid w:val="001268E3"/>
    <w:rsid w:val="00126D3F"/>
    <w:rsid w:val="00127DC1"/>
    <w:rsid w:val="00130329"/>
    <w:rsid w:val="00130523"/>
    <w:rsid w:val="001305A0"/>
    <w:rsid w:val="0013405D"/>
    <w:rsid w:val="00134A7C"/>
    <w:rsid w:val="00135541"/>
    <w:rsid w:val="00137935"/>
    <w:rsid w:val="00140286"/>
    <w:rsid w:val="001407E7"/>
    <w:rsid w:val="001409EA"/>
    <w:rsid w:val="00141A4D"/>
    <w:rsid w:val="001421F2"/>
    <w:rsid w:val="00143D7C"/>
    <w:rsid w:val="00143F1E"/>
    <w:rsid w:val="00144BEF"/>
    <w:rsid w:val="001472B7"/>
    <w:rsid w:val="0015014E"/>
    <w:rsid w:val="00150998"/>
    <w:rsid w:val="001516DD"/>
    <w:rsid w:val="00151AD0"/>
    <w:rsid w:val="00151C17"/>
    <w:rsid w:val="001520E1"/>
    <w:rsid w:val="00153A1C"/>
    <w:rsid w:val="00155EBD"/>
    <w:rsid w:val="00155EC4"/>
    <w:rsid w:val="00162C26"/>
    <w:rsid w:val="00164961"/>
    <w:rsid w:val="00164990"/>
    <w:rsid w:val="00165720"/>
    <w:rsid w:val="00166387"/>
    <w:rsid w:val="00166850"/>
    <w:rsid w:val="00167909"/>
    <w:rsid w:val="00171221"/>
    <w:rsid w:val="0017221F"/>
    <w:rsid w:val="00172DAC"/>
    <w:rsid w:val="001747B8"/>
    <w:rsid w:val="0017660C"/>
    <w:rsid w:val="00180519"/>
    <w:rsid w:val="00181AF1"/>
    <w:rsid w:val="00181B28"/>
    <w:rsid w:val="001829DC"/>
    <w:rsid w:val="00182DE7"/>
    <w:rsid w:val="00182F15"/>
    <w:rsid w:val="00183ACB"/>
    <w:rsid w:val="00184F36"/>
    <w:rsid w:val="00186051"/>
    <w:rsid w:val="00187065"/>
    <w:rsid w:val="00187AA2"/>
    <w:rsid w:val="00191D5C"/>
    <w:rsid w:val="00191FCC"/>
    <w:rsid w:val="00192783"/>
    <w:rsid w:val="00192C15"/>
    <w:rsid w:val="0019495E"/>
    <w:rsid w:val="00195F40"/>
    <w:rsid w:val="001A2176"/>
    <w:rsid w:val="001A239E"/>
    <w:rsid w:val="001A2F1D"/>
    <w:rsid w:val="001A3787"/>
    <w:rsid w:val="001A3F8A"/>
    <w:rsid w:val="001A69FA"/>
    <w:rsid w:val="001A7D02"/>
    <w:rsid w:val="001B0C71"/>
    <w:rsid w:val="001B0CED"/>
    <w:rsid w:val="001B23F5"/>
    <w:rsid w:val="001B5048"/>
    <w:rsid w:val="001B5387"/>
    <w:rsid w:val="001B6CB2"/>
    <w:rsid w:val="001B7100"/>
    <w:rsid w:val="001B7D8B"/>
    <w:rsid w:val="001C096D"/>
    <w:rsid w:val="001C0DCA"/>
    <w:rsid w:val="001C1AFC"/>
    <w:rsid w:val="001C5924"/>
    <w:rsid w:val="001C61DB"/>
    <w:rsid w:val="001D2B2D"/>
    <w:rsid w:val="001D2D0F"/>
    <w:rsid w:val="001D61C9"/>
    <w:rsid w:val="001D7239"/>
    <w:rsid w:val="001D7BDD"/>
    <w:rsid w:val="001E0434"/>
    <w:rsid w:val="001E16C5"/>
    <w:rsid w:val="001E2EC0"/>
    <w:rsid w:val="001E2F6C"/>
    <w:rsid w:val="001E4863"/>
    <w:rsid w:val="001E64D7"/>
    <w:rsid w:val="001E6EFE"/>
    <w:rsid w:val="001E757E"/>
    <w:rsid w:val="001E7809"/>
    <w:rsid w:val="001E7DC9"/>
    <w:rsid w:val="001F0D69"/>
    <w:rsid w:val="001F21BE"/>
    <w:rsid w:val="001F3885"/>
    <w:rsid w:val="001F3B10"/>
    <w:rsid w:val="001F6994"/>
    <w:rsid w:val="001F782E"/>
    <w:rsid w:val="0020427E"/>
    <w:rsid w:val="00204C5B"/>
    <w:rsid w:val="0021144F"/>
    <w:rsid w:val="002119F1"/>
    <w:rsid w:val="00212165"/>
    <w:rsid w:val="00215FA5"/>
    <w:rsid w:val="00216687"/>
    <w:rsid w:val="00216BDB"/>
    <w:rsid w:val="0022028B"/>
    <w:rsid w:val="0022038C"/>
    <w:rsid w:val="0022221D"/>
    <w:rsid w:val="00222F37"/>
    <w:rsid w:val="00223565"/>
    <w:rsid w:val="00223758"/>
    <w:rsid w:val="00223E77"/>
    <w:rsid w:val="00225000"/>
    <w:rsid w:val="002278DA"/>
    <w:rsid w:val="0022799B"/>
    <w:rsid w:val="00230B24"/>
    <w:rsid w:val="002316B3"/>
    <w:rsid w:val="00231FBD"/>
    <w:rsid w:val="00232B42"/>
    <w:rsid w:val="00235694"/>
    <w:rsid w:val="00235795"/>
    <w:rsid w:val="00236EB3"/>
    <w:rsid w:val="002400A8"/>
    <w:rsid w:val="00240878"/>
    <w:rsid w:val="00240F8A"/>
    <w:rsid w:val="00241E74"/>
    <w:rsid w:val="00242CC8"/>
    <w:rsid w:val="00243441"/>
    <w:rsid w:val="0024390E"/>
    <w:rsid w:val="002455AF"/>
    <w:rsid w:val="002513CB"/>
    <w:rsid w:val="00252898"/>
    <w:rsid w:val="00252FC9"/>
    <w:rsid w:val="0025324F"/>
    <w:rsid w:val="00256F88"/>
    <w:rsid w:val="002603C2"/>
    <w:rsid w:val="00260734"/>
    <w:rsid w:val="00260B3E"/>
    <w:rsid w:val="00261B7C"/>
    <w:rsid w:val="00263932"/>
    <w:rsid w:val="00263E9E"/>
    <w:rsid w:val="002641D7"/>
    <w:rsid w:val="002667A1"/>
    <w:rsid w:val="0026789D"/>
    <w:rsid w:val="002708F1"/>
    <w:rsid w:val="00271C92"/>
    <w:rsid w:val="0027214B"/>
    <w:rsid w:val="0027391B"/>
    <w:rsid w:val="0027558E"/>
    <w:rsid w:val="00277843"/>
    <w:rsid w:val="00281681"/>
    <w:rsid w:val="002819BE"/>
    <w:rsid w:val="002826B8"/>
    <w:rsid w:val="0028283D"/>
    <w:rsid w:val="00283C19"/>
    <w:rsid w:val="002858B4"/>
    <w:rsid w:val="00286442"/>
    <w:rsid w:val="0028757A"/>
    <w:rsid w:val="002878D7"/>
    <w:rsid w:val="00291397"/>
    <w:rsid w:val="00291C38"/>
    <w:rsid w:val="00292BC0"/>
    <w:rsid w:val="00292F1C"/>
    <w:rsid w:val="00293A5E"/>
    <w:rsid w:val="00293BFD"/>
    <w:rsid w:val="00295D32"/>
    <w:rsid w:val="00297C7B"/>
    <w:rsid w:val="002A0B07"/>
    <w:rsid w:val="002A1657"/>
    <w:rsid w:val="002A1EEC"/>
    <w:rsid w:val="002A269A"/>
    <w:rsid w:val="002A284B"/>
    <w:rsid w:val="002A2CD5"/>
    <w:rsid w:val="002A30CF"/>
    <w:rsid w:val="002A5221"/>
    <w:rsid w:val="002A55FB"/>
    <w:rsid w:val="002A60B9"/>
    <w:rsid w:val="002A647F"/>
    <w:rsid w:val="002A7B9A"/>
    <w:rsid w:val="002A7E3E"/>
    <w:rsid w:val="002B1615"/>
    <w:rsid w:val="002B2424"/>
    <w:rsid w:val="002B2475"/>
    <w:rsid w:val="002B509C"/>
    <w:rsid w:val="002B60A2"/>
    <w:rsid w:val="002B75D8"/>
    <w:rsid w:val="002C0D5F"/>
    <w:rsid w:val="002C1AEE"/>
    <w:rsid w:val="002C4768"/>
    <w:rsid w:val="002C4C1A"/>
    <w:rsid w:val="002C548A"/>
    <w:rsid w:val="002C63B7"/>
    <w:rsid w:val="002C7011"/>
    <w:rsid w:val="002D35F9"/>
    <w:rsid w:val="002D38D6"/>
    <w:rsid w:val="002D395F"/>
    <w:rsid w:val="002D4801"/>
    <w:rsid w:val="002D55E2"/>
    <w:rsid w:val="002D7C90"/>
    <w:rsid w:val="002D7D46"/>
    <w:rsid w:val="002E0604"/>
    <w:rsid w:val="002E1E8B"/>
    <w:rsid w:val="002E33A7"/>
    <w:rsid w:val="002E3657"/>
    <w:rsid w:val="002E5F30"/>
    <w:rsid w:val="002E626E"/>
    <w:rsid w:val="002E6A69"/>
    <w:rsid w:val="002E6D91"/>
    <w:rsid w:val="002E7539"/>
    <w:rsid w:val="002F22AA"/>
    <w:rsid w:val="002F30A8"/>
    <w:rsid w:val="002F36F4"/>
    <w:rsid w:val="002F44DF"/>
    <w:rsid w:val="002F4BA3"/>
    <w:rsid w:val="002F5C7F"/>
    <w:rsid w:val="002F606F"/>
    <w:rsid w:val="003006CC"/>
    <w:rsid w:val="0030113C"/>
    <w:rsid w:val="00301212"/>
    <w:rsid w:val="0030181A"/>
    <w:rsid w:val="00302332"/>
    <w:rsid w:val="003026D9"/>
    <w:rsid w:val="003038C5"/>
    <w:rsid w:val="003052AB"/>
    <w:rsid w:val="003063CC"/>
    <w:rsid w:val="003065A7"/>
    <w:rsid w:val="003067B9"/>
    <w:rsid w:val="0030716F"/>
    <w:rsid w:val="003120B5"/>
    <w:rsid w:val="00315D82"/>
    <w:rsid w:val="00316962"/>
    <w:rsid w:val="00316D6A"/>
    <w:rsid w:val="0032075A"/>
    <w:rsid w:val="00322CD9"/>
    <w:rsid w:val="003231FD"/>
    <w:rsid w:val="00326EB8"/>
    <w:rsid w:val="00330164"/>
    <w:rsid w:val="00330636"/>
    <w:rsid w:val="00331AC6"/>
    <w:rsid w:val="00332EA4"/>
    <w:rsid w:val="003337F0"/>
    <w:rsid w:val="003359F6"/>
    <w:rsid w:val="00335CE9"/>
    <w:rsid w:val="00335DF5"/>
    <w:rsid w:val="0033720B"/>
    <w:rsid w:val="003402E1"/>
    <w:rsid w:val="003407E1"/>
    <w:rsid w:val="003409C6"/>
    <w:rsid w:val="00342814"/>
    <w:rsid w:val="0034352E"/>
    <w:rsid w:val="00343823"/>
    <w:rsid w:val="0034389F"/>
    <w:rsid w:val="00345176"/>
    <w:rsid w:val="003459DB"/>
    <w:rsid w:val="00345B65"/>
    <w:rsid w:val="0034687B"/>
    <w:rsid w:val="00346BE2"/>
    <w:rsid w:val="0034708C"/>
    <w:rsid w:val="00347634"/>
    <w:rsid w:val="0035020A"/>
    <w:rsid w:val="00352D75"/>
    <w:rsid w:val="0035373A"/>
    <w:rsid w:val="00354044"/>
    <w:rsid w:val="003543A6"/>
    <w:rsid w:val="00354C2F"/>
    <w:rsid w:val="00355A1E"/>
    <w:rsid w:val="00355A96"/>
    <w:rsid w:val="00356277"/>
    <w:rsid w:val="00356503"/>
    <w:rsid w:val="00357066"/>
    <w:rsid w:val="003572B2"/>
    <w:rsid w:val="00357EE5"/>
    <w:rsid w:val="00361CEA"/>
    <w:rsid w:val="00361CEF"/>
    <w:rsid w:val="00363D17"/>
    <w:rsid w:val="0036486B"/>
    <w:rsid w:val="003653D7"/>
    <w:rsid w:val="00365437"/>
    <w:rsid w:val="003658E6"/>
    <w:rsid w:val="00365CC4"/>
    <w:rsid w:val="00367EB8"/>
    <w:rsid w:val="003708DE"/>
    <w:rsid w:val="00371E87"/>
    <w:rsid w:val="00371F79"/>
    <w:rsid w:val="00373DA6"/>
    <w:rsid w:val="00373FC1"/>
    <w:rsid w:val="003774A6"/>
    <w:rsid w:val="00377E8D"/>
    <w:rsid w:val="00382755"/>
    <w:rsid w:val="0038312C"/>
    <w:rsid w:val="00383BC2"/>
    <w:rsid w:val="0038466A"/>
    <w:rsid w:val="00384A67"/>
    <w:rsid w:val="00384C64"/>
    <w:rsid w:val="003874E4"/>
    <w:rsid w:val="00387575"/>
    <w:rsid w:val="00390584"/>
    <w:rsid w:val="003905E0"/>
    <w:rsid w:val="00390AC4"/>
    <w:rsid w:val="00390D57"/>
    <w:rsid w:val="00392404"/>
    <w:rsid w:val="00392980"/>
    <w:rsid w:val="00394AA8"/>
    <w:rsid w:val="00394EFF"/>
    <w:rsid w:val="00395450"/>
    <w:rsid w:val="00396EA5"/>
    <w:rsid w:val="003A112B"/>
    <w:rsid w:val="003A18C4"/>
    <w:rsid w:val="003A279B"/>
    <w:rsid w:val="003A3420"/>
    <w:rsid w:val="003A3C53"/>
    <w:rsid w:val="003A655E"/>
    <w:rsid w:val="003A656C"/>
    <w:rsid w:val="003A76EC"/>
    <w:rsid w:val="003A78E8"/>
    <w:rsid w:val="003B0352"/>
    <w:rsid w:val="003B1FD7"/>
    <w:rsid w:val="003B2148"/>
    <w:rsid w:val="003B30B9"/>
    <w:rsid w:val="003B3E44"/>
    <w:rsid w:val="003B6041"/>
    <w:rsid w:val="003B736A"/>
    <w:rsid w:val="003C0046"/>
    <w:rsid w:val="003C104E"/>
    <w:rsid w:val="003C2F8F"/>
    <w:rsid w:val="003C2F92"/>
    <w:rsid w:val="003C4AF2"/>
    <w:rsid w:val="003C5A48"/>
    <w:rsid w:val="003C5C41"/>
    <w:rsid w:val="003C7776"/>
    <w:rsid w:val="003D1BB0"/>
    <w:rsid w:val="003D3618"/>
    <w:rsid w:val="003D6612"/>
    <w:rsid w:val="003D7813"/>
    <w:rsid w:val="003E0054"/>
    <w:rsid w:val="003E05C7"/>
    <w:rsid w:val="003E2BFA"/>
    <w:rsid w:val="003E3547"/>
    <w:rsid w:val="003E6D5E"/>
    <w:rsid w:val="003E7B2D"/>
    <w:rsid w:val="003F0F50"/>
    <w:rsid w:val="003F10BB"/>
    <w:rsid w:val="003F1315"/>
    <w:rsid w:val="003F2B2C"/>
    <w:rsid w:val="003F646A"/>
    <w:rsid w:val="003F66D1"/>
    <w:rsid w:val="003F6756"/>
    <w:rsid w:val="003F6CE5"/>
    <w:rsid w:val="003F769D"/>
    <w:rsid w:val="003F7F29"/>
    <w:rsid w:val="004020CA"/>
    <w:rsid w:val="00402496"/>
    <w:rsid w:val="00405459"/>
    <w:rsid w:val="0040732F"/>
    <w:rsid w:val="004114B9"/>
    <w:rsid w:val="00411A45"/>
    <w:rsid w:val="004120D0"/>
    <w:rsid w:val="00412600"/>
    <w:rsid w:val="0041306F"/>
    <w:rsid w:val="004132CF"/>
    <w:rsid w:val="00417D64"/>
    <w:rsid w:val="00420327"/>
    <w:rsid w:val="00421392"/>
    <w:rsid w:val="00422483"/>
    <w:rsid w:val="00423644"/>
    <w:rsid w:val="004272C0"/>
    <w:rsid w:val="00431B26"/>
    <w:rsid w:val="00433D81"/>
    <w:rsid w:val="00434516"/>
    <w:rsid w:val="00435A86"/>
    <w:rsid w:val="00436B21"/>
    <w:rsid w:val="00437109"/>
    <w:rsid w:val="0044227A"/>
    <w:rsid w:val="00443988"/>
    <w:rsid w:val="00445258"/>
    <w:rsid w:val="004460DC"/>
    <w:rsid w:val="00446FAA"/>
    <w:rsid w:val="00447994"/>
    <w:rsid w:val="004547B0"/>
    <w:rsid w:val="00461D4B"/>
    <w:rsid w:val="0046259A"/>
    <w:rsid w:val="00462E43"/>
    <w:rsid w:val="004630DD"/>
    <w:rsid w:val="0046426C"/>
    <w:rsid w:val="00464AE8"/>
    <w:rsid w:val="00464FD4"/>
    <w:rsid w:val="00467719"/>
    <w:rsid w:val="004707E7"/>
    <w:rsid w:val="00470962"/>
    <w:rsid w:val="004712AF"/>
    <w:rsid w:val="0047267B"/>
    <w:rsid w:val="00472A97"/>
    <w:rsid w:val="00474506"/>
    <w:rsid w:val="00475F1E"/>
    <w:rsid w:val="00477A5B"/>
    <w:rsid w:val="00486096"/>
    <w:rsid w:val="004860A5"/>
    <w:rsid w:val="00486570"/>
    <w:rsid w:val="004878A8"/>
    <w:rsid w:val="00487BCE"/>
    <w:rsid w:val="004902FB"/>
    <w:rsid w:val="0049135F"/>
    <w:rsid w:val="00491D55"/>
    <w:rsid w:val="00492019"/>
    <w:rsid w:val="004920DF"/>
    <w:rsid w:val="0049314F"/>
    <w:rsid w:val="004938B7"/>
    <w:rsid w:val="00495885"/>
    <w:rsid w:val="00495B64"/>
    <w:rsid w:val="004969CF"/>
    <w:rsid w:val="004A0A32"/>
    <w:rsid w:val="004A0A89"/>
    <w:rsid w:val="004A0D72"/>
    <w:rsid w:val="004A13C1"/>
    <w:rsid w:val="004A6657"/>
    <w:rsid w:val="004A6E4C"/>
    <w:rsid w:val="004A701D"/>
    <w:rsid w:val="004A74ED"/>
    <w:rsid w:val="004B0F97"/>
    <w:rsid w:val="004B3036"/>
    <w:rsid w:val="004B7F0F"/>
    <w:rsid w:val="004C031F"/>
    <w:rsid w:val="004C0375"/>
    <w:rsid w:val="004C04A0"/>
    <w:rsid w:val="004C0D72"/>
    <w:rsid w:val="004C23C8"/>
    <w:rsid w:val="004C2ABE"/>
    <w:rsid w:val="004C2E3C"/>
    <w:rsid w:val="004C321A"/>
    <w:rsid w:val="004C38AE"/>
    <w:rsid w:val="004C53ED"/>
    <w:rsid w:val="004C7DD4"/>
    <w:rsid w:val="004D0A56"/>
    <w:rsid w:val="004D203B"/>
    <w:rsid w:val="004D3221"/>
    <w:rsid w:val="004D33F6"/>
    <w:rsid w:val="004D517B"/>
    <w:rsid w:val="004D6814"/>
    <w:rsid w:val="004E062A"/>
    <w:rsid w:val="004E2E1D"/>
    <w:rsid w:val="004E300D"/>
    <w:rsid w:val="004E384F"/>
    <w:rsid w:val="004E393C"/>
    <w:rsid w:val="004E5FB0"/>
    <w:rsid w:val="004E7726"/>
    <w:rsid w:val="004F2935"/>
    <w:rsid w:val="004F41A6"/>
    <w:rsid w:val="004F625D"/>
    <w:rsid w:val="004F6A43"/>
    <w:rsid w:val="004F6CFE"/>
    <w:rsid w:val="004F77A7"/>
    <w:rsid w:val="004F7943"/>
    <w:rsid w:val="004F7D03"/>
    <w:rsid w:val="00500207"/>
    <w:rsid w:val="00500BB4"/>
    <w:rsid w:val="005023C6"/>
    <w:rsid w:val="00502A00"/>
    <w:rsid w:val="00502ECC"/>
    <w:rsid w:val="00505037"/>
    <w:rsid w:val="0050744F"/>
    <w:rsid w:val="005079EE"/>
    <w:rsid w:val="00510852"/>
    <w:rsid w:val="0051155E"/>
    <w:rsid w:val="00512665"/>
    <w:rsid w:val="00513540"/>
    <w:rsid w:val="005139DA"/>
    <w:rsid w:val="005143DB"/>
    <w:rsid w:val="00514497"/>
    <w:rsid w:val="005176F7"/>
    <w:rsid w:val="00521F48"/>
    <w:rsid w:val="00523B91"/>
    <w:rsid w:val="00524F89"/>
    <w:rsid w:val="00526333"/>
    <w:rsid w:val="00527348"/>
    <w:rsid w:val="00527914"/>
    <w:rsid w:val="00530B11"/>
    <w:rsid w:val="0053273C"/>
    <w:rsid w:val="00532D9F"/>
    <w:rsid w:val="0053358B"/>
    <w:rsid w:val="005342C6"/>
    <w:rsid w:val="00535186"/>
    <w:rsid w:val="00536A2C"/>
    <w:rsid w:val="00536B1B"/>
    <w:rsid w:val="00540B97"/>
    <w:rsid w:val="0054276A"/>
    <w:rsid w:val="00543AD3"/>
    <w:rsid w:val="00543D1E"/>
    <w:rsid w:val="00544050"/>
    <w:rsid w:val="00546682"/>
    <w:rsid w:val="0054780F"/>
    <w:rsid w:val="0055157A"/>
    <w:rsid w:val="00553E0B"/>
    <w:rsid w:val="00554C7E"/>
    <w:rsid w:val="00555C22"/>
    <w:rsid w:val="00555E03"/>
    <w:rsid w:val="005600B6"/>
    <w:rsid w:val="0056160B"/>
    <w:rsid w:val="00563A9D"/>
    <w:rsid w:val="00564162"/>
    <w:rsid w:val="00565D0A"/>
    <w:rsid w:val="00567B1E"/>
    <w:rsid w:val="00567D99"/>
    <w:rsid w:val="005709EF"/>
    <w:rsid w:val="0057121A"/>
    <w:rsid w:val="005716BE"/>
    <w:rsid w:val="005721E0"/>
    <w:rsid w:val="0057231A"/>
    <w:rsid w:val="00574159"/>
    <w:rsid w:val="005747DF"/>
    <w:rsid w:val="00574814"/>
    <w:rsid w:val="00575B9E"/>
    <w:rsid w:val="00580759"/>
    <w:rsid w:val="005808B1"/>
    <w:rsid w:val="005818DA"/>
    <w:rsid w:val="00584F1E"/>
    <w:rsid w:val="005858FC"/>
    <w:rsid w:val="005859D3"/>
    <w:rsid w:val="00585C75"/>
    <w:rsid w:val="00585E62"/>
    <w:rsid w:val="005872C0"/>
    <w:rsid w:val="00591B94"/>
    <w:rsid w:val="00591FDD"/>
    <w:rsid w:val="00592A32"/>
    <w:rsid w:val="00592CD4"/>
    <w:rsid w:val="005942F5"/>
    <w:rsid w:val="00594364"/>
    <w:rsid w:val="00594F35"/>
    <w:rsid w:val="00595526"/>
    <w:rsid w:val="00597075"/>
    <w:rsid w:val="005A1773"/>
    <w:rsid w:val="005A2D53"/>
    <w:rsid w:val="005A330B"/>
    <w:rsid w:val="005A3540"/>
    <w:rsid w:val="005A38BA"/>
    <w:rsid w:val="005A39BD"/>
    <w:rsid w:val="005A3F85"/>
    <w:rsid w:val="005A6B3B"/>
    <w:rsid w:val="005A770C"/>
    <w:rsid w:val="005A7CC8"/>
    <w:rsid w:val="005B1139"/>
    <w:rsid w:val="005B3F96"/>
    <w:rsid w:val="005C10D0"/>
    <w:rsid w:val="005C2C31"/>
    <w:rsid w:val="005C5BA9"/>
    <w:rsid w:val="005C5CD4"/>
    <w:rsid w:val="005D1BF1"/>
    <w:rsid w:val="005D7197"/>
    <w:rsid w:val="005E07FD"/>
    <w:rsid w:val="005E284B"/>
    <w:rsid w:val="005E5081"/>
    <w:rsid w:val="005E5334"/>
    <w:rsid w:val="005E5F8A"/>
    <w:rsid w:val="005E620A"/>
    <w:rsid w:val="005E7B94"/>
    <w:rsid w:val="005F4818"/>
    <w:rsid w:val="005F7031"/>
    <w:rsid w:val="005F7323"/>
    <w:rsid w:val="0060001D"/>
    <w:rsid w:val="00600C4D"/>
    <w:rsid w:val="00602673"/>
    <w:rsid w:val="0060319D"/>
    <w:rsid w:val="00604AC4"/>
    <w:rsid w:val="00604F48"/>
    <w:rsid w:val="00604FB5"/>
    <w:rsid w:val="006064A6"/>
    <w:rsid w:val="00607C26"/>
    <w:rsid w:val="00611164"/>
    <w:rsid w:val="00611B00"/>
    <w:rsid w:val="00612E06"/>
    <w:rsid w:val="00613171"/>
    <w:rsid w:val="00613357"/>
    <w:rsid w:val="00614971"/>
    <w:rsid w:val="00617D3A"/>
    <w:rsid w:val="00620444"/>
    <w:rsid w:val="006213E8"/>
    <w:rsid w:val="006275C4"/>
    <w:rsid w:val="00630637"/>
    <w:rsid w:val="00632833"/>
    <w:rsid w:val="00632EB5"/>
    <w:rsid w:val="00633BE1"/>
    <w:rsid w:val="0063495E"/>
    <w:rsid w:val="00634DA8"/>
    <w:rsid w:val="00636B86"/>
    <w:rsid w:val="0064054A"/>
    <w:rsid w:val="00640C19"/>
    <w:rsid w:val="00643CB7"/>
    <w:rsid w:val="006449A1"/>
    <w:rsid w:val="00644D44"/>
    <w:rsid w:val="00645AA4"/>
    <w:rsid w:val="00647A01"/>
    <w:rsid w:val="00650E27"/>
    <w:rsid w:val="006514C8"/>
    <w:rsid w:val="00651E5D"/>
    <w:rsid w:val="006521F1"/>
    <w:rsid w:val="006525AC"/>
    <w:rsid w:val="00652606"/>
    <w:rsid w:val="00653636"/>
    <w:rsid w:val="0065373F"/>
    <w:rsid w:val="0065439B"/>
    <w:rsid w:val="006562CC"/>
    <w:rsid w:val="0066015F"/>
    <w:rsid w:val="00661133"/>
    <w:rsid w:val="006614AD"/>
    <w:rsid w:val="00661FC2"/>
    <w:rsid w:val="006621EF"/>
    <w:rsid w:val="00664535"/>
    <w:rsid w:val="0066723A"/>
    <w:rsid w:val="00670C8F"/>
    <w:rsid w:val="00671458"/>
    <w:rsid w:val="00675498"/>
    <w:rsid w:val="00675627"/>
    <w:rsid w:val="00675D39"/>
    <w:rsid w:val="00675E32"/>
    <w:rsid w:val="006760AE"/>
    <w:rsid w:val="00676EBE"/>
    <w:rsid w:val="006770F8"/>
    <w:rsid w:val="0067723C"/>
    <w:rsid w:val="0067734D"/>
    <w:rsid w:val="006777BB"/>
    <w:rsid w:val="00680E3E"/>
    <w:rsid w:val="00681470"/>
    <w:rsid w:val="00681ECE"/>
    <w:rsid w:val="0068546E"/>
    <w:rsid w:val="00686363"/>
    <w:rsid w:val="0068672C"/>
    <w:rsid w:val="00687365"/>
    <w:rsid w:val="00690CE2"/>
    <w:rsid w:val="00691E3E"/>
    <w:rsid w:val="0069205A"/>
    <w:rsid w:val="006921D7"/>
    <w:rsid w:val="00692A9E"/>
    <w:rsid w:val="00693B4C"/>
    <w:rsid w:val="00693E4D"/>
    <w:rsid w:val="006948F9"/>
    <w:rsid w:val="006949B9"/>
    <w:rsid w:val="00696710"/>
    <w:rsid w:val="006977C6"/>
    <w:rsid w:val="00697B8C"/>
    <w:rsid w:val="006A0B61"/>
    <w:rsid w:val="006A51FA"/>
    <w:rsid w:val="006A54E1"/>
    <w:rsid w:val="006A59B1"/>
    <w:rsid w:val="006A697F"/>
    <w:rsid w:val="006A6FDC"/>
    <w:rsid w:val="006A7E8A"/>
    <w:rsid w:val="006A7F36"/>
    <w:rsid w:val="006A7F3B"/>
    <w:rsid w:val="006B044B"/>
    <w:rsid w:val="006B12CB"/>
    <w:rsid w:val="006B322D"/>
    <w:rsid w:val="006B6347"/>
    <w:rsid w:val="006B6621"/>
    <w:rsid w:val="006B6E15"/>
    <w:rsid w:val="006C00FF"/>
    <w:rsid w:val="006C3D9B"/>
    <w:rsid w:val="006C54D7"/>
    <w:rsid w:val="006C746A"/>
    <w:rsid w:val="006C7C48"/>
    <w:rsid w:val="006D0DB3"/>
    <w:rsid w:val="006D0DBD"/>
    <w:rsid w:val="006D231C"/>
    <w:rsid w:val="006D26A6"/>
    <w:rsid w:val="006D39EE"/>
    <w:rsid w:val="006D507E"/>
    <w:rsid w:val="006D595D"/>
    <w:rsid w:val="006D6E9C"/>
    <w:rsid w:val="006D7447"/>
    <w:rsid w:val="006E1F31"/>
    <w:rsid w:val="006E26A5"/>
    <w:rsid w:val="006E48C3"/>
    <w:rsid w:val="006E4C93"/>
    <w:rsid w:val="006E5C32"/>
    <w:rsid w:val="006E61F2"/>
    <w:rsid w:val="006E6BAC"/>
    <w:rsid w:val="006F142E"/>
    <w:rsid w:val="006F179D"/>
    <w:rsid w:val="006F1AEC"/>
    <w:rsid w:val="006F2081"/>
    <w:rsid w:val="006F3517"/>
    <w:rsid w:val="006F41EB"/>
    <w:rsid w:val="006F4B4E"/>
    <w:rsid w:val="006F67B6"/>
    <w:rsid w:val="006F710F"/>
    <w:rsid w:val="006F7AE7"/>
    <w:rsid w:val="00700607"/>
    <w:rsid w:val="007016D7"/>
    <w:rsid w:val="00702808"/>
    <w:rsid w:val="0070490A"/>
    <w:rsid w:val="00707C04"/>
    <w:rsid w:val="007135DC"/>
    <w:rsid w:val="00713B21"/>
    <w:rsid w:val="00713E76"/>
    <w:rsid w:val="007153B4"/>
    <w:rsid w:val="00715C02"/>
    <w:rsid w:val="00716EDD"/>
    <w:rsid w:val="00717461"/>
    <w:rsid w:val="00717713"/>
    <w:rsid w:val="00717FC8"/>
    <w:rsid w:val="00720598"/>
    <w:rsid w:val="007207D3"/>
    <w:rsid w:val="0072087A"/>
    <w:rsid w:val="00721668"/>
    <w:rsid w:val="0072306F"/>
    <w:rsid w:val="00723265"/>
    <w:rsid w:val="0072334E"/>
    <w:rsid w:val="00723D0B"/>
    <w:rsid w:val="0072668B"/>
    <w:rsid w:val="00726E55"/>
    <w:rsid w:val="007274A7"/>
    <w:rsid w:val="00727EC5"/>
    <w:rsid w:val="00731978"/>
    <w:rsid w:val="00731ADC"/>
    <w:rsid w:val="007331F4"/>
    <w:rsid w:val="00734501"/>
    <w:rsid w:val="007360AA"/>
    <w:rsid w:val="00737B76"/>
    <w:rsid w:val="00743025"/>
    <w:rsid w:val="007459D2"/>
    <w:rsid w:val="00745D6F"/>
    <w:rsid w:val="0074602E"/>
    <w:rsid w:val="00750313"/>
    <w:rsid w:val="00751020"/>
    <w:rsid w:val="00751305"/>
    <w:rsid w:val="00751C30"/>
    <w:rsid w:val="0075529C"/>
    <w:rsid w:val="0075571E"/>
    <w:rsid w:val="00755785"/>
    <w:rsid w:val="00757085"/>
    <w:rsid w:val="00760898"/>
    <w:rsid w:val="00761ABC"/>
    <w:rsid w:val="00765E04"/>
    <w:rsid w:val="00766588"/>
    <w:rsid w:val="00767729"/>
    <w:rsid w:val="007701DC"/>
    <w:rsid w:val="0077043E"/>
    <w:rsid w:val="00771122"/>
    <w:rsid w:val="00771FDC"/>
    <w:rsid w:val="0077333C"/>
    <w:rsid w:val="007736DB"/>
    <w:rsid w:val="00773E95"/>
    <w:rsid w:val="007741E5"/>
    <w:rsid w:val="00774253"/>
    <w:rsid w:val="00776644"/>
    <w:rsid w:val="00776B61"/>
    <w:rsid w:val="00776FDD"/>
    <w:rsid w:val="0077725D"/>
    <w:rsid w:val="007776CC"/>
    <w:rsid w:val="00777D95"/>
    <w:rsid w:val="00780145"/>
    <w:rsid w:val="00780896"/>
    <w:rsid w:val="007812BC"/>
    <w:rsid w:val="007817BB"/>
    <w:rsid w:val="00784D73"/>
    <w:rsid w:val="0078659D"/>
    <w:rsid w:val="00786D57"/>
    <w:rsid w:val="00787D4A"/>
    <w:rsid w:val="00794C09"/>
    <w:rsid w:val="00795034"/>
    <w:rsid w:val="007972E6"/>
    <w:rsid w:val="00797E8F"/>
    <w:rsid w:val="007A0B77"/>
    <w:rsid w:val="007A151D"/>
    <w:rsid w:val="007A1BFC"/>
    <w:rsid w:val="007A3DDA"/>
    <w:rsid w:val="007A41B3"/>
    <w:rsid w:val="007A480A"/>
    <w:rsid w:val="007A5C8B"/>
    <w:rsid w:val="007A70C2"/>
    <w:rsid w:val="007A7618"/>
    <w:rsid w:val="007B0506"/>
    <w:rsid w:val="007B0A5B"/>
    <w:rsid w:val="007B1586"/>
    <w:rsid w:val="007B2043"/>
    <w:rsid w:val="007B214D"/>
    <w:rsid w:val="007B260F"/>
    <w:rsid w:val="007B30BE"/>
    <w:rsid w:val="007B35E9"/>
    <w:rsid w:val="007B381F"/>
    <w:rsid w:val="007B50F6"/>
    <w:rsid w:val="007B5100"/>
    <w:rsid w:val="007B567A"/>
    <w:rsid w:val="007B6600"/>
    <w:rsid w:val="007C27B2"/>
    <w:rsid w:val="007C56CC"/>
    <w:rsid w:val="007C6045"/>
    <w:rsid w:val="007C63A5"/>
    <w:rsid w:val="007C6FD1"/>
    <w:rsid w:val="007D1452"/>
    <w:rsid w:val="007D51F9"/>
    <w:rsid w:val="007D5C7E"/>
    <w:rsid w:val="007D5E53"/>
    <w:rsid w:val="007D6D40"/>
    <w:rsid w:val="007D6F7D"/>
    <w:rsid w:val="007D7082"/>
    <w:rsid w:val="007D7870"/>
    <w:rsid w:val="007E0EA0"/>
    <w:rsid w:val="007E3DC2"/>
    <w:rsid w:val="007E3DD8"/>
    <w:rsid w:val="007E771B"/>
    <w:rsid w:val="007F0175"/>
    <w:rsid w:val="007F0966"/>
    <w:rsid w:val="007F09C8"/>
    <w:rsid w:val="007F1327"/>
    <w:rsid w:val="007F1512"/>
    <w:rsid w:val="007F2E68"/>
    <w:rsid w:val="007F3027"/>
    <w:rsid w:val="007F30C3"/>
    <w:rsid w:val="007F3AD1"/>
    <w:rsid w:val="007F3FF7"/>
    <w:rsid w:val="007F4BA3"/>
    <w:rsid w:val="007F563F"/>
    <w:rsid w:val="007F581C"/>
    <w:rsid w:val="007F717D"/>
    <w:rsid w:val="00802E41"/>
    <w:rsid w:val="008032DC"/>
    <w:rsid w:val="00804542"/>
    <w:rsid w:val="00804764"/>
    <w:rsid w:val="00804C37"/>
    <w:rsid w:val="0080584E"/>
    <w:rsid w:val="00805DEF"/>
    <w:rsid w:val="0080609B"/>
    <w:rsid w:val="008119F4"/>
    <w:rsid w:val="0081300C"/>
    <w:rsid w:val="008134F2"/>
    <w:rsid w:val="008136C2"/>
    <w:rsid w:val="00814FFA"/>
    <w:rsid w:val="00815014"/>
    <w:rsid w:val="0081633D"/>
    <w:rsid w:val="00816579"/>
    <w:rsid w:val="00820FCA"/>
    <w:rsid w:val="00821367"/>
    <w:rsid w:val="00821781"/>
    <w:rsid w:val="0082276C"/>
    <w:rsid w:val="00822EE4"/>
    <w:rsid w:val="00822F41"/>
    <w:rsid w:val="008242B8"/>
    <w:rsid w:val="008260EE"/>
    <w:rsid w:val="008264DD"/>
    <w:rsid w:val="00826851"/>
    <w:rsid w:val="00826B13"/>
    <w:rsid w:val="00831AE6"/>
    <w:rsid w:val="00832633"/>
    <w:rsid w:val="00835D3F"/>
    <w:rsid w:val="00836992"/>
    <w:rsid w:val="008372D7"/>
    <w:rsid w:val="00837457"/>
    <w:rsid w:val="0084054A"/>
    <w:rsid w:val="008407AD"/>
    <w:rsid w:val="00840DAA"/>
    <w:rsid w:val="008411D3"/>
    <w:rsid w:val="0084275B"/>
    <w:rsid w:val="008442A9"/>
    <w:rsid w:val="0084481D"/>
    <w:rsid w:val="008477EF"/>
    <w:rsid w:val="008519F2"/>
    <w:rsid w:val="00852461"/>
    <w:rsid w:val="00852899"/>
    <w:rsid w:val="008532AB"/>
    <w:rsid w:val="00855F89"/>
    <w:rsid w:val="00855FA7"/>
    <w:rsid w:val="00860D4D"/>
    <w:rsid w:val="00861F23"/>
    <w:rsid w:val="00862733"/>
    <w:rsid w:val="00863428"/>
    <w:rsid w:val="00863D58"/>
    <w:rsid w:val="00864B70"/>
    <w:rsid w:val="00866B9F"/>
    <w:rsid w:val="00867EF4"/>
    <w:rsid w:val="0087019B"/>
    <w:rsid w:val="0087075B"/>
    <w:rsid w:val="00870D39"/>
    <w:rsid w:val="00871384"/>
    <w:rsid w:val="00872F11"/>
    <w:rsid w:val="00873C98"/>
    <w:rsid w:val="00875C70"/>
    <w:rsid w:val="008762E5"/>
    <w:rsid w:val="0087673B"/>
    <w:rsid w:val="00877079"/>
    <w:rsid w:val="0088160B"/>
    <w:rsid w:val="00882894"/>
    <w:rsid w:val="008862DA"/>
    <w:rsid w:val="00886711"/>
    <w:rsid w:val="00887618"/>
    <w:rsid w:val="008903CD"/>
    <w:rsid w:val="008912B8"/>
    <w:rsid w:val="00893124"/>
    <w:rsid w:val="008939CE"/>
    <w:rsid w:val="008956BF"/>
    <w:rsid w:val="00897658"/>
    <w:rsid w:val="00897897"/>
    <w:rsid w:val="00897E57"/>
    <w:rsid w:val="00897F54"/>
    <w:rsid w:val="008A11E8"/>
    <w:rsid w:val="008A1A37"/>
    <w:rsid w:val="008A27F8"/>
    <w:rsid w:val="008A2957"/>
    <w:rsid w:val="008A315F"/>
    <w:rsid w:val="008A4167"/>
    <w:rsid w:val="008A5248"/>
    <w:rsid w:val="008A59E2"/>
    <w:rsid w:val="008A7846"/>
    <w:rsid w:val="008B12AB"/>
    <w:rsid w:val="008B2124"/>
    <w:rsid w:val="008B3B84"/>
    <w:rsid w:val="008B5BA6"/>
    <w:rsid w:val="008C0F6F"/>
    <w:rsid w:val="008C1BD2"/>
    <w:rsid w:val="008C1CDF"/>
    <w:rsid w:val="008C2505"/>
    <w:rsid w:val="008C2A4C"/>
    <w:rsid w:val="008C3189"/>
    <w:rsid w:val="008C446E"/>
    <w:rsid w:val="008C6401"/>
    <w:rsid w:val="008C6E0C"/>
    <w:rsid w:val="008C7D20"/>
    <w:rsid w:val="008D0687"/>
    <w:rsid w:val="008D0D31"/>
    <w:rsid w:val="008D15C8"/>
    <w:rsid w:val="008D1AC0"/>
    <w:rsid w:val="008D1D45"/>
    <w:rsid w:val="008D2B58"/>
    <w:rsid w:val="008D5700"/>
    <w:rsid w:val="008D68B9"/>
    <w:rsid w:val="008D7016"/>
    <w:rsid w:val="008E068A"/>
    <w:rsid w:val="008E149F"/>
    <w:rsid w:val="008E63A3"/>
    <w:rsid w:val="008E66BA"/>
    <w:rsid w:val="008F05CC"/>
    <w:rsid w:val="008F07EB"/>
    <w:rsid w:val="008F1053"/>
    <w:rsid w:val="008F4D29"/>
    <w:rsid w:val="008F70A5"/>
    <w:rsid w:val="008F743D"/>
    <w:rsid w:val="008F7ABF"/>
    <w:rsid w:val="00900DA1"/>
    <w:rsid w:val="009011C5"/>
    <w:rsid w:val="00902074"/>
    <w:rsid w:val="00903BBE"/>
    <w:rsid w:val="00905044"/>
    <w:rsid w:val="00906957"/>
    <w:rsid w:val="00907340"/>
    <w:rsid w:val="009073EE"/>
    <w:rsid w:val="00907AF8"/>
    <w:rsid w:val="00911B00"/>
    <w:rsid w:val="00911E3F"/>
    <w:rsid w:val="00912AE0"/>
    <w:rsid w:val="00913703"/>
    <w:rsid w:val="009145FE"/>
    <w:rsid w:val="00915AE8"/>
    <w:rsid w:val="009161CC"/>
    <w:rsid w:val="0091762A"/>
    <w:rsid w:val="00917CF3"/>
    <w:rsid w:val="0092098E"/>
    <w:rsid w:val="009212E7"/>
    <w:rsid w:val="009232EF"/>
    <w:rsid w:val="00924392"/>
    <w:rsid w:val="00924AF8"/>
    <w:rsid w:val="00925AF5"/>
    <w:rsid w:val="009262EA"/>
    <w:rsid w:val="0092651A"/>
    <w:rsid w:val="00926544"/>
    <w:rsid w:val="00926B7A"/>
    <w:rsid w:val="00926CBF"/>
    <w:rsid w:val="00927CF3"/>
    <w:rsid w:val="009310F2"/>
    <w:rsid w:val="00932AE4"/>
    <w:rsid w:val="00934725"/>
    <w:rsid w:val="00937B68"/>
    <w:rsid w:val="00940C10"/>
    <w:rsid w:val="00940F6E"/>
    <w:rsid w:val="00941466"/>
    <w:rsid w:val="009425A5"/>
    <w:rsid w:val="0094449D"/>
    <w:rsid w:val="00944FB4"/>
    <w:rsid w:val="00945C61"/>
    <w:rsid w:val="00946073"/>
    <w:rsid w:val="00946506"/>
    <w:rsid w:val="00946586"/>
    <w:rsid w:val="009472D6"/>
    <w:rsid w:val="0094776A"/>
    <w:rsid w:val="009478D5"/>
    <w:rsid w:val="00947D84"/>
    <w:rsid w:val="00950EE9"/>
    <w:rsid w:val="00952155"/>
    <w:rsid w:val="00952C53"/>
    <w:rsid w:val="00954198"/>
    <w:rsid w:val="00955B84"/>
    <w:rsid w:val="00956E99"/>
    <w:rsid w:val="009572AE"/>
    <w:rsid w:val="009601B8"/>
    <w:rsid w:val="009612A5"/>
    <w:rsid w:val="009622BF"/>
    <w:rsid w:val="00964D74"/>
    <w:rsid w:val="009650F1"/>
    <w:rsid w:val="00965315"/>
    <w:rsid w:val="00965B3A"/>
    <w:rsid w:val="009663EC"/>
    <w:rsid w:val="00966FCA"/>
    <w:rsid w:val="0096780A"/>
    <w:rsid w:val="0096786E"/>
    <w:rsid w:val="00967F42"/>
    <w:rsid w:val="009700C0"/>
    <w:rsid w:val="009709C9"/>
    <w:rsid w:val="00971070"/>
    <w:rsid w:val="00973765"/>
    <w:rsid w:val="0097572F"/>
    <w:rsid w:val="00975FA7"/>
    <w:rsid w:val="00981D17"/>
    <w:rsid w:val="00986054"/>
    <w:rsid w:val="00990F18"/>
    <w:rsid w:val="00991016"/>
    <w:rsid w:val="00993EA7"/>
    <w:rsid w:val="00994707"/>
    <w:rsid w:val="00997CA2"/>
    <w:rsid w:val="009A03C0"/>
    <w:rsid w:val="009A11DB"/>
    <w:rsid w:val="009A237B"/>
    <w:rsid w:val="009A2EE8"/>
    <w:rsid w:val="009A36A2"/>
    <w:rsid w:val="009A4462"/>
    <w:rsid w:val="009A5B12"/>
    <w:rsid w:val="009B16C9"/>
    <w:rsid w:val="009B1B3A"/>
    <w:rsid w:val="009B1DB1"/>
    <w:rsid w:val="009B27BD"/>
    <w:rsid w:val="009B34E0"/>
    <w:rsid w:val="009B3725"/>
    <w:rsid w:val="009B3CED"/>
    <w:rsid w:val="009B44A3"/>
    <w:rsid w:val="009C082F"/>
    <w:rsid w:val="009C3853"/>
    <w:rsid w:val="009C59B6"/>
    <w:rsid w:val="009C5FCC"/>
    <w:rsid w:val="009C681C"/>
    <w:rsid w:val="009D0ABA"/>
    <w:rsid w:val="009D13DF"/>
    <w:rsid w:val="009D1B1F"/>
    <w:rsid w:val="009D327E"/>
    <w:rsid w:val="009D3463"/>
    <w:rsid w:val="009D3E12"/>
    <w:rsid w:val="009D68FA"/>
    <w:rsid w:val="009D6EEC"/>
    <w:rsid w:val="009D7533"/>
    <w:rsid w:val="009D783D"/>
    <w:rsid w:val="009E2DCC"/>
    <w:rsid w:val="009E366B"/>
    <w:rsid w:val="009E4D76"/>
    <w:rsid w:val="009E5FED"/>
    <w:rsid w:val="009E7103"/>
    <w:rsid w:val="009E7F13"/>
    <w:rsid w:val="009F1BDE"/>
    <w:rsid w:val="009F1C1A"/>
    <w:rsid w:val="009F5D7F"/>
    <w:rsid w:val="009F7CE8"/>
    <w:rsid w:val="00A00015"/>
    <w:rsid w:val="00A00403"/>
    <w:rsid w:val="00A004C1"/>
    <w:rsid w:val="00A00787"/>
    <w:rsid w:val="00A011DB"/>
    <w:rsid w:val="00A012E1"/>
    <w:rsid w:val="00A040B2"/>
    <w:rsid w:val="00A05D58"/>
    <w:rsid w:val="00A0600E"/>
    <w:rsid w:val="00A06C53"/>
    <w:rsid w:val="00A0782D"/>
    <w:rsid w:val="00A0789C"/>
    <w:rsid w:val="00A07F90"/>
    <w:rsid w:val="00A120B0"/>
    <w:rsid w:val="00A12766"/>
    <w:rsid w:val="00A13246"/>
    <w:rsid w:val="00A137EF"/>
    <w:rsid w:val="00A13A0B"/>
    <w:rsid w:val="00A16131"/>
    <w:rsid w:val="00A24E1E"/>
    <w:rsid w:val="00A254FD"/>
    <w:rsid w:val="00A259E1"/>
    <w:rsid w:val="00A26B8D"/>
    <w:rsid w:val="00A27AF5"/>
    <w:rsid w:val="00A306DE"/>
    <w:rsid w:val="00A325EE"/>
    <w:rsid w:val="00A3292D"/>
    <w:rsid w:val="00A32CF2"/>
    <w:rsid w:val="00A34AF0"/>
    <w:rsid w:val="00A360D3"/>
    <w:rsid w:val="00A365C1"/>
    <w:rsid w:val="00A41FB5"/>
    <w:rsid w:val="00A429F7"/>
    <w:rsid w:val="00A43552"/>
    <w:rsid w:val="00A43CBB"/>
    <w:rsid w:val="00A45112"/>
    <w:rsid w:val="00A45DBD"/>
    <w:rsid w:val="00A471C5"/>
    <w:rsid w:val="00A50070"/>
    <w:rsid w:val="00A5091B"/>
    <w:rsid w:val="00A50A50"/>
    <w:rsid w:val="00A53E7E"/>
    <w:rsid w:val="00A5481D"/>
    <w:rsid w:val="00A54AB2"/>
    <w:rsid w:val="00A54FFC"/>
    <w:rsid w:val="00A57787"/>
    <w:rsid w:val="00A60BDC"/>
    <w:rsid w:val="00A610A0"/>
    <w:rsid w:val="00A61309"/>
    <w:rsid w:val="00A6209F"/>
    <w:rsid w:val="00A624E4"/>
    <w:rsid w:val="00A66404"/>
    <w:rsid w:val="00A67D02"/>
    <w:rsid w:val="00A70AFB"/>
    <w:rsid w:val="00A73A79"/>
    <w:rsid w:val="00A75403"/>
    <w:rsid w:val="00A75860"/>
    <w:rsid w:val="00A808FF"/>
    <w:rsid w:val="00A81951"/>
    <w:rsid w:val="00A82821"/>
    <w:rsid w:val="00A82BB9"/>
    <w:rsid w:val="00A83561"/>
    <w:rsid w:val="00A83FDB"/>
    <w:rsid w:val="00A850B7"/>
    <w:rsid w:val="00A90CF9"/>
    <w:rsid w:val="00A90D3F"/>
    <w:rsid w:val="00A91025"/>
    <w:rsid w:val="00A91C47"/>
    <w:rsid w:val="00A935E6"/>
    <w:rsid w:val="00A94750"/>
    <w:rsid w:val="00A963E4"/>
    <w:rsid w:val="00AA0577"/>
    <w:rsid w:val="00AA0EC1"/>
    <w:rsid w:val="00AA2467"/>
    <w:rsid w:val="00AA326A"/>
    <w:rsid w:val="00AA475D"/>
    <w:rsid w:val="00AA483F"/>
    <w:rsid w:val="00AA4C76"/>
    <w:rsid w:val="00AA7159"/>
    <w:rsid w:val="00AB02F9"/>
    <w:rsid w:val="00AB092B"/>
    <w:rsid w:val="00AB0A9D"/>
    <w:rsid w:val="00AB24E1"/>
    <w:rsid w:val="00AB26CD"/>
    <w:rsid w:val="00AB5F6D"/>
    <w:rsid w:val="00AB62B6"/>
    <w:rsid w:val="00AB6342"/>
    <w:rsid w:val="00AC271A"/>
    <w:rsid w:val="00AC3549"/>
    <w:rsid w:val="00AC376D"/>
    <w:rsid w:val="00AC5071"/>
    <w:rsid w:val="00AC6DCE"/>
    <w:rsid w:val="00AC797B"/>
    <w:rsid w:val="00AD0B6B"/>
    <w:rsid w:val="00AD26C6"/>
    <w:rsid w:val="00AD3C1B"/>
    <w:rsid w:val="00AD4240"/>
    <w:rsid w:val="00AD7AD3"/>
    <w:rsid w:val="00AE0CAF"/>
    <w:rsid w:val="00AE1DAC"/>
    <w:rsid w:val="00AE3D85"/>
    <w:rsid w:val="00AE3DAC"/>
    <w:rsid w:val="00AE57C6"/>
    <w:rsid w:val="00AF0580"/>
    <w:rsid w:val="00AF0DFA"/>
    <w:rsid w:val="00AF1B11"/>
    <w:rsid w:val="00AF26CD"/>
    <w:rsid w:val="00AF2BCA"/>
    <w:rsid w:val="00AF383E"/>
    <w:rsid w:val="00AF40A0"/>
    <w:rsid w:val="00AF5326"/>
    <w:rsid w:val="00AF60D4"/>
    <w:rsid w:val="00AF6222"/>
    <w:rsid w:val="00AF650C"/>
    <w:rsid w:val="00AF7C17"/>
    <w:rsid w:val="00B008DE"/>
    <w:rsid w:val="00B00AF2"/>
    <w:rsid w:val="00B01DA5"/>
    <w:rsid w:val="00B04829"/>
    <w:rsid w:val="00B05FDE"/>
    <w:rsid w:val="00B0620A"/>
    <w:rsid w:val="00B06775"/>
    <w:rsid w:val="00B06B0F"/>
    <w:rsid w:val="00B103CE"/>
    <w:rsid w:val="00B10650"/>
    <w:rsid w:val="00B11473"/>
    <w:rsid w:val="00B13703"/>
    <w:rsid w:val="00B1475D"/>
    <w:rsid w:val="00B14D52"/>
    <w:rsid w:val="00B16601"/>
    <w:rsid w:val="00B1674D"/>
    <w:rsid w:val="00B171E4"/>
    <w:rsid w:val="00B2071C"/>
    <w:rsid w:val="00B228B4"/>
    <w:rsid w:val="00B242FA"/>
    <w:rsid w:val="00B247DD"/>
    <w:rsid w:val="00B24916"/>
    <w:rsid w:val="00B26212"/>
    <w:rsid w:val="00B269B7"/>
    <w:rsid w:val="00B3174E"/>
    <w:rsid w:val="00B319DB"/>
    <w:rsid w:val="00B31FF4"/>
    <w:rsid w:val="00B322FC"/>
    <w:rsid w:val="00B32568"/>
    <w:rsid w:val="00B32A2A"/>
    <w:rsid w:val="00B344D9"/>
    <w:rsid w:val="00B34C74"/>
    <w:rsid w:val="00B35C90"/>
    <w:rsid w:val="00B35D0D"/>
    <w:rsid w:val="00B371B4"/>
    <w:rsid w:val="00B37891"/>
    <w:rsid w:val="00B408F8"/>
    <w:rsid w:val="00B40BC6"/>
    <w:rsid w:val="00B41902"/>
    <w:rsid w:val="00B434D8"/>
    <w:rsid w:val="00B43C81"/>
    <w:rsid w:val="00B45E18"/>
    <w:rsid w:val="00B50A6D"/>
    <w:rsid w:val="00B51207"/>
    <w:rsid w:val="00B522DD"/>
    <w:rsid w:val="00B53B00"/>
    <w:rsid w:val="00B53E32"/>
    <w:rsid w:val="00B559B4"/>
    <w:rsid w:val="00B57E3A"/>
    <w:rsid w:val="00B61815"/>
    <w:rsid w:val="00B62039"/>
    <w:rsid w:val="00B625BD"/>
    <w:rsid w:val="00B62943"/>
    <w:rsid w:val="00B633D0"/>
    <w:rsid w:val="00B6343C"/>
    <w:rsid w:val="00B63B41"/>
    <w:rsid w:val="00B63D19"/>
    <w:rsid w:val="00B65405"/>
    <w:rsid w:val="00B65A61"/>
    <w:rsid w:val="00B65E1D"/>
    <w:rsid w:val="00B70EEF"/>
    <w:rsid w:val="00B71D38"/>
    <w:rsid w:val="00B72987"/>
    <w:rsid w:val="00B73282"/>
    <w:rsid w:val="00B74D84"/>
    <w:rsid w:val="00B750D4"/>
    <w:rsid w:val="00B75433"/>
    <w:rsid w:val="00B75C18"/>
    <w:rsid w:val="00B75DD2"/>
    <w:rsid w:val="00B779F2"/>
    <w:rsid w:val="00B77CD8"/>
    <w:rsid w:val="00B81561"/>
    <w:rsid w:val="00B83E17"/>
    <w:rsid w:val="00B841BC"/>
    <w:rsid w:val="00B86AC6"/>
    <w:rsid w:val="00B8741A"/>
    <w:rsid w:val="00B90E2B"/>
    <w:rsid w:val="00B9118A"/>
    <w:rsid w:val="00B94A53"/>
    <w:rsid w:val="00B94BB9"/>
    <w:rsid w:val="00B9510E"/>
    <w:rsid w:val="00B97000"/>
    <w:rsid w:val="00B979AC"/>
    <w:rsid w:val="00BA08BE"/>
    <w:rsid w:val="00BA20C6"/>
    <w:rsid w:val="00BA2841"/>
    <w:rsid w:val="00BA2F3C"/>
    <w:rsid w:val="00BA4935"/>
    <w:rsid w:val="00BA6218"/>
    <w:rsid w:val="00BA7239"/>
    <w:rsid w:val="00BA74DA"/>
    <w:rsid w:val="00BB0609"/>
    <w:rsid w:val="00BB083A"/>
    <w:rsid w:val="00BB0971"/>
    <w:rsid w:val="00BB09D6"/>
    <w:rsid w:val="00BB14F8"/>
    <w:rsid w:val="00BB21FB"/>
    <w:rsid w:val="00BB4795"/>
    <w:rsid w:val="00BB4C71"/>
    <w:rsid w:val="00BB6714"/>
    <w:rsid w:val="00BB739C"/>
    <w:rsid w:val="00BB7A3E"/>
    <w:rsid w:val="00BC002A"/>
    <w:rsid w:val="00BC01B1"/>
    <w:rsid w:val="00BC072A"/>
    <w:rsid w:val="00BC30CF"/>
    <w:rsid w:val="00BC3356"/>
    <w:rsid w:val="00BC3A46"/>
    <w:rsid w:val="00BC4760"/>
    <w:rsid w:val="00BC53F1"/>
    <w:rsid w:val="00BC562D"/>
    <w:rsid w:val="00BC638B"/>
    <w:rsid w:val="00BC6473"/>
    <w:rsid w:val="00BC7056"/>
    <w:rsid w:val="00BD09E8"/>
    <w:rsid w:val="00BD3454"/>
    <w:rsid w:val="00BD57B8"/>
    <w:rsid w:val="00BD5DB5"/>
    <w:rsid w:val="00BD67CF"/>
    <w:rsid w:val="00BD685E"/>
    <w:rsid w:val="00BD7110"/>
    <w:rsid w:val="00BE1713"/>
    <w:rsid w:val="00BE29F7"/>
    <w:rsid w:val="00BE2F41"/>
    <w:rsid w:val="00BE7345"/>
    <w:rsid w:val="00BF09B9"/>
    <w:rsid w:val="00BF6E2B"/>
    <w:rsid w:val="00C01851"/>
    <w:rsid w:val="00C0197B"/>
    <w:rsid w:val="00C0234A"/>
    <w:rsid w:val="00C028F0"/>
    <w:rsid w:val="00C02B9A"/>
    <w:rsid w:val="00C04212"/>
    <w:rsid w:val="00C0662A"/>
    <w:rsid w:val="00C077E9"/>
    <w:rsid w:val="00C07E4C"/>
    <w:rsid w:val="00C12600"/>
    <w:rsid w:val="00C126BC"/>
    <w:rsid w:val="00C12CBD"/>
    <w:rsid w:val="00C13D8A"/>
    <w:rsid w:val="00C14330"/>
    <w:rsid w:val="00C153BF"/>
    <w:rsid w:val="00C1731D"/>
    <w:rsid w:val="00C202B7"/>
    <w:rsid w:val="00C20539"/>
    <w:rsid w:val="00C21B6D"/>
    <w:rsid w:val="00C227AD"/>
    <w:rsid w:val="00C24A5B"/>
    <w:rsid w:val="00C25BFA"/>
    <w:rsid w:val="00C260E3"/>
    <w:rsid w:val="00C26C36"/>
    <w:rsid w:val="00C2764B"/>
    <w:rsid w:val="00C30734"/>
    <w:rsid w:val="00C30BE3"/>
    <w:rsid w:val="00C3301A"/>
    <w:rsid w:val="00C33F18"/>
    <w:rsid w:val="00C33F5D"/>
    <w:rsid w:val="00C3476C"/>
    <w:rsid w:val="00C347AC"/>
    <w:rsid w:val="00C3512B"/>
    <w:rsid w:val="00C359C7"/>
    <w:rsid w:val="00C36345"/>
    <w:rsid w:val="00C40307"/>
    <w:rsid w:val="00C408C4"/>
    <w:rsid w:val="00C414FE"/>
    <w:rsid w:val="00C41B5B"/>
    <w:rsid w:val="00C42390"/>
    <w:rsid w:val="00C44FC6"/>
    <w:rsid w:val="00C45602"/>
    <w:rsid w:val="00C46698"/>
    <w:rsid w:val="00C50EB3"/>
    <w:rsid w:val="00C50F02"/>
    <w:rsid w:val="00C5266B"/>
    <w:rsid w:val="00C528EF"/>
    <w:rsid w:val="00C53892"/>
    <w:rsid w:val="00C5421C"/>
    <w:rsid w:val="00C54905"/>
    <w:rsid w:val="00C54FE7"/>
    <w:rsid w:val="00C555C9"/>
    <w:rsid w:val="00C55B06"/>
    <w:rsid w:val="00C60166"/>
    <w:rsid w:val="00C60385"/>
    <w:rsid w:val="00C61879"/>
    <w:rsid w:val="00C61E1A"/>
    <w:rsid w:val="00C622AF"/>
    <w:rsid w:val="00C627C6"/>
    <w:rsid w:val="00C6554F"/>
    <w:rsid w:val="00C65A53"/>
    <w:rsid w:val="00C66B99"/>
    <w:rsid w:val="00C66D02"/>
    <w:rsid w:val="00C67CED"/>
    <w:rsid w:val="00C70929"/>
    <w:rsid w:val="00C71663"/>
    <w:rsid w:val="00C73868"/>
    <w:rsid w:val="00C756B1"/>
    <w:rsid w:val="00C7654E"/>
    <w:rsid w:val="00C775E9"/>
    <w:rsid w:val="00C82708"/>
    <w:rsid w:val="00C84DBA"/>
    <w:rsid w:val="00C85D20"/>
    <w:rsid w:val="00C86641"/>
    <w:rsid w:val="00C8733B"/>
    <w:rsid w:val="00C87EBC"/>
    <w:rsid w:val="00C91649"/>
    <w:rsid w:val="00C92874"/>
    <w:rsid w:val="00C93170"/>
    <w:rsid w:val="00C933F8"/>
    <w:rsid w:val="00C93BB9"/>
    <w:rsid w:val="00C95AFF"/>
    <w:rsid w:val="00C96ACA"/>
    <w:rsid w:val="00CA04EE"/>
    <w:rsid w:val="00CA1063"/>
    <w:rsid w:val="00CA4C5A"/>
    <w:rsid w:val="00CA6588"/>
    <w:rsid w:val="00CA7985"/>
    <w:rsid w:val="00CA7F1C"/>
    <w:rsid w:val="00CB0183"/>
    <w:rsid w:val="00CB08B4"/>
    <w:rsid w:val="00CB17E6"/>
    <w:rsid w:val="00CB2C93"/>
    <w:rsid w:val="00CB2E41"/>
    <w:rsid w:val="00CB304A"/>
    <w:rsid w:val="00CB3202"/>
    <w:rsid w:val="00CB5338"/>
    <w:rsid w:val="00CB542F"/>
    <w:rsid w:val="00CB7D5C"/>
    <w:rsid w:val="00CB7D74"/>
    <w:rsid w:val="00CC04D3"/>
    <w:rsid w:val="00CC09E7"/>
    <w:rsid w:val="00CC0B5F"/>
    <w:rsid w:val="00CC0DC4"/>
    <w:rsid w:val="00CC2C1D"/>
    <w:rsid w:val="00CC3D07"/>
    <w:rsid w:val="00CC4145"/>
    <w:rsid w:val="00CC6B75"/>
    <w:rsid w:val="00CC7A8E"/>
    <w:rsid w:val="00CD2E54"/>
    <w:rsid w:val="00CD4A59"/>
    <w:rsid w:val="00CD5FDB"/>
    <w:rsid w:val="00CD6C90"/>
    <w:rsid w:val="00CD7B65"/>
    <w:rsid w:val="00CE13D3"/>
    <w:rsid w:val="00CE171E"/>
    <w:rsid w:val="00CE2528"/>
    <w:rsid w:val="00CE268B"/>
    <w:rsid w:val="00CE669C"/>
    <w:rsid w:val="00CE676F"/>
    <w:rsid w:val="00CE75EC"/>
    <w:rsid w:val="00CE7644"/>
    <w:rsid w:val="00CE7866"/>
    <w:rsid w:val="00CE7B19"/>
    <w:rsid w:val="00CF04E3"/>
    <w:rsid w:val="00CF2442"/>
    <w:rsid w:val="00CF3742"/>
    <w:rsid w:val="00CF4071"/>
    <w:rsid w:val="00CF58C9"/>
    <w:rsid w:val="00CF761D"/>
    <w:rsid w:val="00D01C47"/>
    <w:rsid w:val="00D01D84"/>
    <w:rsid w:val="00D110DA"/>
    <w:rsid w:val="00D14B4F"/>
    <w:rsid w:val="00D16ACA"/>
    <w:rsid w:val="00D175B5"/>
    <w:rsid w:val="00D17E33"/>
    <w:rsid w:val="00D20DF5"/>
    <w:rsid w:val="00D22830"/>
    <w:rsid w:val="00D25D0B"/>
    <w:rsid w:val="00D3256B"/>
    <w:rsid w:val="00D325BA"/>
    <w:rsid w:val="00D3398F"/>
    <w:rsid w:val="00D339AF"/>
    <w:rsid w:val="00D34092"/>
    <w:rsid w:val="00D34F0E"/>
    <w:rsid w:val="00D3586A"/>
    <w:rsid w:val="00D36AC9"/>
    <w:rsid w:val="00D37320"/>
    <w:rsid w:val="00D42C76"/>
    <w:rsid w:val="00D43F11"/>
    <w:rsid w:val="00D4423C"/>
    <w:rsid w:val="00D44814"/>
    <w:rsid w:val="00D45913"/>
    <w:rsid w:val="00D46C92"/>
    <w:rsid w:val="00D47092"/>
    <w:rsid w:val="00D47EB2"/>
    <w:rsid w:val="00D47F11"/>
    <w:rsid w:val="00D51521"/>
    <w:rsid w:val="00D528FF"/>
    <w:rsid w:val="00D52922"/>
    <w:rsid w:val="00D54AA7"/>
    <w:rsid w:val="00D5586D"/>
    <w:rsid w:val="00D57337"/>
    <w:rsid w:val="00D60A95"/>
    <w:rsid w:val="00D60C4D"/>
    <w:rsid w:val="00D60F7B"/>
    <w:rsid w:val="00D61065"/>
    <w:rsid w:val="00D624C1"/>
    <w:rsid w:val="00D63C9C"/>
    <w:rsid w:val="00D647DB"/>
    <w:rsid w:val="00D64DE3"/>
    <w:rsid w:val="00D66E24"/>
    <w:rsid w:val="00D71028"/>
    <w:rsid w:val="00D7174C"/>
    <w:rsid w:val="00D719A6"/>
    <w:rsid w:val="00D723BA"/>
    <w:rsid w:val="00D72F8A"/>
    <w:rsid w:val="00D7301B"/>
    <w:rsid w:val="00D7371F"/>
    <w:rsid w:val="00D772E3"/>
    <w:rsid w:val="00D8070A"/>
    <w:rsid w:val="00D82566"/>
    <w:rsid w:val="00D82AD7"/>
    <w:rsid w:val="00D82F38"/>
    <w:rsid w:val="00D8306A"/>
    <w:rsid w:val="00D834EF"/>
    <w:rsid w:val="00D83DDD"/>
    <w:rsid w:val="00D853D1"/>
    <w:rsid w:val="00D90160"/>
    <w:rsid w:val="00D901EB"/>
    <w:rsid w:val="00D903CE"/>
    <w:rsid w:val="00D930F9"/>
    <w:rsid w:val="00D93DBC"/>
    <w:rsid w:val="00D94088"/>
    <w:rsid w:val="00D95701"/>
    <w:rsid w:val="00D96144"/>
    <w:rsid w:val="00D9617B"/>
    <w:rsid w:val="00DA05E0"/>
    <w:rsid w:val="00DA38B3"/>
    <w:rsid w:val="00DA4A61"/>
    <w:rsid w:val="00DA61D9"/>
    <w:rsid w:val="00DA70E1"/>
    <w:rsid w:val="00DB2687"/>
    <w:rsid w:val="00DB41C9"/>
    <w:rsid w:val="00DC0C53"/>
    <w:rsid w:val="00DC0D17"/>
    <w:rsid w:val="00DC1674"/>
    <w:rsid w:val="00DC18D5"/>
    <w:rsid w:val="00DC4543"/>
    <w:rsid w:val="00DC4A84"/>
    <w:rsid w:val="00DC4DDB"/>
    <w:rsid w:val="00DC663F"/>
    <w:rsid w:val="00DD067F"/>
    <w:rsid w:val="00DD0B56"/>
    <w:rsid w:val="00DD0BDF"/>
    <w:rsid w:val="00DD1499"/>
    <w:rsid w:val="00DD39F8"/>
    <w:rsid w:val="00DD3AFB"/>
    <w:rsid w:val="00DD41C4"/>
    <w:rsid w:val="00DD4EA2"/>
    <w:rsid w:val="00DD5399"/>
    <w:rsid w:val="00DD6BB4"/>
    <w:rsid w:val="00DE072B"/>
    <w:rsid w:val="00DE2E3A"/>
    <w:rsid w:val="00DE3FB3"/>
    <w:rsid w:val="00DE3FF7"/>
    <w:rsid w:val="00DE509E"/>
    <w:rsid w:val="00DE5C63"/>
    <w:rsid w:val="00DE61CD"/>
    <w:rsid w:val="00DE6BD1"/>
    <w:rsid w:val="00DF03B2"/>
    <w:rsid w:val="00DF0A54"/>
    <w:rsid w:val="00DF3EEC"/>
    <w:rsid w:val="00DF4B39"/>
    <w:rsid w:val="00DF67EB"/>
    <w:rsid w:val="00DF706D"/>
    <w:rsid w:val="00DF7A86"/>
    <w:rsid w:val="00E00900"/>
    <w:rsid w:val="00E01043"/>
    <w:rsid w:val="00E01467"/>
    <w:rsid w:val="00E01559"/>
    <w:rsid w:val="00E01752"/>
    <w:rsid w:val="00E01C60"/>
    <w:rsid w:val="00E02265"/>
    <w:rsid w:val="00E03108"/>
    <w:rsid w:val="00E032F7"/>
    <w:rsid w:val="00E033F9"/>
    <w:rsid w:val="00E070B5"/>
    <w:rsid w:val="00E07563"/>
    <w:rsid w:val="00E07702"/>
    <w:rsid w:val="00E118E5"/>
    <w:rsid w:val="00E11E17"/>
    <w:rsid w:val="00E12F36"/>
    <w:rsid w:val="00E13ABF"/>
    <w:rsid w:val="00E13CC9"/>
    <w:rsid w:val="00E13E8F"/>
    <w:rsid w:val="00E1478E"/>
    <w:rsid w:val="00E17A5A"/>
    <w:rsid w:val="00E206D4"/>
    <w:rsid w:val="00E2114B"/>
    <w:rsid w:val="00E219B9"/>
    <w:rsid w:val="00E2522C"/>
    <w:rsid w:val="00E25BD5"/>
    <w:rsid w:val="00E27F58"/>
    <w:rsid w:val="00E30716"/>
    <w:rsid w:val="00E30D9C"/>
    <w:rsid w:val="00E30F45"/>
    <w:rsid w:val="00E31069"/>
    <w:rsid w:val="00E31596"/>
    <w:rsid w:val="00E319A7"/>
    <w:rsid w:val="00E31DB2"/>
    <w:rsid w:val="00E32D12"/>
    <w:rsid w:val="00E32F95"/>
    <w:rsid w:val="00E33F62"/>
    <w:rsid w:val="00E35466"/>
    <w:rsid w:val="00E35DDC"/>
    <w:rsid w:val="00E414ED"/>
    <w:rsid w:val="00E41A1E"/>
    <w:rsid w:val="00E428BC"/>
    <w:rsid w:val="00E43C23"/>
    <w:rsid w:val="00E46C18"/>
    <w:rsid w:val="00E5265F"/>
    <w:rsid w:val="00E53209"/>
    <w:rsid w:val="00E54A8E"/>
    <w:rsid w:val="00E54F91"/>
    <w:rsid w:val="00E557FA"/>
    <w:rsid w:val="00E60948"/>
    <w:rsid w:val="00E620F7"/>
    <w:rsid w:val="00E6391E"/>
    <w:rsid w:val="00E66C00"/>
    <w:rsid w:val="00E67C0E"/>
    <w:rsid w:val="00E70493"/>
    <w:rsid w:val="00E7105A"/>
    <w:rsid w:val="00E710D3"/>
    <w:rsid w:val="00E72394"/>
    <w:rsid w:val="00E72B84"/>
    <w:rsid w:val="00E72F66"/>
    <w:rsid w:val="00E7348F"/>
    <w:rsid w:val="00E73A72"/>
    <w:rsid w:val="00E75B8F"/>
    <w:rsid w:val="00E762BF"/>
    <w:rsid w:val="00E76321"/>
    <w:rsid w:val="00E76D02"/>
    <w:rsid w:val="00E805C0"/>
    <w:rsid w:val="00E80E40"/>
    <w:rsid w:val="00E82CA7"/>
    <w:rsid w:val="00E831C5"/>
    <w:rsid w:val="00E83866"/>
    <w:rsid w:val="00E83E12"/>
    <w:rsid w:val="00E85102"/>
    <w:rsid w:val="00E90EC9"/>
    <w:rsid w:val="00E92647"/>
    <w:rsid w:val="00E92D22"/>
    <w:rsid w:val="00E930F3"/>
    <w:rsid w:val="00E93832"/>
    <w:rsid w:val="00E9599F"/>
    <w:rsid w:val="00E96AE1"/>
    <w:rsid w:val="00EA0D45"/>
    <w:rsid w:val="00EA56A7"/>
    <w:rsid w:val="00EA7995"/>
    <w:rsid w:val="00EA7FB7"/>
    <w:rsid w:val="00EB1768"/>
    <w:rsid w:val="00EB2285"/>
    <w:rsid w:val="00EB512C"/>
    <w:rsid w:val="00EB7114"/>
    <w:rsid w:val="00EC16ED"/>
    <w:rsid w:val="00EC21CC"/>
    <w:rsid w:val="00EC23F8"/>
    <w:rsid w:val="00EC31BC"/>
    <w:rsid w:val="00EC3235"/>
    <w:rsid w:val="00EC3F2B"/>
    <w:rsid w:val="00EC403D"/>
    <w:rsid w:val="00EC64A2"/>
    <w:rsid w:val="00EC7011"/>
    <w:rsid w:val="00ED004D"/>
    <w:rsid w:val="00ED0C7F"/>
    <w:rsid w:val="00ED25F1"/>
    <w:rsid w:val="00ED44CB"/>
    <w:rsid w:val="00ED52D9"/>
    <w:rsid w:val="00ED56E5"/>
    <w:rsid w:val="00ED6901"/>
    <w:rsid w:val="00ED7016"/>
    <w:rsid w:val="00ED704B"/>
    <w:rsid w:val="00ED71A3"/>
    <w:rsid w:val="00EE1FF0"/>
    <w:rsid w:val="00EE2189"/>
    <w:rsid w:val="00EE33E6"/>
    <w:rsid w:val="00EE38F6"/>
    <w:rsid w:val="00EE3B99"/>
    <w:rsid w:val="00EE45E7"/>
    <w:rsid w:val="00EE6AD5"/>
    <w:rsid w:val="00EE7366"/>
    <w:rsid w:val="00EE7ACD"/>
    <w:rsid w:val="00EF0D64"/>
    <w:rsid w:val="00EF1640"/>
    <w:rsid w:val="00EF1ED5"/>
    <w:rsid w:val="00EF2F8F"/>
    <w:rsid w:val="00EF5A70"/>
    <w:rsid w:val="00EF6FEA"/>
    <w:rsid w:val="00EF74B7"/>
    <w:rsid w:val="00EF76A0"/>
    <w:rsid w:val="00F0016C"/>
    <w:rsid w:val="00F0043C"/>
    <w:rsid w:val="00F02649"/>
    <w:rsid w:val="00F02897"/>
    <w:rsid w:val="00F04FED"/>
    <w:rsid w:val="00F05D6B"/>
    <w:rsid w:val="00F07761"/>
    <w:rsid w:val="00F0778A"/>
    <w:rsid w:val="00F11305"/>
    <w:rsid w:val="00F11A8A"/>
    <w:rsid w:val="00F11B73"/>
    <w:rsid w:val="00F14A23"/>
    <w:rsid w:val="00F15712"/>
    <w:rsid w:val="00F17EE8"/>
    <w:rsid w:val="00F2058A"/>
    <w:rsid w:val="00F23063"/>
    <w:rsid w:val="00F247E7"/>
    <w:rsid w:val="00F24ABF"/>
    <w:rsid w:val="00F25294"/>
    <w:rsid w:val="00F26425"/>
    <w:rsid w:val="00F3290E"/>
    <w:rsid w:val="00F32A56"/>
    <w:rsid w:val="00F335B3"/>
    <w:rsid w:val="00F3388E"/>
    <w:rsid w:val="00F34C40"/>
    <w:rsid w:val="00F36141"/>
    <w:rsid w:val="00F36363"/>
    <w:rsid w:val="00F36826"/>
    <w:rsid w:val="00F36DF8"/>
    <w:rsid w:val="00F3770F"/>
    <w:rsid w:val="00F37F68"/>
    <w:rsid w:val="00F4061C"/>
    <w:rsid w:val="00F40EB9"/>
    <w:rsid w:val="00F4141B"/>
    <w:rsid w:val="00F41E55"/>
    <w:rsid w:val="00F43969"/>
    <w:rsid w:val="00F45824"/>
    <w:rsid w:val="00F458A7"/>
    <w:rsid w:val="00F4778B"/>
    <w:rsid w:val="00F47D92"/>
    <w:rsid w:val="00F5099D"/>
    <w:rsid w:val="00F50A62"/>
    <w:rsid w:val="00F53B44"/>
    <w:rsid w:val="00F54269"/>
    <w:rsid w:val="00F542E8"/>
    <w:rsid w:val="00F55A9D"/>
    <w:rsid w:val="00F568A2"/>
    <w:rsid w:val="00F628E8"/>
    <w:rsid w:val="00F63043"/>
    <w:rsid w:val="00F63715"/>
    <w:rsid w:val="00F640CC"/>
    <w:rsid w:val="00F6634D"/>
    <w:rsid w:val="00F66737"/>
    <w:rsid w:val="00F701DB"/>
    <w:rsid w:val="00F71B99"/>
    <w:rsid w:val="00F74D52"/>
    <w:rsid w:val="00F7553D"/>
    <w:rsid w:val="00F7684C"/>
    <w:rsid w:val="00F7725F"/>
    <w:rsid w:val="00F774DA"/>
    <w:rsid w:val="00F77CB6"/>
    <w:rsid w:val="00F77CC1"/>
    <w:rsid w:val="00F77E4C"/>
    <w:rsid w:val="00F80B71"/>
    <w:rsid w:val="00F812D9"/>
    <w:rsid w:val="00F82A64"/>
    <w:rsid w:val="00F82E8F"/>
    <w:rsid w:val="00F8357A"/>
    <w:rsid w:val="00F85758"/>
    <w:rsid w:val="00F86B6E"/>
    <w:rsid w:val="00F86F76"/>
    <w:rsid w:val="00F875B9"/>
    <w:rsid w:val="00F911EA"/>
    <w:rsid w:val="00F91D7D"/>
    <w:rsid w:val="00F93E92"/>
    <w:rsid w:val="00F953C3"/>
    <w:rsid w:val="00F961F2"/>
    <w:rsid w:val="00F9673C"/>
    <w:rsid w:val="00FA0759"/>
    <w:rsid w:val="00FA0836"/>
    <w:rsid w:val="00FA1E76"/>
    <w:rsid w:val="00FA2D2A"/>
    <w:rsid w:val="00FA465B"/>
    <w:rsid w:val="00FA534C"/>
    <w:rsid w:val="00FB05AE"/>
    <w:rsid w:val="00FB080C"/>
    <w:rsid w:val="00FB0CE0"/>
    <w:rsid w:val="00FB519C"/>
    <w:rsid w:val="00FB5C2F"/>
    <w:rsid w:val="00FB643F"/>
    <w:rsid w:val="00FB65A9"/>
    <w:rsid w:val="00FC02E2"/>
    <w:rsid w:val="00FC042D"/>
    <w:rsid w:val="00FC0773"/>
    <w:rsid w:val="00FC0AB4"/>
    <w:rsid w:val="00FC213B"/>
    <w:rsid w:val="00FC33D5"/>
    <w:rsid w:val="00FC4138"/>
    <w:rsid w:val="00FC602A"/>
    <w:rsid w:val="00FC7CC3"/>
    <w:rsid w:val="00FC7D39"/>
    <w:rsid w:val="00FC7D78"/>
    <w:rsid w:val="00FD1102"/>
    <w:rsid w:val="00FD11CA"/>
    <w:rsid w:val="00FD1D94"/>
    <w:rsid w:val="00FD296F"/>
    <w:rsid w:val="00FD2A52"/>
    <w:rsid w:val="00FD39AD"/>
    <w:rsid w:val="00FD3E23"/>
    <w:rsid w:val="00FD4DE0"/>
    <w:rsid w:val="00FD4E18"/>
    <w:rsid w:val="00FD7BF0"/>
    <w:rsid w:val="00FE0C1C"/>
    <w:rsid w:val="00FE122A"/>
    <w:rsid w:val="00FE31ED"/>
    <w:rsid w:val="00FE3E2B"/>
    <w:rsid w:val="00FE5C8F"/>
    <w:rsid w:val="00FE6CC9"/>
    <w:rsid w:val="00FE7090"/>
    <w:rsid w:val="00FE766C"/>
    <w:rsid w:val="00FE76B9"/>
    <w:rsid w:val="00FF5858"/>
    <w:rsid w:val="00FF6D81"/>
    <w:rsid w:val="00FF7424"/>
    <w:rsid w:val="00FF7965"/>
    <w:rsid w:val="00FF79DD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127"/>
  <w15:chartTrackingRefBased/>
  <w15:docId w15:val="{B2F1862B-842B-4478-A43E-F066175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23B91"/>
    <w:pPr>
      <w:numPr>
        <w:numId w:val="2"/>
      </w:numPr>
      <w:spacing w:before="240" w:after="120"/>
      <w:ind w:left="425" w:hanging="68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6BE"/>
    <w:pPr>
      <w:keepNext/>
      <w:numPr>
        <w:ilvl w:val="1"/>
        <w:numId w:val="3"/>
      </w:numPr>
      <w:spacing w:after="120"/>
      <w:ind w:left="357" w:hanging="357"/>
      <w:outlineLvl w:val="1"/>
    </w:pPr>
    <w:rPr>
      <w:rFonts w:cs="Calibri"/>
      <w:b/>
      <w:bCs/>
      <w:color w:val="000000"/>
      <w:sz w:val="26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numId w:val="5"/>
      </w:numPr>
      <w:ind w:left="425" w:hanging="431"/>
      <w:outlineLvl w:val="2"/>
    </w:pPr>
    <w:rPr>
      <w:rFonts w:eastAsiaTheme="majorEastAsia" w:cstheme="majorBidi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3552"/>
    <w:pPr>
      <w:keepNext/>
      <w:outlineLvl w:val="3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8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50744F"/>
    <w:pPr>
      <w:keepNext/>
      <w:numPr>
        <w:numId w:val="1"/>
      </w:numPr>
      <w:ind w:left="357" w:hanging="357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23B91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6BE"/>
    <w:rPr>
      <w:rFonts w:ascii="Calibri" w:eastAsia="Times New Roman" w:hAnsi="Calibri" w:cs="Calibri"/>
      <w:b/>
      <w:bCs/>
      <w:color w:val="00000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link w:val="Textpoznpodarou"/>
    <w:uiPriority w:val="99"/>
    <w:locked/>
    <w:rsid w:val="00291397"/>
    <w:rPr>
      <w:rFonts w:cs="Times New Roman"/>
      <w:sz w:val="20"/>
    </w:r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unhideWhenUsed/>
    <w:rsid w:val="00291397"/>
    <w:pPr>
      <w:widowControl/>
      <w:autoSpaceDE/>
      <w:autoSpaceDN/>
      <w:adjustRightInd/>
    </w:pPr>
    <w:rPr>
      <w:rFonts w:asciiTheme="minorHAnsi" w:eastAsiaTheme="minorHAnsi" w:hAnsiTheme="minorHAnsi" w:cs="Times New Roman"/>
      <w:sz w:val="20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List Paragraph_0,List Paragraph_1,List Paragraph_2,Nadpis pro KZ,Odrážky,Odstavec se seznamem1,Odstavec se seznamem2,můj Nadpis 2,odrážky,List Paragraph_0_0,List Paragraph,Odstavec cíl se seznamem"/>
    <w:basedOn w:val="Normln"/>
    <w:link w:val="OdstavecseseznamemChar"/>
    <w:uiPriority w:val="34"/>
    <w:qFormat/>
    <w:rsid w:val="00C6554F"/>
    <w:pPr>
      <w:widowControl/>
      <w:autoSpaceDE/>
      <w:autoSpaceDN/>
      <w:adjustRightInd/>
      <w:contextualSpacing/>
    </w:pPr>
    <w:rPr>
      <w:rFonts w:cs="Times New Roman"/>
      <w:szCs w:val="22"/>
      <w:lang w:eastAsia="en-US"/>
    </w:rPr>
  </w:style>
  <w:style w:type="character" w:customStyle="1" w:styleId="OdstavecseseznamemChar">
    <w:name w:val="Odstavec se seznamem Char"/>
    <w:aliases w:val="List Paragraph_0 Char,List Paragraph_1 Char,List Paragraph_2 Char,Nadpis pro KZ Char,Odrážky Char,Odstavec se seznamem1 Char,Odstavec se seznamem2 Char,můj Nadpis 2 Char,odrážky Char,List Paragraph_0_0 Char,List Paragraph Char"/>
    <w:link w:val="Odstavecseseznamem"/>
    <w:uiPriority w:val="34"/>
    <w:locked/>
    <w:rsid w:val="00C6554F"/>
    <w:rPr>
      <w:rFonts w:ascii="Calibri" w:eastAsia="Times New Roman" w:hAnsi="Calibri" w:cs="Times New Roman"/>
      <w:sz w:val="24"/>
    </w:rPr>
  </w:style>
  <w:style w:type="table" w:styleId="Mkatabulky">
    <w:name w:val="Table Grid"/>
    <w:basedOn w:val="Normlntabulka"/>
    <w:uiPriority w:val="3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CF761D"/>
    <w:pPr>
      <w:keepNext/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CF761D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C60166"/>
    <w:pPr>
      <w:keepNext/>
      <w:keepLines/>
      <w:widowControl/>
      <w:autoSpaceDE/>
      <w:autoSpaceDN/>
      <w:adjustRightInd/>
      <w:spacing w:after="120"/>
      <w:ind w:left="142" w:hanging="142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C60166"/>
    <w:rPr>
      <w:rFonts w:ascii="Calibri" w:eastAsia="Times New Roman" w:hAnsi="Calibri" w:cs="Times New Roman"/>
      <w:sz w:val="20"/>
      <w:szCs w:val="18"/>
      <w:lang w:eastAsia="cs-CZ"/>
    </w:rPr>
  </w:style>
  <w:style w:type="paragraph" w:customStyle="1" w:styleId="Nzevtabulky">
    <w:name w:val="Název tabulky"/>
    <w:basedOn w:val="Normln"/>
    <w:uiPriority w:val="99"/>
    <w:qFormat/>
    <w:rsid w:val="00B05FDE"/>
    <w:pPr>
      <w:keepNext/>
      <w:widowControl/>
      <w:numPr>
        <w:numId w:val="4"/>
      </w:numPr>
      <w:autoSpaceDE/>
      <w:autoSpaceDN/>
      <w:adjustRightInd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6D0DB3"/>
    <w:pPr>
      <w:numPr>
        <w:numId w:val="6"/>
      </w:numPr>
      <w:ind w:left="1560" w:hanging="153"/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3552"/>
    <w:rPr>
      <w:rFonts w:ascii="Calibri" w:eastAsia="Times New Roman" w:hAnsi="Calibri" w:cs="Arial"/>
      <w:b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34352E"/>
    <w:rPr>
      <w:b/>
      <w:bCs/>
    </w:rPr>
  </w:style>
  <w:style w:type="paragraph" w:customStyle="1" w:styleId="Nadpisshrnut">
    <w:name w:val="Nadpis shrnutí"/>
    <w:basedOn w:val="Normln"/>
    <w:qFormat/>
    <w:rsid w:val="00BA2F3C"/>
    <w:pPr>
      <w:numPr>
        <w:numId w:val="8"/>
      </w:numPr>
      <w:spacing w:after="60"/>
      <w:ind w:left="357" w:hanging="357"/>
    </w:pPr>
    <w:rPr>
      <w:b/>
      <w:szCs w:val="25"/>
    </w:rPr>
  </w:style>
  <w:style w:type="character" w:customStyle="1" w:styleId="Nadpis6Char">
    <w:name w:val="Nadpis 6 Char"/>
    <w:basedOn w:val="Standardnpsmoodstavce"/>
    <w:link w:val="Nadpis6"/>
    <w:uiPriority w:val="9"/>
    <w:rsid w:val="004E384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7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545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1">
    <w:name w:val="A1"/>
    <w:uiPriority w:val="99"/>
    <w:rsid w:val="00964D74"/>
    <w:rPr>
      <w:color w:val="000000"/>
      <w:sz w:val="28"/>
      <w:szCs w:val="28"/>
    </w:rPr>
  </w:style>
  <w:style w:type="character" w:customStyle="1" w:styleId="A4">
    <w:name w:val="A4"/>
    <w:uiPriority w:val="99"/>
    <w:rsid w:val="00964D74"/>
    <w:rPr>
      <w:color w:val="000000"/>
      <w:sz w:val="60"/>
      <w:szCs w:val="60"/>
    </w:rPr>
  </w:style>
  <w:style w:type="character" w:customStyle="1" w:styleId="A5">
    <w:name w:val="A5"/>
    <w:uiPriority w:val="99"/>
    <w:rsid w:val="00964D74"/>
    <w:rPr>
      <w:b/>
      <w:bCs/>
      <w:color w:val="000000"/>
      <w:sz w:val="40"/>
      <w:szCs w:val="40"/>
    </w:rPr>
  </w:style>
  <w:style w:type="paragraph" w:customStyle="1" w:styleId="Nadpiskapitoly">
    <w:name w:val="Nadpis kapitoly"/>
    <w:basedOn w:val="Odstavecseseznamem"/>
    <w:link w:val="NadpiskapitolyChar"/>
    <w:qFormat/>
    <w:rsid w:val="004630DD"/>
    <w:pPr>
      <w:numPr>
        <w:numId w:val="10"/>
      </w:numPr>
      <w:spacing w:after="120"/>
      <w:ind w:left="0" w:firstLine="0"/>
      <w:contextualSpacing w:val="0"/>
    </w:pPr>
    <w:rPr>
      <w:b/>
      <w:szCs w:val="24"/>
    </w:rPr>
  </w:style>
  <w:style w:type="paragraph" w:customStyle="1" w:styleId="Kapitoly">
    <w:name w:val="Kapitoly"/>
    <w:basedOn w:val="Odstavecseseznamem"/>
    <w:link w:val="KapitolyChar"/>
    <w:qFormat/>
    <w:rsid w:val="001A239E"/>
    <w:pPr>
      <w:numPr>
        <w:numId w:val="12"/>
      </w:numPr>
      <w:ind w:left="357" w:hanging="357"/>
      <w:contextualSpacing w:val="0"/>
    </w:pPr>
    <w:rPr>
      <w:b/>
      <w:szCs w:val="24"/>
    </w:rPr>
  </w:style>
  <w:style w:type="character" w:customStyle="1" w:styleId="NadpiskapitolyChar">
    <w:name w:val="Nadpis kapitoly Char"/>
    <w:basedOn w:val="OdstavecseseznamemChar"/>
    <w:link w:val="Nadpiskapitoly"/>
    <w:rsid w:val="004630DD"/>
    <w:rPr>
      <w:rFonts w:ascii="Calibri" w:eastAsia="Times New Roman" w:hAnsi="Calibri" w:cs="Times New Roman"/>
      <w:b/>
      <w:sz w:val="24"/>
      <w:szCs w:val="24"/>
    </w:rPr>
  </w:style>
  <w:style w:type="character" w:customStyle="1" w:styleId="KapitolyChar">
    <w:name w:val="Kapitoly Char"/>
    <w:basedOn w:val="OdstavecseseznamemChar"/>
    <w:link w:val="Kapitoly"/>
    <w:rsid w:val="001A239E"/>
    <w:rPr>
      <w:rFonts w:ascii="Calibri" w:eastAsia="Times New Roman" w:hAnsi="Calibri" w:cs="Times New Roman"/>
      <w:b/>
      <w:sz w:val="24"/>
      <w:szCs w:val="24"/>
    </w:rPr>
  </w:style>
  <w:style w:type="paragraph" w:styleId="Revize">
    <w:name w:val="Revision"/>
    <w:hidden/>
    <w:uiPriority w:val="99"/>
    <w:semiHidden/>
    <w:rsid w:val="00F0043C"/>
    <w:pPr>
      <w:spacing w:after="0" w:line="240" w:lineRule="auto"/>
    </w:pPr>
    <w:rPr>
      <w:rFonts w:ascii="Calibri" w:eastAsia="Times New Roman" w:hAnsi="Calibri" w:cs="Arial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da.cz/assets/ppov/protidrogova-politika/vyrocni-zpravy/VZdrogy2019_v02_s-obalkou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IMCIK\KA\KA%202012\Z&#225;v&#283;r\P&#345;&#237;lohy\evropsk&#233;%20srovn&#225;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IMCIK\KA\KA%202012\Z&#225;v&#283;r\P&#345;&#237;lohy\alkoho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IMCIK\KA\KA%202012\Z&#225;v&#283;r\P&#345;&#237;lohy\alkoho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Turecko</c:v>
                </c:pt>
                <c:pt idx="1">
                  <c:v>Itálie</c:v>
                </c:pt>
                <c:pt idx="2">
                  <c:v>Rakousko</c:v>
                </c:pt>
                <c:pt idx="3">
                  <c:v>Dánsko</c:v>
                </c:pt>
                <c:pt idx="4">
                  <c:v>Lotyšsko</c:v>
                </c:pt>
                <c:pt idx="5">
                  <c:v>Portugalsko</c:v>
                </c:pt>
                <c:pt idx="6">
                  <c:v>Česko</c:v>
                </c:pt>
                <c:pt idx="7">
                  <c:v>Maďarsko</c:v>
                </c:pt>
                <c:pt idx="8">
                  <c:v>Slovensko</c:v>
                </c:pt>
                <c:pt idx="9">
                  <c:v>Rumunsko</c:v>
                </c:pt>
                <c:pt idx="10">
                  <c:v>Kypr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657</c:v>
                </c:pt>
                <c:pt idx="1">
                  <c:v>334</c:v>
                </c:pt>
                <c:pt idx="2">
                  <c:v>184</c:v>
                </c:pt>
                <c:pt idx="3">
                  <c:v>181</c:v>
                </c:pt>
                <c:pt idx="4">
                  <c:v>64</c:v>
                </c:pt>
                <c:pt idx="5">
                  <c:v>49</c:v>
                </c:pt>
                <c:pt idx="6">
                  <c:v>39</c:v>
                </c:pt>
                <c:pt idx="7">
                  <c:v>33</c:v>
                </c:pt>
                <c:pt idx="8">
                  <c:v>32</c:v>
                </c:pt>
                <c:pt idx="9">
                  <c:v>26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A-4471-96AC-BFF344EE5ED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Turecko</c:v>
                </c:pt>
                <c:pt idx="1">
                  <c:v>Itálie</c:v>
                </c:pt>
                <c:pt idx="2">
                  <c:v>Rakousko</c:v>
                </c:pt>
                <c:pt idx="3">
                  <c:v>Dánsko</c:v>
                </c:pt>
                <c:pt idx="4">
                  <c:v>Lotyšsko</c:v>
                </c:pt>
                <c:pt idx="5">
                  <c:v>Portugalsko</c:v>
                </c:pt>
                <c:pt idx="6">
                  <c:v>Česko</c:v>
                </c:pt>
                <c:pt idx="7">
                  <c:v>Maďarsko</c:v>
                </c:pt>
                <c:pt idx="8">
                  <c:v>Slovensko</c:v>
                </c:pt>
                <c:pt idx="9">
                  <c:v>Rumunsko</c:v>
                </c:pt>
                <c:pt idx="10">
                  <c:v>Kypr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941</c:v>
                </c:pt>
                <c:pt idx="1">
                  <c:v>296</c:v>
                </c:pt>
                <c:pt idx="2">
                  <c:v>154</c:v>
                </c:pt>
                <c:pt idx="3">
                  <c:v>166</c:v>
                </c:pt>
                <c:pt idx="4">
                  <c:v>27</c:v>
                </c:pt>
                <c:pt idx="5">
                  <c:v>38</c:v>
                </c:pt>
                <c:pt idx="6">
                  <c:v>42</c:v>
                </c:pt>
                <c:pt idx="7">
                  <c:v>33</c:v>
                </c:pt>
                <c:pt idx="8">
                  <c:v>19</c:v>
                </c:pt>
                <c:pt idx="9">
                  <c:v>32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A-4471-96AC-BFF344EE5ED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Turecko</c:v>
                </c:pt>
                <c:pt idx="1">
                  <c:v>Itálie</c:v>
                </c:pt>
                <c:pt idx="2">
                  <c:v>Rakousko</c:v>
                </c:pt>
                <c:pt idx="3">
                  <c:v>Dánsko</c:v>
                </c:pt>
                <c:pt idx="4">
                  <c:v>Lotyšsko</c:v>
                </c:pt>
                <c:pt idx="5">
                  <c:v>Portugalsko</c:v>
                </c:pt>
                <c:pt idx="6">
                  <c:v>Česko</c:v>
                </c:pt>
                <c:pt idx="7">
                  <c:v>Maďarsko</c:v>
                </c:pt>
                <c:pt idx="8">
                  <c:v>Slovensko</c:v>
                </c:pt>
                <c:pt idx="9">
                  <c:v>Rumunsko</c:v>
                </c:pt>
                <c:pt idx="10">
                  <c:v>Kypr</c:v>
                </c:pt>
              </c:strCache>
            </c:strRef>
          </c:cat>
          <c:val>
            <c:numRef>
              <c:f>List1!$D$2:$D$12</c:f>
              <c:numCache>
                <c:formatCode>General</c:formatCode>
                <c:ptCount val="11"/>
                <c:pt idx="0">
                  <c:v>920</c:v>
                </c:pt>
                <c:pt idx="1">
                  <c:v>268</c:v>
                </c:pt>
                <c:pt idx="2">
                  <c:v>165</c:v>
                </c:pt>
                <c:pt idx="3">
                  <c:v>209</c:v>
                </c:pt>
                <c:pt idx="4">
                  <c:v>41</c:v>
                </c:pt>
                <c:pt idx="5">
                  <c:v>27</c:v>
                </c:pt>
                <c:pt idx="6">
                  <c:v>32</c:v>
                </c:pt>
                <c:pt idx="7">
                  <c:v>29</c:v>
                </c:pt>
                <c:pt idx="8">
                  <c:v>20</c:v>
                </c:pt>
                <c:pt idx="9">
                  <c:v>19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FA-4471-96AC-BFF344EE5EDC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Turecko</c:v>
                </c:pt>
                <c:pt idx="1">
                  <c:v>Itálie</c:v>
                </c:pt>
                <c:pt idx="2">
                  <c:v>Rakousko</c:v>
                </c:pt>
                <c:pt idx="3">
                  <c:v>Dánsko</c:v>
                </c:pt>
                <c:pt idx="4">
                  <c:v>Lotyšsko</c:v>
                </c:pt>
                <c:pt idx="5">
                  <c:v>Portugalsko</c:v>
                </c:pt>
                <c:pt idx="6">
                  <c:v>Česko</c:v>
                </c:pt>
                <c:pt idx="7">
                  <c:v>Maďarsko</c:v>
                </c:pt>
                <c:pt idx="8">
                  <c:v>Slovensko</c:v>
                </c:pt>
                <c:pt idx="9">
                  <c:v>Rumunsko</c:v>
                </c:pt>
                <c:pt idx="10">
                  <c:v>Kypr</c:v>
                </c:pt>
              </c:strCache>
            </c:strRef>
          </c:cat>
          <c:val>
            <c:numRef>
              <c:f>List1!$E$2:$E$12</c:f>
              <c:numCache>
                <c:formatCode>General</c:formatCode>
                <c:ptCount val="11"/>
                <c:pt idx="0">
                  <c:v>590</c:v>
                </c:pt>
                <c:pt idx="1">
                  <c:v>308</c:v>
                </c:pt>
                <c:pt idx="2">
                  <c:v>153</c:v>
                </c:pt>
                <c:pt idx="3">
                  <c:v>167</c:v>
                </c:pt>
                <c:pt idx="4">
                  <c:v>25</c:v>
                </c:pt>
                <c:pt idx="5">
                  <c:v>40</c:v>
                </c:pt>
                <c:pt idx="6">
                  <c:v>44</c:v>
                </c:pt>
                <c:pt idx="7">
                  <c:v>25</c:v>
                </c:pt>
                <c:pt idx="8">
                  <c:v>27</c:v>
                </c:pt>
                <c:pt idx="9">
                  <c:v>21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FA-4471-96AC-BFF344EE5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267488"/>
        <c:axId val="1158261664"/>
      </c:barChart>
      <c:catAx>
        <c:axId val="115826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8261664"/>
        <c:crosses val="autoZero"/>
        <c:auto val="1"/>
        <c:lblAlgn val="ctr"/>
        <c:lblOffset val="100"/>
        <c:noMultiLvlLbl val="0"/>
      </c:catAx>
      <c:valAx>
        <c:axId val="1158261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826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alkohol!$B$1</c:f>
              <c:strCache>
                <c:ptCount val="1"/>
                <c:pt idx="0">
                  <c:v>2007/2008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alkohol!$A$2:$A$22</c:f>
              <c:strCache>
                <c:ptCount val="21"/>
                <c:pt idx="0">
                  <c:v>Litva</c:v>
                </c:pt>
                <c:pt idx="1">
                  <c:v>Rakousko</c:v>
                </c:pt>
                <c:pt idx="2">
                  <c:v>Francie</c:v>
                </c:pt>
                <c:pt idx="3">
                  <c:v>Česko</c:v>
                </c:pt>
                <c:pt idx="4">
                  <c:v>Lucembursko</c:v>
                </c:pt>
                <c:pt idx="5">
                  <c:v>Lotyšsko</c:v>
                </c:pt>
                <c:pt idx="6">
                  <c:v>Irsko</c:v>
                </c:pt>
                <c:pt idx="7">
                  <c:v>Rusko</c:v>
                </c:pt>
                <c:pt idx="8">
                  <c:v>Maďarsko</c:v>
                </c:pt>
                <c:pt idx="9">
                  <c:v>Německo</c:v>
                </c:pt>
                <c:pt idx="10">
                  <c:v>Portugalsko</c:v>
                </c:pt>
                <c:pt idx="11">
                  <c:v>Polsko</c:v>
                </c:pt>
                <c:pt idx="12">
                  <c:v>Belgie</c:v>
                </c:pt>
                <c:pt idx="13">
                  <c:v>Estonsko</c:v>
                </c:pt>
                <c:pt idx="14">
                  <c:v>Slovinsko</c:v>
                </c:pt>
                <c:pt idx="15">
                  <c:v>Velká Británie</c:v>
                </c:pt>
                <c:pt idx="16">
                  <c:v>Slovensko</c:v>
                </c:pt>
                <c:pt idx="17">
                  <c:v>Austrálie</c:v>
                </c:pt>
                <c:pt idx="18">
                  <c:v>Švýcarsko</c:v>
                </c:pt>
                <c:pt idx="19">
                  <c:v>Dánsko</c:v>
                </c:pt>
                <c:pt idx="20">
                  <c:v>USA</c:v>
                </c:pt>
              </c:strCache>
            </c:strRef>
          </c:cat>
          <c:val>
            <c:numRef>
              <c:f>alkohol!$B$2:$B$22</c:f>
              <c:numCache>
                <c:formatCode>General</c:formatCode>
                <c:ptCount val="21"/>
                <c:pt idx="0">
                  <c:v>13.9</c:v>
                </c:pt>
                <c:pt idx="1">
                  <c:v>12.9</c:v>
                </c:pt>
                <c:pt idx="2">
                  <c:v>12.9</c:v>
                </c:pt>
                <c:pt idx="3">
                  <c:v>12.1</c:v>
                </c:pt>
                <c:pt idx="4">
                  <c:v>12.2</c:v>
                </c:pt>
                <c:pt idx="5">
                  <c:v>12.1</c:v>
                </c:pt>
                <c:pt idx="6">
                  <c:v>13.2</c:v>
                </c:pt>
                <c:pt idx="7">
                  <c:v>18</c:v>
                </c:pt>
                <c:pt idx="8">
                  <c:v>12.6</c:v>
                </c:pt>
                <c:pt idx="9">
                  <c:v>11.9</c:v>
                </c:pt>
                <c:pt idx="10">
                  <c:v>12.6</c:v>
                </c:pt>
                <c:pt idx="11">
                  <c:v>10.3</c:v>
                </c:pt>
                <c:pt idx="12">
                  <c:v>10.3</c:v>
                </c:pt>
                <c:pt idx="13">
                  <c:v>14.8</c:v>
                </c:pt>
                <c:pt idx="14">
                  <c:v>11</c:v>
                </c:pt>
                <c:pt idx="15">
                  <c:v>11.1</c:v>
                </c:pt>
                <c:pt idx="16">
                  <c:v>10.7</c:v>
                </c:pt>
                <c:pt idx="17">
                  <c:v>10.8</c:v>
                </c:pt>
                <c:pt idx="18">
                  <c:v>10.4</c:v>
                </c:pt>
                <c:pt idx="19">
                  <c:v>12.1</c:v>
                </c:pt>
                <c:pt idx="20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3-43D5-9745-E2BB706EAFF0}"/>
            </c:ext>
          </c:extLst>
        </c:ser>
        <c:ser>
          <c:idx val="1"/>
          <c:order val="1"/>
          <c:tx>
            <c:strRef>
              <c:f>alkohol!$C$1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alkohol!$A$2:$A$22</c:f>
              <c:strCache>
                <c:ptCount val="21"/>
                <c:pt idx="0">
                  <c:v>Litva</c:v>
                </c:pt>
                <c:pt idx="1">
                  <c:v>Rakousko</c:v>
                </c:pt>
                <c:pt idx="2">
                  <c:v>Francie</c:v>
                </c:pt>
                <c:pt idx="3">
                  <c:v>Česko</c:v>
                </c:pt>
                <c:pt idx="4">
                  <c:v>Lucembursko</c:v>
                </c:pt>
                <c:pt idx="5">
                  <c:v>Lotyšsko</c:v>
                </c:pt>
                <c:pt idx="6">
                  <c:v>Irsko</c:v>
                </c:pt>
                <c:pt idx="7">
                  <c:v>Rusko</c:v>
                </c:pt>
                <c:pt idx="8">
                  <c:v>Maďarsko</c:v>
                </c:pt>
                <c:pt idx="9">
                  <c:v>Německo</c:v>
                </c:pt>
                <c:pt idx="10">
                  <c:v>Portugalsko</c:v>
                </c:pt>
                <c:pt idx="11">
                  <c:v>Polsko</c:v>
                </c:pt>
                <c:pt idx="12">
                  <c:v>Belgie</c:v>
                </c:pt>
                <c:pt idx="13">
                  <c:v>Estonsko</c:v>
                </c:pt>
                <c:pt idx="14">
                  <c:v>Slovinsko</c:v>
                </c:pt>
                <c:pt idx="15">
                  <c:v>Velká Británie</c:v>
                </c:pt>
                <c:pt idx="16">
                  <c:v>Slovensko</c:v>
                </c:pt>
                <c:pt idx="17">
                  <c:v>Austrálie</c:v>
                </c:pt>
                <c:pt idx="18">
                  <c:v>Švýcarsko</c:v>
                </c:pt>
                <c:pt idx="19">
                  <c:v>Dánsko</c:v>
                </c:pt>
                <c:pt idx="20">
                  <c:v>USA</c:v>
                </c:pt>
              </c:strCache>
            </c:strRef>
          </c:cat>
          <c:val>
            <c:numRef>
              <c:f>alkohol!$C$2:$C$22</c:f>
              <c:numCache>
                <c:formatCode>General</c:formatCode>
                <c:ptCount val="21"/>
                <c:pt idx="0">
                  <c:v>12.3</c:v>
                </c:pt>
                <c:pt idx="1">
                  <c:v>11.8</c:v>
                </c:pt>
                <c:pt idx="2">
                  <c:v>11.7</c:v>
                </c:pt>
                <c:pt idx="3">
                  <c:v>11.6</c:v>
                </c:pt>
                <c:pt idx="4">
                  <c:v>11.3</c:v>
                </c:pt>
                <c:pt idx="5">
                  <c:v>11.2</c:v>
                </c:pt>
                <c:pt idx="6">
                  <c:v>11.2</c:v>
                </c:pt>
                <c:pt idx="7">
                  <c:v>11.1</c:v>
                </c:pt>
                <c:pt idx="8">
                  <c:v>11.1</c:v>
                </c:pt>
                <c:pt idx="9">
                  <c:v>10.9</c:v>
                </c:pt>
                <c:pt idx="10">
                  <c:v>10.7</c:v>
                </c:pt>
                <c:pt idx="11">
                  <c:v>10.6</c:v>
                </c:pt>
                <c:pt idx="12">
                  <c:v>10.4</c:v>
                </c:pt>
                <c:pt idx="13">
                  <c:v>10.3</c:v>
                </c:pt>
                <c:pt idx="14">
                  <c:v>10.1</c:v>
                </c:pt>
                <c:pt idx="15">
                  <c:v>9.6999999999999993</c:v>
                </c:pt>
                <c:pt idx="16">
                  <c:v>9.6999999999999993</c:v>
                </c:pt>
                <c:pt idx="17">
                  <c:v>9.4</c:v>
                </c:pt>
                <c:pt idx="18">
                  <c:v>9.1999999999999993</c:v>
                </c:pt>
                <c:pt idx="19">
                  <c:v>9.1</c:v>
                </c:pt>
                <c:pt idx="20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C3-43D5-9745-E2BB706EA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2770624"/>
        <c:axId val="1212768544"/>
      </c:barChart>
      <c:catAx>
        <c:axId val="121277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12768544"/>
        <c:crosses val="autoZero"/>
        <c:auto val="1"/>
        <c:lblAlgn val="ctr"/>
        <c:lblOffset val="100"/>
        <c:noMultiLvlLbl val="0"/>
      </c:catAx>
      <c:valAx>
        <c:axId val="121276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1277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kouření!$B$1</c:f>
              <c:strCache>
                <c:ptCount val="1"/>
                <c:pt idx="0">
                  <c:v>podíl denních kuřáků v populaci starší 15 let (v 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kouření!$A$2:$A$18</c:f>
              <c:strCache>
                <c:ptCount val="17"/>
                <c:pt idx="0">
                  <c:v>Řecko</c:v>
                </c:pt>
                <c:pt idx="1">
                  <c:v>Rusko</c:v>
                </c:pt>
                <c:pt idx="2">
                  <c:v>Turecko</c:v>
                </c:pt>
                <c:pt idx="3">
                  <c:v>Francie</c:v>
                </c:pt>
                <c:pt idx="4">
                  <c:v>Chile</c:v>
                </c:pt>
                <c:pt idx="5">
                  <c:v>Španělsko</c:v>
                </c:pt>
                <c:pt idx="6">
                  <c:v>Česko</c:v>
                </c:pt>
                <c:pt idx="7">
                  <c:v>Itálie</c:v>
                </c:pt>
                <c:pt idx="8">
                  <c:v>Švýcarsko</c:v>
                </c:pt>
                <c:pt idx="9">
                  <c:v>Německo</c:v>
                </c:pt>
                <c:pt idx="10">
                  <c:v>Japonsko</c:v>
                </c:pt>
                <c:pt idx="11">
                  <c:v>Korea</c:v>
                </c:pt>
                <c:pt idx="12">
                  <c:v>Estonsko</c:v>
                </c:pt>
                <c:pt idx="13">
                  <c:v>Dánsko</c:v>
                </c:pt>
                <c:pt idx="14">
                  <c:v>Izrael</c:v>
                </c:pt>
                <c:pt idx="15">
                  <c:v>Lucembursko</c:v>
                </c:pt>
                <c:pt idx="16">
                  <c:v>Velká Británie</c:v>
                </c:pt>
              </c:strCache>
            </c:strRef>
          </c:cat>
          <c:val>
            <c:numRef>
              <c:f>kouření!$B$2:$B$18</c:f>
              <c:numCache>
                <c:formatCode>0.00</c:formatCode>
                <c:ptCount val="17"/>
                <c:pt idx="0">
                  <c:v>35</c:v>
                </c:pt>
                <c:pt idx="1">
                  <c:v>26.7</c:v>
                </c:pt>
                <c:pt idx="2">
                  <c:v>26.5</c:v>
                </c:pt>
                <c:pt idx="3">
                  <c:v>25.4</c:v>
                </c:pt>
                <c:pt idx="4">
                  <c:v>24.5</c:v>
                </c:pt>
                <c:pt idx="5">
                  <c:v>22.1</c:v>
                </c:pt>
                <c:pt idx="6">
                  <c:v>21.1</c:v>
                </c:pt>
                <c:pt idx="7">
                  <c:v>19.2</c:v>
                </c:pt>
                <c:pt idx="8">
                  <c:v>19.100000000000001</c:v>
                </c:pt>
                <c:pt idx="9">
                  <c:v>18.8</c:v>
                </c:pt>
                <c:pt idx="10">
                  <c:v>17.8</c:v>
                </c:pt>
                <c:pt idx="11">
                  <c:v>17.5</c:v>
                </c:pt>
                <c:pt idx="12">
                  <c:v>17.2</c:v>
                </c:pt>
                <c:pt idx="13">
                  <c:v>16.899999999999999</c:v>
                </c:pt>
                <c:pt idx="14">
                  <c:v>16.899999999999999</c:v>
                </c:pt>
                <c:pt idx="15">
                  <c:v>16.8</c:v>
                </c:pt>
                <c:pt idx="16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0-4488-A7B6-D6734C508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2766464"/>
        <c:axId val="1212765216"/>
      </c:barChart>
      <c:catAx>
        <c:axId val="12127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12765216"/>
        <c:crosses val="autoZero"/>
        <c:auto val="1"/>
        <c:lblAlgn val="ctr"/>
        <c:lblOffset val="100"/>
        <c:noMultiLvlLbl val="0"/>
      </c:catAx>
      <c:valAx>
        <c:axId val="121276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1276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C85-9480-420F-B53F-1F5360BAE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1AA7C-0434-4684-86DB-0FDC8F1C5AE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01DFAC-23B1-4C7F-B274-ECE4100A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73D86-8DE5-4B67-AD38-5609C2C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5393CD89.dotm</Template>
  <TotalTime>1</TotalTime>
  <Pages>24</Pages>
  <Words>8066</Words>
  <Characters>47591</Characters>
  <Application>Microsoft Office Word</Application>
  <DocSecurity>4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20/12</vt:lpstr>
    </vt:vector>
  </TitlesOfParts>
  <Company>NKU</Company>
  <LinksUpToDate>false</LinksUpToDate>
  <CharactersWithSpaces>55546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20/12 - Peněžní prostředky státu poskytované na programy protidrogové politiky</dc:title>
  <dc:subject>Kontrolní závěr z kontrolní akce NKÚ č. 20/12 - Peněžní prostředky státu poskytované na programy protidrogové politiky</dc:subject>
  <dc:creator>Nejvyšší kontnrolní úřad</dc:creator>
  <cp:keywords>kontrolní závěr; protidrogová politika</cp:keywords>
  <dc:description/>
  <cp:lastModifiedBy>KOKRDA Daniel</cp:lastModifiedBy>
  <cp:revision>2</cp:revision>
  <cp:lastPrinted>2021-04-09T12:32:00Z</cp:lastPrinted>
  <dcterms:created xsi:type="dcterms:W3CDTF">2021-05-04T10:49:00Z</dcterms:created>
  <dcterms:modified xsi:type="dcterms:W3CDTF">2021-05-04T10:49:00Z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18/11-NKU30/12/19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860/92/18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4.1.2019</vt:lpwstr>
  </property>
  <property fmtid="{D5CDD505-2E9C-101B-9397-08002B2CF9AE}" pid="12" name="DisplayName_CJCol">
    <vt:lpwstr>18/11-NKU30/12/19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19-172/NKU</vt:lpwstr>
  </property>
  <property fmtid="{D5CDD505-2E9C-101B-9397-08002B2CF9AE}" pid="18" name="Key_BarCode_Pisemnost">
    <vt:lpwstr>*B000327562*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18/11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18/11 - do připomínek</vt:lpwstr>
  </property>
  <property fmtid="{D5CDD505-2E9C-101B-9397-08002B2CF9AE}" pid="36" name="Zkratka_SpisovyUzel_PoziceZodpo_Pisemnost">
    <vt:lpwstr>30</vt:lpwstr>
  </property>
</Properties>
</file>