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9EFA" w14:textId="77777777" w:rsidR="00853B8D" w:rsidRPr="00853B8D" w:rsidRDefault="00E10443" w:rsidP="001951C0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8"/>
          <w:lang w:eastAsia="cs-CZ"/>
        </w:rPr>
      </w:pPr>
      <w:bookmarkStart w:id="0" w:name="_Hlk89319539"/>
      <w:bookmarkEnd w:id="0"/>
      <w:r w:rsidRPr="00853B8D">
        <w:rPr>
          <w:rFonts w:ascii="Calibri" w:eastAsia="Times New Roman" w:hAnsi="Calibri" w:cs="Calibr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A9FE88C" wp14:editId="03A8F285">
            <wp:simplePos x="0" y="0"/>
            <wp:positionH relativeFrom="column">
              <wp:posOffset>2503170</wp:posOffset>
            </wp:positionH>
            <wp:positionV relativeFrom="paragraph">
              <wp:posOffset>14909</wp:posOffset>
            </wp:positionV>
            <wp:extent cx="763270" cy="539750"/>
            <wp:effectExtent l="0" t="0" r="0" b="0"/>
            <wp:wrapTopAndBottom/>
            <wp:docPr id="1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415139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ADA06" w14:textId="77777777" w:rsidR="00916EDC" w:rsidRDefault="00916EDC" w:rsidP="001951C0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8"/>
          <w:lang w:eastAsia="cs-CZ"/>
        </w:rPr>
      </w:pPr>
    </w:p>
    <w:p w14:paraId="434B061A" w14:textId="77777777" w:rsidR="00D928D2" w:rsidRDefault="00D928D2" w:rsidP="001951C0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8"/>
          <w:lang w:eastAsia="cs-CZ"/>
        </w:rPr>
      </w:pPr>
    </w:p>
    <w:p w14:paraId="3035D8D5" w14:textId="77777777" w:rsidR="00916EDC" w:rsidRPr="00916EDC" w:rsidRDefault="00E10443" w:rsidP="001951C0">
      <w:pP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cs-CZ"/>
        </w:rPr>
      </w:pPr>
      <w:bookmarkStart w:id="1" w:name="_GoBack"/>
      <w:r w:rsidRPr="00916EDC">
        <w:rPr>
          <w:rFonts w:eastAsia="Times New Roman" w:cstheme="minorHAnsi"/>
          <w:b/>
          <w:sz w:val="28"/>
          <w:szCs w:val="28"/>
          <w:lang w:eastAsia="cs-CZ"/>
        </w:rPr>
        <w:t>Kontrolní závěr z kontrolní akce</w:t>
      </w:r>
    </w:p>
    <w:p w14:paraId="1CCC1E80" w14:textId="77777777" w:rsidR="00916EDC" w:rsidRPr="00830BD1" w:rsidRDefault="00916EDC" w:rsidP="001951C0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</w:p>
    <w:p w14:paraId="5DBAD40A" w14:textId="77777777" w:rsidR="00916EDC" w:rsidRDefault="00E10443" w:rsidP="001951C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2</w:t>
      </w:r>
      <w:r w:rsidR="00B32FAB">
        <w:rPr>
          <w:rFonts w:eastAsia="Times New Roman" w:cstheme="minorHAnsi"/>
          <w:b/>
          <w:bCs/>
          <w:sz w:val="28"/>
          <w:szCs w:val="28"/>
        </w:rPr>
        <w:t>1</w:t>
      </w:r>
      <w:r w:rsidR="00AB11EE" w:rsidRPr="00916EDC">
        <w:rPr>
          <w:rFonts w:eastAsia="Times New Roman" w:cstheme="minorHAnsi"/>
          <w:b/>
          <w:bCs/>
          <w:sz w:val="28"/>
          <w:szCs w:val="28"/>
        </w:rPr>
        <w:t>/</w:t>
      </w:r>
      <w:r w:rsidR="00B32FAB">
        <w:rPr>
          <w:rFonts w:eastAsia="Times New Roman" w:cstheme="minorHAnsi"/>
          <w:b/>
          <w:bCs/>
          <w:sz w:val="28"/>
          <w:szCs w:val="28"/>
        </w:rPr>
        <w:t>03</w:t>
      </w:r>
    </w:p>
    <w:p w14:paraId="63655EAB" w14:textId="77777777" w:rsidR="001951C0" w:rsidRPr="00830BD1" w:rsidRDefault="001951C0" w:rsidP="001951C0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</w:p>
    <w:p w14:paraId="42EDBA8F" w14:textId="77777777" w:rsidR="00B32FAB" w:rsidRDefault="00B32FAB" w:rsidP="001951C0">
      <w:pPr>
        <w:tabs>
          <w:tab w:val="left" w:pos="7988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32FAB">
        <w:rPr>
          <w:rFonts w:eastAsia="Times New Roman" w:cstheme="minorHAnsi"/>
          <w:b/>
          <w:sz w:val="28"/>
          <w:szCs w:val="28"/>
          <w:lang w:eastAsia="cs-CZ"/>
        </w:rPr>
        <w:t xml:space="preserve">Peněžní prostředky státu a Evropské unie </w:t>
      </w:r>
    </w:p>
    <w:p w14:paraId="351AE421" w14:textId="77777777" w:rsidR="00916EDC" w:rsidRPr="00B32FAB" w:rsidRDefault="00B32FAB" w:rsidP="001951C0">
      <w:pPr>
        <w:tabs>
          <w:tab w:val="left" w:pos="7988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32FAB">
        <w:rPr>
          <w:rFonts w:eastAsia="Times New Roman" w:cstheme="minorHAnsi"/>
          <w:b/>
          <w:sz w:val="28"/>
          <w:szCs w:val="28"/>
          <w:lang w:eastAsia="cs-CZ"/>
        </w:rPr>
        <w:t>určené na podporu rekreační plavby</w:t>
      </w:r>
      <w:bookmarkEnd w:id="1"/>
    </w:p>
    <w:p w14:paraId="63AE9A35" w14:textId="77777777" w:rsidR="00BE32F2" w:rsidRDefault="00BE32F2" w:rsidP="001951C0">
      <w:pPr>
        <w:tabs>
          <w:tab w:val="left" w:pos="798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C5EC363" w14:textId="77777777" w:rsidR="00B32FAB" w:rsidRPr="006C6B3C" w:rsidRDefault="00B32FAB" w:rsidP="001951C0">
      <w:pPr>
        <w:tabs>
          <w:tab w:val="left" w:pos="798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A7A8888" w14:textId="77777777" w:rsidR="002D780E" w:rsidRPr="006C6B3C" w:rsidRDefault="00E10443" w:rsidP="001951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6B3C">
        <w:rPr>
          <w:rFonts w:eastAsia="Times New Roman" w:cstheme="minorHAnsi"/>
          <w:sz w:val="24"/>
          <w:szCs w:val="24"/>
        </w:rPr>
        <w:t xml:space="preserve">Kontrolní akce byla zařazena do plánu kontrolní činnosti Nejvyššího kontrolního úřadu (dále </w:t>
      </w:r>
      <w:r w:rsidR="00C749B2" w:rsidRPr="006C6B3C">
        <w:rPr>
          <w:rFonts w:eastAsia="Times New Roman" w:cstheme="minorHAnsi"/>
          <w:sz w:val="24"/>
          <w:szCs w:val="24"/>
        </w:rPr>
        <w:t>také</w:t>
      </w:r>
      <w:r w:rsidRPr="006C6B3C">
        <w:rPr>
          <w:rFonts w:eastAsia="Times New Roman" w:cstheme="minorHAnsi"/>
          <w:sz w:val="24"/>
          <w:szCs w:val="24"/>
        </w:rPr>
        <w:t xml:space="preserve"> „NKÚ“) na rok 20</w:t>
      </w:r>
      <w:r w:rsidR="00C6450C">
        <w:rPr>
          <w:rFonts w:eastAsia="Times New Roman" w:cstheme="minorHAnsi"/>
          <w:sz w:val="24"/>
          <w:szCs w:val="24"/>
        </w:rPr>
        <w:t>2</w:t>
      </w:r>
      <w:r w:rsidR="00B32FAB">
        <w:rPr>
          <w:rFonts w:eastAsia="Times New Roman" w:cstheme="minorHAnsi"/>
          <w:sz w:val="24"/>
          <w:szCs w:val="24"/>
        </w:rPr>
        <w:t>1</w:t>
      </w:r>
      <w:r w:rsidRPr="006C6B3C">
        <w:rPr>
          <w:rFonts w:eastAsia="Times New Roman" w:cstheme="minorHAnsi"/>
          <w:sz w:val="24"/>
          <w:szCs w:val="24"/>
        </w:rPr>
        <w:t xml:space="preserve"> pod číslem </w:t>
      </w:r>
      <w:r w:rsidR="00C6450C">
        <w:rPr>
          <w:rFonts w:eastAsia="Times New Roman" w:cstheme="minorHAnsi"/>
          <w:sz w:val="24"/>
          <w:szCs w:val="24"/>
        </w:rPr>
        <w:t>2</w:t>
      </w:r>
      <w:r w:rsidR="00B32FAB">
        <w:rPr>
          <w:rFonts w:eastAsia="Times New Roman" w:cstheme="minorHAnsi"/>
          <w:sz w:val="24"/>
          <w:szCs w:val="24"/>
        </w:rPr>
        <w:t>1</w:t>
      </w:r>
      <w:r w:rsidRPr="006C6B3C">
        <w:rPr>
          <w:rFonts w:eastAsia="Times New Roman" w:cstheme="minorHAnsi"/>
          <w:sz w:val="24"/>
          <w:szCs w:val="24"/>
        </w:rPr>
        <w:t>/</w:t>
      </w:r>
      <w:r w:rsidR="00B32FAB">
        <w:rPr>
          <w:rFonts w:eastAsia="Times New Roman" w:cstheme="minorHAnsi"/>
          <w:sz w:val="24"/>
          <w:szCs w:val="24"/>
        </w:rPr>
        <w:t>03</w:t>
      </w:r>
      <w:r w:rsidRPr="006C6B3C">
        <w:rPr>
          <w:rFonts w:eastAsia="Times New Roman" w:cstheme="minorHAnsi"/>
          <w:sz w:val="24"/>
          <w:szCs w:val="24"/>
        </w:rPr>
        <w:t>. Kontrolní akci řídil a kontrolní závěr vypracoval člen NKÚ Ing. Jan Málek.</w:t>
      </w:r>
    </w:p>
    <w:p w14:paraId="69D47B88" w14:textId="77777777" w:rsidR="00916EDC" w:rsidRPr="006C6B3C" w:rsidRDefault="00916EDC" w:rsidP="001951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793FE1B" w14:textId="77777777" w:rsidR="00B32FAB" w:rsidRPr="00B32FAB" w:rsidRDefault="00E10443" w:rsidP="001951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6B3C">
        <w:rPr>
          <w:rFonts w:eastAsia="Times New Roman" w:cstheme="minorHAnsi"/>
          <w:sz w:val="24"/>
          <w:szCs w:val="24"/>
        </w:rPr>
        <w:t xml:space="preserve">Cílem kontroly bylo </w:t>
      </w:r>
      <w:r w:rsidR="00B32FAB" w:rsidRPr="00B32FAB">
        <w:rPr>
          <w:rFonts w:eastAsia="Times New Roman" w:cstheme="minorHAnsi"/>
          <w:sz w:val="24"/>
          <w:szCs w:val="24"/>
        </w:rPr>
        <w:t>prověřit, zda jsou peněžní prostředky státu a Evropské unie určené na podporu rekreační plavby poskytovány a čerpány v souladu s právními předpisy účelně, hospodárně a efektivně.</w:t>
      </w:r>
    </w:p>
    <w:p w14:paraId="2388024A" w14:textId="77777777" w:rsidR="00916EDC" w:rsidRPr="006C6B3C" w:rsidRDefault="00916EDC" w:rsidP="001951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3CC985E" w14:textId="77777777" w:rsidR="00916EDC" w:rsidRPr="006C6B3C" w:rsidRDefault="00E10443" w:rsidP="001951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6B3C">
        <w:rPr>
          <w:rFonts w:eastAsia="Times New Roman" w:cstheme="minorHAnsi"/>
          <w:sz w:val="24"/>
          <w:szCs w:val="24"/>
        </w:rPr>
        <w:t xml:space="preserve">Kontrola byla prováděna u kontrolovaných osob v období od </w:t>
      </w:r>
      <w:r w:rsidR="00B32FAB">
        <w:rPr>
          <w:rFonts w:eastAsia="Times New Roman" w:cstheme="minorHAnsi"/>
          <w:sz w:val="24"/>
          <w:szCs w:val="24"/>
        </w:rPr>
        <w:t>břez</w:t>
      </w:r>
      <w:r w:rsidR="002D780E" w:rsidRPr="006C6B3C">
        <w:rPr>
          <w:rFonts w:eastAsia="Times New Roman" w:cstheme="minorHAnsi"/>
          <w:sz w:val="24"/>
          <w:szCs w:val="24"/>
        </w:rPr>
        <w:t>na</w:t>
      </w:r>
      <w:r w:rsidRPr="006C6B3C">
        <w:rPr>
          <w:rFonts w:eastAsia="Times New Roman" w:cstheme="minorHAnsi"/>
          <w:sz w:val="24"/>
          <w:szCs w:val="24"/>
        </w:rPr>
        <w:t xml:space="preserve"> 20</w:t>
      </w:r>
      <w:r w:rsidR="00C6450C">
        <w:rPr>
          <w:rFonts w:eastAsia="Times New Roman" w:cstheme="minorHAnsi"/>
          <w:sz w:val="24"/>
          <w:szCs w:val="24"/>
        </w:rPr>
        <w:t>2</w:t>
      </w:r>
      <w:r w:rsidR="00B32FAB">
        <w:rPr>
          <w:rFonts w:eastAsia="Times New Roman" w:cstheme="minorHAnsi"/>
          <w:sz w:val="24"/>
          <w:szCs w:val="24"/>
        </w:rPr>
        <w:t>1</w:t>
      </w:r>
      <w:r w:rsidRPr="006C6B3C">
        <w:rPr>
          <w:rFonts w:eastAsia="Times New Roman" w:cstheme="minorHAnsi"/>
          <w:sz w:val="24"/>
          <w:szCs w:val="24"/>
        </w:rPr>
        <w:t xml:space="preserve"> do </w:t>
      </w:r>
      <w:r w:rsidR="00B32FAB">
        <w:rPr>
          <w:rFonts w:eastAsia="Times New Roman" w:cstheme="minorHAnsi"/>
          <w:sz w:val="24"/>
          <w:szCs w:val="24"/>
        </w:rPr>
        <w:t>září</w:t>
      </w:r>
      <w:r w:rsidR="00C6450C">
        <w:rPr>
          <w:rFonts w:eastAsia="Times New Roman" w:cstheme="minorHAnsi"/>
          <w:sz w:val="24"/>
          <w:szCs w:val="24"/>
        </w:rPr>
        <w:t xml:space="preserve"> </w:t>
      </w:r>
      <w:r w:rsidRPr="006C6B3C">
        <w:rPr>
          <w:rFonts w:eastAsia="Times New Roman" w:cstheme="minorHAnsi"/>
          <w:sz w:val="24"/>
          <w:szCs w:val="24"/>
        </w:rPr>
        <w:t>20</w:t>
      </w:r>
      <w:r w:rsidR="002D780E" w:rsidRPr="006C6B3C">
        <w:rPr>
          <w:rFonts w:eastAsia="Times New Roman" w:cstheme="minorHAnsi"/>
          <w:sz w:val="24"/>
          <w:szCs w:val="24"/>
        </w:rPr>
        <w:t>2</w:t>
      </w:r>
      <w:r w:rsidR="00B32FAB">
        <w:rPr>
          <w:rFonts w:eastAsia="Times New Roman" w:cstheme="minorHAnsi"/>
          <w:sz w:val="24"/>
          <w:szCs w:val="24"/>
        </w:rPr>
        <w:t>1</w:t>
      </w:r>
      <w:r w:rsidRPr="006C6B3C">
        <w:rPr>
          <w:rFonts w:eastAsia="Times New Roman" w:cstheme="minorHAnsi"/>
          <w:sz w:val="24"/>
          <w:szCs w:val="24"/>
        </w:rPr>
        <w:t>. Kontrolovaným obdobím bylo období od roku 201</w:t>
      </w:r>
      <w:r w:rsidR="00B32FAB">
        <w:rPr>
          <w:rFonts w:eastAsia="Times New Roman" w:cstheme="minorHAnsi"/>
          <w:sz w:val="24"/>
          <w:szCs w:val="24"/>
        </w:rPr>
        <w:t>4</w:t>
      </w:r>
      <w:r w:rsidRPr="006C6B3C">
        <w:rPr>
          <w:rFonts w:eastAsia="Times New Roman" w:cstheme="minorHAnsi"/>
          <w:sz w:val="24"/>
          <w:szCs w:val="24"/>
        </w:rPr>
        <w:t xml:space="preserve"> do </w:t>
      </w:r>
      <w:r w:rsidR="005236E9" w:rsidRPr="006C6B3C">
        <w:rPr>
          <w:rFonts w:eastAsia="Times New Roman" w:cstheme="minorHAnsi"/>
          <w:sz w:val="24"/>
          <w:szCs w:val="24"/>
        </w:rPr>
        <w:t>doby ukončení kontroly</w:t>
      </w:r>
      <w:r w:rsidRPr="006C6B3C">
        <w:rPr>
          <w:rFonts w:eastAsia="Times New Roman" w:cstheme="minorHAnsi"/>
          <w:sz w:val="24"/>
          <w:szCs w:val="24"/>
        </w:rPr>
        <w:t xml:space="preserve">, v případě věcných souvislostí i období předcházející. </w:t>
      </w:r>
    </w:p>
    <w:p w14:paraId="4AFE0C90" w14:textId="77777777" w:rsidR="00916EDC" w:rsidRPr="006C6B3C" w:rsidRDefault="00916EDC" w:rsidP="001951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34D5EB" w14:textId="77777777" w:rsidR="00006A5D" w:rsidRPr="006C6B3C" w:rsidRDefault="00E10443" w:rsidP="001951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6B3C">
        <w:rPr>
          <w:rFonts w:eastAsia="Times New Roman" w:cstheme="minorHAnsi"/>
          <w:sz w:val="24"/>
          <w:szCs w:val="24"/>
        </w:rPr>
        <w:t>Kontrolované osoby:</w:t>
      </w:r>
    </w:p>
    <w:p w14:paraId="78FF5788" w14:textId="77777777" w:rsidR="00C45529" w:rsidRDefault="00E10443" w:rsidP="001951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6B3C">
        <w:rPr>
          <w:rFonts w:eastAsia="Times New Roman" w:cstheme="minorHAnsi"/>
          <w:sz w:val="24"/>
          <w:szCs w:val="24"/>
        </w:rPr>
        <w:t>Ministerstvo dopravy (dále také „MD“)</w:t>
      </w:r>
      <w:r w:rsidR="006B4C55">
        <w:rPr>
          <w:rFonts w:eastAsia="Times New Roman" w:cstheme="minorHAnsi"/>
          <w:sz w:val="24"/>
          <w:szCs w:val="24"/>
        </w:rPr>
        <w:t>;</w:t>
      </w:r>
      <w:r w:rsidRPr="006C6B3C">
        <w:rPr>
          <w:rFonts w:eastAsia="Times New Roman" w:cstheme="minorHAnsi"/>
          <w:sz w:val="24"/>
          <w:szCs w:val="24"/>
        </w:rPr>
        <w:t xml:space="preserve"> </w:t>
      </w:r>
    </w:p>
    <w:p w14:paraId="76CE0153" w14:textId="77777777" w:rsidR="00C45529" w:rsidRDefault="00B32FAB" w:rsidP="001951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Ředitelství vodních cest ČR</w:t>
      </w:r>
      <w:r w:rsidR="00E10443" w:rsidRPr="006C6B3C">
        <w:rPr>
          <w:rFonts w:eastAsia="Times New Roman" w:cstheme="minorHAnsi"/>
          <w:sz w:val="24"/>
          <w:szCs w:val="24"/>
        </w:rPr>
        <w:t xml:space="preserve"> (dále také „</w:t>
      </w:r>
      <w:r>
        <w:rPr>
          <w:rFonts w:eastAsia="Times New Roman" w:cstheme="minorHAnsi"/>
          <w:sz w:val="24"/>
          <w:szCs w:val="24"/>
        </w:rPr>
        <w:t>ŘVC</w:t>
      </w:r>
      <w:r w:rsidR="00E10443" w:rsidRPr="006C6B3C">
        <w:rPr>
          <w:rFonts w:eastAsia="Times New Roman" w:cstheme="minorHAnsi"/>
          <w:sz w:val="24"/>
          <w:szCs w:val="24"/>
        </w:rPr>
        <w:t>“)</w:t>
      </w:r>
      <w:r w:rsidR="006B4C55">
        <w:rPr>
          <w:rFonts w:eastAsia="Times New Roman" w:cstheme="minorHAnsi"/>
          <w:sz w:val="24"/>
          <w:szCs w:val="24"/>
        </w:rPr>
        <w:t>;</w:t>
      </w:r>
      <w:r w:rsidR="00E10443" w:rsidRPr="006C6B3C">
        <w:rPr>
          <w:rFonts w:eastAsia="Times New Roman" w:cstheme="minorHAnsi"/>
          <w:sz w:val="24"/>
          <w:szCs w:val="24"/>
        </w:rPr>
        <w:t xml:space="preserve"> </w:t>
      </w:r>
    </w:p>
    <w:p w14:paraId="5815D658" w14:textId="77777777" w:rsidR="00916EDC" w:rsidRPr="006C6B3C" w:rsidRDefault="00B32FAB" w:rsidP="001951C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32FAB">
        <w:rPr>
          <w:rFonts w:eastAsia="Times New Roman" w:cstheme="minorHAnsi"/>
          <w:sz w:val="24"/>
          <w:szCs w:val="24"/>
        </w:rPr>
        <w:t>Povodí Vltavy, státní podnik</w:t>
      </w:r>
      <w:r w:rsidR="0064658F">
        <w:rPr>
          <w:rFonts w:eastAsia="Times New Roman" w:cstheme="minorHAnsi"/>
          <w:sz w:val="24"/>
          <w:szCs w:val="24"/>
        </w:rPr>
        <w:t>, Praha</w:t>
      </w:r>
      <w:r w:rsidRPr="006C6B3C">
        <w:rPr>
          <w:rFonts w:eastAsia="Times New Roman" w:cstheme="minorHAnsi"/>
          <w:sz w:val="24"/>
          <w:szCs w:val="24"/>
        </w:rPr>
        <w:t xml:space="preserve"> </w:t>
      </w:r>
      <w:r w:rsidR="00E10443" w:rsidRPr="006C6B3C">
        <w:rPr>
          <w:rFonts w:eastAsia="Times New Roman" w:cstheme="minorHAnsi"/>
          <w:sz w:val="24"/>
          <w:szCs w:val="24"/>
        </w:rPr>
        <w:t>(dále také „</w:t>
      </w:r>
      <w:r>
        <w:rPr>
          <w:rFonts w:eastAsia="Times New Roman" w:cstheme="minorHAnsi"/>
          <w:sz w:val="24"/>
          <w:szCs w:val="24"/>
        </w:rPr>
        <w:t>Povodí Vltavy</w:t>
      </w:r>
      <w:r w:rsidR="00E10443" w:rsidRPr="006C6B3C">
        <w:rPr>
          <w:rFonts w:eastAsia="Times New Roman" w:cstheme="minorHAnsi"/>
          <w:sz w:val="24"/>
          <w:szCs w:val="24"/>
        </w:rPr>
        <w:t>“)</w:t>
      </w:r>
      <w:r>
        <w:rPr>
          <w:rFonts w:eastAsia="Times New Roman" w:cstheme="minorHAnsi"/>
          <w:sz w:val="24"/>
          <w:szCs w:val="24"/>
        </w:rPr>
        <w:t>.</w:t>
      </w:r>
    </w:p>
    <w:p w14:paraId="58CCDE49" w14:textId="77777777" w:rsidR="00AD5DAC" w:rsidRDefault="00AD5DAC" w:rsidP="001951C0">
      <w:pPr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</w:p>
    <w:p w14:paraId="46787B13" w14:textId="77777777" w:rsidR="00B32FAB" w:rsidRPr="006C6B3C" w:rsidRDefault="00B32FAB" w:rsidP="001951C0">
      <w:pPr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</w:p>
    <w:p w14:paraId="1716589A" w14:textId="77777777" w:rsidR="00310EED" w:rsidRPr="001865C1" w:rsidRDefault="00E10443" w:rsidP="00DC7BCC">
      <w:pPr>
        <w:spacing w:after="0" w:line="360" w:lineRule="auto"/>
        <w:ind w:right="70"/>
        <w:jc w:val="both"/>
        <w:rPr>
          <w:rFonts w:ascii="Calibri" w:hAnsi="Calibri" w:cs="Calibri"/>
          <w:sz w:val="24"/>
          <w:szCs w:val="24"/>
        </w:rPr>
      </w:pPr>
      <w:r w:rsidRPr="001865C1">
        <w:rPr>
          <w:rFonts w:ascii="Calibri" w:hAnsi="Calibri" w:cs="Calibri"/>
          <w:b/>
          <w:bCs/>
          <w:i/>
          <w:iCs/>
          <w:sz w:val="24"/>
          <w:szCs w:val="24"/>
        </w:rPr>
        <w:t>K o l e g i u m</w:t>
      </w:r>
      <w:r w:rsidRPr="001865C1">
        <w:rPr>
          <w:rFonts w:ascii="Calibri" w:hAnsi="Calibri" w:cs="Calibri"/>
          <w:sz w:val="24"/>
          <w:szCs w:val="24"/>
        </w:rPr>
        <w:t xml:space="preserve">   </w:t>
      </w:r>
      <w:r w:rsidRPr="001865C1">
        <w:rPr>
          <w:rFonts w:ascii="Calibri" w:hAnsi="Calibri" w:cs="Calibri"/>
          <w:b/>
          <w:bCs/>
          <w:i/>
          <w:iCs/>
          <w:sz w:val="24"/>
          <w:szCs w:val="24"/>
        </w:rPr>
        <w:t xml:space="preserve">N K Ú  </w:t>
      </w:r>
      <w:r w:rsidRPr="001865C1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Pr="001865C1">
        <w:rPr>
          <w:rFonts w:ascii="Calibri" w:hAnsi="Calibri" w:cs="Calibri"/>
          <w:sz w:val="24"/>
          <w:szCs w:val="24"/>
        </w:rPr>
        <w:t xml:space="preserve">na svém </w:t>
      </w:r>
      <w:r w:rsidR="006C6505" w:rsidRPr="001865C1">
        <w:rPr>
          <w:rFonts w:ascii="Calibri" w:hAnsi="Calibri" w:cs="Calibri"/>
          <w:sz w:val="24"/>
          <w:szCs w:val="24"/>
        </w:rPr>
        <w:t>III. j</w:t>
      </w:r>
      <w:r w:rsidR="007605A0" w:rsidRPr="001865C1">
        <w:rPr>
          <w:rFonts w:ascii="Calibri" w:hAnsi="Calibri" w:cs="Calibri"/>
          <w:sz w:val="24"/>
          <w:szCs w:val="24"/>
        </w:rPr>
        <w:t>ednání</w:t>
      </w:r>
      <w:r w:rsidR="00952EB7" w:rsidRPr="001865C1">
        <w:rPr>
          <w:rFonts w:ascii="Calibri" w:hAnsi="Calibri" w:cs="Calibri"/>
          <w:sz w:val="24"/>
          <w:szCs w:val="24"/>
        </w:rPr>
        <w:t xml:space="preserve">, které se konalo dne </w:t>
      </w:r>
      <w:r w:rsidR="006C6505" w:rsidRPr="001865C1">
        <w:rPr>
          <w:rFonts w:ascii="Calibri" w:hAnsi="Calibri" w:cs="Calibri"/>
          <w:sz w:val="24"/>
          <w:szCs w:val="24"/>
        </w:rPr>
        <w:t>14. února 2022</w:t>
      </w:r>
      <w:r w:rsidRPr="001865C1">
        <w:rPr>
          <w:rFonts w:ascii="Calibri" w:hAnsi="Calibri" w:cs="Calibri"/>
          <w:sz w:val="24"/>
          <w:szCs w:val="24"/>
        </w:rPr>
        <w:t>,</w:t>
      </w:r>
    </w:p>
    <w:p w14:paraId="4F51D779" w14:textId="77777777" w:rsidR="00310EED" w:rsidRPr="001865C1" w:rsidRDefault="00E10443" w:rsidP="00DC7BCC">
      <w:pPr>
        <w:spacing w:after="0" w:line="360" w:lineRule="auto"/>
        <w:ind w:right="68"/>
        <w:jc w:val="both"/>
        <w:rPr>
          <w:rFonts w:ascii="Calibri" w:hAnsi="Calibri" w:cs="Calibri"/>
          <w:sz w:val="24"/>
          <w:szCs w:val="24"/>
        </w:rPr>
      </w:pPr>
      <w:r w:rsidRPr="001865C1">
        <w:rPr>
          <w:rFonts w:ascii="Calibri" w:hAnsi="Calibri" w:cs="Calibri"/>
          <w:b/>
          <w:bCs/>
          <w:i/>
          <w:iCs/>
          <w:sz w:val="24"/>
          <w:szCs w:val="24"/>
        </w:rPr>
        <w:t>s c h v á l i l o</w:t>
      </w:r>
      <w:r w:rsidR="00913005" w:rsidRPr="001865C1">
        <w:rPr>
          <w:rFonts w:ascii="Calibri" w:hAnsi="Calibri" w:cs="Calibri"/>
          <w:sz w:val="24"/>
          <w:szCs w:val="24"/>
        </w:rPr>
        <w:t xml:space="preserve">   usnesením č. </w:t>
      </w:r>
      <w:r w:rsidR="00366BFD">
        <w:rPr>
          <w:rFonts w:ascii="Calibri" w:hAnsi="Calibri" w:cs="Calibri"/>
          <w:sz w:val="24"/>
          <w:szCs w:val="24"/>
        </w:rPr>
        <w:t>12</w:t>
      </w:r>
      <w:r w:rsidR="006C6505" w:rsidRPr="001865C1">
        <w:rPr>
          <w:rFonts w:ascii="Calibri" w:hAnsi="Calibri" w:cs="Calibri"/>
          <w:sz w:val="24"/>
          <w:szCs w:val="24"/>
        </w:rPr>
        <w:t>/III/2022</w:t>
      </w:r>
    </w:p>
    <w:p w14:paraId="11C41A65" w14:textId="77777777" w:rsidR="00310EED" w:rsidRPr="00310EED" w:rsidRDefault="00E10443" w:rsidP="00DC7BCC">
      <w:pPr>
        <w:spacing w:after="0" w:line="360" w:lineRule="auto"/>
        <w:ind w:right="70"/>
        <w:jc w:val="both"/>
        <w:rPr>
          <w:rFonts w:ascii="Calibri" w:hAnsi="Calibri" w:cs="Calibri"/>
          <w:sz w:val="24"/>
          <w:szCs w:val="24"/>
        </w:rPr>
      </w:pPr>
      <w:r w:rsidRPr="001865C1">
        <w:rPr>
          <w:rFonts w:ascii="Calibri" w:hAnsi="Calibri" w:cs="Calibri"/>
          <w:b/>
          <w:bCs/>
          <w:i/>
          <w:iCs/>
          <w:sz w:val="24"/>
          <w:szCs w:val="24"/>
        </w:rPr>
        <w:t>k o n t r o l n í   z á v ě r</w:t>
      </w:r>
      <w:r w:rsidRPr="001865C1">
        <w:rPr>
          <w:rFonts w:ascii="Calibri" w:hAnsi="Calibri" w:cs="Calibri"/>
          <w:sz w:val="24"/>
          <w:szCs w:val="24"/>
        </w:rPr>
        <w:t xml:space="preserve">   v tomto znění:</w:t>
      </w:r>
    </w:p>
    <w:p w14:paraId="2B355B93" w14:textId="77777777" w:rsidR="00AD5DAC" w:rsidRPr="006C6B3C" w:rsidRDefault="00AD5DAC" w:rsidP="001951C0">
      <w:pPr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</w:p>
    <w:p w14:paraId="3906E9CC" w14:textId="77777777" w:rsidR="00AD5DAC" w:rsidRPr="006C6B3C" w:rsidRDefault="00E10443" w:rsidP="001951C0">
      <w:pPr>
        <w:spacing w:after="0" w:line="240" w:lineRule="auto"/>
        <w:ind w:right="70"/>
        <w:jc w:val="both"/>
        <w:rPr>
          <w:rFonts w:cstheme="minorHAnsi"/>
          <w:sz w:val="24"/>
          <w:szCs w:val="24"/>
        </w:rPr>
      </w:pPr>
      <w:r w:rsidRPr="006C6B3C">
        <w:rPr>
          <w:rFonts w:cstheme="minorHAnsi"/>
          <w:sz w:val="24"/>
          <w:szCs w:val="24"/>
        </w:rPr>
        <w:br w:type="page"/>
      </w:r>
    </w:p>
    <w:p w14:paraId="243F60F5" w14:textId="2E556C01" w:rsidR="005C1DDC" w:rsidRDefault="00CC0EE1" w:rsidP="00CC0EE1">
      <w:pPr>
        <w:spacing w:line="252" w:lineRule="auto"/>
        <w:contextualSpacing/>
        <w:jc w:val="center"/>
        <w:rPr>
          <w:rFonts w:cstheme="minorHAnsi"/>
        </w:rPr>
      </w:pPr>
      <w:r w:rsidRPr="009E0957">
        <w:rPr>
          <w:rStyle w:val="A4"/>
          <w:b/>
          <w:color w:val="9CC2E5" w:themeColor="accent1" w:themeTint="99"/>
          <w:sz w:val="40"/>
          <w:szCs w:val="40"/>
        </w:rPr>
        <w:lastRenderedPageBreak/>
        <w:t xml:space="preserve">Rozvoj rekreační plavby </w:t>
      </w:r>
      <w:r w:rsidR="00F22D58" w:rsidRPr="009E0957">
        <w:rPr>
          <w:rStyle w:val="A4"/>
          <w:b/>
          <w:color w:val="9CC2E5" w:themeColor="accent1" w:themeTint="99"/>
          <w:sz w:val="40"/>
          <w:szCs w:val="40"/>
        </w:rPr>
        <w:t xml:space="preserve">a osobní lodní dopravy </w:t>
      </w:r>
      <w:r w:rsidR="009E0957">
        <w:rPr>
          <w:rStyle w:val="A4"/>
          <w:b/>
          <w:color w:val="9CC2E5" w:themeColor="accent1" w:themeTint="99"/>
          <w:sz w:val="40"/>
          <w:szCs w:val="40"/>
        </w:rPr>
        <w:br/>
      </w:r>
      <w:r w:rsidRPr="009E0957">
        <w:rPr>
          <w:rStyle w:val="A4"/>
          <w:b/>
          <w:color w:val="9CC2E5" w:themeColor="accent1" w:themeTint="99"/>
          <w:sz w:val="40"/>
          <w:szCs w:val="40"/>
        </w:rPr>
        <w:t>v České republice</w:t>
      </w:r>
    </w:p>
    <w:p w14:paraId="2E776B60" w14:textId="77777777" w:rsidR="001951C0" w:rsidRPr="00830BD1" w:rsidRDefault="001951C0" w:rsidP="001951C0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</w:p>
    <w:p w14:paraId="365F0995" w14:textId="77777777" w:rsidR="00E64EAB" w:rsidRDefault="00E64EAB" w:rsidP="005C1DDC">
      <w:pPr>
        <w:spacing w:line="252" w:lineRule="auto"/>
        <w:contextualSpacing/>
        <w:jc w:val="both"/>
        <w:rPr>
          <w:rFonts w:cstheme="minorHAnsi"/>
          <w:b/>
          <w:sz w:val="28"/>
          <w:szCs w:val="28"/>
        </w:rPr>
      </w:pPr>
    </w:p>
    <w:p w14:paraId="76FF6C72" w14:textId="77777777" w:rsidR="001951C0" w:rsidRDefault="001951C0" w:rsidP="005C1DDC">
      <w:pPr>
        <w:spacing w:line="252" w:lineRule="auto"/>
        <w:contextualSpacing/>
        <w:jc w:val="both"/>
        <w:rPr>
          <w:rFonts w:cstheme="minorHAnsi"/>
          <w:b/>
          <w:sz w:val="28"/>
          <w:szCs w:val="28"/>
        </w:rPr>
      </w:pPr>
    </w:p>
    <w:p w14:paraId="3FF05104" w14:textId="77777777" w:rsidR="001951C0" w:rsidRDefault="001951C0" w:rsidP="005C1DDC">
      <w:pPr>
        <w:spacing w:line="252" w:lineRule="auto"/>
        <w:contextualSpacing/>
        <w:jc w:val="both"/>
        <w:rPr>
          <w:rFonts w:cstheme="minorHAnsi"/>
          <w:b/>
          <w:sz w:val="28"/>
          <w:szCs w:val="28"/>
        </w:rPr>
        <w:sectPr w:rsidR="001951C0" w:rsidSect="00A463E7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katabulky"/>
        <w:tblW w:w="91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2835"/>
        <w:gridCol w:w="3288"/>
      </w:tblGrid>
      <w:tr w:rsidR="000A5A28" w14:paraId="2563238E" w14:textId="77777777" w:rsidTr="0038652C">
        <w:trPr>
          <w:jc w:val="center"/>
        </w:trPr>
        <w:tc>
          <w:tcPr>
            <w:tcW w:w="3061" w:type="dxa"/>
          </w:tcPr>
          <w:p w14:paraId="0160ED2F" w14:textId="77777777" w:rsidR="000A5A28" w:rsidRPr="000A5A28" w:rsidRDefault="000A5A28" w:rsidP="000A5A28">
            <w:pPr>
              <w:spacing w:line="252" w:lineRule="auto"/>
              <w:contextualSpacing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19 495</w:t>
            </w:r>
          </w:p>
        </w:tc>
        <w:tc>
          <w:tcPr>
            <w:tcW w:w="2835" w:type="dxa"/>
          </w:tcPr>
          <w:p w14:paraId="7E77D8AC" w14:textId="77777777" w:rsidR="000A5A28" w:rsidRPr="000A5A28" w:rsidRDefault="000A5A28" w:rsidP="000A5A28">
            <w:pPr>
              <w:spacing w:line="252" w:lineRule="auto"/>
              <w:contextualSpacing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57 687</w:t>
            </w:r>
          </w:p>
        </w:tc>
        <w:tc>
          <w:tcPr>
            <w:tcW w:w="3288" w:type="dxa"/>
          </w:tcPr>
          <w:p w14:paraId="56C02BF4" w14:textId="77777777" w:rsidR="000A5A28" w:rsidRPr="000A5A28" w:rsidRDefault="000A5A28" w:rsidP="000A5A28">
            <w:pPr>
              <w:spacing w:line="252" w:lineRule="auto"/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106</w:t>
            </w:r>
          </w:p>
        </w:tc>
      </w:tr>
      <w:tr w:rsidR="000A5A28" w14:paraId="7686A6D1" w14:textId="77777777" w:rsidTr="0038652C">
        <w:trPr>
          <w:jc w:val="center"/>
        </w:trPr>
        <w:tc>
          <w:tcPr>
            <w:tcW w:w="3061" w:type="dxa"/>
          </w:tcPr>
          <w:p w14:paraId="6757D859" w14:textId="77777777" w:rsidR="000A5A28" w:rsidRPr="00F22D58" w:rsidRDefault="000A5A28" w:rsidP="000A5A28">
            <w:pPr>
              <w:spacing w:line="252" w:lineRule="auto"/>
              <w:contextualSpacing/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 w:rsidRPr="00F22D58">
              <w:rPr>
                <w:rFonts w:ascii="Calibri" w:hAnsi="Calibri" w:cs="Calibri"/>
                <w:b/>
                <w:sz w:val="24"/>
                <w:szCs w:val="20"/>
              </w:rPr>
              <w:t>Počet malých plavidel</w:t>
            </w:r>
          </w:p>
          <w:p w14:paraId="3013BF66" w14:textId="0E3B9BA5" w:rsidR="000A5A28" w:rsidRPr="000A5A28" w:rsidRDefault="000A5A28" w:rsidP="000A5A28">
            <w:pPr>
              <w:spacing w:line="252" w:lineRule="auto"/>
              <w:contextualSpacing/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evidovaných v rejstříku malých plavidel</w:t>
            </w:r>
            <w:r w:rsidR="00147FA1" w:rsidRPr="00147FA1">
              <w:rPr>
                <w:rFonts w:ascii="Calibri" w:hAnsi="Calibri" w:cs="Calibri"/>
                <w:sz w:val="24"/>
                <w:szCs w:val="20"/>
                <w:vertAlign w:val="superscript"/>
              </w:rPr>
              <w:t>*</w:t>
            </w:r>
          </w:p>
        </w:tc>
        <w:tc>
          <w:tcPr>
            <w:tcW w:w="2835" w:type="dxa"/>
          </w:tcPr>
          <w:p w14:paraId="76844D86" w14:textId="79380FE1" w:rsidR="000A5A28" w:rsidRPr="000A5A28" w:rsidRDefault="000A5A28" w:rsidP="0038652C">
            <w:pPr>
              <w:spacing w:line="252" w:lineRule="auto"/>
              <w:contextualSpacing/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F22D58">
              <w:rPr>
                <w:rFonts w:ascii="Calibri" w:hAnsi="Calibri" w:cs="Calibri"/>
                <w:b/>
                <w:sz w:val="24"/>
                <w:szCs w:val="20"/>
              </w:rPr>
              <w:t xml:space="preserve">Počet </w:t>
            </w:r>
            <w:r>
              <w:rPr>
                <w:rFonts w:ascii="Calibri" w:hAnsi="Calibri" w:cs="Calibri"/>
                <w:b/>
                <w:sz w:val="24"/>
                <w:szCs w:val="20"/>
              </w:rPr>
              <w:t>platných osvědčení</w:t>
            </w:r>
            <w:r w:rsidR="0038652C">
              <w:rPr>
                <w:rFonts w:ascii="Calibri" w:hAnsi="Calibri" w:cs="Calibri"/>
                <w:b/>
                <w:sz w:val="24"/>
                <w:szCs w:val="20"/>
              </w:rPr>
              <w:br/>
            </w:r>
            <w:r>
              <w:rPr>
                <w:rFonts w:ascii="Calibri" w:hAnsi="Calibri" w:cs="Calibri"/>
                <w:b/>
                <w:sz w:val="24"/>
                <w:szCs w:val="20"/>
              </w:rPr>
              <w:t xml:space="preserve">vůdce </w:t>
            </w:r>
            <w:r w:rsidRPr="00F22D58">
              <w:rPr>
                <w:rFonts w:ascii="Calibri" w:hAnsi="Calibri" w:cs="Calibri"/>
                <w:b/>
                <w:sz w:val="24"/>
                <w:szCs w:val="20"/>
              </w:rPr>
              <w:t>mal</w:t>
            </w:r>
            <w:r>
              <w:rPr>
                <w:rFonts w:ascii="Calibri" w:hAnsi="Calibri" w:cs="Calibri"/>
                <w:b/>
                <w:sz w:val="24"/>
                <w:szCs w:val="20"/>
              </w:rPr>
              <w:t>ého</w:t>
            </w:r>
            <w:r w:rsidRPr="00F22D58">
              <w:rPr>
                <w:rFonts w:ascii="Calibri" w:hAnsi="Calibri" w:cs="Calibri"/>
                <w:b/>
                <w:sz w:val="24"/>
                <w:szCs w:val="20"/>
              </w:rPr>
              <w:t xml:space="preserve"> plavid</w:t>
            </w:r>
            <w:r>
              <w:rPr>
                <w:rFonts w:ascii="Calibri" w:hAnsi="Calibri" w:cs="Calibri"/>
                <w:b/>
                <w:sz w:val="24"/>
                <w:szCs w:val="20"/>
              </w:rPr>
              <w:t>la</w:t>
            </w:r>
          </w:p>
        </w:tc>
        <w:tc>
          <w:tcPr>
            <w:tcW w:w="3288" w:type="dxa"/>
          </w:tcPr>
          <w:p w14:paraId="0B4F268D" w14:textId="29818749" w:rsidR="000A5A28" w:rsidRPr="000A5A28" w:rsidRDefault="000A5A28" w:rsidP="0038652C">
            <w:pPr>
              <w:spacing w:line="252" w:lineRule="auto"/>
              <w:contextualSpacing/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F22D58">
              <w:rPr>
                <w:rFonts w:ascii="Calibri" w:hAnsi="Calibri" w:cs="Calibri"/>
                <w:b/>
                <w:sz w:val="24"/>
                <w:szCs w:val="20"/>
              </w:rPr>
              <w:t>Počet osobních lodí</w:t>
            </w:r>
            <w:r w:rsidR="0038652C">
              <w:rPr>
                <w:rFonts w:ascii="Calibri" w:hAnsi="Calibri" w:cs="Calibri"/>
                <w:b/>
                <w:sz w:val="24"/>
                <w:szCs w:val="20"/>
              </w:rPr>
              <w:br/>
            </w:r>
            <w:r>
              <w:rPr>
                <w:rFonts w:ascii="Calibri" w:hAnsi="Calibri" w:cs="Calibri"/>
                <w:sz w:val="24"/>
                <w:szCs w:val="20"/>
              </w:rPr>
              <w:t>evidovaných v plavebním rejstříku</w:t>
            </w:r>
          </w:p>
        </w:tc>
      </w:tr>
    </w:tbl>
    <w:p w14:paraId="26BA9797" w14:textId="77777777" w:rsidR="00147FA1" w:rsidRDefault="00147FA1" w:rsidP="00147FA1">
      <w:pPr>
        <w:spacing w:after="0" w:line="252" w:lineRule="auto"/>
        <w:contextualSpacing/>
        <w:jc w:val="both"/>
        <w:rPr>
          <w:rFonts w:cstheme="minorHAnsi"/>
        </w:rPr>
      </w:pPr>
    </w:p>
    <w:p w14:paraId="5F56327A" w14:textId="1FCEC02A" w:rsidR="00F22D58" w:rsidRPr="00147FA1" w:rsidRDefault="00147FA1" w:rsidP="00C45529">
      <w:pPr>
        <w:spacing w:after="0" w:line="252" w:lineRule="auto"/>
        <w:ind w:left="284"/>
        <w:contextualSpacing/>
        <w:rPr>
          <w:rFonts w:cstheme="minorHAnsi"/>
          <w:b/>
          <w:sz w:val="20"/>
          <w:szCs w:val="20"/>
        </w:rPr>
      </w:pPr>
      <w:r w:rsidRPr="00147FA1">
        <w:rPr>
          <w:rFonts w:cstheme="minorHAnsi"/>
          <w:sz w:val="20"/>
          <w:szCs w:val="20"/>
        </w:rPr>
        <w:t xml:space="preserve">*  </w:t>
      </w:r>
      <w:r>
        <w:rPr>
          <w:rFonts w:cstheme="minorHAnsi"/>
          <w:sz w:val="20"/>
          <w:szCs w:val="20"/>
        </w:rPr>
        <w:t xml:space="preserve"> </w:t>
      </w:r>
      <w:r w:rsidRPr="00147FA1">
        <w:rPr>
          <w:rFonts w:cstheme="minorHAnsi"/>
          <w:sz w:val="20"/>
          <w:szCs w:val="20"/>
        </w:rPr>
        <w:t>Rekreační plavidla tvoří cca 92 % z celkového počtu evidovaných malých plavidel.</w:t>
      </w:r>
      <w:r w:rsidRPr="00147FA1">
        <w:rPr>
          <w:sz w:val="20"/>
          <w:szCs w:val="20"/>
        </w:rPr>
        <w:t xml:space="preserve"> </w:t>
      </w:r>
    </w:p>
    <w:p w14:paraId="08DB5C1F" w14:textId="77777777" w:rsidR="00087821" w:rsidRPr="00087821" w:rsidRDefault="00087821" w:rsidP="00C45529">
      <w:pPr>
        <w:pStyle w:val="Textpoznpodarou"/>
        <w:spacing w:line="252" w:lineRule="auto"/>
        <w:ind w:left="284"/>
        <w:contextualSpacing/>
        <w:rPr>
          <w:rFonts w:cstheme="minorHAnsi"/>
          <w:sz w:val="8"/>
          <w:szCs w:val="8"/>
        </w:rPr>
      </w:pPr>
    </w:p>
    <w:p w14:paraId="6269D705" w14:textId="24D72A6C" w:rsidR="00147FA1" w:rsidRDefault="00244E24" w:rsidP="00C45529">
      <w:pPr>
        <w:pStyle w:val="Textpoznpodarou"/>
        <w:spacing w:line="252" w:lineRule="auto"/>
        <w:ind w:left="284"/>
        <w:contextualSpacing/>
        <w:rPr>
          <w:rFonts w:cstheme="minorHAnsi"/>
        </w:rPr>
      </w:pPr>
      <w:r w:rsidRPr="00972D33">
        <w:rPr>
          <w:rFonts w:cstheme="minorHAnsi"/>
          <w:b/>
        </w:rPr>
        <w:t>Zdroj:</w:t>
      </w:r>
      <w:r w:rsidRPr="00147FA1">
        <w:rPr>
          <w:rFonts w:cstheme="minorHAnsi"/>
        </w:rPr>
        <w:t xml:space="preserve"> MD (z podkladů Státní plavební správy)</w:t>
      </w:r>
      <w:r w:rsidR="00C45529">
        <w:rPr>
          <w:rFonts w:cstheme="minorHAnsi"/>
        </w:rPr>
        <w:t>,</w:t>
      </w:r>
      <w:r w:rsidR="00147FA1" w:rsidRPr="00147FA1">
        <w:t xml:space="preserve"> </w:t>
      </w:r>
      <w:r w:rsidR="00C45529">
        <w:t>s</w:t>
      </w:r>
      <w:r w:rsidR="006A60FF" w:rsidRPr="00147FA1">
        <w:t>tav k 31. 12. 2020.</w:t>
      </w:r>
    </w:p>
    <w:p w14:paraId="116AB8C8" w14:textId="77777777" w:rsidR="00864BB2" w:rsidRDefault="00864BB2" w:rsidP="00147FA1">
      <w:pPr>
        <w:spacing w:after="0" w:line="252" w:lineRule="auto"/>
        <w:contextualSpacing/>
        <w:jc w:val="both"/>
        <w:rPr>
          <w:rFonts w:cstheme="minorHAnsi"/>
          <w:b/>
          <w:sz w:val="28"/>
          <w:szCs w:val="28"/>
        </w:rPr>
      </w:pPr>
    </w:p>
    <w:p w14:paraId="463F7B97" w14:textId="77777777" w:rsidR="00D027DE" w:rsidRDefault="00D027DE" w:rsidP="00147FA1">
      <w:pPr>
        <w:spacing w:after="0" w:line="252" w:lineRule="auto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0C752CC5" w14:textId="77777777" w:rsidR="00147FA1" w:rsidRDefault="00147FA1" w:rsidP="00147FA1">
      <w:pPr>
        <w:spacing w:after="0" w:line="252" w:lineRule="auto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06433E0A" w14:textId="77777777" w:rsidR="00D027DE" w:rsidRPr="00D027DE" w:rsidRDefault="00D027DE" w:rsidP="004B52E7">
      <w:pPr>
        <w:spacing w:after="0" w:line="252" w:lineRule="auto"/>
        <w:contextualSpacing/>
        <w:jc w:val="center"/>
        <w:rPr>
          <w:rFonts w:cstheme="minorHAnsi"/>
          <w:b/>
          <w:sz w:val="28"/>
          <w:szCs w:val="28"/>
        </w:rPr>
      </w:pPr>
      <w:r w:rsidRPr="00D027DE">
        <w:rPr>
          <w:rFonts w:cstheme="minorHAnsi"/>
          <w:b/>
          <w:bCs/>
          <w:sz w:val="28"/>
          <w:szCs w:val="28"/>
        </w:rPr>
        <w:t xml:space="preserve">Nejvytíženější plavební </w:t>
      </w:r>
      <w:r w:rsidRPr="007C5A1B">
        <w:rPr>
          <w:rFonts w:cstheme="minorHAnsi"/>
          <w:b/>
          <w:bCs/>
          <w:sz w:val="28"/>
          <w:szCs w:val="28"/>
        </w:rPr>
        <w:t xml:space="preserve">komory </w:t>
      </w:r>
      <w:r w:rsidR="0056618B" w:rsidRPr="007C5A1B">
        <w:rPr>
          <w:rFonts w:cstheme="minorHAnsi"/>
          <w:b/>
          <w:bCs/>
          <w:sz w:val="28"/>
          <w:szCs w:val="28"/>
        </w:rPr>
        <w:t xml:space="preserve">(PK) </w:t>
      </w:r>
      <w:r w:rsidRPr="007C5A1B">
        <w:rPr>
          <w:rFonts w:cstheme="minorHAnsi"/>
          <w:b/>
          <w:bCs/>
          <w:sz w:val="28"/>
          <w:szCs w:val="28"/>
        </w:rPr>
        <w:t>na Vltavě, Labi</w:t>
      </w:r>
    </w:p>
    <w:p w14:paraId="5CAFA926" w14:textId="6D832BD3" w:rsidR="00D027DE" w:rsidRPr="00D027DE" w:rsidRDefault="00D027DE" w:rsidP="004B52E7">
      <w:pPr>
        <w:spacing w:after="0" w:line="252" w:lineRule="auto"/>
        <w:contextualSpacing/>
        <w:jc w:val="center"/>
        <w:rPr>
          <w:rFonts w:cstheme="minorHAnsi"/>
          <w:b/>
          <w:sz w:val="28"/>
          <w:szCs w:val="28"/>
        </w:rPr>
      </w:pPr>
      <w:r w:rsidRPr="00D027DE">
        <w:rPr>
          <w:rFonts w:cstheme="minorHAnsi"/>
          <w:b/>
          <w:bCs/>
          <w:sz w:val="28"/>
          <w:szCs w:val="28"/>
        </w:rPr>
        <w:t>a Baťově kanálu</w:t>
      </w:r>
      <w:r w:rsidR="00147FA1" w:rsidRPr="00147FA1">
        <w:rPr>
          <w:rFonts w:cstheme="minorHAnsi"/>
          <w:b/>
          <w:bCs/>
          <w:sz w:val="28"/>
          <w:szCs w:val="28"/>
          <w:vertAlign w:val="superscript"/>
        </w:rPr>
        <w:t>*</w:t>
      </w:r>
      <w:r w:rsidR="00C45529" w:rsidRPr="00147FA1">
        <w:rPr>
          <w:rFonts w:cstheme="minorHAnsi"/>
          <w:b/>
          <w:bCs/>
          <w:sz w:val="28"/>
          <w:szCs w:val="28"/>
          <w:vertAlign w:val="superscript"/>
        </w:rPr>
        <w:t>*</w:t>
      </w:r>
    </w:p>
    <w:p w14:paraId="59F8F464" w14:textId="77777777" w:rsidR="00D027DE" w:rsidRDefault="00D027DE" w:rsidP="000A5A28">
      <w:pPr>
        <w:spacing w:after="0" w:line="252" w:lineRule="auto"/>
        <w:contextualSpacing/>
        <w:jc w:val="both"/>
        <w:rPr>
          <w:rFonts w:cstheme="minorHAnsi"/>
          <w:b/>
          <w:sz w:val="28"/>
          <w:szCs w:val="28"/>
        </w:rPr>
      </w:pPr>
    </w:p>
    <w:p w14:paraId="3EC47526" w14:textId="77777777" w:rsidR="00677701" w:rsidRDefault="00677701" w:rsidP="00316849">
      <w:pPr>
        <w:spacing w:line="252" w:lineRule="auto"/>
        <w:ind w:left="1701" w:hanging="1701"/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36C7983" wp14:editId="3C030B4C">
            <wp:extent cx="5756715" cy="288544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1CEFDF6" w14:textId="5C353F80" w:rsidR="00864BB2" w:rsidRDefault="00147FA1" w:rsidP="00C05C79">
      <w:pPr>
        <w:spacing w:after="0" w:line="252" w:lineRule="auto"/>
        <w:ind w:left="284"/>
        <w:contextualSpacing/>
        <w:rPr>
          <w:b/>
          <w:sz w:val="40"/>
          <w:szCs w:val="40"/>
        </w:rPr>
      </w:pPr>
      <w:r w:rsidRPr="00147FA1">
        <w:rPr>
          <w:rFonts w:cstheme="minorHAnsi"/>
          <w:sz w:val="20"/>
          <w:szCs w:val="20"/>
        </w:rPr>
        <w:t>*</w:t>
      </w:r>
      <w:r w:rsidR="00C45529" w:rsidRPr="00147FA1">
        <w:rPr>
          <w:rFonts w:cstheme="minorHAnsi"/>
          <w:sz w:val="20"/>
          <w:szCs w:val="20"/>
        </w:rPr>
        <w:t>*</w:t>
      </w:r>
      <w:r w:rsidRPr="00147FA1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Počty proplavených osobních lodí a malých </w:t>
      </w:r>
      <w:r w:rsidR="000F0782">
        <w:rPr>
          <w:rFonts w:cstheme="minorHAnsi"/>
          <w:sz w:val="20"/>
          <w:szCs w:val="20"/>
        </w:rPr>
        <w:t xml:space="preserve">(sportovních) </w:t>
      </w:r>
      <w:r>
        <w:rPr>
          <w:rFonts w:cstheme="minorHAnsi"/>
          <w:sz w:val="20"/>
          <w:szCs w:val="20"/>
        </w:rPr>
        <w:t>plavidel.</w:t>
      </w:r>
    </w:p>
    <w:p w14:paraId="4CF180F6" w14:textId="77777777" w:rsidR="00087821" w:rsidRPr="00087821" w:rsidRDefault="00087821" w:rsidP="00147FA1">
      <w:pPr>
        <w:pStyle w:val="Textpoznpodarou"/>
        <w:spacing w:line="252" w:lineRule="auto"/>
        <w:ind w:firstLine="284"/>
        <w:contextualSpacing/>
        <w:jc w:val="both"/>
        <w:rPr>
          <w:rFonts w:cstheme="minorHAnsi"/>
          <w:sz w:val="8"/>
          <w:szCs w:val="8"/>
        </w:rPr>
      </w:pPr>
    </w:p>
    <w:p w14:paraId="67ED38DA" w14:textId="77777777" w:rsidR="00147FA1" w:rsidRDefault="00147FA1" w:rsidP="00147FA1">
      <w:pPr>
        <w:pStyle w:val="Textpoznpodarou"/>
        <w:spacing w:line="252" w:lineRule="auto"/>
        <w:ind w:firstLine="284"/>
        <w:contextualSpacing/>
        <w:jc w:val="both"/>
        <w:rPr>
          <w:rFonts w:cstheme="minorHAnsi"/>
        </w:rPr>
      </w:pPr>
      <w:r w:rsidRPr="00972D33">
        <w:rPr>
          <w:rFonts w:cstheme="minorHAnsi"/>
          <w:b/>
        </w:rPr>
        <w:t>Zdroj:</w:t>
      </w:r>
      <w:r w:rsidRPr="00147FA1">
        <w:rPr>
          <w:rFonts w:cstheme="minorHAnsi"/>
        </w:rPr>
        <w:t xml:space="preserve"> </w:t>
      </w:r>
      <w:r w:rsidR="00B72E3C">
        <w:rPr>
          <w:rFonts w:cstheme="minorHAnsi"/>
        </w:rPr>
        <w:t>ŘVC</w:t>
      </w:r>
      <w:r w:rsidRPr="00147FA1">
        <w:rPr>
          <w:rFonts w:cstheme="minorHAnsi"/>
        </w:rPr>
        <w:t xml:space="preserve"> (z podkladů </w:t>
      </w:r>
      <w:r w:rsidR="000F0782">
        <w:rPr>
          <w:rFonts w:cstheme="minorHAnsi"/>
        </w:rPr>
        <w:t>Povodí Vltavy, s. p., Povodí Labe, s. p., Povodí Moravy, s. p.</w:t>
      </w:r>
      <w:r w:rsidRPr="00147FA1">
        <w:rPr>
          <w:rFonts w:cstheme="minorHAnsi"/>
        </w:rPr>
        <w:t>).</w:t>
      </w:r>
      <w:r w:rsidRPr="00147FA1">
        <w:t xml:space="preserve"> </w:t>
      </w:r>
    </w:p>
    <w:p w14:paraId="12AAFB15" w14:textId="77777777" w:rsidR="00864BB2" w:rsidRPr="00147FA1" w:rsidRDefault="00864BB2" w:rsidP="00147FA1">
      <w:pPr>
        <w:spacing w:line="252" w:lineRule="auto"/>
        <w:ind w:left="1701" w:hanging="1701"/>
        <w:contextualSpacing/>
        <w:jc w:val="both"/>
        <w:rPr>
          <w:b/>
          <w:sz w:val="24"/>
          <w:szCs w:val="24"/>
        </w:rPr>
      </w:pPr>
    </w:p>
    <w:p w14:paraId="446F2015" w14:textId="77777777" w:rsidR="000C7AD2" w:rsidRDefault="000C7AD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762E9C18" w14:textId="77777777" w:rsidR="007A2550" w:rsidRDefault="007A2550" w:rsidP="000C7AD2">
      <w:pPr>
        <w:pStyle w:val="Nadpis1"/>
        <w:spacing w:before="0" w:line="252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B6EF8">
        <w:rPr>
          <w:rFonts w:asciiTheme="minorHAnsi" w:hAnsiTheme="minorHAnsi" w:cstheme="minorHAnsi"/>
          <w:sz w:val="28"/>
          <w:szCs w:val="28"/>
        </w:rPr>
        <w:lastRenderedPageBreak/>
        <w:t>I. Shrnutí a vyhodnocení</w:t>
      </w:r>
    </w:p>
    <w:p w14:paraId="75273615" w14:textId="77777777" w:rsidR="007A2550" w:rsidRPr="00492FA7" w:rsidRDefault="007A2550" w:rsidP="000C7AD2">
      <w:pPr>
        <w:spacing w:after="120" w:line="252" w:lineRule="auto"/>
        <w:jc w:val="both"/>
        <w:rPr>
          <w:rFonts w:eastAsia="Times New Roman" w:cstheme="minorHAnsi"/>
          <w:sz w:val="24"/>
          <w:szCs w:val="24"/>
        </w:rPr>
      </w:pPr>
      <w:r w:rsidRPr="00492FA7">
        <w:rPr>
          <w:rFonts w:eastAsia="Arial Unicode MS" w:cstheme="minorHAnsi"/>
          <w:bCs/>
          <w:sz w:val="24"/>
          <w:szCs w:val="24"/>
          <w:lang w:eastAsia="cs-CZ"/>
        </w:rPr>
        <w:t xml:space="preserve">1.1 NKÚ provedl kontrolu peněžních prostředků státu a Evropské unie (dále také „EU“) určených na podporu rekreační plavby. Prověřil, zda jsou </w:t>
      </w:r>
      <w:r w:rsidRPr="00492FA7">
        <w:rPr>
          <w:rFonts w:eastAsia="Times New Roman" w:cstheme="minorHAnsi"/>
          <w:sz w:val="24"/>
          <w:szCs w:val="24"/>
        </w:rPr>
        <w:t>poskytovány a čerpány v souladu s právními předpisy účelně, hospodárně a efektivně. Kontrola byla zaměřena na koncepční činnost MD a jeho postup při schvalování a vyhodnocování projektů a dále na postup ŘVC a</w:t>
      </w:r>
      <w:r w:rsidR="000C7AD2">
        <w:rPr>
          <w:rFonts w:eastAsia="Times New Roman" w:cstheme="minorHAnsi"/>
          <w:sz w:val="24"/>
          <w:szCs w:val="24"/>
        </w:rPr>
        <w:t> </w:t>
      </w:r>
      <w:r w:rsidRPr="00492FA7">
        <w:rPr>
          <w:rFonts w:eastAsia="Times New Roman" w:cstheme="minorHAnsi"/>
          <w:sz w:val="24"/>
          <w:szCs w:val="24"/>
        </w:rPr>
        <w:t>Povodí Vltavy při přípravě a realizaci projektů vybraných ke kontrole.</w:t>
      </w:r>
    </w:p>
    <w:p w14:paraId="7C52BD16" w14:textId="77777777" w:rsidR="007A2550" w:rsidRPr="00492FA7" w:rsidRDefault="007A2550" w:rsidP="000C7AD2">
      <w:pPr>
        <w:tabs>
          <w:tab w:val="left" w:pos="227"/>
        </w:tabs>
        <w:autoSpaceDE w:val="0"/>
        <w:autoSpaceDN w:val="0"/>
        <w:adjustRightInd w:val="0"/>
        <w:spacing w:after="120" w:line="252" w:lineRule="auto"/>
        <w:jc w:val="both"/>
        <w:rPr>
          <w:rFonts w:eastAsia="Calibri" w:cstheme="minorHAnsi"/>
          <w:b/>
          <w:sz w:val="24"/>
          <w:szCs w:val="24"/>
        </w:rPr>
      </w:pPr>
      <w:r w:rsidRPr="00492FA7">
        <w:rPr>
          <w:rFonts w:eastAsia="Calibri" w:cstheme="minorHAnsi"/>
          <w:b/>
          <w:sz w:val="24"/>
          <w:szCs w:val="24"/>
        </w:rPr>
        <w:t xml:space="preserve">1.2 </w:t>
      </w:r>
      <w:r w:rsidR="00DE2AF8">
        <w:rPr>
          <w:rFonts w:eastAsia="Calibri" w:cstheme="minorHAnsi"/>
          <w:b/>
          <w:sz w:val="24"/>
          <w:szCs w:val="24"/>
        </w:rPr>
        <w:t>P</w:t>
      </w:r>
      <w:r w:rsidRPr="00492FA7">
        <w:rPr>
          <w:rFonts w:eastAsia="Calibri" w:cstheme="minorHAnsi"/>
          <w:b/>
          <w:sz w:val="24"/>
          <w:szCs w:val="24"/>
        </w:rPr>
        <w:t>oskytování a čerpání peněžních prostředků státu a EU určen</w:t>
      </w:r>
      <w:r w:rsidR="00196210" w:rsidRPr="00492FA7">
        <w:rPr>
          <w:rFonts w:eastAsia="Calibri" w:cstheme="minorHAnsi"/>
          <w:b/>
          <w:sz w:val="24"/>
          <w:szCs w:val="24"/>
        </w:rPr>
        <w:t>ých</w:t>
      </w:r>
      <w:r w:rsidRPr="00492FA7">
        <w:rPr>
          <w:rFonts w:eastAsia="Calibri" w:cstheme="minorHAnsi"/>
          <w:b/>
          <w:sz w:val="24"/>
          <w:szCs w:val="24"/>
        </w:rPr>
        <w:t xml:space="preserve"> na rozvoj rekreační plavby provázejí nedostatky, které snižují účelnost, hospodárnost a efektivnost jejich využití. </w:t>
      </w:r>
      <w:r w:rsidR="00DC6290">
        <w:rPr>
          <w:rFonts w:eastAsia="Calibri" w:cstheme="minorHAnsi"/>
          <w:b/>
          <w:sz w:val="24"/>
          <w:szCs w:val="24"/>
        </w:rPr>
        <w:t>Na přetrvávající nedostatky v</w:t>
      </w:r>
      <w:r w:rsidR="00B86E6D" w:rsidRPr="00B86E6D">
        <w:rPr>
          <w:rFonts w:eastAsia="Calibri" w:cstheme="minorHAnsi"/>
          <w:b/>
          <w:sz w:val="24"/>
          <w:szCs w:val="24"/>
        </w:rPr>
        <w:t xml:space="preserve"> koncepční a řídicí činnosti </w:t>
      </w:r>
      <w:r w:rsidR="00DC6290">
        <w:rPr>
          <w:rFonts w:eastAsia="Calibri" w:cstheme="minorHAnsi"/>
          <w:b/>
          <w:sz w:val="24"/>
          <w:szCs w:val="24"/>
        </w:rPr>
        <w:t xml:space="preserve">MD </w:t>
      </w:r>
      <w:r w:rsidR="00DC6290" w:rsidRPr="00B86E6D">
        <w:rPr>
          <w:rFonts w:eastAsia="Calibri" w:cstheme="minorHAnsi"/>
          <w:b/>
          <w:sz w:val="24"/>
          <w:szCs w:val="24"/>
        </w:rPr>
        <w:t xml:space="preserve">upozornil </w:t>
      </w:r>
      <w:r w:rsidR="00B86E6D" w:rsidRPr="00B86E6D">
        <w:rPr>
          <w:rFonts w:eastAsia="Calibri" w:cstheme="minorHAnsi"/>
          <w:b/>
          <w:sz w:val="24"/>
          <w:szCs w:val="24"/>
        </w:rPr>
        <w:t xml:space="preserve">NKÚ </w:t>
      </w:r>
      <w:r w:rsidR="00DC6290">
        <w:rPr>
          <w:rFonts w:eastAsia="Calibri" w:cstheme="minorHAnsi"/>
          <w:b/>
          <w:sz w:val="24"/>
          <w:szCs w:val="24"/>
        </w:rPr>
        <w:t>již</w:t>
      </w:r>
      <w:r w:rsidR="00B86E6D" w:rsidRPr="00B86E6D">
        <w:rPr>
          <w:rFonts w:eastAsia="Calibri" w:cstheme="minorHAnsi"/>
          <w:b/>
          <w:sz w:val="24"/>
          <w:szCs w:val="24"/>
        </w:rPr>
        <w:t xml:space="preserve"> v kontrolních závěrech z předchozích kontrolních akcí</w:t>
      </w:r>
      <w:r w:rsidR="00B86E6D" w:rsidRPr="00B86E6D">
        <w:rPr>
          <w:rStyle w:val="Znakapoznpodarou"/>
          <w:rFonts w:cstheme="minorHAnsi"/>
          <w:b/>
          <w:sz w:val="24"/>
          <w:szCs w:val="24"/>
          <w:lang w:eastAsia="cs-CZ"/>
        </w:rPr>
        <w:footnoteReference w:id="2"/>
      </w:r>
      <w:r w:rsidR="00B86E6D" w:rsidRPr="00B86E6D">
        <w:rPr>
          <w:rFonts w:eastAsia="Calibri" w:cstheme="minorHAnsi"/>
          <w:b/>
          <w:sz w:val="24"/>
          <w:szCs w:val="24"/>
        </w:rPr>
        <w:t xml:space="preserve">. </w:t>
      </w:r>
      <w:r w:rsidRPr="00492FA7">
        <w:rPr>
          <w:rFonts w:eastAsia="Calibri" w:cstheme="minorHAnsi"/>
          <w:b/>
          <w:sz w:val="24"/>
          <w:szCs w:val="24"/>
        </w:rPr>
        <w:t>Při kontrole</w:t>
      </w:r>
      <w:r w:rsidRPr="00492FA7">
        <w:rPr>
          <w:rFonts w:cstheme="minorHAnsi"/>
          <w:b/>
          <w:sz w:val="24"/>
          <w:szCs w:val="24"/>
        </w:rPr>
        <w:t xml:space="preserve"> vybraných projektů NKÚ zjistil rovněž porušení právních předpisů</w:t>
      </w:r>
      <w:r w:rsidR="00DE2AF8">
        <w:rPr>
          <w:rFonts w:cstheme="minorHAnsi"/>
          <w:b/>
          <w:sz w:val="24"/>
          <w:szCs w:val="24"/>
        </w:rPr>
        <w:t xml:space="preserve"> upravujících zadávání veřejných zakázek</w:t>
      </w:r>
      <w:r w:rsidRPr="00492FA7">
        <w:rPr>
          <w:rFonts w:cstheme="minorHAnsi"/>
          <w:b/>
          <w:sz w:val="24"/>
          <w:szCs w:val="24"/>
        </w:rPr>
        <w:t>.</w:t>
      </w:r>
    </w:p>
    <w:p w14:paraId="0D2CDFC5" w14:textId="77777777" w:rsidR="007A2550" w:rsidRPr="00492FA7" w:rsidRDefault="007A2550" w:rsidP="000C7AD2">
      <w:pPr>
        <w:tabs>
          <w:tab w:val="left" w:pos="227"/>
        </w:tabs>
        <w:autoSpaceDE w:val="0"/>
        <w:autoSpaceDN w:val="0"/>
        <w:adjustRightInd w:val="0"/>
        <w:spacing w:after="120" w:line="252" w:lineRule="auto"/>
        <w:jc w:val="both"/>
        <w:rPr>
          <w:rFonts w:eastAsia="Calibri" w:cstheme="minorHAnsi"/>
          <w:b/>
          <w:sz w:val="24"/>
          <w:szCs w:val="24"/>
        </w:rPr>
      </w:pPr>
    </w:p>
    <w:p w14:paraId="0D9135E7" w14:textId="77777777" w:rsidR="007A2550" w:rsidRPr="00CA121D" w:rsidRDefault="007A2550" w:rsidP="000C7AD2">
      <w:pPr>
        <w:tabs>
          <w:tab w:val="left" w:pos="227"/>
        </w:tabs>
        <w:autoSpaceDE w:val="0"/>
        <w:autoSpaceDN w:val="0"/>
        <w:adjustRightInd w:val="0"/>
        <w:spacing w:after="120" w:line="252" w:lineRule="auto"/>
        <w:jc w:val="both"/>
        <w:rPr>
          <w:rFonts w:eastAsia="Calibri" w:cstheme="minorHAnsi"/>
          <w:sz w:val="24"/>
          <w:szCs w:val="24"/>
        </w:rPr>
      </w:pPr>
      <w:r w:rsidRPr="00CA121D">
        <w:rPr>
          <w:rFonts w:eastAsia="Calibri" w:cstheme="minorHAnsi"/>
          <w:sz w:val="24"/>
          <w:szCs w:val="24"/>
        </w:rPr>
        <w:t>Toto celkové shrnutí a vyhodnocení vyplývá z následujících hlavních zjištění kontroly:</w:t>
      </w:r>
    </w:p>
    <w:p w14:paraId="16CD8E47" w14:textId="19ADD4D1" w:rsidR="00B91A1F" w:rsidRPr="007C5A1B" w:rsidRDefault="003112F8" w:rsidP="002452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7C5A1B">
        <w:rPr>
          <w:rFonts w:eastAsia="Calibri" w:cstheme="minorHAnsi"/>
          <w:sz w:val="24"/>
          <w:szCs w:val="24"/>
        </w:rPr>
        <w:t>K</w:t>
      </w:r>
      <w:r w:rsidR="007A2550" w:rsidRPr="007C5A1B">
        <w:rPr>
          <w:rFonts w:eastAsia="Calibri" w:cstheme="minorHAnsi"/>
          <w:sz w:val="24"/>
          <w:szCs w:val="24"/>
        </w:rPr>
        <w:t>oncepční dokument</w:t>
      </w:r>
      <w:r w:rsidRPr="007C5A1B">
        <w:rPr>
          <w:rFonts w:eastAsia="Calibri" w:cstheme="minorHAnsi"/>
          <w:sz w:val="24"/>
          <w:szCs w:val="24"/>
        </w:rPr>
        <w:t>y</w:t>
      </w:r>
      <w:r w:rsidR="007A2550" w:rsidRPr="007C5A1B">
        <w:rPr>
          <w:rFonts w:eastAsia="Calibri" w:cstheme="minorHAnsi"/>
          <w:sz w:val="24"/>
          <w:szCs w:val="24"/>
        </w:rPr>
        <w:t xml:space="preserve"> </w:t>
      </w:r>
      <w:r w:rsidRPr="007C5A1B">
        <w:rPr>
          <w:rFonts w:eastAsia="Calibri" w:cstheme="minorHAnsi"/>
          <w:sz w:val="24"/>
          <w:szCs w:val="24"/>
        </w:rPr>
        <w:t>obsahují</w:t>
      </w:r>
      <w:r w:rsidR="007A2550" w:rsidRPr="007C5A1B">
        <w:rPr>
          <w:rFonts w:eastAsia="Calibri" w:cstheme="minorHAnsi"/>
          <w:sz w:val="24"/>
          <w:szCs w:val="24"/>
        </w:rPr>
        <w:t xml:space="preserve"> </w:t>
      </w:r>
      <w:r w:rsidR="00196210" w:rsidRPr="007C5A1B">
        <w:rPr>
          <w:rFonts w:eastAsia="Calibri" w:cstheme="minorHAnsi"/>
          <w:sz w:val="24"/>
          <w:szCs w:val="24"/>
        </w:rPr>
        <w:t xml:space="preserve">nejasnosti a </w:t>
      </w:r>
      <w:r w:rsidR="007A2550" w:rsidRPr="007C5A1B">
        <w:rPr>
          <w:rFonts w:eastAsia="Calibri" w:cstheme="minorHAnsi"/>
          <w:sz w:val="24"/>
          <w:szCs w:val="24"/>
        </w:rPr>
        <w:t xml:space="preserve">nesrovnalosti </w:t>
      </w:r>
      <w:r w:rsidR="00807D0D" w:rsidRPr="007C5A1B">
        <w:rPr>
          <w:rFonts w:eastAsia="Calibri" w:cstheme="minorHAnsi"/>
          <w:sz w:val="24"/>
          <w:szCs w:val="24"/>
        </w:rPr>
        <w:t>mezi údaji</w:t>
      </w:r>
      <w:r w:rsidR="007A2550" w:rsidRPr="007C5A1B">
        <w:rPr>
          <w:rFonts w:eastAsia="Calibri" w:cstheme="minorHAnsi"/>
          <w:sz w:val="24"/>
          <w:szCs w:val="24"/>
        </w:rPr>
        <w:t>,</w:t>
      </w:r>
      <w:r w:rsidR="00807D0D" w:rsidRPr="007C5A1B">
        <w:rPr>
          <w:rFonts w:eastAsia="Calibri" w:cstheme="minorHAnsi"/>
          <w:sz w:val="24"/>
          <w:szCs w:val="24"/>
        </w:rPr>
        <w:t xml:space="preserve"> které zpochybňují jejich věrohodnost</w:t>
      </w:r>
      <w:r w:rsidR="0065711C" w:rsidRPr="007C5A1B">
        <w:rPr>
          <w:rFonts w:eastAsia="Calibri" w:cstheme="minorHAnsi"/>
          <w:sz w:val="24"/>
          <w:szCs w:val="24"/>
        </w:rPr>
        <w:t xml:space="preserve"> (viz 4.1–4.4, 4.11)</w:t>
      </w:r>
      <w:r w:rsidR="00807D0D" w:rsidRPr="007C5A1B">
        <w:rPr>
          <w:rFonts w:eastAsia="Calibri" w:cstheme="minorHAnsi"/>
          <w:sz w:val="24"/>
          <w:szCs w:val="24"/>
        </w:rPr>
        <w:t>.</w:t>
      </w:r>
      <w:r w:rsidR="00511A6D" w:rsidRPr="007C5A1B">
        <w:rPr>
          <w:rFonts w:eastAsia="Calibri" w:cstheme="minorHAnsi"/>
          <w:sz w:val="24"/>
          <w:szCs w:val="24"/>
        </w:rPr>
        <w:t xml:space="preserve"> </w:t>
      </w:r>
      <w:r w:rsidR="00FE3D55" w:rsidRPr="00972D33">
        <w:rPr>
          <w:rFonts w:eastAsia="Calibri" w:cstheme="minorHAnsi"/>
          <w:i/>
          <w:sz w:val="24"/>
          <w:szCs w:val="24"/>
        </w:rPr>
        <w:t>Koncepc</w:t>
      </w:r>
      <w:r w:rsidR="000A173B" w:rsidRPr="00972D33">
        <w:rPr>
          <w:rFonts w:eastAsia="Calibri" w:cstheme="minorHAnsi"/>
          <w:i/>
          <w:sz w:val="24"/>
          <w:szCs w:val="24"/>
        </w:rPr>
        <w:t>e</w:t>
      </w:r>
      <w:r w:rsidR="00FE3D55" w:rsidRPr="00972D33">
        <w:rPr>
          <w:rFonts w:eastAsia="Calibri" w:cstheme="minorHAnsi"/>
          <w:i/>
          <w:sz w:val="24"/>
          <w:szCs w:val="24"/>
        </w:rPr>
        <w:t xml:space="preserve"> vodní dopravy</w:t>
      </w:r>
      <w:r w:rsidR="009635A9">
        <w:rPr>
          <w:rFonts w:eastAsia="Calibri" w:cstheme="minorHAnsi"/>
          <w:i/>
          <w:sz w:val="24"/>
          <w:szCs w:val="24"/>
        </w:rPr>
        <w:t xml:space="preserve"> </w:t>
      </w:r>
      <w:r w:rsidR="009635A9" w:rsidRPr="002D6470">
        <w:rPr>
          <w:rFonts w:eastAsia="Calibri" w:cstheme="minorHAnsi"/>
          <w:i/>
          <w:sz w:val="24"/>
          <w:szCs w:val="24"/>
        </w:rPr>
        <w:t>pro období 2016 až 2023</w:t>
      </w:r>
      <w:r w:rsidR="00807D0D" w:rsidRPr="007C5A1B">
        <w:rPr>
          <w:rFonts w:eastAsia="Calibri" w:cstheme="minorHAnsi"/>
          <w:sz w:val="24"/>
          <w:szCs w:val="24"/>
        </w:rPr>
        <w:t xml:space="preserve"> </w:t>
      </w:r>
      <w:r w:rsidRPr="007C5A1B">
        <w:rPr>
          <w:rFonts w:eastAsia="Calibri" w:cstheme="minorHAnsi"/>
          <w:sz w:val="24"/>
          <w:szCs w:val="24"/>
        </w:rPr>
        <w:t xml:space="preserve">(dále také „KVD“) </w:t>
      </w:r>
      <w:r w:rsidR="000A173B" w:rsidRPr="007C5A1B">
        <w:rPr>
          <w:rFonts w:eastAsia="Calibri" w:cstheme="minorHAnsi"/>
          <w:sz w:val="24"/>
          <w:szCs w:val="24"/>
        </w:rPr>
        <w:t xml:space="preserve">nebyla schválena vládou a </w:t>
      </w:r>
      <w:r w:rsidR="00EF74F4" w:rsidRPr="007C5A1B">
        <w:rPr>
          <w:rFonts w:eastAsia="Calibri" w:cstheme="minorHAnsi"/>
          <w:sz w:val="24"/>
          <w:szCs w:val="24"/>
        </w:rPr>
        <w:t xml:space="preserve">MD </w:t>
      </w:r>
      <w:r w:rsidR="000A173B" w:rsidRPr="007C5A1B">
        <w:rPr>
          <w:rFonts w:eastAsia="Calibri" w:cstheme="minorHAnsi"/>
          <w:sz w:val="24"/>
          <w:szCs w:val="24"/>
        </w:rPr>
        <w:t>nadále chybí</w:t>
      </w:r>
      <w:r w:rsidR="00807D0D" w:rsidRPr="007C5A1B">
        <w:rPr>
          <w:rFonts w:eastAsia="Calibri" w:cstheme="minorHAnsi"/>
          <w:sz w:val="24"/>
          <w:szCs w:val="24"/>
        </w:rPr>
        <w:t xml:space="preserve"> závazný podklad pro plánování rozvoje vodních cest</w:t>
      </w:r>
      <w:r w:rsidR="0065711C" w:rsidRPr="007C5A1B">
        <w:rPr>
          <w:rFonts w:eastAsia="Calibri" w:cstheme="minorHAnsi"/>
          <w:sz w:val="24"/>
          <w:szCs w:val="24"/>
        </w:rPr>
        <w:t xml:space="preserve"> (viz 4.10)</w:t>
      </w:r>
      <w:r w:rsidR="00807D0D" w:rsidRPr="007C5A1B">
        <w:rPr>
          <w:rFonts w:eastAsia="Calibri" w:cstheme="minorHAnsi"/>
          <w:sz w:val="24"/>
          <w:szCs w:val="24"/>
        </w:rPr>
        <w:t>.</w:t>
      </w:r>
      <w:r w:rsidR="007A2550" w:rsidRPr="007C5A1B">
        <w:rPr>
          <w:rFonts w:eastAsia="Calibri" w:cstheme="minorHAnsi"/>
          <w:sz w:val="24"/>
          <w:szCs w:val="24"/>
        </w:rPr>
        <w:t xml:space="preserve"> </w:t>
      </w:r>
      <w:r w:rsidR="000A7832" w:rsidRPr="007C5A1B">
        <w:rPr>
          <w:rFonts w:eastAsia="Arial Unicode MS" w:cstheme="minorHAnsi"/>
          <w:bCs/>
          <w:sz w:val="24"/>
          <w:szCs w:val="24"/>
        </w:rPr>
        <w:t>MD nepostupuje</w:t>
      </w:r>
      <w:r w:rsidR="000A7832" w:rsidRPr="007C5A1B">
        <w:rPr>
          <w:rFonts w:eastAsia="Calibri" w:cstheme="minorHAnsi"/>
          <w:sz w:val="24"/>
          <w:szCs w:val="24"/>
        </w:rPr>
        <w:t xml:space="preserve"> p</w:t>
      </w:r>
      <w:r w:rsidR="00B75E1D" w:rsidRPr="007C5A1B">
        <w:rPr>
          <w:rFonts w:eastAsia="Calibri" w:cstheme="minorHAnsi"/>
          <w:sz w:val="24"/>
          <w:szCs w:val="24"/>
        </w:rPr>
        <w:t>odle harmonogramu v</w:t>
      </w:r>
      <w:r w:rsidR="009635A9">
        <w:rPr>
          <w:rFonts w:eastAsia="Calibri" w:cstheme="minorHAnsi"/>
          <w:sz w:val="24"/>
          <w:szCs w:val="24"/>
        </w:rPr>
        <w:t> </w:t>
      </w:r>
      <w:r w:rsidR="00511A6D" w:rsidRPr="00972D33">
        <w:rPr>
          <w:rFonts w:eastAsia="Calibri" w:cstheme="minorHAnsi"/>
          <w:i/>
          <w:sz w:val="24"/>
          <w:szCs w:val="24"/>
        </w:rPr>
        <w:t>Dopravní</w:t>
      </w:r>
      <w:r w:rsidR="00B75E1D" w:rsidRPr="00972D33">
        <w:rPr>
          <w:rFonts w:eastAsia="Calibri" w:cstheme="minorHAnsi"/>
          <w:i/>
          <w:sz w:val="24"/>
          <w:szCs w:val="24"/>
        </w:rPr>
        <w:t>ch</w:t>
      </w:r>
      <w:r w:rsidR="00511A6D" w:rsidRPr="00972D33">
        <w:rPr>
          <w:rFonts w:eastAsia="Calibri" w:cstheme="minorHAnsi"/>
          <w:i/>
          <w:sz w:val="24"/>
          <w:szCs w:val="24"/>
        </w:rPr>
        <w:t xml:space="preserve"> sektorov</w:t>
      </w:r>
      <w:r w:rsidR="00B75E1D" w:rsidRPr="00972D33">
        <w:rPr>
          <w:rFonts w:eastAsia="Calibri" w:cstheme="minorHAnsi"/>
          <w:i/>
          <w:sz w:val="24"/>
          <w:szCs w:val="24"/>
        </w:rPr>
        <w:t>ých</w:t>
      </w:r>
      <w:r w:rsidR="00511A6D" w:rsidRPr="00972D33">
        <w:rPr>
          <w:rFonts w:eastAsia="Calibri" w:cstheme="minorHAnsi"/>
          <w:i/>
          <w:sz w:val="24"/>
          <w:szCs w:val="24"/>
        </w:rPr>
        <w:t xml:space="preserve"> </w:t>
      </w:r>
      <w:r w:rsidR="00075B4C" w:rsidRPr="00972D33">
        <w:rPr>
          <w:rFonts w:eastAsia="Calibri" w:cstheme="minorHAnsi"/>
          <w:i/>
          <w:sz w:val="24"/>
          <w:szCs w:val="24"/>
        </w:rPr>
        <w:t>strategií</w:t>
      </w:r>
      <w:r w:rsidR="00B75E1D" w:rsidRPr="00972D33">
        <w:rPr>
          <w:rFonts w:eastAsia="Calibri" w:cstheme="minorHAnsi"/>
          <w:i/>
          <w:sz w:val="24"/>
          <w:szCs w:val="24"/>
        </w:rPr>
        <w:t>ch</w:t>
      </w:r>
      <w:r w:rsidR="00075B4C" w:rsidRPr="00972D33">
        <w:rPr>
          <w:rFonts w:eastAsia="Calibri" w:cstheme="minorHAnsi"/>
          <w:i/>
          <w:sz w:val="24"/>
          <w:szCs w:val="24"/>
        </w:rPr>
        <w:t>, 2.</w:t>
      </w:r>
      <w:r w:rsidR="00515D3B">
        <w:rPr>
          <w:rFonts w:eastAsia="Calibri" w:cstheme="minorHAnsi"/>
          <w:i/>
          <w:sz w:val="24"/>
          <w:szCs w:val="24"/>
        </w:rPr>
        <w:t> </w:t>
      </w:r>
      <w:r w:rsidR="00075B4C" w:rsidRPr="00972D33">
        <w:rPr>
          <w:rFonts w:eastAsia="Calibri" w:cstheme="minorHAnsi"/>
          <w:i/>
          <w:sz w:val="24"/>
          <w:szCs w:val="24"/>
        </w:rPr>
        <w:t>fáze</w:t>
      </w:r>
      <w:r w:rsidRPr="007C5A1B">
        <w:rPr>
          <w:rFonts w:eastAsia="Calibri" w:cstheme="minorHAnsi"/>
          <w:sz w:val="24"/>
          <w:szCs w:val="24"/>
        </w:rPr>
        <w:t xml:space="preserve"> (dále také „DSS2“)</w:t>
      </w:r>
      <w:r w:rsidR="00B75E1D" w:rsidRPr="007C5A1B">
        <w:rPr>
          <w:rFonts w:eastAsia="Calibri" w:cstheme="minorHAnsi"/>
          <w:sz w:val="24"/>
          <w:szCs w:val="24"/>
        </w:rPr>
        <w:t>, kter</w:t>
      </w:r>
      <w:r w:rsidR="00FD2AE7" w:rsidRPr="007C5A1B">
        <w:rPr>
          <w:rFonts w:eastAsia="Calibri" w:cstheme="minorHAnsi"/>
          <w:sz w:val="24"/>
          <w:szCs w:val="24"/>
        </w:rPr>
        <w:t>ý</w:t>
      </w:r>
      <w:r w:rsidR="00B75E1D" w:rsidRPr="007C5A1B">
        <w:rPr>
          <w:rFonts w:eastAsia="Calibri" w:cstheme="minorHAnsi"/>
          <w:sz w:val="24"/>
          <w:szCs w:val="24"/>
        </w:rPr>
        <w:t xml:space="preserve"> </w:t>
      </w:r>
      <w:r w:rsidRPr="007C5A1B">
        <w:rPr>
          <w:rFonts w:eastAsia="Calibri" w:cstheme="minorHAnsi"/>
          <w:sz w:val="24"/>
          <w:szCs w:val="24"/>
        </w:rPr>
        <w:t xml:space="preserve">podle </w:t>
      </w:r>
      <w:r w:rsidRPr="00972D33">
        <w:rPr>
          <w:rFonts w:eastAsia="Calibri" w:cstheme="minorHAnsi"/>
          <w:i/>
          <w:sz w:val="24"/>
          <w:szCs w:val="24"/>
        </w:rPr>
        <w:t>Dopravní politiky</w:t>
      </w:r>
      <w:r w:rsidR="0056545F">
        <w:rPr>
          <w:rFonts w:eastAsia="Calibri" w:cstheme="minorHAnsi"/>
          <w:sz w:val="24"/>
          <w:szCs w:val="24"/>
        </w:rPr>
        <w:t xml:space="preserve"> </w:t>
      </w:r>
      <w:r w:rsidR="0056545F" w:rsidRPr="0056545F">
        <w:rPr>
          <w:rFonts w:eastAsia="Calibri" w:cstheme="minorHAnsi"/>
          <w:i/>
          <w:sz w:val="24"/>
          <w:szCs w:val="24"/>
        </w:rPr>
        <w:t>České republiky pro období let 2014 až 2020 s výhledem do roku 2050</w:t>
      </w:r>
      <w:r w:rsidR="0056545F">
        <w:rPr>
          <w:rFonts w:eastAsia="Calibri" w:cstheme="minorHAnsi"/>
          <w:sz w:val="24"/>
          <w:szCs w:val="24"/>
        </w:rPr>
        <w:t xml:space="preserve"> (dále jen „Dopravní politika“) </w:t>
      </w:r>
      <w:r w:rsidR="0032297A" w:rsidRPr="007C5A1B">
        <w:rPr>
          <w:rFonts w:eastAsia="Calibri" w:cstheme="minorHAnsi"/>
          <w:sz w:val="24"/>
          <w:szCs w:val="24"/>
        </w:rPr>
        <w:t>měl vycházet z KVD a měl být</w:t>
      </w:r>
      <w:r w:rsidRPr="007C5A1B">
        <w:rPr>
          <w:rFonts w:eastAsia="Calibri" w:cstheme="minorHAnsi"/>
          <w:sz w:val="24"/>
          <w:szCs w:val="24"/>
        </w:rPr>
        <w:t xml:space="preserve"> </w:t>
      </w:r>
      <w:r w:rsidR="00B75E1D" w:rsidRPr="007C5A1B">
        <w:rPr>
          <w:rFonts w:eastAsia="Calibri" w:cstheme="minorHAnsi"/>
          <w:sz w:val="24"/>
          <w:szCs w:val="24"/>
        </w:rPr>
        <w:t xml:space="preserve">podkladem pro </w:t>
      </w:r>
      <w:r w:rsidR="00FD2AE7" w:rsidRPr="007C5A1B">
        <w:rPr>
          <w:rFonts w:eastAsia="Calibri" w:cstheme="minorHAnsi"/>
          <w:sz w:val="24"/>
          <w:szCs w:val="24"/>
        </w:rPr>
        <w:t>přidělování</w:t>
      </w:r>
      <w:r w:rsidR="00B75E1D" w:rsidRPr="007C5A1B">
        <w:rPr>
          <w:rFonts w:eastAsia="Calibri" w:cstheme="minorHAnsi"/>
          <w:sz w:val="24"/>
          <w:szCs w:val="24"/>
        </w:rPr>
        <w:t xml:space="preserve"> peněžních prostředků</w:t>
      </w:r>
      <w:r w:rsidR="00075B4C" w:rsidRPr="007C5A1B">
        <w:rPr>
          <w:rFonts w:eastAsia="Calibri" w:cstheme="minorHAnsi"/>
          <w:sz w:val="24"/>
          <w:szCs w:val="24"/>
        </w:rPr>
        <w:t xml:space="preserve"> </w:t>
      </w:r>
      <w:r w:rsidR="00FD2AE7" w:rsidRPr="007C5A1B">
        <w:rPr>
          <w:rFonts w:eastAsia="Calibri" w:cstheme="minorHAnsi"/>
          <w:sz w:val="24"/>
          <w:szCs w:val="24"/>
        </w:rPr>
        <w:t xml:space="preserve">nejdůležitějším projektům </w:t>
      </w:r>
      <w:r w:rsidR="00B75E1D" w:rsidRPr="007C5A1B">
        <w:rPr>
          <w:rFonts w:eastAsia="Arial Unicode MS" w:cstheme="minorHAnsi"/>
          <w:bCs/>
          <w:sz w:val="24"/>
          <w:szCs w:val="24"/>
        </w:rPr>
        <w:t xml:space="preserve">s ohledem na </w:t>
      </w:r>
      <w:r w:rsidR="00FD2AE7" w:rsidRPr="007C5A1B">
        <w:rPr>
          <w:rFonts w:eastAsia="Arial Unicode MS" w:cstheme="minorHAnsi"/>
          <w:bCs/>
          <w:sz w:val="24"/>
          <w:szCs w:val="24"/>
        </w:rPr>
        <w:t xml:space="preserve">jejich </w:t>
      </w:r>
      <w:r w:rsidR="00B75E1D" w:rsidRPr="007C5A1B">
        <w:rPr>
          <w:rFonts w:eastAsia="Arial Unicode MS" w:cstheme="minorHAnsi"/>
          <w:bCs/>
          <w:sz w:val="24"/>
          <w:szCs w:val="24"/>
        </w:rPr>
        <w:t>efektivnost</w:t>
      </w:r>
      <w:r w:rsidR="00296F7B" w:rsidRPr="007C5A1B">
        <w:rPr>
          <w:rFonts w:eastAsia="Arial Unicode MS" w:cstheme="minorHAnsi"/>
          <w:bCs/>
          <w:sz w:val="24"/>
          <w:szCs w:val="24"/>
        </w:rPr>
        <w:t xml:space="preserve"> (viz 4.6–4.9)</w:t>
      </w:r>
      <w:r w:rsidR="00B75E1D" w:rsidRPr="007C5A1B">
        <w:rPr>
          <w:rFonts w:eastAsia="Arial Unicode MS" w:cstheme="minorHAnsi"/>
          <w:bCs/>
          <w:sz w:val="24"/>
          <w:szCs w:val="24"/>
        </w:rPr>
        <w:t xml:space="preserve">. </w:t>
      </w:r>
    </w:p>
    <w:p w14:paraId="66D7E579" w14:textId="20634525" w:rsidR="007A2550" w:rsidRPr="007C5A1B" w:rsidRDefault="00511A6D" w:rsidP="002452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7C5A1B">
        <w:rPr>
          <w:rFonts w:eastAsia="Calibri" w:cstheme="minorHAnsi"/>
          <w:sz w:val="24"/>
          <w:szCs w:val="24"/>
        </w:rPr>
        <w:t>V oblasti rekreační plavby MD nemá vytvořen účinný systém řízení investic. S</w:t>
      </w:r>
      <w:r w:rsidR="007A2550" w:rsidRPr="007C5A1B">
        <w:rPr>
          <w:rFonts w:eastAsia="Calibri" w:cstheme="minorHAnsi"/>
          <w:sz w:val="24"/>
          <w:szCs w:val="24"/>
        </w:rPr>
        <w:t xml:space="preserve">chvalovalo nedostatečně připravené projekty </w:t>
      </w:r>
      <w:r w:rsidR="00296F7B" w:rsidRPr="007C5A1B">
        <w:rPr>
          <w:rFonts w:eastAsia="Calibri" w:cstheme="minorHAnsi"/>
          <w:sz w:val="24"/>
          <w:szCs w:val="24"/>
        </w:rPr>
        <w:t xml:space="preserve">(viz 4.17–4.21) </w:t>
      </w:r>
      <w:r w:rsidR="007A2550" w:rsidRPr="007C5A1B">
        <w:rPr>
          <w:rFonts w:eastAsia="Calibri" w:cstheme="minorHAnsi"/>
          <w:sz w:val="24"/>
          <w:szCs w:val="24"/>
        </w:rPr>
        <w:t>s nevěrohodnými hodnoceními jejich efektivnosti</w:t>
      </w:r>
      <w:r w:rsidR="00472270" w:rsidRPr="007C5A1B">
        <w:rPr>
          <w:rFonts w:eastAsia="Calibri" w:cstheme="minorHAnsi"/>
          <w:sz w:val="24"/>
          <w:szCs w:val="24"/>
        </w:rPr>
        <w:t>, v nichž byl nárůst nákladů kompenzován ne</w:t>
      </w:r>
      <w:r w:rsidRPr="007C5A1B">
        <w:rPr>
          <w:rFonts w:eastAsia="Calibri" w:cstheme="minorHAnsi"/>
          <w:sz w:val="24"/>
          <w:szCs w:val="24"/>
        </w:rPr>
        <w:t>dostatečně podloženými nárůsty očekávaných přínosů, aby projekty zůstaly efektivní</w:t>
      </w:r>
      <w:r w:rsidR="00296F7B" w:rsidRPr="007C5A1B">
        <w:rPr>
          <w:rFonts w:eastAsia="Calibri" w:cstheme="minorHAnsi"/>
          <w:sz w:val="24"/>
          <w:szCs w:val="24"/>
        </w:rPr>
        <w:t xml:space="preserve"> (viz 4.32–4.36)</w:t>
      </w:r>
      <w:r w:rsidR="007A2550" w:rsidRPr="007C5A1B">
        <w:rPr>
          <w:rFonts w:eastAsia="Calibri" w:cstheme="minorHAnsi"/>
          <w:sz w:val="24"/>
          <w:szCs w:val="24"/>
        </w:rPr>
        <w:t xml:space="preserve">. Vyhodnocením </w:t>
      </w:r>
      <w:r w:rsidRPr="007C5A1B">
        <w:rPr>
          <w:rFonts w:eastAsia="Calibri" w:cstheme="minorHAnsi"/>
          <w:sz w:val="24"/>
          <w:szCs w:val="24"/>
        </w:rPr>
        <w:t xml:space="preserve">skutečných přínosů projektů ani celkových </w:t>
      </w:r>
      <w:r w:rsidR="007A2550" w:rsidRPr="007C5A1B">
        <w:rPr>
          <w:rFonts w:eastAsia="Calibri" w:cstheme="minorHAnsi"/>
          <w:sz w:val="24"/>
          <w:szCs w:val="24"/>
        </w:rPr>
        <w:t xml:space="preserve">výsledků </w:t>
      </w:r>
      <w:r w:rsidR="00196210" w:rsidRPr="007C5A1B">
        <w:rPr>
          <w:rFonts w:eastAsia="Calibri" w:cstheme="minorHAnsi"/>
          <w:sz w:val="24"/>
          <w:szCs w:val="24"/>
        </w:rPr>
        <w:t xml:space="preserve">financování rozvoje rekreační plavby </w:t>
      </w:r>
      <w:r w:rsidR="00B72E3C" w:rsidRPr="007C5A1B">
        <w:rPr>
          <w:rFonts w:eastAsia="Calibri" w:cstheme="minorHAnsi"/>
          <w:sz w:val="24"/>
          <w:szCs w:val="24"/>
        </w:rPr>
        <w:t>z</w:t>
      </w:r>
      <w:r w:rsidR="0096524A">
        <w:rPr>
          <w:rFonts w:eastAsia="Calibri" w:cstheme="minorHAnsi"/>
          <w:sz w:val="24"/>
          <w:szCs w:val="24"/>
        </w:rPr>
        <w:t> </w:t>
      </w:r>
      <w:r w:rsidR="00B72E3C" w:rsidRPr="007C5A1B">
        <w:rPr>
          <w:rFonts w:eastAsia="Calibri" w:cstheme="minorHAnsi"/>
          <w:sz w:val="24"/>
          <w:szCs w:val="24"/>
        </w:rPr>
        <w:t xml:space="preserve">peněžních prostředků státu a EU </w:t>
      </w:r>
      <w:r w:rsidR="007A2550" w:rsidRPr="007C5A1B">
        <w:rPr>
          <w:rFonts w:eastAsia="Calibri" w:cstheme="minorHAnsi"/>
          <w:sz w:val="24"/>
          <w:szCs w:val="24"/>
        </w:rPr>
        <w:t>se MD nezabývalo</w:t>
      </w:r>
      <w:r w:rsidR="00296F7B" w:rsidRPr="007C5A1B">
        <w:rPr>
          <w:rFonts w:eastAsia="Calibri" w:cstheme="minorHAnsi"/>
          <w:sz w:val="24"/>
          <w:szCs w:val="24"/>
        </w:rPr>
        <w:t xml:space="preserve"> (viz 4.12, 4.23)</w:t>
      </w:r>
      <w:r w:rsidR="007A2550" w:rsidRPr="007C5A1B">
        <w:rPr>
          <w:rFonts w:eastAsia="Calibri" w:cstheme="minorHAnsi"/>
          <w:sz w:val="24"/>
          <w:szCs w:val="24"/>
        </w:rPr>
        <w:t xml:space="preserve">. </w:t>
      </w:r>
      <w:r w:rsidR="000A173B" w:rsidRPr="007C5A1B">
        <w:rPr>
          <w:rFonts w:eastAsia="Calibri" w:cstheme="minorHAnsi"/>
          <w:sz w:val="24"/>
          <w:szCs w:val="24"/>
        </w:rPr>
        <w:t xml:space="preserve">MD </w:t>
      </w:r>
      <w:r w:rsidR="000A173B" w:rsidRPr="007C5A1B">
        <w:rPr>
          <w:rFonts w:eastAsia="Arial Unicode MS" w:cstheme="minorHAnsi"/>
          <w:bCs/>
          <w:sz w:val="24"/>
          <w:szCs w:val="24"/>
        </w:rPr>
        <w:t>tedy řádně neplnilo svou povinnost zkoumat společenskou problematiku v okruhu své působnosti, analyzovat dosahované výsledky a činit opatření k řešení aktuálních otázek</w:t>
      </w:r>
      <w:r w:rsidR="000A173B" w:rsidRPr="007C5A1B">
        <w:rPr>
          <w:rStyle w:val="Znakapoznpodarou"/>
          <w:rFonts w:cstheme="minorHAnsi"/>
          <w:sz w:val="24"/>
          <w:szCs w:val="24"/>
        </w:rPr>
        <w:footnoteReference w:id="3"/>
      </w:r>
      <w:r w:rsidR="000A173B" w:rsidRPr="007C5A1B">
        <w:rPr>
          <w:rFonts w:eastAsia="Arial Unicode MS" w:cstheme="minorHAnsi"/>
          <w:bCs/>
          <w:sz w:val="24"/>
          <w:szCs w:val="24"/>
        </w:rPr>
        <w:t>.</w:t>
      </w:r>
    </w:p>
    <w:p w14:paraId="038B4F31" w14:textId="77777777" w:rsidR="007A2550" w:rsidRPr="007C5A1B" w:rsidRDefault="007A2550" w:rsidP="002452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7C5A1B">
        <w:rPr>
          <w:rFonts w:eastAsia="Calibri" w:cstheme="minorHAnsi"/>
          <w:sz w:val="24"/>
          <w:szCs w:val="24"/>
        </w:rPr>
        <w:t>ŘVC v rozporu se zákonem</w:t>
      </w:r>
      <w:r w:rsidRPr="007C5A1B">
        <w:rPr>
          <w:rStyle w:val="Znakapoznpodarou"/>
          <w:rFonts w:cstheme="minorHAnsi"/>
          <w:sz w:val="24"/>
          <w:szCs w:val="24"/>
          <w:lang w:eastAsia="cs-CZ"/>
        </w:rPr>
        <w:footnoteReference w:id="4"/>
      </w:r>
      <w:r w:rsidRPr="007C5A1B">
        <w:rPr>
          <w:rFonts w:eastAsia="Calibri" w:cstheme="minorHAnsi"/>
          <w:sz w:val="24"/>
          <w:szCs w:val="24"/>
        </w:rPr>
        <w:t xml:space="preserve"> neuchovalo dokumentaci k veřejné zakázce </w:t>
      </w:r>
      <w:r w:rsidRPr="007C5A1B">
        <w:rPr>
          <w:rFonts w:eastAsia="Calibri" w:cstheme="minorHAnsi"/>
          <w:i/>
          <w:sz w:val="24"/>
          <w:szCs w:val="24"/>
        </w:rPr>
        <w:t>Úvaziště osobní vodní dopravy na dolním Labi</w:t>
      </w:r>
      <w:r w:rsidRPr="007C5A1B">
        <w:rPr>
          <w:rFonts w:eastAsia="Calibri" w:cstheme="minorHAnsi"/>
          <w:sz w:val="24"/>
          <w:szCs w:val="24"/>
        </w:rPr>
        <w:t xml:space="preserve">, kterou zadalo v říjnu 2012. Absence dokumentů potřebných pro kontrolu postupu ŘVC při zadávání této veřejné zakázky činí jeho postup </w:t>
      </w:r>
      <w:r w:rsidRPr="007C5A1B">
        <w:rPr>
          <w:rFonts w:eastAsia="Calibri" w:cstheme="minorHAnsi"/>
          <w:sz w:val="24"/>
          <w:szCs w:val="24"/>
        </w:rPr>
        <w:lastRenderedPageBreak/>
        <w:t>nepřezkoumatelným a představuje porušení zásady transparentnosti</w:t>
      </w:r>
      <w:r w:rsidRPr="007C5A1B">
        <w:rPr>
          <w:rStyle w:val="Znakapoznpodarou"/>
          <w:rFonts w:cstheme="minorHAnsi"/>
          <w:sz w:val="24"/>
          <w:szCs w:val="24"/>
          <w:lang w:eastAsia="cs-CZ"/>
        </w:rPr>
        <w:footnoteReference w:id="5"/>
      </w:r>
      <w:r w:rsidRPr="007C5A1B">
        <w:rPr>
          <w:rFonts w:eastAsia="Calibri" w:cstheme="minorHAnsi"/>
          <w:sz w:val="24"/>
          <w:szCs w:val="24"/>
        </w:rPr>
        <w:t xml:space="preserve">. </w:t>
      </w:r>
      <w:r w:rsidR="0032297A" w:rsidRPr="007C5A1B">
        <w:rPr>
          <w:rFonts w:cstheme="minorHAnsi"/>
          <w:sz w:val="24"/>
          <w:szCs w:val="24"/>
        </w:rPr>
        <w:t>NKÚ toto jednání vyhodnotil jako skutečnost nasvědčující porušení rozpočtové kázně</w:t>
      </w:r>
      <w:r w:rsidR="00E1590F">
        <w:rPr>
          <w:rFonts w:cstheme="minorHAnsi"/>
          <w:sz w:val="24"/>
          <w:szCs w:val="24"/>
        </w:rPr>
        <w:t xml:space="preserve"> (viz 4.39).</w:t>
      </w:r>
    </w:p>
    <w:p w14:paraId="1269C46C" w14:textId="77777777" w:rsidR="00DE2AF8" w:rsidRPr="007C5A1B" w:rsidRDefault="007A2550" w:rsidP="002452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7C5A1B">
        <w:rPr>
          <w:rFonts w:eastAsia="Calibri" w:cstheme="minorHAnsi"/>
          <w:sz w:val="24"/>
          <w:szCs w:val="24"/>
        </w:rPr>
        <w:t>ŘVC předkládalo MD ke schválení nedostatečně připravené projekty, které pak realiz</w:t>
      </w:r>
      <w:r w:rsidR="00B72E3C" w:rsidRPr="007C5A1B">
        <w:rPr>
          <w:rFonts w:eastAsia="Calibri" w:cstheme="minorHAnsi"/>
          <w:sz w:val="24"/>
          <w:szCs w:val="24"/>
        </w:rPr>
        <w:t>ovalo</w:t>
      </w:r>
      <w:r w:rsidRPr="007C5A1B">
        <w:rPr>
          <w:rFonts w:eastAsia="Calibri" w:cstheme="minorHAnsi"/>
          <w:sz w:val="24"/>
          <w:szCs w:val="24"/>
        </w:rPr>
        <w:t xml:space="preserve"> s velkým časovým odstupem a většinou s výrazně vyššími náklady, než původně předpokládalo. Například náklady na dosud nezahájenou výstavbu lodního zdvihadla na Orlíku </w:t>
      </w:r>
      <w:r w:rsidR="000A7832" w:rsidRPr="007C5A1B">
        <w:rPr>
          <w:rFonts w:eastAsia="Calibri" w:cstheme="minorHAnsi"/>
          <w:sz w:val="24"/>
          <w:szCs w:val="24"/>
        </w:rPr>
        <w:t xml:space="preserve">od roku 2008 </w:t>
      </w:r>
      <w:r w:rsidRPr="007C5A1B">
        <w:rPr>
          <w:rFonts w:eastAsia="Calibri" w:cstheme="minorHAnsi"/>
          <w:sz w:val="24"/>
          <w:szCs w:val="24"/>
        </w:rPr>
        <w:t>narostly pětinásobně</w:t>
      </w:r>
      <w:r w:rsidR="007B11C6" w:rsidRPr="007C5A1B">
        <w:rPr>
          <w:rFonts w:eastAsia="Calibri" w:cstheme="minorHAnsi"/>
          <w:sz w:val="24"/>
          <w:szCs w:val="24"/>
        </w:rPr>
        <w:t xml:space="preserve"> (viz 4.30)</w:t>
      </w:r>
      <w:r w:rsidRPr="007C5A1B">
        <w:rPr>
          <w:rFonts w:eastAsia="Calibri" w:cstheme="minorHAnsi"/>
          <w:sz w:val="24"/>
          <w:szCs w:val="24"/>
        </w:rPr>
        <w:t>.</w:t>
      </w:r>
      <w:r w:rsidR="00DE2AF8" w:rsidRPr="007C5A1B">
        <w:rPr>
          <w:rFonts w:eastAsia="Calibri" w:cstheme="minorHAnsi"/>
          <w:sz w:val="24"/>
          <w:szCs w:val="24"/>
        </w:rPr>
        <w:t xml:space="preserve"> </w:t>
      </w:r>
      <w:r w:rsidR="00802441" w:rsidRPr="007C5A1B">
        <w:rPr>
          <w:rFonts w:eastAsia="Calibri" w:cstheme="minorHAnsi"/>
          <w:sz w:val="24"/>
          <w:szCs w:val="24"/>
        </w:rPr>
        <w:t>M</w:t>
      </w:r>
      <w:r w:rsidR="00DE2AF8" w:rsidRPr="007C5A1B">
        <w:rPr>
          <w:rFonts w:eastAsia="Calibri" w:cstheme="minorHAnsi"/>
          <w:sz w:val="24"/>
          <w:szCs w:val="24"/>
        </w:rPr>
        <w:t xml:space="preserve">odernizaci přístaviště v Litoměřicích, kterou </w:t>
      </w:r>
      <w:r w:rsidR="00DE2AF8" w:rsidRPr="007C5A1B">
        <w:rPr>
          <w:rFonts w:cstheme="minorHAnsi"/>
          <w:sz w:val="24"/>
          <w:szCs w:val="24"/>
        </w:rPr>
        <w:t xml:space="preserve">v rámci širšího projektu </w:t>
      </w:r>
      <w:r w:rsidR="00DE2AF8" w:rsidRPr="007C5A1B">
        <w:rPr>
          <w:rFonts w:eastAsia="Calibri" w:cstheme="minorHAnsi"/>
          <w:i/>
          <w:sz w:val="24"/>
          <w:szCs w:val="24"/>
        </w:rPr>
        <w:t>Úvaziště osobní vodní dopravy</w:t>
      </w:r>
      <w:r w:rsidR="00DE2AF8" w:rsidRPr="007C5A1B">
        <w:rPr>
          <w:rFonts w:eastAsia="Calibri" w:cstheme="minorHAnsi"/>
          <w:sz w:val="24"/>
          <w:szCs w:val="24"/>
        </w:rPr>
        <w:t xml:space="preserve"> </w:t>
      </w:r>
      <w:r w:rsidR="00DE2AF8" w:rsidRPr="007C5A1B">
        <w:rPr>
          <w:rFonts w:eastAsia="Calibri" w:cstheme="minorHAnsi"/>
          <w:i/>
          <w:sz w:val="24"/>
          <w:szCs w:val="24"/>
        </w:rPr>
        <w:t xml:space="preserve">na dolním Labi </w:t>
      </w:r>
      <w:r w:rsidR="00DE2AF8" w:rsidRPr="007C5A1B">
        <w:rPr>
          <w:rFonts w:cstheme="minorHAnsi"/>
          <w:sz w:val="24"/>
          <w:szCs w:val="24"/>
        </w:rPr>
        <w:t>MD schválilo v </w:t>
      </w:r>
      <w:r w:rsidR="000A7832" w:rsidRPr="007C5A1B">
        <w:rPr>
          <w:rFonts w:cstheme="minorHAnsi"/>
          <w:sz w:val="24"/>
          <w:szCs w:val="24"/>
        </w:rPr>
        <w:t>roce</w:t>
      </w:r>
      <w:r w:rsidR="00DE2AF8" w:rsidRPr="007C5A1B">
        <w:rPr>
          <w:rFonts w:cstheme="minorHAnsi"/>
          <w:sz w:val="24"/>
          <w:szCs w:val="24"/>
        </w:rPr>
        <w:t xml:space="preserve"> 2010</w:t>
      </w:r>
      <w:r w:rsidR="00802441" w:rsidRPr="007C5A1B">
        <w:rPr>
          <w:rFonts w:cstheme="minorHAnsi"/>
          <w:sz w:val="24"/>
          <w:szCs w:val="24"/>
        </w:rPr>
        <w:t>,</w:t>
      </w:r>
      <w:r w:rsidR="00DE2AF8" w:rsidRPr="007C5A1B">
        <w:rPr>
          <w:rFonts w:cstheme="minorHAnsi"/>
          <w:sz w:val="24"/>
          <w:szCs w:val="24"/>
        </w:rPr>
        <w:t xml:space="preserve"> </w:t>
      </w:r>
      <w:r w:rsidR="00802441" w:rsidRPr="007C5A1B">
        <w:rPr>
          <w:rFonts w:cstheme="minorHAnsi"/>
          <w:sz w:val="24"/>
          <w:szCs w:val="24"/>
        </w:rPr>
        <w:t>nyní ŘVC realizuje s náklady patnáctinásobně vyššími, než původně navrhlo</w:t>
      </w:r>
      <w:r w:rsidR="007B11C6" w:rsidRPr="007C5A1B">
        <w:rPr>
          <w:rFonts w:cstheme="minorHAnsi"/>
          <w:sz w:val="24"/>
          <w:szCs w:val="24"/>
        </w:rPr>
        <w:t xml:space="preserve"> </w:t>
      </w:r>
      <w:r w:rsidR="007B11C6" w:rsidRPr="007C5A1B">
        <w:rPr>
          <w:rFonts w:eastAsia="Calibri" w:cstheme="minorHAnsi"/>
          <w:sz w:val="24"/>
          <w:szCs w:val="24"/>
        </w:rPr>
        <w:t>(viz 4.31)</w:t>
      </w:r>
      <w:r w:rsidR="00DE2AF8" w:rsidRPr="007C5A1B">
        <w:rPr>
          <w:rFonts w:cstheme="minorHAnsi"/>
          <w:sz w:val="24"/>
          <w:szCs w:val="24"/>
        </w:rPr>
        <w:t>.</w:t>
      </w:r>
    </w:p>
    <w:p w14:paraId="7EA130DB" w14:textId="3E669A5B" w:rsidR="000E19F4" w:rsidRPr="007C5A1B" w:rsidRDefault="00DE2AF8" w:rsidP="002452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7C5A1B">
        <w:rPr>
          <w:rFonts w:eastAsia="Calibri" w:cstheme="minorHAnsi"/>
          <w:sz w:val="24"/>
          <w:szCs w:val="24"/>
        </w:rPr>
        <w:t xml:space="preserve">Nedostatky v přípravě projektů přinášely velké množství změn </w:t>
      </w:r>
      <w:r w:rsidR="004459C7" w:rsidRPr="007C5A1B">
        <w:rPr>
          <w:rFonts w:eastAsia="Calibri" w:cstheme="minorHAnsi"/>
          <w:sz w:val="24"/>
          <w:szCs w:val="24"/>
        </w:rPr>
        <w:t>při</w:t>
      </w:r>
      <w:r w:rsidRPr="007C5A1B">
        <w:rPr>
          <w:rFonts w:eastAsia="Calibri" w:cstheme="minorHAnsi"/>
          <w:sz w:val="24"/>
          <w:szCs w:val="24"/>
        </w:rPr>
        <w:t xml:space="preserve"> jejich realizac</w:t>
      </w:r>
      <w:r w:rsidR="004459C7" w:rsidRPr="007C5A1B">
        <w:rPr>
          <w:rFonts w:eastAsia="Calibri" w:cstheme="minorHAnsi"/>
          <w:sz w:val="24"/>
          <w:szCs w:val="24"/>
        </w:rPr>
        <w:t>i</w:t>
      </w:r>
      <w:r w:rsidRPr="007C5A1B">
        <w:rPr>
          <w:rFonts w:eastAsia="Calibri" w:cstheme="minorHAnsi"/>
          <w:sz w:val="24"/>
          <w:szCs w:val="24"/>
        </w:rPr>
        <w:t xml:space="preserve"> s řadou negativních důsledků včetně porušení zákona při zadávání veřejných zakázek </w:t>
      </w:r>
      <w:r w:rsidR="004459C7" w:rsidRPr="007C5A1B">
        <w:rPr>
          <w:rFonts w:eastAsia="Calibri" w:cstheme="minorHAnsi"/>
          <w:sz w:val="24"/>
          <w:szCs w:val="24"/>
        </w:rPr>
        <w:t xml:space="preserve">v případě </w:t>
      </w:r>
      <w:r w:rsidRPr="007C5A1B">
        <w:rPr>
          <w:rFonts w:eastAsia="Calibri" w:cstheme="minorHAnsi"/>
          <w:sz w:val="24"/>
          <w:szCs w:val="24"/>
        </w:rPr>
        <w:t xml:space="preserve">projektu </w:t>
      </w:r>
      <w:r w:rsidRPr="007C5A1B">
        <w:rPr>
          <w:rFonts w:eastAsia="Calibri" w:cstheme="minorHAnsi"/>
          <w:i/>
          <w:sz w:val="24"/>
          <w:szCs w:val="24"/>
        </w:rPr>
        <w:t xml:space="preserve">Dokončení vltavské vodní cesty v úseku VD Hněvkovice </w:t>
      </w:r>
      <w:r w:rsidR="000C7AD2">
        <w:rPr>
          <w:rFonts w:eastAsia="Calibri" w:cstheme="minorHAnsi"/>
          <w:i/>
          <w:sz w:val="24"/>
          <w:szCs w:val="24"/>
        </w:rPr>
        <w:t>–</w:t>
      </w:r>
      <w:r w:rsidRPr="007C5A1B">
        <w:rPr>
          <w:rFonts w:eastAsia="Calibri" w:cstheme="minorHAnsi"/>
          <w:i/>
          <w:sz w:val="24"/>
          <w:szCs w:val="24"/>
        </w:rPr>
        <w:t xml:space="preserve"> Týn nad Vltavou</w:t>
      </w:r>
      <w:r w:rsidR="004459C7" w:rsidRPr="007C5A1B">
        <w:rPr>
          <w:rStyle w:val="Znakapoznpodarou"/>
          <w:rFonts w:cstheme="minorHAnsi"/>
          <w:sz w:val="24"/>
          <w:szCs w:val="24"/>
          <w:lang w:eastAsia="cs-CZ"/>
        </w:rPr>
        <w:footnoteReference w:id="6"/>
      </w:r>
      <w:r w:rsidR="007B11C6" w:rsidRPr="007C5A1B">
        <w:rPr>
          <w:rFonts w:eastAsia="Calibri" w:cstheme="minorHAnsi"/>
          <w:i/>
          <w:sz w:val="24"/>
          <w:szCs w:val="24"/>
        </w:rPr>
        <w:t xml:space="preserve"> </w:t>
      </w:r>
      <w:r w:rsidR="007B11C6" w:rsidRPr="007C5A1B">
        <w:rPr>
          <w:rFonts w:eastAsia="Calibri" w:cstheme="minorHAnsi"/>
          <w:sz w:val="24"/>
          <w:szCs w:val="24"/>
        </w:rPr>
        <w:t>(viz</w:t>
      </w:r>
      <w:r w:rsidR="00071857">
        <w:rPr>
          <w:rFonts w:eastAsia="Calibri" w:cstheme="minorHAnsi"/>
          <w:sz w:val="24"/>
          <w:szCs w:val="24"/>
        </w:rPr>
        <w:t> </w:t>
      </w:r>
      <w:r w:rsidR="007B11C6" w:rsidRPr="007C5A1B">
        <w:rPr>
          <w:rFonts w:eastAsia="Calibri" w:cstheme="minorHAnsi"/>
          <w:sz w:val="24"/>
          <w:szCs w:val="24"/>
        </w:rPr>
        <w:t>4.40)</w:t>
      </w:r>
      <w:r w:rsidR="007B11C6" w:rsidRPr="007C5A1B">
        <w:rPr>
          <w:rFonts w:cstheme="minorHAnsi"/>
          <w:sz w:val="24"/>
          <w:szCs w:val="24"/>
        </w:rPr>
        <w:t>.</w:t>
      </w:r>
      <w:r w:rsidR="004459C7" w:rsidRPr="007C5A1B">
        <w:rPr>
          <w:rFonts w:eastAsia="Calibri" w:cstheme="minorHAnsi"/>
          <w:sz w:val="24"/>
          <w:szCs w:val="24"/>
        </w:rPr>
        <w:t xml:space="preserve"> </w:t>
      </w:r>
    </w:p>
    <w:p w14:paraId="08DC48A8" w14:textId="5D368A61" w:rsidR="000E19F4" w:rsidRPr="007C5A1B" w:rsidRDefault="000E19F4" w:rsidP="002452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7C5A1B">
        <w:rPr>
          <w:rFonts w:eastAsia="Calibri" w:cstheme="minorHAnsi"/>
          <w:sz w:val="24"/>
          <w:szCs w:val="24"/>
        </w:rPr>
        <w:t xml:space="preserve">ŘVC při přípravě projektů a MD při jejich schvalování nevytvořily předpoklady pro objektivní vyhodnocení jejich výsledků a přínosů, tedy i účelnosti a efektivnosti peněžních prostředků vynaložených na jejich </w:t>
      </w:r>
      <w:r w:rsidR="00D256E9" w:rsidRPr="007C5A1B">
        <w:rPr>
          <w:rFonts w:eastAsia="Calibri" w:cstheme="minorHAnsi"/>
          <w:sz w:val="24"/>
          <w:szCs w:val="24"/>
        </w:rPr>
        <w:t xml:space="preserve">přípravu a </w:t>
      </w:r>
      <w:r w:rsidRPr="007C5A1B">
        <w:rPr>
          <w:rFonts w:eastAsia="Calibri" w:cstheme="minorHAnsi"/>
          <w:sz w:val="24"/>
          <w:szCs w:val="24"/>
        </w:rPr>
        <w:t xml:space="preserve">realizaci. Cíle a očekávané výsledky projektů byly stanoveny jen obecně a bez měřitelných ukazatelů, které by umožnily vyhodnotit, nakolik se podařilo </w:t>
      </w:r>
      <w:r w:rsidR="00D256E9" w:rsidRPr="007C5A1B">
        <w:rPr>
          <w:rFonts w:eastAsia="Calibri" w:cstheme="minorHAnsi"/>
          <w:sz w:val="24"/>
          <w:szCs w:val="24"/>
        </w:rPr>
        <w:t xml:space="preserve">naplnit </w:t>
      </w:r>
      <w:r w:rsidRPr="007C5A1B">
        <w:rPr>
          <w:rFonts w:eastAsia="Calibri" w:cstheme="minorHAnsi"/>
          <w:sz w:val="24"/>
          <w:szCs w:val="24"/>
        </w:rPr>
        <w:t>očekávání. Obdobné nedostatky NKÚ zjistil i u kontrolovaných projektů realizovaných Povodím Vltavy</w:t>
      </w:r>
      <w:r w:rsidR="00AE67C9" w:rsidRPr="007C5A1B">
        <w:rPr>
          <w:rFonts w:eastAsia="Calibri" w:cstheme="minorHAnsi"/>
          <w:sz w:val="24"/>
          <w:szCs w:val="24"/>
        </w:rPr>
        <w:t xml:space="preserve"> (viz 4.22</w:t>
      </w:r>
      <w:r w:rsidR="005175DA">
        <w:rPr>
          <w:rFonts w:eastAsia="Calibri" w:cstheme="minorHAnsi"/>
          <w:sz w:val="24"/>
          <w:szCs w:val="24"/>
        </w:rPr>
        <w:t>–</w:t>
      </w:r>
      <w:r w:rsidR="00AE67C9" w:rsidRPr="007C5A1B">
        <w:rPr>
          <w:rFonts w:eastAsia="Calibri" w:cstheme="minorHAnsi"/>
          <w:sz w:val="24"/>
          <w:szCs w:val="24"/>
        </w:rPr>
        <w:t>4.23)</w:t>
      </w:r>
      <w:r w:rsidRPr="007C5A1B">
        <w:rPr>
          <w:rFonts w:eastAsia="Calibri" w:cstheme="minorHAnsi"/>
          <w:sz w:val="24"/>
          <w:szCs w:val="24"/>
        </w:rPr>
        <w:t xml:space="preserve">. </w:t>
      </w:r>
    </w:p>
    <w:p w14:paraId="05DC1BB1" w14:textId="77777777" w:rsidR="007A2550" w:rsidRPr="007C5A1B" w:rsidRDefault="007A2550" w:rsidP="002452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7C5A1B">
        <w:rPr>
          <w:rFonts w:eastAsia="Calibri" w:cstheme="minorHAnsi"/>
          <w:sz w:val="24"/>
          <w:szCs w:val="24"/>
        </w:rPr>
        <w:t>Projekty ŘVC a Povodí Vltavy připravuj</w:t>
      </w:r>
      <w:r w:rsidR="00D256E9" w:rsidRPr="007C5A1B">
        <w:rPr>
          <w:rFonts w:eastAsia="Calibri" w:cstheme="minorHAnsi"/>
          <w:sz w:val="24"/>
          <w:szCs w:val="24"/>
        </w:rPr>
        <w:t>í</w:t>
      </w:r>
      <w:r w:rsidRPr="007C5A1B">
        <w:rPr>
          <w:rFonts w:eastAsia="Calibri" w:cstheme="minorHAnsi"/>
          <w:sz w:val="24"/>
          <w:szCs w:val="24"/>
        </w:rPr>
        <w:t xml:space="preserve"> a MD je schvaluje jednotlivě, nikoliv v rámci ucelených dopravních řešení. V případě odložení či nedokončení všech vzájemně navazujících projektů hrozí nižší efektivnost, popř. i neúčelnost vy</w:t>
      </w:r>
      <w:r w:rsidR="00196210" w:rsidRPr="007C5A1B">
        <w:rPr>
          <w:rFonts w:eastAsia="Calibri" w:cstheme="minorHAnsi"/>
          <w:sz w:val="24"/>
          <w:szCs w:val="24"/>
        </w:rPr>
        <w:t>užití</w:t>
      </w:r>
      <w:r w:rsidRPr="007C5A1B">
        <w:rPr>
          <w:rFonts w:eastAsia="Calibri" w:cstheme="minorHAnsi"/>
          <w:sz w:val="24"/>
          <w:szCs w:val="24"/>
        </w:rPr>
        <w:t xml:space="preserve"> peněžních prostředků vynaložených na dílčí projekt</w:t>
      </w:r>
      <w:r w:rsidR="00B72E3C" w:rsidRPr="007C5A1B">
        <w:rPr>
          <w:rFonts w:eastAsia="Calibri" w:cstheme="minorHAnsi"/>
          <w:sz w:val="24"/>
          <w:szCs w:val="24"/>
        </w:rPr>
        <w:t>y</w:t>
      </w:r>
      <w:r w:rsidR="000C6850" w:rsidRPr="007C5A1B">
        <w:rPr>
          <w:rFonts w:eastAsia="Calibri" w:cstheme="minorHAnsi"/>
          <w:sz w:val="24"/>
          <w:szCs w:val="24"/>
        </w:rPr>
        <w:t xml:space="preserve"> (viz 4.41)</w:t>
      </w:r>
      <w:r w:rsidRPr="007C5A1B">
        <w:rPr>
          <w:rFonts w:eastAsia="Calibri" w:cstheme="minorHAnsi"/>
          <w:sz w:val="24"/>
          <w:szCs w:val="24"/>
        </w:rPr>
        <w:t xml:space="preserve">. Například efektivnost projektu </w:t>
      </w:r>
      <w:r w:rsidRPr="007C5A1B">
        <w:rPr>
          <w:rFonts w:eastAsia="Calibri" w:cstheme="minorHAnsi"/>
          <w:i/>
          <w:sz w:val="24"/>
          <w:szCs w:val="24"/>
        </w:rPr>
        <w:t xml:space="preserve">Dokončení Vltavské vodní cesty v úseku VD Hněvkovice </w:t>
      </w:r>
      <w:r w:rsidR="005175DA">
        <w:rPr>
          <w:rFonts w:eastAsia="Calibri" w:cstheme="minorHAnsi"/>
          <w:i/>
          <w:sz w:val="24"/>
          <w:szCs w:val="24"/>
        </w:rPr>
        <w:t>–</w:t>
      </w:r>
      <w:r w:rsidRPr="007C5A1B">
        <w:rPr>
          <w:rFonts w:eastAsia="Calibri" w:cstheme="minorHAnsi"/>
          <w:i/>
          <w:sz w:val="24"/>
          <w:szCs w:val="24"/>
        </w:rPr>
        <w:t xml:space="preserve"> Týn nad Vltavou</w:t>
      </w:r>
      <w:r w:rsidRPr="007C5A1B">
        <w:rPr>
          <w:rFonts w:eastAsia="Calibri" w:cstheme="minorHAnsi"/>
          <w:sz w:val="24"/>
          <w:szCs w:val="24"/>
        </w:rPr>
        <w:t xml:space="preserve"> je snížena dosavadní </w:t>
      </w:r>
      <w:proofErr w:type="spellStart"/>
      <w:r w:rsidRPr="007C5A1B">
        <w:rPr>
          <w:rFonts w:eastAsia="Calibri" w:cstheme="minorHAnsi"/>
          <w:sz w:val="24"/>
          <w:szCs w:val="24"/>
        </w:rPr>
        <w:t>nerealizací</w:t>
      </w:r>
      <w:proofErr w:type="spellEnd"/>
      <w:r w:rsidRPr="007C5A1B">
        <w:rPr>
          <w:rFonts w:eastAsia="Calibri" w:cstheme="minorHAnsi"/>
          <w:sz w:val="24"/>
          <w:szCs w:val="24"/>
        </w:rPr>
        <w:t xml:space="preserve"> projektu zvýšení nevyhovující výšky mostu v Týně nad Vltavou</w:t>
      </w:r>
      <w:r w:rsidR="00383E1E" w:rsidRPr="007C5A1B">
        <w:rPr>
          <w:rFonts w:eastAsia="Calibri" w:cstheme="minorHAnsi"/>
          <w:sz w:val="24"/>
          <w:szCs w:val="24"/>
        </w:rPr>
        <w:t xml:space="preserve"> a</w:t>
      </w:r>
      <w:r w:rsidR="005175DA">
        <w:rPr>
          <w:rFonts w:eastAsia="Calibri" w:cstheme="minorHAnsi"/>
          <w:sz w:val="24"/>
          <w:szCs w:val="24"/>
        </w:rPr>
        <w:t> </w:t>
      </w:r>
      <w:r w:rsidR="00383E1E" w:rsidRPr="007C5A1B">
        <w:rPr>
          <w:rFonts w:eastAsia="Calibri" w:cstheme="minorHAnsi"/>
          <w:sz w:val="24"/>
          <w:szCs w:val="24"/>
        </w:rPr>
        <w:t xml:space="preserve">opožděným řešením problematické splavnosti Vltavy pod zdymadlem </w:t>
      </w:r>
      <w:proofErr w:type="spellStart"/>
      <w:r w:rsidR="00383E1E" w:rsidRPr="007C5A1B">
        <w:rPr>
          <w:rFonts w:eastAsia="Calibri" w:cstheme="minorHAnsi"/>
          <w:sz w:val="24"/>
          <w:szCs w:val="24"/>
        </w:rPr>
        <w:t>Kořensko</w:t>
      </w:r>
      <w:proofErr w:type="spellEnd"/>
      <w:r w:rsidRPr="007C5A1B">
        <w:rPr>
          <w:rFonts w:eastAsia="Calibri" w:cstheme="minorHAnsi"/>
          <w:sz w:val="24"/>
          <w:szCs w:val="24"/>
        </w:rPr>
        <w:t>.</w:t>
      </w:r>
      <w:r w:rsidR="00836C20" w:rsidRPr="007C5A1B">
        <w:rPr>
          <w:rFonts w:eastAsia="Calibri" w:cstheme="minorHAnsi"/>
          <w:sz w:val="24"/>
          <w:szCs w:val="24"/>
        </w:rPr>
        <w:t xml:space="preserve"> ŘVC v závěrečné monitorovací zprávě projektu uvedlo nepravdivé informace o splnění cílů projektu</w:t>
      </w:r>
      <w:r w:rsidR="000C6850" w:rsidRPr="007C5A1B">
        <w:rPr>
          <w:rFonts w:eastAsia="Calibri" w:cstheme="minorHAnsi"/>
          <w:sz w:val="24"/>
          <w:szCs w:val="24"/>
        </w:rPr>
        <w:t xml:space="preserve"> (viz 4.42)</w:t>
      </w:r>
      <w:r w:rsidR="00836C20" w:rsidRPr="007C5A1B">
        <w:rPr>
          <w:rFonts w:eastAsia="Calibri" w:cstheme="minorHAnsi"/>
          <w:sz w:val="24"/>
          <w:szCs w:val="24"/>
        </w:rPr>
        <w:t>.</w:t>
      </w:r>
    </w:p>
    <w:p w14:paraId="681F13CA" w14:textId="457871B5" w:rsidR="007A2550" w:rsidRPr="007C5A1B" w:rsidRDefault="007A2550" w:rsidP="002452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7C5A1B">
        <w:rPr>
          <w:rFonts w:cstheme="minorHAnsi"/>
          <w:sz w:val="24"/>
          <w:szCs w:val="24"/>
        </w:rPr>
        <w:t>Odpovědnost za přípravu a realizaci typově stejných projektů je rozdělena mezi ŘVC a</w:t>
      </w:r>
      <w:r w:rsidR="005175DA">
        <w:rPr>
          <w:rFonts w:cstheme="minorHAnsi"/>
          <w:sz w:val="24"/>
          <w:szCs w:val="24"/>
        </w:rPr>
        <w:t> </w:t>
      </w:r>
      <w:r w:rsidR="0064658F" w:rsidRPr="007C5A1B">
        <w:rPr>
          <w:rFonts w:cstheme="minorHAnsi"/>
          <w:sz w:val="24"/>
          <w:szCs w:val="24"/>
        </w:rPr>
        <w:t xml:space="preserve">správce </w:t>
      </w:r>
      <w:r w:rsidR="00016AE6" w:rsidRPr="007C5A1B">
        <w:rPr>
          <w:rFonts w:cstheme="minorHAnsi"/>
          <w:sz w:val="24"/>
          <w:szCs w:val="24"/>
        </w:rPr>
        <w:t>vodní cesty</w:t>
      </w:r>
      <w:r w:rsidRPr="007C5A1B">
        <w:rPr>
          <w:rFonts w:cstheme="minorHAnsi"/>
          <w:sz w:val="24"/>
          <w:szCs w:val="24"/>
        </w:rPr>
        <w:t xml:space="preserve"> v působnosti dvou různých re</w:t>
      </w:r>
      <w:r w:rsidR="007C5A1B" w:rsidRPr="007C5A1B">
        <w:rPr>
          <w:rFonts w:cstheme="minorHAnsi"/>
          <w:sz w:val="24"/>
          <w:szCs w:val="24"/>
        </w:rPr>
        <w:t>s</w:t>
      </w:r>
      <w:r w:rsidRPr="007C5A1B">
        <w:rPr>
          <w:rFonts w:cstheme="minorHAnsi"/>
          <w:sz w:val="24"/>
          <w:szCs w:val="24"/>
        </w:rPr>
        <w:t>ortů</w:t>
      </w:r>
      <w:r w:rsidRPr="007C5A1B">
        <w:rPr>
          <w:rStyle w:val="Znakapoznpodarou"/>
          <w:rFonts w:cstheme="minorHAnsi"/>
          <w:sz w:val="24"/>
          <w:szCs w:val="24"/>
          <w:lang w:eastAsia="cs-CZ"/>
        </w:rPr>
        <w:footnoteReference w:id="7"/>
      </w:r>
      <w:r w:rsidRPr="007C5A1B">
        <w:rPr>
          <w:rFonts w:cstheme="minorHAnsi"/>
          <w:sz w:val="24"/>
          <w:szCs w:val="24"/>
        </w:rPr>
        <w:t xml:space="preserve">. Důsledkem nedostatečné koordinace a nevyřešených sporů o majetek a pozemky </w:t>
      </w:r>
      <w:r w:rsidR="004861AB" w:rsidRPr="007C5A1B">
        <w:rPr>
          <w:rFonts w:cstheme="minorHAnsi"/>
          <w:sz w:val="24"/>
          <w:szCs w:val="24"/>
        </w:rPr>
        <w:t xml:space="preserve">mezi těmito organizacemi </w:t>
      </w:r>
      <w:r w:rsidRPr="007C5A1B">
        <w:rPr>
          <w:rFonts w:cstheme="minorHAnsi"/>
          <w:sz w:val="24"/>
          <w:szCs w:val="24"/>
        </w:rPr>
        <w:t>je odkládání staveb</w:t>
      </w:r>
      <w:r w:rsidR="00DC6290" w:rsidRPr="007C5A1B">
        <w:rPr>
          <w:rFonts w:cstheme="minorHAnsi"/>
          <w:sz w:val="24"/>
          <w:szCs w:val="24"/>
        </w:rPr>
        <w:t xml:space="preserve"> a</w:t>
      </w:r>
      <w:r w:rsidRPr="007C5A1B">
        <w:rPr>
          <w:rFonts w:cstheme="minorHAnsi"/>
          <w:sz w:val="24"/>
          <w:szCs w:val="24"/>
        </w:rPr>
        <w:t xml:space="preserve"> nevypořádání projektů i několik let po jejich dokončení</w:t>
      </w:r>
      <w:r w:rsidR="004C7EEB" w:rsidRPr="007C5A1B">
        <w:rPr>
          <w:rFonts w:cstheme="minorHAnsi"/>
          <w:sz w:val="24"/>
          <w:szCs w:val="24"/>
        </w:rPr>
        <w:t xml:space="preserve"> (viz 4.26–4.29)</w:t>
      </w:r>
      <w:r w:rsidRPr="007C5A1B">
        <w:rPr>
          <w:rFonts w:cstheme="minorHAnsi"/>
          <w:sz w:val="24"/>
          <w:szCs w:val="24"/>
        </w:rPr>
        <w:t>.</w:t>
      </w:r>
      <w:r w:rsidR="00807D0D" w:rsidRPr="007C5A1B">
        <w:rPr>
          <w:rFonts w:cstheme="minorHAnsi"/>
          <w:sz w:val="24"/>
          <w:szCs w:val="24"/>
        </w:rPr>
        <w:t xml:space="preserve"> </w:t>
      </w:r>
      <w:r w:rsidR="00196210" w:rsidRPr="007C5A1B">
        <w:rPr>
          <w:rFonts w:cstheme="minorHAnsi"/>
          <w:sz w:val="24"/>
          <w:szCs w:val="24"/>
        </w:rPr>
        <w:t xml:space="preserve">Například </w:t>
      </w:r>
      <w:r w:rsidR="00802441" w:rsidRPr="007C5A1B">
        <w:rPr>
          <w:rFonts w:cstheme="minorHAnsi"/>
          <w:sz w:val="24"/>
          <w:szCs w:val="24"/>
        </w:rPr>
        <w:t xml:space="preserve">výše zmíněnou </w:t>
      </w:r>
      <w:r w:rsidR="00196210" w:rsidRPr="007C5A1B">
        <w:rPr>
          <w:rFonts w:cstheme="minorHAnsi"/>
          <w:sz w:val="24"/>
          <w:szCs w:val="24"/>
        </w:rPr>
        <w:t>modernizaci přístaviště v Litoměřicích MD schválilo v květnu 2010 se stavebními náklady 1,96 mil. Kč. ŘVC ale je</w:t>
      </w:r>
      <w:r w:rsidR="00E04918" w:rsidRPr="007C5A1B">
        <w:rPr>
          <w:rFonts w:cstheme="minorHAnsi"/>
          <w:sz w:val="24"/>
          <w:szCs w:val="24"/>
        </w:rPr>
        <w:t>jí</w:t>
      </w:r>
      <w:r w:rsidR="00196210" w:rsidRPr="007C5A1B">
        <w:rPr>
          <w:rFonts w:cstheme="minorHAnsi"/>
          <w:sz w:val="24"/>
          <w:szCs w:val="24"/>
        </w:rPr>
        <w:t xml:space="preserve"> realizaci odkládalo až do </w:t>
      </w:r>
      <w:r w:rsidR="00A235C8" w:rsidRPr="007C5A1B">
        <w:rPr>
          <w:rFonts w:cstheme="minorHAnsi"/>
          <w:sz w:val="24"/>
          <w:szCs w:val="24"/>
        </w:rPr>
        <w:t>června 2021, kdy uzavřelo smlouvu na modernizaci tohoto přístaviště za 30</w:t>
      </w:r>
      <w:r w:rsidR="0017100B" w:rsidRPr="007C5A1B">
        <w:rPr>
          <w:rFonts w:cstheme="minorHAnsi"/>
          <w:sz w:val="24"/>
          <w:szCs w:val="24"/>
        </w:rPr>
        <w:t>,3</w:t>
      </w:r>
      <w:r w:rsidR="00A235C8" w:rsidRPr="007C5A1B">
        <w:rPr>
          <w:rFonts w:cstheme="minorHAnsi"/>
          <w:sz w:val="24"/>
          <w:szCs w:val="24"/>
        </w:rPr>
        <w:t xml:space="preserve"> mil. Kč.</w:t>
      </w:r>
      <w:r w:rsidR="00196210" w:rsidRPr="007C5A1B">
        <w:rPr>
          <w:rFonts w:cstheme="minorHAnsi"/>
          <w:sz w:val="24"/>
          <w:szCs w:val="24"/>
        </w:rPr>
        <w:t xml:space="preserve"> </w:t>
      </w:r>
      <w:r w:rsidR="00A235C8" w:rsidRPr="007C5A1B">
        <w:rPr>
          <w:rFonts w:cstheme="minorHAnsi"/>
          <w:sz w:val="24"/>
          <w:szCs w:val="24"/>
        </w:rPr>
        <w:t xml:space="preserve">Svůj postup </w:t>
      </w:r>
      <w:r w:rsidR="007868AD" w:rsidRPr="007C5A1B">
        <w:rPr>
          <w:rFonts w:cstheme="minorHAnsi"/>
          <w:sz w:val="24"/>
          <w:szCs w:val="24"/>
        </w:rPr>
        <w:t>při</w:t>
      </w:r>
      <w:r w:rsidR="00A235C8" w:rsidRPr="007C5A1B">
        <w:rPr>
          <w:rFonts w:cstheme="minorHAnsi"/>
          <w:sz w:val="24"/>
          <w:szCs w:val="24"/>
        </w:rPr>
        <w:t xml:space="preserve"> vypořádání majetkoprávních vztahů </w:t>
      </w:r>
      <w:r w:rsidR="0064658F" w:rsidRPr="007C5A1B">
        <w:rPr>
          <w:rFonts w:cstheme="minorHAnsi"/>
          <w:sz w:val="24"/>
          <w:szCs w:val="24"/>
        </w:rPr>
        <w:t xml:space="preserve">se </w:t>
      </w:r>
      <w:r w:rsidR="00071413" w:rsidRPr="007C5A1B">
        <w:rPr>
          <w:rFonts w:cstheme="minorHAnsi"/>
          <w:sz w:val="24"/>
          <w:szCs w:val="24"/>
        </w:rPr>
        <w:t>správcem vodní cesty</w:t>
      </w:r>
      <w:r w:rsidR="0064658F" w:rsidRPr="007C5A1B">
        <w:rPr>
          <w:rFonts w:cstheme="minorHAnsi"/>
          <w:sz w:val="24"/>
          <w:szCs w:val="24"/>
        </w:rPr>
        <w:t xml:space="preserve"> </w:t>
      </w:r>
      <w:r w:rsidR="00A235C8" w:rsidRPr="007C5A1B">
        <w:rPr>
          <w:rFonts w:cstheme="minorHAnsi"/>
          <w:sz w:val="24"/>
          <w:szCs w:val="24"/>
        </w:rPr>
        <w:t>bránící</w:t>
      </w:r>
      <w:r w:rsidR="007868AD" w:rsidRPr="007C5A1B">
        <w:rPr>
          <w:rFonts w:cstheme="minorHAnsi"/>
          <w:sz w:val="24"/>
          <w:szCs w:val="24"/>
        </w:rPr>
        <w:t>ch</w:t>
      </w:r>
      <w:r w:rsidR="00A235C8" w:rsidRPr="007C5A1B">
        <w:rPr>
          <w:rFonts w:cstheme="minorHAnsi"/>
          <w:sz w:val="24"/>
          <w:szCs w:val="24"/>
        </w:rPr>
        <w:t xml:space="preserve"> realizaci </w:t>
      </w:r>
      <w:r w:rsidR="00D256E9" w:rsidRPr="007C5A1B">
        <w:rPr>
          <w:rFonts w:cstheme="minorHAnsi"/>
          <w:sz w:val="24"/>
          <w:szCs w:val="24"/>
        </w:rPr>
        <w:t xml:space="preserve">této </w:t>
      </w:r>
      <w:r w:rsidR="00A235C8" w:rsidRPr="007C5A1B">
        <w:rPr>
          <w:rFonts w:cstheme="minorHAnsi"/>
          <w:sz w:val="24"/>
          <w:szCs w:val="24"/>
        </w:rPr>
        <w:t xml:space="preserve">stavby ŘVC </w:t>
      </w:r>
      <w:r w:rsidR="00D556CA" w:rsidRPr="007C5A1B">
        <w:rPr>
          <w:rFonts w:cstheme="minorHAnsi"/>
          <w:sz w:val="24"/>
          <w:szCs w:val="24"/>
        </w:rPr>
        <w:t>nebylo schopno doložit</w:t>
      </w:r>
      <w:r w:rsidR="00A235C8" w:rsidRPr="007C5A1B">
        <w:rPr>
          <w:rFonts w:cstheme="minorHAnsi"/>
          <w:sz w:val="24"/>
          <w:szCs w:val="24"/>
        </w:rPr>
        <w:t xml:space="preserve"> žádnými doklady</w:t>
      </w:r>
      <w:r w:rsidR="004C7EEB" w:rsidRPr="007C5A1B">
        <w:rPr>
          <w:rFonts w:cstheme="minorHAnsi"/>
          <w:sz w:val="24"/>
          <w:szCs w:val="24"/>
        </w:rPr>
        <w:t xml:space="preserve"> (viz 4.31)</w:t>
      </w:r>
      <w:r w:rsidR="00A235C8" w:rsidRPr="007C5A1B">
        <w:rPr>
          <w:rFonts w:cstheme="minorHAnsi"/>
          <w:sz w:val="24"/>
          <w:szCs w:val="24"/>
        </w:rPr>
        <w:t>.</w:t>
      </w:r>
    </w:p>
    <w:p w14:paraId="0B4718F5" w14:textId="05559138" w:rsidR="007A2550" w:rsidRPr="007C5A1B" w:rsidRDefault="007A2550" w:rsidP="002452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7C5A1B">
        <w:rPr>
          <w:rFonts w:eastAsia="Calibri" w:cstheme="minorHAnsi"/>
          <w:sz w:val="24"/>
          <w:szCs w:val="24"/>
        </w:rPr>
        <w:lastRenderedPageBreak/>
        <w:t>MD i ŘVC zdůvodňují potřebnost a efektivnost projektů na podporu rozvoje rekreační plavby především přínosy z rozvoje cestovního ruchu. Ty jsou ale podmíněny řadou dalších opatření spadajících do</w:t>
      </w:r>
      <w:r w:rsidR="00EC7C1B">
        <w:rPr>
          <w:rFonts w:eastAsia="Calibri" w:cstheme="minorHAnsi"/>
          <w:sz w:val="24"/>
          <w:szCs w:val="24"/>
        </w:rPr>
        <w:t xml:space="preserve"> </w:t>
      </w:r>
      <w:r w:rsidRPr="007C5A1B">
        <w:rPr>
          <w:rFonts w:eastAsia="Calibri" w:cstheme="minorHAnsi"/>
          <w:sz w:val="24"/>
          <w:szCs w:val="24"/>
        </w:rPr>
        <w:t>působnosti Ministerstva pro místní rozvoj</w:t>
      </w:r>
      <w:r w:rsidR="0032297A" w:rsidRPr="007C5A1B">
        <w:rPr>
          <w:rFonts w:eastAsia="Calibri" w:cstheme="minorHAnsi"/>
          <w:sz w:val="24"/>
          <w:szCs w:val="24"/>
        </w:rPr>
        <w:t xml:space="preserve"> (dále také „MMR“)</w:t>
      </w:r>
      <w:r w:rsidR="00960976" w:rsidRPr="007C5A1B">
        <w:rPr>
          <w:rFonts w:eastAsia="Calibri" w:cstheme="minorHAnsi"/>
          <w:sz w:val="24"/>
          <w:szCs w:val="24"/>
        </w:rPr>
        <w:t xml:space="preserve">. MD </w:t>
      </w:r>
      <w:r w:rsidR="003D227D" w:rsidRPr="007C5A1B">
        <w:rPr>
          <w:rFonts w:eastAsia="Calibri" w:cstheme="minorHAnsi"/>
          <w:sz w:val="24"/>
          <w:szCs w:val="24"/>
        </w:rPr>
        <w:t xml:space="preserve">nepostupovalo v souladu s Dopravní politikou, když </w:t>
      </w:r>
      <w:r w:rsidR="00960976" w:rsidRPr="007C5A1B">
        <w:rPr>
          <w:rFonts w:eastAsia="Calibri" w:cstheme="minorHAnsi"/>
          <w:sz w:val="24"/>
          <w:szCs w:val="24"/>
        </w:rPr>
        <w:t xml:space="preserve">rozvoj dopravní infrastruktury na vodních cestách </w:t>
      </w:r>
      <w:r w:rsidR="003D227D" w:rsidRPr="007C5A1B">
        <w:rPr>
          <w:rFonts w:eastAsia="Calibri" w:cstheme="minorHAnsi"/>
          <w:sz w:val="24"/>
          <w:szCs w:val="24"/>
        </w:rPr>
        <w:t xml:space="preserve">neplánovalo </w:t>
      </w:r>
      <w:r w:rsidR="00960976" w:rsidRPr="007C5A1B">
        <w:rPr>
          <w:rFonts w:eastAsia="Calibri" w:cstheme="minorHAnsi"/>
          <w:sz w:val="24"/>
          <w:szCs w:val="24"/>
        </w:rPr>
        <w:t>ve spolupráci s</w:t>
      </w:r>
      <w:r w:rsidR="00750B0F" w:rsidRPr="007C5A1B">
        <w:rPr>
          <w:rFonts w:eastAsia="Calibri" w:cstheme="minorHAnsi"/>
          <w:sz w:val="24"/>
          <w:szCs w:val="24"/>
        </w:rPr>
        <w:t> resortem, který má cestovní ruch ve své gesci</w:t>
      </w:r>
      <w:r w:rsidR="00960976" w:rsidRPr="007C5A1B">
        <w:rPr>
          <w:rFonts w:eastAsia="Calibri" w:cstheme="minorHAnsi"/>
          <w:sz w:val="24"/>
          <w:szCs w:val="24"/>
        </w:rPr>
        <w:t xml:space="preserve">. </w:t>
      </w:r>
      <w:r w:rsidRPr="007C5A1B">
        <w:rPr>
          <w:rFonts w:eastAsia="Calibri" w:cstheme="minorHAnsi"/>
          <w:sz w:val="24"/>
          <w:szCs w:val="24"/>
        </w:rPr>
        <w:t xml:space="preserve">Nedostatečná koordinace postupu </w:t>
      </w:r>
      <w:r w:rsidR="00934648" w:rsidRPr="007C5A1B">
        <w:rPr>
          <w:rFonts w:eastAsia="Calibri" w:cstheme="minorHAnsi"/>
          <w:sz w:val="24"/>
          <w:szCs w:val="24"/>
        </w:rPr>
        <w:t>ze strany</w:t>
      </w:r>
      <w:r w:rsidR="007D22F7" w:rsidRPr="007C5A1B">
        <w:rPr>
          <w:rFonts w:eastAsia="Calibri" w:cstheme="minorHAnsi"/>
          <w:sz w:val="24"/>
          <w:szCs w:val="24"/>
        </w:rPr>
        <w:t xml:space="preserve"> MD</w:t>
      </w:r>
      <w:r w:rsidRPr="007C5A1B">
        <w:rPr>
          <w:rFonts w:eastAsia="Calibri" w:cstheme="minorHAnsi"/>
          <w:sz w:val="24"/>
          <w:szCs w:val="24"/>
        </w:rPr>
        <w:t xml:space="preserve"> </w:t>
      </w:r>
      <w:r w:rsidR="00A12D24" w:rsidRPr="007C5A1B">
        <w:rPr>
          <w:rFonts w:eastAsia="Calibri" w:cstheme="minorHAnsi"/>
          <w:sz w:val="24"/>
          <w:szCs w:val="24"/>
        </w:rPr>
        <w:t xml:space="preserve">má </w:t>
      </w:r>
      <w:r w:rsidR="00750B0F" w:rsidRPr="007C5A1B">
        <w:rPr>
          <w:rFonts w:eastAsia="Calibri" w:cstheme="minorHAnsi"/>
          <w:sz w:val="24"/>
          <w:szCs w:val="24"/>
        </w:rPr>
        <w:t xml:space="preserve">negativní </w:t>
      </w:r>
      <w:r w:rsidR="00A12D24" w:rsidRPr="007C5A1B">
        <w:rPr>
          <w:rFonts w:eastAsia="Calibri" w:cstheme="minorHAnsi"/>
          <w:sz w:val="24"/>
          <w:szCs w:val="24"/>
        </w:rPr>
        <w:t>dopad na</w:t>
      </w:r>
      <w:r w:rsidRPr="007C5A1B">
        <w:rPr>
          <w:rFonts w:eastAsia="Calibri" w:cstheme="minorHAnsi"/>
          <w:sz w:val="24"/>
          <w:szCs w:val="24"/>
        </w:rPr>
        <w:t xml:space="preserve"> výsledky některých projektů a způsob</w:t>
      </w:r>
      <w:r w:rsidR="007D22F7" w:rsidRPr="007C5A1B">
        <w:rPr>
          <w:rFonts w:eastAsia="Calibri" w:cstheme="minorHAnsi"/>
          <w:sz w:val="24"/>
          <w:szCs w:val="24"/>
        </w:rPr>
        <w:t>uje</w:t>
      </w:r>
      <w:r w:rsidRPr="007C5A1B">
        <w:rPr>
          <w:rFonts w:eastAsia="Calibri" w:cstheme="minorHAnsi"/>
          <w:sz w:val="24"/>
          <w:szCs w:val="24"/>
        </w:rPr>
        <w:t xml:space="preserve"> nižší efektivnost </w:t>
      </w:r>
      <w:r w:rsidR="00C02E43" w:rsidRPr="007C5A1B">
        <w:rPr>
          <w:rFonts w:eastAsia="Calibri" w:cstheme="minorHAnsi"/>
          <w:sz w:val="24"/>
          <w:szCs w:val="24"/>
        </w:rPr>
        <w:t>využití podpory poskytované z</w:t>
      </w:r>
      <w:r w:rsidRPr="007C5A1B">
        <w:rPr>
          <w:rFonts w:eastAsia="Calibri" w:cstheme="minorHAnsi"/>
          <w:sz w:val="24"/>
          <w:szCs w:val="24"/>
        </w:rPr>
        <w:t xml:space="preserve"> peněžních prostředků státu a EU</w:t>
      </w:r>
      <w:r w:rsidR="00614F72" w:rsidRPr="007C5A1B">
        <w:rPr>
          <w:rFonts w:eastAsia="Calibri" w:cstheme="minorHAnsi"/>
          <w:sz w:val="24"/>
          <w:szCs w:val="24"/>
        </w:rPr>
        <w:t xml:space="preserve"> (viz </w:t>
      </w:r>
      <w:r w:rsidR="004C7EEB" w:rsidRPr="007C5A1B">
        <w:rPr>
          <w:rFonts w:eastAsia="Calibri" w:cstheme="minorHAnsi"/>
          <w:sz w:val="24"/>
          <w:szCs w:val="24"/>
        </w:rPr>
        <w:t>4.14–4.16</w:t>
      </w:r>
      <w:r w:rsidR="00750B0F" w:rsidRPr="007C5A1B">
        <w:rPr>
          <w:rFonts w:eastAsia="Calibri" w:cstheme="minorHAnsi"/>
          <w:sz w:val="24"/>
          <w:szCs w:val="24"/>
        </w:rPr>
        <w:t>, 4.26–4.</w:t>
      </w:r>
      <w:r w:rsidR="00932AB9" w:rsidRPr="007C5A1B">
        <w:rPr>
          <w:rFonts w:eastAsia="Calibri" w:cstheme="minorHAnsi"/>
          <w:sz w:val="24"/>
          <w:szCs w:val="24"/>
        </w:rPr>
        <w:t>31</w:t>
      </w:r>
      <w:r w:rsidR="004C7EEB" w:rsidRPr="007C5A1B">
        <w:rPr>
          <w:rFonts w:eastAsia="Calibri" w:cstheme="minorHAnsi"/>
          <w:sz w:val="24"/>
          <w:szCs w:val="24"/>
        </w:rPr>
        <w:t>)</w:t>
      </w:r>
      <w:r w:rsidRPr="007C5A1B">
        <w:rPr>
          <w:rFonts w:eastAsia="Calibri" w:cstheme="minorHAnsi"/>
          <w:sz w:val="24"/>
          <w:szCs w:val="24"/>
        </w:rPr>
        <w:t xml:space="preserve">. </w:t>
      </w:r>
    </w:p>
    <w:p w14:paraId="41952A0C" w14:textId="4652EC2D" w:rsidR="00492FA7" w:rsidRPr="007C5A1B" w:rsidRDefault="00492FA7" w:rsidP="002452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7C5A1B">
        <w:rPr>
          <w:rFonts w:eastAsia="Calibri" w:cstheme="minorHAnsi"/>
          <w:sz w:val="24"/>
          <w:szCs w:val="24"/>
        </w:rPr>
        <w:t xml:space="preserve">MD neplní </w:t>
      </w:r>
      <w:r w:rsidRPr="007C5A1B">
        <w:rPr>
          <w:rFonts w:cstheme="minorHAnsi"/>
          <w:sz w:val="24"/>
          <w:szCs w:val="24"/>
        </w:rPr>
        <w:t>opatření Dopravní politiky směřující k</w:t>
      </w:r>
      <w:r w:rsidR="00F9392A" w:rsidRPr="007C5A1B">
        <w:rPr>
          <w:rFonts w:cstheme="minorHAnsi"/>
          <w:sz w:val="24"/>
          <w:szCs w:val="24"/>
        </w:rPr>
        <w:t> </w:t>
      </w:r>
      <w:r w:rsidRPr="007C5A1B">
        <w:rPr>
          <w:rFonts w:cstheme="minorHAnsi"/>
          <w:sz w:val="24"/>
          <w:szCs w:val="24"/>
        </w:rPr>
        <w:t>ekologizaci</w:t>
      </w:r>
      <w:r w:rsidR="00F9392A" w:rsidRPr="007C5A1B">
        <w:rPr>
          <w:rFonts w:cstheme="minorHAnsi"/>
          <w:sz w:val="24"/>
          <w:szCs w:val="24"/>
        </w:rPr>
        <w:t xml:space="preserve"> </w:t>
      </w:r>
      <w:r w:rsidRPr="007C5A1B">
        <w:rPr>
          <w:rFonts w:cstheme="minorHAnsi"/>
          <w:sz w:val="24"/>
          <w:szCs w:val="24"/>
        </w:rPr>
        <w:t>plavidel</w:t>
      </w:r>
      <w:r w:rsidR="00F9392A" w:rsidRPr="007C5A1B">
        <w:rPr>
          <w:rFonts w:eastAsia="Calibri" w:cstheme="minorHAnsi"/>
          <w:sz w:val="24"/>
          <w:szCs w:val="24"/>
        </w:rPr>
        <w:t xml:space="preserve"> </w:t>
      </w:r>
      <w:r w:rsidR="00F9392A" w:rsidRPr="007C5A1B">
        <w:rPr>
          <w:rFonts w:eastAsia="Arial Unicode MS" w:cstheme="minorHAnsi"/>
          <w:bCs/>
          <w:sz w:val="24"/>
          <w:szCs w:val="24"/>
        </w:rPr>
        <w:t>osobní lodní dopravy</w:t>
      </w:r>
      <w:r w:rsidR="00F9392A" w:rsidRPr="007C5A1B">
        <w:rPr>
          <w:rFonts w:cstheme="minorHAnsi"/>
          <w:sz w:val="24"/>
          <w:szCs w:val="24"/>
        </w:rPr>
        <w:t xml:space="preserve"> v ČR. O provozně-technickém stavu flotily těchto plavidel </w:t>
      </w:r>
      <w:r w:rsidR="00F9392A" w:rsidRPr="007C5A1B">
        <w:rPr>
          <w:rFonts w:eastAsia="Calibri" w:cstheme="minorHAnsi"/>
          <w:sz w:val="24"/>
          <w:szCs w:val="24"/>
        </w:rPr>
        <w:t>nemá přehled</w:t>
      </w:r>
      <w:r w:rsidR="000C6850" w:rsidRPr="007C5A1B">
        <w:rPr>
          <w:rFonts w:eastAsia="Calibri" w:cstheme="minorHAnsi"/>
          <w:sz w:val="24"/>
          <w:szCs w:val="24"/>
        </w:rPr>
        <w:t xml:space="preserve"> (viz 4.45)</w:t>
      </w:r>
      <w:r w:rsidRPr="007C5A1B">
        <w:rPr>
          <w:rFonts w:cstheme="minorHAnsi"/>
          <w:sz w:val="24"/>
          <w:szCs w:val="24"/>
        </w:rPr>
        <w:t>.</w:t>
      </w:r>
    </w:p>
    <w:p w14:paraId="127AED4C" w14:textId="77777777" w:rsidR="004E5FE7" w:rsidRPr="007C5A1B" w:rsidRDefault="00E10443" w:rsidP="005175DA">
      <w:pPr>
        <w:pStyle w:val="Nadpis1"/>
        <w:tabs>
          <w:tab w:val="left" w:pos="2835"/>
        </w:tabs>
        <w:spacing w:line="252" w:lineRule="auto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7C5A1B">
        <w:rPr>
          <w:rFonts w:asciiTheme="minorHAnsi" w:hAnsiTheme="minorHAnsi" w:cstheme="minorHAnsi"/>
          <w:sz w:val="28"/>
          <w:szCs w:val="28"/>
        </w:rPr>
        <w:t>II. Informace o kontrolované oblasti</w:t>
      </w:r>
    </w:p>
    <w:p w14:paraId="10EE3569" w14:textId="1D2E0CF7" w:rsidR="0002416E" w:rsidRPr="007C5A1B" w:rsidRDefault="0084716B" w:rsidP="005175DA">
      <w:pPr>
        <w:autoSpaceDE w:val="0"/>
        <w:autoSpaceDN w:val="0"/>
        <w:adjustRightInd w:val="0"/>
        <w:spacing w:after="120" w:line="252" w:lineRule="auto"/>
        <w:jc w:val="both"/>
        <w:rPr>
          <w:rFonts w:cstheme="minorHAnsi"/>
          <w:sz w:val="24"/>
          <w:szCs w:val="24"/>
        </w:rPr>
      </w:pPr>
      <w:r w:rsidRPr="007C5A1B">
        <w:rPr>
          <w:rFonts w:cstheme="minorHAnsi"/>
          <w:sz w:val="24"/>
          <w:szCs w:val="24"/>
        </w:rPr>
        <w:t>2.1</w:t>
      </w:r>
      <w:r w:rsidR="00FE3CEB" w:rsidRPr="00E04D67">
        <w:rPr>
          <w:rFonts w:cstheme="minorHAnsi"/>
          <w:sz w:val="24"/>
          <w:szCs w:val="24"/>
        </w:rPr>
        <w:t xml:space="preserve"> </w:t>
      </w:r>
      <w:r w:rsidR="00E10443" w:rsidRPr="007C5A1B">
        <w:rPr>
          <w:rFonts w:cstheme="minorHAnsi"/>
          <w:sz w:val="24"/>
          <w:szCs w:val="24"/>
        </w:rPr>
        <w:t>M</w:t>
      </w:r>
      <w:r w:rsidR="00FE3CEB" w:rsidRPr="007C5A1B">
        <w:rPr>
          <w:rFonts w:cstheme="minorHAnsi"/>
          <w:sz w:val="24"/>
          <w:szCs w:val="24"/>
        </w:rPr>
        <w:t>inisterstvo dopravy</w:t>
      </w:r>
      <w:r w:rsidR="00E10443" w:rsidRPr="007C5A1B">
        <w:rPr>
          <w:rFonts w:cstheme="minorHAnsi"/>
          <w:sz w:val="24"/>
          <w:szCs w:val="24"/>
        </w:rPr>
        <w:t xml:space="preserve"> je ústředním orgánem s</w:t>
      </w:r>
      <w:r w:rsidR="00102E5A" w:rsidRPr="007C5A1B">
        <w:rPr>
          <w:rFonts w:cstheme="minorHAnsi"/>
          <w:sz w:val="24"/>
          <w:szCs w:val="24"/>
        </w:rPr>
        <w:t>tátní správy</w:t>
      </w:r>
      <w:r w:rsidR="00AF2B3F" w:rsidRPr="007C5A1B">
        <w:rPr>
          <w:rFonts w:cstheme="minorHAnsi"/>
          <w:sz w:val="24"/>
          <w:szCs w:val="24"/>
        </w:rPr>
        <w:t>, který z</w:t>
      </w:r>
      <w:r w:rsidR="00AF2B3F" w:rsidRPr="007C5A1B">
        <w:rPr>
          <w:rFonts w:eastAsia="Arial Unicode MS" w:cstheme="minorHAnsi"/>
          <w:bCs/>
          <w:sz w:val="24"/>
          <w:szCs w:val="24"/>
        </w:rPr>
        <w:t>odpovídá za tvorbu státní politiky v oblasti dopravy a v rozsahu své působnosti za její uskutečňování</w:t>
      </w:r>
      <w:r w:rsidR="00AF2B3F" w:rsidRPr="007C5A1B">
        <w:rPr>
          <w:rStyle w:val="Znakapoznpodarou"/>
          <w:rFonts w:cstheme="minorHAnsi"/>
          <w:sz w:val="24"/>
          <w:szCs w:val="24"/>
        </w:rPr>
        <w:footnoteReference w:id="8"/>
      </w:r>
      <w:r w:rsidR="00AF2B3F" w:rsidRPr="007C5A1B">
        <w:rPr>
          <w:rFonts w:eastAsia="Arial Unicode MS" w:cstheme="minorHAnsi"/>
          <w:bCs/>
          <w:sz w:val="24"/>
          <w:szCs w:val="24"/>
        </w:rPr>
        <w:t xml:space="preserve">. </w:t>
      </w:r>
      <w:r w:rsidR="00AF2B3F" w:rsidRPr="007C5A1B">
        <w:rPr>
          <w:rFonts w:cstheme="minorHAnsi"/>
          <w:color w:val="000000"/>
          <w:sz w:val="24"/>
          <w:szCs w:val="24"/>
          <w:lang w:eastAsia="cs-CZ"/>
        </w:rPr>
        <w:t xml:space="preserve">Rovněž je povinno soustavně sledovat a vyhodnocovat hospodárnost, efektivnost a účelnost vynakládání výdajů ve své kapitole. </w:t>
      </w:r>
      <w:r w:rsidR="00EB2833" w:rsidRPr="007C5A1B">
        <w:rPr>
          <w:rFonts w:cstheme="minorHAnsi"/>
          <w:color w:val="000000"/>
          <w:sz w:val="24"/>
          <w:szCs w:val="24"/>
          <w:lang w:eastAsia="cs-CZ"/>
        </w:rPr>
        <w:t>MD j</w:t>
      </w:r>
      <w:r w:rsidR="00AF2B3F" w:rsidRPr="007C5A1B">
        <w:rPr>
          <w:rFonts w:cstheme="minorHAnsi"/>
          <w:color w:val="000000"/>
          <w:sz w:val="24"/>
          <w:szCs w:val="24"/>
          <w:lang w:eastAsia="cs-CZ"/>
        </w:rPr>
        <w:t>ako zřizovatel ŘVC má při je</w:t>
      </w:r>
      <w:r w:rsidR="00EB2833" w:rsidRPr="007C5A1B">
        <w:rPr>
          <w:rFonts w:cstheme="minorHAnsi"/>
          <w:color w:val="000000"/>
          <w:sz w:val="24"/>
          <w:szCs w:val="24"/>
          <w:lang w:eastAsia="cs-CZ"/>
        </w:rPr>
        <w:t>ho</w:t>
      </w:r>
      <w:r w:rsidR="00AF2B3F" w:rsidRPr="007C5A1B">
        <w:rPr>
          <w:rFonts w:cstheme="minorHAnsi"/>
          <w:color w:val="000000"/>
          <w:sz w:val="24"/>
          <w:szCs w:val="24"/>
          <w:lang w:eastAsia="cs-CZ"/>
        </w:rPr>
        <w:t xml:space="preserve"> řízení působit k tomu, aby vynakládání výdajů bylo co nejhospodárnější, nejefektivnější a nejúčelnější</w:t>
      </w:r>
      <w:r w:rsidR="00AF2B3F" w:rsidRPr="007C5A1B">
        <w:rPr>
          <w:rStyle w:val="Znakapoznpodarou"/>
          <w:rFonts w:cstheme="minorHAnsi"/>
          <w:sz w:val="24"/>
          <w:szCs w:val="24"/>
        </w:rPr>
        <w:footnoteReference w:id="9"/>
      </w:r>
      <w:r w:rsidR="00AF2B3F" w:rsidRPr="007C5A1B">
        <w:rPr>
          <w:rFonts w:cstheme="minorHAnsi"/>
          <w:color w:val="000000"/>
          <w:sz w:val="24"/>
          <w:szCs w:val="24"/>
          <w:lang w:eastAsia="cs-CZ"/>
        </w:rPr>
        <w:t>.</w:t>
      </w:r>
      <w:r w:rsidR="00AF2B3F" w:rsidRPr="007C5A1B">
        <w:rPr>
          <w:rFonts w:cstheme="minorHAnsi"/>
          <w:sz w:val="24"/>
          <w:szCs w:val="24"/>
        </w:rPr>
        <w:t xml:space="preserve"> Rozhoduje o postupu přípravy a realizace projektů výstavby a modernizace dopravně významných vodních cest a dalších staveb nutných pro provoz na vodních cestách. Bylo</w:t>
      </w:r>
      <w:r w:rsidR="0002416E" w:rsidRPr="007C5A1B">
        <w:rPr>
          <w:rFonts w:cstheme="minorHAnsi"/>
          <w:sz w:val="24"/>
          <w:szCs w:val="24"/>
        </w:rPr>
        <w:t xml:space="preserve"> řídicím orgánem </w:t>
      </w:r>
      <w:r w:rsidR="00774CEA">
        <w:rPr>
          <w:rFonts w:cstheme="minorHAnsi"/>
          <w:sz w:val="24"/>
          <w:szCs w:val="24"/>
        </w:rPr>
        <w:t>o</w:t>
      </w:r>
      <w:r w:rsidR="0002416E" w:rsidRPr="007C5A1B">
        <w:rPr>
          <w:rFonts w:cstheme="minorHAnsi"/>
          <w:sz w:val="24"/>
          <w:szCs w:val="24"/>
        </w:rPr>
        <w:t xml:space="preserve">peračního programu </w:t>
      </w:r>
      <w:r w:rsidR="0002416E" w:rsidRPr="00972D33">
        <w:rPr>
          <w:rFonts w:cstheme="minorHAnsi"/>
          <w:i/>
          <w:sz w:val="24"/>
          <w:szCs w:val="24"/>
        </w:rPr>
        <w:t>Doprava</w:t>
      </w:r>
      <w:r w:rsidR="0002416E" w:rsidRPr="007C5A1B">
        <w:rPr>
          <w:rFonts w:cstheme="minorHAnsi"/>
          <w:sz w:val="24"/>
          <w:szCs w:val="24"/>
        </w:rPr>
        <w:t xml:space="preserve"> na léta 2007</w:t>
      </w:r>
      <w:r w:rsidR="00774CEA">
        <w:rPr>
          <w:rFonts w:cstheme="minorHAnsi"/>
          <w:sz w:val="24"/>
          <w:szCs w:val="24"/>
        </w:rPr>
        <w:t>–</w:t>
      </w:r>
      <w:r w:rsidR="0002416E" w:rsidRPr="007C5A1B">
        <w:rPr>
          <w:rFonts w:cstheme="minorHAnsi"/>
          <w:sz w:val="24"/>
          <w:szCs w:val="24"/>
        </w:rPr>
        <w:t xml:space="preserve">2013 (dále </w:t>
      </w:r>
      <w:r w:rsidR="00FE3CEB" w:rsidRPr="007C5A1B">
        <w:rPr>
          <w:rFonts w:cstheme="minorHAnsi"/>
          <w:sz w:val="24"/>
          <w:szCs w:val="24"/>
        </w:rPr>
        <w:t>také</w:t>
      </w:r>
      <w:r w:rsidR="0002416E" w:rsidRPr="007C5A1B">
        <w:rPr>
          <w:rFonts w:cstheme="minorHAnsi"/>
          <w:sz w:val="24"/>
          <w:szCs w:val="24"/>
        </w:rPr>
        <w:t xml:space="preserve"> „OPD“).</w:t>
      </w:r>
    </w:p>
    <w:p w14:paraId="1D83A47C" w14:textId="77777777" w:rsidR="00FE3CEB" w:rsidRPr="007C5A1B" w:rsidRDefault="0084716B" w:rsidP="005175DA">
      <w:pPr>
        <w:spacing w:after="120" w:line="252" w:lineRule="auto"/>
        <w:jc w:val="both"/>
        <w:rPr>
          <w:rFonts w:cstheme="minorHAnsi"/>
          <w:sz w:val="24"/>
          <w:szCs w:val="24"/>
        </w:rPr>
      </w:pPr>
      <w:r w:rsidRPr="007C5A1B">
        <w:rPr>
          <w:rFonts w:cstheme="minorHAnsi"/>
          <w:sz w:val="24"/>
          <w:szCs w:val="24"/>
        </w:rPr>
        <w:t>2.2</w:t>
      </w:r>
      <w:r w:rsidR="00FE3CEB" w:rsidRPr="007C5A1B">
        <w:rPr>
          <w:rFonts w:cstheme="minorHAnsi"/>
          <w:sz w:val="24"/>
          <w:szCs w:val="24"/>
        </w:rPr>
        <w:t xml:space="preserve"> Ředitelství vodních cest ČR je organizační složkou státu zřízenou MD. </w:t>
      </w:r>
      <w:r w:rsidR="00802441" w:rsidRPr="007C5A1B">
        <w:rPr>
          <w:rFonts w:cstheme="minorHAnsi"/>
          <w:sz w:val="24"/>
          <w:szCs w:val="24"/>
        </w:rPr>
        <w:t>Z</w:t>
      </w:r>
      <w:r w:rsidR="00FE3CEB" w:rsidRPr="007C5A1B">
        <w:rPr>
          <w:rFonts w:cstheme="minorHAnsi"/>
          <w:sz w:val="24"/>
          <w:szCs w:val="24"/>
        </w:rPr>
        <w:t>ákladním účelem a</w:t>
      </w:r>
      <w:r w:rsidR="005175DA">
        <w:rPr>
          <w:rFonts w:cstheme="minorHAnsi"/>
          <w:sz w:val="24"/>
          <w:szCs w:val="24"/>
        </w:rPr>
        <w:t> </w:t>
      </w:r>
      <w:r w:rsidR="00FE3CEB" w:rsidRPr="007C5A1B">
        <w:rPr>
          <w:rFonts w:cstheme="minorHAnsi"/>
          <w:sz w:val="24"/>
          <w:szCs w:val="24"/>
        </w:rPr>
        <w:t>předmětem činnosti</w:t>
      </w:r>
      <w:r w:rsidR="00802441" w:rsidRPr="007C5A1B">
        <w:rPr>
          <w:rFonts w:cstheme="minorHAnsi"/>
          <w:sz w:val="24"/>
          <w:szCs w:val="24"/>
        </w:rPr>
        <w:t xml:space="preserve"> ŘVC</w:t>
      </w:r>
      <w:r w:rsidR="00FE3CEB" w:rsidRPr="007C5A1B">
        <w:rPr>
          <w:rFonts w:cstheme="minorHAnsi"/>
          <w:sz w:val="24"/>
          <w:szCs w:val="24"/>
        </w:rPr>
        <w:t xml:space="preserve"> je mj. zabezpečení přípravy a realizace nových investic na dopravně významných vnitrozemských vodních cestách sloužících k provozu vodní dopravy a výstavba, modernizace, opravy, údržba a správa veřejných přístavů a přístavišť. ŘVC je příjemcem peněžních prostředků z rozpočtu Státního fondu dopravní infrastruktury (dále také „SFDI“) a</w:t>
      </w:r>
      <w:r w:rsidR="005175DA">
        <w:rPr>
          <w:rFonts w:cstheme="minorHAnsi"/>
          <w:sz w:val="24"/>
          <w:szCs w:val="24"/>
        </w:rPr>
        <w:t> </w:t>
      </w:r>
      <w:r w:rsidR="00206891" w:rsidRPr="007C5A1B">
        <w:rPr>
          <w:rFonts w:cstheme="minorHAnsi"/>
          <w:sz w:val="24"/>
          <w:szCs w:val="24"/>
        </w:rPr>
        <w:t xml:space="preserve">peněžních </w:t>
      </w:r>
      <w:r w:rsidR="00FE3CEB" w:rsidRPr="007C5A1B">
        <w:rPr>
          <w:rFonts w:cstheme="minorHAnsi"/>
          <w:sz w:val="24"/>
          <w:szCs w:val="24"/>
        </w:rPr>
        <w:t>prostředků EU.</w:t>
      </w:r>
    </w:p>
    <w:p w14:paraId="5E49EA62" w14:textId="77777777" w:rsidR="00206891" w:rsidRPr="007C5A1B" w:rsidRDefault="0084716B" w:rsidP="005175DA">
      <w:pPr>
        <w:spacing w:after="120" w:line="252" w:lineRule="auto"/>
        <w:jc w:val="both"/>
        <w:rPr>
          <w:rFonts w:cstheme="minorHAnsi"/>
          <w:sz w:val="24"/>
          <w:szCs w:val="24"/>
        </w:rPr>
      </w:pPr>
      <w:r w:rsidRPr="007C5A1B">
        <w:rPr>
          <w:rFonts w:cstheme="minorHAnsi"/>
          <w:sz w:val="24"/>
          <w:szCs w:val="24"/>
        </w:rPr>
        <w:t>2.3</w:t>
      </w:r>
      <w:r w:rsidR="00FE3CEB" w:rsidRPr="007C5A1B">
        <w:rPr>
          <w:rFonts w:cstheme="minorHAnsi"/>
          <w:sz w:val="24"/>
          <w:szCs w:val="24"/>
        </w:rPr>
        <w:t xml:space="preserve"> Povodí Vltavy, státní podnik, vznikl na základě zákona č. 305/2000 Sb., o povodích. </w:t>
      </w:r>
      <w:r w:rsidR="00855125" w:rsidRPr="007C5A1B">
        <w:rPr>
          <w:rFonts w:cstheme="minorHAnsi"/>
          <w:sz w:val="24"/>
          <w:szCs w:val="24"/>
        </w:rPr>
        <w:t>Funkci j</w:t>
      </w:r>
      <w:r w:rsidR="00206891" w:rsidRPr="007C5A1B">
        <w:rPr>
          <w:rFonts w:cstheme="minorHAnsi"/>
          <w:sz w:val="24"/>
          <w:szCs w:val="24"/>
        </w:rPr>
        <w:t xml:space="preserve">eho </w:t>
      </w:r>
      <w:r w:rsidR="00FE3CEB" w:rsidRPr="007C5A1B">
        <w:rPr>
          <w:rFonts w:cstheme="minorHAnsi"/>
          <w:sz w:val="24"/>
          <w:szCs w:val="24"/>
        </w:rPr>
        <w:t>zakladatel</w:t>
      </w:r>
      <w:r w:rsidR="00206891" w:rsidRPr="007C5A1B">
        <w:rPr>
          <w:rFonts w:cstheme="minorHAnsi"/>
          <w:sz w:val="24"/>
          <w:szCs w:val="24"/>
        </w:rPr>
        <w:t>e</w:t>
      </w:r>
      <w:r w:rsidR="00855125" w:rsidRPr="007C5A1B">
        <w:rPr>
          <w:rFonts w:cstheme="minorHAnsi"/>
          <w:sz w:val="24"/>
          <w:szCs w:val="24"/>
        </w:rPr>
        <w:t xml:space="preserve"> vykonává</w:t>
      </w:r>
      <w:r w:rsidR="00FE3CEB" w:rsidRPr="007C5A1B">
        <w:rPr>
          <w:rFonts w:cstheme="minorHAnsi"/>
          <w:sz w:val="24"/>
          <w:szCs w:val="24"/>
        </w:rPr>
        <w:t xml:space="preserve"> Ministerstvo zemědělství (dále </w:t>
      </w:r>
      <w:r w:rsidR="00206891" w:rsidRPr="007C5A1B">
        <w:rPr>
          <w:rFonts w:cstheme="minorHAnsi"/>
          <w:sz w:val="24"/>
          <w:szCs w:val="24"/>
        </w:rPr>
        <w:t>také</w:t>
      </w:r>
      <w:r w:rsidR="00FE3CEB" w:rsidRPr="007C5A1B">
        <w:rPr>
          <w:rFonts w:cstheme="minorHAnsi"/>
          <w:sz w:val="24"/>
          <w:szCs w:val="24"/>
        </w:rPr>
        <w:t xml:space="preserve"> „</w:t>
      </w:r>
      <w:proofErr w:type="spellStart"/>
      <w:r w:rsidR="00FE3CEB" w:rsidRPr="007C5A1B">
        <w:rPr>
          <w:rFonts w:cstheme="minorHAnsi"/>
          <w:sz w:val="24"/>
          <w:szCs w:val="24"/>
        </w:rPr>
        <w:t>MZe</w:t>
      </w:r>
      <w:proofErr w:type="spellEnd"/>
      <w:r w:rsidR="00FE3CEB" w:rsidRPr="007C5A1B">
        <w:rPr>
          <w:rFonts w:cstheme="minorHAnsi"/>
          <w:sz w:val="24"/>
          <w:szCs w:val="24"/>
        </w:rPr>
        <w:t>“). Hlavním předmětem činnosti Povodí Vltavy je výkon funkce správce povodí, správce vodních toků</w:t>
      </w:r>
      <w:r w:rsidR="00206891" w:rsidRPr="007C5A1B">
        <w:rPr>
          <w:rFonts w:cstheme="minorHAnsi"/>
          <w:sz w:val="24"/>
          <w:szCs w:val="24"/>
        </w:rPr>
        <w:t xml:space="preserve"> a</w:t>
      </w:r>
      <w:r w:rsidR="00FE3CEB" w:rsidRPr="007C5A1B">
        <w:rPr>
          <w:rFonts w:cstheme="minorHAnsi"/>
          <w:sz w:val="24"/>
          <w:szCs w:val="24"/>
        </w:rPr>
        <w:t xml:space="preserve"> provoz a údržba vodních děl ve vlastnictví státu, k nimž má právo hospodařit. </w:t>
      </w:r>
      <w:r w:rsidR="00206891" w:rsidRPr="007C5A1B">
        <w:rPr>
          <w:rFonts w:cstheme="minorHAnsi"/>
          <w:sz w:val="24"/>
          <w:szCs w:val="24"/>
        </w:rPr>
        <w:t>Povodí Vltavy je příjemcem peněžních prostředků z rozpočtu SFDI a peněžních prostředků EU.</w:t>
      </w:r>
    </w:p>
    <w:p w14:paraId="54B19A6D" w14:textId="0AB42471" w:rsidR="00FE3CEB" w:rsidRPr="007C5A1B" w:rsidRDefault="0084716B" w:rsidP="005175DA">
      <w:pPr>
        <w:spacing w:after="120" w:line="252" w:lineRule="auto"/>
        <w:jc w:val="both"/>
        <w:rPr>
          <w:rFonts w:cstheme="minorHAnsi"/>
          <w:sz w:val="24"/>
          <w:szCs w:val="24"/>
        </w:rPr>
      </w:pPr>
      <w:r w:rsidRPr="007C5A1B">
        <w:rPr>
          <w:rFonts w:cstheme="minorHAnsi"/>
          <w:sz w:val="24"/>
          <w:szCs w:val="24"/>
        </w:rPr>
        <w:t>2.4</w:t>
      </w:r>
      <w:r w:rsidR="00206891" w:rsidRPr="007C5A1B">
        <w:rPr>
          <w:rFonts w:cstheme="minorHAnsi"/>
          <w:sz w:val="24"/>
          <w:szCs w:val="24"/>
        </w:rPr>
        <w:t xml:space="preserve"> Pojem „rekreační plavba“ není legislativně přesně vymezen, byť je v právních předpisech a</w:t>
      </w:r>
      <w:r w:rsidR="005175DA">
        <w:rPr>
          <w:rFonts w:cstheme="minorHAnsi"/>
          <w:sz w:val="24"/>
          <w:szCs w:val="24"/>
        </w:rPr>
        <w:t> </w:t>
      </w:r>
      <w:r w:rsidR="00206891" w:rsidRPr="007C5A1B">
        <w:rPr>
          <w:rFonts w:cstheme="minorHAnsi"/>
          <w:sz w:val="24"/>
          <w:szCs w:val="24"/>
        </w:rPr>
        <w:t>koncepčních dokumentech MD užíván. Zahrnuje zejména dopravu osob malými plavidly (motorové čluny, jachty, malá kabinová plavidla a hausbóty) a dále také výletními loděmi (osobní lodní doprava). Plavidl</w:t>
      </w:r>
      <w:r w:rsidR="001B1F7E" w:rsidRPr="007C5A1B">
        <w:rPr>
          <w:rFonts w:cstheme="minorHAnsi"/>
          <w:sz w:val="24"/>
          <w:szCs w:val="24"/>
        </w:rPr>
        <w:t>y</w:t>
      </w:r>
      <w:r w:rsidR="00206891" w:rsidRPr="007C5A1B">
        <w:rPr>
          <w:rFonts w:cstheme="minorHAnsi"/>
          <w:sz w:val="24"/>
          <w:szCs w:val="24"/>
        </w:rPr>
        <w:t xml:space="preserve"> </w:t>
      </w:r>
      <w:r w:rsidR="001B1F7E" w:rsidRPr="007C5A1B">
        <w:rPr>
          <w:rFonts w:cstheme="minorHAnsi"/>
          <w:sz w:val="24"/>
          <w:szCs w:val="24"/>
        </w:rPr>
        <w:t>jsou</w:t>
      </w:r>
      <w:r w:rsidR="00206891" w:rsidRPr="007C5A1B">
        <w:rPr>
          <w:rFonts w:cstheme="minorHAnsi"/>
          <w:sz w:val="24"/>
          <w:szCs w:val="24"/>
        </w:rPr>
        <w:t xml:space="preserve"> lodě, malá plavidla s délkou trupu menší než 20 metrů (malým plavidlem není mj. plavidlo určené k přepravě více než 12 cestujících)</w:t>
      </w:r>
      <w:r w:rsidR="001B1F7E" w:rsidRPr="007C5A1B">
        <w:rPr>
          <w:rFonts w:cstheme="minorHAnsi"/>
          <w:sz w:val="24"/>
          <w:szCs w:val="24"/>
        </w:rPr>
        <w:t xml:space="preserve"> a</w:t>
      </w:r>
      <w:r w:rsidR="00206891" w:rsidRPr="007C5A1B">
        <w:rPr>
          <w:rFonts w:cstheme="minorHAnsi"/>
          <w:sz w:val="24"/>
          <w:szCs w:val="24"/>
        </w:rPr>
        <w:t xml:space="preserve"> plovoucí stroje, zařízení a tělesa</w:t>
      </w:r>
      <w:r w:rsidR="00206891" w:rsidRPr="007C5A1B">
        <w:rPr>
          <w:rStyle w:val="Znakapoznpodarou"/>
          <w:rFonts w:cstheme="minorHAnsi"/>
          <w:sz w:val="24"/>
          <w:szCs w:val="24"/>
          <w:lang w:eastAsia="cs-CZ"/>
        </w:rPr>
        <w:footnoteReference w:id="10"/>
      </w:r>
      <w:r w:rsidR="00206891" w:rsidRPr="007C5A1B">
        <w:rPr>
          <w:rFonts w:cstheme="minorHAnsi"/>
          <w:color w:val="000000"/>
          <w:sz w:val="24"/>
          <w:szCs w:val="24"/>
          <w:lang w:eastAsia="cs-CZ"/>
        </w:rPr>
        <w:t>.</w:t>
      </w:r>
      <w:r w:rsidR="00045BAC" w:rsidRPr="007C5A1B">
        <w:rPr>
          <w:rFonts w:cstheme="minorHAnsi"/>
          <w:color w:val="000000"/>
          <w:sz w:val="24"/>
          <w:szCs w:val="24"/>
          <w:lang w:eastAsia="cs-CZ"/>
        </w:rPr>
        <w:t xml:space="preserve"> </w:t>
      </w:r>
      <w:r w:rsidR="00045BAC" w:rsidRPr="007C5A1B">
        <w:rPr>
          <w:rFonts w:cstheme="minorHAnsi"/>
          <w:sz w:val="24"/>
          <w:szCs w:val="24"/>
        </w:rPr>
        <w:t>Evidenci podléhají</w:t>
      </w:r>
      <w:r w:rsidR="00774CEA">
        <w:rPr>
          <w:rFonts w:cstheme="minorHAnsi"/>
          <w:sz w:val="24"/>
          <w:szCs w:val="24"/>
        </w:rPr>
        <w:t xml:space="preserve"> </w:t>
      </w:r>
      <w:r w:rsidR="00045BAC" w:rsidRPr="007C5A1B">
        <w:rPr>
          <w:rFonts w:cstheme="minorHAnsi"/>
          <w:sz w:val="24"/>
          <w:szCs w:val="24"/>
        </w:rPr>
        <w:t>plavidla o celkové hmotnosti přesahující 1</w:t>
      </w:r>
      <w:r w:rsidR="005175DA">
        <w:rPr>
          <w:rFonts w:cstheme="minorHAnsi"/>
          <w:sz w:val="24"/>
          <w:szCs w:val="24"/>
        </w:rPr>
        <w:t> </w:t>
      </w:r>
      <w:r w:rsidR="00045BAC" w:rsidRPr="007C5A1B">
        <w:rPr>
          <w:rFonts w:cstheme="minorHAnsi"/>
          <w:sz w:val="24"/>
          <w:szCs w:val="24"/>
        </w:rPr>
        <w:t>000</w:t>
      </w:r>
      <w:r w:rsidR="005175DA">
        <w:rPr>
          <w:rFonts w:cstheme="minorHAnsi"/>
          <w:sz w:val="24"/>
          <w:szCs w:val="24"/>
        </w:rPr>
        <w:t> </w:t>
      </w:r>
      <w:r w:rsidR="00045BAC" w:rsidRPr="007C5A1B">
        <w:rPr>
          <w:rFonts w:cstheme="minorHAnsi"/>
          <w:sz w:val="24"/>
          <w:szCs w:val="24"/>
        </w:rPr>
        <w:t>kg včetně povoleného zatížení, s vlastním strojním pohonem o výkonu větším než 4</w:t>
      </w:r>
      <w:r w:rsidR="005175DA">
        <w:rPr>
          <w:rFonts w:cstheme="minorHAnsi"/>
          <w:sz w:val="24"/>
          <w:szCs w:val="24"/>
        </w:rPr>
        <w:t> </w:t>
      </w:r>
      <w:r w:rsidR="00045BAC" w:rsidRPr="007C5A1B">
        <w:rPr>
          <w:rFonts w:cstheme="minorHAnsi"/>
          <w:sz w:val="24"/>
          <w:szCs w:val="24"/>
        </w:rPr>
        <w:t>kW nebo s</w:t>
      </w:r>
      <w:r w:rsidR="005175DA">
        <w:rPr>
          <w:rFonts w:cstheme="minorHAnsi"/>
          <w:sz w:val="24"/>
          <w:szCs w:val="24"/>
        </w:rPr>
        <w:t> </w:t>
      </w:r>
      <w:r w:rsidR="00045BAC" w:rsidRPr="007C5A1B">
        <w:rPr>
          <w:rFonts w:cstheme="minorHAnsi"/>
          <w:sz w:val="24"/>
          <w:szCs w:val="24"/>
        </w:rPr>
        <w:t xml:space="preserve">celkovou </w:t>
      </w:r>
      <w:r w:rsidR="00045BAC" w:rsidRPr="007C5A1B">
        <w:rPr>
          <w:rFonts w:cstheme="minorHAnsi"/>
          <w:sz w:val="24"/>
          <w:szCs w:val="24"/>
        </w:rPr>
        <w:lastRenderedPageBreak/>
        <w:t>plochou plachet přesahující 12 m</w:t>
      </w:r>
      <w:r w:rsidR="00045BAC" w:rsidRPr="007C5A1B">
        <w:rPr>
          <w:rFonts w:cstheme="minorHAnsi"/>
          <w:sz w:val="24"/>
          <w:szCs w:val="24"/>
          <w:vertAlign w:val="superscript"/>
        </w:rPr>
        <w:t>2</w:t>
      </w:r>
      <w:r w:rsidR="00045BAC" w:rsidRPr="007C5A1B">
        <w:rPr>
          <w:rFonts w:cstheme="minorHAnsi"/>
          <w:sz w:val="24"/>
          <w:szCs w:val="24"/>
        </w:rPr>
        <w:t>. Tato plavidla se evidují v plavebním rejstříku a</w:t>
      </w:r>
      <w:r w:rsidR="005175DA">
        <w:rPr>
          <w:rFonts w:cstheme="minorHAnsi"/>
          <w:sz w:val="24"/>
          <w:szCs w:val="24"/>
        </w:rPr>
        <w:t> </w:t>
      </w:r>
      <w:r w:rsidR="00045BAC" w:rsidRPr="007C5A1B">
        <w:rPr>
          <w:rFonts w:cstheme="minorHAnsi"/>
          <w:sz w:val="24"/>
          <w:szCs w:val="24"/>
        </w:rPr>
        <w:t>v</w:t>
      </w:r>
      <w:r w:rsidR="005175DA">
        <w:rPr>
          <w:rFonts w:cstheme="minorHAnsi"/>
          <w:sz w:val="24"/>
          <w:szCs w:val="24"/>
        </w:rPr>
        <w:t> </w:t>
      </w:r>
      <w:r w:rsidR="00045BAC" w:rsidRPr="007C5A1B">
        <w:rPr>
          <w:rFonts w:cstheme="minorHAnsi"/>
          <w:sz w:val="24"/>
          <w:szCs w:val="24"/>
        </w:rPr>
        <w:t>rejstříku malých plavidel, které vede plavební úřad – Státní plavební správa</w:t>
      </w:r>
      <w:r w:rsidR="00045BAC" w:rsidRPr="007C5A1B">
        <w:rPr>
          <w:rStyle w:val="Znakapoznpodarou"/>
          <w:rFonts w:cstheme="minorHAnsi"/>
          <w:sz w:val="24"/>
          <w:szCs w:val="24"/>
          <w:lang w:eastAsia="cs-CZ"/>
        </w:rPr>
        <w:footnoteReference w:id="11"/>
      </w:r>
      <w:r w:rsidR="00045BAC" w:rsidRPr="007C5A1B">
        <w:rPr>
          <w:rFonts w:cstheme="minorHAnsi"/>
          <w:sz w:val="24"/>
          <w:szCs w:val="24"/>
        </w:rPr>
        <w:t>.</w:t>
      </w:r>
    </w:p>
    <w:p w14:paraId="3C7E25DC" w14:textId="77777777" w:rsidR="00260294" w:rsidRPr="007C5A1B" w:rsidRDefault="00E10443" w:rsidP="005175DA">
      <w:pPr>
        <w:pStyle w:val="Default"/>
        <w:keepNext/>
        <w:tabs>
          <w:tab w:val="left" w:pos="3481"/>
        </w:tabs>
        <w:spacing w:before="480" w:after="240" w:line="252" w:lineRule="auto"/>
        <w:jc w:val="center"/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lang w:eastAsia="cs-CZ"/>
        </w:rPr>
      </w:pPr>
      <w:r w:rsidRPr="007C5A1B">
        <w:rPr>
          <w:rFonts w:asciiTheme="minorHAnsi" w:hAnsiTheme="minorHAnsi" w:cstheme="minorHAnsi"/>
          <w:b/>
          <w:sz w:val="28"/>
          <w:szCs w:val="28"/>
        </w:rPr>
        <w:t>II</w:t>
      </w:r>
      <w:r w:rsidR="00E81158" w:rsidRPr="007C5A1B">
        <w:rPr>
          <w:rFonts w:asciiTheme="minorHAnsi" w:hAnsiTheme="minorHAnsi" w:cstheme="minorHAnsi"/>
          <w:b/>
          <w:sz w:val="28"/>
          <w:szCs w:val="28"/>
        </w:rPr>
        <w:t>I</w:t>
      </w:r>
      <w:r w:rsidRPr="007C5A1B">
        <w:rPr>
          <w:rFonts w:asciiTheme="minorHAnsi" w:hAnsiTheme="minorHAnsi" w:cstheme="minorHAnsi"/>
          <w:b/>
          <w:sz w:val="28"/>
          <w:szCs w:val="28"/>
        </w:rPr>
        <w:t>. Rozsah kontroly</w:t>
      </w:r>
    </w:p>
    <w:p w14:paraId="4E7F2FBB" w14:textId="127EE9FF" w:rsidR="0084716B" w:rsidRPr="007C5A1B" w:rsidRDefault="0084716B" w:rsidP="00A90ACF">
      <w:pPr>
        <w:spacing w:after="120" w:line="252" w:lineRule="auto"/>
        <w:jc w:val="both"/>
        <w:rPr>
          <w:rFonts w:eastAsia="Arial Unicode MS" w:cstheme="minorHAnsi"/>
          <w:bCs/>
          <w:sz w:val="24"/>
          <w:szCs w:val="24"/>
          <w:lang w:eastAsia="cs-CZ"/>
        </w:rPr>
      </w:pPr>
      <w:r w:rsidRPr="007C5A1B">
        <w:rPr>
          <w:rFonts w:eastAsia="Arial Unicode MS" w:cstheme="minorHAnsi"/>
          <w:bCs/>
          <w:sz w:val="24"/>
          <w:szCs w:val="24"/>
          <w:lang w:eastAsia="cs-CZ"/>
        </w:rPr>
        <w:t xml:space="preserve">3.1 </w:t>
      </w:r>
      <w:r w:rsidR="00142E3A" w:rsidRPr="007C5A1B">
        <w:rPr>
          <w:rFonts w:eastAsia="Arial Unicode MS" w:cstheme="minorHAnsi"/>
          <w:bCs/>
          <w:sz w:val="24"/>
          <w:szCs w:val="24"/>
          <w:lang w:eastAsia="cs-CZ"/>
        </w:rPr>
        <w:t>NKÚ prověřoval poskytování</w:t>
      </w:r>
      <w:r w:rsidR="005A6596" w:rsidRPr="007C5A1B">
        <w:rPr>
          <w:rFonts w:eastAsia="Arial Unicode MS" w:cstheme="minorHAnsi"/>
          <w:bCs/>
          <w:sz w:val="24"/>
          <w:szCs w:val="24"/>
          <w:lang w:eastAsia="cs-CZ"/>
        </w:rPr>
        <w:t>,</w:t>
      </w:r>
      <w:r w:rsidR="00142E3A" w:rsidRPr="007C5A1B">
        <w:rPr>
          <w:rFonts w:eastAsia="Arial Unicode MS" w:cstheme="minorHAnsi"/>
          <w:bCs/>
          <w:sz w:val="24"/>
          <w:szCs w:val="24"/>
          <w:lang w:eastAsia="cs-CZ"/>
        </w:rPr>
        <w:t xml:space="preserve"> čerpání </w:t>
      </w:r>
      <w:r w:rsidR="005A6596" w:rsidRPr="007C5A1B">
        <w:rPr>
          <w:rFonts w:eastAsia="Arial Unicode MS" w:cstheme="minorHAnsi"/>
          <w:bCs/>
          <w:sz w:val="24"/>
          <w:szCs w:val="24"/>
          <w:lang w:eastAsia="cs-CZ"/>
        </w:rPr>
        <w:t xml:space="preserve">a využití </w:t>
      </w:r>
      <w:r w:rsidR="00142E3A" w:rsidRPr="007C5A1B">
        <w:rPr>
          <w:rFonts w:eastAsia="Arial Unicode MS" w:cstheme="minorHAnsi"/>
          <w:bCs/>
          <w:sz w:val="24"/>
          <w:szCs w:val="24"/>
          <w:lang w:eastAsia="cs-CZ"/>
        </w:rPr>
        <w:t xml:space="preserve">peněžních prostředků státu a </w:t>
      </w:r>
      <w:r w:rsidR="005A6596" w:rsidRPr="007C5A1B">
        <w:rPr>
          <w:rFonts w:eastAsia="Arial Unicode MS" w:cstheme="minorHAnsi"/>
          <w:bCs/>
          <w:sz w:val="24"/>
          <w:szCs w:val="24"/>
          <w:lang w:eastAsia="cs-CZ"/>
        </w:rPr>
        <w:t xml:space="preserve">peněžních prostředků </w:t>
      </w:r>
      <w:r w:rsidR="00142E3A" w:rsidRPr="007C5A1B">
        <w:rPr>
          <w:rFonts w:eastAsia="Arial Unicode MS" w:cstheme="minorHAnsi"/>
          <w:bCs/>
          <w:sz w:val="24"/>
          <w:szCs w:val="24"/>
          <w:lang w:eastAsia="cs-CZ"/>
        </w:rPr>
        <w:t xml:space="preserve">EU </w:t>
      </w:r>
      <w:r w:rsidR="005A6596" w:rsidRPr="007C5A1B">
        <w:rPr>
          <w:rFonts w:eastAsia="Arial Unicode MS" w:cstheme="minorHAnsi"/>
          <w:bCs/>
          <w:sz w:val="24"/>
          <w:szCs w:val="24"/>
          <w:lang w:eastAsia="cs-CZ"/>
        </w:rPr>
        <w:t xml:space="preserve">poskytnutých z OPD, které byly </w:t>
      </w:r>
      <w:r w:rsidR="00142E3A" w:rsidRPr="007C5A1B">
        <w:rPr>
          <w:rFonts w:eastAsia="Arial Unicode MS" w:cstheme="minorHAnsi"/>
          <w:bCs/>
          <w:sz w:val="24"/>
          <w:szCs w:val="24"/>
          <w:lang w:eastAsia="cs-CZ"/>
        </w:rPr>
        <w:t>určen</w:t>
      </w:r>
      <w:r w:rsidR="005A6596" w:rsidRPr="007C5A1B">
        <w:rPr>
          <w:rFonts w:eastAsia="Arial Unicode MS" w:cstheme="minorHAnsi"/>
          <w:bCs/>
          <w:sz w:val="24"/>
          <w:szCs w:val="24"/>
          <w:lang w:eastAsia="cs-CZ"/>
        </w:rPr>
        <w:t>y</w:t>
      </w:r>
      <w:r w:rsidR="00142E3A" w:rsidRPr="007C5A1B">
        <w:rPr>
          <w:rFonts w:eastAsia="Arial Unicode MS" w:cstheme="minorHAnsi"/>
          <w:bCs/>
          <w:sz w:val="24"/>
          <w:szCs w:val="24"/>
          <w:lang w:eastAsia="cs-CZ"/>
        </w:rPr>
        <w:t xml:space="preserve"> na podporu rekreační plavby</w:t>
      </w:r>
      <w:r w:rsidR="001B1F7E" w:rsidRPr="007C5A1B">
        <w:rPr>
          <w:rFonts w:eastAsia="Arial Unicode MS" w:cstheme="minorHAnsi"/>
          <w:bCs/>
          <w:sz w:val="24"/>
          <w:szCs w:val="24"/>
          <w:lang w:eastAsia="cs-CZ"/>
        </w:rPr>
        <w:t xml:space="preserve">, především </w:t>
      </w:r>
      <w:r w:rsidR="00220271" w:rsidRPr="007C5A1B">
        <w:rPr>
          <w:rFonts w:eastAsia="Times New Roman" w:cstheme="minorHAnsi"/>
          <w:sz w:val="24"/>
          <w:szCs w:val="24"/>
        </w:rPr>
        <w:t xml:space="preserve">soulad </w:t>
      </w:r>
      <w:r w:rsidR="00142E3A" w:rsidRPr="007C5A1B">
        <w:rPr>
          <w:rFonts w:eastAsia="Times New Roman" w:cstheme="minorHAnsi"/>
          <w:sz w:val="24"/>
          <w:szCs w:val="24"/>
        </w:rPr>
        <w:t xml:space="preserve">nakládání </w:t>
      </w:r>
      <w:r w:rsidR="00142E3A" w:rsidRPr="007C5A1B">
        <w:rPr>
          <w:rFonts w:eastAsia="Arial Unicode MS" w:cstheme="minorHAnsi"/>
          <w:bCs/>
          <w:sz w:val="24"/>
          <w:szCs w:val="24"/>
          <w:lang w:eastAsia="cs-CZ"/>
        </w:rPr>
        <w:t>s těmito peněžními prostředky</w:t>
      </w:r>
      <w:r w:rsidR="00220271" w:rsidRPr="007C5A1B">
        <w:rPr>
          <w:rFonts w:eastAsia="Times New Roman" w:cstheme="minorHAnsi"/>
          <w:sz w:val="24"/>
          <w:szCs w:val="24"/>
        </w:rPr>
        <w:t xml:space="preserve"> s právními předpisy, hospodárnost, účelnost a</w:t>
      </w:r>
      <w:r w:rsidR="00E04D67">
        <w:rPr>
          <w:rFonts w:eastAsia="Times New Roman" w:cstheme="minorHAnsi"/>
          <w:sz w:val="24"/>
          <w:szCs w:val="24"/>
        </w:rPr>
        <w:t> </w:t>
      </w:r>
      <w:r w:rsidR="00220271" w:rsidRPr="007C5A1B">
        <w:rPr>
          <w:rFonts w:eastAsia="Times New Roman" w:cstheme="minorHAnsi"/>
          <w:sz w:val="24"/>
          <w:szCs w:val="24"/>
        </w:rPr>
        <w:t>efektivnost</w:t>
      </w:r>
      <w:r w:rsidR="00142E3A" w:rsidRPr="007C5A1B">
        <w:rPr>
          <w:rFonts w:eastAsia="Arial Unicode MS" w:cstheme="minorHAnsi"/>
          <w:bCs/>
          <w:sz w:val="24"/>
          <w:szCs w:val="24"/>
          <w:lang w:eastAsia="cs-CZ"/>
        </w:rPr>
        <w:t>.</w:t>
      </w:r>
      <w:r w:rsidR="00142E3A" w:rsidRPr="007C5A1B">
        <w:rPr>
          <w:rFonts w:eastAsia="Times New Roman" w:cstheme="minorHAnsi"/>
          <w:sz w:val="24"/>
          <w:szCs w:val="24"/>
        </w:rPr>
        <w:t xml:space="preserve"> </w:t>
      </w:r>
      <w:r w:rsidRPr="007C5A1B">
        <w:rPr>
          <w:rFonts w:eastAsia="Arial Unicode MS" w:cstheme="minorHAnsi"/>
          <w:bCs/>
          <w:sz w:val="24"/>
          <w:szCs w:val="24"/>
          <w:lang w:eastAsia="cs-CZ"/>
        </w:rPr>
        <w:t xml:space="preserve">Při kontrole se NKÚ zaměřil na </w:t>
      </w:r>
      <w:r w:rsidRPr="007C5A1B">
        <w:rPr>
          <w:rFonts w:eastAsia="Times New Roman" w:cstheme="minorHAnsi"/>
          <w:sz w:val="24"/>
          <w:szCs w:val="24"/>
        </w:rPr>
        <w:t>koncepční činnost MD a jeho postup při schvalování a vyhodnocování projektů a dále na postup ŘVC a Povodí Vltavy při přípravě a</w:t>
      </w:r>
      <w:r w:rsidR="005175DA">
        <w:rPr>
          <w:rFonts w:eastAsia="Times New Roman" w:cstheme="minorHAnsi"/>
          <w:sz w:val="24"/>
          <w:szCs w:val="24"/>
        </w:rPr>
        <w:t> </w:t>
      </w:r>
      <w:r w:rsidRPr="007C5A1B">
        <w:rPr>
          <w:rFonts w:eastAsia="Times New Roman" w:cstheme="minorHAnsi"/>
          <w:sz w:val="24"/>
          <w:szCs w:val="24"/>
        </w:rPr>
        <w:t xml:space="preserve">realizaci projektů vybraných ke kontrole. </w:t>
      </w:r>
      <w:r w:rsidR="006210D3" w:rsidRPr="007C5A1B">
        <w:rPr>
          <w:rFonts w:eastAsia="Times New Roman" w:cstheme="minorHAnsi"/>
          <w:sz w:val="24"/>
          <w:szCs w:val="24"/>
        </w:rPr>
        <w:t xml:space="preserve">Prověřoval rovněž, zda MD odstranilo nedostatky, které NKÚ </w:t>
      </w:r>
      <w:r w:rsidR="004C7EB0" w:rsidRPr="007C5A1B">
        <w:rPr>
          <w:rFonts w:eastAsia="Times New Roman" w:cstheme="minorHAnsi"/>
          <w:sz w:val="24"/>
          <w:szCs w:val="24"/>
        </w:rPr>
        <w:t>zjistil při své předchozí kontrolní činnosti</w:t>
      </w:r>
      <w:r w:rsidR="006210D3" w:rsidRPr="007C5A1B">
        <w:rPr>
          <w:rFonts w:eastAsia="Times New Roman" w:cstheme="minorHAnsi"/>
          <w:sz w:val="24"/>
          <w:szCs w:val="24"/>
        </w:rPr>
        <w:t>.</w:t>
      </w:r>
    </w:p>
    <w:p w14:paraId="0056E55D" w14:textId="01F21247" w:rsidR="001F53A5" w:rsidRPr="007C5A1B" w:rsidRDefault="0084716B" w:rsidP="00A90ACF">
      <w:pPr>
        <w:spacing w:after="120" w:line="252" w:lineRule="auto"/>
        <w:jc w:val="both"/>
        <w:rPr>
          <w:rFonts w:cstheme="minorHAnsi"/>
          <w:sz w:val="24"/>
          <w:szCs w:val="24"/>
        </w:rPr>
      </w:pPr>
      <w:r w:rsidRPr="007C5A1B">
        <w:rPr>
          <w:rFonts w:cstheme="minorHAnsi"/>
          <w:sz w:val="24"/>
          <w:szCs w:val="24"/>
        </w:rPr>
        <w:t xml:space="preserve">3.2 </w:t>
      </w:r>
      <w:r w:rsidR="00326BBF" w:rsidRPr="007C5A1B">
        <w:rPr>
          <w:rFonts w:cstheme="minorHAnsi"/>
          <w:sz w:val="24"/>
          <w:szCs w:val="24"/>
        </w:rPr>
        <w:t xml:space="preserve">Kontrolu postupu ŘVC při přípravě nebo i realizaci projektů na podporu rozvoje rekreační plavby a osobní lodní dopravy provedl NKÚ u </w:t>
      </w:r>
      <w:r w:rsidR="00326BBF" w:rsidRPr="007C5A1B">
        <w:rPr>
          <w:rFonts w:eastAsia="Arial Unicode MS" w:cstheme="minorHAnsi"/>
          <w:bCs/>
          <w:sz w:val="24"/>
          <w:szCs w:val="24"/>
          <w:lang w:eastAsia="cs-CZ"/>
        </w:rPr>
        <w:t>devíti</w:t>
      </w:r>
      <w:r w:rsidR="00326BBF" w:rsidRPr="007C5A1B">
        <w:rPr>
          <w:rFonts w:cstheme="minorHAnsi"/>
          <w:sz w:val="24"/>
          <w:szCs w:val="24"/>
        </w:rPr>
        <w:t xml:space="preserve"> projektů nebo jejich souborů s </w:t>
      </w:r>
      <w:r w:rsidR="00326BBF" w:rsidRPr="007C5A1B">
        <w:rPr>
          <w:rFonts w:eastAsia="Arial Unicode MS" w:cstheme="minorHAnsi"/>
          <w:bCs/>
          <w:sz w:val="24"/>
          <w:szCs w:val="24"/>
          <w:lang w:eastAsia="cs-CZ"/>
        </w:rPr>
        <w:t xml:space="preserve">celkovým objemem investičních nákladů 2 772 mil. Kč bez DPH. V případě Povodí Vltavy NKÚ zkontroloval čtyři projekty </w:t>
      </w:r>
      <w:r w:rsidR="00326BBF" w:rsidRPr="007C5A1B">
        <w:rPr>
          <w:rFonts w:cstheme="minorHAnsi"/>
          <w:sz w:val="24"/>
          <w:szCs w:val="24"/>
        </w:rPr>
        <w:t>s </w:t>
      </w:r>
      <w:r w:rsidR="00326BBF" w:rsidRPr="007C5A1B">
        <w:rPr>
          <w:rFonts w:eastAsia="Arial Unicode MS" w:cstheme="minorHAnsi"/>
          <w:bCs/>
          <w:sz w:val="24"/>
          <w:szCs w:val="24"/>
          <w:lang w:eastAsia="cs-CZ"/>
        </w:rPr>
        <w:t>celkovým objemem investičních nákladů 2 351 mil. Kč bez DPH.</w:t>
      </w:r>
    </w:p>
    <w:p w14:paraId="20A9DEC1" w14:textId="77777777" w:rsidR="0028352C" w:rsidRPr="007C5A1B" w:rsidRDefault="0084716B" w:rsidP="00A90ACF">
      <w:pPr>
        <w:autoSpaceDE w:val="0"/>
        <w:autoSpaceDN w:val="0"/>
        <w:adjustRightInd w:val="0"/>
        <w:spacing w:after="120" w:line="252" w:lineRule="auto"/>
        <w:jc w:val="both"/>
        <w:rPr>
          <w:rFonts w:eastAsia="Arial Unicode MS" w:cstheme="minorHAnsi"/>
          <w:bCs/>
          <w:sz w:val="24"/>
          <w:szCs w:val="24"/>
          <w:lang w:eastAsia="cs-CZ"/>
        </w:rPr>
      </w:pPr>
      <w:r w:rsidRPr="007C5A1B">
        <w:rPr>
          <w:rFonts w:cstheme="minorHAnsi"/>
          <w:sz w:val="24"/>
          <w:szCs w:val="24"/>
        </w:rPr>
        <w:t xml:space="preserve">3.3 </w:t>
      </w:r>
      <w:r w:rsidR="00326BBF" w:rsidRPr="007C5A1B">
        <w:rPr>
          <w:rFonts w:cstheme="minorHAnsi"/>
          <w:sz w:val="24"/>
          <w:szCs w:val="24"/>
        </w:rPr>
        <w:t>Kontrola navázala na kontrolní akce č. 08/19, 14/03 a č. 18/16, při nichž NKÚ zjistil řadu nedostatků, zejména rozpory a nejasnosti v koncepčních a na ně navazujících dokumentech, absenci koncepce vodní dopravy, nedostatečně transparentní a účinný systém řízení, sledování a financování realizací projektů, neprovádění přípravy projektů v rámci ucelených dopravních řešení, nepodložená ekonomická hodnocení projektů a nedůsledné vyhodnocování jejich skutečných přínosů.</w:t>
      </w:r>
    </w:p>
    <w:p w14:paraId="2FD34DE9" w14:textId="77777777" w:rsidR="00D02FE5" w:rsidRPr="00A90ACF" w:rsidRDefault="00E10443" w:rsidP="00A90ACF">
      <w:pPr>
        <w:tabs>
          <w:tab w:val="center" w:pos="7020"/>
        </w:tabs>
        <w:spacing w:after="0" w:line="252" w:lineRule="auto"/>
        <w:ind w:left="567" w:hanging="567"/>
        <w:contextualSpacing/>
        <w:jc w:val="both"/>
        <w:rPr>
          <w:rFonts w:cstheme="minorHAnsi"/>
          <w:sz w:val="20"/>
          <w:szCs w:val="24"/>
        </w:rPr>
      </w:pPr>
      <w:r w:rsidRPr="00A90ACF">
        <w:rPr>
          <w:rFonts w:cstheme="minorHAnsi"/>
          <w:b/>
          <w:sz w:val="20"/>
          <w:szCs w:val="24"/>
        </w:rPr>
        <w:t>Pozn</w:t>
      </w:r>
      <w:r w:rsidR="003F2238" w:rsidRPr="00A90ACF">
        <w:rPr>
          <w:rFonts w:cstheme="minorHAnsi"/>
          <w:b/>
          <w:sz w:val="20"/>
          <w:szCs w:val="24"/>
        </w:rPr>
        <w:t>.</w:t>
      </w:r>
      <w:r w:rsidRPr="00A90ACF">
        <w:rPr>
          <w:rFonts w:cstheme="minorHAnsi"/>
          <w:b/>
          <w:sz w:val="20"/>
          <w:szCs w:val="24"/>
        </w:rPr>
        <w:t>:</w:t>
      </w:r>
      <w:r w:rsidRPr="00A90ACF">
        <w:rPr>
          <w:rFonts w:cstheme="minorHAnsi"/>
          <w:sz w:val="20"/>
          <w:szCs w:val="24"/>
        </w:rPr>
        <w:t xml:space="preserve"> Právní předpisy </w:t>
      </w:r>
      <w:r w:rsidR="003251F9" w:rsidRPr="00A90ACF">
        <w:rPr>
          <w:rFonts w:cstheme="minorHAnsi"/>
          <w:sz w:val="20"/>
          <w:szCs w:val="24"/>
        </w:rPr>
        <w:t>uvedené</w:t>
      </w:r>
      <w:r w:rsidRPr="00A90ACF">
        <w:rPr>
          <w:rFonts w:cstheme="minorHAnsi"/>
          <w:sz w:val="20"/>
          <w:szCs w:val="24"/>
        </w:rPr>
        <w:t xml:space="preserve"> v tomto kontrolním závěru jsou aplikovány ve znění účinném pro</w:t>
      </w:r>
      <w:r w:rsidR="00A90ACF">
        <w:rPr>
          <w:rFonts w:cstheme="minorHAnsi"/>
          <w:sz w:val="20"/>
          <w:szCs w:val="24"/>
        </w:rPr>
        <w:t xml:space="preserve"> </w:t>
      </w:r>
      <w:r w:rsidRPr="00A90ACF">
        <w:rPr>
          <w:rFonts w:cstheme="minorHAnsi"/>
          <w:sz w:val="20"/>
          <w:szCs w:val="24"/>
        </w:rPr>
        <w:t xml:space="preserve">kontrolované období. </w:t>
      </w:r>
    </w:p>
    <w:p w14:paraId="5860A38F" w14:textId="77777777" w:rsidR="002E3F8B" w:rsidRPr="007C5A1B" w:rsidRDefault="00E10443" w:rsidP="00A90ACF">
      <w:pPr>
        <w:pStyle w:val="Nadpis1"/>
        <w:keepLines w:val="0"/>
        <w:spacing w:line="252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C5A1B">
        <w:rPr>
          <w:rFonts w:asciiTheme="minorHAnsi" w:hAnsiTheme="minorHAnsi" w:cstheme="minorHAnsi"/>
          <w:sz w:val="28"/>
          <w:szCs w:val="28"/>
        </w:rPr>
        <w:t>IV. Podrobn</w:t>
      </w:r>
      <w:r w:rsidR="00276301" w:rsidRPr="007C5A1B">
        <w:rPr>
          <w:rFonts w:asciiTheme="minorHAnsi" w:hAnsiTheme="minorHAnsi" w:cstheme="minorHAnsi"/>
          <w:sz w:val="28"/>
          <w:szCs w:val="28"/>
        </w:rPr>
        <w:t>é skutečnosti zjištěné kontrolou</w:t>
      </w:r>
    </w:p>
    <w:p w14:paraId="0E6F7C78" w14:textId="77777777" w:rsidR="00B3747F" w:rsidRPr="007C5A1B" w:rsidRDefault="003A7C2B" w:rsidP="00A90ACF">
      <w:pPr>
        <w:keepNext/>
        <w:spacing w:after="120" w:line="252" w:lineRule="auto"/>
        <w:jc w:val="both"/>
        <w:rPr>
          <w:rFonts w:cstheme="minorHAnsi"/>
          <w:b/>
          <w:color w:val="000000"/>
          <w:sz w:val="24"/>
          <w:szCs w:val="24"/>
          <w:lang w:bidi="cs-CZ"/>
        </w:rPr>
      </w:pPr>
      <w:r w:rsidRPr="007C5A1B">
        <w:rPr>
          <w:rFonts w:cstheme="minorHAnsi"/>
          <w:b/>
          <w:color w:val="000000"/>
          <w:sz w:val="24"/>
          <w:szCs w:val="24"/>
          <w:lang w:bidi="cs-CZ"/>
        </w:rPr>
        <w:t xml:space="preserve">MD </w:t>
      </w:r>
      <w:r w:rsidR="00FB758A" w:rsidRPr="007C5A1B">
        <w:rPr>
          <w:rFonts w:cstheme="minorHAnsi"/>
          <w:b/>
          <w:color w:val="000000"/>
          <w:sz w:val="24"/>
          <w:szCs w:val="24"/>
          <w:lang w:bidi="cs-CZ"/>
        </w:rPr>
        <w:t xml:space="preserve">neodstranilo </w:t>
      </w:r>
      <w:r w:rsidRPr="007C5A1B">
        <w:rPr>
          <w:rFonts w:cstheme="minorHAnsi"/>
          <w:b/>
          <w:color w:val="000000"/>
          <w:sz w:val="24"/>
          <w:szCs w:val="24"/>
          <w:lang w:bidi="cs-CZ"/>
        </w:rPr>
        <w:t>nedostatky</w:t>
      </w:r>
      <w:r w:rsidR="00B24B81" w:rsidRPr="007C5A1B">
        <w:rPr>
          <w:rFonts w:cstheme="minorHAnsi"/>
          <w:b/>
          <w:color w:val="000000"/>
          <w:sz w:val="24"/>
          <w:szCs w:val="24"/>
          <w:lang w:bidi="cs-CZ"/>
        </w:rPr>
        <w:t>, na které NKÚ</w:t>
      </w:r>
      <w:r w:rsidR="006C6D60" w:rsidRPr="007C5A1B">
        <w:rPr>
          <w:rFonts w:cstheme="minorHAnsi"/>
          <w:b/>
          <w:color w:val="000000"/>
          <w:sz w:val="24"/>
          <w:szCs w:val="24"/>
          <w:lang w:bidi="cs-CZ"/>
        </w:rPr>
        <w:t xml:space="preserve"> již</w:t>
      </w:r>
      <w:r w:rsidR="00B24B81" w:rsidRPr="007C5A1B">
        <w:rPr>
          <w:rFonts w:cstheme="minorHAnsi"/>
          <w:b/>
          <w:color w:val="000000"/>
          <w:sz w:val="24"/>
          <w:szCs w:val="24"/>
          <w:lang w:bidi="cs-CZ"/>
        </w:rPr>
        <w:t xml:space="preserve"> </w:t>
      </w:r>
      <w:r w:rsidRPr="007C5A1B">
        <w:rPr>
          <w:rFonts w:cstheme="minorHAnsi"/>
          <w:b/>
          <w:color w:val="000000"/>
          <w:sz w:val="24"/>
          <w:szCs w:val="24"/>
          <w:lang w:bidi="cs-CZ"/>
        </w:rPr>
        <w:t xml:space="preserve">několikrát </w:t>
      </w:r>
      <w:r w:rsidR="00B24B81" w:rsidRPr="007C5A1B">
        <w:rPr>
          <w:rFonts w:cstheme="minorHAnsi"/>
          <w:b/>
          <w:color w:val="000000"/>
          <w:sz w:val="24"/>
          <w:szCs w:val="24"/>
          <w:lang w:bidi="cs-CZ"/>
        </w:rPr>
        <w:t>upozornil</w:t>
      </w:r>
    </w:p>
    <w:p w14:paraId="6606C110" w14:textId="3FA590D6" w:rsidR="00F12461" w:rsidRPr="007C5A1B" w:rsidRDefault="00A26D73" w:rsidP="000F68C6">
      <w:pPr>
        <w:pStyle w:val="Odstavecseseznamem"/>
        <w:spacing w:after="120" w:line="252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C5A1B">
        <w:rPr>
          <w:rFonts w:cstheme="minorHAnsi"/>
          <w:sz w:val="24"/>
          <w:szCs w:val="24"/>
        </w:rPr>
        <w:t xml:space="preserve">4.1 </w:t>
      </w:r>
      <w:r w:rsidR="006C6D60" w:rsidRPr="007C5A1B">
        <w:rPr>
          <w:rFonts w:cstheme="minorHAnsi"/>
          <w:sz w:val="24"/>
          <w:szCs w:val="24"/>
        </w:rPr>
        <w:t xml:space="preserve">NKÚ v kontrolním závěru z kontrolní akce č. </w:t>
      </w:r>
      <w:r w:rsidR="008A6802" w:rsidRPr="007C5A1B">
        <w:rPr>
          <w:rFonts w:cstheme="minorHAnsi"/>
          <w:sz w:val="24"/>
          <w:szCs w:val="24"/>
        </w:rPr>
        <w:t>08/1</w:t>
      </w:r>
      <w:r w:rsidR="00C026C0" w:rsidRPr="007C5A1B">
        <w:rPr>
          <w:rFonts w:cstheme="minorHAnsi"/>
          <w:sz w:val="24"/>
          <w:szCs w:val="24"/>
        </w:rPr>
        <w:t>9</w:t>
      </w:r>
      <w:r w:rsidR="00774CEA">
        <w:rPr>
          <w:rFonts w:cstheme="minorHAnsi"/>
          <w:sz w:val="24"/>
          <w:szCs w:val="24"/>
        </w:rPr>
        <w:t xml:space="preserve"> –</w:t>
      </w:r>
      <w:r w:rsidR="008A6802" w:rsidRPr="007C5A1B">
        <w:rPr>
          <w:rFonts w:cstheme="minorHAnsi"/>
          <w:sz w:val="24"/>
          <w:szCs w:val="24"/>
        </w:rPr>
        <w:t xml:space="preserve"> </w:t>
      </w:r>
      <w:r w:rsidR="008A6802" w:rsidRPr="007C5A1B">
        <w:rPr>
          <w:rFonts w:cstheme="minorHAnsi"/>
          <w:i/>
          <w:sz w:val="24"/>
          <w:szCs w:val="24"/>
        </w:rPr>
        <w:t>Peněžní prostředky určené na rozvoj a</w:t>
      </w:r>
      <w:r w:rsidR="000F68C6">
        <w:rPr>
          <w:rFonts w:cstheme="minorHAnsi"/>
          <w:i/>
          <w:sz w:val="24"/>
          <w:szCs w:val="24"/>
        </w:rPr>
        <w:t> </w:t>
      </w:r>
      <w:r w:rsidR="008A6802" w:rsidRPr="007C5A1B">
        <w:rPr>
          <w:rFonts w:cstheme="minorHAnsi"/>
          <w:i/>
          <w:sz w:val="24"/>
          <w:szCs w:val="24"/>
        </w:rPr>
        <w:t>modernizaci vodních cest a přístavů</w:t>
      </w:r>
      <w:r w:rsidR="008A6802" w:rsidRPr="007C5A1B">
        <w:rPr>
          <w:rFonts w:cstheme="minorHAnsi"/>
          <w:sz w:val="24"/>
          <w:szCs w:val="24"/>
        </w:rPr>
        <w:t xml:space="preserve"> mj. konstatoval, že MD v koncepčních dokumentech komplexně nevymezilo věcné, časové a finanční podmínky pro dosažení cílového stavu vodních cest</w:t>
      </w:r>
      <w:r w:rsidR="00563CBC" w:rsidRPr="007C5A1B">
        <w:rPr>
          <w:rFonts w:cstheme="minorHAnsi"/>
          <w:sz w:val="24"/>
          <w:szCs w:val="24"/>
        </w:rPr>
        <w:t xml:space="preserve"> a nevytvořilo dostatečně transparentní a účinný systém řízení, sledování a</w:t>
      </w:r>
      <w:r w:rsidR="000F68C6">
        <w:rPr>
          <w:rFonts w:cstheme="minorHAnsi"/>
          <w:sz w:val="24"/>
          <w:szCs w:val="24"/>
        </w:rPr>
        <w:t> </w:t>
      </w:r>
      <w:r w:rsidR="00563CBC" w:rsidRPr="007C5A1B">
        <w:rPr>
          <w:rFonts w:cstheme="minorHAnsi"/>
          <w:sz w:val="24"/>
          <w:szCs w:val="24"/>
        </w:rPr>
        <w:t>financování projektů</w:t>
      </w:r>
      <w:r w:rsidR="008A6802" w:rsidRPr="007C5A1B">
        <w:rPr>
          <w:rFonts w:cstheme="minorHAnsi"/>
          <w:sz w:val="24"/>
          <w:szCs w:val="24"/>
        </w:rPr>
        <w:t xml:space="preserve">. </w:t>
      </w:r>
      <w:r w:rsidR="00561F91" w:rsidRPr="007C5A1B">
        <w:rPr>
          <w:rFonts w:cstheme="minorHAnsi"/>
          <w:sz w:val="24"/>
          <w:szCs w:val="24"/>
        </w:rPr>
        <w:t>Dále konstatoval, že h</w:t>
      </w:r>
      <w:r w:rsidR="008A6802" w:rsidRPr="007C5A1B">
        <w:rPr>
          <w:rFonts w:cstheme="minorHAnsi"/>
          <w:sz w:val="24"/>
          <w:szCs w:val="24"/>
        </w:rPr>
        <w:t xml:space="preserve">odnocení efektivnosti </w:t>
      </w:r>
      <w:r w:rsidR="00563CBC" w:rsidRPr="007C5A1B">
        <w:rPr>
          <w:rFonts w:cstheme="minorHAnsi"/>
          <w:sz w:val="24"/>
          <w:szCs w:val="24"/>
        </w:rPr>
        <w:t>projektů</w:t>
      </w:r>
      <w:r w:rsidR="008A6802" w:rsidRPr="007C5A1B">
        <w:rPr>
          <w:rFonts w:cstheme="minorHAnsi"/>
          <w:sz w:val="24"/>
          <w:szCs w:val="24"/>
        </w:rPr>
        <w:t xml:space="preserve"> vycházela z nevěrohodných a nedostatečně doložených vstupních údajů. </w:t>
      </w:r>
    </w:p>
    <w:p w14:paraId="2C2968DE" w14:textId="5395D0AE" w:rsidR="00563CBC" w:rsidRPr="007C5A1B" w:rsidRDefault="00A26D73" w:rsidP="000F68C6">
      <w:pPr>
        <w:pStyle w:val="Odstavecseseznamem"/>
        <w:spacing w:after="120" w:line="252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C5A1B">
        <w:rPr>
          <w:rFonts w:cstheme="minorHAnsi"/>
          <w:sz w:val="24"/>
          <w:szCs w:val="24"/>
        </w:rPr>
        <w:t xml:space="preserve">4.2 </w:t>
      </w:r>
      <w:r w:rsidR="005E6DFE" w:rsidRPr="007C5A1B">
        <w:rPr>
          <w:rFonts w:cstheme="minorHAnsi"/>
          <w:sz w:val="24"/>
          <w:szCs w:val="24"/>
        </w:rPr>
        <w:t>V kontrolním závěru z kontrolní akce č. 14/03</w:t>
      </w:r>
      <w:r w:rsidR="00774CEA">
        <w:rPr>
          <w:rFonts w:cstheme="minorHAnsi"/>
          <w:sz w:val="24"/>
          <w:szCs w:val="24"/>
        </w:rPr>
        <w:t xml:space="preserve"> –</w:t>
      </w:r>
      <w:r w:rsidR="005E6DFE" w:rsidRPr="007C5A1B">
        <w:rPr>
          <w:rFonts w:cstheme="minorHAnsi"/>
          <w:sz w:val="24"/>
          <w:szCs w:val="24"/>
        </w:rPr>
        <w:t xml:space="preserve"> </w:t>
      </w:r>
      <w:r w:rsidR="005E6DFE" w:rsidRPr="007C5A1B">
        <w:rPr>
          <w:rFonts w:cstheme="minorHAnsi"/>
          <w:i/>
          <w:sz w:val="24"/>
          <w:szCs w:val="24"/>
        </w:rPr>
        <w:t>Peněžní prostředky určené na rozvoj a</w:t>
      </w:r>
      <w:r w:rsidR="000F68C6">
        <w:rPr>
          <w:rFonts w:cstheme="minorHAnsi"/>
          <w:i/>
          <w:sz w:val="24"/>
          <w:szCs w:val="24"/>
        </w:rPr>
        <w:t> </w:t>
      </w:r>
      <w:r w:rsidR="005E6DFE" w:rsidRPr="007C5A1B">
        <w:rPr>
          <w:rFonts w:cstheme="minorHAnsi"/>
          <w:i/>
          <w:sz w:val="24"/>
          <w:szCs w:val="24"/>
        </w:rPr>
        <w:t>modernizaci vodních cest a přístavů a na podporu multimodální nákladní přepravy</w:t>
      </w:r>
      <w:r w:rsidR="005E6DFE" w:rsidRPr="007C5A1B">
        <w:rPr>
          <w:rFonts w:cstheme="minorHAnsi"/>
          <w:sz w:val="24"/>
          <w:szCs w:val="24"/>
        </w:rPr>
        <w:t xml:space="preserve"> NKÚ konstatoval přetrvávání výše uvedených nedostatků a </w:t>
      </w:r>
      <w:r w:rsidRPr="007C5A1B">
        <w:rPr>
          <w:rFonts w:cstheme="minorHAnsi"/>
          <w:sz w:val="24"/>
          <w:szCs w:val="24"/>
        </w:rPr>
        <w:t xml:space="preserve">upozornil na </w:t>
      </w:r>
      <w:r w:rsidR="005E6DFE" w:rsidRPr="007C5A1B">
        <w:rPr>
          <w:rFonts w:cstheme="minorHAnsi"/>
          <w:sz w:val="24"/>
          <w:szCs w:val="24"/>
        </w:rPr>
        <w:t>absenc</w:t>
      </w:r>
      <w:r w:rsidRPr="007C5A1B">
        <w:rPr>
          <w:rFonts w:cstheme="minorHAnsi"/>
          <w:sz w:val="24"/>
          <w:szCs w:val="24"/>
        </w:rPr>
        <w:t>i</w:t>
      </w:r>
      <w:r w:rsidR="005E6DFE" w:rsidRPr="007C5A1B">
        <w:rPr>
          <w:rFonts w:cstheme="minorHAnsi"/>
          <w:sz w:val="24"/>
          <w:szCs w:val="24"/>
        </w:rPr>
        <w:t xml:space="preserve"> ucelené koncepce vodní dopravy.</w:t>
      </w:r>
    </w:p>
    <w:p w14:paraId="4BA8CF42" w14:textId="3EB3CED6" w:rsidR="00A26D73" w:rsidRPr="007C5A1B" w:rsidRDefault="00A26D73" w:rsidP="000F68C6">
      <w:pPr>
        <w:pStyle w:val="Odstavecseseznamem"/>
        <w:spacing w:after="120" w:line="252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C5A1B">
        <w:rPr>
          <w:rFonts w:cstheme="minorHAnsi"/>
          <w:sz w:val="24"/>
          <w:szCs w:val="24"/>
        </w:rPr>
        <w:t>4.3 V kontrolním závěru z kontrolní akce č. 18/16</w:t>
      </w:r>
      <w:r w:rsidR="00774CEA">
        <w:rPr>
          <w:rFonts w:cstheme="minorHAnsi"/>
          <w:sz w:val="24"/>
          <w:szCs w:val="24"/>
        </w:rPr>
        <w:t xml:space="preserve"> –</w:t>
      </w:r>
      <w:r w:rsidRPr="007C5A1B">
        <w:rPr>
          <w:rFonts w:cstheme="minorHAnsi"/>
          <w:sz w:val="24"/>
          <w:szCs w:val="24"/>
        </w:rPr>
        <w:t xml:space="preserve"> </w:t>
      </w:r>
      <w:r w:rsidRPr="007C5A1B">
        <w:rPr>
          <w:rFonts w:cstheme="minorHAnsi"/>
          <w:i/>
          <w:sz w:val="24"/>
          <w:szCs w:val="24"/>
        </w:rPr>
        <w:t>Rozvoj vodních cest a podpora vodní dopravy</w:t>
      </w:r>
      <w:r w:rsidRPr="007C5A1B">
        <w:rPr>
          <w:rFonts w:cstheme="minorHAnsi"/>
          <w:sz w:val="24"/>
          <w:szCs w:val="24"/>
        </w:rPr>
        <w:t xml:space="preserve"> NKÚ znovu upozornil na přetrvávání nedostatků, </w:t>
      </w:r>
      <w:r w:rsidR="001B1F7E" w:rsidRPr="007C5A1B">
        <w:rPr>
          <w:rFonts w:cstheme="minorHAnsi"/>
          <w:sz w:val="24"/>
          <w:szCs w:val="24"/>
        </w:rPr>
        <w:t>které zjistil</w:t>
      </w:r>
      <w:r w:rsidRPr="007C5A1B">
        <w:rPr>
          <w:rFonts w:cstheme="minorHAnsi"/>
          <w:sz w:val="24"/>
          <w:szCs w:val="24"/>
        </w:rPr>
        <w:t xml:space="preserve"> při předchozích </w:t>
      </w:r>
      <w:r w:rsidRPr="007C5A1B">
        <w:rPr>
          <w:rFonts w:cstheme="minorHAnsi"/>
          <w:sz w:val="24"/>
          <w:szCs w:val="24"/>
        </w:rPr>
        <w:lastRenderedPageBreak/>
        <w:t xml:space="preserve">kontrolních akcích. V souvislosti s tím NKÚ konstatoval, že cíle stanovené Dopravní politikou pro oblast vodní dopravy nejsou plněny a vynakládání dalších prostředků na rozvoj vodních cest pro nákladní dopravu bez vyřešení všech zásadních problémů omezujících využitelnost labsko-vltavské vodní cesty (především bez zajištění její spolehlivé splavnosti v úseku Ústí </w:t>
      </w:r>
      <w:r w:rsidR="00774CEA">
        <w:rPr>
          <w:rFonts w:cstheme="minorHAnsi"/>
          <w:sz w:val="24"/>
          <w:szCs w:val="24"/>
        </w:rPr>
        <w:t>nad</w:t>
      </w:r>
      <w:r w:rsidRPr="007C5A1B">
        <w:rPr>
          <w:rFonts w:cstheme="minorHAnsi"/>
          <w:sz w:val="24"/>
          <w:szCs w:val="24"/>
        </w:rPr>
        <w:t xml:space="preserve"> </w:t>
      </w:r>
      <w:r w:rsidR="00774CEA">
        <w:rPr>
          <w:rFonts w:cstheme="minorHAnsi"/>
          <w:sz w:val="24"/>
          <w:szCs w:val="24"/>
        </w:rPr>
        <w:t xml:space="preserve">Labem </w:t>
      </w:r>
      <w:r w:rsidRPr="007C5A1B">
        <w:rPr>
          <w:rFonts w:cstheme="minorHAnsi"/>
          <w:sz w:val="24"/>
          <w:szCs w:val="24"/>
        </w:rPr>
        <w:t>– státní hranice) a bez přípravy projektů v rámci ucelených dopravních řešení je spojeno s rizikem neúčelného a neefektivního vynakládání peněžních prostředků.</w:t>
      </w:r>
    </w:p>
    <w:p w14:paraId="2624032D" w14:textId="77777777" w:rsidR="00EC4C75" w:rsidRPr="007C5A1B" w:rsidRDefault="00A26D73" w:rsidP="000F68C6">
      <w:pPr>
        <w:pStyle w:val="Odstavecseseznamem"/>
        <w:spacing w:after="120" w:line="252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C5A1B">
        <w:rPr>
          <w:rFonts w:cstheme="minorHAnsi"/>
          <w:sz w:val="24"/>
          <w:szCs w:val="24"/>
        </w:rPr>
        <w:t xml:space="preserve">4.4 MD ve </w:t>
      </w:r>
      <w:r w:rsidR="00B3747F" w:rsidRPr="007C5A1B">
        <w:rPr>
          <w:rFonts w:cstheme="minorHAnsi"/>
          <w:sz w:val="24"/>
          <w:szCs w:val="24"/>
        </w:rPr>
        <w:t xml:space="preserve">svém stanovisku </w:t>
      </w:r>
      <w:r w:rsidR="008D4CFD" w:rsidRPr="007C5A1B">
        <w:rPr>
          <w:rFonts w:cstheme="minorHAnsi"/>
          <w:sz w:val="24"/>
          <w:szCs w:val="24"/>
        </w:rPr>
        <w:t>ke</w:t>
      </w:r>
      <w:r w:rsidR="00B3747F" w:rsidRPr="007C5A1B">
        <w:rPr>
          <w:rFonts w:cstheme="minorHAnsi"/>
          <w:sz w:val="24"/>
          <w:szCs w:val="24"/>
        </w:rPr>
        <w:t xml:space="preserve"> kontrolnímu závěru</w:t>
      </w:r>
      <w:r w:rsidRPr="007C5A1B">
        <w:rPr>
          <w:rFonts w:cstheme="minorHAnsi"/>
          <w:sz w:val="24"/>
          <w:szCs w:val="24"/>
        </w:rPr>
        <w:t xml:space="preserve"> </w:t>
      </w:r>
      <w:r w:rsidR="006210D3" w:rsidRPr="007C5A1B">
        <w:rPr>
          <w:rFonts w:cstheme="minorHAnsi"/>
          <w:sz w:val="24"/>
          <w:szCs w:val="24"/>
        </w:rPr>
        <w:t xml:space="preserve">z kontrolní akce č. 18/16 </w:t>
      </w:r>
      <w:r w:rsidRPr="007C5A1B">
        <w:rPr>
          <w:rFonts w:cstheme="minorHAnsi"/>
          <w:sz w:val="24"/>
          <w:szCs w:val="24"/>
        </w:rPr>
        <w:t>navrhlo opatření</w:t>
      </w:r>
      <w:r w:rsidR="00B3747F" w:rsidRPr="007C5A1B">
        <w:rPr>
          <w:rFonts w:cstheme="minorHAnsi"/>
          <w:sz w:val="24"/>
          <w:szCs w:val="24"/>
        </w:rPr>
        <w:t xml:space="preserve">, </w:t>
      </w:r>
      <w:r w:rsidRPr="007C5A1B">
        <w:rPr>
          <w:rFonts w:cstheme="minorHAnsi"/>
          <w:sz w:val="24"/>
          <w:szCs w:val="24"/>
        </w:rPr>
        <w:t xml:space="preserve">která měla </w:t>
      </w:r>
      <w:r w:rsidR="00B3747F" w:rsidRPr="007C5A1B">
        <w:rPr>
          <w:rFonts w:cstheme="minorHAnsi"/>
          <w:sz w:val="24"/>
          <w:szCs w:val="24"/>
        </w:rPr>
        <w:t>nedostatky vyřeš</w:t>
      </w:r>
      <w:r w:rsidRPr="007C5A1B">
        <w:rPr>
          <w:rFonts w:cstheme="minorHAnsi"/>
          <w:sz w:val="24"/>
          <w:szCs w:val="24"/>
        </w:rPr>
        <w:t>it</w:t>
      </w:r>
      <w:r w:rsidR="00BE05A7" w:rsidRPr="007C5A1B">
        <w:rPr>
          <w:rFonts w:cstheme="minorHAnsi"/>
          <w:sz w:val="24"/>
          <w:szCs w:val="24"/>
        </w:rPr>
        <w:t xml:space="preserve">. </w:t>
      </w:r>
      <w:r w:rsidR="005400E7" w:rsidRPr="007C5A1B">
        <w:rPr>
          <w:rFonts w:cstheme="minorHAnsi"/>
          <w:sz w:val="24"/>
          <w:szCs w:val="24"/>
        </w:rPr>
        <w:t>V listopadu 2019 v</w:t>
      </w:r>
      <w:r w:rsidR="009802F3" w:rsidRPr="007C5A1B">
        <w:rPr>
          <w:rFonts w:cstheme="minorHAnsi"/>
          <w:sz w:val="24"/>
          <w:szCs w:val="24"/>
        </w:rPr>
        <w:t xml:space="preserve">láda ČR </w:t>
      </w:r>
      <w:r w:rsidR="005400E7" w:rsidRPr="007C5A1B">
        <w:rPr>
          <w:rFonts w:cstheme="minorHAnsi"/>
          <w:sz w:val="24"/>
          <w:szCs w:val="24"/>
        </w:rPr>
        <w:t xml:space="preserve">uložila ministru dopravy </w:t>
      </w:r>
      <w:r w:rsidR="001B1F7E" w:rsidRPr="007C5A1B">
        <w:rPr>
          <w:rFonts w:cstheme="minorHAnsi"/>
          <w:sz w:val="24"/>
          <w:szCs w:val="24"/>
        </w:rPr>
        <w:t xml:space="preserve">zajistit </w:t>
      </w:r>
      <w:r w:rsidR="004C7EEB" w:rsidRPr="007C5A1B">
        <w:rPr>
          <w:rFonts w:cstheme="minorHAnsi"/>
          <w:sz w:val="24"/>
          <w:szCs w:val="24"/>
        </w:rPr>
        <w:t>r</w:t>
      </w:r>
      <w:r w:rsidR="005400E7" w:rsidRPr="007C5A1B">
        <w:rPr>
          <w:rFonts w:cstheme="minorHAnsi"/>
          <w:sz w:val="24"/>
          <w:szCs w:val="24"/>
        </w:rPr>
        <w:t>ealizaci těchto opatření</w:t>
      </w:r>
      <w:r w:rsidR="005400E7" w:rsidRPr="007C5A1B">
        <w:rPr>
          <w:rStyle w:val="Znakapoznpodarou"/>
          <w:rFonts w:cstheme="minorHAnsi"/>
          <w:sz w:val="24"/>
          <w:szCs w:val="24"/>
        </w:rPr>
        <w:footnoteReference w:id="12"/>
      </w:r>
      <w:r w:rsidR="005400E7" w:rsidRPr="007C5A1B">
        <w:rPr>
          <w:rFonts w:cstheme="minorHAnsi"/>
          <w:sz w:val="24"/>
          <w:szCs w:val="24"/>
        </w:rPr>
        <w:t>. V červenci 2020 MD informovalo vládu o jejich splnění</w:t>
      </w:r>
      <w:r w:rsidR="005400E7" w:rsidRPr="007C5A1B">
        <w:rPr>
          <w:rStyle w:val="Znakapoznpodarou"/>
          <w:rFonts w:cstheme="minorHAnsi"/>
          <w:sz w:val="24"/>
          <w:szCs w:val="24"/>
        </w:rPr>
        <w:footnoteReference w:id="13"/>
      </w:r>
      <w:r w:rsidR="005400E7" w:rsidRPr="007C5A1B">
        <w:rPr>
          <w:rFonts w:cstheme="minorHAnsi"/>
          <w:sz w:val="24"/>
          <w:szCs w:val="24"/>
        </w:rPr>
        <w:t xml:space="preserve">. NKÚ však zjistil, že </w:t>
      </w:r>
      <w:r w:rsidR="00F077D5" w:rsidRPr="007C5A1B">
        <w:rPr>
          <w:rFonts w:cstheme="minorHAnsi"/>
          <w:sz w:val="24"/>
          <w:szCs w:val="24"/>
        </w:rPr>
        <w:t xml:space="preserve">MD </w:t>
      </w:r>
      <w:r w:rsidR="005400E7" w:rsidRPr="007C5A1B">
        <w:rPr>
          <w:rFonts w:cstheme="minorHAnsi"/>
          <w:sz w:val="24"/>
          <w:szCs w:val="24"/>
        </w:rPr>
        <w:t xml:space="preserve">nedostatky </w:t>
      </w:r>
      <w:r w:rsidR="001B1F7E" w:rsidRPr="007C5A1B">
        <w:rPr>
          <w:rFonts w:cstheme="minorHAnsi"/>
          <w:sz w:val="24"/>
          <w:szCs w:val="24"/>
        </w:rPr>
        <w:t xml:space="preserve">dosud </w:t>
      </w:r>
      <w:r w:rsidR="00F077D5" w:rsidRPr="007C5A1B">
        <w:rPr>
          <w:rFonts w:cstheme="minorHAnsi"/>
          <w:sz w:val="24"/>
          <w:szCs w:val="24"/>
        </w:rPr>
        <w:t>neodstranilo</w:t>
      </w:r>
      <w:r w:rsidR="005400E7" w:rsidRPr="007C5A1B">
        <w:rPr>
          <w:rFonts w:cstheme="minorHAnsi"/>
          <w:sz w:val="24"/>
          <w:szCs w:val="24"/>
        </w:rPr>
        <w:t>.</w:t>
      </w:r>
    </w:p>
    <w:p w14:paraId="4E9A93EA" w14:textId="77777777" w:rsidR="00D7061F" w:rsidRPr="007C5A1B" w:rsidRDefault="00B50C7C" w:rsidP="000F68C6">
      <w:pPr>
        <w:spacing w:after="120" w:line="252" w:lineRule="auto"/>
        <w:jc w:val="both"/>
        <w:rPr>
          <w:rFonts w:cstheme="minorHAnsi"/>
          <w:b/>
          <w:color w:val="000000"/>
          <w:sz w:val="24"/>
          <w:szCs w:val="24"/>
          <w:lang w:bidi="cs-CZ"/>
        </w:rPr>
      </w:pPr>
      <w:r w:rsidRPr="007C5A1B">
        <w:rPr>
          <w:rFonts w:cstheme="minorHAnsi"/>
          <w:b/>
          <w:color w:val="000000"/>
          <w:sz w:val="24"/>
          <w:szCs w:val="24"/>
          <w:lang w:bidi="cs-CZ"/>
        </w:rPr>
        <w:t xml:space="preserve">MD </w:t>
      </w:r>
      <w:r w:rsidR="00855125" w:rsidRPr="007C5A1B">
        <w:rPr>
          <w:rFonts w:cstheme="minorHAnsi"/>
          <w:b/>
          <w:color w:val="000000"/>
          <w:sz w:val="24"/>
          <w:szCs w:val="24"/>
          <w:lang w:bidi="cs-CZ"/>
        </w:rPr>
        <w:t>nestanovilo konkrétní cíle v</w:t>
      </w:r>
      <w:r w:rsidRPr="007C5A1B">
        <w:rPr>
          <w:rFonts w:cstheme="minorHAnsi"/>
          <w:b/>
          <w:color w:val="000000"/>
          <w:sz w:val="24"/>
          <w:szCs w:val="24"/>
          <w:lang w:bidi="cs-CZ"/>
        </w:rPr>
        <w:t> rozvoji rekreační plavby</w:t>
      </w:r>
    </w:p>
    <w:p w14:paraId="1B294530" w14:textId="77777777" w:rsidR="00C91D61" w:rsidRPr="007C5A1B" w:rsidRDefault="00AE6B44" w:rsidP="000F68C6">
      <w:pPr>
        <w:spacing w:after="120" w:line="252" w:lineRule="auto"/>
        <w:jc w:val="both"/>
        <w:rPr>
          <w:rFonts w:cstheme="minorHAnsi"/>
          <w:sz w:val="24"/>
          <w:szCs w:val="24"/>
        </w:rPr>
      </w:pPr>
      <w:r w:rsidRPr="007C5A1B">
        <w:rPr>
          <w:rFonts w:eastAsia="Arial Unicode MS" w:cstheme="minorHAnsi"/>
          <w:bCs/>
          <w:sz w:val="24"/>
          <w:szCs w:val="24"/>
        </w:rPr>
        <w:t xml:space="preserve">4.5 </w:t>
      </w:r>
      <w:r w:rsidR="00087821" w:rsidRPr="007C5A1B">
        <w:rPr>
          <w:rFonts w:eastAsia="Arial Unicode MS" w:cstheme="minorHAnsi"/>
          <w:bCs/>
          <w:sz w:val="24"/>
          <w:szCs w:val="24"/>
        </w:rPr>
        <w:t xml:space="preserve">Stanovení konkrétních měřitelných cílů a vhodných ukazatelů pro vyhodnocení míry jejich dosažení </w:t>
      </w:r>
      <w:r w:rsidR="001B1F7E" w:rsidRPr="007C5A1B">
        <w:rPr>
          <w:rFonts w:eastAsia="Arial Unicode MS" w:cstheme="minorHAnsi"/>
          <w:bCs/>
          <w:sz w:val="24"/>
          <w:szCs w:val="24"/>
        </w:rPr>
        <w:t xml:space="preserve">je nutným </w:t>
      </w:r>
      <w:r w:rsidR="00087821" w:rsidRPr="007C5A1B">
        <w:rPr>
          <w:rFonts w:eastAsia="Arial Unicode MS" w:cstheme="minorHAnsi"/>
          <w:bCs/>
          <w:sz w:val="24"/>
          <w:szCs w:val="24"/>
        </w:rPr>
        <w:t>předpoklad</w:t>
      </w:r>
      <w:r w:rsidR="001B1F7E" w:rsidRPr="007C5A1B">
        <w:rPr>
          <w:rFonts w:eastAsia="Arial Unicode MS" w:cstheme="minorHAnsi"/>
          <w:bCs/>
          <w:sz w:val="24"/>
          <w:szCs w:val="24"/>
        </w:rPr>
        <w:t>em</w:t>
      </w:r>
      <w:r w:rsidR="00087821" w:rsidRPr="007C5A1B">
        <w:rPr>
          <w:rFonts w:eastAsia="Arial Unicode MS" w:cstheme="minorHAnsi"/>
          <w:bCs/>
          <w:sz w:val="24"/>
          <w:szCs w:val="24"/>
        </w:rPr>
        <w:t xml:space="preserve"> pro účelné a efektivní vynakládání peněžních prostředků. </w:t>
      </w:r>
      <w:r w:rsidR="00C91D61" w:rsidRPr="007C5A1B">
        <w:rPr>
          <w:rFonts w:cstheme="minorHAnsi"/>
          <w:sz w:val="24"/>
          <w:szCs w:val="24"/>
        </w:rPr>
        <w:t xml:space="preserve">MD </w:t>
      </w:r>
      <w:r w:rsidR="001B1F7E" w:rsidRPr="007C5A1B">
        <w:rPr>
          <w:rFonts w:cstheme="minorHAnsi"/>
          <w:sz w:val="24"/>
          <w:szCs w:val="24"/>
        </w:rPr>
        <w:t xml:space="preserve">ovšem </w:t>
      </w:r>
      <w:r w:rsidR="00C91D61" w:rsidRPr="007C5A1B">
        <w:rPr>
          <w:rFonts w:cstheme="minorHAnsi"/>
          <w:sz w:val="24"/>
          <w:szCs w:val="24"/>
        </w:rPr>
        <w:t>v oblasti rozvoje rekreační plavby a osobní lodní dopravy žádné konkrétní měřitelné cíle</w:t>
      </w:r>
      <w:r w:rsidR="00087821" w:rsidRPr="007C5A1B">
        <w:rPr>
          <w:rFonts w:cstheme="minorHAnsi"/>
          <w:sz w:val="24"/>
          <w:szCs w:val="24"/>
        </w:rPr>
        <w:t xml:space="preserve"> nestanovilo</w:t>
      </w:r>
      <w:r w:rsidR="004E062A" w:rsidRPr="007C5A1B">
        <w:rPr>
          <w:rFonts w:cstheme="minorHAnsi"/>
          <w:sz w:val="24"/>
          <w:szCs w:val="24"/>
        </w:rPr>
        <w:t xml:space="preserve">. </w:t>
      </w:r>
      <w:r w:rsidR="005F1188" w:rsidRPr="007C5A1B">
        <w:rPr>
          <w:rFonts w:cstheme="minorHAnsi"/>
          <w:sz w:val="24"/>
          <w:szCs w:val="24"/>
        </w:rPr>
        <w:t>N</w:t>
      </w:r>
      <w:r w:rsidR="004E062A" w:rsidRPr="007C5A1B">
        <w:rPr>
          <w:rFonts w:cstheme="minorHAnsi"/>
          <w:sz w:val="24"/>
          <w:szCs w:val="24"/>
        </w:rPr>
        <w:t>e</w:t>
      </w:r>
      <w:r w:rsidR="00C91D61" w:rsidRPr="007C5A1B">
        <w:rPr>
          <w:rFonts w:cstheme="minorHAnsi"/>
          <w:sz w:val="24"/>
          <w:szCs w:val="24"/>
        </w:rPr>
        <w:t xml:space="preserve">stanovilo ani žádné </w:t>
      </w:r>
      <w:r w:rsidR="004E062A" w:rsidRPr="007C5A1B">
        <w:rPr>
          <w:rFonts w:cstheme="minorHAnsi"/>
          <w:sz w:val="24"/>
          <w:szCs w:val="24"/>
        </w:rPr>
        <w:t xml:space="preserve">milníky nebo </w:t>
      </w:r>
      <w:r w:rsidR="00C91D61" w:rsidRPr="007C5A1B">
        <w:rPr>
          <w:rFonts w:cstheme="minorHAnsi"/>
          <w:sz w:val="24"/>
          <w:szCs w:val="24"/>
        </w:rPr>
        <w:t xml:space="preserve">ukazatele pro měření, </w:t>
      </w:r>
      <w:r w:rsidR="004E062A" w:rsidRPr="007C5A1B">
        <w:rPr>
          <w:rFonts w:cstheme="minorHAnsi"/>
          <w:sz w:val="24"/>
          <w:szCs w:val="24"/>
        </w:rPr>
        <w:t>popř</w:t>
      </w:r>
      <w:r w:rsidR="00C91D61" w:rsidRPr="007C5A1B">
        <w:rPr>
          <w:rFonts w:cstheme="minorHAnsi"/>
          <w:sz w:val="24"/>
          <w:szCs w:val="24"/>
        </w:rPr>
        <w:t xml:space="preserve">. alespoň objektivní vyhodnocení míry </w:t>
      </w:r>
      <w:r w:rsidR="001B1F7E" w:rsidRPr="007C5A1B">
        <w:rPr>
          <w:rFonts w:cstheme="minorHAnsi"/>
          <w:sz w:val="24"/>
          <w:szCs w:val="24"/>
        </w:rPr>
        <w:t>splně</w:t>
      </w:r>
      <w:r w:rsidR="00C91D61" w:rsidRPr="007C5A1B">
        <w:rPr>
          <w:rFonts w:cstheme="minorHAnsi"/>
          <w:sz w:val="24"/>
          <w:szCs w:val="24"/>
        </w:rPr>
        <w:t>ní cílů, resp. míry pokroku dosaženého při odstraňování nedostatků</w:t>
      </w:r>
      <w:r w:rsidR="004E062A" w:rsidRPr="007C5A1B">
        <w:rPr>
          <w:rFonts w:cstheme="minorHAnsi"/>
          <w:sz w:val="24"/>
          <w:szCs w:val="24"/>
        </w:rPr>
        <w:t xml:space="preserve"> a rozvoji </w:t>
      </w:r>
      <w:r w:rsidR="005C6079" w:rsidRPr="007C5A1B">
        <w:rPr>
          <w:rFonts w:cstheme="minorHAnsi"/>
          <w:sz w:val="24"/>
          <w:szCs w:val="24"/>
        </w:rPr>
        <w:t>dané oblasti</w:t>
      </w:r>
      <w:r w:rsidR="00C91D61" w:rsidRPr="007C5A1B">
        <w:rPr>
          <w:rFonts w:cstheme="minorHAnsi"/>
          <w:sz w:val="24"/>
          <w:szCs w:val="24"/>
        </w:rPr>
        <w:t xml:space="preserve">. </w:t>
      </w:r>
      <w:r w:rsidR="00A235C8" w:rsidRPr="007C5A1B">
        <w:rPr>
          <w:rFonts w:cstheme="minorHAnsi"/>
          <w:sz w:val="24"/>
          <w:szCs w:val="24"/>
        </w:rPr>
        <w:t>Zájem o rekreační plavbu roste, není však zřejmé, nakolik k tomu přispív</w:t>
      </w:r>
      <w:r w:rsidR="007E4AB9" w:rsidRPr="007C5A1B">
        <w:rPr>
          <w:rFonts w:cstheme="minorHAnsi"/>
          <w:sz w:val="24"/>
          <w:szCs w:val="24"/>
        </w:rPr>
        <w:t>ají</w:t>
      </w:r>
      <w:r w:rsidR="00A235C8" w:rsidRPr="007C5A1B">
        <w:rPr>
          <w:rFonts w:cstheme="minorHAnsi"/>
          <w:sz w:val="24"/>
          <w:szCs w:val="24"/>
        </w:rPr>
        <w:t xml:space="preserve"> </w:t>
      </w:r>
      <w:r w:rsidR="001B1F7E" w:rsidRPr="007C5A1B">
        <w:rPr>
          <w:rFonts w:cstheme="minorHAnsi"/>
          <w:sz w:val="24"/>
          <w:szCs w:val="24"/>
        </w:rPr>
        <w:t xml:space="preserve">konkrétní </w:t>
      </w:r>
      <w:r w:rsidR="00A235C8" w:rsidRPr="007C5A1B">
        <w:rPr>
          <w:rFonts w:cstheme="minorHAnsi"/>
          <w:sz w:val="24"/>
          <w:szCs w:val="24"/>
        </w:rPr>
        <w:t>projekt</w:t>
      </w:r>
      <w:r w:rsidR="007E4AB9" w:rsidRPr="007C5A1B">
        <w:rPr>
          <w:rFonts w:cstheme="minorHAnsi"/>
          <w:sz w:val="24"/>
          <w:szCs w:val="24"/>
        </w:rPr>
        <w:t>y</w:t>
      </w:r>
      <w:r w:rsidR="00A235C8" w:rsidRPr="007C5A1B">
        <w:rPr>
          <w:rFonts w:cstheme="minorHAnsi"/>
          <w:sz w:val="24"/>
          <w:szCs w:val="24"/>
        </w:rPr>
        <w:t xml:space="preserve">, o jejichž realizaci MD rozhodlo, ani zda jsou </w:t>
      </w:r>
      <w:r w:rsidR="007E4AB9" w:rsidRPr="007C5A1B">
        <w:rPr>
          <w:rFonts w:cstheme="minorHAnsi"/>
          <w:sz w:val="24"/>
          <w:szCs w:val="24"/>
        </w:rPr>
        <w:t>u</w:t>
      </w:r>
      <w:r w:rsidR="00A235C8" w:rsidRPr="007C5A1B">
        <w:rPr>
          <w:rFonts w:cstheme="minorHAnsi"/>
          <w:sz w:val="24"/>
          <w:szCs w:val="24"/>
        </w:rPr>
        <w:t>přednostně</w:t>
      </w:r>
      <w:r w:rsidR="007E4AB9" w:rsidRPr="007C5A1B">
        <w:rPr>
          <w:rFonts w:cstheme="minorHAnsi"/>
          <w:sz w:val="24"/>
          <w:szCs w:val="24"/>
        </w:rPr>
        <w:t>ny</w:t>
      </w:r>
      <w:r w:rsidR="00A235C8" w:rsidRPr="007C5A1B">
        <w:rPr>
          <w:rFonts w:cstheme="minorHAnsi"/>
          <w:sz w:val="24"/>
          <w:szCs w:val="24"/>
        </w:rPr>
        <w:t xml:space="preserve"> projekty přinášející pro rozvoj rekreační plavby největší užitek.</w:t>
      </w:r>
    </w:p>
    <w:p w14:paraId="194FF95D" w14:textId="77777777" w:rsidR="008F79E0" w:rsidRPr="007C5A1B" w:rsidRDefault="00C91D61" w:rsidP="000F68C6">
      <w:pPr>
        <w:tabs>
          <w:tab w:val="left" w:pos="426"/>
        </w:tabs>
        <w:spacing w:after="120" w:line="252" w:lineRule="auto"/>
        <w:jc w:val="both"/>
        <w:rPr>
          <w:rFonts w:cstheme="minorHAnsi"/>
          <w:sz w:val="24"/>
          <w:szCs w:val="24"/>
          <w:vertAlign w:val="superscript"/>
        </w:rPr>
      </w:pPr>
      <w:r w:rsidRPr="007C5A1B">
        <w:rPr>
          <w:rFonts w:eastAsia="Arial Unicode MS" w:cstheme="minorHAnsi"/>
          <w:bCs/>
          <w:sz w:val="24"/>
          <w:szCs w:val="24"/>
        </w:rPr>
        <w:t>4.</w:t>
      </w:r>
      <w:r w:rsidR="00FE3D55" w:rsidRPr="007C5A1B">
        <w:rPr>
          <w:rFonts w:eastAsia="Arial Unicode MS" w:cstheme="minorHAnsi"/>
          <w:bCs/>
          <w:sz w:val="24"/>
          <w:szCs w:val="24"/>
        </w:rPr>
        <w:t>6</w:t>
      </w:r>
      <w:r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902B63" w:rsidRPr="007C5A1B">
        <w:rPr>
          <w:rFonts w:eastAsia="Arial Unicode MS" w:cstheme="minorHAnsi"/>
          <w:bCs/>
          <w:sz w:val="24"/>
          <w:szCs w:val="24"/>
        </w:rPr>
        <w:t xml:space="preserve">Podle </w:t>
      </w:r>
      <w:r w:rsidR="008F79E0" w:rsidRPr="007C5A1B">
        <w:rPr>
          <w:rFonts w:eastAsia="Arial Unicode MS" w:cstheme="minorHAnsi"/>
          <w:bCs/>
          <w:sz w:val="24"/>
          <w:szCs w:val="24"/>
        </w:rPr>
        <w:t xml:space="preserve">opatření stanovených v </w:t>
      </w:r>
      <w:r w:rsidR="00902B63" w:rsidRPr="00972D33">
        <w:rPr>
          <w:rFonts w:eastAsia="Arial Unicode MS" w:cstheme="minorHAnsi"/>
          <w:bCs/>
          <w:sz w:val="24"/>
          <w:szCs w:val="24"/>
        </w:rPr>
        <w:t>Dopravní politi</w:t>
      </w:r>
      <w:r w:rsidR="008F79E0" w:rsidRPr="00972D33">
        <w:rPr>
          <w:rFonts w:eastAsia="Arial Unicode MS" w:cstheme="minorHAnsi"/>
          <w:bCs/>
          <w:sz w:val="24"/>
          <w:szCs w:val="24"/>
        </w:rPr>
        <w:t>ce</w:t>
      </w:r>
      <w:r w:rsidR="00902B63" w:rsidRPr="007C5A1B">
        <w:rPr>
          <w:rStyle w:val="Znakapoznpodarou"/>
          <w:rFonts w:cstheme="minorHAnsi"/>
          <w:sz w:val="24"/>
          <w:szCs w:val="24"/>
        </w:rPr>
        <w:footnoteReference w:id="14"/>
      </w:r>
      <w:r w:rsidR="00902B63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5C6079" w:rsidRPr="007C5A1B">
        <w:rPr>
          <w:rFonts w:eastAsia="Arial Unicode MS" w:cstheme="minorHAnsi"/>
          <w:bCs/>
          <w:sz w:val="24"/>
          <w:szCs w:val="24"/>
        </w:rPr>
        <w:t>má</w:t>
      </w:r>
      <w:r w:rsidR="00902B63" w:rsidRPr="007C5A1B">
        <w:rPr>
          <w:rFonts w:eastAsia="Arial Unicode MS" w:cstheme="minorHAnsi"/>
          <w:bCs/>
          <w:sz w:val="24"/>
          <w:szCs w:val="24"/>
        </w:rPr>
        <w:t xml:space="preserve"> MD </w:t>
      </w:r>
      <w:r w:rsidR="008F79E0" w:rsidRPr="007C5A1B">
        <w:rPr>
          <w:rFonts w:eastAsia="Arial Unicode MS" w:cstheme="minorHAnsi"/>
          <w:bCs/>
          <w:sz w:val="24"/>
          <w:szCs w:val="24"/>
        </w:rPr>
        <w:t xml:space="preserve">plánovat rozvoj dopravní infrastruktury s ohledem na potřeby rozvoje cestovního ruchu, </w:t>
      </w:r>
      <w:r w:rsidR="00902B63" w:rsidRPr="007C5A1B">
        <w:rPr>
          <w:rFonts w:eastAsia="Arial Unicode MS" w:cstheme="minorHAnsi"/>
          <w:bCs/>
          <w:sz w:val="24"/>
          <w:szCs w:val="24"/>
        </w:rPr>
        <w:t xml:space="preserve">připravovat projekty dobudování infrastruktury pro rekreační plavbu podle harmonogramu </w:t>
      </w:r>
      <w:r w:rsidR="00E27708" w:rsidRPr="007C5A1B">
        <w:rPr>
          <w:rFonts w:eastAsia="Arial Unicode MS" w:cstheme="minorHAnsi"/>
          <w:bCs/>
          <w:sz w:val="24"/>
          <w:szCs w:val="24"/>
        </w:rPr>
        <w:t xml:space="preserve">stanoveného </w:t>
      </w:r>
      <w:r w:rsidR="00902B63" w:rsidRPr="007C5A1B">
        <w:rPr>
          <w:rFonts w:eastAsia="Arial Unicode MS" w:cstheme="minorHAnsi"/>
          <w:bCs/>
          <w:sz w:val="24"/>
          <w:szCs w:val="24"/>
        </w:rPr>
        <w:t>v</w:t>
      </w:r>
      <w:r w:rsidR="000342DC">
        <w:rPr>
          <w:rFonts w:eastAsia="Arial Unicode MS" w:cstheme="minorHAnsi"/>
          <w:bCs/>
          <w:sz w:val="24"/>
          <w:szCs w:val="24"/>
        </w:rPr>
        <w:t> </w:t>
      </w:r>
      <w:r w:rsidR="00902B63" w:rsidRPr="007C5A1B">
        <w:rPr>
          <w:rFonts w:eastAsia="Arial Unicode MS" w:cstheme="minorHAnsi"/>
          <w:bCs/>
          <w:i/>
          <w:sz w:val="24"/>
          <w:szCs w:val="24"/>
        </w:rPr>
        <w:t>Dopravních sektorových strategiích, 2. fáze</w:t>
      </w:r>
      <w:r w:rsidR="00F6106B" w:rsidRPr="007C5A1B">
        <w:rPr>
          <w:rFonts w:cstheme="minorHAnsi"/>
          <w:sz w:val="24"/>
          <w:szCs w:val="24"/>
          <w:vertAlign w:val="superscript"/>
        </w:rPr>
        <w:footnoteReference w:id="15"/>
      </w:r>
      <w:r w:rsidR="005F1188" w:rsidRPr="007C5A1B">
        <w:rPr>
          <w:rFonts w:eastAsia="Arial Unicode MS" w:cstheme="minorHAnsi"/>
          <w:bCs/>
          <w:sz w:val="24"/>
          <w:szCs w:val="24"/>
        </w:rPr>
        <w:t>. V</w:t>
      </w:r>
      <w:r w:rsidR="00902B63" w:rsidRPr="007C5A1B">
        <w:rPr>
          <w:rFonts w:eastAsia="Arial Unicode MS" w:cstheme="minorHAnsi"/>
          <w:bCs/>
          <w:sz w:val="24"/>
          <w:szCs w:val="24"/>
        </w:rPr>
        <w:t xml:space="preserve"> rámci DSS2 mělo </w:t>
      </w:r>
      <w:r w:rsidR="0064658F" w:rsidRPr="007C5A1B">
        <w:rPr>
          <w:rFonts w:eastAsia="Arial Unicode MS" w:cstheme="minorHAnsi"/>
          <w:bCs/>
          <w:sz w:val="24"/>
          <w:szCs w:val="24"/>
        </w:rPr>
        <w:t xml:space="preserve">MD </w:t>
      </w:r>
      <w:r w:rsidR="00902B63" w:rsidRPr="007C5A1B">
        <w:rPr>
          <w:rFonts w:eastAsia="Arial Unicode MS" w:cstheme="minorHAnsi"/>
          <w:bCs/>
          <w:sz w:val="24"/>
          <w:szCs w:val="24"/>
        </w:rPr>
        <w:t>přehodnocovat parametry připravovaných staveb s ohledem na efektivnost projektů</w:t>
      </w:r>
      <w:r w:rsidR="008F79E0" w:rsidRPr="007C5A1B">
        <w:rPr>
          <w:rFonts w:eastAsia="Arial Unicode MS" w:cstheme="minorHAnsi"/>
          <w:bCs/>
          <w:sz w:val="24"/>
          <w:szCs w:val="24"/>
        </w:rPr>
        <w:t xml:space="preserve">. </w:t>
      </w:r>
      <w:r w:rsidR="00C36C91" w:rsidRPr="007C5A1B">
        <w:rPr>
          <w:rFonts w:eastAsia="Arial Unicode MS" w:cstheme="minorHAnsi"/>
          <w:bCs/>
          <w:sz w:val="24"/>
          <w:szCs w:val="24"/>
        </w:rPr>
        <w:t>Postupovat podle harmonogramu v DSS2 p</w:t>
      </w:r>
      <w:r w:rsidR="005A7FAB" w:rsidRPr="007C5A1B">
        <w:rPr>
          <w:rFonts w:eastAsia="Arial Unicode MS" w:cstheme="minorHAnsi"/>
          <w:bCs/>
          <w:sz w:val="24"/>
          <w:szCs w:val="24"/>
        </w:rPr>
        <w:t xml:space="preserve">ři přípravě infrastrukturních projektů pro rekreační plavbu </w:t>
      </w:r>
      <w:r w:rsidR="00CC2F77" w:rsidRPr="007C5A1B">
        <w:rPr>
          <w:rFonts w:eastAsia="Arial Unicode MS" w:cstheme="minorHAnsi"/>
          <w:bCs/>
          <w:sz w:val="24"/>
          <w:szCs w:val="24"/>
        </w:rPr>
        <w:t>má</w:t>
      </w:r>
      <w:r w:rsidR="00C36C91" w:rsidRPr="007C5A1B">
        <w:rPr>
          <w:rFonts w:eastAsia="Arial Unicode MS" w:cstheme="minorHAnsi"/>
          <w:bCs/>
          <w:sz w:val="24"/>
          <w:szCs w:val="24"/>
        </w:rPr>
        <w:t xml:space="preserve"> MD </w:t>
      </w:r>
      <w:r w:rsidR="005A7FAB" w:rsidRPr="007C5A1B">
        <w:rPr>
          <w:rFonts w:eastAsia="Arial Unicode MS" w:cstheme="minorHAnsi"/>
          <w:bCs/>
          <w:sz w:val="24"/>
          <w:szCs w:val="24"/>
        </w:rPr>
        <w:t>i</w:t>
      </w:r>
      <w:r w:rsidR="000342DC">
        <w:rPr>
          <w:rFonts w:eastAsia="Arial Unicode MS" w:cstheme="minorHAnsi"/>
          <w:bCs/>
          <w:sz w:val="24"/>
          <w:szCs w:val="24"/>
        </w:rPr>
        <w:t> </w:t>
      </w:r>
      <w:r w:rsidR="00C36C91" w:rsidRPr="007C5A1B">
        <w:rPr>
          <w:rFonts w:eastAsia="Arial Unicode MS" w:cstheme="minorHAnsi"/>
          <w:bCs/>
          <w:sz w:val="24"/>
          <w:szCs w:val="24"/>
        </w:rPr>
        <w:t xml:space="preserve">podle </w:t>
      </w:r>
      <w:r w:rsidR="005A7FAB" w:rsidRPr="007C5A1B">
        <w:rPr>
          <w:rFonts w:eastAsia="Arial Unicode MS" w:cstheme="minorHAnsi"/>
          <w:bCs/>
          <w:sz w:val="24"/>
          <w:szCs w:val="24"/>
        </w:rPr>
        <w:t>nov</w:t>
      </w:r>
      <w:r w:rsidR="00C36C91" w:rsidRPr="007C5A1B">
        <w:rPr>
          <w:rFonts w:eastAsia="Arial Unicode MS" w:cstheme="minorHAnsi"/>
          <w:bCs/>
          <w:sz w:val="24"/>
          <w:szCs w:val="24"/>
        </w:rPr>
        <w:t>é</w:t>
      </w:r>
      <w:r w:rsidR="005A7FAB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5A7FAB" w:rsidRPr="00972D33">
        <w:rPr>
          <w:rFonts w:eastAsia="Arial Unicode MS" w:cstheme="minorHAnsi"/>
          <w:bCs/>
          <w:sz w:val="24"/>
          <w:szCs w:val="24"/>
        </w:rPr>
        <w:t>Dopravní politik</w:t>
      </w:r>
      <w:r w:rsidR="00C36C91" w:rsidRPr="00972D33">
        <w:rPr>
          <w:rFonts w:eastAsia="Arial Unicode MS" w:cstheme="minorHAnsi"/>
          <w:bCs/>
          <w:sz w:val="24"/>
          <w:szCs w:val="24"/>
        </w:rPr>
        <w:t>y</w:t>
      </w:r>
      <w:r w:rsidR="005A7FAB" w:rsidRPr="007C5A1B">
        <w:rPr>
          <w:rStyle w:val="Znakapoznpodarou"/>
          <w:rFonts w:cstheme="minorHAnsi"/>
          <w:sz w:val="24"/>
          <w:szCs w:val="24"/>
        </w:rPr>
        <w:footnoteReference w:id="16"/>
      </w:r>
      <w:r w:rsidR="005A7FAB" w:rsidRPr="007C5A1B">
        <w:rPr>
          <w:rFonts w:eastAsia="Arial Unicode MS" w:cstheme="minorHAnsi"/>
          <w:bCs/>
          <w:sz w:val="24"/>
          <w:szCs w:val="24"/>
        </w:rPr>
        <w:t>.</w:t>
      </w:r>
    </w:p>
    <w:p w14:paraId="2C1E1DBB" w14:textId="53D402B1" w:rsidR="00BC610B" w:rsidRPr="007C5A1B" w:rsidRDefault="004F53FA" w:rsidP="000F68C6">
      <w:pPr>
        <w:spacing w:after="120" w:line="252" w:lineRule="auto"/>
        <w:jc w:val="both"/>
        <w:rPr>
          <w:rFonts w:eastAsia="Arial Unicode MS" w:cstheme="minorHAnsi"/>
          <w:bCs/>
          <w:sz w:val="24"/>
          <w:szCs w:val="24"/>
        </w:rPr>
      </w:pPr>
      <w:r w:rsidRPr="007C5A1B">
        <w:rPr>
          <w:rFonts w:eastAsia="Arial Unicode MS" w:cstheme="minorHAnsi"/>
          <w:bCs/>
          <w:sz w:val="24"/>
          <w:szCs w:val="24"/>
        </w:rPr>
        <w:t>4.</w:t>
      </w:r>
      <w:r w:rsidR="00FE3D55" w:rsidRPr="007C5A1B">
        <w:rPr>
          <w:rFonts w:eastAsia="Arial Unicode MS" w:cstheme="minorHAnsi"/>
          <w:bCs/>
          <w:sz w:val="24"/>
          <w:szCs w:val="24"/>
        </w:rPr>
        <w:t>7</w:t>
      </w:r>
      <w:r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F6106B" w:rsidRPr="007C5A1B">
        <w:rPr>
          <w:rFonts w:eastAsia="Arial Unicode MS" w:cstheme="minorHAnsi"/>
          <w:bCs/>
          <w:sz w:val="24"/>
          <w:szCs w:val="24"/>
        </w:rPr>
        <w:t>MD deklar</w:t>
      </w:r>
      <w:r w:rsidR="00C36C91" w:rsidRPr="007C5A1B">
        <w:rPr>
          <w:rFonts w:eastAsia="Arial Unicode MS" w:cstheme="minorHAnsi"/>
          <w:bCs/>
          <w:sz w:val="24"/>
          <w:szCs w:val="24"/>
        </w:rPr>
        <w:t>ovalo</w:t>
      </w:r>
      <w:r w:rsidR="00F6106B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8D5092" w:rsidRPr="007C5A1B">
        <w:rPr>
          <w:rFonts w:eastAsia="Arial Unicode MS" w:cstheme="minorHAnsi"/>
          <w:bCs/>
          <w:sz w:val="24"/>
          <w:szCs w:val="24"/>
        </w:rPr>
        <w:t xml:space="preserve">DSS2 </w:t>
      </w:r>
      <w:r w:rsidR="00F6106B" w:rsidRPr="007C5A1B">
        <w:rPr>
          <w:rFonts w:eastAsia="Arial Unicode MS" w:cstheme="minorHAnsi"/>
          <w:bCs/>
          <w:sz w:val="24"/>
          <w:szCs w:val="24"/>
        </w:rPr>
        <w:t>jako základní resortní koncepci</w:t>
      </w:r>
      <w:r w:rsidR="008D5092" w:rsidRPr="007C5A1B">
        <w:rPr>
          <w:rFonts w:eastAsia="Arial Unicode MS" w:cstheme="minorHAnsi"/>
          <w:bCs/>
          <w:sz w:val="24"/>
          <w:szCs w:val="24"/>
        </w:rPr>
        <w:t>, v níž</w:t>
      </w:r>
      <w:r w:rsidR="00F6106B" w:rsidRPr="007C5A1B">
        <w:rPr>
          <w:rFonts w:eastAsia="Arial Unicode MS" w:cstheme="minorHAnsi"/>
          <w:bCs/>
          <w:sz w:val="24"/>
          <w:szCs w:val="24"/>
        </w:rPr>
        <w:t xml:space="preserve"> formuluj</w:t>
      </w:r>
      <w:r w:rsidR="008D5092" w:rsidRPr="007C5A1B">
        <w:rPr>
          <w:rFonts w:eastAsia="Arial Unicode MS" w:cstheme="minorHAnsi"/>
          <w:bCs/>
          <w:sz w:val="24"/>
          <w:szCs w:val="24"/>
        </w:rPr>
        <w:t>e</w:t>
      </w:r>
      <w:r w:rsidR="00F6106B" w:rsidRPr="007C5A1B">
        <w:rPr>
          <w:rFonts w:eastAsia="Arial Unicode MS" w:cstheme="minorHAnsi"/>
          <w:bCs/>
          <w:sz w:val="24"/>
          <w:szCs w:val="24"/>
        </w:rPr>
        <w:t xml:space="preserve"> priority a cíle v oblasti rozvoje dopravy a dopravní infrastruktury</w:t>
      </w:r>
      <w:r w:rsidR="005C6079" w:rsidRPr="007C5A1B">
        <w:rPr>
          <w:rFonts w:eastAsia="Arial Unicode MS" w:cstheme="minorHAnsi"/>
          <w:bCs/>
          <w:sz w:val="24"/>
          <w:szCs w:val="24"/>
        </w:rPr>
        <w:t xml:space="preserve"> v návaznosti na </w:t>
      </w:r>
      <w:r w:rsidR="005C6079" w:rsidRPr="00972D33">
        <w:rPr>
          <w:rFonts w:eastAsia="Arial Unicode MS" w:cstheme="minorHAnsi"/>
          <w:bCs/>
          <w:sz w:val="24"/>
          <w:szCs w:val="24"/>
        </w:rPr>
        <w:t>Dopravní politiku</w:t>
      </w:r>
      <w:r w:rsidR="009908AA" w:rsidRPr="007C5A1B">
        <w:rPr>
          <w:rFonts w:eastAsia="Arial Unicode MS" w:cstheme="minorHAnsi"/>
          <w:bCs/>
          <w:sz w:val="24"/>
          <w:szCs w:val="24"/>
        </w:rPr>
        <w:t xml:space="preserve">. </w:t>
      </w:r>
      <w:r w:rsidR="004A4FFE" w:rsidRPr="007C5A1B">
        <w:rPr>
          <w:rFonts w:eastAsia="Arial Unicode MS" w:cstheme="minorHAnsi"/>
          <w:bCs/>
          <w:sz w:val="24"/>
          <w:szCs w:val="24"/>
        </w:rPr>
        <w:t xml:space="preserve">V analytické části DSS2 pro vodní dopravu </w:t>
      </w:r>
      <w:r w:rsidR="00DF5970" w:rsidRPr="007C5A1B">
        <w:rPr>
          <w:rFonts w:eastAsia="Arial Unicode MS" w:cstheme="minorHAnsi"/>
          <w:bCs/>
          <w:sz w:val="24"/>
          <w:szCs w:val="24"/>
        </w:rPr>
        <w:t>stanovilo</w:t>
      </w:r>
      <w:r w:rsidR="004A4FFE" w:rsidRPr="007C5A1B">
        <w:rPr>
          <w:rFonts w:eastAsia="Arial Unicode MS" w:cstheme="minorHAnsi"/>
          <w:bCs/>
          <w:sz w:val="24"/>
          <w:szCs w:val="24"/>
        </w:rPr>
        <w:t xml:space="preserve"> sedm specifických cílů, mj. specifický cíl 3.6 </w:t>
      </w:r>
      <w:r w:rsidR="004A4FFE" w:rsidRPr="007C5A1B">
        <w:rPr>
          <w:rFonts w:eastAsia="Arial Unicode MS" w:cstheme="minorHAnsi"/>
          <w:bCs/>
          <w:i/>
          <w:sz w:val="24"/>
          <w:szCs w:val="24"/>
        </w:rPr>
        <w:t>Širší rekreační využívání vodních cest</w:t>
      </w:r>
      <w:r w:rsidR="004A4FFE" w:rsidRPr="007C5A1B">
        <w:rPr>
          <w:rFonts w:eastAsia="Arial Unicode MS" w:cstheme="minorHAnsi"/>
          <w:bCs/>
          <w:sz w:val="24"/>
          <w:szCs w:val="24"/>
        </w:rPr>
        <w:t xml:space="preserve">. Plnění těchto cílů má být dosaženo realizací opatření řešících identifikované nedostatky. </w:t>
      </w:r>
      <w:r w:rsidR="00261AD5" w:rsidRPr="007C5A1B">
        <w:rPr>
          <w:rFonts w:eastAsia="Arial Unicode MS" w:cstheme="minorHAnsi"/>
          <w:bCs/>
          <w:sz w:val="24"/>
          <w:szCs w:val="24"/>
        </w:rPr>
        <w:t>Tato opatření (p</w:t>
      </w:r>
      <w:r w:rsidR="004A4FFE" w:rsidRPr="007C5A1B">
        <w:rPr>
          <w:rFonts w:eastAsia="Arial Unicode MS" w:cstheme="minorHAnsi"/>
          <w:bCs/>
          <w:sz w:val="24"/>
          <w:szCs w:val="24"/>
        </w:rPr>
        <w:t>rojekty a záměry</w:t>
      </w:r>
      <w:r w:rsidR="00261AD5" w:rsidRPr="007C5A1B">
        <w:rPr>
          <w:rFonts w:eastAsia="Arial Unicode MS" w:cstheme="minorHAnsi"/>
          <w:bCs/>
          <w:sz w:val="24"/>
          <w:szCs w:val="24"/>
        </w:rPr>
        <w:t>)</w:t>
      </w:r>
      <w:r w:rsidR="004A4FFE" w:rsidRPr="007C5A1B">
        <w:rPr>
          <w:rFonts w:eastAsia="Arial Unicode MS" w:cstheme="minorHAnsi"/>
          <w:bCs/>
          <w:sz w:val="24"/>
          <w:szCs w:val="24"/>
        </w:rPr>
        <w:t xml:space="preserve"> jsou </w:t>
      </w:r>
      <w:r w:rsidR="00A235C8" w:rsidRPr="007C5A1B">
        <w:rPr>
          <w:rFonts w:eastAsia="Arial Unicode MS" w:cstheme="minorHAnsi"/>
          <w:bCs/>
          <w:sz w:val="24"/>
          <w:szCs w:val="24"/>
        </w:rPr>
        <w:t xml:space="preserve">v DSS2 </w:t>
      </w:r>
      <w:r w:rsidR="004A4FFE" w:rsidRPr="007C5A1B">
        <w:rPr>
          <w:rFonts w:eastAsia="Arial Unicode MS" w:cstheme="minorHAnsi"/>
          <w:bCs/>
          <w:sz w:val="24"/>
          <w:szCs w:val="24"/>
        </w:rPr>
        <w:t>členěn</w:t>
      </w:r>
      <w:r w:rsidR="00261AD5" w:rsidRPr="007C5A1B">
        <w:rPr>
          <w:rFonts w:eastAsia="Arial Unicode MS" w:cstheme="minorHAnsi"/>
          <w:bCs/>
          <w:sz w:val="24"/>
          <w:szCs w:val="24"/>
        </w:rPr>
        <w:t>a</w:t>
      </w:r>
      <w:r w:rsidR="004A4FFE" w:rsidRPr="007C5A1B">
        <w:rPr>
          <w:rFonts w:eastAsia="Arial Unicode MS" w:cstheme="minorHAnsi"/>
          <w:bCs/>
          <w:sz w:val="24"/>
          <w:szCs w:val="24"/>
        </w:rPr>
        <w:t xml:space="preserve"> do několika úrovní „balíčků“ a v návrhové části pak do funkčně propojených skupin vzájemně souvisejících </w:t>
      </w:r>
      <w:r w:rsidR="004A4FFE" w:rsidRPr="007C5A1B">
        <w:rPr>
          <w:rFonts w:eastAsia="Arial Unicode MS" w:cstheme="minorHAnsi"/>
          <w:bCs/>
          <w:sz w:val="24"/>
          <w:szCs w:val="24"/>
        </w:rPr>
        <w:lastRenderedPageBreak/>
        <w:t>projektů</w:t>
      </w:r>
      <w:r w:rsidR="00C36C91" w:rsidRPr="007C5A1B">
        <w:rPr>
          <w:rFonts w:eastAsia="Arial Unicode MS" w:cstheme="minorHAnsi"/>
          <w:bCs/>
          <w:sz w:val="24"/>
          <w:szCs w:val="24"/>
        </w:rPr>
        <w:t xml:space="preserve">, </w:t>
      </w:r>
      <w:r w:rsidR="004A4FFE" w:rsidRPr="007C5A1B">
        <w:rPr>
          <w:rFonts w:eastAsia="Arial Unicode MS" w:cstheme="minorHAnsi"/>
          <w:bCs/>
          <w:sz w:val="24"/>
          <w:szCs w:val="24"/>
        </w:rPr>
        <w:t>tzv. clusterů. Součástí DSS2 je rovněž harmonogram, v němž jsou prioritním projektům přiřazeny časové a finanční parametry včetně zdrojů jejich financování.</w:t>
      </w:r>
      <w:r w:rsidR="004247E0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BC610B" w:rsidRPr="007C5A1B">
        <w:rPr>
          <w:rFonts w:eastAsia="Arial Unicode MS" w:cstheme="minorHAnsi"/>
          <w:bCs/>
          <w:sz w:val="24"/>
          <w:szCs w:val="24"/>
        </w:rPr>
        <w:t xml:space="preserve">MD v DSS2 </w:t>
      </w:r>
      <w:r w:rsidR="00261AD5" w:rsidRPr="007C5A1B">
        <w:rPr>
          <w:rFonts w:eastAsia="Arial Unicode MS" w:cstheme="minorHAnsi"/>
          <w:bCs/>
          <w:sz w:val="24"/>
          <w:szCs w:val="24"/>
        </w:rPr>
        <w:t xml:space="preserve">identifikovalo nedostatky na vodní cestě a stanovilo </w:t>
      </w:r>
      <w:r w:rsidR="00F836C1" w:rsidRPr="007C5A1B">
        <w:rPr>
          <w:rFonts w:eastAsia="Arial Unicode MS" w:cstheme="minorHAnsi"/>
          <w:bCs/>
          <w:sz w:val="24"/>
          <w:szCs w:val="24"/>
        </w:rPr>
        <w:t xml:space="preserve">89 </w:t>
      </w:r>
      <w:r w:rsidR="00F07D18" w:rsidRPr="007C5A1B">
        <w:rPr>
          <w:rFonts w:eastAsia="Arial Unicode MS" w:cstheme="minorHAnsi"/>
          <w:bCs/>
          <w:sz w:val="24"/>
          <w:szCs w:val="24"/>
        </w:rPr>
        <w:t>opatření</w:t>
      </w:r>
      <w:r w:rsidR="00261AD5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5C6079" w:rsidRPr="007C5A1B">
        <w:rPr>
          <w:rFonts w:eastAsia="Arial Unicode MS" w:cstheme="minorHAnsi"/>
          <w:bCs/>
          <w:sz w:val="24"/>
          <w:szCs w:val="24"/>
        </w:rPr>
        <w:t>(projekt</w:t>
      </w:r>
      <w:r w:rsidR="003337C1" w:rsidRPr="007C5A1B">
        <w:rPr>
          <w:rFonts w:eastAsia="Arial Unicode MS" w:cstheme="minorHAnsi"/>
          <w:bCs/>
          <w:sz w:val="24"/>
          <w:szCs w:val="24"/>
        </w:rPr>
        <w:t>ů</w:t>
      </w:r>
      <w:r w:rsidR="005C6079" w:rsidRPr="007C5A1B">
        <w:rPr>
          <w:rFonts w:eastAsia="Arial Unicode MS" w:cstheme="minorHAnsi"/>
          <w:bCs/>
          <w:sz w:val="24"/>
          <w:szCs w:val="24"/>
        </w:rPr>
        <w:t xml:space="preserve"> a záměr</w:t>
      </w:r>
      <w:r w:rsidR="003337C1" w:rsidRPr="007C5A1B">
        <w:rPr>
          <w:rFonts w:eastAsia="Arial Unicode MS" w:cstheme="minorHAnsi"/>
          <w:bCs/>
          <w:sz w:val="24"/>
          <w:szCs w:val="24"/>
        </w:rPr>
        <w:t>ů</w:t>
      </w:r>
      <w:r w:rsidR="005C6079" w:rsidRPr="007C5A1B">
        <w:rPr>
          <w:rFonts w:eastAsia="Arial Unicode MS" w:cstheme="minorHAnsi"/>
          <w:bCs/>
          <w:sz w:val="24"/>
          <w:szCs w:val="24"/>
        </w:rPr>
        <w:t xml:space="preserve">) </w:t>
      </w:r>
      <w:r w:rsidR="00261AD5" w:rsidRPr="007C5A1B">
        <w:rPr>
          <w:rFonts w:eastAsia="Arial Unicode MS" w:cstheme="minorHAnsi"/>
          <w:bCs/>
          <w:sz w:val="24"/>
          <w:szCs w:val="24"/>
        </w:rPr>
        <w:t>pro jejich odstranění</w:t>
      </w:r>
      <w:r w:rsidR="00F836C1" w:rsidRPr="007C5A1B">
        <w:rPr>
          <w:rFonts w:eastAsia="Arial Unicode MS" w:cstheme="minorHAnsi"/>
          <w:bCs/>
          <w:sz w:val="24"/>
          <w:szCs w:val="24"/>
        </w:rPr>
        <w:t xml:space="preserve">. </w:t>
      </w:r>
      <w:r w:rsidR="0021439B" w:rsidRPr="007C5A1B">
        <w:rPr>
          <w:rFonts w:eastAsia="Arial Unicode MS" w:cstheme="minorHAnsi"/>
          <w:bCs/>
          <w:sz w:val="24"/>
          <w:szCs w:val="24"/>
        </w:rPr>
        <w:t>U jednotlivých opatření sice uved</w:t>
      </w:r>
      <w:r w:rsidR="005C6079" w:rsidRPr="007C5A1B">
        <w:rPr>
          <w:rFonts w:eastAsia="Arial Unicode MS" w:cstheme="minorHAnsi"/>
          <w:bCs/>
          <w:sz w:val="24"/>
          <w:szCs w:val="24"/>
        </w:rPr>
        <w:t>l</w:t>
      </w:r>
      <w:r w:rsidR="0021439B" w:rsidRPr="007C5A1B">
        <w:rPr>
          <w:rFonts w:eastAsia="Arial Unicode MS" w:cstheme="minorHAnsi"/>
          <w:bCs/>
          <w:sz w:val="24"/>
          <w:szCs w:val="24"/>
        </w:rPr>
        <w:t xml:space="preserve">o, kterou skupinu nedostatků řeší, není </w:t>
      </w:r>
      <w:r w:rsidR="005F1188" w:rsidRPr="007C5A1B">
        <w:rPr>
          <w:rFonts w:eastAsia="Arial Unicode MS" w:cstheme="minorHAnsi"/>
          <w:bCs/>
          <w:sz w:val="24"/>
          <w:szCs w:val="24"/>
        </w:rPr>
        <w:t xml:space="preserve">ale </w:t>
      </w:r>
      <w:r w:rsidR="0021439B" w:rsidRPr="007C5A1B">
        <w:rPr>
          <w:rFonts w:eastAsia="Arial Unicode MS" w:cstheme="minorHAnsi"/>
          <w:bCs/>
          <w:sz w:val="24"/>
          <w:szCs w:val="24"/>
        </w:rPr>
        <w:t xml:space="preserve">zřejmé, nakolik a v kombinaci s jakými dalšími opatřeními ji řeší. Rovněž není zřejmé, která opatření řeší problémy celé vodní dopravy, která jsou prioritní pro nákladní dopravu a která pro rekreační plavbu, resp. osobní lodní dopravu. Některá opatření nejsou dostatečně konkretizována a nelze je jednoznačně přiřadit konkrétním identifikovaným nedostatkům. </w:t>
      </w:r>
      <w:bookmarkStart w:id="2" w:name="_Hlk86643663"/>
      <w:r w:rsidR="00BC610B" w:rsidRPr="007C5A1B">
        <w:rPr>
          <w:rFonts w:eastAsia="Arial Unicode MS" w:cstheme="minorHAnsi"/>
          <w:bCs/>
          <w:sz w:val="24"/>
          <w:szCs w:val="24"/>
        </w:rPr>
        <w:t>Do clusterů zařadilo</w:t>
      </w:r>
      <w:r w:rsidR="00042A89" w:rsidRPr="00042A89">
        <w:rPr>
          <w:rFonts w:eastAsia="Arial Unicode MS" w:cstheme="minorHAnsi"/>
          <w:bCs/>
          <w:sz w:val="24"/>
          <w:szCs w:val="24"/>
        </w:rPr>
        <w:t xml:space="preserve"> </w:t>
      </w:r>
      <w:r w:rsidR="00042A89" w:rsidRPr="007C5A1B">
        <w:rPr>
          <w:rFonts w:eastAsia="Arial Unicode MS" w:cstheme="minorHAnsi"/>
          <w:bCs/>
          <w:sz w:val="24"/>
          <w:szCs w:val="24"/>
        </w:rPr>
        <w:t>MD</w:t>
      </w:r>
      <w:r w:rsidR="00BC610B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F836C1" w:rsidRPr="007C5A1B">
        <w:rPr>
          <w:rFonts w:eastAsia="Arial Unicode MS" w:cstheme="minorHAnsi"/>
          <w:bCs/>
          <w:sz w:val="24"/>
          <w:szCs w:val="24"/>
        </w:rPr>
        <w:t xml:space="preserve">jen </w:t>
      </w:r>
      <w:r w:rsidR="00BC610B" w:rsidRPr="007C5A1B">
        <w:rPr>
          <w:rFonts w:eastAsia="Arial Unicode MS" w:cstheme="minorHAnsi"/>
          <w:bCs/>
          <w:sz w:val="24"/>
          <w:szCs w:val="24"/>
        </w:rPr>
        <w:t>4</w:t>
      </w:r>
      <w:r w:rsidR="00F836C1" w:rsidRPr="007C5A1B">
        <w:rPr>
          <w:rFonts w:eastAsia="Arial Unicode MS" w:cstheme="minorHAnsi"/>
          <w:bCs/>
          <w:sz w:val="24"/>
          <w:szCs w:val="24"/>
        </w:rPr>
        <w:t>6</w:t>
      </w:r>
      <w:r w:rsidR="00BC610B" w:rsidRPr="007C5A1B">
        <w:rPr>
          <w:rFonts w:eastAsia="Arial Unicode MS" w:cstheme="minorHAnsi"/>
          <w:bCs/>
          <w:sz w:val="24"/>
          <w:szCs w:val="24"/>
        </w:rPr>
        <w:t xml:space="preserve"> z</w:t>
      </w:r>
      <w:r w:rsidR="00261AD5" w:rsidRPr="007C5A1B">
        <w:rPr>
          <w:rFonts w:eastAsia="Arial Unicode MS" w:cstheme="minorHAnsi"/>
          <w:bCs/>
          <w:sz w:val="24"/>
          <w:szCs w:val="24"/>
        </w:rPr>
        <w:t> </w:t>
      </w:r>
      <w:r w:rsidR="00BC610B" w:rsidRPr="007C5A1B">
        <w:rPr>
          <w:rFonts w:eastAsia="Arial Unicode MS" w:cstheme="minorHAnsi"/>
          <w:bCs/>
          <w:sz w:val="24"/>
          <w:szCs w:val="24"/>
        </w:rPr>
        <w:t>89</w:t>
      </w:r>
      <w:r w:rsidR="00261AD5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F07D18" w:rsidRPr="007C5A1B">
        <w:rPr>
          <w:rFonts w:eastAsia="Arial Unicode MS" w:cstheme="minorHAnsi"/>
          <w:bCs/>
          <w:sz w:val="24"/>
          <w:szCs w:val="24"/>
        </w:rPr>
        <w:t>opatření (</w:t>
      </w:r>
      <w:r w:rsidR="00BC610B" w:rsidRPr="007C5A1B">
        <w:rPr>
          <w:rFonts w:eastAsia="Arial Unicode MS" w:cstheme="minorHAnsi"/>
          <w:bCs/>
          <w:sz w:val="24"/>
          <w:szCs w:val="24"/>
        </w:rPr>
        <w:t>projektů</w:t>
      </w:r>
      <w:r w:rsidR="00261AD5" w:rsidRPr="007C5A1B">
        <w:rPr>
          <w:rFonts w:eastAsia="Arial Unicode MS" w:cstheme="minorHAnsi"/>
          <w:bCs/>
          <w:sz w:val="24"/>
          <w:szCs w:val="24"/>
        </w:rPr>
        <w:t xml:space="preserve"> a záměrů</w:t>
      </w:r>
      <w:r w:rsidR="00F07D18" w:rsidRPr="007C5A1B">
        <w:rPr>
          <w:rFonts w:eastAsia="Arial Unicode MS" w:cstheme="minorHAnsi"/>
          <w:bCs/>
          <w:sz w:val="24"/>
          <w:szCs w:val="24"/>
        </w:rPr>
        <w:t>)</w:t>
      </w:r>
      <w:r w:rsidR="00A92E5B" w:rsidRPr="007C5A1B">
        <w:rPr>
          <w:rFonts w:eastAsia="Arial Unicode MS" w:cstheme="minorHAnsi"/>
          <w:bCs/>
          <w:sz w:val="24"/>
          <w:szCs w:val="24"/>
        </w:rPr>
        <w:t>,</w:t>
      </w:r>
      <w:r w:rsidR="00F836C1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C95FA9" w:rsidRPr="007C5A1B">
        <w:rPr>
          <w:rFonts w:eastAsia="Arial Unicode MS" w:cstheme="minorHAnsi"/>
          <w:bCs/>
          <w:sz w:val="24"/>
          <w:szCs w:val="24"/>
        </w:rPr>
        <w:t>do</w:t>
      </w:r>
      <w:r w:rsidR="00F836C1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C95FA9" w:rsidRPr="007C5A1B">
        <w:rPr>
          <w:rFonts w:eastAsia="Arial Unicode MS" w:cstheme="minorHAnsi"/>
          <w:bCs/>
          <w:sz w:val="24"/>
          <w:szCs w:val="24"/>
        </w:rPr>
        <w:t xml:space="preserve">harmonogramu </w:t>
      </w:r>
      <w:r w:rsidR="00F836C1" w:rsidRPr="007C5A1B">
        <w:rPr>
          <w:rFonts w:eastAsia="Arial Unicode MS" w:cstheme="minorHAnsi"/>
          <w:bCs/>
          <w:sz w:val="24"/>
          <w:szCs w:val="24"/>
        </w:rPr>
        <w:t>jen 17</w:t>
      </w:r>
      <w:r w:rsidR="00042A89">
        <w:rPr>
          <w:rFonts w:eastAsia="Arial Unicode MS" w:cstheme="minorHAnsi"/>
          <w:bCs/>
          <w:sz w:val="24"/>
          <w:szCs w:val="24"/>
        </w:rPr>
        <w:t> </w:t>
      </w:r>
      <w:r w:rsidR="00BC610B" w:rsidRPr="007C5A1B">
        <w:rPr>
          <w:rFonts w:eastAsia="Arial Unicode MS" w:cstheme="minorHAnsi"/>
          <w:bCs/>
          <w:sz w:val="24"/>
          <w:szCs w:val="24"/>
        </w:rPr>
        <w:t>z</w:t>
      </w:r>
      <w:r w:rsidR="000342DC">
        <w:rPr>
          <w:rFonts w:eastAsia="Arial Unicode MS" w:cstheme="minorHAnsi"/>
          <w:bCs/>
          <w:sz w:val="24"/>
          <w:szCs w:val="24"/>
        </w:rPr>
        <w:t> </w:t>
      </w:r>
      <w:r w:rsidR="00BC610B" w:rsidRPr="007C5A1B">
        <w:rPr>
          <w:rFonts w:eastAsia="Arial Unicode MS" w:cstheme="minorHAnsi"/>
          <w:bCs/>
          <w:sz w:val="24"/>
          <w:szCs w:val="24"/>
        </w:rPr>
        <w:t>89</w:t>
      </w:r>
      <w:r w:rsidR="000342DC">
        <w:rPr>
          <w:rFonts w:eastAsia="Arial Unicode MS" w:cstheme="minorHAnsi"/>
          <w:bCs/>
          <w:sz w:val="24"/>
          <w:szCs w:val="24"/>
        </w:rPr>
        <w:t> </w:t>
      </w:r>
      <w:r w:rsidR="00F07D18" w:rsidRPr="007C5A1B">
        <w:rPr>
          <w:rFonts w:eastAsia="Arial Unicode MS" w:cstheme="minorHAnsi"/>
          <w:bCs/>
          <w:sz w:val="24"/>
          <w:szCs w:val="24"/>
        </w:rPr>
        <w:t>opatření (</w:t>
      </w:r>
      <w:r w:rsidR="00BC610B" w:rsidRPr="007C5A1B">
        <w:rPr>
          <w:rFonts w:eastAsia="Arial Unicode MS" w:cstheme="minorHAnsi"/>
          <w:bCs/>
          <w:sz w:val="24"/>
          <w:szCs w:val="24"/>
        </w:rPr>
        <w:t>projektů a</w:t>
      </w:r>
      <w:r w:rsidR="00261AD5" w:rsidRPr="007C5A1B">
        <w:rPr>
          <w:rFonts w:eastAsia="Arial Unicode MS" w:cstheme="minorHAnsi"/>
          <w:bCs/>
          <w:sz w:val="24"/>
          <w:szCs w:val="24"/>
        </w:rPr>
        <w:t xml:space="preserve"> záměrů</w:t>
      </w:r>
      <w:r w:rsidR="00F07D18" w:rsidRPr="007C5A1B">
        <w:rPr>
          <w:rFonts w:eastAsia="Arial Unicode MS" w:cstheme="minorHAnsi"/>
          <w:bCs/>
          <w:sz w:val="24"/>
          <w:szCs w:val="24"/>
        </w:rPr>
        <w:t>)</w:t>
      </w:r>
      <w:r w:rsidR="00261AD5" w:rsidRPr="007C5A1B">
        <w:rPr>
          <w:rFonts w:eastAsia="Arial Unicode MS" w:cstheme="minorHAnsi"/>
          <w:bCs/>
          <w:sz w:val="24"/>
          <w:szCs w:val="24"/>
        </w:rPr>
        <w:t xml:space="preserve">. </w:t>
      </w:r>
      <w:bookmarkEnd w:id="2"/>
    </w:p>
    <w:p w14:paraId="1A676A93" w14:textId="27012DD0" w:rsidR="00C66C74" w:rsidRPr="007C5A1B" w:rsidRDefault="004F53FA" w:rsidP="000F68C6">
      <w:pPr>
        <w:spacing w:after="120" w:line="252" w:lineRule="auto"/>
        <w:jc w:val="both"/>
        <w:rPr>
          <w:rFonts w:eastAsia="Arial Unicode MS" w:cstheme="minorHAnsi"/>
          <w:bCs/>
          <w:sz w:val="24"/>
          <w:szCs w:val="24"/>
        </w:rPr>
      </w:pPr>
      <w:r w:rsidRPr="007C5A1B">
        <w:rPr>
          <w:rFonts w:eastAsia="Arial Unicode MS" w:cstheme="minorHAnsi"/>
          <w:bCs/>
          <w:sz w:val="24"/>
          <w:szCs w:val="24"/>
        </w:rPr>
        <w:t>4.</w:t>
      </w:r>
      <w:r w:rsidR="00FE3D55" w:rsidRPr="007C5A1B">
        <w:rPr>
          <w:rFonts w:eastAsia="Arial Unicode MS" w:cstheme="minorHAnsi"/>
          <w:bCs/>
          <w:sz w:val="24"/>
          <w:szCs w:val="24"/>
        </w:rPr>
        <w:t>8</w:t>
      </w:r>
      <w:r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3C6FF2" w:rsidRPr="007C5A1B">
        <w:rPr>
          <w:rFonts w:eastAsia="Arial Unicode MS" w:cstheme="minorHAnsi"/>
          <w:bCs/>
          <w:sz w:val="24"/>
          <w:szCs w:val="24"/>
        </w:rPr>
        <w:t>S</w:t>
      </w:r>
      <w:r w:rsidR="00F91F04" w:rsidRPr="007C5A1B">
        <w:rPr>
          <w:rFonts w:eastAsia="Arial Unicode MS" w:cstheme="minorHAnsi"/>
          <w:bCs/>
          <w:sz w:val="24"/>
          <w:szCs w:val="24"/>
        </w:rPr>
        <w:t>kutečný postup realizace projektů řešících infrastrukturu vodních cest neodpovídá harmonogramu</w:t>
      </w:r>
      <w:r w:rsidR="005C6079" w:rsidRPr="007C5A1B">
        <w:rPr>
          <w:rFonts w:eastAsia="Arial Unicode MS" w:cstheme="minorHAnsi"/>
          <w:bCs/>
          <w:sz w:val="24"/>
          <w:szCs w:val="24"/>
        </w:rPr>
        <w:t>, který MD</w:t>
      </w:r>
      <w:r w:rsidR="00F91F04" w:rsidRPr="007C5A1B">
        <w:rPr>
          <w:rFonts w:eastAsia="Arial Unicode MS" w:cstheme="minorHAnsi"/>
          <w:bCs/>
          <w:sz w:val="24"/>
          <w:szCs w:val="24"/>
        </w:rPr>
        <w:t xml:space="preserve"> stanov</w:t>
      </w:r>
      <w:r w:rsidR="005C6079" w:rsidRPr="007C5A1B">
        <w:rPr>
          <w:rFonts w:eastAsia="Arial Unicode MS" w:cstheme="minorHAnsi"/>
          <w:bCs/>
          <w:sz w:val="24"/>
          <w:szCs w:val="24"/>
        </w:rPr>
        <w:t>ilo</w:t>
      </w:r>
      <w:r w:rsidR="00F91F04" w:rsidRPr="007C5A1B">
        <w:rPr>
          <w:rFonts w:eastAsia="Arial Unicode MS" w:cstheme="minorHAnsi"/>
          <w:bCs/>
          <w:sz w:val="24"/>
          <w:szCs w:val="24"/>
        </w:rPr>
        <w:t xml:space="preserve"> v DSS2. Realizovány jsou jen některé projekty z</w:t>
      </w:r>
      <w:r w:rsidR="000342DC">
        <w:rPr>
          <w:rFonts w:eastAsia="Arial Unicode MS" w:cstheme="minorHAnsi"/>
          <w:bCs/>
          <w:sz w:val="24"/>
          <w:szCs w:val="24"/>
        </w:rPr>
        <w:t> </w:t>
      </w:r>
      <w:r w:rsidR="00F91F04" w:rsidRPr="007C5A1B">
        <w:rPr>
          <w:rFonts w:eastAsia="Arial Unicode MS" w:cstheme="minorHAnsi"/>
          <w:bCs/>
          <w:sz w:val="24"/>
          <w:szCs w:val="24"/>
        </w:rPr>
        <w:t>jednotlivých clusterů, zatímco realizace jiných je od</w:t>
      </w:r>
      <w:r w:rsidR="00C95FA9" w:rsidRPr="007C5A1B">
        <w:rPr>
          <w:rFonts w:eastAsia="Arial Unicode MS" w:cstheme="minorHAnsi"/>
          <w:bCs/>
          <w:sz w:val="24"/>
          <w:szCs w:val="24"/>
        </w:rPr>
        <w:t>kládá</w:t>
      </w:r>
      <w:r w:rsidR="00F91F04" w:rsidRPr="007C5A1B">
        <w:rPr>
          <w:rFonts w:eastAsia="Arial Unicode MS" w:cstheme="minorHAnsi"/>
          <w:bCs/>
          <w:sz w:val="24"/>
          <w:szCs w:val="24"/>
        </w:rPr>
        <w:t>na</w:t>
      </w:r>
      <w:r w:rsidR="00A92E5B" w:rsidRPr="007C5A1B">
        <w:rPr>
          <w:rFonts w:eastAsia="Arial Unicode MS" w:cstheme="minorHAnsi"/>
          <w:bCs/>
          <w:sz w:val="24"/>
          <w:szCs w:val="24"/>
        </w:rPr>
        <w:t>, aniž by bylo zřejmé, kdy budou dokončeny</w:t>
      </w:r>
      <w:r w:rsidR="00F91F04" w:rsidRPr="007C5A1B">
        <w:rPr>
          <w:rFonts w:eastAsia="Arial Unicode MS" w:cstheme="minorHAnsi"/>
          <w:bCs/>
          <w:sz w:val="24"/>
          <w:szCs w:val="24"/>
        </w:rPr>
        <w:t xml:space="preserve">. </w:t>
      </w:r>
      <w:r w:rsidR="00F26A21" w:rsidRPr="007C5A1B">
        <w:rPr>
          <w:rFonts w:eastAsia="Arial Unicode MS" w:cstheme="minorHAnsi"/>
          <w:bCs/>
          <w:sz w:val="24"/>
          <w:szCs w:val="24"/>
        </w:rPr>
        <w:t xml:space="preserve">MD </w:t>
      </w:r>
      <w:r w:rsidR="0055755C" w:rsidRPr="007C5A1B">
        <w:rPr>
          <w:rFonts w:eastAsia="Arial Unicode MS" w:cstheme="minorHAnsi"/>
          <w:bCs/>
          <w:sz w:val="24"/>
          <w:szCs w:val="24"/>
        </w:rPr>
        <w:t xml:space="preserve">harmonogram </w:t>
      </w:r>
      <w:r w:rsidR="00F26A21" w:rsidRPr="007C5A1B">
        <w:rPr>
          <w:rFonts w:eastAsia="Arial Unicode MS" w:cstheme="minorHAnsi"/>
          <w:bCs/>
          <w:sz w:val="24"/>
          <w:szCs w:val="24"/>
        </w:rPr>
        <w:t>neaktualizovalo, přestože v období od schválení DSS2 v roce 2013 do schválení aktualizace DSS2 v únoru 2018 byl</w:t>
      </w:r>
      <w:r w:rsidR="005F1188" w:rsidRPr="007C5A1B">
        <w:rPr>
          <w:rFonts w:eastAsia="Arial Unicode MS" w:cstheme="minorHAnsi"/>
          <w:bCs/>
          <w:sz w:val="24"/>
          <w:szCs w:val="24"/>
        </w:rPr>
        <w:t>y</w:t>
      </w:r>
      <w:r w:rsidR="00F26A21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5C6079" w:rsidRPr="007C5A1B">
        <w:rPr>
          <w:rFonts w:eastAsia="Arial Unicode MS" w:cstheme="minorHAnsi"/>
          <w:bCs/>
          <w:sz w:val="24"/>
          <w:szCs w:val="24"/>
        </w:rPr>
        <w:t>někter</w:t>
      </w:r>
      <w:r w:rsidR="005F1188" w:rsidRPr="007C5A1B">
        <w:rPr>
          <w:rFonts w:eastAsia="Arial Unicode MS" w:cstheme="minorHAnsi"/>
          <w:bCs/>
          <w:sz w:val="24"/>
          <w:szCs w:val="24"/>
        </w:rPr>
        <w:t>é</w:t>
      </w:r>
      <w:r w:rsidR="005C6079" w:rsidRPr="007C5A1B">
        <w:rPr>
          <w:rFonts w:eastAsia="Arial Unicode MS" w:cstheme="minorHAnsi"/>
          <w:bCs/>
          <w:sz w:val="24"/>
          <w:szCs w:val="24"/>
        </w:rPr>
        <w:t xml:space="preserve"> projekt</w:t>
      </w:r>
      <w:r w:rsidR="005F1188" w:rsidRPr="007C5A1B">
        <w:rPr>
          <w:rFonts w:eastAsia="Arial Unicode MS" w:cstheme="minorHAnsi"/>
          <w:bCs/>
          <w:sz w:val="24"/>
          <w:szCs w:val="24"/>
        </w:rPr>
        <w:t>y</w:t>
      </w:r>
      <w:r w:rsidR="005C6079" w:rsidRPr="007C5A1B">
        <w:rPr>
          <w:rFonts w:eastAsia="Arial Unicode MS" w:cstheme="minorHAnsi"/>
          <w:bCs/>
          <w:sz w:val="24"/>
          <w:szCs w:val="24"/>
        </w:rPr>
        <w:t xml:space="preserve"> dokončen</w:t>
      </w:r>
      <w:r w:rsidR="005F1188" w:rsidRPr="007C5A1B">
        <w:rPr>
          <w:rFonts w:eastAsia="Arial Unicode MS" w:cstheme="minorHAnsi"/>
          <w:bCs/>
          <w:sz w:val="24"/>
          <w:szCs w:val="24"/>
        </w:rPr>
        <w:t>y</w:t>
      </w:r>
      <w:r w:rsidR="00F26A21" w:rsidRPr="007C5A1B">
        <w:rPr>
          <w:rFonts w:eastAsia="Arial Unicode MS" w:cstheme="minorHAnsi"/>
          <w:bCs/>
          <w:sz w:val="24"/>
          <w:szCs w:val="24"/>
        </w:rPr>
        <w:t xml:space="preserve"> nebo došlo k</w:t>
      </w:r>
      <w:r w:rsidR="000342DC">
        <w:rPr>
          <w:rFonts w:eastAsia="Arial Unicode MS" w:cstheme="minorHAnsi"/>
          <w:bCs/>
          <w:sz w:val="24"/>
          <w:szCs w:val="24"/>
        </w:rPr>
        <w:t> </w:t>
      </w:r>
      <w:r w:rsidR="00F26A21" w:rsidRPr="007C5A1B">
        <w:rPr>
          <w:rFonts w:eastAsia="Arial Unicode MS" w:cstheme="minorHAnsi"/>
          <w:bCs/>
          <w:sz w:val="24"/>
          <w:szCs w:val="24"/>
        </w:rPr>
        <w:t>významným změnám jejich finančních a časových parametrů.</w:t>
      </w:r>
      <w:r w:rsidR="005C6079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C66C74" w:rsidRPr="007C5A1B">
        <w:rPr>
          <w:rFonts w:cstheme="minorHAnsi"/>
          <w:sz w:val="24"/>
          <w:szCs w:val="24"/>
        </w:rPr>
        <w:t xml:space="preserve">Například projekt </w:t>
      </w:r>
      <w:r w:rsidR="00C66C74" w:rsidRPr="007C5A1B">
        <w:rPr>
          <w:rFonts w:cstheme="minorHAnsi"/>
          <w:i/>
          <w:sz w:val="24"/>
          <w:szCs w:val="24"/>
        </w:rPr>
        <w:t>Dokončení VVC v úseku VD Hněvkovice – Týn nad Vltavou</w:t>
      </w:r>
      <w:r w:rsidR="005163AA" w:rsidRPr="007C5A1B">
        <w:rPr>
          <w:rFonts w:cstheme="minorHAnsi"/>
          <w:sz w:val="24"/>
          <w:szCs w:val="24"/>
        </w:rPr>
        <w:t xml:space="preserve"> </w:t>
      </w:r>
      <w:r w:rsidR="00C66C74" w:rsidRPr="007C5A1B">
        <w:rPr>
          <w:rFonts w:cstheme="minorHAnsi"/>
          <w:sz w:val="24"/>
          <w:szCs w:val="24"/>
        </w:rPr>
        <w:t xml:space="preserve">měl být dle DSS2 </w:t>
      </w:r>
      <w:r w:rsidR="005F1188" w:rsidRPr="007C5A1B">
        <w:rPr>
          <w:rFonts w:cstheme="minorHAnsi"/>
          <w:sz w:val="24"/>
          <w:szCs w:val="24"/>
        </w:rPr>
        <w:t>dokončen</w:t>
      </w:r>
      <w:r w:rsidR="00C66C74" w:rsidRPr="007C5A1B">
        <w:rPr>
          <w:rFonts w:cstheme="minorHAnsi"/>
          <w:sz w:val="24"/>
          <w:szCs w:val="24"/>
        </w:rPr>
        <w:t xml:space="preserve"> v roce 2014 s náklady 361 mil. Kč financovanými ze státního rozpočtu. V listopadu 2009 (tedy čtyři roky před schválením DSS2) </w:t>
      </w:r>
      <w:r w:rsidR="0079351B" w:rsidRPr="007C5A1B">
        <w:rPr>
          <w:rFonts w:cstheme="minorHAnsi"/>
          <w:sz w:val="24"/>
          <w:szCs w:val="24"/>
        </w:rPr>
        <w:t xml:space="preserve">přitom </w:t>
      </w:r>
      <w:r w:rsidR="00C66C74" w:rsidRPr="007C5A1B">
        <w:rPr>
          <w:rFonts w:cstheme="minorHAnsi"/>
          <w:sz w:val="24"/>
          <w:szCs w:val="24"/>
        </w:rPr>
        <w:t xml:space="preserve">MD projekt schválilo </w:t>
      </w:r>
      <w:r w:rsidR="00E27708" w:rsidRPr="007C5A1B">
        <w:rPr>
          <w:rFonts w:cstheme="minorHAnsi"/>
          <w:sz w:val="24"/>
          <w:szCs w:val="24"/>
        </w:rPr>
        <w:t xml:space="preserve">s </w:t>
      </w:r>
      <w:r w:rsidR="00C66C74" w:rsidRPr="007C5A1B">
        <w:rPr>
          <w:rFonts w:cstheme="minorHAnsi"/>
          <w:sz w:val="24"/>
          <w:szCs w:val="24"/>
        </w:rPr>
        <w:t xml:space="preserve">náklady 734 mil. Kč spolufinancovanými z OPD. Podle závěrečné monitorovací zprávy projektu z května 2017 ŘVC projekt </w:t>
      </w:r>
      <w:r w:rsidR="00E27708" w:rsidRPr="007C5A1B">
        <w:rPr>
          <w:rFonts w:cstheme="minorHAnsi"/>
          <w:sz w:val="24"/>
          <w:szCs w:val="24"/>
        </w:rPr>
        <w:t>dokončilo</w:t>
      </w:r>
      <w:r w:rsidR="00C66C74" w:rsidRPr="007C5A1B">
        <w:rPr>
          <w:rFonts w:cstheme="minorHAnsi"/>
          <w:sz w:val="24"/>
          <w:szCs w:val="24"/>
        </w:rPr>
        <w:t xml:space="preserve"> s náklady 457,2 mil. Kč</w:t>
      </w:r>
      <w:r w:rsidR="00615974" w:rsidRPr="007C5A1B">
        <w:rPr>
          <w:rFonts w:cstheme="minorHAnsi"/>
          <w:sz w:val="24"/>
          <w:szCs w:val="24"/>
        </w:rPr>
        <w:t xml:space="preserve"> (vše vč. DPH)</w:t>
      </w:r>
      <w:r w:rsidR="00C66C74" w:rsidRPr="007C5A1B">
        <w:rPr>
          <w:rFonts w:cstheme="minorHAnsi"/>
          <w:sz w:val="24"/>
          <w:szCs w:val="24"/>
        </w:rPr>
        <w:t>.</w:t>
      </w:r>
      <w:r w:rsidR="005F1188" w:rsidRPr="007C5A1B">
        <w:rPr>
          <w:rFonts w:cstheme="minorHAnsi"/>
          <w:sz w:val="24"/>
          <w:szCs w:val="24"/>
        </w:rPr>
        <w:t xml:space="preserve"> </w:t>
      </w:r>
    </w:p>
    <w:p w14:paraId="0C704280" w14:textId="1BC8C9A1" w:rsidR="009F7512" w:rsidRPr="007C5A1B" w:rsidRDefault="004F53FA" w:rsidP="000F68C6">
      <w:pPr>
        <w:spacing w:after="120" w:line="252" w:lineRule="auto"/>
        <w:jc w:val="both"/>
        <w:rPr>
          <w:rFonts w:eastAsia="Arial Unicode MS" w:cstheme="minorHAnsi"/>
          <w:bCs/>
          <w:sz w:val="24"/>
          <w:szCs w:val="24"/>
        </w:rPr>
      </w:pPr>
      <w:r w:rsidRPr="007C5A1B">
        <w:rPr>
          <w:rFonts w:eastAsia="Arial Unicode MS" w:cstheme="minorHAnsi"/>
          <w:bCs/>
          <w:sz w:val="24"/>
          <w:szCs w:val="24"/>
        </w:rPr>
        <w:t>4.</w:t>
      </w:r>
      <w:r w:rsidR="00FE3D55" w:rsidRPr="007C5A1B">
        <w:rPr>
          <w:rFonts w:eastAsia="Arial Unicode MS" w:cstheme="minorHAnsi"/>
          <w:bCs/>
          <w:sz w:val="24"/>
          <w:szCs w:val="24"/>
        </w:rPr>
        <w:t>9</w:t>
      </w:r>
      <w:r w:rsidRPr="007C5A1B">
        <w:rPr>
          <w:rFonts w:eastAsia="Arial Unicode MS" w:cstheme="minorHAnsi"/>
          <w:bCs/>
          <w:sz w:val="24"/>
          <w:szCs w:val="24"/>
        </w:rPr>
        <w:t xml:space="preserve"> </w:t>
      </w:r>
      <w:proofErr w:type="spellStart"/>
      <w:r w:rsidR="005615D8" w:rsidRPr="007C5A1B">
        <w:rPr>
          <w:rFonts w:eastAsia="Arial Unicode MS" w:cstheme="minorHAnsi"/>
          <w:bCs/>
          <w:sz w:val="24"/>
          <w:szCs w:val="24"/>
        </w:rPr>
        <w:t>Prioritizace</w:t>
      </w:r>
      <w:proofErr w:type="spellEnd"/>
      <w:r w:rsidR="005615D8" w:rsidRPr="007C5A1B">
        <w:rPr>
          <w:rFonts w:eastAsia="Arial Unicode MS" w:cstheme="minorHAnsi"/>
          <w:bCs/>
          <w:sz w:val="24"/>
          <w:szCs w:val="24"/>
        </w:rPr>
        <w:t xml:space="preserve"> projektů v DSS2 měla být podkladem pro transparentní přidělování omezených zdrojů </w:t>
      </w:r>
      <w:r w:rsidR="00E27708" w:rsidRPr="007C5A1B">
        <w:rPr>
          <w:rFonts w:eastAsia="Arial Unicode MS" w:cstheme="minorHAnsi"/>
          <w:bCs/>
          <w:sz w:val="24"/>
          <w:szCs w:val="24"/>
        </w:rPr>
        <w:t xml:space="preserve">k </w:t>
      </w:r>
      <w:r w:rsidR="005615D8" w:rsidRPr="007C5A1B">
        <w:rPr>
          <w:rFonts w:eastAsia="Arial Unicode MS" w:cstheme="minorHAnsi"/>
          <w:bCs/>
          <w:sz w:val="24"/>
          <w:szCs w:val="24"/>
        </w:rPr>
        <w:t>financování nejdůležitější</w:t>
      </w:r>
      <w:r w:rsidR="00E27708" w:rsidRPr="007C5A1B">
        <w:rPr>
          <w:rFonts w:eastAsia="Arial Unicode MS" w:cstheme="minorHAnsi"/>
          <w:bCs/>
          <w:sz w:val="24"/>
          <w:szCs w:val="24"/>
        </w:rPr>
        <w:t>ch</w:t>
      </w:r>
      <w:r w:rsidR="005615D8" w:rsidRPr="007C5A1B">
        <w:rPr>
          <w:rFonts w:eastAsia="Arial Unicode MS" w:cstheme="minorHAnsi"/>
          <w:bCs/>
          <w:sz w:val="24"/>
          <w:szCs w:val="24"/>
        </w:rPr>
        <w:t xml:space="preserve"> projektů, tedy zárukou </w:t>
      </w:r>
      <w:r w:rsidR="00C36C91" w:rsidRPr="007C5A1B">
        <w:rPr>
          <w:rFonts w:eastAsia="Arial Unicode MS" w:cstheme="minorHAnsi"/>
          <w:bCs/>
          <w:sz w:val="24"/>
          <w:szCs w:val="24"/>
        </w:rPr>
        <w:t xml:space="preserve">jejich </w:t>
      </w:r>
      <w:r w:rsidR="005615D8" w:rsidRPr="007C5A1B">
        <w:rPr>
          <w:rFonts w:eastAsia="Arial Unicode MS" w:cstheme="minorHAnsi"/>
          <w:bCs/>
          <w:sz w:val="24"/>
          <w:szCs w:val="24"/>
        </w:rPr>
        <w:t>účelné</w:t>
      </w:r>
      <w:r w:rsidR="0060490C" w:rsidRPr="007C5A1B">
        <w:rPr>
          <w:rFonts w:eastAsia="Arial Unicode MS" w:cstheme="minorHAnsi"/>
          <w:bCs/>
          <w:sz w:val="24"/>
          <w:szCs w:val="24"/>
        </w:rPr>
        <w:t>ho</w:t>
      </w:r>
      <w:r w:rsidR="005615D8" w:rsidRPr="007C5A1B">
        <w:rPr>
          <w:rFonts w:eastAsia="Arial Unicode MS" w:cstheme="minorHAnsi"/>
          <w:bCs/>
          <w:sz w:val="24"/>
          <w:szCs w:val="24"/>
        </w:rPr>
        <w:t xml:space="preserve"> a efektivn</w:t>
      </w:r>
      <w:r w:rsidR="0060490C" w:rsidRPr="007C5A1B">
        <w:rPr>
          <w:rFonts w:eastAsia="Arial Unicode MS" w:cstheme="minorHAnsi"/>
          <w:bCs/>
          <w:sz w:val="24"/>
          <w:szCs w:val="24"/>
        </w:rPr>
        <w:t>ího využití</w:t>
      </w:r>
      <w:r w:rsidR="005615D8" w:rsidRPr="007C5A1B">
        <w:rPr>
          <w:rFonts w:eastAsia="Arial Unicode MS" w:cstheme="minorHAnsi"/>
          <w:bCs/>
          <w:sz w:val="24"/>
          <w:szCs w:val="24"/>
        </w:rPr>
        <w:t xml:space="preserve">. </w:t>
      </w:r>
      <w:r w:rsidR="00D8681C">
        <w:rPr>
          <w:rFonts w:eastAsia="Arial Unicode MS" w:cstheme="minorHAnsi"/>
          <w:bCs/>
          <w:sz w:val="24"/>
          <w:szCs w:val="24"/>
        </w:rPr>
        <w:t>Neaktualizování</w:t>
      </w:r>
      <w:r w:rsidR="005615D8" w:rsidRPr="007C5A1B">
        <w:rPr>
          <w:rFonts w:eastAsia="Arial Unicode MS" w:cstheme="minorHAnsi"/>
          <w:bCs/>
          <w:sz w:val="24"/>
          <w:szCs w:val="24"/>
        </w:rPr>
        <w:t xml:space="preserve"> harmonogramu a parametrů projektů v DSS2, resp. realizace projektů mimo </w:t>
      </w:r>
      <w:r w:rsidR="00C36C91" w:rsidRPr="007C5A1B">
        <w:rPr>
          <w:rFonts w:eastAsia="Arial Unicode MS" w:cstheme="minorHAnsi"/>
          <w:bCs/>
          <w:sz w:val="24"/>
          <w:szCs w:val="24"/>
        </w:rPr>
        <w:t xml:space="preserve">tento </w:t>
      </w:r>
      <w:r w:rsidR="005615D8" w:rsidRPr="007C5A1B">
        <w:rPr>
          <w:rFonts w:eastAsia="Arial Unicode MS" w:cstheme="minorHAnsi"/>
          <w:bCs/>
          <w:sz w:val="24"/>
          <w:szCs w:val="24"/>
        </w:rPr>
        <w:t xml:space="preserve">harmonogram </w:t>
      </w:r>
      <w:r w:rsidR="00B72E3C" w:rsidRPr="007C5A1B">
        <w:rPr>
          <w:rFonts w:eastAsia="Arial Unicode MS" w:cstheme="minorHAnsi"/>
          <w:bCs/>
          <w:sz w:val="24"/>
          <w:szCs w:val="24"/>
        </w:rPr>
        <w:t xml:space="preserve">a </w:t>
      </w:r>
      <w:r w:rsidR="005615D8" w:rsidRPr="007C5A1B">
        <w:rPr>
          <w:rFonts w:eastAsia="Arial Unicode MS" w:cstheme="minorHAnsi"/>
          <w:bCs/>
          <w:sz w:val="24"/>
          <w:szCs w:val="24"/>
        </w:rPr>
        <w:t>bez aktualizace priorit, popírá smysl DSS2</w:t>
      </w:r>
      <w:r w:rsidR="00A92E5B" w:rsidRPr="007C5A1B">
        <w:rPr>
          <w:rFonts w:eastAsia="Arial Unicode MS" w:cstheme="minorHAnsi"/>
          <w:bCs/>
          <w:sz w:val="24"/>
          <w:szCs w:val="24"/>
        </w:rPr>
        <w:t>,</w:t>
      </w:r>
      <w:r w:rsidR="005615D8" w:rsidRPr="007C5A1B">
        <w:rPr>
          <w:rFonts w:eastAsia="Arial Unicode MS" w:cstheme="minorHAnsi"/>
          <w:bCs/>
          <w:sz w:val="24"/>
          <w:szCs w:val="24"/>
        </w:rPr>
        <w:t xml:space="preserve"> není v souladu s </w:t>
      </w:r>
      <w:r w:rsidR="005615D8" w:rsidRPr="00972D33">
        <w:rPr>
          <w:rFonts w:eastAsia="Arial Unicode MS" w:cstheme="minorHAnsi"/>
          <w:bCs/>
          <w:sz w:val="24"/>
          <w:szCs w:val="24"/>
        </w:rPr>
        <w:t>Dopravní politikou</w:t>
      </w:r>
      <w:r w:rsidR="00A92E5B" w:rsidRPr="007C5A1B">
        <w:rPr>
          <w:rFonts w:eastAsia="Arial Unicode MS" w:cstheme="minorHAnsi"/>
          <w:bCs/>
          <w:sz w:val="24"/>
          <w:szCs w:val="24"/>
        </w:rPr>
        <w:t xml:space="preserve"> a </w:t>
      </w:r>
      <w:r w:rsidR="00B72E3C" w:rsidRPr="007C5A1B">
        <w:rPr>
          <w:rFonts w:eastAsia="Arial Unicode MS" w:cstheme="minorHAnsi"/>
          <w:bCs/>
          <w:sz w:val="24"/>
          <w:szCs w:val="24"/>
        </w:rPr>
        <w:t>neposkytuje záruku</w:t>
      </w:r>
      <w:r w:rsidR="00A92E5B" w:rsidRPr="007C5A1B">
        <w:rPr>
          <w:rFonts w:eastAsia="Arial Unicode MS" w:cstheme="minorHAnsi"/>
          <w:bCs/>
          <w:sz w:val="24"/>
          <w:szCs w:val="24"/>
        </w:rPr>
        <w:t xml:space="preserve"> účelné</w:t>
      </w:r>
      <w:r w:rsidR="00B72E3C" w:rsidRPr="007C5A1B">
        <w:rPr>
          <w:rFonts w:eastAsia="Arial Unicode MS" w:cstheme="minorHAnsi"/>
          <w:bCs/>
          <w:sz w:val="24"/>
          <w:szCs w:val="24"/>
        </w:rPr>
        <w:t>ho</w:t>
      </w:r>
      <w:r w:rsidR="00A92E5B" w:rsidRPr="007C5A1B">
        <w:rPr>
          <w:rFonts w:eastAsia="Arial Unicode MS" w:cstheme="minorHAnsi"/>
          <w:bCs/>
          <w:sz w:val="24"/>
          <w:szCs w:val="24"/>
        </w:rPr>
        <w:t xml:space="preserve"> a efektivní</w:t>
      </w:r>
      <w:r w:rsidR="00B72E3C" w:rsidRPr="007C5A1B">
        <w:rPr>
          <w:rFonts w:eastAsia="Arial Unicode MS" w:cstheme="minorHAnsi"/>
          <w:bCs/>
          <w:sz w:val="24"/>
          <w:szCs w:val="24"/>
        </w:rPr>
        <w:t>ho</w:t>
      </w:r>
      <w:r w:rsidR="00A92E5B" w:rsidRPr="007C5A1B">
        <w:rPr>
          <w:rFonts w:eastAsia="Arial Unicode MS" w:cstheme="minorHAnsi"/>
          <w:bCs/>
          <w:sz w:val="24"/>
          <w:szCs w:val="24"/>
        </w:rPr>
        <w:t xml:space="preserve"> vynakládání peněžních prostředků státu a EU</w:t>
      </w:r>
      <w:r w:rsidR="005615D8" w:rsidRPr="007C5A1B">
        <w:rPr>
          <w:rFonts w:eastAsia="Arial Unicode MS" w:cstheme="minorHAnsi"/>
          <w:bCs/>
          <w:sz w:val="24"/>
          <w:szCs w:val="24"/>
        </w:rPr>
        <w:t>.</w:t>
      </w:r>
    </w:p>
    <w:p w14:paraId="49B3EBB6" w14:textId="77777777" w:rsidR="00B50C7C" w:rsidRPr="007C5A1B" w:rsidRDefault="00855125" w:rsidP="000F68C6">
      <w:pPr>
        <w:spacing w:after="120" w:line="252" w:lineRule="auto"/>
        <w:jc w:val="both"/>
        <w:rPr>
          <w:rFonts w:eastAsia="Arial Unicode MS" w:cstheme="minorHAnsi"/>
          <w:b/>
          <w:bCs/>
          <w:sz w:val="24"/>
          <w:szCs w:val="24"/>
        </w:rPr>
      </w:pPr>
      <w:r w:rsidRPr="007C5A1B">
        <w:rPr>
          <w:rFonts w:eastAsia="Arial Unicode MS" w:cstheme="minorHAnsi"/>
          <w:b/>
          <w:bCs/>
          <w:sz w:val="24"/>
          <w:szCs w:val="24"/>
        </w:rPr>
        <w:t xml:space="preserve">MD považuje </w:t>
      </w:r>
      <w:r w:rsidR="00B50C7C" w:rsidRPr="007C5A1B">
        <w:rPr>
          <w:rFonts w:eastAsia="Arial Unicode MS" w:cstheme="minorHAnsi"/>
          <w:b/>
          <w:bCs/>
          <w:sz w:val="24"/>
          <w:szCs w:val="24"/>
        </w:rPr>
        <w:t>Koncepci vodní dopravy za nezávazný dokument</w:t>
      </w:r>
    </w:p>
    <w:p w14:paraId="16667C56" w14:textId="77777777" w:rsidR="007B5309" w:rsidRPr="007C5A1B" w:rsidRDefault="00C36C91" w:rsidP="000F68C6">
      <w:pPr>
        <w:spacing w:after="120" w:line="252" w:lineRule="auto"/>
        <w:jc w:val="both"/>
        <w:rPr>
          <w:rFonts w:cstheme="minorHAnsi"/>
          <w:sz w:val="24"/>
          <w:szCs w:val="24"/>
        </w:rPr>
      </w:pPr>
      <w:r w:rsidRPr="007C5A1B">
        <w:rPr>
          <w:rFonts w:eastAsia="Arial Unicode MS" w:cstheme="minorHAnsi"/>
          <w:bCs/>
          <w:sz w:val="24"/>
          <w:szCs w:val="24"/>
        </w:rPr>
        <w:t>4.1</w:t>
      </w:r>
      <w:r w:rsidR="00FE3D55" w:rsidRPr="007C5A1B">
        <w:rPr>
          <w:rFonts w:eastAsia="Arial Unicode MS" w:cstheme="minorHAnsi"/>
          <w:bCs/>
          <w:sz w:val="24"/>
          <w:szCs w:val="24"/>
        </w:rPr>
        <w:t>0</w:t>
      </w:r>
      <w:r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4F53FA" w:rsidRPr="007C5A1B">
        <w:rPr>
          <w:rFonts w:eastAsia="Arial Unicode MS" w:cstheme="minorHAnsi"/>
          <w:bCs/>
          <w:sz w:val="24"/>
          <w:szCs w:val="24"/>
        </w:rPr>
        <w:t>Z</w:t>
      </w:r>
      <w:r w:rsidR="00C91D61" w:rsidRPr="007C5A1B">
        <w:rPr>
          <w:rFonts w:eastAsia="Arial Unicode MS" w:cstheme="minorHAnsi"/>
          <w:bCs/>
          <w:sz w:val="24"/>
          <w:szCs w:val="24"/>
        </w:rPr>
        <w:t>a z</w:t>
      </w:r>
      <w:r w:rsidR="004F53FA" w:rsidRPr="007C5A1B">
        <w:rPr>
          <w:rFonts w:eastAsia="Arial Unicode MS" w:cstheme="minorHAnsi"/>
          <w:bCs/>
          <w:sz w:val="24"/>
          <w:szCs w:val="24"/>
        </w:rPr>
        <w:t xml:space="preserve">ákladní koncepční dokument pro oblast vodní dopravy </w:t>
      </w:r>
      <w:r w:rsidR="00C91D61" w:rsidRPr="007C5A1B">
        <w:rPr>
          <w:rFonts w:eastAsia="Arial Unicode MS" w:cstheme="minorHAnsi"/>
          <w:bCs/>
          <w:sz w:val="24"/>
          <w:szCs w:val="24"/>
        </w:rPr>
        <w:t>MD označilo</w:t>
      </w:r>
      <w:r w:rsidR="009E1DAC">
        <w:rPr>
          <w:rFonts w:eastAsia="Arial Unicode MS" w:cstheme="minorHAnsi"/>
          <w:bCs/>
          <w:sz w:val="24"/>
          <w:szCs w:val="24"/>
        </w:rPr>
        <w:t xml:space="preserve"> KVD. </w:t>
      </w:r>
      <w:r w:rsidR="005053CD" w:rsidRPr="007C5A1B">
        <w:rPr>
          <w:rFonts w:cstheme="minorHAnsi"/>
          <w:sz w:val="24"/>
          <w:szCs w:val="24"/>
        </w:rPr>
        <w:t>KVD měla rozpracovat a konkretizovat cíle a opatření Dopravní politiky</w:t>
      </w:r>
      <w:r w:rsidR="00E27708" w:rsidRPr="007C5A1B">
        <w:rPr>
          <w:rFonts w:cstheme="minorHAnsi"/>
          <w:sz w:val="24"/>
          <w:szCs w:val="24"/>
        </w:rPr>
        <w:t>,</w:t>
      </w:r>
      <w:r w:rsidR="005053CD" w:rsidRPr="007C5A1B">
        <w:rPr>
          <w:rFonts w:cstheme="minorHAnsi"/>
          <w:sz w:val="24"/>
          <w:szCs w:val="24"/>
        </w:rPr>
        <w:t xml:space="preserve"> měla být podkladem pro </w:t>
      </w:r>
      <w:proofErr w:type="spellStart"/>
      <w:r w:rsidR="005053CD" w:rsidRPr="007C5A1B">
        <w:rPr>
          <w:rFonts w:cstheme="minorHAnsi"/>
          <w:sz w:val="24"/>
          <w:szCs w:val="24"/>
        </w:rPr>
        <w:t>prioritizaci</w:t>
      </w:r>
      <w:proofErr w:type="spellEnd"/>
      <w:r w:rsidR="005053CD" w:rsidRPr="007C5A1B">
        <w:rPr>
          <w:rFonts w:cstheme="minorHAnsi"/>
          <w:sz w:val="24"/>
          <w:szCs w:val="24"/>
        </w:rPr>
        <w:t xml:space="preserve"> projektů a </w:t>
      </w:r>
      <w:r w:rsidR="00E27708" w:rsidRPr="007C5A1B">
        <w:rPr>
          <w:rFonts w:cstheme="minorHAnsi"/>
          <w:sz w:val="24"/>
          <w:szCs w:val="24"/>
        </w:rPr>
        <w:t xml:space="preserve">pro </w:t>
      </w:r>
      <w:r w:rsidR="005053CD" w:rsidRPr="007C5A1B">
        <w:rPr>
          <w:rFonts w:cstheme="minorHAnsi"/>
          <w:sz w:val="24"/>
          <w:szCs w:val="24"/>
        </w:rPr>
        <w:t xml:space="preserve">jejich rozčlenění do clusterů v DSS2, resp. </w:t>
      </w:r>
      <w:r w:rsidR="00E27708" w:rsidRPr="007C5A1B">
        <w:rPr>
          <w:rFonts w:cstheme="minorHAnsi"/>
          <w:sz w:val="24"/>
          <w:szCs w:val="24"/>
        </w:rPr>
        <w:t>v</w:t>
      </w:r>
      <w:r w:rsidR="005053CD" w:rsidRPr="007C5A1B">
        <w:rPr>
          <w:rFonts w:cstheme="minorHAnsi"/>
          <w:sz w:val="24"/>
          <w:szCs w:val="24"/>
        </w:rPr>
        <w:t xml:space="preserve"> jej</w:t>
      </w:r>
      <w:r w:rsidR="00E27708" w:rsidRPr="007C5A1B">
        <w:rPr>
          <w:rFonts w:cstheme="minorHAnsi"/>
          <w:sz w:val="24"/>
          <w:szCs w:val="24"/>
        </w:rPr>
        <w:t>í</w:t>
      </w:r>
      <w:r w:rsidR="005053CD" w:rsidRPr="007C5A1B">
        <w:rPr>
          <w:rFonts w:cstheme="minorHAnsi"/>
          <w:sz w:val="24"/>
          <w:szCs w:val="24"/>
        </w:rPr>
        <w:t xml:space="preserve"> aktualizaci. </w:t>
      </w:r>
      <w:r w:rsidR="00C91D61" w:rsidRPr="007C5A1B">
        <w:rPr>
          <w:rFonts w:eastAsia="Arial Unicode MS" w:cstheme="minorHAnsi"/>
          <w:bCs/>
          <w:sz w:val="24"/>
          <w:szCs w:val="24"/>
        </w:rPr>
        <w:t>V</w:t>
      </w:r>
      <w:r w:rsidR="004F53FA" w:rsidRPr="007C5A1B">
        <w:rPr>
          <w:rFonts w:eastAsia="Arial Unicode MS" w:cstheme="minorHAnsi"/>
          <w:bCs/>
          <w:sz w:val="24"/>
          <w:szCs w:val="24"/>
        </w:rPr>
        <w:t xml:space="preserve">láda ČR </w:t>
      </w:r>
      <w:r w:rsidR="00C91D61" w:rsidRPr="007C5A1B">
        <w:rPr>
          <w:rFonts w:eastAsia="Arial Unicode MS" w:cstheme="minorHAnsi"/>
          <w:bCs/>
          <w:sz w:val="24"/>
          <w:szCs w:val="24"/>
        </w:rPr>
        <w:t xml:space="preserve">ovšem KVD </w:t>
      </w:r>
      <w:r w:rsidR="004F53FA" w:rsidRPr="007C5A1B">
        <w:rPr>
          <w:rFonts w:eastAsia="Arial Unicode MS" w:cstheme="minorHAnsi"/>
          <w:bCs/>
          <w:sz w:val="24"/>
          <w:szCs w:val="24"/>
        </w:rPr>
        <w:t>neschválila, ale jen vzala na vědomí</w:t>
      </w:r>
      <w:r w:rsidR="004F53FA" w:rsidRPr="007C5A1B">
        <w:rPr>
          <w:rFonts w:cstheme="minorHAnsi"/>
          <w:sz w:val="24"/>
          <w:szCs w:val="24"/>
          <w:vertAlign w:val="superscript"/>
        </w:rPr>
        <w:footnoteReference w:id="17"/>
      </w:r>
      <w:r w:rsidR="004F53FA" w:rsidRPr="007C5A1B">
        <w:rPr>
          <w:rFonts w:cstheme="minorHAnsi"/>
          <w:sz w:val="24"/>
          <w:szCs w:val="24"/>
        </w:rPr>
        <w:t xml:space="preserve">. Důvodem </w:t>
      </w:r>
      <w:r w:rsidR="00C91D61" w:rsidRPr="007C5A1B">
        <w:rPr>
          <w:rFonts w:cstheme="minorHAnsi"/>
          <w:sz w:val="24"/>
          <w:szCs w:val="24"/>
        </w:rPr>
        <w:t>bylo</w:t>
      </w:r>
      <w:r w:rsidR="004F53FA" w:rsidRPr="007C5A1B">
        <w:rPr>
          <w:rFonts w:cstheme="minorHAnsi"/>
          <w:sz w:val="24"/>
          <w:szCs w:val="24"/>
        </w:rPr>
        <w:t xml:space="preserve"> nedořešení výstavby </w:t>
      </w:r>
      <w:r w:rsidR="004F53FA" w:rsidRPr="007C5A1B">
        <w:rPr>
          <w:rFonts w:cstheme="minorHAnsi"/>
          <w:i/>
          <w:sz w:val="24"/>
          <w:szCs w:val="24"/>
        </w:rPr>
        <w:t>Plavebního stupně Děčín</w:t>
      </w:r>
      <w:r w:rsidR="004F53FA" w:rsidRPr="007C5A1B">
        <w:rPr>
          <w:rFonts w:cstheme="minorHAnsi"/>
          <w:sz w:val="24"/>
          <w:szCs w:val="24"/>
        </w:rPr>
        <w:t>, který je v</w:t>
      </w:r>
      <w:r w:rsidR="00C91D61" w:rsidRPr="007C5A1B">
        <w:rPr>
          <w:rFonts w:cstheme="minorHAnsi"/>
          <w:sz w:val="24"/>
          <w:szCs w:val="24"/>
        </w:rPr>
        <w:t xml:space="preserve"> KVD </w:t>
      </w:r>
      <w:r w:rsidR="004F53FA" w:rsidRPr="007C5A1B">
        <w:rPr>
          <w:rFonts w:cstheme="minorHAnsi"/>
          <w:sz w:val="24"/>
          <w:szCs w:val="24"/>
        </w:rPr>
        <w:t xml:space="preserve">začleněn jako projekt s klíčovým významem pro rozvoj </w:t>
      </w:r>
      <w:r w:rsidR="00DD481E" w:rsidRPr="007C5A1B">
        <w:rPr>
          <w:rFonts w:cstheme="minorHAnsi"/>
          <w:sz w:val="24"/>
          <w:szCs w:val="24"/>
        </w:rPr>
        <w:t xml:space="preserve">(zejména nákladní) </w:t>
      </w:r>
      <w:r w:rsidR="004F53FA" w:rsidRPr="007C5A1B">
        <w:rPr>
          <w:rFonts w:cstheme="minorHAnsi"/>
          <w:sz w:val="24"/>
          <w:szCs w:val="24"/>
        </w:rPr>
        <w:t>vodní dopravy v České republice</w:t>
      </w:r>
      <w:r w:rsidR="00C95FA9" w:rsidRPr="007C5A1B">
        <w:rPr>
          <w:rFonts w:cstheme="minorHAnsi"/>
          <w:sz w:val="24"/>
          <w:szCs w:val="24"/>
          <w:vertAlign w:val="superscript"/>
        </w:rPr>
        <w:footnoteReference w:id="18"/>
      </w:r>
      <w:r w:rsidR="004F53FA" w:rsidRPr="007C5A1B">
        <w:rPr>
          <w:rFonts w:cstheme="minorHAnsi"/>
          <w:sz w:val="24"/>
          <w:szCs w:val="24"/>
        </w:rPr>
        <w:t xml:space="preserve">. </w:t>
      </w:r>
      <w:r w:rsidR="007B5309" w:rsidRPr="007C5A1B">
        <w:rPr>
          <w:rFonts w:cstheme="minorHAnsi"/>
          <w:sz w:val="24"/>
          <w:szCs w:val="24"/>
        </w:rPr>
        <w:t xml:space="preserve">MD </w:t>
      </w:r>
      <w:r w:rsidR="0064658F" w:rsidRPr="007C5A1B">
        <w:rPr>
          <w:rFonts w:cstheme="minorHAnsi"/>
          <w:sz w:val="24"/>
          <w:szCs w:val="24"/>
        </w:rPr>
        <w:t xml:space="preserve">považuje </w:t>
      </w:r>
      <w:r w:rsidR="007B5309" w:rsidRPr="007C5A1B">
        <w:rPr>
          <w:rFonts w:cstheme="minorHAnsi"/>
          <w:sz w:val="24"/>
          <w:szCs w:val="24"/>
        </w:rPr>
        <w:t>KVD z důvodu jejího neschválení vládou</w:t>
      </w:r>
      <w:r w:rsidR="005053CD" w:rsidRPr="007C5A1B">
        <w:rPr>
          <w:rFonts w:cstheme="minorHAnsi"/>
          <w:sz w:val="24"/>
          <w:szCs w:val="24"/>
        </w:rPr>
        <w:t xml:space="preserve"> ČR</w:t>
      </w:r>
      <w:r w:rsidR="007B5309" w:rsidRPr="007C5A1B">
        <w:rPr>
          <w:rFonts w:cstheme="minorHAnsi"/>
          <w:sz w:val="24"/>
          <w:szCs w:val="24"/>
        </w:rPr>
        <w:t xml:space="preserve"> za nezávazný dokument</w:t>
      </w:r>
      <w:r w:rsidR="000C4596" w:rsidRPr="007C5A1B">
        <w:rPr>
          <w:rFonts w:cstheme="minorHAnsi"/>
          <w:sz w:val="24"/>
          <w:szCs w:val="24"/>
        </w:rPr>
        <w:t>,</w:t>
      </w:r>
      <w:r w:rsidR="00877CAE" w:rsidRPr="007C5A1B">
        <w:rPr>
          <w:rFonts w:cstheme="minorHAnsi"/>
          <w:sz w:val="24"/>
          <w:szCs w:val="24"/>
        </w:rPr>
        <w:t xml:space="preserve"> a</w:t>
      </w:r>
      <w:r w:rsidR="000C4596" w:rsidRPr="007C5A1B">
        <w:rPr>
          <w:rFonts w:cstheme="minorHAnsi"/>
          <w:sz w:val="24"/>
          <w:szCs w:val="24"/>
        </w:rPr>
        <w:t xml:space="preserve"> nadále tedy</w:t>
      </w:r>
      <w:r w:rsidR="00877CAE" w:rsidRPr="007C5A1B">
        <w:rPr>
          <w:rFonts w:cstheme="minorHAnsi"/>
          <w:sz w:val="24"/>
          <w:szCs w:val="24"/>
        </w:rPr>
        <w:t xml:space="preserve"> </w:t>
      </w:r>
      <w:r w:rsidR="00C95FA9" w:rsidRPr="007C5A1B">
        <w:rPr>
          <w:rFonts w:cstheme="minorHAnsi"/>
          <w:sz w:val="24"/>
          <w:szCs w:val="24"/>
        </w:rPr>
        <w:t xml:space="preserve">nemá závazný </w:t>
      </w:r>
      <w:r w:rsidR="00C95FA9" w:rsidRPr="007C5A1B">
        <w:rPr>
          <w:rFonts w:eastAsia="Calibri" w:cstheme="minorHAnsi"/>
          <w:sz w:val="24"/>
          <w:szCs w:val="24"/>
        </w:rPr>
        <w:t xml:space="preserve">podklad pro plánování rozvoje vodních cest. </w:t>
      </w:r>
    </w:p>
    <w:p w14:paraId="74BCB333" w14:textId="77777777" w:rsidR="00454EC6" w:rsidRPr="007C5A1B" w:rsidRDefault="00B55E24" w:rsidP="000F68C6">
      <w:pPr>
        <w:spacing w:after="120" w:line="252" w:lineRule="auto"/>
        <w:jc w:val="both"/>
        <w:rPr>
          <w:rFonts w:eastAsia="Arial Unicode MS" w:cstheme="minorHAnsi"/>
          <w:bCs/>
          <w:sz w:val="24"/>
          <w:szCs w:val="24"/>
        </w:rPr>
      </w:pPr>
      <w:r w:rsidRPr="007C5A1B">
        <w:rPr>
          <w:rFonts w:eastAsia="Arial Unicode MS" w:cstheme="minorHAnsi"/>
          <w:bCs/>
          <w:sz w:val="24"/>
          <w:szCs w:val="24"/>
        </w:rPr>
        <w:t>4.1</w:t>
      </w:r>
      <w:r w:rsidR="00FE3D55" w:rsidRPr="007C5A1B">
        <w:rPr>
          <w:rFonts w:eastAsia="Arial Unicode MS" w:cstheme="minorHAnsi"/>
          <w:bCs/>
          <w:sz w:val="24"/>
          <w:szCs w:val="24"/>
        </w:rPr>
        <w:t>1</w:t>
      </w:r>
      <w:r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087821" w:rsidRPr="007C5A1B">
        <w:rPr>
          <w:rFonts w:eastAsia="Arial Unicode MS" w:cstheme="minorHAnsi"/>
          <w:bCs/>
          <w:sz w:val="24"/>
          <w:szCs w:val="24"/>
        </w:rPr>
        <w:t xml:space="preserve">Koncepční a na ně navazující dokumenty by měly vytvářet logickou ucelenou strukturu s hierarchickým členěním cílů, opatření a ukazatelů. Důležitá je vzájemná návaznost a soulad mezi jednotlivými dokumenty. </w:t>
      </w:r>
      <w:r w:rsidR="00E27708" w:rsidRPr="007C5A1B">
        <w:rPr>
          <w:rFonts w:eastAsia="Arial Unicode MS" w:cstheme="minorHAnsi"/>
          <w:bCs/>
          <w:sz w:val="24"/>
          <w:szCs w:val="24"/>
        </w:rPr>
        <w:t>NKÚ ovšem zjistil, že f</w:t>
      </w:r>
      <w:r w:rsidRPr="007C5A1B">
        <w:rPr>
          <w:rFonts w:eastAsia="Arial Unicode MS" w:cstheme="minorHAnsi"/>
          <w:bCs/>
          <w:sz w:val="24"/>
          <w:szCs w:val="24"/>
        </w:rPr>
        <w:t>inanční objemy peněžních prostředků</w:t>
      </w:r>
      <w:r w:rsidR="00A92E5B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Pr="007C5A1B">
        <w:rPr>
          <w:rFonts w:eastAsia="Arial Unicode MS" w:cstheme="minorHAnsi"/>
          <w:bCs/>
          <w:sz w:val="24"/>
          <w:szCs w:val="24"/>
        </w:rPr>
        <w:t>na rozvoj vodních cest uváděné v</w:t>
      </w:r>
      <w:r w:rsidR="005C6079" w:rsidRPr="007C5A1B">
        <w:rPr>
          <w:rFonts w:eastAsia="Arial Unicode MS" w:cstheme="minorHAnsi"/>
          <w:bCs/>
          <w:sz w:val="24"/>
          <w:szCs w:val="24"/>
        </w:rPr>
        <w:t> </w:t>
      </w:r>
      <w:r w:rsidRPr="007C5A1B">
        <w:rPr>
          <w:rFonts w:eastAsia="Arial Unicode MS" w:cstheme="minorHAnsi"/>
          <w:bCs/>
          <w:sz w:val="24"/>
          <w:szCs w:val="24"/>
        </w:rPr>
        <w:t xml:space="preserve">KVD neodpovídají </w:t>
      </w:r>
      <w:r w:rsidR="009574D8" w:rsidRPr="007C5A1B">
        <w:rPr>
          <w:rFonts w:eastAsia="Arial Unicode MS" w:cstheme="minorHAnsi"/>
          <w:bCs/>
          <w:sz w:val="24"/>
          <w:szCs w:val="24"/>
        </w:rPr>
        <w:t xml:space="preserve">finančním objemům uvedeným v DSS2. Podle </w:t>
      </w:r>
      <w:r w:rsidR="009574D8" w:rsidRPr="007C5A1B">
        <w:rPr>
          <w:rFonts w:eastAsia="Arial Unicode MS" w:cstheme="minorHAnsi"/>
          <w:bCs/>
          <w:sz w:val="24"/>
          <w:szCs w:val="24"/>
        </w:rPr>
        <w:lastRenderedPageBreak/>
        <w:t xml:space="preserve">KVD má být na rozvoj a modernizaci infrastruktury vodních cest </w:t>
      </w:r>
      <w:r w:rsidR="000C4596" w:rsidRPr="007C5A1B">
        <w:rPr>
          <w:rFonts w:eastAsia="Arial Unicode MS" w:cstheme="minorHAnsi"/>
          <w:bCs/>
          <w:sz w:val="24"/>
          <w:szCs w:val="24"/>
        </w:rPr>
        <w:t xml:space="preserve">ročně </w:t>
      </w:r>
      <w:r w:rsidRPr="007C5A1B">
        <w:rPr>
          <w:rFonts w:eastAsia="Arial Unicode MS" w:cstheme="minorHAnsi"/>
          <w:bCs/>
          <w:sz w:val="24"/>
          <w:szCs w:val="24"/>
        </w:rPr>
        <w:t>vynakládána částka 400</w:t>
      </w:r>
      <w:r w:rsidR="000F68C6">
        <w:rPr>
          <w:rFonts w:eastAsia="Arial Unicode MS" w:cstheme="minorHAnsi"/>
          <w:bCs/>
          <w:sz w:val="24"/>
          <w:szCs w:val="24"/>
        </w:rPr>
        <w:t> </w:t>
      </w:r>
      <w:r w:rsidRPr="007C5A1B">
        <w:rPr>
          <w:rFonts w:eastAsia="Arial Unicode MS" w:cstheme="minorHAnsi"/>
          <w:bCs/>
          <w:sz w:val="24"/>
          <w:szCs w:val="24"/>
        </w:rPr>
        <w:t>mil.</w:t>
      </w:r>
      <w:r w:rsidR="000F68C6">
        <w:rPr>
          <w:rFonts w:eastAsia="Arial Unicode MS" w:cstheme="minorHAnsi"/>
          <w:bCs/>
          <w:sz w:val="24"/>
          <w:szCs w:val="24"/>
        </w:rPr>
        <w:t> </w:t>
      </w:r>
      <w:r w:rsidRPr="007C5A1B">
        <w:rPr>
          <w:rFonts w:eastAsia="Arial Unicode MS" w:cstheme="minorHAnsi"/>
          <w:bCs/>
          <w:sz w:val="24"/>
          <w:szCs w:val="24"/>
        </w:rPr>
        <w:t xml:space="preserve">Kč, na </w:t>
      </w:r>
      <w:r w:rsidR="009574D8" w:rsidRPr="007C5A1B">
        <w:rPr>
          <w:rFonts w:eastAsia="Arial Unicode MS" w:cstheme="minorHAnsi"/>
          <w:bCs/>
          <w:sz w:val="24"/>
          <w:szCs w:val="24"/>
        </w:rPr>
        <w:t>r</w:t>
      </w:r>
      <w:r w:rsidRPr="007C5A1B">
        <w:rPr>
          <w:rFonts w:eastAsia="Arial Unicode MS" w:cstheme="minorHAnsi"/>
          <w:bCs/>
          <w:sz w:val="24"/>
          <w:szCs w:val="24"/>
        </w:rPr>
        <w:t xml:space="preserve">ozvoj a modernizaci přístavů částka 300 mil. Kč a na </w:t>
      </w:r>
      <w:r w:rsidR="009574D8" w:rsidRPr="007C5A1B">
        <w:rPr>
          <w:rFonts w:eastAsia="Arial Unicode MS" w:cstheme="minorHAnsi"/>
          <w:bCs/>
          <w:sz w:val="24"/>
          <w:szCs w:val="24"/>
        </w:rPr>
        <w:t>o</w:t>
      </w:r>
      <w:r w:rsidRPr="007C5A1B">
        <w:rPr>
          <w:rFonts w:eastAsia="Arial Unicode MS" w:cstheme="minorHAnsi"/>
          <w:bCs/>
          <w:sz w:val="24"/>
          <w:szCs w:val="24"/>
        </w:rPr>
        <w:t>pravy a údržbu vodních cest částka 150 mil. K</w:t>
      </w:r>
      <w:r w:rsidR="000C4596" w:rsidRPr="007C5A1B">
        <w:rPr>
          <w:rFonts w:eastAsia="Arial Unicode MS" w:cstheme="minorHAnsi"/>
          <w:bCs/>
          <w:sz w:val="24"/>
          <w:szCs w:val="24"/>
        </w:rPr>
        <w:t>č</w:t>
      </w:r>
      <w:r w:rsidR="009574D8" w:rsidRPr="007C5A1B">
        <w:rPr>
          <w:rFonts w:eastAsia="Arial Unicode MS" w:cstheme="minorHAnsi"/>
          <w:bCs/>
          <w:sz w:val="24"/>
          <w:szCs w:val="24"/>
        </w:rPr>
        <w:t>. V</w:t>
      </w:r>
      <w:r w:rsidRPr="007C5A1B">
        <w:rPr>
          <w:rFonts w:eastAsia="Arial Unicode MS" w:cstheme="minorHAnsi"/>
          <w:bCs/>
          <w:sz w:val="24"/>
          <w:szCs w:val="24"/>
        </w:rPr>
        <w:t> DSS2 je uváděna souhrnná částka nákladů na infrastrukturní projekty vodních cest 24 mld. Kč a částka na balíček „Přístaviště“</w:t>
      </w:r>
      <w:r w:rsidR="009574D8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Pr="007C5A1B">
        <w:rPr>
          <w:rFonts w:eastAsia="Arial Unicode MS" w:cstheme="minorHAnsi"/>
          <w:bCs/>
          <w:sz w:val="24"/>
          <w:szCs w:val="24"/>
        </w:rPr>
        <w:t xml:space="preserve">150 mil. Kč ročně v období let </w:t>
      </w:r>
      <w:r w:rsidR="000342DC">
        <w:rPr>
          <w:rFonts w:eastAsia="Arial Unicode MS" w:cstheme="minorHAnsi"/>
          <w:bCs/>
          <w:sz w:val="24"/>
          <w:szCs w:val="24"/>
        </w:rPr>
        <w:br/>
      </w:r>
      <w:r w:rsidRPr="007C5A1B">
        <w:rPr>
          <w:rFonts w:eastAsia="Arial Unicode MS" w:cstheme="minorHAnsi"/>
          <w:bCs/>
          <w:sz w:val="24"/>
          <w:szCs w:val="24"/>
        </w:rPr>
        <w:t>2014</w:t>
      </w:r>
      <w:r w:rsidR="000F68C6">
        <w:rPr>
          <w:rFonts w:eastAsia="Arial Unicode MS" w:cstheme="minorHAnsi"/>
          <w:bCs/>
          <w:sz w:val="24"/>
          <w:szCs w:val="24"/>
        </w:rPr>
        <w:t>–</w:t>
      </w:r>
      <w:r w:rsidRPr="007C5A1B">
        <w:rPr>
          <w:rFonts w:eastAsia="Arial Unicode MS" w:cstheme="minorHAnsi"/>
          <w:bCs/>
          <w:sz w:val="24"/>
          <w:szCs w:val="24"/>
        </w:rPr>
        <w:t>2020</w:t>
      </w:r>
      <w:r w:rsidR="00F07D18" w:rsidRPr="007C5A1B">
        <w:rPr>
          <w:rFonts w:eastAsia="Arial Unicode MS" w:cstheme="minorHAnsi"/>
          <w:bCs/>
          <w:sz w:val="24"/>
          <w:szCs w:val="24"/>
        </w:rPr>
        <w:t xml:space="preserve"> (kumulativně je uváděno 1,1 mld. Kč) s předpokládaným snižováním až na nulu v</w:t>
      </w:r>
      <w:r w:rsidR="000342DC">
        <w:rPr>
          <w:rFonts w:eastAsia="Arial Unicode MS" w:cstheme="minorHAnsi"/>
          <w:bCs/>
          <w:sz w:val="24"/>
          <w:szCs w:val="24"/>
        </w:rPr>
        <w:t> </w:t>
      </w:r>
      <w:r w:rsidR="00F07D18" w:rsidRPr="007C5A1B">
        <w:rPr>
          <w:rFonts w:eastAsia="Arial Unicode MS" w:cstheme="minorHAnsi"/>
          <w:bCs/>
          <w:sz w:val="24"/>
          <w:szCs w:val="24"/>
        </w:rPr>
        <w:t>období let 2021</w:t>
      </w:r>
      <w:r w:rsidR="000F68C6">
        <w:rPr>
          <w:rFonts w:eastAsia="Arial Unicode MS" w:cstheme="minorHAnsi"/>
          <w:bCs/>
          <w:sz w:val="24"/>
          <w:szCs w:val="24"/>
        </w:rPr>
        <w:t>–</w:t>
      </w:r>
      <w:r w:rsidR="00F07D18" w:rsidRPr="007C5A1B">
        <w:rPr>
          <w:rFonts w:eastAsia="Arial Unicode MS" w:cstheme="minorHAnsi"/>
          <w:bCs/>
          <w:sz w:val="24"/>
          <w:szCs w:val="24"/>
        </w:rPr>
        <w:t>2035 (kumulativně je uváděno 0,8 mld. Kč)</w:t>
      </w:r>
      <w:r w:rsidR="009574D8" w:rsidRPr="007C5A1B">
        <w:rPr>
          <w:rFonts w:eastAsia="Arial Unicode MS" w:cstheme="minorHAnsi"/>
          <w:bCs/>
          <w:sz w:val="24"/>
          <w:szCs w:val="24"/>
        </w:rPr>
        <w:t xml:space="preserve">. </w:t>
      </w:r>
      <w:r w:rsidR="005C6079" w:rsidRPr="007C5A1B">
        <w:rPr>
          <w:rFonts w:eastAsia="Arial Unicode MS" w:cstheme="minorHAnsi"/>
          <w:bCs/>
          <w:sz w:val="24"/>
          <w:szCs w:val="24"/>
        </w:rPr>
        <w:t>Způsob, jakým byly tyto částky stanoveny</w:t>
      </w:r>
      <w:r w:rsidR="00A92E5B" w:rsidRPr="007C5A1B">
        <w:rPr>
          <w:rFonts w:eastAsia="Arial Unicode MS" w:cstheme="minorHAnsi"/>
          <w:bCs/>
          <w:sz w:val="24"/>
          <w:szCs w:val="24"/>
        </w:rPr>
        <w:t>,</w:t>
      </w:r>
      <w:r w:rsidR="005C6079" w:rsidRPr="007C5A1B">
        <w:rPr>
          <w:rFonts w:eastAsia="Arial Unicode MS" w:cstheme="minorHAnsi"/>
          <w:bCs/>
          <w:sz w:val="24"/>
          <w:szCs w:val="24"/>
        </w:rPr>
        <w:t xml:space="preserve"> není z uvedených dokumentů zřejmý a MD </w:t>
      </w:r>
      <w:r w:rsidR="00A92E5B" w:rsidRPr="007C5A1B">
        <w:rPr>
          <w:rFonts w:eastAsia="Arial Unicode MS" w:cstheme="minorHAnsi"/>
          <w:bCs/>
          <w:sz w:val="24"/>
          <w:szCs w:val="24"/>
        </w:rPr>
        <w:t>jej</w:t>
      </w:r>
      <w:r w:rsidR="00847848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BA28B2" w:rsidRPr="007C5A1B">
        <w:rPr>
          <w:rFonts w:eastAsia="Arial Unicode MS" w:cstheme="minorHAnsi"/>
          <w:bCs/>
          <w:sz w:val="24"/>
          <w:szCs w:val="24"/>
        </w:rPr>
        <w:t xml:space="preserve">nebylo schopno uspokojivě vysvětlit a </w:t>
      </w:r>
      <w:r w:rsidR="00847848" w:rsidRPr="007C5A1B">
        <w:rPr>
          <w:rFonts w:eastAsia="Arial Unicode MS" w:cstheme="minorHAnsi"/>
          <w:bCs/>
          <w:sz w:val="24"/>
          <w:szCs w:val="24"/>
        </w:rPr>
        <w:t>doloži</w:t>
      </w:r>
      <w:r w:rsidR="00BA28B2" w:rsidRPr="007C5A1B">
        <w:rPr>
          <w:rFonts w:eastAsia="Arial Unicode MS" w:cstheme="minorHAnsi"/>
          <w:bCs/>
          <w:sz w:val="24"/>
          <w:szCs w:val="24"/>
        </w:rPr>
        <w:t>t</w:t>
      </w:r>
      <w:r w:rsidR="00847848" w:rsidRPr="007C5A1B">
        <w:rPr>
          <w:rFonts w:eastAsia="Arial Unicode MS" w:cstheme="minorHAnsi"/>
          <w:bCs/>
          <w:sz w:val="24"/>
          <w:szCs w:val="24"/>
        </w:rPr>
        <w:t xml:space="preserve">. </w:t>
      </w:r>
      <w:r w:rsidRPr="007C5A1B">
        <w:rPr>
          <w:rFonts w:eastAsia="Arial Unicode MS" w:cstheme="minorHAnsi"/>
          <w:bCs/>
          <w:sz w:val="24"/>
          <w:szCs w:val="24"/>
        </w:rPr>
        <w:t>Rovněž údaje o projektech v KVD neodpovídají údajům v DSS2</w:t>
      </w:r>
      <w:r w:rsidR="00847848" w:rsidRPr="007C5A1B">
        <w:rPr>
          <w:rFonts w:eastAsia="Arial Unicode MS" w:cstheme="minorHAnsi"/>
          <w:bCs/>
          <w:sz w:val="24"/>
          <w:szCs w:val="24"/>
        </w:rPr>
        <w:t xml:space="preserve"> a v</w:t>
      </w:r>
      <w:r w:rsidRPr="007C5A1B">
        <w:rPr>
          <w:rFonts w:eastAsia="Arial Unicode MS" w:cstheme="minorHAnsi"/>
          <w:bCs/>
          <w:sz w:val="24"/>
          <w:szCs w:val="24"/>
        </w:rPr>
        <w:t> obou dokumentech je</w:t>
      </w:r>
      <w:r w:rsidR="009574D8" w:rsidRPr="007C5A1B">
        <w:rPr>
          <w:rFonts w:eastAsia="Arial Unicode MS" w:cstheme="minorHAnsi"/>
          <w:bCs/>
          <w:sz w:val="24"/>
          <w:szCs w:val="24"/>
        </w:rPr>
        <w:t xml:space="preserve"> i</w:t>
      </w:r>
      <w:r w:rsidR="000F68C6">
        <w:rPr>
          <w:rFonts w:eastAsia="Arial Unicode MS" w:cstheme="minorHAnsi"/>
          <w:bCs/>
          <w:sz w:val="24"/>
          <w:szCs w:val="24"/>
        </w:rPr>
        <w:t> </w:t>
      </w:r>
      <w:r w:rsidRPr="007C5A1B">
        <w:rPr>
          <w:rFonts w:eastAsia="Arial Unicode MS" w:cstheme="minorHAnsi"/>
          <w:bCs/>
          <w:sz w:val="24"/>
          <w:szCs w:val="24"/>
        </w:rPr>
        <w:t>r</w:t>
      </w:r>
      <w:r w:rsidR="009574D8" w:rsidRPr="007C5A1B">
        <w:rPr>
          <w:rFonts w:eastAsia="Arial Unicode MS" w:cstheme="minorHAnsi"/>
          <w:bCs/>
          <w:sz w:val="24"/>
          <w:szCs w:val="24"/>
        </w:rPr>
        <w:t>ozdíl</w:t>
      </w:r>
      <w:r w:rsidRPr="007C5A1B">
        <w:rPr>
          <w:rFonts w:eastAsia="Arial Unicode MS" w:cstheme="minorHAnsi"/>
          <w:bCs/>
          <w:sz w:val="24"/>
          <w:szCs w:val="24"/>
        </w:rPr>
        <w:t>né členění projektů do skupin, které by měly funkčně souviset.</w:t>
      </w:r>
      <w:r w:rsidR="004D0935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E138A7" w:rsidRPr="007C5A1B">
        <w:rPr>
          <w:rFonts w:eastAsia="Arial Unicode MS" w:cstheme="minorHAnsi"/>
          <w:bCs/>
          <w:sz w:val="24"/>
          <w:szCs w:val="24"/>
        </w:rPr>
        <w:t>Údaje z</w:t>
      </w:r>
      <w:r w:rsidR="00847848" w:rsidRPr="007C5A1B">
        <w:rPr>
          <w:rFonts w:eastAsia="Arial Unicode MS" w:cstheme="minorHAnsi"/>
          <w:bCs/>
          <w:sz w:val="24"/>
          <w:szCs w:val="24"/>
        </w:rPr>
        <w:t> </w:t>
      </w:r>
      <w:r w:rsidR="00E138A7" w:rsidRPr="007C5A1B">
        <w:rPr>
          <w:rFonts w:eastAsia="Arial Unicode MS" w:cstheme="minorHAnsi"/>
          <w:bCs/>
          <w:sz w:val="24"/>
          <w:szCs w:val="24"/>
        </w:rPr>
        <w:t>KVD</w:t>
      </w:r>
      <w:r w:rsidR="00847848" w:rsidRPr="007C5A1B">
        <w:rPr>
          <w:rFonts w:eastAsia="Arial Unicode MS" w:cstheme="minorHAnsi"/>
          <w:bCs/>
          <w:sz w:val="24"/>
          <w:szCs w:val="24"/>
        </w:rPr>
        <w:t xml:space="preserve"> a</w:t>
      </w:r>
      <w:r w:rsidR="00E138A7" w:rsidRPr="007C5A1B">
        <w:rPr>
          <w:rFonts w:eastAsia="Arial Unicode MS" w:cstheme="minorHAnsi"/>
          <w:bCs/>
          <w:sz w:val="24"/>
          <w:szCs w:val="24"/>
        </w:rPr>
        <w:t xml:space="preserve"> DSS2 navíc neodpovídají nákladů</w:t>
      </w:r>
      <w:r w:rsidR="00CC5C9E" w:rsidRPr="007C5A1B">
        <w:rPr>
          <w:rFonts w:eastAsia="Arial Unicode MS" w:cstheme="minorHAnsi"/>
          <w:bCs/>
          <w:sz w:val="24"/>
          <w:szCs w:val="24"/>
        </w:rPr>
        <w:t>m</w:t>
      </w:r>
      <w:r w:rsidR="000C4596" w:rsidRPr="007C5A1B">
        <w:rPr>
          <w:rFonts w:eastAsia="Arial Unicode MS" w:cstheme="minorHAnsi"/>
          <w:bCs/>
          <w:sz w:val="24"/>
          <w:szCs w:val="24"/>
        </w:rPr>
        <w:t xml:space="preserve">, které jsou na </w:t>
      </w:r>
      <w:r w:rsidR="00E138A7" w:rsidRPr="007C5A1B">
        <w:rPr>
          <w:rFonts w:eastAsia="Arial Unicode MS" w:cstheme="minorHAnsi"/>
          <w:bCs/>
          <w:sz w:val="24"/>
          <w:szCs w:val="24"/>
        </w:rPr>
        <w:t>realizaci projektů</w:t>
      </w:r>
      <w:r w:rsidR="000C4596" w:rsidRPr="007C5A1B">
        <w:rPr>
          <w:rFonts w:eastAsia="Arial Unicode MS" w:cstheme="minorHAnsi"/>
          <w:bCs/>
          <w:sz w:val="24"/>
          <w:szCs w:val="24"/>
        </w:rPr>
        <w:t xml:space="preserve"> </w:t>
      </w:r>
      <w:r w:rsidR="00A92E5B" w:rsidRPr="007C5A1B">
        <w:rPr>
          <w:rFonts w:eastAsia="Arial Unicode MS" w:cstheme="minorHAnsi"/>
          <w:bCs/>
          <w:sz w:val="24"/>
          <w:szCs w:val="24"/>
        </w:rPr>
        <w:t xml:space="preserve">skutečně </w:t>
      </w:r>
      <w:r w:rsidR="000C4596" w:rsidRPr="007C5A1B">
        <w:rPr>
          <w:rFonts w:eastAsia="Arial Unicode MS" w:cstheme="minorHAnsi"/>
          <w:bCs/>
          <w:sz w:val="24"/>
          <w:szCs w:val="24"/>
        </w:rPr>
        <w:t>vynakládány</w:t>
      </w:r>
      <w:r w:rsidR="00E138A7" w:rsidRPr="007C5A1B">
        <w:rPr>
          <w:rFonts w:eastAsia="Arial Unicode MS" w:cstheme="minorHAnsi"/>
          <w:bCs/>
          <w:sz w:val="24"/>
          <w:szCs w:val="24"/>
        </w:rPr>
        <w:t>.</w:t>
      </w:r>
    </w:p>
    <w:p w14:paraId="0633A211" w14:textId="00EBED46" w:rsidR="00FE3D55" w:rsidRPr="007C5A1B" w:rsidRDefault="00FE3D55" w:rsidP="000F68C6">
      <w:pPr>
        <w:tabs>
          <w:tab w:val="left" w:pos="426"/>
        </w:tabs>
        <w:spacing w:after="120" w:line="252" w:lineRule="auto"/>
        <w:jc w:val="both"/>
        <w:rPr>
          <w:rFonts w:cstheme="minorHAnsi"/>
          <w:sz w:val="24"/>
          <w:szCs w:val="24"/>
        </w:rPr>
      </w:pPr>
      <w:r w:rsidRPr="007C5A1B">
        <w:rPr>
          <w:rFonts w:cstheme="minorHAnsi"/>
          <w:sz w:val="24"/>
          <w:szCs w:val="24"/>
        </w:rPr>
        <w:t xml:space="preserve">4.12 </w:t>
      </w:r>
      <w:r w:rsidR="003337C1" w:rsidRPr="007C5A1B">
        <w:rPr>
          <w:rFonts w:cstheme="minorHAnsi"/>
          <w:sz w:val="24"/>
          <w:szCs w:val="24"/>
        </w:rPr>
        <w:t xml:space="preserve">Celkové částky vynaložené na podporu rozvoje rekreační plavby a osobní lodní dopravy </w:t>
      </w:r>
      <w:r w:rsidRPr="007C5A1B">
        <w:rPr>
          <w:rFonts w:cstheme="minorHAnsi"/>
          <w:sz w:val="24"/>
          <w:szCs w:val="24"/>
        </w:rPr>
        <w:t>MD samostatně nesleduje s odůvodněním, že vodní cesta je využívána společně nákladní i</w:t>
      </w:r>
      <w:r w:rsidR="000342DC">
        <w:rPr>
          <w:rFonts w:cstheme="minorHAnsi"/>
          <w:sz w:val="24"/>
          <w:szCs w:val="24"/>
        </w:rPr>
        <w:t> </w:t>
      </w:r>
      <w:r w:rsidRPr="007C5A1B">
        <w:rPr>
          <w:rFonts w:cstheme="minorHAnsi"/>
          <w:sz w:val="24"/>
          <w:szCs w:val="24"/>
        </w:rPr>
        <w:t xml:space="preserve">osobní dopravou. Vyhodnocení </w:t>
      </w:r>
      <w:r w:rsidR="00891BD2" w:rsidRPr="007C5A1B">
        <w:rPr>
          <w:rFonts w:cstheme="minorHAnsi"/>
          <w:sz w:val="24"/>
          <w:szCs w:val="24"/>
        </w:rPr>
        <w:t xml:space="preserve">očekávané </w:t>
      </w:r>
      <w:r w:rsidRPr="007C5A1B">
        <w:rPr>
          <w:rFonts w:cstheme="minorHAnsi"/>
          <w:sz w:val="24"/>
          <w:szCs w:val="24"/>
        </w:rPr>
        <w:t>ekonomické efektivnosti investic do rozvoje vodní dopravy, které si MD nechalo zpracovat, se přitom zabývala vždy buď jen nákladní dopravou, nebo jen rekreační plavbou, nikoliv celkovým využitím vodní cesty, a to na úrovni koncepcí</w:t>
      </w:r>
      <w:r w:rsidRPr="007C5A1B">
        <w:rPr>
          <w:rStyle w:val="Znakapoznpodarou"/>
          <w:rFonts w:cstheme="minorHAnsi"/>
          <w:sz w:val="24"/>
          <w:szCs w:val="24"/>
        </w:rPr>
        <w:footnoteReference w:id="19"/>
      </w:r>
      <w:r w:rsidRPr="007C5A1B">
        <w:rPr>
          <w:rFonts w:cstheme="minorHAnsi"/>
          <w:sz w:val="24"/>
          <w:szCs w:val="24"/>
        </w:rPr>
        <w:t xml:space="preserve"> i</w:t>
      </w:r>
      <w:r w:rsidR="000342DC">
        <w:rPr>
          <w:rFonts w:cstheme="minorHAnsi"/>
          <w:sz w:val="24"/>
          <w:szCs w:val="24"/>
        </w:rPr>
        <w:t> </w:t>
      </w:r>
      <w:r w:rsidRPr="007C5A1B">
        <w:rPr>
          <w:rFonts w:cstheme="minorHAnsi"/>
          <w:sz w:val="24"/>
          <w:szCs w:val="24"/>
        </w:rPr>
        <w:t>na úrovni jednotlivých projektů.</w:t>
      </w:r>
      <w:r w:rsidR="003337C1" w:rsidRPr="007C5A1B">
        <w:rPr>
          <w:rFonts w:cstheme="minorHAnsi"/>
          <w:sz w:val="24"/>
          <w:szCs w:val="24"/>
        </w:rPr>
        <w:t xml:space="preserve"> </w:t>
      </w:r>
      <w:r w:rsidRPr="007C5A1B">
        <w:rPr>
          <w:rFonts w:cstheme="minorHAnsi"/>
          <w:sz w:val="24"/>
          <w:szCs w:val="24"/>
        </w:rPr>
        <w:t xml:space="preserve">Vyhodnocení skutečně dosažené efektivnosti investic v těchto segmentech vodní dopravy ani souhrnně za celou vodní dopravu MD neprovedlo. </w:t>
      </w:r>
    </w:p>
    <w:p w14:paraId="05DD2771" w14:textId="77777777" w:rsidR="00FE3D55" w:rsidRPr="00492FA7" w:rsidRDefault="00FE3D55" w:rsidP="000342DC">
      <w:pPr>
        <w:tabs>
          <w:tab w:val="right" w:pos="9072"/>
        </w:tabs>
        <w:spacing w:after="40" w:line="252" w:lineRule="auto"/>
        <w:jc w:val="both"/>
        <w:rPr>
          <w:rFonts w:cstheme="minorHAnsi"/>
          <w:b/>
          <w:sz w:val="24"/>
          <w:szCs w:val="24"/>
        </w:rPr>
      </w:pPr>
      <w:r w:rsidRPr="00492FA7">
        <w:rPr>
          <w:rFonts w:cstheme="minorHAnsi"/>
          <w:b/>
          <w:sz w:val="24"/>
          <w:szCs w:val="24"/>
        </w:rPr>
        <w:t>Čerpání peněžních prostředků z rozpočtu SFDI na vodní dopravu</w:t>
      </w:r>
      <w:r w:rsidRPr="000342DC">
        <w:rPr>
          <w:rFonts w:cstheme="minorHAnsi"/>
          <w:b/>
          <w:sz w:val="24"/>
          <w:szCs w:val="24"/>
        </w:rPr>
        <w:t xml:space="preserve"> </w:t>
      </w:r>
      <w:r w:rsidR="000342DC">
        <w:rPr>
          <w:rFonts w:cstheme="minorHAnsi"/>
          <w:b/>
          <w:sz w:val="24"/>
          <w:szCs w:val="24"/>
        </w:rPr>
        <w:tab/>
      </w:r>
      <w:r w:rsidRPr="000342DC">
        <w:rPr>
          <w:rFonts w:cstheme="minorHAnsi"/>
          <w:b/>
          <w:sz w:val="24"/>
          <w:szCs w:val="24"/>
        </w:rPr>
        <w:t>(v tis. Kč)</w:t>
      </w:r>
    </w:p>
    <w:tbl>
      <w:tblPr>
        <w:tblStyle w:val="Mkatabulky"/>
        <w:tblW w:w="906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020"/>
        <w:gridCol w:w="1020"/>
        <w:gridCol w:w="1020"/>
        <w:gridCol w:w="1020"/>
        <w:gridCol w:w="1020"/>
        <w:gridCol w:w="1134"/>
        <w:gridCol w:w="1134"/>
      </w:tblGrid>
      <w:tr w:rsidR="00AE6F0C" w:rsidRPr="000342DC" w14:paraId="1EB6FAB2" w14:textId="77777777" w:rsidTr="004F08C7">
        <w:trPr>
          <w:trHeight w:val="255"/>
          <w:jc w:val="center"/>
        </w:trPr>
        <w:tc>
          <w:tcPr>
            <w:tcW w:w="1701" w:type="dxa"/>
            <w:shd w:val="clear" w:color="auto" w:fill="E5F1FF"/>
            <w:vAlign w:val="center"/>
          </w:tcPr>
          <w:p w14:paraId="103ED58C" w14:textId="77777777" w:rsidR="00FE3D55" w:rsidRPr="000342DC" w:rsidRDefault="00FE3D55" w:rsidP="004F08C7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Příjemce</w:t>
            </w:r>
          </w:p>
        </w:tc>
        <w:tc>
          <w:tcPr>
            <w:tcW w:w="1020" w:type="dxa"/>
            <w:shd w:val="clear" w:color="auto" w:fill="E5F1FF"/>
            <w:vAlign w:val="center"/>
          </w:tcPr>
          <w:p w14:paraId="559317E0" w14:textId="77777777" w:rsidR="00FE3D55" w:rsidRPr="000342DC" w:rsidRDefault="00FE3D55" w:rsidP="000342DC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020" w:type="dxa"/>
            <w:shd w:val="clear" w:color="auto" w:fill="E5F1FF"/>
            <w:vAlign w:val="center"/>
          </w:tcPr>
          <w:p w14:paraId="0707D92D" w14:textId="77777777" w:rsidR="00FE3D55" w:rsidRPr="000342DC" w:rsidRDefault="00FE3D55" w:rsidP="000342DC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020" w:type="dxa"/>
            <w:shd w:val="clear" w:color="auto" w:fill="E5F1FF"/>
            <w:vAlign w:val="center"/>
          </w:tcPr>
          <w:p w14:paraId="53233CEF" w14:textId="77777777" w:rsidR="00FE3D55" w:rsidRPr="000342DC" w:rsidRDefault="00FE3D55" w:rsidP="000342DC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E5F1FF"/>
            <w:vAlign w:val="center"/>
          </w:tcPr>
          <w:p w14:paraId="09E56F66" w14:textId="77777777" w:rsidR="00FE3D55" w:rsidRPr="000342DC" w:rsidRDefault="00FE3D55" w:rsidP="000342DC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E5F1FF"/>
            <w:vAlign w:val="center"/>
          </w:tcPr>
          <w:p w14:paraId="41EF55F9" w14:textId="77777777" w:rsidR="00FE3D55" w:rsidRPr="000342DC" w:rsidRDefault="00FE3D55" w:rsidP="000342DC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15C21AF5" w14:textId="77777777" w:rsidR="00FE3D55" w:rsidRPr="000342DC" w:rsidRDefault="00FE3D55" w:rsidP="000342DC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5290F940" w14:textId="77777777" w:rsidR="00FE3D55" w:rsidRPr="000342DC" w:rsidRDefault="00FE3D55" w:rsidP="000342DC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AE6F0C" w:rsidRPr="000342DC" w14:paraId="5E63FCA5" w14:textId="77777777" w:rsidTr="004F08C7">
        <w:trPr>
          <w:trHeight w:val="255"/>
          <w:jc w:val="center"/>
        </w:trPr>
        <w:tc>
          <w:tcPr>
            <w:tcW w:w="1701" w:type="dxa"/>
            <w:vAlign w:val="center"/>
          </w:tcPr>
          <w:p w14:paraId="6CBC4E76" w14:textId="77777777" w:rsidR="00FE3D55" w:rsidRPr="00972D33" w:rsidRDefault="00FE3D55" w:rsidP="004F08C7">
            <w:pPr>
              <w:tabs>
                <w:tab w:val="left" w:pos="426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72D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ŘVC</w:t>
            </w:r>
          </w:p>
        </w:tc>
        <w:tc>
          <w:tcPr>
            <w:tcW w:w="1020" w:type="dxa"/>
            <w:vAlign w:val="center"/>
          </w:tcPr>
          <w:p w14:paraId="0F1AEFDE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263 091</w:t>
            </w:r>
          </w:p>
        </w:tc>
        <w:tc>
          <w:tcPr>
            <w:tcW w:w="1020" w:type="dxa"/>
            <w:vAlign w:val="center"/>
          </w:tcPr>
          <w:p w14:paraId="1770D9D0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412 518</w:t>
            </w:r>
          </w:p>
        </w:tc>
        <w:tc>
          <w:tcPr>
            <w:tcW w:w="1020" w:type="dxa"/>
            <w:vAlign w:val="center"/>
          </w:tcPr>
          <w:p w14:paraId="5F60C2F3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273 716</w:t>
            </w:r>
          </w:p>
        </w:tc>
        <w:tc>
          <w:tcPr>
            <w:tcW w:w="1020" w:type="dxa"/>
            <w:vAlign w:val="center"/>
          </w:tcPr>
          <w:p w14:paraId="1E23BB92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209 965</w:t>
            </w:r>
          </w:p>
        </w:tc>
        <w:tc>
          <w:tcPr>
            <w:tcW w:w="1020" w:type="dxa"/>
            <w:vAlign w:val="center"/>
          </w:tcPr>
          <w:p w14:paraId="5BDF9AF7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86 608</w:t>
            </w:r>
          </w:p>
        </w:tc>
        <w:tc>
          <w:tcPr>
            <w:tcW w:w="1134" w:type="dxa"/>
            <w:vAlign w:val="center"/>
          </w:tcPr>
          <w:p w14:paraId="2C48E826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1 252 719</w:t>
            </w:r>
          </w:p>
        </w:tc>
        <w:tc>
          <w:tcPr>
            <w:tcW w:w="1134" w:type="dxa"/>
            <w:vAlign w:val="center"/>
          </w:tcPr>
          <w:p w14:paraId="03FEBB4C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1 392 663</w:t>
            </w:r>
          </w:p>
        </w:tc>
      </w:tr>
      <w:tr w:rsidR="00AE6F0C" w:rsidRPr="000342DC" w14:paraId="4CA23F54" w14:textId="77777777" w:rsidTr="004F08C7">
        <w:trPr>
          <w:trHeight w:val="255"/>
          <w:jc w:val="center"/>
        </w:trPr>
        <w:tc>
          <w:tcPr>
            <w:tcW w:w="1701" w:type="dxa"/>
            <w:vAlign w:val="center"/>
          </w:tcPr>
          <w:p w14:paraId="3CE01BF6" w14:textId="77777777" w:rsidR="00FE3D55" w:rsidRPr="00972D33" w:rsidRDefault="00FE3D55" w:rsidP="004F08C7">
            <w:pPr>
              <w:tabs>
                <w:tab w:val="left" w:pos="426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72D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Povodí Labe</w:t>
            </w:r>
          </w:p>
        </w:tc>
        <w:tc>
          <w:tcPr>
            <w:tcW w:w="1020" w:type="dxa"/>
            <w:vAlign w:val="center"/>
          </w:tcPr>
          <w:p w14:paraId="7C9D73EC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14:paraId="3F75107B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14:paraId="09062052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3 394</w:t>
            </w:r>
          </w:p>
        </w:tc>
        <w:tc>
          <w:tcPr>
            <w:tcW w:w="1020" w:type="dxa"/>
            <w:vAlign w:val="center"/>
          </w:tcPr>
          <w:p w14:paraId="4B1290E7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020" w:type="dxa"/>
            <w:vAlign w:val="center"/>
          </w:tcPr>
          <w:p w14:paraId="224DC0B7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20 914</w:t>
            </w:r>
          </w:p>
        </w:tc>
        <w:tc>
          <w:tcPr>
            <w:tcW w:w="1134" w:type="dxa"/>
            <w:vAlign w:val="center"/>
          </w:tcPr>
          <w:p w14:paraId="1BE6FB4F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3 402</w:t>
            </w:r>
          </w:p>
        </w:tc>
        <w:tc>
          <w:tcPr>
            <w:tcW w:w="1134" w:type="dxa"/>
            <w:vAlign w:val="center"/>
          </w:tcPr>
          <w:p w14:paraId="0743BC7A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25 040</w:t>
            </w:r>
          </w:p>
        </w:tc>
      </w:tr>
      <w:tr w:rsidR="00AE6F0C" w:rsidRPr="000342DC" w14:paraId="7ABB4190" w14:textId="77777777" w:rsidTr="004F08C7">
        <w:trPr>
          <w:trHeight w:val="255"/>
          <w:jc w:val="center"/>
        </w:trPr>
        <w:tc>
          <w:tcPr>
            <w:tcW w:w="1701" w:type="dxa"/>
            <w:vAlign w:val="center"/>
          </w:tcPr>
          <w:p w14:paraId="07645D66" w14:textId="77777777" w:rsidR="00FE3D55" w:rsidRPr="00972D33" w:rsidRDefault="00FE3D55" w:rsidP="004F08C7">
            <w:pPr>
              <w:tabs>
                <w:tab w:val="left" w:pos="426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72D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Povodí Vltavy</w:t>
            </w:r>
          </w:p>
        </w:tc>
        <w:tc>
          <w:tcPr>
            <w:tcW w:w="1020" w:type="dxa"/>
            <w:vAlign w:val="center"/>
          </w:tcPr>
          <w:p w14:paraId="305FCA67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14:paraId="65E49BAB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14:paraId="0E34EF8D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4 026</w:t>
            </w:r>
          </w:p>
        </w:tc>
        <w:tc>
          <w:tcPr>
            <w:tcW w:w="1020" w:type="dxa"/>
            <w:vAlign w:val="center"/>
          </w:tcPr>
          <w:p w14:paraId="1FD6B470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17 642</w:t>
            </w:r>
          </w:p>
        </w:tc>
        <w:tc>
          <w:tcPr>
            <w:tcW w:w="1020" w:type="dxa"/>
            <w:vAlign w:val="center"/>
          </w:tcPr>
          <w:p w14:paraId="0AD4F9B8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39 962</w:t>
            </w:r>
          </w:p>
        </w:tc>
        <w:tc>
          <w:tcPr>
            <w:tcW w:w="1134" w:type="dxa"/>
            <w:vAlign w:val="center"/>
          </w:tcPr>
          <w:p w14:paraId="277CB0D5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254 894</w:t>
            </w:r>
          </w:p>
        </w:tc>
        <w:tc>
          <w:tcPr>
            <w:tcW w:w="1134" w:type="dxa"/>
            <w:vAlign w:val="center"/>
          </w:tcPr>
          <w:p w14:paraId="75989C90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130 843</w:t>
            </w:r>
          </w:p>
        </w:tc>
      </w:tr>
      <w:tr w:rsidR="00AE6F0C" w:rsidRPr="000342DC" w14:paraId="2B0DB6A9" w14:textId="77777777" w:rsidTr="004F08C7">
        <w:trPr>
          <w:trHeight w:val="255"/>
          <w:jc w:val="center"/>
        </w:trPr>
        <w:tc>
          <w:tcPr>
            <w:tcW w:w="1701" w:type="dxa"/>
            <w:vAlign w:val="center"/>
          </w:tcPr>
          <w:p w14:paraId="7CCF17E3" w14:textId="77777777" w:rsidR="00FE3D55" w:rsidRPr="00972D33" w:rsidRDefault="00FE3D55" w:rsidP="004F08C7">
            <w:pPr>
              <w:tabs>
                <w:tab w:val="left" w:pos="426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72D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Povodí Moravy</w:t>
            </w:r>
          </w:p>
        </w:tc>
        <w:tc>
          <w:tcPr>
            <w:tcW w:w="1020" w:type="dxa"/>
            <w:vAlign w:val="center"/>
          </w:tcPr>
          <w:p w14:paraId="2FD452EE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14:paraId="7F7E4ADA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14:paraId="2B0A7798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2 713</w:t>
            </w:r>
          </w:p>
        </w:tc>
        <w:tc>
          <w:tcPr>
            <w:tcW w:w="1020" w:type="dxa"/>
            <w:vAlign w:val="center"/>
          </w:tcPr>
          <w:p w14:paraId="4B9AD95C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23 959</w:t>
            </w:r>
          </w:p>
        </w:tc>
        <w:tc>
          <w:tcPr>
            <w:tcW w:w="1020" w:type="dxa"/>
            <w:vAlign w:val="center"/>
          </w:tcPr>
          <w:p w14:paraId="0E9181C8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27 522</w:t>
            </w:r>
          </w:p>
        </w:tc>
        <w:tc>
          <w:tcPr>
            <w:tcW w:w="1134" w:type="dxa"/>
            <w:vAlign w:val="center"/>
          </w:tcPr>
          <w:p w14:paraId="7F2C8395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39 541</w:t>
            </w:r>
          </w:p>
        </w:tc>
        <w:tc>
          <w:tcPr>
            <w:tcW w:w="1134" w:type="dxa"/>
            <w:vAlign w:val="center"/>
          </w:tcPr>
          <w:p w14:paraId="69C0F897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42 769</w:t>
            </w:r>
          </w:p>
        </w:tc>
      </w:tr>
      <w:tr w:rsidR="00AE6F0C" w:rsidRPr="000342DC" w14:paraId="741E09C9" w14:textId="77777777" w:rsidTr="004F08C7">
        <w:trPr>
          <w:trHeight w:val="255"/>
          <w:jc w:val="center"/>
        </w:trPr>
        <w:tc>
          <w:tcPr>
            <w:tcW w:w="1701" w:type="dxa"/>
            <w:vAlign w:val="center"/>
          </w:tcPr>
          <w:p w14:paraId="48254A42" w14:textId="77777777" w:rsidR="00FE3D55" w:rsidRPr="003E7852" w:rsidRDefault="00FE3D55" w:rsidP="004F08C7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785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Celkem</w:t>
            </w:r>
          </w:p>
        </w:tc>
        <w:tc>
          <w:tcPr>
            <w:tcW w:w="1020" w:type="dxa"/>
            <w:vAlign w:val="center"/>
          </w:tcPr>
          <w:p w14:paraId="599EB026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263 091</w:t>
            </w:r>
          </w:p>
        </w:tc>
        <w:tc>
          <w:tcPr>
            <w:tcW w:w="1020" w:type="dxa"/>
            <w:vAlign w:val="center"/>
          </w:tcPr>
          <w:p w14:paraId="37D88A68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412 518</w:t>
            </w:r>
          </w:p>
        </w:tc>
        <w:tc>
          <w:tcPr>
            <w:tcW w:w="1020" w:type="dxa"/>
            <w:vAlign w:val="center"/>
          </w:tcPr>
          <w:p w14:paraId="09428124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sz w:val="20"/>
                <w:szCs w:val="20"/>
              </w:rPr>
              <w:t>283 8</w:t>
            </w:r>
            <w:r w:rsidR="009C52EA" w:rsidRPr="000342DC">
              <w:rPr>
                <w:rFonts w:ascii="Calibri" w:hAnsi="Calibri" w:cs="Calibri"/>
                <w:b/>
                <w:sz w:val="20"/>
                <w:szCs w:val="20"/>
              </w:rPr>
              <w:t>49</w:t>
            </w:r>
          </w:p>
        </w:tc>
        <w:tc>
          <w:tcPr>
            <w:tcW w:w="1020" w:type="dxa"/>
            <w:vAlign w:val="center"/>
          </w:tcPr>
          <w:p w14:paraId="5760EEE2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277 566</w:t>
            </w:r>
          </w:p>
        </w:tc>
        <w:tc>
          <w:tcPr>
            <w:tcW w:w="1020" w:type="dxa"/>
            <w:vAlign w:val="center"/>
          </w:tcPr>
          <w:p w14:paraId="3CB945C5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175 006</w:t>
            </w:r>
          </w:p>
        </w:tc>
        <w:tc>
          <w:tcPr>
            <w:tcW w:w="1134" w:type="dxa"/>
            <w:vAlign w:val="center"/>
          </w:tcPr>
          <w:p w14:paraId="2AB65F19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1 550 556</w:t>
            </w:r>
          </w:p>
        </w:tc>
        <w:tc>
          <w:tcPr>
            <w:tcW w:w="1134" w:type="dxa"/>
            <w:vAlign w:val="center"/>
          </w:tcPr>
          <w:p w14:paraId="316B1554" w14:textId="77777777" w:rsidR="00FE3D55" w:rsidRPr="000342DC" w:rsidRDefault="00FE3D55" w:rsidP="004F08C7">
            <w:pPr>
              <w:tabs>
                <w:tab w:val="left" w:pos="426"/>
              </w:tabs>
              <w:ind w:right="57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342D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1 591 315</w:t>
            </w:r>
          </w:p>
        </w:tc>
      </w:tr>
    </w:tbl>
    <w:p w14:paraId="3F6A4ECB" w14:textId="77777777" w:rsidR="00FE3D55" w:rsidRPr="001865C1" w:rsidRDefault="00FE3D55" w:rsidP="004F08C7">
      <w:pPr>
        <w:spacing w:before="40" w:after="120" w:line="252" w:lineRule="auto"/>
        <w:jc w:val="both"/>
        <w:rPr>
          <w:rFonts w:cstheme="minorHAnsi"/>
          <w:sz w:val="20"/>
          <w:szCs w:val="20"/>
        </w:rPr>
      </w:pPr>
      <w:r w:rsidRPr="001865C1">
        <w:rPr>
          <w:rFonts w:cstheme="minorHAnsi"/>
          <w:b/>
          <w:sz w:val="20"/>
          <w:szCs w:val="20"/>
        </w:rPr>
        <w:t>Zdroj:</w:t>
      </w:r>
      <w:r w:rsidRPr="001865C1">
        <w:rPr>
          <w:rFonts w:cstheme="minorHAnsi"/>
          <w:sz w:val="20"/>
          <w:szCs w:val="20"/>
        </w:rPr>
        <w:t xml:space="preserve"> </w:t>
      </w:r>
      <w:r w:rsidR="0060490C" w:rsidRPr="001865C1">
        <w:rPr>
          <w:rFonts w:cstheme="minorHAnsi"/>
          <w:sz w:val="20"/>
          <w:szCs w:val="20"/>
        </w:rPr>
        <w:t>MD.</w:t>
      </w:r>
    </w:p>
    <w:p w14:paraId="6C5D9570" w14:textId="77777777" w:rsidR="00FB758A" w:rsidRPr="004F08C7" w:rsidRDefault="002C6545" w:rsidP="004F08C7">
      <w:pPr>
        <w:spacing w:after="120" w:line="252" w:lineRule="auto"/>
        <w:jc w:val="both"/>
        <w:rPr>
          <w:rFonts w:ascii="Calibri" w:eastAsia="Arial Unicode MS" w:hAnsi="Calibri" w:cs="Calibri"/>
          <w:bCs/>
          <w:sz w:val="24"/>
          <w:szCs w:val="24"/>
        </w:rPr>
      </w:pPr>
      <w:r w:rsidRPr="004F08C7">
        <w:rPr>
          <w:rFonts w:ascii="Calibri" w:eastAsia="Arial Unicode MS" w:hAnsi="Calibri" w:cs="Calibri"/>
          <w:bCs/>
          <w:sz w:val="24"/>
          <w:szCs w:val="24"/>
        </w:rPr>
        <w:t>4.1</w:t>
      </w:r>
      <w:r w:rsidR="004247E0" w:rsidRPr="004F08C7">
        <w:rPr>
          <w:rFonts w:ascii="Calibri" w:eastAsia="Arial Unicode MS" w:hAnsi="Calibri" w:cs="Calibri"/>
          <w:bCs/>
          <w:sz w:val="24"/>
          <w:szCs w:val="24"/>
        </w:rPr>
        <w:t>3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 MD </w:t>
      </w:r>
      <w:r w:rsidR="007D22F7" w:rsidRPr="004F08C7">
        <w:rPr>
          <w:rFonts w:ascii="Calibri" w:eastAsia="Arial Unicode MS" w:hAnsi="Calibri" w:cs="Calibri"/>
          <w:bCs/>
          <w:sz w:val="24"/>
          <w:szCs w:val="24"/>
        </w:rPr>
        <w:t xml:space="preserve">v průběhu kontroly připustilo </w:t>
      </w:r>
      <w:r w:rsidR="009B58CB" w:rsidRPr="004F08C7">
        <w:rPr>
          <w:rFonts w:ascii="Calibri" w:eastAsia="Arial Unicode MS" w:hAnsi="Calibri" w:cs="Calibri"/>
          <w:bCs/>
          <w:sz w:val="24"/>
          <w:szCs w:val="24"/>
        </w:rPr>
        <w:t xml:space="preserve">kontrolní 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zjištění </w:t>
      </w:r>
      <w:r w:rsidR="009B58CB" w:rsidRPr="004F08C7">
        <w:rPr>
          <w:rFonts w:ascii="Calibri" w:eastAsia="Arial Unicode MS" w:hAnsi="Calibri" w:cs="Calibri"/>
          <w:bCs/>
          <w:sz w:val="24"/>
          <w:szCs w:val="24"/>
        </w:rPr>
        <w:t xml:space="preserve">NKÚ </w:t>
      </w:r>
      <w:r w:rsidR="00AD07B8" w:rsidRPr="004F08C7">
        <w:rPr>
          <w:rFonts w:ascii="Calibri" w:eastAsia="Arial Unicode MS" w:hAnsi="Calibri" w:cs="Calibri"/>
          <w:bCs/>
          <w:sz w:val="24"/>
          <w:szCs w:val="24"/>
        </w:rPr>
        <w:t>týkající se rozporů a nejasností v</w:t>
      </w:r>
      <w:r w:rsidR="007D22F7" w:rsidRPr="004F08C7">
        <w:rPr>
          <w:rFonts w:ascii="Calibri" w:eastAsia="Arial Unicode MS" w:hAnsi="Calibri" w:cs="Calibri"/>
          <w:bCs/>
          <w:sz w:val="24"/>
          <w:szCs w:val="24"/>
        </w:rPr>
        <w:t xml:space="preserve"> koncepčních </w:t>
      </w:r>
      <w:r w:rsidR="00C808EC" w:rsidRPr="004F08C7">
        <w:rPr>
          <w:rFonts w:ascii="Calibri" w:eastAsia="Arial Unicode MS" w:hAnsi="Calibri" w:cs="Calibri"/>
          <w:bCs/>
          <w:sz w:val="24"/>
          <w:szCs w:val="24"/>
        </w:rPr>
        <w:t>dokumentech</w:t>
      </w:r>
      <w:r w:rsidR="007D22F7" w:rsidRPr="004F08C7">
        <w:rPr>
          <w:rFonts w:ascii="Calibri" w:eastAsia="Arial Unicode MS" w:hAnsi="Calibri" w:cs="Calibri"/>
          <w:bCs/>
          <w:sz w:val="24"/>
          <w:szCs w:val="24"/>
        </w:rPr>
        <w:t>.</w:t>
      </w:r>
      <w:r w:rsidR="00AD07B8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7D22F7" w:rsidRPr="004F08C7">
        <w:rPr>
          <w:rFonts w:ascii="Calibri" w:eastAsia="Arial Unicode MS" w:hAnsi="Calibri" w:cs="Calibri"/>
          <w:bCs/>
          <w:sz w:val="24"/>
          <w:szCs w:val="24"/>
        </w:rPr>
        <w:t>R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ozpory </w:t>
      </w:r>
      <w:r w:rsidR="00727F40" w:rsidRPr="004F08C7">
        <w:rPr>
          <w:rFonts w:ascii="Calibri" w:eastAsia="Arial Unicode MS" w:hAnsi="Calibri" w:cs="Calibri"/>
          <w:bCs/>
          <w:sz w:val="24"/>
          <w:szCs w:val="24"/>
        </w:rPr>
        <w:t xml:space="preserve">chce 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>řeš</w:t>
      </w:r>
      <w:r w:rsidR="00727F40" w:rsidRPr="004F08C7">
        <w:rPr>
          <w:rFonts w:ascii="Calibri" w:eastAsia="Arial Unicode MS" w:hAnsi="Calibri" w:cs="Calibri"/>
          <w:bCs/>
          <w:sz w:val="24"/>
          <w:szCs w:val="24"/>
        </w:rPr>
        <w:t>it</w:t>
      </w:r>
      <w:r w:rsidR="0048496B" w:rsidRPr="004F08C7">
        <w:rPr>
          <w:rFonts w:ascii="Calibri" w:eastAsia="Arial Unicode MS" w:hAnsi="Calibri" w:cs="Calibri"/>
          <w:bCs/>
          <w:sz w:val="24"/>
          <w:szCs w:val="24"/>
        </w:rPr>
        <w:t xml:space="preserve"> v rámci nadcházející aktualizace 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>DSS2</w:t>
      </w:r>
      <w:r w:rsidR="002C2297" w:rsidRPr="004F08C7">
        <w:rPr>
          <w:rFonts w:ascii="Calibri" w:eastAsia="Arial Unicode MS" w:hAnsi="Calibri" w:cs="Calibri"/>
          <w:bCs/>
          <w:sz w:val="24"/>
          <w:szCs w:val="24"/>
        </w:rPr>
        <w:t>.</w:t>
      </w:r>
      <w:r w:rsidR="000C4596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2C2297" w:rsidRPr="004F08C7">
        <w:rPr>
          <w:rFonts w:ascii="Calibri" w:eastAsia="Arial Unicode MS" w:hAnsi="Calibri" w:cs="Calibri"/>
          <w:bCs/>
          <w:sz w:val="24"/>
          <w:szCs w:val="24"/>
        </w:rPr>
        <w:t>V</w:t>
      </w:r>
      <w:r w:rsidR="00B50C7C" w:rsidRPr="004F08C7">
        <w:rPr>
          <w:rFonts w:ascii="Calibri" w:eastAsia="Arial Unicode MS" w:hAnsi="Calibri" w:cs="Calibri"/>
          <w:bCs/>
          <w:sz w:val="24"/>
          <w:szCs w:val="24"/>
        </w:rPr>
        <w:t> případě KVD prov</w:t>
      </w:r>
      <w:r w:rsidR="00855125" w:rsidRPr="004F08C7">
        <w:rPr>
          <w:rFonts w:ascii="Calibri" w:eastAsia="Arial Unicode MS" w:hAnsi="Calibri" w:cs="Calibri"/>
          <w:bCs/>
          <w:sz w:val="24"/>
          <w:szCs w:val="24"/>
        </w:rPr>
        <w:t>ede</w:t>
      </w:r>
      <w:r w:rsidR="00B50C7C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A07234" w:rsidRPr="004F08C7">
        <w:rPr>
          <w:rFonts w:ascii="Calibri" w:eastAsia="Arial Unicode MS" w:hAnsi="Calibri" w:cs="Calibri"/>
          <w:bCs/>
          <w:sz w:val="24"/>
          <w:szCs w:val="24"/>
        </w:rPr>
        <w:t xml:space="preserve">monitoring </w:t>
      </w:r>
      <w:r w:rsidR="00B50C7C" w:rsidRPr="004F08C7">
        <w:rPr>
          <w:rFonts w:ascii="Calibri" w:eastAsia="Arial Unicode MS" w:hAnsi="Calibri" w:cs="Calibri"/>
          <w:bCs/>
          <w:sz w:val="24"/>
          <w:szCs w:val="24"/>
        </w:rPr>
        <w:t>vývoje v rámci jejich jednotlivých částí.</w:t>
      </w:r>
    </w:p>
    <w:p w14:paraId="5D3AE5C4" w14:textId="77777777" w:rsidR="00B50C7C" w:rsidRPr="004F08C7" w:rsidRDefault="00B50C7C" w:rsidP="004F08C7">
      <w:pPr>
        <w:spacing w:after="120" w:line="252" w:lineRule="auto"/>
        <w:jc w:val="both"/>
        <w:rPr>
          <w:rFonts w:ascii="Calibri" w:eastAsia="Arial Unicode MS" w:hAnsi="Calibri" w:cs="Calibri"/>
          <w:b/>
          <w:bCs/>
          <w:sz w:val="24"/>
          <w:szCs w:val="24"/>
        </w:rPr>
      </w:pPr>
      <w:r w:rsidRPr="004F08C7">
        <w:rPr>
          <w:rFonts w:ascii="Calibri" w:eastAsia="Arial Unicode MS" w:hAnsi="Calibri" w:cs="Calibri"/>
          <w:b/>
          <w:bCs/>
          <w:sz w:val="24"/>
          <w:szCs w:val="24"/>
        </w:rPr>
        <w:t>MD při plánování rozvoje rekreační plavby nespolupracuje s</w:t>
      </w:r>
      <w:r w:rsidR="00FE3D55" w:rsidRPr="004F08C7">
        <w:rPr>
          <w:rFonts w:ascii="Calibri" w:eastAsia="Arial Unicode MS" w:hAnsi="Calibri" w:cs="Calibri"/>
          <w:b/>
          <w:bCs/>
          <w:sz w:val="24"/>
          <w:szCs w:val="24"/>
        </w:rPr>
        <w:t> </w:t>
      </w:r>
      <w:r w:rsidR="0032297A" w:rsidRPr="004F08C7">
        <w:rPr>
          <w:rFonts w:ascii="Calibri" w:eastAsia="Arial Unicode MS" w:hAnsi="Calibri" w:cs="Calibri"/>
          <w:b/>
          <w:bCs/>
          <w:sz w:val="24"/>
          <w:szCs w:val="24"/>
        </w:rPr>
        <w:t>MMR</w:t>
      </w:r>
    </w:p>
    <w:p w14:paraId="378D889D" w14:textId="1E035A2E" w:rsidR="00FD2AE7" w:rsidRPr="004F08C7" w:rsidRDefault="000C4596" w:rsidP="004F08C7">
      <w:pPr>
        <w:spacing w:after="120" w:line="252" w:lineRule="auto"/>
        <w:jc w:val="both"/>
        <w:rPr>
          <w:rFonts w:ascii="Calibri" w:eastAsia="Arial Unicode MS" w:hAnsi="Calibri" w:cs="Calibri"/>
          <w:bCs/>
          <w:sz w:val="24"/>
          <w:szCs w:val="24"/>
        </w:rPr>
      </w:pPr>
      <w:r w:rsidRPr="004F08C7">
        <w:rPr>
          <w:rFonts w:ascii="Calibri" w:eastAsia="Arial Unicode MS" w:hAnsi="Calibri" w:cs="Calibri"/>
          <w:bCs/>
          <w:sz w:val="24"/>
          <w:szCs w:val="24"/>
        </w:rPr>
        <w:t>4.1</w:t>
      </w:r>
      <w:r w:rsidR="004247E0" w:rsidRPr="004F08C7">
        <w:rPr>
          <w:rFonts w:ascii="Calibri" w:eastAsia="Arial Unicode MS" w:hAnsi="Calibri" w:cs="Calibri"/>
          <w:bCs/>
          <w:sz w:val="24"/>
          <w:szCs w:val="24"/>
        </w:rPr>
        <w:t>4</w:t>
      </w:r>
      <w:r w:rsidR="00BC40B3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087821" w:rsidRPr="004F08C7">
        <w:rPr>
          <w:rFonts w:ascii="Calibri" w:eastAsia="Arial Unicode MS" w:hAnsi="Calibri" w:cs="Calibri"/>
          <w:bCs/>
          <w:sz w:val="24"/>
          <w:szCs w:val="24"/>
        </w:rPr>
        <w:t xml:space="preserve">Pro </w:t>
      </w:r>
      <w:r w:rsidR="004F3BCD" w:rsidRPr="004F08C7">
        <w:rPr>
          <w:rFonts w:ascii="Calibri" w:eastAsia="Arial Unicode MS" w:hAnsi="Calibri" w:cs="Calibri"/>
          <w:bCs/>
          <w:sz w:val="24"/>
          <w:szCs w:val="24"/>
        </w:rPr>
        <w:t xml:space="preserve">zajištění </w:t>
      </w:r>
      <w:r w:rsidR="00087821" w:rsidRPr="004F08C7">
        <w:rPr>
          <w:rFonts w:ascii="Calibri" w:eastAsia="Arial Unicode MS" w:hAnsi="Calibri" w:cs="Calibri"/>
          <w:bCs/>
          <w:sz w:val="24"/>
          <w:szCs w:val="24"/>
        </w:rPr>
        <w:t>účelné</w:t>
      </w:r>
      <w:r w:rsidR="004F3BCD" w:rsidRPr="004F08C7">
        <w:rPr>
          <w:rFonts w:ascii="Calibri" w:eastAsia="Arial Unicode MS" w:hAnsi="Calibri" w:cs="Calibri"/>
          <w:bCs/>
          <w:sz w:val="24"/>
          <w:szCs w:val="24"/>
        </w:rPr>
        <w:t xml:space="preserve">ho </w:t>
      </w:r>
      <w:r w:rsidR="00087821" w:rsidRPr="004F08C7">
        <w:rPr>
          <w:rFonts w:ascii="Calibri" w:eastAsia="Arial Unicode MS" w:hAnsi="Calibri" w:cs="Calibri"/>
          <w:bCs/>
          <w:sz w:val="24"/>
          <w:szCs w:val="24"/>
        </w:rPr>
        <w:t>a efektivní</w:t>
      </w:r>
      <w:r w:rsidR="004F3BCD" w:rsidRPr="004F08C7">
        <w:rPr>
          <w:rFonts w:ascii="Calibri" w:eastAsia="Arial Unicode MS" w:hAnsi="Calibri" w:cs="Calibri"/>
          <w:bCs/>
          <w:sz w:val="24"/>
          <w:szCs w:val="24"/>
        </w:rPr>
        <w:t>ho</w:t>
      </w:r>
      <w:r w:rsidR="00087821" w:rsidRPr="004F08C7">
        <w:rPr>
          <w:rFonts w:ascii="Calibri" w:eastAsia="Arial Unicode MS" w:hAnsi="Calibri" w:cs="Calibri"/>
          <w:bCs/>
          <w:sz w:val="24"/>
          <w:szCs w:val="24"/>
        </w:rPr>
        <w:t xml:space="preserve"> vynakládání pen</w:t>
      </w:r>
      <w:r w:rsidR="00B13895" w:rsidRPr="004F08C7">
        <w:rPr>
          <w:rFonts w:ascii="Calibri" w:eastAsia="Arial Unicode MS" w:hAnsi="Calibri" w:cs="Calibri"/>
          <w:bCs/>
          <w:sz w:val="24"/>
          <w:szCs w:val="24"/>
        </w:rPr>
        <w:t>ě</w:t>
      </w:r>
      <w:r w:rsidR="00087821" w:rsidRPr="004F08C7">
        <w:rPr>
          <w:rFonts w:ascii="Calibri" w:eastAsia="Arial Unicode MS" w:hAnsi="Calibri" w:cs="Calibri"/>
          <w:bCs/>
          <w:sz w:val="24"/>
          <w:szCs w:val="24"/>
        </w:rPr>
        <w:t>žních prostředků státu a EU je důležitá vzájemná spolupráce všech orgánů státní správy a dalších</w:t>
      </w:r>
      <w:r w:rsidR="00B13895" w:rsidRPr="004F08C7">
        <w:rPr>
          <w:rFonts w:ascii="Calibri" w:eastAsia="Arial Unicode MS" w:hAnsi="Calibri" w:cs="Calibri"/>
          <w:bCs/>
          <w:sz w:val="24"/>
          <w:szCs w:val="24"/>
        </w:rPr>
        <w:t xml:space="preserve"> organizací či osob podílejí</w:t>
      </w:r>
      <w:r w:rsidR="004F3BCD" w:rsidRPr="004F08C7">
        <w:rPr>
          <w:rFonts w:ascii="Calibri" w:eastAsia="Arial Unicode MS" w:hAnsi="Calibri" w:cs="Calibri"/>
          <w:bCs/>
          <w:sz w:val="24"/>
          <w:szCs w:val="24"/>
        </w:rPr>
        <w:t xml:space="preserve">cích se </w:t>
      </w:r>
      <w:r w:rsidR="00B13895" w:rsidRPr="004F08C7">
        <w:rPr>
          <w:rFonts w:ascii="Calibri" w:eastAsia="Arial Unicode MS" w:hAnsi="Calibri" w:cs="Calibri"/>
          <w:bCs/>
          <w:sz w:val="24"/>
          <w:szCs w:val="24"/>
        </w:rPr>
        <w:t>na plánování, přípravě a realizaci postupu v jednotlivých oblastech, kam tyto prostředky směřují.</w:t>
      </w:r>
      <w:r w:rsidR="00087821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Podle </w:t>
      </w:r>
      <w:r w:rsidRPr="00972D33">
        <w:rPr>
          <w:rFonts w:ascii="Calibri" w:eastAsia="Arial Unicode MS" w:hAnsi="Calibri" w:cs="Calibri"/>
          <w:bCs/>
          <w:sz w:val="24"/>
          <w:szCs w:val="24"/>
        </w:rPr>
        <w:t>Dopravní politiky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 mělo MD </w:t>
      </w:r>
      <w:bookmarkStart w:id="3" w:name="_Hlk86649638"/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plánovat rozvoj dopravní infrastruktury </w:t>
      </w:r>
      <w:r w:rsidR="00E77FE0" w:rsidRPr="004F08C7">
        <w:rPr>
          <w:rFonts w:ascii="Calibri" w:eastAsia="Arial Unicode MS" w:hAnsi="Calibri" w:cs="Calibri"/>
          <w:bCs/>
          <w:sz w:val="24"/>
          <w:szCs w:val="24"/>
        </w:rPr>
        <w:t xml:space="preserve">na vodních cestách 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>s ohledem na potřeby rozvoje cestovního ruchu</w:t>
      </w:r>
      <w:bookmarkEnd w:id="3"/>
      <w:r w:rsidRPr="004F08C7">
        <w:rPr>
          <w:rFonts w:ascii="Calibri" w:eastAsia="Arial Unicode MS" w:hAnsi="Calibri" w:cs="Calibri"/>
          <w:bCs/>
          <w:sz w:val="24"/>
          <w:szCs w:val="24"/>
        </w:rPr>
        <w:t>, a to ve spolupráci s</w:t>
      </w:r>
      <w:r w:rsidR="00FE3D55" w:rsidRPr="004F08C7">
        <w:rPr>
          <w:rFonts w:ascii="Calibri" w:eastAsia="Arial Unicode MS" w:hAnsi="Calibri" w:cs="Calibri"/>
          <w:bCs/>
          <w:sz w:val="24"/>
          <w:szCs w:val="24"/>
        </w:rPr>
        <w:t> </w:t>
      </w:r>
      <w:r w:rsidR="00FE3D55" w:rsidRPr="004F08C7">
        <w:rPr>
          <w:rFonts w:ascii="Calibri" w:eastAsia="Calibri" w:hAnsi="Calibri" w:cs="Calibri"/>
          <w:sz w:val="24"/>
          <w:szCs w:val="24"/>
        </w:rPr>
        <w:t xml:space="preserve">MMR 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a samosprávou. Propojení rozvoje osobní lodní dopravy a rekreační plavby s rozvojem turismu a cestovního ruchu je zdůrazněno </w:t>
      </w:r>
      <w:r w:rsidR="00B50C7C" w:rsidRPr="004F08C7">
        <w:rPr>
          <w:rFonts w:ascii="Calibri" w:eastAsia="Arial Unicode MS" w:hAnsi="Calibri" w:cs="Calibri"/>
          <w:bCs/>
          <w:sz w:val="24"/>
          <w:szCs w:val="24"/>
        </w:rPr>
        <w:t xml:space="preserve">i v KVD s odkazem na DSS2. V DSS2 ovšem není problematika vytváření podmínek pro rozvoj cestovního ruchu podrobněji řešena. </w:t>
      </w:r>
      <w:r w:rsidR="007E4AB9" w:rsidRPr="004F08C7">
        <w:rPr>
          <w:rFonts w:ascii="Calibri" w:eastAsia="Arial Unicode MS" w:hAnsi="Calibri" w:cs="Calibri"/>
          <w:bCs/>
          <w:sz w:val="24"/>
          <w:szCs w:val="24"/>
        </w:rPr>
        <w:t>P</w:t>
      </w:r>
      <w:r w:rsidR="00B50C7C" w:rsidRPr="004F08C7">
        <w:rPr>
          <w:rFonts w:ascii="Calibri" w:eastAsia="Arial Unicode MS" w:hAnsi="Calibri" w:cs="Calibri"/>
          <w:bCs/>
          <w:sz w:val="24"/>
          <w:szCs w:val="24"/>
        </w:rPr>
        <w:t>rojekt</w:t>
      </w:r>
      <w:r w:rsidR="007E4AB9" w:rsidRPr="004F08C7">
        <w:rPr>
          <w:rFonts w:ascii="Calibri" w:eastAsia="Arial Unicode MS" w:hAnsi="Calibri" w:cs="Calibri"/>
          <w:bCs/>
          <w:sz w:val="24"/>
          <w:szCs w:val="24"/>
        </w:rPr>
        <w:t>y</w:t>
      </w:r>
      <w:r w:rsidR="00B50C7C" w:rsidRPr="004F08C7">
        <w:rPr>
          <w:rFonts w:ascii="Calibri" w:eastAsia="Arial Unicode MS" w:hAnsi="Calibri" w:cs="Calibri"/>
          <w:bCs/>
          <w:sz w:val="24"/>
          <w:szCs w:val="24"/>
        </w:rPr>
        <w:t xml:space="preserve"> pro rekreační plavbu </w:t>
      </w:r>
      <w:r w:rsidR="000F25C3" w:rsidRPr="004F08C7">
        <w:rPr>
          <w:rFonts w:ascii="Calibri" w:eastAsia="Arial Unicode MS" w:hAnsi="Calibri" w:cs="Calibri"/>
          <w:bCs/>
          <w:sz w:val="24"/>
          <w:szCs w:val="24"/>
        </w:rPr>
        <w:t>měl</w:t>
      </w:r>
      <w:r w:rsidR="007E4AB9" w:rsidRPr="004F08C7">
        <w:rPr>
          <w:rFonts w:ascii="Calibri" w:eastAsia="Arial Unicode MS" w:hAnsi="Calibri" w:cs="Calibri"/>
          <w:bCs/>
          <w:sz w:val="24"/>
          <w:szCs w:val="24"/>
        </w:rPr>
        <w:t>y</w:t>
      </w:r>
      <w:r w:rsidR="000F25C3" w:rsidRPr="004F08C7">
        <w:rPr>
          <w:rFonts w:ascii="Calibri" w:eastAsia="Arial Unicode MS" w:hAnsi="Calibri" w:cs="Calibri"/>
          <w:bCs/>
          <w:sz w:val="24"/>
          <w:szCs w:val="24"/>
        </w:rPr>
        <w:t xml:space="preserve"> být podle</w:t>
      </w:r>
      <w:r w:rsidR="003E7852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B50C7C" w:rsidRPr="004F08C7">
        <w:rPr>
          <w:rFonts w:ascii="Calibri" w:eastAsia="Arial Unicode MS" w:hAnsi="Calibri" w:cs="Calibri"/>
          <w:bCs/>
          <w:sz w:val="24"/>
          <w:szCs w:val="24"/>
        </w:rPr>
        <w:t xml:space="preserve">DSS2 </w:t>
      </w:r>
      <w:r w:rsidR="007E4AB9" w:rsidRPr="004F08C7">
        <w:rPr>
          <w:rFonts w:ascii="Calibri" w:eastAsia="Arial Unicode MS" w:hAnsi="Calibri" w:cs="Calibri"/>
          <w:bCs/>
          <w:sz w:val="24"/>
          <w:szCs w:val="24"/>
        </w:rPr>
        <w:t>financovány</w:t>
      </w:r>
      <w:r w:rsidR="00B50C7C" w:rsidRPr="004F08C7">
        <w:rPr>
          <w:rFonts w:ascii="Calibri" w:eastAsia="Arial Unicode MS" w:hAnsi="Calibri" w:cs="Calibri"/>
          <w:bCs/>
          <w:sz w:val="24"/>
          <w:szCs w:val="24"/>
        </w:rPr>
        <w:t xml:space="preserve"> v rámci </w:t>
      </w:r>
      <w:r w:rsidR="000F25C3" w:rsidRPr="00972D33">
        <w:rPr>
          <w:rFonts w:ascii="Calibri" w:eastAsia="Arial Unicode MS" w:hAnsi="Calibri" w:cs="Calibri"/>
          <w:bCs/>
          <w:i/>
          <w:sz w:val="24"/>
          <w:szCs w:val="24"/>
        </w:rPr>
        <w:t xml:space="preserve">Integrovaného </w:t>
      </w:r>
      <w:r w:rsidR="006E183B" w:rsidRPr="00972D33">
        <w:rPr>
          <w:rFonts w:ascii="Calibri" w:eastAsia="Arial Unicode MS" w:hAnsi="Calibri" w:cs="Calibri"/>
          <w:bCs/>
          <w:i/>
          <w:sz w:val="24"/>
          <w:szCs w:val="24"/>
        </w:rPr>
        <w:t xml:space="preserve">regionálního </w:t>
      </w:r>
      <w:r w:rsidR="000F25C3" w:rsidRPr="00972D33">
        <w:rPr>
          <w:rFonts w:ascii="Calibri" w:eastAsia="Arial Unicode MS" w:hAnsi="Calibri" w:cs="Calibri"/>
          <w:bCs/>
          <w:i/>
          <w:sz w:val="24"/>
          <w:szCs w:val="24"/>
        </w:rPr>
        <w:t xml:space="preserve">operačního </w:t>
      </w:r>
      <w:r w:rsidR="000F25C3" w:rsidRPr="00972D33">
        <w:rPr>
          <w:rFonts w:ascii="Calibri" w:eastAsia="Arial Unicode MS" w:hAnsi="Calibri" w:cs="Calibri"/>
          <w:bCs/>
          <w:i/>
          <w:sz w:val="24"/>
          <w:szCs w:val="24"/>
        </w:rPr>
        <w:lastRenderedPageBreak/>
        <w:t>programu</w:t>
      </w:r>
      <w:r w:rsidR="000F25C3" w:rsidRPr="004F08C7">
        <w:rPr>
          <w:rFonts w:ascii="Calibri" w:eastAsia="Arial Unicode MS" w:hAnsi="Calibri" w:cs="Calibri"/>
          <w:bCs/>
          <w:sz w:val="24"/>
          <w:szCs w:val="24"/>
          <w:vertAlign w:val="superscript"/>
        </w:rPr>
        <w:footnoteReference w:id="20"/>
      </w:r>
      <w:r w:rsidR="00B50C7C" w:rsidRPr="004F08C7">
        <w:rPr>
          <w:rFonts w:ascii="Calibri" w:eastAsia="Arial Unicode MS" w:hAnsi="Calibri" w:cs="Calibri"/>
          <w:bCs/>
          <w:sz w:val="24"/>
          <w:szCs w:val="24"/>
        </w:rPr>
        <w:t xml:space="preserve">, v aktualizaci DSS2 není zdroj financování </w:t>
      </w:r>
      <w:r w:rsidR="00A871C5" w:rsidRPr="004F08C7">
        <w:rPr>
          <w:rFonts w:ascii="Calibri" w:eastAsia="Arial Unicode MS" w:hAnsi="Calibri" w:cs="Calibri"/>
          <w:bCs/>
          <w:sz w:val="24"/>
          <w:szCs w:val="24"/>
        </w:rPr>
        <w:t xml:space="preserve">těchto projektů </w:t>
      </w:r>
      <w:r w:rsidR="00B50C7C" w:rsidRPr="004F08C7">
        <w:rPr>
          <w:rFonts w:ascii="Calibri" w:eastAsia="Arial Unicode MS" w:hAnsi="Calibri" w:cs="Calibri"/>
          <w:bCs/>
          <w:sz w:val="24"/>
          <w:szCs w:val="24"/>
        </w:rPr>
        <w:t>specifikován.</w:t>
      </w:r>
      <w:r w:rsidR="002E2C65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307DE1" w:rsidRPr="004F08C7">
        <w:rPr>
          <w:rFonts w:ascii="Calibri" w:eastAsia="Arial Unicode MS" w:hAnsi="Calibri" w:cs="Calibri"/>
          <w:bCs/>
          <w:sz w:val="24"/>
          <w:szCs w:val="24"/>
        </w:rPr>
        <w:t>MD v DSS2 pracovalo s předpokladem, že rekreační plavba je součástí cestovního ruchu</w:t>
      </w:r>
      <w:r w:rsidR="002C01F5" w:rsidRPr="004F08C7">
        <w:rPr>
          <w:rFonts w:ascii="Calibri" w:eastAsia="Arial Unicode MS" w:hAnsi="Calibri" w:cs="Calibri"/>
          <w:bCs/>
          <w:sz w:val="24"/>
          <w:szCs w:val="24"/>
        </w:rPr>
        <w:t>.</w:t>
      </w:r>
      <w:r w:rsidR="0060490C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2C01F5" w:rsidRPr="004F08C7">
        <w:rPr>
          <w:rFonts w:ascii="Calibri" w:eastAsia="Arial Unicode MS" w:hAnsi="Calibri" w:cs="Calibri"/>
          <w:bCs/>
          <w:sz w:val="24"/>
          <w:szCs w:val="24"/>
        </w:rPr>
        <w:t xml:space="preserve">V </w:t>
      </w:r>
      <w:r w:rsidR="0060490C" w:rsidRPr="004F08C7">
        <w:rPr>
          <w:rFonts w:ascii="Calibri" w:eastAsia="Arial Unicode MS" w:hAnsi="Calibri" w:cs="Calibri"/>
          <w:bCs/>
          <w:sz w:val="24"/>
          <w:szCs w:val="24"/>
        </w:rPr>
        <w:t xml:space="preserve">rámci cestovního ruchu </w:t>
      </w:r>
      <w:r w:rsidR="002C01F5" w:rsidRPr="004F08C7">
        <w:rPr>
          <w:rFonts w:ascii="Calibri" w:eastAsia="Arial Unicode MS" w:hAnsi="Calibri" w:cs="Calibri"/>
          <w:bCs/>
          <w:sz w:val="24"/>
          <w:szCs w:val="24"/>
        </w:rPr>
        <w:t xml:space="preserve">však </w:t>
      </w:r>
      <w:r w:rsidR="0060490C" w:rsidRPr="004F08C7">
        <w:rPr>
          <w:rFonts w:ascii="Calibri" w:eastAsia="Arial Unicode MS" w:hAnsi="Calibri" w:cs="Calibri"/>
          <w:bCs/>
          <w:sz w:val="24"/>
          <w:szCs w:val="24"/>
        </w:rPr>
        <w:t>problematik</w:t>
      </w:r>
      <w:r w:rsidR="00A768D2" w:rsidRPr="004F08C7">
        <w:rPr>
          <w:rFonts w:ascii="Calibri" w:eastAsia="Arial Unicode MS" w:hAnsi="Calibri" w:cs="Calibri"/>
          <w:bCs/>
          <w:sz w:val="24"/>
          <w:szCs w:val="24"/>
        </w:rPr>
        <w:t>a</w:t>
      </w:r>
      <w:r w:rsidR="0060490C" w:rsidRPr="004F08C7">
        <w:rPr>
          <w:rFonts w:ascii="Calibri" w:eastAsia="Arial Unicode MS" w:hAnsi="Calibri" w:cs="Calibri"/>
          <w:bCs/>
          <w:sz w:val="24"/>
          <w:szCs w:val="24"/>
        </w:rPr>
        <w:t xml:space="preserve"> rekreační plavby ne</w:t>
      </w:r>
      <w:r w:rsidR="002C01F5" w:rsidRPr="004F08C7">
        <w:rPr>
          <w:rFonts w:ascii="Calibri" w:eastAsia="Arial Unicode MS" w:hAnsi="Calibri" w:cs="Calibri"/>
          <w:bCs/>
          <w:sz w:val="24"/>
          <w:szCs w:val="24"/>
        </w:rPr>
        <w:t xml:space="preserve">ní </w:t>
      </w:r>
      <w:r w:rsidR="0060490C" w:rsidRPr="004F08C7">
        <w:rPr>
          <w:rFonts w:ascii="Calibri" w:eastAsia="Arial Unicode MS" w:hAnsi="Calibri" w:cs="Calibri"/>
          <w:bCs/>
          <w:sz w:val="24"/>
          <w:szCs w:val="24"/>
        </w:rPr>
        <w:t>řeš</w:t>
      </w:r>
      <w:r w:rsidR="002C01F5" w:rsidRPr="004F08C7">
        <w:rPr>
          <w:rFonts w:ascii="Calibri" w:eastAsia="Arial Unicode MS" w:hAnsi="Calibri" w:cs="Calibri"/>
          <w:bCs/>
          <w:sz w:val="24"/>
          <w:szCs w:val="24"/>
        </w:rPr>
        <w:t>ena</w:t>
      </w:r>
      <w:r w:rsidR="0060490C" w:rsidRPr="004F08C7">
        <w:rPr>
          <w:rFonts w:ascii="Calibri" w:eastAsia="Arial Unicode MS" w:hAnsi="Calibri" w:cs="Calibri"/>
          <w:bCs/>
          <w:sz w:val="24"/>
          <w:szCs w:val="24"/>
        </w:rPr>
        <w:t xml:space="preserve">. </w:t>
      </w:r>
      <w:r w:rsidR="007F3B0E" w:rsidRPr="004F08C7">
        <w:rPr>
          <w:rFonts w:ascii="Calibri" w:eastAsia="Calibri" w:hAnsi="Calibri" w:cs="Calibri"/>
          <w:sz w:val="24"/>
          <w:szCs w:val="24"/>
        </w:rPr>
        <w:t>MD nepostupovalo v souladu s Dopravní politikou, když rozvoj dopravní infrastruktury na vodních cestách neplánovalo ve spolupráci s MMR.</w:t>
      </w:r>
    </w:p>
    <w:p w14:paraId="4BBEC4E7" w14:textId="77777777" w:rsidR="001C3979" w:rsidRPr="004F08C7" w:rsidRDefault="00BC40B3" w:rsidP="004F08C7">
      <w:pPr>
        <w:spacing w:after="120" w:line="252" w:lineRule="auto"/>
        <w:jc w:val="both"/>
        <w:rPr>
          <w:rFonts w:ascii="Calibri" w:eastAsia="Arial Unicode MS" w:hAnsi="Calibri" w:cs="Calibri"/>
          <w:bCs/>
          <w:sz w:val="24"/>
          <w:szCs w:val="24"/>
        </w:rPr>
      </w:pPr>
      <w:r w:rsidRPr="004F08C7">
        <w:rPr>
          <w:rFonts w:ascii="Calibri" w:eastAsia="Arial Unicode MS" w:hAnsi="Calibri" w:cs="Calibri"/>
          <w:bCs/>
          <w:sz w:val="24"/>
          <w:szCs w:val="24"/>
        </w:rPr>
        <w:t>4.1</w:t>
      </w:r>
      <w:r w:rsidR="004247E0" w:rsidRPr="004F08C7">
        <w:rPr>
          <w:rFonts w:ascii="Calibri" w:eastAsia="Arial Unicode MS" w:hAnsi="Calibri" w:cs="Calibri"/>
          <w:bCs/>
          <w:sz w:val="24"/>
          <w:szCs w:val="24"/>
        </w:rPr>
        <w:t>5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2E2C65" w:rsidRPr="004F08C7">
        <w:rPr>
          <w:rFonts w:ascii="Calibri" w:eastAsia="Arial Unicode MS" w:hAnsi="Calibri" w:cs="Calibri"/>
          <w:bCs/>
          <w:sz w:val="24"/>
          <w:szCs w:val="24"/>
        </w:rPr>
        <w:t xml:space="preserve">Efektivnost infrastrukturních projektů na podporu rozvoje rekreační plavby, které NKÚ zkontroloval, </w:t>
      </w:r>
      <w:r w:rsidR="004E5EBD" w:rsidRPr="004F08C7">
        <w:rPr>
          <w:rFonts w:ascii="Calibri" w:eastAsia="Arial Unicode MS" w:hAnsi="Calibri" w:cs="Calibri"/>
          <w:bCs/>
          <w:sz w:val="24"/>
          <w:szCs w:val="24"/>
        </w:rPr>
        <w:t xml:space="preserve">ŘVC </w:t>
      </w:r>
      <w:r w:rsidR="002E2C65" w:rsidRPr="004F08C7">
        <w:rPr>
          <w:rFonts w:ascii="Calibri" w:eastAsia="Arial Unicode MS" w:hAnsi="Calibri" w:cs="Calibri"/>
          <w:bCs/>
          <w:sz w:val="24"/>
          <w:szCs w:val="24"/>
        </w:rPr>
        <w:t>doklád</w:t>
      </w:r>
      <w:r w:rsidR="004E5EBD" w:rsidRPr="004F08C7">
        <w:rPr>
          <w:rFonts w:ascii="Calibri" w:eastAsia="Arial Unicode MS" w:hAnsi="Calibri" w:cs="Calibri"/>
          <w:bCs/>
          <w:sz w:val="24"/>
          <w:szCs w:val="24"/>
        </w:rPr>
        <w:t>alo</w:t>
      </w:r>
      <w:r w:rsidR="002E2C65" w:rsidRPr="004F08C7">
        <w:rPr>
          <w:rFonts w:ascii="Calibri" w:eastAsia="Arial Unicode MS" w:hAnsi="Calibri" w:cs="Calibri"/>
          <w:bCs/>
          <w:sz w:val="24"/>
          <w:szCs w:val="24"/>
        </w:rPr>
        <w:t xml:space="preserve"> analýzami</w:t>
      </w:r>
      <w:r w:rsidR="002D5BF9" w:rsidRPr="004F08C7">
        <w:rPr>
          <w:rFonts w:ascii="Calibri" w:eastAsia="Arial Unicode MS" w:hAnsi="Calibri" w:cs="Calibri"/>
          <w:bCs/>
          <w:sz w:val="24"/>
          <w:szCs w:val="24"/>
        </w:rPr>
        <w:t xml:space="preserve"> opírajícími se </w:t>
      </w:r>
      <w:r w:rsidR="002E2C65" w:rsidRPr="004F08C7">
        <w:rPr>
          <w:rFonts w:ascii="Calibri" w:eastAsia="Arial Unicode MS" w:hAnsi="Calibri" w:cs="Calibri"/>
          <w:bCs/>
          <w:sz w:val="24"/>
          <w:szCs w:val="24"/>
        </w:rPr>
        <w:t xml:space="preserve">především o přínosy z cestovního ruchu. </w:t>
      </w:r>
      <w:r w:rsidR="00E9249E" w:rsidRPr="004F08C7">
        <w:rPr>
          <w:rFonts w:ascii="Calibri" w:eastAsia="Arial Unicode MS" w:hAnsi="Calibri" w:cs="Calibri"/>
          <w:bCs/>
          <w:sz w:val="24"/>
          <w:szCs w:val="24"/>
        </w:rPr>
        <w:t xml:space="preserve">O </w:t>
      </w:r>
      <w:r w:rsidR="002D5BF9" w:rsidRPr="004F08C7">
        <w:rPr>
          <w:rFonts w:ascii="Calibri" w:eastAsia="Arial Unicode MS" w:hAnsi="Calibri" w:cs="Calibri"/>
          <w:bCs/>
          <w:sz w:val="24"/>
          <w:szCs w:val="24"/>
        </w:rPr>
        <w:t>ně</w:t>
      </w:r>
      <w:r w:rsidR="00E9249E" w:rsidRPr="004F08C7">
        <w:rPr>
          <w:rFonts w:ascii="Calibri" w:eastAsia="Arial Unicode MS" w:hAnsi="Calibri" w:cs="Calibri"/>
          <w:bCs/>
          <w:sz w:val="24"/>
          <w:szCs w:val="24"/>
        </w:rPr>
        <w:t xml:space="preserve"> se opírají i souhrnná hodnocení </w:t>
      </w:r>
      <w:r w:rsidR="00891BD2" w:rsidRPr="004F08C7">
        <w:rPr>
          <w:rFonts w:ascii="Calibri" w:eastAsia="Arial Unicode MS" w:hAnsi="Calibri" w:cs="Calibri"/>
          <w:bCs/>
          <w:sz w:val="24"/>
          <w:szCs w:val="24"/>
        </w:rPr>
        <w:t xml:space="preserve">očekávané </w:t>
      </w:r>
      <w:r w:rsidR="00E9249E" w:rsidRPr="004F08C7">
        <w:rPr>
          <w:rFonts w:ascii="Calibri" w:eastAsia="Arial Unicode MS" w:hAnsi="Calibri" w:cs="Calibri"/>
          <w:bCs/>
          <w:sz w:val="24"/>
          <w:szCs w:val="24"/>
        </w:rPr>
        <w:t>efektivnosti investic na podporu rozvoje rekreační plavby a osobní lodní dopravy</w:t>
      </w:r>
      <w:r w:rsidR="00E9249E" w:rsidRPr="004F08C7">
        <w:rPr>
          <w:rFonts w:ascii="Calibri" w:eastAsia="Arial Unicode MS" w:hAnsi="Calibri" w:cs="Calibri"/>
          <w:bCs/>
          <w:sz w:val="24"/>
          <w:szCs w:val="24"/>
          <w:vertAlign w:val="superscript"/>
        </w:rPr>
        <w:footnoteReference w:id="21"/>
      </w:r>
      <w:r w:rsidR="00E9249E" w:rsidRPr="004F08C7">
        <w:rPr>
          <w:rFonts w:ascii="Calibri" w:eastAsia="Arial Unicode MS" w:hAnsi="Calibri" w:cs="Calibri"/>
          <w:bCs/>
          <w:sz w:val="24"/>
          <w:szCs w:val="24"/>
        </w:rPr>
        <w:t xml:space="preserve">. </w:t>
      </w:r>
      <w:r w:rsidR="00A871C5" w:rsidRPr="004F08C7">
        <w:rPr>
          <w:rFonts w:ascii="Calibri" w:eastAsia="Arial Unicode MS" w:hAnsi="Calibri" w:cs="Calibri"/>
          <w:bCs/>
          <w:sz w:val="24"/>
          <w:szCs w:val="24"/>
        </w:rPr>
        <w:t>Tato souhrnná hodnocení v</w:t>
      </w:r>
      <w:r w:rsidR="00E9249E" w:rsidRPr="004F08C7">
        <w:rPr>
          <w:rFonts w:ascii="Calibri" w:eastAsia="Arial Unicode MS" w:hAnsi="Calibri" w:cs="Calibri"/>
          <w:bCs/>
          <w:sz w:val="24"/>
          <w:szCs w:val="24"/>
        </w:rPr>
        <w:t>ycházejí z ohodnocení atraktivity turistických cílů v blízkosti navržených přístavů a přístavišť a z</w:t>
      </w:r>
      <w:r w:rsidR="00AA4BEE">
        <w:rPr>
          <w:rFonts w:ascii="Calibri" w:eastAsia="Arial Unicode MS" w:hAnsi="Calibri" w:cs="Calibri"/>
          <w:bCs/>
          <w:sz w:val="24"/>
          <w:szCs w:val="24"/>
        </w:rPr>
        <w:t> </w:t>
      </w:r>
      <w:r w:rsidR="00E9249E" w:rsidRPr="004F08C7">
        <w:rPr>
          <w:rFonts w:ascii="Calibri" w:eastAsia="Arial Unicode MS" w:hAnsi="Calibri" w:cs="Calibri"/>
          <w:bCs/>
          <w:sz w:val="24"/>
          <w:szCs w:val="24"/>
        </w:rPr>
        <w:t>předpokladu</w:t>
      </w:r>
      <w:r w:rsidR="00AA4BEE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E9249E" w:rsidRPr="004F08C7">
        <w:rPr>
          <w:rFonts w:ascii="Calibri" w:eastAsia="Arial Unicode MS" w:hAnsi="Calibri" w:cs="Calibri"/>
          <w:bCs/>
          <w:sz w:val="24"/>
          <w:szCs w:val="24"/>
        </w:rPr>
        <w:t xml:space="preserve">nárůstu zájmu </w:t>
      </w:r>
      <w:r w:rsidR="00E77FE0" w:rsidRPr="004F08C7">
        <w:rPr>
          <w:rFonts w:ascii="Calibri" w:eastAsia="Arial Unicode MS" w:hAnsi="Calibri" w:cs="Calibri"/>
          <w:bCs/>
          <w:sz w:val="24"/>
          <w:szCs w:val="24"/>
        </w:rPr>
        <w:t xml:space="preserve">o </w:t>
      </w:r>
      <w:r w:rsidR="00E9249E" w:rsidRPr="004F08C7">
        <w:rPr>
          <w:rFonts w:ascii="Calibri" w:eastAsia="Arial Unicode MS" w:hAnsi="Calibri" w:cs="Calibri"/>
          <w:bCs/>
          <w:sz w:val="24"/>
          <w:szCs w:val="24"/>
        </w:rPr>
        <w:t>tyto turistické cíle díky jejich dostupnosti vodní dopravou. Tento předpoklad ale není podložen žádnými objektivně ověřitelnými fakty vycházejícími z informací nebo údajů z koncepčních dokumentů</w:t>
      </w:r>
      <w:r w:rsidR="002C01F5" w:rsidRPr="004F08C7">
        <w:rPr>
          <w:rFonts w:ascii="Calibri" w:eastAsia="Arial Unicode MS" w:hAnsi="Calibri" w:cs="Calibri"/>
          <w:bCs/>
          <w:sz w:val="24"/>
          <w:szCs w:val="24"/>
        </w:rPr>
        <w:t xml:space="preserve"> resortu</w:t>
      </w:r>
      <w:r w:rsidR="00B67465" w:rsidRPr="004F08C7">
        <w:rPr>
          <w:rFonts w:ascii="Calibri" w:eastAsia="Arial Unicode MS" w:hAnsi="Calibri" w:cs="Calibri"/>
          <w:bCs/>
          <w:sz w:val="24"/>
          <w:szCs w:val="24"/>
        </w:rPr>
        <w:t>, do jehož působnosti cestovní ruch patří</w:t>
      </w:r>
      <w:r w:rsidR="00E9249E" w:rsidRPr="004F08C7">
        <w:rPr>
          <w:rFonts w:ascii="Calibri" w:eastAsia="Arial Unicode MS" w:hAnsi="Calibri" w:cs="Calibri"/>
          <w:bCs/>
          <w:sz w:val="24"/>
          <w:szCs w:val="24"/>
        </w:rPr>
        <w:t xml:space="preserve">. </w:t>
      </w:r>
      <w:r w:rsidR="0064658F" w:rsidRPr="004F08C7">
        <w:rPr>
          <w:rFonts w:ascii="Calibri" w:eastAsia="Arial Unicode MS" w:hAnsi="Calibri" w:cs="Calibri"/>
          <w:bCs/>
          <w:sz w:val="24"/>
          <w:szCs w:val="24"/>
        </w:rPr>
        <w:t>MD v</w:t>
      </w:r>
      <w:r w:rsidR="002E2C65" w:rsidRPr="004F08C7">
        <w:rPr>
          <w:rFonts w:ascii="Calibri" w:eastAsia="Arial Unicode MS" w:hAnsi="Calibri" w:cs="Calibri"/>
          <w:bCs/>
          <w:sz w:val="24"/>
          <w:szCs w:val="24"/>
        </w:rPr>
        <w:t xml:space="preserve">ýsledky uvedených </w:t>
      </w:r>
      <w:r w:rsidR="00E9249E" w:rsidRPr="004F08C7">
        <w:rPr>
          <w:rFonts w:ascii="Calibri" w:eastAsia="Arial Unicode MS" w:hAnsi="Calibri" w:cs="Calibri"/>
          <w:bCs/>
          <w:sz w:val="24"/>
          <w:szCs w:val="24"/>
        </w:rPr>
        <w:t>hodnocení</w:t>
      </w:r>
      <w:r w:rsidR="00AA4BEE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2E2C65" w:rsidRPr="004F08C7">
        <w:rPr>
          <w:rFonts w:ascii="Calibri" w:eastAsia="Arial Unicode MS" w:hAnsi="Calibri" w:cs="Calibri"/>
          <w:bCs/>
          <w:sz w:val="24"/>
          <w:szCs w:val="24"/>
        </w:rPr>
        <w:t xml:space="preserve">neverifikovalo. </w:t>
      </w:r>
      <w:r w:rsidR="001C3979" w:rsidRPr="004F08C7">
        <w:rPr>
          <w:rFonts w:ascii="Calibri" w:eastAsia="Arial Unicode MS" w:hAnsi="Calibri" w:cs="Calibri"/>
          <w:bCs/>
          <w:sz w:val="24"/>
          <w:szCs w:val="24"/>
        </w:rPr>
        <w:t>V koncepční</w:t>
      </w:r>
      <w:r w:rsidR="00EC00D7" w:rsidRPr="004F08C7">
        <w:rPr>
          <w:rFonts w:ascii="Calibri" w:eastAsia="Arial Unicode MS" w:hAnsi="Calibri" w:cs="Calibri"/>
          <w:bCs/>
          <w:sz w:val="24"/>
          <w:szCs w:val="24"/>
        </w:rPr>
        <w:t>m</w:t>
      </w:r>
      <w:r w:rsidR="001C3979" w:rsidRPr="004F08C7">
        <w:rPr>
          <w:rFonts w:ascii="Calibri" w:eastAsia="Arial Unicode MS" w:hAnsi="Calibri" w:cs="Calibri"/>
          <w:bCs/>
          <w:sz w:val="24"/>
          <w:szCs w:val="24"/>
        </w:rPr>
        <w:t xml:space="preserve"> dokument</w:t>
      </w:r>
      <w:r w:rsidR="00EC00D7" w:rsidRPr="004F08C7">
        <w:rPr>
          <w:rFonts w:ascii="Calibri" w:eastAsia="Arial Unicode MS" w:hAnsi="Calibri" w:cs="Calibri"/>
          <w:bCs/>
          <w:sz w:val="24"/>
          <w:szCs w:val="24"/>
        </w:rPr>
        <w:t>u</w:t>
      </w:r>
      <w:r w:rsidR="001C3979" w:rsidRPr="004F08C7">
        <w:rPr>
          <w:rFonts w:ascii="Calibri" w:eastAsia="Arial Unicode MS" w:hAnsi="Calibri" w:cs="Calibri"/>
          <w:bCs/>
          <w:sz w:val="24"/>
          <w:szCs w:val="24"/>
        </w:rPr>
        <w:t xml:space="preserve"> pro oblast rozvoje cestovního ruchu není rekreační plavba vůbec zmiňována</w:t>
      </w:r>
      <w:r w:rsidR="007070B9" w:rsidRPr="004F08C7">
        <w:rPr>
          <w:rFonts w:ascii="Calibri" w:eastAsia="Arial Unicode MS" w:hAnsi="Calibri" w:cs="Calibri"/>
          <w:bCs/>
          <w:sz w:val="24"/>
          <w:szCs w:val="24"/>
          <w:vertAlign w:val="superscript"/>
        </w:rPr>
        <w:footnoteReference w:id="22"/>
      </w:r>
      <w:r w:rsidR="001C3979" w:rsidRPr="004F08C7">
        <w:rPr>
          <w:rFonts w:ascii="Calibri" w:eastAsia="Arial Unicode MS" w:hAnsi="Calibri" w:cs="Calibri"/>
          <w:bCs/>
          <w:sz w:val="24"/>
          <w:szCs w:val="24"/>
        </w:rPr>
        <w:t>.</w:t>
      </w:r>
      <w:r w:rsidR="00B67465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</w:p>
    <w:p w14:paraId="7094B1E6" w14:textId="33D00BCE" w:rsidR="00B67465" w:rsidRPr="004F08C7" w:rsidRDefault="00BC40B3" w:rsidP="004F08C7">
      <w:pPr>
        <w:spacing w:after="120" w:line="252" w:lineRule="auto"/>
        <w:jc w:val="both"/>
        <w:rPr>
          <w:rFonts w:ascii="Calibri" w:eastAsia="Arial Unicode MS" w:hAnsi="Calibri" w:cs="Calibri"/>
          <w:bCs/>
          <w:sz w:val="24"/>
          <w:szCs w:val="24"/>
        </w:rPr>
      </w:pPr>
      <w:r w:rsidRPr="004F08C7">
        <w:rPr>
          <w:rFonts w:ascii="Calibri" w:eastAsia="Arial Unicode MS" w:hAnsi="Calibri" w:cs="Calibri"/>
          <w:bCs/>
          <w:sz w:val="24"/>
          <w:szCs w:val="24"/>
        </w:rPr>
        <w:t>4.1</w:t>
      </w:r>
      <w:r w:rsidR="004247E0" w:rsidRPr="004F08C7">
        <w:rPr>
          <w:rFonts w:ascii="Calibri" w:eastAsia="Arial Unicode MS" w:hAnsi="Calibri" w:cs="Calibri"/>
          <w:bCs/>
          <w:sz w:val="24"/>
          <w:szCs w:val="24"/>
        </w:rPr>
        <w:t>6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B67465" w:rsidRPr="004F08C7">
        <w:rPr>
          <w:rFonts w:ascii="Calibri" w:eastAsia="Arial Unicode MS" w:hAnsi="Calibri" w:cs="Calibri"/>
          <w:bCs/>
          <w:sz w:val="24"/>
          <w:szCs w:val="24"/>
        </w:rPr>
        <w:t>Nezbytnost zajištění komplexních služeb pro turisty v lokalitách, v nichž MD, ŘVC a Povodí Vltavy předpokládají nárůst turistického ruchu díky výstavbě přístavišť, přístavů, popř. dalších prvků infrastruktury, vyplývá z koncepčních dokumentů MD i z hodnocení efektivnosti investic. Např. v hodnocení ekonomické efektivnosti projektu výstavby zdvihadel na Orlíku a</w:t>
      </w:r>
      <w:r w:rsidR="00AA4BEE">
        <w:rPr>
          <w:rFonts w:ascii="Calibri" w:eastAsia="Arial Unicode MS" w:hAnsi="Calibri" w:cs="Calibri"/>
          <w:bCs/>
          <w:sz w:val="24"/>
          <w:szCs w:val="24"/>
        </w:rPr>
        <w:t> </w:t>
      </w:r>
      <w:r w:rsidR="00B67465" w:rsidRPr="004F08C7">
        <w:rPr>
          <w:rFonts w:ascii="Calibri" w:eastAsia="Arial Unicode MS" w:hAnsi="Calibri" w:cs="Calibri"/>
          <w:bCs/>
          <w:sz w:val="24"/>
          <w:szCs w:val="24"/>
        </w:rPr>
        <w:t xml:space="preserve">Slapech s aktuálně předpokládanými náklady přes 3 mld. Kč 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 xml:space="preserve">bylo </w:t>
      </w:r>
      <w:r w:rsidR="00C1619B">
        <w:rPr>
          <w:rFonts w:ascii="Calibri" w:eastAsia="Arial Unicode MS" w:hAnsi="Calibri" w:cs="Calibri"/>
          <w:bCs/>
          <w:sz w:val="24"/>
          <w:szCs w:val="24"/>
        </w:rPr>
        <w:t>počítáno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A1569E" w:rsidRPr="004F08C7">
        <w:rPr>
          <w:rFonts w:ascii="Calibri" w:eastAsia="Arial Unicode MS" w:hAnsi="Calibri" w:cs="Calibri"/>
          <w:bCs/>
          <w:sz w:val="24"/>
          <w:szCs w:val="24"/>
        </w:rPr>
        <w:t xml:space="preserve">mj. 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>s náklady 2</w:t>
      </w:r>
      <w:r w:rsidR="00C1619B">
        <w:rPr>
          <w:rFonts w:ascii="Calibri" w:eastAsia="Arial Unicode MS" w:hAnsi="Calibri" w:cs="Calibri"/>
          <w:bCs/>
          <w:sz w:val="24"/>
          <w:szCs w:val="24"/>
        </w:rPr>
        <w:t>× 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>100</w:t>
      </w:r>
      <w:r w:rsidR="00C1619B">
        <w:rPr>
          <w:rFonts w:ascii="Calibri" w:eastAsia="Arial Unicode MS" w:hAnsi="Calibri" w:cs="Calibri"/>
          <w:bCs/>
          <w:sz w:val="24"/>
          <w:szCs w:val="24"/>
        </w:rPr>
        <w:t> 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>mil.</w:t>
      </w:r>
      <w:r w:rsidR="00C1619B">
        <w:rPr>
          <w:rFonts w:ascii="Calibri" w:eastAsia="Arial Unicode MS" w:hAnsi="Calibri" w:cs="Calibri"/>
          <w:bCs/>
          <w:sz w:val="24"/>
          <w:szCs w:val="24"/>
        </w:rPr>
        <w:t> 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>Kč na „</w:t>
      </w:r>
      <w:r w:rsidR="00F160F2" w:rsidRPr="004F08C7">
        <w:rPr>
          <w:rFonts w:ascii="Calibri" w:eastAsia="Arial Unicode MS" w:hAnsi="Calibri" w:cs="Calibri"/>
          <w:bCs/>
          <w:i/>
          <w:sz w:val="24"/>
          <w:szCs w:val="24"/>
        </w:rPr>
        <w:t>nezbytnou turistickou infrastrukturu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>“ s odůvodněním „</w:t>
      </w:r>
      <w:r w:rsidR="00F160F2" w:rsidRPr="004F08C7">
        <w:rPr>
          <w:rFonts w:ascii="Calibri" w:eastAsia="Arial Unicode MS" w:hAnsi="Calibri" w:cs="Calibri"/>
          <w:bCs/>
          <w:i/>
          <w:sz w:val="24"/>
          <w:szCs w:val="24"/>
        </w:rPr>
        <w:t>Bez této doprovodné infrastruktury by byla návštěvnost a pozitivní efekty z ní plynoucí omezeny, a</w:t>
      </w:r>
      <w:r w:rsidR="00C1619B">
        <w:rPr>
          <w:rFonts w:ascii="Calibri" w:eastAsia="Arial Unicode MS" w:hAnsi="Calibri" w:cs="Calibri"/>
          <w:bCs/>
          <w:i/>
          <w:sz w:val="24"/>
          <w:szCs w:val="24"/>
        </w:rPr>
        <w:t> </w:t>
      </w:r>
      <w:r w:rsidR="00F160F2" w:rsidRPr="004F08C7">
        <w:rPr>
          <w:rFonts w:ascii="Calibri" w:eastAsia="Arial Unicode MS" w:hAnsi="Calibri" w:cs="Calibri"/>
          <w:bCs/>
          <w:i/>
          <w:sz w:val="24"/>
          <w:szCs w:val="24"/>
        </w:rPr>
        <w:t>naopak by mohlo vlivem živelné a nepodporované turistiky dojít k negativním vlivům turistického ruchu v okolí zdvihadla</w:t>
      </w:r>
      <w:r w:rsidR="00C1619B">
        <w:rPr>
          <w:rFonts w:ascii="Calibri" w:eastAsia="Arial Unicode MS" w:hAnsi="Calibri" w:cs="Calibri"/>
          <w:bCs/>
          <w:i/>
          <w:sz w:val="24"/>
          <w:szCs w:val="24"/>
        </w:rPr>
        <w:t>.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>“ Žádné bližší informace o tom, kdo, kdy a jakou turistickou infrastrukturu vybuduje</w:t>
      </w:r>
      <w:r w:rsidR="00A1569E" w:rsidRPr="004F08C7">
        <w:rPr>
          <w:rFonts w:ascii="Calibri" w:eastAsia="Arial Unicode MS" w:hAnsi="Calibri" w:cs="Calibri"/>
          <w:bCs/>
          <w:sz w:val="24"/>
          <w:szCs w:val="24"/>
        </w:rPr>
        <w:t>,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 xml:space="preserve"> však </w:t>
      </w:r>
      <w:r w:rsidR="00A1569E" w:rsidRPr="004F08C7">
        <w:rPr>
          <w:rFonts w:ascii="Calibri" w:eastAsia="Arial Unicode MS" w:hAnsi="Calibri" w:cs="Calibri"/>
          <w:bCs/>
          <w:sz w:val="24"/>
          <w:szCs w:val="24"/>
        </w:rPr>
        <w:t>v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> doklad</w:t>
      </w:r>
      <w:r w:rsidR="00A1569E" w:rsidRPr="004F08C7">
        <w:rPr>
          <w:rFonts w:ascii="Calibri" w:eastAsia="Arial Unicode MS" w:hAnsi="Calibri" w:cs="Calibri"/>
          <w:bCs/>
          <w:sz w:val="24"/>
          <w:szCs w:val="24"/>
        </w:rPr>
        <w:t>ech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 xml:space="preserve"> týkajících se </w:t>
      </w:r>
      <w:r w:rsidR="00A1569E" w:rsidRPr="004F08C7">
        <w:rPr>
          <w:rFonts w:ascii="Calibri" w:eastAsia="Arial Unicode MS" w:hAnsi="Calibri" w:cs="Calibri"/>
          <w:bCs/>
          <w:sz w:val="24"/>
          <w:szCs w:val="24"/>
        </w:rPr>
        <w:t xml:space="preserve">přípravy 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>výstavby lodních zdvihadel ne</w:t>
      </w:r>
      <w:r w:rsidR="00982A4C" w:rsidRPr="004F08C7">
        <w:rPr>
          <w:rFonts w:ascii="Calibri" w:eastAsia="Arial Unicode MS" w:hAnsi="Calibri" w:cs="Calibri"/>
          <w:bCs/>
          <w:sz w:val="24"/>
          <w:szCs w:val="24"/>
        </w:rPr>
        <w:t>jsou</w:t>
      </w:r>
      <w:r w:rsidR="00F160F2" w:rsidRPr="004F08C7">
        <w:rPr>
          <w:rFonts w:ascii="Calibri" w:eastAsia="Arial Unicode MS" w:hAnsi="Calibri" w:cs="Calibri"/>
          <w:bCs/>
          <w:sz w:val="24"/>
          <w:szCs w:val="24"/>
        </w:rPr>
        <w:t xml:space="preserve"> uvedeny.</w:t>
      </w:r>
    </w:p>
    <w:p w14:paraId="1379B88C" w14:textId="77777777" w:rsidR="0026018A" w:rsidRPr="004F08C7" w:rsidRDefault="0026018A" w:rsidP="004F08C7">
      <w:pPr>
        <w:spacing w:after="120"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4F08C7">
        <w:rPr>
          <w:rFonts w:ascii="Calibri" w:hAnsi="Calibri" w:cs="Calibri"/>
          <w:b/>
          <w:sz w:val="24"/>
          <w:szCs w:val="24"/>
        </w:rPr>
        <w:t>ŘVC i Povodí Vltavy neprováděly řádně přípravu projektů</w:t>
      </w:r>
    </w:p>
    <w:p w14:paraId="3FA98D3B" w14:textId="7879499C" w:rsidR="0026018A" w:rsidRPr="004F08C7" w:rsidRDefault="0026018A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4.17 </w:t>
      </w:r>
      <w:r w:rsidR="00B13895" w:rsidRPr="004F08C7">
        <w:rPr>
          <w:rFonts w:ascii="Calibri" w:hAnsi="Calibri" w:cs="Calibri"/>
          <w:sz w:val="24"/>
          <w:szCs w:val="24"/>
        </w:rPr>
        <w:t xml:space="preserve">Řádná příprava projektů a jejich souborů v rámci ucelených dopravních řešení má klíčový význam pro zajištění účelného, hospodárného a efektivního vynakládání peněžních prostředků na jejich realizaci. </w:t>
      </w:r>
      <w:r w:rsidR="00FD20B7" w:rsidRPr="004F08C7">
        <w:rPr>
          <w:rFonts w:ascii="Calibri" w:hAnsi="Calibri" w:cs="Calibri"/>
          <w:sz w:val="24"/>
          <w:szCs w:val="24"/>
        </w:rPr>
        <w:t xml:space="preserve">Při zpracování </w:t>
      </w:r>
      <w:r w:rsidRPr="004F08C7">
        <w:rPr>
          <w:rFonts w:ascii="Calibri" w:hAnsi="Calibri" w:cs="Calibri"/>
          <w:sz w:val="24"/>
          <w:szCs w:val="24"/>
        </w:rPr>
        <w:t>investiční</w:t>
      </w:r>
      <w:r w:rsidR="00FD20B7" w:rsidRPr="004F08C7">
        <w:rPr>
          <w:rFonts w:ascii="Calibri" w:hAnsi="Calibri" w:cs="Calibri"/>
          <w:sz w:val="24"/>
          <w:szCs w:val="24"/>
        </w:rPr>
        <w:t xml:space="preserve">ho </w:t>
      </w:r>
      <w:r w:rsidRPr="004F08C7">
        <w:rPr>
          <w:rFonts w:ascii="Calibri" w:hAnsi="Calibri" w:cs="Calibri"/>
          <w:sz w:val="24"/>
          <w:szCs w:val="24"/>
        </w:rPr>
        <w:t>záměr</w:t>
      </w:r>
      <w:r w:rsidR="00FD20B7" w:rsidRPr="004F08C7">
        <w:rPr>
          <w:rFonts w:ascii="Calibri" w:hAnsi="Calibri" w:cs="Calibri"/>
          <w:sz w:val="24"/>
          <w:szCs w:val="24"/>
        </w:rPr>
        <w:t>u</w:t>
      </w:r>
      <w:r w:rsidRPr="004F08C7">
        <w:rPr>
          <w:rFonts w:ascii="Calibri" w:hAnsi="Calibri" w:cs="Calibri"/>
          <w:sz w:val="24"/>
          <w:szCs w:val="24"/>
        </w:rPr>
        <w:t xml:space="preserve"> projektu </w:t>
      </w:r>
      <w:r w:rsidRPr="004F08C7">
        <w:rPr>
          <w:rFonts w:ascii="Calibri" w:hAnsi="Calibri" w:cs="Calibri"/>
          <w:i/>
          <w:sz w:val="24"/>
          <w:szCs w:val="24"/>
        </w:rPr>
        <w:t xml:space="preserve">Dokončení Vltavské vodní cesty v úseku VD Hněvkovice </w:t>
      </w:r>
      <w:r w:rsidR="00AA4BEE">
        <w:rPr>
          <w:rFonts w:ascii="Calibri" w:hAnsi="Calibri" w:cs="Calibri"/>
          <w:i/>
          <w:sz w:val="24"/>
          <w:szCs w:val="24"/>
        </w:rPr>
        <w:t>–</w:t>
      </w:r>
      <w:r w:rsidRPr="004F08C7">
        <w:rPr>
          <w:rFonts w:ascii="Calibri" w:hAnsi="Calibri" w:cs="Calibri"/>
          <w:i/>
          <w:sz w:val="24"/>
          <w:szCs w:val="24"/>
        </w:rPr>
        <w:t xml:space="preserve"> Týn nad Vltavou </w:t>
      </w:r>
      <w:r w:rsidRPr="004F08C7">
        <w:rPr>
          <w:rFonts w:ascii="Calibri" w:hAnsi="Calibri" w:cs="Calibri"/>
          <w:sz w:val="24"/>
          <w:szCs w:val="24"/>
        </w:rPr>
        <w:t xml:space="preserve">z března 2006 </w:t>
      </w:r>
      <w:r w:rsidR="00FD20B7" w:rsidRPr="004F08C7">
        <w:rPr>
          <w:rFonts w:ascii="Calibri" w:hAnsi="Calibri" w:cs="Calibri"/>
          <w:sz w:val="24"/>
          <w:szCs w:val="24"/>
        </w:rPr>
        <w:t>ŘVC vycházelo z</w:t>
      </w:r>
      <w:r w:rsidRPr="004F08C7">
        <w:rPr>
          <w:rFonts w:ascii="Calibri" w:hAnsi="Calibri" w:cs="Calibri"/>
          <w:sz w:val="24"/>
          <w:szCs w:val="24"/>
        </w:rPr>
        <w:t xml:space="preserve"> nepřesných a</w:t>
      </w:r>
      <w:r w:rsidR="00AA4BEE">
        <w:rPr>
          <w:rFonts w:ascii="Calibri" w:hAnsi="Calibri" w:cs="Calibri"/>
          <w:sz w:val="24"/>
          <w:szCs w:val="24"/>
        </w:rPr>
        <w:t> </w:t>
      </w:r>
      <w:r w:rsidRPr="004F08C7">
        <w:rPr>
          <w:rFonts w:ascii="Calibri" w:hAnsi="Calibri" w:cs="Calibri"/>
          <w:sz w:val="24"/>
          <w:szCs w:val="24"/>
        </w:rPr>
        <w:t>neúplných podkladů</w:t>
      </w:r>
      <w:r w:rsidR="00FD20B7" w:rsidRPr="004F08C7">
        <w:rPr>
          <w:rFonts w:ascii="Calibri" w:hAnsi="Calibri" w:cs="Calibri"/>
          <w:sz w:val="24"/>
          <w:szCs w:val="24"/>
        </w:rPr>
        <w:t>. Investiční záměr projektu</w:t>
      </w:r>
      <w:r w:rsidRPr="004F08C7">
        <w:rPr>
          <w:rFonts w:ascii="Calibri" w:hAnsi="Calibri" w:cs="Calibri"/>
          <w:sz w:val="24"/>
          <w:szCs w:val="24"/>
        </w:rPr>
        <w:t xml:space="preserve"> předložilo ke schválení MD, které jej v srpnu</w:t>
      </w:r>
      <w:r w:rsidR="00427803">
        <w:rPr>
          <w:rFonts w:ascii="Calibri" w:hAnsi="Calibri" w:cs="Calibri"/>
          <w:sz w:val="24"/>
          <w:szCs w:val="24"/>
        </w:rPr>
        <w:t> </w:t>
      </w:r>
      <w:r w:rsidRPr="004F08C7">
        <w:rPr>
          <w:rFonts w:ascii="Calibri" w:hAnsi="Calibri" w:cs="Calibri"/>
          <w:sz w:val="24"/>
          <w:szCs w:val="24"/>
        </w:rPr>
        <w:t xml:space="preserve">2007 schválilo. ŘVC následně investiční záměr projektu přepracovalo a v dubnu 2009 jej předložilo ke schválení MD s více než dvojnásobnými předpokládanými náklady (viz </w:t>
      </w:r>
      <w:r w:rsidR="000C36CC" w:rsidRPr="004F08C7">
        <w:rPr>
          <w:rFonts w:ascii="Calibri" w:hAnsi="Calibri" w:cs="Calibri"/>
          <w:sz w:val="24"/>
          <w:szCs w:val="24"/>
        </w:rPr>
        <w:t>4.34</w:t>
      </w:r>
      <w:r w:rsidRPr="004F08C7">
        <w:rPr>
          <w:rFonts w:ascii="Calibri" w:hAnsi="Calibri" w:cs="Calibri"/>
          <w:sz w:val="24"/>
          <w:szCs w:val="24"/>
        </w:rPr>
        <w:t xml:space="preserve">). </w:t>
      </w:r>
      <w:r w:rsidR="00FD20B7" w:rsidRPr="004F08C7">
        <w:rPr>
          <w:rFonts w:ascii="Calibri" w:hAnsi="Calibri" w:cs="Calibri"/>
          <w:sz w:val="24"/>
          <w:szCs w:val="24"/>
        </w:rPr>
        <w:t>P</w:t>
      </w:r>
      <w:r w:rsidRPr="004F08C7">
        <w:rPr>
          <w:rFonts w:ascii="Calibri" w:hAnsi="Calibri" w:cs="Calibri"/>
          <w:sz w:val="24"/>
          <w:szCs w:val="24"/>
        </w:rPr>
        <w:t xml:space="preserve">rovedlo </w:t>
      </w:r>
      <w:r w:rsidR="00FD20B7" w:rsidRPr="004F08C7">
        <w:rPr>
          <w:rFonts w:ascii="Calibri" w:hAnsi="Calibri" w:cs="Calibri"/>
          <w:sz w:val="24"/>
          <w:szCs w:val="24"/>
        </w:rPr>
        <w:t xml:space="preserve">přitom </w:t>
      </w:r>
      <w:r w:rsidRPr="004F08C7">
        <w:rPr>
          <w:rFonts w:ascii="Calibri" w:hAnsi="Calibri" w:cs="Calibri"/>
          <w:sz w:val="24"/>
          <w:szCs w:val="24"/>
        </w:rPr>
        <w:t xml:space="preserve">řadu změn včetně vypuštění řešení nevyhovující podjezdné výšky mostu pro pěší v Týně nad Vltavou, neboť přípravu této části projektu nestihlo včas dokončit (viz </w:t>
      </w:r>
      <w:r w:rsidR="000C36CC" w:rsidRPr="004F08C7">
        <w:rPr>
          <w:rFonts w:ascii="Calibri" w:hAnsi="Calibri" w:cs="Calibri"/>
          <w:sz w:val="24"/>
          <w:szCs w:val="24"/>
        </w:rPr>
        <w:t>4.43</w:t>
      </w:r>
      <w:r w:rsidRPr="004F08C7">
        <w:rPr>
          <w:rFonts w:ascii="Calibri" w:hAnsi="Calibri" w:cs="Calibri"/>
          <w:sz w:val="24"/>
          <w:szCs w:val="24"/>
        </w:rPr>
        <w:t xml:space="preserve">). MD aktualizovaný investiční záměr projektu schválilo v červenci 2009. Realizace projektu měla </w:t>
      </w:r>
      <w:r w:rsidRPr="004F08C7">
        <w:rPr>
          <w:rFonts w:ascii="Calibri" w:hAnsi="Calibri" w:cs="Calibri"/>
          <w:sz w:val="24"/>
          <w:szCs w:val="24"/>
        </w:rPr>
        <w:lastRenderedPageBreak/>
        <w:t>být dokončena do dubna 2014. T</w:t>
      </w:r>
      <w:r w:rsidR="00FD20B7" w:rsidRPr="004F08C7">
        <w:rPr>
          <w:rFonts w:ascii="Calibri" w:hAnsi="Calibri" w:cs="Calibri"/>
          <w:sz w:val="24"/>
          <w:szCs w:val="24"/>
        </w:rPr>
        <w:t>ento t</w:t>
      </w:r>
      <w:r w:rsidRPr="004F08C7">
        <w:rPr>
          <w:rFonts w:ascii="Calibri" w:hAnsi="Calibri" w:cs="Calibri"/>
          <w:sz w:val="24"/>
          <w:szCs w:val="24"/>
        </w:rPr>
        <w:t xml:space="preserve">ermín ale ŘVC nedodrželo a v důsledku problémů se zadáním veřejné zakázky a velkého počtu změn v průběhu výstavby projekt dokončilo až o tři roky později. Důsledkem bylo mj. výrazné snížení podílu využití peněžních </w:t>
      </w:r>
      <w:r w:rsidR="00637FB0" w:rsidRPr="004F08C7">
        <w:rPr>
          <w:rFonts w:ascii="Calibri" w:hAnsi="Calibri" w:cs="Calibri"/>
          <w:sz w:val="24"/>
          <w:szCs w:val="24"/>
        </w:rPr>
        <w:t>prostředků</w:t>
      </w:r>
      <w:r w:rsidRPr="004F08C7">
        <w:rPr>
          <w:rFonts w:ascii="Calibri" w:hAnsi="Calibri" w:cs="Calibri"/>
          <w:sz w:val="24"/>
          <w:szCs w:val="24"/>
        </w:rPr>
        <w:t xml:space="preserve"> EU k</w:t>
      </w:r>
      <w:r w:rsidR="00AA4BEE">
        <w:rPr>
          <w:rFonts w:ascii="Calibri" w:hAnsi="Calibri" w:cs="Calibri"/>
          <w:sz w:val="24"/>
          <w:szCs w:val="24"/>
        </w:rPr>
        <w:t> </w:t>
      </w:r>
      <w:r w:rsidRPr="004F08C7">
        <w:rPr>
          <w:rFonts w:ascii="Calibri" w:hAnsi="Calibri" w:cs="Calibri"/>
          <w:sz w:val="24"/>
          <w:szCs w:val="24"/>
        </w:rPr>
        <w:t xml:space="preserve">financování projektu z 85 % na 48,7 % a nutnost nahradit je národními zdroji. Po uplatnění finanční korekce na výdaje EU předfinancované do srpna 2012 byl tento podíl peněžních </w:t>
      </w:r>
      <w:r w:rsidR="00637FB0" w:rsidRPr="004F08C7">
        <w:rPr>
          <w:rFonts w:ascii="Calibri" w:hAnsi="Calibri" w:cs="Calibri"/>
          <w:sz w:val="24"/>
          <w:szCs w:val="24"/>
        </w:rPr>
        <w:t>prostředků</w:t>
      </w:r>
      <w:r w:rsidRPr="004F08C7">
        <w:rPr>
          <w:rFonts w:ascii="Calibri" w:hAnsi="Calibri" w:cs="Calibri"/>
          <w:sz w:val="24"/>
          <w:szCs w:val="24"/>
        </w:rPr>
        <w:t xml:space="preserve"> EU poskytovaných z </w:t>
      </w:r>
      <w:r w:rsidR="00802441" w:rsidRPr="004F08C7">
        <w:rPr>
          <w:rFonts w:ascii="Calibri" w:hAnsi="Calibri" w:cs="Calibri"/>
          <w:sz w:val="24"/>
          <w:szCs w:val="24"/>
        </w:rPr>
        <w:t>OPD</w:t>
      </w:r>
      <w:r w:rsidRPr="004F08C7">
        <w:rPr>
          <w:rFonts w:ascii="Calibri" w:hAnsi="Calibri" w:cs="Calibri"/>
          <w:sz w:val="24"/>
          <w:szCs w:val="24"/>
        </w:rPr>
        <w:t xml:space="preserve"> snížen na výsledných 46,0 %. Velký objem změn v průběhu realizace projektu svědčí o jeho nedostatečně provedené přípravě. Při zadávání stavebních prací </w:t>
      </w:r>
      <w:r w:rsidR="00637FB0" w:rsidRPr="004F08C7">
        <w:rPr>
          <w:rFonts w:ascii="Calibri" w:hAnsi="Calibri" w:cs="Calibri"/>
          <w:sz w:val="24"/>
          <w:szCs w:val="24"/>
        </w:rPr>
        <w:t>nezbyt</w:t>
      </w:r>
      <w:r w:rsidRPr="004F08C7">
        <w:rPr>
          <w:rFonts w:ascii="Calibri" w:hAnsi="Calibri" w:cs="Calibri"/>
          <w:sz w:val="24"/>
          <w:szCs w:val="24"/>
        </w:rPr>
        <w:t xml:space="preserve">ných pro dokončení projektu formou samostatné veřejné zakázky navíc ŘVC porušilo zákon </w:t>
      </w:r>
      <w:r w:rsidR="00FC627C" w:rsidRPr="004F08C7">
        <w:rPr>
          <w:rFonts w:ascii="Calibri" w:hAnsi="Calibri" w:cs="Calibri"/>
          <w:sz w:val="24"/>
          <w:szCs w:val="24"/>
        </w:rPr>
        <w:t xml:space="preserve">č. 137/2006 Sb., </w:t>
      </w:r>
      <w:r w:rsidR="0064658F" w:rsidRPr="004F08C7">
        <w:rPr>
          <w:rFonts w:ascii="Calibri" w:hAnsi="Calibri" w:cs="Calibri"/>
          <w:sz w:val="24"/>
          <w:szCs w:val="24"/>
        </w:rPr>
        <w:t xml:space="preserve">o veřejných zakázkách </w:t>
      </w:r>
      <w:r w:rsidRPr="004F08C7">
        <w:rPr>
          <w:rFonts w:ascii="Calibri" w:hAnsi="Calibri" w:cs="Calibri"/>
          <w:sz w:val="24"/>
          <w:szCs w:val="24"/>
        </w:rPr>
        <w:t xml:space="preserve">(viz </w:t>
      </w:r>
      <w:r w:rsidR="000C36CC" w:rsidRPr="004F08C7">
        <w:rPr>
          <w:rFonts w:ascii="Calibri" w:hAnsi="Calibri" w:cs="Calibri"/>
          <w:sz w:val="24"/>
          <w:szCs w:val="24"/>
        </w:rPr>
        <w:t>4.41</w:t>
      </w:r>
      <w:r w:rsidRPr="004F08C7">
        <w:rPr>
          <w:rFonts w:ascii="Calibri" w:hAnsi="Calibri" w:cs="Calibri"/>
          <w:sz w:val="24"/>
          <w:szCs w:val="24"/>
        </w:rPr>
        <w:t>).</w:t>
      </w:r>
    </w:p>
    <w:p w14:paraId="669BD704" w14:textId="4F61A0D2" w:rsidR="0026018A" w:rsidRPr="004F08C7" w:rsidRDefault="0026018A" w:rsidP="004F08C7">
      <w:pPr>
        <w:spacing w:after="120" w:line="252" w:lineRule="auto"/>
        <w:jc w:val="both"/>
        <w:rPr>
          <w:rFonts w:ascii="Calibri" w:eastAsia="Arial Unicode MS" w:hAnsi="Calibri" w:cs="Calibri"/>
          <w:bCs/>
          <w:sz w:val="24"/>
          <w:szCs w:val="24"/>
        </w:rPr>
      </w:pP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4.18 ŘVC při aktualizaci investičního záměru projektu </w:t>
      </w:r>
      <w:r w:rsidRPr="004F08C7">
        <w:rPr>
          <w:rFonts w:ascii="Calibri" w:eastAsia="Arial Unicode MS" w:hAnsi="Calibri" w:cs="Calibri"/>
          <w:bCs/>
          <w:i/>
          <w:sz w:val="24"/>
          <w:szCs w:val="24"/>
        </w:rPr>
        <w:t>Rekreační přístav Petrov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 ze září 2010 v listopadu 2012 v důsledku změny provozního modelu přístavu (původně ho měl provozovat </w:t>
      </w:r>
      <w:r w:rsidR="0064658F" w:rsidRPr="004F08C7">
        <w:rPr>
          <w:rFonts w:ascii="Calibri" w:eastAsia="Arial Unicode MS" w:hAnsi="Calibri" w:cs="Calibri"/>
          <w:bCs/>
          <w:sz w:val="24"/>
          <w:szCs w:val="24"/>
        </w:rPr>
        <w:t xml:space="preserve">správce </w:t>
      </w:r>
      <w:r w:rsidR="00016AE6" w:rsidRPr="004F08C7">
        <w:rPr>
          <w:rFonts w:ascii="Calibri" w:eastAsia="Arial Unicode MS" w:hAnsi="Calibri" w:cs="Calibri"/>
          <w:bCs/>
          <w:sz w:val="24"/>
          <w:szCs w:val="24"/>
        </w:rPr>
        <w:t>vodní cesty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) výrazně upravilo rozsah prací a stavebně technických řešení. Do projektu ŘVC zařadilo mj. i stavební přípravu pro umístění čerpací stanice pohonných hmot (původně </w:t>
      </w:r>
      <w:r w:rsidR="00FB5E5E">
        <w:rPr>
          <w:rFonts w:ascii="Calibri" w:eastAsia="Arial Unicode MS" w:hAnsi="Calibri" w:cs="Calibri"/>
          <w:bCs/>
          <w:sz w:val="24"/>
          <w:szCs w:val="24"/>
        </w:rPr>
        <w:t xml:space="preserve">plánovalo čerpání 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pohonných hmot z kanystrů). Přístav ŘVC zprovoznilo v roce 2017, ale dostavbu čerpací stanice pohonných hmot z důvodu nevypořádání majetkoprávních vztahů se </w:t>
      </w:r>
      <w:r w:rsidR="00071413" w:rsidRPr="004F08C7">
        <w:rPr>
          <w:rFonts w:ascii="Calibri" w:eastAsia="Arial Unicode MS" w:hAnsi="Calibri" w:cs="Calibri"/>
          <w:bCs/>
          <w:sz w:val="24"/>
          <w:szCs w:val="24"/>
        </w:rPr>
        <w:t>správcem vodní cesty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 plánuje zahájit až po ukončení plavební sezóny 2022. </w:t>
      </w:r>
      <w:r w:rsidR="00637FB0" w:rsidRPr="004F08C7">
        <w:rPr>
          <w:rFonts w:ascii="Calibri" w:eastAsia="Arial Unicode MS" w:hAnsi="Calibri" w:cs="Calibri"/>
          <w:bCs/>
          <w:sz w:val="24"/>
          <w:szCs w:val="24"/>
        </w:rPr>
        <w:t>Rovněž d</w:t>
      </w:r>
      <w:r w:rsidR="000E6057" w:rsidRPr="004F08C7">
        <w:rPr>
          <w:rFonts w:ascii="Calibri" w:eastAsia="Arial Unicode MS" w:hAnsi="Calibri" w:cs="Calibri"/>
          <w:bCs/>
          <w:sz w:val="24"/>
          <w:szCs w:val="24"/>
        </w:rPr>
        <w:t>odávku jeřábu umožňujícího v přístavu Petrov spouštět do vody malá plavidla ŘVC zajistilo f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>ormou samostatného projektu</w:t>
      </w:r>
      <w:r w:rsidR="00071413" w:rsidRPr="004F08C7">
        <w:rPr>
          <w:rFonts w:ascii="Calibri" w:eastAsia="Arial Unicode MS" w:hAnsi="Calibri" w:cs="Calibri"/>
          <w:bCs/>
          <w:sz w:val="24"/>
          <w:szCs w:val="24"/>
        </w:rPr>
        <w:t>. P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o dodání jeřábu </w:t>
      </w:r>
      <w:r w:rsidR="00071413" w:rsidRPr="004F08C7">
        <w:rPr>
          <w:rFonts w:ascii="Calibri" w:eastAsia="Arial Unicode MS" w:hAnsi="Calibri" w:cs="Calibri"/>
          <w:bCs/>
          <w:sz w:val="24"/>
          <w:szCs w:val="24"/>
        </w:rPr>
        <w:t xml:space="preserve">dodatečně 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zadalo </w:t>
      </w:r>
      <w:r w:rsidR="00326BBF" w:rsidRPr="004F08C7">
        <w:rPr>
          <w:rFonts w:ascii="Calibri" w:eastAsia="Arial Unicode MS" w:hAnsi="Calibri" w:cs="Calibri"/>
          <w:bCs/>
          <w:sz w:val="24"/>
          <w:szCs w:val="24"/>
        </w:rPr>
        <w:t xml:space="preserve">úpravu jeho 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technického řešení </w:t>
      </w:r>
      <w:r w:rsidR="00326BBF" w:rsidRPr="004F08C7">
        <w:rPr>
          <w:rFonts w:ascii="Calibri" w:eastAsia="Arial Unicode MS" w:hAnsi="Calibri" w:cs="Calibri"/>
          <w:bCs/>
          <w:sz w:val="24"/>
          <w:szCs w:val="24"/>
        </w:rPr>
        <w:t xml:space="preserve">(změnu 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>vahadla</w:t>
      </w:r>
      <w:r w:rsidR="00326BBF" w:rsidRPr="004F08C7">
        <w:rPr>
          <w:rFonts w:ascii="Calibri" w:eastAsia="Arial Unicode MS" w:hAnsi="Calibri" w:cs="Calibri"/>
          <w:bCs/>
          <w:sz w:val="24"/>
          <w:szCs w:val="24"/>
        </w:rPr>
        <w:t xml:space="preserve"> jeřábu)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. </w:t>
      </w:r>
    </w:p>
    <w:p w14:paraId="03949258" w14:textId="5757540D" w:rsidR="0026018A" w:rsidRPr="004F08C7" w:rsidRDefault="000E6057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4.19 </w:t>
      </w:r>
      <w:r w:rsidR="0026018A" w:rsidRPr="004F08C7">
        <w:rPr>
          <w:rFonts w:ascii="Calibri" w:hAnsi="Calibri" w:cs="Calibri"/>
          <w:sz w:val="24"/>
          <w:szCs w:val="24"/>
        </w:rPr>
        <w:t xml:space="preserve">ŘVC v záměru projektu </w:t>
      </w:r>
      <w:r w:rsidR="0026018A" w:rsidRPr="004F08C7">
        <w:rPr>
          <w:rFonts w:ascii="Calibri" w:hAnsi="Calibri" w:cs="Calibri"/>
          <w:i/>
          <w:sz w:val="24"/>
          <w:szCs w:val="24"/>
        </w:rPr>
        <w:t>Rekreační přístav Veselí nad Moravou</w:t>
      </w:r>
      <w:r w:rsidR="0026018A" w:rsidRPr="004F08C7">
        <w:rPr>
          <w:rFonts w:ascii="Calibri" w:hAnsi="Calibri" w:cs="Calibri"/>
          <w:sz w:val="24"/>
          <w:szCs w:val="24"/>
        </w:rPr>
        <w:t xml:space="preserve"> z června 2017 </w:t>
      </w:r>
      <w:r w:rsidR="00572E1E">
        <w:rPr>
          <w:rFonts w:ascii="Calibri" w:hAnsi="Calibri" w:cs="Calibri"/>
          <w:sz w:val="24"/>
          <w:szCs w:val="24"/>
        </w:rPr>
        <w:t>kalkulovalo</w:t>
      </w:r>
      <w:r w:rsidR="0026018A" w:rsidRPr="004F08C7">
        <w:rPr>
          <w:rFonts w:ascii="Calibri" w:hAnsi="Calibri" w:cs="Calibri"/>
          <w:sz w:val="24"/>
          <w:szCs w:val="24"/>
        </w:rPr>
        <w:t xml:space="preserve"> s jeho celkovými investičními náklady 42,5 mil. Kč a s realizací v letech 2019</w:t>
      </w:r>
      <w:r w:rsidR="00572E1E">
        <w:rPr>
          <w:rFonts w:ascii="Calibri" w:hAnsi="Calibri" w:cs="Calibri"/>
          <w:sz w:val="24"/>
          <w:szCs w:val="24"/>
        </w:rPr>
        <w:t>–</w:t>
      </w:r>
      <w:r w:rsidR="0026018A" w:rsidRPr="004F08C7">
        <w:rPr>
          <w:rFonts w:ascii="Calibri" w:hAnsi="Calibri" w:cs="Calibri"/>
          <w:sz w:val="24"/>
          <w:szCs w:val="24"/>
        </w:rPr>
        <w:t>2020. Záměr projektu s těmito parametry MD schválilo v září 2017. V aktualizaci záměru z listopadu 2019 ŘVC náklady projektu navýšilo na 82,1 mil. Kč a v další aktualizaci z února 2021 na 97,8 mil. Kč (vše vč. DPH), tedy více než dvojnásobně oproti původním předpokladům. Cenové nárůsty ŘVC odůvodnilo zejména upřesněním rozsahu a způsobu provedení prací a navýšením cenové úrovně od doby zpracování původního záměru projektu. Aktualizace záměru projektu schválilo MD v prosinci 2019 a v květnu 2021. Rozsah a způsob provedení prací ŘVC upravovalo i</w:t>
      </w:r>
      <w:r w:rsidR="00AA4BEE">
        <w:rPr>
          <w:rFonts w:ascii="Calibri" w:hAnsi="Calibri" w:cs="Calibri"/>
          <w:sz w:val="24"/>
          <w:szCs w:val="24"/>
        </w:rPr>
        <w:t> </w:t>
      </w:r>
      <w:r w:rsidR="0026018A" w:rsidRPr="004F08C7">
        <w:rPr>
          <w:rFonts w:ascii="Calibri" w:hAnsi="Calibri" w:cs="Calibri"/>
          <w:sz w:val="24"/>
          <w:szCs w:val="24"/>
        </w:rPr>
        <w:t>v průběhu výstavby. Smlouvu s dodavatelem postupně změnilo deseti dodatky formou změnových listů (variací). Zdůvodnění některých změn svědčí o nedostatečné přípravě stavby a nezajištění koordinace s dalšími stavebními pracemi v blízkosti stavby i na stavbě samotné.</w:t>
      </w:r>
    </w:p>
    <w:p w14:paraId="75BEDDEE" w14:textId="77777777" w:rsidR="0026018A" w:rsidRPr="004F08C7" w:rsidRDefault="000E6057" w:rsidP="004F08C7">
      <w:pPr>
        <w:pStyle w:val="Default"/>
        <w:spacing w:after="120" w:line="252" w:lineRule="auto"/>
        <w:jc w:val="both"/>
        <w:rPr>
          <w:rFonts w:ascii="Calibri" w:hAnsi="Calibri" w:cs="Calibri"/>
          <w:color w:val="auto"/>
        </w:rPr>
      </w:pPr>
      <w:r w:rsidRPr="004F08C7">
        <w:rPr>
          <w:rFonts w:ascii="Calibri" w:hAnsi="Calibri" w:cs="Calibri"/>
          <w:color w:val="auto"/>
        </w:rPr>
        <w:t xml:space="preserve">4.20 </w:t>
      </w:r>
      <w:r w:rsidR="0026018A" w:rsidRPr="004F08C7">
        <w:rPr>
          <w:rFonts w:ascii="Calibri" w:hAnsi="Calibri" w:cs="Calibri"/>
          <w:color w:val="auto"/>
        </w:rPr>
        <w:t xml:space="preserve">Povodí Vltavy při zadávání veřejné zakázky na stavební práce v rámci projektu </w:t>
      </w:r>
      <w:r w:rsidR="0026018A" w:rsidRPr="004F08C7">
        <w:rPr>
          <w:rFonts w:ascii="Calibri" w:hAnsi="Calibri" w:cs="Calibri"/>
          <w:i/>
          <w:color w:val="auto"/>
        </w:rPr>
        <w:t xml:space="preserve">VD Orlík </w:t>
      </w:r>
      <w:r w:rsidR="00515354">
        <w:rPr>
          <w:rFonts w:cstheme="minorHAnsi"/>
          <w:i/>
        </w:rPr>
        <w:t>–</w:t>
      </w:r>
      <w:r w:rsidR="0026018A" w:rsidRPr="004F08C7">
        <w:rPr>
          <w:rFonts w:ascii="Calibri" w:hAnsi="Calibri" w:cs="Calibri"/>
          <w:i/>
          <w:color w:val="auto"/>
        </w:rPr>
        <w:t xml:space="preserve"> modernizace lodního výtahu</w:t>
      </w:r>
      <w:r w:rsidR="0026018A" w:rsidRPr="004F08C7">
        <w:rPr>
          <w:rFonts w:ascii="Calibri" w:hAnsi="Calibri" w:cs="Calibri"/>
          <w:color w:val="auto"/>
        </w:rPr>
        <w:t xml:space="preserve"> stanovilo předpokládanou hodnotu veřejné zakázky ve výši 60,0</w:t>
      </w:r>
      <w:r w:rsidR="00515354">
        <w:rPr>
          <w:rFonts w:ascii="Calibri" w:hAnsi="Calibri" w:cs="Calibri"/>
          <w:color w:val="auto"/>
        </w:rPr>
        <w:t> </w:t>
      </w:r>
      <w:r w:rsidR="0026018A" w:rsidRPr="004F08C7">
        <w:rPr>
          <w:rFonts w:ascii="Calibri" w:hAnsi="Calibri" w:cs="Calibri"/>
          <w:color w:val="auto"/>
        </w:rPr>
        <w:t>mil.</w:t>
      </w:r>
      <w:r w:rsidR="00515354">
        <w:rPr>
          <w:rFonts w:ascii="Calibri" w:hAnsi="Calibri" w:cs="Calibri"/>
          <w:color w:val="auto"/>
        </w:rPr>
        <w:t> </w:t>
      </w:r>
      <w:r w:rsidR="0026018A" w:rsidRPr="004F08C7">
        <w:rPr>
          <w:rFonts w:ascii="Calibri" w:hAnsi="Calibri" w:cs="Calibri"/>
          <w:color w:val="auto"/>
        </w:rPr>
        <w:t xml:space="preserve">Kč. Zakázku zadalo na základě jediné obdržené nabídky </w:t>
      </w:r>
      <w:r w:rsidR="0064658F" w:rsidRPr="004F08C7">
        <w:rPr>
          <w:rFonts w:ascii="Calibri" w:hAnsi="Calibri" w:cs="Calibri"/>
          <w:color w:val="auto"/>
        </w:rPr>
        <w:t xml:space="preserve">vybranému </w:t>
      </w:r>
      <w:r w:rsidR="0026018A" w:rsidRPr="004F08C7">
        <w:rPr>
          <w:rFonts w:ascii="Calibri" w:hAnsi="Calibri" w:cs="Calibri"/>
          <w:color w:val="auto"/>
        </w:rPr>
        <w:t>dodavateli za 95,5 mil. Kč. Smluvní cenu pak v průběhu výstavby navýšilo na 122,4 mil. Kč (vše bez DPH), tj.</w:t>
      </w:r>
      <w:r w:rsidR="00515354">
        <w:rPr>
          <w:rFonts w:ascii="Calibri" w:hAnsi="Calibri" w:cs="Calibri"/>
          <w:color w:val="auto"/>
        </w:rPr>
        <w:t> </w:t>
      </w:r>
      <w:r w:rsidR="0026018A" w:rsidRPr="004F08C7">
        <w:rPr>
          <w:rFonts w:ascii="Calibri" w:hAnsi="Calibri" w:cs="Calibri"/>
          <w:color w:val="auto"/>
        </w:rPr>
        <w:t>o</w:t>
      </w:r>
      <w:r w:rsidR="00515354">
        <w:rPr>
          <w:rFonts w:ascii="Calibri" w:hAnsi="Calibri" w:cs="Calibri"/>
          <w:color w:val="auto"/>
        </w:rPr>
        <w:t> </w:t>
      </w:r>
      <w:r w:rsidR="0026018A" w:rsidRPr="004F08C7">
        <w:rPr>
          <w:rFonts w:ascii="Calibri" w:hAnsi="Calibri" w:cs="Calibri"/>
          <w:color w:val="auto"/>
        </w:rPr>
        <w:t xml:space="preserve">28 %. Z předmětu variací a jejich popisů vyplývá, že se nejednalo o změny, které by vznikly na základě nepředvídatelných okolností až v průběhu realizace stavby, nebo jimž by nemohlo Povodí Vltavy při řádné přípravě projektu předejít. </w:t>
      </w:r>
    </w:p>
    <w:p w14:paraId="3654FADB" w14:textId="77777777" w:rsidR="0026018A" w:rsidRPr="004F08C7" w:rsidRDefault="000E6057" w:rsidP="004F08C7">
      <w:pPr>
        <w:pStyle w:val="Default"/>
        <w:spacing w:after="120" w:line="252" w:lineRule="auto"/>
        <w:jc w:val="both"/>
        <w:rPr>
          <w:rFonts w:ascii="Calibri" w:hAnsi="Calibri" w:cs="Calibri"/>
          <w:color w:val="auto"/>
        </w:rPr>
      </w:pPr>
      <w:r w:rsidRPr="004F08C7">
        <w:rPr>
          <w:rFonts w:ascii="Calibri" w:hAnsi="Calibri" w:cs="Calibri"/>
          <w:color w:val="auto"/>
        </w:rPr>
        <w:t xml:space="preserve">4.21 </w:t>
      </w:r>
      <w:r w:rsidR="0026018A" w:rsidRPr="004F08C7">
        <w:rPr>
          <w:rFonts w:ascii="Calibri" w:hAnsi="Calibri" w:cs="Calibri"/>
          <w:color w:val="auto"/>
        </w:rPr>
        <w:t xml:space="preserve">Povodí Vltavy v případě projektu </w:t>
      </w:r>
      <w:r w:rsidR="0026018A" w:rsidRPr="004F08C7">
        <w:rPr>
          <w:rFonts w:ascii="Calibri" w:hAnsi="Calibri" w:cs="Calibri"/>
          <w:i/>
          <w:color w:val="auto"/>
        </w:rPr>
        <w:t xml:space="preserve">VD </w:t>
      </w:r>
      <w:proofErr w:type="spellStart"/>
      <w:r w:rsidR="0026018A" w:rsidRPr="004F08C7">
        <w:rPr>
          <w:rFonts w:ascii="Calibri" w:hAnsi="Calibri" w:cs="Calibri"/>
          <w:i/>
          <w:color w:val="auto"/>
        </w:rPr>
        <w:t>Kořensko</w:t>
      </w:r>
      <w:proofErr w:type="spellEnd"/>
      <w:r w:rsidR="0026018A" w:rsidRPr="004F08C7">
        <w:rPr>
          <w:rFonts w:ascii="Calibri" w:hAnsi="Calibri" w:cs="Calibri"/>
          <w:i/>
          <w:color w:val="auto"/>
        </w:rPr>
        <w:t xml:space="preserve"> – zajištění plavebních hloubek pod vodním dílem </w:t>
      </w:r>
      <w:r w:rsidR="0026018A" w:rsidRPr="004F08C7">
        <w:rPr>
          <w:rFonts w:ascii="Calibri" w:hAnsi="Calibri" w:cs="Calibri"/>
          <w:color w:val="auto"/>
        </w:rPr>
        <w:t>navýšilo pěti dodatky smluvní cenu díla z 44,0 mil. Kč na 63,1 mil. Kč bez DPH, tj.</w:t>
      </w:r>
      <w:r w:rsidR="00515354">
        <w:rPr>
          <w:rFonts w:ascii="Calibri" w:hAnsi="Calibri" w:cs="Calibri"/>
          <w:color w:val="auto"/>
        </w:rPr>
        <w:t> </w:t>
      </w:r>
      <w:r w:rsidR="0026018A" w:rsidRPr="004F08C7">
        <w:rPr>
          <w:rFonts w:ascii="Calibri" w:hAnsi="Calibri" w:cs="Calibri"/>
          <w:color w:val="auto"/>
        </w:rPr>
        <w:t>o</w:t>
      </w:r>
      <w:r w:rsidR="00515354">
        <w:rPr>
          <w:rFonts w:ascii="Calibri" w:hAnsi="Calibri" w:cs="Calibri"/>
          <w:color w:val="auto"/>
        </w:rPr>
        <w:t> </w:t>
      </w:r>
      <w:r w:rsidR="0026018A" w:rsidRPr="004F08C7">
        <w:rPr>
          <w:rFonts w:ascii="Calibri" w:hAnsi="Calibri" w:cs="Calibri"/>
          <w:color w:val="auto"/>
        </w:rPr>
        <w:t>43</w:t>
      </w:r>
      <w:r w:rsidR="00515354">
        <w:rPr>
          <w:rFonts w:ascii="Calibri" w:hAnsi="Calibri" w:cs="Calibri"/>
          <w:color w:val="auto"/>
        </w:rPr>
        <w:t> </w:t>
      </w:r>
      <w:r w:rsidR="0026018A" w:rsidRPr="004F08C7">
        <w:rPr>
          <w:rFonts w:ascii="Calibri" w:hAnsi="Calibri" w:cs="Calibri"/>
          <w:color w:val="auto"/>
        </w:rPr>
        <w:t xml:space="preserve">%. Důvodem byla především skutečnost, že při přípravě projektu dostatečně nevymezilo rozsah prací a podmínky pro jejich provedení. </w:t>
      </w:r>
      <w:r w:rsidR="004D63B9" w:rsidRPr="004F08C7">
        <w:rPr>
          <w:rFonts w:ascii="Calibri" w:hAnsi="Calibri" w:cs="Calibri"/>
          <w:color w:val="auto"/>
        </w:rPr>
        <w:t>Nahrazením s</w:t>
      </w:r>
      <w:r w:rsidR="0026018A" w:rsidRPr="004F08C7">
        <w:rPr>
          <w:rFonts w:ascii="Calibri" w:hAnsi="Calibri" w:cs="Calibri"/>
          <w:color w:val="auto"/>
        </w:rPr>
        <w:t>oupis</w:t>
      </w:r>
      <w:r w:rsidR="004D63B9" w:rsidRPr="004F08C7">
        <w:rPr>
          <w:rFonts w:ascii="Calibri" w:hAnsi="Calibri" w:cs="Calibri"/>
          <w:color w:val="auto"/>
        </w:rPr>
        <w:t>u</w:t>
      </w:r>
      <w:r w:rsidR="0026018A" w:rsidRPr="004F08C7">
        <w:rPr>
          <w:rFonts w:ascii="Calibri" w:hAnsi="Calibri" w:cs="Calibri"/>
          <w:color w:val="auto"/>
        </w:rPr>
        <w:t xml:space="preserve"> stavebních prací u nejvýznamnější položky požadavky na výkon nebo funkci</w:t>
      </w:r>
      <w:r w:rsidR="0026018A" w:rsidRPr="004F08C7">
        <w:rPr>
          <w:rStyle w:val="Znakapoznpodarou"/>
          <w:rFonts w:ascii="Calibri" w:hAnsi="Calibri" w:cs="Calibri"/>
          <w:color w:val="auto"/>
        </w:rPr>
        <w:footnoteReference w:id="23"/>
      </w:r>
      <w:r w:rsidR="0026018A" w:rsidRPr="004F08C7">
        <w:rPr>
          <w:rFonts w:ascii="Calibri" w:hAnsi="Calibri" w:cs="Calibri"/>
          <w:color w:val="auto"/>
        </w:rPr>
        <w:t xml:space="preserve"> </w:t>
      </w:r>
      <w:r w:rsidR="004D63B9" w:rsidRPr="004F08C7">
        <w:rPr>
          <w:rFonts w:ascii="Calibri" w:hAnsi="Calibri" w:cs="Calibri"/>
          <w:color w:val="auto"/>
        </w:rPr>
        <w:t xml:space="preserve">přeneslo odpovědnost za stanovení rozsahu prací </w:t>
      </w:r>
      <w:r w:rsidR="004D63B9" w:rsidRPr="004F08C7">
        <w:rPr>
          <w:rFonts w:ascii="Calibri" w:hAnsi="Calibri" w:cs="Calibri"/>
          <w:color w:val="auto"/>
        </w:rPr>
        <w:lastRenderedPageBreak/>
        <w:t xml:space="preserve">na dodavatele, </w:t>
      </w:r>
      <w:r w:rsidR="0026018A" w:rsidRPr="004F08C7">
        <w:rPr>
          <w:rFonts w:ascii="Calibri" w:hAnsi="Calibri" w:cs="Calibri"/>
          <w:color w:val="auto"/>
        </w:rPr>
        <w:t xml:space="preserve">aniž by v daném případě </w:t>
      </w:r>
      <w:r w:rsidR="004D63B9" w:rsidRPr="004F08C7">
        <w:rPr>
          <w:rFonts w:ascii="Calibri" w:hAnsi="Calibri" w:cs="Calibri"/>
          <w:color w:val="auto"/>
        </w:rPr>
        <w:t xml:space="preserve">byly </w:t>
      </w:r>
      <w:r w:rsidR="00AB6506" w:rsidRPr="004F08C7">
        <w:rPr>
          <w:rFonts w:ascii="Calibri" w:hAnsi="Calibri" w:cs="Calibri"/>
          <w:color w:val="auto"/>
        </w:rPr>
        <w:t xml:space="preserve">dostatečné </w:t>
      </w:r>
      <w:r w:rsidR="004D63B9" w:rsidRPr="004F08C7">
        <w:rPr>
          <w:rFonts w:ascii="Calibri" w:hAnsi="Calibri" w:cs="Calibri"/>
          <w:color w:val="auto"/>
        </w:rPr>
        <w:t xml:space="preserve">objektivní důvody pro takovýto </w:t>
      </w:r>
      <w:r w:rsidR="0026018A" w:rsidRPr="004F08C7">
        <w:rPr>
          <w:rFonts w:ascii="Calibri" w:hAnsi="Calibri" w:cs="Calibri"/>
          <w:color w:val="auto"/>
        </w:rPr>
        <w:t>postup</w:t>
      </w:r>
      <w:r w:rsidR="004D63B9" w:rsidRPr="004F08C7">
        <w:rPr>
          <w:rFonts w:ascii="Calibri" w:hAnsi="Calibri" w:cs="Calibri"/>
          <w:color w:val="auto"/>
        </w:rPr>
        <w:t>.</w:t>
      </w:r>
    </w:p>
    <w:p w14:paraId="75288616" w14:textId="77777777" w:rsidR="009D482F" w:rsidRPr="004F08C7" w:rsidRDefault="009D482F" w:rsidP="00515354">
      <w:pPr>
        <w:keepNext/>
        <w:spacing w:after="120" w:line="252" w:lineRule="auto"/>
        <w:rPr>
          <w:rFonts w:ascii="Calibri" w:eastAsia="Arial Unicode MS" w:hAnsi="Calibri" w:cs="Calibri"/>
          <w:b/>
          <w:bCs/>
          <w:sz w:val="24"/>
          <w:szCs w:val="24"/>
        </w:rPr>
      </w:pPr>
      <w:r w:rsidRPr="004F08C7">
        <w:rPr>
          <w:rFonts w:ascii="Calibri" w:eastAsia="Arial Unicode MS" w:hAnsi="Calibri" w:cs="Calibri"/>
          <w:b/>
          <w:bCs/>
          <w:sz w:val="24"/>
          <w:szCs w:val="24"/>
        </w:rPr>
        <w:t xml:space="preserve">MD </w:t>
      </w:r>
      <w:r w:rsidR="005B673B" w:rsidRPr="004F08C7">
        <w:rPr>
          <w:rFonts w:ascii="Calibri" w:eastAsia="Arial Unicode MS" w:hAnsi="Calibri" w:cs="Calibri"/>
          <w:b/>
          <w:bCs/>
          <w:sz w:val="24"/>
          <w:szCs w:val="24"/>
        </w:rPr>
        <w:t xml:space="preserve">nestanovilo závazné </w:t>
      </w:r>
      <w:r w:rsidR="00891BD2" w:rsidRPr="004F08C7">
        <w:rPr>
          <w:rFonts w:ascii="Calibri" w:eastAsia="Arial Unicode MS" w:hAnsi="Calibri" w:cs="Calibri"/>
          <w:b/>
          <w:bCs/>
          <w:sz w:val="24"/>
          <w:szCs w:val="24"/>
        </w:rPr>
        <w:t>u</w:t>
      </w:r>
      <w:r w:rsidR="007868AD" w:rsidRPr="004F08C7">
        <w:rPr>
          <w:rFonts w:ascii="Calibri" w:eastAsia="Arial Unicode MS" w:hAnsi="Calibri" w:cs="Calibri"/>
          <w:b/>
          <w:bCs/>
          <w:sz w:val="24"/>
          <w:szCs w:val="24"/>
        </w:rPr>
        <w:t>ka</w:t>
      </w:r>
      <w:r w:rsidR="00891BD2" w:rsidRPr="004F08C7">
        <w:rPr>
          <w:rFonts w:ascii="Calibri" w:eastAsia="Arial Unicode MS" w:hAnsi="Calibri" w:cs="Calibri"/>
          <w:b/>
          <w:bCs/>
          <w:sz w:val="24"/>
          <w:szCs w:val="24"/>
        </w:rPr>
        <w:t>zatele</w:t>
      </w:r>
      <w:r w:rsidR="005B673B" w:rsidRPr="004F08C7">
        <w:rPr>
          <w:rFonts w:ascii="Calibri" w:eastAsia="Arial Unicode MS" w:hAnsi="Calibri" w:cs="Calibri"/>
          <w:b/>
          <w:bCs/>
          <w:sz w:val="24"/>
          <w:szCs w:val="24"/>
        </w:rPr>
        <w:t xml:space="preserve"> pro realizaci projektů</w:t>
      </w:r>
      <w:r w:rsidR="00A1569E" w:rsidRPr="004F08C7">
        <w:rPr>
          <w:rFonts w:ascii="Calibri" w:eastAsia="Arial Unicode MS" w:hAnsi="Calibri" w:cs="Calibri"/>
          <w:b/>
          <w:bCs/>
          <w:sz w:val="24"/>
          <w:szCs w:val="24"/>
        </w:rPr>
        <w:t>, jejich</w:t>
      </w:r>
      <w:r w:rsidR="000F25C3" w:rsidRPr="004F08C7">
        <w:rPr>
          <w:rFonts w:ascii="Calibri" w:eastAsia="Arial Unicode MS" w:hAnsi="Calibri" w:cs="Calibri"/>
          <w:b/>
          <w:bCs/>
          <w:sz w:val="24"/>
          <w:szCs w:val="24"/>
        </w:rPr>
        <w:t xml:space="preserve"> skutečnými výsledky </w:t>
      </w:r>
      <w:r w:rsidR="00362989" w:rsidRPr="004F08C7">
        <w:rPr>
          <w:rFonts w:ascii="Calibri" w:eastAsia="Arial Unicode MS" w:hAnsi="Calibri" w:cs="Calibri"/>
          <w:b/>
          <w:bCs/>
          <w:sz w:val="24"/>
          <w:szCs w:val="24"/>
        </w:rPr>
        <w:t xml:space="preserve">se </w:t>
      </w:r>
      <w:r w:rsidR="000F25C3" w:rsidRPr="004F08C7">
        <w:rPr>
          <w:rFonts w:ascii="Calibri" w:eastAsia="Arial Unicode MS" w:hAnsi="Calibri" w:cs="Calibri"/>
          <w:b/>
          <w:bCs/>
          <w:sz w:val="24"/>
          <w:szCs w:val="24"/>
        </w:rPr>
        <w:t>nezabývalo</w:t>
      </w:r>
    </w:p>
    <w:p w14:paraId="2EACF4BA" w14:textId="77777777" w:rsidR="003C59A9" w:rsidRPr="004F08C7" w:rsidRDefault="00B87789" w:rsidP="004F08C7">
      <w:pPr>
        <w:spacing w:after="120" w:line="252" w:lineRule="auto"/>
        <w:jc w:val="both"/>
        <w:rPr>
          <w:rFonts w:ascii="Calibri" w:eastAsia="Arial Unicode MS" w:hAnsi="Calibri" w:cs="Calibri"/>
          <w:bCs/>
          <w:sz w:val="24"/>
          <w:szCs w:val="24"/>
        </w:rPr>
      </w:pPr>
      <w:r w:rsidRPr="004F08C7">
        <w:rPr>
          <w:rFonts w:ascii="Calibri" w:eastAsia="Arial Unicode MS" w:hAnsi="Calibri" w:cs="Calibri"/>
          <w:bCs/>
          <w:sz w:val="24"/>
          <w:szCs w:val="24"/>
        </w:rPr>
        <w:t>4.</w:t>
      </w:r>
      <w:r w:rsidR="000E6057" w:rsidRPr="004F08C7">
        <w:rPr>
          <w:rFonts w:ascii="Calibri" w:eastAsia="Arial Unicode MS" w:hAnsi="Calibri" w:cs="Calibri"/>
          <w:bCs/>
          <w:sz w:val="24"/>
          <w:szCs w:val="24"/>
        </w:rPr>
        <w:t>22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4F3BCD" w:rsidRPr="004F08C7">
        <w:rPr>
          <w:rFonts w:ascii="Calibri" w:eastAsia="Arial Unicode MS" w:hAnsi="Calibri" w:cs="Calibri"/>
          <w:bCs/>
          <w:sz w:val="24"/>
          <w:szCs w:val="24"/>
        </w:rPr>
        <w:t xml:space="preserve">Stanovení konkrétních měřitelných cílů a vhodných ukazatelů pro vyhodnocení míry jejich dosažení je důležité nejen na úrovni koncepcí, ale i projektů. </w:t>
      </w:r>
      <w:r w:rsidR="003C59A9" w:rsidRPr="004F08C7">
        <w:rPr>
          <w:rFonts w:ascii="Calibri" w:eastAsia="Arial Unicode MS" w:hAnsi="Calibri" w:cs="Calibri"/>
          <w:bCs/>
          <w:sz w:val="24"/>
          <w:szCs w:val="24"/>
        </w:rPr>
        <w:t>MD rozhodovalo o projektech, jejichž přípravu a realizaci zajišťovalo ŘVC</w:t>
      </w:r>
      <w:r w:rsidR="00A1569E" w:rsidRPr="004F08C7">
        <w:rPr>
          <w:rFonts w:ascii="Calibri" w:eastAsia="Arial Unicode MS" w:hAnsi="Calibri" w:cs="Calibri"/>
          <w:bCs/>
          <w:sz w:val="24"/>
          <w:szCs w:val="24"/>
        </w:rPr>
        <w:t xml:space="preserve"> nebo Povodí Vltavy</w:t>
      </w:r>
      <w:r w:rsidR="003C59A9" w:rsidRPr="004F08C7">
        <w:rPr>
          <w:rFonts w:ascii="Calibri" w:eastAsia="Arial Unicode MS" w:hAnsi="Calibri" w:cs="Calibri"/>
          <w:bCs/>
          <w:sz w:val="24"/>
          <w:szCs w:val="24"/>
        </w:rPr>
        <w:t xml:space="preserve">, vyslovením souhlasu s jejich realizací </w:t>
      </w:r>
      <w:r w:rsidR="005B673B" w:rsidRPr="004F08C7">
        <w:rPr>
          <w:rFonts w:ascii="Calibri" w:eastAsia="Arial Unicode MS" w:hAnsi="Calibri" w:cs="Calibri"/>
          <w:bCs/>
          <w:sz w:val="24"/>
          <w:szCs w:val="24"/>
        </w:rPr>
        <w:t>a</w:t>
      </w:r>
      <w:r w:rsidR="003C59A9" w:rsidRPr="004F08C7">
        <w:rPr>
          <w:rFonts w:ascii="Calibri" w:eastAsia="Arial Unicode MS" w:hAnsi="Calibri" w:cs="Calibri"/>
          <w:bCs/>
          <w:sz w:val="24"/>
          <w:szCs w:val="24"/>
        </w:rPr>
        <w:t> financování</w:t>
      </w:r>
      <w:r w:rsidR="005B673B" w:rsidRPr="004F08C7">
        <w:rPr>
          <w:rFonts w:ascii="Calibri" w:eastAsia="Arial Unicode MS" w:hAnsi="Calibri" w:cs="Calibri"/>
          <w:bCs/>
          <w:sz w:val="24"/>
          <w:szCs w:val="24"/>
        </w:rPr>
        <w:t>m</w:t>
      </w:r>
      <w:r w:rsidR="003C59A9" w:rsidRPr="004F08C7">
        <w:rPr>
          <w:rFonts w:ascii="Calibri" w:eastAsia="Arial Unicode MS" w:hAnsi="Calibri" w:cs="Calibri"/>
          <w:bCs/>
          <w:sz w:val="24"/>
          <w:szCs w:val="24"/>
        </w:rPr>
        <w:t xml:space="preserve"> z rozpočtu SFDI formou tzv. schvalovacích doložek. </w:t>
      </w:r>
      <w:r w:rsidR="00BB3ECC" w:rsidRPr="004F08C7">
        <w:rPr>
          <w:rFonts w:ascii="Calibri" w:eastAsia="Arial Unicode MS" w:hAnsi="Calibri" w:cs="Calibri"/>
          <w:bCs/>
          <w:sz w:val="24"/>
          <w:szCs w:val="24"/>
        </w:rPr>
        <w:t xml:space="preserve">Ve schvalovacích doložkách MD uvádělo stručný popis projektu, jeho předpokládané náklady, předpokládané období realizace projektu a výsledky hodnocení </w:t>
      </w:r>
      <w:r w:rsidR="00C97987" w:rsidRPr="004F08C7">
        <w:rPr>
          <w:rFonts w:ascii="Calibri" w:eastAsia="Arial Unicode MS" w:hAnsi="Calibri" w:cs="Calibri"/>
          <w:bCs/>
          <w:sz w:val="24"/>
          <w:szCs w:val="24"/>
        </w:rPr>
        <w:t xml:space="preserve">jeho </w:t>
      </w:r>
      <w:r w:rsidR="00BB3ECC" w:rsidRPr="004F08C7">
        <w:rPr>
          <w:rFonts w:ascii="Calibri" w:eastAsia="Arial Unicode MS" w:hAnsi="Calibri" w:cs="Calibri"/>
          <w:bCs/>
          <w:sz w:val="24"/>
          <w:szCs w:val="24"/>
        </w:rPr>
        <w:t>ekonomické efektivnosti.</w:t>
      </w:r>
      <w:r w:rsidR="00A1569E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CD60AF" w:rsidRPr="004F08C7">
        <w:rPr>
          <w:rFonts w:ascii="Calibri" w:eastAsia="Arial Unicode MS" w:hAnsi="Calibri" w:cs="Calibri"/>
          <w:bCs/>
          <w:sz w:val="24"/>
          <w:szCs w:val="24"/>
        </w:rPr>
        <w:t>V případě projektů s předpokládanými náklady do 30 mil. Kč (</w:t>
      </w:r>
      <w:r w:rsidR="0017100B" w:rsidRPr="004F08C7">
        <w:rPr>
          <w:rFonts w:ascii="Calibri" w:hAnsi="Calibri" w:cs="Calibri"/>
          <w:sz w:val="24"/>
          <w:szCs w:val="24"/>
        </w:rPr>
        <w:t>do března 2021 do 20 mil. Kč</w:t>
      </w:r>
      <w:r w:rsidR="00CD60AF" w:rsidRPr="004F08C7">
        <w:rPr>
          <w:rFonts w:ascii="Calibri" w:eastAsia="Arial Unicode MS" w:hAnsi="Calibri" w:cs="Calibri"/>
          <w:bCs/>
          <w:sz w:val="24"/>
          <w:szCs w:val="24"/>
        </w:rPr>
        <w:t xml:space="preserve">) MD vydávalo svůj souhlas formou schvalovací doložky k rozpisu tzv. globálních položek obsahujícímu seznam projektů. </w:t>
      </w:r>
      <w:r w:rsidR="003C59A9" w:rsidRPr="004F08C7">
        <w:rPr>
          <w:rFonts w:ascii="Calibri" w:eastAsia="Arial Unicode MS" w:hAnsi="Calibri" w:cs="Calibri"/>
          <w:bCs/>
          <w:sz w:val="24"/>
          <w:szCs w:val="24"/>
        </w:rPr>
        <w:t>Příprava a realizace projektů pak byla financována na základě smluv o</w:t>
      </w:r>
      <w:r w:rsidR="00515354">
        <w:rPr>
          <w:rFonts w:ascii="Calibri" w:eastAsia="Arial Unicode MS" w:hAnsi="Calibri" w:cs="Calibri"/>
          <w:bCs/>
          <w:sz w:val="24"/>
          <w:szCs w:val="24"/>
        </w:rPr>
        <w:t> </w:t>
      </w:r>
      <w:r w:rsidR="003C59A9" w:rsidRPr="004F08C7">
        <w:rPr>
          <w:rFonts w:ascii="Calibri" w:eastAsia="Arial Unicode MS" w:hAnsi="Calibri" w:cs="Calibri"/>
          <w:bCs/>
          <w:sz w:val="24"/>
          <w:szCs w:val="24"/>
        </w:rPr>
        <w:t xml:space="preserve">poskytnutí peněžních prostředků z rozpočtu SFDI uzavíraných mezi </w:t>
      </w:r>
      <w:r w:rsidR="00BB3ECC" w:rsidRPr="004F08C7">
        <w:rPr>
          <w:rFonts w:ascii="Calibri" w:eastAsia="Arial Unicode MS" w:hAnsi="Calibri" w:cs="Calibri"/>
          <w:bCs/>
          <w:sz w:val="24"/>
          <w:szCs w:val="24"/>
        </w:rPr>
        <w:t>jejich příjemci</w:t>
      </w:r>
      <w:r w:rsidR="003C59A9" w:rsidRPr="004F08C7">
        <w:rPr>
          <w:rFonts w:ascii="Calibri" w:eastAsia="Arial Unicode MS" w:hAnsi="Calibri" w:cs="Calibri"/>
          <w:bCs/>
          <w:sz w:val="24"/>
          <w:szCs w:val="24"/>
        </w:rPr>
        <w:t xml:space="preserve"> a SFDI, v nichž SFDI mj. stanovil podmínky pro čerpání a použití poskytnutých peněžních prostředků. </w:t>
      </w:r>
    </w:p>
    <w:p w14:paraId="3C354B6D" w14:textId="77777777" w:rsidR="00AD07B8" w:rsidRPr="004F08C7" w:rsidRDefault="00B87789" w:rsidP="004F08C7">
      <w:pPr>
        <w:spacing w:after="120" w:line="252" w:lineRule="auto"/>
        <w:jc w:val="both"/>
        <w:rPr>
          <w:rFonts w:ascii="Calibri" w:eastAsia="Arial Unicode MS" w:hAnsi="Calibri" w:cs="Calibri"/>
          <w:bCs/>
          <w:sz w:val="24"/>
          <w:szCs w:val="24"/>
        </w:rPr>
      </w:pPr>
      <w:r w:rsidRPr="004F08C7">
        <w:rPr>
          <w:rFonts w:ascii="Calibri" w:eastAsia="Arial Unicode MS" w:hAnsi="Calibri" w:cs="Calibri"/>
          <w:bCs/>
          <w:sz w:val="24"/>
          <w:szCs w:val="24"/>
        </w:rPr>
        <w:t>4.</w:t>
      </w:r>
      <w:r w:rsidR="000E6057" w:rsidRPr="004F08C7">
        <w:rPr>
          <w:rFonts w:ascii="Calibri" w:eastAsia="Arial Unicode MS" w:hAnsi="Calibri" w:cs="Calibri"/>
          <w:bCs/>
          <w:sz w:val="24"/>
          <w:szCs w:val="24"/>
        </w:rPr>
        <w:t>23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401121" w:rsidRPr="004F08C7">
        <w:rPr>
          <w:rFonts w:ascii="Calibri" w:eastAsia="Arial Unicode MS" w:hAnsi="Calibri" w:cs="Calibri"/>
          <w:bCs/>
          <w:sz w:val="24"/>
          <w:szCs w:val="24"/>
        </w:rPr>
        <w:t xml:space="preserve">MD při schvalování projektů nestanovilo závazné </w:t>
      </w:r>
      <w:r w:rsidR="00891BD2" w:rsidRPr="004F08C7">
        <w:rPr>
          <w:rFonts w:ascii="Calibri" w:eastAsia="Arial Unicode MS" w:hAnsi="Calibri" w:cs="Calibri"/>
          <w:bCs/>
          <w:sz w:val="24"/>
          <w:szCs w:val="24"/>
        </w:rPr>
        <w:t>ukazatele</w:t>
      </w:r>
      <w:r w:rsidR="00401121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6038C4" w:rsidRPr="004F08C7">
        <w:rPr>
          <w:rFonts w:ascii="Calibri" w:eastAsia="Arial Unicode MS" w:hAnsi="Calibri" w:cs="Calibri"/>
          <w:bCs/>
          <w:sz w:val="24"/>
          <w:szCs w:val="24"/>
        </w:rPr>
        <w:t>nebo</w:t>
      </w:r>
      <w:r w:rsidR="00401121" w:rsidRPr="004F08C7">
        <w:rPr>
          <w:rFonts w:ascii="Calibri" w:eastAsia="Arial Unicode MS" w:hAnsi="Calibri" w:cs="Calibri"/>
          <w:bCs/>
          <w:sz w:val="24"/>
          <w:szCs w:val="24"/>
        </w:rPr>
        <w:t xml:space="preserve"> po</w:t>
      </w:r>
      <w:r w:rsidR="000F25C3" w:rsidRPr="004F08C7">
        <w:rPr>
          <w:rFonts w:ascii="Calibri" w:eastAsia="Arial Unicode MS" w:hAnsi="Calibri" w:cs="Calibri"/>
          <w:bCs/>
          <w:sz w:val="24"/>
          <w:szCs w:val="24"/>
        </w:rPr>
        <w:t>žadav</w:t>
      </w:r>
      <w:r w:rsidR="00401121" w:rsidRPr="004F08C7">
        <w:rPr>
          <w:rFonts w:ascii="Calibri" w:eastAsia="Arial Unicode MS" w:hAnsi="Calibri" w:cs="Calibri"/>
          <w:bCs/>
          <w:sz w:val="24"/>
          <w:szCs w:val="24"/>
        </w:rPr>
        <w:t xml:space="preserve">ky </w:t>
      </w:r>
      <w:r w:rsidR="006038C4" w:rsidRPr="004F08C7">
        <w:rPr>
          <w:rFonts w:ascii="Calibri" w:eastAsia="Arial Unicode MS" w:hAnsi="Calibri" w:cs="Calibri"/>
          <w:bCs/>
          <w:sz w:val="24"/>
          <w:szCs w:val="24"/>
        </w:rPr>
        <w:t>pro</w:t>
      </w:r>
      <w:r w:rsidR="00401121" w:rsidRPr="004F08C7">
        <w:rPr>
          <w:rFonts w:ascii="Calibri" w:eastAsia="Arial Unicode MS" w:hAnsi="Calibri" w:cs="Calibri"/>
          <w:bCs/>
          <w:sz w:val="24"/>
          <w:szCs w:val="24"/>
        </w:rPr>
        <w:t xml:space="preserve"> vyhodnocení </w:t>
      </w:r>
      <w:r w:rsidR="003366C3" w:rsidRPr="004F08C7">
        <w:rPr>
          <w:rFonts w:ascii="Calibri" w:eastAsia="Arial Unicode MS" w:hAnsi="Calibri" w:cs="Calibri"/>
          <w:bCs/>
          <w:sz w:val="24"/>
          <w:szCs w:val="24"/>
        </w:rPr>
        <w:t xml:space="preserve">míry </w:t>
      </w:r>
      <w:r w:rsidR="000F25C3" w:rsidRPr="004F08C7">
        <w:rPr>
          <w:rFonts w:ascii="Calibri" w:eastAsia="Arial Unicode MS" w:hAnsi="Calibri" w:cs="Calibri"/>
          <w:bCs/>
          <w:sz w:val="24"/>
          <w:szCs w:val="24"/>
        </w:rPr>
        <w:t xml:space="preserve">dosažení </w:t>
      </w:r>
      <w:r w:rsidR="00401121" w:rsidRPr="004F08C7">
        <w:rPr>
          <w:rFonts w:ascii="Calibri" w:eastAsia="Arial Unicode MS" w:hAnsi="Calibri" w:cs="Calibri"/>
          <w:bCs/>
          <w:sz w:val="24"/>
          <w:szCs w:val="24"/>
        </w:rPr>
        <w:t>cílů projektů</w:t>
      </w:r>
      <w:r w:rsidR="000F25C3" w:rsidRPr="004F08C7">
        <w:rPr>
          <w:rFonts w:ascii="Calibri" w:eastAsia="Arial Unicode MS" w:hAnsi="Calibri" w:cs="Calibri"/>
          <w:bCs/>
          <w:sz w:val="24"/>
          <w:szCs w:val="24"/>
        </w:rPr>
        <w:t xml:space="preserve"> nebo naplnění předpokladů </w:t>
      </w:r>
      <w:r w:rsidR="00C97987" w:rsidRPr="004F08C7">
        <w:rPr>
          <w:rFonts w:ascii="Calibri" w:eastAsia="Arial Unicode MS" w:hAnsi="Calibri" w:cs="Calibri"/>
          <w:bCs/>
          <w:sz w:val="24"/>
          <w:szCs w:val="24"/>
        </w:rPr>
        <w:t xml:space="preserve">z </w:t>
      </w:r>
      <w:r w:rsidR="000F25C3" w:rsidRPr="004F08C7">
        <w:rPr>
          <w:rFonts w:ascii="Calibri" w:eastAsia="Arial Unicode MS" w:hAnsi="Calibri" w:cs="Calibri"/>
          <w:bCs/>
          <w:sz w:val="24"/>
          <w:szCs w:val="24"/>
        </w:rPr>
        <w:t>hodnocení jejich ekonomické efektivnosti.</w:t>
      </w:r>
      <w:r w:rsidR="001F71B9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6038C4" w:rsidRPr="004F08C7">
        <w:rPr>
          <w:rFonts w:ascii="Calibri" w:eastAsia="Arial Unicode MS" w:hAnsi="Calibri" w:cs="Calibri"/>
          <w:bCs/>
          <w:sz w:val="24"/>
          <w:szCs w:val="24"/>
        </w:rPr>
        <w:t>Nevytvořilo tedy</w:t>
      </w:r>
      <w:r w:rsidR="001F71B9" w:rsidRPr="004F08C7">
        <w:rPr>
          <w:rFonts w:ascii="Calibri" w:eastAsia="Arial Unicode MS" w:hAnsi="Calibri" w:cs="Calibri"/>
          <w:bCs/>
          <w:sz w:val="24"/>
          <w:szCs w:val="24"/>
        </w:rPr>
        <w:t xml:space="preserve"> předpoklady pro objektivní vyhodnocení </w:t>
      </w:r>
      <w:r w:rsidR="004411F3" w:rsidRPr="004F08C7">
        <w:rPr>
          <w:rFonts w:ascii="Calibri" w:eastAsia="Arial Unicode MS" w:hAnsi="Calibri" w:cs="Calibri"/>
          <w:bCs/>
          <w:sz w:val="24"/>
          <w:szCs w:val="24"/>
        </w:rPr>
        <w:t>účelnosti a</w:t>
      </w:r>
      <w:r w:rsidR="00515354">
        <w:rPr>
          <w:rFonts w:ascii="Calibri" w:eastAsia="Arial Unicode MS" w:hAnsi="Calibri" w:cs="Calibri"/>
          <w:bCs/>
          <w:sz w:val="24"/>
          <w:szCs w:val="24"/>
        </w:rPr>
        <w:t> </w:t>
      </w:r>
      <w:r w:rsidR="004411F3" w:rsidRPr="004F08C7">
        <w:rPr>
          <w:rFonts w:ascii="Calibri" w:eastAsia="Arial Unicode MS" w:hAnsi="Calibri" w:cs="Calibri"/>
          <w:bCs/>
          <w:sz w:val="24"/>
          <w:szCs w:val="24"/>
        </w:rPr>
        <w:t>efektivnosti využití peněžních prostředků vynaložených na přípravu a realizaci projektů</w:t>
      </w:r>
      <w:r w:rsidR="00D57012" w:rsidRPr="004F08C7">
        <w:rPr>
          <w:rFonts w:ascii="Calibri" w:eastAsia="Arial Unicode MS" w:hAnsi="Calibri" w:cs="Calibri"/>
          <w:bCs/>
          <w:sz w:val="24"/>
          <w:szCs w:val="24"/>
        </w:rPr>
        <w:t>, které schválilo</w:t>
      </w:r>
      <w:r w:rsidR="004411F3" w:rsidRPr="004F08C7">
        <w:rPr>
          <w:rFonts w:ascii="Calibri" w:eastAsia="Arial Unicode MS" w:hAnsi="Calibri" w:cs="Calibri"/>
          <w:bCs/>
          <w:sz w:val="24"/>
          <w:szCs w:val="24"/>
        </w:rPr>
        <w:t xml:space="preserve">. </w:t>
      </w:r>
      <w:r w:rsidR="00401121" w:rsidRPr="004F08C7">
        <w:rPr>
          <w:rFonts w:ascii="Calibri" w:eastAsia="Arial Unicode MS" w:hAnsi="Calibri" w:cs="Calibri"/>
          <w:bCs/>
          <w:sz w:val="24"/>
          <w:szCs w:val="24"/>
        </w:rPr>
        <w:t xml:space="preserve">Vyhodnocením 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skutečných </w:t>
      </w:r>
      <w:r w:rsidR="00401121" w:rsidRPr="004F08C7">
        <w:rPr>
          <w:rFonts w:ascii="Calibri" w:eastAsia="Arial Unicode MS" w:hAnsi="Calibri" w:cs="Calibri"/>
          <w:bCs/>
          <w:sz w:val="24"/>
          <w:szCs w:val="24"/>
        </w:rPr>
        <w:t xml:space="preserve">výsledků projektů se MD nezabývalo, a to </w:t>
      </w:r>
      <w:r w:rsidR="00A1569E" w:rsidRPr="004F08C7">
        <w:rPr>
          <w:rFonts w:ascii="Calibri" w:eastAsia="Arial Unicode MS" w:hAnsi="Calibri" w:cs="Calibri"/>
          <w:bCs/>
          <w:sz w:val="24"/>
          <w:szCs w:val="24"/>
        </w:rPr>
        <w:t xml:space="preserve">ani </w:t>
      </w:r>
      <w:r w:rsidR="00401121" w:rsidRPr="004F08C7">
        <w:rPr>
          <w:rFonts w:ascii="Calibri" w:eastAsia="Arial Unicode MS" w:hAnsi="Calibri" w:cs="Calibri"/>
          <w:bCs/>
          <w:sz w:val="24"/>
          <w:szCs w:val="24"/>
        </w:rPr>
        <w:t>jednotlivě, ani souhrnně.</w:t>
      </w:r>
      <w:r w:rsidR="003055BD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982A4C" w:rsidRPr="004F08C7">
        <w:rPr>
          <w:rFonts w:ascii="Calibri" w:eastAsia="Arial Unicode MS" w:hAnsi="Calibri" w:cs="Calibri"/>
          <w:bCs/>
          <w:sz w:val="24"/>
          <w:szCs w:val="24"/>
        </w:rPr>
        <w:t xml:space="preserve">V této oblasti tedy </w:t>
      </w:r>
      <w:r w:rsidR="00302D13" w:rsidRPr="004F08C7">
        <w:rPr>
          <w:rFonts w:ascii="Calibri" w:eastAsia="Arial Unicode MS" w:hAnsi="Calibri" w:cs="Calibri"/>
          <w:bCs/>
          <w:sz w:val="24"/>
          <w:szCs w:val="24"/>
        </w:rPr>
        <w:t>MD</w:t>
      </w:r>
      <w:r w:rsidR="00637FB0" w:rsidRPr="004F08C7">
        <w:rPr>
          <w:rFonts w:ascii="Calibri" w:eastAsia="Arial Unicode MS" w:hAnsi="Calibri" w:cs="Calibri"/>
          <w:bCs/>
          <w:sz w:val="24"/>
          <w:szCs w:val="24"/>
        </w:rPr>
        <w:t xml:space="preserve"> řádně</w:t>
      </w:r>
      <w:r w:rsidR="00302D13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982A4C" w:rsidRPr="004F08C7">
        <w:rPr>
          <w:rFonts w:ascii="Calibri" w:eastAsia="Arial Unicode MS" w:hAnsi="Calibri" w:cs="Calibri"/>
          <w:bCs/>
          <w:sz w:val="24"/>
          <w:szCs w:val="24"/>
        </w:rPr>
        <w:t>n</w:t>
      </w:r>
      <w:r w:rsidR="003055BD" w:rsidRPr="004F08C7">
        <w:rPr>
          <w:rFonts w:ascii="Calibri" w:eastAsia="Arial Unicode MS" w:hAnsi="Calibri" w:cs="Calibri"/>
          <w:bCs/>
          <w:sz w:val="24"/>
          <w:szCs w:val="24"/>
        </w:rPr>
        <w:t>epl</w:t>
      </w:r>
      <w:r w:rsidR="00982A4C" w:rsidRPr="004F08C7">
        <w:rPr>
          <w:rFonts w:ascii="Calibri" w:eastAsia="Arial Unicode MS" w:hAnsi="Calibri" w:cs="Calibri"/>
          <w:bCs/>
          <w:sz w:val="24"/>
          <w:szCs w:val="24"/>
        </w:rPr>
        <w:t>ni</w:t>
      </w:r>
      <w:r w:rsidR="003055BD" w:rsidRPr="004F08C7">
        <w:rPr>
          <w:rFonts w:ascii="Calibri" w:eastAsia="Arial Unicode MS" w:hAnsi="Calibri" w:cs="Calibri"/>
          <w:bCs/>
          <w:sz w:val="24"/>
          <w:szCs w:val="24"/>
        </w:rPr>
        <w:t xml:space="preserve">lo </w:t>
      </w:r>
      <w:r w:rsidR="00982A4C" w:rsidRPr="004F08C7">
        <w:rPr>
          <w:rFonts w:ascii="Calibri" w:eastAsia="Arial Unicode MS" w:hAnsi="Calibri" w:cs="Calibri"/>
          <w:bCs/>
          <w:sz w:val="24"/>
          <w:szCs w:val="24"/>
        </w:rPr>
        <w:t>své zákonné povinnosti</w:t>
      </w:r>
      <w:r w:rsidR="00982A4C" w:rsidRPr="004F08C7">
        <w:rPr>
          <w:rStyle w:val="Znakapoznpodarou"/>
          <w:rFonts w:ascii="Calibri" w:hAnsi="Calibri" w:cs="Calibri"/>
          <w:sz w:val="24"/>
          <w:szCs w:val="24"/>
        </w:rPr>
        <w:footnoteReference w:id="24"/>
      </w:r>
      <w:r w:rsidR="00982A4C" w:rsidRPr="004F08C7">
        <w:rPr>
          <w:rFonts w:ascii="Calibri" w:eastAsia="Arial Unicode MS" w:hAnsi="Calibri" w:cs="Calibri"/>
          <w:bCs/>
          <w:sz w:val="24"/>
          <w:szCs w:val="24"/>
        </w:rPr>
        <w:t>.</w:t>
      </w:r>
    </w:p>
    <w:p w14:paraId="639B75DA" w14:textId="5B01F4F4" w:rsidR="007857FF" w:rsidRPr="004F08C7" w:rsidRDefault="00AD07B8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>4.</w:t>
      </w:r>
      <w:r w:rsidR="000E6057" w:rsidRPr="004F08C7">
        <w:rPr>
          <w:rFonts w:ascii="Calibri" w:hAnsi="Calibri" w:cs="Calibri"/>
          <w:sz w:val="24"/>
          <w:szCs w:val="24"/>
        </w:rPr>
        <w:t>24</w:t>
      </w:r>
      <w:r w:rsidRPr="004F08C7">
        <w:rPr>
          <w:rFonts w:ascii="Calibri" w:hAnsi="Calibri" w:cs="Calibri"/>
          <w:sz w:val="24"/>
          <w:szCs w:val="24"/>
        </w:rPr>
        <w:t xml:space="preserve"> Plavební komory jsou na vodních cestách kritickými místy, jejichž stav m</w:t>
      </w:r>
      <w:r w:rsidR="006038C4" w:rsidRPr="004F08C7">
        <w:rPr>
          <w:rFonts w:ascii="Calibri" w:hAnsi="Calibri" w:cs="Calibri"/>
          <w:sz w:val="24"/>
          <w:szCs w:val="24"/>
        </w:rPr>
        <w:t>á</w:t>
      </w:r>
      <w:r w:rsidRPr="004F08C7">
        <w:rPr>
          <w:rFonts w:ascii="Calibri" w:hAnsi="Calibri" w:cs="Calibri"/>
          <w:sz w:val="24"/>
          <w:szCs w:val="24"/>
        </w:rPr>
        <w:t xml:space="preserve"> zásadní vliv na vodní dopravu. Přehled o využití úseků vodních cest jednotlivými druhy plavidel (nákladní lodě, osobní lodě, rekreační plavidla) lze získat ze statistických údajů o skutečném počtu plavidel</w:t>
      </w:r>
      <w:r w:rsidR="00071413" w:rsidRPr="004F08C7">
        <w:rPr>
          <w:rFonts w:ascii="Calibri" w:hAnsi="Calibri" w:cs="Calibri"/>
          <w:sz w:val="24"/>
          <w:szCs w:val="24"/>
        </w:rPr>
        <w:t xml:space="preserve"> proplavených jednotlivými plavebními komorami</w:t>
      </w:r>
      <w:r w:rsidR="00637FB0" w:rsidRPr="004F08C7">
        <w:rPr>
          <w:rFonts w:ascii="Calibri" w:hAnsi="Calibri" w:cs="Calibri"/>
          <w:sz w:val="24"/>
          <w:szCs w:val="24"/>
        </w:rPr>
        <w:t>. Tyto údaje</w:t>
      </w:r>
      <w:r w:rsidRPr="004F08C7">
        <w:rPr>
          <w:rFonts w:ascii="Calibri" w:hAnsi="Calibri" w:cs="Calibri"/>
          <w:sz w:val="24"/>
          <w:szCs w:val="24"/>
        </w:rPr>
        <w:t xml:space="preserve"> shromažďují </w:t>
      </w:r>
      <w:r w:rsidR="006038C4" w:rsidRPr="004F08C7">
        <w:rPr>
          <w:rFonts w:ascii="Calibri" w:hAnsi="Calibri" w:cs="Calibri"/>
          <w:sz w:val="24"/>
          <w:szCs w:val="24"/>
        </w:rPr>
        <w:t>a</w:t>
      </w:r>
      <w:r w:rsidR="00515354">
        <w:rPr>
          <w:rFonts w:ascii="Calibri" w:hAnsi="Calibri" w:cs="Calibri"/>
          <w:sz w:val="24"/>
          <w:szCs w:val="24"/>
        </w:rPr>
        <w:t> </w:t>
      </w:r>
      <w:r w:rsidR="006038C4" w:rsidRPr="004F08C7">
        <w:rPr>
          <w:rFonts w:ascii="Calibri" w:hAnsi="Calibri" w:cs="Calibri"/>
          <w:sz w:val="24"/>
          <w:szCs w:val="24"/>
        </w:rPr>
        <w:t xml:space="preserve">každoročně </w:t>
      </w:r>
      <w:r w:rsidR="00572E1E">
        <w:rPr>
          <w:rFonts w:ascii="Calibri" w:hAnsi="Calibri" w:cs="Calibri"/>
          <w:sz w:val="24"/>
          <w:szCs w:val="24"/>
        </w:rPr>
        <w:t xml:space="preserve">o nich </w:t>
      </w:r>
      <w:r w:rsidR="006038C4" w:rsidRPr="004F08C7">
        <w:rPr>
          <w:rFonts w:ascii="Calibri" w:hAnsi="Calibri" w:cs="Calibri"/>
          <w:sz w:val="24"/>
          <w:szCs w:val="24"/>
        </w:rPr>
        <w:t xml:space="preserve">reportují </w:t>
      </w:r>
      <w:r w:rsidR="00071413" w:rsidRPr="004F08C7">
        <w:rPr>
          <w:rFonts w:ascii="Calibri" w:hAnsi="Calibri" w:cs="Calibri"/>
          <w:sz w:val="24"/>
          <w:szCs w:val="24"/>
        </w:rPr>
        <w:t>správci vodní cesty</w:t>
      </w:r>
      <w:r w:rsidRPr="004F08C7">
        <w:rPr>
          <w:rFonts w:ascii="Calibri" w:hAnsi="Calibri" w:cs="Calibri"/>
          <w:sz w:val="24"/>
          <w:szCs w:val="24"/>
        </w:rPr>
        <w:t>. MD ovšem s těmito údaji nepracuje a</w:t>
      </w:r>
      <w:r w:rsidR="00572E1E">
        <w:t> </w:t>
      </w:r>
      <w:r w:rsidRPr="004F08C7">
        <w:rPr>
          <w:rFonts w:ascii="Calibri" w:hAnsi="Calibri" w:cs="Calibri"/>
          <w:sz w:val="24"/>
          <w:szCs w:val="24"/>
        </w:rPr>
        <w:t xml:space="preserve">nedisponuje </w:t>
      </w:r>
      <w:r w:rsidR="00553DC8" w:rsidRPr="004F08C7">
        <w:rPr>
          <w:rFonts w:ascii="Calibri" w:hAnsi="Calibri" w:cs="Calibri"/>
          <w:sz w:val="24"/>
          <w:szCs w:val="24"/>
        </w:rPr>
        <w:t xml:space="preserve">ani </w:t>
      </w:r>
      <w:r w:rsidRPr="004F08C7">
        <w:rPr>
          <w:rFonts w:ascii="Calibri" w:hAnsi="Calibri" w:cs="Calibri"/>
          <w:sz w:val="24"/>
          <w:szCs w:val="24"/>
        </w:rPr>
        <w:t>přehledem o stavebně technickém stavu plavebních komor, o jejich nedostatcích, uskutečněných, probíhajících a plánovaných opravách, rekonstrukcích a</w:t>
      </w:r>
      <w:r w:rsidR="00572E1E">
        <w:rPr>
          <w:rFonts w:ascii="Calibri" w:hAnsi="Calibri" w:cs="Calibri"/>
          <w:sz w:val="24"/>
          <w:szCs w:val="24"/>
        </w:rPr>
        <w:t> </w:t>
      </w:r>
      <w:r w:rsidRPr="004F08C7">
        <w:rPr>
          <w:rFonts w:ascii="Calibri" w:hAnsi="Calibri" w:cs="Calibri"/>
          <w:sz w:val="24"/>
          <w:szCs w:val="24"/>
        </w:rPr>
        <w:t xml:space="preserve">modernizacích. </w:t>
      </w:r>
    </w:p>
    <w:p w14:paraId="5E05238E" w14:textId="207655B4" w:rsidR="00AD07B8" w:rsidRPr="004F08C7" w:rsidRDefault="005A6415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>4.2</w:t>
      </w:r>
      <w:r w:rsidR="000E6057" w:rsidRPr="004F08C7">
        <w:rPr>
          <w:rFonts w:ascii="Calibri" w:hAnsi="Calibri" w:cs="Calibri"/>
          <w:sz w:val="24"/>
          <w:szCs w:val="24"/>
        </w:rPr>
        <w:t>5</w:t>
      </w:r>
      <w:r w:rsidRPr="004F08C7">
        <w:rPr>
          <w:rFonts w:ascii="Calibri" w:hAnsi="Calibri" w:cs="Calibri"/>
          <w:sz w:val="24"/>
          <w:szCs w:val="24"/>
        </w:rPr>
        <w:t xml:space="preserve"> </w:t>
      </w:r>
      <w:r w:rsidR="007857FF" w:rsidRPr="004F08C7">
        <w:rPr>
          <w:rFonts w:ascii="Calibri" w:hAnsi="Calibri" w:cs="Calibri"/>
          <w:sz w:val="24"/>
          <w:szCs w:val="24"/>
        </w:rPr>
        <w:t>Ve využití jednotlivých plavebních komor jsou výrazné rozdíly. Typickým příkladem je plavební komora Praha</w:t>
      </w:r>
      <w:r w:rsidR="00572E1E">
        <w:rPr>
          <w:rFonts w:ascii="Calibri" w:hAnsi="Calibri" w:cs="Calibri"/>
          <w:sz w:val="24"/>
          <w:szCs w:val="24"/>
        </w:rPr>
        <w:t>-</w:t>
      </w:r>
      <w:r w:rsidR="007857FF" w:rsidRPr="004F08C7">
        <w:rPr>
          <w:rFonts w:ascii="Calibri" w:hAnsi="Calibri" w:cs="Calibri"/>
          <w:sz w:val="24"/>
          <w:szCs w:val="24"/>
        </w:rPr>
        <w:t>Smíchov na Vltavě, která je využívána především osobními loděmi k vyhlídkovým plavbám v</w:t>
      </w:r>
      <w:r w:rsidR="00A946D1" w:rsidRPr="004F08C7">
        <w:rPr>
          <w:rFonts w:ascii="Calibri" w:hAnsi="Calibri" w:cs="Calibri"/>
          <w:sz w:val="24"/>
          <w:szCs w:val="24"/>
        </w:rPr>
        <w:t> </w:t>
      </w:r>
      <w:r w:rsidR="007857FF" w:rsidRPr="004F08C7">
        <w:rPr>
          <w:rFonts w:ascii="Calibri" w:hAnsi="Calibri" w:cs="Calibri"/>
          <w:sz w:val="24"/>
          <w:szCs w:val="24"/>
        </w:rPr>
        <w:t>Praze</w:t>
      </w:r>
      <w:r w:rsidR="00A946D1" w:rsidRPr="004F08C7">
        <w:rPr>
          <w:rFonts w:ascii="Calibri" w:hAnsi="Calibri" w:cs="Calibri"/>
          <w:sz w:val="24"/>
          <w:szCs w:val="24"/>
        </w:rPr>
        <w:t>. V</w:t>
      </w:r>
      <w:r w:rsidR="007857FF" w:rsidRPr="004F08C7">
        <w:rPr>
          <w:rFonts w:ascii="Calibri" w:hAnsi="Calibri" w:cs="Calibri"/>
          <w:sz w:val="24"/>
          <w:szCs w:val="24"/>
        </w:rPr>
        <w:t xml:space="preserve"> roce 2019 jí bylo proplaveno 17</w:t>
      </w:r>
      <w:r w:rsidR="00052C69">
        <w:rPr>
          <w:rFonts w:ascii="Calibri" w:hAnsi="Calibri" w:cs="Calibri"/>
          <w:sz w:val="24"/>
          <w:szCs w:val="24"/>
        </w:rPr>
        <w:t> </w:t>
      </w:r>
      <w:r w:rsidR="007857FF" w:rsidRPr="004F08C7">
        <w:rPr>
          <w:rFonts w:ascii="Calibri" w:hAnsi="Calibri" w:cs="Calibri"/>
          <w:sz w:val="24"/>
          <w:szCs w:val="24"/>
        </w:rPr>
        <w:t>895 osobních lodí a</w:t>
      </w:r>
      <w:r w:rsidR="00515354">
        <w:rPr>
          <w:rFonts w:ascii="Calibri" w:hAnsi="Calibri" w:cs="Calibri"/>
          <w:sz w:val="24"/>
          <w:szCs w:val="24"/>
        </w:rPr>
        <w:t> </w:t>
      </w:r>
      <w:r w:rsidR="007857FF" w:rsidRPr="004F08C7">
        <w:rPr>
          <w:rFonts w:ascii="Calibri" w:hAnsi="Calibri" w:cs="Calibri"/>
          <w:sz w:val="24"/>
          <w:szCs w:val="24"/>
        </w:rPr>
        <w:t>2</w:t>
      </w:r>
      <w:r w:rsidR="00515354">
        <w:rPr>
          <w:rFonts w:ascii="Calibri" w:hAnsi="Calibri" w:cs="Calibri"/>
          <w:sz w:val="24"/>
          <w:szCs w:val="24"/>
        </w:rPr>
        <w:t> </w:t>
      </w:r>
      <w:r w:rsidR="007857FF" w:rsidRPr="004F08C7">
        <w:rPr>
          <w:rFonts w:ascii="Calibri" w:hAnsi="Calibri" w:cs="Calibri"/>
          <w:sz w:val="24"/>
          <w:szCs w:val="24"/>
        </w:rPr>
        <w:t>810</w:t>
      </w:r>
      <w:r w:rsidR="00515354">
        <w:rPr>
          <w:rFonts w:ascii="Calibri" w:hAnsi="Calibri" w:cs="Calibri"/>
          <w:sz w:val="24"/>
          <w:szCs w:val="24"/>
        </w:rPr>
        <w:t> </w:t>
      </w:r>
      <w:r w:rsidR="007857FF" w:rsidRPr="004F08C7">
        <w:rPr>
          <w:rFonts w:ascii="Calibri" w:hAnsi="Calibri" w:cs="Calibri"/>
          <w:sz w:val="24"/>
          <w:szCs w:val="24"/>
        </w:rPr>
        <w:t>malých plavidel</w:t>
      </w:r>
      <w:r w:rsidR="00A946D1" w:rsidRPr="004F08C7">
        <w:rPr>
          <w:rFonts w:ascii="Calibri" w:hAnsi="Calibri" w:cs="Calibri"/>
          <w:sz w:val="24"/>
          <w:szCs w:val="24"/>
        </w:rPr>
        <w:t xml:space="preserve"> (</w:t>
      </w:r>
      <w:r w:rsidR="007857FF" w:rsidRPr="004F08C7">
        <w:rPr>
          <w:rFonts w:ascii="Calibri" w:hAnsi="Calibri" w:cs="Calibri"/>
          <w:sz w:val="24"/>
          <w:szCs w:val="24"/>
        </w:rPr>
        <w:t xml:space="preserve">provoz plavební komory v roce 2020 byl </w:t>
      </w:r>
      <w:r w:rsidR="00637FB0" w:rsidRPr="004F08C7">
        <w:rPr>
          <w:rFonts w:ascii="Calibri" w:hAnsi="Calibri" w:cs="Calibri"/>
          <w:sz w:val="24"/>
          <w:szCs w:val="24"/>
        </w:rPr>
        <w:t xml:space="preserve">výrazně </w:t>
      </w:r>
      <w:r w:rsidR="007857FF" w:rsidRPr="004F08C7">
        <w:rPr>
          <w:rFonts w:ascii="Calibri" w:hAnsi="Calibri" w:cs="Calibri"/>
          <w:sz w:val="24"/>
          <w:szCs w:val="24"/>
        </w:rPr>
        <w:t>ovlivněn protiepidemickými opatřeními v souvislosti s</w:t>
      </w:r>
      <w:r w:rsidR="00A946D1" w:rsidRPr="004F08C7">
        <w:rPr>
          <w:rFonts w:ascii="Calibri" w:hAnsi="Calibri" w:cs="Calibri"/>
          <w:sz w:val="24"/>
          <w:szCs w:val="24"/>
        </w:rPr>
        <w:t xml:space="preserve"> šířením onemocnění </w:t>
      </w:r>
      <w:r w:rsidR="00572E1E" w:rsidRPr="004F08C7">
        <w:rPr>
          <w:rFonts w:ascii="Calibri" w:hAnsi="Calibri" w:cs="Calibri"/>
          <w:sz w:val="24"/>
          <w:szCs w:val="24"/>
        </w:rPr>
        <w:t>covid</w:t>
      </w:r>
      <w:r w:rsidR="00572E1E">
        <w:rPr>
          <w:rFonts w:ascii="Calibri" w:hAnsi="Calibri" w:cs="Calibri"/>
          <w:sz w:val="24"/>
          <w:szCs w:val="24"/>
        </w:rPr>
        <w:t>-</w:t>
      </w:r>
      <w:r w:rsidR="007857FF" w:rsidRPr="004F08C7">
        <w:rPr>
          <w:rFonts w:ascii="Calibri" w:hAnsi="Calibri" w:cs="Calibri"/>
          <w:sz w:val="24"/>
          <w:szCs w:val="24"/>
        </w:rPr>
        <w:t>1</w:t>
      </w:r>
      <w:r w:rsidR="00A946D1" w:rsidRPr="004F08C7">
        <w:rPr>
          <w:rFonts w:ascii="Calibri" w:hAnsi="Calibri" w:cs="Calibri"/>
          <w:sz w:val="24"/>
          <w:szCs w:val="24"/>
        </w:rPr>
        <w:t>9)</w:t>
      </w:r>
      <w:r w:rsidR="007857FF" w:rsidRPr="004F08C7">
        <w:rPr>
          <w:rFonts w:ascii="Calibri" w:hAnsi="Calibri" w:cs="Calibri"/>
          <w:sz w:val="24"/>
          <w:szCs w:val="24"/>
        </w:rPr>
        <w:t xml:space="preserve">. </w:t>
      </w:r>
      <w:r w:rsidR="00A946D1" w:rsidRPr="004F08C7">
        <w:rPr>
          <w:rFonts w:ascii="Calibri" w:hAnsi="Calibri" w:cs="Calibri"/>
          <w:sz w:val="24"/>
          <w:szCs w:val="24"/>
        </w:rPr>
        <w:t>Nejbližší další plavební komorou proti proudu Vltavy, na vodním díle Praha</w:t>
      </w:r>
      <w:r w:rsidR="00572E1E">
        <w:rPr>
          <w:rFonts w:ascii="Calibri" w:hAnsi="Calibri" w:cs="Calibri"/>
          <w:sz w:val="24"/>
          <w:szCs w:val="24"/>
        </w:rPr>
        <w:t>-</w:t>
      </w:r>
      <w:r w:rsidR="00A946D1" w:rsidRPr="004F08C7">
        <w:rPr>
          <w:rFonts w:ascii="Calibri" w:hAnsi="Calibri" w:cs="Calibri"/>
          <w:sz w:val="24"/>
          <w:szCs w:val="24"/>
        </w:rPr>
        <w:t xml:space="preserve">Modřany, bylo za rok 2019 proplaveno jen 241 osobních lodí a 2 257 malých plavidel. </w:t>
      </w:r>
      <w:r w:rsidRPr="004F08C7">
        <w:rPr>
          <w:rFonts w:ascii="Calibri" w:hAnsi="Calibri" w:cs="Calibri"/>
          <w:sz w:val="24"/>
          <w:szCs w:val="24"/>
        </w:rPr>
        <w:t>Plavební komorou Roztoky, nacházející se pod Prahou po proudu Vltavy</w:t>
      </w:r>
      <w:r w:rsidR="00082072">
        <w:rPr>
          <w:rFonts w:ascii="Calibri" w:hAnsi="Calibri" w:cs="Calibri"/>
          <w:sz w:val="24"/>
          <w:szCs w:val="24"/>
        </w:rPr>
        <w:t>,</w:t>
      </w:r>
      <w:r w:rsidRPr="004F08C7">
        <w:rPr>
          <w:rFonts w:ascii="Calibri" w:hAnsi="Calibri" w:cs="Calibri"/>
          <w:sz w:val="24"/>
          <w:szCs w:val="24"/>
        </w:rPr>
        <w:t xml:space="preserve"> bylo za rok 2019 proplaveno jen 100 osobních lodí a</w:t>
      </w:r>
      <w:r w:rsidR="00D11D2F">
        <w:rPr>
          <w:rFonts w:ascii="Calibri" w:hAnsi="Calibri" w:cs="Calibri"/>
          <w:sz w:val="24"/>
          <w:szCs w:val="24"/>
        </w:rPr>
        <w:t> </w:t>
      </w:r>
      <w:r w:rsidRPr="004F08C7">
        <w:rPr>
          <w:rFonts w:ascii="Calibri" w:hAnsi="Calibri" w:cs="Calibri"/>
          <w:sz w:val="24"/>
          <w:szCs w:val="24"/>
        </w:rPr>
        <w:t>783</w:t>
      </w:r>
      <w:r w:rsidR="00D11D2F">
        <w:rPr>
          <w:rFonts w:ascii="Calibri" w:hAnsi="Calibri" w:cs="Calibri"/>
          <w:sz w:val="24"/>
          <w:szCs w:val="24"/>
        </w:rPr>
        <w:t> </w:t>
      </w:r>
      <w:r w:rsidRPr="004F08C7">
        <w:rPr>
          <w:rFonts w:ascii="Calibri" w:hAnsi="Calibri" w:cs="Calibri"/>
          <w:sz w:val="24"/>
          <w:szCs w:val="24"/>
        </w:rPr>
        <w:t xml:space="preserve">malých plavidel. Uvedené údaje vypovídají o </w:t>
      </w:r>
      <w:r w:rsidR="00637FB0" w:rsidRPr="004F08C7">
        <w:rPr>
          <w:rFonts w:ascii="Calibri" w:hAnsi="Calibri" w:cs="Calibri"/>
          <w:sz w:val="24"/>
          <w:szCs w:val="24"/>
        </w:rPr>
        <w:t xml:space="preserve">lokálním </w:t>
      </w:r>
      <w:r w:rsidRPr="004F08C7">
        <w:rPr>
          <w:rFonts w:ascii="Calibri" w:hAnsi="Calibri" w:cs="Calibri"/>
          <w:sz w:val="24"/>
          <w:szCs w:val="24"/>
        </w:rPr>
        <w:t xml:space="preserve">vysokém </w:t>
      </w:r>
      <w:r w:rsidR="00637FB0" w:rsidRPr="004F08C7">
        <w:rPr>
          <w:rFonts w:ascii="Calibri" w:hAnsi="Calibri" w:cs="Calibri"/>
          <w:sz w:val="24"/>
          <w:szCs w:val="24"/>
        </w:rPr>
        <w:t>za</w:t>
      </w:r>
      <w:r w:rsidRPr="004F08C7">
        <w:rPr>
          <w:rFonts w:ascii="Calibri" w:hAnsi="Calibri" w:cs="Calibri"/>
          <w:sz w:val="24"/>
          <w:szCs w:val="24"/>
        </w:rPr>
        <w:t xml:space="preserve">tížení Vltavy rekreační plavbou v Praze, ale jejím výrazně nižším </w:t>
      </w:r>
      <w:r w:rsidR="00637FB0" w:rsidRPr="004F08C7">
        <w:rPr>
          <w:rFonts w:ascii="Calibri" w:hAnsi="Calibri" w:cs="Calibri"/>
          <w:sz w:val="24"/>
          <w:szCs w:val="24"/>
        </w:rPr>
        <w:t>za</w:t>
      </w:r>
      <w:r w:rsidRPr="004F08C7">
        <w:rPr>
          <w:rFonts w:ascii="Calibri" w:hAnsi="Calibri" w:cs="Calibri"/>
          <w:sz w:val="24"/>
          <w:szCs w:val="24"/>
        </w:rPr>
        <w:t xml:space="preserve">tížením průběžnou plavbou přes Prahu. </w:t>
      </w:r>
      <w:r w:rsidR="00AD07B8" w:rsidRPr="004F08C7">
        <w:rPr>
          <w:rFonts w:ascii="Calibri" w:hAnsi="Calibri" w:cs="Calibri"/>
          <w:sz w:val="24"/>
          <w:szCs w:val="24"/>
        </w:rPr>
        <w:t>Přehled o</w:t>
      </w:r>
      <w:r w:rsidR="00D11D2F">
        <w:rPr>
          <w:rFonts w:ascii="Calibri" w:hAnsi="Calibri" w:cs="Calibri"/>
          <w:sz w:val="24"/>
          <w:szCs w:val="24"/>
        </w:rPr>
        <w:t> </w:t>
      </w:r>
      <w:r w:rsidR="00553DC8" w:rsidRPr="004F08C7">
        <w:rPr>
          <w:rFonts w:ascii="Calibri" w:hAnsi="Calibri" w:cs="Calibri"/>
          <w:sz w:val="24"/>
          <w:szCs w:val="24"/>
        </w:rPr>
        <w:t xml:space="preserve">počtech </w:t>
      </w:r>
      <w:r w:rsidR="007857FF" w:rsidRPr="004F08C7">
        <w:rPr>
          <w:rFonts w:ascii="Calibri" w:hAnsi="Calibri" w:cs="Calibri"/>
          <w:sz w:val="24"/>
          <w:szCs w:val="24"/>
        </w:rPr>
        <w:t xml:space="preserve">osobních lodí a </w:t>
      </w:r>
      <w:r w:rsidR="00553DC8" w:rsidRPr="004F08C7">
        <w:rPr>
          <w:rFonts w:ascii="Calibri" w:hAnsi="Calibri" w:cs="Calibri"/>
          <w:sz w:val="24"/>
          <w:szCs w:val="24"/>
        </w:rPr>
        <w:t>malých plavidel proplavených</w:t>
      </w:r>
      <w:r w:rsidR="00AD07B8" w:rsidRPr="004F08C7">
        <w:rPr>
          <w:rFonts w:ascii="Calibri" w:hAnsi="Calibri" w:cs="Calibri"/>
          <w:sz w:val="24"/>
          <w:szCs w:val="24"/>
        </w:rPr>
        <w:t xml:space="preserve"> vybraný</w:t>
      </w:r>
      <w:r w:rsidR="00553DC8" w:rsidRPr="004F08C7">
        <w:rPr>
          <w:rFonts w:ascii="Calibri" w:hAnsi="Calibri" w:cs="Calibri"/>
          <w:sz w:val="24"/>
          <w:szCs w:val="24"/>
        </w:rPr>
        <w:t>mi</w:t>
      </w:r>
      <w:r w:rsidR="00AD07B8" w:rsidRPr="004F08C7">
        <w:rPr>
          <w:rFonts w:ascii="Calibri" w:hAnsi="Calibri" w:cs="Calibri"/>
          <w:sz w:val="24"/>
          <w:szCs w:val="24"/>
        </w:rPr>
        <w:t xml:space="preserve"> plavební</w:t>
      </w:r>
      <w:r w:rsidR="00553DC8" w:rsidRPr="004F08C7">
        <w:rPr>
          <w:rFonts w:ascii="Calibri" w:hAnsi="Calibri" w:cs="Calibri"/>
          <w:sz w:val="24"/>
          <w:szCs w:val="24"/>
        </w:rPr>
        <w:t>mi</w:t>
      </w:r>
      <w:r w:rsidR="00AD07B8" w:rsidRPr="004F08C7">
        <w:rPr>
          <w:rFonts w:ascii="Calibri" w:hAnsi="Calibri" w:cs="Calibri"/>
          <w:sz w:val="24"/>
          <w:szCs w:val="24"/>
        </w:rPr>
        <w:t xml:space="preserve"> </w:t>
      </w:r>
      <w:r w:rsidR="00AD07B8" w:rsidRPr="004F08C7">
        <w:rPr>
          <w:rFonts w:ascii="Calibri" w:hAnsi="Calibri" w:cs="Calibri"/>
          <w:sz w:val="24"/>
          <w:szCs w:val="24"/>
        </w:rPr>
        <w:lastRenderedPageBreak/>
        <w:t>komor</w:t>
      </w:r>
      <w:r w:rsidR="00553DC8" w:rsidRPr="004F08C7">
        <w:rPr>
          <w:rFonts w:ascii="Calibri" w:hAnsi="Calibri" w:cs="Calibri"/>
          <w:sz w:val="24"/>
          <w:szCs w:val="24"/>
        </w:rPr>
        <w:t>ami</w:t>
      </w:r>
      <w:r w:rsidR="00AD07B8" w:rsidRPr="004F08C7">
        <w:rPr>
          <w:rFonts w:ascii="Calibri" w:hAnsi="Calibri" w:cs="Calibri"/>
          <w:sz w:val="24"/>
          <w:szCs w:val="24"/>
        </w:rPr>
        <w:t xml:space="preserve"> na Labi, Vlta</w:t>
      </w:r>
      <w:r w:rsidR="00553DC8" w:rsidRPr="004F08C7">
        <w:rPr>
          <w:rFonts w:ascii="Calibri" w:hAnsi="Calibri" w:cs="Calibri"/>
          <w:sz w:val="24"/>
          <w:szCs w:val="24"/>
        </w:rPr>
        <w:t>vě a na Baťově kanále</w:t>
      </w:r>
      <w:r w:rsidR="006038C4" w:rsidRPr="004F08C7">
        <w:rPr>
          <w:rFonts w:ascii="Calibri" w:hAnsi="Calibri" w:cs="Calibri"/>
          <w:sz w:val="24"/>
          <w:szCs w:val="24"/>
        </w:rPr>
        <w:t xml:space="preserve"> získaný z reportů </w:t>
      </w:r>
      <w:r w:rsidR="0064658F" w:rsidRPr="004F08C7">
        <w:rPr>
          <w:rFonts w:ascii="Calibri" w:hAnsi="Calibri" w:cs="Calibri"/>
          <w:sz w:val="24"/>
          <w:szCs w:val="24"/>
        </w:rPr>
        <w:t xml:space="preserve">správců </w:t>
      </w:r>
      <w:r w:rsidR="00016AE6" w:rsidRPr="004F08C7">
        <w:rPr>
          <w:rFonts w:ascii="Calibri" w:hAnsi="Calibri" w:cs="Calibri"/>
          <w:sz w:val="24"/>
          <w:szCs w:val="24"/>
        </w:rPr>
        <w:t>vodní cesty</w:t>
      </w:r>
      <w:r w:rsidR="00553DC8" w:rsidRPr="004F08C7">
        <w:rPr>
          <w:rFonts w:ascii="Calibri" w:hAnsi="Calibri" w:cs="Calibri"/>
          <w:sz w:val="24"/>
          <w:szCs w:val="24"/>
        </w:rPr>
        <w:t xml:space="preserve"> </w:t>
      </w:r>
      <w:r w:rsidR="006038C4" w:rsidRPr="004F08C7">
        <w:rPr>
          <w:rFonts w:ascii="Calibri" w:hAnsi="Calibri" w:cs="Calibri"/>
          <w:sz w:val="24"/>
          <w:szCs w:val="24"/>
        </w:rPr>
        <w:t xml:space="preserve">prostřednictvím ŘVC </w:t>
      </w:r>
      <w:r w:rsidR="00553DC8" w:rsidRPr="004F08C7">
        <w:rPr>
          <w:rFonts w:ascii="Calibri" w:hAnsi="Calibri" w:cs="Calibri"/>
          <w:sz w:val="24"/>
          <w:szCs w:val="24"/>
        </w:rPr>
        <w:t>je uveden v příloze</w:t>
      </w:r>
      <w:r w:rsidR="00082072">
        <w:rPr>
          <w:rFonts w:ascii="Calibri" w:hAnsi="Calibri" w:cs="Calibri"/>
          <w:sz w:val="24"/>
          <w:szCs w:val="24"/>
        </w:rPr>
        <w:t xml:space="preserve"> č. 1</w:t>
      </w:r>
      <w:r w:rsidR="00553DC8" w:rsidRPr="004F08C7">
        <w:rPr>
          <w:rFonts w:ascii="Calibri" w:hAnsi="Calibri" w:cs="Calibri"/>
          <w:sz w:val="24"/>
          <w:szCs w:val="24"/>
        </w:rPr>
        <w:t xml:space="preserve"> tohoto kontrolního závěru.</w:t>
      </w:r>
    </w:p>
    <w:p w14:paraId="0631E5FE" w14:textId="77777777" w:rsidR="001C296A" w:rsidRPr="004F08C7" w:rsidRDefault="001C296A" w:rsidP="004F08C7">
      <w:pPr>
        <w:spacing w:after="120"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4F08C7">
        <w:rPr>
          <w:rFonts w:ascii="Calibri" w:hAnsi="Calibri" w:cs="Calibri"/>
          <w:b/>
          <w:sz w:val="24"/>
          <w:szCs w:val="24"/>
        </w:rPr>
        <w:t xml:space="preserve">Spolupráce MD </w:t>
      </w:r>
      <w:r w:rsidR="003E32D1" w:rsidRPr="004F08C7">
        <w:rPr>
          <w:rFonts w:ascii="Calibri" w:hAnsi="Calibri" w:cs="Calibri"/>
          <w:b/>
          <w:sz w:val="24"/>
          <w:szCs w:val="24"/>
        </w:rPr>
        <w:t>s</w:t>
      </w:r>
      <w:r w:rsidRPr="004F08C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F08C7">
        <w:rPr>
          <w:rFonts w:ascii="Calibri" w:hAnsi="Calibri" w:cs="Calibri"/>
          <w:b/>
          <w:sz w:val="24"/>
          <w:szCs w:val="24"/>
        </w:rPr>
        <w:t>MZe</w:t>
      </w:r>
      <w:proofErr w:type="spellEnd"/>
      <w:r w:rsidRPr="004F08C7">
        <w:rPr>
          <w:rFonts w:ascii="Calibri" w:hAnsi="Calibri" w:cs="Calibri"/>
          <w:b/>
          <w:sz w:val="24"/>
          <w:szCs w:val="24"/>
        </w:rPr>
        <w:t xml:space="preserve"> byla problematická </w:t>
      </w:r>
    </w:p>
    <w:p w14:paraId="4350E7DD" w14:textId="76C29907" w:rsidR="001C296A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4.26 </w:t>
      </w:r>
      <w:r w:rsidR="001C296A" w:rsidRPr="004F08C7">
        <w:rPr>
          <w:rFonts w:ascii="Calibri" w:hAnsi="Calibri" w:cs="Calibri"/>
          <w:sz w:val="24"/>
          <w:szCs w:val="24"/>
        </w:rPr>
        <w:t xml:space="preserve">Odpovědnost za infrastrukturní projekty na vodních cestách je rozdělena mezi ŘVC v působnosti MD a </w:t>
      </w:r>
      <w:r w:rsidR="006C3E84" w:rsidRPr="004F08C7">
        <w:rPr>
          <w:rFonts w:ascii="Calibri" w:hAnsi="Calibri" w:cs="Calibri"/>
          <w:sz w:val="24"/>
          <w:szCs w:val="24"/>
        </w:rPr>
        <w:t xml:space="preserve">správce </w:t>
      </w:r>
      <w:r w:rsidR="00016AE6" w:rsidRPr="004F08C7">
        <w:rPr>
          <w:rFonts w:ascii="Calibri" w:hAnsi="Calibri" w:cs="Calibri"/>
          <w:sz w:val="24"/>
          <w:szCs w:val="24"/>
        </w:rPr>
        <w:t>vodní cesty</w:t>
      </w:r>
      <w:r w:rsidR="001C296A" w:rsidRPr="004F08C7">
        <w:rPr>
          <w:rFonts w:ascii="Calibri" w:hAnsi="Calibri" w:cs="Calibri"/>
          <w:sz w:val="24"/>
          <w:szCs w:val="24"/>
        </w:rPr>
        <w:t xml:space="preserve"> v působnosti </w:t>
      </w:r>
      <w:proofErr w:type="spellStart"/>
      <w:r w:rsidR="001C296A" w:rsidRPr="004F08C7">
        <w:rPr>
          <w:rFonts w:ascii="Calibri" w:hAnsi="Calibri" w:cs="Calibri"/>
          <w:sz w:val="24"/>
          <w:szCs w:val="24"/>
        </w:rPr>
        <w:t>MZe</w:t>
      </w:r>
      <w:proofErr w:type="spellEnd"/>
      <w:r w:rsidR="001C296A" w:rsidRPr="004F08C7">
        <w:rPr>
          <w:rFonts w:ascii="Calibri" w:hAnsi="Calibri" w:cs="Calibri"/>
          <w:sz w:val="24"/>
          <w:szCs w:val="24"/>
        </w:rPr>
        <w:t>. Systém rozdělení odpovědnosti za přípravu a realizaci typově stejných projektů mezi organizace v působnosti dvou různých re</w:t>
      </w:r>
      <w:r w:rsidR="007C5A1B" w:rsidRPr="004F08C7">
        <w:rPr>
          <w:rFonts w:ascii="Calibri" w:hAnsi="Calibri" w:cs="Calibri"/>
          <w:sz w:val="24"/>
          <w:szCs w:val="24"/>
        </w:rPr>
        <w:t>s</w:t>
      </w:r>
      <w:r w:rsidR="001C296A" w:rsidRPr="004F08C7">
        <w:rPr>
          <w:rFonts w:ascii="Calibri" w:hAnsi="Calibri" w:cs="Calibri"/>
          <w:sz w:val="24"/>
          <w:szCs w:val="24"/>
        </w:rPr>
        <w:t xml:space="preserve">ortů je komplikovaný a náročný na koordinaci, a to zvláště v případě projektů tvořících jedno ucelené dopravní řešení. Důsledky </w:t>
      </w:r>
      <w:r w:rsidR="006C3E84" w:rsidRPr="004F08C7">
        <w:rPr>
          <w:rFonts w:ascii="Calibri" w:hAnsi="Calibri" w:cs="Calibri"/>
          <w:sz w:val="24"/>
          <w:szCs w:val="24"/>
        </w:rPr>
        <w:t>rozporů mezi</w:t>
      </w:r>
      <w:r w:rsidR="001C296A" w:rsidRPr="004F08C7">
        <w:rPr>
          <w:rFonts w:ascii="Calibri" w:hAnsi="Calibri" w:cs="Calibri"/>
          <w:sz w:val="24"/>
          <w:szCs w:val="24"/>
        </w:rPr>
        <w:t xml:space="preserve"> </w:t>
      </w:r>
      <w:r w:rsidR="002C01F5" w:rsidRPr="004F08C7">
        <w:rPr>
          <w:rFonts w:ascii="Calibri" w:hAnsi="Calibri" w:cs="Calibri"/>
          <w:sz w:val="24"/>
          <w:szCs w:val="24"/>
        </w:rPr>
        <w:t>re</w:t>
      </w:r>
      <w:r w:rsidR="007C5A1B" w:rsidRPr="004F08C7">
        <w:rPr>
          <w:rFonts w:ascii="Calibri" w:hAnsi="Calibri" w:cs="Calibri"/>
          <w:sz w:val="24"/>
          <w:szCs w:val="24"/>
        </w:rPr>
        <w:t>s</w:t>
      </w:r>
      <w:r w:rsidR="002C01F5" w:rsidRPr="004F08C7">
        <w:rPr>
          <w:rFonts w:ascii="Calibri" w:hAnsi="Calibri" w:cs="Calibri"/>
          <w:sz w:val="24"/>
          <w:szCs w:val="24"/>
        </w:rPr>
        <w:t>orty</w:t>
      </w:r>
      <w:r w:rsidR="001C296A" w:rsidRPr="004F08C7">
        <w:rPr>
          <w:rFonts w:ascii="Calibri" w:hAnsi="Calibri" w:cs="Calibri"/>
          <w:sz w:val="24"/>
          <w:szCs w:val="24"/>
        </w:rPr>
        <w:t xml:space="preserve"> při zajištění rozvoje rekreační plavby MD shrnulo ve </w:t>
      </w:r>
      <w:r w:rsidR="001C296A" w:rsidRPr="004F08C7">
        <w:rPr>
          <w:rFonts w:ascii="Calibri" w:hAnsi="Calibri" w:cs="Calibri"/>
          <w:i/>
          <w:sz w:val="24"/>
          <w:szCs w:val="24"/>
        </w:rPr>
        <w:t>Vyhodnocení účinnosti Dopravní politiky ČR pro období 2014</w:t>
      </w:r>
      <w:r w:rsidR="00CC482E">
        <w:rPr>
          <w:rFonts w:ascii="Calibri" w:hAnsi="Calibri" w:cs="Calibri"/>
          <w:i/>
          <w:sz w:val="24"/>
          <w:szCs w:val="24"/>
        </w:rPr>
        <w:t>–</w:t>
      </w:r>
      <w:r w:rsidR="001C296A" w:rsidRPr="004F08C7">
        <w:rPr>
          <w:rFonts w:ascii="Calibri" w:hAnsi="Calibri" w:cs="Calibri"/>
          <w:i/>
          <w:sz w:val="24"/>
          <w:szCs w:val="24"/>
        </w:rPr>
        <w:t>2020 s</w:t>
      </w:r>
      <w:r w:rsidR="00CC482E">
        <w:rPr>
          <w:rFonts w:ascii="Calibri" w:hAnsi="Calibri" w:cs="Calibri"/>
          <w:i/>
          <w:sz w:val="24"/>
          <w:szCs w:val="24"/>
        </w:rPr>
        <w:t> </w:t>
      </w:r>
      <w:r w:rsidR="001C296A" w:rsidRPr="004F08C7">
        <w:rPr>
          <w:rFonts w:ascii="Calibri" w:hAnsi="Calibri" w:cs="Calibri"/>
          <w:i/>
          <w:sz w:val="24"/>
          <w:szCs w:val="24"/>
        </w:rPr>
        <w:t>výhledem do roku 2050</w:t>
      </w:r>
      <w:r w:rsidR="001C296A" w:rsidRPr="004F08C7">
        <w:rPr>
          <w:rFonts w:ascii="Calibri" w:eastAsia="Arial Unicode MS" w:hAnsi="Calibri" w:cs="Calibri"/>
          <w:bCs/>
          <w:sz w:val="24"/>
          <w:szCs w:val="24"/>
          <w:vertAlign w:val="superscript"/>
        </w:rPr>
        <w:footnoteReference w:id="25"/>
      </w:r>
      <w:r w:rsidR="001C296A" w:rsidRPr="004F08C7">
        <w:rPr>
          <w:rFonts w:ascii="Calibri" w:hAnsi="Calibri" w:cs="Calibri"/>
          <w:sz w:val="24"/>
          <w:szCs w:val="24"/>
        </w:rPr>
        <w:t>: „</w:t>
      </w:r>
      <w:r w:rsidR="001C296A" w:rsidRPr="004F08C7">
        <w:rPr>
          <w:rFonts w:ascii="Calibri" w:hAnsi="Calibri" w:cs="Calibri"/>
          <w:i/>
          <w:sz w:val="24"/>
          <w:szCs w:val="24"/>
        </w:rPr>
        <w:t xml:space="preserve">Na Labi a Vltavě se výstavba veřejné přístavní infrastruktury podařila jen v dílčím omezeném rozsahu a je evidentní, že její absence brzdí rozvoj rekreační plavby na vodní cestě v měřítku její celé délky ... Důvodem pro </w:t>
      </w:r>
      <w:proofErr w:type="spellStart"/>
      <w:r w:rsidR="001C296A" w:rsidRPr="004F08C7">
        <w:rPr>
          <w:rFonts w:ascii="Calibri" w:hAnsi="Calibri" w:cs="Calibri"/>
          <w:i/>
          <w:sz w:val="24"/>
          <w:szCs w:val="24"/>
        </w:rPr>
        <w:t>nerealizaci</w:t>
      </w:r>
      <w:proofErr w:type="spellEnd"/>
      <w:r w:rsidR="001C296A" w:rsidRPr="004F08C7">
        <w:rPr>
          <w:rFonts w:ascii="Calibri" w:hAnsi="Calibri" w:cs="Calibri"/>
          <w:i/>
          <w:sz w:val="24"/>
          <w:szCs w:val="24"/>
        </w:rPr>
        <w:t xml:space="preserve"> přístavišť a přístavů byly koncepční a administrativní rozpory mezi resortem dopravy a zemědělství, jež se podařilo řešit až v roce 2017.</w:t>
      </w:r>
      <w:r w:rsidR="001C296A" w:rsidRPr="004F08C7">
        <w:rPr>
          <w:rFonts w:ascii="Calibri" w:hAnsi="Calibri" w:cs="Calibri"/>
          <w:sz w:val="24"/>
          <w:szCs w:val="24"/>
        </w:rPr>
        <w:t xml:space="preserve">“ NKÚ ale zjistil, že rozpory nebyly </w:t>
      </w:r>
      <w:r w:rsidR="004A2773" w:rsidRPr="004F08C7">
        <w:rPr>
          <w:rFonts w:ascii="Calibri" w:hAnsi="Calibri" w:cs="Calibri"/>
          <w:sz w:val="24"/>
          <w:szCs w:val="24"/>
        </w:rPr>
        <w:t xml:space="preserve">dořešeny </w:t>
      </w:r>
      <w:r w:rsidR="001C296A" w:rsidRPr="004F08C7">
        <w:rPr>
          <w:rFonts w:ascii="Calibri" w:hAnsi="Calibri" w:cs="Calibri"/>
          <w:sz w:val="24"/>
          <w:szCs w:val="24"/>
        </w:rPr>
        <w:t>ani po roce 2017.</w:t>
      </w:r>
    </w:p>
    <w:p w14:paraId="11DBD1AB" w14:textId="22759C0E" w:rsidR="001C296A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4.27 </w:t>
      </w:r>
      <w:r w:rsidR="001C296A" w:rsidRPr="004F08C7">
        <w:rPr>
          <w:rFonts w:ascii="Calibri" w:hAnsi="Calibri" w:cs="Calibri"/>
          <w:sz w:val="24"/>
          <w:szCs w:val="24"/>
        </w:rPr>
        <w:t>Podle zápisu ze září 2016</w:t>
      </w:r>
      <w:r w:rsidR="001C296A" w:rsidRPr="004F08C7">
        <w:rPr>
          <w:rFonts w:ascii="Calibri" w:eastAsia="Arial Unicode MS" w:hAnsi="Calibri" w:cs="Calibri"/>
          <w:bCs/>
          <w:sz w:val="24"/>
          <w:szCs w:val="24"/>
          <w:vertAlign w:val="superscript"/>
        </w:rPr>
        <w:footnoteReference w:id="26"/>
      </w:r>
      <w:r w:rsidR="001C296A" w:rsidRPr="004F08C7">
        <w:rPr>
          <w:rFonts w:ascii="Calibri" w:hAnsi="Calibri" w:cs="Calibri"/>
          <w:sz w:val="24"/>
          <w:szCs w:val="24"/>
        </w:rPr>
        <w:t xml:space="preserve"> ŘVC zodpovídá za projekty přímo nesouvisející s vodními díly, k nimž mají právo hospodařit </w:t>
      </w:r>
      <w:r w:rsidR="00071413" w:rsidRPr="004F08C7">
        <w:rPr>
          <w:rFonts w:ascii="Calibri" w:hAnsi="Calibri" w:cs="Calibri"/>
          <w:sz w:val="24"/>
          <w:szCs w:val="24"/>
        </w:rPr>
        <w:t>správci vodní cesty</w:t>
      </w:r>
      <w:r w:rsidR="001C296A" w:rsidRPr="004F08C7">
        <w:rPr>
          <w:rFonts w:ascii="Calibri" w:hAnsi="Calibri" w:cs="Calibri"/>
          <w:sz w:val="24"/>
          <w:szCs w:val="24"/>
        </w:rPr>
        <w:t>, s výjimkou již rozpracovaných projektů. Nevypořádání majetkoprávních vztahů, popř. spor</w:t>
      </w:r>
      <w:r w:rsidR="004A2773" w:rsidRPr="004F08C7">
        <w:rPr>
          <w:rFonts w:ascii="Calibri" w:hAnsi="Calibri" w:cs="Calibri"/>
          <w:sz w:val="24"/>
          <w:szCs w:val="24"/>
        </w:rPr>
        <w:t>y</w:t>
      </w:r>
      <w:r w:rsidR="001C296A" w:rsidRPr="004F08C7">
        <w:rPr>
          <w:rFonts w:ascii="Calibri" w:hAnsi="Calibri" w:cs="Calibri"/>
          <w:sz w:val="24"/>
          <w:szCs w:val="24"/>
        </w:rPr>
        <w:t xml:space="preserve"> o umístění stavby mezi ŘVC a </w:t>
      </w:r>
      <w:r w:rsidR="00071413" w:rsidRPr="004F08C7">
        <w:rPr>
          <w:rFonts w:ascii="Calibri" w:hAnsi="Calibri" w:cs="Calibri"/>
          <w:sz w:val="24"/>
          <w:szCs w:val="24"/>
        </w:rPr>
        <w:t>správcem vodní cesty</w:t>
      </w:r>
      <w:r w:rsidR="001C296A" w:rsidRPr="004F08C7">
        <w:rPr>
          <w:rFonts w:ascii="Calibri" w:hAnsi="Calibri" w:cs="Calibri"/>
          <w:sz w:val="24"/>
          <w:szCs w:val="24"/>
        </w:rPr>
        <w:t xml:space="preserve"> </w:t>
      </w:r>
      <w:r w:rsidR="000972A8" w:rsidRPr="004F08C7">
        <w:rPr>
          <w:rFonts w:ascii="Calibri" w:hAnsi="Calibri" w:cs="Calibri"/>
          <w:sz w:val="24"/>
          <w:szCs w:val="24"/>
        </w:rPr>
        <w:t>bylo</w:t>
      </w:r>
      <w:r w:rsidR="001C296A" w:rsidRPr="004F08C7">
        <w:rPr>
          <w:rFonts w:ascii="Calibri" w:hAnsi="Calibri" w:cs="Calibri"/>
          <w:sz w:val="24"/>
          <w:szCs w:val="24"/>
        </w:rPr>
        <w:t xml:space="preserve"> důvodem odkládání </w:t>
      </w:r>
      <w:r w:rsidR="000972A8" w:rsidRPr="004F08C7">
        <w:rPr>
          <w:rFonts w:ascii="Calibri" w:hAnsi="Calibri" w:cs="Calibri"/>
          <w:sz w:val="24"/>
          <w:szCs w:val="24"/>
        </w:rPr>
        <w:t>modernizace přístaviště v Litoměřicích (viz 4.31) i</w:t>
      </w:r>
      <w:r w:rsidR="00CC482E">
        <w:rPr>
          <w:rFonts w:ascii="Calibri" w:hAnsi="Calibri" w:cs="Calibri"/>
          <w:sz w:val="24"/>
          <w:szCs w:val="24"/>
        </w:rPr>
        <w:t> </w:t>
      </w:r>
      <w:r w:rsidR="001C296A" w:rsidRPr="004F08C7">
        <w:rPr>
          <w:rFonts w:ascii="Calibri" w:hAnsi="Calibri" w:cs="Calibri"/>
          <w:sz w:val="24"/>
          <w:szCs w:val="24"/>
        </w:rPr>
        <w:t>výstavby přístavišť v Brandýse nad Labem, v Osečku, v </w:t>
      </w:r>
      <w:proofErr w:type="spellStart"/>
      <w:r w:rsidR="001C296A" w:rsidRPr="004F08C7">
        <w:rPr>
          <w:rFonts w:ascii="Calibri" w:hAnsi="Calibri" w:cs="Calibri"/>
          <w:sz w:val="24"/>
          <w:szCs w:val="24"/>
        </w:rPr>
        <w:t>Neratovicích</w:t>
      </w:r>
      <w:r w:rsidR="003518A7">
        <w:rPr>
          <w:rFonts w:ascii="Calibri" w:hAnsi="Calibri" w:cs="Calibri"/>
          <w:sz w:val="24"/>
          <w:szCs w:val="24"/>
        </w:rPr>
        <w:t>-</w:t>
      </w:r>
      <w:r w:rsidR="001C296A" w:rsidRPr="004F08C7">
        <w:rPr>
          <w:rFonts w:ascii="Calibri" w:hAnsi="Calibri" w:cs="Calibri"/>
          <w:sz w:val="24"/>
          <w:szCs w:val="24"/>
        </w:rPr>
        <w:t>Lobkovicích</w:t>
      </w:r>
      <w:proofErr w:type="spellEnd"/>
      <w:r w:rsidR="001C296A" w:rsidRPr="004F08C7">
        <w:rPr>
          <w:rFonts w:ascii="Calibri" w:hAnsi="Calibri" w:cs="Calibri"/>
          <w:sz w:val="24"/>
          <w:szCs w:val="24"/>
        </w:rPr>
        <w:t>.</w:t>
      </w:r>
    </w:p>
    <w:p w14:paraId="3907526E" w14:textId="28D82D22" w:rsidR="001C296A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4.28 </w:t>
      </w:r>
      <w:r w:rsidR="004A2773" w:rsidRPr="004F08C7">
        <w:rPr>
          <w:rFonts w:ascii="Calibri" w:hAnsi="Calibri" w:cs="Calibri"/>
          <w:sz w:val="24"/>
          <w:szCs w:val="24"/>
        </w:rPr>
        <w:t>Závěrečná vyhodnocení realizovaných projektů jsou velmi důležitá pro ověření splnění jejich cílů a předpokladů,</w:t>
      </w:r>
      <w:r w:rsidR="005F04D4" w:rsidRPr="004F08C7">
        <w:rPr>
          <w:rFonts w:ascii="Calibri" w:hAnsi="Calibri" w:cs="Calibri"/>
          <w:sz w:val="24"/>
          <w:szCs w:val="24"/>
        </w:rPr>
        <w:t xml:space="preserve"> z</w:t>
      </w:r>
      <w:r w:rsidR="004A2773" w:rsidRPr="004F08C7">
        <w:rPr>
          <w:rFonts w:ascii="Calibri" w:hAnsi="Calibri" w:cs="Calibri"/>
          <w:sz w:val="24"/>
          <w:szCs w:val="24"/>
        </w:rPr>
        <w:t xml:space="preserve"> nichž vycházela hodnocení jejich </w:t>
      </w:r>
      <w:r w:rsidR="005F04D4" w:rsidRPr="004F08C7">
        <w:rPr>
          <w:rFonts w:ascii="Calibri" w:hAnsi="Calibri" w:cs="Calibri"/>
          <w:sz w:val="24"/>
          <w:szCs w:val="24"/>
        </w:rPr>
        <w:t xml:space="preserve">očekávané </w:t>
      </w:r>
      <w:r w:rsidR="004A2773" w:rsidRPr="004F08C7">
        <w:rPr>
          <w:rFonts w:ascii="Calibri" w:hAnsi="Calibri" w:cs="Calibri"/>
          <w:sz w:val="24"/>
          <w:szCs w:val="24"/>
        </w:rPr>
        <w:t xml:space="preserve">ekonomické efektivnosti. </w:t>
      </w:r>
      <w:r w:rsidR="00DC6290" w:rsidRPr="004F08C7">
        <w:rPr>
          <w:rFonts w:ascii="Calibri" w:hAnsi="Calibri" w:cs="Calibri"/>
          <w:sz w:val="24"/>
          <w:szCs w:val="24"/>
        </w:rPr>
        <w:t xml:space="preserve">ŘVC stále ještě neprovedlo závěrečné vyhodnocení projektu </w:t>
      </w:r>
      <w:r w:rsidR="00DC6290" w:rsidRPr="004F08C7">
        <w:rPr>
          <w:rFonts w:ascii="Calibri" w:hAnsi="Calibri" w:cs="Calibri"/>
          <w:i/>
          <w:sz w:val="24"/>
          <w:szCs w:val="24"/>
        </w:rPr>
        <w:t>Úvaziště osobních lodí Ústí nad Labem</w:t>
      </w:r>
      <w:r w:rsidR="003518A7">
        <w:rPr>
          <w:rFonts w:ascii="Calibri" w:hAnsi="Calibri" w:cs="Calibri"/>
          <w:i/>
          <w:sz w:val="24"/>
          <w:szCs w:val="24"/>
        </w:rPr>
        <w:t xml:space="preserve"> –</w:t>
      </w:r>
      <w:r w:rsidR="00DC6290" w:rsidRPr="004F08C7">
        <w:rPr>
          <w:rFonts w:ascii="Calibri" w:hAnsi="Calibri" w:cs="Calibri"/>
          <w:i/>
          <w:sz w:val="24"/>
          <w:szCs w:val="24"/>
        </w:rPr>
        <w:t xml:space="preserve"> centrum</w:t>
      </w:r>
      <w:r w:rsidR="00DC6290" w:rsidRPr="004F08C7">
        <w:rPr>
          <w:rFonts w:ascii="Calibri" w:hAnsi="Calibri" w:cs="Calibri"/>
          <w:sz w:val="24"/>
          <w:szCs w:val="24"/>
        </w:rPr>
        <w:t xml:space="preserve">, který dokončilo již v roce 2013, a projektu </w:t>
      </w:r>
      <w:r w:rsidR="00DC6290" w:rsidRPr="004F08C7">
        <w:rPr>
          <w:rFonts w:ascii="Calibri" w:hAnsi="Calibri" w:cs="Calibri"/>
          <w:i/>
          <w:sz w:val="24"/>
          <w:szCs w:val="24"/>
        </w:rPr>
        <w:t xml:space="preserve">Modernizace rejd PK </w:t>
      </w:r>
      <w:proofErr w:type="spellStart"/>
      <w:r w:rsidR="00DC6290" w:rsidRPr="004F08C7">
        <w:rPr>
          <w:rFonts w:ascii="Calibri" w:hAnsi="Calibri" w:cs="Calibri"/>
          <w:i/>
          <w:sz w:val="24"/>
          <w:szCs w:val="24"/>
        </w:rPr>
        <w:t>Kořensko</w:t>
      </w:r>
      <w:proofErr w:type="spellEnd"/>
      <w:r w:rsidR="00DC6290" w:rsidRPr="004F08C7">
        <w:rPr>
          <w:rFonts w:ascii="Calibri" w:hAnsi="Calibri" w:cs="Calibri"/>
          <w:sz w:val="24"/>
          <w:szCs w:val="24"/>
        </w:rPr>
        <w:t xml:space="preserve">, který dokončilo v roce 2018. </w:t>
      </w:r>
      <w:r w:rsidR="001C296A" w:rsidRPr="004F08C7">
        <w:rPr>
          <w:rFonts w:ascii="Calibri" w:hAnsi="Calibri" w:cs="Calibri"/>
          <w:sz w:val="24"/>
          <w:szCs w:val="24"/>
        </w:rPr>
        <w:t>Zdůvod</w:t>
      </w:r>
      <w:r w:rsidR="00DC6290" w:rsidRPr="004F08C7">
        <w:rPr>
          <w:rFonts w:ascii="Calibri" w:hAnsi="Calibri" w:cs="Calibri"/>
          <w:sz w:val="24"/>
          <w:szCs w:val="24"/>
        </w:rPr>
        <w:t>nilo to</w:t>
      </w:r>
      <w:r w:rsidR="001C296A" w:rsidRPr="004F08C7">
        <w:rPr>
          <w:rFonts w:ascii="Calibri" w:hAnsi="Calibri" w:cs="Calibri"/>
          <w:sz w:val="24"/>
          <w:szCs w:val="24"/>
        </w:rPr>
        <w:t xml:space="preserve"> nevypořádání</w:t>
      </w:r>
      <w:r w:rsidR="00DC6290" w:rsidRPr="004F08C7">
        <w:rPr>
          <w:rFonts w:ascii="Calibri" w:hAnsi="Calibri" w:cs="Calibri"/>
          <w:sz w:val="24"/>
          <w:szCs w:val="24"/>
        </w:rPr>
        <w:t>m</w:t>
      </w:r>
      <w:r w:rsidR="001C296A" w:rsidRPr="004F08C7">
        <w:rPr>
          <w:rFonts w:ascii="Calibri" w:hAnsi="Calibri" w:cs="Calibri"/>
          <w:sz w:val="24"/>
          <w:szCs w:val="24"/>
        </w:rPr>
        <w:t xml:space="preserve"> majetkových vztahů se </w:t>
      </w:r>
      <w:r w:rsidR="00071413" w:rsidRPr="004F08C7">
        <w:rPr>
          <w:rFonts w:ascii="Calibri" w:hAnsi="Calibri" w:cs="Calibri"/>
          <w:sz w:val="24"/>
          <w:szCs w:val="24"/>
        </w:rPr>
        <w:t>správci vodní cesty</w:t>
      </w:r>
      <w:r w:rsidR="001C296A" w:rsidRPr="004F08C7">
        <w:rPr>
          <w:rFonts w:ascii="Calibri" w:hAnsi="Calibri" w:cs="Calibri"/>
          <w:sz w:val="24"/>
          <w:szCs w:val="24"/>
        </w:rPr>
        <w:t xml:space="preserve">. </w:t>
      </w:r>
      <w:r w:rsidR="005F04D4" w:rsidRPr="004F08C7">
        <w:rPr>
          <w:rFonts w:ascii="Calibri" w:hAnsi="Calibri" w:cs="Calibri"/>
          <w:sz w:val="24"/>
          <w:szCs w:val="24"/>
        </w:rPr>
        <w:t xml:space="preserve">Obdobně zatím </w:t>
      </w:r>
      <w:r w:rsidR="001C296A" w:rsidRPr="004F08C7">
        <w:rPr>
          <w:rFonts w:ascii="Calibri" w:hAnsi="Calibri" w:cs="Calibri"/>
          <w:sz w:val="24"/>
          <w:szCs w:val="24"/>
        </w:rPr>
        <w:t xml:space="preserve">neprovedlo </w:t>
      </w:r>
      <w:r w:rsidR="001C296A" w:rsidRPr="004F08C7">
        <w:rPr>
          <w:rFonts w:ascii="Calibri" w:eastAsia="Arial Unicode MS" w:hAnsi="Calibri" w:cs="Calibri"/>
          <w:bCs/>
          <w:sz w:val="24"/>
          <w:szCs w:val="24"/>
        </w:rPr>
        <w:t xml:space="preserve">závěrečné vyhodnocení projektu </w:t>
      </w:r>
      <w:r w:rsidR="001C296A" w:rsidRPr="004F08C7">
        <w:rPr>
          <w:rFonts w:ascii="Calibri" w:eastAsia="Arial Unicode MS" w:hAnsi="Calibri" w:cs="Calibri"/>
          <w:bCs/>
          <w:i/>
          <w:sz w:val="24"/>
          <w:szCs w:val="24"/>
        </w:rPr>
        <w:t>Rekreační přístav Petrov</w:t>
      </w:r>
      <w:r w:rsidR="001C296A" w:rsidRPr="004F08C7">
        <w:rPr>
          <w:rFonts w:ascii="Calibri" w:eastAsia="Arial Unicode MS" w:hAnsi="Calibri" w:cs="Calibri"/>
          <w:bCs/>
          <w:sz w:val="24"/>
          <w:szCs w:val="24"/>
        </w:rPr>
        <w:t xml:space="preserve">, přestože přístav zprovoznilo již v roce 2017. </w:t>
      </w:r>
      <w:r w:rsidR="001C296A" w:rsidRPr="004F08C7">
        <w:rPr>
          <w:rFonts w:ascii="Calibri" w:hAnsi="Calibri" w:cs="Calibri"/>
          <w:sz w:val="24"/>
          <w:szCs w:val="24"/>
        </w:rPr>
        <w:t>Nevypořádání majetkových vztahů v</w:t>
      </w:r>
      <w:r w:rsidR="005F04D4" w:rsidRPr="004F08C7">
        <w:rPr>
          <w:rFonts w:ascii="Calibri" w:hAnsi="Calibri" w:cs="Calibri"/>
          <w:sz w:val="24"/>
          <w:szCs w:val="24"/>
        </w:rPr>
        <w:t xml:space="preserve"> tomto </w:t>
      </w:r>
      <w:r w:rsidR="001C296A" w:rsidRPr="004F08C7">
        <w:rPr>
          <w:rFonts w:ascii="Calibri" w:hAnsi="Calibri" w:cs="Calibri"/>
          <w:sz w:val="24"/>
          <w:szCs w:val="24"/>
        </w:rPr>
        <w:t xml:space="preserve">přístavu je rovněž důvodem nedokončení </w:t>
      </w:r>
      <w:r w:rsidR="001C296A" w:rsidRPr="004F08C7">
        <w:rPr>
          <w:rFonts w:ascii="Calibri" w:eastAsia="Arial Unicode MS" w:hAnsi="Calibri" w:cs="Calibri"/>
          <w:bCs/>
          <w:sz w:val="24"/>
          <w:szCs w:val="24"/>
        </w:rPr>
        <w:t>dostavby čerpací stanice pohonných hmot, kterou ŘVC řeš</w:t>
      </w:r>
      <w:r w:rsidR="004A2773" w:rsidRPr="004F08C7">
        <w:rPr>
          <w:rFonts w:ascii="Calibri" w:eastAsia="Arial Unicode MS" w:hAnsi="Calibri" w:cs="Calibri"/>
          <w:bCs/>
          <w:sz w:val="24"/>
          <w:szCs w:val="24"/>
        </w:rPr>
        <w:t>í</w:t>
      </w:r>
      <w:r w:rsidR="001C296A" w:rsidRPr="004F08C7">
        <w:rPr>
          <w:rFonts w:ascii="Calibri" w:eastAsia="Arial Unicode MS" w:hAnsi="Calibri" w:cs="Calibri"/>
          <w:bCs/>
          <w:sz w:val="24"/>
          <w:szCs w:val="24"/>
        </w:rPr>
        <w:t xml:space="preserve"> samostatným projektem (viz 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>4.18</w:t>
      </w:r>
      <w:r w:rsidR="001C296A" w:rsidRPr="004F08C7">
        <w:rPr>
          <w:rFonts w:ascii="Calibri" w:eastAsia="Arial Unicode MS" w:hAnsi="Calibri" w:cs="Calibri"/>
          <w:bCs/>
          <w:sz w:val="24"/>
          <w:szCs w:val="24"/>
        </w:rPr>
        <w:t>).</w:t>
      </w:r>
    </w:p>
    <w:p w14:paraId="68F22079" w14:textId="77777777" w:rsidR="001C296A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4.29 </w:t>
      </w:r>
      <w:r w:rsidR="001C296A" w:rsidRPr="004F08C7">
        <w:rPr>
          <w:rFonts w:ascii="Calibri" w:hAnsi="Calibri" w:cs="Calibri"/>
          <w:sz w:val="24"/>
          <w:szCs w:val="24"/>
        </w:rPr>
        <w:t xml:space="preserve">V červnu 2018 ŘVC převedlo </w:t>
      </w:r>
      <w:r w:rsidR="00DC6290" w:rsidRPr="004F08C7">
        <w:rPr>
          <w:rFonts w:ascii="Calibri" w:hAnsi="Calibri" w:cs="Calibri"/>
          <w:sz w:val="24"/>
          <w:szCs w:val="24"/>
        </w:rPr>
        <w:t xml:space="preserve">na </w:t>
      </w:r>
      <w:r w:rsidR="001C296A" w:rsidRPr="004F08C7">
        <w:rPr>
          <w:rFonts w:ascii="Calibri" w:hAnsi="Calibri" w:cs="Calibri"/>
          <w:sz w:val="24"/>
          <w:szCs w:val="24"/>
        </w:rPr>
        <w:t xml:space="preserve">Povodí Vltavy dokumentaci a další podklady týkající se přípravy projektu výstavby lodního zdvihadla na Orlíku, na jejichž zpracování vynaložilo celkem 36,8 mil. Kč financovaných z rozpočtu SFDI. Většinu těchto podkladů pak Povodí Vltavy pro další přípravu nevyužilo a technické řešení zdvihadla muselo kompletně přepracovat z důvodu „prostorových kolizí a nestandardních řešení“ komplikujících jeho budoucí provoz a údržbu. Výstavbu zdvihadla </w:t>
      </w:r>
      <w:r w:rsidR="004A2773" w:rsidRPr="004F08C7">
        <w:rPr>
          <w:rFonts w:ascii="Calibri" w:hAnsi="Calibri" w:cs="Calibri"/>
          <w:sz w:val="24"/>
          <w:szCs w:val="24"/>
        </w:rPr>
        <w:t xml:space="preserve">Povodí Vltavy </w:t>
      </w:r>
      <w:r w:rsidR="001C296A" w:rsidRPr="004F08C7">
        <w:rPr>
          <w:rFonts w:ascii="Calibri" w:hAnsi="Calibri" w:cs="Calibri"/>
          <w:sz w:val="24"/>
          <w:szCs w:val="24"/>
        </w:rPr>
        <w:t xml:space="preserve">na rozdíl od ŘVC </w:t>
      </w:r>
      <w:r w:rsidR="004A2773" w:rsidRPr="004F08C7">
        <w:rPr>
          <w:rFonts w:ascii="Calibri" w:hAnsi="Calibri" w:cs="Calibri"/>
          <w:sz w:val="24"/>
          <w:szCs w:val="24"/>
        </w:rPr>
        <w:t xml:space="preserve">dále </w:t>
      </w:r>
      <w:r w:rsidR="001C296A" w:rsidRPr="004F08C7">
        <w:rPr>
          <w:rFonts w:ascii="Calibri" w:hAnsi="Calibri" w:cs="Calibri"/>
          <w:sz w:val="24"/>
          <w:szCs w:val="24"/>
        </w:rPr>
        <w:t xml:space="preserve">připravuje v návaznosti na projekt řešící ochranu vodního díla Orlík před účinky velkých vod. </w:t>
      </w:r>
    </w:p>
    <w:p w14:paraId="2BD4ABFB" w14:textId="77777777" w:rsidR="0044085B" w:rsidRPr="004F08C7" w:rsidRDefault="0044085B" w:rsidP="004F08C7">
      <w:pPr>
        <w:spacing w:after="120"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4F08C7">
        <w:rPr>
          <w:rFonts w:ascii="Calibri" w:hAnsi="Calibri" w:cs="Calibri"/>
          <w:b/>
          <w:sz w:val="24"/>
          <w:szCs w:val="24"/>
        </w:rPr>
        <w:t>Realizace projektů je odkládána, jejich náklady narůstají</w:t>
      </w:r>
    </w:p>
    <w:p w14:paraId="18D696D9" w14:textId="71BE0B26" w:rsidR="0044085B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4.30 </w:t>
      </w:r>
      <w:r w:rsidR="005E1E63" w:rsidRPr="004F08C7">
        <w:rPr>
          <w:rFonts w:ascii="Calibri" w:hAnsi="Calibri" w:cs="Calibri"/>
          <w:sz w:val="24"/>
          <w:szCs w:val="24"/>
        </w:rPr>
        <w:t>Výstavb</w:t>
      </w:r>
      <w:r w:rsidR="00BA6F10" w:rsidRPr="004F08C7">
        <w:rPr>
          <w:rFonts w:ascii="Calibri" w:hAnsi="Calibri" w:cs="Calibri"/>
          <w:sz w:val="24"/>
          <w:szCs w:val="24"/>
        </w:rPr>
        <w:t>u</w:t>
      </w:r>
      <w:r w:rsidR="005E1E63" w:rsidRPr="004F08C7">
        <w:rPr>
          <w:rFonts w:ascii="Calibri" w:hAnsi="Calibri" w:cs="Calibri"/>
          <w:sz w:val="24"/>
          <w:szCs w:val="24"/>
        </w:rPr>
        <w:t xml:space="preserve"> lodních zdvihadel na Orlíku společně s prodloužením</w:t>
      </w:r>
      <w:r w:rsidR="00276EF4" w:rsidRPr="004F08C7">
        <w:rPr>
          <w:rFonts w:ascii="Calibri" w:hAnsi="Calibri" w:cs="Calibri"/>
          <w:sz w:val="24"/>
          <w:szCs w:val="24"/>
        </w:rPr>
        <w:t xml:space="preserve"> </w:t>
      </w:r>
      <w:r w:rsidR="005E1E63" w:rsidRPr="004F08C7">
        <w:rPr>
          <w:rFonts w:ascii="Calibri" w:hAnsi="Calibri" w:cs="Calibri"/>
          <w:sz w:val="24"/>
          <w:szCs w:val="24"/>
        </w:rPr>
        <w:t>plavební komory v</w:t>
      </w:r>
      <w:r w:rsidR="00CC482E">
        <w:rPr>
          <w:rFonts w:ascii="Calibri" w:hAnsi="Calibri" w:cs="Calibri"/>
          <w:sz w:val="24"/>
          <w:szCs w:val="24"/>
        </w:rPr>
        <w:t> </w:t>
      </w:r>
      <w:r w:rsidR="005E1E63" w:rsidRPr="004F08C7">
        <w:rPr>
          <w:rFonts w:ascii="Calibri" w:hAnsi="Calibri" w:cs="Calibri"/>
          <w:sz w:val="24"/>
          <w:szCs w:val="24"/>
        </w:rPr>
        <w:t xml:space="preserve">Kamýku nad Vltavou </w:t>
      </w:r>
      <w:r w:rsidR="00276EF4" w:rsidRPr="004F08C7">
        <w:rPr>
          <w:rFonts w:ascii="Calibri" w:hAnsi="Calibri" w:cs="Calibri"/>
          <w:sz w:val="24"/>
          <w:szCs w:val="24"/>
        </w:rPr>
        <w:t xml:space="preserve">a výstavbou lodního zdvihadla na Slapech </w:t>
      </w:r>
      <w:r w:rsidR="005E1E63" w:rsidRPr="004F08C7">
        <w:rPr>
          <w:rFonts w:ascii="Calibri" w:hAnsi="Calibri" w:cs="Calibri"/>
          <w:sz w:val="24"/>
          <w:szCs w:val="24"/>
        </w:rPr>
        <w:t xml:space="preserve">MD v DSS2 i v KVD </w:t>
      </w:r>
      <w:r w:rsidR="004A2773" w:rsidRPr="004F08C7">
        <w:rPr>
          <w:rFonts w:ascii="Calibri" w:hAnsi="Calibri" w:cs="Calibri"/>
          <w:sz w:val="24"/>
          <w:szCs w:val="24"/>
        </w:rPr>
        <w:t xml:space="preserve">označilo </w:t>
      </w:r>
      <w:r w:rsidR="004A2773" w:rsidRPr="004F08C7">
        <w:rPr>
          <w:rFonts w:ascii="Calibri" w:hAnsi="Calibri" w:cs="Calibri"/>
          <w:sz w:val="24"/>
          <w:szCs w:val="24"/>
        </w:rPr>
        <w:lastRenderedPageBreak/>
        <w:t xml:space="preserve">za </w:t>
      </w:r>
      <w:r w:rsidR="005E1E63" w:rsidRPr="004F08C7">
        <w:rPr>
          <w:rFonts w:ascii="Calibri" w:hAnsi="Calibri" w:cs="Calibri"/>
          <w:sz w:val="24"/>
          <w:szCs w:val="24"/>
        </w:rPr>
        <w:t>projekty odstra</w:t>
      </w:r>
      <w:r w:rsidR="00276EF4" w:rsidRPr="004F08C7">
        <w:rPr>
          <w:rFonts w:ascii="Calibri" w:hAnsi="Calibri" w:cs="Calibri"/>
          <w:sz w:val="24"/>
          <w:szCs w:val="24"/>
        </w:rPr>
        <w:t>ňující</w:t>
      </w:r>
      <w:r w:rsidR="005E1E63" w:rsidRPr="004F08C7">
        <w:rPr>
          <w:rFonts w:ascii="Calibri" w:hAnsi="Calibri" w:cs="Calibri"/>
          <w:sz w:val="24"/>
          <w:szCs w:val="24"/>
        </w:rPr>
        <w:t xml:space="preserve"> nejzávažnějších nedostatk</w:t>
      </w:r>
      <w:r w:rsidR="00276EF4" w:rsidRPr="004F08C7">
        <w:rPr>
          <w:rFonts w:ascii="Calibri" w:hAnsi="Calibri" w:cs="Calibri"/>
          <w:sz w:val="24"/>
          <w:szCs w:val="24"/>
        </w:rPr>
        <w:t>y</w:t>
      </w:r>
      <w:r w:rsidR="005E1E63" w:rsidRPr="004F08C7">
        <w:rPr>
          <w:rFonts w:ascii="Calibri" w:hAnsi="Calibri" w:cs="Calibri"/>
          <w:sz w:val="24"/>
          <w:szCs w:val="24"/>
        </w:rPr>
        <w:t xml:space="preserve"> bránící plnému využití vltavské vodní cesty mezi Prahou a Českými Budějovicemi. Přípravu</w:t>
      </w:r>
      <w:r w:rsidR="00276EF4" w:rsidRPr="004F08C7">
        <w:rPr>
          <w:rFonts w:ascii="Calibri" w:hAnsi="Calibri" w:cs="Calibri"/>
          <w:sz w:val="24"/>
          <w:szCs w:val="24"/>
        </w:rPr>
        <w:t xml:space="preserve"> </w:t>
      </w:r>
      <w:r w:rsidR="005E1E63" w:rsidRPr="004F08C7">
        <w:rPr>
          <w:rFonts w:ascii="Calibri" w:hAnsi="Calibri" w:cs="Calibri"/>
          <w:sz w:val="24"/>
          <w:szCs w:val="24"/>
        </w:rPr>
        <w:t>všech tří projektů do roku 2016 zajišťovalo ŘVC</w:t>
      </w:r>
      <w:r w:rsidR="00276EF4" w:rsidRPr="004F08C7">
        <w:rPr>
          <w:rFonts w:ascii="Calibri" w:hAnsi="Calibri" w:cs="Calibri"/>
          <w:sz w:val="24"/>
          <w:szCs w:val="24"/>
        </w:rPr>
        <w:t>, odpovědnost za další přípravu prvních dvou z nich poté převzalo Povodí Vltavy</w:t>
      </w:r>
      <w:r w:rsidR="004A2773" w:rsidRPr="004F08C7">
        <w:rPr>
          <w:rFonts w:ascii="Calibri" w:hAnsi="Calibri" w:cs="Calibri"/>
          <w:sz w:val="24"/>
          <w:szCs w:val="24"/>
        </w:rPr>
        <w:t xml:space="preserve"> (viz 4.29)</w:t>
      </w:r>
      <w:r w:rsidR="00276EF4" w:rsidRPr="004F08C7">
        <w:rPr>
          <w:rFonts w:ascii="Calibri" w:hAnsi="Calibri" w:cs="Calibri"/>
          <w:sz w:val="24"/>
          <w:szCs w:val="24"/>
        </w:rPr>
        <w:t>.</w:t>
      </w:r>
      <w:r w:rsidR="00BA6F10" w:rsidRPr="004F08C7">
        <w:rPr>
          <w:rFonts w:ascii="Calibri" w:hAnsi="Calibri" w:cs="Calibri"/>
          <w:sz w:val="24"/>
          <w:szCs w:val="24"/>
        </w:rPr>
        <w:t xml:space="preserve"> </w:t>
      </w:r>
      <w:r w:rsidR="00DE6467" w:rsidRPr="004F08C7">
        <w:rPr>
          <w:rFonts w:ascii="Calibri" w:hAnsi="Calibri" w:cs="Calibri"/>
          <w:sz w:val="24"/>
          <w:szCs w:val="24"/>
        </w:rPr>
        <w:t xml:space="preserve">V investičním záměru projektu </w:t>
      </w:r>
      <w:r w:rsidR="00DE6467" w:rsidRPr="004F08C7">
        <w:rPr>
          <w:rFonts w:ascii="Calibri" w:hAnsi="Calibri" w:cs="Calibri"/>
          <w:i/>
          <w:sz w:val="24"/>
          <w:szCs w:val="24"/>
        </w:rPr>
        <w:t>Lodní zdvihadlo Slapy</w:t>
      </w:r>
      <w:r w:rsidR="00DE6467" w:rsidRPr="004F08C7">
        <w:rPr>
          <w:rFonts w:ascii="Calibri" w:hAnsi="Calibri" w:cs="Calibri"/>
          <w:sz w:val="24"/>
          <w:szCs w:val="24"/>
        </w:rPr>
        <w:t xml:space="preserve"> z března 2008 ŘVC </w:t>
      </w:r>
      <w:r w:rsidR="003518A7">
        <w:rPr>
          <w:rFonts w:ascii="Calibri" w:hAnsi="Calibri" w:cs="Calibri"/>
          <w:sz w:val="24"/>
          <w:szCs w:val="24"/>
        </w:rPr>
        <w:t>počítalo</w:t>
      </w:r>
      <w:r w:rsidR="003835DA" w:rsidRPr="004F08C7">
        <w:rPr>
          <w:rFonts w:ascii="Calibri" w:hAnsi="Calibri" w:cs="Calibri"/>
          <w:sz w:val="24"/>
          <w:szCs w:val="24"/>
        </w:rPr>
        <w:t xml:space="preserve"> s celkovými investičními náklady </w:t>
      </w:r>
      <w:r w:rsidR="00DE6467" w:rsidRPr="004F08C7">
        <w:rPr>
          <w:rFonts w:ascii="Calibri" w:hAnsi="Calibri" w:cs="Calibri"/>
          <w:sz w:val="24"/>
          <w:szCs w:val="24"/>
        </w:rPr>
        <w:t>ve výši 2</w:t>
      </w:r>
      <w:r w:rsidR="003835DA" w:rsidRPr="004F08C7">
        <w:rPr>
          <w:rFonts w:ascii="Calibri" w:hAnsi="Calibri" w:cs="Calibri"/>
          <w:sz w:val="24"/>
          <w:szCs w:val="24"/>
        </w:rPr>
        <w:t> </w:t>
      </w:r>
      <w:r w:rsidR="00DE6467" w:rsidRPr="004F08C7">
        <w:rPr>
          <w:rFonts w:ascii="Calibri" w:hAnsi="Calibri" w:cs="Calibri"/>
          <w:sz w:val="24"/>
          <w:szCs w:val="24"/>
        </w:rPr>
        <w:t>158</w:t>
      </w:r>
      <w:r w:rsidR="003835DA" w:rsidRPr="004F08C7">
        <w:rPr>
          <w:rFonts w:ascii="Calibri" w:hAnsi="Calibri" w:cs="Calibri"/>
          <w:sz w:val="24"/>
          <w:szCs w:val="24"/>
        </w:rPr>
        <w:t>,6 mil</w:t>
      </w:r>
      <w:r w:rsidR="00DE6467" w:rsidRPr="004F08C7">
        <w:rPr>
          <w:rFonts w:ascii="Calibri" w:hAnsi="Calibri" w:cs="Calibri"/>
          <w:sz w:val="24"/>
          <w:szCs w:val="24"/>
        </w:rPr>
        <w:t>. Kč vč. DPH</w:t>
      </w:r>
      <w:r w:rsidR="003835DA" w:rsidRPr="004F08C7">
        <w:rPr>
          <w:rFonts w:ascii="Calibri" w:hAnsi="Calibri" w:cs="Calibri"/>
          <w:sz w:val="24"/>
          <w:szCs w:val="24"/>
        </w:rPr>
        <w:t xml:space="preserve"> a s jeho re</w:t>
      </w:r>
      <w:r w:rsidR="00297D18" w:rsidRPr="004F08C7">
        <w:rPr>
          <w:rFonts w:ascii="Calibri" w:hAnsi="Calibri" w:cs="Calibri"/>
          <w:sz w:val="24"/>
          <w:szCs w:val="24"/>
        </w:rPr>
        <w:t xml:space="preserve">alizací </w:t>
      </w:r>
      <w:r w:rsidR="00DE6467" w:rsidRPr="004F08C7">
        <w:rPr>
          <w:rFonts w:ascii="Calibri" w:hAnsi="Calibri" w:cs="Calibri"/>
          <w:sz w:val="24"/>
          <w:szCs w:val="24"/>
        </w:rPr>
        <w:t>v letech 2011</w:t>
      </w:r>
      <w:r w:rsidR="00CC482E">
        <w:rPr>
          <w:rFonts w:ascii="Calibri" w:hAnsi="Calibri" w:cs="Calibri"/>
          <w:sz w:val="24"/>
          <w:szCs w:val="24"/>
        </w:rPr>
        <w:t>–</w:t>
      </w:r>
      <w:r w:rsidR="00DE6467" w:rsidRPr="004F08C7">
        <w:rPr>
          <w:rFonts w:ascii="Calibri" w:hAnsi="Calibri" w:cs="Calibri"/>
          <w:sz w:val="24"/>
          <w:szCs w:val="24"/>
        </w:rPr>
        <w:t>2013.</w:t>
      </w:r>
      <w:r w:rsidR="00063E23" w:rsidRPr="004F08C7">
        <w:rPr>
          <w:rFonts w:ascii="Calibri" w:hAnsi="Calibri" w:cs="Calibri"/>
          <w:sz w:val="24"/>
          <w:szCs w:val="24"/>
        </w:rPr>
        <w:t xml:space="preserve"> Investiční záměr projektu s těmito parametry MD schválilo v dubnu 2008. ŘVC ovšem s realizací projektu dosud nezačalo. </w:t>
      </w:r>
      <w:r w:rsidR="00153E61" w:rsidRPr="004F08C7">
        <w:rPr>
          <w:rFonts w:ascii="Calibri" w:hAnsi="Calibri" w:cs="Calibri"/>
          <w:sz w:val="24"/>
          <w:szCs w:val="24"/>
        </w:rPr>
        <w:t xml:space="preserve">V investičním záměru projektu </w:t>
      </w:r>
      <w:r w:rsidR="00153E61" w:rsidRPr="004F08C7">
        <w:rPr>
          <w:rFonts w:ascii="Calibri" w:hAnsi="Calibri" w:cs="Calibri"/>
          <w:i/>
          <w:sz w:val="24"/>
          <w:szCs w:val="24"/>
        </w:rPr>
        <w:t>Lodní zdvihadlo Orlík</w:t>
      </w:r>
      <w:r w:rsidR="00153E61" w:rsidRPr="004F08C7">
        <w:rPr>
          <w:rFonts w:ascii="Calibri" w:hAnsi="Calibri" w:cs="Calibri"/>
          <w:sz w:val="24"/>
          <w:szCs w:val="24"/>
        </w:rPr>
        <w:t xml:space="preserve"> z dubna 2008 ŘVC </w:t>
      </w:r>
      <w:r w:rsidR="003518A7">
        <w:rPr>
          <w:rFonts w:ascii="Calibri" w:hAnsi="Calibri" w:cs="Calibri"/>
          <w:sz w:val="24"/>
          <w:szCs w:val="24"/>
        </w:rPr>
        <w:t>počítalo</w:t>
      </w:r>
      <w:r w:rsidR="00153E61" w:rsidRPr="004F08C7">
        <w:rPr>
          <w:rFonts w:ascii="Calibri" w:hAnsi="Calibri" w:cs="Calibri"/>
          <w:sz w:val="24"/>
          <w:szCs w:val="24"/>
        </w:rPr>
        <w:t xml:space="preserve"> s celkovými investičními náklady ve výši 360,2</w:t>
      </w:r>
      <w:r w:rsidR="003518A7">
        <w:rPr>
          <w:rFonts w:ascii="Calibri" w:hAnsi="Calibri" w:cs="Calibri"/>
          <w:sz w:val="24"/>
          <w:szCs w:val="24"/>
        </w:rPr>
        <w:t> </w:t>
      </w:r>
      <w:r w:rsidR="00153E61" w:rsidRPr="004F08C7">
        <w:rPr>
          <w:rFonts w:ascii="Calibri" w:hAnsi="Calibri" w:cs="Calibri"/>
          <w:sz w:val="24"/>
          <w:szCs w:val="24"/>
        </w:rPr>
        <w:t>mil.</w:t>
      </w:r>
      <w:r w:rsidR="003518A7">
        <w:rPr>
          <w:rFonts w:ascii="Calibri" w:hAnsi="Calibri" w:cs="Calibri"/>
          <w:sz w:val="24"/>
          <w:szCs w:val="24"/>
        </w:rPr>
        <w:t> </w:t>
      </w:r>
      <w:r w:rsidR="00153E61" w:rsidRPr="004F08C7">
        <w:rPr>
          <w:rFonts w:ascii="Calibri" w:hAnsi="Calibri" w:cs="Calibri"/>
          <w:sz w:val="24"/>
          <w:szCs w:val="24"/>
        </w:rPr>
        <w:t>Kč a</w:t>
      </w:r>
      <w:r w:rsidR="00CF270A">
        <w:rPr>
          <w:rFonts w:ascii="Calibri" w:hAnsi="Calibri" w:cs="Calibri"/>
          <w:sz w:val="24"/>
          <w:szCs w:val="24"/>
        </w:rPr>
        <w:t> </w:t>
      </w:r>
      <w:r w:rsidR="00153E61" w:rsidRPr="004F08C7">
        <w:rPr>
          <w:rFonts w:ascii="Calibri" w:hAnsi="Calibri" w:cs="Calibri"/>
          <w:sz w:val="24"/>
          <w:szCs w:val="24"/>
        </w:rPr>
        <w:t>s jeho realizací v letech 2011</w:t>
      </w:r>
      <w:r w:rsidR="003518A7">
        <w:rPr>
          <w:rFonts w:ascii="Calibri" w:hAnsi="Calibri" w:cs="Calibri"/>
          <w:sz w:val="24"/>
          <w:szCs w:val="24"/>
        </w:rPr>
        <w:t>–</w:t>
      </w:r>
      <w:r w:rsidR="00153E61" w:rsidRPr="004F08C7">
        <w:rPr>
          <w:rFonts w:ascii="Calibri" w:hAnsi="Calibri" w:cs="Calibri"/>
          <w:sz w:val="24"/>
          <w:szCs w:val="24"/>
        </w:rPr>
        <w:t xml:space="preserve">2013. Investiční záměr projektu s těmito parametry MD schválilo v květnu 2008. V aktualizaci investičního záměru </w:t>
      </w:r>
      <w:r w:rsidR="00CE104E" w:rsidRPr="004F08C7">
        <w:rPr>
          <w:rFonts w:ascii="Calibri" w:hAnsi="Calibri" w:cs="Calibri"/>
          <w:sz w:val="24"/>
          <w:szCs w:val="24"/>
        </w:rPr>
        <w:t xml:space="preserve">projektu </w:t>
      </w:r>
      <w:r w:rsidR="00153E61" w:rsidRPr="004F08C7">
        <w:rPr>
          <w:rFonts w:ascii="Calibri" w:hAnsi="Calibri" w:cs="Calibri"/>
          <w:sz w:val="24"/>
          <w:szCs w:val="24"/>
        </w:rPr>
        <w:t xml:space="preserve">z října, resp. z prosince 2010 tyto náklady </w:t>
      </w:r>
      <w:r w:rsidR="00CF270A" w:rsidRPr="004F08C7">
        <w:rPr>
          <w:rFonts w:ascii="Calibri" w:hAnsi="Calibri" w:cs="Calibri"/>
          <w:sz w:val="24"/>
          <w:szCs w:val="24"/>
        </w:rPr>
        <w:t xml:space="preserve">ŘVC </w:t>
      </w:r>
      <w:r w:rsidR="00153E61" w:rsidRPr="004F08C7">
        <w:rPr>
          <w:rFonts w:ascii="Calibri" w:hAnsi="Calibri" w:cs="Calibri"/>
          <w:sz w:val="24"/>
          <w:szCs w:val="24"/>
        </w:rPr>
        <w:t>navýšilo na 1</w:t>
      </w:r>
      <w:r w:rsidR="004A2773" w:rsidRPr="004F08C7">
        <w:rPr>
          <w:rFonts w:ascii="Calibri" w:hAnsi="Calibri" w:cs="Calibri"/>
          <w:sz w:val="24"/>
          <w:szCs w:val="24"/>
        </w:rPr>
        <w:t> </w:t>
      </w:r>
      <w:r w:rsidR="00153E61" w:rsidRPr="004F08C7">
        <w:rPr>
          <w:rFonts w:ascii="Calibri" w:hAnsi="Calibri" w:cs="Calibri"/>
          <w:sz w:val="24"/>
          <w:szCs w:val="24"/>
        </w:rPr>
        <w:t>18</w:t>
      </w:r>
      <w:r w:rsidR="004A2773" w:rsidRPr="004F08C7">
        <w:rPr>
          <w:rFonts w:ascii="Calibri" w:hAnsi="Calibri" w:cs="Calibri"/>
          <w:sz w:val="24"/>
          <w:szCs w:val="24"/>
        </w:rPr>
        <w:t>6,0</w:t>
      </w:r>
      <w:r w:rsidR="00153E61" w:rsidRPr="004F08C7">
        <w:rPr>
          <w:rFonts w:ascii="Calibri" w:hAnsi="Calibri" w:cs="Calibri"/>
          <w:sz w:val="24"/>
          <w:szCs w:val="24"/>
        </w:rPr>
        <w:t> </w:t>
      </w:r>
      <w:r w:rsidR="004A2773" w:rsidRPr="004F08C7">
        <w:rPr>
          <w:rFonts w:ascii="Calibri" w:hAnsi="Calibri" w:cs="Calibri"/>
          <w:sz w:val="24"/>
          <w:szCs w:val="24"/>
        </w:rPr>
        <w:t>mil</w:t>
      </w:r>
      <w:r w:rsidR="00153E61" w:rsidRPr="004F08C7">
        <w:rPr>
          <w:rFonts w:ascii="Calibri" w:hAnsi="Calibri" w:cs="Calibri"/>
          <w:sz w:val="24"/>
          <w:szCs w:val="24"/>
        </w:rPr>
        <w:t>. Kč.</w:t>
      </w:r>
      <w:r w:rsidR="00CE104E" w:rsidRPr="004F08C7">
        <w:rPr>
          <w:rFonts w:ascii="Calibri" w:hAnsi="Calibri" w:cs="Calibri"/>
          <w:sz w:val="24"/>
          <w:szCs w:val="24"/>
        </w:rPr>
        <w:t xml:space="preserve"> V záměru projektu ze září 2019 Povodí Vltavy </w:t>
      </w:r>
      <w:r w:rsidR="00CF270A">
        <w:rPr>
          <w:rFonts w:ascii="Calibri" w:hAnsi="Calibri" w:cs="Calibri"/>
          <w:sz w:val="24"/>
          <w:szCs w:val="24"/>
        </w:rPr>
        <w:t>předpokládalo</w:t>
      </w:r>
      <w:r w:rsidR="00CE104E" w:rsidRPr="004F08C7">
        <w:rPr>
          <w:rFonts w:ascii="Calibri" w:hAnsi="Calibri" w:cs="Calibri"/>
          <w:sz w:val="24"/>
          <w:szCs w:val="24"/>
        </w:rPr>
        <w:t xml:space="preserve"> navýšení nákladů na 1 236,4 mil. Kč a dobu realizace projektu v letech </w:t>
      </w:r>
      <w:r w:rsidR="00427803">
        <w:rPr>
          <w:rFonts w:ascii="Calibri" w:hAnsi="Calibri" w:cs="Calibri"/>
          <w:sz w:val="24"/>
          <w:szCs w:val="24"/>
        </w:rPr>
        <w:br/>
      </w:r>
      <w:r w:rsidR="00CE104E" w:rsidRPr="004F08C7">
        <w:rPr>
          <w:rFonts w:ascii="Calibri" w:hAnsi="Calibri" w:cs="Calibri"/>
          <w:sz w:val="24"/>
          <w:szCs w:val="24"/>
        </w:rPr>
        <w:t>2025</w:t>
      </w:r>
      <w:r w:rsidR="00CC482E">
        <w:rPr>
          <w:rFonts w:ascii="Calibri" w:hAnsi="Calibri" w:cs="Calibri"/>
          <w:sz w:val="24"/>
          <w:szCs w:val="24"/>
        </w:rPr>
        <w:t>–</w:t>
      </w:r>
      <w:r w:rsidR="00CE104E" w:rsidRPr="004F08C7">
        <w:rPr>
          <w:rFonts w:ascii="Calibri" w:hAnsi="Calibri" w:cs="Calibri"/>
          <w:sz w:val="24"/>
          <w:szCs w:val="24"/>
        </w:rPr>
        <w:t>2028. Následně tyto náklady dále navýšilo na 1 970,8 mil. Kč</w:t>
      </w:r>
      <w:r w:rsidR="000678B0" w:rsidRPr="004F08C7">
        <w:rPr>
          <w:rFonts w:ascii="Calibri" w:hAnsi="Calibri" w:cs="Calibri"/>
          <w:sz w:val="24"/>
          <w:szCs w:val="24"/>
        </w:rPr>
        <w:t xml:space="preserve"> (vše vč</w:t>
      </w:r>
      <w:r w:rsidR="003518A7">
        <w:rPr>
          <w:rFonts w:ascii="Calibri" w:hAnsi="Calibri" w:cs="Calibri"/>
          <w:sz w:val="24"/>
          <w:szCs w:val="24"/>
        </w:rPr>
        <w:t>etně</w:t>
      </w:r>
      <w:r w:rsidR="000678B0" w:rsidRPr="004F08C7">
        <w:rPr>
          <w:rFonts w:ascii="Calibri" w:hAnsi="Calibri" w:cs="Calibri"/>
          <w:sz w:val="24"/>
          <w:szCs w:val="24"/>
        </w:rPr>
        <w:t xml:space="preserve"> DPH)</w:t>
      </w:r>
      <w:r w:rsidR="00CE104E" w:rsidRPr="004F08C7">
        <w:rPr>
          <w:rFonts w:ascii="Calibri" w:hAnsi="Calibri" w:cs="Calibri"/>
          <w:sz w:val="24"/>
          <w:szCs w:val="24"/>
        </w:rPr>
        <w:t xml:space="preserve">. </w:t>
      </w:r>
      <w:r w:rsidR="00264DCE" w:rsidRPr="004F08C7">
        <w:rPr>
          <w:rFonts w:ascii="Calibri" w:hAnsi="Calibri" w:cs="Calibri"/>
          <w:sz w:val="24"/>
          <w:szCs w:val="24"/>
        </w:rPr>
        <w:t>A</w:t>
      </w:r>
      <w:r w:rsidR="00CE104E" w:rsidRPr="004F08C7">
        <w:rPr>
          <w:rFonts w:ascii="Calibri" w:hAnsi="Calibri" w:cs="Calibri"/>
          <w:sz w:val="24"/>
          <w:szCs w:val="24"/>
        </w:rPr>
        <w:t xml:space="preserve">ktuální předpokládané náklady tohoto projektu </w:t>
      </w:r>
      <w:r w:rsidR="00264DCE" w:rsidRPr="004F08C7">
        <w:rPr>
          <w:rFonts w:ascii="Calibri" w:hAnsi="Calibri" w:cs="Calibri"/>
          <w:sz w:val="24"/>
          <w:szCs w:val="24"/>
        </w:rPr>
        <w:t>jsou tedy oproti původnímu předpokladu</w:t>
      </w:r>
      <w:r w:rsidR="000678B0" w:rsidRPr="004F08C7">
        <w:rPr>
          <w:rFonts w:ascii="Calibri" w:hAnsi="Calibri" w:cs="Calibri"/>
          <w:sz w:val="24"/>
          <w:szCs w:val="24"/>
        </w:rPr>
        <w:t xml:space="preserve"> více než pětinásobné</w:t>
      </w:r>
      <w:r w:rsidR="00264DCE" w:rsidRPr="004F08C7">
        <w:rPr>
          <w:rFonts w:ascii="Calibri" w:hAnsi="Calibri" w:cs="Calibri"/>
          <w:sz w:val="24"/>
          <w:szCs w:val="24"/>
        </w:rPr>
        <w:t xml:space="preserve">. Přestože příprava uvedených projektů pokračuje již od roku 2008, o jejich realizaci MD </w:t>
      </w:r>
      <w:r w:rsidR="000678B0" w:rsidRPr="004F08C7">
        <w:rPr>
          <w:rFonts w:ascii="Calibri" w:hAnsi="Calibri" w:cs="Calibri"/>
          <w:sz w:val="24"/>
          <w:szCs w:val="24"/>
        </w:rPr>
        <w:t xml:space="preserve">se změněnými finančními a časovými parametry </w:t>
      </w:r>
      <w:r w:rsidR="00264DCE" w:rsidRPr="004F08C7">
        <w:rPr>
          <w:rFonts w:ascii="Calibri" w:hAnsi="Calibri" w:cs="Calibri"/>
          <w:sz w:val="24"/>
          <w:szCs w:val="24"/>
        </w:rPr>
        <w:t xml:space="preserve">závazně nerozhodlo. </w:t>
      </w:r>
    </w:p>
    <w:p w14:paraId="7B65D46D" w14:textId="24D965A1" w:rsidR="008F0CD5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4.31 </w:t>
      </w:r>
      <w:r w:rsidR="00670236" w:rsidRPr="004F08C7">
        <w:rPr>
          <w:rFonts w:ascii="Calibri" w:hAnsi="Calibri" w:cs="Calibri"/>
          <w:sz w:val="24"/>
          <w:szCs w:val="24"/>
        </w:rPr>
        <w:t xml:space="preserve">Podle investičního záměru projektu </w:t>
      </w:r>
      <w:r w:rsidR="00670236" w:rsidRPr="004F08C7">
        <w:rPr>
          <w:rFonts w:ascii="Calibri" w:hAnsi="Calibri" w:cs="Calibri"/>
          <w:i/>
          <w:sz w:val="24"/>
          <w:szCs w:val="24"/>
        </w:rPr>
        <w:t>Úvaziště osobní vodní dopravy na dolním Labi</w:t>
      </w:r>
      <w:r w:rsidR="00A85D09" w:rsidRPr="004F08C7">
        <w:rPr>
          <w:rFonts w:ascii="Calibri" w:hAnsi="Calibri" w:cs="Calibri"/>
          <w:sz w:val="24"/>
          <w:szCs w:val="24"/>
        </w:rPr>
        <w:t xml:space="preserve"> z</w:t>
      </w:r>
      <w:r w:rsidR="00CC482E">
        <w:rPr>
          <w:rFonts w:ascii="Calibri" w:hAnsi="Calibri" w:cs="Calibri"/>
          <w:sz w:val="24"/>
          <w:szCs w:val="24"/>
        </w:rPr>
        <w:t> </w:t>
      </w:r>
      <w:r w:rsidR="00A85D09" w:rsidRPr="004F08C7">
        <w:rPr>
          <w:rFonts w:ascii="Calibri" w:hAnsi="Calibri" w:cs="Calibri"/>
          <w:sz w:val="24"/>
          <w:szCs w:val="24"/>
        </w:rPr>
        <w:t xml:space="preserve">března 2010 </w:t>
      </w:r>
      <w:r w:rsidR="00670236" w:rsidRPr="004F08C7">
        <w:rPr>
          <w:rFonts w:ascii="Calibri" w:hAnsi="Calibri" w:cs="Calibri"/>
          <w:sz w:val="24"/>
          <w:szCs w:val="24"/>
        </w:rPr>
        <w:t xml:space="preserve">mělo </w:t>
      </w:r>
      <w:r w:rsidR="00A85D09" w:rsidRPr="004F08C7">
        <w:rPr>
          <w:rFonts w:ascii="Calibri" w:hAnsi="Calibri" w:cs="Calibri"/>
          <w:sz w:val="24"/>
          <w:szCs w:val="24"/>
        </w:rPr>
        <w:t xml:space="preserve">ŘVC </w:t>
      </w:r>
      <w:r w:rsidR="00670236" w:rsidRPr="004F08C7">
        <w:rPr>
          <w:rFonts w:ascii="Calibri" w:hAnsi="Calibri" w:cs="Calibri"/>
          <w:sz w:val="24"/>
          <w:szCs w:val="24"/>
        </w:rPr>
        <w:t>v Litoměřicích vybudov</w:t>
      </w:r>
      <w:r w:rsidR="00A85D09" w:rsidRPr="004F08C7">
        <w:rPr>
          <w:rFonts w:ascii="Calibri" w:hAnsi="Calibri" w:cs="Calibri"/>
          <w:sz w:val="24"/>
          <w:szCs w:val="24"/>
        </w:rPr>
        <w:t>at</w:t>
      </w:r>
      <w:r w:rsidR="00670236" w:rsidRPr="004F08C7">
        <w:rPr>
          <w:rFonts w:ascii="Calibri" w:hAnsi="Calibri" w:cs="Calibri"/>
          <w:sz w:val="24"/>
          <w:szCs w:val="24"/>
        </w:rPr>
        <w:t xml:space="preserve"> přístaviště pro krátkodobé stání osobních plavidel tvořené plovoucím molem</w:t>
      </w:r>
      <w:r w:rsidR="00A85D09" w:rsidRPr="004F08C7">
        <w:rPr>
          <w:rFonts w:ascii="Calibri" w:hAnsi="Calibri" w:cs="Calibri"/>
          <w:sz w:val="24"/>
          <w:szCs w:val="24"/>
        </w:rPr>
        <w:t xml:space="preserve"> s</w:t>
      </w:r>
      <w:r w:rsidR="00670236" w:rsidRPr="004F08C7">
        <w:rPr>
          <w:rFonts w:ascii="Calibri" w:hAnsi="Calibri" w:cs="Calibri"/>
          <w:bCs/>
          <w:sz w:val="24"/>
          <w:szCs w:val="24"/>
        </w:rPr>
        <w:t xml:space="preserve"> investiční</w:t>
      </w:r>
      <w:r w:rsidR="00A85D09" w:rsidRPr="004F08C7">
        <w:rPr>
          <w:rFonts w:ascii="Calibri" w:hAnsi="Calibri" w:cs="Calibri"/>
          <w:bCs/>
          <w:sz w:val="24"/>
          <w:szCs w:val="24"/>
        </w:rPr>
        <w:t>mi</w:t>
      </w:r>
      <w:r w:rsidR="00670236" w:rsidRPr="004F08C7">
        <w:rPr>
          <w:rFonts w:ascii="Calibri" w:hAnsi="Calibri" w:cs="Calibri"/>
          <w:bCs/>
          <w:sz w:val="24"/>
          <w:szCs w:val="24"/>
        </w:rPr>
        <w:t xml:space="preserve"> náklady na stavební část ve výši 1,96 mil. Kč </w:t>
      </w:r>
      <w:r w:rsidR="00670236" w:rsidRPr="004F08C7">
        <w:rPr>
          <w:rFonts w:ascii="Calibri" w:hAnsi="Calibri" w:cs="Calibri"/>
          <w:sz w:val="24"/>
          <w:szCs w:val="24"/>
        </w:rPr>
        <w:t>bez DPH</w:t>
      </w:r>
      <w:r w:rsidR="00A85D09" w:rsidRPr="004F08C7">
        <w:rPr>
          <w:rFonts w:ascii="Calibri" w:hAnsi="Calibri" w:cs="Calibri"/>
          <w:sz w:val="24"/>
          <w:szCs w:val="24"/>
        </w:rPr>
        <w:t xml:space="preserve">. </w:t>
      </w:r>
      <w:r w:rsidR="00E33487" w:rsidRPr="004F08C7">
        <w:rPr>
          <w:rFonts w:ascii="Calibri" w:hAnsi="Calibri" w:cs="Calibri"/>
          <w:sz w:val="24"/>
          <w:szCs w:val="24"/>
        </w:rPr>
        <w:t xml:space="preserve">MD </w:t>
      </w:r>
      <w:r w:rsidR="00A85D09" w:rsidRPr="004F08C7">
        <w:rPr>
          <w:rFonts w:ascii="Calibri" w:hAnsi="Calibri" w:cs="Calibri"/>
          <w:sz w:val="24"/>
          <w:szCs w:val="24"/>
        </w:rPr>
        <w:t xml:space="preserve">projekt </w:t>
      </w:r>
      <w:r w:rsidR="00E33487" w:rsidRPr="004F08C7">
        <w:rPr>
          <w:rFonts w:ascii="Calibri" w:hAnsi="Calibri" w:cs="Calibri"/>
          <w:sz w:val="24"/>
          <w:szCs w:val="24"/>
        </w:rPr>
        <w:t xml:space="preserve">v této podobě </w:t>
      </w:r>
      <w:r w:rsidR="000972A8" w:rsidRPr="004F08C7">
        <w:rPr>
          <w:rFonts w:ascii="Calibri" w:hAnsi="Calibri" w:cs="Calibri"/>
          <w:sz w:val="24"/>
          <w:szCs w:val="24"/>
        </w:rPr>
        <w:t xml:space="preserve">schválilo </w:t>
      </w:r>
      <w:r w:rsidR="00A85D09" w:rsidRPr="004F08C7">
        <w:rPr>
          <w:rFonts w:ascii="Calibri" w:hAnsi="Calibri" w:cs="Calibri"/>
          <w:sz w:val="24"/>
          <w:szCs w:val="24"/>
        </w:rPr>
        <w:t xml:space="preserve">v květnu 2010. V zadávací dokumentaci veřejné zakázky ze srpna 2012 předmět projektu v Litoměřicích </w:t>
      </w:r>
      <w:r w:rsidR="00B37B89" w:rsidRPr="004F08C7">
        <w:rPr>
          <w:rFonts w:ascii="Calibri" w:hAnsi="Calibri" w:cs="Calibri"/>
          <w:sz w:val="24"/>
          <w:szCs w:val="24"/>
        </w:rPr>
        <w:t xml:space="preserve">ŘVC </w:t>
      </w:r>
      <w:r w:rsidR="00E33487" w:rsidRPr="004F08C7">
        <w:rPr>
          <w:rFonts w:ascii="Calibri" w:hAnsi="Calibri" w:cs="Calibri"/>
          <w:sz w:val="24"/>
          <w:szCs w:val="24"/>
        </w:rPr>
        <w:t xml:space="preserve">zásadně </w:t>
      </w:r>
      <w:r w:rsidR="00A85D09" w:rsidRPr="004F08C7">
        <w:rPr>
          <w:rFonts w:ascii="Calibri" w:hAnsi="Calibri" w:cs="Calibri"/>
          <w:sz w:val="24"/>
          <w:szCs w:val="24"/>
        </w:rPr>
        <w:t>změnilo na provedení stavební úpravy stávajícího pevného mola pro osobní lodě a provedení výměny stávajícího plovoucího mola pro malá plavidla</w:t>
      </w:r>
      <w:r w:rsidR="00E33487" w:rsidRPr="004F08C7">
        <w:rPr>
          <w:rFonts w:ascii="Calibri" w:hAnsi="Calibri" w:cs="Calibri"/>
          <w:sz w:val="24"/>
          <w:szCs w:val="24"/>
        </w:rPr>
        <w:t>. S</w:t>
      </w:r>
      <w:r w:rsidR="00485775" w:rsidRPr="004F08C7">
        <w:rPr>
          <w:rFonts w:ascii="Calibri" w:hAnsi="Calibri" w:cs="Calibri"/>
          <w:sz w:val="24"/>
          <w:szCs w:val="24"/>
        </w:rPr>
        <w:t> vybraným dodavatelem v dubnu 2013 sjednalo provedení těchto prací za cenu</w:t>
      </w:r>
      <w:r w:rsidR="00A85D09" w:rsidRPr="004F08C7">
        <w:rPr>
          <w:rFonts w:ascii="Calibri" w:hAnsi="Calibri" w:cs="Calibri"/>
          <w:sz w:val="24"/>
          <w:szCs w:val="24"/>
        </w:rPr>
        <w:t xml:space="preserve"> 12,4 mil. Kč bez DPH. </w:t>
      </w:r>
      <w:r w:rsidR="00485775" w:rsidRPr="004F08C7">
        <w:rPr>
          <w:rFonts w:ascii="Calibri" w:hAnsi="Calibri" w:cs="Calibri"/>
          <w:sz w:val="24"/>
          <w:szCs w:val="24"/>
        </w:rPr>
        <w:t xml:space="preserve">V květnu 2013 ŘVC získalo stavební povolení. Pokyn k zahájení prací dodavateli </w:t>
      </w:r>
      <w:r w:rsidR="00E33487" w:rsidRPr="004F08C7">
        <w:rPr>
          <w:rFonts w:ascii="Calibri" w:hAnsi="Calibri" w:cs="Calibri"/>
          <w:sz w:val="24"/>
          <w:szCs w:val="24"/>
        </w:rPr>
        <w:t xml:space="preserve">ale </w:t>
      </w:r>
      <w:r w:rsidR="00485775" w:rsidRPr="004F08C7">
        <w:rPr>
          <w:rFonts w:ascii="Calibri" w:hAnsi="Calibri" w:cs="Calibri"/>
          <w:sz w:val="24"/>
          <w:szCs w:val="24"/>
        </w:rPr>
        <w:t>nevydalo a smlouvu s ním v</w:t>
      </w:r>
      <w:r w:rsidR="00CC482E">
        <w:rPr>
          <w:rFonts w:ascii="Calibri" w:hAnsi="Calibri" w:cs="Calibri"/>
          <w:sz w:val="24"/>
          <w:szCs w:val="24"/>
        </w:rPr>
        <w:t> </w:t>
      </w:r>
      <w:r w:rsidR="00485775" w:rsidRPr="004F08C7">
        <w:rPr>
          <w:rFonts w:ascii="Calibri" w:hAnsi="Calibri" w:cs="Calibri"/>
          <w:sz w:val="24"/>
          <w:szCs w:val="24"/>
        </w:rPr>
        <w:t>srpnu</w:t>
      </w:r>
      <w:r w:rsidR="00CC482E">
        <w:rPr>
          <w:rFonts w:ascii="Calibri" w:hAnsi="Calibri" w:cs="Calibri"/>
          <w:sz w:val="24"/>
          <w:szCs w:val="24"/>
        </w:rPr>
        <w:t> </w:t>
      </w:r>
      <w:r w:rsidR="00485775" w:rsidRPr="004F08C7">
        <w:rPr>
          <w:rFonts w:ascii="Calibri" w:hAnsi="Calibri" w:cs="Calibri"/>
          <w:sz w:val="24"/>
          <w:szCs w:val="24"/>
        </w:rPr>
        <w:t>2020 ukončilo. Jako důvod ŘVC uvedlo nedořešen</w:t>
      </w:r>
      <w:r w:rsidR="00E33487" w:rsidRPr="004F08C7">
        <w:rPr>
          <w:rFonts w:ascii="Calibri" w:hAnsi="Calibri" w:cs="Calibri"/>
          <w:sz w:val="24"/>
          <w:szCs w:val="24"/>
        </w:rPr>
        <w:t>í</w:t>
      </w:r>
      <w:r w:rsidR="00485775" w:rsidRPr="004F08C7">
        <w:rPr>
          <w:rFonts w:ascii="Calibri" w:hAnsi="Calibri" w:cs="Calibri"/>
          <w:sz w:val="24"/>
          <w:szCs w:val="24"/>
        </w:rPr>
        <w:t xml:space="preserve"> majetkoprávních vztahů k pozemkům potřebným k provedení stavby se </w:t>
      </w:r>
      <w:r w:rsidR="00747455" w:rsidRPr="004F08C7">
        <w:rPr>
          <w:rFonts w:ascii="Calibri" w:hAnsi="Calibri" w:cs="Calibri"/>
          <w:sz w:val="24"/>
          <w:szCs w:val="24"/>
        </w:rPr>
        <w:t>správcem vodní cesty</w:t>
      </w:r>
      <w:r w:rsidR="00485775" w:rsidRPr="004F08C7">
        <w:rPr>
          <w:rFonts w:ascii="Calibri" w:hAnsi="Calibri" w:cs="Calibri"/>
          <w:sz w:val="24"/>
          <w:szCs w:val="24"/>
        </w:rPr>
        <w:t xml:space="preserve">. </w:t>
      </w:r>
      <w:r w:rsidR="00EC4891" w:rsidRPr="004F08C7">
        <w:rPr>
          <w:rFonts w:ascii="Calibri" w:hAnsi="Calibri" w:cs="Calibri"/>
          <w:sz w:val="24"/>
          <w:szCs w:val="24"/>
        </w:rPr>
        <w:t xml:space="preserve">O necelé tři měsíce později </w:t>
      </w:r>
      <w:r w:rsidR="00B37B89">
        <w:rPr>
          <w:rFonts w:ascii="Calibri" w:hAnsi="Calibri" w:cs="Calibri"/>
          <w:sz w:val="24"/>
          <w:szCs w:val="24"/>
        </w:rPr>
        <w:t xml:space="preserve">– </w:t>
      </w:r>
      <w:r w:rsidR="00EC4891" w:rsidRPr="004F08C7">
        <w:rPr>
          <w:rFonts w:ascii="Calibri" w:hAnsi="Calibri" w:cs="Calibri"/>
          <w:sz w:val="24"/>
          <w:szCs w:val="24"/>
        </w:rPr>
        <w:t>v</w:t>
      </w:r>
      <w:r w:rsidR="00485775" w:rsidRPr="004F08C7">
        <w:rPr>
          <w:rFonts w:ascii="Calibri" w:hAnsi="Calibri" w:cs="Calibri"/>
          <w:sz w:val="24"/>
          <w:szCs w:val="24"/>
        </w:rPr>
        <w:t> listopadu 2020</w:t>
      </w:r>
      <w:r w:rsidR="00B37B89">
        <w:rPr>
          <w:rFonts w:ascii="Calibri" w:hAnsi="Calibri" w:cs="Calibri"/>
          <w:sz w:val="24"/>
          <w:szCs w:val="24"/>
        </w:rPr>
        <w:t xml:space="preserve"> –</w:t>
      </w:r>
      <w:r w:rsidR="00485775" w:rsidRPr="004F08C7">
        <w:rPr>
          <w:rFonts w:ascii="Calibri" w:hAnsi="Calibri" w:cs="Calibri"/>
          <w:sz w:val="24"/>
          <w:szCs w:val="24"/>
        </w:rPr>
        <w:t xml:space="preserve"> ŘVC zahájilo zadávací řízení na provedení výše uvedených prací s předpokládanou hodnotou veřejné zakázky </w:t>
      </w:r>
      <w:r w:rsidR="00AB3AA6" w:rsidRPr="004F08C7">
        <w:rPr>
          <w:rFonts w:ascii="Calibri" w:hAnsi="Calibri" w:cs="Calibri"/>
          <w:sz w:val="24"/>
          <w:szCs w:val="24"/>
        </w:rPr>
        <w:t xml:space="preserve">ve výši </w:t>
      </w:r>
      <w:r w:rsidR="00485775" w:rsidRPr="004F08C7">
        <w:rPr>
          <w:rFonts w:ascii="Calibri" w:hAnsi="Calibri" w:cs="Calibri"/>
          <w:sz w:val="24"/>
          <w:szCs w:val="24"/>
        </w:rPr>
        <w:t>20,0 mil. Kč</w:t>
      </w:r>
      <w:r w:rsidR="00AB3AA6" w:rsidRPr="004F08C7">
        <w:rPr>
          <w:rFonts w:ascii="Calibri" w:hAnsi="Calibri" w:cs="Calibri"/>
          <w:sz w:val="24"/>
          <w:szCs w:val="24"/>
        </w:rPr>
        <w:t xml:space="preserve"> bez DPH a zakázku </w:t>
      </w:r>
      <w:r w:rsidR="00C06430" w:rsidRPr="004F08C7">
        <w:rPr>
          <w:rFonts w:ascii="Calibri" w:hAnsi="Calibri" w:cs="Calibri"/>
          <w:sz w:val="24"/>
          <w:szCs w:val="24"/>
        </w:rPr>
        <w:t>v</w:t>
      </w:r>
      <w:r w:rsidR="00CC482E">
        <w:rPr>
          <w:rFonts w:ascii="Calibri" w:hAnsi="Calibri" w:cs="Calibri"/>
          <w:sz w:val="24"/>
          <w:szCs w:val="24"/>
        </w:rPr>
        <w:t> </w:t>
      </w:r>
      <w:r w:rsidR="00C06430" w:rsidRPr="004F08C7">
        <w:rPr>
          <w:rFonts w:ascii="Calibri" w:hAnsi="Calibri" w:cs="Calibri"/>
          <w:sz w:val="24"/>
          <w:szCs w:val="24"/>
        </w:rPr>
        <w:t>červnu</w:t>
      </w:r>
      <w:r w:rsidR="00CC482E">
        <w:rPr>
          <w:rFonts w:ascii="Calibri" w:hAnsi="Calibri" w:cs="Calibri"/>
          <w:sz w:val="24"/>
          <w:szCs w:val="24"/>
        </w:rPr>
        <w:t> </w:t>
      </w:r>
      <w:r w:rsidR="00C06430" w:rsidRPr="004F08C7">
        <w:rPr>
          <w:rFonts w:ascii="Calibri" w:hAnsi="Calibri" w:cs="Calibri"/>
          <w:sz w:val="24"/>
          <w:szCs w:val="24"/>
        </w:rPr>
        <w:t>2021</w:t>
      </w:r>
      <w:r w:rsidR="00AB3AA6" w:rsidRPr="004F08C7">
        <w:rPr>
          <w:rFonts w:ascii="Calibri" w:hAnsi="Calibri" w:cs="Calibri"/>
          <w:sz w:val="24"/>
          <w:szCs w:val="24"/>
        </w:rPr>
        <w:t xml:space="preserve"> zadalo dodavateli za 30,3 mil. Kč bez DPH. Zadání veřejné zakázky za cenu o</w:t>
      </w:r>
      <w:r w:rsidR="00CC482E">
        <w:rPr>
          <w:rFonts w:ascii="Calibri" w:hAnsi="Calibri" w:cs="Calibri"/>
          <w:sz w:val="24"/>
          <w:szCs w:val="24"/>
        </w:rPr>
        <w:t> </w:t>
      </w:r>
      <w:r w:rsidR="00AB3AA6" w:rsidRPr="004F08C7">
        <w:rPr>
          <w:rFonts w:ascii="Calibri" w:hAnsi="Calibri" w:cs="Calibri"/>
          <w:sz w:val="24"/>
          <w:szCs w:val="24"/>
        </w:rPr>
        <w:t>polovinu převyšující její předpokládanou hodnotu ŘVC odůvodnilo cenovým vývojem na trhu a</w:t>
      </w:r>
      <w:r w:rsidR="00B37B89">
        <w:rPr>
          <w:rFonts w:ascii="Calibri" w:hAnsi="Calibri" w:cs="Calibri"/>
          <w:sz w:val="24"/>
          <w:szCs w:val="24"/>
        </w:rPr>
        <w:t> </w:t>
      </w:r>
      <w:r w:rsidR="00AB3AA6" w:rsidRPr="004F08C7">
        <w:rPr>
          <w:rFonts w:ascii="Calibri" w:hAnsi="Calibri" w:cs="Calibri"/>
          <w:sz w:val="24"/>
          <w:szCs w:val="24"/>
        </w:rPr>
        <w:t>obavami z dalšího navyšování cen.</w:t>
      </w:r>
      <w:r w:rsidR="00C06430" w:rsidRPr="004F08C7">
        <w:rPr>
          <w:rFonts w:ascii="Calibri" w:hAnsi="Calibri" w:cs="Calibri"/>
          <w:sz w:val="24"/>
          <w:szCs w:val="24"/>
        </w:rPr>
        <w:t xml:space="preserve"> Svůj postup při řešení majetkoprávních vztahů se </w:t>
      </w:r>
      <w:r w:rsidR="00747455" w:rsidRPr="004F08C7">
        <w:rPr>
          <w:rFonts w:ascii="Calibri" w:hAnsi="Calibri" w:cs="Calibri"/>
          <w:sz w:val="24"/>
          <w:szCs w:val="24"/>
        </w:rPr>
        <w:t>správcem vodní cesty</w:t>
      </w:r>
      <w:r w:rsidR="00C06430" w:rsidRPr="004F08C7">
        <w:rPr>
          <w:rFonts w:ascii="Calibri" w:hAnsi="Calibri" w:cs="Calibri"/>
          <w:sz w:val="24"/>
          <w:szCs w:val="24"/>
        </w:rPr>
        <w:t xml:space="preserve"> od března 2010 do června 2021 ne</w:t>
      </w:r>
      <w:r w:rsidR="003E32D1" w:rsidRPr="004F08C7">
        <w:rPr>
          <w:rFonts w:ascii="Calibri" w:hAnsi="Calibri" w:cs="Calibri"/>
          <w:sz w:val="24"/>
          <w:szCs w:val="24"/>
        </w:rPr>
        <w:t>doloži</w:t>
      </w:r>
      <w:r w:rsidR="00C06430" w:rsidRPr="004F08C7">
        <w:rPr>
          <w:rFonts w:ascii="Calibri" w:hAnsi="Calibri" w:cs="Calibri"/>
          <w:sz w:val="24"/>
          <w:szCs w:val="24"/>
        </w:rPr>
        <w:t>lo žádnými doklady.</w:t>
      </w:r>
    </w:p>
    <w:p w14:paraId="0C935263" w14:textId="77777777" w:rsidR="0044085B" w:rsidRPr="004F08C7" w:rsidRDefault="0044085B" w:rsidP="004F08C7">
      <w:pPr>
        <w:spacing w:after="120"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4F08C7">
        <w:rPr>
          <w:rFonts w:ascii="Calibri" w:hAnsi="Calibri" w:cs="Calibri"/>
          <w:b/>
          <w:sz w:val="24"/>
          <w:szCs w:val="24"/>
        </w:rPr>
        <w:t xml:space="preserve">Hodnocení </w:t>
      </w:r>
      <w:r w:rsidR="007868AD" w:rsidRPr="004F08C7">
        <w:rPr>
          <w:rFonts w:ascii="Calibri" w:hAnsi="Calibri" w:cs="Calibri"/>
          <w:b/>
          <w:sz w:val="24"/>
          <w:szCs w:val="24"/>
        </w:rPr>
        <w:t xml:space="preserve">očekávané </w:t>
      </w:r>
      <w:r w:rsidRPr="004F08C7">
        <w:rPr>
          <w:rFonts w:ascii="Calibri" w:hAnsi="Calibri" w:cs="Calibri"/>
          <w:b/>
          <w:sz w:val="24"/>
          <w:szCs w:val="24"/>
        </w:rPr>
        <w:t>ekonomické efektivnosti projektů jsou nevěrohodná</w:t>
      </w:r>
    </w:p>
    <w:p w14:paraId="0ACC4BF4" w14:textId="77777777" w:rsidR="0044085B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4.32 </w:t>
      </w:r>
      <w:r w:rsidR="0044085B" w:rsidRPr="004F08C7">
        <w:rPr>
          <w:rFonts w:ascii="Calibri" w:hAnsi="Calibri" w:cs="Calibri"/>
          <w:sz w:val="24"/>
          <w:szCs w:val="24"/>
        </w:rPr>
        <w:t>Účelnost a efektivnost využití peněžních prostředků státu a EU na financování přípravy a</w:t>
      </w:r>
      <w:r w:rsidR="00CC482E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 xml:space="preserve">realizace projektů, které NKÚ podrobil kontrole, ŘVC a Povodí Vltavy prokazovaly v záměrech projektů a hodnoceních ekonomické efektivnosti, která byla jejich součástí. </w:t>
      </w:r>
      <w:r w:rsidR="004F3BCD" w:rsidRPr="004F08C7">
        <w:rPr>
          <w:rFonts w:ascii="Calibri" w:hAnsi="Calibri" w:cs="Calibri"/>
          <w:sz w:val="24"/>
          <w:szCs w:val="24"/>
        </w:rPr>
        <w:t xml:space="preserve">Smyslem těchto hodnocení </w:t>
      </w:r>
      <w:r w:rsidR="000972A8" w:rsidRPr="004F08C7">
        <w:rPr>
          <w:rFonts w:ascii="Calibri" w:hAnsi="Calibri" w:cs="Calibri"/>
          <w:sz w:val="24"/>
          <w:szCs w:val="24"/>
        </w:rPr>
        <w:t>má být</w:t>
      </w:r>
      <w:r w:rsidR="004F3BCD" w:rsidRPr="004F08C7">
        <w:rPr>
          <w:rFonts w:ascii="Calibri" w:hAnsi="Calibri" w:cs="Calibri"/>
          <w:sz w:val="24"/>
          <w:szCs w:val="24"/>
        </w:rPr>
        <w:t xml:space="preserve"> provedení objektivního vyhodnocení poměru nákladů a</w:t>
      </w:r>
      <w:r w:rsidR="00CC482E">
        <w:rPr>
          <w:rFonts w:ascii="Calibri" w:hAnsi="Calibri" w:cs="Calibri"/>
          <w:sz w:val="24"/>
          <w:szCs w:val="24"/>
        </w:rPr>
        <w:t> </w:t>
      </w:r>
      <w:r w:rsidR="004F3BCD" w:rsidRPr="004F08C7">
        <w:rPr>
          <w:rFonts w:ascii="Calibri" w:hAnsi="Calibri" w:cs="Calibri"/>
          <w:sz w:val="24"/>
          <w:szCs w:val="24"/>
        </w:rPr>
        <w:t>přínosů projekt</w:t>
      </w:r>
      <w:r w:rsidR="005560FE" w:rsidRPr="004F08C7">
        <w:rPr>
          <w:rFonts w:ascii="Calibri" w:hAnsi="Calibri" w:cs="Calibri"/>
          <w:sz w:val="24"/>
          <w:szCs w:val="24"/>
        </w:rPr>
        <w:t>ů a</w:t>
      </w:r>
      <w:r w:rsidR="00CC482E">
        <w:rPr>
          <w:rFonts w:ascii="Calibri" w:hAnsi="Calibri" w:cs="Calibri"/>
          <w:sz w:val="24"/>
          <w:szCs w:val="24"/>
        </w:rPr>
        <w:t> </w:t>
      </w:r>
      <w:r w:rsidR="005560FE" w:rsidRPr="004F08C7">
        <w:rPr>
          <w:rFonts w:ascii="Calibri" w:hAnsi="Calibri" w:cs="Calibri"/>
          <w:sz w:val="24"/>
          <w:szCs w:val="24"/>
        </w:rPr>
        <w:t xml:space="preserve">prokázání </w:t>
      </w:r>
      <w:r w:rsidR="000972A8" w:rsidRPr="004F08C7">
        <w:rPr>
          <w:rFonts w:ascii="Calibri" w:hAnsi="Calibri" w:cs="Calibri"/>
          <w:sz w:val="24"/>
          <w:szCs w:val="24"/>
        </w:rPr>
        <w:t>účel</w:t>
      </w:r>
      <w:r w:rsidR="005560FE" w:rsidRPr="004F08C7">
        <w:rPr>
          <w:rFonts w:ascii="Calibri" w:hAnsi="Calibri" w:cs="Calibri"/>
          <w:sz w:val="24"/>
          <w:szCs w:val="24"/>
        </w:rPr>
        <w:t xml:space="preserve">nosti a efektivnosti jejich realizace. </w:t>
      </w:r>
      <w:r w:rsidR="0044085B" w:rsidRPr="004F08C7">
        <w:rPr>
          <w:rFonts w:ascii="Calibri" w:hAnsi="Calibri" w:cs="Calibri"/>
          <w:sz w:val="24"/>
          <w:szCs w:val="24"/>
        </w:rPr>
        <w:t xml:space="preserve">Podle směrnice MD upravující postupy v průběhu přípravy investičních a neinvestičních akcí infrastruktury vodních cest financovaných bez účasti státního rozpočtu nemusely být záměry projektů zpracovávány v případě projektů s celkovými investičními náklady do </w:t>
      </w:r>
      <w:r w:rsidR="0017100B" w:rsidRPr="004F08C7">
        <w:rPr>
          <w:rFonts w:ascii="Calibri" w:hAnsi="Calibri" w:cs="Calibri"/>
          <w:sz w:val="24"/>
          <w:szCs w:val="24"/>
        </w:rPr>
        <w:t>3</w:t>
      </w:r>
      <w:r w:rsidR="0044085B" w:rsidRPr="004F08C7">
        <w:rPr>
          <w:rFonts w:ascii="Calibri" w:hAnsi="Calibri" w:cs="Calibri"/>
          <w:sz w:val="24"/>
          <w:szCs w:val="24"/>
        </w:rPr>
        <w:t>0 mil Kč bez DPH (</w:t>
      </w:r>
      <w:r w:rsidR="0017100B" w:rsidRPr="004F08C7">
        <w:rPr>
          <w:rFonts w:ascii="Calibri" w:hAnsi="Calibri" w:cs="Calibri"/>
          <w:sz w:val="24"/>
          <w:szCs w:val="24"/>
        </w:rPr>
        <w:t>do</w:t>
      </w:r>
      <w:r w:rsidR="0044085B" w:rsidRPr="004F08C7">
        <w:rPr>
          <w:rFonts w:ascii="Calibri" w:hAnsi="Calibri" w:cs="Calibri"/>
          <w:sz w:val="24"/>
          <w:szCs w:val="24"/>
        </w:rPr>
        <w:t xml:space="preserve"> </w:t>
      </w:r>
      <w:r w:rsidR="0017100B" w:rsidRPr="004F08C7">
        <w:rPr>
          <w:rFonts w:ascii="Calibri" w:hAnsi="Calibri" w:cs="Calibri"/>
          <w:sz w:val="24"/>
          <w:szCs w:val="24"/>
        </w:rPr>
        <w:t>března</w:t>
      </w:r>
      <w:r w:rsidR="0044085B" w:rsidRPr="004F08C7">
        <w:rPr>
          <w:rFonts w:ascii="Calibri" w:hAnsi="Calibri" w:cs="Calibri"/>
          <w:sz w:val="24"/>
          <w:szCs w:val="24"/>
        </w:rPr>
        <w:t xml:space="preserve"> 2021 do </w:t>
      </w:r>
      <w:r w:rsidR="0017100B" w:rsidRPr="004F08C7">
        <w:rPr>
          <w:rFonts w:ascii="Calibri" w:hAnsi="Calibri" w:cs="Calibri"/>
          <w:sz w:val="24"/>
          <w:szCs w:val="24"/>
        </w:rPr>
        <w:t>2</w:t>
      </w:r>
      <w:r w:rsidR="0044085B" w:rsidRPr="004F08C7">
        <w:rPr>
          <w:rFonts w:ascii="Calibri" w:hAnsi="Calibri" w:cs="Calibri"/>
          <w:sz w:val="24"/>
          <w:szCs w:val="24"/>
        </w:rPr>
        <w:t xml:space="preserve">0 mil. Kč). V těchto případech ŘVC odkazovalo na 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 xml:space="preserve">souhrnná hodnocení efektivnosti investic 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lastRenderedPageBreak/>
        <w:t>na podporu rozvoje rekreační plavby a osobní lodní dopravy na labsko-vltavské vodní cestě a</w:t>
      </w:r>
      <w:r w:rsidR="00CC482E">
        <w:rPr>
          <w:rFonts w:ascii="Calibri" w:eastAsia="Arial Unicode MS" w:hAnsi="Calibri" w:cs="Calibri"/>
          <w:bCs/>
          <w:sz w:val="24"/>
          <w:szCs w:val="24"/>
        </w:rPr>
        <w:t> 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>na Baťově kanále (viz 4.15).</w:t>
      </w:r>
    </w:p>
    <w:p w14:paraId="5A8A74A7" w14:textId="577F317B" w:rsidR="0044085B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4.33 </w:t>
      </w:r>
      <w:r w:rsidR="0044085B" w:rsidRPr="004F08C7">
        <w:rPr>
          <w:rFonts w:ascii="Calibri" w:hAnsi="Calibri" w:cs="Calibri"/>
          <w:sz w:val="24"/>
          <w:szCs w:val="24"/>
        </w:rPr>
        <w:t xml:space="preserve">Při prokazování efektivnosti projektů se ŘVC opíralo především o odhady nárůstu počtu turistů a jejich útrat v důsledku realizace projektů. Nestanovilo ale informační zdroje ani postupy pro ověření věrohodnosti a objektivnosti předpokladů, z nichž vycházelo. Například v původním i v aktualizovaném hodnocení, jimiž ŘVC prokazovalo ekonomickou efektivnost projektu </w:t>
      </w:r>
      <w:r w:rsidR="0044085B" w:rsidRPr="004F08C7">
        <w:rPr>
          <w:rFonts w:ascii="Calibri" w:hAnsi="Calibri" w:cs="Calibri"/>
          <w:i/>
          <w:sz w:val="24"/>
          <w:szCs w:val="24"/>
        </w:rPr>
        <w:t xml:space="preserve">Dokončení vltavské vodní cesty v úseku VD Hněvkovice </w:t>
      </w:r>
      <w:r w:rsidR="00B37B89">
        <w:rPr>
          <w:rFonts w:ascii="Calibri" w:hAnsi="Calibri" w:cs="Calibri"/>
          <w:i/>
          <w:sz w:val="24"/>
          <w:szCs w:val="24"/>
        </w:rPr>
        <w:t>–</w:t>
      </w:r>
      <w:r w:rsidR="0044085B" w:rsidRPr="004F08C7">
        <w:rPr>
          <w:rFonts w:ascii="Calibri" w:hAnsi="Calibri" w:cs="Calibri"/>
          <w:i/>
          <w:sz w:val="24"/>
          <w:szCs w:val="24"/>
        </w:rPr>
        <w:t xml:space="preserve"> Týn nad Vltavou</w:t>
      </w:r>
      <w:r w:rsidR="0044085B" w:rsidRPr="00972D33">
        <w:rPr>
          <w:rFonts w:ascii="Calibri" w:hAnsi="Calibri" w:cs="Calibri"/>
          <w:sz w:val="24"/>
          <w:szCs w:val="24"/>
        </w:rPr>
        <w:t>,</w:t>
      </w:r>
      <w:r w:rsidR="0044085B" w:rsidRPr="004F08C7">
        <w:rPr>
          <w:rFonts w:ascii="Calibri" w:hAnsi="Calibri" w:cs="Calibri"/>
          <w:sz w:val="24"/>
          <w:szCs w:val="24"/>
        </w:rPr>
        <w:t xml:space="preserve"> byly ekonomické přínosy vypočteny jako součin tzv. </w:t>
      </w:r>
      <w:proofErr w:type="spellStart"/>
      <w:r w:rsidR="0044085B" w:rsidRPr="004F08C7">
        <w:rPr>
          <w:rFonts w:ascii="Calibri" w:hAnsi="Calibri" w:cs="Calibri"/>
          <w:sz w:val="24"/>
          <w:szCs w:val="24"/>
        </w:rPr>
        <w:t>osobodnů</w:t>
      </w:r>
      <w:proofErr w:type="spellEnd"/>
      <w:r w:rsidR="0044085B" w:rsidRPr="004F08C7">
        <w:rPr>
          <w:rFonts w:ascii="Calibri" w:hAnsi="Calibri" w:cs="Calibri"/>
          <w:sz w:val="24"/>
          <w:szCs w:val="24"/>
        </w:rPr>
        <w:t xml:space="preserve"> (součin odhadovaného počtu plavidel, jejich odhadované průměrné obsazenosti a odhadované průměrné délky pobytu turistů v zájmovém území) a odhadované výše průměrné denní útraty turistů závisející mj. na odhadovaném podílu cizinců. Odhady se opíraly o statistické údaje o cestovním ruchu v České republice</w:t>
      </w:r>
      <w:r w:rsidR="00B75E1D" w:rsidRPr="004F08C7">
        <w:rPr>
          <w:rFonts w:ascii="Calibri" w:hAnsi="Calibri" w:cs="Calibri"/>
          <w:sz w:val="24"/>
          <w:szCs w:val="24"/>
        </w:rPr>
        <w:t xml:space="preserve"> a</w:t>
      </w:r>
      <w:r w:rsidR="0044085B" w:rsidRPr="004F08C7">
        <w:rPr>
          <w:rFonts w:ascii="Calibri" w:hAnsi="Calibri" w:cs="Calibri"/>
          <w:sz w:val="24"/>
          <w:szCs w:val="24"/>
        </w:rPr>
        <w:t xml:space="preserve"> informace o využití Baťova kanálu a vodních cest ve Francii</w:t>
      </w:r>
      <w:r w:rsidR="00B75E1D" w:rsidRPr="004F08C7">
        <w:rPr>
          <w:rFonts w:ascii="Calibri" w:hAnsi="Calibri" w:cs="Calibri"/>
          <w:sz w:val="24"/>
          <w:szCs w:val="24"/>
        </w:rPr>
        <w:t xml:space="preserve">. Baťův kanál je ale </w:t>
      </w:r>
      <w:r w:rsidR="008F2BD1" w:rsidRPr="004F08C7">
        <w:rPr>
          <w:rFonts w:ascii="Calibri" w:hAnsi="Calibri" w:cs="Calibri"/>
          <w:sz w:val="24"/>
          <w:szCs w:val="24"/>
        </w:rPr>
        <w:t>z pohledu cestovního ruchu velmi specifickou vodní cestou a postup výpočtu „</w:t>
      </w:r>
      <w:proofErr w:type="spellStart"/>
      <w:r w:rsidR="008F2BD1" w:rsidRPr="004F08C7">
        <w:rPr>
          <w:rFonts w:ascii="Calibri" w:hAnsi="Calibri" w:cs="Calibri"/>
          <w:sz w:val="24"/>
          <w:szCs w:val="24"/>
        </w:rPr>
        <w:t>osobodnů</w:t>
      </w:r>
      <w:proofErr w:type="spellEnd"/>
      <w:r w:rsidR="008F2BD1" w:rsidRPr="004F08C7">
        <w:rPr>
          <w:rFonts w:ascii="Calibri" w:hAnsi="Calibri" w:cs="Calibri"/>
          <w:sz w:val="24"/>
          <w:szCs w:val="24"/>
        </w:rPr>
        <w:t>“</w:t>
      </w:r>
      <w:r w:rsidR="00E70BB8" w:rsidRPr="004F08C7">
        <w:rPr>
          <w:rFonts w:ascii="Calibri" w:hAnsi="Calibri" w:cs="Calibri"/>
          <w:sz w:val="24"/>
          <w:szCs w:val="24"/>
        </w:rPr>
        <w:t xml:space="preserve"> </w:t>
      </w:r>
      <w:r w:rsidR="008F2BD1" w:rsidRPr="004F08C7">
        <w:rPr>
          <w:rFonts w:ascii="Calibri" w:hAnsi="Calibri" w:cs="Calibri"/>
          <w:sz w:val="24"/>
          <w:szCs w:val="24"/>
        </w:rPr>
        <w:t>s využitím přepočtených a následně korigovaných francouzských dat není transparentní. O</w:t>
      </w:r>
      <w:r w:rsidR="0044085B" w:rsidRPr="004F08C7">
        <w:rPr>
          <w:rFonts w:ascii="Calibri" w:hAnsi="Calibri" w:cs="Calibri"/>
          <w:sz w:val="24"/>
          <w:szCs w:val="24"/>
        </w:rPr>
        <w:t xml:space="preserve">bjektivnost odhadů a správnost výpočtů na základě informací </w:t>
      </w:r>
      <w:r w:rsidR="008F2BD1" w:rsidRPr="004F08C7">
        <w:rPr>
          <w:rFonts w:ascii="Calibri" w:hAnsi="Calibri" w:cs="Calibri"/>
          <w:sz w:val="24"/>
          <w:szCs w:val="24"/>
        </w:rPr>
        <w:t xml:space="preserve">uvedených v hodnocení ekonomické efektivnosti daného projektu nelze </w:t>
      </w:r>
      <w:r w:rsidR="0044085B" w:rsidRPr="004F08C7">
        <w:rPr>
          <w:rFonts w:ascii="Calibri" w:hAnsi="Calibri" w:cs="Calibri"/>
          <w:sz w:val="24"/>
          <w:szCs w:val="24"/>
        </w:rPr>
        <w:t>ověřit.</w:t>
      </w:r>
    </w:p>
    <w:p w14:paraId="0CAA2089" w14:textId="3FD91403" w:rsidR="0044085B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4.34 </w:t>
      </w:r>
      <w:r w:rsidR="000972A8" w:rsidRPr="004F08C7">
        <w:rPr>
          <w:rFonts w:ascii="Calibri" w:hAnsi="Calibri" w:cs="Calibri"/>
          <w:sz w:val="24"/>
          <w:szCs w:val="24"/>
        </w:rPr>
        <w:t>Výsledkem h</w:t>
      </w:r>
      <w:r w:rsidR="0044085B" w:rsidRPr="004F08C7">
        <w:rPr>
          <w:rFonts w:ascii="Calibri" w:hAnsi="Calibri" w:cs="Calibri"/>
          <w:sz w:val="24"/>
          <w:szCs w:val="24"/>
        </w:rPr>
        <w:t>odnocení ekonomické efektivnosti</w:t>
      </w:r>
      <w:r w:rsidR="000972A8" w:rsidRPr="004F08C7">
        <w:rPr>
          <w:rFonts w:ascii="Calibri" w:hAnsi="Calibri" w:cs="Calibri"/>
          <w:sz w:val="24"/>
          <w:szCs w:val="24"/>
        </w:rPr>
        <w:t>, které</w:t>
      </w:r>
      <w:r w:rsidR="0044085B" w:rsidRPr="004F08C7">
        <w:rPr>
          <w:rFonts w:ascii="Calibri" w:hAnsi="Calibri" w:cs="Calibri"/>
          <w:sz w:val="24"/>
          <w:szCs w:val="24"/>
        </w:rPr>
        <w:t xml:space="preserve"> bylo součástí investičního záměru projektu </w:t>
      </w:r>
      <w:r w:rsidR="0044085B" w:rsidRPr="004F08C7">
        <w:rPr>
          <w:rFonts w:ascii="Calibri" w:hAnsi="Calibri" w:cs="Calibri"/>
          <w:i/>
          <w:sz w:val="24"/>
          <w:szCs w:val="24"/>
        </w:rPr>
        <w:t xml:space="preserve">Dokončení vltavské vodní cesty v úseku VD Hněvkovice </w:t>
      </w:r>
      <w:r w:rsidR="00CC482E">
        <w:rPr>
          <w:rFonts w:ascii="Calibri" w:hAnsi="Calibri" w:cs="Calibri"/>
          <w:sz w:val="24"/>
          <w:szCs w:val="24"/>
        </w:rPr>
        <w:t>–</w:t>
      </w:r>
      <w:r w:rsidR="0044085B" w:rsidRPr="004F08C7">
        <w:rPr>
          <w:rFonts w:ascii="Calibri" w:hAnsi="Calibri" w:cs="Calibri"/>
          <w:i/>
          <w:sz w:val="24"/>
          <w:szCs w:val="24"/>
        </w:rPr>
        <w:t xml:space="preserve"> Týn nad Vltavou</w:t>
      </w:r>
      <w:r w:rsidR="0044085B" w:rsidRPr="004F08C7">
        <w:rPr>
          <w:rFonts w:ascii="Calibri" w:hAnsi="Calibri" w:cs="Calibri"/>
          <w:sz w:val="24"/>
          <w:szCs w:val="24"/>
        </w:rPr>
        <w:t xml:space="preserve"> z června 2006 s celkovými investičními náklady ve výši 294,3 mil. Kč vč. DPH</w:t>
      </w:r>
      <w:r w:rsidR="000972A8" w:rsidRPr="004F08C7">
        <w:rPr>
          <w:rFonts w:ascii="Calibri" w:hAnsi="Calibri" w:cs="Calibri"/>
          <w:sz w:val="24"/>
          <w:szCs w:val="24"/>
        </w:rPr>
        <w:t>,</w:t>
      </w:r>
      <w:r w:rsidR="0044085B" w:rsidRPr="004F08C7">
        <w:rPr>
          <w:rFonts w:ascii="Calibri" w:hAnsi="Calibri" w:cs="Calibri"/>
          <w:sz w:val="24"/>
          <w:szCs w:val="24"/>
        </w:rPr>
        <w:t xml:space="preserve"> byly kladné ukazatele ekonomické efektivnosti</w:t>
      </w:r>
      <w:r w:rsidR="00D543C3" w:rsidRPr="004F08C7">
        <w:rPr>
          <w:rFonts w:ascii="Calibri" w:hAnsi="Calibri" w:cs="Calibri"/>
          <w:sz w:val="24"/>
          <w:szCs w:val="24"/>
        </w:rPr>
        <w:t>.</w:t>
      </w:r>
      <w:r w:rsidR="0044085B" w:rsidRPr="004F08C7">
        <w:rPr>
          <w:rFonts w:ascii="Calibri" w:hAnsi="Calibri" w:cs="Calibri"/>
          <w:sz w:val="24"/>
          <w:szCs w:val="24"/>
        </w:rPr>
        <w:t xml:space="preserve"> </w:t>
      </w:r>
      <w:r w:rsidR="000972A8" w:rsidRPr="004F08C7">
        <w:rPr>
          <w:rFonts w:ascii="Calibri" w:hAnsi="Calibri" w:cs="Calibri"/>
          <w:sz w:val="24"/>
          <w:szCs w:val="24"/>
        </w:rPr>
        <w:t>V</w:t>
      </w:r>
      <w:r w:rsidR="0044085B" w:rsidRPr="004F08C7">
        <w:rPr>
          <w:rFonts w:ascii="Calibri" w:hAnsi="Calibri" w:cs="Calibri"/>
          <w:sz w:val="24"/>
          <w:szCs w:val="24"/>
        </w:rPr>
        <w:t xml:space="preserve"> aktualizovaném hodnocení ekonomické efektivnosti, které bylo součástí aktualizovaného investičního záměru projektu z dubna 2009, ŘVC </w:t>
      </w:r>
      <w:r w:rsidR="007448D8">
        <w:rPr>
          <w:rFonts w:ascii="Calibri" w:hAnsi="Calibri" w:cs="Calibri"/>
          <w:sz w:val="24"/>
          <w:szCs w:val="24"/>
        </w:rPr>
        <w:t>počítalo</w:t>
      </w:r>
      <w:r w:rsidR="0044085B" w:rsidRPr="004F08C7">
        <w:rPr>
          <w:rFonts w:ascii="Calibri" w:hAnsi="Calibri" w:cs="Calibri"/>
          <w:sz w:val="24"/>
          <w:szCs w:val="24"/>
        </w:rPr>
        <w:t xml:space="preserve"> s více než dvojnásobným nárůstem celkových investičních nákladů</w:t>
      </w:r>
      <w:r w:rsidR="000972A8" w:rsidRPr="004F08C7">
        <w:rPr>
          <w:rFonts w:ascii="Calibri" w:hAnsi="Calibri" w:cs="Calibri"/>
          <w:sz w:val="24"/>
          <w:szCs w:val="24"/>
        </w:rPr>
        <w:t>. E</w:t>
      </w:r>
      <w:r w:rsidR="0044085B" w:rsidRPr="004F08C7">
        <w:rPr>
          <w:rFonts w:ascii="Calibri" w:hAnsi="Calibri" w:cs="Calibri"/>
          <w:sz w:val="24"/>
          <w:szCs w:val="24"/>
        </w:rPr>
        <w:t xml:space="preserve">fektivnost investice </w:t>
      </w:r>
      <w:r w:rsidR="000972A8" w:rsidRPr="004F08C7">
        <w:rPr>
          <w:rFonts w:ascii="Calibri" w:hAnsi="Calibri" w:cs="Calibri"/>
          <w:sz w:val="24"/>
          <w:szCs w:val="24"/>
        </w:rPr>
        <w:t xml:space="preserve">se ale </w:t>
      </w:r>
      <w:r w:rsidR="00427803">
        <w:rPr>
          <w:rFonts w:ascii="Calibri" w:hAnsi="Calibri" w:cs="Calibri"/>
          <w:sz w:val="24"/>
          <w:szCs w:val="24"/>
        </w:rPr>
        <w:br/>
      </w:r>
      <w:r w:rsidR="0017100B" w:rsidRPr="004F08C7">
        <w:rPr>
          <w:rFonts w:ascii="Calibri" w:hAnsi="Calibri" w:cs="Calibri"/>
          <w:sz w:val="24"/>
          <w:szCs w:val="24"/>
        </w:rPr>
        <w:t>navzdory</w:t>
      </w:r>
      <w:r w:rsidR="000972A8" w:rsidRPr="004F08C7">
        <w:rPr>
          <w:rFonts w:ascii="Calibri" w:hAnsi="Calibri" w:cs="Calibri"/>
          <w:sz w:val="24"/>
          <w:szCs w:val="24"/>
        </w:rPr>
        <w:t xml:space="preserve"> t</w:t>
      </w:r>
      <w:r w:rsidR="0017100B" w:rsidRPr="004F08C7">
        <w:rPr>
          <w:rFonts w:ascii="Calibri" w:hAnsi="Calibri" w:cs="Calibri"/>
          <w:sz w:val="24"/>
          <w:szCs w:val="24"/>
        </w:rPr>
        <w:t>omu</w:t>
      </w:r>
      <w:r w:rsidR="000972A8" w:rsidRPr="004F08C7">
        <w:rPr>
          <w:rFonts w:ascii="Calibri" w:hAnsi="Calibri" w:cs="Calibri"/>
          <w:sz w:val="24"/>
          <w:szCs w:val="24"/>
        </w:rPr>
        <w:t>to vysok</w:t>
      </w:r>
      <w:r w:rsidR="0017100B" w:rsidRPr="004F08C7">
        <w:rPr>
          <w:rFonts w:ascii="Calibri" w:hAnsi="Calibri" w:cs="Calibri"/>
          <w:sz w:val="24"/>
          <w:szCs w:val="24"/>
        </w:rPr>
        <w:t>ému</w:t>
      </w:r>
      <w:r w:rsidR="000972A8" w:rsidRPr="004F08C7">
        <w:rPr>
          <w:rFonts w:ascii="Calibri" w:hAnsi="Calibri" w:cs="Calibri"/>
          <w:sz w:val="24"/>
          <w:szCs w:val="24"/>
        </w:rPr>
        <w:t xml:space="preserve"> nárůst</w:t>
      </w:r>
      <w:r w:rsidR="0017100B" w:rsidRPr="004F08C7">
        <w:rPr>
          <w:rFonts w:ascii="Calibri" w:hAnsi="Calibri" w:cs="Calibri"/>
          <w:sz w:val="24"/>
          <w:szCs w:val="24"/>
        </w:rPr>
        <w:t>u</w:t>
      </w:r>
      <w:r w:rsidR="000972A8" w:rsidRPr="004F08C7">
        <w:rPr>
          <w:rFonts w:ascii="Calibri" w:hAnsi="Calibri" w:cs="Calibri"/>
          <w:sz w:val="24"/>
          <w:szCs w:val="24"/>
        </w:rPr>
        <w:t xml:space="preserve"> nákladů projektu </w:t>
      </w:r>
      <w:r w:rsidR="0044085B" w:rsidRPr="004F08C7">
        <w:rPr>
          <w:rFonts w:ascii="Calibri" w:hAnsi="Calibri" w:cs="Calibri"/>
          <w:sz w:val="24"/>
          <w:szCs w:val="24"/>
        </w:rPr>
        <w:t xml:space="preserve">díky optimističtějším odhadům </w:t>
      </w:r>
      <w:r w:rsidR="000972A8" w:rsidRPr="004F08C7">
        <w:rPr>
          <w:rFonts w:ascii="Calibri" w:hAnsi="Calibri" w:cs="Calibri"/>
          <w:sz w:val="24"/>
          <w:szCs w:val="24"/>
        </w:rPr>
        <w:t xml:space="preserve">jeho </w:t>
      </w:r>
      <w:r w:rsidR="0044085B" w:rsidRPr="004F08C7">
        <w:rPr>
          <w:rFonts w:ascii="Calibri" w:hAnsi="Calibri" w:cs="Calibri"/>
          <w:sz w:val="24"/>
          <w:szCs w:val="24"/>
        </w:rPr>
        <w:t>budoucích přínosů zvýšila</w:t>
      </w:r>
      <w:r w:rsidR="00D543C3" w:rsidRPr="004F08C7">
        <w:rPr>
          <w:rFonts w:ascii="Calibri" w:hAnsi="Calibri" w:cs="Calibri"/>
          <w:sz w:val="24"/>
          <w:szCs w:val="24"/>
        </w:rPr>
        <w:t>.</w:t>
      </w:r>
      <w:r w:rsidR="0044085B" w:rsidRPr="004F08C7">
        <w:rPr>
          <w:rFonts w:ascii="Calibri" w:hAnsi="Calibri" w:cs="Calibri"/>
          <w:sz w:val="24"/>
          <w:szCs w:val="24"/>
        </w:rPr>
        <w:t xml:space="preserve"> Např. v segmentu </w:t>
      </w:r>
      <w:r w:rsidR="0044085B" w:rsidRPr="004F08C7">
        <w:rPr>
          <w:rFonts w:ascii="Calibri" w:hAnsi="Calibri" w:cs="Calibri"/>
          <w:i/>
          <w:sz w:val="24"/>
          <w:szCs w:val="24"/>
        </w:rPr>
        <w:t>Výletní plavba – parníky</w:t>
      </w:r>
      <w:r w:rsidR="0044085B" w:rsidRPr="004F08C7">
        <w:rPr>
          <w:rFonts w:ascii="Calibri" w:hAnsi="Calibri" w:cs="Calibri"/>
          <w:sz w:val="24"/>
          <w:szCs w:val="24"/>
        </w:rPr>
        <w:t xml:space="preserve"> (segment s nejvyššími uvažovanými přínosy v obou hodnoceních) bylo v aktualizovaném hodnocení v cílovém roce </w:t>
      </w:r>
      <w:r w:rsidR="00994121">
        <w:rPr>
          <w:rFonts w:ascii="Calibri" w:hAnsi="Calibri" w:cs="Calibri"/>
          <w:sz w:val="24"/>
          <w:szCs w:val="24"/>
        </w:rPr>
        <w:t>kalk</w:t>
      </w:r>
      <w:r w:rsidR="00427803">
        <w:rPr>
          <w:rFonts w:ascii="Calibri" w:hAnsi="Calibri" w:cs="Calibri"/>
          <w:sz w:val="24"/>
          <w:szCs w:val="24"/>
        </w:rPr>
        <w:t>u</w:t>
      </w:r>
      <w:r w:rsidR="00994121">
        <w:rPr>
          <w:rFonts w:ascii="Calibri" w:hAnsi="Calibri" w:cs="Calibri"/>
          <w:sz w:val="24"/>
          <w:szCs w:val="24"/>
        </w:rPr>
        <w:t>lov</w:t>
      </w:r>
      <w:r w:rsidR="00C1619B">
        <w:rPr>
          <w:rFonts w:ascii="Calibri" w:hAnsi="Calibri" w:cs="Calibri"/>
          <w:sz w:val="24"/>
          <w:szCs w:val="24"/>
        </w:rPr>
        <w:t>áno</w:t>
      </w:r>
      <w:r w:rsidR="0044085B" w:rsidRPr="004F08C7">
        <w:rPr>
          <w:rFonts w:ascii="Calibri" w:hAnsi="Calibri" w:cs="Calibri"/>
          <w:sz w:val="24"/>
          <w:szCs w:val="24"/>
        </w:rPr>
        <w:t xml:space="preserve"> s</w:t>
      </w:r>
      <w:r w:rsidR="00427803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 xml:space="preserve">45 000 </w:t>
      </w:r>
      <w:r w:rsidR="007448D8">
        <w:rPr>
          <w:rFonts w:ascii="Calibri" w:hAnsi="Calibri" w:cs="Calibri"/>
          <w:sz w:val="24"/>
          <w:szCs w:val="24"/>
        </w:rPr>
        <w:t>„</w:t>
      </w:r>
      <w:proofErr w:type="spellStart"/>
      <w:r w:rsidR="0044085B" w:rsidRPr="004F08C7">
        <w:rPr>
          <w:rFonts w:ascii="Calibri" w:hAnsi="Calibri" w:cs="Calibri"/>
          <w:sz w:val="24"/>
          <w:szCs w:val="24"/>
        </w:rPr>
        <w:t>osobodny</w:t>
      </w:r>
      <w:proofErr w:type="spellEnd"/>
      <w:r w:rsidR="007448D8">
        <w:rPr>
          <w:rFonts w:ascii="Calibri" w:hAnsi="Calibri" w:cs="Calibri"/>
          <w:sz w:val="24"/>
          <w:szCs w:val="24"/>
        </w:rPr>
        <w:t>“</w:t>
      </w:r>
      <w:r w:rsidR="0044085B" w:rsidRPr="004F08C7">
        <w:rPr>
          <w:rFonts w:ascii="Calibri" w:hAnsi="Calibri" w:cs="Calibri"/>
          <w:sz w:val="24"/>
          <w:szCs w:val="24"/>
        </w:rPr>
        <w:t>, zatímco v původním hodnocení jen s</w:t>
      </w:r>
      <w:r w:rsidR="007448D8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>32</w:t>
      </w:r>
      <w:r w:rsidR="007448D8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>637</w:t>
      </w:r>
      <w:r w:rsidR="007448D8">
        <w:rPr>
          <w:rFonts w:ascii="Calibri" w:hAnsi="Calibri" w:cs="Calibri"/>
          <w:sz w:val="24"/>
          <w:szCs w:val="24"/>
        </w:rPr>
        <w:t> „</w:t>
      </w:r>
      <w:proofErr w:type="spellStart"/>
      <w:r w:rsidR="0044085B" w:rsidRPr="004F08C7">
        <w:rPr>
          <w:rFonts w:ascii="Calibri" w:hAnsi="Calibri" w:cs="Calibri"/>
          <w:sz w:val="24"/>
          <w:szCs w:val="24"/>
        </w:rPr>
        <w:t>osobodny</w:t>
      </w:r>
      <w:proofErr w:type="spellEnd"/>
      <w:r w:rsidR="007448D8">
        <w:rPr>
          <w:rFonts w:ascii="Calibri" w:hAnsi="Calibri" w:cs="Calibri"/>
          <w:sz w:val="24"/>
          <w:szCs w:val="24"/>
        </w:rPr>
        <w:t>“</w:t>
      </w:r>
      <w:r w:rsidR="0044085B" w:rsidRPr="004F08C7">
        <w:rPr>
          <w:rFonts w:ascii="Calibri" w:hAnsi="Calibri" w:cs="Calibri"/>
          <w:sz w:val="24"/>
          <w:szCs w:val="24"/>
        </w:rPr>
        <w:t>. Zároveň byl</w:t>
      </w:r>
      <w:r w:rsidR="00967391">
        <w:rPr>
          <w:rFonts w:ascii="Calibri" w:hAnsi="Calibri" w:cs="Calibri"/>
          <w:sz w:val="24"/>
          <w:szCs w:val="24"/>
        </w:rPr>
        <w:t>y</w:t>
      </w:r>
      <w:r w:rsidR="0044085B" w:rsidRPr="004F08C7">
        <w:rPr>
          <w:rFonts w:ascii="Calibri" w:hAnsi="Calibri" w:cs="Calibri"/>
          <w:sz w:val="24"/>
          <w:szCs w:val="24"/>
        </w:rPr>
        <w:t xml:space="preserve"> </w:t>
      </w:r>
      <w:r w:rsidR="00994121">
        <w:rPr>
          <w:rFonts w:ascii="Calibri" w:hAnsi="Calibri" w:cs="Calibri"/>
          <w:sz w:val="24"/>
          <w:szCs w:val="24"/>
        </w:rPr>
        <w:t>odhadov</w:t>
      </w:r>
      <w:r w:rsidR="00967391">
        <w:rPr>
          <w:rFonts w:ascii="Calibri" w:hAnsi="Calibri" w:cs="Calibri"/>
          <w:sz w:val="24"/>
          <w:szCs w:val="24"/>
        </w:rPr>
        <w:t>ány</w:t>
      </w:r>
      <w:r w:rsidR="0044085B" w:rsidRPr="004F08C7">
        <w:rPr>
          <w:rFonts w:ascii="Calibri" w:hAnsi="Calibri" w:cs="Calibri"/>
          <w:sz w:val="24"/>
          <w:szCs w:val="24"/>
        </w:rPr>
        <w:t xml:space="preserve"> vyšší průměrn</w:t>
      </w:r>
      <w:r w:rsidR="00967391">
        <w:rPr>
          <w:rFonts w:ascii="Calibri" w:hAnsi="Calibri" w:cs="Calibri"/>
          <w:sz w:val="24"/>
          <w:szCs w:val="24"/>
        </w:rPr>
        <w:t>é</w:t>
      </w:r>
      <w:r w:rsidR="0044085B" w:rsidRPr="004F08C7">
        <w:rPr>
          <w:rFonts w:ascii="Calibri" w:hAnsi="Calibri" w:cs="Calibri"/>
          <w:sz w:val="24"/>
          <w:szCs w:val="24"/>
        </w:rPr>
        <w:t xml:space="preserve"> útrat</w:t>
      </w:r>
      <w:r w:rsidR="00967391">
        <w:rPr>
          <w:rFonts w:ascii="Calibri" w:hAnsi="Calibri" w:cs="Calibri"/>
          <w:sz w:val="24"/>
          <w:szCs w:val="24"/>
        </w:rPr>
        <w:t>y</w:t>
      </w:r>
      <w:r w:rsidR="0044085B" w:rsidRPr="004F08C7">
        <w:rPr>
          <w:rFonts w:ascii="Calibri" w:hAnsi="Calibri" w:cs="Calibri"/>
          <w:sz w:val="24"/>
          <w:szCs w:val="24"/>
        </w:rPr>
        <w:t xml:space="preserve"> turistů a</w:t>
      </w:r>
      <w:r w:rsidR="007448D8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>vyšší podíl zahraničních turistů (35</w:t>
      </w:r>
      <w:r w:rsidR="00427803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>% zahraničních turistů oproti 25</w:t>
      </w:r>
      <w:r w:rsidR="00994121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 xml:space="preserve">% v původním hodnocení; útrata v segmentu </w:t>
      </w:r>
      <w:r w:rsidR="0044085B" w:rsidRPr="004F08C7">
        <w:rPr>
          <w:rFonts w:ascii="Calibri" w:hAnsi="Calibri" w:cs="Calibri"/>
          <w:i/>
          <w:sz w:val="24"/>
          <w:szCs w:val="24"/>
        </w:rPr>
        <w:t>Výletní plavba – parníky</w:t>
      </w:r>
      <w:r w:rsidR="0044085B" w:rsidRPr="004F08C7">
        <w:rPr>
          <w:rFonts w:ascii="Calibri" w:hAnsi="Calibri" w:cs="Calibri"/>
          <w:sz w:val="24"/>
          <w:szCs w:val="24"/>
        </w:rPr>
        <w:t xml:space="preserve"> 740</w:t>
      </w:r>
      <w:r w:rsidR="00427803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>Kč/os./den pro tuzemce oproti 508</w:t>
      </w:r>
      <w:r w:rsidR="007448D8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>Kč/os./den v původním hodnocení, resp. 2</w:t>
      </w:r>
      <w:r w:rsidR="00427803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>400</w:t>
      </w:r>
      <w:r w:rsidR="00427803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>Kč/os./den pro cizince oproti 1</w:t>
      </w:r>
      <w:r w:rsidR="007448D8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>460</w:t>
      </w:r>
      <w:r w:rsidR="007448D8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 xml:space="preserve">Kč/os./den v původním hodnocení). Dále byl </w:t>
      </w:r>
      <w:r w:rsidR="007448D8">
        <w:rPr>
          <w:rFonts w:ascii="Calibri" w:hAnsi="Calibri" w:cs="Calibri"/>
          <w:sz w:val="24"/>
          <w:szCs w:val="24"/>
        </w:rPr>
        <w:t>předpokládán</w:t>
      </w:r>
      <w:r w:rsidR="0044085B" w:rsidRPr="004F08C7">
        <w:rPr>
          <w:rFonts w:ascii="Calibri" w:hAnsi="Calibri" w:cs="Calibri"/>
          <w:sz w:val="24"/>
          <w:szCs w:val="24"/>
        </w:rPr>
        <w:t xml:space="preserve"> strmější nárůst „zájmu o aktivity v zájmovém území“ (již v prvním roce o 10 %, ve</w:t>
      </w:r>
      <w:r w:rsidR="009F7FA5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>druhém roce o 20 %, ve třetím roce o 40 % atd. až v sedmém roce a</w:t>
      </w:r>
      <w:r w:rsidR="009F7FA5">
        <w:rPr>
          <w:rFonts w:ascii="Calibri" w:hAnsi="Calibri" w:cs="Calibri"/>
          <w:sz w:val="24"/>
          <w:szCs w:val="24"/>
        </w:rPr>
        <w:t> </w:t>
      </w:r>
      <w:r w:rsidR="0044085B" w:rsidRPr="004F08C7">
        <w:rPr>
          <w:rFonts w:ascii="Calibri" w:hAnsi="Calibri" w:cs="Calibri"/>
          <w:sz w:val="24"/>
          <w:szCs w:val="24"/>
        </w:rPr>
        <w:t xml:space="preserve">dalších letech o 100 %, zatímco v původním hodnocení byl v prvních čtyřech letech </w:t>
      </w:r>
      <w:r w:rsidR="00994121">
        <w:rPr>
          <w:rFonts w:ascii="Calibri" w:hAnsi="Calibri" w:cs="Calibri"/>
          <w:sz w:val="24"/>
          <w:szCs w:val="24"/>
        </w:rPr>
        <w:t>očekáv</w:t>
      </w:r>
      <w:r w:rsidR="007448D8">
        <w:rPr>
          <w:rFonts w:ascii="Calibri" w:hAnsi="Calibri" w:cs="Calibri"/>
          <w:sz w:val="24"/>
          <w:szCs w:val="24"/>
        </w:rPr>
        <w:t>án</w:t>
      </w:r>
      <w:r w:rsidR="0044085B" w:rsidRPr="004F08C7">
        <w:rPr>
          <w:rFonts w:ascii="Calibri" w:hAnsi="Calibri" w:cs="Calibri"/>
          <w:sz w:val="24"/>
          <w:szCs w:val="24"/>
        </w:rPr>
        <w:t xml:space="preserve"> nulový nárůst, v pátém roce nárůst o 10 %, v šestém roce o 20 % atd. a až v 11. roce o 100 %). </w:t>
      </w:r>
    </w:p>
    <w:p w14:paraId="75AED087" w14:textId="29C3BF8D" w:rsidR="00EC069F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4.35 </w:t>
      </w:r>
      <w:r w:rsidR="007869E9" w:rsidRPr="004F08C7">
        <w:rPr>
          <w:rFonts w:ascii="Calibri" w:hAnsi="Calibri" w:cs="Calibri"/>
          <w:sz w:val="24"/>
          <w:szCs w:val="24"/>
        </w:rPr>
        <w:t>Rovněž v</w:t>
      </w:r>
      <w:r w:rsidR="00EC069F" w:rsidRPr="004F08C7">
        <w:rPr>
          <w:rFonts w:ascii="Calibri" w:hAnsi="Calibri" w:cs="Calibri"/>
          <w:sz w:val="24"/>
          <w:szCs w:val="24"/>
        </w:rPr>
        <w:t xml:space="preserve"> průběhu přípravy projektů </w:t>
      </w:r>
      <w:r w:rsidR="00EC069F" w:rsidRPr="004F08C7">
        <w:rPr>
          <w:rFonts w:ascii="Calibri" w:hAnsi="Calibri" w:cs="Calibri"/>
          <w:i/>
          <w:sz w:val="24"/>
          <w:szCs w:val="24"/>
        </w:rPr>
        <w:t>Lodní zdvihadlo Orlík</w:t>
      </w:r>
      <w:r w:rsidR="00EC069F" w:rsidRPr="004F08C7">
        <w:rPr>
          <w:rFonts w:ascii="Calibri" w:hAnsi="Calibri" w:cs="Calibri"/>
          <w:sz w:val="24"/>
          <w:szCs w:val="24"/>
        </w:rPr>
        <w:t xml:space="preserve"> a </w:t>
      </w:r>
      <w:r w:rsidR="00EC069F" w:rsidRPr="004F08C7">
        <w:rPr>
          <w:rFonts w:ascii="Calibri" w:hAnsi="Calibri" w:cs="Calibri"/>
          <w:i/>
          <w:sz w:val="24"/>
          <w:szCs w:val="24"/>
        </w:rPr>
        <w:t>Lodní zdvihadlo Slapy</w:t>
      </w:r>
      <w:r w:rsidR="00EC069F" w:rsidRPr="004F08C7">
        <w:rPr>
          <w:rFonts w:ascii="Calibri" w:hAnsi="Calibri" w:cs="Calibri"/>
          <w:sz w:val="24"/>
          <w:szCs w:val="24"/>
        </w:rPr>
        <w:t xml:space="preserve"> </w:t>
      </w:r>
      <w:r w:rsidR="007448D8">
        <w:rPr>
          <w:rFonts w:ascii="Calibri" w:hAnsi="Calibri" w:cs="Calibri"/>
          <w:sz w:val="24"/>
          <w:szCs w:val="24"/>
        </w:rPr>
        <w:t xml:space="preserve">zpracovalo </w:t>
      </w:r>
      <w:r w:rsidR="00EC069F" w:rsidRPr="004F08C7">
        <w:rPr>
          <w:rFonts w:ascii="Calibri" w:hAnsi="Calibri" w:cs="Calibri"/>
          <w:sz w:val="24"/>
          <w:szCs w:val="24"/>
        </w:rPr>
        <w:t>ŘVC a</w:t>
      </w:r>
      <w:r w:rsidR="009F7FA5">
        <w:rPr>
          <w:rFonts w:ascii="Calibri" w:hAnsi="Calibri" w:cs="Calibri"/>
          <w:sz w:val="24"/>
          <w:szCs w:val="24"/>
        </w:rPr>
        <w:t> </w:t>
      </w:r>
      <w:r w:rsidR="00EC069F" w:rsidRPr="004F08C7">
        <w:rPr>
          <w:rFonts w:ascii="Calibri" w:hAnsi="Calibri" w:cs="Calibri"/>
          <w:sz w:val="24"/>
          <w:szCs w:val="24"/>
        </w:rPr>
        <w:t xml:space="preserve">následně Povodí Vltavy několik hodnocení ekonomické efektivnosti, u nichž byl výrazný nárůst předpokládaných nákladů na realizaci projektů kompenzován postupným zvyšováním očekávaných přínosů, </w:t>
      </w:r>
      <w:r w:rsidR="007869E9" w:rsidRPr="004F08C7">
        <w:rPr>
          <w:rFonts w:ascii="Calibri" w:hAnsi="Calibri" w:cs="Calibri"/>
          <w:sz w:val="24"/>
          <w:szCs w:val="24"/>
        </w:rPr>
        <w:t>aby</w:t>
      </w:r>
      <w:r w:rsidR="00EC069F" w:rsidRPr="004F08C7">
        <w:rPr>
          <w:rFonts w:ascii="Calibri" w:hAnsi="Calibri" w:cs="Calibri"/>
          <w:sz w:val="24"/>
          <w:szCs w:val="24"/>
        </w:rPr>
        <w:t xml:space="preserve"> </w:t>
      </w:r>
      <w:r w:rsidR="00786F93" w:rsidRPr="004F08C7">
        <w:rPr>
          <w:rFonts w:ascii="Calibri" w:hAnsi="Calibri" w:cs="Calibri"/>
          <w:sz w:val="24"/>
          <w:szCs w:val="24"/>
        </w:rPr>
        <w:t>projekty</w:t>
      </w:r>
      <w:r w:rsidR="00EC069F" w:rsidRPr="004F08C7">
        <w:rPr>
          <w:rFonts w:ascii="Calibri" w:hAnsi="Calibri" w:cs="Calibri"/>
          <w:sz w:val="24"/>
          <w:szCs w:val="24"/>
        </w:rPr>
        <w:t xml:space="preserve"> zůstaly </w:t>
      </w:r>
      <w:r w:rsidR="00786F93" w:rsidRPr="004F08C7">
        <w:rPr>
          <w:rFonts w:ascii="Calibri" w:hAnsi="Calibri" w:cs="Calibri"/>
          <w:sz w:val="24"/>
          <w:szCs w:val="24"/>
        </w:rPr>
        <w:t>efektivní</w:t>
      </w:r>
      <w:r w:rsidR="00EC069F" w:rsidRPr="004F08C7">
        <w:rPr>
          <w:rFonts w:ascii="Calibri" w:hAnsi="Calibri" w:cs="Calibri"/>
          <w:sz w:val="24"/>
          <w:szCs w:val="24"/>
        </w:rPr>
        <w:t xml:space="preserve">. </w:t>
      </w:r>
      <w:r w:rsidR="007B7777" w:rsidRPr="004F08C7">
        <w:rPr>
          <w:rFonts w:ascii="Calibri" w:hAnsi="Calibri" w:cs="Calibri"/>
          <w:sz w:val="24"/>
          <w:szCs w:val="24"/>
        </w:rPr>
        <w:t>V</w:t>
      </w:r>
      <w:r w:rsidR="00786F93" w:rsidRPr="004F08C7">
        <w:rPr>
          <w:rFonts w:ascii="Calibri" w:hAnsi="Calibri" w:cs="Calibri"/>
          <w:sz w:val="24"/>
          <w:szCs w:val="24"/>
        </w:rPr>
        <w:t xml:space="preserve"> hodnocení ekonomické efektivnosti z března 2007 ŘVC </w:t>
      </w:r>
      <w:r w:rsidR="007448D8">
        <w:rPr>
          <w:rFonts w:ascii="Calibri" w:hAnsi="Calibri" w:cs="Calibri"/>
          <w:sz w:val="24"/>
          <w:szCs w:val="24"/>
        </w:rPr>
        <w:t>počítalo</w:t>
      </w:r>
      <w:r w:rsidR="00786F93" w:rsidRPr="004F08C7">
        <w:rPr>
          <w:rFonts w:ascii="Calibri" w:hAnsi="Calibri" w:cs="Calibri"/>
          <w:sz w:val="24"/>
          <w:szCs w:val="24"/>
        </w:rPr>
        <w:t xml:space="preserve"> s celkovými investičními náklady trojice projektů </w:t>
      </w:r>
      <w:r w:rsidR="00786F93" w:rsidRPr="004F08C7">
        <w:rPr>
          <w:rFonts w:ascii="Calibri" w:hAnsi="Calibri" w:cs="Calibri"/>
          <w:i/>
          <w:sz w:val="24"/>
          <w:szCs w:val="24"/>
        </w:rPr>
        <w:t>Lodní zdvihadlo Orlík</w:t>
      </w:r>
      <w:r w:rsidR="00786F93" w:rsidRPr="004F08C7">
        <w:rPr>
          <w:rFonts w:ascii="Calibri" w:hAnsi="Calibri" w:cs="Calibri"/>
          <w:sz w:val="24"/>
          <w:szCs w:val="24"/>
        </w:rPr>
        <w:t xml:space="preserve">, </w:t>
      </w:r>
      <w:r w:rsidR="00786F93" w:rsidRPr="004F08C7">
        <w:rPr>
          <w:rFonts w:ascii="Calibri" w:hAnsi="Calibri" w:cs="Calibri"/>
          <w:i/>
          <w:sz w:val="24"/>
          <w:szCs w:val="24"/>
        </w:rPr>
        <w:t>Lodní zdvihadlo Slapy</w:t>
      </w:r>
      <w:r w:rsidR="00786F93" w:rsidRPr="004F08C7">
        <w:rPr>
          <w:rFonts w:ascii="Calibri" w:hAnsi="Calibri" w:cs="Calibri"/>
          <w:sz w:val="24"/>
          <w:szCs w:val="24"/>
        </w:rPr>
        <w:t xml:space="preserve"> a </w:t>
      </w:r>
      <w:r w:rsidR="00786F93" w:rsidRPr="004F08C7">
        <w:rPr>
          <w:rFonts w:ascii="Calibri" w:hAnsi="Calibri" w:cs="Calibri"/>
          <w:i/>
          <w:sz w:val="24"/>
          <w:szCs w:val="24"/>
        </w:rPr>
        <w:t>Prodloužení plavební komory Kamýk nad Vltavou</w:t>
      </w:r>
      <w:r w:rsidR="00786F93" w:rsidRPr="004F08C7">
        <w:rPr>
          <w:rFonts w:ascii="Calibri" w:hAnsi="Calibri" w:cs="Calibri"/>
          <w:sz w:val="24"/>
          <w:szCs w:val="24"/>
        </w:rPr>
        <w:t xml:space="preserve"> ve výši 2 081,7 mil. Kč bez DPH. Výsledkem tohoto hodnocení byly kladné hodnoty ukazatelů ekonomické efektivnosti. Podle citlivostní analýzy měl soubor projektů přestat být efektivní při navýšení jejich nákladů o 5</w:t>
      </w:r>
      <w:r w:rsidR="007B7777" w:rsidRPr="004F08C7">
        <w:rPr>
          <w:rFonts w:ascii="Calibri" w:hAnsi="Calibri" w:cs="Calibri"/>
          <w:sz w:val="24"/>
          <w:szCs w:val="24"/>
        </w:rPr>
        <w:t>8</w:t>
      </w:r>
      <w:r w:rsidR="00786F93" w:rsidRPr="004F08C7">
        <w:rPr>
          <w:rFonts w:ascii="Calibri" w:hAnsi="Calibri" w:cs="Calibri"/>
          <w:sz w:val="24"/>
          <w:szCs w:val="24"/>
        </w:rPr>
        <w:t>,</w:t>
      </w:r>
      <w:r w:rsidR="007B7777" w:rsidRPr="004F08C7">
        <w:rPr>
          <w:rFonts w:ascii="Calibri" w:hAnsi="Calibri" w:cs="Calibri"/>
          <w:sz w:val="24"/>
          <w:szCs w:val="24"/>
        </w:rPr>
        <w:t>0</w:t>
      </w:r>
      <w:r w:rsidR="00786F93" w:rsidRPr="004F08C7">
        <w:rPr>
          <w:rFonts w:ascii="Calibri" w:hAnsi="Calibri" w:cs="Calibri"/>
          <w:sz w:val="24"/>
          <w:szCs w:val="24"/>
        </w:rPr>
        <w:t xml:space="preserve"> %. V</w:t>
      </w:r>
      <w:r w:rsidR="007869E9" w:rsidRPr="004F08C7">
        <w:rPr>
          <w:rFonts w:ascii="Calibri" w:hAnsi="Calibri" w:cs="Calibri"/>
          <w:sz w:val="24"/>
          <w:szCs w:val="24"/>
        </w:rPr>
        <w:t xml:space="preserve"> dalším </w:t>
      </w:r>
      <w:r w:rsidR="00786F93" w:rsidRPr="004F08C7">
        <w:rPr>
          <w:rFonts w:ascii="Calibri" w:hAnsi="Calibri" w:cs="Calibri"/>
          <w:sz w:val="24"/>
          <w:szCs w:val="24"/>
        </w:rPr>
        <w:t xml:space="preserve">hodnocení ekonomické efektivnosti projektu z ledna 2010 ŘVC celkové investiční náklady trojice projektů navýšilo na 3 152,9 mil. Kč, </w:t>
      </w:r>
      <w:r w:rsidR="00786F93" w:rsidRPr="004F08C7">
        <w:rPr>
          <w:rFonts w:ascii="Calibri" w:hAnsi="Calibri" w:cs="Calibri"/>
          <w:sz w:val="24"/>
          <w:szCs w:val="24"/>
        </w:rPr>
        <w:lastRenderedPageBreak/>
        <w:t>tj.</w:t>
      </w:r>
      <w:r w:rsidR="00CC482E">
        <w:rPr>
          <w:rFonts w:ascii="Calibri" w:hAnsi="Calibri" w:cs="Calibri"/>
          <w:sz w:val="24"/>
          <w:szCs w:val="24"/>
        </w:rPr>
        <w:t> </w:t>
      </w:r>
      <w:r w:rsidR="00786F93" w:rsidRPr="004F08C7">
        <w:rPr>
          <w:rFonts w:ascii="Calibri" w:hAnsi="Calibri" w:cs="Calibri"/>
          <w:sz w:val="24"/>
          <w:szCs w:val="24"/>
        </w:rPr>
        <w:t>o</w:t>
      </w:r>
      <w:r w:rsidR="009F7FA5">
        <w:rPr>
          <w:rFonts w:ascii="Calibri" w:hAnsi="Calibri" w:cs="Calibri"/>
          <w:sz w:val="24"/>
          <w:szCs w:val="24"/>
        </w:rPr>
        <w:t> </w:t>
      </w:r>
      <w:r w:rsidR="00786F93" w:rsidRPr="004F08C7">
        <w:rPr>
          <w:rFonts w:ascii="Calibri" w:hAnsi="Calibri" w:cs="Calibri"/>
          <w:sz w:val="24"/>
          <w:szCs w:val="24"/>
        </w:rPr>
        <w:t>51</w:t>
      </w:r>
      <w:r w:rsidR="00CC482E">
        <w:rPr>
          <w:rFonts w:ascii="Calibri" w:hAnsi="Calibri" w:cs="Calibri"/>
          <w:sz w:val="24"/>
          <w:szCs w:val="24"/>
        </w:rPr>
        <w:t> </w:t>
      </w:r>
      <w:r w:rsidR="00786F93" w:rsidRPr="004F08C7">
        <w:rPr>
          <w:rFonts w:ascii="Calibri" w:hAnsi="Calibri" w:cs="Calibri"/>
          <w:sz w:val="24"/>
          <w:szCs w:val="24"/>
        </w:rPr>
        <w:t>%. Výsledkem tohoto hodnocení opět byly kladné hodnoty ukazatelů ekonomické efektivnosti</w:t>
      </w:r>
      <w:r w:rsidR="007B7777" w:rsidRPr="004F08C7">
        <w:rPr>
          <w:rFonts w:ascii="Calibri" w:hAnsi="Calibri" w:cs="Calibri"/>
          <w:sz w:val="24"/>
          <w:szCs w:val="24"/>
        </w:rPr>
        <w:t>. Podle citlivostní analýzy měl soubor projektů přestat být efektivní při dalším navýšení jejich nákladů o 60,9 %</w:t>
      </w:r>
      <w:r w:rsidR="00786F93" w:rsidRPr="004F08C7">
        <w:rPr>
          <w:rFonts w:ascii="Calibri" w:hAnsi="Calibri" w:cs="Calibri"/>
          <w:sz w:val="24"/>
          <w:szCs w:val="24"/>
        </w:rPr>
        <w:t>.</w:t>
      </w:r>
      <w:r w:rsidR="007B7777" w:rsidRPr="004F08C7">
        <w:rPr>
          <w:rFonts w:ascii="Calibri" w:hAnsi="Calibri" w:cs="Calibri"/>
          <w:sz w:val="24"/>
          <w:szCs w:val="24"/>
        </w:rPr>
        <w:t xml:space="preserve"> V září 2019 Povodí Vltavy </w:t>
      </w:r>
      <w:r w:rsidR="002A16A6" w:rsidRPr="004F08C7">
        <w:rPr>
          <w:rFonts w:ascii="Calibri" w:hAnsi="Calibri" w:cs="Calibri"/>
          <w:sz w:val="24"/>
          <w:szCs w:val="24"/>
        </w:rPr>
        <w:t xml:space="preserve">po převzetí odpovědnosti za další přípravu projektu </w:t>
      </w:r>
      <w:r w:rsidR="002A16A6" w:rsidRPr="004F08C7">
        <w:rPr>
          <w:rFonts w:ascii="Calibri" w:hAnsi="Calibri" w:cs="Calibri"/>
          <w:i/>
          <w:sz w:val="24"/>
          <w:szCs w:val="24"/>
        </w:rPr>
        <w:t>Lodní zdvihadlo Orlík</w:t>
      </w:r>
      <w:r w:rsidR="002A16A6" w:rsidRPr="004F08C7">
        <w:rPr>
          <w:rFonts w:ascii="Calibri" w:hAnsi="Calibri" w:cs="Calibri"/>
          <w:sz w:val="24"/>
          <w:szCs w:val="24"/>
        </w:rPr>
        <w:t xml:space="preserve"> </w:t>
      </w:r>
      <w:r w:rsidR="007B7777" w:rsidRPr="004F08C7">
        <w:rPr>
          <w:rFonts w:ascii="Calibri" w:hAnsi="Calibri" w:cs="Calibri"/>
          <w:sz w:val="24"/>
          <w:szCs w:val="24"/>
        </w:rPr>
        <w:t xml:space="preserve">zpracovalo </w:t>
      </w:r>
      <w:r w:rsidR="002A16A6" w:rsidRPr="004F08C7">
        <w:rPr>
          <w:rFonts w:ascii="Calibri" w:hAnsi="Calibri" w:cs="Calibri"/>
          <w:sz w:val="24"/>
          <w:szCs w:val="24"/>
        </w:rPr>
        <w:t xml:space="preserve">jeho </w:t>
      </w:r>
      <w:r w:rsidR="007B7777" w:rsidRPr="004F08C7">
        <w:rPr>
          <w:rFonts w:ascii="Calibri" w:hAnsi="Calibri" w:cs="Calibri"/>
          <w:sz w:val="24"/>
          <w:szCs w:val="24"/>
        </w:rPr>
        <w:t>samostatné hodnocení ekonomické efektivnosti s předpokládanými náklady 1 236,4</w:t>
      </w:r>
      <w:r w:rsidR="0012492D">
        <w:rPr>
          <w:rFonts w:ascii="Calibri" w:hAnsi="Calibri" w:cs="Calibri"/>
          <w:sz w:val="24"/>
          <w:szCs w:val="24"/>
        </w:rPr>
        <w:t> </w:t>
      </w:r>
      <w:r w:rsidR="007B7777" w:rsidRPr="004F08C7">
        <w:rPr>
          <w:rFonts w:ascii="Calibri" w:hAnsi="Calibri" w:cs="Calibri"/>
          <w:sz w:val="24"/>
          <w:szCs w:val="24"/>
        </w:rPr>
        <w:t>mil.</w:t>
      </w:r>
      <w:r w:rsidR="0012492D">
        <w:rPr>
          <w:rFonts w:ascii="Calibri" w:hAnsi="Calibri" w:cs="Calibri"/>
          <w:sz w:val="24"/>
          <w:szCs w:val="24"/>
        </w:rPr>
        <w:t> </w:t>
      </w:r>
      <w:r w:rsidR="007B7777" w:rsidRPr="004F08C7">
        <w:rPr>
          <w:rFonts w:ascii="Calibri" w:hAnsi="Calibri" w:cs="Calibri"/>
          <w:sz w:val="24"/>
          <w:szCs w:val="24"/>
        </w:rPr>
        <w:t>Kč vč. DPH</w:t>
      </w:r>
      <w:r w:rsidR="001F701D" w:rsidRPr="004F08C7">
        <w:rPr>
          <w:rFonts w:ascii="Calibri" w:hAnsi="Calibri" w:cs="Calibri"/>
          <w:sz w:val="24"/>
          <w:szCs w:val="24"/>
        </w:rPr>
        <w:t xml:space="preserve">. </w:t>
      </w:r>
      <w:r w:rsidR="002A16A6" w:rsidRPr="004F08C7">
        <w:rPr>
          <w:rFonts w:ascii="Calibri" w:hAnsi="Calibri" w:cs="Calibri"/>
          <w:sz w:val="24"/>
          <w:szCs w:val="24"/>
        </w:rPr>
        <w:t>Jeho výsledkem byly kladné hodnoty ukazatelů ekonomické efektivnosti. Podle citlivostní analýzy měl projekt přestat být efektivní při navýšení jeho nákladů o pouhých 8,0 %. Následně Povodí Vltavy navýšilo předpokládané náklady projektu na 1</w:t>
      </w:r>
      <w:r w:rsidR="007869E9" w:rsidRPr="004F08C7">
        <w:rPr>
          <w:rFonts w:ascii="Calibri" w:hAnsi="Calibri" w:cs="Calibri"/>
          <w:sz w:val="24"/>
          <w:szCs w:val="24"/>
        </w:rPr>
        <w:t> </w:t>
      </w:r>
      <w:r w:rsidR="002A16A6" w:rsidRPr="004F08C7">
        <w:rPr>
          <w:rFonts w:ascii="Calibri" w:hAnsi="Calibri" w:cs="Calibri"/>
          <w:sz w:val="24"/>
          <w:szCs w:val="24"/>
        </w:rPr>
        <w:t>970</w:t>
      </w:r>
      <w:r w:rsidR="007869E9" w:rsidRPr="004F08C7">
        <w:rPr>
          <w:rFonts w:ascii="Calibri" w:hAnsi="Calibri" w:cs="Calibri"/>
          <w:sz w:val="24"/>
          <w:szCs w:val="24"/>
        </w:rPr>
        <w:t>,8</w:t>
      </w:r>
      <w:r w:rsidR="002A16A6" w:rsidRPr="004F08C7">
        <w:rPr>
          <w:rFonts w:ascii="Calibri" w:hAnsi="Calibri" w:cs="Calibri"/>
          <w:sz w:val="24"/>
          <w:szCs w:val="24"/>
        </w:rPr>
        <w:t> </w:t>
      </w:r>
      <w:r w:rsidR="007869E9" w:rsidRPr="004F08C7">
        <w:rPr>
          <w:rFonts w:ascii="Calibri" w:hAnsi="Calibri" w:cs="Calibri"/>
          <w:sz w:val="24"/>
          <w:szCs w:val="24"/>
        </w:rPr>
        <w:t>mil.</w:t>
      </w:r>
      <w:r w:rsidR="002A16A6" w:rsidRPr="004F08C7">
        <w:rPr>
          <w:rFonts w:ascii="Calibri" w:hAnsi="Calibri" w:cs="Calibri"/>
          <w:sz w:val="24"/>
          <w:szCs w:val="24"/>
        </w:rPr>
        <w:t xml:space="preserve"> Kč vč. DPH, tj. o 59 %. S těmito náklady by podle výsledků předchozího hodnocení již nemělo být efektivní projekt realizovat.</w:t>
      </w:r>
      <w:r w:rsidR="007869E9" w:rsidRPr="004F08C7">
        <w:rPr>
          <w:rFonts w:ascii="Calibri" w:hAnsi="Calibri" w:cs="Calibri"/>
          <w:sz w:val="24"/>
          <w:szCs w:val="24"/>
        </w:rPr>
        <w:t xml:space="preserve"> Příprava projektu přesto pokračuje (viz 4.29).</w:t>
      </w:r>
    </w:p>
    <w:p w14:paraId="4E82C40D" w14:textId="1DA34E43" w:rsidR="00507061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4.36 </w:t>
      </w:r>
      <w:r w:rsidR="007C7BAF" w:rsidRPr="004F08C7">
        <w:rPr>
          <w:rFonts w:ascii="Calibri" w:hAnsi="Calibri" w:cs="Calibri"/>
          <w:sz w:val="24"/>
          <w:szCs w:val="24"/>
        </w:rPr>
        <w:t xml:space="preserve">V hodnocení ekonomické efektivnosti projektu </w:t>
      </w:r>
      <w:r w:rsidR="007C7BAF" w:rsidRPr="004F08C7">
        <w:rPr>
          <w:rFonts w:ascii="Calibri" w:hAnsi="Calibri" w:cs="Calibri"/>
          <w:i/>
          <w:sz w:val="24"/>
          <w:szCs w:val="24"/>
        </w:rPr>
        <w:t>Plavební komora Praha – Staré město</w:t>
      </w:r>
      <w:r w:rsidR="007C7BAF" w:rsidRPr="004F08C7">
        <w:rPr>
          <w:rFonts w:ascii="Calibri" w:hAnsi="Calibri" w:cs="Calibri"/>
          <w:sz w:val="24"/>
          <w:szCs w:val="24"/>
        </w:rPr>
        <w:t xml:space="preserve"> z</w:t>
      </w:r>
      <w:r w:rsidR="009F7FA5">
        <w:rPr>
          <w:rFonts w:ascii="Calibri" w:hAnsi="Calibri" w:cs="Calibri"/>
          <w:sz w:val="24"/>
          <w:szCs w:val="24"/>
        </w:rPr>
        <w:t> </w:t>
      </w:r>
      <w:r w:rsidR="007C7BAF" w:rsidRPr="004F08C7">
        <w:rPr>
          <w:rFonts w:ascii="Calibri" w:hAnsi="Calibri" w:cs="Calibri"/>
          <w:sz w:val="24"/>
          <w:szCs w:val="24"/>
        </w:rPr>
        <w:t xml:space="preserve">června 2016 ŘVC </w:t>
      </w:r>
      <w:r w:rsidR="00073C16">
        <w:rPr>
          <w:rFonts w:ascii="Calibri" w:hAnsi="Calibri" w:cs="Calibri"/>
          <w:sz w:val="24"/>
          <w:szCs w:val="24"/>
        </w:rPr>
        <w:t>počítalo</w:t>
      </w:r>
      <w:r w:rsidR="007C7BAF" w:rsidRPr="004F08C7">
        <w:rPr>
          <w:rFonts w:ascii="Calibri" w:hAnsi="Calibri" w:cs="Calibri"/>
          <w:sz w:val="24"/>
          <w:szCs w:val="24"/>
        </w:rPr>
        <w:t xml:space="preserve"> s celkovými investičními náklady ve výši 537,2 mil. Kč bez DPH. Hodnocení zpracovalo pro „minimalistickou“ variantu </w:t>
      </w:r>
      <w:r w:rsidR="007C7BAF" w:rsidRPr="004F08C7">
        <w:rPr>
          <w:rFonts w:ascii="Calibri" w:hAnsi="Calibri" w:cs="Calibri"/>
          <w:bCs/>
          <w:sz w:val="24"/>
          <w:szCs w:val="24"/>
        </w:rPr>
        <w:t xml:space="preserve">bez rozvoje na labsko-vltavské vodní cestě (mj. bez realizace projektu </w:t>
      </w:r>
      <w:r w:rsidR="007C7BAF" w:rsidRPr="004F08C7">
        <w:rPr>
          <w:rFonts w:ascii="Calibri" w:hAnsi="Calibri" w:cs="Calibri"/>
          <w:bCs/>
          <w:i/>
          <w:sz w:val="24"/>
          <w:szCs w:val="24"/>
        </w:rPr>
        <w:t>Plavební stupeň Děčín</w:t>
      </w:r>
      <w:r w:rsidR="007C7BAF" w:rsidRPr="004F08C7">
        <w:rPr>
          <w:rFonts w:ascii="Calibri" w:hAnsi="Calibri" w:cs="Calibri"/>
          <w:bCs/>
          <w:sz w:val="24"/>
          <w:szCs w:val="24"/>
        </w:rPr>
        <w:t xml:space="preserve">) a „maximalistickou“ variantu uvažující s postupným dokončením všech rozvojových projektů na Labi a Vltavě. </w:t>
      </w:r>
      <w:r w:rsidR="007C7BAF" w:rsidRPr="004F08C7">
        <w:rPr>
          <w:rFonts w:ascii="Calibri" w:hAnsi="Calibri" w:cs="Calibri"/>
          <w:sz w:val="24"/>
          <w:szCs w:val="24"/>
        </w:rPr>
        <w:t>Výsledkem hodnocení byly kladné hodnoty ukazatelů ekonomické efektivnosti. Po převzetí odpovědnosti za další přípravu projektu Povodí Vltavy v září 2018 zpracovalo nová dvě hodnocení ekonomické efektivnosti projekt</w:t>
      </w:r>
      <w:r w:rsidR="00091A93" w:rsidRPr="004F08C7">
        <w:rPr>
          <w:rFonts w:ascii="Calibri" w:hAnsi="Calibri" w:cs="Calibri"/>
          <w:sz w:val="24"/>
          <w:szCs w:val="24"/>
        </w:rPr>
        <w:t xml:space="preserve">u. Přestože v nich </w:t>
      </w:r>
      <w:r w:rsidR="00994121">
        <w:rPr>
          <w:rFonts w:ascii="Calibri" w:hAnsi="Calibri" w:cs="Calibri"/>
          <w:sz w:val="24"/>
          <w:szCs w:val="24"/>
        </w:rPr>
        <w:t>předpokládalo</w:t>
      </w:r>
      <w:r w:rsidR="00091A93" w:rsidRPr="004F08C7">
        <w:rPr>
          <w:rFonts w:ascii="Calibri" w:hAnsi="Calibri" w:cs="Calibri"/>
          <w:sz w:val="24"/>
          <w:szCs w:val="24"/>
        </w:rPr>
        <w:t xml:space="preserve"> </w:t>
      </w:r>
      <w:r w:rsidR="006C0DA8" w:rsidRPr="004F08C7">
        <w:rPr>
          <w:rFonts w:ascii="Calibri" w:hAnsi="Calibri" w:cs="Calibri"/>
          <w:sz w:val="24"/>
          <w:szCs w:val="24"/>
        </w:rPr>
        <w:t xml:space="preserve">nižší </w:t>
      </w:r>
      <w:r w:rsidR="00091A93" w:rsidRPr="004F08C7">
        <w:rPr>
          <w:rFonts w:ascii="Calibri" w:hAnsi="Calibri" w:cs="Calibri"/>
          <w:sz w:val="24"/>
          <w:szCs w:val="24"/>
        </w:rPr>
        <w:t>celkov</w:t>
      </w:r>
      <w:r w:rsidR="00994121">
        <w:rPr>
          <w:rFonts w:ascii="Calibri" w:hAnsi="Calibri" w:cs="Calibri"/>
          <w:sz w:val="24"/>
          <w:szCs w:val="24"/>
        </w:rPr>
        <w:t>é</w:t>
      </w:r>
      <w:r w:rsidR="00091A93" w:rsidRPr="004F08C7">
        <w:rPr>
          <w:rFonts w:ascii="Calibri" w:hAnsi="Calibri" w:cs="Calibri"/>
          <w:sz w:val="24"/>
          <w:szCs w:val="24"/>
        </w:rPr>
        <w:t xml:space="preserve"> investiční náklady ve výši 491,5 mil. Kč bez DPH, resp. 490,6 mil. Kč bez DPH, výsledkem obou těchto hodnocení byly výrazně horší ukazatele ekonomické efektivnosti. Všechna tato hodnocení přitom vycházela z odhadů a předpokladů, jejichž objektivnost nelze ověřit.</w:t>
      </w:r>
    </w:p>
    <w:p w14:paraId="09A80E0D" w14:textId="77777777" w:rsidR="0044085B" w:rsidRPr="004F08C7" w:rsidRDefault="003722CF" w:rsidP="004F08C7">
      <w:pPr>
        <w:spacing w:after="120"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4F08C7">
        <w:rPr>
          <w:rFonts w:ascii="Calibri" w:hAnsi="Calibri" w:cs="Calibri"/>
          <w:b/>
          <w:sz w:val="24"/>
          <w:szCs w:val="24"/>
        </w:rPr>
        <w:t xml:space="preserve">MD </w:t>
      </w:r>
      <w:r w:rsidR="008A6BA7" w:rsidRPr="004F08C7">
        <w:rPr>
          <w:rFonts w:ascii="Calibri" w:hAnsi="Calibri" w:cs="Calibri"/>
          <w:b/>
          <w:sz w:val="24"/>
          <w:szCs w:val="24"/>
        </w:rPr>
        <w:t>při rozhodování o rozvoji Baťova kanálu postupovalo netransparentně</w:t>
      </w:r>
    </w:p>
    <w:p w14:paraId="0F2FCEB6" w14:textId="1CFE2068" w:rsidR="005E4A54" w:rsidRPr="004F08C7" w:rsidRDefault="000C36CC" w:rsidP="004F08C7">
      <w:pPr>
        <w:pStyle w:val="Odstavecseseznamem"/>
        <w:spacing w:after="120" w:line="252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4.37 </w:t>
      </w:r>
      <w:r w:rsidR="008A6BA7" w:rsidRPr="004F08C7">
        <w:rPr>
          <w:rFonts w:ascii="Calibri" w:hAnsi="Calibri" w:cs="Calibri"/>
          <w:sz w:val="24"/>
          <w:szCs w:val="24"/>
        </w:rPr>
        <w:t xml:space="preserve">Výsledkem </w:t>
      </w:r>
      <w:r w:rsidR="008A6BA7" w:rsidRPr="004F08C7">
        <w:rPr>
          <w:rFonts w:ascii="Calibri" w:hAnsi="Calibri" w:cs="Calibri"/>
          <w:i/>
          <w:sz w:val="24"/>
          <w:szCs w:val="24"/>
        </w:rPr>
        <w:t>Hodnocení ekonomické efektivnosti rekreační plavby na Baťově kanále</w:t>
      </w:r>
      <w:r w:rsidR="008A6BA7" w:rsidRPr="004F08C7">
        <w:rPr>
          <w:rFonts w:ascii="Calibri" w:hAnsi="Calibri" w:cs="Calibri"/>
          <w:sz w:val="24"/>
          <w:szCs w:val="24"/>
        </w:rPr>
        <w:t xml:space="preserve"> z června 2019</w:t>
      </w:r>
      <w:r w:rsidR="00404A8F" w:rsidRPr="004F08C7">
        <w:rPr>
          <w:rFonts w:ascii="Calibri" w:hAnsi="Calibri" w:cs="Calibri"/>
          <w:sz w:val="24"/>
          <w:szCs w:val="24"/>
        </w:rPr>
        <w:t xml:space="preserve"> (viz 4.15)</w:t>
      </w:r>
      <w:r w:rsidR="008A6BA7" w:rsidRPr="004F08C7">
        <w:rPr>
          <w:rFonts w:ascii="Calibri" w:hAnsi="Calibri" w:cs="Calibri"/>
          <w:sz w:val="24"/>
          <w:szCs w:val="24"/>
        </w:rPr>
        <w:t xml:space="preserve"> byl návrh čtyř variant dalšího rozvoje. Jako nejefektivnější z nich byla vyhodnocena varianta č. 4 s celkovými investičními náklady 36 mil. Kč spočívající pouze v dokončení sítě přístavišť bez výstavby přístavů a plavebních komor Bělov a Rohatec. Varianta měla nejvyšší efektivnost a zároveň nejnižší citlivost na změnu kritických proměnných (je efektivní až do navýšení nákladů o 74</w:t>
      </w:r>
      <w:r w:rsidR="007869E9" w:rsidRPr="004F08C7">
        <w:rPr>
          <w:rFonts w:ascii="Calibri" w:hAnsi="Calibri" w:cs="Calibri"/>
          <w:sz w:val="24"/>
          <w:szCs w:val="24"/>
        </w:rPr>
        <w:t>,</w:t>
      </w:r>
      <w:r w:rsidR="008A6BA7" w:rsidRPr="004F08C7">
        <w:rPr>
          <w:rFonts w:ascii="Calibri" w:hAnsi="Calibri" w:cs="Calibri"/>
          <w:sz w:val="24"/>
          <w:szCs w:val="24"/>
        </w:rPr>
        <w:t xml:space="preserve">83 % </w:t>
      </w:r>
      <w:r w:rsidR="00404A8F" w:rsidRPr="004F08C7">
        <w:rPr>
          <w:rFonts w:ascii="Calibri" w:hAnsi="Calibri" w:cs="Calibri"/>
          <w:sz w:val="24"/>
          <w:szCs w:val="24"/>
        </w:rPr>
        <w:t>nebo</w:t>
      </w:r>
      <w:r w:rsidR="008A6BA7" w:rsidRPr="004F08C7">
        <w:rPr>
          <w:rFonts w:ascii="Calibri" w:hAnsi="Calibri" w:cs="Calibri"/>
          <w:sz w:val="24"/>
          <w:szCs w:val="24"/>
        </w:rPr>
        <w:t xml:space="preserve"> snížení poptávky o 36,31 % oproti předpokladům). Oproti tomu nejnákladnější varianta č. 1 </w:t>
      </w:r>
      <w:r w:rsidR="00073C16">
        <w:rPr>
          <w:rFonts w:ascii="Calibri" w:hAnsi="Calibri" w:cs="Calibri"/>
          <w:sz w:val="24"/>
          <w:szCs w:val="24"/>
        </w:rPr>
        <w:t>počítala</w:t>
      </w:r>
      <w:r w:rsidR="008A6BA7" w:rsidRPr="004F08C7">
        <w:rPr>
          <w:rFonts w:ascii="Calibri" w:hAnsi="Calibri" w:cs="Calibri"/>
          <w:sz w:val="24"/>
          <w:szCs w:val="24"/>
        </w:rPr>
        <w:t xml:space="preserve"> s celkovými investičními náklady 1</w:t>
      </w:r>
      <w:r w:rsidR="007869E9" w:rsidRPr="004F08C7">
        <w:rPr>
          <w:rFonts w:ascii="Calibri" w:hAnsi="Calibri" w:cs="Calibri"/>
          <w:sz w:val="24"/>
          <w:szCs w:val="24"/>
        </w:rPr>
        <w:t> </w:t>
      </w:r>
      <w:r w:rsidR="008A6BA7" w:rsidRPr="004F08C7">
        <w:rPr>
          <w:rFonts w:ascii="Calibri" w:hAnsi="Calibri" w:cs="Calibri"/>
          <w:sz w:val="24"/>
          <w:szCs w:val="24"/>
        </w:rPr>
        <w:t>194</w:t>
      </w:r>
      <w:r w:rsidR="007869E9" w:rsidRPr="004F08C7">
        <w:rPr>
          <w:rFonts w:ascii="Calibri" w:hAnsi="Calibri" w:cs="Calibri"/>
          <w:sz w:val="24"/>
          <w:szCs w:val="24"/>
        </w:rPr>
        <w:t>,0</w:t>
      </w:r>
      <w:r w:rsidR="008A6BA7" w:rsidRPr="004F08C7">
        <w:rPr>
          <w:rFonts w:ascii="Calibri" w:hAnsi="Calibri" w:cs="Calibri"/>
          <w:sz w:val="24"/>
          <w:szCs w:val="24"/>
        </w:rPr>
        <w:t xml:space="preserve"> mil. Kč, měla</w:t>
      </w:r>
      <w:r w:rsidR="00073C16">
        <w:rPr>
          <w:rFonts w:ascii="Calibri" w:hAnsi="Calibri" w:cs="Calibri"/>
          <w:sz w:val="24"/>
          <w:szCs w:val="24"/>
        </w:rPr>
        <w:t xml:space="preserve"> </w:t>
      </w:r>
      <w:r w:rsidR="008A6BA7" w:rsidRPr="004F08C7">
        <w:rPr>
          <w:rFonts w:ascii="Calibri" w:hAnsi="Calibri" w:cs="Calibri"/>
          <w:sz w:val="24"/>
          <w:szCs w:val="24"/>
        </w:rPr>
        <w:t xml:space="preserve">nejnižší efektivnost a byla nejrizikovější (přestává být efektivní při navýšení nákladů o 28,76 % </w:t>
      </w:r>
      <w:r w:rsidR="00404A8F" w:rsidRPr="004F08C7">
        <w:rPr>
          <w:rFonts w:ascii="Calibri" w:hAnsi="Calibri" w:cs="Calibri"/>
          <w:sz w:val="24"/>
          <w:szCs w:val="24"/>
        </w:rPr>
        <w:t>nebo</w:t>
      </w:r>
      <w:r w:rsidR="008A6BA7" w:rsidRPr="004F08C7">
        <w:rPr>
          <w:rFonts w:ascii="Calibri" w:hAnsi="Calibri" w:cs="Calibri"/>
          <w:sz w:val="24"/>
          <w:szCs w:val="24"/>
        </w:rPr>
        <w:t xml:space="preserve"> při snížení poptávky o 21,03 %). V závěru </w:t>
      </w:r>
      <w:r w:rsidR="00404A8F" w:rsidRPr="004F08C7">
        <w:rPr>
          <w:rFonts w:ascii="Calibri" w:hAnsi="Calibri" w:cs="Calibri"/>
          <w:sz w:val="24"/>
          <w:szCs w:val="24"/>
        </w:rPr>
        <w:t>hodnocení</w:t>
      </w:r>
      <w:r w:rsidR="008A6BA7" w:rsidRPr="004F08C7">
        <w:rPr>
          <w:rFonts w:ascii="Calibri" w:hAnsi="Calibri" w:cs="Calibri"/>
          <w:sz w:val="24"/>
          <w:szCs w:val="24"/>
        </w:rPr>
        <w:t xml:space="preserve"> přitom </w:t>
      </w:r>
      <w:r w:rsidR="005E4A54" w:rsidRPr="004F08C7">
        <w:rPr>
          <w:rFonts w:ascii="Calibri" w:hAnsi="Calibri" w:cs="Calibri"/>
          <w:sz w:val="24"/>
          <w:szCs w:val="24"/>
        </w:rPr>
        <w:t xml:space="preserve">byla za nejvhodnější variantu </w:t>
      </w:r>
      <w:r w:rsidR="00DD481E" w:rsidRPr="004F08C7">
        <w:rPr>
          <w:rFonts w:ascii="Calibri" w:hAnsi="Calibri" w:cs="Calibri"/>
          <w:sz w:val="24"/>
          <w:szCs w:val="24"/>
        </w:rPr>
        <w:t>o</w:t>
      </w:r>
      <w:r w:rsidR="005E4A54" w:rsidRPr="004F08C7">
        <w:rPr>
          <w:rFonts w:ascii="Calibri" w:hAnsi="Calibri" w:cs="Calibri"/>
          <w:sz w:val="24"/>
          <w:szCs w:val="24"/>
        </w:rPr>
        <w:t xml:space="preserve">značena </w:t>
      </w:r>
      <w:r w:rsidR="006C0DA8" w:rsidRPr="004F08C7">
        <w:rPr>
          <w:rFonts w:ascii="Calibri" w:hAnsi="Calibri" w:cs="Calibri"/>
          <w:sz w:val="24"/>
          <w:szCs w:val="24"/>
        </w:rPr>
        <w:t xml:space="preserve">nejméně efektivní </w:t>
      </w:r>
      <w:r w:rsidR="005E4A54" w:rsidRPr="004F08C7">
        <w:rPr>
          <w:rFonts w:ascii="Calibri" w:hAnsi="Calibri" w:cs="Calibri"/>
          <w:sz w:val="24"/>
          <w:szCs w:val="24"/>
        </w:rPr>
        <w:t xml:space="preserve">varianta č. </w:t>
      </w:r>
      <w:r w:rsidR="00DD481E" w:rsidRPr="004F08C7">
        <w:rPr>
          <w:rFonts w:ascii="Calibri" w:hAnsi="Calibri" w:cs="Calibri"/>
          <w:sz w:val="24"/>
          <w:szCs w:val="24"/>
        </w:rPr>
        <w:t>1</w:t>
      </w:r>
      <w:r w:rsidR="005E4A54" w:rsidRPr="004F08C7">
        <w:rPr>
          <w:rFonts w:ascii="Calibri" w:hAnsi="Calibri" w:cs="Calibri"/>
          <w:sz w:val="24"/>
          <w:szCs w:val="24"/>
        </w:rPr>
        <w:t xml:space="preserve"> </w:t>
      </w:r>
      <w:r w:rsidR="008A6BA7" w:rsidRPr="004F08C7">
        <w:rPr>
          <w:rFonts w:ascii="Calibri" w:hAnsi="Calibri" w:cs="Calibri"/>
          <w:sz w:val="24"/>
          <w:szCs w:val="24"/>
        </w:rPr>
        <w:t>s odvoláním na „</w:t>
      </w:r>
      <w:r w:rsidR="008A6BA7" w:rsidRPr="004F08C7">
        <w:rPr>
          <w:rFonts w:ascii="Calibri" w:hAnsi="Calibri" w:cs="Calibri"/>
          <w:i/>
          <w:sz w:val="24"/>
          <w:szCs w:val="24"/>
        </w:rPr>
        <w:t>dosažení vytyčených cílů v rozvoji Baťova kanálu</w:t>
      </w:r>
      <w:r w:rsidR="008A6BA7" w:rsidRPr="004F08C7">
        <w:rPr>
          <w:rFonts w:ascii="Calibri" w:hAnsi="Calibri" w:cs="Calibri"/>
          <w:sz w:val="24"/>
          <w:szCs w:val="24"/>
        </w:rPr>
        <w:t xml:space="preserve">“, zejména posílení turistického ruchu. </w:t>
      </w:r>
    </w:p>
    <w:p w14:paraId="3819C242" w14:textId="31F688C0" w:rsidR="005E4A54" w:rsidRPr="004F08C7" w:rsidRDefault="000C36CC" w:rsidP="004F08C7">
      <w:pPr>
        <w:pStyle w:val="Odstavecseseznamem"/>
        <w:spacing w:after="120" w:line="252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 xml:space="preserve">4.38 </w:t>
      </w:r>
      <w:r w:rsidR="005E4A54" w:rsidRPr="004F08C7">
        <w:rPr>
          <w:rFonts w:ascii="Calibri" w:hAnsi="Calibri" w:cs="Calibri"/>
          <w:sz w:val="24"/>
          <w:szCs w:val="24"/>
        </w:rPr>
        <w:t xml:space="preserve">MD následně </w:t>
      </w:r>
      <w:r w:rsidR="007869E9" w:rsidRPr="004F08C7">
        <w:rPr>
          <w:rFonts w:ascii="Calibri" w:hAnsi="Calibri" w:cs="Calibri"/>
          <w:sz w:val="24"/>
          <w:szCs w:val="24"/>
        </w:rPr>
        <w:t xml:space="preserve">nejméně efektivní </w:t>
      </w:r>
      <w:r w:rsidR="005E4A54" w:rsidRPr="004F08C7">
        <w:rPr>
          <w:rFonts w:ascii="Calibri" w:hAnsi="Calibri" w:cs="Calibri"/>
          <w:sz w:val="24"/>
          <w:szCs w:val="24"/>
        </w:rPr>
        <w:t xml:space="preserve">variantu č. </w:t>
      </w:r>
      <w:r w:rsidR="007869E9" w:rsidRPr="004F08C7">
        <w:rPr>
          <w:rFonts w:ascii="Calibri" w:hAnsi="Calibri" w:cs="Calibri"/>
          <w:sz w:val="24"/>
          <w:szCs w:val="24"/>
        </w:rPr>
        <w:t>1</w:t>
      </w:r>
      <w:r w:rsidR="005E4A54" w:rsidRPr="004F08C7">
        <w:rPr>
          <w:rFonts w:ascii="Calibri" w:hAnsi="Calibri" w:cs="Calibri"/>
          <w:sz w:val="24"/>
          <w:szCs w:val="24"/>
        </w:rPr>
        <w:t xml:space="preserve"> schválilo „</w:t>
      </w:r>
      <w:r w:rsidR="008A6BA7" w:rsidRPr="004F08C7">
        <w:rPr>
          <w:rFonts w:ascii="Calibri" w:hAnsi="Calibri" w:cs="Calibri"/>
          <w:i/>
          <w:sz w:val="24"/>
          <w:szCs w:val="24"/>
        </w:rPr>
        <w:t>s ohledem na splnění všech stanovených cílů</w:t>
      </w:r>
      <w:r w:rsidR="008A6BA7" w:rsidRPr="004F08C7">
        <w:rPr>
          <w:rFonts w:ascii="Calibri" w:hAnsi="Calibri" w:cs="Calibri"/>
          <w:sz w:val="24"/>
          <w:szCs w:val="24"/>
        </w:rPr>
        <w:t xml:space="preserve">“. </w:t>
      </w:r>
      <w:r w:rsidR="005E4A54" w:rsidRPr="004F08C7">
        <w:rPr>
          <w:rFonts w:ascii="Calibri" w:hAnsi="Calibri" w:cs="Calibri"/>
          <w:sz w:val="24"/>
          <w:szCs w:val="24"/>
        </w:rPr>
        <w:t>N</w:t>
      </w:r>
      <w:r w:rsidR="002413D8" w:rsidRPr="004F08C7">
        <w:rPr>
          <w:rFonts w:ascii="Calibri" w:hAnsi="Calibri" w:cs="Calibri"/>
          <w:sz w:val="24"/>
          <w:szCs w:val="24"/>
        </w:rPr>
        <w:t xml:space="preserve">epředložilo </w:t>
      </w:r>
      <w:r w:rsidR="005E4A54" w:rsidRPr="004F08C7">
        <w:rPr>
          <w:rFonts w:ascii="Calibri" w:hAnsi="Calibri" w:cs="Calibri"/>
          <w:sz w:val="24"/>
          <w:szCs w:val="24"/>
        </w:rPr>
        <w:t xml:space="preserve">ale </w:t>
      </w:r>
      <w:r w:rsidR="002413D8" w:rsidRPr="004F08C7">
        <w:rPr>
          <w:rFonts w:ascii="Calibri" w:hAnsi="Calibri" w:cs="Calibri"/>
          <w:sz w:val="24"/>
          <w:szCs w:val="24"/>
        </w:rPr>
        <w:t>žádný doklad, v němž by byly cíle pro</w:t>
      </w:r>
      <w:r w:rsidR="00073C16">
        <w:rPr>
          <w:rFonts w:ascii="Calibri" w:hAnsi="Calibri" w:cs="Calibri"/>
          <w:sz w:val="24"/>
          <w:szCs w:val="24"/>
        </w:rPr>
        <w:t xml:space="preserve"> </w:t>
      </w:r>
      <w:r w:rsidR="002413D8" w:rsidRPr="004F08C7">
        <w:rPr>
          <w:rFonts w:ascii="Calibri" w:hAnsi="Calibri" w:cs="Calibri"/>
          <w:sz w:val="24"/>
          <w:szCs w:val="24"/>
        </w:rPr>
        <w:t xml:space="preserve">rozvoj Baťova kanálu </w:t>
      </w:r>
      <w:r w:rsidR="005E4A54" w:rsidRPr="004F08C7">
        <w:rPr>
          <w:rFonts w:ascii="Calibri" w:hAnsi="Calibri" w:cs="Calibri"/>
          <w:sz w:val="24"/>
          <w:szCs w:val="24"/>
        </w:rPr>
        <w:t xml:space="preserve">konkrétně stanoveny </w:t>
      </w:r>
      <w:r w:rsidR="002413D8" w:rsidRPr="004F08C7">
        <w:rPr>
          <w:rFonts w:ascii="Calibri" w:hAnsi="Calibri" w:cs="Calibri"/>
          <w:sz w:val="24"/>
          <w:szCs w:val="24"/>
        </w:rPr>
        <w:t xml:space="preserve">a </w:t>
      </w:r>
      <w:r w:rsidR="005E4A54" w:rsidRPr="004F08C7">
        <w:rPr>
          <w:rFonts w:ascii="Calibri" w:hAnsi="Calibri" w:cs="Calibri"/>
          <w:sz w:val="24"/>
          <w:szCs w:val="24"/>
        </w:rPr>
        <w:t>k těmto cílům uvedlo</w:t>
      </w:r>
      <w:r w:rsidR="002413D8" w:rsidRPr="004F08C7">
        <w:rPr>
          <w:rFonts w:ascii="Calibri" w:hAnsi="Calibri" w:cs="Calibri"/>
          <w:sz w:val="24"/>
          <w:szCs w:val="24"/>
        </w:rPr>
        <w:t xml:space="preserve"> jen obecné a nekonkrétní informace. Postup, kdy MD o přípravě a realizaci projektů na Baťově kanálu s celkovými investičními náklady 1</w:t>
      </w:r>
      <w:r w:rsidR="007869E9" w:rsidRPr="004F08C7">
        <w:rPr>
          <w:rFonts w:ascii="Calibri" w:hAnsi="Calibri" w:cs="Calibri"/>
          <w:sz w:val="24"/>
          <w:szCs w:val="24"/>
        </w:rPr>
        <w:t> </w:t>
      </w:r>
      <w:r w:rsidR="002413D8" w:rsidRPr="004F08C7">
        <w:rPr>
          <w:rFonts w:ascii="Calibri" w:hAnsi="Calibri" w:cs="Calibri"/>
          <w:sz w:val="24"/>
          <w:szCs w:val="24"/>
        </w:rPr>
        <w:t>194</w:t>
      </w:r>
      <w:r w:rsidR="007869E9" w:rsidRPr="004F08C7">
        <w:rPr>
          <w:rFonts w:ascii="Calibri" w:hAnsi="Calibri" w:cs="Calibri"/>
          <w:sz w:val="24"/>
          <w:szCs w:val="24"/>
        </w:rPr>
        <w:t>,0</w:t>
      </w:r>
      <w:r w:rsidR="009F7FA5">
        <w:rPr>
          <w:rFonts w:ascii="Calibri" w:hAnsi="Calibri" w:cs="Calibri"/>
          <w:sz w:val="24"/>
          <w:szCs w:val="24"/>
        </w:rPr>
        <w:t> </w:t>
      </w:r>
      <w:r w:rsidR="002413D8" w:rsidRPr="004F08C7">
        <w:rPr>
          <w:rFonts w:ascii="Calibri" w:hAnsi="Calibri" w:cs="Calibri"/>
          <w:sz w:val="24"/>
          <w:szCs w:val="24"/>
        </w:rPr>
        <w:t>mil.</w:t>
      </w:r>
      <w:r w:rsidR="009F7FA5">
        <w:rPr>
          <w:rFonts w:ascii="Calibri" w:hAnsi="Calibri" w:cs="Calibri"/>
          <w:sz w:val="24"/>
          <w:szCs w:val="24"/>
        </w:rPr>
        <w:t> </w:t>
      </w:r>
      <w:r w:rsidR="002413D8" w:rsidRPr="004F08C7">
        <w:rPr>
          <w:rFonts w:ascii="Calibri" w:hAnsi="Calibri" w:cs="Calibri"/>
          <w:sz w:val="24"/>
          <w:szCs w:val="24"/>
        </w:rPr>
        <w:t>Kč rozhodovalo podle nejasných kritérií na základě „</w:t>
      </w:r>
      <w:r w:rsidR="002413D8" w:rsidRPr="004F08C7">
        <w:rPr>
          <w:rFonts w:ascii="Calibri" w:hAnsi="Calibri" w:cs="Calibri"/>
          <w:i/>
          <w:sz w:val="24"/>
          <w:szCs w:val="24"/>
        </w:rPr>
        <w:t>odborného posouzení daného rozvoje a</w:t>
      </w:r>
      <w:r w:rsidR="009F7FA5">
        <w:rPr>
          <w:rFonts w:ascii="Calibri" w:hAnsi="Calibri" w:cs="Calibri"/>
          <w:i/>
          <w:sz w:val="24"/>
          <w:szCs w:val="24"/>
        </w:rPr>
        <w:t> </w:t>
      </w:r>
      <w:r w:rsidR="002413D8" w:rsidRPr="004F08C7">
        <w:rPr>
          <w:rFonts w:ascii="Calibri" w:hAnsi="Calibri" w:cs="Calibri"/>
          <w:i/>
          <w:sz w:val="24"/>
          <w:szCs w:val="24"/>
        </w:rPr>
        <w:t>jeho smysluplnosti“</w:t>
      </w:r>
      <w:r w:rsidR="002413D8" w:rsidRPr="004F08C7">
        <w:rPr>
          <w:rFonts w:ascii="Calibri" w:hAnsi="Calibri" w:cs="Calibri"/>
          <w:sz w:val="24"/>
          <w:szCs w:val="24"/>
        </w:rPr>
        <w:t xml:space="preserve"> se zohledněním „</w:t>
      </w:r>
      <w:r w:rsidR="002413D8" w:rsidRPr="004F08C7">
        <w:rPr>
          <w:rFonts w:ascii="Calibri" w:hAnsi="Calibri" w:cs="Calibri"/>
          <w:i/>
          <w:sz w:val="24"/>
          <w:szCs w:val="24"/>
        </w:rPr>
        <w:t>návazností</w:t>
      </w:r>
      <w:r w:rsidR="002413D8" w:rsidRPr="004F08C7">
        <w:rPr>
          <w:rFonts w:ascii="Calibri" w:hAnsi="Calibri" w:cs="Calibri"/>
          <w:sz w:val="24"/>
          <w:szCs w:val="24"/>
        </w:rPr>
        <w:t xml:space="preserve">“, které nebyly zahrnuty do hodnocení ekonomické efektivnosti, </w:t>
      </w:r>
      <w:r w:rsidR="00073C16">
        <w:rPr>
          <w:rFonts w:ascii="Calibri" w:hAnsi="Calibri" w:cs="Calibri"/>
          <w:sz w:val="24"/>
          <w:szCs w:val="24"/>
        </w:rPr>
        <w:t>nepovažuje NKÚ za</w:t>
      </w:r>
      <w:r w:rsidR="002413D8" w:rsidRPr="004F08C7">
        <w:rPr>
          <w:rFonts w:ascii="Calibri" w:hAnsi="Calibri" w:cs="Calibri"/>
          <w:sz w:val="24"/>
          <w:szCs w:val="24"/>
        </w:rPr>
        <w:t xml:space="preserve"> transparentní. Smyslem ekonomického hodnocení projektu, resp. v daném případě souboru projektů, </w:t>
      </w:r>
      <w:r w:rsidR="005E4A54" w:rsidRPr="004F08C7">
        <w:rPr>
          <w:rFonts w:ascii="Calibri" w:hAnsi="Calibri" w:cs="Calibri"/>
          <w:sz w:val="24"/>
          <w:szCs w:val="24"/>
        </w:rPr>
        <w:t>má</w:t>
      </w:r>
      <w:r w:rsidR="002413D8" w:rsidRPr="004F08C7">
        <w:rPr>
          <w:rFonts w:ascii="Calibri" w:hAnsi="Calibri" w:cs="Calibri"/>
          <w:sz w:val="24"/>
          <w:szCs w:val="24"/>
        </w:rPr>
        <w:t xml:space="preserve"> být transparentní posouzení možných variant a</w:t>
      </w:r>
      <w:r w:rsidR="009F7FA5">
        <w:rPr>
          <w:rFonts w:ascii="Calibri" w:hAnsi="Calibri" w:cs="Calibri"/>
          <w:sz w:val="24"/>
          <w:szCs w:val="24"/>
        </w:rPr>
        <w:t> </w:t>
      </w:r>
      <w:r w:rsidR="002413D8" w:rsidRPr="004F08C7">
        <w:rPr>
          <w:rFonts w:ascii="Calibri" w:hAnsi="Calibri" w:cs="Calibri"/>
          <w:sz w:val="24"/>
          <w:szCs w:val="24"/>
        </w:rPr>
        <w:t xml:space="preserve">jejich objektivní vyhodnocení podle stanovených kritérií s cílem vybrat variantu zaručující co nejefektivnější vynaložení peněžních prostředků. </w:t>
      </w:r>
      <w:r w:rsidR="002413D8" w:rsidRPr="004F08C7">
        <w:rPr>
          <w:rFonts w:ascii="Calibri" w:hAnsi="Calibri" w:cs="Calibri"/>
          <w:sz w:val="24"/>
          <w:szCs w:val="24"/>
        </w:rPr>
        <w:lastRenderedPageBreak/>
        <w:t>Výběr nejnákladnější, nejméně</w:t>
      </w:r>
      <w:r w:rsidR="005E4A54" w:rsidRPr="004F08C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2413D8" w:rsidRPr="004F08C7">
        <w:rPr>
          <w:rFonts w:ascii="Calibri" w:hAnsi="Calibri" w:cs="Calibri"/>
          <w:sz w:val="24"/>
          <w:szCs w:val="24"/>
        </w:rPr>
        <w:t>efektivní</w:t>
      </w:r>
      <w:proofErr w:type="gramEnd"/>
      <w:r w:rsidR="002413D8" w:rsidRPr="004F08C7">
        <w:rPr>
          <w:rFonts w:ascii="Calibri" w:hAnsi="Calibri" w:cs="Calibri"/>
          <w:sz w:val="24"/>
          <w:szCs w:val="24"/>
        </w:rPr>
        <w:t xml:space="preserve"> a</w:t>
      </w:r>
      <w:r w:rsidR="009F7FA5">
        <w:rPr>
          <w:rFonts w:ascii="Calibri" w:hAnsi="Calibri" w:cs="Calibri"/>
          <w:sz w:val="24"/>
          <w:szCs w:val="24"/>
        </w:rPr>
        <w:t> </w:t>
      </w:r>
      <w:r w:rsidR="002413D8" w:rsidRPr="004F08C7">
        <w:rPr>
          <w:rFonts w:ascii="Calibri" w:hAnsi="Calibri" w:cs="Calibri"/>
          <w:sz w:val="24"/>
          <w:szCs w:val="24"/>
        </w:rPr>
        <w:t>přitom nejrizikovější varianty bez náležitého a</w:t>
      </w:r>
      <w:r w:rsidR="00073C16">
        <w:rPr>
          <w:rFonts w:ascii="Calibri" w:hAnsi="Calibri" w:cs="Calibri"/>
          <w:sz w:val="24"/>
          <w:szCs w:val="24"/>
        </w:rPr>
        <w:t> </w:t>
      </w:r>
      <w:r w:rsidR="002413D8" w:rsidRPr="004F08C7">
        <w:rPr>
          <w:rFonts w:ascii="Calibri" w:hAnsi="Calibri" w:cs="Calibri"/>
          <w:sz w:val="24"/>
          <w:szCs w:val="24"/>
        </w:rPr>
        <w:t>přezkoumatelného zdůvodnění není v souladu s</w:t>
      </w:r>
      <w:r w:rsidR="005E4A54" w:rsidRPr="004F08C7">
        <w:rPr>
          <w:rFonts w:ascii="Calibri" w:hAnsi="Calibri" w:cs="Calibri"/>
          <w:sz w:val="24"/>
          <w:szCs w:val="24"/>
        </w:rPr>
        <w:t> právním předpis</w:t>
      </w:r>
      <w:r w:rsidR="003E32D1" w:rsidRPr="004F08C7">
        <w:rPr>
          <w:rFonts w:ascii="Calibri" w:hAnsi="Calibri" w:cs="Calibri"/>
          <w:sz w:val="24"/>
          <w:szCs w:val="24"/>
        </w:rPr>
        <w:t>em</w:t>
      </w:r>
      <w:r w:rsidR="005E4A54" w:rsidRPr="004F08C7">
        <w:rPr>
          <w:rStyle w:val="Znakapoznpodarou"/>
          <w:rFonts w:ascii="Calibri" w:hAnsi="Calibri" w:cs="Calibri"/>
          <w:sz w:val="24"/>
          <w:szCs w:val="24"/>
        </w:rPr>
        <w:footnoteReference w:id="27"/>
      </w:r>
      <w:r w:rsidR="005E4A54" w:rsidRPr="004F08C7">
        <w:rPr>
          <w:rFonts w:ascii="Calibri" w:hAnsi="Calibri" w:cs="Calibri"/>
          <w:sz w:val="24"/>
          <w:szCs w:val="24"/>
        </w:rPr>
        <w:t xml:space="preserve">. </w:t>
      </w:r>
    </w:p>
    <w:p w14:paraId="4F3E22E9" w14:textId="77777777" w:rsidR="0044085B" w:rsidRPr="004F08C7" w:rsidRDefault="0044085B" w:rsidP="004F08C7">
      <w:pPr>
        <w:spacing w:after="120"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4F08C7">
        <w:rPr>
          <w:rFonts w:ascii="Calibri" w:hAnsi="Calibri" w:cs="Calibri"/>
          <w:b/>
          <w:sz w:val="24"/>
          <w:szCs w:val="24"/>
        </w:rPr>
        <w:t>ŘVC při zadávání veřejných zakázek porušilo zákon</w:t>
      </w:r>
    </w:p>
    <w:p w14:paraId="1DCE22AF" w14:textId="59E8E951" w:rsidR="0044085B" w:rsidRPr="004F08C7" w:rsidRDefault="000C36CC" w:rsidP="004F08C7">
      <w:pPr>
        <w:spacing w:after="120" w:line="252" w:lineRule="auto"/>
        <w:jc w:val="both"/>
        <w:rPr>
          <w:rFonts w:ascii="Calibri" w:eastAsia="Arial Unicode MS" w:hAnsi="Calibri" w:cs="Calibri"/>
          <w:bCs/>
          <w:sz w:val="24"/>
          <w:szCs w:val="24"/>
        </w:rPr>
      </w:pP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4.39 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 xml:space="preserve">ŘVC v říjnu 2012 zahájilo zadávací řízení na veřejnou zakázku na stavební práce </w:t>
      </w:r>
      <w:r w:rsidR="0044085B" w:rsidRPr="004F08C7">
        <w:rPr>
          <w:rFonts w:ascii="Calibri" w:eastAsia="Arial Unicode MS" w:hAnsi="Calibri" w:cs="Calibri"/>
          <w:bCs/>
          <w:i/>
          <w:sz w:val="24"/>
          <w:szCs w:val="24"/>
        </w:rPr>
        <w:t>Úvaziště osobní vodní dopravy na dolním Labi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 xml:space="preserve"> s předpokládanou hodnotou 99,0 mil. Kč bez DPH. Na základě kritéria nejnižší nabídkové ceny vybralo dodavatele, s nímž v dubnu</w:t>
      </w:r>
      <w:r w:rsidR="0044085B" w:rsidRPr="004F08C7">
        <w:rPr>
          <w:rFonts w:ascii="Calibri" w:hAnsi="Calibri" w:cs="Calibri"/>
          <w:sz w:val="24"/>
          <w:szCs w:val="24"/>
        </w:rPr>
        <w:t xml:space="preserve"> 2013 uzavřelo 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>smlouvu o dílo s cenou 73</w:t>
      </w:r>
      <w:r w:rsidR="007869E9" w:rsidRPr="004F08C7">
        <w:rPr>
          <w:rFonts w:ascii="Calibri" w:eastAsia="Arial Unicode MS" w:hAnsi="Calibri" w:cs="Calibri"/>
          <w:bCs/>
          <w:sz w:val="24"/>
          <w:szCs w:val="24"/>
        </w:rPr>
        <w:t>,8 mil.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 xml:space="preserve"> Kč bez DPH</w:t>
      </w:r>
      <w:r w:rsidR="007869E9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EC4891" w:rsidRPr="004F08C7">
        <w:rPr>
          <w:rFonts w:ascii="Calibri" w:eastAsia="Arial Unicode MS" w:hAnsi="Calibri" w:cs="Calibri"/>
          <w:bCs/>
          <w:sz w:val="24"/>
          <w:szCs w:val="24"/>
        </w:rPr>
        <w:t>a k ní</w:t>
      </w:r>
      <w:r w:rsidR="007869E9" w:rsidRPr="004F08C7">
        <w:rPr>
          <w:rFonts w:ascii="Calibri" w:eastAsia="Arial Unicode MS" w:hAnsi="Calibri" w:cs="Calibri"/>
          <w:bCs/>
          <w:sz w:val="24"/>
          <w:szCs w:val="24"/>
        </w:rPr>
        <w:t xml:space="preserve"> následně několik dodatků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>. Postup ŘVC při zadávání této veřejné zakázky NKÚ nemohl v plném rozsahu podrobit kontrole, neboť ŘVC předložilo ke kontrole nekompletní zadávací dokumentaci. Některé doklady předložilo bez vyplněných údajů a informací o provedených úkonech a o nabídkách, bez podpisů a jiných náležitostí ověřujících jejich pravost, úplnost a autentičnost, a to s vysvětlením, že jiné doklady se mu nepodařilo dohledat.</w:t>
      </w:r>
      <w:r w:rsidR="00551830" w:rsidRPr="004F08C7">
        <w:rPr>
          <w:rFonts w:ascii="Calibri" w:eastAsia="Arial Unicode MS" w:hAnsi="Calibri" w:cs="Calibri"/>
          <w:bCs/>
          <w:sz w:val="24"/>
          <w:szCs w:val="24"/>
        </w:rPr>
        <w:t xml:space="preserve"> Uchování dokumentace o veřejné zakázce je jednou z povinností zadavatele, jejíž důsledné dodržování přispívá k uplatnění zásady transparentnosti</w:t>
      </w:r>
      <w:r w:rsidR="00551830" w:rsidRPr="004F08C7">
        <w:rPr>
          <w:rFonts w:ascii="Calibri" w:eastAsia="Arial Unicode MS" w:hAnsi="Calibri" w:cs="Calibri"/>
          <w:bCs/>
          <w:sz w:val="24"/>
          <w:szCs w:val="24"/>
          <w:vertAlign w:val="superscript"/>
        </w:rPr>
        <w:footnoteReference w:id="28"/>
      </w:r>
      <w:r w:rsidR="00551830" w:rsidRPr="004F08C7">
        <w:rPr>
          <w:rFonts w:ascii="Calibri" w:eastAsia="Arial Unicode MS" w:hAnsi="Calibri" w:cs="Calibri"/>
          <w:bCs/>
          <w:sz w:val="24"/>
          <w:szCs w:val="24"/>
        </w:rPr>
        <w:t xml:space="preserve">. </w:t>
      </w:r>
      <w:r w:rsidR="003D227D" w:rsidRPr="004F08C7">
        <w:rPr>
          <w:rFonts w:ascii="Calibri" w:eastAsia="Calibri" w:hAnsi="Calibri" w:cs="Calibri"/>
          <w:sz w:val="24"/>
          <w:szCs w:val="24"/>
        </w:rPr>
        <w:t>Absence dokumentů potřebných pro kontrolu postupu ŘVC při zadávání této veřejné zakázky činí jeho postup nepřezkoumatelným</w:t>
      </w:r>
      <w:r w:rsidR="00551830" w:rsidRPr="004F08C7">
        <w:rPr>
          <w:rFonts w:ascii="Calibri" w:eastAsia="Calibri" w:hAnsi="Calibri" w:cs="Calibri"/>
          <w:sz w:val="24"/>
          <w:szCs w:val="24"/>
        </w:rPr>
        <w:t xml:space="preserve">. </w:t>
      </w:r>
      <w:r w:rsidR="00551830" w:rsidRPr="004F08C7">
        <w:rPr>
          <w:rFonts w:ascii="Calibri" w:eastAsia="Arial Unicode MS" w:hAnsi="Calibri" w:cs="Calibri"/>
          <w:bCs/>
          <w:sz w:val="24"/>
          <w:szCs w:val="24"/>
        </w:rPr>
        <w:t xml:space="preserve">ŘVC </w:t>
      </w:r>
      <w:r w:rsidR="003E32D1" w:rsidRPr="004F08C7">
        <w:rPr>
          <w:rFonts w:ascii="Calibri" w:eastAsia="Arial Unicode MS" w:hAnsi="Calibri" w:cs="Calibri"/>
          <w:bCs/>
          <w:sz w:val="24"/>
          <w:szCs w:val="24"/>
        </w:rPr>
        <w:t>neuchováním dokumentace o veřejné zakázce</w:t>
      </w:r>
      <w:r w:rsidR="00551830" w:rsidRPr="004F08C7">
        <w:rPr>
          <w:rFonts w:ascii="Calibri" w:eastAsia="Arial Unicode MS" w:hAnsi="Calibri" w:cs="Calibri"/>
          <w:bCs/>
          <w:sz w:val="24"/>
          <w:szCs w:val="24"/>
        </w:rPr>
        <w:t xml:space="preserve"> porušilo zákon o veřejných zakázkách</w:t>
      </w:r>
      <w:r w:rsidR="00551830" w:rsidRPr="004F08C7">
        <w:rPr>
          <w:rFonts w:ascii="Calibri" w:eastAsia="Arial Unicode MS" w:hAnsi="Calibri" w:cs="Calibri"/>
          <w:bCs/>
          <w:sz w:val="24"/>
          <w:szCs w:val="24"/>
          <w:vertAlign w:val="superscript"/>
        </w:rPr>
        <w:footnoteReference w:id="29"/>
      </w:r>
      <w:r w:rsidR="00551830" w:rsidRPr="004F08C7">
        <w:rPr>
          <w:rFonts w:ascii="Calibri" w:eastAsia="Arial Unicode MS" w:hAnsi="Calibri" w:cs="Calibri"/>
          <w:bCs/>
          <w:sz w:val="24"/>
          <w:szCs w:val="24"/>
        </w:rPr>
        <w:t xml:space="preserve"> a neoprávněně použilo peněžní prostředky</w:t>
      </w:r>
      <w:r w:rsidR="00D8147C" w:rsidRPr="004F08C7">
        <w:rPr>
          <w:rFonts w:ascii="Calibri" w:eastAsia="Arial Unicode MS" w:hAnsi="Calibri" w:cs="Calibri"/>
          <w:bCs/>
          <w:sz w:val="24"/>
          <w:szCs w:val="24"/>
        </w:rPr>
        <w:t xml:space="preserve"> poskytnuté ze SFDI </w:t>
      </w:r>
      <w:r w:rsidR="004D344A">
        <w:rPr>
          <w:rFonts w:ascii="Calibri" w:eastAsia="Arial Unicode MS" w:hAnsi="Calibri" w:cs="Calibri"/>
          <w:bCs/>
          <w:sz w:val="24"/>
          <w:szCs w:val="24"/>
        </w:rPr>
        <w:t xml:space="preserve">ve </w:t>
      </w:r>
      <w:r w:rsidR="00721C46" w:rsidRPr="004F08C7">
        <w:rPr>
          <w:rFonts w:ascii="Calibri" w:hAnsi="Calibri" w:cs="Calibri"/>
          <w:sz w:val="24"/>
          <w:szCs w:val="24"/>
        </w:rPr>
        <w:t xml:space="preserve">výši </w:t>
      </w:r>
      <w:r w:rsidR="00721C46" w:rsidRPr="004F08C7">
        <w:rPr>
          <w:rFonts w:ascii="Calibri" w:eastAsia="Calibri" w:hAnsi="Calibri" w:cs="Calibri"/>
          <w:sz w:val="24"/>
          <w:szCs w:val="24"/>
        </w:rPr>
        <w:t>75 303 109 Kč</w:t>
      </w:r>
      <w:r w:rsidR="00721C46" w:rsidRPr="004F08C7">
        <w:rPr>
          <w:rFonts w:ascii="Calibri" w:eastAsia="Arial Unicode MS" w:hAnsi="Calibri" w:cs="Calibri"/>
          <w:bCs/>
          <w:sz w:val="24"/>
          <w:szCs w:val="24"/>
          <w:vertAlign w:val="superscript"/>
        </w:rPr>
        <w:t xml:space="preserve"> </w:t>
      </w:r>
      <w:r w:rsidR="00551830" w:rsidRPr="004F08C7">
        <w:rPr>
          <w:rFonts w:ascii="Calibri" w:eastAsia="Arial Unicode MS" w:hAnsi="Calibri" w:cs="Calibri"/>
          <w:bCs/>
          <w:sz w:val="24"/>
          <w:szCs w:val="24"/>
          <w:vertAlign w:val="superscript"/>
        </w:rPr>
        <w:footnoteReference w:id="30"/>
      </w:r>
      <w:r w:rsidR="0056618B" w:rsidRPr="004F08C7">
        <w:rPr>
          <w:rFonts w:ascii="Calibri" w:eastAsia="Arial Unicode MS" w:hAnsi="Calibri" w:cs="Calibri"/>
          <w:bCs/>
          <w:sz w:val="24"/>
          <w:szCs w:val="24"/>
        </w:rPr>
        <w:t>.</w:t>
      </w:r>
      <w:r w:rsidR="00551830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3D227D" w:rsidRPr="004F08C7">
        <w:rPr>
          <w:rFonts w:ascii="Calibri" w:hAnsi="Calibri" w:cs="Calibri"/>
          <w:sz w:val="24"/>
          <w:szCs w:val="24"/>
        </w:rPr>
        <w:t>NKÚ toto jednání vyhodnotil jako skutečnost nasvědčující porušení rozpočtové kázn</w:t>
      </w:r>
      <w:r w:rsidR="00E45B50" w:rsidRPr="004F08C7">
        <w:rPr>
          <w:rFonts w:ascii="Calibri" w:hAnsi="Calibri" w:cs="Calibri"/>
          <w:sz w:val="24"/>
          <w:szCs w:val="24"/>
        </w:rPr>
        <w:t>ě.</w:t>
      </w:r>
    </w:p>
    <w:p w14:paraId="0815457B" w14:textId="77777777" w:rsidR="0044085B" w:rsidRPr="004F08C7" w:rsidRDefault="000C36CC" w:rsidP="004F08C7">
      <w:pPr>
        <w:spacing w:after="120" w:line="252" w:lineRule="auto"/>
        <w:jc w:val="both"/>
        <w:rPr>
          <w:rFonts w:ascii="Calibri" w:eastAsia="Arial Unicode MS" w:hAnsi="Calibri" w:cs="Calibri"/>
          <w:bCs/>
          <w:sz w:val="24"/>
          <w:szCs w:val="24"/>
        </w:rPr>
      </w:pPr>
      <w:r w:rsidRPr="004F08C7">
        <w:rPr>
          <w:rFonts w:ascii="Calibri" w:eastAsia="Arial Unicode MS" w:hAnsi="Calibri" w:cs="Calibri"/>
          <w:bCs/>
          <w:sz w:val="24"/>
          <w:szCs w:val="24"/>
        </w:rPr>
        <w:t>4.4</w:t>
      </w:r>
      <w:r w:rsidR="007F3B0E" w:rsidRPr="004F08C7">
        <w:rPr>
          <w:rFonts w:ascii="Calibri" w:eastAsia="Arial Unicode MS" w:hAnsi="Calibri" w:cs="Calibri"/>
          <w:bCs/>
          <w:sz w:val="24"/>
          <w:szCs w:val="24"/>
        </w:rPr>
        <w:t>0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 xml:space="preserve">ŘVC v září 2016 zadalo veřejnou zakázku </w:t>
      </w:r>
      <w:r w:rsidR="0044085B" w:rsidRPr="004F08C7">
        <w:rPr>
          <w:rFonts w:ascii="Calibri" w:eastAsia="Arial Unicode MS" w:hAnsi="Calibri" w:cs="Calibri"/>
          <w:bCs/>
          <w:i/>
          <w:sz w:val="24"/>
          <w:szCs w:val="24"/>
        </w:rPr>
        <w:t xml:space="preserve">Dokončení vltavské vodní cesty v úseku VD Hněvkovice </w:t>
      </w:r>
      <w:r w:rsidR="009F7FA5">
        <w:rPr>
          <w:rFonts w:ascii="Calibri" w:eastAsia="Arial Unicode MS" w:hAnsi="Calibri" w:cs="Calibri"/>
          <w:bCs/>
          <w:i/>
          <w:sz w:val="24"/>
          <w:szCs w:val="24"/>
        </w:rPr>
        <w:t>–</w:t>
      </w:r>
      <w:r w:rsidR="0044085B" w:rsidRPr="004F08C7">
        <w:rPr>
          <w:rFonts w:ascii="Calibri" w:eastAsia="Arial Unicode MS" w:hAnsi="Calibri" w:cs="Calibri"/>
          <w:bCs/>
          <w:i/>
          <w:sz w:val="24"/>
          <w:szCs w:val="24"/>
        </w:rPr>
        <w:t xml:space="preserve"> Týn nad Vltavou</w:t>
      </w:r>
      <w:r w:rsidR="009F7FA5">
        <w:rPr>
          <w:rFonts w:ascii="Calibri" w:eastAsia="Arial Unicode MS" w:hAnsi="Calibri" w:cs="Calibri"/>
          <w:bCs/>
          <w:i/>
          <w:sz w:val="24"/>
          <w:szCs w:val="24"/>
        </w:rPr>
        <w:t xml:space="preserve"> –</w:t>
      </w:r>
      <w:r w:rsidR="0044085B" w:rsidRPr="004F08C7">
        <w:rPr>
          <w:rFonts w:ascii="Calibri" w:eastAsia="Arial Unicode MS" w:hAnsi="Calibri" w:cs="Calibri"/>
          <w:bCs/>
          <w:i/>
          <w:sz w:val="24"/>
          <w:szCs w:val="24"/>
        </w:rPr>
        <w:t xml:space="preserve"> provedení části stavby plavební komory jezu Hněvkovice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 xml:space="preserve"> s předpokládanou hodnotou 9</w:t>
      </w:r>
      <w:r w:rsidR="007869E9" w:rsidRPr="004F08C7">
        <w:rPr>
          <w:rFonts w:ascii="Calibri" w:eastAsia="Arial Unicode MS" w:hAnsi="Calibri" w:cs="Calibri"/>
          <w:bCs/>
          <w:sz w:val="24"/>
          <w:szCs w:val="24"/>
        </w:rPr>
        <w:t>,5 mil.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 xml:space="preserve"> Kč bez DPH, která byla nezbytná pro dokončení plnění předchozí veřejné zakázky </w:t>
      </w:r>
      <w:r w:rsidR="0044085B" w:rsidRPr="004F08C7">
        <w:rPr>
          <w:rFonts w:ascii="Calibri" w:eastAsia="Arial Unicode MS" w:hAnsi="Calibri" w:cs="Calibri"/>
          <w:bCs/>
          <w:i/>
          <w:sz w:val="24"/>
          <w:szCs w:val="24"/>
        </w:rPr>
        <w:t>Dokončení vltavské vodní cesty v úseku VD Hněvkovice</w:t>
      </w:r>
      <w:r w:rsidR="009F7FA5">
        <w:rPr>
          <w:rFonts w:ascii="Calibri" w:eastAsia="Arial Unicode MS" w:hAnsi="Calibri" w:cs="Calibri"/>
          <w:bCs/>
          <w:i/>
          <w:sz w:val="24"/>
          <w:szCs w:val="24"/>
        </w:rPr>
        <w:t xml:space="preserve"> –</w:t>
      </w:r>
      <w:r w:rsidR="0044085B" w:rsidRPr="004F08C7">
        <w:rPr>
          <w:rFonts w:ascii="Calibri" w:eastAsia="Arial Unicode MS" w:hAnsi="Calibri" w:cs="Calibri"/>
          <w:bCs/>
          <w:i/>
          <w:sz w:val="24"/>
          <w:szCs w:val="24"/>
        </w:rPr>
        <w:t xml:space="preserve"> Týn nad Vltavou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 xml:space="preserve"> s předpokládanou hodnotou 365</w:t>
      </w:r>
      <w:r w:rsidR="007869E9" w:rsidRPr="004F08C7">
        <w:rPr>
          <w:rFonts w:ascii="Calibri" w:eastAsia="Arial Unicode MS" w:hAnsi="Calibri" w:cs="Calibri"/>
          <w:bCs/>
          <w:sz w:val="24"/>
          <w:szCs w:val="24"/>
        </w:rPr>
        <w:t>,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>65</w:t>
      </w:r>
      <w:r w:rsidR="007869E9" w:rsidRPr="004F08C7">
        <w:rPr>
          <w:rFonts w:ascii="Calibri" w:eastAsia="Arial Unicode MS" w:hAnsi="Calibri" w:cs="Calibri"/>
          <w:bCs/>
          <w:sz w:val="24"/>
          <w:szCs w:val="24"/>
        </w:rPr>
        <w:t xml:space="preserve"> mil. 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 xml:space="preserve">Kč bez DPH. </w:t>
      </w:r>
      <w:r w:rsidR="00521E23" w:rsidRPr="004F08C7">
        <w:rPr>
          <w:rFonts w:ascii="Calibri" w:eastAsia="Arial Unicode MS" w:hAnsi="Calibri" w:cs="Calibri"/>
          <w:bCs/>
          <w:sz w:val="24"/>
          <w:szCs w:val="24"/>
        </w:rPr>
        <w:t>Z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 xml:space="preserve">adávalo </w:t>
      </w:r>
      <w:r w:rsidR="00521E23" w:rsidRPr="004F08C7">
        <w:rPr>
          <w:rFonts w:ascii="Calibri" w:eastAsia="Arial Unicode MS" w:hAnsi="Calibri" w:cs="Calibri"/>
          <w:bCs/>
          <w:sz w:val="24"/>
          <w:szCs w:val="24"/>
        </w:rPr>
        <w:t xml:space="preserve">přitom 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>stavební práce</w:t>
      </w:r>
      <w:r w:rsidR="00521E23" w:rsidRPr="004F08C7">
        <w:rPr>
          <w:rFonts w:ascii="Calibri" w:eastAsia="Arial Unicode MS" w:hAnsi="Calibri" w:cs="Calibri"/>
          <w:bCs/>
          <w:sz w:val="24"/>
          <w:szCs w:val="24"/>
        </w:rPr>
        <w:t xml:space="preserve"> odpovídající charakteru prací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>, které z plnění této dříve zadané veřejné zakázky v krátké době předtím vypustilo. Použitím nesprávného druhu zadávacího řízení neodpovídajícího součtu předpokládané hodnoty obou těchto veřejných zakázek ŘVC porušilo zákon o veřejných zakázkách</w:t>
      </w:r>
      <w:r w:rsidR="0044085B" w:rsidRPr="004F08C7">
        <w:rPr>
          <w:rFonts w:ascii="Calibri" w:hAnsi="Calibri" w:cs="Calibri"/>
          <w:sz w:val="24"/>
          <w:szCs w:val="24"/>
          <w:vertAlign w:val="superscript"/>
        </w:rPr>
        <w:footnoteReference w:id="31"/>
      </w:r>
      <w:r w:rsidR="00EC4891" w:rsidRPr="004F08C7">
        <w:rPr>
          <w:rFonts w:ascii="Calibri" w:eastAsia="Arial Unicode MS" w:hAnsi="Calibri" w:cs="Calibri"/>
          <w:bCs/>
          <w:sz w:val="24"/>
          <w:szCs w:val="24"/>
        </w:rPr>
        <w:t>. Vyd</w:t>
      </w:r>
      <w:r w:rsidR="0056618B" w:rsidRPr="004F08C7">
        <w:rPr>
          <w:rFonts w:ascii="Calibri" w:eastAsia="Arial Unicode MS" w:hAnsi="Calibri" w:cs="Calibri"/>
          <w:bCs/>
          <w:sz w:val="24"/>
          <w:szCs w:val="24"/>
        </w:rPr>
        <w:t>áním</w:t>
      </w:r>
      <w:r w:rsidR="00EC4891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56618B" w:rsidRPr="004F08C7">
        <w:rPr>
          <w:rFonts w:ascii="Calibri" w:eastAsia="Arial Unicode MS" w:hAnsi="Calibri" w:cs="Calibri"/>
          <w:bCs/>
          <w:sz w:val="24"/>
          <w:szCs w:val="24"/>
        </w:rPr>
        <w:t>peněžních</w:t>
      </w:r>
      <w:r w:rsidR="00EC4891" w:rsidRPr="004F08C7">
        <w:rPr>
          <w:rFonts w:ascii="Calibri" w:eastAsia="Arial Unicode MS" w:hAnsi="Calibri" w:cs="Calibri"/>
          <w:bCs/>
          <w:sz w:val="24"/>
          <w:szCs w:val="24"/>
        </w:rPr>
        <w:t xml:space="preserve"> prostředk</w:t>
      </w:r>
      <w:r w:rsidR="0056618B" w:rsidRPr="004F08C7">
        <w:rPr>
          <w:rFonts w:ascii="Calibri" w:eastAsia="Arial Unicode MS" w:hAnsi="Calibri" w:cs="Calibri"/>
          <w:bCs/>
          <w:sz w:val="24"/>
          <w:szCs w:val="24"/>
        </w:rPr>
        <w:t>ů</w:t>
      </w:r>
      <w:r w:rsidR="00EC4891" w:rsidRPr="004F08C7">
        <w:rPr>
          <w:rFonts w:ascii="Calibri" w:eastAsia="Arial Unicode MS" w:hAnsi="Calibri" w:cs="Calibri"/>
          <w:bCs/>
          <w:sz w:val="24"/>
          <w:szCs w:val="24"/>
        </w:rPr>
        <w:t xml:space="preserve"> za plnění smlouvy o dílo uzavřené v rozporu se zákonem o veřejných zakázkách</w:t>
      </w:r>
      <w:r w:rsidR="0056618B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EC4891" w:rsidRPr="004F08C7">
        <w:rPr>
          <w:rFonts w:ascii="Calibri" w:eastAsia="Arial Unicode MS" w:hAnsi="Calibri" w:cs="Calibri"/>
          <w:bCs/>
          <w:sz w:val="24"/>
          <w:szCs w:val="24"/>
        </w:rPr>
        <w:t xml:space="preserve">ŘVC 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>neoprávněně použilo peněžní prostředky</w:t>
      </w:r>
      <w:r w:rsidR="00E45B50" w:rsidRPr="004F08C7">
        <w:rPr>
          <w:rFonts w:ascii="Calibri" w:eastAsia="Arial Unicode MS" w:hAnsi="Calibri" w:cs="Calibri"/>
          <w:bCs/>
          <w:sz w:val="24"/>
          <w:szCs w:val="24"/>
        </w:rPr>
        <w:t xml:space="preserve"> poskytnuté ze SFDI ve výši 11 414 616,12 Kč </w:t>
      </w:r>
      <w:r w:rsidR="0044085B" w:rsidRPr="004F08C7">
        <w:rPr>
          <w:rFonts w:ascii="Calibri" w:eastAsia="Arial Unicode MS" w:hAnsi="Calibri" w:cs="Calibri"/>
          <w:bCs/>
          <w:sz w:val="24"/>
          <w:szCs w:val="24"/>
          <w:vertAlign w:val="superscript"/>
        </w:rPr>
        <w:footnoteReference w:id="32"/>
      </w:r>
      <w:r w:rsidR="0056618B" w:rsidRPr="004F08C7">
        <w:rPr>
          <w:rFonts w:ascii="Calibri" w:eastAsia="Arial Unicode MS" w:hAnsi="Calibri" w:cs="Calibri"/>
          <w:bCs/>
          <w:sz w:val="24"/>
          <w:szCs w:val="24"/>
        </w:rPr>
        <w:t>.</w:t>
      </w:r>
      <w:r w:rsidR="0044085B"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56618B" w:rsidRPr="004F08C7">
        <w:rPr>
          <w:rFonts w:ascii="Calibri" w:hAnsi="Calibri" w:cs="Calibri"/>
          <w:sz w:val="24"/>
          <w:szCs w:val="24"/>
        </w:rPr>
        <w:t>NKÚ toto jednání vyhodnotil jako skutečnost nasvědčující porušení rozpočtové kázně</w:t>
      </w:r>
      <w:r w:rsidR="00E45B50" w:rsidRPr="004F08C7">
        <w:rPr>
          <w:rFonts w:ascii="Calibri" w:hAnsi="Calibri" w:cs="Calibri"/>
          <w:sz w:val="24"/>
          <w:szCs w:val="24"/>
        </w:rPr>
        <w:t>.</w:t>
      </w:r>
    </w:p>
    <w:p w14:paraId="3317321D" w14:textId="77777777" w:rsidR="003055BD" w:rsidRPr="004F08C7" w:rsidRDefault="000E19F4" w:rsidP="004F08C7">
      <w:pPr>
        <w:spacing w:after="120"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4F08C7">
        <w:rPr>
          <w:rFonts w:ascii="Calibri" w:hAnsi="Calibri" w:cs="Calibri"/>
          <w:b/>
          <w:sz w:val="24"/>
          <w:szCs w:val="24"/>
        </w:rPr>
        <w:t xml:space="preserve">Projekty rekreační plavby </w:t>
      </w:r>
      <w:r w:rsidR="00507C30" w:rsidRPr="004F08C7">
        <w:rPr>
          <w:rFonts w:ascii="Calibri" w:hAnsi="Calibri" w:cs="Calibri"/>
          <w:b/>
          <w:sz w:val="24"/>
          <w:szCs w:val="24"/>
        </w:rPr>
        <w:t>ne</w:t>
      </w:r>
      <w:r w:rsidR="00903550" w:rsidRPr="004F08C7">
        <w:rPr>
          <w:rFonts w:ascii="Calibri" w:hAnsi="Calibri" w:cs="Calibri"/>
          <w:b/>
          <w:sz w:val="24"/>
          <w:szCs w:val="24"/>
        </w:rPr>
        <w:t>vytvá</w:t>
      </w:r>
      <w:r w:rsidR="00507C30" w:rsidRPr="004F08C7">
        <w:rPr>
          <w:rFonts w:ascii="Calibri" w:hAnsi="Calibri" w:cs="Calibri"/>
          <w:b/>
          <w:sz w:val="24"/>
          <w:szCs w:val="24"/>
        </w:rPr>
        <w:t>ř</w:t>
      </w:r>
      <w:r w:rsidR="002566F9" w:rsidRPr="004F08C7">
        <w:rPr>
          <w:rFonts w:ascii="Calibri" w:hAnsi="Calibri" w:cs="Calibri"/>
          <w:b/>
          <w:sz w:val="24"/>
          <w:szCs w:val="24"/>
        </w:rPr>
        <w:t>ej</w:t>
      </w:r>
      <w:r w:rsidR="00507C30" w:rsidRPr="004F08C7">
        <w:rPr>
          <w:rFonts w:ascii="Calibri" w:hAnsi="Calibri" w:cs="Calibri"/>
          <w:b/>
          <w:sz w:val="24"/>
          <w:szCs w:val="24"/>
        </w:rPr>
        <w:t>í ucelená dopravní řešení</w:t>
      </w:r>
    </w:p>
    <w:p w14:paraId="1BEA3F61" w14:textId="0DEFE19C" w:rsidR="007D4244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>4.4</w:t>
      </w:r>
      <w:r w:rsidR="004D63B9" w:rsidRPr="004F08C7">
        <w:rPr>
          <w:rFonts w:ascii="Calibri" w:hAnsi="Calibri" w:cs="Calibri"/>
          <w:sz w:val="24"/>
          <w:szCs w:val="24"/>
        </w:rPr>
        <w:t>1</w:t>
      </w:r>
      <w:r w:rsidRPr="004F08C7">
        <w:rPr>
          <w:rFonts w:ascii="Calibri" w:hAnsi="Calibri" w:cs="Calibri"/>
          <w:sz w:val="24"/>
          <w:szCs w:val="24"/>
        </w:rPr>
        <w:t xml:space="preserve"> </w:t>
      </w:r>
      <w:r w:rsidR="00E713E2" w:rsidRPr="004F08C7">
        <w:rPr>
          <w:rFonts w:ascii="Calibri" w:hAnsi="Calibri" w:cs="Calibri"/>
          <w:sz w:val="24"/>
          <w:szCs w:val="24"/>
        </w:rPr>
        <w:t xml:space="preserve">V důsledku chybějící </w:t>
      </w:r>
      <w:proofErr w:type="spellStart"/>
      <w:r w:rsidR="00E713E2" w:rsidRPr="004F08C7">
        <w:rPr>
          <w:rFonts w:ascii="Calibri" w:hAnsi="Calibri" w:cs="Calibri"/>
          <w:sz w:val="24"/>
          <w:szCs w:val="24"/>
        </w:rPr>
        <w:t>prioritizace</w:t>
      </w:r>
      <w:proofErr w:type="spellEnd"/>
      <w:r w:rsidR="00E713E2" w:rsidRPr="004F08C7">
        <w:rPr>
          <w:rFonts w:ascii="Calibri" w:hAnsi="Calibri" w:cs="Calibri"/>
          <w:sz w:val="24"/>
          <w:szCs w:val="24"/>
        </w:rPr>
        <w:t xml:space="preserve"> a </w:t>
      </w:r>
      <w:r w:rsidR="00D13919" w:rsidRPr="004F08C7">
        <w:rPr>
          <w:rFonts w:ascii="Calibri" w:hAnsi="Calibri" w:cs="Calibri"/>
          <w:sz w:val="24"/>
          <w:szCs w:val="24"/>
        </w:rPr>
        <w:t xml:space="preserve">neaktuálního </w:t>
      </w:r>
      <w:r w:rsidR="00E713E2" w:rsidRPr="004F08C7">
        <w:rPr>
          <w:rFonts w:ascii="Calibri" w:hAnsi="Calibri" w:cs="Calibri"/>
          <w:sz w:val="24"/>
          <w:szCs w:val="24"/>
        </w:rPr>
        <w:t xml:space="preserve">řazení infrastrukturních projektů na podporu rozvoje rekreační plavby do vzájemně funkčně souvisejících celků </w:t>
      </w:r>
      <w:r w:rsidR="005163AA" w:rsidRPr="004F08C7">
        <w:rPr>
          <w:rFonts w:ascii="Calibri" w:hAnsi="Calibri" w:cs="Calibri"/>
          <w:sz w:val="24"/>
          <w:szCs w:val="24"/>
        </w:rPr>
        <w:t xml:space="preserve">(viz 4.5, 4.9–4.11) </w:t>
      </w:r>
      <w:r w:rsidR="00E713E2" w:rsidRPr="004F08C7">
        <w:rPr>
          <w:rFonts w:ascii="Calibri" w:hAnsi="Calibri" w:cs="Calibri"/>
          <w:sz w:val="24"/>
          <w:szCs w:val="24"/>
        </w:rPr>
        <w:t xml:space="preserve">ŘVC a Povodí Vltavy tyto projekty připravují a MD je schvaluje </w:t>
      </w:r>
      <w:r w:rsidR="00A1569E" w:rsidRPr="004F08C7">
        <w:rPr>
          <w:rFonts w:ascii="Calibri" w:hAnsi="Calibri" w:cs="Calibri"/>
          <w:sz w:val="24"/>
          <w:szCs w:val="24"/>
        </w:rPr>
        <w:t>ad hoc</w:t>
      </w:r>
      <w:r w:rsidR="00E713E2" w:rsidRPr="004F08C7">
        <w:rPr>
          <w:rFonts w:ascii="Calibri" w:hAnsi="Calibri" w:cs="Calibri"/>
          <w:sz w:val="24"/>
          <w:szCs w:val="24"/>
        </w:rPr>
        <w:t xml:space="preserve"> bez vzájemných návazností a dostatečné míry koordinace. Takovýto postup je spojen s významným rizikem neúčelného a neefektivního vynakládání peněžních prostředků státu a EU na přípravu </w:t>
      </w:r>
      <w:r w:rsidR="00E713E2" w:rsidRPr="004F08C7">
        <w:rPr>
          <w:rFonts w:ascii="Calibri" w:hAnsi="Calibri" w:cs="Calibri"/>
          <w:sz w:val="24"/>
          <w:szCs w:val="24"/>
        </w:rPr>
        <w:lastRenderedPageBreak/>
        <w:t>a</w:t>
      </w:r>
      <w:r w:rsidR="009F7FA5">
        <w:rPr>
          <w:rFonts w:ascii="Calibri" w:hAnsi="Calibri" w:cs="Calibri"/>
          <w:sz w:val="24"/>
          <w:szCs w:val="24"/>
        </w:rPr>
        <w:t> </w:t>
      </w:r>
      <w:r w:rsidR="00E713E2" w:rsidRPr="004F08C7">
        <w:rPr>
          <w:rFonts w:ascii="Calibri" w:hAnsi="Calibri" w:cs="Calibri"/>
          <w:sz w:val="24"/>
          <w:szCs w:val="24"/>
        </w:rPr>
        <w:t>realizac</w:t>
      </w:r>
      <w:r w:rsidR="00A6378E" w:rsidRPr="004F08C7">
        <w:rPr>
          <w:rFonts w:ascii="Calibri" w:hAnsi="Calibri" w:cs="Calibri"/>
          <w:sz w:val="24"/>
          <w:szCs w:val="24"/>
        </w:rPr>
        <w:t>i</w:t>
      </w:r>
      <w:r w:rsidR="00E713E2" w:rsidRPr="004F08C7">
        <w:rPr>
          <w:rFonts w:ascii="Calibri" w:hAnsi="Calibri" w:cs="Calibri"/>
          <w:sz w:val="24"/>
          <w:szCs w:val="24"/>
        </w:rPr>
        <w:t xml:space="preserve"> projektů</w:t>
      </w:r>
      <w:r w:rsidR="00524829" w:rsidRPr="004F08C7">
        <w:rPr>
          <w:rFonts w:ascii="Calibri" w:hAnsi="Calibri" w:cs="Calibri"/>
          <w:sz w:val="24"/>
          <w:szCs w:val="24"/>
        </w:rPr>
        <w:t xml:space="preserve"> s</w:t>
      </w:r>
      <w:r w:rsidR="00E713E2" w:rsidRPr="004F08C7">
        <w:rPr>
          <w:rFonts w:ascii="Calibri" w:hAnsi="Calibri" w:cs="Calibri"/>
          <w:sz w:val="24"/>
          <w:szCs w:val="24"/>
        </w:rPr>
        <w:t xml:space="preserve"> přínosy </w:t>
      </w:r>
      <w:r w:rsidR="00A801B9" w:rsidRPr="004F08C7">
        <w:rPr>
          <w:rFonts w:ascii="Calibri" w:hAnsi="Calibri" w:cs="Calibri"/>
          <w:sz w:val="24"/>
          <w:szCs w:val="24"/>
        </w:rPr>
        <w:t>váza</w:t>
      </w:r>
      <w:r w:rsidR="00524829" w:rsidRPr="004F08C7">
        <w:rPr>
          <w:rFonts w:ascii="Calibri" w:hAnsi="Calibri" w:cs="Calibri"/>
          <w:sz w:val="24"/>
          <w:szCs w:val="24"/>
        </w:rPr>
        <w:t>nými</w:t>
      </w:r>
      <w:r w:rsidR="00A801B9" w:rsidRPr="004F08C7">
        <w:rPr>
          <w:rFonts w:ascii="Calibri" w:hAnsi="Calibri" w:cs="Calibri"/>
          <w:sz w:val="24"/>
          <w:szCs w:val="24"/>
        </w:rPr>
        <w:t xml:space="preserve"> na</w:t>
      </w:r>
      <w:r w:rsidR="00E713E2" w:rsidRPr="004F08C7">
        <w:rPr>
          <w:rFonts w:ascii="Calibri" w:hAnsi="Calibri" w:cs="Calibri"/>
          <w:sz w:val="24"/>
          <w:szCs w:val="24"/>
        </w:rPr>
        <w:t xml:space="preserve"> dokončení jiných projektů, jejichž realizace je z různých důvodů odkládána.</w:t>
      </w:r>
    </w:p>
    <w:p w14:paraId="048E329A" w14:textId="46AEC7A2" w:rsidR="007C3A33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>4.4</w:t>
      </w:r>
      <w:r w:rsidR="004D63B9" w:rsidRPr="004F08C7">
        <w:rPr>
          <w:rFonts w:ascii="Calibri" w:hAnsi="Calibri" w:cs="Calibri"/>
          <w:sz w:val="24"/>
          <w:szCs w:val="24"/>
        </w:rPr>
        <w:t>2</w:t>
      </w:r>
      <w:r w:rsidRPr="004F08C7">
        <w:rPr>
          <w:rFonts w:ascii="Calibri" w:hAnsi="Calibri" w:cs="Calibri"/>
          <w:sz w:val="24"/>
          <w:szCs w:val="24"/>
        </w:rPr>
        <w:t xml:space="preserve"> </w:t>
      </w:r>
      <w:r w:rsidR="00613FA9" w:rsidRPr="004F08C7">
        <w:rPr>
          <w:rFonts w:ascii="Calibri" w:hAnsi="Calibri" w:cs="Calibri"/>
          <w:sz w:val="24"/>
          <w:szCs w:val="24"/>
        </w:rPr>
        <w:t>Například</w:t>
      </w:r>
      <w:r w:rsidR="00BA5922" w:rsidRPr="004F08C7">
        <w:rPr>
          <w:rFonts w:ascii="Calibri" w:hAnsi="Calibri" w:cs="Calibri"/>
          <w:sz w:val="24"/>
          <w:szCs w:val="24"/>
        </w:rPr>
        <w:t xml:space="preserve"> </w:t>
      </w:r>
      <w:r w:rsidR="006E4B26" w:rsidRPr="004F08C7">
        <w:rPr>
          <w:rFonts w:ascii="Calibri" w:hAnsi="Calibri" w:cs="Calibri"/>
          <w:sz w:val="24"/>
          <w:szCs w:val="24"/>
        </w:rPr>
        <w:t xml:space="preserve">cílem </w:t>
      </w:r>
      <w:r w:rsidR="005163AA" w:rsidRPr="004F08C7">
        <w:rPr>
          <w:rFonts w:ascii="Calibri" w:hAnsi="Calibri" w:cs="Calibri"/>
          <w:sz w:val="24"/>
          <w:szCs w:val="24"/>
        </w:rPr>
        <w:t>projekt</w:t>
      </w:r>
      <w:r w:rsidR="006E4B26" w:rsidRPr="004F08C7">
        <w:rPr>
          <w:rFonts w:ascii="Calibri" w:hAnsi="Calibri" w:cs="Calibri"/>
          <w:sz w:val="24"/>
          <w:szCs w:val="24"/>
        </w:rPr>
        <w:t>u</w:t>
      </w:r>
      <w:r w:rsidR="005163AA" w:rsidRPr="004F08C7">
        <w:rPr>
          <w:rFonts w:ascii="Calibri" w:hAnsi="Calibri" w:cs="Calibri"/>
          <w:sz w:val="24"/>
          <w:szCs w:val="24"/>
        </w:rPr>
        <w:t xml:space="preserve"> </w:t>
      </w:r>
      <w:r w:rsidR="005163AA" w:rsidRPr="004F08C7">
        <w:rPr>
          <w:rFonts w:ascii="Calibri" w:hAnsi="Calibri" w:cs="Calibri"/>
          <w:i/>
          <w:sz w:val="24"/>
          <w:szCs w:val="24"/>
        </w:rPr>
        <w:t>Dokončení VVC v úseku VD Hněvkovice – Týn nad Vltavou</w:t>
      </w:r>
      <w:r w:rsidR="000B3D68" w:rsidRPr="004F08C7">
        <w:rPr>
          <w:rFonts w:ascii="Calibri" w:hAnsi="Calibri" w:cs="Calibri"/>
          <w:sz w:val="24"/>
          <w:szCs w:val="24"/>
        </w:rPr>
        <w:t xml:space="preserve"> </w:t>
      </w:r>
      <w:r w:rsidR="006E4B26" w:rsidRPr="004F08C7">
        <w:rPr>
          <w:rFonts w:ascii="Calibri" w:hAnsi="Calibri" w:cs="Calibri"/>
          <w:sz w:val="24"/>
          <w:szCs w:val="24"/>
        </w:rPr>
        <w:t xml:space="preserve">bylo </w:t>
      </w:r>
      <w:r w:rsidR="000B3D68" w:rsidRPr="004F08C7">
        <w:rPr>
          <w:rFonts w:ascii="Calibri" w:hAnsi="Calibri" w:cs="Calibri"/>
          <w:sz w:val="24"/>
          <w:szCs w:val="24"/>
        </w:rPr>
        <w:t>dokončení třetí etapy splavnění Vltavy do Českých Budějovic včetně napojení této části vodní cesty na vodní nádrž Orlík</w:t>
      </w:r>
      <w:r w:rsidR="006E4B26" w:rsidRPr="004F08C7">
        <w:rPr>
          <w:rFonts w:ascii="Calibri" w:hAnsi="Calibri" w:cs="Calibri"/>
          <w:sz w:val="24"/>
          <w:szCs w:val="24"/>
        </w:rPr>
        <w:t>. Ř</w:t>
      </w:r>
      <w:r w:rsidR="00613FA9" w:rsidRPr="004F08C7">
        <w:rPr>
          <w:rFonts w:ascii="Calibri" w:hAnsi="Calibri" w:cs="Calibri"/>
          <w:sz w:val="24"/>
          <w:szCs w:val="24"/>
        </w:rPr>
        <w:t xml:space="preserve">VC </w:t>
      </w:r>
      <w:r w:rsidR="006E4B26" w:rsidRPr="004F08C7">
        <w:rPr>
          <w:rFonts w:ascii="Calibri" w:hAnsi="Calibri" w:cs="Calibri"/>
          <w:sz w:val="24"/>
          <w:szCs w:val="24"/>
        </w:rPr>
        <w:t xml:space="preserve">projekt </w:t>
      </w:r>
      <w:r w:rsidR="00613FA9" w:rsidRPr="004F08C7">
        <w:rPr>
          <w:rFonts w:ascii="Calibri" w:hAnsi="Calibri" w:cs="Calibri"/>
          <w:sz w:val="24"/>
          <w:szCs w:val="24"/>
        </w:rPr>
        <w:t>dokončilo v dubnu 2017</w:t>
      </w:r>
      <w:r w:rsidR="006E4B26" w:rsidRPr="004F08C7">
        <w:rPr>
          <w:rFonts w:ascii="Calibri" w:hAnsi="Calibri" w:cs="Calibri"/>
          <w:sz w:val="24"/>
          <w:szCs w:val="24"/>
        </w:rPr>
        <w:t xml:space="preserve"> a v závěrečné monitorovací zprávě projektu z května 2017 </w:t>
      </w:r>
      <w:r w:rsidR="00F2491E" w:rsidRPr="004F08C7">
        <w:rPr>
          <w:rFonts w:ascii="Calibri" w:hAnsi="Calibri" w:cs="Calibri"/>
          <w:sz w:val="24"/>
          <w:szCs w:val="24"/>
        </w:rPr>
        <w:t xml:space="preserve">nepravdivě </w:t>
      </w:r>
      <w:r w:rsidR="006E4B26" w:rsidRPr="004F08C7">
        <w:rPr>
          <w:rFonts w:ascii="Calibri" w:hAnsi="Calibri" w:cs="Calibri"/>
          <w:sz w:val="24"/>
          <w:szCs w:val="24"/>
        </w:rPr>
        <w:t>prohlásilo cíle projektu za „</w:t>
      </w:r>
      <w:r w:rsidR="006E4B26" w:rsidRPr="004F08C7">
        <w:rPr>
          <w:rFonts w:ascii="Calibri" w:hAnsi="Calibri" w:cs="Calibri"/>
          <w:i/>
          <w:sz w:val="24"/>
          <w:szCs w:val="24"/>
        </w:rPr>
        <w:t>zcela a bezezbytku</w:t>
      </w:r>
      <w:r w:rsidR="006E4B26" w:rsidRPr="004F08C7">
        <w:rPr>
          <w:rFonts w:ascii="Calibri" w:hAnsi="Calibri" w:cs="Calibri"/>
          <w:sz w:val="24"/>
          <w:szCs w:val="24"/>
        </w:rPr>
        <w:t xml:space="preserve">“ splněné. </w:t>
      </w:r>
      <w:r w:rsidR="00F2491E" w:rsidRPr="004F08C7">
        <w:rPr>
          <w:rFonts w:ascii="Calibri" w:hAnsi="Calibri" w:cs="Calibri"/>
          <w:sz w:val="24"/>
          <w:szCs w:val="24"/>
        </w:rPr>
        <w:t>T</w:t>
      </w:r>
      <w:r w:rsidR="006E4B26" w:rsidRPr="004F08C7">
        <w:rPr>
          <w:rFonts w:ascii="Calibri" w:hAnsi="Calibri" w:cs="Calibri"/>
          <w:sz w:val="24"/>
          <w:szCs w:val="24"/>
        </w:rPr>
        <w:t xml:space="preserve">vrzení </w:t>
      </w:r>
      <w:r w:rsidR="00F2491E" w:rsidRPr="004F08C7">
        <w:rPr>
          <w:rFonts w:ascii="Calibri" w:hAnsi="Calibri" w:cs="Calibri"/>
          <w:sz w:val="24"/>
          <w:szCs w:val="24"/>
        </w:rPr>
        <w:t>ŘVC n</w:t>
      </w:r>
      <w:r w:rsidR="006E4B26" w:rsidRPr="004F08C7">
        <w:rPr>
          <w:rFonts w:ascii="Calibri" w:hAnsi="Calibri" w:cs="Calibri"/>
          <w:sz w:val="24"/>
          <w:szCs w:val="24"/>
        </w:rPr>
        <w:t>eodpovídá skutečnosti</w:t>
      </w:r>
      <w:r w:rsidR="00F2491E" w:rsidRPr="004F08C7">
        <w:rPr>
          <w:rFonts w:ascii="Calibri" w:hAnsi="Calibri" w:cs="Calibri"/>
          <w:sz w:val="24"/>
          <w:szCs w:val="24"/>
        </w:rPr>
        <w:t xml:space="preserve">, neboť </w:t>
      </w:r>
      <w:r w:rsidR="006E4B26" w:rsidRPr="004F08C7">
        <w:rPr>
          <w:rFonts w:ascii="Calibri" w:hAnsi="Calibri" w:cs="Calibri"/>
          <w:sz w:val="24"/>
          <w:szCs w:val="24"/>
        </w:rPr>
        <w:t xml:space="preserve">ŘVC </w:t>
      </w:r>
      <w:r w:rsidR="00F2491E" w:rsidRPr="004F08C7">
        <w:rPr>
          <w:rFonts w:ascii="Calibri" w:hAnsi="Calibri" w:cs="Calibri"/>
          <w:sz w:val="24"/>
          <w:szCs w:val="24"/>
        </w:rPr>
        <w:t>z projektu vypustilo</w:t>
      </w:r>
      <w:r w:rsidR="006E4B26" w:rsidRPr="004F08C7">
        <w:rPr>
          <w:rFonts w:ascii="Calibri" w:hAnsi="Calibri" w:cs="Calibri"/>
          <w:sz w:val="24"/>
          <w:szCs w:val="24"/>
        </w:rPr>
        <w:t xml:space="preserve"> </w:t>
      </w:r>
      <w:r w:rsidR="00BA5922" w:rsidRPr="004F08C7">
        <w:rPr>
          <w:rFonts w:ascii="Calibri" w:hAnsi="Calibri" w:cs="Calibri"/>
          <w:sz w:val="24"/>
          <w:szCs w:val="24"/>
        </w:rPr>
        <w:t xml:space="preserve">vyřešení nevyhovující podjezdné výšky mostu pro pěší v Týně nad Vltavou </w:t>
      </w:r>
      <w:r w:rsidR="00CF1FAE" w:rsidRPr="004F08C7">
        <w:rPr>
          <w:rFonts w:ascii="Calibri" w:hAnsi="Calibri" w:cs="Calibri"/>
          <w:sz w:val="24"/>
          <w:szCs w:val="24"/>
        </w:rPr>
        <w:t>brání</w:t>
      </w:r>
      <w:r w:rsidR="00FF6F3D" w:rsidRPr="004F08C7">
        <w:rPr>
          <w:rFonts w:ascii="Calibri" w:hAnsi="Calibri" w:cs="Calibri"/>
          <w:sz w:val="24"/>
          <w:szCs w:val="24"/>
        </w:rPr>
        <w:t>cí</w:t>
      </w:r>
      <w:r w:rsidR="00CF1FAE" w:rsidRPr="004F08C7">
        <w:rPr>
          <w:rFonts w:ascii="Calibri" w:hAnsi="Calibri" w:cs="Calibri"/>
          <w:sz w:val="24"/>
          <w:szCs w:val="24"/>
        </w:rPr>
        <w:t xml:space="preserve"> plavbě větších osobních a kabinových lodí</w:t>
      </w:r>
      <w:r w:rsidR="00540869" w:rsidRPr="004F08C7">
        <w:rPr>
          <w:rFonts w:ascii="Calibri" w:hAnsi="Calibri" w:cs="Calibri"/>
          <w:sz w:val="24"/>
          <w:szCs w:val="24"/>
        </w:rPr>
        <w:t>, které představ</w:t>
      </w:r>
      <w:r w:rsidR="00F2491E" w:rsidRPr="004F08C7">
        <w:rPr>
          <w:rFonts w:ascii="Calibri" w:hAnsi="Calibri" w:cs="Calibri"/>
          <w:sz w:val="24"/>
          <w:szCs w:val="24"/>
        </w:rPr>
        <w:t>ovaly</w:t>
      </w:r>
      <w:r w:rsidR="00540869" w:rsidRPr="004F08C7">
        <w:rPr>
          <w:rFonts w:ascii="Calibri" w:hAnsi="Calibri" w:cs="Calibri"/>
          <w:sz w:val="24"/>
          <w:szCs w:val="24"/>
        </w:rPr>
        <w:t xml:space="preserve"> důležitý segment vodní dopravy v hodnocení ekonomické efektivnosti projektu.</w:t>
      </w:r>
      <w:r w:rsidR="00B61AC2" w:rsidRPr="004F08C7">
        <w:rPr>
          <w:rFonts w:ascii="Calibri" w:hAnsi="Calibri" w:cs="Calibri"/>
          <w:sz w:val="24"/>
          <w:szCs w:val="24"/>
        </w:rPr>
        <w:t xml:space="preserve"> </w:t>
      </w:r>
      <w:r w:rsidR="008E2EE3" w:rsidRPr="004F08C7">
        <w:rPr>
          <w:rFonts w:ascii="Calibri" w:hAnsi="Calibri" w:cs="Calibri"/>
          <w:sz w:val="24"/>
          <w:szCs w:val="24"/>
        </w:rPr>
        <w:t xml:space="preserve">ŘVC sice navýšení podjezdné výšky mostu připravuje, ale </w:t>
      </w:r>
      <w:r w:rsidR="00D17DE2" w:rsidRPr="004F08C7">
        <w:rPr>
          <w:rFonts w:ascii="Calibri" w:hAnsi="Calibri" w:cs="Calibri"/>
          <w:sz w:val="24"/>
          <w:szCs w:val="24"/>
        </w:rPr>
        <w:t xml:space="preserve">jeho </w:t>
      </w:r>
      <w:r w:rsidR="008E2EE3" w:rsidRPr="004F08C7">
        <w:rPr>
          <w:rFonts w:ascii="Calibri" w:hAnsi="Calibri" w:cs="Calibri"/>
          <w:sz w:val="24"/>
          <w:szCs w:val="24"/>
        </w:rPr>
        <w:t xml:space="preserve">stavební realizaci </w:t>
      </w:r>
      <w:r w:rsidR="00D17DE2" w:rsidRPr="004F08C7">
        <w:rPr>
          <w:rFonts w:ascii="Calibri" w:hAnsi="Calibri" w:cs="Calibri"/>
          <w:sz w:val="24"/>
          <w:szCs w:val="24"/>
        </w:rPr>
        <w:t>zatím nezahájilo</w:t>
      </w:r>
      <w:r w:rsidR="008E2EE3" w:rsidRPr="004F08C7">
        <w:rPr>
          <w:rFonts w:ascii="Calibri" w:hAnsi="Calibri" w:cs="Calibri"/>
          <w:sz w:val="24"/>
          <w:szCs w:val="24"/>
        </w:rPr>
        <w:t xml:space="preserve">. Práce na odstranění další překážky na vodní cestě </w:t>
      </w:r>
      <w:r w:rsidR="00A72462">
        <w:rPr>
          <w:rFonts w:ascii="Calibri" w:hAnsi="Calibri" w:cs="Calibri"/>
          <w:sz w:val="24"/>
          <w:szCs w:val="24"/>
        </w:rPr>
        <w:br/>
      </w:r>
      <w:r w:rsidR="008E2EE3" w:rsidRPr="004F08C7">
        <w:rPr>
          <w:rFonts w:ascii="Calibri" w:hAnsi="Calibri" w:cs="Calibri"/>
          <w:sz w:val="24"/>
          <w:szCs w:val="24"/>
        </w:rPr>
        <w:t xml:space="preserve">mezi Orlíkem a Týnem nad Vltavou – úseku s problematickou splavností pod zdymadlem </w:t>
      </w:r>
      <w:proofErr w:type="spellStart"/>
      <w:r w:rsidR="008E2EE3" w:rsidRPr="004F08C7">
        <w:rPr>
          <w:rFonts w:ascii="Calibri" w:hAnsi="Calibri" w:cs="Calibri"/>
          <w:sz w:val="24"/>
          <w:szCs w:val="24"/>
        </w:rPr>
        <w:t>Kořensko</w:t>
      </w:r>
      <w:proofErr w:type="spellEnd"/>
      <w:r w:rsidR="008E2EE3" w:rsidRPr="004F08C7">
        <w:rPr>
          <w:rFonts w:ascii="Calibri" w:hAnsi="Calibri" w:cs="Calibri"/>
          <w:sz w:val="24"/>
          <w:szCs w:val="24"/>
        </w:rPr>
        <w:t xml:space="preserve"> – zahájilo </w:t>
      </w:r>
      <w:r w:rsidR="00FF6F3D" w:rsidRPr="004F08C7">
        <w:rPr>
          <w:rFonts w:ascii="Calibri" w:hAnsi="Calibri" w:cs="Calibri"/>
          <w:sz w:val="24"/>
          <w:szCs w:val="24"/>
        </w:rPr>
        <w:t>Povodí Vltavy</w:t>
      </w:r>
      <w:r w:rsidR="00540869" w:rsidRPr="004F08C7">
        <w:rPr>
          <w:rFonts w:ascii="Calibri" w:hAnsi="Calibri" w:cs="Calibri"/>
          <w:sz w:val="24"/>
          <w:szCs w:val="24"/>
        </w:rPr>
        <w:t xml:space="preserve"> až </w:t>
      </w:r>
      <w:r w:rsidR="009A4D76" w:rsidRPr="004F08C7">
        <w:rPr>
          <w:rFonts w:ascii="Calibri" w:hAnsi="Calibri" w:cs="Calibri"/>
          <w:sz w:val="24"/>
          <w:szCs w:val="24"/>
        </w:rPr>
        <w:t>v říjnu 2019 a dokončilo v dubnu 2021, tedy čtyři roky po dokončení projektu</w:t>
      </w:r>
      <w:r w:rsidR="00D17DE2" w:rsidRPr="004F08C7">
        <w:rPr>
          <w:rFonts w:ascii="Calibri" w:hAnsi="Calibri" w:cs="Calibri"/>
          <w:sz w:val="24"/>
          <w:szCs w:val="24"/>
        </w:rPr>
        <w:t xml:space="preserve"> </w:t>
      </w:r>
      <w:r w:rsidR="00D17DE2" w:rsidRPr="004F08C7">
        <w:rPr>
          <w:rFonts w:ascii="Calibri" w:hAnsi="Calibri" w:cs="Calibri"/>
          <w:i/>
          <w:sz w:val="24"/>
          <w:szCs w:val="24"/>
        </w:rPr>
        <w:t>Dokončení VVC v úseku VD Hněvkovice – Týn nad Vltavou</w:t>
      </w:r>
      <w:r w:rsidR="00FF6F3D" w:rsidRPr="004F08C7">
        <w:rPr>
          <w:rFonts w:ascii="Calibri" w:hAnsi="Calibri" w:cs="Calibri"/>
          <w:sz w:val="24"/>
          <w:szCs w:val="24"/>
        </w:rPr>
        <w:t>.</w:t>
      </w:r>
      <w:r w:rsidR="00CF1FAE" w:rsidRPr="004F08C7">
        <w:rPr>
          <w:rFonts w:ascii="Calibri" w:hAnsi="Calibri" w:cs="Calibri"/>
          <w:sz w:val="24"/>
          <w:szCs w:val="24"/>
        </w:rPr>
        <w:t xml:space="preserve"> </w:t>
      </w:r>
      <w:r w:rsidR="008E2EE3" w:rsidRPr="004F08C7">
        <w:rPr>
          <w:rFonts w:ascii="Calibri" w:hAnsi="Calibri" w:cs="Calibri"/>
          <w:sz w:val="24"/>
          <w:szCs w:val="24"/>
        </w:rPr>
        <w:t>V závěrečné monitorovací zprávě</w:t>
      </w:r>
      <w:r w:rsidR="00836C20" w:rsidRPr="004F08C7">
        <w:rPr>
          <w:rFonts w:ascii="Calibri" w:hAnsi="Calibri" w:cs="Calibri"/>
          <w:sz w:val="24"/>
          <w:szCs w:val="24"/>
        </w:rPr>
        <w:t xml:space="preserve"> projektu</w:t>
      </w:r>
      <w:r w:rsidR="008E2EE3" w:rsidRPr="004F08C7">
        <w:rPr>
          <w:rFonts w:ascii="Calibri" w:hAnsi="Calibri" w:cs="Calibri"/>
          <w:sz w:val="24"/>
          <w:szCs w:val="24"/>
        </w:rPr>
        <w:t xml:space="preserve"> se ŘVC o nevyhovující podjezdné výš</w:t>
      </w:r>
      <w:r w:rsidR="00836C20" w:rsidRPr="004F08C7">
        <w:rPr>
          <w:rFonts w:ascii="Calibri" w:hAnsi="Calibri" w:cs="Calibri"/>
          <w:sz w:val="24"/>
          <w:szCs w:val="24"/>
        </w:rPr>
        <w:t>ce</w:t>
      </w:r>
      <w:r w:rsidR="008E2EE3" w:rsidRPr="004F08C7">
        <w:rPr>
          <w:rFonts w:ascii="Calibri" w:hAnsi="Calibri" w:cs="Calibri"/>
          <w:sz w:val="24"/>
          <w:szCs w:val="24"/>
        </w:rPr>
        <w:t xml:space="preserve"> mostu v Týně nad Vltavou</w:t>
      </w:r>
      <w:r w:rsidR="00836C20" w:rsidRPr="004F08C7">
        <w:rPr>
          <w:rFonts w:ascii="Calibri" w:hAnsi="Calibri" w:cs="Calibri"/>
          <w:sz w:val="24"/>
          <w:szCs w:val="24"/>
        </w:rPr>
        <w:t xml:space="preserve"> ani o</w:t>
      </w:r>
      <w:r w:rsidR="008E2EE3" w:rsidRPr="004F08C7">
        <w:rPr>
          <w:rFonts w:ascii="Calibri" w:hAnsi="Calibri" w:cs="Calibri"/>
          <w:sz w:val="24"/>
          <w:szCs w:val="24"/>
        </w:rPr>
        <w:t xml:space="preserve"> úseku s problematickou splavností pod zdymadlem </w:t>
      </w:r>
      <w:proofErr w:type="spellStart"/>
      <w:r w:rsidR="008E2EE3" w:rsidRPr="004F08C7">
        <w:rPr>
          <w:rFonts w:ascii="Calibri" w:hAnsi="Calibri" w:cs="Calibri"/>
          <w:sz w:val="24"/>
          <w:szCs w:val="24"/>
        </w:rPr>
        <w:t>Kořensko</w:t>
      </w:r>
      <w:proofErr w:type="spellEnd"/>
      <w:r w:rsidR="008E2EE3" w:rsidRPr="004F08C7">
        <w:rPr>
          <w:rFonts w:ascii="Calibri" w:hAnsi="Calibri" w:cs="Calibri"/>
          <w:sz w:val="24"/>
          <w:szCs w:val="24"/>
        </w:rPr>
        <w:t xml:space="preserve"> nezmínilo. V</w:t>
      </w:r>
      <w:r w:rsidR="00836C20" w:rsidRPr="004F08C7">
        <w:rPr>
          <w:rFonts w:ascii="Calibri" w:hAnsi="Calibri" w:cs="Calibri"/>
          <w:sz w:val="24"/>
          <w:szCs w:val="24"/>
        </w:rPr>
        <w:t xml:space="preserve"> následné monitorovací zprávě z března 2018 </w:t>
      </w:r>
      <w:r w:rsidR="008E2EE3" w:rsidRPr="004F08C7">
        <w:rPr>
          <w:rFonts w:ascii="Calibri" w:hAnsi="Calibri" w:cs="Calibri"/>
          <w:sz w:val="24"/>
          <w:szCs w:val="24"/>
        </w:rPr>
        <w:t xml:space="preserve">existenci těchto překážek i jejich vliv na projekt </w:t>
      </w:r>
      <w:r w:rsidR="00836C20" w:rsidRPr="004F08C7">
        <w:rPr>
          <w:rFonts w:ascii="Calibri" w:hAnsi="Calibri" w:cs="Calibri"/>
          <w:sz w:val="24"/>
          <w:szCs w:val="24"/>
        </w:rPr>
        <w:t xml:space="preserve">ŘVC </w:t>
      </w:r>
      <w:r w:rsidR="008E2EE3" w:rsidRPr="004F08C7">
        <w:rPr>
          <w:rFonts w:ascii="Calibri" w:hAnsi="Calibri" w:cs="Calibri"/>
          <w:sz w:val="24"/>
          <w:szCs w:val="24"/>
        </w:rPr>
        <w:t>připustilo, ale konkrétní vyhodnocení neprovedlo.</w:t>
      </w:r>
    </w:p>
    <w:p w14:paraId="5E37E090" w14:textId="6C8D6B3B" w:rsidR="00F2491E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hAnsi="Calibri" w:cs="Calibri"/>
          <w:sz w:val="24"/>
          <w:szCs w:val="24"/>
        </w:rPr>
        <w:t>4.4</w:t>
      </w:r>
      <w:r w:rsidR="004D63B9" w:rsidRPr="004F08C7">
        <w:rPr>
          <w:rFonts w:ascii="Calibri" w:hAnsi="Calibri" w:cs="Calibri"/>
          <w:sz w:val="24"/>
          <w:szCs w:val="24"/>
        </w:rPr>
        <w:t>3</w:t>
      </w:r>
      <w:r w:rsidRPr="004F08C7">
        <w:rPr>
          <w:rFonts w:ascii="Calibri" w:hAnsi="Calibri" w:cs="Calibri"/>
          <w:sz w:val="24"/>
          <w:szCs w:val="24"/>
        </w:rPr>
        <w:t xml:space="preserve"> </w:t>
      </w:r>
      <w:r w:rsidR="007C3A33" w:rsidRPr="004F08C7">
        <w:rPr>
          <w:rFonts w:ascii="Calibri" w:hAnsi="Calibri" w:cs="Calibri"/>
          <w:sz w:val="24"/>
          <w:szCs w:val="24"/>
        </w:rPr>
        <w:t>V</w:t>
      </w:r>
      <w:r w:rsidR="00C4760C" w:rsidRPr="004F08C7">
        <w:rPr>
          <w:rFonts w:ascii="Calibri" w:hAnsi="Calibri" w:cs="Calibri"/>
          <w:sz w:val="24"/>
          <w:szCs w:val="24"/>
        </w:rPr>
        <w:t xml:space="preserve"> aktualizovaném </w:t>
      </w:r>
      <w:r w:rsidR="007C3A33" w:rsidRPr="004F08C7">
        <w:rPr>
          <w:rFonts w:ascii="Calibri" w:hAnsi="Calibri" w:cs="Calibri"/>
          <w:sz w:val="24"/>
          <w:szCs w:val="24"/>
        </w:rPr>
        <w:t xml:space="preserve">souhrnném (tahovém) hodnocení ekonomické efektivnosti </w:t>
      </w:r>
      <w:r w:rsidR="007113D1" w:rsidRPr="004F08C7">
        <w:rPr>
          <w:rFonts w:ascii="Calibri" w:hAnsi="Calibri" w:cs="Calibri"/>
          <w:sz w:val="24"/>
          <w:szCs w:val="24"/>
        </w:rPr>
        <w:t>z</w:t>
      </w:r>
      <w:r w:rsidR="00681E0B">
        <w:rPr>
          <w:rFonts w:ascii="Calibri" w:hAnsi="Calibri" w:cs="Calibri"/>
          <w:sz w:val="24"/>
          <w:szCs w:val="24"/>
        </w:rPr>
        <w:t> </w:t>
      </w:r>
      <w:r w:rsidR="007113D1" w:rsidRPr="004F08C7">
        <w:rPr>
          <w:rFonts w:ascii="Calibri" w:hAnsi="Calibri" w:cs="Calibri"/>
          <w:sz w:val="24"/>
          <w:szCs w:val="24"/>
        </w:rPr>
        <w:t>dubna</w:t>
      </w:r>
      <w:r w:rsidR="00681E0B">
        <w:rPr>
          <w:rFonts w:ascii="Calibri" w:hAnsi="Calibri" w:cs="Calibri"/>
          <w:sz w:val="24"/>
          <w:szCs w:val="24"/>
        </w:rPr>
        <w:t> </w:t>
      </w:r>
      <w:r w:rsidR="007113D1" w:rsidRPr="004F08C7">
        <w:rPr>
          <w:rFonts w:ascii="Calibri" w:hAnsi="Calibri" w:cs="Calibri"/>
          <w:sz w:val="24"/>
          <w:szCs w:val="24"/>
        </w:rPr>
        <w:t xml:space="preserve">2009 </w:t>
      </w:r>
      <w:r w:rsidR="008E2EE3" w:rsidRPr="004F08C7">
        <w:rPr>
          <w:rFonts w:ascii="Calibri" w:hAnsi="Calibri" w:cs="Calibri"/>
          <w:sz w:val="24"/>
          <w:szCs w:val="24"/>
        </w:rPr>
        <w:t xml:space="preserve">zahrnujícím </w:t>
      </w:r>
      <w:r w:rsidR="007C3A33" w:rsidRPr="004F08C7">
        <w:rPr>
          <w:rFonts w:ascii="Calibri" w:hAnsi="Calibri" w:cs="Calibri"/>
          <w:sz w:val="24"/>
          <w:szCs w:val="24"/>
        </w:rPr>
        <w:t xml:space="preserve">projekt </w:t>
      </w:r>
      <w:r w:rsidR="007113D1" w:rsidRPr="004F08C7">
        <w:rPr>
          <w:rFonts w:ascii="Calibri" w:hAnsi="Calibri" w:cs="Calibri"/>
          <w:i/>
          <w:sz w:val="24"/>
          <w:szCs w:val="24"/>
        </w:rPr>
        <w:t>Dokončení VVC v úseku VD Hněvkovice – Týn nad Vltavou</w:t>
      </w:r>
      <w:r w:rsidR="007113D1" w:rsidRPr="004F08C7">
        <w:rPr>
          <w:rFonts w:ascii="Calibri" w:hAnsi="Calibri" w:cs="Calibri"/>
          <w:sz w:val="24"/>
          <w:szCs w:val="24"/>
        </w:rPr>
        <w:t xml:space="preserve"> </w:t>
      </w:r>
      <w:r w:rsidR="007C3A33" w:rsidRPr="004F08C7">
        <w:rPr>
          <w:rFonts w:ascii="Calibri" w:hAnsi="Calibri" w:cs="Calibri"/>
          <w:sz w:val="24"/>
          <w:szCs w:val="24"/>
        </w:rPr>
        <w:t>ŘVC zdůraznilo nezbytnost komplexního dopravního řešení splavnění Vltavy do Českých Budějovic</w:t>
      </w:r>
      <w:r w:rsidR="008E2EE3" w:rsidRPr="004F08C7">
        <w:rPr>
          <w:rFonts w:ascii="Calibri" w:hAnsi="Calibri" w:cs="Calibri"/>
          <w:sz w:val="24"/>
          <w:szCs w:val="24"/>
        </w:rPr>
        <w:t>. To</w:t>
      </w:r>
      <w:r w:rsidR="00A6378E" w:rsidRPr="004F08C7">
        <w:rPr>
          <w:rFonts w:ascii="Calibri" w:hAnsi="Calibri" w:cs="Calibri"/>
          <w:sz w:val="24"/>
          <w:szCs w:val="24"/>
        </w:rPr>
        <w:t xml:space="preserve"> mělo</w:t>
      </w:r>
      <w:r w:rsidR="007C3A33" w:rsidRPr="004F08C7">
        <w:rPr>
          <w:rFonts w:ascii="Calibri" w:hAnsi="Calibri" w:cs="Calibri"/>
          <w:sz w:val="24"/>
          <w:szCs w:val="24"/>
        </w:rPr>
        <w:t xml:space="preserve"> </w:t>
      </w:r>
      <w:r w:rsidR="008E2EE3" w:rsidRPr="004F08C7">
        <w:rPr>
          <w:rFonts w:ascii="Calibri" w:hAnsi="Calibri" w:cs="Calibri"/>
          <w:sz w:val="24"/>
          <w:szCs w:val="24"/>
        </w:rPr>
        <w:t>obsahova</w:t>
      </w:r>
      <w:r w:rsidR="00A6378E" w:rsidRPr="004F08C7">
        <w:rPr>
          <w:rFonts w:ascii="Calibri" w:hAnsi="Calibri" w:cs="Calibri"/>
          <w:sz w:val="24"/>
          <w:szCs w:val="24"/>
        </w:rPr>
        <w:t>t</w:t>
      </w:r>
      <w:r w:rsidR="007C3A33" w:rsidRPr="004F08C7">
        <w:rPr>
          <w:rFonts w:ascii="Calibri" w:hAnsi="Calibri" w:cs="Calibri"/>
          <w:sz w:val="24"/>
          <w:szCs w:val="24"/>
        </w:rPr>
        <w:t xml:space="preserve"> nejen navýšení podjezdné výšky mostu v Týně nad Vltavou, ale i výstavbu lodních zdvihadel na Orlíku a Slapech: </w:t>
      </w:r>
      <w:r w:rsidR="007C3A33" w:rsidRPr="00972D33">
        <w:rPr>
          <w:rFonts w:ascii="Calibri" w:hAnsi="Calibri" w:cs="Calibri"/>
          <w:sz w:val="24"/>
          <w:szCs w:val="24"/>
        </w:rPr>
        <w:t>„</w:t>
      </w:r>
      <w:r w:rsidR="007C3A33" w:rsidRPr="004F08C7">
        <w:rPr>
          <w:rFonts w:ascii="Calibri" w:hAnsi="Calibri" w:cs="Calibri"/>
          <w:i/>
          <w:sz w:val="24"/>
          <w:szCs w:val="24"/>
        </w:rPr>
        <w:t xml:space="preserve">Zpracovatel je toho názoru, že investice </w:t>
      </w:r>
      <w:proofErr w:type="spellStart"/>
      <w:r w:rsidR="007C3A33" w:rsidRPr="004F08C7">
        <w:rPr>
          <w:rFonts w:ascii="Calibri" w:hAnsi="Calibri" w:cs="Calibri"/>
          <w:i/>
          <w:sz w:val="24"/>
          <w:szCs w:val="24"/>
        </w:rPr>
        <w:t>nabudou</w:t>
      </w:r>
      <w:proofErr w:type="spellEnd"/>
      <w:r w:rsidR="007C3A33" w:rsidRPr="004F08C7">
        <w:rPr>
          <w:rFonts w:ascii="Calibri" w:hAnsi="Calibri" w:cs="Calibri"/>
          <w:i/>
          <w:sz w:val="24"/>
          <w:szCs w:val="24"/>
        </w:rPr>
        <w:t xml:space="preserve"> marketingově a ekonomicky plného využití až v souvislosti s tím, že bude pro rekreační plavbu splavněna celá vodní cesta, v ideálním případě pak včetně fungujícího splavnění říční sítě ve městě České Budějovice ... Pokud by tomu tak nebylo, byla by atraktivita vodní cesty zkrácené na trasu České Budějovice – Týn n. Vltavou omezena a neumožňovala by zaměřovat se při rozvoji cestovního ruchu na ekonomicky nejpřínosnější cílové skupiny</w:t>
      </w:r>
      <w:r w:rsidR="007C3A33" w:rsidRPr="00972D33">
        <w:rPr>
          <w:rFonts w:ascii="Calibri" w:hAnsi="Calibri" w:cs="Calibri"/>
          <w:sz w:val="24"/>
          <w:szCs w:val="24"/>
        </w:rPr>
        <w:t>.“</w:t>
      </w:r>
      <w:r w:rsidR="00F15632" w:rsidRPr="004F08C7">
        <w:rPr>
          <w:rFonts w:ascii="Calibri" w:hAnsi="Calibri" w:cs="Calibri"/>
          <w:sz w:val="24"/>
          <w:szCs w:val="24"/>
        </w:rPr>
        <w:t xml:space="preserve"> </w:t>
      </w:r>
      <w:r w:rsidR="00BB5CF5" w:rsidRPr="004F08C7">
        <w:rPr>
          <w:rFonts w:ascii="Calibri" w:hAnsi="Calibri" w:cs="Calibri"/>
          <w:sz w:val="24"/>
          <w:szCs w:val="24"/>
        </w:rPr>
        <w:t xml:space="preserve">V záměru projektu „VD </w:t>
      </w:r>
      <w:proofErr w:type="spellStart"/>
      <w:r w:rsidR="00BB5CF5" w:rsidRPr="004F08C7">
        <w:rPr>
          <w:rFonts w:ascii="Calibri" w:hAnsi="Calibri" w:cs="Calibri"/>
          <w:sz w:val="24"/>
          <w:szCs w:val="24"/>
        </w:rPr>
        <w:t>Kořensko</w:t>
      </w:r>
      <w:proofErr w:type="spellEnd"/>
      <w:r w:rsidR="00BB5CF5" w:rsidRPr="004F08C7">
        <w:rPr>
          <w:rFonts w:ascii="Calibri" w:hAnsi="Calibri" w:cs="Calibri"/>
          <w:sz w:val="24"/>
          <w:szCs w:val="24"/>
        </w:rPr>
        <w:t xml:space="preserve"> – zajištění plavebních hloubek pod vodním dílem“ z</w:t>
      </w:r>
      <w:r w:rsidR="00681E0B">
        <w:rPr>
          <w:rFonts w:ascii="Calibri" w:hAnsi="Calibri" w:cs="Calibri"/>
          <w:sz w:val="24"/>
          <w:szCs w:val="24"/>
        </w:rPr>
        <w:t> </w:t>
      </w:r>
      <w:r w:rsidR="00BB5CF5" w:rsidRPr="004F08C7">
        <w:rPr>
          <w:rFonts w:ascii="Calibri" w:hAnsi="Calibri" w:cs="Calibri"/>
          <w:sz w:val="24"/>
          <w:szCs w:val="24"/>
        </w:rPr>
        <w:t>června</w:t>
      </w:r>
      <w:r w:rsidR="00681E0B">
        <w:rPr>
          <w:rFonts w:ascii="Calibri" w:hAnsi="Calibri" w:cs="Calibri"/>
          <w:sz w:val="24"/>
          <w:szCs w:val="24"/>
        </w:rPr>
        <w:t> </w:t>
      </w:r>
      <w:r w:rsidR="00BB5CF5" w:rsidRPr="004F08C7">
        <w:rPr>
          <w:rFonts w:ascii="Calibri" w:hAnsi="Calibri" w:cs="Calibri"/>
          <w:sz w:val="24"/>
          <w:szCs w:val="24"/>
        </w:rPr>
        <w:t xml:space="preserve">2019 Povodí Vltavy uvedlo, že v úseku mezi vodním dílem </w:t>
      </w:r>
      <w:proofErr w:type="spellStart"/>
      <w:r w:rsidR="00BB5CF5" w:rsidRPr="004F08C7">
        <w:rPr>
          <w:rFonts w:ascii="Calibri" w:hAnsi="Calibri" w:cs="Calibri"/>
          <w:sz w:val="24"/>
          <w:szCs w:val="24"/>
        </w:rPr>
        <w:t>Kořensko</w:t>
      </w:r>
      <w:proofErr w:type="spellEnd"/>
      <w:r w:rsidR="00BB5CF5" w:rsidRPr="004F08C7">
        <w:rPr>
          <w:rFonts w:ascii="Calibri" w:hAnsi="Calibri" w:cs="Calibri"/>
          <w:sz w:val="24"/>
          <w:szCs w:val="24"/>
        </w:rPr>
        <w:t xml:space="preserve"> a vodním dílem Orlík byla v letech 2015</w:t>
      </w:r>
      <w:r w:rsidR="00AA4BEE">
        <w:rPr>
          <w:rFonts w:ascii="Calibri" w:hAnsi="Calibri" w:cs="Calibri"/>
          <w:sz w:val="24"/>
          <w:szCs w:val="24"/>
        </w:rPr>
        <w:t>–</w:t>
      </w:r>
      <w:r w:rsidR="00BB5CF5" w:rsidRPr="004F08C7">
        <w:rPr>
          <w:rFonts w:ascii="Calibri" w:hAnsi="Calibri" w:cs="Calibri"/>
          <w:sz w:val="24"/>
          <w:szCs w:val="24"/>
        </w:rPr>
        <w:t>2018 omezena plavba v průměru po dobu 52,3 % plavební sezóny. V</w:t>
      </w:r>
      <w:r w:rsidR="00681E0B">
        <w:rPr>
          <w:rFonts w:ascii="Calibri" w:hAnsi="Calibri" w:cs="Calibri"/>
          <w:sz w:val="24"/>
          <w:szCs w:val="24"/>
        </w:rPr>
        <w:t> </w:t>
      </w:r>
      <w:r w:rsidR="00BB5CF5" w:rsidRPr="004F08C7">
        <w:rPr>
          <w:rFonts w:ascii="Calibri" w:hAnsi="Calibri" w:cs="Calibri"/>
          <w:sz w:val="24"/>
          <w:szCs w:val="24"/>
        </w:rPr>
        <w:t xml:space="preserve">hodnocení ekonomické efektivnosti, které bylo součástí tohoto záměru projektu uvedlo: </w:t>
      </w:r>
      <w:r w:rsidR="00BB5CF5" w:rsidRPr="004F08C7">
        <w:rPr>
          <w:rFonts w:ascii="Calibri" w:hAnsi="Calibri" w:cs="Calibri"/>
          <w:i/>
          <w:sz w:val="24"/>
          <w:szCs w:val="24"/>
        </w:rPr>
        <w:t xml:space="preserve">„Tento záměr ale patří do kontextu celého projektu „Dokončení Vltavské vodní cesty České Budějovice – Týn nad Vltavou“, protože zásadně ovlivňuje využití této vodní cesty. ... Souvislost vodní cesty od Českých Budějovic k Orlíku je ovšem limitována právě plavebními hloubkami pod VD </w:t>
      </w:r>
      <w:proofErr w:type="spellStart"/>
      <w:r w:rsidR="00BB5CF5" w:rsidRPr="004F08C7">
        <w:rPr>
          <w:rFonts w:ascii="Calibri" w:hAnsi="Calibri" w:cs="Calibri"/>
          <w:i/>
          <w:sz w:val="24"/>
          <w:szCs w:val="24"/>
        </w:rPr>
        <w:t>Kořensko</w:t>
      </w:r>
      <w:proofErr w:type="spellEnd"/>
      <w:r w:rsidR="00BB5CF5" w:rsidRPr="00972D33">
        <w:rPr>
          <w:rFonts w:ascii="Calibri" w:hAnsi="Calibri" w:cs="Calibri"/>
          <w:sz w:val="24"/>
          <w:szCs w:val="24"/>
        </w:rPr>
        <w:t>.“</w:t>
      </w:r>
      <w:r w:rsidR="00F2491E" w:rsidRPr="004F08C7">
        <w:rPr>
          <w:rFonts w:ascii="Calibri" w:hAnsi="Calibri" w:cs="Calibri"/>
          <w:sz w:val="24"/>
          <w:szCs w:val="24"/>
        </w:rPr>
        <w:t xml:space="preserve"> </w:t>
      </w:r>
    </w:p>
    <w:p w14:paraId="20AECB02" w14:textId="05E18F36" w:rsidR="00AA5EBE" w:rsidRPr="004F08C7" w:rsidRDefault="000C36CC" w:rsidP="004F08C7">
      <w:pPr>
        <w:tabs>
          <w:tab w:val="left" w:pos="5550"/>
        </w:tabs>
        <w:spacing w:after="120" w:line="252" w:lineRule="auto"/>
        <w:jc w:val="both"/>
        <w:rPr>
          <w:rFonts w:ascii="Calibri" w:hAnsi="Calibri" w:cs="Calibri"/>
          <w:sz w:val="24"/>
          <w:szCs w:val="24"/>
          <w:lang w:eastAsia="cs-CZ"/>
        </w:rPr>
      </w:pPr>
      <w:r w:rsidRPr="004F08C7">
        <w:rPr>
          <w:rFonts w:ascii="Calibri" w:hAnsi="Calibri" w:cs="Calibri"/>
          <w:sz w:val="24"/>
          <w:szCs w:val="24"/>
          <w:lang w:eastAsia="cs-CZ"/>
        </w:rPr>
        <w:t>4.4</w:t>
      </w:r>
      <w:r w:rsidR="004D63B9" w:rsidRPr="004F08C7">
        <w:rPr>
          <w:rFonts w:ascii="Calibri" w:hAnsi="Calibri" w:cs="Calibri"/>
          <w:sz w:val="24"/>
          <w:szCs w:val="24"/>
          <w:lang w:eastAsia="cs-CZ"/>
        </w:rPr>
        <w:t>4</w:t>
      </w:r>
      <w:r w:rsidRPr="004F08C7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AA5EBE" w:rsidRPr="004F08C7">
        <w:rPr>
          <w:rFonts w:ascii="Calibri" w:hAnsi="Calibri" w:cs="Calibri"/>
          <w:sz w:val="24"/>
          <w:szCs w:val="24"/>
          <w:lang w:eastAsia="cs-CZ"/>
        </w:rPr>
        <w:t>Za zásadní nedostat</w:t>
      </w:r>
      <w:r w:rsidR="00F15632" w:rsidRPr="004F08C7">
        <w:rPr>
          <w:rFonts w:ascii="Calibri" w:hAnsi="Calibri" w:cs="Calibri"/>
          <w:sz w:val="24"/>
          <w:szCs w:val="24"/>
          <w:lang w:eastAsia="cs-CZ"/>
        </w:rPr>
        <w:t>ky</w:t>
      </w:r>
      <w:r w:rsidR="00AA5EBE" w:rsidRPr="004F08C7">
        <w:rPr>
          <w:rFonts w:ascii="Calibri" w:hAnsi="Calibri" w:cs="Calibri"/>
          <w:sz w:val="24"/>
          <w:szCs w:val="24"/>
          <w:lang w:eastAsia="cs-CZ"/>
        </w:rPr>
        <w:t xml:space="preserve"> týkající se rekreační plavby </w:t>
      </w:r>
      <w:r w:rsidR="00681E0B" w:rsidRPr="004F08C7">
        <w:rPr>
          <w:rFonts w:ascii="Calibri" w:hAnsi="Calibri" w:cs="Calibri"/>
          <w:sz w:val="24"/>
          <w:szCs w:val="24"/>
          <w:lang w:eastAsia="cs-CZ"/>
        </w:rPr>
        <w:t xml:space="preserve">označilo </w:t>
      </w:r>
      <w:r w:rsidR="00AA5EBE" w:rsidRPr="004F08C7">
        <w:rPr>
          <w:rFonts w:ascii="Calibri" w:hAnsi="Calibri" w:cs="Calibri"/>
          <w:sz w:val="24"/>
          <w:szCs w:val="24"/>
          <w:lang w:eastAsia="cs-CZ"/>
        </w:rPr>
        <w:t>MD v DSS2 i v KVD chybějící síť bezpečných sjezdů do vody pro spouštění malých plavidel, nedostatečnou síť krátkodobých, střednědobých i dlouhodobých stání pro rekreační plavidla a nedostatečné hygienické a</w:t>
      </w:r>
      <w:r w:rsidR="00AA4BEE">
        <w:rPr>
          <w:rFonts w:ascii="Calibri" w:hAnsi="Calibri" w:cs="Calibri"/>
          <w:sz w:val="24"/>
          <w:szCs w:val="24"/>
          <w:lang w:eastAsia="cs-CZ"/>
        </w:rPr>
        <w:t> </w:t>
      </w:r>
      <w:r w:rsidR="00AA5EBE" w:rsidRPr="004F08C7">
        <w:rPr>
          <w:rFonts w:ascii="Calibri" w:hAnsi="Calibri" w:cs="Calibri"/>
          <w:sz w:val="24"/>
          <w:szCs w:val="24"/>
          <w:lang w:eastAsia="cs-CZ"/>
        </w:rPr>
        <w:t>servisní zázemí v přístavech.</w:t>
      </w:r>
      <w:r w:rsidR="00AE292E" w:rsidRPr="004F08C7">
        <w:rPr>
          <w:rFonts w:ascii="Calibri" w:hAnsi="Calibri" w:cs="Calibri"/>
          <w:sz w:val="24"/>
          <w:szCs w:val="24"/>
          <w:lang w:eastAsia="cs-CZ"/>
        </w:rPr>
        <w:t xml:space="preserve"> Zároveň ale nestanovilo časový ani finanční rámec nebo postup pro odstranění t</w:t>
      </w:r>
      <w:r w:rsidR="00F15632" w:rsidRPr="004F08C7">
        <w:rPr>
          <w:rFonts w:ascii="Calibri" w:hAnsi="Calibri" w:cs="Calibri"/>
          <w:sz w:val="24"/>
          <w:szCs w:val="24"/>
          <w:lang w:eastAsia="cs-CZ"/>
        </w:rPr>
        <w:t>ěch</w:t>
      </w:r>
      <w:r w:rsidR="00AE292E" w:rsidRPr="004F08C7">
        <w:rPr>
          <w:rFonts w:ascii="Calibri" w:hAnsi="Calibri" w:cs="Calibri"/>
          <w:sz w:val="24"/>
          <w:szCs w:val="24"/>
          <w:lang w:eastAsia="cs-CZ"/>
        </w:rPr>
        <w:t>to nedostatk</w:t>
      </w:r>
      <w:r w:rsidR="00F15632" w:rsidRPr="004F08C7">
        <w:rPr>
          <w:rFonts w:ascii="Calibri" w:hAnsi="Calibri" w:cs="Calibri"/>
          <w:sz w:val="24"/>
          <w:szCs w:val="24"/>
          <w:lang w:eastAsia="cs-CZ"/>
        </w:rPr>
        <w:t>ů</w:t>
      </w:r>
      <w:r w:rsidR="00AE292E" w:rsidRPr="004F08C7">
        <w:rPr>
          <w:rFonts w:ascii="Calibri" w:hAnsi="Calibri" w:cs="Calibri"/>
          <w:sz w:val="24"/>
          <w:szCs w:val="24"/>
          <w:lang w:eastAsia="cs-CZ"/>
        </w:rPr>
        <w:t>.</w:t>
      </w:r>
      <w:r w:rsidR="00C265DE" w:rsidRPr="004F08C7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0864DE" w:rsidRPr="004F08C7">
        <w:rPr>
          <w:rFonts w:ascii="Calibri" w:eastAsia="Arial Unicode MS" w:hAnsi="Calibri" w:cs="Calibri"/>
          <w:bCs/>
          <w:sz w:val="24"/>
          <w:szCs w:val="24"/>
        </w:rPr>
        <w:t>Souhrnná hodnocení efektivnosti investic na podporu rozvoje rekreační plavby a osobní lodní dopravy na labsko-vltavské vodní cestě a na Baťově kanále</w:t>
      </w:r>
      <w:r w:rsidR="000337B4" w:rsidRPr="004F08C7">
        <w:rPr>
          <w:rFonts w:ascii="Calibri" w:eastAsia="Arial Unicode MS" w:hAnsi="Calibri" w:cs="Calibri"/>
          <w:bCs/>
          <w:sz w:val="24"/>
          <w:szCs w:val="24"/>
        </w:rPr>
        <w:t xml:space="preserve"> (viz 4.15)</w:t>
      </w:r>
      <w:r w:rsidR="000864DE" w:rsidRPr="004F08C7">
        <w:rPr>
          <w:rFonts w:ascii="Calibri" w:eastAsia="Arial Unicode MS" w:hAnsi="Calibri" w:cs="Calibri"/>
          <w:bCs/>
          <w:sz w:val="24"/>
          <w:szCs w:val="24"/>
        </w:rPr>
        <w:t xml:space="preserve"> ve schválené variantě řešila </w:t>
      </w:r>
      <w:r w:rsidR="000337B4" w:rsidRPr="004F08C7">
        <w:rPr>
          <w:rFonts w:ascii="Calibri" w:eastAsia="Arial Unicode MS" w:hAnsi="Calibri" w:cs="Calibri"/>
          <w:bCs/>
          <w:sz w:val="24"/>
          <w:szCs w:val="24"/>
        </w:rPr>
        <w:t xml:space="preserve">jen výstavbu </w:t>
      </w:r>
      <w:r w:rsidR="004D2A0C" w:rsidRPr="004F08C7">
        <w:rPr>
          <w:rFonts w:ascii="Calibri" w:hAnsi="Calibri" w:cs="Calibri"/>
          <w:sz w:val="24"/>
          <w:szCs w:val="24"/>
          <w:lang w:eastAsia="cs-CZ"/>
        </w:rPr>
        <w:t xml:space="preserve">krátkodobých </w:t>
      </w:r>
      <w:r w:rsidR="00661B61">
        <w:rPr>
          <w:rFonts w:ascii="Calibri" w:hAnsi="Calibri" w:cs="Calibri"/>
          <w:sz w:val="24"/>
          <w:szCs w:val="24"/>
          <w:lang w:eastAsia="cs-CZ"/>
        </w:rPr>
        <w:t>a </w:t>
      </w:r>
      <w:r w:rsidR="004D2A0C" w:rsidRPr="004F08C7">
        <w:rPr>
          <w:rFonts w:ascii="Calibri" w:hAnsi="Calibri" w:cs="Calibri"/>
          <w:sz w:val="24"/>
          <w:szCs w:val="24"/>
          <w:lang w:eastAsia="cs-CZ"/>
        </w:rPr>
        <w:t>střednědobých</w:t>
      </w:r>
      <w:r w:rsidR="006B32BE" w:rsidRPr="004F08C7">
        <w:rPr>
          <w:rFonts w:ascii="Calibri" w:hAnsi="Calibri" w:cs="Calibri"/>
          <w:sz w:val="24"/>
          <w:szCs w:val="24"/>
          <w:lang w:eastAsia="cs-CZ"/>
        </w:rPr>
        <w:t xml:space="preserve"> stání plavidel</w:t>
      </w:r>
      <w:r w:rsidR="006B32BE" w:rsidRPr="004F08C7">
        <w:rPr>
          <w:rFonts w:ascii="Calibri" w:eastAsia="Arial Unicode MS" w:hAnsi="Calibri" w:cs="Calibri"/>
          <w:bCs/>
          <w:sz w:val="24"/>
          <w:szCs w:val="24"/>
        </w:rPr>
        <w:t xml:space="preserve">. </w:t>
      </w:r>
      <w:r w:rsidR="00C265DE" w:rsidRPr="004F08C7">
        <w:rPr>
          <w:rFonts w:ascii="Calibri" w:hAnsi="Calibri" w:cs="Calibri"/>
          <w:sz w:val="24"/>
          <w:szCs w:val="24"/>
          <w:lang w:eastAsia="cs-CZ"/>
        </w:rPr>
        <w:t xml:space="preserve">Problematika sjezdů do vody a servisního zázemí pro plavidla rekreační plavby byla </w:t>
      </w:r>
      <w:r w:rsidR="00C265DE" w:rsidRPr="004F08C7">
        <w:rPr>
          <w:rFonts w:ascii="Calibri" w:hAnsi="Calibri" w:cs="Calibri"/>
          <w:sz w:val="24"/>
          <w:szCs w:val="24"/>
          <w:lang w:eastAsia="cs-CZ"/>
        </w:rPr>
        <w:lastRenderedPageBreak/>
        <w:t>rozpracována ve studiích, které zadalo ŘVC v roce 2016</w:t>
      </w:r>
      <w:r w:rsidR="00A72CBF" w:rsidRPr="004F08C7">
        <w:rPr>
          <w:rFonts w:ascii="Calibri" w:hAnsi="Calibri" w:cs="Calibri"/>
          <w:sz w:val="24"/>
          <w:szCs w:val="24"/>
          <w:lang w:eastAsia="cs-CZ"/>
        </w:rPr>
        <w:t xml:space="preserve"> a v roce 2019</w:t>
      </w:r>
      <w:r w:rsidR="00C265DE" w:rsidRPr="004F08C7">
        <w:rPr>
          <w:rFonts w:ascii="Calibri" w:eastAsia="Arial Unicode MS" w:hAnsi="Calibri" w:cs="Calibri"/>
          <w:bCs/>
          <w:sz w:val="24"/>
          <w:szCs w:val="24"/>
          <w:vertAlign w:val="superscript"/>
        </w:rPr>
        <w:footnoteReference w:id="33"/>
      </w:r>
      <w:r w:rsidR="000337B4" w:rsidRPr="004F08C7">
        <w:rPr>
          <w:rFonts w:ascii="Calibri" w:hAnsi="Calibri" w:cs="Calibri"/>
          <w:sz w:val="24"/>
          <w:szCs w:val="24"/>
          <w:lang w:eastAsia="cs-CZ"/>
        </w:rPr>
        <w:t xml:space="preserve"> bez návaznosti na výstavbu </w:t>
      </w:r>
      <w:r w:rsidR="000337B4" w:rsidRPr="004F08C7">
        <w:rPr>
          <w:rFonts w:ascii="Calibri" w:eastAsia="Arial Unicode MS" w:hAnsi="Calibri" w:cs="Calibri"/>
          <w:bCs/>
          <w:sz w:val="24"/>
          <w:szCs w:val="24"/>
        </w:rPr>
        <w:t>přístavišť a přístavů.</w:t>
      </w:r>
      <w:r w:rsidR="000864DE" w:rsidRPr="004F08C7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0337B4" w:rsidRPr="004F08C7">
        <w:rPr>
          <w:rFonts w:ascii="Calibri" w:hAnsi="Calibri" w:cs="Calibri"/>
          <w:sz w:val="24"/>
          <w:szCs w:val="24"/>
          <w:lang w:eastAsia="cs-CZ"/>
        </w:rPr>
        <w:t xml:space="preserve">Například v Roudnici nad Labem má být podle studie z června 2016 vybudováno servisní centrum s největší kapacitou na středním Labi. Jeho výstavbu ale ŘVC v rámci výstavby přístaviště v Roudnici nad Labem neřešilo. </w:t>
      </w:r>
      <w:r w:rsidR="000575EB" w:rsidRPr="004F08C7">
        <w:rPr>
          <w:rFonts w:ascii="Calibri" w:hAnsi="Calibri" w:cs="Calibri"/>
          <w:sz w:val="24"/>
          <w:szCs w:val="24"/>
          <w:lang w:eastAsia="cs-CZ"/>
        </w:rPr>
        <w:t>MD nemá přehled o</w:t>
      </w:r>
      <w:r w:rsidR="00427803">
        <w:rPr>
          <w:rFonts w:ascii="Calibri" w:hAnsi="Calibri" w:cs="Calibri"/>
          <w:sz w:val="24"/>
          <w:szCs w:val="24"/>
          <w:lang w:eastAsia="cs-CZ"/>
        </w:rPr>
        <w:t> </w:t>
      </w:r>
      <w:r w:rsidR="000575EB" w:rsidRPr="004F08C7">
        <w:rPr>
          <w:rFonts w:ascii="Calibri" w:hAnsi="Calibri" w:cs="Calibri"/>
          <w:sz w:val="24"/>
          <w:szCs w:val="24"/>
          <w:lang w:eastAsia="cs-CZ"/>
        </w:rPr>
        <w:t xml:space="preserve">aktuálním počtu </w:t>
      </w:r>
      <w:r w:rsidR="000575EB" w:rsidRPr="004F08C7">
        <w:rPr>
          <w:rFonts w:ascii="Calibri" w:hAnsi="Calibri" w:cs="Calibri"/>
          <w:sz w:val="24"/>
          <w:szCs w:val="24"/>
        </w:rPr>
        <w:t>míst pro spuštění malých plavidel do vody na Labi a Vltavě</w:t>
      </w:r>
      <w:r w:rsidR="00891BD2" w:rsidRPr="004F08C7">
        <w:rPr>
          <w:rFonts w:ascii="Calibri" w:hAnsi="Calibri" w:cs="Calibri"/>
          <w:sz w:val="24"/>
          <w:szCs w:val="24"/>
        </w:rPr>
        <w:t xml:space="preserve">. Postupem výstavby </w:t>
      </w:r>
      <w:r w:rsidR="00891BD2" w:rsidRPr="004F08C7">
        <w:rPr>
          <w:rFonts w:ascii="Calibri" w:hAnsi="Calibri" w:cs="Calibri"/>
          <w:sz w:val="24"/>
          <w:szCs w:val="24"/>
          <w:lang w:eastAsia="cs-CZ"/>
        </w:rPr>
        <w:t>sítě bezpečných sjezdů do vody pro spouštění malých plavidel</w:t>
      </w:r>
      <w:r w:rsidR="00891BD2" w:rsidRPr="004F08C7">
        <w:rPr>
          <w:rFonts w:ascii="Calibri" w:hAnsi="Calibri" w:cs="Calibri"/>
          <w:sz w:val="24"/>
          <w:szCs w:val="24"/>
        </w:rPr>
        <w:t xml:space="preserve"> </w:t>
      </w:r>
      <w:r w:rsidR="000575EB" w:rsidRPr="004F08C7">
        <w:rPr>
          <w:rFonts w:ascii="Calibri" w:hAnsi="Calibri" w:cs="Calibri"/>
          <w:sz w:val="24"/>
          <w:szCs w:val="24"/>
        </w:rPr>
        <w:t>se blíže nezabývalo.</w:t>
      </w:r>
    </w:p>
    <w:p w14:paraId="6CAEC545" w14:textId="77777777" w:rsidR="00492FA7" w:rsidRPr="004F08C7" w:rsidRDefault="00492FA7" w:rsidP="004F08C7">
      <w:pPr>
        <w:spacing w:after="120" w:line="252" w:lineRule="auto"/>
        <w:ind w:left="142" w:hanging="142"/>
        <w:jc w:val="both"/>
        <w:rPr>
          <w:rFonts w:ascii="Calibri" w:hAnsi="Calibri" w:cs="Calibri"/>
          <w:b/>
          <w:sz w:val="24"/>
          <w:szCs w:val="24"/>
        </w:rPr>
      </w:pPr>
      <w:r w:rsidRPr="004F08C7">
        <w:rPr>
          <w:rFonts w:ascii="Calibri" w:hAnsi="Calibri" w:cs="Calibri"/>
          <w:b/>
          <w:sz w:val="24"/>
          <w:szCs w:val="24"/>
        </w:rPr>
        <w:t>MD neplní opatření pro ekologizaci plavidel osobní lodní dopravy</w:t>
      </w:r>
    </w:p>
    <w:p w14:paraId="07D2D517" w14:textId="135BB5E2" w:rsidR="00492FA7" w:rsidRPr="004F08C7" w:rsidRDefault="000C36CC" w:rsidP="004F08C7">
      <w:pPr>
        <w:spacing w:after="120" w:line="252" w:lineRule="auto"/>
        <w:jc w:val="both"/>
        <w:rPr>
          <w:rFonts w:ascii="Calibri" w:hAnsi="Calibri" w:cs="Calibri"/>
          <w:sz w:val="24"/>
          <w:szCs w:val="24"/>
        </w:rPr>
      </w:pPr>
      <w:r w:rsidRPr="004F08C7">
        <w:rPr>
          <w:rFonts w:ascii="Calibri" w:eastAsia="Arial Unicode MS" w:hAnsi="Calibri" w:cs="Calibri"/>
          <w:bCs/>
          <w:sz w:val="24"/>
          <w:szCs w:val="24"/>
        </w:rPr>
        <w:t>4.4</w:t>
      </w:r>
      <w:r w:rsidR="004D63B9" w:rsidRPr="004F08C7">
        <w:rPr>
          <w:rFonts w:ascii="Calibri" w:eastAsia="Arial Unicode MS" w:hAnsi="Calibri" w:cs="Calibri"/>
          <w:bCs/>
          <w:sz w:val="24"/>
          <w:szCs w:val="24"/>
        </w:rPr>
        <w:t>5</w:t>
      </w:r>
      <w:r w:rsidRPr="004F08C7">
        <w:rPr>
          <w:rFonts w:ascii="Calibri" w:eastAsia="Arial Unicode MS" w:hAnsi="Calibri" w:cs="Calibri"/>
          <w:bCs/>
          <w:sz w:val="24"/>
          <w:szCs w:val="24"/>
        </w:rPr>
        <w:t xml:space="preserve"> </w:t>
      </w:r>
      <w:r w:rsidR="00492FA7" w:rsidRPr="004F08C7">
        <w:rPr>
          <w:rFonts w:ascii="Calibri" w:eastAsia="Arial Unicode MS" w:hAnsi="Calibri" w:cs="Calibri"/>
          <w:bCs/>
          <w:sz w:val="24"/>
          <w:szCs w:val="24"/>
        </w:rPr>
        <w:t>Podle Dopravní politiky i KVD má MD vytvářet podmínky pro modernizaci plavidel nákladní i osobní lodní dopravy, zejména podpořit ekologizaci jejich motorů</w:t>
      </w:r>
      <w:r w:rsidR="00492FA7" w:rsidRPr="004F08C7">
        <w:rPr>
          <w:rFonts w:ascii="Calibri" w:hAnsi="Calibri" w:cs="Calibri"/>
          <w:sz w:val="24"/>
          <w:szCs w:val="24"/>
          <w:vertAlign w:val="superscript"/>
        </w:rPr>
        <w:footnoteReference w:id="34"/>
      </w:r>
      <w:r w:rsidR="00492FA7" w:rsidRPr="004F08C7">
        <w:rPr>
          <w:rFonts w:ascii="Calibri" w:eastAsia="Arial Unicode MS" w:hAnsi="Calibri" w:cs="Calibri"/>
          <w:bCs/>
          <w:sz w:val="24"/>
          <w:szCs w:val="24"/>
        </w:rPr>
        <w:t xml:space="preserve">. NKÚ ovšem zjistil, že MD nedisponuje </w:t>
      </w:r>
      <w:r w:rsidR="00492FA7" w:rsidRPr="004F08C7">
        <w:rPr>
          <w:rFonts w:ascii="Calibri" w:hAnsi="Calibri" w:cs="Calibri"/>
          <w:sz w:val="24"/>
          <w:szCs w:val="24"/>
        </w:rPr>
        <w:t>žádnými analytickými materiály mapujícími aktuální stav flotily osobních plavidel v ČR ani žádnými jinými dokumenty k dané problematice. Na rozdíl od nákladních plavidel MD o poskytování žádné podpory na modernizaci osobních plavidel nerozhodlo. MD tedy neplní opatření Dopravní politiky směřující k ekologizaci těchto plavidel</w:t>
      </w:r>
      <w:r w:rsidR="004C7EB0" w:rsidRPr="004F08C7">
        <w:rPr>
          <w:rFonts w:ascii="Calibri" w:hAnsi="Calibri" w:cs="Calibri"/>
          <w:sz w:val="24"/>
          <w:szCs w:val="24"/>
        </w:rPr>
        <w:t xml:space="preserve"> a neplní v této oblasti povinnosti stanovené mu právním předpisem</w:t>
      </w:r>
      <w:r w:rsidR="00214A39" w:rsidRPr="004F08C7">
        <w:rPr>
          <w:rStyle w:val="Znakapoznpodarou"/>
          <w:rFonts w:ascii="Calibri" w:hAnsi="Calibri" w:cs="Calibri"/>
          <w:sz w:val="24"/>
          <w:szCs w:val="24"/>
        </w:rPr>
        <w:footnoteReference w:id="35"/>
      </w:r>
      <w:r w:rsidR="00492FA7" w:rsidRPr="004F08C7">
        <w:rPr>
          <w:rFonts w:ascii="Calibri" w:hAnsi="Calibri" w:cs="Calibri"/>
          <w:sz w:val="24"/>
          <w:szCs w:val="24"/>
        </w:rPr>
        <w:t>.</w:t>
      </w:r>
      <w:r w:rsidRPr="004F08C7">
        <w:rPr>
          <w:rFonts w:ascii="Calibri" w:hAnsi="Calibri" w:cs="Calibri"/>
          <w:sz w:val="24"/>
          <w:szCs w:val="24"/>
        </w:rPr>
        <w:t xml:space="preserve"> </w:t>
      </w:r>
      <w:r w:rsidR="007E7BC9" w:rsidRPr="004F08C7">
        <w:rPr>
          <w:rFonts w:ascii="Calibri" w:hAnsi="Calibri" w:cs="Calibri"/>
          <w:sz w:val="24"/>
          <w:szCs w:val="24"/>
        </w:rPr>
        <w:t>Přehled o počtu plavidel pro rekreační plavbu evidovaných v plavebním rejstříku a v rejstříku malých plavidel v letech 2014</w:t>
      </w:r>
      <w:r w:rsidR="001865C1" w:rsidRPr="004F08C7">
        <w:rPr>
          <w:rFonts w:ascii="Calibri" w:hAnsi="Calibri" w:cs="Calibri"/>
          <w:sz w:val="24"/>
          <w:szCs w:val="24"/>
        </w:rPr>
        <w:t>–</w:t>
      </w:r>
      <w:r w:rsidR="007E7BC9" w:rsidRPr="004F08C7">
        <w:rPr>
          <w:rFonts w:ascii="Calibri" w:hAnsi="Calibri" w:cs="Calibri"/>
          <w:sz w:val="24"/>
          <w:szCs w:val="24"/>
        </w:rPr>
        <w:t>2020 je uveden v příloze</w:t>
      </w:r>
      <w:r w:rsidR="00B4029E">
        <w:rPr>
          <w:rFonts w:ascii="Calibri" w:hAnsi="Calibri" w:cs="Calibri"/>
          <w:sz w:val="24"/>
          <w:szCs w:val="24"/>
        </w:rPr>
        <w:t xml:space="preserve"> č. 2</w:t>
      </w:r>
      <w:r w:rsidR="007E7BC9" w:rsidRPr="004F08C7">
        <w:rPr>
          <w:rFonts w:ascii="Calibri" w:hAnsi="Calibri" w:cs="Calibri"/>
          <w:sz w:val="24"/>
          <w:szCs w:val="24"/>
        </w:rPr>
        <w:t xml:space="preserve"> tohoto kontrolního závěru. </w:t>
      </w:r>
    </w:p>
    <w:p w14:paraId="3E4591EC" w14:textId="77777777" w:rsidR="00891BD2" w:rsidRPr="007C5A1B" w:rsidRDefault="00891BD2" w:rsidP="007E7BC9">
      <w:pPr>
        <w:spacing w:after="0" w:line="252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14:paraId="0DFBD7EA" w14:textId="77777777" w:rsidR="008F2BD1" w:rsidRPr="007C5A1B" w:rsidRDefault="008F2BD1" w:rsidP="007E7BC9">
      <w:pPr>
        <w:spacing w:after="0" w:line="252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14:paraId="1196E2EF" w14:textId="77777777" w:rsidR="007C5A1B" w:rsidRPr="007C5A1B" w:rsidRDefault="007C5A1B" w:rsidP="007E7BC9">
      <w:pPr>
        <w:spacing w:after="0" w:line="252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14:paraId="648CA3C5" w14:textId="567DD1B7" w:rsidR="00973C14" w:rsidRDefault="00973C14" w:rsidP="00D11D2F">
      <w:pPr>
        <w:keepNext/>
        <w:spacing w:after="120" w:line="252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Seznam zkratek</w:t>
      </w:r>
    </w:p>
    <w:p w14:paraId="02739835" w14:textId="77777777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ČR </w:t>
      </w:r>
      <w:r>
        <w:rPr>
          <w:rFonts w:ascii="Calibri" w:hAnsi="Calibri" w:cs="Calibri"/>
          <w:sz w:val="24"/>
          <w:szCs w:val="24"/>
        </w:rPr>
        <w:tab/>
        <w:t>Česká republika</w:t>
      </w:r>
    </w:p>
    <w:p w14:paraId="785794AC" w14:textId="101D7330" w:rsidR="00042A89" w:rsidRDefault="00042A89" w:rsidP="00D11D2F">
      <w:pPr>
        <w:keepNext/>
        <w:spacing w:after="0" w:line="252" w:lineRule="auto"/>
        <w:ind w:left="2552" w:hanging="2552"/>
        <w:contextualSpacing/>
        <w:rPr>
          <w:rFonts w:eastAsia="Calibri" w:cstheme="minorHAns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Dopravní politika</w:t>
      </w:r>
      <w:r>
        <w:rPr>
          <w:rFonts w:ascii="Calibri" w:hAnsi="Calibri" w:cs="Calibri"/>
          <w:sz w:val="24"/>
          <w:szCs w:val="24"/>
        </w:rPr>
        <w:tab/>
      </w:r>
      <w:r w:rsidRPr="00B14645">
        <w:rPr>
          <w:rFonts w:eastAsia="Calibri" w:cstheme="minorHAnsi"/>
          <w:i/>
          <w:sz w:val="24"/>
          <w:szCs w:val="24"/>
        </w:rPr>
        <w:t>Dopravní politik</w:t>
      </w:r>
      <w:r>
        <w:rPr>
          <w:rFonts w:eastAsia="Calibri" w:cstheme="minorHAnsi"/>
          <w:i/>
          <w:sz w:val="24"/>
          <w:szCs w:val="24"/>
        </w:rPr>
        <w:t>a</w:t>
      </w:r>
      <w:r>
        <w:rPr>
          <w:rFonts w:eastAsia="Calibri" w:cstheme="minorHAnsi"/>
          <w:sz w:val="24"/>
          <w:szCs w:val="24"/>
        </w:rPr>
        <w:t xml:space="preserve"> </w:t>
      </w:r>
      <w:r w:rsidRPr="0056545F">
        <w:rPr>
          <w:rFonts w:eastAsia="Calibri" w:cstheme="minorHAnsi"/>
          <w:i/>
          <w:sz w:val="24"/>
          <w:szCs w:val="24"/>
        </w:rPr>
        <w:t>České republiky pro období let 2014 až 2020 s</w:t>
      </w:r>
      <w:r>
        <w:rPr>
          <w:rFonts w:eastAsia="Calibri" w:cstheme="minorHAnsi"/>
          <w:i/>
          <w:sz w:val="24"/>
          <w:szCs w:val="24"/>
        </w:rPr>
        <w:t> </w:t>
      </w:r>
      <w:r w:rsidRPr="0056545F">
        <w:rPr>
          <w:rFonts w:eastAsia="Calibri" w:cstheme="minorHAnsi"/>
          <w:i/>
          <w:sz w:val="24"/>
          <w:szCs w:val="24"/>
        </w:rPr>
        <w:t>výhledem do roku 2050</w:t>
      </w:r>
    </w:p>
    <w:p w14:paraId="27A2E25A" w14:textId="70A4AB96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DPH</w:t>
      </w:r>
      <w:r>
        <w:rPr>
          <w:rFonts w:ascii="Calibri" w:hAnsi="Calibri" w:cs="Calibri"/>
          <w:sz w:val="24"/>
          <w:szCs w:val="24"/>
        </w:rPr>
        <w:tab/>
        <w:t>daň z přidané hodnoty</w:t>
      </w:r>
    </w:p>
    <w:p w14:paraId="2ED259E9" w14:textId="77777777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DSS2</w:t>
      </w:r>
      <w:r>
        <w:rPr>
          <w:rFonts w:ascii="Calibri" w:hAnsi="Calibri" w:cs="Calibri"/>
          <w:sz w:val="24"/>
          <w:szCs w:val="24"/>
        </w:rPr>
        <w:tab/>
      </w:r>
      <w:r w:rsidRPr="00972D33">
        <w:rPr>
          <w:rFonts w:eastAsia="Calibri" w:cstheme="minorHAnsi"/>
          <w:i/>
          <w:sz w:val="24"/>
          <w:szCs w:val="24"/>
        </w:rPr>
        <w:t>Dopravní sektorové strategie, 2. fáze</w:t>
      </w:r>
    </w:p>
    <w:p w14:paraId="56D00780" w14:textId="77777777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EU </w:t>
      </w:r>
      <w:r>
        <w:rPr>
          <w:rFonts w:ascii="Calibri" w:hAnsi="Calibri" w:cs="Calibri"/>
          <w:sz w:val="24"/>
          <w:szCs w:val="24"/>
        </w:rPr>
        <w:tab/>
        <w:t>Evropská unie</w:t>
      </w:r>
    </w:p>
    <w:p w14:paraId="05BC9AC3" w14:textId="77777777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KVD</w:t>
      </w:r>
      <w:r>
        <w:rPr>
          <w:rFonts w:ascii="Calibri" w:hAnsi="Calibri" w:cs="Calibri"/>
          <w:sz w:val="24"/>
          <w:szCs w:val="24"/>
        </w:rPr>
        <w:tab/>
      </w:r>
      <w:r w:rsidRPr="00972D33">
        <w:rPr>
          <w:rFonts w:eastAsia="Calibri" w:cstheme="minorHAnsi"/>
          <w:i/>
          <w:sz w:val="24"/>
          <w:szCs w:val="24"/>
        </w:rPr>
        <w:t>Koncepce vodní dopravy</w:t>
      </w:r>
    </w:p>
    <w:p w14:paraId="2F89D57A" w14:textId="77777777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MD </w:t>
      </w:r>
      <w:r>
        <w:rPr>
          <w:rFonts w:ascii="Calibri" w:hAnsi="Calibri" w:cs="Calibri"/>
          <w:sz w:val="24"/>
          <w:szCs w:val="24"/>
        </w:rPr>
        <w:tab/>
        <w:t>Ministerstvo dopravy</w:t>
      </w:r>
    </w:p>
    <w:p w14:paraId="55CF6A5B" w14:textId="77777777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eastAsia="Calibr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MMR</w:t>
      </w:r>
      <w:r>
        <w:rPr>
          <w:rFonts w:ascii="Calibri" w:hAnsi="Calibri" w:cs="Calibr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>Ministerstvo pro místní rozvoj</w:t>
      </w:r>
    </w:p>
    <w:p w14:paraId="11301860" w14:textId="77777777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MZe</w:t>
      </w:r>
      <w:proofErr w:type="spellEnd"/>
      <w:r>
        <w:rPr>
          <w:rFonts w:ascii="Calibri" w:hAnsi="Calibri" w:cs="Calibri"/>
          <w:sz w:val="24"/>
          <w:szCs w:val="24"/>
        </w:rPr>
        <w:tab/>
      </w:r>
      <w:r>
        <w:rPr>
          <w:rFonts w:cstheme="minorHAnsi"/>
          <w:sz w:val="24"/>
          <w:szCs w:val="24"/>
        </w:rPr>
        <w:t>Ministerstvo zemědělství</w:t>
      </w:r>
    </w:p>
    <w:p w14:paraId="7D23E341" w14:textId="77777777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NKÚ</w:t>
      </w:r>
      <w:r>
        <w:rPr>
          <w:rFonts w:ascii="Calibri" w:hAnsi="Calibri" w:cs="Calibri"/>
          <w:sz w:val="24"/>
          <w:szCs w:val="24"/>
        </w:rPr>
        <w:tab/>
        <w:t>Nejvyšší kontrolní úřad</w:t>
      </w:r>
    </w:p>
    <w:p w14:paraId="64D22049" w14:textId="33E32E13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OPD</w:t>
      </w:r>
      <w:r>
        <w:rPr>
          <w:rFonts w:ascii="Calibri" w:hAnsi="Calibri" w:cs="Calibri"/>
          <w:sz w:val="24"/>
          <w:szCs w:val="24"/>
        </w:rPr>
        <w:tab/>
      </w:r>
      <w:r w:rsidR="00042A89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perační program </w:t>
      </w:r>
      <w:r w:rsidRPr="00972D33">
        <w:rPr>
          <w:rFonts w:cstheme="minorHAnsi"/>
          <w:i/>
          <w:sz w:val="24"/>
          <w:szCs w:val="24"/>
        </w:rPr>
        <w:t>Doprava</w:t>
      </w:r>
      <w:r>
        <w:rPr>
          <w:rFonts w:cstheme="minorHAnsi"/>
          <w:sz w:val="24"/>
          <w:szCs w:val="24"/>
        </w:rPr>
        <w:t xml:space="preserve"> na léta 2007</w:t>
      </w:r>
      <w:r w:rsidR="00A7246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>2013</w:t>
      </w:r>
    </w:p>
    <w:p w14:paraId="6C2D6B1B" w14:textId="77777777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PK</w:t>
      </w:r>
      <w:r>
        <w:rPr>
          <w:rFonts w:ascii="Calibri" w:hAnsi="Calibri" w:cs="Calibri"/>
          <w:sz w:val="24"/>
          <w:szCs w:val="24"/>
        </w:rPr>
        <w:tab/>
        <w:t>plavební komora</w:t>
      </w:r>
    </w:p>
    <w:p w14:paraId="2572DBCD" w14:textId="77777777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ŘVC </w:t>
      </w:r>
      <w:r>
        <w:rPr>
          <w:rFonts w:ascii="Calibri" w:hAnsi="Calibri" w:cs="Calibri"/>
          <w:sz w:val="24"/>
          <w:szCs w:val="24"/>
        </w:rPr>
        <w:tab/>
        <w:t>Ředitelství vodních cest ČR</w:t>
      </w:r>
    </w:p>
    <w:p w14:paraId="42671E04" w14:textId="77777777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Povodí Vltavy</w:t>
      </w:r>
      <w:r>
        <w:rPr>
          <w:rFonts w:ascii="Calibri" w:hAnsi="Calibri" w:cs="Calibr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Povodí Vltavy, státní podnik, Praha</w:t>
      </w:r>
    </w:p>
    <w:p w14:paraId="08F7516E" w14:textId="77777777" w:rsidR="00973C14" w:rsidRDefault="00973C14" w:rsidP="00D11D2F">
      <w:pPr>
        <w:keepNext/>
        <w:spacing w:after="0" w:line="252" w:lineRule="auto"/>
        <w:ind w:left="2552" w:hanging="2552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SFDI</w:t>
      </w:r>
      <w:r>
        <w:rPr>
          <w:rFonts w:ascii="Calibri" w:hAnsi="Calibri" w:cs="Calibri"/>
          <w:sz w:val="24"/>
          <w:szCs w:val="24"/>
        </w:rPr>
        <w:tab/>
        <w:t>Státní fond dopravní infrastruktury</w:t>
      </w:r>
    </w:p>
    <w:p w14:paraId="12FB9180" w14:textId="77777777" w:rsidR="00973C14" w:rsidRDefault="00973C1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5809993D" w14:textId="0D086DEA" w:rsidR="007E7BC9" w:rsidRPr="00A72462" w:rsidRDefault="005A6415" w:rsidP="00C823BA">
      <w:pPr>
        <w:spacing w:after="0" w:line="252" w:lineRule="auto"/>
        <w:jc w:val="right"/>
        <w:rPr>
          <w:rFonts w:cstheme="minorHAnsi"/>
          <w:b/>
          <w:sz w:val="24"/>
          <w:szCs w:val="24"/>
        </w:rPr>
      </w:pPr>
      <w:r w:rsidRPr="00A72462">
        <w:rPr>
          <w:rFonts w:cstheme="minorHAnsi"/>
          <w:b/>
          <w:sz w:val="24"/>
          <w:szCs w:val="24"/>
        </w:rPr>
        <w:lastRenderedPageBreak/>
        <w:t>Příloh</w:t>
      </w:r>
      <w:r w:rsidR="00661B61">
        <w:rPr>
          <w:rFonts w:cstheme="minorHAnsi"/>
          <w:b/>
          <w:sz w:val="24"/>
          <w:szCs w:val="24"/>
        </w:rPr>
        <w:t>a č. 1</w:t>
      </w:r>
    </w:p>
    <w:p w14:paraId="0348ACC7" w14:textId="77777777" w:rsidR="005A6415" w:rsidRDefault="005A6415" w:rsidP="00C823BA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16190C30" w14:textId="30A32071" w:rsidR="00AF1F96" w:rsidRPr="00A72462" w:rsidRDefault="00AF1F96" w:rsidP="009B37BD">
      <w:pPr>
        <w:spacing w:after="0" w:line="252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A72462">
        <w:rPr>
          <w:rFonts w:eastAsia="Calibri" w:cstheme="minorHAnsi"/>
          <w:b/>
          <w:bCs/>
          <w:sz w:val="24"/>
          <w:szCs w:val="24"/>
        </w:rPr>
        <w:t>Počet osobních lodí a malých (sportovních) plavidel proplavených vybranými plavebními komorami na labsko</w:t>
      </w:r>
      <w:r w:rsidR="00BC4C45">
        <w:rPr>
          <w:rFonts w:eastAsia="Calibri" w:cstheme="minorHAnsi"/>
          <w:b/>
          <w:bCs/>
          <w:sz w:val="24"/>
          <w:szCs w:val="24"/>
        </w:rPr>
        <w:t>-</w:t>
      </w:r>
      <w:r w:rsidRPr="00A72462">
        <w:rPr>
          <w:rFonts w:eastAsia="Calibri" w:cstheme="minorHAnsi"/>
          <w:b/>
          <w:bCs/>
          <w:sz w:val="24"/>
          <w:szCs w:val="24"/>
        </w:rPr>
        <w:t>vltavské vodní cestě a Baťově kanálu v letech 2014</w:t>
      </w:r>
      <w:r w:rsidR="00A72462">
        <w:rPr>
          <w:rFonts w:eastAsia="Calibri" w:cstheme="minorHAnsi"/>
          <w:b/>
          <w:bCs/>
          <w:sz w:val="24"/>
          <w:szCs w:val="24"/>
        </w:rPr>
        <w:t>–</w:t>
      </w:r>
      <w:r w:rsidRPr="00A72462">
        <w:rPr>
          <w:rFonts w:eastAsia="Calibri" w:cstheme="minorHAnsi"/>
          <w:b/>
          <w:bCs/>
          <w:sz w:val="24"/>
          <w:szCs w:val="24"/>
        </w:rPr>
        <w:t>2020</w:t>
      </w:r>
    </w:p>
    <w:p w14:paraId="59F54243" w14:textId="77777777" w:rsidR="00AF1F96" w:rsidRDefault="00AF1F96" w:rsidP="00C823BA">
      <w:pPr>
        <w:spacing w:after="0" w:line="252" w:lineRule="auto"/>
        <w:rPr>
          <w:rFonts w:eastAsia="Calibri" w:cstheme="minorHAnsi"/>
          <w:b/>
          <w:bCs/>
          <w:sz w:val="24"/>
          <w:szCs w:val="24"/>
        </w:rPr>
      </w:pPr>
    </w:p>
    <w:p w14:paraId="30FBF75B" w14:textId="77777777" w:rsidR="00AF1F96" w:rsidRPr="00EC2E23" w:rsidRDefault="00AF1F96" w:rsidP="00EC2E23">
      <w:pPr>
        <w:spacing w:after="0" w:line="252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EC2E23">
        <w:rPr>
          <w:rFonts w:eastAsia="Calibri" w:cstheme="minorHAnsi"/>
          <w:b/>
          <w:bCs/>
          <w:sz w:val="24"/>
          <w:szCs w:val="24"/>
        </w:rPr>
        <w:t>Dolní Labe – osobní lodě</w:t>
      </w:r>
    </w:p>
    <w:tbl>
      <w:tblPr>
        <w:tblpPr w:leftFromText="141" w:rightFromText="141" w:vertAnchor="text" w:horzAnchor="margin" w:tblpXSpec="center" w:tblpY="129"/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</w:tblGrid>
      <w:tr w:rsidR="00AF1F96" w:rsidRPr="00262D2D" w14:paraId="21FB80E0" w14:textId="77777777" w:rsidTr="00262D2D">
        <w:trPr>
          <w:trHeight w:val="255"/>
        </w:trPr>
        <w:tc>
          <w:tcPr>
            <w:tcW w:w="2268" w:type="dxa"/>
            <w:shd w:val="clear" w:color="auto" w:fill="DEEAF6" w:themeFill="accent1" w:themeFillTint="33"/>
            <w:noWrap/>
            <w:vAlign w:val="bottom"/>
            <w:hideMark/>
          </w:tcPr>
          <w:p w14:paraId="4D4D30EE" w14:textId="7D206883" w:rsidR="00AF1F96" w:rsidRPr="00262D2D" w:rsidRDefault="00AF1F96" w:rsidP="00EC2E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/>
                <w:bCs/>
                <w:sz w:val="20"/>
                <w:szCs w:val="20"/>
              </w:rPr>
              <w:t>Plavební komora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255AF041" w14:textId="77777777" w:rsidR="00AF1F96" w:rsidRPr="00262D2D" w:rsidRDefault="00AF1F96" w:rsidP="00262D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2CBFC6A1" w14:textId="77777777" w:rsidR="00AF1F96" w:rsidRPr="00262D2D" w:rsidRDefault="00AF1F96" w:rsidP="00262D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5433E03C" w14:textId="77777777" w:rsidR="00AF1F96" w:rsidRPr="00262D2D" w:rsidRDefault="00AF1F96" w:rsidP="00262D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652E3E27" w14:textId="77777777" w:rsidR="00AF1F96" w:rsidRPr="00262D2D" w:rsidRDefault="00AF1F96" w:rsidP="00262D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3A134EA3" w14:textId="77777777" w:rsidR="00AF1F96" w:rsidRPr="00262D2D" w:rsidRDefault="00AF1F96" w:rsidP="00262D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11BC8F58" w14:textId="77777777" w:rsidR="00AF1F96" w:rsidRPr="00262D2D" w:rsidRDefault="00AF1F96" w:rsidP="00262D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09D3EB6E" w14:textId="77777777" w:rsidR="00AF1F96" w:rsidRPr="00262D2D" w:rsidRDefault="00AF1F96" w:rsidP="00262D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/>
                <w:bCs/>
                <w:sz w:val="20"/>
                <w:szCs w:val="20"/>
              </w:rPr>
              <w:t>2020</w:t>
            </w:r>
          </w:p>
        </w:tc>
      </w:tr>
      <w:tr w:rsidR="00AF1F96" w:rsidRPr="00262D2D" w14:paraId="2E3A1F85" w14:textId="77777777" w:rsidTr="00262D2D">
        <w:trPr>
          <w:trHeight w:val="255"/>
        </w:trPr>
        <w:tc>
          <w:tcPr>
            <w:tcW w:w="2268" w:type="dxa"/>
            <w:shd w:val="clear" w:color="auto" w:fill="auto"/>
            <w:noWrap/>
          </w:tcPr>
          <w:p w14:paraId="488BE7C4" w14:textId="77777777" w:rsidR="00AF1F96" w:rsidRPr="00972D33" w:rsidRDefault="00AF1F96" w:rsidP="00EC2E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D. Beřkovice</w:t>
            </w:r>
          </w:p>
        </w:tc>
        <w:tc>
          <w:tcPr>
            <w:tcW w:w="964" w:type="dxa"/>
            <w:vAlign w:val="center"/>
          </w:tcPr>
          <w:p w14:paraId="3A47349A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113</w:t>
            </w:r>
          </w:p>
        </w:tc>
        <w:tc>
          <w:tcPr>
            <w:tcW w:w="964" w:type="dxa"/>
            <w:vAlign w:val="center"/>
          </w:tcPr>
          <w:p w14:paraId="58B9CF16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119</w:t>
            </w:r>
          </w:p>
        </w:tc>
        <w:tc>
          <w:tcPr>
            <w:tcW w:w="964" w:type="dxa"/>
            <w:vAlign w:val="center"/>
          </w:tcPr>
          <w:p w14:paraId="6B4A6258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190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FABC4A1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101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BA3154E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139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A750962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128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6F5C958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</w:tr>
      <w:tr w:rsidR="00AF1F96" w:rsidRPr="00262D2D" w14:paraId="4ADE95C4" w14:textId="77777777" w:rsidTr="00262D2D">
        <w:trPr>
          <w:trHeight w:val="255"/>
        </w:trPr>
        <w:tc>
          <w:tcPr>
            <w:tcW w:w="2268" w:type="dxa"/>
            <w:shd w:val="clear" w:color="auto" w:fill="auto"/>
            <w:noWrap/>
          </w:tcPr>
          <w:p w14:paraId="06D7F009" w14:textId="77777777" w:rsidR="00AF1F96" w:rsidRPr="00972D33" w:rsidRDefault="00AF1F96" w:rsidP="00EC2E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Roudnice n. L.</w:t>
            </w:r>
          </w:p>
        </w:tc>
        <w:tc>
          <w:tcPr>
            <w:tcW w:w="964" w:type="dxa"/>
            <w:vAlign w:val="center"/>
          </w:tcPr>
          <w:p w14:paraId="25203E05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118</w:t>
            </w:r>
          </w:p>
        </w:tc>
        <w:tc>
          <w:tcPr>
            <w:tcW w:w="964" w:type="dxa"/>
            <w:vAlign w:val="center"/>
          </w:tcPr>
          <w:p w14:paraId="60F81ADC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118</w:t>
            </w:r>
          </w:p>
        </w:tc>
        <w:tc>
          <w:tcPr>
            <w:tcW w:w="964" w:type="dxa"/>
            <w:vAlign w:val="center"/>
          </w:tcPr>
          <w:p w14:paraId="292B49FB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183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CC1F6C6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126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8250CE8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170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06CE73E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172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CEFE985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116</w:t>
            </w:r>
          </w:p>
        </w:tc>
      </w:tr>
      <w:tr w:rsidR="00AF1F96" w:rsidRPr="00262D2D" w14:paraId="6FDB6D8A" w14:textId="77777777" w:rsidTr="00262D2D">
        <w:trPr>
          <w:trHeight w:val="255"/>
        </w:trPr>
        <w:tc>
          <w:tcPr>
            <w:tcW w:w="2268" w:type="dxa"/>
            <w:shd w:val="clear" w:color="auto" w:fill="auto"/>
            <w:noWrap/>
            <w:hideMark/>
          </w:tcPr>
          <w:p w14:paraId="58246EB9" w14:textId="77777777" w:rsidR="00AF1F96" w:rsidRPr="00972D33" w:rsidRDefault="00AF1F96" w:rsidP="00EC2E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Střekov</w:t>
            </w:r>
            <w:proofErr w:type="spellEnd"/>
          </w:p>
        </w:tc>
        <w:tc>
          <w:tcPr>
            <w:tcW w:w="964" w:type="dxa"/>
            <w:vAlign w:val="center"/>
          </w:tcPr>
          <w:p w14:paraId="08B885FA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112</w:t>
            </w:r>
          </w:p>
        </w:tc>
        <w:tc>
          <w:tcPr>
            <w:tcW w:w="964" w:type="dxa"/>
            <w:vAlign w:val="center"/>
          </w:tcPr>
          <w:p w14:paraId="29F88856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110</w:t>
            </w:r>
          </w:p>
        </w:tc>
        <w:tc>
          <w:tcPr>
            <w:tcW w:w="964" w:type="dxa"/>
            <w:vAlign w:val="center"/>
          </w:tcPr>
          <w:p w14:paraId="3E930DC7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289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A847086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186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5DD875E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89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E9EEDF4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127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21B6417" w14:textId="77777777" w:rsidR="00AF1F96" w:rsidRPr="00262D2D" w:rsidRDefault="00AF1F96" w:rsidP="00262D2D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62D2D">
              <w:rPr>
                <w:rFonts w:ascii="Calibri" w:hAnsi="Calibri" w:cs="Calibri"/>
                <w:bCs/>
                <w:sz w:val="20"/>
                <w:szCs w:val="20"/>
              </w:rPr>
              <w:t>212</w:t>
            </w:r>
          </w:p>
        </w:tc>
      </w:tr>
    </w:tbl>
    <w:p w14:paraId="50064743" w14:textId="77777777" w:rsidR="00AF1F96" w:rsidRPr="00EC2E23" w:rsidRDefault="00AF1F96" w:rsidP="00EC2E23">
      <w:pPr>
        <w:spacing w:after="0" w:line="252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1BE8B720" w14:textId="77777777" w:rsidR="00AF1F96" w:rsidRPr="00EC2E23" w:rsidRDefault="00AF1F96" w:rsidP="00EC2E23">
      <w:pPr>
        <w:spacing w:after="0" w:line="252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EC2E23">
        <w:rPr>
          <w:rFonts w:eastAsia="Calibri" w:cstheme="minorHAnsi"/>
          <w:b/>
          <w:bCs/>
          <w:sz w:val="24"/>
          <w:szCs w:val="24"/>
        </w:rPr>
        <w:t>Dolní Labe – malá plavidla</w:t>
      </w:r>
    </w:p>
    <w:tbl>
      <w:tblPr>
        <w:tblpPr w:leftFromText="141" w:rightFromText="141" w:vertAnchor="text" w:horzAnchor="margin" w:tblpXSpec="center" w:tblpY="129"/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</w:tblGrid>
      <w:tr w:rsidR="00AF1F96" w:rsidRPr="006B4037" w14:paraId="773BD89A" w14:textId="77777777" w:rsidTr="006B4037">
        <w:trPr>
          <w:trHeight w:val="255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14:paraId="49C5FBAD" w14:textId="5F566525" w:rsidR="00AF1F96" w:rsidRPr="006B4037" w:rsidRDefault="00AF1F96" w:rsidP="006B4037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/>
                <w:bCs/>
                <w:sz w:val="20"/>
                <w:szCs w:val="20"/>
              </w:rPr>
              <w:t>Plavební komora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4B54E667" w14:textId="77777777" w:rsidR="00AF1F96" w:rsidRPr="006B4037" w:rsidRDefault="00AF1F96" w:rsidP="006B4037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1317CCFF" w14:textId="77777777" w:rsidR="00AF1F96" w:rsidRPr="006B4037" w:rsidRDefault="00AF1F96" w:rsidP="006B4037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1320025E" w14:textId="77777777" w:rsidR="00AF1F96" w:rsidRPr="006B4037" w:rsidRDefault="00AF1F96" w:rsidP="006B4037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4E079EAC" w14:textId="77777777" w:rsidR="00AF1F96" w:rsidRPr="006B4037" w:rsidRDefault="00AF1F96" w:rsidP="006B4037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155F141D" w14:textId="77777777" w:rsidR="00AF1F96" w:rsidRPr="006B4037" w:rsidRDefault="00AF1F96" w:rsidP="006B4037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7B935806" w14:textId="77777777" w:rsidR="00AF1F96" w:rsidRPr="006B4037" w:rsidRDefault="00AF1F96" w:rsidP="006B4037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5EA4E6EC" w14:textId="77777777" w:rsidR="00AF1F96" w:rsidRPr="006B4037" w:rsidRDefault="00AF1F96" w:rsidP="006B4037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/>
                <w:bCs/>
                <w:sz w:val="20"/>
                <w:szCs w:val="20"/>
              </w:rPr>
              <w:t>2020</w:t>
            </w:r>
          </w:p>
        </w:tc>
      </w:tr>
      <w:tr w:rsidR="00AF1F96" w:rsidRPr="006B4037" w14:paraId="5E42F635" w14:textId="77777777" w:rsidTr="006B4037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14:paraId="4DF1893A" w14:textId="77777777" w:rsidR="00AF1F96" w:rsidRPr="00972D33" w:rsidRDefault="00AF1F96" w:rsidP="006B4037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D. Beřkovice</w:t>
            </w:r>
          </w:p>
        </w:tc>
        <w:tc>
          <w:tcPr>
            <w:tcW w:w="964" w:type="dxa"/>
            <w:vAlign w:val="center"/>
          </w:tcPr>
          <w:p w14:paraId="462A4485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670</w:t>
            </w:r>
          </w:p>
        </w:tc>
        <w:tc>
          <w:tcPr>
            <w:tcW w:w="964" w:type="dxa"/>
            <w:vAlign w:val="center"/>
          </w:tcPr>
          <w:p w14:paraId="5E9382F9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861</w:t>
            </w:r>
          </w:p>
        </w:tc>
        <w:tc>
          <w:tcPr>
            <w:tcW w:w="964" w:type="dxa"/>
            <w:vAlign w:val="center"/>
          </w:tcPr>
          <w:p w14:paraId="5C14706F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866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72A3455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911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9266AD5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1 156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1DD51EE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969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29D0E87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1 175</w:t>
            </w:r>
          </w:p>
        </w:tc>
      </w:tr>
      <w:tr w:rsidR="00AF1F96" w:rsidRPr="006B4037" w14:paraId="74CC5234" w14:textId="77777777" w:rsidTr="006B4037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14:paraId="49EC2CB1" w14:textId="77777777" w:rsidR="00AF1F96" w:rsidRPr="00972D33" w:rsidRDefault="00AF1F96" w:rsidP="006B4037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Roudnice n. L.</w:t>
            </w:r>
          </w:p>
        </w:tc>
        <w:tc>
          <w:tcPr>
            <w:tcW w:w="964" w:type="dxa"/>
            <w:vAlign w:val="center"/>
          </w:tcPr>
          <w:p w14:paraId="047B6031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812</w:t>
            </w:r>
          </w:p>
        </w:tc>
        <w:tc>
          <w:tcPr>
            <w:tcW w:w="964" w:type="dxa"/>
            <w:vAlign w:val="center"/>
          </w:tcPr>
          <w:p w14:paraId="0C25DBC5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1 066</w:t>
            </w:r>
          </w:p>
        </w:tc>
        <w:tc>
          <w:tcPr>
            <w:tcW w:w="964" w:type="dxa"/>
            <w:vAlign w:val="center"/>
          </w:tcPr>
          <w:p w14:paraId="236CCF3D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1 070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0571341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1 204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78A7204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1 452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544CF48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1 316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BD0D01A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1 399</w:t>
            </w:r>
          </w:p>
        </w:tc>
      </w:tr>
      <w:tr w:rsidR="00AF1F96" w:rsidRPr="006B4037" w14:paraId="0CA61E2A" w14:textId="77777777" w:rsidTr="006B4037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7A9025" w14:textId="77777777" w:rsidR="00AF1F96" w:rsidRPr="00972D33" w:rsidRDefault="00AF1F96" w:rsidP="006B4037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Střekov</w:t>
            </w:r>
            <w:proofErr w:type="spellEnd"/>
          </w:p>
        </w:tc>
        <w:tc>
          <w:tcPr>
            <w:tcW w:w="964" w:type="dxa"/>
            <w:vAlign w:val="center"/>
          </w:tcPr>
          <w:p w14:paraId="41F8D400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472</w:t>
            </w:r>
          </w:p>
        </w:tc>
        <w:tc>
          <w:tcPr>
            <w:tcW w:w="964" w:type="dxa"/>
            <w:vAlign w:val="center"/>
          </w:tcPr>
          <w:p w14:paraId="01E9E7CF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417</w:t>
            </w:r>
          </w:p>
        </w:tc>
        <w:tc>
          <w:tcPr>
            <w:tcW w:w="964" w:type="dxa"/>
            <w:vAlign w:val="center"/>
          </w:tcPr>
          <w:p w14:paraId="056EA195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453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0397926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578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7E94AC3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407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BE5EC9F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563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EB33933" w14:textId="77777777" w:rsidR="00AF1F96" w:rsidRPr="006B4037" w:rsidRDefault="00AF1F96" w:rsidP="006B4037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B4037">
              <w:rPr>
                <w:rFonts w:ascii="Calibri" w:hAnsi="Calibri" w:cs="Calibri"/>
                <w:bCs/>
                <w:sz w:val="20"/>
                <w:szCs w:val="20"/>
              </w:rPr>
              <w:t>496</w:t>
            </w:r>
          </w:p>
        </w:tc>
      </w:tr>
    </w:tbl>
    <w:p w14:paraId="5BDFF36B" w14:textId="77777777" w:rsidR="00AF1F96" w:rsidRPr="00EC2E23" w:rsidRDefault="00AF1F96" w:rsidP="00EC2E23">
      <w:pPr>
        <w:spacing w:after="0" w:line="252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398A389F" w14:textId="77777777" w:rsidR="00AF1F96" w:rsidRPr="00EC2E23" w:rsidRDefault="00AF1F96" w:rsidP="00EC2E23">
      <w:pPr>
        <w:spacing w:after="0" w:line="252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EC2E23">
        <w:rPr>
          <w:rFonts w:cstheme="minorHAnsi"/>
          <w:b/>
          <w:sz w:val="24"/>
          <w:szCs w:val="24"/>
        </w:rPr>
        <w:t>Střední</w:t>
      </w:r>
      <w:r w:rsidRPr="00EC2E23">
        <w:rPr>
          <w:rFonts w:eastAsia="Calibri" w:cstheme="minorHAnsi"/>
          <w:b/>
          <w:bCs/>
          <w:sz w:val="24"/>
          <w:szCs w:val="24"/>
        </w:rPr>
        <w:t xml:space="preserve"> Labe – osobní lodě</w:t>
      </w:r>
    </w:p>
    <w:tbl>
      <w:tblPr>
        <w:tblpPr w:leftFromText="141" w:rightFromText="141" w:vertAnchor="text" w:horzAnchor="margin" w:tblpXSpec="center" w:tblpY="129"/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</w:tblGrid>
      <w:tr w:rsidR="00AF1F96" w:rsidRPr="00C823BA" w14:paraId="3A1C4F1D" w14:textId="77777777" w:rsidTr="00C823BA">
        <w:trPr>
          <w:trHeight w:val="255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14:paraId="06AB030F" w14:textId="10732A84" w:rsidR="00AF1F96" w:rsidRPr="00C823BA" w:rsidRDefault="00AF1F96" w:rsidP="00C823BA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/>
                <w:bCs/>
                <w:sz w:val="20"/>
                <w:szCs w:val="20"/>
              </w:rPr>
              <w:t>Plavební komora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69A0FB03" w14:textId="77777777" w:rsidR="00AF1F96" w:rsidRPr="00C823BA" w:rsidRDefault="00AF1F96" w:rsidP="00C823BA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5FCA9481" w14:textId="77777777" w:rsidR="00AF1F96" w:rsidRPr="00C823BA" w:rsidRDefault="00AF1F96" w:rsidP="00C823BA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79B000B6" w14:textId="77777777" w:rsidR="00AF1F96" w:rsidRPr="00C823BA" w:rsidRDefault="00AF1F96" w:rsidP="00C823BA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70183CE0" w14:textId="77777777" w:rsidR="00AF1F96" w:rsidRPr="00C823BA" w:rsidRDefault="00AF1F96" w:rsidP="00C823BA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6CE459D4" w14:textId="77777777" w:rsidR="00AF1F96" w:rsidRPr="00C823BA" w:rsidRDefault="00AF1F96" w:rsidP="00C823BA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0F570EFB" w14:textId="77777777" w:rsidR="00AF1F96" w:rsidRPr="00C823BA" w:rsidRDefault="00AF1F96" w:rsidP="00C823BA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19E67B7E" w14:textId="77777777" w:rsidR="00AF1F96" w:rsidRPr="00C823BA" w:rsidRDefault="00AF1F96" w:rsidP="00C823BA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/>
                <w:bCs/>
                <w:sz w:val="20"/>
                <w:szCs w:val="20"/>
              </w:rPr>
              <w:t>2020</w:t>
            </w:r>
          </w:p>
        </w:tc>
      </w:tr>
      <w:tr w:rsidR="00AF1F96" w:rsidRPr="00C823BA" w14:paraId="318985D7" w14:textId="77777777" w:rsidTr="00C823BA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14:paraId="6B13EA2B" w14:textId="77777777" w:rsidR="00AF1F96" w:rsidRPr="00972D33" w:rsidRDefault="00AF1F96" w:rsidP="00C823BA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Týnec n. L.</w:t>
            </w:r>
          </w:p>
        </w:tc>
        <w:tc>
          <w:tcPr>
            <w:tcW w:w="964" w:type="dxa"/>
            <w:vAlign w:val="center"/>
          </w:tcPr>
          <w:p w14:paraId="760B5D44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14:paraId="2D05FE67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59FD8344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DA1BD57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0E9932F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BC07785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1B6167D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</w:tr>
      <w:tr w:rsidR="00AF1F96" w:rsidRPr="00C823BA" w14:paraId="5B56159B" w14:textId="77777777" w:rsidTr="00C823BA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14:paraId="03E04713" w14:textId="77777777" w:rsidR="00AF1F96" w:rsidRPr="00972D33" w:rsidRDefault="00AF1F96" w:rsidP="00C823BA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Poděbrady</w:t>
            </w:r>
          </w:p>
        </w:tc>
        <w:tc>
          <w:tcPr>
            <w:tcW w:w="964" w:type="dxa"/>
            <w:vAlign w:val="center"/>
          </w:tcPr>
          <w:p w14:paraId="4E135FB2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782</w:t>
            </w:r>
          </w:p>
        </w:tc>
        <w:tc>
          <w:tcPr>
            <w:tcW w:w="964" w:type="dxa"/>
            <w:vAlign w:val="center"/>
          </w:tcPr>
          <w:p w14:paraId="584B078E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817</w:t>
            </w:r>
          </w:p>
        </w:tc>
        <w:tc>
          <w:tcPr>
            <w:tcW w:w="964" w:type="dxa"/>
            <w:vAlign w:val="center"/>
          </w:tcPr>
          <w:p w14:paraId="516DAEE6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829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7DB7F00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886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AA40DD9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879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2B41892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807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21F719C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679</w:t>
            </w:r>
          </w:p>
        </w:tc>
      </w:tr>
      <w:tr w:rsidR="00AF1F96" w:rsidRPr="00C823BA" w14:paraId="17C41318" w14:textId="77777777" w:rsidTr="00C823BA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87D465" w14:textId="77777777" w:rsidR="00AF1F96" w:rsidRPr="00972D33" w:rsidRDefault="00AF1F96" w:rsidP="00C823BA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Brandýs n. L.</w:t>
            </w:r>
          </w:p>
        </w:tc>
        <w:tc>
          <w:tcPr>
            <w:tcW w:w="964" w:type="dxa"/>
            <w:vAlign w:val="center"/>
          </w:tcPr>
          <w:p w14:paraId="45EBEE8C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14:paraId="072B521F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964" w:type="dxa"/>
            <w:vAlign w:val="center"/>
          </w:tcPr>
          <w:p w14:paraId="23FA19E6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CC04D98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86D8D2C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DCD995D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57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3817076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</w:tr>
      <w:tr w:rsidR="00AF1F96" w:rsidRPr="00C823BA" w14:paraId="3D30761A" w14:textId="77777777" w:rsidTr="00C823BA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1D4A59" w14:textId="77777777" w:rsidR="00AF1F96" w:rsidRPr="00972D33" w:rsidRDefault="00AF1F96" w:rsidP="00C823BA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Obříství</w:t>
            </w:r>
          </w:p>
        </w:tc>
        <w:tc>
          <w:tcPr>
            <w:tcW w:w="964" w:type="dxa"/>
            <w:vAlign w:val="center"/>
          </w:tcPr>
          <w:p w14:paraId="76BA0EDF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54</w:t>
            </w:r>
          </w:p>
        </w:tc>
        <w:tc>
          <w:tcPr>
            <w:tcW w:w="964" w:type="dxa"/>
            <w:vAlign w:val="center"/>
          </w:tcPr>
          <w:p w14:paraId="5AD97958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964" w:type="dxa"/>
            <w:vAlign w:val="center"/>
          </w:tcPr>
          <w:p w14:paraId="64111A61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F2DED47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FF4A82B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106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7E43857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157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952165B" w14:textId="77777777" w:rsidR="00AF1F96" w:rsidRPr="00C823BA" w:rsidRDefault="00AF1F96" w:rsidP="00C823BA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823BA">
              <w:rPr>
                <w:rFonts w:ascii="Calibri" w:hAnsi="Calibri" w:cs="Calibri"/>
                <w:bCs/>
                <w:sz w:val="20"/>
                <w:szCs w:val="20"/>
              </w:rPr>
              <w:t>80</w:t>
            </w:r>
          </w:p>
        </w:tc>
      </w:tr>
    </w:tbl>
    <w:p w14:paraId="072FA382" w14:textId="77777777" w:rsidR="00AF1F96" w:rsidRPr="00EC2E23" w:rsidRDefault="00AF1F96" w:rsidP="00EC2E23">
      <w:pPr>
        <w:spacing w:after="0" w:line="252" w:lineRule="auto"/>
        <w:contextualSpacing/>
        <w:rPr>
          <w:rFonts w:cstheme="minorHAnsi"/>
          <w:sz w:val="24"/>
          <w:szCs w:val="24"/>
        </w:rPr>
      </w:pPr>
    </w:p>
    <w:p w14:paraId="49A06075" w14:textId="77777777" w:rsidR="00AF1F96" w:rsidRPr="00EC2E23" w:rsidRDefault="00AF1F96" w:rsidP="00EC2E23">
      <w:pPr>
        <w:spacing w:after="0" w:line="252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EC2E23">
        <w:rPr>
          <w:rFonts w:cstheme="minorHAnsi"/>
          <w:b/>
          <w:sz w:val="24"/>
          <w:szCs w:val="24"/>
        </w:rPr>
        <w:t>Střední</w:t>
      </w:r>
      <w:r w:rsidRPr="00EC2E23">
        <w:rPr>
          <w:rFonts w:eastAsia="Calibri" w:cstheme="minorHAnsi"/>
          <w:b/>
          <w:bCs/>
          <w:sz w:val="24"/>
          <w:szCs w:val="24"/>
        </w:rPr>
        <w:t xml:space="preserve"> Labe – malá plavidla</w:t>
      </w:r>
    </w:p>
    <w:tbl>
      <w:tblPr>
        <w:tblpPr w:leftFromText="141" w:rightFromText="141" w:vertAnchor="text" w:horzAnchor="margin" w:tblpXSpec="center" w:tblpY="129"/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</w:tblGrid>
      <w:tr w:rsidR="00AF1F96" w:rsidRPr="00992768" w14:paraId="5015CBCE" w14:textId="77777777" w:rsidTr="00992768">
        <w:trPr>
          <w:trHeight w:val="255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14:paraId="28A1451E" w14:textId="2D32B6E9" w:rsidR="00AF1F96" w:rsidRPr="00992768" w:rsidRDefault="00AF1F96" w:rsidP="00992768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/>
                <w:bCs/>
                <w:sz w:val="20"/>
                <w:szCs w:val="20"/>
              </w:rPr>
              <w:t>Plavební komora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4DE556DB" w14:textId="77777777" w:rsidR="00AF1F96" w:rsidRPr="00992768" w:rsidRDefault="00AF1F96" w:rsidP="00992768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7241E9EB" w14:textId="77777777" w:rsidR="00AF1F96" w:rsidRPr="00992768" w:rsidRDefault="00AF1F96" w:rsidP="00992768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65B7DED2" w14:textId="77777777" w:rsidR="00AF1F96" w:rsidRPr="00992768" w:rsidRDefault="00AF1F96" w:rsidP="00992768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59EC0145" w14:textId="77777777" w:rsidR="00AF1F96" w:rsidRPr="00992768" w:rsidRDefault="00AF1F96" w:rsidP="00992768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4DF98BE2" w14:textId="77777777" w:rsidR="00AF1F96" w:rsidRPr="00992768" w:rsidRDefault="00AF1F96" w:rsidP="00992768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79783271" w14:textId="77777777" w:rsidR="00AF1F96" w:rsidRPr="00992768" w:rsidRDefault="00AF1F96" w:rsidP="00992768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</w:tcPr>
          <w:p w14:paraId="133414FC" w14:textId="77777777" w:rsidR="00AF1F96" w:rsidRPr="00992768" w:rsidRDefault="00AF1F96" w:rsidP="00992768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/>
                <w:bCs/>
                <w:sz w:val="20"/>
                <w:szCs w:val="20"/>
              </w:rPr>
              <w:t>2020</w:t>
            </w:r>
          </w:p>
        </w:tc>
      </w:tr>
      <w:tr w:rsidR="00AF1F96" w:rsidRPr="00992768" w14:paraId="17052A87" w14:textId="77777777" w:rsidTr="0099276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14:paraId="6F3889E1" w14:textId="77777777" w:rsidR="00AF1F96" w:rsidRPr="00972D33" w:rsidRDefault="00AF1F96" w:rsidP="00992768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Týnec n. L.</w:t>
            </w:r>
          </w:p>
        </w:tc>
        <w:tc>
          <w:tcPr>
            <w:tcW w:w="964" w:type="dxa"/>
            <w:vAlign w:val="center"/>
          </w:tcPr>
          <w:p w14:paraId="670E7A17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284</w:t>
            </w:r>
          </w:p>
        </w:tc>
        <w:tc>
          <w:tcPr>
            <w:tcW w:w="964" w:type="dxa"/>
            <w:vAlign w:val="center"/>
          </w:tcPr>
          <w:p w14:paraId="316EC037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373</w:t>
            </w:r>
          </w:p>
        </w:tc>
        <w:tc>
          <w:tcPr>
            <w:tcW w:w="964" w:type="dxa"/>
            <w:vAlign w:val="center"/>
          </w:tcPr>
          <w:p w14:paraId="00D0BB20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357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2A7767E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307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D799EA2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328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DC79081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373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BFF9507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440</w:t>
            </w:r>
          </w:p>
        </w:tc>
      </w:tr>
      <w:tr w:rsidR="00AF1F96" w:rsidRPr="00992768" w14:paraId="465B9A5E" w14:textId="77777777" w:rsidTr="0099276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14:paraId="3C3D2F9F" w14:textId="77777777" w:rsidR="00AF1F96" w:rsidRPr="00972D33" w:rsidRDefault="00AF1F96" w:rsidP="00992768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Poděbrady</w:t>
            </w:r>
          </w:p>
        </w:tc>
        <w:tc>
          <w:tcPr>
            <w:tcW w:w="964" w:type="dxa"/>
            <w:vAlign w:val="center"/>
          </w:tcPr>
          <w:p w14:paraId="1258B18B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442</w:t>
            </w:r>
          </w:p>
        </w:tc>
        <w:tc>
          <w:tcPr>
            <w:tcW w:w="964" w:type="dxa"/>
            <w:vAlign w:val="center"/>
          </w:tcPr>
          <w:p w14:paraId="6F9FDF9C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450</w:t>
            </w:r>
          </w:p>
        </w:tc>
        <w:tc>
          <w:tcPr>
            <w:tcW w:w="964" w:type="dxa"/>
            <w:vAlign w:val="center"/>
          </w:tcPr>
          <w:p w14:paraId="635253C3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659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86455DA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458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C3E6941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496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158D362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611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7B21851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674</w:t>
            </w:r>
          </w:p>
        </w:tc>
      </w:tr>
      <w:tr w:rsidR="00AF1F96" w:rsidRPr="00992768" w14:paraId="14367836" w14:textId="77777777" w:rsidTr="0099276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3DD1CE" w14:textId="77777777" w:rsidR="00AF1F96" w:rsidRPr="00972D33" w:rsidRDefault="00AF1F96" w:rsidP="00992768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Brandýs n. L.</w:t>
            </w:r>
          </w:p>
        </w:tc>
        <w:tc>
          <w:tcPr>
            <w:tcW w:w="964" w:type="dxa"/>
            <w:vAlign w:val="center"/>
          </w:tcPr>
          <w:p w14:paraId="35A69484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581</w:t>
            </w:r>
          </w:p>
        </w:tc>
        <w:tc>
          <w:tcPr>
            <w:tcW w:w="964" w:type="dxa"/>
            <w:vAlign w:val="center"/>
          </w:tcPr>
          <w:p w14:paraId="529C6D22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513</w:t>
            </w:r>
          </w:p>
        </w:tc>
        <w:tc>
          <w:tcPr>
            <w:tcW w:w="964" w:type="dxa"/>
            <w:vAlign w:val="center"/>
          </w:tcPr>
          <w:p w14:paraId="5613A1BE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623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A30E18C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542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049846F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816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F6A8897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918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506E2C5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1 067</w:t>
            </w:r>
          </w:p>
        </w:tc>
      </w:tr>
      <w:tr w:rsidR="00AF1F96" w:rsidRPr="00992768" w14:paraId="02CEFEBF" w14:textId="77777777" w:rsidTr="0099276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AE5E87" w14:textId="77777777" w:rsidR="00AF1F96" w:rsidRPr="00972D33" w:rsidRDefault="00AF1F96" w:rsidP="00992768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Obříství</w:t>
            </w:r>
          </w:p>
        </w:tc>
        <w:tc>
          <w:tcPr>
            <w:tcW w:w="964" w:type="dxa"/>
            <w:vAlign w:val="center"/>
          </w:tcPr>
          <w:p w14:paraId="246D0948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423</w:t>
            </w:r>
          </w:p>
        </w:tc>
        <w:tc>
          <w:tcPr>
            <w:tcW w:w="964" w:type="dxa"/>
            <w:vAlign w:val="center"/>
          </w:tcPr>
          <w:p w14:paraId="0609D764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468</w:t>
            </w:r>
          </w:p>
        </w:tc>
        <w:tc>
          <w:tcPr>
            <w:tcW w:w="964" w:type="dxa"/>
            <w:vAlign w:val="center"/>
          </w:tcPr>
          <w:p w14:paraId="4298CEB3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566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B3E8BC8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619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98560EF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703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CE46C3D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660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21961EF" w14:textId="77777777" w:rsidR="00AF1F96" w:rsidRPr="00992768" w:rsidRDefault="00AF1F96" w:rsidP="00992768">
            <w:pPr>
              <w:spacing w:after="0" w:line="252" w:lineRule="auto"/>
              <w:ind w:right="227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92768">
              <w:rPr>
                <w:rFonts w:ascii="Calibri" w:hAnsi="Calibri" w:cs="Calibri"/>
                <w:bCs/>
                <w:sz w:val="20"/>
                <w:szCs w:val="20"/>
              </w:rPr>
              <w:t>952</w:t>
            </w:r>
          </w:p>
        </w:tc>
      </w:tr>
    </w:tbl>
    <w:p w14:paraId="5A0F8E99" w14:textId="77777777" w:rsidR="00AF1F96" w:rsidRPr="00EC2E23" w:rsidRDefault="00AF1F96" w:rsidP="00EC2E23">
      <w:pPr>
        <w:spacing w:after="0" w:line="252" w:lineRule="auto"/>
        <w:contextualSpacing/>
        <w:rPr>
          <w:rFonts w:cstheme="minorHAnsi"/>
          <w:sz w:val="24"/>
          <w:szCs w:val="24"/>
        </w:rPr>
      </w:pPr>
    </w:p>
    <w:p w14:paraId="21DE59AE" w14:textId="77777777" w:rsidR="00AF1F96" w:rsidRPr="00EC2E23" w:rsidRDefault="00AF1F96" w:rsidP="00EC2E23">
      <w:pPr>
        <w:spacing w:after="0" w:line="252" w:lineRule="auto"/>
        <w:contextualSpacing/>
        <w:rPr>
          <w:rFonts w:eastAsia="Calibri" w:cstheme="minorHAnsi"/>
          <w:sz w:val="24"/>
          <w:szCs w:val="24"/>
        </w:rPr>
      </w:pPr>
      <w:r w:rsidRPr="00EC2E23">
        <w:rPr>
          <w:rFonts w:eastAsia="Calibri" w:cstheme="minorHAnsi"/>
          <w:b/>
          <w:bCs/>
          <w:sz w:val="24"/>
          <w:szCs w:val="24"/>
        </w:rPr>
        <w:t>Dolní Vltava – osobní lodě</w:t>
      </w:r>
    </w:p>
    <w:tbl>
      <w:tblPr>
        <w:tblpPr w:leftFromText="141" w:rightFromText="141" w:vertAnchor="text" w:horzAnchor="margin" w:tblpXSpec="center" w:tblpY="129"/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</w:tblGrid>
      <w:tr w:rsidR="00AF1F96" w:rsidRPr="00F12CF1" w14:paraId="199406C7" w14:textId="77777777" w:rsidTr="0069312D">
        <w:trPr>
          <w:trHeight w:val="255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14:paraId="6A232760" w14:textId="0D9FE1E3" w:rsidR="00AF1F96" w:rsidRPr="00F12CF1" w:rsidRDefault="00AF1F96" w:rsidP="0069312D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/>
                <w:bCs/>
                <w:sz w:val="20"/>
                <w:szCs w:val="20"/>
              </w:rPr>
              <w:t>Plavební komora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61AA6C6F" w14:textId="77777777" w:rsidR="00AF1F96" w:rsidRPr="00F12CF1" w:rsidRDefault="00AF1F96" w:rsidP="006931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620EC101" w14:textId="77777777" w:rsidR="00AF1F96" w:rsidRPr="00F12CF1" w:rsidRDefault="00AF1F96" w:rsidP="006931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6B0F25AB" w14:textId="77777777" w:rsidR="00AF1F96" w:rsidRPr="00F12CF1" w:rsidRDefault="00AF1F96" w:rsidP="006931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3F24F6F3" w14:textId="77777777" w:rsidR="00AF1F96" w:rsidRPr="00F12CF1" w:rsidRDefault="00AF1F96" w:rsidP="006931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08229C6D" w14:textId="77777777" w:rsidR="00AF1F96" w:rsidRPr="00F12CF1" w:rsidRDefault="00AF1F96" w:rsidP="006931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32D7B466" w14:textId="77777777" w:rsidR="00AF1F96" w:rsidRPr="00F12CF1" w:rsidRDefault="00AF1F96" w:rsidP="006931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18308CBE" w14:textId="77777777" w:rsidR="00AF1F96" w:rsidRPr="00F12CF1" w:rsidRDefault="00AF1F96" w:rsidP="0069312D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/>
                <w:bCs/>
                <w:sz w:val="20"/>
                <w:szCs w:val="20"/>
              </w:rPr>
              <w:t>2020</w:t>
            </w:r>
          </w:p>
        </w:tc>
      </w:tr>
      <w:tr w:rsidR="00AF1F96" w:rsidRPr="00F12CF1" w14:paraId="15331C3F" w14:textId="77777777" w:rsidTr="0069312D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14:paraId="5ED4CB25" w14:textId="06E39D1D" w:rsidR="00AF1F96" w:rsidRPr="00972D33" w:rsidRDefault="00AF1F96" w:rsidP="0069312D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Praha-Modřany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48235E4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376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25A3170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397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92765B6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399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775D0A9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285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DD29931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286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34BD6AD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241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F777793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191</w:t>
            </w:r>
          </w:p>
        </w:tc>
      </w:tr>
      <w:tr w:rsidR="00AF1F96" w:rsidRPr="00F12CF1" w14:paraId="08E0F940" w14:textId="77777777" w:rsidTr="0069312D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14:paraId="64CF4831" w14:textId="0C755EFC" w:rsidR="00AF1F96" w:rsidRPr="00972D33" w:rsidRDefault="00AF1F96" w:rsidP="0069312D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Praha-Smíchov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F117F8D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22 586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D5738CF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20 932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62B4F50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21 577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68EA266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21 659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8F92A73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20 781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9DE604E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17 895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3218B12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6 180</w:t>
            </w:r>
          </w:p>
        </w:tc>
      </w:tr>
      <w:tr w:rsidR="00AF1F96" w:rsidRPr="00F12CF1" w14:paraId="5BE62FFD" w14:textId="77777777" w:rsidTr="0069312D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C6B935" w14:textId="77777777" w:rsidR="00AF1F96" w:rsidRPr="00972D33" w:rsidRDefault="00AF1F96" w:rsidP="0069312D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Roztoky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7BBFF7F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91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2456B6D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C370897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124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6517A72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137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ED34F57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171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B9793F9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114895B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</w:tr>
      <w:tr w:rsidR="00AF1F96" w:rsidRPr="00F12CF1" w14:paraId="41DB2C5C" w14:textId="77777777" w:rsidTr="0069312D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CBE523" w14:textId="77777777" w:rsidR="00AF1F96" w:rsidRPr="00972D33" w:rsidRDefault="00AF1F96" w:rsidP="0069312D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Miřejovice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1223C98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86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97B54A3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105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B6A9448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126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2C7684C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113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6F8F2CA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166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7871EA7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83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5AFBC65" w14:textId="77777777" w:rsidR="00AF1F96" w:rsidRPr="00F12CF1" w:rsidRDefault="00AF1F96" w:rsidP="0069312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12CF1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</w:tr>
    </w:tbl>
    <w:p w14:paraId="10418BB5" w14:textId="77777777" w:rsidR="00AF1F96" w:rsidRPr="00EC2E23" w:rsidRDefault="00AF1F96" w:rsidP="00EC2E23">
      <w:pPr>
        <w:spacing w:after="0" w:line="252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3D9960C4" w14:textId="77777777" w:rsidR="00AF1F96" w:rsidRPr="00EC2E23" w:rsidRDefault="00AF1F96" w:rsidP="00EC2E23">
      <w:pPr>
        <w:spacing w:after="0" w:line="252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EC2E23">
        <w:rPr>
          <w:rFonts w:eastAsia="Calibri" w:cstheme="minorHAnsi"/>
          <w:b/>
          <w:bCs/>
          <w:sz w:val="24"/>
          <w:szCs w:val="24"/>
        </w:rPr>
        <w:t>Dolní Vltava – malá plavidla</w:t>
      </w:r>
    </w:p>
    <w:tbl>
      <w:tblPr>
        <w:tblpPr w:leftFromText="141" w:rightFromText="141" w:vertAnchor="text" w:horzAnchor="margin" w:tblpXSpec="center" w:tblpY="129"/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</w:tblGrid>
      <w:tr w:rsidR="00AF1F96" w:rsidRPr="003B6B23" w14:paraId="5FF4FD86" w14:textId="77777777" w:rsidTr="003B6B23">
        <w:trPr>
          <w:trHeight w:val="255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14:paraId="40221A04" w14:textId="0DC99A8E" w:rsidR="00AF1F96" w:rsidRPr="003B6B23" w:rsidRDefault="00AF1F96" w:rsidP="003B6B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Plavební komora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774CEAFC" w14:textId="77777777" w:rsidR="00AF1F96" w:rsidRPr="003B6B23" w:rsidRDefault="00AF1F96" w:rsidP="003B6B23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5CDFB616" w14:textId="77777777" w:rsidR="00AF1F96" w:rsidRPr="003B6B23" w:rsidRDefault="00AF1F96" w:rsidP="003B6B23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0D59639B" w14:textId="77777777" w:rsidR="00AF1F96" w:rsidRPr="003B6B23" w:rsidRDefault="00AF1F96" w:rsidP="003B6B23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394EDD38" w14:textId="77777777" w:rsidR="00AF1F96" w:rsidRPr="003B6B23" w:rsidRDefault="00AF1F96" w:rsidP="003B6B23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218971C1" w14:textId="77777777" w:rsidR="00AF1F96" w:rsidRPr="003B6B23" w:rsidRDefault="00AF1F96" w:rsidP="003B6B23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30DDCCBC" w14:textId="77777777" w:rsidR="00AF1F96" w:rsidRPr="003B6B23" w:rsidRDefault="00AF1F96" w:rsidP="003B6B23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4804170C" w14:textId="77777777" w:rsidR="00AF1F96" w:rsidRPr="003B6B23" w:rsidRDefault="00AF1F96" w:rsidP="003B6B23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2020</w:t>
            </w:r>
          </w:p>
        </w:tc>
      </w:tr>
      <w:tr w:rsidR="00AF1F96" w:rsidRPr="003B6B23" w14:paraId="72D50F48" w14:textId="77777777" w:rsidTr="003B6B23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14:paraId="54AEF989" w14:textId="10749E32" w:rsidR="00AF1F96" w:rsidRPr="00972D33" w:rsidRDefault="00AF1F96" w:rsidP="003B6B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Praha-Modřany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7A7E046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2 548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E53BFA9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2 843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DEC9541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2 824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826B6CF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2 553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03FCEA8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2 879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AE7EA5C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2 257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E169167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2 908</w:t>
            </w:r>
          </w:p>
        </w:tc>
      </w:tr>
      <w:tr w:rsidR="00AF1F96" w:rsidRPr="003B6B23" w14:paraId="51EDDC90" w14:textId="77777777" w:rsidTr="003B6B23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14:paraId="72B82887" w14:textId="64E5A606" w:rsidR="00AF1F96" w:rsidRPr="00972D33" w:rsidRDefault="00AF1F96" w:rsidP="003B6B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Praha Smíchov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DF7A820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2 681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0F98873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2 799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FF47FCA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2 964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1D74452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2 718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A64D2C2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3 440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8F63590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2 810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871D464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4 051</w:t>
            </w:r>
          </w:p>
        </w:tc>
      </w:tr>
      <w:tr w:rsidR="00AF1F96" w:rsidRPr="003B6B23" w14:paraId="734BF1D9" w14:textId="77777777" w:rsidTr="003B6B23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337128" w14:textId="77777777" w:rsidR="00AF1F96" w:rsidRPr="00972D33" w:rsidRDefault="00AF1F96" w:rsidP="003B6B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Roztoky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988D423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1 248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13F1CEF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1 412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D45A49C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1 159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3C8DFD3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952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C3F56ED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1 055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4F6A18E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783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4A0AE50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1 077</w:t>
            </w:r>
          </w:p>
        </w:tc>
      </w:tr>
      <w:tr w:rsidR="00AF1F96" w:rsidRPr="003B6B23" w14:paraId="06331EC6" w14:textId="77777777" w:rsidTr="003B6B23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8A1A47" w14:textId="77777777" w:rsidR="00AF1F96" w:rsidRPr="00972D33" w:rsidRDefault="00AF1F96" w:rsidP="003B6B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Miřejovice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41EE6CB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976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088BAC8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1 205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8727DF9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1 024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B5781D6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1 089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71CDA69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1 168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8F3EF06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739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1257CD7" w14:textId="77777777" w:rsidR="00AF1F96" w:rsidRPr="003B6B23" w:rsidRDefault="00AF1F96" w:rsidP="003B6B23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Cs/>
                <w:sz w:val="20"/>
                <w:szCs w:val="20"/>
              </w:rPr>
              <w:t>1 271</w:t>
            </w:r>
          </w:p>
        </w:tc>
      </w:tr>
    </w:tbl>
    <w:p w14:paraId="72303D29" w14:textId="77777777" w:rsidR="00AF1F96" w:rsidRPr="00EC2E23" w:rsidRDefault="00AF1F96" w:rsidP="00EC2E23">
      <w:pPr>
        <w:spacing w:after="0" w:line="252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3FA746AE" w14:textId="77777777" w:rsidR="00AF1F96" w:rsidRPr="00EC2E23" w:rsidRDefault="00AF1F96" w:rsidP="003B6B23">
      <w:pPr>
        <w:keepNext/>
        <w:spacing w:after="0" w:line="252" w:lineRule="auto"/>
        <w:contextualSpacing/>
        <w:rPr>
          <w:rFonts w:eastAsia="Calibri" w:cstheme="minorHAnsi"/>
          <w:sz w:val="24"/>
          <w:szCs w:val="24"/>
        </w:rPr>
      </w:pPr>
      <w:r w:rsidRPr="00EC2E23">
        <w:rPr>
          <w:rFonts w:eastAsia="Calibri" w:cstheme="minorHAnsi"/>
          <w:b/>
          <w:bCs/>
          <w:sz w:val="24"/>
          <w:szCs w:val="24"/>
        </w:rPr>
        <w:lastRenderedPageBreak/>
        <w:t>Střední Vltava – osobní lodě</w:t>
      </w:r>
    </w:p>
    <w:tbl>
      <w:tblPr>
        <w:tblpPr w:leftFromText="141" w:rightFromText="141" w:vertAnchor="text" w:horzAnchor="margin" w:tblpXSpec="center" w:tblpY="129"/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</w:tblGrid>
      <w:tr w:rsidR="00AF1F96" w:rsidRPr="003B6B23" w14:paraId="02677EBA" w14:textId="77777777" w:rsidTr="003B6B23">
        <w:trPr>
          <w:trHeight w:val="255"/>
        </w:trPr>
        <w:tc>
          <w:tcPr>
            <w:tcW w:w="2268" w:type="dxa"/>
            <w:shd w:val="clear" w:color="auto" w:fill="DEEAF6" w:themeFill="accent1" w:themeFillTint="33"/>
            <w:noWrap/>
            <w:vAlign w:val="bottom"/>
            <w:hideMark/>
          </w:tcPr>
          <w:p w14:paraId="0F4F538F" w14:textId="591F276B" w:rsidR="00AF1F96" w:rsidRPr="003B6B23" w:rsidRDefault="00AF1F96" w:rsidP="00EC2E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Plavební komora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71456053" w14:textId="77777777" w:rsidR="00AF1F96" w:rsidRPr="003B6B23" w:rsidRDefault="00AF1F96" w:rsidP="003B6B23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0D8D4605" w14:textId="77777777" w:rsidR="00AF1F96" w:rsidRPr="003B6B23" w:rsidRDefault="00AF1F96" w:rsidP="003B6B23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7FC3D6A6" w14:textId="77777777" w:rsidR="00AF1F96" w:rsidRPr="003B6B23" w:rsidRDefault="00AF1F96" w:rsidP="003B6B23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170E9E49" w14:textId="77777777" w:rsidR="00AF1F96" w:rsidRPr="003B6B23" w:rsidRDefault="00AF1F96" w:rsidP="003B6B23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26DB134A" w14:textId="77777777" w:rsidR="00AF1F96" w:rsidRPr="003B6B23" w:rsidRDefault="00AF1F96" w:rsidP="003B6B23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3D7FBD46" w14:textId="77777777" w:rsidR="00AF1F96" w:rsidRPr="003B6B23" w:rsidRDefault="00AF1F96" w:rsidP="003B6B23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688CF387" w14:textId="77777777" w:rsidR="00AF1F96" w:rsidRPr="003B6B23" w:rsidRDefault="00AF1F96" w:rsidP="003B6B23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6B23">
              <w:rPr>
                <w:rFonts w:ascii="Calibri" w:hAnsi="Calibri" w:cs="Calibri"/>
                <w:b/>
                <w:bCs/>
                <w:sz w:val="20"/>
                <w:szCs w:val="20"/>
              </w:rPr>
              <w:t>2020</w:t>
            </w:r>
          </w:p>
        </w:tc>
      </w:tr>
      <w:tr w:rsidR="00AF1F96" w:rsidRPr="003B6B23" w14:paraId="2A1C11E2" w14:textId="77777777" w:rsidTr="003B6B23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7562A3" w14:textId="77777777" w:rsidR="00AF1F96" w:rsidRPr="00972D33" w:rsidRDefault="00AF1F96" w:rsidP="00EC2E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České Vrbné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D55E27B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2DE5C4D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87EB16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452813D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C34B742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D673E5C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CD03208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460</w:t>
            </w:r>
          </w:p>
        </w:tc>
      </w:tr>
      <w:tr w:rsidR="00AF1F96" w:rsidRPr="003B6B23" w14:paraId="0B0F5568" w14:textId="77777777" w:rsidTr="003B6B23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6CEB1" w14:textId="77777777" w:rsidR="00AF1F96" w:rsidRPr="00972D33" w:rsidRDefault="00AF1F96" w:rsidP="00EC2E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Hluboká n. V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9409A2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0426191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A5F016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1F851F0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E6C24C6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5CBAFCD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2240638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334</w:t>
            </w:r>
          </w:p>
        </w:tc>
      </w:tr>
      <w:tr w:rsidR="00AF1F96" w:rsidRPr="003B6B23" w14:paraId="26953B89" w14:textId="77777777" w:rsidTr="003B6B23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4C400F" w14:textId="77777777" w:rsidR="00AF1F96" w:rsidRPr="00972D33" w:rsidRDefault="00AF1F96" w:rsidP="00EC2E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Hněvkovice hráz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6427204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1CD2E1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2D2C9E6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982CF5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80199E2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0794CA5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87E0BBD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AF1F96" w:rsidRPr="003B6B23" w14:paraId="1E8AD6FC" w14:textId="77777777" w:rsidTr="003B6B23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19CEF6" w14:textId="77777777" w:rsidR="00AF1F96" w:rsidRPr="00972D33" w:rsidRDefault="00AF1F96" w:rsidP="00EC2E23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Kořensko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7258530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57369C4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AD4A2F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E03DFF1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5B2E57C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B1AA416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81591E4" w14:textId="77777777" w:rsidR="00AF1F96" w:rsidRPr="003B6B23" w:rsidRDefault="00AF1F96" w:rsidP="00AF194C">
            <w:pPr>
              <w:autoSpaceDE w:val="0"/>
              <w:autoSpaceDN w:val="0"/>
              <w:adjustRightInd w:val="0"/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B23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</w:tr>
    </w:tbl>
    <w:p w14:paraId="4F663E63" w14:textId="77777777" w:rsidR="00AF1F96" w:rsidRPr="00EC2E23" w:rsidRDefault="00AF1F96" w:rsidP="00EC2E23">
      <w:pPr>
        <w:spacing w:after="0" w:line="252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207448B0" w14:textId="77777777" w:rsidR="00AF1F96" w:rsidRPr="00EC2E23" w:rsidRDefault="00AF1F96" w:rsidP="00EC2E23">
      <w:pPr>
        <w:spacing w:after="0" w:line="252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EC2E23">
        <w:rPr>
          <w:rFonts w:eastAsia="Calibri" w:cstheme="minorHAnsi"/>
          <w:b/>
          <w:bCs/>
          <w:sz w:val="24"/>
          <w:szCs w:val="24"/>
        </w:rPr>
        <w:t>Střední Vltava – malá plavidla</w:t>
      </w:r>
    </w:p>
    <w:tbl>
      <w:tblPr>
        <w:tblpPr w:leftFromText="141" w:rightFromText="141" w:vertAnchor="text" w:horzAnchor="margin" w:tblpXSpec="center" w:tblpY="129"/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</w:tblGrid>
      <w:tr w:rsidR="00AF1F96" w:rsidRPr="00E846DD" w14:paraId="500A6050" w14:textId="77777777" w:rsidTr="00641CDD">
        <w:trPr>
          <w:trHeight w:val="255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14:paraId="281550EB" w14:textId="1B381BA6" w:rsidR="00AF1F96" w:rsidRPr="00E846DD" w:rsidRDefault="00AF1F96" w:rsidP="00E846DD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/>
                <w:bCs/>
                <w:sz w:val="20"/>
                <w:szCs w:val="20"/>
              </w:rPr>
              <w:t>Plavební komora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54CE1E10" w14:textId="77777777" w:rsidR="00AF1F96" w:rsidRPr="00E846DD" w:rsidRDefault="00AF1F96" w:rsidP="00E846DD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02642BBA" w14:textId="77777777" w:rsidR="00AF1F96" w:rsidRPr="00E846DD" w:rsidRDefault="00AF1F96" w:rsidP="00E846DD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57EE1EDD" w14:textId="77777777" w:rsidR="00AF1F96" w:rsidRPr="00E846DD" w:rsidRDefault="00AF1F96" w:rsidP="00E846DD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6522E924" w14:textId="77777777" w:rsidR="00AF1F96" w:rsidRPr="00E846DD" w:rsidRDefault="00AF1F96" w:rsidP="00E846DD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0756E74B" w14:textId="77777777" w:rsidR="00AF1F96" w:rsidRPr="00E846DD" w:rsidRDefault="00AF1F96" w:rsidP="00E846DD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2BF3DA3A" w14:textId="77777777" w:rsidR="00AF1F96" w:rsidRPr="00E846DD" w:rsidRDefault="00AF1F96" w:rsidP="00E846DD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4" w:type="dxa"/>
            <w:shd w:val="clear" w:color="auto" w:fill="DEEAF6" w:themeFill="accent1" w:themeFillTint="33"/>
            <w:noWrap/>
            <w:vAlign w:val="center"/>
            <w:hideMark/>
          </w:tcPr>
          <w:p w14:paraId="45079C77" w14:textId="77777777" w:rsidR="00AF1F96" w:rsidRPr="00E846DD" w:rsidRDefault="00AF1F96" w:rsidP="00E846DD">
            <w:pPr>
              <w:spacing w:after="0" w:line="252" w:lineRule="auto"/>
              <w:ind w:right="57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/>
                <w:bCs/>
                <w:sz w:val="20"/>
                <w:szCs w:val="20"/>
              </w:rPr>
              <w:t>2020</w:t>
            </w:r>
          </w:p>
        </w:tc>
      </w:tr>
      <w:tr w:rsidR="00AF1F96" w:rsidRPr="00E846DD" w14:paraId="709F65BE" w14:textId="77777777" w:rsidTr="00641CDD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1DCA29" w14:textId="77777777" w:rsidR="00AF1F96" w:rsidRPr="00972D33" w:rsidRDefault="00AF1F96" w:rsidP="00E846DD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České Vrbné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6E14C5A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321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C3B0125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671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A7CA3A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673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05C81E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904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6DB17D1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1 349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2D7C81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1 346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20E1099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1 422</w:t>
            </w:r>
          </w:p>
        </w:tc>
      </w:tr>
      <w:tr w:rsidR="00AF1F96" w:rsidRPr="00E846DD" w14:paraId="3225349B" w14:textId="77777777" w:rsidTr="00641CDD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0F11A7" w14:textId="77777777" w:rsidR="00AF1F96" w:rsidRPr="00972D33" w:rsidRDefault="00AF1F96" w:rsidP="00E846DD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Hluboká n. V.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325062B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391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6A5293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680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FEE98A9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1 014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F635B45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1 675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1B131AB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2 450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5CB5186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2 280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4036ACE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2 871</w:t>
            </w:r>
          </w:p>
        </w:tc>
      </w:tr>
      <w:tr w:rsidR="00AF1F96" w:rsidRPr="00E846DD" w14:paraId="412C438C" w14:textId="77777777" w:rsidTr="00641CDD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5FFAFE" w14:textId="77777777" w:rsidR="00AF1F96" w:rsidRPr="00972D33" w:rsidRDefault="00AF1F96" w:rsidP="00E846DD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Hněvkovice hráz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2CD68F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30288E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90AC1F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728079E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1 111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5B8F086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1 770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2EFFA07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1 447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B57C4F9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2 128</w:t>
            </w:r>
          </w:p>
        </w:tc>
      </w:tr>
      <w:tr w:rsidR="00AF1F96" w:rsidRPr="00E846DD" w14:paraId="7EE211D0" w14:textId="77777777" w:rsidTr="00641CDD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282973" w14:textId="77777777" w:rsidR="00AF1F96" w:rsidRPr="00972D33" w:rsidRDefault="00AF1F96" w:rsidP="00E846DD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Kořensko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1CB0794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 xml:space="preserve">555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4EE9AB2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242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0B18804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759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5BBC3EA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377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F57C644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1 666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55E1756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1 523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5B2292A" w14:textId="77777777" w:rsidR="00AF1F96" w:rsidRPr="00E846DD" w:rsidRDefault="00AF1F96" w:rsidP="00641CDD">
            <w:pPr>
              <w:spacing w:after="0" w:line="252" w:lineRule="auto"/>
              <w:ind w:right="17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DD">
              <w:rPr>
                <w:rFonts w:ascii="Calibri" w:hAnsi="Calibri" w:cs="Calibri"/>
                <w:bCs/>
                <w:sz w:val="20"/>
                <w:szCs w:val="20"/>
              </w:rPr>
              <w:t>2 222</w:t>
            </w:r>
          </w:p>
        </w:tc>
      </w:tr>
    </w:tbl>
    <w:p w14:paraId="41D2456F" w14:textId="77777777" w:rsidR="00AF1F96" w:rsidRPr="00EC2E23" w:rsidRDefault="00AF1F96" w:rsidP="00EC2E23">
      <w:pPr>
        <w:tabs>
          <w:tab w:val="left" w:pos="0"/>
        </w:tabs>
        <w:spacing w:after="0" w:line="252" w:lineRule="auto"/>
        <w:ind w:left="567" w:hanging="566"/>
        <w:contextualSpacing/>
        <w:jc w:val="both"/>
        <w:rPr>
          <w:rFonts w:cstheme="minorHAnsi"/>
          <w:sz w:val="24"/>
          <w:szCs w:val="24"/>
        </w:rPr>
      </w:pPr>
    </w:p>
    <w:p w14:paraId="3ABE8A51" w14:textId="77777777" w:rsidR="00AF1F96" w:rsidRPr="00EC2E23" w:rsidRDefault="00AF1F96" w:rsidP="00EC2E23">
      <w:pPr>
        <w:spacing w:after="0" w:line="252" w:lineRule="auto"/>
        <w:contextualSpacing/>
        <w:rPr>
          <w:rFonts w:cstheme="minorHAnsi"/>
        </w:rPr>
      </w:pPr>
      <w:r w:rsidRPr="00EC2E23">
        <w:rPr>
          <w:rFonts w:eastAsia="Calibri" w:cstheme="minorHAnsi"/>
          <w:b/>
          <w:bCs/>
          <w:sz w:val="24"/>
          <w:szCs w:val="24"/>
        </w:rPr>
        <w:t>Baťův kanál – osobní lodě a malá plavidla</w:t>
      </w:r>
    </w:p>
    <w:tbl>
      <w:tblPr>
        <w:tblpPr w:leftFromText="141" w:rightFromText="141" w:vertAnchor="text" w:horzAnchor="margin" w:tblpXSpec="center" w:tblpY="129"/>
        <w:tblW w:w="90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304"/>
        <w:gridCol w:w="1304"/>
        <w:gridCol w:w="1304"/>
        <w:gridCol w:w="1304"/>
        <w:gridCol w:w="1304"/>
      </w:tblGrid>
      <w:tr w:rsidR="00AF1F96" w:rsidRPr="009337E5" w14:paraId="23CE0CC6" w14:textId="77777777" w:rsidTr="00CF5C50">
        <w:trPr>
          <w:trHeight w:val="255"/>
        </w:trPr>
        <w:tc>
          <w:tcPr>
            <w:tcW w:w="2551" w:type="dxa"/>
            <w:shd w:val="clear" w:color="auto" w:fill="DEEAF6" w:themeFill="accent1" w:themeFillTint="33"/>
            <w:noWrap/>
            <w:vAlign w:val="center"/>
            <w:hideMark/>
          </w:tcPr>
          <w:p w14:paraId="3ACD1AD8" w14:textId="528978BC" w:rsidR="00AF1F96" w:rsidRPr="009337E5" w:rsidRDefault="00AF1F96" w:rsidP="009337E5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/>
                <w:bCs/>
                <w:sz w:val="20"/>
                <w:szCs w:val="20"/>
              </w:rPr>
              <w:t>Plavební komora</w:t>
            </w:r>
          </w:p>
        </w:tc>
        <w:tc>
          <w:tcPr>
            <w:tcW w:w="1304" w:type="dxa"/>
            <w:shd w:val="clear" w:color="auto" w:fill="DEEAF6" w:themeFill="accent1" w:themeFillTint="33"/>
            <w:vAlign w:val="center"/>
          </w:tcPr>
          <w:p w14:paraId="698BAD01" w14:textId="77777777" w:rsidR="00AF1F96" w:rsidRPr="009337E5" w:rsidRDefault="00AF1F96" w:rsidP="009337E5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304" w:type="dxa"/>
            <w:shd w:val="clear" w:color="auto" w:fill="DEEAF6" w:themeFill="accent1" w:themeFillTint="33"/>
            <w:noWrap/>
            <w:vAlign w:val="center"/>
          </w:tcPr>
          <w:p w14:paraId="2E78E5B7" w14:textId="77777777" w:rsidR="00AF1F96" w:rsidRPr="009337E5" w:rsidRDefault="00AF1F96" w:rsidP="009337E5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04" w:type="dxa"/>
            <w:shd w:val="clear" w:color="auto" w:fill="DEEAF6" w:themeFill="accent1" w:themeFillTint="33"/>
            <w:noWrap/>
            <w:vAlign w:val="center"/>
          </w:tcPr>
          <w:p w14:paraId="6F117BF6" w14:textId="77777777" w:rsidR="00AF1F96" w:rsidRPr="009337E5" w:rsidRDefault="00AF1F96" w:rsidP="009337E5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04" w:type="dxa"/>
            <w:shd w:val="clear" w:color="auto" w:fill="DEEAF6" w:themeFill="accent1" w:themeFillTint="33"/>
            <w:noWrap/>
            <w:vAlign w:val="center"/>
          </w:tcPr>
          <w:p w14:paraId="0CCD8E72" w14:textId="77777777" w:rsidR="00AF1F96" w:rsidRPr="009337E5" w:rsidRDefault="00AF1F96" w:rsidP="009337E5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04" w:type="dxa"/>
            <w:shd w:val="clear" w:color="auto" w:fill="DEEAF6" w:themeFill="accent1" w:themeFillTint="33"/>
            <w:noWrap/>
            <w:vAlign w:val="center"/>
          </w:tcPr>
          <w:p w14:paraId="44DE6B7A" w14:textId="77777777" w:rsidR="00AF1F96" w:rsidRPr="009337E5" w:rsidRDefault="00AF1F96" w:rsidP="009337E5">
            <w:pPr>
              <w:spacing w:after="0" w:line="252" w:lineRule="auto"/>
              <w:ind w:left="-113" w:right="57" w:firstLineChars="100" w:firstLine="20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/>
                <w:bCs/>
                <w:sz w:val="20"/>
                <w:szCs w:val="20"/>
              </w:rPr>
              <w:t>2020</w:t>
            </w:r>
          </w:p>
        </w:tc>
      </w:tr>
      <w:tr w:rsidR="00AF1F96" w:rsidRPr="009337E5" w14:paraId="777BF00D" w14:textId="77777777" w:rsidTr="00CF5C50">
        <w:trPr>
          <w:trHeight w:val="255"/>
        </w:trPr>
        <w:tc>
          <w:tcPr>
            <w:tcW w:w="2551" w:type="dxa"/>
            <w:shd w:val="clear" w:color="auto" w:fill="auto"/>
            <w:noWrap/>
            <w:vAlign w:val="center"/>
          </w:tcPr>
          <w:p w14:paraId="32CCDF86" w14:textId="77777777" w:rsidR="00AF1F96" w:rsidRPr="00972D33" w:rsidRDefault="00AF1F96" w:rsidP="009337E5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Spytihněv</w:t>
            </w:r>
          </w:p>
        </w:tc>
        <w:tc>
          <w:tcPr>
            <w:tcW w:w="1304" w:type="dxa"/>
            <w:vAlign w:val="center"/>
          </w:tcPr>
          <w:p w14:paraId="78A7D81D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>1 844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A1AD8D4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1 855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2FD2670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2 242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4B88654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1 945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6063715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2 064 </w:t>
            </w:r>
          </w:p>
        </w:tc>
      </w:tr>
      <w:tr w:rsidR="00AF1F96" w:rsidRPr="009337E5" w14:paraId="644A1FEB" w14:textId="77777777" w:rsidTr="00CF5C50">
        <w:trPr>
          <w:trHeight w:val="255"/>
        </w:trPr>
        <w:tc>
          <w:tcPr>
            <w:tcW w:w="2551" w:type="dxa"/>
            <w:shd w:val="clear" w:color="auto" w:fill="auto"/>
            <w:noWrap/>
            <w:vAlign w:val="center"/>
          </w:tcPr>
          <w:p w14:paraId="68B5113D" w14:textId="77777777" w:rsidR="00AF1F96" w:rsidRPr="00972D33" w:rsidRDefault="00AF1F96" w:rsidP="009337E5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Staré Město</w:t>
            </w:r>
          </w:p>
        </w:tc>
        <w:tc>
          <w:tcPr>
            <w:tcW w:w="1304" w:type="dxa"/>
            <w:vAlign w:val="center"/>
          </w:tcPr>
          <w:p w14:paraId="05634E5F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>2 410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DC233A1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2 533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E438C45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3 080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068F24E" w14:textId="77777777" w:rsidR="00AF1F96" w:rsidRPr="009337E5" w:rsidRDefault="00AF1F96" w:rsidP="009337E5">
            <w:pPr>
              <w:spacing w:after="0" w:line="252" w:lineRule="auto"/>
              <w:ind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2 802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5247FDE" w14:textId="77777777" w:rsidR="00AF1F96" w:rsidRPr="009337E5" w:rsidRDefault="00AF1F96" w:rsidP="009337E5">
            <w:pPr>
              <w:spacing w:after="0" w:line="252" w:lineRule="auto"/>
              <w:ind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3 117 </w:t>
            </w:r>
          </w:p>
        </w:tc>
      </w:tr>
      <w:tr w:rsidR="00AF1F96" w:rsidRPr="009337E5" w14:paraId="665441D9" w14:textId="77777777" w:rsidTr="00CF5C50">
        <w:trPr>
          <w:trHeight w:val="255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AB76406" w14:textId="77777777" w:rsidR="00AF1F96" w:rsidRPr="00972D33" w:rsidRDefault="00AF1F96" w:rsidP="009337E5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Veselí n. M.</w:t>
            </w:r>
          </w:p>
        </w:tc>
        <w:tc>
          <w:tcPr>
            <w:tcW w:w="1304" w:type="dxa"/>
            <w:vAlign w:val="center"/>
          </w:tcPr>
          <w:p w14:paraId="3884F201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>3 782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F44D033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3 790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DF42B70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4 339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B334BA4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4 275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9E9B869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4 713 </w:t>
            </w:r>
          </w:p>
        </w:tc>
      </w:tr>
      <w:tr w:rsidR="00AF1F96" w:rsidRPr="009337E5" w14:paraId="73BD1B5E" w14:textId="77777777" w:rsidTr="00CF5C50">
        <w:trPr>
          <w:trHeight w:val="255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96F1A64" w14:textId="77777777" w:rsidR="00AF1F96" w:rsidRPr="00972D33" w:rsidRDefault="00AF1F96" w:rsidP="009337E5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Vnorovy I</w:t>
            </w:r>
          </w:p>
        </w:tc>
        <w:tc>
          <w:tcPr>
            <w:tcW w:w="1304" w:type="dxa"/>
            <w:vAlign w:val="center"/>
          </w:tcPr>
          <w:p w14:paraId="46545222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>4 486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BDFBA18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4 601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0F2F918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5 564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44AE768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5 048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89C6AE2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 xml:space="preserve">5 865 </w:t>
            </w:r>
          </w:p>
        </w:tc>
      </w:tr>
      <w:tr w:rsidR="00AF1F96" w:rsidRPr="009337E5" w14:paraId="3EA83A5D" w14:textId="77777777" w:rsidTr="00CF5C50">
        <w:trPr>
          <w:trHeight w:val="255"/>
        </w:trPr>
        <w:tc>
          <w:tcPr>
            <w:tcW w:w="2551" w:type="dxa"/>
            <w:shd w:val="clear" w:color="auto" w:fill="auto"/>
            <w:noWrap/>
            <w:vAlign w:val="center"/>
          </w:tcPr>
          <w:p w14:paraId="38CFD8FD" w14:textId="77777777" w:rsidR="00AF1F96" w:rsidRPr="00972D33" w:rsidRDefault="00AF1F96" w:rsidP="009337E5">
            <w:pPr>
              <w:spacing w:after="0" w:line="252" w:lineRule="auto"/>
              <w:ind w:left="57" w:right="57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972D33">
              <w:rPr>
                <w:rFonts w:ascii="Calibri" w:hAnsi="Calibri" w:cs="Calibri"/>
                <w:bCs/>
                <w:sz w:val="20"/>
                <w:szCs w:val="20"/>
              </w:rPr>
              <w:t>Vnorovy II</w:t>
            </w:r>
          </w:p>
        </w:tc>
        <w:tc>
          <w:tcPr>
            <w:tcW w:w="1304" w:type="dxa"/>
            <w:vAlign w:val="center"/>
          </w:tcPr>
          <w:p w14:paraId="18C434DC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>4 436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A2C9252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>4 430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AF628AE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>5 501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08393B2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>5 005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2C5F080" w14:textId="77777777" w:rsidR="00AF1F96" w:rsidRPr="009337E5" w:rsidRDefault="00AF1F96" w:rsidP="009337E5">
            <w:pPr>
              <w:spacing w:after="0" w:line="252" w:lineRule="auto"/>
              <w:ind w:left="-113" w:right="340"/>
              <w:contextualSpacing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37E5">
              <w:rPr>
                <w:rFonts w:ascii="Calibri" w:hAnsi="Calibri" w:cs="Calibri"/>
                <w:bCs/>
                <w:sz w:val="20"/>
                <w:szCs w:val="20"/>
              </w:rPr>
              <w:t>5 675</w:t>
            </w:r>
          </w:p>
        </w:tc>
      </w:tr>
    </w:tbl>
    <w:p w14:paraId="56D3CFC9" w14:textId="77777777" w:rsidR="005A6415" w:rsidRPr="00EC2E23" w:rsidRDefault="005A6415" w:rsidP="00EC2E23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16D72F3C" w14:textId="59704798" w:rsidR="005C2D63" w:rsidRDefault="005C2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3778695" w14:textId="5D309D42" w:rsidR="007E7BC9" w:rsidRPr="005C2D63" w:rsidRDefault="005C2D63" w:rsidP="005C2D63">
      <w:pPr>
        <w:spacing w:after="0" w:line="252" w:lineRule="auto"/>
        <w:contextualSpacing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Příloha č. 2</w:t>
      </w:r>
    </w:p>
    <w:p w14:paraId="60EEE4F2" w14:textId="77777777" w:rsidR="005C2D63" w:rsidRPr="00EC2E23" w:rsidRDefault="005C2D63" w:rsidP="00EC2E23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583BC2C6" w14:textId="784D7B54" w:rsidR="004617A8" w:rsidRDefault="004617A8" w:rsidP="009B37BD">
      <w:pPr>
        <w:spacing w:after="0" w:line="252" w:lineRule="auto"/>
        <w:jc w:val="center"/>
        <w:rPr>
          <w:rFonts w:cstheme="minorHAnsi"/>
          <w:b/>
          <w:sz w:val="24"/>
          <w:szCs w:val="24"/>
        </w:rPr>
      </w:pPr>
      <w:r w:rsidRPr="00A72462">
        <w:rPr>
          <w:rFonts w:cstheme="minorHAnsi"/>
          <w:b/>
          <w:sz w:val="24"/>
          <w:szCs w:val="24"/>
        </w:rPr>
        <w:t>Počet malých plavidel a osobních lodí</w:t>
      </w:r>
      <w:r w:rsidR="007E7BC9" w:rsidRPr="00A72462">
        <w:rPr>
          <w:rFonts w:cstheme="minorHAnsi"/>
          <w:b/>
          <w:sz w:val="24"/>
          <w:szCs w:val="24"/>
        </w:rPr>
        <w:t xml:space="preserve"> evidovaných v rejstřících </w:t>
      </w:r>
      <w:r w:rsidR="00427803">
        <w:rPr>
          <w:rFonts w:cstheme="minorHAnsi"/>
          <w:b/>
          <w:sz w:val="24"/>
          <w:szCs w:val="24"/>
        </w:rPr>
        <w:br/>
      </w:r>
      <w:r w:rsidR="007E7BC9" w:rsidRPr="00A72462">
        <w:rPr>
          <w:rFonts w:cstheme="minorHAnsi"/>
          <w:b/>
          <w:sz w:val="24"/>
          <w:szCs w:val="24"/>
        </w:rPr>
        <w:t>vedených Státní plavební správou</w:t>
      </w:r>
    </w:p>
    <w:p w14:paraId="07AC05B1" w14:textId="77777777" w:rsidR="008C2F3A" w:rsidRDefault="008C2F3A" w:rsidP="00A72462">
      <w:pPr>
        <w:spacing w:after="0" w:line="252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91"/>
        <w:tblW w:w="90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8C2F3A" w:rsidRPr="008C2F3A" w14:paraId="766AD7AD" w14:textId="77777777" w:rsidTr="00AF2532">
        <w:trPr>
          <w:trHeight w:val="255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6D631005" w14:textId="77777777" w:rsidR="008C2F3A" w:rsidRPr="008C2F3A" w:rsidRDefault="008C2F3A" w:rsidP="008C2F3A">
            <w:pPr>
              <w:tabs>
                <w:tab w:val="left" w:pos="426"/>
              </w:tabs>
              <w:spacing w:line="252" w:lineRule="auto"/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C2F3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Rok </w:t>
            </w:r>
            <w:r w:rsidRPr="008C2F3A"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  <w:t>(stav k 31. 12.)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C6A7CEA" w14:textId="77777777" w:rsidR="008C2F3A" w:rsidRPr="008C2F3A" w:rsidRDefault="008C2F3A" w:rsidP="008C2F3A">
            <w:pPr>
              <w:tabs>
                <w:tab w:val="left" w:pos="426"/>
              </w:tabs>
              <w:spacing w:line="252" w:lineRule="auto"/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C2F3A">
              <w:rPr>
                <w:rFonts w:cstheme="minorHAnsi"/>
                <w:b/>
                <w:color w:val="000000" w:themeColor="text1"/>
                <w:sz w:val="20"/>
                <w:szCs w:val="20"/>
              </w:rPr>
              <w:t>Počet osobních lodí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6C46E277" w14:textId="77777777" w:rsidR="008C2F3A" w:rsidRPr="008C2F3A" w:rsidRDefault="008C2F3A" w:rsidP="008C2F3A">
            <w:pPr>
              <w:tabs>
                <w:tab w:val="left" w:pos="426"/>
              </w:tabs>
              <w:spacing w:line="252" w:lineRule="auto"/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C2F3A">
              <w:rPr>
                <w:rFonts w:cstheme="minorHAnsi"/>
                <w:b/>
                <w:color w:val="000000" w:themeColor="text1"/>
                <w:sz w:val="20"/>
                <w:szCs w:val="20"/>
              </w:rPr>
              <w:t>Počet malých plavidel</w:t>
            </w:r>
          </w:p>
        </w:tc>
      </w:tr>
      <w:tr w:rsidR="008C2F3A" w:rsidRPr="008C2F3A" w14:paraId="210EAB84" w14:textId="77777777" w:rsidTr="00AF2532">
        <w:trPr>
          <w:trHeight w:val="255"/>
        </w:trPr>
        <w:tc>
          <w:tcPr>
            <w:tcW w:w="2268" w:type="dxa"/>
            <w:vAlign w:val="center"/>
          </w:tcPr>
          <w:p w14:paraId="7BE11024" w14:textId="77777777" w:rsidR="008C2F3A" w:rsidRPr="008C2F3A" w:rsidRDefault="008C2F3A" w:rsidP="008C2F3A">
            <w:pPr>
              <w:spacing w:line="25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3402" w:type="dxa"/>
            <w:vAlign w:val="center"/>
          </w:tcPr>
          <w:p w14:paraId="04351E82" w14:textId="77777777" w:rsidR="008C2F3A" w:rsidRPr="008C2F3A" w:rsidRDefault="008C2F3A" w:rsidP="008C2F3A">
            <w:pPr>
              <w:spacing w:line="252" w:lineRule="auto"/>
              <w:ind w:right="1315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3402" w:type="dxa"/>
            <w:vAlign w:val="center"/>
          </w:tcPr>
          <w:p w14:paraId="04E00439" w14:textId="77777777" w:rsidR="008C2F3A" w:rsidRPr="008C2F3A" w:rsidRDefault="008C2F3A" w:rsidP="008C2F3A">
            <w:pPr>
              <w:spacing w:line="252" w:lineRule="auto"/>
              <w:ind w:right="1176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15 017</w:t>
            </w:r>
          </w:p>
        </w:tc>
      </w:tr>
      <w:tr w:rsidR="008C2F3A" w:rsidRPr="008C2F3A" w14:paraId="7E79D03A" w14:textId="77777777" w:rsidTr="00AF2532">
        <w:trPr>
          <w:trHeight w:val="255"/>
        </w:trPr>
        <w:tc>
          <w:tcPr>
            <w:tcW w:w="2268" w:type="dxa"/>
            <w:vAlign w:val="center"/>
          </w:tcPr>
          <w:p w14:paraId="4AD6B241" w14:textId="77777777" w:rsidR="008C2F3A" w:rsidRPr="008C2F3A" w:rsidRDefault="008C2F3A" w:rsidP="008C2F3A">
            <w:pPr>
              <w:spacing w:line="25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3402" w:type="dxa"/>
            <w:vAlign w:val="center"/>
          </w:tcPr>
          <w:p w14:paraId="29815682" w14:textId="77777777" w:rsidR="008C2F3A" w:rsidRPr="008C2F3A" w:rsidRDefault="008C2F3A" w:rsidP="008C2F3A">
            <w:pPr>
              <w:spacing w:line="252" w:lineRule="auto"/>
              <w:ind w:right="1315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3402" w:type="dxa"/>
            <w:vAlign w:val="center"/>
          </w:tcPr>
          <w:p w14:paraId="61E08C78" w14:textId="77777777" w:rsidR="008C2F3A" w:rsidRPr="008C2F3A" w:rsidRDefault="008C2F3A" w:rsidP="008C2F3A">
            <w:pPr>
              <w:spacing w:line="252" w:lineRule="auto"/>
              <w:ind w:right="1176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15 662</w:t>
            </w:r>
          </w:p>
        </w:tc>
      </w:tr>
      <w:tr w:rsidR="008C2F3A" w:rsidRPr="008C2F3A" w14:paraId="37F201DE" w14:textId="77777777" w:rsidTr="00AF2532">
        <w:trPr>
          <w:trHeight w:val="255"/>
        </w:trPr>
        <w:tc>
          <w:tcPr>
            <w:tcW w:w="2268" w:type="dxa"/>
            <w:vAlign w:val="center"/>
          </w:tcPr>
          <w:p w14:paraId="22362BD8" w14:textId="77777777" w:rsidR="008C2F3A" w:rsidRPr="008C2F3A" w:rsidRDefault="008C2F3A" w:rsidP="008C2F3A">
            <w:pPr>
              <w:spacing w:line="25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3402" w:type="dxa"/>
            <w:vAlign w:val="center"/>
          </w:tcPr>
          <w:p w14:paraId="133CD12B" w14:textId="77777777" w:rsidR="008C2F3A" w:rsidRPr="008C2F3A" w:rsidRDefault="008C2F3A" w:rsidP="008C2F3A">
            <w:pPr>
              <w:spacing w:line="252" w:lineRule="auto"/>
              <w:ind w:right="1315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3402" w:type="dxa"/>
            <w:vAlign w:val="center"/>
          </w:tcPr>
          <w:p w14:paraId="1F310DFA" w14:textId="77777777" w:rsidR="008C2F3A" w:rsidRPr="008C2F3A" w:rsidRDefault="008C2F3A" w:rsidP="008C2F3A">
            <w:pPr>
              <w:spacing w:line="252" w:lineRule="auto"/>
              <w:ind w:right="1176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16 307</w:t>
            </w:r>
          </w:p>
        </w:tc>
      </w:tr>
      <w:tr w:rsidR="008C2F3A" w:rsidRPr="008C2F3A" w14:paraId="5F19B24B" w14:textId="77777777" w:rsidTr="00AF2532">
        <w:trPr>
          <w:trHeight w:val="255"/>
        </w:trPr>
        <w:tc>
          <w:tcPr>
            <w:tcW w:w="2268" w:type="dxa"/>
            <w:vAlign w:val="center"/>
          </w:tcPr>
          <w:p w14:paraId="5A3E7784" w14:textId="77777777" w:rsidR="008C2F3A" w:rsidRPr="008C2F3A" w:rsidRDefault="008C2F3A" w:rsidP="008C2F3A">
            <w:pPr>
              <w:spacing w:line="25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3402" w:type="dxa"/>
            <w:vAlign w:val="center"/>
          </w:tcPr>
          <w:p w14:paraId="297BE2F0" w14:textId="77777777" w:rsidR="008C2F3A" w:rsidRPr="008C2F3A" w:rsidRDefault="008C2F3A" w:rsidP="008C2F3A">
            <w:pPr>
              <w:spacing w:line="252" w:lineRule="auto"/>
              <w:ind w:right="1315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3402" w:type="dxa"/>
            <w:vAlign w:val="center"/>
          </w:tcPr>
          <w:p w14:paraId="10BDDED1" w14:textId="77777777" w:rsidR="008C2F3A" w:rsidRPr="008C2F3A" w:rsidRDefault="008C2F3A" w:rsidP="008C2F3A">
            <w:pPr>
              <w:spacing w:line="252" w:lineRule="auto"/>
              <w:ind w:right="1176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17 164</w:t>
            </w:r>
          </w:p>
        </w:tc>
      </w:tr>
      <w:tr w:rsidR="008C2F3A" w:rsidRPr="008C2F3A" w14:paraId="426FF4AE" w14:textId="77777777" w:rsidTr="00AF2532">
        <w:trPr>
          <w:trHeight w:val="255"/>
        </w:trPr>
        <w:tc>
          <w:tcPr>
            <w:tcW w:w="2268" w:type="dxa"/>
            <w:vAlign w:val="center"/>
          </w:tcPr>
          <w:p w14:paraId="77D9D430" w14:textId="77777777" w:rsidR="008C2F3A" w:rsidRPr="008C2F3A" w:rsidRDefault="008C2F3A" w:rsidP="008C2F3A">
            <w:pPr>
              <w:spacing w:line="25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3402" w:type="dxa"/>
            <w:vAlign w:val="center"/>
          </w:tcPr>
          <w:p w14:paraId="7AAE39AF" w14:textId="77777777" w:rsidR="008C2F3A" w:rsidRPr="008C2F3A" w:rsidRDefault="008C2F3A" w:rsidP="008C2F3A">
            <w:pPr>
              <w:spacing w:line="252" w:lineRule="auto"/>
              <w:ind w:right="1315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3402" w:type="dxa"/>
            <w:vAlign w:val="center"/>
          </w:tcPr>
          <w:p w14:paraId="08E7DF58" w14:textId="77777777" w:rsidR="008C2F3A" w:rsidRPr="008C2F3A" w:rsidRDefault="008C2F3A" w:rsidP="008C2F3A">
            <w:pPr>
              <w:spacing w:line="252" w:lineRule="auto"/>
              <w:ind w:right="1176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18 020</w:t>
            </w:r>
          </w:p>
        </w:tc>
      </w:tr>
      <w:tr w:rsidR="008C2F3A" w:rsidRPr="008C2F3A" w14:paraId="060727E2" w14:textId="77777777" w:rsidTr="00AF2532">
        <w:trPr>
          <w:trHeight w:val="255"/>
        </w:trPr>
        <w:tc>
          <w:tcPr>
            <w:tcW w:w="2268" w:type="dxa"/>
            <w:vAlign w:val="center"/>
          </w:tcPr>
          <w:p w14:paraId="5C0A9C83" w14:textId="77777777" w:rsidR="008C2F3A" w:rsidRPr="008C2F3A" w:rsidRDefault="008C2F3A" w:rsidP="008C2F3A">
            <w:pPr>
              <w:spacing w:line="25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3402" w:type="dxa"/>
            <w:vAlign w:val="center"/>
          </w:tcPr>
          <w:p w14:paraId="1E233D9C" w14:textId="77777777" w:rsidR="008C2F3A" w:rsidRPr="008C2F3A" w:rsidRDefault="008C2F3A" w:rsidP="008C2F3A">
            <w:pPr>
              <w:spacing w:line="252" w:lineRule="auto"/>
              <w:ind w:right="1315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3402" w:type="dxa"/>
            <w:vAlign w:val="center"/>
          </w:tcPr>
          <w:p w14:paraId="48FF525A" w14:textId="77777777" w:rsidR="008C2F3A" w:rsidRPr="008C2F3A" w:rsidRDefault="008C2F3A" w:rsidP="008C2F3A">
            <w:pPr>
              <w:spacing w:line="252" w:lineRule="auto"/>
              <w:ind w:right="1176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18 806</w:t>
            </w:r>
          </w:p>
        </w:tc>
      </w:tr>
      <w:tr w:rsidR="008C2F3A" w:rsidRPr="008C2F3A" w14:paraId="216F6FDC" w14:textId="77777777" w:rsidTr="00AF2532">
        <w:trPr>
          <w:trHeight w:val="255"/>
        </w:trPr>
        <w:tc>
          <w:tcPr>
            <w:tcW w:w="2268" w:type="dxa"/>
            <w:vAlign w:val="center"/>
          </w:tcPr>
          <w:p w14:paraId="5B91ACC4" w14:textId="77777777" w:rsidR="008C2F3A" w:rsidRPr="008C2F3A" w:rsidRDefault="008C2F3A" w:rsidP="008C2F3A">
            <w:pPr>
              <w:spacing w:line="25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3402" w:type="dxa"/>
            <w:vAlign w:val="center"/>
          </w:tcPr>
          <w:p w14:paraId="7E9DC6B9" w14:textId="77777777" w:rsidR="008C2F3A" w:rsidRPr="008C2F3A" w:rsidRDefault="008C2F3A" w:rsidP="008C2F3A">
            <w:pPr>
              <w:spacing w:line="252" w:lineRule="auto"/>
              <w:ind w:right="1315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3402" w:type="dxa"/>
            <w:vAlign w:val="center"/>
          </w:tcPr>
          <w:p w14:paraId="05DD9A27" w14:textId="77777777" w:rsidR="008C2F3A" w:rsidRPr="008C2F3A" w:rsidRDefault="008C2F3A" w:rsidP="008C2F3A">
            <w:pPr>
              <w:spacing w:line="252" w:lineRule="auto"/>
              <w:ind w:right="1176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8C2F3A">
              <w:rPr>
                <w:rFonts w:cstheme="minorHAnsi"/>
                <w:sz w:val="20"/>
                <w:szCs w:val="20"/>
              </w:rPr>
              <w:t>19 495</w:t>
            </w:r>
          </w:p>
        </w:tc>
      </w:tr>
    </w:tbl>
    <w:p w14:paraId="4B230C69" w14:textId="77777777" w:rsidR="008C2F3A" w:rsidRPr="00A72462" w:rsidRDefault="008C2F3A" w:rsidP="00A72462">
      <w:pPr>
        <w:spacing w:after="0" w:line="252" w:lineRule="auto"/>
        <w:jc w:val="both"/>
        <w:rPr>
          <w:rFonts w:cstheme="minorHAnsi"/>
          <w:b/>
          <w:sz w:val="24"/>
          <w:szCs w:val="24"/>
        </w:rPr>
      </w:pPr>
    </w:p>
    <w:sectPr w:rsidR="008C2F3A" w:rsidRPr="00A72462" w:rsidSect="00F22D58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68F47" w14:textId="77777777" w:rsidR="00FE54EE" w:rsidRDefault="00FE54EE">
      <w:pPr>
        <w:spacing w:after="0" w:line="240" w:lineRule="auto"/>
      </w:pPr>
      <w:r>
        <w:separator/>
      </w:r>
    </w:p>
  </w:endnote>
  <w:endnote w:type="continuationSeparator" w:id="0">
    <w:p w14:paraId="08ECCACD" w14:textId="77777777" w:rsidR="00FE54EE" w:rsidRDefault="00FE54EE">
      <w:pPr>
        <w:spacing w:after="0" w:line="240" w:lineRule="auto"/>
      </w:pPr>
      <w:r>
        <w:continuationSeparator/>
      </w:r>
    </w:p>
  </w:endnote>
  <w:endnote w:type="continuationNotice" w:id="1">
    <w:p w14:paraId="20003404" w14:textId="77777777" w:rsidR="00FE54EE" w:rsidRDefault="00FE5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c Book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683910"/>
      <w:docPartObj>
        <w:docPartGallery w:val="Page Numbers (Bottom of Page)"/>
        <w:docPartUnique/>
      </w:docPartObj>
    </w:sdtPr>
    <w:sdtEndPr/>
    <w:sdtContent>
      <w:p w14:paraId="77FF1141" w14:textId="77777777" w:rsidR="00FE54EE" w:rsidRDefault="00FE54EE" w:rsidP="00785A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5121" w14:textId="77777777" w:rsidR="00FE54EE" w:rsidRDefault="00FE54EE" w:rsidP="00DB706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E24B" w14:textId="77777777" w:rsidR="00FE54EE" w:rsidRDefault="00FE54EE" w:rsidP="00916EDC">
      <w:pPr>
        <w:spacing w:after="0" w:line="240" w:lineRule="auto"/>
      </w:pPr>
      <w:r>
        <w:separator/>
      </w:r>
    </w:p>
  </w:footnote>
  <w:footnote w:type="continuationSeparator" w:id="0">
    <w:p w14:paraId="4CCB62F6" w14:textId="77777777" w:rsidR="00FE54EE" w:rsidRDefault="00FE54EE" w:rsidP="00916EDC">
      <w:pPr>
        <w:spacing w:after="0" w:line="240" w:lineRule="auto"/>
      </w:pPr>
      <w:r>
        <w:continuationSeparator/>
      </w:r>
    </w:p>
  </w:footnote>
  <w:footnote w:type="continuationNotice" w:id="1">
    <w:p w14:paraId="086F791B" w14:textId="77777777" w:rsidR="00FE54EE" w:rsidRDefault="00FE54EE">
      <w:pPr>
        <w:spacing w:after="0" w:line="240" w:lineRule="auto"/>
      </w:pPr>
    </w:p>
  </w:footnote>
  <w:footnote w:id="2">
    <w:p w14:paraId="64B4BE9F" w14:textId="23403025" w:rsidR="00FE54EE" w:rsidRPr="000C7AD2" w:rsidRDefault="00FE54EE" w:rsidP="00B86E6D">
      <w:pPr>
        <w:tabs>
          <w:tab w:val="center" w:pos="70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C7AD2">
        <w:rPr>
          <w:rStyle w:val="Znakapoznpodarou"/>
          <w:sz w:val="20"/>
          <w:szCs w:val="20"/>
        </w:rPr>
        <w:footnoteRef/>
      </w:r>
      <w:r w:rsidRPr="000C7AD2">
        <w:rPr>
          <w:sz w:val="20"/>
          <w:szCs w:val="20"/>
        </w:rPr>
        <w:t xml:space="preserve"> </w:t>
      </w:r>
      <w:r w:rsidRPr="000C7AD2">
        <w:rPr>
          <w:sz w:val="20"/>
          <w:szCs w:val="20"/>
        </w:rPr>
        <w:tab/>
      </w:r>
      <w:r w:rsidRPr="000C7AD2">
        <w:rPr>
          <w:rFonts w:cstheme="minorHAnsi"/>
          <w:sz w:val="20"/>
          <w:szCs w:val="20"/>
        </w:rPr>
        <w:t>Kontrolní závěr z kontrolní akce č. 08/19</w:t>
      </w:r>
      <w:r>
        <w:rPr>
          <w:rFonts w:cstheme="minorHAnsi"/>
          <w:sz w:val="20"/>
          <w:szCs w:val="20"/>
        </w:rPr>
        <w:t xml:space="preserve"> –</w:t>
      </w:r>
      <w:r w:rsidRPr="000C7AD2">
        <w:rPr>
          <w:rFonts w:cstheme="minorHAnsi"/>
          <w:sz w:val="20"/>
          <w:szCs w:val="20"/>
        </w:rPr>
        <w:t xml:space="preserve"> </w:t>
      </w:r>
      <w:r w:rsidRPr="000C7AD2">
        <w:rPr>
          <w:rFonts w:cstheme="minorHAnsi"/>
          <w:i/>
          <w:sz w:val="20"/>
          <w:szCs w:val="20"/>
        </w:rPr>
        <w:t>Peněžní prostředky určené na rozvoj a modernizaci vodních cest a přístavů</w:t>
      </w:r>
      <w:r w:rsidRPr="000C7AD2">
        <w:rPr>
          <w:rFonts w:cstheme="minorHAnsi"/>
          <w:sz w:val="20"/>
          <w:szCs w:val="20"/>
        </w:rPr>
        <w:t xml:space="preserve"> byl zveřejněn v částce 01/2009 </w:t>
      </w:r>
      <w:r w:rsidRPr="000C7AD2">
        <w:rPr>
          <w:rFonts w:cstheme="minorHAnsi"/>
          <w:i/>
          <w:sz w:val="20"/>
          <w:szCs w:val="20"/>
        </w:rPr>
        <w:t>Věstníku NKÚ</w:t>
      </w:r>
      <w:r w:rsidRPr="000C7AD2">
        <w:rPr>
          <w:rFonts w:cstheme="minorHAnsi"/>
          <w:sz w:val="20"/>
          <w:szCs w:val="20"/>
        </w:rPr>
        <w:t>; kontrolní závěr z kontrolní akce č. 14/03</w:t>
      </w:r>
      <w:r>
        <w:rPr>
          <w:rFonts w:cstheme="minorHAnsi"/>
          <w:sz w:val="20"/>
          <w:szCs w:val="20"/>
        </w:rPr>
        <w:t xml:space="preserve"> –</w:t>
      </w:r>
      <w:r w:rsidRPr="000C7AD2">
        <w:rPr>
          <w:rFonts w:cstheme="minorHAnsi"/>
          <w:sz w:val="20"/>
          <w:szCs w:val="20"/>
        </w:rPr>
        <w:t xml:space="preserve"> </w:t>
      </w:r>
      <w:r w:rsidRPr="000C7AD2">
        <w:rPr>
          <w:rFonts w:cstheme="minorHAnsi"/>
          <w:i/>
          <w:sz w:val="20"/>
          <w:szCs w:val="20"/>
        </w:rPr>
        <w:t>Peněžní prostředky určené na rozvoj a modernizaci vodních cest a přístavů a na podporu multimodální nákladní přepravy</w:t>
      </w:r>
      <w:r w:rsidRPr="000C7AD2">
        <w:rPr>
          <w:rFonts w:cstheme="minorHAnsi"/>
          <w:sz w:val="20"/>
          <w:szCs w:val="20"/>
        </w:rPr>
        <w:t xml:space="preserve">, byl zveřejněn v částce 04/2014 </w:t>
      </w:r>
      <w:r w:rsidRPr="000C7AD2">
        <w:rPr>
          <w:rFonts w:cstheme="minorHAnsi"/>
          <w:i/>
          <w:sz w:val="20"/>
          <w:szCs w:val="20"/>
        </w:rPr>
        <w:t>Věstníku NKÚ</w:t>
      </w:r>
      <w:r w:rsidRPr="000C7AD2">
        <w:rPr>
          <w:rFonts w:cstheme="minorHAnsi"/>
          <w:sz w:val="20"/>
          <w:szCs w:val="20"/>
        </w:rPr>
        <w:t>; kontrolní závěr z kontrolní akce č. 18/16</w:t>
      </w:r>
      <w:r>
        <w:rPr>
          <w:rFonts w:cstheme="minorHAnsi"/>
          <w:sz w:val="20"/>
          <w:szCs w:val="20"/>
        </w:rPr>
        <w:t xml:space="preserve"> –</w:t>
      </w:r>
      <w:r w:rsidRPr="000C7AD2">
        <w:rPr>
          <w:rFonts w:cstheme="minorHAnsi"/>
          <w:sz w:val="20"/>
          <w:szCs w:val="20"/>
        </w:rPr>
        <w:t xml:space="preserve"> </w:t>
      </w:r>
      <w:r w:rsidRPr="000C7AD2">
        <w:rPr>
          <w:rFonts w:cstheme="minorHAnsi"/>
          <w:i/>
          <w:sz w:val="20"/>
          <w:szCs w:val="20"/>
        </w:rPr>
        <w:t>Rozvoj vodních cest a podpora vodní dopravy</w:t>
      </w:r>
      <w:r w:rsidRPr="000C7AD2">
        <w:rPr>
          <w:rFonts w:cstheme="minorHAnsi"/>
          <w:sz w:val="20"/>
          <w:szCs w:val="20"/>
        </w:rPr>
        <w:t xml:space="preserve"> byl zveřejněn v částce 04/2019 </w:t>
      </w:r>
      <w:r w:rsidRPr="000C7AD2">
        <w:rPr>
          <w:rFonts w:cstheme="minorHAnsi"/>
          <w:i/>
          <w:sz w:val="20"/>
          <w:szCs w:val="20"/>
        </w:rPr>
        <w:t>Věstníku NKÚ</w:t>
      </w:r>
      <w:r w:rsidRPr="000C7AD2">
        <w:rPr>
          <w:rFonts w:cstheme="minorHAnsi"/>
          <w:sz w:val="20"/>
          <w:szCs w:val="20"/>
        </w:rPr>
        <w:t>.</w:t>
      </w:r>
    </w:p>
  </w:footnote>
  <w:footnote w:id="3">
    <w:p w14:paraId="0501BB2C" w14:textId="77777777" w:rsidR="00FE54EE" w:rsidRPr="000C7AD2" w:rsidRDefault="00FE54EE" w:rsidP="000A173B">
      <w:pPr>
        <w:pStyle w:val="poznmkapodarou"/>
        <w:contextualSpacing w:val="0"/>
        <w:rPr>
          <w:rFonts w:asciiTheme="minorHAnsi" w:hAnsiTheme="minorHAnsi" w:cstheme="minorHAnsi"/>
        </w:rPr>
      </w:pPr>
      <w:r w:rsidRPr="000C7AD2">
        <w:rPr>
          <w:rStyle w:val="Znakapoznpodarou"/>
          <w:rFonts w:asciiTheme="minorHAnsi" w:hAnsiTheme="minorHAnsi" w:cstheme="minorHAnsi"/>
        </w:rPr>
        <w:footnoteRef/>
      </w:r>
      <w:r w:rsidRPr="000C7AD2">
        <w:rPr>
          <w:rFonts w:asciiTheme="minorHAnsi" w:hAnsiTheme="minorHAnsi" w:cstheme="minorHAnsi"/>
        </w:rPr>
        <w:t xml:space="preserve">  </w:t>
      </w:r>
      <w:r w:rsidRPr="000C7AD2">
        <w:rPr>
          <w:rFonts w:asciiTheme="minorHAnsi" w:hAnsiTheme="minorHAnsi" w:cstheme="minorHAnsi"/>
        </w:rPr>
        <w:tab/>
        <w:t>Ustanovení § 22 zákona České národní rady č. 2/1969 Sb., o zřízení ministerstev a jiných ústředních orgánů státní správy České republiky.</w:t>
      </w:r>
      <w:r w:rsidRPr="000C7AD2">
        <w:rPr>
          <w:rFonts w:asciiTheme="minorHAnsi" w:eastAsia="Arial Unicode MS" w:hAnsiTheme="minorHAnsi" w:cstheme="minorHAnsi"/>
          <w:bCs/>
        </w:rPr>
        <w:t xml:space="preserve"> </w:t>
      </w:r>
    </w:p>
  </w:footnote>
  <w:footnote w:id="4">
    <w:p w14:paraId="2E763F8E" w14:textId="77777777" w:rsidR="00FE54EE" w:rsidRPr="000C7AD2" w:rsidRDefault="00FE54EE" w:rsidP="001C7692">
      <w:pPr>
        <w:tabs>
          <w:tab w:val="center" w:pos="70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C7AD2">
        <w:rPr>
          <w:rStyle w:val="Znakapoznpodarou"/>
          <w:sz w:val="20"/>
          <w:szCs w:val="20"/>
        </w:rPr>
        <w:footnoteRef/>
      </w:r>
      <w:r w:rsidRPr="000C7AD2">
        <w:rPr>
          <w:sz w:val="20"/>
          <w:szCs w:val="20"/>
        </w:rPr>
        <w:t xml:space="preserve"> </w:t>
      </w:r>
      <w:r w:rsidRPr="000C7AD2">
        <w:rPr>
          <w:sz w:val="20"/>
          <w:szCs w:val="20"/>
        </w:rPr>
        <w:tab/>
      </w:r>
      <w:r w:rsidRPr="000C7AD2">
        <w:rPr>
          <w:rFonts w:cstheme="minorHAnsi"/>
          <w:sz w:val="20"/>
          <w:szCs w:val="20"/>
        </w:rPr>
        <w:t>Ustanovení § 155 odst. 1 zákona č. 137/2006 Sb., o veřejných zakázkách.</w:t>
      </w:r>
    </w:p>
  </w:footnote>
  <w:footnote w:id="5">
    <w:p w14:paraId="097109C0" w14:textId="77777777" w:rsidR="00FE54EE" w:rsidRPr="000C7AD2" w:rsidRDefault="00FE54EE" w:rsidP="007A2550">
      <w:pPr>
        <w:tabs>
          <w:tab w:val="center" w:pos="70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C7AD2">
        <w:rPr>
          <w:rStyle w:val="Znakapoznpodarou"/>
          <w:sz w:val="20"/>
          <w:szCs w:val="20"/>
        </w:rPr>
        <w:footnoteRef/>
      </w:r>
      <w:r w:rsidRPr="000C7AD2">
        <w:rPr>
          <w:sz w:val="20"/>
          <w:szCs w:val="20"/>
        </w:rPr>
        <w:t xml:space="preserve"> </w:t>
      </w:r>
      <w:r w:rsidRPr="000C7AD2">
        <w:rPr>
          <w:sz w:val="20"/>
          <w:szCs w:val="20"/>
        </w:rPr>
        <w:tab/>
      </w:r>
      <w:r w:rsidRPr="000C7AD2">
        <w:rPr>
          <w:rFonts w:cstheme="minorHAnsi"/>
          <w:sz w:val="20"/>
          <w:szCs w:val="20"/>
        </w:rPr>
        <w:t>Ustanovení § 6 zákona č. 137/2006 Sb.</w:t>
      </w:r>
    </w:p>
  </w:footnote>
  <w:footnote w:id="6">
    <w:p w14:paraId="508FB216" w14:textId="77777777" w:rsidR="00FE54EE" w:rsidRPr="005175DA" w:rsidRDefault="00FE54EE" w:rsidP="004459C7">
      <w:pPr>
        <w:tabs>
          <w:tab w:val="center" w:pos="70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175DA">
        <w:rPr>
          <w:rStyle w:val="Znakapoznpodarou"/>
          <w:sz w:val="20"/>
          <w:szCs w:val="20"/>
        </w:rPr>
        <w:footnoteRef/>
      </w:r>
      <w:r w:rsidRPr="005175DA">
        <w:rPr>
          <w:sz w:val="20"/>
          <w:szCs w:val="20"/>
        </w:rPr>
        <w:t xml:space="preserve"> </w:t>
      </w:r>
      <w:r w:rsidRPr="005175DA">
        <w:rPr>
          <w:sz w:val="20"/>
          <w:szCs w:val="20"/>
        </w:rPr>
        <w:tab/>
        <w:t xml:space="preserve">ŘVC při zadávání veřejné zakázky </w:t>
      </w:r>
      <w:r w:rsidRPr="005175DA">
        <w:rPr>
          <w:i/>
          <w:sz w:val="20"/>
          <w:szCs w:val="20"/>
        </w:rPr>
        <w:t xml:space="preserve">Dokončení vltavské vodní cesty v úseku VD Hněvkovice </w:t>
      </w:r>
      <w:r>
        <w:rPr>
          <w:i/>
          <w:sz w:val="20"/>
          <w:szCs w:val="20"/>
        </w:rPr>
        <w:t xml:space="preserve">– </w:t>
      </w:r>
      <w:r w:rsidRPr="005175DA">
        <w:rPr>
          <w:i/>
          <w:sz w:val="20"/>
          <w:szCs w:val="20"/>
        </w:rPr>
        <w:t xml:space="preserve">Týn nad Vltavou </w:t>
      </w:r>
      <w:r>
        <w:rPr>
          <w:i/>
          <w:sz w:val="20"/>
          <w:szCs w:val="20"/>
        </w:rPr>
        <w:t>–</w:t>
      </w:r>
      <w:r w:rsidRPr="005175DA">
        <w:rPr>
          <w:i/>
          <w:sz w:val="20"/>
          <w:szCs w:val="20"/>
        </w:rPr>
        <w:t xml:space="preserve"> provedení části stavby plavební komory jezu Hněvkovice</w:t>
      </w:r>
      <w:r w:rsidRPr="005175DA">
        <w:rPr>
          <w:sz w:val="20"/>
          <w:szCs w:val="20"/>
        </w:rPr>
        <w:t xml:space="preserve"> nepostupovalo v souladu s ustanoveními</w:t>
      </w:r>
      <w:r w:rsidRPr="005175DA">
        <w:rPr>
          <w:rFonts w:cstheme="minorHAnsi"/>
          <w:sz w:val="20"/>
          <w:szCs w:val="20"/>
        </w:rPr>
        <w:t xml:space="preserve"> § 13 odst.</w:t>
      </w:r>
      <w:r>
        <w:rPr>
          <w:rFonts w:cstheme="minorHAnsi"/>
          <w:sz w:val="20"/>
          <w:szCs w:val="20"/>
        </w:rPr>
        <w:t> </w:t>
      </w:r>
      <w:r w:rsidRPr="005175DA">
        <w:rPr>
          <w:rFonts w:cstheme="minorHAnsi"/>
          <w:sz w:val="20"/>
          <w:szCs w:val="20"/>
        </w:rPr>
        <w:t>3 a § 21 odst. 3 zákona č. 137/2006 Sb.</w:t>
      </w:r>
    </w:p>
  </w:footnote>
  <w:footnote w:id="7">
    <w:p w14:paraId="33AFDDB2" w14:textId="77777777" w:rsidR="00FE54EE" w:rsidRPr="005175DA" w:rsidRDefault="00FE54EE" w:rsidP="007A2550">
      <w:pPr>
        <w:tabs>
          <w:tab w:val="center" w:pos="70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175DA">
        <w:rPr>
          <w:rStyle w:val="Znakapoznpodarou"/>
          <w:sz w:val="20"/>
          <w:szCs w:val="20"/>
        </w:rPr>
        <w:footnoteRef/>
      </w:r>
      <w:r w:rsidRPr="005175DA">
        <w:rPr>
          <w:sz w:val="20"/>
          <w:szCs w:val="20"/>
        </w:rPr>
        <w:t xml:space="preserve"> </w:t>
      </w:r>
      <w:r w:rsidRPr="005175DA">
        <w:rPr>
          <w:sz w:val="20"/>
          <w:szCs w:val="20"/>
        </w:rPr>
        <w:tab/>
      </w:r>
      <w:r w:rsidRPr="005175DA">
        <w:rPr>
          <w:rFonts w:cstheme="minorHAnsi"/>
          <w:sz w:val="20"/>
          <w:szCs w:val="20"/>
        </w:rPr>
        <w:t>Zřizovatelem ŘVC je MD, zakladatelem státních podniků Povodí Vltavy, Povodí Labe a Povodí Moravy je Ministerstvo zemědělství.</w:t>
      </w:r>
    </w:p>
  </w:footnote>
  <w:footnote w:id="8">
    <w:p w14:paraId="7CD8B81F" w14:textId="77777777" w:rsidR="00FE54EE" w:rsidRPr="00DF303C" w:rsidRDefault="00FE54EE" w:rsidP="00AF2B3F">
      <w:pPr>
        <w:pStyle w:val="poznmkapodarou"/>
        <w:rPr>
          <w:rFonts w:asciiTheme="minorHAnsi" w:hAnsiTheme="minorHAnsi" w:cstheme="minorHAnsi"/>
        </w:rPr>
      </w:pPr>
      <w:r w:rsidRPr="004C3DDD">
        <w:rPr>
          <w:rStyle w:val="Znakapoznpodarou"/>
          <w:rFonts w:asciiTheme="minorHAnsi" w:hAnsiTheme="minorHAnsi" w:cstheme="minorHAnsi"/>
        </w:rPr>
        <w:footnoteRef/>
      </w:r>
      <w:r w:rsidRPr="004C3DDD">
        <w:rPr>
          <w:rFonts w:asciiTheme="minorHAnsi" w:hAnsiTheme="minorHAnsi" w:cstheme="minorHAnsi"/>
        </w:rPr>
        <w:t xml:space="preserve">  </w:t>
      </w:r>
      <w:r w:rsidRPr="004C3DDD">
        <w:rPr>
          <w:rFonts w:asciiTheme="minorHAnsi" w:hAnsiTheme="minorHAnsi" w:cstheme="minorHAnsi"/>
        </w:rPr>
        <w:tab/>
      </w:r>
      <w:r w:rsidRPr="001655A9">
        <w:rPr>
          <w:rFonts w:asciiTheme="minorHAnsi" w:hAnsiTheme="minorHAnsi" w:cstheme="minorHAnsi"/>
        </w:rPr>
        <w:t>Ustanovení</w:t>
      </w:r>
      <w:r>
        <w:rPr>
          <w:rFonts w:asciiTheme="minorHAnsi" w:hAnsiTheme="minorHAnsi" w:cstheme="minorHAnsi"/>
        </w:rPr>
        <w:t xml:space="preserve"> </w:t>
      </w:r>
      <w:r w:rsidRPr="001C7692">
        <w:rPr>
          <w:rFonts w:asciiTheme="minorHAnsi" w:hAnsiTheme="minorHAnsi" w:cstheme="minorHAnsi"/>
        </w:rPr>
        <w:t xml:space="preserve">§ </w:t>
      </w:r>
      <w:r w:rsidRPr="007C5A1B">
        <w:rPr>
          <w:rFonts w:asciiTheme="minorHAnsi" w:hAnsiTheme="minorHAnsi" w:cstheme="minorHAnsi"/>
        </w:rPr>
        <w:t>17 zákona České národní rady č. 2/1969 Sb.</w:t>
      </w:r>
      <w:r>
        <w:rPr>
          <w:rFonts w:asciiTheme="minorHAnsi" w:eastAsia="Arial Unicode MS" w:hAnsiTheme="minorHAnsi" w:cstheme="minorHAnsi"/>
          <w:bCs/>
        </w:rPr>
        <w:t xml:space="preserve"> </w:t>
      </w:r>
    </w:p>
  </w:footnote>
  <w:footnote w:id="9">
    <w:p w14:paraId="211C81E3" w14:textId="77777777" w:rsidR="00FE54EE" w:rsidRPr="00DF303C" w:rsidRDefault="00FE54EE" w:rsidP="00AF2B3F">
      <w:pPr>
        <w:pStyle w:val="poznmkapodarou"/>
        <w:rPr>
          <w:rFonts w:asciiTheme="minorHAnsi" w:hAnsiTheme="minorHAnsi" w:cstheme="minorHAnsi"/>
        </w:rPr>
      </w:pPr>
      <w:r w:rsidRPr="004C3DDD">
        <w:rPr>
          <w:rStyle w:val="Znakapoznpodarou"/>
          <w:rFonts w:asciiTheme="minorHAnsi" w:hAnsiTheme="minorHAnsi" w:cstheme="minorHAnsi"/>
        </w:rPr>
        <w:footnoteRef/>
      </w:r>
      <w:r w:rsidRPr="004C3DDD">
        <w:rPr>
          <w:rFonts w:asciiTheme="minorHAnsi" w:hAnsiTheme="minorHAnsi" w:cstheme="minorHAnsi"/>
        </w:rPr>
        <w:t xml:space="preserve">  </w:t>
      </w:r>
      <w:r w:rsidRPr="004C3DDD">
        <w:rPr>
          <w:rFonts w:asciiTheme="minorHAnsi" w:hAnsiTheme="minorHAnsi" w:cstheme="minorHAnsi"/>
        </w:rPr>
        <w:tab/>
      </w:r>
      <w:r w:rsidRPr="001655A9">
        <w:rPr>
          <w:rFonts w:asciiTheme="minorHAnsi" w:hAnsiTheme="minorHAnsi" w:cstheme="minorHAnsi"/>
        </w:rPr>
        <w:t>Ustanovení §</w:t>
      </w:r>
      <w:r w:rsidRPr="0021278C">
        <w:rPr>
          <w:rFonts w:asciiTheme="minorHAnsi" w:hAnsiTheme="minorHAnsi" w:cstheme="minorHAnsi"/>
          <w:color w:val="000000"/>
          <w:lang w:eastAsia="cs-CZ"/>
        </w:rPr>
        <w:t xml:space="preserve"> 39 odst. 3 zákona č. 218/2000 Sb</w:t>
      </w:r>
      <w:r>
        <w:rPr>
          <w:rFonts w:asciiTheme="minorHAnsi" w:hAnsiTheme="minorHAnsi" w:cstheme="minorHAnsi"/>
          <w:i/>
          <w:color w:val="000000"/>
          <w:lang w:eastAsia="cs-CZ"/>
        </w:rPr>
        <w:t>.</w:t>
      </w:r>
    </w:p>
  </w:footnote>
  <w:footnote w:id="10">
    <w:p w14:paraId="5DAFA86C" w14:textId="77777777" w:rsidR="00FE54EE" w:rsidRPr="00A90ACF" w:rsidRDefault="00FE54EE" w:rsidP="0020689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 </w:t>
      </w:r>
      <w:r>
        <w:tab/>
      </w:r>
      <w:r w:rsidRPr="0021278C">
        <w:t>Ustanovení</w:t>
      </w:r>
      <w:r w:rsidRPr="00DE0D7F">
        <w:rPr>
          <w:rFonts w:cstheme="minorHAnsi"/>
        </w:rPr>
        <w:t xml:space="preserve"> </w:t>
      </w:r>
      <w:r w:rsidRPr="00ED01D2">
        <w:rPr>
          <w:rFonts w:cstheme="minorHAnsi"/>
          <w:color w:val="000000"/>
          <w:lang w:eastAsia="cs-CZ"/>
        </w:rPr>
        <w:t>§ 9 odst. 4 zákona č. 114/1995 Sb.</w:t>
      </w:r>
      <w:r w:rsidRPr="00A90ACF">
        <w:rPr>
          <w:rFonts w:cstheme="minorHAnsi"/>
          <w:color w:val="000000"/>
          <w:lang w:eastAsia="cs-CZ"/>
        </w:rPr>
        <w:t>, o vnitrozemské plavbě</w:t>
      </w:r>
      <w:r w:rsidRPr="00A90ACF">
        <w:rPr>
          <w:rFonts w:cstheme="minorHAnsi"/>
        </w:rPr>
        <w:t>.</w:t>
      </w:r>
    </w:p>
  </w:footnote>
  <w:footnote w:id="11">
    <w:p w14:paraId="36DD1199" w14:textId="77777777" w:rsidR="00FE54EE" w:rsidRDefault="00FE54EE" w:rsidP="00045BA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1278C">
        <w:t>Ustanovení § 14 zákona č. 114/1995 Sb.</w:t>
      </w:r>
    </w:p>
  </w:footnote>
  <w:footnote w:id="12">
    <w:p w14:paraId="59F8F6AB" w14:textId="77777777" w:rsidR="00FE54EE" w:rsidRPr="00DF303C" w:rsidRDefault="00FE54EE" w:rsidP="005400E7">
      <w:pPr>
        <w:pStyle w:val="poznmkapodarou"/>
        <w:rPr>
          <w:rFonts w:asciiTheme="minorHAnsi" w:hAnsiTheme="minorHAnsi" w:cstheme="minorHAnsi"/>
        </w:rPr>
      </w:pPr>
      <w:r w:rsidRPr="004C3DDD">
        <w:rPr>
          <w:rStyle w:val="Znakapoznpodarou"/>
          <w:rFonts w:asciiTheme="minorHAnsi" w:hAnsiTheme="minorHAnsi" w:cstheme="minorHAnsi"/>
        </w:rPr>
        <w:footnoteRef/>
      </w:r>
      <w:r w:rsidRPr="004C3DDD">
        <w:rPr>
          <w:rFonts w:asciiTheme="minorHAnsi" w:hAnsiTheme="minorHAnsi" w:cstheme="minorHAnsi"/>
        </w:rPr>
        <w:t xml:space="preserve">  </w:t>
      </w:r>
      <w:r w:rsidRPr="004C3D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Usnesení </w:t>
      </w:r>
      <w:r w:rsidRPr="007C5A1B">
        <w:rPr>
          <w:rFonts w:asciiTheme="minorHAnsi" w:hAnsiTheme="minorHAnsi" w:cstheme="minorHAnsi"/>
        </w:rPr>
        <w:t>vlády ČR ze dne 25. listopadu</w:t>
      </w:r>
      <w:r w:rsidRPr="000A65D5">
        <w:rPr>
          <w:rFonts w:asciiTheme="minorHAnsi" w:hAnsiTheme="minorHAnsi" w:cstheme="minorHAnsi"/>
        </w:rPr>
        <w:t xml:space="preserve"> 2019 č. 836, </w:t>
      </w:r>
      <w:r w:rsidRPr="005400E7">
        <w:rPr>
          <w:rFonts w:asciiTheme="minorHAnsi" w:hAnsiTheme="minorHAnsi" w:cstheme="minorHAnsi"/>
          <w:i/>
        </w:rPr>
        <w:t>ke Kontrolnímu závěru Nejvyššího kontrolního úřadu z kontrolní akce č. 18/16 Rozvoj vodních cest a podpora vodní dopravy</w:t>
      </w:r>
      <w:r w:rsidRPr="00BF5346">
        <w:rPr>
          <w:rFonts w:asciiTheme="minorHAnsi" w:hAnsiTheme="minorHAnsi" w:cstheme="minorHAnsi"/>
        </w:rPr>
        <w:t>.</w:t>
      </w:r>
    </w:p>
  </w:footnote>
  <w:footnote w:id="13">
    <w:p w14:paraId="3F1BE107" w14:textId="77777777" w:rsidR="00FE54EE" w:rsidRPr="00DF303C" w:rsidRDefault="00FE54EE" w:rsidP="005400E7">
      <w:pPr>
        <w:pStyle w:val="poznmkapodarou"/>
        <w:rPr>
          <w:rFonts w:asciiTheme="minorHAnsi" w:hAnsiTheme="minorHAnsi" w:cstheme="minorHAnsi"/>
        </w:rPr>
      </w:pPr>
      <w:r w:rsidRPr="004C3DDD">
        <w:rPr>
          <w:rStyle w:val="Znakapoznpodarou"/>
          <w:rFonts w:asciiTheme="minorHAnsi" w:hAnsiTheme="minorHAnsi" w:cstheme="minorHAnsi"/>
        </w:rPr>
        <w:footnoteRef/>
      </w:r>
      <w:r w:rsidRPr="004C3DDD">
        <w:rPr>
          <w:rFonts w:asciiTheme="minorHAnsi" w:hAnsiTheme="minorHAnsi" w:cstheme="minorHAnsi"/>
        </w:rPr>
        <w:t xml:space="preserve">  </w:t>
      </w:r>
      <w:r w:rsidRPr="004C3D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Dokument </w:t>
      </w:r>
      <w:r w:rsidRPr="005400E7">
        <w:rPr>
          <w:rFonts w:asciiTheme="minorHAnsi" w:hAnsiTheme="minorHAnsi" w:cstheme="minorHAnsi"/>
          <w:i/>
        </w:rPr>
        <w:t>Informace Ministerstva dopravy o plnění přijatých opatření ke Kontrolnímu závěru Nejvyššího kontrolního úřadu z kontrolní akce č. 18/16 „Rozvoj vodních cest a podpora vodní dopravy“</w:t>
      </w:r>
      <w:r>
        <w:rPr>
          <w:rFonts w:asciiTheme="minorHAnsi" w:hAnsiTheme="minorHAnsi" w:cstheme="minorHAnsi"/>
        </w:rPr>
        <w:t xml:space="preserve"> MD </w:t>
      </w:r>
      <w:r w:rsidRPr="000A65D5">
        <w:rPr>
          <w:rFonts w:asciiTheme="minorHAnsi" w:hAnsiTheme="minorHAnsi" w:cstheme="minorHAnsi"/>
        </w:rPr>
        <w:t>předlož</w:t>
      </w:r>
      <w:r>
        <w:rPr>
          <w:rFonts w:asciiTheme="minorHAnsi" w:hAnsiTheme="minorHAnsi" w:cstheme="minorHAnsi"/>
        </w:rPr>
        <w:t>ilo</w:t>
      </w:r>
      <w:r w:rsidRPr="000A65D5">
        <w:rPr>
          <w:rFonts w:asciiTheme="minorHAnsi" w:hAnsiTheme="minorHAnsi" w:cstheme="minorHAnsi"/>
        </w:rPr>
        <w:t xml:space="preserve"> na jednání vlády</w:t>
      </w:r>
      <w:r>
        <w:rPr>
          <w:rFonts w:asciiTheme="minorHAnsi" w:hAnsiTheme="minorHAnsi" w:cstheme="minorHAnsi"/>
        </w:rPr>
        <w:t xml:space="preserve"> ČR</w:t>
      </w:r>
      <w:r w:rsidRPr="000A65D5">
        <w:rPr>
          <w:rFonts w:asciiTheme="minorHAnsi" w:hAnsiTheme="minorHAnsi" w:cstheme="minorHAnsi"/>
        </w:rPr>
        <w:t xml:space="preserve"> konané dne 13. 7. 2020</w:t>
      </w:r>
      <w:r w:rsidRPr="00BF5346">
        <w:rPr>
          <w:rFonts w:asciiTheme="minorHAnsi" w:hAnsiTheme="minorHAnsi" w:cstheme="minorHAnsi"/>
        </w:rPr>
        <w:t>.</w:t>
      </w:r>
    </w:p>
  </w:footnote>
  <w:footnote w:id="14">
    <w:p w14:paraId="2B949A64" w14:textId="77777777" w:rsidR="00FE54EE" w:rsidRPr="004C3DDD" w:rsidRDefault="00FE54EE" w:rsidP="00902B63">
      <w:pPr>
        <w:pStyle w:val="poznmkapodarou"/>
        <w:rPr>
          <w:rFonts w:asciiTheme="minorHAnsi" w:eastAsiaTheme="minorHAnsi" w:hAnsiTheme="minorHAnsi" w:cstheme="minorHAnsi"/>
        </w:rPr>
      </w:pPr>
      <w:r w:rsidRPr="004C3DDD">
        <w:rPr>
          <w:rStyle w:val="Znakapoznpodarou"/>
          <w:rFonts w:asciiTheme="minorHAnsi" w:hAnsiTheme="minorHAnsi" w:cstheme="minorHAnsi"/>
        </w:rPr>
        <w:footnoteRef/>
      </w:r>
      <w:r w:rsidRPr="004C3DDD">
        <w:rPr>
          <w:rFonts w:asciiTheme="minorHAnsi" w:hAnsiTheme="minorHAnsi" w:cstheme="minorHAnsi"/>
        </w:rPr>
        <w:t xml:space="preserve">  </w:t>
      </w:r>
      <w:r w:rsidRPr="004C3DDD">
        <w:rPr>
          <w:rFonts w:ascii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 xml:space="preserve">Opatření pro specifické cíle </w:t>
      </w:r>
      <w:r w:rsidRPr="003027E6">
        <w:rPr>
          <w:rFonts w:asciiTheme="minorHAnsi" w:hAnsiTheme="minorHAnsi" w:cstheme="minorHAnsi"/>
        </w:rPr>
        <w:t>4.1.6</w:t>
      </w:r>
      <w:r>
        <w:rPr>
          <w:rFonts w:asciiTheme="minorHAnsi" w:hAnsiTheme="minorHAnsi" w:cstheme="minorHAnsi"/>
        </w:rPr>
        <w:t xml:space="preserve">, </w:t>
      </w:r>
      <w:r w:rsidRPr="000A65D5">
        <w:rPr>
          <w:rFonts w:asciiTheme="minorHAnsi" w:hAnsiTheme="minorHAnsi" w:cstheme="minorHAnsi"/>
        </w:rPr>
        <w:t>4.4.2</w:t>
      </w:r>
      <w:r>
        <w:rPr>
          <w:rFonts w:asciiTheme="minorHAnsi" w:hAnsiTheme="minorHAnsi" w:cstheme="minorHAnsi"/>
        </w:rPr>
        <w:t xml:space="preserve"> a </w:t>
      </w:r>
      <w:r w:rsidRPr="000A65D5">
        <w:rPr>
          <w:rFonts w:asciiTheme="minorHAnsi" w:hAnsiTheme="minorHAnsi" w:cstheme="minorHAnsi"/>
          <w:bCs/>
        </w:rPr>
        <w:t xml:space="preserve">4.4.4 </w:t>
      </w:r>
      <w:r>
        <w:rPr>
          <w:rFonts w:asciiTheme="minorHAnsi" w:eastAsiaTheme="minorHAnsi" w:hAnsiTheme="minorHAnsi" w:cstheme="minorHAnsi"/>
        </w:rPr>
        <w:t>Dopravní politiky schválené</w:t>
      </w:r>
      <w:r w:rsidRPr="004C3DDD">
        <w:rPr>
          <w:rFonts w:asciiTheme="minorHAnsi" w:eastAsiaTheme="minorHAnsi" w:hAnsiTheme="minorHAnsi" w:cstheme="minorHAnsi"/>
        </w:rPr>
        <w:t xml:space="preserve"> vlád</w:t>
      </w:r>
      <w:r>
        <w:rPr>
          <w:rFonts w:asciiTheme="minorHAnsi" w:eastAsiaTheme="minorHAnsi" w:hAnsiTheme="minorHAnsi" w:cstheme="minorHAnsi"/>
        </w:rPr>
        <w:t>ou</w:t>
      </w:r>
      <w:r w:rsidRPr="004C3DDD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ČR</w:t>
      </w:r>
      <w:r w:rsidRPr="004C3DDD">
        <w:rPr>
          <w:rFonts w:asciiTheme="minorHAnsi" w:eastAsiaTheme="minorHAnsi" w:hAnsiTheme="minorHAnsi" w:cstheme="minorHAnsi"/>
        </w:rPr>
        <w:t xml:space="preserve"> usnesením ze dne 12.</w:t>
      </w:r>
      <w:r>
        <w:rPr>
          <w:rFonts w:asciiTheme="minorHAnsi" w:eastAsiaTheme="minorHAnsi" w:hAnsiTheme="minorHAnsi" w:cstheme="minorHAnsi"/>
        </w:rPr>
        <w:t> </w:t>
      </w:r>
      <w:r w:rsidRPr="004C3DDD">
        <w:rPr>
          <w:rFonts w:asciiTheme="minorHAnsi" w:eastAsiaTheme="minorHAnsi" w:hAnsiTheme="minorHAnsi" w:cstheme="minorHAnsi"/>
        </w:rPr>
        <w:t xml:space="preserve">června 2013 č. 449, </w:t>
      </w:r>
      <w:r w:rsidRPr="008F79E0">
        <w:rPr>
          <w:rFonts w:asciiTheme="minorHAnsi" w:eastAsiaTheme="minorHAnsi" w:hAnsiTheme="minorHAnsi" w:cstheme="minorHAnsi"/>
          <w:i/>
        </w:rPr>
        <w:t>k Dopravní politice České republiky pro období let 2014 až 2020 s výhledem do roku 2050</w:t>
      </w:r>
      <w:r w:rsidRPr="004C3DDD">
        <w:rPr>
          <w:rFonts w:asciiTheme="minorHAnsi" w:eastAsiaTheme="minorHAnsi" w:hAnsiTheme="minorHAnsi" w:cstheme="minorHAnsi"/>
        </w:rPr>
        <w:t>.</w:t>
      </w:r>
    </w:p>
  </w:footnote>
  <w:footnote w:id="15">
    <w:p w14:paraId="7EF3C7CA" w14:textId="77777777" w:rsidR="00FE54EE" w:rsidRPr="00081E9B" w:rsidRDefault="00FE54EE" w:rsidP="00F610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C3DDD">
        <w:rPr>
          <w:rStyle w:val="Znakapoznpodarou"/>
          <w:rFonts w:cstheme="minorHAnsi"/>
          <w:sz w:val="20"/>
          <w:szCs w:val="20"/>
        </w:rPr>
        <w:footnoteRef/>
      </w:r>
      <w:r w:rsidRPr="004C3DDD">
        <w:rPr>
          <w:rFonts w:cstheme="minorHAnsi"/>
          <w:sz w:val="20"/>
          <w:szCs w:val="20"/>
        </w:rPr>
        <w:t xml:space="preserve"> </w:t>
      </w:r>
      <w:r w:rsidRPr="004C3DD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DSS2</w:t>
      </w:r>
      <w:r w:rsidRPr="004C3DDD">
        <w:rPr>
          <w:rFonts w:cstheme="minorHAnsi"/>
          <w:sz w:val="20"/>
          <w:szCs w:val="20"/>
        </w:rPr>
        <w:t xml:space="preserve"> schválila vláda </w:t>
      </w:r>
      <w:r>
        <w:rPr>
          <w:rFonts w:cstheme="minorHAnsi"/>
          <w:sz w:val="20"/>
          <w:szCs w:val="20"/>
        </w:rPr>
        <w:t>ČR</w:t>
      </w:r>
      <w:r w:rsidRPr="004C3DDD">
        <w:rPr>
          <w:rFonts w:cstheme="minorHAnsi"/>
          <w:sz w:val="20"/>
          <w:szCs w:val="20"/>
        </w:rPr>
        <w:t xml:space="preserve"> usnesením ze dne 13. listopadu 2013 č. 850, </w:t>
      </w:r>
      <w:r w:rsidRPr="008D5092">
        <w:rPr>
          <w:rFonts w:cstheme="minorHAnsi"/>
          <w:i/>
          <w:sz w:val="20"/>
          <w:szCs w:val="20"/>
        </w:rPr>
        <w:t>o Dopravních sektorových strategiích, 2.</w:t>
      </w:r>
      <w:r>
        <w:rPr>
          <w:rFonts w:cstheme="minorHAnsi"/>
          <w:i/>
          <w:sz w:val="20"/>
          <w:szCs w:val="20"/>
        </w:rPr>
        <w:t> </w:t>
      </w:r>
      <w:r w:rsidRPr="008D5092">
        <w:rPr>
          <w:rFonts w:cstheme="minorHAnsi"/>
          <w:i/>
          <w:sz w:val="20"/>
          <w:szCs w:val="20"/>
        </w:rPr>
        <w:t>fáze</w:t>
      </w:r>
      <w:r w:rsidRPr="004C3DD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8D5092">
        <w:rPr>
          <w:rFonts w:cstheme="minorHAnsi"/>
          <w:sz w:val="20"/>
          <w:szCs w:val="20"/>
        </w:rPr>
        <w:t xml:space="preserve">Aktualizaci DSS2 schválila vláda ČR usnesením ze dne 27. února 2018 č. 136, </w:t>
      </w:r>
      <w:r w:rsidRPr="008D5092">
        <w:rPr>
          <w:rFonts w:cstheme="minorHAnsi"/>
          <w:i/>
          <w:sz w:val="20"/>
          <w:szCs w:val="20"/>
        </w:rPr>
        <w:t>o Dopravních sektorových strategiích – Aktualizace 2017</w:t>
      </w:r>
      <w:r>
        <w:rPr>
          <w:rFonts w:cstheme="minorHAnsi"/>
          <w:i/>
          <w:sz w:val="20"/>
          <w:szCs w:val="20"/>
        </w:rPr>
        <w:t>.</w:t>
      </w:r>
    </w:p>
  </w:footnote>
  <w:footnote w:id="16">
    <w:p w14:paraId="69448BF0" w14:textId="05B53D45" w:rsidR="00FE54EE" w:rsidRPr="004C3DDD" w:rsidRDefault="00FE54EE" w:rsidP="005A7FAB">
      <w:pPr>
        <w:pStyle w:val="poznmkapodarou"/>
        <w:rPr>
          <w:rFonts w:asciiTheme="minorHAnsi" w:eastAsiaTheme="minorHAnsi" w:hAnsiTheme="minorHAnsi" w:cstheme="minorHAnsi"/>
        </w:rPr>
      </w:pPr>
      <w:r w:rsidRPr="004C3DDD">
        <w:rPr>
          <w:rStyle w:val="Znakapoznpodarou"/>
          <w:rFonts w:asciiTheme="minorHAnsi" w:hAnsiTheme="minorHAnsi" w:cstheme="minorHAnsi"/>
        </w:rPr>
        <w:footnoteRef/>
      </w:r>
      <w:r w:rsidRPr="004C3DDD">
        <w:rPr>
          <w:rFonts w:asciiTheme="minorHAnsi" w:hAnsiTheme="minorHAnsi" w:cstheme="minorHAnsi"/>
        </w:rPr>
        <w:t xml:space="preserve">  </w:t>
      </w:r>
      <w:r w:rsidRPr="004C3DDD">
        <w:rPr>
          <w:rFonts w:ascii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 xml:space="preserve">Opatření pro specifický cíl </w:t>
      </w:r>
      <w:r>
        <w:rPr>
          <w:rFonts w:asciiTheme="minorHAnsi" w:hAnsiTheme="minorHAnsi" w:cstheme="minorHAnsi"/>
        </w:rPr>
        <w:t>1.3</w:t>
      </w:r>
      <w:r w:rsidRPr="000A65D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eastAsiaTheme="minorHAnsi" w:hAnsiTheme="minorHAnsi" w:cstheme="minorHAnsi"/>
        </w:rPr>
        <w:t>Dopravní politiky schválené</w:t>
      </w:r>
      <w:r w:rsidRPr="004C3DDD">
        <w:rPr>
          <w:rFonts w:asciiTheme="minorHAnsi" w:eastAsiaTheme="minorHAnsi" w:hAnsiTheme="minorHAnsi" w:cstheme="minorHAnsi"/>
        </w:rPr>
        <w:t xml:space="preserve"> vlád</w:t>
      </w:r>
      <w:r>
        <w:rPr>
          <w:rFonts w:asciiTheme="minorHAnsi" w:eastAsiaTheme="minorHAnsi" w:hAnsiTheme="minorHAnsi" w:cstheme="minorHAnsi"/>
        </w:rPr>
        <w:t>ou</w:t>
      </w:r>
      <w:r w:rsidRPr="004C3DDD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ČR</w:t>
      </w:r>
      <w:r w:rsidRPr="004C3DDD">
        <w:rPr>
          <w:rFonts w:asciiTheme="minorHAnsi" w:eastAsiaTheme="minorHAnsi" w:hAnsiTheme="minorHAnsi" w:cstheme="minorHAnsi"/>
        </w:rPr>
        <w:t xml:space="preserve"> usnesením ze dne </w:t>
      </w:r>
      <w:r w:rsidRPr="00BD7382">
        <w:rPr>
          <w:rFonts w:asciiTheme="minorHAnsi" w:hAnsiTheme="minorHAnsi" w:cstheme="minorHAnsi"/>
        </w:rPr>
        <w:t xml:space="preserve">8. března 2021 č. 259, </w:t>
      </w:r>
      <w:r w:rsidRPr="005A7FAB">
        <w:rPr>
          <w:rFonts w:asciiTheme="minorHAnsi" w:hAnsiTheme="minorHAnsi" w:cstheme="minorHAnsi"/>
          <w:i/>
        </w:rPr>
        <w:t>o</w:t>
      </w:r>
      <w:r>
        <w:rPr>
          <w:rFonts w:asciiTheme="minorHAnsi" w:hAnsiTheme="minorHAnsi" w:cstheme="minorHAnsi"/>
          <w:i/>
        </w:rPr>
        <w:t> </w:t>
      </w:r>
      <w:r w:rsidRPr="005A7FAB">
        <w:rPr>
          <w:rFonts w:asciiTheme="minorHAnsi" w:hAnsiTheme="minorHAnsi" w:cstheme="minorHAnsi"/>
          <w:i/>
        </w:rPr>
        <w:t>Dopravní politice České republiky pro období 2021</w:t>
      </w:r>
      <w:r>
        <w:rPr>
          <w:rFonts w:asciiTheme="minorHAnsi" w:hAnsiTheme="minorHAnsi" w:cstheme="minorHAnsi"/>
          <w:i/>
        </w:rPr>
        <w:t>–</w:t>
      </w:r>
      <w:r w:rsidRPr="005A7FAB">
        <w:rPr>
          <w:rFonts w:asciiTheme="minorHAnsi" w:hAnsiTheme="minorHAnsi" w:cstheme="minorHAnsi"/>
          <w:i/>
        </w:rPr>
        <w:t>2027 s výhledem do roku 2050</w:t>
      </w:r>
      <w:r>
        <w:rPr>
          <w:rFonts w:asciiTheme="minorHAnsi" w:hAnsiTheme="minorHAnsi" w:cstheme="minorHAnsi"/>
          <w:i/>
        </w:rPr>
        <w:t>.</w:t>
      </w:r>
    </w:p>
  </w:footnote>
  <w:footnote w:id="17">
    <w:p w14:paraId="05B96443" w14:textId="77777777" w:rsidR="00FE54EE" w:rsidRPr="004C3DDD" w:rsidRDefault="00FE54EE" w:rsidP="004F53FA">
      <w:pPr>
        <w:pStyle w:val="Textpoznpodarou"/>
        <w:ind w:left="284" w:hanging="284"/>
        <w:jc w:val="both"/>
        <w:rPr>
          <w:rFonts w:cstheme="minorHAnsi"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 w:rsidRPr="00081E9B">
        <w:rPr>
          <w:rFonts w:cstheme="minorHAnsi"/>
        </w:rPr>
        <w:t xml:space="preserve">Usnesení </w:t>
      </w:r>
      <w:r w:rsidRPr="004C3DDD">
        <w:rPr>
          <w:rFonts w:cstheme="minorHAnsi"/>
        </w:rPr>
        <w:t xml:space="preserve">vlády </w:t>
      </w:r>
      <w:r>
        <w:rPr>
          <w:rFonts w:cstheme="minorHAnsi"/>
        </w:rPr>
        <w:t>ČR</w:t>
      </w:r>
      <w:r w:rsidRPr="004C3DDD">
        <w:rPr>
          <w:rFonts w:cstheme="minorHAnsi"/>
        </w:rPr>
        <w:t xml:space="preserve"> ze dne 25. září 2017 č. 685, </w:t>
      </w:r>
      <w:r w:rsidRPr="007B5309">
        <w:rPr>
          <w:rFonts w:cstheme="minorHAnsi"/>
          <w:i/>
        </w:rPr>
        <w:t>ke Koncepci vodní dopravy pro období 2016–2023</w:t>
      </w:r>
      <w:r w:rsidRPr="004C3DDD">
        <w:rPr>
          <w:rFonts w:cstheme="minorHAnsi"/>
        </w:rPr>
        <w:t>.</w:t>
      </w:r>
    </w:p>
  </w:footnote>
  <w:footnote w:id="18">
    <w:p w14:paraId="34480B4C" w14:textId="77777777" w:rsidR="00FE54EE" w:rsidRPr="004C3DDD" w:rsidRDefault="00FE54EE" w:rsidP="00C95FA9">
      <w:pPr>
        <w:pStyle w:val="Textpoznpodarou"/>
        <w:ind w:left="284" w:hanging="284"/>
        <w:jc w:val="both"/>
        <w:rPr>
          <w:rFonts w:cstheme="minorHAnsi"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>
        <w:rPr>
          <w:rFonts w:cstheme="minorHAnsi"/>
        </w:rPr>
        <w:t xml:space="preserve">Problematikou projektu </w:t>
      </w:r>
      <w:r w:rsidRPr="007B5309">
        <w:rPr>
          <w:rFonts w:cstheme="minorHAnsi"/>
          <w:i/>
        </w:rPr>
        <w:t>Plavební stupeň Děčín</w:t>
      </w:r>
      <w:r>
        <w:rPr>
          <w:rFonts w:cstheme="minorHAnsi"/>
        </w:rPr>
        <w:t>, řešícího odstranění nespolehlivé splavnosti příhraničního úseků Labe, se NKÚ podrobně zabýval v kontrolní akci č. 18/16.</w:t>
      </w:r>
    </w:p>
  </w:footnote>
  <w:footnote w:id="19">
    <w:p w14:paraId="4AE63BD9" w14:textId="77777777" w:rsidR="00FE54EE" w:rsidRPr="00DF303C" w:rsidRDefault="00FE54EE" w:rsidP="00FE3D55">
      <w:pPr>
        <w:pStyle w:val="poznmkapodarou"/>
        <w:contextualSpacing w:val="0"/>
        <w:rPr>
          <w:rFonts w:asciiTheme="minorHAnsi" w:hAnsiTheme="minorHAnsi" w:cstheme="minorHAnsi"/>
        </w:rPr>
      </w:pPr>
      <w:r w:rsidRPr="004C3DDD">
        <w:rPr>
          <w:rStyle w:val="Znakapoznpodarou"/>
          <w:rFonts w:asciiTheme="minorHAnsi" w:hAnsiTheme="minorHAnsi" w:cstheme="minorHAnsi"/>
        </w:rPr>
        <w:footnoteRef/>
      </w:r>
      <w:r w:rsidRPr="004C3DDD">
        <w:rPr>
          <w:rFonts w:asciiTheme="minorHAnsi" w:hAnsiTheme="minorHAnsi" w:cstheme="minorHAnsi"/>
        </w:rPr>
        <w:t xml:space="preserve">  </w:t>
      </w:r>
      <w:r w:rsidRPr="004C3D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Např. </w:t>
      </w:r>
      <w:r w:rsidRPr="0029384F">
        <w:rPr>
          <w:rFonts w:asciiTheme="minorHAnsi" w:hAnsiTheme="minorHAnsi" w:cstheme="minorHAnsi"/>
          <w:i/>
        </w:rPr>
        <w:t>Komplexní vyhodnocení ekonomické efektivnosti veřejných investic do rozvoje infrastruktury vodních cest vhodných pro nákladní vnitrozemskou dopravu v ČR</w:t>
      </w:r>
      <w:r w:rsidRPr="000A65D5">
        <w:rPr>
          <w:rFonts w:asciiTheme="minorHAnsi" w:hAnsiTheme="minorHAnsi" w:cstheme="minorHAnsi"/>
        </w:rPr>
        <w:t xml:space="preserve"> z února 2016</w:t>
      </w:r>
      <w:r>
        <w:rPr>
          <w:rFonts w:asciiTheme="minorHAnsi" w:hAnsiTheme="minorHAnsi" w:cstheme="minorHAnsi"/>
        </w:rPr>
        <w:t xml:space="preserve"> a</w:t>
      </w:r>
      <w:r w:rsidRPr="000A65D5">
        <w:rPr>
          <w:rFonts w:asciiTheme="minorHAnsi" w:hAnsiTheme="minorHAnsi" w:cstheme="minorHAnsi"/>
        </w:rPr>
        <w:t xml:space="preserve"> </w:t>
      </w:r>
      <w:r w:rsidRPr="0029384F">
        <w:rPr>
          <w:rFonts w:asciiTheme="minorHAnsi" w:hAnsiTheme="minorHAnsi" w:cstheme="minorHAnsi"/>
          <w:i/>
        </w:rPr>
        <w:t>Hodnocení ekonomické efektivnosti rekreační plavby na labsko-vltavské vodní cestě</w:t>
      </w:r>
      <w:r w:rsidRPr="000A65D5">
        <w:rPr>
          <w:rFonts w:asciiTheme="minorHAnsi" w:hAnsiTheme="minorHAnsi" w:cstheme="minorHAnsi"/>
        </w:rPr>
        <w:t xml:space="preserve"> z února 2020</w:t>
      </w:r>
      <w:r>
        <w:rPr>
          <w:rFonts w:asciiTheme="minorHAnsi" w:hAnsiTheme="minorHAnsi" w:cstheme="minorHAnsi"/>
        </w:rPr>
        <w:t>.</w:t>
      </w:r>
    </w:p>
  </w:footnote>
  <w:footnote w:id="20">
    <w:p w14:paraId="7D92DA7B" w14:textId="77777777" w:rsidR="00FE54EE" w:rsidRPr="004C3DDD" w:rsidRDefault="00FE54EE" w:rsidP="000F25C3">
      <w:pPr>
        <w:pStyle w:val="Textpoznpodarou"/>
        <w:ind w:left="284" w:hanging="284"/>
        <w:jc w:val="both"/>
        <w:rPr>
          <w:rFonts w:cstheme="minorHAnsi"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 w:rsidRPr="000F25C3">
        <w:rPr>
          <w:rFonts w:cstheme="minorHAnsi"/>
        </w:rPr>
        <w:t xml:space="preserve">Program </w:t>
      </w:r>
      <w:r>
        <w:rPr>
          <w:rFonts w:cstheme="minorHAnsi"/>
        </w:rPr>
        <w:t>schválila</w:t>
      </w:r>
      <w:r w:rsidRPr="00C8350F">
        <w:rPr>
          <w:rFonts w:cstheme="minorHAnsi"/>
        </w:rPr>
        <w:t xml:space="preserve"> vlád</w:t>
      </w:r>
      <w:r>
        <w:rPr>
          <w:rFonts w:cstheme="minorHAnsi"/>
        </w:rPr>
        <w:t>a</w:t>
      </w:r>
      <w:r w:rsidRPr="00C8350F">
        <w:rPr>
          <w:rFonts w:cstheme="minorHAnsi"/>
        </w:rPr>
        <w:t xml:space="preserve"> ČR </w:t>
      </w:r>
      <w:r>
        <w:rPr>
          <w:rFonts w:cstheme="minorHAnsi"/>
        </w:rPr>
        <w:t xml:space="preserve">usnesením </w:t>
      </w:r>
      <w:r w:rsidRPr="00C8350F">
        <w:rPr>
          <w:rFonts w:cstheme="minorHAnsi"/>
        </w:rPr>
        <w:t xml:space="preserve">ze dne 9. července 2014 č. 555, </w:t>
      </w:r>
      <w:r w:rsidRPr="000F25C3">
        <w:rPr>
          <w:rFonts w:cstheme="minorHAnsi"/>
          <w:i/>
        </w:rPr>
        <w:t>o Integrovaném regionálním operačním programu pro období let 2014–2020</w:t>
      </w:r>
      <w:r w:rsidRPr="00C8350F">
        <w:rPr>
          <w:rFonts w:cstheme="minorHAnsi"/>
        </w:rPr>
        <w:t>.</w:t>
      </w:r>
      <w:r>
        <w:rPr>
          <w:rFonts w:cstheme="minorHAnsi"/>
        </w:rPr>
        <w:t xml:space="preserve"> Řídicím orgánem programu bylo MMR.</w:t>
      </w:r>
    </w:p>
  </w:footnote>
  <w:footnote w:id="21">
    <w:p w14:paraId="05D49B0C" w14:textId="77777777" w:rsidR="00FE54EE" w:rsidRPr="004C3DDD" w:rsidRDefault="00FE54EE" w:rsidP="00E9249E">
      <w:pPr>
        <w:pStyle w:val="Textpoznpodarou"/>
        <w:ind w:left="284" w:hanging="284"/>
        <w:jc w:val="both"/>
        <w:rPr>
          <w:rFonts w:cstheme="minorHAnsi"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>
        <w:rPr>
          <w:rFonts w:cstheme="minorHAnsi"/>
        </w:rPr>
        <w:t>Z</w:t>
      </w:r>
      <w:r w:rsidRPr="000A65D5">
        <w:rPr>
          <w:rFonts w:cstheme="minorHAnsi"/>
        </w:rPr>
        <w:t xml:space="preserve">pracování </w:t>
      </w:r>
      <w:r w:rsidRPr="00E9249E">
        <w:rPr>
          <w:rFonts w:cstheme="minorHAnsi"/>
          <w:i/>
        </w:rPr>
        <w:t>Hodnocení ekonomické efektivnosti rekreační plavby na Baťově kanále</w:t>
      </w:r>
      <w:r w:rsidRPr="000A65D5">
        <w:rPr>
          <w:rFonts w:cstheme="minorHAnsi"/>
        </w:rPr>
        <w:t xml:space="preserve"> z června 2019 a </w:t>
      </w:r>
      <w:r w:rsidRPr="00E9249E">
        <w:rPr>
          <w:rFonts w:cstheme="minorHAnsi"/>
          <w:i/>
        </w:rPr>
        <w:t>Hodnocení ekonomické efektivnosti rekreační plavby na labsko-vltavské vodní cestě</w:t>
      </w:r>
      <w:r w:rsidRPr="000A65D5">
        <w:rPr>
          <w:rFonts w:cstheme="minorHAnsi"/>
        </w:rPr>
        <w:t xml:space="preserve"> z února 2020</w:t>
      </w:r>
      <w:r>
        <w:rPr>
          <w:rFonts w:cstheme="minorHAnsi"/>
        </w:rPr>
        <w:t xml:space="preserve"> na základě požadavku MD</w:t>
      </w:r>
      <w:r w:rsidRPr="000A65D5">
        <w:rPr>
          <w:rFonts w:cstheme="minorHAnsi"/>
        </w:rPr>
        <w:t xml:space="preserve"> zajistilo ŘVC</w:t>
      </w:r>
      <w:r>
        <w:rPr>
          <w:rFonts w:cstheme="minorHAnsi"/>
        </w:rPr>
        <w:t>.</w:t>
      </w:r>
    </w:p>
  </w:footnote>
  <w:footnote w:id="22">
    <w:p w14:paraId="484CC04D" w14:textId="77777777" w:rsidR="00FE54EE" w:rsidRPr="00D05A8E" w:rsidRDefault="00FE54EE" w:rsidP="007070B9">
      <w:pPr>
        <w:pStyle w:val="Textpoznpodarou"/>
        <w:ind w:left="284" w:hanging="284"/>
        <w:jc w:val="both"/>
        <w:rPr>
          <w:rFonts w:cstheme="minorHAnsi"/>
          <w:i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 w:rsidRPr="007070B9">
        <w:rPr>
          <w:rFonts w:cstheme="minorHAnsi"/>
          <w:i/>
        </w:rPr>
        <w:t>Koncepce státní politiky cestovního ruchu v České republice na období 2014</w:t>
      </w:r>
      <w:r>
        <w:rPr>
          <w:rFonts w:cstheme="minorHAnsi"/>
          <w:i/>
        </w:rPr>
        <w:t>–</w:t>
      </w:r>
      <w:r w:rsidRPr="007070B9">
        <w:rPr>
          <w:rFonts w:cstheme="minorHAnsi"/>
          <w:i/>
        </w:rPr>
        <w:t>2020</w:t>
      </w:r>
      <w:r>
        <w:rPr>
          <w:rFonts w:cstheme="minorHAnsi"/>
        </w:rPr>
        <w:t xml:space="preserve"> </w:t>
      </w:r>
      <w:r w:rsidRPr="007070B9">
        <w:rPr>
          <w:rFonts w:cstheme="minorHAnsi"/>
        </w:rPr>
        <w:t>schválená</w:t>
      </w:r>
      <w:r>
        <w:t xml:space="preserve"> </w:t>
      </w:r>
      <w:r>
        <w:rPr>
          <w:rFonts w:cstheme="minorHAnsi"/>
        </w:rPr>
        <w:t>u</w:t>
      </w:r>
      <w:r w:rsidRPr="00081E9B">
        <w:rPr>
          <w:rFonts w:cstheme="minorHAnsi"/>
        </w:rPr>
        <w:t>snesení</w:t>
      </w:r>
      <w:r>
        <w:rPr>
          <w:rFonts w:cstheme="minorHAnsi"/>
        </w:rPr>
        <w:t>m</w:t>
      </w:r>
      <w:r w:rsidRPr="00081E9B">
        <w:rPr>
          <w:rFonts w:cstheme="minorHAnsi"/>
        </w:rPr>
        <w:t xml:space="preserve"> </w:t>
      </w:r>
      <w:r>
        <w:rPr>
          <w:rFonts w:cstheme="minorHAnsi"/>
        </w:rPr>
        <w:br/>
      </w:r>
      <w:r w:rsidRPr="004C3DDD">
        <w:rPr>
          <w:rFonts w:cstheme="minorHAnsi"/>
        </w:rPr>
        <w:t xml:space="preserve">vlády </w:t>
      </w:r>
      <w:r>
        <w:rPr>
          <w:rFonts w:cstheme="minorHAnsi"/>
        </w:rPr>
        <w:t>ČR</w:t>
      </w:r>
      <w:r w:rsidRPr="004C3DDD">
        <w:rPr>
          <w:rFonts w:cstheme="minorHAnsi"/>
        </w:rPr>
        <w:t xml:space="preserve"> ze dne 2</w:t>
      </w:r>
      <w:r>
        <w:rPr>
          <w:rFonts w:cstheme="minorHAnsi"/>
        </w:rPr>
        <w:t>7</w:t>
      </w:r>
      <w:r w:rsidRPr="004C3DDD">
        <w:rPr>
          <w:rFonts w:cstheme="minorHAnsi"/>
        </w:rPr>
        <w:t xml:space="preserve">. </w:t>
      </w:r>
      <w:r>
        <w:rPr>
          <w:rFonts w:cstheme="minorHAnsi"/>
        </w:rPr>
        <w:t>března</w:t>
      </w:r>
      <w:r w:rsidRPr="004C3DDD">
        <w:rPr>
          <w:rFonts w:cstheme="minorHAnsi"/>
        </w:rPr>
        <w:t xml:space="preserve"> 201</w:t>
      </w:r>
      <w:r>
        <w:rPr>
          <w:rFonts w:cstheme="minorHAnsi"/>
        </w:rPr>
        <w:t>3</w:t>
      </w:r>
      <w:r w:rsidRPr="004C3DDD">
        <w:rPr>
          <w:rFonts w:cstheme="minorHAnsi"/>
        </w:rPr>
        <w:t xml:space="preserve"> č. </w:t>
      </w:r>
      <w:r>
        <w:rPr>
          <w:rFonts w:cstheme="minorHAnsi"/>
        </w:rPr>
        <w:t>220</w:t>
      </w:r>
      <w:r w:rsidRPr="004C3DDD">
        <w:rPr>
          <w:rFonts w:cstheme="minorHAnsi"/>
        </w:rPr>
        <w:t xml:space="preserve">, </w:t>
      </w:r>
      <w:r>
        <w:rPr>
          <w:rFonts w:cstheme="minorHAnsi"/>
          <w:i/>
        </w:rPr>
        <w:t>o</w:t>
      </w:r>
      <w:r w:rsidRPr="007B5309">
        <w:rPr>
          <w:rFonts w:cstheme="minorHAnsi"/>
          <w:i/>
        </w:rPr>
        <w:t xml:space="preserve"> Koncepci </w:t>
      </w:r>
      <w:r w:rsidRPr="007070B9">
        <w:rPr>
          <w:rFonts w:cstheme="minorHAnsi"/>
          <w:i/>
        </w:rPr>
        <w:t>státní politiky cestovního ruchu v České republice na období 2014</w:t>
      </w:r>
      <w:r>
        <w:rPr>
          <w:rFonts w:cstheme="minorHAnsi"/>
          <w:i/>
        </w:rPr>
        <w:t>–</w:t>
      </w:r>
      <w:r w:rsidRPr="007070B9">
        <w:rPr>
          <w:rFonts w:cstheme="minorHAnsi"/>
          <w:i/>
        </w:rPr>
        <w:t>2020</w:t>
      </w:r>
      <w:r w:rsidRPr="00D05A8E">
        <w:rPr>
          <w:rFonts w:cstheme="minorHAnsi"/>
          <w:i/>
        </w:rPr>
        <w:t>.</w:t>
      </w:r>
    </w:p>
  </w:footnote>
  <w:footnote w:id="23">
    <w:p w14:paraId="437A1281" w14:textId="77777777" w:rsidR="00FE54EE" w:rsidRPr="00DF303C" w:rsidRDefault="00FE54EE" w:rsidP="0026018A">
      <w:pPr>
        <w:pStyle w:val="poznmkapodarou"/>
        <w:rPr>
          <w:rFonts w:asciiTheme="minorHAnsi" w:hAnsiTheme="minorHAnsi" w:cstheme="minorHAnsi"/>
        </w:rPr>
      </w:pPr>
      <w:r w:rsidRPr="004C3DDD">
        <w:rPr>
          <w:rStyle w:val="Znakapoznpodarou"/>
          <w:rFonts w:asciiTheme="minorHAnsi" w:hAnsiTheme="minorHAnsi" w:cstheme="minorHAnsi"/>
        </w:rPr>
        <w:footnoteRef/>
      </w:r>
      <w:r w:rsidRPr="004C3DDD">
        <w:rPr>
          <w:rFonts w:asciiTheme="minorHAnsi" w:hAnsiTheme="minorHAnsi" w:cstheme="minorHAnsi"/>
        </w:rPr>
        <w:t xml:space="preserve">  </w:t>
      </w:r>
      <w:r w:rsidRPr="004C3DDD">
        <w:rPr>
          <w:rFonts w:asciiTheme="minorHAnsi" w:hAnsiTheme="minorHAnsi" w:cstheme="minorHAnsi"/>
        </w:rPr>
        <w:tab/>
      </w:r>
      <w:r w:rsidRPr="007C5A1B">
        <w:rPr>
          <w:rFonts w:asciiTheme="minorHAnsi" w:hAnsiTheme="minorHAnsi" w:cstheme="minorHAnsi"/>
        </w:rPr>
        <w:t xml:space="preserve">Ustanovení </w:t>
      </w:r>
      <w:r w:rsidRPr="007C5A1B">
        <w:rPr>
          <w:rFonts w:asciiTheme="minorHAnsi" w:hAnsiTheme="minorHAnsi" w:cstheme="minorHAnsi"/>
          <w:color w:val="000000"/>
          <w:lang w:eastAsia="cs-CZ" w:bidi="cs-CZ"/>
        </w:rPr>
        <w:t>92 odst. 2 zákona č. 134/2016 Sb., o zadávání veřejných zakázek.</w:t>
      </w:r>
    </w:p>
  </w:footnote>
  <w:footnote w:id="24">
    <w:p w14:paraId="3D24B21C" w14:textId="77777777" w:rsidR="00FE54EE" w:rsidRPr="00DF303C" w:rsidRDefault="00FE54EE" w:rsidP="00982A4C">
      <w:pPr>
        <w:pStyle w:val="poznmkapodarou"/>
        <w:rPr>
          <w:rFonts w:asciiTheme="minorHAnsi" w:hAnsiTheme="minorHAnsi" w:cstheme="minorHAnsi"/>
        </w:rPr>
      </w:pPr>
      <w:r w:rsidRPr="004C3DDD">
        <w:rPr>
          <w:rStyle w:val="Znakapoznpodarou"/>
          <w:rFonts w:asciiTheme="minorHAnsi" w:hAnsiTheme="minorHAnsi" w:cstheme="minorHAnsi"/>
        </w:rPr>
        <w:footnoteRef/>
      </w:r>
      <w:r w:rsidRPr="004C3DDD">
        <w:rPr>
          <w:rFonts w:asciiTheme="minorHAnsi" w:hAnsiTheme="minorHAnsi" w:cstheme="minorHAnsi"/>
        </w:rPr>
        <w:t xml:space="preserve">  </w:t>
      </w:r>
      <w:r w:rsidRPr="004C3D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Ustanovení </w:t>
      </w:r>
      <w:r w:rsidRPr="001C7692">
        <w:rPr>
          <w:rFonts w:asciiTheme="minorHAnsi" w:hAnsiTheme="minorHAnsi" w:cstheme="minorHAnsi"/>
        </w:rPr>
        <w:t xml:space="preserve">§ 22 zákona </w:t>
      </w:r>
      <w:r>
        <w:rPr>
          <w:rFonts w:asciiTheme="minorHAnsi" w:hAnsiTheme="minorHAnsi" w:cstheme="minorHAnsi"/>
        </w:rPr>
        <w:t xml:space="preserve">České národní rady </w:t>
      </w:r>
      <w:r w:rsidRPr="001C7692">
        <w:rPr>
          <w:rFonts w:asciiTheme="minorHAnsi" w:hAnsiTheme="minorHAnsi" w:cstheme="minorHAnsi"/>
        </w:rPr>
        <w:t>č. 2/1969 Sb.</w:t>
      </w:r>
      <w:r>
        <w:rPr>
          <w:rFonts w:asciiTheme="minorHAnsi" w:hAnsiTheme="minorHAnsi" w:cstheme="minorHAnsi"/>
        </w:rPr>
        <w:t>,</w:t>
      </w:r>
      <w:r w:rsidRPr="001C7692">
        <w:rPr>
          <w:rFonts w:asciiTheme="minorHAnsi" w:hAnsiTheme="minorHAnsi" w:cstheme="minorHAnsi"/>
        </w:rPr>
        <w:t xml:space="preserve"> </w:t>
      </w:r>
      <w:r w:rsidRPr="00982A4C">
        <w:rPr>
          <w:rFonts w:asciiTheme="minorHAnsi" w:hAnsiTheme="minorHAnsi" w:cstheme="minorHAnsi"/>
        </w:rPr>
        <w:t>ustanovení</w:t>
      </w:r>
      <w:r>
        <w:rPr>
          <w:rFonts w:asciiTheme="minorHAnsi" w:hAnsiTheme="minorHAnsi" w:cstheme="minorHAnsi"/>
        </w:rPr>
        <w:t xml:space="preserve"> </w:t>
      </w:r>
      <w:r w:rsidRPr="0021278C">
        <w:rPr>
          <w:rFonts w:asciiTheme="minorHAnsi" w:hAnsiTheme="minorHAnsi" w:cstheme="minorHAnsi"/>
          <w:color w:val="000000"/>
          <w:lang w:eastAsia="cs-CZ"/>
        </w:rPr>
        <w:t>§ 39 odst. 3 zákona č. 218/2000 Sb</w:t>
      </w:r>
      <w:r>
        <w:rPr>
          <w:rFonts w:asciiTheme="minorHAnsi" w:hAnsiTheme="minorHAnsi" w:cstheme="minorHAnsi"/>
          <w:color w:val="000000"/>
          <w:lang w:eastAsia="cs-CZ"/>
        </w:rPr>
        <w:t>.</w:t>
      </w:r>
      <w:r>
        <w:rPr>
          <w:rFonts w:asciiTheme="minorHAnsi" w:eastAsia="Arial Unicode MS" w:hAnsiTheme="minorHAnsi" w:cstheme="minorHAnsi"/>
          <w:bCs/>
        </w:rPr>
        <w:t xml:space="preserve"> </w:t>
      </w:r>
    </w:p>
  </w:footnote>
  <w:footnote w:id="25">
    <w:p w14:paraId="43D1AE71" w14:textId="29191BFD" w:rsidR="00FE54EE" w:rsidRPr="00C0002F" w:rsidRDefault="00FE54EE" w:rsidP="001C296A">
      <w:pPr>
        <w:pStyle w:val="Textpoznpodarou"/>
        <w:ind w:left="284" w:hanging="284"/>
        <w:jc w:val="both"/>
        <w:rPr>
          <w:rFonts w:cstheme="minorHAnsi"/>
          <w:i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 w:rsidRPr="00C0002F">
        <w:rPr>
          <w:rFonts w:cstheme="minorHAnsi"/>
          <w:i/>
        </w:rPr>
        <w:t>Vyhodnocení účinnosti Dopravní politiky ČR pro období 2014</w:t>
      </w:r>
      <w:r>
        <w:rPr>
          <w:rFonts w:cstheme="minorHAnsi"/>
          <w:i/>
        </w:rPr>
        <w:t>–</w:t>
      </w:r>
      <w:r w:rsidRPr="00C0002F">
        <w:rPr>
          <w:rFonts w:cstheme="minorHAnsi"/>
          <w:i/>
        </w:rPr>
        <w:t xml:space="preserve">2020 s výhledem do roku 2050 </w:t>
      </w:r>
      <w:r w:rsidRPr="00C0002F">
        <w:rPr>
          <w:rFonts w:cstheme="minorHAnsi"/>
        </w:rPr>
        <w:t>předložilo MD pro informaci členů vlády ČR na jednání vlády konané dne 29. 11. 2017</w:t>
      </w:r>
      <w:r w:rsidRPr="00C0002F">
        <w:rPr>
          <w:rFonts w:cstheme="minorHAnsi"/>
          <w:i/>
        </w:rPr>
        <w:t>.</w:t>
      </w:r>
    </w:p>
  </w:footnote>
  <w:footnote w:id="26">
    <w:p w14:paraId="5E1E0FD2" w14:textId="77777777" w:rsidR="00FE54EE" w:rsidRPr="004C3DDD" w:rsidRDefault="00FE54EE" w:rsidP="001C296A">
      <w:pPr>
        <w:pStyle w:val="Textpoznpodarou"/>
        <w:ind w:left="284" w:hanging="284"/>
        <w:jc w:val="both"/>
        <w:rPr>
          <w:rFonts w:cstheme="minorHAnsi"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 w:rsidRPr="00246A01">
        <w:rPr>
          <w:rFonts w:cstheme="minorHAnsi"/>
          <w:i/>
        </w:rPr>
        <w:t>Zápis z jednání zástupců Ředitelství vodních cest, státního podniku Povodí Labe, státního podniku Povodí Vltavy a s. p. Povodí Moravy ve věci rozvoje, modernizace a provozování vodních cest</w:t>
      </w:r>
      <w:r w:rsidRPr="000A65D5">
        <w:rPr>
          <w:rFonts w:cstheme="minorHAnsi"/>
        </w:rPr>
        <w:t xml:space="preserve"> ze dne 13. 9. 2016</w:t>
      </w:r>
      <w:r w:rsidRPr="004C3DDD">
        <w:rPr>
          <w:rFonts w:cstheme="minorHAnsi"/>
        </w:rPr>
        <w:t>.</w:t>
      </w:r>
    </w:p>
  </w:footnote>
  <w:footnote w:id="27">
    <w:p w14:paraId="4251E546" w14:textId="77777777" w:rsidR="00FE54EE" w:rsidRPr="007C5A1B" w:rsidRDefault="00FE54EE" w:rsidP="005E4A54">
      <w:pPr>
        <w:pStyle w:val="poznmkapodarou"/>
        <w:rPr>
          <w:rFonts w:asciiTheme="minorHAnsi" w:hAnsiTheme="minorHAnsi" w:cstheme="minorHAnsi"/>
        </w:rPr>
      </w:pPr>
      <w:r w:rsidRPr="004C3DDD">
        <w:rPr>
          <w:rStyle w:val="Znakapoznpodarou"/>
          <w:rFonts w:asciiTheme="minorHAnsi" w:hAnsiTheme="minorHAnsi" w:cstheme="minorHAnsi"/>
        </w:rPr>
        <w:footnoteRef/>
      </w:r>
      <w:r w:rsidRPr="004C3DDD">
        <w:rPr>
          <w:rFonts w:asciiTheme="minorHAnsi" w:hAnsiTheme="minorHAnsi" w:cstheme="minorHAnsi"/>
        </w:rPr>
        <w:t xml:space="preserve"> </w:t>
      </w:r>
      <w:r w:rsidRPr="004C3DDD">
        <w:rPr>
          <w:rFonts w:asciiTheme="minorHAnsi" w:hAnsiTheme="minorHAnsi" w:cstheme="minorHAnsi"/>
        </w:rPr>
        <w:tab/>
      </w:r>
      <w:r w:rsidRPr="007C5A1B">
        <w:rPr>
          <w:rFonts w:asciiTheme="minorHAnsi" w:hAnsiTheme="minorHAnsi" w:cstheme="minorHAnsi"/>
        </w:rPr>
        <w:t>Ustanovení § 39 odst. 3</w:t>
      </w:r>
      <w:r>
        <w:rPr>
          <w:rFonts w:asciiTheme="minorHAnsi" w:hAnsiTheme="minorHAnsi" w:cstheme="minorHAnsi"/>
        </w:rPr>
        <w:t xml:space="preserve"> </w:t>
      </w:r>
      <w:r w:rsidRPr="007C5A1B">
        <w:rPr>
          <w:rFonts w:asciiTheme="minorHAnsi" w:hAnsiTheme="minorHAnsi" w:cstheme="minorHAnsi"/>
        </w:rPr>
        <w:t>zákona č</w:t>
      </w:r>
      <w:r>
        <w:rPr>
          <w:rFonts w:asciiTheme="minorHAnsi" w:hAnsiTheme="minorHAnsi" w:cstheme="minorHAnsi"/>
        </w:rPr>
        <w:t>. 218</w:t>
      </w:r>
      <w:r w:rsidRPr="007C5A1B">
        <w:rPr>
          <w:rFonts w:asciiTheme="minorHAnsi" w:hAnsiTheme="minorHAnsi" w:cstheme="minorHAnsi"/>
        </w:rPr>
        <w:t>/200</w:t>
      </w:r>
      <w:r>
        <w:rPr>
          <w:rFonts w:asciiTheme="minorHAnsi" w:hAnsiTheme="minorHAnsi" w:cstheme="minorHAnsi"/>
        </w:rPr>
        <w:t>0</w:t>
      </w:r>
      <w:r w:rsidRPr="007C5A1B">
        <w:rPr>
          <w:rFonts w:asciiTheme="minorHAnsi" w:hAnsiTheme="minorHAnsi" w:cstheme="minorHAnsi"/>
        </w:rPr>
        <w:t xml:space="preserve"> Sb.</w:t>
      </w:r>
    </w:p>
  </w:footnote>
  <w:footnote w:id="28">
    <w:p w14:paraId="5AD57D2E" w14:textId="77777777" w:rsidR="00FE54EE" w:rsidRPr="004C3DDD" w:rsidRDefault="00FE54EE" w:rsidP="00551830">
      <w:pPr>
        <w:pStyle w:val="Textpoznpodarou"/>
        <w:ind w:left="284" w:hanging="284"/>
        <w:jc w:val="both"/>
        <w:rPr>
          <w:rFonts w:cstheme="minorHAnsi"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 w:rsidRPr="0021278C">
        <w:t>Ustanovení</w:t>
      </w:r>
      <w:r w:rsidRPr="00A348D4">
        <w:rPr>
          <w:rFonts w:cstheme="minorHAnsi"/>
        </w:rPr>
        <w:t xml:space="preserve"> § 6 odst. 1 </w:t>
      </w:r>
      <w:r w:rsidRPr="005741B8">
        <w:rPr>
          <w:rFonts w:cstheme="minorHAnsi"/>
        </w:rPr>
        <w:t>zákona č. 137/2006 Sb.</w:t>
      </w:r>
    </w:p>
  </w:footnote>
  <w:footnote w:id="29">
    <w:p w14:paraId="4B3023E1" w14:textId="77777777" w:rsidR="00FE54EE" w:rsidRPr="004C3DDD" w:rsidRDefault="00FE54EE" w:rsidP="00551830">
      <w:pPr>
        <w:pStyle w:val="Textpoznpodarou"/>
        <w:ind w:left="284" w:hanging="284"/>
        <w:jc w:val="both"/>
        <w:rPr>
          <w:rFonts w:cstheme="minorHAnsi"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 w:rsidRPr="0021278C">
        <w:t>Ustanovení</w:t>
      </w:r>
      <w:r w:rsidRPr="00A348D4">
        <w:rPr>
          <w:rFonts w:cstheme="minorHAnsi"/>
        </w:rPr>
        <w:t xml:space="preserve"> § 155 odst. 1 zákona č. 137/2006 Sb</w:t>
      </w:r>
      <w:r>
        <w:rPr>
          <w:rFonts w:cstheme="minorHAnsi"/>
        </w:rPr>
        <w:t>.</w:t>
      </w:r>
    </w:p>
  </w:footnote>
  <w:footnote w:id="30">
    <w:p w14:paraId="10DD443C" w14:textId="77777777" w:rsidR="00FE54EE" w:rsidRPr="004C3DDD" w:rsidRDefault="00FE54EE" w:rsidP="00551830">
      <w:pPr>
        <w:pStyle w:val="Textpoznpodarou"/>
        <w:ind w:left="284" w:hanging="284"/>
        <w:jc w:val="both"/>
        <w:rPr>
          <w:rFonts w:cstheme="minorHAnsi"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 w:rsidRPr="0021278C">
        <w:t>Ustanovení</w:t>
      </w:r>
      <w:r w:rsidRPr="00A348D4">
        <w:rPr>
          <w:rFonts w:cstheme="minorHAnsi"/>
        </w:rPr>
        <w:t xml:space="preserve"> § 3 písm. e) zákona č. 218/2000 Sb.</w:t>
      </w:r>
    </w:p>
  </w:footnote>
  <w:footnote w:id="31">
    <w:p w14:paraId="138F6EF1" w14:textId="77777777" w:rsidR="00FE54EE" w:rsidRPr="004C3DDD" w:rsidRDefault="00FE54EE" w:rsidP="0044085B">
      <w:pPr>
        <w:pStyle w:val="Textpoznpodarou"/>
        <w:ind w:left="284" w:hanging="284"/>
        <w:jc w:val="both"/>
        <w:rPr>
          <w:rFonts w:cstheme="minorHAnsi"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 w:rsidRPr="0021278C">
        <w:t>Ustanovení</w:t>
      </w:r>
      <w:r w:rsidRPr="00880298">
        <w:rPr>
          <w:rFonts w:cstheme="minorHAnsi"/>
        </w:rPr>
        <w:t xml:space="preserve"> § 13 odst. 3 </w:t>
      </w:r>
      <w:r>
        <w:rPr>
          <w:rFonts w:cstheme="minorHAnsi"/>
        </w:rPr>
        <w:t xml:space="preserve">a </w:t>
      </w:r>
      <w:r w:rsidRPr="00880298">
        <w:rPr>
          <w:rFonts w:cstheme="minorHAnsi"/>
        </w:rPr>
        <w:t>§ 21 odst. 2 zákona</w:t>
      </w:r>
      <w:r>
        <w:rPr>
          <w:rFonts w:cstheme="minorHAnsi"/>
        </w:rPr>
        <w:t xml:space="preserve"> </w:t>
      </w:r>
      <w:r w:rsidRPr="00880298">
        <w:rPr>
          <w:rFonts w:cstheme="minorHAnsi"/>
        </w:rPr>
        <w:t>č. 137/2006 Sb.</w:t>
      </w:r>
    </w:p>
  </w:footnote>
  <w:footnote w:id="32">
    <w:p w14:paraId="009FCF6C" w14:textId="77777777" w:rsidR="00FE54EE" w:rsidRPr="004C3DDD" w:rsidRDefault="00FE54EE" w:rsidP="0044085B">
      <w:pPr>
        <w:pStyle w:val="Textpoznpodarou"/>
        <w:ind w:left="284" w:hanging="284"/>
        <w:jc w:val="both"/>
        <w:rPr>
          <w:rFonts w:cstheme="minorHAnsi"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 w:rsidRPr="0021278C">
        <w:t>Ustanovení</w:t>
      </w:r>
      <w:r w:rsidRPr="00A348D4">
        <w:rPr>
          <w:rFonts w:cstheme="minorHAnsi"/>
        </w:rPr>
        <w:t xml:space="preserve"> § 3 písm. e) zákona č. 218/2000 Sb.</w:t>
      </w:r>
    </w:p>
  </w:footnote>
  <w:footnote w:id="33">
    <w:p w14:paraId="0DE51ABC" w14:textId="77777777" w:rsidR="00FE54EE" w:rsidRPr="004C3DDD" w:rsidRDefault="00FE54EE" w:rsidP="00C265DE">
      <w:pPr>
        <w:pStyle w:val="Textpoznpodarou"/>
        <w:ind w:left="284" w:hanging="284"/>
        <w:jc w:val="both"/>
        <w:rPr>
          <w:rFonts w:cstheme="minorHAnsi"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 w:rsidRPr="00C265DE">
        <w:rPr>
          <w:rFonts w:cstheme="minorHAnsi"/>
          <w:i/>
        </w:rPr>
        <w:t>Lokalizační studie sítě servisních center na labsko-vltavské vodní cestě</w:t>
      </w:r>
      <w:r w:rsidRPr="000A65D5">
        <w:rPr>
          <w:rFonts w:cstheme="minorHAnsi"/>
        </w:rPr>
        <w:t xml:space="preserve"> z</w:t>
      </w:r>
      <w:r>
        <w:rPr>
          <w:rFonts w:cstheme="minorHAnsi"/>
        </w:rPr>
        <w:t> </w:t>
      </w:r>
      <w:r w:rsidRPr="000A65D5">
        <w:rPr>
          <w:rFonts w:cstheme="minorHAnsi"/>
        </w:rPr>
        <w:t>června</w:t>
      </w:r>
      <w:r>
        <w:rPr>
          <w:rFonts w:cstheme="minorHAnsi"/>
        </w:rPr>
        <w:t> </w:t>
      </w:r>
      <w:r w:rsidRPr="000A65D5">
        <w:rPr>
          <w:rFonts w:cstheme="minorHAnsi"/>
        </w:rPr>
        <w:t xml:space="preserve">2016, </w:t>
      </w:r>
      <w:r w:rsidRPr="00C265DE">
        <w:rPr>
          <w:rFonts w:cstheme="minorHAnsi"/>
          <w:i/>
        </w:rPr>
        <w:t>Lokalizační studie sítě sjezdů do vody na Labi</w:t>
      </w:r>
      <w:r w:rsidRPr="000A65D5">
        <w:rPr>
          <w:rFonts w:cstheme="minorHAnsi"/>
        </w:rPr>
        <w:t xml:space="preserve"> z</w:t>
      </w:r>
      <w:r>
        <w:rPr>
          <w:rFonts w:cstheme="minorHAnsi"/>
        </w:rPr>
        <w:t> </w:t>
      </w:r>
      <w:r w:rsidRPr="000A65D5">
        <w:rPr>
          <w:rFonts w:cstheme="minorHAnsi"/>
        </w:rPr>
        <w:t>prosince</w:t>
      </w:r>
      <w:r>
        <w:rPr>
          <w:rFonts w:cstheme="minorHAnsi"/>
        </w:rPr>
        <w:t> </w:t>
      </w:r>
      <w:r w:rsidRPr="000A65D5">
        <w:rPr>
          <w:rFonts w:cstheme="minorHAnsi"/>
        </w:rPr>
        <w:t xml:space="preserve">2016, </w:t>
      </w:r>
      <w:r w:rsidRPr="00C265DE">
        <w:rPr>
          <w:rFonts w:cstheme="minorHAnsi"/>
          <w:i/>
        </w:rPr>
        <w:t>Lokalizační a dispoziční studie sítě sjezdů do vody na Vltavě</w:t>
      </w:r>
      <w:r>
        <w:rPr>
          <w:rFonts w:cstheme="minorHAnsi"/>
        </w:rPr>
        <w:t xml:space="preserve"> </w:t>
      </w:r>
      <w:r w:rsidRPr="000A65D5">
        <w:rPr>
          <w:rFonts w:cstheme="minorHAnsi"/>
        </w:rPr>
        <w:t>z</w:t>
      </w:r>
      <w:r>
        <w:rPr>
          <w:rFonts w:cstheme="minorHAnsi"/>
        </w:rPr>
        <w:t> </w:t>
      </w:r>
      <w:r w:rsidRPr="000A65D5">
        <w:rPr>
          <w:rFonts w:cstheme="minorHAnsi"/>
        </w:rPr>
        <w:t>listopadu</w:t>
      </w:r>
      <w:r>
        <w:rPr>
          <w:rFonts w:cstheme="minorHAnsi"/>
        </w:rPr>
        <w:t> </w:t>
      </w:r>
      <w:r w:rsidRPr="000A65D5">
        <w:rPr>
          <w:rFonts w:cstheme="minorHAnsi"/>
        </w:rPr>
        <w:t>2019.</w:t>
      </w:r>
    </w:p>
  </w:footnote>
  <w:footnote w:id="34">
    <w:p w14:paraId="293F5021" w14:textId="77777777" w:rsidR="00FE54EE" w:rsidRPr="004C3DDD" w:rsidRDefault="00FE54EE" w:rsidP="00492FA7">
      <w:pPr>
        <w:pStyle w:val="Textpoznpodarou"/>
        <w:ind w:left="284" w:hanging="284"/>
        <w:jc w:val="both"/>
        <w:rPr>
          <w:rFonts w:cstheme="minorHAnsi"/>
        </w:rPr>
      </w:pPr>
      <w:r w:rsidRPr="00081E9B">
        <w:rPr>
          <w:rStyle w:val="Znakapoznpodarou"/>
        </w:rPr>
        <w:footnoteRef/>
      </w:r>
      <w:r w:rsidRPr="00081E9B">
        <w:t xml:space="preserve"> </w:t>
      </w:r>
      <w:r>
        <w:tab/>
      </w:r>
      <w:r>
        <w:rPr>
          <w:rFonts w:cstheme="minorHAnsi"/>
        </w:rPr>
        <w:t>S</w:t>
      </w:r>
      <w:r w:rsidRPr="00CA1D83">
        <w:rPr>
          <w:rFonts w:cstheme="minorHAnsi"/>
        </w:rPr>
        <w:t>pecifický cíl 4.2.3</w:t>
      </w:r>
      <w:r>
        <w:rPr>
          <w:rFonts w:cstheme="minorHAnsi"/>
          <w:i/>
        </w:rPr>
        <w:t xml:space="preserve"> Dopravní politiky </w:t>
      </w:r>
      <w:r w:rsidRPr="008F79E0">
        <w:rPr>
          <w:rFonts w:cstheme="minorHAnsi"/>
          <w:i/>
        </w:rPr>
        <w:t>České republiky pro období let 2014 až 2020 s výhledem do roku 2050</w:t>
      </w:r>
      <w:r>
        <w:rPr>
          <w:rFonts w:cstheme="minorHAnsi"/>
        </w:rPr>
        <w:t>, specifický cíl 1.3</w:t>
      </w:r>
      <w:r>
        <w:rPr>
          <w:rFonts w:cstheme="minorHAnsi"/>
          <w:i/>
        </w:rPr>
        <w:t xml:space="preserve"> </w:t>
      </w:r>
      <w:r w:rsidRPr="005A7FAB">
        <w:rPr>
          <w:rFonts w:cstheme="minorHAnsi"/>
          <w:i/>
        </w:rPr>
        <w:t>Dopravní politi</w:t>
      </w:r>
      <w:r>
        <w:rPr>
          <w:rFonts w:cstheme="minorHAnsi"/>
          <w:i/>
        </w:rPr>
        <w:t>ky</w:t>
      </w:r>
      <w:r w:rsidRPr="005A7FAB">
        <w:rPr>
          <w:rFonts w:cstheme="minorHAnsi"/>
          <w:i/>
        </w:rPr>
        <w:t xml:space="preserve"> České republiky pro období 2021</w:t>
      </w:r>
      <w:r>
        <w:rPr>
          <w:rFonts w:cstheme="minorHAnsi"/>
          <w:i/>
        </w:rPr>
        <w:t>–</w:t>
      </w:r>
      <w:r w:rsidRPr="005A7FAB">
        <w:rPr>
          <w:rFonts w:cstheme="minorHAnsi"/>
          <w:i/>
        </w:rPr>
        <w:t>2027 s výhledem do roku 2050</w:t>
      </w:r>
      <w:r>
        <w:rPr>
          <w:rFonts w:cstheme="minorHAnsi"/>
        </w:rPr>
        <w:t xml:space="preserve"> a specifický cíl 4.2.2 KVD</w:t>
      </w:r>
      <w:r w:rsidRPr="004C3DDD">
        <w:rPr>
          <w:rFonts w:cstheme="minorHAnsi"/>
        </w:rPr>
        <w:t>.</w:t>
      </w:r>
    </w:p>
  </w:footnote>
  <w:footnote w:id="35">
    <w:p w14:paraId="7CF1B8F2" w14:textId="77777777" w:rsidR="00FE54EE" w:rsidRPr="00DF303C" w:rsidRDefault="00FE54EE" w:rsidP="00214A39">
      <w:pPr>
        <w:pStyle w:val="poznmkapodarou"/>
        <w:rPr>
          <w:rFonts w:asciiTheme="minorHAnsi" w:hAnsiTheme="minorHAnsi" w:cstheme="minorHAnsi"/>
        </w:rPr>
      </w:pPr>
      <w:r w:rsidRPr="004C3DDD">
        <w:rPr>
          <w:rStyle w:val="Znakapoznpodarou"/>
          <w:rFonts w:asciiTheme="minorHAnsi" w:hAnsiTheme="minorHAnsi" w:cstheme="minorHAnsi"/>
        </w:rPr>
        <w:footnoteRef/>
      </w:r>
      <w:r w:rsidRPr="004C3DDD">
        <w:rPr>
          <w:rFonts w:asciiTheme="minorHAnsi" w:hAnsiTheme="minorHAnsi" w:cstheme="minorHAnsi"/>
        </w:rPr>
        <w:t xml:space="preserve"> </w:t>
      </w:r>
      <w:r w:rsidRPr="004C3D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Ustanovení </w:t>
      </w:r>
      <w:r w:rsidRPr="001C7692">
        <w:rPr>
          <w:rFonts w:asciiTheme="minorHAnsi" w:hAnsiTheme="minorHAnsi" w:cstheme="minorHAnsi"/>
        </w:rPr>
        <w:t>§ 22 zákona č. 2/1969 Sb</w:t>
      </w:r>
      <w:r>
        <w:rPr>
          <w:rFonts w:asciiTheme="minorHAnsi" w:hAnsiTheme="minorHAnsi" w:cstheme="minorHAnsi"/>
          <w:color w:val="000000"/>
          <w:lang w:eastAsia="cs-CZ"/>
        </w:rPr>
        <w:t>.</w:t>
      </w:r>
      <w:r>
        <w:rPr>
          <w:rFonts w:asciiTheme="minorHAnsi" w:eastAsia="Arial Unicode MS" w:hAnsiTheme="minorHAnsi" w:cstheme="minorHAnsi"/>
          <w:b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B22B" w14:textId="77777777" w:rsidR="00FE54EE" w:rsidRDefault="00FE54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625"/>
    <w:multiLevelType w:val="multilevel"/>
    <w:tmpl w:val="6B80A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54B49"/>
    <w:multiLevelType w:val="hybridMultilevel"/>
    <w:tmpl w:val="45AC4A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455"/>
    <w:multiLevelType w:val="hybridMultilevel"/>
    <w:tmpl w:val="B08A1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14EFF"/>
    <w:multiLevelType w:val="hybridMultilevel"/>
    <w:tmpl w:val="B1B87E58"/>
    <w:lvl w:ilvl="0" w:tplc="5924299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66DA0"/>
    <w:multiLevelType w:val="hybridMultilevel"/>
    <w:tmpl w:val="E728AC18"/>
    <w:lvl w:ilvl="0" w:tplc="AEAA496A">
      <w:start w:val="1"/>
      <w:numFmt w:val="decimal"/>
      <w:pStyle w:val="Styl1"/>
      <w:lvlText w:val="%1.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B7E8D82E">
      <w:start w:val="1"/>
      <w:numFmt w:val="lowerLetter"/>
      <w:lvlText w:val="%2."/>
      <w:lvlJc w:val="left"/>
      <w:pPr>
        <w:ind w:left="1440" w:hanging="360"/>
      </w:pPr>
    </w:lvl>
    <w:lvl w:ilvl="2" w:tplc="014AD564">
      <w:start w:val="1"/>
      <w:numFmt w:val="lowerRoman"/>
      <w:lvlText w:val="%3."/>
      <w:lvlJc w:val="right"/>
      <w:pPr>
        <w:ind w:left="2160" w:hanging="180"/>
      </w:pPr>
    </w:lvl>
    <w:lvl w:ilvl="3" w:tplc="D3A04D44">
      <w:start w:val="1"/>
      <w:numFmt w:val="decimal"/>
      <w:lvlText w:val="%4."/>
      <w:lvlJc w:val="left"/>
      <w:pPr>
        <w:ind w:left="2880" w:hanging="360"/>
      </w:pPr>
    </w:lvl>
    <w:lvl w:ilvl="4" w:tplc="B602FF98">
      <w:start w:val="1"/>
      <w:numFmt w:val="lowerLetter"/>
      <w:lvlText w:val="%5."/>
      <w:lvlJc w:val="left"/>
      <w:pPr>
        <w:ind w:left="3600" w:hanging="360"/>
      </w:pPr>
    </w:lvl>
    <w:lvl w:ilvl="5" w:tplc="1AF6CAF4">
      <w:start w:val="1"/>
      <w:numFmt w:val="lowerRoman"/>
      <w:lvlText w:val="%6."/>
      <w:lvlJc w:val="right"/>
      <w:pPr>
        <w:ind w:left="4320" w:hanging="180"/>
      </w:pPr>
    </w:lvl>
    <w:lvl w:ilvl="6" w:tplc="6BE82DBC">
      <w:start w:val="1"/>
      <w:numFmt w:val="decimal"/>
      <w:lvlText w:val="%7."/>
      <w:lvlJc w:val="left"/>
      <w:pPr>
        <w:ind w:left="5040" w:hanging="360"/>
      </w:pPr>
    </w:lvl>
    <w:lvl w:ilvl="7" w:tplc="04F0ABCE">
      <w:start w:val="1"/>
      <w:numFmt w:val="lowerLetter"/>
      <w:lvlText w:val="%8."/>
      <w:lvlJc w:val="left"/>
      <w:pPr>
        <w:ind w:left="5760" w:hanging="360"/>
      </w:pPr>
    </w:lvl>
    <w:lvl w:ilvl="8" w:tplc="7D6063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DC"/>
    <w:rsid w:val="00000AEB"/>
    <w:rsid w:val="0000154F"/>
    <w:rsid w:val="00002ACA"/>
    <w:rsid w:val="00005B45"/>
    <w:rsid w:val="00006A5D"/>
    <w:rsid w:val="00006C1E"/>
    <w:rsid w:val="000079F6"/>
    <w:rsid w:val="00012930"/>
    <w:rsid w:val="00012A9C"/>
    <w:rsid w:val="000134CA"/>
    <w:rsid w:val="000135CC"/>
    <w:rsid w:val="00013E4C"/>
    <w:rsid w:val="000141E7"/>
    <w:rsid w:val="000142FA"/>
    <w:rsid w:val="00014522"/>
    <w:rsid w:val="0001537A"/>
    <w:rsid w:val="000161B4"/>
    <w:rsid w:val="00016220"/>
    <w:rsid w:val="00016AE6"/>
    <w:rsid w:val="000171FC"/>
    <w:rsid w:val="00017EA1"/>
    <w:rsid w:val="00020164"/>
    <w:rsid w:val="00020667"/>
    <w:rsid w:val="00020884"/>
    <w:rsid w:val="00021810"/>
    <w:rsid w:val="00021C02"/>
    <w:rsid w:val="00022397"/>
    <w:rsid w:val="00022DC3"/>
    <w:rsid w:val="00023BC2"/>
    <w:rsid w:val="00023F89"/>
    <w:rsid w:val="0002416E"/>
    <w:rsid w:val="0002536E"/>
    <w:rsid w:val="00025784"/>
    <w:rsid w:val="00025A7F"/>
    <w:rsid w:val="00027E6B"/>
    <w:rsid w:val="00031195"/>
    <w:rsid w:val="00031688"/>
    <w:rsid w:val="00032495"/>
    <w:rsid w:val="000325DE"/>
    <w:rsid w:val="00033245"/>
    <w:rsid w:val="000336B4"/>
    <w:rsid w:val="000337B4"/>
    <w:rsid w:val="00033944"/>
    <w:rsid w:val="000342DC"/>
    <w:rsid w:val="000353F0"/>
    <w:rsid w:val="000369D2"/>
    <w:rsid w:val="00037CC4"/>
    <w:rsid w:val="00040152"/>
    <w:rsid w:val="0004098C"/>
    <w:rsid w:val="00040BD2"/>
    <w:rsid w:val="00041F9F"/>
    <w:rsid w:val="00042A89"/>
    <w:rsid w:val="0004321B"/>
    <w:rsid w:val="00043E7B"/>
    <w:rsid w:val="00044C88"/>
    <w:rsid w:val="00045BAC"/>
    <w:rsid w:val="00046B5F"/>
    <w:rsid w:val="00047DBC"/>
    <w:rsid w:val="00050A9B"/>
    <w:rsid w:val="00051503"/>
    <w:rsid w:val="00052264"/>
    <w:rsid w:val="00052549"/>
    <w:rsid w:val="00052889"/>
    <w:rsid w:val="00052C69"/>
    <w:rsid w:val="0005342C"/>
    <w:rsid w:val="0005510A"/>
    <w:rsid w:val="0005543A"/>
    <w:rsid w:val="0005630B"/>
    <w:rsid w:val="000575EB"/>
    <w:rsid w:val="000579AC"/>
    <w:rsid w:val="00057E9D"/>
    <w:rsid w:val="00060459"/>
    <w:rsid w:val="00062A68"/>
    <w:rsid w:val="0006330F"/>
    <w:rsid w:val="00063E23"/>
    <w:rsid w:val="000645C8"/>
    <w:rsid w:val="00064CA8"/>
    <w:rsid w:val="0006523D"/>
    <w:rsid w:val="00065A9B"/>
    <w:rsid w:val="000668DC"/>
    <w:rsid w:val="00067869"/>
    <w:rsid w:val="000678B0"/>
    <w:rsid w:val="00067B3C"/>
    <w:rsid w:val="00067F9A"/>
    <w:rsid w:val="0007056B"/>
    <w:rsid w:val="00070775"/>
    <w:rsid w:val="00071413"/>
    <w:rsid w:val="0007170E"/>
    <w:rsid w:val="00071857"/>
    <w:rsid w:val="00072870"/>
    <w:rsid w:val="00072AA8"/>
    <w:rsid w:val="00072BDC"/>
    <w:rsid w:val="000731F8"/>
    <w:rsid w:val="000736DD"/>
    <w:rsid w:val="000738E9"/>
    <w:rsid w:val="00073C16"/>
    <w:rsid w:val="00073EF1"/>
    <w:rsid w:val="00075B4C"/>
    <w:rsid w:val="00076446"/>
    <w:rsid w:val="00076D84"/>
    <w:rsid w:val="00077B2D"/>
    <w:rsid w:val="00077CD3"/>
    <w:rsid w:val="00077EB6"/>
    <w:rsid w:val="00081D0D"/>
    <w:rsid w:val="00081E9B"/>
    <w:rsid w:val="00082072"/>
    <w:rsid w:val="000831B0"/>
    <w:rsid w:val="000840E8"/>
    <w:rsid w:val="00084409"/>
    <w:rsid w:val="00085C20"/>
    <w:rsid w:val="000864DE"/>
    <w:rsid w:val="00087821"/>
    <w:rsid w:val="000878B4"/>
    <w:rsid w:val="000908FA"/>
    <w:rsid w:val="00090EC9"/>
    <w:rsid w:val="00091185"/>
    <w:rsid w:val="000911F5"/>
    <w:rsid w:val="000915CA"/>
    <w:rsid w:val="00091A93"/>
    <w:rsid w:val="00093B50"/>
    <w:rsid w:val="00094DEC"/>
    <w:rsid w:val="00096AA5"/>
    <w:rsid w:val="00096EC7"/>
    <w:rsid w:val="000972A8"/>
    <w:rsid w:val="000A01EA"/>
    <w:rsid w:val="000A1732"/>
    <w:rsid w:val="000A173B"/>
    <w:rsid w:val="000A1D52"/>
    <w:rsid w:val="000A207D"/>
    <w:rsid w:val="000A3259"/>
    <w:rsid w:val="000A36D6"/>
    <w:rsid w:val="000A3A1F"/>
    <w:rsid w:val="000A3E0C"/>
    <w:rsid w:val="000A4B8C"/>
    <w:rsid w:val="000A5550"/>
    <w:rsid w:val="000A5732"/>
    <w:rsid w:val="000A5A28"/>
    <w:rsid w:val="000A6503"/>
    <w:rsid w:val="000A7155"/>
    <w:rsid w:val="000A7569"/>
    <w:rsid w:val="000A7684"/>
    <w:rsid w:val="000A7832"/>
    <w:rsid w:val="000A7932"/>
    <w:rsid w:val="000A7DCE"/>
    <w:rsid w:val="000B005C"/>
    <w:rsid w:val="000B0AFD"/>
    <w:rsid w:val="000B1F39"/>
    <w:rsid w:val="000B226E"/>
    <w:rsid w:val="000B3D68"/>
    <w:rsid w:val="000B4239"/>
    <w:rsid w:val="000B4490"/>
    <w:rsid w:val="000B49D6"/>
    <w:rsid w:val="000B5BF9"/>
    <w:rsid w:val="000B65F9"/>
    <w:rsid w:val="000B69CA"/>
    <w:rsid w:val="000B6F41"/>
    <w:rsid w:val="000B7187"/>
    <w:rsid w:val="000B76EC"/>
    <w:rsid w:val="000C0778"/>
    <w:rsid w:val="000C14E1"/>
    <w:rsid w:val="000C1989"/>
    <w:rsid w:val="000C1A53"/>
    <w:rsid w:val="000C2366"/>
    <w:rsid w:val="000C318B"/>
    <w:rsid w:val="000C3640"/>
    <w:rsid w:val="000C36CC"/>
    <w:rsid w:val="000C433C"/>
    <w:rsid w:val="000C4596"/>
    <w:rsid w:val="000C4702"/>
    <w:rsid w:val="000C4AE4"/>
    <w:rsid w:val="000C56B7"/>
    <w:rsid w:val="000C6040"/>
    <w:rsid w:val="000C6850"/>
    <w:rsid w:val="000C6AF7"/>
    <w:rsid w:val="000C758F"/>
    <w:rsid w:val="000C7AD2"/>
    <w:rsid w:val="000C7ECE"/>
    <w:rsid w:val="000D072C"/>
    <w:rsid w:val="000D195A"/>
    <w:rsid w:val="000D3A16"/>
    <w:rsid w:val="000D4009"/>
    <w:rsid w:val="000D4479"/>
    <w:rsid w:val="000D531D"/>
    <w:rsid w:val="000D5962"/>
    <w:rsid w:val="000D7C6A"/>
    <w:rsid w:val="000E11BA"/>
    <w:rsid w:val="000E176B"/>
    <w:rsid w:val="000E19F4"/>
    <w:rsid w:val="000E1BEF"/>
    <w:rsid w:val="000E39A1"/>
    <w:rsid w:val="000E4431"/>
    <w:rsid w:val="000E5210"/>
    <w:rsid w:val="000E5865"/>
    <w:rsid w:val="000E6057"/>
    <w:rsid w:val="000E6BF8"/>
    <w:rsid w:val="000F0022"/>
    <w:rsid w:val="000F0782"/>
    <w:rsid w:val="000F08AB"/>
    <w:rsid w:val="000F0C3E"/>
    <w:rsid w:val="000F1F5C"/>
    <w:rsid w:val="000F242E"/>
    <w:rsid w:val="000F25C3"/>
    <w:rsid w:val="000F29CF"/>
    <w:rsid w:val="000F2A67"/>
    <w:rsid w:val="000F2BC0"/>
    <w:rsid w:val="000F3966"/>
    <w:rsid w:val="000F4451"/>
    <w:rsid w:val="000F61A9"/>
    <w:rsid w:val="000F6344"/>
    <w:rsid w:val="000F646E"/>
    <w:rsid w:val="000F68C6"/>
    <w:rsid w:val="0010099F"/>
    <w:rsid w:val="00100FBE"/>
    <w:rsid w:val="0010181A"/>
    <w:rsid w:val="001024EF"/>
    <w:rsid w:val="00102E5A"/>
    <w:rsid w:val="00102F13"/>
    <w:rsid w:val="0010351B"/>
    <w:rsid w:val="001039FF"/>
    <w:rsid w:val="00103FDD"/>
    <w:rsid w:val="00103FEB"/>
    <w:rsid w:val="001044A9"/>
    <w:rsid w:val="001046D6"/>
    <w:rsid w:val="0010691C"/>
    <w:rsid w:val="00111908"/>
    <w:rsid w:val="00112442"/>
    <w:rsid w:val="00112EA8"/>
    <w:rsid w:val="00113771"/>
    <w:rsid w:val="00114EBC"/>
    <w:rsid w:val="0011564E"/>
    <w:rsid w:val="00116466"/>
    <w:rsid w:val="00117ACA"/>
    <w:rsid w:val="001204C1"/>
    <w:rsid w:val="0012153C"/>
    <w:rsid w:val="00121879"/>
    <w:rsid w:val="001221EF"/>
    <w:rsid w:val="00122B0E"/>
    <w:rsid w:val="00122C66"/>
    <w:rsid w:val="00122C8D"/>
    <w:rsid w:val="0012458A"/>
    <w:rsid w:val="0012492D"/>
    <w:rsid w:val="0012518A"/>
    <w:rsid w:val="0012681E"/>
    <w:rsid w:val="0012763D"/>
    <w:rsid w:val="0012774C"/>
    <w:rsid w:val="00127C21"/>
    <w:rsid w:val="00130BA1"/>
    <w:rsid w:val="00130C5E"/>
    <w:rsid w:val="00130EA2"/>
    <w:rsid w:val="00131A56"/>
    <w:rsid w:val="00134A6F"/>
    <w:rsid w:val="001365A0"/>
    <w:rsid w:val="001366BA"/>
    <w:rsid w:val="00136DCE"/>
    <w:rsid w:val="001373E3"/>
    <w:rsid w:val="0013797E"/>
    <w:rsid w:val="00140E35"/>
    <w:rsid w:val="001411CA"/>
    <w:rsid w:val="00141C53"/>
    <w:rsid w:val="001428C8"/>
    <w:rsid w:val="00142B9E"/>
    <w:rsid w:val="00142E3A"/>
    <w:rsid w:val="0014300E"/>
    <w:rsid w:val="001448B5"/>
    <w:rsid w:val="00144E2A"/>
    <w:rsid w:val="00147D6E"/>
    <w:rsid w:val="00147FA1"/>
    <w:rsid w:val="00150337"/>
    <w:rsid w:val="0015169D"/>
    <w:rsid w:val="001519D3"/>
    <w:rsid w:val="00151F2A"/>
    <w:rsid w:val="001529BF"/>
    <w:rsid w:val="00152B3D"/>
    <w:rsid w:val="00153D4B"/>
    <w:rsid w:val="00153E61"/>
    <w:rsid w:val="00154E2A"/>
    <w:rsid w:val="0015596F"/>
    <w:rsid w:val="001559EB"/>
    <w:rsid w:val="00160020"/>
    <w:rsid w:val="0016118F"/>
    <w:rsid w:val="0016335C"/>
    <w:rsid w:val="00163B9B"/>
    <w:rsid w:val="00163E5B"/>
    <w:rsid w:val="00164073"/>
    <w:rsid w:val="00164C55"/>
    <w:rsid w:val="001655A9"/>
    <w:rsid w:val="00166385"/>
    <w:rsid w:val="00167251"/>
    <w:rsid w:val="0017094C"/>
    <w:rsid w:val="00170E71"/>
    <w:rsid w:val="00170F17"/>
    <w:rsid w:val="0017100B"/>
    <w:rsid w:val="00171077"/>
    <w:rsid w:val="00171277"/>
    <w:rsid w:val="00171654"/>
    <w:rsid w:val="001720AF"/>
    <w:rsid w:val="00172361"/>
    <w:rsid w:val="00172454"/>
    <w:rsid w:val="00172725"/>
    <w:rsid w:val="00172E14"/>
    <w:rsid w:val="001733E1"/>
    <w:rsid w:val="001746DD"/>
    <w:rsid w:val="00175071"/>
    <w:rsid w:val="00175ECD"/>
    <w:rsid w:val="0017772F"/>
    <w:rsid w:val="00177790"/>
    <w:rsid w:val="00181107"/>
    <w:rsid w:val="00182CE5"/>
    <w:rsid w:val="001836CC"/>
    <w:rsid w:val="001843B5"/>
    <w:rsid w:val="00184ABC"/>
    <w:rsid w:val="00184E35"/>
    <w:rsid w:val="00185D32"/>
    <w:rsid w:val="001865C1"/>
    <w:rsid w:val="00187437"/>
    <w:rsid w:val="00190A12"/>
    <w:rsid w:val="00190BE6"/>
    <w:rsid w:val="00192862"/>
    <w:rsid w:val="0019348E"/>
    <w:rsid w:val="001934EF"/>
    <w:rsid w:val="001940DD"/>
    <w:rsid w:val="0019515E"/>
    <w:rsid w:val="001951C0"/>
    <w:rsid w:val="00196210"/>
    <w:rsid w:val="00197244"/>
    <w:rsid w:val="001A0254"/>
    <w:rsid w:val="001A15BA"/>
    <w:rsid w:val="001A3895"/>
    <w:rsid w:val="001A44C0"/>
    <w:rsid w:val="001A4B99"/>
    <w:rsid w:val="001A57CA"/>
    <w:rsid w:val="001A6E7E"/>
    <w:rsid w:val="001A7976"/>
    <w:rsid w:val="001B0FB8"/>
    <w:rsid w:val="001B1563"/>
    <w:rsid w:val="001B1D28"/>
    <w:rsid w:val="001B1F7E"/>
    <w:rsid w:val="001B227C"/>
    <w:rsid w:val="001B2B86"/>
    <w:rsid w:val="001B58AC"/>
    <w:rsid w:val="001B66ED"/>
    <w:rsid w:val="001C0737"/>
    <w:rsid w:val="001C296A"/>
    <w:rsid w:val="001C375B"/>
    <w:rsid w:val="001C3979"/>
    <w:rsid w:val="001C3F31"/>
    <w:rsid w:val="001C3F8E"/>
    <w:rsid w:val="001C5DD3"/>
    <w:rsid w:val="001C609A"/>
    <w:rsid w:val="001C7692"/>
    <w:rsid w:val="001C7871"/>
    <w:rsid w:val="001C7BFC"/>
    <w:rsid w:val="001D1452"/>
    <w:rsid w:val="001D2143"/>
    <w:rsid w:val="001D2D81"/>
    <w:rsid w:val="001D3063"/>
    <w:rsid w:val="001D3366"/>
    <w:rsid w:val="001D3C3E"/>
    <w:rsid w:val="001D56EF"/>
    <w:rsid w:val="001D5833"/>
    <w:rsid w:val="001D6540"/>
    <w:rsid w:val="001D67B6"/>
    <w:rsid w:val="001D79A5"/>
    <w:rsid w:val="001E0157"/>
    <w:rsid w:val="001E07C6"/>
    <w:rsid w:val="001E084E"/>
    <w:rsid w:val="001E0BAA"/>
    <w:rsid w:val="001E16E7"/>
    <w:rsid w:val="001E1E4B"/>
    <w:rsid w:val="001E1FA0"/>
    <w:rsid w:val="001E2732"/>
    <w:rsid w:val="001E5DCA"/>
    <w:rsid w:val="001E627B"/>
    <w:rsid w:val="001E74BF"/>
    <w:rsid w:val="001E7C8E"/>
    <w:rsid w:val="001F03D4"/>
    <w:rsid w:val="001F0A59"/>
    <w:rsid w:val="001F197A"/>
    <w:rsid w:val="001F27A7"/>
    <w:rsid w:val="001F297C"/>
    <w:rsid w:val="001F4976"/>
    <w:rsid w:val="001F5029"/>
    <w:rsid w:val="001F53A5"/>
    <w:rsid w:val="001F5E76"/>
    <w:rsid w:val="001F5EF5"/>
    <w:rsid w:val="001F6C55"/>
    <w:rsid w:val="001F6DC0"/>
    <w:rsid w:val="001F701D"/>
    <w:rsid w:val="001F71B9"/>
    <w:rsid w:val="001F7955"/>
    <w:rsid w:val="00200DF0"/>
    <w:rsid w:val="00200EB4"/>
    <w:rsid w:val="00201F95"/>
    <w:rsid w:val="00204AC0"/>
    <w:rsid w:val="00204BE7"/>
    <w:rsid w:val="00205AE3"/>
    <w:rsid w:val="00205BA1"/>
    <w:rsid w:val="002062F7"/>
    <w:rsid w:val="002065BC"/>
    <w:rsid w:val="00206891"/>
    <w:rsid w:val="00206933"/>
    <w:rsid w:val="00206F09"/>
    <w:rsid w:val="00207D32"/>
    <w:rsid w:val="002105D3"/>
    <w:rsid w:val="0021091E"/>
    <w:rsid w:val="00210B38"/>
    <w:rsid w:val="002111C7"/>
    <w:rsid w:val="00211D17"/>
    <w:rsid w:val="0021278C"/>
    <w:rsid w:val="00212AF0"/>
    <w:rsid w:val="00213128"/>
    <w:rsid w:val="0021439B"/>
    <w:rsid w:val="00214A39"/>
    <w:rsid w:val="00214B3D"/>
    <w:rsid w:val="0021533D"/>
    <w:rsid w:val="00215EB4"/>
    <w:rsid w:val="00220271"/>
    <w:rsid w:val="00222D78"/>
    <w:rsid w:val="00223421"/>
    <w:rsid w:val="002236DC"/>
    <w:rsid w:val="0022429F"/>
    <w:rsid w:val="0022463F"/>
    <w:rsid w:val="002247DB"/>
    <w:rsid w:val="0022490A"/>
    <w:rsid w:val="00224C04"/>
    <w:rsid w:val="002258F2"/>
    <w:rsid w:val="002267DA"/>
    <w:rsid w:val="00226855"/>
    <w:rsid w:val="00226BB4"/>
    <w:rsid w:val="00227D23"/>
    <w:rsid w:val="00227D75"/>
    <w:rsid w:val="002317CC"/>
    <w:rsid w:val="00231BF2"/>
    <w:rsid w:val="00231E54"/>
    <w:rsid w:val="00232C84"/>
    <w:rsid w:val="00233D62"/>
    <w:rsid w:val="00234CE5"/>
    <w:rsid w:val="00235867"/>
    <w:rsid w:val="0023755D"/>
    <w:rsid w:val="00240224"/>
    <w:rsid w:val="0024064D"/>
    <w:rsid w:val="00241374"/>
    <w:rsid w:val="002413D8"/>
    <w:rsid w:val="00241604"/>
    <w:rsid w:val="002419DE"/>
    <w:rsid w:val="00243CF6"/>
    <w:rsid w:val="00244D01"/>
    <w:rsid w:val="00244E24"/>
    <w:rsid w:val="0024521B"/>
    <w:rsid w:val="00245571"/>
    <w:rsid w:val="00245BD5"/>
    <w:rsid w:val="0024685A"/>
    <w:rsid w:val="00246A01"/>
    <w:rsid w:val="0024775B"/>
    <w:rsid w:val="00247D95"/>
    <w:rsid w:val="00250063"/>
    <w:rsid w:val="002517D4"/>
    <w:rsid w:val="00254742"/>
    <w:rsid w:val="00254C33"/>
    <w:rsid w:val="00254F64"/>
    <w:rsid w:val="00256208"/>
    <w:rsid w:val="002566F9"/>
    <w:rsid w:val="0026018A"/>
    <w:rsid w:val="00260294"/>
    <w:rsid w:val="00261A3D"/>
    <w:rsid w:val="00261AD5"/>
    <w:rsid w:val="0026241A"/>
    <w:rsid w:val="002624B9"/>
    <w:rsid w:val="00262D2D"/>
    <w:rsid w:val="00263EA9"/>
    <w:rsid w:val="00264590"/>
    <w:rsid w:val="00264DCE"/>
    <w:rsid w:val="00265616"/>
    <w:rsid w:val="00265913"/>
    <w:rsid w:val="00266785"/>
    <w:rsid w:val="00266960"/>
    <w:rsid w:val="00267173"/>
    <w:rsid w:val="002677C6"/>
    <w:rsid w:val="00267DC4"/>
    <w:rsid w:val="00270340"/>
    <w:rsid w:val="002714C5"/>
    <w:rsid w:val="00271D83"/>
    <w:rsid w:val="002722E2"/>
    <w:rsid w:val="002724AC"/>
    <w:rsid w:val="00273CC6"/>
    <w:rsid w:val="00273E66"/>
    <w:rsid w:val="00274F80"/>
    <w:rsid w:val="00275381"/>
    <w:rsid w:val="00275EBD"/>
    <w:rsid w:val="00276301"/>
    <w:rsid w:val="00276EF4"/>
    <w:rsid w:val="002773D4"/>
    <w:rsid w:val="00280991"/>
    <w:rsid w:val="00280D39"/>
    <w:rsid w:val="00281486"/>
    <w:rsid w:val="00281B44"/>
    <w:rsid w:val="0028244D"/>
    <w:rsid w:val="002827CC"/>
    <w:rsid w:val="00283325"/>
    <w:rsid w:val="0028352C"/>
    <w:rsid w:val="00283AFA"/>
    <w:rsid w:val="00284AAC"/>
    <w:rsid w:val="002851F0"/>
    <w:rsid w:val="00290A42"/>
    <w:rsid w:val="00291F63"/>
    <w:rsid w:val="0029384F"/>
    <w:rsid w:val="00293A30"/>
    <w:rsid w:val="00293BB4"/>
    <w:rsid w:val="00293E8C"/>
    <w:rsid w:val="00294541"/>
    <w:rsid w:val="00295214"/>
    <w:rsid w:val="0029539D"/>
    <w:rsid w:val="00295BBE"/>
    <w:rsid w:val="00296A50"/>
    <w:rsid w:val="00296F7B"/>
    <w:rsid w:val="00297295"/>
    <w:rsid w:val="002979D7"/>
    <w:rsid w:val="00297D18"/>
    <w:rsid w:val="002A0007"/>
    <w:rsid w:val="002A1640"/>
    <w:rsid w:val="002A16A6"/>
    <w:rsid w:val="002A19D7"/>
    <w:rsid w:val="002A3725"/>
    <w:rsid w:val="002A4C96"/>
    <w:rsid w:val="002A64D4"/>
    <w:rsid w:val="002A684E"/>
    <w:rsid w:val="002A72A6"/>
    <w:rsid w:val="002A7800"/>
    <w:rsid w:val="002B04B6"/>
    <w:rsid w:val="002B1398"/>
    <w:rsid w:val="002B1A42"/>
    <w:rsid w:val="002B3DCB"/>
    <w:rsid w:val="002B43B7"/>
    <w:rsid w:val="002B6E69"/>
    <w:rsid w:val="002B7520"/>
    <w:rsid w:val="002B7CC6"/>
    <w:rsid w:val="002C01F5"/>
    <w:rsid w:val="002C0A7B"/>
    <w:rsid w:val="002C154B"/>
    <w:rsid w:val="002C18F4"/>
    <w:rsid w:val="002C2002"/>
    <w:rsid w:val="002C2297"/>
    <w:rsid w:val="002C30F4"/>
    <w:rsid w:val="002C4331"/>
    <w:rsid w:val="002C6292"/>
    <w:rsid w:val="002C62E2"/>
    <w:rsid w:val="002C6545"/>
    <w:rsid w:val="002C7034"/>
    <w:rsid w:val="002C7F06"/>
    <w:rsid w:val="002D08A4"/>
    <w:rsid w:val="002D0AE4"/>
    <w:rsid w:val="002D1B82"/>
    <w:rsid w:val="002D271E"/>
    <w:rsid w:val="002D2FEF"/>
    <w:rsid w:val="002D47E5"/>
    <w:rsid w:val="002D5108"/>
    <w:rsid w:val="002D515E"/>
    <w:rsid w:val="002D5B9E"/>
    <w:rsid w:val="002D5BF9"/>
    <w:rsid w:val="002D5DE9"/>
    <w:rsid w:val="002D5EDB"/>
    <w:rsid w:val="002D6470"/>
    <w:rsid w:val="002D68D3"/>
    <w:rsid w:val="002D71F7"/>
    <w:rsid w:val="002D734F"/>
    <w:rsid w:val="002D75F5"/>
    <w:rsid w:val="002D780E"/>
    <w:rsid w:val="002D7B1E"/>
    <w:rsid w:val="002D7E37"/>
    <w:rsid w:val="002E0844"/>
    <w:rsid w:val="002E09AC"/>
    <w:rsid w:val="002E1390"/>
    <w:rsid w:val="002E23C1"/>
    <w:rsid w:val="002E2C65"/>
    <w:rsid w:val="002E2E56"/>
    <w:rsid w:val="002E38CB"/>
    <w:rsid w:val="002E3CD4"/>
    <w:rsid w:val="002E3D2F"/>
    <w:rsid w:val="002E3F8B"/>
    <w:rsid w:val="002E4665"/>
    <w:rsid w:val="002E471A"/>
    <w:rsid w:val="002E517A"/>
    <w:rsid w:val="002E5B1E"/>
    <w:rsid w:val="002E6DE7"/>
    <w:rsid w:val="002E7678"/>
    <w:rsid w:val="002E7E84"/>
    <w:rsid w:val="002E7E8A"/>
    <w:rsid w:val="002E7F05"/>
    <w:rsid w:val="002F0F72"/>
    <w:rsid w:val="002F0FF6"/>
    <w:rsid w:val="002F387F"/>
    <w:rsid w:val="002F39E1"/>
    <w:rsid w:val="002F4930"/>
    <w:rsid w:val="002F4B8B"/>
    <w:rsid w:val="002F4BAF"/>
    <w:rsid w:val="002F4DA0"/>
    <w:rsid w:val="002F4EF9"/>
    <w:rsid w:val="002F6324"/>
    <w:rsid w:val="002F6A3C"/>
    <w:rsid w:val="002F794E"/>
    <w:rsid w:val="002F7F29"/>
    <w:rsid w:val="003004C5"/>
    <w:rsid w:val="00301897"/>
    <w:rsid w:val="00302B0F"/>
    <w:rsid w:val="00302D13"/>
    <w:rsid w:val="003030EA"/>
    <w:rsid w:val="00303B1E"/>
    <w:rsid w:val="00303BA4"/>
    <w:rsid w:val="003042CB"/>
    <w:rsid w:val="0030478A"/>
    <w:rsid w:val="00304B99"/>
    <w:rsid w:val="00305104"/>
    <w:rsid w:val="003055BD"/>
    <w:rsid w:val="00305B89"/>
    <w:rsid w:val="00305F28"/>
    <w:rsid w:val="00307966"/>
    <w:rsid w:val="00307DE1"/>
    <w:rsid w:val="00310B33"/>
    <w:rsid w:val="00310EED"/>
    <w:rsid w:val="003112F8"/>
    <w:rsid w:val="0031332C"/>
    <w:rsid w:val="0031426C"/>
    <w:rsid w:val="0031495F"/>
    <w:rsid w:val="00314E7F"/>
    <w:rsid w:val="00315A4E"/>
    <w:rsid w:val="00316849"/>
    <w:rsid w:val="0031684C"/>
    <w:rsid w:val="00316DDF"/>
    <w:rsid w:val="0031708C"/>
    <w:rsid w:val="003209B8"/>
    <w:rsid w:val="00322491"/>
    <w:rsid w:val="0032297A"/>
    <w:rsid w:val="0032308E"/>
    <w:rsid w:val="003237CF"/>
    <w:rsid w:val="00324842"/>
    <w:rsid w:val="00325097"/>
    <w:rsid w:val="003251F9"/>
    <w:rsid w:val="00325BF9"/>
    <w:rsid w:val="00325E61"/>
    <w:rsid w:val="00326BBF"/>
    <w:rsid w:val="00327303"/>
    <w:rsid w:val="003275AF"/>
    <w:rsid w:val="00330812"/>
    <w:rsid w:val="00331588"/>
    <w:rsid w:val="003316BB"/>
    <w:rsid w:val="00331EA1"/>
    <w:rsid w:val="003337C1"/>
    <w:rsid w:val="003338F2"/>
    <w:rsid w:val="00334200"/>
    <w:rsid w:val="00335D42"/>
    <w:rsid w:val="003366C3"/>
    <w:rsid w:val="00340D32"/>
    <w:rsid w:val="00340DEF"/>
    <w:rsid w:val="0034164B"/>
    <w:rsid w:val="00341EB0"/>
    <w:rsid w:val="003422A7"/>
    <w:rsid w:val="0034258F"/>
    <w:rsid w:val="00342AE1"/>
    <w:rsid w:val="00342EAB"/>
    <w:rsid w:val="00342FDE"/>
    <w:rsid w:val="003447A1"/>
    <w:rsid w:val="00344C5D"/>
    <w:rsid w:val="0034587B"/>
    <w:rsid w:val="00345C04"/>
    <w:rsid w:val="00345E10"/>
    <w:rsid w:val="0034655D"/>
    <w:rsid w:val="00346BD9"/>
    <w:rsid w:val="00347A5F"/>
    <w:rsid w:val="00350487"/>
    <w:rsid w:val="0035069E"/>
    <w:rsid w:val="00351583"/>
    <w:rsid w:val="0035177D"/>
    <w:rsid w:val="003518A7"/>
    <w:rsid w:val="00354D03"/>
    <w:rsid w:val="00354E17"/>
    <w:rsid w:val="00355BBB"/>
    <w:rsid w:val="00355C72"/>
    <w:rsid w:val="0035643E"/>
    <w:rsid w:val="00357420"/>
    <w:rsid w:val="00357B01"/>
    <w:rsid w:val="00360A59"/>
    <w:rsid w:val="003619C5"/>
    <w:rsid w:val="00362944"/>
    <w:rsid w:val="00362989"/>
    <w:rsid w:val="00364FDA"/>
    <w:rsid w:val="00366BFD"/>
    <w:rsid w:val="00370276"/>
    <w:rsid w:val="00370321"/>
    <w:rsid w:val="00371A1A"/>
    <w:rsid w:val="003722CF"/>
    <w:rsid w:val="00377799"/>
    <w:rsid w:val="003802C3"/>
    <w:rsid w:val="00381475"/>
    <w:rsid w:val="00381515"/>
    <w:rsid w:val="003835DA"/>
    <w:rsid w:val="00383E1E"/>
    <w:rsid w:val="003840B6"/>
    <w:rsid w:val="0038474B"/>
    <w:rsid w:val="003852B9"/>
    <w:rsid w:val="0038554A"/>
    <w:rsid w:val="0038652C"/>
    <w:rsid w:val="00391B02"/>
    <w:rsid w:val="003932B0"/>
    <w:rsid w:val="00393F34"/>
    <w:rsid w:val="0039568A"/>
    <w:rsid w:val="00395EB4"/>
    <w:rsid w:val="003979AF"/>
    <w:rsid w:val="00397A3C"/>
    <w:rsid w:val="00397CBF"/>
    <w:rsid w:val="003A073A"/>
    <w:rsid w:val="003A19E2"/>
    <w:rsid w:val="003A1ACD"/>
    <w:rsid w:val="003A4551"/>
    <w:rsid w:val="003A5139"/>
    <w:rsid w:val="003A7376"/>
    <w:rsid w:val="003A7C2B"/>
    <w:rsid w:val="003A7E64"/>
    <w:rsid w:val="003B0719"/>
    <w:rsid w:val="003B22DA"/>
    <w:rsid w:val="003B264D"/>
    <w:rsid w:val="003B28F5"/>
    <w:rsid w:val="003B2CD4"/>
    <w:rsid w:val="003B3CDA"/>
    <w:rsid w:val="003B4127"/>
    <w:rsid w:val="003B45BC"/>
    <w:rsid w:val="003B479D"/>
    <w:rsid w:val="003B490B"/>
    <w:rsid w:val="003B4E6F"/>
    <w:rsid w:val="003B5066"/>
    <w:rsid w:val="003B585D"/>
    <w:rsid w:val="003B64BA"/>
    <w:rsid w:val="003B6589"/>
    <w:rsid w:val="003B6B23"/>
    <w:rsid w:val="003B7843"/>
    <w:rsid w:val="003C0002"/>
    <w:rsid w:val="003C128E"/>
    <w:rsid w:val="003C1891"/>
    <w:rsid w:val="003C26C2"/>
    <w:rsid w:val="003C3E4E"/>
    <w:rsid w:val="003C59A9"/>
    <w:rsid w:val="003C65BF"/>
    <w:rsid w:val="003C6FF2"/>
    <w:rsid w:val="003C7B0E"/>
    <w:rsid w:val="003D06F4"/>
    <w:rsid w:val="003D087A"/>
    <w:rsid w:val="003D0E81"/>
    <w:rsid w:val="003D0FA0"/>
    <w:rsid w:val="003D139A"/>
    <w:rsid w:val="003D1A23"/>
    <w:rsid w:val="003D227D"/>
    <w:rsid w:val="003D2295"/>
    <w:rsid w:val="003D2F88"/>
    <w:rsid w:val="003D30DE"/>
    <w:rsid w:val="003D354D"/>
    <w:rsid w:val="003D4CDC"/>
    <w:rsid w:val="003D59B0"/>
    <w:rsid w:val="003D5D78"/>
    <w:rsid w:val="003D74C1"/>
    <w:rsid w:val="003D77DE"/>
    <w:rsid w:val="003E0547"/>
    <w:rsid w:val="003E0738"/>
    <w:rsid w:val="003E1002"/>
    <w:rsid w:val="003E1F0F"/>
    <w:rsid w:val="003E2139"/>
    <w:rsid w:val="003E32D1"/>
    <w:rsid w:val="003E3A6D"/>
    <w:rsid w:val="003E46DD"/>
    <w:rsid w:val="003E4EED"/>
    <w:rsid w:val="003E5B83"/>
    <w:rsid w:val="003E5EF8"/>
    <w:rsid w:val="003E6DF0"/>
    <w:rsid w:val="003E7397"/>
    <w:rsid w:val="003E7852"/>
    <w:rsid w:val="003E7935"/>
    <w:rsid w:val="003E7CFF"/>
    <w:rsid w:val="003F2238"/>
    <w:rsid w:val="003F29D5"/>
    <w:rsid w:val="003F363F"/>
    <w:rsid w:val="003F4255"/>
    <w:rsid w:val="003F6AE1"/>
    <w:rsid w:val="003F7772"/>
    <w:rsid w:val="003F7FFE"/>
    <w:rsid w:val="00401121"/>
    <w:rsid w:val="004017B5"/>
    <w:rsid w:val="004018A7"/>
    <w:rsid w:val="00402F34"/>
    <w:rsid w:val="00404A8F"/>
    <w:rsid w:val="00404D1D"/>
    <w:rsid w:val="004063F9"/>
    <w:rsid w:val="004079A1"/>
    <w:rsid w:val="00407E5E"/>
    <w:rsid w:val="004102A3"/>
    <w:rsid w:val="00411655"/>
    <w:rsid w:val="004116BE"/>
    <w:rsid w:val="0041748F"/>
    <w:rsid w:val="004209A3"/>
    <w:rsid w:val="0042122E"/>
    <w:rsid w:val="00421703"/>
    <w:rsid w:val="00421BFE"/>
    <w:rsid w:val="00423710"/>
    <w:rsid w:val="004237D4"/>
    <w:rsid w:val="00423976"/>
    <w:rsid w:val="004242AE"/>
    <w:rsid w:val="004247E0"/>
    <w:rsid w:val="00425555"/>
    <w:rsid w:val="00426665"/>
    <w:rsid w:val="00426E91"/>
    <w:rsid w:val="00427803"/>
    <w:rsid w:val="00427D2A"/>
    <w:rsid w:val="004303E5"/>
    <w:rsid w:val="00430F72"/>
    <w:rsid w:val="00431802"/>
    <w:rsid w:val="00432E46"/>
    <w:rsid w:val="00434567"/>
    <w:rsid w:val="00434C0F"/>
    <w:rsid w:val="00435BB4"/>
    <w:rsid w:val="004365B9"/>
    <w:rsid w:val="00436C31"/>
    <w:rsid w:val="00436E41"/>
    <w:rsid w:val="0044085B"/>
    <w:rsid w:val="004411F3"/>
    <w:rsid w:val="00443F86"/>
    <w:rsid w:val="00444BDD"/>
    <w:rsid w:val="0044532B"/>
    <w:rsid w:val="004453E7"/>
    <w:rsid w:val="004459C7"/>
    <w:rsid w:val="00445C1E"/>
    <w:rsid w:val="004469DF"/>
    <w:rsid w:val="00446EF4"/>
    <w:rsid w:val="00447B82"/>
    <w:rsid w:val="00447FAB"/>
    <w:rsid w:val="00447FF4"/>
    <w:rsid w:val="00452707"/>
    <w:rsid w:val="00454EC6"/>
    <w:rsid w:val="00455075"/>
    <w:rsid w:val="00456942"/>
    <w:rsid w:val="00456CB0"/>
    <w:rsid w:val="00456EBB"/>
    <w:rsid w:val="004606E7"/>
    <w:rsid w:val="00461701"/>
    <w:rsid w:val="004617A8"/>
    <w:rsid w:val="00462BC0"/>
    <w:rsid w:val="00462D09"/>
    <w:rsid w:val="00462FBD"/>
    <w:rsid w:val="00463BA8"/>
    <w:rsid w:val="00463F36"/>
    <w:rsid w:val="00464F44"/>
    <w:rsid w:val="00465D62"/>
    <w:rsid w:val="00466585"/>
    <w:rsid w:val="00466B7A"/>
    <w:rsid w:val="00467077"/>
    <w:rsid w:val="00470A75"/>
    <w:rsid w:val="00470AC6"/>
    <w:rsid w:val="00471185"/>
    <w:rsid w:val="00471262"/>
    <w:rsid w:val="004715FC"/>
    <w:rsid w:val="00472270"/>
    <w:rsid w:val="0047251E"/>
    <w:rsid w:val="00472A51"/>
    <w:rsid w:val="004737E2"/>
    <w:rsid w:val="004740EA"/>
    <w:rsid w:val="00474FBE"/>
    <w:rsid w:val="00475433"/>
    <w:rsid w:val="00475864"/>
    <w:rsid w:val="004759A7"/>
    <w:rsid w:val="00476839"/>
    <w:rsid w:val="004769C6"/>
    <w:rsid w:val="0047712E"/>
    <w:rsid w:val="004777D9"/>
    <w:rsid w:val="00480068"/>
    <w:rsid w:val="004802E2"/>
    <w:rsid w:val="00480866"/>
    <w:rsid w:val="00480DB6"/>
    <w:rsid w:val="004819D3"/>
    <w:rsid w:val="00481F95"/>
    <w:rsid w:val="0048238C"/>
    <w:rsid w:val="004829E7"/>
    <w:rsid w:val="0048489A"/>
    <w:rsid w:val="004848C3"/>
    <w:rsid w:val="0048496B"/>
    <w:rsid w:val="00484F2F"/>
    <w:rsid w:val="00485775"/>
    <w:rsid w:val="004861AB"/>
    <w:rsid w:val="004901B7"/>
    <w:rsid w:val="00490519"/>
    <w:rsid w:val="00490E6B"/>
    <w:rsid w:val="0049142A"/>
    <w:rsid w:val="00491F16"/>
    <w:rsid w:val="00492FA7"/>
    <w:rsid w:val="00494AE7"/>
    <w:rsid w:val="00495065"/>
    <w:rsid w:val="00495EFE"/>
    <w:rsid w:val="0049611D"/>
    <w:rsid w:val="00497374"/>
    <w:rsid w:val="004A0B2B"/>
    <w:rsid w:val="004A0B68"/>
    <w:rsid w:val="004A1175"/>
    <w:rsid w:val="004A15E2"/>
    <w:rsid w:val="004A20B5"/>
    <w:rsid w:val="004A2580"/>
    <w:rsid w:val="004A2773"/>
    <w:rsid w:val="004A2D50"/>
    <w:rsid w:val="004A37B4"/>
    <w:rsid w:val="004A4FFE"/>
    <w:rsid w:val="004A7C06"/>
    <w:rsid w:val="004B0703"/>
    <w:rsid w:val="004B0AD0"/>
    <w:rsid w:val="004B1D91"/>
    <w:rsid w:val="004B26B7"/>
    <w:rsid w:val="004B2B64"/>
    <w:rsid w:val="004B2DEA"/>
    <w:rsid w:val="004B2EED"/>
    <w:rsid w:val="004B309E"/>
    <w:rsid w:val="004B36C1"/>
    <w:rsid w:val="004B3CAE"/>
    <w:rsid w:val="004B3D4F"/>
    <w:rsid w:val="004B4070"/>
    <w:rsid w:val="004B408C"/>
    <w:rsid w:val="004B4970"/>
    <w:rsid w:val="004B52E7"/>
    <w:rsid w:val="004B536A"/>
    <w:rsid w:val="004B67E4"/>
    <w:rsid w:val="004B6D5E"/>
    <w:rsid w:val="004B6DE6"/>
    <w:rsid w:val="004B6F34"/>
    <w:rsid w:val="004B7293"/>
    <w:rsid w:val="004B7422"/>
    <w:rsid w:val="004C00BD"/>
    <w:rsid w:val="004C12E3"/>
    <w:rsid w:val="004C17E2"/>
    <w:rsid w:val="004C1A14"/>
    <w:rsid w:val="004C1AA0"/>
    <w:rsid w:val="004C1D68"/>
    <w:rsid w:val="004C3C71"/>
    <w:rsid w:val="004C3CB3"/>
    <w:rsid w:val="004C3DDD"/>
    <w:rsid w:val="004C45DE"/>
    <w:rsid w:val="004C530D"/>
    <w:rsid w:val="004C5440"/>
    <w:rsid w:val="004C59AC"/>
    <w:rsid w:val="004C64A9"/>
    <w:rsid w:val="004C79A0"/>
    <w:rsid w:val="004C7EB0"/>
    <w:rsid w:val="004C7EEB"/>
    <w:rsid w:val="004D06A3"/>
    <w:rsid w:val="004D0935"/>
    <w:rsid w:val="004D0C1F"/>
    <w:rsid w:val="004D148F"/>
    <w:rsid w:val="004D160D"/>
    <w:rsid w:val="004D1B59"/>
    <w:rsid w:val="004D2A0C"/>
    <w:rsid w:val="004D344A"/>
    <w:rsid w:val="004D536C"/>
    <w:rsid w:val="004D63B9"/>
    <w:rsid w:val="004D6A46"/>
    <w:rsid w:val="004D7F98"/>
    <w:rsid w:val="004E062A"/>
    <w:rsid w:val="004E1464"/>
    <w:rsid w:val="004E2045"/>
    <w:rsid w:val="004E2D24"/>
    <w:rsid w:val="004E3CAC"/>
    <w:rsid w:val="004E5EBD"/>
    <w:rsid w:val="004E5FE7"/>
    <w:rsid w:val="004E633B"/>
    <w:rsid w:val="004E638F"/>
    <w:rsid w:val="004E6D24"/>
    <w:rsid w:val="004E786F"/>
    <w:rsid w:val="004F013E"/>
    <w:rsid w:val="004F08C7"/>
    <w:rsid w:val="004F1BAC"/>
    <w:rsid w:val="004F1BD0"/>
    <w:rsid w:val="004F3BCD"/>
    <w:rsid w:val="004F53FA"/>
    <w:rsid w:val="004F591D"/>
    <w:rsid w:val="004F6B3A"/>
    <w:rsid w:val="004F71C7"/>
    <w:rsid w:val="004F7234"/>
    <w:rsid w:val="004F7B35"/>
    <w:rsid w:val="004F7D69"/>
    <w:rsid w:val="0050028A"/>
    <w:rsid w:val="005012C0"/>
    <w:rsid w:val="00501FCE"/>
    <w:rsid w:val="00504658"/>
    <w:rsid w:val="00504E0C"/>
    <w:rsid w:val="00505367"/>
    <w:rsid w:val="005053CD"/>
    <w:rsid w:val="00505C6B"/>
    <w:rsid w:val="00505F42"/>
    <w:rsid w:val="005061C0"/>
    <w:rsid w:val="005061F5"/>
    <w:rsid w:val="00507061"/>
    <w:rsid w:val="00507298"/>
    <w:rsid w:val="00507C30"/>
    <w:rsid w:val="0051010B"/>
    <w:rsid w:val="005115B6"/>
    <w:rsid w:val="00511A6D"/>
    <w:rsid w:val="0051225F"/>
    <w:rsid w:val="005122A5"/>
    <w:rsid w:val="00512A79"/>
    <w:rsid w:val="005131C9"/>
    <w:rsid w:val="00513B0F"/>
    <w:rsid w:val="00515354"/>
    <w:rsid w:val="00515464"/>
    <w:rsid w:val="00515D3B"/>
    <w:rsid w:val="005160E9"/>
    <w:rsid w:val="005163AA"/>
    <w:rsid w:val="0051707A"/>
    <w:rsid w:val="005175DA"/>
    <w:rsid w:val="00520721"/>
    <w:rsid w:val="0052081D"/>
    <w:rsid w:val="00520B5A"/>
    <w:rsid w:val="005212E8"/>
    <w:rsid w:val="005218CA"/>
    <w:rsid w:val="00521E23"/>
    <w:rsid w:val="005236E9"/>
    <w:rsid w:val="005244B0"/>
    <w:rsid w:val="00524829"/>
    <w:rsid w:val="005248FA"/>
    <w:rsid w:val="005251FF"/>
    <w:rsid w:val="00525F4D"/>
    <w:rsid w:val="00526C17"/>
    <w:rsid w:val="00527B06"/>
    <w:rsid w:val="00530382"/>
    <w:rsid w:val="00532540"/>
    <w:rsid w:val="0053257B"/>
    <w:rsid w:val="00533209"/>
    <w:rsid w:val="0053326C"/>
    <w:rsid w:val="00533421"/>
    <w:rsid w:val="00533F72"/>
    <w:rsid w:val="00535889"/>
    <w:rsid w:val="00535BD9"/>
    <w:rsid w:val="00537956"/>
    <w:rsid w:val="005400E7"/>
    <w:rsid w:val="00540869"/>
    <w:rsid w:val="00540970"/>
    <w:rsid w:val="005409B1"/>
    <w:rsid w:val="00540B39"/>
    <w:rsid w:val="00541532"/>
    <w:rsid w:val="00542605"/>
    <w:rsid w:val="00542E4A"/>
    <w:rsid w:val="00543633"/>
    <w:rsid w:val="0054368B"/>
    <w:rsid w:val="00544EE4"/>
    <w:rsid w:val="005460EA"/>
    <w:rsid w:val="005466D5"/>
    <w:rsid w:val="00546E2E"/>
    <w:rsid w:val="00547F0E"/>
    <w:rsid w:val="00551572"/>
    <w:rsid w:val="0055160D"/>
    <w:rsid w:val="00551830"/>
    <w:rsid w:val="00552950"/>
    <w:rsid w:val="00553082"/>
    <w:rsid w:val="00553712"/>
    <w:rsid w:val="00553DC8"/>
    <w:rsid w:val="00554D90"/>
    <w:rsid w:val="00554F3F"/>
    <w:rsid w:val="00555B11"/>
    <w:rsid w:val="005560FE"/>
    <w:rsid w:val="005564C8"/>
    <w:rsid w:val="0055755C"/>
    <w:rsid w:val="00557605"/>
    <w:rsid w:val="0056023F"/>
    <w:rsid w:val="00560762"/>
    <w:rsid w:val="00560769"/>
    <w:rsid w:val="005615D8"/>
    <w:rsid w:val="00561F91"/>
    <w:rsid w:val="00562684"/>
    <w:rsid w:val="00562E5A"/>
    <w:rsid w:val="00562EC7"/>
    <w:rsid w:val="00563CBC"/>
    <w:rsid w:val="0056446D"/>
    <w:rsid w:val="00564BED"/>
    <w:rsid w:val="00564D57"/>
    <w:rsid w:val="0056545F"/>
    <w:rsid w:val="00565830"/>
    <w:rsid w:val="0056618B"/>
    <w:rsid w:val="00566DFE"/>
    <w:rsid w:val="005712AC"/>
    <w:rsid w:val="0057160A"/>
    <w:rsid w:val="00571BD1"/>
    <w:rsid w:val="00571FE9"/>
    <w:rsid w:val="00572D68"/>
    <w:rsid w:val="00572E1E"/>
    <w:rsid w:val="00573679"/>
    <w:rsid w:val="00574CAD"/>
    <w:rsid w:val="00575454"/>
    <w:rsid w:val="00576627"/>
    <w:rsid w:val="00577530"/>
    <w:rsid w:val="005801B5"/>
    <w:rsid w:val="0058146F"/>
    <w:rsid w:val="00581799"/>
    <w:rsid w:val="00581D27"/>
    <w:rsid w:val="005839F2"/>
    <w:rsid w:val="00583FE6"/>
    <w:rsid w:val="00584155"/>
    <w:rsid w:val="00584280"/>
    <w:rsid w:val="0058432B"/>
    <w:rsid w:val="0058483C"/>
    <w:rsid w:val="0058695E"/>
    <w:rsid w:val="00586C57"/>
    <w:rsid w:val="00586E1A"/>
    <w:rsid w:val="005878E8"/>
    <w:rsid w:val="0059210B"/>
    <w:rsid w:val="005928D8"/>
    <w:rsid w:val="00593EE7"/>
    <w:rsid w:val="00594001"/>
    <w:rsid w:val="00597987"/>
    <w:rsid w:val="0059798A"/>
    <w:rsid w:val="005A054D"/>
    <w:rsid w:val="005A3C8B"/>
    <w:rsid w:val="005A4807"/>
    <w:rsid w:val="005A57C6"/>
    <w:rsid w:val="005A6415"/>
    <w:rsid w:val="005A6596"/>
    <w:rsid w:val="005A6DD9"/>
    <w:rsid w:val="005A7FAB"/>
    <w:rsid w:val="005B0777"/>
    <w:rsid w:val="005B0FC7"/>
    <w:rsid w:val="005B10CB"/>
    <w:rsid w:val="005B22C8"/>
    <w:rsid w:val="005B34E4"/>
    <w:rsid w:val="005B425D"/>
    <w:rsid w:val="005B4E41"/>
    <w:rsid w:val="005B50FB"/>
    <w:rsid w:val="005B66BD"/>
    <w:rsid w:val="005B673B"/>
    <w:rsid w:val="005B6DD0"/>
    <w:rsid w:val="005B7BCA"/>
    <w:rsid w:val="005C1A88"/>
    <w:rsid w:val="005C1DDC"/>
    <w:rsid w:val="005C21E5"/>
    <w:rsid w:val="005C2716"/>
    <w:rsid w:val="005C2C8F"/>
    <w:rsid w:val="005C2D63"/>
    <w:rsid w:val="005C402F"/>
    <w:rsid w:val="005C4165"/>
    <w:rsid w:val="005C6079"/>
    <w:rsid w:val="005C7393"/>
    <w:rsid w:val="005D1194"/>
    <w:rsid w:val="005D169D"/>
    <w:rsid w:val="005D1801"/>
    <w:rsid w:val="005D1D0F"/>
    <w:rsid w:val="005D3EA4"/>
    <w:rsid w:val="005D4712"/>
    <w:rsid w:val="005D492E"/>
    <w:rsid w:val="005D52E6"/>
    <w:rsid w:val="005D665E"/>
    <w:rsid w:val="005D7007"/>
    <w:rsid w:val="005D7A9B"/>
    <w:rsid w:val="005D7F11"/>
    <w:rsid w:val="005E1809"/>
    <w:rsid w:val="005E1E63"/>
    <w:rsid w:val="005E25DC"/>
    <w:rsid w:val="005E2633"/>
    <w:rsid w:val="005E2894"/>
    <w:rsid w:val="005E455E"/>
    <w:rsid w:val="005E47DC"/>
    <w:rsid w:val="005E4A54"/>
    <w:rsid w:val="005E4CC2"/>
    <w:rsid w:val="005E4CFA"/>
    <w:rsid w:val="005E4FF4"/>
    <w:rsid w:val="005E5A5C"/>
    <w:rsid w:val="005E5A62"/>
    <w:rsid w:val="005E5C53"/>
    <w:rsid w:val="005E5C76"/>
    <w:rsid w:val="005E617F"/>
    <w:rsid w:val="005E6DFE"/>
    <w:rsid w:val="005E7860"/>
    <w:rsid w:val="005E7C2F"/>
    <w:rsid w:val="005F04D4"/>
    <w:rsid w:val="005F1188"/>
    <w:rsid w:val="005F1F3B"/>
    <w:rsid w:val="005F22F5"/>
    <w:rsid w:val="005F2CFC"/>
    <w:rsid w:val="005F31F4"/>
    <w:rsid w:val="005F33F6"/>
    <w:rsid w:val="005F38FB"/>
    <w:rsid w:val="005F3A13"/>
    <w:rsid w:val="005F4355"/>
    <w:rsid w:val="005F4AA1"/>
    <w:rsid w:val="005F4C1B"/>
    <w:rsid w:val="005F5346"/>
    <w:rsid w:val="005F5395"/>
    <w:rsid w:val="005F5C50"/>
    <w:rsid w:val="005F60B5"/>
    <w:rsid w:val="005F6DFF"/>
    <w:rsid w:val="00600569"/>
    <w:rsid w:val="00601B20"/>
    <w:rsid w:val="0060210C"/>
    <w:rsid w:val="00602AA2"/>
    <w:rsid w:val="00602F2C"/>
    <w:rsid w:val="006038C4"/>
    <w:rsid w:val="00603FE1"/>
    <w:rsid w:val="0060490C"/>
    <w:rsid w:val="00604E83"/>
    <w:rsid w:val="00606DA2"/>
    <w:rsid w:val="00606F82"/>
    <w:rsid w:val="00610B9B"/>
    <w:rsid w:val="00610CAF"/>
    <w:rsid w:val="006115C4"/>
    <w:rsid w:val="006115F6"/>
    <w:rsid w:val="00611A5B"/>
    <w:rsid w:val="00612406"/>
    <w:rsid w:val="00612EE3"/>
    <w:rsid w:val="006138C4"/>
    <w:rsid w:val="00613D98"/>
    <w:rsid w:val="00613FA9"/>
    <w:rsid w:val="006149AB"/>
    <w:rsid w:val="00614AD9"/>
    <w:rsid w:val="00614D3D"/>
    <w:rsid w:val="00614DD8"/>
    <w:rsid w:val="00614F72"/>
    <w:rsid w:val="00615608"/>
    <w:rsid w:val="00615974"/>
    <w:rsid w:val="00615F20"/>
    <w:rsid w:val="0061603B"/>
    <w:rsid w:val="00616BED"/>
    <w:rsid w:val="00617EEC"/>
    <w:rsid w:val="00620FDE"/>
    <w:rsid w:val="006210D3"/>
    <w:rsid w:val="00621593"/>
    <w:rsid w:val="00621708"/>
    <w:rsid w:val="00623E7C"/>
    <w:rsid w:val="00624233"/>
    <w:rsid w:val="0062542F"/>
    <w:rsid w:val="00625F6F"/>
    <w:rsid w:val="006263A2"/>
    <w:rsid w:val="006266A6"/>
    <w:rsid w:val="00627191"/>
    <w:rsid w:val="006278D9"/>
    <w:rsid w:val="00627E3E"/>
    <w:rsid w:val="00630EAE"/>
    <w:rsid w:val="00631044"/>
    <w:rsid w:val="006322BB"/>
    <w:rsid w:val="006333D6"/>
    <w:rsid w:val="00633888"/>
    <w:rsid w:val="006361C8"/>
    <w:rsid w:val="00636364"/>
    <w:rsid w:val="006365EF"/>
    <w:rsid w:val="00637314"/>
    <w:rsid w:val="00637628"/>
    <w:rsid w:val="0063766D"/>
    <w:rsid w:val="00637FB0"/>
    <w:rsid w:val="00640670"/>
    <w:rsid w:val="0064086D"/>
    <w:rsid w:val="00641CDD"/>
    <w:rsid w:val="00641F62"/>
    <w:rsid w:val="006425D3"/>
    <w:rsid w:val="00642D82"/>
    <w:rsid w:val="00642E7A"/>
    <w:rsid w:val="006433C5"/>
    <w:rsid w:val="00643789"/>
    <w:rsid w:val="006437D6"/>
    <w:rsid w:val="00644097"/>
    <w:rsid w:val="006441A9"/>
    <w:rsid w:val="00644592"/>
    <w:rsid w:val="00644EC6"/>
    <w:rsid w:val="0064658F"/>
    <w:rsid w:val="0064763C"/>
    <w:rsid w:val="006477F0"/>
    <w:rsid w:val="00647AD2"/>
    <w:rsid w:val="00647E4A"/>
    <w:rsid w:val="00650DE4"/>
    <w:rsid w:val="00650F4F"/>
    <w:rsid w:val="00651448"/>
    <w:rsid w:val="00652849"/>
    <w:rsid w:val="00652E16"/>
    <w:rsid w:val="0065388D"/>
    <w:rsid w:val="0065484F"/>
    <w:rsid w:val="00654EBA"/>
    <w:rsid w:val="00655296"/>
    <w:rsid w:val="00655A43"/>
    <w:rsid w:val="00655B00"/>
    <w:rsid w:val="00655F97"/>
    <w:rsid w:val="00656B27"/>
    <w:rsid w:val="0065711C"/>
    <w:rsid w:val="006574D0"/>
    <w:rsid w:val="00661240"/>
    <w:rsid w:val="00661B61"/>
    <w:rsid w:val="0066223D"/>
    <w:rsid w:val="006622A8"/>
    <w:rsid w:val="0066325B"/>
    <w:rsid w:val="006634F1"/>
    <w:rsid w:val="00664226"/>
    <w:rsid w:val="006658C4"/>
    <w:rsid w:val="00666077"/>
    <w:rsid w:val="006663CB"/>
    <w:rsid w:val="006667A2"/>
    <w:rsid w:val="006678D0"/>
    <w:rsid w:val="00667972"/>
    <w:rsid w:val="00667A0F"/>
    <w:rsid w:val="00670236"/>
    <w:rsid w:val="00671F49"/>
    <w:rsid w:val="0067291D"/>
    <w:rsid w:val="006746F5"/>
    <w:rsid w:val="00675FE4"/>
    <w:rsid w:val="00676310"/>
    <w:rsid w:val="00677701"/>
    <w:rsid w:val="006777FB"/>
    <w:rsid w:val="00680BC1"/>
    <w:rsid w:val="00681E0B"/>
    <w:rsid w:val="006822EE"/>
    <w:rsid w:val="006827C3"/>
    <w:rsid w:val="00682F01"/>
    <w:rsid w:val="0068418B"/>
    <w:rsid w:val="006848E0"/>
    <w:rsid w:val="00684AF1"/>
    <w:rsid w:val="00684BE5"/>
    <w:rsid w:val="00684E96"/>
    <w:rsid w:val="006856D8"/>
    <w:rsid w:val="006859FF"/>
    <w:rsid w:val="00687357"/>
    <w:rsid w:val="006873C1"/>
    <w:rsid w:val="00687476"/>
    <w:rsid w:val="006900B6"/>
    <w:rsid w:val="00690D6D"/>
    <w:rsid w:val="00690E95"/>
    <w:rsid w:val="00692089"/>
    <w:rsid w:val="0069312D"/>
    <w:rsid w:val="00693383"/>
    <w:rsid w:val="00693B5C"/>
    <w:rsid w:val="00694F4B"/>
    <w:rsid w:val="006A02F7"/>
    <w:rsid w:val="006A2411"/>
    <w:rsid w:val="006A29FF"/>
    <w:rsid w:val="006A60FF"/>
    <w:rsid w:val="006A68D4"/>
    <w:rsid w:val="006A73F3"/>
    <w:rsid w:val="006B13D1"/>
    <w:rsid w:val="006B2465"/>
    <w:rsid w:val="006B26F4"/>
    <w:rsid w:val="006B2ED6"/>
    <w:rsid w:val="006B32BE"/>
    <w:rsid w:val="006B4037"/>
    <w:rsid w:val="006B4C55"/>
    <w:rsid w:val="006C05C1"/>
    <w:rsid w:val="006C08DE"/>
    <w:rsid w:val="006C0DA8"/>
    <w:rsid w:val="006C163E"/>
    <w:rsid w:val="006C22D3"/>
    <w:rsid w:val="006C2833"/>
    <w:rsid w:val="006C2DEB"/>
    <w:rsid w:val="006C3CA0"/>
    <w:rsid w:val="006C3CAB"/>
    <w:rsid w:val="006C3E02"/>
    <w:rsid w:val="006C3E84"/>
    <w:rsid w:val="006C4B7E"/>
    <w:rsid w:val="006C5EB3"/>
    <w:rsid w:val="006C6505"/>
    <w:rsid w:val="006C65E3"/>
    <w:rsid w:val="006C6A8A"/>
    <w:rsid w:val="006C6B3C"/>
    <w:rsid w:val="006C6D60"/>
    <w:rsid w:val="006D00C2"/>
    <w:rsid w:val="006D0BE6"/>
    <w:rsid w:val="006D1304"/>
    <w:rsid w:val="006D18F6"/>
    <w:rsid w:val="006D1B43"/>
    <w:rsid w:val="006D2A7E"/>
    <w:rsid w:val="006D2B5F"/>
    <w:rsid w:val="006D3482"/>
    <w:rsid w:val="006D440B"/>
    <w:rsid w:val="006D476A"/>
    <w:rsid w:val="006D59C2"/>
    <w:rsid w:val="006D5A39"/>
    <w:rsid w:val="006D7CCB"/>
    <w:rsid w:val="006D7D79"/>
    <w:rsid w:val="006D7DA9"/>
    <w:rsid w:val="006E0031"/>
    <w:rsid w:val="006E183B"/>
    <w:rsid w:val="006E2219"/>
    <w:rsid w:val="006E2B03"/>
    <w:rsid w:val="006E2FAF"/>
    <w:rsid w:val="006E4004"/>
    <w:rsid w:val="006E4B26"/>
    <w:rsid w:val="006E4EDC"/>
    <w:rsid w:val="006E50B7"/>
    <w:rsid w:val="006E5195"/>
    <w:rsid w:val="006E54DE"/>
    <w:rsid w:val="006E6141"/>
    <w:rsid w:val="006E6FED"/>
    <w:rsid w:val="006F0A48"/>
    <w:rsid w:val="006F18D4"/>
    <w:rsid w:val="006F2974"/>
    <w:rsid w:val="006F5599"/>
    <w:rsid w:val="006F6C00"/>
    <w:rsid w:val="006F6E98"/>
    <w:rsid w:val="007005F7"/>
    <w:rsid w:val="00700B3E"/>
    <w:rsid w:val="00700D9F"/>
    <w:rsid w:val="00701A84"/>
    <w:rsid w:val="00702548"/>
    <w:rsid w:val="007026EC"/>
    <w:rsid w:val="00704A37"/>
    <w:rsid w:val="00704D70"/>
    <w:rsid w:val="00704D8C"/>
    <w:rsid w:val="007065AF"/>
    <w:rsid w:val="007070B9"/>
    <w:rsid w:val="007101F4"/>
    <w:rsid w:val="007103C5"/>
    <w:rsid w:val="00710B72"/>
    <w:rsid w:val="00710F00"/>
    <w:rsid w:val="007110D6"/>
    <w:rsid w:val="007113D1"/>
    <w:rsid w:val="00711509"/>
    <w:rsid w:val="0071177D"/>
    <w:rsid w:val="00712159"/>
    <w:rsid w:val="0071224E"/>
    <w:rsid w:val="00712BA1"/>
    <w:rsid w:val="0071408B"/>
    <w:rsid w:val="007147F0"/>
    <w:rsid w:val="00714890"/>
    <w:rsid w:val="007154BB"/>
    <w:rsid w:val="00715DD2"/>
    <w:rsid w:val="00715E44"/>
    <w:rsid w:val="00716184"/>
    <w:rsid w:val="00717710"/>
    <w:rsid w:val="00720918"/>
    <w:rsid w:val="007212B9"/>
    <w:rsid w:val="00721C46"/>
    <w:rsid w:val="007226DB"/>
    <w:rsid w:val="00722AE1"/>
    <w:rsid w:val="00722F22"/>
    <w:rsid w:val="007233C9"/>
    <w:rsid w:val="007245E0"/>
    <w:rsid w:val="0072535A"/>
    <w:rsid w:val="00726187"/>
    <w:rsid w:val="00727B7E"/>
    <w:rsid w:val="00727F40"/>
    <w:rsid w:val="00727F5B"/>
    <w:rsid w:val="00730715"/>
    <w:rsid w:val="00730A71"/>
    <w:rsid w:val="007329C3"/>
    <w:rsid w:val="007369BA"/>
    <w:rsid w:val="00736E35"/>
    <w:rsid w:val="007404A2"/>
    <w:rsid w:val="00740508"/>
    <w:rsid w:val="0074065F"/>
    <w:rsid w:val="00740FDE"/>
    <w:rsid w:val="00741170"/>
    <w:rsid w:val="00741A0B"/>
    <w:rsid w:val="00743429"/>
    <w:rsid w:val="007448D8"/>
    <w:rsid w:val="007454F5"/>
    <w:rsid w:val="0074572F"/>
    <w:rsid w:val="00746D56"/>
    <w:rsid w:val="00746F25"/>
    <w:rsid w:val="00747455"/>
    <w:rsid w:val="0074782E"/>
    <w:rsid w:val="00750B0F"/>
    <w:rsid w:val="00750D2A"/>
    <w:rsid w:val="0075141D"/>
    <w:rsid w:val="0075195C"/>
    <w:rsid w:val="007520FB"/>
    <w:rsid w:val="00752D3C"/>
    <w:rsid w:val="0075333E"/>
    <w:rsid w:val="007536DA"/>
    <w:rsid w:val="007537A4"/>
    <w:rsid w:val="007539E7"/>
    <w:rsid w:val="0075543E"/>
    <w:rsid w:val="00756653"/>
    <w:rsid w:val="0075697E"/>
    <w:rsid w:val="00756A99"/>
    <w:rsid w:val="00756EF9"/>
    <w:rsid w:val="0075765A"/>
    <w:rsid w:val="007605A0"/>
    <w:rsid w:val="007612B9"/>
    <w:rsid w:val="007612CE"/>
    <w:rsid w:val="00761DE1"/>
    <w:rsid w:val="00763B55"/>
    <w:rsid w:val="00764D06"/>
    <w:rsid w:val="007661FD"/>
    <w:rsid w:val="007667BB"/>
    <w:rsid w:val="00766AA7"/>
    <w:rsid w:val="00766F27"/>
    <w:rsid w:val="007670FC"/>
    <w:rsid w:val="00771761"/>
    <w:rsid w:val="00771AB9"/>
    <w:rsid w:val="00771CD7"/>
    <w:rsid w:val="007736CD"/>
    <w:rsid w:val="00774CEA"/>
    <w:rsid w:val="00775018"/>
    <w:rsid w:val="007760FC"/>
    <w:rsid w:val="0077625D"/>
    <w:rsid w:val="007769EA"/>
    <w:rsid w:val="00781162"/>
    <w:rsid w:val="00781332"/>
    <w:rsid w:val="00782995"/>
    <w:rsid w:val="00782F78"/>
    <w:rsid w:val="00783252"/>
    <w:rsid w:val="00784183"/>
    <w:rsid w:val="007857FF"/>
    <w:rsid w:val="00785ACB"/>
    <w:rsid w:val="007868AD"/>
    <w:rsid w:val="007869E9"/>
    <w:rsid w:val="00786F93"/>
    <w:rsid w:val="007871DE"/>
    <w:rsid w:val="007901B2"/>
    <w:rsid w:val="00790235"/>
    <w:rsid w:val="0079351B"/>
    <w:rsid w:val="00793AAF"/>
    <w:rsid w:val="00794183"/>
    <w:rsid w:val="007954A2"/>
    <w:rsid w:val="00795AAC"/>
    <w:rsid w:val="007966D2"/>
    <w:rsid w:val="00796B16"/>
    <w:rsid w:val="007A1AFF"/>
    <w:rsid w:val="007A1E1F"/>
    <w:rsid w:val="007A23B3"/>
    <w:rsid w:val="007A2550"/>
    <w:rsid w:val="007A29B1"/>
    <w:rsid w:val="007A4D52"/>
    <w:rsid w:val="007A5AC4"/>
    <w:rsid w:val="007B0846"/>
    <w:rsid w:val="007B0A59"/>
    <w:rsid w:val="007B11C6"/>
    <w:rsid w:val="007B17FC"/>
    <w:rsid w:val="007B39AB"/>
    <w:rsid w:val="007B3EAE"/>
    <w:rsid w:val="007B5098"/>
    <w:rsid w:val="007B5309"/>
    <w:rsid w:val="007B5836"/>
    <w:rsid w:val="007B7777"/>
    <w:rsid w:val="007B7EF2"/>
    <w:rsid w:val="007C01E0"/>
    <w:rsid w:val="007C17B8"/>
    <w:rsid w:val="007C26F5"/>
    <w:rsid w:val="007C3A33"/>
    <w:rsid w:val="007C4A99"/>
    <w:rsid w:val="007C55F3"/>
    <w:rsid w:val="007C5A1B"/>
    <w:rsid w:val="007C626B"/>
    <w:rsid w:val="007C6523"/>
    <w:rsid w:val="007C667D"/>
    <w:rsid w:val="007C67AA"/>
    <w:rsid w:val="007C70A4"/>
    <w:rsid w:val="007C78A6"/>
    <w:rsid w:val="007C7BAF"/>
    <w:rsid w:val="007D15CC"/>
    <w:rsid w:val="007D1ADC"/>
    <w:rsid w:val="007D1DD9"/>
    <w:rsid w:val="007D22F7"/>
    <w:rsid w:val="007D2566"/>
    <w:rsid w:val="007D2E64"/>
    <w:rsid w:val="007D412B"/>
    <w:rsid w:val="007D4244"/>
    <w:rsid w:val="007D6508"/>
    <w:rsid w:val="007D7157"/>
    <w:rsid w:val="007E068F"/>
    <w:rsid w:val="007E08D2"/>
    <w:rsid w:val="007E0D37"/>
    <w:rsid w:val="007E1427"/>
    <w:rsid w:val="007E40F5"/>
    <w:rsid w:val="007E4AB9"/>
    <w:rsid w:val="007E4FEA"/>
    <w:rsid w:val="007E60C8"/>
    <w:rsid w:val="007E6365"/>
    <w:rsid w:val="007E692F"/>
    <w:rsid w:val="007E7332"/>
    <w:rsid w:val="007E7BC9"/>
    <w:rsid w:val="007F0A59"/>
    <w:rsid w:val="007F0ED7"/>
    <w:rsid w:val="007F1101"/>
    <w:rsid w:val="007F19E4"/>
    <w:rsid w:val="007F1DEE"/>
    <w:rsid w:val="007F2686"/>
    <w:rsid w:val="007F2E89"/>
    <w:rsid w:val="007F3905"/>
    <w:rsid w:val="007F3B0E"/>
    <w:rsid w:val="007F3D38"/>
    <w:rsid w:val="007F3DD7"/>
    <w:rsid w:val="007F5432"/>
    <w:rsid w:val="007F5435"/>
    <w:rsid w:val="007F550A"/>
    <w:rsid w:val="007F5EC8"/>
    <w:rsid w:val="007F62D0"/>
    <w:rsid w:val="007F6E1C"/>
    <w:rsid w:val="00800F87"/>
    <w:rsid w:val="00801F47"/>
    <w:rsid w:val="008020E5"/>
    <w:rsid w:val="00802441"/>
    <w:rsid w:val="0080244B"/>
    <w:rsid w:val="008034CB"/>
    <w:rsid w:val="00803D59"/>
    <w:rsid w:val="00803E06"/>
    <w:rsid w:val="00804074"/>
    <w:rsid w:val="008041AC"/>
    <w:rsid w:val="00804250"/>
    <w:rsid w:val="008047F4"/>
    <w:rsid w:val="00806221"/>
    <w:rsid w:val="00806805"/>
    <w:rsid w:val="00807611"/>
    <w:rsid w:val="00807D0D"/>
    <w:rsid w:val="008102AB"/>
    <w:rsid w:val="008110CD"/>
    <w:rsid w:val="0081202F"/>
    <w:rsid w:val="00812853"/>
    <w:rsid w:val="00815A84"/>
    <w:rsid w:val="00815F49"/>
    <w:rsid w:val="00816338"/>
    <w:rsid w:val="00816A84"/>
    <w:rsid w:val="008173B3"/>
    <w:rsid w:val="00817627"/>
    <w:rsid w:val="008216D8"/>
    <w:rsid w:val="008222D6"/>
    <w:rsid w:val="00824D7B"/>
    <w:rsid w:val="00825B07"/>
    <w:rsid w:val="00825CB5"/>
    <w:rsid w:val="00826EB3"/>
    <w:rsid w:val="008279BC"/>
    <w:rsid w:val="00827D16"/>
    <w:rsid w:val="00830A07"/>
    <w:rsid w:val="00830BD1"/>
    <w:rsid w:val="008312C7"/>
    <w:rsid w:val="00832187"/>
    <w:rsid w:val="00833A70"/>
    <w:rsid w:val="00834F89"/>
    <w:rsid w:val="008365A8"/>
    <w:rsid w:val="00836C20"/>
    <w:rsid w:val="0083763B"/>
    <w:rsid w:val="0083765B"/>
    <w:rsid w:val="00837C23"/>
    <w:rsid w:val="00840D2B"/>
    <w:rsid w:val="00840D33"/>
    <w:rsid w:val="00840DCD"/>
    <w:rsid w:val="008418C5"/>
    <w:rsid w:val="008422FC"/>
    <w:rsid w:val="0084484F"/>
    <w:rsid w:val="008450CE"/>
    <w:rsid w:val="008461EE"/>
    <w:rsid w:val="00846CF7"/>
    <w:rsid w:val="0084716B"/>
    <w:rsid w:val="00847848"/>
    <w:rsid w:val="00847A60"/>
    <w:rsid w:val="00847B1B"/>
    <w:rsid w:val="00850176"/>
    <w:rsid w:val="008507CE"/>
    <w:rsid w:val="00850A1E"/>
    <w:rsid w:val="00850BB6"/>
    <w:rsid w:val="00850FCE"/>
    <w:rsid w:val="00851C26"/>
    <w:rsid w:val="00851F54"/>
    <w:rsid w:val="008539F7"/>
    <w:rsid w:val="00853B8D"/>
    <w:rsid w:val="00855125"/>
    <w:rsid w:val="008557DB"/>
    <w:rsid w:val="008558EB"/>
    <w:rsid w:val="00856ADA"/>
    <w:rsid w:val="0086125C"/>
    <w:rsid w:val="00862DA1"/>
    <w:rsid w:val="00864591"/>
    <w:rsid w:val="008647AB"/>
    <w:rsid w:val="00864BB2"/>
    <w:rsid w:val="00865098"/>
    <w:rsid w:val="008718E9"/>
    <w:rsid w:val="00871C9E"/>
    <w:rsid w:val="00872411"/>
    <w:rsid w:val="00872CD1"/>
    <w:rsid w:val="008735F8"/>
    <w:rsid w:val="00873621"/>
    <w:rsid w:val="008740C4"/>
    <w:rsid w:val="00875AAC"/>
    <w:rsid w:val="0087656C"/>
    <w:rsid w:val="00877CAE"/>
    <w:rsid w:val="00880298"/>
    <w:rsid w:val="00880569"/>
    <w:rsid w:val="00880652"/>
    <w:rsid w:val="0088388F"/>
    <w:rsid w:val="00883FDA"/>
    <w:rsid w:val="00884509"/>
    <w:rsid w:val="00884899"/>
    <w:rsid w:val="00884FA6"/>
    <w:rsid w:val="008853DB"/>
    <w:rsid w:val="0088564C"/>
    <w:rsid w:val="00886B93"/>
    <w:rsid w:val="00887692"/>
    <w:rsid w:val="00887700"/>
    <w:rsid w:val="00890CA6"/>
    <w:rsid w:val="00891AE9"/>
    <w:rsid w:val="00891BD2"/>
    <w:rsid w:val="00892BA2"/>
    <w:rsid w:val="00892DEB"/>
    <w:rsid w:val="008936CC"/>
    <w:rsid w:val="00893843"/>
    <w:rsid w:val="00894F92"/>
    <w:rsid w:val="008959EE"/>
    <w:rsid w:val="00895E12"/>
    <w:rsid w:val="00897328"/>
    <w:rsid w:val="008974C3"/>
    <w:rsid w:val="00897D25"/>
    <w:rsid w:val="008A3BDF"/>
    <w:rsid w:val="008A3CF2"/>
    <w:rsid w:val="008A3FD2"/>
    <w:rsid w:val="008A459F"/>
    <w:rsid w:val="008A4964"/>
    <w:rsid w:val="008A59DE"/>
    <w:rsid w:val="008A6802"/>
    <w:rsid w:val="008A6BA7"/>
    <w:rsid w:val="008A6FB3"/>
    <w:rsid w:val="008A7BA9"/>
    <w:rsid w:val="008A7D16"/>
    <w:rsid w:val="008B0473"/>
    <w:rsid w:val="008B096D"/>
    <w:rsid w:val="008B0A7C"/>
    <w:rsid w:val="008B12D0"/>
    <w:rsid w:val="008B27C1"/>
    <w:rsid w:val="008B2BC2"/>
    <w:rsid w:val="008B302E"/>
    <w:rsid w:val="008B3A6F"/>
    <w:rsid w:val="008B4FF1"/>
    <w:rsid w:val="008B5627"/>
    <w:rsid w:val="008B5A83"/>
    <w:rsid w:val="008B7289"/>
    <w:rsid w:val="008B7C75"/>
    <w:rsid w:val="008C04B1"/>
    <w:rsid w:val="008C0503"/>
    <w:rsid w:val="008C157B"/>
    <w:rsid w:val="008C17E2"/>
    <w:rsid w:val="008C1898"/>
    <w:rsid w:val="008C1937"/>
    <w:rsid w:val="008C1D1A"/>
    <w:rsid w:val="008C2BA7"/>
    <w:rsid w:val="008C2F3A"/>
    <w:rsid w:val="008C31E2"/>
    <w:rsid w:val="008C346B"/>
    <w:rsid w:val="008C3600"/>
    <w:rsid w:val="008C481B"/>
    <w:rsid w:val="008C4C39"/>
    <w:rsid w:val="008C53CD"/>
    <w:rsid w:val="008C56EC"/>
    <w:rsid w:val="008C5B12"/>
    <w:rsid w:val="008C5E77"/>
    <w:rsid w:val="008C6C13"/>
    <w:rsid w:val="008C79FE"/>
    <w:rsid w:val="008D1E35"/>
    <w:rsid w:val="008D301D"/>
    <w:rsid w:val="008D47AE"/>
    <w:rsid w:val="008D47B1"/>
    <w:rsid w:val="008D4CFD"/>
    <w:rsid w:val="008D5092"/>
    <w:rsid w:val="008D6456"/>
    <w:rsid w:val="008D65D1"/>
    <w:rsid w:val="008D7131"/>
    <w:rsid w:val="008D724E"/>
    <w:rsid w:val="008D74C9"/>
    <w:rsid w:val="008E0CCD"/>
    <w:rsid w:val="008E14CA"/>
    <w:rsid w:val="008E2223"/>
    <w:rsid w:val="008E267D"/>
    <w:rsid w:val="008E2EE3"/>
    <w:rsid w:val="008E427C"/>
    <w:rsid w:val="008E46EC"/>
    <w:rsid w:val="008E490C"/>
    <w:rsid w:val="008E5A44"/>
    <w:rsid w:val="008E6029"/>
    <w:rsid w:val="008E6440"/>
    <w:rsid w:val="008E6489"/>
    <w:rsid w:val="008E6523"/>
    <w:rsid w:val="008E6BD6"/>
    <w:rsid w:val="008E7055"/>
    <w:rsid w:val="008E7F32"/>
    <w:rsid w:val="008E7FCE"/>
    <w:rsid w:val="008F0B17"/>
    <w:rsid w:val="008F0CD5"/>
    <w:rsid w:val="008F101D"/>
    <w:rsid w:val="008F169B"/>
    <w:rsid w:val="008F18C6"/>
    <w:rsid w:val="008F2BD1"/>
    <w:rsid w:val="008F3957"/>
    <w:rsid w:val="008F3AB7"/>
    <w:rsid w:val="008F3DEA"/>
    <w:rsid w:val="008F3FF0"/>
    <w:rsid w:val="008F448F"/>
    <w:rsid w:val="008F4F8C"/>
    <w:rsid w:val="008F6C3D"/>
    <w:rsid w:val="008F73FF"/>
    <w:rsid w:val="008F75D6"/>
    <w:rsid w:val="008F77B0"/>
    <w:rsid w:val="008F794D"/>
    <w:rsid w:val="008F79E0"/>
    <w:rsid w:val="008F7B80"/>
    <w:rsid w:val="008F7E03"/>
    <w:rsid w:val="00900CAD"/>
    <w:rsid w:val="00900D08"/>
    <w:rsid w:val="009023E7"/>
    <w:rsid w:val="00902B63"/>
    <w:rsid w:val="00902EFE"/>
    <w:rsid w:val="00902FEB"/>
    <w:rsid w:val="009031A7"/>
    <w:rsid w:val="00903550"/>
    <w:rsid w:val="00903868"/>
    <w:rsid w:val="009039B2"/>
    <w:rsid w:val="00903E97"/>
    <w:rsid w:val="00904802"/>
    <w:rsid w:val="0090534B"/>
    <w:rsid w:val="0090614A"/>
    <w:rsid w:val="00907CCE"/>
    <w:rsid w:val="00911308"/>
    <w:rsid w:val="00911F45"/>
    <w:rsid w:val="00912679"/>
    <w:rsid w:val="00912C8E"/>
    <w:rsid w:val="00913005"/>
    <w:rsid w:val="00913113"/>
    <w:rsid w:val="00913703"/>
    <w:rsid w:val="00913789"/>
    <w:rsid w:val="00913BB5"/>
    <w:rsid w:val="00913DEF"/>
    <w:rsid w:val="00915869"/>
    <w:rsid w:val="00916789"/>
    <w:rsid w:val="00916EDC"/>
    <w:rsid w:val="00917E87"/>
    <w:rsid w:val="009209D8"/>
    <w:rsid w:val="00920DB8"/>
    <w:rsid w:val="00921F32"/>
    <w:rsid w:val="00923A33"/>
    <w:rsid w:val="0092414E"/>
    <w:rsid w:val="009242B2"/>
    <w:rsid w:val="00924DC2"/>
    <w:rsid w:val="00924EFF"/>
    <w:rsid w:val="0092607E"/>
    <w:rsid w:val="009267E8"/>
    <w:rsid w:val="00927252"/>
    <w:rsid w:val="00927DC4"/>
    <w:rsid w:val="00930030"/>
    <w:rsid w:val="00931D73"/>
    <w:rsid w:val="009322EA"/>
    <w:rsid w:val="00932AB9"/>
    <w:rsid w:val="00932C36"/>
    <w:rsid w:val="00933150"/>
    <w:rsid w:val="009337E5"/>
    <w:rsid w:val="00934648"/>
    <w:rsid w:val="009354C6"/>
    <w:rsid w:val="00935AD0"/>
    <w:rsid w:val="009363D7"/>
    <w:rsid w:val="00936BC8"/>
    <w:rsid w:val="009411C5"/>
    <w:rsid w:val="0094193D"/>
    <w:rsid w:val="00941B4F"/>
    <w:rsid w:val="00941DC2"/>
    <w:rsid w:val="00943801"/>
    <w:rsid w:val="0094455D"/>
    <w:rsid w:val="009447B1"/>
    <w:rsid w:val="009450C8"/>
    <w:rsid w:val="00945BFB"/>
    <w:rsid w:val="00945C6A"/>
    <w:rsid w:val="00946093"/>
    <w:rsid w:val="00946AFA"/>
    <w:rsid w:val="009471DA"/>
    <w:rsid w:val="00947F44"/>
    <w:rsid w:val="00950839"/>
    <w:rsid w:val="0095151B"/>
    <w:rsid w:val="009517F2"/>
    <w:rsid w:val="009518CE"/>
    <w:rsid w:val="00951D23"/>
    <w:rsid w:val="00952072"/>
    <w:rsid w:val="009525A0"/>
    <w:rsid w:val="00952CFC"/>
    <w:rsid w:val="00952EB7"/>
    <w:rsid w:val="00954D7B"/>
    <w:rsid w:val="0095521C"/>
    <w:rsid w:val="00955A9E"/>
    <w:rsid w:val="009566F9"/>
    <w:rsid w:val="009574D8"/>
    <w:rsid w:val="00960976"/>
    <w:rsid w:val="00961A56"/>
    <w:rsid w:val="009634BE"/>
    <w:rsid w:val="009635A9"/>
    <w:rsid w:val="0096495B"/>
    <w:rsid w:val="0096524A"/>
    <w:rsid w:val="00966968"/>
    <w:rsid w:val="00966CE6"/>
    <w:rsid w:val="00967391"/>
    <w:rsid w:val="0096773A"/>
    <w:rsid w:val="00967DD5"/>
    <w:rsid w:val="00970250"/>
    <w:rsid w:val="00971074"/>
    <w:rsid w:val="00971A72"/>
    <w:rsid w:val="00971EAD"/>
    <w:rsid w:val="009726B8"/>
    <w:rsid w:val="009728FD"/>
    <w:rsid w:val="00972AB5"/>
    <w:rsid w:val="00972D33"/>
    <w:rsid w:val="00973B98"/>
    <w:rsid w:val="00973C14"/>
    <w:rsid w:val="009742EA"/>
    <w:rsid w:val="00974634"/>
    <w:rsid w:val="0097496C"/>
    <w:rsid w:val="00977B08"/>
    <w:rsid w:val="0098013F"/>
    <w:rsid w:val="009802F3"/>
    <w:rsid w:val="00982500"/>
    <w:rsid w:val="00982987"/>
    <w:rsid w:val="00982A4C"/>
    <w:rsid w:val="00982C7D"/>
    <w:rsid w:val="00984E45"/>
    <w:rsid w:val="009864D4"/>
    <w:rsid w:val="00987289"/>
    <w:rsid w:val="00987F53"/>
    <w:rsid w:val="009907AC"/>
    <w:rsid w:val="009908AA"/>
    <w:rsid w:val="00991E80"/>
    <w:rsid w:val="00992768"/>
    <w:rsid w:val="00994121"/>
    <w:rsid w:val="00994561"/>
    <w:rsid w:val="009946CC"/>
    <w:rsid w:val="00996537"/>
    <w:rsid w:val="00997103"/>
    <w:rsid w:val="0099713F"/>
    <w:rsid w:val="0099737F"/>
    <w:rsid w:val="00997DEC"/>
    <w:rsid w:val="009A12D5"/>
    <w:rsid w:val="009A1A9F"/>
    <w:rsid w:val="009A2526"/>
    <w:rsid w:val="009A2D62"/>
    <w:rsid w:val="009A322E"/>
    <w:rsid w:val="009A3B1F"/>
    <w:rsid w:val="009A4C21"/>
    <w:rsid w:val="009A4D76"/>
    <w:rsid w:val="009A5893"/>
    <w:rsid w:val="009A6322"/>
    <w:rsid w:val="009B0669"/>
    <w:rsid w:val="009B10E2"/>
    <w:rsid w:val="009B16C1"/>
    <w:rsid w:val="009B1CDB"/>
    <w:rsid w:val="009B2D43"/>
    <w:rsid w:val="009B37BD"/>
    <w:rsid w:val="009B3AC1"/>
    <w:rsid w:val="009B44DE"/>
    <w:rsid w:val="009B58CB"/>
    <w:rsid w:val="009B649B"/>
    <w:rsid w:val="009B7827"/>
    <w:rsid w:val="009B7F63"/>
    <w:rsid w:val="009C06E7"/>
    <w:rsid w:val="009C14B6"/>
    <w:rsid w:val="009C320B"/>
    <w:rsid w:val="009C38CE"/>
    <w:rsid w:val="009C3D20"/>
    <w:rsid w:val="009C52EA"/>
    <w:rsid w:val="009C6296"/>
    <w:rsid w:val="009C6461"/>
    <w:rsid w:val="009C79D1"/>
    <w:rsid w:val="009D0384"/>
    <w:rsid w:val="009D155C"/>
    <w:rsid w:val="009D1827"/>
    <w:rsid w:val="009D1C35"/>
    <w:rsid w:val="009D3687"/>
    <w:rsid w:val="009D3B1B"/>
    <w:rsid w:val="009D482F"/>
    <w:rsid w:val="009D4CCA"/>
    <w:rsid w:val="009D5BE8"/>
    <w:rsid w:val="009D6BE4"/>
    <w:rsid w:val="009D7016"/>
    <w:rsid w:val="009E0957"/>
    <w:rsid w:val="009E1DAC"/>
    <w:rsid w:val="009E22B2"/>
    <w:rsid w:val="009E254D"/>
    <w:rsid w:val="009E345B"/>
    <w:rsid w:val="009E4149"/>
    <w:rsid w:val="009E4492"/>
    <w:rsid w:val="009E4BEF"/>
    <w:rsid w:val="009E56F3"/>
    <w:rsid w:val="009E623F"/>
    <w:rsid w:val="009E6F43"/>
    <w:rsid w:val="009E70B7"/>
    <w:rsid w:val="009E71CD"/>
    <w:rsid w:val="009E73FC"/>
    <w:rsid w:val="009E7B87"/>
    <w:rsid w:val="009F0227"/>
    <w:rsid w:val="009F0DC1"/>
    <w:rsid w:val="009F1AB3"/>
    <w:rsid w:val="009F1DC2"/>
    <w:rsid w:val="009F20F2"/>
    <w:rsid w:val="009F3540"/>
    <w:rsid w:val="009F3A15"/>
    <w:rsid w:val="009F4CBA"/>
    <w:rsid w:val="009F72BE"/>
    <w:rsid w:val="009F7512"/>
    <w:rsid w:val="009F7CFF"/>
    <w:rsid w:val="009F7FA5"/>
    <w:rsid w:val="00A0058A"/>
    <w:rsid w:val="00A0087D"/>
    <w:rsid w:val="00A00C33"/>
    <w:rsid w:val="00A031C5"/>
    <w:rsid w:val="00A03E10"/>
    <w:rsid w:val="00A049AC"/>
    <w:rsid w:val="00A05667"/>
    <w:rsid w:val="00A063C4"/>
    <w:rsid w:val="00A0672B"/>
    <w:rsid w:val="00A06AC8"/>
    <w:rsid w:val="00A07234"/>
    <w:rsid w:val="00A0741E"/>
    <w:rsid w:val="00A10066"/>
    <w:rsid w:val="00A10980"/>
    <w:rsid w:val="00A11761"/>
    <w:rsid w:val="00A1251E"/>
    <w:rsid w:val="00A127DD"/>
    <w:rsid w:val="00A12924"/>
    <w:rsid w:val="00A12D24"/>
    <w:rsid w:val="00A1412D"/>
    <w:rsid w:val="00A14731"/>
    <w:rsid w:val="00A14BE1"/>
    <w:rsid w:val="00A14CF6"/>
    <w:rsid w:val="00A1569E"/>
    <w:rsid w:val="00A1727B"/>
    <w:rsid w:val="00A1733E"/>
    <w:rsid w:val="00A17A0A"/>
    <w:rsid w:val="00A20336"/>
    <w:rsid w:val="00A20C9D"/>
    <w:rsid w:val="00A2351E"/>
    <w:rsid w:val="00A235C8"/>
    <w:rsid w:val="00A241AE"/>
    <w:rsid w:val="00A242C8"/>
    <w:rsid w:val="00A24384"/>
    <w:rsid w:val="00A24A66"/>
    <w:rsid w:val="00A24ACA"/>
    <w:rsid w:val="00A25385"/>
    <w:rsid w:val="00A25619"/>
    <w:rsid w:val="00A26C4C"/>
    <w:rsid w:val="00A26D73"/>
    <w:rsid w:val="00A30158"/>
    <w:rsid w:val="00A306ED"/>
    <w:rsid w:val="00A3111C"/>
    <w:rsid w:val="00A31E61"/>
    <w:rsid w:val="00A32B39"/>
    <w:rsid w:val="00A33D50"/>
    <w:rsid w:val="00A33D57"/>
    <w:rsid w:val="00A33DE0"/>
    <w:rsid w:val="00A34958"/>
    <w:rsid w:val="00A36695"/>
    <w:rsid w:val="00A36B8A"/>
    <w:rsid w:val="00A36C6B"/>
    <w:rsid w:val="00A403D9"/>
    <w:rsid w:val="00A4074D"/>
    <w:rsid w:val="00A40E21"/>
    <w:rsid w:val="00A41396"/>
    <w:rsid w:val="00A41C80"/>
    <w:rsid w:val="00A41F00"/>
    <w:rsid w:val="00A43C0F"/>
    <w:rsid w:val="00A452FF"/>
    <w:rsid w:val="00A45F9A"/>
    <w:rsid w:val="00A463E7"/>
    <w:rsid w:val="00A47E63"/>
    <w:rsid w:val="00A5024D"/>
    <w:rsid w:val="00A52C65"/>
    <w:rsid w:val="00A53367"/>
    <w:rsid w:val="00A5450D"/>
    <w:rsid w:val="00A54FE4"/>
    <w:rsid w:val="00A554CD"/>
    <w:rsid w:val="00A55F3B"/>
    <w:rsid w:val="00A562F3"/>
    <w:rsid w:val="00A564A7"/>
    <w:rsid w:val="00A56BE9"/>
    <w:rsid w:val="00A56F6F"/>
    <w:rsid w:val="00A57129"/>
    <w:rsid w:val="00A57A0F"/>
    <w:rsid w:val="00A57E61"/>
    <w:rsid w:val="00A6036F"/>
    <w:rsid w:val="00A60964"/>
    <w:rsid w:val="00A60D16"/>
    <w:rsid w:val="00A610E8"/>
    <w:rsid w:val="00A613D6"/>
    <w:rsid w:val="00A61BA8"/>
    <w:rsid w:val="00A6271C"/>
    <w:rsid w:val="00A6316E"/>
    <w:rsid w:val="00A63230"/>
    <w:rsid w:val="00A6378E"/>
    <w:rsid w:val="00A64F53"/>
    <w:rsid w:val="00A64F6A"/>
    <w:rsid w:val="00A66643"/>
    <w:rsid w:val="00A666CE"/>
    <w:rsid w:val="00A66F21"/>
    <w:rsid w:val="00A6700E"/>
    <w:rsid w:val="00A67A8A"/>
    <w:rsid w:val="00A70DA6"/>
    <w:rsid w:val="00A70FDA"/>
    <w:rsid w:val="00A7171D"/>
    <w:rsid w:val="00A72462"/>
    <w:rsid w:val="00A72CBF"/>
    <w:rsid w:val="00A72E07"/>
    <w:rsid w:val="00A73302"/>
    <w:rsid w:val="00A736E9"/>
    <w:rsid w:val="00A73C0D"/>
    <w:rsid w:val="00A73EA8"/>
    <w:rsid w:val="00A768D2"/>
    <w:rsid w:val="00A76DB1"/>
    <w:rsid w:val="00A8003F"/>
    <w:rsid w:val="00A801B9"/>
    <w:rsid w:val="00A8080E"/>
    <w:rsid w:val="00A81A83"/>
    <w:rsid w:val="00A83644"/>
    <w:rsid w:val="00A85242"/>
    <w:rsid w:val="00A85B61"/>
    <w:rsid w:val="00A85D09"/>
    <w:rsid w:val="00A85D80"/>
    <w:rsid w:val="00A85FA0"/>
    <w:rsid w:val="00A871C5"/>
    <w:rsid w:val="00A87FA5"/>
    <w:rsid w:val="00A9019C"/>
    <w:rsid w:val="00A90ACF"/>
    <w:rsid w:val="00A92E5B"/>
    <w:rsid w:val="00A937D8"/>
    <w:rsid w:val="00A946D1"/>
    <w:rsid w:val="00A95716"/>
    <w:rsid w:val="00A96832"/>
    <w:rsid w:val="00A97B4C"/>
    <w:rsid w:val="00AA0EB1"/>
    <w:rsid w:val="00AA2C50"/>
    <w:rsid w:val="00AA3EC8"/>
    <w:rsid w:val="00AA441D"/>
    <w:rsid w:val="00AA45A8"/>
    <w:rsid w:val="00AA4824"/>
    <w:rsid w:val="00AA4BEE"/>
    <w:rsid w:val="00AA54BD"/>
    <w:rsid w:val="00AA5EBE"/>
    <w:rsid w:val="00AA66CF"/>
    <w:rsid w:val="00AA68D0"/>
    <w:rsid w:val="00AA69A2"/>
    <w:rsid w:val="00AA78CD"/>
    <w:rsid w:val="00AB0286"/>
    <w:rsid w:val="00AB0513"/>
    <w:rsid w:val="00AB05CF"/>
    <w:rsid w:val="00AB11EE"/>
    <w:rsid w:val="00AB1AAB"/>
    <w:rsid w:val="00AB23DA"/>
    <w:rsid w:val="00AB2DCC"/>
    <w:rsid w:val="00AB3AA6"/>
    <w:rsid w:val="00AB4431"/>
    <w:rsid w:val="00AB445A"/>
    <w:rsid w:val="00AB4474"/>
    <w:rsid w:val="00AB51A7"/>
    <w:rsid w:val="00AB5BD6"/>
    <w:rsid w:val="00AB5C8E"/>
    <w:rsid w:val="00AB6506"/>
    <w:rsid w:val="00AB6A32"/>
    <w:rsid w:val="00AB6EF8"/>
    <w:rsid w:val="00AB72EB"/>
    <w:rsid w:val="00AB7E36"/>
    <w:rsid w:val="00AC06C8"/>
    <w:rsid w:val="00AC0A32"/>
    <w:rsid w:val="00AC1260"/>
    <w:rsid w:val="00AC1834"/>
    <w:rsid w:val="00AC234E"/>
    <w:rsid w:val="00AC36CA"/>
    <w:rsid w:val="00AC39DB"/>
    <w:rsid w:val="00AC5916"/>
    <w:rsid w:val="00AC5D07"/>
    <w:rsid w:val="00AC7E81"/>
    <w:rsid w:val="00AD0080"/>
    <w:rsid w:val="00AD045A"/>
    <w:rsid w:val="00AD07B8"/>
    <w:rsid w:val="00AD17E0"/>
    <w:rsid w:val="00AD28FF"/>
    <w:rsid w:val="00AD31F8"/>
    <w:rsid w:val="00AD35AA"/>
    <w:rsid w:val="00AD47C3"/>
    <w:rsid w:val="00AD4E55"/>
    <w:rsid w:val="00AD57B6"/>
    <w:rsid w:val="00AD5B75"/>
    <w:rsid w:val="00AD5DAC"/>
    <w:rsid w:val="00AD5DF8"/>
    <w:rsid w:val="00AD5EAE"/>
    <w:rsid w:val="00AD61D6"/>
    <w:rsid w:val="00AD6716"/>
    <w:rsid w:val="00AD7815"/>
    <w:rsid w:val="00AE217D"/>
    <w:rsid w:val="00AE292E"/>
    <w:rsid w:val="00AE359E"/>
    <w:rsid w:val="00AE3C6C"/>
    <w:rsid w:val="00AE588C"/>
    <w:rsid w:val="00AE66B1"/>
    <w:rsid w:val="00AE67C9"/>
    <w:rsid w:val="00AE6B44"/>
    <w:rsid w:val="00AE6ED4"/>
    <w:rsid w:val="00AE6F0C"/>
    <w:rsid w:val="00AE7437"/>
    <w:rsid w:val="00AF1436"/>
    <w:rsid w:val="00AF194C"/>
    <w:rsid w:val="00AF1A51"/>
    <w:rsid w:val="00AF1ACC"/>
    <w:rsid w:val="00AF1F96"/>
    <w:rsid w:val="00AF2532"/>
    <w:rsid w:val="00AF2B3F"/>
    <w:rsid w:val="00AF5178"/>
    <w:rsid w:val="00AF5598"/>
    <w:rsid w:val="00AF6B15"/>
    <w:rsid w:val="00AF6E88"/>
    <w:rsid w:val="00AF759C"/>
    <w:rsid w:val="00AF7E66"/>
    <w:rsid w:val="00B00089"/>
    <w:rsid w:val="00B00651"/>
    <w:rsid w:val="00B0080F"/>
    <w:rsid w:val="00B00883"/>
    <w:rsid w:val="00B011A4"/>
    <w:rsid w:val="00B017D8"/>
    <w:rsid w:val="00B023DE"/>
    <w:rsid w:val="00B034BE"/>
    <w:rsid w:val="00B03899"/>
    <w:rsid w:val="00B0453E"/>
    <w:rsid w:val="00B0479B"/>
    <w:rsid w:val="00B04F07"/>
    <w:rsid w:val="00B058C0"/>
    <w:rsid w:val="00B05F8F"/>
    <w:rsid w:val="00B07046"/>
    <w:rsid w:val="00B07AD5"/>
    <w:rsid w:val="00B10462"/>
    <w:rsid w:val="00B10A0E"/>
    <w:rsid w:val="00B11CB4"/>
    <w:rsid w:val="00B1247F"/>
    <w:rsid w:val="00B13895"/>
    <w:rsid w:val="00B14FD7"/>
    <w:rsid w:val="00B153D8"/>
    <w:rsid w:val="00B153F8"/>
    <w:rsid w:val="00B16583"/>
    <w:rsid w:val="00B16AB4"/>
    <w:rsid w:val="00B17A21"/>
    <w:rsid w:val="00B202E2"/>
    <w:rsid w:val="00B20686"/>
    <w:rsid w:val="00B214E4"/>
    <w:rsid w:val="00B21A9B"/>
    <w:rsid w:val="00B21C1E"/>
    <w:rsid w:val="00B22C2D"/>
    <w:rsid w:val="00B231E2"/>
    <w:rsid w:val="00B239BC"/>
    <w:rsid w:val="00B23AD6"/>
    <w:rsid w:val="00B241D0"/>
    <w:rsid w:val="00B24B81"/>
    <w:rsid w:val="00B24F8E"/>
    <w:rsid w:val="00B25A4A"/>
    <w:rsid w:val="00B25BB2"/>
    <w:rsid w:val="00B25D31"/>
    <w:rsid w:val="00B261F7"/>
    <w:rsid w:val="00B26814"/>
    <w:rsid w:val="00B2685E"/>
    <w:rsid w:val="00B26CA1"/>
    <w:rsid w:val="00B26E73"/>
    <w:rsid w:val="00B27857"/>
    <w:rsid w:val="00B30159"/>
    <w:rsid w:val="00B31EB3"/>
    <w:rsid w:val="00B320CA"/>
    <w:rsid w:val="00B32FAB"/>
    <w:rsid w:val="00B34F9A"/>
    <w:rsid w:val="00B35DD9"/>
    <w:rsid w:val="00B36EAF"/>
    <w:rsid w:val="00B37337"/>
    <w:rsid w:val="00B3747F"/>
    <w:rsid w:val="00B37B89"/>
    <w:rsid w:val="00B37F12"/>
    <w:rsid w:val="00B4029E"/>
    <w:rsid w:val="00B404AE"/>
    <w:rsid w:val="00B407B9"/>
    <w:rsid w:val="00B40E9C"/>
    <w:rsid w:val="00B410F2"/>
    <w:rsid w:val="00B414A4"/>
    <w:rsid w:val="00B42936"/>
    <w:rsid w:val="00B42E2E"/>
    <w:rsid w:val="00B447CF"/>
    <w:rsid w:val="00B4570D"/>
    <w:rsid w:val="00B46869"/>
    <w:rsid w:val="00B46D26"/>
    <w:rsid w:val="00B479A5"/>
    <w:rsid w:val="00B47A56"/>
    <w:rsid w:val="00B47ABC"/>
    <w:rsid w:val="00B50A9A"/>
    <w:rsid w:val="00B50C7C"/>
    <w:rsid w:val="00B51B0D"/>
    <w:rsid w:val="00B525C0"/>
    <w:rsid w:val="00B52638"/>
    <w:rsid w:val="00B539DC"/>
    <w:rsid w:val="00B53FF1"/>
    <w:rsid w:val="00B54073"/>
    <w:rsid w:val="00B55D60"/>
    <w:rsid w:val="00B55E24"/>
    <w:rsid w:val="00B55E52"/>
    <w:rsid w:val="00B56007"/>
    <w:rsid w:val="00B56ABF"/>
    <w:rsid w:val="00B56D1C"/>
    <w:rsid w:val="00B57885"/>
    <w:rsid w:val="00B579E2"/>
    <w:rsid w:val="00B61AC2"/>
    <w:rsid w:val="00B61EB7"/>
    <w:rsid w:val="00B627C1"/>
    <w:rsid w:val="00B635F5"/>
    <w:rsid w:val="00B639E5"/>
    <w:rsid w:val="00B63EAF"/>
    <w:rsid w:val="00B64CE3"/>
    <w:rsid w:val="00B66C1E"/>
    <w:rsid w:val="00B673DA"/>
    <w:rsid w:val="00B67465"/>
    <w:rsid w:val="00B71384"/>
    <w:rsid w:val="00B72DEF"/>
    <w:rsid w:val="00B72E3C"/>
    <w:rsid w:val="00B73A0C"/>
    <w:rsid w:val="00B75E1D"/>
    <w:rsid w:val="00B766FD"/>
    <w:rsid w:val="00B77BC5"/>
    <w:rsid w:val="00B803CB"/>
    <w:rsid w:val="00B80E0C"/>
    <w:rsid w:val="00B81B1C"/>
    <w:rsid w:val="00B81E4E"/>
    <w:rsid w:val="00B8318D"/>
    <w:rsid w:val="00B83C45"/>
    <w:rsid w:val="00B83E53"/>
    <w:rsid w:val="00B84869"/>
    <w:rsid w:val="00B85025"/>
    <w:rsid w:val="00B85E13"/>
    <w:rsid w:val="00B85E35"/>
    <w:rsid w:val="00B86163"/>
    <w:rsid w:val="00B86E6D"/>
    <w:rsid w:val="00B87789"/>
    <w:rsid w:val="00B9027B"/>
    <w:rsid w:val="00B90878"/>
    <w:rsid w:val="00B90B42"/>
    <w:rsid w:val="00B90C66"/>
    <w:rsid w:val="00B90E79"/>
    <w:rsid w:val="00B91852"/>
    <w:rsid w:val="00B91A1F"/>
    <w:rsid w:val="00B91C4B"/>
    <w:rsid w:val="00B935BA"/>
    <w:rsid w:val="00B9368E"/>
    <w:rsid w:val="00B96304"/>
    <w:rsid w:val="00B9718C"/>
    <w:rsid w:val="00B97284"/>
    <w:rsid w:val="00B97838"/>
    <w:rsid w:val="00B97DAE"/>
    <w:rsid w:val="00BA05ED"/>
    <w:rsid w:val="00BA0D1F"/>
    <w:rsid w:val="00BA0E93"/>
    <w:rsid w:val="00BA10AE"/>
    <w:rsid w:val="00BA1B3B"/>
    <w:rsid w:val="00BA2792"/>
    <w:rsid w:val="00BA28B2"/>
    <w:rsid w:val="00BA3B5C"/>
    <w:rsid w:val="00BA3C30"/>
    <w:rsid w:val="00BA41AF"/>
    <w:rsid w:val="00BA5922"/>
    <w:rsid w:val="00BA5DDB"/>
    <w:rsid w:val="00BA6F10"/>
    <w:rsid w:val="00BA7765"/>
    <w:rsid w:val="00BA7CB5"/>
    <w:rsid w:val="00BA7D58"/>
    <w:rsid w:val="00BB0179"/>
    <w:rsid w:val="00BB0A67"/>
    <w:rsid w:val="00BB2011"/>
    <w:rsid w:val="00BB218B"/>
    <w:rsid w:val="00BB242B"/>
    <w:rsid w:val="00BB2FDF"/>
    <w:rsid w:val="00BB3749"/>
    <w:rsid w:val="00BB38CA"/>
    <w:rsid w:val="00BB3A6D"/>
    <w:rsid w:val="00BB3ECC"/>
    <w:rsid w:val="00BB3FCD"/>
    <w:rsid w:val="00BB45A3"/>
    <w:rsid w:val="00BB4861"/>
    <w:rsid w:val="00BB4ED7"/>
    <w:rsid w:val="00BB5596"/>
    <w:rsid w:val="00BB5CF5"/>
    <w:rsid w:val="00BB6433"/>
    <w:rsid w:val="00BB67C6"/>
    <w:rsid w:val="00BC1316"/>
    <w:rsid w:val="00BC2B12"/>
    <w:rsid w:val="00BC35FF"/>
    <w:rsid w:val="00BC3904"/>
    <w:rsid w:val="00BC40B3"/>
    <w:rsid w:val="00BC491A"/>
    <w:rsid w:val="00BC4C45"/>
    <w:rsid w:val="00BC505E"/>
    <w:rsid w:val="00BC5D13"/>
    <w:rsid w:val="00BC610B"/>
    <w:rsid w:val="00BC781D"/>
    <w:rsid w:val="00BC7A15"/>
    <w:rsid w:val="00BD0655"/>
    <w:rsid w:val="00BD066D"/>
    <w:rsid w:val="00BD285F"/>
    <w:rsid w:val="00BD2AD4"/>
    <w:rsid w:val="00BD2B71"/>
    <w:rsid w:val="00BD38E6"/>
    <w:rsid w:val="00BD50C8"/>
    <w:rsid w:val="00BD67B3"/>
    <w:rsid w:val="00BD690E"/>
    <w:rsid w:val="00BE05A7"/>
    <w:rsid w:val="00BE2240"/>
    <w:rsid w:val="00BE28A3"/>
    <w:rsid w:val="00BE32F2"/>
    <w:rsid w:val="00BE3DA8"/>
    <w:rsid w:val="00BE4A0E"/>
    <w:rsid w:val="00BE4ACD"/>
    <w:rsid w:val="00BE541E"/>
    <w:rsid w:val="00BE6272"/>
    <w:rsid w:val="00BE676D"/>
    <w:rsid w:val="00BE6894"/>
    <w:rsid w:val="00BE6B0E"/>
    <w:rsid w:val="00BE7C76"/>
    <w:rsid w:val="00BE7DEE"/>
    <w:rsid w:val="00BE7ECE"/>
    <w:rsid w:val="00BF1FC2"/>
    <w:rsid w:val="00BF22A9"/>
    <w:rsid w:val="00BF2A60"/>
    <w:rsid w:val="00BF3206"/>
    <w:rsid w:val="00BF3AA5"/>
    <w:rsid w:val="00BF531D"/>
    <w:rsid w:val="00BF5346"/>
    <w:rsid w:val="00BF54FD"/>
    <w:rsid w:val="00BF5B3E"/>
    <w:rsid w:val="00BF66E6"/>
    <w:rsid w:val="00C0002F"/>
    <w:rsid w:val="00C00342"/>
    <w:rsid w:val="00C00533"/>
    <w:rsid w:val="00C013AE"/>
    <w:rsid w:val="00C0243E"/>
    <w:rsid w:val="00C026C0"/>
    <w:rsid w:val="00C02E43"/>
    <w:rsid w:val="00C0334E"/>
    <w:rsid w:val="00C0355A"/>
    <w:rsid w:val="00C04AFE"/>
    <w:rsid w:val="00C05C79"/>
    <w:rsid w:val="00C06430"/>
    <w:rsid w:val="00C073E7"/>
    <w:rsid w:val="00C07638"/>
    <w:rsid w:val="00C07659"/>
    <w:rsid w:val="00C1059C"/>
    <w:rsid w:val="00C10C4B"/>
    <w:rsid w:val="00C11A73"/>
    <w:rsid w:val="00C12ECD"/>
    <w:rsid w:val="00C13830"/>
    <w:rsid w:val="00C139E7"/>
    <w:rsid w:val="00C13D6D"/>
    <w:rsid w:val="00C13D95"/>
    <w:rsid w:val="00C14396"/>
    <w:rsid w:val="00C151F1"/>
    <w:rsid w:val="00C16143"/>
    <w:rsid w:val="00C1619B"/>
    <w:rsid w:val="00C1648D"/>
    <w:rsid w:val="00C16944"/>
    <w:rsid w:val="00C16C30"/>
    <w:rsid w:val="00C17FA5"/>
    <w:rsid w:val="00C20623"/>
    <w:rsid w:val="00C20CE8"/>
    <w:rsid w:val="00C212C0"/>
    <w:rsid w:val="00C21326"/>
    <w:rsid w:val="00C224A9"/>
    <w:rsid w:val="00C22A88"/>
    <w:rsid w:val="00C232FE"/>
    <w:rsid w:val="00C23594"/>
    <w:rsid w:val="00C23900"/>
    <w:rsid w:val="00C23ABA"/>
    <w:rsid w:val="00C24ED2"/>
    <w:rsid w:val="00C253A5"/>
    <w:rsid w:val="00C26008"/>
    <w:rsid w:val="00C261B8"/>
    <w:rsid w:val="00C265DE"/>
    <w:rsid w:val="00C315BA"/>
    <w:rsid w:val="00C317A2"/>
    <w:rsid w:val="00C31E9D"/>
    <w:rsid w:val="00C3308F"/>
    <w:rsid w:val="00C34506"/>
    <w:rsid w:val="00C361A9"/>
    <w:rsid w:val="00C366D5"/>
    <w:rsid w:val="00C36C91"/>
    <w:rsid w:val="00C37876"/>
    <w:rsid w:val="00C3789E"/>
    <w:rsid w:val="00C37B6B"/>
    <w:rsid w:val="00C40C28"/>
    <w:rsid w:val="00C40C74"/>
    <w:rsid w:val="00C4145D"/>
    <w:rsid w:val="00C416D2"/>
    <w:rsid w:val="00C42E64"/>
    <w:rsid w:val="00C42FB6"/>
    <w:rsid w:val="00C43902"/>
    <w:rsid w:val="00C43B34"/>
    <w:rsid w:val="00C45529"/>
    <w:rsid w:val="00C4760C"/>
    <w:rsid w:val="00C47AE0"/>
    <w:rsid w:val="00C50C13"/>
    <w:rsid w:val="00C519BC"/>
    <w:rsid w:val="00C51BDA"/>
    <w:rsid w:val="00C51E55"/>
    <w:rsid w:val="00C529ED"/>
    <w:rsid w:val="00C53294"/>
    <w:rsid w:val="00C532E8"/>
    <w:rsid w:val="00C533B1"/>
    <w:rsid w:val="00C53CEE"/>
    <w:rsid w:val="00C55677"/>
    <w:rsid w:val="00C57C97"/>
    <w:rsid w:val="00C57F24"/>
    <w:rsid w:val="00C6203F"/>
    <w:rsid w:val="00C62DDA"/>
    <w:rsid w:val="00C62F97"/>
    <w:rsid w:val="00C6309B"/>
    <w:rsid w:val="00C63B08"/>
    <w:rsid w:val="00C6450C"/>
    <w:rsid w:val="00C64C26"/>
    <w:rsid w:val="00C6543F"/>
    <w:rsid w:val="00C66903"/>
    <w:rsid w:val="00C66C74"/>
    <w:rsid w:val="00C673A7"/>
    <w:rsid w:val="00C6759A"/>
    <w:rsid w:val="00C67FC8"/>
    <w:rsid w:val="00C70128"/>
    <w:rsid w:val="00C720D1"/>
    <w:rsid w:val="00C72826"/>
    <w:rsid w:val="00C72F54"/>
    <w:rsid w:val="00C73851"/>
    <w:rsid w:val="00C738A0"/>
    <w:rsid w:val="00C738BD"/>
    <w:rsid w:val="00C74886"/>
    <w:rsid w:val="00C749B2"/>
    <w:rsid w:val="00C75349"/>
    <w:rsid w:val="00C76299"/>
    <w:rsid w:val="00C77827"/>
    <w:rsid w:val="00C808EC"/>
    <w:rsid w:val="00C81092"/>
    <w:rsid w:val="00C81BB9"/>
    <w:rsid w:val="00C81EFA"/>
    <w:rsid w:val="00C823BA"/>
    <w:rsid w:val="00C83086"/>
    <w:rsid w:val="00C8350F"/>
    <w:rsid w:val="00C84986"/>
    <w:rsid w:val="00C84C85"/>
    <w:rsid w:val="00C84F4D"/>
    <w:rsid w:val="00C8780A"/>
    <w:rsid w:val="00C87A1A"/>
    <w:rsid w:val="00C87B08"/>
    <w:rsid w:val="00C87C3E"/>
    <w:rsid w:val="00C90C82"/>
    <w:rsid w:val="00C91AE0"/>
    <w:rsid w:val="00C91D61"/>
    <w:rsid w:val="00C947C2"/>
    <w:rsid w:val="00C94B2C"/>
    <w:rsid w:val="00C95FA9"/>
    <w:rsid w:val="00C97987"/>
    <w:rsid w:val="00CA0B91"/>
    <w:rsid w:val="00CA121D"/>
    <w:rsid w:val="00CA1D83"/>
    <w:rsid w:val="00CA2A13"/>
    <w:rsid w:val="00CA3362"/>
    <w:rsid w:val="00CA33B5"/>
    <w:rsid w:val="00CA3C4C"/>
    <w:rsid w:val="00CA42CA"/>
    <w:rsid w:val="00CA5141"/>
    <w:rsid w:val="00CA5593"/>
    <w:rsid w:val="00CA5B1D"/>
    <w:rsid w:val="00CA660F"/>
    <w:rsid w:val="00CA7DA3"/>
    <w:rsid w:val="00CB0114"/>
    <w:rsid w:val="00CB0139"/>
    <w:rsid w:val="00CB0A22"/>
    <w:rsid w:val="00CB2987"/>
    <w:rsid w:val="00CB6277"/>
    <w:rsid w:val="00CB6BBF"/>
    <w:rsid w:val="00CB760B"/>
    <w:rsid w:val="00CC0CED"/>
    <w:rsid w:val="00CC0EE1"/>
    <w:rsid w:val="00CC226F"/>
    <w:rsid w:val="00CC2A4F"/>
    <w:rsid w:val="00CC2F77"/>
    <w:rsid w:val="00CC366B"/>
    <w:rsid w:val="00CC4341"/>
    <w:rsid w:val="00CC47D9"/>
    <w:rsid w:val="00CC482E"/>
    <w:rsid w:val="00CC5C9E"/>
    <w:rsid w:val="00CC61A8"/>
    <w:rsid w:val="00CD0169"/>
    <w:rsid w:val="00CD15B5"/>
    <w:rsid w:val="00CD2C47"/>
    <w:rsid w:val="00CD2DDA"/>
    <w:rsid w:val="00CD3446"/>
    <w:rsid w:val="00CD410A"/>
    <w:rsid w:val="00CD458B"/>
    <w:rsid w:val="00CD45D2"/>
    <w:rsid w:val="00CD49B2"/>
    <w:rsid w:val="00CD4B8A"/>
    <w:rsid w:val="00CD5707"/>
    <w:rsid w:val="00CD5886"/>
    <w:rsid w:val="00CD60AF"/>
    <w:rsid w:val="00CD63E0"/>
    <w:rsid w:val="00CD695B"/>
    <w:rsid w:val="00CE0AAA"/>
    <w:rsid w:val="00CE104E"/>
    <w:rsid w:val="00CE1E7D"/>
    <w:rsid w:val="00CE3EC9"/>
    <w:rsid w:val="00CE47A6"/>
    <w:rsid w:val="00CE516C"/>
    <w:rsid w:val="00CE6769"/>
    <w:rsid w:val="00CE7101"/>
    <w:rsid w:val="00CE761F"/>
    <w:rsid w:val="00CE7FB9"/>
    <w:rsid w:val="00CF095D"/>
    <w:rsid w:val="00CF1110"/>
    <w:rsid w:val="00CF1A71"/>
    <w:rsid w:val="00CF1FAE"/>
    <w:rsid w:val="00CF21C7"/>
    <w:rsid w:val="00CF24C6"/>
    <w:rsid w:val="00CF270A"/>
    <w:rsid w:val="00CF470C"/>
    <w:rsid w:val="00CF495F"/>
    <w:rsid w:val="00CF5C50"/>
    <w:rsid w:val="00CF7839"/>
    <w:rsid w:val="00D0037E"/>
    <w:rsid w:val="00D0242D"/>
    <w:rsid w:val="00D027DE"/>
    <w:rsid w:val="00D02FE5"/>
    <w:rsid w:val="00D0569A"/>
    <w:rsid w:val="00D05816"/>
    <w:rsid w:val="00D05893"/>
    <w:rsid w:val="00D05A8E"/>
    <w:rsid w:val="00D06380"/>
    <w:rsid w:val="00D06801"/>
    <w:rsid w:val="00D069ED"/>
    <w:rsid w:val="00D06A0F"/>
    <w:rsid w:val="00D06C55"/>
    <w:rsid w:val="00D10173"/>
    <w:rsid w:val="00D10534"/>
    <w:rsid w:val="00D11D2F"/>
    <w:rsid w:val="00D124A4"/>
    <w:rsid w:val="00D1310A"/>
    <w:rsid w:val="00D13205"/>
    <w:rsid w:val="00D1358B"/>
    <w:rsid w:val="00D13804"/>
    <w:rsid w:val="00D13919"/>
    <w:rsid w:val="00D13FDD"/>
    <w:rsid w:val="00D1466A"/>
    <w:rsid w:val="00D148B2"/>
    <w:rsid w:val="00D15BCA"/>
    <w:rsid w:val="00D17DE2"/>
    <w:rsid w:val="00D20014"/>
    <w:rsid w:val="00D217E1"/>
    <w:rsid w:val="00D219E2"/>
    <w:rsid w:val="00D24FCD"/>
    <w:rsid w:val="00D256E9"/>
    <w:rsid w:val="00D2627A"/>
    <w:rsid w:val="00D26638"/>
    <w:rsid w:val="00D26B5D"/>
    <w:rsid w:val="00D27B5C"/>
    <w:rsid w:val="00D27C6E"/>
    <w:rsid w:val="00D300B2"/>
    <w:rsid w:val="00D31035"/>
    <w:rsid w:val="00D31255"/>
    <w:rsid w:val="00D32138"/>
    <w:rsid w:val="00D32EBB"/>
    <w:rsid w:val="00D33ECD"/>
    <w:rsid w:val="00D347CD"/>
    <w:rsid w:val="00D34AE5"/>
    <w:rsid w:val="00D34D87"/>
    <w:rsid w:val="00D35F24"/>
    <w:rsid w:val="00D35F60"/>
    <w:rsid w:val="00D36088"/>
    <w:rsid w:val="00D364E0"/>
    <w:rsid w:val="00D364F3"/>
    <w:rsid w:val="00D36A48"/>
    <w:rsid w:val="00D36FDA"/>
    <w:rsid w:val="00D37497"/>
    <w:rsid w:val="00D40016"/>
    <w:rsid w:val="00D41358"/>
    <w:rsid w:val="00D41812"/>
    <w:rsid w:val="00D41F97"/>
    <w:rsid w:val="00D4212B"/>
    <w:rsid w:val="00D42560"/>
    <w:rsid w:val="00D4363D"/>
    <w:rsid w:val="00D43F9F"/>
    <w:rsid w:val="00D444BB"/>
    <w:rsid w:val="00D447E1"/>
    <w:rsid w:val="00D44938"/>
    <w:rsid w:val="00D44AD4"/>
    <w:rsid w:val="00D45B7B"/>
    <w:rsid w:val="00D4650F"/>
    <w:rsid w:val="00D467F9"/>
    <w:rsid w:val="00D46E47"/>
    <w:rsid w:val="00D471C4"/>
    <w:rsid w:val="00D478F6"/>
    <w:rsid w:val="00D47AD5"/>
    <w:rsid w:val="00D50B3B"/>
    <w:rsid w:val="00D51A71"/>
    <w:rsid w:val="00D543C3"/>
    <w:rsid w:val="00D54A2B"/>
    <w:rsid w:val="00D556CA"/>
    <w:rsid w:val="00D55A4E"/>
    <w:rsid w:val="00D56B0B"/>
    <w:rsid w:val="00D57012"/>
    <w:rsid w:val="00D6005F"/>
    <w:rsid w:val="00D608AF"/>
    <w:rsid w:val="00D608DB"/>
    <w:rsid w:val="00D61DA3"/>
    <w:rsid w:val="00D631BA"/>
    <w:rsid w:val="00D636F3"/>
    <w:rsid w:val="00D656C2"/>
    <w:rsid w:val="00D66013"/>
    <w:rsid w:val="00D66630"/>
    <w:rsid w:val="00D67B47"/>
    <w:rsid w:val="00D700D1"/>
    <w:rsid w:val="00D7026F"/>
    <w:rsid w:val="00D7061F"/>
    <w:rsid w:val="00D71B22"/>
    <w:rsid w:val="00D7221C"/>
    <w:rsid w:val="00D73535"/>
    <w:rsid w:val="00D751B7"/>
    <w:rsid w:val="00D75E8F"/>
    <w:rsid w:val="00D760CC"/>
    <w:rsid w:val="00D76920"/>
    <w:rsid w:val="00D76AB0"/>
    <w:rsid w:val="00D80CF7"/>
    <w:rsid w:val="00D8115F"/>
    <w:rsid w:val="00D8147C"/>
    <w:rsid w:val="00D816AC"/>
    <w:rsid w:val="00D81C4E"/>
    <w:rsid w:val="00D81ED9"/>
    <w:rsid w:val="00D826A9"/>
    <w:rsid w:val="00D82CEF"/>
    <w:rsid w:val="00D83586"/>
    <w:rsid w:val="00D841E9"/>
    <w:rsid w:val="00D844D9"/>
    <w:rsid w:val="00D8681C"/>
    <w:rsid w:val="00D86CC6"/>
    <w:rsid w:val="00D86E0B"/>
    <w:rsid w:val="00D86ED1"/>
    <w:rsid w:val="00D91434"/>
    <w:rsid w:val="00D9211C"/>
    <w:rsid w:val="00D928D2"/>
    <w:rsid w:val="00D92AA2"/>
    <w:rsid w:val="00D92D59"/>
    <w:rsid w:val="00D932F6"/>
    <w:rsid w:val="00D9534E"/>
    <w:rsid w:val="00D964CE"/>
    <w:rsid w:val="00D97525"/>
    <w:rsid w:val="00D97E99"/>
    <w:rsid w:val="00DA078E"/>
    <w:rsid w:val="00DA2554"/>
    <w:rsid w:val="00DA2AC6"/>
    <w:rsid w:val="00DA2E61"/>
    <w:rsid w:val="00DA53DA"/>
    <w:rsid w:val="00DA6852"/>
    <w:rsid w:val="00DA765F"/>
    <w:rsid w:val="00DB04E0"/>
    <w:rsid w:val="00DB0B38"/>
    <w:rsid w:val="00DB17D0"/>
    <w:rsid w:val="00DB2847"/>
    <w:rsid w:val="00DB2D9A"/>
    <w:rsid w:val="00DB4152"/>
    <w:rsid w:val="00DB493F"/>
    <w:rsid w:val="00DB49F5"/>
    <w:rsid w:val="00DB560D"/>
    <w:rsid w:val="00DB581A"/>
    <w:rsid w:val="00DB60E8"/>
    <w:rsid w:val="00DB6D49"/>
    <w:rsid w:val="00DB7062"/>
    <w:rsid w:val="00DB77AD"/>
    <w:rsid w:val="00DB795A"/>
    <w:rsid w:val="00DC05EF"/>
    <w:rsid w:val="00DC0863"/>
    <w:rsid w:val="00DC1BF2"/>
    <w:rsid w:val="00DC35A9"/>
    <w:rsid w:val="00DC5730"/>
    <w:rsid w:val="00DC5C1E"/>
    <w:rsid w:val="00DC6290"/>
    <w:rsid w:val="00DC7BCC"/>
    <w:rsid w:val="00DD0956"/>
    <w:rsid w:val="00DD1B8A"/>
    <w:rsid w:val="00DD22B6"/>
    <w:rsid w:val="00DD2BFB"/>
    <w:rsid w:val="00DD481E"/>
    <w:rsid w:val="00DD48AC"/>
    <w:rsid w:val="00DD518B"/>
    <w:rsid w:val="00DD5AB8"/>
    <w:rsid w:val="00DE0159"/>
    <w:rsid w:val="00DE030D"/>
    <w:rsid w:val="00DE045F"/>
    <w:rsid w:val="00DE0D7F"/>
    <w:rsid w:val="00DE19D8"/>
    <w:rsid w:val="00DE2AF8"/>
    <w:rsid w:val="00DE2CB7"/>
    <w:rsid w:val="00DE2FB6"/>
    <w:rsid w:val="00DE335D"/>
    <w:rsid w:val="00DE3514"/>
    <w:rsid w:val="00DE39C7"/>
    <w:rsid w:val="00DE452B"/>
    <w:rsid w:val="00DE5433"/>
    <w:rsid w:val="00DE57E7"/>
    <w:rsid w:val="00DE61F2"/>
    <w:rsid w:val="00DE63C2"/>
    <w:rsid w:val="00DE6467"/>
    <w:rsid w:val="00DE7799"/>
    <w:rsid w:val="00DF11A6"/>
    <w:rsid w:val="00DF1BEB"/>
    <w:rsid w:val="00DF1D78"/>
    <w:rsid w:val="00DF2406"/>
    <w:rsid w:val="00DF303C"/>
    <w:rsid w:val="00DF5970"/>
    <w:rsid w:val="00DF605A"/>
    <w:rsid w:val="00DF6AA1"/>
    <w:rsid w:val="00DF6E84"/>
    <w:rsid w:val="00DF73D5"/>
    <w:rsid w:val="00DF7702"/>
    <w:rsid w:val="00DF7CC3"/>
    <w:rsid w:val="00E001F3"/>
    <w:rsid w:val="00E03331"/>
    <w:rsid w:val="00E0361A"/>
    <w:rsid w:val="00E03DBF"/>
    <w:rsid w:val="00E045CB"/>
    <w:rsid w:val="00E04918"/>
    <w:rsid w:val="00E04D67"/>
    <w:rsid w:val="00E066AE"/>
    <w:rsid w:val="00E06DF3"/>
    <w:rsid w:val="00E07E1D"/>
    <w:rsid w:val="00E10443"/>
    <w:rsid w:val="00E1105D"/>
    <w:rsid w:val="00E11215"/>
    <w:rsid w:val="00E11962"/>
    <w:rsid w:val="00E11A03"/>
    <w:rsid w:val="00E12194"/>
    <w:rsid w:val="00E1299A"/>
    <w:rsid w:val="00E12EE9"/>
    <w:rsid w:val="00E138A7"/>
    <w:rsid w:val="00E152AD"/>
    <w:rsid w:val="00E15318"/>
    <w:rsid w:val="00E1590F"/>
    <w:rsid w:val="00E179BA"/>
    <w:rsid w:val="00E20850"/>
    <w:rsid w:val="00E21FA9"/>
    <w:rsid w:val="00E224B4"/>
    <w:rsid w:val="00E23078"/>
    <w:rsid w:val="00E2373F"/>
    <w:rsid w:val="00E24322"/>
    <w:rsid w:val="00E24A3C"/>
    <w:rsid w:val="00E24B3D"/>
    <w:rsid w:val="00E253EA"/>
    <w:rsid w:val="00E2576C"/>
    <w:rsid w:val="00E261C8"/>
    <w:rsid w:val="00E27708"/>
    <w:rsid w:val="00E31D31"/>
    <w:rsid w:val="00E33374"/>
    <w:rsid w:val="00E33487"/>
    <w:rsid w:val="00E33D67"/>
    <w:rsid w:val="00E34D2F"/>
    <w:rsid w:val="00E35F36"/>
    <w:rsid w:val="00E36CCB"/>
    <w:rsid w:val="00E37BF2"/>
    <w:rsid w:val="00E41046"/>
    <w:rsid w:val="00E4173A"/>
    <w:rsid w:val="00E42095"/>
    <w:rsid w:val="00E44B4D"/>
    <w:rsid w:val="00E455C3"/>
    <w:rsid w:val="00E45B50"/>
    <w:rsid w:val="00E46DFE"/>
    <w:rsid w:val="00E47D2F"/>
    <w:rsid w:val="00E51A28"/>
    <w:rsid w:val="00E51F91"/>
    <w:rsid w:val="00E52022"/>
    <w:rsid w:val="00E52165"/>
    <w:rsid w:val="00E52EA1"/>
    <w:rsid w:val="00E535BA"/>
    <w:rsid w:val="00E53BBE"/>
    <w:rsid w:val="00E54ACE"/>
    <w:rsid w:val="00E554F0"/>
    <w:rsid w:val="00E55507"/>
    <w:rsid w:val="00E56E68"/>
    <w:rsid w:val="00E6065C"/>
    <w:rsid w:val="00E60B01"/>
    <w:rsid w:val="00E6209D"/>
    <w:rsid w:val="00E62175"/>
    <w:rsid w:val="00E630CD"/>
    <w:rsid w:val="00E63469"/>
    <w:rsid w:val="00E63705"/>
    <w:rsid w:val="00E64DDD"/>
    <w:rsid w:val="00E64EAB"/>
    <w:rsid w:val="00E7012A"/>
    <w:rsid w:val="00E70BB8"/>
    <w:rsid w:val="00E70CE0"/>
    <w:rsid w:val="00E713E2"/>
    <w:rsid w:val="00E71E71"/>
    <w:rsid w:val="00E7217F"/>
    <w:rsid w:val="00E726F2"/>
    <w:rsid w:val="00E73CF2"/>
    <w:rsid w:val="00E73D56"/>
    <w:rsid w:val="00E76988"/>
    <w:rsid w:val="00E76D88"/>
    <w:rsid w:val="00E77735"/>
    <w:rsid w:val="00E77A19"/>
    <w:rsid w:val="00E77FE0"/>
    <w:rsid w:val="00E8036B"/>
    <w:rsid w:val="00E81158"/>
    <w:rsid w:val="00E8151A"/>
    <w:rsid w:val="00E816A1"/>
    <w:rsid w:val="00E8262F"/>
    <w:rsid w:val="00E82B5B"/>
    <w:rsid w:val="00E82E1D"/>
    <w:rsid w:val="00E83980"/>
    <w:rsid w:val="00E83CE5"/>
    <w:rsid w:val="00E846DD"/>
    <w:rsid w:val="00E84B33"/>
    <w:rsid w:val="00E84EF1"/>
    <w:rsid w:val="00E85987"/>
    <w:rsid w:val="00E85C0C"/>
    <w:rsid w:val="00E86003"/>
    <w:rsid w:val="00E87A8B"/>
    <w:rsid w:val="00E9029D"/>
    <w:rsid w:val="00E908AE"/>
    <w:rsid w:val="00E90BAE"/>
    <w:rsid w:val="00E916E4"/>
    <w:rsid w:val="00E91E3C"/>
    <w:rsid w:val="00E9223D"/>
    <w:rsid w:val="00E9249E"/>
    <w:rsid w:val="00E9519F"/>
    <w:rsid w:val="00E95325"/>
    <w:rsid w:val="00E958DC"/>
    <w:rsid w:val="00E95F3F"/>
    <w:rsid w:val="00E96D9B"/>
    <w:rsid w:val="00E971E3"/>
    <w:rsid w:val="00E9758C"/>
    <w:rsid w:val="00EA0BF8"/>
    <w:rsid w:val="00EA1511"/>
    <w:rsid w:val="00EA1855"/>
    <w:rsid w:val="00EA1CFD"/>
    <w:rsid w:val="00EA3742"/>
    <w:rsid w:val="00EA3AF6"/>
    <w:rsid w:val="00EA3DB0"/>
    <w:rsid w:val="00EA448D"/>
    <w:rsid w:val="00EA5635"/>
    <w:rsid w:val="00EA58DD"/>
    <w:rsid w:val="00EA59D1"/>
    <w:rsid w:val="00EA64BE"/>
    <w:rsid w:val="00EA6977"/>
    <w:rsid w:val="00EA69CB"/>
    <w:rsid w:val="00EA7887"/>
    <w:rsid w:val="00EA78D3"/>
    <w:rsid w:val="00EB03AE"/>
    <w:rsid w:val="00EB2833"/>
    <w:rsid w:val="00EB3B44"/>
    <w:rsid w:val="00EB3E13"/>
    <w:rsid w:val="00EB40FF"/>
    <w:rsid w:val="00EB46F1"/>
    <w:rsid w:val="00EB4AC8"/>
    <w:rsid w:val="00EB4E19"/>
    <w:rsid w:val="00EB56E0"/>
    <w:rsid w:val="00EB61FF"/>
    <w:rsid w:val="00EC00D7"/>
    <w:rsid w:val="00EC069F"/>
    <w:rsid w:val="00EC12B1"/>
    <w:rsid w:val="00EC178E"/>
    <w:rsid w:val="00EC2E23"/>
    <w:rsid w:val="00EC4820"/>
    <w:rsid w:val="00EC4891"/>
    <w:rsid w:val="00EC4C75"/>
    <w:rsid w:val="00EC5924"/>
    <w:rsid w:val="00EC5F76"/>
    <w:rsid w:val="00EC63E4"/>
    <w:rsid w:val="00EC6BA7"/>
    <w:rsid w:val="00EC6C48"/>
    <w:rsid w:val="00EC74B4"/>
    <w:rsid w:val="00EC7760"/>
    <w:rsid w:val="00EC7C1B"/>
    <w:rsid w:val="00ED004F"/>
    <w:rsid w:val="00ED17B7"/>
    <w:rsid w:val="00ED1A47"/>
    <w:rsid w:val="00ED41B8"/>
    <w:rsid w:val="00ED43E1"/>
    <w:rsid w:val="00ED5261"/>
    <w:rsid w:val="00ED5BF5"/>
    <w:rsid w:val="00ED5FFA"/>
    <w:rsid w:val="00ED604E"/>
    <w:rsid w:val="00ED78AD"/>
    <w:rsid w:val="00EE1B31"/>
    <w:rsid w:val="00EE1D94"/>
    <w:rsid w:val="00EE215C"/>
    <w:rsid w:val="00EE2AF6"/>
    <w:rsid w:val="00EE340E"/>
    <w:rsid w:val="00EE59F6"/>
    <w:rsid w:val="00EF03BB"/>
    <w:rsid w:val="00EF1C22"/>
    <w:rsid w:val="00EF387E"/>
    <w:rsid w:val="00EF43C8"/>
    <w:rsid w:val="00EF4873"/>
    <w:rsid w:val="00EF4FAE"/>
    <w:rsid w:val="00EF4FC7"/>
    <w:rsid w:val="00EF6082"/>
    <w:rsid w:val="00EF6C37"/>
    <w:rsid w:val="00EF702D"/>
    <w:rsid w:val="00EF74F4"/>
    <w:rsid w:val="00EF7547"/>
    <w:rsid w:val="00F01D2D"/>
    <w:rsid w:val="00F02458"/>
    <w:rsid w:val="00F027B4"/>
    <w:rsid w:val="00F0289E"/>
    <w:rsid w:val="00F028AF"/>
    <w:rsid w:val="00F02A76"/>
    <w:rsid w:val="00F0325A"/>
    <w:rsid w:val="00F0504E"/>
    <w:rsid w:val="00F061D4"/>
    <w:rsid w:val="00F06F73"/>
    <w:rsid w:val="00F07177"/>
    <w:rsid w:val="00F077D5"/>
    <w:rsid w:val="00F07D18"/>
    <w:rsid w:val="00F1055B"/>
    <w:rsid w:val="00F12461"/>
    <w:rsid w:val="00F12CF1"/>
    <w:rsid w:val="00F14353"/>
    <w:rsid w:val="00F14560"/>
    <w:rsid w:val="00F14A87"/>
    <w:rsid w:val="00F15632"/>
    <w:rsid w:val="00F160F2"/>
    <w:rsid w:val="00F161C4"/>
    <w:rsid w:val="00F16D47"/>
    <w:rsid w:val="00F17674"/>
    <w:rsid w:val="00F20E19"/>
    <w:rsid w:val="00F214F9"/>
    <w:rsid w:val="00F22D58"/>
    <w:rsid w:val="00F237D1"/>
    <w:rsid w:val="00F23C08"/>
    <w:rsid w:val="00F2491E"/>
    <w:rsid w:val="00F25151"/>
    <w:rsid w:val="00F26A21"/>
    <w:rsid w:val="00F27178"/>
    <w:rsid w:val="00F3166A"/>
    <w:rsid w:val="00F3244C"/>
    <w:rsid w:val="00F327C7"/>
    <w:rsid w:val="00F33863"/>
    <w:rsid w:val="00F33D6C"/>
    <w:rsid w:val="00F34495"/>
    <w:rsid w:val="00F3516B"/>
    <w:rsid w:val="00F36202"/>
    <w:rsid w:val="00F404B7"/>
    <w:rsid w:val="00F40C40"/>
    <w:rsid w:val="00F40D64"/>
    <w:rsid w:val="00F41680"/>
    <w:rsid w:val="00F41F6A"/>
    <w:rsid w:val="00F422BC"/>
    <w:rsid w:val="00F42666"/>
    <w:rsid w:val="00F44287"/>
    <w:rsid w:val="00F44CD0"/>
    <w:rsid w:val="00F44F40"/>
    <w:rsid w:val="00F467DD"/>
    <w:rsid w:val="00F471AA"/>
    <w:rsid w:val="00F474FA"/>
    <w:rsid w:val="00F504DD"/>
    <w:rsid w:val="00F50534"/>
    <w:rsid w:val="00F50D98"/>
    <w:rsid w:val="00F52251"/>
    <w:rsid w:val="00F522CE"/>
    <w:rsid w:val="00F53BC9"/>
    <w:rsid w:val="00F53F51"/>
    <w:rsid w:val="00F54B6A"/>
    <w:rsid w:val="00F554A5"/>
    <w:rsid w:val="00F55CA4"/>
    <w:rsid w:val="00F56888"/>
    <w:rsid w:val="00F56C81"/>
    <w:rsid w:val="00F56D85"/>
    <w:rsid w:val="00F56E13"/>
    <w:rsid w:val="00F56F7C"/>
    <w:rsid w:val="00F57B58"/>
    <w:rsid w:val="00F608EE"/>
    <w:rsid w:val="00F60A78"/>
    <w:rsid w:val="00F6106B"/>
    <w:rsid w:val="00F61782"/>
    <w:rsid w:val="00F6242B"/>
    <w:rsid w:val="00F633DC"/>
    <w:rsid w:val="00F64AA0"/>
    <w:rsid w:val="00F64C49"/>
    <w:rsid w:val="00F65246"/>
    <w:rsid w:val="00F665D8"/>
    <w:rsid w:val="00F665E5"/>
    <w:rsid w:val="00F665FC"/>
    <w:rsid w:val="00F66FCC"/>
    <w:rsid w:val="00F6720F"/>
    <w:rsid w:val="00F677FA"/>
    <w:rsid w:val="00F67D33"/>
    <w:rsid w:val="00F70417"/>
    <w:rsid w:val="00F70C3E"/>
    <w:rsid w:val="00F71221"/>
    <w:rsid w:val="00F71F53"/>
    <w:rsid w:val="00F72524"/>
    <w:rsid w:val="00F72805"/>
    <w:rsid w:val="00F73967"/>
    <w:rsid w:val="00F74226"/>
    <w:rsid w:val="00F74281"/>
    <w:rsid w:val="00F76F3B"/>
    <w:rsid w:val="00F772C6"/>
    <w:rsid w:val="00F7799C"/>
    <w:rsid w:val="00F77F88"/>
    <w:rsid w:val="00F8131C"/>
    <w:rsid w:val="00F815D0"/>
    <w:rsid w:val="00F82C2F"/>
    <w:rsid w:val="00F8358E"/>
    <w:rsid w:val="00F836C1"/>
    <w:rsid w:val="00F838A8"/>
    <w:rsid w:val="00F84B88"/>
    <w:rsid w:val="00F8615D"/>
    <w:rsid w:val="00F86EE2"/>
    <w:rsid w:val="00F87873"/>
    <w:rsid w:val="00F87B4B"/>
    <w:rsid w:val="00F87C9D"/>
    <w:rsid w:val="00F90890"/>
    <w:rsid w:val="00F909D7"/>
    <w:rsid w:val="00F90BA5"/>
    <w:rsid w:val="00F91F04"/>
    <w:rsid w:val="00F92AB7"/>
    <w:rsid w:val="00F9311A"/>
    <w:rsid w:val="00F93505"/>
    <w:rsid w:val="00F9392A"/>
    <w:rsid w:val="00F95494"/>
    <w:rsid w:val="00F96086"/>
    <w:rsid w:val="00F972C1"/>
    <w:rsid w:val="00F97C70"/>
    <w:rsid w:val="00FA0245"/>
    <w:rsid w:val="00FA0F9D"/>
    <w:rsid w:val="00FA157A"/>
    <w:rsid w:val="00FA157E"/>
    <w:rsid w:val="00FA282B"/>
    <w:rsid w:val="00FA567D"/>
    <w:rsid w:val="00FA56AA"/>
    <w:rsid w:val="00FA592C"/>
    <w:rsid w:val="00FA5EE6"/>
    <w:rsid w:val="00FA5F19"/>
    <w:rsid w:val="00FA6C8C"/>
    <w:rsid w:val="00FA7569"/>
    <w:rsid w:val="00FA76A7"/>
    <w:rsid w:val="00FA7E9D"/>
    <w:rsid w:val="00FB0980"/>
    <w:rsid w:val="00FB17F6"/>
    <w:rsid w:val="00FB5E5E"/>
    <w:rsid w:val="00FB611E"/>
    <w:rsid w:val="00FB7317"/>
    <w:rsid w:val="00FB74E4"/>
    <w:rsid w:val="00FB758A"/>
    <w:rsid w:val="00FB7834"/>
    <w:rsid w:val="00FC0543"/>
    <w:rsid w:val="00FC0BCE"/>
    <w:rsid w:val="00FC1BC3"/>
    <w:rsid w:val="00FC1C92"/>
    <w:rsid w:val="00FC2871"/>
    <w:rsid w:val="00FC2F1E"/>
    <w:rsid w:val="00FC3265"/>
    <w:rsid w:val="00FC3608"/>
    <w:rsid w:val="00FC36D4"/>
    <w:rsid w:val="00FC36E7"/>
    <w:rsid w:val="00FC5780"/>
    <w:rsid w:val="00FC5C4D"/>
    <w:rsid w:val="00FC6242"/>
    <w:rsid w:val="00FC627C"/>
    <w:rsid w:val="00FC6E1C"/>
    <w:rsid w:val="00FC72DF"/>
    <w:rsid w:val="00FC7937"/>
    <w:rsid w:val="00FD00ED"/>
    <w:rsid w:val="00FD0557"/>
    <w:rsid w:val="00FD20B7"/>
    <w:rsid w:val="00FD216E"/>
    <w:rsid w:val="00FD28E4"/>
    <w:rsid w:val="00FD293B"/>
    <w:rsid w:val="00FD2AE7"/>
    <w:rsid w:val="00FD4B7F"/>
    <w:rsid w:val="00FD6889"/>
    <w:rsid w:val="00FD71DB"/>
    <w:rsid w:val="00FE099F"/>
    <w:rsid w:val="00FE24BF"/>
    <w:rsid w:val="00FE3CEB"/>
    <w:rsid w:val="00FE3D55"/>
    <w:rsid w:val="00FE45B2"/>
    <w:rsid w:val="00FE54EE"/>
    <w:rsid w:val="00FE55BA"/>
    <w:rsid w:val="00FE5E6F"/>
    <w:rsid w:val="00FE6BFD"/>
    <w:rsid w:val="00FE6C95"/>
    <w:rsid w:val="00FE754B"/>
    <w:rsid w:val="00FF10A1"/>
    <w:rsid w:val="00FF3392"/>
    <w:rsid w:val="00FF67CE"/>
    <w:rsid w:val="00FF6F3D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A12B84"/>
  <w15:chartTrackingRefBased/>
  <w15:docId w15:val="{23B86534-DDD6-4C8E-82E1-9D22F5B6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1F96"/>
  </w:style>
  <w:style w:type="paragraph" w:styleId="Nadpis1">
    <w:name w:val="heading 1"/>
    <w:basedOn w:val="Normln"/>
    <w:next w:val="Normln"/>
    <w:link w:val="Nadpis1Char"/>
    <w:qFormat/>
    <w:rsid w:val="004E5FE7"/>
    <w:pPr>
      <w:keepNext/>
      <w:keepLines/>
      <w:suppressAutoHyphens/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ascii="Arial Narrow" w:eastAsia="Times New Roman" w:hAnsi="Arial Narrow" w:cs="Times New Roman"/>
      <w:b/>
      <w:kern w:val="36"/>
      <w:sz w:val="36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11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916E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916EDC"/>
    <w:rPr>
      <w:sz w:val="20"/>
      <w:szCs w:val="20"/>
    </w:rPr>
  </w:style>
  <w:style w:type="character" w:styleId="Znakapoznpodarou">
    <w:name w:val="footnote reference"/>
    <w:aliases w:val="12 b.,Footnote,Footnote call,PGI Fußnote Ziffer,PGI Fußnote Ziffer + Times New Roman,Zúžené o ..."/>
    <w:basedOn w:val="Standardnpsmoodstavce"/>
    <w:uiPriority w:val="99"/>
    <w:rsid w:val="00916ED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08F"/>
  </w:style>
  <w:style w:type="paragraph" w:styleId="Zpat">
    <w:name w:val="footer"/>
    <w:basedOn w:val="Normln"/>
    <w:link w:val="ZpatChar"/>
    <w:uiPriority w:val="99"/>
    <w:unhideWhenUsed/>
    <w:rsid w:val="00C3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08F"/>
  </w:style>
  <w:style w:type="paragraph" w:styleId="Odstavecseseznamem">
    <w:name w:val="List Paragraph"/>
    <w:aliases w:val="List Paragraph1,List Paragraph2,List Paragraph_0,Literatura,Nad,Nad1,Nad2,Nadpis pro KZ,Odstavec_muj,Odstavec_muj1,Odstavec_muj10,Odstavec_muj2,Odstavec_muj3,Odstavec_muj4,Odstavec_muj5,Odstavec_muj6,Odstavec_muj7,nad 1,odrážky"/>
    <w:basedOn w:val="Normln"/>
    <w:link w:val="OdstavecseseznamemChar"/>
    <w:uiPriority w:val="34"/>
    <w:qFormat/>
    <w:rsid w:val="005436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unhideWhenUsed/>
    <w:rsid w:val="00AB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B7E3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25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3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3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385"/>
    <w:rPr>
      <w:b/>
      <w:bCs/>
      <w:sz w:val="20"/>
      <w:szCs w:val="20"/>
    </w:rPr>
  </w:style>
  <w:style w:type="paragraph" w:customStyle="1" w:styleId="Default">
    <w:name w:val="Default"/>
    <w:rsid w:val="009F3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E5FE7"/>
    <w:rPr>
      <w:rFonts w:ascii="Arial Narrow" w:eastAsia="Times New Roman" w:hAnsi="Arial Narrow" w:cs="Times New Roman"/>
      <w:b/>
      <w:kern w:val="36"/>
      <w:sz w:val="36"/>
      <w:szCs w:val="20"/>
      <w:lang w:eastAsia="cs-CZ"/>
    </w:rPr>
  </w:style>
  <w:style w:type="character" w:customStyle="1" w:styleId="OdstavecseseznamemChar">
    <w:name w:val="Odstavec se seznamem Char"/>
    <w:aliases w:val="List Paragraph1 Char,List Paragraph2 Char,List Paragraph_0 Char,Literatura Char,Nad Char,Nad1 Char,Nad2 Char,Nadpis pro KZ Char,Odstavec_muj Char,Odstavec_muj1 Char,Odstavec_muj10 Char,Odstavec_muj2 Char,Odstavec_muj3 Char"/>
    <w:basedOn w:val="Standardnpsmoodstavce"/>
    <w:link w:val="Odstavecseseznamem"/>
    <w:uiPriority w:val="99"/>
    <w:locked/>
    <w:rsid w:val="00260294"/>
  </w:style>
  <w:style w:type="character" w:customStyle="1" w:styleId="Nadpis8Char">
    <w:name w:val="Nadpis 8 Char"/>
    <w:basedOn w:val="Standardnpsmoodstavce"/>
    <w:link w:val="Nadpis8"/>
    <w:uiPriority w:val="99"/>
    <w:rsid w:val="007F11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1">
    <w:name w:val="Styl   1."/>
    <w:basedOn w:val="Normln"/>
    <w:qFormat/>
    <w:rsid w:val="00D06A0F"/>
    <w:pPr>
      <w:numPr>
        <w:numId w:val="1"/>
      </w:numPr>
      <w:spacing w:before="120" w:after="240" w:line="240" w:lineRule="auto"/>
      <w:jc w:val="both"/>
    </w:pPr>
    <w:rPr>
      <w:rFonts w:ascii="Arial" w:eastAsia="Calibri" w:hAnsi="Arial" w:cs="Arial"/>
      <w:lang w:eastAsia="cs-CZ"/>
    </w:rPr>
  </w:style>
  <w:style w:type="character" w:styleId="Siln">
    <w:name w:val="Strong"/>
    <w:basedOn w:val="Standardnpsmoodstavce"/>
    <w:uiPriority w:val="22"/>
    <w:qFormat/>
    <w:rsid w:val="00971EAD"/>
    <w:rPr>
      <w:b/>
      <w:bCs/>
    </w:rPr>
  </w:style>
  <w:style w:type="paragraph" w:customStyle="1" w:styleId="poznmkapodarou">
    <w:name w:val="poznámka pod čarou"/>
    <w:basedOn w:val="Normln"/>
    <w:uiPriority w:val="99"/>
    <w:rsid w:val="00F14560"/>
    <w:pPr>
      <w:spacing w:after="0" w:line="240" w:lineRule="auto"/>
      <w:ind w:left="284" w:hanging="284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D06A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06A3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l25">
    <w:name w:val="xl25"/>
    <w:basedOn w:val="Normln"/>
    <w:rsid w:val="00167251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cs-CZ"/>
    </w:rPr>
  </w:style>
  <w:style w:type="character" w:customStyle="1" w:styleId="Styl1-NzevmateriluChar">
    <w:name w:val="Styl1 - Název materiálu Char"/>
    <w:link w:val="Styl1-Nzevmaterilu"/>
    <w:locked/>
    <w:rsid w:val="006C5EB3"/>
    <w:rPr>
      <w:rFonts w:ascii="Arial" w:hAnsi="Arial" w:cs="Arial"/>
      <w:b/>
      <w:noProof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6C5EB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Cs w:val="24"/>
    </w:rPr>
  </w:style>
  <w:style w:type="paragraph" w:customStyle="1" w:styleId="CM4">
    <w:name w:val="CM4"/>
    <w:basedOn w:val="Default"/>
    <w:next w:val="Default"/>
    <w:uiPriority w:val="99"/>
    <w:rsid w:val="006C5EB3"/>
    <w:rPr>
      <w:rFonts w:ascii="EUAlbertina" w:hAnsi="EUAlbertina" w:cstheme="minorBidi"/>
      <w:color w:val="auto"/>
    </w:rPr>
  </w:style>
  <w:style w:type="character" w:styleId="Hypertextovodkaz">
    <w:name w:val="Hyperlink"/>
    <w:basedOn w:val="Standardnpsmoodstavce"/>
    <w:uiPriority w:val="99"/>
    <w:rsid w:val="008F77B0"/>
    <w:rPr>
      <w:rFonts w:cs="Times New Roman"/>
      <w:color w:val="0000FF"/>
      <w:u w:val="single"/>
    </w:rPr>
  </w:style>
  <w:style w:type="character" w:customStyle="1" w:styleId="Zkladntext">
    <w:name w:val="Základní text_"/>
    <w:basedOn w:val="Standardnpsmoodstavce"/>
    <w:link w:val="Zkladntext1"/>
    <w:rsid w:val="008F77B0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77B0"/>
    <w:pPr>
      <w:widowControl w:val="0"/>
      <w:shd w:val="clear" w:color="auto" w:fill="FFFFFF"/>
      <w:spacing w:after="100" w:line="252" w:lineRule="auto"/>
      <w:ind w:firstLine="400"/>
      <w:jc w:val="both"/>
    </w:pPr>
  </w:style>
  <w:style w:type="paragraph" w:styleId="Zkladntext3">
    <w:name w:val="Body Text 3"/>
    <w:basedOn w:val="Normln"/>
    <w:link w:val="Zkladntext3Char1"/>
    <w:uiPriority w:val="99"/>
    <w:rsid w:val="00667A0F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semiHidden/>
    <w:rsid w:val="00667A0F"/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locked/>
    <w:rsid w:val="00667A0F"/>
    <w:rPr>
      <w:rFonts w:ascii="Arial" w:eastAsia="Times New Roman" w:hAnsi="Arial" w:cs="Times New Roman"/>
      <w:sz w:val="16"/>
      <w:szCs w:val="16"/>
    </w:rPr>
  </w:style>
  <w:style w:type="character" w:customStyle="1" w:styleId="Nadpis4">
    <w:name w:val="Nadpis #4_"/>
    <w:basedOn w:val="Standardnpsmoodstavce"/>
    <w:link w:val="Nadpis40"/>
    <w:rsid w:val="00667A0F"/>
    <w:rPr>
      <w:b/>
      <w:bCs/>
      <w:shd w:val="clear" w:color="auto" w:fill="FFFFFF"/>
    </w:rPr>
  </w:style>
  <w:style w:type="paragraph" w:customStyle="1" w:styleId="Nadpis40">
    <w:name w:val="Nadpis #4"/>
    <w:basedOn w:val="Normln"/>
    <w:link w:val="Nadpis4"/>
    <w:rsid w:val="00667A0F"/>
    <w:pPr>
      <w:widowControl w:val="0"/>
      <w:shd w:val="clear" w:color="auto" w:fill="FFFFFF"/>
      <w:spacing w:after="100" w:line="230" w:lineRule="auto"/>
      <w:ind w:left="740" w:hanging="170"/>
      <w:jc w:val="both"/>
      <w:outlineLvl w:val="3"/>
    </w:pPr>
    <w:rPr>
      <w:b/>
      <w:bCs/>
    </w:rPr>
  </w:style>
  <w:style w:type="paragraph" w:customStyle="1" w:styleId="normlnblok">
    <w:name w:val="normální blok"/>
    <w:basedOn w:val="Normln"/>
    <w:uiPriority w:val="99"/>
    <w:rsid w:val="0008440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DSR">
    <w:name w:val="MDS ČR"/>
    <w:rsid w:val="00E07E1D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4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ffix">
    <w:name w:val="suffix"/>
    <w:basedOn w:val="Standardnpsmoodstavce"/>
    <w:rsid w:val="00435BB4"/>
  </w:style>
  <w:style w:type="character" w:customStyle="1" w:styleId="Jin">
    <w:name w:val="Jiné_"/>
    <w:basedOn w:val="Standardnpsmoodstavce"/>
    <w:link w:val="Jin0"/>
    <w:rsid w:val="001733E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Jin0">
    <w:name w:val="Jiné"/>
    <w:basedOn w:val="Normln"/>
    <w:link w:val="Jin"/>
    <w:rsid w:val="001733E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5"/>
      <w:szCs w:val="15"/>
    </w:rPr>
  </w:style>
  <w:style w:type="paragraph" w:customStyle="1" w:styleId="Pa7">
    <w:name w:val="Pa7"/>
    <w:basedOn w:val="Default"/>
    <w:next w:val="Default"/>
    <w:uiPriority w:val="99"/>
    <w:rsid w:val="000D4479"/>
    <w:pPr>
      <w:spacing w:line="161" w:lineRule="atLeast"/>
    </w:pPr>
    <w:rPr>
      <w:rFonts w:ascii="RePublic Book" w:hAnsi="RePublic Book" w:cstheme="minorBidi"/>
      <w:color w:val="auto"/>
    </w:rPr>
  </w:style>
  <w:style w:type="character" w:customStyle="1" w:styleId="ng-binding">
    <w:name w:val="ng-binding"/>
    <w:basedOn w:val="Standardnpsmoodstavce"/>
    <w:rsid w:val="002111C7"/>
  </w:style>
  <w:style w:type="table" w:styleId="Prosttabulka4">
    <w:name w:val="Plain Table 4"/>
    <w:basedOn w:val="Normlntabulka"/>
    <w:uiPriority w:val="44"/>
    <w:rsid w:val="00293B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93B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draznn">
    <w:name w:val="Emphasis"/>
    <w:basedOn w:val="Standardnpsmoodstavce"/>
    <w:uiPriority w:val="20"/>
    <w:qFormat/>
    <w:rsid w:val="008C346B"/>
    <w:rPr>
      <w:i/>
      <w:iCs/>
    </w:rPr>
  </w:style>
  <w:style w:type="character" w:customStyle="1" w:styleId="A1">
    <w:name w:val="A1"/>
    <w:uiPriority w:val="99"/>
    <w:rsid w:val="000840E8"/>
    <w:rPr>
      <w:color w:val="000000"/>
      <w:sz w:val="28"/>
      <w:szCs w:val="28"/>
    </w:rPr>
  </w:style>
  <w:style w:type="character" w:customStyle="1" w:styleId="A4">
    <w:name w:val="A4"/>
    <w:uiPriority w:val="99"/>
    <w:rsid w:val="000840E8"/>
    <w:rPr>
      <w:color w:val="000000"/>
      <w:sz w:val="60"/>
      <w:szCs w:val="60"/>
    </w:rPr>
  </w:style>
  <w:style w:type="character" w:customStyle="1" w:styleId="A5">
    <w:name w:val="A5"/>
    <w:uiPriority w:val="99"/>
    <w:rsid w:val="000840E8"/>
    <w:rPr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4595"/>
            </a:solidFill>
            <a:ln>
              <a:solidFill>
                <a:srgbClr val="00459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Vltava                            PK Praha-Smíchov</c:v>
                </c:pt>
                <c:pt idx="1">
                  <c:v>Vltava                            PK Hluboká n. V.</c:v>
                </c:pt>
                <c:pt idx="2">
                  <c:v>Labe                                  PK Roudnice n. L.</c:v>
                </c:pt>
                <c:pt idx="3">
                  <c:v>Labe                               PK Poděbrady</c:v>
                </c:pt>
                <c:pt idx="4">
                  <c:v>Baťův kanál                PK Vnorovy I</c:v>
                </c:pt>
                <c:pt idx="5">
                  <c:v>Baťův kanál                   PK Vnorovy II</c:v>
                </c:pt>
              </c:strCache>
            </c:strRef>
          </c:cat>
          <c:val>
            <c:numRef>
              <c:f>List1!$B$2:$B$7</c:f>
              <c:numCache>
                <c:formatCode>#,##0</c:formatCode>
                <c:ptCount val="6"/>
                <c:pt idx="0">
                  <c:v>24541</c:v>
                </c:pt>
                <c:pt idx="1">
                  <c:v>1247</c:v>
                </c:pt>
                <c:pt idx="2">
                  <c:v>1253</c:v>
                </c:pt>
                <c:pt idx="3">
                  <c:v>1488</c:v>
                </c:pt>
                <c:pt idx="4">
                  <c:v>4486</c:v>
                </c:pt>
                <c:pt idx="5">
                  <c:v>4436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24-4516-85E4-8F063463AA2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Vltava                            PK Praha-Smíchov</c:v>
                </c:pt>
                <c:pt idx="1">
                  <c:v>Vltava                            PK Hluboká n. V.</c:v>
                </c:pt>
                <c:pt idx="2">
                  <c:v>Labe                                  PK Roudnice n. L.</c:v>
                </c:pt>
                <c:pt idx="3">
                  <c:v>Labe                               PK Poděbrady</c:v>
                </c:pt>
                <c:pt idx="4">
                  <c:v>Baťův kanál                PK Vnorovy I</c:v>
                </c:pt>
                <c:pt idx="5">
                  <c:v>Baťův kanál                   PK Vnorovy II</c:v>
                </c:pt>
              </c:strCache>
            </c:strRef>
          </c:cat>
          <c:val>
            <c:numRef>
              <c:f>List1!$C$2:$C$7</c:f>
              <c:numCache>
                <c:formatCode>#,##0</c:formatCode>
                <c:ptCount val="6"/>
                <c:pt idx="0">
                  <c:v>20705</c:v>
                </c:pt>
                <c:pt idx="1">
                  <c:v>2710</c:v>
                </c:pt>
                <c:pt idx="2">
                  <c:v>1488</c:v>
                </c:pt>
                <c:pt idx="3">
                  <c:v>1418</c:v>
                </c:pt>
                <c:pt idx="4">
                  <c:v>5048</c:v>
                </c:pt>
                <c:pt idx="5">
                  <c:v>5005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24-4516-85E4-8F063463AA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9706928"/>
        <c:axId val="187737360"/>
      </c:barChart>
      <c:catAx>
        <c:axId val="20970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7737360"/>
        <c:crosses val="autoZero"/>
        <c:auto val="1"/>
        <c:lblAlgn val="ctr"/>
        <c:lblOffset val="100"/>
        <c:noMultiLvlLbl val="0"/>
      </c:catAx>
      <c:valAx>
        <c:axId val="1877373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0970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02F8-D079-4C69-BA0F-D2F32659E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F46A7-ECD1-4DA3-A5C3-C0C37B9B9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FA7A4-7A50-4AC0-B5BD-0A33090B2B60}">
  <ds:schemaRefs>
    <ds:schemaRef ds:uri="http://schemas.openxmlformats.org/package/2006/metadata/core-properties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900AF5-CFD0-4464-B59B-0C9896AF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8424</Words>
  <Characters>49703</Characters>
  <Application>Microsoft Office Word</Application>
  <DocSecurity>4</DocSecurity>
  <Lines>414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21/03 - Peněžní prostředky státu a Evropské unie určené na podporu rekreační plavby</dc:title>
  <dc:subject>Kontrolní závěr z kontrolní akce NKÚ č. 21/03 - Peněžní prostředky státu a Evropské unie určené na podporu rekreační plavby</dc:subject>
  <dc:creator>Nejvyšší kontrolní úřad</dc:creator>
  <cp:lastModifiedBy>KOKRDA Daniel</cp:lastModifiedBy>
  <cp:revision>2</cp:revision>
  <cp:lastPrinted>2022-02-22T10:15:00Z</cp:lastPrinted>
  <dcterms:created xsi:type="dcterms:W3CDTF">2022-02-28T11:23:00Z</dcterms:created>
  <dcterms:modified xsi:type="dcterms:W3CDTF">2022-02-28T11:23:00Z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20/11-NKU30/107/21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510/144/19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0x0101002F7A625AE9F5AB4A939F92BCAA7FEC02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12.2.2021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&lt;TABLE&gt;&lt;TR&gt;&lt;TD&gt;Č.j.:&lt;/TD&gt;&lt;TD&gt;20/11-NKU30/107/21&lt;/TD&gt;&lt;/TR&gt;&lt;TR&gt;&lt;TD&gt;&lt;/TD&gt;&lt;TD&gt;&lt;/TD&gt;&lt;/TR&gt;&lt;/TABLE&gt;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Členové Úřadu</vt:lpwstr>
  </property>
  <property fmtid="{D5CDD505-2E9C-101B-9397-08002B2CF9AE}" pid="17" name="DisplayName_UserPoriz_Pisemnost">
    <vt:lpwstr>Bc. Monika Hoffmannová, DiS.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21-2219/NKU</vt:lpwstr>
  </property>
  <property fmtid="{D5CDD505-2E9C-101B-9397-08002B2CF9AE}" pid="20" name="Key_BarCode_Pisemnost">
    <vt:lpwstr>*B000380714*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21-2219/NKU</vt:lpwstr>
  </property>
  <property fmtid="{D5CDD505-2E9C-101B-9397-08002B2CF9AE}" pid="34" name="RC">
    <vt:lpwstr/>
  </property>
  <property fmtid="{D5CDD505-2E9C-101B-9397-08002B2CF9AE}" pid="35" name="SkartacniZnakLhuta_PisemnostZnak">
    <vt:lpwstr>?/?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20/11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Návrh kontrolního závěru č. 20/11 do připomínek</vt:lpwstr>
  </property>
  <property fmtid="{D5CDD505-2E9C-101B-9397-08002B2CF9AE}" pid="42" name="Zkratka_SpisovyUzel_PoziceZodpo_Pisemnost">
    <vt:lpwstr>30</vt:lpwstr>
  </property>
</Properties>
</file>