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13" w:rsidRDefault="002C761F" w:rsidP="00187C89">
      <w:pPr>
        <w:jc w:val="center"/>
        <w:rPr>
          <w:rFonts w:cs="Calibri"/>
          <w:color w:val="000000"/>
        </w:rPr>
      </w:pPr>
      <w:r>
        <w:rPr>
          <w:noProof/>
        </w:rPr>
        <w:drawing>
          <wp:anchor distT="0" distB="0" distL="114300" distR="114300" simplePos="0" relativeHeight="251658240" behindDoc="0" locked="0" layoutInCell="1" allowOverlap="1">
            <wp:simplePos x="0" y="0"/>
            <wp:positionH relativeFrom="column">
              <wp:posOffset>2480310</wp:posOffset>
            </wp:positionH>
            <wp:positionV relativeFrom="paragraph">
              <wp:posOffset>8255</wp:posOffset>
            </wp:positionV>
            <wp:extent cx="791210" cy="559435"/>
            <wp:effectExtent l="0" t="0" r="8890" b="0"/>
            <wp:wrapTopAndBottom/>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301971" name="obrázek 2" descr="NKU_LOGO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3BB" w:rsidRPr="0021043F" w:rsidRDefault="00A753BB" w:rsidP="00187C89">
      <w:pPr>
        <w:jc w:val="center"/>
        <w:rPr>
          <w:rFonts w:cs="Calibri"/>
          <w:color w:val="000000"/>
        </w:rPr>
      </w:pPr>
    </w:p>
    <w:p w:rsidR="00246D13" w:rsidRPr="0021043F" w:rsidRDefault="00246D13" w:rsidP="00246D13">
      <w:pPr>
        <w:jc w:val="center"/>
        <w:rPr>
          <w:rFonts w:cs="Calibri"/>
          <w:color w:val="000000"/>
        </w:rPr>
      </w:pPr>
    </w:p>
    <w:p w:rsidR="00246D13" w:rsidRPr="0021043F" w:rsidRDefault="002C761F" w:rsidP="00246D13">
      <w:pPr>
        <w:pStyle w:val="Nadpis8"/>
        <w:keepNext w:val="0"/>
        <w:rPr>
          <w:rFonts w:cs="Calibri"/>
          <w:color w:val="000000"/>
          <w:sz w:val="28"/>
          <w:szCs w:val="28"/>
        </w:rPr>
      </w:pPr>
      <w:bookmarkStart w:id="0" w:name="_GoBack"/>
      <w:r w:rsidRPr="0021043F">
        <w:rPr>
          <w:rFonts w:cs="Calibri"/>
          <w:color w:val="000000"/>
          <w:sz w:val="28"/>
          <w:szCs w:val="28"/>
        </w:rPr>
        <w:t>Kontrolní závěr z kontrolní akce</w:t>
      </w:r>
    </w:p>
    <w:p w:rsidR="00246D13" w:rsidRPr="0021043F" w:rsidRDefault="00246D13" w:rsidP="00246D13">
      <w:pPr>
        <w:jc w:val="center"/>
        <w:rPr>
          <w:rFonts w:cs="Calibri"/>
          <w:color w:val="000000"/>
        </w:rPr>
      </w:pPr>
    </w:p>
    <w:p w:rsidR="00246D13" w:rsidRPr="0021043F" w:rsidRDefault="002C761F" w:rsidP="00246D13">
      <w:pPr>
        <w:pStyle w:val="Nadpis8"/>
        <w:keepNext w:val="0"/>
        <w:rPr>
          <w:rFonts w:cs="Calibri"/>
          <w:color w:val="000000"/>
          <w:sz w:val="28"/>
          <w:szCs w:val="28"/>
        </w:rPr>
      </w:pPr>
      <w:r>
        <w:rPr>
          <w:rFonts w:cs="Calibri"/>
          <w:color w:val="000000"/>
          <w:sz w:val="28"/>
          <w:szCs w:val="28"/>
        </w:rPr>
        <w:t>21</w:t>
      </w:r>
      <w:r w:rsidR="000C3B84">
        <w:rPr>
          <w:rFonts w:cs="Calibri"/>
          <w:color w:val="000000"/>
          <w:sz w:val="28"/>
          <w:szCs w:val="28"/>
        </w:rPr>
        <w:t>/</w:t>
      </w:r>
      <w:r>
        <w:rPr>
          <w:rFonts w:cs="Calibri"/>
          <w:color w:val="000000"/>
          <w:sz w:val="28"/>
          <w:szCs w:val="28"/>
        </w:rPr>
        <w:t>17</w:t>
      </w:r>
    </w:p>
    <w:p w:rsidR="00246D13" w:rsidRPr="0021043F" w:rsidRDefault="00246D13" w:rsidP="00246D13">
      <w:pPr>
        <w:jc w:val="center"/>
        <w:rPr>
          <w:rFonts w:cs="Calibri"/>
          <w:color w:val="000000"/>
        </w:rPr>
      </w:pPr>
    </w:p>
    <w:p w:rsidR="0056765E" w:rsidRPr="0021043F" w:rsidRDefault="002C761F" w:rsidP="0056765E">
      <w:pPr>
        <w:jc w:val="center"/>
        <w:rPr>
          <w:rFonts w:cs="Calibri"/>
          <w:color w:val="000000"/>
        </w:rPr>
      </w:pPr>
      <w:r w:rsidRPr="000E3367">
        <w:rPr>
          <w:rFonts w:ascii="Calibri" w:hAnsi="Calibri" w:cs="Calibri"/>
          <w:b/>
          <w:color w:val="000000"/>
          <w:sz w:val="28"/>
        </w:rPr>
        <w:t>Peněžní prostředky státního rozpočtu a Evropské unie určené na humanizaci psychiatrické péče</w:t>
      </w:r>
    </w:p>
    <w:bookmarkEnd w:id="0"/>
    <w:p w:rsidR="0056765E" w:rsidRPr="0021043F" w:rsidRDefault="0056765E" w:rsidP="0056765E">
      <w:pPr>
        <w:rPr>
          <w:rFonts w:cs="Calibri"/>
          <w:color w:val="000000"/>
        </w:rPr>
      </w:pPr>
    </w:p>
    <w:p w:rsidR="0056765E" w:rsidRPr="00B87767" w:rsidRDefault="002C761F" w:rsidP="0056765E">
      <w:pPr>
        <w:spacing w:after="240"/>
        <w:jc w:val="both"/>
        <w:rPr>
          <w:rFonts w:ascii="Calibri" w:hAnsi="Calibri" w:cs="Calibri"/>
        </w:rPr>
      </w:pPr>
      <w:r w:rsidRPr="00BE2CEF">
        <w:rPr>
          <w:rFonts w:asciiTheme="minorHAnsi" w:hAnsiTheme="minorHAnsi" w:cs="Calibri"/>
          <w:color w:val="000000"/>
          <w:sz w:val="24"/>
          <w:szCs w:val="24"/>
        </w:rPr>
        <w:t>Kontrolní akce byla zařazena do plánu kontrolní činnosti Nejvyššího kontrolního úřadu (dále také „NKÚ“) na rok 20</w:t>
      </w:r>
      <w:r>
        <w:rPr>
          <w:rFonts w:asciiTheme="minorHAnsi" w:hAnsiTheme="minorHAnsi" w:cs="Calibri"/>
          <w:color w:val="000000"/>
          <w:sz w:val="24"/>
          <w:szCs w:val="24"/>
        </w:rPr>
        <w:t>21</w:t>
      </w:r>
      <w:r w:rsidRPr="00BE2CEF">
        <w:rPr>
          <w:rFonts w:asciiTheme="minorHAnsi" w:hAnsiTheme="minorHAnsi" w:cs="Calibri"/>
          <w:color w:val="000000"/>
          <w:sz w:val="24"/>
          <w:szCs w:val="24"/>
        </w:rPr>
        <w:t xml:space="preserve"> pod číslem </w:t>
      </w:r>
      <w:r>
        <w:rPr>
          <w:rFonts w:asciiTheme="minorHAnsi" w:hAnsiTheme="minorHAnsi" w:cs="Calibri"/>
          <w:color w:val="000000"/>
          <w:sz w:val="24"/>
          <w:szCs w:val="24"/>
        </w:rPr>
        <w:t>21/17</w:t>
      </w:r>
      <w:r w:rsidRPr="00BE2CEF">
        <w:rPr>
          <w:rFonts w:asciiTheme="minorHAnsi" w:hAnsiTheme="minorHAnsi" w:cs="Calibri"/>
          <w:color w:val="000000"/>
          <w:sz w:val="24"/>
          <w:szCs w:val="24"/>
        </w:rPr>
        <w:t>. Kontrolní akci řídil</w:t>
      </w:r>
      <w:r>
        <w:rPr>
          <w:rFonts w:ascii="Calibri" w:hAnsi="Calibri" w:cs="Calibri"/>
          <w:color w:val="000000"/>
          <w:sz w:val="24"/>
          <w:szCs w:val="24"/>
        </w:rPr>
        <w:t xml:space="preserve"> </w:t>
      </w:r>
      <w:r w:rsidRPr="00BE2CEF">
        <w:rPr>
          <w:rFonts w:asciiTheme="minorHAnsi" w:hAnsiTheme="minorHAnsi" w:cs="Calibri"/>
          <w:color w:val="000000"/>
          <w:sz w:val="24"/>
          <w:szCs w:val="24"/>
        </w:rPr>
        <w:t xml:space="preserve">a kontrolní závěr vypracoval člen NKÚ Ing. </w:t>
      </w:r>
      <w:r>
        <w:rPr>
          <w:rFonts w:asciiTheme="minorHAnsi" w:hAnsiTheme="minorHAnsi" w:cs="Calibri"/>
          <w:color w:val="000000"/>
          <w:sz w:val="24"/>
          <w:szCs w:val="24"/>
        </w:rPr>
        <w:t>Adolf Beznoska.</w:t>
      </w:r>
    </w:p>
    <w:p w:rsidR="0056765E" w:rsidRDefault="002C761F" w:rsidP="0056765E">
      <w:pPr>
        <w:spacing w:after="240"/>
        <w:jc w:val="both"/>
        <w:rPr>
          <w:rFonts w:ascii="Calibri" w:hAnsi="Calibri" w:cs="Calibri"/>
          <w:sz w:val="24"/>
          <w:szCs w:val="24"/>
        </w:rPr>
      </w:pPr>
      <w:r w:rsidRPr="00BE2CEF">
        <w:rPr>
          <w:rFonts w:asciiTheme="minorHAnsi" w:hAnsiTheme="minorHAnsi" w:cs="Calibri"/>
          <w:sz w:val="24"/>
          <w:szCs w:val="24"/>
        </w:rPr>
        <w:t xml:space="preserve">Cílem kontrolní akce bylo </w:t>
      </w:r>
      <w:r>
        <w:rPr>
          <w:rFonts w:asciiTheme="minorHAnsi" w:hAnsiTheme="minorHAnsi" w:cs="Calibri"/>
          <w:sz w:val="24"/>
          <w:szCs w:val="24"/>
        </w:rPr>
        <w:t>p</w:t>
      </w:r>
      <w:r w:rsidRPr="00280F15">
        <w:rPr>
          <w:rFonts w:asciiTheme="minorHAnsi" w:hAnsiTheme="minorHAnsi" w:cs="Calibri"/>
          <w:sz w:val="24"/>
          <w:szCs w:val="24"/>
        </w:rPr>
        <w:t>rověřit, zda peněžní prostředky státního rozpočtu a Evropské unie určené na humanizaci psychiatrické péče byly poskytovány a čerpány účelně, hospodárně a</w:t>
      </w:r>
      <w:r w:rsidR="008B1579">
        <w:rPr>
          <w:rFonts w:asciiTheme="minorHAnsi" w:hAnsiTheme="minorHAnsi" w:cs="Calibri"/>
          <w:sz w:val="24"/>
          <w:szCs w:val="24"/>
        </w:rPr>
        <w:t> </w:t>
      </w:r>
      <w:r w:rsidRPr="00280F15">
        <w:rPr>
          <w:rFonts w:asciiTheme="minorHAnsi" w:hAnsiTheme="minorHAnsi" w:cs="Calibri"/>
          <w:sz w:val="24"/>
          <w:szCs w:val="24"/>
        </w:rPr>
        <w:t>v</w:t>
      </w:r>
      <w:r w:rsidR="008B1579">
        <w:rPr>
          <w:rFonts w:asciiTheme="minorHAnsi" w:hAnsiTheme="minorHAnsi" w:cs="Calibri"/>
          <w:sz w:val="24"/>
          <w:szCs w:val="24"/>
        </w:rPr>
        <w:t> </w:t>
      </w:r>
      <w:r w:rsidRPr="00280F15">
        <w:rPr>
          <w:rFonts w:asciiTheme="minorHAnsi" w:hAnsiTheme="minorHAnsi" w:cs="Calibri"/>
          <w:sz w:val="24"/>
          <w:szCs w:val="24"/>
        </w:rPr>
        <w:t>souladu s právními předpisy</w:t>
      </w:r>
      <w:r>
        <w:rPr>
          <w:rFonts w:asciiTheme="minorHAnsi" w:hAnsiTheme="minorHAnsi" w:cs="Calibri"/>
          <w:sz w:val="24"/>
          <w:szCs w:val="24"/>
        </w:rPr>
        <w:t>.</w:t>
      </w:r>
    </w:p>
    <w:p w:rsidR="0056765E" w:rsidRPr="00BE2CEF" w:rsidRDefault="002C761F" w:rsidP="0056765E">
      <w:pPr>
        <w:rPr>
          <w:rFonts w:asciiTheme="minorHAnsi" w:hAnsiTheme="minorHAnsi" w:cs="Calibri"/>
          <w:color w:val="000000"/>
          <w:sz w:val="24"/>
          <w:szCs w:val="24"/>
        </w:rPr>
      </w:pPr>
      <w:r w:rsidRPr="00BE2CEF">
        <w:rPr>
          <w:rFonts w:asciiTheme="minorHAnsi" w:hAnsiTheme="minorHAnsi" w:cs="Calibri"/>
          <w:color w:val="000000"/>
          <w:sz w:val="24"/>
          <w:szCs w:val="24"/>
        </w:rPr>
        <w:t>Kontrola byla prováděna u kontrolovan</w:t>
      </w:r>
      <w:r>
        <w:rPr>
          <w:rFonts w:asciiTheme="minorHAnsi" w:hAnsiTheme="minorHAnsi" w:cs="Calibri"/>
          <w:color w:val="000000"/>
          <w:sz w:val="24"/>
          <w:szCs w:val="24"/>
        </w:rPr>
        <w:t xml:space="preserve">ých </w:t>
      </w:r>
      <w:r w:rsidRPr="00BE2CEF">
        <w:rPr>
          <w:rFonts w:asciiTheme="minorHAnsi" w:hAnsiTheme="minorHAnsi" w:cs="Calibri"/>
          <w:color w:val="000000"/>
          <w:sz w:val="24"/>
          <w:szCs w:val="24"/>
        </w:rPr>
        <w:t xml:space="preserve">osob v době od </w:t>
      </w:r>
      <w:r>
        <w:rPr>
          <w:rFonts w:asciiTheme="minorHAnsi" w:hAnsiTheme="minorHAnsi" w:cs="Calibri"/>
          <w:color w:val="000000"/>
          <w:sz w:val="24"/>
          <w:szCs w:val="24"/>
        </w:rPr>
        <w:t>května 2021 do února 2022.</w:t>
      </w:r>
      <w:r w:rsidRPr="00BE2CEF">
        <w:rPr>
          <w:rFonts w:asciiTheme="minorHAnsi" w:hAnsiTheme="minorHAnsi" w:cs="Calibri"/>
          <w:color w:val="000000"/>
          <w:sz w:val="24"/>
          <w:szCs w:val="24"/>
        </w:rPr>
        <w:t xml:space="preserve"> </w:t>
      </w:r>
    </w:p>
    <w:p w:rsidR="0056765E" w:rsidRPr="00BE2CEF" w:rsidRDefault="0056765E" w:rsidP="0056765E">
      <w:pPr>
        <w:rPr>
          <w:rFonts w:asciiTheme="minorHAnsi" w:hAnsiTheme="minorHAnsi" w:cs="Calibri"/>
          <w:color w:val="000000"/>
          <w:sz w:val="24"/>
          <w:szCs w:val="24"/>
        </w:rPr>
      </w:pPr>
    </w:p>
    <w:p w:rsidR="0056765E" w:rsidRPr="00BE2CEF" w:rsidRDefault="002C761F" w:rsidP="0056765E">
      <w:pPr>
        <w:jc w:val="both"/>
        <w:rPr>
          <w:rFonts w:asciiTheme="minorHAnsi" w:hAnsiTheme="minorHAnsi" w:cs="Calibri"/>
          <w:color w:val="000000"/>
          <w:sz w:val="24"/>
          <w:szCs w:val="24"/>
        </w:rPr>
      </w:pPr>
      <w:r w:rsidRPr="00BE2CEF">
        <w:rPr>
          <w:rFonts w:asciiTheme="minorHAnsi" w:hAnsiTheme="minorHAnsi" w:cs="Calibri"/>
          <w:color w:val="000000"/>
          <w:sz w:val="24"/>
          <w:szCs w:val="24"/>
        </w:rPr>
        <w:t>Kontrolovaným obdobím byly roky 201</w:t>
      </w:r>
      <w:r>
        <w:rPr>
          <w:rFonts w:asciiTheme="minorHAnsi" w:hAnsiTheme="minorHAnsi" w:cs="Calibri"/>
          <w:color w:val="000000"/>
          <w:sz w:val="24"/>
          <w:szCs w:val="24"/>
        </w:rPr>
        <w:t>6</w:t>
      </w:r>
      <w:r w:rsidR="00A97374">
        <w:rPr>
          <w:rFonts w:asciiTheme="minorHAnsi" w:hAnsiTheme="minorHAnsi" w:cs="Calibri"/>
          <w:color w:val="000000"/>
          <w:sz w:val="24"/>
          <w:szCs w:val="24"/>
        </w:rPr>
        <w:t>–</w:t>
      </w:r>
      <w:r w:rsidRPr="00BE2CEF">
        <w:rPr>
          <w:rFonts w:asciiTheme="minorHAnsi" w:hAnsiTheme="minorHAnsi" w:cs="Calibri"/>
          <w:color w:val="000000"/>
          <w:sz w:val="24"/>
          <w:szCs w:val="24"/>
        </w:rPr>
        <w:t>20</w:t>
      </w:r>
      <w:r>
        <w:rPr>
          <w:rFonts w:asciiTheme="minorHAnsi" w:hAnsiTheme="minorHAnsi" w:cs="Calibri"/>
          <w:color w:val="000000"/>
          <w:sz w:val="24"/>
          <w:szCs w:val="24"/>
        </w:rPr>
        <w:t>20</w:t>
      </w:r>
      <w:r w:rsidRPr="00BE2CEF">
        <w:rPr>
          <w:rFonts w:asciiTheme="minorHAnsi" w:hAnsiTheme="minorHAnsi" w:cs="Calibri"/>
          <w:color w:val="000000"/>
          <w:sz w:val="24"/>
          <w:szCs w:val="24"/>
        </w:rPr>
        <w:t>, v případě věcných souvislostí i období předchozí a období následující.</w:t>
      </w:r>
    </w:p>
    <w:p w:rsidR="0056765E" w:rsidRPr="00BE2CEF" w:rsidRDefault="0056765E" w:rsidP="0056765E">
      <w:pPr>
        <w:rPr>
          <w:rFonts w:asciiTheme="minorHAnsi" w:hAnsiTheme="minorHAnsi" w:cs="Calibri"/>
          <w:color w:val="000000"/>
          <w:sz w:val="24"/>
          <w:szCs w:val="24"/>
        </w:rPr>
      </w:pPr>
    </w:p>
    <w:p w:rsidR="0056765E" w:rsidRPr="00BE2CEF" w:rsidRDefault="002C761F" w:rsidP="0056765E">
      <w:pPr>
        <w:rPr>
          <w:rFonts w:asciiTheme="minorHAnsi" w:hAnsiTheme="minorHAnsi" w:cs="Calibri"/>
          <w:color w:val="000000"/>
          <w:sz w:val="24"/>
          <w:szCs w:val="24"/>
        </w:rPr>
      </w:pPr>
      <w:r>
        <w:rPr>
          <w:rFonts w:asciiTheme="minorHAnsi" w:hAnsiTheme="minorHAnsi" w:cs="Calibri"/>
          <w:color w:val="000000"/>
          <w:sz w:val="24"/>
          <w:szCs w:val="24"/>
        </w:rPr>
        <w:t>Kontrolované</w:t>
      </w:r>
      <w:r w:rsidRPr="00BE2CEF">
        <w:rPr>
          <w:rFonts w:asciiTheme="minorHAnsi" w:hAnsiTheme="minorHAnsi" w:cs="Calibri"/>
          <w:color w:val="000000"/>
          <w:sz w:val="24"/>
          <w:szCs w:val="24"/>
        </w:rPr>
        <w:t xml:space="preserve"> osob</w:t>
      </w:r>
      <w:r>
        <w:rPr>
          <w:rFonts w:asciiTheme="minorHAnsi" w:hAnsiTheme="minorHAnsi" w:cs="Calibri"/>
          <w:color w:val="000000"/>
          <w:sz w:val="24"/>
          <w:szCs w:val="24"/>
        </w:rPr>
        <w:t>y</w:t>
      </w:r>
      <w:r w:rsidRPr="00BE2CEF">
        <w:rPr>
          <w:rFonts w:asciiTheme="minorHAnsi" w:hAnsiTheme="minorHAnsi" w:cs="Calibri"/>
          <w:color w:val="000000"/>
          <w:sz w:val="24"/>
          <w:szCs w:val="24"/>
        </w:rPr>
        <w:t xml:space="preserve">: </w:t>
      </w:r>
    </w:p>
    <w:p w:rsidR="0056765E" w:rsidRDefault="002C761F" w:rsidP="0056765E">
      <w:pPr>
        <w:pStyle w:val="Zkladntext"/>
        <w:rPr>
          <w:rFonts w:cs="Calibri"/>
          <w:b w:val="0"/>
          <w:bCs w:val="0"/>
          <w:color w:val="000000"/>
          <w:sz w:val="24"/>
          <w:szCs w:val="24"/>
        </w:rPr>
      </w:pPr>
      <w:r>
        <w:rPr>
          <w:rFonts w:cs="Calibri"/>
          <w:b w:val="0"/>
          <w:bCs w:val="0"/>
          <w:color w:val="000000"/>
          <w:sz w:val="24"/>
          <w:szCs w:val="24"/>
        </w:rPr>
        <w:t>Ministerstvo zdravotnictví</w:t>
      </w:r>
      <w:r w:rsidR="00441C17">
        <w:rPr>
          <w:rFonts w:cs="Calibri"/>
          <w:b w:val="0"/>
          <w:bCs w:val="0"/>
          <w:color w:val="000000"/>
          <w:sz w:val="24"/>
          <w:szCs w:val="24"/>
        </w:rPr>
        <w:t xml:space="preserve"> </w:t>
      </w:r>
      <w:r>
        <w:rPr>
          <w:rFonts w:cs="Calibri"/>
          <w:b w:val="0"/>
          <w:bCs w:val="0"/>
          <w:color w:val="000000"/>
          <w:sz w:val="24"/>
          <w:szCs w:val="24"/>
        </w:rPr>
        <w:t>(dále také „</w:t>
      </w:r>
      <w:proofErr w:type="spellStart"/>
      <w:r>
        <w:rPr>
          <w:rFonts w:cs="Calibri"/>
          <w:b w:val="0"/>
          <w:bCs w:val="0"/>
          <w:color w:val="000000"/>
          <w:sz w:val="24"/>
          <w:szCs w:val="24"/>
        </w:rPr>
        <w:t>MZd</w:t>
      </w:r>
      <w:proofErr w:type="spellEnd"/>
      <w:r>
        <w:rPr>
          <w:rFonts w:cs="Calibri"/>
          <w:b w:val="0"/>
          <w:bCs w:val="0"/>
          <w:color w:val="000000"/>
          <w:sz w:val="24"/>
          <w:szCs w:val="24"/>
        </w:rPr>
        <w:t>“);</w:t>
      </w:r>
    </w:p>
    <w:p w:rsidR="0056765E" w:rsidRDefault="002C761F" w:rsidP="0056765E">
      <w:pPr>
        <w:pStyle w:val="Zkladntext"/>
        <w:rPr>
          <w:rFonts w:cs="Calibri"/>
          <w:b w:val="0"/>
          <w:bCs w:val="0"/>
          <w:color w:val="000000"/>
          <w:sz w:val="24"/>
          <w:szCs w:val="24"/>
        </w:rPr>
      </w:pPr>
      <w:r>
        <w:rPr>
          <w:rFonts w:cs="Calibri"/>
          <w:b w:val="0"/>
          <w:bCs w:val="0"/>
          <w:color w:val="000000"/>
          <w:sz w:val="24"/>
          <w:szCs w:val="24"/>
        </w:rPr>
        <w:t>Ministerstvo pro místní rozvoj (dále také „MMR“);</w:t>
      </w:r>
    </w:p>
    <w:p w:rsidR="0056765E" w:rsidRDefault="002C761F" w:rsidP="0056765E">
      <w:pPr>
        <w:pStyle w:val="Zkladntext"/>
        <w:rPr>
          <w:rFonts w:cs="Calibri"/>
          <w:b w:val="0"/>
          <w:bCs w:val="0"/>
          <w:color w:val="000000"/>
          <w:sz w:val="24"/>
          <w:szCs w:val="24"/>
        </w:rPr>
      </w:pPr>
      <w:r>
        <w:rPr>
          <w:rFonts w:cs="Calibri"/>
          <w:b w:val="0"/>
          <w:bCs w:val="0"/>
          <w:color w:val="000000"/>
          <w:sz w:val="24"/>
          <w:szCs w:val="24"/>
        </w:rPr>
        <w:t>Fakultní nemocnice Ostrava</w:t>
      </w:r>
      <w:r w:rsidR="00441C17">
        <w:rPr>
          <w:rFonts w:cs="Calibri"/>
          <w:b w:val="0"/>
          <w:bCs w:val="0"/>
          <w:color w:val="000000"/>
          <w:sz w:val="24"/>
          <w:szCs w:val="24"/>
        </w:rPr>
        <w:t xml:space="preserve"> (</w:t>
      </w:r>
      <w:r w:rsidR="00814E06">
        <w:rPr>
          <w:rFonts w:cs="Calibri"/>
          <w:b w:val="0"/>
          <w:bCs w:val="0"/>
          <w:color w:val="000000"/>
          <w:sz w:val="24"/>
          <w:szCs w:val="24"/>
        </w:rPr>
        <w:t xml:space="preserve">dále také </w:t>
      </w:r>
      <w:r>
        <w:rPr>
          <w:rFonts w:cs="Calibri"/>
          <w:b w:val="0"/>
          <w:bCs w:val="0"/>
          <w:color w:val="000000"/>
          <w:sz w:val="24"/>
          <w:szCs w:val="24"/>
        </w:rPr>
        <w:t>„FN Ostrava“);</w:t>
      </w:r>
    </w:p>
    <w:p w:rsidR="0056765E" w:rsidRDefault="002C761F" w:rsidP="0056765E">
      <w:pPr>
        <w:pStyle w:val="Zkladntext"/>
        <w:rPr>
          <w:rFonts w:cs="Calibri"/>
          <w:b w:val="0"/>
          <w:bCs w:val="0"/>
          <w:color w:val="000000"/>
          <w:sz w:val="24"/>
          <w:szCs w:val="24"/>
        </w:rPr>
      </w:pPr>
      <w:r>
        <w:rPr>
          <w:rFonts w:cs="Calibri"/>
          <w:b w:val="0"/>
          <w:bCs w:val="0"/>
          <w:color w:val="000000"/>
          <w:sz w:val="24"/>
          <w:szCs w:val="24"/>
        </w:rPr>
        <w:t>Fakultní nemocnice Brno</w:t>
      </w:r>
      <w:r w:rsidR="00441C17">
        <w:rPr>
          <w:rFonts w:cs="Calibri"/>
          <w:b w:val="0"/>
          <w:bCs w:val="0"/>
          <w:color w:val="000000"/>
          <w:sz w:val="24"/>
          <w:szCs w:val="24"/>
        </w:rPr>
        <w:t xml:space="preserve"> </w:t>
      </w:r>
      <w:r>
        <w:rPr>
          <w:rFonts w:cs="Calibri"/>
          <w:b w:val="0"/>
          <w:bCs w:val="0"/>
          <w:color w:val="000000"/>
          <w:sz w:val="24"/>
          <w:szCs w:val="24"/>
        </w:rPr>
        <w:t>(dále také „FN Brno“)</w:t>
      </w:r>
      <w:r w:rsidR="00441C17">
        <w:rPr>
          <w:rFonts w:cs="Calibri"/>
          <w:b w:val="0"/>
          <w:bCs w:val="0"/>
          <w:color w:val="000000"/>
          <w:sz w:val="24"/>
          <w:szCs w:val="24"/>
        </w:rPr>
        <w:t>.</w:t>
      </w:r>
    </w:p>
    <w:p w:rsidR="0056765E" w:rsidRDefault="0056765E" w:rsidP="0056765E">
      <w:pPr>
        <w:pStyle w:val="Zkladntext"/>
        <w:rPr>
          <w:rFonts w:cs="Calibri"/>
          <w:b w:val="0"/>
          <w:bCs w:val="0"/>
          <w:color w:val="000000"/>
          <w:sz w:val="24"/>
          <w:szCs w:val="24"/>
        </w:rPr>
      </w:pPr>
    </w:p>
    <w:p w:rsidR="0056765E" w:rsidRPr="00BE2CEF" w:rsidRDefault="0056765E" w:rsidP="0056765E">
      <w:pPr>
        <w:pStyle w:val="Zkladntext"/>
        <w:rPr>
          <w:rFonts w:cs="Calibri"/>
          <w:b w:val="0"/>
          <w:bCs w:val="0"/>
          <w:color w:val="000000"/>
          <w:sz w:val="24"/>
          <w:szCs w:val="24"/>
        </w:rPr>
      </w:pPr>
    </w:p>
    <w:p w:rsidR="0056765E" w:rsidRPr="00BE2CEF" w:rsidRDefault="002C761F" w:rsidP="0056765E">
      <w:pPr>
        <w:pStyle w:val="Zkladntext"/>
        <w:spacing w:after="120"/>
        <w:rPr>
          <w:rFonts w:asciiTheme="minorHAnsi" w:hAnsiTheme="minorHAnsi" w:cs="Calibri"/>
          <w:b w:val="0"/>
          <w:bCs w:val="0"/>
          <w:color w:val="000000"/>
          <w:sz w:val="24"/>
          <w:szCs w:val="24"/>
        </w:rPr>
      </w:pPr>
      <w:r w:rsidRPr="00BE2CEF">
        <w:rPr>
          <w:rFonts w:asciiTheme="minorHAnsi" w:hAnsiTheme="minorHAnsi" w:cs="Calibri"/>
          <w:i/>
          <w:iCs/>
          <w:color w:val="000000"/>
          <w:sz w:val="24"/>
          <w:szCs w:val="24"/>
        </w:rPr>
        <w:t>K o l e g i u m   N K Ú</w:t>
      </w:r>
      <w:r w:rsidRPr="00BE2CEF">
        <w:rPr>
          <w:rFonts w:asciiTheme="minorHAnsi" w:hAnsiTheme="minorHAnsi" w:cs="Calibri"/>
          <w:b w:val="0"/>
          <w:i/>
          <w:iCs/>
          <w:color w:val="000000"/>
          <w:sz w:val="24"/>
          <w:szCs w:val="24"/>
        </w:rPr>
        <w:t xml:space="preserve">   </w:t>
      </w:r>
      <w:r w:rsidRPr="00BE2CEF">
        <w:rPr>
          <w:rFonts w:asciiTheme="minorHAnsi" w:hAnsiTheme="minorHAnsi" w:cs="Calibri"/>
          <w:b w:val="0"/>
          <w:bCs w:val="0"/>
          <w:color w:val="000000"/>
          <w:sz w:val="24"/>
          <w:szCs w:val="24"/>
        </w:rPr>
        <w:t xml:space="preserve">na svém </w:t>
      </w:r>
      <w:r w:rsidR="00A97374">
        <w:rPr>
          <w:rFonts w:asciiTheme="minorHAnsi" w:hAnsiTheme="minorHAnsi" w:cs="Calibri"/>
          <w:b w:val="0"/>
          <w:bCs w:val="0"/>
          <w:color w:val="000000"/>
          <w:sz w:val="24"/>
          <w:szCs w:val="24"/>
        </w:rPr>
        <w:t>VII.</w:t>
      </w:r>
      <w:r w:rsidRPr="00BE2CEF">
        <w:rPr>
          <w:rFonts w:asciiTheme="minorHAnsi" w:hAnsiTheme="minorHAnsi" w:cs="Calibri"/>
          <w:b w:val="0"/>
          <w:bCs w:val="0"/>
          <w:color w:val="000000"/>
          <w:sz w:val="24"/>
          <w:szCs w:val="24"/>
        </w:rPr>
        <w:t xml:space="preserve"> jednání, které se konalo dne </w:t>
      </w:r>
      <w:r w:rsidR="00A97374">
        <w:rPr>
          <w:rFonts w:asciiTheme="minorHAnsi" w:hAnsiTheme="minorHAnsi" w:cs="Calibri"/>
          <w:b w:val="0"/>
          <w:bCs w:val="0"/>
          <w:color w:val="000000"/>
          <w:sz w:val="24"/>
          <w:szCs w:val="24"/>
        </w:rPr>
        <w:t>9. května</w:t>
      </w:r>
      <w:r w:rsidRPr="00BE2CEF">
        <w:rPr>
          <w:rFonts w:asciiTheme="minorHAnsi" w:hAnsiTheme="minorHAnsi" w:cs="Calibri"/>
          <w:b w:val="0"/>
          <w:bCs w:val="0"/>
          <w:color w:val="000000"/>
          <w:sz w:val="24"/>
          <w:szCs w:val="24"/>
        </w:rPr>
        <w:t xml:space="preserve"> 20</w:t>
      </w:r>
      <w:r>
        <w:rPr>
          <w:rFonts w:asciiTheme="minorHAnsi" w:hAnsiTheme="minorHAnsi" w:cs="Calibri"/>
          <w:b w:val="0"/>
          <w:bCs w:val="0"/>
          <w:color w:val="000000"/>
          <w:sz w:val="24"/>
          <w:szCs w:val="24"/>
        </w:rPr>
        <w:t>22</w:t>
      </w:r>
      <w:r w:rsidRPr="00BE2CEF">
        <w:rPr>
          <w:rFonts w:asciiTheme="minorHAnsi" w:hAnsiTheme="minorHAnsi" w:cs="Calibri"/>
          <w:b w:val="0"/>
          <w:bCs w:val="0"/>
          <w:color w:val="000000"/>
          <w:sz w:val="24"/>
          <w:szCs w:val="24"/>
        </w:rPr>
        <w:t>,</w:t>
      </w:r>
    </w:p>
    <w:p w:rsidR="00246D13" w:rsidRPr="00BE2CEF" w:rsidRDefault="002C761F" w:rsidP="00246D13">
      <w:pPr>
        <w:spacing w:after="120"/>
        <w:rPr>
          <w:rFonts w:asciiTheme="minorHAnsi" w:hAnsiTheme="minorHAnsi" w:cs="Calibri"/>
          <w:color w:val="000000"/>
          <w:sz w:val="24"/>
          <w:szCs w:val="24"/>
        </w:rPr>
      </w:pPr>
      <w:r w:rsidRPr="00BE2CEF">
        <w:rPr>
          <w:rFonts w:asciiTheme="minorHAnsi" w:hAnsiTheme="minorHAnsi" w:cs="Calibri"/>
          <w:b/>
          <w:bCs/>
          <w:i/>
          <w:iCs/>
          <w:color w:val="000000"/>
          <w:sz w:val="24"/>
          <w:szCs w:val="24"/>
        </w:rPr>
        <w:t>s c h v á l i l o</w:t>
      </w:r>
      <w:r w:rsidRPr="00BE2CEF">
        <w:rPr>
          <w:rFonts w:asciiTheme="minorHAnsi" w:hAnsiTheme="minorHAnsi" w:cs="Calibri"/>
          <w:color w:val="000000"/>
          <w:sz w:val="24"/>
          <w:szCs w:val="24"/>
        </w:rPr>
        <w:t xml:space="preserve">   usnesením č</w:t>
      </w:r>
      <w:r w:rsidRPr="00A97374">
        <w:rPr>
          <w:rFonts w:asciiTheme="minorHAnsi" w:hAnsiTheme="minorHAnsi" w:cs="Calibri"/>
          <w:color w:val="000000"/>
          <w:sz w:val="24"/>
          <w:szCs w:val="24"/>
        </w:rPr>
        <w:t xml:space="preserve">. </w:t>
      </w:r>
      <w:r w:rsidR="00DC735D">
        <w:rPr>
          <w:rFonts w:asciiTheme="minorHAnsi" w:hAnsiTheme="minorHAnsi" w:cs="Calibri"/>
          <w:color w:val="000000"/>
          <w:sz w:val="24"/>
          <w:szCs w:val="24"/>
        </w:rPr>
        <w:t>5</w:t>
      </w:r>
      <w:r w:rsidR="00A97374" w:rsidRPr="00A97374">
        <w:rPr>
          <w:rFonts w:asciiTheme="minorHAnsi" w:hAnsiTheme="minorHAnsi" w:cs="Calibri"/>
          <w:color w:val="000000"/>
          <w:sz w:val="24"/>
          <w:szCs w:val="24"/>
        </w:rPr>
        <w:t>/VII/</w:t>
      </w:r>
      <w:r w:rsidRPr="00A97374">
        <w:rPr>
          <w:rFonts w:asciiTheme="minorHAnsi" w:hAnsiTheme="minorHAnsi" w:cs="Calibri"/>
          <w:color w:val="000000"/>
          <w:sz w:val="24"/>
          <w:szCs w:val="24"/>
        </w:rPr>
        <w:t>2022</w:t>
      </w:r>
    </w:p>
    <w:p w:rsidR="00187C89" w:rsidRDefault="002C761F" w:rsidP="00187C89">
      <w:pPr>
        <w:spacing w:after="120"/>
        <w:rPr>
          <w:rFonts w:asciiTheme="minorHAnsi" w:hAnsiTheme="minorHAnsi" w:cs="Calibri"/>
          <w:color w:val="000000"/>
          <w:sz w:val="24"/>
          <w:szCs w:val="24"/>
        </w:rPr>
      </w:pPr>
      <w:r w:rsidRPr="00BE2CEF">
        <w:rPr>
          <w:rFonts w:asciiTheme="minorHAnsi" w:hAnsiTheme="minorHAnsi" w:cs="Calibri"/>
          <w:b/>
          <w:bCs/>
          <w:i/>
          <w:iCs/>
          <w:color w:val="000000"/>
          <w:sz w:val="24"/>
          <w:szCs w:val="24"/>
        </w:rPr>
        <w:t>k o n t r o l n í   z á v ě r</w:t>
      </w:r>
      <w:r w:rsidRPr="00BE2CEF">
        <w:rPr>
          <w:rFonts w:asciiTheme="minorHAnsi" w:hAnsiTheme="minorHAnsi" w:cs="Calibri"/>
          <w:color w:val="000000"/>
          <w:sz w:val="24"/>
          <w:szCs w:val="24"/>
        </w:rPr>
        <w:t xml:space="preserve">   v tomto znění:</w:t>
      </w:r>
    </w:p>
    <w:p w:rsidR="0056765E" w:rsidRDefault="002C761F">
      <w:pPr>
        <w:widowControl/>
        <w:autoSpaceDE/>
        <w:autoSpaceDN/>
        <w:adjustRightInd/>
        <w:spacing w:after="160" w:line="259" w:lineRule="auto"/>
        <w:rPr>
          <w:rFonts w:asciiTheme="minorHAnsi" w:hAnsiTheme="minorHAnsi" w:cs="Calibri"/>
          <w:color w:val="000000"/>
          <w:sz w:val="24"/>
          <w:szCs w:val="24"/>
        </w:rPr>
      </w:pPr>
      <w:r>
        <w:rPr>
          <w:rFonts w:asciiTheme="minorHAnsi" w:hAnsiTheme="minorHAnsi" w:cs="Calibri"/>
          <w:color w:val="000000"/>
          <w:sz w:val="24"/>
          <w:szCs w:val="24"/>
        </w:rPr>
        <w:br w:type="page"/>
      </w:r>
    </w:p>
    <w:p w:rsidR="00161489" w:rsidRPr="005C4986" w:rsidRDefault="00161489" w:rsidP="00315983">
      <w:pPr>
        <w:shd w:val="clear" w:color="auto" w:fill="FFFFFF"/>
        <w:spacing w:after="240"/>
        <w:jc w:val="center"/>
        <w:rPr>
          <w:rFonts w:eastAsia="Times New Roman"/>
          <w:color w:val="9CC2E5" w:themeColor="accent1" w:themeTint="99"/>
          <w:sz w:val="22"/>
          <w:szCs w:val="22"/>
        </w:rPr>
      </w:pPr>
      <w:r w:rsidRPr="005C4986">
        <w:rPr>
          <w:rStyle w:val="A4"/>
          <w:rFonts w:asciiTheme="minorHAnsi" w:hAnsiTheme="minorHAnsi" w:cstheme="minorHAnsi"/>
          <w:color w:val="9CC2E5" w:themeColor="accent1" w:themeTint="99"/>
          <w:sz w:val="50"/>
          <w:szCs w:val="50"/>
        </w:rPr>
        <w:lastRenderedPageBreak/>
        <w:t>Humanizace psychiatrické péče</w:t>
      </w:r>
    </w:p>
    <w:p w:rsidR="00161489" w:rsidRDefault="00161489" w:rsidP="00315983">
      <w:pPr>
        <w:shd w:val="clear" w:color="auto" w:fill="FFFFFF"/>
        <w:jc w:val="both"/>
        <w:rPr>
          <w:rFonts w:eastAsia="Times New Roman"/>
          <w:color w:val="0070C0"/>
          <w:sz w:val="22"/>
          <w:szCs w:val="22"/>
        </w:rPr>
      </w:pPr>
    </w:p>
    <w:p w:rsidR="00161489" w:rsidRPr="00091A0B" w:rsidRDefault="00161489" w:rsidP="00315983">
      <w:pPr>
        <w:widowControl/>
        <w:autoSpaceDE/>
        <w:autoSpaceDN/>
        <w:adjustRightInd/>
        <w:spacing w:before="240" w:after="240"/>
        <w:jc w:val="center"/>
        <w:rPr>
          <w:rFonts w:ascii="Calibri" w:eastAsia="Calibri" w:hAnsi="Calibri" w:cs="Times New Roman"/>
          <w:b/>
          <w:color w:val="9CC2E5" w:themeColor="accent1" w:themeTint="99"/>
          <w:sz w:val="28"/>
          <w:szCs w:val="24"/>
          <w:lang w:eastAsia="en-US"/>
        </w:rPr>
      </w:pPr>
      <w:proofErr w:type="spellStart"/>
      <w:r w:rsidRPr="00091A0B">
        <w:rPr>
          <w:rFonts w:ascii="Calibri" w:eastAsia="Calibri" w:hAnsi="Calibri" w:cs="Times New Roman"/>
          <w:b/>
          <w:color w:val="9CC2E5" w:themeColor="accent1" w:themeTint="99"/>
          <w:sz w:val="28"/>
          <w:szCs w:val="24"/>
          <w:lang w:eastAsia="en-US"/>
        </w:rPr>
        <w:t>Deinstitucionalizace</w:t>
      </w:r>
      <w:proofErr w:type="spellEnd"/>
      <w:r w:rsidRPr="00091A0B">
        <w:rPr>
          <w:rFonts w:ascii="Calibri" w:eastAsia="Calibri" w:hAnsi="Calibri" w:cs="Times New Roman"/>
          <w:b/>
          <w:color w:val="9CC2E5" w:themeColor="accent1" w:themeTint="99"/>
          <w:sz w:val="28"/>
          <w:szCs w:val="24"/>
          <w:lang w:eastAsia="en-US"/>
        </w:rPr>
        <w:t xml:space="preserve"> psychiatrické péče</w:t>
      </w:r>
    </w:p>
    <w:tbl>
      <w:tblPr>
        <w:tblStyle w:val="Mkatabulky3"/>
        <w:tblW w:w="6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59"/>
        <w:gridCol w:w="3060"/>
      </w:tblGrid>
      <w:tr w:rsidR="00161489" w:rsidRPr="00F07AE0" w:rsidTr="00573408">
        <w:trPr>
          <w:trHeight w:val="1283"/>
          <w:jc w:val="center"/>
        </w:trPr>
        <w:tc>
          <w:tcPr>
            <w:tcW w:w="3059" w:type="dxa"/>
            <w:hideMark/>
          </w:tcPr>
          <w:p w:rsidR="00161489" w:rsidRPr="005121A3" w:rsidRDefault="00161489" w:rsidP="00573408">
            <w:pPr>
              <w:widowControl/>
              <w:autoSpaceDE/>
              <w:autoSpaceDN/>
              <w:adjustRightInd/>
              <w:jc w:val="center"/>
              <w:rPr>
                <w:rFonts w:ascii="Calibri" w:eastAsia="Calibri" w:hAnsi="Calibri" w:cs="Times New Roman"/>
                <w:b/>
                <w:bCs/>
                <w:color w:val="000000"/>
                <w:sz w:val="40"/>
                <w:szCs w:val="40"/>
                <w:lang w:eastAsia="en-US"/>
              </w:rPr>
            </w:pPr>
            <w:r w:rsidRPr="005121A3">
              <w:rPr>
                <w:rFonts w:ascii="Calibri" w:eastAsia="Calibri" w:hAnsi="Calibri" w:cs="Times New Roman"/>
                <w:b/>
                <w:bCs/>
                <w:color w:val="000000"/>
                <w:sz w:val="40"/>
                <w:szCs w:val="40"/>
                <w:lang w:eastAsia="en-US"/>
              </w:rPr>
              <w:t>2</w:t>
            </w:r>
            <w:r>
              <w:rPr>
                <w:rFonts w:ascii="Calibri" w:eastAsia="Calibri" w:hAnsi="Calibri" w:cs="Times New Roman"/>
                <w:b/>
                <w:bCs/>
                <w:color w:val="000000"/>
                <w:sz w:val="40"/>
                <w:szCs w:val="40"/>
                <w:lang w:eastAsia="en-US"/>
              </w:rPr>
              <w:t>,</w:t>
            </w:r>
            <w:r w:rsidRPr="005121A3">
              <w:rPr>
                <w:rFonts w:ascii="Calibri" w:eastAsia="Calibri" w:hAnsi="Calibri" w:cs="Times New Roman"/>
                <w:b/>
                <w:bCs/>
                <w:color w:val="000000"/>
                <w:sz w:val="40"/>
                <w:szCs w:val="40"/>
                <w:lang w:eastAsia="en-US"/>
              </w:rPr>
              <w:t>2</w:t>
            </w:r>
            <w:r>
              <w:rPr>
                <w:rFonts w:ascii="Calibri" w:eastAsia="Calibri" w:hAnsi="Calibri" w:cs="Times New Roman"/>
                <w:b/>
                <w:bCs/>
                <w:color w:val="000000"/>
                <w:sz w:val="40"/>
                <w:szCs w:val="40"/>
                <w:lang w:eastAsia="en-US"/>
              </w:rPr>
              <w:t>2</w:t>
            </w:r>
            <w:r w:rsidRPr="005121A3">
              <w:rPr>
                <w:rFonts w:ascii="Calibri" w:eastAsia="Calibri" w:hAnsi="Calibri" w:cs="Times New Roman"/>
                <w:b/>
                <w:bCs/>
                <w:color w:val="000000"/>
                <w:sz w:val="40"/>
                <w:szCs w:val="40"/>
                <w:lang w:eastAsia="en-US"/>
              </w:rPr>
              <w:t xml:space="preserve"> m</w:t>
            </w:r>
            <w:r>
              <w:rPr>
                <w:rFonts w:ascii="Calibri" w:eastAsia="Calibri" w:hAnsi="Calibri" w:cs="Times New Roman"/>
                <w:b/>
                <w:bCs/>
                <w:color w:val="000000"/>
                <w:sz w:val="40"/>
                <w:szCs w:val="40"/>
                <w:lang w:eastAsia="en-US"/>
              </w:rPr>
              <w:t>ld</w:t>
            </w:r>
            <w:r w:rsidRPr="005121A3">
              <w:rPr>
                <w:rFonts w:ascii="Calibri" w:eastAsia="Calibri" w:hAnsi="Calibri" w:cs="Times New Roman"/>
                <w:b/>
                <w:bCs/>
                <w:color w:val="000000"/>
                <w:sz w:val="40"/>
                <w:szCs w:val="40"/>
                <w:lang w:eastAsia="en-US"/>
              </w:rPr>
              <w:t>. Kč</w:t>
            </w:r>
          </w:p>
          <w:p w:rsidR="00161489" w:rsidRPr="005121A3" w:rsidRDefault="00161489" w:rsidP="00573408">
            <w:pPr>
              <w:widowControl/>
              <w:autoSpaceDE/>
              <w:autoSpaceDN/>
              <w:adjustRightInd/>
              <w:jc w:val="center"/>
              <w:rPr>
                <w:rFonts w:ascii="Calibri" w:eastAsia="Calibri" w:hAnsi="Calibri" w:cs="Times New Roman"/>
                <w:color w:val="000000"/>
                <w:sz w:val="40"/>
                <w:szCs w:val="40"/>
                <w:lang w:eastAsia="en-US"/>
              </w:rPr>
            </w:pPr>
            <w:r w:rsidRPr="005121A3">
              <w:rPr>
                <w:rFonts w:ascii="Calibri" w:eastAsia="Calibri" w:hAnsi="Calibri" w:cs="Times New Roman"/>
                <w:b/>
                <w:lang w:eastAsia="en-US"/>
              </w:rPr>
              <w:t>poskytnuté dotace z EFRR</w:t>
            </w:r>
            <w:r>
              <w:rPr>
                <w:rStyle w:val="Znakapoznpodarou"/>
                <w:rFonts w:ascii="Calibri" w:eastAsia="Calibri" w:hAnsi="Calibri"/>
                <w:b/>
                <w:lang w:eastAsia="en-US"/>
              </w:rPr>
              <w:footnoteReference w:id="2"/>
            </w:r>
            <w:r w:rsidRPr="005121A3">
              <w:rPr>
                <w:rFonts w:ascii="Calibri" w:eastAsia="Calibri" w:hAnsi="Calibri" w:cs="Times New Roman"/>
                <w:b/>
                <w:lang w:eastAsia="en-US"/>
              </w:rPr>
              <w:t xml:space="preserve"> a SR</w:t>
            </w:r>
            <w:r w:rsidR="000864FC">
              <w:rPr>
                <w:rStyle w:val="Znakapoznpodarou"/>
                <w:rFonts w:ascii="Calibri" w:eastAsia="Calibri" w:hAnsi="Calibri"/>
                <w:b/>
                <w:lang w:eastAsia="en-US"/>
              </w:rPr>
              <w:footnoteReference w:id="3"/>
            </w:r>
            <w:r w:rsidRPr="005121A3">
              <w:rPr>
                <w:rFonts w:ascii="Calibri" w:eastAsia="Calibri" w:hAnsi="Calibri" w:cs="Times New Roman"/>
                <w:b/>
                <w:lang w:eastAsia="en-US"/>
              </w:rPr>
              <w:t xml:space="preserve"> </w:t>
            </w:r>
            <w:r w:rsidRPr="005121A3">
              <w:rPr>
                <w:rFonts w:ascii="Calibri" w:eastAsia="Calibri" w:hAnsi="Calibri" w:cs="Times New Roman"/>
                <w:lang w:eastAsia="en-US"/>
              </w:rPr>
              <w:t>v letech 2016</w:t>
            </w:r>
            <w:r w:rsidR="005A6EA9">
              <w:rPr>
                <w:rFonts w:ascii="Calibri" w:eastAsia="Calibri" w:hAnsi="Calibri" w:cs="Times New Roman"/>
                <w:lang w:eastAsia="en-US"/>
              </w:rPr>
              <w:t>–</w:t>
            </w:r>
            <w:r w:rsidRPr="005121A3">
              <w:rPr>
                <w:rFonts w:ascii="Calibri" w:eastAsia="Calibri" w:hAnsi="Calibri" w:cs="Times New Roman"/>
                <w:lang w:eastAsia="en-US"/>
              </w:rPr>
              <w:t>2020</w:t>
            </w:r>
            <w:r>
              <w:rPr>
                <w:rFonts w:ascii="Calibri" w:eastAsia="Calibri" w:hAnsi="Calibri" w:cs="Times New Roman"/>
                <w:lang w:eastAsia="en-US"/>
              </w:rPr>
              <w:t xml:space="preserve"> na podporu 24 projektů</w:t>
            </w:r>
          </w:p>
        </w:tc>
        <w:tc>
          <w:tcPr>
            <w:tcW w:w="3060" w:type="dxa"/>
            <w:hideMark/>
          </w:tcPr>
          <w:p w:rsidR="00161489" w:rsidRPr="005121A3" w:rsidRDefault="00161489" w:rsidP="00573408">
            <w:pPr>
              <w:widowControl/>
              <w:autoSpaceDE/>
              <w:autoSpaceDN/>
              <w:adjustRightInd/>
              <w:jc w:val="center"/>
              <w:rPr>
                <w:rFonts w:ascii="Calibri" w:eastAsia="Calibri" w:hAnsi="Calibri" w:cs="Times New Roman"/>
                <w:b/>
                <w:bCs/>
                <w:color w:val="000000"/>
                <w:sz w:val="40"/>
                <w:szCs w:val="40"/>
                <w:lang w:eastAsia="en-US"/>
              </w:rPr>
            </w:pPr>
            <w:r w:rsidRPr="005121A3">
              <w:rPr>
                <w:rFonts w:ascii="Calibri" w:eastAsia="Calibri" w:hAnsi="Calibri" w:cs="Times New Roman"/>
                <w:b/>
                <w:bCs/>
                <w:color w:val="000000"/>
                <w:sz w:val="40"/>
                <w:szCs w:val="40"/>
                <w:lang w:eastAsia="en-US"/>
              </w:rPr>
              <w:t>1</w:t>
            </w:r>
            <w:r>
              <w:rPr>
                <w:rFonts w:ascii="Calibri" w:eastAsia="Calibri" w:hAnsi="Calibri" w:cs="Times New Roman"/>
                <w:b/>
                <w:bCs/>
                <w:color w:val="000000"/>
                <w:sz w:val="40"/>
                <w:szCs w:val="40"/>
                <w:lang w:eastAsia="en-US"/>
              </w:rPr>
              <w:t>,</w:t>
            </w:r>
            <w:r w:rsidRPr="005121A3">
              <w:rPr>
                <w:rFonts w:ascii="Calibri" w:eastAsia="Calibri" w:hAnsi="Calibri" w:cs="Times New Roman"/>
                <w:b/>
                <w:bCs/>
                <w:color w:val="000000"/>
                <w:sz w:val="40"/>
                <w:szCs w:val="40"/>
                <w:lang w:eastAsia="en-US"/>
              </w:rPr>
              <w:t>2</w:t>
            </w:r>
            <w:r>
              <w:rPr>
                <w:rFonts w:ascii="Calibri" w:eastAsia="Calibri" w:hAnsi="Calibri" w:cs="Times New Roman"/>
                <w:b/>
                <w:bCs/>
                <w:color w:val="000000"/>
                <w:sz w:val="40"/>
                <w:szCs w:val="40"/>
                <w:lang w:eastAsia="en-US"/>
              </w:rPr>
              <w:t>9</w:t>
            </w:r>
            <w:r w:rsidRPr="005121A3">
              <w:rPr>
                <w:rFonts w:ascii="Calibri" w:eastAsia="Calibri" w:hAnsi="Calibri" w:cs="Times New Roman"/>
                <w:b/>
                <w:bCs/>
                <w:color w:val="000000"/>
                <w:sz w:val="40"/>
                <w:szCs w:val="40"/>
                <w:lang w:eastAsia="en-US"/>
              </w:rPr>
              <w:t xml:space="preserve"> m</w:t>
            </w:r>
            <w:r>
              <w:rPr>
                <w:rFonts w:ascii="Calibri" w:eastAsia="Calibri" w:hAnsi="Calibri" w:cs="Times New Roman"/>
                <w:b/>
                <w:bCs/>
                <w:color w:val="000000"/>
                <w:sz w:val="40"/>
                <w:szCs w:val="40"/>
                <w:lang w:eastAsia="en-US"/>
              </w:rPr>
              <w:t>ld</w:t>
            </w:r>
            <w:r w:rsidRPr="005121A3">
              <w:rPr>
                <w:rFonts w:ascii="Calibri" w:eastAsia="Calibri" w:hAnsi="Calibri" w:cs="Times New Roman"/>
                <w:b/>
                <w:bCs/>
                <w:color w:val="000000"/>
                <w:sz w:val="40"/>
                <w:szCs w:val="40"/>
                <w:lang w:eastAsia="en-US"/>
              </w:rPr>
              <w:t>. Kč</w:t>
            </w:r>
          </w:p>
          <w:p w:rsidR="00161489" w:rsidRPr="005121A3" w:rsidRDefault="00161489" w:rsidP="00573408">
            <w:pPr>
              <w:widowControl/>
              <w:autoSpaceDE/>
              <w:autoSpaceDN/>
              <w:adjustRightInd/>
              <w:jc w:val="center"/>
              <w:rPr>
                <w:rFonts w:ascii="Calibri" w:eastAsia="Calibri" w:hAnsi="Calibri" w:cs="Times New Roman"/>
                <w:lang w:eastAsia="en-US"/>
              </w:rPr>
            </w:pPr>
            <w:r w:rsidRPr="005121A3">
              <w:rPr>
                <w:rFonts w:ascii="Calibri" w:eastAsia="Calibri" w:hAnsi="Calibri" w:cs="Times New Roman"/>
                <w:b/>
                <w:lang w:eastAsia="en-US"/>
              </w:rPr>
              <w:t xml:space="preserve">kontrolní vzorek 6 projektů </w:t>
            </w:r>
          </w:p>
          <w:p w:rsidR="00161489" w:rsidRPr="005121A3" w:rsidRDefault="00161489" w:rsidP="00573408">
            <w:pPr>
              <w:widowControl/>
              <w:autoSpaceDE/>
              <w:autoSpaceDN/>
              <w:adjustRightInd/>
              <w:jc w:val="center"/>
              <w:rPr>
                <w:rFonts w:ascii="Calibri" w:eastAsia="Calibri" w:hAnsi="Calibri" w:cs="Times New Roman"/>
                <w:lang w:eastAsia="en-US"/>
              </w:rPr>
            </w:pPr>
          </w:p>
        </w:tc>
      </w:tr>
    </w:tbl>
    <w:p w:rsidR="00161489" w:rsidRPr="00F07AE0" w:rsidRDefault="00161489" w:rsidP="00161489">
      <w:pPr>
        <w:widowControl/>
        <w:autoSpaceDE/>
        <w:autoSpaceDN/>
        <w:adjustRightInd/>
        <w:spacing w:after="160" w:line="256" w:lineRule="auto"/>
        <w:rPr>
          <w:rFonts w:ascii="Calibri" w:eastAsia="Calibri" w:hAnsi="Calibri" w:cs="Times New Roman"/>
          <w:color w:val="004595"/>
          <w:sz w:val="28"/>
          <w:szCs w:val="28"/>
          <w:lang w:eastAsia="en-US"/>
        </w:rPr>
      </w:pPr>
    </w:p>
    <w:p w:rsidR="00161489" w:rsidRPr="005C4986" w:rsidRDefault="00161489" w:rsidP="00161489">
      <w:pPr>
        <w:widowControl/>
        <w:autoSpaceDE/>
        <w:autoSpaceDN/>
        <w:adjustRightInd/>
        <w:spacing w:after="160" w:line="256" w:lineRule="auto"/>
        <w:jc w:val="center"/>
        <w:rPr>
          <w:rFonts w:ascii="Calibri" w:eastAsia="Calibri" w:hAnsi="Calibri" w:cs="Times New Roman"/>
          <w:color w:val="9CC2E5" w:themeColor="accent1" w:themeTint="99"/>
          <w:sz w:val="28"/>
          <w:szCs w:val="28"/>
          <w:lang w:eastAsia="en-US"/>
        </w:rPr>
      </w:pPr>
      <w:r w:rsidRPr="005C4986">
        <w:rPr>
          <w:rFonts w:ascii="Calibri" w:eastAsia="Calibri" w:hAnsi="Calibri" w:cs="Times New Roman"/>
          <w:b/>
          <w:color w:val="9CC2E5" w:themeColor="accent1" w:themeTint="99"/>
          <w:sz w:val="28"/>
          <w:szCs w:val="28"/>
          <w:lang w:eastAsia="en-US"/>
        </w:rPr>
        <w:t>Program 135 03</w:t>
      </w:r>
      <w:r w:rsidR="005A6EA9">
        <w:rPr>
          <w:rFonts w:ascii="Calibri" w:eastAsia="Calibri" w:hAnsi="Calibri" w:cs="Times New Roman"/>
          <w:b/>
          <w:color w:val="9CC2E5" w:themeColor="accent1" w:themeTint="99"/>
          <w:sz w:val="28"/>
          <w:szCs w:val="28"/>
          <w:lang w:eastAsia="en-US"/>
        </w:rPr>
        <w:t xml:space="preserve"> –</w:t>
      </w:r>
      <w:r w:rsidRPr="005C4986">
        <w:rPr>
          <w:rFonts w:ascii="Calibri" w:eastAsia="Calibri" w:hAnsi="Calibri" w:cs="Times New Roman"/>
          <w:b/>
          <w:color w:val="9CC2E5" w:themeColor="accent1" w:themeTint="99"/>
          <w:sz w:val="28"/>
          <w:szCs w:val="28"/>
          <w:lang w:eastAsia="en-US"/>
        </w:rPr>
        <w:t xml:space="preserve"> </w:t>
      </w:r>
      <w:r w:rsidRPr="005C4986">
        <w:rPr>
          <w:rFonts w:ascii="Calibri" w:eastAsia="Calibri" w:hAnsi="Calibri" w:cs="Times New Roman"/>
          <w:b/>
          <w:color w:val="9CC2E5" w:themeColor="accent1" w:themeTint="99"/>
          <w:sz w:val="28"/>
          <w:szCs w:val="28"/>
          <w:lang w:eastAsia="en-US"/>
        </w:rPr>
        <w:br/>
      </w:r>
      <w:r w:rsidRPr="000955B0">
        <w:rPr>
          <w:rFonts w:ascii="Calibri" w:eastAsia="Calibri" w:hAnsi="Calibri" w:cs="Times New Roman"/>
          <w:i/>
          <w:color w:val="9CC2E5" w:themeColor="accent1" w:themeTint="99"/>
          <w:sz w:val="24"/>
          <w:szCs w:val="24"/>
          <w:lang w:eastAsia="en-US"/>
        </w:rPr>
        <w:t xml:space="preserve">Podpora rozvoje a obnovy materiálně technické základny </w:t>
      </w:r>
      <w:r w:rsidRPr="000955B0">
        <w:rPr>
          <w:rFonts w:ascii="Calibri" w:eastAsia="Calibri" w:hAnsi="Calibri" w:cs="Times New Roman"/>
          <w:i/>
          <w:color w:val="9CC2E5" w:themeColor="accent1" w:themeTint="99"/>
          <w:sz w:val="24"/>
          <w:szCs w:val="24"/>
          <w:lang w:eastAsia="en-US"/>
        </w:rPr>
        <w:br/>
        <w:t>státních léčebných ústavů</w:t>
      </w:r>
    </w:p>
    <w:tbl>
      <w:tblPr>
        <w:tblStyle w:val="Mkatabulky3"/>
        <w:tblW w:w="6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tblGrid>
      <w:tr w:rsidR="00161489" w:rsidRPr="00F07AE0" w:rsidTr="00573408">
        <w:trPr>
          <w:jc w:val="center"/>
        </w:trPr>
        <w:tc>
          <w:tcPr>
            <w:tcW w:w="3020" w:type="dxa"/>
          </w:tcPr>
          <w:p w:rsidR="00161489" w:rsidRPr="00886169" w:rsidRDefault="00161489" w:rsidP="00573408">
            <w:pPr>
              <w:widowControl/>
              <w:autoSpaceDE/>
              <w:autoSpaceDN/>
              <w:adjustRightInd/>
              <w:jc w:val="center"/>
              <w:rPr>
                <w:rFonts w:ascii="Calibri" w:eastAsia="Calibri" w:hAnsi="Calibri" w:cs="Times New Roman"/>
                <w:b/>
                <w:bCs/>
                <w:color w:val="000000"/>
                <w:sz w:val="40"/>
                <w:szCs w:val="40"/>
                <w:lang w:eastAsia="en-US"/>
              </w:rPr>
            </w:pPr>
            <w:r w:rsidRPr="00886169">
              <w:rPr>
                <w:rFonts w:ascii="Calibri" w:eastAsia="Calibri" w:hAnsi="Calibri" w:cs="Times New Roman"/>
                <w:b/>
                <w:bCs/>
                <w:color w:val="000000"/>
                <w:sz w:val="40"/>
                <w:szCs w:val="40"/>
                <w:lang w:eastAsia="en-US"/>
              </w:rPr>
              <w:t>587,35 mil. Kč</w:t>
            </w:r>
          </w:p>
          <w:p w:rsidR="00161489" w:rsidRPr="00886169" w:rsidRDefault="00161489" w:rsidP="00573408">
            <w:pPr>
              <w:widowControl/>
              <w:autoSpaceDE/>
              <w:autoSpaceDN/>
              <w:adjustRightInd/>
              <w:jc w:val="center"/>
              <w:rPr>
                <w:rFonts w:ascii="Calibri" w:eastAsia="Calibri" w:hAnsi="Calibri" w:cs="Calibri"/>
                <w:sz w:val="22"/>
                <w:szCs w:val="22"/>
                <w:lang w:eastAsia="en-US"/>
              </w:rPr>
            </w:pPr>
            <w:r w:rsidRPr="00886169">
              <w:rPr>
                <w:rFonts w:ascii="Calibri" w:eastAsia="Calibri" w:hAnsi="Calibri" w:cs="Times New Roman"/>
                <w:b/>
                <w:lang w:eastAsia="en-US"/>
              </w:rPr>
              <w:t xml:space="preserve">poskytnuté dotace </w:t>
            </w:r>
            <w:r w:rsidRPr="00886169">
              <w:rPr>
                <w:rFonts w:ascii="Calibri" w:eastAsia="Calibri" w:hAnsi="Calibri" w:cs="Times New Roman"/>
                <w:lang w:eastAsia="en-US"/>
              </w:rPr>
              <w:t>v letech 2016</w:t>
            </w:r>
            <w:r w:rsidR="005A6EA9">
              <w:rPr>
                <w:rFonts w:ascii="Calibri" w:eastAsia="Calibri" w:hAnsi="Calibri" w:cs="Times New Roman"/>
                <w:lang w:eastAsia="en-US"/>
              </w:rPr>
              <w:t>–</w:t>
            </w:r>
            <w:r w:rsidRPr="00F32D08">
              <w:rPr>
                <w:rFonts w:ascii="Calibri" w:eastAsia="Calibri" w:hAnsi="Calibri" w:cs="Times New Roman"/>
                <w:lang w:eastAsia="en-US"/>
              </w:rPr>
              <w:t>202</w:t>
            </w:r>
            <w:r>
              <w:rPr>
                <w:rFonts w:ascii="Calibri" w:eastAsia="Calibri" w:hAnsi="Calibri" w:cs="Times New Roman"/>
                <w:lang w:eastAsia="en-US"/>
              </w:rPr>
              <w:t>0</w:t>
            </w:r>
            <w:r w:rsidRPr="00D43791">
              <w:rPr>
                <w:rFonts w:ascii="Calibri" w:eastAsia="Calibri" w:hAnsi="Calibri" w:cs="Times New Roman"/>
                <w:lang w:eastAsia="en-US"/>
              </w:rPr>
              <w:t xml:space="preserve"> na podporu 42</w:t>
            </w:r>
            <w:r w:rsidR="005A6EA9">
              <w:rPr>
                <w:rFonts w:ascii="Calibri" w:eastAsia="Calibri" w:hAnsi="Calibri" w:cs="Times New Roman"/>
                <w:lang w:eastAsia="en-US"/>
              </w:rPr>
              <w:t> </w:t>
            </w:r>
            <w:r w:rsidRPr="00D43791">
              <w:rPr>
                <w:rFonts w:ascii="Calibri" w:eastAsia="Calibri" w:hAnsi="Calibri" w:cs="Times New Roman"/>
                <w:lang w:eastAsia="en-US"/>
              </w:rPr>
              <w:t>akcí</w:t>
            </w:r>
          </w:p>
          <w:p w:rsidR="00161489" w:rsidRPr="00886169" w:rsidRDefault="00161489" w:rsidP="00573408">
            <w:pPr>
              <w:widowControl/>
              <w:autoSpaceDE/>
              <w:autoSpaceDN/>
              <w:adjustRightInd/>
              <w:rPr>
                <w:rFonts w:ascii="Calibri Light" w:eastAsia="Calibri" w:hAnsi="Calibri Light" w:cs="Calibri Light"/>
                <w:color w:val="000000"/>
                <w:sz w:val="28"/>
                <w:szCs w:val="28"/>
                <w:lang w:eastAsia="en-US"/>
              </w:rPr>
            </w:pPr>
          </w:p>
        </w:tc>
        <w:tc>
          <w:tcPr>
            <w:tcW w:w="3021" w:type="dxa"/>
          </w:tcPr>
          <w:p w:rsidR="00161489" w:rsidRPr="00886169" w:rsidRDefault="00161489" w:rsidP="00573408">
            <w:pPr>
              <w:widowControl/>
              <w:autoSpaceDE/>
              <w:autoSpaceDN/>
              <w:adjustRightInd/>
              <w:jc w:val="center"/>
              <w:rPr>
                <w:rFonts w:ascii="Calibri" w:eastAsia="Calibri" w:hAnsi="Calibri" w:cs="Times New Roman"/>
                <w:b/>
                <w:bCs/>
                <w:color w:val="000000"/>
                <w:sz w:val="40"/>
                <w:szCs w:val="40"/>
                <w:lang w:eastAsia="en-US"/>
              </w:rPr>
            </w:pPr>
            <w:r w:rsidRPr="00886169">
              <w:rPr>
                <w:rFonts w:ascii="Calibri" w:eastAsia="Calibri" w:hAnsi="Calibri" w:cs="Times New Roman"/>
                <w:b/>
                <w:bCs/>
                <w:color w:val="000000"/>
                <w:sz w:val="40"/>
                <w:szCs w:val="40"/>
                <w:lang w:eastAsia="en-US"/>
              </w:rPr>
              <w:t>145,39 mil. Kč</w:t>
            </w:r>
          </w:p>
          <w:p w:rsidR="00161489" w:rsidRPr="00886169" w:rsidRDefault="00161489" w:rsidP="00573408">
            <w:pPr>
              <w:widowControl/>
              <w:autoSpaceDE/>
              <w:autoSpaceDN/>
              <w:adjustRightInd/>
              <w:jc w:val="center"/>
              <w:rPr>
                <w:rFonts w:ascii="Calibri" w:eastAsia="Calibri" w:hAnsi="Calibri" w:cs="Times New Roman"/>
                <w:lang w:eastAsia="en-US"/>
              </w:rPr>
            </w:pPr>
            <w:r w:rsidRPr="00886169">
              <w:rPr>
                <w:rFonts w:ascii="Calibri" w:eastAsia="Calibri" w:hAnsi="Calibri" w:cs="Times New Roman"/>
                <w:b/>
                <w:lang w:eastAsia="en-US"/>
              </w:rPr>
              <w:t xml:space="preserve">kontrolní vzorek </w:t>
            </w:r>
            <w:r w:rsidR="005A6EA9">
              <w:rPr>
                <w:rFonts w:ascii="Calibri" w:eastAsia="Calibri" w:hAnsi="Calibri" w:cs="Times New Roman"/>
                <w:b/>
                <w:lang w:eastAsia="en-US"/>
              </w:rPr>
              <w:t>čtyř</w:t>
            </w:r>
            <w:r w:rsidRPr="00886169">
              <w:rPr>
                <w:rFonts w:ascii="Calibri" w:eastAsia="Calibri" w:hAnsi="Calibri" w:cs="Times New Roman"/>
                <w:b/>
                <w:lang w:eastAsia="en-US"/>
              </w:rPr>
              <w:t xml:space="preserve"> akcí </w:t>
            </w:r>
          </w:p>
          <w:p w:rsidR="00161489" w:rsidRPr="00886169" w:rsidRDefault="00161489" w:rsidP="00573408">
            <w:pPr>
              <w:widowControl/>
              <w:autoSpaceDE/>
              <w:autoSpaceDN/>
              <w:adjustRightInd/>
              <w:jc w:val="center"/>
              <w:rPr>
                <w:rFonts w:ascii="Calibri" w:eastAsia="Calibri" w:hAnsi="Calibri" w:cs="Times New Roman"/>
                <w:lang w:eastAsia="en-US"/>
              </w:rPr>
            </w:pPr>
          </w:p>
          <w:p w:rsidR="00161489" w:rsidRPr="00886169" w:rsidRDefault="00161489" w:rsidP="00573408">
            <w:pPr>
              <w:widowControl/>
              <w:autoSpaceDE/>
              <w:autoSpaceDN/>
              <w:adjustRightInd/>
              <w:jc w:val="center"/>
              <w:rPr>
                <w:rFonts w:ascii="Calibri Light" w:eastAsia="Calibri" w:hAnsi="Calibri Light" w:cs="Calibri Light"/>
                <w:color w:val="000000"/>
                <w:lang w:eastAsia="en-US"/>
              </w:rPr>
            </w:pPr>
          </w:p>
        </w:tc>
      </w:tr>
    </w:tbl>
    <w:p w:rsidR="00161489" w:rsidRPr="009158DC" w:rsidRDefault="00161489" w:rsidP="00161489">
      <w:pPr>
        <w:widowControl/>
        <w:autoSpaceDE/>
        <w:autoSpaceDN/>
        <w:adjustRightInd/>
        <w:spacing w:after="160" w:line="256" w:lineRule="auto"/>
        <w:rPr>
          <w:rFonts w:ascii="Calibri" w:eastAsia="Calibri" w:hAnsi="Calibri" w:cs="Times New Roman"/>
          <w:color w:val="004595"/>
          <w:sz w:val="28"/>
          <w:szCs w:val="28"/>
          <w:lang w:eastAsia="en-US"/>
        </w:rPr>
      </w:pPr>
    </w:p>
    <w:p w:rsidR="00161489" w:rsidRPr="005C4986" w:rsidRDefault="00161489" w:rsidP="00161489">
      <w:pPr>
        <w:widowControl/>
        <w:autoSpaceDE/>
        <w:autoSpaceDN/>
        <w:adjustRightInd/>
        <w:spacing w:after="160" w:line="256" w:lineRule="auto"/>
        <w:jc w:val="center"/>
        <w:rPr>
          <w:rFonts w:ascii="Calibri" w:eastAsia="Calibri" w:hAnsi="Calibri" w:cs="Times New Roman"/>
          <w:color w:val="9CC2E5" w:themeColor="accent1" w:themeTint="99"/>
          <w:sz w:val="28"/>
          <w:szCs w:val="28"/>
          <w:lang w:eastAsia="en-US"/>
        </w:rPr>
      </w:pPr>
      <w:r w:rsidRPr="005C4986">
        <w:rPr>
          <w:rFonts w:ascii="Calibri" w:eastAsia="Calibri" w:hAnsi="Calibri" w:cs="Times New Roman"/>
          <w:b/>
          <w:color w:val="9CC2E5" w:themeColor="accent1" w:themeTint="99"/>
          <w:sz w:val="28"/>
          <w:szCs w:val="28"/>
          <w:lang w:eastAsia="en-US"/>
        </w:rPr>
        <w:t>Program 135 11</w:t>
      </w:r>
      <w:r w:rsidR="005A6EA9">
        <w:rPr>
          <w:rFonts w:ascii="Calibri" w:eastAsia="Calibri" w:hAnsi="Calibri" w:cs="Times New Roman"/>
          <w:b/>
          <w:color w:val="9CC2E5" w:themeColor="accent1" w:themeTint="99"/>
          <w:sz w:val="28"/>
          <w:szCs w:val="28"/>
          <w:lang w:eastAsia="en-US"/>
        </w:rPr>
        <w:t xml:space="preserve"> –</w:t>
      </w:r>
      <w:r w:rsidRPr="005C4986">
        <w:rPr>
          <w:rFonts w:ascii="Calibri" w:eastAsia="Calibri" w:hAnsi="Calibri" w:cs="Times New Roman"/>
          <w:b/>
          <w:color w:val="9CC2E5" w:themeColor="accent1" w:themeTint="99"/>
          <w:sz w:val="28"/>
          <w:szCs w:val="28"/>
          <w:lang w:eastAsia="en-US"/>
        </w:rPr>
        <w:t xml:space="preserve"> </w:t>
      </w:r>
      <w:r w:rsidRPr="005C4986">
        <w:rPr>
          <w:rFonts w:ascii="Calibri" w:eastAsia="Calibri" w:hAnsi="Calibri" w:cs="Times New Roman"/>
          <w:b/>
          <w:color w:val="9CC2E5" w:themeColor="accent1" w:themeTint="99"/>
          <w:sz w:val="28"/>
          <w:szCs w:val="28"/>
          <w:lang w:eastAsia="en-US"/>
        </w:rPr>
        <w:br/>
      </w:r>
      <w:r w:rsidRPr="000955B0">
        <w:rPr>
          <w:rFonts w:ascii="Calibri" w:eastAsia="Calibri" w:hAnsi="Calibri" w:cs="Times New Roman"/>
          <w:i/>
          <w:color w:val="9CC2E5" w:themeColor="accent1" w:themeTint="99"/>
          <w:sz w:val="24"/>
          <w:szCs w:val="24"/>
          <w:lang w:eastAsia="en-US"/>
        </w:rPr>
        <w:t>Předfinancování IROP</w:t>
      </w:r>
      <w:r w:rsidR="000864FC">
        <w:rPr>
          <w:rStyle w:val="Znakapoznpodarou"/>
          <w:rFonts w:ascii="Calibri" w:eastAsia="Calibri" w:hAnsi="Calibri"/>
          <w:color w:val="9CC2E5" w:themeColor="accent1" w:themeTint="99"/>
          <w:sz w:val="24"/>
          <w:szCs w:val="24"/>
          <w:lang w:eastAsia="en-US"/>
        </w:rPr>
        <w:footnoteReference w:id="4"/>
      </w:r>
    </w:p>
    <w:tbl>
      <w:tblPr>
        <w:tblStyle w:val="Mkatabulky3"/>
        <w:tblW w:w="6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tblGrid>
      <w:tr w:rsidR="00161489" w:rsidRPr="00F07AE0" w:rsidTr="00573408">
        <w:trPr>
          <w:jc w:val="center"/>
        </w:trPr>
        <w:tc>
          <w:tcPr>
            <w:tcW w:w="3020" w:type="dxa"/>
          </w:tcPr>
          <w:p w:rsidR="00161489" w:rsidRPr="00886169" w:rsidRDefault="00161489" w:rsidP="00573408">
            <w:pPr>
              <w:widowControl/>
              <w:autoSpaceDE/>
              <w:autoSpaceDN/>
              <w:adjustRightInd/>
              <w:jc w:val="center"/>
              <w:rPr>
                <w:rFonts w:ascii="Calibri" w:eastAsia="Calibri" w:hAnsi="Calibri" w:cs="Times New Roman"/>
                <w:b/>
                <w:bCs/>
                <w:color w:val="000000"/>
                <w:sz w:val="40"/>
                <w:szCs w:val="40"/>
                <w:lang w:eastAsia="en-US"/>
              </w:rPr>
            </w:pPr>
            <w:r>
              <w:rPr>
                <w:rFonts w:ascii="Calibri" w:eastAsia="Calibri" w:hAnsi="Calibri" w:cs="Times New Roman"/>
                <w:b/>
                <w:bCs/>
                <w:color w:val="000000"/>
                <w:sz w:val="40"/>
                <w:szCs w:val="40"/>
                <w:lang w:eastAsia="en-US"/>
              </w:rPr>
              <w:t>1,41</w:t>
            </w:r>
            <w:r w:rsidRPr="00886169">
              <w:rPr>
                <w:rFonts w:ascii="Calibri" w:eastAsia="Calibri" w:hAnsi="Calibri" w:cs="Times New Roman"/>
                <w:b/>
                <w:bCs/>
                <w:color w:val="000000"/>
                <w:sz w:val="40"/>
                <w:szCs w:val="40"/>
                <w:lang w:eastAsia="en-US"/>
              </w:rPr>
              <w:t xml:space="preserve"> m</w:t>
            </w:r>
            <w:r>
              <w:rPr>
                <w:rFonts w:ascii="Calibri" w:eastAsia="Calibri" w:hAnsi="Calibri" w:cs="Times New Roman"/>
                <w:b/>
                <w:bCs/>
                <w:color w:val="000000"/>
                <w:sz w:val="40"/>
                <w:szCs w:val="40"/>
                <w:lang w:eastAsia="en-US"/>
              </w:rPr>
              <w:t>ld</w:t>
            </w:r>
            <w:r w:rsidRPr="00886169">
              <w:rPr>
                <w:rFonts w:ascii="Calibri" w:eastAsia="Calibri" w:hAnsi="Calibri" w:cs="Times New Roman"/>
                <w:b/>
                <w:bCs/>
                <w:color w:val="000000"/>
                <w:sz w:val="40"/>
                <w:szCs w:val="40"/>
                <w:lang w:eastAsia="en-US"/>
              </w:rPr>
              <w:t>. Kč</w:t>
            </w:r>
          </w:p>
          <w:p w:rsidR="00161489" w:rsidRPr="00886169" w:rsidRDefault="00161489" w:rsidP="00573408">
            <w:pPr>
              <w:widowControl/>
              <w:autoSpaceDE/>
              <w:autoSpaceDN/>
              <w:adjustRightInd/>
              <w:jc w:val="center"/>
              <w:rPr>
                <w:rFonts w:ascii="Calibri" w:eastAsia="Calibri" w:hAnsi="Calibri" w:cs="Calibri"/>
                <w:sz w:val="22"/>
                <w:szCs w:val="22"/>
                <w:lang w:eastAsia="en-US"/>
              </w:rPr>
            </w:pPr>
            <w:r w:rsidRPr="00886169">
              <w:rPr>
                <w:rFonts w:ascii="Calibri" w:eastAsia="Calibri" w:hAnsi="Calibri" w:cs="Times New Roman"/>
                <w:b/>
                <w:lang w:eastAsia="en-US"/>
              </w:rPr>
              <w:t xml:space="preserve">poskytnuté dotace </w:t>
            </w:r>
            <w:r>
              <w:rPr>
                <w:rFonts w:ascii="Calibri" w:eastAsia="Calibri" w:hAnsi="Calibri" w:cs="Times New Roman"/>
                <w:b/>
                <w:lang w:eastAsia="en-US"/>
              </w:rPr>
              <w:t xml:space="preserve">na způsobilé výdaje </w:t>
            </w:r>
            <w:r w:rsidRPr="00886169">
              <w:rPr>
                <w:rFonts w:ascii="Calibri" w:eastAsia="Calibri" w:hAnsi="Calibri" w:cs="Times New Roman"/>
                <w:lang w:eastAsia="en-US"/>
              </w:rPr>
              <w:t>v letech 201</w:t>
            </w:r>
            <w:r>
              <w:rPr>
                <w:rFonts w:ascii="Calibri" w:eastAsia="Calibri" w:hAnsi="Calibri" w:cs="Times New Roman"/>
                <w:lang w:eastAsia="en-US"/>
              </w:rPr>
              <w:t>7</w:t>
            </w:r>
            <w:r w:rsidR="005A6EA9">
              <w:rPr>
                <w:rFonts w:ascii="Calibri" w:eastAsia="Calibri" w:hAnsi="Calibri" w:cs="Times New Roman"/>
                <w:lang w:eastAsia="en-US"/>
              </w:rPr>
              <w:t>–</w:t>
            </w:r>
            <w:r w:rsidRPr="00F32D08">
              <w:rPr>
                <w:rFonts w:ascii="Calibri" w:eastAsia="Calibri" w:hAnsi="Calibri" w:cs="Times New Roman"/>
                <w:lang w:eastAsia="en-US"/>
              </w:rPr>
              <w:t>202</w:t>
            </w:r>
            <w:r>
              <w:rPr>
                <w:rFonts w:ascii="Calibri" w:eastAsia="Calibri" w:hAnsi="Calibri" w:cs="Times New Roman"/>
                <w:lang w:eastAsia="en-US"/>
              </w:rPr>
              <w:t>1</w:t>
            </w:r>
            <w:r w:rsidRPr="00D43791">
              <w:rPr>
                <w:rFonts w:ascii="Calibri" w:eastAsia="Calibri" w:hAnsi="Calibri" w:cs="Times New Roman"/>
                <w:lang w:eastAsia="en-US"/>
              </w:rPr>
              <w:t xml:space="preserve"> na podporu </w:t>
            </w:r>
            <w:r w:rsidR="005A6EA9">
              <w:rPr>
                <w:rFonts w:ascii="Calibri" w:eastAsia="Calibri" w:hAnsi="Calibri" w:cs="Times New Roman"/>
                <w:lang w:eastAsia="en-US"/>
              </w:rPr>
              <w:t>pěti</w:t>
            </w:r>
            <w:r w:rsidRPr="00D43791">
              <w:rPr>
                <w:rFonts w:ascii="Calibri" w:eastAsia="Calibri" w:hAnsi="Calibri" w:cs="Times New Roman"/>
                <w:lang w:eastAsia="en-US"/>
              </w:rPr>
              <w:t xml:space="preserve"> </w:t>
            </w:r>
            <w:r>
              <w:rPr>
                <w:rFonts w:ascii="Calibri" w:eastAsia="Calibri" w:hAnsi="Calibri" w:cs="Times New Roman"/>
                <w:lang w:eastAsia="en-US"/>
              </w:rPr>
              <w:t>projektů</w:t>
            </w:r>
          </w:p>
          <w:p w:rsidR="00161489" w:rsidRPr="00886169" w:rsidRDefault="00161489" w:rsidP="00573408">
            <w:pPr>
              <w:widowControl/>
              <w:autoSpaceDE/>
              <w:autoSpaceDN/>
              <w:adjustRightInd/>
              <w:rPr>
                <w:rFonts w:ascii="Calibri Light" w:eastAsia="Calibri" w:hAnsi="Calibri Light" w:cs="Calibri Light"/>
                <w:color w:val="000000"/>
                <w:sz w:val="28"/>
                <w:szCs w:val="28"/>
                <w:lang w:eastAsia="en-US"/>
              </w:rPr>
            </w:pPr>
          </w:p>
        </w:tc>
        <w:tc>
          <w:tcPr>
            <w:tcW w:w="3021" w:type="dxa"/>
          </w:tcPr>
          <w:p w:rsidR="00161489" w:rsidRPr="00886169" w:rsidRDefault="00161489" w:rsidP="00573408">
            <w:pPr>
              <w:widowControl/>
              <w:autoSpaceDE/>
              <w:autoSpaceDN/>
              <w:adjustRightInd/>
              <w:jc w:val="center"/>
              <w:rPr>
                <w:rFonts w:ascii="Calibri" w:eastAsia="Calibri" w:hAnsi="Calibri" w:cs="Times New Roman"/>
                <w:b/>
                <w:bCs/>
                <w:color w:val="000000"/>
                <w:sz w:val="40"/>
                <w:szCs w:val="40"/>
                <w:lang w:eastAsia="en-US"/>
              </w:rPr>
            </w:pPr>
            <w:r w:rsidRPr="00886169">
              <w:rPr>
                <w:rFonts w:ascii="Calibri" w:eastAsia="Calibri" w:hAnsi="Calibri" w:cs="Times New Roman"/>
                <w:b/>
                <w:bCs/>
                <w:color w:val="000000"/>
                <w:sz w:val="40"/>
                <w:szCs w:val="40"/>
                <w:lang w:eastAsia="en-US"/>
              </w:rPr>
              <w:t>5</w:t>
            </w:r>
            <w:r>
              <w:rPr>
                <w:rFonts w:ascii="Calibri" w:eastAsia="Calibri" w:hAnsi="Calibri" w:cs="Times New Roman"/>
                <w:b/>
                <w:bCs/>
                <w:color w:val="000000"/>
                <w:sz w:val="40"/>
                <w:szCs w:val="40"/>
                <w:lang w:eastAsia="en-US"/>
              </w:rPr>
              <w:t>0</w:t>
            </w:r>
            <w:r w:rsidRPr="00886169">
              <w:rPr>
                <w:rFonts w:ascii="Calibri" w:eastAsia="Calibri" w:hAnsi="Calibri" w:cs="Times New Roman"/>
                <w:b/>
                <w:bCs/>
                <w:color w:val="000000"/>
                <w:sz w:val="40"/>
                <w:szCs w:val="40"/>
                <w:lang w:eastAsia="en-US"/>
              </w:rPr>
              <w:t>,</w:t>
            </w:r>
            <w:r>
              <w:rPr>
                <w:rFonts w:ascii="Calibri" w:eastAsia="Calibri" w:hAnsi="Calibri" w:cs="Times New Roman"/>
                <w:b/>
                <w:bCs/>
                <w:color w:val="000000"/>
                <w:sz w:val="40"/>
                <w:szCs w:val="40"/>
                <w:lang w:eastAsia="en-US"/>
              </w:rPr>
              <w:t>24</w:t>
            </w:r>
            <w:r w:rsidRPr="00886169">
              <w:rPr>
                <w:rFonts w:ascii="Calibri" w:eastAsia="Calibri" w:hAnsi="Calibri" w:cs="Times New Roman"/>
                <w:b/>
                <w:bCs/>
                <w:color w:val="000000"/>
                <w:sz w:val="40"/>
                <w:szCs w:val="40"/>
                <w:lang w:eastAsia="en-US"/>
              </w:rPr>
              <w:t xml:space="preserve"> mil. Kč</w:t>
            </w:r>
          </w:p>
          <w:p w:rsidR="00161489" w:rsidRPr="00886169" w:rsidRDefault="00161489" w:rsidP="00573408">
            <w:pPr>
              <w:widowControl/>
              <w:autoSpaceDE/>
              <w:autoSpaceDN/>
              <w:adjustRightInd/>
              <w:jc w:val="center"/>
              <w:rPr>
                <w:rFonts w:ascii="Calibri" w:eastAsia="Calibri" w:hAnsi="Calibri" w:cs="Times New Roman"/>
                <w:lang w:eastAsia="en-US"/>
              </w:rPr>
            </w:pPr>
            <w:r>
              <w:rPr>
                <w:rFonts w:ascii="Calibri" w:eastAsia="Calibri" w:hAnsi="Calibri" w:cs="Times New Roman"/>
                <w:b/>
                <w:lang w:eastAsia="en-US"/>
              </w:rPr>
              <w:t>neoprávněně poskytnutá dotace na nezpůsobilé výdaje</w:t>
            </w:r>
            <w:r w:rsidRPr="00886169">
              <w:rPr>
                <w:rFonts w:ascii="Calibri" w:eastAsia="Calibri" w:hAnsi="Calibri" w:cs="Times New Roman"/>
                <w:b/>
                <w:lang w:eastAsia="en-US"/>
              </w:rPr>
              <w:t xml:space="preserve"> </w:t>
            </w:r>
            <w:r w:rsidRPr="00D43791">
              <w:rPr>
                <w:rFonts w:ascii="Calibri" w:eastAsia="Calibri" w:hAnsi="Calibri" w:cs="Times New Roman"/>
                <w:lang w:eastAsia="en-US"/>
              </w:rPr>
              <w:t xml:space="preserve">na podporu </w:t>
            </w:r>
            <w:r w:rsidR="005A6EA9">
              <w:rPr>
                <w:rFonts w:ascii="Calibri" w:eastAsia="Calibri" w:hAnsi="Calibri" w:cs="Times New Roman"/>
                <w:lang w:eastAsia="en-US"/>
              </w:rPr>
              <w:t>jednoho</w:t>
            </w:r>
            <w:r w:rsidRPr="00D43791">
              <w:rPr>
                <w:rFonts w:ascii="Calibri" w:eastAsia="Calibri" w:hAnsi="Calibri" w:cs="Times New Roman"/>
                <w:lang w:eastAsia="en-US"/>
              </w:rPr>
              <w:t xml:space="preserve"> </w:t>
            </w:r>
            <w:r>
              <w:rPr>
                <w:rFonts w:ascii="Calibri" w:eastAsia="Calibri" w:hAnsi="Calibri" w:cs="Times New Roman"/>
                <w:lang w:eastAsia="en-US"/>
              </w:rPr>
              <w:t>projektu</w:t>
            </w:r>
          </w:p>
          <w:p w:rsidR="00161489" w:rsidRPr="00886169" w:rsidRDefault="00161489" w:rsidP="00573408">
            <w:pPr>
              <w:widowControl/>
              <w:autoSpaceDE/>
              <w:autoSpaceDN/>
              <w:adjustRightInd/>
              <w:jc w:val="center"/>
              <w:rPr>
                <w:rFonts w:ascii="Calibri Light" w:eastAsia="Calibri" w:hAnsi="Calibri Light" w:cs="Calibri Light"/>
                <w:color w:val="000000"/>
                <w:lang w:eastAsia="en-US"/>
              </w:rPr>
            </w:pPr>
          </w:p>
        </w:tc>
      </w:tr>
    </w:tbl>
    <w:p w:rsidR="00F07AE0" w:rsidRPr="00F07AE0" w:rsidRDefault="00F07AE0" w:rsidP="00F07AE0">
      <w:pPr>
        <w:shd w:val="clear" w:color="auto" w:fill="FFFFFF"/>
        <w:jc w:val="both"/>
        <w:rPr>
          <w:rFonts w:asciiTheme="minorHAnsi" w:eastAsia="Times New Roman" w:hAnsiTheme="minorHAnsi" w:cstheme="minorHAnsi"/>
          <w:color w:val="0070C0"/>
          <w:sz w:val="24"/>
          <w:szCs w:val="24"/>
        </w:rPr>
      </w:pPr>
    </w:p>
    <w:p w:rsidR="002760C9" w:rsidRDefault="002C761F">
      <w:pPr>
        <w:widowControl/>
        <w:autoSpaceDE/>
        <w:autoSpaceDN/>
        <w:adjustRightInd/>
        <w:spacing w:after="160" w:line="259"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246D13" w:rsidRPr="00EA7B40" w:rsidRDefault="002C761F" w:rsidP="00EA7B40">
      <w:pPr>
        <w:keepNext/>
        <w:shd w:val="clear" w:color="auto" w:fill="FFFFFF"/>
        <w:spacing w:after="240"/>
        <w:jc w:val="center"/>
        <w:rPr>
          <w:rFonts w:ascii="Calibri" w:hAnsi="Calibri" w:cs="Calibri"/>
          <w:color w:val="000000" w:themeColor="text1"/>
          <w:sz w:val="28"/>
          <w:szCs w:val="24"/>
        </w:rPr>
      </w:pPr>
      <w:r w:rsidRPr="00EA7B40">
        <w:rPr>
          <w:rFonts w:ascii="Calibri" w:hAnsi="Calibri" w:cs="Calibri"/>
          <w:b/>
          <w:bCs/>
          <w:color w:val="000000" w:themeColor="text1"/>
          <w:sz w:val="28"/>
          <w:szCs w:val="24"/>
        </w:rPr>
        <w:lastRenderedPageBreak/>
        <w:t>I.</w:t>
      </w:r>
      <w:r w:rsidR="00A774C4" w:rsidRPr="00EA7B40">
        <w:rPr>
          <w:rFonts w:ascii="Calibri" w:hAnsi="Calibri" w:cs="Calibri"/>
          <w:b/>
          <w:bCs/>
          <w:color w:val="000000" w:themeColor="text1"/>
          <w:sz w:val="28"/>
          <w:szCs w:val="24"/>
        </w:rPr>
        <w:t xml:space="preserve"> </w:t>
      </w:r>
      <w:r w:rsidRPr="00EA7B40">
        <w:rPr>
          <w:rFonts w:ascii="Calibri" w:hAnsi="Calibri" w:cs="Calibri"/>
          <w:b/>
          <w:bCs/>
          <w:color w:val="000000" w:themeColor="text1"/>
          <w:sz w:val="28"/>
          <w:szCs w:val="24"/>
        </w:rPr>
        <w:t>Shrnut</w:t>
      </w:r>
      <w:r w:rsidRPr="00EA7B40">
        <w:rPr>
          <w:rFonts w:ascii="Calibri" w:eastAsia="Times New Roman" w:hAnsi="Calibri" w:cs="Calibri"/>
          <w:b/>
          <w:bCs/>
          <w:color w:val="000000" w:themeColor="text1"/>
          <w:sz w:val="28"/>
          <w:szCs w:val="24"/>
        </w:rPr>
        <w:t>í a vyhodnocení</w:t>
      </w:r>
    </w:p>
    <w:p w:rsidR="00F44361" w:rsidRPr="00A774C4" w:rsidRDefault="002C761F" w:rsidP="00A774C4">
      <w:pPr>
        <w:widowControl/>
        <w:autoSpaceDE/>
        <w:autoSpaceDN/>
        <w:adjustRightInd/>
        <w:spacing w:after="120"/>
        <w:jc w:val="both"/>
        <w:rPr>
          <w:rFonts w:ascii="Calibri" w:hAnsi="Calibri" w:cstheme="minorHAnsi"/>
          <w:sz w:val="24"/>
          <w:szCs w:val="24"/>
        </w:rPr>
      </w:pPr>
      <w:r w:rsidRPr="00A774C4">
        <w:rPr>
          <w:rFonts w:ascii="Calibri" w:hAnsi="Calibri" w:cstheme="minorHAnsi"/>
          <w:sz w:val="24"/>
          <w:szCs w:val="24"/>
        </w:rPr>
        <w:t>Cílem kontroly bylo prověřit, zda peněžní prostředky státního rozpočtu a Evropské unie určené</w:t>
      </w:r>
      <w:r w:rsidR="0079349C">
        <w:rPr>
          <w:rFonts w:ascii="Calibri" w:hAnsi="Calibri" w:cstheme="minorHAnsi"/>
          <w:sz w:val="24"/>
          <w:szCs w:val="24"/>
        </w:rPr>
        <w:t> </w:t>
      </w:r>
      <w:r w:rsidRPr="00A774C4">
        <w:rPr>
          <w:rFonts w:ascii="Calibri" w:hAnsi="Calibri" w:cstheme="minorHAnsi"/>
          <w:sz w:val="24"/>
          <w:szCs w:val="24"/>
        </w:rPr>
        <w:t>na</w:t>
      </w:r>
      <w:r w:rsidR="0079349C">
        <w:rPr>
          <w:rFonts w:ascii="Calibri" w:hAnsi="Calibri" w:cstheme="minorHAnsi"/>
          <w:sz w:val="24"/>
          <w:szCs w:val="24"/>
        </w:rPr>
        <w:t> </w:t>
      </w:r>
      <w:r w:rsidRPr="00A774C4">
        <w:rPr>
          <w:rFonts w:ascii="Calibri" w:hAnsi="Calibri" w:cstheme="minorHAnsi"/>
          <w:sz w:val="24"/>
          <w:szCs w:val="24"/>
        </w:rPr>
        <w:t>humanizaci psychiatrické péče byly poskytovány a čerpány účelně, hospodárně, v souladu s právními předpisy.</w:t>
      </w:r>
      <w:r w:rsidR="00960570" w:rsidRPr="00A774C4">
        <w:rPr>
          <w:rFonts w:ascii="Calibri" w:hAnsi="Calibri" w:cstheme="minorHAnsi"/>
          <w:sz w:val="24"/>
          <w:szCs w:val="24"/>
        </w:rPr>
        <w:t xml:space="preserve"> Kontrole byl</w:t>
      </w:r>
      <w:r w:rsidR="00CE43C4" w:rsidRPr="00A774C4">
        <w:rPr>
          <w:rFonts w:ascii="Calibri" w:hAnsi="Calibri" w:cstheme="minorHAnsi"/>
          <w:sz w:val="24"/>
          <w:szCs w:val="24"/>
        </w:rPr>
        <w:t>y</w:t>
      </w:r>
      <w:r w:rsidR="00960570" w:rsidRPr="00A774C4">
        <w:rPr>
          <w:rFonts w:ascii="Calibri" w:hAnsi="Calibri" w:cstheme="minorHAnsi"/>
          <w:sz w:val="24"/>
          <w:szCs w:val="24"/>
        </w:rPr>
        <w:t xml:space="preserve"> podrobeny dva programy </w:t>
      </w:r>
      <w:proofErr w:type="spellStart"/>
      <w:r w:rsidR="00960570" w:rsidRPr="00A774C4">
        <w:rPr>
          <w:rFonts w:ascii="Calibri" w:hAnsi="Calibri" w:cstheme="minorHAnsi"/>
          <w:sz w:val="24"/>
          <w:szCs w:val="24"/>
        </w:rPr>
        <w:t>MZd</w:t>
      </w:r>
      <w:proofErr w:type="spellEnd"/>
      <w:r w:rsidR="00960570" w:rsidRPr="00A774C4">
        <w:rPr>
          <w:rFonts w:ascii="Calibri" w:hAnsi="Calibri" w:cstheme="minorHAnsi"/>
          <w:sz w:val="24"/>
          <w:szCs w:val="24"/>
        </w:rPr>
        <w:t>: program č.</w:t>
      </w:r>
      <w:r w:rsidR="0079349C">
        <w:rPr>
          <w:rFonts w:ascii="Calibri" w:hAnsi="Calibri" w:cstheme="minorHAnsi"/>
          <w:sz w:val="24"/>
          <w:szCs w:val="24"/>
        </w:rPr>
        <w:t> </w:t>
      </w:r>
      <w:r w:rsidR="00960570" w:rsidRPr="00A774C4">
        <w:rPr>
          <w:rFonts w:ascii="Calibri" w:hAnsi="Calibri" w:cstheme="minorHAnsi"/>
          <w:sz w:val="24"/>
          <w:szCs w:val="24"/>
        </w:rPr>
        <w:t>135</w:t>
      </w:r>
      <w:r w:rsidR="0079349C">
        <w:rPr>
          <w:rFonts w:ascii="Calibri" w:hAnsi="Calibri" w:cstheme="minorHAnsi"/>
          <w:sz w:val="24"/>
          <w:szCs w:val="24"/>
        </w:rPr>
        <w:t> </w:t>
      </w:r>
      <w:r w:rsidR="00960570" w:rsidRPr="00A774C4">
        <w:rPr>
          <w:rFonts w:ascii="Calibri" w:hAnsi="Calibri" w:cstheme="minorHAnsi"/>
          <w:sz w:val="24"/>
          <w:szCs w:val="24"/>
        </w:rPr>
        <w:t>03</w:t>
      </w:r>
      <w:r w:rsidR="0079349C">
        <w:rPr>
          <w:rFonts w:ascii="Calibri" w:hAnsi="Calibri" w:cstheme="minorHAnsi"/>
          <w:sz w:val="24"/>
          <w:szCs w:val="24"/>
        </w:rPr>
        <w:t> </w:t>
      </w:r>
      <w:r w:rsidR="00777ED3">
        <w:rPr>
          <w:rFonts w:ascii="Calibri" w:hAnsi="Calibri" w:cstheme="minorHAnsi"/>
          <w:sz w:val="24"/>
          <w:szCs w:val="24"/>
        </w:rPr>
        <w:t>–</w:t>
      </w:r>
      <w:r w:rsidR="00960570" w:rsidRPr="00A774C4">
        <w:rPr>
          <w:rFonts w:ascii="Calibri" w:hAnsi="Calibri" w:cstheme="minorHAnsi"/>
          <w:sz w:val="24"/>
          <w:szCs w:val="24"/>
        </w:rPr>
        <w:t xml:space="preserve"> </w:t>
      </w:r>
      <w:r w:rsidR="00960570" w:rsidRPr="00A774C4">
        <w:rPr>
          <w:rFonts w:ascii="Calibri" w:hAnsi="Calibri" w:cstheme="minorHAnsi"/>
          <w:i/>
          <w:sz w:val="24"/>
          <w:szCs w:val="24"/>
        </w:rPr>
        <w:t>Podpora rozvoje a obnovy materiálně technické základny státních léčebných ústavů</w:t>
      </w:r>
      <w:r w:rsidR="00102462" w:rsidRPr="00A774C4">
        <w:rPr>
          <w:rFonts w:ascii="Calibri" w:hAnsi="Calibri" w:cstheme="minorHAnsi"/>
          <w:sz w:val="24"/>
          <w:szCs w:val="24"/>
        </w:rPr>
        <w:t xml:space="preserve"> (dále také „program </w:t>
      </w:r>
      <w:r w:rsidR="007E2615" w:rsidRPr="00A774C4">
        <w:rPr>
          <w:rFonts w:ascii="Calibri" w:hAnsi="Calibri" w:cstheme="minorHAnsi"/>
          <w:sz w:val="24"/>
          <w:szCs w:val="24"/>
        </w:rPr>
        <w:t>rozvoje a obnovy</w:t>
      </w:r>
      <w:r w:rsidR="00102462" w:rsidRPr="00A774C4">
        <w:rPr>
          <w:rFonts w:ascii="Calibri" w:hAnsi="Calibri" w:cstheme="minorHAnsi"/>
          <w:sz w:val="24"/>
          <w:szCs w:val="24"/>
        </w:rPr>
        <w:t>“)</w:t>
      </w:r>
      <w:r w:rsidR="00960570" w:rsidRPr="00A774C4">
        <w:rPr>
          <w:rFonts w:ascii="Calibri" w:hAnsi="Calibri" w:cstheme="minorHAnsi"/>
          <w:sz w:val="24"/>
          <w:szCs w:val="24"/>
        </w:rPr>
        <w:t xml:space="preserve"> a program č. 135 11</w:t>
      </w:r>
      <w:r w:rsidR="0079349C">
        <w:rPr>
          <w:rFonts w:ascii="Calibri" w:hAnsi="Calibri" w:cstheme="minorHAnsi"/>
          <w:sz w:val="24"/>
          <w:szCs w:val="24"/>
        </w:rPr>
        <w:t> –</w:t>
      </w:r>
      <w:r w:rsidR="00102462" w:rsidRPr="00A774C4">
        <w:rPr>
          <w:rFonts w:ascii="Calibri" w:hAnsi="Calibri" w:cstheme="minorHAnsi"/>
          <w:sz w:val="24"/>
          <w:szCs w:val="24"/>
        </w:rPr>
        <w:t xml:space="preserve"> </w:t>
      </w:r>
      <w:r w:rsidR="00102462" w:rsidRPr="00A774C4">
        <w:rPr>
          <w:rFonts w:ascii="Calibri" w:hAnsi="Calibri" w:cstheme="minorHAnsi"/>
          <w:i/>
          <w:sz w:val="24"/>
          <w:szCs w:val="24"/>
        </w:rPr>
        <w:t>Předfinancování IROP</w:t>
      </w:r>
      <w:r w:rsidR="00102462" w:rsidRPr="00A774C4">
        <w:rPr>
          <w:rFonts w:ascii="Calibri" w:hAnsi="Calibri" w:cstheme="minorHAnsi"/>
          <w:sz w:val="24"/>
          <w:szCs w:val="24"/>
        </w:rPr>
        <w:t xml:space="preserve"> (dále také „program předfinancování“). Na MMR se kontrola zaměřila na</w:t>
      </w:r>
      <w:r w:rsidR="00ED04A5" w:rsidRPr="00A774C4">
        <w:rPr>
          <w:rFonts w:ascii="Calibri" w:hAnsi="Calibri" w:cstheme="minorHAnsi"/>
          <w:sz w:val="24"/>
          <w:szCs w:val="24"/>
        </w:rPr>
        <w:t xml:space="preserve"> výzvy </w:t>
      </w:r>
      <w:r w:rsidR="00BD3A9B" w:rsidRPr="000955B0">
        <w:rPr>
          <w:rFonts w:ascii="Calibri" w:hAnsi="Calibri" w:cstheme="minorHAnsi"/>
          <w:i/>
          <w:sz w:val="24"/>
          <w:szCs w:val="24"/>
        </w:rPr>
        <w:t>Integrovaného regionálního operačního programu</w:t>
      </w:r>
      <w:r w:rsidR="00BD3A9B" w:rsidRPr="00A774C4">
        <w:rPr>
          <w:rFonts w:ascii="Calibri" w:hAnsi="Calibri" w:cstheme="minorHAnsi"/>
          <w:sz w:val="24"/>
          <w:szCs w:val="24"/>
        </w:rPr>
        <w:t xml:space="preserve"> (dále také „IROP“)</w:t>
      </w:r>
      <w:r w:rsidR="00ED04A5" w:rsidRPr="00A774C4">
        <w:rPr>
          <w:rFonts w:ascii="Calibri" w:hAnsi="Calibri" w:cstheme="minorHAnsi"/>
          <w:sz w:val="24"/>
          <w:szCs w:val="24"/>
        </w:rPr>
        <w:t>:</w:t>
      </w:r>
      <w:r w:rsidR="00102462" w:rsidRPr="00A774C4">
        <w:rPr>
          <w:rFonts w:ascii="Calibri" w:hAnsi="Calibri" w:cstheme="minorHAnsi"/>
          <w:sz w:val="24"/>
          <w:szCs w:val="24"/>
        </w:rPr>
        <w:t xml:space="preserve"> </w:t>
      </w:r>
      <w:r w:rsidR="0079349C">
        <w:rPr>
          <w:rFonts w:ascii="Calibri" w:hAnsi="Calibri" w:cstheme="minorHAnsi"/>
          <w:sz w:val="24"/>
          <w:szCs w:val="24"/>
        </w:rPr>
        <w:t>v</w:t>
      </w:r>
      <w:r w:rsidR="00102462" w:rsidRPr="000955B0">
        <w:rPr>
          <w:rFonts w:ascii="Calibri" w:hAnsi="Calibri" w:cstheme="minorHAnsi"/>
          <w:sz w:val="24"/>
          <w:szCs w:val="24"/>
        </w:rPr>
        <w:t>ýzvu č. 54</w:t>
      </w:r>
      <w:r w:rsidR="0079349C">
        <w:rPr>
          <w:rFonts w:ascii="Calibri" w:hAnsi="Calibri" w:cstheme="minorHAnsi"/>
          <w:sz w:val="24"/>
          <w:szCs w:val="24"/>
        </w:rPr>
        <w:t> –</w:t>
      </w:r>
      <w:r w:rsidR="00102462" w:rsidRPr="000955B0">
        <w:rPr>
          <w:rFonts w:ascii="Calibri" w:hAnsi="Calibri" w:cstheme="minorHAnsi"/>
          <w:sz w:val="24"/>
          <w:szCs w:val="24"/>
        </w:rPr>
        <w:t xml:space="preserve"> </w:t>
      </w:r>
      <w:proofErr w:type="spellStart"/>
      <w:r w:rsidR="00102462" w:rsidRPr="00A774C4">
        <w:rPr>
          <w:rFonts w:ascii="Calibri" w:hAnsi="Calibri" w:cstheme="minorHAnsi"/>
          <w:i/>
          <w:sz w:val="24"/>
          <w:szCs w:val="24"/>
        </w:rPr>
        <w:t>Deinstitucionalizace</w:t>
      </w:r>
      <w:proofErr w:type="spellEnd"/>
      <w:r w:rsidR="00102462" w:rsidRPr="00A774C4">
        <w:rPr>
          <w:rFonts w:ascii="Calibri" w:hAnsi="Calibri" w:cstheme="minorHAnsi"/>
          <w:i/>
          <w:sz w:val="24"/>
          <w:szCs w:val="24"/>
        </w:rPr>
        <w:t xml:space="preserve"> psychiatrické péče</w:t>
      </w:r>
      <w:r w:rsidR="00102462" w:rsidRPr="00A774C4">
        <w:rPr>
          <w:rFonts w:ascii="Calibri" w:hAnsi="Calibri" w:cstheme="minorHAnsi"/>
          <w:sz w:val="24"/>
          <w:szCs w:val="24"/>
        </w:rPr>
        <w:t xml:space="preserve"> (dále také „výzva č. 54“) a</w:t>
      </w:r>
      <w:r w:rsidR="007E2615" w:rsidRPr="00A774C4">
        <w:rPr>
          <w:rFonts w:ascii="Calibri" w:hAnsi="Calibri" w:cstheme="minorHAnsi"/>
          <w:sz w:val="24"/>
          <w:szCs w:val="24"/>
        </w:rPr>
        <w:t> </w:t>
      </w:r>
      <w:r w:rsidR="0079349C">
        <w:rPr>
          <w:rFonts w:ascii="Calibri" w:hAnsi="Calibri" w:cstheme="minorHAnsi"/>
          <w:sz w:val="24"/>
          <w:szCs w:val="24"/>
        </w:rPr>
        <w:t>v</w:t>
      </w:r>
      <w:r w:rsidR="00102462" w:rsidRPr="000955B0">
        <w:rPr>
          <w:rFonts w:ascii="Calibri" w:hAnsi="Calibri" w:cstheme="minorHAnsi"/>
          <w:sz w:val="24"/>
          <w:szCs w:val="24"/>
        </w:rPr>
        <w:t>ýzvu č. 75</w:t>
      </w:r>
      <w:r w:rsidR="0079349C">
        <w:rPr>
          <w:rFonts w:ascii="Calibri" w:hAnsi="Calibri" w:cstheme="minorHAnsi"/>
          <w:sz w:val="24"/>
          <w:szCs w:val="24"/>
        </w:rPr>
        <w:t> –</w:t>
      </w:r>
      <w:r w:rsidR="00102462" w:rsidRPr="00A774C4">
        <w:rPr>
          <w:rFonts w:ascii="Calibri" w:hAnsi="Calibri" w:cstheme="minorHAnsi"/>
          <w:i/>
          <w:sz w:val="24"/>
          <w:szCs w:val="24"/>
        </w:rPr>
        <w:t xml:space="preserve"> </w:t>
      </w:r>
      <w:proofErr w:type="spellStart"/>
      <w:r w:rsidR="00102462" w:rsidRPr="00A774C4">
        <w:rPr>
          <w:rFonts w:ascii="Calibri" w:hAnsi="Calibri" w:cstheme="minorHAnsi"/>
          <w:i/>
          <w:sz w:val="24"/>
          <w:szCs w:val="24"/>
        </w:rPr>
        <w:t>Deinstitucionalizace</w:t>
      </w:r>
      <w:proofErr w:type="spellEnd"/>
      <w:r w:rsidR="00102462" w:rsidRPr="00A774C4">
        <w:rPr>
          <w:rFonts w:ascii="Calibri" w:hAnsi="Calibri" w:cstheme="minorHAnsi"/>
          <w:i/>
          <w:sz w:val="24"/>
          <w:szCs w:val="24"/>
        </w:rPr>
        <w:t xml:space="preserve"> psychiatrické péče II.</w:t>
      </w:r>
      <w:r w:rsidR="00102462" w:rsidRPr="00A774C4">
        <w:rPr>
          <w:rFonts w:ascii="Calibri" w:hAnsi="Calibri" w:cstheme="minorHAnsi"/>
          <w:sz w:val="24"/>
          <w:szCs w:val="24"/>
        </w:rPr>
        <w:t xml:space="preserve"> (dále také</w:t>
      </w:r>
      <w:r w:rsidR="0079349C">
        <w:rPr>
          <w:rFonts w:ascii="Calibri" w:hAnsi="Calibri" w:cstheme="minorHAnsi"/>
          <w:sz w:val="24"/>
          <w:szCs w:val="24"/>
        </w:rPr>
        <w:t xml:space="preserve"> </w:t>
      </w:r>
      <w:r w:rsidR="00102462" w:rsidRPr="00A774C4">
        <w:rPr>
          <w:rFonts w:ascii="Calibri" w:hAnsi="Calibri" w:cstheme="minorHAnsi"/>
          <w:sz w:val="24"/>
          <w:szCs w:val="24"/>
        </w:rPr>
        <w:t>„výzva č. 75“</w:t>
      </w:r>
      <w:r w:rsidR="00785ABD" w:rsidRPr="00A774C4">
        <w:rPr>
          <w:rFonts w:ascii="Calibri" w:hAnsi="Calibri" w:cstheme="minorHAnsi"/>
          <w:sz w:val="24"/>
          <w:szCs w:val="24"/>
        </w:rPr>
        <w:t>).</w:t>
      </w:r>
    </w:p>
    <w:p w:rsidR="00FE6E59" w:rsidRPr="00A774C4" w:rsidRDefault="00BE742A" w:rsidP="00A774C4">
      <w:pPr>
        <w:widowControl/>
        <w:autoSpaceDE/>
        <w:autoSpaceDN/>
        <w:adjustRightInd/>
        <w:spacing w:after="120"/>
        <w:jc w:val="both"/>
        <w:rPr>
          <w:rFonts w:ascii="Calibri" w:hAnsi="Calibri" w:cs="Calibri"/>
          <w:bCs/>
          <w:sz w:val="24"/>
          <w:szCs w:val="24"/>
          <w:lang w:eastAsia="en-US"/>
        </w:rPr>
      </w:pPr>
      <w:r w:rsidRPr="00A774C4">
        <w:rPr>
          <w:rFonts w:ascii="Calibri" w:hAnsi="Calibri" w:cstheme="minorHAnsi"/>
          <w:sz w:val="24"/>
          <w:szCs w:val="24"/>
        </w:rPr>
        <w:t>Vybraný kontrolní vzorek u programu rozvoje a obnovy činil</w:t>
      </w:r>
      <w:r w:rsidR="00F44361" w:rsidRPr="00A774C4">
        <w:rPr>
          <w:rFonts w:ascii="Calibri" w:hAnsi="Calibri" w:cstheme="minorHAnsi"/>
          <w:sz w:val="24"/>
          <w:szCs w:val="24"/>
        </w:rPr>
        <w:t xml:space="preserve"> 145</w:t>
      </w:r>
      <w:r w:rsidRPr="00A774C4">
        <w:rPr>
          <w:rFonts w:ascii="Calibri" w:hAnsi="Calibri" w:cstheme="minorHAnsi"/>
          <w:sz w:val="24"/>
          <w:szCs w:val="24"/>
        </w:rPr>
        <w:t>,39 mil</w:t>
      </w:r>
      <w:r w:rsidR="00F04587" w:rsidRPr="00A774C4">
        <w:rPr>
          <w:rFonts w:ascii="Calibri" w:hAnsi="Calibri" w:cstheme="minorHAnsi"/>
          <w:sz w:val="24"/>
          <w:szCs w:val="24"/>
        </w:rPr>
        <w:t>.</w:t>
      </w:r>
      <w:r w:rsidRPr="00A774C4">
        <w:rPr>
          <w:rFonts w:ascii="Calibri" w:hAnsi="Calibri" w:cstheme="minorHAnsi"/>
          <w:sz w:val="24"/>
          <w:szCs w:val="24"/>
        </w:rPr>
        <w:t xml:space="preserve"> Kč,</w:t>
      </w:r>
      <w:r w:rsidR="00F04587" w:rsidRPr="00A774C4">
        <w:rPr>
          <w:rFonts w:ascii="Calibri" w:hAnsi="Calibri" w:cstheme="minorHAnsi"/>
          <w:sz w:val="24"/>
          <w:szCs w:val="24"/>
        </w:rPr>
        <w:t xml:space="preserve"> u</w:t>
      </w:r>
      <w:r w:rsidRPr="00A774C4">
        <w:rPr>
          <w:rFonts w:ascii="Calibri" w:hAnsi="Calibri" w:cstheme="minorHAnsi"/>
          <w:sz w:val="24"/>
          <w:szCs w:val="24"/>
        </w:rPr>
        <w:t xml:space="preserve"> programu předfinancování</w:t>
      </w:r>
      <w:r w:rsidR="00F04587" w:rsidRPr="00A774C4">
        <w:rPr>
          <w:rFonts w:ascii="Calibri" w:hAnsi="Calibri" w:cstheme="minorHAnsi"/>
          <w:sz w:val="24"/>
          <w:szCs w:val="24"/>
        </w:rPr>
        <w:t xml:space="preserve"> 1,12 mld. Kč a u výzvy č. 54 a výzvy č. 75 činil celkem 1,29 mld. Kč.</w:t>
      </w:r>
    </w:p>
    <w:p w:rsidR="000705CC" w:rsidRPr="00A774C4" w:rsidRDefault="002C761F" w:rsidP="00A774C4">
      <w:pPr>
        <w:widowControl/>
        <w:autoSpaceDE/>
        <w:adjustRightInd/>
        <w:spacing w:after="120"/>
        <w:jc w:val="both"/>
        <w:rPr>
          <w:rFonts w:ascii="Calibri" w:hAnsi="Calibri" w:cs="Times New Roman"/>
          <w:b/>
          <w:sz w:val="24"/>
          <w:szCs w:val="24"/>
          <w:lang w:eastAsia="en-US"/>
        </w:rPr>
      </w:pPr>
      <w:proofErr w:type="spellStart"/>
      <w:r w:rsidRPr="00A774C4">
        <w:rPr>
          <w:rFonts w:ascii="Calibri" w:hAnsi="Calibri" w:cs="Times New Roman"/>
          <w:b/>
          <w:sz w:val="24"/>
          <w:szCs w:val="24"/>
          <w:lang w:eastAsia="en-US"/>
        </w:rPr>
        <w:t>MZd</w:t>
      </w:r>
      <w:proofErr w:type="spellEnd"/>
      <w:r w:rsidRPr="00A774C4">
        <w:rPr>
          <w:rFonts w:ascii="Calibri" w:hAnsi="Calibri" w:cs="Times New Roman"/>
          <w:b/>
          <w:sz w:val="24"/>
          <w:szCs w:val="24"/>
          <w:lang w:eastAsia="en-US"/>
        </w:rPr>
        <w:t xml:space="preserve"> i MMR poskytováním dotací v oblasti humanizace psychiatrické péče naplňují jeden z významných pilířů probíhající reformy péče o duševní zdraví. </w:t>
      </w:r>
      <w:r w:rsidR="00481E2A" w:rsidRPr="00A774C4">
        <w:rPr>
          <w:rFonts w:ascii="Calibri" w:hAnsi="Calibri" w:cs="Times New Roman"/>
          <w:b/>
          <w:sz w:val="24"/>
          <w:szCs w:val="24"/>
          <w:lang w:eastAsia="en-US"/>
        </w:rPr>
        <w:t>Kontrola NKÚ se zaměřila na</w:t>
      </w:r>
      <w:r w:rsidR="00612D8E" w:rsidRPr="00A774C4">
        <w:rPr>
          <w:rFonts w:ascii="Calibri" w:hAnsi="Calibri" w:cs="Times New Roman"/>
          <w:b/>
          <w:sz w:val="24"/>
          <w:szCs w:val="24"/>
          <w:lang w:eastAsia="en-US"/>
        </w:rPr>
        <w:t> </w:t>
      </w:r>
      <w:r w:rsidR="00A91676" w:rsidRPr="00A774C4">
        <w:rPr>
          <w:rFonts w:ascii="Calibri" w:hAnsi="Calibri" w:cs="Times New Roman"/>
          <w:b/>
          <w:sz w:val="24"/>
          <w:szCs w:val="24"/>
          <w:lang w:eastAsia="en-US"/>
        </w:rPr>
        <w:t>vybrané</w:t>
      </w:r>
      <w:r w:rsidR="00481E2A" w:rsidRPr="00A774C4">
        <w:rPr>
          <w:rFonts w:ascii="Calibri" w:hAnsi="Calibri" w:cs="Times New Roman"/>
          <w:b/>
          <w:sz w:val="24"/>
          <w:szCs w:val="24"/>
          <w:lang w:eastAsia="en-US"/>
        </w:rPr>
        <w:t xml:space="preserve"> investiční projekty</w:t>
      </w:r>
      <w:r w:rsidR="00A91676" w:rsidRPr="00A774C4">
        <w:rPr>
          <w:rFonts w:ascii="Calibri" w:hAnsi="Calibri" w:cs="Times New Roman"/>
          <w:b/>
          <w:sz w:val="24"/>
          <w:szCs w:val="24"/>
          <w:lang w:eastAsia="en-US"/>
        </w:rPr>
        <w:t xml:space="preserve"> realizované v</w:t>
      </w:r>
      <w:r w:rsidR="00B5470E" w:rsidRPr="00A774C4">
        <w:rPr>
          <w:rFonts w:ascii="Calibri" w:hAnsi="Calibri" w:cs="Times New Roman"/>
          <w:b/>
          <w:sz w:val="24"/>
          <w:szCs w:val="24"/>
          <w:lang w:eastAsia="en-US"/>
        </w:rPr>
        <w:t> této oblasti</w:t>
      </w:r>
      <w:r w:rsidR="00A91676" w:rsidRPr="00A774C4">
        <w:rPr>
          <w:rFonts w:ascii="Calibri" w:hAnsi="Calibri" w:cs="Times New Roman"/>
          <w:b/>
          <w:sz w:val="24"/>
          <w:szCs w:val="24"/>
          <w:lang w:eastAsia="en-US"/>
        </w:rPr>
        <w:t>.</w:t>
      </w:r>
      <w:r w:rsidR="00CE2ADE" w:rsidRPr="00A774C4">
        <w:rPr>
          <w:rFonts w:ascii="Calibri" w:hAnsi="Calibri" w:cs="Times New Roman"/>
          <w:b/>
          <w:sz w:val="24"/>
          <w:szCs w:val="24"/>
          <w:lang w:eastAsia="en-US"/>
        </w:rPr>
        <w:t xml:space="preserve"> </w:t>
      </w:r>
      <w:r w:rsidR="00357BD1" w:rsidRPr="00A774C4">
        <w:rPr>
          <w:rFonts w:ascii="Calibri" w:hAnsi="Calibri" w:cs="Times New Roman"/>
          <w:b/>
          <w:sz w:val="24"/>
          <w:szCs w:val="24"/>
          <w:lang w:eastAsia="en-US"/>
        </w:rPr>
        <w:t xml:space="preserve">NKÚ v současnosti považuje vynaložené peněžní prostředky na jím kontrolované investiční projekty za účelné. Zároveň konstatuje, že </w:t>
      </w:r>
      <w:r w:rsidR="0079349C" w:rsidRPr="00A774C4">
        <w:rPr>
          <w:rFonts w:ascii="Calibri" w:hAnsi="Calibri" w:cs="Times New Roman"/>
          <w:b/>
          <w:sz w:val="24"/>
          <w:szCs w:val="24"/>
          <w:lang w:eastAsia="en-US"/>
        </w:rPr>
        <w:t xml:space="preserve">nebude možné posoudit </w:t>
      </w:r>
      <w:r w:rsidR="00357BD1" w:rsidRPr="00A774C4">
        <w:rPr>
          <w:rFonts w:ascii="Calibri" w:hAnsi="Calibri" w:cs="Times New Roman"/>
          <w:b/>
          <w:sz w:val="24"/>
          <w:szCs w:val="24"/>
          <w:lang w:eastAsia="en-US"/>
        </w:rPr>
        <w:t xml:space="preserve">skutečný dopad peněžních prostředků pouze na základě </w:t>
      </w:r>
      <w:r w:rsidR="0079349C" w:rsidRPr="00A774C4">
        <w:rPr>
          <w:rFonts w:ascii="Calibri" w:hAnsi="Calibri" w:cs="Times New Roman"/>
          <w:b/>
          <w:sz w:val="24"/>
          <w:szCs w:val="24"/>
          <w:lang w:eastAsia="en-US"/>
        </w:rPr>
        <w:t xml:space="preserve">indikátorů </w:t>
      </w:r>
      <w:r w:rsidR="00357BD1" w:rsidRPr="00A774C4">
        <w:rPr>
          <w:rFonts w:ascii="Calibri" w:hAnsi="Calibri" w:cs="Times New Roman"/>
          <w:b/>
          <w:sz w:val="24"/>
          <w:szCs w:val="24"/>
          <w:lang w:eastAsia="en-US"/>
        </w:rPr>
        <w:t xml:space="preserve">nevhodně stanovených </w:t>
      </w:r>
      <w:r w:rsidR="0079349C">
        <w:rPr>
          <w:rFonts w:ascii="Calibri" w:hAnsi="Calibri" w:cs="Times New Roman"/>
          <w:b/>
          <w:sz w:val="24"/>
          <w:szCs w:val="24"/>
          <w:lang w:eastAsia="en-US"/>
        </w:rPr>
        <w:t>Ministerstvem místního rozvoje</w:t>
      </w:r>
      <w:r w:rsidR="00357BD1" w:rsidRPr="00A774C4">
        <w:rPr>
          <w:rFonts w:ascii="Calibri" w:hAnsi="Calibri" w:cs="Times New Roman"/>
          <w:b/>
          <w:sz w:val="24"/>
          <w:szCs w:val="24"/>
          <w:lang w:eastAsia="en-US"/>
        </w:rPr>
        <w:t xml:space="preserve">. </w:t>
      </w:r>
    </w:p>
    <w:p w:rsidR="00293597" w:rsidRPr="00A774C4" w:rsidRDefault="002C761F" w:rsidP="00A774C4">
      <w:pPr>
        <w:widowControl/>
        <w:autoSpaceDE/>
        <w:adjustRightInd/>
        <w:spacing w:after="120"/>
        <w:jc w:val="both"/>
        <w:rPr>
          <w:rFonts w:ascii="Calibri" w:hAnsi="Calibri" w:cs="Times New Roman"/>
          <w:b/>
          <w:sz w:val="24"/>
          <w:szCs w:val="24"/>
          <w:lang w:eastAsia="en-US"/>
        </w:rPr>
      </w:pPr>
      <w:r w:rsidRPr="00A774C4">
        <w:rPr>
          <w:rFonts w:ascii="Calibri" w:hAnsi="Calibri" w:cs="Times New Roman"/>
          <w:b/>
          <w:sz w:val="24"/>
          <w:szCs w:val="24"/>
          <w:lang w:eastAsia="en-US"/>
        </w:rPr>
        <w:t>MMR</w:t>
      </w:r>
      <w:r w:rsidR="009A47C1" w:rsidRPr="00A774C4">
        <w:rPr>
          <w:rFonts w:ascii="Calibri" w:hAnsi="Calibri" w:cs="Times New Roman"/>
          <w:b/>
          <w:sz w:val="24"/>
          <w:szCs w:val="24"/>
          <w:lang w:eastAsia="en-US"/>
        </w:rPr>
        <w:t xml:space="preserve"> jako </w:t>
      </w:r>
      <w:r w:rsidR="000B3BC7" w:rsidRPr="00A774C4">
        <w:rPr>
          <w:rFonts w:ascii="Calibri" w:hAnsi="Calibri" w:cs="Times New Roman"/>
          <w:b/>
          <w:sz w:val="24"/>
          <w:szCs w:val="24"/>
          <w:lang w:eastAsia="en-US"/>
        </w:rPr>
        <w:t xml:space="preserve">řídicí orgán </w:t>
      </w:r>
      <w:r w:rsidR="009A47C1" w:rsidRPr="00A774C4">
        <w:rPr>
          <w:rFonts w:ascii="Calibri" w:hAnsi="Calibri" w:cs="Times New Roman"/>
          <w:b/>
          <w:sz w:val="24"/>
          <w:szCs w:val="24"/>
          <w:lang w:eastAsia="en-US"/>
        </w:rPr>
        <w:t>IROP</w:t>
      </w:r>
      <w:r w:rsidR="000B3BC7" w:rsidRPr="00A774C4">
        <w:rPr>
          <w:rFonts w:ascii="Calibri" w:hAnsi="Calibri" w:cs="Times New Roman"/>
          <w:b/>
          <w:sz w:val="24"/>
          <w:szCs w:val="24"/>
          <w:lang w:eastAsia="en-US"/>
        </w:rPr>
        <w:t xml:space="preserve"> (dále také „ŘO IROP“)</w:t>
      </w:r>
      <w:r w:rsidRPr="00A774C4">
        <w:rPr>
          <w:rFonts w:ascii="Calibri" w:hAnsi="Calibri" w:cs="Times New Roman"/>
          <w:b/>
          <w:sz w:val="24"/>
          <w:szCs w:val="24"/>
          <w:lang w:eastAsia="en-US"/>
        </w:rPr>
        <w:t xml:space="preserve"> fakticky přeneslo odpovědnost za</w:t>
      </w:r>
      <w:r w:rsidR="00642C69" w:rsidRPr="00A774C4">
        <w:rPr>
          <w:rFonts w:ascii="Calibri" w:hAnsi="Calibri" w:cs="Times New Roman"/>
          <w:b/>
          <w:sz w:val="24"/>
          <w:szCs w:val="24"/>
          <w:lang w:eastAsia="en-US"/>
        </w:rPr>
        <w:t> </w:t>
      </w:r>
      <w:r w:rsidR="009D6D87" w:rsidRPr="00A774C4">
        <w:rPr>
          <w:rFonts w:ascii="Calibri" w:hAnsi="Calibri" w:cs="Times New Roman"/>
          <w:b/>
          <w:sz w:val="24"/>
          <w:szCs w:val="24"/>
          <w:lang w:eastAsia="en-US"/>
        </w:rPr>
        <w:t>průběžnou</w:t>
      </w:r>
      <w:r w:rsidRPr="00A774C4">
        <w:rPr>
          <w:rFonts w:ascii="Calibri" w:hAnsi="Calibri" w:cs="Times New Roman"/>
          <w:b/>
          <w:sz w:val="24"/>
          <w:szCs w:val="24"/>
          <w:lang w:eastAsia="en-US"/>
        </w:rPr>
        <w:t xml:space="preserve"> kontrolu plnění podmínek </w:t>
      </w:r>
      <w:r w:rsidR="00F65E95" w:rsidRPr="00A774C4">
        <w:rPr>
          <w:rFonts w:ascii="Calibri" w:hAnsi="Calibri" w:cs="Times New Roman"/>
          <w:b/>
          <w:sz w:val="24"/>
          <w:szCs w:val="24"/>
          <w:lang w:eastAsia="en-US"/>
        </w:rPr>
        <w:t xml:space="preserve">u </w:t>
      </w:r>
      <w:r w:rsidR="00B5470E" w:rsidRPr="00A774C4">
        <w:rPr>
          <w:rFonts w:ascii="Calibri" w:hAnsi="Calibri" w:cs="Times New Roman"/>
          <w:b/>
          <w:sz w:val="24"/>
          <w:szCs w:val="24"/>
          <w:lang w:eastAsia="en-US"/>
        </w:rPr>
        <w:t xml:space="preserve">vybraných </w:t>
      </w:r>
      <w:r w:rsidRPr="00A774C4">
        <w:rPr>
          <w:rFonts w:ascii="Calibri" w:hAnsi="Calibri" w:cs="Times New Roman"/>
          <w:b/>
          <w:sz w:val="24"/>
          <w:szCs w:val="24"/>
          <w:lang w:eastAsia="en-US"/>
        </w:rPr>
        <w:t xml:space="preserve">příjemců </w:t>
      </w:r>
      <w:r w:rsidR="00B5470E" w:rsidRPr="00A774C4">
        <w:rPr>
          <w:rFonts w:ascii="Calibri" w:hAnsi="Calibri" w:cs="Times New Roman"/>
          <w:b/>
          <w:sz w:val="24"/>
          <w:szCs w:val="24"/>
          <w:lang w:eastAsia="en-US"/>
        </w:rPr>
        <w:t>podpory</w:t>
      </w:r>
      <w:r w:rsidRPr="00A774C4">
        <w:rPr>
          <w:rStyle w:val="Znakapoznpodarou"/>
          <w:rFonts w:ascii="Calibri" w:hAnsi="Calibri"/>
          <w:b/>
          <w:sz w:val="24"/>
          <w:szCs w:val="24"/>
          <w:lang w:eastAsia="en-US"/>
        </w:rPr>
        <w:footnoteReference w:id="5"/>
      </w:r>
      <w:r w:rsidRPr="00A774C4">
        <w:rPr>
          <w:rFonts w:ascii="Calibri" w:hAnsi="Calibri" w:cs="Times New Roman"/>
          <w:b/>
          <w:sz w:val="24"/>
          <w:szCs w:val="24"/>
          <w:lang w:eastAsia="en-US"/>
        </w:rPr>
        <w:t xml:space="preserve"> na </w:t>
      </w:r>
      <w:proofErr w:type="spellStart"/>
      <w:r w:rsidRPr="00A774C4">
        <w:rPr>
          <w:rFonts w:ascii="Calibri" w:hAnsi="Calibri" w:cs="Times New Roman"/>
          <w:b/>
          <w:sz w:val="24"/>
          <w:szCs w:val="24"/>
          <w:lang w:eastAsia="en-US"/>
        </w:rPr>
        <w:t>MZd</w:t>
      </w:r>
      <w:proofErr w:type="spellEnd"/>
      <w:r w:rsidRPr="00A774C4">
        <w:rPr>
          <w:rFonts w:ascii="Calibri" w:hAnsi="Calibri" w:cs="Times New Roman"/>
          <w:b/>
          <w:sz w:val="24"/>
          <w:szCs w:val="24"/>
          <w:lang w:eastAsia="en-US"/>
        </w:rPr>
        <w:t xml:space="preserve">, které investiční </w:t>
      </w:r>
      <w:r w:rsidR="009A47C1" w:rsidRPr="00A774C4">
        <w:rPr>
          <w:rFonts w:ascii="Calibri" w:hAnsi="Calibri" w:cs="Times New Roman"/>
          <w:b/>
          <w:sz w:val="24"/>
          <w:szCs w:val="24"/>
          <w:lang w:eastAsia="en-US"/>
        </w:rPr>
        <w:t>projekty</w:t>
      </w:r>
      <w:r w:rsidRPr="00A774C4">
        <w:rPr>
          <w:rFonts w:ascii="Calibri" w:hAnsi="Calibri" w:cs="Times New Roman"/>
          <w:b/>
          <w:sz w:val="24"/>
          <w:szCs w:val="24"/>
          <w:lang w:eastAsia="en-US"/>
        </w:rPr>
        <w:t xml:space="preserve"> </w:t>
      </w:r>
      <w:proofErr w:type="spellStart"/>
      <w:r w:rsidRPr="00A774C4">
        <w:rPr>
          <w:rFonts w:ascii="Calibri" w:hAnsi="Calibri" w:cs="Times New Roman"/>
          <w:b/>
          <w:sz w:val="24"/>
          <w:szCs w:val="24"/>
          <w:lang w:eastAsia="en-US"/>
        </w:rPr>
        <w:t>předfinancovává</w:t>
      </w:r>
      <w:proofErr w:type="spellEnd"/>
      <w:r w:rsidRPr="00A774C4">
        <w:rPr>
          <w:rFonts w:ascii="Calibri" w:hAnsi="Calibri" w:cs="Times New Roman"/>
          <w:b/>
          <w:sz w:val="24"/>
          <w:szCs w:val="24"/>
          <w:lang w:eastAsia="en-US"/>
        </w:rPr>
        <w:t xml:space="preserve"> ze své kapitoly</w:t>
      </w:r>
      <w:r w:rsidR="00F65E95" w:rsidRPr="00A774C4">
        <w:rPr>
          <w:rFonts w:ascii="Calibri" w:hAnsi="Calibri" w:cs="Times New Roman"/>
          <w:b/>
          <w:sz w:val="24"/>
          <w:szCs w:val="24"/>
          <w:lang w:eastAsia="en-US"/>
        </w:rPr>
        <w:t xml:space="preserve">. </w:t>
      </w:r>
      <w:r w:rsidRPr="00A774C4">
        <w:rPr>
          <w:rFonts w:ascii="Calibri" w:hAnsi="Calibri" w:cs="Times New Roman"/>
          <w:b/>
          <w:sz w:val="24"/>
          <w:szCs w:val="24"/>
          <w:lang w:eastAsia="en-US"/>
        </w:rPr>
        <w:t>MMR</w:t>
      </w:r>
      <w:r w:rsidR="00BD39D1" w:rsidRPr="00A774C4">
        <w:rPr>
          <w:rFonts w:ascii="Calibri" w:hAnsi="Calibri" w:cs="Times New Roman"/>
          <w:b/>
          <w:sz w:val="24"/>
          <w:szCs w:val="24"/>
          <w:lang w:eastAsia="en-US"/>
        </w:rPr>
        <w:t xml:space="preserve"> ale prov</w:t>
      </w:r>
      <w:r w:rsidR="005B2B05" w:rsidRPr="00A774C4">
        <w:rPr>
          <w:rFonts w:ascii="Calibri" w:hAnsi="Calibri" w:cs="Times New Roman"/>
          <w:b/>
          <w:sz w:val="24"/>
          <w:szCs w:val="24"/>
          <w:lang w:eastAsia="en-US"/>
        </w:rPr>
        <w:t>ádí</w:t>
      </w:r>
      <w:r w:rsidR="00BD39D1" w:rsidRPr="00A774C4">
        <w:rPr>
          <w:rFonts w:ascii="Calibri" w:hAnsi="Calibri" w:cs="Times New Roman"/>
          <w:b/>
          <w:sz w:val="24"/>
          <w:szCs w:val="24"/>
          <w:lang w:eastAsia="en-US"/>
        </w:rPr>
        <w:t xml:space="preserve"> kontrolu stanovených podmínek </w:t>
      </w:r>
      <w:r w:rsidRPr="00A774C4">
        <w:rPr>
          <w:rFonts w:ascii="Calibri" w:hAnsi="Calibri" w:cs="Times New Roman"/>
          <w:b/>
          <w:sz w:val="24"/>
          <w:szCs w:val="24"/>
          <w:lang w:eastAsia="en-US"/>
        </w:rPr>
        <w:t>a uhradí způsobilé výdaje projekt</w:t>
      </w:r>
      <w:r w:rsidR="009A47C1" w:rsidRPr="00A774C4">
        <w:rPr>
          <w:rFonts w:ascii="Calibri" w:hAnsi="Calibri" w:cs="Times New Roman"/>
          <w:b/>
          <w:sz w:val="24"/>
          <w:szCs w:val="24"/>
          <w:lang w:eastAsia="en-US"/>
        </w:rPr>
        <w:t>ů</w:t>
      </w:r>
      <w:r w:rsidRPr="00A774C4">
        <w:rPr>
          <w:rFonts w:ascii="Calibri" w:hAnsi="Calibri" w:cs="Times New Roman"/>
          <w:b/>
          <w:sz w:val="24"/>
          <w:szCs w:val="24"/>
          <w:lang w:eastAsia="en-US"/>
        </w:rPr>
        <w:t xml:space="preserve"> </w:t>
      </w:r>
      <w:r w:rsidR="00BD39D1" w:rsidRPr="00A774C4">
        <w:rPr>
          <w:rFonts w:ascii="Calibri" w:hAnsi="Calibri" w:cs="Times New Roman"/>
          <w:b/>
          <w:sz w:val="24"/>
          <w:szCs w:val="24"/>
          <w:lang w:eastAsia="en-US"/>
        </w:rPr>
        <w:t xml:space="preserve">až </w:t>
      </w:r>
      <w:r w:rsidRPr="00A774C4">
        <w:rPr>
          <w:rFonts w:ascii="Calibri" w:hAnsi="Calibri" w:cs="Times New Roman"/>
          <w:b/>
          <w:sz w:val="24"/>
          <w:szCs w:val="24"/>
          <w:lang w:eastAsia="en-US"/>
        </w:rPr>
        <w:t xml:space="preserve">po </w:t>
      </w:r>
      <w:r w:rsidR="009A47C1" w:rsidRPr="00A774C4">
        <w:rPr>
          <w:rFonts w:ascii="Calibri" w:hAnsi="Calibri" w:cs="Times New Roman"/>
          <w:b/>
          <w:sz w:val="24"/>
          <w:szCs w:val="24"/>
          <w:lang w:eastAsia="en-US"/>
        </w:rPr>
        <w:t xml:space="preserve">jejich </w:t>
      </w:r>
      <w:r w:rsidRPr="00A774C4">
        <w:rPr>
          <w:rFonts w:ascii="Calibri" w:hAnsi="Calibri" w:cs="Times New Roman"/>
          <w:b/>
          <w:sz w:val="24"/>
          <w:szCs w:val="24"/>
          <w:lang w:eastAsia="en-US"/>
        </w:rPr>
        <w:t>ukončení</w:t>
      </w:r>
      <w:r w:rsidR="00B5470E" w:rsidRPr="00A774C4">
        <w:rPr>
          <w:rFonts w:ascii="Calibri" w:hAnsi="Calibri" w:cs="Times New Roman"/>
          <w:b/>
          <w:sz w:val="24"/>
          <w:szCs w:val="24"/>
          <w:lang w:eastAsia="en-US"/>
        </w:rPr>
        <w:t>, resp. po ukončení etapy projektu</w:t>
      </w:r>
      <w:r w:rsidR="009A47C1" w:rsidRPr="00A774C4">
        <w:rPr>
          <w:rFonts w:ascii="Calibri" w:hAnsi="Calibri" w:cs="Times New Roman"/>
          <w:b/>
          <w:sz w:val="24"/>
          <w:szCs w:val="24"/>
          <w:lang w:eastAsia="en-US"/>
        </w:rPr>
        <w:t>.</w:t>
      </w:r>
      <w:r w:rsidRPr="00A774C4">
        <w:rPr>
          <w:rFonts w:ascii="Calibri" w:hAnsi="Calibri" w:cs="Times New Roman"/>
          <w:b/>
          <w:sz w:val="24"/>
          <w:szCs w:val="24"/>
          <w:lang w:eastAsia="en-US"/>
        </w:rPr>
        <w:t xml:space="preserve"> </w:t>
      </w:r>
      <w:r w:rsidR="009A47C1" w:rsidRPr="00A774C4">
        <w:rPr>
          <w:rFonts w:ascii="Calibri" w:hAnsi="Calibri" w:cs="Times New Roman"/>
          <w:b/>
          <w:sz w:val="24"/>
          <w:szCs w:val="24"/>
          <w:lang w:eastAsia="en-US"/>
        </w:rPr>
        <w:t>V případě nesrovnalostí</w:t>
      </w:r>
      <w:r w:rsidR="00FD31AB" w:rsidRPr="00A774C4">
        <w:rPr>
          <w:rFonts w:ascii="Calibri" w:hAnsi="Calibri" w:cs="Times New Roman"/>
          <w:b/>
          <w:sz w:val="24"/>
          <w:szCs w:val="24"/>
          <w:lang w:eastAsia="en-US"/>
        </w:rPr>
        <w:t xml:space="preserve"> ze</w:t>
      </w:r>
      <w:r w:rsidR="00612D8E" w:rsidRPr="00A774C4">
        <w:rPr>
          <w:rFonts w:ascii="Calibri" w:hAnsi="Calibri" w:cs="Times New Roman"/>
          <w:b/>
          <w:sz w:val="24"/>
          <w:szCs w:val="24"/>
          <w:lang w:eastAsia="en-US"/>
        </w:rPr>
        <w:t> </w:t>
      </w:r>
      <w:r w:rsidR="00FD31AB" w:rsidRPr="00A774C4">
        <w:rPr>
          <w:rFonts w:ascii="Calibri" w:hAnsi="Calibri" w:cs="Times New Roman"/>
          <w:b/>
          <w:sz w:val="24"/>
          <w:szCs w:val="24"/>
          <w:lang w:eastAsia="en-US"/>
        </w:rPr>
        <w:t>strany příjemce</w:t>
      </w:r>
      <w:r w:rsidR="009A47C1" w:rsidRPr="00A774C4">
        <w:rPr>
          <w:rFonts w:ascii="Calibri" w:hAnsi="Calibri" w:cs="Times New Roman"/>
          <w:b/>
          <w:sz w:val="24"/>
          <w:szCs w:val="24"/>
          <w:lang w:eastAsia="en-US"/>
        </w:rPr>
        <w:t xml:space="preserve"> </w:t>
      </w:r>
      <w:r w:rsidR="00AF6151" w:rsidRPr="00A774C4">
        <w:rPr>
          <w:rFonts w:ascii="Calibri" w:hAnsi="Calibri" w:cs="Times New Roman"/>
          <w:b/>
          <w:sz w:val="24"/>
          <w:szCs w:val="24"/>
          <w:lang w:eastAsia="en-US"/>
        </w:rPr>
        <w:t>nebude</w:t>
      </w:r>
      <w:r w:rsidRPr="00A774C4">
        <w:rPr>
          <w:rFonts w:ascii="Calibri" w:hAnsi="Calibri" w:cs="Times New Roman"/>
          <w:b/>
          <w:sz w:val="24"/>
          <w:szCs w:val="24"/>
          <w:lang w:eastAsia="en-US"/>
        </w:rPr>
        <w:t xml:space="preserve"> dotace z prostředků Evropské unie</w:t>
      </w:r>
      <w:r w:rsidR="0027035D" w:rsidRPr="00A774C4">
        <w:rPr>
          <w:rFonts w:ascii="Calibri" w:hAnsi="Calibri" w:cs="Times New Roman"/>
          <w:b/>
          <w:sz w:val="24"/>
          <w:szCs w:val="24"/>
          <w:lang w:eastAsia="en-US"/>
        </w:rPr>
        <w:t xml:space="preserve"> proplacena</w:t>
      </w:r>
      <w:r w:rsidR="00357AAB" w:rsidRPr="00A774C4">
        <w:rPr>
          <w:rFonts w:ascii="Calibri" w:hAnsi="Calibri" w:cs="Times New Roman"/>
          <w:b/>
          <w:sz w:val="24"/>
          <w:szCs w:val="24"/>
          <w:lang w:eastAsia="en-US"/>
        </w:rPr>
        <w:t xml:space="preserve">, ačkoli </w:t>
      </w:r>
      <w:proofErr w:type="spellStart"/>
      <w:r w:rsidR="00357AAB" w:rsidRPr="00A774C4">
        <w:rPr>
          <w:rFonts w:ascii="Calibri" w:hAnsi="Calibri" w:cs="Times New Roman"/>
          <w:b/>
          <w:sz w:val="24"/>
          <w:szCs w:val="24"/>
          <w:lang w:eastAsia="en-US"/>
        </w:rPr>
        <w:t>MZd</w:t>
      </w:r>
      <w:proofErr w:type="spellEnd"/>
      <w:r w:rsidR="00357AAB" w:rsidRPr="00A774C4">
        <w:rPr>
          <w:rFonts w:ascii="Calibri" w:hAnsi="Calibri" w:cs="Times New Roman"/>
          <w:b/>
          <w:sz w:val="24"/>
          <w:szCs w:val="24"/>
          <w:lang w:eastAsia="en-US"/>
        </w:rPr>
        <w:t xml:space="preserve"> již vynaložilo výdaje ze </w:t>
      </w:r>
      <w:r w:rsidR="005B2B05" w:rsidRPr="00A774C4">
        <w:rPr>
          <w:rFonts w:ascii="Calibri" w:hAnsi="Calibri" w:cs="Times New Roman"/>
          <w:b/>
          <w:sz w:val="24"/>
          <w:szCs w:val="24"/>
          <w:lang w:eastAsia="en-US"/>
        </w:rPr>
        <w:t>státního rozpočtu</w:t>
      </w:r>
      <w:r w:rsidRPr="00A774C4">
        <w:rPr>
          <w:rFonts w:ascii="Calibri" w:hAnsi="Calibri" w:cs="Times New Roman"/>
          <w:b/>
          <w:sz w:val="24"/>
          <w:szCs w:val="24"/>
          <w:lang w:eastAsia="en-US"/>
        </w:rPr>
        <w:t>.</w:t>
      </w:r>
    </w:p>
    <w:p w:rsidR="008423CD" w:rsidRPr="00A774C4" w:rsidRDefault="002C761F" w:rsidP="00A774C4">
      <w:pPr>
        <w:widowControl/>
        <w:autoSpaceDE/>
        <w:adjustRightInd/>
        <w:spacing w:after="120"/>
        <w:jc w:val="both"/>
        <w:rPr>
          <w:rFonts w:ascii="Calibri" w:eastAsia="Times New Roman" w:hAnsi="Calibri" w:cstheme="minorHAnsi"/>
          <w:b/>
          <w:sz w:val="24"/>
          <w:szCs w:val="24"/>
        </w:rPr>
      </w:pPr>
      <w:proofErr w:type="spellStart"/>
      <w:r w:rsidRPr="00A774C4">
        <w:rPr>
          <w:rFonts w:ascii="Calibri" w:hAnsi="Calibri" w:cs="Times New Roman"/>
          <w:b/>
          <w:sz w:val="24"/>
          <w:szCs w:val="24"/>
          <w:lang w:eastAsia="en-US"/>
        </w:rPr>
        <w:t>MZd</w:t>
      </w:r>
      <w:proofErr w:type="spellEnd"/>
      <w:r w:rsidRPr="00A774C4">
        <w:rPr>
          <w:rFonts w:ascii="Calibri" w:hAnsi="Calibri" w:cs="Times New Roman"/>
          <w:b/>
          <w:sz w:val="24"/>
          <w:szCs w:val="24"/>
          <w:lang w:eastAsia="en-US"/>
        </w:rPr>
        <w:t xml:space="preserve"> poskytlo FN Brno prostředky na realizaci projektu, které sloužily ke krytí nezpůsobilých výdajů, přestože to příslušná pravidla neumožňovala. </w:t>
      </w:r>
      <w:r w:rsidRPr="00A774C4">
        <w:rPr>
          <w:rFonts w:ascii="Calibri" w:eastAsia="Times New Roman" w:hAnsi="Calibri" w:cstheme="minorHAnsi"/>
          <w:b/>
          <w:sz w:val="24"/>
          <w:szCs w:val="24"/>
        </w:rPr>
        <w:t xml:space="preserve">Přestože </w:t>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prostřednictvím dotací určených na humanizaci psychiatrické péče vynakládalo peněžní prostředky v řád</w:t>
      </w:r>
      <w:r w:rsidR="00AE6974">
        <w:rPr>
          <w:rFonts w:ascii="Calibri" w:eastAsia="Times New Roman" w:hAnsi="Calibri" w:cstheme="minorHAnsi"/>
          <w:b/>
          <w:sz w:val="24"/>
          <w:szCs w:val="24"/>
        </w:rPr>
        <w:t>u</w:t>
      </w:r>
      <w:r w:rsidRPr="00A774C4">
        <w:rPr>
          <w:rFonts w:ascii="Calibri" w:eastAsia="Times New Roman" w:hAnsi="Calibri" w:cstheme="minorHAnsi"/>
          <w:b/>
          <w:sz w:val="24"/>
          <w:szCs w:val="24"/>
        </w:rPr>
        <w:t xml:space="preserve"> miliard </w:t>
      </w:r>
      <w:r w:rsidR="00AE6974">
        <w:rPr>
          <w:rFonts w:ascii="Calibri" w:eastAsia="Times New Roman" w:hAnsi="Calibri" w:cstheme="minorHAnsi"/>
          <w:b/>
          <w:sz w:val="24"/>
          <w:szCs w:val="24"/>
        </w:rPr>
        <w:t>korun</w:t>
      </w:r>
      <w:r w:rsidRPr="00A774C4">
        <w:rPr>
          <w:rFonts w:ascii="Calibri" w:eastAsia="Times New Roman" w:hAnsi="Calibri" w:cstheme="minorHAnsi"/>
          <w:b/>
          <w:sz w:val="24"/>
          <w:szCs w:val="24"/>
        </w:rPr>
        <w:t xml:space="preserve">, jeho vnitřní kontrolní systém při poskytování i administraci této podpory </w:t>
      </w:r>
      <w:r w:rsidR="000B3BC7" w:rsidRPr="00A774C4">
        <w:rPr>
          <w:rFonts w:ascii="Calibri" w:eastAsia="Times New Roman" w:hAnsi="Calibri" w:cstheme="minorHAnsi"/>
          <w:b/>
          <w:sz w:val="24"/>
          <w:szCs w:val="24"/>
        </w:rPr>
        <w:t>nebyl funkční</w:t>
      </w:r>
      <w:r w:rsidRPr="00A774C4">
        <w:rPr>
          <w:rFonts w:ascii="Calibri" w:eastAsia="Times New Roman" w:hAnsi="Calibri" w:cstheme="minorHAnsi"/>
          <w:b/>
          <w:sz w:val="24"/>
          <w:szCs w:val="24"/>
        </w:rPr>
        <w:t xml:space="preserve">. </w:t>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u</w:t>
      </w:r>
      <w:r w:rsidR="00642C69" w:rsidRPr="00A774C4">
        <w:rPr>
          <w:rFonts w:ascii="Calibri" w:eastAsia="Times New Roman" w:hAnsi="Calibri" w:cstheme="minorHAnsi"/>
          <w:b/>
          <w:sz w:val="24"/>
          <w:szCs w:val="24"/>
        </w:rPr>
        <w:t> </w:t>
      </w:r>
      <w:r w:rsidRPr="00A774C4">
        <w:rPr>
          <w:rFonts w:ascii="Calibri" w:eastAsia="Times New Roman" w:hAnsi="Calibri" w:cstheme="minorHAnsi"/>
          <w:b/>
          <w:sz w:val="24"/>
          <w:szCs w:val="24"/>
        </w:rPr>
        <w:t>příjemců dotací v rámci obou programů neprovedlo žádnou veřejnosprávní kontrolu</w:t>
      </w:r>
      <w:r w:rsidR="00B50433" w:rsidRPr="00A774C4">
        <w:rPr>
          <w:rFonts w:ascii="Calibri" w:eastAsia="Times New Roman" w:hAnsi="Calibri" w:cstheme="minorHAnsi"/>
          <w:b/>
          <w:sz w:val="24"/>
          <w:szCs w:val="24"/>
        </w:rPr>
        <w:t>.</w:t>
      </w:r>
      <w:r w:rsidR="00146113" w:rsidRPr="00A774C4">
        <w:rPr>
          <w:rFonts w:ascii="Calibri" w:eastAsia="Times New Roman" w:hAnsi="Calibri" w:cstheme="minorHAnsi"/>
          <w:b/>
          <w:sz w:val="24"/>
          <w:szCs w:val="24"/>
        </w:rPr>
        <w:t xml:space="preserve"> </w:t>
      </w:r>
      <w:r w:rsidR="00B50433" w:rsidRPr="00A774C4">
        <w:rPr>
          <w:rFonts w:ascii="Calibri" w:eastAsia="Times New Roman" w:hAnsi="Calibri" w:cstheme="minorHAnsi"/>
          <w:b/>
          <w:sz w:val="24"/>
          <w:szCs w:val="24"/>
        </w:rPr>
        <w:t>V</w:t>
      </w:r>
      <w:r w:rsidR="00146113" w:rsidRPr="00A774C4">
        <w:rPr>
          <w:rFonts w:ascii="Calibri" w:eastAsia="Times New Roman" w:hAnsi="Calibri" w:cstheme="minorHAnsi"/>
          <w:b/>
          <w:sz w:val="24"/>
          <w:szCs w:val="24"/>
        </w:rPr>
        <w:t xml:space="preserve"> některých případech zařadilo </w:t>
      </w:r>
      <w:r w:rsidR="00146113" w:rsidRPr="00A774C4">
        <w:rPr>
          <w:rFonts w:ascii="Calibri" w:hAnsi="Calibri" w:cs="Times New Roman"/>
          <w:b/>
          <w:sz w:val="24"/>
          <w:szCs w:val="24"/>
          <w:lang w:eastAsia="en-US"/>
        </w:rPr>
        <w:t>do hodnoticího procesu i žádosti, které nesplňovaly všechny náležitosti</w:t>
      </w:r>
      <w:r w:rsidR="00AE6974">
        <w:rPr>
          <w:rFonts w:ascii="Calibri" w:hAnsi="Calibri" w:cs="Times New Roman"/>
          <w:b/>
          <w:sz w:val="24"/>
          <w:szCs w:val="24"/>
          <w:lang w:eastAsia="en-US"/>
        </w:rPr>
        <w:t>,</w:t>
      </w:r>
      <w:r w:rsidR="00B50433" w:rsidRPr="00A774C4">
        <w:rPr>
          <w:rFonts w:ascii="Calibri" w:hAnsi="Calibri" w:cs="Times New Roman"/>
          <w:b/>
          <w:sz w:val="24"/>
          <w:szCs w:val="24"/>
          <w:lang w:eastAsia="en-US"/>
        </w:rPr>
        <w:t xml:space="preserve"> a</w:t>
      </w:r>
      <w:r w:rsidR="00642C69" w:rsidRPr="00A774C4">
        <w:rPr>
          <w:rFonts w:ascii="Calibri" w:hAnsi="Calibri" w:cs="Times New Roman"/>
          <w:b/>
          <w:sz w:val="24"/>
          <w:szCs w:val="24"/>
          <w:lang w:eastAsia="en-US"/>
        </w:rPr>
        <w:t> </w:t>
      </w:r>
      <w:r w:rsidR="00146113" w:rsidRPr="00A774C4">
        <w:rPr>
          <w:rFonts w:ascii="Calibri" w:hAnsi="Calibri" w:cs="Times New Roman"/>
          <w:b/>
          <w:sz w:val="24"/>
          <w:szCs w:val="24"/>
          <w:lang w:eastAsia="en-US"/>
        </w:rPr>
        <w:t xml:space="preserve">jejich samotné hodnocení bylo </w:t>
      </w:r>
      <w:r w:rsidR="000B3BC7" w:rsidRPr="00A774C4">
        <w:rPr>
          <w:rFonts w:ascii="Calibri" w:hAnsi="Calibri" w:cs="Times New Roman"/>
          <w:b/>
          <w:sz w:val="24"/>
          <w:szCs w:val="24"/>
          <w:lang w:eastAsia="en-US"/>
        </w:rPr>
        <w:t xml:space="preserve">ze strany </w:t>
      </w:r>
      <w:proofErr w:type="spellStart"/>
      <w:r w:rsidR="00146113" w:rsidRPr="00A774C4">
        <w:rPr>
          <w:rFonts w:ascii="Calibri" w:hAnsi="Calibri" w:cs="Times New Roman"/>
          <w:b/>
          <w:sz w:val="24"/>
          <w:szCs w:val="24"/>
          <w:lang w:eastAsia="en-US"/>
        </w:rPr>
        <w:t>MZd</w:t>
      </w:r>
      <w:proofErr w:type="spellEnd"/>
      <w:r w:rsidR="00146113" w:rsidRPr="00A774C4">
        <w:rPr>
          <w:rFonts w:ascii="Calibri" w:hAnsi="Calibri" w:cs="Times New Roman"/>
          <w:b/>
          <w:sz w:val="24"/>
          <w:szCs w:val="24"/>
          <w:lang w:eastAsia="en-US"/>
        </w:rPr>
        <w:t xml:space="preserve"> netransparentní.</w:t>
      </w:r>
    </w:p>
    <w:p w:rsidR="008423CD" w:rsidRPr="00A774C4" w:rsidRDefault="002C761F" w:rsidP="00A774C4">
      <w:pPr>
        <w:widowControl/>
        <w:autoSpaceDE/>
        <w:adjustRightInd/>
        <w:spacing w:after="120"/>
        <w:jc w:val="both"/>
        <w:rPr>
          <w:rFonts w:ascii="Calibri" w:hAnsi="Calibri" w:cs="Times New Roman"/>
          <w:b/>
          <w:sz w:val="24"/>
          <w:szCs w:val="24"/>
          <w:lang w:eastAsia="en-US"/>
        </w:rPr>
      </w:pPr>
      <w:r w:rsidRPr="00A774C4">
        <w:rPr>
          <w:rFonts w:ascii="Calibri" w:hAnsi="Calibri" w:cs="Times New Roman"/>
          <w:b/>
          <w:sz w:val="24"/>
          <w:szCs w:val="24"/>
          <w:lang w:eastAsia="en-US"/>
        </w:rPr>
        <w:t>MMR důsledně nevyžadovalo splnění jím stanovených podmínek k vydání právního aktu pro</w:t>
      </w:r>
      <w:r w:rsidR="00642C69" w:rsidRPr="00A774C4">
        <w:rPr>
          <w:rFonts w:ascii="Calibri" w:hAnsi="Calibri" w:cs="Times New Roman"/>
          <w:b/>
          <w:sz w:val="24"/>
          <w:szCs w:val="24"/>
          <w:lang w:eastAsia="en-US"/>
        </w:rPr>
        <w:t> </w:t>
      </w:r>
      <w:r w:rsidRPr="00A774C4">
        <w:rPr>
          <w:rFonts w:ascii="Calibri" w:hAnsi="Calibri" w:cs="Times New Roman"/>
          <w:b/>
          <w:sz w:val="24"/>
          <w:szCs w:val="24"/>
          <w:lang w:eastAsia="en-US"/>
        </w:rPr>
        <w:t xml:space="preserve">poskytnutí dotace. </w:t>
      </w:r>
      <w:r w:rsidR="00AF6151" w:rsidRPr="00A774C4">
        <w:rPr>
          <w:rFonts w:ascii="Calibri" w:eastAsia="Times New Roman" w:hAnsi="Calibri" w:cstheme="minorHAnsi"/>
          <w:b/>
          <w:sz w:val="24"/>
          <w:szCs w:val="24"/>
        </w:rPr>
        <w:t>MMR při kontrole nepostupovalo v souladu s operačním manuálem IROP a hlavními cíli finanční kontroly.</w:t>
      </w:r>
      <w:r w:rsidRPr="00A774C4">
        <w:rPr>
          <w:rFonts w:ascii="Calibri" w:hAnsi="Calibri" w:cs="Times New Roman"/>
          <w:b/>
          <w:sz w:val="24"/>
          <w:szCs w:val="24"/>
          <w:lang w:eastAsia="en-US"/>
        </w:rPr>
        <w:t xml:space="preserve"> </w:t>
      </w:r>
    </w:p>
    <w:p w:rsidR="00947BCC" w:rsidRPr="00A774C4" w:rsidRDefault="002C761F" w:rsidP="00A774C4">
      <w:pPr>
        <w:widowControl/>
        <w:autoSpaceDE/>
        <w:autoSpaceDN/>
        <w:adjustRightInd/>
        <w:spacing w:after="120"/>
        <w:jc w:val="both"/>
        <w:rPr>
          <w:rFonts w:ascii="Calibri" w:hAnsi="Calibri" w:cs="Times New Roman"/>
          <w:b/>
          <w:sz w:val="24"/>
          <w:szCs w:val="24"/>
          <w:lang w:eastAsia="en-US"/>
        </w:rPr>
      </w:pPr>
      <w:r w:rsidRPr="00A774C4">
        <w:rPr>
          <w:rFonts w:ascii="Calibri" w:hAnsi="Calibri" w:cs="Times New Roman"/>
          <w:b/>
          <w:sz w:val="24"/>
          <w:szCs w:val="24"/>
          <w:lang w:eastAsia="en-US"/>
        </w:rPr>
        <w:t>U</w:t>
      </w:r>
      <w:r w:rsidR="001F7EC0" w:rsidRPr="00A774C4">
        <w:rPr>
          <w:rFonts w:ascii="Calibri" w:hAnsi="Calibri" w:cs="Times New Roman"/>
          <w:b/>
          <w:sz w:val="24"/>
          <w:szCs w:val="24"/>
          <w:lang w:eastAsia="en-US"/>
        </w:rPr>
        <w:t xml:space="preserve"> vybraných</w:t>
      </w:r>
      <w:r w:rsidRPr="00A774C4">
        <w:rPr>
          <w:rFonts w:ascii="Calibri" w:hAnsi="Calibri" w:cs="Times New Roman"/>
          <w:b/>
          <w:sz w:val="24"/>
          <w:szCs w:val="24"/>
          <w:lang w:eastAsia="en-US"/>
        </w:rPr>
        <w:t xml:space="preserve"> příjemců podpory NKÚ nezjistil žádn</w:t>
      </w:r>
      <w:r w:rsidR="00BD3A9B" w:rsidRPr="00A774C4">
        <w:rPr>
          <w:rFonts w:ascii="Calibri" w:hAnsi="Calibri" w:cs="Times New Roman"/>
          <w:b/>
          <w:sz w:val="24"/>
          <w:szCs w:val="24"/>
          <w:lang w:eastAsia="en-US"/>
        </w:rPr>
        <w:t>é</w:t>
      </w:r>
      <w:r w:rsidRPr="00A774C4">
        <w:rPr>
          <w:rFonts w:ascii="Calibri" w:hAnsi="Calibri" w:cs="Times New Roman"/>
          <w:b/>
          <w:sz w:val="24"/>
          <w:szCs w:val="24"/>
          <w:lang w:eastAsia="en-US"/>
        </w:rPr>
        <w:t xml:space="preserve"> významn</w:t>
      </w:r>
      <w:r w:rsidR="00BD3A9B" w:rsidRPr="00A774C4">
        <w:rPr>
          <w:rFonts w:ascii="Calibri" w:hAnsi="Calibri" w:cs="Times New Roman"/>
          <w:b/>
          <w:sz w:val="24"/>
          <w:szCs w:val="24"/>
          <w:lang w:eastAsia="en-US"/>
        </w:rPr>
        <w:t>é</w:t>
      </w:r>
      <w:r w:rsidRPr="00A774C4">
        <w:rPr>
          <w:rFonts w:ascii="Calibri" w:hAnsi="Calibri" w:cs="Times New Roman"/>
          <w:b/>
          <w:sz w:val="24"/>
          <w:szCs w:val="24"/>
          <w:lang w:eastAsia="en-US"/>
        </w:rPr>
        <w:t xml:space="preserve"> </w:t>
      </w:r>
      <w:r w:rsidR="00BD3A9B" w:rsidRPr="00A774C4">
        <w:rPr>
          <w:rFonts w:ascii="Calibri" w:hAnsi="Calibri" w:cs="Times New Roman"/>
          <w:b/>
          <w:sz w:val="24"/>
          <w:szCs w:val="24"/>
          <w:lang w:eastAsia="en-US"/>
        </w:rPr>
        <w:t>nedostatky</w:t>
      </w:r>
      <w:r w:rsidR="001C713D" w:rsidRPr="00A774C4">
        <w:rPr>
          <w:rFonts w:ascii="Calibri" w:hAnsi="Calibri" w:cs="Times New Roman"/>
          <w:b/>
          <w:sz w:val="24"/>
          <w:szCs w:val="24"/>
          <w:lang w:eastAsia="en-US"/>
        </w:rPr>
        <w:t>, neúčeln</w:t>
      </w:r>
      <w:r w:rsidR="0041383C" w:rsidRPr="00A774C4">
        <w:rPr>
          <w:rFonts w:ascii="Calibri" w:hAnsi="Calibri" w:cs="Times New Roman"/>
          <w:b/>
          <w:sz w:val="24"/>
          <w:szCs w:val="24"/>
          <w:lang w:eastAsia="en-US"/>
        </w:rPr>
        <w:t>ost</w:t>
      </w:r>
      <w:r w:rsidR="00BD3A9B" w:rsidRPr="00A774C4">
        <w:rPr>
          <w:rFonts w:ascii="Calibri" w:hAnsi="Calibri" w:cs="Times New Roman"/>
          <w:b/>
          <w:sz w:val="24"/>
          <w:szCs w:val="24"/>
          <w:lang w:eastAsia="en-US"/>
        </w:rPr>
        <w:t xml:space="preserve"> </w:t>
      </w:r>
      <w:r w:rsidRPr="00A774C4">
        <w:rPr>
          <w:rFonts w:ascii="Calibri" w:hAnsi="Calibri" w:cs="Times New Roman"/>
          <w:b/>
          <w:sz w:val="24"/>
          <w:szCs w:val="24"/>
          <w:lang w:eastAsia="en-US"/>
        </w:rPr>
        <w:t>ani nehospodárnost při čerpání finančních prostředků.</w:t>
      </w:r>
    </w:p>
    <w:p w:rsidR="00BD1891" w:rsidRPr="00A774C4" w:rsidRDefault="002C761F" w:rsidP="00EA7B40">
      <w:pPr>
        <w:keepNext/>
        <w:widowControl/>
        <w:tabs>
          <w:tab w:val="left" w:pos="0"/>
        </w:tabs>
        <w:autoSpaceDE/>
        <w:autoSpaceDN/>
        <w:adjustRightInd/>
        <w:spacing w:after="120"/>
        <w:jc w:val="both"/>
        <w:rPr>
          <w:rFonts w:ascii="Calibri" w:hAnsi="Calibri" w:cs="Calibri"/>
          <w:sz w:val="24"/>
          <w:szCs w:val="24"/>
          <w:lang w:eastAsia="en-US"/>
        </w:rPr>
      </w:pPr>
      <w:r w:rsidRPr="00A774C4">
        <w:rPr>
          <w:rFonts w:ascii="Calibri" w:hAnsi="Calibri" w:cs="Calibri"/>
          <w:sz w:val="24"/>
          <w:szCs w:val="24"/>
          <w:lang w:eastAsia="en-US"/>
        </w:rPr>
        <w:t>Výše uvedené celkové vyhodnocení vyplývá z následujících zjištění:</w:t>
      </w:r>
    </w:p>
    <w:p w:rsidR="00104A98" w:rsidRPr="00A774C4" w:rsidRDefault="002C761F" w:rsidP="00EA7B40">
      <w:pPr>
        <w:widowControl/>
        <w:tabs>
          <w:tab w:val="left" w:pos="426"/>
        </w:tabs>
        <w:spacing w:after="120"/>
        <w:ind w:left="426" w:hanging="426"/>
        <w:jc w:val="both"/>
        <w:rPr>
          <w:rFonts w:ascii="Calibri" w:eastAsia="Times New Roman" w:hAnsi="Calibri" w:cstheme="minorHAnsi"/>
          <w:sz w:val="24"/>
          <w:szCs w:val="24"/>
          <w:lang w:eastAsia="en-US"/>
        </w:rPr>
      </w:pPr>
      <w:r w:rsidRPr="00EA7B40">
        <w:rPr>
          <w:rFonts w:ascii="Calibri" w:eastAsia="Times New Roman" w:hAnsi="Calibri" w:cstheme="minorHAnsi"/>
          <w:b/>
          <w:sz w:val="24"/>
          <w:szCs w:val="24"/>
          <w:lang w:eastAsia="en-US"/>
        </w:rPr>
        <w:t>1</w:t>
      </w:r>
      <w:r w:rsidR="00DE2DD3" w:rsidRPr="00EA7B40">
        <w:rPr>
          <w:rFonts w:ascii="Calibri" w:eastAsia="Times New Roman" w:hAnsi="Calibri" w:cstheme="minorHAnsi"/>
          <w:b/>
          <w:sz w:val="24"/>
          <w:szCs w:val="24"/>
          <w:lang w:eastAsia="en-US"/>
        </w:rPr>
        <w:t xml:space="preserve">. </w:t>
      </w:r>
      <w:r w:rsidR="00EA7B40" w:rsidRPr="00EA7B40">
        <w:rPr>
          <w:rFonts w:ascii="Calibri" w:eastAsia="Times New Roman" w:hAnsi="Calibri" w:cstheme="minorHAnsi"/>
          <w:b/>
          <w:sz w:val="24"/>
          <w:szCs w:val="24"/>
          <w:lang w:eastAsia="en-US"/>
        </w:rPr>
        <w:tab/>
      </w:r>
      <w:r w:rsidR="00DE2DD3" w:rsidRPr="00A774C4">
        <w:rPr>
          <w:rFonts w:ascii="Calibri" w:eastAsia="Times New Roman" w:hAnsi="Calibri" w:cstheme="minorHAnsi"/>
          <w:b/>
          <w:sz w:val="24"/>
          <w:szCs w:val="24"/>
          <w:lang w:eastAsia="en-US"/>
        </w:rPr>
        <w:t xml:space="preserve">MMR nezajistilo, aby bylo možné </w:t>
      </w:r>
      <w:r w:rsidR="00A244AD" w:rsidRPr="00A774C4">
        <w:rPr>
          <w:rFonts w:ascii="Calibri" w:eastAsia="Times New Roman" w:hAnsi="Calibri" w:cstheme="minorHAnsi"/>
          <w:b/>
          <w:sz w:val="24"/>
          <w:szCs w:val="24"/>
          <w:lang w:eastAsia="en-US"/>
        </w:rPr>
        <w:t xml:space="preserve">v plném rozsahu </w:t>
      </w:r>
      <w:r w:rsidR="00DE2DD3" w:rsidRPr="00A774C4">
        <w:rPr>
          <w:rFonts w:ascii="Calibri" w:eastAsia="Times New Roman" w:hAnsi="Calibri" w:cstheme="minorHAnsi"/>
          <w:b/>
          <w:sz w:val="24"/>
          <w:szCs w:val="24"/>
          <w:lang w:eastAsia="en-US"/>
        </w:rPr>
        <w:t xml:space="preserve">zhodnotit dopad, resp. účelnost poskytnuté podpory z IROP pro oblast </w:t>
      </w:r>
      <w:proofErr w:type="spellStart"/>
      <w:r w:rsidR="00DE2DD3" w:rsidRPr="00A774C4">
        <w:rPr>
          <w:rFonts w:ascii="Calibri" w:eastAsia="Times New Roman" w:hAnsi="Calibri" w:cstheme="minorHAnsi"/>
          <w:b/>
          <w:sz w:val="24"/>
          <w:szCs w:val="24"/>
          <w:lang w:eastAsia="en-US"/>
        </w:rPr>
        <w:t>deinstitucionalizace</w:t>
      </w:r>
      <w:proofErr w:type="spellEnd"/>
      <w:r w:rsidR="00DE2DD3" w:rsidRPr="00A774C4">
        <w:rPr>
          <w:rFonts w:ascii="Calibri" w:eastAsia="Times New Roman" w:hAnsi="Calibri" w:cstheme="minorHAnsi"/>
          <w:b/>
          <w:sz w:val="24"/>
          <w:szCs w:val="24"/>
          <w:lang w:eastAsia="en-US"/>
        </w:rPr>
        <w:t xml:space="preserve"> psychiatrické péče. </w:t>
      </w:r>
      <w:r w:rsidR="00DE2DD3" w:rsidRPr="00A774C4">
        <w:rPr>
          <w:rFonts w:ascii="Calibri" w:eastAsia="Times New Roman" w:hAnsi="Calibri" w:cstheme="minorHAnsi"/>
          <w:sz w:val="24"/>
          <w:szCs w:val="24"/>
          <w:lang w:eastAsia="en-US"/>
        </w:rPr>
        <w:t xml:space="preserve">MMR nastavilo pouze jediný specifický programový indikátor výsledku </w:t>
      </w:r>
      <w:r w:rsidR="00AE6974">
        <w:rPr>
          <w:rFonts w:ascii="Calibri" w:eastAsia="Times New Roman" w:hAnsi="Calibri" w:cstheme="minorHAnsi"/>
          <w:i/>
          <w:sz w:val="24"/>
          <w:szCs w:val="24"/>
          <w:lang w:eastAsia="en-US"/>
        </w:rPr>
        <w:t>p</w:t>
      </w:r>
      <w:r w:rsidR="00DE2DD3" w:rsidRPr="00A774C4">
        <w:rPr>
          <w:rFonts w:ascii="Calibri" w:eastAsia="Times New Roman" w:hAnsi="Calibri" w:cstheme="minorHAnsi"/>
          <w:i/>
          <w:sz w:val="24"/>
          <w:szCs w:val="24"/>
          <w:lang w:eastAsia="en-US"/>
        </w:rPr>
        <w:t xml:space="preserve">růměrná délka </w:t>
      </w:r>
      <w:r w:rsidR="00DE2DD3" w:rsidRPr="00A774C4">
        <w:rPr>
          <w:rFonts w:ascii="Calibri" w:eastAsia="Times New Roman" w:hAnsi="Calibri" w:cstheme="minorHAnsi"/>
          <w:i/>
          <w:sz w:val="24"/>
          <w:szCs w:val="24"/>
          <w:lang w:eastAsia="en-US"/>
        </w:rPr>
        <w:lastRenderedPageBreak/>
        <w:t>hospitalizace v institucích dlouhodobé psychiatrické péče</w:t>
      </w:r>
      <w:r w:rsidR="00DE2DD3" w:rsidRPr="00A774C4">
        <w:rPr>
          <w:rFonts w:ascii="Calibri" w:eastAsia="Times New Roman" w:hAnsi="Calibri" w:cstheme="minorHAnsi"/>
          <w:sz w:val="24"/>
          <w:szCs w:val="24"/>
          <w:lang w:eastAsia="en-US"/>
        </w:rPr>
        <w:t xml:space="preserve"> a v jeho rámci sleduje data </w:t>
      </w:r>
      <w:r w:rsidR="00E50392" w:rsidRPr="00A774C4">
        <w:rPr>
          <w:rFonts w:ascii="Calibri" w:eastAsia="Times New Roman" w:hAnsi="Calibri" w:cstheme="minorHAnsi"/>
          <w:sz w:val="24"/>
          <w:szCs w:val="24"/>
          <w:lang w:eastAsia="en-US"/>
        </w:rPr>
        <w:t>jen</w:t>
      </w:r>
      <w:r w:rsidR="00DE2DD3" w:rsidRPr="00A774C4">
        <w:rPr>
          <w:rFonts w:ascii="Calibri" w:eastAsia="Times New Roman" w:hAnsi="Calibri" w:cstheme="minorHAnsi"/>
          <w:sz w:val="24"/>
          <w:szCs w:val="24"/>
          <w:lang w:eastAsia="en-US"/>
        </w:rPr>
        <w:t xml:space="preserve"> pro úzce vymezenou část cílové skupiny</w:t>
      </w:r>
      <w:r w:rsidRPr="00A774C4">
        <w:rPr>
          <w:rStyle w:val="Znakapoznpodarou"/>
          <w:rFonts w:ascii="Calibri" w:eastAsia="Times New Roman" w:hAnsi="Calibri" w:cstheme="minorHAnsi"/>
          <w:sz w:val="24"/>
          <w:szCs w:val="24"/>
          <w:lang w:eastAsia="en-US"/>
        </w:rPr>
        <w:footnoteReference w:id="6"/>
      </w:r>
      <w:r w:rsidR="00DE2DD3" w:rsidRPr="00A774C4">
        <w:rPr>
          <w:rFonts w:ascii="Calibri" w:eastAsia="Times New Roman" w:hAnsi="Calibri" w:cstheme="minorHAnsi"/>
          <w:sz w:val="24"/>
          <w:szCs w:val="24"/>
          <w:lang w:eastAsia="en-US"/>
        </w:rPr>
        <w:t>.</w:t>
      </w:r>
    </w:p>
    <w:p w:rsidR="0071204F" w:rsidRPr="00A774C4" w:rsidRDefault="002C761F" w:rsidP="00EA7B40">
      <w:pPr>
        <w:widowControl/>
        <w:tabs>
          <w:tab w:val="left" w:pos="0"/>
          <w:tab w:val="left" w:pos="426"/>
        </w:tabs>
        <w:autoSpaceDE/>
        <w:autoSpaceDN/>
        <w:adjustRightInd/>
        <w:spacing w:after="120"/>
        <w:ind w:left="426" w:hanging="426"/>
        <w:jc w:val="both"/>
        <w:rPr>
          <w:rFonts w:ascii="Calibri" w:eastAsia="Times New Roman" w:hAnsi="Calibri" w:cstheme="minorHAnsi"/>
          <w:sz w:val="24"/>
          <w:szCs w:val="24"/>
          <w:lang w:eastAsia="en-US"/>
        </w:rPr>
      </w:pPr>
      <w:r w:rsidRPr="00EA7B40">
        <w:rPr>
          <w:rFonts w:ascii="Calibri" w:hAnsi="Calibri" w:cstheme="minorHAnsi"/>
          <w:b/>
          <w:sz w:val="24"/>
          <w:szCs w:val="24"/>
          <w:lang w:eastAsia="en-US"/>
        </w:rPr>
        <w:t>2</w:t>
      </w:r>
      <w:r w:rsidR="00104A98" w:rsidRPr="00EA7B40">
        <w:rPr>
          <w:rFonts w:ascii="Calibri" w:hAnsi="Calibri" w:cstheme="minorHAnsi"/>
          <w:b/>
          <w:sz w:val="24"/>
          <w:szCs w:val="24"/>
          <w:lang w:eastAsia="en-US"/>
        </w:rPr>
        <w:t xml:space="preserve">. </w:t>
      </w:r>
      <w:r w:rsidR="00EA7B40" w:rsidRPr="00EA7B40">
        <w:rPr>
          <w:rFonts w:ascii="Calibri" w:hAnsi="Calibri" w:cstheme="minorHAnsi"/>
          <w:b/>
          <w:sz w:val="24"/>
          <w:szCs w:val="24"/>
          <w:lang w:eastAsia="en-US"/>
        </w:rPr>
        <w:tab/>
      </w:r>
      <w:r w:rsidR="00104A98" w:rsidRPr="00A774C4">
        <w:rPr>
          <w:rFonts w:ascii="Calibri" w:eastAsia="Times New Roman" w:hAnsi="Calibri" w:cstheme="minorHAnsi"/>
          <w:b/>
          <w:sz w:val="24"/>
          <w:szCs w:val="24"/>
          <w:lang w:eastAsia="en-US"/>
        </w:rPr>
        <w:t>MMR nestanovilo pro projekty podpořené v rámci výzvy č. 54 a výzvy č. 75 výsledkové indikátory tak, aby mohlo sledovat a vyhodnocovat účelnost poskytnutých peněžních prostředků.</w:t>
      </w:r>
      <w:r w:rsidR="00104A98" w:rsidRPr="00A774C4">
        <w:rPr>
          <w:rFonts w:ascii="Calibri" w:eastAsia="Times New Roman" w:hAnsi="Calibri" w:cstheme="minorHAnsi"/>
          <w:sz w:val="24"/>
          <w:szCs w:val="24"/>
          <w:lang w:eastAsia="en-US"/>
        </w:rPr>
        <w:t xml:space="preserve"> Na základě nastavené sady indikátorů není možné posoudit dopad podpory na</w:t>
      </w:r>
      <w:r w:rsidR="00612D8E" w:rsidRPr="00A774C4">
        <w:rPr>
          <w:rFonts w:ascii="Calibri" w:eastAsia="Times New Roman" w:hAnsi="Calibri" w:cstheme="minorHAnsi"/>
          <w:sz w:val="24"/>
          <w:szCs w:val="24"/>
          <w:lang w:eastAsia="en-US"/>
        </w:rPr>
        <w:t> </w:t>
      </w:r>
      <w:r w:rsidR="00104A98" w:rsidRPr="00A774C4">
        <w:rPr>
          <w:rFonts w:ascii="Calibri" w:eastAsia="Times New Roman" w:hAnsi="Calibri" w:cstheme="minorHAnsi"/>
          <w:sz w:val="24"/>
          <w:szCs w:val="24"/>
          <w:lang w:eastAsia="en-US"/>
        </w:rPr>
        <w:t xml:space="preserve">cílovou skupinu, tj. na osoby s duševními poruchami a poruchami chování a jejich rodiny. </w:t>
      </w:r>
      <w:r w:rsidR="00A3733F" w:rsidRPr="00A774C4">
        <w:rPr>
          <w:rFonts w:ascii="Calibri" w:eastAsia="Times New Roman" w:hAnsi="Calibri" w:cstheme="minorHAnsi"/>
          <w:sz w:val="24"/>
          <w:szCs w:val="24"/>
          <w:lang w:eastAsia="en-US"/>
        </w:rPr>
        <w:t xml:space="preserve">Navíc u jednoho kontrolovaného projektu </w:t>
      </w:r>
      <w:r w:rsidR="0088257B" w:rsidRPr="00A774C4">
        <w:rPr>
          <w:rFonts w:ascii="Calibri" w:eastAsia="Times New Roman" w:hAnsi="Calibri" w:cstheme="minorHAnsi"/>
          <w:sz w:val="24"/>
          <w:szCs w:val="24"/>
          <w:lang w:eastAsia="en-US"/>
        </w:rPr>
        <w:t>se schválenou dotací 5,86 mil. Kč z</w:t>
      </w:r>
      <w:r w:rsidR="004D5158" w:rsidRPr="00A774C4">
        <w:rPr>
          <w:rFonts w:ascii="Calibri" w:eastAsia="Times New Roman" w:hAnsi="Calibri" w:cstheme="minorHAnsi"/>
          <w:sz w:val="24"/>
          <w:szCs w:val="24"/>
          <w:lang w:eastAsia="en-US"/>
        </w:rPr>
        <w:t> Evropského fondu pro regionální rozvoj (dále také „</w:t>
      </w:r>
      <w:r w:rsidR="0088257B" w:rsidRPr="00A774C4">
        <w:rPr>
          <w:rFonts w:ascii="Calibri" w:eastAsia="Times New Roman" w:hAnsi="Calibri" w:cstheme="minorHAnsi"/>
          <w:sz w:val="24"/>
          <w:szCs w:val="24"/>
          <w:lang w:eastAsia="en-US"/>
        </w:rPr>
        <w:t>EFRR</w:t>
      </w:r>
      <w:r w:rsidR="004D5158" w:rsidRPr="00A774C4">
        <w:rPr>
          <w:rFonts w:ascii="Calibri" w:eastAsia="Times New Roman" w:hAnsi="Calibri" w:cstheme="minorHAnsi"/>
          <w:sz w:val="24"/>
          <w:szCs w:val="24"/>
          <w:lang w:eastAsia="en-US"/>
        </w:rPr>
        <w:t>“)</w:t>
      </w:r>
      <w:r w:rsidR="0088257B" w:rsidRPr="00A774C4">
        <w:rPr>
          <w:rFonts w:ascii="Calibri" w:eastAsia="Times New Roman" w:hAnsi="Calibri" w:cstheme="minorHAnsi"/>
          <w:sz w:val="24"/>
          <w:szCs w:val="24"/>
          <w:lang w:eastAsia="en-US"/>
        </w:rPr>
        <w:t xml:space="preserve"> </w:t>
      </w:r>
      <w:r w:rsidR="00A3733F" w:rsidRPr="00A774C4">
        <w:rPr>
          <w:rFonts w:ascii="Calibri" w:eastAsia="Times New Roman" w:hAnsi="Calibri" w:cstheme="minorHAnsi"/>
          <w:sz w:val="24"/>
          <w:szCs w:val="24"/>
          <w:lang w:eastAsia="en-US"/>
        </w:rPr>
        <w:t>stanovilo MMR shodně výchozí a cílovou hodnotu výs</w:t>
      </w:r>
      <w:r w:rsidR="0088257B" w:rsidRPr="00A774C4">
        <w:rPr>
          <w:rFonts w:ascii="Calibri" w:eastAsia="Times New Roman" w:hAnsi="Calibri" w:cstheme="minorHAnsi"/>
          <w:sz w:val="24"/>
          <w:szCs w:val="24"/>
          <w:lang w:eastAsia="en-US"/>
        </w:rPr>
        <w:t>ledkového indikátoru.</w:t>
      </w:r>
      <w:r w:rsidR="00A3733F" w:rsidRPr="00A774C4">
        <w:rPr>
          <w:rFonts w:ascii="Calibri" w:eastAsia="Times New Roman" w:hAnsi="Calibri" w:cstheme="minorHAnsi"/>
          <w:sz w:val="24"/>
          <w:szCs w:val="24"/>
          <w:lang w:eastAsia="en-US"/>
        </w:rPr>
        <w:t xml:space="preserve"> MMR</w:t>
      </w:r>
      <w:r w:rsidR="00645F62" w:rsidRPr="00A774C4">
        <w:rPr>
          <w:rFonts w:ascii="Calibri" w:eastAsia="Times New Roman" w:hAnsi="Calibri" w:cstheme="minorHAnsi"/>
          <w:sz w:val="24"/>
          <w:szCs w:val="24"/>
          <w:lang w:eastAsia="en-US"/>
        </w:rPr>
        <w:t xml:space="preserve"> nenastavilo </w:t>
      </w:r>
      <w:r w:rsidR="00AC2AB1" w:rsidRPr="00A774C4">
        <w:rPr>
          <w:rFonts w:ascii="Calibri" w:eastAsia="Times New Roman" w:hAnsi="Calibri" w:cstheme="minorHAnsi"/>
          <w:sz w:val="24"/>
          <w:szCs w:val="24"/>
          <w:lang w:eastAsia="en-US"/>
        </w:rPr>
        <w:t xml:space="preserve">adekvátní </w:t>
      </w:r>
      <w:r w:rsidR="00645F62" w:rsidRPr="00A774C4">
        <w:rPr>
          <w:rFonts w:ascii="Calibri" w:eastAsia="Times New Roman" w:hAnsi="Calibri" w:cstheme="minorHAnsi"/>
          <w:sz w:val="24"/>
          <w:szCs w:val="24"/>
          <w:lang w:eastAsia="en-US"/>
        </w:rPr>
        <w:t>výsledkové indikátory</w:t>
      </w:r>
      <w:r w:rsidR="00B05E11" w:rsidRPr="00A774C4">
        <w:rPr>
          <w:rFonts w:ascii="Calibri" w:eastAsia="Times New Roman" w:hAnsi="Calibri" w:cstheme="minorHAnsi"/>
          <w:sz w:val="24"/>
          <w:szCs w:val="24"/>
          <w:lang w:eastAsia="en-US"/>
        </w:rPr>
        <w:t>,</w:t>
      </w:r>
      <w:r w:rsidR="00A3733F" w:rsidRPr="00A774C4">
        <w:rPr>
          <w:rFonts w:ascii="Calibri" w:eastAsia="Times New Roman" w:hAnsi="Calibri" w:cstheme="minorHAnsi"/>
          <w:sz w:val="24"/>
          <w:szCs w:val="24"/>
          <w:lang w:eastAsia="en-US"/>
        </w:rPr>
        <w:t xml:space="preserve"> </w:t>
      </w:r>
      <w:r w:rsidR="00AC2AB1" w:rsidRPr="00A774C4">
        <w:rPr>
          <w:rFonts w:ascii="Calibri" w:eastAsia="Times New Roman" w:hAnsi="Calibri" w:cstheme="minorHAnsi"/>
          <w:sz w:val="24"/>
          <w:szCs w:val="24"/>
          <w:lang w:eastAsia="en-US"/>
        </w:rPr>
        <w:t>a</w:t>
      </w:r>
      <w:r w:rsidR="00B05E11" w:rsidRPr="00A774C4">
        <w:rPr>
          <w:rFonts w:ascii="Calibri" w:eastAsia="Times New Roman" w:hAnsi="Calibri" w:cstheme="minorHAnsi"/>
          <w:sz w:val="24"/>
          <w:szCs w:val="24"/>
          <w:lang w:eastAsia="en-US"/>
        </w:rPr>
        <w:t xml:space="preserve"> proto</w:t>
      </w:r>
      <w:r w:rsidR="00AC2AB1" w:rsidRPr="00A774C4">
        <w:rPr>
          <w:rFonts w:ascii="Calibri" w:eastAsia="Times New Roman" w:hAnsi="Calibri" w:cstheme="minorHAnsi"/>
          <w:sz w:val="24"/>
          <w:szCs w:val="24"/>
          <w:lang w:eastAsia="en-US"/>
        </w:rPr>
        <w:t xml:space="preserve"> </w:t>
      </w:r>
      <w:r w:rsidR="00104A98" w:rsidRPr="00A774C4">
        <w:rPr>
          <w:rFonts w:ascii="Calibri" w:eastAsia="Times New Roman" w:hAnsi="Calibri" w:cstheme="minorHAnsi"/>
          <w:sz w:val="24"/>
          <w:szCs w:val="24"/>
          <w:lang w:eastAsia="en-US"/>
        </w:rPr>
        <w:t>nemohlo sledovat a vyhodnocovat účelnost vynakládání výdajů ve své kapitole</w:t>
      </w:r>
      <w:r w:rsidRPr="00A774C4">
        <w:rPr>
          <w:rStyle w:val="Znakapoznpodarou"/>
          <w:rFonts w:ascii="Calibri" w:eastAsia="Times New Roman" w:hAnsi="Calibri"/>
          <w:sz w:val="24"/>
          <w:szCs w:val="24"/>
          <w:lang w:eastAsia="en-US"/>
        </w:rPr>
        <w:footnoteReference w:id="7"/>
      </w:r>
      <w:r w:rsidR="00B05E11" w:rsidRPr="00A774C4">
        <w:rPr>
          <w:rFonts w:ascii="Calibri" w:eastAsia="Times New Roman" w:hAnsi="Calibri" w:cstheme="minorHAnsi"/>
          <w:sz w:val="24"/>
          <w:szCs w:val="24"/>
          <w:lang w:eastAsia="en-US"/>
        </w:rPr>
        <w:t>.</w:t>
      </w:r>
    </w:p>
    <w:p w:rsidR="0067674E" w:rsidRPr="00A774C4" w:rsidRDefault="002C761F" w:rsidP="00EA7B40">
      <w:pPr>
        <w:widowControl/>
        <w:tabs>
          <w:tab w:val="left" w:pos="0"/>
          <w:tab w:val="left" w:pos="426"/>
        </w:tabs>
        <w:autoSpaceDE/>
        <w:autoSpaceDN/>
        <w:adjustRightInd/>
        <w:spacing w:after="120"/>
        <w:ind w:left="426" w:hanging="426"/>
        <w:jc w:val="both"/>
        <w:rPr>
          <w:rFonts w:ascii="Calibri" w:eastAsia="Times New Roman" w:hAnsi="Calibri" w:cstheme="minorHAnsi"/>
          <w:sz w:val="24"/>
          <w:szCs w:val="24"/>
          <w:highlight w:val="magenta"/>
          <w:lang w:eastAsia="en-US"/>
        </w:rPr>
      </w:pPr>
      <w:r w:rsidRPr="00EA7B40">
        <w:rPr>
          <w:rFonts w:ascii="Calibri" w:eastAsia="Times New Roman" w:hAnsi="Calibri" w:cstheme="minorHAnsi"/>
          <w:b/>
          <w:sz w:val="24"/>
          <w:szCs w:val="24"/>
          <w:lang w:eastAsia="en-US"/>
        </w:rPr>
        <w:t xml:space="preserve">3. </w:t>
      </w:r>
      <w:r w:rsidR="00EA7B40" w:rsidRPr="00EA7B40">
        <w:rPr>
          <w:rFonts w:ascii="Calibri" w:eastAsia="Times New Roman" w:hAnsi="Calibri" w:cstheme="minorHAnsi"/>
          <w:b/>
          <w:sz w:val="24"/>
          <w:szCs w:val="24"/>
          <w:lang w:eastAsia="en-US"/>
        </w:rPr>
        <w:tab/>
      </w:r>
      <w:r w:rsidRPr="00A774C4">
        <w:rPr>
          <w:rFonts w:ascii="Calibri" w:eastAsia="Times New Roman" w:hAnsi="Calibri" w:cstheme="minorHAnsi"/>
          <w:b/>
          <w:sz w:val="24"/>
          <w:szCs w:val="24"/>
          <w:lang w:eastAsia="en-US"/>
        </w:rPr>
        <w:t xml:space="preserve">MMR nezajistilo zavedení a účinné fungování řídicího a kontrolního systému </w:t>
      </w:r>
      <w:r w:rsidRPr="00A774C4">
        <w:rPr>
          <w:rFonts w:ascii="Calibri" w:eastAsia="Times New Roman" w:hAnsi="Calibri" w:cstheme="minorHAnsi"/>
          <w:sz w:val="24"/>
          <w:szCs w:val="24"/>
          <w:lang w:eastAsia="en-US"/>
        </w:rPr>
        <w:t xml:space="preserve">u dvou </w:t>
      </w:r>
      <w:r w:rsidR="00207E91" w:rsidRPr="00A774C4">
        <w:rPr>
          <w:rFonts w:ascii="Calibri" w:eastAsia="Times New Roman" w:hAnsi="Calibri" w:cstheme="minorHAnsi"/>
          <w:sz w:val="24"/>
          <w:szCs w:val="24"/>
          <w:lang w:eastAsia="en-US"/>
        </w:rPr>
        <w:t xml:space="preserve">finančně nejvýznamnějších </w:t>
      </w:r>
      <w:r w:rsidRPr="00A774C4">
        <w:rPr>
          <w:rFonts w:ascii="Calibri" w:eastAsia="Times New Roman" w:hAnsi="Calibri" w:cstheme="minorHAnsi"/>
          <w:sz w:val="24"/>
          <w:szCs w:val="24"/>
          <w:lang w:eastAsia="en-US"/>
        </w:rPr>
        <w:t xml:space="preserve">kontrolovaných projektů realizovaných příspěvkovými organizacemi zřizovanými </w:t>
      </w:r>
      <w:proofErr w:type="spellStart"/>
      <w:r w:rsidRPr="00A774C4">
        <w:rPr>
          <w:rFonts w:ascii="Calibri" w:eastAsia="Times New Roman" w:hAnsi="Calibri" w:cstheme="minorHAnsi"/>
          <w:sz w:val="24"/>
          <w:szCs w:val="24"/>
          <w:lang w:eastAsia="en-US"/>
        </w:rPr>
        <w:t>MZd</w:t>
      </w:r>
      <w:proofErr w:type="spellEnd"/>
      <w:r w:rsidRPr="00A774C4">
        <w:rPr>
          <w:rFonts w:ascii="Calibri" w:eastAsia="Times New Roman" w:hAnsi="Calibri" w:cstheme="minorHAnsi"/>
          <w:sz w:val="24"/>
          <w:szCs w:val="24"/>
          <w:lang w:eastAsia="en-US"/>
        </w:rPr>
        <w:t xml:space="preserve">. MMR jako ŘO IROP přeneslo </w:t>
      </w:r>
      <w:r w:rsidRPr="00A774C4">
        <w:rPr>
          <w:rFonts w:ascii="Calibri" w:hAnsi="Calibri" w:cstheme="minorHAnsi"/>
          <w:sz w:val="24"/>
          <w:szCs w:val="24"/>
        </w:rPr>
        <w:t xml:space="preserve">odpovědnost za provádění průběžné kontroly dodržování podmínek dotace (vyjma oblasti veřejných zakázek) na </w:t>
      </w:r>
      <w:proofErr w:type="spellStart"/>
      <w:r w:rsidRPr="00A774C4">
        <w:rPr>
          <w:rFonts w:ascii="Calibri" w:hAnsi="Calibri" w:cstheme="minorHAnsi"/>
          <w:sz w:val="24"/>
          <w:szCs w:val="24"/>
        </w:rPr>
        <w:t>MZd</w:t>
      </w:r>
      <w:proofErr w:type="spellEnd"/>
      <w:r w:rsidRPr="00A774C4">
        <w:rPr>
          <w:rFonts w:ascii="Calibri" w:hAnsi="Calibri" w:cstheme="minorHAnsi"/>
          <w:sz w:val="24"/>
          <w:szCs w:val="24"/>
        </w:rPr>
        <w:t>, které projekty financuje prostřednictvím programu předfinancování. Schválená dotace činila</w:t>
      </w:r>
      <w:r w:rsidRPr="00A774C4">
        <w:rPr>
          <w:rFonts w:ascii="Calibri" w:eastAsia="Times New Roman" w:hAnsi="Calibri" w:cstheme="minorHAnsi"/>
          <w:sz w:val="24"/>
          <w:szCs w:val="24"/>
          <w:lang w:eastAsia="en-US"/>
        </w:rPr>
        <w:t xml:space="preserve"> celkem 1 074 mil. Kč, z toho 913 mil. Kč z EFRR. V případě nedodržení některé podmínky ze</w:t>
      </w:r>
      <w:r w:rsidR="00612D8E" w:rsidRPr="00A774C4">
        <w:rPr>
          <w:rFonts w:ascii="Calibri" w:eastAsia="Times New Roman" w:hAnsi="Calibri" w:cstheme="minorHAnsi"/>
          <w:sz w:val="24"/>
          <w:szCs w:val="24"/>
          <w:lang w:eastAsia="en-US"/>
        </w:rPr>
        <w:t> </w:t>
      </w:r>
      <w:r w:rsidRPr="00A774C4">
        <w:rPr>
          <w:rFonts w:ascii="Calibri" w:eastAsia="Times New Roman" w:hAnsi="Calibri" w:cstheme="minorHAnsi"/>
          <w:sz w:val="24"/>
          <w:szCs w:val="24"/>
          <w:lang w:eastAsia="en-US"/>
        </w:rPr>
        <w:t xml:space="preserve">strany příjemce </w:t>
      </w:r>
      <w:r w:rsidR="00794F63" w:rsidRPr="00A774C4">
        <w:rPr>
          <w:rFonts w:ascii="Calibri" w:eastAsia="Times New Roman" w:hAnsi="Calibri" w:cstheme="minorHAnsi"/>
          <w:sz w:val="24"/>
          <w:szCs w:val="24"/>
          <w:lang w:eastAsia="en-US"/>
        </w:rPr>
        <w:t>nebude</w:t>
      </w:r>
      <w:r w:rsidRPr="00A774C4">
        <w:rPr>
          <w:rFonts w:ascii="Calibri" w:eastAsia="Times New Roman" w:hAnsi="Calibri" w:cstheme="minorHAnsi"/>
          <w:sz w:val="24"/>
          <w:szCs w:val="24"/>
          <w:lang w:eastAsia="en-US"/>
        </w:rPr>
        <w:t xml:space="preserve"> dotace ze zdrojů EU</w:t>
      </w:r>
      <w:r w:rsidR="000B3BC7" w:rsidRPr="00A774C4">
        <w:rPr>
          <w:rFonts w:ascii="Calibri" w:eastAsia="Times New Roman" w:hAnsi="Calibri" w:cstheme="minorHAnsi"/>
          <w:sz w:val="24"/>
          <w:szCs w:val="24"/>
          <w:lang w:eastAsia="en-US"/>
        </w:rPr>
        <w:t xml:space="preserve"> proplacena</w:t>
      </w:r>
      <w:r w:rsidRPr="00A774C4">
        <w:rPr>
          <w:rFonts w:ascii="Calibri" w:eastAsia="Times New Roman" w:hAnsi="Calibri" w:cstheme="minorHAnsi"/>
          <w:sz w:val="24"/>
          <w:szCs w:val="24"/>
          <w:lang w:eastAsia="en-US"/>
        </w:rPr>
        <w:t xml:space="preserve">, přestože </w:t>
      </w:r>
      <w:proofErr w:type="spellStart"/>
      <w:r w:rsidR="000B3BC7" w:rsidRPr="00A774C4">
        <w:rPr>
          <w:rFonts w:ascii="Calibri" w:eastAsia="Times New Roman" w:hAnsi="Calibri" w:cstheme="minorHAnsi"/>
          <w:sz w:val="24"/>
          <w:szCs w:val="24"/>
          <w:lang w:eastAsia="en-US"/>
        </w:rPr>
        <w:t>MZd</w:t>
      </w:r>
      <w:proofErr w:type="spellEnd"/>
      <w:r w:rsidR="000B3BC7" w:rsidRPr="00A774C4">
        <w:rPr>
          <w:rFonts w:ascii="Calibri" w:eastAsia="Times New Roman" w:hAnsi="Calibri" w:cstheme="minorHAnsi"/>
          <w:sz w:val="24"/>
          <w:szCs w:val="24"/>
          <w:lang w:eastAsia="en-US"/>
        </w:rPr>
        <w:t xml:space="preserve"> již vynaložilo </w:t>
      </w:r>
      <w:r w:rsidR="001F5264" w:rsidRPr="00A774C4">
        <w:rPr>
          <w:rFonts w:ascii="Calibri" w:eastAsia="Times New Roman" w:hAnsi="Calibri" w:cstheme="minorHAnsi"/>
          <w:sz w:val="24"/>
          <w:szCs w:val="24"/>
          <w:lang w:eastAsia="en-US"/>
        </w:rPr>
        <w:t xml:space="preserve">peněžní prostředky </w:t>
      </w:r>
      <w:r w:rsidR="000B3BC7" w:rsidRPr="00A774C4">
        <w:rPr>
          <w:rFonts w:ascii="Calibri" w:eastAsia="Times New Roman" w:hAnsi="Calibri" w:cstheme="minorHAnsi"/>
          <w:sz w:val="24"/>
          <w:szCs w:val="24"/>
          <w:lang w:eastAsia="en-US"/>
        </w:rPr>
        <w:t>ze státního rozpočtu</w:t>
      </w:r>
      <w:r w:rsidRPr="00A774C4">
        <w:rPr>
          <w:rFonts w:ascii="Calibri" w:eastAsia="Times New Roman" w:hAnsi="Calibri" w:cstheme="minorHAnsi"/>
          <w:sz w:val="24"/>
          <w:szCs w:val="24"/>
          <w:lang w:eastAsia="en-US"/>
        </w:rPr>
        <w:t>.</w:t>
      </w:r>
    </w:p>
    <w:p w:rsidR="00C95A9D" w:rsidRPr="00A774C4" w:rsidRDefault="002C761F" w:rsidP="00EA7B40">
      <w:pPr>
        <w:widowControl/>
        <w:shd w:val="clear" w:color="auto" w:fill="FFFFFF"/>
        <w:tabs>
          <w:tab w:val="left" w:pos="426"/>
        </w:tabs>
        <w:spacing w:after="120"/>
        <w:ind w:left="426" w:hanging="426"/>
        <w:jc w:val="both"/>
        <w:rPr>
          <w:rFonts w:ascii="Calibri" w:eastAsia="Times New Roman" w:hAnsi="Calibri" w:cstheme="minorHAnsi"/>
          <w:sz w:val="24"/>
          <w:szCs w:val="24"/>
        </w:rPr>
      </w:pPr>
      <w:r w:rsidRPr="00EA7B40">
        <w:rPr>
          <w:rFonts w:ascii="Calibri" w:eastAsia="Times New Roman" w:hAnsi="Calibri" w:cstheme="minorHAnsi"/>
          <w:b/>
          <w:sz w:val="24"/>
          <w:szCs w:val="24"/>
        </w:rPr>
        <w:t xml:space="preserve">4. </w:t>
      </w:r>
      <w:r w:rsidR="00EA7B40">
        <w:rPr>
          <w:rFonts w:ascii="Calibri" w:eastAsia="Times New Roman" w:hAnsi="Calibri" w:cstheme="minorHAnsi"/>
          <w:b/>
          <w:sz w:val="24"/>
          <w:szCs w:val="24"/>
        </w:rPr>
        <w:tab/>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postupovalo v rozporu s podmínkami ŘO IROP, pravidly IROP, pravidly spolufinancování z</w:t>
      </w:r>
      <w:r w:rsidR="00BD7714" w:rsidRPr="00A774C4">
        <w:rPr>
          <w:rFonts w:ascii="Calibri" w:eastAsia="Times New Roman" w:hAnsi="Calibri" w:cstheme="minorHAnsi"/>
          <w:b/>
          <w:sz w:val="24"/>
          <w:szCs w:val="24"/>
        </w:rPr>
        <w:t> </w:t>
      </w:r>
      <w:r w:rsidRPr="00A774C4">
        <w:rPr>
          <w:rFonts w:ascii="Calibri" w:eastAsia="Times New Roman" w:hAnsi="Calibri" w:cstheme="minorHAnsi"/>
          <w:b/>
          <w:sz w:val="24"/>
          <w:szCs w:val="24"/>
        </w:rPr>
        <w:t>EFRR</w:t>
      </w:r>
      <w:r w:rsidR="00BD7714" w:rsidRPr="00A774C4">
        <w:rPr>
          <w:rFonts w:ascii="Calibri" w:eastAsia="Times New Roman" w:hAnsi="Calibri" w:cstheme="minorHAnsi"/>
          <w:b/>
          <w:sz w:val="24"/>
          <w:szCs w:val="24"/>
        </w:rPr>
        <w:t xml:space="preserve">, </w:t>
      </w:r>
      <w:r w:rsidRPr="00A774C4">
        <w:rPr>
          <w:rFonts w:ascii="Calibri" w:eastAsia="Times New Roman" w:hAnsi="Calibri" w:cstheme="minorHAnsi"/>
          <w:b/>
          <w:sz w:val="24"/>
          <w:szCs w:val="24"/>
        </w:rPr>
        <w:t xml:space="preserve">dokumentací programu </w:t>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a </w:t>
      </w:r>
      <w:r w:rsidR="002C4E75" w:rsidRPr="00A774C4">
        <w:rPr>
          <w:rFonts w:ascii="Calibri" w:eastAsia="Times New Roman" w:hAnsi="Calibri" w:cstheme="minorHAnsi"/>
          <w:b/>
          <w:sz w:val="24"/>
          <w:szCs w:val="24"/>
        </w:rPr>
        <w:t xml:space="preserve">pravidly </w:t>
      </w:r>
      <w:r w:rsidRPr="00A774C4">
        <w:rPr>
          <w:rFonts w:ascii="Calibri" w:eastAsia="Times New Roman" w:hAnsi="Calibri" w:cstheme="minorHAnsi"/>
          <w:b/>
          <w:sz w:val="24"/>
          <w:szCs w:val="24"/>
        </w:rPr>
        <w:t>financování</w:t>
      </w:r>
      <w:r w:rsidR="00A168A0" w:rsidRPr="00A774C4">
        <w:rPr>
          <w:rFonts w:ascii="Calibri" w:eastAsia="Times New Roman" w:hAnsi="Calibri" w:cstheme="minorHAnsi"/>
          <w:b/>
          <w:sz w:val="24"/>
          <w:szCs w:val="24"/>
        </w:rPr>
        <w:t xml:space="preserve"> programu předfinancování</w:t>
      </w:r>
      <w:r w:rsidRPr="00A774C4">
        <w:rPr>
          <w:rFonts w:ascii="Calibri" w:eastAsia="Times New Roman" w:hAnsi="Calibri" w:cstheme="minorHAnsi"/>
          <w:b/>
          <w:sz w:val="24"/>
          <w:szCs w:val="24"/>
        </w:rPr>
        <w:t>, když jako správce tohoto programu financovalo nezpůsobilé výdaje ve výši 50,24 mil. Kč formou dotace.</w:t>
      </w:r>
      <w:r w:rsidRPr="00A774C4">
        <w:rPr>
          <w:rFonts w:ascii="Calibri" w:eastAsia="Times New Roman" w:hAnsi="Calibri" w:cstheme="minorHAnsi"/>
          <w:sz w:val="24"/>
          <w:szCs w:val="24"/>
        </w:rPr>
        <w:t xml:space="preserve"> </w:t>
      </w:r>
      <w:proofErr w:type="spellStart"/>
      <w:r w:rsidRPr="00A774C4">
        <w:rPr>
          <w:rFonts w:ascii="Calibri" w:eastAsia="Times New Roman" w:hAnsi="Calibri" w:cstheme="minorHAnsi"/>
          <w:sz w:val="24"/>
          <w:szCs w:val="24"/>
        </w:rPr>
        <w:t>MZd</w:t>
      </w:r>
      <w:proofErr w:type="spellEnd"/>
      <w:r w:rsidR="007279F5" w:rsidRPr="00A774C4">
        <w:rPr>
          <w:rFonts w:ascii="Calibri" w:eastAsia="Times New Roman" w:hAnsi="Calibri" w:cstheme="minorHAnsi"/>
          <w:sz w:val="24"/>
          <w:szCs w:val="24"/>
        </w:rPr>
        <w:t> </w:t>
      </w:r>
      <w:r w:rsidRPr="00A774C4">
        <w:rPr>
          <w:rFonts w:ascii="Calibri" w:eastAsia="Times New Roman" w:hAnsi="Calibri" w:cstheme="minorHAnsi"/>
          <w:sz w:val="24"/>
          <w:szCs w:val="24"/>
        </w:rPr>
        <w:t xml:space="preserve">nedodrželo a nerespektovalo </w:t>
      </w:r>
      <w:r w:rsidR="00207E91" w:rsidRPr="00A774C4">
        <w:rPr>
          <w:rFonts w:ascii="Calibri" w:eastAsia="Times New Roman" w:hAnsi="Calibri" w:cstheme="minorHAnsi"/>
          <w:sz w:val="24"/>
          <w:szCs w:val="24"/>
        </w:rPr>
        <w:t>pravidla</w:t>
      </w:r>
      <w:r w:rsidRPr="00A774C4">
        <w:rPr>
          <w:rFonts w:ascii="Calibri" w:eastAsia="Times New Roman" w:hAnsi="Calibri" w:cstheme="minorHAnsi"/>
          <w:sz w:val="24"/>
          <w:szCs w:val="24"/>
        </w:rPr>
        <w:t xml:space="preserve"> </w:t>
      </w:r>
      <w:r w:rsidR="009A3107" w:rsidRPr="00A774C4">
        <w:rPr>
          <w:rFonts w:ascii="Calibri" w:eastAsia="Times New Roman" w:hAnsi="Calibri" w:cstheme="minorHAnsi"/>
          <w:sz w:val="24"/>
          <w:szCs w:val="24"/>
        </w:rPr>
        <w:t>nastaven</w:t>
      </w:r>
      <w:r w:rsidR="00207E91" w:rsidRPr="00A774C4">
        <w:rPr>
          <w:rFonts w:ascii="Calibri" w:eastAsia="Times New Roman" w:hAnsi="Calibri" w:cstheme="minorHAnsi"/>
          <w:sz w:val="24"/>
          <w:szCs w:val="24"/>
        </w:rPr>
        <w:t>á</w:t>
      </w:r>
      <w:r w:rsidR="009A3107" w:rsidRPr="00A774C4">
        <w:rPr>
          <w:rFonts w:ascii="Calibri" w:eastAsia="Times New Roman" w:hAnsi="Calibri" w:cstheme="minorHAnsi"/>
          <w:sz w:val="24"/>
          <w:szCs w:val="24"/>
        </w:rPr>
        <w:t xml:space="preserve"> </w:t>
      </w:r>
      <w:r w:rsidRPr="00A774C4">
        <w:rPr>
          <w:rFonts w:ascii="Calibri" w:eastAsia="Times New Roman" w:hAnsi="Calibri" w:cstheme="minorHAnsi"/>
          <w:sz w:val="24"/>
          <w:szCs w:val="24"/>
        </w:rPr>
        <w:t>ŘO IROP</w:t>
      </w:r>
      <w:r w:rsidR="00207E91" w:rsidRPr="00A774C4">
        <w:rPr>
          <w:rFonts w:ascii="Calibri" w:eastAsia="Times New Roman" w:hAnsi="Calibri" w:cstheme="minorHAnsi"/>
          <w:sz w:val="24"/>
          <w:szCs w:val="24"/>
        </w:rPr>
        <w:t xml:space="preserve">, která stanovila, že </w:t>
      </w:r>
      <w:r w:rsidRPr="00A774C4">
        <w:rPr>
          <w:rFonts w:ascii="Calibri" w:eastAsia="Times New Roman" w:hAnsi="Calibri" w:cstheme="minorHAnsi"/>
          <w:sz w:val="24"/>
          <w:szCs w:val="24"/>
        </w:rPr>
        <w:t xml:space="preserve">nezpůsobilé výdaje projektu </w:t>
      </w:r>
      <w:r w:rsidR="00207E91" w:rsidRPr="00A774C4">
        <w:rPr>
          <w:rFonts w:ascii="Calibri" w:eastAsia="Times New Roman" w:hAnsi="Calibri" w:cstheme="minorHAnsi"/>
          <w:sz w:val="24"/>
          <w:szCs w:val="24"/>
        </w:rPr>
        <w:t xml:space="preserve">si </w:t>
      </w:r>
      <w:r w:rsidRPr="00A774C4">
        <w:rPr>
          <w:rFonts w:ascii="Calibri" w:eastAsia="Times New Roman" w:hAnsi="Calibri" w:cstheme="minorHAnsi"/>
          <w:sz w:val="24"/>
          <w:szCs w:val="24"/>
        </w:rPr>
        <w:t>hrad</w:t>
      </w:r>
      <w:r w:rsidR="00207E91" w:rsidRPr="00A774C4">
        <w:rPr>
          <w:rFonts w:ascii="Calibri" w:eastAsia="Times New Roman" w:hAnsi="Calibri" w:cstheme="minorHAnsi"/>
          <w:sz w:val="24"/>
          <w:szCs w:val="24"/>
        </w:rPr>
        <w:t>í</w:t>
      </w:r>
      <w:r w:rsidRPr="00A774C4">
        <w:rPr>
          <w:rFonts w:ascii="Calibri" w:eastAsia="Times New Roman" w:hAnsi="Calibri" w:cstheme="minorHAnsi"/>
          <w:sz w:val="24"/>
          <w:szCs w:val="24"/>
        </w:rPr>
        <w:t xml:space="preserve"> příjemce </w:t>
      </w:r>
      <w:r w:rsidR="00E50392" w:rsidRPr="00A774C4">
        <w:rPr>
          <w:rFonts w:ascii="Calibri" w:eastAsia="Times New Roman" w:hAnsi="Calibri" w:cstheme="minorHAnsi"/>
          <w:sz w:val="24"/>
          <w:szCs w:val="24"/>
        </w:rPr>
        <w:t xml:space="preserve">dotace </w:t>
      </w:r>
      <w:r w:rsidRPr="00A774C4">
        <w:rPr>
          <w:rFonts w:ascii="Calibri" w:eastAsia="Times New Roman" w:hAnsi="Calibri" w:cstheme="minorHAnsi"/>
          <w:sz w:val="24"/>
          <w:szCs w:val="24"/>
        </w:rPr>
        <w:t>výlučně z vlastních zdrojů. Toto jednání bylo netransparentní tím, že</w:t>
      </w:r>
      <w:r w:rsidR="00612D8E" w:rsidRPr="00A774C4">
        <w:rPr>
          <w:rFonts w:ascii="Calibri" w:eastAsia="Times New Roman" w:hAnsi="Calibri" w:cstheme="minorHAnsi"/>
          <w:sz w:val="24"/>
          <w:szCs w:val="24"/>
        </w:rPr>
        <w:t> </w:t>
      </w:r>
      <w:proofErr w:type="spellStart"/>
      <w:r w:rsidR="00900E09" w:rsidRPr="00A774C4">
        <w:rPr>
          <w:rFonts w:ascii="Calibri" w:eastAsia="Times New Roman" w:hAnsi="Calibri" w:cstheme="minorHAnsi"/>
          <w:sz w:val="24"/>
          <w:szCs w:val="24"/>
        </w:rPr>
        <w:t>MZd</w:t>
      </w:r>
      <w:proofErr w:type="spellEnd"/>
      <w:r w:rsidR="00900E09" w:rsidRPr="00A774C4">
        <w:rPr>
          <w:rFonts w:ascii="Calibri" w:eastAsia="Times New Roman" w:hAnsi="Calibri" w:cstheme="minorHAnsi"/>
          <w:sz w:val="24"/>
          <w:szCs w:val="24"/>
        </w:rPr>
        <w:t xml:space="preserve"> </w:t>
      </w:r>
      <w:r w:rsidRPr="00A774C4">
        <w:rPr>
          <w:rFonts w:ascii="Calibri" w:eastAsia="Times New Roman" w:hAnsi="Calibri" w:cstheme="minorHAnsi"/>
          <w:sz w:val="24"/>
          <w:szCs w:val="24"/>
        </w:rPr>
        <w:t xml:space="preserve">jako správce programu neoprávněně zvýhodnilo jednoho příjemce </w:t>
      </w:r>
      <w:r w:rsidR="00AE6974">
        <w:rPr>
          <w:rFonts w:ascii="Calibri" w:eastAsia="Times New Roman" w:hAnsi="Calibri" w:cstheme="minorHAnsi"/>
          <w:sz w:val="24"/>
          <w:szCs w:val="24"/>
        </w:rPr>
        <w:t>(</w:t>
      </w:r>
      <w:r w:rsidRPr="00A774C4">
        <w:rPr>
          <w:rFonts w:ascii="Calibri" w:eastAsia="Times New Roman" w:hAnsi="Calibri" w:cstheme="minorHAnsi"/>
          <w:sz w:val="24"/>
          <w:szCs w:val="24"/>
        </w:rPr>
        <w:t>FN Brno</w:t>
      </w:r>
      <w:r w:rsidR="00AE6974">
        <w:rPr>
          <w:rFonts w:ascii="Calibri" w:eastAsia="Times New Roman" w:hAnsi="Calibri" w:cstheme="minorHAnsi"/>
          <w:sz w:val="24"/>
          <w:szCs w:val="24"/>
        </w:rPr>
        <w:t>)</w:t>
      </w:r>
      <w:r w:rsidRPr="00A774C4">
        <w:rPr>
          <w:rFonts w:ascii="Calibri" w:eastAsia="Times New Roman" w:hAnsi="Calibri" w:cstheme="minorHAnsi"/>
          <w:sz w:val="24"/>
          <w:szCs w:val="24"/>
        </w:rPr>
        <w:t xml:space="preserve"> a zároveň vůči ostatním příjemcům postupovalo diskriminačně. </w:t>
      </w:r>
    </w:p>
    <w:p w:rsidR="008C51DA" w:rsidRPr="00A774C4" w:rsidRDefault="002C761F" w:rsidP="00EA7B40">
      <w:pPr>
        <w:widowControl/>
        <w:tabs>
          <w:tab w:val="left" w:pos="426"/>
        </w:tabs>
        <w:autoSpaceDE/>
        <w:autoSpaceDN/>
        <w:adjustRightInd/>
        <w:spacing w:after="120"/>
        <w:ind w:left="426" w:hanging="426"/>
        <w:jc w:val="both"/>
        <w:rPr>
          <w:rFonts w:ascii="Calibri" w:eastAsia="Times New Roman" w:hAnsi="Calibri" w:cstheme="minorHAnsi"/>
          <w:sz w:val="24"/>
          <w:szCs w:val="24"/>
          <w:lang w:eastAsia="en-US"/>
        </w:rPr>
      </w:pPr>
      <w:bookmarkStart w:id="1" w:name="_Hlk98414971"/>
      <w:r w:rsidRPr="00EA7B40">
        <w:rPr>
          <w:rFonts w:ascii="Calibri" w:eastAsia="Times New Roman" w:hAnsi="Calibri" w:cstheme="minorHAnsi"/>
          <w:b/>
          <w:sz w:val="24"/>
          <w:szCs w:val="24"/>
          <w:lang w:eastAsia="en-US"/>
        </w:rPr>
        <w:t>5</w:t>
      </w:r>
      <w:r w:rsidR="0071204F" w:rsidRPr="00EA7B40">
        <w:rPr>
          <w:rFonts w:ascii="Calibri" w:eastAsia="Times New Roman" w:hAnsi="Calibri" w:cstheme="minorHAnsi"/>
          <w:b/>
          <w:sz w:val="24"/>
          <w:szCs w:val="24"/>
          <w:lang w:eastAsia="en-US"/>
        </w:rPr>
        <w:t xml:space="preserve">. </w:t>
      </w:r>
      <w:r w:rsidR="00EA7B40" w:rsidRPr="00EA7B40">
        <w:rPr>
          <w:rFonts w:ascii="Calibri" w:eastAsia="Times New Roman" w:hAnsi="Calibri" w:cstheme="minorHAnsi"/>
          <w:b/>
          <w:sz w:val="24"/>
          <w:szCs w:val="24"/>
          <w:lang w:eastAsia="en-US"/>
        </w:rPr>
        <w:tab/>
      </w:r>
      <w:r w:rsidR="0071204F" w:rsidRPr="00A774C4">
        <w:rPr>
          <w:rFonts w:ascii="Calibri" w:eastAsia="Times New Roman" w:hAnsi="Calibri" w:cstheme="minorHAnsi"/>
          <w:b/>
          <w:sz w:val="24"/>
          <w:szCs w:val="24"/>
          <w:lang w:eastAsia="en-US"/>
        </w:rPr>
        <w:t>MMR prostřednictvím</w:t>
      </w:r>
      <w:r w:rsidR="007246A2" w:rsidRPr="00A774C4">
        <w:rPr>
          <w:rFonts w:ascii="Calibri" w:eastAsia="Times New Roman" w:hAnsi="Calibri" w:cstheme="minorHAnsi"/>
          <w:b/>
          <w:sz w:val="24"/>
          <w:szCs w:val="24"/>
          <w:lang w:eastAsia="en-US"/>
        </w:rPr>
        <w:t xml:space="preserve"> Centr</w:t>
      </w:r>
      <w:r w:rsidR="00793256" w:rsidRPr="00A774C4">
        <w:rPr>
          <w:rFonts w:ascii="Calibri" w:eastAsia="Times New Roman" w:hAnsi="Calibri" w:cstheme="minorHAnsi"/>
          <w:b/>
          <w:sz w:val="24"/>
          <w:szCs w:val="24"/>
          <w:lang w:eastAsia="en-US"/>
        </w:rPr>
        <w:t>a</w:t>
      </w:r>
      <w:r w:rsidR="007246A2" w:rsidRPr="00A774C4">
        <w:rPr>
          <w:rFonts w:ascii="Calibri" w:eastAsia="Times New Roman" w:hAnsi="Calibri" w:cstheme="minorHAnsi"/>
          <w:b/>
          <w:sz w:val="24"/>
          <w:szCs w:val="24"/>
          <w:lang w:eastAsia="en-US"/>
        </w:rPr>
        <w:t xml:space="preserve"> </w:t>
      </w:r>
      <w:r w:rsidR="00FC0045" w:rsidRPr="00A774C4">
        <w:rPr>
          <w:rFonts w:ascii="Calibri" w:eastAsia="Times New Roman" w:hAnsi="Calibri" w:cstheme="minorHAnsi"/>
          <w:b/>
          <w:sz w:val="24"/>
          <w:szCs w:val="24"/>
          <w:lang w:eastAsia="en-US"/>
        </w:rPr>
        <w:t xml:space="preserve">pro </w:t>
      </w:r>
      <w:r w:rsidR="007246A2" w:rsidRPr="00A774C4">
        <w:rPr>
          <w:rFonts w:ascii="Calibri" w:eastAsia="Times New Roman" w:hAnsi="Calibri" w:cstheme="minorHAnsi"/>
          <w:b/>
          <w:sz w:val="24"/>
          <w:szCs w:val="24"/>
          <w:lang w:eastAsia="en-US"/>
        </w:rPr>
        <w:t>regionální rozvoj</w:t>
      </w:r>
      <w:r w:rsidR="00FC0045" w:rsidRPr="00A774C4">
        <w:rPr>
          <w:rFonts w:ascii="Calibri" w:eastAsia="Times New Roman" w:hAnsi="Calibri" w:cstheme="minorHAnsi"/>
          <w:b/>
          <w:sz w:val="24"/>
          <w:szCs w:val="24"/>
          <w:lang w:eastAsia="en-US"/>
        </w:rPr>
        <w:t xml:space="preserve"> České republiky</w:t>
      </w:r>
      <w:r w:rsidR="0071204F" w:rsidRPr="00A774C4">
        <w:rPr>
          <w:rFonts w:ascii="Calibri" w:eastAsia="Times New Roman" w:hAnsi="Calibri" w:cstheme="minorHAnsi"/>
          <w:b/>
          <w:sz w:val="24"/>
          <w:szCs w:val="24"/>
          <w:lang w:eastAsia="en-US"/>
        </w:rPr>
        <w:t xml:space="preserve"> </w:t>
      </w:r>
      <w:r w:rsidR="00981CED" w:rsidRPr="00A774C4">
        <w:rPr>
          <w:rFonts w:ascii="Calibri" w:eastAsia="Times New Roman" w:hAnsi="Calibri" w:cstheme="minorHAnsi"/>
          <w:b/>
          <w:sz w:val="24"/>
          <w:szCs w:val="24"/>
          <w:lang w:eastAsia="en-US"/>
        </w:rPr>
        <w:t>(dále také „</w:t>
      </w:r>
      <w:r w:rsidR="007246A2" w:rsidRPr="00A774C4">
        <w:rPr>
          <w:rFonts w:ascii="Calibri" w:eastAsia="Times New Roman" w:hAnsi="Calibri" w:cstheme="minorHAnsi"/>
          <w:b/>
          <w:sz w:val="24"/>
          <w:szCs w:val="24"/>
          <w:lang w:eastAsia="en-US"/>
        </w:rPr>
        <w:t>CRR</w:t>
      </w:r>
      <w:r w:rsidR="00981CED" w:rsidRPr="00A774C4">
        <w:rPr>
          <w:rFonts w:ascii="Calibri" w:eastAsia="Times New Roman" w:hAnsi="Calibri" w:cstheme="minorHAnsi"/>
          <w:b/>
          <w:sz w:val="24"/>
          <w:szCs w:val="24"/>
          <w:lang w:eastAsia="en-US"/>
        </w:rPr>
        <w:t>“)</w:t>
      </w:r>
      <w:r w:rsidR="0071204F" w:rsidRPr="00A774C4">
        <w:rPr>
          <w:rFonts w:ascii="Calibri" w:eastAsia="Times New Roman" w:hAnsi="Calibri" w:cstheme="minorHAnsi"/>
          <w:b/>
          <w:sz w:val="24"/>
          <w:szCs w:val="24"/>
          <w:lang w:eastAsia="en-US"/>
        </w:rPr>
        <w:t xml:space="preserve"> </w:t>
      </w:r>
      <w:r w:rsidR="00B646DA" w:rsidRPr="00A774C4">
        <w:rPr>
          <w:rFonts w:ascii="Calibri" w:eastAsia="Times New Roman" w:hAnsi="Calibri" w:cstheme="minorHAnsi"/>
          <w:b/>
          <w:sz w:val="24"/>
          <w:szCs w:val="24"/>
          <w:lang w:eastAsia="en-US"/>
        </w:rPr>
        <w:t>nevyžadoval</w:t>
      </w:r>
      <w:r w:rsidR="0055056D" w:rsidRPr="00A774C4">
        <w:rPr>
          <w:rFonts w:ascii="Calibri" w:eastAsia="Times New Roman" w:hAnsi="Calibri" w:cstheme="minorHAnsi"/>
          <w:b/>
          <w:sz w:val="24"/>
          <w:szCs w:val="24"/>
          <w:lang w:eastAsia="en-US"/>
        </w:rPr>
        <w:t xml:space="preserve">o </w:t>
      </w:r>
      <w:r w:rsidR="0071204F" w:rsidRPr="00A774C4">
        <w:rPr>
          <w:rFonts w:ascii="Calibri" w:eastAsia="Times New Roman" w:hAnsi="Calibri" w:cstheme="minorHAnsi"/>
          <w:b/>
          <w:sz w:val="24"/>
          <w:szCs w:val="24"/>
          <w:lang w:eastAsia="en-US"/>
        </w:rPr>
        <w:t>splnění specifických pravidel ze strany žadatele o dotaci</w:t>
      </w:r>
      <w:r w:rsidR="0071204F" w:rsidRPr="00A774C4">
        <w:rPr>
          <w:rFonts w:ascii="Calibri" w:eastAsia="Times New Roman" w:hAnsi="Calibri" w:cstheme="minorHAnsi"/>
          <w:sz w:val="24"/>
          <w:szCs w:val="24"/>
          <w:lang w:eastAsia="en-US"/>
        </w:rPr>
        <w:t xml:space="preserve"> a schválilo projekt FN Ostrava s dotací ve výši 496 mil. Kč, z toho 422 mil. Kč z EFRR. MMR </w:t>
      </w:r>
      <w:r w:rsidR="009546D7" w:rsidRPr="00A774C4">
        <w:rPr>
          <w:rFonts w:ascii="Calibri" w:eastAsia="Times New Roman" w:hAnsi="Calibri" w:cstheme="minorHAnsi"/>
          <w:sz w:val="24"/>
          <w:szCs w:val="24"/>
          <w:lang w:eastAsia="en-US"/>
        </w:rPr>
        <w:t>vydalo právní akt pro poskytnutí dotace</w:t>
      </w:r>
      <w:r w:rsidR="0071204F" w:rsidRPr="00A774C4">
        <w:rPr>
          <w:rFonts w:ascii="Calibri" w:eastAsia="Times New Roman" w:hAnsi="Calibri" w:cstheme="minorHAnsi"/>
          <w:sz w:val="24"/>
          <w:szCs w:val="24"/>
          <w:lang w:eastAsia="en-US"/>
        </w:rPr>
        <w:t xml:space="preserve"> bez doložení všech povinných příloh</w:t>
      </w:r>
      <w:r w:rsidR="0041383C" w:rsidRPr="00A774C4">
        <w:rPr>
          <w:rFonts w:ascii="Calibri" w:eastAsia="Times New Roman" w:hAnsi="Calibri" w:cstheme="minorHAnsi"/>
          <w:sz w:val="24"/>
          <w:szCs w:val="24"/>
          <w:lang w:eastAsia="en-US"/>
        </w:rPr>
        <w:t>, a tím</w:t>
      </w:r>
      <w:r w:rsidR="0071204F" w:rsidRPr="00A774C4">
        <w:rPr>
          <w:rFonts w:ascii="Calibri" w:eastAsia="Times New Roman" w:hAnsi="Calibri" w:cstheme="minorHAnsi"/>
          <w:sz w:val="24"/>
          <w:szCs w:val="24"/>
          <w:lang w:eastAsia="en-US"/>
        </w:rPr>
        <w:t xml:space="preserve"> </w:t>
      </w:r>
      <w:r w:rsidR="00ED4AA8" w:rsidRPr="00A774C4">
        <w:rPr>
          <w:rFonts w:ascii="Calibri" w:eastAsia="Times New Roman" w:hAnsi="Calibri" w:cstheme="minorHAnsi"/>
          <w:sz w:val="24"/>
          <w:szCs w:val="24"/>
          <w:lang w:eastAsia="en-US"/>
        </w:rPr>
        <w:t>zvýhodnilo tohoto žadatele.</w:t>
      </w:r>
    </w:p>
    <w:bookmarkEnd w:id="1"/>
    <w:p w:rsidR="008C51DA" w:rsidRPr="00A774C4" w:rsidRDefault="002C761F" w:rsidP="00EA7B40">
      <w:pPr>
        <w:widowControl/>
        <w:shd w:val="clear" w:color="auto" w:fill="FFFFFF"/>
        <w:tabs>
          <w:tab w:val="left" w:pos="426"/>
        </w:tabs>
        <w:spacing w:after="120"/>
        <w:ind w:left="426" w:hanging="426"/>
        <w:jc w:val="both"/>
        <w:rPr>
          <w:rFonts w:ascii="Calibri" w:eastAsia="Times New Roman" w:hAnsi="Calibri" w:cstheme="minorHAnsi"/>
          <w:sz w:val="24"/>
          <w:szCs w:val="24"/>
          <w:highlight w:val="yellow"/>
        </w:rPr>
      </w:pPr>
      <w:r w:rsidRPr="00EA7B40">
        <w:rPr>
          <w:rFonts w:ascii="Calibri" w:eastAsia="Times New Roman" w:hAnsi="Calibri" w:cstheme="minorHAnsi"/>
          <w:b/>
          <w:sz w:val="24"/>
          <w:szCs w:val="24"/>
        </w:rPr>
        <w:t xml:space="preserve">6. </w:t>
      </w:r>
      <w:r w:rsidR="00EA7B40">
        <w:rPr>
          <w:rFonts w:ascii="Calibri" w:eastAsia="Times New Roman" w:hAnsi="Calibri" w:cstheme="minorHAnsi"/>
          <w:b/>
          <w:sz w:val="24"/>
          <w:szCs w:val="24"/>
        </w:rPr>
        <w:tab/>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neprovádělo žádnou veřejnosprávní kontrolu u příjemců dotací v rámci programu rozvoje a</w:t>
      </w:r>
      <w:r w:rsidR="00612D8E" w:rsidRPr="00A774C4">
        <w:rPr>
          <w:rFonts w:ascii="Calibri" w:eastAsia="Times New Roman" w:hAnsi="Calibri" w:cstheme="minorHAnsi"/>
          <w:b/>
          <w:sz w:val="24"/>
          <w:szCs w:val="24"/>
        </w:rPr>
        <w:t> </w:t>
      </w:r>
      <w:r w:rsidRPr="00A774C4">
        <w:rPr>
          <w:rFonts w:ascii="Calibri" w:eastAsia="Times New Roman" w:hAnsi="Calibri" w:cstheme="minorHAnsi"/>
          <w:b/>
          <w:sz w:val="24"/>
          <w:szCs w:val="24"/>
        </w:rPr>
        <w:t>obnovy a programu předfinancování.</w:t>
      </w:r>
      <w:r w:rsidRPr="00A774C4">
        <w:rPr>
          <w:rFonts w:ascii="Calibri" w:eastAsia="Times New Roman" w:hAnsi="Calibri" w:cstheme="minorHAnsi"/>
          <w:sz w:val="24"/>
          <w:szCs w:val="24"/>
        </w:rPr>
        <w:t xml:space="preserve"> V rámci programu rozvoje a obnovy bylo podpořeno v</w:t>
      </w:r>
      <w:r w:rsidR="00642C69" w:rsidRPr="00A774C4">
        <w:rPr>
          <w:rFonts w:ascii="Calibri" w:eastAsia="Times New Roman" w:hAnsi="Calibri" w:cstheme="minorHAnsi"/>
          <w:sz w:val="24"/>
          <w:szCs w:val="24"/>
        </w:rPr>
        <w:t> </w:t>
      </w:r>
      <w:r w:rsidRPr="00A774C4">
        <w:rPr>
          <w:rFonts w:ascii="Calibri" w:eastAsia="Times New Roman" w:hAnsi="Calibri" w:cstheme="minorHAnsi"/>
          <w:sz w:val="24"/>
          <w:szCs w:val="24"/>
        </w:rPr>
        <w:t>letech</w:t>
      </w:r>
      <w:r w:rsidR="00642C69" w:rsidRPr="00A774C4">
        <w:rPr>
          <w:rFonts w:ascii="Calibri" w:eastAsia="Times New Roman" w:hAnsi="Calibri" w:cstheme="minorHAnsi"/>
          <w:sz w:val="24"/>
          <w:szCs w:val="24"/>
        </w:rPr>
        <w:t> </w:t>
      </w:r>
      <w:r w:rsidRPr="00A774C4">
        <w:rPr>
          <w:rFonts w:ascii="Calibri" w:eastAsia="Times New Roman" w:hAnsi="Calibri" w:cstheme="minorHAnsi"/>
          <w:sz w:val="24"/>
          <w:szCs w:val="24"/>
        </w:rPr>
        <w:t>2016−202</w:t>
      </w:r>
      <w:r w:rsidR="002E5C60" w:rsidRPr="00A774C4">
        <w:rPr>
          <w:rFonts w:ascii="Calibri" w:eastAsia="Times New Roman" w:hAnsi="Calibri" w:cstheme="minorHAnsi"/>
          <w:sz w:val="24"/>
          <w:szCs w:val="24"/>
        </w:rPr>
        <w:t>0</w:t>
      </w:r>
      <w:r w:rsidRPr="00A774C4">
        <w:rPr>
          <w:rFonts w:ascii="Calibri" w:eastAsia="Times New Roman" w:hAnsi="Calibri" w:cstheme="minorHAnsi"/>
          <w:sz w:val="24"/>
          <w:szCs w:val="24"/>
        </w:rPr>
        <w:t xml:space="preserve"> celkem 42 akcí v celkové výši 587</w:t>
      </w:r>
      <w:r w:rsidR="00CC4391" w:rsidRPr="00A774C4">
        <w:rPr>
          <w:rFonts w:ascii="Calibri" w:eastAsia="Times New Roman" w:hAnsi="Calibri" w:cstheme="minorHAnsi"/>
          <w:sz w:val="24"/>
          <w:szCs w:val="24"/>
        </w:rPr>
        <w:t> </w:t>
      </w:r>
      <w:r w:rsidRPr="00A774C4">
        <w:rPr>
          <w:rFonts w:ascii="Calibri" w:eastAsia="Times New Roman" w:hAnsi="Calibri" w:cstheme="minorHAnsi"/>
          <w:sz w:val="24"/>
          <w:szCs w:val="24"/>
        </w:rPr>
        <w:t>mil.</w:t>
      </w:r>
      <w:r w:rsidR="00CC4391" w:rsidRPr="00A774C4">
        <w:rPr>
          <w:rFonts w:ascii="Calibri" w:eastAsia="Times New Roman" w:hAnsi="Calibri" w:cstheme="minorHAnsi"/>
          <w:sz w:val="24"/>
          <w:szCs w:val="24"/>
        </w:rPr>
        <w:t> </w:t>
      </w:r>
      <w:r w:rsidRPr="00A774C4">
        <w:rPr>
          <w:rFonts w:ascii="Calibri" w:eastAsia="Times New Roman" w:hAnsi="Calibri" w:cstheme="minorHAnsi"/>
          <w:sz w:val="24"/>
          <w:szCs w:val="24"/>
        </w:rPr>
        <w:t>Kč. V rámci programu předfinancování bylo</w:t>
      </w:r>
      <w:r w:rsidR="000270B8" w:rsidRPr="00A774C4">
        <w:rPr>
          <w:rFonts w:ascii="Calibri" w:eastAsia="Times New Roman" w:hAnsi="Calibri" w:cstheme="minorHAnsi"/>
          <w:sz w:val="24"/>
          <w:szCs w:val="24"/>
        </w:rPr>
        <w:t xml:space="preserve"> v letech 2017−202</w:t>
      </w:r>
      <w:r w:rsidR="00570365" w:rsidRPr="00A774C4">
        <w:rPr>
          <w:rFonts w:ascii="Calibri" w:eastAsia="Times New Roman" w:hAnsi="Calibri" w:cstheme="minorHAnsi"/>
          <w:sz w:val="24"/>
          <w:szCs w:val="24"/>
        </w:rPr>
        <w:t>1</w:t>
      </w:r>
      <w:r w:rsidR="000270B8" w:rsidRPr="00A774C4">
        <w:rPr>
          <w:rFonts w:ascii="Calibri" w:eastAsia="Times New Roman" w:hAnsi="Calibri" w:cstheme="minorHAnsi"/>
          <w:sz w:val="24"/>
          <w:szCs w:val="24"/>
        </w:rPr>
        <w:t xml:space="preserve"> </w:t>
      </w:r>
      <w:r w:rsidRPr="00A774C4">
        <w:rPr>
          <w:rFonts w:ascii="Calibri" w:eastAsia="Times New Roman" w:hAnsi="Calibri" w:cstheme="minorHAnsi"/>
          <w:sz w:val="24"/>
          <w:szCs w:val="24"/>
        </w:rPr>
        <w:t xml:space="preserve">podpořeno </w:t>
      </w:r>
      <w:r w:rsidR="00AE6974">
        <w:rPr>
          <w:rFonts w:ascii="Calibri" w:eastAsia="Times New Roman" w:hAnsi="Calibri" w:cstheme="minorHAnsi"/>
          <w:sz w:val="24"/>
          <w:szCs w:val="24"/>
        </w:rPr>
        <w:t>pět</w:t>
      </w:r>
      <w:r w:rsidR="000270B8" w:rsidRPr="00A774C4">
        <w:rPr>
          <w:rFonts w:ascii="Calibri" w:eastAsia="Times New Roman" w:hAnsi="Calibri" w:cstheme="minorHAnsi"/>
          <w:sz w:val="24"/>
          <w:szCs w:val="24"/>
        </w:rPr>
        <w:t xml:space="preserve"> projektů</w:t>
      </w:r>
      <w:r w:rsidRPr="00A774C4">
        <w:rPr>
          <w:rStyle w:val="Znakapoznpodarou"/>
          <w:rFonts w:ascii="Calibri" w:eastAsia="Times New Roman" w:hAnsi="Calibri"/>
          <w:sz w:val="24"/>
          <w:szCs w:val="24"/>
        </w:rPr>
        <w:footnoteReference w:id="8"/>
      </w:r>
      <w:r w:rsidR="000270B8" w:rsidRPr="00A774C4">
        <w:rPr>
          <w:rFonts w:ascii="Calibri" w:eastAsia="Times New Roman" w:hAnsi="Calibri" w:cstheme="minorHAnsi"/>
          <w:sz w:val="24"/>
          <w:szCs w:val="24"/>
        </w:rPr>
        <w:t xml:space="preserve"> v</w:t>
      </w:r>
      <w:r w:rsidRPr="00A774C4">
        <w:rPr>
          <w:rFonts w:ascii="Calibri" w:eastAsia="Times New Roman" w:hAnsi="Calibri" w:cstheme="minorHAnsi"/>
          <w:sz w:val="24"/>
          <w:szCs w:val="24"/>
        </w:rPr>
        <w:t xml:space="preserve"> celkové </w:t>
      </w:r>
      <w:r w:rsidR="00923643" w:rsidRPr="00A774C4">
        <w:rPr>
          <w:rFonts w:ascii="Calibri" w:eastAsia="Times New Roman" w:hAnsi="Calibri" w:cstheme="minorHAnsi"/>
          <w:sz w:val="24"/>
          <w:szCs w:val="24"/>
        </w:rPr>
        <w:t xml:space="preserve">výši </w:t>
      </w:r>
      <w:r w:rsidR="00A2481B" w:rsidRPr="00A774C4">
        <w:rPr>
          <w:rFonts w:ascii="Calibri" w:hAnsi="Calibri" w:cstheme="minorHAnsi"/>
          <w:sz w:val="24"/>
          <w:szCs w:val="24"/>
        </w:rPr>
        <w:t xml:space="preserve">1 409 mil. </w:t>
      </w:r>
      <w:r w:rsidRPr="00A774C4">
        <w:rPr>
          <w:rFonts w:ascii="Calibri" w:eastAsia="Times New Roman" w:hAnsi="Calibri" w:cstheme="minorHAnsi"/>
          <w:sz w:val="24"/>
          <w:szCs w:val="24"/>
        </w:rPr>
        <w:t xml:space="preserve">Kč. </w:t>
      </w:r>
      <w:proofErr w:type="spellStart"/>
      <w:r w:rsidRPr="00A774C4">
        <w:rPr>
          <w:rFonts w:ascii="Calibri" w:eastAsia="Times New Roman" w:hAnsi="Calibri" w:cstheme="minorHAnsi"/>
          <w:sz w:val="24"/>
          <w:szCs w:val="24"/>
        </w:rPr>
        <w:t>MZd</w:t>
      </w:r>
      <w:proofErr w:type="spellEnd"/>
      <w:r w:rsidRPr="00A774C4">
        <w:rPr>
          <w:rFonts w:ascii="Calibri" w:eastAsia="Times New Roman" w:hAnsi="Calibri" w:cstheme="minorHAnsi"/>
          <w:sz w:val="24"/>
          <w:szCs w:val="24"/>
        </w:rPr>
        <w:t xml:space="preserve"> rovněž při nastavování pravidel pro realizaci monitorovacích návštěv u programu předfinancování nedefinovalo jednotně </w:t>
      </w:r>
      <w:r w:rsidR="002108A0" w:rsidRPr="00A774C4">
        <w:rPr>
          <w:rFonts w:ascii="Calibri" w:eastAsia="Times New Roman" w:hAnsi="Calibri" w:cstheme="minorHAnsi"/>
          <w:sz w:val="24"/>
          <w:szCs w:val="24"/>
        </w:rPr>
        <w:t xml:space="preserve">postup při </w:t>
      </w:r>
      <w:r w:rsidR="002E5C60" w:rsidRPr="00A774C4">
        <w:rPr>
          <w:rFonts w:ascii="Calibri" w:eastAsia="Times New Roman" w:hAnsi="Calibri" w:cstheme="minorHAnsi"/>
          <w:sz w:val="24"/>
          <w:szCs w:val="24"/>
        </w:rPr>
        <w:t xml:space="preserve">jejich </w:t>
      </w:r>
      <w:r w:rsidR="002108A0" w:rsidRPr="00A774C4">
        <w:rPr>
          <w:rFonts w:ascii="Calibri" w:eastAsia="Times New Roman" w:hAnsi="Calibri" w:cstheme="minorHAnsi"/>
          <w:sz w:val="24"/>
          <w:szCs w:val="24"/>
        </w:rPr>
        <w:t>realizaci</w:t>
      </w:r>
      <w:r w:rsidRPr="00A774C4">
        <w:rPr>
          <w:rFonts w:ascii="Calibri" w:eastAsia="Times New Roman" w:hAnsi="Calibri" w:cstheme="minorHAnsi"/>
          <w:sz w:val="24"/>
          <w:szCs w:val="24"/>
        </w:rPr>
        <w:t>.</w:t>
      </w:r>
      <w:r w:rsidRPr="00A774C4">
        <w:rPr>
          <w:rFonts w:ascii="Calibri" w:eastAsia="Times New Roman" w:hAnsi="Calibri" w:cstheme="minorHAnsi"/>
          <w:sz w:val="24"/>
          <w:szCs w:val="24"/>
          <w:highlight w:val="yellow"/>
        </w:rPr>
        <w:t xml:space="preserve"> </w:t>
      </w:r>
    </w:p>
    <w:p w:rsidR="008C51DA" w:rsidRPr="00A774C4" w:rsidRDefault="00EA7B40" w:rsidP="00EA7B40">
      <w:pPr>
        <w:widowControl/>
        <w:shd w:val="clear" w:color="auto" w:fill="FFFFFF"/>
        <w:tabs>
          <w:tab w:val="left" w:pos="426"/>
        </w:tabs>
        <w:spacing w:after="120"/>
        <w:ind w:left="426" w:hanging="426"/>
        <w:jc w:val="both"/>
        <w:rPr>
          <w:rFonts w:ascii="Calibri" w:eastAsia="Times New Roman" w:hAnsi="Calibri" w:cstheme="minorHAnsi"/>
          <w:sz w:val="24"/>
          <w:szCs w:val="24"/>
        </w:rPr>
      </w:pPr>
      <w:r>
        <w:rPr>
          <w:rFonts w:ascii="Calibri" w:eastAsia="Times New Roman" w:hAnsi="Calibri" w:cstheme="minorHAnsi"/>
          <w:b/>
          <w:sz w:val="24"/>
          <w:szCs w:val="24"/>
        </w:rPr>
        <w:lastRenderedPageBreak/>
        <w:tab/>
      </w:r>
      <w:r w:rsidR="002C761F" w:rsidRPr="00A774C4">
        <w:rPr>
          <w:rFonts w:ascii="Calibri" w:eastAsia="Times New Roman" w:hAnsi="Calibri" w:cstheme="minorHAnsi"/>
          <w:b/>
          <w:sz w:val="24"/>
          <w:szCs w:val="24"/>
        </w:rPr>
        <w:t>Kontrola MMR</w:t>
      </w:r>
      <w:r w:rsidR="002C761F" w:rsidRPr="00A774C4">
        <w:rPr>
          <w:rFonts w:ascii="Calibri" w:eastAsia="Times New Roman" w:hAnsi="Calibri" w:cstheme="minorHAnsi"/>
          <w:sz w:val="24"/>
          <w:szCs w:val="24"/>
        </w:rPr>
        <w:t xml:space="preserve"> </w:t>
      </w:r>
      <w:r w:rsidR="002C761F" w:rsidRPr="00A774C4">
        <w:rPr>
          <w:rFonts w:ascii="Calibri" w:eastAsia="Times New Roman" w:hAnsi="Calibri" w:cstheme="minorHAnsi"/>
          <w:b/>
          <w:sz w:val="24"/>
          <w:szCs w:val="24"/>
        </w:rPr>
        <w:t xml:space="preserve">vykonávaná u příjemců dotací v rámci výzvy č. 54 a </w:t>
      </w:r>
      <w:r w:rsidR="00CC4391" w:rsidRPr="00A774C4">
        <w:rPr>
          <w:rFonts w:ascii="Calibri" w:eastAsia="Times New Roman" w:hAnsi="Calibri" w:cstheme="minorHAnsi"/>
          <w:b/>
          <w:sz w:val="24"/>
          <w:szCs w:val="24"/>
        </w:rPr>
        <w:t xml:space="preserve">výzvy </w:t>
      </w:r>
      <w:r w:rsidR="002C761F" w:rsidRPr="00A774C4">
        <w:rPr>
          <w:rFonts w:ascii="Calibri" w:eastAsia="Times New Roman" w:hAnsi="Calibri" w:cstheme="minorHAnsi"/>
          <w:b/>
          <w:sz w:val="24"/>
          <w:szCs w:val="24"/>
        </w:rPr>
        <w:t xml:space="preserve">č. 75 nebyla v souladu </w:t>
      </w:r>
      <w:r w:rsidR="00D37590" w:rsidRPr="00A774C4">
        <w:rPr>
          <w:rFonts w:ascii="Calibri" w:eastAsia="Times New Roman" w:hAnsi="Calibri" w:cstheme="minorHAnsi"/>
          <w:b/>
          <w:sz w:val="24"/>
          <w:szCs w:val="24"/>
        </w:rPr>
        <w:t>s</w:t>
      </w:r>
      <w:r w:rsidR="007246A2" w:rsidRPr="00A774C4">
        <w:rPr>
          <w:rFonts w:ascii="Calibri" w:eastAsia="Times New Roman" w:hAnsi="Calibri" w:cstheme="minorHAnsi"/>
          <w:b/>
          <w:sz w:val="24"/>
          <w:szCs w:val="24"/>
        </w:rPr>
        <w:t> operačním manuálem IROP</w:t>
      </w:r>
      <w:r w:rsidR="00981CED" w:rsidRPr="00A774C4">
        <w:rPr>
          <w:rFonts w:ascii="Calibri" w:eastAsia="Times New Roman" w:hAnsi="Calibri" w:cstheme="minorHAnsi"/>
          <w:b/>
          <w:sz w:val="24"/>
          <w:szCs w:val="24"/>
        </w:rPr>
        <w:t xml:space="preserve"> (dále také</w:t>
      </w:r>
      <w:r w:rsidR="007246A2" w:rsidRPr="00A774C4">
        <w:rPr>
          <w:rFonts w:ascii="Calibri" w:eastAsia="Times New Roman" w:hAnsi="Calibri" w:cstheme="minorHAnsi"/>
          <w:b/>
          <w:sz w:val="24"/>
          <w:szCs w:val="24"/>
        </w:rPr>
        <w:t xml:space="preserve"> „OM IROP“)</w:t>
      </w:r>
      <w:r w:rsidR="00D37590" w:rsidRPr="00A774C4">
        <w:rPr>
          <w:rFonts w:ascii="Calibri" w:eastAsia="Times New Roman" w:hAnsi="Calibri" w:cstheme="minorHAnsi"/>
          <w:b/>
          <w:sz w:val="24"/>
          <w:szCs w:val="24"/>
        </w:rPr>
        <w:t xml:space="preserve"> a </w:t>
      </w:r>
      <w:r w:rsidR="002C761F" w:rsidRPr="00A774C4">
        <w:rPr>
          <w:rFonts w:ascii="Calibri" w:eastAsia="Times New Roman" w:hAnsi="Calibri" w:cstheme="minorHAnsi"/>
          <w:b/>
          <w:sz w:val="24"/>
          <w:szCs w:val="24"/>
        </w:rPr>
        <w:t>zákonem</w:t>
      </w:r>
      <w:r w:rsidR="002C761F" w:rsidRPr="00A774C4">
        <w:rPr>
          <w:rStyle w:val="Znakapoznpodarou"/>
          <w:rFonts w:ascii="Calibri" w:eastAsia="Times New Roman" w:hAnsi="Calibri"/>
          <w:b/>
          <w:sz w:val="24"/>
          <w:szCs w:val="24"/>
        </w:rPr>
        <w:footnoteReference w:id="9"/>
      </w:r>
      <w:r w:rsidR="00B05E11" w:rsidRPr="00A774C4">
        <w:rPr>
          <w:rFonts w:ascii="Calibri" w:eastAsia="Times New Roman" w:hAnsi="Calibri" w:cstheme="minorHAnsi"/>
          <w:b/>
          <w:sz w:val="24"/>
          <w:szCs w:val="24"/>
        </w:rPr>
        <w:t>.</w:t>
      </w:r>
      <w:r w:rsidR="002C761F" w:rsidRPr="00A774C4">
        <w:rPr>
          <w:rFonts w:ascii="Calibri" w:eastAsia="Times New Roman" w:hAnsi="Calibri" w:cstheme="minorHAnsi"/>
          <w:b/>
          <w:sz w:val="24"/>
          <w:szCs w:val="24"/>
        </w:rPr>
        <w:t xml:space="preserve"> </w:t>
      </w:r>
      <w:r w:rsidR="00241B7B" w:rsidRPr="00A774C4">
        <w:rPr>
          <w:rFonts w:ascii="Calibri" w:eastAsia="Times New Roman" w:hAnsi="Calibri" w:cstheme="minorHAnsi"/>
          <w:sz w:val="24"/>
          <w:szCs w:val="24"/>
        </w:rPr>
        <w:t>Z předložených protokolů o</w:t>
      </w:r>
      <w:r w:rsidR="00642C69" w:rsidRPr="00A774C4">
        <w:rPr>
          <w:rFonts w:ascii="Calibri" w:eastAsia="Times New Roman" w:hAnsi="Calibri" w:cstheme="minorHAnsi"/>
          <w:sz w:val="24"/>
          <w:szCs w:val="24"/>
        </w:rPr>
        <w:t> </w:t>
      </w:r>
      <w:r w:rsidR="00241B7B" w:rsidRPr="00A774C4">
        <w:rPr>
          <w:rFonts w:ascii="Calibri" w:eastAsia="Times New Roman" w:hAnsi="Calibri" w:cstheme="minorHAnsi"/>
          <w:sz w:val="24"/>
          <w:szCs w:val="24"/>
        </w:rPr>
        <w:t xml:space="preserve">kontrole na místě </w:t>
      </w:r>
      <w:r w:rsidR="00F4361C" w:rsidRPr="00A774C4">
        <w:rPr>
          <w:rFonts w:ascii="Calibri" w:eastAsia="Times New Roman" w:hAnsi="Calibri" w:cstheme="minorHAnsi"/>
          <w:sz w:val="24"/>
          <w:szCs w:val="24"/>
        </w:rPr>
        <w:t>vyplývá, že</w:t>
      </w:r>
      <w:r w:rsidR="00241B7B" w:rsidRPr="00A774C4">
        <w:rPr>
          <w:rFonts w:ascii="Calibri" w:eastAsia="Times New Roman" w:hAnsi="Calibri" w:cstheme="minorHAnsi"/>
          <w:sz w:val="24"/>
          <w:szCs w:val="24"/>
        </w:rPr>
        <w:t xml:space="preserve"> MMR </w:t>
      </w:r>
      <w:r w:rsidR="00F4361C" w:rsidRPr="00A774C4">
        <w:rPr>
          <w:rFonts w:ascii="Calibri" w:eastAsia="Times New Roman" w:hAnsi="Calibri" w:cstheme="minorHAnsi"/>
          <w:sz w:val="24"/>
          <w:szCs w:val="24"/>
        </w:rPr>
        <w:t>ne</w:t>
      </w:r>
      <w:r w:rsidR="00241B7B" w:rsidRPr="00A774C4">
        <w:rPr>
          <w:rFonts w:ascii="Calibri" w:eastAsia="Times New Roman" w:hAnsi="Calibri" w:cstheme="minorHAnsi"/>
          <w:sz w:val="24"/>
          <w:szCs w:val="24"/>
        </w:rPr>
        <w:t>posuzovalo hospodárnost, efektivnost a</w:t>
      </w:r>
      <w:r>
        <w:rPr>
          <w:rFonts w:ascii="Calibri" w:eastAsia="Times New Roman" w:hAnsi="Calibri" w:cstheme="minorHAnsi"/>
          <w:sz w:val="24"/>
          <w:szCs w:val="24"/>
        </w:rPr>
        <w:t> </w:t>
      </w:r>
      <w:r w:rsidR="00241B7B" w:rsidRPr="00A774C4">
        <w:rPr>
          <w:rFonts w:ascii="Calibri" w:eastAsia="Times New Roman" w:hAnsi="Calibri" w:cstheme="minorHAnsi"/>
          <w:sz w:val="24"/>
          <w:szCs w:val="24"/>
        </w:rPr>
        <w:t>účelnost při nakládání s veřejnými prostředky.</w:t>
      </w:r>
    </w:p>
    <w:p w:rsidR="00977D1D" w:rsidRPr="00A774C4" w:rsidRDefault="002C761F" w:rsidP="00EA7B40">
      <w:pPr>
        <w:widowControl/>
        <w:shd w:val="clear" w:color="auto" w:fill="FFFFFF"/>
        <w:tabs>
          <w:tab w:val="left" w:pos="426"/>
        </w:tabs>
        <w:spacing w:after="120"/>
        <w:ind w:left="426" w:hanging="426"/>
        <w:jc w:val="both"/>
        <w:rPr>
          <w:rFonts w:ascii="Calibri" w:eastAsia="Times New Roman" w:hAnsi="Calibri" w:cstheme="minorHAnsi"/>
          <w:sz w:val="24"/>
          <w:szCs w:val="24"/>
        </w:rPr>
      </w:pPr>
      <w:r w:rsidRPr="00EA7B40">
        <w:rPr>
          <w:rFonts w:ascii="Calibri" w:eastAsia="Times New Roman" w:hAnsi="Calibri" w:cstheme="minorHAnsi"/>
          <w:b/>
          <w:sz w:val="24"/>
          <w:szCs w:val="24"/>
        </w:rPr>
        <w:t>7</w:t>
      </w:r>
      <w:r w:rsidR="008C51DA" w:rsidRPr="00EA7B40">
        <w:rPr>
          <w:rFonts w:ascii="Calibri" w:eastAsia="Times New Roman" w:hAnsi="Calibri" w:cstheme="minorHAnsi"/>
          <w:b/>
          <w:sz w:val="24"/>
          <w:szCs w:val="24"/>
        </w:rPr>
        <w:t xml:space="preserve">. </w:t>
      </w:r>
      <w:r w:rsidR="00EA7B40" w:rsidRPr="00EA7B40">
        <w:rPr>
          <w:rFonts w:ascii="Calibri" w:eastAsia="Times New Roman" w:hAnsi="Calibri" w:cstheme="minorHAnsi"/>
          <w:b/>
          <w:sz w:val="24"/>
          <w:szCs w:val="24"/>
        </w:rPr>
        <w:tab/>
      </w:r>
      <w:proofErr w:type="spellStart"/>
      <w:r w:rsidRPr="00A774C4">
        <w:rPr>
          <w:rFonts w:ascii="Calibri" w:eastAsia="Times New Roman" w:hAnsi="Calibri" w:cstheme="minorHAnsi"/>
          <w:b/>
          <w:sz w:val="24"/>
          <w:szCs w:val="24"/>
        </w:rPr>
        <w:t>MZd</w:t>
      </w:r>
      <w:proofErr w:type="spellEnd"/>
      <w:r w:rsidRPr="00A774C4">
        <w:rPr>
          <w:rFonts w:ascii="Calibri" w:eastAsia="Times New Roman" w:hAnsi="Calibri" w:cstheme="minorHAnsi"/>
          <w:b/>
          <w:sz w:val="24"/>
          <w:szCs w:val="24"/>
        </w:rPr>
        <w:t xml:space="preserve"> nemělo v oblasti poskytování dotací u obou programů nastaven funkční a účinný vnitřní kontrolní systém. </w:t>
      </w:r>
      <w:proofErr w:type="spellStart"/>
      <w:r w:rsidRPr="00A774C4">
        <w:rPr>
          <w:rFonts w:ascii="Calibri" w:eastAsia="Times New Roman" w:hAnsi="Calibri" w:cstheme="minorHAnsi"/>
          <w:sz w:val="24"/>
          <w:szCs w:val="24"/>
        </w:rPr>
        <w:t>MZd</w:t>
      </w:r>
      <w:proofErr w:type="spellEnd"/>
      <w:r w:rsidRPr="00A774C4">
        <w:rPr>
          <w:rFonts w:ascii="Calibri" w:eastAsia="Times New Roman" w:hAnsi="Calibri" w:cstheme="minorHAnsi"/>
          <w:sz w:val="24"/>
          <w:szCs w:val="24"/>
        </w:rPr>
        <w:t xml:space="preserve"> u obou programů neprovádělo řádnou předběžnou a</w:t>
      </w:r>
      <w:r w:rsidR="00A774C4">
        <w:rPr>
          <w:rFonts w:ascii="Calibri" w:eastAsia="Times New Roman" w:hAnsi="Calibri" w:cstheme="minorHAnsi"/>
          <w:sz w:val="24"/>
          <w:szCs w:val="24"/>
        </w:rPr>
        <w:t> </w:t>
      </w:r>
      <w:r w:rsidRPr="00A774C4">
        <w:rPr>
          <w:rFonts w:ascii="Calibri" w:eastAsia="Times New Roman" w:hAnsi="Calibri" w:cstheme="minorHAnsi"/>
          <w:sz w:val="24"/>
          <w:szCs w:val="24"/>
        </w:rPr>
        <w:t xml:space="preserve">průběžnou řídicí kontrolu. </w:t>
      </w:r>
      <w:r w:rsidR="00AA31B5" w:rsidRPr="00A774C4">
        <w:rPr>
          <w:rFonts w:ascii="Calibri" w:eastAsia="Times New Roman" w:hAnsi="Calibri" w:cstheme="minorHAnsi"/>
          <w:sz w:val="24"/>
          <w:szCs w:val="24"/>
        </w:rPr>
        <w:t>U</w:t>
      </w:r>
      <w:r w:rsidRPr="00A774C4">
        <w:rPr>
          <w:rFonts w:ascii="Calibri" w:eastAsia="Times New Roman" w:hAnsi="Calibri" w:cstheme="minorHAnsi"/>
          <w:sz w:val="24"/>
          <w:szCs w:val="24"/>
        </w:rPr>
        <w:t xml:space="preserve"> kontrolovaného vzorku akcí </w:t>
      </w:r>
      <w:proofErr w:type="spellStart"/>
      <w:r w:rsidR="00617833" w:rsidRPr="00A774C4">
        <w:rPr>
          <w:rFonts w:ascii="Calibri" w:eastAsia="Times New Roman" w:hAnsi="Calibri" w:cstheme="minorHAnsi"/>
          <w:sz w:val="24"/>
          <w:szCs w:val="24"/>
        </w:rPr>
        <w:t>MZd</w:t>
      </w:r>
      <w:proofErr w:type="spellEnd"/>
      <w:r w:rsidR="00617833" w:rsidRPr="00A774C4">
        <w:rPr>
          <w:rFonts w:ascii="Calibri" w:eastAsia="Times New Roman" w:hAnsi="Calibri" w:cstheme="minorHAnsi"/>
          <w:sz w:val="24"/>
          <w:szCs w:val="24"/>
        </w:rPr>
        <w:t xml:space="preserve"> </w:t>
      </w:r>
      <w:r w:rsidRPr="00A774C4">
        <w:rPr>
          <w:rFonts w:ascii="Calibri" w:eastAsia="Times New Roman" w:hAnsi="Calibri" w:cstheme="minorHAnsi"/>
          <w:sz w:val="24"/>
          <w:szCs w:val="24"/>
        </w:rPr>
        <w:t>řádně neprověřilo a</w:t>
      </w:r>
      <w:r w:rsidR="00A774C4">
        <w:rPr>
          <w:rFonts w:ascii="Calibri" w:eastAsia="Times New Roman" w:hAnsi="Calibri" w:cstheme="minorHAnsi"/>
          <w:sz w:val="24"/>
          <w:szCs w:val="24"/>
        </w:rPr>
        <w:t> </w:t>
      </w:r>
      <w:r w:rsidRPr="00A774C4">
        <w:rPr>
          <w:rFonts w:ascii="Calibri" w:eastAsia="Times New Roman" w:hAnsi="Calibri" w:cstheme="minorHAnsi"/>
          <w:sz w:val="24"/>
          <w:szCs w:val="24"/>
        </w:rPr>
        <w:t>nevymáhalo dodržení stanovených podmínek a jejich doložení správnými a úplnými podklady.</w:t>
      </w:r>
    </w:p>
    <w:p w:rsidR="00D905CA" w:rsidRPr="00A774C4" w:rsidRDefault="002C761F" w:rsidP="00EA7B40">
      <w:pPr>
        <w:widowControl/>
        <w:shd w:val="clear" w:color="auto" w:fill="FFFFFF"/>
        <w:tabs>
          <w:tab w:val="left" w:pos="426"/>
        </w:tabs>
        <w:spacing w:after="120"/>
        <w:ind w:left="426" w:hanging="426"/>
        <w:jc w:val="both"/>
        <w:rPr>
          <w:rFonts w:ascii="Calibri" w:hAnsi="Calibri" w:cstheme="minorHAnsi"/>
          <w:sz w:val="24"/>
          <w:szCs w:val="24"/>
        </w:rPr>
      </w:pPr>
      <w:r w:rsidRPr="00EA7B40">
        <w:rPr>
          <w:rFonts w:ascii="Calibri" w:eastAsia="Times New Roman" w:hAnsi="Calibri" w:cstheme="minorHAnsi"/>
          <w:b/>
          <w:sz w:val="24"/>
          <w:szCs w:val="24"/>
        </w:rPr>
        <w:t xml:space="preserve">8. </w:t>
      </w:r>
      <w:r w:rsidR="00EA7B40" w:rsidRPr="00EA7B40">
        <w:rPr>
          <w:rFonts w:ascii="Calibri" w:eastAsia="Times New Roman" w:hAnsi="Calibri" w:cstheme="minorHAnsi"/>
          <w:b/>
          <w:sz w:val="24"/>
          <w:szCs w:val="24"/>
        </w:rPr>
        <w:tab/>
      </w:r>
      <w:proofErr w:type="spellStart"/>
      <w:r w:rsidRPr="00A774C4">
        <w:rPr>
          <w:rFonts w:ascii="Calibri" w:hAnsi="Calibri" w:cstheme="minorHAnsi"/>
          <w:b/>
          <w:bCs/>
          <w:sz w:val="24"/>
          <w:szCs w:val="24"/>
        </w:rPr>
        <w:t>MZd</w:t>
      </w:r>
      <w:proofErr w:type="spellEnd"/>
      <w:r w:rsidRPr="00A774C4">
        <w:rPr>
          <w:rFonts w:ascii="Calibri" w:hAnsi="Calibri" w:cstheme="minorHAnsi"/>
          <w:b/>
          <w:bCs/>
          <w:sz w:val="24"/>
          <w:szCs w:val="24"/>
        </w:rPr>
        <w:t xml:space="preserve"> postupovalo netransparentně při </w:t>
      </w:r>
      <w:r w:rsidR="006F4029" w:rsidRPr="00A774C4">
        <w:rPr>
          <w:rFonts w:ascii="Calibri" w:hAnsi="Calibri" w:cstheme="minorHAnsi"/>
          <w:b/>
          <w:bCs/>
          <w:sz w:val="24"/>
          <w:szCs w:val="24"/>
        </w:rPr>
        <w:t>hodnocení</w:t>
      </w:r>
      <w:r w:rsidRPr="00A774C4">
        <w:rPr>
          <w:rFonts w:ascii="Calibri" w:hAnsi="Calibri" w:cstheme="minorHAnsi"/>
          <w:b/>
          <w:bCs/>
          <w:sz w:val="24"/>
          <w:szCs w:val="24"/>
        </w:rPr>
        <w:t xml:space="preserve"> akcí z programu rozvoje a obnovy</w:t>
      </w:r>
      <w:r w:rsidR="000A126B">
        <w:rPr>
          <w:rFonts w:ascii="Calibri" w:hAnsi="Calibri" w:cstheme="minorHAnsi"/>
          <w:b/>
          <w:bCs/>
          <w:sz w:val="24"/>
          <w:szCs w:val="24"/>
        </w:rPr>
        <w:t>,</w:t>
      </w:r>
      <w:r w:rsidRPr="00A774C4">
        <w:rPr>
          <w:rFonts w:ascii="Calibri" w:hAnsi="Calibri" w:cstheme="minorHAnsi"/>
          <w:b/>
          <w:bCs/>
          <w:sz w:val="24"/>
          <w:szCs w:val="24"/>
        </w:rPr>
        <w:t xml:space="preserve"> </w:t>
      </w:r>
      <w:r w:rsidR="00BC63D1">
        <w:rPr>
          <w:rFonts w:ascii="Calibri" w:hAnsi="Calibri" w:cstheme="minorHAnsi"/>
          <w:sz w:val="24"/>
          <w:szCs w:val="24"/>
        </w:rPr>
        <w:t xml:space="preserve">když </w:t>
      </w:r>
      <w:r w:rsidRPr="00A774C4">
        <w:rPr>
          <w:rFonts w:ascii="Calibri" w:hAnsi="Calibri" w:cstheme="minorHAnsi"/>
          <w:sz w:val="24"/>
          <w:szCs w:val="24"/>
        </w:rPr>
        <w:t>poskytlo dotace příjemcům, kteří žádosti</w:t>
      </w:r>
      <w:r w:rsidR="00D10610" w:rsidRPr="00A774C4">
        <w:rPr>
          <w:rFonts w:ascii="Calibri" w:hAnsi="Calibri" w:cstheme="minorHAnsi"/>
          <w:sz w:val="24"/>
          <w:szCs w:val="24"/>
        </w:rPr>
        <w:t xml:space="preserve"> o poskytnutí dotace</w:t>
      </w:r>
      <w:r w:rsidRPr="00A774C4">
        <w:rPr>
          <w:rFonts w:ascii="Calibri" w:hAnsi="Calibri" w:cstheme="minorHAnsi"/>
          <w:sz w:val="24"/>
          <w:szCs w:val="24"/>
        </w:rPr>
        <w:t xml:space="preserve"> vč</w:t>
      </w:r>
      <w:r w:rsidR="002E5C60" w:rsidRPr="00A774C4">
        <w:rPr>
          <w:rFonts w:ascii="Calibri" w:hAnsi="Calibri" w:cstheme="minorHAnsi"/>
          <w:sz w:val="24"/>
          <w:szCs w:val="24"/>
        </w:rPr>
        <w:t>.</w:t>
      </w:r>
      <w:r w:rsidRPr="00A774C4">
        <w:rPr>
          <w:rFonts w:ascii="Calibri" w:hAnsi="Calibri" w:cstheme="minorHAnsi"/>
          <w:sz w:val="24"/>
          <w:szCs w:val="24"/>
        </w:rPr>
        <w:t xml:space="preserve"> investičních záměr</w:t>
      </w:r>
      <w:r w:rsidR="0082578D" w:rsidRPr="00A774C4">
        <w:rPr>
          <w:rFonts w:ascii="Calibri" w:hAnsi="Calibri" w:cstheme="minorHAnsi"/>
          <w:sz w:val="24"/>
          <w:szCs w:val="24"/>
        </w:rPr>
        <w:t>ů</w:t>
      </w:r>
      <w:r w:rsidRPr="00A774C4">
        <w:rPr>
          <w:rFonts w:ascii="Calibri" w:hAnsi="Calibri" w:cstheme="minorHAnsi"/>
          <w:sz w:val="24"/>
          <w:szCs w:val="24"/>
        </w:rPr>
        <w:t xml:space="preserve"> podali po</w:t>
      </w:r>
      <w:r w:rsidR="00BC63D1">
        <w:rPr>
          <w:rFonts w:ascii="Calibri" w:hAnsi="Calibri" w:cstheme="minorHAnsi"/>
          <w:sz w:val="24"/>
          <w:szCs w:val="24"/>
        </w:rPr>
        <w:t xml:space="preserve"> </w:t>
      </w:r>
      <w:r w:rsidRPr="00A774C4">
        <w:rPr>
          <w:rFonts w:ascii="Calibri" w:hAnsi="Calibri" w:cstheme="minorHAnsi"/>
          <w:sz w:val="24"/>
          <w:szCs w:val="24"/>
        </w:rPr>
        <w:t>stanoveném termínu</w:t>
      </w:r>
      <w:r w:rsidR="00AE6974">
        <w:rPr>
          <w:rFonts w:ascii="Calibri" w:hAnsi="Calibri" w:cstheme="minorHAnsi"/>
          <w:sz w:val="24"/>
          <w:szCs w:val="24"/>
        </w:rPr>
        <w:t>,</w:t>
      </w:r>
      <w:r w:rsidRPr="00A774C4">
        <w:rPr>
          <w:rFonts w:ascii="Calibri" w:hAnsi="Calibri" w:cstheme="minorHAnsi"/>
          <w:sz w:val="24"/>
          <w:szCs w:val="24"/>
        </w:rPr>
        <w:t xml:space="preserve"> </w:t>
      </w:r>
      <w:r w:rsidRPr="00A774C4">
        <w:rPr>
          <w:rFonts w:ascii="Calibri" w:eastAsia="Times New Roman" w:hAnsi="Calibri" w:cstheme="minorHAnsi"/>
          <w:sz w:val="24"/>
          <w:szCs w:val="24"/>
        </w:rPr>
        <w:t xml:space="preserve">a rovněž nehodnotilo tyto žádosti dle kritérií stanovených v dokumentaci programu a </w:t>
      </w:r>
      <w:r w:rsidR="009A3107" w:rsidRPr="00A774C4">
        <w:rPr>
          <w:rFonts w:ascii="Calibri" w:eastAsia="Times New Roman" w:hAnsi="Calibri" w:cstheme="minorHAnsi"/>
          <w:sz w:val="24"/>
          <w:szCs w:val="24"/>
        </w:rPr>
        <w:t xml:space="preserve">ve </w:t>
      </w:r>
      <w:r w:rsidR="00D10610" w:rsidRPr="00A774C4">
        <w:rPr>
          <w:rFonts w:ascii="Calibri" w:eastAsia="Times New Roman" w:hAnsi="Calibri" w:cstheme="minorHAnsi"/>
          <w:sz w:val="24"/>
          <w:szCs w:val="24"/>
        </w:rPr>
        <w:t>vnitřních předpisech</w:t>
      </w:r>
      <w:r w:rsidRPr="00A774C4">
        <w:rPr>
          <w:rFonts w:ascii="Calibri" w:eastAsia="Times New Roman" w:hAnsi="Calibri" w:cstheme="minorHAnsi"/>
          <w:sz w:val="24"/>
          <w:szCs w:val="24"/>
        </w:rPr>
        <w:t>.</w:t>
      </w:r>
      <w:r w:rsidRPr="00A774C4">
        <w:rPr>
          <w:rFonts w:ascii="Calibri" w:hAnsi="Calibri" w:cstheme="minorHAnsi"/>
          <w:sz w:val="24"/>
          <w:szCs w:val="24"/>
        </w:rPr>
        <w:t xml:space="preserve"> </w:t>
      </w:r>
      <w:r w:rsidR="007246A2" w:rsidRPr="00A774C4">
        <w:rPr>
          <w:rFonts w:ascii="Calibri" w:hAnsi="Calibri" w:cstheme="minorHAnsi"/>
          <w:sz w:val="24"/>
          <w:szCs w:val="24"/>
        </w:rPr>
        <w:t>Nedůslednost poskytovatele dotace zakládá nerovný přístup k</w:t>
      </w:r>
      <w:r w:rsidR="00642C69" w:rsidRPr="00A774C4">
        <w:rPr>
          <w:rFonts w:ascii="Calibri" w:hAnsi="Calibri" w:cstheme="minorHAnsi"/>
          <w:sz w:val="24"/>
          <w:szCs w:val="24"/>
        </w:rPr>
        <w:t> </w:t>
      </w:r>
      <w:r w:rsidR="007246A2" w:rsidRPr="00A774C4">
        <w:rPr>
          <w:rFonts w:ascii="Calibri" w:hAnsi="Calibri" w:cstheme="minorHAnsi"/>
          <w:sz w:val="24"/>
          <w:szCs w:val="24"/>
        </w:rPr>
        <w:t>žadatelům o dotace, kteří</w:t>
      </w:r>
      <w:r w:rsidR="00B913FD" w:rsidRPr="00A774C4">
        <w:rPr>
          <w:rFonts w:ascii="Calibri" w:hAnsi="Calibri" w:cstheme="minorHAnsi"/>
          <w:sz w:val="24"/>
          <w:szCs w:val="24"/>
        </w:rPr>
        <w:t xml:space="preserve"> stanovené</w:t>
      </w:r>
      <w:r w:rsidR="007246A2" w:rsidRPr="00A774C4">
        <w:rPr>
          <w:rFonts w:ascii="Calibri" w:hAnsi="Calibri" w:cstheme="minorHAnsi"/>
          <w:sz w:val="24"/>
          <w:szCs w:val="24"/>
        </w:rPr>
        <w:t xml:space="preserve"> podmínk</w:t>
      </w:r>
      <w:r w:rsidR="00B913FD" w:rsidRPr="00A774C4">
        <w:rPr>
          <w:rFonts w:ascii="Calibri" w:hAnsi="Calibri" w:cstheme="minorHAnsi"/>
          <w:sz w:val="24"/>
          <w:szCs w:val="24"/>
        </w:rPr>
        <w:t>y</w:t>
      </w:r>
      <w:r w:rsidR="007246A2" w:rsidRPr="00A774C4">
        <w:rPr>
          <w:rFonts w:ascii="Calibri" w:hAnsi="Calibri" w:cstheme="minorHAnsi"/>
          <w:sz w:val="24"/>
          <w:szCs w:val="24"/>
        </w:rPr>
        <w:t xml:space="preserve"> zcela splnili.</w:t>
      </w:r>
    </w:p>
    <w:p w:rsidR="00362037" w:rsidRPr="00A774C4" w:rsidRDefault="002C761F" w:rsidP="00EA7B40">
      <w:pPr>
        <w:widowControl/>
        <w:shd w:val="clear" w:color="auto" w:fill="FFFFFF"/>
        <w:tabs>
          <w:tab w:val="left" w:pos="426"/>
        </w:tabs>
        <w:spacing w:after="120"/>
        <w:ind w:left="426" w:hanging="426"/>
        <w:jc w:val="both"/>
        <w:rPr>
          <w:rFonts w:ascii="Calibri" w:eastAsia="Times New Roman" w:hAnsi="Calibri" w:cstheme="minorHAnsi"/>
          <w:sz w:val="24"/>
          <w:szCs w:val="24"/>
        </w:rPr>
      </w:pPr>
      <w:r w:rsidRPr="00EA7B40">
        <w:rPr>
          <w:rFonts w:ascii="Calibri" w:eastAsia="Times New Roman" w:hAnsi="Calibri" w:cstheme="minorHAnsi"/>
          <w:b/>
          <w:sz w:val="24"/>
          <w:szCs w:val="24"/>
        </w:rPr>
        <w:t xml:space="preserve">9. </w:t>
      </w:r>
      <w:r w:rsidR="00EA7B40" w:rsidRPr="00EA7B40">
        <w:rPr>
          <w:rFonts w:ascii="Calibri" w:eastAsia="Times New Roman" w:hAnsi="Calibri" w:cstheme="minorHAnsi"/>
          <w:b/>
          <w:sz w:val="24"/>
          <w:szCs w:val="24"/>
        </w:rPr>
        <w:tab/>
      </w:r>
      <w:r w:rsidRPr="00A774C4">
        <w:rPr>
          <w:rFonts w:ascii="Calibri" w:eastAsia="Times New Roman" w:hAnsi="Calibri" w:cstheme="minorHAnsi"/>
          <w:b/>
          <w:sz w:val="24"/>
          <w:szCs w:val="24"/>
        </w:rPr>
        <w:t xml:space="preserve">MMR ve výzvě č. 54 a výzvě č. 75 zaznamenalo nízký zájem o podporu zaměřenou na zřízení nových či rekonstrukci stávajících </w:t>
      </w:r>
      <w:r w:rsidR="00C6181B" w:rsidRPr="00A774C4">
        <w:rPr>
          <w:rFonts w:ascii="Calibri" w:eastAsia="Times New Roman" w:hAnsi="Calibri" w:cstheme="minorHAnsi"/>
          <w:b/>
          <w:sz w:val="24"/>
          <w:szCs w:val="24"/>
        </w:rPr>
        <w:t xml:space="preserve">zařízení </w:t>
      </w:r>
      <w:r w:rsidRPr="00A774C4">
        <w:rPr>
          <w:rFonts w:ascii="Calibri" w:eastAsia="Times New Roman" w:hAnsi="Calibri" w:cstheme="minorHAnsi"/>
          <w:b/>
          <w:sz w:val="24"/>
          <w:szCs w:val="24"/>
        </w:rPr>
        <w:t xml:space="preserve">center duševního zdraví </w:t>
      </w:r>
      <w:r w:rsidRPr="00A774C4">
        <w:rPr>
          <w:rFonts w:ascii="Calibri" w:eastAsia="Times New Roman" w:hAnsi="Calibri" w:cstheme="minorHAnsi"/>
          <w:sz w:val="24"/>
          <w:szCs w:val="24"/>
        </w:rPr>
        <w:t xml:space="preserve">(dále také „CDZ“). V rámci </w:t>
      </w:r>
      <w:r w:rsidR="00C6181B" w:rsidRPr="00A774C4">
        <w:rPr>
          <w:rFonts w:ascii="Calibri" w:eastAsia="Times New Roman" w:hAnsi="Calibri" w:cstheme="minorHAnsi"/>
          <w:sz w:val="24"/>
          <w:szCs w:val="24"/>
        </w:rPr>
        <w:t xml:space="preserve">obou </w:t>
      </w:r>
      <w:r w:rsidRPr="00A774C4">
        <w:rPr>
          <w:rFonts w:ascii="Calibri" w:eastAsia="Times New Roman" w:hAnsi="Calibri" w:cstheme="minorHAnsi"/>
          <w:sz w:val="24"/>
          <w:szCs w:val="24"/>
        </w:rPr>
        <w:t xml:space="preserve">výzev bylo </w:t>
      </w:r>
      <w:r w:rsidR="00900E09" w:rsidRPr="00A774C4">
        <w:rPr>
          <w:rFonts w:ascii="Calibri" w:eastAsia="Times New Roman" w:hAnsi="Calibri" w:cstheme="minorHAnsi"/>
          <w:sz w:val="24"/>
          <w:szCs w:val="24"/>
        </w:rPr>
        <w:t xml:space="preserve">dohromady </w:t>
      </w:r>
      <w:r w:rsidRPr="00A774C4">
        <w:rPr>
          <w:rFonts w:ascii="Calibri" w:eastAsia="Times New Roman" w:hAnsi="Calibri" w:cstheme="minorHAnsi"/>
          <w:sz w:val="24"/>
          <w:szCs w:val="24"/>
        </w:rPr>
        <w:t xml:space="preserve">podpořeno pouze </w:t>
      </w:r>
      <w:r w:rsidR="00BC63D1">
        <w:rPr>
          <w:rFonts w:ascii="Calibri" w:eastAsia="Times New Roman" w:hAnsi="Calibri" w:cstheme="minorHAnsi"/>
          <w:sz w:val="24"/>
          <w:szCs w:val="24"/>
        </w:rPr>
        <w:t>pět</w:t>
      </w:r>
      <w:r w:rsidRPr="00A774C4">
        <w:rPr>
          <w:rFonts w:ascii="Calibri" w:eastAsia="Times New Roman" w:hAnsi="Calibri" w:cstheme="minorHAnsi"/>
          <w:sz w:val="24"/>
          <w:szCs w:val="24"/>
        </w:rPr>
        <w:t xml:space="preserve"> projektů</w:t>
      </w:r>
      <w:r w:rsidR="00566DB5" w:rsidRPr="00A774C4">
        <w:rPr>
          <w:rFonts w:ascii="Calibri" w:eastAsia="Times New Roman" w:hAnsi="Calibri" w:cstheme="minorHAnsi"/>
          <w:sz w:val="24"/>
          <w:szCs w:val="24"/>
        </w:rPr>
        <w:t xml:space="preserve"> </w:t>
      </w:r>
      <w:r w:rsidR="009F49CC" w:rsidRPr="00A774C4">
        <w:rPr>
          <w:rFonts w:ascii="Calibri" w:eastAsia="Times New Roman" w:hAnsi="Calibri" w:cstheme="minorHAnsi"/>
          <w:sz w:val="24"/>
          <w:szCs w:val="24"/>
        </w:rPr>
        <w:t xml:space="preserve">budování sítě </w:t>
      </w:r>
      <w:r w:rsidR="00566DB5" w:rsidRPr="00A774C4">
        <w:rPr>
          <w:rFonts w:ascii="Calibri" w:eastAsia="Times New Roman" w:hAnsi="Calibri" w:cstheme="minorHAnsi"/>
          <w:sz w:val="24"/>
          <w:szCs w:val="24"/>
        </w:rPr>
        <w:t>CDZ</w:t>
      </w:r>
      <w:r w:rsidRPr="00A774C4">
        <w:rPr>
          <w:rFonts w:ascii="Calibri" w:eastAsia="Times New Roman" w:hAnsi="Calibri" w:cstheme="minorHAnsi"/>
          <w:sz w:val="24"/>
          <w:szCs w:val="24"/>
        </w:rPr>
        <w:t xml:space="preserve"> (tj. 21 % všech podpořených projektů</w:t>
      </w:r>
      <w:r w:rsidR="00DE6F5C" w:rsidRPr="00A774C4">
        <w:rPr>
          <w:rFonts w:ascii="Calibri" w:eastAsia="Times New Roman" w:hAnsi="Calibri" w:cstheme="minorHAnsi"/>
          <w:sz w:val="24"/>
          <w:szCs w:val="24"/>
        </w:rPr>
        <w:t xml:space="preserve"> </w:t>
      </w:r>
      <w:r w:rsidR="00E96DAC" w:rsidRPr="00A774C4">
        <w:rPr>
          <w:rFonts w:ascii="Calibri" w:eastAsia="Times New Roman" w:hAnsi="Calibri" w:cstheme="minorHAnsi"/>
          <w:sz w:val="24"/>
          <w:szCs w:val="24"/>
        </w:rPr>
        <w:t xml:space="preserve">v letech </w:t>
      </w:r>
      <w:r w:rsidR="00DE6F5C" w:rsidRPr="00A774C4">
        <w:rPr>
          <w:rFonts w:ascii="Calibri" w:hAnsi="Calibri" w:cstheme="minorHAnsi"/>
          <w:sz w:val="24"/>
          <w:szCs w:val="24"/>
        </w:rPr>
        <w:t>2016−2020</w:t>
      </w:r>
      <w:r w:rsidRPr="00A774C4">
        <w:rPr>
          <w:rFonts w:ascii="Calibri" w:eastAsia="Times New Roman" w:hAnsi="Calibri" w:cstheme="minorHAnsi"/>
          <w:sz w:val="24"/>
          <w:szCs w:val="24"/>
        </w:rPr>
        <w:t>)</w:t>
      </w:r>
      <w:r w:rsidR="000C77EE" w:rsidRPr="00A774C4">
        <w:rPr>
          <w:rFonts w:ascii="Calibri" w:eastAsia="Times New Roman" w:hAnsi="Calibri" w:cstheme="minorHAnsi"/>
          <w:sz w:val="24"/>
          <w:szCs w:val="24"/>
        </w:rPr>
        <w:t>.</w:t>
      </w:r>
      <w:r w:rsidRPr="00A774C4">
        <w:rPr>
          <w:rFonts w:ascii="Calibri" w:eastAsia="Times New Roman" w:hAnsi="Calibri" w:cstheme="minorHAnsi"/>
          <w:sz w:val="24"/>
          <w:szCs w:val="24"/>
        </w:rPr>
        <w:t xml:space="preserve"> CDZ tvoří zdravotně sociální terénní týmy, které </w:t>
      </w:r>
      <w:proofErr w:type="spellStart"/>
      <w:r w:rsidRPr="00A774C4">
        <w:rPr>
          <w:rFonts w:ascii="Calibri" w:eastAsia="Times New Roman" w:hAnsi="Calibri" w:cstheme="minorHAnsi"/>
          <w:sz w:val="24"/>
          <w:szCs w:val="24"/>
        </w:rPr>
        <w:t>deinstitucionalizovaným</w:t>
      </w:r>
      <w:proofErr w:type="spellEnd"/>
      <w:r w:rsidRPr="00A774C4">
        <w:rPr>
          <w:rFonts w:ascii="Calibri" w:eastAsia="Times New Roman" w:hAnsi="Calibri" w:cstheme="minorHAnsi"/>
          <w:sz w:val="24"/>
          <w:szCs w:val="24"/>
        </w:rPr>
        <w:t xml:space="preserve"> osobám s duševním onemocněním </w:t>
      </w:r>
      <w:r w:rsidR="00DB33CB" w:rsidRPr="00A774C4">
        <w:rPr>
          <w:rFonts w:ascii="Calibri" w:eastAsia="Times New Roman" w:hAnsi="Calibri" w:cstheme="minorHAnsi"/>
          <w:sz w:val="24"/>
          <w:szCs w:val="24"/>
        </w:rPr>
        <w:t>poskytují</w:t>
      </w:r>
      <w:r w:rsidRPr="00A774C4">
        <w:rPr>
          <w:rFonts w:ascii="Calibri" w:eastAsia="Times New Roman" w:hAnsi="Calibri" w:cstheme="minorHAnsi"/>
          <w:sz w:val="24"/>
          <w:szCs w:val="24"/>
        </w:rPr>
        <w:t xml:space="preserve"> péči a rehabilitaci v jejich přirozeném prostředí.</w:t>
      </w:r>
    </w:p>
    <w:p w:rsidR="00180381" w:rsidRPr="00A774C4" w:rsidRDefault="002C761F" w:rsidP="00EA7B40">
      <w:pPr>
        <w:widowControl/>
        <w:shd w:val="clear" w:color="auto" w:fill="FFFFFF"/>
        <w:tabs>
          <w:tab w:val="left" w:pos="426"/>
        </w:tabs>
        <w:spacing w:after="120"/>
        <w:ind w:left="426" w:hanging="426"/>
        <w:jc w:val="both"/>
        <w:rPr>
          <w:rFonts w:ascii="Calibri" w:eastAsia="Times New Roman" w:hAnsi="Calibri" w:cstheme="minorHAnsi"/>
          <w:sz w:val="24"/>
          <w:szCs w:val="24"/>
        </w:rPr>
      </w:pPr>
      <w:r w:rsidRPr="00EA7B40">
        <w:rPr>
          <w:rFonts w:ascii="Calibri" w:eastAsia="Times New Roman" w:hAnsi="Calibri" w:cstheme="minorHAnsi"/>
          <w:b/>
          <w:sz w:val="24"/>
          <w:szCs w:val="24"/>
        </w:rPr>
        <w:t>1</w:t>
      </w:r>
      <w:r w:rsidR="00977D1D" w:rsidRPr="00EA7B40">
        <w:rPr>
          <w:rFonts w:ascii="Calibri" w:eastAsia="Times New Roman" w:hAnsi="Calibri" w:cstheme="minorHAnsi"/>
          <w:b/>
          <w:sz w:val="24"/>
          <w:szCs w:val="24"/>
        </w:rPr>
        <w:t>0</w:t>
      </w:r>
      <w:r w:rsidRPr="00EA7B40">
        <w:rPr>
          <w:rFonts w:ascii="Calibri" w:eastAsia="Times New Roman" w:hAnsi="Calibri" w:cstheme="minorHAnsi"/>
          <w:b/>
          <w:sz w:val="24"/>
          <w:szCs w:val="24"/>
        </w:rPr>
        <w:t xml:space="preserve">. </w:t>
      </w:r>
      <w:r w:rsidR="00EA7B40" w:rsidRPr="00EA7B40">
        <w:rPr>
          <w:rFonts w:ascii="Calibri" w:eastAsia="Times New Roman" w:hAnsi="Calibri" w:cstheme="minorHAnsi"/>
          <w:b/>
          <w:sz w:val="24"/>
          <w:szCs w:val="24"/>
        </w:rPr>
        <w:tab/>
      </w:r>
      <w:r w:rsidR="00960529" w:rsidRPr="00A774C4">
        <w:rPr>
          <w:rFonts w:ascii="Calibri" w:eastAsia="Times New Roman" w:hAnsi="Calibri" w:cstheme="minorHAnsi"/>
          <w:b/>
          <w:sz w:val="24"/>
          <w:szCs w:val="24"/>
        </w:rPr>
        <w:t xml:space="preserve">V rámci kontroly </w:t>
      </w:r>
      <w:r w:rsidR="009A3107" w:rsidRPr="00A774C4">
        <w:rPr>
          <w:rFonts w:ascii="Calibri" w:eastAsia="Times New Roman" w:hAnsi="Calibri" w:cstheme="minorHAnsi"/>
          <w:b/>
          <w:sz w:val="24"/>
          <w:szCs w:val="24"/>
        </w:rPr>
        <w:t xml:space="preserve">NKÚ </w:t>
      </w:r>
      <w:r w:rsidR="00960529" w:rsidRPr="00A774C4">
        <w:rPr>
          <w:rFonts w:ascii="Calibri" w:eastAsia="Times New Roman" w:hAnsi="Calibri" w:cstheme="minorHAnsi"/>
          <w:b/>
          <w:sz w:val="24"/>
          <w:szCs w:val="24"/>
        </w:rPr>
        <w:t>u</w:t>
      </w:r>
      <w:r w:rsidRPr="00A774C4">
        <w:rPr>
          <w:rFonts w:ascii="Calibri" w:eastAsia="Times New Roman" w:hAnsi="Calibri" w:cstheme="minorHAnsi"/>
          <w:b/>
          <w:sz w:val="24"/>
          <w:szCs w:val="24"/>
        </w:rPr>
        <w:t xml:space="preserve"> vybraných příjemců dotací </w:t>
      </w:r>
      <w:r w:rsidR="00960529" w:rsidRPr="00A774C4">
        <w:rPr>
          <w:rFonts w:ascii="Calibri" w:eastAsia="Times New Roman" w:hAnsi="Calibri" w:cstheme="minorHAnsi"/>
          <w:b/>
          <w:sz w:val="24"/>
          <w:szCs w:val="24"/>
        </w:rPr>
        <w:t>FN Brno a FN Ostrava</w:t>
      </w:r>
      <w:r w:rsidR="00960529" w:rsidRPr="000955B0">
        <w:rPr>
          <w:rFonts w:ascii="Calibri" w:eastAsia="Times New Roman" w:hAnsi="Calibri" w:cstheme="minorHAnsi"/>
          <w:b/>
          <w:sz w:val="24"/>
          <w:szCs w:val="24"/>
        </w:rPr>
        <w:t>,</w:t>
      </w:r>
      <w:r w:rsidR="00960529" w:rsidRPr="00A774C4">
        <w:rPr>
          <w:rFonts w:ascii="Calibri" w:eastAsia="Times New Roman" w:hAnsi="Calibri" w:cstheme="minorHAnsi"/>
          <w:sz w:val="24"/>
          <w:szCs w:val="24"/>
        </w:rPr>
        <w:t xml:space="preserve"> jejichž projekty byly </w:t>
      </w:r>
      <w:r w:rsidR="00CE46F5" w:rsidRPr="00A774C4">
        <w:rPr>
          <w:rFonts w:ascii="Calibri" w:eastAsia="Times New Roman" w:hAnsi="Calibri" w:cstheme="minorHAnsi"/>
          <w:sz w:val="24"/>
          <w:szCs w:val="24"/>
        </w:rPr>
        <w:t>vybrány</w:t>
      </w:r>
      <w:r w:rsidR="00960529" w:rsidRPr="00A774C4">
        <w:rPr>
          <w:rFonts w:ascii="Calibri" w:eastAsia="Times New Roman" w:hAnsi="Calibri" w:cstheme="minorHAnsi"/>
          <w:sz w:val="24"/>
          <w:szCs w:val="24"/>
        </w:rPr>
        <w:t xml:space="preserve"> na podporu </w:t>
      </w:r>
      <w:proofErr w:type="spellStart"/>
      <w:r w:rsidR="00960529" w:rsidRPr="00A774C4">
        <w:rPr>
          <w:rFonts w:ascii="Calibri" w:eastAsia="Times New Roman" w:hAnsi="Calibri" w:cstheme="minorHAnsi"/>
          <w:sz w:val="24"/>
          <w:szCs w:val="24"/>
        </w:rPr>
        <w:t>deinstitucionalizace</w:t>
      </w:r>
      <w:proofErr w:type="spellEnd"/>
      <w:r w:rsidR="00960529" w:rsidRPr="00A774C4">
        <w:rPr>
          <w:rFonts w:ascii="Calibri" w:eastAsia="Times New Roman" w:hAnsi="Calibri" w:cstheme="minorHAnsi"/>
          <w:sz w:val="24"/>
          <w:szCs w:val="24"/>
        </w:rPr>
        <w:t xml:space="preserve"> psychiatrické péče</w:t>
      </w:r>
      <w:r w:rsidR="00CE46F5" w:rsidRPr="00A774C4">
        <w:rPr>
          <w:rFonts w:ascii="Calibri" w:eastAsia="Times New Roman" w:hAnsi="Calibri" w:cstheme="minorHAnsi"/>
          <w:sz w:val="24"/>
          <w:szCs w:val="24"/>
        </w:rPr>
        <w:t xml:space="preserve"> v rámci výzvy č. 54 a</w:t>
      </w:r>
      <w:r w:rsidR="00EA7B40">
        <w:rPr>
          <w:rFonts w:ascii="Calibri" w:eastAsia="Times New Roman" w:hAnsi="Calibri" w:cstheme="minorHAnsi"/>
          <w:sz w:val="24"/>
          <w:szCs w:val="24"/>
        </w:rPr>
        <w:t> </w:t>
      </w:r>
      <w:r w:rsidR="00CE46F5" w:rsidRPr="00A774C4">
        <w:rPr>
          <w:rFonts w:ascii="Calibri" w:eastAsia="Times New Roman" w:hAnsi="Calibri" w:cstheme="minorHAnsi"/>
          <w:sz w:val="24"/>
          <w:szCs w:val="24"/>
        </w:rPr>
        <w:t>výzvy č.</w:t>
      </w:r>
      <w:r w:rsidR="00A774C4">
        <w:rPr>
          <w:rFonts w:ascii="Calibri" w:eastAsia="Times New Roman" w:hAnsi="Calibri" w:cstheme="minorHAnsi"/>
          <w:sz w:val="24"/>
          <w:szCs w:val="24"/>
        </w:rPr>
        <w:t> </w:t>
      </w:r>
      <w:r w:rsidR="00CE46F5" w:rsidRPr="00A774C4">
        <w:rPr>
          <w:rFonts w:ascii="Calibri" w:eastAsia="Times New Roman" w:hAnsi="Calibri" w:cstheme="minorHAnsi"/>
          <w:sz w:val="24"/>
          <w:szCs w:val="24"/>
        </w:rPr>
        <w:t>75</w:t>
      </w:r>
      <w:r w:rsidR="00960529" w:rsidRPr="00A774C4">
        <w:rPr>
          <w:rFonts w:ascii="Calibri" w:eastAsia="Times New Roman" w:hAnsi="Calibri" w:cstheme="minorHAnsi"/>
          <w:sz w:val="24"/>
          <w:szCs w:val="24"/>
        </w:rPr>
        <w:t xml:space="preserve">, </w:t>
      </w:r>
      <w:r w:rsidR="00960529" w:rsidRPr="00A774C4">
        <w:rPr>
          <w:rFonts w:ascii="Calibri" w:eastAsia="Times New Roman" w:hAnsi="Calibri" w:cstheme="minorHAnsi"/>
          <w:b/>
          <w:sz w:val="24"/>
          <w:szCs w:val="24"/>
        </w:rPr>
        <w:t>nebyly zjištěny</w:t>
      </w:r>
      <w:r w:rsidR="00330E92" w:rsidRPr="00A774C4">
        <w:rPr>
          <w:rFonts w:ascii="Calibri" w:eastAsia="Times New Roman" w:hAnsi="Calibri" w:cstheme="minorHAnsi"/>
          <w:b/>
          <w:sz w:val="24"/>
          <w:szCs w:val="24"/>
        </w:rPr>
        <w:t xml:space="preserve"> ke dni ukončení kontroly</w:t>
      </w:r>
      <w:r w:rsidRPr="00A774C4">
        <w:rPr>
          <w:rFonts w:ascii="Calibri" w:eastAsia="Times New Roman" w:hAnsi="Calibri" w:cstheme="minorHAnsi"/>
          <w:b/>
          <w:sz w:val="24"/>
          <w:szCs w:val="24"/>
        </w:rPr>
        <w:t xml:space="preserve"> významné nedostatky</w:t>
      </w:r>
      <w:r w:rsidR="004F3511" w:rsidRPr="00A774C4">
        <w:rPr>
          <w:rFonts w:ascii="Calibri" w:eastAsia="Times New Roman" w:hAnsi="Calibri" w:cstheme="minorHAnsi"/>
          <w:b/>
          <w:sz w:val="24"/>
          <w:szCs w:val="24"/>
        </w:rPr>
        <w:t>, neúčelnost ani nehospodárnost.</w:t>
      </w:r>
      <w:r w:rsidRPr="00A774C4">
        <w:rPr>
          <w:rFonts w:ascii="Calibri" w:eastAsia="Times New Roman" w:hAnsi="Calibri" w:cstheme="minorHAnsi"/>
          <w:sz w:val="24"/>
          <w:szCs w:val="24"/>
        </w:rPr>
        <w:t xml:space="preserve"> </w:t>
      </w:r>
      <w:r w:rsidR="00CE46F5" w:rsidRPr="00A774C4">
        <w:rPr>
          <w:rFonts w:ascii="Calibri" w:eastAsia="Times New Roman" w:hAnsi="Calibri" w:cstheme="minorHAnsi"/>
          <w:sz w:val="24"/>
          <w:szCs w:val="24"/>
        </w:rPr>
        <w:t xml:space="preserve">Tyto projekty jsou průběžně financovány </w:t>
      </w:r>
      <w:proofErr w:type="spellStart"/>
      <w:r w:rsidR="00CE46F5" w:rsidRPr="00A774C4">
        <w:rPr>
          <w:rFonts w:ascii="Calibri" w:eastAsia="Times New Roman" w:hAnsi="Calibri" w:cstheme="minorHAnsi"/>
          <w:sz w:val="24"/>
          <w:szCs w:val="24"/>
        </w:rPr>
        <w:t>MZd</w:t>
      </w:r>
      <w:proofErr w:type="spellEnd"/>
      <w:r w:rsidR="00CE46F5" w:rsidRPr="00A774C4">
        <w:rPr>
          <w:rFonts w:ascii="Calibri" w:eastAsia="Times New Roman" w:hAnsi="Calibri" w:cstheme="minorHAnsi"/>
          <w:sz w:val="24"/>
          <w:szCs w:val="24"/>
        </w:rPr>
        <w:t xml:space="preserve"> z programu předfinancování</w:t>
      </w:r>
      <w:r w:rsidR="00900E09" w:rsidRPr="00A774C4">
        <w:rPr>
          <w:rFonts w:ascii="Calibri" w:eastAsia="Times New Roman" w:hAnsi="Calibri" w:cstheme="minorHAnsi"/>
          <w:sz w:val="24"/>
          <w:szCs w:val="24"/>
        </w:rPr>
        <w:t>.</w:t>
      </w:r>
      <w:r w:rsidR="00CE46F5" w:rsidRPr="00A774C4">
        <w:rPr>
          <w:rFonts w:ascii="Calibri" w:eastAsia="Times New Roman" w:hAnsi="Calibri" w:cstheme="minorHAnsi"/>
          <w:sz w:val="24"/>
          <w:szCs w:val="24"/>
        </w:rPr>
        <w:t xml:space="preserve"> </w:t>
      </w:r>
      <w:r w:rsidR="00900E09" w:rsidRPr="00A774C4">
        <w:rPr>
          <w:rFonts w:ascii="Calibri" w:eastAsia="Times New Roman" w:hAnsi="Calibri" w:cstheme="minorHAnsi"/>
          <w:sz w:val="24"/>
          <w:szCs w:val="24"/>
        </w:rPr>
        <w:t>K</w:t>
      </w:r>
      <w:r w:rsidR="00CE46F5" w:rsidRPr="00A774C4">
        <w:rPr>
          <w:rFonts w:ascii="Calibri" w:eastAsia="Times New Roman" w:hAnsi="Calibri" w:cstheme="minorHAnsi"/>
          <w:sz w:val="24"/>
          <w:szCs w:val="24"/>
        </w:rPr>
        <w:t>ontrola a proplacení způsobilých výdajů ze strany ŘO IROP proběhne až po ukončení etapy, resp.</w:t>
      </w:r>
      <w:r w:rsidR="008E539B" w:rsidRPr="00A774C4">
        <w:rPr>
          <w:rFonts w:ascii="Calibri" w:eastAsia="Times New Roman" w:hAnsi="Calibri" w:cstheme="minorHAnsi"/>
          <w:sz w:val="24"/>
          <w:szCs w:val="24"/>
        </w:rPr>
        <w:t> </w:t>
      </w:r>
      <w:r w:rsidR="00CE46F5" w:rsidRPr="00A774C4">
        <w:rPr>
          <w:rFonts w:ascii="Calibri" w:eastAsia="Times New Roman" w:hAnsi="Calibri" w:cstheme="minorHAnsi"/>
          <w:sz w:val="24"/>
          <w:szCs w:val="24"/>
        </w:rPr>
        <w:t xml:space="preserve">celého projektu. </w:t>
      </w:r>
      <w:r w:rsidR="00444896" w:rsidRPr="00A774C4">
        <w:rPr>
          <w:rFonts w:ascii="Calibri" w:eastAsia="Times New Roman" w:hAnsi="Calibri" w:cstheme="minorHAnsi"/>
          <w:sz w:val="24"/>
          <w:szCs w:val="24"/>
        </w:rPr>
        <w:t>Do doby ukončení</w:t>
      </w:r>
      <w:r w:rsidR="00960529" w:rsidRPr="00A774C4">
        <w:rPr>
          <w:rFonts w:ascii="Calibri" w:eastAsia="Times New Roman" w:hAnsi="Calibri" w:cstheme="minorHAnsi"/>
          <w:sz w:val="24"/>
          <w:szCs w:val="24"/>
        </w:rPr>
        <w:t xml:space="preserve"> kontroly NKÚ </w:t>
      </w:r>
      <w:r w:rsidR="00CE46F5" w:rsidRPr="00A774C4">
        <w:rPr>
          <w:rFonts w:ascii="Calibri" w:eastAsia="Times New Roman" w:hAnsi="Calibri" w:cstheme="minorHAnsi"/>
          <w:sz w:val="24"/>
          <w:szCs w:val="24"/>
        </w:rPr>
        <w:t>ne</w:t>
      </w:r>
      <w:r w:rsidR="00960529" w:rsidRPr="00A774C4">
        <w:rPr>
          <w:rFonts w:ascii="Calibri" w:eastAsia="Times New Roman" w:hAnsi="Calibri" w:cstheme="minorHAnsi"/>
          <w:sz w:val="24"/>
          <w:szCs w:val="24"/>
        </w:rPr>
        <w:t xml:space="preserve">byly oba projekty </w:t>
      </w:r>
      <w:r w:rsidR="00CE46F5" w:rsidRPr="00A774C4">
        <w:rPr>
          <w:rFonts w:ascii="Calibri" w:eastAsia="Times New Roman" w:hAnsi="Calibri" w:cstheme="minorHAnsi"/>
          <w:sz w:val="24"/>
          <w:szCs w:val="24"/>
        </w:rPr>
        <w:t>ukončeny a byly ve</w:t>
      </w:r>
      <w:r w:rsidR="00612D8E" w:rsidRPr="00A774C4">
        <w:rPr>
          <w:rFonts w:ascii="Calibri" w:eastAsia="Times New Roman" w:hAnsi="Calibri" w:cstheme="minorHAnsi"/>
          <w:sz w:val="24"/>
          <w:szCs w:val="24"/>
        </w:rPr>
        <w:t> </w:t>
      </w:r>
      <w:r w:rsidR="00CE46F5" w:rsidRPr="00A774C4">
        <w:rPr>
          <w:rFonts w:ascii="Calibri" w:eastAsia="Times New Roman" w:hAnsi="Calibri" w:cstheme="minorHAnsi"/>
          <w:sz w:val="24"/>
          <w:szCs w:val="24"/>
        </w:rPr>
        <w:t>stavu fyzické r</w:t>
      </w:r>
      <w:r w:rsidR="00960529" w:rsidRPr="00A774C4">
        <w:rPr>
          <w:rFonts w:ascii="Calibri" w:eastAsia="Times New Roman" w:hAnsi="Calibri" w:cstheme="minorHAnsi"/>
          <w:sz w:val="24"/>
          <w:szCs w:val="24"/>
        </w:rPr>
        <w:t>ealizace.</w:t>
      </w:r>
    </w:p>
    <w:p w:rsidR="0056765E" w:rsidRPr="00C839B2" w:rsidRDefault="002C761F" w:rsidP="005E7525">
      <w:pPr>
        <w:shd w:val="clear" w:color="auto" w:fill="FFFFFF"/>
        <w:spacing w:before="600" w:after="240"/>
        <w:jc w:val="center"/>
        <w:rPr>
          <w:rFonts w:ascii="Calibri" w:eastAsia="Times New Roman" w:hAnsi="Calibri" w:cs="Calibri"/>
          <w:b/>
          <w:bCs/>
          <w:color w:val="000000" w:themeColor="text1"/>
          <w:sz w:val="28"/>
          <w:szCs w:val="24"/>
        </w:rPr>
      </w:pPr>
      <w:r w:rsidRPr="00C839B2">
        <w:rPr>
          <w:rFonts w:ascii="Calibri" w:hAnsi="Calibri" w:cs="Calibri"/>
          <w:b/>
          <w:bCs/>
          <w:color w:val="000000" w:themeColor="text1"/>
          <w:sz w:val="28"/>
          <w:szCs w:val="24"/>
        </w:rPr>
        <w:t>II.</w:t>
      </w:r>
      <w:r w:rsidR="00CF3AA7" w:rsidRPr="00C839B2">
        <w:rPr>
          <w:rFonts w:ascii="Calibri" w:hAnsi="Calibri" w:cs="Calibri"/>
          <w:b/>
          <w:bCs/>
          <w:color w:val="000000" w:themeColor="text1"/>
          <w:sz w:val="28"/>
          <w:szCs w:val="24"/>
        </w:rPr>
        <w:t xml:space="preserve"> </w:t>
      </w:r>
      <w:r w:rsidRPr="00C839B2">
        <w:rPr>
          <w:rFonts w:ascii="Calibri" w:hAnsi="Calibri" w:cs="Calibri"/>
          <w:b/>
          <w:bCs/>
          <w:color w:val="000000" w:themeColor="text1"/>
          <w:sz w:val="28"/>
          <w:szCs w:val="24"/>
        </w:rPr>
        <w:t>Informace o kontrolovan</w:t>
      </w:r>
      <w:r w:rsidRPr="00C839B2">
        <w:rPr>
          <w:rFonts w:ascii="Calibri" w:eastAsia="Times New Roman" w:hAnsi="Calibri" w:cs="Calibri"/>
          <w:b/>
          <w:bCs/>
          <w:color w:val="000000" w:themeColor="text1"/>
          <w:sz w:val="28"/>
          <w:szCs w:val="24"/>
        </w:rPr>
        <w:t>é oblasti</w:t>
      </w:r>
    </w:p>
    <w:p w:rsidR="009206C4" w:rsidRPr="000561BB" w:rsidRDefault="002C761F" w:rsidP="000561BB">
      <w:pPr>
        <w:shd w:val="clear" w:color="auto" w:fill="FFFFFF"/>
        <w:tabs>
          <w:tab w:val="left" w:pos="1080"/>
        </w:tabs>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Reforma péče o duševní zdraví představuje systémovou změnu poskytování psychiatrické péče, kde hlavním cílem je zvýšení její kvality a efektivity, zejména zvýšení kvality života a</w:t>
      </w:r>
      <w:r w:rsidR="00C839B2">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omezení stigmatizace lidí s duševním onemocněním. Jedním ze strategických cílů reformy psychiatrické péče, stanoveným ve </w:t>
      </w:r>
      <w:r w:rsidRPr="000561BB">
        <w:rPr>
          <w:rFonts w:ascii="Calibri" w:hAnsi="Calibri" w:cs="Calibri"/>
          <w:i/>
          <w:color w:val="000000" w:themeColor="text1"/>
          <w:sz w:val="24"/>
          <w:szCs w:val="24"/>
        </w:rPr>
        <w:t>Strategii reformy psychiatrické péče</w:t>
      </w:r>
      <w:r w:rsidRPr="000561BB">
        <w:rPr>
          <w:rFonts w:ascii="Calibri" w:hAnsi="Calibri" w:cs="Calibri"/>
          <w:color w:val="000000" w:themeColor="text1"/>
          <w:sz w:val="24"/>
          <w:szCs w:val="24"/>
        </w:rPr>
        <w:t xml:space="preserve"> na období 2014−2023, je </w:t>
      </w:r>
      <w:r w:rsidRPr="000561BB">
        <w:rPr>
          <w:rFonts w:ascii="Calibri" w:hAnsi="Calibri" w:cs="Calibri"/>
          <w:b/>
          <w:color w:val="000000" w:themeColor="text1"/>
          <w:sz w:val="24"/>
          <w:szCs w:val="24"/>
        </w:rPr>
        <w:t>humanizace psychiatrické péče</w:t>
      </w:r>
      <w:r w:rsidRPr="000955B0">
        <w:rPr>
          <w:rFonts w:ascii="Calibri" w:hAnsi="Calibri" w:cs="Calibri"/>
          <w:b/>
          <w:color w:val="000000" w:themeColor="text1"/>
          <w:sz w:val="24"/>
          <w:szCs w:val="24"/>
        </w:rPr>
        <w:t>.</w:t>
      </w:r>
      <w:r w:rsidRPr="000561BB">
        <w:rPr>
          <w:rFonts w:ascii="Calibri" w:hAnsi="Calibri" w:cs="Calibri"/>
          <w:color w:val="000000" w:themeColor="text1"/>
          <w:sz w:val="24"/>
          <w:szCs w:val="24"/>
        </w:rPr>
        <w:t xml:space="preserve"> V rámci plnění tohoto cíle má dojít ke zlepšení podmínek ve stávajících zařízeních, jako jsou psychiatrické nemocnice</w:t>
      </w:r>
      <w:r w:rsidR="009A3107" w:rsidRPr="000561BB">
        <w:rPr>
          <w:rFonts w:ascii="Calibri" w:hAnsi="Calibri" w:cs="Calibri"/>
          <w:color w:val="000000" w:themeColor="text1"/>
          <w:sz w:val="24"/>
          <w:szCs w:val="24"/>
        </w:rPr>
        <w:t xml:space="preserve"> (resp. léčebny)</w:t>
      </w:r>
      <w:r w:rsidRPr="000561BB">
        <w:rPr>
          <w:rFonts w:ascii="Calibri" w:hAnsi="Calibri" w:cs="Calibri"/>
          <w:color w:val="000000" w:themeColor="text1"/>
          <w:sz w:val="24"/>
          <w:szCs w:val="24"/>
        </w:rPr>
        <w:t xml:space="preserve"> a psychiatrická oddělení nemocnic, 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to za pomoci investic do kultivace tamějšího prostředí. Humanizací psychiatrické péče se </w:t>
      </w:r>
      <w:r w:rsidR="009A3107" w:rsidRPr="000561BB">
        <w:rPr>
          <w:rFonts w:ascii="Calibri" w:hAnsi="Calibri" w:cs="Calibri"/>
          <w:color w:val="000000" w:themeColor="text1"/>
          <w:sz w:val="24"/>
          <w:szCs w:val="24"/>
        </w:rPr>
        <w:t>rozumí</w:t>
      </w:r>
      <w:r w:rsidRPr="000561BB">
        <w:rPr>
          <w:rFonts w:ascii="Calibri" w:hAnsi="Calibri" w:cs="Calibri"/>
          <w:color w:val="000000" w:themeColor="text1"/>
          <w:sz w:val="24"/>
          <w:szCs w:val="24"/>
        </w:rPr>
        <w:t xml:space="preserve"> také rozvoj komunitní péče, která bude představovat humánnější alternativu k institucionálnímu typu péče.</w:t>
      </w:r>
    </w:p>
    <w:p w:rsidR="009206C4" w:rsidRPr="000561BB" w:rsidRDefault="002C761F" w:rsidP="000561BB">
      <w:pPr>
        <w:shd w:val="clear" w:color="auto" w:fill="FFFFFF"/>
        <w:tabs>
          <w:tab w:val="left" w:pos="1080"/>
        </w:tabs>
        <w:spacing w:after="120"/>
        <w:jc w:val="both"/>
        <w:rPr>
          <w:rFonts w:ascii="Calibri" w:hAnsi="Calibri" w:cs="Calibri"/>
          <w:color w:val="000000" w:themeColor="text1"/>
          <w:sz w:val="24"/>
          <w:szCs w:val="24"/>
        </w:rPr>
      </w:pPr>
      <w:proofErr w:type="spellStart"/>
      <w:r w:rsidRPr="000561BB">
        <w:rPr>
          <w:rFonts w:ascii="Calibri" w:hAnsi="Calibri" w:cs="Calibri"/>
          <w:b/>
          <w:color w:val="000000" w:themeColor="text1"/>
          <w:sz w:val="24"/>
          <w:szCs w:val="24"/>
        </w:rPr>
        <w:t>Deinstitucionalizace</w:t>
      </w:r>
      <w:proofErr w:type="spellEnd"/>
      <w:r w:rsidRPr="000561BB">
        <w:rPr>
          <w:rFonts w:ascii="Calibri" w:hAnsi="Calibri" w:cs="Calibri"/>
          <w:color w:val="000000" w:themeColor="text1"/>
          <w:sz w:val="24"/>
          <w:szCs w:val="24"/>
        </w:rPr>
        <w:t xml:space="preserve"> psychiatrických nemocnic znamená zřizování nových či rekonstrukce stávajících zařízení pro poskytování komunitní péče (centra duševního zdraví, stacionáře, rozšířené ambulance apod.)</w:t>
      </w:r>
      <w:r w:rsidR="00B60979" w:rsidRPr="000561BB">
        <w:rPr>
          <w:rFonts w:ascii="Calibri" w:hAnsi="Calibri" w:cs="Calibri"/>
          <w:color w:val="000000" w:themeColor="text1"/>
          <w:sz w:val="24"/>
          <w:szCs w:val="24"/>
        </w:rPr>
        <w:t xml:space="preserve">, </w:t>
      </w:r>
      <w:r w:rsidRPr="000561BB">
        <w:rPr>
          <w:rFonts w:ascii="Calibri" w:hAnsi="Calibri" w:cs="Calibri"/>
          <w:color w:val="000000" w:themeColor="text1"/>
          <w:sz w:val="24"/>
          <w:szCs w:val="24"/>
        </w:rPr>
        <w:t xml:space="preserve">zřizování nových či rekonstrukce stávajících </w:t>
      </w:r>
      <w:r w:rsidR="00B60979" w:rsidRPr="000561BB">
        <w:rPr>
          <w:rFonts w:ascii="Calibri" w:hAnsi="Calibri" w:cs="Calibri"/>
          <w:color w:val="000000" w:themeColor="text1"/>
          <w:sz w:val="24"/>
          <w:szCs w:val="24"/>
        </w:rPr>
        <w:t xml:space="preserve">zařízení pro dosažení </w:t>
      </w:r>
      <w:r w:rsidR="00B60979" w:rsidRPr="000561BB">
        <w:rPr>
          <w:rFonts w:ascii="Calibri" w:hAnsi="Calibri" w:cs="Calibri"/>
          <w:color w:val="000000" w:themeColor="text1"/>
          <w:sz w:val="24"/>
          <w:szCs w:val="24"/>
        </w:rPr>
        <w:lastRenderedPageBreak/>
        <w:t>této péče</w:t>
      </w:r>
      <w:r w:rsidRPr="000561BB">
        <w:rPr>
          <w:rFonts w:ascii="Calibri" w:hAnsi="Calibri" w:cs="Calibri"/>
          <w:color w:val="000000" w:themeColor="text1"/>
          <w:sz w:val="24"/>
          <w:szCs w:val="24"/>
        </w:rPr>
        <w:t xml:space="preserve"> (akutní psychiatrická péče ve všeobecných nemocnicích)</w:t>
      </w:r>
      <w:r w:rsidR="00B60979" w:rsidRPr="000561BB">
        <w:rPr>
          <w:rFonts w:ascii="Calibri" w:hAnsi="Calibri" w:cs="Calibri"/>
          <w:color w:val="000000" w:themeColor="text1"/>
          <w:sz w:val="24"/>
          <w:szCs w:val="24"/>
        </w:rPr>
        <w:t xml:space="preserve"> a vybavení mobilních týmů</w:t>
      </w:r>
      <w:r w:rsidRPr="000561BB">
        <w:rPr>
          <w:rFonts w:ascii="Calibri" w:hAnsi="Calibri" w:cs="Calibri"/>
          <w:color w:val="000000" w:themeColor="text1"/>
          <w:sz w:val="24"/>
          <w:szCs w:val="24"/>
        </w:rPr>
        <w:t xml:space="preserve">. Cílem </w:t>
      </w:r>
      <w:proofErr w:type="spellStart"/>
      <w:r w:rsidRPr="000561BB">
        <w:rPr>
          <w:rFonts w:ascii="Calibri" w:hAnsi="Calibri" w:cs="Calibri"/>
          <w:color w:val="000000" w:themeColor="text1"/>
          <w:sz w:val="24"/>
          <w:szCs w:val="24"/>
        </w:rPr>
        <w:t>deinstitucionalizace</w:t>
      </w:r>
      <w:proofErr w:type="spellEnd"/>
      <w:r w:rsidRPr="000561BB">
        <w:rPr>
          <w:rFonts w:ascii="Calibri" w:hAnsi="Calibri" w:cs="Calibri"/>
          <w:color w:val="000000" w:themeColor="text1"/>
          <w:sz w:val="24"/>
          <w:szCs w:val="24"/>
        </w:rPr>
        <w:t xml:space="preserve"> je zvýšení dostupnosti a kvality psychiatrické péče změnou organizace jejího poskytování a zvýšení úspěšnosti začleňování duševně nemocných </w:t>
      </w:r>
      <w:r w:rsidR="009A3107" w:rsidRPr="000561BB">
        <w:rPr>
          <w:rFonts w:ascii="Calibri" w:hAnsi="Calibri" w:cs="Calibri"/>
          <w:color w:val="000000" w:themeColor="text1"/>
          <w:sz w:val="24"/>
          <w:szCs w:val="24"/>
        </w:rPr>
        <w:t xml:space="preserve">osob </w:t>
      </w:r>
      <w:r w:rsidRPr="000561BB">
        <w:rPr>
          <w:rFonts w:ascii="Calibri" w:hAnsi="Calibri" w:cs="Calibri"/>
          <w:color w:val="000000" w:themeColor="text1"/>
          <w:sz w:val="24"/>
          <w:szCs w:val="24"/>
        </w:rPr>
        <w:t>do společnosti.</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b/>
          <w:color w:val="000000" w:themeColor="text1"/>
          <w:sz w:val="24"/>
          <w:szCs w:val="24"/>
        </w:rPr>
        <w:t>Ministerstvo zdravotnictví</w:t>
      </w:r>
      <w:r w:rsidRPr="000561BB">
        <w:rPr>
          <w:rFonts w:ascii="Calibri" w:hAnsi="Calibri" w:cs="Calibri"/>
          <w:color w:val="000000" w:themeColor="text1"/>
          <w:sz w:val="24"/>
          <w:szCs w:val="24"/>
        </w:rPr>
        <w:t xml:space="preserve"> je podle ustanovení § 10 odst. 1 zákona</w:t>
      </w:r>
      <w:r w:rsidR="00FC0045" w:rsidRPr="000561BB">
        <w:rPr>
          <w:rFonts w:ascii="Calibri" w:hAnsi="Calibri" w:cs="Calibri"/>
          <w:color w:val="000000" w:themeColor="text1"/>
          <w:sz w:val="24"/>
          <w:szCs w:val="24"/>
        </w:rPr>
        <w:t xml:space="preserve"> ČNR</w:t>
      </w:r>
      <w:r w:rsidRPr="000561BB">
        <w:rPr>
          <w:rFonts w:ascii="Calibri" w:hAnsi="Calibri" w:cs="Calibri"/>
          <w:color w:val="000000" w:themeColor="text1"/>
          <w:sz w:val="24"/>
          <w:szCs w:val="24"/>
        </w:rPr>
        <w:t xml:space="preserve"> č. 2/1969 Sb.</w:t>
      </w:r>
      <w:r w:rsidRPr="000561BB">
        <w:rPr>
          <w:rFonts w:ascii="Calibri" w:hAnsi="Calibri" w:cs="Calibri"/>
          <w:color w:val="000000" w:themeColor="text1"/>
          <w:sz w:val="24"/>
          <w:szCs w:val="24"/>
          <w:vertAlign w:val="superscript"/>
        </w:rPr>
        <w:footnoteReference w:id="10"/>
      </w:r>
      <w:r w:rsidRPr="000561BB">
        <w:rPr>
          <w:rFonts w:ascii="Calibri" w:hAnsi="Calibri" w:cs="Calibri"/>
          <w:color w:val="000000" w:themeColor="text1"/>
          <w:sz w:val="24"/>
          <w:szCs w:val="24"/>
        </w:rPr>
        <w:t xml:space="preserve"> ústředním orgánem státní správy mj. pro zdravotní služby, ochranu veřejného zdraví, poskytovatele zdravotních služeb v přímé říd</w:t>
      </w:r>
      <w:r w:rsidR="00BC63D1">
        <w:rPr>
          <w:rFonts w:ascii="Calibri" w:hAnsi="Calibri" w:cs="Calibri"/>
          <w:color w:val="000000" w:themeColor="text1"/>
          <w:sz w:val="24"/>
          <w:szCs w:val="24"/>
        </w:rPr>
        <w:t>i</w:t>
      </w:r>
      <w:r w:rsidRPr="000561BB">
        <w:rPr>
          <w:rFonts w:ascii="Calibri" w:hAnsi="Calibri" w:cs="Calibri"/>
          <w:color w:val="000000" w:themeColor="text1"/>
          <w:sz w:val="24"/>
          <w:szCs w:val="24"/>
        </w:rPr>
        <w:t xml:space="preserve">cí působnosti, léčiva a prostředky zdravotnické techniky pro prevenci, diagnostiku a léčení lidí.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w:t>
      </w:r>
      <w:r w:rsidR="008F5B16" w:rsidRPr="000561BB">
        <w:rPr>
          <w:rFonts w:ascii="Calibri" w:hAnsi="Calibri" w:cs="Calibri"/>
          <w:color w:val="000000" w:themeColor="text1"/>
          <w:sz w:val="24"/>
          <w:szCs w:val="24"/>
        </w:rPr>
        <w:t xml:space="preserve">je </w:t>
      </w:r>
      <w:r w:rsidRPr="000561BB">
        <w:rPr>
          <w:rFonts w:ascii="Calibri" w:hAnsi="Calibri" w:cs="Calibri"/>
          <w:color w:val="000000" w:themeColor="text1"/>
          <w:sz w:val="24"/>
          <w:szCs w:val="24"/>
        </w:rPr>
        <w:t xml:space="preserve">správcem kapitoly státního rozpočtu </w:t>
      </w:r>
      <w:r w:rsidRPr="000955B0">
        <w:rPr>
          <w:rFonts w:ascii="Calibri" w:hAnsi="Calibri" w:cs="Calibri"/>
          <w:color w:val="000000" w:themeColor="text1"/>
          <w:sz w:val="24"/>
          <w:szCs w:val="24"/>
        </w:rPr>
        <w:t>335</w:t>
      </w:r>
      <w:r w:rsidR="00642C69" w:rsidRPr="000955B0">
        <w:rPr>
          <w:rFonts w:ascii="Calibri" w:hAnsi="Calibri" w:cs="Calibri"/>
          <w:color w:val="000000" w:themeColor="text1"/>
          <w:sz w:val="24"/>
          <w:szCs w:val="24"/>
        </w:rPr>
        <w:t> </w:t>
      </w:r>
      <w:r w:rsidRPr="000955B0">
        <w:rPr>
          <w:rFonts w:ascii="Calibri" w:hAnsi="Calibri" w:cs="Calibri"/>
          <w:color w:val="000000" w:themeColor="text1"/>
          <w:sz w:val="24"/>
          <w:szCs w:val="24"/>
        </w:rPr>
        <w:t>–</w:t>
      </w:r>
      <w:r w:rsidR="00642C69" w:rsidRPr="000955B0">
        <w:rPr>
          <w:rFonts w:ascii="Calibri" w:hAnsi="Calibri" w:cs="Calibri"/>
          <w:color w:val="000000" w:themeColor="text1"/>
          <w:sz w:val="24"/>
          <w:szCs w:val="24"/>
        </w:rPr>
        <w:t> </w:t>
      </w:r>
      <w:r w:rsidRPr="000561BB">
        <w:rPr>
          <w:rFonts w:ascii="Calibri" w:hAnsi="Calibri" w:cs="Calibri"/>
          <w:i/>
          <w:color w:val="000000" w:themeColor="text1"/>
          <w:sz w:val="24"/>
          <w:szCs w:val="24"/>
        </w:rPr>
        <w:t>Ministerstvo</w:t>
      </w:r>
      <w:r w:rsidR="00642C69" w:rsidRPr="000561BB">
        <w:rPr>
          <w:rFonts w:ascii="Calibri" w:hAnsi="Calibri" w:cs="Calibri"/>
          <w:i/>
          <w:color w:val="000000" w:themeColor="text1"/>
          <w:sz w:val="24"/>
          <w:szCs w:val="24"/>
        </w:rPr>
        <w:t> </w:t>
      </w:r>
      <w:r w:rsidRPr="000561BB">
        <w:rPr>
          <w:rFonts w:ascii="Calibri" w:hAnsi="Calibri" w:cs="Calibri"/>
          <w:i/>
          <w:color w:val="000000" w:themeColor="text1"/>
          <w:sz w:val="24"/>
          <w:szCs w:val="24"/>
        </w:rPr>
        <w:t>zdravotnictví</w:t>
      </w:r>
      <w:r w:rsidRPr="000561BB">
        <w:rPr>
          <w:rFonts w:ascii="Calibri" w:hAnsi="Calibri" w:cs="Calibri"/>
          <w:color w:val="000000" w:themeColor="text1"/>
          <w:sz w:val="24"/>
          <w:szCs w:val="24"/>
        </w:rPr>
        <w:t xml:space="preserve">.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je mj. správcem programu předfinancování a programu rozvoje a obnovy.</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V rámci IROP plní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funkci věcného garanta specifického cíle IROP </w:t>
      </w:r>
      <w:r w:rsidRPr="000955B0">
        <w:rPr>
          <w:rFonts w:ascii="Calibri" w:hAnsi="Calibri" w:cs="Calibri"/>
          <w:color w:val="000000" w:themeColor="text1"/>
          <w:sz w:val="24"/>
          <w:szCs w:val="24"/>
        </w:rPr>
        <w:t>2.3</w:t>
      </w:r>
      <w:r w:rsidRPr="000561BB">
        <w:rPr>
          <w:rFonts w:ascii="Calibri" w:hAnsi="Calibri" w:cs="Calibri"/>
          <w:i/>
          <w:color w:val="000000" w:themeColor="text1"/>
          <w:sz w:val="24"/>
          <w:szCs w:val="24"/>
        </w:rPr>
        <w:t xml:space="preserve"> Rozvoj infrastruktury pro poskytování zdravotních služeb a péče o zdraví </w:t>
      </w:r>
      <w:r w:rsidRPr="000561BB">
        <w:rPr>
          <w:rFonts w:ascii="Calibri" w:hAnsi="Calibri" w:cs="Calibri"/>
          <w:color w:val="000000" w:themeColor="text1"/>
          <w:sz w:val="24"/>
          <w:szCs w:val="24"/>
        </w:rPr>
        <w:t xml:space="preserve">(dále také „SC 2.3“). Mezi nejpodstatnější úlohu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v rámci provádění strukturální politiky EU v období 2014−2020 patří zajišťování prostředků na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předfinancování podílu EU a účasti státního rozpočtu na financování projektů přímo řízených organizací a plnění funkce poskytovatele dotace v rámci realizační fáze projektů (prostřednictvím </w:t>
      </w:r>
      <w:r w:rsidRPr="000561BB">
        <w:rPr>
          <w:rFonts w:ascii="Calibri" w:hAnsi="Calibri" w:cs="Calibri"/>
          <w:b/>
          <w:color w:val="000000" w:themeColor="text1"/>
          <w:sz w:val="24"/>
          <w:szCs w:val="24"/>
        </w:rPr>
        <w:t>programu předfinancování</w:t>
      </w:r>
      <w:r w:rsidRPr="000561BB">
        <w:rPr>
          <w:rFonts w:ascii="Calibri" w:hAnsi="Calibri" w:cs="Calibri"/>
          <w:color w:val="000000" w:themeColor="text1"/>
          <w:sz w:val="24"/>
          <w:szCs w:val="24"/>
        </w:rPr>
        <w:t xml:space="preserve">). Vzhledem k tomu, že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není řídicím orgánem nebo zprostředkujícím subjektem, nemá konečné pravomoci při vyhlašování výzev, nastavení pravidel pro výběr projektů ani pro realizační fázi a není ani subjektem oprávněným posuzovat způsobilost výdajů</w:t>
      </w:r>
      <w:r w:rsidR="009A3107" w:rsidRPr="000561BB">
        <w:rPr>
          <w:rFonts w:ascii="Calibri" w:hAnsi="Calibri" w:cs="Calibri"/>
          <w:color w:val="000000" w:themeColor="text1"/>
          <w:sz w:val="24"/>
          <w:szCs w:val="24"/>
        </w:rPr>
        <w:t xml:space="preserve"> vynaložených příjemcem</w:t>
      </w:r>
      <w:r w:rsidRPr="000561BB">
        <w:rPr>
          <w:rFonts w:ascii="Calibri" w:hAnsi="Calibri" w:cs="Calibri"/>
          <w:color w:val="000000" w:themeColor="text1"/>
          <w:sz w:val="24"/>
          <w:szCs w:val="24"/>
        </w:rPr>
        <w:t>.</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b/>
          <w:color w:val="000000" w:themeColor="text1"/>
          <w:sz w:val="24"/>
          <w:szCs w:val="24"/>
        </w:rPr>
        <w:t xml:space="preserve">Program rozvoje a obnovy </w:t>
      </w:r>
      <w:r w:rsidRPr="000561BB">
        <w:rPr>
          <w:rFonts w:ascii="Calibri" w:hAnsi="Calibri" w:cs="Calibri"/>
          <w:color w:val="000000" w:themeColor="text1"/>
          <w:sz w:val="24"/>
          <w:szCs w:val="24"/>
        </w:rPr>
        <w:t xml:space="preserve">je zaměřen na zlepšení technického, pracovního a logistického zázemí v psychiatrických zařízeních zřizovaných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Cílem programu rozvoje a obnovy je modernizace zdravotnických provozů a zlepšení jejich technického vybavení, které by mělo vést k vyšší kvalitě poskytované zdravotní péče v příslušných psychiatrických nemocnicích (</w:t>
      </w:r>
      <w:r w:rsidR="009A3107" w:rsidRPr="000561BB">
        <w:rPr>
          <w:rFonts w:ascii="Calibri" w:hAnsi="Calibri" w:cs="Calibri"/>
          <w:color w:val="000000" w:themeColor="text1"/>
          <w:sz w:val="24"/>
          <w:szCs w:val="24"/>
        </w:rPr>
        <w:t xml:space="preserve">resp. </w:t>
      </w:r>
      <w:r w:rsidRPr="000561BB">
        <w:rPr>
          <w:rFonts w:ascii="Calibri" w:hAnsi="Calibri" w:cs="Calibri"/>
          <w:color w:val="000000" w:themeColor="text1"/>
          <w:sz w:val="24"/>
          <w:szCs w:val="24"/>
        </w:rPr>
        <w:t>léčebnách) a</w:t>
      </w:r>
      <w:r w:rsidR="00612D8E" w:rsidRPr="000561BB">
        <w:rPr>
          <w:rFonts w:ascii="Calibri" w:hAnsi="Calibri" w:cs="Calibri"/>
          <w:color w:val="000000" w:themeColor="text1"/>
          <w:sz w:val="24"/>
          <w:szCs w:val="24"/>
        </w:rPr>
        <w:t> </w:t>
      </w:r>
      <w:r w:rsidR="008F5B16" w:rsidRPr="000561BB">
        <w:rPr>
          <w:rFonts w:ascii="Calibri" w:hAnsi="Calibri" w:cs="Calibri"/>
          <w:color w:val="000000" w:themeColor="text1"/>
          <w:sz w:val="24"/>
          <w:szCs w:val="24"/>
        </w:rPr>
        <w:t>v</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ústavech.</w:t>
      </w:r>
    </w:p>
    <w:p w:rsidR="009206C4" w:rsidRDefault="002C761F" w:rsidP="000561BB">
      <w:pPr>
        <w:shd w:val="clear" w:color="auto" w:fill="FFFFFF"/>
        <w:spacing w:after="120"/>
        <w:jc w:val="both"/>
        <w:rPr>
          <w:rFonts w:ascii="Calibri" w:hAnsi="Calibri" w:cs="Calibri"/>
          <w:color w:val="000000"/>
          <w:sz w:val="24"/>
          <w:szCs w:val="24"/>
        </w:rPr>
      </w:pPr>
      <w:r w:rsidRPr="000561BB">
        <w:rPr>
          <w:rFonts w:ascii="Calibri" w:hAnsi="Calibri" w:cs="Calibri"/>
          <w:color w:val="000000" w:themeColor="text1"/>
          <w:sz w:val="24"/>
          <w:szCs w:val="24"/>
        </w:rPr>
        <w:t>Realizace programu rozvoje a obnovy byla stanovena do 31. 12. 2022. Závěrečné vyhodnocení programu by mělo proběhnout do 31. 12. 2023. Dle schválené dokumentace programu</w:t>
      </w:r>
      <w:r w:rsidR="003F6ED9" w:rsidRPr="000561BB">
        <w:rPr>
          <w:rFonts w:ascii="Calibri" w:hAnsi="Calibri" w:cs="Calibri"/>
          <w:color w:val="000000" w:themeColor="text1"/>
          <w:sz w:val="24"/>
          <w:szCs w:val="24"/>
        </w:rPr>
        <w:t xml:space="preserve"> pro roky 2016</w:t>
      </w:r>
      <w:r w:rsidR="00316BEC" w:rsidRPr="000561BB">
        <w:rPr>
          <w:rFonts w:ascii="Calibri" w:hAnsi="Calibri" w:cs="Calibri"/>
          <w:color w:val="000000" w:themeColor="text1"/>
          <w:sz w:val="24"/>
          <w:szCs w:val="24"/>
        </w:rPr>
        <w:t>−</w:t>
      </w:r>
      <w:r w:rsidR="003F6ED9" w:rsidRPr="000561BB">
        <w:rPr>
          <w:rFonts w:ascii="Calibri" w:hAnsi="Calibri" w:cs="Calibri"/>
          <w:color w:val="000000" w:themeColor="text1"/>
          <w:sz w:val="24"/>
          <w:szCs w:val="24"/>
        </w:rPr>
        <w:t>2022</w:t>
      </w:r>
      <w:r w:rsidRPr="000561BB">
        <w:rPr>
          <w:rFonts w:ascii="Calibri" w:hAnsi="Calibri" w:cs="Calibri"/>
          <w:color w:val="000000" w:themeColor="text1"/>
          <w:sz w:val="24"/>
          <w:szCs w:val="24"/>
        </w:rPr>
        <w:t xml:space="preserve"> činil souhrn potřeb a zdrojů financování programu 607,76 mil. Kč. </w:t>
      </w:r>
      <w:r w:rsidRPr="000561BB">
        <w:rPr>
          <w:rFonts w:ascii="Calibri" w:hAnsi="Calibri" w:cs="Calibri"/>
          <w:color w:val="000000"/>
          <w:sz w:val="24"/>
          <w:szCs w:val="24"/>
        </w:rPr>
        <w:t>Čerpání peněžních prostředků na</w:t>
      </w:r>
      <w:r w:rsidR="00612D8E" w:rsidRPr="000561BB">
        <w:rPr>
          <w:rFonts w:ascii="Calibri" w:hAnsi="Calibri" w:cs="Calibri"/>
          <w:color w:val="000000"/>
          <w:sz w:val="24"/>
          <w:szCs w:val="24"/>
        </w:rPr>
        <w:t> </w:t>
      </w:r>
      <w:r w:rsidRPr="000561BB">
        <w:rPr>
          <w:rFonts w:ascii="Calibri" w:hAnsi="Calibri" w:cs="Calibri"/>
          <w:color w:val="000000"/>
          <w:sz w:val="24"/>
          <w:szCs w:val="24"/>
        </w:rPr>
        <w:t>financování programu rozvoje a obnovy je uvedeno v následující</w:t>
      </w:r>
      <w:r w:rsidR="0070402A" w:rsidRPr="000561BB">
        <w:rPr>
          <w:rFonts w:ascii="Calibri" w:hAnsi="Calibri" w:cs="Calibri"/>
          <w:color w:val="000000"/>
          <w:sz w:val="24"/>
          <w:szCs w:val="24"/>
        </w:rPr>
        <w:t>m</w:t>
      </w:r>
      <w:r w:rsidRPr="000561BB">
        <w:rPr>
          <w:rFonts w:ascii="Calibri" w:hAnsi="Calibri" w:cs="Calibri"/>
          <w:color w:val="000000"/>
          <w:sz w:val="24"/>
          <w:szCs w:val="24"/>
        </w:rPr>
        <w:t xml:space="preserve"> </w:t>
      </w:r>
      <w:r w:rsidR="0070402A" w:rsidRPr="000561BB">
        <w:rPr>
          <w:rFonts w:ascii="Calibri" w:hAnsi="Calibri" w:cs="Calibri"/>
          <w:color w:val="000000"/>
          <w:sz w:val="24"/>
          <w:szCs w:val="24"/>
        </w:rPr>
        <w:t>grafu</w:t>
      </w:r>
      <w:r w:rsidRPr="000561BB">
        <w:rPr>
          <w:rFonts w:ascii="Calibri" w:hAnsi="Calibri" w:cs="Calibri"/>
          <w:color w:val="000000"/>
          <w:sz w:val="24"/>
          <w:szCs w:val="24"/>
        </w:rPr>
        <w:t>.</w:t>
      </w:r>
    </w:p>
    <w:p w:rsidR="00C839B2" w:rsidRPr="000955B0" w:rsidRDefault="001F63C6" w:rsidP="005E7525">
      <w:pPr>
        <w:keepNext/>
        <w:shd w:val="clear" w:color="auto" w:fill="FFFFFF"/>
        <w:spacing w:after="120"/>
        <w:jc w:val="both"/>
        <w:rPr>
          <w:rFonts w:ascii="Calibri" w:hAnsi="Calibri" w:cs="Calibri"/>
          <w:b/>
          <w:color w:val="000000"/>
          <w:sz w:val="24"/>
          <w:szCs w:val="24"/>
        </w:rPr>
      </w:pPr>
      <w:r w:rsidRPr="000561BB">
        <w:rPr>
          <w:rFonts w:ascii="Calibri" w:hAnsi="Calibri" w:cs="Calibri"/>
          <w:noProof/>
          <w:sz w:val="24"/>
          <w:szCs w:val="24"/>
        </w:rPr>
        <w:lastRenderedPageBreak/>
        <w:drawing>
          <wp:anchor distT="0" distB="0" distL="114300" distR="114300" simplePos="0" relativeHeight="251660288" behindDoc="0" locked="0" layoutInCell="1" allowOverlap="1" wp14:anchorId="53133121" wp14:editId="2250A5A4">
            <wp:simplePos x="0" y="0"/>
            <wp:positionH relativeFrom="column">
              <wp:posOffset>-2540</wp:posOffset>
            </wp:positionH>
            <wp:positionV relativeFrom="paragraph">
              <wp:posOffset>221615</wp:posOffset>
            </wp:positionV>
            <wp:extent cx="5760720" cy="2743200"/>
            <wp:effectExtent l="0" t="0" r="0" b="0"/>
            <wp:wrapTopAndBottom/>
            <wp:docPr id="5" name="Graf 5">
              <a:extLst xmlns:a="http://schemas.openxmlformats.org/drawingml/2006/main">
                <a:ext uri="{FF2B5EF4-FFF2-40B4-BE49-F238E27FC236}">
                  <a16:creationId xmlns:a16="http://schemas.microsoft.com/office/drawing/2014/main" id="{BFD10ED2-43C6-413E-8C18-5115C20DB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Pr>
          <w:rFonts w:ascii="Calibri" w:hAnsi="Calibri" w:cs="Calibri"/>
          <w:b/>
          <w:color w:val="000000"/>
          <w:sz w:val="24"/>
          <w:szCs w:val="24"/>
        </w:rPr>
        <w:t xml:space="preserve">Graf č. 1: </w:t>
      </w:r>
      <w:r w:rsidRPr="001F63C6">
        <w:rPr>
          <w:rFonts w:ascii="Calibri" w:hAnsi="Calibri" w:cs="Calibri"/>
          <w:b/>
          <w:bCs/>
          <w:color w:val="000000"/>
          <w:sz w:val="24"/>
          <w:szCs w:val="24"/>
        </w:rPr>
        <w:t>Výdaje účelově určené na financování programu rozvoje a obnov</w:t>
      </w:r>
      <w:r>
        <w:rPr>
          <w:rFonts w:ascii="Calibri" w:hAnsi="Calibri" w:cs="Calibri"/>
          <w:b/>
          <w:bCs/>
          <w:color w:val="000000"/>
          <w:sz w:val="24"/>
          <w:szCs w:val="24"/>
        </w:rPr>
        <w:t>y</w:t>
      </w:r>
    </w:p>
    <w:p w:rsidR="006B329D" w:rsidRPr="00C839B2" w:rsidRDefault="006B329D" w:rsidP="005E7525">
      <w:pPr>
        <w:keepNext/>
        <w:shd w:val="clear" w:color="auto" w:fill="FFFFFF"/>
        <w:spacing w:after="120"/>
        <w:ind w:left="567" w:hanging="567"/>
        <w:jc w:val="both"/>
        <w:rPr>
          <w:rFonts w:ascii="Calibri" w:hAnsi="Calibri" w:cs="Calibri"/>
          <w:color w:val="000000"/>
          <w:szCs w:val="24"/>
        </w:rPr>
      </w:pPr>
      <w:r w:rsidRPr="00C839B2">
        <w:rPr>
          <w:rFonts w:ascii="Calibri" w:hAnsi="Calibri" w:cs="Calibri"/>
          <w:b/>
          <w:color w:val="000000"/>
          <w:szCs w:val="24"/>
        </w:rPr>
        <w:t>Zdroj:</w:t>
      </w:r>
      <w:r w:rsidRPr="00C839B2">
        <w:rPr>
          <w:rFonts w:ascii="Calibri" w:hAnsi="Calibri" w:cs="Calibri"/>
          <w:color w:val="000000"/>
          <w:szCs w:val="24"/>
        </w:rPr>
        <w:t xml:space="preserve"> </w:t>
      </w:r>
      <w:r w:rsidR="001F63C6">
        <w:rPr>
          <w:rFonts w:ascii="Calibri" w:hAnsi="Calibri" w:cs="Calibri"/>
          <w:color w:val="000000"/>
          <w:szCs w:val="24"/>
        </w:rPr>
        <w:t>vypracoval NKÚ</w:t>
      </w:r>
      <w:r w:rsidRPr="00C839B2">
        <w:rPr>
          <w:rFonts w:ascii="Calibri" w:hAnsi="Calibri" w:cs="Calibri"/>
          <w:color w:val="000000"/>
          <w:szCs w:val="24"/>
        </w:rPr>
        <w:t xml:space="preserve"> na základě da</w:t>
      </w:r>
      <w:r w:rsidR="000A178C" w:rsidRPr="00C839B2">
        <w:rPr>
          <w:rFonts w:ascii="Calibri" w:hAnsi="Calibri" w:cs="Calibri"/>
          <w:color w:val="000000"/>
          <w:szCs w:val="24"/>
        </w:rPr>
        <w:t xml:space="preserve">t ze </w:t>
      </w:r>
      <w:r w:rsidR="001F63C6">
        <w:rPr>
          <w:rFonts w:ascii="Calibri" w:eastAsia="Calibri" w:hAnsi="Calibri" w:cs="Calibri"/>
          <w:iCs/>
          <w:szCs w:val="24"/>
        </w:rPr>
        <w:t>s</w:t>
      </w:r>
      <w:r w:rsidR="000A178C" w:rsidRPr="00C839B2">
        <w:rPr>
          <w:rFonts w:ascii="Calibri" w:eastAsia="Calibri" w:hAnsi="Calibri" w:cs="Calibri"/>
          <w:iCs/>
          <w:szCs w:val="24"/>
        </w:rPr>
        <w:t>tátních závěrečných účtů kapitoly 335</w:t>
      </w:r>
      <w:r w:rsidR="008C1E8C" w:rsidRPr="00C839B2">
        <w:rPr>
          <w:rFonts w:ascii="Calibri" w:eastAsia="Calibri" w:hAnsi="Calibri" w:cs="Calibri"/>
          <w:iCs/>
          <w:szCs w:val="24"/>
        </w:rPr>
        <w:t xml:space="preserve"> –</w:t>
      </w:r>
      <w:r w:rsidR="000A178C" w:rsidRPr="00C839B2">
        <w:rPr>
          <w:rFonts w:ascii="Calibri" w:eastAsia="Calibri" w:hAnsi="Calibri" w:cs="Calibri"/>
          <w:iCs/>
          <w:szCs w:val="24"/>
        </w:rPr>
        <w:t xml:space="preserve"> </w:t>
      </w:r>
      <w:proofErr w:type="spellStart"/>
      <w:r w:rsidR="000A178C" w:rsidRPr="00C839B2">
        <w:rPr>
          <w:rFonts w:ascii="Calibri" w:eastAsia="Calibri" w:hAnsi="Calibri" w:cs="Calibri"/>
          <w:iCs/>
          <w:szCs w:val="24"/>
        </w:rPr>
        <w:t>MZd</w:t>
      </w:r>
      <w:proofErr w:type="spellEnd"/>
      <w:r w:rsidR="000A178C" w:rsidRPr="00C839B2">
        <w:rPr>
          <w:rFonts w:ascii="Calibri" w:eastAsia="Calibri" w:hAnsi="Calibri" w:cs="Calibri"/>
          <w:iCs/>
          <w:szCs w:val="24"/>
        </w:rPr>
        <w:t xml:space="preserve"> za roky 2016</w:t>
      </w:r>
      <w:r w:rsidR="008C1E8C" w:rsidRPr="00C839B2">
        <w:rPr>
          <w:rFonts w:ascii="Calibri" w:eastAsia="Calibri" w:hAnsi="Calibri" w:cs="Calibri"/>
          <w:iCs/>
          <w:szCs w:val="24"/>
        </w:rPr>
        <w:t>–</w:t>
      </w:r>
      <w:r w:rsidR="000A178C" w:rsidRPr="00C839B2">
        <w:rPr>
          <w:rFonts w:ascii="Calibri" w:eastAsia="Calibri" w:hAnsi="Calibri" w:cs="Calibri"/>
          <w:iCs/>
          <w:szCs w:val="24"/>
        </w:rPr>
        <w:t>2020</w:t>
      </w:r>
      <w:r w:rsidR="002E5C60" w:rsidRPr="00C839B2">
        <w:rPr>
          <w:rFonts w:ascii="Calibri" w:eastAsia="Calibri" w:hAnsi="Calibri" w:cs="Calibri"/>
          <w:iCs/>
          <w:szCs w:val="24"/>
        </w:rPr>
        <w:t>.</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Během realizace programu rozvoje a obnovy v letech 2016−202</w:t>
      </w:r>
      <w:r w:rsidR="003F6ED9" w:rsidRPr="000561BB">
        <w:rPr>
          <w:rFonts w:ascii="Calibri" w:hAnsi="Calibri" w:cs="Calibri"/>
          <w:color w:val="000000" w:themeColor="text1"/>
          <w:sz w:val="24"/>
          <w:szCs w:val="24"/>
        </w:rPr>
        <w:t>0</w:t>
      </w:r>
      <w:r w:rsidRPr="000561BB">
        <w:rPr>
          <w:rFonts w:ascii="Calibri" w:hAnsi="Calibri" w:cs="Calibri"/>
          <w:color w:val="000000" w:themeColor="text1"/>
          <w:sz w:val="24"/>
          <w:szCs w:val="24"/>
        </w:rPr>
        <w:t xml:space="preserve"> bylo schválenou dotací dle řídicí dokumentace podpořeno celkem 42 akcí.</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b/>
          <w:color w:val="000000" w:themeColor="text1"/>
          <w:sz w:val="24"/>
          <w:szCs w:val="24"/>
        </w:rPr>
        <w:t>Ministerstvo pro místní rozvoj</w:t>
      </w:r>
      <w:r w:rsidRPr="000561BB">
        <w:rPr>
          <w:rFonts w:ascii="Calibri" w:hAnsi="Calibri" w:cs="Calibri"/>
          <w:color w:val="000000" w:themeColor="text1"/>
          <w:sz w:val="24"/>
          <w:szCs w:val="24"/>
        </w:rPr>
        <w:t xml:space="preserve"> je podle ustanovení § 14 odst. 1 zákona</w:t>
      </w:r>
      <w:r w:rsidR="00FC0045" w:rsidRPr="000561BB">
        <w:rPr>
          <w:rFonts w:ascii="Calibri" w:hAnsi="Calibri" w:cs="Calibri"/>
          <w:color w:val="000000" w:themeColor="text1"/>
          <w:sz w:val="24"/>
          <w:szCs w:val="24"/>
        </w:rPr>
        <w:t xml:space="preserve"> ČNR</w:t>
      </w:r>
      <w:r w:rsidRPr="000561BB">
        <w:rPr>
          <w:rFonts w:ascii="Calibri" w:hAnsi="Calibri" w:cs="Calibri"/>
          <w:color w:val="000000" w:themeColor="text1"/>
          <w:sz w:val="24"/>
          <w:szCs w:val="24"/>
        </w:rPr>
        <w:t xml:space="preserve"> č. 2/1969 Sb. ústředním orgánem státní správy a spravuje finanční prostředky určené k zabezpečování politiky bydlení 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regionální politiky státu. MMR je správcem kapitoly státního rozpočtu </w:t>
      </w:r>
      <w:r w:rsidR="005E7525">
        <w:rPr>
          <w:rFonts w:ascii="Calibri" w:hAnsi="Calibri" w:cs="Calibri"/>
          <w:color w:val="000000" w:themeColor="text1"/>
          <w:sz w:val="24"/>
          <w:szCs w:val="24"/>
        </w:rPr>
        <w:br/>
      </w:r>
      <w:r w:rsidRPr="000955B0">
        <w:rPr>
          <w:rFonts w:ascii="Calibri" w:hAnsi="Calibri" w:cs="Calibri"/>
          <w:color w:val="000000" w:themeColor="text1"/>
          <w:sz w:val="24"/>
          <w:szCs w:val="24"/>
        </w:rPr>
        <w:t xml:space="preserve">317 – </w:t>
      </w:r>
      <w:r w:rsidRPr="000561BB">
        <w:rPr>
          <w:rFonts w:ascii="Calibri" w:hAnsi="Calibri" w:cs="Calibri"/>
          <w:i/>
          <w:color w:val="000000" w:themeColor="text1"/>
          <w:sz w:val="24"/>
          <w:szCs w:val="24"/>
        </w:rPr>
        <w:t>Ministerstvo pro místní rozvoj</w:t>
      </w:r>
      <w:r w:rsidRPr="000561BB">
        <w:rPr>
          <w:rFonts w:ascii="Calibri" w:hAnsi="Calibri" w:cs="Calibri"/>
          <w:color w:val="000000" w:themeColor="text1"/>
          <w:sz w:val="24"/>
          <w:szCs w:val="24"/>
        </w:rPr>
        <w:t>. MMR je mj. řídicím orgánem IROP. Administrací IROP bylo pověřeno Centrum pro</w:t>
      </w:r>
      <w:r w:rsidR="00E659F4"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regionální rozvoj České republiky, které tuto činnost vykonává jako zprostředkující subjekt pověřený MMR. CRR je státní příspěvková organizace zřízená zákonem č.</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248/2000 Sb.</w:t>
      </w:r>
      <w:r w:rsidRPr="000561BB">
        <w:rPr>
          <w:rStyle w:val="Znakapoznpodarou"/>
          <w:rFonts w:ascii="Calibri" w:hAnsi="Calibri" w:cs="Calibri"/>
          <w:color w:val="000000" w:themeColor="text1"/>
          <w:sz w:val="24"/>
          <w:szCs w:val="24"/>
        </w:rPr>
        <w:footnoteReference w:id="11"/>
      </w:r>
      <w:r w:rsidRPr="000561BB">
        <w:rPr>
          <w:rFonts w:ascii="Calibri" w:hAnsi="Calibri" w:cs="Calibri"/>
          <w:color w:val="000000" w:themeColor="text1"/>
          <w:sz w:val="24"/>
          <w:szCs w:val="24"/>
        </w:rPr>
        <w:t xml:space="preserve"> a řízená MMR.</w:t>
      </w:r>
    </w:p>
    <w:p w:rsidR="009206C4" w:rsidRPr="000561BB" w:rsidRDefault="002C761F" w:rsidP="000561BB">
      <w:pPr>
        <w:widowControl/>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Specifický cíl IROP 2.3</w:t>
      </w:r>
      <w:r w:rsidR="00437E4D" w:rsidRPr="000561BB">
        <w:rPr>
          <w:rFonts w:ascii="Calibri" w:hAnsi="Calibri" w:cs="Calibri"/>
          <w:color w:val="000000" w:themeColor="text1"/>
          <w:sz w:val="24"/>
          <w:szCs w:val="24"/>
        </w:rPr>
        <w:t xml:space="preserve"> </w:t>
      </w:r>
      <w:r w:rsidR="00437E4D" w:rsidRPr="000561BB">
        <w:rPr>
          <w:rFonts w:ascii="Calibri" w:hAnsi="Calibri" w:cs="Calibri"/>
          <w:i/>
          <w:color w:val="000000" w:themeColor="text1"/>
          <w:sz w:val="24"/>
          <w:szCs w:val="24"/>
        </w:rPr>
        <w:t>Rozvoj infrastruktury pro poskytování zdravotních služeb a péče o zdraví</w:t>
      </w:r>
      <w:r w:rsidRPr="000561BB">
        <w:rPr>
          <w:rFonts w:ascii="Calibri" w:hAnsi="Calibri" w:cs="Calibri"/>
          <w:color w:val="000000" w:themeColor="text1"/>
          <w:sz w:val="24"/>
          <w:szCs w:val="24"/>
        </w:rPr>
        <w:t xml:space="preserve"> je</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zaměřen na financování projektů zajišťujících zlepšení dostupnosti zdravotních služeb 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modernizaci infrastruktury pro jejich poskytování. Záměrem SC 2.3 je zlepšení systému funkční 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udržitelné péče, podporující sociální začleňování osob ohrožených sociálním vyloučením v</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důsledku jejich zdravotního stavu, ztížené dostupnosti zdravotních služeb, zkrácení doby pobytu mimo přirozené prostředí a doby pracovní neschopnosti. Aktivity SC 2.3 jsou zaměřen</w:t>
      </w:r>
      <w:r w:rsidR="001F63C6">
        <w:rPr>
          <w:rFonts w:ascii="Calibri" w:hAnsi="Calibri" w:cs="Calibri"/>
          <w:color w:val="000000" w:themeColor="text1"/>
          <w:sz w:val="24"/>
          <w:szCs w:val="24"/>
        </w:rPr>
        <w:t>y</w:t>
      </w:r>
      <w:r w:rsidRPr="000561BB">
        <w:rPr>
          <w:rFonts w:ascii="Calibri" w:hAnsi="Calibri" w:cs="Calibri"/>
          <w:color w:val="000000" w:themeColor="text1"/>
          <w:sz w:val="24"/>
          <w:szCs w:val="24"/>
        </w:rPr>
        <w:t xml:space="preserve"> na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vyrovnání postavení nemocných </w:t>
      </w:r>
      <w:r w:rsidR="00857F25" w:rsidRPr="000561BB">
        <w:rPr>
          <w:rFonts w:ascii="Calibri" w:hAnsi="Calibri" w:cs="Calibri"/>
          <w:color w:val="000000" w:themeColor="text1"/>
          <w:sz w:val="24"/>
          <w:szCs w:val="24"/>
        </w:rPr>
        <w:t xml:space="preserve">osob </w:t>
      </w:r>
      <w:r w:rsidRPr="000561BB">
        <w:rPr>
          <w:rFonts w:ascii="Calibri" w:hAnsi="Calibri" w:cs="Calibri"/>
          <w:color w:val="000000" w:themeColor="text1"/>
          <w:sz w:val="24"/>
          <w:szCs w:val="24"/>
        </w:rPr>
        <w:t xml:space="preserve">v systému zdravotní péče v ČR, na posílení sociálního začlenění a umožnění přesunu těžiště psychiatrické péče do komunity. Umožní </w:t>
      </w:r>
      <w:r w:rsidR="007E4E5F" w:rsidRPr="000561BB">
        <w:rPr>
          <w:rFonts w:ascii="Calibri" w:hAnsi="Calibri" w:cs="Calibri"/>
          <w:color w:val="000000" w:themeColor="text1"/>
          <w:sz w:val="24"/>
          <w:szCs w:val="24"/>
        </w:rPr>
        <w:t xml:space="preserve">také </w:t>
      </w:r>
      <w:r w:rsidRPr="000561BB">
        <w:rPr>
          <w:rFonts w:ascii="Calibri" w:hAnsi="Calibri" w:cs="Calibri"/>
          <w:color w:val="000000" w:themeColor="text1"/>
          <w:sz w:val="24"/>
          <w:szCs w:val="24"/>
        </w:rPr>
        <w:t>přístup ke</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kvalitním zdravotním službám, které dosud nebyly ve všech regionech dostupné.</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V rámci IROP vyhlásilo MMR v kontrolovaném období let 2016 až 2020 dvě výzvy zaměřené na</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podporu </w:t>
      </w:r>
      <w:proofErr w:type="spellStart"/>
      <w:r w:rsidRPr="000561BB">
        <w:rPr>
          <w:rFonts w:ascii="Calibri" w:hAnsi="Calibri" w:cs="Calibri"/>
          <w:color w:val="000000" w:themeColor="text1"/>
          <w:sz w:val="24"/>
          <w:szCs w:val="24"/>
        </w:rPr>
        <w:t>deinstitucionalizace</w:t>
      </w:r>
      <w:proofErr w:type="spellEnd"/>
      <w:r w:rsidRPr="000561BB">
        <w:rPr>
          <w:rFonts w:ascii="Calibri" w:hAnsi="Calibri" w:cs="Calibri"/>
          <w:color w:val="000000" w:themeColor="text1"/>
          <w:sz w:val="24"/>
          <w:szCs w:val="24"/>
        </w:rPr>
        <w:t xml:space="preserve"> psychiatrické péče.</w:t>
      </w:r>
    </w:p>
    <w:p w:rsidR="009206C4" w:rsidRPr="000561BB" w:rsidRDefault="002C761F" w:rsidP="005E7525">
      <w:pPr>
        <w:keepNext/>
        <w:shd w:val="clear" w:color="auto" w:fill="FFFFFF"/>
        <w:spacing w:after="120"/>
        <w:jc w:val="both"/>
        <w:rPr>
          <w:rFonts w:ascii="Calibri" w:hAnsi="Calibri" w:cs="Calibri"/>
          <w:b/>
          <w:color w:val="000000" w:themeColor="text1"/>
          <w:sz w:val="24"/>
          <w:szCs w:val="24"/>
        </w:rPr>
      </w:pPr>
      <w:r w:rsidRPr="000561BB">
        <w:rPr>
          <w:rFonts w:ascii="Calibri" w:hAnsi="Calibri" w:cs="Calibri"/>
          <w:b/>
          <w:color w:val="000000" w:themeColor="text1"/>
          <w:sz w:val="24"/>
          <w:szCs w:val="24"/>
        </w:rPr>
        <w:t xml:space="preserve">Výzva č. 54 a výzva č. 75 </w:t>
      </w:r>
    </w:p>
    <w:p w:rsidR="009206C4" w:rsidRPr="000561BB" w:rsidRDefault="002C761F" w:rsidP="00382305">
      <w:pPr>
        <w:shd w:val="clear" w:color="auto" w:fill="FFFFFF"/>
        <w:jc w:val="both"/>
        <w:rPr>
          <w:rFonts w:ascii="Calibri" w:hAnsi="Calibri" w:cs="Calibri"/>
          <w:color w:val="000000" w:themeColor="text1"/>
          <w:sz w:val="24"/>
          <w:szCs w:val="24"/>
        </w:rPr>
      </w:pPr>
      <w:r w:rsidRPr="000561BB">
        <w:rPr>
          <w:rFonts w:ascii="Calibri" w:hAnsi="Calibri" w:cs="Calibri"/>
          <w:b/>
          <w:color w:val="000000" w:themeColor="text1"/>
          <w:sz w:val="24"/>
          <w:szCs w:val="24"/>
        </w:rPr>
        <w:t>Cílem podpory je zvýšení dostupnosti a kvality psychiatrické péče</w:t>
      </w:r>
      <w:r w:rsidRPr="000561BB">
        <w:rPr>
          <w:rFonts w:ascii="Calibri" w:hAnsi="Calibri" w:cs="Calibri"/>
          <w:color w:val="000000" w:themeColor="text1"/>
          <w:sz w:val="24"/>
          <w:szCs w:val="24"/>
        </w:rPr>
        <w:t xml:space="preserve"> změnou organizace jejího poskytování a zvýšení úspěšnosti začleňování duševně nemocných </w:t>
      </w:r>
      <w:r w:rsidR="00857F25" w:rsidRPr="000561BB">
        <w:rPr>
          <w:rFonts w:ascii="Calibri" w:hAnsi="Calibri" w:cs="Calibri"/>
          <w:color w:val="000000" w:themeColor="text1"/>
          <w:sz w:val="24"/>
          <w:szCs w:val="24"/>
        </w:rPr>
        <w:t xml:space="preserve">osob </w:t>
      </w:r>
      <w:r w:rsidRPr="000561BB">
        <w:rPr>
          <w:rFonts w:ascii="Calibri" w:hAnsi="Calibri" w:cs="Calibri"/>
          <w:color w:val="000000" w:themeColor="text1"/>
          <w:sz w:val="24"/>
          <w:szCs w:val="24"/>
        </w:rPr>
        <w:t xml:space="preserve">do společnosti. Projekty podpořené v rámci výzvy č. 54 a výzvy č. 75 mohou být realizovány oprávněnými </w:t>
      </w:r>
      <w:r w:rsidRPr="000561BB">
        <w:rPr>
          <w:rFonts w:ascii="Calibri" w:hAnsi="Calibri" w:cs="Calibri"/>
          <w:color w:val="000000" w:themeColor="text1"/>
          <w:sz w:val="24"/>
          <w:szCs w:val="24"/>
        </w:rPr>
        <w:lastRenderedPageBreak/>
        <w:t>žadateli</w:t>
      </w:r>
      <w:r w:rsidRPr="000561BB">
        <w:rPr>
          <w:rStyle w:val="Znakapoznpodarou"/>
          <w:rFonts w:ascii="Calibri" w:hAnsi="Calibri" w:cs="Calibri"/>
          <w:color w:val="000000" w:themeColor="text1"/>
          <w:sz w:val="24"/>
          <w:szCs w:val="24"/>
        </w:rPr>
        <w:footnoteReference w:id="12"/>
      </w:r>
      <w:r w:rsidRPr="000561BB">
        <w:rPr>
          <w:rFonts w:ascii="Calibri" w:hAnsi="Calibri" w:cs="Calibri"/>
          <w:color w:val="000000" w:themeColor="text1"/>
          <w:sz w:val="24"/>
          <w:szCs w:val="24"/>
        </w:rPr>
        <w:t xml:space="preserve"> na</w:t>
      </w:r>
      <w:r w:rsidR="00642C69"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území celé ČR mimo hl. m. Prah</w:t>
      </w:r>
      <w:r w:rsidR="0033293D" w:rsidRPr="000561BB">
        <w:rPr>
          <w:rFonts w:ascii="Calibri" w:hAnsi="Calibri" w:cs="Calibri"/>
          <w:color w:val="000000" w:themeColor="text1"/>
          <w:sz w:val="24"/>
          <w:szCs w:val="24"/>
        </w:rPr>
        <w:t>y</w:t>
      </w:r>
      <w:r w:rsidRPr="000561BB">
        <w:rPr>
          <w:rFonts w:ascii="Calibri" w:hAnsi="Calibri" w:cs="Calibri"/>
          <w:color w:val="000000" w:themeColor="text1"/>
          <w:sz w:val="24"/>
          <w:szCs w:val="24"/>
        </w:rPr>
        <w:t>.</w:t>
      </w:r>
      <w:r w:rsidR="00EC2373" w:rsidRPr="000561BB">
        <w:rPr>
          <w:rFonts w:ascii="Calibri" w:hAnsi="Calibri" w:cs="Calibri"/>
          <w:color w:val="000000" w:themeColor="text1"/>
          <w:sz w:val="24"/>
          <w:szCs w:val="24"/>
        </w:rPr>
        <w:t xml:space="preserve"> </w:t>
      </w:r>
      <w:r w:rsidRPr="000561BB">
        <w:rPr>
          <w:rFonts w:ascii="Calibri" w:hAnsi="Calibri" w:cs="Calibri"/>
          <w:color w:val="000000" w:themeColor="text1"/>
          <w:sz w:val="24"/>
          <w:szCs w:val="24"/>
        </w:rPr>
        <w:t>Projekty podpořené v rámci těchto dvou výzev jsou financovány z 85 % celkových způsobilých výdajů z EFRR a dále v případě, že příjemci podpory jsou:</w:t>
      </w:r>
    </w:p>
    <w:p w:rsidR="009206C4" w:rsidRPr="000561BB" w:rsidRDefault="002C761F" w:rsidP="00382305">
      <w:pPr>
        <w:pStyle w:val="Odstavecseseznamem"/>
        <w:numPr>
          <w:ilvl w:val="0"/>
          <w:numId w:val="21"/>
        </w:numPr>
        <w:shd w:val="clear" w:color="auto" w:fill="FFFFFF"/>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příspěvkové organizace zřizované </w:t>
      </w:r>
      <w:proofErr w:type="spellStart"/>
      <w:r w:rsidRPr="000561BB">
        <w:rPr>
          <w:rFonts w:ascii="Calibri" w:hAnsi="Calibri" w:cs="Calibri"/>
          <w:color w:val="000000" w:themeColor="text1"/>
          <w:sz w:val="24"/>
          <w:szCs w:val="24"/>
        </w:rPr>
        <w:t>MZd</w:t>
      </w:r>
      <w:proofErr w:type="spellEnd"/>
      <w:r w:rsidRPr="000561BB">
        <w:rPr>
          <w:rFonts w:ascii="Calibri" w:hAnsi="Calibri" w:cs="Calibri"/>
          <w:color w:val="000000" w:themeColor="text1"/>
          <w:sz w:val="24"/>
          <w:szCs w:val="24"/>
        </w:rPr>
        <w:t xml:space="preserve"> </w:t>
      </w:r>
      <w:r w:rsidRPr="000561BB">
        <w:rPr>
          <w:rFonts w:ascii="Calibri" w:hAnsi="Calibri" w:cs="Calibri"/>
          <w:sz w:val="24"/>
          <w:szCs w:val="24"/>
        </w:rPr>
        <w:t>–</w:t>
      </w:r>
      <w:r w:rsidRPr="000561BB">
        <w:rPr>
          <w:rFonts w:ascii="Calibri" w:hAnsi="Calibri" w:cs="Calibri"/>
          <w:color w:val="000000" w:themeColor="text1"/>
          <w:sz w:val="24"/>
          <w:szCs w:val="24"/>
        </w:rPr>
        <w:t xml:space="preserve"> z 15 % ze státního rozpočtu</w:t>
      </w:r>
      <w:r w:rsidR="007E0DE0" w:rsidRPr="000561BB">
        <w:rPr>
          <w:rFonts w:ascii="Calibri" w:hAnsi="Calibri" w:cs="Calibri"/>
          <w:color w:val="000000" w:themeColor="text1"/>
          <w:sz w:val="24"/>
          <w:szCs w:val="24"/>
        </w:rPr>
        <w:t xml:space="preserve"> (dále také „SR“)</w:t>
      </w:r>
      <w:r w:rsidRPr="000561BB">
        <w:rPr>
          <w:rFonts w:ascii="Calibri" w:hAnsi="Calibri" w:cs="Calibri"/>
          <w:color w:val="000000" w:themeColor="text1"/>
          <w:sz w:val="24"/>
          <w:szCs w:val="24"/>
        </w:rPr>
        <w:t>;</w:t>
      </w:r>
    </w:p>
    <w:p w:rsidR="009206C4" w:rsidRPr="000561BB" w:rsidRDefault="002C761F" w:rsidP="00382305">
      <w:pPr>
        <w:pStyle w:val="Odstavecseseznamem"/>
        <w:numPr>
          <w:ilvl w:val="0"/>
          <w:numId w:val="21"/>
        </w:numPr>
        <w:shd w:val="clear" w:color="auto" w:fill="FFFFFF"/>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kraje/obce/dobrovolné svazky obcí </w:t>
      </w:r>
      <w:r w:rsidRPr="000561BB">
        <w:rPr>
          <w:rFonts w:ascii="Calibri" w:hAnsi="Calibri" w:cs="Calibri"/>
          <w:sz w:val="24"/>
          <w:szCs w:val="24"/>
        </w:rPr>
        <w:t>–</w:t>
      </w:r>
      <w:r w:rsidRPr="000561BB">
        <w:rPr>
          <w:rFonts w:ascii="Calibri" w:hAnsi="Calibri" w:cs="Calibri"/>
          <w:color w:val="000000" w:themeColor="text1"/>
          <w:sz w:val="24"/>
          <w:szCs w:val="24"/>
        </w:rPr>
        <w:t xml:space="preserve"> z 5 % ze </w:t>
      </w:r>
      <w:r w:rsidR="007E0DE0" w:rsidRPr="000561BB">
        <w:rPr>
          <w:rFonts w:ascii="Calibri" w:hAnsi="Calibri" w:cs="Calibri"/>
          <w:color w:val="000000" w:themeColor="text1"/>
          <w:sz w:val="24"/>
          <w:szCs w:val="24"/>
        </w:rPr>
        <w:t>SR</w:t>
      </w:r>
      <w:r w:rsidRPr="000561BB">
        <w:rPr>
          <w:rFonts w:ascii="Calibri" w:hAnsi="Calibri" w:cs="Calibri"/>
          <w:color w:val="000000" w:themeColor="text1"/>
          <w:sz w:val="24"/>
          <w:szCs w:val="24"/>
        </w:rPr>
        <w:t>;</w:t>
      </w:r>
    </w:p>
    <w:p w:rsidR="009206C4" w:rsidRPr="000561BB" w:rsidRDefault="002C761F" w:rsidP="00382305">
      <w:pPr>
        <w:pStyle w:val="Odstavecseseznamem"/>
        <w:numPr>
          <w:ilvl w:val="0"/>
          <w:numId w:val="21"/>
        </w:numPr>
        <w:shd w:val="clear" w:color="auto" w:fill="FFFFFF"/>
        <w:spacing w:after="120"/>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organizace zřizované kraji/obcemi/dobrovolnými svazky obcí </w:t>
      </w:r>
      <w:r w:rsidRPr="000561BB">
        <w:rPr>
          <w:rFonts w:ascii="Calibri" w:hAnsi="Calibri" w:cs="Calibri"/>
          <w:sz w:val="24"/>
          <w:szCs w:val="24"/>
        </w:rPr>
        <w:t>–</w:t>
      </w:r>
      <w:r w:rsidRPr="000561BB">
        <w:rPr>
          <w:rFonts w:ascii="Calibri" w:hAnsi="Calibri" w:cs="Calibri"/>
          <w:color w:val="000000" w:themeColor="text1"/>
          <w:sz w:val="24"/>
          <w:szCs w:val="24"/>
        </w:rPr>
        <w:t xml:space="preserve"> z 5 % ze </w:t>
      </w:r>
      <w:r w:rsidR="007E0DE0" w:rsidRPr="000561BB">
        <w:rPr>
          <w:rFonts w:ascii="Calibri" w:hAnsi="Calibri" w:cs="Calibri"/>
          <w:color w:val="000000" w:themeColor="text1"/>
          <w:sz w:val="24"/>
          <w:szCs w:val="24"/>
        </w:rPr>
        <w:t>SR</w:t>
      </w:r>
      <w:r w:rsidRPr="000561BB">
        <w:rPr>
          <w:rFonts w:ascii="Calibri" w:hAnsi="Calibri" w:cs="Calibri"/>
          <w:color w:val="000000" w:themeColor="text1"/>
          <w:sz w:val="24"/>
          <w:szCs w:val="24"/>
        </w:rPr>
        <w:t>.</w:t>
      </w:r>
    </w:p>
    <w:p w:rsidR="009206C4" w:rsidRPr="000561BB" w:rsidRDefault="002C761F" w:rsidP="000561BB">
      <w:pPr>
        <w:shd w:val="clear" w:color="auto" w:fill="FFFFFF"/>
        <w:spacing w:after="120"/>
        <w:jc w:val="both"/>
        <w:rPr>
          <w:rFonts w:ascii="Calibri" w:hAnsi="Calibri" w:cs="Calibri"/>
          <w:color w:val="000000" w:themeColor="text1"/>
          <w:sz w:val="24"/>
          <w:szCs w:val="24"/>
        </w:rPr>
      </w:pPr>
      <w:r w:rsidRPr="000561BB">
        <w:rPr>
          <w:rFonts w:ascii="Calibri" w:hAnsi="Calibri" w:cs="Calibri"/>
          <w:b/>
          <w:color w:val="000000" w:themeColor="text1"/>
          <w:sz w:val="24"/>
          <w:szCs w:val="24"/>
        </w:rPr>
        <w:t>Celkově</w:t>
      </w:r>
      <w:r w:rsidRPr="000561BB">
        <w:rPr>
          <w:rFonts w:ascii="Calibri" w:hAnsi="Calibri" w:cs="Calibri"/>
          <w:color w:val="000000" w:themeColor="text1"/>
          <w:sz w:val="24"/>
          <w:szCs w:val="24"/>
        </w:rPr>
        <w:t xml:space="preserve"> byly </w:t>
      </w:r>
      <w:r w:rsidRPr="000561BB">
        <w:rPr>
          <w:rFonts w:ascii="Calibri" w:hAnsi="Calibri" w:cs="Calibri"/>
          <w:b/>
          <w:color w:val="000000" w:themeColor="text1"/>
          <w:sz w:val="24"/>
          <w:szCs w:val="24"/>
        </w:rPr>
        <w:t>na výzvu č. 54</w:t>
      </w:r>
      <w:r w:rsidRPr="000561BB">
        <w:rPr>
          <w:rFonts w:ascii="Calibri" w:hAnsi="Calibri" w:cs="Calibri"/>
          <w:color w:val="000000" w:themeColor="text1"/>
          <w:sz w:val="24"/>
          <w:szCs w:val="24"/>
        </w:rPr>
        <w:t xml:space="preserve"> alokovány prostředky ve výši </w:t>
      </w:r>
      <w:r w:rsidRPr="000561BB">
        <w:rPr>
          <w:rFonts w:ascii="Calibri" w:hAnsi="Calibri" w:cs="Calibri"/>
          <w:b/>
          <w:color w:val="000000" w:themeColor="text1"/>
          <w:sz w:val="24"/>
          <w:szCs w:val="24"/>
        </w:rPr>
        <w:t>1 898 mil. Kč</w:t>
      </w:r>
      <w:r w:rsidRPr="000955B0">
        <w:rPr>
          <w:rFonts w:ascii="Calibri" w:hAnsi="Calibri" w:cs="Calibri"/>
          <w:b/>
          <w:color w:val="000000" w:themeColor="text1"/>
          <w:sz w:val="24"/>
          <w:szCs w:val="24"/>
        </w:rPr>
        <w:t>,</w:t>
      </w:r>
      <w:r w:rsidRPr="000561BB">
        <w:rPr>
          <w:rFonts w:ascii="Calibri" w:hAnsi="Calibri" w:cs="Calibri"/>
          <w:color w:val="000000" w:themeColor="text1"/>
          <w:sz w:val="24"/>
          <w:szCs w:val="24"/>
        </w:rPr>
        <w:t xml:space="preserve"> z toho </w:t>
      </w:r>
      <w:r w:rsidR="00EF314B" w:rsidRPr="000561BB">
        <w:rPr>
          <w:rFonts w:ascii="Calibri" w:hAnsi="Calibri" w:cs="Calibri"/>
          <w:color w:val="000000" w:themeColor="text1"/>
          <w:sz w:val="24"/>
          <w:szCs w:val="24"/>
        </w:rPr>
        <w:t xml:space="preserve">z </w:t>
      </w:r>
      <w:r w:rsidRPr="000561BB">
        <w:rPr>
          <w:rFonts w:ascii="Calibri" w:hAnsi="Calibri" w:cs="Calibri"/>
          <w:color w:val="000000" w:themeColor="text1"/>
          <w:sz w:val="24"/>
          <w:szCs w:val="24"/>
        </w:rPr>
        <w:t>EFRR ve výši 1</w:t>
      </w:r>
      <w:r w:rsidR="00312C2D"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613</w:t>
      </w:r>
      <w:r w:rsidR="00312C2D"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mil. Kč. </w:t>
      </w:r>
      <w:r w:rsidRPr="000561BB">
        <w:rPr>
          <w:rFonts w:ascii="Calibri" w:hAnsi="Calibri" w:cs="Calibri"/>
          <w:b/>
          <w:color w:val="000000" w:themeColor="text1"/>
          <w:sz w:val="24"/>
          <w:szCs w:val="24"/>
        </w:rPr>
        <w:t>Na výzvu č. 75</w:t>
      </w:r>
      <w:r w:rsidRPr="000561BB">
        <w:rPr>
          <w:rFonts w:ascii="Calibri" w:hAnsi="Calibri" w:cs="Calibri"/>
          <w:color w:val="000000" w:themeColor="text1"/>
          <w:sz w:val="24"/>
          <w:szCs w:val="24"/>
        </w:rPr>
        <w:t xml:space="preserve"> pak byly celkově alokovány prostředky ve výši </w:t>
      </w:r>
      <w:r w:rsidRPr="000561BB">
        <w:rPr>
          <w:rFonts w:ascii="Calibri" w:hAnsi="Calibri" w:cs="Calibri"/>
          <w:b/>
          <w:color w:val="000000" w:themeColor="text1"/>
          <w:sz w:val="24"/>
          <w:szCs w:val="24"/>
        </w:rPr>
        <w:t>700 mil. Kč</w:t>
      </w:r>
      <w:r w:rsidRPr="000955B0">
        <w:rPr>
          <w:rFonts w:ascii="Calibri" w:hAnsi="Calibri" w:cs="Calibri"/>
          <w:b/>
          <w:color w:val="000000" w:themeColor="text1"/>
          <w:sz w:val="24"/>
          <w:szCs w:val="24"/>
        </w:rPr>
        <w:t>,</w:t>
      </w:r>
      <w:r w:rsidRPr="000561BB">
        <w:rPr>
          <w:rFonts w:ascii="Calibri" w:hAnsi="Calibri" w:cs="Calibri"/>
          <w:color w:val="000000" w:themeColor="text1"/>
          <w:sz w:val="24"/>
          <w:szCs w:val="24"/>
        </w:rPr>
        <w:t xml:space="preserve"> z toho </w:t>
      </w:r>
      <w:r w:rsidR="00312C2D" w:rsidRPr="000561BB">
        <w:rPr>
          <w:rFonts w:ascii="Calibri" w:hAnsi="Calibri" w:cs="Calibri"/>
          <w:color w:val="000000" w:themeColor="text1"/>
          <w:sz w:val="24"/>
          <w:szCs w:val="24"/>
        </w:rPr>
        <w:t>z</w:t>
      </w:r>
      <w:r w:rsidR="00612D8E" w:rsidRPr="000561BB">
        <w:rPr>
          <w:rFonts w:ascii="Calibri" w:hAnsi="Calibri" w:cs="Calibri"/>
          <w:color w:val="000000" w:themeColor="text1"/>
          <w:sz w:val="24"/>
          <w:szCs w:val="24"/>
        </w:rPr>
        <w:t> </w:t>
      </w:r>
      <w:r w:rsidRPr="000561BB">
        <w:rPr>
          <w:rFonts w:ascii="Calibri" w:hAnsi="Calibri" w:cs="Calibri"/>
          <w:color w:val="000000" w:themeColor="text1"/>
          <w:sz w:val="24"/>
          <w:szCs w:val="24"/>
        </w:rPr>
        <w:t xml:space="preserve">EFRR ve výši 595 mil. Kč. </w:t>
      </w:r>
      <w:r w:rsidR="007E17CB" w:rsidRPr="000561BB">
        <w:rPr>
          <w:rFonts w:ascii="Calibri" w:hAnsi="Calibri" w:cs="Calibri"/>
          <w:color w:val="000000" w:themeColor="text1"/>
          <w:sz w:val="24"/>
          <w:szCs w:val="24"/>
        </w:rPr>
        <w:t>Poskytnutá dotace z EFRR a SR v letech 2016</w:t>
      </w:r>
      <w:r w:rsidR="006E7875" w:rsidRPr="000561BB">
        <w:rPr>
          <w:rFonts w:ascii="Calibri" w:hAnsi="Calibri" w:cs="Calibri"/>
          <w:sz w:val="24"/>
          <w:szCs w:val="24"/>
        </w:rPr>
        <w:t>–</w:t>
      </w:r>
      <w:r w:rsidR="007E17CB" w:rsidRPr="000561BB">
        <w:rPr>
          <w:rFonts w:ascii="Calibri" w:hAnsi="Calibri" w:cs="Calibri"/>
          <w:color w:val="000000" w:themeColor="text1"/>
          <w:sz w:val="24"/>
          <w:szCs w:val="24"/>
        </w:rPr>
        <w:t>2020 činila celkem 2,22</w:t>
      </w:r>
      <w:r w:rsidR="002E5C60" w:rsidRPr="000561BB">
        <w:rPr>
          <w:rFonts w:ascii="Calibri" w:hAnsi="Calibri" w:cs="Calibri"/>
          <w:color w:val="000000" w:themeColor="text1"/>
          <w:sz w:val="24"/>
          <w:szCs w:val="24"/>
        </w:rPr>
        <w:t> </w:t>
      </w:r>
      <w:r w:rsidR="007E17CB" w:rsidRPr="000561BB">
        <w:rPr>
          <w:rFonts w:ascii="Calibri" w:hAnsi="Calibri" w:cs="Calibri"/>
          <w:color w:val="000000" w:themeColor="text1"/>
          <w:sz w:val="24"/>
          <w:szCs w:val="24"/>
        </w:rPr>
        <w:t>mld.</w:t>
      </w:r>
      <w:r w:rsidR="002E5C60" w:rsidRPr="000561BB">
        <w:rPr>
          <w:rFonts w:ascii="Calibri" w:hAnsi="Calibri" w:cs="Calibri"/>
          <w:color w:val="000000" w:themeColor="text1"/>
          <w:sz w:val="24"/>
          <w:szCs w:val="24"/>
        </w:rPr>
        <w:t> </w:t>
      </w:r>
      <w:r w:rsidR="007E17CB" w:rsidRPr="000561BB">
        <w:rPr>
          <w:rFonts w:ascii="Calibri" w:hAnsi="Calibri" w:cs="Calibri"/>
          <w:color w:val="000000" w:themeColor="text1"/>
          <w:sz w:val="24"/>
          <w:szCs w:val="24"/>
        </w:rPr>
        <w:t>Kč.</w:t>
      </w:r>
      <w:r w:rsidR="00316BEC" w:rsidRPr="000561BB">
        <w:rPr>
          <w:rFonts w:ascii="Calibri" w:hAnsi="Calibri" w:cs="Calibri"/>
          <w:color w:val="000000" w:themeColor="text1"/>
          <w:sz w:val="24"/>
          <w:szCs w:val="24"/>
        </w:rPr>
        <w:t xml:space="preserve"> Přehled projektů podpořených v rámci výz</w:t>
      </w:r>
      <w:r w:rsidR="0024734D" w:rsidRPr="000561BB">
        <w:rPr>
          <w:rFonts w:ascii="Calibri" w:hAnsi="Calibri" w:cs="Calibri"/>
          <w:color w:val="000000" w:themeColor="text1"/>
          <w:sz w:val="24"/>
          <w:szCs w:val="24"/>
        </w:rPr>
        <w:t>vy č. 54 a výzvy č. 75 je uveden v</w:t>
      </w:r>
      <w:r w:rsidR="0072606F" w:rsidRPr="000561BB">
        <w:rPr>
          <w:rFonts w:ascii="Calibri" w:hAnsi="Calibri" w:cs="Calibri"/>
          <w:color w:val="000000" w:themeColor="text1"/>
          <w:sz w:val="24"/>
          <w:szCs w:val="24"/>
        </w:rPr>
        <w:t> </w:t>
      </w:r>
      <w:r w:rsidR="008605F4">
        <w:rPr>
          <w:rFonts w:ascii="Calibri" w:hAnsi="Calibri" w:cs="Calibri"/>
          <w:color w:val="000000" w:themeColor="text1"/>
          <w:sz w:val="24"/>
          <w:szCs w:val="24"/>
        </w:rPr>
        <w:t>p</w:t>
      </w:r>
      <w:r w:rsidR="0024734D" w:rsidRPr="000561BB">
        <w:rPr>
          <w:rFonts w:ascii="Calibri" w:hAnsi="Calibri" w:cs="Calibri"/>
          <w:color w:val="000000" w:themeColor="text1"/>
          <w:sz w:val="24"/>
          <w:szCs w:val="24"/>
        </w:rPr>
        <w:t>říloze</w:t>
      </w:r>
      <w:r w:rsidR="0072606F" w:rsidRPr="000561BB">
        <w:rPr>
          <w:rFonts w:ascii="Calibri" w:hAnsi="Calibri" w:cs="Calibri"/>
          <w:color w:val="000000" w:themeColor="text1"/>
          <w:sz w:val="24"/>
          <w:szCs w:val="24"/>
        </w:rPr>
        <w:t> </w:t>
      </w:r>
      <w:r w:rsidR="0024734D" w:rsidRPr="000561BB">
        <w:rPr>
          <w:rFonts w:ascii="Calibri" w:hAnsi="Calibri" w:cs="Calibri"/>
          <w:color w:val="000000" w:themeColor="text1"/>
          <w:sz w:val="24"/>
          <w:szCs w:val="24"/>
        </w:rPr>
        <w:t>č.</w:t>
      </w:r>
      <w:r w:rsidR="0072606F" w:rsidRPr="000561BB">
        <w:rPr>
          <w:rFonts w:ascii="Calibri" w:hAnsi="Calibri" w:cs="Calibri"/>
          <w:color w:val="000000" w:themeColor="text1"/>
          <w:sz w:val="24"/>
          <w:szCs w:val="24"/>
        </w:rPr>
        <w:t> </w:t>
      </w:r>
      <w:r w:rsidR="0024734D" w:rsidRPr="000561BB">
        <w:rPr>
          <w:rFonts w:ascii="Calibri" w:hAnsi="Calibri" w:cs="Calibri"/>
          <w:color w:val="000000" w:themeColor="text1"/>
          <w:sz w:val="24"/>
          <w:szCs w:val="24"/>
        </w:rPr>
        <w:t>1</w:t>
      </w:r>
      <w:r w:rsidR="008605F4">
        <w:rPr>
          <w:rFonts w:ascii="Calibri" w:hAnsi="Calibri" w:cs="Calibri"/>
          <w:color w:val="000000" w:themeColor="text1"/>
          <w:sz w:val="24"/>
          <w:szCs w:val="24"/>
        </w:rPr>
        <w:t xml:space="preserve"> tohoto kontrolního závěru</w:t>
      </w:r>
      <w:r w:rsidR="0024734D" w:rsidRPr="000561BB">
        <w:rPr>
          <w:rFonts w:ascii="Calibri" w:hAnsi="Calibri" w:cs="Calibri"/>
          <w:color w:val="000000" w:themeColor="text1"/>
          <w:sz w:val="24"/>
          <w:szCs w:val="24"/>
        </w:rPr>
        <w:t>.</w:t>
      </w:r>
    </w:p>
    <w:p w:rsidR="009206C4" w:rsidRPr="000561BB" w:rsidRDefault="002C761F" w:rsidP="000561BB">
      <w:pPr>
        <w:keepNext/>
        <w:widowControl/>
        <w:spacing w:after="120"/>
        <w:jc w:val="both"/>
        <w:rPr>
          <w:rFonts w:ascii="Calibri" w:hAnsi="Calibri" w:cs="Calibri"/>
          <w:color w:val="000000" w:themeColor="text1"/>
          <w:sz w:val="24"/>
          <w:szCs w:val="24"/>
        </w:rPr>
      </w:pPr>
      <w:r w:rsidRPr="000561BB">
        <w:rPr>
          <w:rFonts w:ascii="Calibri" w:hAnsi="Calibri" w:cs="Calibri"/>
          <w:color w:val="000000" w:themeColor="text1"/>
          <w:sz w:val="24"/>
          <w:szCs w:val="24"/>
        </w:rPr>
        <w:t>Podporovanými aktivitami jsou:</w:t>
      </w:r>
    </w:p>
    <w:p w:rsidR="009206C4" w:rsidRPr="000561BB" w:rsidRDefault="002C761F" w:rsidP="000561BB">
      <w:pPr>
        <w:widowControl/>
        <w:ind w:left="284" w:hanging="284"/>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A) </w:t>
      </w:r>
      <w:r w:rsidR="000561BB">
        <w:rPr>
          <w:rFonts w:ascii="Calibri" w:hAnsi="Calibri" w:cs="Calibri"/>
          <w:color w:val="000000" w:themeColor="text1"/>
          <w:sz w:val="24"/>
          <w:szCs w:val="24"/>
        </w:rPr>
        <w:tab/>
      </w:r>
      <w:r w:rsidR="008605F4">
        <w:rPr>
          <w:rFonts w:ascii="Calibri" w:hAnsi="Calibri" w:cs="Calibri"/>
          <w:color w:val="000000" w:themeColor="text1"/>
          <w:sz w:val="24"/>
          <w:szCs w:val="24"/>
        </w:rPr>
        <w:t>z</w:t>
      </w:r>
      <w:r w:rsidRPr="000561BB">
        <w:rPr>
          <w:rFonts w:ascii="Calibri" w:hAnsi="Calibri" w:cs="Calibri"/>
          <w:color w:val="000000" w:themeColor="text1"/>
          <w:sz w:val="24"/>
          <w:szCs w:val="24"/>
        </w:rPr>
        <w:t>řizování nových či rekonstrukce stávajících zařízení pro poskytování komunitní péče:</w:t>
      </w:r>
    </w:p>
    <w:p w:rsidR="009206C4" w:rsidRPr="000561BB" w:rsidRDefault="002C761F" w:rsidP="00C839B2">
      <w:pPr>
        <w:pStyle w:val="Odstavecseseznamem"/>
        <w:widowControl/>
        <w:numPr>
          <w:ilvl w:val="0"/>
          <w:numId w:val="22"/>
        </w:numPr>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centra duševního zdraví,</w:t>
      </w:r>
    </w:p>
    <w:p w:rsidR="009206C4" w:rsidRPr="000561BB" w:rsidRDefault="002C761F" w:rsidP="00C839B2">
      <w:pPr>
        <w:pStyle w:val="Odstavecseseznamem"/>
        <w:widowControl/>
        <w:numPr>
          <w:ilvl w:val="0"/>
          <w:numId w:val="22"/>
        </w:numPr>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stacionáře se zaměřením na psychoterapeutické služby,</w:t>
      </w:r>
    </w:p>
    <w:p w:rsidR="009206C4" w:rsidRPr="000561BB" w:rsidRDefault="002C761F" w:rsidP="00C839B2">
      <w:pPr>
        <w:pStyle w:val="Odstavecseseznamem"/>
        <w:widowControl/>
        <w:numPr>
          <w:ilvl w:val="0"/>
          <w:numId w:val="22"/>
        </w:numPr>
        <w:spacing w:after="120"/>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psychiatrické ambulance s rozšířenou péčí</w:t>
      </w:r>
      <w:r w:rsidR="008605F4">
        <w:rPr>
          <w:rFonts w:ascii="Calibri" w:hAnsi="Calibri" w:cs="Calibri"/>
          <w:color w:val="000000" w:themeColor="text1"/>
          <w:sz w:val="24"/>
          <w:szCs w:val="24"/>
        </w:rPr>
        <w:t>;</w:t>
      </w:r>
    </w:p>
    <w:p w:rsidR="009206C4" w:rsidRPr="000561BB" w:rsidRDefault="002C761F" w:rsidP="000561BB">
      <w:pPr>
        <w:widowControl/>
        <w:spacing w:after="120"/>
        <w:ind w:left="284" w:hanging="284"/>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B) </w:t>
      </w:r>
      <w:r w:rsidR="000561BB">
        <w:rPr>
          <w:rFonts w:ascii="Calibri" w:hAnsi="Calibri" w:cs="Calibri"/>
          <w:color w:val="000000" w:themeColor="text1"/>
          <w:sz w:val="24"/>
          <w:szCs w:val="24"/>
        </w:rPr>
        <w:tab/>
      </w:r>
      <w:r w:rsidR="008605F4">
        <w:rPr>
          <w:rFonts w:ascii="Calibri" w:hAnsi="Calibri" w:cs="Calibri"/>
          <w:color w:val="000000" w:themeColor="text1"/>
          <w:sz w:val="24"/>
          <w:szCs w:val="24"/>
        </w:rPr>
        <w:t>z</w:t>
      </w:r>
      <w:r w:rsidRPr="000561BB">
        <w:rPr>
          <w:rFonts w:ascii="Calibri" w:hAnsi="Calibri" w:cs="Calibri"/>
          <w:color w:val="000000" w:themeColor="text1"/>
          <w:sz w:val="24"/>
          <w:szCs w:val="24"/>
        </w:rPr>
        <w:t>řizování nových či rekonstrukce stávajících psychiatrických oddělení všeobecných nemocnic</w:t>
      </w:r>
      <w:r w:rsidR="008605F4">
        <w:rPr>
          <w:rFonts w:ascii="Calibri" w:hAnsi="Calibri" w:cs="Calibri"/>
          <w:color w:val="000000" w:themeColor="text1"/>
          <w:sz w:val="24"/>
          <w:szCs w:val="24"/>
        </w:rPr>
        <w:t>;</w:t>
      </w:r>
    </w:p>
    <w:p w:rsidR="009206C4" w:rsidRPr="000561BB" w:rsidRDefault="002C761F" w:rsidP="000561BB">
      <w:pPr>
        <w:widowControl/>
        <w:ind w:left="284" w:hanging="284"/>
        <w:jc w:val="both"/>
        <w:rPr>
          <w:rFonts w:ascii="Calibri" w:hAnsi="Calibri" w:cs="Calibri"/>
          <w:color w:val="000000" w:themeColor="text1"/>
          <w:sz w:val="24"/>
          <w:szCs w:val="24"/>
        </w:rPr>
      </w:pPr>
      <w:r w:rsidRPr="000561BB">
        <w:rPr>
          <w:rFonts w:ascii="Calibri" w:hAnsi="Calibri" w:cs="Calibri"/>
          <w:color w:val="000000" w:themeColor="text1"/>
          <w:sz w:val="24"/>
          <w:szCs w:val="24"/>
        </w:rPr>
        <w:t xml:space="preserve">C) </w:t>
      </w:r>
      <w:r w:rsidR="000561BB">
        <w:rPr>
          <w:rFonts w:ascii="Calibri" w:hAnsi="Calibri" w:cs="Calibri"/>
          <w:color w:val="000000" w:themeColor="text1"/>
          <w:sz w:val="24"/>
          <w:szCs w:val="24"/>
        </w:rPr>
        <w:tab/>
      </w:r>
      <w:r w:rsidR="008605F4">
        <w:rPr>
          <w:rFonts w:ascii="Calibri" w:hAnsi="Calibri" w:cs="Calibri"/>
          <w:color w:val="000000" w:themeColor="text1"/>
          <w:sz w:val="24"/>
          <w:szCs w:val="24"/>
        </w:rPr>
        <w:t>v</w:t>
      </w:r>
      <w:r w:rsidRPr="000561BB">
        <w:rPr>
          <w:rFonts w:ascii="Calibri" w:hAnsi="Calibri" w:cs="Calibri"/>
          <w:color w:val="000000" w:themeColor="text1"/>
          <w:sz w:val="24"/>
          <w:szCs w:val="24"/>
        </w:rPr>
        <w:t>ybavení mobilních komunitních týmů:</w:t>
      </w:r>
    </w:p>
    <w:p w:rsidR="009206C4" w:rsidRPr="000561BB" w:rsidRDefault="002C761F" w:rsidP="00C839B2">
      <w:pPr>
        <w:pStyle w:val="Odstavecseseznamem"/>
        <w:widowControl/>
        <w:numPr>
          <w:ilvl w:val="0"/>
          <w:numId w:val="23"/>
        </w:numPr>
        <w:spacing w:after="120"/>
        <w:ind w:left="567" w:hanging="283"/>
        <w:contextualSpacing w:val="0"/>
        <w:jc w:val="both"/>
        <w:rPr>
          <w:rFonts w:ascii="Calibri" w:hAnsi="Calibri" w:cs="Calibri"/>
          <w:color w:val="000000" w:themeColor="text1"/>
          <w:sz w:val="24"/>
          <w:szCs w:val="24"/>
        </w:rPr>
      </w:pPr>
      <w:r w:rsidRPr="000561BB">
        <w:rPr>
          <w:rFonts w:ascii="Calibri" w:hAnsi="Calibri" w:cs="Calibri"/>
          <w:color w:val="000000" w:themeColor="text1"/>
          <w:sz w:val="24"/>
          <w:szCs w:val="24"/>
        </w:rPr>
        <w:t>podpora zařízení a vybavení mobilních komunitních týmů.</w:t>
      </w:r>
    </w:p>
    <w:p w:rsidR="00D94AE5" w:rsidRPr="009206C4" w:rsidRDefault="002C761F" w:rsidP="000561BB">
      <w:pPr>
        <w:shd w:val="clear" w:color="auto" w:fill="FFFFFF"/>
        <w:spacing w:after="120"/>
        <w:jc w:val="both"/>
        <w:rPr>
          <w:rFonts w:asciiTheme="minorHAnsi" w:hAnsiTheme="minorHAnsi" w:cstheme="minorHAnsi"/>
          <w:color w:val="000000" w:themeColor="text1"/>
          <w:spacing w:val="-5"/>
          <w:sz w:val="24"/>
          <w:szCs w:val="24"/>
        </w:rPr>
      </w:pPr>
      <w:r w:rsidRPr="000561BB">
        <w:rPr>
          <w:rFonts w:ascii="Calibri" w:hAnsi="Calibri" w:cs="Calibri"/>
          <w:color w:val="000000" w:themeColor="text1"/>
          <w:sz w:val="24"/>
          <w:szCs w:val="24"/>
        </w:rPr>
        <w:t xml:space="preserve">V rámci výzvy č. 54 bylo podpořeno celkem </w:t>
      </w:r>
      <w:r w:rsidR="008605F4">
        <w:rPr>
          <w:rFonts w:ascii="Calibri" w:hAnsi="Calibri" w:cs="Calibri"/>
          <w:color w:val="000000" w:themeColor="text1"/>
          <w:sz w:val="24"/>
          <w:szCs w:val="24"/>
        </w:rPr>
        <w:t>devět</w:t>
      </w:r>
      <w:r w:rsidRPr="000561BB">
        <w:rPr>
          <w:rFonts w:ascii="Calibri" w:hAnsi="Calibri" w:cs="Calibri"/>
          <w:color w:val="000000" w:themeColor="text1"/>
          <w:sz w:val="24"/>
          <w:szCs w:val="24"/>
        </w:rPr>
        <w:t xml:space="preserve"> projektů, v rámci výzvy č. 7</w:t>
      </w:r>
      <w:r w:rsidRPr="009206C4">
        <w:rPr>
          <w:rFonts w:asciiTheme="minorHAnsi" w:hAnsiTheme="minorHAnsi" w:cstheme="minorHAnsi"/>
          <w:color w:val="000000" w:themeColor="text1"/>
          <w:spacing w:val="-5"/>
          <w:sz w:val="24"/>
          <w:szCs w:val="24"/>
        </w:rPr>
        <w:t>5 pak bylo podpořeno celkem 15 projektů.</w:t>
      </w:r>
    </w:p>
    <w:p w:rsidR="00246D13" w:rsidRPr="005E7525" w:rsidRDefault="002C761F" w:rsidP="005E7525">
      <w:pPr>
        <w:keepNext/>
        <w:shd w:val="clear" w:color="auto" w:fill="FFFFFF"/>
        <w:spacing w:before="600" w:after="240"/>
        <w:jc w:val="center"/>
        <w:rPr>
          <w:rFonts w:ascii="Calibri" w:hAnsi="Calibri" w:cs="Calibri"/>
          <w:sz w:val="24"/>
        </w:rPr>
      </w:pPr>
      <w:r w:rsidRPr="005E7525">
        <w:rPr>
          <w:rFonts w:ascii="Calibri" w:hAnsi="Calibri" w:cs="Calibri"/>
          <w:b/>
          <w:bCs/>
          <w:sz w:val="28"/>
          <w:szCs w:val="22"/>
        </w:rPr>
        <w:t>III. Rozsah kontroly</w:t>
      </w:r>
    </w:p>
    <w:p w:rsidR="00C22FB2" w:rsidRPr="005E7525" w:rsidRDefault="002C761F" w:rsidP="005E7525">
      <w:pPr>
        <w:shd w:val="clear" w:color="auto" w:fill="FFFFFF"/>
        <w:spacing w:after="120"/>
        <w:jc w:val="both"/>
        <w:rPr>
          <w:rFonts w:asciiTheme="minorHAnsi" w:hAnsiTheme="minorHAnsi" w:cstheme="minorHAnsi"/>
          <w:sz w:val="24"/>
          <w:szCs w:val="24"/>
        </w:rPr>
      </w:pPr>
      <w:r w:rsidRPr="005E7525">
        <w:rPr>
          <w:rFonts w:asciiTheme="minorHAnsi" w:hAnsiTheme="minorHAnsi" w:cstheme="minorHAnsi"/>
          <w:sz w:val="24"/>
          <w:szCs w:val="24"/>
        </w:rPr>
        <w:t xml:space="preserve">Předmětem kontrolní akce byly peněžní prostředky státního rozpočtu a Evropské unie určené na humanizaci psychiatrické péče. </w:t>
      </w:r>
      <w:r w:rsidR="00A328BF" w:rsidRPr="005E7525">
        <w:rPr>
          <w:rFonts w:asciiTheme="minorHAnsi" w:hAnsiTheme="minorHAnsi" w:cstheme="minorHAnsi"/>
          <w:sz w:val="24"/>
          <w:szCs w:val="24"/>
        </w:rPr>
        <w:t>Cílem kontroly bylo prověřit, zda peněžní prostředky státního rozpočtu a Evropské unie určené na humanizaci psychiatrické péče byly poskytovány a čerpány účelně, hospodárně, v souladu s právními předpisy a probíhající reformou psychiatrické péče.</w:t>
      </w:r>
      <w:r w:rsidR="00770927" w:rsidRPr="005E7525">
        <w:rPr>
          <w:rFonts w:asciiTheme="minorHAnsi" w:hAnsiTheme="minorHAnsi" w:cstheme="minorHAnsi"/>
          <w:sz w:val="24"/>
          <w:szCs w:val="24"/>
        </w:rPr>
        <w:t xml:space="preserve"> </w:t>
      </w:r>
    </w:p>
    <w:p w:rsidR="002213FA" w:rsidRPr="005E7525" w:rsidRDefault="002C761F" w:rsidP="005E7525">
      <w:pPr>
        <w:pStyle w:val="Default"/>
        <w:spacing w:after="120"/>
        <w:jc w:val="both"/>
        <w:rPr>
          <w:rFonts w:asciiTheme="minorHAnsi" w:hAnsiTheme="minorHAnsi"/>
        </w:rPr>
      </w:pPr>
      <w:r w:rsidRPr="005E7525">
        <w:rPr>
          <w:rFonts w:asciiTheme="minorHAnsi" w:hAnsiTheme="minorHAnsi" w:cstheme="minorHAnsi"/>
        </w:rPr>
        <w:t xml:space="preserve">Kontrolovaným obdobím byly roky 2016–2020, v případě věcných souvislostí i období předchozí a období následující. </w:t>
      </w:r>
      <w:r w:rsidRPr="005E7525">
        <w:rPr>
          <w:rFonts w:asciiTheme="minorHAnsi" w:hAnsiTheme="minorHAnsi"/>
        </w:rPr>
        <w:t xml:space="preserve">Kontrolovanými osobami byli </w:t>
      </w:r>
      <w:proofErr w:type="spellStart"/>
      <w:r w:rsidRPr="005E7525">
        <w:rPr>
          <w:rFonts w:asciiTheme="minorHAnsi" w:hAnsiTheme="minorHAnsi"/>
        </w:rPr>
        <w:t>MZd</w:t>
      </w:r>
      <w:proofErr w:type="spellEnd"/>
      <w:r w:rsidRPr="005E7525">
        <w:rPr>
          <w:rFonts w:asciiTheme="minorHAnsi" w:hAnsiTheme="minorHAnsi"/>
        </w:rPr>
        <w:t xml:space="preserve">, MMR a vybraní příjemci </w:t>
      </w:r>
      <w:r w:rsidR="00BD5FC1" w:rsidRPr="005E7525">
        <w:rPr>
          <w:rFonts w:asciiTheme="minorHAnsi" w:hAnsiTheme="minorHAnsi"/>
        </w:rPr>
        <w:t>podpory</w:t>
      </w:r>
      <w:r w:rsidR="00FC18A1" w:rsidRPr="005E7525">
        <w:rPr>
          <w:rFonts w:asciiTheme="minorHAnsi" w:hAnsiTheme="minorHAnsi"/>
        </w:rPr>
        <w:t>, tj. FN Brno a FN Ostrava</w:t>
      </w:r>
      <w:r w:rsidRPr="005E7525">
        <w:rPr>
          <w:rFonts w:asciiTheme="minorHAnsi" w:hAnsiTheme="minorHAnsi"/>
        </w:rPr>
        <w:t>.</w:t>
      </w:r>
    </w:p>
    <w:p w:rsidR="0037331D" w:rsidRPr="005E7525" w:rsidRDefault="002C761F" w:rsidP="005E7525">
      <w:pPr>
        <w:shd w:val="clear" w:color="auto" w:fill="FFFFFF"/>
        <w:spacing w:after="120"/>
        <w:jc w:val="both"/>
        <w:rPr>
          <w:rFonts w:asciiTheme="minorHAnsi" w:hAnsiTheme="minorHAnsi" w:cstheme="minorHAnsi"/>
          <w:sz w:val="24"/>
          <w:szCs w:val="24"/>
        </w:rPr>
      </w:pPr>
      <w:r w:rsidRPr="005E7525">
        <w:rPr>
          <w:rFonts w:asciiTheme="minorHAnsi" w:hAnsiTheme="minorHAnsi" w:cstheme="minorHAnsi"/>
          <w:sz w:val="24"/>
          <w:szCs w:val="24"/>
        </w:rPr>
        <w:t xml:space="preserve">Kontrola byla zaměřena na nastavení a řízení programů ze strany </w:t>
      </w:r>
      <w:proofErr w:type="spellStart"/>
      <w:r w:rsidRPr="005E7525">
        <w:rPr>
          <w:rFonts w:asciiTheme="minorHAnsi" w:hAnsiTheme="minorHAnsi" w:cstheme="minorHAnsi"/>
          <w:sz w:val="24"/>
          <w:szCs w:val="24"/>
        </w:rPr>
        <w:t>MZ</w:t>
      </w:r>
      <w:r w:rsidR="007F53D9" w:rsidRPr="005E7525">
        <w:rPr>
          <w:rFonts w:asciiTheme="minorHAnsi" w:hAnsiTheme="minorHAnsi" w:cstheme="minorHAnsi"/>
          <w:sz w:val="24"/>
          <w:szCs w:val="24"/>
        </w:rPr>
        <w:t>d</w:t>
      </w:r>
      <w:proofErr w:type="spellEnd"/>
      <w:r w:rsidRPr="005E7525">
        <w:rPr>
          <w:rFonts w:asciiTheme="minorHAnsi" w:hAnsiTheme="minorHAnsi" w:cstheme="minorHAnsi"/>
          <w:sz w:val="24"/>
          <w:szCs w:val="24"/>
        </w:rPr>
        <w:t xml:space="preserve"> určených na humanizaci psychiatrické péče, na koordinaci spolupráce mezi </w:t>
      </w:r>
      <w:proofErr w:type="spellStart"/>
      <w:r w:rsidRPr="005E7525">
        <w:rPr>
          <w:rFonts w:asciiTheme="minorHAnsi" w:hAnsiTheme="minorHAnsi" w:cstheme="minorHAnsi"/>
          <w:sz w:val="24"/>
          <w:szCs w:val="24"/>
        </w:rPr>
        <w:t>MZ</w:t>
      </w:r>
      <w:r w:rsidR="007F53D9" w:rsidRPr="005E7525">
        <w:rPr>
          <w:rFonts w:asciiTheme="minorHAnsi" w:hAnsiTheme="minorHAnsi" w:cstheme="minorHAnsi"/>
          <w:sz w:val="24"/>
          <w:szCs w:val="24"/>
        </w:rPr>
        <w:t>d</w:t>
      </w:r>
      <w:proofErr w:type="spellEnd"/>
      <w:r w:rsidRPr="005E7525">
        <w:rPr>
          <w:rFonts w:asciiTheme="minorHAnsi" w:hAnsiTheme="minorHAnsi" w:cstheme="minorHAnsi"/>
          <w:sz w:val="24"/>
          <w:szCs w:val="24"/>
        </w:rPr>
        <w:t xml:space="preserve"> a MMR při přípravě výz</w:t>
      </w:r>
      <w:r w:rsidR="006E7875" w:rsidRPr="005E7525">
        <w:rPr>
          <w:rFonts w:asciiTheme="minorHAnsi" w:hAnsiTheme="minorHAnsi" w:cstheme="minorHAnsi"/>
          <w:sz w:val="24"/>
          <w:szCs w:val="24"/>
        </w:rPr>
        <w:t>vy</w:t>
      </w:r>
      <w:r w:rsidRPr="005E7525">
        <w:rPr>
          <w:rFonts w:asciiTheme="minorHAnsi" w:hAnsiTheme="minorHAnsi" w:cstheme="minorHAnsi"/>
          <w:sz w:val="24"/>
          <w:szCs w:val="24"/>
        </w:rPr>
        <w:t xml:space="preserve"> č. 54 a</w:t>
      </w:r>
      <w:r w:rsidR="00642C69" w:rsidRPr="005E7525">
        <w:rPr>
          <w:rFonts w:asciiTheme="minorHAnsi" w:hAnsiTheme="minorHAnsi" w:cstheme="minorHAnsi"/>
          <w:sz w:val="24"/>
          <w:szCs w:val="24"/>
        </w:rPr>
        <w:t> </w:t>
      </w:r>
      <w:r w:rsidR="006E7875" w:rsidRPr="005E7525">
        <w:rPr>
          <w:rFonts w:asciiTheme="minorHAnsi" w:hAnsiTheme="minorHAnsi" w:cstheme="minorHAnsi"/>
          <w:sz w:val="24"/>
          <w:szCs w:val="24"/>
        </w:rPr>
        <w:t>výzvy</w:t>
      </w:r>
      <w:r w:rsidR="00642C69" w:rsidRPr="005E7525">
        <w:rPr>
          <w:rFonts w:asciiTheme="minorHAnsi" w:hAnsiTheme="minorHAnsi" w:cstheme="minorHAnsi"/>
          <w:sz w:val="24"/>
          <w:szCs w:val="24"/>
        </w:rPr>
        <w:t> </w:t>
      </w:r>
      <w:r w:rsidRPr="005E7525">
        <w:rPr>
          <w:rFonts w:asciiTheme="minorHAnsi" w:hAnsiTheme="minorHAnsi" w:cstheme="minorHAnsi"/>
          <w:sz w:val="24"/>
          <w:szCs w:val="24"/>
        </w:rPr>
        <w:t>č. 75 a při realizaci jednotlivých projektů, na rozdělení podpory ze strany MMR v rámci výz</w:t>
      </w:r>
      <w:r w:rsidR="006E7875" w:rsidRPr="005E7525">
        <w:rPr>
          <w:rFonts w:asciiTheme="minorHAnsi" w:hAnsiTheme="minorHAnsi" w:cstheme="minorHAnsi"/>
          <w:sz w:val="24"/>
          <w:szCs w:val="24"/>
        </w:rPr>
        <w:t>vy</w:t>
      </w:r>
      <w:r w:rsidRPr="005E7525">
        <w:rPr>
          <w:rFonts w:asciiTheme="minorHAnsi" w:hAnsiTheme="minorHAnsi" w:cstheme="minorHAnsi"/>
          <w:sz w:val="24"/>
          <w:szCs w:val="24"/>
        </w:rPr>
        <w:t xml:space="preserve"> č. 54 a </w:t>
      </w:r>
      <w:r w:rsidR="006E7875" w:rsidRPr="005E7525">
        <w:rPr>
          <w:rFonts w:asciiTheme="minorHAnsi" w:hAnsiTheme="minorHAnsi" w:cstheme="minorHAnsi"/>
          <w:sz w:val="24"/>
          <w:szCs w:val="24"/>
        </w:rPr>
        <w:t xml:space="preserve">výzvy </w:t>
      </w:r>
      <w:r w:rsidRPr="005E7525">
        <w:rPr>
          <w:rFonts w:asciiTheme="minorHAnsi" w:hAnsiTheme="minorHAnsi" w:cstheme="minorHAnsi"/>
          <w:sz w:val="24"/>
          <w:szCs w:val="24"/>
        </w:rPr>
        <w:t xml:space="preserve">č. 75 z hlediska účelnosti a souladu s nastavenými pravidly a právními </w:t>
      </w:r>
      <w:r w:rsidRPr="005E7525">
        <w:rPr>
          <w:rFonts w:asciiTheme="minorHAnsi" w:hAnsiTheme="minorHAnsi" w:cstheme="minorHAnsi"/>
          <w:sz w:val="24"/>
          <w:szCs w:val="24"/>
        </w:rPr>
        <w:lastRenderedPageBreak/>
        <w:t>předpisy. Dále se kontrolou prověřovala transparentnost</w:t>
      </w:r>
      <w:r w:rsidR="00FC18A1" w:rsidRPr="005E7525">
        <w:rPr>
          <w:rFonts w:asciiTheme="minorHAnsi" w:hAnsiTheme="minorHAnsi" w:cstheme="minorHAnsi"/>
          <w:sz w:val="24"/>
          <w:szCs w:val="24"/>
        </w:rPr>
        <w:t xml:space="preserve">, </w:t>
      </w:r>
      <w:r w:rsidRPr="005E7525">
        <w:rPr>
          <w:rFonts w:asciiTheme="minorHAnsi" w:hAnsiTheme="minorHAnsi" w:cstheme="minorHAnsi"/>
          <w:sz w:val="24"/>
          <w:szCs w:val="24"/>
        </w:rPr>
        <w:t>dodržování právních předpisů</w:t>
      </w:r>
      <w:r w:rsidR="008605F4">
        <w:rPr>
          <w:rFonts w:asciiTheme="minorHAnsi" w:hAnsiTheme="minorHAnsi" w:cstheme="minorHAnsi"/>
          <w:sz w:val="24"/>
          <w:szCs w:val="24"/>
        </w:rPr>
        <w:t xml:space="preserve"> </w:t>
      </w:r>
      <w:r w:rsidRPr="005E7525">
        <w:rPr>
          <w:rFonts w:asciiTheme="minorHAnsi" w:hAnsiTheme="minorHAnsi" w:cstheme="minorHAnsi"/>
          <w:sz w:val="24"/>
          <w:szCs w:val="24"/>
        </w:rPr>
        <w:t>v rámci procesu hodnocení a výběru žádostí k podpoře, administrac</w:t>
      </w:r>
      <w:r w:rsidR="00FC18A1" w:rsidRPr="005E7525">
        <w:rPr>
          <w:rFonts w:asciiTheme="minorHAnsi" w:hAnsiTheme="minorHAnsi" w:cstheme="minorHAnsi"/>
          <w:sz w:val="24"/>
          <w:szCs w:val="24"/>
        </w:rPr>
        <w:t>e</w:t>
      </w:r>
      <w:r w:rsidRPr="005E7525">
        <w:rPr>
          <w:rFonts w:asciiTheme="minorHAnsi" w:hAnsiTheme="minorHAnsi" w:cstheme="minorHAnsi"/>
          <w:sz w:val="24"/>
          <w:szCs w:val="24"/>
        </w:rPr>
        <w:t xml:space="preserve"> dotačních řízení a</w:t>
      </w:r>
      <w:r w:rsidR="008605F4">
        <w:rPr>
          <w:rFonts w:asciiTheme="minorHAnsi" w:hAnsiTheme="minorHAnsi" w:cstheme="minorHAnsi"/>
          <w:sz w:val="24"/>
          <w:szCs w:val="24"/>
        </w:rPr>
        <w:t> </w:t>
      </w:r>
      <w:r w:rsidRPr="005E7525">
        <w:rPr>
          <w:rFonts w:asciiTheme="minorHAnsi" w:hAnsiTheme="minorHAnsi" w:cstheme="minorHAnsi"/>
          <w:sz w:val="24"/>
          <w:szCs w:val="24"/>
        </w:rPr>
        <w:t xml:space="preserve">realizace vybraných projektů. </w:t>
      </w:r>
    </w:p>
    <w:p w:rsidR="00F76723" w:rsidRPr="005E7525" w:rsidRDefault="002C761F" w:rsidP="005E7525">
      <w:pPr>
        <w:shd w:val="clear" w:color="auto" w:fill="FFFFFF"/>
        <w:spacing w:after="120"/>
        <w:jc w:val="both"/>
        <w:rPr>
          <w:rFonts w:asciiTheme="minorHAnsi" w:hAnsiTheme="minorHAnsi" w:cstheme="minorHAnsi"/>
          <w:sz w:val="24"/>
          <w:szCs w:val="24"/>
        </w:rPr>
      </w:pPr>
      <w:r w:rsidRPr="005E7525">
        <w:rPr>
          <w:rFonts w:asciiTheme="minorHAnsi" w:hAnsiTheme="minorHAnsi" w:cstheme="minorHAnsi"/>
          <w:sz w:val="24"/>
          <w:szCs w:val="24"/>
        </w:rPr>
        <w:t xml:space="preserve">U vybraných příjemců </w:t>
      </w:r>
      <w:r w:rsidR="0037331D" w:rsidRPr="005E7525">
        <w:rPr>
          <w:rFonts w:asciiTheme="minorHAnsi" w:hAnsiTheme="minorHAnsi" w:cstheme="minorHAnsi"/>
          <w:sz w:val="24"/>
          <w:szCs w:val="24"/>
        </w:rPr>
        <w:t xml:space="preserve">podpory </w:t>
      </w:r>
      <w:r w:rsidRPr="005E7525">
        <w:rPr>
          <w:rFonts w:asciiTheme="minorHAnsi" w:hAnsiTheme="minorHAnsi" w:cstheme="minorHAnsi"/>
          <w:sz w:val="24"/>
          <w:szCs w:val="24"/>
        </w:rPr>
        <w:t xml:space="preserve">bylo ověřováno plnění podmínek, za kterých jim byly prostředky ze </w:t>
      </w:r>
      <w:r w:rsidR="0000030A" w:rsidRPr="005E7525">
        <w:rPr>
          <w:rFonts w:asciiTheme="minorHAnsi" w:hAnsiTheme="minorHAnsi" w:cstheme="minorHAnsi"/>
          <w:sz w:val="24"/>
          <w:szCs w:val="24"/>
        </w:rPr>
        <w:t>SR</w:t>
      </w:r>
      <w:r w:rsidRPr="005E7525">
        <w:rPr>
          <w:rFonts w:asciiTheme="minorHAnsi" w:hAnsiTheme="minorHAnsi" w:cstheme="minorHAnsi"/>
          <w:sz w:val="24"/>
          <w:szCs w:val="24"/>
        </w:rPr>
        <w:t xml:space="preserve"> a </w:t>
      </w:r>
      <w:r w:rsidR="0000030A" w:rsidRPr="005E7525">
        <w:rPr>
          <w:rFonts w:asciiTheme="minorHAnsi" w:hAnsiTheme="minorHAnsi" w:cstheme="minorHAnsi"/>
          <w:sz w:val="24"/>
          <w:szCs w:val="24"/>
        </w:rPr>
        <w:t>Evropské unie (dále také „EU“)</w:t>
      </w:r>
      <w:r w:rsidRPr="005E7525">
        <w:rPr>
          <w:rFonts w:asciiTheme="minorHAnsi" w:hAnsiTheme="minorHAnsi" w:cstheme="minorHAnsi"/>
          <w:sz w:val="24"/>
          <w:szCs w:val="24"/>
        </w:rPr>
        <w:t xml:space="preserve"> poskytnuty</w:t>
      </w:r>
      <w:r w:rsidR="008605F4">
        <w:rPr>
          <w:rFonts w:asciiTheme="minorHAnsi" w:hAnsiTheme="minorHAnsi" w:cstheme="minorHAnsi"/>
          <w:sz w:val="24"/>
          <w:szCs w:val="24"/>
        </w:rPr>
        <w:t>,</w:t>
      </w:r>
      <w:r w:rsidRPr="005E7525">
        <w:rPr>
          <w:rFonts w:asciiTheme="minorHAnsi" w:hAnsiTheme="minorHAnsi" w:cstheme="minorHAnsi"/>
          <w:sz w:val="24"/>
          <w:szCs w:val="24"/>
        </w:rPr>
        <w:t xml:space="preserve"> a</w:t>
      </w:r>
      <w:r w:rsidR="008605F4">
        <w:rPr>
          <w:rFonts w:asciiTheme="minorHAnsi" w:hAnsiTheme="minorHAnsi" w:cstheme="minorHAnsi"/>
          <w:sz w:val="24"/>
          <w:szCs w:val="24"/>
        </w:rPr>
        <w:t> rovněž bylo ověřováno,</w:t>
      </w:r>
      <w:r w:rsidRPr="005E7525">
        <w:rPr>
          <w:rFonts w:asciiTheme="minorHAnsi" w:hAnsiTheme="minorHAnsi" w:cstheme="minorHAnsi"/>
          <w:sz w:val="24"/>
          <w:szCs w:val="24"/>
        </w:rPr>
        <w:t xml:space="preserve"> </w:t>
      </w:r>
      <w:r w:rsidR="00857F25" w:rsidRPr="005E7525">
        <w:rPr>
          <w:rFonts w:asciiTheme="minorHAnsi" w:hAnsiTheme="minorHAnsi" w:cstheme="minorHAnsi"/>
          <w:sz w:val="24"/>
          <w:szCs w:val="24"/>
        </w:rPr>
        <w:t>zda</w:t>
      </w:r>
      <w:r w:rsidR="0088058C" w:rsidRPr="005E7525">
        <w:rPr>
          <w:rFonts w:asciiTheme="minorHAnsi" w:hAnsiTheme="minorHAnsi" w:cstheme="minorHAnsi"/>
          <w:sz w:val="24"/>
          <w:szCs w:val="24"/>
        </w:rPr>
        <w:t xml:space="preserve"> tyto</w:t>
      </w:r>
      <w:r w:rsidR="00857F25" w:rsidRPr="005E7525">
        <w:rPr>
          <w:rFonts w:asciiTheme="minorHAnsi" w:hAnsiTheme="minorHAnsi" w:cstheme="minorHAnsi"/>
          <w:sz w:val="24"/>
          <w:szCs w:val="24"/>
        </w:rPr>
        <w:t xml:space="preserve"> </w:t>
      </w:r>
      <w:r w:rsidRPr="005E7525">
        <w:rPr>
          <w:rFonts w:asciiTheme="minorHAnsi" w:hAnsiTheme="minorHAnsi" w:cstheme="minorHAnsi"/>
          <w:sz w:val="24"/>
          <w:szCs w:val="24"/>
        </w:rPr>
        <w:t>prostředky</w:t>
      </w:r>
      <w:r w:rsidR="0088058C" w:rsidRPr="005E7525">
        <w:rPr>
          <w:rFonts w:asciiTheme="minorHAnsi" w:hAnsiTheme="minorHAnsi" w:cstheme="minorHAnsi"/>
          <w:sz w:val="24"/>
          <w:szCs w:val="24"/>
        </w:rPr>
        <w:t xml:space="preserve"> byly</w:t>
      </w:r>
      <w:r w:rsidRPr="005E7525">
        <w:rPr>
          <w:rFonts w:asciiTheme="minorHAnsi" w:hAnsiTheme="minorHAnsi" w:cstheme="minorHAnsi"/>
          <w:sz w:val="24"/>
          <w:szCs w:val="24"/>
        </w:rPr>
        <w:t xml:space="preserve"> </w:t>
      </w:r>
      <w:r w:rsidR="0000030A" w:rsidRPr="005E7525">
        <w:rPr>
          <w:rFonts w:asciiTheme="minorHAnsi" w:hAnsiTheme="minorHAnsi" w:cstheme="minorHAnsi"/>
          <w:sz w:val="24"/>
          <w:szCs w:val="24"/>
        </w:rPr>
        <w:t xml:space="preserve">čerpány </w:t>
      </w:r>
      <w:r w:rsidRPr="005E7525">
        <w:rPr>
          <w:rFonts w:asciiTheme="minorHAnsi" w:hAnsiTheme="minorHAnsi" w:cstheme="minorHAnsi"/>
          <w:sz w:val="24"/>
          <w:szCs w:val="24"/>
        </w:rPr>
        <w:t>hospodárně</w:t>
      </w:r>
      <w:r w:rsidR="0088058C" w:rsidRPr="005E7525">
        <w:rPr>
          <w:rFonts w:asciiTheme="minorHAnsi" w:hAnsiTheme="minorHAnsi" w:cstheme="minorHAnsi"/>
          <w:sz w:val="24"/>
          <w:szCs w:val="24"/>
        </w:rPr>
        <w:t>, účelně</w:t>
      </w:r>
      <w:r w:rsidRPr="005E7525">
        <w:rPr>
          <w:rFonts w:asciiTheme="minorHAnsi" w:hAnsiTheme="minorHAnsi" w:cstheme="minorHAnsi"/>
          <w:sz w:val="24"/>
          <w:szCs w:val="24"/>
        </w:rPr>
        <w:t xml:space="preserve"> a v souladu s právními předpisy. </w:t>
      </w:r>
    </w:p>
    <w:p w:rsidR="00C03697" w:rsidRPr="005E7525" w:rsidRDefault="002C761F" w:rsidP="005E7525">
      <w:pPr>
        <w:pStyle w:val="Default"/>
        <w:spacing w:after="120"/>
        <w:jc w:val="both"/>
        <w:rPr>
          <w:rFonts w:asciiTheme="minorHAnsi" w:hAnsiTheme="minorHAnsi" w:cstheme="minorHAnsi"/>
          <w:b/>
        </w:rPr>
      </w:pPr>
      <w:r w:rsidRPr="005E7525">
        <w:rPr>
          <w:rFonts w:asciiTheme="minorHAnsi" w:hAnsiTheme="minorHAnsi" w:cstheme="minorHAnsi"/>
          <w:b/>
        </w:rPr>
        <w:t>Objem kontrolovaných peněžních prostředků činil celkem 1 432 674 752,19 Kč, z toho 1 123 369 764,96 Kč z </w:t>
      </w:r>
      <w:r w:rsidR="0033293D" w:rsidRPr="005E7525">
        <w:rPr>
          <w:rFonts w:asciiTheme="minorHAnsi" w:hAnsiTheme="minorHAnsi" w:cstheme="minorHAnsi"/>
          <w:b/>
        </w:rPr>
        <w:t>EFRR</w:t>
      </w:r>
      <w:r w:rsidRPr="005E7525">
        <w:rPr>
          <w:rFonts w:asciiTheme="minorHAnsi" w:hAnsiTheme="minorHAnsi" w:cstheme="minorHAnsi"/>
          <w:b/>
        </w:rPr>
        <w:t>.</w:t>
      </w:r>
    </w:p>
    <w:p w:rsidR="005D418B" w:rsidRPr="005E7525" w:rsidRDefault="002C761F" w:rsidP="005E7525">
      <w:pPr>
        <w:pStyle w:val="Default"/>
        <w:spacing w:after="120"/>
        <w:jc w:val="both"/>
        <w:rPr>
          <w:rFonts w:asciiTheme="minorHAnsi" w:hAnsiTheme="minorHAnsi"/>
        </w:rPr>
      </w:pPr>
      <w:r w:rsidRPr="005E7525">
        <w:rPr>
          <w:rFonts w:asciiTheme="minorHAnsi" w:hAnsiTheme="minorHAnsi"/>
          <w:b/>
        </w:rPr>
        <w:t>Ke kontrole</w:t>
      </w:r>
      <w:r w:rsidRPr="005E7525">
        <w:rPr>
          <w:rFonts w:asciiTheme="minorHAnsi" w:hAnsiTheme="minorHAnsi"/>
        </w:rPr>
        <w:t xml:space="preserve"> </w:t>
      </w:r>
      <w:r w:rsidRPr="005E7525">
        <w:rPr>
          <w:rFonts w:asciiTheme="minorHAnsi" w:hAnsiTheme="minorHAnsi"/>
          <w:b/>
        </w:rPr>
        <w:t xml:space="preserve">na </w:t>
      </w:r>
      <w:proofErr w:type="spellStart"/>
      <w:r w:rsidRPr="005E7525">
        <w:rPr>
          <w:rFonts w:asciiTheme="minorHAnsi" w:hAnsiTheme="minorHAnsi"/>
          <w:b/>
        </w:rPr>
        <w:t>MZ</w:t>
      </w:r>
      <w:r w:rsidR="002213FA" w:rsidRPr="005E7525">
        <w:rPr>
          <w:rFonts w:asciiTheme="minorHAnsi" w:hAnsiTheme="minorHAnsi"/>
          <w:b/>
        </w:rPr>
        <w:t>d</w:t>
      </w:r>
      <w:proofErr w:type="spellEnd"/>
      <w:r w:rsidRPr="005E7525">
        <w:rPr>
          <w:rFonts w:asciiTheme="minorHAnsi" w:hAnsiTheme="minorHAnsi"/>
        </w:rPr>
        <w:t xml:space="preserve"> byly vybrány </w:t>
      </w:r>
      <w:r w:rsidR="008605F4">
        <w:rPr>
          <w:rFonts w:asciiTheme="minorHAnsi" w:hAnsiTheme="minorHAnsi"/>
          <w:b/>
        </w:rPr>
        <w:t>čtyři</w:t>
      </w:r>
      <w:r w:rsidRPr="005E7525">
        <w:rPr>
          <w:rFonts w:asciiTheme="minorHAnsi" w:hAnsiTheme="minorHAnsi"/>
          <w:b/>
        </w:rPr>
        <w:t xml:space="preserve"> finančně </w:t>
      </w:r>
      <w:r w:rsidR="00FC18A1" w:rsidRPr="005E7525">
        <w:rPr>
          <w:rFonts w:asciiTheme="minorHAnsi" w:hAnsiTheme="minorHAnsi"/>
          <w:b/>
        </w:rPr>
        <w:t>významné</w:t>
      </w:r>
      <w:r w:rsidRPr="005E7525">
        <w:rPr>
          <w:rFonts w:asciiTheme="minorHAnsi" w:hAnsiTheme="minorHAnsi"/>
          <w:b/>
        </w:rPr>
        <w:t xml:space="preserve"> ukončené stavební akce</w:t>
      </w:r>
      <w:r w:rsidRPr="005E7525">
        <w:rPr>
          <w:rStyle w:val="Znakapoznpodarou"/>
          <w:rFonts w:asciiTheme="minorHAnsi" w:hAnsiTheme="minorHAnsi"/>
        </w:rPr>
        <w:footnoteReference w:id="13"/>
      </w:r>
      <w:r w:rsidRPr="005E7525">
        <w:rPr>
          <w:rFonts w:asciiTheme="minorHAnsi" w:hAnsiTheme="minorHAnsi"/>
        </w:rPr>
        <w:t xml:space="preserve"> z </w:t>
      </w:r>
      <w:r w:rsidR="00102462" w:rsidRPr="005E7525">
        <w:rPr>
          <w:rFonts w:asciiTheme="minorHAnsi" w:hAnsiTheme="minorHAnsi"/>
        </w:rPr>
        <w:t>p</w:t>
      </w:r>
      <w:r w:rsidRPr="005E7525">
        <w:rPr>
          <w:rFonts w:asciiTheme="minorHAnsi" w:hAnsiTheme="minorHAnsi"/>
        </w:rPr>
        <w:t xml:space="preserve">rogramu </w:t>
      </w:r>
      <w:r w:rsidR="00FC18A1" w:rsidRPr="005E7525">
        <w:rPr>
          <w:rFonts w:asciiTheme="minorHAnsi" w:hAnsiTheme="minorHAnsi"/>
        </w:rPr>
        <w:t xml:space="preserve">rozvoje a obnovy </w:t>
      </w:r>
      <w:r w:rsidRPr="005E7525">
        <w:rPr>
          <w:rFonts w:asciiTheme="minorHAnsi" w:hAnsiTheme="minorHAnsi"/>
        </w:rPr>
        <w:t xml:space="preserve">a </w:t>
      </w:r>
      <w:r w:rsidR="008605F4">
        <w:rPr>
          <w:rFonts w:asciiTheme="minorHAnsi" w:hAnsiTheme="minorHAnsi"/>
          <w:b/>
        </w:rPr>
        <w:t>dva</w:t>
      </w:r>
      <w:r w:rsidRPr="005E7525">
        <w:rPr>
          <w:rFonts w:asciiTheme="minorHAnsi" w:hAnsiTheme="minorHAnsi"/>
          <w:b/>
        </w:rPr>
        <w:t xml:space="preserve"> finančně </w:t>
      </w:r>
      <w:r w:rsidR="00FC18A1" w:rsidRPr="005E7525">
        <w:rPr>
          <w:rFonts w:asciiTheme="minorHAnsi" w:hAnsiTheme="minorHAnsi"/>
          <w:b/>
        </w:rPr>
        <w:t>nejvýznamnější</w:t>
      </w:r>
      <w:r w:rsidRPr="005E7525">
        <w:rPr>
          <w:rFonts w:asciiTheme="minorHAnsi" w:hAnsiTheme="minorHAnsi"/>
          <w:b/>
        </w:rPr>
        <w:t xml:space="preserve"> projekty</w:t>
      </w:r>
      <w:r w:rsidRPr="005E7525">
        <w:rPr>
          <w:rStyle w:val="Znakapoznpodarou"/>
          <w:rFonts w:asciiTheme="minorHAnsi" w:hAnsiTheme="minorHAnsi"/>
        </w:rPr>
        <w:footnoteReference w:id="14"/>
      </w:r>
      <w:r w:rsidRPr="005E7525">
        <w:rPr>
          <w:rFonts w:asciiTheme="minorHAnsi" w:hAnsiTheme="minorHAnsi"/>
        </w:rPr>
        <w:t xml:space="preserve">, které </w:t>
      </w:r>
      <w:r w:rsidR="002213FA" w:rsidRPr="005E7525">
        <w:rPr>
          <w:rFonts w:asciiTheme="minorHAnsi" w:hAnsiTheme="minorHAnsi"/>
        </w:rPr>
        <w:t>byly</w:t>
      </w:r>
      <w:r w:rsidRPr="005E7525">
        <w:rPr>
          <w:rFonts w:asciiTheme="minorHAnsi" w:hAnsiTheme="minorHAnsi"/>
        </w:rPr>
        <w:t xml:space="preserve"> </w:t>
      </w:r>
      <w:r w:rsidR="00247520" w:rsidRPr="005E7525">
        <w:rPr>
          <w:rFonts w:asciiTheme="minorHAnsi" w:hAnsiTheme="minorHAnsi"/>
        </w:rPr>
        <w:t xml:space="preserve">v oblasti intervence </w:t>
      </w:r>
      <w:r w:rsidR="009206C4" w:rsidRPr="005E7525">
        <w:rPr>
          <w:rFonts w:asciiTheme="minorHAnsi" w:hAnsiTheme="minorHAnsi"/>
        </w:rPr>
        <w:t>SC</w:t>
      </w:r>
      <w:r w:rsidR="00612D8E" w:rsidRPr="005E7525">
        <w:rPr>
          <w:rFonts w:asciiTheme="minorHAnsi" w:hAnsiTheme="minorHAnsi"/>
        </w:rPr>
        <w:t> </w:t>
      </w:r>
      <w:r w:rsidR="00247520" w:rsidRPr="005E7525">
        <w:rPr>
          <w:rFonts w:asciiTheme="minorHAnsi" w:hAnsiTheme="minorHAnsi"/>
        </w:rPr>
        <w:t xml:space="preserve">2.3 z výzvy č. 54 a </w:t>
      </w:r>
      <w:r w:rsidR="006E7875" w:rsidRPr="005E7525">
        <w:rPr>
          <w:rFonts w:asciiTheme="minorHAnsi" w:hAnsiTheme="minorHAnsi"/>
        </w:rPr>
        <w:t xml:space="preserve">výzvy </w:t>
      </w:r>
      <w:r w:rsidR="00247520" w:rsidRPr="005E7525">
        <w:rPr>
          <w:rFonts w:asciiTheme="minorHAnsi" w:hAnsiTheme="minorHAnsi"/>
        </w:rPr>
        <w:t xml:space="preserve">č. 75 </w:t>
      </w:r>
      <w:r w:rsidRPr="005E7525">
        <w:rPr>
          <w:rFonts w:asciiTheme="minorHAnsi" w:hAnsiTheme="minorHAnsi"/>
        </w:rPr>
        <w:t xml:space="preserve">předfinancovány </w:t>
      </w:r>
      <w:proofErr w:type="spellStart"/>
      <w:r w:rsidRPr="005E7525">
        <w:rPr>
          <w:rFonts w:asciiTheme="minorHAnsi" w:hAnsiTheme="minorHAnsi"/>
        </w:rPr>
        <w:t>MZ</w:t>
      </w:r>
      <w:r w:rsidR="002213FA" w:rsidRPr="005E7525">
        <w:rPr>
          <w:rFonts w:asciiTheme="minorHAnsi" w:hAnsiTheme="minorHAnsi"/>
        </w:rPr>
        <w:t>d</w:t>
      </w:r>
      <w:proofErr w:type="spellEnd"/>
      <w:r w:rsidR="00247520" w:rsidRPr="005E7525">
        <w:rPr>
          <w:rFonts w:asciiTheme="minorHAnsi" w:hAnsiTheme="minorHAnsi"/>
        </w:rPr>
        <w:t>.</w:t>
      </w:r>
    </w:p>
    <w:p w:rsidR="00763750" w:rsidRPr="005E7525" w:rsidRDefault="002C761F" w:rsidP="005E7525">
      <w:pPr>
        <w:pStyle w:val="Default"/>
        <w:spacing w:after="120"/>
        <w:jc w:val="both"/>
        <w:rPr>
          <w:rFonts w:asciiTheme="minorHAnsi" w:hAnsiTheme="minorHAnsi"/>
          <w:sz w:val="23"/>
          <w:szCs w:val="23"/>
        </w:rPr>
      </w:pPr>
      <w:r w:rsidRPr="005E7525">
        <w:rPr>
          <w:rFonts w:asciiTheme="minorHAnsi" w:hAnsiTheme="minorHAnsi"/>
          <w:b/>
        </w:rPr>
        <w:t xml:space="preserve">Ke kontrole na MMR bylo vybráno </w:t>
      </w:r>
      <w:r w:rsidR="002213FA" w:rsidRPr="005E7525">
        <w:rPr>
          <w:rFonts w:asciiTheme="minorHAnsi" w:hAnsiTheme="minorHAnsi"/>
          <w:b/>
        </w:rPr>
        <w:t xml:space="preserve">celkem </w:t>
      </w:r>
      <w:r w:rsidR="008605F4">
        <w:rPr>
          <w:rFonts w:asciiTheme="minorHAnsi" w:hAnsiTheme="minorHAnsi"/>
          <w:b/>
        </w:rPr>
        <w:t>šest</w:t>
      </w:r>
      <w:r w:rsidRPr="005E7525">
        <w:rPr>
          <w:rFonts w:asciiTheme="minorHAnsi" w:hAnsiTheme="minorHAnsi"/>
          <w:b/>
        </w:rPr>
        <w:t xml:space="preserve"> projektů</w:t>
      </w:r>
      <w:r w:rsidRPr="005E7525">
        <w:rPr>
          <w:rStyle w:val="Znakapoznpodarou"/>
          <w:rFonts w:asciiTheme="minorHAnsi" w:hAnsiTheme="minorHAnsi"/>
          <w:b/>
        </w:rPr>
        <w:footnoteReference w:id="15"/>
      </w:r>
      <w:r w:rsidRPr="005E7525">
        <w:rPr>
          <w:rFonts w:asciiTheme="minorHAnsi" w:hAnsiTheme="minorHAnsi"/>
          <w:b/>
        </w:rPr>
        <w:t>.</w:t>
      </w:r>
      <w:r w:rsidRPr="005E7525">
        <w:rPr>
          <w:rFonts w:asciiTheme="minorHAnsi" w:hAnsiTheme="minorHAnsi"/>
        </w:rPr>
        <w:t xml:space="preserve"> Projekty byly vybírány s ohledem na</w:t>
      </w:r>
      <w:r w:rsidR="00170E1E" w:rsidRPr="005E7525">
        <w:rPr>
          <w:rFonts w:asciiTheme="minorHAnsi" w:hAnsiTheme="minorHAnsi"/>
        </w:rPr>
        <w:t> </w:t>
      </w:r>
      <w:r w:rsidRPr="005E7525">
        <w:rPr>
          <w:rFonts w:asciiTheme="minorHAnsi" w:hAnsiTheme="minorHAnsi"/>
        </w:rPr>
        <w:t>různý typ příjemců podpory (státní příspěvková organizace, příspěvková organizac</w:t>
      </w:r>
      <w:r w:rsidR="005D418B" w:rsidRPr="005E7525">
        <w:rPr>
          <w:rFonts w:asciiTheme="minorHAnsi" w:hAnsiTheme="minorHAnsi"/>
        </w:rPr>
        <w:t>e zřízená územním samosprávným celkem, akciová společnost, společnost s ručením omezeným</w:t>
      </w:r>
      <w:r w:rsidR="002213FA" w:rsidRPr="005E7525">
        <w:rPr>
          <w:rFonts w:asciiTheme="minorHAnsi" w:hAnsiTheme="minorHAnsi"/>
        </w:rPr>
        <w:t>)</w:t>
      </w:r>
      <w:r w:rsidR="005D418B" w:rsidRPr="005E7525">
        <w:rPr>
          <w:rFonts w:asciiTheme="minorHAnsi" w:hAnsiTheme="minorHAnsi"/>
        </w:rPr>
        <w:t xml:space="preserve"> a dále </w:t>
      </w:r>
      <w:r w:rsidR="0072606F" w:rsidRPr="005E7525">
        <w:rPr>
          <w:rFonts w:asciiTheme="minorHAnsi" w:hAnsiTheme="minorHAnsi"/>
        </w:rPr>
        <w:t>dle</w:t>
      </w:r>
      <w:r w:rsidR="005D418B" w:rsidRPr="005E7525">
        <w:rPr>
          <w:rFonts w:asciiTheme="minorHAnsi" w:hAnsiTheme="minorHAnsi"/>
        </w:rPr>
        <w:t xml:space="preserve"> míst</w:t>
      </w:r>
      <w:r w:rsidR="0072606F" w:rsidRPr="005E7525">
        <w:rPr>
          <w:rFonts w:asciiTheme="minorHAnsi" w:hAnsiTheme="minorHAnsi"/>
        </w:rPr>
        <w:t>a</w:t>
      </w:r>
      <w:r w:rsidR="005D418B" w:rsidRPr="005E7525">
        <w:rPr>
          <w:rFonts w:asciiTheme="minorHAnsi" w:hAnsiTheme="minorHAnsi"/>
        </w:rPr>
        <w:t xml:space="preserve"> realizace projektu – vybrané projekty jsou realizovány v různých krajích ČR. Tři</w:t>
      </w:r>
      <w:r w:rsidR="00642C69" w:rsidRPr="005E7525">
        <w:rPr>
          <w:rFonts w:asciiTheme="minorHAnsi" w:hAnsiTheme="minorHAnsi"/>
        </w:rPr>
        <w:t> </w:t>
      </w:r>
      <w:r w:rsidR="005D418B" w:rsidRPr="005E7525">
        <w:rPr>
          <w:rFonts w:asciiTheme="minorHAnsi" w:hAnsiTheme="minorHAnsi"/>
        </w:rPr>
        <w:t xml:space="preserve">projekty z kontrolního vzorku byly podpořeny v rámci výzvy č. 54 a tři </w:t>
      </w:r>
      <w:r w:rsidR="00FC18A1" w:rsidRPr="005E7525">
        <w:rPr>
          <w:rFonts w:asciiTheme="minorHAnsi" w:hAnsiTheme="minorHAnsi"/>
        </w:rPr>
        <w:t xml:space="preserve">projekty </w:t>
      </w:r>
      <w:r w:rsidR="005D418B" w:rsidRPr="005E7525">
        <w:rPr>
          <w:rFonts w:asciiTheme="minorHAnsi" w:hAnsiTheme="minorHAnsi"/>
        </w:rPr>
        <w:t>v rámci výzvy č.</w:t>
      </w:r>
      <w:r w:rsidR="00020DD7" w:rsidRPr="005E7525">
        <w:rPr>
          <w:rFonts w:asciiTheme="minorHAnsi" w:hAnsiTheme="minorHAnsi"/>
        </w:rPr>
        <w:t> </w:t>
      </w:r>
      <w:r w:rsidR="005D418B" w:rsidRPr="005E7525">
        <w:rPr>
          <w:rFonts w:asciiTheme="minorHAnsi" w:hAnsiTheme="minorHAnsi"/>
        </w:rPr>
        <w:t xml:space="preserve">75. U dvou finančně </w:t>
      </w:r>
      <w:r w:rsidR="00FC18A1" w:rsidRPr="005E7525">
        <w:rPr>
          <w:rFonts w:asciiTheme="minorHAnsi" w:hAnsiTheme="minorHAnsi"/>
        </w:rPr>
        <w:t>nejvýznamnějších</w:t>
      </w:r>
      <w:r w:rsidR="005D418B" w:rsidRPr="005E7525">
        <w:rPr>
          <w:rFonts w:asciiTheme="minorHAnsi" w:hAnsiTheme="minorHAnsi"/>
        </w:rPr>
        <w:t xml:space="preserve"> projektů nebyla realizace v době kontroly</w:t>
      </w:r>
      <w:r w:rsidR="00FC18A1" w:rsidRPr="005E7525">
        <w:rPr>
          <w:rFonts w:asciiTheme="minorHAnsi" w:hAnsiTheme="minorHAnsi"/>
        </w:rPr>
        <w:t xml:space="preserve"> NKÚ</w:t>
      </w:r>
      <w:r w:rsidR="005D418B" w:rsidRPr="005E7525">
        <w:rPr>
          <w:rFonts w:asciiTheme="minorHAnsi" w:hAnsiTheme="minorHAnsi"/>
        </w:rPr>
        <w:t xml:space="preserve"> ukončena.</w:t>
      </w:r>
    </w:p>
    <w:p w:rsidR="00C22FB2" w:rsidRPr="005E7525" w:rsidRDefault="002C761F" w:rsidP="005E7525">
      <w:pPr>
        <w:shd w:val="clear" w:color="auto" w:fill="FFFFFF"/>
        <w:spacing w:before="158"/>
        <w:ind w:left="567" w:hanging="567"/>
        <w:rPr>
          <w:rFonts w:asciiTheme="minorHAnsi" w:eastAsia="Times New Roman" w:hAnsiTheme="minorHAnsi" w:cstheme="minorHAnsi"/>
          <w:color w:val="000000" w:themeColor="text1"/>
          <w:spacing w:val="-8"/>
          <w:sz w:val="22"/>
          <w:szCs w:val="22"/>
        </w:rPr>
      </w:pPr>
      <w:r w:rsidRPr="005E7525">
        <w:rPr>
          <w:rFonts w:asciiTheme="minorHAnsi" w:hAnsiTheme="minorHAnsi" w:cstheme="minorHAnsi"/>
          <w:b/>
          <w:bCs/>
          <w:color w:val="000000" w:themeColor="text1"/>
        </w:rPr>
        <w:t xml:space="preserve">Pozn.: </w:t>
      </w:r>
      <w:r w:rsidRPr="005E7525">
        <w:rPr>
          <w:rFonts w:asciiTheme="minorHAnsi" w:hAnsiTheme="minorHAnsi" w:cstheme="minorHAnsi"/>
          <w:color w:val="000000" w:themeColor="text1"/>
        </w:rPr>
        <w:t>Právní předpisy uvedené v tomto kontrolním závěru jsou aplikovány ve znění účinném pro kontrolované období.</w:t>
      </w:r>
    </w:p>
    <w:p w:rsidR="00246D13" w:rsidRPr="00A06497" w:rsidRDefault="002C761F" w:rsidP="00A06497">
      <w:pPr>
        <w:keepNext/>
        <w:shd w:val="clear" w:color="auto" w:fill="FFFFFF"/>
        <w:spacing w:before="600" w:after="240"/>
        <w:jc w:val="center"/>
        <w:rPr>
          <w:rFonts w:ascii="Calibri" w:hAnsi="Calibri" w:cs="Calibri"/>
          <w:sz w:val="28"/>
          <w:szCs w:val="28"/>
        </w:rPr>
      </w:pPr>
      <w:r w:rsidRPr="00A06497">
        <w:rPr>
          <w:rFonts w:ascii="Calibri" w:hAnsi="Calibri" w:cs="Calibri"/>
          <w:b/>
          <w:bCs/>
          <w:sz w:val="28"/>
          <w:szCs w:val="28"/>
        </w:rPr>
        <w:t>IV. Podrobné skutečnosti zjištěné kontrolou</w:t>
      </w:r>
    </w:p>
    <w:p w:rsidR="009B4929" w:rsidRPr="00A06497" w:rsidRDefault="002C761F" w:rsidP="00895A0D">
      <w:pPr>
        <w:keepNext/>
        <w:widowControl/>
        <w:tabs>
          <w:tab w:val="left" w:pos="0"/>
        </w:tabs>
        <w:autoSpaceDE/>
        <w:autoSpaceDN/>
        <w:adjustRightInd/>
        <w:spacing w:before="240" w:after="120"/>
        <w:jc w:val="both"/>
        <w:rPr>
          <w:rFonts w:ascii="Calibri" w:hAnsi="Calibri" w:cs="Calibri"/>
          <w:b/>
          <w:sz w:val="24"/>
          <w:szCs w:val="24"/>
          <w:lang w:eastAsia="en-US"/>
        </w:rPr>
      </w:pPr>
      <w:bookmarkStart w:id="2" w:name="_Hlk96351665"/>
      <w:r w:rsidRPr="00A06497">
        <w:rPr>
          <w:rFonts w:ascii="Calibri" w:hAnsi="Calibri" w:cs="Calibri"/>
          <w:b/>
          <w:sz w:val="24"/>
          <w:szCs w:val="24"/>
          <w:lang w:eastAsia="en-US"/>
        </w:rPr>
        <w:t xml:space="preserve">1. </w:t>
      </w:r>
      <w:r w:rsidR="00AA5C2E" w:rsidRPr="00A06497">
        <w:rPr>
          <w:rFonts w:ascii="Calibri" w:hAnsi="Calibri" w:cs="Calibri"/>
          <w:b/>
          <w:sz w:val="24"/>
          <w:szCs w:val="24"/>
          <w:lang w:eastAsia="en-US"/>
        </w:rPr>
        <w:t>N</w:t>
      </w:r>
      <w:r w:rsidRPr="00A06497">
        <w:rPr>
          <w:rFonts w:ascii="Calibri" w:hAnsi="Calibri" w:cs="Calibri"/>
          <w:b/>
          <w:sz w:val="24"/>
          <w:szCs w:val="24"/>
          <w:lang w:eastAsia="en-US"/>
        </w:rPr>
        <w:t xml:space="preserve">astavení indikátorů </w:t>
      </w:r>
      <w:r w:rsidR="00AA5C2E" w:rsidRPr="00A06497">
        <w:rPr>
          <w:rFonts w:ascii="Calibri" w:hAnsi="Calibri" w:cs="Calibri"/>
          <w:b/>
          <w:sz w:val="24"/>
          <w:szCs w:val="24"/>
          <w:lang w:eastAsia="en-US"/>
        </w:rPr>
        <w:t xml:space="preserve">MMR </w:t>
      </w:r>
      <w:r w:rsidRPr="00A06497">
        <w:rPr>
          <w:rFonts w:ascii="Calibri" w:hAnsi="Calibri" w:cs="Calibri"/>
          <w:b/>
          <w:sz w:val="24"/>
          <w:szCs w:val="24"/>
          <w:lang w:eastAsia="en-US"/>
        </w:rPr>
        <w:t>v rámci programov</w:t>
      </w:r>
      <w:r w:rsidR="00A14755" w:rsidRPr="00A06497">
        <w:rPr>
          <w:rFonts w:ascii="Calibri" w:hAnsi="Calibri" w:cs="Calibri"/>
          <w:b/>
          <w:sz w:val="24"/>
          <w:szCs w:val="24"/>
          <w:lang w:eastAsia="en-US"/>
        </w:rPr>
        <w:t>ého</w:t>
      </w:r>
      <w:r w:rsidRPr="00A06497">
        <w:rPr>
          <w:rFonts w:ascii="Calibri" w:hAnsi="Calibri" w:cs="Calibri"/>
          <w:b/>
          <w:sz w:val="24"/>
          <w:szCs w:val="24"/>
          <w:lang w:eastAsia="en-US"/>
        </w:rPr>
        <w:t xml:space="preserve"> dokument</w:t>
      </w:r>
      <w:r w:rsidR="00914912">
        <w:rPr>
          <w:rFonts w:ascii="Calibri" w:hAnsi="Calibri" w:cs="Calibri"/>
          <w:b/>
          <w:sz w:val="24"/>
          <w:szCs w:val="24"/>
          <w:lang w:eastAsia="en-US"/>
        </w:rPr>
        <w:t>u</w:t>
      </w:r>
      <w:r w:rsidRPr="00A06497">
        <w:rPr>
          <w:rFonts w:ascii="Calibri" w:hAnsi="Calibri" w:cs="Calibri"/>
          <w:b/>
          <w:sz w:val="24"/>
          <w:szCs w:val="24"/>
          <w:lang w:eastAsia="en-US"/>
        </w:rPr>
        <w:t xml:space="preserve"> IROP</w:t>
      </w:r>
    </w:p>
    <w:p w:rsidR="00B202F6" w:rsidRPr="00A06497" w:rsidRDefault="002C761F" w:rsidP="00A06497">
      <w:pPr>
        <w:widowControl/>
        <w:tabs>
          <w:tab w:val="left" w:pos="0"/>
        </w:tabs>
        <w:autoSpaceDE/>
        <w:autoSpaceDN/>
        <w:adjustRightInd/>
        <w:spacing w:after="120"/>
        <w:jc w:val="both"/>
        <w:rPr>
          <w:rFonts w:ascii="Calibri" w:eastAsiaTheme="minorHAnsi" w:hAnsi="Calibri" w:cs="Calibri"/>
          <w:b/>
          <w:bCs/>
          <w:color w:val="000000"/>
          <w:sz w:val="24"/>
          <w:szCs w:val="24"/>
          <w:lang w:eastAsia="en-US"/>
        </w:rPr>
      </w:pPr>
      <w:r w:rsidRPr="00A06497">
        <w:rPr>
          <w:rFonts w:ascii="Calibri" w:eastAsiaTheme="minorHAnsi" w:hAnsi="Calibri" w:cs="Calibri"/>
          <w:color w:val="000000"/>
          <w:sz w:val="24"/>
          <w:szCs w:val="24"/>
          <w:lang w:eastAsia="en-US"/>
        </w:rPr>
        <w:t xml:space="preserve">V rámci </w:t>
      </w:r>
      <w:r w:rsidR="0000030A" w:rsidRPr="00A06497">
        <w:rPr>
          <w:rFonts w:ascii="Calibri" w:eastAsiaTheme="minorHAnsi" w:hAnsi="Calibri" w:cs="Calibri"/>
          <w:color w:val="000000"/>
          <w:sz w:val="24"/>
          <w:szCs w:val="24"/>
          <w:lang w:eastAsia="en-US"/>
        </w:rPr>
        <w:t>programového</w:t>
      </w:r>
      <w:r w:rsidR="0064525C" w:rsidRPr="00A06497">
        <w:rPr>
          <w:rFonts w:ascii="Calibri" w:eastAsiaTheme="minorHAnsi" w:hAnsi="Calibri" w:cs="Calibri"/>
          <w:color w:val="000000"/>
          <w:sz w:val="24"/>
          <w:szCs w:val="24"/>
          <w:lang w:eastAsia="en-US"/>
        </w:rPr>
        <w:t xml:space="preserve"> dokumentu</w:t>
      </w:r>
      <w:r w:rsidR="0000030A" w:rsidRPr="00A06497">
        <w:rPr>
          <w:rFonts w:ascii="Calibri" w:eastAsiaTheme="minorHAnsi" w:hAnsi="Calibri" w:cs="Calibri"/>
          <w:color w:val="000000"/>
          <w:sz w:val="24"/>
          <w:szCs w:val="24"/>
          <w:lang w:eastAsia="en-US"/>
        </w:rPr>
        <w:t xml:space="preserve"> </w:t>
      </w:r>
      <w:r w:rsidRPr="00A06497">
        <w:rPr>
          <w:rFonts w:ascii="Calibri" w:eastAsiaTheme="minorHAnsi" w:hAnsi="Calibri" w:cs="Calibri"/>
          <w:color w:val="000000"/>
          <w:sz w:val="24"/>
          <w:szCs w:val="24"/>
          <w:lang w:eastAsia="en-US"/>
        </w:rPr>
        <w:t>IROP</w:t>
      </w:r>
      <w:r w:rsidR="0000030A" w:rsidRPr="00A06497">
        <w:rPr>
          <w:rFonts w:ascii="Calibri" w:eastAsiaTheme="minorHAnsi" w:hAnsi="Calibri" w:cs="Calibri"/>
          <w:color w:val="000000"/>
          <w:sz w:val="24"/>
          <w:szCs w:val="24"/>
          <w:lang w:eastAsia="en-US"/>
        </w:rPr>
        <w:t xml:space="preserve"> (dále také „PD IROP)</w:t>
      </w:r>
      <w:r w:rsidRPr="00A06497">
        <w:rPr>
          <w:rFonts w:ascii="Calibri" w:eastAsiaTheme="minorHAnsi" w:hAnsi="Calibri" w:cs="Calibri"/>
          <w:color w:val="000000"/>
          <w:sz w:val="24"/>
          <w:szCs w:val="24"/>
          <w:lang w:eastAsia="en-US"/>
        </w:rPr>
        <w:t xml:space="preserve"> byl pro oblast </w:t>
      </w:r>
      <w:proofErr w:type="spellStart"/>
      <w:r w:rsidRPr="00A06497">
        <w:rPr>
          <w:rFonts w:ascii="Calibri" w:eastAsiaTheme="minorHAnsi" w:hAnsi="Calibri" w:cs="Calibri"/>
          <w:color w:val="000000"/>
          <w:sz w:val="24"/>
          <w:szCs w:val="24"/>
          <w:lang w:eastAsia="en-US"/>
        </w:rPr>
        <w:t>deinstitucionalizace</w:t>
      </w:r>
      <w:proofErr w:type="spellEnd"/>
      <w:r w:rsidRPr="00A06497">
        <w:rPr>
          <w:rFonts w:ascii="Calibri" w:eastAsiaTheme="minorHAnsi" w:hAnsi="Calibri" w:cs="Calibri"/>
          <w:color w:val="000000"/>
          <w:sz w:val="24"/>
          <w:szCs w:val="24"/>
          <w:lang w:eastAsia="en-US"/>
        </w:rPr>
        <w:t xml:space="preserve"> psychiatrické péče jako jediný specifický programový indikátor výsledku podle SC 2.3 stanoven indikátor </w:t>
      </w:r>
      <w:r w:rsidRPr="00A06497">
        <w:rPr>
          <w:rFonts w:ascii="Calibri" w:eastAsiaTheme="minorHAnsi" w:hAnsi="Calibri" w:cs="Calibri"/>
          <w:b/>
          <w:i/>
          <w:color w:val="000000"/>
          <w:sz w:val="24"/>
          <w:szCs w:val="24"/>
          <w:lang w:eastAsia="en-US"/>
        </w:rPr>
        <w:t>5</w:t>
      </w:r>
      <w:r w:rsidRPr="00A06497">
        <w:rPr>
          <w:rFonts w:ascii="Calibri" w:eastAsiaTheme="minorHAnsi" w:hAnsi="Calibri" w:cs="Calibri"/>
          <w:b/>
          <w:i/>
          <w:iCs/>
          <w:color w:val="000000"/>
          <w:sz w:val="24"/>
          <w:szCs w:val="24"/>
          <w:lang w:eastAsia="en-US"/>
        </w:rPr>
        <w:t> 74 10</w:t>
      </w:r>
      <w:r w:rsidR="00730F4E" w:rsidRPr="00A06497">
        <w:rPr>
          <w:rFonts w:ascii="Calibri" w:eastAsia="Times New Roman" w:hAnsi="Calibri" w:cs="Calibri"/>
          <w:b/>
          <w:i/>
          <w:sz w:val="24"/>
          <w:szCs w:val="24"/>
          <w:lang w:eastAsia="en-US"/>
        </w:rPr>
        <w:t> –</w:t>
      </w:r>
      <w:r w:rsidR="006D00DB">
        <w:rPr>
          <w:rFonts w:ascii="Calibri" w:eastAsiaTheme="minorHAnsi" w:hAnsi="Calibri" w:cs="Calibri"/>
          <w:b/>
          <w:i/>
          <w:iCs/>
          <w:color w:val="000000"/>
          <w:sz w:val="24"/>
          <w:szCs w:val="24"/>
          <w:lang w:eastAsia="en-US"/>
        </w:rPr>
        <w:t xml:space="preserve"> </w:t>
      </w:r>
      <w:r w:rsidRPr="00A06497">
        <w:rPr>
          <w:rFonts w:ascii="Calibri" w:eastAsiaTheme="minorHAnsi" w:hAnsi="Calibri" w:cs="Calibri"/>
          <w:b/>
          <w:i/>
          <w:iCs/>
          <w:color w:val="000000"/>
          <w:sz w:val="24"/>
          <w:szCs w:val="24"/>
          <w:lang w:eastAsia="en-US"/>
        </w:rPr>
        <w:t>Průměrná</w:t>
      </w:r>
      <w:r w:rsidR="006D00DB">
        <w:rPr>
          <w:rFonts w:ascii="Calibri" w:eastAsiaTheme="minorHAnsi" w:hAnsi="Calibri" w:cs="Calibri"/>
          <w:b/>
          <w:i/>
          <w:iCs/>
          <w:color w:val="000000"/>
          <w:sz w:val="24"/>
          <w:szCs w:val="24"/>
          <w:lang w:eastAsia="en-US"/>
        </w:rPr>
        <w:t xml:space="preserve"> </w:t>
      </w:r>
      <w:r w:rsidRPr="00A06497">
        <w:rPr>
          <w:rFonts w:ascii="Calibri" w:eastAsiaTheme="minorHAnsi" w:hAnsi="Calibri" w:cs="Calibri"/>
          <w:b/>
          <w:i/>
          <w:iCs/>
          <w:color w:val="000000"/>
          <w:sz w:val="24"/>
          <w:szCs w:val="24"/>
          <w:lang w:eastAsia="en-US"/>
        </w:rPr>
        <w:t>délka hospitalizace v institucích dlouhodobé psychiatrické péče</w:t>
      </w:r>
      <w:r w:rsidRPr="000955B0">
        <w:rPr>
          <w:rFonts w:ascii="Calibri" w:eastAsiaTheme="minorHAnsi" w:hAnsi="Calibri" w:cs="Calibri"/>
          <w:b/>
          <w:i/>
          <w:iCs/>
          <w:color w:val="000000"/>
          <w:sz w:val="24"/>
          <w:szCs w:val="24"/>
          <w:lang w:eastAsia="en-US"/>
        </w:rPr>
        <w:t>.</w:t>
      </w:r>
      <w:r w:rsidRPr="00A06497">
        <w:rPr>
          <w:rFonts w:ascii="Calibri" w:eastAsiaTheme="minorHAnsi" w:hAnsi="Calibri" w:cs="Calibri"/>
          <w:i/>
          <w:iCs/>
          <w:color w:val="000000"/>
          <w:sz w:val="24"/>
          <w:szCs w:val="24"/>
          <w:lang w:eastAsia="en-US"/>
        </w:rPr>
        <w:t xml:space="preserve"> </w:t>
      </w:r>
    </w:p>
    <w:p w:rsidR="00B202F6" w:rsidRPr="00A06497" w:rsidRDefault="002C761F" w:rsidP="00A06497">
      <w:pPr>
        <w:widowControl/>
        <w:spacing w:after="120"/>
        <w:jc w:val="both"/>
        <w:rPr>
          <w:rFonts w:ascii="Calibri" w:eastAsiaTheme="minorHAnsi" w:hAnsi="Calibri" w:cs="Calibri"/>
          <w:color w:val="000000"/>
          <w:sz w:val="24"/>
          <w:szCs w:val="24"/>
          <w:lang w:eastAsia="en-US"/>
        </w:rPr>
      </w:pPr>
      <w:r w:rsidRPr="00A06497">
        <w:rPr>
          <w:rFonts w:ascii="Calibri" w:eastAsiaTheme="minorHAnsi" w:hAnsi="Calibri" w:cs="Calibri"/>
          <w:color w:val="000000"/>
          <w:sz w:val="24"/>
          <w:szCs w:val="24"/>
          <w:lang w:eastAsia="en-US"/>
        </w:rPr>
        <w:t xml:space="preserve">Dle PD IROP jsou hlavní cílovou skupinou podpory IROP zacílené na </w:t>
      </w:r>
      <w:proofErr w:type="spellStart"/>
      <w:r w:rsidRPr="00A06497">
        <w:rPr>
          <w:rFonts w:ascii="Calibri" w:eastAsiaTheme="minorHAnsi" w:hAnsi="Calibri" w:cs="Calibri"/>
          <w:color w:val="000000"/>
          <w:sz w:val="24"/>
          <w:szCs w:val="24"/>
          <w:lang w:eastAsia="en-US"/>
        </w:rPr>
        <w:t>deinstitucionalizaci</w:t>
      </w:r>
      <w:proofErr w:type="spellEnd"/>
      <w:r w:rsidRPr="00A06497">
        <w:rPr>
          <w:rFonts w:ascii="Calibri" w:eastAsiaTheme="minorHAnsi" w:hAnsi="Calibri" w:cs="Calibri"/>
          <w:color w:val="000000"/>
          <w:sz w:val="24"/>
          <w:szCs w:val="24"/>
          <w:lang w:eastAsia="en-US"/>
        </w:rPr>
        <w:t xml:space="preserve"> psychiatrické péče </w:t>
      </w:r>
      <w:r w:rsidRPr="00A06497">
        <w:rPr>
          <w:rFonts w:ascii="Calibri" w:eastAsiaTheme="minorHAnsi" w:hAnsi="Calibri" w:cs="Calibri"/>
          <w:i/>
          <w:iCs/>
          <w:color w:val="000000"/>
          <w:sz w:val="24"/>
          <w:szCs w:val="24"/>
          <w:lang w:eastAsia="en-US"/>
        </w:rPr>
        <w:t>osoby s duševními poruchami a poruchami chování a jejich rodiny</w:t>
      </w:r>
      <w:r w:rsidRPr="00A06497">
        <w:rPr>
          <w:rFonts w:ascii="Calibri" w:eastAsiaTheme="minorHAnsi" w:hAnsi="Calibri" w:cs="Calibri"/>
          <w:color w:val="000000"/>
          <w:sz w:val="24"/>
          <w:szCs w:val="24"/>
          <w:lang w:eastAsia="en-US"/>
        </w:rPr>
        <w:t xml:space="preserve">. Sledovaná hodnota výsledkového indikátoru představuje </w:t>
      </w:r>
      <w:r w:rsidR="00DE040A" w:rsidRPr="00A06497">
        <w:rPr>
          <w:rFonts w:ascii="Calibri" w:eastAsiaTheme="minorHAnsi" w:hAnsi="Calibri" w:cs="Calibri"/>
          <w:color w:val="000000"/>
          <w:sz w:val="24"/>
          <w:szCs w:val="24"/>
          <w:lang w:eastAsia="en-US"/>
        </w:rPr>
        <w:t>d</w:t>
      </w:r>
      <w:r w:rsidRPr="00A06497">
        <w:rPr>
          <w:rFonts w:ascii="Calibri" w:eastAsiaTheme="minorHAnsi" w:hAnsi="Calibri" w:cs="Calibri"/>
          <w:color w:val="000000"/>
          <w:sz w:val="24"/>
          <w:szCs w:val="24"/>
          <w:lang w:eastAsia="en-US"/>
        </w:rPr>
        <w:t xml:space="preserve">le sdělení MMR pouze počet osob </w:t>
      </w:r>
      <w:r w:rsidRPr="00A06497">
        <w:rPr>
          <w:rFonts w:ascii="Calibri" w:eastAsiaTheme="minorHAnsi" w:hAnsi="Calibri" w:cs="Calibri"/>
          <w:color w:val="000000"/>
          <w:sz w:val="24"/>
          <w:szCs w:val="24"/>
          <w:lang w:eastAsia="en-US"/>
        </w:rPr>
        <w:lastRenderedPageBreak/>
        <w:t xml:space="preserve">hospitalizovaných s diagnózou ze skupiny F20-F29 (schizofrenie), který tvořil necelou pětinu z celkového počtu hospitalizací. </w:t>
      </w:r>
      <w:r w:rsidRPr="00A06497">
        <w:rPr>
          <w:rFonts w:ascii="Calibri" w:eastAsiaTheme="minorHAnsi" w:hAnsi="Calibri" w:cs="Calibri"/>
          <w:b/>
          <w:color w:val="000000"/>
          <w:sz w:val="24"/>
          <w:szCs w:val="24"/>
          <w:lang w:eastAsia="en-US"/>
        </w:rPr>
        <w:t>MMR</w:t>
      </w:r>
      <w:r w:rsidR="005F36EC" w:rsidRPr="00A06497">
        <w:rPr>
          <w:rFonts w:ascii="Calibri" w:eastAsiaTheme="minorHAnsi" w:hAnsi="Calibri" w:cs="Calibri"/>
          <w:b/>
          <w:color w:val="000000"/>
          <w:sz w:val="24"/>
          <w:szCs w:val="24"/>
          <w:lang w:eastAsia="en-US"/>
        </w:rPr>
        <w:t xml:space="preserve"> nezajistilo dostatečnou vypovídací schopnost indikátoru o dosažené změně, neboť</w:t>
      </w:r>
      <w:r w:rsidRPr="00A06497">
        <w:rPr>
          <w:rFonts w:ascii="Calibri" w:eastAsiaTheme="minorHAnsi" w:hAnsi="Calibri" w:cs="Calibri"/>
          <w:b/>
          <w:color w:val="000000"/>
          <w:sz w:val="24"/>
          <w:szCs w:val="24"/>
          <w:lang w:eastAsia="en-US"/>
        </w:rPr>
        <w:t xml:space="preserve"> sleduje data pouze pro úzce vymezenou část cílové skupiny. </w:t>
      </w:r>
    </w:p>
    <w:p w:rsidR="009B4929" w:rsidRPr="00A06497" w:rsidRDefault="002C761F" w:rsidP="00A06497">
      <w:pPr>
        <w:widowControl/>
        <w:spacing w:after="120"/>
        <w:jc w:val="both"/>
        <w:rPr>
          <w:rFonts w:ascii="Calibri" w:eastAsiaTheme="minorHAnsi" w:hAnsi="Calibri" w:cs="Calibri"/>
          <w:b/>
          <w:bCs/>
          <w:color w:val="000000"/>
          <w:sz w:val="24"/>
          <w:szCs w:val="24"/>
          <w:lang w:eastAsia="en-US"/>
        </w:rPr>
      </w:pPr>
      <w:r w:rsidRPr="00A06497">
        <w:rPr>
          <w:rFonts w:ascii="Calibri" w:eastAsiaTheme="minorHAnsi" w:hAnsi="Calibri" w:cs="Calibri"/>
          <w:color w:val="000000"/>
          <w:sz w:val="24"/>
          <w:szCs w:val="24"/>
          <w:lang w:eastAsia="en-US"/>
        </w:rPr>
        <w:t xml:space="preserve">Cílem IROP v oblasti </w:t>
      </w:r>
      <w:proofErr w:type="spellStart"/>
      <w:r w:rsidRPr="00A06497">
        <w:rPr>
          <w:rFonts w:ascii="Calibri" w:eastAsiaTheme="minorHAnsi" w:hAnsi="Calibri" w:cs="Calibri"/>
          <w:color w:val="000000"/>
          <w:sz w:val="24"/>
          <w:szCs w:val="24"/>
          <w:lang w:eastAsia="en-US"/>
        </w:rPr>
        <w:t>deinstitucionalizace</w:t>
      </w:r>
      <w:proofErr w:type="spellEnd"/>
      <w:r w:rsidRPr="00A06497">
        <w:rPr>
          <w:rFonts w:ascii="Calibri" w:eastAsiaTheme="minorHAnsi" w:hAnsi="Calibri" w:cs="Calibri"/>
          <w:color w:val="000000"/>
          <w:sz w:val="24"/>
          <w:szCs w:val="24"/>
          <w:lang w:eastAsia="en-US"/>
        </w:rPr>
        <w:t xml:space="preserve"> psychiatrické péče je </w:t>
      </w:r>
      <w:r w:rsidRPr="00A06497">
        <w:rPr>
          <w:rFonts w:ascii="Calibri" w:eastAsiaTheme="minorHAnsi" w:hAnsi="Calibri" w:cs="Calibri"/>
          <w:bCs/>
          <w:i/>
          <w:iCs/>
          <w:color w:val="000000"/>
          <w:sz w:val="24"/>
          <w:szCs w:val="24"/>
          <w:lang w:eastAsia="en-US"/>
        </w:rPr>
        <w:t>zvýšení dostupnosti a kvality psychiatrické péče změnou organizace jejího poskytování a zvýšení úspěšnosti začleňování duševně nemocných do společnosti</w:t>
      </w:r>
      <w:r w:rsidRPr="00A06497">
        <w:rPr>
          <w:rFonts w:ascii="Calibri" w:eastAsiaTheme="minorHAnsi" w:hAnsi="Calibri" w:cs="Calibri"/>
          <w:bCs/>
          <w:iCs/>
          <w:color w:val="000000"/>
          <w:sz w:val="24"/>
          <w:szCs w:val="24"/>
          <w:lang w:eastAsia="en-US"/>
        </w:rPr>
        <w:t>.</w:t>
      </w:r>
      <w:r w:rsidRPr="000955B0">
        <w:rPr>
          <w:rFonts w:ascii="Calibri" w:eastAsiaTheme="minorHAnsi" w:hAnsi="Calibri" w:cs="Calibri"/>
          <w:bCs/>
          <w:iCs/>
          <w:color w:val="000000"/>
          <w:sz w:val="24"/>
          <w:szCs w:val="24"/>
          <w:lang w:eastAsia="en-US"/>
        </w:rPr>
        <w:t xml:space="preserve"> </w:t>
      </w:r>
      <w:r w:rsidRPr="00A06497">
        <w:rPr>
          <w:rFonts w:ascii="Calibri" w:eastAsiaTheme="minorHAnsi" w:hAnsi="Calibri" w:cs="Calibri"/>
          <w:color w:val="000000"/>
          <w:sz w:val="24"/>
          <w:szCs w:val="24"/>
          <w:lang w:eastAsia="en-US"/>
        </w:rPr>
        <w:t xml:space="preserve">V případě </w:t>
      </w:r>
      <w:r w:rsidR="00DE040A" w:rsidRPr="00A06497">
        <w:rPr>
          <w:rFonts w:ascii="Calibri" w:eastAsiaTheme="minorHAnsi" w:hAnsi="Calibri" w:cs="Calibri"/>
          <w:color w:val="000000"/>
          <w:sz w:val="24"/>
          <w:szCs w:val="24"/>
          <w:lang w:eastAsia="en-US"/>
        </w:rPr>
        <w:t xml:space="preserve">tohoto </w:t>
      </w:r>
      <w:r w:rsidRPr="00A06497">
        <w:rPr>
          <w:rFonts w:ascii="Calibri" w:eastAsiaTheme="minorHAnsi" w:hAnsi="Calibri" w:cs="Calibri"/>
          <w:color w:val="000000"/>
          <w:sz w:val="24"/>
          <w:szCs w:val="24"/>
          <w:lang w:eastAsia="en-US"/>
        </w:rPr>
        <w:t>jediného specifického programového indikátoru výsledku není zřejmá přímá vazba na stanovený cíl IROP. Vytváření nových či</w:t>
      </w:r>
      <w:r w:rsidR="00612D8E" w:rsidRPr="00A06497">
        <w:rPr>
          <w:rFonts w:ascii="Calibri" w:eastAsiaTheme="minorHAnsi" w:hAnsi="Calibri" w:cs="Calibri"/>
          <w:color w:val="000000"/>
          <w:sz w:val="24"/>
          <w:szCs w:val="24"/>
          <w:lang w:eastAsia="en-US"/>
        </w:rPr>
        <w:t> </w:t>
      </w:r>
      <w:r w:rsidRPr="00A06497">
        <w:rPr>
          <w:rFonts w:ascii="Calibri" w:eastAsiaTheme="minorHAnsi" w:hAnsi="Calibri" w:cs="Calibri"/>
          <w:color w:val="000000"/>
          <w:sz w:val="24"/>
          <w:szCs w:val="24"/>
          <w:lang w:eastAsia="en-US"/>
        </w:rPr>
        <w:t xml:space="preserve">modernizovaných kapacit jak v rámci </w:t>
      </w:r>
      <w:r w:rsidR="008F3003" w:rsidRPr="00A06497">
        <w:rPr>
          <w:rFonts w:ascii="Calibri" w:eastAsiaTheme="minorHAnsi" w:hAnsi="Calibri" w:cs="Calibri"/>
          <w:color w:val="000000"/>
          <w:sz w:val="24"/>
          <w:szCs w:val="24"/>
          <w:lang w:eastAsia="en-US"/>
        </w:rPr>
        <w:t>CDZ</w:t>
      </w:r>
      <w:r w:rsidRPr="00A06497">
        <w:rPr>
          <w:rFonts w:ascii="Calibri" w:eastAsiaTheme="minorHAnsi" w:hAnsi="Calibri" w:cs="Calibri"/>
          <w:color w:val="000000"/>
          <w:sz w:val="24"/>
          <w:szCs w:val="24"/>
          <w:lang w:eastAsia="en-US"/>
        </w:rPr>
        <w:t xml:space="preserve">, tak v rámci psychiatrických oddělení nemocnic, na něž je podpora </w:t>
      </w:r>
      <w:r w:rsidR="00312C2D" w:rsidRPr="00A06497">
        <w:rPr>
          <w:rFonts w:ascii="Calibri" w:eastAsiaTheme="minorHAnsi" w:hAnsi="Calibri" w:cs="Calibri"/>
          <w:color w:val="000000"/>
          <w:sz w:val="24"/>
          <w:szCs w:val="24"/>
          <w:lang w:eastAsia="en-US"/>
        </w:rPr>
        <w:t>zacílena</w:t>
      </w:r>
      <w:r w:rsidRPr="00A06497">
        <w:rPr>
          <w:rFonts w:ascii="Calibri" w:eastAsiaTheme="minorHAnsi" w:hAnsi="Calibri" w:cs="Calibri"/>
          <w:color w:val="000000"/>
          <w:sz w:val="24"/>
          <w:szCs w:val="24"/>
          <w:lang w:eastAsia="en-US"/>
        </w:rPr>
        <w:t>, nemusí hrát významnou či žádnou roli při snižování délky pobytu pacientů na lůžkách dlouhodobé péče</w:t>
      </w:r>
      <w:r w:rsidRPr="00A06497">
        <w:rPr>
          <w:rStyle w:val="Znakapoznpodarou"/>
          <w:rFonts w:ascii="Calibri" w:eastAsiaTheme="minorHAnsi" w:hAnsi="Calibri" w:cs="Calibri"/>
          <w:color w:val="000000"/>
          <w:sz w:val="24"/>
          <w:szCs w:val="24"/>
          <w:lang w:eastAsia="en-US"/>
        </w:rPr>
        <w:footnoteReference w:id="16"/>
      </w:r>
      <w:r w:rsidRPr="00A06497">
        <w:rPr>
          <w:rFonts w:ascii="Calibri" w:eastAsiaTheme="minorHAnsi" w:hAnsi="Calibri" w:cs="Calibri"/>
          <w:color w:val="000000"/>
          <w:sz w:val="24"/>
          <w:szCs w:val="24"/>
          <w:lang w:eastAsia="en-US"/>
        </w:rPr>
        <w:t xml:space="preserve">. Podpora poskytovaná prostřednictvím IROP by měla směřovat ke zvýšení kvality a dostupnosti služeb pro všechny pacienty s psychiatrickou diagnózou. </w:t>
      </w:r>
      <w:r w:rsidRPr="00A06497">
        <w:rPr>
          <w:rFonts w:ascii="Calibri" w:eastAsiaTheme="minorHAnsi" w:hAnsi="Calibri" w:cs="Calibri"/>
          <w:bCs/>
          <w:color w:val="000000"/>
          <w:sz w:val="24"/>
          <w:szCs w:val="24"/>
          <w:lang w:eastAsia="en-US"/>
        </w:rPr>
        <w:t>Tím, že</w:t>
      </w:r>
      <w:r w:rsidRPr="00A06497">
        <w:rPr>
          <w:rFonts w:ascii="Calibri" w:eastAsiaTheme="minorHAnsi" w:hAnsi="Calibri" w:cs="Calibri"/>
          <w:b/>
          <w:bCs/>
          <w:color w:val="000000"/>
          <w:sz w:val="24"/>
          <w:szCs w:val="24"/>
          <w:lang w:eastAsia="en-US"/>
        </w:rPr>
        <w:t xml:space="preserve"> MMR </w:t>
      </w:r>
      <w:r w:rsidRPr="00A06497">
        <w:rPr>
          <w:rFonts w:ascii="Calibri" w:eastAsiaTheme="minorHAnsi" w:hAnsi="Calibri" w:cs="Calibri"/>
          <w:bCs/>
          <w:color w:val="000000"/>
          <w:sz w:val="24"/>
          <w:szCs w:val="24"/>
          <w:lang w:eastAsia="en-US"/>
        </w:rPr>
        <w:t>nastavilo pouze jediný specifický programový indikátor výsledku a</w:t>
      </w:r>
      <w:r w:rsidR="00612D8E" w:rsidRPr="00A06497">
        <w:rPr>
          <w:rFonts w:ascii="Calibri" w:eastAsiaTheme="minorHAnsi" w:hAnsi="Calibri" w:cs="Calibri"/>
          <w:bCs/>
          <w:color w:val="000000"/>
          <w:sz w:val="24"/>
          <w:szCs w:val="24"/>
          <w:lang w:eastAsia="en-US"/>
        </w:rPr>
        <w:t> </w:t>
      </w:r>
      <w:r w:rsidRPr="00A06497">
        <w:rPr>
          <w:rFonts w:ascii="Calibri" w:eastAsiaTheme="minorHAnsi" w:hAnsi="Calibri" w:cs="Calibri"/>
          <w:bCs/>
          <w:color w:val="000000"/>
          <w:sz w:val="24"/>
          <w:szCs w:val="24"/>
          <w:lang w:eastAsia="en-US"/>
        </w:rPr>
        <w:t>v</w:t>
      </w:r>
      <w:r w:rsidR="00612D8E" w:rsidRPr="00A06497">
        <w:rPr>
          <w:rFonts w:ascii="Calibri" w:eastAsiaTheme="minorHAnsi" w:hAnsi="Calibri" w:cs="Calibri"/>
          <w:bCs/>
          <w:color w:val="000000"/>
          <w:sz w:val="24"/>
          <w:szCs w:val="24"/>
          <w:lang w:eastAsia="en-US"/>
        </w:rPr>
        <w:t> </w:t>
      </w:r>
      <w:r w:rsidRPr="00A06497">
        <w:rPr>
          <w:rFonts w:ascii="Calibri" w:eastAsiaTheme="minorHAnsi" w:hAnsi="Calibri" w:cs="Calibri"/>
          <w:bCs/>
          <w:color w:val="000000"/>
          <w:sz w:val="24"/>
          <w:szCs w:val="24"/>
          <w:lang w:eastAsia="en-US"/>
        </w:rPr>
        <w:t>jeho rámci sleduje data pouze pro úzce vymezenou část cílové skupiny,</w:t>
      </w:r>
      <w:r w:rsidRPr="00A06497">
        <w:rPr>
          <w:rFonts w:ascii="Calibri" w:eastAsiaTheme="minorHAnsi" w:hAnsi="Calibri" w:cs="Calibri"/>
          <w:b/>
          <w:bCs/>
          <w:color w:val="000000"/>
          <w:sz w:val="24"/>
          <w:szCs w:val="24"/>
          <w:lang w:eastAsia="en-US"/>
        </w:rPr>
        <w:t xml:space="preserve"> nezajistilo, aby bylo možné dostatečně zhodnotit dopad, resp. účelnost poskytnuté podpory z IROP v oblasti reformy psychiatrické péče v České republice.</w:t>
      </w:r>
    </w:p>
    <w:p w:rsidR="00FA08E8" w:rsidRPr="00A06497" w:rsidRDefault="002C761F" w:rsidP="00895A0D">
      <w:pPr>
        <w:keepNext/>
        <w:widowControl/>
        <w:tabs>
          <w:tab w:val="left" w:pos="0"/>
        </w:tabs>
        <w:autoSpaceDE/>
        <w:autoSpaceDN/>
        <w:adjustRightInd/>
        <w:spacing w:before="240" w:after="120"/>
        <w:jc w:val="both"/>
        <w:rPr>
          <w:rFonts w:ascii="Calibri" w:hAnsi="Calibri" w:cs="Calibri"/>
          <w:b/>
          <w:sz w:val="24"/>
          <w:szCs w:val="24"/>
          <w:lang w:eastAsia="en-US"/>
        </w:rPr>
      </w:pPr>
      <w:r w:rsidRPr="00A06497">
        <w:rPr>
          <w:rFonts w:ascii="Calibri" w:hAnsi="Calibri" w:cs="Calibri"/>
          <w:b/>
          <w:sz w:val="24"/>
          <w:szCs w:val="24"/>
          <w:lang w:eastAsia="en-US"/>
        </w:rPr>
        <w:t>2</w:t>
      </w:r>
      <w:r w:rsidR="00F345F4" w:rsidRPr="00A06497">
        <w:rPr>
          <w:rFonts w:ascii="Calibri" w:hAnsi="Calibri" w:cs="Calibri"/>
          <w:b/>
          <w:sz w:val="24"/>
          <w:szCs w:val="24"/>
          <w:lang w:eastAsia="en-US"/>
        </w:rPr>
        <w:t xml:space="preserve">. </w:t>
      </w:r>
      <w:r w:rsidR="00A749A4" w:rsidRPr="00A06497">
        <w:rPr>
          <w:rFonts w:ascii="Calibri" w:hAnsi="Calibri" w:cs="Calibri"/>
          <w:b/>
          <w:sz w:val="24"/>
          <w:szCs w:val="24"/>
          <w:lang w:eastAsia="en-US"/>
        </w:rPr>
        <w:t>N</w:t>
      </w:r>
      <w:r w:rsidRPr="00A06497">
        <w:rPr>
          <w:rFonts w:ascii="Calibri" w:hAnsi="Calibri" w:cs="Calibri"/>
          <w:b/>
          <w:sz w:val="24"/>
          <w:szCs w:val="24"/>
          <w:lang w:eastAsia="en-US"/>
        </w:rPr>
        <w:t>astavení indikátorů v rámci výz</w:t>
      </w:r>
      <w:r w:rsidR="00ED2D99" w:rsidRPr="00A06497">
        <w:rPr>
          <w:rFonts w:ascii="Calibri" w:hAnsi="Calibri" w:cs="Calibri"/>
          <w:b/>
          <w:sz w:val="24"/>
          <w:szCs w:val="24"/>
          <w:lang w:eastAsia="en-US"/>
        </w:rPr>
        <w:t>vy č. 54 a výzvy č. 75</w:t>
      </w:r>
    </w:p>
    <w:p w:rsidR="005D15D9" w:rsidRPr="00A06497" w:rsidRDefault="002C761F" w:rsidP="00A06497">
      <w:pPr>
        <w:widowControl/>
        <w:spacing w:after="120"/>
        <w:jc w:val="both"/>
        <w:rPr>
          <w:rFonts w:ascii="Calibri" w:eastAsia="Times New Roman" w:hAnsi="Calibri" w:cs="Calibri"/>
          <w:sz w:val="24"/>
          <w:szCs w:val="24"/>
          <w:lang w:eastAsia="en-US"/>
        </w:rPr>
      </w:pPr>
      <w:r w:rsidRPr="00A06497">
        <w:rPr>
          <w:rFonts w:ascii="Calibri" w:eastAsia="Times New Roman" w:hAnsi="Calibri" w:cs="Calibri"/>
          <w:sz w:val="24"/>
          <w:szCs w:val="24"/>
          <w:lang w:eastAsia="en-US"/>
        </w:rPr>
        <w:t xml:space="preserve">V rámci výzvy č. 54 a výzvy č. 75 byl nastaven jediný indikátor výsledku, a sice </w:t>
      </w:r>
      <w:r w:rsidRPr="00A06497">
        <w:rPr>
          <w:rFonts w:ascii="Calibri" w:eastAsia="Times New Roman" w:hAnsi="Calibri" w:cs="Calibri"/>
          <w:b/>
          <w:i/>
          <w:sz w:val="24"/>
          <w:szCs w:val="24"/>
          <w:lang w:eastAsia="en-US"/>
        </w:rPr>
        <w:t>5</w:t>
      </w:r>
      <w:r w:rsidR="00642C69"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73</w:t>
      </w:r>
      <w:r w:rsidR="00642C69"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10</w:t>
      </w:r>
      <w:r w:rsidR="00642C69"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w:t>
      </w:r>
      <w:r w:rsidR="00642C69"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Kapacity poskytovatelů psychiatrické péče vytvořené nebo modernizované v</w:t>
      </w:r>
      <w:r w:rsidR="00642C69"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souvislosti s</w:t>
      </w:r>
      <w:r w:rsidR="00612D8E" w:rsidRPr="00A06497">
        <w:rPr>
          <w:rFonts w:ascii="Calibri" w:eastAsia="Times New Roman" w:hAnsi="Calibri" w:cs="Calibri"/>
          <w:b/>
          <w:i/>
          <w:sz w:val="24"/>
          <w:szCs w:val="24"/>
          <w:lang w:eastAsia="en-US"/>
        </w:rPr>
        <w:t> </w:t>
      </w:r>
      <w:r w:rsidRPr="00A06497">
        <w:rPr>
          <w:rFonts w:ascii="Calibri" w:eastAsia="Times New Roman" w:hAnsi="Calibri" w:cs="Calibri"/>
          <w:b/>
          <w:i/>
          <w:sz w:val="24"/>
          <w:szCs w:val="24"/>
          <w:lang w:eastAsia="en-US"/>
        </w:rPr>
        <w:t>reformou psychiatrické péče</w:t>
      </w:r>
      <w:r w:rsidRPr="00A06497">
        <w:rPr>
          <w:rFonts w:ascii="Calibri" w:eastAsia="Times New Roman" w:hAnsi="Calibri" w:cs="Calibri"/>
          <w:i/>
          <w:sz w:val="24"/>
          <w:szCs w:val="24"/>
          <w:lang w:eastAsia="en-US"/>
        </w:rPr>
        <w:t xml:space="preserve"> </w:t>
      </w:r>
      <w:r w:rsidRPr="00A06497">
        <w:rPr>
          <w:rFonts w:ascii="Calibri" w:eastAsia="Times New Roman" w:hAnsi="Calibri" w:cs="Calibri"/>
          <w:sz w:val="24"/>
          <w:szCs w:val="24"/>
          <w:lang w:eastAsia="en-US"/>
        </w:rPr>
        <w:t>(dále také „</w:t>
      </w:r>
      <w:bookmarkStart w:id="3" w:name="_Hlk98488077"/>
      <w:r w:rsidR="00DE040A" w:rsidRPr="00A06497">
        <w:rPr>
          <w:rFonts w:ascii="Calibri" w:eastAsia="Times New Roman" w:hAnsi="Calibri" w:cs="Calibri"/>
          <w:i/>
          <w:sz w:val="24"/>
          <w:szCs w:val="24"/>
          <w:lang w:eastAsia="en-US"/>
        </w:rPr>
        <w:t>k</w:t>
      </w:r>
      <w:r w:rsidRPr="00A06497">
        <w:rPr>
          <w:rFonts w:ascii="Calibri" w:eastAsia="Times New Roman" w:hAnsi="Calibri" w:cs="Calibri"/>
          <w:i/>
          <w:sz w:val="24"/>
          <w:szCs w:val="24"/>
          <w:lang w:eastAsia="en-US"/>
        </w:rPr>
        <w:t>apacity poskytovatelů</w:t>
      </w:r>
      <w:bookmarkEnd w:id="3"/>
      <w:r w:rsidRPr="00A06497">
        <w:rPr>
          <w:rFonts w:ascii="Calibri" w:hAnsi="Calibri" w:cs="Calibri"/>
        </w:rPr>
        <w:t xml:space="preserve"> </w:t>
      </w:r>
      <w:r w:rsidRPr="00A06497">
        <w:rPr>
          <w:rFonts w:ascii="Calibri" w:eastAsia="Times New Roman" w:hAnsi="Calibri" w:cs="Calibri"/>
          <w:i/>
          <w:sz w:val="24"/>
          <w:szCs w:val="24"/>
          <w:lang w:eastAsia="en-US"/>
        </w:rPr>
        <w:t>psychiatrické péče</w:t>
      </w:r>
      <w:r w:rsidRPr="00A06497">
        <w:rPr>
          <w:rFonts w:ascii="Calibri" w:eastAsia="Times New Roman" w:hAnsi="Calibri" w:cs="Calibri"/>
          <w:sz w:val="24"/>
          <w:szCs w:val="24"/>
          <w:lang w:eastAsia="en-US"/>
        </w:rPr>
        <w:t>“).</w:t>
      </w:r>
    </w:p>
    <w:p w:rsidR="005D15D9" w:rsidRPr="00A06497" w:rsidRDefault="002C761F" w:rsidP="00A06497">
      <w:pPr>
        <w:widowControl/>
        <w:spacing w:after="120"/>
        <w:jc w:val="both"/>
        <w:rPr>
          <w:rFonts w:ascii="Calibri" w:hAnsi="Calibri" w:cs="Calibri"/>
          <w:sz w:val="24"/>
          <w:szCs w:val="24"/>
          <w:lang w:eastAsia="en-US"/>
        </w:rPr>
      </w:pPr>
      <w:r w:rsidRPr="00A06497">
        <w:rPr>
          <w:rFonts w:ascii="Calibri" w:eastAsiaTheme="minorHAnsi" w:hAnsi="Calibri" w:cs="Calibri"/>
          <w:color w:val="000000"/>
          <w:sz w:val="24"/>
          <w:szCs w:val="24"/>
          <w:lang w:eastAsia="en-US"/>
        </w:rPr>
        <w:t xml:space="preserve">Přestože byl indikátor </w:t>
      </w:r>
      <w:bookmarkStart w:id="4" w:name="_Hlk98488336"/>
      <w:r w:rsidR="00DE040A" w:rsidRPr="00A06497">
        <w:rPr>
          <w:rFonts w:ascii="Calibri" w:eastAsiaTheme="minorHAnsi" w:hAnsi="Calibri" w:cs="Calibri"/>
          <w:i/>
          <w:color w:val="000000"/>
          <w:sz w:val="24"/>
          <w:szCs w:val="24"/>
          <w:lang w:eastAsia="en-US"/>
        </w:rPr>
        <w:t>k</w:t>
      </w:r>
      <w:r w:rsidRPr="00A06497">
        <w:rPr>
          <w:rFonts w:ascii="Calibri" w:eastAsiaTheme="minorHAnsi" w:hAnsi="Calibri" w:cs="Calibri"/>
          <w:i/>
          <w:iCs/>
          <w:color w:val="000000"/>
          <w:sz w:val="24"/>
          <w:szCs w:val="24"/>
          <w:lang w:eastAsia="en-US"/>
        </w:rPr>
        <w:t xml:space="preserve">apacity poskytovatelů </w:t>
      </w:r>
      <w:r w:rsidRPr="00A06497">
        <w:rPr>
          <w:rFonts w:ascii="Calibri" w:eastAsia="Times New Roman" w:hAnsi="Calibri" w:cs="Calibri"/>
          <w:i/>
          <w:sz w:val="24"/>
          <w:szCs w:val="24"/>
          <w:lang w:eastAsia="en-US"/>
        </w:rPr>
        <w:t>psychiatrické péče</w:t>
      </w:r>
      <w:bookmarkEnd w:id="4"/>
      <w:r w:rsidRPr="00A06497">
        <w:rPr>
          <w:rFonts w:ascii="Calibri" w:eastAsiaTheme="minorHAnsi" w:hAnsi="Calibri" w:cs="Calibri"/>
          <w:i/>
          <w:iCs/>
          <w:color w:val="000000"/>
          <w:sz w:val="24"/>
          <w:szCs w:val="24"/>
          <w:lang w:eastAsia="en-US"/>
        </w:rPr>
        <w:t xml:space="preserve"> </w:t>
      </w:r>
      <w:r w:rsidRPr="00A06497">
        <w:rPr>
          <w:rFonts w:ascii="Calibri" w:eastAsiaTheme="minorHAnsi" w:hAnsi="Calibri" w:cs="Calibri"/>
          <w:color w:val="000000"/>
          <w:sz w:val="24"/>
          <w:szCs w:val="24"/>
          <w:lang w:eastAsia="en-US"/>
        </w:rPr>
        <w:t>zařazen mezi indikátory výsledku, nelze jej za výsledkový indikátor považovat. Určení skutečného dopadu podpory na</w:t>
      </w:r>
      <w:r w:rsidR="00612D8E" w:rsidRPr="00A06497">
        <w:rPr>
          <w:rFonts w:ascii="Calibri" w:eastAsiaTheme="minorHAnsi" w:hAnsi="Calibri" w:cs="Calibri"/>
          <w:color w:val="000000"/>
          <w:sz w:val="24"/>
          <w:szCs w:val="24"/>
          <w:lang w:eastAsia="en-US"/>
        </w:rPr>
        <w:t> </w:t>
      </w:r>
      <w:r w:rsidRPr="00A06497">
        <w:rPr>
          <w:rFonts w:ascii="Calibri" w:eastAsiaTheme="minorHAnsi" w:hAnsi="Calibri" w:cs="Calibri"/>
          <w:color w:val="000000"/>
          <w:sz w:val="24"/>
          <w:szCs w:val="24"/>
          <w:lang w:eastAsia="en-US"/>
        </w:rPr>
        <w:t>cílovou skupinu, tj. na osoby s duševními poruchami a poruchami chování a jejich rodiny</w:t>
      </w:r>
      <w:r w:rsidR="00EA4287">
        <w:rPr>
          <w:rFonts w:ascii="Calibri" w:eastAsiaTheme="minorHAnsi" w:hAnsi="Calibri" w:cs="Calibri"/>
          <w:color w:val="000000"/>
          <w:sz w:val="24"/>
          <w:szCs w:val="24"/>
          <w:lang w:eastAsia="en-US"/>
        </w:rPr>
        <w:t>,</w:t>
      </w:r>
      <w:r w:rsidRPr="00A06497">
        <w:rPr>
          <w:rFonts w:ascii="Calibri" w:eastAsiaTheme="minorHAnsi" w:hAnsi="Calibri" w:cs="Calibri"/>
          <w:color w:val="000000"/>
          <w:sz w:val="24"/>
          <w:szCs w:val="24"/>
          <w:lang w:eastAsia="en-US"/>
        </w:rPr>
        <w:t xml:space="preserve"> z</w:t>
      </w:r>
      <w:r w:rsidR="00612D8E" w:rsidRPr="00A06497">
        <w:rPr>
          <w:rFonts w:ascii="Calibri" w:eastAsiaTheme="minorHAnsi" w:hAnsi="Calibri" w:cs="Calibri"/>
          <w:color w:val="000000"/>
          <w:sz w:val="24"/>
          <w:szCs w:val="24"/>
          <w:lang w:eastAsia="en-US"/>
        </w:rPr>
        <w:t> </w:t>
      </w:r>
      <w:r w:rsidRPr="00A06497">
        <w:rPr>
          <w:rFonts w:ascii="Calibri" w:eastAsiaTheme="minorHAnsi" w:hAnsi="Calibri" w:cs="Calibri"/>
          <w:color w:val="000000"/>
          <w:sz w:val="24"/>
          <w:szCs w:val="24"/>
          <w:lang w:eastAsia="en-US"/>
        </w:rPr>
        <w:t xml:space="preserve">takto nastaveného indikátoru není možné, protože jeho hodnoty udávají pouze potenciální kapacitu jednotlivých služeb, tedy okamžitý výstup realizace projektu, nikoliv jejich skutečné využití. </w:t>
      </w:r>
      <w:r w:rsidRPr="00A06497">
        <w:rPr>
          <w:rFonts w:ascii="Calibri" w:eastAsiaTheme="minorHAnsi" w:hAnsi="Calibri" w:cs="Calibri"/>
          <w:b/>
          <w:color w:val="000000"/>
          <w:sz w:val="24"/>
          <w:szCs w:val="24"/>
          <w:lang w:eastAsia="en-US"/>
        </w:rPr>
        <w:t xml:space="preserve">O zvýšení úspěšnosti začleňování duševně nemocných </w:t>
      </w:r>
      <w:r w:rsidR="00DE040A" w:rsidRPr="00A06497">
        <w:rPr>
          <w:rFonts w:ascii="Calibri" w:eastAsiaTheme="minorHAnsi" w:hAnsi="Calibri" w:cs="Calibri"/>
          <w:b/>
          <w:color w:val="000000"/>
          <w:sz w:val="24"/>
          <w:szCs w:val="24"/>
          <w:lang w:eastAsia="en-US"/>
        </w:rPr>
        <w:t xml:space="preserve">osob </w:t>
      </w:r>
      <w:r w:rsidRPr="00A06497">
        <w:rPr>
          <w:rFonts w:ascii="Calibri" w:eastAsiaTheme="minorHAnsi" w:hAnsi="Calibri" w:cs="Calibri"/>
          <w:b/>
          <w:color w:val="000000"/>
          <w:sz w:val="24"/>
          <w:szCs w:val="24"/>
          <w:lang w:eastAsia="en-US"/>
        </w:rPr>
        <w:t>do společnosti pak tento indikátor nevypovídá vůbec.</w:t>
      </w:r>
      <w:r w:rsidRPr="00A06497">
        <w:rPr>
          <w:rFonts w:ascii="Calibri" w:eastAsiaTheme="minorHAnsi" w:hAnsi="Calibri" w:cs="Calibri"/>
          <w:color w:val="000000"/>
          <w:sz w:val="24"/>
          <w:szCs w:val="24"/>
          <w:lang w:eastAsia="en-US"/>
        </w:rPr>
        <w:t xml:space="preserve"> </w:t>
      </w:r>
    </w:p>
    <w:p w:rsidR="005D15D9" w:rsidRPr="00A06497" w:rsidRDefault="002C761F" w:rsidP="00A06497">
      <w:pPr>
        <w:widowControl/>
        <w:tabs>
          <w:tab w:val="left" w:pos="0"/>
        </w:tabs>
        <w:autoSpaceDE/>
        <w:autoSpaceDN/>
        <w:adjustRightInd/>
        <w:spacing w:after="120"/>
        <w:jc w:val="both"/>
        <w:rPr>
          <w:rFonts w:ascii="Calibri" w:hAnsi="Calibri" w:cs="Calibri"/>
          <w:sz w:val="24"/>
          <w:szCs w:val="24"/>
          <w:lang w:eastAsia="en-US"/>
        </w:rPr>
      </w:pPr>
      <w:r w:rsidRPr="00A06497">
        <w:rPr>
          <w:rFonts w:ascii="Calibri" w:hAnsi="Calibri" w:cs="Calibri"/>
          <w:sz w:val="24"/>
          <w:szCs w:val="24"/>
          <w:lang w:eastAsia="en-US"/>
        </w:rPr>
        <w:t>Navíc v</w:t>
      </w:r>
      <w:r w:rsidR="0030425E" w:rsidRPr="00A06497">
        <w:rPr>
          <w:rFonts w:ascii="Calibri" w:hAnsi="Calibri" w:cs="Calibri"/>
          <w:sz w:val="24"/>
          <w:szCs w:val="24"/>
          <w:lang w:eastAsia="en-US"/>
        </w:rPr>
        <w:t> </w:t>
      </w:r>
      <w:r w:rsidRPr="00A06497">
        <w:rPr>
          <w:rFonts w:ascii="Calibri" w:hAnsi="Calibri" w:cs="Calibri"/>
          <w:sz w:val="24"/>
          <w:szCs w:val="24"/>
          <w:lang w:eastAsia="en-US"/>
        </w:rPr>
        <w:t>případě</w:t>
      </w:r>
      <w:r w:rsidR="0030425E" w:rsidRPr="00A06497">
        <w:rPr>
          <w:rFonts w:ascii="Calibri" w:hAnsi="Calibri" w:cs="Calibri"/>
          <w:sz w:val="24"/>
          <w:szCs w:val="24"/>
          <w:lang w:eastAsia="en-US"/>
        </w:rPr>
        <w:t xml:space="preserve"> jednoho</w:t>
      </w:r>
      <w:r w:rsidRPr="00A06497">
        <w:rPr>
          <w:rFonts w:ascii="Calibri" w:hAnsi="Calibri" w:cs="Calibri"/>
          <w:sz w:val="24"/>
          <w:szCs w:val="24"/>
          <w:lang w:eastAsia="en-US"/>
        </w:rPr>
        <w:t xml:space="preserve"> </w:t>
      </w:r>
      <w:r w:rsidR="00BE6787" w:rsidRPr="00A06497">
        <w:rPr>
          <w:rFonts w:ascii="Calibri" w:hAnsi="Calibri" w:cs="Calibri"/>
          <w:sz w:val="24"/>
          <w:szCs w:val="24"/>
          <w:lang w:eastAsia="en-US"/>
        </w:rPr>
        <w:t>projektu</w:t>
      </w:r>
      <w:r w:rsidR="00665BCE" w:rsidRPr="00A06497">
        <w:rPr>
          <w:rFonts w:ascii="Calibri" w:hAnsi="Calibri" w:cs="Calibri"/>
          <w:sz w:val="24"/>
          <w:szCs w:val="24"/>
          <w:lang w:eastAsia="en-US"/>
        </w:rPr>
        <w:t xml:space="preserve"> </w:t>
      </w:r>
      <w:r w:rsidRPr="00A06497">
        <w:rPr>
          <w:rFonts w:ascii="Calibri" w:hAnsi="Calibri" w:cs="Calibri"/>
          <w:sz w:val="24"/>
          <w:szCs w:val="24"/>
          <w:lang w:eastAsia="en-US"/>
        </w:rPr>
        <w:t>s</w:t>
      </w:r>
      <w:r w:rsidR="00115313" w:rsidRPr="00A06497">
        <w:rPr>
          <w:rFonts w:ascii="Calibri" w:hAnsi="Calibri" w:cs="Calibri"/>
          <w:sz w:val="24"/>
          <w:szCs w:val="24"/>
          <w:lang w:eastAsia="en-US"/>
        </w:rPr>
        <w:t xml:space="preserve"> celkovou </w:t>
      </w:r>
      <w:r w:rsidRPr="00A06497">
        <w:rPr>
          <w:rFonts w:ascii="Calibri" w:hAnsi="Calibri" w:cs="Calibri"/>
          <w:sz w:val="24"/>
          <w:szCs w:val="24"/>
          <w:lang w:eastAsia="en-US"/>
        </w:rPr>
        <w:t xml:space="preserve">výší </w:t>
      </w:r>
      <w:r w:rsidR="00115313" w:rsidRPr="00A06497">
        <w:rPr>
          <w:rFonts w:ascii="Calibri" w:hAnsi="Calibri" w:cs="Calibri"/>
          <w:sz w:val="24"/>
          <w:szCs w:val="24"/>
          <w:lang w:eastAsia="en-US"/>
        </w:rPr>
        <w:t>dotac</w:t>
      </w:r>
      <w:r w:rsidRPr="00A06497">
        <w:rPr>
          <w:rFonts w:ascii="Calibri" w:hAnsi="Calibri" w:cs="Calibri"/>
          <w:sz w:val="24"/>
          <w:szCs w:val="24"/>
          <w:lang w:eastAsia="en-US"/>
        </w:rPr>
        <w:t xml:space="preserve">e </w:t>
      </w:r>
      <w:r w:rsidR="00115313" w:rsidRPr="00A06497">
        <w:rPr>
          <w:rFonts w:ascii="Calibri" w:hAnsi="Calibri" w:cs="Calibri"/>
          <w:sz w:val="24"/>
          <w:szCs w:val="24"/>
          <w:lang w:eastAsia="en-US"/>
        </w:rPr>
        <w:t>5 856 988,75</w:t>
      </w:r>
      <w:r w:rsidRPr="00A06497">
        <w:rPr>
          <w:rFonts w:ascii="Calibri" w:hAnsi="Calibri" w:cs="Calibri"/>
          <w:sz w:val="24"/>
          <w:szCs w:val="24"/>
          <w:lang w:eastAsia="en-US"/>
        </w:rPr>
        <w:t xml:space="preserve"> Kč MMR vydalo řídicí dokumentaci, kde nestanovilo příjemci dotace cílovou hodnotu </w:t>
      </w:r>
      <w:r w:rsidRPr="00A06497">
        <w:rPr>
          <w:rFonts w:ascii="Calibri" w:eastAsiaTheme="minorHAnsi" w:hAnsi="Calibri" w:cs="Calibri"/>
          <w:sz w:val="24"/>
          <w:szCs w:val="24"/>
          <w:lang w:eastAsia="en-US"/>
        </w:rPr>
        <w:t xml:space="preserve">indikátoru </w:t>
      </w:r>
      <w:r w:rsidRPr="00A06497">
        <w:rPr>
          <w:rFonts w:ascii="Calibri" w:eastAsiaTheme="minorHAnsi" w:hAnsi="Calibri" w:cs="Calibri"/>
          <w:i/>
          <w:iCs/>
          <w:color w:val="000000"/>
          <w:sz w:val="24"/>
          <w:szCs w:val="24"/>
          <w:lang w:eastAsia="en-US"/>
        </w:rPr>
        <w:t xml:space="preserve">kapacity poskytovatelů </w:t>
      </w:r>
      <w:r w:rsidRPr="00A06497">
        <w:rPr>
          <w:rFonts w:ascii="Calibri" w:eastAsia="Times New Roman" w:hAnsi="Calibri" w:cs="Calibri"/>
          <w:i/>
          <w:sz w:val="24"/>
          <w:szCs w:val="24"/>
          <w:lang w:eastAsia="en-US"/>
        </w:rPr>
        <w:t>psychiatrické péče</w:t>
      </w:r>
      <w:r w:rsidRPr="00A06497">
        <w:rPr>
          <w:rFonts w:ascii="Calibri" w:eastAsiaTheme="minorHAnsi" w:hAnsi="Calibri" w:cs="Calibri"/>
          <w:iCs/>
          <w:sz w:val="24"/>
          <w:szCs w:val="24"/>
          <w:lang w:eastAsia="en-US"/>
        </w:rPr>
        <w:t>,</w:t>
      </w:r>
      <w:r w:rsidRPr="00A06497">
        <w:rPr>
          <w:rFonts w:ascii="Calibri" w:eastAsiaTheme="minorHAnsi" w:hAnsi="Calibri" w:cs="Calibri"/>
          <w:i/>
          <w:iCs/>
          <w:sz w:val="24"/>
          <w:szCs w:val="24"/>
          <w:lang w:eastAsia="en-US"/>
        </w:rPr>
        <w:t xml:space="preserve"> </w:t>
      </w:r>
      <w:r w:rsidRPr="00A06497">
        <w:rPr>
          <w:rFonts w:ascii="Calibri" w:eastAsiaTheme="minorHAnsi" w:hAnsi="Calibri" w:cs="Calibri"/>
          <w:iCs/>
          <w:sz w:val="24"/>
          <w:szCs w:val="24"/>
          <w:lang w:eastAsia="en-US"/>
        </w:rPr>
        <w:t>resp.</w:t>
      </w:r>
      <w:r w:rsidR="00612D8E" w:rsidRPr="00A06497">
        <w:rPr>
          <w:rFonts w:ascii="Calibri" w:eastAsiaTheme="minorHAnsi" w:hAnsi="Calibri" w:cs="Calibri"/>
          <w:iCs/>
          <w:sz w:val="24"/>
          <w:szCs w:val="24"/>
          <w:lang w:eastAsia="en-US"/>
        </w:rPr>
        <w:t> </w:t>
      </w:r>
      <w:r w:rsidRPr="00A06497">
        <w:rPr>
          <w:rFonts w:ascii="Calibri" w:eastAsiaTheme="minorHAnsi" w:hAnsi="Calibri" w:cs="Calibri"/>
          <w:iCs/>
          <w:sz w:val="24"/>
          <w:szCs w:val="24"/>
          <w:lang w:eastAsia="en-US"/>
        </w:rPr>
        <w:t>ji</w:t>
      </w:r>
      <w:r w:rsidR="00612D8E" w:rsidRPr="00A06497">
        <w:rPr>
          <w:rFonts w:ascii="Calibri" w:hAnsi="Calibri" w:cs="Calibri"/>
          <w:sz w:val="24"/>
          <w:szCs w:val="24"/>
          <w:lang w:eastAsia="en-US"/>
        </w:rPr>
        <w:t> </w:t>
      </w:r>
      <w:r w:rsidRPr="00A06497">
        <w:rPr>
          <w:rFonts w:ascii="Calibri" w:hAnsi="Calibri" w:cs="Calibri"/>
          <w:sz w:val="24"/>
          <w:szCs w:val="24"/>
          <w:lang w:eastAsia="en-US"/>
        </w:rPr>
        <w:t xml:space="preserve">stanovilo ve stejné výši jako výchozí hodnotu. </w:t>
      </w:r>
    </w:p>
    <w:p w:rsidR="009B4929" w:rsidRPr="00A06497" w:rsidRDefault="002C761F" w:rsidP="00A06497">
      <w:pPr>
        <w:widowControl/>
        <w:tabs>
          <w:tab w:val="left" w:pos="0"/>
        </w:tabs>
        <w:autoSpaceDE/>
        <w:autoSpaceDN/>
        <w:adjustRightInd/>
        <w:spacing w:after="120"/>
        <w:jc w:val="both"/>
        <w:rPr>
          <w:rFonts w:ascii="Calibri" w:eastAsiaTheme="minorHAnsi" w:hAnsi="Calibri" w:cs="Calibri"/>
          <w:b/>
          <w:bCs/>
          <w:color w:val="000000"/>
          <w:sz w:val="24"/>
          <w:szCs w:val="24"/>
          <w:lang w:eastAsia="en-US"/>
        </w:rPr>
      </w:pPr>
      <w:r w:rsidRPr="00A06497">
        <w:rPr>
          <w:rFonts w:ascii="Calibri" w:eastAsiaTheme="minorHAnsi" w:hAnsi="Calibri" w:cs="Calibri"/>
          <w:b/>
          <w:bCs/>
          <w:color w:val="000000"/>
          <w:sz w:val="24"/>
          <w:szCs w:val="24"/>
          <w:lang w:eastAsia="en-US"/>
        </w:rPr>
        <w:t>MMR na základě sady nastavených indikátorů nemohlo sledovat a vyhodnocovat účelnost vynakládání výdajů ve své kapitole</w:t>
      </w:r>
      <w:r w:rsidR="00A95FF4" w:rsidRPr="00A06497">
        <w:rPr>
          <w:rFonts w:ascii="Calibri" w:eastAsiaTheme="minorHAnsi" w:hAnsi="Calibri" w:cs="Calibri"/>
          <w:b/>
          <w:bCs/>
          <w:color w:val="000000"/>
          <w:sz w:val="24"/>
          <w:szCs w:val="24"/>
          <w:lang w:eastAsia="en-US"/>
        </w:rPr>
        <w:t xml:space="preserve"> podle u</w:t>
      </w:r>
      <w:r w:rsidR="00A95FF4" w:rsidRPr="00A06497">
        <w:rPr>
          <w:rFonts w:ascii="Calibri" w:hAnsi="Calibri" w:cs="Calibri"/>
          <w:b/>
          <w:sz w:val="24"/>
          <w:szCs w:val="24"/>
        </w:rPr>
        <w:t>stanovení § 39 odst. 3 zákona č. 218/2000 Sb.</w:t>
      </w:r>
    </w:p>
    <w:p w:rsidR="00947CCF" w:rsidRPr="00A06497" w:rsidRDefault="002C761F" w:rsidP="00895A0D">
      <w:pPr>
        <w:keepNext/>
        <w:widowControl/>
        <w:tabs>
          <w:tab w:val="left" w:pos="0"/>
        </w:tabs>
        <w:autoSpaceDE/>
        <w:autoSpaceDN/>
        <w:adjustRightInd/>
        <w:spacing w:before="240" w:after="120"/>
        <w:jc w:val="both"/>
        <w:rPr>
          <w:rFonts w:ascii="Calibri" w:hAnsi="Calibri" w:cs="Calibri"/>
          <w:b/>
          <w:sz w:val="24"/>
          <w:szCs w:val="24"/>
          <w:lang w:eastAsia="en-US"/>
        </w:rPr>
      </w:pPr>
      <w:r w:rsidRPr="00A06497">
        <w:rPr>
          <w:rFonts w:ascii="Calibri" w:hAnsi="Calibri" w:cs="Calibri"/>
          <w:b/>
          <w:sz w:val="24"/>
          <w:szCs w:val="24"/>
          <w:lang w:eastAsia="en-US"/>
        </w:rPr>
        <w:t>3.</w:t>
      </w:r>
      <w:bookmarkStart w:id="5" w:name="_Hlk96351805"/>
      <w:r w:rsidRPr="00A06497">
        <w:rPr>
          <w:rFonts w:ascii="Calibri" w:hAnsi="Calibri" w:cs="Calibri"/>
          <w:b/>
          <w:sz w:val="24"/>
          <w:szCs w:val="24"/>
          <w:lang w:eastAsia="en-US"/>
        </w:rPr>
        <w:t xml:space="preserve"> Zavedení a účinné fungování řídicího a kontrolního systému MMR</w:t>
      </w:r>
    </w:p>
    <w:p w:rsidR="00947CCF" w:rsidRPr="00A06497" w:rsidRDefault="002C761F" w:rsidP="00A06497">
      <w:pPr>
        <w:widowControl/>
        <w:tabs>
          <w:tab w:val="left" w:pos="0"/>
        </w:tabs>
        <w:autoSpaceDE/>
        <w:autoSpaceDN/>
        <w:adjustRightInd/>
        <w:spacing w:after="120"/>
        <w:jc w:val="both"/>
        <w:rPr>
          <w:rFonts w:ascii="Calibri" w:hAnsi="Calibri" w:cs="Calibri"/>
          <w:sz w:val="24"/>
          <w:szCs w:val="24"/>
          <w:lang w:eastAsia="en-US"/>
        </w:rPr>
      </w:pPr>
      <w:bookmarkStart w:id="6" w:name="_Hlk96351837"/>
      <w:bookmarkEnd w:id="5"/>
      <w:r w:rsidRPr="00A06497">
        <w:rPr>
          <w:rFonts w:ascii="Calibri" w:eastAsia="Times New Roman" w:hAnsi="Calibri" w:cs="Calibri"/>
          <w:sz w:val="24"/>
          <w:szCs w:val="24"/>
          <w:lang w:eastAsia="en-US"/>
        </w:rPr>
        <w:t>V rámci přenesení odpovědnosti MMR jako ŘO IROP nezajistilo u dvou projektů zavedení a</w:t>
      </w:r>
      <w:r w:rsidR="00612D8E" w:rsidRPr="00A06497">
        <w:rPr>
          <w:rFonts w:ascii="Calibri" w:eastAsia="Times New Roman" w:hAnsi="Calibri" w:cs="Calibri"/>
          <w:sz w:val="24"/>
          <w:szCs w:val="24"/>
          <w:lang w:eastAsia="en-US"/>
        </w:rPr>
        <w:t> </w:t>
      </w:r>
      <w:r w:rsidRPr="00A06497">
        <w:rPr>
          <w:rFonts w:ascii="Calibri" w:eastAsia="Times New Roman" w:hAnsi="Calibri" w:cs="Calibri"/>
          <w:sz w:val="24"/>
          <w:szCs w:val="24"/>
          <w:lang w:eastAsia="en-US"/>
        </w:rPr>
        <w:t>účinné fungování řídicího a kontrolního systému IROP podle OM IROP.</w:t>
      </w:r>
      <w:bookmarkEnd w:id="6"/>
    </w:p>
    <w:p w:rsidR="00947CCF" w:rsidRPr="00A06497" w:rsidRDefault="002C761F" w:rsidP="00A06497">
      <w:pPr>
        <w:spacing w:after="120"/>
        <w:jc w:val="both"/>
        <w:rPr>
          <w:rFonts w:ascii="Calibri" w:hAnsi="Calibri" w:cs="Calibri"/>
          <w:color w:val="000000"/>
          <w:sz w:val="24"/>
          <w:szCs w:val="24"/>
        </w:rPr>
      </w:pPr>
      <w:r w:rsidRPr="00A06497">
        <w:rPr>
          <w:rFonts w:ascii="Calibri" w:hAnsi="Calibri" w:cs="Calibri"/>
          <w:color w:val="000000"/>
          <w:sz w:val="24"/>
          <w:szCs w:val="24"/>
        </w:rPr>
        <w:t xml:space="preserve">V žádosti o podporu podanou na MMR si příjemce dotace stanovil etapy projektu. </w:t>
      </w:r>
      <w:r w:rsidRPr="00A06497">
        <w:rPr>
          <w:rFonts w:ascii="Calibri" w:hAnsi="Calibri" w:cs="Calibri"/>
          <w:b/>
          <w:sz w:val="24"/>
          <w:szCs w:val="24"/>
        </w:rPr>
        <w:t xml:space="preserve">Zvolení počtu etap projektu má vliv na předkládání žádostí o platbu a kontrolu ukončené etapy, resp. celého projektu ze strany ŘO IROP. </w:t>
      </w:r>
      <w:r w:rsidRPr="00A06497">
        <w:rPr>
          <w:rFonts w:ascii="Calibri" w:hAnsi="Calibri" w:cs="Calibri"/>
          <w:color w:val="000000"/>
          <w:sz w:val="24"/>
          <w:szCs w:val="24"/>
        </w:rPr>
        <w:t xml:space="preserve">V průběhu realizace projektu (bez ohledu na etapy) jsou projekty z programu předfinancování průběžně financovány </w:t>
      </w:r>
      <w:proofErr w:type="spellStart"/>
      <w:r w:rsidRPr="00A06497">
        <w:rPr>
          <w:rFonts w:ascii="Calibri" w:hAnsi="Calibri" w:cs="Calibri"/>
          <w:color w:val="000000"/>
          <w:sz w:val="24"/>
          <w:szCs w:val="24"/>
        </w:rPr>
        <w:t>MZd</w:t>
      </w:r>
      <w:proofErr w:type="spellEnd"/>
      <w:r w:rsidRPr="00A06497">
        <w:rPr>
          <w:rFonts w:ascii="Calibri" w:hAnsi="Calibri" w:cs="Calibri"/>
          <w:color w:val="000000"/>
          <w:sz w:val="24"/>
          <w:szCs w:val="24"/>
        </w:rPr>
        <w:t xml:space="preserve"> na základě platebních poukazů (financování ex-ante).</w:t>
      </w:r>
    </w:p>
    <w:p w:rsidR="00947CCF" w:rsidRPr="00164B7B" w:rsidRDefault="002C761F" w:rsidP="00A06497">
      <w:pPr>
        <w:keepNext/>
        <w:widowControl/>
        <w:spacing w:after="40"/>
        <w:ind w:left="1418" w:hanging="1418"/>
        <w:jc w:val="both"/>
        <w:rPr>
          <w:rFonts w:asciiTheme="minorHAnsi" w:hAnsiTheme="minorHAnsi" w:cstheme="minorHAnsi"/>
          <w:b/>
          <w:color w:val="000000"/>
          <w:sz w:val="24"/>
          <w:szCs w:val="24"/>
        </w:rPr>
      </w:pPr>
      <w:r w:rsidRPr="00164B7B">
        <w:rPr>
          <w:rFonts w:asciiTheme="minorHAnsi" w:hAnsiTheme="minorHAnsi" w:cstheme="minorHAnsi"/>
          <w:b/>
          <w:color w:val="000000"/>
          <w:sz w:val="24"/>
          <w:szCs w:val="24"/>
        </w:rPr>
        <w:lastRenderedPageBreak/>
        <w:t>Tabulka č</w:t>
      </w:r>
      <w:r w:rsidRPr="00A37008">
        <w:rPr>
          <w:rFonts w:asciiTheme="minorHAnsi" w:hAnsiTheme="minorHAnsi" w:cstheme="minorHAnsi"/>
          <w:b/>
          <w:color w:val="000000"/>
          <w:sz w:val="24"/>
          <w:szCs w:val="24"/>
        </w:rPr>
        <w:t xml:space="preserve">. </w:t>
      </w:r>
      <w:r w:rsidR="00A37008" w:rsidRPr="00A37008">
        <w:rPr>
          <w:rFonts w:asciiTheme="minorHAnsi" w:eastAsia="Calibri" w:hAnsiTheme="minorHAnsi" w:cstheme="minorHAnsi"/>
          <w:b/>
          <w:iCs/>
          <w:sz w:val="24"/>
          <w:szCs w:val="24"/>
        </w:rPr>
        <w:t>1</w:t>
      </w:r>
      <w:r w:rsidRPr="00A37008">
        <w:rPr>
          <w:rFonts w:asciiTheme="minorHAnsi" w:hAnsiTheme="minorHAnsi" w:cstheme="minorHAnsi"/>
          <w:b/>
          <w:color w:val="000000"/>
          <w:sz w:val="24"/>
          <w:szCs w:val="24"/>
        </w:rPr>
        <w:t xml:space="preserve">: </w:t>
      </w:r>
      <w:r w:rsidR="00A06497">
        <w:rPr>
          <w:rFonts w:asciiTheme="minorHAnsi" w:hAnsiTheme="minorHAnsi" w:cstheme="minorHAnsi"/>
          <w:b/>
          <w:color w:val="000000"/>
          <w:sz w:val="24"/>
          <w:szCs w:val="24"/>
        </w:rPr>
        <w:tab/>
      </w:r>
      <w:r w:rsidRPr="00A37008">
        <w:rPr>
          <w:rFonts w:asciiTheme="minorHAnsi" w:hAnsiTheme="minorHAnsi" w:cstheme="minorHAnsi"/>
          <w:b/>
          <w:color w:val="000000"/>
          <w:sz w:val="24"/>
          <w:szCs w:val="24"/>
        </w:rPr>
        <w:t>Etapy</w:t>
      </w:r>
      <w:r w:rsidRPr="00164B7B">
        <w:rPr>
          <w:rFonts w:asciiTheme="minorHAnsi" w:hAnsiTheme="minorHAnsi" w:cstheme="minorHAnsi"/>
          <w:b/>
          <w:color w:val="000000"/>
          <w:sz w:val="24"/>
          <w:szCs w:val="24"/>
        </w:rPr>
        <w:t xml:space="preserve"> projektu včetně plánu vyúčtování u kontrolovaného vzorku projek</w:t>
      </w:r>
      <w:r>
        <w:rPr>
          <w:rFonts w:asciiTheme="minorHAnsi" w:hAnsiTheme="minorHAnsi" w:cstheme="minorHAnsi"/>
          <w:b/>
          <w:color w:val="000000"/>
          <w:sz w:val="24"/>
          <w:szCs w:val="24"/>
        </w:rPr>
        <w:t>t</w:t>
      </w:r>
      <w:r w:rsidRPr="00164B7B">
        <w:rPr>
          <w:rFonts w:asciiTheme="minorHAnsi" w:hAnsiTheme="minorHAnsi" w:cstheme="minorHAnsi"/>
          <w:b/>
          <w:color w:val="000000"/>
          <w:sz w:val="24"/>
          <w:szCs w:val="24"/>
        </w:rPr>
        <w:t xml:space="preserve">ů programu předfinancování </w:t>
      </w:r>
    </w:p>
    <w:tbl>
      <w:tblPr>
        <w:tblW w:w="5000" w:type="pct"/>
        <w:tblCellMar>
          <w:left w:w="70" w:type="dxa"/>
          <w:right w:w="70" w:type="dxa"/>
        </w:tblCellMar>
        <w:tblLook w:val="04A0" w:firstRow="1" w:lastRow="0" w:firstColumn="1" w:lastColumn="0" w:noHBand="0" w:noVBand="1"/>
      </w:tblPr>
      <w:tblGrid>
        <w:gridCol w:w="1151"/>
        <w:gridCol w:w="1773"/>
        <w:gridCol w:w="1000"/>
        <w:gridCol w:w="2568"/>
        <w:gridCol w:w="2570"/>
      </w:tblGrid>
      <w:tr w:rsidR="00512838" w:rsidRPr="00A06497" w:rsidTr="00A06497">
        <w:trPr>
          <w:trHeight w:val="283"/>
        </w:trPr>
        <w:tc>
          <w:tcPr>
            <w:tcW w:w="635"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Příjemce</w:t>
            </w:r>
          </w:p>
        </w:tc>
        <w:tc>
          <w:tcPr>
            <w:tcW w:w="978"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 xml:space="preserve">Schválená dotace </w:t>
            </w:r>
          </w:p>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na způsobilé výdaje</w:t>
            </w:r>
          </w:p>
        </w:tc>
        <w:tc>
          <w:tcPr>
            <w:tcW w:w="552" w:type="pct"/>
            <w:tcBorders>
              <w:top w:val="single" w:sz="4" w:space="0" w:color="auto"/>
              <w:left w:val="nil"/>
              <w:bottom w:val="single" w:sz="4" w:space="0" w:color="auto"/>
              <w:right w:val="single" w:sz="4" w:space="0" w:color="auto"/>
            </w:tcBorders>
            <w:shd w:val="clear" w:color="000000" w:fill="E5F1FF"/>
            <w:vAlign w:val="center"/>
          </w:tcPr>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Počet etap</w:t>
            </w:r>
          </w:p>
        </w:tc>
        <w:tc>
          <w:tcPr>
            <w:tcW w:w="1417" w:type="pct"/>
            <w:tcBorders>
              <w:top w:val="single" w:sz="4" w:space="0" w:color="auto"/>
              <w:left w:val="nil"/>
              <w:bottom w:val="single" w:sz="4" w:space="0" w:color="auto"/>
              <w:right w:val="single" w:sz="4" w:space="0" w:color="auto"/>
            </w:tcBorders>
            <w:shd w:val="clear" w:color="000000" w:fill="E5F1FF"/>
            <w:vAlign w:val="center"/>
          </w:tcPr>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 xml:space="preserve">Ukončení první etapy </w:t>
            </w:r>
          </w:p>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a výše vyúčtování</w:t>
            </w:r>
          </w:p>
        </w:tc>
        <w:tc>
          <w:tcPr>
            <w:tcW w:w="1418" w:type="pct"/>
            <w:tcBorders>
              <w:top w:val="single" w:sz="4" w:space="0" w:color="auto"/>
              <w:left w:val="nil"/>
              <w:bottom w:val="single" w:sz="4" w:space="0" w:color="auto"/>
              <w:right w:val="single" w:sz="4" w:space="0" w:color="auto"/>
            </w:tcBorders>
            <w:shd w:val="clear" w:color="000000" w:fill="E5F1FF"/>
            <w:vAlign w:val="center"/>
          </w:tcPr>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 xml:space="preserve">Ukončení druhé etapy </w:t>
            </w:r>
          </w:p>
          <w:p w:rsidR="00947CCF" w:rsidRPr="00A06497" w:rsidRDefault="002C761F" w:rsidP="00A06497">
            <w:pPr>
              <w:keepNext/>
              <w:widowControl/>
              <w:jc w:val="center"/>
              <w:rPr>
                <w:rFonts w:ascii="Calibri" w:hAnsi="Calibri" w:cs="Calibri"/>
                <w:b/>
                <w:bCs/>
                <w:color w:val="000000"/>
              </w:rPr>
            </w:pPr>
            <w:r w:rsidRPr="00A06497">
              <w:rPr>
                <w:rFonts w:ascii="Calibri" w:hAnsi="Calibri" w:cs="Calibri"/>
                <w:b/>
                <w:bCs/>
                <w:color w:val="000000"/>
              </w:rPr>
              <w:t>a výše vyúčtování</w:t>
            </w:r>
          </w:p>
        </w:tc>
      </w:tr>
      <w:tr w:rsidR="00512838" w:rsidRPr="00A06497" w:rsidTr="00A06497">
        <w:trPr>
          <w:trHeight w:val="283"/>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47CCF" w:rsidRPr="00A06497" w:rsidRDefault="002C761F" w:rsidP="00A06497">
            <w:pPr>
              <w:keepNext/>
              <w:rPr>
                <w:rFonts w:ascii="Calibri" w:hAnsi="Calibri" w:cs="Calibri"/>
                <w:color w:val="000000"/>
              </w:rPr>
            </w:pPr>
            <w:r w:rsidRPr="00A06497">
              <w:rPr>
                <w:rFonts w:ascii="Calibri" w:hAnsi="Calibri" w:cs="Calibri"/>
                <w:color w:val="000000"/>
              </w:rPr>
              <w:t>FN Brno</w:t>
            </w: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947CCF" w:rsidRPr="00A06497" w:rsidRDefault="002C761F" w:rsidP="00A06497">
            <w:pPr>
              <w:keepNext/>
              <w:jc w:val="right"/>
              <w:rPr>
                <w:rFonts w:ascii="Calibri" w:hAnsi="Calibri" w:cs="Calibri"/>
                <w:color w:val="000000"/>
              </w:rPr>
            </w:pPr>
            <w:r w:rsidRPr="00A06497">
              <w:rPr>
                <w:rFonts w:ascii="Calibri" w:hAnsi="Calibri" w:cs="Calibri"/>
                <w:color w:val="000000"/>
              </w:rPr>
              <w:t>578</w:t>
            </w:r>
            <w:r w:rsidR="001D5721" w:rsidRPr="00A06497">
              <w:rPr>
                <w:rFonts w:ascii="Calibri" w:hAnsi="Calibri" w:cs="Calibri"/>
                <w:color w:val="000000"/>
              </w:rPr>
              <w:t> </w:t>
            </w:r>
            <w:r w:rsidRPr="00A06497">
              <w:rPr>
                <w:rFonts w:ascii="Calibri" w:hAnsi="Calibri" w:cs="Calibri"/>
                <w:color w:val="000000"/>
              </w:rPr>
              <w:t>000</w:t>
            </w:r>
            <w:r w:rsidR="001D5721" w:rsidRPr="00A06497">
              <w:rPr>
                <w:rFonts w:ascii="Calibri" w:hAnsi="Calibri" w:cs="Calibri"/>
                <w:color w:val="000000"/>
              </w:rPr>
              <w:t xml:space="preserve"> tis. Kč</w:t>
            </w:r>
          </w:p>
        </w:tc>
        <w:tc>
          <w:tcPr>
            <w:tcW w:w="552" w:type="pct"/>
            <w:tcBorders>
              <w:top w:val="single" w:sz="4" w:space="0" w:color="auto"/>
              <w:left w:val="nil"/>
              <w:bottom w:val="single" w:sz="4" w:space="0" w:color="auto"/>
              <w:right w:val="single" w:sz="4" w:space="0" w:color="auto"/>
            </w:tcBorders>
            <w:vAlign w:val="center"/>
          </w:tcPr>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2</w:t>
            </w:r>
          </w:p>
        </w:tc>
        <w:tc>
          <w:tcPr>
            <w:tcW w:w="1417" w:type="pct"/>
            <w:tcBorders>
              <w:top w:val="single" w:sz="4" w:space="0" w:color="auto"/>
              <w:left w:val="nil"/>
              <w:bottom w:val="single" w:sz="4" w:space="0" w:color="auto"/>
              <w:right w:val="single" w:sz="4" w:space="0" w:color="auto"/>
            </w:tcBorders>
            <w:vAlign w:val="center"/>
          </w:tcPr>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 xml:space="preserve">31. 7. 2018 </w:t>
            </w:r>
          </w:p>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14</w:t>
            </w:r>
            <w:r w:rsidR="008F3003" w:rsidRPr="00A06497">
              <w:rPr>
                <w:rFonts w:ascii="Calibri" w:hAnsi="Calibri" w:cs="Calibri"/>
                <w:color w:val="000000"/>
              </w:rPr>
              <w:t> </w:t>
            </w:r>
            <w:r w:rsidRPr="00A06497">
              <w:rPr>
                <w:rFonts w:ascii="Calibri" w:hAnsi="Calibri" w:cs="Calibri"/>
                <w:color w:val="000000"/>
              </w:rPr>
              <w:t>183</w:t>
            </w:r>
            <w:r w:rsidR="008F3003" w:rsidRPr="00A06497">
              <w:rPr>
                <w:rFonts w:ascii="Calibri" w:hAnsi="Calibri" w:cs="Calibri"/>
                <w:color w:val="000000"/>
              </w:rPr>
              <w:t xml:space="preserve"> tis. Kč</w:t>
            </w:r>
          </w:p>
        </w:tc>
        <w:tc>
          <w:tcPr>
            <w:tcW w:w="1418" w:type="pct"/>
            <w:tcBorders>
              <w:top w:val="single" w:sz="4" w:space="0" w:color="auto"/>
              <w:left w:val="nil"/>
              <w:bottom w:val="single" w:sz="4" w:space="0" w:color="auto"/>
              <w:right w:val="single" w:sz="4" w:space="0" w:color="auto"/>
            </w:tcBorders>
            <w:vAlign w:val="center"/>
          </w:tcPr>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29. 1. 2022</w:t>
            </w:r>
          </w:p>
          <w:p w:rsidR="00947CCF" w:rsidRPr="00A06497" w:rsidRDefault="002C761F" w:rsidP="00A06497">
            <w:pPr>
              <w:keepNext/>
              <w:jc w:val="center"/>
              <w:rPr>
                <w:rFonts w:ascii="Calibri" w:hAnsi="Calibri" w:cs="Calibri"/>
                <w:color w:val="000000"/>
              </w:rPr>
            </w:pPr>
            <w:r w:rsidRPr="00A06497">
              <w:rPr>
                <w:rFonts w:ascii="Calibri" w:hAnsi="Calibri" w:cs="Calibri"/>
                <w:b/>
                <w:color w:val="000000"/>
              </w:rPr>
              <w:t>563</w:t>
            </w:r>
            <w:r w:rsidR="008F3003" w:rsidRPr="00A06497">
              <w:rPr>
                <w:rFonts w:ascii="Calibri" w:hAnsi="Calibri" w:cs="Calibri"/>
                <w:b/>
                <w:color w:val="000000"/>
              </w:rPr>
              <w:t> </w:t>
            </w:r>
            <w:r w:rsidRPr="00A06497">
              <w:rPr>
                <w:rFonts w:ascii="Calibri" w:hAnsi="Calibri" w:cs="Calibri"/>
                <w:b/>
                <w:color w:val="000000"/>
              </w:rPr>
              <w:t>817</w:t>
            </w:r>
            <w:r w:rsidR="008F3003" w:rsidRPr="00A06497">
              <w:rPr>
                <w:rFonts w:ascii="Calibri" w:hAnsi="Calibri" w:cs="Calibri"/>
                <w:b/>
                <w:color w:val="000000"/>
              </w:rPr>
              <w:t xml:space="preserve"> tis. Kč</w:t>
            </w:r>
          </w:p>
        </w:tc>
      </w:tr>
      <w:tr w:rsidR="00512838" w:rsidRPr="00A06497" w:rsidTr="00A06497">
        <w:trPr>
          <w:trHeight w:val="283"/>
        </w:trPr>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947CCF" w:rsidRPr="00A06497" w:rsidRDefault="002C761F" w:rsidP="00A06497">
            <w:pPr>
              <w:keepNext/>
              <w:rPr>
                <w:rFonts w:ascii="Calibri" w:hAnsi="Calibri" w:cs="Calibri"/>
                <w:color w:val="000000"/>
              </w:rPr>
            </w:pPr>
            <w:r w:rsidRPr="00A06497">
              <w:rPr>
                <w:rFonts w:ascii="Calibri" w:hAnsi="Calibri" w:cs="Calibri"/>
                <w:color w:val="000000"/>
              </w:rPr>
              <w:t>FN Ostrava</w:t>
            </w:r>
          </w:p>
        </w:tc>
        <w:tc>
          <w:tcPr>
            <w:tcW w:w="978" w:type="pct"/>
            <w:tcBorders>
              <w:top w:val="nil"/>
              <w:left w:val="nil"/>
              <w:bottom w:val="single" w:sz="4" w:space="0" w:color="auto"/>
              <w:right w:val="single" w:sz="4" w:space="0" w:color="auto"/>
            </w:tcBorders>
            <w:shd w:val="clear" w:color="auto" w:fill="auto"/>
            <w:noWrap/>
            <w:vAlign w:val="center"/>
            <w:hideMark/>
          </w:tcPr>
          <w:p w:rsidR="00947CCF" w:rsidRPr="00A06497" w:rsidRDefault="002C761F" w:rsidP="00A06497">
            <w:pPr>
              <w:keepNext/>
              <w:jc w:val="right"/>
              <w:rPr>
                <w:rFonts w:ascii="Calibri" w:hAnsi="Calibri" w:cs="Calibri"/>
                <w:color w:val="000000"/>
              </w:rPr>
            </w:pPr>
            <w:r w:rsidRPr="00A06497">
              <w:rPr>
                <w:rFonts w:ascii="Calibri" w:hAnsi="Calibri" w:cs="Calibri"/>
                <w:color w:val="000000"/>
              </w:rPr>
              <w:t>496</w:t>
            </w:r>
            <w:r w:rsidR="001D5721" w:rsidRPr="00A06497">
              <w:rPr>
                <w:rFonts w:ascii="Calibri" w:hAnsi="Calibri" w:cs="Calibri"/>
                <w:color w:val="000000"/>
              </w:rPr>
              <w:t> </w:t>
            </w:r>
            <w:r w:rsidRPr="00A06497">
              <w:rPr>
                <w:rFonts w:ascii="Calibri" w:hAnsi="Calibri" w:cs="Calibri"/>
                <w:color w:val="000000"/>
              </w:rPr>
              <w:t>465</w:t>
            </w:r>
            <w:r w:rsidR="001D5721" w:rsidRPr="00A06497">
              <w:rPr>
                <w:rFonts w:ascii="Calibri" w:hAnsi="Calibri" w:cs="Calibri"/>
                <w:color w:val="000000"/>
              </w:rPr>
              <w:t xml:space="preserve"> tis. Kč</w:t>
            </w:r>
          </w:p>
        </w:tc>
        <w:tc>
          <w:tcPr>
            <w:tcW w:w="552" w:type="pct"/>
            <w:tcBorders>
              <w:top w:val="nil"/>
              <w:left w:val="nil"/>
              <w:bottom w:val="single" w:sz="4" w:space="0" w:color="auto"/>
              <w:right w:val="single" w:sz="4" w:space="0" w:color="auto"/>
            </w:tcBorders>
            <w:vAlign w:val="center"/>
          </w:tcPr>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1</w:t>
            </w:r>
          </w:p>
        </w:tc>
        <w:tc>
          <w:tcPr>
            <w:tcW w:w="1417" w:type="pct"/>
            <w:tcBorders>
              <w:top w:val="nil"/>
              <w:left w:val="nil"/>
              <w:bottom w:val="single" w:sz="4" w:space="0" w:color="auto"/>
              <w:right w:val="single" w:sz="4" w:space="0" w:color="auto"/>
            </w:tcBorders>
            <w:vAlign w:val="center"/>
          </w:tcPr>
          <w:p w:rsidR="00947CCF" w:rsidRPr="00A06497" w:rsidRDefault="002C761F" w:rsidP="00A06497">
            <w:pPr>
              <w:keepNext/>
              <w:jc w:val="center"/>
              <w:rPr>
                <w:rFonts w:ascii="Calibri" w:hAnsi="Calibri" w:cs="Calibri"/>
                <w:color w:val="000000"/>
              </w:rPr>
            </w:pPr>
            <w:r w:rsidRPr="00A06497">
              <w:rPr>
                <w:rFonts w:ascii="Calibri" w:hAnsi="Calibri" w:cs="Calibri"/>
                <w:color w:val="000000"/>
              </w:rPr>
              <w:t xml:space="preserve">27. 1. 2023 </w:t>
            </w:r>
          </w:p>
          <w:p w:rsidR="00947CCF" w:rsidRPr="00A06497" w:rsidRDefault="002C761F" w:rsidP="00A06497">
            <w:pPr>
              <w:keepNext/>
              <w:jc w:val="center"/>
              <w:rPr>
                <w:rFonts w:ascii="Calibri" w:hAnsi="Calibri" w:cs="Calibri"/>
                <w:color w:val="000000"/>
              </w:rPr>
            </w:pPr>
            <w:r w:rsidRPr="00A06497">
              <w:rPr>
                <w:rFonts w:ascii="Calibri" w:hAnsi="Calibri" w:cs="Calibri"/>
                <w:b/>
                <w:color w:val="000000"/>
              </w:rPr>
              <w:t>496</w:t>
            </w:r>
            <w:r w:rsidR="008F3003" w:rsidRPr="00A06497">
              <w:rPr>
                <w:rFonts w:ascii="Calibri" w:hAnsi="Calibri" w:cs="Calibri"/>
                <w:b/>
                <w:color w:val="000000"/>
              </w:rPr>
              <w:t> </w:t>
            </w:r>
            <w:r w:rsidRPr="00A06497">
              <w:rPr>
                <w:rFonts w:ascii="Calibri" w:hAnsi="Calibri" w:cs="Calibri"/>
                <w:b/>
                <w:color w:val="000000"/>
              </w:rPr>
              <w:t>465</w:t>
            </w:r>
            <w:r w:rsidR="008F3003" w:rsidRPr="00A06497">
              <w:rPr>
                <w:rFonts w:ascii="Calibri" w:hAnsi="Calibri" w:cs="Calibri"/>
                <w:b/>
                <w:color w:val="000000"/>
              </w:rPr>
              <w:t xml:space="preserve"> tis. Kč</w:t>
            </w:r>
          </w:p>
        </w:tc>
        <w:tc>
          <w:tcPr>
            <w:tcW w:w="1418" w:type="pct"/>
            <w:tcBorders>
              <w:top w:val="nil"/>
              <w:left w:val="nil"/>
              <w:bottom w:val="single" w:sz="4" w:space="0" w:color="auto"/>
              <w:right w:val="single" w:sz="4" w:space="0" w:color="auto"/>
            </w:tcBorders>
            <w:vAlign w:val="center"/>
          </w:tcPr>
          <w:p w:rsidR="00947CCF" w:rsidRPr="00A06497" w:rsidRDefault="00EE0D1D" w:rsidP="00A06497">
            <w:pPr>
              <w:keepNext/>
              <w:jc w:val="center"/>
              <w:rPr>
                <w:rFonts w:ascii="Calibri" w:hAnsi="Calibri" w:cs="Calibri"/>
                <w:color w:val="000000"/>
              </w:rPr>
            </w:pPr>
            <w:r w:rsidRPr="00A06497">
              <w:rPr>
                <w:rFonts w:ascii="Calibri" w:hAnsi="Calibri" w:cs="Calibri"/>
                <w:color w:val="000000"/>
              </w:rPr>
              <w:t>X</w:t>
            </w:r>
          </w:p>
        </w:tc>
      </w:tr>
    </w:tbl>
    <w:p w:rsidR="00947CCF" w:rsidRPr="007B461F" w:rsidRDefault="002C761F" w:rsidP="007B461F">
      <w:pPr>
        <w:spacing w:before="40" w:after="120"/>
        <w:jc w:val="both"/>
        <w:rPr>
          <w:rFonts w:asciiTheme="minorHAnsi" w:eastAsia="Calibri" w:hAnsiTheme="minorHAnsi" w:cstheme="minorHAnsi"/>
          <w:iCs/>
        </w:rPr>
      </w:pPr>
      <w:r w:rsidRPr="007B461F">
        <w:rPr>
          <w:rFonts w:asciiTheme="minorHAnsi" w:eastAsia="Calibri" w:hAnsiTheme="minorHAnsi" w:cstheme="minorHAnsi"/>
          <w:b/>
          <w:iCs/>
        </w:rPr>
        <w:t>Zdroj:</w:t>
      </w:r>
      <w:r w:rsidRPr="007B461F">
        <w:rPr>
          <w:rFonts w:asciiTheme="minorHAnsi" w:eastAsia="Calibri" w:hAnsiTheme="minorHAnsi" w:cstheme="minorHAnsi"/>
          <w:iCs/>
        </w:rPr>
        <w:t xml:space="preserve"> IS MS2014+.</w:t>
      </w:r>
    </w:p>
    <w:p w:rsidR="00947CCF" w:rsidRPr="007B461F" w:rsidRDefault="002C761F" w:rsidP="007B461F">
      <w:pPr>
        <w:spacing w:after="120"/>
        <w:jc w:val="both"/>
        <w:rPr>
          <w:rFonts w:ascii="Calibri" w:hAnsi="Calibri" w:cs="Calibri"/>
          <w:color w:val="000000"/>
          <w:sz w:val="24"/>
          <w:szCs w:val="24"/>
        </w:rPr>
      </w:pPr>
      <w:r w:rsidRPr="007B461F">
        <w:rPr>
          <w:rFonts w:ascii="Calibri" w:hAnsi="Calibri" w:cs="Calibri"/>
          <w:color w:val="000000"/>
          <w:sz w:val="24"/>
          <w:szCs w:val="24"/>
        </w:rPr>
        <w:t xml:space="preserve">Projekt příjemce FN Brno byl koncipován původně jako </w:t>
      </w:r>
      <w:proofErr w:type="spellStart"/>
      <w:r w:rsidRPr="007B461F">
        <w:rPr>
          <w:rFonts w:ascii="Calibri" w:hAnsi="Calibri" w:cs="Calibri"/>
          <w:color w:val="000000"/>
          <w:sz w:val="24"/>
          <w:szCs w:val="24"/>
        </w:rPr>
        <w:t>jednoetapový</w:t>
      </w:r>
      <w:proofErr w:type="spellEnd"/>
      <w:r w:rsidRPr="007B461F">
        <w:rPr>
          <w:rFonts w:ascii="Calibri" w:hAnsi="Calibri" w:cs="Calibri"/>
          <w:color w:val="000000"/>
          <w:sz w:val="24"/>
          <w:szCs w:val="24"/>
        </w:rPr>
        <w:t xml:space="preserve"> a následně jako dvouetapový, přičemž první etapa představovala ve finančním vyjádření pouze 2 % rozpočtu projektu, tzn. že žádost o platbu naprosté většiny (tj. 98 %) peněžních prostředků z celkové částky dotace bude podána po ukončení celého projektu. Projekt příjemce FN Ostrava byl koncipován v době ukončení kontroly NKÚ jako </w:t>
      </w:r>
      <w:proofErr w:type="spellStart"/>
      <w:r w:rsidRPr="007B461F">
        <w:rPr>
          <w:rFonts w:ascii="Calibri" w:hAnsi="Calibri" w:cs="Calibri"/>
          <w:color w:val="000000"/>
          <w:sz w:val="24"/>
          <w:szCs w:val="24"/>
        </w:rPr>
        <w:t>jednoetapový</w:t>
      </w:r>
      <w:proofErr w:type="spellEnd"/>
      <w:r w:rsidRPr="007B461F">
        <w:rPr>
          <w:rFonts w:ascii="Calibri" w:hAnsi="Calibri" w:cs="Calibri"/>
          <w:color w:val="000000"/>
          <w:sz w:val="24"/>
          <w:szCs w:val="24"/>
        </w:rPr>
        <w:t xml:space="preserve">, tzn. že žádost o platbu veškerých peněžních prostředků z celkové částky dotace bude podána po ukončení celého projektu. </w:t>
      </w:r>
      <w:r w:rsidRPr="007B461F">
        <w:rPr>
          <w:rFonts w:ascii="Calibri" w:hAnsi="Calibri" w:cs="Calibri"/>
          <w:sz w:val="24"/>
          <w:szCs w:val="24"/>
        </w:rPr>
        <w:t>Schválená dotace těchto dvou projektů činila</w:t>
      </w:r>
      <w:r w:rsidRPr="007B461F">
        <w:rPr>
          <w:rFonts w:ascii="Calibri" w:eastAsia="Times New Roman" w:hAnsi="Calibri" w:cs="Calibri"/>
          <w:sz w:val="24"/>
          <w:szCs w:val="24"/>
          <w:lang w:eastAsia="en-US"/>
        </w:rPr>
        <w:t xml:space="preserve"> celkem 1 074 mil. Kč, z toho 913 mil.</w:t>
      </w:r>
      <w:r w:rsidR="00612D8E" w:rsidRPr="007B461F">
        <w:rPr>
          <w:rFonts w:ascii="Calibri" w:eastAsia="Times New Roman" w:hAnsi="Calibri" w:cs="Calibri"/>
          <w:sz w:val="24"/>
          <w:szCs w:val="24"/>
          <w:lang w:eastAsia="en-US"/>
        </w:rPr>
        <w:t> </w:t>
      </w:r>
      <w:r w:rsidRPr="007B461F">
        <w:rPr>
          <w:rFonts w:ascii="Calibri" w:eastAsia="Times New Roman" w:hAnsi="Calibri" w:cs="Calibri"/>
          <w:sz w:val="24"/>
          <w:szCs w:val="24"/>
          <w:lang w:eastAsia="en-US"/>
        </w:rPr>
        <w:t>Kč z EFRR.</w:t>
      </w:r>
    </w:p>
    <w:p w:rsidR="00947CCF" w:rsidRPr="007B461F" w:rsidRDefault="002C761F" w:rsidP="007B461F">
      <w:pPr>
        <w:spacing w:after="120"/>
        <w:jc w:val="both"/>
        <w:rPr>
          <w:rFonts w:ascii="Calibri" w:hAnsi="Calibri" w:cs="Calibri"/>
          <w:sz w:val="24"/>
          <w:szCs w:val="24"/>
        </w:rPr>
      </w:pP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nastavení etap projektu pro příjemce dotace, tj. jím zřizované příspěvkové organizace, ve vnitřních předpisech nestanovuje a ani příjemcům individuálně nedoporučuje</w:t>
      </w:r>
      <w:r w:rsidR="00951054" w:rsidRPr="007B461F">
        <w:rPr>
          <w:rFonts w:ascii="Calibri" w:hAnsi="Calibri" w:cs="Calibri"/>
          <w:sz w:val="24"/>
          <w:szCs w:val="24"/>
        </w:rPr>
        <w:t>.</w:t>
      </w:r>
    </w:p>
    <w:p w:rsidR="005D7C43" w:rsidRPr="007B461F" w:rsidRDefault="002C761F" w:rsidP="007B461F">
      <w:pPr>
        <w:spacing w:after="120"/>
        <w:jc w:val="both"/>
        <w:rPr>
          <w:rFonts w:ascii="Calibri" w:hAnsi="Calibri" w:cs="Calibri"/>
          <w:sz w:val="24"/>
          <w:szCs w:val="24"/>
        </w:rPr>
      </w:pPr>
      <w:r w:rsidRPr="007B461F">
        <w:rPr>
          <w:rFonts w:ascii="Calibri" w:hAnsi="Calibri" w:cs="Calibri"/>
          <w:sz w:val="24"/>
          <w:szCs w:val="24"/>
        </w:rPr>
        <w:t xml:space="preserve">Nastavení etap projektu příjemcem dotace mělo zásadní vliv na rozsah kontrolní činnosti </w:t>
      </w: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v rámci monitorovacích návštěv. Dle </w:t>
      </w:r>
      <w:r w:rsidR="00270922" w:rsidRPr="007B461F">
        <w:rPr>
          <w:rFonts w:ascii="Calibri" w:hAnsi="Calibri" w:cs="Calibri"/>
          <w:sz w:val="24"/>
          <w:szCs w:val="24"/>
        </w:rPr>
        <w:t xml:space="preserve">vnitřních </w:t>
      </w:r>
      <w:r w:rsidRPr="007B461F">
        <w:rPr>
          <w:rFonts w:ascii="Calibri" w:hAnsi="Calibri" w:cs="Calibri"/>
          <w:sz w:val="24"/>
          <w:szCs w:val="24"/>
        </w:rPr>
        <w:t xml:space="preserve">předpisů si </w:t>
      </w: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významně </w:t>
      </w:r>
      <w:r w:rsidRPr="007B461F">
        <w:rPr>
          <w:rFonts w:ascii="Calibri" w:hAnsi="Calibri" w:cs="Calibri"/>
          <w:b/>
          <w:sz w:val="24"/>
          <w:szCs w:val="24"/>
        </w:rPr>
        <w:t>omezilo výkon monitorovacích návštěv u kontrolovaných projektů na místě s prověřením min. 5 % výdajů.</w:t>
      </w:r>
      <w:r w:rsidRPr="007B461F">
        <w:rPr>
          <w:rFonts w:ascii="Calibri" w:hAnsi="Calibri" w:cs="Calibri"/>
          <w:sz w:val="24"/>
          <w:szCs w:val="24"/>
        </w:rPr>
        <w:t xml:space="preserve"> Výkon a rozsah kontrolní činnosti </w:t>
      </w: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se tak váže pouze na proplacené prostředky z EFRR v rámci ukončené etapy, nikoliv na prostředky vyplacené </w:t>
      </w: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průběžně na základě platebních poukazů v rámci předfinancování projektu. </w:t>
      </w:r>
      <w:r w:rsidR="002108A0" w:rsidRPr="007B461F">
        <w:rPr>
          <w:rFonts w:ascii="Calibri" w:hAnsi="Calibri" w:cs="Calibri"/>
          <w:b/>
          <w:sz w:val="24"/>
          <w:szCs w:val="24"/>
        </w:rPr>
        <w:t xml:space="preserve">Tímto významným omezením předmětu kontroly monitorovacích návštěv nenaplňovalo </w:t>
      </w:r>
      <w:proofErr w:type="spellStart"/>
      <w:r w:rsidR="002108A0" w:rsidRPr="007B461F">
        <w:rPr>
          <w:rFonts w:ascii="Calibri" w:hAnsi="Calibri" w:cs="Calibri"/>
          <w:b/>
          <w:sz w:val="24"/>
          <w:szCs w:val="24"/>
        </w:rPr>
        <w:t>MZd</w:t>
      </w:r>
      <w:proofErr w:type="spellEnd"/>
      <w:r w:rsidR="002108A0" w:rsidRPr="007B461F">
        <w:rPr>
          <w:rFonts w:ascii="Calibri" w:hAnsi="Calibri" w:cs="Calibri"/>
          <w:b/>
          <w:sz w:val="24"/>
          <w:szCs w:val="24"/>
        </w:rPr>
        <w:t xml:space="preserve"> její cíl</w:t>
      </w:r>
      <w:r w:rsidR="008007D0" w:rsidRPr="007B461F">
        <w:rPr>
          <w:rFonts w:ascii="Calibri" w:hAnsi="Calibri" w:cs="Calibri"/>
          <w:b/>
          <w:sz w:val="24"/>
          <w:szCs w:val="24"/>
        </w:rPr>
        <w:t>.</w:t>
      </w:r>
    </w:p>
    <w:p w:rsidR="00951054" w:rsidRPr="007B461F" w:rsidRDefault="002C761F" w:rsidP="007B461F">
      <w:pPr>
        <w:spacing w:after="120"/>
        <w:jc w:val="both"/>
        <w:rPr>
          <w:rFonts w:ascii="Calibri" w:hAnsi="Calibri" w:cs="Calibri"/>
          <w:sz w:val="24"/>
          <w:szCs w:val="24"/>
        </w:rPr>
      </w:pPr>
      <w:r w:rsidRPr="007B461F">
        <w:rPr>
          <w:rFonts w:ascii="Calibri" w:hAnsi="Calibri" w:cs="Calibri"/>
          <w:sz w:val="24"/>
          <w:szCs w:val="24"/>
        </w:rPr>
        <w:t xml:space="preserve">U FN Brno, </w:t>
      </w:r>
      <w:r w:rsidR="0013532E">
        <w:rPr>
          <w:rFonts w:ascii="Calibri" w:hAnsi="Calibri" w:cs="Calibri"/>
          <w:sz w:val="24"/>
          <w:szCs w:val="24"/>
        </w:rPr>
        <w:t>jejíž</w:t>
      </w:r>
      <w:r w:rsidRPr="007B461F">
        <w:rPr>
          <w:rFonts w:ascii="Calibri" w:hAnsi="Calibri" w:cs="Calibri"/>
          <w:sz w:val="24"/>
          <w:szCs w:val="24"/>
        </w:rPr>
        <w:t xml:space="preserve"> projekt byl dvouetapový, </w:t>
      </w:r>
      <w:proofErr w:type="spellStart"/>
      <w:r w:rsidRPr="007B461F">
        <w:rPr>
          <w:rFonts w:ascii="Calibri" w:hAnsi="Calibri" w:cs="Calibri"/>
          <w:sz w:val="24"/>
          <w:szCs w:val="24"/>
        </w:rPr>
        <w:t>MZd</w:t>
      </w:r>
      <w:proofErr w:type="spellEnd"/>
      <w:r w:rsidRPr="007B461F">
        <w:rPr>
          <w:rFonts w:ascii="Calibri" w:hAnsi="Calibri" w:cs="Calibri"/>
          <w:sz w:val="24"/>
          <w:szCs w:val="24"/>
        </w:rPr>
        <w:t xml:space="preserve"> v rámci monitorovací návštěvy </w:t>
      </w:r>
      <w:r w:rsidR="008C056A" w:rsidRPr="007B461F">
        <w:rPr>
          <w:rFonts w:ascii="Calibri" w:hAnsi="Calibri" w:cs="Calibri"/>
          <w:sz w:val="24"/>
          <w:szCs w:val="24"/>
        </w:rPr>
        <w:t>v</w:t>
      </w:r>
      <w:r w:rsidR="002319DA" w:rsidRPr="007B461F">
        <w:rPr>
          <w:rFonts w:ascii="Calibri" w:hAnsi="Calibri" w:cs="Calibri"/>
          <w:sz w:val="24"/>
          <w:szCs w:val="24"/>
        </w:rPr>
        <w:t xml:space="preserve"> květnu</w:t>
      </w:r>
      <w:r w:rsidR="008C056A" w:rsidRPr="007B461F">
        <w:rPr>
          <w:rFonts w:ascii="Calibri" w:hAnsi="Calibri" w:cs="Calibri"/>
          <w:sz w:val="24"/>
          <w:szCs w:val="24"/>
        </w:rPr>
        <w:t xml:space="preserve"> 2021 </w:t>
      </w:r>
      <w:r w:rsidRPr="007B461F">
        <w:rPr>
          <w:rFonts w:ascii="Calibri" w:hAnsi="Calibri" w:cs="Calibri"/>
          <w:sz w:val="24"/>
          <w:szCs w:val="24"/>
        </w:rPr>
        <w:t xml:space="preserve">prověřovalo pouze první </w:t>
      </w:r>
      <w:r w:rsidR="008C056A" w:rsidRPr="007B461F">
        <w:rPr>
          <w:rFonts w:ascii="Calibri" w:hAnsi="Calibri" w:cs="Calibri"/>
          <w:sz w:val="24"/>
          <w:szCs w:val="24"/>
        </w:rPr>
        <w:t xml:space="preserve">ukončenou </w:t>
      </w:r>
      <w:r w:rsidRPr="007B461F">
        <w:rPr>
          <w:rFonts w:ascii="Calibri" w:hAnsi="Calibri" w:cs="Calibri"/>
          <w:sz w:val="24"/>
          <w:szCs w:val="24"/>
        </w:rPr>
        <w:t>etapu projektu</w:t>
      </w:r>
      <w:r w:rsidR="008C056A" w:rsidRPr="007B461F">
        <w:rPr>
          <w:rFonts w:ascii="Calibri" w:hAnsi="Calibri" w:cs="Calibri"/>
          <w:sz w:val="24"/>
          <w:szCs w:val="24"/>
        </w:rPr>
        <w:t>, která zahrnovala období od 10.</w:t>
      </w:r>
      <w:r w:rsidR="0013532E">
        <w:rPr>
          <w:rFonts w:ascii="Calibri" w:hAnsi="Calibri" w:cs="Calibri"/>
          <w:sz w:val="24"/>
          <w:szCs w:val="24"/>
        </w:rPr>
        <w:t> </w:t>
      </w:r>
      <w:r w:rsidR="008C056A" w:rsidRPr="007B461F">
        <w:rPr>
          <w:rFonts w:ascii="Calibri" w:hAnsi="Calibri" w:cs="Calibri"/>
          <w:sz w:val="24"/>
          <w:szCs w:val="24"/>
        </w:rPr>
        <w:t>6.</w:t>
      </w:r>
      <w:r w:rsidR="0013532E">
        <w:rPr>
          <w:rFonts w:ascii="Calibri" w:hAnsi="Calibri" w:cs="Calibri"/>
          <w:sz w:val="24"/>
          <w:szCs w:val="24"/>
        </w:rPr>
        <w:t> </w:t>
      </w:r>
      <w:r w:rsidR="008C056A" w:rsidRPr="007B461F">
        <w:rPr>
          <w:rFonts w:ascii="Calibri" w:hAnsi="Calibri" w:cs="Calibri"/>
          <w:sz w:val="24"/>
          <w:szCs w:val="24"/>
        </w:rPr>
        <w:t>2016 do 30. 6. 2018</w:t>
      </w:r>
      <w:r w:rsidR="006F66A4" w:rsidRPr="007B461F">
        <w:rPr>
          <w:rFonts w:ascii="Calibri" w:hAnsi="Calibri" w:cs="Calibri"/>
          <w:sz w:val="24"/>
          <w:szCs w:val="24"/>
        </w:rPr>
        <w:t>. Ž</w:t>
      </w:r>
      <w:r w:rsidR="002319DA" w:rsidRPr="007B461F">
        <w:rPr>
          <w:rFonts w:ascii="Calibri" w:hAnsi="Calibri" w:cs="Calibri"/>
          <w:sz w:val="24"/>
          <w:szCs w:val="24"/>
        </w:rPr>
        <w:t xml:space="preserve">ádost o platbu </w:t>
      </w:r>
      <w:r w:rsidR="006F66A4" w:rsidRPr="007B461F">
        <w:rPr>
          <w:rFonts w:ascii="Calibri" w:hAnsi="Calibri" w:cs="Calibri"/>
          <w:sz w:val="24"/>
          <w:szCs w:val="24"/>
        </w:rPr>
        <w:t xml:space="preserve">byla </w:t>
      </w:r>
      <w:r w:rsidR="002319DA" w:rsidRPr="007B461F">
        <w:rPr>
          <w:rFonts w:ascii="Calibri" w:hAnsi="Calibri" w:cs="Calibri"/>
          <w:sz w:val="24"/>
          <w:szCs w:val="24"/>
        </w:rPr>
        <w:t>ve výši 13</w:t>
      </w:r>
      <w:r w:rsidR="002F3B80" w:rsidRPr="007B461F">
        <w:rPr>
          <w:rFonts w:ascii="Calibri" w:hAnsi="Calibri" w:cs="Calibri"/>
          <w:sz w:val="24"/>
          <w:szCs w:val="24"/>
        </w:rPr>
        <w:t>,</w:t>
      </w:r>
      <w:r w:rsidR="002319DA" w:rsidRPr="007B461F">
        <w:rPr>
          <w:rFonts w:ascii="Calibri" w:hAnsi="Calibri" w:cs="Calibri"/>
          <w:sz w:val="24"/>
          <w:szCs w:val="24"/>
        </w:rPr>
        <w:t>97</w:t>
      </w:r>
      <w:r w:rsidR="002F3B80" w:rsidRPr="007B461F">
        <w:rPr>
          <w:rFonts w:ascii="Calibri" w:hAnsi="Calibri" w:cs="Calibri"/>
          <w:sz w:val="24"/>
          <w:szCs w:val="24"/>
        </w:rPr>
        <w:t xml:space="preserve"> mil. </w:t>
      </w:r>
      <w:r w:rsidR="002319DA" w:rsidRPr="007B461F">
        <w:rPr>
          <w:rFonts w:ascii="Calibri" w:hAnsi="Calibri" w:cs="Calibri"/>
          <w:sz w:val="24"/>
          <w:szCs w:val="24"/>
        </w:rPr>
        <w:t>Kč.</w:t>
      </w:r>
      <w:r w:rsidRPr="007B461F">
        <w:rPr>
          <w:rFonts w:ascii="Calibri" w:hAnsi="Calibri" w:cs="Calibri"/>
          <w:sz w:val="24"/>
          <w:szCs w:val="24"/>
        </w:rPr>
        <w:t xml:space="preserve"> </w:t>
      </w:r>
      <w:r w:rsidRPr="007B461F">
        <w:rPr>
          <w:rFonts w:ascii="Calibri" w:hAnsi="Calibri" w:cs="Calibri"/>
          <w:b/>
          <w:sz w:val="24"/>
          <w:szCs w:val="24"/>
        </w:rPr>
        <w:t xml:space="preserve">Důsledkem nastavených pravidel tak </w:t>
      </w:r>
      <w:proofErr w:type="spellStart"/>
      <w:r w:rsidRPr="007B461F">
        <w:rPr>
          <w:rFonts w:ascii="Calibri" w:hAnsi="Calibri" w:cs="Calibri"/>
          <w:b/>
          <w:sz w:val="24"/>
          <w:szCs w:val="24"/>
        </w:rPr>
        <w:t>MZd</w:t>
      </w:r>
      <w:proofErr w:type="spellEnd"/>
      <w:r w:rsidRPr="007B461F">
        <w:rPr>
          <w:rFonts w:ascii="Calibri" w:hAnsi="Calibri" w:cs="Calibri"/>
          <w:b/>
          <w:sz w:val="24"/>
          <w:szCs w:val="24"/>
        </w:rPr>
        <w:t xml:space="preserve"> nemohlo prověřovat v rámci monitorovací návštěvy objem peněžních prostředků</w:t>
      </w:r>
      <w:r w:rsidR="008C056A" w:rsidRPr="007B461F">
        <w:rPr>
          <w:rFonts w:ascii="Calibri" w:hAnsi="Calibri" w:cs="Calibri"/>
          <w:b/>
          <w:sz w:val="24"/>
          <w:szCs w:val="24"/>
        </w:rPr>
        <w:t xml:space="preserve">, který byl </w:t>
      </w:r>
      <w:proofErr w:type="spellStart"/>
      <w:r w:rsidR="008C056A" w:rsidRPr="007B461F">
        <w:rPr>
          <w:rFonts w:ascii="Calibri" w:hAnsi="Calibri" w:cs="Calibri"/>
          <w:b/>
          <w:sz w:val="24"/>
          <w:szCs w:val="24"/>
        </w:rPr>
        <w:t>MZd</w:t>
      </w:r>
      <w:proofErr w:type="spellEnd"/>
      <w:r w:rsidR="008C056A" w:rsidRPr="007B461F">
        <w:rPr>
          <w:rFonts w:ascii="Calibri" w:hAnsi="Calibri" w:cs="Calibri"/>
          <w:b/>
          <w:sz w:val="24"/>
          <w:szCs w:val="24"/>
        </w:rPr>
        <w:t xml:space="preserve"> vyplacen v období od 1. 7. 2018 do zahájení monitorovací návštěvy </w:t>
      </w:r>
      <w:proofErr w:type="spellStart"/>
      <w:r w:rsidR="008C056A" w:rsidRPr="007B461F">
        <w:rPr>
          <w:rFonts w:ascii="Calibri" w:hAnsi="Calibri" w:cs="Calibri"/>
          <w:b/>
          <w:sz w:val="24"/>
          <w:szCs w:val="24"/>
        </w:rPr>
        <w:t>MZd</w:t>
      </w:r>
      <w:proofErr w:type="spellEnd"/>
      <w:r w:rsidR="002F3D55" w:rsidRPr="007B461F">
        <w:rPr>
          <w:rFonts w:ascii="Calibri" w:hAnsi="Calibri" w:cs="Calibri"/>
          <w:b/>
          <w:sz w:val="24"/>
          <w:szCs w:val="24"/>
        </w:rPr>
        <w:t>, tj.</w:t>
      </w:r>
      <w:r w:rsidR="001179E9" w:rsidRPr="007B461F">
        <w:rPr>
          <w:rFonts w:ascii="Calibri" w:hAnsi="Calibri" w:cs="Calibri"/>
          <w:b/>
          <w:sz w:val="24"/>
          <w:szCs w:val="24"/>
        </w:rPr>
        <w:t> </w:t>
      </w:r>
      <w:r w:rsidR="006F66A4" w:rsidRPr="007B461F">
        <w:rPr>
          <w:rFonts w:ascii="Calibri" w:hAnsi="Calibri" w:cs="Calibri"/>
          <w:b/>
          <w:sz w:val="24"/>
          <w:szCs w:val="24"/>
        </w:rPr>
        <w:t>299,83 mil. Kč</w:t>
      </w:r>
      <w:r w:rsidR="00DE18C3" w:rsidRPr="007B461F">
        <w:rPr>
          <w:rFonts w:ascii="Calibri" w:hAnsi="Calibri" w:cs="Calibri"/>
          <w:b/>
          <w:sz w:val="24"/>
          <w:szCs w:val="24"/>
        </w:rPr>
        <w:t>.</w:t>
      </w:r>
    </w:p>
    <w:p w:rsidR="00947CCF" w:rsidRPr="007B461F" w:rsidRDefault="002C761F" w:rsidP="007B461F">
      <w:pPr>
        <w:spacing w:after="120"/>
        <w:jc w:val="both"/>
        <w:rPr>
          <w:rFonts w:ascii="Calibri" w:hAnsi="Calibri" w:cs="Calibri"/>
          <w:sz w:val="24"/>
          <w:szCs w:val="24"/>
          <w:u w:val="single"/>
          <w:lang w:eastAsia="en-US"/>
        </w:rPr>
      </w:pPr>
      <w:r w:rsidRPr="007B461F">
        <w:rPr>
          <w:rFonts w:ascii="Calibri" w:eastAsia="Times New Roman" w:hAnsi="Calibri" w:cs="Calibri"/>
          <w:sz w:val="24"/>
          <w:szCs w:val="24"/>
          <w:lang w:eastAsia="en-US"/>
        </w:rPr>
        <w:t xml:space="preserve">MMR schválilo výše uvedené projekty jako </w:t>
      </w:r>
      <w:proofErr w:type="spellStart"/>
      <w:r w:rsidRPr="007B461F">
        <w:rPr>
          <w:rFonts w:ascii="Calibri" w:eastAsia="Times New Roman" w:hAnsi="Calibri" w:cs="Calibri"/>
          <w:sz w:val="24"/>
          <w:szCs w:val="24"/>
          <w:lang w:eastAsia="en-US"/>
        </w:rPr>
        <w:t>jednoetapové</w:t>
      </w:r>
      <w:proofErr w:type="spellEnd"/>
      <w:r w:rsidR="0025610B" w:rsidRPr="007B461F">
        <w:rPr>
          <w:rFonts w:ascii="Calibri" w:eastAsia="Times New Roman" w:hAnsi="Calibri" w:cs="Calibri"/>
          <w:sz w:val="24"/>
          <w:szCs w:val="24"/>
          <w:lang w:eastAsia="en-US"/>
        </w:rPr>
        <w:t>. U</w:t>
      </w:r>
      <w:r w:rsidRPr="007B461F">
        <w:rPr>
          <w:rFonts w:ascii="Calibri" w:eastAsia="Times New Roman" w:hAnsi="Calibri" w:cs="Calibri"/>
          <w:sz w:val="24"/>
          <w:szCs w:val="24"/>
          <w:lang w:eastAsia="en-US"/>
        </w:rPr>
        <w:t xml:space="preserve"> FN Brno se </w:t>
      </w:r>
      <w:r w:rsidR="0025610B" w:rsidRPr="007B461F">
        <w:rPr>
          <w:rFonts w:ascii="Calibri" w:eastAsia="Times New Roman" w:hAnsi="Calibri" w:cs="Calibri"/>
          <w:sz w:val="24"/>
          <w:szCs w:val="24"/>
          <w:lang w:eastAsia="en-US"/>
        </w:rPr>
        <w:t xml:space="preserve">následně projekt </w:t>
      </w:r>
      <w:r w:rsidRPr="007B461F">
        <w:rPr>
          <w:rFonts w:ascii="Calibri" w:eastAsia="Times New Roman" w:hAnsi="Calibri" w:cs="Calibri"/>
          <w:sz w:val="24"/>
          <w:szCs w:val="24"/>
          <w:lang w:eastAsia="en-US"/>
        </w:rPr>
        <w:t>změnil na dvouetapový.</w:t>
      </w:r>
      <w:r w:rsidRPr="007B461F">
        <w:rPr>
          <w:rFonts w:ascii="Calibri" w:eastAsia="Times New Roman" w:hAnsi="Calibri" w:cs="Calibri"/>
          <w:b/>
          <w:sz w:val="24"/>
          <w:szCs w:val="24"/>
          <w:lang w:eastAsia="en-US"/>
        </w:rPr>
        <w:t xml:space="preserve"> MMR tím přeneslo veškerou zodpovědnost </w:t>
      </w:r>
      <w:r w:rsidRPr="007B461F">
        <w:rPr>
          <w:rFonts w:ascii="Calibri" w:eastAsia="Times New Roman" w:hAnsi="Calibri" w:cs="Calibri"/>
          <w:sz w:val="24"/>
          <w:szCs w:val="24"/>
          <w:lang w:eastAsia="en-US"/>
        </w:rPr>
        <w:t>za provádění průběžné kontroly dodržování jím stanovených podmínek dotace (vyjma oblasti veřejných zakázek, které jsou ze strany CRR průběžně administrativně kontrolovány)</w:t>
      </w:r>
      <w:r w:rsidRPr="007B461F">
        <w:rPr>
          <w:rFonts w:ascii="Calibri" w:eastAsia="Times New Roman" w:hAnsi="Calibri" w:cs="Calibri"/>
          <w:b/>
          <w:sz w:val="24"/>
          <w:szCs w:val="24"/>
          <w:lang w:eastAsia="en-US"/>
        </w:rPr>
        <w:t xml:space="preserve"> na </w:t>
      </w:r>
      <w:proofErr w:type="spellStart"/>
      <w:r w:rsidRPr="007B461F">
        <w:rPr>
          <w:rFonts w:ascii="Calibri" w:eastAsia="Times New Roman" w:hAnsi="Calibri" w:cs="Calibri"/>
          <w:b/>
          <w:sz w:val="24"/>
          <w:szCs w:val="24"/>
          <w:lang w:eastAsia="en-US"/>
        </w:rPr>
        <w:t>MZd</w:t>
      </w:r>
      <w:proofErr w:type="spellEnd"/>
      <w:r w:rsidRPr="007B461F">
        <w:rPr>
          <w:rFonts w:ascii="Calibri" w:eastAsia="Times New Roman" w:hAnsi="Calibri" w:cs="Calibri"/>
          <w:b/>
          <w:sz w:val="24"/>
          <w:szCs w:val="24"/>
          <w:lang w:eastAsia="en-US"/>
        </w:rPr>
        <w:t xml:space="preserve">, které projekt financuje prostřednictvím programu předfinancování. </w:t>
      </w:r>
      <w:r w:rsidRPr="007B461F">
        <w:rPr>
          <w:rFonts w:ascii="Calibri" w:eastAsia="Times New Roman" w:hAnsi="Calibri" w:cs="Calibri"/>
          <w:sz w:val="24"/>
          <w:szCs w:val="24"/>
          <w:lang w:eastAsia="en-US"/>
        </w:rPr>
        <w:t>MMR zajistí kontrolu druhé fáze projektu, resp. celého projektu až po jeho faktickém ukončení, tj. po předložení žádosti o</w:t>
      </w:r>
      <w:r w:rsidR="00612D8E" w:rsidRPr="007B461F">
        <w:rPr>
          <w:rFonts w:ascii="Calibri" w:eastAsia="Times New Roman" w:hAnsi="Calibri" w:cs="Calibri"/>
          <w:sz w:val="24"/>
          <w:szCs w:val="24"/>
          <w:lang w:eastAsia="en-US"/>
        </w:rPr>
        <w:t> </w:t>
      </w:r>
      <w:r w:rsidRPr="007B461F">
        <w:rPr>
          <w:rFonts w:ascii="Calibri" w:eastAsia="Times New Roman" w:hAnsi="Calibri" w:cs="Calibri"/>
          <w:sz w:val="24"/>
          <w:szCs w:val="24"/>
          <w:lang w:eastAsia="en-US"/>
        </w:rPr>
        <w:t xml:space="preserve">platbu, tedy po proplacení veškerých prostředků ze </w:t>
      </w:r>
      <w:r w:rsidR="00F35FA7" w:rsidRPr="007B461F">
        <w:rPr>
          <w:rFonts w:ascii="Calibri" w:eastAsia="Times New Roman" w:hAnsi="Calibri" w:cs="Calibri"/>
          <w:sz w:val="24"/>
          <w:szCs w:val="24"/>
          <w:lang w:eastAsia="en-US"/>
        </w:rPr>
        <w:t>SR</w:t>
      </w:r>
      <w:r w:rsidRPr="007B461F">
        <w:rPr>
          <w:rFonts w:ascii="Calibri" w:eastAsia="Times New Roman" w:hAnsi="Calibri" w:cs="Calibri"/>
          <w:sz w:val="24"/>
          <w:szCs w:val="24"/>
          <w:lang w:eastAsia="en-US"/>
        </w:rPr>
        <w:t>.</w:t>
      </w:r>
      <w:r w:rsidRPr="007B461F">
        <w:rPr>
          <w:rFonts w:ascii="Calibri" w:eastAsia="Times New Roman" w:hAnsi="Calibri" w:cs="Calibri"/>
          <w:b/>
          <w:sz w:val="24"/>
          <w:szCs w:val="24"/>
          <w:lang w:eastAsia="en-US"/>
        </w:rPr>
        <w:t xml:space="preserve"> V případě nedodržení některé podmínky </w:t>
      </w:r>
      <w:r w:rsidR="000B3BC7" w:rsidRPr="007B461F">
        <w:rPr>
          <w:rFonts w:ascii="Calibri" w:eastAsia="Times New Roman" w:hAnsi="Calibri" w:cs="Calibri"/>
          <w:b/>
          <w:sz w:val="24"/>
          <w:szCs w:val="24"/>
          <w:lang w:eastAsia="en-US"/>
        </w:rPr>
        <w:t>nebude</w:t>
      </w:r>
      <w:r w:rsidRPr="007B461F">
        <w:rPr>
          <w:rFonts w:ascii="Calibri" w:eastAsia="Times New Roman" w:hAnsi="Calibri" w:cs="Calibri"/>
          <w:b/>
          <w:sz w:val="24"/>
          <w:szCs w:val="24"/>
          <w:lang w:eastAsia="en-US"/>
        </w:rPr>
        <w:t xml:space="preserve"> dotace ze zdrojů EU</w:t>
      </w:r>
      <w:r w:rsidR="000B3BC7" w:rsidRPr="007B461F">
        <w:rPr>
          <w:rFonts w:ascii="Calibri" w:eastAsia="Times New Roman" w:hAnsi="Calibri" w:cs="Calibri"/>
          <w:b/>
          <w:sz w:val="24"/>
          <w:szCs w:val="24"/>
          <w:lang w:eastAsia="en-US"/>
        </w:rPr>
        <w:t xml:space="preserve"> proplacena</w:t>
      </w:r>
      <w:r w:rsidRPr="007B461F">
        <w:rPr>
          <w:rFonts w:ascii="Calibri" w:eastAsia="Times New Roman" w:hAnsi="Calibri" w:cs="Calibri"/>
          <w:b/>
          <w:sz w:val="24"/>
          <w:szCs w:val="24"/>
          <w:lang w:eastAsia="en-US"/>
        </w:rPr>
        <w:t xml:space="preserve">, přestože část dotace bude již </w:t>
      </w:r>
      <w:r w:rsidR="000B3BC7" w:rsidRPr="007B461F">
        <w:rPr>
          <w:rFonts w:ascii="Calibri" w:eastAsia="Times New Roman" w:hAnsi="Calibri" w:cs="Calibri"/>
          <w:b/>
          <w:sz w:val="24"/>
          <w:szCs w:val="24"/>
          <w:lang w:eastAsia="en-US"/>
        </w:rPr>
        <w:t xml:space="preserve">uhrazena </w:t>
      </w:r>
      <w:r w:rsidRPr="007B461F">
        <w:rPr>
          <w:rFonts w:ascii="Calibri" w:eastAsia="Times New Roman" w:hAnsi="Calibri" w:cs="Calibri"/>
          <w:b/>
          <w:sz w:val="24"/>
          <w:szCs w:val="24"/>
          <w:lang w:eastAsia="en-US"/>
        </w:rPr>
        <w:t>z</w:t>
      </w:r>
      <w:r w:rsidR="00642C69" w:rsidRPr="007B461F">
        <w:rPr>
          <w:rFonts w:ascii="Calibri" w:eastAsia="Times New Roman" w:hAnsi="Calibri" w:cs="Calibri"/>
          <w:b/>
          <w:sz w:val="24"/>
          <w:szCs w:val="24"/>
          <w:lang w:eastAsia="en-US"/>
        </w:rPr>
        <w:t> </w:t>
      </w:r>
      <w:r w:rsidRPr="007B461F">
        <w:rPr>
          <w:rFonts w:ascii="Calibri" w:eastAsia="Times New Roman" w:hAnsi="Calibri" w:cs="Calibri"/>
          <w:b/>
          <w:sz w:val="24"/>
          <w:szCs w:val="24"/>
          <w:lang w:eastAsia="en-US"/>
        </w:rPr>
        <w:t>národních zdrojů, tj. ze státního rozpočtu.</w:t>
      </w:r>
    </w:p>
    <w:p w:rsidR="0074783A" w:rsidRPr="0013532E" w:rsidRDefault="002C761F" w:rsidP="00895A0D">
      <w:pPr>
        <w:keepNext/>
        <w:widowControl/>
        <w:tabs>
          <w:tab w:val="left" w:pos="0"/>
        </w:tabs>
        <w:autoSpaceDE/>
        <w:autoSpaceDN/>
        <w:adjustRightInd/>
        <w:spacing w:before="240" w:after="120"/>
        <w:jc w:val="both"/>
        <w:rPr>
          <w:rFonts w:ascii="Calibri" w:hAnsi="Calibri" w:cs="Calibri"/>
          <w:b/>
          <w:sz w:val="24"/>
          <w:szCs w:val="24"/>
          <w:lang w:eastAsia="en-US"/>
        </w:rPr>
      </w:pPr>
      <w:r w:rsidRPr="0013532E">
        <w:rPr>
          <w:rFonts w:ascii="Calibri" w:hAnsi="Calibri" w:cs="Calibri"/>
          <w:b/>
          <w:sz w:val="24"/>
          <w:szCs w:val="24"/>
          <w:lang w:eastAsia="en-US"/>
        </w:rPr>
        <w:t xml:space="preserve">4. </w:t>
      </w:r>
      <w:r w:rsidR="00003B4A" w:rsidRPr="0013532E">
        <w:rPr>
          <w:rFonts w:ascii="Calibri" w:hAnsi="Calibri" w:cs="Calibri"/>
          <w:b/>
          <w:sz w:val="24"/>
          <w:szCs w:val="24"/>
          <w:lang w:eastAsia="en-US"/>
        </w:rPr>
        <w:t>F</w:t>
      </w:r>
      <w:r w:rsidRPr="0013532E">
        <w:rPr>
          <w:rFonts w:ascii="Calibri" w:hAnsi="Calibri" w:cs="Calibri"/>
          <w:b/>
          <w:sz w:val="24"/>
          <w:szCs w:val="24"/>
          <w:lang w:eastAsia="en-US"/>
        </w:rPr>
        <w:t>inancování nezpůsobilých výdajů příjemce FN</w:t>
      </w:r>
      <w:r w:rsidR="007F4258" w:rsidRPr="0013532E">
        <w:rPr>
          <w:rFonts w:ascii="Calibri" w:hAnsi="Calibri" w:cs="Calibri"/>
          <w:b/>
          <w:sz w:val="24"/>
          <w:szCs w:val="24"/>
          <w:lang w:eastAsia="en-US"/>
        </w:rPr>
        <w:t xml:space="preserve"> </w:t>
      </w:r>
      <w:r w:rsidRPr="0013532E">
        <w:rPr>
          <w:rFonts w:ascii="Calibri" w:hAnsi="Calibri" w:cs="Calibri"/>
          <w:b/>
          <w:sz w:val="24"/>
          <w:szCs w:val="24"/>
          <w:lang w:eastAsia="en-US"/>
        </w:rPr>
        <w:t>B</w:t>
      </w:r>
      <w:r w:rsidR="007F4258" w:rsidRPr="0013532E">
        <w:rPr>
          <w:rFonts w:ascii="Calibri" w:hAnsi="Calibri" w:cs="Calibri"/>
          <w:b/>
          <w:sz w:val="24"/>
          <w:szCs w:val="24"/>
          <w:lang w:eastAsia="en-US"/>
        </w:rPr>
        <w:t>rno</w:t>
      </w:r>
      <w:r w:rsidRPr="0013532E">
        <w:rPr>
          <w:rFonts w:ascii="Calibri" w:hAnsi="Calibri" w:cs="Calibri"/>
          <w:b/>
          <w:sz w:val="24"/>
          <w:szCs w:val="24"/>
          <w:lang w:eastAsia="en-US"/>
        </w:rPr>
        <w:t xml:space="preserve"> formou dotace</w:t>
      </w:r>
    </w:p>
    <w:p w:rsidR="000508DE" w:rsidRPr="007B461F" w:rsidRDefault="000508DE" w:rsidP="007B461F">
      <w:pPr>
        <w:widowControl/>
        <w:tabs>
          <w:tab w:val="left" w:pos="0"/>
        </w:tabs>
        <w:autoSpaceDE/>
        <w:autoSpaceDN/>
        <w:adjustRightInd/>
        <w:spacing w:after="120"/>
        <w:jc w:val="both"/>
        <w:rPr>
          <w:rFonts w:ascii="Calibri" w:hAnsi="Calibri" w:cs="Calibri"/>
          <w:sz w:val="24"/>
          <w:szCs w:val="24"/>
          <w:lang w:eastAsia="en-US"/>
        </w:rPr>
      </w:pPr>
      <w:r w:rsidRPr="007B461F">
        <w:rPr>
          <w:rFonts w:ascii="Calibri" w:hAnsi="Calibri" w:cs="Calibri"/>
          <w:sz w:val="24"/>
          <w:szCs w:val="24"/>
          <w:lang w:eastAsia="en-US"/>
        </w:rPr>
        <w:t xml:space="preserve">Dle </w:t>
      </w:r>
      <w:r w:rsidR="00656F8E" w:rsidRPr="007B461F">
        <w:rPr>
          <w:rFonts w:ascii="Calibri" w:hAnsi="Calibri" w:cs="Calibri"/>
          <w:sz w:val="24"/>
          <w:szCs w:val="24"/>
          <w:lang w:eastAsia="en-US"/>
        </w:rPr>
        <w:t xml:space="preserve">obecných pravidel pro žadatele a příjemce </w:t>
      </w:r>
      <w:r w:rsidR="00244AA6" w:rsidRPr="007B461F">
        <w:rPr>
          <w:rFonts w:ascii="Calibri" w:hAnsi="Calibri" w:cs="Calibri"/>
          <w:sz w:val="24"/>
          <w:szCs w:val="24"/>
          <w:lang w:eastAsia="en-US"/>
        </w:rPr>
        <w:t>(dále také „obecná pravidla IROP“)</w:t>
      </w:r>
      <w:r w:rsidRPr="007B461F">
        <w:rPr>
          <w:rFonts w:ascii="Calibri" w:hAnsi="Calibri" w:cs="Calibri"/>
          <w:sz w:val="24"/>
          <w:szCs w:val="24"/>
          <w:lang w:eastAsia="en-US"/>
        </w:rPr>
        <w:t xml:space="preserve"> vydává </w:t>
      </w:r>
      <w:proofErr w:type="spellStart"/>
      <w:r w:rsidRPr="007B461F">
        <w:rPr>
          <w:rFonts w:ascii="Calibri" w:hAnsi="Calibri" w:cs="Calibri"/>
          <w:sz w:val="24"/>
          <w:szCs w:val="24"/>
          <w:lang w:eastAsia="en-US"/>
        </w:rPr>
        <w:t>MZd</w:t>
      </w:r>
      <w:proofErr w:type="spellEnd"/>
      <w:r w:rsidRPr="007B461F">
        <w:rPr>
          <w:rFonts w:ascii="Calibri" w:hAnsi="Calibri" w:cs="Calibri"/>
          <w:sz w:val="24"/>
          <w:szCs w:val="24"/>
          <w:lang w:eastAsia="en-US"/>
        </w:rPr>
        <w:t xml:space="preserve"> rozhodnutí o poskytnutí dotace </w:t>
      </w:r>
      <w:r w:rsidRPr="007B461F">
        <w:rPr>
          <w:rFonts w:ascii="Calibri" w:hAnsi="Calibri" w:cs="Calibri"/>
          <w:bCs/>
          <w:iCs/>
          <w:sz w:val="24"/>
          <w:szCs w:val="24"/>
        </w:rPr>
        <w:t xml:space="preserve">(dále také „rozhodnutí“) příjemci na základě zaslaného </w:t>
      </w:r>
      <w:r w:rsidR="00AF6151" w:rsidRPr="007B461F">
        <w:rPr>
          <w:rFonts w:ascii="Calibri" w:hAnsi="Calibri" w:cs="Calibri"/>
          <w:bCs/>
          <w:iCs/>
          <w:sz w:val="24"/>
          <w:szCs w:val="24"/>
        </w:rPr>
        <w:t>d</w:t>
      </w:r>
      <w:r w:rsidRPr="007B461F">
        <w:rPr>
          <w:rFonts w:ascii="Calibri" w:hAnsi="Calibri" w:cs="Calibri"/>
          <w:bCs/>
          <w:iCs/>
          <w:sz w:val="24"/>
          <w:szCs w:val="24"/>
        </w:rPr>
        <w:t xml:space="preserve">opisu </w:t>
      </w:r>
      <w:r w:rsidR="007E0DE0" w:rsidRPr="007B461F">
        <w:rPr>
          <w:rFonts w:ascii="Calibri" w:hAnsi="Calibri" w:cs="Calibri"/>
          <w:bCs/>
          <w:iCs/>
          <w:sz w:val="24"/>
          <w:szCs w:val="24"/>
        </w:rPr>
        <w:lastRenderedPageBreak/>
        <w:t>včetně</w:t>
      </w:r>
      <w:r w:rsidRPr="007B461F">
        <w:rPr>
          <w:rFonts w:ascii="Calibri" w:hAnsi="Calibri" w:cs="Calibri"/>
          <w:bCs/>
          <w:iCs/>
          <w:sz w:val="24"/>
          <w:szCs w:val="24"/>
        </w:rPr>
        <w:t xml:space="preserve"> </w:t>
      </w:r>
      <w:r w:rsidR="00AF6151" w:rsidRPr="007B461F">
        <w:rPr>
          <w:rFonts w:ascii="Calibri" w:hAnsi="Calibri" w:cs="Calibri"/>
          <w:bCs/>
          <w:iCs/>
          <w:sz w:val="24"/>
          <w:szCs w:val="24"/>
        </w:rPr>
        <w:t>p</w:t>
      </w:r>
      <w:r w:rsidRPr="007B461F">
        <w:rPr>
          <w:rFonts w:ascii="Calibri" w:hAnsi="Calibri" w:cs="Calibri"/>
          <w:bCs/>
          <w:iCs/>
          <w:sz w:val="24"/>
          <w:szCs w:val="24"/>
        </w:rPr>
        <w:t xml:space="preserve">odmínek ŘO IROP. </w:t>
      </w:r>
      <w:proofErr w:type="spellStart"/>
      <w:r w:rsidRPr="007B461F">
        <w:rPr>
          <w:rFonts w:ascii="Calibri" w:hAnsi="Calibri" w:cs="Calibri"/>
          <w:bCs/>
          <w:iCs/>
          <w:sz w:val="24"/>
          <w:szCs w:val="24"/>
        </w:rPr>
        <w:t>MZd</w:t>
      </w:r>
      <w:proofErr w:type="spellEnd"/>
      <w:r w:rsidRPr="007B461F">
        <w:rPr>
          <w:rFonts w:ascii="Calibri" w:hAnsi="Calibri" w:cs="Calibri"/>
          <w:bCs/>
          <w:iCs/>
          <w:sz w:val="24"/>
          <w:szCs w:val="24"/>
        </w:rPr>
        <w:t xml:space="preserve"> může se souhlasem ŘO IROP podmínky rozhodnutí doplnit o</w:t>
      </w:r>
      <w:r w:rsidR="007E0DE0" w:rsidRPr="007B461F">
        <w:rPr>
          <w:rFonts w:ascii="Calibri" w:hAnsi="Calibri" w:cs="Calibri"/>
          <w:bCs/>
          <w:iCs/>
          <w:sz w:val="24"/>
          <w:szCs w:val="24"/>
        </w:rPr>
        <w:t> </w:t>
      </w:r>
      <w:r w:rsidRPr="007B461F">
        <w:rPr>
          <w:rFonts w:ascii="Calibri" w:hAnsi="Calibri" w:cs="Calibri"/>
          <w:bCs/>
          <w:iCs/>
          <w:sz w:val="24"/>
          <w:szCs w:val="24"/>
        </w:rPr>
        <w:t>další specifické povinnosti.</w:t>
      </w:r>
    </w:p>
    <w:p w:rsidR="00E866FF" w:rsidRPr="007B461F" w:rsidRDefault="002C761F" w:rsidP="007B461F">
      <w:pPr>
        <w:spacing w:after="120"/>
        <w:jc w:val="both"/>
        <w:rPr>
          <w:rFonts w:ascii="Calibri" w:hAnsi="Calibri" w:cs="Calibri"/>
          <w:sz w:val="24"/>
          <w:szCs w:val="24"/>
          <w:u w:color="FFFFFF"/>
        </w:rPr>
      </w:pPr>
      <w:r w:rsidRPr="007B461F">
        <w:rPr>
          <w:rFonts w:ascii="Calibri" w:hAnsi="Calibri" w:cs="Calibri"/>
          <w:sz w:val="24"/>
          <w:szCs w:val="24"/>
          <w:u w:color="FFFFFF"/>
        </w:rPr>
        <w:t xml:space="preserve">V průběhu realizace </w:t>
      </w:r>
      <w:r w:rsidR="00FF19B9" w:rsidRPr="007B461F">
        <w:rPr>
          <w:rFonts w:ascii="Calibri" w:hAnsi="Calibri" w:cs="Calibri"/>
          <w:sz w:val="24"/>
          <w:szCs w:val="24"/>
          <w:u w:color="FFFFFF"/>
        </w:rPr>
        <w:t>projektu</w:t>
      </w:r>
      <w:r w:rsidRPr="007B461F">
        <w:rPr>
          <w:rFonts w:ascii="Calibri" w:hAnsi="Calibri" w:cs="Calibri"/>
          <w:sz w:val="24"/>
          <w:szCs w:val="24"/>
          <w:u w:color="FFFFFF"/>
        </w:rPr>
        <w:t xml:space="preserve"> požádal příjemce FN</w:t>
      </w:r>
      <w:r w:rsidR="00FF19B9" w:rsidRPr="007B461F">
        <w:rPr>
          <w:rFonts w:ascii="Calibri" w:hAnsi="Calibri" w:cs="Calibri"/>
          <w:sz w:val="24"/>
          <w:szCs w:val="24"/>
          <w:u w:color="FFFFFF"/>
        </w:rPr>
        <w:t xml:space="preserve"> </w:t>
      </w:r>
      <w:r w:rsidRPr="007B461F">
        <w:rPr>
          <w:rFonts w:ascii="Calibri" w:hAnsi="Calibri" w:cs="Calibri"/>
          <w:sz w:val="24"/>
          <w:szCs w:val="24"/>
          <w:u w:color="FFFFFF"/>
        </w:rPr>
        <w:t>B</w:t>
      </w:r>
      <w:r w:rsidR="00FF19B9" w:rsidRPr="007B461F">
        <w:rPr>
          <w:rFonts w:ascii="Calibri" w:hAnsi="Calibri" w:cs="Calibri"/>
          <w:sz w:val="24"/>
          <w:szCs w:val="24"/>
          <w:u w:color="FFFFFF"/>
        </w:rPr>
        <w:t>rno</w:t>
      </w:r>
      <w:r w:rsidRPr="007B461F">
        <w:rPr>
          <w:rFonts w:ascii="Calibri" w:hAnsi="Calibri" w:cs="Calibri"/>
          <w:sz w:val="24"/>
          <w:szCs w:val="24"/>
          <w:u w:color="FFFFFF"/>
        </w:rPr>
        <w:t xml:space="preserve"> dopisem </w:t>
      </w:r>
      <w:proofErr w:type="spellStart"/>
      <w:r w:rsidRPr="007B461F">
        <w:rPr>
          <w:rFonts w:ascii="Calibri" w:hAnsi="Calibri" w:cs="Calibri"/>
          <w:sz w:val="24"/>
          <w:szCs w:val="24"/>
          <w:u w:color="FFFFFF"/>
        </w:rPr>
        <w:t>MZd</w:t>
      </w:r>
      <w:proofErr w:type="spellEnd"/>
      <w:r w:rsidRPr="007B461F">
        <w:rPr>
          <w:rFonts w:ascii="Calibri" w:hAnsi="Calibri" w:cs="Calibri"/>
          <w:sz w:val="24"/>
          <w:szCs w:val="24"/>
          <w:u w:color="FFFFFF"/>
        </w:rPr>
        <w:t xml:space="preserve"> o posouzení možnosti krytí části nezpůsobilých výdajů z prostředků SR, a to z důvodu navýšení ceny za stavební práce dle výsledku zadávacího řízení. </w:t>
      </w:r>
      <w:proofErr w:type="spellStart"/>
      <w:r w:rsidRPr="007B461F">
        <w:rPr>
          <w:rFonts w:ascii="Calibri" w:hAnsi="Calibri" w:cs="Calibri"/>
          <w:sz w:val="24"/>
          <w:szCs w:val="24"/>
          <w:u w:color="FFFFFF"/>
        </w:rPr>
        <w:t>MZd</w:t>
      </w:r>
      <w:proofErr w:type="spellEnd"/>
      <w:r w:rsidRPr="007B461F">
        <w:rPr>
          <w:rFonts w:ascii="Calibri" w:hAnsi="Calibri" w:cs="Calibri"/>
          <w:sz w:val="24"/>
          <w:szCs w:val="24"/>
          <w:u w:color="FFFFFF"/>
        </w:rPr>
        <w:t xml:space="preserve"> následně vydalo změnové rozhodnutí ze dne 23. 10. 2019, dle kterého navýšilo dotaci na financování nezpůsobilých výdajů o </w:t>
      </w:r>
      <w:r w:rsidR="00213E90">
        <w:rPr>
          <w:rFonts w:ascii="Calibri" w:hAnsi="Calibri" w:cs="Calibri"/>
          <w:sz w:val="24"/>
          <w:szCs w:val="24"/>
          <w:u w:color="FFFFFF"/>
        </w:rPr>
        <w:t>částku</w:t>
      </w:r>
      <w:r w:rsidRPr="007B461F">
        <w:rPr>
          <w:rFonts w:ascii="Calibri" w:hAnsi="Calibri" w:cs="Calibri"/>
          <w:sz w:val="24"/>
          <w:szCs w:val="24"/>
          <w:u w:color="FFFFFF"/>
        </w:rPr>
        <w:t xml:space="preserve"> 50 235 910,65</w:t>
      </w:r>
      <w:r w:rsidR="00213E90">
        <w:rPr>
          <w:rFonts w:ascii="Calibri" w:hAnsi="Calibri" w:cs="Calibri"/>
          <w:sz w:val="24"/>
          <w:szCs w:val="24"/>
          <w:u w:color="FFFFFF"/>
        </w:rPr>
        <w:t> </w:t>
      </w:r>
      <w:r w:rsidRPr="007B461F">
        <w:rPr>
          <w:rFonts w:ascii="Calibri" w:hAnsi="Calibri" w:cs="Calibri"/>
          <w:sz w:val="24"/>
          <w:szCs w:val="24"/>
          <w:u w:color="FFFFFF"/>
        </w:rPr>
        <w:t xml:space="preserve">Kč. </w:t>
      </w:r>
    </w:p>
    <w:p w:rsidR="0074783A" w:rsidRPr="007B461F" w:rsidRDefault="002C761F" w:rsidP="007B461F">
      <w:pPr>
        <w:spacing w:after="120"/>
        <w:jc w:val="both"/>
        <w:rPr>
          <w:rFonts w:ascii="Calibri" w:hAnsi="Calibri" w:cs="Calibri"/>
          <w:sz w:val="24"/>
          <w:szCs w:val="24"/>
          <w:u w:color="FFFFFF"/>
        </w:rPr>
      </w:pPr>
      <w:r w:rsidRPr="007B461F">
        <w:rPr>
          <w:rFonts w:ascii="Calibri" w:hAnsi="Calibri" w:cs="Calibri"/>
          <w:sz w:val="24"/>
          <w:szCs w:val="24"/>
          <w:u w:color="FFFFFF"/>
        </w:rPr>
        <w:t xml:space="preserve">Tímto jednáním </w:t>
      </w:r>
      <w:proofErr w:type="spellStart"/>
      <w:r w:rsidRPr="007B461F">
        <w:rPr>
          <w:rFonts w:ascii="Calibri" w:hAnsi="Calibri" w:cs="Calibri"/>
          <w:sz w:val="24"/>
          <w:szCs w:val="24"/>
          <w:u w:color="FFFFFF"/>
        </w:rPr>
        <w:t>MZd</w:t>
      </w:r>
      <w:proofErr w:type="spellEnd"/>
      <w:r w:rsidRPr="007B461F">
        <w:rPr>
          <w:rFonts w:ascii="Calibri" w:hAnsi="Calibri" w:cs="Calibri"/>
          <w:sz w:val="24"/>
          <w:szCs w:val="24"/>
          <w:u w:color="FFFFFF"/>
        </w:rPr>
        <w:t xml:space="preserve"> nedodrželo závazné podíly spolufinancování pro projekt realizovaný z IROP k plnění </w:t>
      </w:r>
      <w:r w:rsidR="00FF19B9" w:rsidRPr="007B461F">
        <w:rPr>
          <w:rFonts w:ascii="Calibri" w:hAnsi="Calibri" w:cs="Calibri"/>
          <w:sz w:val="24"/>
          <w:szCs w:val="24"/>
          <w:u w:color="FFFFFF"/>
        </w:rPr>
        <w:t>SC</w:t>
      </w:r>
      <w:r w:rsidRPr="007B461F">
        <w:rPr>
          <w:rFonts w:ascii="Calibri" w:hAnsi="Calibri" w:cs="Calibri"/>
          <w:sz w:val="24"/>
          <w:szCs w:val="24"/>
          <w:u w:color="FFFFFF"/>
        </w:rPr>
        <w:t xml:space="preserve"> 2.3, spolufinancovaný z</w:t>
      </w:r>
      <w:r w:rsidR="009662FA">
        <w:rPr>
          <w:rFonts w:ascii="Calibri" w:hAnsi="Calibri" w:cs="Calibri"/>
          <w:sz w:val="24"/>
          <w:szCs w:val="24"/>
          <w:u w:color="FFFFFF"/>
        </w:rPr>
        <w:t> </w:t>
      </w:r>
      <w:r w:rsidRPr="007B461F">
        <w:rPr>
          <w:rFonts w:ascii="Calibri" w:hAnsi="Calibri" w:cs="Calibri"/>
          <w:sz w:val="24"/>
          <w:szCs w:val="24"/>
          <w:u w:color="FFFFFF"/>
        </w:rPr>
        <w:t>EFRR</w:t>
      </w:r>
      <w:r w:rsidR="009662FA">
        <w:rPr>
          <w:rFonts w:ascii="Calibri" w:hAnsi="Calibri" w:cs="Calibri"/>
          <w:sz w:val="24"/>
          <w:szCs w:val="24"/>
          <w:u w:color="FFFFFF"/>
        </w:rPr>
        <w:t>,</w:t>
      </w:r>
      <w:r w:rsidRPr="007B461F">
        <w:rPr>
          <w:rFonts w:ascii="Calibri" w:hAnsi="Calibri" w:cs="Calibri"/>
          <w:sz w:val="24"/>
          <w:szCs w:val="24"/>
          <w:u w:color="FFFFFF"/>
        </w:rPr>
        <w:t xml:space="preserve"> tím, že navýšilo závazný maximální podíl financování ze SR z 15 % ve výši 86 699 985 Kč o částku nezpůsobilých výdajů ve výši 50 235 910,65</w:t>
      </w:r>
      <w:r w:rsidR="00213E90">
        <w:rPr>
          <w:rFonts w:ascii="Calibri" w:hAnsi="Calibri" w:cs="Calibri"/>
          <w:sz w:val="24"/>
          <w:szCs w:val="24"/>
          <w:u w:color="FFFFFF"/>
        </w:rPr>
        <w:t> </w:t>
      </w:r>
      <w:r w:rsidRPr="007B461F">
        <w:rPr>
          <w:rFonts w:ascii="Calibri" w:hAnsi="Calibri" w:cs="Calibri"/>
          <w:sz w:val="24"/>
          <w:szCs w:val="24"/>
          <w:u w:color="FFFFFF"/>
        </w:rPr>
        <w:t xml:space="preserve">Kč. </w:t>
      </w:r>
      <w:proofErr w:type="spellStart"/>
      <w:r w:rsidRPr="007B461F">
        <w:rPr>
          <w:rFonts w:ascii="Calibri" w:hAnsi="Calibri" w:cs="Calibri"/>
          <w:b/>
          <w:sz w:val="24"/>
          <w:szCs w:val="24"/>
          <w:u w:color="FFFFFF"/>
        </w:rPr>
        <w:t>MZd</w:t>
      </w:r>
      <w:proofErr w:type="spellEnd"/>
      <w:r w:rsidRPr="007B461F">
        <w:rPr>
          <w:rFonts w:ascii="Calibri" w:hAnsi="Calibri" w:cs="Calibri"/>
          <w:b/>
          <w:sz w:val="24"/>
          <w:szCs w:val="24"/>
          <w:u w:color="FFFFFF"/>
        </w:rPr>
        <w:t xml:space="preserve"> tak v rozporu s pravidly čerpání z EFRR navýšilo podíl financování ze</w:t>
      </w:r>
      <w:r w:rsidR="00612D8E" w:rsidRPr="007B461F">
        <w:rPr>
          <w:rFonts w:ascii="Calibri" w:hAnsi="Calibri" w:cs="Calibri"/>
          <w:b/>
          <w:sz w:val="24"/>
          <w:szCs w:val="24"/>
          <w:u w:color="FFFFFF"/>
        </w:rPr>
        <w:t> </w:t>
      </w:r>
      <w:r w:rsidRPr="007B461F">
        <w:rPr>
          <w:rFonts w:ascii="Calibri" w:hAnsi="Calibri" w:cs="Calibri"/>
          <w:b/>
          <w:sz w:val="24"/>
          <w:szCs w:val="24"/>
          <w:u w:color="FFFFFF"/>
        </w:rPr>
        <w:t>SR formou dotace o </w:t>
      </w:r>
      <w:r w:rsidR="00114DC1" w:rsidRPr="007B461F">
        <w:rPr>
          <w:rFonts w:ascii="Calibri" w:hAnsi="Calibri" w:cs="Calibri"/>
          <w:b/>
          <w:sz w:val="24"/>
          <w:szCs w:val="24"/>
          <w:u w:color="FFFFFF"/>
        </w:rPr>
        <w:t>polovinu</w:t>
      </w:r>
      <w:r w:rsidRPr="007B461F">
        <w:rPr>
          <w:rFonts w:ascii="Calibri" w:hAnsi="Calibri" w:cs="Calibri"/>
          <w:b/>
          <w:sz w:val="24"/>
          <w:szCs w:val="24"/>
          <w:u w:color="FFFFFF"/>
        </w:rPr>
        <w:t xml:space="preserve"> nezpůsobilých výdajů projektu. </w:t>
      </w:r>
      <w:r w:rsidRPr="007B461F">
        <w:rPr>
          <w:rFonts w:ascii="Calibri" w:hAnsi="Calibri" w:cs="Calibri"/>
          <w:sz w:val="24"/>
          <w:szCs w:val="24"/>
          <w:u w:color="FFFFFF"/>
        </w:rPr>
        <w:t>Závazné maximální podíly státního rozpočtu a minimální podíly příjemců dotací na národním spolufinancování se</w:t>
      </w:r>
      <w:r w:rsidR="00213E90">
        <w:rPr>
          <w:rFonts w:ascii="Calibri" w:hAnsi="Calibri" w:cs="Calibri"/>
          <w:sz w:val="24"/>
          <w:szCs w:val="24"/>
          <w:u w:color="FFFFFF"/>
        </w:rPr>
        <w:t xml:space="preserve"> </w:t>
      </w:r>
      <w:r w:rsidRPr="007B461F">
        <w:rPr>
          <w:rFonts w:ascii="Calibri" w:hAnsi="Calibri" w:cs="Calibri"/>
          <w:sz w:val="24"/>
          <w:szCs w:val="24"/>
          <w:u w:color="FFFFFF"/>
        </w:rPr>
        <w:t xml:space="preserve">týkají pouze způsobilých výdajů projektu. Pravidla financování z EFRR nepřipouští možnost financovat nezpůsobilé výdaje projektu formou dotace, resp. její navýšení o nezpůsobilé výdaje. </w:t>
      </w:r>
    </w:p>
    <w:p w:rsidR="0074783A" w:rsidRPr="007B461F" w:rsidRDefault="002C761F" w:rsidP="007B461F">
      <w:pPr>
        <w:spacing w:after="120"/>
        <w:jc w:val="both"/>
        <w:rPr>
          <w:rFonts w:ascii="Calibri" w:hAnsi="Calibri" w:cs="Calibri"/>
          <w:bCs/>
          <w:iCs/>
          <w:sz w:val="24"/>
          <w:szCs w:val="24"/>
        </w:rPr>
      </w:pPr>
      <w:proofErr w:type="spellStart"/>
      <w:r w:rsidRPr="007B461F">
        <w:rPr>
          <w:rFonts w:ascii="Calibri" w:hAnsi="Calibri" w:cs="Calibri"/>
          <w:b/>
          <w:bCs/>
          <w:iCs/>
          <w:sz w:val="24"/>
          <w:szCs w:val="24"/>
        </w:rPr>
        <w:t>MZd</w:t>
      </w:r>
      <w:proofErr w:type="spellEnd"/>
      <w:r w:rsidRPr="007B461F">
        <w:rPr>
          <w:rFonts w:ascii="Calibri" w:hAnsi="Calibri" w:cs="Calibri"/>
          <w:b/>
          <w:bCs/>
          <w:iCs/>
          <w:sz w:val="24"/>
          <w:szCs w:val="24"/>
        </w:rPr>
        <w:t xml:space="preserve"> porušilo závazné podmínky, které byly stanoveny a zaslány ze strany ŘO</w:t>
      </w:r>
      <w:r w:rsidR="002411A6" w:rsidRPr="007B461F">
        <w:rPr>
          <w:rFonts w:ascii="Calibri" w:hAnsi="Calibri" w:cs="Calibri"/>
          <w:b/>
          <w:bCs/>
          <w:iCs/>
          <w:sz w:val="24"/>
          <w:szCs w:val="24"/>
        </w:rPr>
        <w:t> </w:t>
      </w:r>
      <w:r w:rsidRPr="007B461F">
        <w:rPr>
          <w:rFonts w:ascii="Calibri" w:hAnsi="Calibri" w:cs="Calibri"/>
          <w:b/>
          <w:bCs/>
          <w:iCs/>
          <w:sz w:val="24"/>
          <w:szCs w:val="24"/>
        </w:rPr>
        <w:t xml:space="preserve">IROP dopisy ze dne 21. 8. 2019 a ze dne 10. 11. 2020, jež mělo </w:t>
      </w:r>
      <w:proofErr w:type="spellStart"/>
      <w:r w:rsidRPr="007B461F">
        <w:rPr>
          <w:rFonts w:ascii="Calibri" w:hAnsi="Calibri" w:cs="Calibri"/>
          <w:b/>
          <w:bCs/>
          <w:iCs/>
          <w:sz w:val="24"/>
          <w:szCs w:val="24"/>
        </w:rPr>
        <w:t>MZd</w:t>
      </w:r>
      <w:proofErr w:type="spellEnd"/>
      <w:r w:rsidRPr="007B461F">
        <w:rPr>
          <w:rFonts w:ascii="Calibri" w:hAnsi="Calibri" w:cs="Calibri"/>
          <w:b/>
          <w:bCs/>
          <w:iCs/>
          <w:sz w:val="24"/>
          <w:szCs w:val="24"/>
        </w:rPr>
        <w:t xml:space="preserve"> promítnout do nových změnových rozhodnutí</w:t>
      </w:r>
      <w:r w:rsidRPr="000955B0">
        <w:rPr>
          <w:rFonts w:ascii="Calibri" w:hAnsi="Calibri" w:cs="Calibri"/>
          <w:b/>
          <w:bCs/>
          <w:iCs/>
          <w:sz w:val="24"/>
          <w:szCs w:val="24"/>
        </w:rPr>
        <w:t>.</w:t>
      </w:r>
      <w:r w:rsidRPr="007B461F">
        <w:rPr>
          <w:rFonts w:ascii="Calibri" w:hAnsi="Calibri" w:cs="Calibri"/>
          <w:bCs/>
          <w:iCs/>
          <w:sz w:val="24"/>
          <w:szCs w:val="24"/>
        </w:rPr>
        <w:t xml:space="preserve"> </w:t>
      </w:r>
      <w:proofErr w:type="spellStart"/>
      <w:r w:rsidRPr="007B461F">
        <w:rPr>
          <w:rFonts w:ascii="Calibri" w:hAnsi="Calibri" w:cs="Calibri"/>
          <w:bCs/>
          <w:iCs/>
          <w:sz w:val="24"/>
          <w:szCs w:val="24"/>
        </w:rPr>
        <w:t>MZd</w:t>
      </w:r>
      <w:proofErr w:type="spellEnd"/>
      <w:r w:rsidRPr="007B461F">
        <w:rPr>
          <w:rFonts w:ascii="Calibri" w:hAnsi="Calibri" w:cs="Calibri"/>
          <w:bCs/>
          <w:iCs/>
          <w:sz w:val="24"/>
          <w:szCs w:val="24"/>
        </w:rPr>
        <w:t xml:space="preserve"> sice tyto podmínky převzalo a připojilo ke změnovým rozhodnutím, ale</w:t>
      </w:r>
      <w:r w:rsidR="007B461F">
        <w:rPr>
          <w:rFonts w:ascii="Calibri" w:hAnsi="Calibri" w:cs="Calibri"/>
          <w:bCs/>
          <w:iCs/>
          <w:sz w:val="24"/>
          <w:szCs w:val="24"/>
        </w:rPr>
        <w:t xml:space="preserve"> </w:t>
      </w:r>
      <w:r w:rsidRPr="007B461F">
        <w:rPr>
          <w:rFonts w:ascii="Calibri" w:hAnsi="Calibri" w:cs="Calibri"/>
          <w:bCs/>
          <w:iCs/>
          <w:sz w:val="24"/>
          <w:szCs w:val="24"/>
        </w:rPr>
        <w:t>v</w:t>
      </w:r>
      <w:r w:rsidR="009662FA">
        <w:rPr>
          <w:rFonts w:ascii="Calibri" w:hAnsi="Calibri" w:cs="Calibri"/>
          <w:bCs/>
          <w:iCs/>
          <w:sz w:val="24"/>
          <w:szCs w:val="24"/>
        </w:rPr>
        <w:t> </w:t>
      </w:r>
      <w:r w:rsidR="0025610B" w:rsidRPr="007B461F">
        <w:rPr>
          <w:rFonts w:ascii="Calibri" w:hAnsi="Calibri" w:cs="Calibri"/>
          <w:bCs/>
          <w:iCs/>
          <w:sz w:val="24"/>
          <w:szCs w:val="24"/>
        </w:rPr>
        <w:t>těchto</w:t>
      </w:r>
      <w:r w:rsidR="009662FA">
        <w:rPr>
          <w:rFonts w:ascii="Calibri" w:hAnsi="Calibri" w:cs="Calibri"/>
          <w:bCs/>
          <w:iCs/>
          <w:sz w:val="24"/>
          <w:szCs w:val="24"/>
        </w:rPr>
        <w:t xml:space="preserve"> </w:t>
      </w:r>
      <w:r w:rsidRPr="007B461F">
        <w:rPr>
          <w:rFonts w:ascii="Calibri" w:hAnsi="Calibri" w:cs="Calibri"/>
          <w:bCs/>
          <w:iCs/>
          <w:sz w:val="24"/>
          <w:szCs w:val="24"/>
        </w:rPr>
        <w:t>rozhodnutích, v rozporu s</w:t>
      </w:r>
      <w:r w:rsidR="005A194E" w:rsidRPr="007B461F">
        <w:rPr>
          <w:rFonts w:ascii="Calibri" w:hAnsi="Calibri" w:cs="Calibri"/>
          <w:bCs/>
          <w:iCs/>
          <w:sz w:val="24"/>
          <w:szCs w:val="24"/>
        </w:rPr>
        <w:t xml:space="preserve"> podmínkami</w:t>
      </w:r>
      <w:r w:rsidRPr="007B461F">
        <w:rPr>
          <w:rFonts w:ascii="Calibri" w:hAnsi="Calibri" w:cs="Calibri"/>
          <w:bCs/>
          <w:iCs/>
          <w:sz w:val="24"/>
          <w:szCs w:val="24"/>
        </w:rPr>
        <w:t xml:space="preserve">, nezahrnulo do vlastních zdrojů příjemce celkové nezpůsobilé výdaje ve výši 100 471 821,20 Kč. </w:t>
      </w:r>
      <w:proofErr w:type="spellStart"/>
      <w:r w:rsidRPr="007B461F">
        <w:rPr>
          <w:rFonts w:ascii="Calibri" w:hAnsi="Calibri" w:cs="Calibri"/>
          <w:bCs/>
          <w:iCs/>
          <w:sz w:val="24"/>
          <w:szCs w:val="24"/>
        </w:rPr>
        <w:t>MZd</w:t>
      </w:r>
      <w:proofErr w:type="spellEnd"/>
      <w:r w:rsidRPr="007B461F">
        <w:rPr>
          <w:rFonts w:ascii="Calibri" w:hAnsi="Calibri" w:cs="Calibri"/>
          <w:bCs/>
          <w:iCs/>
          <w:sz w:val="24"/>
          <w:szCs w:val="24"/>
        </w:rPr>
        <w:t xml:space="preserve"> zahrnulo do</w:t>
      </w:r>
      <w:r w:rsidR="00612D8E" w:rsidRPr="007B461F">
        <w:rPr>
          <w:rFonts w:ascii="Calibri" w:hAnsi="Calibri" w:cs="Calibri"/>
          <w:bCs/>
          <w:iCs/>
          <w:sz w:val="24"/>
          <w:szCs w:val="24"/>
        </w:rPr>
        <w:t> </w:t>
      </w:r>
      <w:r w:rsidRPr="007B461F">
        <w:rPr>
          <w:rFonts w:ascii="Calibri" w:hAnsi="Calibri" w:cs="Calibri"/>
          <w:bCs/>
          <w:iCs/>
          <w:sz w:val="24"/>
          <w:szCs w:val="24"/>
        </w:rPr>
        <w:t>vlastních zdrojů příjemce pouze</w:t>
      </w:r>
      <w:r w:rsidR="00114DC1" w:rsidRPr="007B461F">
        <w:rPr>
          <w:rFonts w:ascii="Calibri" w:hAnsi="Calibri" w:cs="Calibri"/>
          <w:bCs/>
          <w:iCs/>
          <w:sz w:val="24"/>
          <w:szCs w:val="24"/>
        </w:rPr>
        <w:t xml:space="preserve"> polovinu</w:t>
      </w:r>
      <w:r w:rsidR="009662FA">
        <w:rPr>
          <w:rFonts w:ascii="Calibri" w:hAnsi="Calibri" w:cs="Calibri"/>
          <w:bCs/>
          <w:iCs/>
          <w:sz w:val="24"/>
          <w:szCs w:val="24"/>
        </w:rPr>
        <w:t xml:space="preserve"> </w:t>
      </w:r>
      <w:r w:rsidRPr="007B461F">
        <w:rPr>
          <w:rFonts w:ascii="Calibri" w:hAnsi="Calibri" w:cs="Calibri"/>
          <w:bCs/>
          <w:iCs/>
          <w:sz w:val="24"/>
          <w:szCs w:val="24"/>
        </w:rPr>
        <w:t>těchto nezpůsobilých výdajů, tj. 50 235 910,65</w:t>
      </w:r>
      <w:r w:rsidR="00612D8E" w:rsidRPr="007B461F">
        <w:rPr>
          <w:rFonts w:ascii="Calibri" w:hAnsi="Calibri" w:cs="Calibri"/>
          <w:bCs/>
          <w:iCs/>
          <w:sz w:val="24"/>
          <w:szCs w:val="24"/>
        </w:rPr>
        <w:t> </w:t>
      </w:r>
      <w:r w:rsidRPr="007B461F">
        <w:rPr>
          <w:rFonts w:ascii="Calibri" w:hAnsi="Calibri" w:cs="Calibri"/>
          <w:bCs/>
          <w:iCs/>
          <w:sz w:val="24"/>
          <w:szCs w:val="24"/>
        </w:rPr>
        <w:t xml:space="preserve">Kč. </w:t>
      </w:r>
      <w:r w:rsidR="00614D08" w:rsidRPr="007B461F">
        <w:rPr>
          <w:rFonts w:ascii="Calibri" w:hAnsi="Calibri" w:cs="Calibri"/>
          <w:bCs/>
          <w:iCs/>
          <w:sz w:val="24"/>
          <w:szCs w:val="24"/>
        </w:rPr>
        <w:t>V</w:t>
      </w:r>
      <w:r w:rsidRPr="007B461F">
        <w:rPr>
          <w:rFonts w:ascii="Calibri" w:hAnsi="Calibri" w:cs="Calibri"/>
          <w:bCs/>
          <w:iCs/>
          <w:sz w:val="24"/>
          <w:szCs w:val="24"/>
        </w:rPr>
        <w:t> rozporu s podmínkami stanovenými ŘO IROP</w:t>
      </w:r>
      <w:r w:rsidR="00614D08" w:rsidRPr="007B461F">
        <w:rPr>
          <w:rFonts w:ascii="Calibri" w:hAnsi="Calibri" w:cs="Calibri"/>
          <w:bCs/>
          <w:iCs/>
          <w:sz w:val="24"/>
          <w:szCs w:val="24"/>
        </w:rPr>
        <w:t xml:space="preserve"> a vydanými</w:t>
      </w:r>
      <w:r w:rsidRPr="007B461F">
        <w:rPr>
          <w:rFonts w:ascii="Calibri" w:hAnsi="Calibri" w:cs="Calibri"/>
          <w:bCs/>
          <w:iCs/>
          <w:sz w:val="24"/>
          <w:szCs w:val="24"/>
        </w:rPr>
        <w:t xml:space="preserve"> </w:t>
      </w:r>
      <w:proofErr w:type="spellStart"/>
      <w:r w:rsidRPr="007B461F">
        <w:rPr>
          <w:rFonts w:ascii="Calibri" w:hAnsi="Calibri" w:cs="Calibri"/>
          <w:bCs/>
          <w:iCs/>
          <w:sz w:val="24"/>
          <w:szCs w:val="24"/>
        </w:rPr>
        <w:t>MZd</w:t>
      </w:r>
      <w:proofErr w:type="spellEnd"/>
      <w:r w:rsidRPr="007B461F">
        <w:rPr>
          <w:rFonts w:ascii="Calibri" w:hAnsi="Calibri" w:cs="Calibri"/>
          <w:bCs/>
          <w:iCs/>
          <w:sz w:val="24"/>
          <w:szCs w:val="24"/>
        </w:rPr>
        <w:t xml:space="preserve"> navýšilo </w:t>
      </w:r>
      <w:proofErr w:type="spellStart"/>
      <w:r w:rsidR="00614D08" w:rsidRPr="007B461F">
        <w:rPr>
          <w:rFonts w:ascii="Calibri" w:hAnsi="Calibri" w:cs="Calibri"/>
          <w:bCs/>
          <w:iCs/>
          <w:sz w:val="24"/>
          <w:szCs w:val="24"/>
        </w:rPr>
        <w:t>MZd</w:t>
      </w:r>
      <w:proofErr w:type="spellEnd"/>
      <w:r w:rsidR="00614D08" w:rsidRPr="007B461F">
        <w:rPr>
          <w:rFonts w:ascii="Calibri" w:hAnsi="Calibri" w:cs="Calibri"/>
          <w:bCs/>
          <w:iCs/>
          <w:sz w:val="24"/>
          <w:szCs w:val="24"/>
        </w:rPr>
        <w:t xml:space="preserve"> </w:t>
      </w:r>
      <w:r w:rsidRPr="007B461F">
        <w:rPr>
          <w:rFonts w:ascii="Calibri" w:hAnsi="Calibri" w:cs="Calibri"/>
          <w:bCs/>
          <w:iCs/>
          <w:sz w:val="24"/>
          <w:szCs w:val="24"/>
        </w:rPr>
        <w:t xml:space="preserve">dotaci ze SR o zbylou částku ve výši 50 235 910,65 Kč. </w:t>
      </w:r>
    </w:p>
    <w:p w:rsidR="0074783A" w:rsidRPr="007B461F" w:rsidRDefault="002C761F" w:rsidP="007B461F">
      <w:pPr>
        <w:spacing w:after="120"/>
        <w:jc w:val="both"/>
        <w:rPr>
          <w:rFonts w:ascii="Calibri" w:hAnsi="Calibri" w:cs="Calibri"/>
          <w:b/>
          <w:bCs/>
          <w:iCs/>
          <w:sz w:val="24"/>
          <w:szCs w:val="24"/>
        </w:rPr>
      </w:pPr>
      <w:r w:rsidRPr="007B461F">
        <w:rPr>
          <w:rFonts w:ascii="Calibri" w:hAnsi="Calibri" w:cs="Calibri"/>
          <w:bCs/>
          <w:iCs/>
          <w:sz w:val="24"/>
          <w:szCs w:val="24"/>
        </w:rPr>
        <w:t>Tímto jednáním</w:t>
      </w:r>
      <w:r w:rsidRPr="007B461F">
        <w:rPr>
          <w:rFonts w:ascii="Calibri" w:hAnsi="Calibri" w:cs="Calibri"/>
          <w:b/>
          <w:bCs/>
          <w:iCs/>
          <w:sz w:val="24"/>
          <w:szCs w:val="24"/>
        </w:rPr>
        <w:t xml:space="preserve"> </w:t>
      </w:r>
      <w:proofErr w:type="spellStart"/>
      <w:r w:rsidRPr="007B461F">
        <w:rPr>
          <w:rFonts w:ascii="Calibri" w:hAnsi="Calibri" w:cs="Calibri"/>
          <w:b/>
          <w:bCs/>
          <w:iCs/>
          <w:sz w:val="24"/>
          <w:szCs w:val="24"/>
        </w:rPr>
        <w:t>MZd</w:t>
      </w:r>
      <w:proofErr w:type="spellEnd"/>
      <w:r w:rsidRPr="007B461F">
        <w:rPr>
          <w:rFonts w:ascii="Calibri" w:hAnsi="Calibri" w:cs="Calibri"/>
          <w:b/>
          <w:bCs/>
          <w:iCs/>
          <w:sz w:val="24"/>
          <w:szCs w:val="24"/>
        </w:rPr>
        <w:t xml:space="preserve"> </w:t>
      </w:r>
      <w:r w:rsidRPr="007B461F">
        <w:rPr>
          <w:rFonts w:ascii="Calibri" w:hAnsi="Calibri" w:cs="Calibri"/>
          <w:bCs/>
          <w:iCs/>
          <w:sz w:val="24"/>
          <w:szCs w:val="24"/>
        </w:rPr>
        <w:t xml:space="preserve">porušilo </w:t>
      </w:r>
      <w:r w:rsidR="008007D0" w:rsidRPr="007B461F">
        <w:rPr>
          <w:rFonts w:ascii="Calibri" w:hAnsi="Calibri" w:cs="Calibri"/>
          <w:bCs/>
          <w:iCs/>
          <w:sz w:val="24"/>
          <w:szCs w:val="24"/>
        </w:rPr>
        <w:t>závazné podmínky stanovené ŘO IROP</w:t>
      </w:r>
      <w:r w:rsidRPr="007B461F">
        <w:rPr>
          <w:rFonts w:ascii="Calibri" w:hAnsi="Calibri" w:cs="Calibri"/>
          <w:bCs/>
          <w:iCs/>
          <w:sz w:val="24"/>
          <w:szCs w:val="24"/>
        </w:rPr>
        <w:t>, protože</w:t>
      </w:r>
      <w:r w:rsidRPr="007B461F">
        <w:rPr>
          <w:rFonts w:ascii="Calibri" w:hAnsi="Calibri" w:cs="Calibri"/>
          <w:b/>
          <w:bCs/>
          <w:iCs/>
          <w:sz w:val="24"/>
          <w:szCs w:val="24"/>
        </w:rPr>
        <w:t xml:space="preserve"> nedodrželo a nerespektovalo nastavený finanční rámec projektu, a to podílet se na spolufinancování projektu formou dotace ze SR pouze a výlučně u způsobilých výdajů. </w:t>
      </w:r>
    </w:p>
    <w:p w:rsidR="0074783A" w:rsidRPr="009C25A7" w:rsidRDefault="002C761F" w:rsidP="007B461F">
      <w:pPr>
        <w:keepNext/>
        <w:spacing w:after="40"/>
        <w:jc w:val="both"/>
        <w:rPr>
          <w:rFonts w:ascii="Calibri" w:hAnsi="Calibri" w:cs="Calibri"/>
          <w:b/>
          <w:bCs/>
          <w:iCs/>
          <w:sz w:val="24"/>
          <w:szCs w:val="24"/>
        </w:rPr>
      </w:pPr>
      <w:r w:rsidRPr="00A37008">
        <w:rPr>
          <w:rFonts w:ascii="Calibri" w:hAnsi="Calibri" w:cs="Calibri"/>
          <w:b/>
          <w:bCs/>
          <w:iCs/>
          <w:sz w:val="24"/>
          <w:szCs w:val="24"/>
        </w:rPr>
        <w:t xml:space="preserve">Tabulka č. </w:t>
      </w:r>
      <w:r w:rsidR="00A37008" w:rsidRPr="00A37008">
        <w:rPr>
          <w:rFonts w:ascii="Calibri" w:hAnsi="Calibri" w:cs="Calibri"/>
          <w:b/>
          <w:bCs/>
          <w:iCs/>
          <w:sz w:val="24"/>
          <w:szCs w:val="24"/>
        </w:rPr>
        <w:t>2</w:t>
      </w:r>
      <w:r w:rsidRPr="00A37008">
        <w:rPr>
          <w:rFonts w:ascii="Calibri" w:hAnsi="Calibri" w:cs="Calibri"/>
          <w:b/>
          <w:bCs/>
          <w:iCs/>
          <w:sz w:val="24"/>
          <w:szCs w:val="24"/>
        </w:rPr>
        <w:t>:</w:t>
      </w:r>
      <w:r w:rsidRPr="009C25A7">
        <w:rPr>
          <w:rFonts w:ascii="Calibri" w:hAnsi="Calibri" w:cs="Calibri"/>
          <w:b/>
          <w:bCs/>
          <w:iCs/>
          <w:sz w:val="24"/>
          <w:szCs w:val="24"/>
        </w:rPr>
        <w:t xml:space="preserve"> Finanční rámec projektu</w:t>
      </w:r>
    </w:p>
    <w:tbl>
      <w:tblPr>
        <w:tblStyle w:val="Mkatabulky2"/>
        <w:tblW w:w="0" w:type="auto"/>
        <w:tblLook w:val="04A0" w:firstRow="1" w:lastRow="0" w:firstColumn="1" w:lastColumn="0" w:noHBand="0" w:noVBand="1"/>
      </w:tblPr>
      <w:tblGrid>
        <w:gridCol w:w="3849"/>
        <w:gridCol w:w="2529"/>
        <w:gridCol w:w="2684"/>
      </w:tblGrid>
      <w:tr w:rsidR="00512838" w:rsidTr="007B461F">
        <w:trPr>
          <w:trHeight w:val="283"/>
        </w:trPr>
        <w:tc>
          <w:tcPr>
            <w:tcW w:w="3936" w:type="dxa"/>
            <w:shd w:val="clear" w:color="auto" w:fill="E5F1FF"/>
            <w:vAlign w:val="center"/>
          </w:tcPr>
          <w:p w:rsidR="0074783A" w:rsidRPr="001F0D76" w:rsidRDefault="002C761F" w:rsidP="007B461F">
            <w:pPr>
              <w:keepNext/>
              <w:jc w:val="center"/>
              <w:rPr>
                <w:rFonts w:ascii="Calibri" w:hAnsi="Calibri" w:cs="Calibri"/>
                <w:b/>
                <w:bCs/>
                <w:iCs/>
              </w:rPr>
            </w:pPr>
            <w:r w:rsidRPr="001F0D76">
              <w:rPr>
                <w:rFonts w:ascii="Calibri" w:hAnsi="Calibri" w:cs="Calibri"/>
                <w:b/>
                <w:bCs/>
                <w:iCs/>
              </w:rPr>
              <w:t>Druh dotace/zdroje spolufinancování</w:t>
            </w:r>
          </w:p>
        </w:tc>
        <w:tc>
          <w:tcPr>
            <w:tcW w:w="2551" w:type="dxa"/>
            <w:shd w:val="clear" w:color="auto" w:fill="E5F1FF"/>
            <w:vAlign w:val="center"/>
          </w:tcPr>
          <w:p w:rsidR="0074783A" w:rsidRPr="001F0D76" w:rsidRDefault="002C761F" w:rsidP="007B461F">
            <w:pPr>
              <w:keepNext/>
              <w:jc w:val="center"/>
              <w:rPr>
                <w:rFonts w:ascii="Calibri" w:hAnsi="Calibri" w:cs="Calibri"/>
                <w:b/>
                <w:bCs/>
                <w:iCs/>
              </w:rPr>
            </w:pPr>
            <w:r>
              <w:rPr>
                <w:rFonts w:ascii="Calibri" w:hAnsi="Calibri" w:cs="Calibri"/>
                <w:b/>
                <w:bCs/>
                <w:iCs/>
              </w:rPr>
              <w:t xml:space="preserve">Objem výdajů (v </w:t>
            </w:r>
            <w:r w:rsidRPr="001F0D76">
              <w:rPr>
                <w:rFonts w:ascii="Calibri" w:hAnsi="Calibri" w:cs="Calibri"/>
                <w:b/>
                <w:bCs/>
                <w:iCs/>
              </w:rPr>
              <w:t>Kč</w:t>
            </w:r>
            <w:r>
              <w:rPr>
                <w:rFonts w:ascii="Calibri" w:hAnsi="Calibri" w:cs="Calibri"/>
                <w:b/>
                <w:bCs/>
                <w:iCs/>
              </w:rPr>
              <w:t>)</w:t>
            </w:r>
          </w:p>
        </w:tc>
        <w:tc>
          <w:tcPr>
            <w:tcW w:w="2723" w:type="dxa"/>
            <w:shd w:val="clear" w:color="auto" w:fill="E5F1FF"/>
            <w:vAlign w:val="center"/>
          </w:tcPr>
          <w:p w:rsidR="0074783A" w:rsidRPr="001F0D76" w:rsidRDefault="002C761F" w:rsidP="007B461F">
            <w:pPr>
              <w:keepNext/>
              <w:jc w:val="center"/>
              <w:rPr>
                <w:rFonts w:ascii="Calibri" w:hAnsi="Calibri" w:cs="Calibri"/>
                <w:b/>
                <w:bCs/>
                <w:iCs/>
              </w:rPr>
            </w:pPr>
            <w:r w:rsidRPr="001F0D76">
              <w:rPr>
                <w:rFonts w:ascii="Calibri" w:hAnsi="Calibri" w:cs="Calibri"/>
                <w:b/>
                <w:bCs/>
                <w:iCs/>
              </w:rPr>
              <w:t>Podíl na celkových způsobilých výdajích v %</w:t>
            </w:r>
          </w:p>
        </w:tc>
      </w:tr>
      <w:tr w:rsidR="00512838" w:rsidTr="007B461F">
        <w:trPr>
          <w:trHeight w:val="283"/>
        </w:trPr>
        <w:tc>
          <w:tcPr>
            <w:tcW w:w="3936" w:type="dxa"/>
            <w:vAlign w:val="center"/>
          </w:tcPr>
          <w:p w:rsidR="0074783A" w:rsidRPr="001F0D76" w:rsidRDefault="002C761F" w:rsidP="007B461F">
            <w:pPr>
              <w:keepNext/>
              <w:jc w:val="both"/>
              <w:rPr>
                <w:rFonts w:ascii="Calibri" w:hAnsi="Calibri" w:cs="Calibri"/>
                <w:b/>
                <w:bCs/>
                <w:iCs/>
                <w:vertAlign w:val="superscript"/>
              </w:rPr>
            </w:pPr>
            <w:r w:rsidRPr="001F0D76">
              <w:rPr>
                <w:rFonts w:ascii="Calibri" w:hAnsi="Calibri" w:cs="Calibri"/>
                <w:b/>
                <w:bCs/>
                <w:iCs/>
              </w:rPr>
              <w:t>Dotace ze strukturálního fondu EF</w:t>
            </w:r>
            <w:r w:rsidR="003C3859">
              <w:rPr>
                <w:rFonts w:ascii="Calibri" w:hAnsi="Calibri" w:cs="Calibri"/>
                <w:b/>
                <w:bCs/>
                <w:iCs/>
              </w:rPr>
              <w:t>RR</w:t>
            </w:r>
          </w:p>
        </w:tc>
        <w:tc>
          <w:tcPr>
            <w:tcW w:w="2551" w:type="dxa"/>
            <w:vAlign w:val="center"/>
          </w:tcPr>
          <w:p w:rsidR="0074783A" w:rsidRPr="001F0D76" w:rsidRDefault="002C761F" w:rsidP="007B461F">
            <w:pPr>
              <w:keepNext/>
              <w:ind w:right="478"/>
              <w:jc w:val="right"/>
              <w:rPr>
                <w:rFonts w:ascii="Calibri" w:hAnsi="Calibri" w:cs="Calibri"/>
                <w:bCs/>
                <w:iCs/>
              </w:rPr>
            </w:pPr>
            <w:r w:rsidRPr="001F0D76">
              <w:rPr>
                <w:rFonts w:ascii="Calibri" w:hAnsi="Calibri" w:cs="Calibri"/>
                <w:bCs/>
                <w:iCs/>
              </w:rPr>
              <w:t>491 299 915,00</w:t>
            </w:r>
          </w:p>
        </w:tc>
        <w:tc>
          <w:tcPr>
            <w:tcW w:w="2723" w:type="dxa"/>
            <w:vAlign w:val="center"/>
          </w:tcPr>
          <w:p w:rsidR="0074783A" w:rsidRPr="001F0D76" w:rsidRDefault="002C761F" w:rsidP="007B461F">
            <w:pPr>
              <w:keepNext/>
              <w:ind w:right="1157"/>
              <w:jc w:val="right"/>
              <w:rPr>
                <w:rFonts w:ascii="Calibri" w:hAnsi="Calibri" w:cs="Calibri"/>
                <w:bCs/>
                <w:iCs/>
              </w:rPr>
            </w:pPr>
            <w:r w:rsidRPr="001F0D76">
              <w:rPr>
                <w:rFonts w:ascii="Calibri" w:hAnsi="Calibri" w:cs="Calibri"/>
                <w:bCs/>
                <w:iCs/>
              </w:rPr>
              <w:t>85</w:t>
            </w:r>
          </w:p>
        </w:tc>
      </w:tr>
      <w:tr w:rsidR="00512838" w:rsidTr="007B461F">
        <w:trPr>
          <w:trHeight w:val="283"/>
        </w:trPr>
        <w:tc>
          <w:tcPr>
            <w:tcW w:w="3936" w:type="dxa"/>
            <w:vAlign w:val="center"/>
          </w:tcPr>
          <w:p w:rsidR="0074783A" w:rsidRPr="00570365" w:rsidRDefault="002C761F" w:rsidP="007B461F">
            <w:pPr>
              <w:keepNext/>
              <w:jc w:val="both"/>
              <w:rPr>
                <w:rFonts w:ascii="Calibri" w:hAnsi="Calibri" w:cs="Calibri"/>
                <w:b/>
                <w:bCs/>
                <w:iCs/>
              </w:rPr>
            </w:pPr>
            <w:r w:rsidRPr="00570365">
              <w:rPr>
                <w:rFonts w:ascii="Calibri" w:hAnsi="Calibri" w:cs="Calibri"/>
                <w:b/>
                <w:bCs/>
                <w:iCs/>
              </w:rPr>
              <w:t>Národní veřejné zdroje</w:t>
            </w:r>
          </w:p>
        </w:tc>
        <w:tc>
          <w:tcPr>
            <w:tcW w:w="2551" w:type="dxa"/>
            <w:vAlign w:val="center"/>
          </w:tcPr>
          <w:p w:rsidR="0074783A" w:rsidRPr="001F0D76" w:rsidRDefault="0074783A" w:rsidP="007B461F">
            <w:pPr>
              <w:keepNext/>
              <w:ind w:right="478"/>
              <w:jc w:val="right"/>
              <w:rPr>
                <w:rFonts w:ascii="Calibri" w:hAnsi="Calibri" w:cs="Calibri"/>
                <w:bCs/>
                <w:iCs/>
              </w:rPr>
            </w:pPr>
          </w:p>
        </w:tc>
        <w:tc>
          <w:tcPr>
            <w:tcW w:w="2723" w:type="dxa"/>
            <w:vAlign w:val="center"/>
          </w:tcPr>
          <w:p w:rsidR="0074783A" w:rsidRPr="001F0D76" w:rsidRDefault="0074783A" w:rsidP="007B461F">
            <w:pPr>
              <w:keepNext/>
              <w:ind w:right="1157"/>
              <w:jc w:val="right"/>
              <w:rPr>
                <w:rFonts w:ascii="Calibri" w:hAnsi="Calibri" w:cs="Calibri"/>
                <w:bCs/>
                <w:iCs/>
              </w:rPr>
            </w:pPr>
          </w:p>
        </w:tc>
      </w:tr>
      <w:tr w:rsidR="00512838" w:rsidTr="007B461F">
        <w:trPr>
          <w:trHeight w:val="283"/>
        </w:trPr>
        <w:tc>
          <w:tcPr>
            <w:tcW w:w="3936" w:type="dxa"/>
            <w:vAlign w:val="center"/>
          </w:tcPr>
          <w:p w:rsidR="0074783A" w:rsidRPr="00570365" w:rsidRDefault="002C761F" w:rsidP="007B461F">
            <w:pPr>
              <w:keepNext/>
              <w:ind w:firstLine="175"/>
              <w:jc w:val="both"/>
              <w:rPr>
                <w:rFonts w:ascii="Calibri" w:hAnsi="Calibri" w:cs="Calibri"/>
                <w:bCs/>
                <w:i/>
                <w:iCs/>
              </w:rPr>
            </w:pPr>
            <w:r w:rsidRPr="00570365">
              <w:rPr>
                <w:rFonts w:ascii="Calibri" w:hAnsi="Calibri" w:cs="Calibri"/>
                <w:bCs/>
                <w:i/>
                <w:iCs/>
              </w:rPr>
              <w:t>Z toho: dotace ze státního rozpočtu</w:t>
            </w:r>
          </w:p>
        </w:tc>
        <w:tc>
          <w:tcPr>
            <w:tcW w:w="2551" w:type="dxa"/>
            <w:vAlign w:val="center"/>
          </w:tcPr>
          <w:p w:rsidR="0074783A" w:rsidRPr="001F0D76" w:rsidRDefault="002C761F" w:rsidP="007B461F">
            <w:pPr>
              <w:keepNext/>
              <w:ind w:right="478"/>
              <w:jc w:val="right"/>
              <w:rPr>
                <w:rFonts w:ascii="Calibri" w:hAnsi="Calibri" w:cs="Calibri"/>
                <w:bCs/>
                <w:iCs/>
              </w:rPr>
            </w:pPr>
            <w:r w:rsidRPr="001F0D76">
              <w:rPr>
                <w:rFonts w:ascii="Calibri" w:hAnsi="Calibri" w:cs="Calibri"/>
                <w:bCs/>
                <w:iCs/>
              </w:rPr>
              <w:t>86 699 985,00</w:t>
            </w:r>
          </w:p>
        </w:tc>
        <w:tc>
          <w:tcPr>
            <w:tcW w:w="2723" w:type="dxa"/>
            <w:vAlign w:val="center"/>
          </w:tcPr>
          <w:p w:rsidR="0074783A" w:rsidRPr="001F0D76" w:rsidRDefault="002C761F" w:rsidP="007B461F">
            <w:pPr>
              <w:keepNext/>
              <w:ind w:right="1157"/>
              <w:jc w:val="right"/>
              <w:rPr>
                <w:rFonts w:ascii="Calibri" w:hAnsi="Calibri" w:cs="Calibri"/>
                <w:bCs/>
                <w:iCs/>
              </w:rPr>
            </w:pPr>
            <w:r w:rsidRPr="001F0D76">
              <w:rPr>
                <w:rFonts w:ascii="Calibri" w:hAnsi="Calibri" w:cs="Calibri"/>
                <w:bCs/>
                <w:iCs/>
              </w:rPr>
              <w:t>15</w:t>
            </w:r>
          </w:p>
        </w:tc>
      </w:tr>
      <w:tr w:rsidR="00512838" w:rsidTr="007B461F">
        <w:trPr>
          <w:trHeight w:val="283"/>
        </w:trPr>
        <w:tc>
          <w:tcPr>
            <w:tcW w:w="3936" w:type="dxa"/>
            <w:vAlign w:val="center"/>
          </w:tcPr>
          <w:p w:rsidR="0074783A" w:rsidRPr="00570365" w:rsidRDefault="002C761F" w:rsidP="007B461F">
            <w:pPr>
              <w:keepNext/>
              <w:jc w:val="both"/>
              <w:rPr>
                <w:rFonts w:ascii="Calibri" w:hAnsi="Calibri" w:cs="Calibri"/>
                <w:b/>
                <w:bCs/>
                <w:iCs/>
              </w:rPr>
            </w:pPr>
            <w:r w:rsidRPr="00570365">
              <w:rPr>
                <w:rFonts w:ascii="Calibri" w:hAnsi="Calibri" w:cs="Calibri"/>
                <w:b/>
                <w:bCs/>
                <w:iCs/>
              </w:rPr>
              <w:t>Jiné národní veřejné zdroje</w:t>
            </w:r>
          </w:p>
        </w:tc>
        <w:tc>
          <w:tcPr>
            <w:tcW w:w="2551" w:type="dxa"/>
            <w:vAlign w:val="center"/>
          </w:tcPr>
          <w:p w:rsidR="0074783A" w:rsidRPr="001F0D76" w:rsidRDefault="002C761F" w:rsidP="007B461F">
            <w:pPr>
              <w:keepNext/>
              <w:ind w:right="478"/>
              <w:jc w:val="right"/>
              <w:rPr>
                <w:rFonts w:ascii="Calibri" w:hAnsi="Calibri" w:cs="Calibri"/>
                <w:bCs/>
                <w:iCs/>
              </w:rPr>
            </w:pPr>
            <w:r w:rsidRPr="001F0D76">
              <w:rPr>
                <w:rFonts w:ascii="Calibri" w:hAnsi="Calibri" w:cs="Calibri"/>
                <w:bCs/>
                <w:iCs/>
              </w:rPr>
              <w:t>0</w:t>
            </w:r>
          </w:p>
        </w:tc>
        <w:tc>
          <w:tcPr>
            <w:tcW w:w="2723" w:type="dxa"/>
            <w:vAlign w:val="center"/>
          </w:tcPr>
          <w:p w:rsidR="0074783A" w:rsidRPr="001F0D76" w:rsidRDefault="002C761F" w:rsidP="007B461F">
            <w:pPr>
              <w:keepNext/>
              <w:ind w:right="1157"/>
              <w:jc w:val="right"/>
              <w:rPr>
                <w:rFonts w:ascii="Calibri" w:hAnsi="Calibri" w:cs="Calibri"/>
                <w:bCs/>
                <w:iCs/>
              </w:rPr>
            </w:pPr>
            <w:r w:rsidRPr="001F0D76">
              <w:rPr>
                <w:rFonts w:ascii="Calibri" w:hAnsi="Calibri" w:cs="Calibri"/>
                <w:bCs/>
                <w:iCs/>
              </w:rPr>
              <w:t>0</w:t>
            </w:r>
          </w:p>
        </w:tc>
      </w:tr>
      <w:tr w:rsidR="00512838" w:rsidTr="007B461F">
        <w:trPr>
          <w:trHeight w:val="283"/>
        </w:trPr>
        <w:tc>
          <w:tcPr>
            <w:tcW w:w="3936" w:type="dxa"/>
            <w:vAlign w:val="center"/>
          </w:tcPr>
          <w:p w:rsidR="0074783A" w:rsidRPr="00570365" w:rsidRDefault="002C761F" w:rsidP="007B461F">
            <w:pPr>
              <w:keepNext/>
              <w:jc w:val="both"/>
              <w:rPr>
                <w:rFonts w:ascii="Calibri" w:hAnsi="Calibri" w:cs="Calibri"/>
                <w:b/>
                <w:bCs/>
                <w:iCs/>
                <w:vertAlign w:val="superscript"/>
              </w:rPr>
            </w:pPr>
            <w:r w:rsidRPr="00570365">
              <w:rPr>
                <w:rFonts w:ascii="Calibri" w:hAnsi="Calibri" w:cs="Calibri"/>
                <w:b/>
                <w:bCs/>
                <w:iCs/>
              </w:rPr>
              <w:t>Celkové způsobilé výdaje</w:t>
            </w:r>
          </w:p>
        </w:tc>
        <w:tc>
          <w:tcPr>
            <w:tcW w:w="2551" w:type="dxa"/>
            <w:vAlign w:val="center"/>
          </w:tcPr>
          <w:p w:rsidR="0074783A" w:rsidRPr="001F0D76" w:rsidRDefault="002C761F" w:rsidP="007B461F">
            <w:pPr>
              <w:keepNext/>
              <w:ind w:right="478"/>
              <w:jc w:val="right"/>
              <w:rPr>
                <w:rFonts w:ascii="Calibri" w:hAnsi="Calibri" w:cs="Calibri"/>
                <w:b/>
                <w:bCs/>
                <w:iCs/>
              </w:rPr>
            </w:pPr>
            <w:r w:rsidRPr="001F0D76">
              <w:rPr>
                <w:rFonts w:ascii="Calibri" w:hAnsi="Calibri" w:cs="Calibri"/>
                <w:b/>
                <w:bCs/>
                <w:iCs/>
              </w:rPr>
              <w:t>577 999 900,00</w:t>
            </w:r>
          </w:p>
        </w:tc>
        <w:tc>
          <w:tcPr>
            <w:tcW w:w="2723" w:type="dxa"/>
            <w:vAlign w:val="center"/>
          </w:tcPr>
          <w:p w:rsidR="0074783A" w:rsidRPr="001F0D76" w:rsidRDefault="002C761F" w:rsidP="007B461F">
            <w:pPr>
              <w:keepNext/>
              <w:ind w:right="1157"/>
              <w:jc w:val="right"/>
              <w:rPr>
                <w:rFonts w:ascii="Calibri" w:hAnsi="Calibri" w:cs="Calibri"/>
                <w:b/>
                <w:bCs/>
                <w:iCs/>
              </w:rPr>
            </w:pPr>
            <w:r w:rsidRPr="001F0D76">
              <w:rPr>
                <w:rFonts w:ascii="Calibri" w:hAnsi="Calibri" w:cs="Calibri"/>
                <w:b/>
                <w:bCs/>
                <w:iCs/>
              </w:rPr>
              <w:t>100</w:t>
            </w:r>
          </w:p>
        </w:tc>
      </w:tr>
      <w:tr w:rsidR="00512838" w:rsidTr="007B461F">
        <w:trPr>
          <w:trHeight w:val="283"/>
        </w:trPr>
        <w:tc>
          <w:tcPr>
            <w:tcW w:w="3936" w:type="dxa"/>
            <w:vAlign w:val="center"/>
          </w:tcPr>
          <w:p w:rsidR="0074783A" w:rsidRPr="001F0D76" w:rsidRDefault="002C761F" w:rsidP="007B461F">
            <w:pPr>
              <w:keepNext/>
              <w:jc w:val="both"/>
              <w:rPr>
                <w:rFonts w:ascii="Calibri" w:hAnsi="Calibri" w:cs="Calibri"/>
                <w:b/>
                <w:bCs/>
                <w:iCs/>
              </w:rPr>
            </w:pPr>
            <w:r w:rsidRPr="001F0D76">
              <w:rPr>
                <w:rFonts w:ascii="Calibri" w:hAnsi="Calibri" w:cs="Calibri"/>
                <w:b/>
                <w:bCs/>
                <w:iCs/>
              </w:rPr>
              <w:t>Celkové nezpůsobilé výdaje</w:t>
            </w:r>
          </w:p>
        </w:tc>
        <w:tc>
          <w:tcPr>
            <w:tcW w:w="2551" w:type="dxa"/>
            <w:vAlign w:val="center"/>
          </w:tcPr>
          <w:p w:rsidR="0074783A" w:rsidRPr="001F0D76" w:rsidRDefault="002C761F" w:rsidP="007B461F">
            <w:pPr>
              <w:keepNext/>
              <w:ind w:right="478"/>
              <w:jc w:val="right"/>
              <w:rPr>
                <w:rFonts w:ascii="Calibri" w:hAnsi="Calibri" w:cs="Calibri"/>
                <w:b/>
                <w:bCs/>
                <w:iCs/>
              </w:rPr>
            </w:pPr>
            <w:r w:rsidRPr="001F0D76">
              <w:rPr>
                <w:rFonts w:ascii="Calibri" w:hAnsi="Calibri" w:cs="Calibri"/>
                <w:b/>
                <w:bCs/>
                <w:iCs/>
              </w:rPr>
              <w:t xml:space="preserve">100 471 821,20 </w:t>
            </w:r>
          </w:p>
        </w:tc>
        <w:tc>
          <w:tcPr>
            <w:tcW w:w="2723" w:type="dxa"/>
            <w:vAlign w:val="center"/>
          </w:tcPr>
          <w:p w:rsidR="0074783A" w:rsidRPr="001F0D76" w:rsidRDefault="002C761F" w:rsidP="007B461F">
            <w:pPr>
              <w:keepNext/>
              <w:ind w:right="1157"/>
              <w:jc w:val="right"/>
              <w:rPr>
                <w:rFonts w:ascii="Calibri" w:hAnsi="Calibri" w:cs="Calibri"/>
                <w:b/>
                <w:bCs/>
                <w:iCs/>
              </w:rPr>
            </w:pPr>
            <w:r w:rsidRPr="001F0D76">
              <w:rPr>
                <w:rFonts w:ascii="Calibri" w:hAnsi="Calibri" w:cs="Calibri"/>
                <w:b/>
                <w:bCs/>
                <w:iCs/>
              </w:rPr>
              <w:t>-</w:t>
            </w:r>
          </w:p>
        </w:tc>
      </w:tr>
      <w:tr w:rsidR="00512838" w:rsidTr="007B461F">
        <w:trPr>
          <w:trHeight w:val="283"/>
        </w:trPr>
        <w:tc>
          <w:tcPr>
            <w:tcW w:w="3936" w:type="dxa"/>
            <w:vAlign w:val="center"/>
          </w:tcPr>
          <w:p w:rsidR="0074783A" w:rsidRPr="001F0D76" w:rsidRDefault="002C761F" w:rsidP="007B461F">
            <w:pPr>
              <w:keepNext/>
              <w:jc w:val="both"/>
              <w:rPr>
                <w:rFonts w:ascii="Calibri" w:hAnsi="Calibri" w:cs="Calibri"/>
                <w:b/>
                <w:bCs/>
                <w:iCs/>
              </w:rPr>
            </w:pPr>
            <w:r w:rsidRPr="001F0D76">
              <w:rPr>
                <w:rFonts w:ascii="Calibri" w:hAnsi="Calibri" w:cs="Calibri"/>
                <w:b/>
                <w:bCs/>
                <w:iCs/>
              </w:rPr>
              <w:t>Celkové výdaje projektu</w:t>
            </w:r>
          </w:p>
        </w:tc>
        <w:tc>
          <w:tcPr>
            <w:tcW w:w="2551" w:type="dxa"/>
            <w:vAlign w:val="center"/>
          </w:tcPr>
          <w:p w:rsidR="0074783A" w:rsidRPr="001F0D76" w:rsidRDefault="002C761F" w:rsidP="007B461F">
            <w:pPr>
              <w:keepNext/>
              <w:ind w:right="478"/>
              <w:jc w:val="right"/>
              <w:rPr>
                <w:rFonts w:ascii="Calibri" w:hAnsi="Calibri" w:cs="Calibri"/>
                <w:b/>
                <w:bCs/>
                <w:iCs/>
              </w:rPr>
            </w:pPr>
            <w:r w:rsidRPr="001F0D76">
              <w:rPr>
                <w:rFonts w:ascii="Calibri" w:hAnsi="Calibri" w:cs="Calibri"/>
                <w:b/>
                <w:bCs/>
                <w:iCs/>
              </w:rPr>
              <w:t>678 471 721,20</w:t>
            </w:r>
          </w:p>
        </w:tc>
        <w:tc>
          <w:tcPr>
            <w:tcW w:w="2723" w:type="dxa"/>
            <w:vAlign w:val="center"/>
          </w:tcPr>
          <w:p w:rsidR="0074783A" w:rsidRPr="001F0D76" w:rsidRDefault="002C761F" w:rsidP="007B461F">
            <w:pPr>
              <w:keepNext/>
              <w:ind w:right="1157"/>
              <w:jc w:val="right"/>
              <w:rPr>
                <w:rFonts w:ascii="Calibri" w:hAnsi="Calibri" w:cs="Calibri"/>
                <w:b/>
                <w:bCs/>
                <w:iCs/>
              </w:rPr>
            </w:pPr>
            <w:r w:rsidRPr="001F0D76">
              <w:rPr>
                <w:rFonts w:ascii="Calibri" w:hAnsi="Calibri" w:cs="Calibri"/>
                <w:b/>
                <w:bCs/>
                <w:iCs/>
              </w:rPr>
              <w:t>-</w:t>
            </w:r>
          </w:p>
        </w:tc>
      </w:tr>
    </w:tbl>
    <w:p w:rsidR="0074783A" w:rsidRPr="007B461F" w:rsidRDefault="002C761F" w:rsidP="007B461F">
      <w:pPr>
        <w:keepNext/>
        <w:spacing w:before="40" w:after="120"/>
        <w:ind w:left="567" w:hanging="567"/>
        <w:jc w:val="both"/>
        <w:rPr>
          <w:rFonts w:ascii="Calibri" w:hAnsi="Calibri"/>
          <w:u w:color="FFFFFF"/>
        </w:rPr>
      </w:pPr>
      <w:r w:rsidRPr="007B461F">
        <w:rPr>
          <w:rFonts w:ascii="Calibri" w:hAnsi="Calibri"/>
          <w:b/>
          <w:u w:color="FFFFFF"/>
        </w:rPr>
        <w:t>Zdroj:</w:t>
      </w:r>
      <w:r w:rsidRPr="007B461F">
        <w:rPr>
          <w:rFonts w:ascii="Calibri" w:hAnsi="Calibri"/>
          <w:u w:color="FFFFFF"/>
        </w:rPr>
        <w:t xml:space="preserve"> podmínky stanovené ŘO IROP a integrované </w:t>
      </w:r>
      <w:r w:rsidR="009662FA">
        <w:rPr>
          <w:rFonts w:ascii="Calibri" w:hAnsi="Calibri"/>
          <w:u w:color="FFFFFF"/>
        </w:rPr>
        <w:t>Ministerstvem zdravotnictví</w:t>
      </w:r>
      <w:r w:rsidRPr="007B461F">
        <w:rPr>
          <w:rFonts w:ascii="Calibri" w:hAnsi="Calibri"/>
          <w:u w:color="FFFFFF"/>
        </w:rPr>
        <w:t xml:space="preserve"> do vydaných změnových rozhodnutí ze dne 23. 10. 2019 a 17. 12. 2020</w:t>
      </w:r>
      <w:r w:rsidR="00081CD8" w:rsidRPr="007B461F">
        <w:rPr>
          <w:rFonts w:ascii="Calibri" w:hAnsi="Calibri"/>
          <w:u w:color="FFFFFF"/>
        </w:rPr>
        <w:t>.</w:t>
      </w:r>
    </w:p>
    <w:p w:rsidR="0074783A" w:rsidRPr="007B461F" w:rsidRDefault="002C761F" w:rsidP="007B461F">
      <w:pPr>
        <w:spacing w:after="120"/>
        <w:jc w:val="both"/>
        <w:rPr>
          <w:rFonts w:ascii="Calibri" w:hAnsi="Calibri" w:cs="Calibri"/>
          <w:b/>
          <w:bCs/>
          <w:iCs/>
          <w:sz w:val="24"/>
          <w:szCs w:val="24"/>
        </w:rPr>
      </w:pPr>
      <w:r w:rsidRPr="007B461F">
        <w:rPr>
          <w:rFonts w:ascii="Calibri" w:eastAsia="Times New Roman" w:hAnsi="Calibri" w:cs="Times New Roman"/>
          <w:b/>
          <w:sz w:val="24"/>
          <w:szCs w:val="24"/>
          <w:lang w:eastAsia="en-US"/>
        </w:rPr>
        <w:t xml:space="preserve">MMR tím, že nevyzvalo příjemce dotace, aby si u </w:t>
      </w:r>
      <w:proofErr w:type="spellStart"/>
      <w:r w:rsidRPr="007B461F">
        <w:rPr>
          <w:rFonts w:ascii="Calibri" w:eastAsia="Times New Roman" w:hAnsi="Calibri" w:cs="Times New Roman"/>
          <w:b/>
          <w:sz w:val="24"/>
          <w:szCs w:val="24"/>
          <w:lang w:eastAsia="en-US"/>
        </w:rPr>
        <w:t>MZd</w:t>
      </w:r>
      <w:proofErr w:type="spellEnd"/>
      <w:r w:rsidRPr="007B461F">
        <w:rPr>
          <w:rFonts w:ascii="Calibri" w:eastAsia="Times New Roman" w:hAnsi="Calibri" w:cs="Times New Roman"/>
          <w:b/>
          <w:sz w:val="24"/>
          <w:szCs w:val="24"/>
          <w:lang w:eastAsia="en-US"/>
        </w:rPr>
        <w:t xml:space="preserve"> zajistil vydání opravného rozhodnutí, postupovalo v rozporu s obecnými pravidly</w:t>
      </w:r>
      <w:r w:rsidR="00244AA6" w:rsidRPr="007B461F">
        <w:rPr>
          <w:rFonts w:ascii="Calibri" w:eastAsia="Times New Roman" w:hAnsi="Calibri" w:cs="Times New Roman"/>
          <w:b/>
          <w:sz w:val="24"/>
          <w:szCs w:val="24"/>
          <w:lang w:eastAsia="en-US"/>
        </w:rPr>
        <w:t xml:space="preserve"> IROP</w:t>
      </w:r>
      <w:r w:rsidRPr="007B461F">
        <w:rPr>
          <w:rFonts w:ascii="Calibri" w:eastAsia="Times New Roman" w:hAnsi="Calibri" w:cs="Times New Roman"/>
          <w:b/>
          <w:sz w:val="24"/>
          <w:szCs w:val="24"/>
          <w:lang w:eastAsia="en-US"/>
        </w:rPr>
        <w:t>.</w:t>
      </w:r>
      <w:r w:rsidRPr="007B461F">
        <w:rPr>
          <w:rFonts w:ascii="Calibri" w:hAnsi="Calibri" w:cs="Calibri"/>
          <w:b/>
          <w:bCs/>
          <w:iCs/>
          <w:sz w:val="24"/>
          <w:szCs w:val="24"/>
        </w:rPr>
        <w:t xml:space="preserve"> </w:t>
      </w:r>
    </w:p>
    <w:p w:rsidR="0074783A" w:rsidRPr="007B461F" w:rsidRDefault="002C761F" w:rsidP="007B461F">
      <w:pPr>
        <w:spacing w:after="120"/>
        <w:jc w:val="both"/>
        <w:rPr>
          <w:rFonts w:ascii="Calibri" w:hAnsi="Calibri"/>
          <w:sz w:val="24"/>
          <w:szCs w:val="24"/>
          <w:u w:color="FFFFFF"/>
        </w:rPr>
      </w:pPr>
      <w:r w:rsidRPr="007B461F">
        <w:rPr>
          <w:rFonts w:ascii="Calibri" w:hAnsi="Calibri"/>
          <w:sz w:val="24"/>
          <w:szCs w:val="24"/>
          <w:u w:color="FFFFFF"/>
        </w:rPr>
        <w:t xml:space="preserve">Přestože </w:t>
      </w:r>
      <w:proofErr w:type="spellStart"/>
      <w:r w:rsidRPr="007B461F">
        <w:rPr>
          <w:rFonts w:ascii="Calibri" w:hAnsi="Calibri"/>
          <w:sz w:val="24"/>
          <w:szCs w:val="24"/>
          <w:u w:color="FFFFFF"/>
        </w:rPr>
        <w:t>MZd</w:t>
      </w:r>
      <w:proofErr w:type="spellEnd"/>
      <w:r w:rsidRPr="007B461F">
        <w:rPr>
          <w:rFonts w:ascii="Calibri" w:hAnsi="Calibri"/>
          <w:sz w:val="24"/>
          <w:szCs w:val="24"/>
          <w:u w:color="FFFFFF"/>
        </w:rPr>
        <w:t xml:space="preserve"> na základě porady vedení ze dne </w:t>
      </w:r>
      <w:r w:rsidRPr="007B461F">
        <w:rPr>
          <w:rFonts w:ascii="Calibri" w:hAnsi="Calibri" w:cs="Calibri"/>
          <w:bCs/>
          <w:iCs/>
          <w:sz w:val="24"/>
          <w:szCs w:val="24"/>
        </w:rPr>
        <w:t>29. 7. 2019</w:t>
      </w:r>
      <w:r w:rsidRPr="007B461F">
        <w:rPr>
          <w:rFonts w:ascii="Calibri" w:hAnsi="Calibri"/>
          <w:sz w:val="24"/>
          <w:szCs w:val="24"/>
          <w:u w:color="FFFFFF"/>
        </w:rPr>
        <w:t xml:space="preserve"> schválilo dofinancování nezpůsobilých výdajů projektu z jiného investičního programu</w:t>
      </w:r>
      <w:r w:rsidRPr="007B461F">
        <w:rPr>
          <w:rFonts w:ascii="Calibri" w:hAnsi="Calibri" w:cs="Calibri"/>
          <w:bCs/>
          <w:iCs/>
          <w:sz w:val="24"/>
          <w:szCs w:val="24"/>
        </w:rPr>
        <w:t xml:space="preserve">, rozhodnutí o navýšení dotace na úhradu nezpůsobilých výdajů byla ve skutečnosti vydána v rámci programu předfinancování. Tento program je určen na předfinancování podílu z EFRR a spolufinancování podílu ze SR určených na úhradu způsobilých výdajů projektu, nikoliv na financování </w:t>
      </w:r>
      <w:r w:rsidRPr="007B461F">
        <w:rPr>
          <w:rFonts w:ascii="Calibri" w:hAnsi="Calibri" w:cs="Calibri"/>
          <w:bCs/>
          <w:iCs/>
          <w:sz w:val="24"/>
          <w:szCs w:val="24"/>
        </w:rPr>
        <w:lastRenderedPageBreak/>
        <w:t xml:space="preserve">nezpůsobilých výdajů projektu ze SR formou dotace. </w:t>
      </w:r>
      <w:r w:rsidR="005A194E" w:rsidRPr="007B461F">
        <w:rPr>
          <w:rFonts w:ascii="Calibri" w:hAnsi="Calibri" w:cs="Calibri"/>
          <w:bCs/>
          <w:iCs/>
          <w:sz w:val="24"/>
          <w:szCs w:val="24"/>
        </w:rPr>
        <w:t>Financování nezpůsobilých výdajů formou dotace čerpané z programu předfinancování je v rozporu s nastavenými principy financování tohoto programu dle dokumentace.</w:t>
      </w:r>
      <w:r w:rsidRPr="007B461F">
        <w:rPr>
          <w:rFonts w:ascii="Calibri" w:hAnsi="Calibri" w:cs="Calibri"/>
          <w:bCs/>
          <w:iCs/>
          <w:sz w:val="24"/>
          <w:szCs w:val="24"/>
        </w:rPr>
        <w:t xml:space="preserve"> </w:t>
      </w:r>
      <w:proofErr w:type="spellStart"/>
      <w:r w:rsidRPr="007B461F">
        <w:rPr>
          <w:rFonts w:ascii="Calibri" w:hAnsi="Calibri" w:cs="Calibri"/>
          <w:b/>
          <w:bCs/>
          <w:iCs/>
          <w:sz w:val="24"/>
          <w:szCs w:val="24"/>
        </w:rPr>
        <w:t>MZd</w:t>
      </w:r>
      <w:proofErr w:type="spellEnd"/>
      <w:r w:rsidRPr="007B461F">
        <w:rPr>
          <w:rFonts w:ascii="Calibri" w:hAnsi="Calibri" w:cs="Calibri"/>
          <w:b/>
          <w:bCs/>
          <w:iCs/>
          <w:sz w:val="24"/>
          <w:szCs w:val="24"/>
        </w:rPr>
        <w:t xml:space="preserve"> tímto výše uvedeným jednáním porušilo vlastní pravidla, která si v dokumentaci programu stanovilo</w:t>
      </w:r>
      <w:r w:rsidR="003112A8" w:rsidRPr="007B461F">
        <w:rPr>
          <w:rFonts w:ascii="Calibri" w:hAnsi="Calibri" w:cs="Calibri"/>
          <w:b/>
          <w:bCs/>
          <w:iCs/>
          <w:sz w:val="24"/>
          <w:szCs w:val="24"/>
        </w:rPr>
        <w:t>.</w:t>
      </w:r>
    </w:p>
    <w:p w:rsidR="0074783A" w:rsidRPr="007B461F" w:rsidRDefault="002C761F" w:rsidP="007B461F">
      <w:pPr>
        <w:spacing w:after="120"/>
        <w:jc w:val="both"/>
        <w:rPr>
          <w:rFonts w:ascii="Calibri" w:hAnsi="Calibri"/>
          <w:b/>
          <w:sz w:val="24"/>
          <w:szCs w:val="24"/>
          <w:u w:color="FFFFFF"/>
        </w:rPr>
      </w:pPr>
      <w:r w:rsidRPr="007B461F">
        <w:rPr>
          <w:rFonts w:ascii="Calibri" w:hAnsi="Calibri"/>
          <w:b/>
          <w:sz w:val="24"/>
          <w:szCs w:val="24"/>
          <w:u w:color="FFFFFF"/>
        </w:rPr>
        <w:t xml:space="preserve">Tím, že </w:t>
      </w:r>
      <w:proofErr w:type="spellStart"/>
      <w:r w:rsidRPr="007B461F">
        <w:rPr>
          <w:rFonts w:ascii="Calibri" w:hAnsi="Calibri"/>
          <w:b/>
          <w:sz w:val="24"/>
          <w:szCs w:val="24"/>
          <w:u w:color="FFFFFF"/>
        </w:rPr>
        <w:t>MZd</w:t>
      </w:r>
      <w:proofErr w:type="spellEnd"/>
      <w:r w:rsidRPr="007B461F">
        <w:rPr>
          <w:rFonts w:ascii="Calibri" w:hAnsi="Calibri"/>
          <w:b/>
          <w:sz w:val="24"/>
          <w:szCs w:val="24"/>
          <w:u w:color="FFFFFF"/>
        </w:rPr>
        <w:t xml:space="preserve"> postupovalo u </w:t>
      </w:r>
      <w:r w:rsidR="00607EE1" w:rsidRPr="007B461F">
        <w:rPr>
          <w:rFonts w:ascii="Calibri" w:hAnsi="Calibri"/>
          <w:b/>
          <w:sz w:val="24"/>
          <w:szCs w:val="24"/>
          <w:u w:color="FFFFFF"/>
        </w:rPr>
        <w:t xml:space="preserve">dalšího </w:t>
      </w:r>
      <w:r w:rsidRPr="007B461F">
        <w:rPr>
          <w:rFonts w:ascii="Calibri" w:hAnsi="Calibri"/>
          <w:b/>
          <w:sz w:val="24"/>
          <w:szCs w:val="24"/>
          <w:u w:color="FFFFFF"/>
        </w:rPr>
        <w:t>příjemce v souladu s nastavenými pravidly</w:t>
      </w:r>
      <w:r w:rsidRPr="007B461F">
        <w:rPr>
          <w:rFonts w:ascii="Calibri" w:hAnsi="Calibri"/>
          <w:sz w:val="24"/>
          <w:szCs w:val="24"/>
          <w:u w:color="FFFFFF"/>
        </w:rPr>
        <w:t xml:space="preserve"> pro realizaci projektů IROP spolufinancovaných z EFRR a SR, protože vzniklé nezpůsobilé výdaje projektu ve výši 141 274 784 Kč byly hrazeny z vlastních zdrojů příjemce</w:t>
      </w:r>
      <w:r w:rsidR="009662FA">
        <w:rPr>
          <w:rFonts w:ascii="Calibri" w:hAnsi="Calibri"/>
          <w:sz w:val="24"/>
          <w:szCs w:val="24"/>
          <w:u w:color="FFFFFF"/>
        </w:rPr>
        <w:t>,</w:t>
      </w:r>
      <w:r w:rsidRPr="007B461F">
        <w:rPr>
          <w:rFonts w:ascii="Calibri" w:hAnsi="Calibri"/>
          <w:sz w:val="24"/>
          <w:szCs w:val="24"/>
          <w:u w:color="FFFFFF"/>
        </w:rPr>
        <w:t xml:space="preserve"> </w:t>
      </w:r>
      <w:r w:rsidR="009662FA">
        <w:rPr>
          <w:rFonts w:ascii="Calibri" w:hAnsi="Calibri"/>
          <w:b/>
          <w:sz w:val="24"/>
          <w:szCs w:val="24"/>
          <w:u w:color="FFFFFF"/>
        </w:rPr>
        <w:t xml:space="preserve">zatímco </w:t>
      </w:r>
      <w:r w:rsidRPr="007B461F">
        <w:rPr>
          <w:rFonts w:ascii="Calibri" w:hAnsi="Calibri"/>
          <w:b/>
          <w:sz w:val="24"/>
          <w:szCs w:val="24"/>
          <w:u w:color="FFFFFF"/>
        </w:rPr>
        <w:t xml:space="preserve">u příjemce FN Brno, v rozporu s nastavenými pravidly </w:t>
      </w:r>
      <w:r w:rsidRPr="007B461F">
        <w:rPr>
          <w:rFonts w:ascii="Calibri" w:hAnsi="Calibri"/>
          <w:sz w:val="24"/>
          <w:szCs w:val="24"/>
          <w:u w:color="FFFFFF"/>
        </w:rPr>
        <w:t xml:space="preserve">pro realizaci projektů IROP, </w:t>
      </w:r>
      <w:proofErr w:type="spellStart"/>
      <w:r w:rsidRPr="007B461F">
        <w:rPr>
          <w:rFonts w:ascii="Calibri" w:hAnsi="Calibri"/>
          <w:sz w:val="24"/>
          <w:szCs w:val="24"/>
          <w:u w:color="FFFFFF"/>
        </w:rPr>
        <w:t>MZd</w:t>
      </w:r>
      <w:proofErr w:type="spellEnd"/>
      <w:r w:rsidRPr="007B461F">
        <w:rPr>
          <w:rFonts w:ascii="Calibri" w:hAnsi="Calibri"/>
          <w:sz w:val="24"/>
          <w:szCs w:val="24"/>
          <w:u w:color="FFFFFF"/>
        </w:rPr>
        <w:t xml:space="preserve"> uhradilo </w:t>
      </w:r>
      <w:r w:rsidR="00114DC1" w:rsidRPr="007B461F">
        <w:rPr>
          <w:rFonts w:ascii="Calibri" w:hAnsi="Calibri"/>
          <w:sz w:val="24"/>
          <w:szCs w:val="24"/>
          <w:u w:color="FFFFFF"/>
        </w:rPr>
        <w:t>polovinu</w:t>
      </w:r>
      <w:r w:rsidRPr="007B461F">
        <w:rPr>
          <w:rFonts w:ascii="Calibri" w:hAnsi="Calibri"/>
          <w:sz w:val="24"/>
          <w:szCs w:val="24"/>
          <w:u w:color="FFFFFF"/>
        </w:rPr>
        <w:t xml:space="preserve"> nezpůsobilých výdajů formou dotace ze SR ve výši 50 235 910,</w:t>
      </w:r>
      <w:r w:rsidR="003A2C7A" w:rsidRPr="007B461F">
        <w:rPr>
          <w:rFonts w:ascii="Calibri" w:hAnsi="Calibri"/>
          <w:sz w:val="24"/>
          <w:szCs w:val="24"/>
          <w:u w:color="FFFFFF"/>
        </w:rPr>
        <w:t>6</w:t>
      </w:r>
      <w:r w:rsidRPr="007B461F">
        <w:rPr>
          <w:rFonts w:ascii="Calibri" w:hAnsi="Calibri"/>
          <w:sz w:val="24"/>
          <w:szCs w:val="24"/>
          <w:u w:color="FFFFFF"/>
        </w:rPr>
        <w:t>5 Kč,</w:t>
      </w:r>
      <w:r w:rsidR="009662FA">
        <w:rPr>
          <w:rFonts w:ascii="Calibri" w:hAnsi="Calibri"/>
          <w:sz w:val="24"/>
          <w:szCs w:val="24"/>
          <w:u w:color="FFFFFF"/>
        </w:rPr>
        <w:t xml:space="preserve"> </w:t>
      </w:r>
      <w:r w:rsidRPr="007B461F">
        <w:rPr>
          <w:rFonts w:ascii="Calibri" w:hAnsi="Calibri"/>
          <w:sz w:val="24"/>
          <w:szCs w:val="24"/>
          <w:u w:color="FFFFFF"/>
        </w:rPr>
        <w:t>postupovalo netransparentně.</w:t>
      </w:r>
      <w:r w:rsidRPr="007B461F">
        <w:rPr>
          <w:rFonts w:ascii="Calibri" w:hAnsi="Calibri"/>
          <w:b/>
          <w:sz w:val="24"/>
          <w:szCs w:val="24"/>
          <w:u w:color="FFFFFF"/>
        </w:rPr>
        <w:t xml:space="preserve"> Tím</w:t>
      </w:r>
      <w:r w:rsidR="009662FA">
        <w:rPr>
          <w:rFonts w:ascii="Calibri" w:hAnsi="Calibri"/>
          <w:b/>
          <w:sz w:val="24"/>
          <w:szCs w:val="24"/>
          <w:u w:color="FFFFFF"/>
        </w:rPr>
        <w:t>to postupem</w:t>
      </w:r>
      <w:r w:rsidR="00607EE1" w:rsidRPr="007B461F">
        <w:rPr>
          <w:rFonts w:ascii="Calibri" w:hAnsi="Calibri"/>
          <w:b/>
          <w:sz w:val="24"/>
          <w:szCs w:val="24"/>
          <w:u w:color="FFFFFF"/>
        </w:rPr>
        <w:t xml:space="preserve"> </w:t>
      </w:r>
      <w:proofErr w:type="spellStart"/>
      <w:r w:rsidRPr="007B461F">
        <w:rPr>
          <w:rFonts w:ascii="Calibri" w:hAnsi="Calibri"/>
          <w:b/>
          <w:sz w:val="24"/>
          <w:szCs w:val="24"/>
          <w:u w:color="FFFFFF"/>
        </w:rPr>
        <w:t>MZd</w:t>
      </w:r>
      <w:proofErr w:type="spellEnd"/>
      <w:r w:rsidRPr="007B461F">
        <w:rPr>
          <w:rFonts w:ascii="Calibri" w:hAnsi="Calibri"/>
          <w:b/>
          <w:sz w:val="24"/>
          <w:szCs w:val="24"/>
          <w:u w:color="FFFFFF"/>
        </w:rPr>
        <w:t xml:space="preserve"> jakožto správce programu neoprávněně zvýhodnilo příjemce FN</w:t>
      </w:r>
      <w:r w:rsidR="00612D8E" w:rsidRPr="007B461F">
        <w:rPr>
          <w:rFonts w:ascii="Calibri" w:hAnsi="Calibri"/>
          <w:b/>
          <w:sz w:val="24"/>
          <w:szCs w:val="24"/>
          <w:u w:color="FFFFFF"/>
        </w:rPr>
        <w:t> </w:t>
      </w:r>
      <w:r w:rsidRPr="007B461F">
        <w:rPr>
          <w:rFonts w:ascii="Calibri" w:hAnsi="Calibri"/>
          <w:b/>
          <w:sz w:val="24"/>
          <w:szCs w:val="24"/>
          <w:u w:color="FFFFFF"/>
        </w:rPr>
        <w:t>Brno</w:t>
      </w:r>
      <w:r w:rsidR="00607EE1" w:rsidRPr="007B461F">
        <w:rPr>
          <w:rFonts w:ascii="Calibri" w:hAnsi="Calibri"/>
          <w:b/>
          <w:sz w:val="24"/>
          <w:szCs w:val="24"/>
          <w:u w:color="FFFFFF"/>
        </w:rPr>
        <w:t>.</w:t>
      </w:r>
    </w:p>
    <w:p w:rsidR="00FA08E8" w:rsidRPr="007B461F" w:rsidRDefault="002C761F" w:rsidP="00895A0D">
      <w:pPr>
        <w:keepNext/>
        <w:widowControl/>
        <w:autoSpaceDE/>
        <w:autoSpaceDN/>
        <w:adjustRightInd/>
        <w:spacing w:before="240" w:after="120"/>
        <w:rPr>
          <w:rFonts w:ascii="Calibri" w:hAnsi="Calibri" w:cs="Calibri"/>
          <w:b/>
          <w:sz w:val="24"/>
          <w:szCs w:val="24"/>
          <w:lang w:eastAsia="en-US"/>
        </w:rPr>
      </w:pPr>
      <w:r w:rsidRPr="007B461F">
        <w:rPr>
          <w:rFonts w:ascii="Calibri" w:hAnsi="Calibri" w:cs="Calibri"/>
          <w:b/>
          <w:sz w:val="24"/>
          <w:szCs w:val="24"/>
          <w:lang w:eastAsia="en-US"/>
        </w:rPr>
        <w:t>5. MMR nezajistilo splnění všech podmínek u žadatele o dotaci FN Ostrava</w:t>
      </w:r>
    </w:p>
    <w:p w:rsidR="00FA08E8" w:rsidRPr="007B461F" w:rsidRDefault="002C761F" w:rsidP="007B461F">
      <w:pPr>
        <w:widowControl/>
        <w:tabs>
          <w:tab w:val="left" w:pos="0"/>
        </w:tabs>
        <w:autoSpaceDE/>
        <w:autoSpaceDN/>
        <w:adjustRightInd/>
        <w:spacing w:after="120"/>
        <w:jc w:val="both"/>
        <w:rPr>
          <w:rFonts w:ascii="Calibri" w:hAnsi="Calibri" w:cstheme="minorHAnsi"/>
          <w:sz w:val="24"/>
          <w:szCs w:val="24"/>
          <w:lang w:eastAsia="en-US"/>
        </w:rPr>
      </w:pPr>
      <w:r w:rsidRPr="007B461F">
        <w:rPr>
          <w:rFonts w:ascii="Calibri" w:hAnsi="Calibri" w:cstheme="minorHAnsi"/>
          <w:sz w:val="24"/>
          <w:szCs w:val="24"/>
          <w:lang w:eastAsia="en-US"/>
        </w:rPr>
        <w:t>Žadatel o dotaci byl povinen doložit platné</w:t>
      </w:r>
      <w:r w:rsidRPr="007B461F">
        <w:rPr>
          <w:rFonts w:ascii="Calibri" w:hAnsi="Calibri" w:cstheme="minorHAnsi"/>
          <w:b/>
          <w:sz w:val="24"/>
          <w:szCs w:val="24"/>
          <w:lang w:eastAsia="en-US"/>
        </w:rPr>
        <w:t xml:space="preserve"> stavební povolení</w:t>
      </w:r>
      <w:r w:rsidRPr="007B461F">
        <w:rPr>
          <w:rFonts w:ascii="Calibri" w:hAnsi="Calibri" w:cstheme="minorHAnsi"/>
          <w:sz w:val="24"/>
          <w:szCs w:val="24"/>
          <w:lang w:eastAsia="en-US"/>
        </w:rPr>
        <w:t xml:space="preserve"> s doložkou o nabytí právní moci, a to nejpozději do vydání </w:t>
      </w:r>
      <w:r w:rsidR="009546D7" w:rsidRPr="007B461F">
        <w:rPr>
          <w:rFonts w:ascii="Calibri" w:hAnsi="Calibri" w:cstheme="minorHAnsi"/>
          <w:sz w:val="24"/>
          <w:szCs w:val="24"/>
          <w:lang w:eastAsia="en-US"/>
        </w:rPr>
        <w:t>právního aktu pro poskytnutí dotace</w:t>
      </w:r>
      <w:r w:rsidRPr="007B461F">
        <w:rPr>
          <w:rFonts w:ascii="Calibri" w:hAnsi="Calibri" w:cstheme="minorHAnsi"/>
          <w:sz w:val="24"/>
          <w:szCs w:val="24"/>
          <w:lang w:eastAsia="en-US"/>
        </w:rPr>
        <w:t xml:space="preserve">. Přestože </w:t>
      </w:r>
      <w:r w:rsidRPr="007B461F">
        <w:rPr>
          <w:rFonts w:ascii="Calibri" w:hAnsi="Calibri" w:cstheme="minorHAnsi"/>
          <w:b/>
          <w:sz w:val="24"/>
          <w:szCs w:val="24"/>
          <w:lang w:eastAsia="en-US"/>
        </w:rPr>
        <w:t>žadatel FN Ostrava tento dokument nepředložil</w:t>
      </w:r>
      <w:r w:rsidRPr="000955B0">
        <w:rPr>
          <w:rFonts w:ascii="Calibri" w:hAnsi="Calibri" w:cstheme="minorHAnsi"/>
          <w:b/>
          <w:sz w:val="24"/>
          <w:szCs w:val="24"/>
          <w:lang w:eastAsia="en-US"/>
        </w:rPr>
        <w:t>,</w:t>
      </w:r>
      <w:r w:rsidRPr="007B461F">
        <w:rPr>
          <w:rFonts w:ascii="Calibri" w:hAnsi="Calibri" w:cstheme="minorHAnsi"/>
          <w:sz w:val="24"/>
          <w:szCs w:val="24"/>
          <w:lang w:eastAsia="en-US"/>
        </w:rPr>
        <w:t xml:space="preserve"> MMR prostřednictvím CRR </w:t>
      </w:r>
      <w:r w:rsidR="00244AA6" w:rsidRPr="007B461F">
        <w:rPr>
          <w:rFonts w:ascii="Calibri" w:hAnsi="Calibri" w:cstheme="minorHAnsi"/>
          <w:sz w:val="24"/>
          <w:szCs w:val="24"/>
          <w:lang w:eastAsia="en-US"/>
        </w:rPr>
        <w:t xml:space="preserve">nepožadovalo </w:t>
      </w:r>
      <w:r w:rsidRPr="007B461F">
        <w:rPr>
          <w:rFonts w:ascii="Calibri" w:hAnsi="Calibri" w:cstheme="minorHAnsi"/>
          <w:sz w:val="24"/>
          <w:szCs w:val="24"/>
          <w:lang w:eastAsia="en-US"/>
        </w:rPr>
        <w:t>splnění této podmínky a následně schválilo tomuto žadateli dotaci ve výši 496 mil. Kč, z toho 422 mil. Kč z EFRR. Tím,</w:t>
      </w:r>
      <w:r w:rsidR="00FB658B">
        <w:rPr>
          <w:rFonts w:ascii="Calibri" w:hAnsi="Calibri" w:cstheme="minorHAnsi"/>
          <w:sz w:val="24"/>
          <w:szCs w:val="24"/>
          <w:lang w:eastAsia="en-US"/>
        </w:rPr>
        <w:t xml:space="preserve"> </w:t>
      </w:r>
      <w:r w:rsidRPr="007B461F">
        <w:rPr>
          <w:rFonts w:ascii="Calibri" w:hAnsi="Calibri" w:cstheme="minorHAnsi"/>
          <w:sz w:val="24"/>
          <w:szCs w:val="24"/>
          <w:lang w:eastAsia="en-US"/>
        </w:rPr>
        <w:t>že MMR prostřednictvím CRR nezajistilo splnění příslušných specifických pravidel</w:t>
      </w:r>
      <w:r w:rsidR="00A95FF4" w:rsidRPr="007B461F">
        <w:rPr>
          <w:rFonts w:ascii="Calibri" w:hAnsi="Calibri" w:cstheme="minorHAnsi"/>
          <w:sz w:val="24"/>
          <w:szCs w:val="24"/>
          <w:lang w:eastAsia="en-US"/>
        </w:rPr>
        <w:t>,</w:t>
      </w:r>
      <w:r w:rsidRPr="007B461F">
        <w:rPr>
          <w:rFonts w:ascii="Calibri" w:hAnsi="Calibri" w:cstheme="minorHAnsi"/>
          <w:sz w:val="24"/>
          <w:szCs w:val="24"/>
          <w:lang w:eastAsia="en-US"/>
        </w:rPr>
        <w:t xml:space="preserve"> zvýhodnilo tohoto žadatele</w:t>
      </w:r>
      <w:r w:rsidR="00A95FF4" w:rsidRPr="007B461F">
        <w:rPr>
          <w:rFonts w:ascii="Calibri" w:hAnsi="Calibri" w:cstheme="minorHAnsi"/>
          <w:sz w:val="24"/>
          <w:szCs w:val="24"/>
          <w:lang w:eastAsia="en-US"/>
        </w:rPr>
        <w:t>.</w:t>
      </w:r>
    </w:p>
    <w:p w:rsidR="008962F8" w:rsidRPr="007B461F" w:rsidRDefault="002C761F" w:rsidP="00895A0D">
      <w:pPr>
        <w:keepNext/>
        <w:widowControl/>
        <w:autoSpaceDE/>
        <w:autoSpaceDN/>
        <w:adjustRightInd/>
        <w:spacing w:before="240" w:after="120"/>
        <w:rPr>
          <w:rFonts w:ascii="Calibri" w:hAnsi="Calibri" w:cs="Calibri"/>
          <w:b/>
          <w:sz w:val="24"/>
          <w:szCs w:val="24"/>
          <w:lang w:eastAsia="en-US"/>
        </w:rPr>
      </w:pPr>
      <w:r w:rsidRPr="007B461F">
        <w:rPr>
          <w:rFonts w:ascii="Calibri" w:hAnsi="Calibri" w:cs="Calibri"/>
          <w:b/>
          <w:sz w:val="24"/>
          <w:szCs w:val="24"/>
          <w:lang w:eastAsia="en-US"/>
        </w:rPr>
        <w:t xml:space="preserve">6. </w:t>
      </w:r>
      <w:r w:rsidR="00FA08E8" w:rsidRPr="007B461F">
        <w:rPr>
          <w:rFonts w:ascii="Calibri" w:hAnsi="Calibri" w:cs="Calibri"/>
          <w:b/>
          <w:sz w:val="24"/>
          <w:szCs w:val="24"/>
          <w:lang w:eastAsia="en-US"/>
        </w:rPr>
        <w:t>Kontrolní činnost poskytovatelů dotace</w:t>
      </w:r>
    </w:p>
    <w:p w:rsidR="00FA08E8" w:rsidRPr="007B461F" w:rsidRDefault="002C761F" w:rsidP="007B461F">
      <w:pPr>
        <w:shd w:val="clear" w:color="auto" w:fill="FFFFFF"/>
        <w:spacing w:after="120"/>
        <w:jc w:val="both"/>
        <w:rPr>
          <w:rFonts w:ascii="Calibri" w:eastAsia="Times New Roman" w:hAnsi="Calibri" w:cstheme="minorHAnsi"/>
          <w:sz w:val="24"/>
          <w:szCs w:val="24"/>
        </w:rPr>
      </w:pPr>
      <w:proofErr w:type="spellStart"/>
      <w:r w:rsidRPr="007B461F">
        <w:rPr>
          <w:rFonts w:ascii="Calibri" w:eastAsia="Times New Roman" w:hAnsi="Calibri" w:cstheme="minorHAnsi"/>
          <w:b/>
          <w:sz w:val="24"/>
          <w:szCs w:val="24"/>
        </w:rPr>
        <w:t>MZd</w:t>
      </w:r>
      <w:proofErr w:type="spellEnd"/>
      <w:r w:rsidRPr="007B461F">
        <w:rPr>
          <w:rFonts w:ascii="Calibri" w:eastAsia="Times New Roman" w:hAnsi="Calibri" w:cstheme="minorHAnsi"/>
          <w:b/>
          <w:sz w:val="24"/>
          <w:szCs w:val="24"/>
        </w:rPr>
        <w:t xml:space="preserve"> </w:t>
      </w:r>
      <w:r w:rsidR="008E49C0" w:rsidRPr="007B461F">
        <w:rPr>
          <w:rFonts w:ascii="Calibri" w:eastAsia="Times New Roman" w:hAnsi="Calibri" w:cstheme="minorHAnsi"/>
          <w:b/>
          <w:sz w:val="24"/>
          <w:szCs w:val="24"/>
        </w:rPr>
        <w:t xml:space="preserve">v rozporu s § 8 odst. 2 zákona č. 320/2001 Sb. </w:t>
      </w:r>
      <w:r w:rsidRPr="007B461F">
        <w:rPr>
          <w:rFonts w:ascii="Calibri" w:eastAsia="Times New Roman" w:hAnsi="Calibri" w:cstheme="minorHAnsi"/>
          <w:b/>
          <w:sz w:val="24"/>
          <w:szCs w:val="24"/>
        </w:rPr>
        <w:t>neprovádělo žádnou veřejnosprávní kontrolu u</w:t>
      </w:r>
      <w:r w:rsidR="00642C69" w:rsidRPr="007B461F">
        <w:rPr>
          <w:rFonts w:ascii="Calibri" w:eastAsia="Times New Roman" w:hAnsi="Calibri" w:cstheme="minorHAnsi"/>
          <w:b/>
          <w:sz w:val="24"/>
          <w:szCs w:val="24"/>
        </w:rPr>
        <w:t> </w:t>
      </w:r>
      <w:r w:rsidRPr="007B461F">
        <w:rPr>
          <w:rFonts w:ascii="Calibri" w:eastAsia="Times New Roman" w:hAnsi="Calibri" w:cstheme="minorHAnsi"/>
          <w:b/>
          <w:sz w:val="24"/>
          <w:szCs w:val="24"/>
        </w:rPr>
        <w:t>příjemců dotací v rámci programu rozvoje a obnovy a programu předfinancování.</w:t>
      </w:r>
      <w:r w:rsidRPr="007B461F">
        <w:rPr>
          <w:rFonts w:ascii="Calibri" w:eastAsia="Times New Roman" w:hAnsi="Calibri" w:cstheme="minorHAnsi"/>
          <w:sz w:val="24"/>
          <w:szCs w:val="24"/>
        </w:rPr>
        <w:t xml:space="preserve"> V rámci programu rozvoje a obnovy bylo podpořeno v letech 2016</w:t>
      </w:r>
      <w:r w:rsidR="00B9066E" w:rsidRPr="007B461F">
        <w:rPr>
          <w:rFonts w:ascii="Calibri" w:eastAsia="Times New Roman" w:hAnsi="Calibri" w:cstheme="minorHAnsi"/>
          <w:sz w:val="24"/>
          <w:szCs w:val="24"/>
        </w:rPr>
        <w:t>−</w:t>
      </w:r>
      <w:r w:rsidRPr="007B461F">
        <w:rPr>
          <w:rFonts w:ascii="Calibri" w:eastAsia="Times New Roman" w:hAnsi="Calibri" w:cstheme="minorHAnsi"/>
          <w:sz w:val="24"/>
          <w:szCs w:val="24"/>
        </w:rPr>
        <w:t>202</w:t>
      </w:r>
      <w:r w:rsidR="00003F3E" w:rsidRPr="007B461F">
        <w:rPr>
          <w:rFonts w:ascii="Calibri" w:eastAsia="Times New Roman" w:hAnsi="Calibri" w:cstheme="minorHAnsi"/>
          <w:sz w:val="24"/>
          <w:szCs w:val="24"/>
        </w:rPr>
        <w:t>0</w:t>
      </w:r>
      <w:r w:rsidRPr="007B461F">
        <w:rPr>
          <w:rFonts w:ascii="Calibri" w:eastAsia="Times New Roman" w:hAnsi="Calibri" w:cstheme="minorHAnsi"/>
          <w:sz w:val="24"/>
          <w:szCs w:val="24"/>
        </w:rPr>
        <w:t xml:space="preserve"> celkem 42 akcí v celkové výši 587</w:t>
      </w:r>
      <w:r w:rsidR="00642C69" w:rsidRPr="007B461F">
        <w:rPr>
          <w:rFonts w:ascii="Calibri" w:eastAsia="Times New Roman" w:hAnsi="Calibri" w:cstheme="minorHAnsi"/>
          <w:sz w:val="24"/>
          <w:szCs w:val="24"/>
        </w:rPr>
        <w:t> </w:t>
      </w:r>
      <w:r w:rsidRPr="007B461F">
        <w:rPr>
          <w:rFonts w:ascii="Calibri" w:eastAsia="Times New Roman" w:hAnsi="Calibri" w:cstheme="minorHAnsi"/>
          <w:sz w:val="24"/>
          <w:szCs w:val="24"/>
        </w:rPr>
        <w:t>mil.</w:t>
      </w:r>
      <w:r w:rsidR="00642C69" w:rsidRPr="007B461F">
        <w:rPr>
          <w:rFonts w:ascii="Calibri" w:eastAsia="Times New Roman" w:hAnsi="Calibri" w:cstheme="minorHAnsi"/>
          <w:sz w:val="24"/>
          <w:szCs w:val="24"/>
        </w:rPr>
        <w:t> </w:t>
      </w:r>
      <w:r w:rsidRPr="007B461F">
        <w:rPr>
          <w:rFonts w:ascii="Calibri" w:eastAsia="Times New Roman" w:hAnsi="Calibri" w:cstheme="minorHAnsi"/>
          <w:sz w:val="24"/>
          <w:szCs w:val="24"/>
        </w:rPr>
        <w:t>Kč. V rámci programu předfinancování bylo podpořeno v letech 2017</w:t>
      </w:r>
      <w:r w:rsidR="00B9066E" w:rsidRPr="007B461F">
        <w:rPr>
          <w:rFonts w:ascii="Calibri" w:eastAsia="Times New Roman" w:hAnsi="Calibri" w:cstheme="minorHAnsi"/>
          <w:sz w:val="24"/>
          <w:szCs w:val="24"/>
        </w:rPr>
        <w:t>−</w:t>
      </w:r>
      <w:r w:rsidRPr="007B461F">
        <w:rPr>
          <w:rFonts w:ascii="Calibri" w:eastAsia="Times New Roman" w:hAnsi="Calibri" w:cstheme="minorHAnsi"/>
          <w:sz w:val="24"/>
          <w:szCs w:val="24"/>
        </w:rPr>
        <w:t xml:space="preserve">2021 celkem </w:t>
      </w:r>
      <w:r w:rsidR="00FB658B">
        <w:rPr>
          <w:rFonts w:ascii="Calibri" w:eastAsia="Times New Roman" w:hAnsi="Calibri" w:cstheme="minorHAnsi"/>
          <w:sz w:val="24"/>
          <w:szCs w:val="24"/>
        </w:rPr>
        <w:t>pět</w:t>
      </w:r>
      <w:r w:rsidRPr="007B461F">
        <w:rPr>
          <w:rFonts w:ascii="Calibri" w:eastAsia="Times New Roman" w:hAnsi="Calibri" w:cstheme="minorHAnsi"/>
          <w:sz w:val="24"/>
          <w:szCs w:val="24"/>
        </w:rPr>
        <w:t xml:space="preserve"> </w:t>
      </w:r>
      <w:r w:rsidR="00BE6787" w:rsidRPr="007B461F">
        <w:rPr>
          <w:rFonts w:ascii="Calibri" w:eastAsia="Times New Roman" w:hAnsi="Calibri" w:cstheme="minorHAnsi"/>
          <w:sz w:val="24"/>
          <w:szCs w:val="24"/>
        </w:rPr>
        <w:t>projektů</w:t>
      </w:r>
      <w:r w:rsidRPr="007B461F">
        <w:rPr>
          <w:rFonts w:ascii="Calibri" w:eastAsia="Times New Roman" w:hAnsi="Calibri" w:cstheme="minorHAnsi"/>
          <w:sz w:val="24"/>
          <w:szCs w:val="24"/>
        </w:rPr>
        <w:t xml:space="preserve"> v celkové výši 1</w:t>
      </w:r>
      <w:r w:rsidR="00B9066E" w:rsidRPr="007B461F">
        <w:rPr>
          <w:rFonts w:ascii="Calibri" w:eastAsia="Times New Roman" w:hAnsi="Calibri" w:cstheme="minorHAnsi"/>
          <w:sz w:val="24"/>
          <w:szCs w:val="24"/>
        </w:rPr>
        <w:t> </w:t>
      </w:r>
      <w:r w:rsidRPr="007B461F">
        <w:rPr>
          <w:rFonts w:ascii="Calibri" w:eastAsia="Times New Roman" w:hAnsi="Calibri" w:cstheme="minorHAnsi"/>
          <w:sz w:val="24"/>
          <w:szCs w:val="24"/>
        </w:rPr>
        <w:t>409</w:t>
      </w:r>
      <w:r w:rsidR="00B9066E" w:rsidRPr="007B461F">
        <w:rPr>
          <w:rFonts w:ascii="Calibri" w:eastAsia="Times New Roman" w:hAnsi="Calibri" w:cstheme="minorHAnsi"/>
          <w:sz w:val="24"/>
          <w:szCs w:val="24"/>
        </w:rPr>
        <w:t> </w:t>
      </w:r>
      <w:r w:rsidRPr="007B461F">
        <w:rPr>
          <w:rFonts w:ascii="Calibri" w:eastAsia="Times New Roman" w:hAnsi="Calibri" w:cstheme="minorHAnsi"/>
          <w:sz w:val="24"/>
          <w:szCs w:val="24"/>
        </w:rPr>
        <w:t>mil.</w:t>
      </w:r>
      <w:r w:rsidR="00B9066E" w:rsidRPr="007B461F">
        <w:rPr>
          <w:rFonts w:ascii="Calibri" w:eastAsia="Times New Roman" w:hAnsi="Calibri" w:cstheme="minorHAnsi"/>
          <w:sz w:val="24"/>
          <w:szCs w:val="24"/>
        </w:rPr>
        <w:t> </w:t>
      </w:r>
      <w:r w:rsidRPr="007B461F">
        <w:rPr>
          <w:rFonts w:ascii="Calibri" w:eastAsia="Times New Roman" w:hAnsi="Calibri" w:cstheme="minorHAnsi"/>
          <w:sz w:val="24"/>
          <w:szCs w:val="24"/>
        </w:rPr>
        <w:t xml:space="preserve">Kč. </w:t>
      </w:r>
    </w:p>
    <w:p w:rsidR="00FA08E8" w:rsidRPr="007B461F" w:rsidRDefault="002C761F" w:rsidP="007B461F">
      <w:pPr>
        <w:keepNext/>
        <w:widowControl/>
        <w:shd w:val="clear" w:color="auto" w:fill="FFFFFF"/>
        <w:spacing w:after="120"/>
        <w:jc w:val="both"/>
        <w:rPr>
          <w:rFonts w:ascii="Calibri" w:hAnsi="Calibri" w:cstheme="minorHAnsi"/>
          <w:sz w:val="24"/>
          <w:szCs w:val="24"/>
        </w:rPr>
      </w:pPr>
      <w:proofErr w:type="spellStart"/>
      <w:r w:rsidRPr="007B461F">
        <w:rPr>
          <w:rFonts w:ascii="Calibri" w:eastAsia="Times New Roman" w:hAnsi="Calibri" w:cstheme="minorHAnsi"/>
          <w:b/>
          <w:sz w:val="24"/>
          <w:szCs w:val="24"/>
        </w:rPr>
        <w:t>MZd</w:t>
      </w:r>
      <w:proofErr w:type="spellEnd"/>
      <w:r w:rsidRPr="007B461F">
        <w:rPr>
          <w:rFonts w:ascii="Calibri" w:eastAsia="Times New Roman" w:hAnsi="Calibri" w:cstheme="minorHAnsi"/>
          <w:b/>
          <w:sz w:val="24"/>
          <w:szCs w:val="24"/>
        </w:rPr>
        <w:t xml:space="preserve"> zároveň nedostatečně definovalo </w:t>
      </w:r>
      <w:r w:rsidR="006B4C94" w:rsidRPr="007B461F">
        <w:rPr>
          <w:rFonts w:ascii="Calibri" w:eastAsia="Times New Roman" w:hAnsi="Calibri" w:cstheme="minorHAnsi"/>
          <w:b/>
          <w:sz w:val="24"/>
          <w:szCs w:val="24"/>
        </w:rPr>
        <w:t>postup při realizaci</w:t>
      </w:r>
      <w:r w:rsidRPr="007B461F">
        <w:rPr>
          <w:rFonts w:ascii="Calibri" w:eastAsia="Times New Roman" w:hAnsi="Calibri" w:cstheme="minorHAnsi"/>
          <w:b/>
          <w:sz w:val="24"/>
          <w:szCs w:val="24"/>
        </w:rPr>
        <w:t xml:space="preserve"> monitorovacích návštěv,</w:t>
      </w:r>
      <w:r w:rsidR="006B4C94" w:rsidRPr="007B461F">
        <w:rPr>
          <w:rFonts w:ascii="Calibri" w:eastAsia="Times New Roman" w:hAnsi="Calibri" w:cstheme="minorHAnsi"/>
          <w:b/>
          <w:sz w:val="24"/>
          <w:szCs w:val="24"/>
        </w:rPr>
        <w:t xml:space="preserve"> </w:t>
      </w:r>
      <w:r w:rsidR="006B4C94" w:rsidRPr="007B461F">
        <w:rPr>
          <w:rFonts w:ascii="Calibri" w:hAnsi="Calibri" w:cstheme="minorHAnsi"/>
          <w:b/>
          <w:sz w:val="24"/>
          <w:szCs w:val="24"/>
        </w:rPr>
        <w:t>předcházející</w:t>
      </w:r>
      <w:r w:rsidR="00FB658B">
        <w:rPr>
          <w:rFonts w:ascii="Calibri" w:hAnsi="Calibri" w:cstheme="minorHAnsi"/>
          <w:b/>
          <w:sz w:val="24"/>
          <w:szCs w:val="24"/>
        </w:rPr>
        <w:t>ch</w:t>
      </w:r>
      <w:r w:rsidR="006B4C94" w:rsidRPr="007B461F">
        <w:rPr>
          <w:rFonts w:ascii="Calibri" w:hAnsi="Calibri" w:cstheme="minorHAnsi"/>
          <w:b/>
          <w:sz w:val="24"/>
          <w:szCs w:val="24"/>
        </w:rPr>
        <w:t xml:space="preserve"> možné veřejnosprávní kontrole</w:t>
      </w:r>
      <w:r w:rsidR="006B4C94" w:rsidRPr="007B461F">
        <w:rPr>
          <w:rFonts w:ascii="Calibri" w:hAnsi="Calibri" w:cstheme="minorHAnsi"/>
          <w:sz w:val="24"/>
          <w:szCs w:val="24"/>
        </w:rPr>
        <w:t xml:space="preserve"> dle ustanovení § 3 zákona č. 255/2012 Sb.</w:t>
      </w:r>
      <w:r w:rsidR="006B4C94" w:rsidRPr="007B461F">
        <w:rPr>
          <w:rStyle w:val="Znakapoznpodarou"/>
          <w:rFonts w:ascii="Calibri" w:hAnsi="Calibri"/>
          <w:sz w:val="24"/>
          <w:szCs w:val="24"/>
        </w:rPr>
        <w:footnoteReference w:id="17"/>
      </w:r>
      <w:r w:rsidR="00FB658B">
        <w:rPr>
          <w:rFonts w:ascii="Calibri" w:hAnsi="Calibri" w:cstheme="minorHAnsi"/>
          <w:sz w:val="24"/>
          <w:szCs w:val="24"/>
        </w:rPr>
        <w:t>,</w:t>
      </w:r>
      <w:r w:rsidRPr="007B461F">
        <w:rPr>
          <w:rFonts w:ascii="Calibri" w:eastAsia="Times New Roman" w:hAnsi="Calibri" w:cstheme="minorHAnsi"/>
          <w:b/>
          <w:sz w:val="24"/>
          <w:szCs w:val="24"/>
        </w:rPr>
        <w:t xml:space="preserve"> </w:t>
      </w:r>
      <w:r w:rsidRPr="007B461F">
        <w:rPr>
          <w:rFonts w:ascii="Calibri" w:eastAsia="Times New Roman" w:hAnsi="Calibri" w:cstheme="minorHAnsi"/>
          <w:sz w:val="24"/>
          <w:szCs w:val="24"/>
        </w:rPr>
        <w:t xml:space="preserve">které jako poskytovatel provádí u vysoce rizikových projektů s cílem předejít problémům s nezpůsobilými </w:t>
      </w:r>
      <w:r w:rsidR="00822024" w:rsidRPr="007B461F">
        <w:rPr>
          <w:rFonts w:ascii="Calibri" w:eastAsia="Times New Roman" w:hAnsi="Calibri" w:cstheme="minorHAnsi"/>
          <w:sz w:val="24"/>
          <w:szCs w:val="24"/>
        </w:rPr>
        <w:t>výdaji</w:t>
      </w:r>
      <w:r w:rsidRPr="007B461F">
        <w:rPr>
          <w:rFonts w:ascii="Calibri" w:eastAsia="Times New Roman" w:hAnsi="Calibri" w:cstheme="minorHAnsi"/>
          <w:sz w:val="24"/>
          <w:szCs w:val="24"/>
        </w:rPr>
        <w:t xml:space="preserve"> a porušením rozpočtové kázně. </w:t>
      </w:r>
      <w:r w:rsidRPr="007B461F">
        <w:rPr>
          <w:rFonts w:ascii="Calibri" w:hAnsi="Calibri" w:cstheme="minorHAnsi"/>
          <w:sz w:val="24"/>
          <w:szCs w:val="24"/>
        </w:rPr>
        <w:t xml:space="preserve">Při vymezení jejich právní povahy </w:t>
      </w:r>
      <w:proofErr w:type="spellStart"/>
      <w:r w:rsidRPr="007B461F">
        <w:rPr>
          <w:rFonts w:ascii="Calibri" w:hAnsi="Calibri" w:cstheme="minorHAnsi"/>
          <w:sz w:val="24"/>
          <w:szCs w:val="24"/>
        </w:rPr>
        <w:t>MZd</w:t>
      </w:r>
      <w:proofErr w:type="spellEnd"/>
      <w:r w:rsidRPr="007B461F">
        <w:rPr>
          <w:rFonts w:ascii="Calibri" w:hAnsi="Calibri" w:cstheme="minorHAnsi"/>
          <w:sz w:val="24"/>
          <w:szCs w:val="24"/>
        </w:rPr>
        <w:t xml:space="preserve"> postupovalo nekonzistentně, a to v různých řídicích dokumentech upravujících závazná pravidla postupu </w:t>
      </w:r>
      <w:proofErr w:type="spellStart"/>
      <w:r w:rsidRPr="007B461F">
        <w:rPr>
          <w:rFonts w:ascii="Calibri" w:hAnsi="Calibri" w:cstheme="minorHAnsi"/>
          <w:sz w:val="24"/>
          <w:szCs w:val="24"/>
        </w:rPr>
        <w:t>MZd</w:t>
      </w:r>
      <w:proofErr w:type="spellEnd"/>
      <w:r w:rsidRPr="007B461F">
        <w:rPr>
          <w:rFonts w:ascii="Calibri" w:hAnsi="Calibri" w:cstheme="minorHAnsi"/>
          <w:sz w:val="24"/>
          <w:szCs w:val="24"/>
        </w:rPr>
        <w:t xml:space="preserve"> a příjemců při realizaci projektů. </w:t>
      </w:r>
    </w:p>
    <w:p w:rsidR="00AD3F42" w:rsidRPr="007B461F" w:rsidRDefault="002C761F" w:rsidP="007B461F">
      <w:pPr>
        <w:shd w:val="clear" w:color="auto" w:fill="FFFFFF"/>
        <w:spacing w:after="120"/>
        <w:jc w:val="both"/>
        <w:rPr>
          <w:rFonts w:ascii="Calibri" w:hAnsi="Calibri" w:cstheme="minorHAnsi"/>
          <w:sz w:val="24"/>
          <w:szCs w:val="24"/>
        </w:rPr>
      </w:pPr>
      <w:r w:rsidRPr="007B461F">
        <w:rPr>
          <w:rFonts w:ascii="Calibri" w:eastAsia="Times New Roman" w:hAnsi="Calibri" w:cstheme="minorHAnsi"/>
          <w:b/>
          <w:sz w:val="24"/>
          <w:szCs w:val="24"/>
        </w:rPr>
        <w:t>Kontrola MMR</w:t>
      </w:r>
      <w:r w:rsidRPr="007B461F">
        <w:rPr>
          <w:rFonts w:ascii="Calibri" w:eastAsia="Times New Roman" w:hAnsi="Calibri" w:cstheme="minorHAnsi"/>
          <w:sz w:val="24"/>
          <w:szCs w:val="24"/>
        </w:rPr>
        <w:t xml:space="preserve"> vykonávaná u příjemců dotací v rámci výzvy č. 54 a </w:t>
      </w:r>
      <w:r w:rsidR="006E7875" w:rsidRPr="007B461F">
        <w:rPr>
          <w:rFonts w:ascii="Calibri" w:eastAsia="Times New Roman" w:hAnsi="Calibri" w:cstheme="minorHAnsi"/>
          <w:sz w:val="24"/>
          <w:szCs w:val="24"/>
        </w:rPr>
        <w:t xml:space="preserve">výzvy </w:t>
      </w:r>
      <w:r w:rsidRPr="007B461F">
        <w:rPr>
          <w:rFonts w:ascii="Calibri" w:eastAsia="Times New Roman" w:hAnsi="Calibri" w:cstheme="minorHAnsi"/>
          <w:sz w:val="24"/>
          <w:szCs w:val="24"/>
        </w:rPr>
        <w:t xml:space="preserve">č. 75 </w:t>
      </w:r>
      <w:r w:rsidRPr="007B461F">
        <w:rPr>
          <w:rFonts w:ascii="Calibri" w:eastAsia="Times New Roman" w:hAnsi="Calibri" w:cstheme="minorHAnsi"/>
          <w:b/>
          <w:sz w:val="24"/>
          <w:szCs w:val="24"/>
        </w:rPr>
        <w:t>nebyla v souladu s</w:t>
      </w:r>
      <w:r w:rsidR="006E7875" w:rsidRPr="007B461F">
        <w:rPr>
          <w:rFonts w:ascii="Calibri" w:eastAsia="Times New Roman" w:hAnsi="Calibri" w:cstheme="minorHAnsi"/>
          <w:b/>
          <w:sz w:val="24"/>
          <w:szCs w:val="24"/>
        </w:rPr>
        <w:t> </w:t>
      </w:r>
      <w:r w:rsidRPr="007B461F">
        <w:rPr>
          <w:rFonts w:ascii="Calibri" w:eastAsia="Times New Roman" w:hAnsi="Calibri" w:cstheme="minorHAnsi"/>
          <w:b/>
          <w:sz w:val="24"/>
          <w:szCs w:val="24"/>
        </w:rPr>
        <w:t>OM</w:t>
      </w:r>
      <w:r w:rsidR="006E7875" w:rsidRPr="007B461F">
        <w:rPr>
          <w:rFonts w:ascii="Calibri" w:eastAsia="Times New Roman" w:hAnsi="Calibri" w:cstheme="minorHAnsi"/>
          <w:b/>
          <w:sz w:val="24"/>
          <w:szCs w:val="24"/>
        </w:rPr>
        <w:t> </w:t>
      </w:r>
      <w:r w:rsidRPr="007B461F">
        <w:rPr>
          <w:rFonts w:ascii="Calibri" w:eastAsia="Times New Roman" w:hAnsi="Calibri" w:cstheme="minorHAnsi"/>
          <w:b/>
          <w:sz w:val="24"/>
          <w:szCs w:val="24"/>
        </w:rPr>
        <w:t xml:space="preserve">IROP a </w:t>
      </w:r>
      <w:r w:rsidR="004B32B8" w:rsidRPr="007B461F">
        <w:rPr>
          <w:rFonts w:ascii="Calibri" w:eastAsia="Times New Roman" w:hAnsi="Calibri" w:cstheme="minorHAnsi"/>
          <w:b/>
          <w:sz w:val="24"/>
          <w:szCs w:val="24"/>
        </w:rPr>
        <w:t xml:space="preserve">s </w:t>
      </w:r>
      <w:r w:rsidRPr="007B461F">
        <w:rPr>
          <w:rFonts w:ascii="Calibri" w:eastAsia="Times New Roman" w:hAnsi="Calibri" w:cstheme="minorHAnsi"/>
          <w:b/>
          <w:sz w:val="24"/>
          <w:szCs w:val="24"/>
        </w:rPr>
        <w:t>ustanovení</w:t>
      </w:r>
      <w:r w:rsidR="00335297" w:rsidRPr="007B461F">
        <w:rPr>
          <w:rFonts w:ascii="Calibri" w:eastAsia="Times New Roman" w:hAnsi="Calibri" w:cstheme="minorHAnsi"/>
          <w:b/>
          <w:sz w:val="24"/>
          <w:szCs w:val="24"/>
        </w:rPr>
        <w:t>m</w:t>
      </w:r>
      <w:r w:rsidRPr="007B461F">
        <w:rPr>
          <w:rFonts w:ascii="Calibri" w:eastAsia="Times New Roman" w:hAnsi="Calibri" w:cstheme="minorHAnsi"/>
          <w:b/>
          <w:sz w:val="24"/>
          <w:szCs w:val="24"/>
        </w:rPr>
        <w:t xml:space="preserve"> § </w:t>
      </w:r>
      <w:r w:rsidR="007246A2" w:rsidRPr="007B461F">
        <w:rPr>
          <w:rFonts w:ascii="Calibri" w:eastAsia="Times New Roman" w:hAnsi="Calibri" w:cstheme="minorHAnsi"/>
          <w:b/>
          <w:sz w:val="24"/>
          <w:szCs w:val="24"/>
        </w:rPr>
        <w:t xml:space="preserve">4 </w:t>
      </w:r>
      <w:r w:rsidRPr="007B461F">
        <w:rPr>
          <w:rFonts w:ascii="Calibri" w:eastAsia="Times New Roman" w:hAnsi="Calibri" w:cstheme="minorHAnsi"/>
          <w:b/>
          <w:sz w:val="24"/>
          <w:szCs w:val="24"/>
        </w:rPr>
        <w:t xml:space="preserve">zákona č. </w:t>
      </w:r>
      <w:r w:rsidR="007246A2" w:rsidRPr="007B461F">
        <w:rPr>
          <w:rFonts w:ascii="Calibri" w:eastAsia="Times New Roman" w:hAnsi="Calibri" w:cstheme="minorHAnsi"/>
          <w:b/>
          <w:sz w:val="24"/>
          <w:szCs w:val="24"/>
        </w:rPr>
        <w:t>320</w:t>
      </w:r>
      <w:r w:rsidRPr="007B461F">
        <w:rPr>
          <w:rFonts w:ascii="Calibri" w:eastAsia="Times New Roman" w:hAnsi="Calibri" w:cstheme="minorHAnsi"/>
          <w:b/>
          <w:sz w:val="24"/>
          <w:szCs w:val="24"/>
        </w:rPr>
        <w:t>/200</w:t>
      </w:r>
      <w:r w:rsidR="007246A2" w:rsidRPr="007B461F">
        <w:rPr>
          <w:rFonts w:ascii="Calibri" w:eastAsia="Times New Roman" w:hAnsi="Calibri" w:cstheme="minorHAnsi"/>
          <w:b/>
          <w:sz w:val="24"/>
          <w:szCs w:val="24"/>
        </w:rPr>
        <w:t>1</w:t>
      </w:r>
      <w:r w:rsidRPr="007B461F">
        <w:rPr>
          <w:rFonts w:ascii="Calibri" w:eastAsia="Times New Roman" w:hAnsi="Calibri" w:cstheme="minorHAnsi"/>
          <w:b/>
          <w:sz w:val="24"/>
          <w:szCs w:val="24"/>
        </w:rPr>
        <w:t xml:space="preserve"> Sb.</w:t>
      </w:r>
      <w:r w:rsidRPr="007B461F">
        <w:rPr>
          <w:rFonts w:ascii="Calibri" w:hAnsi="Calibri" w:cstheme="minorHAnsi"/>
        </w:rPr>
        <w:t xml:space="preserve"> </w:t>
      </w:r>
      <w:r w:rsidRPr="007B461F">
        <w:rPr>
          <w:rFonts w:ascii="Calibri" w:hAnsi="Calibri" w:cstheme="minorHAnsi"/>
          <w:sz w:val="24"/>
          <w:szCs w:val="24"/>
        </w:rPr>
        <w:t xml:space="preserve">MMR nezajistilo, aby byla v rámci kontrol posuzována hospodárnost, účelnost a efektivnost při nakládání s veřejnými prostředky. </w:t>
      </w:r>
    </w:p>
    <w:p w:rsidR="00F3595E" w:rsidRPr="007B461F" w:rsidRDefault="002C761F" w:rsidP="00895A0D">
      <w:pPr>
        <w:keepNext/>
        <w:widowControl/>
        <w:tabs>
          <w:tab w:val="left" w:pos="0"/>
        </w:tabs>
        <w:autoSpaceDE/>
        <w:autoSpaceDN/>
        <w:adjustRightInd/>
        <w:spacing w:before="240" w:after="120"/>
        <w:jc w:val="both"/>
        <w:rPr>
          <w:rFonts w:ascii="Calibri" w:hAnsi="Calibri" w:cstheme="minorHAnsi"/>
          <w:b/>
          <w:sz w:val="24"/>
          <w:szCs w:val="24"/>
          <w:lang w:eastAsia="en-US"/>
        </w:rPr>
      </w:pPr>
      <w:bookmarkStart w:id="7" w:name="_Hlk99967895"/>
      <w:r w:rsidRPr="007B461F">
        <w:rPr>
          <w:rFonts w:ascii="Calibri" w:hAnsi="Calibri" w:cstheme="minorHAnsi"/>
          <w:b/>
          <w:sz w:val="24"/>
          <w:szCs w:val="24"/>
          <w:lang w:eastAsia="en-US"/>
        </w:rPr>
        <w:t xml:space="preserve">7. </w:t>
      </w:r>
      <w:r w:rsidR="007D64A3" w:rsidRPr="007B461F">
        <w:rPr>
          <w:rFonts w:ascii="Calibri" w:hAnsi="Calibri" w:cstheme="minorHAnsi"/>
          <w:b/>
          <w:sz w:val="24"/>
          <w:szCs w:val="24"/>
          <w:lang w:eastAsia="en-US"/>
        </w:rPr>
        <w:t>Nefunkční a neúčinný vnitřní kontrolní systém</w:t>
      </w:r>
    </w:p>
    <w:p w:rsidR="007D64A3" w:rsidRPr="007B461F" w:rsidRDefault="002C761F" w:rsidP="007B461F">
      <w:pPr>
        <w:shd w:val="clear" w:color="auto" w:fill="FFFFFF"/>
        <w:spacing w:after="120"/>
        <w:jc w:val="both"/>
        <w:rPr>
          <w:rFonts w:ascii="Calibri" w:eastAsia="Times New Roman" w:hAnsi="Calibri" w:cstheme="minorHAnsi"/>
          <w:sz w:val="24"/>
          <w:szCs w:val="24"/>
        </w:rPr>
      </w:pPr>
      <w:proofErr w:type="spellStart"/>
      <w:r w:rsidRPr="007B461F">
        <w:rPr>
          <w:rFonts w:ascii="Calibri" w:eastAsia="Times New Roman" w:hAnsi="Calibri" w:cstheme="minorHAnsi"/>
          <w:b/>
          <w:sz w:val="24"/>
          <w:szCs w:val="24"/>
        </w:rPr>
        <w:t>MZd</w:t>
      </w:r>
      <w:proofErr w:type="spellEnd"/>
      <w:r w:rsidRPr="007B461F">
        <w:rPr>
          <w:rFonts w:ascii="Calibri" w:eastAsia="Times New Roman" w:hAnsi="Calibri" w:cstheme="minorHAnsi"/>
          <w:b/>
          <w:sz w:val="24"/>
          <w:szCs w:val="24"/>
        </w:rPr>
        <w:t xml:space="preserve"> nemělo v oblasti poskytování dotací u obou programů nastaven funkční a účinný vnitřní kontrolní systém. </w:t>
      </w:r>
    </w:p>
    <w:p w:rsidR="007D64A3" w:rsidRPr="007B461F" w:rsidRDefault="002C761F" w:rsidP="00FB658B">
      <w:pPr>
        <w:widowControl/>
        <w:shd w:val="clear" w:color="auto" w:fill="FFFFFF"/>
        <w:spacing w:after="120"/>
        <w:jc w:val="both"/>
        <w:rPr>
          <w:rFonts w:ascii="Calibri" w:eastAsia="Times New Roman" w:hAnsi="Calibri" w:cstheme="minorHAnsi"/>
          <w:sz w:val="24"/>
          <w:szCs w:val="24"/>
        </w:rPr>
      </w:pPr>
      <w:proofErr w:type="spellStart"/>
      <w:r w:rsidRPr="007B461F">
        <w:rPr>
          <w:rFonts w:ascii="Calibri" w:eastAsia="Times New Roman" w:hAnsi="Calibri" w:cstheme="minorHAnsi"/>
          <w:b/>
          <w:sz w:val="24"/>
          <w:szCs w:val="24"/>
        </w:rPr>
        <w:t>MZd</w:t>
      </w:r>
      <w:proofErr w:type="spellEnd"/>
      <w:r w:rsidRPr="007B461F">
        <w:rPr>
          <w:rFonts w:ascii="Calibri" w:eastAsia="Times New Roman" w:hAnsi="Calibri" w:cstheme="minorHAnsi"/>
          <w:b/>
          <w:sz w:val="24"/>
          <w:szCs w:val="24"/>
        </w:rPr>
        <w:t xml:space="preserve"> </w:t>
      </w:r>
      <w:r w:rsidRPr="007B461F">
        <w:rPr>
          <w:rFonts w:ascii="Calibri" w:eastAsia="Times New Roman" w:hAnsi="Calibri" w:cstheme="minorHAnsi"/>
          <w:sz w:val="24"/>
          <w:szCs w:val="24"/>
        </w:rPr>
        <w:t>postupovalo v rozporu se zákonem č. 320/2001 Sb. tím, že</w:t>
      </w:r>
      <w:r w:rsidRPr="007B461F">
        <w:rPr>
          <w:rFonts w:ascii="Calibri" w:eastAsia="Times New Roman" w:hAnsi="Calibri" w:cstheme="minorHAnsi"/>
          <w:b/>
          <w:sz w:val="24"/>
          <w:szCs w:val="24"/>
        </w:rPr>
        <w:t xml:space="preserve"> v rámci programu rozvoje a</w:t>
      </w:r>
      <w:r w:rsidR="007B461F">
        <w:rPr>
          <w:rFonts w:ascii="Calibri" w:eastAsia="Times New Roman" w:hAnsi="Calibri" w:cstheme="minorHAnsi"/>
          <w:b/>
          <w:sz w:val="24"/>
          <w:szCs w:val="24"/>
        </w:rPr>
        <w:t> </w:t>
      </w:r>
      <w:r w:rsidRPr="007B461F">
        <w:rPr>
          <w:rFonts w:ascii="Calibri" w:eastAsia="Times New Roman" w:hAnsi="Calibri" w:cstheme="minorHAnsi"/>
          <w:b/>
          <w:sz w:val="24"/>
          <w:szCs w:val="24"/>
        </w:rPr>
        <w:t>obnovy neprovádělo žádnou předběžnou řídicí kontrolu</w:t>
      </w:r>
      <w:r w:rsidRPr="007B461F">
        <w:rPr>
          <w:rFonts w:ascii="Calibri" w:eastAsia="Times New Roman" w:hAnsi="Calibri" w:cstheme="minorHAnsi"/>
          <w:sz w:val="24"/>
          <w:szCs w:val="24"/>
        </w:rPr>
        <w:t xml:space="preserve"> před vydáním rozhodnutí </w:t>
      </w:r>
      <w:r w:rsidRPr="007B461F">
        <w:rPr>
          <w:rFonts w:ascii="Calibri" w:eastAsia="Times New Roman" w:hAnsi="Calibri" w:cstheme="minorHAnsi"/>
          <w:sz w:val="24"/>
          <w:szCs w:val="24"/>
        </w:rPr>
        <w:lastRenderedPageBreak/>
        <w:t>o</w:t>
      </w:r>
      <w:r w:rsidR="007B461F">
        <w:rPr>
          <w:rFonts w:ascii="Calibri" w:eastAsia="Times New Roman" w:hAnsi="Calibri" w:cstheme="minorHAnsi"/>
          <w:sz w:val="24"/>
          <w:szCs w:val="24"/>
        </w:rPr>
        <w:t> </w:t>
      </w:r>
      <w:r w:rsidRPr="007B461F">
        <w:rPr>
          <w:rFonts w:ascii="Calibri" w:eastAsia="Times New Roman" w:hAnsi="Calibri" w:cstheme="minorHAnsi"/>
          <w:sz w:val="24"/>
          <w:szCs w:val="24"/>
        </w:rPr>
        <w:t xml:space="preserve">poskytnutí dotace </w:t>
      </w:r>
      <w:r w:rsidRPr="007B461F">
        <w:rPr>
          <w:rFonts w:ascii="Calibri" w:eastAsia="Times New Roman" w:hAnsi="Calibri" w:cstheme="minorHAnsi"/>
          <w:b/>
          <w:sz w:val="24"/>
          <w:szCs w:val="24"/>
        </w:rPr>
        <w:t>a</w:t>
      </w:r>
      <w:r w:rsidR="00612D8E" w:rsidRPr="007B461F">
        <w:rPr>
          <w:rFonts w:ascii="Calibri" w:eastAsia="Times New Roman" w:hAnsi="Calibri" w:cstheme="minorHAnsi"/>
          <w:b/>
          <w:sz w:val="24"/>
          <w:szCs w:val="24"/>
        </w:rPr>
        <w:t> </w:t>
      </w:r>
      <w:r w:rsidRPr="007B461F">
        <w:rPr>
          <w:rFonts w:ascii="Calibri" w:eastAsia="Times New Roman" w:hAnsi="Calibri" w:cstheme="minorHAnsi"/>
          <w:b/>
          <w:sz w:val="24"/>
          <w:szCs w:val="24"/>
        </w:rPr>
        <w:t>rovněž neprovádělo žádnou průběžnou řídicí kontrolu</w:t>
      </w:r>
      <w:r w:rsidRPr="007B461F">
        <w:rPr>
          <w:rFonts w:ascii="Calibri" w:eastAsia="Times New Roman" w:hAnsi="Calibri" w:cstheme="minorHAnsi"/>
          <w:sz w:val="24"/>
          <w:szCs w:val="24"/>
        </w:rPr>
        <w:t xml:space="preserve"> před vynaložením veřejných prostředků. </w:t>
      </w:r>
    </w:p>
    <w:p w:rsidR="007D64A3" w:rsidRPr="007B461F" w:rsidRDefault="002C761F" w:rsidP="007B461F">
      <w:pPr>
        <w:shd w:val="clear" w:color="auto" w:fill="FFFFFF"/>
        <w:spacing w:after="120"/>
        <w:jc w:val="both"/>
        <w:rPr>
          <w:rFonts w:ascii="Calibri" w:eastAsia="Times New Roman" w:hAnsi="Calibri" w:cstheme="minorHAnsi"/>
          <w:sz w:val="24"/>
          <w:szCs w:val="24"/>
        </w:rPr>
      </w:pPr>
      <w:proofErr w:type="spellStart"/>
      <w:r w:rsidRPr="007B461F">
        <w:rPr>
          <w:rFonts w:ascii="Calibri" w:eastAsia="Times New Roman" w:hAnsi="Calibri" w:cstheme="minorHAnsi"/>
          <w:b/>
          <w:sz w:val="24"/>
          <w:szCs w:val="24"/>
        </w:rPr>
        <w:t>MZd</w:t>
      </w:r>
      <w:proofErr w:type="spellEnd"/>
      <w:r w:rsidRPr="007B461F">
        <w:rPr>
          <w:rFonts w:ascii="Calibri" w:eastAsia="Times New Roman" w:hAnsi="Calibri" w:cstheme="minorHAnsi"/>
          <w:b/>
          <w:sz w:val="24"/>
          <w:szCs w:val="24"/>
        </w:rPr>
        <w:t xml:space="preserve"> </w:t>
      </w:r>
      <w:r w:rsidRPr="007B461F">
        <w:rPr>
          <w:rFonts w:ascii="Calibri" w:eastAsia="Times New Roman" w:hAnsi="Calibri" w:cstheme="minorHAnsi"/>
          <w:sz w:val="24"/>
          <w:szCs w:val="24"/>
        </w:rPr>
        <w:t>postupovalo v rozporu se zákonem č. 320/2001 Sb. tím, že</w:t>
      </w:r>
      <w:r w:rsidRPr="007B461F">
        <w:rPr>
          <w:rFonts w:ascii="Calibri" w:eastAsia="Times New Roman" w:hAnsi="Calibri" w:cstheme="minorHAnsi"/>
          <w:b/>
          <w:sz w:val="24"/>
          <w:szCs w:val="24"/>
        </w:rPr>
        <w:t xml:space="preserve"> v rámci programu předfinancování neprovádělo žádnou předběžnou řídicí kontrolu </w:t>
      </w:r>
      <w:r w:rsidRPr="007B461F">
        <w:rPr>
          <w:rFonts w:ascii="Calibri" w:eastAsia="Times New Roman" w:hAnsi="Calibri" w:cstheme="minorHAnsi"/>
          <w:sz w:val="24"/>
          <w:szCs w:val="24"/>
        </w:rPr>
        <w:t>před vydáním rozhodnutí o</w:t>
      </w:r>
      <w:r w:rsidR="007B461F">
        <w:rPr>
          <w:rFonts w:ascii="Calibri" w:eastAsia="Times New Roman" w:hAnsi="Calibri" w:cstheme="minorHAnsi"/>
          <w:sz w:val="24"/>
          <w:szCs w:val="24"/>
        </w:rPr>
        <w:t> </w:t>
      </w:r>
      <w:r w:rsidRPr="007B461F">
        <w:rPr>
          <w:rFonts w:ascii="Calibri" w:eastAsia="Times New Roman" w:hAnsi="Calibri" w:cstheme="minorHAnsi"/>
          <w:sz w:val="24"/>
          <w:szCs w:val="24"/>
        </w:rPr>
        <w:t xml:space="preserve">poskytnutí dotace </w:t>
      </w:r>
      <w:r w:rsidRPr="007B461F">
        <w:rPr>
          <w:rFonts w:ascii="Calibri" w:eastAsia="Times New Roman" w:hAnsi="Calibri" w:cstheme="minorHAnsi"/>
          <w:b/>
          <w:sz w:val="24"/>
          <w:szCs w:val="24"/>
        </w:rPr>
        <w:t>a</w:t>
      </w:r>
      <w:r w:rsidR="00612D8E" w:rsidRPr="007B461F">
        <w:rPr>
          <w:rFonts w:ascii="Calibri" w:eastAsia="Times New Roman" w:hAnsi="Calibri" w:cstheme="minorHAnsi"/>
          <w:b/>
          <w:sz w:val="24"/>
          <w:szCs w:val="24"/>
        </w:rPr>
        <w:t> </w:t>
      </w:r>
      <w:r w:rsidRPr="007B461F">
        <w:rPr>
          <w:rFonts w:ascii="Calibri" w:eastAsia="Times New Roman" w:hAnsi="Calibri" w:cstheme="minorHAnsi"/>
          <w:b/>
          <w:sz w:val="24"/>
          <w:szCs w:val="24"/>
        </w:rPr>
        <w:t>řádnou průběžnou</w:t>
      </w:r>
      <w:r w:rsidRPr="007B461F">
        <w:rPr>
          <w:rFonts w:ascii="Calibri" w:eastAsia="Times New Roman" w:hAnsi="Calibri" w:cstheme="minorHAnsi"/>
          <w:sz w:val="24"/>
          <w:szCs w:val="24"/>
        </w:rPr>
        <w:t xml:space="preserve"> </w:t>
      </w:r>
      <w:r w:rsidRPr="007B461F">
        <w:rPr>
          <w:rFonts w:ascii="Calibri" w:eastAsia="Times New Roman" w:hAnsi="Calibri" w:cstheme="minorHAnsi"/>
          <w:b/>
          <w:sz w:val="24"/>
          <w:szCs w:val="24"/>
        </w:rPr>
        <w:t xml:space="preserve">řídicí kontrolu </w:t>
      </w:r>
      <w:r w:rsidRPr="007B461F">
        <w:rPr>
          <w:rFonts w:ascii="Calibri" w:eastAsia="Times New Roman" w:hAnsi="Calibri" w:cstheme="minorHAnsi"/>
          <w:sz w:val="24"/>
          <w:szCs w:val="24"/>
        </w:rPr>
        <w:t xml:space="preserve">před vynaložením veřejných prostředků. </w:t>
      </w:r>
      <w:proofErr w:type="spellStart"/>
      <w:r w:rsidRPr="007B461F">
        <w:rPr>
          <w:rFonts w:ascii="Calibri" w:eastAsia="Times New Roman" w:hAnsi="Calibri" w:cstheme="minorHAnsi"/>
          <w:sz w:val="24"/>
          <w:szCs w:val="24"/>
        </w:rPr>
        <w:t>MZd</w:t>
      </w:r>
      <w:proofErr w:type="spellEnd"/>
      <w:r w:rsidRPr="007B461F">
        <w:rPr>
          <w:rFonts w:ascii="Calibri" w:eastAsia="Times New Roman" w:hAnsi="Calibri" w:cstheme="minorHAnsi"/>
          <w:sz w:val="24"/>
          <w:szCs w:val="24"/>
        </w:rPr>
        <w:t xml:space="preserve"> tak mj. u příjemce FN</w:t>
      </w:r>
      <w:r w:rsidR="00C611E4" w:rsidRPr="007B461F">
        <w:rPr>
          <w:rFonts w:ascii="Calibri" w:eastAsia="Times New Roman" w:hAnsi="Calibri" w:cstheme="minorHAnsi"/>
          <w:sz w:val="24"/>
          <w:szCs w:val="24"/>
        </w:rPr>
        <w:t> </w:t>
      </w:r>
      <w:r w:rsidRPr="007B461F">
        <w:rPr>
          <w:rFonts w:ascii="Calibri" w:eastAsia="Times New Roman" w:hAnsi="Calibri" w:cstheme="minorHAnsi"/>
          <w:sz w:val="24"/>
          <w:szCs w:val="24"/>
        </w:rPr>
        <w:t xml:space="preserve">Brno </w:t>
      </w:r>
      <w:r w:rsidR="00244AA6" w:rsidRPr="007B461F">
        <w:rPr>
          <w:rFonts w:ascii="Calibri" w:eastAsia="Times New Roman" w:hAnsi="Calibri" w:cstheme="minorHAnsi"/>
          <w:sz w:val="24"/>
          <w:szCs w:val="24"/>
        </w:rPr>
        <w:t>nezjistilo</w:t>
      </w:r>
      <w:r w:rsidRPr="007B461F">
        <w:rPr>
          <w:rFonts w:ascii="Calibri" w:eastAsia="Times New Roman" w:hAnsi="Calibri" w:cstheme="minorHAnsi"/>
          <w:sz w:val="24"/>
          <w:szCs w:val="24"/>
        </w:rPr>
        <w:t xml:space="preserve">, že podmínky stanovené ŘO IROP, rozhodné pro vynakládání veřejných výdajů, nebyly splněny. </w:t>
      </w:r>
    </w:p>
    <w:p w:rsidR="007D64A3" w:rsidRPr="007B461F" w:rsidRDefault="002C761F" w:rsidP="007B461F">
      <w:pPr>
        <w:widowControl/>
        <w:autoSpaceDE/>
        <w:autoSpaceDN/>
        <w:adjustRightInd/>
        <w:spacing w:after="120"/>
        <w:jc w:val="both"/>
        <w:rPr>
          <w:rFonts w:ascii="Calibri" w:eastAsia="Times New Roman" w:hAnsi="Calibri" w:cstheme="minorHAnsi"/>
          <w:b/>
          <w:sz w:val="24"/>
          <w:szCs w:val="24"/>
        </w:rPr>
      </w:pPr>
      <w:r w:rsidRPr="007B461F">
        <w:rPr>
          <w:rFonts w:ascii="Calibri" w:eastAsia="Times New Roman" w:hAnsi="Calibri" w:cstheme="minorHAnsi"/>
          <w:sz w:val="24"/>
          <w:szCs w:val="24"/>
        </w:rPr>
        <w:t xml:space="preserve">U vybraného vzorku akcí v rámci </w:t>
      </w:r>
      <w:r w:rsidR="00A4508C" w:rsidRPr="007B461F">
        <w:rPr>
          <w:rFonts w:ascii="Calibri" w:eastAsia="Times New Roman" w:hAnsi="Calibri" w:cstheme="minorHAnsi"/>
          <w:sz w:val="24"/>
          <w:szCs w:val="24"/>
        </w:rPr>
        <w:t>obou programů</w:t>
      </w:r>
      <w:r w:rsidRPr="007B461F">
        <w:rPr>
          <w:rFonts w:ascii="Calibri" w:eastAsia="Times New Roman" w:hAnsi="Calibri" w:cstheme="minorHAnsi"/>
          <w:sz w:val="24"/>
          <w:szCs w:val="24"/>
        </w:rPr>
        <w:t xml:space="preserve"> </w:t>
      </w:r>
      <w:proofErr w:type="spellStart"/>
      <w:r w:rsidRPr="007B461F">
        <w:rPr>
          <w:rFonts w:ascii="Calibri" w:eastAsia="Times New Roman" w:hAnsi="Calibri" w:cstheme="minorHAnsi"/>
          <w:sz w:val="24"/>
          <w:szCs w:val="24"/>
        </w:rPr>
        <w:t>MZd</w:t>
      </w:r>
      <w:proofErr w:type="spellEnd"/>
      <w:r w:rsidRPr="007B461F">
        <w:rPr>
          <w:rFonts w:ascii="Calibri" w:eastAsia="Times New Roman" w:hAnsi="Calibri" w:cstheme="minorHAnsi"/>
          <w:sz w:val="24"/>
          <w:szCs w:val="24"/>
        </w:rPr>
        <w:t xml:space="preserve"> řádně</w:t>
      </w:r>
      <w:r w:rsidRPr="007B461F">
        <w:rPr>
          <w:rFonts w:ascii="Calibri" w:eastAsia="Times New Roman" w:hAnsi="Calibri" w:cstheme="minorHAnsi"/>
          <w:b/>
          <w:sz w:val="24"/>
          <w:szCs w:val="24"/>
        </w:rPr>
        <w:t xml:space="preserve"> neprověřilo</w:t>
      </w:r>
      <w:r w:rsidR="00372469" w:rsidRPr="007B461F">
        <w:rPr>
          <w:rFonts w:ascii="Calibri" w:eastAsia="Times New Roman" w:hAnsi="Calibri" w:cstheme="minorHAnsi"/>
          <w:b/>
          <w:sz w:val="24"/>
          <w:szCs w:val="24"/>
        </w:rPr>
        <w:t xml:space="preserve"> </w:t>
      </w:r>
      <w:r w:rsidRPr="007B461F">
        <w:rPr>
          <w:rFonts w:ascii="Calibri" w:eastAsia="Times New Roman" w:hAnsi="Calibri" w:cstheme="minorHAnsi"/>
          <w:b/>
          <w:sz w:val="24"/>
          <w:szCs w:val="24"/>
        </w:rPr>
        <w:t xml:space="preserve">dodržení stanovených podmínek a doložení připravovaných operací věcně správnými a úplnými podklady. </w:t>
      </w:r>
    </w:p>
    <w:p w:rsidR="00F46ECB" w:rsidRPr="00D833EC" w:rsidRDefault="003A2C7A" w:rsidP="00D833EC">
      <w:pPr>
        <w:keepNext/>
        <w:shd w:val="clear" w:color="auto" w:fill="FFFFFF"/>
        <w:jc w:val="both"/>
        <w:rPr>
          <w:rFonts w:ascii="Calibri" w:eastAsia="Times New Roman" w:hAnsi="Calibri" w:cs="Calibri"/>
          <w:sz w:val="24"/>
          <w:szCs w:val="24"/>
        </w:rPr>
      </w:pPr>
      <w:r w:rsidRPr="00D833EC">
        <w:rPr>
          <w:rFonts w:ascii="Calibri" w:eastAsia="Times New Roman" w:hAnsi="Calibri" w:cs="Calibri"/>
          <w:sz w:val="24"/>
          <w:szCs w:val="24"/>
        </w:rPr>
        <w:t xml:space="preserve">Nedostatky </w:t>
      </w:r>
      <w:r w:rsidR="002C761F" w:rsidRPr="00D833EC">
        <w:rPr>
          <w:rFonts w:ascii="Calibri" w:eastAsia="Times New Roman" w:hAnsi="Calibri" w:cs="Calibri"/>
          <w:sz w:val="24"/>
          <w:szCs w:val="24"/>
        </w:rPr>
        <w:t>byl</w:t>
      </w:r>
      <w:r w:rsidRPr="00D833EC">
        <w:rPr>
          <w:rFonts w:ascii="Calibri" w:eastAsia="Times New Roman" w:hAnsi="Calibri" w:cs="Calibri"/>
          <w:sz w:val="24"/>
          <w:szCs w:val="24"/>
        </w:rPr>
        <w:t>y</w:t>
      </w:r>
      <w:r w:rsidR="002C761F" w:rsidRPr="00D833EC">
        <w:rPr>
          <w:rFonts w:ascii="Calibri" w:eastAsia="Times New Roman" w:hAnsi="Calibri" w:cs="Calibri"/>
          <w:sz w:val="24"/>
          <w:szCs w:val="24"/>
        </w:rPr>
        <w:t xml:space="preserve"> na kontrolním vzorku akcí zjištěn</w:t>
      </w:r>
      <w:r w:rsidRPr="00D833EC">
        <w:rPr>
          <w:rFonts w:ascii="Calibri" w:eastAsia="Times New Roman" w:hAnsi="Calibri" w:cs="Calibri"/>
          <w:sz w:val="24"/>
          <w:szCs w:val="24"/>
        </w:rPr>
        <w:t>y</w:t>
      </w:r>
      <w:r w:rsidR="002C761F" w:rsidRPr="00D833EC">
        <w:rPr>
          <w:rFonts w:ascii="Calibri" w:eastAsia="Times New Roman" w:hAnsi="Calibri" w:cs="Calibri"/>
          <w:sz w:val="24"/>
          <w:szCs w:val="24"/>
        </w:rPr>
        <w:t xml:space="preserve"> v následujících oblastech:</w:t>
      </w:r>
    </w:p>
    <w:p w:rsidR="003E719E" w:rsidRPr="00D833EC" w:rsidRDefault="008012B3" w:rsidP="00895A0D">
      <w:pPr>
        <w:pStyle w:val="Odstavecseseznamem"/>
        <w:widowControl/>
        <w:numPr>
          <w:ilvl w:val="0"/>
          <w:numId w:val="23"/>
        </w:numPr>
        <w:shd w:val="clear" w:color="auto" w:fill="FFFFFF"/>
        <w:spacing w:after="120"/>
        <w:ind w:left="284" w:hanging="284"/>
        <w:jc w:val="both"/>
        <w:rPr>
          <w:rFonts w:ascii="Calibri" w:eastAsia="Times New Roman" w:hAnsi="Calibri" w:cs="Calibri"/>
          <w:i/>
          <w:sz w:val="24"/>
          <w:szCs w:val="24"/>
        </w:rPr>
      </w:pPr>
      <w:r>
        <w:rPr>
          <w:rFonts w:ascii="Calibri" w:eastAsia="Times New Roman" w:hAnsi="Calibri" w:cs="Calibri"/>
          <w:sz w:val="24"/>
          <w:szCs w:val="24"/>
        </w:rPr>
        <w:t>A</w:t>
      </w:r>
      <w:r w:rsidR="002C761F" w:rsidRPr="00D833EC">
        <w:rPr>
          <w:rFonts w:ascii="Calibri" w:eastAsia="Times New Roman" w:hAnsi="Calibri" w:cs="Calibri"/>
          <w:sz w:val="24"/>
          <w:szCs w:val="24"/>
        </w:rPr>
        <w:t xml:space="preserve">ni jeden ze čtyř kontrolovaných investičních záměrů z programu rozvoje a obnovy neobsahoval všechny náležitosti stanovené v dokumentaci programu, resp. ve vnitřních předpisech, </w:t>
      </w:r>
      <w:r w:rsidR="002C761F" w:rsidRPr="00D833EC">
        <w:rPr>
          <w:rFonts w:ascii="Calibri" w:eastAsia="Times New Roman" w:hAnsi="Calibri" w:cs="Calibri"/>
          <w:b/>
          <w:sz w:val="24"/>
          <w:szCs w:val="24"/>
        </w:rPr>
        <w:t xml:space="preserve">přesto </w:t>
      </w:r>
      <w:proofErr w:type="spellStart"/>
      <w:r w:rsidR="002C761F" w:rsidRPr="00D833EC">
        <w:rPr>
          <w:rFonts w:ascii="Calibri" w:eastAsia="Times New Roman" w:hAnsi="Calibri" w:cs="Calibri"/>
          <w:b/>
          <w:sz w:val="24"/>
          <w:szCs w:val="24"/>
        </w:rPr>
        <w:t>MZd</w:t>
      </w:r>
      <w:proofErr w:type="spellEnd"/>
      <w:r w:rsidR="002C761F" w:rsidRPr="00D833EC">
        <w:rPr>
          <w:rFonts w:ascii="Calibri" w:eastAsia="Times New Roman" w:hAnsi="Calibri" w:cs="Calibri"/>
          <w:b/>
          <w:sz w:val="24"/>
          <w:szCs w:val="24"/>
        </w:rPr>
        <w:t xml:space="preserve"> na jejich základě rozhodlo o poskytnutí dotací v celkové výši</w:t>
      </w:r>
      <w:r w:rsidR="002C761F" w:rsidRPr="00D833EC">
        <w:rPr>
          <w:rFonts w:ascii="Calibri" w:eastAsia="Times New Roman" w:hAnsi="Calibri" w:cs="Calibri"/>
          <w:sz w:val="24"/>
          <w:szCs w:val="24"/>
        </w:rPr>
        <w:t xml:space="preserve"> </w:t>
      </w:r>
      <w:r w:rsidR="002C761F" w:rsidRPr="00D833EC">
        <w:rPr>
          <w:rFonts w:ascii="Calibri" w:eastAsia="Times New Roman" w:hAnsi="Calibri" w:cs="Calibri"/>
          <w:b/>
          <w:sz w:val="24"/>
          <w:szCs w:val="24"/>
        </w:rPr>
        <w:t xml:space="preserve">145,39 mil. Kč. </w:t>
      </w:r>
      <w:r w:rsidR="002C761F" w:rsidRPr="00D833EC">
        <w:rPr>
          <w:rFonts w:ascii="Calibri" w:eastAsia="Times New Roman" w:hAnsi="Calibri" w:cs="Calibri"/>
          <w:sz w:val="24"/>
          <w:szCs w:val="24"/>
        </w:rPr>
        <w:t>Investiční záměry neobsahovaly vyčíslení vynaložených prostředků na opravy a údržbu majetku, vyjádření krajského úřadu k potřebnosti a efektivitě zdravotnických služeb</w:t>
      </w:r>
      <w:r w:rsidR="00B43499" w:rsidRPr="00D833EC">
        <w:rPr>
          <w:rFonts w:ascii="Calibri" w:eastAsia="Times New Roman" w:hAnsi="Calibri" w:cs="Calibri"/>
          <w:sz w:val="24"/>
          <w:szCs w:val="24"/>
        </w:rPr>
        <w:t xml:space="preserve"> a</w:t>
      </w:r>
      <w:r w:rsidR="002C761F" w:rsidRPr="00D833EC">
        <w:rPr>
          <w:rFonts w:ascii="Calibri" w:eastAsia="Times New Roman" w:hAnsi="Calibri" w:cs="Calibri"/>
          <w:sz w:val="24"/>
          <w:szCs w:val="24"/>
        </w:rPr>
        <w:t xml:space="preserve"> součástí investičního záměru byl snímek katastrální mapy starý téměř dva roky, ačkoli neměl být starší tří měsíců. </w:t>
      </w:r>
    </w:p>
    <w:p w:rsidR="003009AE" w:rsidRPr="00D833EC" w:rsidRDefault="002C761F" w:rsidP="00895A0D">
      <w:pPr>
        <w:pStyle w:val="Odstavecseseznamem"/>
        <w:widowControl/>
        <w:numPr>
          <w:ilvl w:val="0"/>
          <w:numId w:val="23"/>
        </w:numPr>
        <w:shd w:val="clear" w:color="auto" w:fill="FFFFFF"/>
        <w:spacing w:after="120"/>
        <w:ind w:left="284" w:hanging="284"/>
        <w:jc w:val="both"/>
        <w:rPr>
          <w:rFonts w:ascii="Calibri" w:eastAsia="Times New Roman" w:hAnsi="Calibri" w:cs="Calibri"/>
          <w:i/>
          <w:sz w:val="24"/>
          <w:szCs w:val="24"/>
        </w:rPr>
      </w:pPr>
      <w:proofErr w:type="spellStart"/>
      <w:r w:rsidRPr="00D833EC">
        <w:rPr>
          <w:rFonts w:ascii="Calibri" w:eastAsia="Times New Roman" w:hAnsi="Calibri" w:cs="Calibri"/>
          <w:sz w:val="24"/>
          <w:szCs w:val="24"/>
        </w:rPr>
        <w:t>MZd</w:t>
      </w:r>
      <w:proofErr w:type="spellEnd"/>
      <w:r w:rsidRPr="00D833EC">
        <w:rPr>
          <w:rFonts w:ascii="Calibri" w:eastAsia="Times New Roman" w:hAnsi="Calibri" w:cs="Calibri"/>
          <w:sz w:val="24"/>
          <w:szCs w:val="24"/>
        </w:rPr>
        <w:t xml:space="preserve"> vydalo rozhodnutí, přestože příjemce nehodnotil podané nabídky v zadávacím řízení předmětné zakázky dle ekologické šetrnosti, což bylo jednou z podmínek stanovených v</w:t>
      </w:r>
      <w:r w:rsidR="00612D8E" w:rsidRPr="00D833EC">
        <w:rPr>
          <w:rFonts w:ascii="Calibri" w:eastAsia="Times New Roman" w:hAnsi="Calibri" w:cs="Calibri"/>
          <w:sz w:val="24"/>
          <w:szCs w:val="24"/>
        </w:rPr>
        <w:t> </w:t>
      </w:r>
      <w:r w:rsidRPr="00D833EC">
        <w:rPr>
          <w:rFonts w:ascii="Calibri" w:eastAsia="Times New Roman" w:hAnsi="Calibri" w:cs="Calibri"/>
          <w:sz w:val="24"/>
          <w:szCs w:val="24"/>
        </w:rPr>
        <w:t>registraci akce a dokumentaci programu</w:t>
      </w:r>
      <w:r w:rsidR="00000F2D" w:rsidRPr="00D833EC">
        <w:rPr>
          <w:rFonts w:ascii="Calibri" w:eastAsia="Times New Roman" w:hAnsi="Calibri" w:cs="Calibri"/>
          <w:sz w:val="24"/>
          <w:szCs w:val="24"/>
        </w:rPr>
        <w:t xml:space="preserve"> rozvoje a obnovy</w:t>
      </w:r>
      <w:r w:rsidRPr="00D833EC">
        <w:rPr>
          <w:rFonts w:ascii="Calibri" w:eastAsia="Times New Roman" w:hAnsi="Calibri" w:cs="Calibri"/>
          <w:sz w:val="24"/>
          <w:szCs w:val="24"/>
        </w:rPr>
        <w:t>.</w:t>
      </w:r>
    </w:p>
    <w:p w:rsidR="003009AE" w:rsidRPr="00D833EC" w:rsidRDefault="00895A0D" w:rsidP="00895A0D">
      <w:pPr>
        <w:pStyle w:val="Odstavecseseznamem"/>
        <w:widowControl/>
        <w:numPr>
          <w:ilvl w:val="0"/>
          <w:numId w:val="23"/>
        </w:numPr>
        <w:shd w:val="clear" w:color="auto" w:fill="FFFFFF"/>
        <w:spacing w:after="120"/>
        <w:ind w:left="284" w:hanging="284"/>
        <w:jc w:val="both"/>
        <w:rPr>
          <w:rFonts w:ascii="Calibri" w:eastAsia="Times New Roman" w:hAnsi="Calibri" w:cs="Calibri"/>
          <w:sz w:val="24"/>
          <w:szCs w:val="24"/>
        </w:rPr>
      </w:pPr>
      <w:r>
        <w:rPr>
          <w:rFonts w:ascii="Calibri" w:eastAsia="Times New Roman" w:hAnsi="Calibri" w:cs="Calibri"/>
          <w:sz w:val="24"/>
          <w:szCs w:val="24"/>
        </w:rPr>
        <w:t>V</w:t>
      </w:r>
      <w:r w:rsidR="002C761F" w:rsidRPr="00D833EC">
        <w:rPr>
          <w:rFonts w:ascii="Calibri" w:eastAsia="Times New Roman" w:hAnsi="Calibri" w:cs="Calibri"/>
          <w:sz w:val="24"/>
          <w:szCs w:val="24"/>
        </w:rPr>
        <w:t> rámci programu předfinancování dva kontrolovaní příjemci dotací předložili projektové záměry s nedostatky</w:t>
      </w:r>
      <w:r w:rsidR="002C761F" w:rsidRPr="00D833EC">
        <w:rPr>
          <w:rFonts w:ascii="Calibri" w:eastAsia="Times New Roman" w:hAnsi="Calibri" w:cs="Calibri"/>
          <w:b/>
          <w:sz w:val="24"/>
          <w:szCs w:val="24"/>
        </w:rPr>
        <w:t xml:space="preserve"> </w:t>
      </w:r>
      <w:r w:rsidR="002C761F" w:rsidRPr="00D833EC">
        <w:rPr>
          <w:rFonts w:ascii="Calibri" w:eastAsia="Times New Roman" w:hAnsi="Calibri" w:cs="Calibri"/>
          <w:sz w:val="24"/>
          <w:szCs w:val="24"/>
        </w:rPr>
        <w:t>a</w:t>
      </w:r>
      <w:r w:rsidR="002C761F" w:rsidRPr="00D833EC">
        <w:rPr>
          <w:rFonts w:ascii="Calibri" w:eastAsia="Times New Roman" w:hAnsi="Calibri" w:cs="Calibri"/>
          <w:b/>
          <w:sz w:val="24"/>
          <w:szCs w:val="24"/>
        </w:rPr>
        <w:t xml:space="preserve"> </w:t>
      </w:r>
      <w:proofErr w:type="spellStart"/>
      <w:r w:rsidR="002C761F" w:rsidRPr="00D833EC">
        <w:rPr>
          <w:rFonts w:ascii="Calibri" w:eastAsia="Times New Roman" w:hAnsi="Calibri" w:cs="Calibri"/>
          <w:b/>
          <w:sz w:val="24"/>
          <w:szCs w:val="24"/>
        </w:rPr>
        <w:t>MZd</w:t>
      </w:r>
      <w:proofErr w:type="spellEnd"/>
      <w:r w:rsidR="002C761F" w:rsidRPr="00D833EC">
        <w:rPr>
          <w:rFonts w:ascii="Calibri" w:eastAsia="Times New Roman" w:hAnsi="Calibri" w:cs="Calibri"/>
          <w:b/>
          <w:sz w:val="24"/>
          <w:szCs w:val="24"/>
        </w:rPr>
        <w:t xml:space="preserve"> přesto rozhodlo o poskytnutí dotací v celkové výši 1 124,70 mil. Kč.</w:t>
      </w:r>
      <w:r w:rsidR="002C761F" w:rsidRPr="00D833EC">
        <w:rPr>
          <w:rFonts w:ascii="Calibri" w:eastAsia="Times New Roman" w:hAnsi="Calibri" w:cs="Calibri"/>
          <w:sz w:val="24"/>
          <w:szCs w:val="24"/>
        </w:rPr>
        <w:t xml:space="preserve"> Předložené projektové záměry neobsahovaly zejména náklady projektu, výše a zdroje spolufinancování, plánování rozložení nákladů do let a plánovanou dobu trvání projektu.</w:t>
      </w:r>
    </w:p>
    <w:p w:rsidR="003009AE" w:rsidRPr="00D833EC" w:rsidRDefault="00895A0D" w:rsidP="00895A0D">
      <w:pPr>
        <w:pStyle w:val="Odstavecseseznamem"/>
        <w:widowControl/>
        <w:numPr>
          <w:ilvl w:val="0"/>
          <w:numId w:val="23"/>
        </w:numPr>
        <w:shd w:val="clear" w:color="auto" w:fill="FFFFFF"/>
        <w:spacing w:after="120"/>
        <w:ind w:left="284" w:hanging="284"/>
        <w:jc w:val="both"/>
        <w:rPr>
          <w:rFonts w:ascii="Calibri" w:eastAsia="Times New Roman" w:hAnsi="Calibri" w:cs="Calibri"/>
          <w:sz w:val="24"/>
          <w:szCs w:val="24"/>
        </w:rPr>
      </w:pPr>
      <w:r>
        <w:rPr>
          <w:rFonts w:ascii="Calibri" w:eastAsia="Times New Roman" w:hAnsi="Calibri" w:cs="Calibri"/>
          <w:sz w:val="24"/>
          <w:szCs w:val="24"/>
        </w:rPr>
        <w:t>Ž</w:t>
      </w:r>
      <w:r w:rsidR="002C761F" w:rsidRPr="00D833EC">
        <w:rPr>
          <w:rFonts w:ascii="Calibri" w:eastAsia="Times New Roman" w:hAnsi="Calibri" w:cs="Calibri"/>
          <w:sz w:val="24"/>
          <w:szCs w:val="24"/>
        </w:rPr>
        <w:t xml:space="preserve">ádná z kontrolovaných akcí z programu rozvoje a obnovy neměla náklady kalkulovány v souladu se </w:t>
      </w:r>
      <w:r w:rsidR="002C761F" w:rsidRPr="00D833EC">
        <w:rPr>
          <w:rFonts w:ascii="Calibri" w:eastAsia="Times New Roman" w:hAnsi="Calibri" w:cs="Calibri"/>
          <w:i/>
          <w:sz w:val="24"/>
          <w:szCs w:val="24"/>
        </w:rPr>
        <w:t>Standardizací zdravotnických provozů a jejich cen za stanovenou měrnou jednotku</w:t>
      </w:r>
      <w:r w:rsidR="002C761F" w:rsidRPr="00895A0D">
        <w:rPr>
          <w:rStyle w:val="Znakapoznpodarou"/>
          <w:rFonts w:ascii="Calibri" w:eastAsia="Times New Roman" w:hAnsi="Calibri"/>
          <w:sz w:val="24"/>
          <w:szCs w:val="24"/>
        </w:rPr>
        <w:footnoteReference w:id="18"/>
      </w:r>
      <w:r w:rsidR="002C761F" w:rsidRPr="00895A0D">
        <w:rPr>
          <w:rFonts w:ascii="Calibri" w:eastAsia="Times New Roman" w:hAnsi="Calibri" w:cs="Calibri"/>
          <w:sz w:val="24"/>
          <w:szCs w:val="24"/>
        </w:rPr>
        <w:t>,</w:t>
      </w:r>
      <w:r w:rsidR="002C761F" w:rsidRPr="00D833EC">
        <w:rPr>
          <w:rFonts w:ascii="Calibri" w:hAnsi="Calibri" w:cs="Calibri"/>
          <w:sz w:val="24"/>
          <w:szCs w:val="24"/>
        </w:rPr>
        <w:t xml:space="preserve"> </w:t>
      </w:r>
      <w:r w:rsidR="002C761F" w:rsidRPr="00D833EC">
        <w:rPr>
          <w:rFonts w:ascii="Calibri" w:eastAsia="Times New Roman" w:hAnsi="Calibri" w:cs="Calibri"/>
          <w:sz w:val="24"/>
          <w:szCs w:val="24"/>
        </w:rPr>
        <w:t>přestože se jednalo o jednu z podmínek pro zařazení do hodnocení</w:t>
      </w:r>
      <w:r w:rsidR="002C761F" w:rsidRPr="00D833EC">
        <w:t xml:space="preserve"> </w:t>
      </w:r>
      <w:r w:rsidR="002C761F" w:rsidRPr="00D833EC">
        <w:rPr>
          <w:rFonts w:ascii="Calibri" w:eastAsia="Times New Roman" w:hAnsi="Calibri" w:cs="Calibri"/>
          <w:sz w:val="24"/>
          <w:szCs w:val="24"/>
        </w:rPr>
        <w:t>žádost</w:t>
      </w:r>
      <w:r w:rsidR="00F10676" w:rsidRPr="00D833EC">
        <w:rPr>
          <w:rFonts w:ascii="Calibri" w:eastAsia="Times New Roman" w:hAnsi="Calibri" w:cs="Calibri"/>
          <w:sz w:val="24"/>
          <w:szCs w:val="24"/>
        </w:rPr>
        <w:t>í</w:t>
      </w:r>
      <w:r w:rsidR="002C761F" w:rsidRPr="00D833EC">
        <w:rPr>
          <w:rFonts w:ascii="Calibri" w:eastAsia="Times New Roman" w:hAnsi="Calibri" w:cs="Calibri"/>
          <w:sz w:val="24"/>
          <w:szCs w:val="24"/>
        </w:rPr>
        <w:t xml:space="preserve"> o</w:t>
      </w:r>
      <w:r w:rsidR="00612D8E" w:rsidRPr="00D833EC">
        <w:rPr>
          <w:rFonts w:ascii="Calibri" w:eastAsia="Times New Roman" w:hAnsi="Calibri" w:cs="Calibri"/>
          <w:sz w:val="24"/>
          <w:szCs w:val="24"/>
        </w:rPr>
        <w:t> </w:t>
      </w:r>
      <w:r w:rsidR="002C761F" w:rsidRPr="00D833EC">
        <w:rPr>
          <w:rFonts w:ascii="Calibri" w:eastAsia="Times New Roman" w:hAnsi="Calibri" w:cs="Calibri"/>
          <w:sz w:val="24"/>
          <w:szCs w:val="24"/>
        </w:rPr>
        <w:t>poskytnutí dotace a také kritériem pro hodnocení efektivnosti žádostí o poskytnutí dotace</w:t>
      </w:r>
      <w:r w:rsidR="00F10676" w:rsidRPr="00D833EC">
        <w:rPr>
          <w:rFonts w:ascii="Calibri" w:eastAsia="Times New Roman" w:hAnsi="Calibri" w:cs="Calibri"/>
          <w:sz w:val="24"/>
          <w:szCs w:val="24"/>
        </w:rPr>
        <w:t>.</w:t>
      </w:r>
    </w:p>
    <w:p w:rsidR="007D64A3" w:rsidRPr="00D833EC" w:rsidRDefault="00895A0D" w:rsidP="00895A0D">
      <w:pPr>
        <w:pStyle w:val="Odstavecseseznamem"/>
        <w:widowControl/>
        <w:numPr>
          <w:ilvl w:val="0"/>
          <w:numId w:val="23"/>
        </w:numPr>
        <w:shd w:val="clear" w:color="auto" w:fill="FFFFFF"/>
        <w:spacing w:after="120"/>
        <w:ind w:left="284" w:hanging="284"/>
        <w:jc w:val="both"/>
        <w:rPr>
          <w:rFonts w:ascii="Calibri" w:eastAsia="Times New Roman" w:hAnsi="Calibri" w:cs="Calibri"/>
          <w:sz w:val="24"/>
          <w:szCs w:val="24"/>
        </w:rPr>
      </w:pPr>
      <w:r>
        <w:rPr>
          <w:rFonts w:ascii="Calibri" w:eastAsia="Times New Roman" w:hAnsi="Calibri" w:cs="Calibri"/>
          <w:sz w:val="24"/>
          <w:szCs w:val="24"/>
        </w:rPr>
        <w:t>V</w:t>
      </w:r>
      <w:r w:rsidR="002C761F" w:rsidRPr="00D833EC">
        <w:rPr>
          <w:rFonts w:ascii="Calibri" w:eastAsia="Times New Roman" w:hAnsi="Calibri" w:cs="Calibri"/>
          <w:sz w:val="24"/>
          <w:szCs w:val="24"/>
        </w:rPr>
        <w:t xml:space="preserve"> rámci monitoringu projektů u programu předfinancování </w:t>
      </w:r>
      <w:proofErr w:type="spellStart"/>
      <w:r w:rsidR="002C761F" w:rsidRPr="00D833EC">
        <w:rPr>
          <w:rFonts w:ascii="Calibri" w:eastAsia="Times New Roman" w:hAnsi="Calibri" w:cs="Calibri"/>
          <w:sz w:val="24"/>
          <w:szCs w:val="24"/>
        </w:rPr>
        <w:t>MZd</w:t>
      </w:r>
      <w:proofErr w:type="spellEnd"/>
      <w:r w:rsidR="002C761F" w:rsidRPr="00D833EC">
        <w:rPr>
          <w:rFonts w:ascii="Calibri" w:eastAsia="Times New Roman" w:hAnsi="Calibri" w:cs="Calibri"/>
          <w:sz w:val="24"/>
          <w:szCs w:val="24"/>
        </w:rPr>
        <w:t xml:space="preserve"> akceptovalo nedostatky v monitorovacích zprávách a nepožadovalo po příjemci </w:t>
      </w:r>
      <w:r w:rsidR="00000F2D" w:rsidRPr="00D833EC">
        <w:rPr>
          <w:rFonts w:ascii="Calibri" w:eastAsia="Times New Roman" w:hAnsi="Calibri" w:cs="Calibri"/>
          <w:sz w:val="24"/>
          <w:szCs w:val="24"/>
        </w:rPr>
        <w:t xml:space="preserve">jejich </w:t>
      </w:r>
      <w:r w:rsidR="002C761F" w:rsidRPr="00D833EC">
        <w:rPr>
          <w:rFonts w:ascii="Calibri" w:eastAsia="Times New Roman" w:hAnsi="Calibri" w:cs="Calibri"/>
          <w:sz w:val="24"/>
          <w:szCs w:val="24"/>
        </w:rPr>
        <w:t xml:space="preserve">opravu nebo doplnění. </w:t>
      </w:r>
    </w:p>
    <w:p w:rsidR="00C77404" w:rsidRPr="00D833EC" w:rsidRDefault="002C761F" w:rsidP="00895A0D">
      <w:pPr>
        <w:pStyle w:val="Odstavecseseznamem"/>
        <w:widowControl/>
        <w:numPr>
          <w:ilvl w:val="0"/>
          <w:numId w:val="23"/>
        </w:numPr>
        <w:shd w:val="clear" w:color="auto" w:fill="FFFFFF"/>
        <w:adjustRightInd/>
        <w:spacing w:after="120"/>
        <w:ind w:left="284" w:hanging="284"/>
        <w:jc w:val="both"/>
        <w:rPr>
          <w:rFonts w:ascii="Calibri" w:eastAsia="Times New Roman" w:hAnsi="Calibri" w:cs="Calibri"/>
          <w:sz w:val="24"/>
          <w:szCs w:val="24"/>
        </w:rPr>
      </w:pPr>
      <w:proofErr w:type="spellStart"/>
      <w:r w:rsidRPr="00D833EC">
        <w:rPr>
          <w:rFonts w:ascii="Calibri" w:hAnsi="Calibri" w:cs="Calibri"/>
          <w:sz w:val="24"/>
          <w:szCs w:val="24"/>
        </w:rPr>
        <w:t>MZd</w:t>
      </w:r>
      <w:proofErr w:type="spellEnd"/>
      <w:r w:rsidRPr="00D833EC">
        <w:rPr>
          <w:rFonts w:ascii="Calibri" w:hAnsi="Calibri" w:cs="Calibri"/>
          <w:sz w:val="24"/>
          <w:szCs w:val="24"/>
        </w:rPr>
        <w:t xml:space="preserve"> nevyžadovalo po jednom z příjemců dotace poskytnuté v rámci programu předfinancování zaslání informací o zahájení zadávacích řízení u veřejných zakázek s pořizovací hodnotou nad </w:t>
      </w:r>
      <w:r w:rsidR="002E0C87" w:rsidRPr="00D833EC">
        <w:rPr>
          <w:rFonts w:ascii="Calibri" w:hAnsi="Calibri" w:cs="Calibri"/>
          <w:sz w:val="24"/>
          <w:szCs w:val="24"/>
        </w:rPr>
        <w:t>400 </w:t>
      </w:r>
      <w:r w:rsidRPr="00D833EC">
        <w:rPr>
          <w:rFonts w:ascii="Calibri" w:hAnsi="Calibri" w:cs="Calibri"/>
          <w:sz w:val="24"/>
          <w:szCs w:val="24"/>
        </w:rPr>
        <w:t>000 Kč bez DPH, což bylo v rozporu s </w:t>
      </w:r>
      <w:r w:rsidR="00270922" w:rsidRPr="00D833EC">
        <w:rPr>
          <w:rFonts w:ascii="Calibri" w:hAnsi="Calibri" w:cs="Calibri"/>
          <w:sz w:val="24"/>
          <w:szCs w:val="24"/>
        </w:rPr>
        <w:t xml:space="preserve">vnitřními </w:t>
      </w:r>
      <w:r w:rsidRPr="00D833EC">
        <w:rPr>
          <w:rFonts w:ascii="Calibri" w:hAnsi="Calibri" w:cs="Calibri"/>
          <w:sz w:val="24"/>
          <w:szCs w:val="24"/>
        </w:rPr>
        <w:t>předpisy a</w:t>
      </w:r>
      <w:r w:rsidR="00895A0D">
        <w:rPr>
          <w:rFonts w:ascii="Calibri" w:hAnsi="Calibri" w:cs="Calibri"/>
          <w:sz w:val="24"/>
          <w:szCs w:val="24"/>
        </w:rPr>
        <w:t> </w:t>
      </w:r>
      <w:r w:rsidRPr="00D833EC">
        <w:rPr>
          <w:rFonts w:ascii="Calibri" w:hAnsi="Calibri" w:cs="Calibri"/>
          <w:sz w:val="24"/>
          <w:szCs w:val="24"/>
        </w:rPr>
        <w:t>příslušnou metodikou.</w:t>
      </w:r>
    </w:p>
    <w:p w:rsidR="00F46ECB" w:rsidRPr="00D833EC" w:rsidRDefault="00862A2C" w:rsidP="00D833EC">
      <w:pPr>
        <w:widowControl/>
        <w:shd w:val="clear" w:color="auto" w:fill="FFFFFF"/>
        <w:spacing w:after="120"/>
        <w:jc w:val="both"/>
        <w:rPr>
          <w:rFonts w:ascii="Calibri" w:eastAsia="Times New Roman" w:hAnsi="Calibri" w:cs="Calibri"/>
          <w:b/>
          <w:sz w:val="24"/>
          <w:szCs w:val="24"/>
        </w:rPr>
      </w:pPr>
      <w:r w:rsidRPr="00D833EC">
        <w:rPr>
          <w:rFonts w:ascii="Calibri" w:eastAsia="Times New Roman" w:hAnsi="Calibri" w:cs="Calibri"/>
          <w:b/>
          <w:sz w:val="24"/>
          <w:szCs w:val="24"/>
        </w:rPr>
        <w:lastRenderedPageBreak/>
        <w:t xml:space="preserve">V rozporu </w:t>
      </w:r>
      <w:r w:rsidR="00270922" w:rsidRPr="00D833EC">
        <w:rPr>
          <w:rFonts w:ascii="Calibri" w:eastAsia="Times New Roman" w:hAnsi="Calibri" w:cs="Calibri"/>
          <w:b/>
          <w:sz w:val="24"/>
          <w:szCs w:val="24"/>
        </w:rPr>
        <w:t xml:space="preserve">s </w:t>
      </w:r>
      <w:r w:rsidR="007E17CB" w:rsidRPr="00D833EC">
        <w:rPr>
          <w:rFonts w:ascii="Calibri" w:eastAsia="Times New Roman" w:hAnsi="Calibri" w:cs="Calibri"/>
          <w:b/>
          <w:sz w:val="24"/>
          <w:szCs w:val="24"/>
        </w:rPr>
        <w:t>dokumentac</w:t>
      </w:r>
      <w:r w:rsidR="00270922" w:rsidRPr="00D833EC">
        <w:rPr>
          <w:rFonts w:ascii="Calibri" w:eastAsia="Times New Roman" w:hAnsi="Calibri" w:cs="Calibri"/>
          <w:b/>
          <w:sz w:val="24"/>
          <w:szCs w:val="24"/>
        </w:rPr>
        <w:t>í</w:t>
      </w:r>
      <w:r w:rsidR="007E17CB" w:rsidRPr="00D833EC">
        <w:rPr>
          <w:rFonts w:ascii="Calibri" w:eastAsia="Times New Roman" w:hAnsi="Calibri" w:cs="Calibri"/>
          <w:b/>
          <w:sz w:val="24"/>
          <w:szCs w:val="24"/>
        </w:rPr>
        <w:t xml:space="preserve"> programu</w:t>
      </w:r>
      <w:r w:rsidR="00270922" w:rsidRPr="00D833EC">
        <w:rPr>
          <w:rFonts w:ascii="Calibri" w:eastAsia="Times New Roman" w:hAnsi="Calibri" w:cs="Calibri"/>
          <w:b/>
          <w:sz w:val="24"/>
          <w:szCs w:val="24"/>
        </w:rPr>
        <w:t xml:space="preserve">, podmínkami registrace akce a vnitřními přepisy </w:t>
      </w:r>
      <w:proofErr w:type="spellStart"/>
      <w:r w:rsidR="002C761F" w:rsidRPr="00D833EC">
        <w:rPr>
          <w:rFonts w:ascii="Calibri" w:eastAsia="Times New Roman" w:hAnsi="Calibri" w:cs="Calibri"/>
          <w:b/>
          <w:sz w:val="24"/>
          <w:szCs w:val="24"/>
        </w:rPr>
        <w:t>MZd</w:t>
      </w:r>
      <w:proofErr w:type="spellEnd"/>
      <w:r w:rsidR="002C761F" w:rsidRPr="00D833EC">
        <w:rPr>
          <w:rFonts w:ascii="Calibri" w:eastAsia="Times New Roman" w:hAnsi="Calibri" w:cs="Calibri"/>
          <w:b/>
          <w:sz w:val="24"/>
          <w:szCs w:val="24"/>
        </w:rPr>
        <w:t xml:space="preserve"> nepožadovalo doplnění dokladů a akceptovalo je v neúplné podobě. Nedůslednost </w:t>
      </w:r>
      <w:proofErr w:type="spellStart"/>
      <w:r w:rsidR="002C761F" w:rsidRPr="00D833EC">
        <w:rPr>
          <w:rFonts w:ascii="Calibri" w:eastAsia="Times New Roman" w:hAnsi="Calibri" w:cs="Calibri"/>
          <w:b/>
          <w:sz w:val="24"/>
          <w:szCs w:val="24"/>
        </w:rPr>
        <w:t>MZd</w:t>
      </w:r>
      <w:proofErr w:type="spellEnd"/>
      <w:r w:rsidR="002C761F" w:rsidRPr="00D833EC">
        <w:rPr>
          <w:rFonts w:ascii="Calibri" w:eastAsia="Times New Roman" w:hAnsi="Calibri" w:cs="Calibri"/>
          <w:b/>
          <w:sz w:val="24"/>
          <w:szCs w:val="24"/>
        </w:rPr>
        <w:t xml:space="preserve"> při kontrole dokumentů tak zakládá nerovný přístup k žadatelům, resp. příjemcům.</w:t>
      </w:r>
    </w:p>
    <w:p w:rsidR="00F3595E" w:rsidRPr="00D833EC" w:rsidRDefault="002C761F" w:rsidP="00D833EC">
      <w:pPr>
        <w:widowControl/>
        <w:shd w:val="clear" w:color="auto" w:fill="FFFFFF"/>
        <w:spacing w:after="120"/>
        <w:jc w:val="both"/>
        <w:rPr>
          <w:rFonts w:ascii="Calibri" w:eastAsia="Times New Roman" w:hAnsi="Calibri" w:cs="Calibri"/>
          <w:sz w:val="24"/>
          <w:szCs w:val="24"/>
        </w:rPr>
      </w:pPr>
      <w:r w:rsidRPr="00D833EC">
        <w:rPr>
          <w:rFonts w:ascii="Calibri" w:eastAsia="Times New Roman" w:hAnsi="Calibri" w:cstheme="minorHAnsi"/>
          <w:sz w:val="24"/>
          <w:szCs w:val="24"/>
        </w:rPr>
        <w:t xml:space="preserve">Vzhledem k nedostatkům zjištěným kontrolou NKÚ byla nastavená </w:t>
      </w:r>
      <w:r w:rsidRPr="00D833EC">
        <w:rPr>
          <w:rFonts w:ascii="Calibri" w:eastAsia="Times New Roman" w:hAnsi="Calibri" w:cstheme="minorHAnsi"/>
          <w:b/>
          <w:sz w:val="24"/>
          <w:szCs w:val="24"/>
        </w:rPr>
        <w:t xml:space="preserve">kontrolní činnost </w:t>
      </w:r>
      <w:proofErr w:type="spellStart"/>
      <w:r w:rsidRPr="00D833EC">
        <w:rPr>
          <w:rFonts w:ascii="Calibri" w:eastAsia="Times New Roman" w:hAnsi="Calibri" w:cstheme="minorHAnsi"/>
          <w:b/>
          <w:sz w:val="24"/>
          <w:szCs w:val="24"/>
        </w:rPr>
        <w:t>MZd</w:t>
      </w:r>
      <w:proofErr w:type="spellEnd"/>
      <w:r w:rsidRPr="00D833EC">
        <w:rPr>
          <w:rFonts w:ascii="Calibri" w:eastAsia="Times New Roman" w:hAnsi="Calibri" w:cstheme="minorHAnsi"/>
          <w:b/>
          <w:sz w:val="24"/>
          <w:szCs w:val="24"/>
        </w:rPr>
        <w:t xml:space="preserve"> na úrovni správce programu neúčinná, nefunkční a pouze formální.</w:t>
      </w:r>
      <w:bookmarkEnd w:id="7"/>
    </w:p>
    <w:p w:rsidR="002B4E50" w:rsidRPr="00D833EC" w:rsidRDefault="002C761F" w:rsidP="00895A0D">
      <w:pPr>
        <w:keepNext/>
        <w:widowControl/>
        <w:spacing w:before="240" w:after="120"/>
        <w:jc w:val="both"/>
        <w:rPr>
          <w:rFonts w:ascii="Calibri" w:eastAsia="Calibri" w:hAnsi="Calibri"/>
          <w:b/>
          <w:iCs/>
          <w:sz w:val="24"/>
          <w:szCs w:val="24"/>
        </w:rPr>
      </w:pPr>
      <w:r w:rsidRPr="00D833EC">
        <w:rPr>
          <w:rFonts w:ascii="Calibri" w:eastAsia="Calibri" w:hAnsi="Calibri"/>
          <w:b/>
          <w:iCs/>
          <w:sz w:val="24"/>
          <w:szCs w:val="24"/>
        </w:rPr>
        <w:t xml:space="preserve">8. </w:t>
      </w:r>
      <w:r w:rsidR="006F4029" w:rsidRPr="00D833EC">
        <w:rPr>
          <w:rFonts w:ascii="Calibri" w:eastAsia="Calibri" w:hAnsi="Calibri"/>
          <w:b/>
          <w:iCs/>
          <w:sz w:val="24"/>
          <w:szCs w:val="24"/>
        </w:rPr>
        <w:t xml:space="preserve">Netransparentní postup </w:t>
      </w:r>
      <w:proofErr w:type="spellStart"/>
      <w:r w:rsidR="006F4029" w:rsidRPr="00D833EC">
        <w:rPr>
          <w:rFonts w:ascii="Calibri" w:eastAsia="Calibri" w:hAnsi="Calibri"/>
          <w:b/>
          <w:iCs/>
          <w:sz w:val="24"/>
          <w:szCs w:val="24"/>
        </w:rPr>
        <w:t>MZd</w:t>
      </w:r>
      <w:proofErr w:type="spellEnd"/>
      <w:r w:rsidR="006F4029" w:rsidRPr="00D833EC">
        <w:rPr>
          <w:rFonts w:ascii="Calibri" w:eastAsia="Calibri" w:hAnsi="Calibri"/>
          <w:b/>
          <w:iCs/>
          <w:sz w:val="24"/>
          <w:szCs w:val="24"/>
        </w:rPr>
        <w:t xml:space="preserve"> při hodnocení akcí z programu rozvoje a obnovy</w:t>
      </w:r>
    </w:p>
    <w:p w:rsidR="006F4029" w:rsidRPr="00D833EC" w:rsidRDefault="002C761F" w:rsidP="00D833EC">
      <w:pPr>
        <w:widowControl/>
        <w:spacing w:after="120"/>
        <w:jc w:val="both"/>
        <w:rPr>
          <w:rFonts w:ascii="Calibri" w:eastAsiaTheme="minorHAnsi" w:hAnsi="Calibri" w:cstheme="minorHAnsi"/>
          <w:b/>
          <w:sz w:val="24"/>
          <w:szCs w:val="24"/>
        </w:rPr>
      </w:pPr>
      <w:proofErr w:type="spellStart"/>
      <w:r w:rsidRPr="00D833EC">
        <w:rPr>
          <w:rFonts w:ascii="Calibri" w:hAnsi="Calibri" w:cstheme="minorHAnsi"/>
          <w:sz w:val="24"/>
          <w:szCs w:val="24"/>
        </w:rPr>
        <w:t>MZd</w:t>
      </w:r>
      <w:proofErr w:type="spellEnd"/>
      <w:r w:rsidRPr="00D833EC">
        <w:rPr>
          <w:rFonts w:ascii="Calibri" w:hAnsi="Calibri" w:cstheme="minorHAnsi"/>
          <w:sz w:val="24"/>
          <w:szCs w:val="24"/>
        </w:rPr>
        <w:t xml:space="preserve"> v dokumentaci programu stanovilo, že žadatelé měli předkládat žádosti o dotace včetně investičního záměru nejpozději do 15. března roku předcházející</w:t>
      </w:r>
      <w:r w:rsidR="00337AC9">
        <w:rPr>
          <w:rFonts w:ascii="Calibri" w:hAnsi="Calibri" w:cstheme="minorHAnsi"/>
          <w:sz w:val="24"/>
          <w:szCs w:val="24"/>
        </w:rPr>
        <w:t>ho</w:t>
      </w:r>
      <w:r w:rsidRPr="00D833EC">
        <w:rPr>
          <w:rFonts w:ascii="Calibri" w:hAnsi="Calibri" w:cstheme="minorHAnsi"/>
          <w:sz w:val="24"/>
          <w:szCs w:val="24"/>
        </w:rPr>
        <w:t xml:space="preserve"> plánovanému zahájení financování akce. Z vybraného vzorku čtyř akcí byla žádost o dotaci včetně investičního záměru předložena u tří žadatelů prokazatelně po stanoveném termínu. Schválená dotace těchto tří</w:t>
      </w:r>
      <w:r w:rsidR="00337AC9">
        <w:rPr>
          <w:rFonts w:ascii="Calibri" w:hAnsi="Calibri" w:cstheme="minorHAnsi"/>
          <w:sz w:val="24"/>
          <w:szCs w:val="24"/>
        </w:rPr>
        <w:t xml:space="preserve"> </w:t>
      </w:r>
      <w:r w:rsidRPr="00D833EC">
        <w:rPr>
          <w:rFonts w:ascii="Calibri" w:hAnsi="Calibri" w:cstheme="minorHAnsi"/>
          <w:sz w:val="24"/>
          <w:szCs w:val="24"/>
        </w:rPr>
        <w:t xml:space="preserve">akcí činila celkem </w:t>
      </w:r>
      <w:r w:rsidRPr="00D833EC">
        <w:rPr>
          <w:rFonts w:ascii="Calibri" w:eastAsiaTheme="minorHAnsi" w:hAnsi="Calibri" w:cstheme="minorHAnsi"/>
          <w:sz w:val="24"/>
          <w:szCs w:val="24"/>
        </w:rPr>
        <w:t xml:space="preserve">114 413 370 Kč. </w:t>
      </w:r>
      <w:r w:rsidRPr="00D833EC">
        <w:rPr>
          <w:rFonts w:ascii="Calibri" w:eastAsiaTheme="minorHAnsi" w:hAnsi="Calibri" w:cstheme="minorHAnsi"/>
          <w:b/>
          <w:sz w:val="24"/>
          <w:szCs w:val="24"/>
        </w:rPr>
        <w:t xml:space="preserve">Postup </w:t>
      </w:r>
      <w:proofErr w:type="spellStart"/>
      <w:r w:rsidRPr="00D833EC">
        <w:rPr>
          <w:rFonts w:ascii="Calibri" w:eastAsiaTheme="minorHAnsi" w:hAnsi="Calibri" w:cstheme="minorHAnsi"/>
          <w:b/>
          <w:sz w:val="24"/>
          <w:szCs w:val="24"/>
        </w:rPr>
        <w:t>MZd</w:t>
      </w:r>
      <w:proofErr w:type="spellEnd"/>
      <w:r w:rsidRPr="00D833EC">
        <w:rPr>
          <w:rFonts w:ascii="Calibri" w:eastAsiaTheme="minorHAnsi" w:hAnsi="Calibri" w:cstheme="minorHAnsi"/>
          <w:b/>
          <w:sz w:val="24"/>
          <w:szCs w:val="24"/>
        </w:rPr>
        <w:t xml:space="preserve"> byl nesystémový </w:t>
      </w:r>
      <w:r w:rsidRPr="00D833EC">
        <w:rPr>
          <w:rFonts w:ascii="Calibri" w:eastAsiaTheme="minorHAnsi" w:hAnsi="Calibri" w:cstheme="minorHAnsi"/>
          <w:sz w:val="24"/>
          <w:szCs w:val="24"/>
        </w:rPr>
        <w:t xml:space="preserve">a neumožňoval objektivně plánovat průběh realizace programu rozvoje a obnovy, jeho výstupy ani nároky na finanční prostředky státního rozpočtu. </w:t>
      </w:r>
      <w:r w:rsidRPr="00D833EC">
        <w:rPr>
          <w:rFonts w:ascii="Calibri" w:hAnsi="Calibri" w:cstheme="minorHAnsi"/>
          <w:sz w:val="24"/>
          <w:szCs w:val="24"/>
        </w:rPr>
        <w:t>Nedůslednost poskytovatele dotace při kontrole dokumentů zakládá nerovný přístup k žadatelům, kteří podmínku dokumentace programu zcela splnili.</w:t>
      </w:r>
      <w:r w:rsidRPr="00D833EC">
        <w:rPr>
          <w:rFonts w:ascii="Calibri" w:eastAsiaTheme="minorHAnsi" w:hAnsi="Calibri" w:cstheme="minorHAnsi"/>
          <w:sz w:val="24"/>
          <w:szCs w:val="24"/>
        </w:rPr>
        <w:t xml:space="preserve"> </w:t>
      </w:r>
      <w:proofErr w:type="spellStart"/>
      <w:r w:rsidRPr="00D833EC">
        <w:rPr>
          <w:rFonts w:ascii="Calibri" w:eastAsiaTheme="minorHAnsi" w:hAnsi="Calibri" w:cstheme="minorHAnsi"/>
          <w:b/>
          <w:sz w:val="24"/>
          <w:szCs w:val="24"/>
        </w:rPr>
        <w:t>MZd</w:t>
      </w:r>
      <w:proofErr w:type="spellEnd"/>
      <w:r w:rsidRPr="00D833EC">
        <w:rPr>
          <w:rFonts w:ascii="Calibri" w:eastAsiaTheme="minorHAnsi" w:hAnsi="Calibri" w:cstheme="minorHAnsi"/>
          <w:b/>
          <w:sz w:val="24"/>
          <w:szCs w:val="24"/>
        </w:rPr>
        <w:t xml:space="preserve"> vytvářelo netransparentní prostředí pro žadatele tím, že akceptovalo podané žádosti o</w:t>
      </w:r>
      <w:r w:rsidR="00612D8E" w:rsidRPr="00D833EC">
        <w:rPr>
          <w:rFonts w:ascii="Calibri" w:eastAsiaTheme="minorHAnsi" w:hAnsi="Calibri" w:cstheme="minorHAnsi"/>
          <w:b/>
          <w:sz w:val="24"/>
          <w:szCs w:val="24"/>
        </w:rPr>
        <w:t> </w:t>
      </w:r>
      <w:r w:rsidRPr="00D833EC">
        <w:rPr>
          <w:rFonts w:ascii="Calibri" w:eastAsiaTheme="minorHAnsi" w:hAnsi="Calibri" w:cstheme="minorHAnsi"/>
          <w:b/>
          <w:sz w:val="24"/>
          <w:szCs w:val="24"/>
        </w:rPr>
        <w:t>dotace po stanoveném termínu.</w:t>
      </w:r>
    </w:p>
    <w:p w:rsidR="006F4029" w:rsidRPr="00D833EC" w:rsidRDefault="002C761F" w:rsidP="00D833EC">
      <w:pPr>
        <w:widowControl/>
        <w:spacing w:after="120"/>
        <w:jc w:val="both"/>
        <w:rPr>
          <w:rFonts w:ascii="Calibri" w:eastAsia="Calibri" w:hAnsi="Calibri"/>
          <w:iCs/>
          <w:sz w:val="24"/>
          <w:szCs w:val="24"/>
        </w:rPr>
      </w:pPr>
      <w:r w:rsidRPr="00D833EC">
        <w:rPr>
          <w:rFonts w:ascii="Calibri" w:eastAsiaTheme="minorHAnsi" w:hAnsi="Calibri" w:cstheme="minorHAnsi"/>
          <w:sz w:val="24"/>
          <w:szCs w:val="24"/>
        </w:rPr>
        <w:t xml:space="preserve">V průběhu celé realizace programu rozvoje a obnovy </w:t>
      </w:r>
      <w:proofErr w:type="spellStart"/>
      <w:r w:rsidRPr="00D833EC">
        <w:rPr>
          <w:rFonts w:ascii="Calibri" w:eastAsiaTheme="minorHAnsi" w:hAnsi="Calibri" w:cstheme="minorHAnsi"/>
          <w:sz w:val="24"/>
          <w:szCs w:val="24"/>
        </w:rPr>
        <w:t>MZd</w:t>
      </w:r>
      <w:proofErr w:type="spellEnd"/>
      <w:r w:rsidRPr="00D833EC">
        <w:rPr>
          <w:rFonts w:ascii="Calibri" w:eastAsiaTheme="minorHAnsi" w:hAnsi="Calibri" w:cstheme="minorHAnsi"/>
          <w:sz w:val="24"/>
          <w:szCs w:val="24"/>
        </w:rPr>
        <w:t xml:space="preserve"> neposuzovalo a nehodnotilo žádosti o dotace včetně investičních záměrů dle většiny kritérií, které si stanovilo v dokumentaci programu. Kritéria, kterými </w:t>
      </w:r>
      <w:r w:rsidRPr="00D833EC">
        <w:rPr>
          <w:rFonts w:ascii="Calibri" w:eastAsia="Calibri" w:hAnsi="Calibri"/>
          <w:iCs/>
          <w:sz w:val="24"/>
          <w:szCs w:val="24"/>
        </w:rPr>
        <w:t xml:space="preserve">mělo </w:t>
      </w:r>
      <w:proofErr w:type="spellStart"/>
      <w:r w:rsidRPr="00D833EC">
        <w:rPr>
          <w:rFonts w:ascii="Calibri" w:eastAsia="Calibri" w:hAnsi="Calibri"/>
          <w:iCs/>
          <w:sz w:val="24"/>
          <w:szCs w:val="24"/>
        </w:rPr>
        <w:t>MZd</w:t>
      </w:r>
      <w:proofErr w:type="spellEnd"/>
      <w:r w:rsidRPr="00D833EC">
        <w:rPr>
          <w:rFonts w:ascii="Calibri" w:eastAsia="Calibri" w:hAnsi="Calibri"/>
          <w:iCs/>
          <w:sz w:val="24"/>
          <w:szCs w:val="24"/>
        </w:rPr>
        <w:t xml:space="preserve"> akce vzájemně porovnávat, nebyla</w:t>
      </w:r>
      <w:r w:rsidR="006F3F02" w:rsidRPr="00D833EC">
        <w:rPr>
          <w:rFonts w:ascii="Calibri" w:eastAsia="Calibri" w:hAnsi="Calibri"/>
          <w:iCs/>
          <w:sz w:val="24"/>
          <w:szCs w:val="24"/>
        </w:rPr>
        <w:t xml:space="preserve"> vůbec</w:t>
      </w:r>
      <w:r w:rsidRPr="00D833EC">
        <w:rPr>
          <w:rFonts w:ascii="Calibri" w:eastAsia="Calibri" w:hAnsi="Calibri"/>
          <w:iCs/>
          <w:sz w:val="24"/>
          <w:szCs w:val="24"/>
        </w:rPr>
        <w:t xml:space="preserve"> použita. </w:t>
      </w:r>
      <w:proofErr w:type="spellStart"/>
      <w:r w:rsidRPr="00D833EC">
        <w:rPr>
          <w:rFonts w:ascii="Calibri" w:hAnsi="Calibri" w:cs="Calibri"/>
          <w:b/>
          <w:bCs/>
          <w:iCs/>
          <w:sz w:val="24"/>
          <w:szCs w:val="24"/>
        </w:rPr>
        <w:t>MZd</w:t>
      </w:r>
      <w:proofErr w:type="spellEnd"/>
      <w:r w:rsidR="00612D8E" w:rsidRPr="00D833EC">
        <w:rPr>
          <w:rFonts w:ascii="Calibri" w:hAnsi="Calibri" w:cs="Calibri"/>
          <w:b/>
          <w:bCs/>
          <w:iCs/>
          <w:sz w:val="24"/>
          <w:szCs w:val="24"/>
        </w:rPr>
        <w:t> </w:t>
      </w:r>
      <w:r w:rsidR="006950BD" w:rsidRPr="00D833EC">
        <w:rPr>
          <w:rFonts w:ascii="Calibri" w:hAnsi="Calibri" w:cs="Calibri"/>
          <w:b/>
          <w:bCs/>
          <w:iCs/>
          <w:sz w:val="24"/>
          <w:szCs w:val="24"/>
        </w:rPr>
        <w:t xml:space="preserve">nepostupovalo dle svých </w:t>
      </w:r>
      <w:r w:rsidRPr="00D833EC">
        <w:rPr>
          <w:rFonts w:ascii="Calibri" w:hAnsi="Calibri" w:cs="Calibri"/>
          <w:b/>
          <w:bCs/>
          <w:iCs/>
          <w:sz w:val="24"/>
          <w:szCs w:val="24"/>
        </w:rPr>
        <w:t>vnitřních předpis</w:t>
      </w:r>
      <w:r w:rsidR="006950BD" w:rsidRPr="00D833EC">
        <w:rPr>
          <w:rFonts w:ascii="Calibri" w:hAnsi="Calibri" w:cs="Calibri"/>
          <w:b/>
          <w:bCs/>
          <w:iCs/>
          <w:sz w:val="24"/>
          <w:szCs w:val="24"/>
        </w:rPr>
        <w:t>ů</w:t>
      </w:r>
      <w:r w:rsidR="00337AC9">
        <w:rPr>
          <w:rFonts w:ascii="Calibri" w:hAnsi="Calibri" w:cs="Calibri"/>
          <w:b/>
          <w:bCs/>
          <w:iCs/>
          <w:sz w:val="24"/>
          <w:szCs w:val="24"/>
        </w:rPr>
        <w:t>,</w:t>
      </w:r>
      <w:r w:rsidRPr="00D833EC">
        <w:rPr>
          <w:rFonts w:ascii="Calibri" w:hAnsi="Calibri" w:cs="Calibri"/>
          <w:b/>
          <w:bCs/>
          <w:iCs/>
          <w:sz w:val="24"/>
          <w:szCs w:val="24"/>
        </w:rPr>
        <w:t xml:space="preserve"> a </w:t>
      </w:r>
      <w:r w:rsidRPr="00D833EC">
        <w:rPr>
          <w:rFonts w:ascii="Calibri" w:eastAsia="Calibri" w:hAnsi="Calibri" w:cstheme="minorHAnsi"/>
          <w:b/>
          <w:sz w:val="24"/>
          <w:szCs w:val="24"/>
        </w:rPr>
        <w:t>vytvářelo tak netransparentní prostředí.</w:t>
      </w:r>
    </w:p>
    <w:p w:rsidR="00930A4D" w:rsidRPr="00D833EC" w:rsidRDefault="002C761F" w:rsidP="00895A0D">
      <w:pPr>
        <w:keepNext/>
        <w:widowControl/>
        <w:spacing w:before="240" w:after="120"/>
        <w:jc w:val="both"/>
        <w:rPr>
          <w:rFonts w:ascii="Calibri" w:eastAsia="Calibri" w:hAnsi="Calibri"/>
          <w:b/>
          <w:iCs/>
          <w:sz w:val="24"/>
          <w:szCs w:val="24"/>
        </w:rPr>
      </w:pPr>
      <w:r w:rsidRPr="00D833EC">
        <w:rPr>
          <w:rFonts w:ascii="Calibri" w:eastAsia="Calibri" w:hAnsi="Calibri"/>
          <w:b/>
          <w:iCs/>
          <w:sz w:val="24"/>
          <w:szCs w:val="24"/>
        </w:rPr>
        <w:t>9. Podpora zaměřená na zřízení nových či rekonstrukci stávajících zařízení CDZ</w:t>
      </w:r>
    </w:p>
    <w:p w:rsidR="00930A4D" w:rsidRPr="00D833EC" w:rsidRDefault="002C761F" w:rsidP="00D833EC">
      <w:pPr>
        <w:widowControl/>
        <w:shd w:val="clear" w:color="auto" w:fill="FFFFFF"/>
        <w:spacing w:after="120"/>
        <w:jc w:val="both"/>
        <w:rPr>
          <w:rFonts w:ascii="Calibri" w:hAnsi="Calibri" w:cstheme="minorHAnsi"/>
          <w:sz w:val="24"/>
          <w:szCs w:val="24"/>
        </w:rPr>
      </w:pPr>
      <w:r w:rsidRPr="00D833EC">
        <w:rPr>
          <w:rFonts w:ascii="Calibri" w:hAnsi="Calibri" w:cstheme="minorHAnsi"/>
          <w:sz w:val="24"/>
          <w:szCs w:val="24"/>
        </w:rPr>
        <w:t>Centra duševního zdraví jsou novým nízkoprahovým prvkem v systému péče o lidi s duševním onemocněním, která poskytují psychiatrické zdravotní a přímo navazující sociální služby s cílem maximální podpory začlenění klientů do jejich vlastního sociálního prostředí. Funkcí CDZ je prevence hospitalizací či jejich zkracování a nápomoc k reintegraci dlouhodobě hospitalizovaných osob do běžné komunity.</w:t>
      </w:r>
    </w:p>
    <w:p w:rsidR="00930A4D" w:rsidRPr="00D833EC" w:rsidRDefault="002C761F" w:rsidP="00D833EC">
      <w:pPr>
        <w:widowControl/>
        <w:shd w:val="clear" w:color="auto" w:fill="FFFFFF"/>
        <w:spacing w:after="120"/>
        <w:jc w:val="both"/>
        <w:rPr>
          <w:rFonts w:ascii="Calibri" w:hAnsi="Calibri" w:cstheme="minorHAnsi"/>
          <w:sz w:val="24"/>
          <w:szCs w:val="24"/>
        </w:rPr>
      </w:pPr>
      <w:r w:rsidRPr="00D833EC">
        <w:rPr>
          <w:rFonts w:ascii="Calibri" w:hAnsi="Calibri" w:cstheme="minorHAnsi"/>
          <w:sz w:val="24"/>
          <w:szCs w:val="24"/>
        </w:rPr>
        <w:t xml:space="preserve">Přehled podporovaných aktivit v rámci výzvy č. 54 a výzvy č. 75 </w:t>
      </w:r>
      <w:r w:rsidR="001B225D" w:rsidRPr="00D833EC">
        <w:rPr>
          <w:rFonts w:ascii="Calibri" w:hAnsi="Calibri" w:cstheme="minorHAnsi"/>
          <w:sz w:val="24"/>
          <w:szCs w:val="24"/>
        </w:rPr>
        <w:t>v letech 2016</w:t>
      </w:r>
      <w:r w:rsidR="00DE6F5C" w:rsidRPr="00D833EC">
        <w:rPr>
          <w:rFonts w:ascii="Calibri" w:hAnsi="Calibri" w:cstheme="minorHAnsi"/>
          <w:sz w:val="24"/>
          <w:szCs w:val="24"/>
        </w:rPr>
        <w:t xml:space="preserve">−2020 </w:t>
      </w:r>
      <w:r w:rsidRPr="00D833EC">
        <w:rPr>
          <w:rFonts w:ascii="Calibri" w:hAnsi="Calibri" w:cstheme="minorHAnsi"/>
          <w:sz w:val="24"/>
          <w:szCs w:val="24"/>
        </w:rPr>
        <w:t>je uveden v následující tabulce.</w:t>
      </w:r>
    </w:p>
    <w:p w:rsidR="00930A4D" w:rsidRPr="000705CC" w:rsidRDefault="002C761F" w:rsidP="00D833EC">
      <w:pPr>
        <w:pStyle w:val="Nzevtabulky"/>
        <w:numPr>
          <w:ilvl w:val="0"/>
          <w:numId w:val="0"/>
        </w:numPr>
        <w:spacing w:before="0" w:after="40"/>
        <w:ind w:left="567" w:hanging="567"/>
        <w:rPr>
          <w:rFonts w:cstheme="minorHAnsi"/>
          <w:b/>
        </w:rPr>
      </w:pPr>
      <w:r w:rsidRPr="000705CC">
        <w:rPr>
          <w:rFonts w:ascii="Calibri" w:hAnsi="Calibri" w:cs="Calibri"/>
          <w:b/>
          <w:bCs/>
          <w:iCs/>
          <w:szCs w:val="24"/>
        </w:rPr>
        <w:t xml:space="preserve">Tabulka č. </w:t>
      </w:r>
      <w:r w:rsidR="00A37008" w:rsidRPr="000705CC">
        <w:rPr>
          <w:rFonts w:ascii="Calibri" w:hAnsi="Calibri" w:cs="Calibri"/>
          <w:b/>
          <w:bCs/>
          <w:iCs/>
          <w:szCs w:val="24"/>
        </w:rPr>
        <w:t>3</w:t>
      </w:r>
      <w:r w:rsidRPr="000705CC">
        <w:rPr>
          <w:rFonts w:ascii="Calibri" w:hAnsi="Calibri" w:cs="Calibri"/>
          <w:b/>
          <w:bCs/>
          <w:iCs/>
          <w:szCs w:val="24"/>
        </w:rPr>
        <w:t>:</w:t>
      </w:r>
      <w:r w:rsidRPr="000705CC">
        <w:rPr>
          <w:rFonts w:ascii="Calibri" w:eastAsia="Calibri" w:hAnsi="Calibri"/>
          <w:b/>
          <w:iCs/>
          <w:szCs w:val="24"/>
        </w:rPr>
        <w:t xml:space="preserve"> </w:t>
      </w:r>
      <w:r w:rsidRPr="000705CC">
        <w:rPr>
          <w:rFonts w:cstheme="minorHAnsi"/>
          <w:b/>
        </w:rPr>
        <w:t>Přehled podporovaných aktivit u projektů v rámci výzvy č. 54 a výzvy č. 75</w:t>
      </w:r>
    </w:p>
    <w:tbl>
      <w:tblPr>
        <w:tblStyle w:val="Mkatabulky"/>
        <w:tblW w:w="5000" w:type="pct"/>
        <w:tblLayout w:type="fixed"/>
        <w:tblLook w:val="04A0" w:firstRow="1" w:lastRow="0" w:firstColumn="1" w:lastColumn="0" w:noHBand="0" w:noVBand="1"/>
      </w:tblPr>
      <w:tblGrid>
        <w:gridCol w:w="5916"/>
        <w:gridCol w:w="1106"/>
        <w:gridCol w:w="1107"/>
        <w:gridCol w:w="933"/>
      </w:tblGrid>
      <w:tr w:rsidR="00512838" w:rsidTr="00D833EC">
        <w:trPr>
          <w:trHeight w:val="283"/>
        </w:trPr>
        <w:tc>
          <w:tcPr>
            <w:tcW w:w="3264" w:type="pct"/>
            <w:shd w:val="clear" w:color="auto" w:fill="E5F1FF"/>
            <w:vAlign w:val="center"/>
          </w:tcPr>
          <w:p w:rsidR="00930A4D" w:rsidRPr="000705CC" w:rsidRDefault="002C761F" w:rsidP="006E7875">
            <w:pPr>
              <w:pStyle w:val="tabulka"/>
              <w:keepNext/>
              <w:spacing w:after="0"/>
              <w:jc w:val="center"/>
              <w:rPr>
                <w:rFonts w:cstheme="minorHAnsi"/>
                <w:b/>
                <w:szCs w:val="20"/>
              </w:rPr>
            </w:pPr>
            <w:r w:rsidRPr="000705CC">
              <w:rPr>
                <w:rFonts w:cstheme="minorHAnsi"/>
                <w:b/>
                <w:szCs w:val="20"/>
              </w:rPr>
              <w:t>Podporovaná aktivita</w:t>
            </w:r>
          </w:p>
        </w:tc>
        <w:tc>
          <w:tcPr>
            <w:tcW w:w="610" w:type="pct"/>
            <w:shd w:val="clear" w:color="auto" w:fill="E5F1FF"/>
            <w:vAlign w:val="center"/>
          </w:tcPr>
          <w:p w:rsidR="00930A4D" w:rsidRPr="000705CC" w:rsidRDefault="002C761F" w:rsidP="006E7875">
            <w:pPr>
              <w:pStyle w:val="tabulka"/>
              <w:keepNext/>
              <w:spacing w:after="0"/>
              <w:jc w:val="center"/>
              <w:rPr>
                <w:rFonts w:cstheme="minorHAnsi"/>
                <w:b/>
                <w:szCs w:val="20"/>
              </w:rPr>
            </w:pPr>
            <w:r w:rsidRPr="000705CC">
              <w:rPr>
                <w:rFonts w:cstheme="minorHAnsi"/>
                <w:b/>
                <w:szCs w:val="20"/>
              </w:rPr>
              <w:t>Výzva č. 54</w:t>
            </w:r>
          </w:p>
        </w:tc>
        <w:tc>
          <w:tcPr>
            <w:tcW w:w="611" w:type="pct"/>
            <w:shd w:val="clear" w:color="auto" w:fill="E5F1FF"/>
            <w:vAlign w:val="center"/>
          </w:tcPr>
          <w:p w:rsidR="00930A4D" w:rsidRPr="000705CC" w:rsidRDefault="002C761F" w:rsidP="006E7875">
            <w:pPr>
              <w:pStyle w:val="tabulka"/>
              <w:keepNext/>
              <w:spacing w:after="0"/>
              <w:jc w:val="center"/>
              <w:rPr>
                <w:rFonts w:cstheme="minorHAnsi"/>
                <w:b/>
                <w:szCs w:val="20"/>
              </w:rPr>
            </w:pPr>
            <w:r w:rsidRPr="000705CC">
              <w:rPr>
                <w:rFonts w:cstheme="minorHAnsi"/>
                <w:b/>
                <w:szCs w:val="20"/>
              </w:rPr>
              <w:t>Výzva č. 75</w:t>
            </w:r>
          </w:p>
        </w:tc>
        <w:tc>
          <w:tcPr>
            <w:tcW w:w="515" w:type="pct"/>
            <w:shd w:val="clear" w:color="auto" w:fill="E5F1FF"/>
            <w:vAlign w:val="center"/>
          </w:tcPr>
          <w:p w:rsidR="00930A4D" w:rsidRPr="000705CC" w:rsidRDefault="002C761F" w:rsidP="006E7875">
            <w:pPr>
              <w:pStyle w:val="tabulka"/>
              <w:keepNext/>
              <w:spacing w:after="0"/>
              <w:jc w:val="center"/>
              <w:rPr>
                <w:rFonts w:cstheme="minorHAnsi"/>
                <w:b/>
                <w:szCs w:val="20"/>
              </w:rPr>
            </w:pPr>
            <w:r w:rsidRPr="000705CC">
              <w:rPr>
                <w:rFonts w:cstheme="minorHAnsi"/>
                <w:b/>
                <w:szCs w:val="20"/>
              </w:rPr>
              <w:t>Celkem</w:t>
            </w:r>
          </w:p>
        </w:tc>
      </w:tr>
      <w:tr w:rsidR="00512838" w:rsidTr="00D833EC">
        <w:trPr>
          <w:trHeight w:val="283"/>
        </w:trPr>
        <w:tc>
          <w:tcPr>
            <w:tcW w:w="3264" w:type="pct"/>
            <w:vAlign w:val="center"/>
          </w:tcPr>
          <w:p w:rsidR="00930A4D" w:rsidRPr="000705CC" w:rsidRDefault="002C761F" w:rsidP="0042584D">
            <w:pPr>
              <w:pStyle w:val="tabulka"/>
              <w:keepNext/>
              <w:spacing w:after="0"/>
              <w:ind w:left="227" w:hanging="227"/>
              <w:jc w:val="left"/>
              <w:rPr>
                <w:rFonts w:cstheme="minorHAnsi"/>
                <w:b/>
                <w:szCs w:val="20"/>
              </w:rPr>
            </w:pPr>
            <w:r w:rsidRPr="000705CC">
              <w:rPr>
                <w:rFonts w:cstheme="minorHAnsi"/>
                <w:b/>
                <w:color w:val="1C222F"/>
                <w:szCs w:val="20"/>
              </w:rPr>
              <w:t xml:space="preserve">A) </w:t>
            </w:r>
            <w:r w:rsidRPr="000705CC">
              <w:rPr>
                <w:rFonts w:cstheme="minorHAnsi"/>
                <w:b/>
                <w:color w:val="000000"/>
                <w:szCs w:val="20"/>
              </w:rPr>
              <w:t>Zřizování nových či rekonstrukce stávajících zařízení pro poskytování komunitní péče</w:t>
            </w:r>
          </w:p>
        </w:tc>
        <w:tc>
          <w:tcPr>
            <w:tcW w:w="610"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2</w:t>
            </w:r>
          </w:p>
        </w:tc>
        <w:tc>
          <w:tcPr>
            <w:tcW w:w="611"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12</w:t>
            </w:r>
          </w:p>
        </w:tc>
        <w:tc>
          <w:tcPr>
            <w:tcW w:w="515"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14</w:t>
            </w:r>
          </w:p>
        </w:tc>
      </w:tr>
      <w:tr w:rsidR="00512838" w:rsidTr="00D833EC">
        <w:trPr>
          <w:trHeight w:val="283"/>
        </w:trPr>
        <w:tc>
          <w:tcPr>
            <w:tcW w:w="3264" w:type="pct"/>
            <w:vAlign w:val="center"/>
          </w:tcPr>
          <w:p w:rsidR="00930A4D" w:rsidRPr="000705CC" w:rsidRDefault="00573408" w:rsidP="00D833EC">
            <w:pPr>
              <w:pStyle w:val="tabulka"/>
              <w:keepNext/>
              <w:spacing w:after="0"/>
              <w:ind w:firstLine="175"/>
              <w:jc w:val="left"/>
              <w:rPr>
                <w:rFonts w:cstheme="minorHAnsi"/>
                <w:szCs w:val="20"/>
              </w:rPr>
            </w:pPr>
            <w:r>
              <w:rPr>
                <w:rFonts w:cstheme="minorHAnsi"/>
                <w:color w:val="000000"/>
                <w:szCs w:val="20"/>
              </w:rPr>
              <w:t xml:space="preserve">- </w:t>
            </w:r>
            <w:r w:rsidR="002C761F" w:rsidRPr="000705CC">
              <w:rPr>
                <w:rFonts w:cstheme="minorHAnsi"/>
                <w:color w:val="000000"/>
                <w:szCs w:val="20"/>
              </w:rPr>
              <w:t>v tom CDZ</w:t>
            </w:r>
          </w:p>
        </w:tc>
        <w:tc>
          <w:tcPr>
            <w:tcW w:w="610"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2</w:t>
            </w:r>
          </w:p>
        </w:tc>
        <w:tc>
          <w:tcPr>
            <w:tcW w:w="611"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3</w:t>
            </w:r>
          </w:p>
        </w:tc>
        <w:tc>
          <w:tcPr>
            <w:tcW w:w="515"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5</w:t>
            </w:r>
          </w:p>
        </w:tc>
      </w:tr>
      <w:tr w:rsidR="00512838" w:rsidTr="00D833EC">
        <w:trPr>
          <w:trHeight w:val="283"/>
        </w:trPr>
        <w:tc>
          <w:tcPr>
            <w:tcW w:w="3264" w:type="pct"/>
            <w:vAlign w:val="center"/>
          </w:tcPr>
          <w:p w:rsidR="00930A4D" w:rsidRPr="000705CC" w:rsidRDefault="002C761F" w:rsidP="0042584D">
            <w:pPr>
              <w:pStyle w:val="tabulka"/>
              <w:keepNext/>
              <w:spacing w:after="0"/>
              <w:ind w:left="227" w:hanging="227"/>
              <w:jc w:val="left"/>
              <w:rPr>
                <w:rFonts w:cstheme="minorHAnsi"/>
                <w:b/>
                <w:szCs w:val="20"/>
              </w:rPr>
            </w:pPr>
            <w:r w:rsidRPr="000705CC">
              <w:rPr>
                <w:rFonts w:cstheme="minorHAnsi"/>
                <w:b/>
                <w:color w:val="000000"/>
                <w:szCs w:val="20"/>
              </w:rPr>
              <w:t>B) Zřizování nových či rekonstrukce stávajících psychiatrických oddělení všeobecných nemocnic</w:t>
            </w:r>
          </w:p>
        </w:tc>
        <w:tc>
          <w:tcPr>
            <w:tcW w:w="610"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8</w:t>
            </w:r>
          </w:p>
        </w:tc>
        <w:tc>
          <w:tcPr>
            <w:tcW w:w="611"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2</w:t>
            </w:r>
          </w:p>
        </w:tc>
        <w:tc>
          <w:tcPr>
            <w:tcW w:w="515"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10</w:t>
            </w:r>
          </w:p>
        </w:tc>
      </w:tr>
      <w:tr w:rsidR="00512838" w:rsidTr="00D833EC">
        <w:trPr>
          <w:trHeight w:val="283"/>
        </w:trPr>
        <w:tc>
          <w:tcPr>
            <w:tcW w:w="3264" w:type="pct"/>
            <w:vAlign w:val="center"/>
          </w:tcPr>
          <w:p w:rsidR="00930A4D" w:rsidRPr="000705CC" w:rsidRDefault="002C761F" w:rsidP="006E7875">
            <w:pPr>
              <w:pStyle w:val="tabulka"/>
              <w:keepNext/>
              <w:spacing w:after="0"/>
              <w:jc w:val="left"/>
              <w:rPr>
                <w:rFonts w:cstheme="minorHAnsi"/>
                <w:b/>
                <w:szCs w:val="20"/>
              </w:rPr>
            </w:pPr>
            <w:r w:rsidRPr="000705CC">
              <w:rPr>
                <w:rFonts w:cstheme="minorHAnsi"/>
                <w:b/>
                <w:color w:val="000000"/>
                <w:szCs w:val="20"/>
              </w:rPr>
              <w:t>C) Vybavení mobilních týmů</w:t>
            </w:r>
          </w:p>
        </w:tc>
        <w:tc>
          <w:tcPr>
            <w:tcW w:w="610"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2</w:t>
            </w:r>
          </w:p>
        </w:tc>
        <w:tc>
          <w:tcPr>
            <w:tcW w:w="611"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3</w:t>
            </w:r>
          </w:p>
        </w:tc>
        <w:tc>
          <w:tcPr>
            <w:tcW w:w="515" w:type="pct"/>
            <w:vAlign w:val="center"/>
          </w:tcPr>
          <w:p w:rsidR="00930A4D" w:rsidRPr="000705CC" w:rsidRDefault="002C761F" w:rsidP="00D833EC">
            <w:pPr>
              <w:pStyle w:val="tabulka"/>
              <w:keepNext/>
              <w:spacing w:after="0"/>
              <w:ind w:right="63"/>
              <w:jc w:val="right"/>
              <w:rPr>
                <w:rFonts w:cstheme="minorHAnsi"/>
                <w:b/>
                <w:szCs w:val="20"/>
              </w:rPr>
            </w:pPr>
            <w:r w:rsidRPr="000705CC">
              <w:rPr>
                <w:rFonts w:cstheme="minorHAnsi"/>
                <w:b/>
                <w:szCs w:val="20"/>
              </w:rPr>
              <w:t>5</w:t>
            </w:r>
          </w:p>
        </w:tc>
      </w:tr>
      <w:tr w:rsidR="00512838" w:rsidTr="00D833EC">
        <w:trPr>
          <w:trHeight w:val="283"/>
        </w:trPr>
        <w:tc>
          <w:tcPr>
            <w:tcW w:w="3264" w:type="pct"/>
            <w:vAlign w:val="center"/>
          </w:tcPr>
          <w:p w:rsidR="00930A4D" w:rsidRPr="000705CC" w:rsidRDefault="00573408" w:rsidP="00D833EC">
            <w:pPr>
              <w:pStyle w:val="tabulka"/>
              <w:keepNext/>
              <w:spacing w:after="0"/>
              <w:ind w:firstLine="175"/>
              <w:jc w:val="left"/>
              <w:rPr>
                <w:rFonts w:cstheme="minorHAnsi"/>
                <w:szCs w:val="20"/>
              </w:rPr>
            </w:pPr>
            <w:r>
              <w:rPr>
                <w:rFonts w:cstheme="minorHAnsi"/>
                <w:color w:val="000000"/>
                <w:szCs w:val="20"/>
              </w:rPr>
              <w:t xml:space="preserve">- </w:t>
            </w:r>
            <w:r w:rsidR="002C761F" w:rsidRPr="000705CC">
              <w:rPr>
                <w:rFonts w:cstheme="minorHAnsi"/>
                <w:color w:val="000000"/>
                <w:szCs w:val="20"/>
              </w:rPr>
              <w:t>v tom CDZ</w:t>
            </w:r>
          </w:p>
        </w:tc>
        <w:tc>
          <w:tcPr>
            <w:tcW w:w="610"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2</w:t>
            </w:r>
          </w:p>
        </w:tc>
        <w:tc>
          <w:tcPr>
            <w:tcW w:w="611"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2</w:t>
            </w:r>
          </w:p>
        </w:tc>
        <w:tc>
          <w:tcPr>
            <w:tcW w:w="515" w:type="pct"/>
            <w:vAlign w:val="center"/>
          </w:tcPr>
          <w:p w:rsidR="00930A4D" w:rsidRPr="000705CC" w:rsidRDefault="002C761F" w:rsidP="00D833EC">
            <w:pPr>
              <w:pStyle w:val="tabulka"/>
              <w:keepNext/>
              <w:spacing w:after="0"/>
              <w:ind w:right="63"/>
              <w:jc w:val="right"/>
              <w:rPr>
                <w:rFonts w:cstheme="minorHAnsi"/>
                <w:szCs w:val="20"/>
              </w:rPr>
            </w:pPr>
            <w:r w:rsidRPr="000705CC">
              <w:rPr>
                <w:rFonts w:cstheme="minorHAnsi"/>
                <w:szCs w:val="20"/>
              </w:rPr>
              <w:t>4</w:t>
            </w:r>
          </w:p>
        </w:tc>
      </w:tr>
    </w:tbl>
    <w:p w:rsidR="00930A4D" w:rsidRPr="0042584D" w:rsidRDefault="002C761F" w:rsidP="0042584D">
      <w:pPr>
        <w:pStyle w:val="Poznmka"/>
        <w:rPr>
          <w:b w:val="0"/>
        </w:rPr>
      </w:pPr>
      <w:r w:rsidRPr="0042584D">
        <w:t>Zdroj:</w:t>
      </w:r>
      <w:r w:rsidRPr="0042584D">
        <w:rPr>
          <w:b w:val="0"/>
        </w:rPr>
        <w:tab/>
      </w:r>
      <w:r w:rsidR="0017182B" w:rsidRPr="0042584D">
        <w:rPr>
          <w:b w:val="0"/>
        </w:rPr>
        <w:t xml:space="preserve">IS </w:t>
      </w:r>
      <w:r w:rsidRPr="0042584D">
        <w:rPr>
          <w:b w:val="0"/>
        </w:rPr>
        <w:t>MS2014+.</w:t>
      </w:r>
    </w:p>
    <w:p w:rsidR="00930A4D" w:rsidRPr="0042584D" w:rsidRDefault="009861A6" w:rsidP="0042584D">
      <w:pPr>
        <w:widowControl/>
        <w:shd w:val="clear" w:color="auto" w:fill="FFFFFF"/>
        <w:spacing w:after="120"/>
        <w:jc w:val="both"/>
        <w:rPr>
          <w:rFonts w:ascii="Calibri" w:hAnsi="Calibri" w:cs="Calibri"/>
          <w:b/>
          <w:sz w:val="24"/>
          <w:szCs w:val="24"/>
        </w:rPr>
      </w:pPr>
      <w:r w:rsidRPr="0042584D">
        <w:rPr>
          <w:rFonts w:ascii="Calibri" w:hAnsi="Calibri" w:cs="Calibri"/>
          <w:sz w:val="24"/>
          <w:szCs w:val="24"/>
        </w:rPr>
        <w:t xml:space="preserve">V rámci výzvy č. 54 bylo podpořeno celkem </w:t>
      </w:r>
      <w:r w:rsidR="00573408">
        <w:rPr>
          <w:rFonts w:ascii="Calibri" w:hAnsi="Calibri" w:cs="Calibri"/>
          <w:sz w:val="24"/>
          <w:szCs w:val="24"/>
        </w:rPr>
        <w:t>devět</w:t>
      </w:r>
      <w:r w:rsidRPr="0042584D">
        <w:rPr>
          <w:rFonts w:ascii="Calibri" w:hAnsi="Calibri" w:cs="Calibri"/>
          <w:sz w:val="24"/>
          <w:szCs w:val="24"/>
        </w:rPr>
        <w:t xml:space="preserve"> projektů a v rámci výzvy č. 75 bylo podpořeno celkem 15 projektů. V rámci projektu může být podpořeno i více aktivit současně. </w:t>
      </w:r>
      <w:r w:rsidR="002C761F" w:rsidRPr="0042584D">
        <w:rPr>
          <w:rFonts w:ascii="Calibri" w:hAnsi="Calibri" w:cs="Calibri"/>
          <w:sz w:val="24"/>
          <w:szCs w:val="24"/>
        </w:rPr>
        <w:t xml:space="preserve">Z výše uvedené tabulky je zřejmé, že většina projektů podpořených v rámci výzvy č. 54 byla zaměřena na </w:t>
      </w:r>
      <w:r w:rsidR="00FA6C2D" w:rsidRPr="0042584D">
        <w:rPr>
          <w:rFonts w:ascii="Calibri" w:hAnsi="Calibri" w:cs="Calibri"/>
          <w:sz w:val="24"/>
          <w:szCs w:val="24"/>
        </w:rPr>
        <w:t xml:space="preserve">aktivitu </w:t>
      </w:r>
      <w:r w:rsidR="002C761F" w:rsidRPr="0042584D">
        <w:rPr>
          <w:rFonts w:ascii="Calibri" w:hAnsi="Calibri" w:cs="Calibri"/>
          <w:i/>
          <w:sz w:val="24"/>
          <w:szCs w:val="24"/>
        </w:rPr>
        <w:t>zřizování nových či rekonstrukce stávajících psychiatrických oddělení všeobecných nemocnic</w:t>
      </w:r>
      <w:r w:rsidR="002C761F" w:rsidRPr="0042584D">
        <w:rPr>
          <w:rFonts w:ascii="Calibri" w:hAnsi="Calibri" w:cs="Calibri"/>
          <w:sz w:val="24"/>
          <w:szCs w:val="24"/>
        </w:rPr>
        <w:t xml:space="preserve"> (89 % všech projektů) a většina projektů podpořených v rámci výzvy </w:t>
      </w:r>
      <w:r w:rsidR="002C761F" w:rsidRPr="0042584D">
        <w:rPr>
          <w:rFonts w:ascii="Calibri" w:hAnsi="Calibri" w:cs="Calibri"/>
          <w:sz w:val="24"/>
          <w:szCs w:val="24"/>
        </w:rPr>
        <w:lastRenderedPageBreak/>
        <w:t>č. 75 byla zaměřena na</w:t>
      </w:r>
      <w:r w:rsidR="00FA6C2D" w:rsidRPr="0042584D">
        <w:rPr>
          <w:rFonts w:ascii="Calibri" w:hAnsi="Calibri" w:cs="Calibri"/>
          <w:sz w:val="24"/>
          <w:szCs w:val="24"/>
        </w:rPr>
        <w:t xml:space="preserve"> aktivitu</w:t>
      </w:r>
      <w:r w:rsidR="00573408">
        <w:rPr>
          <w:rFonts w:ascii="Calibri" w:hAnsi="Calibri" w:cs="Calibri"/>
          <w:sz w:val="24"/>
          <w:szCs w:val="24"/>
        </w:rPr>
        <w:t xml:space="preserve"> </w:t>
      </w:r>
      <w:r w:rsidR="002C761F" w:rsidRPr="0042584D">
        <w:rPr>
          <w:rFonts w:ascii="Calibri" w:hAnsi="Calibri" w:cs="Calibri"/>
          <w:i/>
          <w:sz w:val="24"/>
          <w:szCs w:val="24"/>
        </w:rPr>
        <w:t>zřizování nových či rekonstrukce stávajících zařízení pro poskytování komunitní péče</w:t>
      </w:r>
      <w:r w:rsidR="002C761F" w:rsidRPr="0042584D">
        <w:rPr>
          <w:rFonts w:ascii="Calibri" w:hAnsi="Calibri" w:cs="Calibri"/>
          <w:sz w:val="24"/>
          <w:szCs w:val="24"/>
        </w:rPr>
        <w:t xml:space="preserve"> (80</w:t>
      </w:r>
      <w:r w:rsidR="00642C69" w:rsidRPr="0042584D">
        <w:rPr>
          <w:rFonts w:ascii="Calibri" w:hAnsi="Calibri" w:cs="Calibri"/>
          <w:sz w:val="24"/>
          <w:szCs w:val="24"/>
        </w:rPr>
        <w:t> </w:t>
      </w:r>
      <w:r w:rsidR="002C761F" w:rsidRPr="0042584D">
        <w:rPr>
          <w:rFonts w:ascii="Calibri" w:hAnsi="Calibri" w:cs="Calibri"/>
          <w:sz w:val="24"/>
          <w:szCs w:val="24"/>
        </w:rPr>
        <w:t>%</w:t>
      </w:r>
      <w:r w:rsidR="00642C69" w:rsidRPr="0042584D">
        <w:rPr>
          <w:rFonts w:ascii="Calibri" w:hAnsi="Calibri" w:cs="Calibri"/>
          <w:sz w:val="24"/>
          <w:szCs w:val="24"/>
        </w:rPr>
        <w:t> </w:t>
      </w:r>
      <w:r w:rsidR="002C761F" w:rsidRPr="0042584D">
        <w:rPr>
          <w:rFonts w:ascii="Calibri" w:hAnsi="Calibri" w:cs="Calibri"/>
          <w:sz w:val="24"/>
          <w:szCs w:val="24"/>
        </w:rPr>
        <w:t xml:space="preserve">všech projektů). </w:t>
      </w:r>
      <w:r w:rsidR="002C761F" w:rsidRPr="0042584D">
        <w:rPr>
          <w:rFonts w:ascii="Calibri" w:hAnsi="Calibri" w:cs="Calibri"/>
          <w:b/>
          <w:sz w:val="24"/>
          <w:szCs w:val="24"/>
        </w:rPr>
        <w:t xml:space="preserve">Na aktivity související s CDZ bylo v rámci obou výzev </w:t>
      </w:r>
      <w:r w:rsidR="00573408" w:rsidRPr="0042584D">
        <w:rPr>
          <w:rFonts w:ascii="Calibri" w:hAnsi="Calibri" w:cs="Calibri"/>
          <w:b/>
          <w:sz w:val="24"/>
          <w:szCs w:val="24"/>
        </w:rPr>
        <w:t xml:space="preserve">celkem </w:t>
      </w:r>
      <w:r w:rsidR="002C761F" w:rsidRPr="0042584D">
        <w:rPr>
          <w:rFonts w:ascii="Calibri" w:hAnsi="Calibri" w:cs="Calibri"/>
          <w:b/>
          <w:sz w:val="24"/>
          <w:szCs w:val="24"/>
        </w:rPr>
        <w:t xml:space="preserve">zaměřeno pouze </w:t>
      </w:r>
      <w:r w:rsidR="00573408">
        <w:rPr>
          <w:rFonts w:ascii="Calibri" w:hAnsi="Calibri" w:cs="Calibri"/>
          <w:b/>
          <w:sz w:val="24"/>
          <w:szCs w:val="24"/>
        </w:rPr>
        <w:t>pět</w:t>
      </w:r>
      <w:r w:rsidR="002C761F" w:rsidRPr="0042584D">
        <w:rPr>
          <w:rFonts w:ascii="Calibri" w:hAnsi="Calibri" w:cs="Calibri"/>
          <w:b/>
          <w:sz w:val="24"/>
          <w:szCs w:val="24"/>
        </w:rPr>
        <w:t xml:space="preserve"> projektů z celkového počtu 24, tj. necelých 21 %.</w:t>
      </w:r>
    </w:p>
    <w:p w:rsidR="00930A4D" w:rsidRPr="0042584D" w:rsidRDefault="00AA7AB3" w:rsidP="0042584D">
      <w:pPr>
        <w:shd w:val="clear" w:color="auto" w:fill="FFFFFF"/>
        <w:spacing w:after="120"/>
        <w:jc w:val="both"/>
        <w:rPr>
          <w:rFonts w:ascii="Calibri" w:hAnsi="Calibri" w:cs="Calibri"/>
          <w:sz w:val="24"/>
          <w:szCs w:val="24"/>
        </w:rPr>
      </w:pPr>
      <w:r w:rsidRPr="0042584D">
        <w:rPr>
          <w:rFonts w:ascii="Calibri" w:hAnsi="Calibri" w:cs="Calibri"/>
          <w:sz w:val="24"/>
          <w:szCs w:val="24"/>
        </w:rPr>
        <w:t>NKÚ zjistil, že n</w:t>
      </w:r>
      <w:r w:rsidR="002C761F" w:rsidRPr="0042584D">
        <w:rPr>
          <w:rFonts w:ascii="Calibri" w:hAnsi="Calibri" w:cs="Calibri"/>
          <w:sz w:val="24"/>
          <w:szCs w:val="24"/>
        </w:rPr>
        <w:t>ízký zájem o podporu CDZ v rámci výzvy č. 54 a výzvy č. 75 souvisel s</w:t>
      </w:r>
      <w:r w:rsidR="00612D8E" w:rsidRPr="0042584D">
        <w:rPr>
          <w:rFonts w:ascii="Calibri" w:hAnsi="Calibri" w:cs="Calibri"/>
          <w:sz w:val="24"/>
          <w:szCs w:val="24"/>
        </w:rPr>
        <w:t> </w:t>
      </w:r>
      <w:r w:rsidR="002C761F" w:rsidRPr="0042584D">
        <w:rPr>
          <w:rFonts w:ascii="Calibri" w:hAnsi="Calibri" w:cs="Calibri"/>
          <w:sz w:val="24"/>
          <w:szCs w:val="24"/>
        </w:rPr>
        <w:t>nedořešeným systémem financování zdravotní</w:t>
      </w:r>
      <w:r w:rsidRPr="0042584D">
        <w:rPr>
          <w:rFonts w:ascii="Calibri" w:hAnsi="Calibri" w:cs="Calibri"/>
          <w:sz w:val="24"/>
          <w:szCs w:val="24"/>
        </w:rPr>
        <w:t xml:space="preserve"> a sociální</w:t>
      </w:r>
      <w:r w:rsidR="002C761F" w:rsidRPr="0042584D">
        <w:rPr>
          <w:rFonts w:ascii="Calibri" w:hAnsi="Calibri" w:cs="Calibri"/>
          <w:sz w:val="24"/>
          <w:szCs w:val="24"/>
        </w:rPr>
        <w:t xml:space="preserve"> péče poskytované v CDZ. </w:t>
      </w:r>
      <w:r w:rsidRPr="0042584D">
        <w:rPr>
          <w:rFonts w:ascii="Calibri" w:hAnsi="Calibri" w:cs="Calibri"/>
          <w:b/>
          <w:sz w:val="24"/>
          <w:szCs w:val="24"/>
        </w:rPr>
        <w:t>Nastavený systém financování představ</w:t>
      </w:r>
      <w:r w:rsidR="00207581" w:rsidRPr="0042584D">
        <w:rPr>
          <w:rFonts w:ascii="Calibri" w:hAnsi="Calibri" w:cs="Calibri"/>
          <w:b/>
          <w:sz w:val="24"/>
          <w:szCs w:val="24"/>
        </w:rPr>
        <w:t>oval</w:t>
      </w:r>
      <w:r w:rsidRPr="0042584D">
        <w:rPr>
          <w:rFonts w:ascii="Calibri" w:hAnsi="Calibri" w:cs="Calibri"/>
          <w:b/>
          <w:sz w:val="24"/>
          <w:szCs w:val="24"/>
        </w:rPr>
        <w:t xml:space="preserve"> pro CDZ </w:t>
      </w:r>
      <w:r w:rsidR="00207581" w:rsidRPr="0042584D">
        <w:rPr>
          <w:rFonts w:ascii="Calibri" w:hAnsi="Calibri" w:cs="Calibri"/>
          <w:b/>
          <w:sz w:val="24"/>
          <w:szCs w:val="24"/>
        </w:rPr>
        <w:t>vysokou míru nejistoty</w:t>
      </w:r>
      <w:r w:rsidR="005D749F" w:rsidRPr="0042584D">
        <w:rPr>
          <w:rFonts w:ascii="Calibri" w:hAnsi="Calibri" w:cs="Calibri"/>
          <w:b/>
          <w:sz w:val="24"/>
          <w:szCs w:val="24"/>
        </w:rPr>
        <w:t xml:space="preserve"> </w:t>
      </w:r>
      <w:r w:rsidR="00312874" w:rsidRPr="0042584D">
        <w:rPr>
          <w:rFonts w:ascii="Calibri" w:hAnsi="Calibri" w:cs="Calibri"/>
          <w:b/>
          <w:sz w:val="24"/>
          <w:szCs w:val="24"/>
        </w:rPr>
        <w:t>při zajištění</w:t>
      </w:r>
      <w:r w:rsidR="005D749F" w:rsidRPr="0042584D">
        <w:rPr>
          <w:rFonts w:ascii="Calibri" w:hAnsi="Calibri" w:cs="Calibri"/>
          <w:b/>
          <w:sz w:val="24"/>
          <w:szCs w:val="24"/>
        </w:rPr>
        <w:t xml:space="preserve"> povinné 5leté udržitelnosti</w:t>
      </w:r>
      <w:r w:rsidR="00312874" w:rsidRPr="0042584D">
        <w:rPr>
          <w:rFonts w:ascii="Calibri" w:hAnsi="Calibri" w:cs="Calibri"/>
          <w:b/>
          <w:sz w:val="24"/>
          <w:szCs w:val="24"/>
        </w:rPr>
        <w:t xml:space="preserve"> a naplnění jejich personálních kapacit</w:t>
      </w:r>
      <w:r w:rsidR="00312874" w:rsidRPr="0042584D">
        <w:rPr>
          <w:rStyle w:val="Znakapoznpodarou"/>
          <w:rFonts w:ascii="Calibri" w:hAnsi="Calibri" w:cs="Calibri"/>
          <w:b/>
          <w:sz w:val="24"/>
          <w:szCs w:val="24"/>
        </w:rPr>
        <w:footnoteReference w:id="19"/>
      </w:r>
      <w:r w:rsidR="005D749F" w:rsidRPr="0042584D">
        <w:rPr>
          <w:rFonts w:ascii="Calibri" w:hAnsi="Calibri" w:cs="Calibri"/>
          <w:b/>
          <w:sz w:val="24"/>
          <w:szCs w:val="24"/>
        </w:rPr>
        <w:t xml:space="preserve"> u investičních projektů IROP</w:t>
      </w:r>
      <w:r w:rsidR="002C761F" w:rsidRPr="0042584D">
        <w:rPr>
          <w:rFonts w:ascii="Calibri" w:hAnsi="Calibri" w:cs="Calibri"/>
          <w:b/>
          <w:sz w:val="24"/>
          <w:szCs w:val="24"/>
        </w:rPr>
        <w:t>.</w:t>
      </w:r>
      <w:r w:rsidR="002C761F" w:rsidRPr="0042584D">
        <w:rPr>
          <w:rFonts w:ascii="Calibri" w:hAnsi="Calibri" w:cs="Calibri"/>
          <w:sz w:val="24"/>
          <w:szCs w:val="24"/>
        </w:rPr>
        <w:t xml:space="preserve"> </w:t>
      </w:r>
    </w:p>
    <w:p w:rsidR="00930A4D" w:rsidRPr="0042584D" w:rsidRDefault="002C761F" w:rsidP="00895A0D">
      <w:pPr>
        <w:keepNext/>
        <w:spacing w:before="240" w:after="120"/>
        <w:jc w:val="both"/>
        <w:rPr>
          <w:rFonts w:ascii="Calibri" w:eastAsia="Calibri" w:hAnsi="Calibri" w:cs="Calibri"/>
          <w:b/>
          <w:iCs/>
          <w:sz w:val="24"/>
          <w:szCs w:val="24"/>
        </w:rPr>
      </w:pPr>
      <w:r w:rsidRPr="0042584D">
        <w:rPr>
          <w:rFonts w:ascii="Calibri" w:hAnsi="Calibri" w:cs="Calibri"/>
          <w:b/>
          <w:sz w:val="24"/>
          <w:szCs w:val="24"/>
        </w:rPr>
        <w:t>1</w:t>
      </w:r>
      <w:r w:rsidR="00977D1D" w:rsidRPr="0042584D">
        <w:rPr>
          <w:rFonts w:ascii="Calibri" w:hAnsi="Calibri" w:cs="Calibri"/>
          <w:b/>
          <w:sz w:val="24"/>
          <w:szCs w:val="24"/>
        </w:rPr>
        <w:t>0</w:t>
      </w:r>
      <w:r w:rsidR="00795AD0" w:rsidRPr="0042584D">
        <w:rPr>
          <w:rFonts w:ascii="Calibri" w:hAnsi="Calibri" w:cs="Calibri"/>
          <w:b/>
          <w:sz w:val="24"/>
          <w:szCs w:val="24"/>
        </w:rPr>
        <w:t xml:space="preserve">. </w:t>
      </w:r>
      <w:r w:rsidR="00795AD0" w:rsidRPr="0042584D">
        <w:rPr>
          <w:rFonts w:ascii="Calibri" w:eastAsia="Calibri" w:hAnsi="Calibri" w:cs="Calibri"/>
          <w:b/>
          <w:iCs/>
          <w:sz w:val="24"/>
          <w:szCs w:val="24"/>
        </w:rPr>
        <w:t xml:space="preserve">Kontrola u </w:t>
      </w:r>
      <w:r w:rsidR="0015339D" w:rsidRPr="0042584D">
        <w:rPr>
          <w:rFonts w:ascii="Calibri" w:eastAsia="Calibri" w:hAnsi="Calibri" w:cs="Calibri"/>
          <w:b/>
          <w:iCs/>
          <w:sz w:val="24"/>
          <w:szCs w:val="24"/>
        </w:rPr>
        <w:t xml:space="preserve">vybraných </w:t>
      </w:r>
      <w:r w:rsidR="00795AD0" w:rsidRPr="0042584D">
        <w:rPr>
          <w:rFonts w:ascii="Calibri" w:eastAsia="Calibri" w:hAnsi="Calibri" w:cs="Calibri"/>
          <w:b/>
          <w:iCs/>
          <w:sz w:val="24"/>
          <w:szCs w:val="24"/>
        </w:rPr>
        <w:t>příjemců dotací</w:t>
      </w:r>
      <w:r w:rsidR="00D27414" w:rsidRPr="0042584D">
        <w:rPr>
          <w:rFonts w:ascii="Calibri" w:eastAsia="Calibri" w:hAnsi="Calibri" w:cs="Calibri"/>
          <w:b/>
          <w:iCs/>
          <w:sz w:val="24"/>
          <w:szCs w:val="24"/>
        </w:rPr>
        <w:t xml:space="preserve"> FN Brno a FN Ostrava</w:t>
      </w:r>
    </w:p>
    <w:p w:rsidR="009861A6" w:rsidRPr="0042584D" w:rsidRDefault="002C761F" w:rsidP="0042584D">
      <w:pPr>
        <w:widowControl/>
        <w:autoSpaceDE/>
        <w:autoSpaceDN/>
        <w:adjustRightInd/>
        <w:spacing w:after="120"/>
        <w:jc w:val="both"/>
        <w:rPr>
          <w:rFonts w:ascii="Calibri" w:hAnsi="Calibri" w:cs="Calibri"/>
          <w:b/>
          <w:sz w:val="24"/>
          <w:szCs w:val="24"/>
          <w:lang w:eastAsia="en-US"/>
        </w:rPr>
      </w:pPr>
      <w:r w:rsidRPr="0042584D">
        <w:rPr>
          <w:rFonts w:ascii="Calibri" w:hAnsi="Calibri" w:cs="Calibri"/>
          <w:sz w:val="24"/>
          <w:szCs w:val="24"/>
        </w:rPr>
        <w:t xml:space="preserve">Kontrolou </w:t>
      </w:r>
      <w:r w:rsidR="008A51A6" w:rsidRPr="0042584D">
        <w:rPr>
          <w:rFonts w:ascii="Calibri" w:hAnsi="Calibri" w:cs="Calibri"/>
          <w:sz w:val="24"/>
          <w:szCs w:val="24"/>
        </w:rPr>
        <w:t xml:space="preserve">NKÚ </w:t>
      </w:r>
      <w:r w:rsidRPr="0042584D">
        <w:rPr>
          <w:rFonts w:ascii="Calibri" w:hAnsi="Calibri" w:cs="Calibri"/>
          <w:sz w:val="24"/>
          <w:szCs w:val="24"/>
        </w:rPr>
        <w:t xml:space="preserve">byl prověřen projekt </w:t>
      </w:r>
      <w:r w:rsidRPr="0042584D">
        <w:rPr>
          <w:rFonts w:ascii="Calibri" w:hAnsi="Calibri" w:cs="Calibri"/>
          <w:i/>
          <w:sz w:val="24"/>
          <w:szCs w:val="24"/>
        </w:rPr>
        <w:t xml:space="preserve">Centrum komplexní psychiatrické péče Brno </w:t>
      </w:r>
      <w:r w:rsidRPr="0042584D">
        <w:rPr>
          <w:rFonts w:ascii="Calibri" w:hAnsi="Calibri" w:cs="Calibri"/>
          <w:sz w:val="24"/>
          <w:szCs w:val="24"/>
        </w:rPr>
        <w:t>u příjemce dotace</w:t>
      </w:r>
      <w:r w:rsidRPr="0042584D">
        <w:rPr>
          <w:rFonts w:ascii="Calibri" w:hAnsi="Calibri" w:cs="Calibri"/>
          <w:i/>
          <w:sz w:val="24"/>
          <w:szCs w:val="24"/>
        </w:rPr>
        <w:t xml:space="preserve"> </w:t>
      </w:r>
      <w:r w:rsidRPr="0042584D">
        <w:rPr>
          <w:rFonts w:ascii="Calibri" w:hAnsi="Calibri" w:cs="Calibri"/>
          <w:sz w:val="24"/>
          <w:szCs w:val="24"/>
        </w:rPr>
        <w:t xml:space="preserve">FN Brno a projekt </w:t>
      </w:r>
      <w:r w:rsidRPr="0042584D">
        <w:rPr>
          <w:rFonts w:ascii="Calibri" w:hAnsi="Calibri" w:cs="Calibri"/>
          <w:i/>
          <w:sz w:val="24"/>
          <w:szCs w:val="24"/>
        </w:rPr>
        <w:t xml:space="preserve">FN Ostrava – Výstavba budovy pro psychiatrickou péči </w:t>
      </w:r>
      <w:r w:rsidRPr="0042584D">
        <w:rPr>
          <w:rFonts w:ascii="Calibri" w:hAnsi="Calibri" w:cs="Calibri"/>
          <w:sz w:val="24"/>
          <w:szCs w:val="24"/>
        </w:rPr>
        <w:t>u příjemce dotace FN Ostrava. Tyto projekty byly podpořeny z IROP v rámci výzvy č. 54, resp. výzvy č. 75</w:t>
      </w:r>
      <w:r w:rsidR="00573408">
        <w:rPr>
          <w:rFonts w:ascii="Calibri" w:hAnsi="Calibri" w:cs="Calibri"/>
          <w:sz w:val="24"/>
          <w:szCs w:val="24"/>
        </w:rPr>
        <w:t>,</w:t>
      </w:r>
      <w:r w:rsidRPr="0042584D">
        <w:rPr>
          <w:rFonts w:ascii="Calibri" w:hAnsi="Calibri" w:cs="Calibri"/>
          <w:sz w:val="24"/>
          <w:szCs w:val="24"/>
        </w:rPr>
        <w:t xml:space="preserve"> a zároveň jsou financovány </w:t>
      </w:r>
      <w:proofErr w:type="spellStart"/>
      <w:r w:rsidRPr="0042584D">
        <w:rPr>
          <w:rFonts w:ascii="Calibri" w:hAnsi="Calibri" w:cs="Calibri"/>
          <w:sz w:val="24"/>
          <w:szCs w:val="24"/>
        </w:rPr>
        <w:t>MZd</w:t>
      </w:r>
      <w:proofErr w:type="spellEnd"/>
      <w:r w:rsidRPr="0042584D">
        <w:rPr>
          <w:rFonts w:ascii="Calibri" w:hAnsi="Calibri" w:cs="Calibri"/>
          <w:sz w:val="24"/>
          <w:szCs w:val="24"/>
        </w:rPr>
        <w:t xml:space="preserve"> prostřednictvím programu předfinancování. V rámci </w:t>
      </w:r>
      <w:r w:rsidR="00312C2D" w:rsidRPr="0042584D">
        <w:rPr>
          <w:rFonts w:ascii="Calibri" w:hAnsi="Calibri" w:cs="Calibri"/>
          <w:sz w:val="24"/>
          <w:szCs w:val="24"/>
        </w:rPr>
        <w:t>těchto</w:t>
      </w:r>
      <w:r w:rsidRPr="0042584D">
        <w:rPr>
          <w:rFonts w:ascii="Calibri" w:hAnsi="Calibri" w:cs="Calibri"/>
          <w:sz w:val="24"/>
          <w:szCs w:val="24"/>
        </w:rPr>
        <w:t xml:space="preserve"> výzev se jedná o dva nejnákladnější projekty, které nebyly v době kontroly NKÚ ukončeny. Kontrole bylo podrobeno zejména posouzení oprávněnosti přidělení dotace a způsobilosti žadatele, výběr dodavatelů a smluvní zajištění realizace projektu vč. faktického plnění smluv a</w:t>
      </w:r>
      <w:r w:rsidR="00612D8E" w:rsidRPr="0042584D">
        <w:rPr>
          <w:rFonts w:ascii="Calibri" w:hAnsi="Calibri" w:cs="Calibri"/>
          <w:sz w:val="24"/>
          <w:szCs w:val="24"/>
        </w:rPr>
        <w:t> </w:t>
      </w:r>
      <w:r w:rsidRPr="0042584D">
        <w:rPr>
          <w:rFonts w:ascii="Calibri" w:hAnsi="Calibri" w:cs="Calibri"/>
          <w:sz w:val="24"/>
          <w:szCs w:val="24"/>
        </w:rPr>
        <w:t xml:space="preserve">věcná a finanční realizace projektu v souladu se stanovenými podmínkami. </w:t>
      </w:r>
      <w:r w:rsidR="009861A6" w:rsidRPr="0042584D">
        <w:rPr>
          <w:rFonts w:ascii="Calibri" w:hAnsi="Calibri" w:cs="Calibri"/>
          <w:b/>
          <w:sz w:val="24"/>
          <w:szCs w:val="24"/>
          <w:lang w:eastAsia="en-US"/>
        </w:rPr>
        <w:t>NKÚ při kontrole nezjistil žádné významné nedostatky, neúčelnost ani nehospodárnost při čerpání finančních prostředků.</w:t>
      </w:r>
    </w:p>
    <w:p w:rsidR="00930A4D" w:rsidRPr="00D10819" w:rsidRDefault="002C761F" w:rsidP="009A31F5">
      <w:pPr>
        <w:keepNext/>
        <w:widowControl/>
        <w:autoSpaceDE/>
        <w:autoSpaceDN/>
        <w:adjustRightInd/>
        <w:spacing w:before="600" w:after="60"/>
        <w:rPr>
          <w:rFonts w:ascii="Calibri" w:eastAsia="Calibri" w:hAnsi="Calibri" w:cs="Times New Roman"/>
          <w:b/>
          <w:sz w:val="24"/>
          <w:szCs w:val="24"/>
          <w:lang w:eastAsia="en-US"/>
        </w:rPr>
      </w:pPr>
      <w:bookmarkStart w:id="8" w:name="_Hlk99371565"/>
      <w:r w:rsidRPr="00A37008">
        <w:rPr>
          <w:rFonts w:ascii="Calibri" w:eastAsia="Calibri" w:hAnsi="Calibri" w:cs="Times New Roman"/>
          <w:b/>
          <w:sz w:val="24"/>
          <w:szCs w:val="24"/>
          <w:lang w:eastAsia="en-US"/>
        </w:rPr>
        <w:lastRenderedPageBreak/>
        <w:t>Seznam zkratek</w:t>
      </w:r>
    </w:p>
    <w:bookmarkEnd w:id="8"/>
    <w:p w:rsidR="00930A4D"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CDZ</w:t>
      </w:r>
      <w:r w:rsidR="001A0569">
        <w:rPr>
          <w:rFonts w:asciiTheme="minorHAnsi" w:hAnsiTheme="minorHAnsi" w:cstheme="minorHAnsi"/>
          <w:sz w:val="24"/>
          <w:szCs w:val="24"/>
        </w:rPr>
        <w:tab/>
        <w:t>Centrum duševního zdraví</w:t>
      </w:r>
    </w:p>
    <w:p w:rsidR="00682E5D"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CRR</w:t>
      </w:r>
      <w:r>
        <w:rPr>
          <w:rFonts w:asciiTheme="minorHAnsi" w:hAnsiTheme="minorHAnsi" w:cstheme="minorHAnsi"/>
          <w:sz w:val="24"/>
          <w:szCs w:val="24"/>
        </w:rPr>
        <w:tab/>
        <w:t>Centrum</w:t>
      </w:r>
      <w:r w:rsidR="00595FCC">
        <w:rPr>
          <w:rFonts w:asciiTheme="minorHAnsi" w:hAnsiTheme="minorHAnsi" w:cstheme="minorHAnsi"/>
          <w:sz w:val="24"/>
          <w:szCs w:val="24"/>
        </w:rPr>
        <w:t xml:space="preserve"> pro</w:t>
      </w:r>
      <w:r>
        <w:rPr>
          <w:rFonts w:asciiTheme="minorHAnsi" w:hAnsiTheme="minorHAnsi" w:cstheme="minorHAnsi"/>
          <w:sz w:val="24"/>
          <w:szCs w:val="24"/>
        </w:rPr>
        <w:t xml:space="preserve"> regionální rozvoj</w:t>
      </w:r>
      <w:r w:rsidR="00595FCC">
        <w:rPr>
          <w:rFonts w:asciiTheme="minorHAnsi" w:hAnsiTheme="minorHAnsi" w:cstheme="minorHAnsi"/>
          <w:sz w:val="24"/>
          <w:szCs w:val="24"/>
        </w:rPr>
        <w:t xml:space="preserve"> České republiky</w:t>
      </w:r>
    </w:p>
    <w:p w:rsidR="00616EF0"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EFRR</w:t>
      </w:r>
      <w:r w:rsidR="00094A49">
        <w:rPr>
          <w:rFonts w:asciiTheme="minorHAnsi" w:hAnsiTheme="minorHAnsi" w:cstheme="minorHAnsi"/>
          <w:sz w:val="24"/>
          <w:szCs w:val="24"/>
        </w:rPr>
        <w:tab/>
        <w:t>Evropský fond pro regionální rozvoj</w:t>
      </w:r>
    </w:p>
    <w:p w:rsidR="00C061BA"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EU</w:t>
      </w:r>
      <w:r>
        <w:rPr>
          <w:rFonts w:asciiTheme="minorHAnsi" w:hAnsiTheme="minorHAnsi" w:cstheme="minorHAnsi"/>
          <w:sz w:val="24"/>
          <w:szCs w:val="24"/>
        </w:rPr>
        <w:tab/>
        <w:t>Evropská unie</w:t>
      </w:r>
    </w:p>
    <w:p w:rsidR="00930A4D"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FN</w:t>
      </w:r>
      <w:r w:rsidR="001A0569">
        <w:rPr>
          <w:rFonts w:asciiTheme="minorHAnsi" w:hAnsiTheme="minorHAnsi" w:cstheme="minorHAnsi"/>
          <w:sz w:val="24"/>
          <w:szCs w:val="24"/>
        </w:rPr>
        <w:tab/>
        <w:t>fakultní nemocnice</w:t>
      </w:r>
    </w:p>
    <w:p w:rsidR="00930A4D"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IROP</w:t>
      </w:r>
      <w:r w:rsidR="00094A49">
        <w:rPr>
          <w:rFonts w:asciiTheme="minorHAnsi" w:hAnsiTheme="minorHAnsi" w:cstheme="minorHAnsi"/>
          <w:sz w:val="24"/>
          <w:szCs w:val="24"/>
        </w:rPr>
        <w:tab/>
      </w:r>
      <w:r w:rsidR="00094A49" w:rsidRPr="000955B0">
        <w:rPr>
          <w:rFonts w:asciiTheme="minorHAnsi" w:hAnsiTheme="minorHAnsi" w:cstheme="minorHAnsi"/>
          <w:i/>
          <w:sz w:val="24"/>
          <w:szCs w:val="24"/>
        </w:rPr>
        <w:t>Integrovaný regionální operační program</w:t>
      </w:r>
    </w:p>
    <w:p w:rsidR="0032139F"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IS MS2014+</w:t>
      </w:r>
      <w:r w:rsidR="00094A49">
        <w:rPr>
          <w:rFonts w:asciiTheme="minorHAnsi" w:hAnsiTheme="minorHAnsi" w:cstheme="minorHAnsi"/>
          <w:sz w:val="24"/>
          <w:szCs w:val="24"/>
        </w:rPr>
        <w:tab/>
      </w:r>
      <w:r w:rsidR="0042584D">
        <w:rPr>
          <w:rFonts w:asciiTheme="minorHAnsi" w:hAnsiTheme="minorHAnsi" w:cstheme="minorHAnsi"/>
          <w:sz w:val="24"/>
          <w:szCs w:val="24"/>
        </w:rPr>
        <w:t>j</w:t>
      </w:r>
      <w:r w:rsidR="00094A49">
        <w:rPr>
          <w:rFonts w:asciiTheme="minorHAnsi" w:hAnsiTheme="minorHAnsi" w:cstheme="minorHAnsi"/>
          <w:sz w:val="24"/>
          <w:szCs w:val="24"/>
        </w:rPr>
        <w:t>ednotný monitorovací systém, do kterého žadatelé zadávají žádosti o evropské dotace z Evropského strukturálního a</w:t>
      </w:r>
      <w:r w:rsidR="00595FCC">
        <w:rPr>
          <w:rFonts w:asciiTheme="minorHAnsi" w:hAnsiTheme="minorHAnsi" w:cstheme="minorHAnsi"/>
          <w:sz w:val="24"/>
          <w:szCs w:val="24"/>
        </w:rPr>
        <w:t> </w:t>
      </w:r>
      <w:r w:rsidR="00094A49">
        <w:rPr>
          <w:rFonts w:asciiTheme="minorHAnsi" w:hAnsiTheme="minorHAnsi" w:cstheme="minorHAnsi"/>
          <w:sz w:val="24"/>
          <w:szCs w:val="24"/>
        </w:rPr>
        <w:t>investičního fondu</w:t>
      </w:r>
    </w:p>
    <w:p w:rsidR="00930A4D" w:rsidRPr="00F32D08" w:rsidRDefault="002C761F" w:rsidP="009A31F5">
      <w:pPr>
        <w:keepNext/>
        <w:widowControl/>
        <w:spacing w:after="60"/>
        <w:ind w:left="2835" w:hanging="2835"/>
        <w:rPr>
          <w:rFonts w:asciiTheme="minorHAnsi" w:hAnsiTheme="minorHAnsi" w:cstheme="minorHAnsi"/>
          <w:sz w:val="24"/>
          <w:szCs w:val="24"/>
        </w:rPr>
      </w:pPr>
      <w:proofErr w:type="spellStart"/>
      <w:r w:rsidRPr="00F32D08">
        <w:rPr>
          <w:rFonts w:asciiTheme="minorHAnsi" w:hAnsiTheme="minorHAnsi" w:cstheme="minorHAnsi"/>
          <w:sz w:val="24"/>
          <w:szCs w:val="24"/>
        </w:rPr>
        <w:t>MZd</w:t>
      </w:r>
      <w:proofErr w:type="spellEnd"/>
      <w:r w:rsidR="0032139F">
        <w:rPr>
          <w:rFonts w:asciiTheme="minorHAnsi" w:hAnsiTheme="minorHAnsi" w:cstheme="minorHAnsi"/>
          <w:sz w:val="24"/>
          <w:szCs w:val="24"/>
        </w:rPr>
        <w:tab/>
        <w:t>Ministerstvo zdravotnictví</w:t>
      </w:r>
    </w:p>
    <w:p w:rsidR="00930A4D" w:rsidRPr="00F32D08" w:rsidRDefault="002C761F" w:rsidP="009A31F5">
      <w:pPr>
        <w:keepNext/>
        <w:widowControl/>
        <w:spacing w:after="60"/>
        <w:ind w:left="2835" w:hanging="2835"/>
        <w:rPr>
          <w:rFonts w:asciiTheme="minorHAnsi" w:hAnsiTheme="minorHAnsi" w:cstheme="minorHAnsi"/>
          <w:sz w:val="24"/>
          <w:szCs w:val="24"/>
        </w:rPr>
      </w:pPr>
      <w:r w:rsidRPr="00F32D08">
        <w:rPr>
          <w:rFonts w:asciiTheme="minorHAnsi" w:hAnsiTheme="minorHAnsi" w:cstheme="minorHAnsi"/>
          <w:sz w:val="24"/>
          <w:szCs w:val="24"/>
        </w:rPr>
        <w:t>MMR</w:t>
      </w:r>
      <w:r w:rsidR="0032139F">
        <w:rPr>
          <w:rFonts w:asciiTheme="minorHAnsi" w:hAnsiTheme="minorHAnsi" w:cstheme="minorHAnsi"/>
          <w:sz w:val="24"/>
          <w:szCs w:val="24"/>
        </w:rPr>
        <w:tab/>
        <w:t>Ministerstvo pro místní rozvoj</w:t>
      </w:r>
    </w:p>
    <w:p w:rsidR="00930A4D" w:rsidRDefault="002C761F" w:rsidP="009A31F5">
      <w:pPr>
        <w:keepNext/>
        <w:widowControl/>
        <w:spacing w:after="60"/>
        <w:ind w:left="2835" w:hanging="2835"/>
        <w:rPr>
          <w:rFonts w:asciiTheme="minorHAnsi" w:hAnsiTheme="minorHAnsi" w:cstheme="minorHAnsi"/>
          <w:sz w:val="24"/>
          <w:szCs w:val="24"/>
        </w:rPr>
      </w:pPr>
      <w:r w:rsidRPr="00F32D08">
        <w:rPr>
          <w:rFonts w:asciiTheme="minorHAnsi" w:hAnsiTheme="minorHAnsi" w:cstheme="minorHAnsi"/>
          <w:sz w:val="24"/>
          <w:szCs w:val="24"/>
        </w:rPr>
        <w:t>NKÚ</w:t>
      </w:r>
      <w:r w:rsidR="001A0569">
        <w:rPr>
          <w:rFonts w:asciiTheme="minorHAnsi" w:hAnsiTheme="minorHAnsi" w:cstheme="minorHAnsi"/>
          <w:sz w:val="24"/>
          <w:szCs w:val="24"/>
        </w:rPr>
        <w:tab/>
        <w:t>Nejvyšší kontrolní úřad</w:t>
      </w:r>
    </w:p>
    <w:p w:rsidR="009F5477"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NNV</w:t>
      </w:r>
      <w:r>
        <w:rPr>
          <w:rFonts w:asciiTheme="minorHAnsi" w:hAnsiTheme="minorHAnsi" w:cstheme="minorHAnsi"/>
          <w:sz w:val="24"/>
          <w:szCs w:val="24"/>
        </w:rPr>
        <w:tab/>
      </w:r>
      <w:r w:rsidR="0042584D">
        <w:rPr>
          <w:rFonts w:asciiTheme="minorHAnsi" w:hAnsiTheme="minorHAnsi" w:cstheme="minorHAnsi"/>
          <w:sz w:val="24"/>
          <w:szCs w:val="24"/>
        </w:rPr>
        <w:t>n</w:t>
      </w:r>
      <w:r>
        <w:rPr>
          <w:rFonts w:asciiTheme="minorHAnsi" w:hAnsiTheme="minorHAnsi" w:cstheme="minorHAnsi"/>
          <w:sz w:val="24"/>
          <w:szCs w:val="24"/>
        </w:rPr>
        <w:t>ároky z nespotřebovaných výdajů</w:t>
      </w:r>
    </w:p>
    <w:p w:rsidR="00930A4D"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OM IROP</w:t>
      </w:r>
      <w:r w:rsidR="000C7412">
        <w:rPr>
          <w:rFonts w:asciiTheme="minorHAnsi" w:hAnsiTheme="minorHAnsi" w:cstheme="minorHAnsi"/>
          <w:sz w:val="24"/>
          <w:szCs w:val="24"/>
        </w:rPr>
        <w:tab/>
      </w:r>
      <w:r w:rsidR="00C41368">
        <w:rPr>
          <w:rFonts w:asciiTheme="minorHAnsi" w:hAnsiTheme="minorHAnsi" w:cstheme="minorHAnsi"/>
          <w:sz w:val="24"/>
          <w:szCs w:val="24"/>
        </w:rPr>
        <w:t>o</w:t>
      </w:r>
      <w:r w:rsidR="000C7412">
        <w:rPr>
          <w:rFonts w:asciiTheme="minorHAnsi" w:hAnsiTheme="minorHAnsi" w:cstheme="minorHAnsi"/>
          <w:sz w:val="24"/>
          <w:szCs w:val="24"/>
        </w:rPr>
        <w:t>perační manuál IROP</w:t>
      </w:r>
    </w:p>
    <w:p w:rsidR="00F87647"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PD IROP</w:t>
      </w:r>
      <w:r w:rsidR="00094A49">
        <w:rPr>
          <w:rFonts w:asciiTheme="minorHAnsi" w:hAnsiTheme="minorHAnsi" w:cstheme="minorHAnsi"/>
          <w:sz w:val="24"/>
          <w:szCs w:val="24"/>
        </w:rPr>
        <w:tab/>
      </w:r>
      <w:r w:rsidR="00C41368">
        <w:rPr>
          <w:rFonts w:asciiTheme="minorHAnsi" w:hAnsiTheme="minorHAnsi" w:cstheme="minorHAnsi"/>
          <w:sz w:val="24"/>
          <w:szCs w:val="24"/>
        </w:rPr>
        <w:t>p</w:t>
      </w:r>
      <w:r w:rsidR="00094A49">
        <w:rPr>
          <w:rFonts w:asciiTheme="minorHAnsi" w:hAnsiTheme="minorHAnsi" w:cstheme="minorHAnsi"/>
          <w:sz w:val="24"/>
          <w:szCs w:val="24"/>
        </w:rPr>
        <w:t>rogramový dokument IROP</w:t>
      </w:r>
    </w:p>
    <w:p w:rsidR="00C061BA"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program předfinancování</w:t>
      </w:r>
      <w:r>
        <w:rPr>
          <w:rFonts w:asciiTheme="minorHAnsi" w:hAnsiTheme="minorHAnsi" w:cstheme="minorHAnsi"/>
          <w:sz w:val="24"/>
          <w:szCs w:val="24"/>
        </w:rPr>
        <w:tab/>
        <w:t>program č. 135 11</w:t>
      </w:r>
      <w:r w:rsidR="00C413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02462">
        <w:rPr>
          <w:rFonts w:asciiTheme="minorHAnsi" w:hAnsiTheme="minorHAnsi" w:cstheme="minorHAnsi"/>
          <w:i/>
          <w:sz w:val="24"/>
          <w:szCs w:val="24"/>
        </w:rPr>
        <w:t>Předfinancování IROP</w:t>
      </w:r>
    </w:p>
    <w:p w:rsidR="00C061BA" w:rsidRDefault="002C761F" w:rsidP="009A31F5">
      <w:pPr>
        <w:keepNext/>
        <w:widowControl/>
        <w:spacing w:after="60"/>
        <w:ind w:left="2835" w:hanging="2835"/>
        <w:rPr>
          <w:rFonts w:asciiTheme="minorHAnsi" w:hAnsiTheme="minorHAnsi" w:cstheme="minorHAnsi"/>
          <w:i/>
          <w:sz w:val="24"/>
          <w:szCs w:val="24"/>
        </w:rPr>
      </w:pPr>
      <w:r>
        <w:rPr>
          <w:rFonts w:asciiTheme="minorHAnsi" w:hAnsiTheme="minorHAnsi" w:cstheme="minorHAnsi"/>
          <w:sz w:val="24"/>
          <w:szCs w:val="24"/>
        </w:rPr>
        <w:t>program rozvoje a obnovy</w:t>
      </w:r>
      <w:r>
        <w:rPr>
          <w:rFonts w:asciiTheme="minorHAnsi" w:hAnsiTheme="minorHAnsi" w:cstheme="minorHAnsi"/>
          <w:sz w:val="24"/>
          <w:szCs w:val="24"/>
        </w:rPr>
        <w:tab/>
        <w:t>program č. 135 03</w:t>
      </w:r>
      <w:r w:rsidR="00C413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102462">
        <w:rPr>
          <w:rFonts w:asciiTheme="minorHAnsi" w:hAnsiTheme="minorHAnsi" w:cstheme="minorHAnsi"/>
          <w:i/>
          <w:sz w:val="24"/>
          <w:szCs w:val="24"/>
        </w:rPr>
        <w:t>Podpora rozvoje a obnovy materiálně technické základny státních léčebných ústavů</w:t>
      </w:r>
    </w:p>
    <w:p w:rsidR="00C061BA" w:rsidRDefault="002C761F" w:rsidP="009A31F5">
      <w:pPr>
        <w:keepNext/>
        <w:widowControl/>
        <w:spacing w:after="60"/>
        <w:ind w:left="2835" w:hanging="2835"/>
        <w:rPr>
          <w:rFonts w:asciiTheme="minorHAnsi" w:hAnsiTheme="minorHAnsi" w:cstheme="minorHAnsi"/>
          <w:i/>
          <w:sz w:val="24"/>
          <w:szCs w:val="24"/>
        </w:rPr>
      </w:pPr>
      <w:r w:rsidRPr="005A194E">
        <w:rPr>
          <w:rFonts w:ascii="Calibri" w:hAnsi="Calibri" w:cs="Calibri"/>
          <w:bCs/>
          <w:iCs/>
          <w:sz w:val="24"/>
          <w:szCs w:val="24"/>
        </w:rPr>
        <w:t>rozhodnut</w:t>
      </w:r>
      <w:r>
        <w:rPr>
          <w:rFonts w:ascii="Calibri" w:hAnsi="Calibri" w:cs="Calibri"/>
          <w:bCs/>
          <w:iCs/>
          <w:sz w:val="24"/>
          <w:szCs w:val="24"/>
        </w:rPr>
        <w:t xml:space="preserve">í </w:t>
      </w:r>
      <w:r>
        <w:rPr>
          <w:rFonts w:ascii="Calibri" w:hAnsi="Calibri" w:cs="Calibri"/>
          <w:bCs/>
          <w:iCs/>
          <w:sz w:val="24"/>
          <w:szCs w:val="24"/>
        </w:rPr>
        <w:tab/>
      </w:r>
      <w:proofErr w:type="spellStart"/>
      <w:r w:rsidRPr="00C061BA">
        <w:rPr>
          <w:rFonts w:ascii="Calibri" w:hAnsi="Calibri" w:cs="Calibri"/>
          <w:bCs/>
          <w:iCs/>
          <w:sz w:val="24"/>
          <w:szCs w:val="24"/>
        </w:rPr>
        <w:t>rozhodnutí</w:t>
      </w:r>
      <w:proofErr w:type="spellEnd"/>
      <w:r w:rsidRPr="00C061BA">
        <w:rPr>
          <w:rFonts w:ascii="Calibri" w:hAnsi="Calibri" w:cs="Calibri"/>
          <w:bCs/>
          <w:iCs/>
          <w:sz w:val="24"/>
          <w:szCs w:val="24"/>
        </w:rPr>
        <w:t xml:space="preserve"> o poskytnutí dotace</w:t>
      </w:r>
    </w:p>
    <w:p w:rsidR="00930A4D" w:rsidRDefault="002C761F" w:rsidP="009A31F5">
      <w:pPr>
        <w:keepNext/>
        <w:widowControl/>
        <w:spacing w:after="60"/>
        <w:ind w:left="2835" w:hanging="2835"/>
        <w:rPr>
          <w:rFonts w:asciiTheme="minorHAnsi" w:hAnsiTheme="minorHAnsi" w:cstheme="minorHAnsi"/>
          <w:sz w:val="24"/>
          <w:szCs w:val="24"/>
        </w:rPr>
      </w:pPr>
      <w:r w:rsidRPr="00930A4D">
        <w:rPr>
          <w:rFonts w:asciiTheme="minorHAnsi" w:hAnsiTheme="minorHAnsi" w:cstheme="minorHAnsi"/>
          <w:sz w:val="24"/>
          <w:szCs w:val="24"/>
        </w:rPr>
        <w:t>ŘO IROP</w:t>
      </w:r>
      <w:r w:rsidR="00094A49">
        <w:rPr>
          <w:rFonts w:asciiTheme="minorHAnsi" w:hAnsiTheme="minorHAnsi" w:cstheme="minorHAnsi"/>
          <w:sz w:val="24"/>
          <w:szCs w:val="24"/>
        </w:rPr>
        <w:tab/>
        <w:t>řídicí orgán IROP</w:t>
      </w:r>
    </w:p>
    <w:p w:rsidR="00C061BA" w:rsidRDefault="002C761F" w:rsidP="009A31F5">
      <w:pPr>
        <w:keepNext/>
        <w:widowControl/>
        <w:spacing w:after="60"/>
        <w:ind w:left="2835" w:hanging="2835"/>
        <w:rPr>
          <w:rFonts w:asciiTheme="minorHAnsi" w:hAnsiTheme="minorHAnsi" w:cstheme="minorHAnsi"/>
          <w:sz w:val="24"/>
          <w:szCs w:val="24"/>
        </w:rPr>
      </w:pPr>
      <w:r w:rsidRPr="009206C4">
        <w:rPr>
          <w:rFonts w:asciiTheme="minorHAnsi" w:hAnsiTheme="minorHAnsi" w:cstheme="minorHAnsi"/>
          <w:color w:val="000000" w:themeColor="text1"/>
          <w:spacing w:val="-5"/>
          <w:sz w:val="24"/>
          <w:szCs w:val="24"/>
        </w:rPr>
        <w:t>SC 2.3</w:t>
      </w:r>
      <w:r>
        <w:rPr>
          <w:rFonts w:asciiTheme="minorHAnsi" w:hAnsiTheme="minorHAnsi" w:cstheme="minorHAnsi"/>
          <w:color w:val="000000" w:themeColor="text1"/>
          <w:spacing w:val="-5"/>
          <w:sz w:val="24"/>
          <w:szCs w:val="24"/>
        </w:rPr>
        <w:tab/>
      </w:r>
      <w:r w:rsidRPr="009206C4">
        <w:rPr>
          <w:rFonts w:asciiTheme="minorHAnsi" w:hAnsiTheme="minorHAnsi" w:cstheme="minorHAnsi"/>
          <w:color w:val="000000" w:themeColor="text1"/>
          <w:spacing w:val="-5"/>
          <w:sz w:val="24"/>
          <w:szCs w:val="24"/>
        </w:rPr>
        <w:t>specifick</w:t>
      </w:r>
      <w:r>
        <w:rPr>
          <w:rFonts w:asciiTheme="minorHAnsi" w:hAnsiTheme="minorHAnsi" w:cstheme="minorHAnsi"/>
          <w:color w:val="000000" w:themeColor="text1"/>
          <w:spacing w:val="-5"/>
          <w:sz w:val="24"/>
          <w:szCs w:val="24"/>
        </w:rPr>
        <w:t>ý</w:t>
      </w:r>
      <w:r w:rsidRPr="009206C4">
        <w:rPr>
          <w:rFonts w:asciiTheme="minorHAnsi" w:hAnsiTheme="minorHAnsi" w:cstheme="minorHAnsi"/>
          <w:color w:val="000000" w:themeColor="text1"/>
          <w:spacing w:val="-5"/>
          <w:sz w:val="24"/>
          <w:szCs w:val="24"/>
        </w:rPr>
        <w:t xml:space="preserve"> cíl IROP </w:t>
      </w:r>
      <w:r w:rsidRPr="000955B0">
        <w:rPr>
          <w:rFonts w:asciiTheme="minorHAnsi" w:hAnsiTheme="minorHAnsi" w:cstheme="minorHAnsi"/>
          <w:color w:val="000000" w:themeColor="text1"/>
          <w:spacing w:val="-5"/>
          <w:sz w:val="24"/>
          <w:szCs w:val="24"/>
        </w:rPr>
        <w:t xml:space="preserve">2.3 </w:t>
      </w:r>
      <w:r w:rsidRPr="009206C4">
        <w:rPr>
          <w:rFonts w:asciiTheme="minorHAnsi" w:hAnsiTheme="minorHAnsi" w:cstheme="minorHAnsi"/>
          <w:i/>
          <w:color w:val="000000" w:themeColor="text1"/>
          <w:spacing w:val="-5"/>
          <w:sz w:val="24"/>
          <w:szCs w:val="24"/>
        </w:rPr>
        <w:t>Rozvoj infrastruktury pro poskytování zdravotních služeb a péče o zdraví</w:t>
      </w:r>
    </w:p>
    <w:p w:rsidR="00616EF0"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SR</w:t>
      </w:r>
      <w:r w:rsidR="0032139F">
        <w:rPr>
          <w:rFonts w:asciiTheme="minorHAnsi" w:hAnsiTheme="minorHAnsi" w:cstheme="minorHAnsi"/>
          <w:sz w:val="24"/>
          <w:szCs w:val="24"/>
        </w:rPr>
        <w:tab/>
        <w:t>státní rozpočet</w:t>
      </w:r>
      <w:r w:rsidR="00595FCC">
        <w:rPr>
          <w:rFonts w:asciiTheme="minorHAnsi" w:hAnsiTheme="minorHAnsi" w:cstheme="minorHAnsi"/>
          <w:sz w:val="24"/>
          <w:szCs w:val="24"/>
        </w:rPr>
        <w:t xml:space="preserve"> České republiky</w:t>
      </w:r>
    </w:p>
    <w:p w:rsidR="00094A49"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výzva č. 54</w:t>
      </w:r>
      <w:r>
        <w:rPr>
          <w:rFonts w:asciiTheme="minorHAnsi" w:hAnsiTheme="minorHAnsi" w:cstheme="minorHAnsi"/>
          <w:sz w:val="24"/>
          <w:szCs w:val="24"/>
        </w:rPr>
        <w:tab/>
      </w:r>
      <w:r w:rsidR="00C41368">
        <w:rPr>
          <w:rFonts w:asciiTheme="minorHAnsi" w:hAnsiTheme="minorHAnsi" w:cstheme="minorHAnsi"/>
          <w:sz w:val="24"/>
          <w:szCs w:val="24"/>
        </w:rPr>
        <w:t>v</w:t>
      </w:r>
      <w:r>
        <w:rPr>
          <w:rFonts w:asciiTheme="minorHAnsi" w:hAnsiTheme="minorHAnsi" w:cstheme="minorHAnsi"/>
          <w:sz w:val="24"/>
          <w:szCs w:val="24"/>
        </w:rPr>
        <w:t>ýzva č. 54</w:t>
      </w:r>
      <w:r w:rsidR="00C41368">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sidRPr="000955B0">
        <w:rPr>
          <w:rFonts w:asciiTheme="minorHAnsi" w:hAnsiTheme="minorHAnsi" w:cstheme="minorHAnsi"/>
          <w:i/>
          <w:sz w:val="24"/>
          <w:szCs w:val="24"/>
        </w:rPr>
        <w:t>Deinstitucionalizace</w:t>
      </w:r>
      <w:proofErr w:type="spellEnd"/>
      <w:r w:rsidRPr="000955B0">
        <w:rPr>
          <w:rFonts w:asciiTheme="minorHAnsi" w:hAnsiTheme="minorHAnsi" w:cstheme="minorHAnsi"/>
          <w:i/>
          <w:sz w:val="24"/>
          <w:szCs w:val="24"/>
        </w:rPr>
        <w:t xml:space="preserve"> psychiatrické péče</w:t>
      </w:r>
    </w:p>
    <w:p w:rsidR="00947CCF" w:rsidRDefault="002C761F" w:rsidP="009A31F5">
      <w:pPr>
        <w:keepNext/>
        <w:widowControl/>
        <w:spacing w:after="60"/>
        <w:ind w:left="2835" w:hanging="2835"/>
        <w:rPr>
          <w:rFonts w:asciiTheme="minorHAnsi" w:hAnsiTheme="minorHAnsi" w:cstheme="minorHAnsi"/>
          <w:sz w:val="24"/>
          <w:szCs w:val="24"/>
        </w:rPr>
      </w:pPr>
      <w:r>
        <w:rPr>
          <w:rFonts w:asciiTheme="minorHAnsi" w:hAnsiTheme="minorHAnsi" w:cstheme="minorHAnsi"/>
          <w:sz w:val="24"/>
          <w:szCs w:val="24"/>
        </w:rPr>
        <w:t>výzva č. 75</w:t>
      </w:r>
      <w:r>
        <w:rPr>
          <w:rFonts w:asciiTheme="minorHAnsi" w:hAnsiTheme="minorHAnsi" w:cstheme="minorHAnsi"/>
          <w:sz w:val="24"/>
          <w:szCs w:val="24"/>
        </w:rPr>
        <w:tab/>
      </w:r>
      <w:r w:rsidR="00C41368">
        <w:rPr>
          <w:rFonts w:asciiTheme="minorHAnsi" w:hAnsiTheme="minorHAnsi" w:cstheme="minorHAnsi"/>
          <w:sz w:val="24"/>
          <w:szCs w:val="24"/>
        </w:rPr>
        <w:t>v</w:t>
      </w:r>
      <w:r>
        <w:rPr>
          <w:rFonts w:asciiTheme="minorHAnsi" w:hAnsiTheme="minorHAnsi" w:cstheme="minorHAnsi"/>
          <w:sz w:val="24"/>
          <w:szCs w:val="24"/>
        </w:rPr>
        <w:t>ýzva č. 75</w:t>
      </w:r>
      <w:r w:rsidR="00C41368">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spellStart"/>
      <w:r w:rsidRPr="000955B0">
        <w:rPr>
          <w:rFonts w:asciiTheme="minorHAnsi" w:hAnsiTheme="minorHAnsi" w:cstheme="minorHAnsi"/>
          <w:i/>
          <w:sz w:val="24"/>
          <w:szCs w:val="24"/>
        </w:rPr>
        <w:t>Deinstitucionalizace</w:t>
      </w:r>
      <w:proofErr w:type="spellEnd"/>
      <w:r w:rsidRPr="000955B0">
        <w:rPr>
          <w:rFonts w:asciiTheme="minorHAnsi" w:hAnsiTheme="minorHAnsi" w:cstheme="minorHAnsi"/>
          <w:i/>
          <w:sz w:val="24"/>
          <w:szCs w:val="24"/>
        </w:rPr>
        <w:t xml:space="preserve"> psychiatrické péče II</w:t>
      </w:r>
      <w:r w:rsidR="00EA04A5" w:rsidRPr="000955B0">
        <w:rPr>
          <w:rFonts w:asciiTheme="minorHAnsi" w:hAnsiTheme="minorHAnsi" w:cstheme="minorHAnsi"/>
          <w:i/>
          <w:sz w:val="24"/>
          <w:szCs w:val="24"/>
        </w:rPr>
        <w:t>.</w:t>
      </w:r>
      <w:bookmarkEnd w:id="2"/>
    </w:p>
    <w:p w:rsidR="00F817A3" w:rsidRDefault="00F817A3">
      <w:pPr>
        <w:widowControl/>
        <w:autoSpaceDE/>
        <w:autoSpaceDN/>
        <w:adjustRightInd/>
        <w:spacing w:after="160" w:line="259" w:lineRule="auto"/>
        <w:rPr>
          <w:rFonts w:asciiTheme="minorHAnsi" w:hAnsiTheme="minorHAnsi" w:cstheme="minorHAnsi"/>
          <w:sz w:val="24"/>
          <w:szCs w:val="24"/>
        </w:rPr>
      </w:pPr>
    </w:p>
    <w:p w:rsidR="003A6439" w:rsidRDefault="003A6439" w:rsidP="0042584D">
      <w:pPr>
        <w:widowControl/>
        <w:autoSpaceDE/>
        <w:autoSpaceDN/>
        <w:adjustRightInd/>
        <w:spacing w:after="160" w:line="259" w:lineRule="auto"/>
        <w:rPr>
          <w:rFonts w:asciiTheme="minorHAnsi" w:hAnsiTheme="minorHAnsi" w:cstheme="minorHAnsi"/>
          <w:b/>
          <w:sz w:val="24"/>
          <w:szCs w:val="24"/>
        </w:rPr>
        <w:sectPr w:rsidR="003A6439" w:rsidSect="009648EF">
          <w:headerReference w:type="default" r:id="rId10"/>
          <w:footerReference w:type="default" r:id="rId11"/>
          <w:pgSz w:w="11906" w:h="16838"/>
          <w:pgMar w:top="1417" w:right="1417" w:bottom="1417" w:left="1417" w:header="708" w:footer="708" w:gutter="0"/>
          <w:cols w:space="708"/>
          <w:titlePg/>
          <w:docGrid w:linePitch="360"/>
        </w:sectPr>
      </w:pPr>
    </w:p>
    <w:p w:rsidR="00947CCF" w:rsidRPr="008A3774" w:rsidRDefault="002C761F" w:rsidP="00F817A3">
      <w:pPr>
        <w:widowControl/>
        <w:autoSpaceDE/>
        <w:autoSpaceDN/>
        <w:adjustRightInd/>
        <w:spacing w:after="160" w:line="259" w:lineRule="auto"/>
        <w:jc w:val="right"/>
        <w:rPr>
          <w:rFonts w:asciiTheme="minorHAnsi" w:hAnsiTheme="minorHAnsi" w:cstheme="minorHAnsi"/>
          <w:b/>
          <w:sz w:val="24"/>
          <w:szCs w:val="24"/>
        </w:rPr>
      </w:pPr>
      <w:r w:rsidRPr="008A3774">
        <w:rPr>
          <w:rFonts w:asciiTheme="minorHAnsi" w:hAnsiTheme="minorHAnsi" w:cstheme="minorHAnsi"/>
          <w:b/>
          <w:sz w:val="24"/>
          <w:szCs w:val="24"/>
        </w:rPr>
        <w:lastRenderedPageBreak/>
        <w:t>Příloha č. 1</w:t>
      </w:r>
    </w:p>
    <w:p w:rsidR="00F27121" w:rsidRPr="008A3774" w:rsidRDefault="002C761F" w:rsidP="00F27121">
      <w:pPr>
        <w:widowControl/>
        <w:autoSpaceDE/>
        <w:autoSpaceDN/>
        <w:adjustRightInd/>
        <w:spacing w:after="160" w:line="259" w:lineRule="auto"/>
        <w:jc w:val="center"/>
        <w:rPr>
          <w:rFonts w:asciiTheme="minorHAnsi" w:hAnsiTheme="minorHAnsi" w:cstheme="minorHAnsi"/>
          <w:b/>
          <w:sz w:val="24"/>
          <w:szCs w:val="24"/>
        </w:rPr>
      </w:pPr>
      <w:r w:rsidRPr="008A3774">
        <w:rPr>
          <w:rFonts w:asciiTheme="minorHAnsi" w:hAnsiTheme="minorHAnsi" w:cstheme="minorHAnsi"/>
          <w:b/>
          <w:sz w:val="24"/>
          <w:szCs w:val="24"/>
        </w:rPr>
        <w:t xml:space="preserve">Přehled projektů podpořených z výzvy č. 54 a </w:t>
      </w:r>
      <w:r w:rsidR="00642C69">
        <w:rPr>
          <w:rFonts w:asciiTheme="minorHAnsi" w:hAnsiTheme="minorHAnsi" w:cstheme="minorHAnsi"/>
          <w:b/>
          <w:sz w:val="24"/>
          <w:szCs w:val="24"/>
        </w:rPr>
        <w:t xml:space="preserve">výzvy </w:t>
      </w:r>
      <w:r w:rsidRPr="008A3774">
        <w:rPr>
          <w:rFonts w:asciiTheme="minorHAnsi" w:hAnsiTheme="minorHAnsi" w:cstheme="minorHAnsi"/>
          <w:b/>
          <w:sz w:val="24"/>
          <w:szCs w:val="24"/>
        </w:rPr>
        <w:t>č. 75</w:t>
      </w:r>
    </w:p>
    <w:p w:rsidR="00F817A3" w:rsidRDefault="002C761F" w:rsidP="00F817A3">
      <w:pPr>
        <w:widowControl/>
        <w:autoSpaceDE/>
        <w:autoSpaceDN/>
        <w:adjustRightInd/>
        <w:spacing w:after="160" w:line="259" w:lineRule="auto"/>
        <w:rPr>
          <w:rFonts w:ascii="Calibri" w:hAnsi="Calibri" w:cs="Calibri"/>
          <w:b/>
          <w:sz w:val="24"/>
          <w:szCs w:val="24"/>
          <w:lang w:eastAsia="en-US"/>
        </w:rPr>
      </w:pPr>
      <w:r>
        <w:rPr>
          <w:rFonts w:ascii="Calibri" w:hAnsi="Calibri" w:cs="Calibri"/>
          <w:b/>
          <w:noProof/>
          <w:sz w:val="24"/>
          <w:szCs w:val="24"/>
          <w:lang w:eastAsia="en-US"/>
        </w:rPr>
        <w:drawing>
          <wp:inline distT="0" distB="0" distL="0" distR="0">
            <wp:extent cx="9027957" cy="4516340"/>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546092" name="staticka_mapa_KA_21_17.png"/>
                    <pic:cNvPicPr/>
                  </pic:nvPicPr>
                  <pic:blipFill rotWithShape="1">
                    <a:blip r:embed="rId12" cstate="print">
                      <a:extLst>
                        <a:ext uri="{28A0092B-C50C-407E-A947-70E740481C1C}">
                          <a14:useLocalDpi xmlns:a14="http://schemas.microsoft.com/office/drawing/2010/main" val="0"/>
                        </a:ext>
                      </a:extLst>
                    </a:blip>
                    <a:srcRect l="799" t="3995" r="1046"/>
                    <a:stretch/>
                  </pic:blipFill>
                  <pic:spPr bwMode="auto">
                    <a:xfrm>
                      <a:off x="0" y="0"/>
                      <a:ext cx="9111341" cy="4558054"/>
                    </a:xfrm>
                    <a:prstGeom prst="rect">
                      <a:avLst/>
                    </a:prstGeom>
                    <a:ln>
                      <a:noFill/>
                    </a:ln>
                    <a:extLst>
                      <a:ext uri="{53640926-AAD7-44D8-BBD7-CCE9431645EC}">
                        <a14:shadowObscured xmlns:a14="http://schemas.microsoft.com/office/drawing/2010/main"/>
                      </a:ext>
                    </a:extLst>
                  </pic:spPr>
                </pic:pic>
              </a:graphicData>
            </a:graphic>
          </wp:inline>
        </w:drawing>
      </w:r>
    </w:p>
    <w:p w:rsidR="00C41368" w:rsidRPr="009A31F5" w:rsidRDefault="002C761F" w:rsidP="00C41368">
      <w:pPr>
        <w:widowControl/>
        <w:autoSpaceDE/>
        <w:autoSpaceDN/>
        <w:adjustRightInd/>
        <w:spacing w:after="120"/>
        <w:rPr>
          <w:rFonts w:ascii="Calibri" w:hAnsi="Calibri" w:cs="Calibri"/>
          <w:lang w:eastAsia="en-US"/>
        </w:rPr>
      </w:pPr>
      <w:r w:rsidRPr="009A31F5">
        <w:rPr>
          <w:rFonts w:ascii="Calibri" w:hAnsi="Calibri" w:cs="Calibri"/>
          <w:iCs/>
        </w:rPr>
        <w:t>Interaktivní příloha</w:t>
      </w:r>
      <w:r w:rsidR="008A3774" w:rsidRPr="009A31F5">
        <w:rPr>
          <w:rFonts w:ascii="Calibri" w:hAnsi="Calibri" w:cs="Calibri"/>
          <w:iCs/>
        </w:rPr>
        <w:t>:</w:t>
      </w:r>
      <w:r w:rsidR="00C41368">
        <w:rPr>
          <w:rFonts w:ascii="Calibri" w:hAnsi="Calibri" w:cs="Calibri"/>
          <w:iCs/>
        </w:rPr>
        <w:t xml:space="preserve"> viz</w:t>
      </w:r>
      <w:r w:rsidR="008A3774" w:rsidRPr="009A31F5">
        <w:rPr>
          <w:rFonts w:ascii="Calibri" w:hAnsi="Calibri" w:cs="Calibri"/>
          <w:iCs/>
        </w:rPr>
        <w:t xml:space="preserve"> </w:t>
      </w:r>
      <w:hyperlink r:id="rId13" w:history="1">
        <w:r w:rsidR="008A3774" w:rsidRPr="009A31F5">
          <w:rPr>
            <w:rStyle w:val="Hypertextovodkaz"/>
            <w:rFonts w:ascii="Calibri" w:hAnsi="Calibri" w:cs="Calibri"/>
          </w:rPr>
          <w:t>odkaz</w:t>
        </w:r>
      </w:hyperlink>
      <w:r w:rsidR="00C41368" w:rsidRPr="009A31F5">
        <w:rPr>
          <w:rFonts w:ascii="Calibri" w:hAnsi="Calibri" w:cs="Calibri"/>
          <w:lang w:eastAsia="en-US"/>
        </w:rPr>
        <w:t>.</w:t>
      </w:r>
      <w:r w:rsidR="00C41368" w:rsidRPr="00C41368">
        <w:rPr>
          <w:rFonts w:ascii="Calibri" w:hAnsi="Calibri" w:cs="Calibri"/>
          <w:lang w:eastAsia="en-US"/>
        </w:rPr>
        <w:t xml:space="preserve"> </w:t>
      </w:r>
    </w:p>
    <w:p w:rsidR="0039665F" w:rsidRPr="009A31F5" w:rsidRDefault="0039665F" w:rsidP="009A31F5">
      <w:pPr>
        <w:widowControl/>
        <w:autoSpaceDE/>
        <w:autoSpaceDN/>
        <w:adjustRightInd/>
        <w:spacing w:after="120"/>
        <w:rPr>
          <w:rFonts w:ascii="Calibri" w:hAnsi="Calibri" w:cs="Calibri"/>
          <w:lang w:eastAsia="en-US"/>
        </w:rPr>
      </w:pPr>
      <w:r w:rsidRPr="009A31F5">
        <w:rPr>
          <w:rFonts w:ascii="Calibri" w:hAnsi="Calibri" w:cs="Calibri"/>
          <w:b/>
          <w:lang w:eastAsia="en-US"/>
        </w:rPr>
        <w:t>Zdroj:</w:t>
      </w:r>
      <w:r w:rsidRPr="009A31F5">
        <w:rPr>
          <w:rFonts w:ascii="Calibri" w:hAnsi="Calibri" w:cs="Calibri"/>
          <w:lang w:eastAsia="en-US"/>
        </w:rPr>
        <w:t xml:space="preserve"> </w:t>
      </w:r>
      <w:r w:rsidR="00C41368">
        <w:rPr>
          <w:rFonts w:ascii="Calibri" w:hAnsi="Calibri" w:cs="Calibri"/>
          <w:lang w:eastAsia="en-US"/>
        </w:rPr>
        <w:t>vypracoval NKÚ</w:t>
      </w:r>
      <w:r w:rsidR="001D5721" w:rsidRPr="009A31F5">
        <w:rPr>
          <w:rFonts w:ascii="Calibri" w:hAnsi="Calibri" w:cs="Calibri"/>
          <w:lang w:eastAsia="en-US"/>
        </w:rPr>
        <w:t xml:space="preserve"> na základě dat z</w:t>
      </w:r>
      <w:r w:rsidR="00833A64" w:rsidRPr="009A31F5">
        <w:rPr>
          <w:rFonts w:ascii="Calibri" w:hAnsi="Calibri" w:cs="Calibri"/>
          <w:lang w:eastAsia="en-US"/>
        </w:rPr>
        <w:t xml:space="preserve"> IS </w:t>
      </w:r>
      <w:r w:rsidR="001D5721" w:rsidRPr="009A31F5">
        <w:rPr>
          <w:rFonts w:ascii="Calibri" w:hAnsi="Calibri" w:cs="Calibri"/>
          <w:lang w:eastAsia="en-US"/>
        </w:rPr>
        <w:t>MS2014+.</w:t>
      </w:r>
    </w:p>
    <w:sectPr w:rsidR="0039665F" w:rsidRPr="009A31F5" w:rsidSect="003A643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408" w:rsidRDefault="00573408">
      <w:r>
        <w:separator/>
      </w:r>
    </w:p>
  </w:endnote>
  <w:endnote w:type="continuationSeparator" w:id="0">
    <w:p w:rsidR="00573408" w:rsidRDefault="00573408">
      <w:r>
        <w:continuationSeparator/>
      </w:r>
    </w:p>
  </w:endnote>
  <w:endnote w:type="continuationNotice" w:id="1">
    <w:p w:rsidR="00303580" w:rsidRDefault="00303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283469"/>
      <w:docPartObj>
        <w:docPartGallery w:val="Page Numbers (Bottom of Page)"/>
        <w:docPartUnique/>
      </w:docPartObj>
    </w:sdtPr>
    <w:sdtEndPr>
      <w:rPr>
        <w:rFonts w:ascii="Calibri" w:hAnsi="Calibri" w:cs="Calibri"/>
        <w:sz w:val="24"/>
      </w:rPr>
    </w:sdtEndPr>
    <w:sdtContent>
      <w:p w:rsidR="00573408" w:rsidRPr="00091A0B" w:rsidRDefault="00573408" w:rsidP="00091A0B">
        <w:pPr>
          <w:pStyle w:val="Zpat"/>
          <w:jc w:val="center"/>
          <w:rPr>
            <w:rFonts w:ascii="Calibri" w:hAnsi="Calibri" w:cs="Calibri"/>
            <w:sz w:val="24"/>
          </w:rPr>
        </w:pPr>
        <w:r w:rsidRPr="00091A0B">
          <w:rPr>
            <w:rFonts w:ascii="Calibri" w:hAnsi="Calibri" w:cs="Calibri"/>
            <w:sz w:val="24"/>
          </w:rPr>
          <w:fldChar w:fldCharType="begin"/>
        </w:r>
        <w:r w:rsidRPr="00091A0B">
          <w:rPr>
            <w:rFonts w:ascii="Calibri" w:hAnsi="Calibri" w:cs="Calibri"/>
            <w:sz w:val="24"/>
          </w:rPr>
          <w:instrText>PAGE   \* MERGEFORMAT</w:instrText>
        </w:r>
        <w:r w:rsidRPr="00091A0B">
          <w:rPr>
            <w:rFonts w:ascii="Calibri" w:hAnsi="Calibri" w:cs="Calibri"/>
            <w:sz w:val="24"/>
          </w:rPr>
          <w:fldChar w:fldCharType="separate"/>
        </w:r>
        <w:r w:rsidRPr="00091A0B">
          <w:rPr>
            <w:rFonts w:ascii="Calibri" w:hAnsi="Calibri" w:cs="Calibri"/>
            <w:sz w:val="24"/>
          </w:rPr>
          <w:t>17</w:t>
        </w:r>
        <w:r w:rsidRPr="00091A0B">
          <w:rPr>
            <w:rFonts w:ascii="Calibri" w:hAnsi="Calibri" w:cs="Calibri"/>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408" w:rsidRDefault="00573408" w:rsidP="00246D13">
      <w:r>
        <w:separator/>
      </w:r>
    </w:p>
  </w:footnote>
  <w:footnote w:type="continuationSeparator" w:id="0">
    <w:p w:rsidR="00573408" w:rsidRDefault="00573408" w:rsidP="00246D13">
      <w:r>
        <w:continuationSeparator/>
      </w:r>
    </w:p>
  </w:footnote>
  <w:footnote w:type="continuationNotice" w:id="1">
    <w:p w:rsidR="00303580" w:rsidRDefault="00303580"/>
  </w:footnote>
  <w:footnote w:id="2">
    <w:p w:rsidR="00573408" w:rsidRDefault="00573408" w:rsidP="00A774C4">
      <w:pPr>
        <w:pStyle w:val="Textpoznpodarou"/>
        <w:ind w:left="284" w:hanging="284"/>
      </w:pPr>
      <w:r>
        <w:rPr>
          <w:rStyle w:val="Znakapoznpodarou"/>
        </w:rPr>
        <w:footnoteRef/>
      </w:r>
      <w:r>
        <w:t xml:space="preserve"> </w:t>
      </w:r>
      <w:r>
        <w:tab/>
        <w:t>Evropský fond pro regionální rozvoj.</w:t>
      </w:r>
    </w:p>
  </w:footnote>
  <w:footnote w:id="3">
    <w:p w:rsidR="00573408" w:rsidRDefault="00573408" w:rsidP="00A774C4">
      <w:pPr>
        <w:pStyle w:val="Textpoznpodarou"/>
        <w:ind w:left="284" w:hanging="284"/>
      </w:pPr>
      <w:r>
        <w:rPr>
          <w:rStyle w:val="Znakapoznpodarou"/>
        </w:rPr>
        <w:footnoteRef/>
      </w:r>
      <w:r>
        <w:t xml:space="preserve"> </w:t>
      </w:r>
      <w:r>
        <w:tab/>
        <w:t>Státní rozpočet České republiky.</w:t>
      </w:r>
    </w:p>
  </w:footnote>
  <w:footnote w:id="4">
    <w:p w:rsidR="00573408" w:rsidRDefault="00573408" w:rsidP="00A774C4">
      <w:pPr>
        <w:pStyle w:val="Textpoznpodarou"/>
        <w:ind w:left="284" w:hanging="284"/>
      </w:pPr>
      <w:r>
        <w:rPr>
          <w:rStyle w:val="Znakapoznpodarou"/>
        </w:rPr>
        <w:footnoteRef/>
      </w:r>
      <w:r>
        <w:t xml:space="preserve"> </w:t>
      </w:r>
      <w:r>
        <w:tab/>
      </w:r>
      <w:r w:rsidRPr="000955B0">
        <w:rPr>
          <w:i/>
        </w:rPr>
        <w:t>Integrovaný regionální operační program</w:t>
      </w:r>
      <w:r>
        <w:t>.</w:t>
      </w:r>
    </w:p>
  </w:footnote>
  <w:footnote w:id="5">
    <w:p w:rsidR="00573408" w:rsidRDefault="00573408" w:rsidP="00EA7B40">
      <w:pPr>
        <w:pStyle w:val="Textpoznpodarou"/>
        <w:ind w:left="284" w:hanging="284"/>
      </w:pPr>
      <w:r>
        <w:rPr>
          <w:rStyle w:val="Znakapoznpodarou"/>
        </w:rPr>
        <w:footnoteRef/>
      </w:r>
      <w:r>
        <w:t xml:space="preserve"> </w:t>
      </w:r>
      <w:r>
        <w:tab/>
        <w:t xml:space="preserve">Příspěvkové organizace </w:t>
      </w:r>
      <w:proofErr w:type="spellStart"/>
      <w:r>
        <w:t>MZd</w:t>
      </w:r>
      <w:proofErr w:type="spellEnd"/>
      <w:r>
        <w:t xml:space="preserve">, jejichž projekty byly ze strany </w:t>
      </w:r>
      <w:proofErr w:type="spellStart"/>
      <w:r>
        <w:t>MZd</w:t>
      </w:r>
      <w:proofErr w:type="spellEnd"/>
      <w:r>
        <w:t xml:space="preserve"> předfinancovány.</w:t>
      </w:r>
    </w:p>
  </w:footnote>
  <w:footnote w:id="6">
    <w:p w:rsidR="00573408" w:rsidRDefault="00573408" w:rsidP="00EA7B40">
      <w:pPr>
        <w:pStyle w:val="Textpoznpodarou"/>
        <w:ind w:left="284" w:hanging="284"/>
      </w:pPr>
      <w:r>
        <w:rPr>
          <w:rStyle w:val="Znakapoznpodarou"/>
        </w:rPr>
        <w:footnoteRef/>
      </w:r>
      <w:r>
        <w:t xml:space="preserve"> </w:t>
      </w:r>
      <w:r>
        <w:tab/>
        <w:t>Osoby s diagnózou ze skupiny F20-F29 (schizofrenie).</w:t>
      </w:r>
    </w:p>
  </w:footnote>
  <w:footnote w:id="7">
    <w:p w:rsidR="00573408" w:rsidRDefault="00573408" w:rsidP="00EA7B40">
      <w:pPr>
        <w:pStyle w:val="Textpoznpodarou"/>
        <w:ind w:left="284" w:hanging="284"/>
      </w:pPr>
      <w:r>
        <w:rPr>
          <w:rStyle w:val="Znakapoznpodarou"/>
        </w:rPr>
        <w:footnoteRef/>
      </w:r>
      <w:r>
        <w:t xml:space="preserve"> </w:t>
      </w:r>
      <w:r>
        <w:tab/>
        <w:t>Ustanovení § 39 odst. 3 zákona č. 218/2000 Sb., o rozpočtových pravidlech a o změně některých souvisejících zákonů (rozpočtová pravidla).</w:t>
      </w:r>
    </w:p>
  </w:footnote>
  <w:footnote w:id="8">
    <w:p w:rsidR="00573408" w:rsidRDefault="00573408" w:rsidP="00EA7B40">
      <w:pPr>
        <w:pStyle w:val="Textpoznpodarou"/>
        <w:ind w:left="284" w:hanging="284"/>
      </w:pPr>
      <w:r>
        <w:rPr>
          <w:rStyle w:val="Znakapoznpodarou"/>
        </w:rPr>
        <w:footnoteRef/>
      </w:r>
      <w:r>
        <w:t xml:space="preserve"> </w:t>
      </w:r>
      <w:r>
        <w:tab/>
        <w:t>Tyto projekty</w:t>
      </w:r>
      <w:r w:rsidRPr="00BA2473">
        <w:t xml:space="preserve"> </w:t>
      </w:r>
      <w:r w:rsidRPr="000270B8">
        <w:t xml:space="preserve">byly </w:t>
      </w:r>
      <w:r w:rsidRPr="0032200D">
        <w:t xml:space="preserve">realizovány v rámci podpory </w:t>
      </w:r>
      <w:proofErr w:type="spellStart"/>
      <w:r w:rsidRPr="0032200D">
        <w:t>deinstitucionalizace</w:t>
      </w:r>
      <w:proofErr w:type="spellEnd"/>
      <w:r w:rsidRPr="0032200D">
        <w:t xml:space="preserve"> psychiatrické péče.</w:t>
      </w:r>
    </w:p>
  </w:footnote>
  <w:footnote w:id="9">
    <w:p w:rsidR="00573408" w:rsidRDefault="00573408" w:rsidP="00EA7B40">
      <w:pPr>
        <w:pStyle w:val="Textpoznpodarou"/>
        <w:ind w:left="284" w:hanging="284"/>
      </w:pPr>
      <w:r>
        <w:rPr>
          <w:rStyle w:val="Znakapoznpodarou"/>
        </w:rPr>
        <w:footnoteRef/>
      </w:r>
      <w:r>
        <w:t xml:space="preserve"> </w:t>
      </w:r>
      <w:r>
        <w:tab/>
        <w:t>Ustanovení § 4 zákona č. 320/2001 Sb., o finanční kontrole ve veřejné správě a o změně některých zákonů (zákon o finanční kontrole).</w:t>
      </w:r>
    </w:p>
  </w:footnote>
  <w:footnote w:id="10">
    <w:p w:rsidR="00573408" w:rsidRDefault="00573408" w:rsidP="00C839B2">
      <w:pPr>
        <w:pStyle w:val="Textpoznpodarou"/>
        <w:ind w:left="284" w:hanging="284"/>
      </w:pPr>
      <w:r>
        <w:rPr>
          <w:rStyle w:val="Znakapoznpodarou"/>
        </w:rPr>
        <w:footnoteRef/>
      </w:r>
      <w:r>
        <w:t xml:space="preserve"> </w:t>
      </w:r>
      <w:r>
        <w:tab/>
      </w:r>
      <w:r w:rsidRPr="008A7A42">
        <w:t>Zákon České národní rady č. 2/1969 Sb., o zřízení ministerstev a jiných ústředních orgánů státní správy České republiky.</w:t>
      </w:r>
    </w:p>
  </w:footnote>
  <w:footnote w:id="11">
    <w:p w:rsidR="00573408" w:rsidRDefault="00573408" w:rsidP="00C839B2">
      <w:pPr>
        <w:pStyle w:val="Textpoznpodarou"/>
        <w:ind w:left="284" w:hanging="284"/>
      </w:pPr>
      <w:r>
        <w:rPr>
          <w:rStyle w:val="Znakapoznpodarou"/>
        </w:rPr>
        <w:footnoteRef/>
      </w:r>
      <w:r>
        <w:t xml:space="preserve"> </w:t>
      </w:r>
      <w:r>
        <w:tab/>
        <w:t xml:space="preserve">Ustanovení § </w:t>
      </w:r>
      <w:proofErr w:type="gramStart"/>
      <w:r>
        <w:t>14a</w:t>
      </w:r>
      <w:proofErr w:type="gramEnd"/>
      <w:r>
        <w:t xml:space="preserve"> z</w:t>
      </w:r>
      <w:r w:rsidRPr="009535AC">
        <w:t>ákon</w:t>
      </w:r>
      <w:r>
        <w:t>a</w:t>
      </w:r>
      <w:r w:rsidRPr="009535AC">
        <w:t xml:space="preserve"> č. 248/2000 Sb., o podpoře regionálního rozvoje.</w:t>
      </w:r>
    </w:p>
  </w:footnote>
  <w:footnote w:id="12">
    <w:p w:rsidR="00573408" w:rsidRDefault="00573408" w:rsidP="00C839B2">
      <w:pPr>
        <w:pStyle w:val="Textpoznpodarou"/>
        <w:ind w:left="284" w:hanging="284"/>
      </w:pPr>
      <w:r>
        <w:rPr>
          <w:rStyle w:val="Znakapoznpodarou"/>
        </w:rPr>
        <w:footnoteRef/>
      </w:r>
      <w:r>
        <w:t xml:space="preserve"> </w:t>
      </w:r>
      <w:r>
        <w:tab/>
        <w:t xml:space="preserve">Oprávněnými žadateli jsou: příspěvkové organizace zřizované </w:t>
      </w:r>
      <w:proofErr w:type="spellStart"/>
      <w:r>
        <w:t>MZd</w:t>
      </w:r>
      <w:proofErr w:type="spellEnd"/>
      <w:r>
        <w:t>, kraje, obce, dobrovolné svazky obcí, organizace zřizované kraji, organizace zřizované obcemi, organizace zřizované dobrovolnými svazky obcí, organizace zakládané kraji, organizace zakládané obcemi, organizace zakládané dobrovolnými svazky obcí, nestátní neziskové organizace, církve, církevní organizace, obchodní společnosti poskytující veřejnou službu v oblasti zdravotní péče podle zákona č. 372/2011 Sb., o zdravotních službách a podmínkách jejich poskytování, další subjekty poskytující veřejnou službu v oblasti zdravotní péče podle zákona č. 372/2011 Sb.</w:t>
      </w:r>
    </w:p>
  </w:footnote>
  <w:footnote w:id="13">
    <w:p w:rsidR="00573408" w:rsidRPr="00A06497" w:rsidRDefault="00573408" w:rsidP="00A06497">
      <w:pPr>
        <w:pStyle w:val="Textpoznpodarou"/>
        <w:ind w:left="284" w:hanging="284"/>
        <w:jc w:val="left"/>
        <w:rPr>
          <w:rFonts w:cs="Calibri"/>
        </w:rPr>
      </w:pPr>
      <w:r w:rsidRPr="00A06497">
        <w:rPr>
          <w:rStyle w:val="Znakapoznpodarou"/>
          <w:rFonts w:cs="Calibri"/>
        </w:rPr>
        <w:footnoteRef/>
      </w:r>
      <w:r w:rsidRPr="00A06497">
        <w:rPr>
          <w:rFonts w:cs="Calibri"/>
        </w:rPr>
        <w:t xml:space="preserve"> </w:t>
      </w:r>
      <w:r>
        <w:rPr>
          <w:rFonts w:cs="Calibri"/>
        </w:rPr>
        <w:tab/>
      </w:r>
      <w:r w:rsidRPr="00A06497">
        <w:rPr>
          <w:rFonts w:eastAsiaTheme="minorHAnsi" w:cs="Calibri"/>
        </w:rPr>
        <w:t>135V032001701 – PN Dobřany – stavební úpravy a přístavba objektu č.</w:t>
      </w:r>
      <w:r>
        <w:rPr>
          <w:rFonts w:eastAsiaTheme="minorHAnsi" w:cs="Calibri"/>
        </w:rPr>
        <w:t> </w:t>
      </w:r>
      <w:r w:rsidRPr="00A06497">
        <w:rPr>
          <w:rFonts w:eastAsiaTheme="minorHAnsi" w:cs="Calibri"/>
        </w:rPr>
        <w:t xml:space="preserve">p. 464 – pavilon 32; </w:t>
      </w:r>
      <w:r>
        <w:rPr>
          <w:rFonts w:eastAsiaTheme="minorHAnsi" w:cs="Calibri"/>
        </w:rPr>
        <w:br/>
      </w:r>
      <w:r w:rsidRPr="00A06497">
        <w:rPr>
          <w:rFonts w:eastAsiaTheme="minorHAnsi" w:cs="Calibri"/>
        </w:rPr>
        <w:t>135V032001702 – PN Opava – stavební úpravy dětského oddělení; 135V032001809 – PN Jihlava – rekonstrukce 3. NP pavilonu 4; 135V032001912 – PL Červený Dvůr – dokončení rekonstrukce pavilonu C.</w:t>
      </w:r>
    </w:p>
  </w:footnote>
  <w:footnote w:id="14">
    <w:p w:rsidR="00573408" w:rsidRPr="00A06497" w:rsidRDefault="00573408" w:rsidP="00A06497">
      <w:pPr>
        <w:pStyle w:val="Textpoznpodarou"/>
        <w:ind w:left="284" w:hanging="284"/>
        <w:jc w:val="left"/>
        <w:rPr>
          <w:rFonts w:cs="Calibri"/>
        </w:rPr>
      </w:pPr>
      <w:r w:rsidRPr="00A06497">
        <w:rPr>
          <w:rStyle w:val="Znakapoznpodarou"/>
          <w:rFonts w:cs="Calibri"/>
        </w:rPr>
        <w:footnoteRef/>
      </w:r>
      <w:r w:rsidRPr="00A06497">
        <w:rPr>
          <w:rFonts w:cs="Calibri"/>
        </w:rPr>
        <w:t xml:space="preserve"> </w:t>
      </w:r>
      <w:r>
        <w:rPr>
          <w:rFonts w:cs="Calibri"/>
        </w:rPr>
        <w:tab/>
      </w:r>
      <w:r w:rsidRPr="00A06497">
        <w:rPr>
          <w:rFonts w:cs="Calibri"/>
          <w:color w:val="000000"/>
        </w:rPr>
        <w:t xml:space="preserve">CZ.06.2.56/0.0/0.0/16_048/0002537 </w:t>
      </w:r>
      <w:r w:rsidRPr="00A06497">
        <w:rPr>
          <w:rFonts w:eastAsiaTheme="minorHAnsi" w:cs="Calibri"/>
        </w:rPr>
        <w:t>–</w:t>
      </w:r>
      <w:r w:rsidRPr="00A06497">
        <w:rPr>
          <w:rFonts w:cs="Calibri"/>
          <w:color w:val="000000"/>
        </w:rPr>
        <w:t xml:space="preserve"> Centrum komplexní psychiatrické péče Brno; CZ.06.2.56/0.0/0.0/17_096/0012499 </w:t>
      </w:r>
      <w:r w:rsidRPr="00A06497">
        <w:rPr>
          <w:rFonts w:eastAsiaTheme="minorHAnsi" w:cs="Calibri"/>
        </w:rPr>
        <w:t>–</w:t>
      </w:r>
      <w:r w:rsidRPr="00A06497">
        <w:rPr>
          <w:rFonts w:cs="Calibri"/>
          <w:color w:val="000000"/>
        </w:rPr>
        <w:t xml:space="preserve"> FN Ostrava – Výstavba budovy pro psychiatrickou péči.</w:t>
      </w:r>
    </w:p>
  </w:footnote>
  <w:footnote w:id="15">
    <w:p w:rsidR="00573408" w:rsidRPr="00A06497" w:rsidRDefault="00573408" w:rsidP="00A06497">
      <w:pPr>
        <w:widowControl/>
        <w:ind w:left="284" w:hanging="284"/>
        <w:rPr>
          <w:rFonts w:ascii="Calibri" w:eastAsiaTheme="minorHAnsi" w:hAnsi="Calibri" w:cs="Calibri"/>
          <w:lang w:eastAsia="en-US"/>
        </w:rPr>
      </w:pPr>
      <w:r w:rsidRPr="00A06497">
        <w:rPr>
          <w:rStyle w:val="Znakapoznpodarou"/>
          <w:rFonts w:ascii="Calibri" w:hAnsi="Calibri" w:cs="Calibri"/>
        </w:rPr>
        <w:footnoteRef/>
      </w:r>
      <w:r w:rsidRPr="00A06497">
        <w:rPr>
          <w:rFonts w:ascii="Calibri" w:hAnsi="Calibri" w:cs="Calibri"/>
        </w:rPr>
        <w:t xml:space="preserve"> </w:t>
      </w:r>
      <w:r>
        <w:rPr>
          <w:rFonts w:ascii="Calibri" w:hAnsi="Calibri" w:cs="Calibri"/>
        </w:rPr>
        <w:tab/>
      </w:r>
      <w:r w:rsidRPr="00A06497">
        <w:rPr>
          <w:rFonts w:ascii="Calibri" w:eastAsiaTheme="minorHAnsi" w:hAnsi="Calibri" w:cs="Calibri"/>
          <w:lang w:eastAsia="en-US"/>
        </w:rPr>
        <w:t xml:space="preserve">CZ.06.2.56/0.0/0.0/16_048/0002537 </w:t>
      </w:r>
      <w:r w:rsidRPr="00A06497">
        <w:rPr>
          <w:rFonts w:eastAsiaTheme="minorHAnsi" w:cs="Calibri"/>
        </w:rPr>
        <w:t>–</w:t>
      </w:r>
      <w:r w:rsidRPr="00A06497">
        <w:rPr>
          <w:rFonts w:ascii="Calibri" w:eastAsiaTheme="minorHAnsi" w:hAnsi="Calibri" w:cs="Calibri"/>
          <w:lang w:eastAsia="en-US"/>
        </w:rPr>
        <w:t xml:space="preserve"> Centrum komplexní psychiatrické péče Brno; CZ.06.2.56/0.0/0.0/16_048/0002541 </w:t>
      </w:r>
      <w:r w:rsidRPr="00A06497">
        <w:rPr>
          <w:rFonts w:eastAsiaTheme="minorHAnsi" w:cs="Calibri"/>
        </w:rPr>
        <w:t>–</w:t>
      </w:r>
      <w:r w:rsidRPr="00A06497">
        <w:rPr>
          <w:rFonts w:ascii="Calibri" w:eastAsiaTheme="minorHAnsi" w:hAnsi="Calibri" w:cs="Calibri"/>
          <w:lang w:eastAsia="en-US"/>
        </w:rPr>
        <w:t xml:space="preserve"> </w:t>
      </w:r>
      <w:r w:rsidRPr="00A06497">
        <w:rPr>
          <w:rFonts w:ascii="Calibri" w:hAnsi="Calibri" w:cs="Calibri"/>
        </w:rPr>
        <w:t>Restrukturalizace a rekonstrukce akutního psychiatrického oddělení Nemocnice České Budějovice, a.s.</w:t>
      </w:r>
      <w:r>
        <w:rPr>
          <w:rFonts w:ascii="Calibri" w:hAnsi="Calibri" w:cs="Calibri"/>
        </w:rPr>
        <w:t>,</w:t>
      </w:r>
      <w:r w:rsidRPr="00A06497">
        <w:rPr>
          <w:rFonts w:ascii="Calibri" w:hAnsi="Calibri" w:cs="Calibri"/>
        </w:rPr>
        <w:t xml:space="preserve"> v rámci </w:t>
      </w:r>
      <w:proofErr w:type="spellStart"/>
      <w:r w:rsidRPr="00A06497">
        <w:rPr>
          <w:rFonts w:ascii="Calibri" w:hAnsi="Calibri" w:cs="Calibri"/>
        </w:rPr>
        <w:t>deinstitucionalizace</w:t>
      </w:r>
      <w:proofErr w:type="spellEnd"/>
      <w:r w:rsidRPr="00A06497">
        <w:rPr>
          <w:rFonts w:ascii="Calibri" w:hAnsi="Calibri" w:cs="Calibri"/>
        </w:rPr>
        <w:t xml:space="preserve"> psychiatrické péče Jihočeského kraje; </w:t>
      </w:r>
      <w:r w:rsidRPr="00A06497">
        <w:rPr>
          <w:rFonts w:ascii="Calibri" w:eastAsiaTheme="minorHAnsi" w:hAnsi="Calibri" w:cs="Calibri"/>
          <w:lang w:eastAsia="en-US"/>
        </w:rPr>
        <w:t xml:space="preserve">CZ.06.2.56/0.0/0.0/16_048/0004463 </w:t>
      </w:r>
      <w:r w:rsidRPr="00A06497">
        <w:rPr>
          <w:rFonts w:eastAsiaTheme="minorHAnsi" w:cs="Calibri"/>
        </w:rPr>
        <w:t>–</w:t>
      </w:r>
      <w:r w:rsidRPr="00A06497">
        <w:rPr>
          <w:rFonts w:ascii="Calibri" w:eastAsiaTheme="minorHAnsi" w:hAnsi="Calibri" w:cs="Calibri"/>
          <w:lang w:eastAsia="en-US"/>
        </w:rPr>
        <w:t xml:space="preserve"> Centrum duševního zdraví RIAPS Trutnov; CZ.06.2.56/0.0/0.0/17_096/0008594 </w:t>
      </w:r>
      <w:r w:rsidRPr="00A06497">
        <w:rPr>
          <w:rFonts w:eastAsiaTheme="minorHAnsi" w:cs="Calibri"/>
        </w:rPr>
        <w:t>–</w:t>
      </w:r>
      <w:r w:rsidRPr="00A06497">
        <w:rPr>
          <w:rFonts w:ascii="Calibri" w:eastAsiaTheme="minorHAnsi" w:hAnsi="Calibri" w:cs="Calibri"/>
          <w:lang w:eastAsia="en-US"/>
        </w:rPr>
        <w:t xml:space="preserve"> Rozšířená ambulantní péče pro osoby s duševním onemocněním v Říčanech u Prahy; CZ.06.2.56/0.0/0.0/17_096/0009676 </w:t>
      </w:r>
      <w:r w:rsidRPr="00A06497">
        <w:rPr>
          <w:rFonts w:eastAsiaTheme="minorHAnsi" w:cs="Calibri"/>
        </w:rPr>
        <w:t>–</w:t>
      </w:r>
      <w:r w:rsidRPr="00A06497">
        <w:rPr>
          <w:rFonts w:ascii="Calibri" w:eastAsiaTheme="minorHAnsi" w:hAnsi="Calibri" w:cs="Calibri"/>
          <w:lang w:eastAsia="en-US"/>
        </w:rPr>
        <w:t xml:space="preserve"> Psychiatrická ambulance a stacionář </w:t>
      </w:r>
      <w:r w:rsidRPr="00A06497">
        <w:rPr>
          <w:rFonts w:eastAsiaTheme="minorHAnsi" w:cs="Calibri"/>
        </w:rPr>
        <w:t>–</w:t>
      </w:r>
      <w:r w:rsidRPr="00A06497">
        <w:rPr>
          <w:rFonts w:ascii="Calibri" w:eastAsiaTheme="minorHAnsi" w:hAnsi="Calibri" w:cs="Calibri"/>
          <w:lang w:eastAsia="en-US"/>
        </w:rPr>
        <w:t xml:space="preserve"> AGE Centrum Olomouc; CZ.06.2.56/0.0/0.0/17_096/0012499 </w:t>
      </w:r>
      <w:r w:rsidRPr="00A06497">
        <w:rPr>
          <w:rFonts w:eastAsiaTheme="minorHAnsi" w:cs="Calibri"/>
        </w:rPr>
        <w:t>–</w:t>
      </w:r>
      <w:r w:rsidRPr="00A06497">
        <w:rPr>
          <w:rFonts w:ascii="Calibri" w:eastAsiaTheme="minorHAnsi" w:hAnsi="Calibri" w:cs="Calibri"/>
          <w:lang w:eastAsia="en-US"/>
        </w:rPr>
        <w:t xml:space="preserve"> FN Ostrava </w:t>
      </w:r>
      <w:r w:rsidRPr="00A06497">
        <w:rPr>
          <w:rFonts w:eastAsiaTheme="minorHAnsi" w:cs="Calibri"/>
        </w:rPr>
        <w:t>–</w:t>
      </w:r>
      <w:r w:rsidRPr="00A06497">
        <w:rPr>
          <w:rFonts w:ascii="Calibri" w:eastAsiaTheme="minorHAnsi" w:hAnsi="Calibri" w:cs="Calibri"/>
          <w:lang w:eastAsia="en-US"/>
        </w:rPr>
        <w:t xml:space="preserve"> Výstavba budovy pro psychiatrickou péči.</w:t>
      </w:r>
    </w:p>
  </w:footnote>
  <w:footnote w:id="16">
    <w:p w:rsidR="00573408" w:rsidRDefault="00573408" w:rsidP="00A06497">
      <w:pPr>
        <w:pStyle w:val="Textpoznpodarou"/>
        <w:ind w:left="284" w:hanging="284"/>
      </w:pPr>
      <w:r>
        <w:rPr>
          <w:rStyle w:val="Znakapoznpodarou"/>
        </w:rPr>
        <w:footnoteRef/>
      </w:r>
      <w:r>
        <w:t xml:space="preserve"> </w:t>
      </w:r>
      <w:r>
        <w:tab/>
        <w:t>Lůžka umístěná zejména v psychiatrických nemocnicích (resp. v léčebnách).</w:t>
      </w:r>
    </w:p>
  </w:footnote>
  <w:footnote w:id="17">
    <w:p w:rsidR="00573408" w:rsidRDefault="00573408" w:rsidP="007B461F">
      <w:pPr>
        <w:pStyle w:val="Textpoznpodarou"/>
        <w:ind w:left="284" w:hanging="284"/>
      </w:pPr>
      <w:r>
        <w:rPr>
          <w:rStyle w:val="Znakapoznpodarou"/>
        </w:rPr>
        <w:footnoteRef/>
      </w:r>
      <w:r>
        <w:t xml:space="preserve"> </w:t>
      </w:r>
      <w:r>
        <w:tab/>
        <w:t>Z</w:t>
      </w:r>
      <w:r w:rsidRPr="00244AA6">
        <w:t>ákon č. 255/2012 Sb</w:t>
      </w:r>
      <w:r>
        <w:t>., o kontrole (kontrolní řád).</w:t>
      </w:r>
    </w:p>
  </w:footnote>
  <w:footnote w:id="18">
    <w:p w:rsidR="00573408" w:rsidRPr="00D833EC" w:rsidRDefault="00573408" w:rsidP="00D833EC">
      <w:pPr>
        <w:ind w:left="284" w:hanging="284"/>
        <w:jc w:val="both"/>
        <w:rPr>
          <w:rFonts w:ascii="Calibri" w:hAnsi="Calibri" w:cs="Calibri"/>
        </w:rPr>
      </w:pPr>
      <w:r w:rsidRPr="00D833EC">
        <w:rPr>
          <w:rStyle w:val="Znakapoznpodarou"/>
          <w:rFonts w:ascii="Calibri" w:hAnsi="Calibri" w:cs="Calibri"/>
        </w:rPr>
        <w:footnoteRef/>
      </w:r>
      <w:r w:rsidRPr="00D833EC">
        <w:rPr>
          <w:rFonts w:ascii="Calibri" w:hAnsi="Calibri" w:cs="Calibri"/>
        </w:rPr>
        <w:t xml:space="preserve"> </w:t>
      </w:r>
      <w:r>
        <w:rPr>
          <w:rFonts w:ascii="Calibri" w:hAnsi="Calibri" w:cs="Calibri"/>
        </w:rPr>
        <w:tab/>
      </w:r>
      <w:r w:rsidRPr="00D833EC">
        <w:rPr>
          <w:rFonts w:ascii="Calibri" w:hAnsi="Calibri" w:cs="Calibri"/>
        </w:rPr>
        <w:t xml:space="preserve">Dle podmínek, které stanovilo </w:t>
      </w:r>
      <w:proofErr w:type="spellStart"/>
      <w:r w:rsidRPr="00D833EC">
        <w:rPr>
          <w:rFonts w:ascii="Calibri" w:hAnsi="Calibri" w:cs="Calibri"/>
        </w:rPr>
        <w:t>MZd</w:t>
      </w:r>
      <w:proofErr w:type="spellEnd"/>
      <w:r w:rsidRPr="00D833EC">
        <w:rPr>
          <w:rFonts w:ascii="Calibri" w:hAnsi="Calibri" w:cs="Calibri"/>
        </w:rPr>
        <w:t xml:space="preserve"> v dokumentaci programu, měly být finanční potřeby akcí kalkulovány v souladu se </w:t>
      </w:r>
      <w:r w:rsidRPr="00D833EC">
        <w:rPr>
          <w:rFonts w:ascii="Calibri" w:hAnsi="Calibri" w:cs="Calibri"/>
          <w:i/>
        </w:rPr>
        <w:t>Standardizací zdravotnických provozů a jejich cen za stanovenou měrnou jednotku</w:t>
      </w:r>
      <w:r w:rsidRPr="00D833EC">
        <w:rPr>
          <w:rFonts w:ascii="Calibri" w:hAnsi="Calibri" w:cs="Calibri"/>
        </w:rPr>
        <w:t xml:space="preserve"> (dále také „Standardizace“), ačkoli byla naposledy aktualizována v roce 2007, tj. devět let před zahájením programu rozvoje a obnovy. Většina parametrů stanovených v řídicí dokumentaci jednotlivých kontrolovaných akcí i</w:t>
      </w:r>
      <w:r>
        <w:rPr>
          <w:rFonts w:ascii="Calibri" w:hAnsi="Calibri" w:cs="Calibri"/>
        </w:rPr>
        <w:t> </w:t>
      </w:r>
      <w:r w:rsidRPr="00D833EC">
        <w:rPr>
          <w:rFonts w:ascii="Calibri" w:hAnsi="Calibri" w:cs="Calibri"/>
        </w:rPr>
        <w:t xml:space="preserve">dokumentaci programu se ve Standardizaci vůbec nenachází. Kalkulaci finančních potřeb tedy prakticky nelze provést. </w:t>
      </w:r>
      <w:proofErr w:type="spellStart"/>
      <w:r w:rsidRPr="00D833EC">
        <w:rPr>
          <w:rFonts w:ascii="Calibri" w:hAnsi="Calibri" w:cs="Calibri"/>
        </w:rPr>
        <w:t>MZd</w:t>
      </w:r>
      <w:proofErr w:type="spellEnd"/>
      <w:r w:rsidRPr="00D833EC">
        <w:rPr>
          <w:rFonts w:ascii="Calibri" w:hAnsi="Calibri" w:cs="Calibri"/>
        </w:rPr>
        <w:t> navíc dle dokumentace programu používalo Standardizaci při stanovení potřebné výše finančních prostředků celého programu.</w:t>
      </w:r>
    </w:p>
  </w:footnote>
  <w:footnote w:id="19">
    <w:p w:rsidR="00573408" w:rsidRDefault="00573408" w:rsidP="0042584D">
      <w:pPr>
        <w:pStyle w:val="Textpoznpodarou"/>
        <w:ind w:left="284" w:hanging="284"/>
      </w:pPr>
      <w:r>
        <w:rPr>
          <w:rStyle w:val="Znakapoznpodarou"/>
        </w:rPr>
        <w:footnoteRef/>
      </w:r>
      <w:r>
        <w:t xml:space="preserve"> </w:t>
      </w:r>
      <w:r>
        <w:tab/>
      </w:r>
      <w:r w:rsidRPr="00642C69">
        <w:rPr>
          <w:rFonts w:asciiTheme="minorHAnsi" w:hAnsiTheme="minorHAnsi" w:cstheme="minorHAnsi"/>
          <w:i/>
        </w:rPr>
        <w:t>Standard péče poskytované v centrech duševního zdraví (CDZ)</w:t>
      </w:r>
      <w:r w:rsidRPr="00642C69">
        <w:rPr>
          <w:rFonts w:asciiTheme="minorHAnsi" w:hAnsiTheme="minorHAnsi" w:cstheme="minorHAnsi"/>
        </w:rPr>
        <w:t xml:space="preserve"> z roku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80" w:rsidRDefault="0030358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83"/>
    <w:multiLevelType w:val="hybridMultilevel"/>
    <w:tmpl w:val="65B2B640"/>
    <w:lvl w:ilvl="0" w:tplc="E716E9A8">
      <w:start w:val="1"/>
      <w:numFmt w:val="bullet"/>
      <w:lvlText w:val=""/>
      <w:lvlJc w:val="left"/>
      <w:pPr>
        <w:ind w:left="720" w:hanging="360"/>
      </w:pPr>
      <w:rPr>
        <w:rFonts w:ascii="Symbol" w:hAnsi="Symbol" w:hint="default"/>
      </w:rPr>
    </w:lvl>
    <w:lvl w:ilvl="1" w:tplc="6F940BBE" w:tentative="1">
      <w:start w:val="1"/>
      <w:numFmt w:val="bullet"/>
      <w:lvlText w:val="o"/>
      <w:lvlJc w:val="left"/>
      <w:pPr>
        <w:ind w:left="1440" w:hanging="360"/>
      </w:pPr>
      <w:rPr>
        <w:rFonts w:ascii="Courier New" w:hAnsi="Courier New" w:hint="default"/>
      </w:rPr>
    </w:lvl>
    <w:lvl w:ilvl="2" w:tplc="B1F218A0" w:tentative="1">
      <w:start w:val="1"/>
      <w:numFmt w:val="bullet"/>
      <w:lvlText w:val=""/>
      <w:lvlJc w:val="left"/>
      <w:pPr>
        <w:ind w:left="2160" w:hanging="360"/>
      </w:pPr>
      <w:rPr>
        <w:rFonts w:ascii="Wingdings" w:hAnsi="Wingdings" w:hint="default"/>
      </w:rPr>
    </w:lvl>
    <w:lvl w:ilvl="3" w:tplc="F2FC39DA" w:tentative="1">
      <w:start w:val="1"/>
      <w:numFmt w:val="bullet"/>
      <w:lvlText w:val=""/>
      <w:lvlJc w:val="left"/>
      <w:pPr>
        <w:ind w:left="2880" w:hanging="360"/>
      </w:pPr>
      <w:rPr>
        <w:rFonts w:ascii="Symbol" w:hAnsi="Symbol" w:hint="default"/>
      </w:rPr>
    </w:lvl>
    <w:lvl w:ilvl="4" w:tplc="EAEAAEEE" w:tentative="1">
      <w:start w:val="1"/>
      <w:numFmt w:val="bullet"/>
      <w:lvlText w:val="o"/>
      <w:lvlJc w:val="left"/>
      <w:pPr>
        <w:ind w:left="3600" w:hanging="360"/>
      </w:pPr>
      <w:rPr>
        <w:rFonts w:ascii="Courier New" w:hAnsi="Courier New" w:hint="default"/>
      </w:rPr>
    </w:lvl>
    <w:lvl w:ilvl="5" w:tplc="553E95DA" w:tentative="1">
      <w:start w:val="1"/>
      <w:numFmt w:val="bullet"/>
      <w:lvlText w:val=""/>
      <w:lvlJc w:val="left"/>
      <w:pPr>
        <w:ind w:left="4320" w:hanging="360"/>
      </w:pPr>
      <w:rPr>
        <w:rFonts w:ascii="Wingdings" w:hAnsi="Wingdings" w:hint="default"/>
      </w:rPr>
    </w:lvl>
    <w:lvl w:ilvl="6" w:tplc="644C4DF4" w:tentative="1">
      <w:start w:val="1"/>
      <w:numFmt w:val="bullet"/>
      <w:lvlText w:val=""/>
      <w:lvlJc w:val="left"/>
      <w:pPr>
        <w:ind w:left="5040" w:hanging="360"/>
      </w:pPr>
      <w:rPr>
        <w:rFonts w:ascii="Symbol" w:hAnsi="Symbol" w:hint="default"/>
      </w:rPr>
    </w:lvl>
    <w:lvl w:ilvl="7" w:tplc="FE12A580" w:tentative="1">
      <w:start w:val="1"/>
      <w:numFmt w:val="bullet"/>
      <w:lvlText w:val="o"/>
      <w:lvlJc w:val="left"/>
      <w:pPr>
        <w:ind w:left="5760" w:hanging="360"/>
      </w:pPr>
      <w:rPr>
        <w:rFonts w:ascii="Courier New" w:hAnsi="Courier New" w:hint="default"/>
      </w:rPr>
    </w:lvl>
    <w:lvl w:ilvl="8" w:tplc="9E5A7D38" w:tentative="1">
      <w:start w:val="1"/>
      <w:numFmt w:val="bullet"/>
      <w:lvlText w:val=""/>
      <w:lvlJc w:val="left"/>
      <w:pPr>
        <w:ind w:left="6480" w:hanging="360"/>
      </w:pPr>
      <w:rPr>
        <w:rFonts w:ascii="Wingdings" w:hAnsi="Wingdings" w:hint="default"/>
      </w:rPr>
    </w:lvl>
  </w:abstractNum>
  <w:abstractNum w:abstractNumId="1" w15:restartNumberingAfterBreak="0">
    <w:nsid w:val="014D0CBD"/>
    <w:multiLevelType w:val="hybridMultilevel"/>
    <w:tmpl w:val="E63A02B4"/>
    <w:lvl w:ilvl="0" w:tplc="FACCE852">
      <w:start w:val="1"/>
      <w:numFmt w:val="bullet"/>
      <w:lvlText w:val=""/>
      <w:lvlJc w:val="left"/>
      <w:pPr>
        <w:ind w:left="849" w:hanging="360"/>
      </w:pPr>
      <w:rPr>
        <w:rFonts w:ascii="Symbol" w:hAnsi="Symbol" w:hint="default"/>
      </w:rPr>
    </w:lvl>
    <w:lvl w:ilvl="1" w:tplc="205A8C1E" w:tentative="1">
      <w:start w:val="1"/>
      <w:numFmt w:val="bullet"/>
      <w:lvlText w:val="o"/>
      <w:lvlJc w:val="left"/>
      <w:pPr>
        <w:ind w:left="1569" w:hanging="360"/>
      </w:pPr>
      <w:rPr>
        <w:rFonts w:ascii="Courier New" w:hAnsi="Courier New" w:hint="default"/>
      </w:rPr>
    </w:lvl>
    <w:lvl w:ilvl="2" w:tplc="FAC295CA" w:tentative="1">
      <w:start w:val="1"/>
      <w:numFmt w:val="bullet"/>
      <w:lvlText w:val=""/>
      <w:lvlJc w:val="left"/>
      <w:pPr>
        <w:ind w:left="2289" w:hanging="360"/>
      </w:pPr>
      <w:rPr>
        <w:rFonts w:ascii="Wingdings" w:hAnsi="Wingdings" w:hint="default"/>
      </w:rPr>
    </w:lvl>
    <w:lvl w:ilvl="3" w:tplc="CFB03F1C" w:tentative="1">
      <w:start w:val="1"/>
      <w:numFmt w:val="bullet"/>
      <w:lvlText w:val=""/>
      <w:lvlJc w:val="left"/>
      <w:pPr>
        <w:ind w:left="3009" w:hanging="360"/>
      </w:pPr>
      <w:rPr>
        <w:rFonts w:ascii="Symbol" w:hAnsi="Symbol" w:hint="default"/>
      </w:rPr>
    </w:lvl>
    <w:lvl w:ilvl="4" w:tplc="9A8EA83C" w:tentative="1">
      <w:start w:val="1"/>
      <w:numFmt w:val="bullet"/>
      <w:lvlText w:val="o"/>
      <w:lvlJc w:val="left"/>
      <w:pPr>
        <w:ind w:left="3729" w:hanging="360"/>
      </w:pPr>
      <w:rPr>
        <w:rFonts w:ascii="Courier New" w:hAnsi="Courier New" w:hint="default"/>
      </w:rPr>
    </w:lvl>
    <w:lvl w:ilvl="5" w:tplc="84089F10" w:tentative="1">
      <w:start w:val="1"/>
      <w:numFmt w:val="bullet"/>
      <w:lvlText w:val=""/>
      <w:lvlJc w:val="left"/>
      <w:pPr>
        <w:ind w:left="4449" w:hanging="360"/>
      </w:pPr>
      <w:rPr>
        <w:rFonts w:ascii="Wingdings" w:hAnsi="Wingdings" w:hint="default"/>
      </w:rPr>
    </w:lvl>
    <w:lvl w:ilvl="6" w:tplc="99609804" w:tentative="1">
      <w:start w:val="1"/>
      <w:numFmt w:val="bullet"/>
      <w:lvlText w:val=""/>
      <w:lvlJc w:val="left"/>
      <w:pPr>
        <w:ind w:left="5169" w:hanging="360"/>
      </w:pPr>
      <w:rPr>
        <w:rFonts w:ascii="Symbol" w:hAnsi="Symbol" w:hint="default"/>
      </w:rPr>
    </w:lvl>
    <w:lvl w:ilvl="7" w:tplc="5C48B11A" w:tentative="1">
      <w:start w:val="1"/>
      <w:numFmt w:val="bullet"/>
      <w:lvlText w:val="o"/>
      <w:lvlJc w:val="left"/>
      <w:pPr>
        <w:ind w:left="5889" w:hanging="360"/>
      </w:pPr>
      <w:rPr>
        <w:rFonts w:ascii="Courier New" w:hAnsi="Courier New" w:hint="default"/>
      </w:rPr>
    </w:lvl>
    <w:lvl w:ilvl="8" w:tplc="AD32FE3E" w:tentative="1">
      <w:start w:val="1"/>
      <w:numFmt w:val="bullet"/>
      <w:lvlText w:val=""/>
      <w:lvlJc w:val="left"/>
      <w:pPr>
        <w:ind w:left="6609" w:hanging="360"/>
      </w:pPr>
      <w:rPr>
        <w:rFonts w:ascii="Wingdings" w:hAnsi="Wingdings" w:hint="default"/>
      </w:rPr>
    </w:lvl>
  </w:abstractNum>
  <w:abstractNum w:abstractNumId="2" w15:restartNumberingAfterBreak="0">
    <w:nsid w:val="0D791A8C"/>
    <w:multiLevelType w:val="hybridMultilevel"/>
    <w:tmpl w:val="5254F8EC"/>
    <w:lvl w:ilvl="0" w:tplc="F1CCC06A">
      <w:start w:val="11"/>
      <w:numFmt w:val="bullet"/>
      <w:lvlText w:val="-"/>
      <w:lvlJc w:val="left"/>
      <w:pPr>
        <w:ind w:left="1080" w:hanging="360"/>
      </w:pPr>
      <w:rPr>
        <w:rFonts w:ascii="Calibri" w:eastAsia="Times New Roman" w:hAnsi="Calibri" w:hint="default"/>
      </w:rPr>
    </w:lvl>
    <w:lvl w:ilvl="1" w:tplc="40BAAEE8">
      <w:start w:val="1"/>
      <w:numFmt w:val="bullet"/>
      <w:lvlText w:val="o"/>
      <w:lvlJc w:val="left"/>
      <w:pPr>
        <w:ind w:left="1800" w:hanging="360"/>
      </w:pPr>
      <w:rPr>
        <w:rFonts w:ascii="Courier New" w:hAnsi="Courier New" w:hint="default"/>
      </w:rPr>
    </w:lvl>
    <w:lvl w:ilvl="2" w:tplc="6B2281A8" w:tentative="1">
      <w:start w:val="1"/>
      <w:numFmt w:val="bullet"/>
      <w:lvlText w:val=""/>
      <w:lvlJc w:val="left"/>
      <w:pPr>
        <w:ind w:left="2520" w:hanging="360"/>
      </w:pPr>
      <w:rPr>
        <w:rFonts w:ascii="Wingdings" w:hAnsi="Wingdings" w:hint="default"/>
      </w:rPr>
    </w:lvl>
    <w:lvl w:ilvl="3" w:tplc="B1F6B8AA" w:tentative="1">
      <w:start w:val="1"/>
      <w:numFmt w:val="bullet"/>
      <w:lvlText w:val=""/>
      <w:lvlJc w:val="left"/>
      <w:pPr>
        <w:ind w:left="3240" w:hanging="360"/>
      </w:pPr>
      <w:rPr>
        <w:rFonts w:ascii="Symbol" w:hAnsi="Symbol" w:hint="default"/>
      </w:rPr>
    </w:lvl>
    <w:lvl w:ilvl="4" w:tplc="CB24A410" w:tentative="1">
      <w:start w:val="1"/>
      <w:numFmt w:val="bullet"/>
      <w:lvlText w:val="o"/>
      <w:lvlJc w:val="left"/>
      <w:pPr>
        <w:ind w:left="3960" w:hanging="360"/>
      </w:pPr>
      <w:rPr>
        <w:rFonts w:ascii="Courier New" w:hAnsi="Courier New" w:hint="default"/>
      </w:rPr>
    </w:lvl>
    <w:lvl w:ilvl="5" w:tplc="9D8C7618" w:tentative="1">
      <w:start w:val="1"/>
      <w:numFmt w:val="bullet"/>
      <w:lvlText w:val=""/>
      <w:lvlJc w:val="left"/>
      <w:pPr>
        <w:ind w:left="4680" w:hanging="360"/>
      </w:pPr>
      <w:rPr>
        <w:rFonts w:ascii="Wingdings" w:hAnsi="Wingdings" w:hint="default"/>
      </w:rPr>
    </w:lvl>
    <w:lvl w:ilvl="6" w:tplc="EF6465A8" w:tentative="1">
      <w:start w:val="1"/>
      <w:numFmt w:val="bullet"/>
      <w:lvlText w:val=""/>
      <w:lvlJc w:val="left"/>
      <w:pPr>
        <w:ind w:left="5400" w:hanging="360"/>
      </w:pPr>
      <w:rPr>
        <w:rFonts w:ascii="Symbol" w:hAnsi="Symbol" w:hint="default"/>
      </w:rPr>
    </w:lvl>
    <w:lvl w:ilvl="7" w:tplc="39E2F3B8" w:tentative="1">
      <w:start w:val="1"/>
      <w:numFmt w:val="bullet"/>
      <w:lvlText w:val="o"/>
      <w:lvlJc w:val="left"/>
      <w:pPr>
        <w:ind w:left="6120" w:hanging="360"/>
      </w:pPr>
      <w:rPr>
        <w:rFonts w:ascii="Courier New" w:hAnsi="Courier New" w:hint="default"/>
      </w:rPr>
    </w:lvl>
    <w:lvl w:ilvl="8" w:tplc="8E4A584A" w:tentative="1">
      <w:start w:val="1"/>
      <w:numFmt w:val="bullet"/>
      <w:lvlText w:val=""/>
      <w:lvlJc w:val="left"/>
      <w:pPr>
        <w:ind w:left="6840" w:hanging="360"/>
      </w:pPr>
      <w:rPr>
        <w:rFonts w:ascii="Wingdings" w:hAnsi="Wingdings" w:hint="default"/>
      </w:rPr>
    </w:lvl>
  </w:abstractNum>
  <w:abstractNum w:abstractNumId="3" w15:restartNumberingAfterBreak="0">
    <w:nsid w:val="11465437"/>
    <w:multiLevelType w:val="hybridMultilevel"/>
    <w:tmpl w:val="7AF6960C"/>
    <w:lvl w:ilvl="0" w:tplc="861204DA">
      <w:start w:val="1"/>
      <w:numFmt w:val="bullet"/>
      <w:lvlText w:val=""/>
      <w:lvlJc w:val="left"/>
      <w:pPr>
        <w:ind w:left="720" w:hanging="360"/>
      </w:pPr>
      <w:rPr>
        <w:rFonts w:ascii="Symbol" w:hAnsi="Symbol" w:hint="default"/>
      </w:rPr>
    </w:lvl>
    <w:lvl w:ilvl="1" w:tplc="9BE2BC1C" w:tentative="1">
      <w:start w:val="1"/>
      <w:numFmt w:val="bullet"/>
      <w:lvlText w:val="o"/>
      <w:lvlJc w:val="left"/>
      <w:pPr>
        <w:ind w:left="1440" w:hanging="360"/>
      </w:pPr>
      <w:rPr>
        <w:rFonts w:ascii="Courier New" w:hAnsi="Courier New" w:cs="Courier New" w:hint="default"/>
      </w:rPr>
    </w:lvl>
    <w:lvl w:ilvl="2" w:tplc="309066EA" w:tentative="1">
      <w:start w:val="1"/>
      <w:numFmt w:val="bullet"/>
      <w:lvlText w:val=""/>
      <w:lvlJc w:val="left"/>
      <w:pPr>
        <w:ind w:left="2160" w:hanging="360"/>
      </w:pPr>
      <w:rPr>
        <w:rFonts w:ascii="Wingdings" w:hAnsi="Wingdings" w:hint="default"/>
      </w:rPr>
    </w:lvl>
    <w:lvl w:ilvl="3" w:tplc="7BA4BA04" w:tentative="1">
      <w:start w:val="1"/>
      <w:numFmt w:val="bullet"/>
      <w:lvlText w:val=""/>
      <w:lvlJc w:val="left"/>
      <w:pPr>
        <w:ind w:left="2880" w:hanging="360"/>
      </w:pPr>
      <w:rPr>
        <w:rFonts w:ascii="Symbol" w:hAnsi="Symbol" w:hint="default"/>
      </w:rPr>
    </w:lvl>
    <w:lvl w:ilvl="4" w:tplc="B0E273C8" w:tentative="1">
      <w:start w:val="1"/>
      <w:numFmt w:val="bullet"/>
      <w:lvlText w:val="o"/>
      <w:lvlJc w:val="left"/>
      <w:pPr>
        <w:ind w:left="3600" w:hanging="360"/>
      </w:pPr>
      <w:rPr>
        <w:rFonts w:ascii="Courier New" w:hAnsi="Courier New" w:cs="Courier New" w:hint="default"/>
      </w:rPr>
    </w:lvl>
    <w:lvl w:ilvl="5" w:tplc="2382A534" w:tentative="1">
      <w:start w:val="1"/>
      <w:numFmt w:val="bullet"/>
      <w:lvlText w:val=""/>
      <w:lvlJc w:val="left"/>
      <w:pPr>
        <w:ind w:left="4320" w:hanging="360"/>
      </w:pPr>
      <w:rPr>
        <w:rFonts w:ascii="Wingdings" w:hAnsi="Wingdings" w:hint="default"/>
      </w:rPr>
    </w:lvl>
    <w:lvl w:ilvl="6" w:tplc="308017D2" w:tentative="1">
      <w:start w:val="1"/>
      <w:numFmt w:val="bullet"/>
      <w:lvlText w:val=""/>
      <w:lvlJc w:val="left"/>
      <w:pPr>
        <w:ind w:left="5040" w:hanging="360"/>
      </w:pPr>
      <w:rPr>
        <w:rFonts w:ascii="Symbol" w:hAnsi="Symbol" w:hint="default"/>
      </w:rPr>
    </w:lvl>
    <w:lvl w:ilvl="7" w:tplc="15D6FB92" w:tentative="1">
      <w:start w:val="1"/>
      <w:numFmt w:val="bullet"/>
      <w:lvlText w:val="o"/>
      <w:lvlJc w:val="left"/>
      <w:pPr>
        <w:ind w:left="5760" w:hanging="360"/>
      </w:pPr>
      <w:rPr>
        <w:rFonts w:ascii="Courier New" w:hAnsi="Courier New" w:cs="Courier New" w:hint="default"/>
      </w:rPr>
    </w:lvl>
    <w:lvl w:ilvl="8" w:tplc="A0BCF4A0" w:tentative="1">
      <w:start w:val="1"/>
      <w:numFmt w:val="bullet"/>
      <w:lvlText w:val=""/>
      <w:lvlJc w:val="left"/>
      <w:pPr>
        <w:ind w:left="6480" w:hanging="360"/>
      </w:pPr>
      <w:rPr>
        <w:rFonts w:ascii="Wingdings" w:hAnsi="Wingdings" w:hint="default"/>
      </w:rPr>
    </w:lvl>
  </w:abstractNum>
  <w:abstractNum w:abstractNumId="4" w15:restartNumberingAfterBreak="0">
    <w:nsid w:val="157B3721"/>
    <w:multiLevelType w:val="hybridMultilevel"/>
    <w:tmpl w:val="2F068644"/>
    <w:lvl w:ilvl="0" w:tplc="F7820014">
      <w:start w:val="31"/>
      <w:numFmt w:val="bullet"/>
      <w:lvlText w:val="-"/>
      <w:lvlJc w:val="left"/>
      <w:pPr>
        <w:ind w:left="720" w:hanging="360"/>
      </w:pPr>
      <w:rPr>
        <w:rFonts w:ascii="Calibri" w:eastAsia="Times New Roman" w:hAnsi="Calibri" w:hint="default"/>
      </w:rPr>
    </w:lvl>
    <w:lvl w:ilvl="1" w:tplc="820C91FA" w:tentative="1">
      <w:start w:val="1"/>
      <w:numFmt w:val="bullet"/>
      <w:lvlText w:val="o"/>
      <w:lvlJc w:val="left"/>
      <w:pPr>
        <w:ind w:left="1440" w:hanging="360"/>
      </w:pPr>
      <w:rPr>
        <w:rFonts w:ascii="Courier New" w:hAnsi="Courier New" w:hint="default"/>
      </w:rPr>
    </w:lvl>
    <w:lvl w:ilvl="2" w:tplc="96EA0C04" w:tentative="1">
      <w:start w:val="1"/>
      <w:numFmt w:val="bullet"/>
      <w:lvlText w:val=""/>
      <w:lvlJc w:val="left"/>
      <w:pPr>
        <w:ind w:left="2160" w:hanging="360"/>
      </w:pPr>
      <w:rPr>
        <w:rFonts w:ascii="Wingdings" w:hAnsi="Wingdings" w:hint="default"/>
      </w:rPr>
    </w:lvl>
    <w:lvl w:ilvl="3" w:tplc="724EB14E" w:tentative="1">
      <w:start w:val="1"/>
      <w:numFmt w:val="bullet"/>
      <w:lvlText w:val=""/>
      <w:lvlJc w:val="left"/>
      <w:pPr>
        <w:ind w:left="2880" w:hanging="360"/>
      </w:pPr>
      <w:rPr>
        <w:rFonts w:ascii="Symbol" w:hAnsi="Symbol" w:hint="default"/>
      </w:rPr>
    </w:lvl>
    <w:lvl w:ilvl="4" w:tplc="98B6F4F0" w:tentative="1">
      <w:start w:val="1"/>
      <w:numFmt w:val="bullet"/>
      <w:lvlText w:val="o"/>
      <w:lvlJc w:val="left"/>
      <w:pPr>
        <w:ind w:left="3600" w:hanging="360"/>
      </w:pPr>
      <w:rPr>
        <w:rFonts w:ascii="Courier New" w:hAnsi="Courier New" w:hint="default"/>
      </w:rPr>
    </w:lvl>
    <w:lvl w:ilvl="5" w:tplc="374A9862" w:tentative="1">
      <w:start w:val="1"/>
      <w:numFmt w:val="bullet"/>
      <w:lvlText w:val=""/>
      <w:lvlJc w:val="left"/>
      <w:pPr>
        <w:ind w:left="4320" w:hanging="360"/>
      </w:pPr>
      <w:rPr>
        <w:rFonts w:ascii="Wingdings" w:hAnsi="Wingdings" w:hint="default"/>
      </w:rPr>
    </w:lvl>
    <w:lvl w:ilvl="6" w:tplc="7A80F48C" w:tentative="1">
      <w:start w:val="1"/>
      <w:numFmt w:val="bullet"/>
      <w:lvlText w:val=""/>
      <w:lvlJc w:val="left"/>
      <w:pPr>
        <w:ind w:left="5040" w:hanging="360"/>
      </w:pPr>
      <w:rPr>
        <w:rFonts w:ascii="Symbol" w:hAnsi="Symbol" w:hint="default"/>
      </w:rPr>
    </w:lvl>
    <w:lvl w:ilvl="7" w:tplc="1F86C8BE" w:tentative="1">
      <w:start w:val="1"/>
      <w:numFmt w:val="bullet"/>
      <w:lvlText w:val="o"/>
      <w:lvlJc w:val="left"/>
      <w:pPr>
        <w:ind w:left="5760" w:hanging="360"/>
      </w:pPr>
      <w:rPr>
        <w:rFonts w:ascii="Courier New" w:hAnsi="Courier New" w:hint="default"/>
      </w:rPr>
    </w:lvl>
    <w:lvl w:ilvl="8" w:tplc="B7F25C70" w:tentative="1">
      <w:start w:val="1"/>
      <w:numFmt w:val="bullet"/>
      <w:lvlText w:val=""/>
      <w:lvlJc w:val="left"/>
      <w:pPr>
        <w:ind w:left="6480" w:hanging="360"/>
      </w:pPr>
      <w:rPr>
        <w:rFonts w:ascii="Wingdings" w:hAnsi="Wingdings" w:hint="default"/>
      </w:rPr>
    </w:lvl>
  </w:abstractNum>
  <w:abstractNum w:abstractNumId="5" w15:restartNumberingAfterBreak="0">
    <w:nsid w:val="1A21286C"/>
    <w:multiLevelType w:val="hybridMultilevel"/>
    <w:tmpl w:val="A4C21C00"/>
    <w:lvl w:ilvl="0" w:tplc="46F8FE50">
      <w:start w:val="9"/>
      <w:numFmt w:val="bullet"/>
      <w:lvlText w:val="-"/>
      <w:lvlJc w:val="left"/>
      <w:pPr>
        <w:ind w:left="720" w:hanging="360"/>
      </w:pPr>
      <w:rPr>
        <w:rFonts w:ascii="Calibri" w:eastAsia="Times New Roman" w:hAnsi="Calibri" w:cs="Calibri" w:hint="default"/>
      </w:rPr>
    </w:lvl>
    <w:lvl w:ilvl="1" w:tplc="DB68BA98" w:tentative="1">
      <w:start w:val="1"/>
      <w:numFmt w:val="bullet"/>
      <w:lvlText w:val="o"/>
      <w:lvlJc w:val="left"/>
      <w:pPr>
        <w:ind w:left="1440" w:hanging="360"/>
      </w:pPr>
      <w:rPr>
        <w:rFonts w:ascii="Courier New" w:hAnsi="Courier New" w:cs="Courier New" w:hint="default"/>
      </w:rPr>
    </w:lvl>
    <w:lvl w:ilvl="2" w:tplc="D7B4D5D0" w:tentative="1">
      <w:start w:val="1"/>
      <w:numFmt w:val="bullet"/>
      <w:lvlText w:val=""/>
      <w:lvlJc w:val="left"/>
      <w:pPr>
        <w:ind w:left="2160" w:hanging="360"/>
      </w:pPr>
      <w:rPr>
        <w:rFonts w:ascii="Wingdings" w:hAnsi="Wingdings" w:hint="default"/>
      </w:rPr>
    </w:lvl>
    <w:lvl w:ilvl="3" w:tplc="3FDEBD70" w:tentative="1">
      <w:start w:val="1"/>
      <w:numFmt w:val="bullet"/>
      <w:lvlText w:val=""/>
      <w:lvlJc w:val="left"/>
      <w:pPr>
        <w:ind w:left="2880" w:hanging="360"/>
      </w:pPr>
      <w:rPr>
        <w:rFonts w:ascii="Symbol" w:hAnsi="Symbol" w:hint="default"/>
      </w:rPr>
    </w:lvl>
    <w:lvl w:ilvl="4" w:tplc="271CA712" w:tentative="1">
      <w:start w:val="1"/>
      <w:numFmt w:val="bullet"/>
      <w:lvlText w:val="o"/>
      <w:lvlJc w:val="left"/>
      <w:pPr>
        <w:ind w:left="3600" w:hanging="360"/>
      </w:pPr>
      <w:rPr>
        <w:rFonts w:ascii="Courier New" w:hAnsi="Courier New" w:cs="Courier New" w:hint="default"/>
      </w:rPr>
    </w:lvl>
    <w:lvl w:ilvl="5" w:tplc="CCEE41C0" w:tentative="1">
      <w:start w:val="1"/>
      <w:numFmt w:val="bullet"/>
      <w:lvlText w:val=""/>
      <w:lvlJc w:val="left"/>
      <w:pPr>
        <w:ind w:left="4320" w:hanging="360"/>
      </w:pPr>
      <w:rPr>
        <w:rFonts w:ascii="Wingdings" w:hAnsi="Wingdings" w:hint="default"/>
      </w:rPr>
    </w:lvl>
    <w:lvl w:ilvl="6" w:tplc="F580BB12" w:tentative="1">
      <w:start w:val="1"/>
      <w:numFmt w:val="bullet"/>
      <w:lvlText w:val=""/>
      <w:lvlJc w:val="left"/>
      <w:pPr>
        <w:ind w:left="5040" w:hanging="360"/>
      </w:pPr>
      <w:rPr>
        <w:rFonts w:ascii="Symbol" w:hAnsi="Symbol" w:hint="default"/>
      </w:rPr>
    </w:lvl>
    <w:lvl w:ilvl="7" w:tplc="10283A90" w:tentative="1">
      <w:start w:val="1"/>
      <w:numFmt w:val="bullet"/>
      <w:lvlText w:val="o"/>
      <w:lvlJc w:val="left"/>
      <w:pPr>
        <w:ind w:left="5760" w:hanging="360"/>
      </w:pPr>
      <w:rPr>
        <w:rFonts w:ascii="Courier New" w:hAnsi="Courier New" w:cs="Courier New" w:hint="default"/>
      </w:rPr>
    </w:lvl>
    <w:lvl w:ilvl="8" w:tplc="19C03BFE" w:tentative="1">
      <w:start w:val="1"/>
      <w:numFmt w:val="bullet"/>
      <w:lvlText w:val=""/>
      <w:lvlJc w:val="left"/>
      <w:pPr>
        <w:ind w:left="6480" w:hanging="360"/>
      </w:pPr>
      <w:rPr>
        <w:rFonts w:ascii="Wingdings" w:hAnsi="Wingdings" w:hint="default"/>
      </w:rPr>
    </w:lvl>
  </w:abstractNum>
  <w:abstractNum w:abstractNumId="6" w15:restartNumberingAfterBreak="0">
    <w:nsid w:val="247D1386"/>
    <w:multiLevelType w:val="hybridMultilevel"/>
    <w:tmpl w:val="03D6A74A"/>
    <w:lvl w:ilvl="0" w:tplc="6F00F54A">
      <w:numFmt w:val="bullet"/>
      <w:lvlText w:val=""/>
      <w:lvlJc w:val="left"/>
      <w:pPr>
        <w:ind w:left="720" w:hanging="360"/>
      </w:pPr>
      <w:rPr>
        <w:rFonts w:ascii="Symbol" w:eastAsiaTheme="minorEastAsia" w:hAnsi="Symbol" w:cs="Calibri" w:hint="default"/>
      </w:rPr>
    </w:lvl>
    <w:lvl w:ilvl="1" w:tplc="C3D4457A" w:tentative="1">
      <w:start w:val="1"/>
      <w:numFmt w:val="bullet"/>
      <w:lvlText w:val="o"/>
      <w:lvlJc w:val="left"/>
      <w:pPr>
        <w:ind w:left="1440" w:hanging="360"/>
      </w:pPr>
      <w:rPr>
        <w:rFonts w:ascii="Courier New" w:hAnsi="Courier New" w:cs="Courier New" w:hint="default"/>
      </w:rPr>
    </w:lvl>
    <w:lvl w:ilvl="2" w:tplc="AAA274F2" w:tentative="1">
      <w:start w:val="1"/>
      <w:numFmt w:val="bullet"/>
      <w:lvlText w:val=""/>
      <w:lvlJc w:val="left"/>
      <w:pPr>
        <w:ind w:left="2160" w:hanging="360"/>
      </w:pPr>
      <w:rPr>
        <w:rFonts w:ascii="Wingdings" w:hAnsi="Wingdings" w:hint="default"/>
      </w:rPr>
    </w:lvl>
    <w:lvl w:ilvl="3" w:tplc="F4D09042" w:tentative="1">
      <w:start w:val="1"/>
      <w:numFmt w:val="bullet"/>
      <w:lvlText w:val=""/>
      <w:lvlJc w:val="left"/>
      <w:pPr>
        <w:ind w:left="2880" w:hanging="360"/>
      </w:pPr>
      <w:rPr>
        <w:rFonts w:ascii="Symbol" w:hAnsi="Symbol" w:hint="default"/>
      </w:rPr>
    </w:lvl>
    <w:lvl w:ilvl="4" w:tplc="A8600514" w:tentative="1">
      <w:start w:val="1"/>
      <w:numFmt w:val="bullet"/>
      <w:lvlText w:val="o"/>
      <w:lvlJc w:val="left"/>
      <w:pPr>
        <w:ind w:left="3600" w:hanging="360"/>
      </w:pPr>
      <w:rPr>
        <w:rFonts w:ascii="Courier New" w:hAnsi="Courier New" w:cs="Courier New" w:hint="default"/>
      </w:rPr>
    </w:lvl>
    <w:lvl w:ilvl="5" w:tplc="083C56CC" w:tentative="1">
      <w:start w:val="1"/>
      <w:numFmt w:val="bullet"/>
      <w:lvlText w:val=""/>
      <w:lvlJc w:val="left"/>
      <w:pPr>
        <w:ind w:left="4320" w:hanging="360"/>
      </w:pPr>
      <w:rPr>
        <w:rFonts w:ascii="Wingdings" w:hAnsi="Wingdings" w:hint="default"/>
      </w:rPr>
    </w:lvl>
    <w:lvl w:ilvl="6" w:tplc="6804FF06" w:tentative="1">
      <w:start w:val="1"/>
      <w:numFmt w:val="bullet"/>
      <w:lvlText w:val=""/>
      <w:lvlJc w:val="left"/>
      <w:pPr>
        <w:ind w:left="5040" w:hanging="360"/>
      </w:pPr>
      <w:rPr>
        <w:rFonts w:ascii="Symbol" w:hAnsi="Symbol" w:hint="default"/>
      </w:rPr>
    </w:lvl>
    <w:lvl w:ilvl="7" w:tplc="11067992" w:tentative="1">
      <w:start w:val="1"/>
      <w:numFmt w:val="bullet"/>
      <w:lvlText w:val="o"/>
      <w:lvlJc w:val="left"/>
      <w:pPr>
        <w:ind w:left="5760" w:hanging="360"/>
      </w:pPr>
      <w:rPr>
        <w:rFonts w:ascii="Courier New" w:hAnsi="Courier New" w:cs="Courier New" w:hint="default"/>
      </w:rPr>
    </w:lvl>
    <w:lvl w:ilvl="8" w:tplc="6C1250F6" w:tentative="1">
      <w:start w:val="1"/>
      <w:numFmt w:val="bullet"/>
      <w:lvlText w:val=""/>
      <w:lvlJc w:val="left"/>
      <w:pPr>
        <w:ind w:left="6480" w:hanging="360"/>
      </w:pPr>
      <w:rPr>
        <w:rFonts w:ascii="Wingdings" w:hAnsi="Wingdings" w:hint="default"/>
      </w:rPr>
    </w:lvl>
  </w:abstractNum>
  <w:abstractNum w:abstractNumId="7" w15:restartNumberingAfterBreak="0">
    <w:nsid w:val="251311C3"/>
    <w:multiLevelType w:val="hybridMultilevel"/>
    <w:tmpl w:val="52B0AEB6"/>
    <w:lvl w:ilvl="0" w:tplc="1EFC0890">
      <w:start w:val="1"/>
      <w:numFmt w:val="bullet"/>
      <w:lvlText w:val=""/>
      <w:lvlJc w:val="left"/>
      <w:pPr>
        <w:ind w:left="1429" w:hanging="360"/>
      </w:pPr>
      <w:rPr>
        <w:rFonts w:ascii="Symbol" w:hAnsi="Symbol" w:hint="default"/>
      </w:rPr>
    </w:lvl>
    <w:lvl w:ilvl="1" w:tplc="CFF81294" w:tentative="1">
      <w:start w:val="1"/>
      <w:numFmt w:val="bullet"/>
      <w:lvlText w:val="o"/>
      <w:lvlJc w:val="left"/>
      <w:pPr>
        <w:ind w:left="2149" w:hanging="360"/>
      </w:pPr>
      <w:rPr>
        <w:rFonts w:ascii="Courier New" w:hAnsi="Courier New" w:cs="Courier New" w:hint="default"/>
      </w:rPr>
    </w:lvl>
    <w:lvl w:ilvl="2" w:tplc="2230EE32" w:tentative="1">
      <w:start w:val="1"/>
      <w:numFmt w:val="bullet"/>
      <w:lvlText w:val=""/>
      <w:lvlJc w:val="left"/>
      <w:pPr>
        <w:ind w:left="2869" w:hanging="360"/>
      </w:pPr>
      <w:rPr>
        <w:rFonts w:ascii="Wingdings" w:hAnsi="Wingdings" w:hint="default"/>
      </w:rPr>
    </w:lvl>
    <w:lvl w:ilvl="3" w:tplc="AFF25ED2" w:tentative="1">
      <w:start w:val="1"/>
      <w:numFmt w:val="bullet"/>
      <w:lvlText w:val=""/>
      <w:lvlJc w:val="left"/>
      <w:pPr>
        <w:ind w:left="3589" w:hanging="360"/>
      </w:pPr>
      <w:rPr>
        <w:rFonts w:ascii="Symbol" w:hAnsi="Symbol" w:hint="default"/>
      </w:rPr>
    </w:lvl>
    <w:lvl w:ilvl="4" w:tplc="2BFA851E" w:tentative="1">
      <w:start w:val="1"/>
      <w:numFmt w:val="bullet"/>
      <w:lvlText w:val="o"/>
      <w:lvlJc w:val="left"/>
      <w:pPr>
        <w:ind w:left="4309" w:hanging="360"/>
      </w:pPr>
      <w:rPr>
        <w:rFonts w:ascii="Courier New" w:hAnsi="Courier New" w:cs="Courier New" w:hint="default"/>
      </w:rPr>
    </w:lvl>
    <w:lvl w:ilvl="5" w:tplc="44BA11CA" w:tentative="1">
      <w:start w:val="1"/>
      <w:numFmt w:val="bullet"/>
      <w:lvlText w:val=""/>
      <w:lvlJc w:val="left"/>
      <w:pPr>
        <w:ind w:left="5029" w:hanging="360"/>
      </w:pPr>
      <w:rPr>
        <w:rFonts w:ascii="Wingdings" w:hAnsi="Wingdings" w:hint="default"/>
      </w:rPr>
    </w:lvl>
    <w:lvl w:ilvl="6" w:tplc="C3447ED4" w:tentative="1">
      <w:start w:val="1"/>
      <w:numFmt w:val="bullet"/>
      <w:lvlText w:val=""/>
      <w:lvlJc w:val="left"/>
      <w:pPr>
        <w:ind w:left="5749" w:hanging="360"/>
      </w:pPr>
      <w:rPr>
        <w:rFonts w:ascii="Symbol" w:hAnsi="Symbol" w:hint="default"/>
      </w:rPr>
    </w:lvl>
    <w:lvl w:ilvl="7" w:tplc="EC505D06" w:tentative="1">
      <w:start w:val="1"/>
      <w:numFmt w:val="bullet"/>
      <w:lvlText w:val="o"/>
      <w:lvlJc w:val="left"/>
      <w:pPr>
        <w:ind w:left="6469" w:hanging="360"/>
      </w:pPr>
      <w:rPr>
        <w:rFonts w:ascii="Courier New" w:hAnsi="Courier New" w:cs="Courier New" w:hint="default"/>
      </w:rPr>
    </w:lvl>
    <w:lvl w:ilvl="8" w:tplc="311A324C" w:tentative="1">
      <w:start w:val="1"/>
      <w:numFmt w:val="bullet"/>
      <w:lvlText w:val=""/>
      <w:lvlJc w:val="left"/>
      <w:pPr>
        <w:ind w:left="7189" w:hanging="360"/>
      </w:pPr>
      <w:rPr>
        <w:rFonts w:ascii="Wingdings" w:hAnsi="Wingdings" w:hint="default"/>
      </w:rPr>
    </w:lvl>
  </w:abstractNum>
  <w:abstractNum w:abstractNumId="8" w15:restartNumberingAfterBreak="0">
    <w:nsid w:val="2F1A38A4"/>
    <w:multiLevelType w:val="hybridMultilevel"/>
    <w:tmpl w:val="4F8C0148"/>
    <w:lvl w:ilvl="0" w:tplc="B3265416">
      <w:start w:val="31"/>
      <w:numFmt w:val="bullet"/>
      <w:lvlText w:val="-"/>
      <w:lvlJc w:val="left"/>
      <w:pPr>
        <w:ind w:left="720" w:hanging="360"/>
      </w:pPr>
      <w:rPr>
        <w:rFonts w:ascii="Calibri" w:eastAsia="Times New Roman" w:hAnsi="Calibri" w:hint="default"/>
      </w:rPr>
    </w:lvl>
    <w:lvl w:ilvl="1" w:tplc="523A0A26" w:tentative="1">
      <w:start w:val="1"/>
      <w:numFmt w:val="bullet"/>
      <w:lvlText w:val="o"/>
      <w:lvlJc w:val="left"/>
      <w:pPr>
        <w:ind w:left="1440" w:hanging="360"/>
      </w:pPr>
      <w:rPr>
        <w:rFonts w:ascii="Courier New" w:hAnsi="Courier New" w:cs="Courier New" w:hint="default"/>
      </w:rPr>
    </w:lvl>
    <w:lvl w:ilvl="2" w:tplc="B3180B92" w:tentative="1">
      <w:start w:val="1"/>
      <w:numFmt w:val="bullet"/>
      <w:lvlText w:val=""/>
      <w:lvlJc w:val="left"/>
      <w:pPr>
        <w:ind w:left="2160" w:hanging="360"/>
      </w:pPr>
      <w:rPr>
        <w:rFonts w:ascii="Wingdings" w:hAnsi="Wingdings" w:hint="default"/>
      </w:rPr>
    </w:lvl>
    <w:lvl w:ilvl="3" w:tplc="3926F17A" w:tentative="1">
      <w:start w:val="1"/>
      <w:numFmt w:val="bullet"/>
      <w:lvlText w:val=""/>
      <w:lvlJc w:val="left"/>
      <w:pPr>
        <w:ind w:left="2880" w:hanging="360"/>
      </w:pPr>
      <w:rPr>
        <w:rFonts w:ascii="Symbol" w:hAnsi="Symbol" w:hint="default"/>
      </w:rPr>
    </w:lvl>
    <w:lvl w:ilvl="4" w:tplc="939C72C0" w:tentative="1">
      <w:start w:val="1"/>
      <w:numFmt w:val="bullet"/>
      <w:lvlText w:val="o"/>
      <w:lvlJc w:val="left"/>
      <w:pPr>
        <w:ind w:left="3600" w:hanging="360"/>
      </w:pPr>
      <w:rPr>
        <w:rFonts w:ascii="Courier New" w:hAnsi="Courier New" w:cs="Courier New" w:hint="default"/>
      </w:rPr>
    </w:lvl>
    <w:lvl w:ilvl="5" w:tplc="D3A6224A" w:tentative="1">
      <w:start w:val="1"/>
      <w:numFmt w:val="bullet"/>
      <w:lvlText w:val=""/>
      <w:lvlJc w:val="left"/>
      <w:pPr>
        <w:ind w:left="4320" w:hanging="360"/>
      </w:pPr>
      <w:rPr>
        <w:rFonts w:ascii="Wingdings" w:hAnsi="Wingdings" w:hint="default"/>
      </w:rPr>
    </w:lvl>
    <w:lvl w:ilvl="6" w:tplc="C050676C" w:tentative="1">
      <w:start w:val="1"/>
      <w:numFmt w:val="bullet"/>
      <w:lvlText w:val=""/>
      <w:lvlJc w:val="left"/>
      <w:pPr>
        <w:ind w:left="5040" w:hanging="360"/>
      </w:pPr>
      <w:rPr>
        <w:rFonts w:ascii="Symbol" w:hAnsi="Symbol" w:hint="default"/>
      </w:rPr>
    </w:lvl>
    <w:lvl w:ilvl="7" w:tplc="2C10E5A0" w:tentative="1">
      <w:start w:val="1"/>
      <w:numFmt w:val="bullet"/>
      <w:lvlText w:val="o"/>
      <w:lvlJc w:val="left"/>
      <w:pPr>
        <w:ind w:left="5760" w:hanging="360"/>
      </w:pPr>
      <w:rPr>
        <w:rFonts w:ascii="Courier New" w:hAnsi="Courier New" w:cs="Courier New" w:hint="default"/>
      </w:rPr>
    </w:lvl>
    <w:lvl w:ilvl="8" w:tplc="DA5457D8" w:tentative="1">
      <w:start w:val="1"/>
      <w:numFmt w:val="bullet"/>
      <w:lvlText w:val=""/>
      <w:lvlJc w:val="left"/>
      <w:pPr>
        <w:ind w:left="6480" w:hanging="360"/>
      </w:pPr>
      <w:rPr>
        <w:rFonts w:ascii="Wingdings" w:hAnsi="Wingdings" w:hint="default"/>
      </w:rPr>
    </w:lvl>
  </w:abstractNum>
  <w:abstractNum w:abstractNumId="9" w15:restartNumberingAfterBreak="0">
    <w:nsid w:val="2F521483"/>
    <w:multiLevelType w:val="hybridMultilevel"/>
    <w:tmpl w:val="469E9454"/>
    <w:lvl w:ilvl="0" w:tplc="4B8A6B3A">
      <w:start w:val="1"/>
      <w:numFmt w:val="decimal"/>
      <w:lvlText w:val="Tabulka č. %1: X"/>
      <w:lvlJc w:val="left"/>
      <w:pPr>
        <w:ind w:left="720" w:hanging="360"/>
      </w:pPr>
      <w:rPr>
        <w:rFonts w:hint="default"/>
      </w:rPr>
    </w:lvl>
    <w:lvl w:ilvl="1" w:tplc="1ADCEF7C">
      <w:start w:val="1"/>
      <w:numFmt w:val="decimal"/>
      <w:pStyle w:val="Nzevtabulky"/>
      <w:suff w:val="space"/>
      <w:lvlText w:val="Tabulka č. %2:"/>
      <w:lvlJc w:val="left"/>
      <w:pPr>
        <w:ind w:left="567" w:hanging="567"/>
      </w:pPr>
      <w:rPr>
        <w:rFonts w:hint="default"/>
      </w:rPr>
    </w:lvl>
    <w:lvl w:ilvl="2" w:tplc="13FC2C7E">
      <w:start w:val="1"/>
      <w:numFmt w:val="lowerRoman"/>
      <w:lvlText w:val="%3."/>
      <w:lvlJc w:val="right"/>
      <w:pPr>
        <w:ind w:left="2160" w:hanging="180"/>
      </w:pPr>
    </w:lvl>
    <w:lvl w:ilvl="3" w:tplc="5E4277DA">
      <w:start w:val="1"/>
      <w:numFmt w:val="decimal"/>
      <w:lvlText w:val="%4."/>
      <w:lvlJc w:val="left"/>
      <w:pPr>
        <w:ind w:left="2880" w:hanging="360"/>
      </w:pPr>
      <w:rPr>
        <w:rFonts w:hint="default"/>
      </w:rPr>
    </w:lvl>
    <w:lvl w:ilvl="4" w:tplc="4518F7F2" w:tentative="1">
      <w:start w:val="1"/>
      <w:numFmt w:val="lowerLetter"/>
      <w:lvlText w:val="%5."/>
      <w:lvlJc w:val="left"/>
      <w:pPr>
        <w:ind w:left="3600" w:hanging="360"/>
      </w:pPr>
    </w:lvl>
    <w:lvl w:ilvl="5" w:tplc="8560449E" w:tentative="1">
      <w:start w:val="1"/>
      <w:numFmt w:val="lowerRoman"/>
      <w:lvlText w:val="%6."/>
      <w:lvlJc w:val="right"/>
      <w:pPr>
        <w:ind w:left="4320" w:hanging="180"/>
      </w:pPr>
    </w:lvl>
    <w:lvl w:ilvl="6" w:tplc="D98C5C9A" w:tentative="1">
      <w:start w:val="1"/>
      <w:numFmt w:val="decimal"/>
      <w:lvlText w:val="%7."/>
      <w:lvlJc w:val="left"/>
      <w:pPr>
        <w:ind w:left="5040" w:hanging="360"/>
      </w:pPr>
    </w:lvl>
    <w:lvl w:ilvl="7" w:tplc="ED9C3BCA" w:tentative="1">
      <w:start w:val="1"/>
      <w:numFmt w:val="lowerLetter"/>
      <w:lvlText w:val="%8."/>
      <w:lvlJc w:val="left"/>
      <w:pPr>
        <w:ind w:left="5760" w:hanging="360"/>
      </w:pPr>
    </w:lvl>
    <w:lvl w:ilvl="8" w:tplc="0BD08330" w:tentative="1">
      <w:start w:val="1"/>
      <w:numFmt w:val="lowerRoman"/>
      <w:lvlText w:val="%9."/>
      <w:lvlJc w:val="right"/>
      <w:pPr>
        <w:ind w:left="6480" w:hanging="180"/>
      </w:pPr>
    </w:lvl>
  </w:abstractNum>
  <w:abstractNum w:abstractNumId="10" w15:restartNumberingAfterBreak="0">
    <w:nsid w:val="355A6983"/>
    <w:multiLevelType w:val="hybridMultilevel"/>
    <w:tmpl w:val="1D383612"/>
    <w:lvl w:ilvl="0" w:tplc="9F563AE4">
      <w:start w:val="1"/>
      <w:numFmt w:val="bullet"/>
      <w:lvlText w:val=""/>
      <w:lvlJc w:val="left"/>
      <w:pPr>
        <w:ind w:left="720" w:hanging="360"/>
      </w:pPr>
      <w:rPr>
        <w:rFonts w:ascii="Symbol" w:hAnsi="Symbol" w:hint="default"/>
      </w:rPr>
    </w:lvl>
    <w:lvl w:ilvl="1" w:tplc="8CFAE1A4" w:tentative="1">
      <w:start w:val="1"/>
      <w:numFmt w:val="bullet"/>
      <w:lvlText w:val="o"/>
      <w:lvlJc w:val="left"/>
      <w:pPr>
        <w:ind w:left="1440" w:hanging="360"/>
      </w:pPr>
      <w:rPr>
        <w:rFonts w:ascii="Courier New" w:hAnsi="Courier New" w:hint="default"/>
      </w:rPr>
    </w:lvl>
    <w:lvl w:ilvl="2" w:tplc="F1F86D6C" w:tentative="1">
      <w:start w:val="1"/>
      <w:numFmt w:val="bullet"/>
      <w:lvlText w:val=""/>
      <w:lvlJc w:val="left"/>
      <w:pPr>
        <w:ind w:left="2160" w:hanging="360"/>
      </w:pPr>
      <w:rPr>
        <w:rFonts w:ascii="Wingdings" w:hAnsi="Wingdings" w:hint="default"/>
      </w:rPr>
    </w:lvl>
    <w:lvl w:ilvl="3" w:tplc="2F0C291E" w:tentative="1">
      <w:start w:val="1"/>
      <w:numFmt w:val="bullet"/>
      <w:lvlText w:val=""/>
      <w:lvlJc w:val="left"/>
      <w:pPr>
        <w:ind w:left="2880" w:hanging="360"/>
      </w:pPr>
      <w:rPr>
        <w:rFonts w:ascii="Symbol" w:hAnsi="Symbol" w:hint="default"/>
      </w:rPr>
    </w:lvl>
    <w:lvl w:ilvl="4" w:tplc="C73E4796" w:tentative="1">
      <w:start w:val="1"/>
      <w:numFmt w:val="bullet"/>
      <w:lvlText w:val="o"/>
      <w:lvlJc w:val="left"/>
      <w:pPr>
        <w:ind w:left="3600" w:hanging="360"/>
      </w:pPr>
      <w:rPr>
        <w:rFonts w:ascii="Courier New" w:hAnsi="Courier New" w:hint="default"/>
      </w:rPr>
    </w:lvl>
    <w:lvl w:ilvl="5" w:tplc="9552F0C6" w:tentative="1">
      <w:start w:val="1"/>
      <w:numFmt w:val="bullet"/>
      <w:lvlText w:val=""/>
      <w:lvlJc w:val="left"/>
      <w:pPr>
        <w:ind w:left="4320" w:hanging="360"/>
      </w:pPr>
      <w:rPr>
        <w:rFonts w:ascii="Wingdings" w:hAnsi="Wingdings" w:hint="default"/>
      </w:rPr>
    </w:lvl>
    <w:lvl w:ilvl="6" w:tplc="8DCAE67A" w:tentative="1">
      <w:start w:val="1"/>
      <w:numFmt w:val="bullet"/>
      <w:lvlText w:val=""/>
      <w:lvlJc w:val="left"/>
      <w:pPr>
        <w:ind w:left="5040" w:hanging="360"/>
      </w:pPr>
      <w:rPr>
        <w:rFonts w:ascii="Symbol" w:hAnsi="Symbol" w:hint="default"/>
      </w:rPr>
    </w:lvl>
    <w:lvl w:ilvl="7" w:tplc="6C100370" w:tentative="1">
      <w:start w:val="1"/>
      <w:numFmt w:val="bullet"/>
      <w:lvlText w:val="o"/>
      <w:lvlJc w:val="left"/>
      <w:pPr>
        <w:ind w:left="5760" w:hanging="360"/>
      </w:pPr>
      <w:rPr>
        <w:rFonts w:ascii="Courier New" w:hAnsi="Courier New" w:hint="default"/>
      </w:rPr>
    </w:lvl>
    <w:lvl w:ilvl="8" w:tplc="327C3DD4" w:tentative="1">
      <w:start w:val="1"/>
      <w:numFmt w:val="bullet"/>
      <w:lvlText w:val=""/>
      <w:lvlJc w:val="left"/>
      <w:pPr>
        <w:ind w:left="6480" w:hanging="360"/>
      </w:pPr>
      <w:rPr>
        <w:rFonts w:ascii="Wingdings" w:hAnsi="Wingdings" w:hint="default"/>
      </w:rPr>
    </w:lvl>
  </w:abstractNum>
  <w:abstractNum w:abstractNumId="11" w15:restartNumberingAfterBreak="0">
    <w:nsid w:val="35914890"/>
    <w:multiLevelType w:val="hybridMultilevel"/>
    <w:tmpl w:val="06289454"/>
    <w:lvl w:ilvl="0" w:tplc="3490EFDA">
      <w:start w:val="1"/>
      <w:numFmt w:val="decimal"/>
      <w:lvlText w:val="%1."/>
      <w:lvlJc w:val="left"/>
      <w:pPr>
        <w:ind w:left="764" w:hanging="360"/>
      </w:pPr>
      <w:rPr>
        <w:rFonts w:hint="default"/>
      </w:rPr>
    </w:lvl>
    <w:lvl w:ilvl="1" w:tplc="18861986">
      <w:numFmt w:val="bullet"/>
      <w:lvlText w:val="-"/>
      <w:lvlJc w:val="left"/>
      <w:pPr>
        <w:ind w:left="1484" w:hanging="360"/>
      </w:pPr>
      <w:rPr>
        <w:rFonts w:ascii="Calibri" w:eastAsiaTheme="minorEastAsia" w:hAnsi="Calibri" w:cs="Calibri" w:hint="default"/>
      </w:rPr>
    </w:lvl>
    <w:lvl w:ilvl="2" w:tplc="776030C6" w:tentative="1">
      <w:start w:val="1"/>
      <w:numFmt w:val="bullet"/>
      <w:lvlText w:val=""/>
      <w:lvlJc w:val="left"/>
      <w:pPr>
        <w:ind w:left="2204" w:hanging="360"/>
      </w:pPr>
      <w:rPr>
        <w:rFonts w:ascii="Wingdings" w:hAnsi="Wingdings" w:hint="default"/>
      </w:rPr>
    </w:lvl>
    <w:lvl w:ilvl="3" w:tplc="A9D287A8" w:tentative="1">
      <w:start w:val="1"/>
      <w:numFmt w:val="bullet"/>
      <w:lvlText w:val=""/>
      <w:lvlJc w:val="left"/>
      <w:pPr>
        <w:ind w:left="2924" w:hanging="360"/>
      </w:pPr>
      <w:rPr>
        <w:rFonts w:ascii="Symbol" w:hAnsi="Symbol" w:hint="default"/>
      </w:rPr>
    </w:lvl>
    <w:lvl w:ilvl="4" w:tplc="B0564B6A" w:tentative="1">
      <w:start w:val="1"/>
      <w:numFmt w:val="bullet"/>
      <w:lvlText w:val="o"/>
      <w:lvlJc w:val="left"/>
      <w:pPr>
        <w:ind w:left="3644" w:hanging="360"/>
      </w:pPr>
      <w:rPr>
        <w:rFonts w:ascii="Courier New" w:hAnsi="Courier New" w:cs="Courier New" w:hint="default"/>
      </w:rPr>
    </w:lvl>
    <w:lvl w:ilvl="5" w:tplc="8ACA0E30" w:tentative="1">
      <w:start w:val="1"/>
      <w:numFmt w:val="bullet"/>
      <w:lvlText w:val=""/>
      <w:lvlJc w:val="left"/>
      <w:pPr>
        <w:ind w:left="4364" w:hanging="360"/>
      </w:pPr>
      <w:rPr>
        <w:rFonts w:ascii="Wingdings" w:hAnsi="Wingdings" w:hint="default"/>
      </w:rPr>
    </w:lvl>
    <w:lvl w:ilvl="6" w:tplc="A09C0C58" w:tentative="1">
      <w:start w:val="1"/>
      <w:numFmt w:val="bullet"/>
      <w:lvlText w:val=""/>
      <w:lvlJc w:val="left"/>
      <w:pPr>
        <w:ind w:left="5084" w:hanging="360"/>
      </w:pPr>
      <w:rPr>
        <w:rFonts w:ascii="Symbol" w:hAnsi="Symbol" w:hint="default"/>
      </w:rPr>
    </w:lvl>
    <w:lvl w:ilvl="7" w:tplc="00F88FD8" w:tentative="1">
      <w:start w:val="1"/>
      <w:numFmt w:val="bullet"/>
      <w:lvlText w:val="o"/>
      <w:lvlJc w:val="left"/>
      <w:pPr>
        <w:ind w:left="5804" w:hanging="360"/>
      </w:pPr>
      <w:rPr>
        <w:rFonts w:ascii="Courier New" w:hAnsi="Courier New" w:cs="Courier New" w:hint="default"/>
      </w:rPr>
    </w:lvl>
    <w:lvl w:ilvl="8" w:tplc="F516E71C" w:tentative="1">
      <w:start w:val="1"/>
      <w:numFmt w:val="bullet"/>
      <w:lvlText w:val=""/>
      <w:lvlJc w:val="left"/>
      <w:pPr>
        <w:ind w:left="6524" w:hanging="360"/>
      </w:pPr>
      <w:rPr>
        <w:rFonts w:ascii="Wingdings" w:hAnsi="Wingdings" w:hint="default"/>
      </w:rPr>
    </w:lvl>
  </w:abstractNum>
  <w:abstractNum w:abstractNumId="12" w15:restartNumberingAfterBreak="0">
    <w:nsid w:val="46282058"/>
    <w:multiLevelType w:val="hybridMultilevel"/>
    <w:tmpl w:val="0EA089C6"/>
    <w:lvl w:ilvl="0" w:tplc="29F85B72">
      <w:start w:val="31"/>
      <w:numFmt w:val="bullet"/>
      <w:lvlText w:val="-"/>
      <w:lvlJc w:val="left"/>
      <w:pPr>
        <w:ind w:left="720" w:hanging="360"/>
      </w:pPr>
      <w:rPr>
        <w:rFonts w:ascii="Calibri" w:eastAsia="Times New Roman" w:hAnsi="Calibri" w:hint="default"/>
      </w:rPr>
    </w:lvl>
    <w:lvl w:ilvl="1" w:tplc="7EC6EE08" w:tentative="1">
      <w:start w:val="1"/>
      <w:numFmt w:val="bullet"/>
      <w:lvlText w:val="o"/>
      <w:lvlJc w:val="left"/>
      <w:pPr>
        <w:ind w:left="1440" w:hanging="360"/>
      </w:pPr>
      <w:rPr>
        <w:rFonts w:ascii="Courier New" w:hAnsi="Courier New" w:cs="Courier New" w:hint="default"/>
      </w:rPr>
    </w:lvl>
    <w:lvl w:ilvl="2" w:tplc="31026AB0" w:tentative="1">
      <w:start w:val="1"/>
      <w:numFmt w:val="bullet"/>
      <w:lvlText w:val=""/>
      <w:lvlJc w:val="left"/>
      <w:pPr>
        <w:ind w:left="2160" w:hanging="360"/>
      </w:pPr>
      <w:rPr>
        <w:rFonts w:ascii="Wingdings" w:hAnsi="Wingdings" w:hint="default"/>
      </w:rPr>
    </w:lvl>
    <w:lvl w:ilvl="3" w:tplc="6B74B1E2" w:tentative="1">
      <w:start w:val="1"/>
      <w:numFmt w:val="bullet"/>
      <w:lvlText w:val=""/>
      <w:lvlJc w:val="left"/>
      <w:pPr>
        <w:ind w:left="2880" w:hanging="360"/>
      </w:pPr>
      <w:rPr>
        <w:rFonts w:ascii="Symbol" w:hAnsi="Symbol" w:hint="default"/>
      </w:rPr>
    </w:lvl>
    <w:lvl w:ilvl="4" w:tplc="D1B6DD22" w:tentative="1">
      <w:start w:val="1"/>
      <w:numFmt w:val="bullet"/>
      <w:lvlText w:val="o"/>
      <w:lvlJc w:val="left"/>
      <w:pPr>
        <w:ind w:left="3600" w:hanging="360"/>
      </w:pPr>
      <w:rPr>
        <w:rFonts w:ascii="Courier New" w:hAnsi="Courier New" w:cs="Courier New" w:hint="default"/>
      </w:rPr>
    </w:lvl>
    <w:lvl w:ilvl="5" w:tplc="FCD87FA8" w:tentative="1">
      <w:start w:val="1"/>
      <w:numFmt w:val="bullet"/>
      <w:lvlText w:val=""/>
      <w:lvlJc w:val="left"/>
      <w:pPr>
        <w:ind w:left="4320" w:hanging="360"/>
      </w:pPr>
      <w:rPr>
        <w:rFonts w:ascii="Wingdings" w:hAnsi="Wingdings" w:hint="default"/>
      </w:rPr>
    </w:lvl>
    <w:lvl w:ilvl="6" w:tplc="B6A0BC2C" w:tentative="1">
      <w:start w:val="1"/>
      <w:numFmt w:val="bullet"/>
      <w:lvlText w:val=""/>
      <w:lvlJc w:val="left"/>
      <w:pPr>
        <w:ind w:left="5040" w:hanging="360"/>
      </w:pPr>
      <w:rPr>
        <w:rFonts w:ascii="Symbol" w:hAnsi="Symbol" w:hint="default"/>
      </w:rPr>
    </w:lvl>
    <w:lvl w:ilvl="7" w:tplc="8474F8A2" w:tentative="1">
      <w:start w:val="1"/>
      <w:numFmt w:val="bullet"/>
      <w:lvlText w:val="o"/>
      <w:lvlJc w:val="left"/>
      <w:pPr>
        <w:ind w:left="5760" w:hanging="360"/>
      </w:pPr>
      <w:rPr>
        <w:rFonts w:ascii="Courier New" w:hAnsi="Courier New" w:cs="Courier New" w:hint="default"/>
      </w:rPr>
    </w:lvl>
    <w:lvl w:ilvl="8" w:tplc="E188B8B4" w:tentative="1">
      <w:start w:val="1"/>
      <w:numFmt w:val="bullet"/>
      <w:lvlText w:val=""/>
      <w:lvlJc w:val="left"/>
      <w:pPr>
        <w:ind w:left="6480" w:hanging="360"/>
      </w:pPr>
      <w:rPr>
        <w:rFonts w:ascii="Wingdings" w:hAnsi="Wingdings" w:hint="default"/>
      </w:rPr>
    </w:lvl>
  </w:abstractNum>
  <w:abstractNum w:abstractNumId="13" w15:restartNumberingAfterBreak="0">
    <w:nsid w:val="48523850"/>
    <w:multiLevelType w:val="hybridMultilevel"/>
    <w:tmpl w:val="64AA27F8"/>
    <w:lvl w:ilvl="0" w:tplc="C6AA0854">
      <w:start w:val="1"/>
      <w:numFmt w:val="bullet"/>
      <w:lvlText w:val=""/>
      <w:lvlJc w:val="left"/>
      <w:pPr>
        <w:ind w:left="360" w:hanging="360"/>
      </w:pPr>
      <w:rPr>
        <w:rFonts w:ascii="Symbol" w:hAnsi="Symbol" w:hint="default"/>
      </w:rPr>
    </w:lvl>
    <w:lvl w:ilvl="1" w:tplc="BD48F080" w:tentative="1">
      <w:start w:val="1"/>
      <w:numFmt w:val="bullet"/>
      <w:lvlText w:val="o"/>
      <w:lvlJc w:val="left"/>
      <w:pPr>
        <w:ind w:left="1080" w:hanging="360"/>
      </w:pPr>
      <w:rPr>
        <w:rFonts w:ascii="Courier New" w:hAnsi="Courier New" w:cs="Courier New" w:hint="default"/>
      </w:rPr>
    </w:lvl>
    <w:lvl w:ilvl="2" w:tplc="FE92AA10" w:tentative="1">
      <w:start w:val="1"/>
      <w:numFmt w:val="bullet"/>
      <w:lvlText w:val=""/>
      <w:lvlJc w:val="left"/>
      <w:pPr>
        <w:ind w:left="1800" w:hanging="360"/>
      </w:pPr>
      <w:rPr>
        <w:rFonts w:ascii="Wingdings" w:hAnsi="Wingdings" w:hint="default"/>
      </w:rPr>
    </w:lvl>
    <w:lvl w:ilvl="3" w:tplc="961648F2" w:tentative="1">
      <w:start w:val="1"/>
      <w:numFmt w:val="bullet"/>
      <w:lvlText w:val=""/>
      <w:lvlJc w:val="left"/>
      <w:pPr>
        <w:ind w:left="2520" w:hanging="360"/>
      </w:pPr>
      <w:rPr>
        <w:rFonts w:ascii="Symbol" w:hAnsi="Symbol" w:hint="default"/>
      </w:rPr>
    </w:lvl>
    <w:lvl w:ilvl="4" w:tplc="BA62C6F8" w:tentative="1">
      <w:start w:val="1"/>
      <w:numFmt w:val="bullet"/>
      <w:lvlText w:val="o"/>
      <w:lvlJc w:val="left"/>
      <w:pPr>
        <w:ind w:left="3240" w:hanging="360"/>
      </w:pPr>
      <w:rPr>
        <w:rFonts w:ascii="Courier New" w:hAnsi="Courier New" w:cs="Courier New" w:hint="default"/>
      </w:rPr>
    </w:lvl>
    <w:lvl w:ilvl="5" w:tplc="BD747D94" w:tentative="1">
      <w:start w:val="1"/>
      <w:numFmt w:val="bullet"/>
      <w:lvlText w:val=""/>
      <w:lvlJc w:val="left"/>
      <w:pPr>
        <w:ind w:left="3960" w:hanging="360"/>
      </w:pPr>
      <w:rPr>
        <w:rFonts w:ascii="Wingdings" w:hAnsi="Wingdings" w:hint="default"/>
      </w:rPr>
    </w:lvl>
    <w:lvl w:ilvl="6" w:tplc="21BC7008" w:tentative="1">
      <w:start w:val="1"/>
      <w:numFmt w:val="bullet"/>
      <w:lvlText w:val=""/>
      <w:lvlJc w:val="left"/>
      <w:pPr>
        <w:ind w:left="4680" w:hanging="360"/>
      </w:pPr>
      <w:rPr>
        <w:rFonts w:ascii="Symbol" w:hAnsi="Symbol" w:hint="default"/>
      </w:rPr>
    </w:lvl>
    <w:lvl w:ilvl="7" w:tplc="79040C36" w:tentative="1">
      <w:start w:val="1"/>
      <w:numFmt w:val="bullet"/>
      <w:lvlText w:val="o"/>
      <w:lvlJc w:val="left"/>
      <w:pPr>
        <w:ind w:left="5400" w:hanging="360"/>
      </w:pPr>
      <w:rPr>
        <w:rFonts w:ascii="Courier New" w:hAnsi="Courier New" w:cs="Courier New" w:hint="default"/>
      </w:rPr>
    </w:lvl>
    <w:lvl w:ilvl="8" w:tplc="CFA48732" w:tentative="1">
      <w:start w:val="1"/>
      <w:numFmt w:val="bullet"/>
      <w:lvlText w:val=""/>
      <w:lvlJc w:val="left"/>
      <w:pPr>
        <w:ind w:left="6120" w:hanging="360"/>
      </w:pPr>
      <w:rPr>
        <w:rFonts w:ascii="Wingdings" w:hAnsi="Wingdings" w:hint="default"/>
      </w:rPr>
    </w:lvl>
  </w:abstractNum>
  <w:abstractNum w:abstractNumId="14" w15:restartNumberingAfterBreak="0">
    <w:nsid w:val="55446990"/>
    <w:multiLevelType w:val="hybridMultilevel"/>
    <w:tmpl w:val="EABE0BEE"/>
    <w:lvl w:ilvl="0" w:tplc="B3BCC9F4">
      <w:start w:val="1"/>
      <w:numFmt w:val="bullet"/>
      <w:lvlText w:val=""/>
      <w:lvlJc w:val="left"/>
      <w:pPr>
        <w:ind w:left="720" w:hanging="360"/>
      </w:pPr>
      <w:rPr>
        <w:rFonts w:ascii="Symbol" w:hAnsi="Symbol" w:hint="default"/>
      </w:rPr>
    </w:lvl>
    <w:lvl w:ilvl="1" w:tplc="2978677E" w:tentative="1">
      <w:start w:val="1"/>
      <w:numFmt w:val="bullet"/>
      <w:lvlText w:val="o"/>
      <w:lvlJc w:val="left"/>
      <w:pPr>
        <w:ind w:left="1440" w:hanging="360"/>
      </w:pPr>
      <w:rPr>
        <w:rFonts w:ascii="Courier New" w:hAnsi="Courier New" w:hint="default"/>
      </w:rPr>
    </w:lvl>
    <w:lvl w:ilvl="2" w:tplc="E5069CC8" w:tentative="1">
      <w:start w:val="1"/>
      <w:numFmt w:val="bullet"/>
      <w:lvlText w:val=""/>
      <w:lvlJc w:val="left"/>
      <w:pPr>
        <w:ind w:left="2160" w:hanging="360"/>
      </w:pPr>
      <w:rPr>
        <w:rFonts w:ascii="Wingdings" w:hAnsi="Wingdings" w:hint="default"/>
      </w:rPr>
    </w:lvl>
    <w:lvl w:ilvl="3" w:tplc="329E3670" w:tentative="1">
      <w:start w:val="1"/>
      <w:numFmt w:val="bullet"/>
      <w:lvlText w:val=""/>
      <w:lvlJc w:val="left"/>
      <w:pPr>
        <w:ind w:left="2880" w:hanging="360"/>
      </w:pPr>
      <w:rPr>
        <w:rFonts w:ascii="Symbol" w:hAnsi="Symbol" w:hint="default"/>
      </w:rPr>
    </w:lvl>
    <w:lvl w:ilvl="4" w:tplc="CE8A25E2" w:tentative="1">
      <w:start w:val="1"/>
      <w:numFmt w:val="bullet"/>
      <w:lvlText w:val="o"/>
      <w:lvlJc w:val="left"/>
      <w:pPr>
        <w:ind w:left="3600" w:hanging="360"/>
      </w:pPr>
      <w:rPr>
        <w:rFonts w:ascii="Courier New" w:hAnsi="Courier New" w:hint="default"/>
      </w:rPr>
    </w:lvl>
    <w:lvl w:ilvl="5" w:tplc="9C7268B4" w:tentative="1">
      <w:start w:val="1"/>
      <w:numFmt w:val="bullet"/>
      <w:lvlText w:val=""/>
      <w:lvlJc w:val="left"/>
      <w:pPr>
        <w:ind w:left="4320" w:hanging="360"/>
      </w:pPr>
      <w:rPr>
        <w:rFonts w:ascii="Wingdings" w:hAnsi="Wingdings" w:hint="default"/>
      </w:rPr>
    </w:lvl>
    <w:lvl w:ilvl="6" w:tplc="55E48686" w:tentative="1">
      <w:start w:val="1"/>
      <w:numFmt w:val="bullet"/>
      <w:lvlText w:val=""/>
      <w:lvlJc w:val="left"/>
      <w:pPr>
        <w:ind w:left="5040" w:hanging="360"/>
      </w:pPr>
      <w:rPr>
        <w:rFonts w:ascii="Symbol" w:hAnsi="Symbol" w:hint="default"/>
      </w:rPr>
    </w:lvl>
    <w:lvl w:ilvl="7" w:tplc="283856C0" w:tentative="1">
      <w:start w:val="1"/>
      <w:numFmt w:val="bullet"/>
      <w:lvlText w:val="o"/>
      <w:lvlJc w:val="left"/>
      <w:pPr>
        <w:ind w:left="5760" w:hanging="360"/>
      </w:pPr>
      <w:rPr>
        <w:rFonts w:ascii="Courier New" w:hAnsi="Courier New" w:hint="default"/>
      </w:rPr>
    </w:lvl>
    <w:lvl w:ilvl="8" w:tplc="6EFC3CAA" w:tentative="1">
      <w:start w:val="1"/>
      <w:numFmt w:val="bullet"/>
      <w:lvlText w:val=""/>
      <w:lvlJc w:val="left"/>
      <w:pPr>
        <w:ind w:left="6480" w:hanging="360"/>
      </w:pPr>
      <w:rPr>
        <w:rFonts w:ascii="Wingdings" w:hAnsi="Wingdings" w:hint="default"/>
      </w:rPr>
    </w:lvl>
  </w:abstractNum>
  <w:abstractNum w:abstractNumId="15" w15:restartNumberingAfterBreak="0">
    <w:nsid w:val="574B257D"/>
    <w:multiLevelType w:val="hybridMultilevel"/>
    <w:tmpl w:val="EA708FE2"/>
    <w:lvl w:ilvl="0" w:tplc="3C54C092">
      <w:start w:val="1"/>
      <w:numFmt w:val="bullet"/>
      <w:lvlText w:val=""/>
      <w:lvlJc w:val="left"/>
      <w:pPr>
        <w:ind w:left="770" w:hanging="360"/>
      </w:pPr>
      <w:rPr>
        <w:rFonts w:ascii="Symbol" w:hAnsi="Symbol" w:hint="default"/>
      </w:rPr>
    </w:lvl>
    <w:lvl w:ilvl="1" w:tplc="274CE6D0" w:tentative="1">
      <w:start w:val="1"/>
      <w:numFmt w:val="bullet"/>
      <w:lvlText w:val="o"/>
      <w:lvlJc w:val="left"/>
      <w:pPr>
        <w:ind w:left="1490" w:hanging="360"/>
      </w:pPr>
      <w:rPr>
        <w:rFonts w:ascii="Courier New" w:hAnsi="Courier New" w:cs="Courier New" w:hint="default"/>
      </w:rPr>
    </w:lvl>
    <w:lvl w:ilvl="2" w:tplc="6CFECB2C" w:tentative="1">
      <w:start w:val="1"/>
      <w:numFmt w:val="bullet"/>
      <w:lvlText w:val=""/>
      <w:lvlJc w:val="left"/>
      <w:pPr>
        <w:ind w:left="2210" w:hanging="360"/>
      </w:pPr>
      <w:rPr>
        <w:rFonts w:ascii="Wingdings" w:hAnsi="Wingdings" w:hint="default"/>
      </w:rPr>
    </w:lvl>
    <w:lvl w:ilvl="3" w:tplc="CB1ECBAE" w:tentative="1">
      <w:start w:val="1"/>
      <w:numFmt w:val="bullet"/>
      <w:lvlText w:val=""/>
      <w:lvlJc w:val="left"/>
      <w:pPr>
        <w:ind w:left="2930" w:hanging="360"/>
      </w:pPr>
      <w:rPr>
        <w:rFonts w:ascii="Symbol" w:hAnsi="Symbol" w:hint="default"/>
      </w:rPr>
    </w:lvl>
    <w:lvl w:ilvl="4" w:tplc="84043572" w:tentative="1">
      <w:start w:val="1"/>
      <w:numFmt w:val="bullet"/>
      <w:lvlText w:val="o"/>
      <w:lvlJc w:val="left"/>
      <w:pPr>
        <w:ind w:left="3650" w:hanging="360"/>
      </w:pPr>
      <w:rPr>
        <w:rFonts w:ascii="Courier New" w:hAnsi="Courier New" w:cs="Courier New" w:hint="default"/>
      </w:rPr>
    </w:lvl>
    <w:lvl w:ilvl="5" w:tplc="C74649D0" w:tentative="1">
      <w:start w:val="1"/>
      <w:numFmt w:val="bullet"/>
      <w:lvlText w:val=""/>
      <w:lvlJc w:val="left"/>
      <w:pPr>
        <w:ind w:left="4370" w:hanging="360"/>
      </w:pPr>
      <w:rPr>
        <w:rFonts w:ascii="Wingdings" w:hAnsi="Wingdings" w:hint="default"/>
      </w:rPr>
    </w:lvl>
    <w:lvl w:ilvl="6" w:tplc="136EDF3E" w:tentative="1">
      <w:start w:val="1"/>
      <w:numFmt w:val="bullet"/>
      <w:lvlText w:val=""/>
      <w:lvlJc w:val="left"/>
      <w:pPr>
        <w:ind w:left="5090" w:hanging="360"/>
      </w:pPr>
      <w:rPr>
        <w:rFonts w:ascii="Symbol" w:hAnsi="Symbol" w:hint="default"/>
      </w:rPr>
    </w:lvl>
    <w:lvl w:ilvl="7" w:tplc="067E8378" w:tentative="1">
      <w:start w:val="1"/>
      <w:numFmt w:val="bullet"/>
      <w:lvlText w:val="o"/>
      <w:lvlJc w:val="left"/>
      <w:pPr>
        <w:ind w:left="5810" w:hanging="360"/>
      </w:pPr>
      <w:rPr>
        <w:rFonts w:ascii="Courier New" w:hAnsi="Courier New" w:cs="Courier New" w:hint="default"/>
      </w:rPr>
    </w:lvl>
    <w:lvl w:ilvl="8" w:tplc="384AE69A" w:tentative="1">
      <w:start w:val="1"/>
      <w:numFmt w:val="bullet"/>
      <w:lvlText w:val=""/>
      <w:lvlJc w:val="left"/>
      <w:pPr>
        <w:ind w:left="6530" w:hanging="360"/>
      </w:pPr>
      <w:rPr>
        <w:rFonts w:ascii="Wingdings" w:hAnsi="Wingdings" w:hint="default"/>
      </w:rPr>
    </w:lvl>
  </w:abstractNum>
  <w:abstractNum w:abstractNumId="16" w15:restartNumberingAfterBreak="0">
    <w:nsid w:val="5BFA4C0C"/>
    <w:multiLevelType w:val="hybridMultilevel"/>
    <w:tmpl w:val="494A00DE"/>
    <w:lvl w:ilvl="0" w:tplc="C7F6BED6">
      <w:start w:val="1"/>
      <w:numFmt w:val="bullet"/>
      <w:lvlText w:val=""/>
      <w:lvlJc w:val="left"/>
      <w:pPr>
        <w:ind w:left="720" w:hanging="360"/>
      </w:pPr>
      <w:rPr>
        <w:rFonts w:ascii="Symbol" w:hAnsi="Symbol" w:hint="default"/>
      </w:rPr>
    </w:lvl>
    <w:lvl w:ilvl="1" w:tplc="9EF0D748" w:tentative="1">
      <w:start w:val="1"/>
      <w:numFmt w:val="bullet"/>
      <w:lvlText w:val="o"/>
      <w:lvlJc w:val="left"/>
      <w:pPr>
        <w:ind w:left="1440" w:hanging="360"/>
      </w:pPr>
      <w:rPr>
        <w:rFonts w:ascii="Courier New" w:hAnsi="Courier New" w:cs="Courier New" w:hint="default"/>
      </w:rPr>
    </w:lvl>
    <w:lvl w:ilvl="2" w:tplc="71B4A298" w:tentative="1">
      <w:start w:val="1"/>
      <w:numFmt w:val="bullet"/>
      <w:lvlText w:val=""/>
      <w:lvlJc w:val="left"/>
      <w:pPr>
        <w:ind w:left="2160" w:hanging="360"/>
      </w:pPr>
      <w:rPr>
        <w:rFonts w:ascii="Wingdings" w:hAnsi="Wingdings" w:hint="default"/>
      </w:rPr>
    </w:lvl>
    <w:lvl w:ilvl="3" w:tplc="14F43FF2" w:tentative="1">
      <w:start w:val="1"/>
      <w:numFmt w:val="bullet"/>
      <w:lvlText w:val=""/>
      <w:lvlJc w:val="left"/>
      <w:pPr>
        <w:ind w:left="2880" w:hanging="360"/>
      </w:pPr>
      <w:rPr>
        <w:rFonts w:ascii="Symbol" w:hAnsi="Symbol" w:hint="default"/>
      </w:rPr>
    </w:lvl>
    <w:lvl w:ilvl="4" w:tplc="B64E43D0" w:tentative="1">
      <w:start w:val="1"/>
      <w:numFmt w:val="bullet"/>
      <w:lvlText w:val="o"/>
      <w:lvlJc w:val="left"/>
      <w:pPr>
        <w:ind w:left="3600" w:hanging="360"/>
      </w:pPr>
      <w:rPr>
        <w:rFonts w:ascii="Courier New" w:hAnsi="Courier New" w:cs="Courier New" w:hint="default"/>
      </w:rPr>
    </w:lvl>
    <w:lvl w:ilvl="5" w:tplc="EB6C202A" w:tentative="1">
      <w:start w:val="1"/>
      <w:numFmt w:val="bullet"/>
      <w:lvlText w:val=""/>
      <w:lvlJc w:val="left"/>
      <w:pPr>
        <w:ind w:left="4320" w:hanging="360"/>
      </w:pPr>
      <w:rPr>
        <w:rFonts w:ascii="Wingdings" w:hAnsi="Wingdings" w:hint="default"/>
      </w:rPr>
    </w:lvl>
    <w:lvl w:ilvl="6" w:tplc="3E8E1F1C" w:tentative="1">
      <w:start w:val="1"/>
      <w:numFmt w:val="bullet"/>
      <w:lvlText w:val=""/>
      <w:lvlJc w:val="left"/>
      <w:pPr>
        <w:ind w:left="5040" w:hanging="360"/>
      </w:pPr>
      <w:rPr>
        <w:rFonts w:ascii="Symbol" w:hAnsi="Symbol" w:hint="default"/>
      </w:rPr>
    </w:lvl>
    <w:lvl w:ilvl="7" w:tplc="BABAEC74" w:tentative="1">
      <w:start w:val="1"/>
      <w:numFmt w:val="bullet"/>
      <w:lvlText w:val="o"/>
      <w:lvlJc w:val="left"/>
      <w:pPr>
        <w:ind w:left="5760" w:hanging="360"/>
      </w:pPr>
      <w:rPr>
        <w:rFonts w:ascii="Courier New" w:hAnsi="Courier New" w:cs="Courier New" w:hint="default"/>
      </w:rPr>
    </w:lvl>
    <w:lvl w:ilvl="8" w:tplc="A48CFFEA" w:tentative="1">
      <w:start w:val="1"/>
      <w:numFmt w:val="bullet"/>
      <w:lvlText w:val=""/>
      <w:lvlJc w:val="left"/>
      <w:pPr>
        <w:ind w:left="6480" w:hanging="360"/>
      </w:pPr>
      <w:rPr>
        <w:rFonts w:ascii="Wingdings" w:hAnsi="Wingdings" w:hint="default"/>
      </w:rPr>
    </w:lvl>
  </w:abstractNum>
  <w:abstractNum w:abstractNumId="17" w15:restartNumberingAfterBreak="0">
    <w:nsid w:val="614B3330"/>
    <w:multiLevelType w:val="hybridMultilevel"/>
    <w:tmpl w:val="641CFEBC"/>
    <w:lvl w:ilvl="0" w:tplc="435A4F8C">
      <w:start w:val="1"/>
      <w:numFmt w:val="bullet"/>
      <w:lvlText w:val=""/>
      <w:lvlJc w:val="left"/>
      <w:pPr>
        <w:ind w:left="360" w:hanging="360"/>
      </w:pPr>
      <w:rPr>
        <w:rFonts w:ascii="Symbol" w:hAnsi="Symbol" w:hint="default"/>
      </w:rPr>
    </w:lvl>
    <w:lvl w:ilvl="1" w:tplc="38DCC0D8" w:tentative="1">
      <w:start w:val="1"/>
      <w:numFmt w:val="bullet"/>
      <w:lvlText w:val="o"/>
      <w:lvlJc w:val="left"/>
      <w:pPr>
        <w:ind w:left="1080" w:hanging="360"/>
      </w:pPr>
      <w:rPr>
        <w:rFonts w:ascii="Courier New" w:hAnsi="Courier New" w:cs="Courier New" w:hint="default"/>
      </w:rPr>
    </w:lvl>
    <w:lvl w:ilvl="2" w:tplc="B644C990" w:tentative="1">
      <w:start w:val="1"/>
      <w:numFmt w:val="bullet"/>
      <w:lvlText w:val=""/>
      <w:lvlJc w:val="left"/>
      <w:pPr>
        <w:ind w:left="1800" w:hanging="360"/>
      </w:pPr>
      <w:rPr>
        <w:rFonts w:ascii="Wingdings" w:hAnsi="Wingdings" w:hint="default"/>
      </w:rPr>
    </w:lvl>
    <w:lvl w:ilvl="3" w:tplc="4BAA1B96" w:tentative="1">
      <w:start w:val="1"/>
      <w:numFmt w:val="bullet"/>
      <w:lvlText w:val=""/>
      <w:lvlJc w:val="left"/>
      <w:pPr>
        <w:ind w:left="2520" w:hanging="360"/>
      </w:pPr>
      <w:rPr>
        <w:rFonts w:ascii="Symbol" w:hAnsi="Symbol" w:hint="default"/>
      </w:rPr>
    </w:lvl>
    <w:lvl w:ilvl="4" w:tplc="92F078D6" w:tentative="1">
      <w:start w:val="1"/>
      <w:numFmt w:val="bullet"/>
      <w:lvlText w:val="o"/>
      <w:lvlJc w:val="left"/>
      <w:pPr>
        <w:ind w:left="3240" w:hanging="360"/>
      </w:pPr>
      <w:rPr>
        <w:rFonts w:ascii="Courier New" w:hAnsi="Courier New" w:cs="Courier New" w:hint="default"/>
      </w:rPr>
    </w:lvl>
    <w:lvl w:ilvl="5" w:tplc="3BD02C34" w:tentative="1">
      <w:start w:val="1"/>
      <w:numFmt w:val="bullet"/>
      <w:lvlText w:val=""/>
      <w:lvlJc w:val="left"/>
      <w:pPr>
        <w:ind w:left="3960" w:hanging="360"/>
      </w:pPr>
      <w:rPr>
        <w:rFonts w:ascii="Wingdings" w:hAnsi="Wingdings" w:hint="default"/>
      </w:rPr>
    </w:lvl>
    <w:lvl w:ilvl="6" w:tplc="24401A52" w:tentative="1">
      <w:start w:val="1"/>
      <w:numFmt w:val="bullet"/>
      <w:lvlText w:val=""/>
      <w:lvlJc w:val="left"/>
      <w:pPr>
        <w:ind w:left="4680" w:hanging="360"/>
      </w:pPr>
      <w:rPr>
        <w:rFonts w:ascii="Symbol" w:hAnsi="Symbol" w:hint="default"/>
      </w:rPr>
    </w:lvl>
    <w:lvl w:ilvl="7" w:tplc="0B32CD04" w:tentative="1">
      <w:start w:val="1"/>
      <w:numFmt w:val="bullet"/>
      <w:lvlText w:val="o"/>
      <w:lvlJc w:val="left"/>
      <w:pPr>
        <w:ind w:left="5400" w:hanging="360"/>
      </w:pPr>
      <w:rPr>
        <w:rFonts w:ascii="Courier New" w:hAnsi="Courier New" w:cs="Courier New" w:hint="default"/>
      </w:rPr>
    </w:lvl>
    <w:lvl w:ilvl="8" w:tplc="B4B2AA76" w:tentative="1">
      <w:start w:val="1"/>
      <w:numFmt w:val="bullet"/>
      <w:lvlText w:val=""/>
      <w:lvlJc w:val="left"/>
      <w:pPr>
        <w:ind w:left="6120" w:hanging="360"/>
      </w:pPr>
      <w:rPr>
        <w:rFonts w:ascii="Wingdings" w:hAnsi="Wingdings" w:hint="default"/>
      </w:rPr>
    </w:lvl>
  </w:abstractNum>
  <w:abstractNum w:abstractNumId="18" w15:restartNumberingAfterBreak="0">
    <w:nsid w:val="66884E92"/>
    <w:multiLevelType w:val="hybridMultilevel"/>
    <w:tmpl w:val="FDBEF15A"/>
    <w:lvl w:ilvl="0" w:tplc="2B0E1D52">
      <w:start w:val="1"/>
      <w:numFmt w:val="bullet"/>
      <w:lvlText w:val=""/>
      <w:lvlJc w:val="left"/>
      <w:pPr>
        <w:ind w:left="764" w:hanging="360"/>
      </w:pPr>
      <w:rPr>
        <w:rFonts w:ascii="Symbol" w:hAnsi="Symbol" w:hint="default"/>
      </w:rPr>
    </w:lvl>
    <w:lvl w:ilvl="1" w:tplc="2B8E494E">
      <w:numFmt w:val="bullet"/>
      <w:lvlText w:val="-"/>
      <w:lvlJc w:val="left"/>
      <w:pPr>
        <w:ind w:left="1484" w:hanging="360"/>
      </w:pPr>
      <w:rPr>
        <w:rFonts w:ascii="Calibri" w:eastAsiaTheme="minorEastAsia" w:hAnsi="Calibri" w:cs="Calibri" w:hint="default"/>
      </w:rPr>
    </w:lvl>
    <w:lvl w:ilvl="2" w:tplc="BECC1E8A" w:tentative="1">
      <w:start w:val="1"/>
      <w:numFmt w:val="bullet"/>
      <w:lvlText w:val=""/>
      <w:lvlJc w:val="left"/>
      <w:pPr>
        <w:ind w:left="2204" w:hanging="360"/>
      </w:pPr>
      <w:rPr>
        <w:rFonts w:ascii="Wingdings" w:hAnsi="Wingdings" w:hint="default"/>
      </w:rPr>
    </w:lvl>
    <w:lvl w:ilvl="3" w:tplc="FC70DB4E" w:tentative="1">
      <w:start w:val="1"/>
      <w:numFmt w:val="bullet"/>
      <w:lvlText w:val=""/>
      <w:lvlJc w:val="left"/>
      <w:pPr>
        <w:ind w:left="2924" w:hanging="360"/>
      </w:pPr>
      <w:rPr>
        <w:rFonts w:ascii="Symbol" w:hAnsi="Symbol" w:hint="default"/>
      </w:rPr>
    </w:lvl>
    <w:lvl w:ilvl="4" w:tplc="E3302E0E" w:tentative="1">
      <w:start w:val="1"/>
      <w:numFmt w:val="bullet"/>
      <w:lvlText w:val="o"/>
      <w:lvlJc w:val="left"/>
      <w:pPr>
        <w:ind w:left="3644" w:hanging="360"/>
      </w:pPr>
      <w:rPr>
        <w:rFonts w:ascii="Courier New" w:hAnsi="Courier New" w:cs="Courier New" w:hint="default"/>
      </w:rPr>
    </w:lvl>
    <w:lvl w:ilvl="5" w:tplc="2EC80AE6" w:tentative="1">
      <w:start w:val="1"/>
      <w:numFmt w:val="bullet"/>
      <w:lvlText w:val=""/>
      <w:lvlJc w:val="left"/>
      <w:pPr>
        <w:ind w:left="4364" w:hanging="360"/>
      </w:pPr>
      <w:rPr>
        <w:rFonts w:ascii="Wingdings" w:hAnsi="Wingdings" w:hint="default"/>
      </w:rPr>
    </w:lvl>
    <w:lvl w:ilvl="6" w:tplc="53F06DCA" w:tentative="1">
      <w:start w:val="1"/>
      <w:numFmt w:val="bullet"/>
      <w:lvlText w:val=""/>
      <w:lvlJc w:val="left"/>
      <w:pPr>
        <w:ind w:left="5084" w:hanging="360"/>
      </w:pPr>
      <w:rPr>
        <w:rFonts w:ascii="Symbol" w:hAnsi="Symbol" w:hint="default"/>
      </w:rPr>
    </w:lvl>
    <w:lvl w:ilvl="7" w:tplc="36863B20" w:tentative="1">
      <w:start w:val="1"/>
      <w:numFmt w:val="bullet"/>
      <w:lvlText w:val="o"/>
      <w:lvlJc w:val="left"/>
      <w:pPr>
        <w:ind w:left="5804" w:hanging="360"/>
      </w:pPr>
      <w:rPr>
        <w:rFonts w:ascii="Courier New" w:hAnsi="Courier New" w:cs="Courier New" w:hint="default"/>
      </w:rPr>
    </w:lvl>
    <w:lvl w:ilvl="8" w:tplc="9EAA72F8" w:tentative="1">
      <w:start w:val="1"/>
      <w:numFmt w:val="bullet"/>
      <w:lvlText w:val=""/>
      <w:lvlJc w:val="left"/>
      <w:pPr>
        <w:ind w:left="6524" w:hanging="360"/>
      </w:pPr>
      <w:rPr>
        <w:rFonts w:ascii="Wingdings" w:hAnsi="Wingdings" w:hint="default"/>
      </w:rPr>
    </w:lvl>
  </w:abstractNum>
  <w:abstractNum w:abstractNumId="19" w15:restartNumberingAfterBreak="0">
    <w:nsid w:val="70472D74"/>
    <w:multiLevelType w:val="hybridMultilevel"/>
    <w:tmpl w:val="264812B2"/>
    <w:lvl w:ilvl="0" w:tplc="C32CF3FC">
      <w:start w:val="1"/>
      <w:numFmt w:val="bullet"/>
      <w:lvlText w:val=""/>
      <w:lvlJc w:val="left"/>
      <w:pPr>
        <w:ind w:left="360" w:hanging="360"/>
      </w:pPr>
      <w:rPr>
        <w:rFonts w:ascii="Symbol" w:hAnsi="Symbol" w:hint="default"/>
      </w:rPr>
    </w:lvl>
    <w:lvl w:ilvl="1" w:tplc="D4C898B2">
      <w:numFmt w:val="bullet"/>
      <w:lvlText w:val="-"/>
      <w:lvlJc w:val="left"/>
      <w:pPr>
        <w:ind w:left="1080" w:hanging="360"/>
      </w:pPr>
      <w:rPr>
        <w:rFonts w:ascii="Calibri" w:eastAsiaTheme="minorEastAsia" w:hAnsi="Calibri" w:cs="Calibri" w:hint="default"/>
      </w:rPr>
    </w:lvl>
    <w:lvl w:ilvl="2" w:tplc="52366A78" w:tentative="1">
      <w:start w:val="1"/>
      <w:numFmt w:val="bullet"/>
      <w:lvlText w:val=""/>
      <w:lvlJc w:val="left"/>
      <w:pPr>
        <w:ind w:left="1800" w:hanging="360"/>
      </w:pPr>
      <w:rPr>
        <w:rFonts w:ascii="Wingdings" w:hAnsi="Wingdings" w:hint="default"/>
      </w:rPr>
    </w:lvl>
    <w:lvl w:ilvl="3" w:tplc="D91805F2" w:tentative="1">
      <w:start w:val="1"/>
      <w:numFmt w:val="bullet"/>
      <w:lvlText w:val=""/>
      <w:lvlJc w:val="left"/>
      <w:pPr>
        <w:ind w:left="2520" w:hanging="360"/>
      </w:pPr>
      <w:rPr>
        <w:rFonts w:ascii="Symbol" w:hAnsi="Symbol" w:hint="default"/>
      </w:rPr>
    </w:lvl>
    <w:lvl w:ilvl="4" w:tplc="933040B8" w:tentative="1">
      <w:start w:val="1"/>
      <w:numFmt w:val="bullet"/>
      <w:lvlText w:val="o"/>
      <w:lvlJc w:val="left"/>
      <w:pPr>
        <w:ind w:left="3240" w:hanging="360"/>
      </w:pPr>
      <w:rPr>
        <w:rFonts w:ascii="Courier New" w:hAnsi="Courier New" w:cs="Courier New" w:hint="default"/>
      </w:rPr>
    </w:lvl>
    <w:lvl w:ilvl="5" w:tplc="4648BCFE" w:tentative="1">
      <w:start w:val="1"/>
      <w:numFmt w:val="bullet"/>
      <w:lvlText w:val=""/>
      <w:lvlJc w:val="left"/>
      <w:pPr>
        <w:ind w:left="3960" w:hanging="360"/>
      </w:pPr>
      <w:rPr>
        <w:rFonts w:ascii="Wingdings" w:hAnsi="Wingdings" w:hint="default"/>
      </w:rPr>
    </w:lvl>
    <w:lvl w:ilvl="6" w:tplc="D98440E2" w:tentative="1">
      <w:start w:val="1"/>
      <w:numFmt w:val="bullet"/>
      <w:lvlText w:val=""/>
      <w:lvlJc w:val="left"/>
      <w:pPr>
        <w:ind w:left="4680" w:hanging="360"/>
      </w:pPr>
      <w:rPr>
        <w:rFonts w:ascii="Symbol" w:hAnsi="Symbol" w:hint="default"/>
      </w:rPr>
    </w:lvl>
    <w:lvl w:ilvl="7" w:tplc="95B49182" w:tentative="1">
      <w:start w:val="1"/>
      <w:numFmt w:val="bullet"/>
      <w:lvlText w:val="o"/>
      <w:lvlJc w:val="left"/>
      <w:pPr>
        <w:ind w:left="5400" w:hanging="360"/>
      </w:pPr>
      <w:rPr>
        <w:rFonts w:ascii="Courier New" w:hAnsi="Courier New" w:cs="Courier New" w:hint="default"/>
      </w:rPr>
    </w:lvl>
    <w:lvl w:ilvl="8" w:tplc="909E6354" w:tentative="1">
      <w:start w:val="1"/>
      <w:numFmt w:val="bullet"/>
      <w:lvlText w:val=""/>
      <w:lvlJc w:val="left"/>
      <w:pPr>
        <w:ind w:left="6120" w:hanging="360"/>
      </w:pPr>
      <w:rPr>
        <w:rFonts w:ascii="Wingdings" w:hAnsi="Wingdings" w:hint="default"/>
      </w:rPr>
    </w:lvl>
  </w:abstractNum>
  <w:abstractNum w:abstractNumId="20" w15:restartNumberingAfterBreak="0">
    <w:nsid w:val="7344463E"/>
    <w:multiLevelType w:val="hybridMultilevel"/>
    <w:tmpl w:val="E28CB8DC"/>
    <w:lvl w:ilvl="0" w:tplc="A9FE106A">
      <w:start w:val="1"/>
      <w:numFmt w:val="bullet"/>
      <w:lvlText w:val=""/>
      <w:lvlJc w:val="left"/>
      <w:pPr>
        <w:ind w:left="720" w:hanging="360"/>
      </w:pPr>
      <w:rPr>
        <w:rFonts w:ascii="Symbol" w:hAnsi="Symbol" w:hint="default"/>
      </w:rPr>
    </w:lvl>
    <w:lvl w:ilvl="1" w:tplc="0492C962" w:tentative="1">
      <w:start w:val="1"/>
      <w:numFmt w:val="bullet"/>
      <w:lvlText w:val="o"/>
      <w:lvlJc w:val="left"/>
      <w:pPr>
        <w:ind w:left="1440" w:hanging="360"/>
      </w:pPr>
      <w:rPr>
        <w:rFonts w:ascii="Courier New" w:hAnsi="Courier New" w:hint="default"/>
      </w:rPr>
    </w:lvl>
    <w:lvl w:ilvl="2" w:tplc="410A7C3C" w:tentative="1">
      <w:start w:val="1"/>
      <w:numFmt w:val="bullet"/>
      <w:lvlText w:val=""/>
      <w:lvlJc w:val="left"/>
      <w:pPr>
        <w:ind w:left="2160" w:hanging="360"/>
      </w:pPr>
      <w:rPr>
        <w:rFonts w:ascii="Wingdings" w:hAnsi="Wingdings" w:hint="default"/>
      </w:rPr>
    </w:lvl>
    <w:lvl w:ilvl="3" w:tplc="7CE02080" w:tentative="1">
      <w:start w:val="1"/>
      <w:numFmt w:val="bullet"/>
      <w:lvlText w:val=""/>
      <w:lvlJc w:val="left"/>
      <w:pPr>
        <w:ind w:left="2880" w:hanging="360"/>
      </w:pPr>
      <w:rPr>
        <w:rFonts w:ascii="Symbol" w:hAnsi="Symbol" w:hint="default"/>
      </w:rPr>
    </w:lvl>
    <w:lvl w:ilvl="4" w:tplc="205A718A" w:tentative="1">
      <w:start w:val="1"/>
      <w:numFmt w:val="bullet"/>
      <w:lvlText w:val="o"/>
      <w:lvlJc w:val="left"/>
      <w:pPr>
        <w:ind w:left="3600" w:hanging="360"/>
      </w:pPr>
      <w:rPr>
        <w:rFonts w:ascii="Courier New" w:hAnsi="Courier New" w:hint="default"/>
      </w:rPr>
    </w:lvl>
    <w:lvl w:ilvl="5" w:tplc="2F706BB2" w:tentative="1">
      <w:start w:val="1"/>
      <w:numFmt w:val="bullet"/>
      <w:lvlText w:val=""/>
      <w:lvlJc w:val="left"/>
      <w:pPr>
        <w:ind w:left="4320" w:hanging="360"/>
      </w:pPr>
      <w:rPr>
        <w:rFonts w:ascii="Wingdings" w:hAnsi="Wingdings" w:hint="default"/>
      </w:rPr>
    </w:lvl>
    <w:lvl w:ilvl="6" w:tplc="EF122268" w:tentative="1">
      <w:start w:val="1"/>
      <w:numFmt w:val="bullet"/>
      <w:lvlText w:val=""/>
      <w:lvlJc w:val="left"/>
      <w:pPr>
        <w:ind w:left="5040" w:hanging="360"/>
      </w:pPr>
      <w:rPr>
        <w:rFonts w:ascii="Symbol" w:hAnsi="Symbol" w:hint="default"/>
      </w:rPr>
    </w:lvl>
    <w:lvl w:ilvl="7" w:tplc="42FACAB0" w:tentative="1">
      <w:start w:val="1"/>
      <w:numFmt w:val="bullet"/>
      <w:lvlText w:val="o"/>
      <w:lvlJc w:val="left"/>
      <w:pPr>
        <w:ind w:left="5760" w:hanging="360"/>
      </w:pPr>
      <w:rPr>
        <w:rFonts w:ascii="Courier New" w:hAnsi="Courier New" w:hint="default"/>
      </w:rPr>
    </w:lvl>
    <w:lvl w:ilvl="8" w:tplc="410CD824" w:tentative="1">
      <w:start w:val="1"/>
      <w:numFmt w:val="bullet"/>
      <w:lvlText w:val=""/>
      <w:lvlJc w:val="left"/>
      <w:pPr>
        <w:ind w:left="6480" w:hanging="360"/>
      </w:pPr>
      <w:rPr>
        <w:rFonts w:ascii="Wingdings" w:hAnsi="Wingdings" w:hint="default"/>
      </w:rPr>
    </w:lvl>
  </w:abstractNum>
  <w:abstractNum w:abstractNumId="21" w15:restartNumberingAfterBreak="0">
    <w:nsid w:val="7511585F"/>
    <w:multiLevelType w:val="hybridMultilevel"/>
    <w:tmpl w:val="E3363CB2"/>
    <w:lvl w:ilvl="0" w:tplc="44802E8C">
      <w:start w:val="31"/>
      <w:numFmt w:val="bullet"/>
      <w:lvlText w:val="-"/>
      <w:lvlJc w:val="left"/>
      <w:pPr>
        <w:ind w:left="1490" w:hanging="360"/>
      </w:pPr>
      <w:rPr>
        <w:rFonts w:ascii="Calibri" w:eastAsia="Times New Roman" w:hAnsi="Calibri" w:hint="default"/>
      </w:rPr>
    </w:lvl>
    <w:lvl w:ilvl="1" w:tplc="0E205D9C" w:tentative="1">
      <w:start w:val="1"/>
      <w:numFmt w:val="bullet"/>
      <w:lvlText w:val="o"/>
      <w:lvlJc w:val="left"/>
      <w:pPr>
        <w:ind w:left="2210" w:hanging="360"/>
      </w:pPr>
      <w:rPr>
        <w:rFonts w:ascii="Courier New" w:hAnsi="Courier New" w:cs="Courier New" w:hint="default"/>
      </w:rPr>
    </w:lvl>
    <w:lvl w:ilvl="2" w:tplc="99668A2C" w:tentative="1">
      <w:start w:val="1"/>
      <w:numFmt w:val="bullet"/>
      <w:lvlText w:val=""/>
      <w:lvlJc w:val="left"/>
      <w:pPr>
        <w:ind w:left="2930" w:hanging="360"/>
      </w:pPr>
      <w:rPr>
        <w:rFonts w:ascii="Wingdings" w:hAnsi="Wingdings" w:hint="default"/>
      </w:rPr>
    </w:lvl>
    <w:lvl w:ilvl="3" w:tplc="347ABDA4" w:tentative="1">
      <w:start w:val="1"/>
      <w:numFmt w:val="bullet"/>
      <w:lvlText w:val=""/>
      <w:lvlJc w:val="left"/>
      <w:pPr>
        <w:ind w:left="3650" w:hanging="360"/>
      </w:pPr>
      <w:rPr>
        <w:rFonts w:ascii="Symbol" w:hAnsi="Symbol" w:hint="default"/>
      </w:rPr>
    </w:lvl>
    <w:lvl w:ilvl="4" w:tplc="B1CC72EE" w:tentative="1">
      <w:start w:val="1"/>
      <w:numFmt w:val="bullet"/>
      <w:lvlText w:val="o"/>
      <w:lvlJc w:val="left"/>
      <w:pPr>
        <w:ind w:left="4370" w:hanging="360"/>
      </w:pPr>
      <w:rPr>
        <w:rFonts w:ascii="Courier New" w:hAnsi="Courier New" w:cs="Courier New" w:hint="default"/>
      </w:rPr>
    </w:lvl>
    <w:lvl w:ilvl="5" w:tplc="75C80434" w:tentative="1">
      <w:start w:val="1"/>
      <w:numFmt w:val="bullet"/>
      <w:lvlText w:val=""/>
      <w:lvlJc w:val="left"/>
      <w:pPr>
        <w:ind w:left="5090" w:hanging="360"/>
      </w:pPr>
      <w:rPr>
        <w:rFonts w:ascii="Wingdings" w:hAnsi="Wingdings" w:hint="default"/>
      </w:rPr>
    </w:lvl>
    <w:lvl w:ilvl="6" w:tplc="A57AE1A0" w:tentative="1">
      <w:start w:val="1"/>
      <w:numFmt w:val="bullet"/>
      <w:lvlText w:val=""/>
      <w:lvlJc w:val="left"/>
      <w:pPr>
        <w:ind w:left="5810" w:hanging="360"/>
      </w:pPr>
      <w:rPr>
        <w:rFonts w:ascii="Symbol" w:hAnsi="Symbol" w:hint="default"/>
      </w:rPr>
    </w:lvl>
    <w:lvl w:ilvl="7" w:tplc="580063E6" w:tentative="1">
      <w:start w:val="1"/>
      <w:numFmt w:val="bullet"/>
      <w:lvlText w:val="o"/>
      <w:lvlJc w:val="left"/>
      <w:pPr>
        <w:ind w:left="6530" w:hanging="360"/>
      </w:pPr>
      <w:rPr>
        <w:rFonts w:ascii="Courier New" w:hAnsi="Courier New" w:cs="Courier New" w:hint="default"/>
      </w:rPr>
    </w:lvl>
    <w:lvl w:ilvl="8" w:tplc="C916EDDA" w:tentative="1">
      <w:start w:val="1"/>
      <w:numFmt w:val="bullet"/>
      <w:lvlText w:val=""/>
      <w:lvlJc w:val="left"/>
      <w:pPr>
        <w:ind w:left="7250" w:hanging="360"/>
      </w:pPr>
      <w:rPr>
        <w:rFonts w:ascii="Wingdings" w:hAnsi="Wingdings" w:hint="default"/>
      </w:rPr>
    </w:lvl>
  </w:abstractNum>
  <w:num w:numId="1">
    <w:abstractNumId w:val="10"/>
  </w:num>
  <w:num w:numId="2">
    <w:abstractNumId w:val="20"/>
  </w:num>
  <w:num w:numId="3">
    <w:abstractNumId w:val="4"/>
  </w:num>
  <w:num w:numId="4">
    <w:abstractNumId w:val="2"/>
  </w:num>
  <w:num w:numId="5">
    <w:abstractNumId w:val="0"/>
  </w:num>
  <w:num w:numId="6">
    <w:abstractNumId w:val="7"/>
  </w:num>
  <w:num w:numId="7">
    <w:abstractNumId w:val="3"/>
  </w:num>
  <w:num w:numId="8">
    <w:abstractNumId w:val="1"/>
  </w:num>
  <w:num w:numId="9">
    <w:abstractNumId w:val="14"/>
  </w:num>
  <w:num w:numId="10">
    <w:abstractNumId w:val="15"/>
  </w:num>
  <w:num w:numId="11">
    <w:abstractNumId w:val="21"/>
  </w:num>
  <w:num w:numId="12">
    <w:abstractNumId w:val="12"/>
  </w:num>
  <w:num w:numId="13">
    <w:abstractNumId w:val="8"/>
  </w:num>
  <w:num w:numId="14">
    <w:abstractNumId w:val="16"/>
  </w:num>
  <w:num w:numId="15">
    <w:abstractNumId w:val="5"/>
  </w:num>
  <w:num w:numId="16">
    <w:abstractNumId w:val="9"/>
  </w:num>
  <w:num w:numId="17">
    <w:abstractNumId w:val="5"/>
  </w:num>
  <w:num w:numId="18">
    <w:abstractNumId w:val="6"/>
  </w:num>
  <w:num w:numId="19">
    <w:abstractNumId w:val="18"/>
  </w:num>
  <w:num w:numId="20">
    <w:abstractNumId w:val="11"/>
  </w:num>
  <w:num w:numId="21">
    <w:abstractNumId w:val="1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08"/>
    <w:rsid w:val="0000030A"/>
    <w:rsid w:val="00000F2D"/>
    <w:rsid w:val="00001F94"/>
    <w:rsid w:val="00003465"/>
    <w:rsid w:val="00003B4A"/>
    <w:rsid w:val="00003F3E"/>
    <w:rsid w:val="00006FFF"/>
    <w:rsid w:val="00014EDD"/>
    <w:rsid w:val="000150EE"/>
    <w:rsid w:val="00020DD7"/>
    <w:rsid w:val="0002242C"/>
    <w:rsid w:val="00023F64"/>
    <w:rsid w:val="00023FAD"/>
    <w:rsid w:val="000263C0"/>
    <w:rsid w:val="000270B8"/>
    <w:rsid w:val="0003208D"/>
    <w:rsid w:val="000339A8"/>
    <w:rsid w:val="00035894"/>
    <w:rsid w:val="0003626E"/>
    <w:rsid w:val="00041CC8"/>
    <w:rsid w:val="000508DE"/>
    <w:rsid w:val="00053905"/>
    <w:rsid w:val="00055DE8"/>
    <w:rsid w:val="000561BB"/>
    <w:rsid w:val="00065F5B"/>
    <w:rsid w:val="00066EBC"/>
    <w:rsid w:val="000705CC"/>
    <w:rsid w:val="00071D2C"/>
    <w:rsid w:val="000731A0"/>
    <w:rsid w:val="00073462"/>
    <w:rsid w:val="00081CD8"/>
    <w:rsid w:val="00081EB0"/>
    <w:rsid w:val="00083812"/>
    <w:rsid w:val="0008489C"/>
    <w:rsid w:val="000864FC"/>
    <w:rsid w:val="00091A0B"/>
    <w:rsid w:val="00092B87"/>
    <w:rsid w:val="00094A49"/>
    <w:rsid w:val="000955B0"/>
    <w:rsid w:val="00095E93"/>
    <w:rsid w:val="00096CE3"/>
    <w:rsid w:val="00097D00"/>
    <w:rsid w:val="000A126B"/>
    <w:rsid w:val="000A178C"/>
    <w:rsid w:val="000A1D7F"/>
    <w:rsid w:val="000A3F56"/>
    <w:rsid w:val="000A5243"/>
    <w:rsid w:val="000B3BC7"/>
    <w:rsid w:val="000B79B7"/>
    <w:rsid w:val="000C33C8"/>
    <w:rsid w:val="000C3B84"/>
    <w:rsid w:val="000C469A"/>
    <w:rsid w:val="000C7412"/>
    <w:rsid w:val="000C77EE"/>
    <w:rsid w:val="000E3367"/>
    <w:rsid w:val="00100707"/>
    <w:rsid w:val="00101D25"/>
    <w:rsid w:val="00102462"/>
    <w:rsid w:val="00104A98"/>
    <w:rsid w:val="00104AF1"/>
    <w:rsid w:val="00106940"/>
    <w:rsid w:val="001108A1"/>
    <w:rsid w:val="00114D60"/>
    <w:rsid w:val="00114DC1"/>
    <w:rsid w:val="00115313"/>
    <w:rsid w:val="001154FD"/>
    <w:rsid w:val="00116765"/>
    <w:rsid w:val="001179E9"/>
    <w:rsid w:val="00120A86"/>
    <w:rsid w:val="00130249"/>
    <w:rsid w:val="00133C93"/>
    <w:rsid w:val="0013532E"/>
    <w:rsid w:val="001365FA"/>
    <w:rsid w:val="00146113"/>
    <w:rsid w:val="00146A15"/>
    <w:rsid w:val="00147178"/>
    <w:rsid w:val="00152E7C"/>
    <w:rsid w:val="0015339D"/>
    <w:rsid w:val="00161489"/>
    <w:rsid w:val="00163A7B"/>
    <w:rsid w:val="00164B7B"/>
    <w:rsid w:val="00170E1E"/>
    <w:rsid w:val="0017182B"/>
    <w:rsid w:val="00180381"/>
    <w:rsid w:val="00180D53"/>
    <w:rsid w:val="00183B26"/>
    <w:rsid w:val="00187A0F"/>
    <w:rsid w:val="00187C89"/>
    <w:rsid w:val="00187F06"/>
    <w:rsid w:val="0019325B"/>
    <w:rsid w:val="001972F6"/>
    <w:rsid w:val="001A0569"/>
    <w:rsid w:val="001A55FA"/>
    <w:rsid w:val="001B225D"/>
    <w:rsid w:val="001B6536"/>
    <w:rsid w:val="001B7D04"/>
    <w:rsid w:val="001C1EA4"/>
    <w:rsid w:val="001C5675"/>
    <w:rsid w:val="001C713D"/>
    <w:rsid w:val="001D5400"/>
    <w:rsid w:val="001D5721"/>
    <w:rsid w:val="001F0728"/>
    <w:rsid w:val="001F0D76"/>
    <w:rsid w:val="001F3396"/>
    <w:rsid w:val="001F5264"/>
    <w:rsid w:val="001F63C6"/>
    <w:rsid w:val="001F7EC0"/>
    <w:rsid w:val="00200C11"/>
    <w:rsid w:val="00201C45"/>
    <w:rsid w:val="00207581"/>
    <w:rsid w:val="00207E91"/>
    <w:rsid w:val="0021043F"/>
    <w:rsid w:val="002108A0"/>
    <w:rsid w:val="00213E90"/>
    <w:rsid w:val="00221331"/>
    <w:rsid w:val="002213FA"/>
    <w:rsid w:val="00222069"/>
    <w:rsid w:val="002319DA"/>
    <w:rsid w:val="002411A6"/>
    <w:rsid w:val="00241B7B"/>
    <w:rsid w:val="00244AA6"/>
    <w:rsid w:val="00246D13"/>
    <w:rsid w:val="0024734D"/>
    <w:rsid w:val="00247520"/>
    <w:rsid w:val="002478C7"/>
    <w:rsid w:val="00254BC4"/>
    <w:rsid w:val="0025610B"/>
    <w:rsid w:val="0027035D"/>
    <w:rsid w:val="0027042C"/>
    <w:rsid w:val="00270922"/>
    <w:rsid w:val="00274AD6"/>
    <w:rsid w:val="00275D65"/>
    <w:rsid w:val="002760C9"/>
    <w:rsid w:val="0028058A"/>
    <w:rsid w:val="00280F15"/>
    <w:rsid w:val="00287D57"/>
    <w:rsid w:val="00291288"/>
    <w:rsid w:val="00293597"/>
    <w:rsid w:val="00293B76"/>
    <w:rsid w:val="002A3DD9"/>
    <w:rsid w:val="002B4E50"/>
    <w:rsid w:val="002C0C36"/>
    <w:rsid w:val="002C2813"/>
    <w:rsid w:val="002C4E75"/>
    <w:rsid w:val="002C761F"/>
    <w:rsid w:val="002D640E"/>
    <w:rsid w:val="002E0C87"/>
    <w:rsid w:val="002E0CBD"/>
    <w:rsid w:val="002E1154"/>
    <w:rsid w:val="002E3CDA"/>
    <w:rsid w:val="002E5C60"/>
    <w:rsid w:val="002F3B80"/>
    <w:rsid w:val="002F3D55"/>
    <w:rsid w:val="002F643A"/>
    <w:rsid w:val="003009AE"/>
    <w:rsid w:val="00303580"/>
    <w:rsid w:val="0030425E"/>
    <w:rsid w:val="00307E94"/>
    <w:rsid w:val="003112A8"/>
    <w:rsid w:val="00312874"/>
    <w:rsid w:val="00312C2D"/>
    <w:rsid w:val="00315983"/>
    <w:rsid w:val="0031661A"/>
    <w:rsid w:val="00316BEC"/>
    <w:rsid w:val="003179F9"/>
    <w:rsid w:val="0032139F"/>
    <w:rsid w:val="0032200D"/>
    <w:rsid w:val="00330E92"/>
    <w:rsid w:val="0033189F"/>
    <w:rsid w:val="0033293D"/>
    <w:rsid w:val="00335297"/>
    <w:rsid w:val="00337AC9"/>
    <w:rsid w:val="00342EC1"/>
    <w:rsid w:val="003451CD"/>
    <w:rsid w:val="00345B0D"/>
    <w:rsid w:val="00357AAB"/>
    <w:rsid w:val="00357BD1"/>
    <w:rsid w:val="003614B5"/>
    <w:rsid w:val="00362037"/>
    <w:rsid w:val="0036546E"/>
    <w:rsid w:val="00372469"/>
    <w:rsid w:val="0037331D"/>
    <w:rsid w:val="00374496"/>
    <w:rsid w:val="00376DCD"/>
    <w:rsid w:val="0037744C"/>
    <w:rsid w:val="00382305"/>
    <w:rsid w:val="00382EDE"/>
    <w:rsid w:val="0038345F"/>
    <w:rsid w:val="00383A0E"/>
    <w:rsid w:val="00384569"/>
    <w:rsid w:val="00385510"/>
    <w:rsid w:val="0038640F"/>
    <w:rsid w:val="00393543"/>
    <w:rsid w:val="00393A13"/>
    <w:rsid w:val="0039665F"/>
    <w:rsid w:val="003A2C7A"/>
    <w:rsid w:val="003A6439"/>
    <w:rsid w:val="003A70E0"/>
    <w:rsid w:val="003B1E06"/>
    <w:rsid w:val="003B3816"/>
    <w:rsid w:val="003B6D47"/>
    <w:rsid w:val="003B7A0C"/>
    <w:rsid w:val="003C3859"/>
    <w:rsid w:val="003C568B"/>
    <w:rsid w:val="003D734E"/>
    <w:rsid w:val="003E55C2"/>
    <w:rsid w:val="003E691C"/>
    <w:rsid w:val="003E719E"/>
    <w:rsid w:val="003F152A"/>
    <w:rsid w:val="003F4B00"/>
    <w:rsid w:val="003F52AF"/>
    <w:rsid w:val="003F6ED9"/>
    <w:rsid w:val="00400862"/>
    <w:rsid w:val="0041383C"/>
    <w:rsid w:val="00415BD4"/>
    <w:rsid w:val="00422CF8"/>
    <w:rsid w:val="004240EE"/>
    <w:rsid w:val="004250F7"/>
    <w:rsid w:val="0042584D"/>
    <w:rsid w:val="00426764"/>
    <w:rsid w:val="004301C3"/>
    <w:rsid w:val="00431BE2"/>
    <w:rsid w:val="004349FA"/>
    <w:rsid w:val="00437E4D"/>
    <w:rsid w:val="00441C17"/>
    <w:rsid w:val="00444896"/>
    <w:rsid w:val="004452B1"/>
    <w:rsid w:val="00445FB0"/>
    <w:rsid w:val="00447867"/>
    <w:rsid w:val="0045001A"/>
    <w:rsid w:val="00454613"/>
    <w:rsid w:val="00454BE9"/>
    <w:rsid w:val="00465061"/>
    <w:rsid w:val="0048154C"/>
    <w:rsid w:val="00481E2A"/>
    <w:rsid w:val="0048233F"/>
    <w:rsid w:val="00482368"/>
    <w:rsid w:val="00484252"/>
    <w:rsid w:val="00485682"/>
    <w:rsid w:val="00490134"/>
    <w:rsid w:val="004A3E3E"/>
    <w:rsid w:val="004A63AD"/>
    <w:rsid w:val="004B32B8"/>
    <w:rsid w:val="004B7969"/>
    <w:rsid w:val="004D2425"/>
    <w:rsid w:val="004D5158"/>
    <w:rsid w:val="004E1FEB"/>
    <w:rsid w:val="004F3511"/>
    <w:rsid w:val="004F3FDC"/>
    <w:rsid w:val="004F7B2D"/>
    <w:rsid w:val="005035BE"/>
    <w:rsid w:val="005121A3"/>
    <w:rsid w:val="00512838"/>
    <w:rsid w:val="00520175"/>
    <w:rsid w:val="00533851"/>
    <w:rsid w:val="005401BD"/>
    <w:rsid w:val="0055056D"/>
    <w:rsid w:val="0055179F"/>
    <w:rsid w:val="0055532D"/>
    <w:rsid w:val="005562D2"/>
    <w:rsid w:val="005618F8"/>
    <w:rsid w:val="00564AC5"/>
    <w:rsid w:val="00566DB5"/>
    <w:rsid w:val="0056765E"/>
    <w:rsid w:val="00570365"/>
    <w:rsid w:val="00571230"/>
    <w:rsid w:val="00573408"/>
    <w:rsid w:val="00574FCB"/>
    <w:rsid w:val="00577014"/>
    <w:rsid w:val="005819B7"/>
    <w:rsid w:val="00584856"/>
    <w:rsid w:val="005852C7"/>
    <w:rsid w:val="0058555D"/>
    <w:rsid w:val="00587CC8"/>
    <w:rsid w:val="0059155A"/>
    <w:rsid w:val="00592A2E"/>
    <w:rsid w:val="00595413"/>
    <w:rsid w:val="00595FCC"/>
    <w:rsid w:val="005A009B"/>
    <w:rsid w:val="005A194E"/>
    <w:rsid w:val="005A6EA9"/>
    <w:rsid w:val="005B28AE"/>
    <w:rsid w:val="005B2B05"/>
    <w:rsid w:val="005C149C"/>
    <w:rsid w:val="005D15D9"/>
    <w:rsid w:val="005D2B5E"/>
    <w:rsid w:val="005D418B"/>
    <w:rsid w:val="005D749F"/>
    <w:rsid w:val="005D7C43"/>
    <w:rsid w:val="005E0C2B"/>
    <w:rsid w:val="005E1D5A"/>
    <w:rsid w:val="005E5D51"/>
    <w:rsid w:val="005E7525"/>
    <w:rsid w:val="005F36EC"/>
    <w:rsid w:val="005F6212"/>
    <w:rsid w:val="005F6470"/>
    <w:rsid w:val="005F64BF"/>
    <w:rsid w:val="006001FD"/>
    <w:rsid w:val="006032F1"/>
    <w:rsid w:val="0060330A"/>
    <w:rsid w:val="00603CEA"/>
    <w:rsid w:val="00607EE1"/>
    <w:rsid w:val="00612D8E"/>
    <w:rsid w:val="00614D08"/>
    <w:rsid w:val="006158FB"/>
    <w:rsid w:val="00616EF0"/>
    <w:rsid w:val="00617833"/>
    <w:rsid w:val="006244BF"/>
    <w:rsid w:val="0063313D"/>
    <w:rsid w:val="00635F7E"/>
    <w:rsid w:val="00640641"/>
    <w:rsid w:val="00642C69"/>
    <w:rsid w:val="00643D7D"/>
    <w:rsid w:val="0064525C"/>
    <w:rsid w:val="00645F62"/>
    <w:rsid w:val="006542EC"/>
    <w:rsid w:val="00656F8E"/>
    <w:rsid w:val="006604EF"/>
    <w:rsid w:val="00665BCE"/>
    <w:rsid w:val="006664F2"/>
    <w:rsid w:val="00667AEF"/>
    <w:rsid w:val="00667DE3"/>
    <w:rsid w:val="00670D10"/>
    <w:rsid w:val="00675212"/>
    <w:rsid w:val="0067674E"/>
    <w:rsid w:val="00677E16"/>
    <w:rsid w:val="00682E5D"/>
    <w:rsid w:val="00685602"/>
    <w:rsid w:val="00690B14"/>
    <w:rsid w:val="00691983"/>
    <w:rsid w:val="006921CB"/>
    <w:rsid w:val="006950BD"/>
    <w:rsid w:val="006A25A5"/>
    <w:rsid w:val="006A61FA"/>
    <w:rsid w:val="006B312B"/>
    <w:rsid w:val="006B329D"/>
    <w:rsid w:val="006B4C94"/>
    <w:rsid w:val="006B73A4"/>
    <w:rsid w:val="006C37AE"/>
    <w:rsid w:val="006D00DB"/>
    <w:rsid w:val="006D2823"/>
    <w:rsid w:val="006D576A"/>
    <w:rsid w:val="006E0C66"/>
    <w:rsid w:val="006E6B20"/>
    <w:rsid w:val="006E6B26"/>
    <w:rsid w:val="006E7875"/>
    <w:rsid w:val="006E797E"/>
    <w:rsid w:val="006F01BA"/>
    <w:rsid w:val="006F3F02"/>
    <w:rsid w:val="006F4029"/>
    <w:rsid w:val="006F466C"/>
    <w:rsid w:val="006F66A4"/>
    <w:rsid w:val="006F69C3"/>
    <w:rsid w:val="006F6BE5"/>
    <w:rsid w:val="0070074D"/>
    <w:rsid w:val="0070402A"/>
    <w:rsid w:val="007119EB"/>
    <w:rsid w:val="0071204F"/>
    <w:rsid w:val="00716725"/>
    <w:rsid w:val="007246A2"/>
    <w:rsid w:val="0072606F"/>
    <w:rsid w:val="007279F5"/>
    <w:rsid w:val="00730F4E"/>
    <w:rsid w:val="00734260"/>
    <w:rsid w:val="00735BF4"/>
    <w:rsid w:val="00735E96"/>
    <w:rsid w:val="00736305"/>
    <w:rsid w:val="00741D0C"/>
    <w:rsid w:val="00742292"/>
    <w:rsid w:val="007448F6"/>
    <w:rsid w:val="0074783A"/>
    <w:rsid w:val="00751D5F"/>
    <w:rsid w:val="0075339C"/>
    <w:rsid w:val="00753B74"/>
    <w:rsid w:val="00753BE1"/>
    <w:rsid w:val="00757EA4"/>
    <w:rsid w:val="00761960"/>
    <w:rsid w:val="00763750"/>
    <w:rsid w:val="00764E0D"/>
    <w:rsid w:val="00770927"/>
    <w:rsid w:val="007773D3"/>
    <w:rsid w:val="00777ED3"/>
    <w:rsid w:val="00780F08"/>
    <w:rsid w:val="00785ABD"/>
    <w:rsid w:val="00785D83"/>
    <w:rsid w:val="00793256"/>
    <w:rsid w:val="0079349C"/>
    <w:rsid w:val="007947B6"/>
    <w:rsid w:val="00794F63"/>
    <w:rsid w:val="00795AD0"/>
    <w:rsid w:val="007A5F35"/>
    <w:rsid w:val="007B18AB"/>
    <w:rsid w:val="007B461F"/>
    <w:rsid w:val="007C0C72"/>
    <w:rsid w:val="007C19AD"/>
    <w:rsid w:val="007C1D89"/>
    <w:rsid w:val="007D0049"/>
    <w:rsid w:val="007D30AB"/>
    <w:rsid w:val="007D64A3"/>
    <w:rsid w:val="007E0DE0"/>
    <w:rsid w:val="007E0F59"/>
    <w:rsid w:val="007E17CB"/>
    <w:rsid w:val="007E2615"/>
    <w:rsid w:val="007E39E6"/>
    <w:rsid w:val="007E4E5F"/>
    <w:rsid w:val="007F40DF"/>
    <w:rsid w:val="007F4258"/>
    <w:rsid w:val="007F53D9"/>
    <w:rsid w:val="007F7B9E"/>
    <w:rsid w:val="008007D0"/>
    <w:rsid w:val="00800FE6"/>
    <w:rsid w:val="008012B3"/>
    <w:rsid w:val="00801A33"/>
    <w:rsid w:val="00806693"/>
    <w:rsid w:val="00810EFB"/>
    <w:rsid w:val="008113E7"/>
    <w:rsid w:val="00814E06"/>
    <w:rsid w:val="008153EB"/>
    <w:rsid w:val="00815DB7"/>
    <w:rsid w:val="00816FD0"/>
    <w:rsid w:val="00822024"/>
    <w:rsid w:val="0082578D"/>
    <w:rsid w:val="00833A64"/>
    <w:rsid w:val="008348AF"/>
    <w:rsid w:val="008423CD"/>
    <w:rsid w:val="00844AB9"/>
    <w:rsid w:val="00845E7A"/>
    <w:rsid w:val="008576A6"/>
    <w:rsid w:val="00857F25"/>
    <w:rsid w:val="008605F4"/>
    <w:rsid w:val="00861275"/>
    <w:rsid w:val="008626A0"/>
    <w:rsid w:val="00862A2C"/>
    <w:rsid w:val="00862DBD"/>
    <w:rsid w:val="00864EA5"/>
    <w:rsid w:val="00865F06"/>
    <w:rsid w:val="00880538"/>
    <w:rsid w:val="0088058C"/>
    <w:rsid w:val="0088257B"/>
    <w:rsid w:val="00886169"/>
    <w:rsid w:val="00895A0D"/>
    <w:rsid w:val="008961B7"/>
    <w:rsid w:val="008962F8"/>
    <w:rsid w:val="008A19FD"/>
    <w:rsid w:val="008A3774"/>
    <w:rsid w:val="008A51A6"/>
    <w:rsid w:val="008A61AB"/>
    <w:rsid w:val="008A63F2"/>
    <w:rsid w:val="008A7A42"/>
    <w:rsid w:val="008B1579"/>
    <w:rsid w:val="008B392F"/>
    <w:rsid w:val="008C056A"/>
    <w:rsid w:val="008C1E8C"/>
    <w:rsid w:val="008C51DA"/>
    <w:rsid w:val="008D19C9"/>
    <w:rsid w:val="008E2C4B"/>
    <w:rsid w:val="008E49C0"/>
    <w:rsid w:val="008E539B"/>
    <w:rsid w:val="008E544E"/>
    <w:rsid w:val="008F3003"/>
    <w:rsid w:val="008F39F8"/>
    <w:rsid w:val="008F597C"/>
    <w:rsid w:val="008F5B16"/>
    <w:rsid w:val="00900181"/>
    <w:rsid w:val="00900E09"/>
    <w:rsid w:val="00901714"/>
    <w:rsid w:val="00914912"/>
    <w:rsid w:val="009158DC"/>
    <w:rsid w:val="009206C4"/>
    <w:rsid w:val="00920D21"/>
    <w:rsid w:val="00923643"/>
    <w:rsid w:val="00923FF4"/>
    <w:rsid w:val="00930839"/>
    <w:rsid w:val="00930A4D"/>
    <w:rsid w:val="00932149"/>
    <w:rsid w:val="009425F9"/>
    <w:rsid w:val="00947BCC"/>
    <w:rsid w:val="00947CCF"/>
    <w:rsid w:val="00951054"/>
    <w:rsid w:val="009535AC"/>
    <w:rsid w:val="009546D7"/>
    <w:rsid w:val="00955871"/>
    <w:rsid w:val="00960529"/>
    <w:rsid w:val="00960570"/>
    <w:rsid w:val="00960596"/>
    <w:rsid w:val="00960EEF"/>
    <w:rsid w:val="009648EF"/>
    <w:rsid w:val="009662FA"/>
    <w:rsid w:val="00976D5E"/>
    <w:rsid w:val="00977D1D"/>
    <w:rsid w:val="00981CED"/>
    <w:rsid w:val="009861A6"/>
    <w:rsid w:val="009918F6"/>
    <w:rsid w:val="00993C86"/>
    <w:rsid w:val="0099645D"/>
    <w:rsid w:val="009A3107"/>
    <w:rsid w:val="009A31F5"/>
    <w:rsid w:val="009A3645"/>
    <w:rsid w:val="009A3B89"/>
    <w:rsid w:val="009A4647"/>
    <w:rsid w:val="009A47C1"/>
    <w:rsid w:val="009A7C18"/>
    <w:rsid w:val="009B16E7"/>
    <w:rsid w:val="009B237D"/>
    <w:rsid w:val="009B4929"/>
    <w:rsid w:val="009B7DC4"/>
    <w:rsid w:val="009C0079"/>
    <w:rsid w:val="009C25A7"/>
    <w:rsid w:val="009D181A"/>
    <w:rsid w:val="009D50CB"/>
    <w:rsid w:val="009D6CD5"/>
    <w:rsid w:val="009D6D87"/>
    <w:rsid w:val="009E5547"/>
    <w:rsid w:val="009E59C5"/>
    <w:rsid w:val="009E7930"/>
    <w:rsid w:val="009F371E"/>
    <w:rsid w:val="009F49CC"/>
    <w:rsid w:val="009F5477"/>
    <w:rsid w:val="00A06497"/>
    <w:rsid w:val="00A140C5"/>
    <w:rsid w:val="00A14755"/>
    <w:rsid w:val="00A168A0"/>
    <w:rsid w:val="00A209C6"/>
    <w:rsid w:val="00A244AD"/>
    <w:rsid w:val="00A2481B"/>
    <w:rsid w:val="00A320CE"/>
    <w:rsid w:val="00A328BF"/>
    <w:rsid w:val="00A37008"/>
    <w:rsid w:val="00A3733F"/>
    <w:rsid w:val="00A40802"/>
    <w:rsid w:val="00A40A5E"/>
    <w:rsid w:val="00A4380A"/>
    <w:rsid w:val="00A4508C"/>
    <w:rsid w:val="00A50B09"/>
    <w:rsid w:val="00A52DB5"/>
    <w:rsid w:val="00A57276"/>
    <w:rsid w:val="00A600FC"/>
    <w:rsid w:val="00A749A4"/>
    <w:rsid w:val="00A753BB"/>
    <w:rsid w:val="00A759AC"/>
    <w:rsid w:val="00A774C4"/>
    <w:rsid w:val="00A813EF"/>
    <w:rsid w:val="00A87FED"/>
    <w:rsid w:val="00A91676"/>
    <w:rsid w:val="00A94640"/>
    <w:rsid w:val="00A95FF4"/>
    <w:rsid w:val="00A97374"/>
    <w:rsid w:val="00AA089F"/>
    <w:rsid w:val="00AA31B5"/>
    <w:rsid w:val="00AA3779"/>
    <w:rsid w:val="00AA3FA8"/>
    <w:rsid w:val="00AA5C2E"/>
    <w:rsid w:val="00AA7AB3"/>
    <w:rsid w:val="00AC2AB1"/>
    <w:rsid w:val="00AC610A"/>
    <w:rsid w:val="00AC6453"/>
    <w:rsid w:val="00AD3F42"/>
    <w:rsid w:val="00AD686B"/>
    <w:rsid w:val="00AE3926"/>
    <w:rsid w:val="00AE6974"/>
    <w:rsid w:val="00AF0F57"/>
    <w:rsid w:val="00AF6151"/>
    <w:rsid w:val="00B05E11"/>
    <w:rsid w:val="00B141CB"/>
    <w:rsid w:val="00B16587"/>
    <w:rsid w:val="00B202F6"/>
    <w:rsid w:val="00B24EEC"/>
    <w:rsid w:val="00B311F9"/>
    <w:rsid w:val="00B3159C"/>
    <w:rsid w:val="00B33145"/>
    <w:rsid w:val="00B3410A"/>
    <w:rsid w:val="00B43499"/>
    <w:rsid w:val="00B441D0"/>
    <w:rsid w:val="00B46D7F"/>
    <w:rsid w:val="00B47E18"/>
    <w:rsid w:val="00B50433"/>
    <w:rsid w:val="00B5470E"/>
    <w:rsid w:val="00B57171"/>
    <w:rsid w:val="00B60979"/>
    <w:rsid w:val="00B646DA"/>
    <w:rsid w:val="00B64DA0"/>
    <w:rsid w:val="00B65541"/>
    <w:rsid w:val="00B72308"/>
    <w:rsid w:val="00B75483"/>
    <w:rsid w:val="00B8079B"/>
    <w:rsid w:val="00B8115A"/>
    <w:rsid w:val="00B81811"/>
    <w:rsid w:val="00B836C7"/>
    <w:rsid w:val="00B85783"/>
    <w:rsid w:val="00B87767"/>
    <w:rsid w:val="00B900CA"/>
    <w:rsid w:val="00B9066E"/>
    <w:rsid w:val="00B913FD"/>
    <w:rsid w:val="00B94F16"/>
    <w:rsid w:val="00B96C4B"/>
    <w:rsid w:val="00BA07F2"/>
    <w:rsid w:val="00BA2473"/>
    <w:rsid w:val="00BA35EF"/>
    <w:rsid w:val="00BB101A"/>
    <w:rsid w:val="00BB17DC"/>
    <w:rsid w:val="00BB2A9D"/>
    <w:rsid w:val="00BB46AB"/>
    <w:rsid w:val="00BB610E"/>
    <w:rsid w:val="00BB6C27"/>
    <w:rsid w:val="00BC29BA"/>
    <w:rsid w:val="00BC4AB4"/>
    <w:rsid w:val="00BC63D1"/>
    <w:rsid w:val="00BC696B"/>
    <w:rsid w:val="00BD1891"/>
    <w:rsid w:val="00BD39D1"/>
    <w:rsid w:val="00BD3A9B"/>
    <w:rsid w:val="00BD5FC1"/>
    <w:rsid w:val="00BD7714"/>
    <w:rsid w:val="00BE2CEF"/>
    <w:rsid w:val="00BE6787"/>
    <w:rsid w:val="00BE742A"/>
    <w:rsid w:val="00BF059C"/>
    <w:rsid w:val="00BF15A9"/>
    <w:rsid w:val="00BF3085"/>
    <w:rsid w:val="00C03697"/>
    <w:rsid w:val="00C061BA"/>
    <w:rsid w:val="00C10419"/>
    <w:rsid w:val="00C1156A"/>
    <w:rsid w:val="00C124F2"/>
    <w:rsid w:val="00C13B8B"/>
    <w:rsid w:val="00C212BF"/>
    <w:rsid w:val="00C22FB2"/>
    <w:rsid w:val="00C26B08"/>
    <w:rsid w:val="00C301C5"/>
    <w:rsid w:val="00C3497F"/>
    <w:rsid w:val="00C402B7"/>
    <w:rsid w:val="00C41368"/>
    <w:rsid w:val="00C511CE"/>
    <w:rsid w:val="00C52A28"/>
    <w:rsid w:val="00C611E4"/>
    <w:rsid w:val="00C6181B"/>
    <w:rsid w:val="00C735C4"/>
    <w:rsid w:val="00C77404"/>
    <w:rsid w:val="00C81CCA"/>
    <w:rsid w:val="00C8282E"/>
    <w:rsid w:val="00C838BF"/>
    <w:rsid w:val="00C839B2"/>
    <w:rsid w:val="00C84A5B"/>
    <w:rsid w:val="00C85F03"/>
    <w:rsid w:val="00C91FCB"/>
    <w:rsid w:val="00C95A9D"/>
    <w:rsid w:val="00CA1837"/>
    <w:rsid w:val="00CA2C14"/>
    <w:rsid w:val="00CA4BE8"/>
    <w:rsid w:val="00CA6351"/>
    <w:rsid w:val="00CB297C"/>
    <w:rsid w:val="00CB36A4"/>
    <w:rsid w:val="00CB5721"/>
    <w:rsid w:val="00CC20DD"/>
    <w:rsid w:val="00CC4391"/>
    <w:rsid w:val="00CC7713"/>
    <w:rsid w:val="00CE1344"/>
    <w:rsid w:val="00CE2ADE"/>
    <w:rsid w:val="00CE43C4"/>
    <w:rsid w:val="00CE46F5"/>
    <w:rsid w:val="00CF3AA7"/>
    <w:rsid w:val="00D00BAB"/>
    <w:rsid w:val="00D074A6"/>
    <w:rsid w:val="00D10610"/>
    <w:rsid w:val="00D10819"/>
    <w:rsid w:val="00D2617E"/>
    <w:rsid w:val="00D27414"/>
    <w:rsid w:val="00D27E20"/>
    <w:rsid w:val="00D32FBB"/>
    <w:rsid w:val="00D34B52"/>
    <w:rsid w:val="00D37590"/>
    <w:rsid w:val="00D41BF7"/>
    <w:rsid w:val="00D433A8"/>
    <w:rsid w:val="00D43791"/>
    <w:rsid w:val="00D466D3"/>
    <w:rsid w:val="00D5146B"/>
    <w:rsid w:val="00D56197"/>
    <w:rsid w:val="00D63F98"/>
    <w:rsid w:val="00D72DAD"/>
    <w:rsid w:val="00D74569"/>
    <w:rsid w:val="00D77097"/>
    <w:rsid w:val="00D833EC"/>
    <w:rsid w:val="00D84091"/>
    <w:rsid w:val="00D84D80"/>
    <w:rsid w:val="00D905CA"/>
    <w:rsid w:val="00D94AE5"/>
    <w:rsid w:val="00DA0681"/>
    <w:rsid w:val="00DA43D2"/>
    <w:rsid w:val="00DA4BE0"/>
    <w:rsid w:val="00DA6AFC"/>
    <w:rsid w:val="00DB2F11"/>
    <w:rsid w:val="00DB33CB"/>
    <w:rsid w:val="00DB5D92"/>
    <w:rsid w:val="00DC735D"/>
    <w:rsid w:val="00DD0831"/>
    <w:rsid w:val="00DD60A3"/>
    <w:rsid w:val="00DD66B0"/>
    <w:rsid w:val="00DD6F12"/>
    <w:rsid w:val="00DE040A"/>
    <w:rsid w:val="00DE0DD9"/>
    <w:rsid w:val="00DE18C3"/>
    <w:rsid w:val="00DE2DBA"/>
    <w:rsid w:val="00DE2DD3"/>
    <w:rsid w:val="00DE5D44"/>
    <w:rsid w:val="00DE6F5C"/>
    <w:rsid w:val="00DF1C4E"/>
    <w:rsid w:val="00DF68F3"/>
    <w:rsid w:val="00DF7A6A"/>
    <w:rsid w:val="00E00C91"/>
    <w:rsid w:val="00E01DD1"/>
    <w:rsid w:val="00E13635"/>
    <w:rsid w:val="00E14CC6"/>
    <w:rsid w:val="00E25BA3"/>
    <w:rsid w:val="00E27C14"/>
    <w:rsid w:val="00E3375C"/>
    <w:rsid w:val="00E361E9"/>
    <w:rsid w:val="00E37A47"/>
    <w:rsid w:val="00E449DD"/>
    <w:rsid w:val="00E45B37"/>
    <w:rsid w:val="00E463A3"/>
    <w:rsid w:val="00E50392"/>
    <w:rsid w:val="00E510D0"/>
    <w:rsid w:val="00E659F4"/>
    <w:rsid w:val="00E65A00"/>
    <w:rsid w:val="00E7596F"/>
    <w:rsid w:val="00E760C9"/>
    <w:rsid w:val="00E85A33"/>
    <w:rsid w:val="00E866FF"/>
    <w:rsid w:val="00E9056C"/>
    <w:rsid w:val="00E95B0D"/>
    <w:rsid w:val="00E96DAC"/>
    <w:rsid w:val="00EA04A5"/>
    <w:rsid w:val="00EA4287"/>
    <w:rsid w:val="00EA431B"/>
    <w:rsid w:val="00EA7818"/>
    <w:rsid w:val="00EA7B40"/>
    <w:rsid w:val="00EB2DE3"/>
    <w:rsid w:val="00EB2EB5"/>
    <w:rsid w:val="00EB59FA"/>
    <w:rsid w:val="00EB6834"/>
    <w:rsid w:val="00EB7D3F"/>
    <w:rsid w:val="00EC2373"/>
    <w:rsid w:val="00EC7857"/>
    <w:rsid w:val="00ED04A5"/>
    <w:rsid w:val="00ED0E52"/>
    <w:rsid w:val="00ED2D99"/>
    <w:rsid w:val="00ED30DC"/>
    <w:rsid w:val="00ED4AA8"/>
    <w:rsid w:val="00ED515E"/>
    <w:rsid w:val="00EE0D1D"/>
    <w:rsid w:val="00EF196F"/>
    <w:rsid w:val="00EF2590"/>
    <w:rsid w:val="00EF2CA5"/>
    <w:rsid w:val="00EF314B"/>
    <w:rsid w:val="00EF39E3"/>
    <w:rsid w:val="00EF67B1"/>
    <w:rsid w:val="00F00545"/>
    <w:rsid w:val="00F03405"/>
    <w:rsid w:val="00F04587"/>
    <w:rsid w:val="00F0667E"/>
    <w:rsid w:val="00F07AE0"/>
    <w:rsid w:val="00F10676"/>
    <w:rsid w:val="00F11E66"/>
    <w:rsid w:val="00F14907"/>
    <w:rsid w:val="00F16028"/>
    <w:rsid w:val="00F175AB"/>
    <w:rsid w:val="00F23EDE"/>
    <w:rsid w:val="00F241CA"/>
    <w:rsid w:val="00F27121"/>
    <w:rsid w:val="00F32D08"/>
    <w:rsid w:val="00F345F4"/>
    <w:rsid w:val="00F3595E"/>
    <w:rsid w:val="00F35FA7"/>
    <w:rsid w:val="00F4306C"/>
    <w:rsid w:val="00F4361C"/>
    <w:rsid w:val="00F44361"/>
    <w:rsid w:val="00F45505"/>
    <w:rsid w:val="00F46713"/>
    <w:rsid w:val="00F46ECB"/>
    <w:rsid w:val="00F47C8B"/>
    <w:rsid w:val="00F51DC8"/>
    <w:rsid w:val="00F5681F"/>
    <w:rsid w:val="00F57DD7"/>
    <w:rsid w:val="00F64D13"/>
    <w:rsid w:val="00F6567D"/>
    <w:rsid w:val="00F65E95"/>
    <w:rsid w:val="00F76723"/>
    <w:rsid w:val="00F770A6"/>
    <w:rsid w:val="00F817A3"/>
    <w:rsid w:val="00F83103"/>
    <w:rsid w:val="00F87647"/>
    <w:rsid w:val="00FA08E8"/>
    <w:rsid w:val="00FA6C2D"/>
    <w:rsid w:val="00FB5428"/>
    <w:rsid w:val="00FB658B"/>
    <w:rsid w:val="00FB76FF"/>
    <w:rsid w:val="00FC0045"/>
    <w:rsid w:val="00FC18A1"/>
    <w:rsid w:val="00FC369E"/>
    <w:rsid w:val="00FC38AC"/>
    <w:rsid w:val="00FC639B"/>
    <w:rsid w:val="00FD1250"/>
    <w:rsid w:val="00FD31AB"/>
    <w:rsid w:val="00FE4081"/>
    <w:rsid w:val="00FE4ED0"/>
    <w:rsid w:val="00FE5F7B"/>
    <w:rsid w:val="00FE6E59"/>
    <w:rsid w:val="00FF19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D0E28-22D9-4EFA-858F-716AB8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D13"/>
    <w:pPr>
      <w:widowControl w:val="0"/>
      <w:autoSpaceDE w:val="0"/>
      <w:autoSpaceDN w:val="0"/>
      <w:adjustRightInd w:val="0"/>
      <w:spacing w:after="0" w:line="240" w:lineRule="auto"/>
    </w:pPr>
    <w:rPr>
      <w:rFonts w:ascii="Arial" w:eastAsiaTheme="minorEastAsia" w:hAnsi="Arial" w:cs="Arial"/>
      <w:sz w:val="20"/>
      <w:szCs w:val="20"/>
      <w:lang w:eastAsia="cs-CZ"/>
    </w:rPr>
  </w:style>
  <w:style w:type="paragraph" w:styleId="Nadpis2">
    <w:name w:val="heading 2"/>
    <w:basedOn w:val="Normln"/>
    <w:next w:val="Normln"/>
    <w:link w:val="Nadpis2Char"/>
    <w:uiPriority w:val="9"/>
    <w:semiHidden/>
    <w:unhideWhenUsed/>
    <w:qFormat/>
    <w:rsid w:val="00C81C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uiPriority w:val="9"/>
    <w:qFormat/>
    <w:rsid w:val="00246D13"/>
    <w:pPr>
      <w:keepNext/>
      <w:widowControl/>
      <w:autoSpaceDE/>
      <w:autoSpaceDN/>
      <w:adjustRightInd/>
      <w:jc w:val="center"/>
      <w:outlineLvl w:val="7"/>
    </w:pPr>
    <w:rPr>
      <w:rFonts w:ascii="Calibri" w:hAnsi="Calibri" w:cs="Times New Roman"/>
      <w:b/>
      <w:bCs/>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246D13"/>
    <w:rPr>
      <w:rFonts w:ascii="Calibri" w:eastAsiaTheme="minorEastAsia" w:hAnsi="Calibri" w:cs="Times New Roman"/>
      <w:b/>
      <w:bCs/>
      <w:noProof/>
      <w:sz w:val="24"/>
      <w:szCs w:val="20"/>
      <w:lang w:eastAsia="cs-CZ"/>
    </w:rPr>
  </w:style>
  <w:style w:type="paragraph" w:styleId="Zkladntext">
    <w:name w:val="Body Text"/>
    <w:aliases w:val="?????1,Body ...,Body Text Char,Body Text Char Char,Body Text Char Char Char,Body Text Char1 Char Char,Body Text Char2 Char,Corps de texte INTSUM,Nornální,Základní text - D,b,Číslovaný seznam (i),Текст1"/>
    <w:basedOn w:val="Normln"/>
    <w:link w:val="ZkladntextChar"/>
    <w:uiPriority w:val="99"/>
    <w:rsid w:val="00246D13"/>
    <w:pPr>
      <w:widowControl/>
      <w:autoSpaceDE/>
      <w:autoSpaceDN/>
      <w:adjustRightInd/>
      <w:jc w:val="both"/>
    </w:pPr>
    <w:rPr>
      <w:rFonts w:ascii="Calibri" w:hAnsi="Calibri" w:cs="Times New Roman"/>
      <w:b/>
      <w:bCs/>
      <w:sz w:val="28"/>
      <w:szCs w:val="28"/>
    </w:rPr>
  </w:style>
  <w:style w:type="character" w:customStyle="1" w:styleId="ZkladntextChar">
    <w:name w:val="Základní text Char"/>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uiPriority w:val="99"/>
    <w:rsid w:val="00246D13"/>
    <w:rPr>
      <w:rFonts w:ascii="Calibri" w:eastAsiaTheme="minorEastAsia" w:hAnsi="Calibri" w:cs="Times New Roman"/>
      <w:b/>
      <w:bCs/>
      <w:sz w:val="28"/>
      <w:szCs w:val="28"/>
      <w:lang w:eastAsia="cs-CZ"/>
    </w:rPr>
  </w:style>
  <w:style w:type="paragraph" w:customStyle="1" w:styleId="Zkladn">
    <w:name w:val="Základní"/>
    <w:basedOn w:val="Normln"/>
    <w:rsid w:val="00246D13"/>
    <w:pPr>
      <w:widowControl/>
      <w:autoSpaceDE/>
      <w:autoSpaceDN/>
      <w:adjustRightInd/>
      <w:spacing w:before="120"/>
      <w:jc w:val="both"/>
    </w:pPr>
    <w:rPr>
      <w:rFonts w:cs="Times New Roman"/>
      <w:sz w:val="24"/>
      <w:szCs w:val="24"/>
      <w:lang w:eastAsia="en-US"/>
    </w:rPr>
  </w:style>
  <w:style w:type="paragraph" w:styleId="Textpoznpodarou">
    <w:name w:val="footnote text"/>
    <w:aliases w:val="fn"/>
    <w:basedOn w:val="Normln"/>
    <w:link w:val="TextpoznpodarouChar"/>
    <w:uiPriority w:val="99"/>
    <w:unhideWhenUsed/>
    <w:rsid w:val="00246D13"/>
    <w:pPr>
      <w:widowControl/>
      <w:autoSpaceDE/>
      <w:autoSpaceDN/>
      <w:adjustRightInd/>
      <w:jc w:val="both"/>
    </w:pPr>
    <w:rPr>
      <w:rFonts w:ascii="Calibri" w:hAnsi="Calibri" w:cs="Times New Roman"/>
    </w:rPr>
  </w:style>
  <w:style w:type="character" w:customStyle="1" w:styleId="TextpoznpodarouChar">
    <w:name w:val="Text pozn. pod čarou Char"/>
    <w:aliases w:val="fn Char"/>
    <w:basedOn w:val="Standardnpsmoodstavce"/>
    <w:link w:val="Textpoznpodarou"/>
    <w:uiPriority w:val="99"/>
    <w:rsid w:val="00246D13"/>
    <w:rPr>
      <w:rFonts w:ascii="Calibri" w:eastAsiaTheme="minorEastAsia" w:hAnsi="Calibri" w:cs="Times New Roman"/>
      <w:sz w:val="20"/>
      <w:szCs w:val="20"/>
      <w:lang w:eastAsia="cs-CZ"/>
    </w:rPr>
  </w:style>
  <w:style w:type="character" w:styleId="Znakapoznpodarou">
    <w:name w:val="footnote reference"/>
    <w:aliases w:val="12 b.,EN Footnote Reference,PGI Fußnote Ziffer,PGI Fußnote Ziffer + Times New Roman,Zúžené o ..."/>
    <w:basedOn w:val="Standardnpsmoodstavce"/>
    <w:uiPriority w:val="99"/>
    <w:unhideWhenUsed/>
    <w:rsid w:val="00246D13"/>
    <w:rPr>
      <w:rFonts w:cs="Times New Roman"/>
      <w:vertAlign w:val="superscript"/>
    </w:rPr>
  </w:style>
  <w:style w:type="character" w:customStyle="1" w:styleId="Titulektabulky">
    <w:name w:val="Titulek tabulky_"/>
    <w:link w:val="Titulektabulky0"/>
    <w:locked/>
    <w:rsid w:val="00246D13"/>
    <w:rPr>
      <w:rFonts w:ascii="Calibri" w:hAnsi="Calibri"/>
      <w:shd w:val="clear" w:color="auto" w:fill="FFFFFF"/>
    </w:rPr>
  </w:style>
  <w:style w:type="paragraph" w:customStyle="1" w:styleId="Titulektabulky0">
    <w:name w:val="Titulek tabulky"/>
    <w:basedOn w:val="Normln"/>
    <w:link w:val="Titulektabulky"/>
    <w:rsid w:val="00246D13"/>
    <w:pPr>
      <w:shd w:val="clear" w:color="auto" w:fill="FFFFFF"/>
      <w:autoSpaceDE/>
      <w:autoSpaceDN/>
      <w:adjustRightInd/>
    </w:pPr>
    <w:rPr>
      <w:rFonts w:ascii="Calibri" w:eastAsiaTheme="minorHAnsi" w:hAnsi="Calibri" w:cstheme="minorBidi"/>
      <w:sz w:val="22"/>
      <w:szCs w:val="22"/>
      <w:lang w:eastAsia="en-US"/>
    </w:rPr>
  </w:style>
  <w:style w:type="paragraph" w:styleId="Odstavecseseznamem">
    <w:name w:val="List Paragraph"/>
    <w:aliases w:val="Nadpis pro KZ,odrážky"/>
    <w:basedOn w:val="Normln"/>
    <w:link w:val="OdstavecseseznamemChar"/>
    <w:uiPriority w:val="34"/>
    <w:qFormat/>
    <w:rsid w:val="00246D13"/>
    <w:pPr>
      <w:ind w:left="720"/>
      <w:contextualSpacing/>
    </w:pPr>
  </w:style>
  <w:style w:type="character" w:customStyle="1" w:styleId="OdstavecseseznamemChar">
    <w:name w:val="Odstavec se seznamem Char"/>
    <w:aliases w:val="Nadpis pro KZ Char,odrážky Char"/>
    <w:link w:val="Odstavecseseznamem"/>
    <w:uiPriority w:val="34"/>
    <w:locked/>
    <w:rsid w:val="00246D13"/>
    <w:rPr>
      <w:rFonts w:ascii="Arial" w:eastAsiaTheme="minorEastAsia" w:hAnsi="Arial" w:cs="Arial"/>
      <w:sz w:val="20"/>
      <w:szCs w:val="20"/>
      <w:lang w:eastAsia="cs-CZ"/>
    </w:rPr>
  </w:style>
  <w:style w:type="character" w:styleId="Siln">
    <w:name w:val="Strong"/>
    <w:basedOn w:val="Standardnpsmoodstavce"/>
    <w:qFormat/>
    <w:rsid w:val="005E1D5A"/>
    <w:rPr>
      <w:b/>
      <w:bCs/>
    </w:rPr>
  </w:style>
  <w:style w:type="character" w:styleId="Hypertextovodkaz">
    <w:name w:val="Hyperlink"/>
    <w:basedOn w:val="Standardnpsmoodstavce"/>
    <w:uiPriority w:val="99"/>
    <w:rsid w:val="00187C89"/>
    <w:rPr>
      <w:color w:val="0000FF"/>
      <w:u w:val="single"/>
    </w:rPr>
  </w:style>
  <w:style w:type="paragraph" w:customStyle="1" w:styleId="Default">
    <w:name w:val="Default"/>
    <w:rsid w:val="00763750"/>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56765E"/>
    <w:rPr>
      <w:sz w:val="16"/>
      <w:szCs w:val="16"/>
    </w:rPr>
  </w:style>
  <w:style w:type="paragraph" w:styleId="Textkomente">
    <w:name w:val="annotation text"/>
    <w:basedOn w:val="Normln"/>
    <w:link w:val="TextkomenteChar"/>
    <w:uiPriority w:val="99"/>
    <w:semiHidden/>
    <w:unhideWhenUsed/>
    <w:rsid w:val="0056765E"/>
  </w:style>
  <w:style w:type="character" w:customStyle="1" w:styleId="TextkomenteChar">
    <w:name w:val="Text komentáře Char"/>
    <w:basedOn w:val="Standardnpsmoodstavce"/>
    <w:link w:val="Textkomente"/>
    <w:uiPriority w:val="99"/>
    <w:semiHidden/>
    <w:rsid w:val="0056765E"/>
    <w:rPr>
      <w:rFonts w:ascii="Arial" w:eastAsiaTheme="minorEastAsia" w:hAnsi="Arial" w:cs="Arial"/>
      <w:sz w:val="20"/>
      <w:szCs w:val="20"/>
      <w:lang w:eastAsia="cs-CZ"/>
    </w:rPr>
  </w:style>
  <w:style w:type="table" w:customStyle="1" w:styleId="Mkatabulky1">
    <w:name w:val="Mřížka tabulky1"/>
    <w:basedOn w:val="Normlntabulka"/>
    <w:next w:val="Mkatabulky"/>
    <w:uiPriority w:val="59"/>
    <w:rsid w:val="00B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BF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81CCA"/>
    <w:rPr>
      <w:rFonts w:asciiTheme="majorHAnsi" w:eastAsiaTheme="majorEastAsia" w:hAnsiTheme="majorHAnsi" w:cstheme="majorBidi"/>
      <w:color w:val="2E74B5" w:themeColor="accent1" w:themeShade="BF"/>
      <w:sz w:val="26"/>
      <w:szCs w:val="26"/>
      <w:lang w:eastAsia="cs-CZ"/>
    </w:rPr>
  </w:style>
  <w:style w:type="paragraph" w:styleId="Zhlav">
    <w:name w:val="header"/>
    <w:basedOn w:val="Normln"/>
    <w:link w:val="ZhlavChar"/>
    <w:uiPriority w:val="99"/>
    <w:unhideWhenUsed/>
    <w:rsid w:val="009648EF"/>
    <w:pPr>
      <w:tabs>
        <w:tab w:val="center" w:pos="4536"/>
        <w:tab w:val="right" w:pos="9072"/>
      </w:tabs>
    </w:pPr>
  </w:style>
  <w:style w:type="character" w:customStyle="1" w:styleId="ZhlavChar">
    <w:name w:val="Záhlaví Char"/>
    <w:basedOn w:val="Standardnpsmoodstavce"/>
    <w:link w:val="Zhlav"/>
    <w:uiPriority w:val="99"/>
    <w:rsid w:val="009648EF"/>
    <w:rPr>
      <w:rFonts w:ascii="Arial" w:eastAsiaTheme="minorEastAsia" w:hAnsi="Arial" w:cs="Arial"/>
      <w:sz w:val="20"/>
      <w:szCs w:val="20"/>
      <w:lang w:eastAsia="cs-CZ"/>
    </w:rPr>
  </w:style>
  <w:style w:type="paragraph" w:styleId="Zpat">
    <w:name w:val="footer"/>
    <w:basedOn w:val="Normln"/>
    <w:link w:val="ZpatChar"/>
    <w:uiPriority w:val="99"/>
    <w:unhideWhenUsed/>
    <w:rsid w:val="009648EF"/>
    <w:pPr>
      <w:tabs>
        <w:tab w:val="center" w:pos="4536"/>
        <w:tab w:val="right" w:pos="9072"/>
      </w:tabs>
    </w:pPr>
  </w:style>
  <w:style w:type="character" w:customStyle="1" w:styleId="ZpatChar">
    <w:name w:val="Zápatí Char"/>
    <w:basedOn w:val="Standardnpsmoodstavce"/>
    <w:link w:val="Zpat"/>
    <w:uiPriority w:val="99"/>
    <w:rsid w:val="009648EF"/>
    <w:rPr>
      <w:rFonts w:ascii="Arial" w:eastAsiaTheme="minorEastAsia" w:hAnsi="Arial" w:cs="Arial"/>
      <w:sz w:val="20"/>
      <w:szCs w:val="20"/>
      <w:lang w:eastAsia="cs-CZ"/>
    </w:rPr>
  </w:style>
  <w:style w:type="paragraph" w:styleId="Textbubliny">
    <w:name w:val="Balloon Text"/>
    <w:basedOn w:val="Normln"/>
    <w:link w:val="TextbublinyChar"/>
    <w:uiPriority w:val="99"/>
    <w:semiHidden/>
    <w:unhideWhenUsed/>
    <w:rsid w:val="0038345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45F"/>
    <w:rPr>
      <w:rFonts w:ascii="Segoe UI" w:eastAsiaTheme="minorEastAsia" w:hAnsi="Segoe UI" w:cs="Segoe UI"/>
      <w:sz w:val="18"/>
      <w:szCs w:val="18"/>
      <w:lang w:eastAsia="cs-CZ"/>
    </w:rPr>
  </w:style>
  <w:style w:type="paragraph" w:customStyle="1" w:styleId="tabulka">
    <w:name w:val="tabulka"/>
    <w:basedOn w:val="Normln"/>
    <w:link w:val="tabulkaChar"/>
    <w:qFormat/>
    <w:rsid w:val="00533851"/>
    <w:pPr>
      <w:widowControl/>
      <w:autoSpaceDE/>
      <w:autoSpaceDN/>
      <w:adjustRightInd/>
      <w:spacing w:after="120"/>
      <w:jc w:val="both"/>
    </w:pPr>
    <w:rPr>
      <w:rFonts w:asciiTheme="minorHAnsi" w:eastAsia="Times New Roman" w:hAnsiTheme="minorHAnsi"/>
      <w:szCs w:val="18"/>
      <w:lang w:eastAsia="en-US"/>
    </w:rPr>
  </w:style>
  <w:style w:type="character" w:customStyle="1" w:styleId="tabulkaChar">
    <w:name w:val="tabulka Char"/>
    <w:link w:val="tabulka"/>
    <w:rsid w:val="00533851"/>
    <w:rPr>
      <w:rFonts w:eastAsia="Times New Roman" w:cs="Arial"/>
      <w:sz w:val="20"/>
      <w:szCs w:val="18"/>
    </w:rPr>
  </w:style>
  <w:style w:type="paragraph" w:customStyle="1" w:styleId="Poznmka">
    <w:name w:val="Poznámka"/>
    <w:basedOn w:val="Normln"/>
    <w:link w:val="PoznmkaChar"/>
    <w:autoRedefine/>
    <w:qFormat/>
    <w:rsid w:val="0042584D"/>
    <w:pPr>
      <w:keepNext/>
      <w:widowControl/>
      <w:autoSpaceDE/>
      <w:autoSpaceDN/>
      <w:adjustRightInd/>
      <w:spacing w:before="40" w:after="120"/>
      <w:ind w:left="567" w:hanging="567"/>
      <w:jc w:val="both"/>
    </w:pPr>
    <w:rPr>
      <w:rFonts w:asciiTheme="minorHAnsi" w:eastAsia="Times New Roman" w:hAnsiTheme="minorHAnsi" w:cstheme="majorHAnsi"/>
      <w:b/>
    </w:rPr>
  </w:style>
  <w:style w:type="character" w:customStyle="1" w:styleId="PoznmkaChar">
    <w:name w:val="Poznámka Char"/>
    <w:link w:val="Poznmka"/>
    <w:rsid w:val="0042584D"/>
    <w:rPr>
      <w:rFonts w:eastAsia="Times New Roman" w:cstheme="majorHAnsi"/>
      <w:b/>
      <w:sz w:val="20"/>
      <w:szCs w:val="20"/>
      <w:lang w:eastAsia="cs-CZ"/>
    </w:rPr>
  </w:style>
  <w:style w:type="paragraph" w:customStyle="1" w:styleId="Nzevtabulky">
    <w:name w:val="Název tabulky"/>
    <w:basedOn w:val="Normln"/>
    <w:uiPriority w:val="99"/>
    <w:qFormat/>
    <w:rsid w:val="00533851"/>
    <w:pPr>
      <w:keepNext/>
      <w:widowControl/>
      <w:numPr>
        <w:ilvl w:val="1"/>
        <w:numId w:val="16"/>
      </w:numPr>
      <w:autoSpaceDE/>
      <w:autoSpaceDN/>
      <w:adjustRightInd/>
      <w:spacing w:before="240" w:after="120"/>
      <w:jc w:val="both"/>
    </w:pPr>
    <w:rPr>
      <w:rFonts w:asciiTheme="minorHAnsi" w:eastAsia="Times New Roman" w:hAnsiTheme="minorHAnsi"/>
      <w:sz w:val="24"/>
      <w:szCs w:val="22"/>
      <w:lang w:eastAsia="en-US"/>
    </w:rPr>
  </w:style>
  <w:style w:type="table" w:customStyle="1" w:styleId="Mkatabulky2">
    <w:name w:val="Mřížka tabulky2"/>
    <w:basedOn w:val="Normlntabulka"/>
    <w:next w:val="Mkatabulky"/>
    <w:uiPriority w:val="59"/>
    <w:rsid w:val="0074783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F07A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A4BE0"/>
    <w:rPr>
      <w:color w:val="000000"/>
      <w:sz w:val="60"/>
      <w:szCs w:val="60"/>
    </w:rPr>
  </w:style>
  <w:style w:type="paragraph" w:styleId="Pedmtkomente">
    <w:name w:val="annotation subject"/>
    <w:basedOn w:val="Textkomente"/>
    <w:next w:val="Textkomente"/>
    <w:link w:val="PedmtkomenteChar"/>
    <w:uiPriority w:val="99"/>
    <w:semiHidden/>
    <w:unhideWhenUsed/>
    <w:rsid w:val="00665BCE"/>
    <w:rPr>
      <w:b/>
      <w:bCs/>
    </w:rPr>
  </w:style>
  <w:style w:type="character" w:customStyle="1" w:styleId="PedmtkomenteChar">
    <w:name w:val="Předmět komentáře Char"/>
    <w:basedOn w:val="TextkomenteChar"/>
    <w:link w:val="Pedmtkomente"/>
    <w:uiPriority w:val="99"/>
    <w:semiHidden/>
    <w:rsid w:val="00665BCE"/>
    <w:rPr>
      <w:rFonts w:ascii="Arial" w:eastAsiaTheme="minorEastAsia" w:hAnsi="Arial" w:cs="Arial"/>
      <w:b/>
      <w:bCs/>
      <w:sz w:val="20"/>
      <w:szCs w:val="20"/>
      <w:lang w:eastAsia="cs-CZ"/>
    </w:rPr>
  </w:style>
  <w:style w:type="character" w:styleId="Sledovanodkaz">
    <w:name w:val="FollowedHyperlink"/>
    <w:basedOn w:val="Standardnpsmoodstavce"/>
    <w:uiPriority w:val="99"/>
    <w:semiHidden/>
    <w:unhideWhenUsed/>
    <w:rsid w:val="008A3774"/>
    <w:rPr>
      <w:color w:val="954F72" w:themeColor="followedHyperlink"/>
      <w:u w:val="single"/>
    </w:rPr>
  </w:style>
  <w:style w:type="paragraph" w:styleId="Revize">
    <w:name w:val="Revision"/>
    <w:hidden/>
    <w:uiPriority w:val="99"/>
    <w:semiHidden/>
    <w:rsid w:val="00161489"/>
    <w:pPr>
      <w:spacing w:after="0" w:line="240" w:lineRule="auto"/>
    </w:pPr>
    <w:rPr>
      <w:rFonts w:ascii="Arial" w:eastAsiaTheme="minorEastAsia" w:hAnsi="Arial" w:cs="Arial"/>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lic.tableau.com/app/profile/nku1321/viz/Mapa_21-17/Dashboar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JANECKA\Plocha\KA%2021-17\KZ\gr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405248890768759E-2"/>
          <c:y val="9.7801187820805671E-2"/>
          <c:w val="0.88818858418184077"/>
          <c:h val="0.69845363079615053"/>
        </c:manualLayout>
      </c:layout>
      <c:barChart>
        <c:barDir val="col"/>
        <c:grouping val="stacked"/>
        <c:varyColors val="0"/>
        <c:ser>
          <c:idx val="2"/>
          <c:order val="0"/>
          <c:tx>
            <c:strRef>
              <c:f>List1!$D$1</c:f>
              <c:strCache>
                <c:ptCount val="1"/>
                <c:pt idx="0">
                  <c:v>Čerpání celkem</c:v>
                </c:pt>
              </c:strCache>
            </c:strRef>
          </c:tx>
          <c:spPr>
            <a:solidFill>
              <a:srgbClr val="004595"/>
            </a:solidFill>
            <a:ln>
              <a:noFill/>
            </a:ln>
            <a:effectLst/>
          </c:spPr>
          <c:invertIfNegative val="0"/>
          <c:dLbls>
            <c:dLbl>
              <c:idx val="0"/>
              <c:layout>
                <c:manualLayout>
                  <c:x val="-1.5949447176048074E-3"/>
                  <c:y val="-3.2126503988981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7A-4825-BD06-DA09FFA8CBBC}"/>
                </c:ext>
              </c:extLst>
            </c:dLbl>
            <c:dLbl>
              <c:idx val="1"/>
              <c:layout>
                <c:manualLayout>
                  <c:x val="-5.8619101056394607E-17"/>
                  <c:y val="-2.3276422130402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7A-4825-BD06-DA09FFA8CBBC}"/>
                </c:ext>
              </c:extLst>
            </c:dLbl>
            <c:dLbl>
              <c:idx val="2"/>
              <c:layout>
                <c:manualLayout>
                  <c:x val="0"/>
                  <c:y val="-1.3479119565499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7A-4825-BD06-DA09FFA8CBBC}"/>
                </c:ext>
              </c:extLst>
            </c:dLbl>
            <c:dLbl>
              <c:idx val="3"/>
              <c:layout>
                <c:manualLayout>
                  <c:x val="0"/>
                  <c:y val="-7.71237753696641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7A-4825-BD06-DA09FFA8CBBC}"/>
                </c:ext>
              </c:extLst>
            </c:dLbl>
            <c:dLbl>
              <c:idx val="4"/>
              <c:layout>
                <c:manualLayout>
                  <c:x val="-1.5949447176048955E-3"/>
                  <c:y val="-1.9100075361866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7A-4825-BD06-DA09FFA8CBBC}"/>
                </c:ext>
              </c:extLst>
            </c:dLbl>
            <c:spPr>
              <a:noFill/>
              <a:ln>
                <a:noFill/>
              </a:ln>
              <a:effectLst/>
            </c:spPr>
            <c:txPr>
              <a:bodyPr rot="0" spcFirstLastPara="1" vertOverflow="ellipsis" vert="horz" wrap="square" lIns="0" tIns="0" rIns="0" bIns="612000" anchor="ctr" anchorCtr="0">
                <a:spAutoFit/>
              </a:bodyPr>
              <a:lstStyle/>
              <a:p>
                <a:pPr>
                  <a:defRPr sz="8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List1!$A$2:$A$6</c:f>
              <c:numCache>
                <c:formatCode>General</c:formatCode>
                <c:ptCount val="5"/>
                <c:pt idx="0">
                  <c:v>2016</c:v>
                </c:pt>
                <c:pt idx="1">
                  <c:v>2017</c:v>
                </c:pt>
                <c:pt idx="2">
                  <c:v>2018</c:v>
                </c:pt>
                <c:pt idx="3">
                  <c:v>2019</c:v>
                </c:pt>
                <c:pt idx="4">
                  <c:v>2020</c:v>
                </c:pt>
              </c:numCache>
            </c:numRef>
          </c:cat>
          <c:val>
            <c:numRef>
              <c:f>List1!$D$2:$D$6</c:f>
              <c:numCache>
                <c:formatCode>General</c:formatCode>
                <c:ptCount val="5"/>
                <c:pt idx="0">
                  <c:v>2</c:v>
                </c:pt>
                <c:pt idx="1">
                  <c:v>86</c:v>
                </c:pt>
                <c:pt idx="2">
                  <c:v>111</c:v>
                </c:pt>
                <c:pt idx="3">
                  <c:v>130</c:v>
                </c:pt>
                <c:pt idx="4">
                  <c:v>106</c:v>
                </c:pt>
              </c:numCache>
            </c:numRef>
          </c:val>
          <c:extLst>
            <c:ext xmlns:c16="http://schemas.microsoft.com/office/drawing/2014/chart" uri="{C3380CC4-5D6E-409C-BE32-E72D297353CC}">
              <c16:uniqueId val="{00000005-A47A-4825-BD06-DA09FFA8CBBC}"/>
            </c:ext>
          </c:extLst>
        </c:ser>
        <c:ser>
          <c:idx val="3"/>
          <c:order val="1"/>
          <c:tx>
            <c:strRef>
              <c:f>List1!$E$1</c:f>
              <c:strCache>
                <c:ptCount val="1"/>
                <c:pt idx="0">
                  <c:v>Nároky z nespotřebovaných výdajů ke konci roku</c:v>
                </c:pt>
              </c:strCache>
            </c:strRef>
          </c:tx>
          <c:spPr>
            <a:solidFill>
              <a:srgbClr val="BD2A3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List1!$A$2:$A$6</c:f>
              <c:numCache>
                <c:formatCode>General</c:formatCode>
                <c:ptCount val="5"/>
                <c:pt idx="0">
                  <c:v>2016</c:v>
                </c:pt>
                <c:pt idx="1">
                  <c:v>2017</c:v>
                </c:pt>
                <c:pt idx="2">
                  <c:v>2018</c:v>
                </c:pt>
                <c:pt idx="3">
                  <c:v>2019</c:v>
                </c:pt>
                <c:pt idx="4">
                  <c:v>2020</c:v>
                </c:pt>
              </c:numCache>
            </c:numRef>
          </c:cat>
          <c:val>
            <c:numRef>
              <c:f>List1!$E$2:$E$6</c:f>
              <c:numCache>
                <c:formatCode>General</c:formatCode>
                <c:ptCount val="5"/>
                <c:pt idx="0">
                  <c:v>180</c:v>
                </c:pt>
                <c:pt idx="1">
                  <c:v>196</c:v>
                </c:pt>
                <c:pt idx="2">
                  <c:v>218</c:v>
                </c:pt>
                <c:pt idx="3">
                  <c:v>279</c:v>
                </c:pt>
                <c:pt idx="4">
                  <c:v>173</c:v>
                </c:pt>
              </c:numCache>
            </c:numRef>
          </c:val>
          <c:extLst>
            <c:ext xmlns:c16="http://schemas.microsoft.com/office/drawing/2014/chart" uri="{C3380CC4-5D6E-409C-BE32-E72D297353CC}">
              <c16:uniqueId val="{00000006-A47A-4825-BD06-DA09FFA8CBBC}"/>
            </c:ext>
          </c:extLst>
        </c:ser>
        <c:dLbls>
          <c:showLegendKey val="0"/>
          <c:showVal val="0"/>
          <c:showCatName val="0"/>
          <c:showSerName val="0"/>
          <c:showPercent val="0"/>
          <c:showBubbleSize val="0"/>
        </c:dLbls>
        <c:gapWidth val="165"/>
        <c:overlap val="100"/>
        <c:axId val="2008372943"/>
        <c:axId val="2034803599"/>
      </c:barChart>
      <c:lineChart>
        <c:grouping val="standard"/>
        <c:varyColors val="0"/>
        <c:ser>
          <c:idx val="0"/>
          <c:order val="2"/>
          <c:tx>
            <c:strRef>
              <c:f>List1!$C$1</c:f>
              <c:strCache>
                <c:ptCount val="1"/>
                <c:pt idx="0">
                  <c:v>Konečný rozpočet</c:v>
                </c:pt>
              </c:strCache>
            </c:strRef>
          </c:tx>
          <c:spPr>
            <a:ln w="12700" cap="rnd">
              <a:solidFill>
                <a:srgbClr val="004595"/>
              </a:solidFill>
              <a:round/>
            </a:ln>
            <a:effectLst/>
          </c:spPr>
          <c:marker>
            <c:symbol val="circle"/>
            <c:size val="5"/>
            <c:spPr>
              <a:solidFill>
                <a:srgbClr val="004595"/>
              </a:solidFill>
              <a:ln w="3175">
                <a:solidFill>
                  <a:srgbClr val="004595"/>
                </a:solidFill>
              </a:ln>
              <a:effectLst/>
            </c:spPr>
          </c:marker>
          <c:dLbls>
            <c:dLbl>
              <c:idx val="0"/>
              <c:layout>
                <c:manualLayout>
                  <c:x val="-2.7178260815380554E-2"/>
                  <c:y val="-4.9817572308411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7A-4825-BD06-DA09FFA8CBBC}"/>
                </c:ext>
              </c:extLst>
            </c:dLbl>
            <c:dLbl>
              <c:idx val="1"/>
              <c:layout>
                <c:manualLayout>
                  <c:x val="-2.5581427844361088E-2"/>
                  <c:y val="-3.9951404589277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7A-4825-BD06-DA09FFA8CBBC}"/>
                </c:ext>
              </c:extLst>
            </c:dLbl>
            <c:dLbl>
              <c:idx val="2"/>
              <c:layout>
                <c:manualLayout>
                  <c:x val="-2.7178260815380554E-2"/>
                  <c:y val="-3.8318650762714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7A-4825-BD06-DA09FFA8CBBC}"/>
                </c:ext>
              </c:extLst>
            </c:dLbl>
            <c:dLbl>
              <c:idx val="3"/>
              <c:layout>
                <c:manualLayout>
                  <c:x val="-2.71781999472289E-2"/>
                  <c:y val="-4.5767470192505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7A-4825-BD06-DA09FFA8CBBC}"/>
                </c:ext>
              </c:extLst>
            </c:dLbl>
            <c:dLbl>
              <c:idx val="4"/>
              <c:layout>
                <c:manualLayout>
                  <c:x val="-2.3982706619927057E-2"/>
                  <c:y val="-4.2834905537797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47A-4825-BD06-DA09FFA8CBBC}"/>
                </c:ext>
              </c:extLst>
            </c:dLbl>
            <c:spPr>
              <a:noFill/>
              <a:ln>
                <a:noFill/>
              </a:ln>
              <a:effectLst/>
            </c:spPr>
            <c:txPr>
              <a:bodyPr rot="0" spcFirstLastPara="1" vertOverflow="ellipsis" vert="horz" wrap="square" lIns="0" tIns="0" rIns="0" bIns="0" anchor="ctr" anchorCtr="1">
                <a:spAutoFit/>
              </a:bodyPr>
              <a:lstStyle/>
              <a:p>
                <a:pPr>
                  <a:defRPr sz="800" b="1"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List1!$A$2:$A$6</c:f>
              <c:numCache>
                <c:formatCode>General</c:formatCode>
                <c:ptCount val="5"/>
                <c:pt idx="0">
                  <c:v>2016</c:v>
                </c:pt>
                <c:pt idx="1">
                  <c:v>2017</c:v>
                </c:pt>
                <c:pt idx="2">
                  <c:v>2018</c:v>
                </c:pt>
                <c:pt idx="3">
                  <c:v>2019</c:v>
                </c:pt>
                <c:pt idx="4">
                  <c:v>2020</c:v>
                </c:pt>
              </c:numCache>
            </c:numRef>
          </c:cat>
          <c:val>
            <c:numRef>
              <c:f>List1!$C$2:$C$6</c:f>
              <c:numCache>
                <c:formatCode>General</c:formatCode>
                <c:ptCount val="5"/>
                <c:pt idx="0">
                  <c:v>182</c:v>
                </c:pt>
                <c:pt idx="1">
                  <c:v>282</c:v>
                </c:pt>
                <c:pt idx="2">
                  <c:v>329</c:v>
                </c:pt>
                <c:pt idx="3">
                  <c:v>409</c:v>
                </c:pt>
                <c:pt idx="4">
                  <c:v>279</c:v>
                </c:pt>
              </c:numCache>
            </c:numRef>
          </c:val>
          <c:smooth val="0"/>
          <c:extLst>
            <c:ext xmlns:c16="http://schemas.microsoft.com/office/drawing/2014/chart" uri="{C3380CC4-5D6E-409C-BE32-E72D297353CC}">
              <c16:uniqueId val="{0000000C-A47A-4825-BD06-DA09FFA8CBBC}"/>
            </c:ext>
          </c:extLst>
        </c:ser>
        <c:dLbls>
          <c:showLegendKey val="0"/>
          <c:showVal val="0"/>
          <c:showCatName val="0"/>
          <c:showSerName val="0"/>
          <c:showPercent val="0"/>
          <c:showBubbleSize val="0"/>
        </c:dLbls>
        <c:marker val="1"/>
        <c:smooth val="0"/>
        <c:axId val="2008372943"/>
        <c:axId val="2034803599"/>
      </c:lineChart>
      <c:catAx>
        <c:axId val="2008372943"/>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cs-CZ"/>
          </a:p>
        </c:txPr>
        <c:crossAx val="2034803599"/>
        <c:crosses val="autoZero"/>
        <c:auto val="1"/>
        <c:lblAlgn val="ctr"/>
        <c:lblOffset val="100"/>
        <c:noMultiLvlLbl val="0"/>
      </c:catAx>
      <c:valAx>
        <c:axId val="2034803599"/>
        <c:scaling>
          <c:orientation val="minMax"/>
          <c:max val="45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cs-CZ" sz="800" b="1">
                    <a:solidFill>
                      <a:sysClr val="windowText" lastClr="000000"/>
                    </a:solidFill>
                  </a:rPr>
                  <a:t>mil. Kč</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cs-CZ"/>
          </a:p>
        </c:txPr>
        <c:crossAx val="2008372943"/>
        <c:crosses val="autoZero"/>
        <c:crossBetween val="between"/>
        <c:majorUnit val="50"/>
      </c:valAx>
      <c:spPr>
        <a:noFill/>
        <a:ln>
          <a:noFill/>
        </a:ln>
        <a:effectLst>
          <a:softEdge rad="0"/>
        </a:effectLst>
      </c:spPr>
    </c:plotArea>
    <c:legend>
      <c:legendPos val="b"/>
      <c:overlay val="0"/>
      <c:spPr>
        <a:noFill/>
        <a:ln cmpd="sng">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E6A2F-0D94-48A6-8765-B4DD50CB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5979</Words>
  <Characters>35280</Characters>
  <Application>Microsoft Office Word</Application>
  <DocSecurity>4</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21/17 - Peněžní prostředky státního rozpočtu a Evropské unie určené na humanizaci psychiatrické péče</dc:title>
  <dc:subject>Kontrolní závěr z kontrolní akce NKÚ č. 21/17 - Peněžní prostředky státního rozpočtu a Evropské unie určené na humanizaci psychiatrické péče</dc:subject>
  <dc:creator>Nejvyšší kontrolní úřad</dc:creator>
  <cp:lastModifiedBy>KOKRDA Daniel</cp:lastModifiedBy>
  <cp:revision>2</cp:revision>
  <cp:lastPrinted>2022-05-13T04:21:00Z</cp:lastPrinted>
  <dcterms:created xsi:type="dcterms:W3CDTF">2022-05-18T05:39:00Z</dcterms:created>
  <dcterms:modified xsi:type="dcterms:W3CDTF">2022-05-18T05:39:00Z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21/17-NKU30/468/22</vt:lpwstr>
  </property>
  <property fmtid="{D5CDD505-2E9C-101B-9397-08002B2CF9AE}" pid="5" name="CJ_PostaDoruc_PisemnostOdpovedNa_Pisemnost">
    <vt:lpwstr>XXX-XXX-XXX</vt:lpwstr>
  </property>
  <property fmtid="{D5CDD505-2E9C-101B-9397-08002B2CF9AE}" pid="6" name="CJ_Spis_Pisemnost">
    <vt:lpwstr>510/182/20</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13.4.2022</vt:lpwstr>
  </property>
  <property fmtid="{D5CDD505-2E9C-101B-9397-08002B2CF9AE}" pid="12" name="DisplayName_CisloObalky_PostaOdes">
    <vt:lpwstr>ČÍSLO OBÁLKY</vt:lpwstr>
  </property>
  <property fmtid="{D5CDD505-2E9C-101B-9397-08002B2CF9AE}" pid="13" name="DisplayName_CJCol">
    <vt:lpwstr>&lt;TABLE&gt;&lt;TR&gt;&lt;TD&gt;Č.j.:&lt;/TD&gt;&lt;TD&gt;21/17-NKU30/468/22&lt;/TD&gt;&lt;/TR&gt;&lt;TR&gt;&lt;TD&gt;&lt;/TD&gt;&lt;TD&gt;&lt;/TD&gt;&lt;/TR&gt;&lt;/TABLE&gt;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Členové Úřadu</vt:lpwstr>
  </property>
  <property fmtid="{D5CDD505-2E9C-101B-9397-08002B2CF9AE}" pid="16" name="DisplayName_UserPoriz_Pisemnost">
    <vt:lpwstr>Bc. Monika Hoffmannová, DiS.</vt:lpwstr>
  </property>
  <property fmtid="{D5CDD505-2E9C-101B-9397-08002B2CF9AE}" pid="17" name="DuvodZmeny_SlozkaStupenUtajeniCollection_Slozka_Pisemnost">
    <vt:lpwstr/>
  </property>
  <property fmtid="{D5CDD505-2E9C-101B-9397-08002B2CF9AE}" pid="18" name="EC_Pisemnost">
    <vt:lpwstr>22-5448/NKU</vt:lpwstr>
  </property>
  <property fmtid="{D5CDD505-2E9C-101B-9397-08002B2CF9AE}" pid="19" name="Key_BarCode_Pisemnost">
    <vt:lpwstr>*B000405930*</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22-5448/NKU</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21/17</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kontrolního závěru z KA č. 21/17 - do připomínek</vt:lpwstr>
  </property>
  <property fmtid="{D5CDD505-2E9C-101B-9397-08002B2CF9AE}" pid="41" name="Zkratka_SpisovyUzel_PoziceZodpo_Pisemnost">
    <vt:lpwstr>30</vt:lpwstr>
  </property>
</Properties>
</file>