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D" w:rsidRDefault="00B1411D" w:rsidP="00C112BF">
      <w:pPr>
        <w:ind w:right="23"/>
        <w:rPr>
          <w:rFonts w:cs="Arial"/>
          <w:b/>
          <w:bCs/>
          <w:szCs w:val="22"/>
        </w:rPr>
      </w:pPr>
    </w:p>
    <w:p w:rsidR="00C112BF" w:rsidRPr="00777A92" w:rsidRDefault="00C112BF" w:rsidP="00C112BF">
      <w:pPr>
        <w:ind w:right="23"/>
        <w:rPr>
          <w:rFonts w:cs="Arial"/>
          <w:b/>
          <w:bCs/>
          <w:szCs w:val="22"/>
        </w:rPr>
      </w:pPr>
      <w:r w:rsidRPr="00777A92">
        <w:rPr>
          <w:rFonts w:cs="Arial"/>
          <w:bCs/>
          <w:noProof/>
          <w:lang w:eastAsia="cs-CZ"/>
        </w:rPr>
        <w:drawing>
          <wp:anchor distT="0" distB="0" distL="114300" distR="114300" simplePos="0" relativeHeight="251659264" behindDoc="0" locked="0" layoutInCell="1" allowOverlap="1" wp14:anchorId="4D9E5146" wp14:editId="4DA0B907">
            <wp:simplePos x="0" y="0"/>
            <wp:positionH relativeFrom="column">
              <wp:posOffset>2514600</wp:posOffset>
            </wp:positionH>
            <wp:positionV relativeFrom="paragraph">
              <wp:posOffset>114300</wp:posOffset>
            </wp:positionV>
            <wp:extent cx="791210" cy="559435"/>
            <wp:effectExtent l="0" t="0" r="8890" b="0"/>
            <wp:wrapSquare wrapText="bothSides"/>
            <wp:docPr id="1" name="Obrázek 1"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2BF" w:rsidRPr="00777A92" w:rsidRDefault="00C112BF" w:rsidP="00C112BF">
      <w:pPr>
        <w:pStyle w:val="Nzev"/>
        <w:jc w:val="left"/>
        <w:outlineLvl w:val="0"/>
        <w:rPr>
          <w:rFonts w:ascii="Arial" w:hAnsi="Arial" w:cs="Arial"/>
          <w:b w:val="0"/>
          <w:szCs w:val="22"/>
        </w:rPr>
      </w:pPr>
    </w:p>
    <w:p w:rsidR="00C112BF" w:rsidRPr="00777A92" w:rsidRDefault="00C112BF" w:rsidP="00C112BF">
      <w:pPr>
        <w:pStyle w:val="Nzev"/>
        <w:outlineLvl w:val="0"/>
        <w:rPr>
          <w:rFonts w:ascii="Arial" w:hAnsi="Arial" w:cs="Arial"/>
          <w:szCs w:val="22"/>
        </w:rPr>
      </w:pPr>
    </w:p>
    <w:p w:rsidR="00C112BF" w:rsidRPr="00777A92" w:rsidRDefault="00C112BF" w:rsidP="00C112BF">
      <w:pPr>
        <w:pStyle w:val="Nzev"/>
        <w:outlineLvl w:val="0"/>
        <w:rPr>
          <w:rFonts w:ascii="Arial" w:hAnsi="Arial" w:cs="Arial"/>
          <w:szCs w:val="22"/>
        </w:rPr>
      </w:pPr>
    </w:p>
    <w:p w:rsidR="00C112BF" w:rsidRPr="009A489C" w:rsidRDefault="00C112BF" w:rsidP="00C112BF">
      <w:pPr>
        <w:pStyle w:val="Nzev"/>
        <w:outlineLvl w:val="0"/>
        <w:rPr>
          <w:rFonts w:ascii="Arial" w:hAnsi="Arial" w:cs="Arial"/>
          <w:sz w:val="28"/>
          <w:szCs w:val="28"/>
          <w:lang w:val="cs-CZ"/>
        </w:rPr>
      </w:pPr>
    </w:p>
    <w:p w:rsidR="00B1411D" w:rsidRPr="009A489C" w:rsidRDefault="00B1411D" w:rsidP="00C112BF">
      <w:pPr>
        <w:pStyle w:val="Nzev"/>
        <w:outlineLvl w:val="0"/>
        <w:rPr>
          <w:rFonts w:ascii="Arial" w:hAnsi="Arial" w:cs="Arial"/>
          <w:sz w:val="28"/>
          <w:szCs w:val="28"/>
          <w:lang w:val="cs-CZ"/>
        </w:rPr>
      </w:pPr>
    </w:p>
    <w:p w:rsidR="00C112BF" w:rsidRPr="009A489C" w:rsidRDefault="00C112BF" w:rsidP="00C112BF">
      <w:pPr>
        <w:pStyle w:val="Nzev"/>
        <w:outlineLvl w:val="0"/>
        <w:rPr>
          <w:rFonts w:ascii="Arial" w:hAnsi="Arial" w:cs="Arial"/>
          <w:sz w:val="28"/>
          <w:szCs w:val="28"/>
        </w:rPr>
      </w:pPr>
      <w:r w:rsidRPr="009A489C">
        <w:rPr>
          <w:rFonts w:ascii="Arial" w:hAnsi="Arial" w:cs="Arial"/>
          <w:sz w:val="28"/>
          <w:szCs w:val="28"/>
        </w:rPr>
        <w:t>Kontrolní závěr z kontrolní akce</w:t>
      </w:r>
    </w:p>
    <w:p w:rsidR="00C112BF" w:rsidRPr="009A489C" w:rsidRDefault="00C112BF" w:rsidP="00C112BF">
      <w:pPr>
        <w:pStyle w:val="Nzev"/>
        <w:outlineLvl w:val="0"/>
        <w:rPr>
          <w:rFonts w:ascii="Arial" w:hAnsi="Arial" w:cs="Arial"/>
          <w:sz w:val="28"/>
          <w:szCs w:val="28"/>
        </w:rPr>
      </w:pPr>
    </w:p>
    <w:p w:rsidR="00C112BF" w:rsidRPr="009A489C" w:rsidRDefault="00C112BF" w:rsidP="00C112BF">
      <w:pPr>
        <w:jc w:val="center"/>
        <w:rPr>
          <w:rFonts w:cs="Arial"/>
          <w:b/>
          <w:bCs/>
          <w:sz w:val="28"/>
          <w:szCs w:val="28"/>
        </w:rPr>
      </w:pPr>
      <w:r w:rsidRPr="009A489C">
        <w:rPr>
          <w:rFonts w:cs="Arial"/>
          <w:b/>
          <w:bCs/>
          <w:sz w:val="28"/>
          <w:szCs w:val="28"/>
        </w:rPr>
        <w:t>11/35</w:t>
      </w:r>
    </w:p>
    <w:p w:rsidR="00C112BF" w:rsidRPr="009A489C" w:rsidRDefault="00C112BF" w:rsidP="00C112BF">
      <w:pPr>
        <w:jc w:val="center"/>
        <w:rPr>
          <w:rFonts w:cs="Arial"/>
          <w:b/>
          <w:bCs/>
          <w:sz w:val="28"/>
          <w:szCs w:val="28"/>
        </w:rPr>
      </w:pPr>
    </w:p>
    <w:p w:rsidR="00C112BF" w:rsidRPr="009A489C" w:rsidRDefault="00C112BF" w:rsidP="00470C72">
      <w:pPr>
        <w:jc w:val="center"/>
        <w:rPr>
          <w:rFonts w:cs="Arial"/>
          <w:b/>
          <w:bCs/>
          <w:i/>
          <w:sz w:val="28"/>
          <w:szCs w:val="28"/>
          <w:highlight w:val="lightGray"/>
        </w:rPr>
      </w:pPr>
      <w:r w:rsidRPr="009A489C">
        <w:rPr>
          <w:rFonts w:cs="Arial"/>
          <w:b/>
          <w:bCs/>
          <w:sz w:val="28"/>
          <w:szCs w:val="28"/>
        </w:rPr>
        <w:t>Peněžní prostředky z </w:t>
      </w:r>
      <w:r w:rsidRPr="009A489C">
        <w:rPr>
          <w:rFonts w:cs="Arial"/>
          <w:b/>
          <w:bCs/>
          <w:i/>
          <w:sz w:val="28"/>
          <w:szCs w:val="28"/>
        </w:rPr>
        <w:t>Evropského sociálního fondu</w:t>
      </w:r>
      <w:r w:rsidRPr="009A489C">
        <w:rPr>
          <w:rFonts w:cs="Arial"/>
          <w:b/>
          <w:bCs/>
          <w:sz w:val="28"/>
          <w:szCs w:val="28"/>
        </w:rPr>
        <w:t xml:space="preserve"> předfinancované a spolufinancované ze státního rozpočtu určené na projekty realizované na území hlavního města Prahy</w:t>
      </w:r>
    </w:p>
    <w:p w:rsidR="00C112BF" w:rsidRPr="00777A92" w:rsidRDefault="00C112BF" w:rsidP="00470C72">
      <w:pPr>
        <w:jc w:val="center"/>
        <w:rPr>
          <w:rFonts w:cs="Arial"/>
          <w:szCs w:val="22"/>
        </w:rPr>
      </w:pPr>
    </w:p>
    <w:p w:rsidR="00C112BF" w:rsidRPr="00777A92" w:rsidRDefault="00C112BF" w:rsidP="00C112BF">
      <w:pPr>
        <w:rPr>
          <w:rFonts w:cs="Arial"/>
          <w:szCs w:val="22"/>
        </w:rPr>
      </w:pPr>
    </w:p>
    <w:p w:rsidR="00C112BF" w:rsidRPr="00777A92" w:rsidRDefault="00C112BF" w:rsidP="00C112BF">
      <w:pPr>
        <w:rPr>
          <w:rFonts w:cs="Arial"/>
          <w:szCs w:val="22"/>
        </w:rPr>
      </w:pPr>
      <w:r w:rsidRPr="00777A92">
        <w:rPr>
          <w:rFonts w:cs="Arial"/>
          <w:szCs w:val="22"/>
        </w:rPr>
        <w:t xml:space="preserve">Kontrolní akce byla zařazena do plánu kontrolní činnosti Nejvyššího kontrolního úřadu (dále jen „NKÚ“) na rok 2011 pod číslem 11/35. Kontrolní akci řídil a kontrolní závěr vypracoval člen NKÚ RNDr. Petr </w:t>
      </w:r>
      <w:proofErr w:type="spellStart"/>
      <w:r w:rsidRPr="00777A92">
        <w:rPr>
          <w:rFonts w:cs="Arial"/>
          <w:szCs w:val="22"/>
        </w:rPr>
        <w:t>Neuvirt</w:t>
      </w:r>
      <w:proofErr w:type="spellEnd"/>
      <w:r w:rsidRPr="00777A92">
        <w:rPr>
          <w:rFonts w:cs="Arial"/>
          <w:szCs w:val="22"/>
        </w:rPr>
        <w:t>.</w:t>
      </w:r>
    </w:p>
    <w:p w:rsidR="00C112BF" w:rsidRPr="00777A92" w:rsidRDefault="00C112BF" w:rsidP="00C112BF">
      <w:pPr>
        <w:rPr>
          <w:rFonts w:cs="Arial"/>
          <w:szCs w:val="22"/>
        </w:rPr>
      </w:pPr>
    </w:p>
    <w:p w:rsidR="00C112BF" w:rsidRPr="00777A92" w:rsidRDefault="00C112BF" w:rsidP="00C112BF">
      <w:pPr>
        <w:pStyle w:val="Pa10"/>
        <w:spacing w:before="0" w:after="0" w:line="240" w:lineRule="auto"/>
        <w:rPr>
          <w:szCs w:val="22"/>
          <w:lang w:val="cs-CZ"/>
        </w:rPr>
      </w:pPr>
      <w:r w:rsidRPr="00777A92">
        <w:rPr>
          <w:szCs w:val="22"/>
          <w:lang w:val="cs-CZ"/>
        </w:rPr>
        <w:t xml:space="preserve">Cílem kontroly bylo prověřit poskytování, čerpání a užití peněžních prostředků určených na realizaci </w:t>
      </w:r>
      <w:r w:rsidR="00417628">
        <w:rPr>
          <w:szCs w:val="22"/>
          <w:lang w:val="cs-CZ"/>
        </w:rPr>
        <w:t>o</w:t>
      </w:r>
      <w:r w:rsidRPr="00777A92">
        <w:rPr>
          <w:szCs w:val="22"/>
          <w:lang w:val="cs-CZ"/>
        </w:rPr>
        <w:t xml:space="preserve">peračního programu </w:t>
      </w:r>
      <w:r w:rsidRPr="009A489C">
        <w:rPr>
          <w:i/>
          <w:szCs w:val="22"/>
          <w:lang w:val="cs-CZ"/>
        </w:rPr>
        <w:t>Praha – Adaptabilita</w:t>
      </w:r>
      <w:r w:rsidR="002F0BC3">
        <w:rPr>
          <w:szCs w:val="22"/>
          <w:lang w:val="cs-CZ"/>
        </w:rPr>
        <w:t xml:space="preserve"> (dále též „OPPA“)</w:t>
      </w:r>
      <w:r w:rsidRPr="00777A92">
        <w:rPr>
          <w:szCs w:val="22"/>
          <w:lang w:val="cs-CZ"/>
        </w:rPr>
        <w:t xml:space="preserve">, jeho implementační systém a využití výstupů hodnocení </w:t>
      </w:r>
      <w:r w:rsidRPr="009A489C">
        <w:rPr>
          <w:i/>
          <w:szCs w:val="22"/>
          <w:lang w:val="cs-CZ"/>
        </w:rPr>
        <w:t xml:space="preserve">Jednotného programového dokumentu </w:t>
      </w:r>
      <w:r w:rsidR="00417628" w:rsidRPr="009A489C">
        <w:rPr>
          <w:i/>
          <w:szCs w:val="22"/>
          <w:lang w:val="cs-CZ"/>
        </w:rPr>
        <w:t>pro Cíl 3</w:t>
      </w:r>
      <w:r w:rsidR="00417628" w:rsidRPr="00B1411D">
        <w:rPr>
          <w:szCs w:val="22"/>
          <w:lang w:val="cs-CZ"/>
        </w:rPr>
        <w:t xml:space="preserve"> </w:t>
      </w:r>
      <w:r w:rsidRPr="00777A92">
        <w:rPr>
          <w:szCs w:val="22"/>
          <w:lang w:val="cs-CZ"/>
        </w:rPr>
        <w:t xml:space="preserve">regionu </w:t>
      </w:r>
      <w:r w:rsidRPr="00B1411D">
        <w:rPr>
          <w:szCs w:val="22"/>
          <w:lang w:val="cs-CZ"/>
        </w:rPr>
        <w:t xml:space="preserve">soudržnosti Praha při nastavení a řízení </w:t>
      </w:r>
      <w:r w:rsidR="00417628">
        <w:rPr>
          <w:szCs w:val="22"/>
          <w:lang w:val="cs-CZ"/>
        </w:rPr>
        <w:t>o</w:t>
      </w:r>
      <w:r w:rsidRPr="00B1411D">
        <w:rPr>
          <w:szCs w:val="22"/>
          <w:lang w:val="cs-CZ"/>
        </w:rPr>
        <w:t xml:space="preserve">peračního programu </w:t>
      </w:r>
      <w:r w:rsidRPr="009A489C">
        <w:rPr>
          <w:i/>
          <w:szCs w:val="22"/>
          <w:lang w:val="cs-CZ"/>
        </w:rPr>
        <w:t xml:space="preserve">Praha </w:t>
      </w:r>
      <w:r w:rsidR="008E229D" w:rsidRPr="009A489C">
        <w:rPr>
          <w:i/>
          <w:szCs w:val="22"/>
          <w:lang w:val="cs-CZ"/>
        </w:rPr>
        <w:t>–</w:t>
      </w:r>
      <w:r w:rsidRPr="009A489C">
        <w:rPr>
          <w:i/>
          <w:szCs w:val="22"/>
          <w:lang w:val="cs-CZ"/>
        </w:rPr>
        <w:t xml:space="preserve"> Adaptabilita</w:t>
      </w:r>
      <w:r w:rsidRPr="00B1411D">
        <w:rPr>
          <w:szCs w:val="22"/>
          <w:lang w:val="cs-CZ"/>
        </w:rPr>
        <w:t>.</w:t>
      </w:r>
      <w:r w:rsidRPr="00777A92">
        <w:rPr>
          <w:szCs w:val="22"/>
          <w:lang w:val="cs-CZ"/>
        </w:rPr>
        <w:t xml:space="preserve"> </w:t>
      </w:r>
    </w:p>
    <w:p w:rsidR="00C112BF" w:rsidRPr="00777A92" w:rsidRDefault="00C112BF" w:rsidP="00C112BF">
      <w:pPr>
        <w:pStyle w:val="Pa10"/>
        <w:spacing w:before="0" w:after="0" w:line="240" w:lineRule="auto"/>
        <w:rPr>
          <w:szCs w:val="22"/>
          <w:lang w:val="cs-CZ"/>
        </w:rPr>
      </w:pPr>
    </w:p>
    <w:p w:rsidR="00C112BF" w:rsidRPr="00777A92" w:rsidRDefault="00C112BF" w:rsidP="00C112BF">
      <w:pPr>
        <w:rPr>
          <w:rFonts w:cs="Arial"/>
          <w:szCs w:val="22"/>
        </w:rPr>
      </w:pPr>
      <w:r w:rsidRPr="00777A92">
        <w:rPr>
          <w:rFonts w:cs="Arial"/>
          <w:szCs w:val="22"/>
        </w:rPr>
        <w:t>Kontrola byla prováděna v době od června 2011 do ledna 2012. Kontrolovaným obdobím byly roky 2004 až 2010, v případě věcných souvislostí i období předcházející a následující.</w:t>
      </w:r>
    </w:p>
    <w:p w:rsidR="00C112BF" w:rsidRPr="00777A92" w:rsidRDefault="00C112BF" w:rsidP="00C112BF">
      <w:pPr>
        <w:rPr>
          <w:rFonts w:cs="Arial"/>
          <w:szCs w:val="22"/>
        </w:rPr>
      </w:pPr>
    </w:p>
    <w:p w:rsidR="00C112BF" w:rsidRPr="00777A92" w:rsidRDefault="00C112BF" w:rsidP="009A489C">
      <w:pPr>
        <w:pStyle w:val="Zkladntext"/>
        <w:spacing w:after="120"/>
        <w:rPr>
          <w:rFonts w:ascii="Arial" w:hAnsi="Arial" w:cs="Arial"/>
          <w:sz w:val="22"/>
          <w:szCs w:val="22"/>
          <w:lang w:eastAsia="en-US"/>
        </w:rPr>
      </w:pPr>
      <w:r w:rsidRPr="00777A92">
        <w:rPr>
          <w:rFonts w:ascii="Arial" w:hAnsi="Arial" w:cs="Arial"/>
          <w:sz w:val="22"/>
          <w:szCs w:val="22"/>
          <w:lang w:eastAsia="en-US"/>
        </w:rPr>
        <w:t>Kontrolované osoby:</w:t>
      </w:r>
    </w:p>
    <w:p w:rsidR="00C112BF" w:rsidRPr="00777A92" w:rsidRDefault="00C112BF" w:rsidP="00C112BF">
      <w:pPr>
        <w:rPr>
          <w:rFonts w:cs="Arial"/>
          <w:szCs w:val="22"/>
        </w:rPr>
      </w:pPr>
      <w:r w:rsidRPr="00777A92">
        <w:rPr>
          <w:rFonts w:cs="Arial"/>
          <w:szCs w:val="22"/>
        </w:rPr>
        <w:t>Ministerstvo pro místní rozvoj (dále též „MMR“);</w:t>
      </w:r>
    </w:p>
    <w:p w:rsidR="00C112BF" w:rsidRPr="00777A92" w:rsidRDefault="00C112BF" w:rsidP="00C112BF">
      <w:pPr>
        <w:pStyle w:val="Zkladntext"/>
        <w:rPr>
          <w:rFonts w:ascii="Arial" w:hAnsi="Arial" w:cs="Arial"/>
          <w:sz w:val="22"/>
          <w:szCs w:val="22"/>
        </w:rPr>
      </w:pPr>
      <w:r w:rsidRPr="00777A92">
        <w:rPr>
          <w:rFonts w:ascii="Arial" w:hAnsi="Arial" w:cs="Arial"/>
          <w:sz w:val="22"/>
          <w:szCs w:val="22"/>
        </w:rPr>
        <w:t>Ministerstvo práce a sociálních věcí (dále též „MPSV“);</w:t>
      </w:r>
    </w:p>
    <w:p w:rsidR="00C112BF" w:rsidRPr="00644C00" w:rsidRDefault="008324EA" w:rsidP="00C112BF">
      <w:pPr>
        <w:pStyle w:val="Zkladntext"/>
        <w:rPr>
          <w:rFonts w:ascii="Arial" w:hAnsi="Arial" w:cs="Arial"/>
          <w:sz w:val="22"/>
          <w:szCs w:val="22"/>
          <w:lang w:val="cs-CZ"/>
        </w:rPr>
      </w:pPr>
      <w:r w:rsidRPr="00A70A19">
        <w:rPr>
          <w:rFonts w:ascii="Arial" w:hAnsi="Arial" w:cs="Arial"/>
          <w:sz w:val="22"/>
          <w:szCs w:val="22"/>
          <w:lang w:val="cs-CZ"/>
        </w:rPr>
        <w:t>h</w:t>
      </w:r>
      <w:r w:rsidR="00C112BF" w:rsidRPr="00A70A19">
        <w:rPr>
          <w:rFonts w:ascii="Arial" w:hAnsi="Arial" w:cs="Arial"/>
          <w:sz w:val="22"/>
          <w:szCs w:val="22"/>
          <w:lang w:val="cs-CZ"/>
        </w:rPr>
        <w:t>la</w:t>
      </w:r>
      <w:r w:rsidR="00062DF7" w:rsidRPr="00A70A19">
        <w:rPr>
          <w:rFonts w:ascii="Arial" w:hAnsi="Arial" w:cs="Arial"/>
          <w:sz w:val="22"/>
          <w:szCs w:val="22"/>
          <w:lang w:val="cs-CZ"/>
        </w:rPr>
        <w:t xml:space="preserve">vní </w:t>
      </w:r>
      <w:r w:rsidR="00062DF7">
        <w:rPr>
          <w:rFonts w:ascii="Arial" w:hAnsi="Arial" w:cs="Arial"/>
          <w:sz w:val="22"/>
          <w:szCs w:val="22"/>
        </w:rPr>
        <w:t xml:space="preserve">město Praha </w:t>
      </w:r>
      <w:r w:rsidR="00644C00">
        <w:rPr>
          <w:rFonts w:ascii="Arial" w:hAnsi="Arial" w:cs="Arial"/>
          <w:sz w:val="22"/>
          <w:szCs w:val="22"/>
          <w:lang w:val="cs-CZ"/>
        </w:rPr>
        <w:t>(dále též „HMP“)</w:t>
      </w:r>
    </w:p>
    <w:p w:rsidR="00C112BF" w:rsidRPr="00777A92" w:rsidRDefault="00C112BF" w:rsidP="009A489C">
      <w:pPr>
        <w:spacing w:after="120"/>
        <w:rPr>
          <w:rFonts w:cs="Arial"/>
          <w:szCs w:val="22"/>
        </w:rPr>
      </w:pPr>
      <w:r w:rsidRPr="00777A92">
        <w:rPr>
          <w:rFonts w:cs="Arial"/>
          <w:szCs w:val="22"/>
        </w:rPr>
        <w:t>a vybraní příjemci podpory:</w:t>
      </w:r>
    </w:p>
    <w:p w:rsidR="008324EA" w:rsidRDefault="008324EA" w:rsidP="008324EA">
      <w:pPr>
        <w:pStyle w:val="Odstavecseseznamem"/>
        <w:ind w:left="0"/>
        <w:rPr>
          <w:rFonts w:cs="Arial"/>
          <w:lang w:val="cs-CZ"/>
        </w:rPr>
      </w:pPr>
      <w:r w:rsidRPr="005D6155">
        <w:rPr>
          <w:rFonts w:cs="Arial"/>
        </w:rPr>
        <w:t>BRAZIL FOOD s.r.o.</w:t>
      </w:r>
      <w:r w:rsidRPr="005D6155">
        <w:rPr>
          <w:rFonts w:cs="Arial"/>
          <w:lang w:val="cs-CZ"/>
        </w:rPr>
        <w:t>, Praha 1</w:t>
      </w:r>
      <w:r w:rsidRPr="005D6155">
        <w:rPr>
          <w:rFonts w:cs="Arial"/>
        </w:rPr>
        <w:t>; Centrum pro integraci cizinců</w:t>
      </w:r>
      <w:r w:rsidRPr="005D6155">
        <w:rPr>
          <w:rFonts w:cs="Arial"/>
          <w:lang w:val="cs-CZ"/>
        </w:rPr>
        <w:t>, Praha 3</w:t>
      </w:r>
      <w:r w:rsidRPr="005D6155">
        <w:rPr>
          <w:rFonts w:cs="Arial"/>
        </w:rPr>
        <w:t>; Člověk v tísni, o.p.s.</w:t>
      </w:r>
      <w:r w:rsidRPr="005D6155">
        <w:rPr>
          <w:rFonts w:cs="Arial"/>
          <w:lang w:val="cs-CZ"/>
        </w:rPr>
        <w:t>, Praha 2</w:t>
      </w:r>
      <w:r w:rsidRPr="005D6155">
        <w:rPr>
          <w:rFonts w:cs="Arial"/>
        </w:rPr>
        <w:t>; Fakultní Thomayerova nemocnice s poliklinikou</w:t>
      </w:r>
      <w:r w:rsidRPr="005D6155">
        <w:rPr>
          <w:rFonts w:cs="Arial"/>
          <w:lang w:val="cs-CZ"/>
        </w:rPr>
        <w:t>, Praha</w:t>
      </w:r>
      <w:r w:rsidRPr="005D6155">
        <w:rPr>
          <w:rFonts w:cs="Arial"/>
        </w:rPr>
        <w:t xml:space="preserve">; Gender </w:t>
      </w:r>
      <w:proofErr w:type="spellStart"/>
      <w:r w:rsidRPr="005D6155">
        <w:rPr>
          <w:rFonts w:cs="Arial"/>
        </w:rPr>
        <w:t>studies</w:t>
      </w:r>
      <w:proofErr w:type="spellEnd"/>
      <w:r w:rsidRPr="005D6155">
        <w:rPr>
          <w:rFonts w:cs="Arial"/>
        </w:rPr>
        <w:t>, o.p.s.</w:t>
      </w:r>
      <w:r w:rsidRPr="005D6155">
        <w:rPr>
          <w:rFonts w:cs="Arial"/>
          <w:lang w:val="cs-CZ"/>
        </w:rPr>
        <w:t>, Praha 1</w:t>
      </w:r>
      <w:r w:rsidRPr="005D6155">
        <w:rPr>
          <w:rFonts w:cs="Arial"/>
        </w:rPr>
        <w:t>; Gymnázium, Praha 6, Arabská 14; Gymnázium, Praha 6, Nad Alejí</w:t>
      </w:r>
      <w:r w:rsidRPr="005D6155">
        <w:rPr>
          <w:rFonts w:cs="Arial"/>
          <w:lang w:val="cs-CZ"/>
        </w:rPr>
        <w:t xml:space="preserve"> 1952</w:t>
      </w:r>
      <w:r w:rsidRPr="005D6155">
        <w:rPr>
          <w:rFonts w:cs="Arial"/>
        </w:rPr>
        <w:t>;</w:t>
      </w:r>
      <w:r w:rsidR="007E7B5A">
        <w:rPr>
          <w:rFonts w:cs="Arial"/>
        </w:rPr>
        <w:t xml:space="preserve"> </w:t>
      </w:r>
      <w:proofErr w:type="spellStart"/>
      <w:r w:rsidRPr="005D6155">
        <w:rPr>
          <w:rFonts w:cs="Arial"/>
        </w:rPr>
        <w:t>Kaldi</w:t>
      </w:r>
      <w:proofErr w:type="spellEnd"/>
      <w:r w:rsidRPr="005D6155">
        <w:rPr>
          <w:rFonts w:cs="Arial"/>
        </w:rPr>
        <w:t xml:space="preserve"> Café, spol. s r.o.</w:t>
      </w:r>
      <w:r w:rsidRPr="005D6155">
        <w:rPr>
          <w:rFonts w:cs="Arial"/>
          <w:lang w:val="cs-CZ"/>
        </w:rPr>
        <w:t>, Praha 5</w:t>
      </w:r>
      <w:r w:rsidRPr="005D6155">
        <w:rPr>
          <w:rFonts w:cs="Arial"/>
        </w:rPr>
        <w:t>;</w:t>
      </w:r>
      <w:r w:rsidR="007E7B5A">
        <w:rPr>
          <w:rFonts w:cs="Arial"/>
        </w:rPr>
        <w:t xml:space="preserve"> </w:t>
      </w:r>
      <w:r w:rsidRPr="005D6155">
        <w:rPr>
          <w:rFonts w:cs="Arial"/>
        </w:rPr>
        <w:t>Lenka PAVILKOVÁ - CHANNEL CROSSINGS</w:t>
      </w:r>
      <w:r w:rsidRPr="005D6155">
        <w:rPr>
          <w:rFonts w:cs="Arial"/>
          <w:lang w:val="cs-CZ"/>
        </w:rPr>
        <w:t>, Přemyslova 94/7, Praha 2</w:t>
      </w:r>
      <w:r w:rsidRPr="005D6155">
        <w:rPr>
          <w:rFonts w:cs="Arial"/>
        </w:rPr>
        <w:t>;</w:t>
      </w:r>
      <w:r w:rsidR="007E7B5A">
        <w:rPr>
          <w:rFonts w:cs="Arial"/>
        </w:rPr>
        <w:t xml:space="preserve"> </w:t>
      </w:r>
      <w:r w:rsidR="00417628">
        <w:rPr>
          <w:rFonts w:cs="Arial"/>
          <w:lang w:val="cs-CZ"/>
        </w:rPr>
        <w:t>m</w:t>
      </w:r>
      <w:r w:rsidRPr="005D6155">
        <w:rPr>
          <w:rFonts w:cs="Arial"/>
          <w:lang w:val="cs-CZ"/>
        </w:rPr>
        <w:t xml:space="preserve">ěstská část </w:t>
      </w:r>
      <w:r w:rsidRPr="005D6155">
        <w:rPr>
          <w:rFonts w:cs="Arial"/>
        </w:rPr>
        <w:t>P</w:t>
      </w:r>
      <w:r w:rsidRPr="005D6155">
        <w:rPr>
          <w:rFonts w:cs="Arial"/>
          <w:lang w:val="cs-CZ"/>
        </w:rPr>
        <w:t>raha</w:t>
      </w:r>
      <w:r w:rsidRPr="005D6155">
        <w:rPr>
          <w:rFonts w:cs="Arial"/>
        </w:rPr>
        <w:t xml:space="preserve"> 10; Metropolitní univerzita Praha, o.p.s.</w:t>
      </w:r>
      <w:r w:rsidRPr="005D6155">
        <w:rPr>
          <w:rFonts w:cs="Arial"/>
          <w:lang w:val="cs-CZ"/>
        </w:rPr>
        <w:t>, Praha 10</w:t>
      </w:r>
      <w:r w:rsidRPr="005D6155">
        <w:rPr>
          <w:rFonts w:cs="Arial"/>
        </w:rPr>
        <w:t>;</w:t>
      </w:r>
      <w:r w:rsidR="007E7B5A">
        <w:rPr>
          <w:rFonts w:cs="Arial"/>
        </w:rPr>
        <w:t xml:space="preserve"> </w:t>
      </w:r>
      <w:r w:rsidRPr="005D6155">
        <w:rPr>
          <w:rFonts w:cs="Arial"/>
          <w:szCs w:val="22"/>
        </w:rPr>
        <w:t>MUDr.</w:t>
      </w:r>
      <w:r w:rsidR="00A00DB0">
        <w:rPr>
          <w:rFonts w:cs="Arial"/>
          <w:szCs w:val="22"/>
          <w:lang w:val="cs-CZ"/>
        </w:rPr>
        <w:t> </w:t>
      </w:r>
      <w:r w:rsidRPr="005D6155">
        <w:rPr>
          <w:rFonts w:cs="Arial"/>
          <w:szCs w:val="22"/>
        </w:rPr>
        <w:t>Dagmar Komárková</w:t>
      </w:r>
      <w:r w:rsidRPr="005D6155">
        <w:rPr>
          <w:rFonts w:cs="Arial"/>
          <w:szCs w:val="22"/>
          <w:lang w:val="cs-CZ"/>
        </w:rPr>
        <w:t>, Vřesová 682/6, Praha-Troja</w:t>
      </w:r>
      <w:r w:rsidRPr="005D6155">
        <w:rPr>
          <w:rFonts w:cs="Arial"/>
          <w:szCs w:val="22"/>
        </w:rPr>
        <w:t>;</w:t>
      </w:r>
      <w:r w:rsidRPr="005D6155">
        <w:rPr>
          <w:rFonts w:cs="Arial"/>
        </w:rPr>
        <w:t xml:space="preserve"> Odyssey Performance </w:t>
      </w:r>
      <w:proofErr w:type="spellStart"/>
      <w:r w:rsidRPr="005D6155">
        <w:rPr>
          <w:rFonts w:cs="Arial"/>
        </w:rPr>
        <w:t>Enhancement</w:t>
      </w:r>
      <w:proofErr w:type="spellEnd"/>
      <w:r w:rsidRPr="005D6155">
        <w:rPr>
          <w:rFonts w:cs="Arial"/>
        </w:rPr>
        <w:t xml:space="preserve"> Network, spol. s</w:t>
      </w:r>
      <w:r w:rsidRPr="005D6155">
        <w:rPr>
          <w:rFonts w:cs="Arial"/>
          <w:lang w:val="cs-CZ"/>
        </w:rPr>
        <w:t> </w:t>
      </w:r>
      <w:r w:rsidRPr="005D6155">
        <w:rPr>
          <w:rFonts w:cs="Arial"/>
        </w:rPr>
        <w:t>r.o.</w:t>
      </w:r>
      <w:r w:rsidRPr="005D6155">
        <w:rPr>
          <w:rFonts w:cs="Arial"/>
          <w:lang w:val="cs-CZ"/>
        </w:rPr>
        <w:t>, Praha 6</w:t>
      </w:r>
      <w:r w:rsidRPr="005D6155">
        <w:rPr>
          <w:rFonts w:cs="Arial"/>
        </w:rPr>
        <w:t>;</w:t>
      </w:r>
      <w:r w:rsidR="007E7B5A">
        <w:rPr>
          <w:rFonts w:cs="Arial"/>
        </w:rPr>
        <w:t xml:space="preserve"> </w:t>
      </w:r>
      <w:r w:rsidRPr="005D6155">
        <w:rPr>
          <w:rFonts w:cs="Arial"/>
        </w:rPr>
        <w:t>Robert Starý</w:t>
      </w:r>
      <w:r w:rsidRPr="005D6155">
        <w:rPr>
          <w:rFonts w:cs="Arial"/>
          <w:lang w:val="cs-CZ"/>
        </w:rPr>
        <w:t>, Husitská 83/23, Praha 3</w:t>
      </w:r>
      <w:r w:rsidRPr="005D6155">
        <w:rPr>
          <w:rFonts w:cs="Arial"/>
        </w:rPr>
        <w:t>; Rozmarýna o.p.s.</w:t>
      </w:r>
      <w:r w:rsidRPr="005D6155">
        <w:rPr>
          <w:rFonts w:cs="Arial"/>
          <w:lang w:val="cs-CZ"/>
        </w:rPr>
        <w:t>, Praha 2</w:t>
      </w:r>
      <w:r w:rsidRPr="005D6155">
        <w:rPr>
          <w:rFonts w:cs="Arial"/>
        </w:rPr>
        <w:t>;</w:t>
      </w:r>
      <w:r w:rsidR="007E7B5A">
        <w:rPr>
          <w:rFonts w:cs="Arial"/>
        </w:rPr>
        <w:t xml:space="preserve"> </w:t>
      </w:r>
      <w:r w:rsidRPr="005D6155">
        <w:rPr>
          <w:rFonts w:cs="Arial"/>
        </w:rPr>
        <w:t xml:space="preserve">Soukromá základní škola Cesta </w:t>
      </w:r>
      <w:r w:rsidR="00174218">
        <w:rPr>
          <w:rFonts w:cs="Arial"/>
        </w:rPr>
        <w:t>k </w:t>
      </w:r>
      <w:r w:rsidRPr="005D6155">
        <w:rPr>
          <w:rFonts w:cs="Arial"/>
        </w:rPr>
        <w:t xml:space="preserve">úspěchu </w:t>
      </w:r>
      <w:r w:rsidR="0011375D">
        <w:rPr>
          <w:rFonts w:cs="Arial"/>
        </w:rPr>
        <w:t>v </w:t>
      </w:r>
      <w:r w:rsidRPr="005D6155">
        <w:rPr>
          <w:rFonts w:cs="Arial"/>
        </w:rPr>
        <w:t>Praze, s.r.o.</w:t>
      </w:r>
      <w:r w:rsidRPr="005D6155">
        <w:rPr>
          <w:rFonts w:cs="Arial"/>
          <w:lang w:val="cs-CZ"/>
        </w:rPr>
        <w:t>, Praha</w:t>
      </w:r>
      <w:r w:rsidR="00A00DB0">
        <w:rPr>
          <w:rFonts w:cs="Arial"/>
          <w:lang w:val="cs-CZ"/>
        </w:rPr>
        <w:t> </w:t>
      </w:r>
      <w:r w:rsidRPr="005D6155">
        <w:rPr>
          <w:rFonts w:cs="Arial"/>
          <w:lang w:val="cs-CZ"/>
        </w:rPr>
        <w:t>6</w:t>
      </w:r>
      <w:r w:rsidRPr="005D6155">
        <w:rPr>
          <w:rFonts w:cs="Arial"/>
        </w:rPr>
        <w:t>;</w:t>
      </w:r>
      <w:r w:rsidR="007E7B5A">
        <w:rPr>
          <w:rFonts w:cs="Arial"/>
        </w:rPr>
        <w:t xml:space="preserve"> </w:t>
      </w:r>
      <w:r w:rsidRPr="005D6155">
        <w:rPr>
          <w:rFonts w:cs="Arial"/>
        </w:rPr>
        <w:t>Společnost DUHA -</w:t>
      </w:r>
      <w:r w:rsidR="007E7B5A">
        <w:rPr>
          <w:rFonts w:cs="Arial"/>
        </w:rPr>
        <w:t xml:space="preserve"> </w:t>
      </w:r>
      <w:r w:rsidRPr="005D6155">
        <w:rPr>
          <w:rFonts w:cs="Arial"/>
        </w:rPr>
        <w:t xml:space="preserve">integrace </w:t>
      </w:r>
      <w:r w:rsidRPr="005D6155">
        <w:rPr>
          <w:rFonts w:cs="Arial"/>
          <w:lang w:val="cs-CZ"/>
        </w:rPr>
        <w:t xml:space="preserve">osob </w:t>
      </w:r>
      <w:r w:rsidR="00174218">
        <w:rPr>
          <w:rFonts w:cs="Arial"/>
        </w:rPr>
        <w:t>s </w:t>
      </w:r>
      <w:r w:rsidRPr="005D6155">
        <w:rPr>
          <w:rFonts w:cs="Arial"/>
        </w:rPr>
        <w:t>mentálním postižením</w:t>
      </w:r>
      <w:r w:rsidRPr="005D6155">
        <w:rPr>
          <w:rFonts w:cs="Arial"/>
          <w:lang w:val="cs-CZ"/>
        </w:rPr>
        <w:t>, Praha 9</w:t>
      </w:r>
      <w:r w:rsidRPr="005D6155">
        <w:rPr>
          <w:rFonts w:cs="Arial"/>
        </w:rPr>
        <w:t>; Střední škola, Základní škola a Mateřská škola pro sluchově postižené</w:t>
      </w:r>
      <w:r w:rsidRPr="005D6155">
        <w:rPr>
          <w:rFonts w:cs="Arial"/>
          <w:lang w:val="cs-CZ"/>
        </w:rPr>
        <w:t>, Praha 5</w:t>
      </w:r>
      <w:r w:rsidRPr="005D6155">
        <w:rPr>
          <w:rFonts w:cs="Arial"/>
        </w:rPr>
        <w:t>; UNITED PARCEL SERVICE CZECH REPUBLIC, s.r.o.</w:t>
      </w:r>
      <w:r w:rsidRPr="005D6155">
        <w:rPr>
          <w:rFonts w:cs="Arial"/>
          <w:lang w:val="cs-CZ"/>
        </w:rPr>
        <w:t>, Praha 6.</w:t>
      </w:r>
    </w:p>
    <w:p w:rsidR="008324EA" w:rsidRDefault="008324EA" w:rsidP="00C112BF">
      <w:pPr>
        <w:pStyle w:val="Zkladntext"/>
        <w:rPr>
          <w:rFonts w:ascii="Arial" w:hAnsi="Arial" w:cs="Arial"/>
          <w:sz w:val="22"/>
          <w:szCs w:val="22"/>
          <w:lang w:val="cs-CZ" w:eastAsia="en-US"/>
        </w:rPr>
      </w:pPr>
    </w:p>
    <w:p w:rsidR="00B1411D" w:rsidRDefault="00B1411D">
      <w:pPr>
        <w:rPr>
          <w:rFonts w:cs="Arial"/>
          <w:szCs w:val="22"/>
          <w:lang w:val="x-none"/>
        </w:rPr>
      </w:pPr>
      <w:r>
        <w:rPr>
          <w:rFonts w:cs="Arial"/>
          <w:szCs w:val="22"/>
        </w:rPr>
        <w:br w:type="page"/>
      </w:r>
    </w:p>
    <w:p w:rsidR="00C112BF" w:rsidRPr="00777A92" w:rsidRDefault="00C112BF" w:rsidP="00C112BF">
      <w:pPr>
        <w:pStyle w:val="Zkladntext"/>
        <w:rPr>
          <w:rFonts w:ascii="Arial" w:hAnsi="Arial" w:cs="Arial"/>
          <w:sz w:val="22"/>
          <w:szCs w:val="22"/>
          <w:lang w:eastAsia="en-US"/>
        </w:rPr>
      </w:pPr>
      <w:r w:rsidRPr="00777A92">
        <w:rPr>
          <w:rFonts w:ascii="Arial" w:hAnsi="Arial" w:cs="Arial"/>
          <w:sz w:val="22"/>
          <w:szCs w:val="22"/>
          <w:lang w:eastAsia="en-US"/>
        </w:rPr>
        <w:lastRenderedPageBreak/>
        <w:t xml:space="preserve">Námitky, které proti kontrolnímu protokolu podaly MMR, HMP, </w:t>
      </w:r>
      <w:proofErr w:type="spellStart"/>
      <w:r w:rsidRPr="00777A92">
        <w:rPr>
          <w:rFonts w:ascii="Arial" w:hAnsi="Arial" w:cs="Arial"/>
          <w:sz w:val="22"/>
          <w:szCs w:val="22"/>
          <w:lang w:eastAsia="en-US"/>
        </w:rPr>
        <w:t>Kaldi</w:t>
      </w:r>
      <w:proofErr w:type="spellEnd"/>
      <w:r w:rsidRPr="00777A92">
        <w:rPr>
          <w:rFonts w:ascii="Arial" w:hAnsi="Arial" w:cs="Arial"/>
          <w:sz w:val="22"/>
          <w:szCs w:val="22"/>
          <w:lang w:eastAsia="en-US"/>
        </w:rPr>
        <w:t xml:space="preserve"> Café, spol. s r.o.</w:t>
      </w:r>
      <w:r w:rsidR="00417628">
        <w:rPr>
          <w:rFonts w:ascii="Arial" w:hAnsi="Arial" w:cs="Arial"/>
          <w:sz w:val="22"/>
          <w:szCs w:val="22"/>
          <w:lang w:val="cs-CZ" w:eastAsia="en-US"/>
        </w:rPr>
        <w:t>,</w:t>
      </w:r>
      <w:r w:rsidRPr="00777A92">
        <w:rPr>
          <w:rFonts w:ascii="Arial" w:hAnsi="Arial" w:cs="Arial"/>
          <w:sz w:val="22"/>
          <w:szCs w:val="22"/>
          <w:lang w:eastAsia="en-US"/>
        </w:rPr>
        <w:t xml:space="preserve"> a </w:t>
      </w:r>
      <w:r w:rsidR="00417628" w:rsidRPr="00417628">
        <w:rPr>
          <w:rFonts w:ascii="Arial" w:hAnsi="Arial" w:cs="Arial"/>
          <w:sz w:val="22"/>
          <w:szCs w:val="22"/>
          <w:lang w:val="cs-CZ" w:eastAsia="en-US"/>
        </w:rPr>
        <w:t>m</w:t>
      </w:r>
      <w:r w:rsidRPr="00C81416">
        <w:rPr>
          <w:rFonts w:ascii="Arial" w:hAnsi="Arial" w:cs="Arial"/>
          <w:sz w:val="22"/>
          <w:szCs w:val="22"/>
          <w:lang w:val="cs-CZ" w:eastAsia="en-US"/>
        </w:rPr>
        <w:t>ěstská</w:t>
      </w:r>
      <w:r w:rsidRPr="00777A92">
        <w:rPr>
          <w:rFonts w:ascii="Arial" w:hAnsi="Arial" w:cs="Arial"/>
          <w:sz w:val="22"/>
          <w:szCs w:val="22"/>
          <w:lang w:eastAsia="en-US"/>
        </w:rPr>
        <w:t xml:space="preserve"> část Praha 10, byly vypořádány vedoucími skupin kontrolujících rozhodnutími o námitkách. Odvolání proti rozhodnutím o námitkách podaná </w:t>
      </w:r>
      <w:proofErr w:type="spellStart"/>
      <w:r w:rsidRPr="00777A92">
        <w:rPr>
          <w:rFonts w:ascii="Arial" w:hAnsi="Arial" w:cs="Arial"/>
          <w:sz w:val="22"/>
          <w:szCs w:val="22"/>
          <w:lang w:eastAsia="en-US"/>
        </w:rPr>
        <w:t>Kaldi</w:t>
      </w:r>
      <w:proofErr w:type="spellEnd"/>
      <w:r w:rsidRPr="00777A92">
        <w:rPr>
          <w:rFonts w:ascii="Arial" w:hAnsi="Arial" w:cs="Arial"/>
          <w:sz w:val="22"/>
          <w:szCs w:val="22"/>
          <w:lang w:eastAsia="en-US"/>
        </w:rPr>
        <w:t xml:space="preserve"> Café, spol. s r.o.</w:t>
      </w:r>
      <w:r w:rsidR="00417628">
        <w:rPr>
          <w:rFonts w:ascii="Arial" w:hAnsi="Arial" w:cs="Arial"/>
          <w:sz w:val="22"/>
          <w:szCs w:val="22"/>
          <w:lang w:val="cs-CZ" w:eastAsia="en-US"/>
        </w:rPr>
        <w:t>,</w:t>
      </w:r>
      <w:r w:rsidRPr="00777A92">
        <w:rPr>
          <w:rFonts w:ascii="Arial" w:hAnsi="Arial" w:cs="Arial"/>
          <w:sz w:val="22"/>
          <w:szCs w:val="22"/>
          <w:lang w:eastAsia="en-US"/>
        </w:rPr>
        <w:t xml:space="preserve"> a HMP byla vypořádána usneseními Kolegia NKÚ. </w:t>
      </w:r>
    </w:p>
    <w:p w:rsidR="00B1411D" w:rsidRPr="00C81416" w:rsidRDefault="00B1411D" w:rsidP="00C112BF">
      <w:pPr>
        <w:pStyle w:val="Zkladntext"/>
        <w:rPr>
          <w:rFonts w:ascii="Arial" w:hAnsi="Arial" w:cs="Arial"/>
          <w:sz w:val="22"/>
          <w:szCs w:val="22"/>
          <w:lang w:val="cs-CZ"/>
        </w:rPr>
      </w:pPr>
    </w:p>
    <w:p w:rsidR="00C112BF" w:rsidRPr="00777A92" w:rsidRDefault="00C112BF" w:rsidP="00C112BF">
      <w:pPr>
        <w:pStyle w:val="Zkladntext"/>
        <w:rPr>
          <w:rFonts w:ascii="Arial" w:hAnsi="Arial" w:cs="Arial"/>
          <w:sz w:val="22"/>
          <w:szCs w:val="22"/>
        </w:rPr>
      </w:pPr>
      <w:r w:rsidRPr="00C81416">
        <w:rPr>
          <w:rFonts w:ascii="Arial" w:hAnsi="Arial" w:cs="Arial"/>
          <w:b/>
          <w:bCs/>
          <w:i/>
          <w:iCs/>
          <w:sz w:val="22"/>
          <w:szCs w:val="22"/>
        </w:rPr>
        <w:t>K o l e g i u m   NKÚ</w:t>
      </w:r>
      <w:r w:rsidRPr="00777A92">
        <w:rPr>
          <w:rFonts w:ascii="Arial" w:hAnsi="Arial" w:cs="Arial"/>
          <w:b/>
          <w:bCs/>
          <w:iCs/>
          <w:sz w:val="22"/>
          <w:szCs w:val="22"/>
        </w:rPr>
        <w:t xml:space="preserve">  </w:t>
      </w:r>
      <w:r w:rsidRPr="00777A92">
        <w:rPr>
          <w:rFonts w:ascii="Arial" w:hAnsi="Arial" w:cs="Arial"/>
          <w:sz w:val="22"/>
          <w:szCs w:val="22"/>
        </w:rPr>
        <w:t xml:space="preserve"> na svém </w:t>
      </w:r>
      <w:r w:rsidR="007C2820">
        <w:rPr>
          <w:rFonts w:ascii="Arial" w:hAnsi="Arial" w:cs="Arial"/>
          <w:sz w:val="22"/>
          <w:szCs w:val="22"/>
          <w:lang w:val="cs-CZ"/>
        </w:rPr>
        <w:t>X</w:t>
      </w:r>
      <w:r w:rsidRPr="00777A92">
        <w:rPr>
          <w:rFonts w:ascii="Arial" w:hAnsi="Arial" w:cs="Arial"/>
          <w:sz w:val="22"/>
          <w:szCs w:val="22"/>
        </w:rPr>
        <w:t xml:space="preserve">. zasedání, konaném dne </w:t>
      </w:r>
      <w:r w:rsidR="007C2820">
        <w:rPr>
          <w:rFonts w:ascii="Arial" w:hAnsi="Arial" w:cs="Arial"/>
          <w:sz w:val="22"/>
          <w:szCs w:val="22"/>
          <w:lang w:val="cs-CZ"/>
        </w:rPr>
        <w:t>4. června</w:t>
      </w:r>
      <w:r w:rsidRPr="00777A92">
        <w:rPr>
          <w:rFonts w:ascii="Arial" w:hAnsi="Arial" w:cs="Arial"/>
          <w:sz w:val="22"/>
          <w:szCs w:val="22"/>
        </w:rPr>
        <w:t xml:space="preserve"> 2012, </w:t>
      </w:r>
    </w:p>
    <w:p w:rsidR="00C112BF" w:rsidRPr="00777A92" w:rsidRDefault="00C112BF" w:rsidP="00C112BF">
      <w:pPr>
        <w:pStyle w:val="NormlnKZ"/>
        <w:spacing w:after="0"/>
        <w:ind w:firstLine="0"/>
        <w:rPr>
          <w:rFonts w:cs="Arial"/>
          <w:szCs w:val="22"/>
        </w:rPr>
      </w:pPr>
      <w:r w:rsidRPr="00C81416">
        <w:rPr>
          <w:rFonts w:cs="Arial"/>
          <w:b/>
          <w:bCs/>
          <w:i/>
          <w:iCs/>
          <w:szCs w:val="22"/>
        </w:rPr>
        <w:t>s c h v á l i l o</w:t>
      </w:r>
      <w:r w:rsidRPr="00777A92">
        <w:rPr>
          <w:rFonts w:cs="Arial"/>
          <w:b/>
          <w:bCs/>
          <w:i/>
          <w:iCs/>
          <w:szCs w:val="22"/>
        </w:rPr>
        <w:t xml:space="preserve">  </w:t>
      </w:r>
      <w:r w:rsidRPr="00777A92">
        <w:rPr>
          <w:rFonts w:cs="Arial"/>
          <w:szCs w:val="22"/>
        </w:rPr>
        <w:t xml:space="preserve"> usnesením č. </w:t>
      </w:r>
      <w:r w:rsidR="00B7554C">
        <w:rPr>
          <w:rFonts w:cs="Arial"/>
          <w:szCs w:val="22"/>
        </w:rPr>
        <w:t>12</w:t>
      </w:r>
      <w:r w:rsidR="007C2820">
        <w:rPr>
          <w:rFonts w:cs="Arial"/>
          <w:szCs w:val="22"/>
        </w:rPr>
        <w:t>/X/2012</w:t>
      </w:r>
    </w:p>
    <w:p w:rsidR="00C112BF" w:rsidRPr="00777A92" w:rsidRDefault="00C112BF" w:rsidP="00C112BF">
      <w:pPr>
        <w:pStyle w:val="NormlnKZ"/>
        <w:spacing w:after="0"/>
        <w:ind w:firstLine="0"/>
        <w:rPr>
          <w:rFonts w:cs="Arial"/>
          <w:szCs w:val="22"/>
        </w:rPr>
      </w:pPr>
      <w:r w:rsidRPr="00C81416">
        <w:rPr>
          <w:rFonts w:cs="Arial"/>
          <w:b/>
          <w:bCs/>
          <w:i/>
          <w:iCs/>
          <w:szCs w:val="22"/>
        </w:rPr>
        <w:t>k o n t r o l n í   z á v ě r</w:t>
      </w:r>
      <w:r w:rsidRPr="00777A92">
        <w:rPr>
          <w:rFonts w:cs="Arial"/>
          <w:szCs w:val="22"/>
        </w:rPr>
        <w:t xml:space="preserve">   v tomto znění:</w:t>
      </w:r>
    </w:p>
    <w:p w:rsidR="00C112BF" w:rsidRDefault="00C112BF" w:rsidP="00C112BF">
      <w:pPr>
        <w:pStyle w:val="NormlnKZ"/>
        <w:spacing w:after="0"/>
        <w:ind w:firstLine="0"/>
        <w:rPr>
          <w:rFonts w:cs="Arial"/>
          <w:szCs w:val="22"/>
        </w:rPr>
      </w:pPr>
    </w:p>
    <w:p w:rsidR="00B1411D" w:rsidRPr="00777A92" w:rsidRDefault="00B1411D" w:rsidP="00C112BF">
      <w:pPr>
        <w:pStyle w:val="NormlnKZ"/>
        <w:spacing w:after="0"/>
        <w:ind w:firstLine="0"/>
        <w:rPr>
          <w:rFonts w:cs="Arial"/>
          <w:szCs w:val="22"/>
        </w:rPr>
      </w:pPr>
    </w:p>
    <w:p w:rsidR="00C112BF" w:rsidRPr="00777A92" w:rsidRDefault="00C112BF" w:rsidP="00C112BF">
      <w:pPr>
        <w:jc w:val="center"/>
        <w:rPr>
          <w:rFonts w:cs="Arial"/>
          <w:b/>
          <w:bCs/>
          <w:sz w:val="24"/>
        </w:rPr>
      </w:pPr>
      <w:r w:rsidRPr="00777A92">
        <w:rPr>
          <w:rFonts w:cs="Arial"/>
          <w:b/>
          <w:bCs/>
          <w:sz w:val="24"/>
        </w:rPr>
        <w:t>I. Úvod</w:t>
      </w:r>
    </w:p>
    <w:p w:rsidR="00C112BF" w:rsidRPr="00777A92" w:rsidRDefault="00C112BF" w:rsidP="00C112BF">
      <w:pPr>
        <w:autoSpaceDE w:val="0"/>
        <w:autoSpaceDN w:val="0"/>
        <w:adjustRightInd w:val="0"/>
        <w:rPr>
          <w:rFonts w:cs="Arial"/>
          <w:szCs w:val="22"/>
        </w:rPr>
      </w:pPr>
    </w:p>
    <w:p w:rsidR="00C112BF" w:rsidRDefault="00C112BF" w:rsidP="00C81416">
      <w:pPr>
        <w:pStyle w:val="Styl1"/>
        <w:spacing w:after="0" w:line="240" w:lineRule="auto"/>
        <w:rPr>
          <w:rFonts w:cs="Arial"/>
          <w:i/>
          <w:color w:val="000000"/>
          <w:lang w:val="cs-CZ"/>
        </w:rPr>
      </w:pPr>
      <w:r w:rsidRPr="00777A92">
        <w:rPr>
          <w:rFonts w:cs="Arial"/>
        </w:rPr>
        <w:t xml:space="preserve">Operační program </w:t>
      </w:r>
      <w:r w:rsidRPr="00C81416">
        <w:rPr>
          <w:rFonts w:cs="Arial"/>
          <w:i/>
        </w:rPr>
        <w:t>Praha</w:t>
      </w:r>
      <w:r w:rsidR="00EB7332">
        <w:rPr>
          <w:rFonts w:cs="Arial"/>
          <w:i/>
          <w:lang w:val="cs-CZ"/>
        </w:rPr>
        <w:t xml:space="preserve"> –</w:t>
      </w:r>
      <w:r w:rsidRPr="00C81416">
        <w:rPr>
          <w:rFonts w:cs="Arial"/>
          <w:i/>
        </w:rPr>
        <w:t xml:space="preserve"> Adaptabilita</w:t>
      </w:r>
      <w:r w:rsidRPr="00777A92">
        <w:rPr>
          <w:rFonts w:cs="Arial"/>
        </w:rPr>
        <w:t xml:space="preserve"> představuje pro hlavní město </w:t>
      </w:r>
      <w:r w:rsidR="00586CAE">
        <w:rPr>
          <w:rFonts w:cs="Arial"/>
        </w:rPr>
        <w:t>Prahu v programovém období 2007–</w:t>
      </w:r>
      <w:r w:rsidRPr="00777A92">
        <w:rPr>
          <w:rFonts w:cs="Arial"/>
        </w:rPr>
        <w:t xml:space="preserve">2013 nástroj pro čerpání podpory </w:t>
      </w:r>
      <w:r w:rsidR="00174218">
        <w:rPr>
          <w:rFonts w:cs="Arial"/>
        </w:rPr>
        <w:t>z </w:t>
      </w:r>
      <w:r w:rsidRPr="00C81416">
        <w:rPr>
          <w:rFonts w:cs="Arial"/>
          <w:i/>
        </w:rPr>
        <w:t>Evropského sociálního fondu</w:t>
      </w:r>
      <w:r w:rsidRPr="00777A92">
        <w:rPr>
          <w:rFonts w:cs="Arial"/>
        </w:rPr>
        <w:t xml:space="preserve"> (dále též „ESF“). </w:t>
      </w:r>
      <w:r w:rsidR="00702E89">
        <w:rPr>
          <w:rFonts w:cs="Arial"/>
          <w:lang w:val="cs-CZ"/>
        </w:rPr>
        <w:t>Hlavní</w:t>
      </w:r>
      <w:r w:rsidRPr="00777A92">
        <w:rPr>
          <w:rFonts w:cs="Arial"/>
        </w:rPr>
        <w:t xml:space="preserve"> město Praha</w:t>
      </w:r>
      <w:r w:rsidR="00430CFE">
        <w:rPr>
          <w:rFonts w:cs="Arial"/>
          <w:lang w:val="cs-CZ"/>
        </w:rPr>
        <w:t xml:space="preserve"> bylo zařazeno Evropskou komisí</w:t>
      </w:r>
      <w:r w:rsidRPr="00777A92">
        <w:rPr>
          <w:rFonts w:cs="Arial"/>
        </w:rPr>
        <w:t xml:space="preserve"> do </w:t>
      </w:r>
      <w:r w:rsidR="00EB7332" w:rsidRPr="00EB7332">
        <w:rPr>
          <w:rFonts w:cs="Arial"/>
          <w:lang w:val="cs-CZ"/>
        </w:rPr>
        <w:t>c</w:t>
      </w:r>
      <w:r w:rsidRPr="00C81416">
        <w:rPr>
          <w:rFonts w:cs="Arial"/>
          <w:lang w:val="cs-CZ"/>
        </w:rPr>
        <w:t>íle</w:t>
      </w:r>
      <w:r w:rsidRPr="00777A92">
        <w:rPr>
          <w:rFonts w:cs="Arial"/>
        </w:rPr>
        <w:t xml:space="preserve"> </w:t>
      </w:r>
      <w:r w:rsidRPr="00777A92">
        <w:rPr>
          <w:rFonts w:cs="Arial"/>
          <w:i/>
        </w:rPr>
        <w:t>Regionální konkurenceschopnost a zaměstnanost</w:t>
      </w:r>
      <w:r w:rsidRPr="00777A92">
        <w:rPr>
          <w:rStyle w:val="Znakapoznpodarou"/>
          <w:rFonts w:cs="Arial"/>
        </w:rPr>
        <w:footnoteReference w:id="1"/>
      </w:r>
      <w:r w:rsidR="00A94606">
        <w:rPr>
          <w:rFonts w:cs="Arial"/>
          <w:lang w:val="cs-CZ"/>
        </w:rPr>
        <w:t xml:space="preserve"> a </w:t>
      </w:r>
      <w:r w:rsidR="00174218">
        <w:rPr>
          <w:rFonts w:cs="Arial"/>
          <w:lang w:val="cs-CZ"/>
        </w:rPr>
        <w:t>k </w:t>
      </w:r>
      <w:r w:rsidR="00430CFE">
        <w:rPr>
          <w:rFonts w:cs="Arial"/>
          <w:lang w:val="cs-CZ"/>
        </w:rPr>
        <w:t xml:space="preserve">přijetí </w:t>
      </w:r>
      <w:r w:rsidR="00A94606">
        <w:rPr>
          <w:rFonts w:cs="Arial"/>
          <w:lang w:val="cs-CZ"/>
        </w:rPr>
        <w:t xml:space="preserve">OPPA </w:t>
      </w:r>
      <w:r w:rsidR="00430CFE">
        <w:rPr>
          <w:rFonts w:cs="Arial"/>
          <w:lang w:val="cs-CZ"/>
        </w:rPr>
        <w:t xml:space="preserve">došlo </w:t>
      </w:r>
      <w:r w:rsidRPr="00777A92">
        <w:rPr>
          <w:rFonts w:cs="Arial"/>
        </w:rPr>
        <w:t>dne 12. </w:t>
      </w:r>
      <w:r w:rsidR="00586CAE">
        <w:rPr>
          <w:rFonts w:cs="Arial"/>
          <w:lang w:val="cs-CZ"/>
        </w:rPr>
        <w:t>října</w:t>
      </w:r>
      <w:r w:rsidRPr="00777A92">
        <w:rPr>
          <w:rFonts w:cs="Arial"/>
        </w:rPr>
        <w:t xml:space="preserve"> 2007.</w:t>
      </w:r>
      <w:r w:rsidR="00702E89">
        <w:rPr>
          <w:rFonts w:cs="Arial"/>
          <w:lang w:val="cs-CZ"/>
        </w:rPr>
        <w:t xml:space="preserve"> </w:t>
      </w:r>
      <w:r w:rsidR="00702E89" w:rsidRPr="00702E89">
        <w:rPr>
          <w:rFonts w:cs="Arial"/>
          <w:lang w:val="cs-CZ"/>
        </w:rPr>
        <w:t>Ostatní regiony</w:t>
      </w:r>
      <w:r w:rsidR="00C045EC">
        <w:rPr>
          <w:rFonts w:cs="Arial"/>
          <w:lang w:val="cs-CZ"/>
        </w:rPr>
        <w:t xml:space="preserve"> ČR</w:t>
      </w:r>
      <w:r w:rsidR="00702E89" w:rsidRPr="00702E89">
        <w:rPr>
          <w:rFonts w:cs="Arial"/>
          <w:lang w:val="cs-CZ"/>
        </w:rPr>
        <w:t xml:space="preserve"> </w:t>
      </w:r>
      <w:r w:rsidR="00702E89" w:rsidRPr="00702E89">
        <w:rPr>
          <w:rFonts w:cs="Arial"/>
          <w:color w:val="000000"/>
        </w:rPr>
        <w:t xml:space="preserve">jsou </w:t>
      </w:r>
      <w:r w:rsidR="00702E89">
        <w:rPr>
          <w:rFonts w:cs="Arial"/>
          <w:color w:val="000000"/>
          <w:lang w:val="cs-CZ"/>
        </w:rPr>
        <w:t xml:space="preserve">Evropskou komisí </w:t>
      </w:r>
      <w:r w:rsidR="00702E89" w:rsidRPr="00702E89">
        <w:rPr>
          <w:rFonts w:cs="Arial"/>
          <w:color w:val="000000"/>
        </w:rPr>
        <w:t xml:space="preserve">podpořeny ze strukturálních fondů v rámci cíle </w:t>
      </w:r>
      <w:r w:rsidR="00702E89" w:rsidRPr="00702E89">
        <w:rPr>
          <w:rFonts w:cs="Arial"/>
          <w:i/>
          <w:color w:val="000000"/>
        </w:rPr>
        <w:t>Konvergence</w:t>
      </w:r>
      <w:r w:rsidR="00702E89" w:rsidRPr="00C81416">
        <w:rPr>
          <w:rFonts w:cs="Arial"/>
          <w:color w:val="000000"/>
        </w:rPr>
        <w:t>.</w:t>
      </w:r>
    </w:p>
    <w:p w:rsidR="00B1411D" w:rsidRPr="00B1411D" w:rsidRDefault="00B1411D" w:rsidP="00C81416">
      <w:pPr>
        <w:pStyle w:val="Styl1"/>
        <w:spacing w:after="0" w:line="240" w:lineRule="auto"/>
        <w:rPr>
          <w:rFonts w:cs="Arial"/>
          <w:lang w:val="cs-CZ"/>
        </w:rPr>
      </w:pPr>
    </w:p>
    <w:p w:rsidR="00C112BF" w:rsidRDefault="00C112BF" w:rsidP="00C81416">
      <w:pPr>
        <w:pStyle w:val="Styl1"/>
        <w:spacing w:after="0" w:line="240" w:lineRule="auto"/>
        <w:rPr>
          <w:rFonts w:cs="Arial"/>
          <w:lang w:val="cs-CZ"/>
        </w:rPr>
      </w:pPr>
      <w:r w:rsidRPr="00777A92">
        <w:rPr>
          <w:rFonts w:cs="Arial"/>
        </w:rPr>
        <w:t>Globálním cílem OPPA je zvýšení konkurenceschopnosti hlavního města Prahy posílením adaptability a výkonnosti lidských zdrojů a zlepšením přístupu k zaměstnání pro všechny. Naplnění globálního cíle v časovém horizontu programu (do roku 2015</w:t>
      </w:r>
      <w:bookmarkStart w:id="0" w:name="_Ref322352712"/>
      <w:r w:rsidRPr="00777A92">
        <w:rPr>
          <w:rStyle w:val="Znakapoznpodarou"/>
          <w:rFonts w:cs="Arial"/>
        </w:rPr>
        <w:footnoteReference w:id="2"/>
      </w:r>
      <w:bookmarkEnd w:id="0"/>
      <w:r w:rsidRPr="00777A92">
        <w:rPr>
          <w:rFonts w:cs="Arial"/>
        </w:rPr>
        <w:t xml:space="preserve">) by mělo přispět k posílení udržitelného </w:t>
      </w:r>
      <w:r w:rsidR="00EB7332">
        <w:rPr>
          <w:rFonts w:cs="Arial"/>
          <w:lang w:val="cs-CZ"/>
        </w:rPr>
        <w:t>společensko-</w:t>
      </w:r>
      <w:r w:rsidRPr="00777A92">
        <w:rPr>
          <w:rFonts w:cs="Arial"/>
        </w:rPr>
        <w:t xml:space="preserve">ekonomického rozvoje regionu a ke zvýšení významu hlavního města Prahy ve středoevropském prostoru v porovnání s ostatními metropolemi členských států Evropské unie. </w:t>
      </w:r>
    </w:p>
    <w:p w:rsidR="00B1411D" w:rsidRPr="002E6ED5" w:rsidRDefault="00B1411D" w:rsidP="00C81416">
      <w:pPr>
        <w:pStyle w:val="Styl1"/>
        <w:spacing w:after="0" w:line="240" w:lineRule="auto"/>
        <w:rPr>
          <w:rFonts w:cs="Arial"/>
          <w:lang w:val="cs-CZ"/>
        </w:rPr>
      </w:pPr>
    </w:p>
    <w:p w:rsidR="00C112BF" w:rsidRDefault="00C112BF" w:rsidP="00C81416">
      <w:pPr>
        <w:pStyle w:val="Styl1"/>
        <w:spacing w:after="0" w:line="240" w:lineRule="auto"/>
        <w:rPr>
          <w:rFonts w:cs="Arial"/>
          <w:lang w:val="cs-CZ"/>
        </w:rPr>
      </w:pPr>
      <w:r w:rsidRPr="00777A92">
        <w:rPr>
          <w:rFonts w:cs="Arial"/>
        </w:rPr>
        <w:t xml:space="preserve">OPPA obsahuje čtyři prioritní osy. Tři prioritní osy jsou určeny k přímému naplňování tří specifických cílů programu. Čtvrtou, podpůrnou prioritní osou je technická pomoc. </w:t>
      </w:r>
    </w:p>
    <w:p w:rsidR="00B1411D" w:rsidRPr="00A45CFF" w:rsidRDefault="00B1411D" w:rsidP="00C81416">
      <w:pPr>
        <w:pStyle w:val="Styl1"/>
        <w:spacing w:after="0" w:line="240" w:lineRule="auto"/>
        <w:rPr>
          <w:rFonts w:cs="Arial"/>
          <w:lang w:val="cs-CZ"/>
        </w:rPr>
      </w:pPr>
    </w:p>
    <w:p w:rsidR="00C112BF" w:rsidRPr="00777A92" w:rsidRDefault="00C112BF" w:rsidP="00C112BF">
      <w:pPr>
        <w:rPr>
          <w:rFonts w:cs="Arial"/>
          <w:szCs w:val="22"/>
        </w:rPr>
      </w:pPr>
      <w:r w:rsidRPr="00777A92">
        <w:rPr>
          <w:rFonts w:cs="Arial"/>
          <w:szCs w:val="22"/>
        </w:rPr>
        <w:t xml:space="preserve">Konkrétní zaměření prioritních os je následující: </w:t>
      </w:r>
    </w:p>
    <w:p w:rsidR="00C112BF" w:rsidRPr="00777A92" w:rsidRDefault="00C112BF" w:rsidP="00C112BF">
      <w:pPr>
        <w:numPr>
          <w:ilvl w:val="0"/>
          <w:numId w:val="1"/>
        </w:numPr>
        <w:rPr>
          <w:rFonts w:cs="Arial"/>
          <w:szCs w:val="22"/>
        </w:rPr>
      </w:pPr>
      <w:r w:rsidRPr="00777A92">
        <w:rPr>
          <w:rFonts w:cs="Arial"/>
          <w:szCs w:val="22"/>
        </w:rPr>
        <w:t xml:space="preserve">Prioritní osa 1 </w:t>
      </w:r>
      <w:r w:rsidR="00586CAE">
        <w:rPr>
          <w:rFonts w:cs="Arial"/>
          <w:szCs w:val="22"/>
        </w:rPr>
        <w:t>–</w:t>
      </w:r>
      <w:r w:rsidRPr="00777A92">
        <w:rPr>
          <w:rFonts w:cs="Arial"/>
          <w:szCs w:val="22"/>
        </w:rPr>
        <w:t xml:space="preserve"> zvýšení profesní mobility a adaptability pracovníků a zaměstnavatelů směřující ke zvýšení kvality a produktivity práce. </w:t>
      </w:r>
    </w:p>
    <w:p w:rsidR="00C112BF" w:rsidRPr="00777A92" w:rsidRDefault="00C112BF" w:rsidP="00C112BF">
      <w:pPr>
        <w:numPr>
          <w:ilvl w:val="0"/>
          <w:numId w:val="1"/>
        </w:numPr>
        <w:rPr>
          <w:rFonts w:cs="Arial"/>
          <w:szCs w:val="22"/>
        </w:rPr>
      </w:pPr>
      <w:r w:rsidRPr="00777A92">
        <w:rPr>
          <w:rFonts w:cs="Arial"/>
          <w:szCs w:val="22"/>
        </w:rPr>
        <w:t xml:space="preserve">Prioritní osa 2 </w:t>
      </w:r>
      <w:r w:rsidR="00586CAE">
        <w:rPr>
          <w:rFonts w:cs="Arial"/>
          <w:szCs w:val="22"/>
        </w:rPr>
        <w:t>–</w:t>
      </w:r>
      <w:r w:rsidRPr="00777A92">
        <w:rPr>
          <w:rFonts w:cs="Arial"/>
          <w:szCs w:val="22"/>
        </w:rPr>
        <w:t xml:space="preserve"> zlepšení dostupnosti zaměstnání pro znevýhodněné osoby a zvýšení jejich účasti na trhu práce. </w:t>
      </w:r>
    </w:p>
    <w:p w:rsidR="00C112BF" w:rsidRPr="00777A92" w:rsidRDefault="00C112BF" w:rsidP="00C112BF">
      <w:pPr>
        <w:numPr>
          <w:ilvl w:val="0"/>
          <w:numId w:val="1"/>
        </w:numPr>
        <w:rPr>
          <w:rFonts w:cs="Arial"/>
          <w:szCs w:val="22"/>
        </w:rPr>
      </w:pPr>
      <w:r w:rsidRPr="00777A92">
        <w:rPr>
          <w:rFonts w:cs="Arial"/>
          <w:szCs w:val="22"/>
        </w:rPr>
        <w:t xml:space="preserve">Prioritní osa 3 </w:t>
      </w:r>
      <w:r w:rsidR="00586CAE">
        <w:rPr>
          <w:rFonts w:cs="Arial"/>
          <w:szCs w:val="22"/>
        </w:rPr>
        <w:t>–</w:t>
      </w:r>
      <w:r w:rsidRPr="00777A92">
        <w:rPr>
          <w:rFonts w:cs="Arial"/>
          <w:szCs w:val="22"/>
        </w:rPr>
        <w:t xml:space="preserve"> zvýšení kvality vzdělávání a odborné přípravy lidí</w:t>
      </w:r>
      <w:r w:rsidR="00EB7332">
        <w:rPr>
          <w:rFonts w:cs="Arial"/>
          <w:szCs w:val="22"/>
        </w:rPr>
        <w:t xml:space="preserve"> v souladu s </w:t>
      </w:r>
      <w:r w:rsidRPr="00777A92">
        <w:rPr>
          <w:rFonts w:cs="Arial"/>
          <w:szCs w:val="22"/>
        </w:rPr>
        <w:t>požadavk</w:t>
      </w:r>
      <w:r w:rsidR="00EB7332">
        <w:rPr>
          <w:rFonts w:cs="Arial"/>
          <w:szCs w:val="22"/>
        </w:rPr>
        <w:t>y</w:t>
      </w:r>
      <w:r w:rsidRPr="00777A92">
        <w:rPr>
          <w:rFonts w:cs="Arial"/>
          <w:szCs w:val="22"/>
        </w:rPr>
        <w:t xml:space="preserve"> trhu práce. </w:t>
      </w:r>
    </w:p>
    <w:p w:rsidR="00C112BF" w:rsidRPr="00777A92" w:rsidRDefault="00C112BF" w:rsidP="00C112BF">
      <w:pPr>
        <w:numPr>
          <w:ilvl w:val="0"/>
          <w:numId w:val="1"/>
        </w:numPr>
        <w:rPr>
          <w:rFonts w:cs="Arial"/>
          <w:szCs w:val="22"/>
        </w:rPr>
      </w:pPr>
      <w:r w:rsidRPr="00777A92">
        <w:rPr>
          <w:rFonts w:cs="Arial"/>
          <w:szCs w:val="22"/>
        </w:rPr>
        <w:t xml:space="preserve">Prioritní osa 4 </w:t>
      </w:r>
      <w:r w:rsidR="00586CAE">
        <w:rPr>
          <w:rFonts w:cs="Arial"/>
          <w:szCs w:val="22"/>
        </w:rPr>
        <w:t>–</w:t>
      </w:r>
      <w:r w:rsidRPr="00777A92">
        <w:rPr>
          <w:rFonts w:cs="Arial"/>
          <w:szCs w:val="22"/>
        </w:rPr>
        <w:t xml:space="preserve"> zajištění efektivní a účinné implementace OPPA. </w:t>
      </w:r>
    </w:p>
    <w:p w:rsidR="00C112BF" w:rsidRPr="00777A92" w:rsidRDefault="00C112BF" w:rsidP="00C112BF">
      <w:pPr>
        <w:rPr>
          <w:rFonts w:cs="Arial"/>
          <w:szCs w:val="22"/>
        </w:rPr>
      </w:pPr>
    </w:p>
    <w:p w:rsidR="00C112BF" w:rsidRPr="00777A92" w:rsidRDefault="00C112BF" w:rsidP="00C112BF">
      <w:pPr>
        <w:shd w:val="clear" w:color="auto" w:fill="FFFFFF"/>
        <w:rPr>
          <w:rFonts w:cs="Arial"/>
        </w:rPr>
      </w:pPr>
      <w:r w:rsidRPr="00777A92">
        <w:rPr>
          <w:rFonts w:cs="Arial"/>
        </w:rPr>
        <w:t>Kontrole byly podrobeny projekty spadající do všech čtyř výše uvedených prioritních os OPPA. Výběr vzorku operací byl proveden metodou stratifikovaného výběru průnikem souborů definovaných podle věcných a kvantitativních kritérií. Věcná kritéria vycházela z poměrn</w:t>
      </w:r>
      <w:r w:rsidR="00AA456D">
        <w:rPr>
          <w:rFonts w:cs="Arial"/>
        </w:rPr>
        <w:t>ého zastoupení prioritních os 1–</w:t>
      </w:r>
      <w:r w:rsidRPr="00777A92">
        <w:rPr>
          <w:rFonts w:cs="Arial"/>
        </w:rPr>
        <w:t xml:space="preserve">4 OPPA, postihnutí celého spektra zaměření projektů a jednotlivých fází realizace projektů. Kvantitativní kritéria vycházela z celkových nákladů projektů a dosud čerpaných nákladů. </w:t>
      </w:r>
    </w:p>
    <w:p w:rsidR="00C112BF" w:rsidRPr="00777A92" w:rsidRDefault="00C112BF" w:rsidP="00C112BF">
      <w:pPr>
        <w:shd w:val="clear" w:color="auto" w:fill="FFFFFF"/>
        <w:rPr>
          <w:rFonts w:cs="Arial"/>
        </w:rPr>
      </w:pPr>
    </w:p>
    <w:p w:rsidR="00C112BF" w:rsidRPr="00777A92" w:rsidRDefault="00C112BF" w:rsidP="00C112BF">
      <w:pPr>
        <w:pStyle w:val="Styl1"/>
        <w:spacing w:after="0" w:line="240" w:lineRule="auto"/>
        <w:rPr>
          <w:rFonts w:cs="Arial"/>
          <w:lang w:eastAsia="cs-CZ"/>
        </w:rPr>
      </w:pPr>
      <w:r w:rsidRPr="00777A92">
        <w:rPr>
          <w:rFonts w:cs="Arial"/>
          <w:lang w:eastAsia="cs-CZ"/>
        </w:rPr>
        <w:lastRenderedPageBreak/>
        <w:t>Pro implementaci OPPA byla v souladu s požadavky evropských předpisů a usnesením vlády ČR ze dne 22. února 2006 č. 175</w:t>
      </w:r>
      <w:r w:rsidRPr="00777A92">
        <w:rPr>
          <w:rStyle w:val="Znakapoznpodarou"/>
          <w:rFonts w:cs="Arial"/>
          <w:lang w:eastAsia="cs-CZ"/>
        </w:rPr>
        <w:footnoteReference w:id="3"/>
      </w:r>
      <w:r w:rsidRPr="00777A92">
        <w:rPr>
          <w:rFonts w:cs="Arial"/>
          <w:lang w:eastAsia="cs-CZ"/>
        </w:rPr>
        <w:t xml:space="preserve"> vytvořena struktura orgánů, která by měla zabezpečit řádnou realizaci pomoci ESF v České republice. </w:t>
      </w:r>
    </w:p>
    <w:p w:rsidR="00C112BF" w:rsidRPr="00777A92" w:rsidRDefault="00C112BF" w:rsidP="00C112BF">
      <w:pPr>
        <w:pStyle w:val="Styl1"/>
        <w:spacing w:after="0" w:line="240" w:lineRule="auto"/>
        <w:rPr>
          <w:rFonts w:cs="Arial"/>
          <w:lang w:eastAsia="cs-CZ"/>
        </w:rPr>
      </w:pPr>
    </w:p>
    <w:p w:rsidR="00C112BF" w:rsidRPr="00777A92" w:rsidRDefault="00C112BF" w:rsidP="00C112BF">
      <w:pPr>
        <w:pStyle w:val="Styl1"/>
        <w:spacing w:after="0" w:line="240" w:lineRule="auto"/>
        <w:rPr>
          <w:rFonts w:cs="Arial"/>
          <w:lang w:eastAsia="cs-CZ"/>
        </w:rPr>
      </w:pPr>
      <w:r w:rsidRPr="00777A92">
        <w:rPr>
          <w:rFonts w:cs="Arial"/>
          <w:lang w:eastAsia="cs-CZ"/>
        </w:rPr>
        <w:t xml:space="preserve">Řídicím orgánem OPPA je </w:t>
      </w:r>
      <w:r w:rsidR="0011375D">
        <w:rPr>
          <w:rFonts w:cs="Arial"/>
          <w:lang w:eastAsia="cs-CZ"/>
        </w:rPr>
        <w:t>v </w:t>
      </w:r>
      <w:r w:rsidRPr="00777A92">
        <w:rPr>
          <w:rFonts w:cs="Arial"/>
          <w:lang w:eastAsia="cs-CZ"/>
        </w:rPr>
        <w:t>souladu se zákonem č. 248/2000 Sb.</w:t>
      </w:r>
      <w:r w:rsidRPr="00777A92">
        <w:rPr>
          <w:rStyle w:val="Znakapoznpodarou"/>
          <w:rFonts w:cs="Arial"/>
          <w:lang w:eastAsia="cs-CZ"/>
        </w:rPr>
        <w:footnoteReference w:id="4"/>
      </w:r>
      <w:r w:rsidRPr="00777A92">
        <w:rPr>
          <w:rFonts w:cs="Arial"/>
          <w:lang w:eastAsia="cs-CZ"/>
        </w:rPr>
        <w:t xml:space="preserve"> Magistrát hlavního města Prahy, odbor fondů EU</w:t>
      </w:r>
      <w:r w:rsidRPr="00777A92">
        <w:rPr>
          <w:rFonts w:cs="Arial"/>
          <w:vertAlign w:val="superscript"/>
          <w:lang w:eastAsia="cs-CZ"/>
        </w:rPr>
        <w:footnoteReference w:id="5"/>
      </w:r>
      <w:r w:rsidR="00062DF7">
        <w:rPr>
          <w:rFonts w:cs="Arial"/>
          <w:lang w:val="cs-CZ" w:eastAsia="cs-CZ"/>
        </w:rPr>
        <w:t xml:space="preserve"> (dále též „</w:t>
      </w:r>
      <w:r w:rsidR="00644C00">
        <w:rPr>
          <w:rFonts w:cs="Arial"/>
          <w:lang w:val="cs-CZ" w:eastAsia="cs-CZ"/>
        </w:rPr>
        <w:t>M</w:t>
      </w:r>
      <w:r w:rsidR="00062DF7">
        <w:rPr>
          <w:rFonts w:cs="Arial"/>
          <w:lang w:val="cs-CZ" w:eastAsia="cs-CZ"/>
        </w:rPr>
        <w:t>HMP“)</w:t>
      </w:r>
      <w:r w:rsidRPr="00777A92">
        <w:rPr>
          <w:rFonts w:cs="Arial"/>
          <w:lang w:eastAsia="cs-CZ"/>
        </w:rPr>
        <w:t>. Řídicí orgán zabezpečuje v souladu s nařízením Rady (ES) č. 1083/2006</w:t>
      </w:r>
      <w:r w:rsidRPr="00777A92">
        <w:rPr>
          <w:rStyle w:val="Znakapoznpodarou"/>
          <w:rFonts w:cs="Arial"/>
          <w:lang w:eastAsia="cs-CZ"/>
        </w:rPr>
        <w:footnoteReference w:id="6"/>
      </w:r>
      <w:r w:rsidRPr="00777A92">
        <w:rPr>
          <w:rFonts w:cs="Arial"/>
          <w:lang w:eastAsia="cs-CZ"/>
        </w:rPr>
        <w:t>,</w:t>
      </w:r>
      <w:r w:rsidRPr="00777A92">
        <w:rPr>
          <w:rFonts w:cs="Arial"/>
          <w:color w:val="000000"/>
          <w:lang w:eastAsia="cs-CZ"/>
        </w:rPr>
        <w:t xml:space="preserve"> </w:t>
      </w:r>
      <w:r w:rsidRPr="00777A92">
        <w:rPr>
          <w:rFonts w:cs="Arial"/>
          <w:lang w:eastAsia="cs-CZ"/>
        </w:rPr>
        <w:t xml:space="preserve">dalšími předpisy </w:t>
      </w:r>
      <w:r w:rsidRPr="00777A92">
        <w:rPr>
          <w:rFonts w:cs="Arial"/>
          <w:lang w:val="cs-CZ" w:eastAsia="cs-CZ"/>
        </w:rPr>
        <w:t>EU</w:t>
      </w:r>
      <w:r w:rsidRPr="00777A92">
        <w:rPr>
          <w:rFonts w:cs="Arial"/>
          <w:lang w:eastAsia="cs-CZ"/>
        </w:rPr>
        <w:t xml:space="preserve"> a národní legislativou zavedení a udržování řídicího a kontrolního systému OPPA. Je metodicky podporován Národním orgánem pro koordinaci, který vydává pokyny a doporučení s cílem efektivně dosáhnout splnění všech požadovaných úkolů. Řídicí orgán administruje agendu OPPA bez zprostředkujících subjektů. Platebním a certifikačním orgánem bylo ustaveno</w:t>
      </w:r>
      <w:bookmarkStart w:id="1" w:name="_Ref321833244"/>
      <w:r w:rsidRPr="00777A92">
        <w:rPr>
          <w:rStyle w:val="Znakapoznpodarou"/>
          <w:rFonts w:cs="Arial"/>
          <w:lang w:eastAsia="cs-CZ"/>
        </w:rPr>
        <w:footnoteReference w:id="7"/>
      </w:r>
      <w:bookmarkEnd w:id="1"/>
      <w:r w:rsidRPr="00777A92">
        <w:rPr>
          <w:rFonts w:cs="Arial"/>
          <w:lang w:eastAsia="cs-CZ"/>
        </w:rPr>
        <w:t xml:space="preserve"> Ministerstvo financí (dále též „MF“), odbor Národní fond. Výkonem funkce auditního orgánu bylo pověřeno</w:t>
      </w:r>
      <w:r w:rsidRPr="00777A92">
        <w:rPr>
          <w:rFonts w:cs="Arial"/>
          <w:lang w:eastAsia="cs-CZ"/>
        </w:rPr>
        <w:fldChar w:fldCharType="begin"/>
      </w:r>
      <w:r w:rsidRPr="00777A92">
        <w:rPr>
          <w:rFonts w:cs="Arial"/>
          <w:lang w:eastAsia="cs-CZ"/>
        </w:rPr>
        <w:instrText xml:space="preserve"> NOTEREF _Ref321833244 \f \h  \* MERGEFORMAT </w:instrText>
      </w:r>
      <w:r w:rsidRPr="00777A92">
        <w:rPr>
          <w:rFonts w:cs="Arial"/>
          <w:lang w:eastAsia="cs-CZ"/>
        </w:rPr>
      </w:r>
      <w:r w:rsidRPr="00777A92">
        <w:rPr>
          <w:rFonts w:cs="Arial"/>
          <w:lang w:eastAsia="cs-CZ"/>
        </w:rPr>
        <w:fldChar w:fldCharType="separate"/>
      </w:r>
      <w:r w:rsidR="003618B5" w:rsidRPr="00D9351D">
        <w:rPr>
          <w:rStyle w:val="Znakapoznpodarou"/>
        </w:rPr>
        <w:t>7</w:t>
      </w:r>
      <w:r w:rsidRPr="00777A92">
        <w:rPr>
          <w:rFonts w:cs="Arial"/>
          <w:lang w:eastAsia="cs-CZ"/>
        </w:rPr>
        <w:fldChar w:fldCharType="end"/>
      </w:r>
      <w:r w:rsidRPr="00777A92">
        <w:rPr>
          <w:rFonts w:cs="Arial"/>
          <w:lang w:eastAsia="cs-CZ"/>
        </w:rPr>
        <w:t xml:space="preserve"> MF, </w:t>
      </w:r>
      <w:r w:rsidR="0007717C" w:rsidRPr="00D9351D">
        <w:rPr>
          <w:rFonts w:cs="Arial"/>
          <w:lang w:val="cs-CZ" w:eastAsia="cs-CZ"/>
        </w:rPr>
        <w:t xml:space="preserve">odbor </w:t>
      </w:r>
      <w:r w:rsidRPr="00777A92">
        <w:rPr>
          <w:rFonts w:cs="Arial"/>
          <w:lang w:eastAsia="cs-CZ"/>
        </w:rPr>
        <w:t xml:space="preserve">Centrální harmonizační jednotka pro finanční kontrolu. </w:t>
      </w:r>
    </w:p>
    <w:p w:rsidR="00C112BF" w:rsidRPr="00777A92" w:rsidRDefault="00C112BF" w:rsidP="00C112BF">
      <w:pPr>
        <w:pStyle w:val="Styl1"/>
        <w:spacing w:after="0" w:line="240" w:lineRule="auto"/>
        <w:rPr>
          <w:rFonts w:cs="Arial"/>
          <w:lang w:eastAsia="cs-CZ"/>
        </w:rPr>
      </w:pPr>
    </w:p>
    <w:p w:rsidR="00C112BF" w:rsidRPr="00985D8E" w:rsidRDefault="00C112BF" w:rsidP="00C112BF">
      <w:pPr>
        <w:pStyle w:val="Styl1"/>
        <w:spacing w:after="0" w:line="240" w:lineRule="auto"/>
        <w:rPr>
          <w:rFonts w:cs="Arial"/>
          <w:shd w:val="clear" w:color="auto" w:fill="FFFFFF"/>
          <w:lang w:val="cs-CZ" w:eastAsia="cs-CZ"/>
        </w:rPr>
      </w:pPr>
      <w:r w:rsidRPr="00777A92">
        <w:rPr>
          <w:rFonts w:cs="Arial"/>
          <w:lang w:eastAsia="cs-CZ"/>
        </w:rPr>
        <w:t xml:space="preserve">Celková alokace OPPA </w:t>
      </w:r>
      <w:r w:rsidR="000338DA">
        <w:rPr>
          <w:rFonts w:cs="Arial"/>
          <w:shd w:val="clear" w:color="auto" w:fill="FFFFFF"/>
          <w:lang w:eastAsia="cs-CZ"/>
        </w:rPr>
        <w:t>pro programové období 2007</w:t>
      </w:r>
      <w:r w:rsidR="00AA456D">
        <w:rPr>
          <w:rFonts w:cs="Arial"/>
          <w:shd w:val="clear" w:color="auto" w:fill="FFFFFF"/>
          <w:lang w:val="cs-CZ" w:eastAsia="cs-CZ"/>
        </w:rPr>
        <w:t>–</w:t>
      </w:r>
      <w:r w:rsidRPr="00777A92">
        <w:rPr>
          <w:rFonts w:cs="Arial"/>
          <w:shd w:val="clear" w:color="auto" w:fill="FFFFFF"/>
          <w:lang w:eastAsia="cs-CZ"/>
        </w:rPr>
        <w:t xml:space="preserve">2013 činí 127,5 mil. </w:t>
      </w:r>
      <w:r w:rsidRPr="00777A92">
        <w:rPr>
          <w:rFonts w:cs="Arial"/>
          <w:lang w:eastAsia="cs-CZ"/>
        </w:rPr>
        <w:t>€</w:t>
      </w:r>
      <w:r w:rsidRPr="00777A92">
        <w:rPr>
          <w:rFonts w:cs="Arial"/>
          <w:shd w:val="clear" w:color="auto" w:fill="FFFFFF"/>
          <w:lang w:eastAsia="cs-CZ"/>
        </w:rPr>
        <w:t xml:space="preserve"> (přibližně </w:t>
      </w:r>
      <w:r w:rsidRPr="00777A92">
        <w:rPr>
          <w:rFonts w:cs="Arial"/>
          <w:color w:val="000000"/>
          <w:lang w:eastAsia="cs-CZ"/>
        </w:rPr>
        <w:t>3 520,1 mil</w:t>
      </w:r>
      <w:r w:rsidR="0007717C">
        <w:rPr>
          <w:rFonts w:cs="Arial"/>
          <w:color w:val="000000"/>
          <w:lang w:val="en-US" w:eastAsia="cs-CZ"/>
        </w:rPr>
        <w:t>.</w:t>
      </w:r>
      <w:r w:rsidRPr="00777A92">
        <w:rPr>
          <w:rFonts w:cs="Arial"/>
          <w:color w:val="000000"/>
          <w:lang w:eastAsia="cs-CZ"/>
        </w:rPr>
        <w:t xml:space="preserve"> Kč</w:t>
      </w:r>
      <w:bookmarkStart w:id="2" w:name="_Ref318967808"/>
      <w:r w:rsidRPr="00777A92">
        <w:rPr>
          <w:rFonts w:cs="Arial"/>
          <w:color w:val="000000"/>
          <w:vertAlign w:val="superscript"/>
          <w:lang w:eastAsia="cs-CZ"/>
        </w:rPr>
        <w:footnoteReference w:id="8"/>
      </w:r>
      <w:bookmarkEnd w:id="2"/>
      <w:r w:rsidRPr="00777A92">
        <w:rPr>
          <w:rFonts w:cs="Arial"/>
          <w:color w:val="000000"/>
          <w:lang w:eastAsia="cs-CZ"/>
        </w:rPr>
        <w:t xml:space="preserve">). </w:t>
      </w:r>
      <w:r w:rsidR="007A697E" w:rsidRPr="00777A92">
        <w:rPr>
          <w:rFonts w:cs="Arial"/>
          <w:color w:val="000000"/>
          <w:lang w:val="cs-CZ" w:eastAsia="cs-CZ"/>
        </w:rPr>
        <w:t>K</w:t>
      </w:r>
      <w:r w:rsidRPr="00777A92">
        <w:rPr>
          <w:rFonts w:cs="Arial"/>
          <w:shd w:val="clear" w:color="auto" w:fill="FFFFFF"/>
          <w:lang w:eastAsia="cs-CZ"/>
        </w:rPr>
        <w:t>e konci roku 2010 činila celková alokace OPPA přibližně 3 225,4 mil. Kč</w:t>
      </w:r>
      <w:bookmarkStart w:id="3" w:name="_Ref318967947"/>
      <w:r w:rsidRPr="00777A92">
        <w:rPr>
          <w:rFonts w:cs="Arial"/>
          <w:vertAlign w:val="superscript"/>
          <w:lang w:eastAsia="cs-CZ"/>
        </w:rPr>
        <w:footnoteReference w:id="9"/>
      </w:r>
      <w:bookmarkEnd w:id="3"/>
      <w:r w:rsidRPr="00777A92">
        <w:rPr>
          <w:rFonts w:cs="Arial"/>
          <w:shd w:val="clear" w:color="auto" w:fill="FFFFFF"/>
          <w:lang w:eastAsia="cs-CZ"/>
        </w:rPr>
        <w:t xml:space="preserve">. Příjemcům bylo proplaceno 42,1 % celkové alokace, z toho </w:t>
      </w:r>
      <w:r w:rsidR="007A697E" w:rsidRPr="00777A92">
        <w:rPr>
          <w:rFonts w:cs="Arial"/>
          <w:shd w:val="clear" w:color="auto" w:fill="FFFFFF"/>
          <w:lang w:eastAsia="cs-CZ"/>
        </w:rPr>
        <w:t>procentuálně</w:t>
      </w:r>
      <w:r w:rsidRPr="00777A92">
        <w:rPr>
          <w:rFonts w:cs="Arial"/>
          <w:shd w:val="clear" w:color="auto" w:fill="FFFFFF"/>
          <w:lang w:eastAsia="cs-CZ"/>
        </w:rPr>
        <w:t xml:space="preserve"> nejvíce peněžních prostředků bylo proplaceno příjemcům v rámci čtvrté prioritní osy</w:t>
      </w:r>
      <w:r w:rsidR="0007717C">
        <w:rPr>
          <w:rFonts w:cs="Arial"/>
          <w:shd w:val="clear" w:color="auto" w:fill="FFFFFF"/>
          <w:lang w:val="en-US" w:eastAsia="cs-CZ"/>
        </w:rPr>
        <w:t>,</w:t>
      </w:r>
      <w:r w:rsidRPr="00777A92">
        <w:rPr>
          <w:rFonts w:cs="Arial"/>
          <w:shd w:val="clear" w:color="auto" w:fill="FFFFFF"/>
          <w:lang w:eastAsia="cs-CZ"/>
        </w:rPr>
        <w:t xml:space="preserve"> zaměřené na technickou pomoc (51,5 %). Naopak nejmenší čerpání peněžních prostředků příjemci podpory bylo v rámci druhé prioritní osy (38,2 %). </w:t>
      </w:r>
    </w:p>
    <w:p w:rsidR="000338DA" w:rsidRPr="000338DA" w:rsidRDefault="000338DA" w:rsidP="00C112BF">
      <w:pPr>
        <w:pStyle w:val="Styl1"/>
        <w:spacing w:after="0" w:line="240" w:lineRule="auto"/>
        <w:rPr>
          <w:rFonts w:cs="Arial"/>
          <w:shd w:val="clear" w:color="auto" w:fill="FFFFFF"/>
          <w:lang w:val="cs-CZ" w:eastAsia="cs-CZ"/>
        </w:rPr>
      </w:pPr>
    </w:p>
    <w:p w:rsidR="00C112BF" w:rsidRPr="00F075A1" w:rsidRDefault="00C112BF" w:rsidP="00F075A1">
      <w:pPr>
        <w:keepNext/>
        <w:tabs>
          <w:tab w:val="right" w:pos="9214"/>
        </w:tabs>
        <w:ind w:left="1503" w:hanging="1503"/>
        <w:jc w:val="left"/>
        <w:rPr>
          <w:rFonts w:cs="Arial"/>
          <w:b/>
          <w:bCs/>
          <w:szCs w:val="22"/>
        </w:rPr>
      </w:pPr>
      <w:r w:rsidRPr="00F075A1">
        <w:rPr>
          <w:rFonts w:cs="Arial"/>
          <w:b/>
          <w:bCs/>
          <w:szCs w:val="22"/>
        </w:rPr>
        <w:t>Tabulka č. 1</w:t>
      </w:r>
      <w:r w:rsidR="00634143" w:rsidRPr="00F075A1">
        <w:rPr>
          <w:rFonts w:cs="Arial"/>
          <w:b/>
          <w:bCs/>
          <w:szCs w:val="22"/>
        </w:rPr>
        <w:t xml:space="preserve"> –</w:t>
      </w:r>
      <w:r w:rsidR="004B15CF" w:rsidRPr="00F075A1">
        <w:rPr>
          <w:rFonts w:cs="Arial"/>
          <w:b/>
          <w:bCs/>
          <w:szCs w:val="22"/>
        </w:rPr>
        <w:t xml:space="preserve"> </w:t>
      </w:r>
      <w:r w:rsidRPr="00F075A1">
        <w:rPr>
          <w:rFonts w:cs="Arial"/>
          <w:b/>
          <w:bCs/>
          <w:szCs w:val="22"/>
        </w:rPr>
        <w:t>Alokace OPPA a její čerpání k 5. 1. 2011</w:t>
      </w:r>
      <w:r w:rsidR="0007717C">
        <w:rPr>
          <w:rFonts w:cs="Arial"/>
          <w:b/>
          <w:bCs/>
          <w:szCs w:val="22"/>
        </w:rPr>
        <w:t>, tj.</w:t>
      </w:r>
      <w:r w:rsidR="007B2256" w:rsidRPr="00F075A1">
        <w:rPr>
          <w:rFonts w:cs="Arial"/>
          <w:b/>
          <w:bCs/>
          <w:szCs w:val="22"/>
        </w:rPr>
        <w:t xml:space="preserve"> k datu vydání měsíční monitorovací zprávy za prosinec 2010</w:t>
      </w:r>
      <w:r w:rsidRPr="00F075A1">
        <w:rPr>
          <w:rFonts w:cs="Arial"/>
          <w:b/>
          <w:bCs/>
          <w:szCs w:val="22"/>
        </w:rPr>
        <w:t xml:space="preserve"> </w:t>
      </w:r>
      <w:r w:rsidR="0007717C">
        <w:rPr>
          <w:rFonts w:cs="Arial"/>
          <w:b/>
          <w:bCs/>
          <w:szCs w:val="22"/>
        </w:rPr>
        <w:tab/>
      </w:r>
      <w:r w:rsidRPr="00F075A1">
        <w:rPr>
          <w:rFonts w:cs="Arial"/>
          <w:b/>
          <w:bCs/>
          <w:szCs w:val="22"/>
        </w:rPr>
        <w:t>(</w:t>
      </w:r>
      <w:r w:rsidR="0011375D" w:rsidRPr="00F075A1">
        <w:rPr>
          <w:rFonts w:cs="Arial"/>
          <w:b/>
          <w:bCs/>
          <w:szCs w:val="22"/>
        </w:rPr>
        <w:t>v </w:t>
      </w:r>
      <w:r w:rsidRPr="00F075A1">
        <w:rPr>
          <w:rFonts w:cs="Arial"/>
          <w:b/>
          <w:bCs/>
          <w:szCs w:val="22"/>
        </w:rPr>
        <w:t>mil. Kč)</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985"/>
        <w:gridCol w:w="2695"/>
        <w:gridCol w:w="3507"/>
      </w:tblGrid>
      <w:tr w:rsidR="00C112BF" w:rsidRPr="00777A92" w:rsidTr="00276F18">
        <w:tc>
          <w:tcPr>
            <w:tcW w:w="541" w:type="pct"/>
            <w:vAlign w:val="center"/>
          </w:tcPr>
          <w:p w:rsidR="00C112BF" w:rsidRPr="00D71AA7" w:rsidRDefault="00C112BF" w:rsidP="00276F18">
            <w:pPr>
              <w:keepNext/>
              <w:jc w:val="center"/>
              <w:rPr>
                <w:rFonts w:eastAsia="Arial Unicode MS" w:cs="Arial"/>
                <w:b/>
                <w:sz w:val="18"/>
                <w:szCs w:val="18"/>
              </w:rPr>
            </w:pPr>
            <w:r w:rsidRPr="00D71AA7">
              <w:rPr>
                <w:rFonts w:eastAsia="Arial Unicode MS" w:cs="Arial"/>
                <w:b/>
                <w:sz w:val="18"/>
                <w:szCs w:val="18"/>
              </w:rPr>
              <w:t>Prioritní osa</w:t>
            </w:r>
          </w:p>
        </w:tc>
        <w:tc>
          <w:tcPr>
            <w:tcW w:w="1081" w:type="pct"/>
            <w:vAlign w:val="center"/>
          </w:tcPr>
          <w:p w:rsidR="00C112BF" w:rsidRPr="00D71AA7" w:rsidRDefault="00C112BF" w:rsidP="00276F18">
            <w:pPr>
              <w:keepNext/>
              <w:jc w:val="center"/>
              <w:rPr>
                <w:rFonts w:eastAsia="Arial Unicode MS" w:cs="Arial"/>
                <w:b/>
                <w:sz w:val="18"/>
                <w:szCs w:val="18"/>
              </w:rPr>
            </w:pPr>
            <w:r w:rsidRPr="00D71AA7">
              <w:rPr>
                <w:rFonts w:eastAsia="Arial Unicode MS" w:cs="Arial"/>
                <w:b/>
                <w:sz w:val="18"/>
                <w:szCs w:val="18"/>
              </w:rPr>
              <w:t>Celková alokace</w:t>
            </w:r>
          </w:p>
        </w:tc>
        <w:tc>
          <w:tcPr>
            <w:tcW w:w="1468" w:type="pct"/>
            <w:vAlign w:val="center"/>
          </w:tcPr>
          <w:p w:rsidR="00C112BF" w:rsidRPr="00D71AA7" w:rsidRDefault="00985D8E" w:rsidP="00276F18">
            <w:pPr>
              <w:keepNext/>
              <w:jc w:val="center"/>
              <w:rPr>
                <w:rFonts w:eastAsia="Arial Unicode MS" w:cs="Arial"/>
                <w:b/>
                <w:sz w:val="18"/>
                <w:szCs w:val="18"/>
              </w:rPr>
            </w:pPr>
            <w:r>
              <w:rPr>
                <w:rFonts w:eastAsia="Arial Unicode MS" w:cs="Arial"/>
                <w:b/>
                <w:sz w:val="18"/>
                <w:szCs w:val="18"/>
              </w:rPr>
              <w:t>P</w:t>
            </w:r>
            <w:r w:rsidRPr="00D71AA7">
              <w:rPr>
                <w:rFonts w:eastAsia="Arial Unicode MS" w:cs="Arial"/>
                <w:b/>
                <w:sz w:val="18"/>
                <w:szCs w:val="18"/>
              </w:rPr>
              <w:t xml:space="preserve">rostředky </w:t>
            </w:r>
            <w:r>
              <w:rPr>
                <w:rFonts w:eastAsia="Arial Unicode MS" w:cs="Arial"/>
                <w:b/>
                <w:sz w:val="18"/>
                <w:szCs w:val="18"/>
              </w:rPr>
              <w:t>p</w:t>
            </w:r>
            <w:r w:rsidR="00C112BF" w:rsidRPr="00D71AA7">
              <w:rPr>
                <w:rFonts w:eastAsia="Arial Unicode MS" w:cs="Arial"/>
                <w:b/>
                <w:sz w:val="18"/>
                <w:szCs w:val="18"/>
              </w:rPr>
              <w:t>roplacené příjemcům</w:t>
            </w:r>
          </w:p>
        </w:tc>
        <w:tc>
          <w:tcPr>
            <w:tcW w:w="1910" w:type="pct"/>
            <w:vAlign w:val="center"/>
          </w:tcPr>
          <w:p w:rsidR="00985D8E" w:rsidRDefault="00CF1EA6" w:rsidP="00276F18">
            <w:pPr>
              <w:keepNext/>
              <w:jc w:val="center"/>
              <w:rPr>
                <w:rFonts w:eastAsia="Arial Unicode MS" w:cs="Arial"/>
                <w:b/>
                <w:sz w:val="18"/>
                <w:szCs w:val="18"/>
              </w:rPr>
            </w:pPr>
            <w:r w:rsidRPr="00D71AA7">
              <w:rPr>
                <w:rFonts w:eastAsia="Arial Unicode MS" w:cs="Arial"/>
                <w:b/>
                <w:sz w:val="18"/>
                <w:szCs w:val="18"/>
              </w:rPr>
              <w:t>P</w:t>
            </w:r>
            <w:r w:rsidR="00C112BF" w:rsidRPr="00D71AA7">
              <w:rPr>
                <w:rFonts w:eastAsia="Arial Unicode MS" w:cs="Arial"/>
                <w:b/>
                <w:sz w:val="18"/>
                <w:szCs w:val="18"/>
              </w:rPr>
              <w:t>odíl proplacených prostředků na celkové alokaci</w:t>
            </w:r>
          </w:p>
          <w:p w:rsidR="00C112BF" w:rsidRPr="00D71AA7" w:rsidRDefault="00985D8E" w:rsidP="00276F18">
            <w:pPr>
              <w:keepNext/>
              <w:jc w:val="center"/>
              <w:rPr>
                <w:rFonts w:eastAsia="Arial Unicode MS" w:cs="Arial"/>
                <w:sz w:val="18"/>
                <w:szCs w:val="18"/>
              </w:rPr>
            </w:pPr>
            <w:r>
              <w:rPr>
                <w:rFonts w:eastAsia="Arial Unicode MS" w:cs="Arial"/>
                <w:b/>
                <w:sz w:val="18"/>
                <w:szCs w:val="18"/>
              </w:rPr>
              <w:t>(</w:t>
            </w:r>
            <w:r w:rsidR="00CF1EA6" w:rsidRPr="00D71AA7">
              <w:rPr>
                <w:rFonts w:eastAsia="Arial Unicode MS" w:cs="Arial"/>
                <w:b/>
                <w:sz w:val="18"/>
                <w:szCs w:val="18"/>
              </w:rPr>
              <w:t>v %</w:t>
            </w:r>
            <w:r>
              <w:rPr>
                <w:rFonts w:eastAsia="Arial Unicode MS" w:cs="Arial"/>
                <w:b/>
                <w:sz w:val="18"/>
                <w:szCs w:val="18"/>
              </w:rPr>
              <w:t>)</w:t>
            </w:r>
          </w:p>
        </w:tc>
      </w:tr>
      <w:tr w:rsidR="00C112BF" w:rsidRPr="00777A92" w:rsidTr="000338DA">
        <w:tc>
          <w:tcPr>
            <w:tcW w:w="541" w:type="pct"/>
          </w:tcPr>
          <w:p w:rsidR="00C112BF" w:rsidRPr="00D71AA7" w:rsidRDefault="00C112BF" w:rsidP="00A44883">
            <w:pPr>
              <w:keepNext/>
              <w:rPr>
                <w:rFonts w:eastAsia="Arial Unicode MS" w:cs="Arial"/>
                <w:sz w:val="18"/>
                <w:szCs w:val="18"/>
              </w:rPr>
            </w:pPr>
            <w:r w:rsidRPr="00D71AA7">
              <w:rPr>
                <w:rFonts w:eastAsia="Arial Unicode MS" w:cs="Arial"/>
                <w:sz w:val="18"/>
                <w:szCs w:val="18"/>
              </w:rPr>
              <w:t>1</w:t>
            </w:r>
          </w:p>
        </w:tc>
        <w:tc>
          <w:tcPr>
            <w:tcW w:w="1081" w:type="pct"/>
          </w:tcPr>
          <w:p w:rsidR="00C112BF" w:rsidRPr="00D71AA7" w:rsidRDefault="00C112BF" w:rsidP="00A44883">
            <w:pPr>
              <w:keepNext/>
              <w:jc w:val="right"/>
              <w:rPr>
                <w:rFonts w:eastAsia="Arial Unicode MS" w:cs="Arial"/>
                <w:sz w:val="18"/>
                <w:szCs w:val="18"/>
              </w:rPr>
            </w:pPr>
            <w:r w:rsidRPr="00D71AA7">
              <w:rPr>
                <w:rFonts w:cs="Arial"/>
                <w:sz w:val="18"/>
                <w:szCs w:val="18"/>
                <w:lang w:eastAsia="cs-CZ"/>
              </w:rPr>
              <w:t>1 233,1</w:t>
            </w:r>
          </w:p>
        </w:tc>
        <w:tc>
          <w:tcPr>
            <w:tcW w:w="1468" w:type="pct"/>
          </w:tcPr>
          <w:p w:rsidR="00C112BF" w:rsidRPr="00D71AA7" w:rsidRDefault="00C112BF" w:rsidP="00A44883">
            <w:pPr>
              <w:keepNext/>
              <w:jc w:val="right"/>
              <w:rPr>
                <w:rFonts w:eastAsia="Arial Unicode MS" w:cs="Arial"/>
                <w:sz w:val="18"/>
                <w:szCs w:val="18"/>
              </w:rPr>
            </w:pPr>
            <w:r w:rsidRPr="00D71AA7">
              <w:rPr>
                <w:rFonts w:cs="Arial"/>
                <w:sz w:val="18"/>
                <w:szCs w:val="18"/>
                <w:lang w:eastAsia="cs-CZ"/>
              </w:rPr>
              <w:t>543,3</w:t>
            </w:r>
          </w:p>
        </w:tc>
        <w:tc>
          <w:tcPr>
            <w:tcW w:w="1910" w:type="pct"/>
          </w:tcPr>
          <w:p w:rsidR="00C112BF" w:rsidRPr="00D71AA7" w:rsidRDefault="00C112BF" w:rsidP="00A44883">
            <w:pPr>
              <w:keepNext/>
              <w:jc w:val="right"/>
              <w:rPr>
                <w:rFonts w:eastAsia="Arial Unicode MS" w:cs="Arial"/>
                <w:sz w:val="18"/>
                <w:szCs w:val="18"/>
              </w:rPr>
            </w:pPr>
            <w:r w:rsidRPr="00D71AA7">
              <w:rPr>
                <w:rFonts w:eastAsia="Arial Unicode MS" w:cs="Arial"/>
                <w:sz w:val="18"/>
                <w:szCs w:val="18"/>
              </w:rPr>
              <w:t>44,1</w:t>
            </w:r>
            <w:r w:rsidR="00985D8E">
              <w:rPr>
                <w:rFonts w:eastAsia="Arial Unicode MS" w:cs="Arial"/>
                <w:sz w:val="18"/>
                <w:szCs w:val="18"/>
              </w:rPr>
              <w:t xml:space="preserve"> %</w:t>
            </w:r>
          </w:p>
        </w:tc>
      </w:tr>
      <w:tr w:rsidR="00C112BF" w:rsidRPr="00777A92" w:rsidTr="000338DA">
        <w:trPr>
          <w:trHeight w:val="145"/>
        </w:trPr>
        <w:tc>
          <w:tcPr>
            <w:tcW w:w="541" w:type="pct"/>
          </w:tcPr>
          <w:p w:rsidR="00C112BF" w:rsidRPr="00D71AA7" w:rsidRDefault="00C112BF" w:rsidP="00A44883">
            <w:pPr>
              <w:keepNext/>
              <w:rPr>
                <w:rFonts w:eastAsia="Arial Unicode MS" w:cs="Arial"/>
                <w:sz w:val="18"/>
                <w:szCs w:val="18"/>
              </w:rPr>
            </w:pPr>
            <w:r w:rsidRPr="00D71AA7">
              <w:rPr>
                <w:rFonts w:eastAsia="Arial Unicode MS" w:cs="Arial"/>
                <w:sz w:val="18"/>
                <w:szCs w:val="18"/>
              </w:rPr>
              <w:t>2</w:t>
            </w:r>
          </w:p>
        </w:tc>
        <w:tc>
          <w:tcPr>
            <w:tcW w:w="1081" w:type="pct"/>
          </w:tcPr>
          <w:p w:rsidR="00C112BF" w:rsidRPr="00D71AA7" w:rsidRDefault="00C112BF" w:rsidP="00A44883">
            <w:pPr>
              <w:keepNext/>
              <w:jc w:val="right"/>
              <w:rPr>
                <w:rFonts w:eastAsia="Arial Unicode MS" w:cs="Arial"/>
                <w:sz w:val="18"/>
                <w:szCs w:val="18"/>
              </w:rPr>
            </w:pPr>
            <w:r w:rsidRPr="00D71AA7">
              <w:rPr>
                <w:rFonts w:cs="Arial"/>
                <w:sz w:val="18"/>
                <w:szCs w:val="18"/>
                <w:lang w:eastAsia="cs-CZ"/>
              </w:rPr>
              <w:t>940,4</w:t>
            </w:r>
          </w:p>
        </w:tc>
        <w:tc>
          <w:tcPr>
            <w:tcW w:w="1468" w:type="pct"/>
          </w:tcPr>
          <w:p w:rsidR="00C112BF" w:rsidRPr="00D71AA7" w:rsidRDefault="00C112BF" w:rsidP="00A44883">
            <w:pPr>
              <w:keepNext/>
              <w:jc w:val="right"/>
              <w:rPr>
                <w:rFonts w:eastAsia="Arial Unicode MS" w:cs="Arial"/>
                <w:sz w:val="18"/>
                <w:szCs w:val="18"/>
              </w:rPr>
            </w:pPr>
            <w:r w:rsidRPr="00D71AA7">
              <w:rPr>
                <w:rFonts w:cs="Arial"/>
                <w:sz w:val="18"/>
                <w:szCs w:val="18"/>
                <w:lang w:eastAsia="cs-CZ"/>
              </w:rPr>
              <w:t>359,8</w:t>
            </w:r>
          </w:p>
        </w:tc>
        <w:tc>
          <w:tcPr>
            <w:tcW w:w="1910" w:type="pct"/>
          </w:tcPr>
          <w:p w:rsidR="00C112BF" w:rsidRPr="00D71AA7" w:rsidRDefault="00C112BF" w:rsidP="00A44883">
            <w:pPr>
              <w:keepNext/>
              <w:jc w:val="right"/>
              <w:rPr>
                <w:rFonts w:eastAsia="Arial Unicode MS" w:cs="Arial"/>
                <w:sz w:val="18"/>
                <w:szCs w:val="18"/>
              </w:rPr>
            </w:pPr>
            <w:r w:rsidRPr="00D71AA7">
              <w:rPr>
                <w:rFonts w:eastAsia="Arial Unicode MS" w:cs="Arial"/>
                <w:sz w:val="18"/>
                <w:szCs w:val="18"/>
              </w:rPr>
              <w:t>38,2</w:t>
            </w:r>
            <w:r w:rsidR="00985D8E">
              <w:rPr>
                <w:rFonts w:eastAsia="Arial Unicode MS" w:cs="Arial"/>
                <w:sz w:val="18"/>
                <w:szCs w:val="18"/>
              </w:rPr>
              <w:t xml:space="preserve"> %</w:t>
            </w:r>
          </w:p>
        </w:tc>
      </w:tr>
      <w:tr w:rsidR="00C112BF" w:rsidRPr="00777A92" w:rsidTr="000338DA">
        <w:tc>
          <w:tcPr>
            <w:tcW w:w="541" w:type="pct"/>
          </w:tcPr>
          <w:p w:rsidR="00C112BF" w:rsidRPr="00D71AA7" w:rsidRDefault="00C112BF" w:rsidP="00A44883">
            <w:pPr>
              <w:keepNext/>
              <w:rPr>
                <w:rFonts w:eastAsia="Arial Unicode MS" w:cs="Arial"/>
                <w:sz w:val="18"/>
                <w:szCs w:val="18"/>
              </w:rPr>
            </w:pPr>
            <w:r w:rsidRPr="00D71AA7">
              <w:rPr>
                <w:rFonts w:eastAsia="Arial Unicode MS" w:cs="Arial"/>
                <w:sz w:val="18"/>
                <w:szCs w:val="18"/>
              </w:rPr>
              <w:t>3</w:t>
            </w:r>
          </w:p>
        </w:tc>
        <w:tc>
          <w:tcPr>
            <w:tcW w:w="1081" w:type="pct"/>
          </w:tcPr>
          <w:p w:rsidR="00C112BF" w:rsidRPr="00D71AA7" w:rsidRDefault="00C112BF" w:rsidP="00A44883">
            <w:pPr>
              <w:keepNext/>
              <w:jc w:val="right"/>
              <w:rPr>
                <w:rFonts w:eastAsia="Arial Unicode MS" w:cs="Arial"/>
                <w:sz w:val="18"/>
                <w:szCs w:val="18"/>
              </w:rPr>
            </w:pPr>
            <w:r w:rsidRPr="00D71AA7">
              <w:rPr>
                <w:rFonts w:cs="Arial"/>
                <w:bCs/>
                <w:sz w:val="18"/>
                <w:szCs w:val="18"/>
                <w:lang w:eastAsia="cs-CZ"/>
              </w:rPr>
              <w:t>940,5</w:t>
            </w:r>
          </w:p>
        </w:tc>
        <w:tc>
          <w:tcPr>
            <w:tcW w:w="1468" w:type="pct"/>
          </w:tcPr>
          <w:p w:rsidR="00C112BF" w:rsidRPr="00D71AA7" w:rsidRDefault="00C112BF" w:rsidP="00A44883">
            <w:pPr>
              <w:keepNext/>
              <w:jc w:val="right"/>
              <w:rPr>
                <w:rFonts w:eastAsia="Arial Unicode MS" w:cs="Arial"/>
                <w:sz w:val="18"/>
                <w:szCs w:val="18"/>
              </w:rPr>
            </w:pPr>
            <w:r w:rsidRPr="00D71AA7">
              <w:rPr>
                <w:rFonts w:cs="Arial"/>
                <w:sz w:val="18"/>
                <w:szCs w:val="18"/>
                <w:lang w:eastAsia="cs-CZ"/>
              </w:rPr>
              <w:t>398,1</w:t>
            </w:r>
          </w:p>
        </w:tc>
        <w:tc>
          <w:tcPr>
            <w:tcW w:w="1910" w:type="pct"/>
          </w:tcPr>
          <w:p w:rsidR="00C112BF" w:rsidRPr="00D71AA7" w:rsidRDefault="00C112BF" w:rsidP="00A44883">
            <w:pPr>
              <w:keepNext/>
              <w:jc w:val="right"/>
              <w:rPr>
                <w:rFonts w:eastAsia="Arial Unicode MS" w:cs="Arial"/>
                <w:sz w:val="18"/>
                <w:szCs w:val="18"/>
              </w:rPr>
            </w:pPr>
            <w:r w:rsidRPr="00D71AA7">
              <w:rPr>
                <w:rFonts w:eastAsia="Arial Unicode MS" w:cs="Arial"/>
                <w:sz w:val="18"/>
                <w:szCs w:val="18"/>
              </w:rPr>
              <w:t>42,3</w:t>
            </w:r>
            <w:r w:rsidR="00985D8E">
              <w:rPr>
                <w:rFonts w:eastAsia="Arial Unicode MS" w:cs="Arial"/>
                <w:sz w:val="18"/>
                <w:szCs w:val="18"/>
              </w:rPr>
              <w:t xml:space="preserve"> %</w:t>
            </w:r>
          </w:p>
        </w:tc>
      </w:tr>
      <w:tr w:rsidR="00C112BF" w:rsidRPr="00777A92" w:rsidTr="000338DA">
        <w:tc>
          <w:tcPr>
            <w:tcW w:w="541" w:type="pct"/>
          </w:tcPr>
          <w:p w:rsidR="00C112BF" w:rsidRPr="00D71AA7" w:rsidRDefault="00C112BF" w:rsidP="00A44883">
            <w:pPr>
              <w:keepNext/>
              <w:rPr>
                <w:rFonts w:eastAsia="Arial Unicode MS" w:cs="Arial"/>
                <w:sz w:val="18"/>
                <w:szCs w:val="18"/>
              </w:rPr>
            </w:pPr>
            <w:r w:rsidRPr="00D71AA7">
              <w:rPr>
                <w:rFonts w:eastAsia="Arial Unicode MS" w:cs="Arial"/>
                <w:sz w:val="18"/>
                <w:szCs w:val="18"/>
              </w:rPr>
              <w:t>4</w:t>
            </w:r>
          </w:p>
        </w:tc>
        <w:tc>
          <w:tcPr>
            <w:tcW w:w="1081" w:type="pct"/>
          </w:tcPr>
          <w:p w:rsidR="00C112BF" w:rsidRPr="00D71AA7" w:rsidRDefault="00C112BF" w:rsidP="00A44883">
            <w:pPr>
              <w:keepNext/>
              <w:jc w:val="right"/>
              <w:rPr>
                <w:rFonts w:eastAsia="Arial Unicode MS" w:cs="Arial"/>
                <w:sz w:val="18"/>
                <w:szCs w:val="18"/>
              </w:rPr>
            </w:pPr>
            <w:r w:rsidRPr="00D71AA7">
              <w:rPr>
                <w:rFonts w:cs="Arial"/>
                <w:bCs/>
                <w:sz w:val="18"/>
                <w:szCs w:val="18"/>
                <w:lang w:eastAsia="cs-CZ"/>
              </w:rPr>
              <w:t>111,4</w:t>
            </w:r>
          </w:p>
        </w:tc>
        <w:tc>
          <w:tcPr>
            <w:tcW w:w="1468" w:type="pct"/>
          </w:tcPr>
          <w:p w:rsidR="00C112BF" w:rsidRPr="00D71AA7" w:rsidRDefault="00C112BF" w:rsidP="00A44883">
            <w:pPr>
              <w:keepNext/>
              <w:jc w:val="right"/>
              <w:rPr>
                <w:rFonts w:eastAsia="Arial Unicode MS" w:cs="Arial"/>
                <w:sz w:val="18"/>
                <w:szCs w:val="18"/>
              </w:rPr>
            </w:pPr>
            <w:r w:rsidRPr="00D71AA7">
              <w:rPr>
                <w:rFonts w:cs="Arial"/>
                <w:sz w:val="18"/>
                <w:szCs w:val="18"/>
                <w:lang w:eastAsia="cs-CZ"/>
              </w:rPr>
              <w:t>57,4</w:t>
            </w:r>
          </w:p>
        </w:tc>
        <w:tc>
          <w:tcPr>
            <w:tcW w:w="1910" w:type="pct"/>
          </w:tcPr>
          <w:p w:rsidR="00C112BF" w:rsidRPr="00D71AA7" w:rsidRDefault="00C112BF" w:rsidP="00A44883">
            <w:pPr>
              <w:keepNext/>
              <w:jc w:val="right"/>
              <w:rPr>
                <w:rFonts w:eastAsia="Arial Unicode MS" w:cs="Arial"/>
                <w:sz w:val="18"/>
                <w:szCs w:val="18"/>
              </w:rPr>
            </w:pPr>
            <w:r w:rsidRPr="00D71AA7">
              <w:rPr>
                <w:rFonts w:eastAsia="Arial Unicode MS" w:cs="Arial"/>
                <w:sz w:val="18"/>
                <w:szCs w:val="18"/>
              </w:rPr>
              <w:t>51,5</w:t>
            </w:r>
            <w:r w:rsidR="00985D8E">
              <w:rPr>
                <w:rFonts w:eastAsia="Arial Unicode MS" w:cs="Arial"/>
                <w:sz w:val="18"/>
                <w:szCs w:val="18"/>
              </w:rPr>
              <w:t xml:space="preserve"> %</w:t>
            </w:r>
          </w:p>
        </w:tc>
      </w:tr>
      <w:tr w:rsidR="00C112BF" w:rsidRPr="00777A92" w:rsidTr="000338DA">
        <w:tc>
          <w:tcPr>
            <w:tcW w:w="541" w:type="pct"/>
          </w:tcPr>
          <w:p w:rsidR="00C112BF" w:rsidRPr="00D71AA7" w:rsidRDefault="00C112BF" w:rsidP="00A44883">
            <w:pPr>
              <w:keepNext/>
              <w:rPr>
                <w:rFonts w:eastAsia="Arial Unicode MS" w:cs="Arial"/>
                <w:b/>
                <w:sz w:val="18"/>
                <w:szCs w:val="18"/>
              </w:rPr>
            </w:pPr>
            <w:r w:rsidRPr="00D71AA7">
              <w:rPr>
                <w:rFonts w:eastAsia="Arial Unicode MS" w:cs="Arial"/>
                <w:b/>
                <w:sz w:val="18"/>
                <w:szCs w:val="18"/>
              </w:rPr>
              <w:t>Celkem</w:t>
            </w:r>
          </w:p>
        </w:tc>
        <w:tc>
          <w:tcPr>
            <w:tcW w:w="1081" w:type="pct"/>
          </w:tcPr>
          <w:p w:rsidR="00C112BF" w:rsidRPr="00D71AA7" w:rsidRDefault="00C112BF" w:rsidP="00A44883">
            <w:pPr>
              <w:keepNext/>
              <w:jc w:val="right"/>
              <w:rPr>
                <w:rFonts w:eastAsia="Arial Unicode MS" w:cs="Arial"/>
                <w:b/>
                <w:sz w:val="18"/>
                <w:szCs w:val="18"/>
              </w:rPr>
            </w:pPr>
            <w:r w:rsidRPr="00D71AA7">
              <w:rPr>
                <w:rFonts w:cs="Arial"/>
                <w:b/>
                <w:bCs/>
                <w:sz w:val="18"/>
                <w:szCs w:val="18"/>
                <w:lang w:eastAsia="cs-CZ"/>
              </w:rPr>
              <w:t>3 225,4</w:t>
            </w:r>
          </w:p>
        </w:tc>
        <w:tc>
          <w:tcPr>
            <w:tcW w:w="1468" w:type="pct"/>
          </w:tcPr>
          <w:p w:rsidR="00C112BF" w:rsidRPr="00D71AA7" w:rsidRDefault="00C112BF" w:rsidP="00A44883">
            <w:pPr>
              <w:keepNext/>
              <w:jc w:val="right"/>
              <w:rPr>
                <w:rFonts w:eastAsia="Arial Unicode MS" w:cs="Arial"/>
                <w:b/>
                <w:sz w:val="18"/>
                <w:szCs w:val="18"/>
              </w:rPr>
            </w:pPr>
            <w:r w:rsidRPr="00D71AA7">
              <w:rPr>
                <w:rFonts w:cs="Arial"/>
                <w:b/>
                <w:bCs/>
                <w:sz w:val="18"/>
                <w:szCs w:val="18"/>
                <w:lang w:eastAsia="cs-CZ"/>
              </w:rPr>
              <w:t>1 358,6</w:t>
            </w:r>
          </w:p>
        </w:tc>
        <w:tc>
          <w:tcPr>
            <w:tcW w:w="1910" w:type="pct"/>
          </w:tcPr>
          <w:p w:rsidR="00C112BF" w:rsidRPr="00D71AA7" w:rsidRDefault="00C112BF" w:rsidP="00A44883">
            <w:pPr>
              <w:keepNext/>
              <w:jc w:val="right"/>
              <w:rPr>
                <w:rFonts w:eastAsia="Arial Unicode MS" w:cs="Arial"/>
                <w:b/>
                <w:sz w:val="18"/>
                <w:szCs w:val="18"/>
              </w:rPr>
            </w:pPr>
            <w:r w:rsidRPr="00D71AA7">
              <w:rPr>
                <w:rFonts w:eastAsia="Arial Unicode MS" w:cs="Arial"/>
                <w:b/>
                <w:sz w:val="18"/>
                <w:szCs w:val="18"/>
              </w:rPr>
              <w:t>42,1</w:t>
            </w:r>
            <w:r w:rsidR="00985D8E">
              <w:rPr>
                <w:rFonts w:eastAsia="Arial Unicode MS" w:cs="Arial"/>
                <w:b/>
                <w:sz w:val="18"/>
                <w:szCs w:val="18"/>
              </w:rPr>
              <w:t xml:space="preserve"> %</w:t>
            </w:r>
          </w:p>
        </w:tc>
      </w:tr>
    </w:tbl>
    <w:p w:rsidR="00C112BF" w:rsidRPr="00777A92" w:rsidRDefault="00C112BF" w:rsidP="00C112BF">
      <w:pPr>
        <w:keepNext/>
        <w:autoSpaceDE w:val="0"/>
        <w:autoSpaceDN w:val="0"/>
        <w:adjustRightInd w:val="0"/>
        <w:rPr>
          <w:rFonts w:eastAsia="Arial Unicode MS" w:cs="Arial"/>
          <w:sz w:val="18"/>
          <w:szCs w:val="18"/>
        </w:rPr>
      </w:pPr>
      <w:r w:rsidRPr="005278CC">
        <w:rPr>
          <w:rFonts w:eastAsia="Arial Unicode MS" w:cs="Arial"/>
          <w:b/>
          <w:sz w:val="18"/>
          <w:szCs w:val="18"/>
        </w:rPr>
        <w:t>Zdroj:</w:t>
      </w:r>
      <w:r w:rsidRPr="00777A92">
        <w:rPr>
          <w:rFonts w:eastAsia="Arial Unicode MS" w:cs="Arial"/>
          <w:sz w:val="18"/>
          <w:szCs w:val="18"/>
        </w:rPr>
        <w:t xml:space="preserve"> </w:t>
      </w:r>
      <w:r w:rsidR="00985D8E">
        <w:rPr>
          <w:rFonts w:eastAsia="Arial Unicode MS" w:cs="Arial"/>
          <w:sz w:val="18"/>
          <w:szCs w:val="18"/>
        </w:rPr>
        <w:t>m</w:t>
      </w:r>
      <w:r w:rsidRPr="00777A92">
        <w:rPr>
          <w:rFonts w:eastAsia="Arial Unicode MS" w:cs="Arial"/>
          <w:sz w:val="18"/>
          <w:szCs w:val="18"/>
        </w:rPr>
        <w:t xml:space="preserve">ěsíční monitorovací zpráva </w:t>
      </w:r>
      <w:r w:rsidR="00985D8E">
        <w:rPr>
          <w:rFonts w:eastAsia="Arial Unicode MS" w:cs="Arial"/>
          <w:sz w:val="18"/>
          <w:szCs w:val="18"/>
        </w:rPr>
        <w:t>za</w:t>
      </w:r>
      <w:r w:rsidR="007F48CA">
        <w:rPr>
          <w:rFonts w:eastAsia="Arial Unicode MS" w:cs="Arial"/>
          <w:sz w:val="18"/>
          <w:szCs w:val="18"/>
        </w:rPr>
        <w:t xml:space="preserve"> </w:t>
      </w:r>
      <w:r w:rsidRPr="00777A92">
        <w:rPr>
          <w:rFonts w:eastAsia="Arial Unicode MS" w:cs="Arial"/>
          <w:sz w:val="18"/>
          <w:szCs w:val="18"/>
        </w:rPr>
        <w:t xml:space="preserve">prosinec 2010; data z informačního systému MSC2007 k 5. </w:t>
      </w:r>
      <w:r w:rsidR="00897211">
        <w:rPr>
          <w:rFonts w:eastAsia="Arial Unicode MS" w:cs="Arial"/>
          <w:sz w:val="18"/>
          <w:szCs w:val="18"/>
        </w:rPr>
        <w:t>lednu 2011.</w:t>
      </w:r>
    </w:p>
    <w:p w:rsidR="00C112BF" w:rsidRPr="00777A92" w:rsidRDefault="00C112BF" w:rsidP="00C112BF">
      <w:pPr>
        <w:keepNext/>
        <w:autoSpaceDE w:val="0"/>
        <w:autoSpaceDN w:val="0"/>
        <w:adjustRightInd w:val="0"/>
        <w:rPr>
          <w:rFonts w:cs="Arial"/>
          <w:sz w:val="18"/>
          <w:szCs w:val="18"/>
          <w:lang w:eastAsia="cs-CZ"/>
        </w:rPr>
      </w:pPr>
      <w:r w:rsidRPr="005278CC">
        <w:rPr>
          <w:rFonts w:eastAsia="Arial Unicode MS" w:cs="Arial"/>
          <w:b/>
          <w:sz w:val="18"/>
          <w:szCs w:val="18"/>
        </w:rPr>
        <w:t xml:space="preserve">Pozn.: </w:t>
      </w:r>
      <w:r w:rsidR="00985D8E">
        <w:rPr>
          <w:rFonts w:eastAsia="Arial Unicode MS" w:cs="Arial"/>
          <w:sz w:val="18"/>
          <w:szCs w:val="18"/>
        </w:rPr>
        <w:t>m</w:t>
      </w:r>
      <w:r w:rsidRPr="00777A92">
        <w:rPr>
          <w:rFonts w:eastAsia="Arial Unicode MS" w:cs="Arial"/>
          <w:sz w:val="18"/>
          <w:szCs w:val="18"/>
        </w:rPr>
        <w:t xml:space="preserve">ěnový kurz: </w:t>
      </w:r>
      <w:r w:rsidRPr="00777A92">
        <w:rPr>
          <w:rFonts w:cs="Arial"/>
          <w:sz w:val="18"/>
          <w:szCs w:val="18"/>
          <w:lang w:eastAsia="cs-CZ"/>
        </w:rPr>
        <w:t>1 EUR = 25,24 CZK</w:t>
      </w:r>
      <w:r w:rsidR="00267025">
        <w:rPr>
          <w:rFonts w:cs="Arial"/>
          <w:sz w:val="18"/>
          <w:szCs w:val="18"/>
          <w:lang w:eastAsia="cs-CZ"/>
        </w:rPr>
        <w:t xml:space="preserve"> –</w:t>
      </w:r>
      <w:r w:rsidRPr="00777A92">
        <w:rPr>
          <w:rFonts w:cs="Arial"/>
          <w:sz w:val="18"/>
          <w:szCs w:val="18"/>
          <w:lang w:eastAsia="cs-CZ"/>
        </w:rPr>
        <w:t xml:space="preserve"> měsíční kurz převzatý z MSC2007</w:t>
      </w:r>
      <w:r w:rsidR="00267025">
        <w:rPr>
          <w:rFonts w:cs="Arial"/>
          <w:sz w:val="18"/>
          <w:szCs w:val="18"/>
          <w:lang w:eastAsia="cs-CZ"/>
        </w:rPr>
        <w:t>.</w:t>
      </w:r>
    </w:p>
    <w:p w:rsidR="00C112BF" w:rsidRPr="00777A92" w:rsidRDefault="00C112BF" w:rsidP="00C112BF">
      <w:pPr>
        <w:rPr>
          <w:rFonts w:cs="Arial"/>
          <w:b/>
        </w:rPr>
      </w:pPr>
    </w:p>
    <w:p w:rsidR="00C112BF" w:rsidRPr="00430CFE" w:rsidRDefault="00C112BF" w:rsidP="00430CFE">
      <w:pPr>
        <w:rPr>
          <w:rFonts w:cs="Arial"/>
          <w:szCs w:val="22"/>
          <w:lang w:eastAsia="cs-CZ"/>
        </w:rPr>
      </w:pPr>
      <w:r w:rsidRPr="00777A92">
        <w:rPr>
          <w:rFonts w:cs="Arial"/>
          <w:szCs w:val="22"/>
          <w:lang w:eastAsia="cs-CZ"/>
        </w:rPr>
        <w:t xml:space="preserve">Celkový příspěvek </w:t>
      </w:r>
      <w:r w:rsidR="00985D8E">
        <w:rPr>
          <w:rFonts w:cs="Arial"/>
          <w:szCs w:val="22"/>
          <w:lang w:eastAsia="cs-CZ"/>
        </w:rPr>
        <w:t>EU</w:t>
      </w:r>
      <w:r w:rsidRPr="00777A92">
        <w:rPr>
          <w:rFonts w:cs="Arial"/>
          <w:szCs w:val="22"/>
          <w:lang w:eastAsia="cs-CZ"/>
        </w:rPr>
        <w:t xml:space="preserve"> ve výši 85 % </w:t>
      </w:r>
      <w:r w:rsidRPr="00777A92">
        <w:rPr>
          <w:rFonts w:cs="Arial"/>
          <w:szCs w:val="22"/>
        </w:rPr>
        <w:t>výdajů způsobilých k financování z</w:t>
      </w:r>
      <w:r w:rsidR="00985D8E">
        <w:rPr>
          <w:rFonts w:cs="Arial"/>
          <w:szCs w:val="22"/>
        </w:rPr>
        <w:t xml:space="preserve"> evropských </w:t>
      </w:r>
      <w:r w:rsidRPr="00777A92">
        <w:rPr>
          <w:rFonts w:cs="Arial"/>
          <w:szCs w:val="22"/>
        </w:rPr>
        <w:t xml:space="preserve">fondů </w:t>
      </w:r>
      <w:r w:rsidR="004B15CF">
        <w:rPr>
          <w:rFonts w:cs="Arial"/>
          <w:szCs w:val="22"/>
          <w:shd w:val="clear" w:color="auto" w:fill="FFFFFF"/>
          <w:lang w:eastAsia="cs-CZ"/>
        </w:rPr>
        <w:t>pro programové období 2007</w:t>
      </w:r>
      <w:r w:rsidR="00267025">
        <w:rPr>
          <w:rFonts w:cs="Arial"/>
          <w:szCs w:val="22"/>
          <w:shd w:val="clear" w:color="auto" w:fill="FFFFFF"/>
          <w:lang w:eastAsia="cs-CZ"/>
        </w:rPr>
        <w:t>–</w:t>
      </w:r>
      <w:r w:rsidRPr="00777A92">
        <w:rPr>
          <w:rFonts w:cs="Arial"/>
          <w:szCs w:val="22"/>
          <w:shd w:val="clear" w:color="auto" w:fill="FFFFFF"/>
          <w:lang w:eastAsia="cs-CZ"/>
        </w:rPr>
        <w:t xml:space="preserve">2013 činí 108,3 mil. </w:t>
      </w:r>
      <w:r w:rsidRPr="00777A92">
        <w:rPr>
          <w:rFonts w:cs="Arial"/>
          <w:lang w:eastAsia="cs-CZ"/>
        </w:rPr>
        <w:t>€</w:t>
      </w:r>
      <w:r w:rsidRPr="00777A92">
        <w:rPr>
          <w:rFonts w:cs="Arial"/>
          <w:szCs w:val="22"/>
          <w:shd w:val="clear" w:color="auto" w:fill="FFFFFF"/>
          <w:lang w:eastAsia="cs-CZ"/>
        </w:rPr>
        <w:t xml:space="preserve"> (přibližně 2 992 mil. Kč</w:t>
      </w:r>
      <w:r w:rsidRPr="00777A92">
        <w:rPr>
          <w:rFonts w:cs="Arial"/>
          <w:szCs w:val="22"/>
          <w:shd w:val="clear" w:color="auto" w:fill="FFFFFF"/>
          <w:lang w:eastAsia="cs-CZ"/>
        </w:rPr>
        <w:fldChar w:fldCharType="begin"/>
      </w:r>
      <w:r w:rsidRPr="00777A92">
        <w:rPr>
          <w:rFonts w:cs="Arial"/>
          <w:szCs w:val="22"/>
          <w:shd w:val="clear" w:color="auto" w:fill="FFFFFF"/>
          <w:lang w:eastAsia="cs-CZ"/>
        </w:rPr>
        <w:instrText xml:space="preserve"> NOTEREF _Ref318967808 \f \h  \* MERGEFORMAT </w:instrText>
      </w:r>
      <w:r w:rsidRPr="00777A92">
        <w:rPr>
          <w:rFonts w:cs="Arial"/>
          <w:szCs w:val="22"/>
          <w:shd w:val="clear" w:color="auto" w:fill="FFFFFF"/>
          <w:lang w:eastAsia="cs-CZ"/>
        </w:rPr>
      </w:r>
      <w:r w:rsidRPr="00777A92">
        <w:rPr>
          <w:rFonts w:cs="Arial"/>
          <w:szCs w:val="22"/>
          <w:shd w:val="clear" w:color="auto" w:fill="FFFFFF"/>
          <w:lang w:eastAsia="cs-CZ"/>
        </w:rPr>
        <w:fldChar w:fldCharType="separate"/>
      </w:r>
      <w:r w:rsidR="003618B5" w:rsidRPr="0044083F">
        <w:rPr>
          <w:rStyle w:val="Znakapoznpodarou"/>
        </w:rPr>
        <w:t>8</w:t>
      </w:r>
      <w:r w:rsidRPr="00777A92">
        <w:rPr>
          <w:rFonts w:cs="Arial"/>
          <w:szCs w:val="22"/>
          <w:shd w:val="clear" w:color="auto" w:fill="FFFFFF"/>
          <w:lang w:eastAsia="cs-CZ"/>
        </w:rPr>
        <w:fldChar w:fldCharType="end"/>
      </w:r>
      <w:r w:rsidRPr="00777A92">
        <w:rPr>
          <w:rFonts w:cs="Arial"/>
          <w:szCs w:val="22"/>
          <w:shd w:val="clear" w:color="auto" w:fill="FFFFFF"/>
          <w:lang w:eastAsia="cs-CZ"/>
        </w:rPr>
        <w:t xml:space="preserve">). </w:t>
      </w:r>
      <w:r w:rsidRPr="00777A92">
        <w:rPr>
          <w:rFonts w:cs="Arial"/>
        </w:rPr>
        <w:t>V důsledku</w:t>
      </w:r>
      <w:r w:rsidRPr="00777A92">
        <w:rPr>
          <w:rFonts w:cs="Arial"/>
          <w:szCs w:val="22"/>
        </w:rPr>
        <w:t xml:space="preserve"> posilování kurzu české koruny vůči euru činil celkový příspěvek z rozpočtu ESF ke konci roku 2010 v přepočtu na českou měnu částku přibližně 2 735,6 mil. Kč</w:t>
      </w:r>
      <w:r w:rsidRPr="00777A92">
        <w:rPr>
          <w:rFonts w:cs="Arial"/>
          <w:szCs w:val="22"/>
        </w:rPr>
        <w:fldChar w:fldCharType="begin"/>
      </w:r>
      <w:r w:rsidRPr="00777A92">
        <w:rPr>
          <w:rFonts w:cs="Arial"/>
          <w:szCs w:val="22"/>
        </w:rPr>
        <w:instrText xml:space="preserve"> NOTEREF _Ref318967947 \f \h  \* MERGEFORMAT </w:instrText>
      </w:r>
      <w:r w:rsidRPr="00777A92">
        <w:rPr>
          <w:rFonts w:cs="Arial"/>
          <w:szCs w:val="22"/>
        </w:rPr>
      </w:r>
      <w:r w:rsidRPr="00777A92">
        <w:rPr>
          <w:rFonts w:cs="Arial"/>
          <w:szCs w:val="22"/>
        </w:rPr>
        <w:fldChar w:fldCharType="separate"/>
      </w:r>
      <w:r w:rsidR="003618B5" w:rsidRPr="0044083F">
        <w:rPr>
          <w:rStyle w:val="Znakapoznpodarou"/>
        </w:rPr>
        <w:t>9</w:t>
      </w:r>
      <w:r w:rsidRPr="00777A92">
        <w:rPr>
          <w:rFonts w:cs="Arial"/>
          <w:szCs w:val="22"/>
        </w:rPr>
        <w:fldChar w:fldCharType="end"/>
      </w:r>
      <w:r w:rsidRPr="00777A92">
        <w:rPr>
          <w:rFonts w:cs="Arial"/>
          <w:szCs w:val="22"/>
        </w:rPr>
        <w:t>, tj. téměř o</w:t>
      </w:r>
      <w:r w:rsidR="00FE5779">
        <w:rPr>
          <w:rFonts w:cs="Arial"/>
          <w:szCs w:val="22"/>
        </w:rPr>
        <w:t> </w:t>
      </w:r>
      <w:r w:rsidRPr="00777A92">
        <w:rPr>
          <w:rFonts w:cs="Arial"/>
          <w:szCs w:val="22"/>
        </w:rPr>
        <w:t>300 mil.</w:t>
      </w:r>
      <w:r w:rsidR="00FE5779">
        <w:rPr>
          <w:rFonts w:cs="Arial"/>
          <w:szCs w:val="22"/>
        </w:rPr>
        <w:t> </w:t>
      </w:r>
      <w:r w:rsidRPr="00430CFE">
        <w:rPr>
          <w:rFonts w:cs="Arial"/>
          <w:szCs w:val="22"/>
        </w:rPr>
        <w:t>Kč méně (cca o 10</w:t>
      </w:r>
      <w:r w:rsidR="00985D8E">
        <w:rPr>
          <w:rFonts w:cs="Arial"/>
          <w:szCs w:val="22"/>
        </w:rPr>
        <w:t> </w:t>
      </w:r>
      <w:r w:rsidRPr="00430CFE">
        <w:rPr>
          <w:rFonts w:cs="Arial"/>
          <w:szCs w:val="22"/>
        </w:rPr>
        <w:t xml:space="preserve">%) </w:t>
      </w:r>
      <w:r w:rsidR="0011375D">
        <w:rPr>
          <w:rFonts w:cs="Arial"/>
          <w:szCs w:val="22"/>
        </w:rPr>
        <w:t>v </w:t>
      </w:r>
      <w:r w:rsidRPr="00430CFE">
        <w:rPr>
          <w:rFonts w:cs="Arial"/>
          <w:szCs w:val="22"/>
        </w:rPr>
        <w:t xml:space="preserve">porovnání s rokem 2007. Ke dni kontroly </w:t>
      </w:r>
      <w:r w:rsidR="00D71AA7" w:rsidRPr="00430CFE">
        <w:rPr>
          <w:rFonts w:cs="Arial"/>
          <w:szCs w:val="22"/>
        </w:rPr>
        <w:t xml:space="preserve">NKÚ </w:t>
      </w:r>
      <w:r w:rsidRPr="00430CFE">
        <w:rPr>
          <w:rFonts w:cs="Arial"/>
          <w:szCs w:val="22"/>
        </w:rPr>
        <w:t>(7. 12.</w:t>
      </w:r>
      <w:r w:rsidR="00FE5779">
        <w:rPr>
          <w:rFonts w:cs="Arial"/>
          <w:szCs w:val="22"/>
        </w:rPr>
        <w:t> </w:t>
      </w:r>
      <w:r w:rsidRPr="00430CFE">
        <w:rPr>
          <w:rFonts w:cs="Arial"/>
          <w:szCs w:val="22"/>
        </w:rPr>
        <w:t>2011) činil tento příspěvek částku 2 769 mil. Kč</w:t>
      </w:r>
      <w:r w:rsidRPr="00430CFE">
        <w:rPr>
          <w:rFonts w:cs="Arial"/>
          <w:szCs w:val="22"/>
          <w:vertAlign w:val="superscript"/>
        </w:rPr>
        <w:footnoteReference w:id="10"/>
      </w:r>
      <w:r w:rsidRPr="00430CFE">
        <w:rPr>
          <w:rFonts w:cs="Arial"/>
          <w:szCs w:val="22"/>
        </w:rPr>
        <w:t xml:space="preserve">. </w:t>
      </w:r>
    </w:p>
    <w:p w:rsidR="00430CFE" w:rsidRPr="00430CFE" w:rsidRDefault="00430CFE" w:rsidP="00430CFE">
      <w:pPr>
        <w:widowControl w:val="0"/>
        <w:rPr>
          <w:rFonts w:cs="Arial"/>
          <w:szCs w:val="22"/>
          <w:lang w:eastAsia="cs-CZ"/>
        </w:rPr>
      </w:pPr>
    </w:p>
    <w:p w:rsidR="00430CFE" w:rsidRDefault="00430CFE" w:rsidP="00430CFE">
      <w:pPr>
        <w:widowControl w:val="0"/>
        <w:rPr>
          <w:rFonts w:cs="Arial"/>
          <w:szCs w:val="22"/>
        </w:rPr>
      </w:pPr>
      <w:r w:rsidRPr="00430CFE">
        <w:rPr>
          <w:rFonts w:cs="Arial"/>
          <w:szCs w:val="22"/>
        </w:rPr>
        <w:t>V souladu s nařízením Rady (ES) č. 1083/2006</w:t>
      </w:r>
      <w:r w:rsidRPr="00430CFE">
        <w:rPr>
          <w:rStyle w:val="Znakapoznpodarou"/>
          <w:rFonts w:cs="Arial"/>
          <w:szCs w:val="22"/>
        </w:rPr>
        <w:footnoteReference w:id="11"/>
      </w:r>
      <w:r w:rsidRPr="00430CFE">
        <w:rPr>
          <w:rFonts w:cs="Arial"/>
          <w:szCs w:val="22"/>
        </w:rPr>
        <w:t xml:space="preserve"> je poskytován příspěvek z ESF pro OPPA ve výši maximálně 85 % způsobilých výdajů. Na základě usnesení vlády ČR ze dne </w:t>
      </w:r>
      <w:r w:rsidRPr="00430CFE">
        <w:rPr>
          <w:rFonts w:cs="Arial"/>
          <w:szCs w:val="22"/>
        </w:rPr>
        <w:lastRenderedPageBreak/>
        <w:t>23. května 2007 č. 560</w:t>
      </w:r>
      <w:r w:rsidRPr="00430CFE">
        <w:rPr>
          <w:rStyle w:val="Znakapoznpodarou"/>
          <w:rFonts w:cs="Arial"/>
          <w:szCs w:val="22"/>
        </w:rPr>
        <w:footnoteReference w:id="12"/>
      </w:r>
      <w:r w:rsidRPr="00430CFE">
        <w:rPr>
          <w:rFonts w:cs="Arial"/>
          <w:szCs w:val="22"/>
        </w:rPr>
        <w:t xml:space="preserve"> se na požadovaných 15 % na spolufinancování způsobilých výdajů podílí 7,5 % státní rozpočet. Od 1. ledna 2011 jsou prostředky státního rozpočtu na spolufinancování poskytovány již jen na projekty, které byly schválen</w:t>
      </w:r>
      <w:r w:rsidR="001E2942">
        <w:rPr>
          <w:rFonts w:cs="Arial"/>
          <w:szCs w:val="22"/>
        </w:rPr>
        <w:t>y</w:t>
      </w:r>
      <w:r w:rsidRPr="00430CFE">
        <w:rPr>
          <w:rFonts w:cs="Arial"/>
          <w:szCs w:val="22"/>
        </w:rPr>
        <w:t xml:space="preserve"> k 22. září 2010</w:t>
      </w:r>
      <w:r w:rsidRPr="00430CFE">
        <w:rPr>
          <w:rStyle w:val="Znakapoznpodarou"/>
          <w:rFonts w:cs="Arial"/>
          <w:szCs w:val="22"/>
        </w:rPr>
        <w:footnoteReference w:id="13"/>
      </w:r>
      <w:r w:rsidRPr="00430CFE">
        <w:rPr>
          <w:rFonts w:cs="Arial"/>
          <w:szCs w:val="22"/>
        </w:rPr>
        <w:t xml:space="preserve">. Státní rozpočet se tak po 31. prosinci 2010 již nepodílí na spolufinancování nových projektů, tj. projektů schválených </w:t>
      </w:r>
      <w:r w:rsidR="001E2942">
        <w:rPr>
          <w:rFonts w:cs="Arial"/>
          <w:szCs w:val="22"/>
        </w:rPr>
        <w:t>Z</w:t>
      </w:r>
      <w:r w:rsidRPr="00430CFE">
        <w:rPr>
          <w:rFonts w:cs="Arial"/>
          <w:szCs w:val="22"/>
        </w:rPr>
        <w:t>astupitelstvem hl. m. Prahy po 22. září 2010</w:t>
      </w:r>
      <w:bookmarkStart w:id="4" w:name="_Ref318975294"/>
      <w:r w:rsidRPr="00430CFE">
        <w:rPr>
          <w:rStyle w:val="Znakapoznpodarou"/>
          <w:rFonts w:cs="Arial"/>
          <w:szCs w:val="22"/>
        </w:rPr>
        <w:footnoteReference w:id="14"/>
      </w:r>
      <w:bookmarkEnd w:id="4"/>
      <w:r w:rsidRPr="00430CFE">
        <w:rPr>
          <w:rFonts w:cs="Arial"/>
          <w:szCs w:val="22"/>
        </w:rPr>
        <w:t>. Předfinancování OPPA probíhá ze státního rozpoč</w:t>
      </w:r>
      <w:r w:rsidR="004B15CF">
        <w:rPr>
          <w:rFonts w:cs="Arial"/>
          <w:szCs w:val="22"/>
        </w:rPr>
        <w:t>tu prostřednictvím kapitoly 317 </w:t>
      </w:r>
      <w:r w:rsidRPr="00430CFE">
        <w:rPr>
          <w:rFonts w:cs="Arial"/>
          <w:szCs w:val="22"/>
        </w:rPr>
        <w:t xml:space="preserve">– </w:t>
      </w:r>
      <w:r w:rsidRPr="00430CFE">
        <w:rPr>
          <w:rFonts w:cs="Arial"/>
          <w:i/>
          <w:szCs w:val="22"/>
        </w:rPr>
        <w:t>Ministerstvo pro místní rozvoj</w:t>
      </w:r>
      <w:r w:rsidRPr="00430CFE">
        <w:rPr>
          <w:rFonts w:cs="Arial"/>
          <w:szCs w:val="22"/>
        </w:rPr>
        <w:t xml:space="preserve">. MMR poskytuje HMP prostředky formou dotace, a to vždy na příslušný rok </w:t>
      </w:r>
      <w:r>
        <w:rPr>
          <w:rFonts w:cs="Arial"/>
          <w:i/>
          <w:szCs w:val="22"/>
        </w:rPr>
        <w:t>rozhodnutím o poskytnutí dotace</w:t>
      </w:r>
      <w:r>
        <w:rPr>
          <w:rFonts w:cs="Arial"/>
          <w:szCs w:val="22"/>
        </w:rPr>
        <w:t xml:space="preserve"> na základě </w:t>
      </w:r>
      <w:r w:rsidR="001E2942">
        <w:rPr>
          <w:rFonts w:cs="Arial"/>
          <w:i/>
          <w:szCs w:val="22"/>
        </w:rPr>
        <w:t>p</w:t>
      </w:r>
      <w:r w:rsidRPr="008F145A">
        <w:rPr>
          <w:rFonts w:cs="Arial"/>
          <w:i/>
          <w:szCs w:val="22"/>
        </w:rPr>
        <w:t xml:space="preserve">řehledu </w:t>
      </w:r>
      <w:r w:rsidR="008F145A">
        <w:rPr>
          <w:rFonts w:cs="Arial"/>
          <w:i/>
          <w:szCs w:val="22"/>
        </w:rPr>
        <w:t xml:space="preserve">uskutečněných a plánovaných výdajů programu </w:t>
      </w:r>
      <w:r w:rsidR="008F145A" w:rsidRPr="008F145A">
        <w:rPr>
          <w:rFonts w:cs="Arial"/>
          <w:szCs w:val="22"/>
        </w:rPr>
        <w:t>za příslušné čtvrtletí</w:t>
      </w:r>
      <w:r w:rsidR="008F145A">
        <w:rPr>
          <w:rFonts w:cs="Arial"/>
          <w:i/>
          <w:szCs w:val="22"/>
        </w:rPr>
        <w:t xml:space="preserve"> </w:t>
      </w:r>
      <w:r>
        <w:rPr>
          <w:rFonts w:cs="Arial"/>
          <w:szCs w:val="22"/>
        </w:rPr>
        <w:t xml:space="preserve">od HMP. </w:t>
      </w:r>
    </w:p>
    <w:p w:rsidR="00B1411D" w:rsidRPr="00430CFE" w:rsidRDefault="00B1411D" w:rsidP="00430CFE">
      <w:pPr>
        <w:widowControl w:val="0"/>
        <w:rPr>
          <w:rFonts w:cs="Arial"/>
          <w:szCs w:val="22"/>
          <w:lang w:eastAsia="cs-CZ"/>
        </w:rPr>
      </w:pPr>
    </w:p>
    <w:p w:rsidR="00702E89" w:rsidRDefault="0011375D" w:rsidP="00702E89">
      <w:pPr>
        <w:rPr>
          <w:rFonts w:cs="Arial"/>
        </w:rPr>
      </w:pPr>
      <w:r>
        <w:rPr>
          <w:rFonts w:cs="Arial"/>
        </w:rPr>
        <w:t>V </w:t>
      </w:r>
      <w:r w:rsidR="00702E89" w:rsidRPr="009A281C">
        <w:rPr>
          <w:rFonts w:cs="Arial"/>
        </w:rPr>
        <w:t xml:space="preserve">rámci OPPA </w:t>
      </w:r>
      <w:r w:rsidR="00702E89">
        <w:rPr>
          <w:rFonts w:cs="Arial"/>
        </w:rPr>
        <w:t>je</w:t>
      </w:r>
      <w:r w:rsidR="00702E89" w:rsidRPr="009A281C">
        <w:rPr>
          <w:rFonts w:cs="Arial"/>
        </w:rPr>
        <w:t xml:space="preserve"> možn</w:t>
      </w:r>
      <w:r w:rsidR="001E2942">
        <w:rPr>
          <w:rFonts w:cs="Arial"/>
        </w:rPr>
        <w:t>é</w:t>
      </w:r>
      <w:r w:rsidR="00702E89" w:rsidRPr="009A281C">
        <w:rPr>
          <w:rFonts w:cs="Arial"/>
        </w:rPr>
        <w:t xml:space="preserve"> realizovat individuální komplexní a individuální grantové projekty. </w:t>
      </w:r>
      <w:r w:rsidR="00702E89" w:rsidRPr="00702E89">
        <w:rPr>
          <w:rFonts w:cs="Arial"/>
        </w:rPr>
        <w:t>Individuální komplexní projekty</w:t>
      </w:r>
      <w:r w:rsidR="00702E89" w:rsidRPr="00944305">
        <w:rPr>
          <w:rFonts w:cs="Arial"/>
        </w:rPr>
        <w:t xml:space="preserve"> </w:t>
      </w:r>
      <w:r w:rsidR="00702E89" w:rsidRPr="009A281C">
        <w:rPr>
          <w:rFonts w:cs="Arial"/>
        </w:rPr>
        <w:t xml:space="preserve">slouží </w:t>
      </w:r>
      <w:r w:rsidR="00174218">
        <w:rPr>
          <w:rFonts w:cs="Arial"/>
        </w:rPr>
        <w:t>k </w:t>
      </w:r>
      <w:r w:rsidR="00702E89" w:rsidRPr="009A281C">
        <w:rPr>
          <w:rFonts w:cs="Arial"/>
        </w:rPr>
        <w:t xml:space="preserve">vytvoření, dobudování či modernizaci struktur pro poskytování veřejných služeb </w:t>
      </w:r>
      <w:r>
        <w:rPr>
          <w:rFonts w:cs="Arial"/>
        </w:rPr>
        <w:t>v </w:t>
      </w:r>
      <w:r w:rsidR="00702E89" w:rsidRPr="009A281C">
        <w:rPr>
          <w:rFonts w:cs="Arial"/>
        </w:rPr>
        <w:t xml:space="preserve">oblastech </w:t>
      </w:r>
      <w:r w:rsidR="00702E89">
        <w:rPr>
          <w:rFonts w:cs="Arial"/>
        </w:rPr>
        <w:t xml:space="preserve">vymezených programem. </w:t>
      </w:r>
      <w:r w:rsidR="00702E89" w:rsidRPr="009A281C">
        <w:rPr>
          <w:rFonts w:cs="Arial"/>
        </w:rPr>
        <w:t>Komplexní projekty</w:t>
      </w:r>
      <w:r w:rsidR="00702E89">
        <w:rPr>
          <w:rFonts w:cs="Arial"/>
        </w:rPr>
        <w:t xml:space="preserve"> jsou realizovány pouze odbory </w:t>
      </w:r>
      <w:r w:rsidR="00702E89" w:rsidRPr="009A281C">
        <w:rPr>
          <w:rFonts w:cs="Arial"/>
        </w:rPr>
        <w:t>HMP</w:t>
      </w:r>
      <w:r w:rsidR="00702E89">
        <w:rPr>
          <w:rFonts w:cs="Arial"/>
        </w:rPr>
        <w:t xml:space="preserve"> a f</w:t>
      </w:r>
      <w:r w:rsidR="00702E89" w:rsidRPr="009A281C">
        <w:rPr>
          <w:rFonts w:cs="Arial"/>
        </w:rPr>
        <w:t xml:space="preserve">inanční prostředky na </w:t>
      </w:r>
      <w:r w:rsidR="00702E89">
        <w:rPr>
          <w:rFonts w:cs="Arial"/>
        </w:rPr>
        <w:t xml:space="preserve">ně </w:t>
      </w:r>
      <w:r w:rsidR="00702E89" w:rsidRPr="009A281C">
        <w:rPr>
          <w:rFonts w:cs="Arial"/>
        </w:rPr>
        <w:t xml:space="preserve">jsou </w:t>
      </w:r>
      <w:r w:rsidR="001E2942">
        <w:rPr>
          <w:rFonts w:cs="Arial"/>
        </w:rPr>
        <w:t>poskytovány</w:t>
      </w:r>
      <w:r w:rsidR="00702E89" w:rsidRPr="009A281C">
        <w:rPr>
          <w:rFonts w:cs="Arial"/>
        </w:rPr>
        <w:t xml:space="preserve"> přímým přidělením.</w:t>
      </w:r>
      <w:r w:rsidR="00702E89">
        <w:rPr>
          <w:rFonts w:cs="Arial"/>
        </w:rPr>
        <w:t xml:space="preserve"> </w:t>
      </w:r>
      <w:r w:rsidR="00702E89" w:rsidRPr="00702E89">
        <w:rPr>
          <w:rFonts w:cs="Arial"/>
        </w:rPr>
        <w:t>Individuální grantové projekty</w:t>
      </w:r>
      <w:r w:rsidR="00702E89" w:rsidRPr="004A10CF">
        <w:rPr>
          <w:rFonts w:cs="Arial"/>
        </w:rPr>
        <w:t xml:space="preserve"> </w:t>
      </w:r>
      <w:r w:rsidR="00702E89" w:rsidRPr="009A281C">
        <w:rPr>
          <w:rFonts w:cs="Arial"/>
        </w:rPr>
        <w:t xml:space="preserve">jsou projekty určené </w:t>
      </w:r>
      <w:r w:rsidR="00174218">
        <w:rPr>
          <w:rFonts w:cs="Arial"/>
        </w:rPr>
        <w:t>k </w:t>
      </w:r>
      <w:r w:rsidR="00702E89" w:rsidRPr="009A281C">
        <w:rPr>
          <w:rFonts w:cs="Arial"/>
        </w:rPr>
        <w:t xml:space="preserve">realizaci </w:t>
      </w:r>
      <w:r w:rsidR="00702E89">
        <w:rPr>
          <w:rFonts w:cs="Arial"/>
        </w:rPr>
        <w:t>a dalšímu rozvíjení národních a </w:t>
      </w:r>
      <w:r w:rsidR="00702E89" w:rsidRPr="009A281C">
        <w:rPr>
          <w:rFonts w:cs="Arial"/>
        </w:rPr>
        <w:t>regionálních</w:t>
      </w:r>
      <w:r w:rsidR="00702E89">
        <w:rPr>
          <w:rFonts w:cs="Arial"/>
        </w:rPr>
        <w:t xml:space="preserve"> politik a programů na území hlavního města</w:t>
      </w:r>
      <w:r w:rsidR="00702E89" w:rsidRPr="009A281C">
        <w:rPr>
          <w:rFonts w:cs="Arial"/>
        </w:rPr>
        <w:t xml:space="preserve"> Prahy.</w:t>
      </w:r>
      <w:r w:rsidR="00702E89">
        <w:rPr>
          <w:rFonts w:cs="Arial"/>
        </w:rPr>
        <w:t xml:space="preserve"> </w:t>
      </w:r>
      <w:r w:rsidR="00702E89" w:rsidRPr="009A281C">
        <w:rPr>
          <w:rFonts w:cs="Arial"/>
        </w:rPr>
        <w:t>Finanční prostředky</w:t>
      </w:r>
      <w:r w:rsidR="00702E89">
        <w:rPr>
          <w:rFonts w:cs="Arial"/>
        </w:rPr>
        <w:t xml:space="preserve"> na ně</w:t>
      </w:r>
      <w:r w:rsidR="00702E89" w:rsidRPr="009A281C">
        <w:rPr>
          <w:rFonts w:cs="Arial"/>
        </w:rPr>
        <w:t xml:space="preserve"> jsou </w:t>
      </w:r>
      <w:r w:rsidR="001E2942">
        <w:rPr>
          <w:rFonts w:cs="Arial"/>
        </w:rPr>
        <w:t>určeny</w:t>
      </w:r>
      <w:r w:rsidR="00702E89" w:rsidRPr="009A281C">
        <w:rPr>
          <w:rFonts w:cs="Arial"/>
        </w:rPr>
        <w:t xml:space="preserve"> výzvou </w:t>
      </w:r>
      <w:r w:rsidR="00174218">
        <w:rPr>
          <w:rFonts w:cs="Arial"/>
        </w:rPr>
        <w:t>k </w:t>
      </w:r>
      <w:r w:rsidR="00702E89" w:rsidRPr="009A281C">
        <w:rPr>
          <w:rFonts w:cs="Arial"/>
        </w:rPr>
        <w:t>předkládání projektovýc</w:t>
      </w:r>
      <w:r w:rsidR="00702E89">
        <w:rPr>
          <w:rFonts w:cs="Arial"/>
        </w:rPr>
        <w:t>h žádostí vyhlašovanou Radou hlavního města</w:t>
      </w:r>
      <w:r w:rsidR="00702E89" w:rsidRPr="009A281C">
        <w:rPr>
          <w:rFonts w:cs="Arial"/>
        </w:rPr>
        <w:t xml:space="preserve"> Prahy.</w:t>
      </w:r>
      <w:r w:rsidR="00702E89">
        <w:rPr>
          <w:rFonts w:cs="Arial"/>
        </w:rPr>
        <w:t xml:space="preserve"> </w:t>
      </w:r>
      <w:r w:rsidR="00702E89" w:rsidRPr="009A281C">
        <w:rPr>
          <w:rFonts w:cs="Arial"/>
        </w:rPr>
        <w:t xml:space="preserve">Oprávněným žadatelem může být pouze </w:t>
      </w:r>
      <w:r w:rsidR="00702E89">
        <w:rPr>
          <w:rFonts w:cs="Arial"/>
        </w:rPr>
        <w:t>právnická nebo fyzická osoba</w:t>
      </w:r>
      <w:r w:rsidR="00702E89" w:rsidRPr="009A281C">
        <w:rPr>
          <w:rFonts w:cs="Arial"/>
        </w:rPr>
        <w:t>, která</w:t>
      </w:r>
      <w:r w:rsidR="00702E89">
        <w:rPr>
          <w:rFonts w:cs="Arial"/>
        </w:rPr>
        <w:t xml:space="preserve"> je </w:t>
      </w:r>
      <w:r w:rsidR="00187279">
        <w:rPr>
          <w:rFonts w:cs="Arial"/>
        </w:rPr>
        <w:t xml:space="preserve">subjektem </w:t>
      </w:r>
      <w:r w:rsidR="00702E89">
        <w:rPr>
          <w:rFonts w:cs="Arial"/>
        </w:rPr>
        <w:t xml:space="preserve">registrovaným </w:t>
      </w:r>
      <w:r>
        <w:rPr>
          <w:rFonts w:cs="Arial"/>
        </w:rPr>
        <w:t>v </w:t>
      </w:r>
      <w:r w:rsidR="00702E89">
        <w:rPr>
          <w:rFonts w:cs="Arial"/>
        </w:rPr>
        <w:t xml:space="preserve">ČR.  </w:t>
      </w:r>
    </w:p>
    <w:p w:rsidR="00702E89" w:rsidRDefault="00702E89" w:rsidP="00702E89">
      <w:pPr>
        <w:rPr>
          <w:rFonts w:cs="Arial"/>
        </w:rPr>
      </w:pPr>
    </w:p>
    <w:p w:rsidR="0050662D" w:rsidRDefault="008F145A" w:rsidP="008F145A">
      <w:pPr>
        <w:rPr>
          <w:rFonts w:cs="Arial"/>
          <w:szCs w:val="22"/>
        </w:rPr>
      </w:pPr>
      <w:r w:rsidRPr="0050083F">
        <w:rPr>
          <w:i/>
          <w:lang w:eastAsia="cs-CZ"/>
        </w:rPr>
        <w:t>Jednotný programový dokument pro Cíl 3 regionu NUTS 2 hlavní město Praha</w:t>
      </w:r>
      <w:r>
        <w:rPr>
          <w:lang w:eastAsia="cs-CZ"/>
        </w:rPr>
        <w:t xml:space="preserve"> (dále též „JPD 3“) </w:t>
      </w:r>
      <w:r w:rsidRPr="00F37A6A">
        <w:rPr>
          <w:lang w:eastAsia="cs-CZ"/>
        </w:rPr>
        <w:t xml:space="preserve">byl referenčním dokumentem, na jehož základě byla poskytována podpora rozvoji lidských zdrojů na území hlavního města Prahy </w:t>
      </w:r>
      <w:r w:rsidR="00174218">
        <w:rPr>
          <w:lang w:eastAsia="cs-CZ"/>
        </w:rPr>
        <w:t>s </w:t>
      </w:r>
      <w:r w:rsidRPr="00F37A6A">
        <w:rPr>
          <w:lang w:eastAsia="cs-CZ"/>
        </w:rPr>
        <w:t xml:space="preserve">využitím zdrojů ESF </w:t>
      </w:r>
      <w:r>
        <w:rPr>
          <w:lang w:eastAsia="cs-CZ"/>
        </w:rPr>
        <w:t xml:space="preserve">a českých národních zdrojů (rozpočtu České republiky a rozpočtu hlavního města Prahy) </w:t>
      </w:r>
      <w:r w:rsidR="0011375D">
        <w:rPr>
          <w:lang w:eastAsia="cs-CZ"/>
        </w:rPr>
        <w:t>v </w:t>
      </w:r>
      <w:r>
        <w:rPr>
          <w:lang w:eastAsia="cs-CZ"/>
        </w:rPr>
        <w:t>programovém období 2004</w:t>
      </w:r>
      <w:r w:rsidR="005708E8">
        <w:rPr>
          <w:lang w:eastAsia="cs-CZ"/>
        </w:rPr>
        <w:t>–</w:t>
      </w:r>
      <w:r>
        <w:rPr>
          <w:lang w:eastAsia="cs-CZ"/>
        </w:rPr>
        <w:t xml:space="preserve">2006. JPD 3 byl schválen Evropskou komisí </w:t>
      </w:r>
      <w:r w:rsidR="0011375D">
        <w:rPr>
          <w:lang w:eastAsia="cs-CZ"/>
        </w:rPr>
        <w:t>v </w:t>
      </w:r>
      <w:r>
        <w:rPr>
          <w:lang w:eastAsia="cs-CZ"/>
        </w:rPr>
        <w:t>červenci 2004.</w:t>
      </w:r>
      <w:r w:rsidR="00A94606">
        <w:rPr>
          <w:lang w:eastAsia="cs-CZ"/>
        </w:rPr>
        <w:t xml:space="preserve"> </w:t>
      </w:r>
      <w:r w:rsidRPr="005D3EFC">
        <w:rPr>
          <w:rFonts w:cs="Arial"/>
          <w:szCs w:val="22"/>
        </w:rPr>
        <w:t>Globálním cílem JPD 3 bylo vytvoření efektivního trhu práce založeného na kvalifikované pracovní síle, konkurenceschopnosti zaměstnavatelů, využití výzkum</w:t>
      </w:r>
      <w:r w:rsidR="00187279">
        <w:rPr>
          <w:rFonts w:cs="Arial"/>
          <w:szCs w:val="22"/>
        </w:rPr>
        <w:t xml:space="preserve">ného a </w:t>
      </w:r>
      <w:r w:rsidRPr="005D3EFC">
        <w:rPr>
          <w:rFonts w:cs="Arial"/>
          <w:szCs w:val="22"/>
        </w:rPr>
        <w:t xml:space="preserve">vývojového potenciálu regionu, sociální integraci ohrožených skupin a rovnosti příležitostí při respektování zásad udržitelného rozvoje. </w:t>
      </w:r>
    </w:p>
    <w:p w:rsidR="0050662D" w:rsidRDefault="0050662D" w:rsidP="008F145A">
      <w:pPr>
        <w:rPr>
          <w:rFonts w:cs="Arial"/>
          <w:szCs w:val="22"/>
        </w:rPr>
      </w:pPr>
    </w:p>
    <w:p w:rsidR="008F145A" w:rsidRPr="0050662D" w:rsidRDefault="0050662D" w:rsidP="008F145A">
      <w:pPr>
        <w:rPr>
          <w:szCs w:val="22"/>
          <w:lang w:eastAsia="cs-CZ"/>
        </w:rPr>
      </w:pPr>
      <w:r w:rsidRPr="0050662D">
        <w:rPr>
          <w:rFonts w:cs="Arial"/>
          <w:color w:val="000000"/>
          <w:szCs w:val="22"/>
        </w:rPr>
        <w:t xml:space="preserve">OPPA věcně navazuje na JPD 3 </w:t>
      </w:r>
      <w:r w:rsidR="0011375D">
        <w:rPr>
          <w:rFonts w:cs="Arial"/>
          <w:color w:val="000000"/>
          <w:szCs w:val="22"/>
        </w:rPr>
        <w:t>v</w:t>
      </w:r>
      <w:r w:rsidR="00187279">
        <w:rPr>
          <w:rFonts w:cs="Arial"/>
          <w:color w:val="000000"/>
          <w:szCs w:val="22"/>
        </w:rPr>
        <w:t> </w:t>
      </w:r>
      <w:r w:rsidRPr="0050662D">
        <w:rPr>
          <w:rFonts w:cs="Arial"/>
          <w:color w:val="000000"/>
          <w:szCs w:val="22"/>
        </w:rPr>
        <w:t>oblastech</w:t>
      </w:r>
      <w:r w:rsidR="00187279">
        <w:rPr>
          <w:rFonts w:cs="Arial"/>
          <w:color w:val="000000"/>
          <w:szCs w:val="22"/>
        </w:rPr>
        <w:t>,</w:t>
      </w:r>
      <w:r w:rsidRPr="0050662D">
        <w:rPr>
          <w:rFonts w:cs="Arial"/>
          <w:color w:val="000000"/>
          <w:szCs w:val="22"/>
        </w:rPr>
        <w:t xml:space="preserve"> jako je podpor</w:t>
      </w:r>
      <w:r w:rsidR="005708E8">
        <w:rPr>
          <w:rFonts w:cs="Arial"/>
          <w:color w:val="000000"/>
          <w:szCs w:val="22"/>
        </w:rPr>
        <w:t>a adaptability zaměstnavatelů a </w:t>
      </w:r>
      <w:r w:rsidRPr="0050662D">
        <w:rPr>
          <w:rFonts w:cs="Arial"/>
          <w:color w:val="000000"/>
          <w:szCs w:val="22"/>
        </w:rPr>
        <w:t>zaměstnanců, podpora integrace znevýhodněných na trhu práce a podpora celoživotního učení. Prioritní osa 3 OPPA přímo navazuje na opatření 3.1 JPD 3</w:t>
      </w:r>
      <w:r w:rsidRPr="0050662D">
        <w:rPr>
          <w:rStyle w:val="Znakapoznpodarou"/>
          <w:rFonts w:cs="Arial"/>
          <w:color w:val="000000"/>
          <w:szCs w:val="22"/>
        </w:rPr>
        <w:footnoteReference w:id="15"/>
      </w:r>
      <w:r w:rsidRPr="0050662D">
        <w:rPr>
          <w:rFonts w:cs="Arial"/>
          <w:color w:val="000000"/>
          <w:szCs w:val="22"/>
        </w:rPr>
        <w:t>. Prioritní osa 2 OPPA navazuje na všechna tři opatření priority 2 JPD 3</w:t>
      </w:r>
      <w:r w:rsidRPr="0050662D">
        <w:rPr>
          <w:rStyle w:val="Znakapoznpodarou"/>
          <w:rFonts w:cs="Arial"/>
          <w:color w:val="000000"/>
          <w:szCs w:val="22"/>
        </w:rPr>
        <w:footnoteReference w:id="16"/>
      </w:r>
      <w:r w:rsidRPr="0050662D">
        <w:rPr>
          <w:rFonts w:cs="Arial"/>
          <w:color w:val="000000"/>
          <w:szCs w:val="22"/>
        </w:rPr>
        <w:t xml:space="preserve"> a prioritní osa 1 přebírá </w:t>
      </w:r>
      <w:r w:rsidR="0011375D">
        <w:rPr>
          <w:rFonts w:cs="Arial"/>
          <w:color w:val="000000"/>
          <w:szCs w:val="22"/>
        </w:rPr>
        <w:t>v </w:t>
      </w:r>
      <w:r w:rsidRPr="0050662D">
        <w:rPr>
          <w:rFonts w:cs="Arial"/>
          <w:color w:val="000000"/>
          <w:szCs w:val="22"/>
        </w:rPr>
        <w:t>mnohém podporované aktivity z priority 4 JPD 3</w:t>
      </w:r>
      <w:r w:rsidRPr="0050662D">
        <w:rPr>
          <w:rStyle w:val="Znakapoznpodarou"/>
          <w:rFonts w:cs="Arial"/>
          <w:color w:val="000000"/>
          <w:szCs w:val="22"/>
        </w:rPr>
        <w:footnoteReference w:id="17"/>
      </w:r>
      <w:r w:rsidRPr="0050662D">
        <w:rPr>
          <w:rFonts w:cs="Arial"/>
          <w:color w:val="000000"/>
          <w:szCs w:val="22"/>
        </w:rPr>
        <w:t>. Nejslabším článkem intervence JPD 3</w:t>
      </w:r>
      <w:r w:rsidRPr="0050662D">
        <w:rPr>
          <w:rStyle w:val="Znakapoznpodarou"/>
          <w:rFonts w:cs="Arial"/>
          <w:color w:val="000000"/>
          <w:szCs w:val="22"/>
        </w:rPr>
        <w:footnoteReference w:id="18"/>
      </w:r>
      <w:r w:rsidRPr="0050662D">
        <w:rPr>
          <w:rFonts w:cs="Arial"/>
          <w:color w:val="000000"/>
          <w:szCs w:val="22"/>
        </w:rPr>
        <w:t xml:space="preserve"> byla oblast posilování aktivní politiky zaměstnanosti, kdy zacílení programu nedostatečně reflektovalo specifika trhu práce </w:t>
      </w:r>
      <w:r w:rsidR="0011375D">
        <w:rPr>
          <w:rFonts w:cs="Arial"/>
          <w:color w:val="000000"/>
          <w:szCs w:val="22"/>
        </w:rPr>
        <w:t>v </w:t>
      </w:r>
      <w:r w:rsidRPr="0050662D">
        <w:rPr>
          <w:rFonts w:cs="Arial"/>
          <w:color w:val="000000"/>
          <w:szCs w:val="22"/>
        </w:rPr>
        <w:t xml:space="preserve">hlavním městě Praze. </w:t>
      </w:r>
      <w:r w:rsidR="00AF43BE">
        <w:rPr>
          <w:rFonts w:cs="Arial"/>
          <w:color w:val="000000"/>
          <w:szCs w:val="22"/>
        </w:rPr>
        <w:t xml:space="preserve">Z tohoto důvodu </w:t>
      </w:r>
      <w:r w:rsidRPr="0050662D">
        <w:rPr>
          <w:rFonts w:cs="Arial"/>
          <w:color w:val="000000"/>
          <w:szCs w:val="22"/>
        </w:rPr>
        <w:t>OPPA neobsahuje oblasti těchto intervencí, ale soustřeďuje se na opatření ve prospěch osob na trhu práce znevýhodněných a na posilování celoživotního učení</w:t>
      </w:r>
      <w:r>
        <w:rPr>
          <w:rFonts w:cs="Arial"/>
          <w:color w:val="000000"/>
          <w:szCs w:val="22"/>
        </w:rPr>
        <w:t>.</w:t>
      </w:r>
    </w:p>
    <w:p w:rsidR="00C112BF" w:rsidRPr="00777A92" w:rsidRDefault="00C112BF" w:rsidP="00C112BF">
      <w:pPr>
        <w:ind w:left="993" w:hanging="993"/>
        <w:rPr>
          <w:rFonts w:cs="Arial"/>
          <w:iCs/>
          <w:sz w:val="18"/>
          <w:szCs w:val="18"/>
        </w:rPr>
      </w:pPr>
    </w:p>
    <w:p w:rsidR="00C112BF" w:rsidRPr="005708E8" w:rsidRDefault="004B15CF" w:rsidP="000476F2">
      <w:pPr>
        <w:ind w:left="584" w:hanging="584"/>
        <w:rPr>
          <w:rFonts w:cs="Arial"/>
          <w:iCs/>
          <w:sz w:val="18"/>
          <w:szCs w:val="18"/>
        </w:rPr>
      </w:pPr>
      <w:r w:rsidRPr="000476F2">
        <w:rPr>
          <w:rFonts w:cs="Arial"/>
          <w:b/>
          <w:iCs/>
          <w:sz w:val="18"/>
          <w:szCs w:val="18"/>
        </w:rPr>
        <w:t>Pozn</w:t>
      </w:r>
      <w:r w:rsidR="00187279" w:rsidRPr="000476F2">
        <w:rPr>
          <w:rFonts w:cs="Arial"/>
          <w:b/>
          <w:iCs/>
          <w:sz w:val="18"/>
          <w:szCs w:val="18"/>
        </w:rPr>
        <w:t>.:</w:t>
      </w:r>
      <w:r w:rsidR="00C112BF" w:rsidRPr="005708E8">
        <w:rPr>
          <w:rFonts w:cs="Arial"/>
          <w:iCs/>
          <w:sz w:val="18"/>
          <w:szCs w:val="18"/>
        </w:rPr>
        <w:t xml:space="preserve"> </w:t>
      </w:r>
      <w:r w:rsidR="00187279">
        <w:rPr>
          <w:rFonts w:cs="Arial"/>
          <w:iCs/>
          <w:sz w:val="18"/>
          <w:szCs w:val="18"/>
        </w:rPr>
        <w:t>P</w:t>
      </w:r>
      <w:r w:rsidR="00C112BF" w:rsidRPr="005708E8">
        <w:rPr>
          <w:rFonts w:cs="Arial"/>
          <w:iCs/>
          <w:sz w:val="18"/>
          <w:szCs w:val="18"/>
        </w:rPr>
        <w:t xml:space="preserve">rávní předpisy uváděné </w:t>
      </w:r>
      <w:r w:rsidR="0011375D">
        <w:rPr>
          <w:rFonts w:cs="Arial"/>
          <w:iCs/>
          <w:sz w:val="18"/>
          <w:szCs w:val="18"/>
        </w:rPr>
        <w:t>v </w:t>
      </w:r>
      <w:r w:rsidR="00C112BF" w:rsidRPr="005708E8">
        <w:rPr>
          <w:rFonts w:cs="Arial"/>
          <w:iCs/>
          <w:sz w:val="18"/>
          <w:szCs w:val="18"/>
        </w:rPr>
        <w:t xml:space="preserve">tomto kontrolním závěru jsou aplikovány ve znění účinném pro kontrolované období. </w:t>
      </w:r>
    </w:p>
    <w:p w:rsidR="00C112BF" w:rsidRPr="00777A92" w:rsidRDefault="00C112BF" w:rsidP="00C112BF">
      <w:pPr>
        <w:rPr>
          <w:rFonts w:cs="Arial"/>
          <w:color w:val="000000"/>
          <w:szCs w:val="22"/>
          <w:lang w:eastAsia="cs-CZ"/>
        </w:rPr>
      </w:pPr>
    </w:p>
    <w:p w:rsidR="00D70D8F" w:rsidRPr="00777A92" w:rsidRDefault="00D70D8F" w:rsidP="00C112BF">
      <w:pPr>
        <w:jc w:val="center"/>
        <w:rPr>
          <w:rFonts w:cs="Arial"/>
          <w:b/>
          <w:bCs/>
          <w:sz w:val="24"/>
        </w:rPr>
      </w:pPr>
    </w:p>
    <w:p w:rsidR="00C112BF" w:rsidRPr="00777A92" w:rsidRDefault="00C112BF" w:rsidP="00C112BF">
      <w:pPr>
        <w:jc w:val="center"/>
        <w:rPr>
          <w:rFonts w:cs="Arial"/>
          <w:b/>
          <w:bCs/>
          <w:sz w:val="24"/>
        </w:rPr>
      </w:pPr>
      <w:r w:rsidRPr="00777A92">
        <w:rPr>
          <w:rFonts w:cs="Arial"/>
          <w:b/>
          <w:bCs/>
          <w:sz w:val="24"/>
        </w:rPr>
        <w:t xml:space="preserve">II. </w:t>
      </w:r>
      <w:r w:rsidR="00644C00">
        <w:rPr>
          <w:rFonts w:cs="Arial"/>
          <w:b/>
          <w:bCs/>
          <w:sz w:val="24"/>
        </w:rPr>
        <w:t>Skutečnosti zjištěné při kontrole</w:t>
      </w:r>
    </w:p>
    <w:p w:rsidR="00A94606" w:rsidRDefault="00A94606" w:rsidP="00A94606">
      <w:pPr>
        <w:shd w:val="clear" w:color="auto" w:fill="FFFFFF"/>
        <w:rPr>
          <w:rFonts w:cs="Arial"/>
        </w:rPr>
      </w:pPr>
    </w:p>
    <w:p w:rsidR="00A94606" w:rsidRDefault="00A94606" w:rsidP="00A94606">
      <w:pPr>
        <w:shd w:val="clear" w:color="auto" w:fill="FFFFFF"/>
        <w:rPr>
          <w:rFonts w:cs="Arial"/>
          <w:lang w:eastAsia="cs-CZ"/>
        </w:rPr>
      </w:pPr>
      <w:r w:rsidRPr="00777A92">
        <w:rPr>
          <w:rFonts w:cs="Arial"/>
        </w:rPr>
        <w:t>Předmětem kontrol</w:t>
      </w:r>
      <w:r w:rsidR="00424B4F">
        <w:rPr>
          <w:rFonts w:cs="Arial"/>
        </w:rPr>
        <w:t>ní akce</w:t>
      </w:r>
      <w:r w:rsidRPr="00777A92">
        <w:rPr>
          <w:rFonts w:cs="Arial"/>
        </w:rPr>
        <w:t xml:space="preserve"> </w:t>
      </w:r>
      <w:r w:rsidR="002F0BC3">
        <w:rPr>
          <w:rFonts w:cs="Arial"/>
        </w:rPr>
        <w:t xml:space="preserve">NKÚ č. 11/35 </w:t>
      </w:r>
      <w:r w:rsidRPr="00777A92">
        <w:rPr>
          <w:rFonts w:cs="Arial"/>
        </w:rPr>
        <w:t>byla především realizace</w:t>
      </w:r>
      <w:r w:rsidR="0084073F">
        <w:rPr>
          <w:rFonts w:cs="Arial"/>
        </w:rPr>
        <w:t xml:space="preserve"> OPPA </w:t>
      </w:r>
      <w:r w:rsidR="0011375D">
        <w:rPr>
          <w:rFonts w:cs="Arial"/>
        </w:rPr>
        <w:t>v </w:t>
      </w:r>
      <w:r w:rsidR="0084073F">
        <w:rPr>
          <w:rFonts w:cs="Arial"/>
        </w:rPr>
        <w:t>programovém období 2007</w:t>
      </w:r>
      <w:r w:rsidR="005708E8">
        <w:rPr>
          <w:rFonts w:cs="Arial"/>
        </w:rPr>
        <w:t>–</w:t>
      </w:r>
      <w:r w:rsidRPr="00777A92">
        <w:rPr>
          <w:rFonts w:cs="Arial"/>
        </w:rPr>
        <w:t xml:space="preserve">2013, </w:t>
      </w:r>
      <w:r w:rsidR="00424B4F">
        <w:rPr>
          <w:rFonts w:cs="Arial"/>
        </w:rPr>
        <w:t>kontrolovány byly jak</w:t>
      </w:r>
      <w:r w:rsidRPr="00777A92">
        <w:rPr>
          <w:rFonts w:cs="Arial"/>
        </w:rPr>
        <w:t xml:space="preserve"> vybran</w:t>
      </w:r>
      <w:r w:rsidR="00424B4F">
        <w:rPr>
          <w:rFonts w:cs="Arial"/>
        </w:rPr>
        <w:t>é</w:t>
      </w:r>
      <w:r w:rsidRPr="00777A92">
        <w:rPr>
          <w:rFonts w:cs="Arial"/>
        </w:rPr>
        <w:t xml:space="preserve"> projekt</w:t>
      </w:r>
      <w:r w:rsidR="00424B4F">
        <w:rPr>
          <w:rFonts w:cs="Arial"/>
        </w:rPr>
        <w:t>y</w:t>
      </w:r>
      <w:r w:rsidRPr="00777A92">
        <w:rPr>
          <w:rFonts w:cs="Arial"/>
        </w:rPr>
        <w:t xml:space="preserve">, tak </w:t>
      </w:r>
      <w:r w:rsidR="00424B4F">
        <w:rPr>
          <w:rFonts w:cs="Arial"/>
        </w:rPr>
        <w:t>i</w:t>
      </w:r>
      <w:r w:rsidRPr="00777A92">
        <w:rPr>
          <w:rFonts w:cs="Arial"/>
        </w:rPr>
        <w:t xml:space="preserve"> funkčnost administrace projektů. U </w:t>
      </w:r>
      <w:r w:rsidRPr="00777A92">
        <w:rPr>
          <w:rFonts w:cs="Arial"/>
          <w:lang w:eastAsia="cs-CZ"/>
        </w:rPr>
        <w:t>J</w:t>
      </w:r>
      <w:r w:rsidR="0084073F">
        <w:rPr>
          <w:rFonts w:cs="Arial"/>
          <w:lang w:eastAsia="cs-CZ"/>
        </w:rPr>
        <w:t>PD 3 z programového období 2004–</w:t>
      </w:r>
      <w:r w:rsidRPr="00777A92">
        <w:rPr>
          <w:rFonts w:cs="Arial"/>
          <w:lang w:eastAsia="cs-CZ"/>
        </w:rPr>
        <w:t xml:space="preserve">2006 byla kontrola zaměřena </w:t>
      </w:r>
      <w:r>
        <w:rPr>
          <w:rFonts w:cs="Arial"/>
          <w:lang w:eastAsia="cs-CZ"/>
        </w:rPr>
        <w:t xml:space="preserve">na </w:t>
      </w:r>
      <w:r w:rsidRPr="00777A92">
        <w:rPr>
          <w:rFonts w:cs="Arial"/>
          <w:lang w:eastAsia="cs-CZ"/>
        </w:rPr>
        <w:t>plnění povinností při ukončování programu a</w:t>
      </w:r>
      <w:r w:rsidR="00424B4F">
        <w:rPr>
          <w:rFonts w:cs="Arial"/>
          <w:lang w:eastAsia="cs-CZ"/>
        </w:rPr>
        <w:t xml:space="preserve"> zároveň na to,</w:t>
      </w:r>
      <w:r w:rsidRPr="00777A92">
        <w:rPr>
          <w:rFonts w:cs="Arial"/>
          <w:lang w:eastAsia="cs-CZ"/>
        </w:rPr>
        <w:t xml:space="preserve"> zda a jak byly výstupy hodnocení JPD</w:t>
      </w:r>
      <w:r w:rsidR="001E70F2">
        <w:rPr>
          <w:rFonts w:cs="Arial"/>
          <w:lang w:eastAsia="cs-CZ"/>
        </w:rPr>
        <w:t> </w:t>
      </w:r>
      <w:r w:rsidRPr="00777A92">
        <w:rPr>
          <w:rFonts w:cs="Arial"/>
          <w:lang w:eastAsia="cs-CZ"/>
        </w:rPr>
        <w:t>3 využity při nastavení a řízení</w:t>
      </w:r>
      <w:r w:rsidR="005708E8">
        <w:rPr>
          <w:rFonts w:cs="Arial"/>
          <w:lang w:eastAsia="cs-CZ"/>
        </w:rPr>
        <w:t xml:space="preserve"> </w:t>
      </w:r>
      <w:r w:rsidRPr="00777A92">
        <w:rPr>
          <w:rFonts w:cs="Arial"/>
          <w:lang w:eastAsia="cs-CZ"/>
        </w:rPr>
        <w:t>OPPA</w:t>
      </w:r>
      <w:r w:rsidR="005708E8">
        <w:rPr>
          <w:rFonts w:cs="Arial"/>
          <w:lang w:eastAsia="cs-CZ"/>
        </w:rPr>
        <w:t xml:space="preserve"> </w:t>
      </w:r>
      <w:r w:rsidRPr="00777A92">
        <w:rPr>
          <w:rFonts w:cs="Arial"/>
          <w:lang w:eastAsia="cs-CZ"/>
        </w:rPr>
        <w:t>v </w:t>
      </w:r>
      <w:r w:rsidR="00C36893">
        <w:rPr>
          <w:rFonts w:cs="Arial"/>
          <w:lang w:eastAsia="cs-CZ"/>
        </w:rPr>
        <w:t>novém programovém období 200</w:t>
      </w:r>
      <w:r w:rsidR="00B7554C">
        <w:rPr>
          <w:rFonts w:cs="Arial"/>
          <w:lang w:eastAsia="cs-CZ"/>
        </w:rPr>
        <w:t>7–</w:t>
      </w:r>
      <w:r w:rsidRPr="00777A92">
        <w:rPr>
          <w:rFonts w:cs="Arial"/>
          <w:lang w:eastAsia="cs-CZ"/>
        </w:rPr>
        <w:t xml:space="preserve">2013. </w:t>
      </w:r>
    </w:p>
    <w:p w:rsidR="008D6843" w:rsidRDefault="008D6843" w:rsidP="00A94606">
      <w:pPr>
        <w:shd w:val="clear" w:color="auto" w:fill="FFFFFF"/>
        <w:rPr>
          <w:rFonts w:cs="Arial"/>
          <w:lang w:eastAsia="cs-CZ"/>
        </w:rPr>
      </w:pPr>
    </w:p>
    <w:p w:rsidR="008D6843" w:rsidRPr="00777A92" w:rsidRDefault="008D6843" w:rsidP="00A94606">
      <w:pPr>
        <w:shd w:val="clear" w:color="auto" w:fill="FFFFFF"/>
        <w:rPr>
          <w:rFonts w:cs="Arial"/>
        </w:rPr>
      </w:pPr>
    </w:p>
    <w:p w:rsidR="00C112BF" w:rsidRPr="00777A92" w:rsidRDefault="00C112BF" w:rsidP="00C112BF">
      <w:pPr>
        <w:jc w:val="center"/>
        <w:rPr>
          <w:rFonts w:cs="Arial"/>
          <w:b/>
          <w:bCs/>
          <w:sz w:val="24"/>
        </w:rPr>
      </w:pPr>
    </w:p>
    <w:p w:rsidR="00D70D8F" w:rsidRPr="00777A92" w:rsidRDefault="00D70D8F" w:rsidP="00C40A05">
      <w:pPr>
        <w:pStyle w:val="Odstavecseseznamem"/>
        <w:numPr>
          <w:ilvl w:val="0"/>
          <w:numId w:val="7"/>
        </w:numPr>
        <w:ind w:left="426" w:hanging="426"/>
        <w:rPr>
          <w:rFonts w:cs="Arial"/>
          <w:b/>
          <w:szCs w:val="22"/>
        </w:rPr>
      </w:pPr>
      <w:r w:rsidRPr="00777A92">
        <w:rPr>
          <w:rFonts w:cs="Arial"/>
          <w:b/>
          <w:szCs w:val="22"/>
        </w:rPr>
        <w:t>Nedostatky v systému implementace OPPA</w:t>
      </w:r>
    </w:p>
    <w:p w:rsidR="00D70D8F" w:rsidRPr="00777A92" w:rsidRDefault="00D70D8F" w:rsidP="00D70D8F">
      <w:pPr>
        <w:rPr>
          <w:rFonts w:cs="Arial"/>
          <w:b/>
          <w:szCs w:val="22"/>
        </w:rPr>
      </w:pPr>
    </w:p>
    <w:p w:rsidR="00657A0D" w:rsidRPr="0073448E" w:rsidRDefault="00C112BF" w:rsidP="00657A0D">
      <w:pPr>
        <w:rPr>
          <w:rFonts w:cs="Arial"/>
          <w:bCs/>
        </w:rPr>
      </w:pPr>
      <w:r w:rsidRPr="0073448E">
        <w:rPr>
          <w:rFonts w:cs="Arial"/>
          <w:bCs/>
        </w:rPr>
        <w:t xml:space="preserve">Podíl vyčerpaných prostředků </w:t>
      </w:r>
      <w:r w:rsidR="00DE11C6">
        <w:rPr>
          <w:rFonts w:cs="Arial"/>
          <w:bCs/>
        </w:rPr>
        <w:t>ve vztahu k </w:t>
      </w:r>
      <w:r w:rsidRPr="0073448E">
        <w:rPr>
          <w:rFonts w:cs="Arial"/>
          <w:bCs/>
        </w:rPr>
        <w:t xml:space="preserve">prostředkům přiděleným na základě </w:t>
      </w:r>
      <w:r w:rsidRPr="0073448E">
        <w:rPr>
          <w:rFonts w:cs="Arial"/>
          <w:bCs/>
          <w:i/>
        </w:rPr>
        <w:t>rozhodnutí o poskytnutí dotace</w:t>
      </w:r>
      <w:r w:rsidRPr="0073448E">
        <w:rPr>
          <w:rFonts w:cs="Arial"/>
          <w:bCs/>
        </w:rPr>
        <w:t xml:space="preserve"> v roce 2008 činil</w:t>
      </w:r>
      <w:r w:rsidRPr="0073448E">
        <w:rPr>
          <w:rFonts w:cs="Arial"/>
          <w:szCs w:val="22"/>
        </w:rPr>
        <w:t xml:space="preserve"> </w:t>
      </w:r>
      <w:r w:rsidRPr="0073448E">
        <w:rPr>
          <w:rFonts w:cs="Arial"/>
          <w:bCs/>
        </w:rPr>
        <w:t>44</w:t>
      </w:r>
      <w:r w:rsidR="00DE11C6">
        <w:rPr>
          <w:rFonts w:cs="Arial"/>
          <w:bCs/>
        </w:rPr>
        <w:t> </w:t>
      </w:r>
      <w:r w:rsidRPr="0073448E">
        <w:rPr>
          <w:rFonts w:cs="Arial"/>
          <w:bCs/>
        </w:rPr>
        <w:t>% a v roce 2009 činil 77 %.</w:t>
      </w:r>
      <w:r w:rsidR="0073448E">
        <w:rPr>
          <w:rFonts w:cs="Arial"/>
          <w:bCs/>
        </w:rPr>
        <w:t xml:space="preserve"> </w:t>
      </w:r>
      <w:r w:rsidR="0073448E">
        <w:rPr>
          <w:rFonts w:cs="Arial"/>
          <w:szCs w:val="22"/>
        </w:rPr>
        <w:t>MMR v letech 2008 a </w:t>
      </w:r>
      <w:r w:rsidR="00037CAB" w:rsidRPr="00C36893">
        <w:rPr>
          <w:rFonts w:cs="Arial"/>
          <w:szCs w:val="22"/>
        </w:rPr>
        <w:t>2009 v </w:t>
      </w:r>
      <w:r w:rsidR="00037CAB" w:rsidRPr="00C36893">
        <w:rPr>
          <w:rFonts w:cs="Arial"/>
          <w:i/>
          <w:szCs w:val="22"/>
        </w:rPr>
        <w:t>rozhodnutích o poskytnutí dotace</w:t>
      </w:r>
      <w:r w:rsidR="00037CAB" w:rsidRPr="00C36893">
        <w:rPr>
          <w:rFonts w:cs="Arial"/>
          <w:szCs w:val="22"/>
        </w:rPr>
        <w:t xml:space="preserve"> přidělovalo řídicímu orgánu (</w:t>
      </w:r>
      <w:r w:rsidR="00644C00" w:rsidRPr="00C36893">
        <w:rPr>
          <w:rFonts w:cs="Arial"/>
          <w:szCs w:val="22"/>
        </w:rPr>
        <w:t>M</w:t>
      </w:r>
      <w:r w:rsidR="00037CAB" w:rsidRPr="00C36893">
        <w:rPr>
          <w:rFonts w:cs="Arial"/>
          <w:szCs w:val="22"/>
        </w:rPr>
        <w:t xml:space="preserve">HMP) vyšší částky na předfinancování OPPA, než </w:t>
      </w:r>
      <w:r w:rsidR="00DE11C6">
        <w:rPr>
          <w:rFonts w:cs="Arial"/>
          <w:szCs w:val="22"/>
        </w:rPr>
        <w:t>jaké potom byly</w:t>
      </w:r>
      <w:r w:rsidR="00037CAB" w:rsidRPr="00C36893">
        <w:rPr>
          <w:rFonts w:cs="Arial"/>
          <w:szCs w:val="22"/>
        </w:rPr>
        <w:t xml:space="preserve"> ve skutečnosti </w:t>
      </w:r>
      <w:r w:rsidR="00DE11C6">
        <w:rPr>
          <w:rFonts w:cs="Arial"/>
          <w:szCs w:val="22"/>
        </w:rPr>
        <w:t>za</w:t>
      </w:r>
      <w:r w:rsidR="00037CAB" w:rsidRPr="00C36893">
        <w:rPr>
          <w:rFonts w:cs="Arial"/>
          <w:szCs w:val="22"/>
        </w:rPr>
        <w:t>potřeb</w:t>
      </w:r>
      <w:r w:rsidR="00DE11C6">
        <w:rPr>
          <w:rFonts w:cs="Arial"/>
          <w:szCs w:val="22"/>
        </w:rPr>
        <w:t>í</w:t>
      </w:r>
      <w:r w:rsidR="00037CAB" w:rsidRPr="00C36893">
        <w:rPr>
          <w:rFonts w:cs="Arial"/>
          <w:szCs w:val="22"/>
        </w:rPr>
        <w:t xml:space="preserve">. Změnová rozhodnutí </w:t>
      </w:r>
      <w:r w:rsidR="00DE11C6" w:rsidRPr="00C36893">
        <w:rPr>
          <w:rFonts w:cs="Arial"/>
          <w:szCs w:val="22"/>
        </w:rPr>
        <w:t xml:space="preserve">vydávalo </w:t>
      </w:r>
      <w:r w:rsidR="00037CAB" w:rsidRPr="00C36893">
        <w:rPr>
          <w:rFonts w:cs="Arial"/>
          <w:szCs w:val="22"/>
        </w:rPr>
        <w:t>MMR až koncem roku, a to zpravidla na částku skutečně potřebnou pro OPPA.</w:t>
      </w:r>
    </w:p>
    <w:p w:rsidR="00657A0D" w:rsidRDefault="00657A0D" w:rsidP="00657A0D">
      <w:pPr>
        <w:rPr>
          <w:rFonts w:cs="Arial"/>
          <w:b/>
          <w:sz w:val="20"/>
          <w:szCs w:val="20"/>
        </w:rPr>
      </w:pPr>
    </w:p>
    <w:p w:rsidR="008914E1" w:rsidRPr="00C40A05" w:rsidRDefault="00657A0D" w:rsidP="00C40A05">
      <w:pPr>
        <w:tabs>
          <w:tab w:val="right" w:pos="9214"/>
        </w:tabs>
        <w:ind w:left="1503" w:hanging="1503"/>
        <w:jc w:val="left"/>
        <w:rPr>
          <w:rFonts w:cs="Arial"/>
          <w:szCs w:val="22"/>
        </w:rPr>
      </w:pPr>
      <w:r w:rsidRPr="00C40A05">
        <w:rPr>
          <w:rFonts w:cs="Arial"/>
          <w:b/>
          <w:szCs w:val="22"/>
        </w:rPr>
        <w:t>T</w:t>
      </w:r>
      <w:r w:rsidR="008914E1" w:rsidRPr="00C40A05">
        <w:rPr>
          <w:rFonts w:cs="Arial"/>
          <w:b/>
          <w:szCs w:val="22"/>
        </w:rPr>
        <w:t xml:space="preserve">abulka č. </w:t>
      </w:r>
      <w:r w:rsidR="007B2256" w:rsidRPr="00C40A05">
        <w:rPr>
          <w:rFonts w:cs="Arial"/>
          <w:b/>
          <w:szCs w:val="22"/>
        </w:rPr>
        <w:t>2</w:t>
      </w:r>
      <w:r w:rsidR="00327582" w:rsidRPr="00C40A05">
        <w:rPr>
          <w:rFonts w:cs="Arial"/>
          <w:b/>
          <w:szCs w:val="22"/>
        </w:rPr>
        <w:t xml:space="preserve"> – </w:t>
      </w:r>
      <w:r w:rsidR="00DE11C6">
        <w:rPr>
          <w:rFonts w:cs="Arial"/>
          <w:b/>
          <w:szCs w:val="22"/>
        </w:rPr>
        <w:t>P</w:t>
      </w:r>
      <w:r w:rsidR="00DE11C6" w:rsidRPr="00BA1E09">
        <w:rPr>
          <w:rFonts w:cs="Arial"/>
          <w:b/>
          <w:szCs w:val="22"/>
        </w:rPr>
        <w:t xml:space="preserve">rostředky </w:t>
      </w:r>
      <w:r w:rsidR="00DE11C6">
        <w:rPr>
          <w:rFonts w:cs="Arial"/>
          <w:b/>
          <w:szCs w:val="22"/>
        </w:rPr>
        <w:t>p</w:t>
      </w:r>
      <w:r w:rsidR="008914E1" w:rsidRPr="00C40A05">
        <w:rPr>
          <w:rFonts w:cs="Arial"/>
          <w:b/>
          <w:szCs w:val="22"/>
        </w:rPr>
        <w:t>řidělené na předfinancování a spolufinancování OPPA a </w:t>
      </w:r>
      <w:r w:rsidR="00DE22D3" w:rsidRPr="00C40A05">
        <w:rPr>
          <w:rFonts w:cs="Arial"/>
          <w:b/>
          <w:szCs w:val="22"/>
        </w:rPr>
        <w:t>jej</w:t>
      </w:r>
      <w:r w:rsidRPr="00C40A05">
        <w:rPr>
          <w:rFonts w:cs="Arial"/>
          <w:b/>
          <w:szCs w:val="22"/>
        </w:rPr>
        <w:t>i</w:t>
      </w:r>
      <w:r w:rsidR="00DE22D3" w:rsidRPr="00C40A05">
        <w:rPr>
          <w:rFonts w:cs="Arial"/>
          <w:b/>
          <w:szCs w:val="22"/>
        </w:rPr>
        <w:t>ch skutečné</w:t>
      </w:r>
      <w:r w:rsidR="008914E1" w:rsidRPr="00C40A05">
        <w:rPr>
          <w:rFonts w:cs="Arial"/>
          <w:b/>
          <w:szCs w:val="22"/>
        </w:rPr>
        <w:t xml:space="preserve"> čerpání, včetně procentuálního využití, v letech 2008 až 2010 </w:t>
      </w:r>
      <w:r w:rsidR="00DE11C6">
        <w:rPr>
          <w:rFonts w:cs="Arial"/>
          <w:b/>
          <w:szCs w:val="22"/>
        </w:rPr>
        <w:tab/>
      </w:r>
      <w:r w:rsidR="008914E1" w:rsidRPr="00C40A05">
        <w:rPr>
          <w:rFonts w:cs="Arial"/>
          <w:b/>
          <w:szCs w:val="22"/>
        </w:rPr>
        <w:t>(v Kč)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1836"/>
        <w:gridCol w:w="1629"/>
        <w:gridCol w:w="1287"/>
        <w:gridCol w:w="1555"/>
        <w:gridCol w:w="1945"/>
      </w:tblGrid>
      <w:tr w:rsidR="008914E1" w:rsidRPr="00C045EC" w:rsidTr="00F177FA">
        <w:trPr>
          <w:trHeight w:val="920"/>
        </w:trPr>
        <w:tc>
          <w:tcPr>
            <w:tcW w:w="820" w:type="dxa"/>
            <w:vAlign w:val="center"/>
          </w:tcPr>
          <w:p w:rsidR="008914E1" w:rsidRPr="00C045EC" w:rsidRDefault="008914E1" w:rsidP="00F177FA">
            <w:pPr>
              <w:keepNext/>
              <w:keepLines/>
              <w:jc w:val="center"/>
              <w:rPr>
                <w:rFonts w:cs="Arial"/>
                <w:b/>
                <w:sz w:val="20"/>
                <w:szCs w:val="20"/>
              </w:rPr>
            </w:pPr>
            <w:r w:rsidRPr="00C045EC">
              <w:rPr>
                <w:rFonts w:cs="Arial"/>
                <w:b/>
                <w:sz w:val="20"/>
                <w:szCs w:val="20"/>
              </w:rPr>
              <w:t>Rok</w:t>
            </w:r>
          </w:p>
        </w:tc>
        <w:tc>
          <w:tcPr>
            <w:tcW w:w="1874" w:type="dxa"/>
            <w:vAlign w:val="center"/>
          </w:tcPr>
          <w:p w:rsidR="008914E1" w:rsidRPr="00C045EC" w:rsidRDefault="008914E1" w:rsidP="00F177FA">
            <w:pPr>
              <w:keepNext/>
              <w:keepLines/>
              <w:jc w:val="center"/>
              <w:rPr>
                <w:rFonts w:cs="Arial"/>
                <w:b/>
                <w:sz w:val="20"/>
                <w:szCs w:val="20"/>
              </w:rPr>
            </w:pPr>
            <w:r w:rsidRPr="00C045EC">
              <w:rPr>
                <w:rFonts w:cs="Arial"/>
                <w:b/>
                <w:sz w:val="20"/>
                <w:szCs w:val="20"/>
              </w:rPr>
              <w:t>Přidělené prostředky</w:t>
            </w:r>
            <w:r w:rsidRPr="00C045EC">
              <w:rPr>
                <w:rFonts w:cs="Arial"/>
                <w:sz w:val="20"/>
                <w:szCs w:val="20"/>
              </w:rPr>
              <w:t>*</w:t>
            </w:r>
          </w:p>
        </w:tc>
        <w:tc>
          <w:tcPr>
            <w:tcW w:w="1651" w:type="dxa"/>
            <w:vAlign w:val="center"/>
          </w:tcPr>
          <w:p w:rsidR="008914E1" w:rsidRPr="00C045EC" w:rsidRDefault="008914E1" w:rsidP="00F177FA">
            <w:pPr>
              <w:keepNext/>
              <w:keepLines/>
              <w:jc w:val="center"/>
              <w:rPr>
                <w:rFonts w:cs="Arial"/>
                <w:b/>
                <w:sz w:val="20"/>
                <w:szCs w:val="20"/>
              </w:rPr>
            </w:pPr>
            <w:r w:rsidRPr="00C045EC">
              <w:rPr>
                <w:rFonts w:cs="Arial"/>
                <w:b/>
                <w:sz w:val="20"/>
                <w:szCs w:val="20"/>
              </w:rPr>
              <w:t>Poskytnuté zálohy</w:t>
            </w:r>
          </w:p>
        </w:tc>
        <w:tc>
          <w:tcPr>
            <w:tcW w:w="1292" w:type="dxa"/>
            <w:vAlign w:val="center"/>
          </w:tcPr>
          <w:p w:rsidR="008914E1" w:rsidRPr="00C045EC" w:rsidRDefault="008914E1" w:rsidP="00F177FA">
            <w:pPr>
              <w:keepNext/>
              <w:keepLines/>
              <w:jc w:val="center"/>
              <w:rPr>
                <w:rFonts w:cs="Arial"/>
                <w:b/>
                <w:sz w:val="20"/>
                <w:szCs w:val="20"/>
              </w:rPr>
            </w:pPr>
            <w:r w:rsidRPr="00C045EC">
              <w:rPr>
                <w:rFonts w:cs="Arial"/>
                <w:b/>
                <w:sz w:val="20"/>
                <w:szCs w:val="20"/>
              </w:rPr>
              <w:t>Vráceno</w:t>
            </w:r>
          </w:p>
        </w:tc>
        <w:tc>
          <w:tcPr>
            <w:tcW w:w="1559" w:type="dxa"/>
            <w:vAlign w:val="center"/>
          </w:tcPr>
          <w:p w:rsidR="008914E1" w:rsidRPr="00C045EC" w:rsidRDefault="008914E1" w:rsidP="00F177FA">
            <w:pPr>
              <w:keepNext/>
              <w:keepLines/>
              <w:jc w:val="center"/>
              <w:rPr>
                <w:rFonts w:cs="Arial"/>
                <w:b/>
                <w:sz w:val="20"/>
                <w:szCs w:val="20"/>
              </w:rPr>
            </w:pPr>
            <w:r w:rsidRPr="00C045EC">
              <w:rPr>
                <w:rFonts w:cs="Arial"/>
                <w:b/>
                <w:sz w:val="20"/>
                <w:szCs w:val="20"/>
              </w:rPr>
              <w:t>Skutečné čerpání</w:t>
            </w:r>
          </w:p>
        </w:tc>
        <w:tc>
          <w:tcPr>
            <w:tcW w:w="1984" w:type="dxa"/>
            <w:vAlign w:val="center"/>
          </w:tcPr>
          <w:p w:rsidR="00C75103" w:rsidRDefault="00037CAB" w:rsidP="00F177FA">
            <w:pPr>
              <w:keepNext/>
              <w:keepLines/>
              <w:jc w:val="center"/>
              <w:rPr>
                <w:rFonts w:cs="Arial"/>
                <w:sz w:val="20"/>
                <w:szCs w:val="20"/>
              </w:rPr>
            </w:pPr>
            <w:r w:rsidRPr="00C045EC">
              <w:rPr>
                <w:rFonts w:cs="Arial"/>
                <w:b/>
                <w:sz w:val="20"/>
                <w:szCs w:val="20"/>
              </w:rPr>
              <w:t>Využití pros</w:t>
            </w:r>
            <w:r w:rsidR="00CF1EA6" w:rsidRPr="00C045EC">
              <w:rPr>
                <w:rFonts w:cs="Arial"/>
                <w:b/>
                <w:sz w:val="20"/>
                <w:szCs w:val="20"/>
              </w:rPr>
              <w:t>t</w:t>
            </w:r>
            <w:r w:rsidR="008914E1" w:rsidRPr="00C045EC">
              <w:rPr>
                <w:rFonts w:cs="Arial"/>
                <w:b/>
                <w:sz w:val="20"/>
                <w:szCs w:val="20"/>
              </w:rPr>
              <w:t>ředků</w:t>
            </w:r>
            <w:r w:rsidR="008914E1" w:rsidRPr="00C045EC">
              <w:rPr>
                <w:rFonts w:cs="Arial"/>
                <w:sz w:val="20"/>
                <w:szCs w:val="20"/>
              </w:rPr>
              <w:t>**</w:t>
            </w:r>
          </w:p>
          <w:p w:rsidR="008914E1" w:rsidRPr="00C045EC" w:rsidRDefault="00C75103" w:rsidP="00F177FA">
            <w:pPr>
              <w:keepNext/>
              <w:keepLines/>
              <w:jc w:val="center"/>
              <w:rPr>
                <w:rFonts w:cs="Arial"/>
                <w:b/>
                <w:sz w:val="20"/>
                <w:szCs w:val="20"/>
              </w:rPr>
            </w:pPr>
            <w:r>
              <w:rPr>
                <w:rFonts w:cs="Arial"/>
                <w:sz w:val="20"/>
                <w:szCs w:val="20"/>
              </w:rPr>
              <w:t>(v %)</w:t>
            </w:r>
          </w:p>
        </w:tc>
      </w:tr>
      <w:tr w:rsidR="008914E1" w:rsidRPr="00C045EC" w:rsidTr="00C40A05">
        <w:trPr>
          <w:trHeight w:val="259"/>
        </w:trPr>
        <w:tc>
          <w:tcPr>
            <w:tcW w:w="820" w:type="dxa"/>
            <w:vAlign w:val="center"/>
          </w:tcPr>
          <w:p w:rsidR="008914E1" w:rsidRPr="00C045EC" w:rsidRDefault="008914E1" w:rsidP="00C40A05">
            <w:pPr>
              <w:keepNext/>
              <w:keepLines/>
              <w:jc w:val="left"/>
              <w:rPr>
                <w:rFonts w:cs="Arial"/>
                <w:sz w:val="20"/>
                <w:szCs w:val="20"/>
              </w:rPr>
            </w:pPr>
            <w:r w:rsidRPr="00C045EC">
              <w:rPr>
                <w:rFonts w:cs="Arial"/>
                <w:sz w:val="20"/>
                <w:szCs w:val="20"/>
              </w:rPr>
              <w:t>2008</w:t>
            </w:r>
          </w:p>
        </w:tc>
        <w:tc>
          <w:tcPr>
            <w:tcW w:w="1874" w:type="dxa"/>
            <w:vAlign w:val="center"/>
          </w:tcPr>
          <w:p w:rsidR="008914E1" w:rsidRPr="00C045EC" w:rsidRDefault="008914E1" w:rsidP="005215FC">
            <w:pPr>
              <w:keepNext/>
              <w:keepLines/>
              <w:jc w:val="right"/>
              <w:rPr>
                <w:rFonts w:cs="Arial"/>
                <w:sz w:val="20"/>
                <w:szCs w:val="20"/>
              </w:rPr>
            </w:pPr>
            <w:r w:rsidRPr="00C045EC">
              <w:rPr>
                <w:rFonts w:cs="Arial"/>
                <w:sz w:val="20"/>
                <w:szCs w:val="20"/>
              </w:rPr>
              <w:t>273 051 000</w:t>
            </w:r>
          </w:p>
        </w:tc>
        <w:tc>
          <w:tcPr>
            <w:tcW w:w="1651" w:type="dxa"/>
            <w:vAlign w:val="center"/>
          </w:tcPr>
          <w:p w:rsidR="008914E1" w:rsidRPr="00C045EC" w:rsidRDefault="008914E1">
            <w:pPr>
              <w:keepNext/>
              <w:keepLines/>
              <w:jc w:val="right"/>
              <w:rPr>
                <w:rFonts w:cs="Arial"/>
                <w:sz w:val="20"/>
                <w:szCs w:val="20"/>
              </w:rPr>
            </w:pPr>
            <w:r w:rsidRPr="00C045EC">
              <w:rPr>
                <w:rFonts w:cs="Arial"/>
                <w:sz w:val="20"/>
                <w:szCs w:val="20"/>
              </w:rPr>
              <w:t>198 652 500</w:t>
            </w:r>
          </w:p>
        </w:tc>
        <w:tc>
          <w:tcPr>
            <w:tcW w:w="1292" w:type="dxa"/>
            <w:vAlign w:val="center"/>
          </w:tcPr>
          <w:p w:rsidR="008914E1" w:rsidRPr="00C045EC" w:rsidRDefault="008914E1">
            <w:pPr>
              <w:keepNext/>
              <w:keepLines/>
              <w:jc w:val="right"/>
              <w:rPr>
                <w:rFonts w:cs="Arial"/>
                <w:sz w:val="20"/>
                <w:szCs w:val="20"/>
              </w:rPr>
            </w:pPr>
            <w:r w:rsidRPr="00C045EC">
              <w:rPr>
                <w:rFonts w:cs="Arial"/>
                <w:sz w:val="20"/>
                <w:szCs w:val="20"/>
              </w:rPr>
              <w:t>77 440 500</w:t>
            </w:r>
          </w:p>
        </w:tc>
        <w:tc>
          <w:tcPr>
            <w:tcW w:w="1559" w:type="dxa"/>
            <w:vAlign w:val="center"/>
          </w:tcPr>
          <w:p w:rsidR="008914E1" w:rsidRPr="00C045EC" w:rsidRDefault="008914E1">
            <w:pPr>
              <w:keepNext/>
              <w:keepLines/>
              <w:jc w:val="right"/>
              <w:rPr>
                <w:rFonts w:cs="Arial"/>
                <w:sz w:val="20"/>
                <w:szCs w:val="20"/>
              </w:rPr>
            </w:pPr>
            <w:r w:rsidRPr="00C045EC">
              <w:rPr>
                <w:rFonts w:cs="Arial"/>
                <w:sz w:val="20"/>
                <w:szCs w:val="20"/>
              </w:rPr>
              <w:t>121 212 000</w:t>
            </w:r>
          </w:p>
        </w:tc>
        <w:tc>
          <w:tcPr>
            <w:tcW w:w="1984" w:type="dxa"/>
            <w:vAlign w:val="center"/>
          </w:tcPr>
          <w:p w:rsidR="008914E1" w:rsidRPr="00C045EC" w:rsidRDefault="008914E1">
            <w:pPr>
              <w:keepNext/>
              <w:keepLines/>
              <w:jc w:val="right"/>
              <w:rPr>
                <w:rFonts w:cs="Arial"/>
                <w:sz w:val="20"/>
                <w:szCs w:val="20"/>
              </w:rPr>
            </w:pPr>
            <w:r w:rsidRPr="00C045EC">
              <w:rPr>
                <w:rFonts w:cs="Arial"/>
                <w:sz w:val="20"/>
                <w:szCs w:val="20"/>
              </w:rPr>
              <w:t>44 %</w:t>
            </w:r>
          </w:p>
        </w:tc>
      </w:tr>
      <w:tr w:rsidR="008914E1" w:rsidRPr="00C045EC" w:rsidTr="00C40A05">
        <w:trPr>
          <w:trHeight w:val="263"/>
        </w:trPr>
        <w:tc>
          <w:tcPr>
            <w:tcW w:w="820" w:type="dxa"/>
            <w:vAlign w:val="center"/>
          </w:tcPr>
          <w:p w:rsidR="008914E1" w:rsidRPr="00C045EC" w:rsidRDefault="008914E1" w:rsidP="00C40A05">
            <w:pPr>
              <w:keepNext/>
              <w:keepLines/>
              <w:jc w:val="left"/>
              <w:rPr>
                <w:rFonts w:cs="Arial"/>
                <w:sz w:val="20"/>
                <w:szCs w:val="20"/>
              </w:rPr>
            </w:pPr>
            <w:r w:rsidRPr="00C045EC">
              <w:rPr>
                <w:rFonts w:cs="Arial"/>
                <w:sz w:val="20"/>
                <w:szCs w:val="20"/>
              </w:rPr>
              <w:t>2009</w:t>
            </w:r>
          </w:p>
        </w:tc>
        <w:tc>
          <w:tcPr>
            <w:tcW w:w="1874" w:type="dxa"/>
            <w:vAlign w:val="center"/>
          </w:tcPr>
          <w:p w:rsidR="008914E1" w:rsidRPr="00C045EC" w:rsidRDefault="008914E1" w:rsidP="005215FC">
            <w:pPr>
              <w:keepNext/>
              <w:keepLines/>
              <w:jc w:val="right"/>
              <w:rPr>
                <w:rFonts w:cs="Arial"/>
                <w:sz w:val="20"/>
                <w:szCs w:val="20"/>
              </w:rPr>
            </w:pPr>
            <w:r w:rsidRPr="00C045EC">
              <w:rPr>
                <w:rFonts w:cs="Arial"/>
                <w:sz w:val="20"/>
                <w:szCs w:val="20"/>
              </w:rPr>
              <w:t>512 000 000</w:t>
            </w:r>
          </w:p>
        </w:tc>
        <w:tc>
          <w:tcPr>
            <w:tcW w:w="1651" w:type="dxa"/>
            <w:vAlign w:val="center"/>
          </w:tcPr>
          <w:p w:rsidR="008914E1" w:rsidRPr="00C045EC" w:rsidRDefault="008914E1">
            <w:pPr>
              <w:keepNext/>
              <w:keepLines/>
              <w:jc w:val="right"/>
              <w:rPr>
                <w:rFonts w:cs="Arial"/>
                <w:sz w:val="20"/>
                <w:szCs w:val="20"/>
              </w:rPr>
            </w:pPr>
            <w:r w:rsidRPr="00C045EC">
              <w:rPr>
                <w:rFonts w:cs="Arial"/>
                <w:sz w:val="20"/>
                <w:szCs w:val="20"/>
              </w:rPr>
              <w:t>395 000 000</w:t>
            </w:r>
          </w:p>
        </w:tc>
        <w:tc>
          <w:tcPr>
            <w:tcW w:w="1292" w:type="dxa"/>
            <w:vAlign w:val="center"/>
          </w:tcPr>
          <w:p w:rsidR="008914E1" w:rsidRPr="00C045EC" w:rsidRDefault="008914E1">
            <w:pPr>
              <w:keepNext/>
              <w:keepLines/>
              <w:jc w:val="right"/>
              <w:rPr>
                <w:rFonts w:cs="Arial"/>
                <w:sz w:val="20"/>
                <w:szCs w:val="20"/>
              </w:rPr>
            </w:pPr>
            <w:r w:rsidRPr="00C045EC">
              <w:rPr>
                <w:rFonts w:cs="Arial"/>
                <w:sz w:val="20"/>
                <w:szCs w:val="20"/>
              </w:rPr>
              <w:t>0</w:t>
            </w:r>
          </w:p>
        </w:tc>
        <w:tc>
          <w:tcPr>
            <w:tcW w:w="1559" w:type="dxa"/>
            <w:vAlign w:val="center"/>
          </w:tcPr>
          <w:p w:rsidR="008914E1" w:rsidRPr="00C045EC" w:rsidRDefault="008914E1">
            <w:pPr>
              <w:keepNext/>
              <w:keepLines/>
              <w:jc w:val="right"/>
              <w:rPr>
                <w:rFonts w:cs="Arial"/>
                <w:sz w:val="20"/>
                <w:szCs w:val="20"/>
              </w:rPr>
            </w:pPr>
            <w:r w:rsidRPr="00C045EC">
              <w:rPr>
                <w:rFonts w:cs="Arial"/>
                <w:sz w:val="20"/>
                <w:szCs w:val="20"/>
              </w:rPr>
              <w:t>395 000 000</w:t>
            </w:r>
          </w:p>
        </w:tc>
        <w:tc>
          <w:tcPr>
            <w:tcW w:w="1984" w:type="dxa"/>
            <w:vAlign w:val="center"/>
          </w:tcPr>
          <w:p w:rsidR="008914E1" w:rsidRPr="00C045EC" w:rsidRDefault="008914E1">
            <w:pPr>
              <w:keepNext/>
              <w:keepLines/>
              <w:jc w:val="right"/>
              <w:rPr>
                <w:rFonts w:cs="Arial"/>
                <w:sz w:val="20"/>
                <w:szCs w:val="20"/>
              </w:rPr>
            </w:pPr>
            <w:r w:rsidRPr="00C045EC">
              <w:rPr>
                <w:rFonts w:cs="Arial"/>
                <w:sz w:val="20"/>
                <w:szCs w:val="20"/>
              </w:rPr>
              <w:t>77 %</w:t>
            </w:r>
          </w:p>
        </w:tc>
      </w:tr>
      <w:tr w:rsidR="008914E1" w:rsidRPr="00C045EC" w:rsidTr="00C40A05">
        <w:trPr>
          <w:trHeight w:val="209"/>
        </w:trPr>
        <w:tc>
          <w:tcPr>
            <w:tcW w:w="820" w:type="dxa"/>
            <w:vAlign w:val="center"/>
          </w:tcPr>
          <w:p w:rsidR="008914E1" w:rsidRPr="00C045EC" w:rsidRDefault="008914E1" w:rsidP="00C40A05">
            <w:pPr>
              <w:keepNext/>
              <w:keepLines/>
              <w:jc w:val="left"/>
              <w:rPr>
                <w:rFonts w:cs="Arial"/>
                <w:sz w:val="20"/>
                <w:szCs w:val="20"/>
              </w:rPr>
            </w:pPr>
            <w:r w:rsidRPr="00C045EC">
              <w:rPr>
                <w:rFonts w:cs="Arial"/>
                <w:sz w:val="20"/>
                <w:szCs w:val="20"/>
              </w:rPr>
              <w:t>2010</w:t>
            </w:r>
          </w:p>
        </w:tc>
        <w:tc>
          <w:tcPr>
            <w:tcW w:w="1874" w:type="dxa"/>
            <w:vAlign w:val="center"/>
          </w:tcPr>
          <w:p w:rsidR="008914E1" w:rsidRPr="00C045EC" w:rsidRDefault="008914E1" w:rsidP="005215FC">
            <w:pPr>
              <w:keepNext/>
              <w:keepLines/>
              <w:jc w:val="right"/>
              <w:rPr>
                <w:rFonts w:cs="Arial"/>
                <w:sz w:val="20"/>
                <w:szCs w:val="20"/>
              </w:rPr>
            </w:pPr>
            <w:r w:rsidRPr="00C045EC">
              <w:rPr>
                <w:rFonts w:cs="Arial"/>
                <w:sz w:val="20"/>
                <w:szCs w:val="20"/>
              </w:rPr>
              <w:t>518 000 000</w:t>
            </w:r>
          </w:p>
        </w:tc>
        <w:tc>
          <w:tcPr>
            <w:tcW w:w="1651" w:type="dxa"/>
            <w:vAlign w:val="center"/>
          </w:tcPr>
          <w:p w:rsidR="008914E1" w:rsidRPr="00C045EC" w:rsidRDefault="008914E1">
            <w:pPr>
              <w:keepNext/>
              <w:keepLines/>
              <w:jc w:val="right"/>
              <w:rPr>
                <w:rFonts w:cs="Arial"/>
                <w:sz w:val="20"/>
                <w:szCs w:val="20"/>
              </w:rPr>
            </w:pPr>
            <w:r w:rsidRPr="00C045EC">
              <w:rPr>
                <w:rFonts w:cs="Arial"/>
                <w:sz w:val="20"/>
                <w:szCs w:val="20"/>
              </w:rPr>
              <w:t>791 800 000</w:t>
            </w:r>
          </w:p>
        </w:tc>
        <w:tc>
          <w:tcPr>
            <w:tcW w:w="1292" w:type="dxa"/>
            <w:vAlign w:val="center"/>
          </w:tcPr>
          <w:p w:rsidR="008914E1" w:rsidRPr="00C045EC" w:rsidRDefault="008914E1">
            <w:pPr>
              <w:keepNext/>
              <w:keepLines/>
              <w:jc w:val="right"/>
              <w:rPr>
                <w:rFonts w:cs="Arial"/>
                <w:sz w:val="20"/>
                <w:szCs w:val="20"/>
              </w:rPr>
            </w:pPr>
            <w:r w:rsidRPr="00C045EC">
              <w:rPr>
                <w:rFonts w:cs="Arial"/>
                <w:sz w:val="20"/>
                <w:szCs w:val="20"/>
              </w:rPr>
              <w:t>1 081 633</w:t>
            </w:r>
          </w:p>
        </w:tc>
        <w:tc>
          <w:tcPr>
            <w:tcW w:w="1559" w:type="dxa"/>
            <w:vAlign w:val="center"/>
          </w:tcPr>
          <w:p w:rsidR="008914E1" w:rsidRPr="00C045EC" w:rsidRDefault="008914E1">
            <w:pPr>
              <w:keepNext/>
              <w:keepLines/>
              <w:jc w:val="right"/>
              <w:rPr>
                <w:rFonts w:cs="Arial"/>
                <w:sz w:val="20"/>
                <w:szCs w:val="20"/>
              </w:rPr>
            </w:pPr>
            <w:r w:rsidRPr="00C045EC">
              <w:rPr>
                <w:rFonts w:cs="Arial"/>
                <w:sz w:val="20"/>
                <w:szCs w:val="20"/>
              </w:rPr>
              <w:t>790 717 730</w:t>
            </w:r>
          </w:p>
        </w:tc>
        <w:tc>
          <w:tcPr>
            <w:tcW w:w="1984" w:type="dxa"/>
            <w:vAlign w:val="center"/>
          </w:tcPr>
          <w:p w:rsidR="008914E1" w:rsidRPr="00C045EC" w:rsidRDefault="008914E1">
            <w:pPr>
              <w:keepNext/>
              <w:keepLines/>
              <w:jc w:val="right"/>
              <w:rPr>
                <w:rFonts w:cs="Arial"/>
                <w:sz w:val="20"/>
                <w:szCs w:val="20"/>
              </w:rPr>
            </w:pPr>
            <w:r w:rsidRPr="00C045EC">
              <w:rPr>
                <w:rFonts w:cs="Arial"/>
                <w:sz w:val="20"/>
                <w:szCs w:val="20"/>
              </w:rPr>
              <w:t>153 %</w:t>
            </w:r>
          </w:p>
        </w:tc>
      </w:tr>
      <w:tr w:rsidR="008914E1" w:rsidRPr="00C045EC" w:rsidTr="00C40A05">
        <w:trPr>
          <w:trHeight w:val="341"/>
        </w:trPr>
        <w:tc>
          <w:tcPr>
            <w:tcW w:w="820" w:type="dxa"/>
            <w:vAlign w:val="center"/>
          </w:tcPr>
          <w:p w:rsidR="008914E1" w:rsidRPr="00C045EC" w:rsidRDefault="008914E1" w:rsidP="00C40A05">
            <w:pPr>
              <w:keepNext/>
              <w:keepLines/>
              <w:jc w:val="left"/>
              <w:rPr>
                <w:rFonts w:cs="Arial"/>
                <w:b/>
                <w:sz w:val="20"/>
                <w:szCs w:val="20"/>
              </w:rPr>
            </w:pPr>
            <w:r w:rsidRPr="00C045EC">
              <w:rPr>
                <w:rFonts w:cs="Arial"/>
                <w:b/>
                <w:sz w:val="20"/>
                <w:szCs w:val="20"/>
              </w:rPr>
              <w:t>Celkem</w:t>
            </w:r>
          </w:p>
        </w:tc>
        <w:tc>
          <w:tcPr>
            <w:tcW w:w="1874" w:type="dxa"/>
            <w:vAlign w:val="center"/>
          </w:tcPr>
          <w:p w:rsidR="008914E1" w:rsidRPr="00C045EC" w:rsidRDefault="008914E1" w:rsidP="005215FC">
            <w:pPr>
              <w:keepNext/>
              <w:keepLines/>
              <w:jc w:val="right"/>
              <w:rPr>
                <w:rFonts w:cs="Arial"/>
                <w:b/>
                <w:sz w:val="20"/>
                <w:szCs w:val="20"/>
              </w:rPr>
            </w:pPr>
            <w:r w:rsidRPr="00C045EC">
              <w:rPr>
                <w:rFonts w:cs="Arial"/>
                <w:b/>
                <w:sz w:val="20"/>
                <w:szCs w:val="20"/>
              </w:rPr>
              <w:t>1 303 051 000</w:t>
            </w:r>
          </w:p>
        </w:tc>
        <w:tc>
          <w:tcPr>
            <w:tcW w:w="1651" w:type="dxa"/>
            <w:vAlign w:val="center"/>
          </w:tcPr>
          <w:p w:rsidR="008914E1" w:rsidRPr="00C045EC" w:rsidRDefault="008914E1">
            <w:pPr>
              <w:jc w:val="right"/>
              <w:rPr>
                <w:rFonts w:cs="Arial"/>
                <w:b/>
                <w:sz w:val="20"/>
                <w:szCs w:val="20"/>
              </w:rPr>
            </w:pPr>
            <w:r w:rsidRPr="00C045EC">
              <w:rPr>
                <w:rFonts w:cs="Arial"/>
                <w:b/>
                <w:sz w:val="20"/>
                <w:szCs w:val="20"/>
              </w:rPr>
              <w:t>1 285 452 500</w:t>
            </w:r>
          </w:p>
        </w:tc>
        <w:tc>
          <w:tcPr>
            <w:tcW w:w="1292" w:type="dxa"/>
            <w:vAlign w:val="center"/>
          </w:tcPr>
          <w:p w:rsidR="008914E1" w:rsidRPr="00C045EC" w:rsidRDefault="008914E1">
            <w:pPr>
              <w:keepNext/>
              <w:keepLines/>
              <w:jc w:val="right"/>
              <w:rPr>
                <w:rFonts w:cs="Arial"/>
                <w:b/>
                <w:sz w:val="20"/>
                <w:szCs w:val="20"/>
              </w:rPr>
            </w:pPr>
            <w:r w:rsidRPr="00C045EC">
              <w:rPr>
                <w:rFonts w:cs="Arial"/>
                <w:b/>
                <w:sz w:val="20"/>
                <w:szCs w:val="20"/>
              </w:rPr>
              <w:t>78 522 133</w:t>
            </w:r>
          </w:p>
        </w:tc>
        <w:tc>
          <w:tcPr>
            <w:tcW w:w="1559" w:type="dxa"/>
            <w:vAlign w:val="center"/>
          </w:tcPr>
          <w:p w:rsidR="008914E1" w:rsidRPr="00C045EC" w:rsidRDefault="00327582">
            <w:pPr>
              <w:keepNext/>
              <w:keepLines/>
              <w:jc w:val="right"/>
              <w:rPr>
                <w:rFonts w:cs="Arial"/>
                <w:b/>
                <w:sz w:val="20"/>
                <w:szCs w:val="20"/>
              </w:rPr>
            </w:pPr>
            <w:r w:rsidRPr="00C045EC">
              <w:rPr>
                <w:rFonts w:cs="Arial"/>
                <w:b/>
                <w:sz w:val="20"/>
                <w:szCs w:val="20"/>
              </w:rPr>
              <w:t>1 3</w:t>
            </w:r>
            <w:r w:rsidR="00AC7216">
              <w:rPr>
                <w:rFonts w:cs="Arial"/>
                <w:b/>
                <w:sz w:val="20"/>
                <w:szCs w:val="20"/>
              </w:rPr>
              <w:t>0</w:t>
            </w:r>
            <w:r w:rsidRPr="00C045EC">
              <w:rPr>
                <w:rFonts w:cs="Arial"/>
                <w:b/>
                <w:sz w:val="20"/>
                <w:szCs w:val="20"/>
              </w:rPr>
              <w:t>6</w:t>
            </w:r>
            <w:r w:rsidR="008914E1" w:rsidRPr="00C045EC">
              <w:rPr>
                <w:rFonts w:cs="Arial"/>
                <w:b/>
                <w:sz w:val="20"/>
                <w:szCs w:val="20"/>
              </w:rPr>
              <w:t> 929 730</w:t>
            </w:r>
          </w:p>
        </w:tc>
        <w:tc>
          <w:tcPr>
            <w:tcW w:w="1984" w:type="dxa"/>
            <w:vAlign w:val="center"/>
          </w:tcPr>
          <w:p w:rsidR="008914E1" w:rsidRPr="00C045EC" w:rsidRDefault="008914E1" w:rsidP="00C40A05">
            <w:pPr>
              <w:keepNext/>
              <w:keepLines/>
              <w:ind w:right="141"/>
              <w:jc w:val="right"/>
              <w:rPr>
                <w:rFonts w:cs="Arial"/>
                <w:b/>
                <w:sz w:val="20"/>
                <w:szCs w:val="20"/>
              </w:rPr>
            </w:pPr>
            <w:r w:rsidRPr="00C045EC">
              <w:rPr>
                <w:rFonts w:cs="Arial"/>
                <w:b/>
                <w:sz w:val="20"/>
                <w:szCs w:val="20"/>
              </w:rPr>
              <w:t>x</w:t>
            </w:r>
          </w:p>
        </w:tc>
      </w:tr>
    </w:tbl>
    <w:p w:rsidR="008914E1" w:rsidRPr="00A26F37" w:rsidRDefault="008914E1" w:rsidP="00495D7B">
      <w:pPr>
        <w:keepNext/>
        <w:keepLines/>
        <w:ind w:left="567" w:hanging="567"/>
        <w:rPr>
          <w:rFonts w:cs="Arial"/>
          <w:sz w:val="18"/>
          <w:szCs w:val="18"/>
        </w:rPr>
      </w:pPr>
      <w:r w:rsidRPr="00C40A05">
        <w:rPr>
          <w:rFonts w:cs="Arial"/>
          <w:b/>
          <w:sz w:val="18"/>
          <w:szCs w:val="18"/>
        </w:rPr>
        <w:t>Zdroj:</w:t>
      </w:r>
      <w:r w:rsidRPr="00A26F37">
        <w:rPr>
          <w:rFonts w:cs="Arial"/>
          <w:sz w:val="18"/>
          <w:szCs w:val="18"/>
        </w:rPr>
        <w:t xml:space="preserve"> dokumenty </w:t>
      </w:r>
      <w:r w:rsidR="00605268">
        <w:rPr>
          <w:rFonts w:cs="Arial"/>
          <w:sz w:val="18"/>
          <w:szCs w:val="18"/>
        </w:rPr>
        <w:t>O</w:t>
      </w:r>
      <w:r w:rsidRPr="00A26F37">
        <w:rPr>
          <w:rFonts w:cs="Arial"/>
          <w:sz w:val="18"/>
          <w:szCs w:val="18"/>
        </w:rPr>
        <w:t xml:space="preserve">dboru rozpočtu MMR </w:t>
      </w:r>
      <w:r w:rsidR="00C1065C">
        <w:rPr>
          <w:rFonts w:cs="Arial"/>
          <w:sz w:val="18"/>
          <w:szCs w:val="18"/>
        </w:rPr>
        <w:t>–</w:t>
      </w:r>
      <w:r w:rsidRPr="00A26F37">
        <w:rPr>
          <w:rFonts w:cs="Arial"/>
          <w:sz w:val="18"/>
          <w:szCs w:val="18"/>
        </w:rPr>
        <w:t xml:space="preserve"> </w:t>
      </w:r>
      <w:r w:rsidR="00605268">
        <w:rPr>
          <w:rFonts w:cs="Arial"/>
          <w:sz w:val="18"/>
          <w:szCs w:val="18"/>
        </w:rPr>
        <w:t>r</w:t>
      </w:r>
      <w:r w:rsidRPr="00A26F37">
        <w:rPr>
          <w:rFonts w:cs="Arial"/>
          <w:sz w:val="18"/>
          <w:szCs w:val="18"/>
        </w:rPr>
        <w:t>ozhodnutí o poskytnutí dotace na roky 2008</w:t>
      </w:r>
      <w:r w:rsidR="00605268">
        <w:rPr>
          <w:rFonts w:cs="Arial"/>
          <w:sz w:val="18"/>
          <w:szCs w:val="18"/>
        </w:rPr>
        <w:t>–</w:t>
      </w:r>
      <w:r w:rsidRPr="00A26F37">
        <w:rPr>
          <w:rFonts w:cs="Arial"/>
          <w:sz w:val="18"/>
          <w:szCs w:val="18"/>
        </w:rPr>
        <w:t>2010</w:t>
      </w:r>
      <w:r w:rsidR="00605268">
        <w:rPr>
          <w:rFonts w:cs="Arial"/>
          <w:sz w:val="18"/>
          <w:szCs w:val="18"/>
        </w:rPr>
        <w:t>,</w:t>
      </w:r>
      <w:r w:rsidRPr="00A26F37">
        <w:rPr>
          <w:rFonts w:cs="Arial"/>
          <w:sz w:val="18"/>
          <w:szCs w:val="18"/>
        </w:rPr>
        <w:t xml:space="preserve"> </w:t>
      </w:r>
      <w:r w:rsidR="00605268">
        <w:rPr>
          <w:rFonts w:cs="Arial"/>
          <w:sz w:val="18"/>
          <w:szCs w:val="18"/>
        </w:rPr>
        <w:t>r</w:t>
      </w:r>
      <w:r w:rsidRPr="00A26F37">
        <w:rPr>
          <w:rFonts w:cs="Arial"/>
          <w:sz w:val="18"/>
          <w:szCs w:val="18"/>
        </w:rPr>
        <w:t xml:space="preserve">ozhodnutí o změně </w:t>
      </w:r>
      <w:r w:rsidR="00605268">
        <w:rPr>
          <w:rFonts w:cs="Arial"/>
          <w:sz w:val="18"/>
          <w:szCs w:val="18"/>
        </w:rPr>
        <w:t>r</w:t>
      </w:r>
      <w:r w:rsidRPr="00A26F37">
        <w:rPr>
          <w:rFonts w:cs="Arial"/>
          <w:sz w:val="18"/>
          <w:szCs w:val="18"/>
        </w:rPr>
        <w:t>ozhodnutí o poskytnutí dotace na roky 2008</w:t>
      </w:r>
      <w:r w:rsidR="00495D7B">
        <w:rPr>
          <w:rFonts w:cs="Arial"/>
          <w:sz w:val="18"/>
          <w:szCs w:val="18"/>
        </w:rPr>
        <w:t>–</w:t>
      </w:r>
      <w:r w:rsidRPr="00A26F37">
        <w:rPr>
          <w:rFonts w:cs="Arial"/>
          <w:sz w:val="18"/>
          <w:szCs w:val="18"/>
        </w:rPr>
        <w:t>2010</w:t>
      </w:r>
      <w:r w:rsidR="00605268">
        <w:rPr>
          <w:rFonts w:cs="Arial"/>
          <w:sz w:val="18"/>
          <w:szCs w:val="18"/>
        </w:rPr>
        <w:t>,</w:t>
      </w:r>
      <w:r w:rsidRPr="00A26F37">
        <w:rPr>
          <w:rFonts w:cs="Arial"/>
          <w:sz w:val="18"/>
          <w:szCs w:val="18"/>
        </w:rPr>
        <w:t xml:space="preserve"> </w:t>
      </w:r>
      <w:r w:rsidR="00605268">
        <w:rPr>
          <w:rFonts w:cs="Arial"/>
          <w:sz w:val="18"/>
          <w:szCs w:val="18"/>
        </w:rPr>
        <w:t>p</w:t>
      </w:r>
      <w:r w:rsidRPr="00A26F37">
        <w:rPr>
          <w:rFonts w:cs="Arial"/>
          <w:sz w:val="18"/>
          <w:szCs w:val="18"/>
        </w:rPr>
        <w:t>řehled</w:t>
      </w:r>
      <w:r w:rsidR="005215FC">
        <w:rPr>
          <w:rFonts w:cs="Arial"/>
          <w:sz w:val="18"/>
          <w:szCs w:val="18"/>
        </w:rPr>
        <w:t>y</w:t>
      </w:r>
      <w:r w:rsidRPr="00A26F37">
        <w:rPr>
          <w:rFonts w:cs="Arial"/>
          <w:sz w:val="18"/>
          <w:szCs w:val="18"/>
        </w:rPr>
        <w:t xml:space="preserve"> o finančních p</w:t>
      </w:r>
      <w:r w:rsidR="00495D7B">
        <w:rPr>
          <w:rFonts w:cs="Arial"/>
          <w:sz w:val="18"/>
          <w:szCs w:val="18"/>
        </w:rPr>
        <w:t>rostředcích OPPA za období 2008–</w:t>
      </w:r>
      <w:r w:rsidRPr="00A26F37">
        <w:rPr>
          <w:rFonts w:cs="Arial"/>
          <w:sz w:val="18"/>
          <w:szCs w:val="18"/>
        </w:rPr>
        <w:t>2010</w:t>
      </w:r>
      <w:r w:rsidR="005D6B7E">
        <w:rPr>
          <w:rFonts w:cs="Arial"/>
          <w:sz w:val="18"/>
          <w:szCs w:val="18"/>
        </w:rPr>
        <w:t>.</w:t>
      </w:r>
      <w:r w:rsidRPr="00A26F37">
        <w:rPr>
          <w:rFonts w:cs="Arial"/>
          <w:sz w:val="18"/>
          <w:szCs w:val="18"/>
        </w:rPr>
        <w:t xml:space="preserve"> </w:t>
      </w:r>
    </w:p>
    <w:p w:rsidR="008914E1" w:rsidRPr="00A26F37" w:rsidRDefault="008914E1" w:rsidP="0084414D">
      <w:pPr>
        <w:keepNext/>
        <w:keepLines/>
        <w:shd w:val="clear" w:color="auto" w:fill="FFFFFF"/>
        <w:ind w:left="284" w:hanging="284"/>
        <w:rPr>
          <w:rFonts w:cs="Arial"/>
          <w:sz w:val="18"/>
          <w:szCs w:val="18"/>
        </w:rPr>
      </w:pPr>
      <w:r w:rsidRPr="00A26F37">
        <w:rPr>
          <w:rFonts w:cs="Arial"/>
          <w:sz w:val="18"/>
          <w:szCs w:val="18"/>
        </w:rPr>
        <w:t xml:space="preserve">*) </w:t>
      </w:r>
      <w:r w:rsidR="00605268">
        <w:rPr>
          <w:rFonts w:cs="Arial"/>
          <w:sz w:val="18"/>
          <w:szCs w:val="18"/>
        </w:rPr>
        <w:tab/>
      </w:r>
      <w:r w:rsidRPr="00A26F37">
        <w:rPr>
          <w:rFonts w:cs="Arial"/>
          <w:sz w:val="18"/>
          <w:szCs w:val="18"/>
        </w:rPr>
        <w:t>Výše přidělených prostředků je převzata z</w:t>
      </w:r>
      <w:r w:rsidR="00605268">
        <w:rPr>
          <w:rFonts w:cs="Arial"/>
          <w:sz w:val="18"/>
          <w:szCs w:val="18"/>
        </w:rPr>
        <w:t xml:space="preserve"> příslušných </w:t>
      </w:r>
      <w:r w:rsidRPr="00A26F37">
        <w:rPr>
          <w:rFonts w:cs="Arial"/>
          <w:i/>
          <w:sz w:val="18"/>
          <w:szCs w:val="18"/>
        </w:rPr>
        <w:t>rozhodnutí o poskytnutí dotace</w:t>
      </w:r>
      <w:r w:rsidRPr="00A26F37">
        <w:rPr>
          <w:rFonts w:cs="Arial"/>
          <w:sz w:val="18"/>
          <w:szCs w:val="18"/>
        </w:rPr>
        <w:t>, která vyd</w:t>
      </w:r>
      <w:r w:rsidR="00605268">
        <w:rPr>
          <w:rFonts w:cs="Arial"/>
          <w:sz w:val="18"/>
          <w:szCs w:val="18"/>
        </w:rPr>
        <w:t>áv</w:t>
      </w:r>
      <w:r w:rsidRPr="00A26F37">
        <w:rPr>
          <w:rFonts w:cs="Arial"/>
          <w:sz w:val="18"/>
          <w:szCs w:val="18"/>
        </w:rPr>
        <w:t xml:space="preserve">alo MMR na jednotlivé roky. Ke konci kalendářního roku byla tato rozhodnutí změněna </w:t>
      </w:r>
      <w:r w:rsidRPr="00A26F37">
        <w:rPr>
          <w:rFonts w:cs="Arial"/>
          <w:i/>
          <w:sz w:val="18"/>
          <w:szCs w:val="18"/>
        </w:rPr>
        <w:t>rozhodnutím o změně</w:t>
      </w:r>
      <w:r w:rsidRPr="00A26F37">
        <w:rPr>
          <w:rFonts w:cs="Arial"/>
          <w:sz w:val="18"/>
          <w:szCs w:val="18"/>
        </w:rPr>
        <w:t xml:space="preserve">, </w:t>
      </w:r>
      <w:r w:rsidR="00605268">
        <w:rPr>
          <w:rFonts w:cs="Arial"/>
          <w:sz w:val="18"/>
          <w:szCs w:val="18"/>
        </w:rPr>
        <w:t>v němž</w:t>
      </w:r>
      <w:r w:rsidRPr="00A26F37">
        <w:rPr>
          <w:rFonts w:cs="Arial"/>
          <w:sz w:val="18"/>
          <w:szCs w:val="18"/>
        </w:rPr>
        <w:t xml:space="preserve"> byla výše dotace zpravidla stanovena podle skutečného čerpání</w:t>
      </w:r>
      <w:r w:rsidR="005D6B7E">
        <w:rPr>
          <w:rFonts w:cs="Arial"/>
          <w:sz w:val="18"/>
          <w:szCs w:val="18"/>
        </w:rPr>
        <w:t>.</w:t>
      </w:r>
    </w:p>
    <w:p w:rsidR="00037CAB" w:rsidRPr="00A26F37" w:rsidRDefault="00620629" w:rsidP="0084414D">
      <w:pPr>
        <w:ind w:left="284" w:hanging="284"/>
        <w:rPr>
          <w:rFonts w:cs="Arial"/>
          <w:sz w:val="18"/>
          <w:szCs w:val="18"/>
        </w:rPr>
      </w:pPr>
      <w:r>
        <w:rPr>
          <w:rFonts w:cs="Arial"/>
          <w:sz w:val="18"/>
          <w:szCs w:val="18"/>
        </w:rPr>
        <w:t>**)</w:t>
      </w:r>
      <w:r w:rsidR="00605268">
        <w:rPr>
          <w:rFonts w:cs="Arial"/>
          <w:sz w:val="18"/>
          <w:szCs w:val="18"/>
        </w:rPr>
        <w:t xml:space="preserve"> </w:t>
      </w:r>
      <w:r w:rsidR="008914E1" w:rsidRPr="00A26F37">
        <w:rPr>
          <w:rFonts w:cs="Arial"/>
          <w:sz w:val="18"/>
          <w:szCs w:val="18"/>
        </w:rPr>
        <w:t xml:space="preserve">Využití prostředků je znázorněno procentuálním podílem vyčerpaných prostředků k prostředkům přiděleným na základě </w:t>
      </w:r>
      <w:r w:rsidR="008914E1" w:rsidRPr="00A26F37">
        <w:rPr>
          <w:rFonts w:cs="Arial"/>
          <w:i/>
          <w:sz w:val="18"/>
          <w:szCs w:val="18"/>
        </w:rPr>
        <w:t>rozhodnutí o poskytnutí dotace</w:t>
      </w:r>
      <w:r w:rsidR="005D6B7E">
        <w:rPr>
          <w:rFonts w:cs="Arial"/>
          <w:i/>
          <w:sz w:val="18"/>
          <w:szCs w:val="18"/>
        </w:rPr>
        <w:t>.</w:t>
      </w:r>
      <w:r w:rsidR="00037CAB" w:rsidRPr="00A26F37">
        <w:rPr>
          <w:rFonts w:cs="Arial"/>
          <w:sz w:val="18"/>
          <w:szCs w:val="18"/>
        </w:rPr>
        <w:t xml:space="preserve"> </w:t>
      </w:r>
    </w:p>
    <w:p w:rsidR="00827BE6" w:rsidRPr="00777A92" w:rsidRDefault="00827BE6" w:rsidP="00827BE6">
      <w:pPr>
        <w:rPr>
          <w:rFonts w:cs="Arial"/>
          <w:sz w:val="18"/>
          <w:szCs w:val="18"/>
        </w:rPr>
      </w:pPr>
    </w:p>
    <w:p w:rsidR="00160494" w:rsidRPr="00777A92" w:rsidRDefault="00C112BF" w:rsidP="00160494">
      <w:pPr>
        <w:rPr>
          <w:rFonts w:cs="Arial"/>
          <w:b/>
          <w:szCs w:val="22"/>
        </w:rPr>
      </w:pPr>
      <w:r w:rsidRPr="00777A92">
        <w:rPr>
          <w:rFonts w:cs="Arial"/>
          <w:b/>
          <w:szCs w:val="22"/>
        </w:rPr>
        <w:t xml:space="preserve">MMR ve svých </w:t>
      </w:r>
      <w:r w:rsidRPr="00C934CE">
        <w:rPr>
          <w:rFonts w:cs="Arial"/>
          <w:b/>
          <w:i/>
          <w:szCs w:val="22"/>
        </w:rPr>
        <w:t>rozhodnutích o poskytnutí dotace</w:t>
      </w:r>
      <w:r w:rsidRPr="00777A92">
        <w:rPr>
          <w:rFonts w:cs="Arial"/>
          <w:b/>
          <w:szCs w:val="22"/>
        </w:rPr>
        <w:t xml:space="preserve"> na předfinancování a spolufinancování OPPA nestanovilo</w:t>
      </w:r>
      <w:r w:rsidRPr="00777A92">
        <w:rPr>
          <w:rFonts w:cs="Arial"/>
          <w:b/>
        </w:rPr>
        <w:t xml:space="preserve"> přesně a jednoznačně, které metodické dokumenty vydávané MMR, </w:t>
      </w:r>
      <w:r w:rsidR="00605268">
        <w:rPr>
          <w:rFonts w:cs="Arial"/>
          <w:b/>
        </w:rPr>
        <w:t>a</w:t>
      </w:r>
      <w:r w:rsidRPr="00777A92">
        <w:rPr>
          <w:rFonts w:cs="Arial"/>
          <w:b/>
        </w:rPr>
        <w:t>uditním</w:t>
      </w:r>
      <w:r w:rsidR="0050083F">
        <w:rPr>
          <w:rFonts w:cs="Arial"/>
          <w:b/>
        </w:rPr>
        <w:t xml:space="preserve"> orgánem a</w:t>
      </w:r>
      <w:r w:rsidRPr="00777A92">
        <w:rPr>
          <w:rFonts w:cs="Arial"/>
          <w:b/>
        </w:rPr>
        <w:t xml:space="preserve"> </w:t>
      </w:r>
      <w:r w:rsidR="0050083F">
        <w:rPr>
          <w:rFonts w:cs="Arial"/>
          <w:b/>
        </w:rPr>
        <w:t xml:space="preserve">dále </w:t>
      </w:r>
      <w:r w:rsidR="00605268">
        <w:rPr>
          <w:rFonts w:cs="Arial"/>
          <w:b/>
        </w:rPr>
        <w:t>p</w:t>
      </w:r>
      <w:r w:rsidRPr="00777A92">
        <w:rPr>
          <w:rFonts w:cs="Arial"/>
          <w:b/>
        </w:rPr>
        <w:t>latebním a certifikačním orgánem jsou pro HMP závazné.</w:t>
      </w:r>
      <w:r w:rsidR="00C35069" w:rsidRPr="00777A92">
        <w:rPr>
          <w:rFonts w:cs="Arial"/>
          <w:b/>
          <w:szCs w:val="22"/>
        </w:rPr>
        <w:t xml:space="preserve"> </w:t>
      </w:r>
      <w:r w:rsidR="002F0BC3">
        <w:rPr>
          <w:rFonts w:cs="Arial"/>
          <w:b/>
          <w:szCs w:val="22"/>
        </w:rPr>
        <w:t>M</w:t>
      </w:r>
      <w:r w:rsidR="00C35069" w:rsidRPr="00777A92">
        <w:rPr>
          <w:rFonts w:cs="Arial"/>
          <w:b/>
          <w:szCs w:val="22"/>
        </w:rPr>
        <w:t>HMP tak měl</w:t>
      </w:r>
      <w:r w:rsidR="00C530E2">
        <w:rPr>
          <w:rFonts w:cs="Arial"/>
          <w:b/>
          <w:szCs w:val="22"/>
        </w:rPr>
        <w:t xml:space="preserve"> v letech 2008–</w:t>
      </w:r>
      <w:r w:rsidRPr="00777A92">
        <w:rPr>
          <w:rFonts w:cs="Arial"/>
          <w:b/>
          <w:szCs w:val="22"/>
        </w:rPr>
        <w:t xml:space="preserve">2010 </w:t>
      </w:r>
      <w:r w:rsidR="00F2190C">
        <w:rPr>
          <w:rFonts w:cs="Arial"/>
          <w:b/>
          <w:szCs w:val="22"/>
        </w:rPr>
        <w:t>ztíženu svoji říd</w:t>
      </w:r>
      <w:r w:rsidR="00605268">
        <w:rPr>
          <w:rFonts w:cs="Arial"/>
          <w:b/>
          <w:szCs w:val="22"/>
        </w:rPr>
        <w:t>i</w:t>
      </w:r>
      <w:r w:rsidR="00F2190C">
        <w:rPr>
          <w:rFonts w:cs="Arial"/>
          <w:b/>
          <w:szCs w:val="22"/>
        </w:rPr>
        <w:t>cí a </w:t>
      </w:r>
      <w:r w:rsidR="00C35069" w:rsidRPr="00777A92">
        <w:rPr>
          <w:rFonts w:cs="Arial"/>
          <w:b/>
          <w:szCs w:val="22"/>
        </w:rPr>
        <w:t>kontrolní činnost.</w:t>
      </w:r>
      <w:r w:rsidR="00160494" w:rsidRPr="00777A92">
        <w:rPr>
          <w:rFonts w:cs="Arial"/>
          <w:b/>
          <w:szCs w:val="22"/>
        </w:rPr>
        <w:t xml:space="preserve"> </w:t>
      </w:r>
    </w:p>
    <w:p w:rsidR="00B1411D" w:rsidRDefault="00B1411D" w:rsidP="00160494">
      <w:pPr>
        <w:rPr>
          <w:rFonts w:cs="Arial"/>
          <w:szCs w:val="22"/>
        </w:rPr>
      </w:pPr>
    </w:p>
    <w:p w:rsidR="00160494" w:rsidRPr="005D6B7E" w:rsidRDefault="005F7192" w:rsidP="00160494">
      <w:pPr>
        <w:rPr>
          <w:rFonts w:cs="Arial"/>
          <w:szCs w:val="22"/>
        </w:rPr>
      </w:pPr>
      <w:r w:rsidRPr="005D6B7E">
        <w:rPr>
          <w:rFonts w:cs="Arial"/>
          <w:szCs w:val="22"/>
        </w:rPr>
        <w:t xml:space="preserve">MMR ve svých </w:t>
      </w:r>
      <w:r w:rsidRPr="005D6B7E">
        <w:rPr>
          <w:rFonts w:cs="Arial"/>
          <w:i/>
          <w:szCs w:val="22"/>
        </w:rPr>
        <w:t>rozhodnutích o poskytnutí dotace</w:t>
      </w:r>
      <w:r w:rsidRPr="005D6B7E">
        <w:rPr>
          <w:rFonts w:cs="Arial"/>
          <w:szCs w:val="22"/>
        </w:rPr>
        <w:t xml:space="preserve"> pouze stanovilo, že práva a povinnosti HMP upravují závazné metodické dokumenty v</w:t>
      </w:r>
      <w:r w:rsidR="005D6B7E">
        <w:rPr>
          <w:rFonts w:cs="Arial"/>
          <w:szCs w:val="22"/>
        </w:rPr>
        <w:t xml:space="preserve">ydávané MMR, </w:t>
      </w:r>
      <w:r w:rsidR="008200BA">
        <w:rPr>
          <w:rFonts w:cs="Arial"/>
          <w:szCs w:val="22"/>
        </w:rPr>
        <w:t>a</w:t>
      </w:r>
      <w:r w:rsidR="005D6B7E">
        <w:rPr>
          <w:rFonts w:cs="Arial"/>
          <w:szCs w:val="22"/>
        </w:rPr>
        <w:t>uditním orgánem a </w:t>
      </w:r>
      <w:r w:rsidR="008200BA">
        <w:rPr>
          <w:rFonts w:cs="Arial"/>
          <w:szCs w:val="22"/>
        </w:rPr>
        <w:t>p</w:t>
      </w:r>
      <w:r w:rsidRPr="005D6B7E">
        <w:rPr>
          <w:rFonts w:cs="Arial"/>
          <w:szCs w:val="22"/>
        </w:rPr>
        <w:t>latebním a certifikačním orgánem. HMP</w:t>
      </w:r>
      <w:r w:rsidR="00C530E2">
        <w:rPr>
          <w:rFonts w:cs="Arial"/>
          <w:szCs w:val="22"/>
        </w:rPr>
        <w:t xml:space="preserve"> nebylo v letech 2008–</w:t>
      </w:r>
      <w:r w:rsidR="00160494" w:rsidRPr="005D6B7E">
        <w:rPr>
          <w:rFonts w:cs="Arial"/>
          <w:szCs w:val="22"/>
        </w:rPr>
        <w:t>2010</w:t>
      </w:r>
      <w:r w:rsidRPr="005D6B7E">
        <w:rPr>
          <w:rFonts w:cs="Arial"/>
          <w:szCs w:val="22"/>
        </w:rPr>
        <w:t xml:space="preserve"> jednoznačně</w:t>
      </w:r>
      <w:r w:rsidR="00160494" w:rsidRPr="005D6B7E">
        <w:rPr>
          <w:rFonts w:cs="Arial"/>
          <w:szCs w:val="22"/>
        </w:rPr>
        <w:t xml:space="preserve"> informováno, které</w:t>
      </w:r>
      <w:r w:rsidRPr="005D6B7E">
        <w:rPr>
          <w:rFonts w:cs="Arial"/>
          <w:szCs w:val="22"/>
        </w:rPr>
        <w:t xml:space="preserve"> konkrétní</w:t>
      </w:r>
      <w:r w:rsidR="00160494" w:rsidRPr="005D6B7E">
        <w:rPr>
          <w:rFonts w:cs="Arial"/>
          <w:szCs w:val="22"/>
        </w:rPr>
        <w:t xml:space="preserve"> metodické dokumenty jsou pro něj závazné a kterými se má při své činnosti řídit. </w:t>
      </w:r>
      <w:r w:rsidRPr="005D6B7E">
        <w:rPr>
          <w:rFonts w:cs="Arial"/>
          <w:szCs w:val="22"/>
        </w:rPr>
        <w:t>Tento nedostatek byl v rozhodnutích vydávaných od roku 2011 odstraněn.</w:t>
      </w:r>
    </w:p>
    <w:p w:rsidR="00482DD5" w:rsidRPr="00777A92" w:rsidRDefault="00482DD5" w:rsidP="00482DD5">
      <w:pPr>
        <w:pStyle w:val="Styl1"/>
        <w:spacing w:after="0" w:line="240" w:lineRule="auto"/>
        <w:rPr>
          <w:rFonts w:cs="Arial"/>
          <w:lang w:val="cs-CZ"/>
        </w:rPr>
      </w:pPr>
    </w:p>
    <w:p w:rsidR="00482DD5" w:rsidRPr="00777A92" w:rsidRDefault="000539DE" w:rsidP="00482DD5">
      <w:pPr>
        <w:pStyle w:val="Styl1"/>
        <w:spacing w:after="0" w:line="240" w:lineRule="auto"/>
        <w:rPr>
          <w:rFonts w:cs="Arial"/>
          <w:b/>
          <w:lang w:val="cs-CZ"/>
        </w:rPr>
      </w:pPr>
      <w:r>
        <w:rPr>
          <w:rFonts w:cs="Arial"/>
          <w:b/>
        </w:rPr>
        <w:t>MMR v letech 2008–</w:t>
      </w:r>
      <w:r w:rsidR="00C112BF" w:rsidRPr="00777A92">
        <w:rPr>
          <w:rFonts w:cs="Arial"/>
          <w:b/>
        </w:rPr>
        <w:t>2010 nezajistilo, aby</w:t>
      </w:r>
      <w:r w:rsidR="008200BA">
        <w:rPr>
          <w:rFonts w:cs="Arial"/>
          <w:b/>
          <w:lang w:val="cs-CZ"/>
        </w:rPr>
        <w:t xml:space="preserve"> v</w:t>
      </w:r>
      <w:r w:rsidR="00C112BF" w:rsidRPr="00777A92">
        <w:rPr>
          <w:rFonts w:cs="Arial"/>
          <w:b/>
        </w:rPr>
        <w:t> </w:t>
      </w:r>
      <w:r w:rsidR="00C112BF" w:rsidRPr="00777A92">
        <w:rPr>
          <w:rFonts w:cs="Arial"/>
          <w:b/>
          <w:i/>
        </w:rPr>
        <w:t>rozhodnutí</w:t>
      </w:r>
      <w:r w:rsidR="008200BA">
        <w:rPr>
          <w:rFonts w:cs="Arial"/>
          <w:b/>
          <w:i/>
          <w:lang w:val="cs-CZ"/>
        </w:rPr>
        <w:t>ch</w:t>
      </w:r>
      <w:r w:rsidR="00C112BF" w:rsidRPr="00777A92">
        <w:rPr>
          <w:rFonts w:cs="Arial"/>
          <w:b/>
          <w:i/>
        </w:rPr>
        <w:t xml:space="preserve"> o poskytnutí dotace</w:t>
      </w:r>
      <w:r w:rsidR="00A65EC5">
        <w:rPr>
          <w:rFonts w:cs="Arial"/>
          <w:b/>
        </w:rPr>
        <w:t xml:space="preserve"> vydan</w:t>
      </w:r>
      <w:r w:rsidR="008200BA">
        <w:rPr>
          <w:rFonts w:cs="Arial"/>
          <w:b/>
          <w:lang w:val="cs-CZ"/>
        </w:rPr>
        <w:t>ých</w:t>
      </w:r>
      <w:r w:rsidR="00C112BF" w:rsidRPr="00777A92">
        <w:rPr>
          <w:rFonts w:cs="Arial"/>
          <w:b/>
        </w:rPr>
        <w:t xml:space="preserve"> po 1. lednu 2008 </w:t>
      </w:r>
      <w:r w:rsidR="008200BA">
        <w:rPr>
          <w:rFonts w:cs="Arial"/>
          <w:b/>
          <w:lang w:val="cs-CZ"/>
        </w:rPr>
        <w:t>byla uvedena</w:t>
      </w:r>
      <w:r w:rsidR="00A65EC5">
        <w:rPr>
          <w:rFonts w:cs="Arial"/>
          <w:b/>
          <w:lang w:val="cs-CZ"/>
        </w:rPr>
        <w:t xml:space="preserve"> </w:t>
      </w:r>
      <w:r w:rsidR="00A65EC5">
        <w:rPr>
          <w:rFonts w:cs="Arial"/>
          <w:b/>
        </w:rPr>
        <w:t>podmínk</w:t>
      </w:r>
      <w:r w:rsidR="008200BA">
        <w:rPr>
          <w:rFonts w:cs="Arial"/>
          <w:b/>
          <w:lang w:val="cs-CZ"/>
        </w:rPr>
        <w:t>a</w:t>
      </w:r>
      <w:r w:rsidR="00C112BF" w:rsidRPr="00777A92">
        <w:rPr>
          <w:rFonts w:cs="Arial"/>
          <w:b/>
        </w:rPr>
        <w:t>, ž</w:t>
      </w:r>
      <w:r w:rsidR="00482DD5" w:rsidRPr="00777A92">
        <w:rPr>
          <w:rFonts w:cs="Arial"/>
          <w:b/>
        </w:rPr>
        <w:t xml:space="preserve">e HMP vykonává funkci </w:t>
      </w:r>
      <w:r w:rsidR="007A697E" w:rsidRPr="00777A92">
        <w:rPr>
          <w:rFonts w:cs="Arial"/>
          <w:b/>
          <w:lang w:val="cs-CZ"/>
        </w:rPr>
        <w:t>pověřeného auditního subjektu (dále též „</w:t>
      </w:r>
      <w:r w:rsidR="00482DD5" w:rsidRPr="00777A92">
        <w:rPr>
          <w:rFonts w:cs="Arial"/>
          <w:b/>
        </w:rPr>
        <w:t>PAS</w:t>
      </w:r>
      <w:r w:rsidR="007A697E" w:rsidRPr="00777A92">
        <w:rPr>
          <w:rFonts w:cs="Arial"/>
          <w:b/>
          <w:lang w:val="cs-CZ"/>
        </w:rPr>
        <w:t>“)</w:t>
      </w:r>
      <w:r w:rsidR="00482DD5" w:rsidRPr="00777A92">
        <w:rPr>
          <w:rFonts w:cs="Arial"/>
          <w:b/>
          <w:lang w:val="cs-CZ"/>
        </w:rPr>
        <w:t>, přestože mu to ukládalo</w:t>
      </w:r>
      <w:r w:rsidR="008200BA">
        <w:rPr>
          <w:rFonts w:cs="Arial"/>
          <w:b/>
          <w:lang w:val="cs-CZ"/>
        </w:rPr>
        <w:t xml:space="preserve"> u</w:t>
      </w:r>
      <w:r w:rsidR="005D6B7E">
        <w:rPr>
          <w:rFonts w:cs="Arial"/>
          <w:b/>
        </w:rPr>
        <w:t xml:space="preserve">snesení vlády ČR ze </w:t>
      </w:r>
      <w:r w:rsidR="005D6B7E">
        <w:rPr>
          <w:rFonts w:cs="Arial"/>
          <w:b/>
        </w:rPr>
        <w:lastRenderedPageBreak/>
        <w:t>dne 11.</w:t>
      </w:r>
      <w:r w:rsidR="005D6B7E">
        <w:rPr>
          <w:rFonts w:cs="Arial"/>
          <w:b/>
          <w:lang w:val="cs-CZ"/>
        </w:rPr>
        <w:t> </w:t>
      </w:r>
      <w:r w:rsidR="00482DD5" w:rsidRPr="00777A92">
        <w:rPr>
          <w:rFonts w:cs="Arial"/>
          <w:b/>
        </w:rPr>
        <w:t>července 2007 č. 760</w:t>
      </w:r>
      <w:r w:rsidR="007A697E" w:rsidRPr="00777A92">
        <w:rPr>
          <w:rStyle w:val="Znakapoznpodarou"/>
          <w:rFonts w:cs="Arial"/>
          <w:sz w:val="20"/>
          <w:szCs w:val="20"/>
        </w:rPr>
        <w:footnoteReference w:id="19"/>
      </w:r>
      <w:r w:rsidR="00C51803" w:rsidRPr="00777A92">
        <w:rPr>
          <w:rFonts w:cs="Arial"/>
          <w:b/>
          <w:lang w:val="cs-CZ"/>
        </w:rPr>
        <w:t xml:space="preserve">. </w:t>
      </w:r>
      <w:r w:rsidR="0011375D">
        <w:rPr>
          <w:rFonts w:cs="Arial"/>
          <w:b/>
          <w:lang w:val="cs-CZ"/>
        </w:rPr>
        <w:t>V </w:t>
      </w:r>
      <w:r w:rsidR="00A65EC5">
        <w:rPr>
          <w:rFonts w:cs="Arial"/>
          <w:b/>
          <w:lang w:val="cs-CZ"/>
        </w:rPr>
        <w:t>případě</w:t>
      </w:r>
      <w:r w:rsidR="00F05C64" w:rsidRPr="00777A92">
        <w:rPr>
          <w:rFonts w:cs="Arial"/>
          <w:b/>
          <w:lang w:val="cs-CZ"/>
        </w:rPr>
        <w:t xml:space="preserve"> </w:t>
      </w:r>
      <w:r w:rsidR="00C112BF" w:rsidRPr="00777A92">
        <w:rPr>
          <w:rFonts w:cs="Arial"/>
          <w:b/>
        </w:rPr>
        <w:t>HMP je funkce řídicíh</w:t>
      </w:r>
      <w:r w:rsidR="00E939BC" w:rsidRPr="00777A92">
        <w:rPr>
          <w:rFonts w:cs="Arial"/>
          <w:b/>
        </w:rPr>
        <w:t>o</w:t>
      </w:r>
      <w:r w:rsidR="00E939BC" w:rsidRPr="00777A92">
        <w:rPr>
          <w:rFonts w:cs="Arial"/>
          <w:b/>
          <w:lang w:val="cs-CZ"/>
        </w:rPr>
        <w:t xml:space="preserve"> orgánu</w:t>
      </w:r>
      <w:r w:rsidR="00C112BF" w:rsidRPr="00777A92">
        <w:rPr>
          <w:rFonts w:cs="Arial"/>
          <w:b/>
        </w:rPr>
        <w:t xml:space="preserve"> vykonávána odděleně od funkce PAS, nicméně zaměstnanci řídicího orgánu (</w:t>
      </w:r>
      <w:r w:rsidR="008200BA">
        <w:rPr>
          <w:rFonts w:cs="Arial"/>
          <w:b/>
          <w:lang w:val="cs-CZ"/>
        </w:rPr>
        <w:t>O</w:t>
      </w:r>
      <w:r w:rsidR="00C112BF" w:rsidRPr="00274ABD">
        <w:rPr>
          <w:rFonts w:cs="Arial"/>
          <w:b/>
          <w:lang w:val="cs-CZ"/>
        </w:rPr>
        <w:t>dbor</w:t>
      </w:r>
      <w:r w:rsidR="008200BA">
        <w:rPr>
          <w:rFonts w:cs="Arial"/>
          <w:b/>
          <w:lang w:val="cs-CZ"/>
        </w:rPr>
        <w:t xml:space="preserve"> Evropských</w:t>
      </w:r>
      <w:r w:rsidR="00C112BF" w:rsidRPr="00777A92">
        <w:rPr>
          <w:rFonts w:cs="Arial"/>
          <w:b/>
        </w:rPr>
        <w:t xml:space="preserve"> fondů) i zaměstnanci PAS (oddělení interního auditu HMP) jsou současně zaměstnanci HMP</w:t>
      </w:r>
      <w:r w:rsidR="00482DD5" w:rsidRPr="00777A92">
        <w:rPr>
          <w:rFonts w:cs="Arial"/>
          <w:b/>
          <w:lang w:val="cs-CZ"/>
        </w:rPr>
        <w:t xml:space="preserve">, </w:t>
      </w:r>
      <w:r w:rsidR="008200BA">
        <w:rPr>
          <w:rFonts w:cs="Arial"/>
          <w:b/>
          <w:lang w:val="cs-CZ"/>
        </w:rPr>
        <w:t>čímž</w:t>
      </w:r>
      <w:r w:rsidR="00482DD5" w:rsidRPr="00777A92">
        <w:rPr>
          <w:rFonts w:cs="Arial"/>
          <w:b/>
          <w:lang w:val="cs-CZ"/>
        </w:rPr>
        <w:t xml:space="preserve"> vzniká riziko</w:t>
      </w:r>
      <w:r w:rsidR="008200BA">
        <w:rPr>
          <w:rFonts w:cs="Arial"/>
          <w:b/>
          <w:lang w:val="cs-CZ"/>
        </w:rPr>
        <w:t xml:space="preserve">, že nebude </w:t>
      </w:r>
      <w:r w:rsidR="00C61544">
        <w:rPr>
          <w:rFonts w:cs="Arial"/>
          <w:b/>
          <w:lang w:val="cs-CZ"/>
        </w:rPr>
        <w:t xml:space="preserve">dodržena </w:t>
      </w:r>
      <w:r w:rsidR="00482DD5" w:rsidRPr="00777A92">
        <w:rPr>
          <w:rFonts w:cs="Arial"/>
          <w:b/>
          <w:lang w:val="cs-CZ"/>
        </w:rPr>
        <w:t>nezávislost výkonu funkce PAS.</w:t>
      </w:r>
      <w:r w:rsidR="00C112BF" w:rsidRPr="00777A92">
        <w:rPr>
          <w:rFonts w:cs="Arial"/>
          <w:b/>
        </w:rPr>
        <w:t xml:space="preserve"> </w:t>
      </w:r>
    </w:p>
    <w:p w:rsidR="00B1411D" w:rsidRDefault="00B1411D" w:rsidP="00482DD5">
      <w:pPr>
        <w:pStyle w:val="Styl1"/>
        <w:spacing w:after="0" w:line="240" w:lineRule="auto"/>
        <w:rPr>
          <w:rFonts w:cs="Arial"/>
          <w:lang w:val="cs-CZ"/>
        </w:rPr>
      </w:pPr>
    </w:p>
    <w:p w:rsidR="00C112BF" w:rsidRPr="002A3E8B" w:rsidRDefault="00337EB1" w:rsidP="00482DD5">
      <w:pPr>
        <w:pStyle w:val="Styl1"/>
        <w:spacing w:after="0" w:line="240" w:lineRule="auto"/>
        <w:rPr>
          <w:rFonts w:cs="Arial"/>
        </w:rPr>
      </w:pPr>
      <w:r w:rsidRPr="005D6B7E">
        <w:rPr>
          <w:rFonts w:cs="Arial"/>
        </w:rPr>
        <w:t>Usnesením ze dne 11. července 2007 č. 760 uložila vláda ČR ministru pro místní rozvoj zajistit, aby byla v právní</w:t>
      </w:r>
      <w:r w:rsidR="00C61544">
        <w:rPr>
          <w:rFonts w:cs="Arial"/>
          <w:lang w:val="cs-CZ"/>
        </w:rPr>
        <w:t>ch</w:t>
      </w:r>
      <w:r w:rsidRPr="005D6B7E">
        <w:rPr>
          <w:rFonts w:cs="Arial"/>
        </w:rPr>
        <w:t xml:space="preserve"> akt</w:t>
      </w:r>
      <w:r w:rsidR="00C61544">
        <w:rPr>
          <w:rFonts w:cs="Arial"/>
          <w:lang w:val="cs-CZ"/>
        </w:rPr>
        <w:t>ech</w:t>
      </w:r>
      <w:r w:rsidRPr="005D6B7E">
        <w:rPr>
          <w:rFonts w:cs="Arial"/>
        </w:rPr>
        <w:t xml:space="preserve"> zakládající</w:t>
      </w:r>
      <w:r w:rsidR="00C61544">
        <w:rPr>
          <w:rFonts w:cs="Arial"/>
          <w:lang w:val="cs-CZ"/>
        </w:rPr>
        <w:t>ch</w:t>
      </w:r>
      <w:r w:rsidRPr="005D6B7E">
        <w:rPr>
          <w:rFonts w:cs="Arial"/>
        </w:rPr>
        <w:t xml:space="preserve"> závazek poskytnutí finančních prostředků při realizaci OPPA vydaný</w:t>
      </w:r>
      <w:r w:rsidR="00C61544">
        <w:rPr>
          <w:rFonts w:cs="Arial"/>
          <w:lang w:val="cs-CZ"/>
        </w:rPr>
        <w:t>ch</w:t>
      </w:r>
      <w:r w:rsidRPr="005D6B7E">
        <w:rPr>
          <w:rFonts w:cs="Arial"/>
        </w:rPr>
        <w:t xml:space="preserve"> po 1. lednu 2008 obsažena podmínka, že </w:t>
      </w:r>
      <w:r w:rsidR="00BB28B8">
        <w:rPr>
          <w:rFonts w:cs="Arial"/>
          <w:lang w:val="cs-CZ"/>
        </w:rPr>
        <w:t>HMP</w:t>
      </w:r>
      <w:r w:rsidRPr="005D6B7E">
        <w:rPr>
          <w:rFonts w:cs="Arial"/>
        </w:rPr>
        <w:t xml:space="preserve"> </w:t>
      </w:r>
      <w:r w:rsidR="00C31AC5">
        <w:rPr>
          <w:rFonts w:cs="Arial"/>
          <w:lang w:val="cs-CZ"/>
        </w:rPr>
        <w:t xml:space="preserve">vykonává </w:t>
      </w:r>
      <w:r w:rsidR="00C61544">
        <w:rPr>
          <w:rFonts w:cs="Arial"/>
          <w:lang w:val="cs-CZ"/>
        </w:rPr>
        <w:t xml:space="preserve"> funkc</w:t>
      </w:r>
      <w:r w:rsidR="00C31AC5">
        <w:rPr>
          <w:rFonts w:cs="Arial"/>
          <w:lang w:val="cs-CZ"/>
        </w:rPr>
        <w:t>i PAS</w:t>
      </w:r>
      <w:r w:rsidRPr="005D6B7E">
        <w:rPr>
          <w:rFonts w:cs="Arial"/>
        </w:rPr>
        <w:t>.</w:t>
      </w:r>
      <w:r w:rsidR="002F0F54" w:rsidRPr="005D6B7E">
        <w:rPr>
          <w:rFonts w:cs="Arial"/>
          <w:lang w:val="cs-CZ"/>
        </w:rPr>
        <w:t xml:space="preserve"> </w:t>
      </w:r>
      <w:r w:rsidR="002F0F54" w:rsidRPr="005D6B7E">
        <w:rPr>
          <w:rFonts w:cs="Arial"/>
        </w:rPr>
        <w:t xml:space="preserve">Stejným </w:t>
      </w:r>
      <w:r w:rsidR="00C61544">
        <w:rPr>
          <w:rFonts w:cs="Arial"/>
          <w:lang w:val="cs-CZ"/>
        </w:rPr>
        <w:t>u</w:t>
      </w:r>
      <w:r w:rsidR="002F0F54" w:rsidRPr="005D6B7E">
        <w:rPr>
          <w:rFonts w:cs="Arial"/>
        </w:rPr>
        <w:t>snesením vlády bylo rovněž doporučeno primátorovi hl. města Prahy zajistit do 31. srpna 2007 uzavření smlouvy o</w:t>
      </w:r>
      <w:r w:rsidR="001E70F2">
        <w:rPr>
          <w:rFonts w:cs="Arial"/>
          <w:lang w:val="cs-CZ"/>
        </w:rPr>
        <w:t> </w:t>
      </w:r>
      <w:r w:rsidR="002F0F54" w:rsidRPr="005D6B7E">
        <w:rPr>
          <w:rFonts w:cs="Arial"/>
        </w:rPr>
        <w:t>výkonu auditu mezi HMP a MF</w:t>
      </w:r>
      <w:r w:rsidR="002F0F54" w:rsidRPr="005D6B7E">
        <w:rPr>
          <w:rFonts w:cs="Arial"/>
          <w:lang w:val="cs-CZ"/>
        </w:rPr>
        <w:t>.</w:t>
      </w:r>
      <w:r w:rsidR="002F0F54" w:rsidRPr="005D6B7E">
        <w:rPr>
          <w:rFonts w:cs="Arial"/>
        </w:rPr>
        <w:t xml:space="preserve"> </w:t>
      </w:r>
      <w:r w:rsidR="00F05C64" w:rsidRPr="005D6B7E">
        <w:rPr>
          <w:rFonts w:cs="Arial"/>
          <w:lang w:val="cs-CZ"/>
        </w:rPr>
        <w:t xml:space="preserve">Smlouva byla uzavřena dne 12. </w:t>
      </w:r>
      <w:r w:rsidR="005D6B7E">
        <w:rPr>
          <w:rFonts w:cs="Arial"/>
          <w:lang w:val="cs-CZ"/>
        </w:rPr>
        <w:t>září</w:t>
      </w:r>
      <w:r w:rsidR="00F05C64" w:rsidRPr="005D6B7E">
        <w:rPr>
          <w:rFonts w:cs="Arial"/>
          <w:lang w:val="cs-CZ"/>
        </w:rPr>
        <w:t xml:space="preserve"> 2007. </w:t>
      </w:r>
      <w:r w:rsidRPr="005D6B7E">
        <w:rPr>
          <w:rFonts w:cs="Arial"/>
        </w:rPr>
        <w:t>Právním aktem zakládajícím</w:t>
      </w:r>
      <w:r w:rsidR="005D6B7E">
        <w:rPr>
          <w:rFonts w:cs="Arial"/>
          <w:lang w:val="cs-CZ"/>
        </w:rPr>
        <w:t xml:space="preserve"> </w:t>
      </w:r>
      <w:r w:rsidRPr="005D6B7E">
        <w:rPr>
          <w:rFonts w:cs="Arial"/>
        </w:rPr>
        <w:t>závazek poskytnutí finančních</w:t>
      </w:r>
      <w:r w:rsidR="005D6B7E">
        <w:rPr>
          <w:rFonts w:cs="Arial"/>
          <w:lang w:val="cs-CZ"/>
        </w:rPr>
        <w:t xml:space="preserve"> </w:t>
      </w:r>
      <w:r w:rsidRPr="005D6B7E">
        <w:rPr>
          <w:rFonts w:cs="Arial"/>
        </w:rPr>
        <w:t xml:space="preserve">prostředků </w:t>
      </w:r>
      <w:r w:rsidR="005D6B7E">
        <w:rPr>
          <w:rFonts w:cs="Arial"/>
        </w:rPr>
        <w:t>byl</w:t>
      </w:r>
      <w:r w:rsidR="00E16D88">
        <w:rPr>
          <w:rFonts w:cs="Arial"/>
          <w:lang w:val="cs-CZ"/>
        </w:rPr>
        <w:t>a</w:t>
      </w:r>
      <w:r w:rsidR="005D6B7E">
        <w:rPr>
          <w:rFonts w:cs="Arial"/>
        </w:rPr>
        <w:t xml:space="preserve"> v letech 2008–</w:t>
      </w:r>
      <w:r w:rsidRPr="005D6B7E">
        <w:rPr>
          <w:rFonts w:cs="Arial"/>
        </w:rPr>
        <w:t xml:space="preserve">2010 pouze </w:t>
      </w:r>
      <w:r w:rsidR="00547BA8">
        <w:rPr>
          <w:rFonts w:cs="Arial"/>
          <w:i/>
        </w:rPr>
        <w:t>rozhodnutí o</w:t>
      </w:r>
      <w:r w:rsidR="00547BA8">
        <w:rPr>
          <w:rFonts w:cs="Arial"/>
          <w:i/>
          <w:lang w:val="cs-CZ"/>
        </w:rPr>
        <w:t> </w:t>
      </w:r>
      <w:r w:rsidRPr="005D6B7E">
        <w:rPr>
          <w:rFonts w:cs="Arial"/>
          <w:i/>
        </w:rPr>
        <w:t>poskytnutí dotace</w:t>
      </w:r>
      <w:r w:rsidRPr="005D6B7E">
        <w:rPr>
          <w:rFonts w:cs="Arial"/>
        </w:rPr>
        <w:t xml:space="preserve"> vydávan</w:t>
      </w:r>
      <w:r w:rsidR="00E16D88">
        <w:rPr>
          <w:rFonts w:cs="Arial"/>
          <w:lang w:val="cs-CZ"/>
        </w:rPr>
        <w:t>á</w:t>
      </w:r>
      <w:r w:rsidRPr="005D6B7E">
        <w:rPr>
          <w:rFonts w:cs="Arial"/>
        </w:rPr>
        <w:t xml:space="preserve"> MMR na jednotlivé roky. V těchto rozhodnutích však </w:t>
      </w:r>
      <w:r w:rsidR="00E16D88">
        <w:rPr>
          <w:rFonts w:cs="Arial"/>
          <w:lang w:val="cs-CZ"/>
        </w:rPr>
        <w:t>zmíněná</w:t>
      </w:r>
      <w:r w:rsidRPr="005D6B7E">
        <w:rPr>
          <w:rFonts w:cs="Arial"/>
        </w:rPr>
        <w:t xml:space="preserve"> podmínka uložená </w:t>
      </w:r>
      <w:r w:rsidR="00E16D88" w:rsidRPr="005D6B7E">
        <w:rPr>
          <w:rFonts w:cs="Arial"/>
        </w:rPr>
        <w:t xml:space="preserve">vládou ČR </w:t>
      </w:r>
      <w:r w:rsidRPr="005D6B7E">
        <w:rPr>
          <w:rFonts w:cs="Arial"/>
        </w:rPr>
        <w:t xml:space="preserve">ministrovi pro místní rozvoj obsažena nebyla. </w:t>
      </w:r>
      <w:r w:rsidR="00C51803" w:rsidRPr="005D6B7E">
        <w:rPr>
          <w:rFonts w:cs="Arial"/>
        </w:rPr>
        <w:t xml:space="preserve">Podle </w:t>
      </w:r>
      <w:r w:rsidR="00C51803" w:rsidRPr="005D6B7E">
        <w:rPr>
          <w:rFonts w:cs="Arial"/>
          <w:i/>
        </w:rPr>
        <w:t>Zásad</w:t>
      </w:r>
      <w:r w:rsidR="00D45646">
        <w:rPr>
          <w:rFonts w:cs="Arial"/>
          <w:i/>
        </w:rPr>
        <w:t xml:space="preserve"> pro činnost auditního orgánu a</w:t>
      </w:r>
      <w:r w:rsidR="00D45646">
        <w:rPr>
          <w:rFonts w:cs="Arial"/>
          <w:i/>
          <w:lang w:val="cs-CZ"/>
        </w:rPr>
        <w:t> </w:t>
      </w:r>
      <w:r w:rsidR="00C51803" w:rsidRPr="005D6B7E">
        <w:rPr>
          <w:rFonts w:cs="Arial"/>
          <w:i/>
        </w:rPr>
        <w:t>pověřených subjektů auditního orgánu</w:t>
      </w:r>
      <w:r w:rsidR="00C51803" w:rsidRPr="005D6B7E">
        <w:rPr>
          <w:rFonts w:cs="Arial"/>
        </w:rPr>
        <w:t xml:space="preserve">, jež jsou přílohou </w:t>
      </w:r>
      <w:r w:rsidR="00E16D88">
        <w:rPr>
          <w:rFonts w:cs="Arial"/>
          <w:lang w:val="cs-CZ"/>
        </w:rPr>
        <w:t>u</w:t>
      </w:r>
      <w:r w:rsidR="00D45646">
        <w:rPr>
          <w:rFonts w:cs="Arial"/>
        </w:rPr>
        <w:t>snesení vlády ČR ze dne 11.</w:t>
      </w:r>
      <w:r w:rsidR="00D45646">
        <w:rPr>
          <w:rFonts w:cs="Arial"/>
          <w:lang w:val="cs-CZ"/>
        </w:rPr>
        <w:t> </w:t>
      </w:r>
      <w:bookmarkStart w:id="5" w:name="_GoBack"/>
      <w:bookmarkEnd w:id="5"/>
      <w:r w:rsidR="00C51803" w:rsidRPr="005D6B7E">
        <w:rPr>
          <w:rFonts w:cs="Arial"/>
        </w:rPr>
        <w:t xml:space="preserve">července 2007 č. 760, </w:t>
      </w:r>
      <w:r w:rsidR="00C51803" w:rsidRPr="002A3E8B">
        <w:rPr>
          <w:rFonts w:cs="Arial"/>
        </w:rPr>
        <w:t>musí PAS zajistit, aby byl výkon auditu finančních prostředků poskytnutých z fondů EU oddělen od výkonu funkce řídicího orgánu</w:t>
      </w:r>
      <w:r w:rsidR="00C51803" w:rsidRPr="002A3E8B">
        <w:rPr>
          <w:rStyle w:val="Znakapoznpodarou"/>
          <w:rFonts w:cs="Arial"/>
        </w:rPr>
        <w:footnoteReference w:id="20"/>
      </w:r>
      <w:r w:rsidR="00C51803" w:rsidRPr="002A3E8B">
        <w:rPr>
          <w:rFonts w:cs="Arial"/>
        </w:rPr>
        <w:t xml:space="preserve">. Kontrolou bylo ověřeno, že funkce řídicího orgánu OPPA je vykonávána odděleně od funkce PAS </w:t>
      </w:r>
      <w:r w:rsidR="00F05C64" w:rsidRPr="002A3E8B">
        <w:rPr>
          <w:rFonts w:cs="Arial"/>
        </w:rPr>
        <w:t>pro OPPA</w:t>
      </w:r>
      <w:r w:rsidR="00F05C64" w:rsidRPr="002A3E8B">
        <w:rPr>
          <w:rFonts w:cs="Arial"/>
          <w:lang w:val="cs-CZ"/>
        </w:rPr>
        <w:t xml:space="preserve">. </w:t>
      </w:r>
    </w:p>
    <w:p w:rsidR="004B543B" w:rsidRPr="00777A92" w:rsidRDefault="004B543B" w:rsidP="004B543B">
      <w:pPr>
        <w:rPr>
          <w:rFonts w:cs="Arial"/>
          <w:b/>
        </w:rPr>
      </w:pPr>
    </w:p>
    <w:p w:rsidR="004B543B" w:rsidRPr="00777A92" w:rsidRDefault="00C112BF" w:rsidP="004B543B">
      <w:pPr>
        <w:rPr>
          <w:rFonts w:cs="Arial"/>
        </w:rPr>
      </w:pPr>
      <w:r w:rsidRPr="00777A92">
        <w:rPr>
          <w:rFonts w:cs="Arial"/>
          <w:b/>
        </w:rPr>
        <w:t>Řídicí orgán (</w:t>
      </w:r>
      <w:r w:rsidR="00644C00">
        <w:rPr>
          <w:rFonts w:cs="Arial"/>
          <w:b/>
        </w:rPr>
        <w:t>M</w:t>
      </w:r>
      <w:r w:rsidRPr="00777A92">
        <w:rPr>
          <w:rFonts w:cs="Arial"/>
          <w:b/>
        </w:rPr>
        <w:t>HMP) dva roky před ukončením programového období 2007</w:t>
      </w:r>
      <w:r w:rsidR="001A0C8A">
        <w:rPr>
          <w:rFonts w:cs="Arial"/>
          <w:b/>
        </w:rPr>
        <w:t>–</w:t>
      </w:r>
      <w:r w:rsidRPr="00777A92">
        <w:rPr>
          <w:rFonts w:cs="Arial"/>
          <w:b/>
        </w:rPr>
        <w:t xml:space="preserve">2013 </w:t>
      </w:r>
      <w:r w:rsidR="00E16D88" w:rsidRPr="00777A92">
        <w:rPr>
          <w:rFonts w:cs="Arial"/>
          <w:b/>
        </w:rPr>
        <w:t xml:space="preserve">stále nemá </w:t>
      </w:r>
      <w:r w:rsidRPr="00777A92">
        <w:rPr>
          <w:rFonts w:cs="Arial"/>
          <w:b/>
        </w:rPr>
        <w:t xml:space="preserve">k dispozici dostatečné informace a závěry o průběhu realizace OPPA z provedení hodnocení v průběhu </w:t>
      </w:r>
      <w:r w:rsidR="00E12435">
        <w:rPr>
          <w:rFonts w:cs="Arial"/>
          <w:b/>
        </w:rPr>
        <w:t xml:space="preserve">realizace </w:t>
      </w:r>
      <w:r w:rsidRPr="00777A92">
        <w:rPr>
          <w:rFonts w:cs="Arial"/>
          <w:b/>
        </w:rPr>
        <w:t xml:space="preserve">OPPA a </w:t>
      </w:r>
      <w:r w:rsidR="00E16D88">
        <w:rPr>
          <w:rFonts w:cs="Arial"/>
          <w:b/>
        </w:rPr>
        <w:t>z </w:t>
      </w:r>
      <w:r w:rsidRPr="00777A92">
        <w:rPr>
          <w:rFonts w:cs="Arial"/>
          <w:b/>
        </w:rPr>
        <w:t xml:space="preserve">evaluačních studií. </w:t>
      </w:r>
    </w:p>
    <w:p w:rsidR="00B1411D" w:rsidRDefault="00B1411D" w:rsidP="004B543B">
      <w:pPr>
        <w:rPr>
          <w:rFonts w:cs="Arial"/>
          <w:szCs w:val="22"/>
        </w:rPr>
      </w:pPr>
    </w:p>
    <w:p w:rsidR="00C112BF" w:rsidRPr="002A3E8B" w:rsidRDefault="004B543B" w:rsidP="004B543B">
      <w:pPr>
        <w:rPr>
          <w:rFonts w:cs="Arial"/>
          <w:szCs w:val="22"/>
        </w:rPr>
      </w:pPr>
      <w:r w:rsidRPr="002A3E8B">
        <w:rPr>
          <w:rFonts w:cs="Arial"/>
          <w:szCs w:val="22"/>
        </w:rPr>
        <w:t>O</w:t>
      </w:r>
      <w:r w:rsidR="00C112BF" w:rsidRPr="002A3E8B">
        <w:rPr>
          <w:rFonts w:cs="Arial"/>
          <w:szCs w:val="22"/>
        </w:rPr>
        <w:t>dložené vypracování</w:t>
      </w:r>
      <w:r w:rsidRPr="002A3E8B">
        <w:rPr>
          <w:rFonts w:cs="Arial"/>
          <w:szCs w:val="22"/>
        </w:rPr>
        <w:t xml:space="preserve"> evaluačních studií</w:t>
      </w:r>
      <w:r w:rsidR="00C112BF" w:rsidRPr="002A3E8B">
        <w:rPr>
          <w:rFonts w:cs="Arial"/>
          <w:szCs w:val="22"/>
        </w:rPr>
        <w:t xml:space="preserve"> z poloviny roku 2011 je avizováno na rok 2012, čímž vzniká riziko, že případné identifikované problémy a nedostatky v implementaci OPPA, navržená doporučení a korekce dalšího postupu implementace nebude již možné účinně zrealizovat do konce programového období 2013, resp. do konce roku 2015</w:t>
      </w:r>
      <w:r w:rsidR="00C112BF" w:rsidRPr="002A3E8B">
        <w:rPr>
          <w:rFonts w:cs="Arial"/>
          <w:szCs w:val="22"/>
        </w:rPr>
        <w:fldChar w:fldCharType="begin"/>
      </w:r>
      <w:r w:rsidR="00C112BF" w:rsidRPr="002A3E8B">
        <w:rPr>
          <w:rFonts w:cs="Arial"/>
          <w:szCs w:val="22"/>
        </w:rPr>
        <w:instrText xml:space="preserve"> NOTEREF _Ref322352712 \f \h </w:instrText>
      </w:r>
      <w:r w:rsidRPr="002A3E8B">
        <w:rPr>
          <w:rFonts w:cs="Arial"/>
          <w:szCs w:val="22"/>
        </w:rPr>
        <w:instrText xml:space="preserve"> \* MERGEFORMAT </w:instrText>
      </w:r>
      <w:r w:rsidR="00C112BF" w:rsidRPr="002A3E8B">
        <w:rPr>
          <w:rFonts w:cs="Arial"/>
          <w:szCs w:val="22"/>
        </w:rPr>
      </w:r>
      <w:r w:rsidR="00C112BF" w:rsidRPr="002A3E8B">
        <w:rPr>
          <w:rFonts w:cs="Arial"/>
          <w:szCs w:val="22"/>
        </w:rPr>
        <w:fldChar w:fldCharType="separate"/>
      </w:r>
      <w:r w:rsidR="003618B5" w:rsidRPr="00B7723D">
        <w:rPr>
          <w:rStyle w:val="Znakapoznpodarou"/>
        </w:rPr>
        <w:t>2</w:t>
      </w:r>
      <w:r w:rsidR="00C112BF" w:rsidRPr="002A3E8B">
        <w:rPr>
          <w:rFonts w:cs="Arial"/>
          <w:szCs w:val="22"/>
        </w:rPr>
        <w:fldChar w:fldCharType="end"/>
      </w:r>
      <w:r w:rsidR="00C112BF" w:rsidRPr="002A3E8B">
        <w:rPr>
          <w:rFonts w:cs="Arial"/>
          <w:szCs w:val="22"/>
        </w:rPr>
        <w:t>.</w:t>
      </w:r>
      <w:r w:rsidRPr="002A3E8B">
        <w:rPr>
          <w:rFonts w:cs="Arial"/>
          <w:color w:val="000000"/>
          <w:szCs w:val="22"/>
          <w:lang w:eastAsia="cs-CZ"/>
        </w:rPr>
        <w:t xml:space="preserve"> </w:t>
      </w:r>
    </w:p>
    <w:p w:rsidR="004B543B" w:rsidRPr="00777A92" w:rsidRDefault="004B543B" w:rsidP="004B543B">
      <w:pPr>
        <w:rPr>
          <w:rFonts w:cs="Arial"/>
        </w:rPr>
      </w:pPr>
    </w:p>
    <w:p w:rsidR="00A30910" w:rsidRPr="002A3E8B" w:rsidRDefault="00C112BF" w:rsidP="00A30910">
      <w:pPr>
        <w:pStyle w:val="Zkladntext2"/>
        <w:tabs>
          <w:tab w:val="left" w:pos="0"/>
        </w:tabs>
        <w:overflowPunct/>
        <w:autoSpaceDE/>
        <w:autoSpaceDN/>
        <w:adjustRightInd/>
        <w:spacing w:after="0"/>
        <w:textAlignment w:val="auto"/>
        <w:rPr>
          <w:rFonts w:cs="Arial"/>
          <w:szCs w:val="22"/>
        </w:rPr>
      </w:pPr>
      <w:r w:rsidRPr="00777A92">
        <w:rPr>
          <w:rFonts w:cs="Arial"/>
          <w:b/>
        </w:rPr>
        <w:t xml:space="preserve">Doporučení </w:t>
      </w:r>
      <w:r w:rsidR="00174218">
        <w:rPr>
          <w:rFonts w:cs="Arial"/>
          <w:b/>
        </w:rPr>
        <w:t>z </w:t>
      </w:r>
      <w:r w:rsidRPr="00777A92">
        <w:rPr>
          <w:rFonts w:cs="Arial"/>
          <w:b/>
        </w:rPr>
        <w:t>předcho</w:t>
      </w:r>
      <w:r w:rsidR="001A0C8A">
        <w:rPr>
          <w:rFonts w:cs="Arial"/>
          <w:b/>
        </w:rPr>
        <w:t>zího programov</w:t>
      </w:r>
      <w:r w:rsidR="00955E8B">
        <w:rPr>
          <w:rFonts w:cs="Arial"/>
          <w:b/>
        </w:rPr>
        <w:t>ého</w:t>
      </w:r>
      <w:r w:rsidR="001A0C8A">
        <w:rPr>
          <w:rFonts w:cs="Arial"/>
          <w:b/>
        </w:rPr>
        <w:t xml:space="preserve"> období 2004</w:t>
      </w:r>
      <w:r w:rsidR="002A3E8B">
        <w:rPr>
          <w:rFonts w:cs="Arial"/>
          <w:b/>
        </w:rPr>
        <w:t>–</w:t>
      </w:r>
      <w:r w:rsidRPr="00777A92">
        <w:rPr>
          <w:rFonts w:cs="Arial"/>
          <w:b/>
        </w:rPr>
        <w:t>2006 nebyla v dostatečné míře využita v</w:t>
      </w:r>
      <w:r w:rsidR="002A3E8B">
        <w:rPr>
          <w:rFonts w:cs="Arial"/>
          <w:b/>
        </w:rPr>
        <w:t> r</w:t>
      </w:r>
      <w:r w:rsidR="001A0C8A">
        <w:rPr>
          <w:rFonts w:cs="Arial"/>
          <w:b/>
        </w:rPr>
        <w:t>ámci programového období 2007–</w:t>
      </w:r>
      <w:r w:rsidRPr="00777A92">
        <w:rPr>
          <w:rFonts w:cs="Arial"/>
          <w:b/>
        </w:rPr>
        <w:t>2013 při implementaci OPPA, a některé problémy proto přetrvávají.</w:t>
      </w:r>
      <w:r w:rsidRPr="00777A92">
        <w:rPr>
          <w:rFonts w:cs="Arial"/>
        </w:rPr>
        <w:t xml:space="preserve"> </w:t>
      </w:r>
      <w:r w:rsidR="00AD5503" w:rsidRPr="002A3E8B">
        <w:rPr>
          <w:rFonts w:cs="Arial"/>
          <w:szCs w:val="22"/>
        </w:rPr>
        <w:t>Jedná se např. o nastavení a využívání indikátorové soustavy u OPPA, několikanásobné překračování cílové hodnoty indikátorů, spolehlivost, včasnost a</w:t>
      </w:r>
      <w:r w:rsidR="001E70F2">
        <w:rPr>
          <w:rFonts w:cs="Arial"/>
          <w:szCs w:val="22"/>
        </w:rPr>
        <w:t> </w:t>
      </w:r>
      <w:r w:rsidR="00AD5503" w:rsidRPr="002A3E8B">
        <w:rPr>
          <w:rFonts w:cs="Arial"/>
          <w:szCs w:val="22"/>
        </w:rPr>
        <w:t xml:space="preserve">dostupnost aktuálních informací o průběhu realizace programu získávaných z monitorovacího systému. </w:t>
      </w:r>
      <w:r w:rsidR="00A30910" w:rsidRPr="002A3E8B">
        <w:rPr>
          <w:rFonts w:cs="Arial"/>
          <w:szCs w:val="22"/>
        </w:rPr>
        <w:t>Lze rovněž konstatovat prodlevu v zahájení implementace OPPA obdobně</w:t>
      </w:r>
      <w:r w:rsidR="00955E8B">
        <w:rPr>
          <w:rFonts w:cs="Arial"/>
          <w:szCs w:val="22"/>
        </w:rPr>
        <w:t>,</w:t>
      </w:r>
      <w:r w:rsidR="00A30910" w:rsidRPr="002A3E8B">
        <w:rPr>
          <w:rFonts w:cs="Arial"/>
          <w:szCs w:val="22"/>
        </w:rPr>
        <w:t xml:space="preserve"> jako tomu bylo v předchozím programovém období</w:t>
      </w:r>
      <w:r w:rsidR="007A697E" w:rsidRPr="002A3E8B">
        <w:rPr>
          <w:rFonts w:cs="Arial"/>
          <w:szCs w:val="22"/>
        </w:rPr>
        <w:t xml:space="preserve"> u JPD 3. V roce 2007 nedošlo u </w:t>
      </w:r>
      <w:r w:rsidR="00A30910" w:rsidRPr="002A3E8B">
        <w:rPr>
          <w:rFonts w:cs="Arial"/>
          <w:szCs w:val="22"/>
        </w:rPr>
        <w:t>OPPA k žádnému čerpání pomoci, nebyly vyhlášeny výzvy k předkládání pro</w:t>
      </w:r>
      <w:r w:rsidR="007A697E" w:rsidRPr="002A3E8B">
        <w:rPr>
          <w:rFonts w:cs="Arial"/>
          <w:szCs w:val="22"/>
        </w:rPr>
        <w:t>jektových žádostí, a </w:t>
      </w:r>
      <w:r w:rsidR="00A30910" w:rsidRPr="002A3E8B">
        <w:rPr>
          <w:rFonts w:cs="Arial"/>
          <w:szCs w:val="22"/>
        </w:rPr>
        <w:t xml:space="preserve">nebyly tedy </w:t>
      </w:r>
      <w:r w:rsidR="00955E8B">
        <w:rPr>
          <w:rFonts w:cs="Arial"/>
          <w:szCs w:val="22"/>
        </w:rPr>
        <w:t xml:space="preserve">ani </w:t>
      </w:r>
      <w:r w:rsidR="00A30910" w:rsidRPr="002A3E8B">
        <w:rPr>
          <w:rFonts w:cs="Arial"/>
          <w:szCs w:val="22"/>
        </w:rPr>
        <w:t>zahájeny žádné projekty podpořené z OPPA</w:t>
      </w:r>
      <w:r w:rsidR="00A30910" w:rsidRPr="002A3E8B">
        <w:rPr>
          <w:rStyle w:val="Znakapoznpodarou"/>
          <w:rFonts w:cs="Arial"/>
          <w:szCs w:val="22"/>
        </w:rPr>
        <w:footnoteReference w:id="21"/>
      </w:r>
      <w:r w:rsidR="00A30910" w:rsidRPr="002A3E8B">
        <w:rPr>
          <w:rFonts w:cs="Arial"/>
          <w:szCs w:val="22"/>
        </w:rPr>
        <w:t>. K zahájení příjmu žádost</w:t>
      </w:r>
      <w:r w:rsidR="00955E8B">
        <w:rPr>
          <w:rFonts w:cs="Arial"/>
          <w:szCs w:val="22"/>
        </w:rPr>
        <w:t>í</w:t>
      </w:r>
      <w:r w:rsidR="00A30910" w:rsidRPr="002A3E8B">
        <w:rPr>
          <w:rFonts w:cs="Arial"/>
          <w:szCs w:val="22"/>
        </w:rPr>
        <w:t xml:space="preserve"> na základě vyhlášení první výzvy k předkládání projektů došlo až v lednu 2008. </w:t>
      </w:r>
    </w:p>
    <w:p w:rsidR="00C112BF" w:rsidRPr="00777A92" w:rsidRDefault="00C112BF" w:rsidP="00C112BF">
      <w:pPr>
        <w:rPr>
          <w:rFonts w:cs="Arial"/>
          <w:szCs w:val="22"/>
        </w:rPr>
      </w:pPr>
    </w:p>
    <w:p w:rsidR="00C112BF" w:rsidRPr="002A3E8B" w:rsidRDefault="00644C00" w:rsidP="008E5793">
      <w:pPr>
        <w:pStyle w:val="Styl1"/>
        <w:spacing w:line="240" w:lineRule="auto"/>
        <w:rPr>
          <w:rFonts w:cs="Arial"/>
          <w:lang w:val="cs-CZ" w:eastAsia="cs-CZ"/>
        </w:rPr>
      </w:pPr>
      <w:r>
        <w:rPr>
          <w:rFonts w:cs="Arial"/>
          <w:b/>
          <w:lang w:val="cs-CZ"/>
        </w:rPr>
        <w:t>M</w:t>
      </w:r>
      <w:r w:rsidR="00C112BF" w:rsidRPr="00777A92">
        <w:rPr>
          <w:rFonts w:cs="Arial"/>
          <w:b/>
        </w:rPr>
        <w:t>HMP některé monitorovací ukazatele OPPA nastavil a hodnot</w:t>
      </w:r>
      <w:r w:rsidR="00955E8B">
        <w:rPr>
          <w:rFonts w:cs="Arial"/>
          <w:b/>
          <w:lang w:val="cs-CZ"/>
        </w:rPr>
        <w:t>il</w:t>
      </w:r>
      <w:r w:rsidR="00C112BF" w:rsidRPr="00777A92">
        <w:rPr>
          <w:rFonts w:cs="Arial"/>
          <w:b/>
        </w:rPr>
        <w:t xml:space="preserve"> takovým způsobem, že </w:t>
      </w:r>
      <w:r w:rsidR="00955E8B">
        <w:rPr>
          <w:rFonts w:cs="Arial"/>
          <w:b/>
          <w:lang w:val="cs-CZ"/>
        </w:rPr>
        <w:t>nebylo možné</w:t>
      </w:r>
      <w:r w:rsidR="00C112BF" w:rsidRPr="00777A92">
        <w:rPr>
          <w:rFonts w:cs="Arial"/>
          <w:b/>
        </w:rPr>
        <w:t xml:space="preserve"> </w:t>
      </w:r>
      <w:r w:rsidR="00C92A30">
        <w:rPr>
          <w:rFonts w:cs="Arial"/>
          <w:b/>
          <w:lang w:val="cs-CZ"/>
        </w:rPr>
        <w:t>ověřit</w:t>
      </w:r>
      <w:r w:rsidR="00C112BF" w:rsidRPr="00777A92">
        <w:rPr>
          <w:rFonts w:cs="Arial"/>
          <w:b/>
        </w:rPr>
        <w:t xml:space="preserve"> pokrok v dosahování cílů</w:t>
      </w:r>
      <w:r w:rsidR="00C112BF" w:rsidRPr="00777A92">
        <w:rPr>
          <w:rFonts w:cs="Arial"/>
          <w:b/>
          <w:lang w:eastAsia="cs-CZ"/>
        </w:rPr>
        <w:t xml:space="preserve"> OPPA</w:t>
      </w:r>
      <w:r w:rsidR="004951F5" w:rsidRPr="00777A92">
        <w:rPr>
          <w:rFonts w:cs="Arial"/>
          <w:b/>
          <w:lang w:val="cs-CZ" w:eastAsia="cs-CZ"/>
        </w:rPr>
        <w:t xml:space="preserve"> a</w:t>
      </w:r>
      <w:r w:rsidR="00C92A30">
        <w:rPr>
          <w:rFonts w:cs="Arial"/>
          <w:b/>
          <w:lang w:val="cs-CZ" w:eastAsia="cs-CZ"/>
        </w:rPr>
        <w:t>ni</w:t>
      </w:r>
      <w:r w:rsidR="004951F5" w:rsidRPr="00777A92">
        <w:rPr>
          <w:rFonts w:cs="Arial"/>
          <w:b/>
          <w:lang w:val="cs-CZ" w:eastAsia="cs-CZ"/>
        </w:rPr>
        <w:t xml:space="preserve"> </w:t>
      </w:r>
      <w:r w:rsidR="00A30910" w:rsidRPr="00777A92">
        <w:rPr>
          <w:rFonts w:cs="Arial"/>
          <w:b/>
          <w:lang w:val="cs-CZ" w:eastAsia="cs-CZ"/>
        </w:rPr>
        <w:t>vyhodno</w:t>
      </w:r>
      <w:r w:rsidR="00C92A30">
        <w:rPr>
          <w:rFonts w:cs="Arial"/>
          <w:b/>
          <w:lang w:val="cs-CZ" w:eastAsia="cs-CZ"/>
        </w:rPr>
        <w:t>tit</w:t>
      </w:r>
      <w:r w:rsidR="00A30910" w:rsidRPr="00777A92">
        <w:rPr>
          <w:rFonts w:cs="Arial"/>
          <w:b/>
          <w:lang w:val="cs-CZ" w:eastAsia="cs-CZ"/>
        </w:rPr>
        <w:t xml:space="preserve"> </w:t>
      </w:r>
      <w:r w:rsidR="004951F5" w:rsidRPr="00777A92">
        <w:rPr>
          <w:rFonts w:cs="Arial"/>
          <w:b/>
          <w:lang w:val="cs-CZ" w:eastAsia="cs-CZ"/>
        </w:rPr>
        <w:t>efektivnost a</w:t>
      </w:r>
      <w:r w:rsidR="001E70F2">
        <w:rPr>
          <w:rFonts w:cs="Arial"/>
          <w:b/>
          <w:lang w:val="cs-CZ" w:eastAsia="cs-CZ"/>
        </w:rPr>
        <w:t> </w:t>
      </w:r>
      <w:r w:rsidR="004951F5" w:rsidRPr="00777A92">
        <w:rPr>
          <w:rFonts w:cs="Arial"/>
          <w:b/>
          <w:lang w:val="cs-CZ" w:eastAsia="cs-CZ"/>
        </w:rPr>
        <w:t>hospodárnost vynaložených prostředků</w:t>
      </w:r>
      <w:r w:rsidR="00AD5503" w:rsidRPr="00777A92">
        <w:rPr>
          <w:rFonts w:cs="Arial"/>
          <w:b/>
          <w:lang w:val="cs-CZ" w:eastAsia="cs-CZ"/>
        </w:rPr>
        <w:t>.</w:t>
      </w:r>
      <w:r w:rsidR="00C112BF" w:rsidRPr="00777A92">
        <w:rPr>
          <w:rFonts w:cs="Arial"/>
          <w:b/>
          <w:lang w:eastAsia="cs-CZ"/>
        </w:rPr>
        <w:t xml:space="preserve"> </w:t>
      </w:r>
      <w:r w:rsidR="00C112BF" w:rsidRPr="002A3E8B">
        <w:rPr>
          <w:rFonts w:cs="Arial"/>
          <w:lang w:eastAsia="cs-CZ"/>
        </w:rPr>
        <w:t xml:space="preserve">Např. indikátory dopadu OPPA </w:t>
      </w:r>
      <w:r w:rsidR="00C112BF" w:rsidRPr="002A3E8B">
        <w:rPr>
          <w:rFonts w:cs="Arial"/>
        </w:rPr>
        <w:t xml:space="preserve">sledují </w:t>
      </w:r>
      <w:r w:rsidR="0086787E">
        <w:rPr>
          <w:rFonts w:cs="Arial"/>
          <w:lang w:val="cs-CZ"/>
        </w:rPr>
        <w:t>účinky</w:t>
      </w:r>
      <w:r w:rsidR="00C112BF" w:rsidRPr="002A3E8B">
        <w:rPr>
          <w:rFonts w:cs="Arial"/>
        </w:rPr>
        <w:t xml:space="preserve"> implementace OPPA </w:t>
      </w:r>
      <w:r w:rsidR="00C112BF" w:rsidRPr="002A3E8B">
        <w:rPr>
          <w:rFonts w:cs="Arial"/>
          <w:lang w:eastAsia="cs-CZ"/>
        </w:rPr>
        <w:t>na celém území České republiky, a nikoliv přímo v místě, kde došlo k realizaci projektů OPPA, tj. na území hlavního města Prahy. Tyto indikátory nebyly nastaveny správně, neboť jsou závislé nejen na implementaci OPPA, ale i na jiných faktorech</w:t>
      </w:r>
      <w:r w:rsidR="00C92A30">
        <w:rPr>
          <w:rFonts w:cs="Arial"/>
          <w:lang w:val="cs-CZ" w:eastAsia="cs-CZ"/>
        </w:rPr>
        <w:t>,</w:t>
      </w:r>
      <w:r w:rsidR="00C112BF" w:rsidRPr="002A3E8B">
        <w:rPr>
          <w:rFonts w:cs="Arial"/>
          <w:lang w:eastAsia="cs-CZ"/>
        </w:rPr>
        <w:t xml:space="preserve"> jako je</w:t>
      </w:r>
      <w:r w:rsidR="00C92A30">
        <w:rPr>
          <w:rFonts w:cs="Arial"/>
          <w:lang w:val="cs-CZ" w:eastAsia="cs-CZ"/>
        </w:rPr>
        <w:t xml:space="preserve"> např.</w:t>
      </w:r>
      <w:r w:rsidR="00C112BF" w:rsidRPr="002A3E8B">
        <w:rPr>
          <w:rFonts w:cs="Arial"/>
          <w:lang w:eastAsia="cs-CZ"/>
        </w:rPr>
        <w:t xml:space="preserve"> makroekonomická situace, stárnutí populace nebo politické prostředí.</w:t>
      </w:r>
      <w:r w:rsidR="00D34C1A" w:rsidRPr="002A3E8B">
        <w:rPr>
          <w:rFonts w:cs="Arial"/>
          <w:lang w:eastAsia="cs-CZ"/>
        </w:rPr>
        <w:t xml:space="preserve"> Nelze tak odlišit vliv jednotlivých projektů na efektivnost OPPA od jiných ekonomických vlivů. Některé indikátory výsledků a dopadů na úrovni programu a prioritních os nem</w:t>
      </w:r>
      <w:r w:rsidR="006A5116" w:rsidRPr="002A3E8B">
        <w:rPr>
          <w:rFonts w:cs="Arial"/>
          <w:lang w:eastAsia="cs-CZ"/>
        </w:rPr>
        <w:t>ěly stanovenu výchozí hodnotu</w:t>
      </w:r>
      <w:r w:rsidR="00C92A30">
        <w:rPr>
          <w:rFonts w:cs="Arial"/>
          <w:lang w:val="cs-CZ" w:eastAsia="cs-CZ"/>
        </w:rPr>
        <w:t>,</w:t>
      </w:r>
      <w:r w:rsidR="006A5116" w:rsidRPr="002A3E8B">
        <w:rPr>
          <w:rFonts w:cs="Arial"/>
          <w:lang w:eastAsia="cs-CZ"/>
        </w:rPr>
        <w:t xml:space="preserve"> a</w:t>
      </w:r>
      <w:r w:rsidR="006A5116" w:rsidRPr="002A3E8B">
        <w:rPr>
          <w:rFonts w:cs="Arial"/>
          <w:lang w:val="cs-CZ" w:eastAsia="cs-CZ"/>
        </w:rPr>
        <w:t> </w:t>
      </w:r>
      <w:r w:rsidR="00D34C1A" w:rsidRPr="002A3E8B">
        <w:rPr>
          <w:rFonts w:cs="Arial"/>
          <w:lang w:eastAsia="cs-CZ"/>
        </w:rPr>
        <w:t xml:space="preserve">neumožňovaly tak měření pokroku, kterého bylo dosaženo při provádění OPPA a prioritních os ve vztahu k jejich konkrétním a ověřitelným cílům. Při ověření míry </w:t>
      </w:r>
      <w:r w:rsidR="00D34C1A" w:rsidRPr="002A3E8B">
        <w:rPr>
          <w:rFonts w:cs="Arial"/>
          <w:lang w:eastAsia="cs-CZ"/>
        </w:rPr>
        <w:lastRenderedPageBreak/>
        <w:t xml:space="preserve">plnění očekávaných hodnot indikátorů na úrovni jednotlivých prioritních os, kterou </w:t>
      </w:r>
      <w:r w:rsidRPr="002A3E8B">
        <w:rPr>
          <w:rFonts w:cs="Arial"/>
          <w:lang w:val="cs-CZ" w:eastAsia="cs-CZ"/>
        </w:rPr>
        <w:t>M</w:t>
      </w:r>
      <w:r w:rsidR="00D34C1A" w:rsidRPr="002A3E8B">
        <w:rPr>
          <w:rFonts w:cs="Arial"/>
          <w:lang w:eastAsia="cs-CZ"/>
        </w:rPr>
        <w:t xml:space="preserve">HMP průběžně hodnotil ve </w:t>
      </w:r>
      <w:r w:rsidR="00D34C1A" w:rsidRPr="00A0081B">
        <w:rPr>
          <w:rFonts w:cs="Arial"/>
          <w:lang w:eastAsia="cs-CZ"/>
        </w:rPr>
        <w:t>výročních zprávách OPPA</w:t>
      </w:r>
      <w:r w:rsidR="00C92A30">
        <w:rPr>
          <w:rFonts w:cs="Arial"/>
          <w:lang w:val="cs-CZ" w:eastAsia="cs-CZ"/>
        </w:rPr>
        <w:t>,</w:t>
      </w:r>
      <w:r w:rsidR="00D34C1A" w:rsidRPr="002A3E8B">
        <w:rPr>
          <w:rFonts w:cs="Arial"/>
          <w:lang w:eastAsia="cs-CZ"/>
        </w:rPr>
        <w:t xml:space="preserve"> bylo</w:t>
      </w:r>
      <w:r w:rsidR="00C92A30">
        <w:rPr>
          <w:rFonts w:cs="Arial"/>
          <w:lang w:val="cs-CZ" w:eastAsia="cs-CZ"/>
        </w:rPr>
        <w:t xml:space="preserve"> u hodnoceného programu</w:t>
      </w:r>
      <w:r w:rsidR="00D34C1A" w:rsidRPr="002A3E8B">
        <w:rPr>
          <w:rFonts w:cs="Arial"/>
          <w:lang w:eastAsia="cs-CZ"/>
        </w:rPr>
        <w:t xml:space="preserve"> zjištěno, že indikátory výstupu</w:t>
      </w:r>
      <w:r w:rsidR="00D34C1A" w:rsidRPr="002A3E8B">
        <w:rPr>
          <w:rStyle w:val="Znakapoznpodarou"/>
          <w:rFonts w:cs="Arial"/>
          <w:lang w:eastAsia="cs-CZ"/>
        </w:rPr>
        <w:footnoteReference w:id="22"/>
      </w:r>
      <w:r w:rsidR="00D34C1A" w:rsidRPr="002A3E8B">
        <w:rPr>
          <w:rFonts w:cs="Arial"/>
          <w:lang w:eastAsia="cs-CZ"/>
        </w:rPr>
        <w:t xml:space="preserve"> u</w:t>
      </w:r>
      <w:r w:rsidR="0086787E">
        <w:rPr>
          <w:rFonts w:cs="Arial"/>
          <w:lang w:val="cs-CZ" w:eastAsia="cs-CZ"/>
        </w:rPr>
        <w:t> </w:t>
      </w:r>
      <w:r w:rsidR="00D34C1A" w:rsidRPr="002A3E8B">
        <w:rPr>
          <w:rFonts w:cs="Arial"/>
          <w:lang w:eastAsia="cs-CZ"/>
        </w:rPr>
        <w:t>prioritních os byly splněny</w:t>
      </w:r>
      <w:r w:rsidR="00DD5CA5">
        <w:rPr>
          <w:rFonts w:cs="Arial"/>
          <w:lang w:val="cs-CZ" w:eastAsia="cs-CZ"/>
        </w:rPr>
        <w:t>,</w:t>
      </w:r>
      <w:r w:rsidR="00D34C1A" w:rsidRPr="002A3E8B">
        <w:rPr>
          <w:rFonts w:cs="Arial"/>
          <w:lang w:eastAsia="cs-CZ"/>
        </w:rPr>
        <w:t xml:space="preserve"> </w:t>
      </w:r>
      <w:r w:rsidR="0086787E">
        <w:rPr>
          <w:rFonts w:cs="Arial"/>
          <w:lang w:val="cs-CZ" w:eastAsia="cs-CZ"/>
        </w:rPr>
        <w:t>b</w:t>
      </w:r>
      <w:r w:rsidR="00D34C1A" w:rsidRPr="002A3E8B">
        <w:rPr>
          <w:rFonts w:cs="Arial"/>
          <w:lang w:eastAsia="cs-CZ"/>
        </w:rPr>
        <w:t>a dokonce výrazně překročeny již v polovině implementačního období 2007</w:t>
      </w:r>
      <w:r w:rsidR="002A3E8B">
        <w:rPr>
          <w:rFonts w:cs="Arial"/>
          <w:lang w:val="cs-CZ" w:eastAsia="cs-CZ"/>
        </w:rPr>
        <w:t>–</w:t>
      </w:r>
      <w:r w:rsidR="00D34C1A" w:rsidRPr="002A3E8B">
        <w:rPr>
          <w:rFonts w:cs="Arial"/>
          <w:lang w:eastAsia="cs-CZ"/>
        </w:rPr>
        <w:t>2013</w:t>
      </w:r>
      <w:r w:rsidR="00A65EC5" w:rsidRPr="002A3E8B">
        <w:rPr>
          <w:rFonts w:cs="Arial"/>
          <w:lang w:val="cs-CZ" w:eastAsia="cs-CZ"/>
        </w:rPr>
        <w:t>, tj.</w:t>
      </w:r>
      <w:r w:rsidR="002A3E8B">
        <w:rPr>
          <w:rFonts w:cs="Arial"/>
          <w:lang w:eastAsia="cs-CZ"/>
        </w:rPr>
        <w:t xml:space="preserve"> v</w:t>
      </w:r>
      <w:r w:rsidR="002A3E8B">
        <w:rPr>
          <w:rFonts w:cs="Arial"/>
          <w:lang w:val="cs-CZ" w:eastAsia="cs-CZ"/>
        </w:rPr>
        <w:t> </w:t>
      </w:r>
      <w:r w:rsidR="00D34C1A" w:rsidRPr="002A3E8B">
        <w:rPr>
          <w:rFonts w:cs="Arial"/>
          <w:lang w:eastAsia="cs-CZ"/>
        </w:rPr>
        <w:t xml:space="preserve">roce 2010. </w:t>
      </w:r>
      <w:r w:rsidR="00D34C1A" w:rsidRPr="002A3E8B">
        <w:rPr>
          <w:rFonts w:cs="Arial"/>
        </w:rPr>
        <w:t>Odhad cílov</w:t>
      </w:r>
      <w:r w:rsidR="00C92A30">
        <w:rPr>
          <w:rFonts w:cs="Arial"/>
          <w:lang w:val="cs-CZ"/>
        </w:rPr>
        <w:t>ých</w:t>
      </w:r>
      <w:r w:rsidR="00D34C1A" w:rsidRPr="002A3E8B">
        <w:rPr>
          <w:rFonts w:cs="Arial"/>
        </w:rPr>
        <w:t xml:space="preserve"> hodnot indikátorů výstupu t</w:t>
      </w:r>
      <w:r w:rsidR="00C92A30">
        <w:rPr>
          <w:rFonts w:cs="Arial"/>
          <w:lang w:val="cs-CZ"/>
        </w:rPr>
        <w:t>edy</w:t>
      </w:r>
      <w:r w:rsidR="00D34C1A" w:rsidRPr="002A3E8B">
        <w:rPr>
          <w:rFonts w:cs="Arial"/>
        </w:rPr>
        <w:t xml:space="preserve"> nebyl proveden dostatečně a správně; vymezený cíl tak nebyl odpovídající a cílov</w:t>
      </w:r>
      <w:r w:rsidR="00C92A30">
        <w:rPr>
          <w:rFonts w:cs="Arial"/>
          <w:lang w:val="cs-CZ"/>
        </w:rPr>
        <w:t>é</w:t>
      </w:r>
      <w:r w:rsidR="00D34C1A" w:rsidRPr="002A3E8B">
        <w:rPr>
          <w:rFonts w:cs="Arial"/>
        </w:rPr>
        <w:t xml:space="preserve"> hodnot</w:t>
      </w:r>
      <w:r w:rsidR="00C92A30">
        <w:rPr>
          <w:rFonts w:cs="Arial"/>
          <w:lang w:val="cs-CZ"/>
        </w:rPr>
        <w:t>y</w:t>
      </w:r>
      <w:r w:rsidR="00D34C1A" w:rsidRPr="002A3E8B">
        <w:rPr>
          <w:rFonts w:cs="Arial"/>
        </w:rPr>
        <w:t xml:space="preserve"> indikátorů byl</w:t>
      </w:r>
      <w:r w:rsidR="00C92A30">
        <w:rPr>
          <w:rFonts w:cs="Arial"/>
          <w:lang w:val="cs-CZ"/>
        </w:rPr>
        <w:t>y</w:t>
      </w:r>
      <w:r w:rsidR="00D34C1A" w:rsidRPr="002A3E8B">
        <w:rPr>
          <w:rFonts w:cs="Arial"/>
        </w:rPr>
        <w:t xml:space="preserve"> zjevně podhodnocen</w:t>
      </w:r>
      <w:r w:rsidR="00C92A30">
        <w:rPr>
          <w:rFonts w:cs="Arial"/>
          <w:lang w:val="cs-CZ"/>
        </w:rPr>
        <w:t>y</w:t>
      </w:r>
      <w:r w:rsidR="00D34C1A" w:rsidRPr="002A3E8B">
        <w:rPr>
          <w:rFonts w:cs="Arial"/>
        </w:rPr>
        <w:t>.</w:t>
      </w:r>
    </w:p>
    <w:p w:rsidR="00702E89" w:rsidRDefault="00702E89" w:rsidP="007D53F2">
      <w:pPr>
        <w:rPr>
          <w:rFonts w:cs="Arial"/>
          <w:szCs w:val="22"/>
        </w:rPr>
      </w:pPr>
    </w:p>
    <w:p w:rsidR="0050662D" w:rsidRDefault="00644C00" w:rsidP="0050662D">
      <w:pPr>
        <w:rPr>
          <w:rFonts w:cs="Arial"/>
          <w:b/>
          <w:color w:val="000000"/>
        </w:rPr>
      </w:pPr>
      <w:r>
        <w:rPr>
          <w:rFonts w:cs="Arial"/>
          <w:b/>
          <w:szCs w:val="22"/>
          <w:lang w:eastAsia="cs-CZ"/>
        </w:rPr>
        <w:t>M</w:t>
      </w:r>
      <w:r w:rsidR="00843D52" w:rsidRPr="00777A92">
        <w:rPr>
          <w:rFonts w:cs="Arial"/>
          <w:b/>
          <w:szCs w:val="22"/>
          <w:lang w:eastAsia="cs-CZ"/>
        </w:rPr>
        <w:t>HMP nastavil podmínky pro čerpání</w:t>
      </w:r>
      <w:r w:rsidR="008E5793" w:rsidRPr="00777A92">
        <w:rPr>
          <w:rFonts w:cs="Arial"/>
          <w:b/>
          <w:lang w:eastAsia="cs-CZ"/>
        </w:rPr>
        <w:t xml:space="preserve"> prostředků OPPA</w:t>
      </w:r>
      <w:r w:rsidR="00164E54" w:rsidRPr="00777A92">
        <w:rPr>
          <w:rFonts w:cs="Arial"/>
          <w:b/>
          <w:lang w:eastAsia="cs-CZ"/>
        </w:rPr>
        <w:t xml:space="preserve"> tak</w:t>
      </w:r>
      <w:r w:rsidR="00B97BBC" w:rsidRPr="00777A92">
        <w:rPr>
          <w:rFonts w:cs="Arial"/>
          <w:b/>
          <w:lang w:eastAsia="cs-CZ"/>
        </w:rPr>
        <w:t>, že umožňují</w:t>
      </w:r>
      <w:r w:rsidR="008E5793" w:rsidRPr="00777A92">
        <w:rPr>
          <w:rFonts w:cs="Arial"/>
          <w:b/>
          <w:lang w:eastAsia="cs-CZ"/>
        </w:rPr>
        <w:t xml:space="preserve"> </w:t>
      </w:r>
      <w:r w:rsidR="008E5793" w:rsidRPr="00777A92">
        <w:rPr>
          <w:rFonts w:cs="Arial"/>
          <w:b/>
          <w:szCs w:val="22"/>
        </w:rPr>
        <w:t xml:space="preserve">podpořit cílové skupiny bez vazby </w:t>
      </w:r>
      <w:r w:rsidR="00174218">
        <w:rPr>
          <w:rFonts w:cs="Arial"/>
          <w:b/>
          <w:szCs w:val="22"/>
        </w:rPr>
        <w:t>k </w:t>
      </w:r>
      <w:r w:rsidR="008E5793" w:rsidRPr="00777A92">
        <w:rPr>
          <w:rFonts w:cs="Arial"/>
          <w:b/>
          <w:szCs w:val="22"/>
        </w:rPr>
        <w:t>uznatelnému regionu</w:t>
      </w:r>
      <w:r w:rsidR="00164E54" w:rsidRPr="00777A92">
        <w:rPr>
          <w:rFonts w:cs="Arial"/>
          <w:b/>
        </w:rPr>
        <w:t xml:space="preserve">, tj. </w:t>
      </w:r>
      <w:r w:rsidR="0086787E">
        <w:rPr>
          <w:rFonts w:cs="Arial"/>
          <w:b/>
        </w:rPr>
        <w:t>bez vazby k </w:t>
      </w:r>
      <w:r w:rsidR="00164E54" w:rsidRPr="00777A92">
        <w:rPr>
          <w:rFonts w:cs="Arial"/>
          <w:b/>
        </w:rPr>
        <w:t>území hlavního města Prahy.</w:t>
      </w:r>
      <w:r w:rsidR="008E5793" w:rsidRPr="00777A92">
        <w:rPr>
          <w:rFonts w:cs="Arial"/>
          <w:b/>
          <w:szCs w:val="22"/>
        </w:rPr>
        <w:t xml:space="preserve"> </w:t>
      </w:r>
      <w:r w:rsidR="00164E54" w:rsidRPr="00777A92">
        <w:rPr>
          <w:rFonts w:cs="Arial"/>
          <w:b/>
        </w:rPr>
        <w:t xml:space="preserve">Současně se </w:t>
      </w:r>
      <w:r>
        <w:rPr>
          <w:rFonts w:cs="Arial"/>
          <w:b/>
        </w:rPr>
        <w:t>M</w:t>
      </w:r>
      <w:r w:rsidR="00164E54" w:rsidRPr="00777A92">
        <w:rPr>
          <w:rFonts w:cs="Arial"/>
          <w:b/>
        </w:rPr>
        <w:t>HMP</w:t>
      </w:r>
      <w:r w:rsidR="00164E54" w:rsidRPr="00777A92">
        <w:rPr>
          <w:rFonts w:cs="Arial"/>
          <w:b/>
          <w:szCs w:val="22"/>
        </w:rPr>
        <w:t xml:space="preserve"> ve věci územní způsobilosti spolehl na institut </w:t>
      </w:r>
      <w:r w:rsidR="00164E54" w:rsidRPr="00777A92">
        <w:rPr>
          <w:rFonts w:cs="Arial"/>
          <w:b/>
          <w:i/>
          <w:szCs w:val="22"/>
        </w:rPr>
        <w:t>čestného prohlášení</w:t>
      </w:r>
      <w:r w:rsidR="00702E89">
        <w:rPr>
          <w:rFonts w:cs="Arial"/>
          <w:b/>
          <w:szCs w:val="22"/>
        </w:rPr>
        <w:t xml:space="preserve">. </w:t>
      </w:r>
      <w:r w:rsidR="00B97BBC" w:rsidRPr="00777A92">
        <w:rPr>
          <w:rFonts w:cs="Arial"/>
          <w:b/>
          <w:color w:val="000000"/>
        </w:rPr>
        <w:t xml:space="preserve">Nedostatečným vymezením podmínek pro územní způsobilost ze strany řídicího orgánu, tedy </w:t>
      </w:r>
      <w:r>
        <w:rPr>
          <w:rFonts w:cs="Arial"/>
          <w:b/>
          <w:color w:val="000000"/>
        </w:rPr>
        <w:t>M</w:t>
      </w:r>
      <w:r w:rsidR="00B97BBC" w:rsidRPr="00777A92">
        <w:rPr>
          <w:rFonts w:cs="Arial"/>
          <w:b/>
          <w:color w:val="000000"/>
        </w:rPr>
        <w:t>HMP, vzniká riziko, že významná část výdajů OPPA bude při kontrole EU shledána nezpůsobilou, protože uskutečněné výdaje budou vynaloženy na podporu cílové skupiny nenaplňující požadavky evropského nařízení</w:t>
      </w:r>
      <w:r w:rsidR="00B97BBC" w:rsidRPr="00777A92">
        <w:rPr>
          <w:rFonts w:cs="Arial"/>
          <w:b/>
          <w:color w:val="000000"/>
        </w:rPr>
        <w:fldChar w:fldCharType="begin"/>
      </w:r>
      <w:r w:rsidR="00B97BBC" w:rsidRPr="00777A92">
        <w:rPr>
          <w:rFonts w:cs="Arial"/>
          <w:b/>
          <w:color w:val="000000"/>
        </w:rPr>
        <w:instrText xml:space="preserve"> NOTEREF _Ref319046553 \f \h  \* MERGEFORMAT </w:instrText>
      </w:r>
      <w:r w:rsidR="00B97BBC" w:rsidRPr="00777A92">
        <w:rPr>
          <w:rFonts w:cs="Arial"/>
          <w:b/>
          <w:color w:val="000000"/>
        </w:rPr>
      </w:r>
      <w:r w:rsidR="00B97BBC" w:rsidRPr="00777A92">
        <w:rPr>
          <w:rFonts w:cs="Arial"/>
          <w:b/>
          <w:color w:val="000000"/>
        </w:rPr>
        <w:fldChar w:fldCharType="separate"/>
      </w:r>
      <w:r w:rsidR="003618B5" w:rsidRPr="00FD7476">
        <w:rPr>
          <w:rStyle w:val="Znakapoznpodarou"/>
        </w:rPr>
        <w:t>23</w:t>
      </w:r>
      <w:r w:rsidR="00B97BBC" w:rsidRPr="00777A92">
        <w:rPr>
          <w:rFonts w:cs="Arial"/>
          <w:b/>
          <w:color w:val="000000"/>
        </w:rPr>
        <w:fldChar w:fldCharType="end"/>
      </w:r>
      <w:r w:rsidR="00B97BBC" w:rsidRPr="00777A92">
        <w:rPr>
          <w:rFonts w:cs="Arial"/>
          <w:b/>
          <w:color w:val="000000"/>
        </w:rPr>
        <w:t>.</w:t>
      </w:r>
    </w:p>
    <w:p w:rsidR="00B1411D" w:rsidRDefault="00B1411D" w:rsidP="0050662D">
      <w:pPr>
        <w:rPr>
          <w:rFonts w:cs="Arial"/>
          <w:szCs w:val="22"/>
        </w:rPr>
      </w:pPr>
    </w:p>
    <w:p w:rsidR="007E12DC" w:rsidRDefault="00535CFE" w:rsidP="0050662D">
      <w:pPr>
        <w:rPr>
          <w:rFonts w:cs="Arial"/>
          <w:szCs w:val="22"/>
        </w:rPr>
      </w:pPr>
      <w:r w:rsidRPr="002A3E8B">
        <w:rPr>
          <w:rFonts w:cs="Arial"/>
          <w:szCs w:val="22"/>
        </w:rPr>
        <w:t>V souladu s nařízením Rady (ES) č. 1083/2006</w:t>
      </w:r>
      <w:bookmarkStart w:id="6" w:name="_Ref319046553"/>
      <w:r w:rsidRPr="002A3E8B">
        <w:rPr>
          <w:rStyle w:val="Znakapoznpodarou"/>
          <w:rFonts w:cs="Arial"/>
          <w:szCs w:val="22"/>
        </w:rPr>
        <w:footnoteReference w:id="23"/>
      </w:r>
      <w:bookmarkEnd w:id="6"/>
      <w:r w:rsidRPr="002A3E8B">
        <w:rPr>
          <w:rFonts w:cs="Arial"/>
          <w:szCs w:val="22"/>
        </w:rPr>
        <w:t xml:space="preserve"> a podle dokumentu </w:t>
      </w:r>
      <w:r w:rsidRPr="002A3E8B">
        <w:rPr>
          <w:rFonts w:cs="Arial"/>
          <w:i/>
          <w:szCs w:val="22"/>
        </w:rPr>
        <w:t>Operační program Praha – Adaptabilita</w:t>
      </w:r>
      <w:r w:rsidRPr="002A3E8B">
        <w:rPr>
          <w:rFonts w:cs="Arial"/>
          <w:szCs w:val="22"/>
        </w:rPr>
        <w:t xml:space="preserve"> jsou </w:t>
      </w:r>
      <w:r w:rsidR="0011375D">
        <w:rPr>
          <w:rFonts w:cs="Arial"/>
          <w:szCs w:val="22"/>
        </w:rPr>
        <w:t>v </w:t>
      </w:r>
      <w:r w:rsidRPr="002A3E8B">
        <w:rPr>
          <w:rFonts w:cs="Arial"/>
          <w:szCs w:val="22"/>
        </w:rPr>
        <w:t xml:space="preserve">rámci OPPA podporovány výhradně cílové skupiny </w:t>
      </w:r>
      <w:r w:rsidR="00174218">
        <w:rPr>
          <w:rFonts w:cs="Arial"/>
          <w:szCs w:val="22"/>
        </w:rPr>
        <w:t>s </w:t>
      </w:r>
      <w:r w:rsidRPr="002A3E8B">
        <w:rPr>
          <w:rFonts w:cs="Arial"/>
          <w:szCs w:val="22"/>
        </w:rPr>
        <w:t xml:space="preserve">vazbou k území vymezenému pro podporu </w:t>
      </w:r>
      <w:r w:rsidR="0011375D">
        <w:rPr>
          <w:rFonts w:cs="Arial"/>
          <w:szCs w:val="22"/>
        </w:rPr>
        <w:t>v </w:t>
      </w:r>
      <w:r w:rsidRPr="002A3E8B">
        <w:rPr>
          <w:rFonts w:cs="Arial"/>
          <w:szCs w:val="22"/>
        </w:rPr>
        <w:t xml:space="preserve">rámci </w:t>
      </w:r>
      <w:r w:rsidR="0086787E">
        <w:rPr>
          <w:rFonts w:cs="Arial"/>
          <w:szCs w:val="22"/>
        </w:rPr>
        <w:t>c</w:t>
      </w:r>
      <w:r w:rsidRPr="002A3E8B">
        <w:rPr>
          <w:rFonts w:cs="Arial"/>
          <w:szCs w:val="22"/>
        </w:rPr>
        <w:t xml:space="preserve">íle </w:t>
      </w:r>
      <w:r w:rsidRPr="002A3E8B">
        <w:rPr>
          <w:rFonts w:cs="Arial"/>
          <w:i/>
          <w:szCs w:val="22"/>
        </w:rPr>
        <w:t>Regionální konkurenceschopnost a zaměstnanost</w:t>
      </w:r>
      <w:r w:rsidRPr="002A3E8B">
        <w:rPr>
          <w:rFonts w:cs="Arial"/>
          <w:szCs w:val="22"/>
        </w:rPr>
        <w:t xml:space="preserve">, tj. </w:t>
      </w:r>
      <w:r w:rsidR="0086787E">
        <w:rPr>
          <w:rFonts w:cs="Arial"/>
          <w:szCs w:val="22"/>
        </w:rPr>
        <w:t>s vazbou k </w:t>
      </w:r>
      <w:r w:rsidRPr="002A3E8B">
        <w:rPr>
          <w:rFonts w:cs="Arial"/>
          <w:szCs w:val="22"/>
        </w:rPr>
        <w:t xml:space="preserve">území hlavního města Prahy. Není přípustné podpořit cílové skupiny bez vazby </w:t>
      </w:r>
      <w:r w:rsidR="00174218">
        <w:rPr>
          <w:rFonts w:cs="Arial"/>
          <w:szCs w:val="22"/>
        </w:rPr>
        <w:t>k </w:t>
      </w:r>
      <w:r w:rsidRPr="002A3E8B">
        <w:rPr>
          <w:rFonts w:cs="Arial"/>
          <w:szCs w:val="22"/>
        </w:rPr>
        <w:t xml:space="preserve">uznatelnému regionu. Územně se veškeré aktivity OPPA musí realizovat pouze </w:t>
      </w:r>
      <w:r w:rsidR="0011375D">
        <w:rPr>
          <w:rFonts w:cs="Arial"/>
          <w:szCs w:val="22"/>
        </w:rPr>
        <w:t>v </w:t>
      </w:r>
      <w:r w:rsidRPr="002A3E8B">
        <w:rPr>
          <w:rFonts w:cs="Arial"/>
          <w:szCs w:val="22"/>
        </w:rPr>
        <w:t>rámci regionu soudržnosti NUTS 2 hl. m. Praha.</w:t>
      </w:r>
      <w:r w:rsidR="00777A92" w:rsidRPr="002A3E8B">
        <w:rPr>
          <w:rFonts w:cs="Arial"/>
          <w:szCs w:val="22"/>
        </w:rPr>
        <w:t xml:space="preserve"> </w:t>
      </w:r>
      <w:r w:rsidRPr="002A3E8B">
        <w:rPr>
          <w:rFonts w:cs="Arial"/>
          <w:szCs w:val="22"/>
        </w:rPr>
        <w:t xml:space="preserve">Podle </w:t>
      </w:r>
      <w:r w:rsidR="00074183" w:rsidRPr="00FD7476">
        <w:rPr>
          <w:rFonts w:cs="Arial"/>
          <w:szCs w:val="22"/>
        </w:rPr>
        <w:t>o</w:t>
      </w:r>
      <w:r w:rsidRPr="00FD7476">
        <w:rPr>
          <w:rFonts w:cs="Arial"/>
          <w:szCs w:val="22"/>
        </w:rPr>
        <w:t>peračního manuálu OPPA</w:t>
      </w:r>
      <w:r w:rsidRPr="002A3E8B">
        <w:rPr>
          <w:rFonts w:cs="Arial"/>
          <w:szCs w:val="22"/>
        </w:rPr>
        <w:t xml:space="preserve"> musí být územní způsobilost </w:t>
      </w:r>
      <w:r w:rsidR="00074183">
        <w:rPr>
          <w:rFonts w:cs="Arial"/>
          <w:szCs w:val="22"/>
        </w:rPr>
        <w:t>žadatelů</w:t>
      </w:r>
      <w:r w:rsidRPr="002A3E8B">
        <w:rPr>
          <w:rFonts w:cs="Arial"/>
          <w:szCs w:val="22"/>
        </w:rPr>
        <w:t xml:space="preserve"> prokazatelně doložena. Pro jednotlivé cílové skupiny podpořen</w:t>
      </w:r>
      <w:r w:rsidR="00074183">
        <w:rPr>
          <w:rFonts w:cs="Arial"/>
          <w:szCs w:val="22"/>
        </w:rPr>
        <w:t>é</w:t>
      </w:r>
      <w:r w:rsidRPr="002A3E8B">
        <w:rPr>
          <w:rFonts w:cs="Arial"/>
          <w:szCs w:val="22"/>
        </w:rPr>
        <w:t xml:space="preserve"> z OPPA požaduje </w:t>
      </w:r>
      <w:r w:rsidR="00644C00" w:rsidRPr="002A3E8B">
        <w:rPr>
          <w:rFonts w:cs="Arial"/>
          <w:szCs w:val="22"/>
        </w:rPr>
        <w:t>M</w:t>
      </w:r>
      <w:r w:rsidRPr="002A3E8B">
        <w:rPr>
          <w:rFonts w:cs="Arial"/>
          <w:szCs w:val="22"/>
        </w:rPr>
        <w:t xml:space="preserve">HMP splnění určitých podmínek, např. </w:t>
      </w:r>
      <w:proofErr w:type="spellStart"/>
      <w:r w:rsidRPr="002A3E8B">
        <w:rPr>
          <w:rFonts w:cs="Arial"/>
          <w:szCs w:val="22"/>
        </w:rPr>
        <w:t>sebezaměstnaní</w:t>
      </w:r>
      <w:proofErr w:type="spellEnd"/>
      <w:r w:rsidRPr="002A3E8B">
        <w:rPr>
          <w:rFonts w:cs="Arial"/>
          <w:szCs w:val="22"/>
        </w:rPr>
        <w:t xml:space="preserve"> musí vykonávat svou ek</w:t>
      </w:r>
      <w:r w:rsidR="002A3E8B">
        <w:rPr>
          <w:rFonts w:cs="Arial"/>
          <w:szCs w:val="22"/>
        </w:rPr>
        <w:t>onomickou činnost z více než 50 </w:t>
      </w:r>
      <w:r w:rsidRPr="002A3E8B">
        <w:rPr>
          <w:rFonts w:cs="Arial"/>
          <w:szCs w:val="22"/>
        </w:rPr>
        <w:t xml:space="preserve">% na území hlavního města Prahy. </w:t>
      </w:r>
      <w:r w:rsidR="00644C00" w:rsidRPr="002A3E8B">
        <w:rPr>
          <w:rFonts w:cs="Arial"/>
          <w:szCs w:val="22"/>
        </w:rPr>
        <w:t>M</w:t>
      </w:r>
      <w:r w:rsidRPr="002A3E8B">
        <w:rPr>
          <w:rFonts w:cs="Arial"/>
          <w:szCs w:val="22"/>
        </w:rPr>
        <w:t xml:space="preserve">HMP tak umožňuje čerpání podpory z OPPA vyhrazené pro region soudržnosti Praha i cílovým skupinám, které vykonávají svou činnost např. ze 49 % na území jiného regionu soudržnosti. </w:t>
      </w:r>
    </w:p>
    <w:p w:rsidR="00B1411D" w:rsidRPr="00E56832" w:rsidRDefault="00B1411D" w:rsidP="0050662D">
      <w:pPr>
        <w:rPr>
          <w:rFonts w:cs="Arial"/>
          <w:color w:val="000000"/>
          <w:szCs w:val="22"/>
        </w:rPr>
      </w:pPr>
    </w:p>
    <w:p w:rsidR="00E56832" w:rsidRPr="00E56832" w:rsidRDefault="00E56832" w:rsidP="0050662D">
      <w:pPr>
        <w:rPr>
          <w:rFonts w:cs="Arial"/>
          <w:color w:val="000000"/>
          <w:szCs w:val="22"/>
        </w:rPr>
      </w:pPr>
      <w:r w:rsidRPr="002A3E8B">
        <w:rPr>
          <w:rFonts w:cs="Arial"/>
        </w:rPr>
        <w:t xml:space="preserve">Jediným dokladem k prokázání územní způsobilosti, který MHMP u příjemců podpory požaduje, je </w:t>
      </w:r>
      <w:r w:rsidRPr="008404E3">
        <w:rPr>
          <w:rFonts w:cs="Arial"/>
        </w:rPr>
        <w:t>čestné prohlášení příjemce</w:t>
      </w:r>
      <w:r w:rsidRPr="002A3E8B">
        <w:rPr>
          <w:rFonts w:cs="Arial"/>
        </w:rPr>
        <w:t xml:space="preserve">, jehož součástí je i oznámení, že </w:t>
      </w:r>
      <w:r>
        <w:rPr>
          <w:rFonts w:cs="Arial"/>
        </w:rPr>
        <w:t>„</w:t>
      </w:r>
      <w:r w:rsidRPr="002A3E8B">
        <w:rPr>
          <w:rFonts w:cs="Arial"/>
          <w:i/>
        </w:rPr>
        <w:t xml:space="preserve">cílová skupina podpořená </w:t>
      </w:r>
      <w:r>
        <w:rPr>
          <w:rFonts w:cs="Arial"/>
          <w:i/>
        </w:rPr>
        <w:t>v </w:t>
      </w:r>
      <w:r w:rsidRPr="002A3E8B">
        <w:rPr>
          <w:rFonts w:cs="Arial"/>
          <w:i/>
        </w:rPr>
        <w:t>rámci projektu splňuje podmínky územní způsobilosti pro OPPA</w:t>
      </w:r>
      <w:r w:rsidRPr="008404E3">
        <w:rPr>
          <w:rFonts w:cs="Arial"/>
        </w:rPr>
        <w:t>“</w:t>
      </w:r>
      <w:r w:rsidRPr="008404E3">
        <w:rPr>
          <w:rFonts w:cs="Arial"/>
          <w:color w:val="000000"/>
        </w:rPr>
        <w:t>.</w:t>
      </w:r>
      <w:r w:rsidRPr="002A3E8B">
        <w:rPr>
          <w:rFonts w:cs="Arial"/>
          <w:i/>
          <w:color w:val="000000"/>
        </w:rPr>
        <w:t xml:space="preserve"> </w:t>
      </w:r>
      <w:r w:rsidRPr="002A3E8B">
        <w:rPr>
          <w:rFonts w:cs="Arial"/>
        </w:rPr>
        <w:t xml:space="preserve">Obecně přitom platí, že institut </w:t>
      </w:r>
      <w:r w:rsidRPr="008404E3">
        <w:rPr>
          <w:rFonts w:cs="Arial"/>
        </w:rPr>
        <w:t>čestného prohlášení</w:t>
      </w:r>
      <w:r w:rsidRPr="002A3E8B">
        <w:rPr>
          <w:rFonts w:cs="Arial"/>
        </w:rPr>
        <w:t xml:space="preserve"> lze použít především </w:t>
      </w:r>
      <w:r>
        <w:rPr>
          <w:rFonts w:cs="Arial"/>
        </w:rPr>
        <w:t>v </w:t>
      </w:r>
      <w:r w:rsidRPr="002A3E8B">
        <w:rPr>
          <w:rFonts w:cs="Arial"/>
        </w:rPr>
        <w:t>případech, kdy není možn</w:t>
      </w:r>
      <w:r>
        <w:rPr>
          <w:rFonts w:cs="Arial"/>
        </w:rPr>
        <w:t>é</w:t>
      </w:r>
      <w:r w:rsidRPr="002A3E8B">
        <w:rPr>
          <w:rFonts w:cs="Arial"/>
        </w:rPr>
        <w:t xml:space="preserve"> skutečnosti doložit jiným řádným způsobem (např. občanským průkazem, pracovní smlouvou, nájemní smlouvou, výpisem z obchodního nebo živnostenského rejstříku). Čestné prohlášení je specifický důkazní prostředek a </w:t>
      </w:r>
      <w:r>
        <w:rPr>
          <w:rFonts w:cs="Arial"/>
        </w:rPr>
        <w:t>z </w:t>
      </w:r>
      <w:r w:rsidRPr="002A3E8B">
        <w:rPr>
          <w:rFonts w:cs="Arial"/>
        </w:rPr>
        <w:t xml:space="preserve">jeho povahy vyplývá, že nahrazuje jiné důkazní prostředky. Použití </w:t>
      </w:r>
      <w:r w:rsidRPr="008404E3">
        <w:rPr>
          <w:rFonts w:cs="Arial"/>
        </w:rPr>
        <w:t>čestného prohlášení</w:t>
      </w:r>
      <w:r w:rsidRPr="002A3E8B">
        <w:rPr>
          <w:rFonts w:cs="Arial"/>
        </w:rPr>
        <w:t xml:space="preserve"> je třeba posuzovat zvlášť kriticky tam, kde má dokazovaná skutečnost zásadní vliv pro rozhodnutí, zda dotaci poskytnout</w:t>
      </w:r>
      <w:r>
        <w:rPr>
          <w:rFonts w:cs="Arial"/>
        </w:rPr>
        <w:t>, či</w:t>
      </w:r>
      <w:r w:rsidRPr="002A3E8B">
        <w:rPr>
          <w:rFonts w:cs="Arial"/>
        </w:rPr>
        <w:t xml:space="preserve"> nikoliv</w:t>
      </w:r>
      <w:r>
        <w:rPr>
          <w:rFonts w:cs="Arial"/>
        </w:rPr>
        <w:t>,</w:t>
      </w:r>
      <w:r w:rsidRPr="002A3E8B">
        <w:rPr>
          <w:rFonts w:cs="Arial"/>
        </w:rPr>
        <w:t xml:space="preserve"> a</w:t>
      </w:r>
      <w:r w:rsidR="001E70F2">
        <w:rPr>
          <w:rFonts w:cs="Arial"/>
        </w:rPr>
        <w:t> </w:t>
      </w:r>
      <w:r>
        <w:rPr>
          <w:rFonts w:cs="Arial"/>
        </w:rPr>
        <w:t>v </w:t>
      </w:r>
      <w:r w:rsidRPr="002A3E8B">
        <w:rPr>
          <w:rFonts w:cs="Arial"/>
        </w:rPr>
        <w:t xml:space="preserve">jaké výši. Jestliže je „řádný“ důkaz možný a efektivní, a přesto poskytovatel založil systémové pravidlo dokládání pouze </w:t>
      </w:r>
      <w:r w:rsidRPr="008404E3">
        <w:rPr>
          <w:rFonts w:cs="Arial"/>
        </w:rPr>
        <w:t>čestným prohlášením</w:t>
      </w:r>
      <w:r w:rsidRPr="002A3E8B">
        <w:rPr>
          <w:rFonts w:cs="Arial"/>
        </w:rPr>
        <w:t>, zvyšuje se riziko neplnění cílů programu pro nezpůsobilost příjemce. Ze vzorku 200 podpořených osob vybraných ke kontrole jich má 40 uvedeno místo podnikání, resp. sídlo podnikání, mimo území hlavního města Prahy</w:t>
      </w:r>
      <w:r w:rsidRPr="002A3E8B">
        <w:rPr>
          <w:rStyle w:val="Znakapoznpodarou"/>
          <w:rFonts w:cs="Arial"/>
        </w:rPr>
        <w:footnoteReference w:id="24"/>
      </w:r>
      <w:r w:rsidRPr="002A3E8B">
        <w:rPr>
          <w:rFonts w:cs="Arial"/>
        </w:rPr>
        <w:t xml:space="preserve">. Existuje vysoké riziko, že cílová skupina podpořená z OPPA neprováděla aktivity převážně na území hlavního města Prahy, </w:t>
      </w:r>
      <w:r>
        <w:rPr>
          <w:rFonts w:cs="Arial"/>
        </w:rPr>
        <w:t>čímž</w:t>
      </w:r>
      <w:r w:rsidRPr="002A3E8B">
        <w:rPr>
          <w:rFonts w:cs="Arial"/>
        </w:rPr>
        <w:t xml:space="preserve"> se </w:t>
      </w:r>
      <w:r w:rsidRPr="002A3E8B">
        <w:rPr>
          <w:rFonts w:cs="Arial"/>
          <w:color w:val="000000"/>
        </w:rPr>
        <w:t>zvyšuje riziko nenaplnění globálního cíle programu pro nezpůsobilost cílové skupiny.</w:t>
      </w:r>
    </w:p>
    <w:p w:rsidR="00D70D8F" w:rsidRDefault="00D70D8F" w:rsidP="00C112BF">
      <w:pPr>
        <w:rPr>
          <w:rFonts w:cs="Arial"/>
        </w:rPr>
      </w:pPr>
    </w:p>
    <w:p w:rsidR="0050662D" w:rsidRPr="00777A92" w:rsidRDefault="0050662D" w:rsidP="00C112BF">
      <w:pPr>
        <w:rPr>
          <w:rFonts w:cs="Arial"/>
        </w:rPr>
      </w:pPr>
    </w:p>
    <w:p w:rsidR="00B64665" w:rsidRPr="00777A92" w:rsidRDefault="00B64665" w:rsidP="001658CD">
      <w:pPr>
        <w:pStyle w:val="Odstavecseseznamem"/>
        <w:numPr>
          <w:ilvl w:val="0"/>
          <w:numId w:val="7"/>
        </w:numPr>
        <w:ind w:left="426" w:hanging="426"/>
        <w:rPr>
          <w:rFonts w:cs="Arial"/>
          <w:b/>
        </w:rPr>
      </w:pPr>
      <w:r w:rsidRPr="00777A92">
        <w:rPr>
          <w:rFonts w:cs="Arial"/>
          <w:b/>
        </w:rPr>
        <w:t>Kontrola u příjemců podpory</w:t>
      </w:r>
    </w:p>
    <w:p w:rsidR="00D70D8F" w:rsidRPr="00777A92" w:rsidRDefault="00D70D8F" w:rsidP="00C112BF">
      <w:pPr>
        <w:rPr>
          <w:rFonts w:cs="Arial"/>
          <w:b/>
        </w:rPr>
      </w:pPr>
    </w:p>
    <w:p w:rsidR="00C112BF" w:rsidRPr="00BE1B6D" w:rsidRDefault="00827810" w:rsidP="00C112BF">
      <w:pPr>
        <w:rPr>
          <w:rFonts w:cs="Arial"/>
          <w:b/>
        </w:rPr>
      </w:pPr>
      <w:r>
        <w:rPr>
          <w:rFonts w:cs="Arial"/>
          <w:b/>
        </w:rPr>
        <w:t>K</w:t>
      </w:r>
      <w:r w:rsidRPr="00777A92">
        <w:rPr>
          <w:rFonts w:cs="Arial"/>
          <w:b/>
        </w:rPr>
        <w:t>ontrol</w:t>
      </w:r>
      <w:r w:rsidR="00845711">
        <w:rPr>
          <w:rFonts w:cs="Arial"/>
          <w:b/>
        </w:rPr>
        <w:t>ní akcí</w:t>
      </w:r>
      <w:r w:rsidRPr="00777A92">
        <w:rPr>
          <w:rFonts w:cs="Arial"/>
          <w:b/>
        </w:rPr>
        <w:t xml:space="preserve"> NKÚ </w:t>
      </w:r>
      <w:r w:rsidR="00845711">
        <w:rPr>
          <w:rFonts w:cs="Arial"/>
          <w:b/>
        </w:rPr>
        <w:t>byly</w:t>
      </w:r>
      <w:r w:rsidR="00C112BF" w:rsidRPr="00777A92">
        <w:rPr>
          <w:rFonts w:cs="Arial"/>
          <w:b/>
        </w:rPr>
        <w:t xml:space="preserve"> u příjemců podpory </w:t>
      </w:r>
      <w:r w:rsidR="00845711">
        <w:rPr>
          <w:rFonts w:cs="Arial"/>
          <w:b/>
        </w:rPr>
        <w:t xml:space="preserve">zjištěny </w:t>
      </w:r>
      <w:r w:rsidR="00C112BF" w:rsidRPr="00777A92">
        <w:rPr>
          <w:rFonts w:cs="Arial"/>
          <w:b/>
        </w:rPr>
        <w:t xml:space="preserve">některé případy nedodržování podmínek poskytnutí podpory. Nedostatky se vyskytovaly zejména v oblasti výběru dodavatelů, realizace a naplňování </w:t>
      </w:r>
      <w:r w:rsidR="0090467B">
        <w:rPr>
          <w:rFonts w:cs="Arial"/>
          <w:b/>
        </w:rPr>
        <w:t>cílů projektů a </w:t>
      </w:r>
      <w:r w:rsidR="00A068E0">
        <w:rPr>
          <w:rFonts w:cs="Arial"/>
          <w:b/>
        </w:rPr>
        <w:t xml:space="preserve">vedení </w:t>
      </w:r>
      <w:r w:rsidR="0090467B">
        <w:rPr>
          <w:rFonts w:cs="Arial"/>
          <w:b/>
        </w:rPr>
        <w:t>účetnictví</w:t>
      </w:r>
      <w:r w:rsidR="00A068E0">
        <w:rPr>
          <w:rFonts w:cs="Arial"/>
          <w:b/>
        </w:rPr>
        <w:t>.</w:t>
      </w:r>
      <w:r w:rsidR="0090467B">
        <w:rPr>
          <w:rFonts w:cs="Arial"/>
          <w:b/>
        </w:rPr>
        <w:t xml:space="preserve"> </w:t>
      </w:r>
      <w:r w:rsidR="00A068E0">
        <w:rPr>
          <w:rFonts w:cs="Arial"/>
          <w:b/>
        </w:rPr>
        <w:t>N</w:t>
      </w:r>
      <w:r w:rsidR="0090467B">
        <w:rPr>
          <w:rFonts w:cs="Arial"/>
          <w:b/>
        </w:rPr>
        <w:t xml:space="preserve">ěkteré </w:t>
      </w:r>
      <w:r w:rsidR="00A068E0">
        <w:rPr>
          <w:rFonts w:cs="Arial"/>
          <w:b/>
        </w:rPr>
        <w:t xml:space="preserve">z nich </w:t>
      </w:r>
      <w:r w:rsidR="00A068E0">
        <w:rPr>
          <w:rFonts w:cs="Arial"/>
          <w:b/>
        </w:rPr>
        <w:lastRenderedPageBreak/>
        <w:t>byly vyhodnoceny jako</w:t>
      </w:r>
      <w:r w:rsidR="0090467B">
        <w:rPr>
          <w:rFonts w:cs="Arial"/>
          <w:b/>
        </w:rPr>
        <w:t xml:space="preserve"> </w:t>
      </w:r>
      <w:r w:rsidR="00A068E0">
        <w:rPr>
          <w:rFonts w:cs="Arial"/>
          <w:b/>
        </w:rPr>
        <w:t xml:space="preserve">porušení </w:t>
      </w:r>
      <w:r w:rsidR="0090467B">
        <w:rPr>
          <w:rFonts w:cs="Arial"/>
          <w:b/>
        </w:rPr>
        <w:t>rozpočtov</w:t>
      </w:r>
      <w:r w:rsidR="00A068E0">
        <w:rPr>
          <w:rFonts w:cs="Arial"/>
          <w:b/>
        </w:rPr>
        <w:t>é</w:t>
      </w:r>
      <w:r w:rsidR="0090467B">
        <w:rPr>
          <w:rFonts w:cs="Arial"/>
          <w:b/>
        </w:rPr>
        <w:t xml:space="preserve"> káz</w:t>
      </w:r>
      <w:r w:rsidR="00A068E0">
        <w:rPr>
          <w:rFonts w:cs="Arial"/>
          <w:b/>
        </w:rPr>
        <w:t>ně</w:t>
      </w:r>
      <w:r w:rsidR="0090467B">
        <w:rPr>
          <w:rFonts w:cs="Arial"/>
          <w:b/>
        </w:rPr>
        <w:t xml:space="preserve">. </w:t>
      </w:r>
      <w:r w:rsidR="00C112BF" w:rsidRPr="00777A92">
        <w:rPr>
          <w:rFonts w:cs="Arial"/>
          <w:b/>
        </w:rPr>
        <w:t xml:space="preserve">NKÚ </w:t>
      </w:r>
      <w:r w:rsidR="0090467B">
        <w:rPr>
          <w:rFonts w:cs="Arial"/>
          <w:b/>
        </w:rPr>
        <w:t xml:space="preserve">má povinnost oznámit </w:t>
      </w:r>
      <w:r w:rsidR="0090467B" w:rsidRPr="00777A92">
        <w:rPr>
          <w:rFonts w:cs="Arial"/>
          <w:b/>
        </w:rPr>
        <w:t>podle §</w:t>
      </w:r>
      <w:r w:rsidR="00FE5779">
        <w:rPr>
          <w:rFonts w:cs="Arial"/>
          <w:b/>
        </w:rPr>
        <w:t> </w:t>
      </w:r>
      <w:r w:rsidR="0090467B" w:rsidRPr="00777A92">
        <w:rPr>
          <w:rFonts w:cs="Arial"/>
          <w:b/>
        </w:rPr>
        <w:t>59</w:t>
      </w:r>
      <w:r w:rsidR="00FE5779">
        <w:rPr>
          <w:rFonts w:cs="Arial"/>
          <w:b/>
        </w:rPr>
        <w:t> </w:t>
      </w:r>
      <w:r w:rsidR="0090467B" w:rsidRPr="00777A92">
        <w:rPr>
          <w:rFonts w:cs="Arial"/>
          <w:b/>
        </w:rPr>
        <w:t>daň</w:t>
      </w:r>
      <w:r w:rsidR="0090467B">
        <w:rPr>
          <w:rFonts w:cs="Arial"/>
          <w:b/>
        </w:rPr>
        <w:t xml:space="preserve">ového </w:t>
      </w:r>
      <w:r w:rsidR="0090467B" w:rsidRPr="00BE1B6D">
        <w:rPr>
          <w:rFonts w:cs="Arial"/>
          <w:b/>
        </w:rPr>
        <w:t>řádu takov</w:t>
      </w:r>
      <w:r w:rsidR="00845711">
        <w:rPr>
          <w:rFonts w:cs="Arial"/>
          <w:b/>
        </w:rPr>
        <w:t>á</w:t>
      </w:r>
      <w:r w:rsidR="0090467B" w:rsidRPr="00BE1B6D">
        <w:rPr>
          <w:rFonts w:cs="Arial"/>
          <w:b/>
        </w:rPr>
        <w:t xml:space="preserve"> kontrolní zjištění příslušným správcům daně. </w:t>
      </w:r>
      <w:r w:rsidR="00777A92" w:rsidRPr="00BE1B6D">
        <w:rPr>
          <w:rFonts w:cs="Arial"/>
          <w:b/>
        </w:rPr>
        <w:t xml:space="preserve"> </w:t>
      </w:r>
    </w:p>
    <w:p w:rsidR="00FE5779" w:rsidRPr="00BE1B6D" w:rsidRDefault="00FE5779" w:rsidP="00B27E3D">
      <w:pPr>
        <w:rPr>
          <w:rFonts w:cs="Arial"/>
          <w:szCs w:val="22"/>
        </w:rPr>
      </w:pPr>
    </w:p>
    <w:p w:rsidR="00B27E3D" w:rsidRPr="00224810" w:rsidRDefault="00845711" w:rsidP="00224810">
      <w:pPr>
        <w:spacing w:after="120"/>
        <w:rPr>
          <w:rFonts w:cs="Arial"/>
          <w:b/>
          <w:szCs w:val="22"/>
        </w:rPr>
      </w:pPr>
      <w:r w:rsidRPr="00224810">
        <w:rPr>
          <w:rFonts w:cs="Arial"/>
          <w:b/>
          <w:szCs w:val="22"/>
        </w:rPr>
        <w:t xml:space="preserve">1) </w:t>
      </w:r>
      <w:r w:rsidR="00B27E3D" w:rsidRPr="00224810">
        <w:rPr>
          <w:rFonts w:cs="Arial"/>
          <w:b/>
          <w:szCs w:val="22"/>
        </w:rPr>
        <w:t>Výběr dodavatelů</w:t>
      </w:r>
    </w:p>
    <w:p w:rsidR="00A44883" w:rsidRDefault="00B27E3D" w:rsidP="007D53F2">
      <w:pPr>
        <w:rPr>
          <w:rFonts w:cs="Arial"/>
          <w:color w:val="000000"/>
          <w:szCs w:val="22"/>
        </w:rPr>
      </w:pPr>
      <w:r w:rsidRPr="00BE1B6D">
        <w:rPr>
          <w:rFonts w:cs="Arial"/>
          <w:szCs w:val="22"/>
        </w:rPr>
        <w:t>Závažné</w:t>
      </w:r>
      <w:r w:rsidR="00845711">
        <w:rPr>
          <w:rFonts w:cs="Arial"/>
          <w:szCs w:val="22"/>
        </w:rPr>
        <w:t>ho</w:t>
      </w:r>
      <w:r w:rsidRPr="00BE1B6D">
        <w:rPr>
          <w:rFonts w:cs="Arial"/>
          <w:szCs w:val="22"/>
        </w:rPr>
        <w:t xml:space="preserve"> porušení </w:t>
      </w:r>
      <w:r w:rsidRPr="00224810">
        <w:rPr>
          <w:rFonts w:cs="Arial"/>
          <w:szCs w:val="22"/>
        </w:rPr>
        <w:t>pravidel OPPA</w:t>
      </w:r>
      <w:r w:rsidRPr="00224810">
        <w:rPr>
          <w:rStyle w:val="Znakapoznpodarou"/>
          <w:rFonts w:cs="Arial"/>
          <w:szCs w:val="22"/>
        </w:rPr>
        <w:footnoteReference w:id="25"/>
      </w:r>
      <w:r w:rsidRPr="00BE1B6D">
        <w:rPr>
          <w:rFonts w:cs="Arial"/>
          <w:szCs w:val="22"/>
        </w:rPr>
        <w:t xml:space="preserve"> při výběru dodavatelů </w:t>
      </w:r>
      <w:r w:rsidR="00845711">
        <w:rPr>
          <w:rFonts w:cs="Arial"/>
          <w:szCs w:val="22"/>
        </w:rPr>
        <w:t>se dopustila</w:t>
      </w:r>
      <w:r w:rsidRPr="00BE1B6D">
        <w:rPr>
          <w:rFonts w:cs="Arial"/>
          <w:szCs w:val="22"/>
        </w:rPr>
        <w:t xml:space="preserve"> </w:t>
      </w:r>
      <w:r w:rsidR="00845711">
        <w:rPr>
          <w:rFonts w:cs="Arial"/>
          <w:szCs w:val="22"/>
        </w:rPr>
        <w:t>m</w:t>
      </w:r>
      <w:r w:rsidRPr="00224810">
        <w:rPr>
          <w:rFonts w:cs="Arial"/>
          <w:szCs w:val="22"/>
        </w:rPr>
        <w:t>ěstsk</w:t>
      </w:r>
      <w:r w:rsidR="00845711">
        <w:rPr>
          <w:rFonts w:cs="Arial"/>
          <w:szCs w:val="22"/>
        </w:rPr>
        <w:t>á</w:t>
      </w:r>
      <w:r w:rsidRPr="00224810">
        <w:rPr>
          <w:rFonts w:cs="Arial"/>
          <w:szCs w:val="22"/>
        </w:rPr>
        <w:t xml:space="preserve"> část Praha 10</w:t>
      </w:r>
      <w:r w:rsidRPr="00BE1B6D">
        <w:rPr>
          <w:rFonts w:cs="Arial"/>
          <w:szCs w:val="22"/>
        </w:rPr>
        <w:t>, která zrušila výběrové řízení a </w:t>
      </w:r>
      <w:r w:rsidR="00A84E6E" w:rsidRPr="00BE1B6D">
        <w:rPr>
          <w:rFonts w:cs="Arial"/>
          <w:szCs w:val="22"/>
        </w:rPr>
        <w:t xml:space="preserve">následně neprovedla náhradní výběrové řízení, ale přímo oslovila dodavatele služeb – čtyři lektory Vysoké školy finanční a správní </w:t>
      </w:r>
      <w:r w:rsidR="00845711">
        <w:rPr>
          <w:rFonts w:cs="Arial"/>
          <w:szCs w:val="22"/>
        </w:rPr>
        <w:t xml:space="preserve">– </w:t>
      </w:r>
      <w:r w:rsidR="00A84E6E" w:rsidRPr="00BE1B6D">
        <w:rPr>
          <w:rFonts w:cs="Arial"/>
          <w:szCs w:val="22"/>
        </w:rPr>
        <w:t>a uzavřela</w:t>
      </w:r>
      <w:r w:rsidR="00A84E6E" w:rsidRPr="002A3E8B">
        <w:rPr>
          <w:rFonts w:cs="Arial"/>
          <w:szCs w:val="22"/>
        </w:rPr>
        <w:t xml:space="preserve"> s nimi dohody o pracovní činnosti ve výši 762 400 Kč včetně DPH. U</w:t>
      </w:r>
      <w:r w:rsidRPr="002A3E8B">
        <w:rPr>
          <w:rFonts w:cs="Arial"/>
          <w:szCs w:val="22"/>
        </w:rPr>
        <w:t xml:space="preserve">chazeče, který jako jediný splnil všechny podmínky </w:t>
      </w:r>
      <w:r w:rsidR="0090467B" w:rsidRPr="002A3E8B">
        <w:rPr>
          <w:rFonts w:cs="Arial"/>
          <w:szCs w:val="22"/>
        </w:rPr>
        <w:t xml:space="preserve">původního </w:t>
      </w:r>
      <w:r w:rsidRPr="002A3E8B">
        <w:rPr>
          <w:rFonts w:cs="Arial"/>
          <w:szCs w:val="22"/>
        </w:rPr>
        <w:t>výběrového řízení a zároveň nabídl nejnižší cenu plnění</w:t>
      </w:r>
      <w:r w:rsidR="00CB62AF" w:rsidRPr="002A3E8B">
        <w:rPr>
          <w:rFonts w:cs="Arial"/>
          <w:szCs w:val="22"/>
        </w:rPr>
        <w:t>, vyloučila zrušení</w:t>
      </w:r>
      <w:r w:rsidR="003A3C44" w:rsidRPr="002A3E8B">
        <w:rPr>
          <w:rFonts w:cs="Arial"/>
          <w:szCs w:val="22"/>
        </w:rPr>
        <w:t>m</w:t>
      </w:r>
      <w:r w:rsidR="00CB62AF" w:rsidRPr="002A3E8B">
        <w:rPr>
          <w:rFonts w:cs="Arial"/>
          <w:szCs w:val="22"/>
        </w:rPr>
        <w:t xml:space="preserve"> </w:t>
      </w:r>
      <w:r w:rsidR="00A44883" w:rsidRPr="002A3E8B">
        <w:rPr>
          <w:rFonts w:cs="Arial"/>
          <w:szCs w:val="22"/>
        </w:rPr>
        <w:t xml:space="preserve">výběrového řízení </w:t>
      </w:r>
      <w:r w:rsidR="00777A92" w:rsidRPr="002A3E8B">
        <w:rPr>
          <w:rFonts w:cs="Arial"/>
          <w:szCs w:val="22"/>
        </w:rPr>
        <w:t>a </w:t>
      </w:r>
      <w:r w:rsidR="003A3C44" w:rsidRPr="002A3E8B">
        <w:rPr>
          <w:rFonts w:cs="Arial"/>
          <w:szCs w:val="22"/>
        </w:rPr>
        <w:t>následným neoslovením</w:t>
      </w:r>
      <w:r w:rsidRPr="002A3E8B">
        <w:rPr>
          <w:rFonts w:cs="Arial"/>
          <w:szCs w:val="22"/>
        </w:rPr>
        <w:t>.</w:t>
      </w:r>
      <w:r w:rsidR="00A84E6E" w:rsidRPr="002A3E8B">
        <w:rPr>
          <w:rFonts w:cs="Arial"/>
          <w:szCs w:val="22"/>
        </w:rPr>
        <w:t xml:space="preserve"> Nabídnutá cena</w:t>
      </w:r>
      <w:r w:rsidR="005430A6" w:rsidRPr="002A3E8B">
        <w:rPr>
          <w:rFonts w:cs="Arial"/>
          <w:szCs w:val="22"/>
        </w:rPr>
        <w:t xml:space="preserve"> </w:t>
      </w:r>
      <w:r w:rsidR="00A36CFA" w:rsidRPr="002A3E8B">
        <w:rPr>
          <w:rFonts w:cs="Arial"/>
          <w:szCs w:val="22"/>
        </w:rPr>
        <w:t xml:space="preserve">(446 249 Kč) </w:t>
      </w:r>
      <w:r w:rsidR="003A3C44" w:rsidRPr="002A3E8B">
        <w:rPr>
          <w:rFonts w:cs="Arial"/>
          <w:szCs w:val="22"/>
        </w:rPr>
        <w:t xml:space="preserve">vyloučeného uchazeče </w:t>
      </w:r>
      <w:r w:rsidR="00CB62AF" w:rsidRPr="002A3E8B">
        <w:rPr>
          <w:rFonts w:cs="Arial"/>
          <w:szCs w:val="22"/>
        </w:rPr>
        <w:t>b</w:t>
      </w:r>
      <w:r w:rsidR="00A84E6E" w:rsidRPr="002A3E8B">
        <w:rPr>
          <w:rFonts w:cs="Arial"/>
          <w:szCs w:val="22"/>
        </w:rPr>
        <w:t>yla</w:t>
      </w:r>
      <w:r w:rsidR="005430A6" w:rsidRPr="002A3E8B">
        <w:rPr>
          <w:rFonts w:cs="Arial"/>
          <w:szCs w:val="22"/>
        </w:rPr>
        <w:t xml:space="preserve"> </w:t>
      </w:r>
      <w:r w:rsidR="00A84E6E" w:rsidRPr="002A3E8B">
        <w:rPr>
          <w:rFonts w:cs="Arial"/>
          <w:szCs w:val="22"/>
        </w:rPr>
        <w:t>nižší</w:t>
      </w:r>
      <w:r w:rsidR="005430A6" w:rsidRPr="002A3E8B">
        <w:rPr>
          <w:rFonts w:cs="Arial"/>
          <w:szCs w:val="22"/>
        </w:rPr>
        <w:t xml:space="preserve"> </w:t>
      </w:r>
      <w:r w:rsidR="00A84E6E" w:rsidRPr="002A3E8B">
        <w:rPr>
          <w:rFonts w:cs="Arial"/>
          <w:szCs w:val="22"/>
        </w:rPr>
        <w:t>než</w:t>
      </w:r>
      <w:r w:rsidR="005430A6" w:rsidRPr="002A3E8B">
        <w:rPr>
          <w:rFonts w:cs="Arial"/>
          <w:szCs w:val="22"/>
        </w:rPr>
        <w:t xml:space="preserve"> </w:t>
      </w:r>
      <w:r w:rsidR="00A84E6E" w:rsidRPr="002A3E8B">
        <w:rPr>
          <w:rFonts w:cs="Arial"/>
          <w:szCs w:val="22"/>
        </w:rPr>
        <w:t>uzavřené</w:t>
      </w:r>
      <w:r w:rsidR="005430A6" w:rsidRPr="002A3E8B">
        <w:rPr>
          <w:rFonts w:cs="Arial"/>
          <w:szCs w:val="22"/>
        </w:rPr>
        <w:t xml:space="preserve"> </w:t>
      </w:r>
      <w:r w:rsidR="00A84E6E" w:rsidRPr="002A3E8B">
        <w:rPr>
          <w:rFonts w:cs="Arial"/>
          <w:szCs w:val="22"/>
        </w:rPr>
        <w:t>dohody.</w:t>
      </w:r>
      <w:r w:rsidR="003A3C44" w:rsidRPr="002A3E8B">
        <w:rPr>
          <w:rFonts w:cs="Arial"/>
          <w:szCs w:val="22"/>
        </w:rPr>
        <w:t xml:space="preserve"> </w:t>
      </w:r>
      <w:r w:rsidRPr="002A3E8B">
        <w:rPr>
          <w:rFonts w:cs="Arial"/>
          <w:color w:val="000000"/>
          <w:szCs w:val="22"/>
        </w:rPr>
        <w:t>V rámci projektu HMP</w:t>
      </w:r>
      <w:r w:rsidRPr="002A3E8B">
        <w:rPr>
          <w:rStyle w:val="Znakapoznpodarou"/>
          <w:rFonts w:cs="Arial"/>
          <w:color w:val="000000"/>
          <w:szCs w:val="22"/>
        </w:rPr>
        <w:footnoteReference w:id="26"/>
      </w:r>
      <w:r w:rsidRPr="002A3E8B">
        <w:rPr>
          <w:rFonts w:cs="Arial"/>
          <w:szCs w:val="22"/>
        </w:rPr>
        <w:t xml:space="preserve"> při realizaci </w:t>
      </w:r>
      <w:r w:rsidRPr="002A3E8B">
        <w:rPr>
          <w:rFonts w:cs="Arial"/>
          <w:color w:val="000000"/>
          <w:szCs w:val="22"/>
        </w:rPr>
        <w:t>výběrového řízení na poskytovatele dalšího vzdělávání zaměstnanců se HMP v roli příjemce dotace dopustilo porušení požadavků zákona</w:t>
      </w:r>
      <w:r w:rsidRPr="002A3E8B">
        <w:rPr>
          <w:rStyle w:val="Znakapoznpodarou"/>
          <w:rFonts w:cs="Arial"/>
          <w:color w:val="000000"/>
          <w:szCs w:val="22"/>
        </w:rPr>
        <w:footnoteReference w:id="27"/>
      </w:r>
      <w:r w:rsidRPr="002A3E8B">
        <w:rPr>
          <w:rFonts w:cs="Arial"/>
          <w:color w:val="000000"/>
          <w:szCs w:val="22"/>
        </w:rPr>
        <w:t>, když nevyloučilo ze zadávacího řízení uchazeče, který nesplnil požadov</w:t>
      </w:r>
      <w:r w:rsidR="00A36CFA" w:rsidRPr="002A3E8B">
        <w:rPr>
          <w:rFonts w:cs="Arial"/>
          <w:color w:val="000000"/>
          <w:szCs w:val="22"/>
        </w:rPr>
        <w:t>ané kvalifikační předpoklady, a </w:t>
      </w:r>
      <w:r w:rsidRPr="002A3E8B">
        <w:rPr>
          <w:rFonts w:cs="Arial"/>
          <w:color w:val="000000"/>
          <w:szCs w:val="22"/>
        </w:rPr>
        <w:t>nastavilo dílčí hodnot</w:t>
      </w:r>
      <w:r w:rsidR="00741CA7">
        <w:rPr>
          <w:rFonts w:cs="Arial"/>
          <w:color w:val="000000"/>
          <w:szCs w:val="22"/>
        </w:rPr>
        <w:t>i</w:t>
      </w:r>
      <w:r w:rsidRPr="002A3E8B">
        <w:rPr>
          <w:rFonts w:cs="Arial"/>
          <w:color w:val="000000"/>
          <w:szCs w:val="22"/>
        </w:rPr>
        <w:t xml:space="preserve">cí kritéria </w:t>
      </w:r>
      <w:r w:rsidR="00741CA7">
        <w:rPr>
          <w:rFonts w:cs="Arial"/>
          <w:color w:val="000000"/>
          <w:szCs w:val="22"/>
        </w:rPr>
        <w:t xml:space="preserve">takovým </w:t>
      </w:r>
      <w:r w:rsidRPr="002A3E8B">
        <w:rPr>
          <w:rFonts w:cs="Arial"/>
          <w:color w:val="000000"/>
          <w:szCs w:val="22"/>
        </w:rPr>
        <w:t xml:space="preserve">způsobem, </w:t>
      </w:r>
      <w:r w:rsidR="00741CA7">
        <w:rPr>
          <w:rFonts w:cs="Arial"/>
          <w:color w:val="000000"/>
          <w:szCs w:val="22"/>
        </w:rPr>
        <w:t>že</w:t>
      </w:r>
      <w:r w:rsidRPr="002A3E8B">
        <w:rPr>
          <w:rFonts w:cs="Arial"/>
          <w:color w:val="000000"/>
          <w:szCs w:val="22"/>
        </w:rPr>
        <w:t xml:space="preserve"> tři ze čtyř kritérií nebyla schopna hodnotit ekonomickou </w:t>
      </w:r>
      <w:r w:rsidRPr="00FE5B2E">
        <w:rPr>
          <w:rFonts w:cs="Arial"/>
          <w:color w:val="000000"/>
          <w:szCs w:val="22"/>
        </w:rPr>
        <w:t>výhodnost jednotlivých nabídek (nevyjad</w:t>
      </w:r>
      <w:r w:rsidR="00FA13BB" w:rsidRPr="00FE5B2E">
        <w:rPr>
          <w:rFonts w:cs="Arial"/>
          <w:color w:val="000000"/>
          <w:szCs w:val="22"/>
        </w:rPr>
        <w:t>řo</w:t>
      </w:r>
      <w:r w:rsidRPr="00FE5B2E">
        <w:rPr>
          <w:rFonts w:cs="Arial"/>
          <w:color w:val="000000"/>
          <w:szCs w:val="22"/>
        </w:rPr>
        <w:t xml:space="preserve">vala vztah ceny k užitku). Nevyloučený uchazeč byl v předmětném výběrovém řízení </w:t>
      </w:r>
      <w:r w:rsidR="00741CA7" w:rsidRPr="00FE5B2E">
        <w:rPr>
          <w:rFonts w:cs="Arial"/>
          <w:color w:val="000000"/>
          <w:szCs w:val="22"/>
        </w:rPr>
        <w:t xml:space="preserve">vybrán jako dodavatel </w:t>
      </w:r>
      <w:r w:rsidRPr="00FE5B2E">
        <w:rPr>
          <w:rFonts w:cs="Arial"/>
          <w:color w:val="000000"/>
          <w:szCs w:val="22"/>
        </w:rPr>
        <w:t>(př</w:t>
      </w:r>
      <w:r w:rsidR="00777A92" w:rsidRPr="00FE5B2E">
        <w:rPr>
          <w:rFonts w:cs="Arial"/>
          <w:color w:val="000000"/>
          <w:szCs w:val="22"/>
        </w:rPr>
        <w:t xml:space="preserve">edpokládané plnění 18 790 000 </w:t>
      </w:r>
      <w:r w:rsidRPr="00FE5B2E">
        <w:rPr>
          <w:rFonts w:cs="Arial"/>
          <w:color w:val="000000"/>
          <w:szCs w:val="22"/>
        </w:rPr>
        <w:t>Kč).</w:t>
      </w:r>
    </w:p>
    <w:p w:rsidR="00B1411D" w:rsidRPr="00FE5B2E" w:rsidRDefault="00B1411D" w:rsidP="007D53F2">
      <w:pPr>
        <w:rPr>
          <w:rFonts w:cs="Arial"/>
          <w:color w:val="000000"/>
          <w:szCs w:val="22"/>
        </w:rPr>
      </w:pPr>
    </w:p>
    <w:p w:rsidR="00DE22D3" w:rsidRDefault="00DE22D3" w:rsidP="007D53F2">
      <w:pPr>
        <w:rPr>
          <w:rFonts w:cs="Arial"/>
          <w:szCs w:val="22"/>
        </w:rPr>
      </w:pPr>
      <w:r w:rsidRPr="00FE5B2E">
        <w:rPr>
          <w:rFonts w:cs="Arial"/>
          <w:szCs w:val="22"/>
        </w:rPr>
        <w:t xml:space="preserve">Příjemce podpory </w:t>
      </w:r>
      <w:r w:rsidRPr="00224810">
        <w:rPr>
          <w:rFonts w:cs="Arial"/>
          <w:szCs w:val="22"/>
        </w:rPr>
        <w:t xml:space="preserve">Odyssey Performance </w:t>
      </w:r>
      <w:proofErr w:type="spellStart"/>
      <w:r w:rsidRPr="00224810">
        <w:rPr>
          <w:rFonts w:cs="Arial"/>
          <w:szCs w:val="22"/>
        </w:rPr>
        <w:t>Enhancement</w:t>
      </w:r>
      <w:proofErr w:type="spellEnd"/>
      <w:r w:rsidRPr="00224810">
        <w:rPr>
          <w:rFonts w:cs="Arial"/>
          <w:szCs w:val="22"/>
        </w:rPr>
        <w:t xml:space="preserve"> Network, spol. s r.o.</w:t>
      </w:r>
      <w:r w:rsidR="004F241C">
        <w:rPr>
          <w:rFonts w:cs="Arial"/>
          <w:szCs w:val="22"/>
        </w:rPr>
        <w:t>,</w:t>
      </w:r>
      <w:r w:rsidRPr="00FE5B2E">
        <w:rPr>
          <w:rFonts w:cs="Arial"/>
          <w:szCs w:val="22"/>
        </w:rPr>
        <w:t xml:space="preserve"> na zajištění konzultační činnosti, jejíž předpokládaná hodnota byla vyšší než 400 tis. Kč, neoslovil nejméně </w:t>
      </w:r>
      <w:r w:rsidR="004F241C">
        <w:rPr>
          <w:rFonts w:cs="Arial"/>
          <w:szCs w:val="22"/>
        </w:rPr>
        <w:t>tři</w:t>
      </w:r>
      <w:r w:rsidRPr="00FE5B2E">
        <w:rPr>
          <w:rFonts w:cs="Arial"/>
          <w:szCs w:val="22"/>
        </w:rPr>
        <w:t xml:space="preserve"> potenciální dodavatele na dodávku služeb, ale rovnou uzavřel s dodavateli služeb rámcové smlouvy o spolupráci.</w:t>
      </w:r>
    </w:p>
    <w:p w:rsidR="00B1411D" w:rsidRPr="00FE5B2E" w:rsidRDefault="00B1411D" w:rsidP="007D53F2">
      <w:pPr>
        <w:rPr>
          <w:rFonts w:cs="Arial"/>
          <w:color w:val="000000"/>
          <w:szCs w:val="22"/>
        </w:rPr>
      </w:pPr>
    </w:p>
    <w:p w:rsidR="00B27E3D" w:rsidRPr="00FE5B2E" w:rsidRDefault="00B27E3D" w:rsidP="007D53F2">
      <w:pPr>
        <w:rPr>
          <w:rFonts w:cs="Arial"/>
          <w:szCs w:val="22"/>
        </w:rPr>
      </w:pPr>
      <w:r w:rsidRPr="00FE5B2E">
        <w:rPr>
          <w:rFonts w:cs="Arial"/>
          <w:szCs w:val="22"/>
        </w:rPr>
        <w:t xml:space="preserve">V některých případech byla </w:t>
      </w:r>
      <w:r w:rsidR="004F241C">
        <w:rPr>
          <w:rFonts w:cs="Arial"/>
          <w:szCs w:val="22"/>
        </w:rPr>
        <w:t xml:space="preserve">v procesu </w:t>
      </w:r>
      <w:r w:rsidR="004F241C" w:rsidRPr="00FE5B2E">
        <w:rPr>
          <w:rFonts w:cs="Arial"/>
          <w:szCs w:val="22"/>
        </w:rPr>
        <w:t xml:space="preserve">výběru dodavatelů </w:t>
      </w:r>
      <w:r w:rsidRPr="00FE5B2E">
        <w:rPr>
          <w:rFonts w:cs="Arial"/>
          <w:szCs w:val="22"/>
        </w:rPr>
        <w:t xml:space="preserve">zjištěna méně závažná pochybení, při kterých došlo k porušení </w:t>
      </w:r>
      <w:r w:rsidRPr="00224810">
        <w:rPr>
          <w:rFonts w:cs="Arial"/>
          <w:szCs w:val="22"/>
        </w:rPr>
        <w:t>pravidel OPPA</w:t>
      </w:r>
      <w:r w:rsidRPr="00FE5B2E">
        <w:rPr>
          <w:rFonts w:cs="Arial"/>
          <w:szCs w:val="22"/>
        </w:rPr>
        <w:t xml:space="preserve">. Např. společnost </w:t>
      </w:r>
      <w:proofErr w:type="spellStart"/>
      <w:r w:rsidRPr="00224810">
        <w:rPr>
          <w:rFonts w:cs="Arial"/>
          <w:szCs w:val="22"/>
        </w:rPr>
        <w:t>Kaldi</w:t>
      </w:r>
      <w:proofErr w:type="spellEnd"/>
      <w:r w:rsidRPr="00224810">
        <w:rPr>
          <w:rFonts w:cs="Arial"/>
          <w:szCs w:val="22"/>
        </w:rPr>
        <w:t xml:space="preserve"> Café, spol. s r.o</w:t>
      </w:r>
      <w:r w:rsidRPr="00FE5B2E">
        <w:rPr>
          <w:rFonts w:cs="Arial"/>
          <w:szCs w:val="22"/>
        </w:rPr>
        <w:t>.</w:t>
      </w:r>
      <w:r w:rsidR="004F241C">
        <w:rPr>
          <w:rFonts w:cs="Arial"/>
          <w:szCs w:val="22"/>
        </w:rPr>
        <w:t>,</w:t>
      </w:r>
      <w:r w:rsidRPr="00FE5B2E">
        <w:rPr>
          <w:rFonts w:cs="Arial"/>
          <w:szCs w:val="22"/>
        </w:rPr>
        <w:t xml:space="preserve"> neuzavřela písemnou smlouvu na služby, jejichž celková </w:t>
      </w:r>
      <w:r w:rsidR="000D301A">
        <w:rPr>
          <w:rFonts w:cs="Arial"/>
          <w:szCs w:val="22"/>
        </w:rPr>
        <w:t>cena</w:t>
      </w:r>
      <w:r w:rsidRPr="00FE5B2E">
        <w:rPr>
          <w:rFonts w:cs="Arial"/>
          <w:szCs w:val="22"/>
        </w:rPr>
        <w:t xml:space="preserve"> činila 239 862 Kč včetně DPH. Ve dvou případech – </w:t>
      </w:r>
      <w:r w:rsidR="004F241C">
        <w:rPr>
          <w:rFonts w:cs="Arial"/>
          <w:szCs w:val="22"/>
        </w:rPr>
        <w:t>m</w:t>
      </w:r>
      <w:r w:rsidR="007467E6" w:rsidRPr="00224810">
        <w:rPr>
          <w:rFonts w:cs="Arial"/>
          <w:szCs w:val="22"/>
        </w:rPr>
        <w:t>ěstská část Praha </w:t>
      </w:r>
      <w:r w:rsidRPr="00224810">
        <w:rPr>
          <w:rFonts w:cs="Arial"/>
          <w:szCs w:val="22"/>
        </w:rPr>
        <w:t>10</w:t>
      </w:r>
      <w:r w:rsidRPr="00FE5B2E">
        <w:rPr>
          <w:rFonts w:cs="Arial"/>
          <w:szCs w:val="22"/>
        </w:rPr>
        <w:t xml:space="preserve"> a </w:t>
      </w:r>
      <w:r w:rsidRPr="00224810">
        <w:rPr>
          <w:rFonts w:cs="Arial"/>
          <w:szCs w:val="22"/>
        </w:rPr>
        <w:t xml:space="preserve">Gymnázium, Praha 6, </w:t>
      </w:r>
      <w:r w:rsidR="004F241C">
        <w:rPr>
          <w:rFonts w:cs="Arial"/>
          <w:szCs w:val="22"/>
        </w:rPr>
        <w:t>N</w:t>
      </w:r>
      <w:r w:rsidRPr="00224810">
        <w:rPr>
          <w:rFonts w:cs="Arial"/>
          <w:szCs w:val="22"/>
        </w:rPr>
        <w:t>ad Alejí</w:t>
      </w:r>
      <w:r w:rsidRPr="00FE5B2E">
        <w:rPr>
          <w:rFonts w:cs="Arial"/>
          <w:szCs w:val="22"/>
        </w:rPr>
        <w:t xml:space="preserve"> </w:t>
      </w:r>
      <w:r w:rsidR="004F241C">
        <w:rPr>
          <w:rFonts w:cs="Arial"/>
          <w:szCs w:val="22"/>
        </w:rPr>
        <w:t xml:space="preserve">1952 </w:t>
      </w:r>
      <w:r w:rsidR="00FE5B2E">
        <w:rPr>
          <w:rFonts w:cs="Arial"/>
          <w:szCs w:val="22"/>
        </w:rPr>
        <w:t>–</w:t>
      </w:r>
      <w:r w:rsidRPr="00FE5B2E">
        <w:rPr>
          <w:rFonts w:cs="Arial"/>
          <w:szCs w:val="22"/>
        </w:rPr>
        <w:t xml:space="preserve"> příjemci nedoložili, že o výsledku zadávacího řízení </w:t>
      </w:r>
      <w:r w:rsidR="004F241C" w:rsidRPr="00FE5B2E">
        <w:rPr>
          <w:rFonts w:cs="Arial"/>
          <w:szCs w:val="22"/>
        </w:rPr>
        <w:t xml:space="preserve">informovali </w:t>
      </w:r>
      <w:r w:rsidRPr="00FE5B2E">
        <w:rPr>
          <w:rFonts w:cs="Arial"/>
          <w:szCs w:val="22"/>
        </w:rPr>
        <w:t xml:space="preserve">písemně či elektronicky všechny subjekty, které předložily svou nabídku. </w:t>
      </w:r>
    </w:p>
    <w:p w:rsidR="00FE5779" w:rsidRDefault="00FE5779" w:rsidP="00B27E3D">
      <w:pPr>
        <w:pStyle w:val="normln0"/>
        <w:rPr>
          <w:rFonts w:ascii="Arial" w:hAnsi="Arial" w:cs="Arial"/>
          <w:bCs/>
          <w:sz w:val="22"/>
          <w:szCs w:val="22"/>
        </w:rPr>
      </w:pPr>
    </w:p>
    <w:p w:rsidR="00B27E3D" w:rsidRPr="00224810" w:rsidRDefault="00741CA7" w:rsidP="00224810">
      <w:pPr>
        <w:pStyle w:val="normln0"/>
        <w:spacing w:after="120"/>
        <w:rPr>
          <w:rFonts w:ascii="Arial" w:hAnsi="Arial" w:cs="Arial"/>
          <w:b/>
          <w:bCs/>
          <w:sz w:val="22"/>
          <w:szCs w:val="22"/>
        </w:rPr>
      </w:pPr>
      <w:r w:rsidRPr="00224810">
        <w:rPr>
          <w:rFonts w:ascii="Arial" w:hAnsi="Arial" w:cs="Arial"/>
          <w:b/>
          <w:bCs/>
          <w:sz w:val="22"/>
          <w:szCs w:val="22"/>
        </w:rPr>
        <w:t xml:space="preserve">2) </w:t>
      </w:r>
      <w:r w:rsidR="00D323BD" w:rsidRPr="00224810">
        <w:rPr>
          <w:rFonts w:ascii="Arial" w:hAnsi="Arial" w:cs="Arial"/>
          <w:b/>
          <w:bCs/>
          <w:sz w:val="22"/>
          <w:szCs w:val="22"/>
        </w:rPr>
        <w:t>R</w:t>
      </w:r>
      <w:r w:rsidR="00B27E3D" w:rsidRPr="00224810">
        <w:rPr>
          <w:rFonts w:ascii="Arial" w:hAnsi="Arial" w:cs="Arial"/>
          <w:b/>
          <w:bCs/>
          <w:sz w:val="22"/>
          <w:szCs w:val="22"/>
        </w:rPr>
        <w:t xml:space="preserve">ealizace a naplnění </w:t>
      </w:r>
      <w:r w:rsidR="00D323BD" w:rsidRPr="00224810">
        <w:rPr>
          <w:rFonts w:ascii="Arial" w:hAnsi="Arial" w:cs="Arial"/>
          <w:b/>
          <w:bCs/>
          <w:sz w:val="22"/>
          <w:szCs w:val="22"/>
        </w:rPr>
        <w:t>c</w:t>
      </w:r>
      <w:r w:rsidR="00B27E3D" w:rsidRPr="00224810">
        <w:rPr>
          <w:rFonts w:ascii="Arial" w:hAnsi="Arial" w:cs="Arial"/>
          <w:b/>
          <w:bCs/>
          <w:sz w:val="22"/>
          <w:szCs w:val="22"/>
        </w:rPr>
        <w:t>ílů z věcného hlediska</w:t>
      </w:r>
    </w:p>
    <w:p w:rsidR="00B27E3D" w:rsidRDefault="00B27E3D" w:rsidP="00B27E3D">
      <w:pPr>
        <w:rPr>
          <w:rFonts w:cs="Arial"/>
          <w:szCs w:val="22"/>
        </w:rPr>
      </w:pPr>
      <w:r w:rsidRPr="00FE5B2E">
        <w:rPr>
          <w:rFonts w:cs="Arial"/>
          <w:color w:val="000000"/>
          <w:szCs w:val="22"/>
          <w:lang w:eastAsia="cs-CZ"/>
        </w:rPr>
        <w:t>V některých případech bylo zjištěno, že osoby podpořené z OPPA nesplnily základní podmínku způsobilosti cílové skupiny stanoven</w:t>
      </w:r>
      <w:r w:rsidR="00D05DB2">
        <w:rPr>
          <w:rFonts w:cs="Arial"/>
          <w:color w:val="000000"/>
          <w:szCs w:val="22"/>
          <w:lang w:eastAsia="cs-CZ"/>
        </w:rPr>
        <w:t>ou</w:t>
      </w:r>
      <w:r w:rsidRPr="00FE5B2E">
        <w:rPr>
          <w:rFonts w:cs="Arial"/>
          <w:color w:val="000000"/>
          <w:szCs w:val="22"/>
          <w:lang w:eastAsia="cs-CZ"/>
        </w:rPr>
        <w:t xml:space="preserve"> v </w:t>
      </w:r>
      <w:r w:rsidR="00D05DB2" w:rsidRPr="00224810">
        <w:rPr>
          <w:rFonts w:cs="Arial"/>
          <w:color w:val="000000"/>
          <w:szCs w:val="22"/>
          <w:lang w:eastAsia="cs-CZ"/>
        </w:rPr>
        <w:t>o</w:t>
      </w:r>
      <w:r w:rsidRPr="00224810">
        <w:rPr>
          <w:rFonts w:cs="Arial"/>
          <w:color w:val="000000"/>
          <w:szCs w:val="22"/>
          <w:lang w:eastAsia="cs-CZ"/>
        </w:rPr>
        <w:t>peračním manuálu OPPA</w:t>
      </w:r>
      <w:r w:rsidRPr="00FE5B2E">
        <w:rPr>
          <w:rFonts w:cs="Arial"/>
          <w:color w:val="000000"/>
          <w:szCs w:val="22"/>
          <w:lang w:eastAsia="cs-CZ"/>
        </w:rPr>
        <w:t xml:space="preserve">, </w:t>
      </w:r>
      <w:r w:rsidR="00D05DB2">
        <w:rPr>
          <w:rFonts w:cs="Arial"/>
          <w:color w:val="000000"/>
          <w:szCs w:val="22"/>
          <w:lang w:eastAsia="cs-CZ"/>
        </w:rPr>
        <w:t>konkrétně tu podmínku</w:t>
      </w:r>
      <w:r w:rsidRPr="00FE5B2E">
        <w:rPr>
          <w:rFonts w:cs="Arial"/>
          <w:color w:val="000000"/>
          <w:szCs w:val="22"/>
          <w:lang w:eastAsia="cs-CZ"/>
        </w:rPr>
        <w:t xml:space="preserve">, že </w:t>
      </w:r>
      <w:r w:rsidR="00D05DB2">
        <w:rPr>
          <w:rFonts w:cs="Arial"/>
          <w:color w:val="000000"/>
          <w:szCs w:val="22"/>
          <w:lang w:eastAsia="cs-CZ"/>
        </w:rPr>
        <w:t>„</w:t>
      </w:r>
      <w:r w:rsidRPr="00FE5B2E">
        <w:rPr>
          <w:rFonts w:cs="Arial"/>
          <w:i/>
          <w:color w:val="000000"/>
          <w:szCs w:val="22"/>
          <w:lang w:eastAsia="cs-CZ"/>
        </w:rPr>
        <w:t>z</w:t>
      </w:r>
      <w:r w:rsidRPr="00FE5B2E">
        <w:rPr>
          <w:rFonts w:cs="Arial"/>
          <w:i/>
          <w:szCs w:val="22"/>
        </w:rPr>
        <w:t> OPPA je možné podpořit jen projekty, u kterých budou aktivity určeny výhradně pro cílové skupiny, jejichž členové uskutečňují činnost rozhodnou pro zařazení do cílové skupiny převážně na území hl. m. Prahy.</w:t>
      </w:r>
      <w:r w:rsidR="00D05DB2" w:rsidRPr="00224810">
        <w:rPr>
          <w:rFonts w:cs="Arial"/>
          <w:szCs w:val="22"/>
        </w:rPr>
        <w:t>“</w:t>
      </w:r>
      <w:r w:rsidRPr="00FE5B2E">
        <w:rPr>
          <w:rFonts w:cs="Arial"/>
          <w:i/>
          <w:szCs w:val="22"/>
        </w:rPr>
        <w:t xml:space="preserve"> </w:t>
      </w:r>
      <w:r w:rsidR="007467E6" w:rsidRPr="00FE5B2E">
        <w:rPr>
          <w:rFonts w:cs="Arial"/>
          <w:color w:val="000000"/>
          <w:szCs w:val="22"/>
          <w:lang w:eastAsia="cs-CZ"/>
        </w:rPr>
        <w:t>U </w:t>
      </w:r>
      <w:r w:rsidRPr="00FE5B2E">
        <w:rPr>
          <w:rFonts w:cs="Arial"/>
          <w:color w:val="000000"/>
          <w:szCs w:val="22"/>
          <w:lang w:eastAsia="cs-CZ"/>
        </w:rPr>
        <w:t xml:space="preserve">příjemce </w:t>
      </w:r>
      <w:r w:rsidRPr="00224810">
        <w:rPr>
          <w:rFonts w:cs="Arial"/>
          <w:color w:val="000000"/>
          <w:szCs w:val="22"/>
          <w:lang w:eastAsia="cs-CZ"/>
        </w:rPr>
        <w:t xml:space="preserve">Lenka </w:t>
      </w:r>
      <w:proofErr w:type="spellStart"/>
      <w:r w:rsidRPr="00224810">
        <w:rPr>
          <w:rFonts w:cs="Arial"/>
          <w:color w:val="000000"/>
          <w:szCs w:val="22"/>
          <w:lang w:eastAsia="cs-CZ"/>
        </w:rPr>
        <w:t>Pavilková</w:t>
      </w:r>
      <w:proofErr w:type="spellEnd"/>
      <w:r w:rsidRPr="00224810">
        <w:rPr>
          <w:rFonts w:cs="Arial"/>
          <w:color w:val="000000"/>
          <w:szCs w:val="22"/>
          <w:lang w:eastAsia="cs-CZ"/>
        </w:rPr>
        <w:t xml:space="preserve"> - </w:t>
      </w:r>
      <w:proofErr w:type="spellStart"/>
      <w:r w:rsidRPr="00224810">
        <w:rPr>
          <w:rFonts w:cs="Arial"/>
          <w:color w:val="000000"/>
          <w:szCs w:val="22"/>
          <w:lang w:eastAsia="cs-CZ"/>
        </w:rPr>
        <w:t>Channel</w:t>
      </w:r>
      <w:proofErr w:type="spellEnd"/>
      <w:r w:rsidRPr="00224810">
        <w:rPr>
          <w:rFonts w:cs="Arial"/>
          <w:color w:val="000000"/>
          <w:szCs w:val="22"/>
          <w:lang w:eastAsia="cs-CZ"/>
        </w:rPr>
        <w:t xml:space="preserve"> </w:t>
      </w:r>
      <w:proofErr w:type="spellStart"/>
      <w:r w:rsidRPr="00224810">
        <w:rPr>
          <w:rFonts w:cs="Arial"/>
          <w:color w:val="000000"/>
          <w:szCs w:val="22"/>
          <w:lang w:eastAsia="cs-CZ"/>
        </w:rPr>
        <w:t>Crossing</w:t>
      </w:r>
      <w:proofErr w:type="spellEnd"/>
      <w:r w:rsidRPr="00FE5B2E">
        <w:rPr>
          <w:rFonts w:cs="Arial"/>
          <w:color w:val="000000"/>
          <w:szCs w:val="22"/>
          <w:lang w:eastAsia="cs-CZ"/>
        </w:rPr>
        <w:t xml:space="preserve"> se jednalo o sedm a u </w:t>
      </w:r>
      <w:r w:rsidRPr="00224810">
        <w:rPr>
          <w:rFonts w:cs="Arial"/>
          <w:color w:val="000000"/>
          <w:szCs w:val="22"/>
          <w:lang w:eastAsia="cs-CZ"/>
        </w:rPr>
        <w:t xml:space="preserve">Odyssey Performance </w:t>
      </w:r>
      <w:proofErr w:type="spellStart"/>
      <w:r w:rsidRPr="00224810">
        <w:rPr>
          <w:rFonts w:cs="Arial"/>
          <w:color w:val="000000"/>
          <w:szCs w:val="22"/>
          <w:lang w:eastAsia="cs-CZ"/>
        </w:rPr>
        <w:t>Enhancement</w:t>
      </w:r>
      <w:proofErr w:type="spellEnd"/>
      <w:r w:rsidRPr="00224810">
        <w:rPr>
          <w:rFonts w:cs="Arial"/>
          <w:color w:val="000000"/>
          <w:szCs w:val="22"/>
          <w:lang w:eastAsia="cs-CZ"/>
        </w:rPr>
        <w:t xml:space="preserve"> Network, spol. s r.o</w:t>
      </w:r>
      <w:r w:rsidRPr="00FE5B2E">
        <w:rPr>
          <w:rFonts w:cs="Arial"/>
          <w:color w:val="000000"/>
          <w:szCs w:val="22"/>
          <w:lang w:eastAsia="cs-CZ"/>
        </w:rPr>
        <w:t>.</w:t>
      </w:r>
      <w:r w:rsidR="00D05DB2">
        <w:rPr>
          <w:rFonts w:cs="Arial"/>
          <w:color w:val="000000"/>
          <w:szCs w:val="22"/>
          <w:lang w:eastAsia="cs-CZ"/>
        </w:rPr>
        <w:t>,</w:t>
      </w:r>
      <w:r w:rsidRPr="00FE5B2E">
        <w:rPr>
          <w:rFonts w:cs="Arial"/>
          <w:color w:val="000000"/>
          <w:szCs w:val="22"/>
          <w:lang w:eastAsia="cs-CZ"/>
        </w:rPr>
        <w:t xml:space="preserve"> o</w:t>
      </w:r>
      <w:r w:rsidR="00D05DB2">
        <w:rPr>
          <w:rFonts w:cs="Arial"/>
          <w:color w:val="000000"/>
          <w:szCs w:val="22"/>
          <w:lang w:eastAsia="cs-CZ"/>
        </w:rPr>
        <w:t> </w:t>
      </w:r>
      <w:r w:rsidRPr="00FE5B2E">
        <w:rPr>
          <w:rFonts w:cs="Arial"/>
          <w:color w:val="000000"/>
          <w:szCs w:val="22"/>
          <w:lang w:eastAsia="cs-CZ"/>
        </w:rPr>
        <w:t>osm účastníků kurzů,</w:t>
      </w:r>
      <w:r w:rsidRPr="00FE5B2E">
        <w:rPr>
          <w:rFonts w:cs="Arial"/>
          <w:szCs w:val="22"/>
        </w:rPr>
        <w:t xml:space="preserve"> </w:t>
      </w:r>
      <w:r w:rsidRPr="00FE5B2E">
        <w:rPr>
          <w:rFonts w:cs="Arial"/>
          <w:color w:val="000000"/>
          <w:szCs w:val="22"/>
          <w:lang w:eastAsia="cs-CZ"/>
        </w:rPr>
        <w:t>kteří neměli ve výpisech z</w:t>
      </w:r>
      <w:r w:rsidR="00D05DB2">
        <w:rPr>
          <w:rFonts w:cs="Arial"/>
          <w:color w:val="000000"/>
          <w:szCs w:val="22"/>
          <w:lang w:eastAsia="cs-CZ"/>
        </w:rPr>
        <w:t> </w:t>
      </w:r>
      <w:r w:rsidRPr="00FE5B2E">
        <w:rPr>
          <w:rFonts w:cs="Arial"/>
          <w:color w:val="000000"/>
          <w:szCs w:val="22"/>
          <w:lang w:eastAsia="cs-CZ"/>
        </w:rPr>
        <w:t>ž</w:t>
      </w:r>
      <w:r w:rsidRPr="00FE5B2E">
        <w:rPr>
          <w:rFonts w:cs="Arial"/>
          <w:szCs w:val="22"/>
        </w:rPr>
        <w:t xml:space="preserve">ivnostenského rejstříku uvedeno </w:t>
      </w:r>
      <w:r w:rsidR="008017C2">
        <w:rPr>
          <w:rFonts w:cs="Arial"/>
          <w:szCs w:val="22"/>
        </w:rPr>
        <w:t xml:space="preserve">jako </w:t>
      </w:r>
      <w:r w:rsidRPr="00FE5B2E">
        <w:rPr>
          <w:rFonts w:cs="Arial"/>
          <w:szCs w:val="22"/>
        </w:rPr>
        <w:t>místo podnikání území hl. m. Prahy</w:t>
      </w:r>
      <w:r w:rsidR="008017C2">
        <w:rPr>
          <w:rFonts w:cs="Arial"/>
          <w:szCs w:val="22"/>
        </w:rPr>
        <w:t>,</w:t>
      </w:r>
      <w:r w:rsidRPr="00FE5B2E">
        <w:rPr>
          <w:rFonts w:cs="Arial"/>
          <w:szCs w:val="22"/>
        </w:rPr>
        <w:t xml:space="preserve"> a nenapl</w:t>
      </w:r>
      <w:r w:rsidR="007467E6" w:rsidRPr="00FE5B2E">
        <w:rPr>
          <w:rFonts w:cs="Arial"/>
          <w:szCs w:val="22"/>
        </w:rPr>
        <w:t xml:space="preserve">nili </w:t>
      </w:r>
      <w:r w:rsidR="008017C2">
        <w:rPr>
          <w:rFonts w:cs="Arial"/>
          <w:szCs w:val="22"/>
        </w:rPr>
        <w:t xml:space="preserve">tedy </w:t>
      </w:r>
      <w:r w:rsidR="007467E6" w:rsidRPr="00FE5B2E">
        <w:rPr>
          <w:rFonts w:cs="Arial"/>
          <w:szCs w:val="22"/>
        </w:rPr>
        <w:t>definici cílové skupiny. U </w:t>
      </w:r>
      <w:r w:rsidRPr="00FE5B2E">
        <w:rPr>
          <w:rFonts w:cs="Arial"/>
          <w:szCs w:val="22"/>
        </w:rPr>
        <w:t xml:space="preserve">projektu příjemce </w:t>
      </w:r>
      <w:r w:rsidRPr="00224810">
        <w:rPr>
          <w:rFonts w:cs="Arial"/>
          <w:szCs w:val="22"/>
        </w:rPr>
        <w:t>Robert</w:t>
      </w:r>
      <w:r w:rsidR="008017C2">
        <w:rPr>
          <w:rFonts w:cs="Arial"/>
          <w:szCs w:val="22"/>
        </w:rPr>
        <w:t>a</w:t>
      </w:r>
      <w:r w:rsidRPr="00224810">
        <w:rPr>
          <w:rFonts w:cs="Arial"/>
          <w:szCs w:val="22"/>
        </w:rPr>
        <w:t xml:space="preserve"> Star</w:t>
      </w:r>
      <w:r w:rsidR="008017C2">
        <w:rPr>
          <w:rFonts w:cs="Arial"/>
          <w:szCs w:val="22"/>
        </w:rPr>
        <w:t>ého</w:t>
      </w:r>
      <w:r w:rsidRPr="00FE5B2E">
        <w:rPr>
          <w:rFonts w:cs="Arial"/>
          <w:szCs w:val="22"/>
        </w:rPr>
        <w:t xml:space="preserve"> bylo zjištěno, že dvanáct podpořených osob v průběhu trvání kurzu přerušilo provozování živnosti nebo v době účasti na kurzu již mělo svoji živnost přerušenu </w:t>
      </w:r>
      <w:r w:rsidR="008017C2">
        <w:rPr>
          <w:rFonts w:cs="Arial"/>
          <w:szCs w:val="22"/>
        </w:rPr>
        <w:t xml:space="preserve">– tito účastníci </w:t>
      </w:r>
      <w:r w:rsidR="003A63D6">
        <w:rPr>
          <w:rFonts w:cs="Arial"/>
          <w:szCs w:val="22"/>
        </w:rPr>
        <w:t xml:space="preserve">vzdělávací akce </w:t>
      </w:r>
      <w:r w:rsidR="008017C2">
        <w:rPr>
          <w:rFonts w:cs="Arial"/>
          <w:szCs w:val="22"/>
        </w:rPr>
        <w:t>tedy nebyli</w:t>
      </w:r>
      <w:r w:rsidRPr="00FE5B2E">
        <w:rPr>
          <w:rFonts w:cs="Arial"/>
          <w:szCs w:val="22"/>
        </w:rPr>
        <w:t xml:space="preserve"> osobami výdělečně činnými </w:t>
      </w:r>
      <w:r w:rsidR="008017C2">
        <w:rPr>
          <w:rFonts w:cs="Arial"/>
          <w:szCs w:val="22"/>
        </w:rPr>
        <w:t>a </w:t>
      </w:r>
      <w:r w:rsidRPr="00FE5B2E">
        <w:rPr>
          <w:rFonts w:cs="Arial"/>
          <w:szCs w:val="22"/>
        </w:rPr>
        <w:t xml:space="preserve">podnikajícími v oborech kadeřnictví a </w:t>
      </w:r>
      <w:proofErr w:type="spellStart"/>
      <w:r w:rsidRPr="00FE5B2E">
        <w:rPr>
          <w:rFonts w:cs="Arial"/>
          <w:szCs w:val="22"/>
        </w:rPr>
        <w:t>vizážistiky</w:t>
      </w:r>
      <w:proofErr w:type="spellEnd"/>
      <w:r w:rsidRPr="00FE5B2E">
        <w:rPr>
          <w:rFonts w:cs="Arial"/>
          <w:szCs w:val="22"/>
        </w:rPr>
        <w:t>, které byly definovány jako cílová skupina projektu</w:t>
      </w:r>
      <w:r w:rsidR="008017C2">
        <w:rPr>
          <w:rFonts w:cs="Arial"/>
          <w:szCs w:val="22"/>
        </w:rPr>
        <w:t>,</w:t>
      </w:r>
      <w:r w:rsidRPr="00FE5B2E">
        <w:rPr>
          <w:rFonts w:cs="Arial"/>
          <w:szCs w:val="22"/>
        </w:rPr>
        <w:t xml:space="preserve"> nesplňoval</w:t>
      </w:r>
      <w:r w:rsidR="008017C2">
        <w:rPr>
          <w:rFonts w:cs="Arial"/>
          <w:szCs w:val="22"/>
        </w:rPr>
        <w:t>i</w:t>
      </w:r>
      <w:r w:rsidRPr="00FE5B2E">
        <w:rPr>
          <w:rFonts w:cs="Arial"/>
          <w:szCs w:val="22"/>
        </w:rPr>
        <w:t xml:space="preserve"> </w:t>
      </w:r>
      <w:r w:rsidR="008017C2" w:rsidRPr="00FE5B2E">
        <w:rPr>
          <w:rFonts w:cs="Arial"/>
          <w:szCs w:val="22"/>
        </w:rPr>
        <w:t xml:space="preserve">tak </w:t>
      </w:r>
      <w:r w:rsidRPr="00FE5B2E">
        <w:rPr>
          <w:rFonts w:cs="Arial"/>
          <w:szCs w:val="22"/>
        </w:rPr>
        <w:t>podmínky způsobilosti</w:t>
      </w:r>
      <w:r w:rsidR="008017C2">
        <w:rPr>
          <w:rFonts w:cs="Arial"/>
          <w:szCs w:val="22"/>
        </w:rPr>
        <w:t>,</w:t>
      </w:r>
      <w:r w:rsidRPr="00FE5B2E">
        <w:rPr>
          <w:rFonts w:cs="Arial"/>
          <w:szCs w:val="22"/>
        </w:rPr>
        <w:t xml:space="preserve"> a proto neměl</w:t>
      </w:r>
      <w:r w:rsidR="008017C2">
        <w:rPr>
          <w:rFonts w:cs="Arial"/>
          <w:szCs w:val="22"/>
        </w:rPr>
        <w:t>i</w:t>
      </w:r>
      <w:r w:rsidRPr="00FE5B2E">
        <w:rPr>
          <w:rFonts w:cs="Arial"/>
          <w:szCs w:val="22"/>
        </w:rPr>
        <w:t xml:space="preserve"> být podpořen</w:t>
      </w:r>
      <w:r w:rsidR="008017C2">
        <w:rPr>
          <w:rFonts w:cs="Arial"/>
          <w:szCs w:val="22"/>
        </w:rPr>
        <w:t>i</w:t>
      </w:r>
      <w:r w:rsidRPr="00FE5B2E">
        <w:rPr>
          <w:rFonts w:cs="Arial"/>
          <w:szCs w:val="22"/>
        </w:rPr>
        <w:t xml:space="preserve"> a výdaje ve výši 287 591 Kč prokazované na jejich vyškolení t</w:t>
      </w:r>
      <w:r w:rsidR="008017C2">
        <w:rPr>
          <w:rFonts w:cs="Arial"/>
          <w:szCs w:val="22"/>
        </w:rPr>
        <w:t>edy</w:t>
      </w:r>
      <w:r w:rsidRPr="00FE5B2E">
        <w:rPr>
          <w:rFonts w:cs="Arial"/>
          <w:szCs w:val="22"/>
        </w:rPr>
        <w:t xml:space="preserve"> nelze považovat za způsobilé.</w:t>
      </w:r>
    </w:p>
    <w:p w:rsidR="00141D8A" w:rsidRPr="00FE5B2E" w:rsidRDefault="00141D8A" w:rsidP="00B27E3D">
      <w:pPr>
        <w:rPr>
          <w:rFonts w:cs="Arial"/>
          <w:i/>
          <w:szCs w:val="22"/>
        </w:rPr>
      </w:pPr>
    </w:p>
    <w:p w:rsidR="00B27E3D" w:rsidRDefault="00B27E3D" w:rsidP="00B27E3D">
      <w:pPr>
        <w:rPr>
          <w:rFonts w:cs="Arial"/>
          <w:bCs/>
          <w:szCs w:val="22"/>
        </w:rPr>
      </w:pPr>
      <w:r w:rsidRPr="00FE5B2E">
        <w:rPr>
          <w:rFonts w:cs="Arial"/>
          <w:szCs w:val="22"/>
        </w:rPr>
        <w:t xml:space="preserve">V jednom případě – u společnosti </w:t>
      </w:r>
      <w:r w:rsidRPr="00224810">
        <w:rPr>
          <w:rFonts w:cs="Arial"/>
          <w:szCs w:val="22"/>
        </w:rPr>
        <w:t xml:space="preserve">Gender </w:t>
      </w:r>
      <w:proofErr w:type="spellStart"/>
      <w:r w:rsidRPr="00224810">
        <w:rPr>
          <w:rFonts w:cs="Arial"/>
          <w:szCs w:val="22"/>
        </w:rPr>
        <w:t>studies</w:t>
      </w:r>
      <w:proofErr w:type="spellEnd"/>
      <w:r w:rsidRPr="00224810">
        <w:rPr>
          <w:rFonts w:cs="Arial"/>
          <w:szCs w:val="22"/>
        </w:rPr>
        <w:t>, o.p.s.</w:t>
      </w:r>
      <w:r w:rsidRPr="00FE5B2E">
        <w:rPr>
          <w:rFonts w:cs="Arial"/>
          <w:szCs w:val="22"/>
        </w:rPr>
        <w:t xml:space="preserve"> </w:t>
      </w:r>
      <w:r w:rsidR="008017C2">
        <w:rPr>
          <w:rFonts w:cs="Arial"/>
          <w:szCs w:val="22"/>
        </w:rPr>
        <w:t xml:space="preserve">– </w:t>
      </w:r>
      <w:r w:rsidRPr="00FE5B2E">
        <w:rPr>
          <w:rFonts w:cs="Arial"/>
          <w:szCs w:val="22"/>
        </w:rPr>
        <w:t xml:space="preserve">bylo zjištěno, že </w:t>
      </w:r>
      <w:r w:rsidRPr="00FE5B2E">
        <w:rPr>
          <w:rFonts w:cs="Arial"/>
          <w:bCs/>
          <w:szCs w:val="22"/>
        </w:rPr>
        <w:t xml:space="preserve">základní cíl projektu není formulován ověřitelným způsobem. Na základě provedené kontroly tak vznikly pochybnosti, zda aktivity projektu přispěly k naplnění cíle projektu, tedy </w:t>
      </w:r>
      <w:r w:rsidR="00174218">
        <w:rPr>
          <w:rFonts w:cs="Arial"/>
          <w:bCs/>
          <w:szCs w:val="22"/>
        </w:rPr>
        <w:t>k </w:t>
      </w:r>
      <w:r w:rsidRPr="00FE5B2E">
        <w:rPr>
          <w:rFonts w:cs="Arial"/>
          <w:bCs/>
          <w:szCs w:val="22"/>
        </w:rPr>
        <w:t xml:space="preserve">rozvoji flexibilních </w:t>
      </w:r>
      <w:r w:rsidRPr="00FE5B2E">
        <w:rPr>
          <w:rFonts w:cs="Arial"/>
          <w:bCs/>
          <w:szCs w:val="22"/>
        </w:rPr>
        <w:lastRenderedPageBreak/>
        <w:t>forem práce a podpoře při zřizování firemních zařízení péče o děti s cílem umožn</w:t>
      </w:r>
      <w:r w:rsidR="003A63D6">
        <w:rPr>
          <w:rFonts w:cs="Arial"/>
          <w:bCs/>
          <w:szCs w:val="22"/>
        </w:rPr>
        <w:t>it</w:t>
      </w:r>
      <w:r w:rsidRPr="00FE5B2E">
        <w:rPr>
          <w:rFonts w:cs="Arial"/>
          <w:bCs/>
          <w:szCs w:val="22"/>
        </w:rPr>
        <w:t xml:space="preserve"> </w:t>
      </w:r>
      <w:r w:rsidR="003A63D6" w:rsidRPr="00FE5B2E">
        <w:rPr>
          <w:rFonts w:cs="Arial"/>
          <w:bCs/>
          <w:szCs w:val="22"/>
        </w:rPr>
        <w:t xml:space="preserve">osobám pečujícím o děti </w:t>
      </w:r>
      <w:r w:rsidRPr="00FE5B2E">
        <w:rPr>
          <w:rFonts w:cs="Arial"/>
          <w:bCs/>
          <w:szCs w:val="22"/>
        </w:rPr>
        <w:t>rychlejší návrat na trh práce</w:t>
      </w:r>
      <w:r w:rsidR="003A63D6">
        <w:rPr>
          <w:rFonts w:cs="Arial"/>
          <w:bCs/>
          <w:szCs w:val="22"/>
        </w:rPr>
        <w:t>,</w:t>
      </w:r>
      <w:r w:rsidRPr="00FE5B2E">
        <w:rPr>
          <w:rFonts w:cs="Arial"/>
          <w:bCs/>
          <w:szCs w:val="22"/>
        </w:rPr>
        <w:t xml:space="preserve"> a zda projekt přispěl k celkovému zlepšení pracovních podmínek na území hlavního města Prahy.</w:t>
      </w:r>
    </w:p>
    <w:p w:rsidR="00141D8A" w:rsidRPr="00FE5B2E" w:rsidRDefault="00141D8A" w:rsidP="00B27E3D">
      <w:pPr>
        <w:rPr>
          <w:rFonts w:cs="Arial"/>
          <w:szCs w:val="22"/>
          <w:lang w:eastAsia="cs-CZ" w:bidi="en-US"/>
        </w:rPr>
      </w:pPr>
    </w:p>
    <w:p w:rsidR="00D323BD" w:rsidRDefault="003A63D6" w:rsidP="00D323BD">
      <w:pPr>
        <w:rPr>
          <w:rFonts w:cs="Arial"/>
          <w:szCs w:val="22"/>
        </w:rPr>
      </w:pPr>
      <w:r>
        <w:rPr>
          <w:rFonts w:cs="Arial"/>
          <w:szCs w:val="22"/>
          <w:lang w:eastAsia="cs-CZ" w:bidi="en-US"/>
        </w:rPr>
        <w:t>U</w:t>
      </w:r>
      <w:r w:rsidR="00D323BD" w:rsidRPr="00FE5B2E">
        <w:rPr>
          <w:rFonts w:cs="Arial"/>
          <w:szCs w:val="22"/>
          <w:lang w:eastAsia="cs-CZ" w:bidi="en-US"/>
        </w:rPr>
        <w:t xml:space="preserve"> příjemce </w:t>
      </w:r>
      <w:r w:rsidR="00D323BD" w:rsidRPr="00313874">
        <w:rPr>
          <w:rFonts w:cs="Arial"/>
          <w:szCs w:val="22"/>
          <w:lang w:eastAsia="cs-CZ" w:bidi="en-US"/>
        </w:rPr>
        <w:t xml:space="preserve">Gender </w:t>
      </w:r>
      <w:proofErr w:type="spellStart"/>
      <w:r w:rsidR="00D323BD" w:rsidRPr="00313874">
        <w:rPr>
          <w:rFonts w:cs="Arial"/>
          <w:szCs w:val="22"/>
          <w:lang w:eastAsia="cs-CZ" w:bidi="en-US"/>
        </w:rPr>
        <w:t>Studies</w:t>
      </w:r>
      <w:proofErr w:type="spellEnd"/>
      <w:r w:rsidR="00D323BD" w:rsidRPr="00313874">
        <w:rPr>
          <w:rFonts w:cs="Arial"/>
          <w:szCs w:val="22"/>
          <w:lang w:eastAsia="cs-CZ" w:bidi="en-US"/>
        </w:rPr>
        <w:t>, o.p.s.</w:t>
      </w:r>
      <w:r>
        <w:rPr>
          <w:rFonts w:cs="Arial"/>
          <w:szCs w:val="22"/>
          <w:lang w:eastAsia="cs-CZ" w:bidi="en-US"/>
        </w:rPr>
        <w:t>,</w:t>
      </w:r>
      <w:r w:rsidR="00D323BD" w:rsidRPr="00FE5B2E">
        <w:rPr>
          <w:rFonts w:cs="Arial"/>
          <w:szCs w:val="22"/>
          <w:lang w:eastAsia="cs-CZ" w:bidi="en-US"/>
        </w:rPr>
        <w:t xml:space="preserve"> </w:t>
      </w:r>
      <w:r w:rsidRPr="00FE5B2E">
        <w:rPr>
          <w:rFonts w:cs="Arial"/>
          <w:szCs w:val="22"/>
          <w:lang w:eastAsia="cs-CZ" w:bidi="en-US"/>
        </w:rPr>
        <w:t xml:space="preserve">byly shledány </w:t>
      </w:r>
      <w:r>
        <w:rPr>
          <w:rFonts w:cs="Arial"/>
          <w:szCs w:val="22"/>
          <w:lang w:eastAsia="cs-CZ" w:bidi="en-US"/>
        </w:rPr>
        <w:t>n</w:t>
      </w:r>
      <w:r w:rsidRPr="00FE5B2E">
        <w:rPr>
          <w:rFonts w:cs="Arial"/>
          <w:szCs w:val="22"/>
          <w:lang w:eastAsia="cs-CZ" w:bidi="en-US"/>
        </w:rPr>
        <w:t xml:space="preserve">ezpůsobilé </w:t>
      </w:r>
      <w:r w:rsidR="000D301A">
        <w:rPr>
          <w:rFonts w:cs="Arial"/>
          <w:szCs w:val="22"/>
          <w:lang w:eastAsia="cs-CZ" w:bidi="en-US"/>
        </w:rPr>
        <w:t>výdaje</w:t>
      </w:r>
      <w:r w:rsidRPr="00FE5B2E">
        <w:rPr>
          <w:rFonts w:cs="Arial"/>
          <w:szCs w:val="22"/>
          <w:lang w:eastAsia="cs-CZ" w:bidi="en-US"/>
        </w:rPr>
        <w:t xml:space="preserve"> </w:t>
      </w:r>
      <w:r w:rsidRPr="00FE5B2E">
        <w:rPr>
          <w:rFonts w:cs="Arial"/>
          <w:szCs w:val="22"/>
        </w:rPr>
        <w:t>ve</w:t>
      </w:r>
      <w:r w:rsidR="001E70F2">
        <w:rPr>
          <w:rFonts w:cs="Arial"/>
          <w:szCs w:val="22"/>
        </w:rPr>
        <w:t xml:space="preserve"> </w:t>
      </w:r>
      <w:r w:rsidRPr="00FE5B2E">
        <w:rPr>
          <w:rFonts w:cs="Arial"/>
          <w:szCs w:val="22"/>
        </w:rPr>
        <w:t>výši 49</w:t>
      </w:r>
      <w:r w:rsidR="001E70F2">
        <w:rPr>
          <w:rFonts w:cs="Arial"/>
          <w:szCs w:val="22"/>
        </w:rPr>
        <w:t xml:space="preserve"> </w:t>
      </w:r>
      <w:r w:rsidRPr="00FE5B2E">
        <w:rPr>
          <w:rFonts w:cs="Arial"/>
          <w:szCs w:val="22"/>
        </w:rPr>
        <w:t>155 Kč</w:t>
      </w:r>
      <w:r>
        <w:rPr>
          <w:rFonts w:cs="Arial"/>
          <w:szCs w:val="22"/>
        </w:rPr>
        <w:t>.</w:t>
      </w:r>
      <w:r w:rsidRPr="00FE5B2E">
        <w:rPr>
          <w:rFonts w:cs="Arial"/>
          <w:szCs w:val="22"/>
          <w:lang w:eastAsia="cs-CZ" w:bidi="en-US"/>
        </w:rPr>
        <w:t xml:space="preserve"> </w:t>
      </w:r>
      <w:r w:rsidR="002F7B8E" w:rsidRPr="00FE5B2E">
        <w:rPr>
          <w:rFonts w:cs="Arial"/>
          <w:szCs w:val="22"/>
        </w:rPr>
        <w:t>Jednalo se o </w:t>
      </w:r>
      <w:r w:rsidR="00D323BD" w:rsidRPr="00FE5B2E">
        <w:rPr>
          <w:rFonts w:cs="Arial"/>
          <w:szCs w:val="22"/>
        </w:rPr>
        <w:t>náklady, které měly vazbu na více projektů a další činnost příjemce nebo nesplnily podmínky časové způsobilosti.</w:t>
      </w:r>
    </w:p>
    <w:p w:rsidR="00141D8A" w:rsidRPr="00FE5B2E" w:rsidRDefault="00141D8A" w:rsidP="00D323BD">
      <w:pPr>
        <w:rPr>
          <w:rFonts w:cs="Arial"/>
          <w:szCs w:val="22"/>
        </w:rPr>
      </w:pPr>
    </w:p>
    <w:p w:rsidR="00B27E3D" w:rsidRPr="00FE5B2E" w:rsidRDefault="00B27E3D" w:rsidP="00B27E3D">
      <w:pPr>
        <w:rPr>
          <w:rFonts w:cs="Arial"/>
          <w:szCs w:val="22"/>
        </w:rPr>
      </w:pPr>
      <w:r w:rsidRPr="00FE5B2E">
        <w:rPr>
          <w:rFonts w:cs="Arial"/>
          <w:szCs w:val="22"/>
        </w:rPr>
        <w:t xml:space="preserve">Příjemce </w:t>
      </w:r>
      <w:proofErr w:type="spellStart"/>
      <w:r w:rsidRPr="005C40BA">
        <w:rPr>
          <w:rFonts w:cs="Arial"/>
          <w:szCs w:val="22"/>
        </w:rPr>
        <w:t>Kaldi</w:t>
      </w:r>
      <w:proofErr w:type="spellEnd"/>
      <w:r w:rsidRPr="005C40BA">
        <w:rPr>
          <w:rFonts w:cs="Arial"/>
          <w:szCs w:val="22"/>
        </w:rPr>
        <w:t xml:space="preserve"> Café, spol. s r.o</w:t>
      </w:r>
      <w:r w:rsidRPr="00FE5B2E">
        <w:rPr>
          <w:rFonts w:cs="Arial"/>
          <w:szCs w:val="22"/>
        </w:rPr>
        <w:t>.</w:t>
      </w:r>
      <w:r w:rsidR="003A63D6">
        <w:rPr>
          <w:rFonts w:cs="Arial"/>
          <w:szCs w:val="22"/>
        </w:rPr>
        <w:t>,</w:t>
      </w:r>
      <w:r w:rsidRPr="00FE5B2E">
        <w:rPr>
          <w:rFonts w:cs="Arial"/>
          <w:szCs w:val="22"/>
        </w:rPr>
        <w:t xml:space="preserve"> do </w:t>
      </w:r>
      <w:r w:rsidRPr="005C40BA">
        <w:rPr>
          <w:rFonts w:cs="Arial"/>
          <w:szCs w:val="22"/>
        </w:rPr>
        <w:t>žádostí o platbu</w:t>
      </w:r>
      <w:r w:rsidRPr="00FE5B2E">
        <w:rPr>
          <w:rFonts w:cs="Arial"/>
          <w:szCs w:val="22"/>
        </w:rPr>
        <w:t xml:space="preserve"> zahrnul náklady, které byly v rozporu s </w:t>
      </w:r>
      <w:r w:rsidRPr="005C40BA">
        <w:rPr>
          <w:rFonts w:cs="Arial"/>
          <w:szCs w:val="22"/>
        </w:rPr>
        <w:t>pravidly OPPA</w:t>
      </w:r>
      <w:r w:rsidRPr="00FE5B2E">
        <w:rPr>
          <w:rFonts w:cs="Arial"/>
          <w:szCs w:val="22"/>
        </w:rPr>
        <w:t xml:space="preserve"> zejména v</w:t>
      </w:r>
      <w:r w:rsidR="003A63D6">
        <w:rPr>
          <w:rFonts w:cs="Arial"/>
          <w:szCs w:val="22"/>
        </w:rPr>
        <w:t> </w:t>
      </w:r>
      <w:r w:rsidRPr="00FE5B2E">
        <w:rPr>
          <w:rFonts w:cs="Arial"/>
          <w:szCs w:val="22"/>
        </w:rPr>
        <w:t>tom</w:t>
      </w:r>
      <w:r w:rsidR="003A63D6">
        <w:rPr>
          <w:rFonts w:cs="Arial"/>
          <w:szCs w:val="22"/>
        </w:rPr>
        <w:t xml:space="preserve"> ohledu</w:t>
      </w:r>
      <w:r w:rsidRPr="00FE5B2E">
        <w:rPr>
          <w:rFonts w:cs="Arial"/>
          <w:szCs w:val="22"/>
        </w:rPr>
        <w:t xml:space="preserve">, že nebyly dostatečně </w:t>
      </w:r>
      <w:r w:rsidRPr="00FE5B2E">
        <w:rPr>
          <w:rFonts w:cs="Arial"/>
          <w:szCs w:val="22"/>
          <w:lang w:eastAsia="cs-CZ" w:bidi="en-US"/>
        </w:rPr>
        <w:t>identifikovatelné k projektu a</w:t>
      </w:r>
      <w:r w:rsidR="003A63D6">
        <w:rPr>
          <w:rFonts w:cs="Arial"/>
          <w:szCs w:val="22"/>
          <w:lang w:eastAsia="cs-CZ" w:bidi="en-US"/>
        </w:rPr>
        <w:t> </w:t>
      </w:r>
      <w:r w:rsidRPr="00FE5B2E">
        <w:rPr>
          <w:rFonts w:cs="Arial"/>
          <w:szCs w:val="22"/>
          <w:lang w:eastAsia="cs-CZ" w:bidi="en-US"/>
        </w:rPr>
        <w:t xml:space="preserve">rovněž nebylo možné prokázat, zda jsou nezbytné pro realizaci. Jednalo se o nezpůsobilé náklady </w:t>
      </w:r>
      <w:r w:rsidRPr="00FE5B2E">
        <w:rPr>
          <w:rFonts w:cs="Arial"/>
          <w:szCs w:val="22"/>
        </w:rPr>
        <w:t xml:space="preserve">ve výši </w:t>
      </w:r>
      <w:r w:rsidR="00A36CFA" w:rsidRPr="00FE5B2E">
        <w:rPr>
          <w:rFonts w:cs="Arial"/>
          <w:szCs w:val="22"/>
        </w:rPr>
        <w:t xml:space="preserve">199 549 </w:t>
      </w:r>
      <w:r w:rsidRPr="00FE5B2E">
        <w:rPr>
          <w:rFonts w:cs="Arial"/>
          <w:szCs w:val="22"/>
        </w:rPr>
        <w:t>Kč v kapitolách rozpočtu, jako jsou te</w:t>
      </w:r>
      <w:r w:rsidR="005A3003">
        <w:rPr>
          <w:rFonts w:cs="Arial"/>
          <w:szCs w:val="22"/>
        </w:rPr>
        <w:t>chnické zhodnocení, kuchyňské a </w:t>
      </w:r>
      <w:r w:rsidRPr="00FE5B2E">
        <w:rPr>
          <w:rFonts w:cs="Arial"/>
          <w:szCs w:val="22"/>
        </w:rPr>
        <w:t xml:space="preserve">domácí potřeby, příprava materiálů pro uživatele a mzdové náklady. </w:t>
      </w:r>
    </w:p>
    <w:p w:rsidR="00141D8A" w:rsidRDefault="00141D8A" w:rsidP="00B27E3D">
      <w:pPr>
        <w:autoSpaceDE w:val="0"/>
        <w:autoSpaceDN w:val="0"/>
        <w:adjustRightInd w:val="0"/>
        <w:rPr>
          <w:rFonts w:cs="Arial"/>
          <w:szCs w:val="22"/>
        </w:rPr>
      </w:pPr>
    </w:p>
    <w:p w:rsidR="00B27E3D" w:rsidRPr="00FE5B2E" w:rsidRDefault="00B27E3D" w:rsidP="00B27E3D">
      <w:pPr>
        <w:autoSpaceDE w:val="0"/>
        <w:autoSpaceDN w:val="0"/>
        <w:adjustRightInd w:val="0"/>
        <w:rPr>
          <w:rFonts w:cs="Arial"/>
          <w:szCs w:val="22"/>
        </w:rPr>
      </w:pPr>
      <w:r w:rsidRPr="00FE5B2E">
        <w:rPr>
          <w:rFonts w:cs="Arial"/>
          <w:szCs w:val="22"/>
        </w:rPr>
        <w:t xml:space="preserve">Společnost </w:t>
      </w:r>
      <w:r w:rsidRPr="0009388E">
        <w:rPr>
          <w:rFonts w:cs="Arial"/>
          <w:szCs w:val="22"/>
        </w:rPr>
        <w:t>Odyssey</w:t>
      </w:r>
      <w:r w:rsidRPr="00FE5B2E">
        <w:rPr>
          <w:rFonts w:cs="Arial"/>
          <w:szCs w:val="22"/>
        </w:rPr>
        <w:t xml:space="preserve"> </w:t>
      </w:r>
      <w:r w:rsidRPr="0009388E">
        <w:rPr>
          <w:rFonts w:cs="Arial"/>
          <w:szCs w:val="22"/>
        </w:rPr>
        <w:t xml:space="preserve">Performance </w:t>
      </w:r>
      <w:proofErr w:type="spellStart"/>
      <w:r w:rsidRPr="0009388E">
        <w:rPr>
          <w:rFonts w:cs="Arial"/>
          <w:szCs w:val="22"/>
        </w:rPr>
        <w:t>Enhancement</w:t>
      </w:r>
      <w:proofErr w:type="spellEnd"/>
      <w:r w:rsidRPr="0009388E">
        <w:rPr>
          <w:rFonts w:cs="Arial"/>
          <w:szCs w:val="22"/>
        </w:rPr>
        <w:t xml:space="preserve"> Network, spol. s r.o.</w:t>
      </w:r>
      <w:r w:rsidR="003A63D6">
        <w:rPr>
          <w:rFonts w:cs="Arial"/>
          <w:szCs w:val="22"/>
        </w:rPr>
        <w:t>,</w:t>
      </w:r>
      <w:r w:rsidRPr="0009388E">
        <w:rPr>
          <w:rFonts w:cs="Arial"/>
          <w:szCs w:val="22"/>
        </w:rPr>
        <w:t xml:space="preserve"> </w:t>
      </w:r>
      <w:r w:rsidRPr="00FE5B2E">
        <w:rPr>
          <w:rFonts w:cs="Arial"/>
          <w:szCs w:val="22"/>
        </w:rPr>
        <w:t>čerpala podporu z OPPA v rozporu s </w:t>
      </w:r>
      <w:r w:rsidRPr="0009388E">
        <w:rPr>
          <w:rFonts w:cs="Arial"/>
          <w:szCs w:val="22"/>
        </w:rPr>
        <w:t>pravidly OPPA</w:t>
      </w:r>
      <w:r w:rsidRPr="00FE5B2E">
        <w:rPr>
          <w:rFonts w:cs="Arial"/>
          <w:szCs w:val="22"/>
        </w:rPr>
        <w:t xml:space="preserve">, neboť nesprávně zahrnula mezi způsobilé náklady projektu i náklady za konzultační činnost ve výši 50 217 Kč. </w:t>
      </w:r>
    </w:p>
    <w:p w:rsidR="00141D8A" w:rsidRDefault="00141D8A" w:rsidP="00B27E3D">
      <w:pPr>
        <w:rPr>
          <w:rFonts w:cs="Arial"/>
          <w:szCs w:val="22"/>
          <w:lang w:eastAsia="cs-CZ" w:bidi="en-US"/>
        </w:rPr>
      </w:pPr>
    </w:p>
    <w:p w:rsidR="00B27E3D" w:rsidRPr="00FE5B2E" w:rsidRDefault="00B27E3D" w:rsidP="00B27E3D">
      <w:pPr>
        <w:rPr>
          <w:rFonts w:cs="Arial"/>
          <w:szCs w:val="22"/>
          <w:lang w:eastAsia="cs-CZ"/>
        </w:rPr>
      </w:pPr>
      <w:r w:rsidRPr="00FE5B2E">
        <w:rPr>
          <w:rFonts w:cs="Arial"/>
          <w:szCs w:val="22"/>
          <w:lang w:eastAsia="cs-CZ" w:bidi="en-US"/>
        </w:rPr>
        <w:t xml:space="preserve">Nezpůsobilé náklady projektu ve výši 27 358 Kč byly shledány </w:t>
      </w:r>
      <w:r w:rsidR="002C6055">
        <w:rPr>
          <w:rFonts w:cs="Arial"/>
          <w:szCs w:val="22"/>
          <w:lang w:eastAsia="cs-CZ" w:bidi="en-US"/>
        </w:rPr>
        <w:t>také</w:t>
      </w:r>
      <w:r w:rsidRPr="00FE5B2E">
        <w:rPr>
          <w:rFonts w:cs="Arial"/>
          <w:szCs w:val="22"/>
          <w:lang w:eastAsia="cs-CZ" w:bidi="en-US"/>
        </w:rPr>
        <w:t xml:space="preserve"> u příjemce </w:t>
      </w:r>
      <w:r w:rsidRPr="00290018">
        <w:rPr>
          <w:rFonts w:cs="Arial"/>
          <w:szCs w:val="22"/>
          <w:lang w:eastAsia="cs-CZ" w:bidi="en-US"/>
        </w:rPr>
        <w:t xml:space="preserve">United Parcel </w:t>
      </w:r>
      <w:proofErr w:type="spellStart"/>
      <w:r w:rsidRPr="00290018">
        <w:rPr>
          <w:rFonts w:cs="Arial"/>
          <w:szCs w:val="22"/>
          <w:lang w:eastAsia="cs-CZ" w:bidi="en-US"/>
        </w:rPr>
        <w:t>Service</w:t>
      </w:r>
      <w:proofErr w:type="spellEnd"/>
      <w:r w:rsidRPr="00290018">
        <w:rPr>
          <w:rFonts w:cs="Arial"/>
          <w:szCs w:val="22"/>
          <w:lang w:eastAsia="cs-CZ" w:bidi="en-US"/>
        </w:rPr>
        <w:t xml:space="preserve"> Czech Republic, s.r.o. </w:t>
      </w:r>
      <w:r w:rsidRPr="00FE5B2E">
        <w:rPr>
          <w:rFonts w:cs="Arial"/>
          <w:szCs w:val="22"/>
          <w:lang w:eastAsia="cs-CZ" w:bidi="en-US"/>
        </w:rPr>
        <w:t>Jednalo se o storno poplatky, které příjemce zahrnul do způsobilých nákladů i přesto, že tyto storno poplatky nesouvisely s realizací projektu. Kromě toho tato společnost nepostupovala v souladu s </w:t>
      </w:r>
      <w:r w:rsidRPr="00290018">
        <w:rPr>
          <w:rFonts w:cs="Arial"/>
          <w:szCs w:val="22"/>
          <w:lang w:eastAsia="cs-CZ" w:bidi="en-US"/>
        </w:rPr>
        <w:t>pravidly OPPA</w:t>
      </w:r>
      <w:r w:rsidRPr="00FE5B2E">
        <w:rPr>
          <w:rFonts w:cs="Arial"/>
          <w:szCs w:val="22"/>
          <w:lang w:eastAsia="cs-CZ" w:bidi="en-US"/>
        </w:rPr>
        <w:t xml:space="preserve">, když začala vykazovat příjmy projektu až od čtvrtého monitorovacího období, </w:t>
      </w:r>
      <w:r w:rsidRPr="00FE5B2E">
        <w:rPr>
          <w:rFonts w:cs="Arial"/>
          <w:szCs w:val="22"/>
        </w:rPr>
        <w:t xml:space="preserve">přestože generovala příjmy již od prvního monitorovacího období. Společnost </w:t>
      </w:r>
      <w:r w:rsidRPr="00290018">
        <w:rPr>
          <w:rFonts w:cs="Arial"/>
          <w:szCs w:val="22"/>
          <w:lang w:eastAsia="cs-CZ" w:bidi="en-US"/>
        </w:rPr>
        <w:t xml:space="preserve">United Parcel </w:t>
      </w:r>
      <w:proofErr w:type="spellStart"/>
      <w:r w:rsidRPr="00290018">
        <w:rPr>
          <w:rFonts w:cs="Arial"/>
          <w:szCs w:val="22"/>
          <w:lang w:eastAsia="cs-CZ" w:bidi="en-US"/>
        </w:rPr>
        <w:t>Service</w:t>
      </w:r>
      <w:proofErr w:type="spellEnd"/>
      <w:r w:rsidRPr="00290018">
        <w:rPr>
          <w:rFonts w:cs="Arial"/>
          <w:szCs w:val="22"/>
          <w:lang w:eastAsia="cs-CZ" w:bidi="en-US"/>
        </w:rPr>
        <w:t xml:space="preserve"> Czech Republic, s.r.o.</w:t>
      </w:r>
      <w:r w:rsidR="002C6055">
        <w:rPr>
          <w:rFonts w:cs="Arial"/>
          <w:szCs w:val="22"/>
          <w:lang w:eastAsia="cs-CZ" w:bidi="en-US"/>
        </w:rPr>
        <w:t>,</w:t>
      </w:r>
      <w:r w:rsidRPr="00FE5B2E">
        <w:rPr>
          <w:rFonts w:cs="Arial"/>
          <w:szCs w:val="22"/>
        </w:rPr>
        <w:t xml:space="preserve"> nepřiznala příjmy projektu v celkové výši 54 841 Kč a neuvedla je ani v nejbližší monitorovací zprávě následující po jejich vzniku. </w:t>
      </w:r>
    </w:p>
    <w:p w:rsidR="00141D8A" w:rsidRDefault="00141D8A" w:rsidP="00B27E3D">
      <w:pPr>
        <w:rPr>
          <w:rFonts w:cs="Arial"/>
          <w:szCs w:val="22"/>
        </w:rPr>
      </w:pPr>
    </w:p>
    <w:p w:rsidR="00B27E3D" w:rsidRPr="00FE5B2E" w:rsidRDefault="00B27E3D" w:rsidP="00B27E3D">
      <w:pPr>
        <w:rPr>
          <w:rFonts w:cs="Arial"/>
          <w:color w:val="FF0000"/>
          <w:szCs w:val="22"/>
        </w:rPr>
      </w:pPr>
      <w:r w:rsidRPr="00FE5B2E">
        <w:rPr>
          <w:rFonts w:cs="Arial"/>
          <w:szCs w:val="22"/>
        </w:rPr>
        <w:t xml:space="preserve">Příjemce </w:t>
      </w:r>
      <w:r w:rsidR="000D301A">
        <w:rPr>
          <w:rFonts w:cs="Arial"/>
          <w:szCs w:val="22"/>
        </w:rPr>
        <w:t>„</w:t>
      </w:r>
      <w:r w:rsidRPr="00452E58">
        <w:rPr>
          <w:rFonts w:cs="Arial"/>
          <w:szCs w:val="22"/>
        </w:rPr>
        <w:t>Střední škola, Základní škola a Mateřská škola pro sluchově postižené</w:t>
      </w:r>
      <w:r w:rsidR="000D301A">
        <w:rPr>
          <w:rFonts w:cs="Arial"/>
          <w:szCs w:val="22"/>
        </w:rPr>
        <w:t>“</w:t>
      </w:r>
      <w:r w:rsidRPr="00FE5B2E">
        <w:rPr>
          <w:rFonts w:cs="Arial"/>
          <w:szCs w:val="22"/>
        </w:rPr>
        <w:t xml:space="preserve"> ve třech případech chybn</w:t>
      </w:r>
      <w:r w:rsidR="002C6055">
        <w:rPr>
          <w:rFonts w:cs="Arial"/>
          <w:szCs w:val="22"/>
        </w:rPr>
        <w:t>ě</w:t>
      </w:r>
      <w:r w:rsidRPr="00FE5B2E">
        <w:rPr>
          <w:rFonts w:cs="Arial"/>
          <w:szCs w:val="22"/>
        </w:rPr>
        <w:t xml:space="preserve"> nárokov</w:t>
      </w:r>
      <w:r w:rsidR="002C6055">
        <w:rPr>
          <w:rFonts w:cs="Arial"/>
          <w:szCs w:val="22"/>
        </w:rPr>
        <w:t>al</w:t>
      </w:r>
      <w:r w:rsidRPr="00FE5B2E">
        <w:rPr>
          <w:rFonts w:cs="Arial"/>
          <w:szCs w:val="22"/>
        </w:rPr>
        <w:t xml:space="preserve"> </w:t>
      </w:r>
      <w:r w:rsidR="002C6055">
        <w:rPr>
          <w:rFonts w:cs="Arial"/>
          <w:szCs w:val="22"/>
        </w:rPr>
        <w:t>k proplacení ne</w:t>
      </w:r>
      <w:r w:rsidRPr="00FE5B2E">
        <w:rPr>
          <w:rFonts w:cs="Arial"/>
          <w:szCs w:val="22"/>
        </w:rPr>
        <w:t>způsobil</w:t>
      </w:r>
      <w:r w:rsidR="002C6055">
        <w:rPr>
          <w:rFonts w:cs="Arial"/>
          <w:szCs w:val="22"/>
        </w:rPr>
        <w:t>é</w:t>
      </w:r>
      <w:r w:rsidRPr="00FE5B2E">
        <w:rPr>
          <w:rFonts w:cs="Arial"/>
          <w:szCs w:val="22"/>
        </w:rPr>
        <w:t xml:space="preserve"> </w:t>
      </w:r>
      <w:r w:rsidR="002C6055">
        <w:rPr>
          <w:rFonts w:cs="Arial"/>
          <w:szCs w:val="22"/>
        </w:rPr>
        <w:t>výdaje</w:t>
      </w:r>
      <w:r w:rsidRPr="00FE5B2E">
        <w:rPr>
          <w:rFonts w:cs="Arial"/>
          <w:szCs w:val="22"/>
        </w:rPr>
        <w:t xml:space="preserve">. V prvním případě byly </w:t>
      </w:r>
      <w:r w:rsidR="002C6055" w:rsidRPr="00FE5B2E">
        <w:rPr>
          <w:rFonts w:cs="Arial"/>
          <w:szCs w:val="22"/>
        </w:rPr>
        <w:t xml:space="preserve">náklady </w:t>
      </w:r>
      <w:r w:rsidRPr="00FE5B2E">
        <w:rPr>
          <w:rFonts w:cs="Arial"/>
          <w:szCs w:val="22"/>
        </w:rPr>
        <w:t>identifikovány</w:t>
      </w:r>
      <w:r w:rsidR="002C6055">
        <w:rPr>
          <w:rFonts w:cs="Arial"/>
          <w:szCs w:val="22"/>
        </w:rPr>
        <w:t xml:space="preserve"> jako</w:t>
      </w:r>
      <w:r w:rsidRPr="00FE5B2E">
        <w:rPr>
          <w:rFonts w:cs="Arial"/>
          <w:szCs w:val="22"/>
        </w:rPr>
        <w:t xml:space="preserve"> nezpůsobilé z důvodu nedodržení pravidel přiměřenosti a hospodárnosti výdajů vymezených v </w:t>
      </w:r>
      <w:r w:rsidRPr="00452E58">
        <w:rPr>
          <w:rFonts w:cs="Arial"/>
          <w:szCs w:val="22"/>
        </w:rPr>
        <w:t>pravidlech OPPA</w:t>
      </w:r>
      <w:r w:rsidRPr="00FE5B2E">
        <w:rPr>
          <w:rFonts w:cs="Arial"/>
          <w:szCs w:val="22"/>
        </w:rPr>
        <w:t xml:space="preserve"> na realizaci intenzivních lektorských kurzů konaných mimo území hl. m. Prahy. Pro konání dvou kurzů uskutečněných</w:t>
      </w:r>
      <w:r w:rsidR="006750A8">
        <w:rPr>
          <w:rFonts w:cs="Arial"/>
          <w:szCs w:val="22"/>
        </w:rPr>
        <w:t xml:space="preserve"> </w:t>
      </w:r>
      <w:r w:rsidRPr="00FE5B2E">
        <w:rPr>
          <w:rFonts w:cs="Arial"/>
          <w:szCs w:val="22"/>
        </w:rPr>
        <w:t>na Slovensku v Piešťanech a jednoho kurzu v Českých Budějovicích neexistovaly objektivní důvody, které by zdůvodňovaly nutnost realizace akc</w:t>
      </w:r>
      <w:r w:rsidR="002C6055">
        <w:rPr>
          <w:rFonts w:cs="Arial"/>
          <w:szCs w:val="22"/>
        </w:rPr>
        <w:t>í</w:t>
      </w:r>
      <w:r w:rsidRPr="00FE5B2E">
        <w:rPr>
          <w:rFonts w:cs="Arial"/>
          <w:szCs w:val="22"/>
        </w:rPr>
        <w:t xml:space="preserve"> </w:t>
      </w:r>
      <w:r w:rsidR="002C6055">
        <w:rPr>
          <w:rFonts w:cs="Arial"/>
          <w:szCs w:val="22"/>
        </w:rPr>
        <w:t>v těchto místech, tj. mimo území hl. m. Prahy</w:t>
      </w:r>
      <w:r w:rsidRPr="00FE5B2E">
        <w:rPr>
          <w:rFonts w:cs="Arial"/>
          <w:szCs w:val="22"/>
        </w:rPr>
        <w:t>. Proto nelze považovat takový výdaj za přiměřený, hospodárný a pro projekt nezbytný. V dalších případech byly příjemcem podpory nárokovány neoprávněn</w:t>
      </w:r>
      <w:r w:rsidR="002C6055">
        <w:rPr>
          <w:rFonts w:cs="Arial"/>
          <w:szCs w:val="22"/>
        </w:rPr>
        <w:t>é</w:t>
      </w:r>
      <w:r w:rsidRPr="00FE5B2E">
        <w:rPr>
          <w:rFonts w:cs="Arial"/>
          <w:szCs w:val="22"/>
        </w:rPr>
        <w:t xml:space="preserve"> částky a jejich proplacením vznikly nezpůsobilé výdaje ve výši 227 283 Kč.</w:t>
      </w:r>
    </w:p>
    <w:p w:rsidR="00C112BF" w:rsidRPr="00FE5B2E" w:rsidRDefault="00C112BF" w:rsidP="00C112BF">
      <w:pPr>
        <w:rPr>
          <w:rFonts w:cs="Arial"/>
          <w:szCs w:val="22"/>
          <w:lang w:eastAsia="cs-CZ"/>
        </w:rPr>
      </w:pPr>
    </w:p>
    <w:p w:rsidR="0050662D" w:rsidRDefault="0050662D" w:rsidP="00C112BF">
      <w:pPr>
        <w:rPr>
          <w:rFonts w:cs="Arial"/>
          <w:sz w:val="20"/>
          <w:szCs w:val="20"/>
          <w:lang w:eastAsia="cs-CZ"/>
        </w:rPr>
      </w:pPr>
    </w:p>
    <w:p w:rsidR="00B64665" w:rsidRPr="00827810" w:rsidRDefault="00B64665" w:rsidP="00B57FA3">
      <w:pPr>
        <w:pStyle w:val="Odstavecseseznamem"/>
        <w:numPr>
          <w:ilvl w:val="0"/>
          <w:numId w:val="7"/>
        </w:numPr>
        <w:ind w:left="426" w:hanging="426"/>
        <w:rPr>
          <w:rFonts w:cs="Arial"/>
          <w:b/>
          <w:lang w:eastAsia="cs-CZ"/>
        </w:rPr>
      </w:pPr>
      <w:r w:rsidRPr="00827810">
        <w:rPr>
          <w:rFonts w:cs="Arial"/>
          <w:b/>
          <w:lang w:eastAsia="cs-CZ"/>
        </w:rPr>
        <w:t>Finanční shrnutí OPPA</w:t>
      </w:r>
    </w:p>
    <w:p w:rsidR="007027D3" w:rsidRPr="00777A92" w:rsidRDefault="007027D3" w:rsidP="00B64665">
      <w:pPr>
        <w:rPr>
          <w:rFonts w:cs="Arial"/>
          <w:lang w:eastAsia="cs-CZ"/>
        </w:rPr>
      </w:pPr>
    </w:p>
    <w:p w:rsidR="00B64665" w:rsidRPr="00777A92" w:rsidRDefault="00C112BF" w:rsidP="00B64665">
      <w:pPr>
        <w:rPr>
          <w:rFonts w:cs="Arial"/>
          <w:lang w:eastAsia="cs-CZ"/>
        </w:rPr>
      </w:pPr>
      <w:r w:rsidRPr="00777A92">
        <w:rPr>
          <w:rFonts w:cs="Arial"/>
          <w:lang w:eastAsia="cs-CZ"/>
        </w:rPr>
        <w:t xml:space="preserve">Celková alokace OPPA </w:t>
      </w:r>
      <w:r w:rsidRPr="00777A92">
        <w:rPr>
          <w:rFonts w:cs="Arial"/>
          <w:shd w:val="clear" w:color="auto" w:fill="FFFFFF"/>
          <w:lang w:eastAsia="cs-CZ"/>
        </w:rPr>
        <w:t>pro programové období 2007</w:t>
      </w:r>
      <w:r w:rsidR="005A3003">
        <w:rPr>
          <w:rFonts w:cs="Arial"/>
          <w:shd w:val="clear" w:color="auto" w:fill="FFFFFF"/>
          <w:lang w:eastAsia="cs-CZ"/>
        </w:rPr>
        <w:t>–</w:t>
      </w:r>
      <w:r w:rsidRPr="00777A92">
        <w:rPr>
          <w:rFonts w:cs="Arial"/>
          <w:shd w:val="clear" w:color="auto" w:fill="FFFFFF"/>
          <w:lang w:eastAsia="cs-CZ"/>
        </w:rPr>
        <w:t xml:space="preserve">2013 činí přibližně </w:t>
      </w:r>
      <w:r w:rsidRPr="00777A92">
        <w:rPr>
          <w:rFonts w:cs="Arial"/>
          <w:color w:val="000000"/>
          <w:lang w:eastAsia="cs-CZ"/>
        </w:rPr>
        <w:t>3 520,1 mil</w:t>
      </w:r>
      <w:r w:rsidR="006750A8">
        <w:rPr>
          <w:rFonts w:cs="Arial"/>
          <w:color w:val="000000"/>
          <w:lang w:eastAsia="cs-CZ"/>
        </w:rPr>
        <w:t>.</w:t>
      </w:r>
      <w:r w:rsidRPr="00777A92">
        <w:rPr>
          <w:rFonts w:cs="Arial"/>
          <w:color w:val="000000"/>
          <w:lang w:eastAsia="cs-CZ"/>
        </w:rPr>
        <w:t xml:space="preserve"> Kč</w:t>
      </w:r>
      <w:r w:rsidRPr="00777A92">
        <w:rPr>
          <w:rFonts w:cs="Arial"/>
          <w:color w:val="000000"/>
          <w:lang w:eastAsia="cs-CZ"/>
        </w:rPr>
        <w:fldChar w:fldCharType="begin"/>
      </w:r>
      <w:r w:rsidRPr="00777A92">
        <w:rPr>
          <w:rFonts w:cs="Arial"/>
          <w:color w:val="000000"/>
          <w:lang w:eastAsia="cs-CZ"/>
        </w:rPr>
        <w:instrText xml:space="preserve"> NOTEREF _Ref318967808 \f \h  \* MERGEFORMAT </w:instrText>
      </w:r>
      <w:r w:rsidRPr="00777A92">
        <w:rPr>
          <w:rFonts w:cs="Arial"/>
          <w:color w:val="000000"/>
          <w:lang w:eastAsia="cs-CZ"/>
        </w:rPr>
      </w:r>
      <w:r w:rsidRPr="00777A92">
        <w:rPr>
          <w:rFonts w:cs="Arial"/>
          <w:color w:val="000000"/>
          <w:lang w:eastAsia="cs-CZ"/>
        </w:rPr>
        <w:fldChar w:fldCharType="separate"/>
      </w:r>
      <w:r w:rsidR="003618B5" w:rsidRPr="00B57FA3">
        <w:rPr>
          <w:rStyle w:val="Znakapoznpodarou"/>
        </w:rPr>
        <w:t>8</w:t>
      </w:r>
      <w:r w:rsidRPr="00777A92">
        <w:rPr>
          <w:rFonts w:cs="Arial"/>
          <w:color w:val="000000"/>
          <w:lang w:eastAsia="cs-CZ"/>
        </w:rPr>
        <w:fldChar w:fldCharType="end"/>
      </w:r>
      <w:r w:rsidRPr="00777A92">
        <w:rPr>
          <w:rFonts w:cs="Arial"/>
          <w:shd w:val="clear" w:color="auto" w:fill="FFFFFF"/>
          <w:lang w:eastAsia="cs-CZ"/>
        </w:rPr>
        <w:t xml:space="preserve"> (127,5 mil. </w:t>
      </w:r>
      <w:r w:rsidRPr="00777A92">
        <w:rPr>
          <w:rFonts w:cs="Arial"/>
          <w:lang w:eastAsia="cs-CZ"/>
        </w:rPr>
        <w:t>€</w:t>
      </w:r>
      <w:r w:rsidRPr="00777A92">
        <w:rPr>
          <w:rFonts w:cs="Arial"/>
          <w:color w:val="000000"/>
          <w:lang w:eastAsia="cs-CZ"/>
        </w:rPr>
        <w:t xml:space="preserve">). </w:t>
      </w:r>
      <w:r w:rsidR="00B64665" w:rsidRPr="00777A92">
        <w:rPr>
          <w:rFonts w:cs="Arial"/>
          <w:lang w:eastAsia="cs-CZ"/>
        </w:rPr>
        <w:t xml:space="preserve">Předmětem kontroly byly peněžní prostředky proplacené příjemcům podpory </w:t>
      </w:r>
      <w:r w:rsidR="000D301A">
        <w:rPr>
          <w:rFonts w:cs="Arial"/>
          <w:lang w:eastAsia="cs-CZ"/>
        </w:rPr>
        <w:t>do</w:t>
      </w:r>
      <w:r w:rsidR="00B64665" w:rsidRPr="00777A92">
        <w:rPr>
          <w:rFonts w:cs="Arial"/>
          <w:lang w:eastAsia="cs-CZ"/>
        </w:rPr>
        <w:t xml:space="preserve"> konc</w:t>
      </w:r>
      <w:r w:rsidR="000D301A">
        <w:rPr>
          <w:rFonts w:cs="Arial"/>
          <w:lang w:eastAsia="cs-CZ"/>
        </w:rPr>
        <w:t>e</w:t>
      </w:r>
      <w:r w:rsidR="00B64665" w:rsidRPr="00777A92">
        <w:rPr>
          <w:rFonts w:cs="Arial"/>
          <w:lang w:eastAsia="cs-CZ"/>
        </w:rPr>
        <w:t xml:space="preserve"> roku 2010 ve výši cca 1 359 mil. Kč. </w:t>
      </w:r>
      <w:r w:rsidR="00B64665" w:rsidRPr="00777A92">
        <w:rPr>
          <w:rFonts w:cs="Arial"/>
        </w:rPr>
        <w:t>Kontrolou bylo prověřeno cca 17 % peněžních prostředků při</w:t>
      </w:r>
      <w:r w:rsidR="005A3003">
        <w:rPr>
          <w:rFonts w:cs="Arial"/>
        </w:rPr>
        <w:t>padajících na prioritní osy 1–</w:t>
      </w:r>
      <w:r w:rsidR="00B64665" w:rsidRPr="00777A92">
        <w:rPr>
          <w:rFonts w:cs="Arial"/>
        </w:rPr>
        <w:t xml:space="preserve">4 (podíl celkových zdrojů připadajících na zkontrolované projekty k celkovým zdrojům na všechny prioritní osy), tj. cca 423 mil. Kč. </w:t>
      </w:r>
    </w:p>
    <w:p w:rsidR="00141D8A" w:rsidRDefault="00141D8A" w:rsidP="00B57FA3">
      <w:pPr>
        <w:pStyle w:val="Styl1"/>
        <w:spacing w:after="0" w:line="240" w:lineRule="auto"/>
        <w:rPr>
          <w:rFonts w:cs="Arial"/>
          <w:shd w:val="clear" w:color="auto" w:fill="FFFFFF"/>
          <w:lang w:val="cs-CZ" w:eastAsia="cs-CZ"/>
        </w:rPr>
      </w:pPr>
    </w:p>
    <w:p w:rsidR="00C112BF" w:rsidRDefault="00C112BF" w:rsidP="00B57FA3">
      <w:pPr>
        <w:pStyle w:val="Styl1"/>
        <w:spacing w:after="0" w:line="240" w:lineRule="auto"/>
        <w:rPr>
          <w:rFonts w:cs="Arial"/>
          <w:shd w:val="clear" w:color="auto" w:fill="FFFFFF"/>
          <w:lang w:val="cs-CZ" w:eastAsia="cs-CZ"/>
        </w:rPr>
      </w:pPr>
      <w:r w:rsidRPr="00777A92">
        <w:rPr>
          <w:rFonts w:cs="Arial"/>
          <w:shd w:val="clear" w:color="auto" w:fill="FFFFFF"/>
          <w:lang w:eastAsia="cs-CZ"/>
        </w:rPr>
        <w:t xml:space="preserve">Operační program </w:t>
      </w:r>
      <w:r w:rsidRPr="00B57FA3">
        <w:rPr>
          <w:rFonts w:cs="Arial"/>
          <w:i/>
          <w:shd w:val="clear" w:color="auto" w:fill="FFFFFF"/>
          <w:lang w:eastAsia="cs-CZ"/>
        </w:rPr>
        <w:t xml:space="preserve">Praha </w:t>
      </w:r>
      <w:r w:rsidR="00FE5B2E" w:rsidRPr="00B57FA3">
        <w:rPr>
          <w:rFonts w:cs="Arial"/>
          <w:i/>
          <w:shd w:val="clear" w:color="auto" w:fill="FFFFFF"/>
          <w:lang w:val="cs-CZ" w:eastAsia="cs-CZ"/>
        </w:rPr>
        <w:t>–</w:t>
      </w:r>
      <w:r w:rsidRPr="00B57FA3">
        <w:rPr>
          <w:rFonts w:cs="Arial"/>
          <w:i/>
          <w:shd w:val="clear" w:color="auto" w:fill="FFFFFF"/>
          <w:lang w:eastAsia="cs-CZ"/>
        </w:rPr>
        <w:t xml:space="preserve"> Adaptabilita</w:t>
      </w:r>
      <w:r w:rsidRPr="00777A92">
        <w:rPr>
          <w:rFonts w:cs="Arial"/>
          <w:shd w:val="clear" w:color="auto" w:fill="FFFFFF"/>
          <w:lang w:eastAsia="cs-CZ"/>
        </w:rPr>
        <w:t xml:space="preserve"> se podílí jen 0,4 % na celkové alokaci přidělené</w:t>
      </w:r>
      <w:r w:rsidR="00B64665" w:rsidRPr="00777A92">
        <w:rPr>
          <w:rFonts w:cs="Arial"/>
          <w:shd w:val="clear" w:color="auto" w:fill="FFFFFF"/>
          <w:lang w:val="cs-CZ" w:eastAsia="cs-CZ"/>
        </w:rPr>
        <w:t xml:space="preserve"> ČR</w:t>
      </w:r>
      <w:r w:rsidRPr="00777A92">
        <w:rPr>
          <w:rFonts w:cs="Arial"/>
          <w:shd w:val="clear" w:color="auto" w:fill="FFFFFF"/>
          <w:lang w:eastAsia="cs-CZ"/>
        </w:rPr>
        <w:t xml:space="preserve"> na aktivity v rámci </w:t>
      </w:r>
      <w:r w:rsidRPr="00B57FA3">
        <w:rPr>
          <w:rFonts w:cs="Arial"/>
          <w:i/>
          <w:shd w:val="clear" w:color="auto" w:fill="FFFFFF"/>
          <w:lang w:eastAsia="cs-CZ"/>
        </w:rPr>
        <w:t>Národního strategického referenčního rámce</w:t>
      </w:r>
      <w:r w:rsidRPr="00777A92">
        <w:rPr>
          <w:rStyle w:val="Znakapoznpodarou"/>
          <w:rFonts w:cs="Arial"/>
          <w:shd w:val="clear" w:color="auto" w:fill="FFFFFF"/>
          <w:lang w:eastAsia="cs-CZ"/>
        </w:rPr>
        <w:footnoteReference w:id="28"/>
      </w:r>
      <w:r w:rsidRPr="00777A92">
        <w:rPr>
          <w:rFonts w:cs="Arial"/>
          <w:shd w:val="clear" w:color="auto" w:fill="FFFFFF"/>
          <w:lang w:eastAsia="cs-CZ"/>
        </w:rPr>
        <w:t>. Ke konci kontrolovaného období, tj. roku 2010</w:t>
      </w:r>
      <w:r w:rsidRPr="00777A92">
        <w:rPr>
          <w:rFonts w:cs="Arial"/>
          <w:shd w:val="clear" w:color="auto" w:fill="FFFFFF"/>
          <w:lang w:val="cs-CZ" w:eastAsia="cs-CZ"/>
        </w:rPr>
        <w:t>,</w:t>
      </w:r>
      <w:r w:rsidRPr="00777A92">
        <w:rPr>
          <w:rFonts w:cs="Arial"/>
          <w:shd w:val="clear" w:color="auto" w:fill="FFFFFF"/>
          <w:lang w:eastAsia="cs-CZ"/>
        </w:rPr>
        <w:t xml:space="preserve"> činila celková alokace OPPA přibližně 3 225,4 mil. Kč</w:t>
      </w:r>
      <w:r w:rsidRPr="00777A92">
        <w:rPr>
          <w:rFonts w:cs="Arial"/>
          <w:shd w:val="clear" w:color="auto" w:fill="FFFFFF"/>
          <w:lang w:eastAsia="cs-CZ"/>
        </w:rPr>
        <w:fldChar w:fldCharType="begin"/>
      </w:r>
      <w:r w:rsidRPr="00777A92">
        <w:rPr>
          <w:rFonts w:cs="Arial"/>
          <w:shd w:val="clear" w:color="auto" w:fill="FFFFFF"/>
          <w:lang w:eastAsia="cs-CZ"/>
        </w:rPr>
        <w:instrText xml:space="preserve"> NOTEREF _Ref318967947 \f \h  \* MERGEFORMAT </w:instrText>
      </w:r>
      <w:r w:rsidRPr="00777A92">
        <w:rPr>
          <w:rFonts w:cs="Arial"/>
          <w:shd w:val="clear" w:color="auto" w:fill="FFFFFF"/>
          <w:lang w:eastAsia="cs-CZ"/>
        </w:rPr>
      </w:r>
      <w:r w:rsidRPr="00777A92">
        <w:rPr>
          <w:rFonts w:cs="Arial"/>
          <w:shd w:val="clear" w:color="auto" w:fill="FFFFFF"/>
          <w:lang w:eastAsia="cs-CZ"/>
        </w:rPr>
        <w:fldChar w:fldCharType="separate"/>
      </w:r>
      <w:r w:rsidR="003618B5" w:rsidRPr="00B57FA3">
        <w:rPr>
          <w:rStyle w:val="Znakapoznpodarou"/>
        </w:rPr>
        <w:t>9</w:t>
      </w:r>
      <w:r w:rsidRPr="00777A92">
        <w:rPr>
          <w:rFonts w:cs="Arial"/>
          <w:shd w:val="clear" w:color="auto" w:fill="FFFFFF"/>
          <w:lang w:eastAsia="cs-CZ"/>
        </w:rPr>
        <w:fldChar w:fldCharType="end"/>
      </w:r>
      <w:r w:rsidRPr="00777A92">
        <w:rPr>
          <w:rFonts w:cs="Arial"/>
          <w:shd w:val="clear" w:color="auto" w:fill="FFFFFF"/>
          <w:lang w:eastAsia="cs-CZ"/>
        </w:rPr>
        <w:t xml:space="preserve">. </w:t>
      </w:r>
      <w:r w:rsidRPr="007221B7">
        <w:rPr>
          <w:rFonts w:cs="Arial"/>
          <w:shd w:val="clear" w:color="auto" w:fill="FFFFFF"/>
          <w:lang w:eastAsia="cs-CZ"/>
        </w:rPr>
        <w:t xml:space="preserve">Pokles celkové alokace OPPA o cca 300 mil. Kč vznikl </w:t>
      </w:r>
      <w:r w:rsidR="0011375D">
        <w:rPr>
          <w:rFonts w:cs="Arial"/>
          <w:shd w:val="clear" w:color="auto" w:fill="FFFFFF"/>
          <w:lang w:eastAsia="cs-CZ"/>
        </w:rPr>
        <w:t>v </w:t>
      </w:r>
      <w:r w:rsidRPr="007221B7">
        <w:rPr>
          <w:rFonts w:cs="Arial"/>
          <w:shd w:val="clear" w:color="auto" w:fill="FFFFFF"/>
          <w:lang w:eastAsia="cs-CZ"/>
        </w:rPr>
        <w:t>důsledku</w:t>
      </w:r>
      <w:r w:rsidRPr="007221B7">
        <w:rPr>
          <w:rFonts w:cs="Arial"/>
        </w:rPr>
        <w:t xml:space="preserve"> posilování kurzu české koruny vůči eur</w:t>
      </w:r>
      <w:r w:rsidR="006750A8">
        <w:rPr>
          <w:rFonts w:cs="Arial"/>
          <w:lang w:val="cs-CZ"/>
        </w:rPr>
        <w:t>u</w:t>
      </w:r>
      <w:r w:rsidRPr="007221B7">
        <w:rPr>
          <w:rFonts w:cs="Arial"/>
        </w:rPr>
        <w:t xml:space="preserve"> v roce 2010 </w:t>
      </w:r>
      <w:r w:rsidR="0011375D">
        <w:rPr>
          <w:rFonts w:cs="Arial"/>
        </w:rPr>
        <w:t>v </w:t>
      </w:r>
      <w:r w:rsidRPr="007221B7">
        <w:rPr>
          <w:rFonts w:cs="Arial"/>
        </w:rPr>
        <w:t>porovnání s rokem 2007.</w:t>
      </w:r>
      <w:r w:rsidRPr="007221B7">
        <w:rPr>
          <w:rFonts w:cs="Arial"/>
          <w:shd w:val="clear" w:color="auto" w:fill="FFFFFF"/>
          <w:lang w:eastAsia="cs-CZ"/>
        </w:rPr>
        <w:t xml:space="preserve"> </w:t>
      </w:r>
    </w:p>
    <w:p w:rsidR="00141D8A" w:rsidRPr="00B57FA3" w:rsidRDefault="00141D8A" w:rsidP="00B57FA3">
      <w:pPr>
        <w:pStyle w:val="Styl1"/>
        <w:spacing w:after="0" w:line="240" w:lineRule="auto"/>
        <w:rPr>
          <w:rFonts w:cs="Arial"/>
          <w:shd w:val="clear" w:color="auto" w:fill="FFFFFF"/>
          <w:lang w:val="cs-CZ" w:eastAsia="cs-CZ"/>
        </w:rPr>
      </w:pPr>
    </w:p>
    <w:p w:rsidR="00C112BF" w:rsidRDefault="00C112BF" w:rsidP="00B57FA3">
      <w:pPr>
        <w:rPr>
          <w:rFonts w:eastAsia="Calibri" w:cs="Arial"/>
          <w:iCs/>
          <w:szCs w:val="22"/>
          <w:lang w:eastAsia="cs-CZ"/>
        </w:rPr>
      </w:pPr>
      <w:r w:rsidRPr="007221B7">
        <w:rPr>
          <w:rFonts w:cs="Arial"/>
        </w:rPr>
        <w:t xml:space="preserve">Při vyhlašování výzev k podávání žádostí o podporu z OPPA dochází opakovaně k několikanásobnému převisu poptávky (tj. požadované podpory) nad alokací výzvy. </w:t>
      </w:r>
      <w:r w:rsidRPr="007221B7">
        <w:rPr>
          <w:rFonts w:eastAsia="Calibri" w:cs="Arial"/>
          <w:iCs/>
          <w:szCs w:val="22"/>
          <w:lang w:eastAsia="cs-CZ"/>
        </w:rPr>
        <w:t>Ke konci roku 2011</w:t>
      </w:r>
      <w:r w:rsidRPr="007221B7">
        <w:rPr>
          <w:rStyle w:val="Znakapoznpodarou"/>
          <w:rFonts w:cs="Arial"/>
          <w:szCs w:val="22"/>
          <w:lang w:eastAsia="cs-CZ"/>
        </w:rPr>
        <w:footnoteReference w:id="29"/>
      </w:r>
      <w:r w:rsidRPr="007221B7">
        <w:rPr>
          <w:rFonts w:eastAsia="Calibri" w:cs="Arial"/>
          <w:iCs/>
          <w:szCs w:val="22"/>
          <w:lang w:eastAsia="cs-CZ"/>
        </w:rPr>
        <w:t xml:space="preserve"> byl</w:t>
      </w:r>
      <w:r w:rsidR="0008376A" w:rsidRPr="007221B7">
        <w:rPr>
          <w:rFonts w:eastAsia="Calibri" w:cs="Arial"/>
          <w:iCs/>
          <w:szCs w:val="22"/>
          <w:lang w:eastAsia="cs-CZ"/>
        </w:rPr>
        <w:t>y v rámci OPPA podány žádosti o </w:t>
      </w:r>
      <w:r w:rsidRPr="007221B7">
        <w:rPr>
          <w:rFonts w:eastAsia="Calibri" w:cs="Arial"/>
          <w:iCs/>
          <w:szCs w:val="22"/>
          <w:lang w:eastAsia="cs-CZ"/>
        </w:rPr>
        <w:t xml:space="preserve">podporu v celkové výši 14,2 mld. Kč, tj. ve výši 435 % celkové alokace OPPA. </w:t>
      </w:r>
    </w:p>
    <w:p w:rsidR="00141D8A" w:rsidRPr="007221B7" w:rsidRDefault="00141D8A" w:rsidP="00B57FA3">
      <w:pPr>
        <w:rPr>
          <w:rFonts w:eastAsia="Calibri" w:cs="Arial"/>
          <w:iCs/>
          <w:szCs w:val="22"/>
          <w:lang w:eastAsia="cs-CZ"/>
        </w:rPr>
      </w:pPr>
    </w:p>
    <w:p w:rsidR="00D70D8F" w:rsidRPr="00777A92" w:rsidRDefault="00C112BF" w:rsidP="00B57FA3">
      <w:pPr>
        <w:rPr>
          <w:rFonts w:eastAsia="Calibri" w:cs="Arial"/>
          <w:szCs w:val="22"/>
          <w:lang w:eastAsia="cs-CZ"/>
        </w:rPr>
      </w:pPr>
      <w:r w:rsidRPr="00777A92">
        <w:rPr>
          <w:rFonts w:eastAsia="Calibri" w:cs="Arial"/>
          <w:iCs/>
          <w:szCs w:val="22"/>
          <w:lang w:eastAsia="cs-CZ"/>
        </w:rPr>
        <w:t>Od počátku programového období byl</w:t>
      </w:r>
      <w:r w:rsidR="006750A8">
        <w:rPr>
          <w:rFonts w:eastAsia="Calibri" w:cs="Arial"/>
          <w:iCs/>
          <w:szCs w:val="22"/>
          <w:lang w:eastAsia="cs-CZ"/>
        </w:rPr>
        <w:t>a</w:t>
      </w:r>
      <w:r w:rsidRPr="00777A92">
        <w:rPr>
          <w:rFonts w:eastAsia="Calibri" w:cs="Arial"/>
          <w:iCs/>
          <w:szCs w:val="22"/>
          <w:lang w:eastAsia="cs-CZ"/>
        </w:rPr>
        <w:t xml:space="preserve"> ke konci roku 2011 na účty příjemců podpory proplacen</w:t>
      </w:r>
      <w:r w:rsidR="006750A8">
        <w:rPr>
          <w:rFonts w:eastAsia="Calibri" w:cs="Arial"/>
          <w:iCs/>
          <w:szCs w:val="22"/>
          <w:lang w:eastAsia="cs-CZ"/>
        </w:rPr>
        <w:t>a</w:t>
      </w:r>
      <w:r w:rsidRPr="00777A92">
        <w:rPr>
          <w:rFonts w:eastAsia="Calibri" w:cs="Arial"/>
          <w:iCs/>
          <w:szCs w:val="22"/>
          <w:lang w:eastAsia="cs-CZ"/>
        </w:rPr>
        <w:t xml:space="preserve"> celk</w:t>
      </w:r>
      <w:r w:rsidR="006750A8">
        <w:rPr>
          <w:rFonts w:eastAsia="Calibri" w:cs="Arial"/>
          <w:iCs/>
          <w:szCs w:val="22"/>
          <w:lang w:eastAsia="cs-CZ"/>
        </w:rPr>
        <w:t>ová</w:t>
      </w:r>
      <w:r w:rsidRPr="00777A92">
        <w:rPr>
          <w:rFonts w:eastAsia="Calibri" w:cs="Arial"/>
          <w:iCs/>
          <w:szCs w:val="22"/>
          <w:lang w:eastAsia="cs-CZ"/>
        </w:rPr>
        <w:t xml:space="preserve"> </w:t>
      </w:r>
      <w:r w:rsidR="006750A8">
        <w:rPr>
          <w:rFonts w:eastAsia="Calibri" w:cs="Arial"/>
          <w:iCs/>
          <w:szCs w:val="22"/>
          <w:lang w:eastAsia="cs-CZ"/>
        </w:rPr>
        <w:t xml:space="preserve">částka </w:t>
      </w:r>
      <w:r w:rsidRPr="00777A92">
        <w:rPr>
          <w:rFonts w:eastAsia="Calibri" w:cs="Arial"/>
          <w:iCs/>
          <w:szCs w:val="22"/>
          <w:lang w:eastAsia="cs-CZ"/>
        </w:rPr>
        <w:t xml:space="preserve">1,9 mld. Kč, což představuje 57,5 % alokace OPPA. </w:t>
      </w:r>
      <w:r w:rsidRPr="00777A92">
        <w:rPr>
          <w:rFonts w:eastAsia="Calibri" w:cs="Arial"/>
          <w:szCs w:val="22"/>
          <w:lang w:eastAsia="cs-CZ"/>
        </w:rPr>
        <w:t xml:space="preserve">Certifikované výdaje předložené </w:t>
      </w:r>
      <w:r w:rsidR="00645171">
        <w:rPr>
          <w:rFonts w:eastAsia="Calibri" w:cs="Arial"/>
          <w:szCs w:val="22"/>
          <w:lang w:eastAsia="cs-CZ"/>
        </w:rPr>
        <w:t xml:space="preserve">Evropské komisi </w:t>
      </w:r>
      <w:r w:rsidRPr="00777A92">
        <w:rPr>
          <w:rFonts w:eastAsia="Calibri" w:cs="Arial"/>
          <w:szCs w:val="22"/>
          <w:lang w:eastAsia="cs-CZ"/>
        </w:rPr>
        <w:t>tvořily 991,2 mil. Kč, což představuje 30,4</w:t>
      </w:r>
      <w:r w:rsidR="006750A8">
        <w:rPr>
          <w:rFonts w:eastAsia="Calibri" w:cs="Arial"/>
          <w:szCs w:val="22"/>
          <w:lang w:eastAsia="cs-CZ"/>
        </w:rPr>
        <w:t> </w:t>
      </w:r>
      <w:r w:rsidRPr="00777A92">
        <w:rPr>
          <w:rFonts w:eastAsia="Calibri" w:cs="Arial"/>
          <w:szCs w:val="22"/>
          <w:lang w:eastAsia="cs-CZ"/>
        </w:rPr>
        <w:t>% alokace na tento operační program.</w:t>
      </w:r>
    </w:p>
    <w:p w:rsidR="00657A0D" w:rsidRDefault="00657A0D" w:rsidP="00B57FA3">
      <w:pPr>
        <w:jc w:val="center"/>
        <w:rPr>
          <w:rFonts w:eastAsia="Calibri" w:cs="Arial"/>
          <w:b/>
          <w:szCs w:val="22"/>
          <w:lang w:eastAsia="cs-CZ"/>
        </w:rPr>
      </w:pPr>
    </w:p>
    <w:p w:rsidR="00141D8A" w:rsidRDefault="00141D8A" w:rsidP="00B57FA3">
      <w:pPr>
        <w:jc w:val="center"/>
        <w:rPr>
          <w:rFonts w:eastAsia="Calibri" w:cs="Arial"/>
          <w:b/>
          <w:szCs w:val="22"/>
          <w:lang w:eastAsia="cs-CZ"/>
        </w:rPr>
      </w:pPr>
    </w:p>
    <w:p w:rsidR="00C112BF" w:rsidRPr="005A3003" w:rsidRDefault="00D70D8F" w:rsidP="00D70D8F">
      <w:pPr>
        <w:spacing w:after="120"/>
        <w:jc w:val="center"/>
        <w:rPr>
          <w:rFonts w:cs="Arial"/>
          <w:b/>
          <w:sz w:val="24"/>
        </w:rPr>
      </w:pPr>
      <w:r w:rsidRPr="005A3003">
        <w:rPr>
          <w:rFonts w:eastAsia="Calibri" w:cs="Arial"/>
          <w:b/>
          <w:sz w:val="24"/>
          <w:lang w:eastAsia="cs-CZ"/>
        </w:rPr>
        <w:t>III. Vyhodnocení</w:t>
      </w:r>
    </w:p>
    <w:p w:rsidR="00C112BF" w:rsidRPr="00777A92" w:rsidRDefault="00C112BF" w:rsidP="00C112BF">
      <w:pPr>
        <w:autoSpaceDE w:val="0"/>
        <w:autoSpaceDN w:val="0"/>
        <w:adjustRightInd w:val="0"/>
        <w:rPr>
          <w:rFonts w:eastAsia="Calibri" w:cs="Arial"/>
          <w:iCs/>
          <w:szCs w:val="22"/>
          <w:lang w:eastAsia="cs-CZ"/>
        </w:rPr>
      </w:pPr>
    </w:p>
    <w:p w:rsidR="00580FFF" w:rsidRPr="007221B7" w:rsidRDefault="00580FFF" w:rsidP="00C112BF">
      <w:pPr>
        <w:rPr>
          <w:rFonts w:cs="Arial"/>
          <w:szCs w:val="22"/>
          <w:lang w:eastAsia="cs-CZ"/>
        </w:rPr>
      </w:pPr>
      <w:r w:rsidRPr="007221B7">
        <w:rPr>
          <w:rFonts w:cs="Arial"/>
          <w:szCs w:val="22"/>
          <w:lang w:eastAsia="cs-CZ"/>
        </w:rPr>
        <w:t xml:space="preserve">S ohledem na zkušenosti </w:t>
      </w:r>
      <w:r w:rsidR="005A2128" w:rsidRPr="007221B7">
        <w:rPr>
          <w:rFonts w:cs="Arial"/>
          <w:szCs w:val="22"/>
          <w:lang w:eastAsia="cs-CZ"/>
        </w:rPr>
        <w:t xml:space="preserve">s JPD 3 jsou zarážející </w:t>
      </w:r>
      <w:r w:rsidR="006750A8" w:rsidRPr="007221B7">
        <w:rPr>
          <w:rFonts w:cs="Arial"/>
          <w:szCs w:val="22"/>
          <w:lang w:eastAsia="cs-CZ"/>
        </w:rPr>
        <w:t>nedostatky</w:t>
      </w:r>
      <w:r w:rsidR="006750A8">
        <w:rPr>
          <w:rFonts w:cs="Arial"/>
          <w:szCs w:val="22"/>
          <w:lang w:eastAsia="cs-CZ"/>
        </w:rPr>
        <w:t xml:space="preserve"> </w:t>
      </w:r>
      <w:r w:rsidR="005A2128" w:rsidRPr="007221B7">
        <w:rPr>
          <w:rFonts w:cs="Arial"/>
          <w:szCs w:val="22"/>
          <w:lang w:eastAsia="cs-CZ"/>
        </w:rPr>
        <w:t xml:space="preserve">zjištěné </w:t>
      </w:r>
      <w:r w:rsidR="007B2256">
        <w:rPr>
          <w:rFonts w:cs="Arial"/>
          <w:szCs w:val="22"/>
          <w:lang w:eastAsia="cs-CZ"/>
        </w:rPr>
        <w:t>u OPPA</w:t>
      </w:r>
      <w:r w:rsidR="005A3003">
        <w:rPr>
          <w:rFonts w:cs="Arial"/>
          <w:szCs w:val="22"/>
          <w:lang w:eastAsia="cs-CZ"/>
        </w:rPr>
        <w:t xml:space="preserve"> zejména v období 2008–</w:t>
      </w:r>
      <w:r w:rsidR="005A2128" w:rsidRPr="007221B7">
        <w:rPr>
          <w:rFonts w:cs="Arial"/>
          <w:szCs w:val="22"/>
          <w:lang w:eastAsia="cs-CZ"/>
        </w:rPr>
        <w:t xml:space="preserve">2010 a </w:t>
      </w:r>
      <w:r w:rsidR="007D53F2" w:rsidRPr="007221B7">
        <w:rPr>
          <w:rFonts w:cs="Arial"/>
          <w:szCs w:val="22"/>
          <w:lang w:eastAsia="cs-CZ"/>
        </w:rPr>
        <w:t>zdlouhavost</w:t>
      </w:r>
      <w:r w:rsidR="005A2128" w:rsidRPr="007221B7">
        <w:rPr>
          <w:rFonts w:cs="Arial"/>
          <w:szCs w:val="22"/>
          <w:lang w:eastAsia="cs-CZ"/>
        </w:rPr>
        <w:t xml:space="preserve"> jejich odstraňování. Z tohoto pohledu je </w:t>
      </w:r>
      <w:r w:rsidR="007B2256">
        <w:rPr>
          <w:rFonts w:cs="Arial"/>
          <w:szCs w:val="22"/>
          <w:lang w:eastAsia="cs-CZ"/>
        </w:rPr>
        <w:t>třeba upozornit na skutečnost</w:t>
      </w:r>
      <w:r w:rsidR="005A2128" w:rsidRPr="007221B7">
        <w:rPr>
          <w:rFonts w:cs="Arial"/>
          <w:szCs w:val="22"/>
          <w:lang w:eastAsia="cs-CZ"/>
        </w:rPr>
        <w:t xml:space="preserve">, že </w:t>
      </w:r>
      <w:r w:rsidR="00C62936">
        <w:rPr>
          <w:rFonts w:cs="Arial"/>
          <w:szCs w:val="22"/>
          <w:lang w:eastAsia="cs-CZ"/>
        </w:rPr>
        <w:t xml:space="preserve">vypracování </w:t>
      </w:r>
      <w:r w:rsidR="005A2128" w:rsidRPr="007221B7">
        <w:rPr>
          <w:rFonts w:cs="Arial"/>
          <w:szCs w:val="22"/>
          <w:lang w:eastAsia="cs-CZ"/>
        </w:rPr>
        <w:t>evaluační studie</w:t>
      </w:r>
      <w:r w:rsidR="00071535" w:rsidRPr="007221B7">
        <w:rPr>
          <w:rFonts w:cs="Arial"/>
          <w:szCs w:val="22"/>
          <w:lang w:eastAsia="cs-CZ"/>
        </w:rPr>
        <w:t xml:space="preserve">, která má hodnotit průběh </w:t>
      </w:r>
      <w:r w:rsidR="006750A8">
        <w:rPr>
          <w:rFonts w:cs="Arial"/>
          <w:szCs w:val="22"/>
          <w:lang w:eastAsia="cs-CZ"/>
        </w:rPr>
        <w:t xml:space="preserve">realizace </w:t>
      </w:r>
      <w:r w:rsidR="00071535" w:rsidRPr="007221B7">
        <w:rPr>
          <w:rFonts w:cs="Arial"/>
          <w:szCs w:val="22"/>
          <w:lang w:eastAsia="cs-CZ"/>
        </w:rPr>
        <w:t xml:space="preserve">OPPA, </w:t>
      </w:r>
      <w:r w:rsidR="0050662D">
        <w:rPr>
          <w:rFonts w:cs="Arial"/>
          <w:szCs w:val="22"/>
          <w:lang w:eastAsia="cs-CZ"/>
        </w:rPr>
        <w:t>je posunut</w:t>
      </w:r>
      <w:r w:rsidR="00C62936">
        <w:rPr>
          <w:rFonts w:cs="Arial"/>
          <w:szCs w:val="22"/>
          <w:lang w:eastAsia="cs-CZ"/>
        </w:rPr>
        <w:t>o</w:t>
      </w:r>
      <w:r w:rsidR="0050662D">
        <w:rPr>
          <w:rFonts w:cs="Arial"/>
          <w:szCs w:val="22"/>
          <w:lang w:eastAsia="cs-CZ"/>
        </w:rPr>
        <w:t xml:space="preserve"> na rok 2012, </w:t>
      </w:r>
      <w:r w:rsidR="006F145F">
        <w:rPr>
          <w:rFonts w:cs="Arial"/>
          <w:szCs w:val="22"/>
          <w:lang w:eastAsia="cs-CZ"/>
        </w:rPr>
        <w:t>takže</w:t>
      </w:r>
      <w:r w:rsidR="005A2128" w:rsidRPr="007221B7">
        <w:rPr>
          <w:rFonts w:cs="Arial"/>
          <w:szCs w:val="22"/>
          <w:lang w:eastAsia="cs-CZ"/>
        </w:rPr>
        <w:t xml:space="preserve"> zjištěné nedostatky pravděpodobně nebudou</w:t>
      </w:r>
      <w:r w:rsidR="007D53F2" w:rsidRPr="007221B7">
        <w:rPr>
          <w:rFonts w:cs="Arial"/>
          <w:szCs w:val="22"/>
          <w:lang w:eastAsia="cs-CZ"/>
        </w:rPr>
        <w:t xml:space="preserve"> moci být</w:t>
      </w:r>
      <w:r w:rsidR="005A2128" w:rsidRPr="007221B7">
        <w:rPr>
          <w:rFonts w:cs="Arial"/>
          <w:szCs w:val="22"/>
          <w:lang w:eastAsia="cs-CZ"/>
        </w:rPr>
        <w:t xml:space="preserve"> včas účinně odstraněny </w:t>
      </w:r>
      <w:r w:rsidR="006F145F">
        <w:rPr>
          <w:rFonts w:cs="Arial"/>
          <w:szCs w:val="22"/>
          <w:lang w:eastAsia="cs-CZ"/>
        </w:rPr>
        <w:t>(</w:t>
      </w:r>
      <w:r w:rsidR="005A2128" w:rsidRPr="007221B7">
        <w:rPr>
          <w:rFonts w:cs="Arial"/>
          <w:szCs w:val="22"/>
          <w:lang w:eastAsia="cs-CZ"/>
        </w:rPr>
        <w:t>tj. do konce roku 2013</w:t>
      </w:r>
      <w:r w:rsidR="006F145F">
        <w:rPr>
          <w:rFonts w:cs="Arial"/>
          <w:szCs w:val="22"/>
          <w:lang w:eastAsia="cs-CZ"/>
        </w:rPr>
        <w:t>,</w:t>
      </w:r>
      <w:r w:rsidR="00645171">
        <w:rPr>
          <w:rFonts w:cs="Arial"/>
          <w:szCs w:val="22"/>
          <w:lang w:eastAsia="cs-CZ"/>
        </w:rPr>
        <w:t xml:space="preserve"> resp. </w:t>
      </w:r>
      <w:r w:rsidR="00C62936">
        <w:rPr>
          <w:rFonts w:cs="Arial"/>
          <w:szCs w:val="22"/>
          <w:lang w:eastAsia="cs-CZ"/>
        </w:rPr>
        <w:t>d</w:t>
      </w:r>
      <w:r w:rsidR="00645171">
        <w:rPr>
          <w:rFonts w:cs="Arial"/>
          <w:szCs w:val="22"/>
          <w:lang w:eastAsia="cs-CZ"/>
        </w:rPr>
        <w:t>o konce roku 2015</w:t>
      </w:r>
      <w:r w:rsidR="00645171" w:rsidRPr="00645171">
        <w:rPr>
          <w:rFonts w:cs="Arial"/>
          <w:szCs w:val="22"/>
          <w:vertAlign w:val="superscript"/>
          <w:lang w:eastAsia="cs-CZ"/>
        </w:rPr>
        <w:t>2</w:t>
      </w:r>
      <w:r w:rsidR="00645171">
        <w:rPr>
          <w:rFonts w:cs="Arial"/>
          <w:szCs w:val="22"/>
          <w:lang w:eastAsia="cs-CZ"/>
        </w:rPr>
        <w:t>)</w:t>
      </w:r>
      <w:r w:rsidR="005A2128" w:rsidRPr="007221B7">
        <w:rPr>
          <w:rFonts w:cs="Arial"/>
          <w:szCs w:val="22"/>
          <w:lang w:eastAsia="cs-CZ"/>
        </w:rPr>
        <w:t>.</w:t>
      </w:r>
    </w:p>
    <w:p w:rsidR="0050662D" w:rsidRDefault="0050662D" w:rsidP="009216C7">
      <w:pPr>
        <w:pStyle w:val="Zkladntext2"/>
        <w:tabs>
          <w:tab w:val="left" w:pos="0"/>
        </w:tabs>
        <w:overflowPunct/>
        <w:autoSpaceDE/>
        <w:autoSpaceDN/>
        <w:adjustRightInd/>
        <w:spacing w:after="0"/>
        <w:textAlignment w:val="auto"/>
        <w:rPr>
          <w:rFonts w:cs="Arial"/>
          <w:szCs w:val="22"/>
        </w:rPr>
      </w:pPr>
    </w:p>
    <w:p w:rsidR="009216C7" w:rsidRPr="007221B7" w:rsidRDefault="009216C7" w:rsidP="009216C7">
      <w:pPr>
        <w:pStyle w:val="Zkladntext2"/>
        <w:tabs>
          <w:tab w:val="left" w:pos="0"/>
        </w:tabs>
        <w:overflowPunct/>
        <w:autoSpaceDE/>
        <w:autoSpaceDN/>
        <w:adjustRightInd/>
        <w:spacing w:after="0"/>
        <w:textAlignment w:val="auto"/>
        <w:rPr>
          <w:rFonts w:cs="Arial"/>
          <w:szCs w:val="22"/>
        </w:rPr>
      </w:pPr>
      <w:r w:rsidRPr="007221B7">
        <w:rPr>
          <w:rFonts w:cs="Arial"/>
          <w:szCs w:val="22"/>
        </w:rPr>
        <w:t>Přetrvává absence jednotného a jedno</w:t>
      </w:r>
      <w:r w:rsidR="000D7C1F" w:rsidRPr="007221B7">
        <w:rPr>
          <w:rFonts w:cs="Arial"/>
          <w:szCs w:val="22"/>
        </w:rPr>
        <w:t xml:space="preserve">značného nastavení </w:t>
      </w:r>
      <w:r w:rsidR="00645171">
        <w:rPr>
          <w:rFonts w:cs="Arial"/>
          <w:szCs w:val="22"/>
        </w:rPr>
        <w:t xml:space="preserve">monitorovacích </w:t>
      </w:r>
      <w:r w:rsidR="000D7C1F" w:rsidRPr="007221B7">
        <w:rPr>
          <w:rFonts w:cs="Arial"/>
          <w:szCs w:val="22"/>
        </w:rPr>
        <w:t>ukazatelů, kter</w:t>
      </w:r>
      <w:r w:rsidRPr="007221B7">
        <w:rPr>
          <w:rFonts w:cs="Arial"/>
          <w:szCs w:val="22"/>
        </w:rPr>
        <w:t xml:space="preserve">é mají význam pro stanovení výstupů OPPA </w:t>
      </w:r>
      <w:r w:rsidR="006F145F">
        <w:rPr>
          <w:rFonts w:cs="Arial"/>
          <w:szCs w:val="22"/>
        </w:rPr>
        <w:t>i pro hodnocení</w:t>
      </w:r>
      <w:r w:rsidRPr="007221B7">
        <w:rPr>
          <w:rFonts w:cs="Arial"/>
          <w:szCs w:val="22"/>
        </w:rPr>
        <w:t xml:space="preserve"> efekti</w:t>
      </w:r>
      <w:r w:rsidR="007B2256">
        <w:rPr>
          <w:rFonts w:cs="Arial"/>
          <w:szCs w:val="22"/>
        </w:rPr>
        <w:t xml:space="preserve">vnosti </w:t>
      </w:r>
      <w:r w:rsidR="006F145F">
        <w:rPr>
          <w:rFonts w:cs="Arial"/>
          <w:szCs w:val="22"/>
        </w:rPr>
        <w:t xml:space="preserve">prostředků </w:t>
      </w:r>
      <w:r w:rsidR="007B2256">
        <w:rPr>
          <w:rFonts w:cs="Arial"/>
          <w:szCs w:val="22"/>
        </w:rPr>
        <w:t xml:space="preserve">vynaložených </w:t>
      </w:r>
      <w:r w:rsidR="006F145F">
        <w:rPr>
          <w:rFonts w:cs="Arial"/>
          <w:szCs w:val="22"/>
        </w:rPr>
        <w:t>v </w:t>
      </w:r>
      <w:r w:rsidR="00CA55E3">
        <w:rPr>
          <w:rFonts w:cs="Arial"/>
          <w:szCs w:val="22"/>
        </w:rPr>
        <w:t>programové</w:t>
      </w:r>
      <w:r w:rsidR="006F145F">
        <w:rPr>
          <w:rFonts w:cs="Arial"/>
          <w:szCs w:val="22"/>
        </w:rPr>
        <w:t>m</w:t>
      </w:r>
      <w:r w:rsidR="00CA55E3">
        <w:rPr>
          <w:rFonts w:cs="Arial"/>
          <w:szCs w:val="22"/>
        </w:rPr>
        <w:t xml:space="preserve"> </w:t>
      </w:r>
      <w:r w:rsidR="005A3003">
        <w:rPr>
          <w:rFonts w:cs="Arial"/>
          <w:szCs w:val="22"/>
        </w:rPr>
        <w:t>období 2007–</w:t>
      </w:r>
      <w:r w:rsidRPr="007221B7">
        <w:rPr>
          <w:rFonts w:cs="Arial"/>
          <w:szCs w:val="22"/>
        </w:rPr>
        <w:t>2013. Některé ukazatele na úrovni programu a prioritních os OPPA nebyly nastaveny a hodnoceny takovým způsobem, který by umožňoval měření d</w:t>
      </w:r>
      <w:r w:rsidR="00071535" w:rsidRPr="007221B7">
        <w:rPr>
          <w:rFonts w:cs="Arial"/>
          <w:szCs w:val="22"/>
        </w:rPr>
        <w:t>osaženého pokroku ve vztahu k </w:t>
      </w:r>
      <w:r w:rsidRPr="007221B7">
        <w:rPr>
          <w:rFonts w:cs="Arial"/>
          <w:szCs w:val="22"/>
        </w:rPr>
        <w:t xml:space="preserve">dosahování cílů. </w:t>
      </w:r>
    </w:p>
    <w:p w:rsidR="0050662D" w:rsidRDefault="0050662D" w:rsidP="007027D3">
      <w:pPr>
        <w:pStyle w:val="Styl1"/>
        <w:spacing w:after="0" w:line="240" w:lineRule="auto"/>
        <w:rPr>
          <w:rFonts w:cs="Arial"/>
          <w:lang w:val="cs-CZ" w:eastAsia="cs-CZ"/>
        </w:rPr>
      </w:pPr>
    </w:p>
    <w:p w:rsidR="007027D3" w:rsidRPr="007221B7" w:rsidRDefault="000D7C1F" w:rsidP="007027D3">
      <w:pPr>
        <w:pStyle w:val="Styl1"/>
        <w:spacing w:after="0" w:line="240" w:lineRule="auto"/>
        <w:rPr>
          <w:rFonts w:cs="Arial"/>
          <w:lang w:eastAsia="cs-CZ"/>
        </w:rPr>
      </w:pPr>
      <w:r w:rsidRPr="007221B7">
        <w:rPr>
          <w:rFonts w:cs="Arial"/>
          <w:lang w:val="cs-CZ" w:eastAsia="cs-CZ"/>
        </w:rPr>
        <w:t xml:space="preserve">Globální cíl </w:t>
      </w:r>
      <w:r w:rsidR="007B2256">
        <w:rPr>
          <w:rFonts w:cs="Arial"/>
          <w:lang w:val="cs-CZ" w:eastAsia="cs-CZ"/>
        </w:rPr>
        <w:t>OPPA</w:t>
      </w:r>
      <w:r w:rsidR="007027D3" w:rsidRPr="007221B7">
        <w:rPr>
          <w:rFonts w:cs="Arial"/>
          <w:lang w:val="cs-CZ" w:eastAsia="cs-CZ"/>
        </w:rPr>
        <w:t xml:space="preserve"> </w:t>
      </w:r>
      <w:r w:rsidRPr="007221B7">
        <w:rPr>
          <w:rFonts w:cs="Arial"/>
          <w:lang w:val="cs-CZ" w:eastAsia="cs-CZ"/>
        </w:rPr>
        <w:t>neumožňuje, aby podpořené projekty v sobě zahrnovaly</w:t>
      </w:r>
      <w:r w:rsidR="007027D3" w:rsidRPr="007221B7">
        <w:rPr>
          <w:rFonts w:cs="Arial"/>
          <w:lang w:val="cs-CZ" w:eastAsia="cs-CZ"/>
        </w:rPr>
        <w:t xml:space="preserve"> udržitelnost</w:t>
      </w:r>
      <w:r w:rsidRPr="007221B7">
        <w:rPr>
          <w:rFonts w:cs="Arial"/>
          <w:lang w:val="cs-CZ" w:eastAsia="cs-CZ"/>
        </w:rPr>
        <w:t xml:space="preserve"> existence jednotlivých aktivit.</w:t>
      </w:r>
      <w:r w:rsidR="001F264F" w:rsidRPr="007221B7">
        <w:rPr>
          <w:rFonts w:cs="Arial"/>
          <w:lang w:val="cs-CZ" w:eastAsia="cs-CZ"/>
        </w:rPr>
        <w:t xml:space="preserve"> S</w:t>
      </w:r>
      <w:r w:rsidRPr="007221B7">
        <w:rPr>
          <w:rFonts w:cs="Arial"/>
          <w:lang w:val="cs-CZ" w:eastAsia="cs-CZ"/>
        </w:rPr>
        <w:t>právn</w:t>
      </w:r>
      <w:r w:rsidR="006F145F">
        <w:rPr>
          <w:rFonts w:cs="Arial"/>
          <w:lang w:val="cs-CZ" w:eastAsia="cs-CZ"/>
        </w:rPr>
        <w:t>ě</w:t>
      </w:r>
      <w:r w:rsidRPr="007221B7">
        <w:rPr>
          <w:rFonts w:cs="Arial"/>
          <w:lang w:val="cs-CZ" w:eastAsia="cs-CZ"/>
        </w:rPr>
        <w:t xml:space="preserve"> defi</w:t>
      </w:r>
      <w:r w:rsidR="001F264F" w:rsidRPr="007221B7">
        <w:rPr>
          <w:rFonts w:cs="Arial"/>
          <w:lang w:val="cs-CZ" w:eastAsia="cs-CZ"/>
        </w:rPr>
        <w:t>nov</w:t>
      </w:r>
      <w:r w:rsidR="006F145F">
        <w:rPr>
          <w:rFonts w:cs="Arial"/>
          <w:lang w:val="cs-CZ" w:eastAsia="cs-CZ"/>
        </w:rPr>
        <w:t>ané</w:t>
      </w:r>
      <w:r w:rsidR="001F264F" w:rsidRPr="007221B7">
        <w:rPr>
          <w:rFonts w:cs="Arial"/>
          <w:lang w:val="cs-CZ" w:eastAsia="cs-CZ"/>
        </w:rPr>
        <w:t xml:space="preserve"> a nastaven</w:t>
      </w:r>
      <w:r w:rsidR="006F145F">
        <w:rPr>
          <w:rFonts w:cs="Arial"/>
          <w:lang w:val="cs-CZ" w:eastAsia="cs-CZ"/>
        </w:rPr>
        <w:t>é</w:t>
      </w:r>
      <w:r w:rsidR="001F264F" w:rsidRPr="007221B7">
        <w:rPr>
          <w:rFonts w:cs="Arial"/>
          <w:lang w:val="cs-CZ" w:eastAsia="cs-CZ"/>
        </w:rPr>
        <w:t xml:space="preserve"> m</w:t>
      </w:r>
      <w:r w:rsidRPr="007221B7">
        <w:rPr>
          <w:rFonts w:cs="Arial"/>
          <w:lang w:val="cs-CZ" w:eastAsia="cs-CZ"/>
        </w:rPr>
        <w:t>onitorovací</w:t>
      </w:r>
      <w:r w:rsidR="00A44883" w:rsidRPr="007221B7">
        <w:rPr>
          <w:rFonts w:cs="Arial"/>
          <w:lang w:val="cs-CZ" w:eastAsia="cs-CZ"/>
        </w:rPr>
        <w:t xml:space="preserve"> ukazatel</w:t>
      </w:r>
      <w:r w:rsidR="006F145F">
        <w:rPr>
          <w:rFonts w:cs="Arial"/>
          <w:lang w:val="cs-CZ" w:eastAsia="cs-CZ"/>
        </w:rPr>
        <w:t>e</w:t>
      </w:r>
      <w:r w:rsidR="001F264F" w:rsidRPr="007221B7">
        <w:rPr>
          <w:rFonts w:cs="Arial"/>
          <w:lang w:val="cs-CZ" w:eastAsia="cs-CZ"/>
        </w:rPr>
        <w:t xml:space="preserve"> m</w:t>
      </w:r>
      <w:r w:rsidR="006F145F">
        <w:rPr>
          <w:rFonts w:cs="Arial"/>
          <w:lang w:val="cs-CZ" w:eastAsia="cs-CZ"/>
        </w:rPr>
        <w:t>ohou</w:t>
      </w:r>
      <w:r w:rsidRPr="007221B7">
        <w:rPr>
          <w:rFonts w:cs="Arial"/>
          <w:lang w:val="cs-CZ" w:eastAsia="cs-CZ"/>
        </w:rPr>
        <w:t xml:space="preserve"> pro EU a českou veřejnost věrohodně vyhodnotit</w:t>
      </w:r>
      <w:r w:rsidR="007027D3" w:rsidRPr="007221B7">
        <w:rPr>
          <w:rFonts w:cs="Arial"/>
          <w:lang w:val="cs-CZ" w:eastAsia="cs-CZ"/>
        </w:rPr>
        <w:t xml:space="preserve"> použití peněžních prostředků ve výši 3 225 mil. Kč, z </w:t>
      </w:r>
      <w:r w:rsidR="006F145F">
        <w:rPr>
          <w:rFonts w:cs="Arial"/>
          <w:lang w:val="cs-CZ" w:eastAsia="cs-CZ"/>
        </w:rPr>
        <w:t>nichž</w:t>
      </w:r>
      <w:r w:rsidR="00071535" w:rsidRPr="007221B7">
        <w:rPr>
          <w:rFonts w:cs="Arial"/>
          <w:lang w:val="cs-CZ" w:eastAsia="cs-CZ"/>
        </w:rPr>
        <w:t xml:space="preserve"> 2 742 mil. Kč (</w:t>
      </w:r>
      <w:r w:rsidR="00E47B92">
        <w:rPr>
          <w:rFonts w:cs="Arial"/>
          <w:lang w:val="cs-CZ" w:eastAsia="cs-CZ"/>
        </w:rPr>
        <w:t xml:space="preserve">stav </w:t>
      </w:r>
      <w:r w:rsidR="00071535" w:rsidRPr="007221B7">
        <w:rPr>
          <w:rFonts w:cs="Arial"/>
          <w:lang w:val="cs-CZ" w:eastAsia="cs-CZ"/>
        </w:rPr>
        <w:t>k 31. </w:t>
      </w:r>
      <w:r w:rsidR="007027D3" w:rsidRPr="007221B7">
        <w:rPr>
          <w:rFonts w:cs="Arial"/>
          <w:lang w:val="cs-CZ" w:eastAsia="cs-CZ"/>
        </w:rPr>
        <w:t>12.</w:t>
      </w:r>
      <w:r w:rsidR="00E47B92">
        <w:rPr>
          <w:rFonts w:cs="Arial"/>
          <w:lang w:val="cs-CZ" w:eastAsia="cs-CZ"/>
        </w:rPr>
        <w:t> </w:t>
      </w:r>
      <w:r w:rsidR="007027D3" w:rsidRPr="007221B7">
        <w:rPr>
          <w:rFonts w:cs="Arial"/>
          <w:lang w:val="cs-CZ" w:eastAsia="cs-CZ"/>
        </w:rPr>
        <w:t>2010)</w:t>
      </w:r>
      <w:r w:rsidR="00E47B92">
        <w:rPr>
          <w:rFonts w:cs="Arial"/>
          <w:lang w:val="cs-CZ" w:eastAsia="cs-CZ"/>
        </w:rPr>
        <w:t xml:space="preserve"> pochází z rozpočtu EU</w:t>
      </w:r>
      <w:r w:rsidR="007027D3" w:rsidRPr="007221B7">
        <w:rPr>
          <w:rFonts w:cs="Arial"/>
          <w:lang w:val="cs-CZ" w:eastAsia="cs-CZ"/>
        </w:rPr>
        <w:t>.</w:t>
      </w:r>
      <w:r w:rsidRPr="007221B7">
        <w:rPr>
          <w:rFonts w:cs="Arial"/>
          <w:lang w:val="cs-CZ" w:eastAsia="cs-CZ"/>
        </w:rPr>
        <w:t xml:space="preserve"> </w:t>
      </w:r>
      <w:r w:rsidR="00E47B92">
        <w:rPr>
          <w:rFonts w:cs="Arial"/>
          <w:lang w:val="cs-CZ" w:eastAsia="cs-CZ"/>
        </w:rPr>
        <w:t>Pokud však budou</w:t>
      </w:r>
      <w:r w:rsidR="007027D3" w:rsidRPr="007221B7">
        <w:rPr>
          <w:rFonts w:cs="Arial"/>
          <w:lang w:val="cs-CZ" w:eastAsia="cs-CZ"/>
        </w:rPr>
        <w:t xml:space="preserve"> monitorovací ukazatel</w:t>
      </w:r>
      <w:r w:rsidR="00E47B92">
        <w:rPr>
          <w:rFonts w:cs="Arial"/>
          <w:lang w:val="cs-CZ" w:eastAsia="cs-CZ"/>
        </w:rPr>
        <w:t>e</w:t>
      </w:r>
      <w:r w:rsidR="007027D3" w:rsidRPr="007221B7">
        <w:rPr>
          <w:rFonts w:cs="Arial"/>
          <w:lang w:val="cs-CZ" w:eastAsia="cs-CZ"/>
        </w:rPr>
        <w:t xml:space="preserve"> </w:t>
      </w:r>
      <w:r w:rsidR="00E47B92">
        <w:rPr>
          <w:rFonts w:cs="Arial"/>
          <w:lang w:val="cs-CZ" w:eastAsia="cs-CZ"/>
        </w:rPr>
        <w:t xml:space="preserve">nastaveny v současné podobě, </w:t>
      </w:r>
      <w:r w:rsidR="007027D3" w:rsidRPr="007221B7">
        <w:rPr>
          <w:rFonts w:cs="Arial"/>
          <w:lang w:val="cs-CZ" w:eastAsia="cs-CZ"/>
        </w:rPr>
        <w:t xml:space="preserve">nebude </w:t>
      </w:r>
      <w:r w:rsidR="00CA55E3">
        <w:rPr>
          <w:rFonts w:cs="Arial"/>
          <w:lang w:val="cs-CZ" w:eastAsia="cs-CZ"/>
        </w:rPr>
        <w:t xml:space="preserve">podle </w:t>
      </w:r>
      <w:r w:rsidR="00B07309">
        <w:rPr>
          <w:rFonts w:cs="Arial"/>
          <w:lang w:val="cs-CZ" w:eastAsia="cs-CZ"/>
        </w:rPr>
        <w:t xml:space="preserve">názoru </w:t>
      </w:r>
      <w:r w:rsidR="00CA55E3">
        <w:rPr>
          <w:rFonts w:cs="Arial"/>
          <w:lang w:val="cs-CZ" w:eastAsia="cs-CZ"/>
        </w:rPr>
        <w:t xml:space="preserve">NKÚ </w:t>
      </w:r>
      <w:r w:rsidR="007027D3" w:rsidRPr="007221B7">
        <w:rPr>
          <w:rFonts w:cs="Arial"/>
          <w:lang w:val="cs-CZ" w:eastAsia="cs-CZ"/>
        </w:rPr>
        <w:t>možné věrohodně posoudit použití těchto prostředků</w:t>
      </w:r>
      <w:r w:rsidR="00E47B92">
        <w:rPr>
          <w:rFonts w:cs="Arial"/>
          <w:lang w:val="cs-CZ" w:eastAsia="cs-CZ"/>
        </w:rPr>
        <w:t>,</w:t>
      </w:r>
      <w:r w:rsidR="007027D3" w:rsidRPr="007221B7">
        <w:rPr>
          <w:rFonts w:cs="Arial"/>
          <w:lang w:val="cs-CZ" w:eastAsia="cs-CZ"/>
        </w:rPr>
        <w:t xml:space="preserve"> a může tak dojít ke zkreslení výsledků </w:t>
      </w:r>
      <w:r w:rsidR="001F264F" w:rsidRPr="007221B7">
        <w:rPr>
          <w:rFonts w:cs="Arial"/>
          <w:lang w:val="cs-CZ" w:eastAsia="cs-CZ"/>
        </w:rPr>
        <w:t>projektů podpořených</w:t>
      </w:r>
      <w:r w:rsidR="007027D3" w:rsidRPr="007221B7">
        <w:rPr>
          <w:rFonts w:cs="Arial"/>
          <w:lang w:val="cs-CZ" w:eastAsia="cs-CZ"/>
        </w:rPr>
        <w:t xml:space="preserve"> z prostředků ESF. </w:t>
      </w:r>
    </w:p>
    <w:p w:rsidR="0050662D" w:rsidRDefault="0050662D">
      <w:pPr>
        <w:rPr>
          <w:rFonts w:cs="Arial"/>
        </w:rPr>
      </w:pPr>
    </w:p>
    <w:p w:rsidR="00913787" w:rsidRDefault="005E29BC" w:rsidP="00913787">
      <w:pPr>
        <w:rPr>
          <w:lang w:eastAsia="cs-CZ"/>
        </w:rPr>
      </w:pPr>
      <w:r w:rsidRPr="007221B7">
        <w:rPr>
          <w:rFonts w:cs="Arial"/>
        </w:rPr>
        <w:t>Kontroly</w:t>
      </w:r>
      <w:r w:rsidR="000D7C1F" w:rsidRPr="007221B7">
        <w:rPr>
          <w:rFonts w:cs="Arial"/>
        </w:rPr>
        <w:t xml:space="preserve"> u příjemců</w:t>
      </w:r>
      <w:r w:rsidRPr="007221B7">
        <w:rPr>
          <w:rFonts w:cs="Arial"/>
        </w:rPr>
        <w:t xml:space="preserve"> podpory ukázaly, že nedos</w:t>
      </w:r>
      <w:r w:rsidR="009E30DC" w:rsidRPr="007221B7">
        <w:rPr>
          <w:rFonts w:cs="Arial"/>
        </w:rPr>
        <w:t>tatky a pochybení</w:t>
      </w:r>
      <w:r w:rsidR="00E556E9">
        <w:rPr>
          <w:rFonts w:cs="Arial"/>
        </w:rPr>
        <w:t xml:space="preserve">, které </w:t>
      </w:r>
      <w:r w:rsidR="00E556E9" w:rsidRPr="00E556E9">
        <w:rPr>
          <w:rFonts w:cs="Arial"/>
        </w:rPr>
        <w:t xml:space="preserve">se </w:t>
      </w:r>
      <w:r w:rsidR="00E556E9">
        <w:rPr>
          <w:rFonts w:cs="Arial"/>
        </w:rPr>
        <w:t>týkají</w:t>
      </w:r>
      <w:r w:rsidR="00E556E9" w:rsidRPr="00E556E9">
        <w:rPr>
          <w:rFonts w:cs="Arial"/>
        </w:rPr>
        <w:t xml:space="preserve"> </w:t>
      </w:r>
      <w:r w:rsidR="00E556E9">
        <w:rPr>
          <w:rFonts w:cs="Arial"/>
        </w:rPr>
        <w:t>zejména</w:t>
      </w:r>
      <w:r w:rsidR="00AE3735">
        <w:rPr>
          <w:rFonts w:cs="Arial"/>
        </w:rPr>
        <w:t xml:space="preserve"> </w:t>
      </w:r>
      <w:r w:rsidR="00E556E9" w:rsidRPr="00E556E9">
        <w:rPr>
          <w:rFonts w:cs="Arial"/>
        </w:rPr>
        <w:t>oblasti výběru dodavatelů, realizace a naplňování cílů projektů</w:t>
      </w:r>
      <w:r w:rsidR="00E556E9">
        <w:rPr>
          <w:rFonts w:cs="Arial"/>
        </w:rPr>
        <w:t>,</w:t>
      </w:r>
      <w:r w:rsidR="009E30DC" w:rsidRPr="007221B7">
        <w:rPr>
          <w:rFonts w:cs="Arial"/>
        </w:rPr>
        <w:t xml:space="preserve"> </w:t>
      </w:r>
      <w:r w:rsidR="00E47B92">
        <w:rPr>
          <w:rFonts w:cs="Arial"/>
        </w:rPr>
        <w:t>se objevují</w:t>
      </w:r>
      <w:r w:rsidR="009E30DC" w:rsidRPr="007221B7">
        <w:rPr>
          <w:rFonts w:cs="Arial"/>
        </w:rPr>
        <w:t xml:space="preserve"> rovněž u </w:t>
      </w:r>
      <w:r w:rsidRPr="007221B7">
        <w:rPr>
          <w:rFonts w:cs="Arial"/>
        </w:rPr>
        <w:t>realizátorů vybraných projektů.</w:t>
      </w:r>
      <w:r w:rsidR="00C62936">
        <w:rPr>
          <w:rFonts w:cs="Arial"/>
        </w:rPr>
        <w:t xml:space="preserve"> </w:t>
      </w:r>
      <w:r w:rsidR="00913787">
        <w:rPr>
          <w:lang w:eastAsia="cs-CZ"/>
        </w:rPr>
        <w:t>Tyto případy byly předány podle § 59 zákona č.</w:t>
      </w:r>
      <w:r w:rsidR="00E47B92">
        <w:rPr>
          <w:lang w:eastAsia="cs-CZ"/>
        </w:rPr>
        <w:t> </w:t>
      </w:r>
      <w:r w:rsidR="00913787">
        <w:rPr>
          <w:lang w:eastAsia="cs-CZ"/>
        </w:rPr>
        <w:t>280/2009</w:t>
      </w:r>
      <w:r w:rsidR="001E70F2">
        <w:rPr>
          <w:lang w:eastAsia="cs-CZ"/>
        </w:rPr>
        <w:t> </w:t>
      </w:r>
      <w:r w:rsidR="00913787">
        <w:rPr>
          <w:lang w:eastAsia="cs-CZ"/>
        </w:rPr>
        <w:t>Sb., daňov</w:t>
      </w:r>
      <w:r w:rsidR="00E47B92">
        <w:rPr>
          <w:lang w:eastAsia="cs-CZ"/>
        </w:rPr>
        <w:t>ý</w:t>
      </w:r>
      <w:r w:rsidR="00913787">
        <w:rPr>
          <w:lang w:eastAsia="cs-CZ"/>
        </w:rPr>
        <w:t xml:space="preserve"> řád</w:t>
      </w:r>
      <w:r w:rsidR="00141D8A">
        <w:rPr>
          <w:lang w:eastAsia="cs-CZ"/>
        </w:rPr>
        <w:t>,</w:t>
      </w:r>
      <w:r w:rsidR="00913787">
        <w:rPr>
          <w:lang w:eastAsia="cs-CZ"/>
        </w:rPr>
        <w:t xml:space="preserve"> příslušným správcům daně.</w:t>
      </w:r>
    </w:p>
    <w:p w:rsidR="0050662D" w:rsidRDefault="0050662D" w:rsidP="00913787">
      <w:pPr>
        <w:rPr>
          <w:rFonts w:cs="Arial"/>
        </w:rPr>
      </w:pPr>
    </w:p>
    <w:p w:rsidR="00644C00" w:rsidRPr="00644C00" w:rsidRDefault="005E29BC" w:rsidP="00644C00">
      <w:pPr>
        <w:pStyle w:val="Styl1"/>
        <w:spacing w:after="0" w:line="240" w:lineRule="auto"/>
        <w:rPr>
          <w:rFonts w:cs="Arial"/>
        </w:rPr>
      </w:pPr>
      <w:r w:rsidRPr="007221B7">
        <w:rPr>
          <w:rFonts w:cs="Arial"/>
        </w:rPr>
        <w:t xml:space="preserve">NKÚ doporučuje změnit systém, kdy </w:t>
      </w:r>
      <w:r w:rsidR="00644C00">
        <w:rPr>
          <w:rFonts w:cs="Arial"/>
          <w:lang w:val="cs-CZ"/>
        </w:rPr>
        <w:t>M</w:t>
      </w:r>
      <w:r w:rsidRPr="007221B7">
        <w:rPr>
          <w:rFonts w:cs="Arial"/>
        </w:rPr>
        <w:t>HMP jako</w:t>
      </w:r>
      <w:r w:rsidR="00E47B92">
        <w:rPr>
          <w:rFonts w:cs="Arial"/>
          <w:lang w:val="cs-CZ"/>
        </w:rPr>
        <w:t>žto</w:t>
      </w:r>
      <w:r w:rsidRPr="007221B7">
        <w:rPr>
          <w:rFonts w:cs="Arial"/>
        </w:rPr>
        <w:t xml:space="preserve"> říd</w:t>
      </w:r>
      <w:r w:rsidR="00C25550">
        <w:rPr>
          <w:rFonts w:cs="Arial"/>
          <w:lang w:val="cs-CZ"/>
        </w:rPr>
        <w:t>i</w:t>
      </w:r>
      <w:proofErr w:type="spellStart"/>
      <w:r w:rsidRPr="007221B7">
        <w:rPr>
          <w:rFonts w:cs="Arial"/>
        </w:rPr>
        <w:t>cí</w:t>
      </w:r>
      <w:proofErr w:type="spellEnd"/>
      <w:r w:rsidRPr="007221B7">
        <w:rPr>
          <w:rFonts w:cs="Arial"/>
        </w:rPr>
        <w:t xml:space="preserve"> orgán poskytuje peněžní prostředky </w:t>
      </w:r>
      <w:r w:rsidR="00E47B92">
        <w:rPr>
          <w:rFonts w:cs="Arial"/>
          <w:lang w:val="cs-CZ"/>
        </w:rPr>
        <w:t xml:space="preserve">svým </w:t>
      </w:r>
      <w:r w:rsidRPr="007221B7">
        <w:rPr>
          <w:rFonts w:cs="Arial"/>
        </w:rPr>
        <w:t xml:space="preserve">jednotlivým odborům a současně u nich vykonává funkci PAS. </w:t>
      </w:r>
      <w:r w:rsidR="00644C00" w:rsidRPr="00644C00">
        <w:rPr>
          <w:rFonts w:cs="Arial"/>
        </w:rPr>
        <w:t xml:space="preserve">Riziko nedostatečné nezávislosti pověřených auditních subjektů </w:t>
      </w:r>
      <w:r w:rsidR="00644C00" w:rsidRPr="00644C00">
        <w:rPr>
          <w:rFonts w:cs="Arial"/>
          <w:lang w:val="cs-CZ"/>
        </w:rPr>
        <w:t>operačních programů</w:t>
      </w:r>
      <w:r w:rsidR="00644C00" w:rsidRPr="00644C00">
        <w:rPr>
          <w:rFonts w:cs="Arial"/>
        </w:rPr>
        <w:t>, včetně nedostatku dohledu nad nimi</w:t>
      </w:r>
      <w:r w:rsidR="00644C00" w:rsidRPr="00644C00">
        <w:rPr>
          <w:rFonts w:cs="Arial"/>
          <w:lang w:val="cs-CZ"/>
        </w:rPr>
        <w:t>,</w:t>
      </w:r>
      <w:r w:rsidR="00644C00" w:rsidRPr="00644C00">
        <w:rPr>
          <w:rFonts w:cs="Arial"/>
        </w:rPr>
        <w:t xml:space="preserve"> shledala i Evropská komise, DG </w:t>
      </w:r>
      <w:proofErr w:type="spellStart"/>
      <w:r w:rsidR="00644C00" w:rsidRPr="00644C00">
        <w:rPr>
          <w:rFonts w:cs="Arial"/>
        </w:rPr>
        <w:t>R</w:t>
      </w:r>
      <w:r w:rsidR="00E47B92">
        <w:rPr>
          <w:rFonts w:cs="Arial"/>
          <w:lang w:val="cs-CZ"/>
        </w:rPr>
        <w:t>egio</w:t>
      </w:r>
      <w:proofErr w:type="spellEnd"/>
      <w:r w:rsidR="00644C00" w:rsidRPr="00644C00">
        <w:rPr>
          <w:rStyle w:val="Znakapoznpodarou"/>
          <w:rFonts w:cs="Arial"/>
        </w:rPr>
        <w:footnoteReference w:id="30"/>
      </w:r>
      <w:r w:rsidR="00644C00" w:rsidRPr="00644C00">
        <w:rPr>
          <w:rFonts w:cs="Arial"/>
        </w:rPr>
        <w:t>.</w:t>
      </w:r>
      <w:r w:rsidR="007156D1" w:rsidRPr="007156D1">
        <w:rPr>
          <w:rFonts w:cs="Arial"/>
        </w:rPr>
        <w:t xml:space="preserve"> </w:t>
      </w:r>
      <w:r w:rsidR="007156D1" w:rsidRPr="007221B7">
        <w:rPr>
          <w:rFonts w:cs="Arial"/>
        </w:rPr>
        <w:t>Dále</w:t>
      </w:r>
      <w:r w:rsidR="00E47B92">
        <w:rPr>
          <w:rFonts w:cs="Arial"/>
          <w:lang w:val="cs-CZ"/>
        </w:rPr>
        <w:t xml:space="preserve"> NKÚ</w:t>
      </w:r>
      <w:r w:rsidR="007156D1" w:rsidRPr="007221B7">
        <w:rPr>
          <w:rFonts w:cs="Arial"/>
        </w:rPr>
        <w:t xml:space="preserve"> považuje za nezbytné zabezpečit nastavení vhodných řídicích a kontrolních mechanismů </w:t>
      </w:r>
      <w:r w:rsidR="0011375D">
        <w:rPr>
          <w:rFonts w:cs="Arial"/>
        </w:rPr>
        <w:t>v </w:t>
      </w:r>
      <w:r w:rsidR="007156D1" w:rsidRPr="007221B7">
        <w:rPr>
          <w:rFonts w:cs="Arial"/>
        </w:rPr>
        <w:t xml:space="preserve">případech, kdy </w:t>
      </w:r>
      <w:r w:rsidR="00B07309" w:rsidRPr="007221B7">
        <w:rPr>
          <w:rFonts w:cs="Arial"/>
        </w:rPr>
        <w:t xml:space="preserve">jsou </w:t>
      </w:r>
      <w:r w:rsidR="007156D1" w:rsidRPr="007221B7">
        <w:rPr>
          <w:rFonts w:cs="Arial"/>
        </w:rPr>
        <w:t>prostředky OPPA poskytovány prostřednictvím realizátora projektu (příjemce podpory) třetím osobám (partnerům projekt</w:t>
      </w:r>
      <w:r w:rsidR="00E47B92">
        <w:rPr>
          <w:rFonts w:cs="Arial"/>
          <w:lang w:val="cs-CZ"/>
        </w:rPr>
        <w:t>u</w:t>
      </w:r>
      <w:r w:rsidR="007156D1" w:rsidRPr="007221B7">
        <w:rPr>
          <w:rFonts w:cs="Arial"/>
        </w:rPr>
        <w:t>).</w:t>
      </w:r>
    </w:p>
    <w:p w:rsidR="005E29BC" w:rsidRPr="00644C00" w:rsidRDefault="005E29BC" w:rsidP="005E29BC">
      <w:pPr>
        <w:rPr>
          <w:rFonts w:cs="Arial"/>
          <w:szCs w:val="22"/>
        </w:rPr>
      </w:pPr>
    </w:p>
    <w:p w:rsidR="00A62419" w:rsidRPr="007221B7" w:rsidRDefault="00A62419" w:rsidP="00A62419">
      <w:pPr>
        <w:shd w:val="clear" w:color="auto" w:fill="FFFFFF"/>
        <w:rPr>
          <w:rFonts w:cs="Arial"/>
        </w:rPr>
      </w:pPr>
      <w:r w:rsidRPr="007221B7">
        <w:rPr>
          <w:rFonts w:cs="Arial"/>
          <w:lang w:eastAsia="cs-CZ"/>
        </w:rPr>
        <w:t xml:space="preserve">Kontrolní zjištění NKÚ a na jejich základě přijatá </w:t>
      </w:r>
      <w:r w:rsidR="00B07309">
        <w:rPr>
          <w:rFonts w:cs="Arial"/>
          <w:lang w:eastAsia="cs-CZ"/>
        </w:rPr>
        <w:t xml:space="preserve">nápravná </w:t>
      </w:r>
      <w:r w:rsidRPr="007221B7">
        <w:rPr>
          <w:rFonts w:cs="Arial"/>
          <w:lang w:eastAsia="cs-CZ"/>
        </w:rPr>
        <w:t xml:space="preserve">opatření by mohla významně přispět ke zkvalitnění provádění pomoci </w:t>
      </w:r>
      <w:r w:rsidR="00E47B92">
        <w:rPr>
          <w:rFonts w:cs="Arial"/>
          <w:lang w:eastAsia="cs-CZ"/>
        </w:rPr>
        <w:t>z </w:t>
      </w:r>
      <w:r w:rsidRPr="007221B7">
        <w:rPr>
          <w:rFonts w:cs="Arial"/>
          <w:lang w:eastAsia="cs-CZ"/>
        </w:rPr>
        <w:t>ESF v České republice</w:t>
      </w:r>
      <w:r w:rsidR="00E47B92">
        <w:rPr>
          <w:rFonts w:cs="Arial"/>
          <w:lang w:eastAsia="cs-CZ"/>
        </w:rPr>
        <w:t xml:space="preserve"> a</w:t>
      </w:r>
      <w:r w:rsidRPr="007221B7">
        <w:rPr>
          <w:rFonts w:cs="Arial"/>
          <w:lang w:eastAsia="cs-CZ"/>
        </w:rPr>
        <w:t xml:space="preserve"> k</w:t>
      </w:r>
      <w:r w:rsidR="00C17611" w:rsidRPr="007221B7">
        <w:rPr>
          <w:rFonts w:cs="Arial"/>
          <w:lang w:eastAsia="cs-CZ"/>
        </w:rPr>
        <w:t>e</w:t>
      </w:r>
      <w:r w:rsidRPr="007221B7">
        <w:rPr>
          <w:rFonts w:cs="Arial"/>
          <w:lang w:eastAsia="cs-CZ"/>
        </w:rPr>
        <w:t xml:space="preserve"> snadnější certifikaci projektů </w:t>
      </w:r>
      <w:r w:rsidR="00E47B92">
        <w:rPr>
          <w:rFonts w:cs="Arial"/>
          <w:lang w:eastAsia="cs-CZ"/>
        </w:rPr>
        <w:t>či</w:t>
      </w:r>
      <w:r w:rsidRPr="007221B7">
        <w:rPr>
          <w:rFonts w:cs="Arial"/>
          <w:lang w:eastAsia="cs-CZ"/>
        </w:rPr>
        <w:t xml:space="preserve"> k</w:t>
      </w:r>
      <w:r w:rsidR="001D1B8A">
        <w:rPr>
          <w:rFonts w:cs="Arial"/>
          <w:lang w:eastAsia="cs-CZ"/>
        </w:rPr>
        <w:t xml:space="preserve"> vysvětlení </w:t>
      </w:r>
      <w:r w:rsidRPr="007221B7">
        <w:rPr>
          <w:rFonts w:cs="Arial"/>
          <w:lang w:eastAsia="cs-CZ"/>
        </w:rPr>
        <w:t>české veřejnosti</w:t>
      </w:r>
      <w:r w:rsidR="001D1B8A">
        <w:rPr>
          <w:rFonts w:cs="Arial"/>
          <w:lang w:eastAsia="cs-CZ"/>
        </w:rPr>
        <w:t>, jak jsou používány prostředky OPPA.</w:t>
      </w:r>
      <w:r w:rsidRPr="007221B7">
        <w:rPr>
          <w:rFonts w:cs="Arial"/>
          <w:lang w:eastAsia="cs-CZ"/>
        </w:rPr>
        <w:t xml:space="preserve"> </w:t>
      </w:r>
    </w:p>
    <w:p w:rsidR="005E29BC" w:rsidRPr="007221B7" w:rsidRDefault="005E29BC">
      <w:pPr>
        <w:rPr>
          <w:rFonts w:cs="Arial"/>
        </w:rPr>
      </w:pPr>
    </w:p>
    <w:sectPr w:rsidR="005E29BC" w:rsidRPr="007221B7" w:rsidSect="004A435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D9" w:rsidRDefault="00DA3BD9" w:rsidP="00C112BF">
      <w:r>
        <w:separator/>
      </w:r>
    </w:p>
  </w:endnote>
  <w:endnote w:type="continuationSeparator" w:id="0">
    <w:p w:rsidR="00DA3BD9" w:rsidRDefault="00DA3BD9" w:rsidP="00C1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82873"/>
      <w:docPartObj>
        <w:docPartGallery w:val="Page Numbers (Bottom of Page)"/>
        <w:docPartUnique/>
      </w:docPartObj>
    </w:sdtPr>
    <w:sdtEndPr/>
    <w:sdtContent>
      <w:p w:rsidR="00DA3BD9" w:rsidRDefault="00DA3BD9">
        <w:pPr>
          <w:pStyle w:val="Zpat"/>
          <w:jc w:val="center"/>
        </w:pPr>
        <w:r>
          <w:fldChar w:fldCharType="begin"/>
        </w:r>
        <w:r>
          <w:instrText>PAGE   \* MERGEFORMAT</w:instrText>
        </w:r>
        <w:r>
          <w:fldChar w:fldCharType="separate"/>
        </w:r>
        <w:r w:rsidR="00D45646">
          <w:rPr>
            <w:noProof/>
          </w:rPr>
          <w:t>6</w:t>
        </w:r>
        <w:r>
          <w:fldChar w:fldCharType="end"/>
        </w:r>
      </w:p>
    </w:sdtContent>
  </w:sdt>
  <w:p w:rsidR="00DA3BD9" w:rsidRDefault="00DA3B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D9" w:rsidRDefault="00DA3BD9" w:rsidP="00C112BF">
      <w:r>
        <w:separator/>
      </w:r>
    </w:p>
  </w:footnote>
  <w:footnote w:type="continuationSeparator" w:id="0">
    <w:p w:rsidR="00DA3BD9" w:rsidRDefault="00DA3BD9" w:rsidP="00C112BF">
      <w:r>
        <w:continuationSeparator/>
      </w:r>
    </w:p>
  </w:footnote>
  <w:footnote w:id="1">
    <w:p w:rsidR="00DA3BD9" w:rsidRPr="00A00DB0" w:rsidRDefault="00DA3BD9" w:rsidP="00526F38">
      <w:pPr>
        <w:pStyle w:val="Textpoznpodarou"/>
        <w:ind w:left="284" w:hanging="284"/>
        <w:rPr>
          <w:rFonts w:ascii="Arial" w:hAnsi="Arial" w:cs="Arial"/>
          <w:sz w:val="18"/>
          <w:szCs w:val="18"/>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00526F38">
        <w:rPr>
          <w:rFonts w:ascii="Arial" w:hAnsi="Arial" w:cs="Arial"/>
          <w:sz w:val="18"/>
          <w:szCs w:val="18"/>
          <w:lang w:val="cs-CZ"/>
        </w:rPr>
        <w:tab/>
      </w:r>
      <w:r>
        <w:rPr>
          <w:rFonts w:ascii="Arial" w:hAnsi="Arial" w:cs="Arial"/>
          <w:sz w:val="18"/>
          <w:szCs w:val="18"/>
          <w:lang w:val="cs-CZ"/>
        </w:rPr>
        <w:t>Jedná se o j</w:t>
      </w:r>
      <w:r w:rsidRPr="00A00DB0">
        <w:rPr>
          <w:rFonts w:ascii="Arial" w:hAnsi="Arial" w:cs="Arial"/>
          <w:sz w:val="18"/>
          <w:szCs w:val="18"/>
        </w:rPr>
        <w:t xml:space="preserve">eden ze tří cílů programového období 2007–2013, má zahrnout </w:t>
      </w:r>
      <w:r>
        <w:rPr>
          <w:rFonts w:ascii="Arial" w:hAnsi="Arial" w:cs="Arial"/>
          <w:sz w:val="18"/>
          <w:szCs w:val="18"/>
          <w:lang w:val="cs-CZ"/>
        </w:rPr>
        <w:t xml:space="preserve">ta </w:t>
      </w:r>
      <w:r w:rsidRPr="00A00DB0">
        <w:rPr>
          <w:rFonts w:ascii="Arial" w:hAnsi="Arial" w:cs="Arial"/>
          <w:sz w:val="18"/>
          <w:szCs w:val="18"/>
        </w:rPr>
        <w:t xml:space="preserve">území </w:t>
      </w:r>
      <w:r>
        <w:rPr>
          <w:rFonts w:ascii="Arial" w:hAnsi="Arial" w:cs="Arial"/>
          <w:sz w:val="18"/>
          <w:szCs w:val="18"/>
          <w:lang w:val="cs-CZ"/>
        </w:rPr>
        <w:t>EU, kde nelze uplatnit</w:t>
      </w:r>
      <w:r w:rsidRPr="00A00DB0">
        <w:rPr>
          <w:rFonts w:ascii="Arial" w:hAnsi="Arial" w:cs="Arial"/>
          <w:sz w:val="18"/>
          <w:szCs w:val="18"/>
        </w:rPr>
        <w:t xml:space="preserve"> cíl </w:t>
      </w:r>
      <w:r w:rsidRPr="00A00DB0">
        <w:rPr>
          <w:rFonts w:ascii="Arial" w:hAnsi="Arial" w:cs="Arial"/>
          <w:i/>
          <w:sz w:val="18"/>
          <w:szCs w:val="18"/>
        </w:rPr>
        <w:t>Konvergence</w:t>
      </w:r>
      <w:r w:rsidRPr="00A00DB0">
        <w:rPr>
          <w:rFonts w:ascii="Arial" w:hAnsi="Arial" w:cs="Arial"/>
          <w:sz w:val="18"/>
          <w:szCs w:val="18"/>
        </w:rPr>
        <w:t>. Způsobilé regiony jsou regiony cíle 1 v programovém období 2000</w:t>
      </w:r>
      <w:r w:rsidRPr="00A00DB0">
        <w:rPr>
          <w:rFonts w:ascii="Arial" w:hAnsi="Arial" w:cs="Arial"/>
          <w:sz w:val="18"/>
          <w:szCs w:val="18"/>
          <w:lang w:val="cs-CZ"/>
        </w:rPr>
        <w:t>–</w:t>
      </w:r>
      <w:r w:rsidRPr="00A00DB0">
        <w:rPr>
          <w:rFonts w:ascii="Arial" w:hAnsi="Arial" w:cs="Arial"/>
          <w:sz w:val="18"/>
          <w:szCs w:val="18"/>
        </w:rPr>
        <w:t xml:space="preserve">2006, které již nadále nesplňují kritéria regionální způsobilosti dle </w:t>
      </w:r>
      <w:r w:rsidRPr="00A00DB0">
        <w:rPr>
          <w:rFonts w:ascii="Arial" w:hAnsi="Arial" w:cs="Arial"/>
          <w:i/>
          <w:sz w:val="18"/>
          <w:szCs w:val="18"/>
        </w:rPr>
        <w:t>Konvergence</w:t>
      </w:r>
      <w:r w:rsidRPr="00A00DB0">
        <w:rPr>
          <w:rFonts w:ascii="Arial" w:hAnsi="Arial" w:cs="Arial"/>
          <w:sz w:val="18"/>
          <w:szCs w:val="18"/>
        </w:rPr>
        <w:t>, a které proto čerpají přechodnou podporu, jakož i</w:t>
      </w:r>
      <w:r>
        <w:rPr>
          <w:rFonts w:ascii="Arial" w:hAnsi="Arial" w:cs="Arial"/>
          <w:sz w:val="18"/>
          <w:szCs w:val="18"/>
          <w:lang w:val="cs-CZ"/>
        </w:rPr>
        <w:t> </w:t>
      </w:r>
      <w:r w:rsidRPr="00A00DB0">
        <w:rPr>
          <w:rFonts w:ascii="Arial" w:hAnsi="Arial" w:cs="Arial"/>
          <w:sz w:val="18"/>
          <w:szCs w:val="18"/>
        </w:rPr>
        <w:t xml:space="preserve">všechny ostatní regiony </w:t>
      </w:r>
      <w:r>
        <w:rPr>
          <w:rFonts w:ascii="Arial" w:hAnsi="Arial" w:cs="Arial"/>
          <w:sz w:val="18"/>
          <w:szCs w:val="18"/>
          <w:lang w:val="cs-CZ"/>
        </w:rPr>
        <w:t>EU</w:t>
      </w:r>
      <w:r w:rsidRPr="00A00DB0">
        <w:rPr>
          <w:rFonts w:ascii="Arial" w:hAnsi="Arial" w:cs="Arial"/>
          <w:sz w:val="18"/>
          <w:szCs w:val="18"/>
        </w:rPr>
        <w:t xml:space="preserve">.  </w:t>
      </w:r>
    </w:p>
  </w:footnote>
  <w:footnote w:id="2">
    <w:p w:rsidR="00DA3BD9" w:rsidRPr="00A00DB0" w:rsidRDefault="00DA3BD9" w:rsidP="00526F38">
      <w:pPr>
        <w:autoSpaceDE w:val="0"/>
        <w:autoSpaceDN w:val="0"/>
        <w:adjustRightInd w:val="0"/>
        <w:ind w:left="284" w:hanging="284"/>
        <w:rPr>
          <w:rFonts w:eastAsia="Calibri" w:cs="Arial"/>
          <w:sz w:val="18"/>
          <w:szCs w:val="18"/>
          <w:lang w:eastAsia="cs-CZ"/>
        </w:rPr>
      </w:pPr>
      <w:r w:rsidRPr="00A00DB0">
        <w:rPr>
          <w:rStyle w:val="Znakapoznpodarou"/>
          <w:rFonts w:cs="Arial"/>
          <w:sz w:val="18"/>
          <w:szCs w:val="18"/>
        </w:rPr>
        <w:footnoteRef/>
      </w:r>
      <w:r w:rsidRPr="00A00DB0">
        <w:rPr>
          <w:rFonts w:cs="Arial"/>
          <w:sz w:val="18"/>
          <w:szCs w:val="18"/>
        </w:rPr>
        <w:t xml:space="preserve"> </w:t>
      </w:r>
      <w:r w:rsidR="00526F38">
        <w:rPr>
          <w:rFonts w:cs="Arial"/>
          <w:sz w:val="18"/>
          <w:szCs w:val="18"/>
        </w:rPr>
        <w:tab/>
      </w:r>
      <w:r w:rsidRPr="00A00DB0">
        <w:rPr>
          <w:rFonts w:cs="Arial"/>
          <w:sz w:val="18"/>
          <w:szCs w:val="18"/>
        </w:rPr>
        <w:t>Pravidlo n+3, resp. n+2 – p</w:t>
      </w:r>
      <w:r w:rsidRPr="00A00DB0">
        <w:rPr>
          <w:rFonts w:eastAsia="Calibri" w:cs="Arial"/>
          <w:sz w:val="18"/>
          <w:szCs w:val="18"/>
          <w:lang w:eastAsia="cs-CZ"/>
        </w:rPr>
        <w:t>odle tohoto pravidla musí být alokace podpory pro</w:t>
      </w:r>
      <w:r>
        <w:rPr>
          <w:rFonts w:eastAsia="Calibri" w:cs="Arial"/>
          <w:sz w:val="18"/>
          <w:szCs w:val="18"/>
          <w:lang w:eastAsia="cs-CZ"/>
        </w:rPr>
        <w:t xml:space="preserve"> daný</w:t>
      </w:r>
      <w:r w:rsidRPr="00A00DB0">
        <w:rPr>
          <w:rFonts w:eastAsia="Calibri" w:cs="Arial"/>
          <w:sz w:val="18"/>
          <w:szCs w:val="18"/>
          <w:lang w:eastAsia="cs-CZ"/>
        </w:rPr>
        <w:t xml:space="preserve"> rok vyčerpána v následujících třech/dvou letech. Pro alokace roku 2008, 2009 a 2010 platí pravidlo n+3. Na alokace roku 2011 a 2012 se vztahuje pravidlo n+2.</w:t>
      </w:r>
    </w:p>
  </w:footnote>
  <w:footnote w:id="3">
    <w:p w:rsidR="00DA3BD9" w:rsidRPr="004B69E3" w:rsidRDefault="00DA3BD9" w:rsidP="004F6ABF">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Pr>
          <w:rFonts w:ascii="Arial" w:hAnsi="Arial" w:cs="Arial"/>
          <w:sz w:val="18"/>
          <w:szCs w:val="18"/>
          <w:lang w:val="cs-CZ"/>
        </w:rPr>
        <w:tab/>
      </w:r>
      <w:r w:rsidRPr="00A00DB0">
        <w:rPr>
          <w:rFonts w:ascii="Arial" w:hAnsi="Arial" w:cs="Arial"/>
          <w:sz w:val="18"/>
          <w:szCs w:val="18"/>
        </w:rPr>
        <w:t>Usnesení vlády ČR ze dne 22. února 2006 č. 175</w:t>
      </w:r>
      <w:r w:rsidRPr="004B69E3">
        <w:rPr>
          <w:rFonts w:ascii="Arial" w:hAnsi="Arial" w:cs="Arial"/>
          <w:sz w:val="18"/>
          <w:szCs w:val="18"/>
          <w:lang w:val="cs-CZ"/>
        </w:rPr>
        <w:t>,</w:t>
      </w:r>
      <w:r w:rsidRPr="004B69E3">
        <w:rPr>
          <w:rFonts w:ascii="Arial" w:hAnsi="Arial" w:cs="Arial"/>
          <w:i/>
          <w:sz w:val="18"/>
          <w:szCs w:val="18"/>
        </w:rPr>
        <w:t xml:space="preserve"> k Návrhu Národního rozvojového plánu </w:t>
      </w:r>
      <w:r w:rsidRPr="004B69E3">
        <w:rPr>
          <w:rFonts w:ascii="Arial" w:hAnsi="Arial" w:cs="Arial"/>
          <w:i/>
          <w:sz w:val="18"/>
          <w:szCs w:val="18"/>
          <w:lang w:val="cs-CZ"/>
        </w:rPr>
        <w:t xml:space="preserve">České republiky </w:t>
      </w:r>
      <w:r w:rsidRPr="004B69E3">
        <w:rPr>
          <w:rFonts w:ascii="Arial" w:hAnsi="Arial" w:cs="Arial"/>
          <w:i/>
          <w:sz w:val="18"/>
          <w:szCs w:val="18"/>
        </w:rPr>
        <w:t xml:space="preserve">na </w:t>
      </w:r>
      <w:r w:rsidRPr="004B69E3">
        <w:rPr>
          <w:rFonts w:ascii="Arial" w:hAnsi="Arial" w:cs="Arial"/>
          <w:i/>
          <w:sz w:val="18"/>
          <w:szCs w:val="18"/>
          <w:lang w:val="cs-CZ"/>
        </w:rPr>
        <w:t>léta</w:t>
      </w:r>
      <w:r w:rsidRPr="004B69E3">
        <w:rPr>
          <w:rFonts w:ascii="Arial" w:hAnsi="Arial" w:cs="Arial"/>
          <w:i/>
          <w:sz w:val="18"/>
          <w:szCs w:val="18"/>
        </w:rPr>
        <w:t xml:space="preserve"> 2007 až 2013</w:t>
      </w:r>
      <w:r w:rsidRPr="004B69E3">
        <w:rPr>
          <w:rFonts w:ascii="Arial" w:hAnsi="Arial" w:cs="Arial"/>
          <w:sz w:val="18"/>
          <w:szCs w:val="18"/>
          <w:lang w:val="cs-CZ"/>
        </w:rPr>
        <w:t>.</w:t>
      </w:r>
    </w:p>
  </w:footnote>
  <w:footnote w:id="4">
    <w:p w:rsidR="00DA3BD9" w:rsidRPr="00A00DB0" w:rsidRDefault="00DA3BD9" w:rsidP="001E70F2">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Pr>
          <w:rFonts w:ascii="Arial" w:hAnsi="Arial" w:cs="Arial"/>
          <w:sz w:val="18"/>
          <w:szCs w:val="18"/>
          <w:lang w:val="cs-CZ"/>
        </w:rPr>
        <w:tab/>
      </w:r>
      <w:r w:rsidRPr="00A00DB0">
        <w:rPr>
          <w:rFonts w:ascii="Arial" w:hAnsi="Arial" w:cs="Arial"/>
          <w:sz w:val="18"/>
          <w:szCs w:val="18"/>
        </w:rPr>
        <w:t>Zákon č. 248/2000 Sb., o podpoře regionálního rozvoje</w:t>
      </w:r>
      <w:r w:rsidRPr="00A00DB0">
        <w:rPr>
          <w:rFonts w:ascii="Arial" w:hAnsi="Arial" w:cs="Arial"/>
          <w:sz w:val="18"/>
          <w:szCs w:val="18"/>
          <w:lang w:val="cs-CZ"/>
        </w:rPr>
        <w:t>.</w:t>
      </w:r>
    </w:p>
  </w:footnote>
  <w:footnote w:id="5">
    <w:p w:rsidR="00DA3BD9" w:rsidRPr="00A00DB0" w:rsidRDefault="00DA3BD9" w:rsidP="001E70F2">
      <w:pPr>
        <w:pStyle w:val="Textpoznpodarou"/>
        <w:ind w:left="284" w:hanging="284"/>
        <w:rPr>
          <w:rFonts w:ascii="Arial" w:hAnsi="Arial" w:cs="Arial"/>
          <w:sz w:val="18"/>
          <w:szCs w:val="18"/>
        </w:rPr>
      </w:pPr>
      <w:r w:rsidRPr="00A00DB0">
        <w:rPr>
          <w:rStyle w:val="Znakapoznpodarou"/>
          <w:rFonts w:ascii="Arial" w:hAnsi="Arial" w:cs="Arial"/>
          <w:sz w:val="18"/>
          <w:szCs w:val="18"/>
        </w:rPr>
        <w:footnoteRef/>
      </w:r>
      <w:r w:rsidRPr="00A00DB0">
        <w:rPr>
          <w:rFonts w:ascii="Arial" w:hAnsi="Arial" w:cs="Arial"/>
          <w:sz w:val="18"/>
          <w:szCs w:val="18"/>
          <w:lang w:val="cs-CZ"/>
        </w:rPr>
        <w:t> </w:t>
      </w:r>
      <w:r>
        <w:rPr>
          <w:rFonts w:ascii="Arial" w:hAnsi="Arial" w:cs="Arial"/>
          <w:sz w:val="18"/>
          <w:szCs w:val="18"/>
          <w:lang w:val="cs-CZ"/>
        </w:rPr>
        <w:tab/>
      </w:r>
      <w:r w:rsidRPr="00A00DB0">
        <w:rPr>
          <w:rFonts w:ascii="Arial" w:hAnsi="Arial" w:cs="Arial"/>
          <w:sz w:val="18"/>
          <w:szCs w:val="18"/>
        </w:rPr>
        <w:t xml:space="preserve">Hlavní město Praha je dle zákona č. 131/2000 Sb., o hlavním městě Praze, samostatně spravováno </w:t>
      </w:r>
      <w:r>
        <w:rPr>
          <w:rFonts w:ascii="Arial" w:hAnsi="Arial" w:cs="Arial"/>
          <w:sz w:val="18"/>
          <w:szCs w:val="18"/>
          <w:lang w:val="cs-CZ"/>
        </w:rPr>
        <w:t>Z</w:t>
      </w:r>
      <w:r w:rsidRPr="00D278AD">
        <w:rPr>
          <w:rFonts w:ascii="Arial" w:hAnsi="Arial" w:cs="Arial"/>
          <w:sz w:val="18"/>
          <w:szCs w:val="18"/>
          <w:lang w:val="cs-CZ"/>
        </w:rPr>
        <w:t>astupitelstvem</w:t>
      </w:r>
      <w:r w:rsidRPr="00A00DB0">
        <w:rPr>
          <w:rFonts w:ascii="Arial" w:hAnsi="Arial" w:cs="Arial"/>
          <w:sz w:val="18"/>
          <w:szCs w:val="18"/>
        </w:rPr>
        <w:t xml:space="preserve"> hl. m. Prahy; dalšími orgány hlavního města Prahy jsou </w:t>
      </w:r>
      <w:r>
        <w:rPr>
          <w:rFonts w:ascii="Arial" w:hAnsi="Arial" w:cs="Arial"/>
          <w:sz w:val="18"/>
          <w:szCs w:val="18"/>
          <w:lang w:val="cs-CZ"/>
        </w:rPr>
        <w:t>R</w:t>
      </w:r>
      <w:r w:rsidRPr="00D278AD">
        <w:rPr>
          <w:rFonts w:ascii="Arial" w:hAnsi="Arial" w:cs="Arial"/>
          <w:sz w:val="18"/>
          <w:szCs w:val="18"/>
          <w:lang w:val="cs-CZ"/>
        </w:rPr>
        <w:t>ada</w:t>
      </w:r>
      <w:r w:rsidRPr="00A00DB0">
        <w:rPr>
          <w:rFonts w:ascii="Arial" w:hAnsi="Arial" w:cs="Arial"/>
          <w:sz w:val="18"/>
          <w:szCs w:val="18"/>
        </w:rPr>
        <w:t xml:space="preserve"> hlavního města Prahy, primátor hlavního města Prahy, Magistrát hlavního města Prahy, zvláštní orgány hlavního města Prahy a </w:t>
      </w:r>
      <w:r>
        <w:rPr>
          <w:rFonts w:ascii="Arial" w:hAnsi="Arial" w:cs="Arial"/>
          <w:sz w:val="18"/>
          <w:szCs w:val="18"/>
          <w:lang w:val="cs-CZ"/>
        </w:rPr>
        <w:t>M</w:t>
      </w:r>
      <w:r w:rsidRPr="00D278AD">
        <w:rPr>
          <w:rFonts w:ascii="Arial" w:hAnsi="Arial" w:cs="Arial"/>
          <w:sz w:val="18"/>
          <w:szCs w:val="18"/>
          <w:lang w:val="cs-CZ"/>
        </w:rPr>
        <w:t>ěstská</w:t>
      </w:r>
      <w:r w:rsidRPr="00A00DB0">
        <w:rPr>
          <w:rFonts w:ascii="Arial" w:hAnsi="Arial" w:cs="Arial"/>
          <w:sz w:val="18"/>
          <w:szCs w:val="18"/>
        </w:rPr>
        <w:t xml:space="preserve"> policie hlavního města Prahy.</w:t>
      </w:r>
    </w:p>
  </w:footnote>
  <w:footnote w:id="6">
    <w:p w:rsidR="00DA3BD9" w:rsidRPr="00D278AD" w:rsidRDefault="00DA3BD9" w:rsidP="004A4354">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Článek 60 nařízení Rady (ES) č. 1083/2006</w:t>
      </w:r>
      <w:r>
        <w:rPr>
          <w:rFonts w:ascii="Arial" w:hAnsi="Arial" w:cs="Arial"/>
          <w:sz w:val="18"/>
          <w:szCs w:val="18"/>
          <w:lang w:val="cs-CZ"/>
        </w:rPr>
        <w:t>,</w:t>
      </w:r>
      <w:r w:rsidRPr="00A00DB0">
        <w:rPr>
          <w:rFonts w:ascii="Arial" w:hAnsi="Arial" w:cs="Arial"/>
          <w:sz w:val="18"/>
          <w:szCs w:val="18"/>
        </w:rPr>
        <w:t xml:space="preserve"> </w:t>
      </w:r>
      <w:r w:rsidRPr="00A00DB0">
        <w:rPr>
          <w:rFonts w:ascii="Arial" w:hAnsi="Arial" w:cs="Arial"/>
          <w:color w:val="000000"/>
          <w:sz w:val="18"/>
          <w:szCs w:val="18"/>
          <w:lang w:eastAsia="cs-CZ"/>
        </w:rPr>
        <w:t>o obecných ustanoveních o Evropském fondu pro regionální rozvoj, Evropském sociálním fondu a Fondu soudržnosti a o zrušení nařízení (ES) č. 1260/1999</w:t>
      </w:r>
      <w:r w:rsidRPr="00A00DB0">
        <w:rPr>
          <w:rFonts w:ascii="Arial" w:hAnsi="Arial" w:cs="Arial"/>
          <w:color w:val="000000"/>
          <w:sz w:val="18"/>
          <w:szCs w:val="18"/>
          <w:lang w:val="cs-CZ" w:eastAsia="cs-CZ"/>
        </w:rPr>
        <w:t>.</w:t>
      </w:r>
    </w:p>
  </w:footnote>
  <w:footnote w:id="7">
    <w:p w:rsidR="00DA3BD9" w:rsidRPr="00A00DB0" w:rsidRDefault="00DA3BD9" w:rsidP="00244049">
      <w:pPr>
        <w:pStyle w:val="Textpoznpodarou"/>
        <w:ind w:left="284" w:hanging="284"/>
        <w:rPr>
          <w:rFonts w:ascii="Arial" w:hAnsi="Arial" w:cs="Arial"/>
          <w:sz w:val="18"/>
          <w:szCs w:val="18"/>
          <w:lang w:val="cs-CZ"/>
        </w:rPr>
      </w:pPr>
      <w:r w:rsidRPr="00D278AD">
        <w:rPr>
          <w:rStyle w:val="Znakapoznpodarou"/>
          <w:rFonts w:ascii="Arial" w:hAnsi="Arial" w:cs="Arial"/>
          <w:sz w:val="18"/>
          <w:szCs w:val="18"/>
        </w:rPr>
        <w:footnoteRef/>
      </w:r>
      <w:r w:rsidRPr="00D278AD">
        <w:rPr>
          <w:rFonts w:ascii="Arial" w:hAnsi="Arial" w:cs="Arial"/>
          <w:sz w:val="18"/>
          <w:szCs w:val="18"/>
        </w:rPr>
        <w:t xml:space="preserve"> </w:t>
      </w:r>
      <w:r w:rsidRPr="00D278AD">
        <w:rPr>
          <w:rFonts w:ascii="Arial" w:hAnsi="Arial" w:cs="Arial"/>
          <w:sz w:val="18"/>
          <w:szCs w:val="18"/>
          <w:lang w:val="cs-CZ"/>
        </w:rPr>
        <w:tab/>
      </w:r>
      <w:r w:rsidRPr="00A00DB0">
        <w:rPr>
          <w:rFonts w:ascii="Arial" w:hAnsi="Arial" w:cs="Arial"/>
          <w:sz w:val="18"/>
          <w:szCs w:val="18"/>
          <w:lang w:eastAsia="cs-CZ"/>
        </w:rPr>
        <w:t xml:space="preserve">Usnesení vlády ČR ze dne 22. února 2006 č. 198, </w:t>
      </w:r>
      <w:r w:rsidRPr="00D278AD">
        <w:rPr>
          <w:rFonts w:ascii="Arial" w:hAnsi="Arial" w:cs="Arial"/>
          <w:i/>
          <w:sz w:val="18"/>
          <w:szCs w:val="18"/>
          <w:lang w:eastAsia="cs-CZ"/>
        </w:rPr>
        <w:t>ke koordinaci přípravy České republiky na čerpání finančních prostředků ze strukturálních fondů a z Fondu soudržnosti Evropské unie</w:t>
      </w:r>
      <w:r w:rsidRPr="00D278AD">
        <w:rPr>
          <w:rFonts w:ascii="Arial" w:hAnsi="Arial" w:cs="Arial"/>
          <w:i/>
          <w:sz w:val="18"/>
          <w:szCs w:val="18"/>
          <w:lang w:val="cs-CZ" w:eastAsia="cs-CZ"/>
        </w:rPr>
        <w:t xml:space="preserve"> v letech 2007 až 2013</w:t>
      </w:r>
      <w:r w:rsidRPr="00A00DB0">
        <w:rPr>
          <w:rFonts w:ascii="Arial" w:hAnsi="Arial" w:cs="Arial"/>
          <w:sz w:val="18"/>
          <w:szCs w:val="18"/>
          <w:lang w:val="cs-CZ" w:eastAsia="cs-CZ"/>
        </w:rPr>
        <w:t>.</w:t>
      </w:r>
    </w:p>
  </w:footnote>
  <w:footnote w:id="8">
    <w:p w:rsidR="00DA3BD9" w:rsidRPr="00A00DB0" w:rsidRDefault="00DA3BD9" w:rsidP="00244049">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lang w:val="cs-CZ"/>
        </w:rPr>
        <w:t xml:space="preserve"> </w:t>
      </w:r>
      <w:r w:rsidRPr="00A00DB0">
        <w:rPr>
          <w:rFonts w:ascii="Arial" w:hAnsi="Arial" w:cs="Arial"/>
          <w:sz w:val="18"/>
          <w:szCs w:val="18"/>
        </w:rPr>
        <w:t xml:space="preserve"> </w:t>
      </w:r>
      <w:r w:rsidRPr="00A00DB0">
        <w:rPr>
          <w:rFonts w:ascii="Arial" w:hAnsi="Arial" w:cs="Arial"/>
          <w:sz w:val="18"/>
          <w:szCs w:val="18"/>
          <w:lang w:val="cs-CZ"/>
        </w:rPr>
        <w:tab/>
      </w:r>
      <w:r w:rsidRPr="00A70A19">
        <w:rPr>
          <w:rFonts w:ascii="Arial" w:hAnsi="Arial" w:cs="Arial"/>
          <w:sz w:val="18"/>
          <w:szCs w:val="18"/>
          <w:lang w:val="cs-CZ"/>
        </w:rPr>
        <w:t>M</w:t>
      </w:r>
      <w:r w:rsidRPr="00A70A19">
        <w:rPr>
          <w:rFonts w:ascii="Arial" w:hAnsi="Arial" w:cs="Arial"/>
          <w:color w:val="000000"/>
          <w:sz w:val="18"/>
          <w:szCs w:val="18"/>
          <w:lang w:val="cs-CZ"/>
        </w:rPr>
        <w:t>ěnový</w:t>
      </w:r>
      <w:r w:rsidRPr="00A00DB0">
        <w:rPr>
          <w:rFonts w:ascii="Arial" w:hAnsi="Arial" w:cs="Arial"/>
          <w:color w:val="000000"/>
          <w:sz w:val="18"/>
          <w:szCs w:val="18"/>
        </w:rPr>
        <w:t xml:space="preserve"> kurz převzatý z MSC2007 ke dni přijetí </w:t>
      </w:r>
      <w:proofErr w:type="gramStart"/>
      <w:r w:rsidRPr="00A00DB0">
        <w:rPr>
          <w:rFonts w:ascii="Arial" w:hAnsi="Arial" w:cs="Arial"/>
          <w:color w:val="000000"/>
          <w:sz w:val="18"/>
          <w:szCs w:val="18"/>
        </w:rPr>
        <w:t xml:space="preserve">OPPA </w:t>
      </w:r>
      <w:r>
        <w:rPr>
          <w:rFonts w:ascii="Arial" w:hAnsi="Arial" w:cs="Arial"/>
          <w:color w:val="000000"/>
          <w:sz w:val="18"/>
          <w:szCs w:val="18"/>
          <w:lang w:val="cs-CZ"/>
        </w:rPr>
        <w:t>(</w:t>
      </w:r>
      <w:r w:rsidRPr="00A00DB0">
        <w:rPr>
          <w:rFonts w:ascii="Arial" w:hAnsi="Arial" w:cs="Arial"/>
          <w:color w:val="000000"/>
          <w:sz w:val="18"/>
          <w:szCs w:val="18"/>
        </w:rPr>
        <w:t>k 12</w:t>
      </w:r>
      <w:proofErr w:type="gramEnd"/>
      <w:r w:rsidRPr="00A00DB0">
        <w:rPr>
          <w:rFonts w:ascii="Arial" w:hAnsi="Arial" w:cs="Arial"/>
          <w:color w:val="000000"/>
          <w:sz w:val="18"/>
          <w:szCs w:val="18"/>
        </w:rPr>
        <w:t xml:space="preserve">. </w:t>
      </w:r>
      <w:r w:rsidRPr="00A00DB0">
        <w:rPr>
          <w:rFonts w:ascii="Arial" w:hAnsi="Arial" w:cs="Arial"/>
          <w:color w:val="000000"/>
          <w:sz w:val="18"/>
          <w:szCs w:val="18"/>
          <w:lang w:val="cs-CZ"/>
        </w:rPr>
        <w:t xml:space="preserve">říjnu </w:t>
      </w:r>
      <w:r w:rsidRPr="00A00DB0">
        <w:rPr>
          <w:rFonts w:ascii="Arial" w:hAnsi="Arial" w:cs="Arial"/>
          <w:color w:val="000000"/>
          <w:sz w:val="18"/>
          <w:szCs w:val="18"/>
        </w:rPr>
        <w:t>2007</w:t>
      </w:r>
      <w:r>
        <w:rPr>
          <w:rFonts w:ascii="Arial" w:hAnsi="Arial" w:cs="Arial"/>
          <w:color w:val="000000"/>
          <w:sz w:val="18"/>
          <w:szCs w:val="18"/>
          <w:lang w:val="cs-CZ"/>
        </w:rPr>
        <w:t>)</w:t>
      </w:r>
      <w:r w:rsidRPr="00A00DB0">
        <w:rPr>
          <w:rFonts w:ascii="Arial" w:hAnsi="Arial" w:cs="Arial"/>
          <w:color w:val="000000"/>
          <w:sz w:val="18"/>
          <w:szCs w:val="18"/>
        </w:rPr>
        <w:t>: 27,606 CZK/EUR</w:t>
      </w:r>
      <w:r w:rsidRPr="00A00DB0">
        <w:rPr>
          <w:rFonts w:ascii="Arial" w:hAnsi="Arial" w:cs="Arial"/>
          <w:color w:val="000000"/>
          <w:sz w:val="18"/>
          <w:szCs w:val="18"/>
          <w:lang w:val="cs-CZ"/>
        </w:rPr>
        <w:t>.</w:t>
      </w:r>
    </w:p>
  </w:footnote>
  <w:footnote w:id="9">
    <w:p w:rsidR="00DA3BD9" w:rsidRPr="00A00DB0" w:rsidRDefault="00DA3BD9" w:rsidP="00244049">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 xml:space="preserve"> </w:t>
      </w:r>
      <w:r w:rsidRPr="00A00DB0">
        <w:rPr>
          <w:rFonts w:ascii="Arial" w:hAnsi="Arial" w:cs="Arial"/>
          <w:sz w:val="18"/>
          <w:szCs w:val="18"/>
          <w:lang w:val="cs-CZ"/>
        </w:rPr>
        <w:tab/>
      </w:r>
      <w:r w:rsidRPr="00A70A19">
        <w:rPr>
          <w:rFonts w:ascii="Arial" w:hAnsi="Arial" w:cs="Arial"/>
          <w:sz w:val="18"/>
          <w:szCs w:val="18"/>
          <w:lang w:val="cs-CZ"/>
        </w:rPr>
        <w:t>Měnový</w:t>
      </w:r>
      <w:r w:rsidRPr="00A00DB0">
        <w:rPr>
          <w:rFonts w:ascii="Arial" w:hAnsi="Arial" w:cs="Arial"/>
          <w:sz w:val="18"/>
          <w:szCs w:val="18"/>
        </w:rPr>
        <w:t xml:space="preserve"> kurz převzatý z MSC2007 k 5. </w:t>
      </w:r>
      <w:r w:rsidRPr="00A00DB0">
        <w:rPr>
          <w:rFonts w:ascii="Arial" w:hAnsi="Arial" w:cs="Arial"/>
          <w:sz w:val="18"/>
          <w:szCs w:val="18"/>
          <w:lang w:val="cs-CZ"/>
        </w:rPr>
        <w:t>lednu</w:t>
      </w:r>
      <w:r w:rsidRPr="00A00DB0">
        <w:rPr>
          <w:rFonts w:ascii="Arial" w:hAnsi="Arial" w:cs="Arial"/>
          <w:sz w:val="18"/>
          <w:szCs w:val="18"/>
        </w:rPr>
        <w:t xml:space="preserve"> 2011: 25,24 CZK/EUR</w:t>
      </w:r>
      <w:r w:rsidRPr="00A00DB0">
        <w:rPr>
          <w:rFonts w:ascii="Arial" w:hAnsi="Arial" w:cs="Arial"/>
          <w:sz w:val="18"/>
          <w:szCs w:val="18"/>
          <w:lang w:val="cs-CZ"/>
        </w:rPr>
        <w:t>.</w:t>
      </w:r>
    </w:p>
  </w:footnote>
  <w:footnote w:id="10">
    <w:p w:rsidR="00DA3BD9" w:rsidRPr="007210A6" w:rsidRDefault="00DA3BD9" w:rsidP="00244049">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70A19">
        <w:rPr>
          <w:rFonts w:ascii="Arial" w:hAnsi="Arial" w:cs="Arial"/>
          <w:sz w:val="18"/>
          <w:szCs w:val="18"/>
          <w:lang w:val="cs-CZ"/>
        </w:rPr>
        <w:t>Měnový</w:t>
      </w:r>
      <w:r w:rsidRPr="00A00DB0">
        <w:rPr>
          <w:rFonts w:ascii="Arial" w:hAnsi="Arial" w:cs="Arial"/>
          <w:sz w:val="18"/>
          <w:szCs w:val="18"/>
        </w:rPr>
        <w:t xml:space="preserve"> kurz převzatý z MSC2007 k 7. </w:t>
      </w:r>
      <w:r w:rsidRPr="00A00DB0">
        <w:rPr>
          <w:rFonts w:ascii="Arial" w:hAnsi="Arial" w:cs="Arial"/>
          <w:sz w:val="18"/>
          <w:szCs w:val="18"/>
          <w:lang w:val="cs-CZ"/>
        </w:rPr>
        <w:t>prosinci</w:t>
      </w:r>
      <w:r w:rsidRPr="00A00DB0">
        <w:rPr>
          <w:rFonts w:ascii="Arial" w:hAnsi="Arial" w:cs="Arial"/>
          <w:sz w:val="18"/>
          <w:szCs w:val="18"/>
        </w:rPr>
        <w:t xml:space="preserve"> 2011</w:t>
      </w:r>
      <w:r>
        <w:rPr>
          <w:rFonts w:ascii="Arial" w:hAnsi="Arial" w:cs="Arial"/>
          <w:sz w:val="18"/>
          <w:szCs w:val="18"/>
          <w:lang w:val="cs-CZ"/>
        </w:rPr>
        <w:t>:</w:t>
      </w:r>
      <w:r w:rsidRPr="00A00DB0">
        <w:rPr>
          <w:rFonts w:ascii="Arial" w:hAnsi="Arial" w:cs="Arial"/>
          <w:sz w:val="18"/>
          <w:szCs w:val="18"/>
        </w:rPr>
        <w:t xml:space="preserve"> 25,548 CZK/EUR</w:t>
      </w:r>
      <w:r w:rsidRPr="00A00DB0">
        <w:rPr>
          <w:rFonts w:ascii="Arial" w:hAnsi="Arial" w:cs="Arial"/>
          <w:sz w:val="18"/>
          <w:szCs w:val="18"/>
          <w:lang w:val="cs-CZ"/>
        </w:rPr>
        <w:t>.</w:t>
      </w:r>
    </w:p>
  </w:footnote>
  <w:footnote w:id="11">
    <w:p w:rsidR="00DA3BD9" w:rsidRPr="00A00DB0" w:rsidRDefault="00DA3BD9" w:rsidP="00244049">
      <w:pPr>
        <w:pStyle w:val="poznmkapodarou"/>
        <w:rPr>
          <w:rFonts w:cs="Arial"/>
          <w:szCs w:val="18"/>
          <w:lang w:val="cs-CZ"/>
        </w:rPr>
      </w:pPr>
      <w:r w:rsidRPr="00A00DB0">
        <w:rPr>
          <w:rStyle w:val="Znakapoznpodarou"/>
          <w:rFonts w:cs="Arial"/>
          <w:szCs w:val="18"/>
        </w:rPr>
        <w:footnoteRef/>
      </w:r>
      <w:r w:rsidRPr="00A00DB0">
        <w:rPr>
          <w:rFonts w:cs="Arial"/>
          <w:szCs w:val="18"/>
        </w:rPr>
        <w:t xml:space="preserve"> </w:t>
      </w:r>
      <w:r w:rsidRPr="00A00DB0">
        <w:rPr>
          <w:rFonts w:cs="Arial"/>
          <w:szCs w:val="18"/>
          <w:lang w:val="cs-CZ"/>
        </w:rPr>
        <w:tab/>
      </w:r>
      <w:r w:rsidRPr="00A00DB0">
        <w:rPr>
          <w:rFonts w:cs="Arial"/>
          <w:szCs w:val="18"/>
        </w:rPr>
        <w:t>Čl. 53 odst. 2 nařízení Rady (ES) č. 1083/2006</w:t>
      </w:r>
      <w:r w:rsidRPr="00A00DB0">
        <w:rPr>
          <w:rFonts w:cs="Arial"/>
          <w:szCs w:val="18"/>
          <w:lang w:val="cs-CZ"/>
        </w:rPr>
        <w:t>.</w:t>
      </w:r>
    </w:p>
  </w:footnote>
  <w:footnote w:id="12">
    <w:p w:rsidR="00DA3BD9" w:rsidRPr="00A00DB0" w:rsidRDefault="00DA3BD9" w:rsidP="00244049">
      <w:pPr>
        <w:ind w:left="284" w:hanging="284"/>
        <w:rPr>
          <w:rFonts w:cs="Arial"/>
          <w:sz w:val="18"/>
          <w:szCs w:val="18"/>
        </w:rPr>
      </w:pPr>
      <w:r w:rsidRPr="00A00DB0">
        <w:rPr>
          <w:rStyle w:val="Znakapoznpodarou"/>
          <w:rFonts w:cs="Arial"/>
          <w:sz w:val="18"/>
          <w:szCs w:val="18"/>
        </w:rPr>
        <w:footnoteRef/>
      </w:r>
      <w:r w:rsidRPr="00A00DB0">
        <w:rPr>
          <w:rFonts w:cs="Arial"/>
          <w:sz w:val="18"/>
          <w:szCs w:val="18"/>
        </w:rPr>
        <w:t xml:space="preserve"> </w:t>
      </w:r>
      <w:r w:rsidRPr="00A00DB0">
        <w:rPr>
          <w:rFonts w:cs="Arial"/>
          <w:sz w:val="18"/>
          <w:szCs w:val="18"/>
        </w:rPr>
        <w:tab/>
        <w:t>Usnesení vlády ČR ze dne 23. května 2007 č. 560</w:t>
      </w:r>
      <w:r>
        <w:rPr>
          <w:rFonts w:cs="Arial"/>
          <w:sz w:val="18"/>
          <w:szCs w:val="18"/>
        </w:rPr>
        <w:t>,</w:t>
      </w:r>
      <w:r w:rsidRPr="00A00DB0">
        <w:rPr>
          <w:rFonts w:cs="Arial"/>
          <w:sz w:val="18"/>
          <w:szCs w:val="18"/>
        </w:rPr>
        <w:t xml:space="preserve"> </w:t>
      </w:r>
      <w:r w:rsidRPr="007210A6">
        <w:rPr>
          <w:rFonts w:cs="Arial"/>
          <w:i/>
          <w:sz w:val="18"/>
          <w:szCs w:val="18"/>
        </w:rPr>
        <w:t>o pravidlech pro zajištění spolufinancování prostředků Evropské unie z národních veřejných zdrojů</w:t>
      </w:r>
      <w:r w:rsidRPr="00A00DB0">
        <w:rPr>
          <w:rFonts w:cs="Arial"/>
          <w:sz w:val="18"/>
          <w:szCs w:val="18"/>
        </w:rPr>
        <w:t>.</w:t>
      </w:r>
    </w:p>
  </w:footnote>
  <w:footnote w:id="13">
    <w:p w:rsidR="00DA3BD9" w:rsidRPr="00A00DB0" w:rsidRDefault="00DA3BD9" w:rsidP="00244049">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Datum přijetí usnesení vlády ČR ze dne 22. září 2010 č. 675 k návrhu zákona o státním rozpočtu České republiky na rok 2011 a k návrhům střednědobého výhledu státního rozpočtu České republiky na léta 2012 a</w:t>
      </w:r>
      <w:r>
        <w:rPr>
          <w:rFonts w:ascii="Arial" w:hAnsi="Arial" w:cs="Arial"/>
          <w:sz w:val="18"/>
          <w:szCs w:val="18"/>
          <w:lang w:val="cs-CZ"/>
        </w:rPr>
        <w:t> </w:t>
      </w:r>
      <w:r w:rsidRPr="00A00DB0">
        <w:rPr>
          <w:rFonts w:ascii="Arial" w:hAnsi="Arial" w:cs="Arial"/>
          <w:sz w:val="18"/>
          <w:szCs w:val="18"/>
        </w:rPr>
        <w:t xml:space="preserve">2013 a střednědobých výdajových rámců na léta 2012 a 2013. Tímto usnesením se měnily míry spolufinancování ze státního rozpočtu </w:t>
      </w:r>
      <w:r>
        <w:rPr>
          <w:rFonts w:ascii="Arial" w:hAnsi="Arial" w:cs="Arial"/>
          <w:sz w:val="18"/>
          <w:szCs w:val="18"/>
          <w:lang w:val="cs-CZ"/>
        </w:rPr>
        <w:t>u</w:t>
      </w:r>
      <w:r w:rsidRPr="00A00DB0">
        <w:rPr>
          <w:rFonts w:ascii="Arial" w:hAnsi="Arial" w:cs="Arial"/>
          <w:sz w:val="18"/>
          <w:szCs w:val="18"/>
        </w:rPr>
        <w:t xml:space="preserve"> regionální</w:t>
      </w:r>
      <w:r>
        <w:rPr>
          <w:rFonts w:ascii="Arial" w:hAnsi="Arial" w:cs="Arial"/>
          <w:sz w:val="18"/>
          <w:szCs w:val="18"/>
          <w:lang w:val="cs-CZ"/>
        </w:rPr>
        <w:t>ch</w:t>
      </w:r>
      <w:r w:rsidRPr="00A00DB0">
        <w:rPr>
          <w:rFonts w:ascii="Arial" w:hAnsi="Arial" w:cs="Arial"/>
          <w:sz w:val="18"/>
          <w:szCs w:val="18"/>
        </w:rPr>
        <w:t xml:space="preserve"> operační</w:t>
      </w:r>
      <w:r>
        <w:rPr>
          <w:rFonts w:ascii="Arial" w:hAnsi="Arial" w:cs="Arial"/>
          <w:sz w:val="18"/>
          <w:szCs w:val="18"/>
          <w:lang w:val="cs-CZ"/>
        </w:rPr>
        <w:t>ch</w:t>
      </w:r>
      <w:r w:rsidRPr="00A00DB0">
        <w:rPr>
          <w:rFonts w:ascii="Arial" w:hAnsi="Arial" w:cs="Arial"/>
          <w:sz w:val="18"/>
          <w:szCs w:val="18"/>
        </w:rPr>
        <w:t xml:space="preserve"> program</w:t>
      </w:r>
      <w:r>
        <w:rPr>
          <w:rFonts w:ascii="Arial" w:hAnsi="Arial" w:cs="Arial"/>
          <w:sz w:val="18"/>
          <w:szCs w:val="18"/>
          <w:lang w:val="cs-CZ"/>
        </w:rPr>
        <w:t>ů</w:t>
      </w:r>
      <w:r w:rsidRPr="00A00DB0">
        <w:rPr>
          <w:rFonts w:ascii="Arial" w:hAnsi="Arial" w:cs="Arial"/>
          <w:sz w:val="18"/>
          <w:szCs w:val="18"/>
        </w:rPr>
        <w:t xml:space="preserve"> a operační</w:t>
      </w:r>
      <w:r>
        <w:rPr>
          <w:rFonts w:ascii="Arial" w:hAnsi="Arial" w:cs="Arial"/>
          <w:sz w:val="18"/>
          <w:szCs w:val="18"/>
          <w:lang w:val="cs-CZ"/>
        </w:rPr>
        <w:t>ch</w:t>
      </w:r>
      <w:r w:rsidRPr="00A00DB0">
        <w:rPr>
          <w:rFonts w:ascii="Arial" w:hAnsi="Arial" w:cs="Arial"/>
          <w:sz w:val="18"/>
          <w:szCs w:val="18"/>
        </w:rPr>
        <w:t xml:space="preserve"> program</w:t>
      </w:r>
      <w:r>
        <w:rPr>
          <w:rFonts w:ascii="Arial" w:hAnsi="Arial" w:cs="Arial"/>
          <w:sz w:val="18"/>
          <w:szCs w:val="18"/>
          <w:lang w:val="cs-CZ"/>
        </w:rPr>
        <w:t>ů</w:t>
      </w:r>
      <w:r w:rsidRPr="00A00DB0">
        <w:rPr>
          <w:rFonts w:ascii="Arial" w:hAnsi="Arial" w:cs="Arial"/>
          <w:sz w:val="18"/>
          <w:szCs w:val="18"/>
        </w:rPr>
        <w:t xml:space="preserve"> Prahy</w:t>
      </w:r>
      <w:r w:rsidRPr="00A00DB0">
        <w:rPr>
          <w:rFonts w:ascii="Arial" w:hAnsi="Arial" w:cs="Arial"/>
          <w:sz w:val="18"/>
          <w:szCs w:val="18"/>
          <w:lang w:val="cs-CZ"/>
        </w:rPr>
        <w:t>.</w:t>
      </w:r>
    </w:p>
  </w:footnote>
  <w:footnote w:id="14">
    <w:p w:rsidR="00DA3BD9" w:rsidRPr="00A00DB0" w:rsidRDefault="00DA3BD9" w:rsidP="00430CFE">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Usnesení vlády ČR ze dne 19. ledna 2011 č. 64</w:t>
      </w:r>
      <w:r>
        <w:rPr>
          <w:rFonts w:ascii="Arial" w:hAnsi="Arial" w:cs="Arial"/>
          <w:sz w:val="18"/>
          <w:szCs w:val="18"/>
          <w:lang w:val="cs-CZ"/>
        </w:rPr>
        <w:t>,</w:t>
      </w:r>
      <w:r w:rsidRPr="00A00DB0">
        <w:rPr>
          <w:rFonts w:ascii="Arial" w:hAnsi="Arial" w:cs="Arial"/>
          <w:sz w:val="18"/>
          <w:szCs w:val="18"/>
        </w:rPr>
        <w:t xml:space="preserve"> </w:t>
      </w:r>
      <w:r w:rsidRPr="000476F2">
        <w:rPr>
          <w:rFonts w:ascii="Arial" w:hAnsi="Arial" w:cs="Arial"/>
          <w:i/>
          <w:sz w:val="18"/>
          <w:szCs w:val="18"/>
        </w:rPr>
        <w:t>o Pravidlech pro zajištění spolufinancování prostředků Evropské unie z národních veřejných zdrojů</w:t>
      </w:r>
      <w:r w:rsidRPr="00A00DB0">
        <w:rPr>
          <w:rFonts w:ascii="Arial" w:hAnsi="Arial" w:cs="Arial"/>
          <w:sz w:val="18"/>
          <w:szCs w:val="18"/>
          <w:lang w:val="cs-CZ"/>
        </w:rPr>
        <w:t>.</w:t>
      </w:r>
    </w:p>
  </w:footnote>
  <w:footnote w:id="15">
    <w:p w:rsidR="00DA3BD9" w:rsidRPr="00A00DB0" w:rsidRDefault="00DA3BD9" w:rsidP="005708E8">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color w:val="000000"/>
          <w:sz w:val="18"/>
          <w:szCs w:val="18"/>
          <w:lang w:eastAsia="cs-CZ"/>
        </w:rPr>
        <w:t>Rozvoj počátečního vzdělávání jako základu celoživotního učení a z hlediska potřeb trhu práce a ekonomiky znalostí</w:t>
      </w:r>
      <w:r w:rsidRPr="00A00DB0">
        <w:rPr>
          <w:rFonts w:ascii="Arial" w:hAnsi="Arial" w:cs="Arial"/>
          <w:color w:val="000000"/>
          <w:sz w:val="18"/>
          <w:szCs w:val="18"/>
          <w:lang w:val="cs-CZ" w:eastAsia="cs-CZ"/>
        </w:rPr>
        <w:t>.</w:t>
      </w:r>
    </w:p>
  </w:footnote>
  <w:footnote w:id="16">
    <w:p w:rsidR="00DA3BD9" w:rsidRPr="00A00DB0" w:rsidRDefault="00DA3BD9" w:rsidP="005708E8">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color w:val="000000"/>
          <w:sz w:val="18"/>
          <w:szCs w:val="18"/>
          <w:lang w:eastAsia="cs-CZ"/>
        </w:rPr>
        <w:t>Sociální integrace a rovné příležitosti</w:t>
      </w:r>
      <w:r w:rsidRPr="00A00DB0">
        <w:rPr>
          <w:rFonts w:ascii="Arial" w:hAnsi="Arial" w:cs="Arial"/>
          <w:color w:val="000000"/>
          <w:sz w:val="18"/>
          <w:szCs w:val="18"/>
          <w:lang w:val="cs-CZ" w:eastAsia="cs-CZ"/>
        </w:rPr>
        <w:t>.</w:t>
      </w:r>
    </w:p>
  </w:footnote>
  <w:footnote w:id="17">
    <w:p w:rsidR="00DA3BD9" w:rsidRPr="00A00DB0" w:rsidRDefault="00DA3BD9" w:rsidP="005708E8">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Adaptabilita a podnikání</w:t>
      </w:r>
      <w:r w:rsidRPr="00A00DB0">
        <w:rPr>
          <w:rFonts w:ascii="Arial" w:hAnsi="Arial" w:cs="Arial"/>
          <w:sz w:val="18"/>
          <w:szCs w:val="18"/>
          <w:lang w:val="cs-CZ"/>
        </w:rPr>
        <w:t>.</w:t>
      </w:r>
    </w:p>
  </w:footnote>
  <w:footnote w:id="18">
    <w:p w:rsidR="00DA3BD9" w:rsidRPr="00A00DB0" w:rsidRDefault="00DA3BD9" w:rsidP="005708E8">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0476F2">
        <w:rPr>
          <w:rFonts w:ascii="Arial" w:hAnsi="Arial" w:cs="Arial"/>
          <w:i/>
          <w:sz w:val="18"/>
          <w:szCs w:val="18"/>
          <w:lang w:eastAsia="cs-CZ"/>
        </w:rPr>
        <w:t xml:space="preserve">Zhodnocení dosaženého pokroku v realizaci Jednotného programového dokumentu pro </w:t>
      </w:r>
      <w:r w:rsidRPr="000476F2">
        <w:rPr>
          <w:rFonts w:ascii="Arial" w:hAnsi="Arial" w:cs="Arial"/>
          <w:i/>
          <w:sz w:val="18"/>
          <w:szCs w:val="18"/>
          <w:lang w:val="cs-CZ" w:eastAsia="cs-CZ"/>
        </w:rPr>
        <w:t>C</w:t>
      </w:r>
      <w:proofErr w:type="spellStart"/>
      <w:r w:rsidRPr="000476F2">
        <w:rPr>
          <w:rFonts w:ascii="Arial" w:hAnsi="Arial" w:cs="Arial"/>
          <w:i/>
          <w:sz w:val="18"/>
          <w:szCs w:val="18"/>
          <w:lang w:eastAsia="cs-CZ"/>
        </w:rPr>
        <w:t>íl</w:t>
      </w:r>
      <w:proofErr w:type="spellEnd"/>
      <w:r w:rsidRPr="000476F2">
        <w:rPr>
          <w:rFonts w:ascii="Arial" w:hAnsi="Arial" w:cs="Arial"/>
          <w:i/>
          <w:sz w:val="18"/>
          <w:szCs w:val="18"/>
          <w:lang w:eastAsia="cs-CZ"/>
        </w:rPr>
        <w:t xml:space="preserve"> 3 </w:t>
      </w:r>
      <w:r w:rsidRPr="000476F2">
        <w:rPr>
          <w:rFonts w:ascii="Arial" w:hAnsi="Arial" w:cs="Arial"/>
          <w:i/>
          <w:sz w:val="18"/>
          <w:szCs w:val="18"/>
          <w:lang w:val="cs-CZ" w:eastAsia="cs-CZ"/>
        </w:rPr>
        <w:t xml:space="preserve">regionu </w:t>
      </w:r>
      <w:r w:rsidRPr="000476F2">
        <w:rPr>
          <w:rFonts w:ascii="Arial" w:hAnsi="Arial" w:cs="Arial"/>
          <w:i/>
          <w:sz w:val="18"/>
          <w:szCs w:val="18"/>
          <w:lang w:eastAsia="cs-CZ"/>
        </w:rPr>
        <w:t>NUTS 2 Hl. město Praha – Závěrečná zpráva</w:t>
      </w:r>
      <w:r w:rsidRPr="00A00DB0">
        <w:rPr>
          <w:rFonts w:ascii="Arial" w:hAnsi="Arial" w:cs="Arial"/>
          <w:sz w:val="18"/>
          <w:szCs w:val="18"/>
          <w:lang w:eastAsia="cs-CZ"/>
        </w:rPr>
        <w:t>, březen 2005</w:t>
      </w:r>
      <w:r w:rsidRPr="00A00DB0">
        <w:rPr>
          <w:rFonts w:ascii="Arial" w:hAnsi="Arial" w:cs="Arial"/>
          <w:sz w:val="18"/>
          <w:szCs w:val="18"/>
          <w:lang w:val="cs-CZ" w:eastAsia="cs-CZ"/>
        </w:rPr>
        <w:t>.</w:t>
      </w:r>
    </w:p>
  </w:footnote>
  <w:footnote w:id="19">
    <w:p w:rsidR="00DA3BD9" w:rsidRPr="00A00DB0" w:rsidRDefault="00DA3BD9" w:rsidP="005D6B7E">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Usnesení vlády ČR ze dne 11. července 2007 č. 760</w:t>
      </w:r>
      <w:r>
        <w:rPr>
          <w:rFonts w:ascii="Arial" w:hAnsi="Arial" w:cs="Arial"/>
          <w:sz w:val="18"/>
          <w:szCs w:val="18"/>
          <w:lang w:val="cs-CZ"/>
        </w:rPr>
        <w:t>,</w:t>
      </w:r>
      <w:r w:rsidRPr="00A00DB0">
        <w:rPr>
          <w:rFonts w:ascii="Arial" w:hAnsi="Arial" w:cs="Arial"/>
          <w:sz w:val="18"/>
          <w:szCs w:val="18"/>
        </w:rPr>
        <w:t xml:space="preserve"> </w:t>
      </w:r>
      <w:r w:rsidRPr="00274ABD">
        <w:rPr>
          <w:rFonts w:ascii="Arial" w:hAnsi="Arial" w:cs="Arial"/>
          <w:i/>
          <w:sz w:val="18"/>
          <w:szCs w:val="18"/>
        </w:rPr>
        <w:t>o zajištění výkonu funkcí auditního orgánu a</w:t>
      </w:r>
      <w:r w:rsidRPr="00274ABD">
        <w:rPr>
          <w:rFonts w:ascii="Arial" w:hAnsi="Arial" w:cs="Arial"/>
          <w:i/>
          <w:sz w:val="18"/>
          <w:szCs w:val="18"/>
          <w:lang w:val="cs-CZ"/>
        </w:rPr>
        <w:t> </w:t>
      </w:r>
      <w:r w:rsidRPr="00274ABD">
        <w:rPr>
          <w:rFonts w:ascii="Arial" w:hAnsi="Arial" w:cs="Arial"/>
          <w:i/>
          <w:sz w:val="18"/>
          <w:szCs w:val="18"/>
        </w:rPr>
        <w:t>pověřených subjektů auditního orgánu</w:t>
      </w:r>
      <w:r w:rsidRPr="00A00DB0">
        <w:rPr>
          <w:rFonts w:ascii="Arial" w:hAnsi="Arial" w:cs="Arial"/>
          <w:sz w:val="18"/>
          <w:szCs w:val="18"/>
          <w:lang w:val="cs-CZ"/>
        </w:rPr>
        <w:t>.</w:t>
      </w:r>
    </w:p>
  </w:footnote>
  <w:footnote w:id="20">
    <w:p w:rsidR="00DA3BD9" w:rsidRPr="00A00DB0" w:rsidRDefault="00DA3BD9" w:rsidP="007A737B">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70A19">
        <w:rPr>
          <w:rFonts w:ascii="Arial" w:hAnsi="Arial" w:cs="Arial"/>
          <w:sz w:val="18"/>
          <w:szCs w:val="18"/>
          <w:lang w:val="cs-CZ"/>
        </w:rPr>
        <w:t xml:space="preserve">Článek </w:t>
      </w:r>
      <w:r w:rsidRPr="00A00DB0">
        <w:rPr>
          <w:rFonts w:ascii="Arial" w:hAnsi="Arial" w:cs="Arial"/>
          <w:sz w:val="18"/>
          <w:szCs w:val="18"/>
        </w:rPr>
        <w:t>59 odst. 4 a čl. 62 odst. 3 nařízení Rady (ES) č. 1083/2006</w:t>
      </w:r>
      <w:r w:rsidRPr="00A00DB0">
        <w:rPr>
          <w:rFonts w:ascii="Arial" w:hAnsi="Arial" w:cs="Arial"/>
          <w:sz w:val="18"/>
          <w:szCs w:val="18"/>
          <w:lang w:val="cs-CZ"/>
        </w:rPr>
        <w:t>.</w:t>
      </w:r>
    </w:p>
  </w:footnote>
  <w:footnote w:id="21">
    <w:p w:rsidR="00DA3BD9" w:rsidRPr="00A00DB0" w:rsidRDefault="00DA3BD9" w:rsidP="007A737B">
      <w:pPr>
        <w:pStyle w:val="Textpoznpodarou"/>
        <w:ind w:left="284" w:hanging="284"/>
        <w:rPr>
          <w:rFonts w:ascii="Arial" w:hAnsi="Arial" w:cs="Arial"/>
          <w:sz w:val="18"/>
          <w:szCs w:val="18"/>
          <w:lang w:val="cs-CZ"/>
        </w:rPr>
      </w:pPr>
      <w:r w:rsidRPr="00A0081B">
        <w:rPr>
          <w:rStyle w:val="Znakapoznpodarou"/>
          <w:rFonts w:ascii="Arial" w:hAnsi="Arial" w:cs="Arial"/>
          <w:sz w:val="18"/>
          <w:szCs w:val="18"/>
        </w:rPr>
        <w:footnoteRef/>
      </w:r>
      <w:r w:rsidRPr="00A0081B">
        <w:rPr>
          <w:rFonts w:ascii="Arial" w:hAnsi="Arial" w:cs="Arial"/>
          <w:sz w:val="18"/>
          <w:szCs w:val="18"/>
        </w:rPr>
        <w:t xml:space="preserve"> </w:t>
      </w:r>
      <w:r w:rsidRPr="00A0081B">
        <w:rPr>
          <w:rFonts w:ascii="Arial" w:hAnsi="Arial" w:cs="Arial"/>
          <w:sz w:val="18"/>
          <w:szCs w:val="18"/>
          <w:lang w:val="cs-CZ"/>
        </w:rPr>
        <w:tab/>
      </w:r>
      <w:r w:rsidRPr="00A00DB0">
        <w:rPr>
          <w:rFonts w:ascii="Arial" w:hAnsi="Arial" w:cs="Arial"/>
          <w:sz w:val="18"/>
          <w:szCs w:val="18"/>
        </w:rPr>
        <w:t>OPPA byl přijat v říjnu 2007</w:t>
      </w:r>
      <w:r w:rsidRPr="00A00DB0">
        <w:rPr>
          <w:rFonts w:ascii="Arial" w:hAnsi="Arial" w:cs="Arial"/>
          <w:sz w:val="18"/>
          <w:szCs w:val="18"/>
          <w:lang w:val="cs-CZ"/>
        </w:rPr>
        <w:t>.</w:t>
      </w:r>
    </w:p>
  </w:footnote>
  <w:footnote w:id="22">
    <w:p w:rsidR="00DA3BD9" w:rsidRPr="00A00DB0" w:rsidRDefault="00DA3BD9" w:rsidP="007A737B">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 xml:space="preserve">Ukazatel </w:t>
      </w:r>
      <w:r w:rsidRPr="00A00DB0">
        <w:rPr>
          <w:rFonts w:ascii="Arial" w:hAnsi="Arial" w:cs="Arial"/>
          <w:i/>
          <w:sz w:val="18"/>
          <w:szCs w:val="18"/>
        </w:rPr>
        <w:t>Počet úspěšně podpořených osob</w:t>
      </w:r>
      <w:r w:rsidRPr="00A00DB0">
        <w:rPr>
          <w:rFonts w:ascii="Arial" w:hAnsi="Arial" w:cs="Arial"/>
          <w:i/>
          <w:sz w:val="18"/>
          <w:szCs w:val="18"/>
          <w:lang w:val="cs-CZ"/>
        </w:rPr>
        <w:t>.</w:t>
      </w:r>
    </w:p>
  </w:footnote>
  <w:footnote w:id="23">
    <w:p w:rsidR="00DA3BD9" w:rsidRPr="00A00DB0" w:rsidRDefault="00DA3BD9" w:rsidP="00E56832">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Pr>
          <w:rFonts w:ascii="Arial" w:hAnsi="Arial" w:cs="Arial"/>
          <w:sz w:val="18"/>
          <w:szCs w:val="18"/>
          <w:lang w:val="cs-CZ"/>
        </w:rPr>
        <w:tab/>
      </w:r>
      <w:r w:rsidRPr="00A00DB0">
        <w:rPr>
          <w:rFonts w:ascii="Arial" w:hAnsi="Arial" w:cs="Arial"/>
          <w:sz w:val="18"/>
          <w:szCs w:val="18"/>
        </w:rPr>
        <w:t>Článek 5 odst. 1 a 6 nařízení Rady (ES) č. 1083/2006</w:t>
      </w:r>
      <w:r w:rsidRPr="00A00DB0">
        <w:rPr>
          <w:rFonts w:ascii="Arial" w:hAnsi="Arial" w:cs="Arial"/>
          <w:sz w:val="18"/>
          <w:szCs w:val="18"/>
          <w:lang w:val="cs-CZ"/>
        </w:rPr>
        <w:t>.</w:t>
      </w:r>
    </w:p>
  </w:footnote>
  <w:footnote w:id="24">
    <w:p w:rsidR="00DA3BD9" w:rsidRPr="00A00DB0" w:rsidRDefault="00DA3BD9" w:rsidP="00E56832">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Údaje z </w:t>
      </w:r>
      <w:r w:rsidRPr="00E56832">
        <w:rPr>
          <w:rFonts w:ascii="Arial" w:hAnsi="Arial" w:cs="Arial"/>
          <w:sz w:val="18"/>
          <w:szCs w:val="18"/>
          <w:lang w:val="cs-CZ"/>
        </w:rPr>
        <w:t>ž</w:t>
      </w:r>
      <w:r w:rsidRPr="00FE493E">
        <w:rPr>
          <w:rFonts w:ascii="Arial" w:hAnsi="Arial" w:cs="Arial"/>
          <w:sz w:val="18"/>
          <w:szCs w:val="18"/>
          <w:lang w:val="cs-CZ"/>
        </w:rPr>
        <w:t>ivnostenského</w:t>
      </w:r>
      <w:r w:rsidRPr="00A00DB0">
        <w:rPr>
          <w:rFonts w:ascii="Arial" w:hAnsi="Arial" w:cs="Arial"/>
          <w:sz w:val="18"/>
          <w:szCs w:val="18"/>
        </w:rPr>
        <w:t xml:space="preserve"> a </w:t>
      </w:r>
      <w:r>
        <w:rPr>
          <w:rFonts w:ascii="Arial" w:hAnsi="Arial" w:cs="Arial"/>
          <w:sz w:val="18"/>
          <w:szCs w:val="18"/>
          <w:lang w:val="cs-CZ"/>
        </w:rPr>
        <w:t>o</w:t>
      </w:r>
      <w:r w:rsidRPr="00FE493E">
        <w:rPr>
          <w:rFonts w:ascii="Arial" w:hAnsi="Arial" w:cs="Arial"/>
          <w:sz w:val="18"/>
          <w:szCs w:val="18"/>
          <w:lang w:val="cs-CZ"/>
        </w:rPr>
        <w:t>bchodního</w:t>
      </w:r>
      <w:r w:rsidRPr="00A00DB0">
        <w:rPr>
          <w:rFonts w:ascii="Arial" w:hAnsi="Arial" w:cs="Arial"/>
          <w:sz w:val="18"/>
          <w:szCs w:val="18"/>
        </w:rPr>
        <w:t xml:space="preserve"> rejstříku</w:t>
      </w:r>
      <w:r w:rsidRPr="00A00DB0">
        <w:rPr>
          <w:rFonts w:ascii="Arial" w:hAnsi="Arial" w:cs="Arial"/>
          <w:sz w:val="18"/>
          <w:szCs w:val="18"/>
          <w:lang w:val="cs-CZ"/>
        </w:rPr>
        <w:t>.</w:t>
      </w:r>
    </w:p>
  </w:footnote>
  <w:footnote w:id="25">
    <w:p w:rsidR="00DA3BD9" w:rsidRPr="00845711" w:rsidRDefault="00DA3BD9" w:rsidP="002A3E8B">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 xml:space="preserve">Pravidla OPPA – podle </w:t>
      </w:r>
      <w:r w:rsidRPr="00A00DB0">
        <w:rPr>
          <w:rFonts w:ascii="Arial" w:hAnsi="Arial" w:cs="Arial"/>
          <w:sz w:val="18"/>
          <w:szCs w:val="18"/>
          <w:lang w:eastAsia="cs-CZ"/>
        </w:rPr>
        <w:t>usnesení Rady HMP č. 1611 ze dne 11. </w:t>
      </w:r>
      <w:r w:rsidRPr="00A00DB0">
        <w:rPr>
          <w:rFonts w:ascii="Arial" w:hAnsi="Arial" w:cs="Arial"/>
          <w:sz w:val="18"/>
          <w:szCs w:val="18"/>
          <w:lang w:val="cs-CZ" w:eastAsia="cs-CZ"/>
        </w:rPr>
        <w:t>listopadu</w:t>
      </w:r>
      <w:r w:rsidRPr="00A00DB0">
        <w:rPr>
          <w:rFonts w:ascii="Arial" w:hAnsi="Arial" w:cs="Arial"/>
          <w:sz w:val="18"/>
          <w:szCs w:val="18"/>
          <w:lang w:eastAsia="cs-CZ"/>
        </w:rPr>
        <w:t> 2008 jsou</w:t>
      </w:r>
      <w:r>
        <w:rPr>
          <w:rFonts w:ascii="Arial" w:hAnsi="Arial" w:cs="Arial"/>
          <w:sz w:val="18"/>
          <w:szCs w:val="18"/>
          <w:lang w:val="cs-CZ" w:eastAsia="cs-CZ"/>
        </w:rPr>
        <w:t xml:space="preserve"> tato pravidla</w:t>
      </w:r>
      <w:r w:rsidRPr="00A00DB0">
        <w:rPr>
          <w:rFonts w:ascii="Arial" w:hAnsi="Arial" w:cs="Arial"/>
          <w:sz w:val="18"/>
          <w:szCs w:val="18"/>
          <w:lang w:eastAsia="cs-CZ"/>
        </w:rPr>
        <w:t xml:space="preserve"> </w:t>
      </w:r>
      <w:r>
        <w:rPr>
          <w:rFonts w:ascii="Arial" w:hAnsi="Arial" w:cs="Arial"/>
          <w:sz w:val="18"/>
          <w:szCs w:val="18"/>
          <w:lang w:val="cs-CZ" w:eastAsia="cs-CZ"/>
        </w:rPr>
        <w:t>tvořena</w:t>
      </w:r>
      <w:r w:rsidRPr="00A00DB0">
        <w:rPr>
          <w:rFonts w:ascii="Arial" w:hAnsi="Arial" w:cs="Arial"/>
          <w:sz w:val="18"/>
          <w:szCs w:val="18"/>
          <w:lang w:eastAsia="cs-CZ"/>
        </w:rPr>
        <w:t xml:space="preserve"> </w:t>
      </w:r>
      <w:r w:rsidRPr="00224810">
        <w:rPr>
          <w:rFonts w:ascii="Arial" w:hAnsi="Arial" w:cs="Arial"/>
          <w:sz w:val="18"/>
          <w:szCs w:val="18"/>
          <w:lang w:val="cs-CZ" w:eastAsia="cs-CZ"/>
        </w:rPr>
        <w:t>operační</w:t>
      </w:r>
      <w:r w:rsidRPr="006C5877">
        <w:rPr>
          <w:rFonts w:ascii="Arial" w:hAnsi="Arial" w:cs="Arial"/>
          <w:sz w:val="18"/>
          <w:szCs w:val="18"/>
          <w:lang w:val="cs-CZ" w:eastAsia="cs-CZ"/>
        </w:rPr>
        <w:t>m manuálem OPPA, projektovou příručkou OPPA a rozhodnutím ředitele odboru fondů EU HMP.</w:t>
      </w:r>
    </w:p>
  </w:footnote>
  <w:footnote w:id="26">
    <w:p w:rsidR="00DA3BD9" w:rsidRPr="00A00DB0" w:rsidRDefault="00DA3BD9" w:rsidP="002A3E8B">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 xml:space="preserve">Projekt </w:t>
      </w:r>
      <w:r w:rsidRPr="00A00DB0">
        <w:rPr>
          <w:rFonts w:ascii="Arial" w:hAnsi="Arial" w:cs="Arial"/>
          <w:i/>
          <w:sz w:val="18"/>
          <w:szCs w:val="18"/>
        </w:rPr>
        <w:t>Systém dalšího vzdělávání v sociálních službách</w:t>
      </w:r>
      <w:r w:rsidRPr="00A00DB0">
        <w:rPr>
          <w:rFonts w:ascii="Arial" w:hAnsi="Arial" w:cs="Arial"/>
          <w:i/>
          <w:sz w:val="18"/>
          <w:szCs w:val="18"/>
          <w:lang w:val="cs-CZ"/>
        </w:rPr>
        <w:t>.</w:t>
      </w:r>
    </w:p>
  </w:footnote>
  <w:footnote w:id="27">
    <w:p w:rsidR="00DA3BD9" w:rsidRPr="00A00DB0" w:rsidRDefault="00DA3BD9" w:rsidP="006C5877">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lang w:val="cs-CZ"/>
        </w:rPr>
        <w:t xml:space="preserve"> </w:t>
      </w:r>
      <w:r>
        <w:rPr>
          <w:rFonts w:ascii="Arial" w:hAnsi="Arial" w:cs="Arial"/>
          <w:sz w:val="18"/>
          <w:szCs w:val="18"/>
          <w:lang w:val="cs-CZ"/>
        </w:rPr>
        <w:tab/>
      </w:r>
      <w:r w:rsidRPr="00A00DB0">
        <w:rPr>
          <w:rFonts w:ascii="Arial" w:hAnsi="Arial" w:cs="Arial"/>
          <w:sz w:val="18"/>
          <w:szCs w:val="18"/>
        </w:rPr>
        <w:t>§ 60 odst. 1 a § 78 odst. 4 zákona č. 137/2006 Sb.</w:t>
      </w:r>
      <w:r w:rsidRPr="00A00DB0">
        <w:rPr>
          <w:rFonts w:ascii="Arial" w:hAnsi="Arial" w:cs="Arial"/>
          <w:sz w:val="18"/>
          <w:szCs w:val="18"/>
          <w:lang w:val="cs-CZ"/>
        </w:rPr>
        <w:t>, o veřejných zakázkách.</w:t>
      </w:r>
    </w:p>
  </w:footnote>
  <w:footnote w:id="28">
    <w:p w:rsidR="00DA3BD9" w:rsidRPr="00A00DB0" w:rsidRDefault="00DA3BD9" w:rsidP="005A3003">
      <w:pPr>
        <w:pStyle w:val="Textpoznpodarou"/>
        <w:ind w:left="284" w:hanging="284"/>
        <w:rPr>
          <w:rFonts w:ascii="Arial" w:hAnsi="Arial" w:cs="Arial"/>
          <w:sz w:val="18"/>
          <w:szCs w:val="18"/>
        </w:rPr>
      </w:pPr>
      <w:r w:rsidRPr="00B57FA3">
        <w:rPr>
          <w:rStyle w:val="Znakapoznpodarou"/>
          <w:rFonts w:ascii="Arial" w:hAnsi="Arial" w:cs="Arial"/>
          <w:sz w:val="18"/>
          <w:szCs w:val="18"/>
        </w:rPr>
        <w:footnoteRef/>
      </w:r>
      <w:r w:rsidRPr="00B57FA3">
        <w:rPr>
          <w:rFonts w:ascii="Arial" w:hAnsi="Arial" w:cs="Arial"/>
          <w:sz w:val="18"/>
          <w:szCs w:val="18"/>
        </w:rPr>
        <w:t xml:space="preserve"> </w:t>
      </w:r>
      <w:r w:rsidRPr="00B57FA3">
        <w:rPr>
          <w:rFonts w:ascii="Arial" w:hAnsi="Arial" w:cs="Arial"/>
          <w:sz w:val="18"/>
          <w:szCs w:val="18"/>
          <w:lang w:val="cs-CZ"/>
        </w:rPr>
        <w:tab/>
      </w:r>
      <w:r w:rsidRPr="00A00DB0">
        <w:rPr>
          <w:rFonts w:ascii="Arial" w:hAnsi="Arial" w:cs="Arial"/>
          <w:sz w:val="18"/>
          <w:szCs w:val="18"/>
        </w:rPr>
        <w:t xml:space="preserve">Z 26 aktivit v rámci </w:t>
      </w:r>
      <w:r w:rsidRPr="00B57FA3">
        <w:rPr>
          <w:rFonts w:ascii="Arial" w:hAnsi="Arial" w:cs="Arial"/>
          <w:i/>
          <w:sz w:val="18"/>
          <w:szCs w:val="18"/>
          <w:shd w:val="clear" w:color="auto" w:fill="FFFFFF"/>
          <w:lang w:eastAsia="cs-CZ"/>
        </w:rPr>
        <w:t>Národního strategického referenčního rámce</w:t>
      </w:r>
      <w:r w:rsidRPr="00A00DB0">
        <w:rPr>
          <w:rFonts w:ascii="Arial" w:hAnsi="Arial" w:cs="Arial"/>
          <w:sz w:val="18"/>
          <w:szCs w:val="18"/>
        </w:rPr>
        <w:t xml:space="preserve"> (24 </w:t>
      </w:r>
      <w:r>
        <w:rPr>
          <w:rFonts w:ascii="Arial" w:hAnsi="Arial" w:cs="Arial"/>
          <w:sz w:val="18"/>
          <w:szCs w:val="18"/>
          <w:lang w:val="cs-CZ"/>
        </w:rPr>
        <w:t>operačních programů</w:t>
      </w:r>
      <w:r w:rsidRPr="00A00DB0">
        <w:rPr>
          <w:rFonts w:ascii="Arial" w:hAnsi="Arial" w:cs="Arial"/>
          <w:sz w:val="18"/>
          <w:szCs w:val="18"/>
        </w:rPr>
        <w:t xml:space="preserve"> a</w:t>
      </w:r>
      <w:r>
        <w:rPr>
          <w:rFonts w:ascii="Arial" w:hAnsi="Arial" w:cs="Arial"/>
          <w:sz w:val="18"/>
          <w:szCs w:val="18"/>
          <w:lang w:val="cs-CZ"/>
        </w:rPr>
        <w:t xml:space="preserve"> dva </w:t>
      </w:r>
      <w:r w:rsidRPr="00A00DB0">
        <w:rPr>
          <w:rFonts w:ascii="Arial" w:hAnsi="Arial" w:cs="Arial"/>
          <w:sz w:val="18"/>
          <w:szCs w:val="18"/>
        </w:rPr>
        <w:t xml:space="preserve">„síťové programy“) se 18 </w:t>
      </w:r>
      <w:r>
        <w:rPr>
          <w:rFonts w:ascii="Arial" w:hAnsi="Arial" w:cs="Arial"/>
          <w:sz w:val="18"/>
          <w:szCs w:val="18"/>
          <w:lang w:val="cs-CZ"/>
        </w:rPr>
        <w:t>operačních programů</w:t>
      </w:r>
      <w:r w:rsidRPr="00A00DB0">
        <w:rPr>
          <w:rFonts w:ascii="Arial" w:hAnsi="Arial" w:cs="Arial"/>
          <w:sz w:val="18"/>
          <w:szCs w:val="18"/>
        </w:rPr>
        <w:t xml:space="preserve"> nachází v gesci českých řídicích orgánů.</w:t>
      </w:r>
    </w:p>
  </w:footnote>
  <w:footnote w:id="29">
    <w:p w:rsidR="00DA3BD9" w:rsidRPr="00A00DB0" w:rsidRDefault="00DA3BD9" w:rsidP="005A3003">
      <w:pPr>
        <w:pStyle w:val="Textpoznpodarou"/>
        <w:ind w:left="284" w:hanging="284"/>
        <w:rPr>
          <w:rFonts w:ascii="Arial" w:hAnsi="Arial" w:cs="Arial"/>
          <w:sz w:val="18"/>
          <w:szCs w:val="18"/>
          <w:lang w:val="cs-CZ"/>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 xml:space="preserve">Měsíční monitorovací zpráva vydaná </w:t>
      </w:r>
      <w:r>
        <w:rPr>
          <w:rFonts w:ascii="Arial" w:hAnsi="Arial" w:cs="Arial"/>
          <w:sz w:val="18"/>
          <w:szCs w:val="18"/>
          <w:lang w:val="cs-CZ"/>
        </w:rPr>
        <w:t>v</w:t>
      </w:r>
      <w:r>
        <w:rPr>
          <w:rFonts w:ascii="Arial" w:hAnsi="Arial" w:cs="Arial"/>
          <w:sz w:val="18"/>
          <w:szCs w:val="18"/>
        </w:rPr>
        <w:t> </w:t>
      </w:r>
      <w:r w:rsidRPr="00A00DB0">
        <w:rPr>
          <w:rFonts w:ascii="Arial" w:hAnsi="Arial" w:cs="Arial"/>
          <w:sz w:val="18"/>
          <w:szCs w:val="18"/>
        </w:rPr>
        <w:t>prosinc</w:t>
      </w:r>
      <w:r>
        <w:rPr>
          <w:rFonts w:ascii="Arial" w:hAnsi="Arial" w:cs="Arial"/>
          <w:sz w:val="18"/>
          <w:szCs w:val="18"/>
          <w:lang w:val="cs-CZ"/>
        </w:rPr>
        <w:t xml:space="preserve">i </w:t>
      </w:r>
      <w:r w:rsidRPr="00A00DB0">
        <w:rPr>
          <w:rFonts w:ascii="Arial" w:hAnsi="Arial" w:cs="Arial"/>
          <w:sz w:val="18"/>
          <w:szCs w:val="18"/>
        </w:rPr>
        <w:t>201</w:t>
      </w:r>
      <w:r>
        <w:rPr>
          <w:rFonts w:ascii="Arial" w:hAnsi="Arial" w:cs="Arial"/>
          <w:sz w:val="18"/>
          <w:szCs w:val="18"/>
          <w:lang w:val="cs-CZ"/>
        </w:rPr>
        <w:t xml:space="preserve">1 </w:t>
      </w:r>
      <w:r w:rsidRPr="00A00DB0">
        <w:rPr>
          <w:rFonts w:ascii="Arial" w:hAnsi="Arial" w:cs="Arial"/>
          <w:sz w:val="18"/>
          <w:szCs w:val="18"/>
          <w:lang w:val="cs-CZ"/>
        </w:rPr>
        <w:t>Národním orgánem pro koordinaci</w:t>
      </w:r>
      <w:r>
        <w:rPr>
          <w:rFonts w:ascii="Arial" w:hAnsi="Arial" w:cs="Arial"/>
          <w:sz w:val="18"/>
          <w:szCs w:val="18"/>
          <w:lang w:val="cs-CZ"/>
        </w:rPr>
        <w:t xml:space="preserve"> (MMR)</w:t>
      </w:r>
      <w:r w:rsidRPr="00A00DB0">
        <w:rPr>
          <w:rFonts w:ascii="Arial" w:hAnsi="Arial" w:cs="Arial"/>
          <w:sz w:val="18"/>
          <w:szCs w:val="18"/>
          <w:lang w:val="cs-CZ"/>
        </w:rPr>
        <w:t>.</w:t>
      </w:r>
    </w:p>
  </w:footnote>
  <w:footnote w:id="30">
    <w:p w:rsidR="00DA3BD9" w:rsidRPr="00A00DB0" w:rsidRDefault="00DA3BD9" w:rsidP="00E10FAE">
      <w:pPr>
        <w:pStyle w:val="Textpoznpodarou"/>
        <w:ind w:left="284" w:hanging="284"/>
        <w:rPr>
          <w:rFonts w:ascii="Arial" w:hAnsi="Arial" w:cs="Arial"/>
          <w:i/>
          <w:sz w:val="18"/>
          <w:szCs w:val="18"/>
        </w:rPr>
      </w:pPr>
      <w:r w:rsidRPr="00A00DB0">
        <w:rPr>
          <w:rStyle w:val="Znakapoznpodarou"/>
          <w:rFonts w:ascii="Arial" w:hAnsi="Arial" w:cs="Arial"/>
          <w:sz w:val="18"/>
          <w:szCs w:val="18"/>
        </w:rPr>
        <w:footnoteRef/>
      </w:r>
      <w:r w:rsidRPr="00A00DB0">
        <w:rPr>
          <w:rFonts w:ascii="Arial" w:hAnsi="Arial" w:cs="Arial"/>
          <w:sz w:val="18"/>
          <w:szCs w:val="18"/>
        </w:rPr>
        <w:t xml:space="preserve"> </w:t>
      </w:r>
      <w:r w:rsidRPr="00A00DB0">
        <w:rPr>
          <w:rFonts w:ascii="Arial" w:hAnsi="Arial" w:cs="Arial"/>
          <w:sz w:val="18"/>
          <w:szCs w:val="18"/>
          <w:lang w:val="cs-CZ"/>
        </w:rPr>
        <w:tab/>
      </w:r>
      <w:r w:rsidRPr="00A00DB0">
        <w:rPr>
          <w:rFonts w:ascii="Arial" w:hAnsi="Arial" w:cs="Arial"/>
          <w:sz w:val="18"/>
          <w:szCs w:val="18"/>
        </w:rPr>
        <w:t xml:space="preserve">DG </w:t>
      </w:r>
      <w:proofErr w:type="spellStart"/>
      <w:r w:rsidRPr="00A00DB0">
        <w:rPr>
          <w:rFonts w:ascii="Arial" w:hAnsi="Arial" w:cs="Arial"/>
          <w:sz w:val="18"/>
          <w:szCs w:val="18"/>
        </w:rPr>
        <w:t>R</w:t>
      </w:r>
      <w:r>
        <w:rPr>
          <w:rFonts w:ascii="Arial" w:hAnsi="Arial" w:cs="Arial"/>
          <w:sz w:val="18"/>
          <w:szCs w:val="18"/>
          <w:lang w:val="cs-CZ"/>
        </w:rPr>
        <w:t>egio</w:t>
      </w:r>
      <w:proofErr w:type="spellEnd"/>
      <w:r w:rsidRPr="00A00DB0">
        <w:rPr>
          <w:rFonts w:ascii="Arial" w:hAnsi="Arial" w:cs="Arial"/>
          <w:sz w:val="18"/>
          <w:szCs w:val="18"/>
          <w:lang w:val="cs-CZ"/>
        </w:rPr>
        <w:t xml:space="preserve"> –</w:t>
      </w:r>
      <w:r w:rsidRPr="00A00DB0">
        <w:rPr>
          <w:rFonts w:ascii="Arial" w:hAnsi="Arial" w:cs="Arial"/>
          <w:sz w:val="18"/>
          <w:szCs w:val="18"/>
        </w:rPr>
        <w:t xml:space="preserve"> z anglického </w:t>
      </w:r>
      <w:proofErr w:type="spellStart"/>
      <w:r w:rsidRPr="00A00DB0">
        <w:rPr>
          <w:rFonts w:ascii="Arial" w:hAnsi="Arial" w:cs="Arial"/>
          <w:sz w:val="18"/>
          <w:szCs w:val="18"/>
        </w:rPr>
        <w:t>Directorate</w:t>
      </w:r>
      <w:proofErr w:type="spellEnd"/>
      <w:r>
        <w:rPr>
          <w:rFonts w:ascii="Arial" w:hAnsi="Arial" w:cs="Arial"/>
          <w:sz w:val="18"/>
          <w:szCs w:val="18"/>
          <w:lang w:val="cs-CZ"/>
        </w:rPr>
        <w:t xml:space="preserve"> </w:t>
      </w:r>
      <w:r w:rsidRPr="00A00DB0">
        <w:rPr>
          <w:rFonts w:ascii="Arial" w:hAnsi="Arial" w:cs="Arial"/>
          <w:sz w:val="18"/>
          <w:szCs w:val="18"/>
        </w:rPr>
        <w:t xml:space="preserve">General </w:t>
      </w:r>
      <w:proofErr w:type="spellStart"/>
      <w:r>
        <w:rPr>
          <w:rFonts w:ascii="Arial" w:hAnsi="Arial" w:cs="Arial"/>
          <w:sz w:val="18"/>
          <w:szCs w:val="18"/>
          <w:lang w:val="cs-CZ"/>
        </w:rPr>
        <w:t>for</w:t>
      </w:r>
      <w:proofErr w:type="spellEnd"/>
      <w:r>
        <w:rPr>
          <w:rFonts w:ascii="Arial" w:hAnsi="Arial" w:cs="Arial"/>
          <w:sz w:val="18"/>
          <w:szCs w:val="18"/>
          <w:lang w:val="cs-CZ"/>
        </w:rPr>
        <w:t xml:space="preserve"> </w:t>
      </w:r>
      <w:proofErr w:type="spellStart"/>
      <w:r w:rsidRPr="00A00DB0">
        <w:rPr>
          <w:rFonts w:ascii="Arial" w:hAnsi="Arial" w:cs="Arial"/>
          <w:sz w:val="18"/>
          <w:szCs w:val="18"/>
        </w:rPr>
        <w:t>Regional</w:t>
      </w:r>
      <w:proofErr w:type="spellEnd"/>
      <w:r w:rsidRPr="00A00DB0">
        <w:rPr>
          <w:rFonts w:ascii="Arial" w:hAnsi="Arial" w:cs="Arial"/>
          <w:sz w:val="18"/>
          <w:szCs w:val="18"/>
        </w:rPr>
        <w:t xml:space="preserve"> </w:t>
      </w:r>
      <w:proofErr w:type="spellStart"/>
      <w:r w:rsidRPr="00A00DB0">
        <w:rPr>
          <w:rFonts w:ascii="Arial" w:hAnsi="Arial" w:cs="Arial"/>
          <w:sz w:val="18"/>
          <w:szCs w:val="18"/>
        </w:rPr>
        <w:t>Policy</w:t>
      </w:r>
      <w:proofErr w:type="spellEnd"/>
      <w:r w:rsidRPr="00A00DB0">
        <w:rPr>
          <w:rFonts w:ascii="Arial" w:hAnsi="Arial" w:cs="Arial"/>
          <w:sz w:val="18"/>
          <w:szCs w:val="18"/>
        </w:rPr>
        <w:t xml:space="preserve"> (Generální ředitelství pro regionální politiku); </w:t>
      </w:r>
      <w:proofErr w:type="spellStart"/>
      <w:r w:rsidRPr="00A00DB0">
        <w:rPr>
          <w:rFonts w:ascii="Arial" w:hAnsi="Arial" w:cs="Arial"/>
          <w:sz w:val="18"/>
          <w:szCs w:val="18"/>
        </w:rPr>
        <w:t>Directorate</w:t>
      </w:r>
      <w:proofErr w:type="spellEnd"/>
      <w:r>
        <w:rPr>
          <w:rFonts w:ascii="Arial" w:hAnsi="Arial" w:cs="Arial"/>
          <w:sz w:val="18"/>
          <w:szCs w:val="18"/>
          <w:lang w:val="cs-CZ"/>
        </w:rPr>
        <w:t xml:space="preserve"> </w:t>
      </w:r>
      <w:r w:rsidRPr="00A00DB0">
        <w:rPr>
          <w:rFonts w:ascii="Arial" w:hAnsi="Arial" w:cs="Arial"/>
          <w:sz w:val="18"/>
          <w:szCs w:val="18"/>
        </w:rPr>
        <w:t>General</w:t>
      </w:r>
      <w:r w:rsidRPr="00DA3BD9">
        <w:rPr>
          <w:rFonts w:ascii="Arial" w:hAnsi="Arial" w:cs="Arial"/>
          <w:sz w:val="18"/>
          <w:szCs w:val="18"/>
          <w:lang w:val="cs-CZ"/>
        </w:rPr>
        <w:t xml:space="preserve"> </w:t>
      </w:r>
      <w:proofErr w:type="spellStart"/>
      <w:r w:rsidRPr="00DA3BD9">
        <w:rPr>
          <w:rFonts w:ascii="Arial" w:hAnsi="Arial" w:cs="Arial"/>
          <w:sz w:val="18"/>
          <w:szCs w:val="18"/>
          <w:lang w:val="cs-CZ"/>
        </w:rPr>
        <w:t>for</w:t>
      </w:r>
      <w:proofErr w:type="spellEnd"/>
      <w:r w:rsidRPr="00DA3BD9">
        <w:rPr>
          <w:rFonts w:ascii="Arial" w:hAnsi="Arial" w:cs="Arial"/>
          <w:sz w:val="18"/>
          <w:szCs w:val="18"/>
        </w:rPr>
        <w:t xml:space="preserve"> </w:t>
      </w:r>
      <w:proofErr w:type="spellStart"/>
      <w:r w:rsidRPr="00DA3BD9">
        <w:rPr>
          <w:rFonts w:ascii="Arial" w:hAnsi="Arial" w:cs="Arial"/>
          <w:sz w:val="18"/>
          <w:szCs w:val="18"/>
        </w:rPr>
        <w:t>Regional</w:t>
      </w:r>
      <w:proofErr w:type="spellEnd"/>
      <w:r w:rsidRPr="00DA3BD9">
        <w:rPr>
          <w:rFonts w:ascii="Arial" w:hAnsi="Arial" w:cs="Arial"/>
          <w:sz w:val="18"/>
          <w:szCs w:val="18"/>
        </w:rPr>
        <w:t xml:space="preserve"> </w:t>
      </w:r>
      <w:proofErr w:type="spellStart"/>
      <w:r w:rsidRPr="00DA3BD9">
        <w:rPr>
          <w:rFonts w:ascii="Arial" w:hAnsi="Arial" w:cs="Arial"/>
          <w:sz w:val="18"/>
          <w:szCs w:val="18"/>
        </w:rPr>
        <w:t>Policy</w:t>
      </w:r>
      <w:proofErr w:type="spellEnd"/>
      <w:r>
        <w:rPr>
          <w:rFonts w:ascii="Arial" w:hAnsi="Arial" w:cs="Arial"/>
          <w:sz w:val="18"/>
          <w:szCs w:val="18"/>
          <w:lang w:val="cs-CZ"/>
        </w:rPr>
        <w:t>:</w:t>
      </w:r>
      <w:r w:rsidRPr="00A00DB0">
        <w:rPr>
          <w:rFonts w:ascii="Arial" w:hAnsi="Arial" w:cs="Arial"/>
          <w:i/>
          <w:sz w:val="18"/>
          <w:szCs w:val="18"/>
        </w:rPr>
        <w:t xml:space="preserve"> </w:t>
      </w:r>
      <w:proofErr w:type="spellStart"/>
      <w:r w:rsidRPr="00A00DB0">
        <w:rPr>
          <w:rFonts w:ascii="Arial" w:hAnsi="Arial" w:cs="Arial"/>
          <w:i/>
          <w:sz w:val="18"/>
          <w:szCs w:val="18"/>
        </w:rPr>
        <w:t>Annual</w:t>
      </w:r>
      <w:proofErr w:type="spellEnd"/>
      <w:r w:rsidRPr="00A00DB0">
        <w:rPr>
          <w:rFonts w:ascii="Arial" w:hAnsi="Arial" w:cs="Arial"/>
          <w:i/>
          <w:sz w:val="18"/>
          <w:szCs w:val="18"/>
        </w:rPr>
        <w:t xml:space="preserve"> </w:t>
      </w:r>
      <w:proofErr w:type="spellStart"/>
      <w:r w:rsidRPr="00A00DB0">
        <w:rPr>
          <w:rFonts w:ascii="Arial" w:hAnsi="Arial" w:cs="Arial"/>
          <w:i/>
          <w:sz w:val="18"/>
          <w:szCs w:val="18"/>
        </w:rPr>
        <w:t>Activity</w:t>
      </w:r>
      <w:proofErr w:type="spellEnd"/>
      <w:r w:rsidRPr="00A00DB0">
        <w:rPr>
          <w:rFonts w:ascii="Arial" w:hAnsi="Arial" w:cs="Arial"/>
          <w:i/>
          <w:sz w:val="18"/>
          <w:szCs w:val="18"/>
        </w:rPr>
        <w:t xml:space="preserve"> Report</w:t>
      </w:r>
      <w:r>
        <w:rPr>
          <w:rFonts w:ascii="Arial" w:hAnsi="Arial" w:cs="Arial"/>
          <w:i/>
          <w:sz w:val="18"/>
          <w:szCs w:val="18"/>
          <w:lang w:val="cs-CZ"/>
        </w:rPr>
        <w:t xml:space="preserve"> </w:t>
      </w:r>
      <w:proofErr w:type="spellStart"/>
      <w:r>
        <w:rPr>
          <w:rFonts w:ascii="Arial" w:hAnsi="Arial" w:cs="Arial"/>
          <w:i/>
          <w:sz w:val="18"/>
          <w:szCs w:val="18"/>
          <w:lang w:val="cs-CZ"/>
        </w:rPr>
        <w:t>for</w:t>
      </w:r>
      <w:proofErr w:type="spellEnd"/>
      <w:r>
        <w:rPr>
          <w:rFonts w:ascii="Arial" w:hAnsi="Arial" w:cs="Arial"/>
          <w:i/>
          <w:sz w:val="18"/>
          <w:szCs w:val="18"/>
          <w:lang w:val="cs-CZ"/>
        </w:rPr>
        <w:t xml:space="preserve"> </w:t>
      </w:r>
      <w:proofErr w:type="spellStart"/>
      <w:r>
        <w:rPr>
          <w:rFonts w:ascii="Arial" w:hAnsi="Arial" w:cs="Arial"/>
          <w:i/>
          <w:sz w:val="18"/>
          <w:szCs w:val="18"/>
          <w:lang w:val="cs-CZ"/>
        </w:rPr>
        <w:t>the</w:t>
      </w:r>
      <w:proofErr w:type="spellEnd"/>
      <w:r>
        <w:rPr>
          <w:rFonts w:ascii="Arial" w:hAnsi="Arial" w:cs="Arial"/>
          <w:i/>
          <w:sz w:val="18"/>
          <w:szCs w:val="18"/>
          <w:lang w:val="cs-CZ"/>
        </w:rPr>
        <w:t xml:space="preserve"> </w:t>
      </w:r>
      <w:proofErr w:type="spellStart"/>
      <w:r>
        <w:rPr>
          <w:rFonts w:ascii="Arial" w:hAnsi="Arial" w:cs="Arial"/>
          <w:i/>
          <w:sz w:val="18"/>
          <w:szCs w:val="18"/>
          <w:lang w:val="cs-CZ"/>
        </w:rPr>
        <w:t>year</w:t>
      </w:r>
      <w:proofErr w:type="spellEnd"/>
      <w:r>
        <w:rPr>
          <w:rFonts w:ascii="Arial" w:hAnsi="Arial" w:cs="Arial"/>
          <w:i/>
          <w:sz w:val="18"/>
          <w:szCs w:val="18"/>
          <w:lang w:val="cs-CZ"/>
        </w:rPr>
        <w:t xml:space="preserve"> 2010</w:t>
      </w:r>
      <w:r w:rsidRPr="00A00DB0">
        <w:rPr>
          <w:rFonts w:ascii="Arial" w:hAnsi="Arial" w:cs="Arial"/>
          <w:i/>
          <w:sz w:val="18"/>
          <w:szCs w:val="18"/>
          <w:lang w:val="cs-CZ"/>
        </w:rPr>
        <w:t>.</w:t>
      </w:r>
      <w:r w:rsidRPr="00A00DB0">
        <w:rPr>
          <w:rFonts w:ascii="Arial" w:hAnsi="Arial" w:cs="Arial"/>
          <w: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7B6"/>
    <w:multiLevelType w:val="hybridMultilevel"/>
    <w:tmpl w:val="6B982D4E"/>
    <w:lvl w:ilvl="0" w:tplc="44EED74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4A409E"/>
    <w:multiLevelType w:val="hybridMultilevel"/>
    <w:tmpl w:val="FE221390"/>
    <w:lvl w:ilvl="0" w:tplc="C77ED64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FC68D3"/>
    <w:multiLevelType w:val="hybridMultilevel"/>
    <w:tmpl w:val="563A7F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BC48A1"/>
    <w:multiLevelType w:val="hybridMultilevel"/>
    <w:tmpl w:val="0DD648F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7C4CC2"/>
    <w:multiLevelType w:val="hybridMultilevel"/>
    <w:tmpl w:val="DFD6B40E"/>
    <w:lvl w:ilvl="0" w:tplc="5324F6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20531C"/>
    <w:multiLevelType w:val="hybridMultilevel"/>
    <w:tmpl w:val="31AE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3166F0F"/>
    <w:multiLevelType w:val="hybridMultilevel"/>
    <w:tmpl w:val="564E6C9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8982B02"/>
    <w:multiLevelType w:val="hybridMultilevel"/>
    <w:tmpl w:val="7B201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7617F7"/>
    <w:multiLevelType w:val="hybridMultilevel"/>
    <w:tmpl w:val="E190C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D3D53B3"/>
    <w:multiLevelType w:val="hybridMultilevel"/>
    <w:tmpl w:val="5E124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2"/>
  </w:num>
  <w:num w:numId="6">
    <w:abstractNumId w:val="6"/>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BF"/>
    <w:rsid w:val="000338DA"/>
    <w:rsid w:val="00037CAB"/>
    <w:rsid w:val="000476F2"/>
    <w:rsid w:val="000539DE"/>
    <w:rsid w:val="00062DF7"/>
    <w:rsid w:val="00071535"/>
    <w:rsid w:val="000728C9"/>
    <w:rsid w:val="000739C6"/>
    <w:rsid w:val="00074183"/>
    <w:rsid w:val="0007568E"/>
    <w:rsid w:val="0007717C"/>
    <w:rsid w:val="0008376A"/>
    <w:rsid w:val="0009388E"/>
    <w:rsid w:val="000C1C82"/>
    <w:rsid w:val="000D049B"/>
    <w:rsid w:val="000D301A"/>
    <w:rsid w:val="000D7C1F"/>
    <w:rsid w:val="0011375D"/>
    <w:rsid w:val="00141D8A"/>
    <w:rsid w:val="00160494"/>
    <w:rsid w:val="00164E54"/>
    <w:rsid w:val="001658CD"/>
    <w:rsid w:val="00166A2B"/>
    <w:rsid w:val="00174218"/>
    <w:rsid w:val="00187279"/>
    <w:rsid w:val="001A0C8A"/>
    <w:rsid w:val="001A3181"/>
    <w:rsid w:val="001B047F"/>
    <w:rsid w:val="001D1B8A"/>
    <w:rsid w:val="001E2942"/>
    <w:rsid w:val="001E70F2"/>
    <w:rsid w:val="001F264F"/>
    <w:rsid w:val="002119D6"/>
    <w:rsid w:val="00224810"/>
    <w:rsid w:val="00225927"/>
    <w:rsid w:val="00244049"/>
    <w:rsid w:val="00267025"/>
    <w:rsid w:val="00274ABD"/>
    <w:rsid w:val="00276F18"/>
    <w:rsid w:val="00290018"/>
    <w:rsid w:val="002979C6"/>
    <w:rsid w:val="002A3247"/>
    <w:rsid w:val="002A3E8B"/>
    <w:rsid w:val="002C3FAD"/>
    <w:rsid w:val="002C6055"/>
    <w:rsid w:val="002E6ED5"/>
    <w:rsid w:val="002F0BC3"/>
    <w:rsid w:val="002F0F54"/>
    <w:rsid w:val="002F7B8E"/>
    <w:rsid w:val="002F7DE4"/>
    <w:rsid w:val="00313874"/>
    <w:rsid w:val="00327582"/>
    <w:rsid w:val="003314F9"/>
    <w:rsid w:val="00337EB1"/>
    <w:rsid w:val="003513B8"/>
    <w:rsid w:val="003618B5"/>
    <w:rsid w:val="00365246"/>
    <w:rsid w:val="00381713"/>
    <w:rsid w:val="00383DDE"/>
    <w:rsid w:val="003A3C44"/>
    <w:rsid w:val="003A63D6"/>
    <w:rsid w:val="003C50A2"/>
    <w:rsid w:val="00417628"/>
    <w:rsid w:val="00424B4F"/>
    <w:rsid w:val="00430CFE"/>
    <w:rsid w:val="0044083F"/>
    <w:rsid w:val="00452E58"/>
    <w:rsid w:val="00470C72"/>
    <w:rsid w:val="00482DD5"/>
    <w:rsid w:val="00487752"/>
    <w:rsid w:val="004951F5"/>
    <w:rsid w:val="00495D7B"/>
    <w:rsid w:val="004A4354"/>
    <w:rsid w:val="004B15CF"/>
    <w:rsid w:val="004B543B"/>
    <w:rsid w:val="004B69E3"/>
    <w:rsid w:val="004F241C"/>
    <w:rsid w:val="004F6ABF"/>
    <w:rsid w:val="0050083F"/>
    <w:rsid w:val="0050662D"/>
    <w:rsid w:val="005215FC"/>
    <w:rsid w:val="00526F38"/>
    <w:rsid w:val="005278CC"/>
    <w:rsid w:val="00535CFE"/>
    <w:rsid w:val="005430A6"/>
    <w:rsid w:val="00547BA8"/>
    <w:rsid w:val="0055158B"/>
    <w:rsid w:val="005708E8"/>
    <w:rsid w:val="00580FFF"/>
    <w:rsid w:val="00586CAE"/>
    <w:rsid w:val="005A2128"/>
    <w:rsid w:val="005A3003"/>
    <w:rsid w:val="005A77DD"/>
    <w:rsid w:val="005C0CD1"/>
    <w:rsid w:val="005C40BA"/>
    <w:rsid w:val="005D6155"/>
    <w:rsid w:val="005D6B7E"/>
    <w:rsid w:val="005E086A"/>
    <w:rsid w:val="005E29BC"/>
    <w:rsid w:val="005F7192"/>
    <w:rsid w:val="00602ECD"/>
    <w:rsid w:val="00604155"/>
    <w:rsid w:val="00605268"/>
    <w:rsid w:val="00620629"/>
    <w:rsid w:val="00624F44"/>
    <w:rsid w:val="00632EB5"/>
    <w:rsid w:val="00634143"/>
    <w:rsid w:val="00644C00"/>
    <w:rsid w:val="00645171"/>
    <w:rsid w:val="00657A0D"/>
    <w:rsid w:val="00664741"/>
    <w:rsid w:val="006750A8"/>
    <w:rsid w:val="006A5116"/>
    <w:rsid w:val="006B1862"/>
    <w:rsid w:val="006B2FBD"/>
    <w:rsid w:val="006C5877"/>
    <w:rsid w:val="006F145F"/>
    <w:rsid w:val="006F4C14"/>
    <w:rsid w:val="007027D3"/>
    <w:rsid w:val="00702E89"/>
    <w:rsid w:val="007156D1"/>
    <w:rsid w:val="007210A6"/>
    <w:rsid w:val="007221B7"/>
    <w:rsid w:val="007243E3"/>
    <w:rsid w:val="0073448E"/>
    <w:rsid w:val="00741CA7"/>
    <w:rsid w:val="007467E6"/>
    <w:rsid w:val="00773A49"/>
    <w:rsid w:val="00777A92"/>
    <w:rsid w:val="007A3DD7"/>
    <w:rsid w:val="007A697E"/>
    <w:rsid w:val="007A737B"/>
    <w:rsid w:val="007B2256"/>
    <w:rsid w:val="007C11B5"/>
    <w:rsid w:val="007C2820"/>
    <w:rsid w:val="007D53F2"/>
    <w:rsid w:val="007E03AC"/>
    <w:rsid w:val="007E12DC"/>
    <w:rsid w:val="007E7B5A"/>
    <w:rsid w:val="007F48CA"/>
    <w:rsid w:val="008017C2"/>
    <w:rsid w:val="008200BA"/>
    <w:rsid w:val="00827810"/>
    <w:rsid w:val="00827BE6"/>
    <w:rsid w:val="008324EA"/>
    <w:rsid w:val="008404E3"/>
    <w:rsid w:val="0084073F"/>
    <w:rsid w:val="00843D52"/>
    <w:rsid w:val="0084414D"/>
    <w:rsid w:val="00845711"/>
    <w:rsid w:val="00862017"/>
    <w:rsid w:val="008627E3"/>
    <w:rsid w:val="0086787E"/>
    <w:rsid w:val="0088248F"/>
    <w:rsid w:val="008914E1"/>
    <w:rsid w:val="00897211"/>
    <w:rsid w:val="008A3FEE"/>
    <w:rsid w:val="008D3F8E"/>
    <w:rsid w:val="008D6843"/>
    <w:rsid w:val="008E229D"/>
    <w:rsid w:val="008E4379"/>
    <w:rsid w:val="008E5793"/>
    <w:rsid w:val="008F145A"/>
    <w:rsid w:val="0090467B"/>
    <w:rsid w:val="00913787"/>
    <w:rsid w:val="009216C7"/>
    <w:rsid w:val="00943A03"/>
    <w:rsid w:val="00955E8B"/>
    <w:rsid w:val="00985D8E"/>
    <w:rsid w:val="009A171F"/>
    <w:rsid w:val="009A489C"/>
    <w:rsid w:val="009B251B"/>
    <w:rsid w:val="009B257E"/>
    <w:rsid w:val="009E30DC"/>
    <w:rsid w:val="009F5ED5"/>
    <w:rsid w:val="00A0081B"/>
    <w:rsid w:val="00A00DB0"/>
    <w:rsid w:val="00A068E0"/>
    <w:rsid w:val="00A23DCD"/>
    <w:rsid w:val="00A26F37"/>
    <w:rsid w:val="00A304E2"/>
    <w:rsid w:val="00A30910"/>
    <w:rsid w:val="00A36CFA"/>
    <w:rsid w:val="00A44883"/>
    <w:rsid w:val="00A45CFF"/>
    <w:rsid w:val="00A516BC"/>
    <w:rsid w:val="00A62419"/>
    <w:rsid w:val="00A65EC5"/>
    <w:rsid w:val="00A70A19"/>
    <w:rsid w:val="00A778CE"/>
    <w:rsid w:val="00A84E6E"/>
    <w:rsid w:val="00A871C3"/>
    <w:rsid w:val="00A87FD9"/>
    <w:rsid w:val="00A94606"/>
    <w:rsid w:val="00AA456D"/>
    <w:rsid w:val="00AA7D59"/>
    <w:rsid w:val="00AC7216"/>
    <w:rsid w:val="00AD5503"/>
    <w:rsid w:val="00AE3735"/>
    <w:rsid w:val="00AF43BE"/>
    <w:rsid w:val="00B07309"/>
    <w:rsid w:val="00B10B14"/>
    <w:rsid w:val="00B1411D"/>
    <w:rsid w:val="00B21AC9"/>
    <w:rsid w:val="00B27E3D"/>
    <w:rsid w:val="00B4243D"/>
    <w:rsid w:val="00B57FA3"/>
    <w:rsid w:val="00B64665"/>
    <w:rsid w:val="00B751C8"/>
    <w:rsid w:val="00B7554C"/>
    <w:rsid w:val="00B7723D"/>
    <w:rsid w:val="00B97BBC"/>
    <w:rsid w:val="00BB28B8"/>
    <w:rsid w:val="00BB6A46"/>
    <w:rsid w:val="00BD4D53"/>
    <w:rsid w:val="00BE1B6D"/>
    <w:rsid w:val="00BE36C6"/>
    <w:rsid w:val="00C045EC"/>
    <w:rsid w:val="00C1065C"/>
    <w:rsid w:val="00C112BF"/>
    <w:rsid w:val="00C17611"/>
    <w:rsid w:val="00C25550"/>
    <w:rsid w:val="00C309EF"/>
    <w:rsid w:val="00C31AC5"/>
    <w:rsid w:val="00C35069"/>
    <w:rsid w:val="00C36893"/>
    <w:rsid w:val="00C40A05"/>
    <w:rsid w:val="00C51803"/>
    <w:rsid w:val="00C527BA"/>
    <w:rsid w:val="00C530E2"/>
    <w:rsid w:val="00C61544"/>
    <w:rsid w:val="00C62936"/>
    <w:rsid w:val="00C75103"/>
    <w:rsid w:val="00C76C6D"/>
    <w:rsid w:val="00C81416"/>
    <w:rsid w:val="00C82743"/>
    <w:rsid w:val="00C92A30"/>
    <w:rsid w:val="00C934CE"/>
    <w:rsid w:val="00CA55E3"/>
    <w:rsid w:val="00CB62AF"/>
    <w:rsid w:val="00CC5742"/>
    <w:rsid w:val="00CD238C"/>
    <w:rsid w:val="00CF07DE"/>
    <w:rsid w:val="00CF182F"/>
    <w:rsid w:val="00CF1A45"/>
    <w:rsid w:val="00CF1EA6"/>
    <w:rsid w:val="00D05DB2"/>
    <w:rsid w:val="00D2622D"/>
    <w:rsid w:val="00D278AD"/>
    <w:rsid w:val="00D27F75"/>
    <w:rsid w:val="00D323BD"/>
    <w:rsid w:val="00D34C1A"/>
    <w:rsid w:val="00D45646"/>
    <w:rsid w:val="00D70D8F"/>
    <w:rsid w:val="00D71AA7"/>
    <w:rsid w:val="00D9351D"/>
    <w:rsid w:val="00DA1D31"/>
    <w:rsid w:val="00DA368A"/>
    <w:rsid w:val="00DA3BD9"/>
    <w:rsid w:val="00DB49EC"/>
    <w:rsid w:val="00DD5CA5"/>
    <w:rsid w:val="00DE025F"/>
    <w:rsid w:val="00DE11C6"/>
    <w:rsid w:val="00DE22D3"/>
    <w:rsid w:val="00DF63A1"/>
    <w:rsid w:val="00DF6E5F"/>
    <w:rsid w:val="00E10F7B"/>
    <w:rsid w:val="00E10FAE"/>
    <w:rsid w:val="00E12435"/>
    <w:rsid w:val="00E16D88"/>
    <w:rsid w:val="00E316DA"/>
    <w:rsid w:val="00E47B92"/>
    <w:rsid w:val="00E556E9"/>
    <w:rsid w:val="00E56832"/>
    <w:rsid w:val="00E75945"/>
    <w:rsid w:val="00E939BC"/>
    <w:rsid w:val="00EA5452"/>
    <w:rsid w:val="00EB7332"/>
    <w:rsid w:val="00EF4053"/>
    <w:rsid w:val="00F05C64"/>
    <w:rsid w:val="00F06AF6"/>
    <w:rsid w:val="00F075A1"/>
    <w:rsid w:val="00F177FA"/>
    <w:rsid w:val="00F2190C"/>
    <w:rsid w:val="00F3328A"/>
    <w:rsid w:val="00F85B9C"/>
    <w:rsid w:val="00FA13BB"/>
    <w:rsid w:val="00FA5480"/>
    <w:rsid w:val="00FD1595"/>
    <w:rsid w:val="00FD7476"/>
    <w:rsid w:val="00FE493E"/>
    <w:rsid w:val="00FE5779"/>
    <w:rsid w:val="00FE5B2E"/>
    <w:rsid w:val="00FF2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2BF"/>
    <w:rPr>
      <w:rFonts w:ascii="Arial" w:eastAsia="Times New Roman" w:hAnsi="Arial"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112BF"/>
    <w:pPr>
      <w:jc w:val="center"/>
    </w:pPr>
    <w:rPr>
      <w:rFonts w:ascii="Times New Roman" w:hAnsi="Times New Roman"/>
      <w:b/>
      <w:sz w:val="24"/>
      <w:szCs w:val="20"/>
      <w:lang w:val="x-none" w:eastAsia="cs-CZ"/>
    </w:rPr>
  </w:style>
  <w:style w:type="character" w:customStyle="1" w:styleId="NzevChar">
    <w:name w:val="Název Char"/>
    <w:basedOn w:val="Standardnpsmoodstavce"/>
    <w:link w:val="Nzev"/>
    <w:rsid w:val="00C112BF"/>
    <w:rPr>
      <w:rFonts w:ascii="Times New Roman" w:eastAsia="Times New Roman" w:hAnsi="Times New Roman" w:cs="Times New Roman"/>
      <w:b/>
      <w:sz w:val="24"/>
      <w:szCs w:val="20"/>
      <w:lang w:val="x-none" w:eastAsia="cs-CZ"/>
    </w:rPr>
  </w:style>
  <w:style w:type="paragraph" w:styleId="Zkladntext">
    <w:name w:val="Body Text"/>
    <w:aliases w:val="Standard paragraph,Body Text1,b,block style,?????1"/>
    <w:basedOn w:val="Normln"/>
    <w:link w:val="ZkladntextChar"/>
    <w:semiHidden/>
    <w:rsid w:val="00C112BF"/>
    <w:rPr>
      <w:rFonts w:ascii="Times New Roman" w:hAnsi="Times New Roman"/>
      <w:sz w:val="24"/>
      <w:szCs w:val="20"/>
      <w:lang w:val="x-none" w:eastAsia="cs-CZ"/>
    </w:rPr>
  </w:style>
  <w:style w:type="character" w:customStyle="1" w:styleId="ZkladntextChar">
    <w:name w:val="Základní text Char"/>
    <w:aliases w:val="Standard paragraph Char,Body Text1 Char,b Char,block style Char,?????1 Char"/>
    <w:basedOn w:val="Standardnpsmoodstavce"/>
    <w:link w:val="Zkladntext"/>
    <w:semiHidden/>
    <w:rsid w:val="00C112BF"/>
    <w:rPr>
      <w:rFonts w:ascii="Times New Roman" w:eastAsia="Times New Roman" w:hAnsi="Times New Roman" w:cs="Times New Roman"/>
      <w:sz w:val="24"/>
      <w:szCs w:val="20"/>
      <w:lang w:val="x-none" w:eastAsia="cs-CZ"/>
    </w:rPr>
  </w:style>
  <w:style w:type="paragraph" w:customStyle="1" w:styleId="NormlnKZ">
    <w:name w:val="Normální KZ"/>
    <w:basedOn w:val="Normln"/>
    <w:rsid w:val="00C112BF"/>
    <w:pPr>
      <w:spacing w:after="120"/>
      <w:ind w:firstLine="425"/>
    </w:pPr>
    <w:rPr>
      <w:lang w:eastAsia="cs-CZ"/>
    </w:rPr>
  </w:style>
  <w:style w:type="paragraph" w:customStyle="1" w:styleId="Pa10">
    <w:name w:val="Pa10"/>
    <w:basedOn w:val="Normln"/>
    <w:next w:val="Normln"/>
    <w:rsid w:val="00C112BF"/>
    <w:pPr>
      <w:autoSpaceDE w:val="0"/>
      <w:autoSpaceDN w:val="0"/>
      <w:adjustRightInd w:val="0"/>
      <w:spacing w:before="360" w:after="100" w:line="281" w:lineRule="atLeast"/>
    </w:pPr>
    <w:rPr>
      <w:rFonts w:cs="Arial"/>
      <w:lang w:val="en-US"/>
    </w:rPr>
  </w:style>
  <w:style w:type="paragraph" w:styleId="Odstavecseseznamem">
    <w:name w:val="List Paragraph"/>
    <w:basedOn w:val="Normln"/>
    <w:link w:val="OdstavecseseznamemChar"/>
    <w:uiPriority w:val="34"/>
    <w:qFormat/>
    <w:rsid w:val="00C112BF"/>
    <w:pPr>
      <w:ind w:left="720"/>
      <w:contextualSpacing/>
    </w:pPr>
    <w:rPr>
      <w:lang w:val="x-none"/>
    </w:rPr>
  </w:style>
  <w:style w:type="paragraph" w:styleId="Textpoznpodarou">
    <w:name w:val="footnote text"/>
    <w:aliases w:val="Text poznámky pod čiarou 007,Footnote,pozn. pod čarou,Schriftart: 9 pt,Schriftart: 10 pt,Schriftart: 8 pt,Podrozdział,Podrozdzia3"/>
    <w:basedOn w:val="Normln"/>
    <w:link w:val="TextpoznpodarouChar"/>
    <w:uiPriority w:val="99"/>
    <w:semiHidden/>
    <w:unhideWhenUsed/>
    <w:rsid w:val="00C112BF"/>
    <w:rPr>
      <w:rFonts w:ascii="Times New Roman" w:hAnsi="Times New Roman"/>
      <w:sz w:val="20"/>
      <w:szCs w:val="20"/>
      <w:lang w:val="x-none"/>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
    <w:basedOn w:val="Standardnpsmoodstavce"/>
    <w:link w:val="Textpoznpodarou"/>
    <w:uiPriority w:val="99"/>
    <w:semiHidden/>
    <w:rsid w:val="00C112BF"/>
    <w:rPr>
      <w:rFonts w:ascii="Times New Roman" w:eastAsia="Times New Roman" w:hAnsi="Times New Roman" w:cs="Times New Roman"/>
      <w:sz w:val="20"/>
      <w:szCs w:val="20"/>
      <w:lang w:val="x-none"/>
    </w:rPr>
  </w:style>
  <w:style w:type="character" w:styleId="Znakapoznpodarou">
    <w:name w:val="footnote reference"/>
    <w:aliases w:val="PGI Fußnote Ziffer"/>
    <w:uiPriority w:val="99"/>
    <w:unhideWhenUsed/>
    <w:rsid w:val="00C112BF"/>
    <w:rPr>
      <w:vertAlign w:val="superscript"/>
    </w:rPr>
  </w:style>
  <w:style w:type="character" w:customStyle="1" w:styleId="OdstavecseseznamemChar">
    <w:name w:val="Odstavec se seznamem Char"/>
    <w:link w:val="Odstavecseseznamem"/>
    <w:uiPriority w:val="34"/>
    <w:rsid w:val="00C112BF"/>
    <w:rPr>
      <w:rFonts w:ascii="Arial" w:eastAsia="Times New Roman" w:hAnsi="Arial" w:cs="Times New Roman"/>
      <w:szCs w:val="24"/>
      <w:lang w:val="x-none"/>
    </w:rPr>
  </w:style>
  <w:style w:type="paragraph" w:customStyle="1" w:styleId="poznmkapodarou">
    <w:name w:val="poznámka pod čarou"/>
    <w:basedOn w:val="Textpoznpodarou"/>
    <w:link w:val="poznmkapodarouChar"/>
    <w:qFormat/>
    <w:rsid w:val="00C112BF"/>
    <w:pPr>
      <w:tabs>
        <w:tab w:val="left" w:pos="284"/>
      </w:tabs>
      <w:ind w:left="284" w:hanging="284"/>
    </w:pPr>
    <w:rPr>
      <w:rFonts w:ascii="Arial" w:hAnsi="Arial"/>
      <w:sz w:val="18"/>
    </w:rPr>
  </w:style>
  <w:style w:type="character" w:customStyle="1" w:styleId="poznmkapodarouChar">
    <w:name w:val="poznámka pod čarou Char"/>
    <w:link w:val="poznmkapodarou"/>
    <w:rsid w:val="00C112BF"/>
    <w:rPr>
      <w:rFonts w:ascii="Arial" w:eastAsia="Times New Roman" w:hAnsi="Arial" w:cs="Times New Roman"/>
      <w:sz w:val="18"/>
      <w:szCs w:val="20"/>
      <w:lang w:val="x-none"/>
    </w:rPr>
  </w:style>
  <w:style w:type="paragraph" w:customStyle="1" w:styleId="Styl1">
    <w:name w:val="Styl1"/>
    <w:basedOn w:val="Normln"/>
    <w:link w:val="Styl1Char"/>
    <w:qFormat/>
    <w:rsid w:val="00C112BF"/>
    <w:pPr>
      <w:spacing w:after="120" w:line="276" w:lineRule="auto"/>
    </w:pPr>
    <w:rPr>
      <w:szCs w:val="22"/>
      <w:lang w:val="x-none"/>
    </w:rPr>
  </w:style>
  <w:style w:type="character" w:customStyle="1" w:styleId="Styl1Char">
    <w:name w:val="Styl1 Char"/>
    <w:link w:val="Styl1"/>
    <w:rsid w:val="00C112BF"/>
    <w:rPr>
      <w:rFonts w:ascii="Arial" w:eastAsia="Times New Roman" w:hAnsi="Arial" w:cs="Times New Roman"/>
      <w:lang w:val="x-none"/>
    </w:rPr>
  </w:style>
  <w:style w:type="paragraph" w:customStyle="1" w:styleId="KP-normlntext">
    <w:name w:val="KP-normální text"/>
    <w:basedOn w:val="Normln"/>
    <w:link w:val="KP-normlntextChar"/>
    <w:qFormat/>
    <w:rsid w:val="00C112BF"/>
    <w:pPr>
      <w:spacing w:before="120" w:after="120"/>
      <w:ind w:firstLine="720"/>
    </w:pPr>
    <w:rPr>
      <w:color w:val="000000"/>
      <w:szCs w:val="22"/>
      <w:lang w:val="x-none"/>
    </w:rPr>
  </w:style>
  <w:style w:type="character" w:customStyle="1" w:styleId="KP-normlntextChar">
    <w:name w:val="KP-normální text Char"/>
    <w:link w:val="KP-normlntext"/>
    <w:rsid w:val="00C112BF"/>
    <w:rPr>
      <w:rFonts w:ascii="Arial" w:eastAsia="Times New Roman" w:hAnsi="Arial" w:cs="Times New Roman"/>
      <w:color w:val="000000"/>
      <w:lang w:val="x-none"/>
    </w:rPr>
  </w:style>
  <w:style w:type="paragraph" w:customStyle="1" w:styleId="Zkladntext2">
    <w:name w:val="Z‡kladn’ text 2"/>
    <w:basedOn w:val="Normln"/>
    <w:rsid w:val="004B543B"/>
    <w:pPr>
      <w:overflowPunct w:val="0"/>
      <w:autoSpaceDE w:val="0"/>
      <w:autoSpaceDN w:val="0"/>
      <w:adjustRightInd w:val="0"/>
      <w:spacing w:after="120"/>
      <w:textAlignment w:val="baseline"/>
    </w:pPr>
    <w:rPr>
      <w:szCs w:val="20"/>
      <w:lang w:eastAsia="cs-CZ"/>
    </w:rPr>
  </w:style>
  <w:style w:type="paragraph" w:styleId="Zkladntext3">
    <w:name w:val="Body Text 3"/>
    <w:basedOn w:val="Normln"/>
    <w:link w:val="Zkladntext3Char"/>
    <w:uiPriority w:val="99"/>
    <w:semiHidden/>
    <w:unhideWhenUsed/>
    <w:rsid w:val="00C82743"/>
    <w:pPr>
      <w:spacing w:after="120"/>
    </w:pPr>
    <w:rPr>
      <w:sz w:val="16"/>
      <w:szCs w:val="16"/>
    </w:rPr>
  </w:style>
  <w:style w:type="character" w:customStyle="1" w:styleId="Zkladntext3Char">
    <w:name w:val="Základní text 3 Char"/>
    <w:basedOn w:val="Standardnpsmoodstavce"/>
    <w:link w:val="Zkladntext3"/>
    <w:uiPriority w:val="99"/>
    <w:semiHidden/>
    <w:rsid w:val="00C82743"/>
    <w:rPr>
      <w:rFonts w:ascii="Arial" w:eastAsia="Times New Roman" w:hAnsi="Arial" w:cs="Times New Roman"/>
      <w:sz w:val="16"/>
      <w:szCs w:val="16"/>
    </w:rPr>
  </w:style>
  <w:style w:type="paragraph" w:customStyle="1" w:styleId="normln0">
    <w:name w:val="normální"/>
    <w:basedOn w:val="Normln"/>
    <w:rsid w:val="00B27E3D"/>
    <w:rPr>
      <w:rFonts w:ascii="Times New Roman" w:hAnsi="Times New Roman"/>
      <w:sz w:val="24"/>
      <w:szCs w:val="20"/>
      <w:lang w:eastAsia="cs-CZ"/>
    </w:rPr>
  </w:style>
  <w:style w:type="paragraph" w:styleId="Zhlav">
    <w:name w:val="header"/>
    <w:basedOn w:val="Normln"/>
    <w:link w:val="ZhlavChar"/>
    <w:uiPriority w:val="99"/>
    <w:unhideWhenUsed/>
    <w:rsid w:val="00062DF7"/>
    <w:pPr>
      <w:tabs>
        <w:tab w:val="center" w:pos="4536"/>
        <w:tab w:val="right" w:pos="9072"/>
      </w:tabs>
    </w:pPr>
  </w:style>
  <w:style w:type="character" w:customStyle="1" w:styleId="ZhlavChar">
    <w:name w:val="Záhlaví Char"/>
    <w:basedOn w:val="Standardnpsmoodstavce"/>
    <w:link w:val="Zhlav"/>
    <w:uiPriority w:val="99"/>
    <w:rsid w:val="00062DF7"/>
    <w:rPr>
      <w:rFonts w:ascii="Arial" w:eastAsia="Times New Roman" w:hAnsi="Arial" w:cs="Times New Roman"/>
      <w:szCs w:val="24"/>
    </w:rPr>
  </w:style>
  <w:style w:type="paragraph" w:styleId="Zpat">
    <w:name w:val="footer"/>
    <w:basedOn w:val="Normln"/>
    <w:link w:val="ZpatChar"/>
    <w:uiPriority w:val="99"/>
    <w:unhideWhenUsed/>
    <w:rsid w:val="00062DF7"/>
    <w:pPr>
      <w:tabs>
        <w:tab w:val="center" w:pos="4536"/>
        <w:tab w:val="right" w:pos="9072"/>
      </w:tabs>
    </w:pPr>
  </w:style>
  <w:style w:type="character" w:customStyle="1" w:styleId="ZpatChar">
    <w:name w:val="Zápatí Char"/>
    <w:basedOn w:val="Standardnpsmoodstavce"/>
    <w:link w:val="Zpat"/>
    <w:uiPriority w:val="99"/>
    <w:rsid w:val="00062DF7"/>
    <w:rPr>
      <w:rFonts w:ascii="Arial" w:eastAsia="Times New Roman" w:hAnsi="Arial" w:cs="Times New Roman"/>
      <w:szCs w:val="24"/>
    </w:rPr>
  </w:style>
  <w:style w:type="paragraph" w:styleId="Textbubliny">
    <w:name w:val="Balloon Text"/>
    <w:basedOn w:val="Normln"/>
    <w:link w:val="TextbublinyChar"/>
    <w:uiPriority w:val="99"/>
    <w:semiHidden/>
    <w:unhideWhenUsed/>
    <w:rsid w:val="008A3FEE"/>
    <w:rPr>
      <w:rFonts w:ascii="Tahoma" w:hAnsi="Tahoma" w:cs="Tahoma"/>
      <w:sz w:val="16"/>
      <w:szCs w:val="16"/>
    </w:rPr>
  </w:style>
  <w:style w:type="character" w:customStyle="1" w:styleId="TextbublinyChar">
    <w:name w:val="Text bubliny Char"/>
    <w:basedOn w:val="Standardnpsmoodstavce"/>
    <w:link w:val="Textbubliny"/>
    <w:uiPriority w:val="99"/>
    <w:semiHidden/>
    <w:rsid w:val="008A3FEE"/>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8200BA"/>
    <w:rPr>
      <w:sz w:val="16"/>
      <w:szCs w:val="16"/>
    </w:rPr>
  </w:style>
  <w:style w:type="paragraph" w:styleId="Textkomente">
    <w:name w:val="annotation text"/>
    <w:basedOn w:val="Normln"/>
    <w:link w:val="TextkomenteChar"/>
    <w:uiPriority w:val="99"/>
    <w:semiHidden/>
    <w:unhideWhenUsed/>
    <w:rsid w:val="008200BA"/>
    <w:rPr>
      <w:sz w:val="20"/>
      <w:szCs w:val="20"/>
    </w:rPr>
  </w:style>
  <w:style w:type="character" w:customStyle="1" w:styleId="TextkomenteChar">
    <w:name w:val="Text komentáře Char"/>
    <w:basedOn w:val="Standardnpsmoodstavce"/>
    <w:link w:val="Textkomente"/>
    <w:uiPriority w:val="99"/>
    <w:semiHidden/>
    <w:rsid w:val="008200BA"/>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8200BA"/>
    <w:rPr>
      <w:b/>
      <w:bCs/>
    </w:rPr>
  </w:style>
  <w:style w:type="character" w:customStyle="1" w:styleId="PedmtkomenteChar">
    <w:name w:val="Předmět komentáře Char"/>
    <w:basedOn w:val="TextkomenteChar"/>
    <w:link w:val="Pedmtkomente"/>
    <w:uiPriority w:val="99"/>
    <w:semiHidden/>
    <w:rsid w:val="008200BA"/>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2BF"/>
    <w:rPr>
      <w:rFonts w:ascii="Arial" w:eastAsia="Times New Roman" w:hAnsi="Arial"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112BF"/>
    <w:pPr>
      <w:jc w:val="center"/>
    </w:pPr>
    <w:rPr>
      <w:rFonts w:ascii="Times New Roman" w:hAnsi="Times New Roman"/>
      <w:b/>
      <w:sz w:val="24"/>
      <w:szCs w:val="20"/>
      <w:lang w:val="x-none" w:eastAsia="cs-CZ"/>
    </w:rPr>
  </w:style>
  <w:style w:type="character" w:customStyle="1" w:styleId="NzevChar">
    <w:name w:val="Název Char"/>
    <w:basedOn w:val="Standardnpsmoodstavce"/>
    <w:link w:val="Nzev"/>
    <w:rsid w:val="00C112BF"/>
    <w:rPr>
      <w:rFonts w:ascii="Times New Roman" w:eastAsia="Times New Roman" w:hAnsi="Times New Roman" w:cs="Times New Roman"/>
      <w:b/>
      <w:sz w:val="24"/>
      <w:szCs w:val="20"/>
      <w:lang w:val="x-none" w:eastAsia="cs-CZ"/>
    </w:rPr>
  </w:style>
  <w:style w:type="paragraph" w:styleId="Zkladntext">
    <w:name w:val="Body Text"/>
    <w:aliases w:val="Standard paragraph,Body Text1,b,block style,?????1"/>
    <w:basedOn w:val="Normln"/>
    <w:link w:val="ZkladntextChar"/>
    <w:semiHidden/>
    <w:rsid w:val="00C112BF"/>
    <w:rPr>
      <w:rFonts w:ascii="Times New Roman" w:hAnsi="Times New Roman"/>
      <w:sz w:val="24"/>
      <w:szCs w:val="20"/>
      <w:lang w:val="x-none" w:eastAsia="cs-CZ"/>
    </w:rPr>
  </w:style>
  <w:style w:type="character" w:customStyle="1" w:styleId="ZkladntextChar">
    <w:name w:val="Základní text Char"/>
    <w:aliases w:val="Standard paragraph Char,Body Text1 Char,b Char,block style Char,?????1 Char"/>
    <w:basedOn w:val="Standardnpsmoodstavce"/>
    <w:link w:val="Zkladntext"/>
    <w:semiHidden/>
    <w:rsid w:val="00C112BF"/>
    <w:rPr>
      <w:rFonts w:ascii="Times New Roman" w:eastAsia="Times New Roman" w:hAnsi="Times New Roman" w:cs="Times New Roman"/>
      <w:sz w:val="24"/>
      <w:szCs w:val="20"/>
      <w:lang w:val="x-none" w:eastAsia="cs-CZ"/>
    </w:rPr>
  </w:style>
  <w:style w:type="paragraph" w:customStyle="1" w:styleId="NormlnKZ">
    <w:name w:val="Normální KZ"/>
    <w:basedOn w:val="Normln"/>
    <w:rsid w:val="00C112BF"/>
    <w:pPr>
      <w:spacing w:after="120"/>
      <w:ind w:firstLine="425"/>
    </w:pPr>
    <w:rPr>
      <w:lang w:eastAsia="cs-CZ"/>
    </w:rPr>
  </w:style>
  <w:style w:type="paragraph" w:customStyle="1" w:styleId="Pa10">
    <w:name w:val="Pa10"/>
    <w:basedOn w:val="Normln"/>
    <w:next w:val="Normln"/>
    <w:rsid w:val="00C112BF"/>
    <w:pPr>
      <w:autoSpaceDE w:val="0"/>
      <w:autoSpaceDN w:val="0"/>
      <w:adjustRightInd w:val="0"/>
      <w:spacing w:before="360" w:after="100" w:line="281" w:lineRule="atLeast"/>
    </w:pPr>
    <w:rPr>
      <w:rFonts w:cs="Arial"/>
      <w:lang w:val="en-US"/>
    </w:rPr>
  </w:style>
  <w:style w:type="paragraph" w:styleId="Odstavecseseznamem">
    <w:name w:val="List Paragraph"/>
    <w:basedOn w:val="Normln"/>
    <w:link w:val="OdstavecseseznamemChar"/>
    <w:uiPriority w:val="34"/>
    <w:qFormat/>
    <w:rsid w:val="00C112BF"/>
    <w:pPr>
      <w:ind w:left="720"/>
      <w:contextualSpacing/>
    </w:pPr>
    <w:rPr>
      <w:lang w:val="x-none"/>
    </w:rPr>
  </w:style>
  <w:style w:type="paragraph" w:styleId="Textpoznpodarou">
    <w:name w:val="footnote text"/>
    <w:aliases w:val="Text poznámky pod čiarou 007,Footnote,pozn. pod čarou,Schriftart: 9 pt,Schriftart: 10 pt,Schriftart: 8 pt,Podrozdział,Podrozdzia3"/>
    <w:basedOn w:val="Normln"/>
    <w:link w:val="TextpoznpodarouChar"/>
    <w:uiPriority w:val="99"/>
    <w:semiHidden/>
    <w:unhideWhenUsed/>
    <w:rsid w:val="00C112BF"/>
    <w:rPr>
      <w:rFonts w:ascii="Times New Roman" w:hAnsi="Times New Roman"/>
      <w:sz w:val="20"/>
      <w:szCs w:val="20"/>
      <w:lang w:val="x-none"/>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
    <w:basedOn w:val="Standardnpsmoodstavce"/>
    <w:link w:val="Textpoznpodarou"/>
    <w:uiPriority w:val="99"/>
    <w:semiHidden/>
    <w:rsid w:val="00C112BF"/>
    <w:rPr>
      <w:rFonts w:ascii="Times New Roman" w:eastAsia="Times New Roman" w:hAnsi="Times New Roman" w:cs="Times New Roman"/>
      <w:sz w:val="20"/>
      <w:szCs w:val="20"/>
      <w:lang w:val="x-none"/>
    </w:rPr>
  </w:style>
  <w:style w:type="character" w:styleId="Znakapoznpodarou">
    <w:name w:val="footnote reference"/>
    <w:aliases w:val="PGI Fußnote Ziffer"/>
    <w:uiPriority w:val="99"/>
    <w:unhideWhenUsed/>
    <w:rsid w:val="00C112BF"/>
    <w:rPr>
      <w:vertAlign w:val="superscript"/>
    </w:rPr>
  </w:style>
  <w:style w:type="character" w:customStyle="1" w:styleId="OdstavecseseznamemChar">
    <w:name w:val="Odstavec se seznamem Char"/>
    <w:link w:val="Odstavecseseznamem"/>
    <w:uiPriority w:val="34"/>
    <w:rsid w:val="00C112BF"/>
    <w:rPr>
      <w:rFonts w:ascii="Arial" w:eastAsia="Times New Roman" w:hAnsi="Arial" w:cs="Times New Roman"/>
      <w:szCs w:val="24"/>
      <w:lang w:val="x-none"/>
    </w:rPr>
  </w:style>
  <w:style w:type="paragraph" w:customStyle="1" w:styleId="poznmkapodarou">
    <w:name w:val="poznámka pod čarou"/>
    <w:basedOn w:val="Textpoznpodarou"/>
    <w:link w:val="poznmkapodarouChar"/>
    <w:qFormat/>
    <w:rsid w:val="00C112BF"/>
    <w:pPr>
      <w:tabs>
        <w:tab w:val="left" w:pos="284"/>
      </w:tabs>
      <w:ind w:left="284" w:hanging="284"/>
    </w:pPr>
    <w:rPr>
      <w:rFonts w:ascii="Arial" w:hAnsi="Arial"/>
      <w:sz w:val="18"/>
    </w:rPr>
  </w:style>
  <w:style w:type="character" w:customStyle="1" w:styleId="poznmkapodarouChar">
    <w:name w:val="poznámka pod čarou Char"/>
    <w:link w:val="poznmkapodarou"/>
    <w:rsid w:val="00C112BF"/>
    <w:rPr>
      <w:rFonts w:ascii="Arial" w:eastAsia="Times New Roman" w:hAnsi="Arial" w:cs="Times New Roman"/>
      <w:sz w:val="18"/>
      <w:szCs w:val="20"/>
      <w:lang w:val="x-none"/>
    </w:rPr>
  </w:style>
  <w:style w:type="paragraph" w:customStyle="1" w:styleId="Styl1">
    <w:name w:val="Styl1"/>
    <w:basedOn w:val="Normln"/>
    <w:link w:val="Styl1Char"/>
    <w:qFormat/>
    <w:rsid w:val="00C112BF"/>
    <w:pPr>
      <w:spacing w:after="120" w:line="276" w:lineRule="auto"/>
    </w:pPr>
    <w:rPr>
      <w:szCs w:val="22"/>
      <w:lang w:val="x-none"/>
    </w:rPr>
  </w:style>
  <w:style w:type="character" w:customStyle="1" w:styleId="Styl1Char">
    <w:name w:val="Styl1 Char"/>
    <w:link w:val="Styl1"/>
    <w:rsid w:val="00C112BF"/>
    <w:rPr>
      <w:rFonts w:ascii="Arial" w:eastAsia="Times New Roman" w:hAnsi="Arial" w:cs="Times New Roman"/>
      <w:lang w:val="x-none"/>
    </w:rPr>
  </w:style>
  <w:style w:type="paragraph" w:customStyle="1" w:styleId="KP-normlntext">
    <w:name w:val="KP-normální text"/>
    <w:basedOn w:val="Normln"/>
    <w:link w:val="KP-normlntextChar"/>
    <w:qFormat/>
    <w:rsid w:val="00C112BF"/>
    <w:pPr>
      <w:spacing w:before="120" w:after="120"/>
      <w:ind w:firstLine="720"/>
    </w:pPr>
    <w:rPr>
      <w:color w:val="000000"/>
      <w:szCs w:val="22"/>
      <w:lang w:val="x-none"/>
    </w:rPr>
  </w:style>
  <w:style w:type="character" w:customStyle="1" w:styleId="KP-normlntextChar">
    <w:name w:val="KP-normální text Char"/>
    <w:link w:val="KP-normlntext"/>
    <w:rsid w:val="00C112BF"/>
    <w:rPr>
      <w:rFonts w:ascii="Arial" w:eastAsia="Times New Roman" w:hAnsi="Arial" w:cs="Times New Roman"/>
      <w:color w:val="000000"/>
      <w:lang w:val="x-none"/>
    </w:rPr>
  </w:style>
  <w:style w:type="paragraph" w:customStyle="1" w:styleId="Zkladntext2">
    <w:name w:val="Z‡kladn’ text 2"/>
    <w:basedOn w:val="Normln"/>
    <w:rsid w:val="004B543B"/>
    <w:pPr>
      <w:overflowPunct w:val="0"/>
      <w:autoSpaceDE w:val="0"/>
      <w:autoSpaceDN w:val="0"/>
      <w:adjustRightInd w:val="0"/>
      <w:spacing w:after="120"/>
      <w:textAlignment w:val="baseline"/>
    </w:pPr>
    <w:rPr>
      <w:szCs w:val="20"/>
      <w:lang w:eastAsia="cs-CZ"/>
    </w:rPr>
  </w:style>
  <w:style w:type="paragraph" w:styleId="Zkladntext3">
    <w:name w:val="Body Text 3"/>
    <w:basedOn w:val="Normln"/>
    <w:link w:val="Zkladntext3Char"/>
    <w:uiPriority w:val="99"/>
    <w:semiHidden/>
    <w:unhideWhenUsed/>
    <w:rsid w:val="00C82743"/>
    <w:pPr>
      <w:spacing w:after="120"/>
    </w:pPr>
    <w:rPr>
      <w:sz w:val="16"/>
      <w:szCs w:val="16"/>
    </w:rPr>
  </w:style>
  <w:style w:type="character" w:customStyle="1" w:styleId="Zkladntext3Char">
    <w:name w:val="Základní text 3 Char"/>
    <w:basedOn w:val="Standardnpsmoodstavce"/>
    <w:link w:val="Zkladntext3"/>
    <w:uiPriority w:val="99"/>
    <w:semiHidden/>
    <w:rsid w:val="00C82743"/>
    <w:rPr>
      <w:rFonts w:ascii="Arial" w:eastAsia="Times New Roman" w:hAnsi="Arial" w:cs="Times New Roman"/>
      <w:sz w:val="16"/>
      <w:szCs w:val="16"/>
    </w:rPr>
  </w:style>
  <w:style w:type="paragraph" w:customStyle="1" w:styleId="normln0">
    <w:name w:val="normální"/>
    <w:basedOn w:val="Normln"/>
    <w:rsid w:val="00B27E3D"/>
    <w:rPr>
      <w:rFonts w:ascii="Times New Roman" w:hAnsi="Times New Roman"/>
      <w:sz w:val="24"/>
      <w:szCs w:val="20"/>
      <w:lang w:eastAsia="cs-CZ"/>
    </w:rPr>
  </w:style>
  <w:style w:type="paragraph" w:styleId="Zhlav">
    <w:name w:val="header"/>
    <w:basedOn w:val="Normln"/>
    <w:link w:val="ZhlavChar"/>
    <w:uiPriority w:val="99"/>
    <w:unhideWhenUsed/>
    <w:rsid w:val="00062DF7"/>
    <w:pPr>
      <w:tabs>
        <w:tab w:val="center" w:pos="4536"/>
        <w:tab w:val="right" w:pos="9072"/>
      </w:tabs>
    </w:pPr>
  </w:style>
  <w:style w:type="character" w:customStyle="1" w:styleId="ZhlavChar">
    <w:name w:val="Záhlaví Char"/>
    <w:basedOn w:val="Standardnpsmoodstavce"/>
    <w:link w:val="Zhlav"/>
    <w:uiPriority w:val="99"/>
    <w:rsid w:val="00062DF7"/>
    <w:rPr>
      <w:rFonts w:ascii="Arial" w:eastAsia="Times New Roman" w:hAnsi="Arial" w:cs="Times New Roman"/>
      <w:szCs w:val="24"/>
    </w:rPr>
  </w:style>
  <w:style w:type="paragraph" w:styleId="Zpat">
    <w:name w:val="footer"/>
    <w:basedOn w:val="Normln"/>
    <w:link w:val="ZpatChar"/>
    <w:uiPriority w:val="99"/>
    <w:unhideWhenUsed/>
    <w:rsid w:val="00062DF7"/>
    <w:pPr>
      <w:tabs>
        <w:tab w:val="center" w:pos="4536"/>
        <w:tab w:val="right" w:pos="9072"/>
      </w:tabs>
    </w:pPr>
  </w:style>
  <w:style w:type="character" w:customStyle="1" w:styleId="ZpatChar">
    <w:name w:val="Zápatí Char"/>
    <w:basedOn w:val="Standardnpsmoodstavce"/>
    <w:link w:val="Zpat"/>
    <w:uiPriority w:val="99"/>
    <w:rsid w:val="00062DF7"/>
    <w:rPr>
      <w:rFonts w:ascii="Arial" w:eastAsia="Times New Roman" w:hAnsi="Arial" w:cs="Times New Roman"/>
      <w:szCs w:val="24"/>
    </w:rPr>
  </w:style>
  <w:style w:type="paragraph" w:styleId="Textbubliny">
    <w:name w:val="Balloon Text"/>
    <w:basedOn w:val="Normln"/>
    <w:link w:val="TextbublinyChar"/>
    <w:uiPriority w:val="99"/>
    <w:semiHidden/>
    <w:unhideWhenUsed/>
    <w:rsid w:val="008A3FEE"/>
    <w:rPr>
      <w:rFonts w:ascii="Tahoma" w:hAnsi="Tahoma" w:cs="Tahoma"/>
      <w:sz w:val="16"/>
      <w:szCs w:val="16"/>
    </w:rPr>
  </w:style>
  <w:style w:type="character" w:customStyle="1" w:styleId="TextbublinyChar">
    <w:name w:val="Text bubliny Char"/>
    <w:basedOn w:val="Standardnpsmoodstavce"/>
    <w:link w:val="Textbubliny"/>
    <w:uiPriority w:val="99"/>
    <w:semiHidden/>
    <w:rsid w:val="008A3FEE"/>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8200BA"/>
    <w:rPr>
      <w:sz w:val="16"/>
      <w:szCs w:val="16"/>
    </w:rPr>
  </w:style>
  <w:style w:type="paragraph" w:styleId="Textkomente">
    <w:name w:val="annotation text"/>
    <w:basedOn w:val="Normln"/>
    <w:link w:val="TextkomenteChar"/>
    <w:uiPriority w:val="99"/>
    <w:semiHidden/>
    <w:unhideWhenUsed/>
    <w:rsid w:val="008200BA"/>
    <w:rPr>
      <w:sz w:val="20"/>
      <w:szCs w:val="20"/>
    </w:rPr>
  </w:style>
  <w:style w:type="character" w:customStyle="1" w:styleId="TextkomenteChar">
    <w:name w:val="Text komentáře Char"/>
    <w:basedOn w:val="Standardnpsmoodstavce"/>
    <w:link w:val="Textkomente"/>
    <w:uiPriority w:val="99"/>
    <w:semiHidden/>
    <w:rsid w:val="008200BA"/>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8200BA"/>
    <w:rPr>
      <w:b/>
      <w:bCs/>
    </w:rPr>
  </w:style>
  <w:style w:type="character" w:customStyle="1" w:styleId="PedmtkomenteChar">
    <w:name w:val="Předmět komentáře Char"/>
    <w:basedOn w:val="TextkomenteChar"/>
    <w:link w:val="Pedmtkomente"/>
    <w:uiPriority w:val="99"/>
    <w:semiHidden/>
    <w:rsid w:val="008200B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1861C-30F0-4F24-9205-63DC65E50612}"/>
</file>

<file path=customXml/itemProps2.xml><?xml version="1.0" encoding="utf-8"?>
<ds:datastoreItem xmlns:ds="http://schemas.openxmlformats.org/officeDocument/2006/customXml" ds:itemID="{8EF7027C-D88D-41BB-ABCA-CD1A490D6B3C}"/>
</file>

<file path=customXml/itemProps3.xml><?xml version="1.0" encoding="utf-8"?>
<ds:datastoreItem xmlns:ds="http://schemas.openxmlformats.org/officeDocument/2006/customXml" ds:itemID="{E08657B9-A827-402C-BB46-8CBDE9C477D2}"/>
</file>

<file path=customXml/itemProps4.xml><?xml version="1.0" encoding="utf-8"?>
<ds:datastoreItem xmlns:ds="http://schemas.openxmlformats.org/officeDocument/2006/customXml" ds:itemID="{7C5BE39C-0468-4363-B4A5-FFD190F015C1}"/>
</file>

<file path=docProps/app.xml><?xml version="1.0" encoding="utf-8"?>
<Properties xmlns="http://schemas.openxmlformats.org/officeDocument/2006/extended-properties" xmlns:vt="http://schemas.openxmlformats.org/officeDocument/2006/docPropsVTypes">
  <Template>Normal</Template>
  <TotalTime>399</TotalTime>
  <Pages>10</Pages>
  <Words>4532</Words>
  <Characters>26740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31210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11/35</dc:title>
  <dc:creator>NEUVIRT Petr</dc:creator>
  <cp:lastModifiedBy>POKORNÁ Jana</cp:lastModifiedBy>
  <cp:revision>66</cp:revision>
  <cp:lastPrinted>2012-06-08T06:06:00Z</cp:lastPrinted>
  <dcterms:created xsi:type="dcterms:W3CDTF">2012-06-07T09:41:00Z</dcterms:created>
  <dcterms:modified xsi:type="dcterms:W3CDTF">2012-06-13T07:34:00Z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