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B3" w:rsidRDefault="00767C35" w:rsidP="00D6092F">
      <w:pPr>
        <w:spacing w:after="0" w:line="240" w:lineRule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53C462" wp14:editId="2AA1CCE1">
            <wp:simplePos x="0" y="0"/>
            <wp:positionH relativeFrom="column">
              <wp:posOffset>2490470</wp:posOffset>
            </wp:positionH>
            <wp:positionV relativeFrom="paragraph">
              <wp:posOffset>5080</wp:posOffset>
            </wp:positionV>
            <wp:extent cx="790575" cy="552450"/>
            <wp:effectExtent l="0" t="0" r="9525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06F" w:rsidRDefault="00E9506F" w:rsidP="00D6092F">
      <w:pPr>
        <w:spacing w:after="0" w:line="240" w:lineRule="auto"/>
        <w:jc w:val="center"/>
      </w:pPr>
    </w:p>
    <w:p w:rsidR="00D6092F" w:rsidRDefault="00D6092F" w:rsidP="00D6092F">
      <w:pPr>
        <w:spacing w:after="0" w:line="240" w:lineRule="auto"/>
        <w:jc w:val="center"/>
      </w:pPr>
    </w:p>
    <w:p w:rsidR="003A2F07" w:rsidRPr="00D6092F" w:rsidRDefault="003A2F07" w:rsidP="00D6092F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D6092F">
        <w:rPr>
          <w:rFonts w:eastAsia="Times New Roman"/>
          <w:b/>
          <w:sz w:val="28"/>
          <w:szCs w:val="28"/>
        </w:rPr>
        <w:t>Kontrolní závěr z</w:t>
      </w:r>
      <w:r w:rsidR="00B47313" w:rsidRPr="00D6092F">
        <w:rPr>
          <w:rFonts w:eastAsia="Times New Roman"/>
          <w:b/>
          <w:sz w:val="28"/>
          <w:szCs w:val="28"/>
        </w:rPr>
        <w:t xml:space="preserve"> </w:t>
      </w:r>
      <w:r w:rsidRPr="00D6092F">
        <w:rPr>
          <w:rFonts w:eastAsia="Times New Roman"/>
          <w:b/>
          <w:sz w:val="28"/>
          <w:szCs w:val="28"/>
        </w:rPr>
        <w:t>kontrolní akce</w:t>
      </w:r>
    </w:p>
    <w:p w:rsidR="00D6092F" w:rsidRPr="00E9506F" w:rsidRDefault="00D6092F" w:rsidP="00D6092F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3A2F07" w:rsidRPr="00D6092F" w:rsidRDefault="003A2F07" w:rsidP="00D6092F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D6092F">
        <w:rPr>
          <w:rFonts w:eastAsia="Times New Roman"/>
          <w:b/>
          <w:sz w:val="28"/>
          <w:szCs w:val="28"/>
        </w:rPr>
        <w:t>1</w:t>
      </w:r>
      <w:r w:rsidR="00FC3CFF" w:rsidRPr="00D6092F">
        <w:rPr>
          <w:rFonts w:eastAsia="Times New Roman"/>
          <w:b/>
          <w:sz w:val="28"/>
          <w:szCs w:val="28"/>
        </w:rPr>
        <w:t>2</w:t>
      </w:r>
      <w:r w:rsidRPr="00D6092F">
        <w:rPr>
          <w:rFonts w:eastAsia="Times New Roman"/>
          <w:b/>
          <w:sz w:val="28"/>
          <w:szCs w:val="28"/>
        </w:rPr>
        <w:t>/0</w:t>
      </w:r>
      <w:r w:rsidR="00FC3CFF" w:rsidRPr="00D6092F">
        <w:rPr>
          <w:rFonts w:eastAsia="Times New Roman"/>
          <w:b/>
          <w:sz w:val="28"/>
          <w:szCs w:val="28"/>
        </w:rPr>
        <w:t>3</w:t>
      </w:r>
    </w:p>
    <w:p w:rsidR="00D6092F" w:rsidRPr="00E9506F" w:rsidRDefault="00D6092F" w:rsidP="00D6092F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321BF3" w:rsidRPr="00D6092F" w:rsidRDefault="00FC3CFF" w:rsidP="00D6092F">
      <w:pPr>
        <w:spacing w:after="0" w:line="240" w:lineRule="auto"/>
        <w:jc w:val="center"/>
        <w:rPr>
          <w:b/>
          <w:sz w:val="28"/>
          <w:szCs w:val="28"/>
        </w:rPr>
      </w:pPr>
      <w:r w:rsidRPr="00D6092F">
        <w:rPr>
          <w:b/>
          <w:noProof/>
          <w:color w:val="000000"/>
          <w:sz w:val="28"/>
          <w:szCs w:val="28"/>
        </w:rPr>
        <w:t xml:space="preserve">Peněžní prostředky určené na rozvoj </w:t>
      </w:r>
      <w:r w:rsidR="00D6092F">
        <w:rPr>
          <w:b/>
          <w:noProof/>
          <w:color w:val="000000"/>
          <w:sz w:val="28"/>
          <w:szCs w:val="28"/>
        </w:rPr>
        <w:br/>
      </w:r>
      <w:r w:rsidR="00D6092F" w:rsidRPr="00D6092F">
        <w:rPr>
          <w:b/>
          <w:noProof/>
          <w:color w:val="000000"/>
          <w:sz w:val="28"/>
          <w:szCs w:val="28"/>
        </w:rPr>
        <w:t>a </w:t>
      </w:r>
      <w:r w:rsidRPr="00D6092F">
        <w:rPr>
          <w:b/>
          <w:noProof/>
          <w:color w:val="000000"/>
          <w:sz w:val="28"/>
          <w:szCs w:val="28"/>
        </w:rPr>
        <w:t>obnovu materiálně-technické základny fakultních nemocnic</w:t>
      </w:r>
    </w:p>
    <w:p w:rsidR="00D67953" w:rsidRPr="00D6092F" w:rsidRDefault="00D67953" w:rsidP="00D6092F">
      <w:pPr>
        <w:spacing w:after="0" w:line="240" w:lineRule="auto"/>
        <w:jc w:val="both"/>
      </w:pPr>
    </w:p>
    <w:p w:rsidR="00E9506F" w:rsidRPr="00D6092F" w:rsidRDefault="00E9506F" w:rsidP="00D6092F">
      <w:pPr>
        <w:spacing w:after="0" w:line="240" w:lineRule="auto"/>
        <w:jc w:val="both"/>
      </w:pPr>
    </w:p>
    <w:p w:rsidR="008B05EF" w:rsidRPr="006E5CDA" w:rsidRDefault="0090334D" w:rsidP="0080427D">
      <w:pPr>
        <w:spacing w:after="0" w:line="240" w:lineRule="auto"/>
        <w:jc w:val="both"/>
      </w:pPr>
      <w:r w:rsidRPr="006E5CDA">
        <w:rPr>
          <w:rFonts w:eastAsia="Times New Roman"/>
        </w:rPr>
        <w:t>Kontrolní akce byla zařazena do plánu kontrolní činnosti Nejvyššího kontrolního úřadu (dále jen „NKÚ“) na rok 201</w:t>
      </w:r>
      <w:r w:rsidR="00FC3CFF">
        <w:rPr>
          <w:rFonts w:eastAsia="Times New Roman"/>
        </w:rPr>
        <w:t>2</w:t>
      </w:r>
      <w:r w:rsidRPr="006E5CDA">
        <w:rPr>
          <w:rFonts w:eastAsia="Times New Roman"/>
        </w:rPr>
        <w:t xml:space="preserve"> pod číslem 1</w:t>
      </w:r>
      <w:r w:rsidR="00FC3CFF">
        <w:rPr>
          <w:rFonts w:eastAsia="Times New Roman"/>
        </w:rPr>
        <w:t>2</w:t>
      </w:r>
      <w:r w:rsidRPr="006E5CDA">
        <w:rPr>
          <w:rFonts w:eastAsia="Times New Roman"/>
        </w:rPr>
        <w:t>/</w:t>
      </w:r>
      <w:r>
        <w:rPr>
          <w:rFonts w:eastAsia="Times New Roman"/>
        </w:rPr>
        <w:t>0</w:t>
      </w:r>
      <w:r w:rsidR="00FC3CFF">
        <w:rPr>
          <w:rFonts w:eastAsia="Times New Roman"/>
        </w:rPr>
        <w:t>3</w:t>
      </w:r>
      <w:r w:rsidRPr="006E5CDA">
        <w:rPr>
          <w:rFonts w:eastAsia="Times New Roman"/>
        </w:rPr>
        <w:t xml:space="preserve">. Kontrolní akci řídil a kontrolní závěr vypracoval člen NKÚ </w:t>
      </w:r>
      <w:r w:rsidR="00FC3CFF">
        <w:rPr>
          <w:rFonts w:eastAsia="Times New Roman"/>
        </w:rPr>
        <w:t>Ing</w:t>
      </w:r>
      <w:r w:rsidRPr="006E5CDA">
        <w:rPr>
          <w:rFonts w:eastAsia="Times New Roman"/>
        </w:rPr>
        <w:t>.</w:t>
      </w:r>
      <w:r w:rsidR="00054701">
        <w:rPr>
          <w:rFonts w:eastAsia="Times New Roman"/>
        </w:rPr>
        <w:t> </w:t>
      </w:r>
      <w:r w:rsidR="00FC3CFF">
        <w:rPr>
          <w:rFonts w:eastAsia="Times New Roman"/>
        </w:rPr>
        <w:t>Pavel Hrnčíř.</w:t>
      </w:r>
    </w:p>
    <w:p w:rsidR="008B05EF" w:rsidRPr="006E5CDA" w:rsidRDefault="008B05EF" w:rsidP="0080427D">
      <w:pPr>
        <w:spacing w:after="0" w:line="240" w:lineRule="auto"/>
        <w:jc w:val="both"/>
      </w:pPr>
    </w:p>
    <w:p w:rsidR="00FC3CFF" w:rsidRPr="00FC3CFF" w:rsidRDefault="0090334D" w:rsidP="0080427D">
      <w:pPr>
        <w:spacing w:after="0" w:line="240" w:lineRule="auto"/>
        <w:jc w:val="both"/>
      </w:pPr>
      <w:r w:rsidRPr="00FC3CFF">
        <w:rPr>
          <w:rFonts w:eastAsia="Times New Roman"/>
        </w:rPr>
        <w:t xml:space="preserve">Cílem kontroly bylo </w:t>
      </w:r>
      <w:r w:rsidR="00FC3CFF" w:rsidRPr="00FC3CFF">
        <w:rPr>
          <w:noProof/>
          <w:color w:val="000000"/>
        </w:rPr>
        <w:t>prověřit poskytování, čerpání a použití peněžních prostředků určených na rozvoj a obnovu materiálně-technické základny fakultních nemocnic.</w:t>
      </w:r>
    </w:p>
    <w:p w:rsidR="00FC3CFF" w:rsidRPr="00FC3CFF" w:rsidRDefault="00FC3CFF" w:rsidP="0080427D">
      <w:pPr>
        <w:spacing w:after="0" w:line="240" w:lineRule="auto"/>
        <w:jc w:val="both"/>
      </w:pPr>
    </w:p>
    <w:p w:rsidR="009100E6" w:rsidRPr="00E66349" w:rsidRDefault="007B48EC" w:rsidP="0080427D">
      <w:pPr>
        <w:spacing w:after="0" w:line="240" w:lineRule="auto"/>
        <w:jc w:val="both"/>
      </w:pPr>
      <w:r>
        <w:rPr>
          <w:rFonts w:eastAsia="Times New Roman"/>
        </w:rPr>
        <w:t>Kontrolován</w:t>
      </w:r>
      <w:r w:rsidR="00617CCB">
        <w:rPr>
          <w:rFonts w:eastAsia="Times New Roman"/>
        </w:rPr>
        <w:t>o bylo období let</w:t>
      </w:r>
      <w:r>
        <w:rPr>
          <w:rFonts w:eastAsia="Times New Roman"/>
        </w:rPr>
        <w:t xml:space="preserve"> 2006 až 2011</w:t>
      </w:r>
      <w:r w:rsidRPr="00E66349">
        <w:rPr>
          <w:rFonts w:eastAsia="Times New Roman"/>
        </w:rPr>
        <w:t>, v</w:t>
      </w:r>
      <w:r>
        <w:rPr>
          <w:rFonts w:eastAsia="Times New Roman"/>
        </w:rPr>
        <w:t xml:space="preserve"> </w:t>
      </w:r>
      <w:r w:rsidRPr="00E66349">
        <w:rPr>
          <w:rFonts w:eastAsia="Times New Roman"/>
        </w:rPr>
        <w:t>případě věcných souvislostí i období předcházející a</w:t>
      </w:r>
      <w:r>
        <w:rPr>
          <w:rFonts w:eastAsia="Times New Roman"/>
        </w:rPr>
        <w:t> </w:t>
      </w:r>
      <w:r w:rsidR="00617CCB">
        <w:rPr>
          <w:rFonts w:eastAsia="Times New Roman"/>
        </w:rPr>
        <w:t>následující</w:t>
      </w:r>
      <w:r w:rsidRPr="00E66349">
        <w:rPr>
          <w:rFonts w:eastAsia="Times New Roman"/>
        </w:rPr>
        <w:t xml:space="preserve">. </w:t>
      </w:r>
      <w:r w:rsidR="00FC3CFF" w:rsidRPr="00E66349">
        <w:rPr>
          <w:rFonts w:eastAsia="Times New Roman"/>
        </w:rPr>
        <w:t xml:space="preserve">Kontrola byla prováděna </w:t>
      </w:r>
      <w:r w:rsidR="00FC3CFF">
        <w:rPr>
          <w:rFonts w:eastAsia="Times New Roman"/>
        </w:rPr>
        <w:t xml:space="preserve">v době </w:t>
      </w:r>
      <w:r w:rsidR="00FC3CFF" w:rsidRPr="00E66349">
        <w:rPr>
          <w:rFonts w:eastAsia="Times New Roman"/>
        </w:rPr>
        <w:t xml:space="preserve">od </w:t>
      </w:r>
      <w:r w:rsidR="00FC3CFF">
        <w:rPr>
          <w:rFonts w:eastAsia="Times New Roman"/>
        </w:rPr>
        <w:t>února</w:t>
      </w:r>
      <w:r w:rsidR="00FC3CFF" w:rsidRPr="00E66349">
        <w:rPr>
          <w:rFonts w:eastAsia="Times New Roman"/>
        </w:rPr>
        <w:t xml:space="preserve"> do </w:t>
      </w:r>
      <w:r w:rsidR="003E318F">
        <w:rPr>
          <w:rFonts w:eastAsia="Times New Roman"/>
        </w:rPr>
        <w:t>října</w:t>
      </w:r>
      <w:r w:rsidR="00FC3CFF" w:rsidRPr="00E66349">
        <w:rPr>
          <w:rFonts w:eastAsia="Times New Roman"/>
        </w:rPr>
        <w:t xml:space="preserve"> 201</w:t>
      </w:r>
      <w:r w:rsidR="00FC3CFF">
        <w:rPr>
          <w:rFonts w:eastAsia="Times New Roman"/>
        </w:rPr>
        <w:t>2</w:t>
      </w:r>
      <w:r w:rsidR="00FC3CFF" w:rsidRPr="00E66349">
        <w:rPr>
          <w:rFonts w:eastAsia="Times New Roman"/>
        </w:rPr>
        <w:t>.</w:t>
      </w:r>
      <w:r w:rsidR="00FC3CFF">
        <w:rPr>
          <w:rFonts w:eastAsia="Times New Roman"/>
        </w:rPr>
        <w:t xml:space="preserve"> </w:t>
      </w:r>
    </w:p>
    <w:p w:rsidR="0090334D" w:rsidRDefault="0090334D" w:rsidP="0080427D">
      <w:pPr>
        <w:spacing w:after="0" w:line="240" w:lineRule="auto"/>
        <w:jc w:val="both"/>
      </w:pPr>
    </w:p>
    <w:p w:rsidR="008B05EF" w:rsidRPr="00FC3CFF" w:rsidRDefault="008B05EF" w:rsidP="0080427D">
      <w:pPr>
        <w:spacing w:after="0" w:line="240" w:lineRule="auto"/>
        <w:jc w:val="both"/>
        <w:rPr>
          <w:b/>
        </w:rPr>
      </w:pPr>
      <w:r w:rsidRPr="00FC3CFF">
        <w:rPr>
          <w:b/>
        </w:rPr>
        <w:t>Kontrolované osoby:</w:t>
      </w:r>
    </w:p>
    <w:p w:rsidR="007B48EC" w:rsidRDefault="008B05EF" w:rsidP="0080427D">
      <w:pPr>
        <w:spacing w:after="0" w:line="240" w:lineRule="auto"/>
        <w:jc w:val="both"/>
        <w:rPr>
          <w:b/>
        </w:rPr>
      </w:pPr>
      <w:r w:rsidRPr="00E66349">
        <w:t xml:space="preserve">Ministerstvo </w:t>
      </w:r>
      <w:r w:rsidR="007B48EC">
        <w:t>zdravotnictví (dále také „MZ“)</w:t>
      </w:r>
      <w:r w:rsidR="00617CCB">
        <w:t>,</w:t>
      </w:r>
    </w:p>
    <w:p w:rsidR="007B48EC" w:rsidRDefault="00FC3CFF" w:rsidP="0080427D">
      <w:pPr>
        <w:spacing w:after="0" w:line="240" w:lineRule="auto"/>
        <w:jc w:val="both"/>
      </w:pPr>
      <w:r w:rsidRPr="00FC3CFF">
        <w:t xml:space="preserve">Fakultní nemocnice </w:t>
      </w:r>
      <w:r w:rsidR="007B48EC">
        <w:t>v Motole (dále jen „FN Motol“)</w:t>
      </w:r>
      <w:r w:rsidR="00617CCB">
        <w:t>,</w:t>
      </w:r>
    </w:p>
    <w:p w:rsidR="007B48EC" w:rsidRDefault="00FC3CFF" w:rsidP="0080427D">
      <w:pPr>
        <w:spacing w:after="0" w:line="240" w:lineRule="auto"/>
        <w:jc w:val="both"/>
        <w:rPr>
          <w:b/>
        </w:rPr>
      </w:pPr>
      <w:r w:rsidRPr="00FC3CFF">
        <w:t>Fakultní nemo</w:t>
      </w:r>
      <w:r w:rsidR="007B48EC">
        <w:t>cnice Brno (dále jen „FN Brno“)</w:t>
      </w:r>
      <w:r w:rsidR="00617CCB">
        <w:t>,</w:t>
      </w:r>
    </w:p>
    <w:p w:rsidR="007B48EC" w:rsidRDefault="00FC3CFF" w:rsidP="0080427D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Fakultní nemocn</w:t>
      </w:r>
      <w:r w:rsidR="007B48EC">
        <w:rPr>
          <w:rFonts w:eastAsia="Times New Roman"/>
          <w:szCs w:val="24"/>
        </w:rPr>
        <w:t>ice Plzeň (dále jen „FN Plzeň“)</w:t>
      </w:r>
      <w:r w:rsidR="00617CCB">
        <w:rPr>
          <w:rFonts w:eastAsia="Times New Roman"/>
          <w:szCs w:val="24"/>
        </w:rPr>
        <w:t>,</w:t>
      </w:r>
    </w:p>
    <w:p w:rsidR="00FC3CFF" w:rsidRDefault="00FC3CFF" w:rsidP="0080427D">
      <w:pPr>
        <w:spacing w:after="0" w:line="240" w:lineRule="auto"/>
        <w:jc w:val="both"/>
      </w:pPr>
      <w:r w:rsidRPr="0021586A">
        <w:t>Fakultní nemocnice Ostrava</w:t>
      </w:r>
      <w:r>
        <w:t xml:space="preserve"> (dále jen „FN Ostrava“).</w:t>
      </w:r>
    </w:p>
    <w:p w:rsidR="00920925" w:rsidRPr="0021586A" w:rsidRDefault="00920925" w:rsidP="0080427D">
      <w:pPr>
        <w:spacing w:after="0" w:line="240" w:lineRule="auto"/>
        <w:jc w:val="both"/>
      </w:pPr>
    </w:p>
    <w:p w:rsidR="008B05EF" w:rsidRPr="002020AA" w:rsidRDefault="0090334D" w:rsidP="0080427D">
      <w:pPr>
        <w:spacing w:after="0" w:line="240" w:lineRule="auto"/>
        <w:jc w:val="both"/>
      </w:pPr>
      <w:r w:rsidRPr="003E318F">
        <w:rPr>
          <w:rFonts w:eastAsia="Times New Roman"/>
        </w:rPr>
        <w:t>Námitky proti kontrolním protokol</w:t>
      </w:r>
      <w:r w:rsidR="00907667">
        <w:rPr>
          <w:rFonts w:eastAsia="Times New Roman"/>
        </w:rPr>
        <w:t>ům</w:t>
      </w:r>
      <w:r w:rsidRPr="003E318F">
        <w:rPr>
          <w:rFonts w:eastAsia="Times New Roman"/>
        </w:rPr>
        <w:t xml:space="preserve">, které podaly </w:t>
      </w:r>
      <w:r w:rsidR="003E318F" w:rsidRPr="003E318F">
        <w:rPr>
          <w:rFonts w:eastAsia="Times New Roman"/>
        </w:rPr>
        <w:t xml:space="preserve">FN Motol a </w:t>
      </w:r>
      <w:r w:rsidR="00FC3CFF" w:rsidRPr="003E318F">
        <w:t>FN Ostrava</w:t>
      </w:r>
      <w:r w:rsidRPr="003E318F">
        <w:rPr>
          <w:rFonts w:eastAsia="Times New Roman"/>
        </w:rPr>
        <w:t>, byly vypořádány vedoucími skupin kontrolujících rozhodnutími o</w:t>
      </w:r>
      <w:r w:rsidR="00B47313" w:rsidRPr="003E318F">
        <w:rPr>
          <w:rFonts w:eastAsia="Times New Roman"/>
        </w:rPr>
        <w:t xml:space="preserve"> </w:t>
      </w:r>
      <w:r w:rsidRPr="003E318F">
        <w:rPr>
          <w:rFonts w:eastAsia="Times New Roman"/>
        </w:rPr>
        <w:t xml:space="preserve">námitkách. </w:t>
      </w:r>
      <w:r w:rsidRPr="003E318F">
        <w:rPr>
          <w:rFonts w:eastAsia="Times New Roman"/>
          <w:bCs/>
        </w:rPr>
        <w:t>Odvolá</w:t>
      </w:r>
      <w:r w:rsidR="00521D98">
        <w:rPr>
          <w:rFonts w:eastAsia="Times New Roman"/>
          <w:bCs/>
        </w:rPr>
        <w:t>ní</w:t>
      </w:r>
      <w:r w:rsidR="003E318F" w:rsidRPr="003E318F">
        <w:rPr>
          <w:rFonts w:eastAsia="Times New Roman"/>
          <w:bCs/>
        </w:rPr>
        <w:t>, kter</w:t>
      </w:r>
      <w:r w:rsidR="00936CF4">
        <w:rPr>
          <w:rFonts w:eastAsia="Times New Roman"/>
          <w:bCs/>
        </w:rPr>
        <w:t>á</w:t>
      </w:r>
      <w:r w:rsidR="003E318F" w:rsidRPr="003E318F">
        <w:rPr>
          <w:rFonts w:eastAsia="Times New Roman"/>
          <w:bCs/>
        </w:rPr>
        <w:t xml:space="preserve"> </w:t>
      </w:r>
      <w:r w:rsidR="00617CCB">
        <w:rPr>
          <w:rFonts w:eastAsia="Times New Roman"/>
          <w:bCs/>
        </w:rPr>
        <w:t xml:space="preserve">proti rozhodnutím o námitkách </w:t>
      </w:r>
      <w:r w:rsidR="003E318F" w:rsidRPr="003E318F">
        <w:rPr>
          <w:rFonts w:eastAsia="Times New Roman"/>
          <w:bCs/>
        </w:rPr>
        <w:t xml:space="preserve">podaly </w:t>
      </w:r>
      <w:r w:rsidR="003E318F" w:rsidRPr="003E318F">
        <w:rPr>
          <w:rFonts w:eastAsia="Times New Roman"/>
        </w:rPr>
        <w:t xml:space="preserve">FN Motol a </w:t>
      </w:r>
      <w:r w:rsidR="003E318F" w:rsidRPr="003E318F">
        <w:t>FN Ostrava, byla vypořádána usneseními Kolegia NKÚ.</w:t>
      </w:r>
    </w:p>
    <w:p w:rsidR="008B05EF" w:rsidRPr="006E5CDA" w:rsidRDefault="008B05EF" w:rsidP="0080427D">
      <w:pPr>
        <w:spacing w:after="0" w:line="240" w:lineRule="auto"/>
        <w:jc w:val="both"/>
      </w:pPr>
    </w:p>
    <w:p w:rsidR="006E47C5" w:rsidRPr="00521D98" w:rsidRDefault="008B05EF" w:rsidP="0080427D">
      <w:pPr>
        <w:spacing w:after="0" w:line="240" w:lineRule="auto"/>
        <w:jc w:val="both"/>
      </w:pPr>
      <w:r w:rsidRPr="006E5CDA">
        <w:rPr>
          <w:b/>
          <w:bCs/>
          <w:i/>
          <w:iCs/>
        </w:rPr>
        <w:t>K o l e g i u m</w:t>
      </w:r>
      <w:r w:rsidRPr="006A7C3B">
        <w:rPr>
          <w:bCs/>
          <w:iCs/>
        </w:rPr>
        <w:t xml:space="preserve">  </w:t>
      </w:r>
      <w:r w:rsidR="009100E6" w:rsidRPr="006A7C3B">
        <w:rPr>
          <w:bCs/>
          <w:iCs/>
        </w:rPr>
        <w:t xml:space="preserve"> </w:t>
      </w:r>
      <w:r w:rsidRPr="006E5CDA">
        <w:rPr>
          <w:b/>
          <w:bCs/>
          <w:i/>
          <w:iCs/>
        </w:rPr>
        <w:t>N</w:t>
      </w:r>
      <w:r w:rsidR="00D87FBF">
        <w:rPr>
          <w:b/>
          <w:bCs/>
          <w:i/>
          <w:iCs/>
        </w:rPr>
        <w:t xml:space="preserve"> </w:t>
      </w:r>
      <w:r w:rsidRPr="006E5CDA">
        <w:rPr>
          <w:b/>
          <w:bCs/>
          <w:i/>
          <w:iCs/>
        </w:rPr>
        <w:t>K</w:t>
      </w:r>
      <w:r w:rsidR="00D87FBF">
        <w:rPr>
          <w:b/>
          <w:bCs/>
          <w:i/>
          <w:iCs/>
        </w:rPr>
        <w:t xml:space="preserve"> </w:t>
      </w:r>
      <w:r w:rsidRPr="006E5CDA">
        <w:rPr>
          <w:b/>
          <w:bCs/>
          <w:i/>
          <w:iCs/>
        </w:rPr>
        <w:t>Ú</w:t>
      </w:r>
      <w:r w:rsidRPr="006A7C3B">
        <w:rPr>
          <w:bCs/>
        </w:rPr>
        <w:t xml:space="preserve"> </w:t>
      </w:r>
      <w:r w:rsidRPr="006A7C3B">
        <w:t xml:space="preserve"> </w:t>
      </w:r>
      <w:r w:rsidR="009100E6" w:rsidRPr="006A7C3B">
        <w:t xml:space="preserve"> </w:t>
      </w:r>
      <w:r w:rsidR="006E47C5" w:rsidRPr="003D037A">
        <w:t xml:space="preserve">na </w:t>
      </w:r>
      <w:r w:rsidR="006E47C5" w:rsidRPr="00521D98">
        <w:t xml:space="preserve">svém </w:t>
      </w:r>
      <w:r w:rsidR="005B2019">
        <w:t>III</w:t>
      </w:r>
      <w:r w:rsidR="004D6C7C" w:rsidRPr="00521D98">
        <w:t>.</w:t>
      </w:r>
      <w:r w:rsidR="00B47313" w:rsidRPr="00521D98">
        <w:t xml:space="preserve"> </w:t>
      </w:r>
      <w:r w:rsidR="006E47C5" w:rsidRPr="00521D98">
        <w:t xml:space="preserve">zasedání, konaném dne </w:t>
      </w:r>
      <w:r w:rsidR="005B2019">
        <w:t>18. února</w:t>
      </w:r>
      <w:r w:rsidR="00521D98">
        <w:t xml:space="preserve"> 2013</w:t>
      </w:r>
      <w:r w:rsidR="006E47C5" w:rsidRPr="00521D98">
        <w:t>,</w:t>
      </w:r>
    </w:p>
    <w:p w:rsidR="008B05EF" w:rsidRPr="006E5CDA" w:rsidRDefault="008B05EF" w:rsidP="0080427D">
      <w:pPr>
        <w:spacing w:after="0" w:line="240" w:lineRule="auto"/>
        <w:jc w:val="both"/>
      </w:pPr>
      <w:proofErr w:type="gramStart"/>
      <w:r w:rsidRPr="00521D98">
        <w:rPr>
          <w:b/>
          <w:bCs/>
          <w:i/>
          <w:iCs/>
        </w:rPr>
        <w:t>s c h v</w:t>
      </w:r>
      <w:r w:rsidR="009100E6" w:rsidRPr="00521D98">
        <w:rPr>
          <w:b/>
          <w:bCs/>
          <w:i/>
          <w:iCs/>
        </w:rPr>
        <w:t xml:space="preserve"> </w:t>
      </w:r>
      <w:r w:rsidRPr="00521D98">
        <w:rPr>
          <w:b/>
          <w:bCs/>
          <w:i/>
          <w:iCs/>
        </w:rPr>
        <w:t>á l i l o</w:t>
      </w:r>
      <w:r w:rsidR="006E47C5" w:rsidRPr="006A7C3B">
        <w:rPr>
          <w:bCs/>
          <w:iCs/>
        </w:rPr>
        <w:t xml:space="preserve">   </w:t>
      </w:r>
      <w:r w:rsidR="006E47C5" w:rsidRPr="00521D98">
        <w:rPr>
          <w:bCs/>
          <w:iCs/>
        </w:rPr>
        <w:t>usnesením č.</w:t>
      </w:r>
      <w:proofErr w:type="gramEnd"/>
      <w:r w:rsidR="006E47C5" w:rsidRPr="00521D98">
        <w:rPr>
          <w:bCs/>
          <w:iCs/>
        </w:rPr>
        <w:t xml:space="preserve"> </w:t>
      </w:r>
      <w:r w:rsidR="00E9506F">
        <w:rPr>
          <w:bCs/>
          <w:iCs/>
        </w:rPr>
        <w:t>7</w:t>
      </w:r>
      <w:r w:rsidR="006E47C5" w:rsidRPr="00521D98">
        <w:rPr>
          <w:bCs/>
          <w:iCs/>
        </w:rPr>
        <w:t>/</w:t>
      </w:r>
      <w:r w:rsidR="005B2019">
        <w:rPr>
          <w:bCs/>
          <w:iCs/>
        </w:rPr>
        <w:t>III</w:t>
      </w:r>
      <w:r w:rsidR="004D6C7C" w:rsidRPr="00521D98">
        <w:rPr>
          <w:bCs/>
          <w:iCs/>
        </w:rPr>
        <w:t>/201</w:t>
      </w:r>
      <w:r w:rsidR="00521D98">
        <w:rPr>
          <w:bCs/>
          <w:iCs/>
        </w:rPr>
        <w:t>3</w:t>
      </w:r>
    </w:p>
    <w:p w:rsidR="00BA2281" w:rsidRDefault="008B05EF" w:rsidP="0080427D">
      <w:pPr>
        <w:spacing w:after="0" w:line="240" w:lineRule="auto"/>
        <w:jc w:val="both"/>
      </w:pPr>
      <w:proofErr w:type="gramStart"/>
      <w:r w:rsidRPr="006E5CDA">
        <w:rPr>
          <w:b/>
          <w:bCs/>
          <w:i/>
          <w:iCs/>
        </w:rPr>
        <w:t>k o n t r o l n í</w:t>
      </w:r>
      <w:r w:rsidRPr="006A7C3B">
        <w:rPr>
          <w:bCs/>
          <w:iCs/>
        </w:rPr>
        <w:t xml:space="preserve">   </w:t>
      </w:r>
      <w:r w:rsidRPr="006E5CDA">
        <w:rPr>
          <w:b/>
          <w:bCs/>
          <w:i/>
          <w:iCs/>
        </w:rPr>
        <w:t>z</w:t>
      </w:r>
      <w:r w:rsidR="009100E6">
        <w:rPr>
          <w:b/>
          <w:bCs/>
          <w:i/>
          <w:iCs/>
        </w:rPr>
        <w:t xml:space="preserve"> </w:t>
      </w:r>
      <w:r w:rsidRPr="006E5CDA">
        <w:rPr>
          <w:b/>
          <w:bCs/>
          <w:i/>
          <w:iCs/>
        </w:rPr>
        <w:t>á v</w:t>
      </w:r>
      <w:r w:rsidR="009100E6">
        <w:rPr>
          <w:b/>
          <w:bCs/>
          <w:i/>
          <w:iCs/>
        </w:rPr>
        <w:t xml:space="preserve"> </w:t>
      </w:r>
      <w:r w:rsidRPr="006E5CDA">
        <w:rPr>
          <w:b/>
          <w:bCs/>
          <w:i/>
          <w:iCs/>
        </w:rPr>
        <w:t>ě r</w:t>
      </w:r>
      <w:r w:rsidRPr="006E5CDA">
        <w:t xml:space="preserve">   v</w:t>
      </w:r>
      <w:r w:rsidR="009100E6">
        <w:t xml:space="preserve"> </w:t>
      </w:r>
      <w:r w:rsidRPr="006E5CDA">
        <w:t>tomto</w:t>
      </w:r>
      <w:proofErr w:type="gramEnd"/>
      <w:r w:rsidRPr="006E5CDA">
        <w:t xml:space="preserve"> znění:</w:t>
      </w:r>
    </w:p>
    <w:p w:rsidR="00021CA5" w:rsidRPr="00EF1883" w:rsidRDefault="00021CA5" w:rsidP="0080427D">
      <w:pPr>
        <w:spacing w:after="0" w:line="240" w:lineRule="auto"/>
        <w:rPr>
          <w:bCs/>
        </w:rPr>
      </w:pPr>
    </w:p>
    <w:p w:rsidR="00154CB6" w:rsidRPr="00EF1883" w:rsidRDefault="00154CB6" w:rsidP="0080427D">
      <w:pPr>
        <w:spacing w:after="0" w:line="240" w:lineRule="auto"/>
        <w:rPr>
          <w:bCs/>
        </w:rPr>
      </w:pPr>
    </w:p>
    <w:p w:rsidR="008B05EF" w:rsidRPr="00D87FBF" w:rsidRDefault="00EF1883" w:rsidP="00EF188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87FBF">
        <w:rPr>
          <w:b/>
          <w:bCs/>
          <w:sz w:val="24"/>
          <w:szCs w:val="24"/>
        </w:rPr>
        <w:t xml:space="preserve">I. </w:t>
      </w:r>
      <w:r w:rsidR="008B05EF" w:rsidRPr="00D87FBF">
        <w:rPr>
          <w:b/>
          <w:bCs/>
          <w:sz w:val="24"/>
          <w:szCs w:val="24"/>
        </w:rPr>
        <w:t>Úvod</w:t>
      </w:r>
    </w:p>
    <w:p w:rsidR="006921EB" w:rsidRPr="00EF1883" w:rsidRDefault="006921EB" w:rsidP="00EF1883">
      <w:pPr>
        <w:spacing w:after="0" w:line="240" w:lineRule="auto"/>
        <w:rPr>
          <w:bCs/>
        </w:rPr>
      </w:pPr>
    </w:p>
    <w:p w:rsidR="00543365" w:rsidRDefault="00556ACF" w:rsidP="0080427D">
      <w:pPr>
        <w:autoSpaceDE w:val="0"/>
        <w:autoSpaceDN w:val="0"/>
        <w:adjustRightInd w:val="0"/>
        <w:spacing w:after="0" w:line="240" w:lineRule="auto"/>
        <w:jc w:val="both"/>
      </w:pPr>
      <w:r w:rsidRPr="003F1BD1">
        <w:rPr>
          <w:b/>
        </w:rPr>
        <w:t>Ministerstvo zdravotnictví</w:t>
      </w:r>
      <w:r w:rsidRPr="003F1BD1">
        <w:t xml:space="preserve"> je </w:t>
      </w:r>
      <w:r w:rsidR="00081E42" w:rsidRPr="003F1BD1">
        <w:t>ve smyslu</w:t>
      </w:r>
      <w:r w:rsidRPr="003F1BD1">
        <w:t xml:space="preserve"> zákona </w:t>
      </w:r>
      <w:r w:rsidR="00081E42" w:rsidRPr="003F1BD1">
        <w:rPr>
          <w:color w:val="000000"/>
          <w:lang w:eastAsia="cs-CZ"/>
        </w:rPr>
        <w:t>č. 2/1969 Sb.</w:t>
      </w:r>
      <w:r w:rsidR="00864808" w:rsidRPr="003F1BD1">
        <w:rPr>
          <w:rStyle w:val="Znakapoznpodarou"/>
          <w:color w:val="000000"/>
          <w:lang w:eastAsia="cs-CZ"/>
        </w:rPr>
        <w:footnoteReference w:id="2"/>
      </w:r>
      <w:r w:rsidR="00081E42" w:rsidRPr="003F1BD1">
        <w:rPr>
          <w:color w:val="000000"/>
          <w:lang w:eastAsia="cs-CZ"/>
        </w:rPr>
        <w:t xml:space="preserve"> </w:t>
      </w:r>
      <w:r w:rsidRPr="003F1BD1">
        <w:t xml:space="preserve">ústředním orgánem státní správy mimo jiné pro zdravotní </w:t>
      </w:r>
      <w:r w:rsidR="005801E7">
        <w:t>služby</w:t>
      </w:r>
      <w:r w:rsidRPr="003F1BD1">
        <w:t xml:space="preserve">, ochranu veřejného </w:t>
      </w:r>
      <w:r w:rsidR="00521D98">
        <w:t>zdraví, zdravotnická zařízení v </w:t>
      </w:r>
      <w:r w:rsidRPr="003F1BD1">
        <w:t>přímé říd</w:t>
      </w:r>
      <w:r w:rsidR="00617CCB">
        <w:t>i</w:t>
      </w:r>
      <w:r w:rsidRPr="003F1BD1">
        <w:t>cí působnosti a</w:t>
      </w:r>
      <w:r w:rsidR="00617CCB">
        <w:t> pro</w:t>
      </w:r>
      <w:r w:rsidRPr="003F1BD1">
        <w:t xml:space="preserve"> další činnosti spojené s poskytováním zdravotní péče. V</w:t>
      </w:r>
      <w:r w:rsidR="00617CCB">
        <w:t> </w:t>
      </w:r>
      <w:r w:rsidRPr="003F1BD1">
        <w:t xml:space="preserve">rámci své působnosti poskytuje </w:t>
      </w:r>
      <w:r w:rsidR="002742FC" w:rsidRPr="003F1BD1">
        <w:t>peněžní</w:t>
      </w:r>
      <w:r w:rsidRPr="003F1BD1">
        <w:t xml:space="preserve"> prostředky na zajišťování programů týkajících se vývoje zdravotnictví a</w:t>
      </w:r>
      <w:r w:rsidR="00543365">
        <w:t xml:space="preserve"> zdravotní politiky státu. </w:t>
      </w:r>
    </w:p>
    <w:p w:rsidR="00EE6971" w:rsidRDefault="00EE6971" w:rsidP="0080427D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543365" w:rsidRDefault="00556ACF" w:rsidP="0080427D">
      <w:pPr>
        <w:autoSpaceDE w:val="0"/>
        <w:autoSpaceDN w:val="0"/>
        <w:adjustRightInd w:val="0"/>
        <w:spacing w:after="0" w:line="240" w:lineRule="auto"/>
        <w:jc w:val="both"/>
      </w:pPr>
      <w:r w:rsidRPr="003F1BD1">
        <w:rPr>
          <w:bCs/>
        </w:rPr>
        <w:lastRenderedPageBreak/>
        <w:t xml:space="preserve">MZ je správcem kapitoly státního rozpočtu 335 – </w:t>
      </w:r>
      <w:r w:rsidRPr="00E83989">
        <w:rPr>
          <w:bCs/>
          <w:i/>
        </w:rPr>
        <w:t>Ministerstvo zdravotnictví</w:t>
      </w:r>
      <w:r w:rsidRPr="003F1BD1">
        <w:rPr>
          <w:bCs/>
        </w:rPr>
        <w:t xml:space="preserve"> a správcem programu reprodukce majetku </w:t>
      </w:r>
      <w:r w:rsidR="008B510A">
        <w:rPr>
          <w:bCs/>
        </w:rPr>
        <w:t xml:space="preserve">č. </w:t>
      </w:r>
      <w:r w:rsidRPr="003F1BD1">
        <w:rPr>
          <w:bCs/>
        </w:rPr>
        <w:t>235</w:t>
      </w:r>
      <w:r w:rsidR="00543365">
        <w:rPr>
          <w:bCs/>
        </w:rPr>
        <w:t xml:space="preserve">V110 (resp. </w:t>
      </w:r>
      <w:r w:rsidR="0012348E">
        <w:rPr>
          <w:bCs/>
        </w:rPr>
        <w:t xml:space="preserve">č. </w:t>
      </w:r>
      <w:r w:rsidR="004C2F99">
        <w:rPr>
          <w:bCs/>
        </w:rPr>
        <w:t xml:space="preserve">235 </w:t>
      </w:r>
      <w:r w:rsidRPr="003F1BD1">
        <w:rPr>
          <w:bCs/>
        </w:rPr>
        <w:t xml:space="preserve">110) </w:t>
      </w:r>
      <w:r w:rsidR="00521D98">
        <w:rPr>
          <w:bCs/>
        </w:rPr>
        <w:t>–</w:t>
      </w:r>
      <w:r w:rsidRPr="003F1BD1">
        <w:rPr>
          <w:bCs/>
        </w:rPr>
        <w:t xml:space="preserve"> </w:t>
      </w:r>
      <w:r w:rsidRPr="003F1BD1">
        <w:rPr>
          <w:i/>
        </w:rPr>
        <w:t>Podpora rozvoje a obnovy materiálně technické základny fakultních nemocnic</w:t>
      </w:r>
      <w:r w:rsidRPr="003F1BD1">
        <w:t xml:space="preserve"> (dále jen „</w:t>
      </w:r>
      <w:r w:rsidR="0012348E">
        <w:t>Program</w:t>
      </w:r>
      <w:r w:rsidR="00A95425" w:rsidRPr="003F1BD1">
        <w:t>“)</w:t>
      </w:r>
      <w:r w:rsidR="00617CCB">
        <w:t>.</w:t>
      </w:r>
      <w:r w:rsidR="00A95425" w:rsidRPr="003F1BD1">
        <w:t xml:space="preserve"> </w:t>
      </w:r>
      <w:r w:rsidR="00617CCB">
        <w:t>C</w:t>
      </w:r>
      <w:r w:rsidR="00A95425" w:rsidRPr="003F1BD1">
        <w:rPr>
          <w:color w:val="000000"/>
        </w:rPr>
        <w:t>ílem</w:t>
      </w:r>
      <w:r w:rsidR="005F346F">
        <w:rPr>
          <w:color w:val="000000"/>
        </w:rPr>
        <w:t xml:space="preserve"> </w:t>
      </w:r>
      <w:r w:rsidR="00617CCB">
        <w:rPr>
          <w:color w:val="000000"/>
        </w:rPr>
        <w:t xml:space="preserve">Programu </w:t>
      </w:r>
      <w:r w:rsidR="00A95425" w:rsidRPr="003F1BD1">
        <w:rPr>
          <w:color w:val="000000"/>
        </w:rPr>
        <w:t>je optimaliz</w:t>
      </w:r>
      <w:r w:rsidR="00617CCB">
        <w:rPr>
          <w:color w:val="000000"/>
        </w:rPr>
        <w:t>ovat</w:t>
      </w:r>
      <w:r w:rsidR="00A95425" w:rsidRPr="003F1BD1">
        <w:rPr>
          <w:color w:val="000000"/>
        </w:rPr>
        <w:t xml:space="preserve"> funkc</w:t>
      </w:r>
      <w:r w:rsidR="00617CCB">
        <w:rPr>
          <w:color w:val="000000"/>
        </w:rPr>
        <w:t>i</w:t>
      </w:r>
      <w:r w:rsidR="00A95425" w:rsidRPr="003F1BD1">
        <w:rPr>
          <w:color w:val="000000"/>
        </w:rPr>
        <w:t xml:space="preserve"> a struktur</w:t>
      </w:r>
      <w:r w:rsidR="00617CCB">
        <w:rPr>
          <w:color w:val="000000"/>
        </w:rPr>
        <w:t>u</w:t>
      </w:r>
      <w:r w:rsidR="00A95425" w:rsidRPr="003F1BD1">
        <w:rPr>
          <w:color w:val="000000"/>
        </w:rPr>
        <w:t xml:space="preserve"> jednotlivých zdravotnických oborů fakultních nemocnic</w:t>
      </w:r>
      <w:r w:rsidR="00305F04" w:rsidRPr="003F1BD1">
        <w:rPr>
          <w:color w:val="000000"/>
        </w:rPr>
        <w:t xml:space="preserve"> (dále také „FN“)</w:t>
      </w:r>
      <w:r w:rsidR="00A95425" w:rsidRPr="003F1BD1">
        <w:rPr>
          <w:color w:val="000000"/>
        </w:rPr>
        <w:t xml:space="preserve"> </w:t>
      </w:r>
      <w:r w:rsidR="00617CCB">
        <w:rPr>
          <w:color w:val="000000"/>
        </w:rPr>
        <w:t>za účelem</w:t>
      </w:r>
      <w:r w:rsidR="00A95425" w:rsidRPr="003F1BD1">
        <w:rPr>
          <w:color w:val="000000"/>
        </w:rPr>
        <w:t xml:space="preserve"> zajištění dostupnosti a kvality zdravotní péče</w:t>
      </w:r>
      <w:r w:rsidR="000247E4" w:rsidRPr="003F1BD1">
        <w:rPr>
          <w:color w:val="000000"/>
        </w:rPr>
        <w:t xml:space="preserve">. </w:t>
      </w:r>
      <w:r w:rsidR="00A95425" w:rsidRPr="003F1BD1">
        <w:rPr>
          <w:color w:val="000000"/>
        </w:rPr>
        <w:t xml:space="preserve">Konkrétně </w:t>
      </w:r>
      <w:r w:rsidR="00543365">
        <w:rPr>
          <w:color w:val="000000"/>
        </w:rPr>
        <w:t>se jedná</w:t>
      </w:r>
      <w:r w:rsidR="00A95425" w:rsidRPr="003F1BD1">
        <w:rPr>
          <w:color w:val="000000"/>
        </w:rPr>
        <w:t xml:space="preserve"> </w:t>
      </w:r>
      <w:r w:rsidR="005916A9">
        <w:rPr>
          <w:color w:val="000000"/>
        </w:rPr>
        <w:t xml:space="preserve">především </w:t>
      </w:r>
      <w:r w:rsidR="00A95425" w:rsidRPr="003F1BD1">
        <w:rPr>
          <w:color w:val="000000"/>
        </w:rPr>
        <w:t xml:space="preserve">o </w:t>
      </w:r>
      <w:r w:rsidR="00543365">
        <w:t xml:space="preserve">rekonstrukce stávajících budov, </w:t>
      </w:r>
      <w:r w:rsidR="00617CCB">
        <w:t>o </w:t>
      </w:r>
      <w:r w:rsidR="00A95425" w:rsidRPr="003F1BD1">
        <w:t>odstranění havarijních stavů, výstavb</w:t>
      </w:r>
      <w:r w:rsidR="00543365">
        <w:t>u</w:t>
      </w:r>
      <w:r w:rsidR="00A95425" w:rsidRPr="003F1BD1">
        <w:t xml:space="preserve"> nových objektů </w:t>
      </w:r>
      <w:r w:rsidR="00617CCB">
        <w:t>či</w:t>
      </w:r>
      <w:r w:rsidR="00A95425" w:rsidRPr="003F1BD1">
        <w:t xml:space="preserve"> pořízení a obnov</w:t>
      </w:r>
      <w:r w:rsidR="00543365">
        <w:t>u</w:t>
      </w:r>
      <w:r w:rsidR="003A386A" w:rsidRPr="003F1BD1">
        <w:t xml:space="preserve"> nezbytné zdravotnické techniky.</w:t>
      </w:r>
    </w:p>
    <w:p w:rsidR="00B303B1" w:rsidRPr="00936CF4" w:rsidRDefault="00B303B1" w:rsidP="0080427D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3A386A" w:rsidRPr="003F1BD1" w:rsidRDefault="003A386A" w:rsidP="0080427D">
      <w:pPr>
        <w:autoSpaceDE w:val="0"/>
        <w:autoSpaceDN w:val="0"/>
        <w:adjustRightInd w:val="0"/>
        <w:spacing w:after="0" w:line="240" w:lineRule="auto"/>
        <w:jc w:val="both"/>
      </w:pPr>
      <w:r w:rsidRPr="003F1BD1">
        <w:rPr>
          <w:b/>
          <w:bCs/>
        </w:rPr>
        <w:t xml:space="preserve">Fakultní nemocnice </w:t>
      </w:r>
      <w:r w:rsidRPr="003F1BD1">
        <w:t>jsou příspěvkové organizace zřízené MZ</w:t>
      </w:r>
      <w:r w:rsidR="00936CF4">
        <w:t>;</w:t>
      </w:r>
      <w:r w:rsidRPr="003F1BD1">
        <w:t xml:space="preserve"> v kontrolovaném období byly dle vyhlášky č. 394/1991 Sb.</w:t>
      </w:r>
      <w:r w:rsidR="00864808" w:rsidRPr="003F1BD1">
        <w:rPr>
          <w:rStyle w:val="Znakapoznpodarou"/>
        </w:rPr>
        <w:footnoteReference w:id="3"/>
      </w:r>
      <w:r w:rsidRPr="003F1BD1">
        <w:t xml:space="preserve"> vybranými zdravotnickými a vzdělávacími zařízeními určenými M</w:t>
      </w:r>
      <w:r w:rsidR="00617CCB">
        <w:t>inisterstvem zdravotnictví</w:t>
      </w:r>
      <w:r w:rsidRPr="003F1BD1">
        <w:t xml:space="preserve">. Jejich odborná pracoviště </w:t>
      </w:r>
      <w:r w:rsidR="00617CCB">
        <w:t>plní funkci výukových základem pro</w:t>
      </w:r>
      <w:r w:rsidRPr="003F1BD1">
        <w:t xml:space="preserve"> lékařsk</w:t>
      </w:r>
      <w:r w:rsidR="00617CCB">
        <w:t>é</w:t>
      </w:r>
      <w:r w:rsidRPr="003F1BD1">
        <w:t xml:space="preserve"> a farmaceutick</w:t>
      </w:r>
      <w:r w:rsidR="00617CCB">
        <w:t>é</w:t>
      </w:r>
      <w:r w:rsidRPr="003F1BD1">
        <w:t xml:space="preserve"> fakult</w:t>
      </w:r>
      <w:r w:rsidR="00617CCB">
        <w:t>y</w:t>
      </w:r>
      <w:r w:rsidRPr="003F1BD1">
        <w:t xml:space="preserve">. Od 1. dubna 2012 je postavení </w:t>
      </w:r>
      <w:r w:rsidR="00B303B1">
        <w:t>FN</w:t>
      </w:r>
      <w:r w:rsidRPr="003F1BD1">
        <w:t xml:space="preserve"> </w:t>
      </w:r>
      <w:r w:rsidR="00521D98">
        <w:t>upraveno v</w:t>
      </w:r>
      <w:r w:rsidR="00936CF4">
        <w:t> </w:t>
      </w:r>
      <w:r w:rsidR="00521D98">
        <w:t>§</w:t>
      </w:r>
      <w:r w:rsidR="00936CF4">
        <w:t> </w:t>
      </w:r>
      <w:r w:rsidR="00521D98">
        <w:t>111 zákona č. </w:t>
      </w:r>
      <w:r w:rsidRPr="003F1BD1">
        <w:t>372/2011</w:t>
      </w:r>
      <w:r w:rsidR="00936CF4">
        <w:t xml:space="preserve"> </w:t>
      </w:r>
      <w:r w:rsidRPr="003F1BD1">
        <w:t>Sb.</w:t>
      </w:r>
      <w:r w:rsidR="00864808" w:rsidRPr="003F1BD1">
        <w:rPr>
          <w:rStyle w:val="Znakapoznpodarou"/>
        </w:rPr>
        <w:footnoteReference w:id="4"/>
      </w:r>
      <w:r w:rsidRPr="003F1BD1">
        <w:t xml:space="preserve"> </w:t>
      </w:r>
      <w:r w:rsidRPr="003F1BD1">
        <w:rPr>
          <w:lang w:eastAsia="cs-CZ"/>
        </w:rPr>
        <w:t xml:space="preserve">FN jsou účetními jednotkami </w:t>
      </w:r>
      <w:r w:rsidR="00617CCB">
        <w:rPr>
          <w:lang w:eastAsia="cs-CZ"/>
        </w:rPr>
        <w:t>a </w:t>
      </w:r>
      <w:r w:rsidRPr="003F1BD1">
        <w:rPr>
          <w:lang w:eastAsia="cs-CZ"/>
        </w:rPr>
        <w:t>v</w:t>
      </w:r>
      <w:r w:rsidR="00936CF4">
        <w:rPr>
          <w:lang w:eastAsia="cs-CZ"/>
        </w:rPr>
        <w:t> </w:t>
      </w:r>
      <w:r w:rsidRPr="003F1BD1">
        <w:rPr>
          <w:lang w:eastAsia="cs-CZ"/>
        </w:rPr>
        <w:t>souladu se zákonem č.</w:t>
      </w:r>
      <w:r w:rsidR="00936CF4">
        <w:rPr>
          <w:lang w:eastAsia="cs-CZ"/>
        </w:rPr>
        <w:t> </w:t>
      </w:r>
      <w:r w:rsidRPr="003F1BD1">
        <w:rPr>
          <w:lang w:eastAsia="cs-CZ"/>
        </w:rPr>
        <w:t>218/2000 Sb.</w:t>
      </w:r>
      <w:r w:rsidR="00864808" w:rsidRPr="003F1BD1">
        <w:rPr>
          <w:rStyle w:val="Znakapoznpodarou"/>
          <w:lang w:eastAsia="cs-CZ"/>
        </w:rPr>
        <w:footnoteReference w:id="5"/>
      </w:r>
      <w:r w:rsidR="00CF0D4C">
        <w:rPr>
          <w:lang w:eastAsia="cs-CZ"/>
        </w:rPr>
        <w:t xml:space="preserve"> </w:t>
      </w:r>
      <w:r w:rsidR="00521D98">
        <w:rPr>
          <w:lang w:eastAsia="cs-CZ"/>
        </w:rPr>
        <w:t>a </w:t>
      </w:r>
      <w:r w:rsidRPr="003F1BD1">
        <w:rPr>
          <w:lang w:eastAsia="cs-CZ"/>
        </w:rPr>
        <w:t>vyhláškou č.</w:t>
      </w:r>
      <w:r w:rsidR="005B2019">
        <w:rPr>
          <w:lang w:eastAsia="cs-CZ"/>
        </w:rPr>
        <w:t> </w:t>
      </w:r>
      <w:r w:rsidRPr="003F1BD1">
        <w:rPr>
          <w:lang w:eastAsia="cs-CZ"/>
        </w:rPr>
        <w:t>560/2006 Sb.</w:t>
      </w:r>
      <w:r w:rsidR="00864808" w:rsidRPr="003F1BD1">
        <w:rPr>
          <w:rStyle w:val="Znakapoznpodarou"/>
          <w:lang w:eastAsia="cs-CZ"/>
        </w:rPr>
        <w:footnoteReference w:id="6"/>
      </w:r>
      <w:r w:rsidRPr="003F1BD1">
        <w:rPr>
          <w:lang w:eastAsia="cs-CZ"/>
        </w:rPr>
        <w:t xml:space="preserve"> mají postavení účastníka </w:t>
      </w:r>
      <w:r w:rsidR="008B510A">
        <w:rPr>
          <w:lang w:eastAsia="cs-CZ"/>
        </w:rPr>
        <w:t>P</w:t>
      </w:r>
      <w:r w:rsidR="0012348E">
        <w:rPr>
          <w:lang w:eastAsia="cs-CZ"/>
        </w:rPr>
        <w:t>rogramu</w:t>
      </w:r>
      <w:r w:rsidR="00617CCB">
        <w:rPr>
          <w:lang w:eastAsia="cs-CZ"/>
        </w:rPr>
        <w:t>, tj. </w:t>
      </w:r>
      <w:r w:rsidRPr="003F1BD1">
        <w:rPr>
          <w:lang w:eastAsia="cs-CZ"/>
        </w:rPr>
        <w:t>přímého</w:t>
      </w:r>
      <w:r w:rsidR="00936CF4">
        <w:rPr>
          <w:lang w:eastAsia="cs-CZ"/>
        </w:rPr>
        <w:t xml:space="preserve"> investora akcí financovaných z </w:t>
      </w:r>
      <w:r w:rsidRPr="003F1BD1">
        <w:rPr>
          <w:lang w:eastAsia="cs-CZ"/>
        </w:rPr>
        <w:t>peněžních prostředků státního rozpočtu (dále také „SR“).</w:t>
      </w:r>
    </w:p>
    <w:p w:rsidR="00EE6971" w:rsidRPr="00936CF4" w:rsidRDefault="00EE6971" w:rsidP="0080427D">
      <w:pPr>
        <w:spacing w:after="0" w:line="240" w:lineRule="auto"/>
        <w:jc w:val="both"/>
      </w:pPr>
    </w:p>
    <w:p w:rsidR="00C5219C" w:rsidRPr="00A01719" w:rsidRDefault="0012348E" w:rsidP="0080427D">
      <w:pPr>
        <w:spacing w:after="0" w:line="240" w:lineRule="auto"/>
        <w:jc w:val="both"/>
        <w:rPr>
          <w:color w:val="000000" w:themeColor="text1"/>
        </w:rPr>
      </w:pPr>
      <w:r>
        <w:rPr>
          <w:b/>
        </w:rPr>
        <w:t>Program</w:t>
      </w:r>
      <w:r w:rsidR="00C5219C" w:rsidRPr="003F1BD1">
        <w:t xml:space="preserve"> </w:t>
      </w:r>
      <w:r w:rsidR="00A01719" w:rsidRPr="00A01719">
        <w:t>je nejvýznamnějším programem MZ jak z hlediska věcného zaměření</w:t>
      </w:r>
      <w:r w:rsidR="00936CF4">
        <w:t>,</w:t>
      </w:r>
      <w:r w:rsidR="00A01719" w:rsidRPr="00A01719">
        <w:t xml:space="preserve"> tak objem</w:t>
      </w:r>
      <w:r w:rsidR="00617CCB">
        <w:t>em</w:t>
      </w:r>
      <w:r w:rsidR="00A01719" w:rsidRPr="00A01719">
        <w:t xml:space="preserve"> poskytnutých peněžních prostředků. V jeho rámci jsou ře</w:t>
      </w:r>
      <w:r w:rsidR="00D6092F">
        <w:t>šeny rozsáhlé projekty obnovy a </w:t>
      </w:r>
      <w:r w:rsidR="00A01719" w:rsidRPr="00A01719">
        <w:t>rekonstrukcí (např. dětská část FN Motol) i projekty modernizace a rozvoje přesahující oblast klinické péče (projekt Mezinárodního centra klinického</w:t>
      </w:r>
      <w:r w:rsidR="00D6092F">
        <w:t xml:space="preserve"> výzkumu (ICRC) FN u sv. Anny v </w:t>
      </w:r>
      <w:r w:rsidR="00A01719" w:rsidRPr="00A01719">
        <w:t>Brně). Program je rozčleněn na 13 podprogramů</w:t>
      </w:r>
      <w:r w:rsidR="00936CF4">
        <w:t>,</w:t>
      </w:r>
      <w:r w:rsidR="00A01719" w:rsidRPr="00A01719">
        <w:t xml:space="preserve"> z toho 11 podprogramů slouží podpoře rozvoje a obnovy materiálně-technické základny jednotlivých zdravotnických zařízení (235V11A – </w:t>
      </w:r>
      <w:r w:rsidR="00A01719" w:rsidRPr="00E83989">
        <w:rPr>
          <w:i/>
        </w:rPr>
        <w:t>F</w:t>
      </w:r>
      <w:r w:rsidR="00936CF4" w:rsidRPr="00E83989">
        <w:rPr>
          <w:i/>
        </w:rPr>
        <w:t>akultní nemocnice</w:t>
      </w:r>
      <w:r w:rsidR="00A01719" w:rsidRPr="00E83989">
        <w:rPr>
          <w:i/>
        </w:rPr>
        <w:t xml:space="preserve"> Královské Vinohrady</w:t>
      </w:r>
      <w:r w:rsidR="00A01719" w:rsidRPr="00A01719">
        <w:t xml:space="preserve"> (dále jen „FNKV“), 235V11B – </w:t>
      </w:r>
      <w:r w:rsidR="00A01719" w:rsidRPr="00E83989">
        <w:rPr>
          <w:i/>
        </w:rPr>
        <w:t>Všeobecná fakultní nemocnice v Praze</w:t>
      </w:r>
      <w:r w:rsidR="00A01719" w:rsidRPr="00A01719">
        <w:t xml:space="preserve"> (dále jen „VFN Praha“), 235V11C – </w:t>
      </w:r>
      <w:r w:rsidR="00A01719" w:rsidRPr="00E83989">
        <w:rPr>
          <w:i/>
        </w:rPr>
        <w:t>Nemocnice Na Bulovce</w:t>
      </w:r>
      <w:r w:rsidR="00A01719" w:rsidRPr="00A01719">
        <w:t xml:space="preserve">, 235V11D – </w:t>
      </w:r>
      <w:r w:rsidR="00A01719" w:rsidRPr="00E83989">
        <w:rPr>
          <w:i/>
        </w:rPr>
        <w:t>Thomayerova nemocnice</w:t>
      </w:r>
      <w:r w:rsidR="00A01719" w:rsidRPr="00A01719">
        <w:t xml:space="preserve">, 235V11E – </w:t>
      </w:r>
      <w:r w:rsidR="00A01719" w:rsidRPr="00E83989">
        <w:rPr>
          <w:i/>
        </w:rPr>
        <w:t>F</w:t>
      </w:r>
      <w:r w:rsidR="00936CF4" w:rsidRPr="00E83989">
        <w:rPr>
          <w:i/>
        </w:rPr>
        <w:t>akultní nemocnice</w:t>
      </w:r>
      <w:r w:rsidR="00A01719" w:rsidRPr="00E83989">
        <w:rPr>
          <w:i/>
        </w:rPr>
        <w:t xml:space="preserve"> Motol</w:t>
      </w:r>
      <w:r w:rsidR="00A01719" w:rsidRPr="00A01719">
        <w:t xml:space="preserve">, 235V11F – </w:t>
      </w:r>
      <w:r w:rsidR="00A01719" w:rsidRPr="00E83989">
        <w:rPr>
          <w:i/>
        </w:rPr>
        <w:t>F</w:t>
      </w:r>
      <w:r w:rsidR="00936CF4" w:rsidRPr="00E83989">
        <w:rPr>
          <w:i/>
        </w:rPr>
        <w:t>akultní nemocnice</w:t>
      </w:r>
      <w:r w:rsidR="00A01719" w:rsidRPr="00E83989">
        <w:rPr>
          <w:i/>
        </w:rPr>
        <w:t xml:space="preserve"> Plzeň</w:t>
      </w:r>
      <w:r w:rsidR="00A01719" w:rsidRPr="00A01719">
        <w:t xml:space="preserve">, 235V11G – </w:t>
      </w:r>
      <w:r w:rsidR="00A01719" w:rsidRPr="00E83989">
        <w:rPr>
          <w:i/>
        </w:rPr>
        <w:t>F</w:t>
      </w:r>
      <w:r w:rsidR="00936CF4" w:rsidRPr="00E83989">
        <w:rPr>
          <w:i/>
        </w:rPr>
        <w:t>akultní nemocnice</w:t>
      </w:r>
      <w:r w:rsidR="00A01719" w:rsidRPr="00E83989">
        <w:rPr>
          <w:i/>
        </w:rPr>
        <w:t xml:space="preserve"> Hradec Králové</w:t>
      </w:r>
      <w:r w:rsidR="00A01719" w:rsidRPr="00A01719">
        <w:t xml:space="preserve">, 235V11H – </w:t>
      </w:r>
      <w:r w:rsidR="00A01719" w:rsidRPr="00E83989">
        <w:rPr>
          <w:i/>
        </w:rPr>
        <w:t>F</w:t>
      </w:r>
      <w:r w:rsidR="00936CF4" w:rsidRPr="00E83989">
        <w:rPr>
          <w:i/>
        </w:rPr>
        <w:t>akultní nemocnice</w:t>
      </w:r>
      <w:r w:rsidR="00A01719" w:rsidRPr="00E83989">
        <w:rPr>
          <w:i/>
        </w:rPr>
        <w:t xml:space="preserve"> Brno</w:t>
      </w:r>
      <w:r w:rsidR="00A01719" w:rsidRPr="00A01719">
        <w:t xml:space="preserve">, 235V11I – </w:t>
      </w:r>
      <w:r w:rsidR="00A01719" w:rsidRPr="00E83989">
        <w:rPr>
          <w:i/>
        </w:rPr>
        <w:t>F</w:t>
      </w:r>
      <w:r w:rsidR="00936CF4" w:rsidRPr="00E83989">
        <w:rPr>
          <w:i/>
        </w:rPr>
        <w:t>akultní nemocnice</w:t>
      </w:r>
      <w:r w:rsidR="00A01719" w:rsidRPr="00A01719">
        <w:t xml:space="preserve"> u sv. Anny v Brně, 235V11J – </w:t>
      </w:r>
      <w:r w:rsidR="00A01719" w:rsidRPr="00E83989">
        <w:rPr>
          <w:i/>
        </w:rPr>
        <w:t>F</w:t>
      </w:r>
      <w:r w:rsidR="00936CF4" w:rsidRPr="00E83989">
        <w:rPr>
          <w:i/>
        </w:rPr>
        <w:t>akultní nemocnice</w:t>
      </w:r>
      <w:r w:rsidR="00A01719" w:rsidRPr="00E83989">
        <w:rPr>
          <w:i/>
        </w:rPr>
        <w:t xml:space="preserve"> Olomouc</w:t>
      </w:r>
      <w:r w:rsidR="00A01719" w:rsidRPr="00A01719">
        <w:t xml:space="preserve"> a 235V11K – </w:t>
      </w:r>
      <w:r w:rsidR="00A01719" w:rsidRPr="00E83989">
        <w:rPr>
          <w:i/>
        </w:rPr>
        <w:t>F</w:t>
      </w:r>
      <w:r w:rsidR="00936CF4" w:rsidRPr="00E83989">
        <w:rPr>
          <w:i/>
        </w:rPr>
        <w:t>akultní nemocnice</w:t>
      </w:r>
      <w:r w:rsidR="00A01719" w:rsidRPr="00E83989">
        <w:rPr>
          <w:i/>
        </w:rPr>
        <w:t xml:space="preserve"> Ostrava</w:t>
      </w:r>
      <w:r w:rsidR="00A01719" w:rsidRPr="00A01719">
        <w:t xml:space="preserve">), </w:t>
      </w:r>
      <w:r w:rsidR="00617CCB">
        <w:t xml:space="preserve">jeden </w:t>
      </w:r>
      <w:r w:rsidR="00A01719" w:rsidRPr="00A01719">
        <w:t xml:space="preserve">podprogram </w:t>
      </w:r>
      <w:r w:rsidR="00617CCB">
        <w:t>(</w:t>
      </w:r>
      <w:r w:rsidR="00A01719" w:rsidRPr="00A01719">
        <w:t>235V111</w:t>
      </w:r>
      <w:r w:rsidR="00617CCB">
        <w:t>) je zaměřen na</w:t>
      </w:r>
      <w:r w:rsidR="00A01719" w:rsidRPr="00A01719">
        <w:t xml:space="preserve"> pořízení, obnov</w:t>
      </w:r>
      <w:r w:rsidR="00617CCB">
        <w:t>u</w:t>
      </w:r>
      <w:r w:rsidR="00A01719" w:rsidRPr="00A01719">
        <w:t xml:space="preserve"> a</w:t>
      </w:r>
      <w:r w:rsidR="00936CF4">
        <w:t> </w:t>
      </w:r>
      <w:r w:rsidR="00A01719" w:rsidRPr="00A01719">
        <w:t>provozování ICT a</w:t>
      </w:r>
      <w:r w:rsidR="00936CF4">
        <w:t> </w:t>
      </w:r>
      <w:r w:rsidR="00617CCB">
        <w:t xml:space="preserve">jeden </w:t>
      </w:r>
      <w:r w:rsidR="00A01719" w:rsidRPr="00A01719">
        <w:t xml:space="preserve">podprogram </w:t>
      </w:r>
      <w:r w:rsidR="00617CCB">
        <w:t>(</w:t>
      </w:r>
      <w:r w:rsidR="00A01719" w:rsidRPr="00A01719">
        <w:t>235V119</w:t>
      </w:r>
      <w:r w:rsidR="00617CCB">
        <w:t>) na</w:t>
      </w:r>
      <w:r w:rsidR="00A01719" w:rsidRPr="00A01719">
        <w:t xml:space="preserve"> racionalizační opatření pro snížení spotřeby energií. Předmětem kontrolní akce byly zejména vybrané investiční akce podprogramů 235V11E, 235V11F, 235V11H a 235V11K (dále jen „vybrané podprogramy“).</w:t>
      </w:r>
    </w:p>
    <w:p w:rsidR="00EE6971" w:rsidRPr="00EF1883" w:rsidRDefault="00EE6971" w:rsidP="0080427D">
      <w:pPr>
        <w:spacing w:after="0" w:line="240" w:lineRule="auto"/>
        <w:ind w:left="1134" w:hanging="1134"/>
        <w:jc w:val="both"/>
      </w:pPr>
    </w:p>
    <w:p w:rsidR="004B4462" w:rsidRPr="008B510A" w:rsidRDefault="002F4742" w:rsidP="00534674">
      <w:pPr>
        <w:spacing w:after="0" w:line="240" w:lineRule="auto"/>
        <w:ind w:left="709" w:hanging="709"/>
        <w:jc w:val="both"/>
        <w:rPr>
          <w:sz w:val="18"/>
          <w:szCs w:val="18"/>
        </w:rPr>
      </w:pPr>
      <w:r w:rsidRPr="008B510A">
        <w:rPr>
          <w:b/>
          <w:sz w:val="18"/>
          <w:szCs w:val="18"/>
        </w:rPr>
        <w:t>Pozn</w:t>
      </w:r>
      <w:r w:rsidR="00D87FBF">
        <w:rPr>
          <w:b/>
          <w:sz w:val="18"/>
          <w:szCs w:val="18"/>
        </w:rPr>
        <w:t>.:</w:t>
      </w:r>
      <w:r w:rsidR="00AF5E0D" w:rsidRPr="008B510A">
        <w:rPr>
          <w:sz w:val="18"/>
          <w:szCs w:val="18"/>
        </w:rPr>
        <w:t xml:space="preserve"> </w:t>
      </w:r>
      <w:r w:rsidR="00E9506F">
        <w:rPr>
          <w:sz w:val="18"/>
          <w:szCs w:val="18"/>
        </w:rPr>
        <w:tab/>
      </w:r>
      <w:r w:rsidR="00336CD6" w:rsidRPr="008B510A">
        <w:rPr>
          <w:sz w:val="18"/>
          <w:szCs w:val="18"/>
        </w:rPr>
        <w:t xml:space="preserve">Všechny právní předpisy uváděné </w:t>
      </w:r>
      <w:r w:rsidR="00B15A43" w:rsidRPr="008B510A">
        <w:rPr>
          <w:sz w:val="18"/>
          <w:szCs w:val="18"/>
        </w:rPr>
        <w:t>v</w:t>
      </w:r>
      <w:r w:rsidR="00B47313" w:rsidRPr="008B510A">
        <w:rPr>
          <w:sz w:val="18"/>
          <w:szCs w:val="18"/>
        </w:rPr>
        <w:t xml:space="preserve"> </w:t>
      </w:r>
      <w:r w:rsidR="00336CD6" w:rsidRPr="008B510A">
        <w:rPr>
          <w:sz w:val="18"/>
          <w:szCs w:val="18"/>
        </w:rPr>
        <w:t>tomto kontrolním závěru jsou aplikovány ve znění účinném pro kontrolované období.</w:t>
      </w:r>
      <w:r w:rsidR="00B47313" w:rsidRPr="008B510A">
        <w:rPr>
          <w:sz w:val="18"/>
          <w:szCs w:val="18"/>
        </w:rPr>
        <w:t xml:space="preserve"> </w:t>
      </w:r>
      <w:r w:rsidR="0004585B">
        <w:rPr>
          <w:sz w:val="18"/>
          <w:szCs w:val="18"/>
        </w:rPr>
        <w:t xml:space="preserve">Všechny peněžní </w:t>
      </w:r>
      <w:r w:rsidR="00617CCB">
        <w:rPr>
          <w:sz w:val="18"/>
          <w:szCs w:val="18"/>
        </w:rPr>
        <w:t>částky</w:t>
      </w:r>
      <w:r w:rsidR="0004585B">
        <w:rPr>
          <w:sz w:val="18"/>
          <w:szCs w:val="18"/>
        </w:rPr>
        <w:t xml:space="preserve"> jsou uváděny včetně DPH.</w:t>
      </w:r>
    </w:p>
    <w:p w:rsidR="007402EF" w:rsidRDefault="007402EF" w:rsidP="0080427D">
      <w:pPr>
        <w:pStyle w:val="Default"/>
        <w:ind w:left="567" w:hanging="567"/>
        <w:jc w:val="both"/>
        <w:rPr>
          <w:bCs/>
          <w:sz w:val="22"/>
          <w:szCs w:val="22"/>
        </w:rPr>
      </w:pPr>
    </w:p>
    <w:p w:rsidR="00E9506F" w:rsidRDefault="00E9506F" w:rsidP="0080427D">
      <w:pPr>
        <w:pStyle w:val="Default"/>
        <w:ind w:left="567" w:hanging="567"/>
        <w:jc w:val="both"/>
        <w:rPr>
          <w:bCs/>
          <w:sz w:val="22"/>
          <w:szCs w:val="22"/>
        </w:rPr>
      </w:pPr>
    </w:p>
    <w:p w:rsidR="008B05EF" w:rsidRPr="00EF1883" w:rsidRDefault="00EF1883" w:rsidP="00EF188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F1883">
        <w:rPr>
          <w:b/>
          <w:bCs/>
          <w:sz w:val="24"/>
          <w:szCs w:val="24"/>
        </w:rPr>
        <w:t xml:space="preserve">II. </w:t>
      </w:r>
      <w:r w:rsidR="008B05EF" w:rsidRPr="00EF1883">
        <w:rPr>
          <w:b/>
          <w:bCs/>
          <w:sz w:val="24"/>
          <w:szCs w:val="24"/>
        </w:rPr>
        <w:t xml:space="preserve">Skutečnosti zjištěné </w:t>
      </w:r>
      <w:r w:rsidR="0012348E" w:rsidRPr="00EF1883">
        <w:rPr>
          <w:b/>
          <w:bCs/>
          <w:sz w:val="24"/>
          <w:szCs w:val="24"/>
        </w:rPr>
        <w:t>u Ministerstva zdravotnictví</w:t>
      </w:r>
    </w:p>
    <w:p w:rsidR="006921EB" w:rsidRPr="00EF1883" w:rsidRDefault="006921EB" w:rsidP="00EF1883">
      <w:pPr>
        <w:spacing w:after="0" w:line="240" w:lineRule="auto"/>
        <w:rPr>
          <w:bCs/>
        </w:rPr>
      </w:pPr>
    </w:p>
    <w:p w:rsidR="00446545" w:rsidRPr="00BE23B4" w:rsidRDefault="0012348E" w:rsidP="00EF1883">
      <w:pPr>
        <w:spacing w:after="0" w:line="240" w:lineRule="auto"/>
        <w:rPr>
          <w:b/>
          <w:bCs/>
        </w:rPr>
      </w:pPr>
      <w:r>
        <w:rPr>
          <w:b/>
          <w:color w:val="000000"/>
        </w:rPr>
        <w:t xml:space="preserve">1. </w:t>
      </w:r>
      <w:r w:rsidR="007866C8">
        <w:rPr>
          <w:b/>
          <w:color w:val="000000"/>
        </w:rPr>
        <w:t>K</w:t>
      </w:r>
      <w:r w:rsidR="00446545" w:rsidRPr="00446545">
        <w:rPr>
          <w:b/>
          <w:color w:val="000000"/>
        </w:rPr>
        <w:t xml:space="preserve">oncepční </w:t>
      </w:r>
      <w:r w:rsidR="00DC75FD" w:rsidRPr="00446545">
        <w:rPr>
          <w:b/>
          <w:color w:val="000000"/>
        </w:rPr>
        <w:t xml:space="preserve">řízení a financování FN </w:t>
      </w:r>
    </w:p>
    <w:p w:rsidR="00EF1883" w:rsidRDefault="00EF1883" w:rsidP="00EF1883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087B" w:rsidRPr="00977049" w:rsidRDefault="0082087B" w:rsidP="00EF1883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B5355">
        <w:rPr>
          <w:rFonts w:ascii="Arial" w:hAnsi="Arial" w:cs="Arial"/>
          <w:color w:val="000000"/>
        </w:rPr>
        <w:t>MZ se v kontrolovaném období nepodařilo vyřešit</w:t>
      </w:r>
      <w:r w:rsidR="000068D4">
        <w:rPr>
          <w:rFonts w:ascii="Arial" w:hAnsi="Arial" w:cs="Arial"/>
          <w:color w:val="000000"/>
        </w:rPr>
        <w:t xml:space="preserve"> v dokumentu</w:t>
      </w:r>
      <w:r w:rsidRPr="00AB5355">
        <w:rPr>
          <w:rFonts w:ascii="Arial" w:hAnsi="Arial" w:cs="Arial"/>
          <w:color w:val="000000"/>
        </w:rPr>
        <w:t xml:space="preserve"> </w:t>
      </w:r>
      <w:r w:rsidR="007866C8" w:rsidRPr="007866C8">
        <w:rPr>
          <w:rFonts w:ascii="Arial" w:hAnsi="Arial" w:cs="Arial"/>
          <w:i/>
          <w:color w:val="000000"/>
        </w:rPr>
        <w:t>Konc</w:t>
      </w:r>
      <w:r w:rsidR="00C74FD2">
        <w:rPr>
          <w:rFonts w:ascii="Arial" w:hAnsi="Arial" w:cs="Arial"/>
          <w:i/>
          <w:color w:val="000000"/>
        </w:rPr>
        <w:t>epc</w:t>
      </w:r>
      <w:r w:rsidR="000068D4">
        <w:rPr>
          <w:rFonts w:ascii="Arial" w:hAnsi="Arial" w:cs="Arial"/>
          <w:i/>
          <w:color w:val="000000"/>
        </w:rPr>
        <w:t>e</w:t>
      </w:r>
      <w:r w:rsidR="00C74FD2">
        <w:rPr>
          <w:rFonts w:ascii="Arial" w:hAnsi="Arial" w:cs="Arial"/>
          <w:i/>
          <w:color w:val="000000"/>
        </w:rPr>
        <w:t xml:space="preserve"> zdravotnictví na léta 2005</w:t>
      </w:r>
      <w:r w:rsidR="00610186">
        <w:rPr>
          <w:rFonts w:ascii="Arial" w:hAnsi="Arial" w:cs="Arial"/>
          <w:i/>
          <w:color w:val="000000"/>
        </w:rPr>
        <w:t>–</w:t>
      </w:r>
      <w:r w:rsidR="007866C8" w:rsidRPr="007866C8">
        <w:rPr>
          <w:rFonts w:ascii="Arial" w:hAnsi="Arial" w:cs="Arial"/>
          <w:i/>
          <w:color w:val="000000"/>
        </w:rPr>
        <w:t>2009</w:t>
      </w:r>
      <w:r w:rsidR="00E83A93" w:rsidRPr="00AB5355">
        <w:rPr>
          <w:rFonts w:ascii="Arial" w:hAnsi="Arial" w:cs="Arial"/>
          <w:color w:val="000000"/>
        </w:rPr>
        <w:t xml:space="preserve"> identifikované </w:t>
      </w:r>
      <w:r w:rsidRPr="00AB5355">
        <w:rPr>
          <w:rFonts w:ascii="Arial" w:hAnsi="Arial" w:cs="Arial"/>
          <w:color w:val="000000"/>
        </w:rPr>
        <w:t xml:space="preserve">nedostatky </w:t>
      </w:r>
      <w:r w:rsidR="00AB5355" w:rsidRPr="00AB5355">
        <w:rPr>
          <w:rFonts w:ascii="Arial" w:hAnsi="Arial" w:cs="Arial"/>
          <w:color w:val="000000"/>
        </w:rPr>
        <w:t>stávající</w:t>
      </w:r>
      <w:r w:rsidRPr="00AB5355">
        <w:rPr>
          <w:rFonts w:ascii="Arial" w:hAnsi="Arial" w:cs="Arial"/>
          <w:color w:val="000000"/>
        </w:rPr>
        <w:t xml:space="preserve"> právní úpravy </w:t>
      </w:r>
      <w:r w:rsidR="00617CCB">
        <w:rPr>
          <w:rFonts w:ascii="Arial" w:hAnsi="Arial" w:cs="Arial"/>
          <w:color w:val="000000"/>
        </w:rPr>
        <w:t xml:space="preserve">v oblasti </w:t>
      </w:r>
      <w:r w:rsidRPr="00AB5355">
        <w:rPr>
          <w:rFonts w:ascii="Arial" w:hAnsi="Arial" w:cs="Arial"/>
          <w:color w:val="000000"/>
        </w:rPr>
        <w:t xml:space="preserve">postavení </w:t>
      </w:r>
      <w:r w:rsidR="0077400C" w:rsidRPr="00AB5355">
        <w:rPr>
          <w:rFonts w:ascii="Arial" w:hAnsi="Arial" w:cs="Arial"/>
          <w:color w:val="000000"/>
        </w:rPr>
        <w:t>FN</w:t>
      </w:r>
      <w:r w:rsidRPr="00AB5355">
        <w:rPr>
          <w:rFonts w:ascii="Arial" w:hAnsi="Arial" w:cs="Arial"/>
          <w:color w:val="000000"/>
        </w:rPr>
        <w:t xml:space="preserve">, včetně otázek </w:t>
      </w:r>
      <w:r w:rsidR="00835C55" w:rsidRPr="00AB5355">
        <w:rPr>
          <w:rFonts w:ascii="Arial" w:hAnsi="Arial" w:cs="Arial"/>
          <w:color w:val="000000"/>
        </w:rPr>
        <w:t>stanovení</w:t>
      </w:r>
      <w:r w:rsidRPr="00AB5355">
        <w:rPr>
          <w:rFonts w:ascii="Arial" w:hAnsi="Arial" w:cs="Arial"/>
          <w:color w:val="000000"/>
        </w:rPr>
        <w:t xml:space="preserve"> jejich </w:t>
      </w:r>
      <w:r w:rsidR="00543365" w:rsidRPr="00AB5355">
        <w:rPr>
          <w:rFonts w:ascii="Arial" w:hAnsi="Arial" w:cs="Arial"/>
          <w:color w:val="000000"/>
        </w:rPr>
        <w:t xml:space="preserve">konečného </w:t>
      </w:r>
      <w:r w:rsidRPr="00AB5355">
        <w:rPr>
          <w:rFonts w:ascii="Arial" w:hAnsi="Arial" w:cs="Arial"/>
          <w:color w:val="000000"/>
        </w:rPr>
        <w:t xml:space="preserve">počtu </w:t>
      </w:r>
      <w:r w:rsidR="001276C4" w:rsidRPr="00AB5355">
        <w:rPr>
          <w:rFonts w:ascii="Arial" w:hAnsi="Arial" w:cs="Arial"/>
          <w:color w:val="000000"/>
        </w:rPr>
        <w:t>a struktury.</w:t>
      </w:r>
      <w:r w:rsidR="001276C4" w:rsidRPr="00446545">
        <w:rPr>
          <w:rFonts w:ascii="Arial" w:hAnsi="Arial" w:cs="Arial"/>
          <w:color w:val="000000"/>
        </w:rPr>
        <w:t xml:space="preserve"> </w:t>
      </w:r>
      <w:r w:rsidR="00CF51F7" w:rsidRPr="00446545">
        <w:rPr>
          <w:rFonts w:ascii="Arial" w:hAnsi="Arial" w:cs="Arial"/>
          <w:color w:val="000000"/>
        </w:rPr>
        <w:t>K</w:t>
      </w:r>
      <w:r w:rsidR="00E51F50" w:rsidRPr="00446545">
        <w:rPr>
          <w:rFonts w:ascii="Arial" w:hAnsi="Arial" w:cs="Arial"/>
          <w:color w:val="000000"/>
        </w:rPr>
        <w:t> </w:t>
      </w:r>
      <w:r w:rsidR="00617CCB">
        <w:rPr>
          <w:rFonts w:ascii="Arial" w:hAnsi="Arial" w:cs="Arial"/>
          <w:color w:val="000000"/>
        </w:rPr>
        <w:t>zásadním problémům</w:t>
      </w:r>
      <w:r w:rsidR="00E51F50" w:rsidRPr="00446545">
        <w:rPr>
          <w:rFonts w:ascii="Arial" w:hAnsi="Arial" w:cs="Arial"/>
          <w:color w:val="000000"/>
        </w:rPr>
        <w:t xml:space="preserve"> </w:t>
      </w:r>
      <w:r w:rsidR="00610186">
        <w:rPr>
          <w:rFonts w:ascii="Arial" w:hAnsi="Arial" w:cs="Arial"/>
          <w:color w:val="000000"/>
        </w:rPr>
        <w:t xml:space="preserve">patří dle MZ zejména </w:t>
      </w:r>
      <w:r w:rsidR="00610186" w:rsidRPr="00610186">
        <w:rPr>
          <w:rFonts w:ascii="Arial" w:hAnsi="Arial" w:cs="Arial"/>
          <w:lang w:eastAsia="cs-CZ"/>
        </w:rPr>
        <w:t>rozdíly v</w:t>
      </w:r>
      <w:r w:rsidR="00C3451E">
        <w:rPr>
          <w:rFonts w:ascii="Arial" w:hAnsi="Arial" w:cs="Arial"/>
          <w:lang w:eastAsia="cs-CZ"/>
        </w:rPr>
        <w:t> </w:t>
      </w:r>
      <w:r w:rsidR="00610186" w:rsidRPr="00610186">
        <w:rPr>
          <w:rFonts w:ascii="Arial" w:hAnsi="Arial" w:cs="Arial"/>
          <w:lang w:eastAsia="cs-CZ"/>
        </w:rPr>
        <w:t xml:space="preserve">právním postavení </w:t>
      </w:r>
      <w:r w:rsidR="00B12F5B">
        <w:rPr>
          <w:rFonts w:ascii="Arial" w:hAnsi="Arial" w:cs="Arial"/>
          <w:lang w:eastAsia="cs-CZ"/>
        </w:rPr>
        <w:t>fakultní nemocnice</w:t>
      </w:r>
      <w:r w:rsidR="00610186" w:rsidRPr="00610186">
        <w:rPr>
          <w:rFonts w:ascii="Arial" w:hAnsi="Arial" w:cs="Arial"/>
          <w:lang w:eastAsia="cs-CZ"/>
        </w:rPr>
        <w:t xml:space="preserve"> a vysoké školy</w:t>
      </w:r>
      <w:r w:rsidR="00B12F5B">
        <w:rPr>
          <w:rFonts w:ascii="Arial" w:hAnsi="Arial" w:cs="Arial"/>
          <w:lang w:eastAsia="cs-CZ"/>
        </w:rPr>
        <w:t xml:space="preserve"> </w:t>
      </w:r>
      <w:r w:rsidR="00610186">
        <w:rPr>
          <w:rFonts w:ascii="Arial" w:hAnsi="Arial" w:cs="Arial"/>
          <w:color w:val="000000"/>
        </w:rPr>
        <w:t xml:space="preserve">způsobující </w:t>
      </w:r>
      <w:r w:rsidR="00CF51F7" w:rsidRPr="00446545">
        <w:rPr>
          <w:rFonts w:ascii="Arial" w:hAnsi="Arial" w:cs="Arial"/>
        </w:rPr>
        <w:lastRenderedPageBreak/>
        <w:t xml:space="preserve">dvoukolejnost </w:t>
      </w:r>
      <w:r w:rsidR="00835C55" w:rsidRPr="00446545">
        <w:rPr>
          <w:rFonts w:ascii="Arial" w:hAnsi="Arial" w:cs="Arial"/>
        </w:rPr>
        <w:t xml:space="preserve">v řízení </w:t>
      </w:r>
      <w:r w:rsidR="0077400C" w:rsidRPr="00446545">
        <w:rPr>
          <w:rFonts w:ascii="Arial" w:hAnsi="Arial" w:cs="Arial"/>
        </w:rPr>
        <w:t>a pracovněprávních vztazích</w:t>
      </w:r>
      <w:r w:rsidR="00610186">
        <w:rPr>
          <w:rFonts w:ascii="Arial" w:hAnsi="Arial" w:cs="Arial"/>
        </w:rPr>
        <w:t xml:space="preserve">, </w:t>
      </w:r>
      <w:r w:rsidR="00617CCB">
        <w:rPr>
          <w:rFonts w:ascii="Arial" w:hAnsi="Arial" w:cs="Arial"/>
        </w:rPr>
        <w:t>což</w:t>
      </w:r>
      <w:r w:rsidR="00610186">
        <w:rPr>
          <w:rFonts w:ascii="Arial" w:hAnsi="Arial" w:cs="Arial"/>
        </w:rPr>
        <w:t xml:space="preserve"> vede </w:t>
      </w:r>
      <w:r w:rsidR="00B12F5B" w:rsidRPr="00446545">
        <w:rPr>
          <w:rFonts w:ascii="Arial" w:hAnsi="Arial" w:cs="Arial"/>
        </w:rPr>
        <w:t xml:space="preserve">mimo jiné </w:t>
      </w:r>
      <w:r w:rsidR="00610186">
        <w:rPr>
          <w:rFonts w:ascii="Arial" w:hAnsi="Arial" w:cs="Arial"/>
        </w:rPr>
        <w:t xml:space="preserve">k </w:t>
      </w:r>
      <w:r w:rsidR="00CF51F7" w:rsidRPr="00446545">
        <w:rPr>
          <w:rFonts w:ascii="Arial" w:hAnsi="Arial" w:cs="Arial"/>
        </w:rPr>
        <w:t>neefek</w:t>
      </w:r>
      <w:r w:rsidR="000C3288" w:rsidRPr="00446545">
        <w:rPr>
          <w:rFonts w:ascii="Arial" w:hAnsi="Arial" w:cs="Arial"/>
        </w:rPr>
        <w:t>tivní</w:t>
      </w:r>
      <w:r w:rsidR="00610186">
        <w:rPr>
          <w:rFonts w:ascii="Arial" w:hAnsi="Arial" w:cs="Arial"/>
        </w:rPr>
        <w:t>mu</w:t>
      </w:r>
      <w:r w:rsidR="000C3288" w:rsidRPr="00446545">
        <w:rPr>
          <w:rFonts w:ascii="Arial" w:hAnsi="Arial" w:cs="Arial"/>
        </w:rPr>
        <w:t xml:space="preserve"> </w:t>
      </w:r>
      <w:r w:rsidR="00C74FD2">
        <w:rPr>
          <w:rFonts w:ascii="Arial" w:hAnsi="Arial" w:cs="Arial"/>
        </w:rPr>
        <w:t>hospodaření a </w:t>
      </w:r>
      <w:r w:rsidR="000C3288" w:rsidRPr="00446545">
        <w:rPr>
          <w:rFonts w:ascii="Arial" w:hAnsi="Arial" w:cs="Arial"/>
        </w:rPr>
        <w:t xml:space="preserve">financování </w:t>
      </w:r>
      <w:r w:rsidR="000E495E">
        <w:rPr>
          <w:rFonts w:ascii="Arial" w:hAnsi="Arial" w:cs="Arial"/>
        </w:rPr>
        <w:t xml:space="preserve">FN </w:t>
      </w:r>
      <w:r w:rsidR="00610186">
        <w:rPr>
          <w:rFonts w:ascii="Arial" w:hAnsi="Arial" w:cs="Arial"/>
        </w:rPr>
        <w:t>a</w:t>
      </w:r>
      <w:r w:rsidR="00CF51F7" w:rsidRPr="00446545">
        <w:rPr>
          <w:rFonts w:ascii="Arial" w:hAnsi="Arial" w:cs="Arial"/>
        </w:rPr>
        <w:t xml:space="preserve"> nedostatečn</w:t>
      </w:r>
      <w:r w:rsidR="00E83A93" w:rsidRPr="00446545">
        <w:rPr>
          <w:rFonts w:ascii="Arial" w:hAnsi="Arial" w:cs="Arial"/>
        </w:rPr>
        <w:t>ý</w:t>
      </w:r>
      <w:r w:rsidR="00610186">
        <w:rPr>
          <w:rFonts w:ascii="Arial" w:hAnsi="Arial" w:cs="Arial"/>
        </w:rPr>
        <w:t>m</w:t>
      </w:r>
      <w:r w:rsidR="00CF51F7" w:rsidRPr="00446545">
        <w:rPr>
          <w:rFonts w:ascii="Arial" w:hAnsi="Arial" w:cs="Arial"/>
        </w:rPr>
        <w:t xml:space="preserve"> podmín</w:t>
      </w:r>
      <w:r w:rsidR="008C37F7">
        <w:rPr>
          <w:rFonts w:ascii="Arial" w:hAnsi="Arial" w:cs="Arial"/>
        </w:rPr>
        <w:t>kám</w:t>
      </w:r>
      <w:r w:rsidR="00CF51F7" w:rsidRPr="00446545">
        <w:rPr>
          <w:rFonts w:ascii="Arial" w:hAnsi="Arial" w:cs="Arial"/>
        </w:rPr>
        <w:t xml:space="preserve"> pro kvalitní vzdělávání, vědu a</w:t>
      </w:r>
      <w:r w:rsidR="00500965">
        <w:rPr>
          <w:rFonts w:ascii="Arial" w:hAnsi="Arial" w:cs="Arial"/>
        </w:rPr>
        <w:t> </w:t>
      </w:r>
      <w:r w:rsidR="00CF51F7" w:rsidRPr="00446545">
        <w:rPr>
          <w:rFonts w:ascii="Arial" w:hAnsi="Arial" w:cs="Arial"/>
        </w:rPr>
        <w:t>výzkum.</w:t>
      </w:r>
      <w:r w:rsidR="008A2E81" w:rsidRPr="00446545">
        <w:rPr>
          <w:rFonts w:ascii="Arial" w:hAnsi="Arial" w:cs="Arial"/>
          <w:color w:val="000000"/>
        </w:rPr>
        <w:t xml:space="preserve"> </w:t>
      </w:r>
      <w:r w:rsidR="000E495E" w:rsidRPr="00446545">
        <w:rPr>
          <w:rFonts w:ascii="Arial" w:hAnsi="Arial" w:cs="Arial"/>
          <w:color w:val="000000"/>
        </w:rPr>
        <w:t xml:space="preserve">Nejnovější kroky směřující k vyřešení </w:t>
      </w:r>
      <w:r w:rsidR="00617CCB">
        <w:rPr>
          <w:rFonts w:ascii="Arial" w:hAnsi="Arial" w:cs="Arial"/>
          <w:color w:val="000000"/>
        </w:rPr>
        <w:t xml:space="preserve">nežádoucí situace </w:t>
      </w:r>
      <w:r w:rsidR="000E495E">
        <w:rPr>
          <w:rFonts w:ascii="Arial" w:hAnsi="Arial" w:cs="Arial"/>
          <w:color w:val="000000"/>
        </w:rPr>
        <w:t xml:space="preserve">FN </w:t>
      </w:r>
      <w:r w:rsidR="000E495E" w:rsidRPr="00446545">
        <w:rPr>
          <w:rFonts w:ascii="Arial" w:hAnsi="Arial" w:cs="Arial"/>
          <w:color w:val="000000"/>
        </w:rPr>
        <w:t xml:space="preserve">učinilo MZ </w:t>
      </w:r>
      <w:r w:rsidR="00C74FD2" w:rsidRPr="00C74FD2">
        <w:rPr>
          <w:rFonts w:ascii="Arial" w:hAnsi="Arial" w:cs="Arial"/>
          <w:color w:val="000000"/>
        </w:rPr>
        <w:t>v</w:t>
      </w:r>
      <w:r w:rsidR="00C74FD2">
        <w:rPr>
          <w:rFonts w:ascii="Arial" w:hAnsi="Arial" w:cs="Arial"/>
          <w:color w:val="000000"/>
        </w:rPr>
        <w:t xml:space="preserve"> </w:t>
      </w:r>
      <w:r w:rsidR="000E495E" w:rsidRPr="00446545">
        <w:rPr>
          <w:rFonts w:ascii="Arial" w:hAnsi="Arial" w:cs="Arial"/>
          <w:color w:val="000000"/>
        </w:rPr>
        <w:t>dubnu roku 2012, kdy téměř čtyři a</w:t>
      </w:r>
      <w:r w:rsidR="00617CCB">
        <w:rPr>
          <w:rFonts w:ascii="Arial" w:hAnsi="Arial" w:cs="Arial"/>
          <w:color w:val="000000"/>
        </w:rPr>
        <w:t> </w:t>
      </w:r>
      <w:r w:rsidR="000E495E" w:rsidRPr="00446545">
        <w:rPr>
          <w:rFonts w:ascii="Arial" w:hAnsi="Arial" w:cs="Arial"/>
          <w:color w:val="000000"/>
        </w:rPr>
        <w:t>půl roku po neúspě</w:t>
      </w:r>
      <w:r w:rsidR="00936CF4">
        <w:rPr>
          <w:rFonts w:ascii="Arial" w:hAnsi="Arial" w:cs="Arial"/>
          <w:color w:val="000000"/>
        </w:rPr>
        <w:t>chu</w:t>
      </w:r>
      <w:r w:rsidR="000E495E" w:rsidRPr="00446545">
        <w:rPr>
          <w:rFonts w:ascii="Arial" w:hAnsi="Arial" w:cs="Arial"/>
          <w:color w:val="000000"/>
        </w:rPr>
        <w:t xml:space="preserve"> návrhu z listopadu roku 2007 předložilo na jednání vlády nový návrh věcného záměru zák</w:t>
      </w:r>
      <w:r w:rsidR="000E495E">
        <w:rPr>
          <w:rFonts w:ascii="Arial" w:hAnsi="Arial" w:cs="Arial"/>
          <w:color w:val="000000"/>
        </w:rPr>
        <w:t xml:space="preserve">ona o univerzitních nemocnicích. </w:t>
      </w:r>
      <w:r w:rsidR="00EE6D8F">
        <w:rPr>
          <w:rFonts w:ascii="Arial" w:hAnsi="Arial" w:cs="Arial"/>
          <w:color w:val="000000"/>
        </w:rPr>
        <w:t>Ten</w:t>
      </w:r>
      <w:r w:rsidR="00B12F5B">
        <w:rPr>
          <w:rFonts w:ascii="Arial" w:hAnsi="Arial" w:cs="Arial"/>
          <w:color w:val="000000"/>
        </w:rPr>
        <w:t xml:space="preserve"> </w:t>
      </w:r>
      <w:r w:rsidR="00EE6D8F">
        <w:rPr>
          <w:rFonts w:ascii="Arial" w:hAnsi="Arial" w:cs="Arial"/>
          <w:color w:val="000000"/>
        </w:rPr>
        <w:t xml:space="preserve">vláda </w:t>
      </w:r>
      <w:r w:rsidR="00B12F5B">
        <w:rPr>
          <w:rFonts w:ascii="Arial" w:hAnsi="Arial" w:cs="Arial"/>
          <w:color w:val="000000"/>
        </w:rPr>
        <w:t>schvál</w:t>
      </w:r>
      <w:r w:rsidR="00EE6D8F">
        <w:rPr>
          <w:rFonts w:ascii="Arial" w:hAnsi="Arial" w:cs="Arial"/>
          <w:color w:val="000000"/>
        </w:rPr>
        <w:t>ila</w:t>
      </w:r>
      <w:r w:rsidR="00B12F5B">
        <w:rPr>
          <w:rFonts w:ascii="Arial" w:hAnsi="Arial" w:cs="Arial"/>
          <w:color w:val="000000"/>
        </w:rPr>
        <w:t xml:space="preserve"> v</w:t>
      </w:r>
      <w:r w:rsidR="005E2FAF">
        <w:rPr>
          <w:rFonts w:ascii="Arial" w:hAnsi="Arial" w:cs="Arial"/>
          <w:color w:val="000000"/>
        </w:rPr>
        <w:t> srpnu roku 2012</w:t>
      </w:r>
      <w:r w:rsidR="00936CF4">
        <w:rPr>
          <w:rFonts w:ascii="Arial" w:hAnsi="Arial" w:cs="Arial"/>
          <w:color w:val="000000"/>
        </w:rPr>
        <w:t>;</w:t>
      </w:r>
      <w:r w:rsidR="005E2FAF">
        <w:rPr>
          <w:rFonts w:ascii="Arial" w:hAnsi="Arial" w:cs="Arial"/>
          <w:color w:val="000000"/>
        </w:rPr>
        <w:t xml:space="preserve"> návrh zákona má MZ předložit do konce března roku 2013. </w:t>
      </w:r>
      <w:r w:rsidR="008C37F7">
        <w:rPr>
          <w:rFonts w:ascii="Arial" w:hAnsi="Arial" w:cs="Arial"/>
          <w:color w:val="000000"/>
        </w:rPr>
        <w:t xml:space="preserve">Výše uvedená koncepce obsahovala </w:t>
      </w:r>
      <w:r w:rsidR="00B12F5B">
        <w:rPr>
          <w:rFonts w:ascii="Arial" w:hAnsi="Arial" w:cs="Arial"/>
          <w:color w:val="000000"/>
        </w:rPr>
        <w:t>rovněž</w:t>
      </w:r>
      <w:r w:rsidR="008C37F7">
        <w:rPr>
          <w:rFonts w:ascii="Arial" w:hAnsi="Arial" w:cs="Arial"/>
          <w:color w:val="000000"/>
        </w:rPr>
        <w:t xml:space="preserve"> požadavek na zpracování analýzy </w:t>
      </w:r>
      <w:r w:rsidR="00B12F5B">
        <w:rPr>
          <w:rFonts w:ascii="Arial" w:hAnsi="Arial" w:cs="Arial"/>
          <w:color w:val="000000"/>
        </w:rPr>
        <w:t xml:space="preserve">systému </w:t>
      </w:r>
      <w:r w:rsidR="008C37F7">
        <w:rPr>
          <w:rFonts w:ascii="Arial" w:hAnsi="Arial" w:cs="Arial"/>
          <w:color w:val="000000"/>
        </w:rPr>
        <w:t>pražského zdravotnictví</w:t>
      </w:r>
      <w:r w:rsidR="00F2541B">
        <w:rPr>
          <w:rFonts w:ascii="Arial" w:hAnsi="Arial" w:cs="Arial"/>
          <w:color w:val="000000"/>
        </w:rPr>
        <w:t>; analýza</w:t>
      </w:r>
      <w:r w:rsidR="008C37F7">
        <w:rPr>
          <w:rFonts w:ascii="Arial" w:hAnsi="Arial" w:cs="Arial"/>
          <w:color w:val="000000"/>
        </w:rPr>
        <w:t xml:space="preserve"> měla být zpracována v průběhu roku 2005 a jejím výsledkem měl být </w:t>
      </w:r>
      <w:r w:rsidR="00F2541B">
        <w:rPr>
          <w:rFonts w:ascii="Arial" w:hAnsi="Arial" w:cs="Arial"/>
          <w:color w:val="000000"/>
        </w:rPr>
        <w:t>mj.</w:t>
      </w:r>
      <w:r w:rsidR="008C37F7">
        <w:rPr>
          <w:rFonts w:ascii="Arial" w:hAnsi="Arial" w:cs="Arial"/>
          <w:color w:val="000000"/>
        </w:rPr>
        <w:t xml:space="preserve"> návrh řešení počtu pražských FN.</w:t>
      </w:r>
      <w:r w:rsidR="00977049">
        <w:rPr>
          <w:rFonts w:ascii="Arial" w:hAnsi="Arial" w:cs="Arial"/>
          <w:color w:val="000000"/>
        </w:rPr>
        <w:t xml:space="preserve"> Tato analýza nebyla do doby ukončení </w:t>
      </w:r>
      <w:r w:rsidR="00123959">
        <w:rPr>
          <w:rFonts w:ascii="Arial" w:hAnsi="Arial" w:cs="Arial"/>
          <w:color w:val="000000"/>
        </w:rPr>
        <w:t>kontrolní akce</w:t>
      </w:r>
      <w:r w:rsidR="00977049">
        <w:rPr>
          <w:rFonts w:ascii="Arial" w:hAnsi="Arial" w:cs="Arial"/>
          <w:color w:val="000000"/>
        </w:rPr>
        <w:t xml:space="preserve"> zpracována, přesto MZ od </w:t>
      </w:r>
      <w:r w:rsidR="00977049" w:rsidRPr="00446545">
        <w:rPr>
          <w:rFonts w:ascii="Arial" w:hAnsi="Arial" w:cs="Arial"/>
          <w:color w:val="000000"/>
        </w:rPr>
        <w:t>1. ledna 2012</w:t>
      </w:r>
      <w:r w:rsidR="00977049">
        <w:rPr>
          <w:rFonts w:ascii="Arial" w:hAnsi="Arial" w:cs="Arial"/>
          <w:color w:val="000000"/>
        </w:rPr>
        <w:t xml:space="preserve"> zrušilo </w:t>
      </w:r>
      <w:r w:rsidR="00977049" w:rsidRPr="00446545">
        <w:rPr>
          <w:rFonts w:ascii="Arial" w:hAnsi="Arial" w:cs="Arial"/>
          <w:color w:val="000000"/>
        </w:rPr>
        <w:t>statu</w:t>
      </w:r>
      <w:r w:rsidR="00F2541B">
        <w:rPr>
          <w:rFonts w:ascii="Arial" w:hAnsi="Arial" w:cs="Arial"/>
          <w:color w:val="000000"/>
        </w:rPr>
        <w:t>s</w:t>
      </w:r>
      <w:r w:rsidR="00977049" w:rsidRPr="00446545">
        <w:rPr>
          <w:rFonts w:ascii="Arial" w:hAnsi="Arial" w:cs="Arial"/>
          <w:color w:val="000000"/>
        </w:rPr>
        <w:t xml:space="preserve"> fakultní nemocnice pro FN Bulovka a</w:t>
      </w:r>
      <w:r w:rsidR="00F2541B">
        <w:rPr>
          <w:rFonts w:ascii="Arial" w:hAnsi="Arial" w:cs="Arial"/>
          <w:color w:val="000000"/>
        </w:rPr>
        <w:t> pro</w:t>
      </w:r>
      <w:r w:rsidR="00977049" w:rsidRPr="00446545">
        <w:rPr>
          <w:rFonts w:ascii="Arial" w:hAnsi="Arial" w:cs="Arial"/>
          <w:color w:val="000000"/>
        </w:rPr>
        <w:t xml:space="preserve"> Thomayerov</w:t>
      </w:r>
      <w:r w:rsidR="00F2541B">
        <w:rPr>
          <w:rFonts w:ascii="Arial" w:hAnsi="Arial" w:cs="Arial"/>
          <w:color w:val="000000"/>
        </w:rPr>
        <w:t>u nemocnici</w:t>
      </w:r>
      <w:r w:rsidR="00977049" w:rsidRPr="00446545">
        <w:rPr>
          <w:rFonts w:ascii="Arial" w:hAnsi="Arial" w:cs="Arial"/>
          <w:color w:val="000000"/>
        </w:rPr>
        <w:t xml:space="preserve">, </w:t>
      </w:r>
      <w:r w:rsidR="00977049">
        <w:rPr>
          <w:rFonts w:ascii="Arial" w:hAnsi="Arial" w:cs="Arial"/>
          <w:color w:val="000000"/>
        </w:rPr>
        <w:t>kterým z</w:t>
      </w:r>
      <w:r w:rsidR="00977049" w:rsidRPr="00446545">
        <w:rPr>
          <w:rFonts w:ascii="Arial" w:hAnsi="Arial" w:cs="Arial"/>
          <w:color w:val="000000"/>
        </w:rPr>
        <w:t xml:space="preserve"> rozpočtu Programu </w:t>
      </w:r>
      <w:r w:rsidR="00977049">
        <w:rPr>
          <w:rFonts w:ascii="Arial" w:hAnsi="Arial" w:cs="Arial"/>
          <w:color w:val="000000"/>
        </w:rPr>
        <w:t xml:space="preserve">poskytlo </w:t>
      </w:r>
      <w:r w:rsidR="00977049" w:rsidRPr="00446545">
        <w:rPr>
          <w:rFonts w:ascii="Arial" w:hAnsi="Arial" w:cs="Arial"/>
          <w:color w:val="000000"/>
        </w:rPr>
        <w:t>v období 2003</w:t>
      </w:r>
      <w:r w:rsidR="005F346F">
        <w:rPr>
          <w:rFonts w:ascii="Arial" w:hAnsi="Arial" w:cs="Arial"/>
          <w:color w:val="000000"/>
        </w:rPr>
        <w:t xml:space="preserve"> až </w:t>
      </w:r>
      <w:r w:rsidR="00977049">
        <w:rPr>
          <w:rFonts w:ascii="Arial" w:hAnsi="Arial" w:cs="Arial"/>
          <w:color w:val="000000"/>
        </w:rPr>
        <w:t>2012 (do doby ukončení kontrolní akce)</w:t>
      </w:r>
      <w:r w:rsidR="00977049" w:rsidRPr="00446545">
        <w:rPr>
          <w:rFonts w:ascii="Arial" w:hAnsi="Arial" w:cs="Arial"/>
          <w:color w:val="000000"/>
        </w:rPr>
        <w:t xml:space="preserve"> celkem 1 015 mil. Kč.</w:t>
      </w:r>
      <w:r w:rsidR="00977049">
        <w:rPr>
          <w:rFonts w:ascii="Arial" w:hAnsi="Arial" w:cs="Arial"/>
          <w:color w:val="000000"/>
        </w:rPr>
        <w:t xml:space="preserve"> K</w:t>
      </w:r>
      <w:r w:rsidR="009D24D7" w:rsidRPr="00446545">
        <w:rPr>
          <w:rFonts w:ascii="Arial" w:hAnsi="Arial" w:cs="Arial"/>
          <w:color w:val="000000"/>
        </w:rPr>
        <w:t>on</w:t>
      </w:r>
      <w:r w:rsidR="000E0D7C" w:rsidRPr="00446545">
        <w:rPr>
          <w:rFonts w:ascii="Arial" w:hAnsi="Arial" w:cs="Arial"/>
          <w:color w:val="000000"/>
        </w:rPr>
        <w:t>cepční neujasněnost je důvodem</w:t>
      </w:r>
      <w:r w:rsidRPr="00446545">
        <w:rPr>
          <w:rFonts w:ascii="Arial" w:hAnsi="Arial" w:cs="Arial"/>
          <w:color w:val="000000"/>
        </w:rPr>
        <w:t xml:space="preserve"> absence navazujících strategických a koncepčních dokumentů (kromě sa</w:t>
      </w:r>
      <w:r w:rsidR="0012348E">
        <w:rPr>
          <w:rFonts w:ascii="Arial" w:hAnsi="Arial" w:cs="Arial"/>
          <w:color w:val="000000"/>
        </w:rPr>
        <w:t>motné dokumentace Programu</w:t>
      </w:r>
      <w:r w:rsidRPr="00446545">
        <w:rPr>
          <w:rFonts w:ascii="Arial" w:hAnsi="Arial" w:cs="Arial"/>
          <w:color w:val="000000"/>
        </w:rPr>
        <w:t xml:space="preserve">), které by byly předpokladem pro dlouhodobé, </w:t>
      </w:r>
      <w:r w:rsidR="005916A9" w:rsidRPr="00446545">
        <w:rPr>
          <w:rFonts w:ascii="Arial" w:hAnsi="Arial" w:cs="Arial"/>
          <w:color w:val="000000"/>
        </w:rPr>
        <w:t>systémové</w:t>
      </w:r>
      <w:r w:rsidRPr="00446545">
        <w:rPr>
          <w:rFonts w:ascii="Arial" w:hAnsi="Arial" w:cs="Arial"/>
          <w:color w:val="000000"/>
        </w:rPr>
        <w:t xml:space="preserve"> a efektivní vynakládání peněžních prostředků </w:t>
      </w:r>
      <w:r w:rsidRPr="00446545">
        <w:rPr>
          <w:rFonts w:ascii="Arial" w:hAnsi="Arial" w:cs="Arial"/>
          <w:noProof/>
          <w:color w:val="000000"/>
        </w:rPr>
        <w:t>na rozvoj a obnovu materiálně-technické základny fakultních nemocnic.</w:t>
      </w:r>
    </w:p>
    <w:p w:rsidR="00C752B5" w:rsidRPr="00E301C8" w:rsidRDefault="00C752B5" w:rsidP="00EF188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</w:rPr>
      </w:pPr>
    </w:p>
    <w:p w:rsidR="0012348E" w:rsidRDefault="0012348E" w:rsidP="00EF188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2. </w:t>
      </w:r>
      <w:r w:rsidR="00BE23B4" w:rsidRPr="005810F7">
        <w:rPr>
          <w:rFonts w:ascii="Arial" w:hAnsi="Arial" w:cs="Arial"/>
          <w:b/>
          <w:color w:val="000000"/>
        </w:rPr>
        <w:t xml:space="preserve">Poskytování dotací </w:t>
      </w:r>
      <w:r w:rsidR="00A640E1">
        <w:rPr>
          <w:rFonts w:ascii="Arial" w:hAnsi="Arial" w:cs="Arial"/>
          <w:b/>
          <w:color w:val="000000"/>
        </w:rPr>
        <w:t xml:space="preserve">z </w:t>
      </w:r>
      <w:r w:rsidR="005810F7" w:rsidRPr="005810F7">
        <w:rPr>
          <w:rFonts w:ascii="Arial" w:hAnsi="Arial" w:cs="Arial"/>
          <w:b/>
        </w:rPr>
        <w:t xml:space="preserve">Programu </w:t>
      </w:r>
      <w:r w:rsidR="00BE23B4" w:rsidRPr="005810F7">
        <w:rPr>
          <w:rFonts w:ascii="Arial" w:hAnsi="Arial" w:cs="Arial"/>
          <w:b/>
          <w:color w:val="000000"/>
        </w:rPr>
        <w:t>a jejich kontrola</w:t>
      </w:r>
    </w:p>
    <w:p w:rsidR="00EF1883" w:rsidRPr="00EF1883" w:rsidRDefault="00EF1883" w:rsidP="00EF188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</w:rPr>
      </w:pPr>
    </w:p>
    <w:p w:rsidR="00F925C6" w:rsidRPr="00F925C6" w:rsidRDefault="00BE23B4" w:rsidP="00EF1883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F925C6">
        <w:rPr>
          <w:b/>
        </w:rPr>
        <w:t>MZ</w:t>
      </w:r>
      <w:r>
        <w:rPr>
          <w:b/>
        </w:rPr>
        <w:t xml:space="preserve"> </w:t>
      </w:r>
      <w:r w:rsidRPr="00F925C6">
        <w:rPr>
          <w:b/>
        </w:rPr>
        <w:t xml:space="preserve">neaktualizovalo </w:t>
      </w:r>
      <w:r w:rsidR="00C522F3">
        <w:rPr>
          <w:b/>
        </w:rPr>
        <w:t xml:space="preserve">některé </w:t>
      </w:r>
      <w:r w:rsidR="00EE6971">
        <w:rPr>
          <w:b/>
        </w:rPr>
        <w:t>interní</w:t>
      </w:r>
      <w:r w:rsidR="00F925C6" w:rsidRPr="00F925C6">
        <w:rPr>
          <w:b/>
        </w:rPr>
        <w:t xml:space="preserve"> </w:t>
      </w:r>
      <w:r w:rsidR="00C522F3">
        <w:rPr>
          <w:b/>
        </w:rPr>
        <w:t>předpisy</w:t>
      </w:r>
      <w:r w:rsidR="00F925C6" w:rsidRPr="00F925C6">
        <w:rPr>
          <w:b/>
        </w:rPr>
        <w:t xml:space="preserve"> </w:t>
      </w:r>
      <w:r>
        <w:rPr>
          <w:b/>
        </w:rPr>
        <w:t xml:space="preserve">vydané </w:t>
      </w:r>
      <w:r w:rsidR="00BF11AD">
        <w:rPr>
          <w:b/>
        </w:rPr>
        <w:t>k</w:t>
      </w:r>
      <w:r w:rsidR="00EF6FEC">
        <w:rPr>
          <w:b/>
        </w:rPr>
        <w:t> programovému financování</w:t>
      </w:r>
    </w:p>
    <w:p w:rsidR="00EF1883" w:rsidRDefault="00EF1883" w:rsidP="00EF1883">
      <w:pPr>
        <w:spacing w:after="0" w:line="240" w:lineRule="auto"/>
        <w:jc w:val="both"/>
      </w:pPr>
    </w:p>
    <w:p w:rsidR="00D467AB" w:rsidRDefault="005E55EF" w:rsidP="00EF1883">
      <w:pPr>
        <w:spacing w:after="0" w:line="240" w:lineRule="auto"/>
        <w:jc w:val="both"/>
        <w:rPr>
          <w:color w:val="000000"/>
        </w:rPr>
      </w:pPr>
      <w:r w:rsidRPr="003F1BD1">
        <w:t xml:space="preserve">Oblast programového financování byla v kontrolovaném období </w:t>
      </w:r>
      <w:r w:rsidR="00D467AB" w:rsidRPr="003F1BD1">
        <w:t xml:space="preserve">legislativně </w:t>
      </w:r>
      <w:r w:rsidRPr="003F1BD1">
        <w:t>upravena především zákonem č. 218/2000 Sb., vyhláškou</w:t>
      </w:r>
      <w:r w:rsidR="00CE36B6" w:rsidRPr="003F1BD1">
        <w:t xml:space="preserve"> </w:t>
      </w:r>
      <w:r w:rsidRPr="003F1BD1">
        <w:t>č. 560/2006</w:t>
      </w:r>
      <w:r w:rsidR="00835C55">
        <w:t xml:space="preserve"> Sb.</w:t>
      </w:r>
      <w:r w:rsidRPr="003F1BD1">
        <w:t xml:space="preserve"> a </w:t>
      </w:r>
      <w:r w:rsidR="003015C3">
        <w:t xml:space="preserve">dále </w:t>
      </w:r>
      <w:r w:rsidRPr="003F1BD1">
        <w:t>pokyny</w:t>
      </w:r>
      <w:r w:rsidR="007B48EC">
        <w:rPr>
          <w:rStyle w:val="Znakapoznpodarou"/>
        </w:rPr>
        <w:footnoteReference w:id="7"/>
      </w:r>
      <w:r w:rsidRPr="003F1BD1">
        <w:t xml:space="preserve"> </w:t>
      </w:r>
      <w:r w:rsidR="007B48EC">
        <w:t>Ministerstva financí (dále jen „MF“)</w:t>
      </w:r>
      <w:r w:rsidRPr="003F1BD1">
        <w:t xml:space="preserve">. Kromě </w:t>
      </w:r>
      <w:r w:rsidR="005916A9">
        <w:t>toho</w:t>
      </w:r>
      <w:r w:rsidRPr="003F1BD1">
        <w:t xml:space="preserve"> vydalo MZ řadu interních předpisů a metodik, </w:t>
      </w:r>
      <w:r w:rsidR="00F2541B">
        <w:t>jimiž</w:t>
      </w:r>
      <w:r w:rsidRPr="003F1BD1">
        <w:t xml:space="preserve"> </w:t>
      </w:r>
      <w:r w:rsidR="00936CF4" w:rsidRPr="003F1BD1">
        <w:t xml:space="preserve">dále podrobněji upravilo </w:t>
      </w:r>
      <w:r w:rsidRPr="003F1BD1">
        <w:t>poskytov</w:t>
      </w:r>
      <w:r w:rsidR="00CE36B6" w:rsidRPr="003F1BD1">
        <w:t>á</w:t>
      </w:r>
      <w:r w:rsidRPr="003F1BD1">
        <w:t xml:space="preserve">ní </w:t>
      </w:r>
      <w:r w:rsidR="00CE36B6" w:rsidRPr="003F1BD1">
        <w:t xml:space="preserve">peněžních </w:t>
      </w:r>
      <w:r w:rsidR="00D467AB" w:rsidRPr="003F1BD1">
        <w:t>prostředků</w:t>
      </w:r>
      <w:r w:rsidR="00CE36B6" w:rsidRPr="003F1BD1">
        <w:t xml:space="preserve">. </w:t>
      </w:r>
      <w:r w:rsidR="00CE36B6" w:rsidRPr="00F925C6">
        <w:rPr>
          <w:color w:val="000000"/>
        </w:rPr>
        <w:t xml:space="preserve">MZ </w:t>
      </w:r>
      <w:r w:rsidR="005801E7">
        <w:rPr>
          <w:color w:val="000000"/>
        </w:rPr>
        <w:t xml:space="preserve">však některé z těchto předpisů (např. </w:t>
      </w:r>
      <w:r w:rsidR="00F2541B">
        <w:rPr>
          <w:color w:val="000000"/>
        </w:rPr>
        <w:t xml:space="preserve">předpisy </w:t>
      </w:r>
      <w:r w:rsidR="005801E7">
        <w:rPr>
          <w:color w:val="000000"/>
        </w:rPr>
        <w:t xml:space="preserve">pro oblast </w:t>
      </w:r>
      <w:r w:rsidR="00BC429C">
        <w:rPr>
          <w:color w:val="000000"/>
        </w:rPr>
        <w:t xml:space="preserve">realizace programů reprodukce majetku nebo </w:t>
      </w:r>
      <w:r w:rsidR="00F2541B">
        <w:rPr>
          <w:color w:val="000000"/>
        </w:rPr>
        <w:t xml:space="preserve">pro </w:t>
      </w:r>
      <w:r w:rsidR="005801E7">
        <w:rPr>
          <w:color w:val="000000"/>
        </w:rPr>
        <w:t>finanční kontroly)</w:t>
      </w:r>
      <w:r w:rsidR="00CE36B6" w:rsidRPr="00F925C6">
        <w:rPr>
          <w:color w:val="000000"/>
        </w:rPr>
        <w:t xml:space="preserve"> pravidelně neaktualizovalo</w:t>
      </w:r>
      <w:r w:rsidR="00E02573" w:rsidRPr="00F925C6">
        <w:rPr>
          <w:color w:val="000000"/>
        </w:rPr>
        <w:t xml:space="preserve">. </w:t>
      </w:r>
    </w:p>
    <w:p w:rsidR="00C13808" w:rsidRPr="003F1BD1" w:rsidRDefault="00C13808" w:rsidP="0080427D">
      <w:pPr>
        <w:spacing w:after="0" w:line="240" w:lineRule="auto"/>
        <w:jc w:val="both"/>
      </w:pPr>
    </w:p>
    <w:p w:rsidR="00D467AB" w:rsidRPr="00F925C6" w:rsidRDefault="003448C6" w:rsidP="00965AA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MZ přijalo n</w:t>
      </w:r>
      <w:r w:rsidR="00C731AE">
        <w:rPr>
          <w:b/>
        </w:rPr>
        <w:t>ěkterá o</w:t>
      </w:r>
      <w:r w:rsidR="00F925C6">
        <w:rPr>
          <w:b/>
        </w:rPr>
        <w:t xml:space="preserve">patření k zajištění hospodárnosti a efektivnosti výdajů </w:t>
      </w:r>
      <w:r w:rsidR="00C731AE">
        <w:rPr>
          <w:b/>
        </w:rPr>
        <w:t>opožděně</w:t>
      </w:r>
      <w:r w:rsidR="00643129">
        <w:rPr>
          <w:b/>
        </w:rPr>
        <w:t xml:space="preserve"> nebo </w:t>
      </w:r>
      <w:r w:rsidR="00B56117">
        <w:rPr>
          <w:b/>
        </w:rPr>
        <w:t xml:space="preserve">je </w:t>
      </w:r>
      <w:r w:rsidR="00643129">
        <w:rPr>
          <w:b/>
        </w:rPr>
        <w:t>ne</w:t>
      </w:r>
      <w:r w:rsidR="00C731AE">
        <w:rPr>
          <w:b/>
        </w:rPr>
        <w:t>respektovalo</w:t>
      </w:r>
    </w:p>
    <w:p w:rsidR="00EF1883" w:rsidRDefault="00EF1883" w:rsidP="0080427D">
      <w:pPr>
        <w:spacing w:after="0" w:line="240" w:lineRule="auto"/>
        <w:jc w:val="both"/>
        <w:rPr>
          <w:rStyle w:val="st"/>
        </w:rPr>
      </w:pPr>
    </w:p>
    <w:p w:rsidR="003015C3" w:rsidRPr="009813A2" w:rsidRDefault="00611A0B" w:rsidP="0080427D">
      <w:pPr>
        <w:spacing w:after="0" w:line="240" w:lineRule="auto"/>
        <w:jc w:val="both"/>
        <w:rPr>
          <w:bCs/>
        </w:rPr>
      </w:pPr>
      <w:r w:rsidRPr="00CE7D09">
        <w:rPr>
          <w:rStyle w:val="st"/>
        </w:rPr>
        <w:t xml:space="preserve">V případě veřejných zakázek (dále </w:t>
      </w:r>
      <w:r w:rsidR="00681CF8" w:rsidRPr="00CE7D09">
        <w:rPr>
          <w:rStyle w:val="st"/>
        </w:rPr>
        <w:t>také</w:t>
      </w:r>
      <w:r w:rsidRPr="00CE7D09">
        <w:rPr>
          <w:rStyle w:val="st"/>
        </w:rPr>
        <w:t xml:space="preserve"> „VZ“) na stavební práce osmi </w:t>
      </w:r>
      <w:r w:rsidRPr="00CE7D09">
        <w:t>akcí vybraných podprogramů</w:t>
      </w:r>
      <w:r w:rsidRPr="00CE7D09">
        <w:rPr>
          <w:rStyle w:val="st"/>
        </w:rPr>
        <w:t xml:space="preserve"> byla základním hodnot</w:t>
      </w:r>
      <w:r w:rsidR="00E97B3D">
        <w:rPr>
          <w:rStyle w:val="st"/>
        </w:rPr>
        <w:t>i</w:t>
      </w:r>
      <w:r w:rsidRPr="00CE7D09">
        <w:rPr>
          <w:rStyle w:val="st"/>
        </w:rPr>
        <w:t xml:space="preserve">cím kritériem </w:t>
      </w:r>
      <w:r w:rsidRPr="00CE7D09">
        <w:rPr>
          <w:rStyle w:val="Zvraznn"/>
          <w:b w:val="0"/>
        </w:rPr>
        <w:t>ekonomická výhodnost nabídky.</w:t>
      </w:r>
      <w:r w:rsidR="00390CBD">
        <w:rPr>
          <w:rStyle w:val="Zvraznn"/>
          <w:b w:val="0"/>
        </w:rPr>
        <w:t xml:space="preserve"> Váhu dílčího kritéria </w:t>
      </w:r>
      <w:r w:rsidR="00E97B3D">
        <w:rPr>
          <w:rStyle w:val="Zvraznn"/>
          <w:b w:val="0"/>
        </w:rPr>
        <w:t>„</w:t>
      </w:r>
      <w:r w:rsidR="000068D4">
        <w:rPr>
          <w:rStyle w:val="Zvraznn"/>
          <w:b w:val="0"/>
        </w:rPr>
        <w:t>výš</w:t>
      </w:r>
      <w:r w:rsidR="00E97B3D">
        <w:rPr>
          <w:rStyle w:val="Zvraznn"/>
          <w:b w:val="0"/>
        </w:rPr>
        <w:t>e</w:t>
      </w:r>
      <w:r w:rsidR="000068D4">
        <w:rPr>
          <w:rStyle w:val="Zvraznn"/>
          <w:b w:val="0"/>
        </w:rPr>
        <w:t xml:space="preserve"> nabídkové ceny</w:t>
      </w:r>
      <w:r w:rsidR="00E97B3D">
        <w:rPr>
          <w:rStyle w:val="Zvraznn"/>
          <w:b w:val="0"/>
        </w:rPr>
        <w:t>“</w:t>
      </w:r>
      <w:r w:rsidR="000068D4">
        <w:rPr>
          <w:rStyle w:val="Zvraznn"/>
          <w:b w:val="0"/>
        </w:rPr>
        <w:t xml:space="preserve"> </w:t>
      </w:r>
      <w:r w:rsidR="00C9087E">
        <w:rPr>
          <w:rStyle w:val="Zvraznn"/>
          <w:b w:val="0"/>
        </w:rPr>
        <w:t xml:space="preserve">však </w:t>
      </w:r>
      <w:r w:rsidR="000068D4" w:rsidRPr="00CE7D09">
        <w:rPr>
          <w:rStyle w:val="Zvraznn"/>
          <w:b w:val="0"/>
        </w:rPr>
        <w:t xml:space="preserve">stanovily FN se souhlasem MZ např. </w:t>
      </w:r>
      <w:r w:rsidR="000068D4">
        <w:rPr>
          <w:rStyle w:val="Zvraznn"/>
          <w:b w:val="0"/>
        </w:rPr>
        <w:t>pro akc</w:t>
      </w:r>
      <w:r w:rsidR="00C9087E">
        <w:rPr>
          <w:rStyle w:val="Zvraznn"/>
          <w:b w:val="0"/>
        </w:rPr>
        <w:t>i</w:t>
      </w:r>
      <w:r w:rsidR="000068D4">
        <w:rPr>
          <w:rStyle w:val="Zvraznn"/>
          <w:b w:val="0"/>
        </w:rPr>
        <w:t xml:space="preserve"> </w:t>
      </w:r>
      <w:r w:rsidR="00390CBD" w:rsidRPr="00E83989">
        <w:rPr>
          <w:rStyle w:val="Zvraznn"/>
          <w:b w:val="0"/>
          <w:i/>
        </w:rPr>
        <w:t xml:space="preserve">FN Motol </w:t>
      </w:r>
      <w:r w:rsidR="00965AA5" w:rsidRPr="00E83989">
        <w:rPr>
          <w:rStyle w:val="Zvraznn"/>
          <w:b w:val="0"/>
          <w:i/>
        </w:rPr>
        <w:t>–</w:t>
      </w:r>
      <w:r w:rsidR="00390CBD" w:rsidRPr="00E83989">
        <w:rPr>
          <w:rStyle w:val="Zvraznn"/>
          <w:b w:val="0"/>
          <w:i/>
        </w:rPr>
        <w:t xml:space="preserve"> </w:t>
      </w:r>
      <w:r w:rsidR="000068D4" w:rsidRPr="00E83989">
        <w:rPr>
          <w:rStyle w:val="Zvraznn"/>
          <w:b w:val="0"/>
          <w:i/>
        </w:rPr>
        <w:t>řešení havarijní situace v dětské části</w:t>
      </w:r>
      <w:r w:rsidR="00390CBD">
        <w:rPr>
          <w:rStyle w:val="Zvraznn"/>
          <w:b w:val="0"/>
        </w:rPr>
        <w:t xml:space="preserve"> pouze </w:t>
      </w:r>
      <w:r w:rsidR="00A31A97">
        <w:rPr>
          <w:rStyle w:val="Zvraznn"/>
          <w:b w:val="0"/>
        </w:rPr>
        <w:t>na úrovni</w:t>
      </w:r>
      <w:r w:rsidR="007678A4">
        <w:rPr>
          <w:rStyle w:val="Zvraznn"/>
          <w:b w:val="0"/>
        </w:rPr>
        <w:t xml:space="preserve"> </w:t>
      </w:r>
      <w:r w:rsidR="000068D4">
        <w:rPr>
          <w:rStyle w:val="Zvraznn"/>
          <w:b w:val="0"/>
        </w:rPr>
        <w:t>30</w:t>
      </w:r>
      <w:r w:rsidR="00390CBD">
        <w:rPr>
          <w:rStyle w:val="Zvraznn"/>
          <w:b w:val="0"/>
        </w:rPr>
        <w:t xml:space="preserve"> </w:t>
      </w:r>
      <w:r w:rsidR="000068D4">
        <w:rPr>
          <w:rStyle w:val="Zvraznn"/>
          <w:b w:val="0"/>
        </w:rPr>
        <w:t>%</w:t>
      </w:r>
      <w:r w:rsidR="00C9087E">
        <w:rPr>
          <w:rStyle w:val="Zvraznn"/>
          <w:b w:val="0"/>
        </w:rPr>
        <w:t xml:space="preserve"> a pro akci</w:t>
      </w:r>
      <w:r w:rsidR="00390CBD" w:rsidRPr="00CE7D09">
        <w:rPr>
          <w:rStyle w:val="Zvraznn"/>
          <w:b w:val="0"/>
        </w:rPr>
        <w:t xml:space="preserve"> </w:t>
      </w:r>
      <w:r w:rsidR="00390CBD" w:rsidRPr="00E83989">
        <w:rPr>
          <w:rStyle w:val="Zvraznn"/>
          <w:b w:val="0"/>
          <w:i/>
        </w:rPr>
        <w:t xml:space="preserve">FN Brno </w:t>
      </w:r>
      <w:r w:rsidR="00965AA5" w:rsidRPr="00E83989">
        <w:rPr>
          <w:rStyle w:val="Zvraznn"/>
          <w:b w:val="0"/>
          <w:i/>
        </w:rPr>
        <w:t>–</w:t>
      </w:r>
      <w:r w:rsidR="00390CBD" w:rsidRPr="00E83989">
        <w:rPr>
          <w:rStyle w:val="Zvraznn"/>
          <w:b w:val="0"/>
          <w:i/>
        </w:rPr>
        <w:t xml:space="preserve"> rekonstrukce operačních sálů</w:t>
      </w:r>
      <w:r w:rsidR="00390CBD">
        <w:rPr>
          <w:rStyle w:val="Zvraznn"/>
          <w:b w:val="0"/>
        </w:rPr>
        <w:t xml:space="preserve"> </w:t>
      </w:r>
      <w:r w:rsidR="00A31A97">
        <w:rPr>
          <w:rStyle w:val="Zvraznn"/>
          <w:b w:val="0"/>
        </w:rPr>
        <w:t xml:space="preserve">na úrovni </w:t>
      </w:r>
      <w:r w:rsidR="007678A4">
        <w:rPr>
          <w:rStyle w:val="Zvraznn"/>
          <w:b w:val="0"/>
        </w:rPr>
        <w:t xml:space="preserve">35 %. </w:t>
      </w:r>
      <w:r w:rsidR="00484380" w:rsidRPr="00CE7D09">
        <w:t>Ro</w:t>
      </w:r>
      <w:r w:rsidRPr="00CE7D09">
        <w:t xml:space="preserve">zhodným měřítkem </w:t>
      </w:r>
      <w:r w:rsidR="00484380" w:rsidRPr="00CE7D09">
        <w:t xml:space="preserve">se </w:t>
      </w:r>
      <w:r w:rsidR="007678A4">
        <w:t>tak</w:t>
      </w:r>
      <w:r w:rsidR="007678A4" w:rsidRPr="00CE7D09">
        <w:t xml:space="preserve"> </w:t>
      </w:r>
      <w:r w:rsidRPr="00CE7D09">
        <w:t xml:space="preserve">staly málo vypovídající rozdíly u jednotlivých uchazečů o VZ v ostatních </w:t>
      </w:r>
      <w:r w:rsidR="007678A4">
        <w:t xml:space="preserve">dílčích </w:t>
      </w:r>
      <w:r w:rsidRPr="00CE7D09">
        <w:t>kritériích</w:t>
      </w:r>
      <w:r w:rsidR="00702806" w:rsidRPr="00CE7D09">
        <w:t xml:space="preserve"> (např. bankovní záruky, plán jakosti)</w:t>
      </w:r>
      <w:r w:rsidR="00C9087E">
        <w:t>, a </w:t>
      </w:r>
      <w:r w:rsidRPr="00CE7D09">
        <w:t xml:space="preserve">kritérium </w:t>
      </w:r>
      <w:r w:rsidR="00E97B3D">
        <w:t>„</w:t>
      </w:r>
      <w:r w:rsidRPr="00CE7D09">
        <w:t>výše nabídkové ceny</w:t>
      </w:r>
      <w:r w:rsidR="00E97B3D">
        <w:t>“</w:t>
      </w:r>
      <w:r w:rsidRPr="00CE7D09">
        <w:t xml:space="preserve"> se tak stalo druhořadým</w:t>
      </w:r>
      <w:r w:rsidR="00484380" w:rsidRPr="00CE7D09">
        <w:t>.</w:t>
      </w:r>
      <w:r w:rsidRPr="00CE7D09">
        <w:t xml:space="preserve"> MZ na uvedené riziko reagovalo až v květnu roku 2012 </w:t>
      </w:r>
      <w:r w:rsidR="001F6B47" w:rsidRPr="00CE7D09">
        <w:t>novelizací</w:t>
      </w:r>
      <w:r w:rsidRPr="00CE7D09">
        <w:t xml:space="preserve"> </w:t>
      </w:r>
      <w:r w:rsidRPr="00CE7D09">
        <w:rPr>
          <w:i/>
        </w:rPr>
        <w:t>Protikorupční strategie MZ ČR pro přímo řízené organizace</w:t>
      </w:r>
      <w:r w:rsidR="00EE6971" w:rsidRPr="00CE7D09">
        <w:t xml:space="preserve"> (dále jen „Protikorupční strategie“)</w:t>
      </w:r>
      <w:r w:rsidR="00E97B3D">
        <w:t>,</w:t>
      </w:r>
      <w:r w:rsidR="007678A4">
        <w:t xml:space="preserve"> přijaté v lednu roku 2011</w:t>
      </w:r>
      <w:r w:rsidRPr="00CE7D09">
        <w:t>, v</w:t>
      </w:r>
      <w:r w:rsidR="00C3451E">
        <w:t> </w:t>
      </w:r>
      <w:r w:rsidRPr="00CE7D09">
        <w:t>níž zakotvilo povinnost stanov</w:t>
      </w:r>
      <w:r w:rsidR="00E078C3">
        <w:t>it</w:t>
      </w:r>
      <w:r w:rsidRPr="00CE7D09">
        <w:t xml:space="preserve"> váh</w:t>
      </w:r>
      <w:r w:rsidR="00E078C3">
        <w:t>u</w:t>
      </w:r>
      <w:r w:rsidRPr="00CE7D09">
        <w:t xml:space="preserve"> dílčího kritéria </w:t>
      </w:r>
      <w:r w:rsidR="00E97B3D">
        <w:t>„</w:t>
      </w:r>
      <w:r w:rsidRPr="00CE7D09">
        <w:t>na</w:t>
      </w:r>
      <w:r w:rsidR="00865C33" w:rsidRPr="00CE7D09">
        <w:t>bídková cena</w:t>
      </w:r>
      <w:r w:rsidR="00E97B3D">
        <w:t>“</w:t>
      </w:r>
      <w:r w:rsidR="00865C33" w:rsidRPr="00CE7D09">
        <w:t xml:space="preserve"> minimálně</w:t>
      </w:r>
      <w:r w:rsidR="00CD1DC7">
        <w:t xml:space="preserve"> </w:t>
      </w:r>
      <w:r w:rsidR="00865C33" w:rsidRPr="00CE7D09">
        <w:t xml:space="preserve">na 80 %. </w:t>
      </w:r>
    </w:p>
    <w:p w:rsidR="00110051" w:rsidRPr="00CE7D09" w:rsidRDefault="00110051" w:rsidP="00110051">
      <w:pPr>
        <w:spacing w:after="0" w:line="240" w:lineRule="auto"/>
        <w:jc w:val="both"/>
      </w:pPr>
    </w:p>
    <w:p w:rsidR="00EE6971" w:rsidRPr="00534674" w:rsidRDefault="00611A0B" w:rsidP="00110051">
      <w:pPr>
        <w:spacing w:after="0" w:line="240" w:lineRule="auto"/>
        <w:jc w:val="both"/>
        <w:rPr>
          <w:bCs/>
          <w:color w:val="000000"/>
        </w:rPr>
      </w:pPr>
      <w:r w:rsidRPr="00FF1EE3">
        <w:rPr>
          <w:color w:val="000000"/>
        </w:rPr>
        <w:t xml:space="preserve">MZ </w:t>
      </w:r>
      <w:r w:rsidR="00EE6971">
        <w:rPr>
          <w:color w:val="000000"/>
        </w:rPr>
        <w:t xml:space="preserve">dále </w:t>
      </w:r>
      <w:r w:rsidRPr="00FF1EE3">
        <w:rPr>
          <w:color w:val="000000"/>
        </w:rPr>
        <w:t>odsouhlasilo</w:t>
      </w:r>
      <w:r w:rsidR="00EE6971">
        <w:rPr>
          <w:color w:val="000000"/>
        </w:rPr>
        <w:t xml:space="preserve"> </w:t>
      </w:r>
      <w:r w:rsidR="00484380">
        <w:rPr>
          <w:color w:val="000000"/>
        </w:rPr>
        <w:t>u</w:t>
      </w:r>
      <w:r w:rsidRPr="00FF1EE3">
        <w:rPr>
          <w:color w:val="000000"/>
        </w:rPr>
        <w:t xml:space="preserve"> dvou </w:t>
      </w:r>
      <w:r w:rsidR="00865C33">
        <w:rPr>
          <w:color w:val="000000"/>
        </w:rPr>
        <w:t xml:space="preserve">finančně nejobjemnějších akcí </w:t>
      </w:r>
      <w:r w:rsidR="004D55C6" w:rsidRPr="004D55C6">
        <w:t xml:space="preserve">Programu </w:t>
      </w:r>
      <w:r w:rsidRPr="00FF1EE3">
        <w:rPr>
          <w:color w:val="000000"/>
        </w:rPr>
        <w:t>(</w:t>
      </w:r>
      <w:r w:rsidRPr="00E83989">
        <w:rPr>
          <w:i/>
          <w:color w:val="000000"/>
        </w:rPr>
        <w:t xml:space="preserve">FN Motol – </w:t>
      </w:r>
      <w:r w:rsidR="00123959" w:rsidRPr="00E83989">
        <w:rPr>
          <w:i/>
          <w:color w:val="000000"/>
        </w:rPr>
        <w:t>rekonstrukce a modernizace dětské části</w:t>
      </w:r>
      <w:r w:rsidR="008455D5" w:rsidRPr="00E83989">
        <w:rPr>
          <w:i/>
          <w:color w:val="000000"/>
        </w:rPr>
        <w:t xml:space="preserve"> </w:t>
      </w:r>
      <w:r w:rsidR="00965AA5" w:rsidRPr="00E83989">
        <w:rPr>
          <w:i/>
          <w:color w:val="000000"/>
        </w:rPr>
        <w:t>–</w:t>
      </w:r>
      <w:r w:rsidR="008455D5" w:rsidRPr="00E83989">
        <w:rPr>
          <w:i/>
          <w:color w:val="000000"/>
        </w:rPr>
        <w:t xml:space="preserve"> </w:t>
      </w:r>
      <w:r w:rsidR="00123959" w:rsidRPr="00E83989">
        <w:rPr>
          <w:i/>
          <w:color w:val="000000"/>
        </w:rPr>
        <w:t>objekty A, B, D, D1</w:t>
      </w:r>
      <w:r w:rsidRPr="008577E0">
        <w:rPr>
          <w:color w:val="000000"/>
        </w:rPr>
        <w:t xml:space="preserve"> a </w:t>
      </w:r>
      <w:r w:rsidRPr="00E83989">
        <w:rPr>
          <w:i/>
          <w:color w:val="000000"/>
        </w:rPr>
        <w:t xml:space="preserve">FN Brno </w:t>
      </w:r>
      <w:r w:rsidR="00965AA5" w:rsidRPr="00E83989">
        <w:rPr>
          <w:i/>
          <w:color w:val="000000"/>
        </w:rPr>
        <w:t>–</w:t>
      </w:r>
      <w:r w:rsidRPr="00E83989">
        <w:rPr>
          <w:i/>
          <w:color w:val="000000"/>
        </w:rPr>
        <w:t xml:space="preserve"> </w:t>
      </w:r>
      <w:r w:rsidR="00123959" w:rsidRPr="00E83989">
        <w:rPr>
          <w:rStyle w:val="Zvraznn"/>
          <w:b w:val="0"/>
          <w:i/>
          <w:color w:val="222222"/>
        </w:rPr>
        <w:t>rekonstrukce operačních sálů</w:t>
      </w:r>
      <w:r w:rsidRPr="008577E0">
        <w:rPr>
          <w:color w:val="000000"/>
        </w:rPr>
        <w:t>)</w:t>
      </w:r>
      <w:r w:rsidRPr="00FF1EE3">
        <w:rPr>
          <w:color w:val="000000"/>
        </w:rPr>
        <w:t xml:space="preserve"> výběr zhotovitele VZ formou „generálního dodavatele“, ačkoliv to bylo v rozporu s </w:t>
      </w:r>
      <w:r w:rsidR="00C9087E">
        <w:rPr>
          <w:color w:val="000000"/>
        </w:rPr>
        <w:t xml:space="preserve">materiálem </w:t>
      </w:r>
      <w:r w:rsidRPr="00FF1EE3">
        <w:rPr>
          <w:i/>
          <w:color w:val="000000"/>
        </w:rPr>
        <w:t>Protikorupční opatření v resortu zdravotnictví</w:t>
      </w:r>
      <w:r w:rsidRPr="00FF1EE3">
        <w:rPr>
          <w:rStyle w:val="Znakapoznpodarou"/>
          <w:color w:val="000000"/>
        </w:rPr>
        <w:t xml:space="preserve"> </w:t>
      </w:r>
      <w:r>
        <w:rPr>
          <w:color w:val="000000"/>
        </w:rPr>
        <w:t xml:space="preserve">z roku </w:t>
      </w:r>
      <w:r w:rsidRPr="00FF1EE3">
        <w:rPr>
          <w:color w:val="000000"/>
        </w:rPr>
        <w:t>2003, kter</w:t>
      </w:r>
      <w:r w:rsidR="00C9087E">
        <w:rPr>
          <w:color w:val="000000"/>
        </w:rPr>
        <w:t>ý</w:t>
      </w:r>
      <w:r w:rsidRPr="00FF1EE3">
        <w:rPr>
          <w:color w:val="000000"/>
        </w:rPr>
        <w:t xml:space="preserve"> </w:t>
      </w:r>
      <w:r>
        <w:rPr>
          <w:color w:val="000000"/>
        </w:rPr>
        <w:t>po</w:t>
      </w:r>
      <w:r w:rsidRPr="00FF1EE3">
        <w:rPr>
          <w:color w:val="000000"/>
        </w:rPr>
        <w:t>žadoval důsledné odděl</w:t>
      </w:r>
      <w:r>
        <w:rPr>
          <w:color w:val="000000"/>
        </w:rPr>
        <w:t>ení</w:t>
      </w:r>
      <w:r w:rsidRPr="00FF1EE3">
        <w:rPr>
          <w:color w:val="000000"/>
        </w:rPr>
        <w:t xml:space="preserve"> </w:t>
      </w:r>
      <w:r w:rsidRPr="00FF1EE3">
        <w:rPr>
          <w:bCs/>
          <w:color w:val="000000"/>
        </w:rPr>
        <w:t xml:space="preserve">VZ na stavební práce </w:t>
      </w:r>
      <w:r w:rsidR="00C9087E">
        <w:rPr>
          <w:bCs/>
          <w:color w:val="000000"/>
        </w:rPr>
        <w:t>či</w:t>
      </w:r>
      <w:r w:rsidRPr="00FF1EE3">
        <w:rPr>
          <w:bCs/>
          <w:color w:val="000000"/>
        </w:rPr>
        <w:t xml:space="preserve"> dodávky technologií</w:t>
      </w:r>
      <w:r w:rsidR="00E97B3D">
        <w:rPr>
          <w:bCs/>
          <w:color w:val="000000"/>
        </w:rPr>
        <w:t xml:space="preserve"> a VZ na přístrojové vybavení a </w:t>
      </w:r>
      <w:r w:rsidRPr="00FF1EE3">
        <w:rPr>
          <w:bCs/>
          <w:color w:val="000000"/>
        </w:rPr>
        <w:t>zdravotnickou techniku.</w:t>
      </w:r>
      <w:r w:rsidR="00C731AE">
        <w:rPr>
          <w:bCs/>
          <w:color w:val="000000"/>
        </w:rPr>
        <w:t xml:space="preserve"> </w:t>
      </w:r>
    </w:p>
    <w:p w:rsidR="00500965" w:rsidRDefault="00500965" w:rsidP="00110051">
      <w:pPr>
        <w:spacing w:after="0" w:line="240" w:lineRule="auto"/>
        <w:jc w:val="both"/>
        <w:rPr>
          <w:bCs/>
          <w:color w:val="000000"/>
        </w:rPr>
      </w:pPr>
    </w:p>
    <w:p w:rsidR="00B56117" w:rsidRPr="001F6B47" w:rsidRDefault="00BE23B4" w:rsidP="00965AA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b/>
          <w:color w:val="000000"/>
        </w:rPr>
      </w:pPr>
      <w:r>
        <w:rPr>
          <w:b/>
          <w:bCs/>
          <w:color w:val="000000"/>
        </w:rPr>
        <w:lastRenderedPageBreak/>
        <w:t>S</w:t>
      </w:r>
      <w:r w:rsidR="00C752B5">
        <w:rPr>
          <w:b/>
          <w:bCs/>
          <w:color w:val="000000"/>
        </w:rPr>
        <w:t xml:space="preserve">ystém poskytování a čerpání peněžních prostředků na zdravotnickou techniku nezajišťuje hospodárnost </w:t>
      </w:r>
      <w:r w:rsidR="001F6B47">
        <w:rPr>
          <w:b/>
          <w:bCs/>
          <w:color w:val="000000"/>
        </w:rPr>
        <w:t xml:space="preserve">a účelnost </w:t>
      </w:r>
      <w:r w:rsidR="00C752B5">
        <w:rPr>
          <w:b/>
          <w:bCs/>
          <w:color w:val="000000"/>
        </w:rPr>
        <w:t xml:space="preserve">výdajů </w:t>
      </w:r>
      <w:r w:rsidR="00C9087E">
        <w:rPr>
          <w:b/>
          <w:bCs/>
          <w:color w:val="000000"/>
        </w:rPr>
        <w:t>P</w:t>
      </w:r>
      <w:r w:rsidR="00C9087E">
        <w:rPr>
          <w:b/>
        </w:rPr>
        <w:t>rogramu</w:t>
      </w:r>
    </w:p>
    <w:p w:rsidR="00EF1883" w:rsidRDefault="00EF1883" w:rsidP="00BA3148">
      <w:pPr>
        <w:spacing w:after="0" w:line="240" w:lineRule="auto"/>
        <w:jc w:val="both"/>
        <w:rPr>
          <w:bCs/>
          <w:color w:val="000000"/>
        </w:rPr>
      </w:pPr>
    </w:p>
    <w:p w:rsidR="00BA3148" w:rsidRPr="00BA3148" w:rsidRDefault="001F6B47" w:rsidP="00BA3148">
      <w:pPr>
        <w:spacing w:after="0" w:line="240" w:lineRule="auto"/>
        <w:jc w:val="both"/>
        <w:rPr>
          <w:b/>
          <w:bCs/>
          <w:color w:val="000000"/>
        </w:rPr>
      </w:pPr>
      <w:r w:rsidRPr="001F6B47">
        <w:rPr>
          <w:bCs/>
          <w:color w:val="000000"/>
        </w:rPr>
        <w:t>K</w:t>
      </w:r>
      <w:r w:rsidRPr="00E97B3D">
        <w:rPr>
          <w:bCs/>
          <w:color w:val="000000"/>
        </w:rPr>
        <w:t xml:space="preserve"> </w:t>
      </w:r>
      <w:r w:rsidRPr="003F1BD1">
        <w:rPr>
          <w:color w:val="000000"/>
        </w:rPr>
        <w:t>nejvýznamnějším</w:t>
      </w:r>
      <w:r>
        <w:rPr>
          <w:color w:val="000000"/>
        </w:rPr>
        <w:t xml:space="preserve"> opatřením Protikorupční strategie </w:t>
      </w:r>
      <w:r w:rsidR="004D6543">
        <w:rPr>
          <w:color w:val="000000"/>
        </w:rPr>
        <w:t>patřil</w:t>
      </w:r>
      <w:r w:rsidR="00E64AD8">
        <w:rPr>
          <w:color w:val="000000"/>
        </w:rPr>
        <w:t xml:space="preserve"> </w:t>
      </w:r>
      <w:r w:rsidR="007678A4">
        <w:rPr>
          <w:color w:val="000000"/>
        </w:rPr>
        <w:t xml:space="preserve">záměr </w:t>
      </w:r>
      <w:r w:rsidR="001B43F0">
        <w:rPr>
          <w:color w:val="000000"/>
        </w:rPr>
        <w:t>zřídit</w:t>
      </w:r>
      <w:r w:rsidR="00643129" w:rsidRPr="003F1BD1">
        <w:rPr>
          <w:color w:val="000000"/>
        </w:rPr>
        <w:t xml:space="preserve"> registr referenčních cen vybraných léků, speciál</w:t>
      </w:r>
      <w:r w:rsidR="00F02B9F">
        <w:rPr>
          <w:color w:val="000000"/>
        </w:rPr>
        <w:t>ního zdravotnického materiálu a </w:t>
      </w:r>
      <w:r w:rsidR="00643129">
        <w:rPr>
          <w:color w:val="000000"/>
        </w:rPr>
        <w:t>p</w:t>
      </w:r>
      <w:r w:rsidR="00BA3148">
        <w:rPr>
          <w:color w:val="000000"/>
        </w:rPr>
        <w:t xml:space="preserve">řístrojů zdravotnické techniky, </w:t>
      </w:r>
      <w:r w:rsidR="00BA3148" w:rsidRPr="003F1BD1">
        <w:rPr>
          <w:color w:val="000000"/>
        </w:rPr>
        <w:t xml:space="preserve">na </w:t>
      </w:r>
      <w:r w:rsidR="001B43F0">
        <w:rPr>
          <w:color w:val="000000"/>
        </w:rPr>
        <w:t xml:space="preserve">jehož </w:t>
      </w:r>
      <w:r w:rsidR="00BA3148" w:rsidRPr="003F1BD1">
        <w:rPr>
          <w:color w:val="000000"/>
        </w:rPr>
        <w:t>základě by bylo možn</w:t>
      </w:r>
      <w:r w:rsidR="001B43F0">
        <w:rPr>
          <w:color w:val="000000"/>
        </w:rPr>
        <w:t>é</w:t>
      </w:r>
      <w:r w:rsidR="00BA3148" w:rsidRPr="003F1BD1">
        <w:rPr>
          <w:color w:val="000000"/>
        </w:rPr>
        <w:t xml:space="preserve"> </w:t>
      </w:r>
      <w:r w:rsidR="001B43F0" w:rsidRPr="003F1BD1">
        <w:rPr>
          <w:color w:val="000000"/>
        </w:rPr>
        <w:t xml:space="preserve">objektivně ověřit výši nabídkových cen </w:t>
      </w:r>
      <w:r w:rsidR="00BA3148" w:rsidRPr="003F1BD1">
        <w:rPr>
          <w:color w:val="000000"/>
        </w:rPr>
        <w:t>v r</w:t>
      </w:r>
      <w:r w:rsidR="00130104">
        <w:rPr>
          <w:color w:val="000000"/>
        </w:rPr>
        <w:t>ámci posuzování hospodárnosti a </w:t>
      </w:r>
      <w:r w:rsidR="00BA3148" w:rsidRPr="003F1BD1">
        <w:rPr>
          <w:color w:val="000000"/>
        </w:rPr>
        <w:t xml:space="preserve">efektivnosti </w:t>
      </w:r>
      <w:r w:rsidR="00BA3148">
        <w:rPr>
          <w:color w:val="000000"/>
        </w:rPr>
        <w:t>plánovaných</w:t>
      </w:r>
      <w:r w:rsidR="00BA3148" w:rsidRPr="003F1BD1">
        <w:rPr>
          <w:color w:val="000000"/>
        </w:rPr>
        <w:t xml:space="preserve"> </w:t>
      </w:r>
      <w:r w:rsidR="00BA3148">
        <w:rPr>
          <w:color w:val="000000"/>
        </w:rPr>
        <w:t>nákupů</w:t>
      </w:r>
      <w:r w:rsidR="007678A4">
        <w:rPr>
          <w:color w:val="000000"/>
        </w:rPr>
        <w:t>.</w:t>
      </w:r>
      <w:r w:rsidR="00BA3148" w:rsidRPr="00E97B3D">
        <w:rPr>
          <w:bCs/>
          <w:color w:val="000000"/>
        </w:rPr>
        <w:t xml:space="preserve"> </w:t>
      </w:r>
      <w:r w:rsidR="008455D5" w:rsidRPr="008455D5">
        <w:rPr>
          <w:bCs/>
          <w:color w:val="000000"/>
        </w:rPr>
        <w:t>MZ</w:t>
      </w:r>
      <w:r w:rsidR="008455D5" w:rsidRPr="00E97B3D">
        <w:rPr>
          <w:bCs/>
          <w:color w:val="000000"/>
        </w:rPr>
        <w:t xml:space="preserve"> </w:t>
      </w:r>
      <w:r w:rsidR="00BA3148">
        <w:rPr>
          <w:color w:val="000000"/>
        </w:rPr>
        <w:t xml:space="preserve">však </w:t>
      </w:r>
      <w:r w:rsidR="00BA3148" w:rsidRPr="003F1BD1">
        <w:rPr>
          <w:color w:val="000000"/>
        </w:rPr>
        <w:t xml:space="preserve">do doby ukončení </w:t>
      </w:r>
      <w:r w:rsidR="00BA3148">
        <w:rPr>
          <w:color w:val="000000"/>
        </w:rPr>
        <w:t xml:space="preserve">kontrolní akce </w:t>
      </w:r>
      <w:r w:rsidR="008455D5">
        <w:rPr>
          <w:color w:val="000000"/>
        </w:rPr>
        <w:t xml:space="preserve">registr jako </w:t>
      </w:r>
      <w:r w:rsidR="008455D5" w:rsidRPr="003F1BD1">
        <w:rPr>
          <w:color w:val="000000"/>
        </w:rPr>
        <w:t>veře</w:t>
      </w:r>
      <w:r w:rsidR="008455D5">
        <w:rPr>
          <w:color w:val="000000"/>
        </w:rPr>
        <w:t>jný nezávislý informační zdroj nezřídilo.</w:t>
      </w:r>
    </w:p>
    <w:p w:rsidR="00BA3148" w:rsidRDefault="00BA3148" w:rsidP="0080427D">
      <w:pPr>
        <w:spacing w:after="0" w:line="240" w:lineRule="auto"/>
        <w:jc w:val="both"/>
        <w:rPr>
          <w:color w:val="000000"/>
        </w:rPr>
      </w:pPr>
    </w:p>
    <w:p w:rsidR="004F4591" w:rsidRDefault="004F4591" w:rsidP="0080427D">
      <w:pPr>
        <w:spacing w:after="0" w:line="240" w:lineRule="auto"/>
        <w:jc w:val="both"/>
      </w:pPr>
      <w:r w:rsidRPr="003F1BD1">
        <w:rPr>
          <w:color w:val="000000"/>
        </w:rPr>
        <w:t xml:space="preserve">Odborný poradní nezávislý sbor MZ </w:t>
      </w:r>
      <w:r w:rsidR="00C9087E">
        <w:rPr>
          <w:color w:val="000000"/>
        </w:rPr>
        <w:t>(tj. </w:t>
      </w:r>
      <w:r w:rsidR="00E078C3">
        <w:rPr>
          <w:color w:val="000000"/>
        </w:rPr>
        <w:t>k</w:t>
      </w:r>
      <w:r w:rsidRPr="00E83989">
        <w:rPr>
          <w:color w:val="000000"/>
        </w:rPr>
        <w:t>omise pro posuzování rozmístění přístrojových zdravotnických prostředků</w:t>
      </w:r>
      <w:r w:rsidR="00C9087E">
        <w:rPr>
          <w:color w:val="000000"/>
        </w:rPr>
        <w:t>)</w:t>
      </w:r>
      <w:r w:rsidRPr="00CE7D09">
        <w:rPr>
          <w:color w:val="000000"/>
        </w:rPr>
        <w:t>, jehož</w:t>
      </w:r>
      <w:r w:rsidRPr="003F1BD1">
        <w:rPr>
          <w:color w:val="000000"/>
        </w:rPr>
        <w:t xml:space="preserve"> úkolem byl dohled nad tím, aby finančně nákladná zdravotnická technika nebyla pořizována pouze na základě rozhodnutí samotných FN, tedy bez jakékoliv regulace, existoval v kontrolovaném období pouze do června 2007, kdy byl bez náhrady zrušen. Vzhledem k absenci střednědobé koncepce MZ pro rozmísťování zdravotnické techniky, neexistenci kontinuálního přehledu o již pořízené zdravotnické technice prostřednictvím všech typů dotací a</w:t>
      </w:r>
      <w:r w:rsidR="00C9087E">
        <w:rPr>
          <w:color w:val="000000"/>
        </w:rPr>
        <w:t> vzhledem ke zrušení odborného poradního sboru</w:t>
      </w:r>
      <w:r w:rsidRPr="003F1BD1">
        <w:rPr>
          <w:color w:val="000000"/>
        </w:rPr>
        <w:t xml:space="preserve"> existuje v</w:t>
      </w:r>
      <w:r w:rsidR="004D55C6">
        <w:rPr>
          <w:color w:val="000000"/>
        </w:rPr>
        <w:t> </w:t>
      </w:r>
      <w:r w:rsidRPr="003F1BD1">
        <w:rPr>
          <w:color w:val="000000"/>
        </w:rPr>
        <w:t>rámci</w:t>
      </w:r>
      <w:r w:rsidR="004D55C6">
        <w:rPr>
          <w:color w:val="000000"/>
        </w:rPr>
        <w:t xml:space="preserve"> </w:t>
      </w:r>
      <w:r w:rsidR="0012348E">
        <w:t xml:space="preserve">Programu </w:t>
      </w:r>
      <w:r w:rsidRPr="003F1BD1">
        <w:rPr>
          <w:color w:val="000000"/>
        </w:rPr>
        <w:t xml:space="preserve">riziko neúčelného vynakládání peněžních prostředků na pořízení </w:t>
      </w:r>
      <w:r>
        <w:rPr>
          <w:color w:val="000000"/>
        </w:rPr>
        <w:t xml:space="preserve">a obnovu </w:t>
      </w:r>
      <w:r w:rsidRPr="003F1BD1">
        <w:rPr>
          <w:color w:val="000000"/>
        </w:rPr>
        <w:t>zdravotnické techniky. Existence tohoto rizika byla potvrzena v</w:t>
      </w:r>
      <w:r>
        <w:rPr>
          <w:color w:val="000000"/>
        </w:rPr>
        <w:t xml:space="preserve"> případě</w:t>
      </w:r>
      <w:r w:rsidRPr="003F1BD1">
        <w:rPr>
          <w:color w:val="000000"/>
        </w:rPr>
        <w:t xml:space="preserve"> FN Ostrava, kde </w:t>
      </w:r>
      <w:r w:rsidRPr="003F1BD1">
        <w:t xml:space="preserve">počítačový tomograf (CT) modernizovaný </w:t>
      </w:r>
      <w:r w:rsidR="00865C33">
        <w:t>s dotací</w:t>
      </w:r>
      <w:r>
        <w:t xml:space="preserve"> ve výši </w:t>
      </w:r>
      <w:r w:rsidR="00E64AD8">
        <w:t>15 mil. Kč</w:t>
      </w:r>
      <w:r>
        <w:t xml:space="preserve"> </w:t>
      </w:r>
      <w:r w:rsidRPr="003F1BD1">
        <w:t xml:space="preserve">byl využíván pouze v období od 2/2008 </w:t>
      </w:r>
      <w:r w:rsidR="00484380">
        <w:t>do</w:t>
      </w:r>
      <w:r w:rsidRPr="003F1BD1">
        <w:t xml:space="preserve"> 11/2009. </w:t>
      </w:r>
      <w:r w:rsidR="00484380">
        <w:t>Poté byl</w:t>
      </w:r>
      <w:r w:rsidRPr="003F1BD1">
        <w:t xml:space="preserve"> uložen v investičním skladu FN Ostrava, neboť ta</w:t>
      </w:r>
      <w:r w:rsidR="00EB4C03">
        <w:t xml:space="preserve"> </w:t>
      </w:r>
      <w:r w:rsidRPr="003F1BD1">
        <w:t>místo</w:t>
      </w:r>
      <w:r w:rsidR="00EB4C03">
        <w:t xml:space="preserve"> něj</w:t>
      </w:r>
      <w:r w:rsidRPr="003F1BD1">
        <w:t xml:space="preserve"> pořídila úplně nový přístroj </w:t>
      </w:r>
      <w:r>
        <w:t>z</w:t>
      </w:r>
      <w:r w:rsidR="00C9087E">
        <w:t> </w:t>
      </w:r>
      <w:r>
        <w:t>prostředků</w:t>
      </w:r>
      <w:r w:rsidRPr="003F1BD1">
        <w:t xml:space="preserve"> Evropsk</w:t>
      </w:r>
      <w:r>
        <w:t>ého fondu pro regionální rozvoj</w:t>
      </w:r>
      <w:r w:rsidRPr="003F1BD1">
        <w:t>.</w:t>
      </w:r>
    </w:p>
    <w:p w:rsidR="00865C33" w:rsidRDefault="00865C33" w:rsidP="0080427D">
      <w:pPr>
        <w:spacing w:after="0" w:line="240" w:lineRule="auto"/>
        <w:jc w:val="both"/>
      </w:pPr>
    </w:p>
    <w:p w:rsidR="00611A0B" w:rsidRDefault="004C7208" w:rsidP="0080427D">
      <w:pPr>
        <w:spacing w:after="0" w:line="240" w:lineRule="auto"/>
        <w:jc w:val="both"/>
      </w:pPr>
      <w:r>
        <w:t xml:space="preserve">Předmětem </w:t>
      </w:r>
      <w:r w:rsidR="000A118B">
        <w:t>kontrolní akce</w:t>
      </w:r>
      <w:r>
        <w:t xml:space="preserve"> byl</w:t>
      </w:r>
      <w:r w:rsidR="00C9087E">
        <w:t>y</w:t>
      </w:r>
      <w:r w:rsidR="00611A0B" w:rsidRPr="003F1BD1">
        <w:t xml:space="preserve"> </w:t>
      </w:r>
      <w:r w:rsidR="00702806">
        <w:t xml:space="preserve">kromě </w:t>
      </w:r>
      <w:r w:rsidR="00C9087E">
        <w:t>veřejných zakázek</w:t>
      </w:r>
      <w:r w:rsidR="00702806">
        <w:t xml:space="preserve"> na výstavbu nových a rekonstrukci stávajících objektů </w:t>
      </w:r>
      <w:r w:rsidR="000A118B">
        <w:t xml:space="preserve">rovněž </w:t>
      </w:r>
      <w:r w:rsidR="00611A0B" w:rsidRPr="003F1BD1">
        <w:t>pořízení, obnov</w:t>
      </w:r>
      <w:r>
        <w:t>a</w:t>
      </w:r>
      <w:r w:rsidR="00611A0B" w:rsidRPr="003F1BD1">
        <w:t xml:space="preserve"> či modernizace 15 ks</w:t>
      </w:r>
      <w:r w:rsidR="00A05614">
        <w:t xml:space="preserve"> vybrané zdravotnické techniky </w:t>
      </w:r>
      <w:r w:rsidR="00130104">
        <w:t>–</w:t>
      </w:r>
      <w:r w:rsidR="00A05614">
        <w:t xml:space="preserve"> </w:t>
      </w:r>
      <w:r w:rsidR="00611A0B" w:rsidRPr="003F1BD1">
        <w:t>magnetické rezonance</w:t>
      </w:r>
      <w:r w:rsidR="00E64AD8">
        <w:t xml:space="preserve"> (MR), </w:t>
      </w:r>
      <w:r w:rsidR="00611A0B" w:rsidRPr="003F1BD1">
        <w:t>C</w:t>
      </w:r>
      <w:r>
        <w:t>T a</w:t>
      </w:r>
      <w:r w:rsidR="00EB4C03">
        <w:t> </w:t>
      </w:r>
      <w:r>
        <w:t>lineárních urychlovačů (LU)</w:t>
      </w:r>
      <w:r w:rsidR="00A05614">
        <w:t xml:space="preserve"> </w:t>
      </w:r>
      <w:r w:rsidR="00C9087E">
        <w:t xml:space="preserve">– </w:t>
      </w:r>
      <w:r w:rsidR="00EB4C03">
        <w:t>za celkové náklady ve výši</w:t>
      </w:r>
      <w:r w:rsidR="00E64AD8">
        <w:t xml:space="preserve"> </w:t>
      </w:r>
      <w:r w:rsidR="00611A0B" w:rsidRPr="003F1BD1">
        <w:t>85</w:t>
      </w:r>
      <w:r w:rsidR="00EB2C43">
        <w:t>9</w:t>
      </w:r>
      <w:r w:rsidR="00130104">
        <w:t> </w:t>
      </w:r>
      <w:r w:rsidR="00611A0B" w:rsidRPr="003F1BD1">
        <w:t>mil.</w:t>
      </w:r>
      <w:r w:rsidR="00EB4C03">
        <w:t> </w:t>
      </w:r>
      <w:r w:rsidR="00611A0B" w:rsidRPr="003F1BD1">
        <w:t>Kč</w:t>
      </w:r>
      <w:r w:rsidR="00EB2C43">
        <w:t xml:space="preserve"> (viz tabulka č. 1). </w:t>
      </w:r>
    </w:p>
    <w:p w:rsidR="00F81315" w:rsidRPr="003F1BD1" w:rsidRDefault="00F81315" w:rsidP="0080427D">
      <w:pPr>
        <w:spacing w:after="0" w:line="240" w:lineRule="auto"/>
        <w:jc w:val="both"/>
      </w:pPr>
    </w:p>
    <w:p w:rsidR="00EB2C43" w:rsidRPr="001276C4" w:rsidRDefault="00EB2C43" w:rsidP="0028103B">
      <w:pPr>
        <w:spacing w:after="40" w:line="240" w:lineRule="auto"/>
        <w:jc w:val="both"/>
        <w:rPr>
          <w:b/>
        </w:rPr>
      </w:pPr>
      <w:r w:rsidRPr="001276C4">
        <w:rPr>
          <w:b/>
        </w:rPr>
        <w:t xml:space="preserve">Tabulka č. </w:t>
      </w:r>
      <w:r>
        <w:rPr>
          <w:b/>
        </w:rPr>
        <w:t>1</w:t>
      </w:r>
      <w:r w:rsidR="00EB4C03">
        <w:rPr>
          <w:b/>
        </w:rPr>
        <w:t xml:space="preserve"> –</w:t>
      </w:r>
      <w:r w:rsidRPr="001276C4">
        <w:rPr>
          <w:b/>
        </w:rPr>
        <w:t xml:space="preserve"> </w:t>
      </w:r>
      <w:r w:rsidR="005810F7">
        <w:rPr>
          <w:b/>
        </w:rPr>
        <w:t>Vybrané investiční akce p</w:t>
      </w:r>
      <w:r>
        <w:rPr>
          <w:b/>
        </w:rPr>
        <w:t>ořízení a obnov</w:t>
      </w:r>
      <w:r w:rsidR="005810F7">
        <w:rPr>
          <w:b/>
        </w:rPr>
        <w:t>y</w:t>
      </w:r>
      <w:r w:rsidRPr="001276C4">
        <w:rPr>
          <w:b/>
        </w:rPr>
        <w:t xml:space="preserve"> zd</w:t>
      </w:r>
      <w:r w:rsidR="0028103B">
        <w:rPr>
          <w:b/>
        </w:rPr>
        <w:t>ravotnické techniky</w:t>
      </w:r>
    </w:p>
    <w:tbl>
      <w:tblPr>
        <w:tblW w:w="8917" w:type="dxa"/>
        <w:jc w:val="center"/>
        <w:tblInd w:w="-14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124"/>
        <w:gridCol w:w="922"/>
        <w:gridCol w:w="1254"/>
        <w:gridCol w:w="2747"/>
        <w:gridCol w:w="1500"/>
      </w:tblGrid>
      <w:tr w:rsidR="00E9506F" w:rsidRPr="00EF1883" w:rsidTr="00EB4C03">
        <w:trPr>
          <w:trHeight w:val="283"/>
          <w:jc w:val="center"/>
        </w:trPr>
        <w:tc>
          <w:tcPr>
            <w:tcW w:w="1370" w:type="dxa"/>
            <w:shd w:val="clear" w:color="auto" w:fill="8DB3E2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Akce č.</w:t>
            </w:r>
          </w:p>
        </w:tc>
        <w:tc>
          <w:tcPr>
            <w:tcW w:w="1124" w:type="dxa"/>
            <w:shd w:val="clear" w:color="auto" w:fill="8DB3E2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Investor</w:t>
            </w:r>
          </w:p>
        </w:tc>
        <w:tc>
          <w:tcPr>
            <w:tcW w:w="922" w:type="dxa"/>
            <w:shd w:val="clear" w:color="auto" w:fill="8DB3E2"/>
            <w:vAlign w:val="center"/>
            <w:hideMark/>
          </w:tcPr>
          <w:p w:rsidR="00E9506F" w:rsidRPr="00EF1883" w:rsidRDefault="00965AA5" w:rsidP="0028103B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T</w:t>
            </w:r>
            <w:r w:rsidR="00E9506F" w:rsidRPr="00EF1883">
              <w:rPr>
                <w:b/>
                <w:color w:val="000000"/>
                <w:sz w:val="18"/>
                <w:szCs w:val="18"/>
                <w:lang w:eastAsia="cs-CZ"/>
              </w:rPr>
              <w:t>yp</w:t>
            </w:r>
          </w:p>
        </w:tc>
        <w:tc>
          <w:tcPr>
            <w:tcW w:w="1254" w:type="dxa"/>
            <w:shd w:val="clear" w:color="auto" w:fill="8DB3E2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Rok pořízení</w:t>
            </w:r>
          </w:p>
        </w:tc>
        <w:tc>
          <w:tcPr>
            <w:tcW w:w="2747" w:type="dxa"/>
            <w:shd w:val="clear" w:color="auto" w:fill="8DB3E2"/>
            <w:vAlign w:val="center"/>
            <w:hideMark/>
          </w:tcPr>
          <w:p w:rsidR="00E9506F" w:rsidRPr="00EF1883" w:rsidRDefault="00E9506F" w:rsidP="006A7C3B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 xml:space="preserve">Druh zadávacího řízení; </w:t>
            </w:r>
            <w:r w:rsidR="00EB4C03">
              <w:rPr>
                <w:b/>
                <w:color w:val="000000"/>
                <w:sz w:val="18"/>
                <w:szCs w:val="18"/>
                <w:lang w:eastAsia="cs-CZ"/>
              </w:rPr>
              <w:t>p</w:t>
            </w: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očet podaných/</w:t>
            </w:r>
            <w:r w:rsidR="006A7C3B">
              <w:rPr>
                <w:b/>
                <w:color w:val="000000"/>
                <w:sz w:val="18"/>
                <w:szCs w:val="18"/>
                <w:lang w:eastAsia="cs-CZ"/>
              </w:rPr>
              <w:br/>
              <w:t>/</w:t>
            </w: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posuzovaných nabídek</w:t>
            </w:r>
          </w:p>
        </w:tc>
        <w:tc>
          <w:tcPr>
            <w:tcW w:w="1500" w:type="dxa"/>
            <w:shd w:val="clear" w:color="auto" w:fill="8DB3E2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Vítězná nabídková cena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AE07FF">
              <w:rPr>
                <w:color w:val="000000"/>
                <w:sz w:val="18"/>
                <w:szCs w:val="18"/>
                <w:lang w:eastAsia="cs-CZ"/>
              </w:rPr>
              <w:t>235V11K0</w:t>
            </w:r>
            <w:r w:rsidRPr="0040339B">
              <w:rPr>
                <w:b/>
                <w:color w:val="000000"/>
                <w:sz w:val="18"/>
                <w:szCs w:val="18"/>
                <w:lang w:eastAsia="cs-CZ"/>
              </w:rPr>
              <w:t>201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FN Ostrava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MR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2006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>2007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O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tevřené nadlimitní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 2/1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37,5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vMerge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V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olitelné položky (JŘBU)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AE07FF"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>1/1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7,5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AE07FF">
              <w:rPr>
                <w:color w:val="000000"/>
                <w:sz w:val="18"/>
                <w:szCs w:val="18"/>
                <w:lang w:eastAsia="cs-CZ"/>
              </w:rPr>
              <w:t>235V11K0</w:t>
            </w:r>
            <w:r w:rsidRPr="0040339B">
              <w:rPr>
                <w:b/>
                <w:color w:val="000000"/>
                <w:sz w:val="18"/>
                <w:szCs w:val="18"/>
                <w:lang w:eastAsia="cs-CZ"/>
              </w:rPr>
              <w:t>402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FN Ostrava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CT – 2</w:t>
            </w:r>
            <w:r w:rsidR="00C9087E">
              <w:rPr>
                <w:color w:val="000000"/>
                <w:sz w:val="18"/>
                <w:szCs w:val="18"/>
                <w:lang w:eastAsia="cs-CZ"/>
              </w:rPr>
              <w:t> 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2008</w:t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  <w:hideMark/>
          </w:tcPr>
          <w:p w:rsidR="00E9506F" w:rsidRPr="00EF1883" w:rsidRDefault="00E9506F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JŘBU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 1/1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15,0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vMerge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47" w:type="dxa"/>
            <w:vMerge/>
            <w:vAlign w:val="center"/>
            <w:hideMark/>
          </w:tcPr>
          <w:p w:rsidR="00E9506F" w:rsidRPr="00EF1883" w:rsidRDefault="00E9506F" w:rsidP="00EB444C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42,2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AE07FF">
              <w:rPr>
                <w:color w:val="000000"/>
                <w:sz w:val="18"/>
                <w:szCs w:val="18"/>
                <w:lang w:eastAsia="cs-CZ"/>
              </w:rPr>
              <w:t>235V11K0</w:t>
            </w:r>
            <w:r w:rsidRPr="0040339B">
              <w:rPr>
                <w:b/>
                <w:color w:val="000000"/>
                <w:sz w:val="18"/>
                <w:szCs w:val="18"/>
                <w:lang w:eastAsia="cs-CZ"/>
              </w:rPr>
              <w:t>602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FN Ostrava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MR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9506F" w:rsidRPr="00EF1883" w:rsidRDefault="00E9506F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JŘBU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 1/1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22,9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AE07FF">
              <w:rPr>
                <w:color w:val="000000"/>
                <w:sz w:val="18"/>
                <w:szCs w:val="18"/>
                <w:lang w:eastAsia="cs-CZ"/>
              </w:rPr>
              <w:t>235V11H0</w:t>
            </w:r>
            <w:r w:rsidRPr="0040339B">
              <w:rPr>
                <w:b/>
                <w:color w:val="000000"/>
                <w:sz w:val="18"/>
                <w:szCs w:val="18"/>
                <w:lang w:eastAsia="cs-CZ"/>
              </w:rPr>
              <w:t>602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FN Brno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CT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O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tevřené nadlimitní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 1/1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29,8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AE07FF">
              <w:rPr>
                <w:color w:val="000000"/>
                <w:sz w:val="18"/>
                <w:szCs w:val="18"/>
                <w:lang w:eastAsia="cs-CZ"/>
              </w:rPr>
              <w:t>235V11H0</w:t>
            </w:r>
            <w:r w:rsidRPr="0040339B">
              <w:rPr>
                <w:b/>
                <w:color w:val="000000"/>
                <w:sz w:val="18"/>
                <w:szCs w:val="18"/>
                <w:lang w:eastAsia="cs-CZ"/>
              </w:rPr>
              <w:t>505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FN Brno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MR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2008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O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tevřené nadlimitní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 1/1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57,4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AE07FF">
              <w:rPr>
                <w:color w:val="000000"/>
                <w:sz w:val="18"/>
                <w:szCs w:val="18"/>
                <w:lang w:eastAsia="cs-CZ"/>
              </w:rPr>
              <w:t>235V11F0</w:t>
            </w:r>
            <w:r w:rsidRPr="0040339B">
              <w:rPr>
                <w:b/>
                <w:color w:val="000000"/>
                <w:sz w:val="18"/>
                <w:szCs w:val="18"/>
                <w:lang w:eastAsia="cs-CZ"/>
              </w:rPr>
              <w:t>502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FN Plzeň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CT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O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tevřené nadlimitní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 3/2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31,7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vMerge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LU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 2</w:t>
            </w:r>
            <w:r w:rsidR="00C9087E">
              <w:rPr>
                <w:color w:val="000000"/>
                <w:sz w:val="18"/>
                <w:szCs w:val="18"/>
                <w:lang w:eastAsia="cs-CZ"/>
              </w:rPr>
              <w:t> 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O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tevřené nadlimitní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 1/1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271,5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vMerge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MR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O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tevřené nadlimitní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 1/1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63,6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AE07FF">
              <w:rPr>
                <w:color w:val="000000"/>
                <w:sz w:val="18"/>
                <w:szCs w:val="18"/>
                <w:lang w:eastAsia="cs-CZ"/>
              </w:rPr>
              <w:t>235V11F0</w:t>
            </w:r>
            <w:r w:rsidRPr="0040339B">
              <w:rPr>
                <w:b/>
                <w:color w:val="000000"/>
                <w:sz w:val="18"/>
                <w:szCs w:val="18"/>
                <w:lang w:eastAsia="cs-CZ"/>
              </w:rPr>
              <w:t>702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FN Plzeň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LU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O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tevřené nadlimitní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 1/1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71,1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AE07FF">
              <w:rPr>
                <w:color w:val="000000"/>
                <w:sz w:val="18"/>
                <w:szCs w:val="18"/>
                <w:lang w:eastAsia="cs-CZ"/>
              </w:rPr>
              <w:t>235V11F0</w:t>
            </w:r>
            <w:r w:rsidRPr="0040339B">
              <w:rPr>
                <w:b/>
                <w:color w:val="000000"/>
                <w:sz w:val="18"/>
                <w:szCs w:val="18"/>
                <w:lang w:eastAsia="cs-CZ"/>
              </w:rPr>
              <w:t>505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FN Plzeň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CT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2008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U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žší nadlimitní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 1/1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36,2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AE07FF">
              <w:rPr>
                <w:color w:val="000000"/>
                <w:sz w:val="18"/>
                <w:szCs w:val="18"/>
                <w:lang w:eastAsia="cs-CZ"/>
              </w:rPr>
              <w:t>235V11E0</w:t>
            </w:r>
            <w:r w:rsidRPr="0040339B">
              <w:rPr>
                <w:b/>
                <w:color w:val="000000"/>
                <w:sz w:val="18"/>
                <w:szCs w:val="18"/>
                <w:lang w:eastAsia="cs-CZ"/>
              </w:rPr>
              <w:t>302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FN Motol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LU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2006</w:t>
            </w:r>
          </w:p>
        </w:tc>
        <w:tc>
          <w:tcPr>
            <w:tcW w:w="2747" w:type="dxa"/>
            <w:shd w:val="clear" w:color="auto" w:fill="auto"/>
            <w:noWrap/>
            <w:vAlign w:val="center"/>
            <w:hideMark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O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tevřené nadlimitní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 2/2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78,7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AE07FF">
              <w:rPr>
                <w:color w:val="000000"/>
                <w:sz w:val="18"/>
                <w:szCs w:val="18"/>
                <w:lang w:eastAsia="cs-CZ"/>
              </w:rPr>
              <w:t>235V11E0</w:t>
            </w:r>
            <w:r w:rsidRPr="0040339B">
              <w:rPr>
                <w:b/>
                <w:color w:val="000000"/>
                <w:sz w:val="18"/>
                <w:szCs w:val="18"/>
                <w:lang w:eastAsia="cs-CZ"/>
              </w:rPr>
              <w:t>521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FN Motol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LU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2008</w:t>
            </w:r>
          </w:p>
        </w:tc>
        <w:tc>
          <w:tcPr>
            <w:tcW w:w="2747" w:type="dxa"/>
            <w:shd w:val="clear" w:color="auto" w:fill="auto"/>
            <w:noWrap/>
            <w:vAlign w:val="center"/>
            <w:hideMark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O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tevřené nadlimitní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 1/1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64,9 mil. Kč</w:t>
            </w:r>
          </w:p>
        </w:tc>
      </w:tr>
      <w:tr w:rsidR="00E9506F" w:rsidRPr="00EF1883" w:rsidTr="00E83989">
        <w:trPr>
          <w:trHeight w:val="283"/>
          <w:jc w:val="center"/>
        </w:trPr>
        <w:tc>
          <w:tcPr>
            <w:tcW w:w="1370" w:type="dxa"/>
            <w:shd w:val="clear" w:color="auto" w:fill="auto"/>
            <w:noWrap/>
            <w:vAlign w:val="center"/>
          </w:tcPr>
          <w:p w:rsidR="00E9506F" w:rsidRPr="00AE07FF" w:rsidRDefault="00E9506F" w:rsidP="00EB4C03">
            <w:pPr>
              <w:spacing w:before="20" w:after="20" w:line="240" w:lineRule="auto"/>
              <w:ind w:right="1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AE07FF">
              <w:rPr>
                <w:color w:val="000000"/>
                <w:sz w:val="18"/>
                <w:szCs w:val="18"/>
                <w:lang w:eastAsia="cs-CZ"/>
              </w:rPr>
              <w:t>235V11E0</w:t>
            </w:r>
            <w:r w:rsidRPr="0040339B">
              <w:rPr>
                <w:b/>
                <w:color w:val="000000"/>
                <w:sz w:val="18"/>
                <w:szCs w:val="18"/>
                <w:lang w:eastAsia="cs-CZ"/>
              </w:rPr>
              <w:t>702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9506F" w:rsidRPr="00EF1883" w:rsidRDefault="00E9506F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FN Motol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MR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E9506F" w:rsidRPr="00EF1883" w:rsidRDefault="00E9506F" w:rsidP="0028103B">
            <w:pPr>
              <w:spacing w:before="20" w:after="20" w:line="240" w:lineRule="auto"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:rsidR="00E9506F" w:rsidRPr="00EF1883" w:rsidRDefault="00EB4C03" w:rsidP="00E83989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O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tevřené nadlimitní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="00E9506F" w:rsidRPr="00EF1883">
              <w:rPr>
                <w:color w:val="000000"/>
                <w:sz w:val="18"/>
                <w:szCs w:val="18"/>
                <w:lang w:eastAsia="cs-CZ"/>
              </w:rPr>
              <w:t xml:space="preserve"> 2/2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9506F" w:rsidRPr="00EF1883" w:rsidRDefault="00E9506F" w:rsidP="00EF1883">
            <w:pPr>
              <w:spacing w:before="20" w:after="20" w:line="240" w:lineRule="auto"/>
              <w:ind w:right="84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29,0 mil. Kč</w:t>
            </w:r>
          </w:p>
        </w:tc>
      </w:tr>
    </w:tbl>
    <w:p w:rsidR="000A118B" w:rsidRDefault="000A118B" w:rsidP="00DF6B64">
      <w:pPr>
        <w:tabs>
          <w:tab w:val="left" w:pos="567"/>
        </w:tabs>
        <w:spacing w:before="40" w:after="0" w:line="240" w:lineRule="auto"/>
        <w:ind w:left="567" w:hanging="567"/>
        <w:rPr>
          <w:sz w:val="18"/>
          <w:szCs w:val="18"/>
        </w:rPr>
      </w:pPr>
      <w:r w:rsidRPr="00965AA5">
        <w:rPr>
          <w:b/>
          <w:sz w:val="18"/>
          <w:szCs w:val="18"/>
        </w:rPr>
        <w:t>Zdroj:</w:t>
      </w:r>
      <w:r w:rsidRPr="00E9506F">
        <w:rPr>
          <w:sz w:val="18"/>
          <w:szCs w:val="18"/>
        </w:rPr>
        <w:t xml:space="preserve"> </w:t>
      </w:r>
      <w:r w:rsidR="00EB4C03">
        <w:rPr>
          <w:sz w:val="18"/>
          <w:szCs w:val="18"/>
        </w:rPr>
        <w:tab/>
      </w:r>
      <w:r w:rsidRPr="00E9506F">
        <w:rPr>
          <w:sz w:val="18"/>
          <w:szCs w:val="18"/>
        </w:rPr>
        <w:t>Ministerstv</w:t>
      </w:r>
      <w:r w:rsidR="00F82B2E" w:rsidRPr="00E9506F">
        <w:rPr>
          <w:sz w:val="18"/>
          <w:szCs w:val="18"/>
        </w:rPr>
        <w:t>o</w:t>
      </w:r>
      <w:r w:rsidRPr="00E9506F">
        <w:rPr>
          <w:sz w:val="18"/>
          <w:szCs w:val="18"/>
        </w:rPr>
        <w:t xml:space="preserve"> zdravotnictví</w:t>
      </w:r>
      <w:r w:rsidR="00F82B2E" w:rsidRPr="00E9506F">
        <w:rPr>
          <w:sz w:val="18"/>
          <w:szCs w:val="18"/>
        </w:rPr>
        <w:t>.</w:t>
      </w:r>
    </w:p>
    <w:p w:rsidR="00534674" w:rsidRPr="00E9506F" w:rsidRDefault="00534674" w:rsidP="00794DC0">
      <w:pPr>
        <w:tabs>
          <w:tab w:val="left" w:pos="567"/>
        </w:tabs>
        <w:spacing w:before="40" w:after="0" w:line="240" w:lineRule="auto"/>
        <w:ind w:left="567" w:hanging="567"/>
        <w:rPr>
          <w:sz w:val="18"/>
          <w:szCs w:val="18"/>
        </w:rPr>
      </w:pPr>
      <w:r w:rsidRPr="00E83989">
        <w:rPr>
          <w:b/>
          <w:sz w:val="18"/>
          <w:szCs w:val="18"/>
        </w:rPr>
        <w:t>Pozn.:</w:t>
      </w:r>
      <w:r>
        <w:rPr>
          <w:sz w:val="18"/>
          <w:szCs w:val="18"/>
        </w:rPr>
        <w:t xml:space="preserve"> JŘBU = j</w:t>
      </w:r>
      <w:r w:rsidRPr="00E9506F">
        <w:rPr>
          <w:sz w:val="18"/>
          <w:szCs w:val="18"/>
        </w:rPr>
        <w:t>ednací řízení bez uveřejnění.</w:t>
      </w:r>
    </w:p>
    <w:p w:rsidR="000A118B" w:rsidRDefault="000A118B" w:rsidP="0080427D">
      <w:pPr>
        <w:spacing w:after="0" w:line="240" w:lineRule="auto"/>
        <w:jc w:val="both"/>
      </w:pPr>
    </w:p>
    <w:p w:rsidR="00813AF3" w:rsidRDefault="00EB2C43" w:rsidP="0080427D">
      <w:pPr>
        <w:spacing w:after="0" w:line="240" w:lineRule="auto"/>
        <w:jc w:val="both"/>
      </w:pPr>
      <w:r>
        <w:t xml:space="preserve">Kontrolou </w:t>
      </w:r>
      <w:r w:rsidR="006C6C73">
        <w:t xml:space="preserve">NKÚ </w:t>
      </w:r>
      <w:r w:rsidRPr="003F1BD1">
        <w:t xml:space="preserve">bylo zjištěno, že ačkoliv si zadávací dokumentaci VZ </w:t>
      </w:r>
      <w:r>
        <w:t xml:space="preserve">vyzvedlo </w:t>
      </w:r>
      <w:r w:rsidR="00C9087E">
        <w:t xml:space="preserve">více uchazečů </w:t>
      </w:r>
      <w:r>
        <w:t xml:space="preserve">nebo byla přímo poskytnuta </w:t>
      </w:r>
      <w:r w:rsidRPr="003F1BD1">
        <w:t>několika potenciálním dodavatelům, posuzovaly</w:t>
      </w:r>
      <w:r w:rsidR="00C9087E" w:rsidRPr="00C9087E">
        <w:t xml:space="preserve"> </w:t>
      </w:r>
      <w:r w:rsidR="00C9087E" w:rsidRPr="003F1BD1">
        <w:t>FN</w:t>
      </w:r>
      <w:r w:rsidRPr="003F1BD1">
        <w:t xml:space="preserve"> ve většině případů </w:t>
      </w:r>
      <w:r w:rsidR="00A05614">
        <w:t>(</w:t>
      </w:r>
      <w:r w:rsidRPr="003F1BD1">
        <w:t>73 %</w:t>
      </w:r>
      <w:r w:rsidR="00A05614">
        <w:t>)</w:t>
      </w:r>
      <w:r w:rsidRPr="003F1BD1">
        <w:t xml:space="preserve"> </w:t>
      </w:r>
      <w:r w:rsidR="00A05614">
        <w:t xml:space="preserve">pouze jedinou nabídku, konkrétně v osmi z jedenácti </w:t>
      </w:r>
      <w:r w:rsidR="00A05614" w:rsidRPr="003F1BD1">
        <w:t xml:space="preserve">zadávacích řízení </w:t>
      </w:r>
      <w:r w:rsidR="00A05614" w:rsidRPr="003F1BD1">
        <w:lastRenderedPageBreak/>
        <w:t xml:space="preserve">zadaných </w:t>
      </w:r>
      <w:r w:rsidR="00A05614">
        <w:t>v otevřeném</w:t>
      </w:r>
      <w:r w:rsidR="00C9087E">
        <w:t xml:space="preserve"> zadávacím řízení</w:t>
      </w:r>
      <w:r w:rsidR="00A05614">
        <w:t xml:space="preserve"> </w:t>
      </w:r>
      <w:r w:rsidR="00EB4C03">
        <w:t>a </w:t>
      </w:r>
      <w:r w:rsidR="00A05614">
        <w:t xml:space="preserve">v jednom případě </w:t>
      </w:r>
      <w:r w:rsidR="00EB4C03">
        <w:t>v </w:t>
      </w:r>
      <w:r w:rsidR="00A05614">
        <w:t xml:space="preserve">užším </w:t>
      </w:r>
      <w:r w:rsidR="00A05614" w:rsidRPr="003F1BD1">
        <w:t>řízení</w:t>
      </w:r>
      <w:r w:rsidR="00A05614">
        <w:t>.</w:t>
      </w:r>
      <w:r w:rsidR="00806ECF">
        <w:t xml:space="preserve"> </w:t>
      </w:r>
      <w:r w:rsidR="00611A0B" w:rsidRPr="003F1BD1">
        <w:t xml:space="preserve">Nabídkovou cenu </w:t>
      </w:r>
      <w:r w:rsidR="00611A0B" w:rsidRPr="003F1BD1">
        <w:rPr>
          <w:color w:val="000000"/>
        </w:rPr>
        <w:t>dle jediné nabídky FN jako zadavatelé akceptovaly</w:t>
      </w:r>
      <w:r w:rsidR="00EB4C03">
        <w:rPr>
          <w:color w:val="000000"/>
        </w:rPr>
        <w:t>,</w:t>
      </w:r>
      <w:r w:rsidR="00611A0B" w:rsidRPr="003F1BD1">
        <w:rPr>
          <w:color w:val="000000"/>
        </w:rPr>
        <w:t xml:space="preserve"> a to dokonce i</w:t>
      </w:r>
      <w:r w:rsidR="00470F0B">
        <w:rPr>
          <w:color w:val="000000"/>
        </w:rPr>
        <w:t> </w:t>
      </w:r>
      <w:r w:rsidR="00611A0B" w:rsidRPr="003F1BD1">
        <w:rPr>
          <w:color w:val="000000"/>
        </w:rPr>
        <w:t>v</w:t>
      </w:r>
      <w:r w:rsidR="00470F0B">
        <w:rPr>
          <w:color w:val="000000"/>
        </w:rPr>
        <w:t> </w:t>
      </w:r>
      <w:r w:rsidR="00611A0B" w:rsidRPr="003F1BD1">
        <w:rPr>
          <w:color w:val="000000"/>
        </w:rPr>
        <w:t>případech, kdy nabídkové ceny byly vyšší než předpokládaná hodnota VZ (FN Plzeň</w:t>
      </w:r>
      <w:r w:rsidR="00611A0B">
        <w:rPr>
          <w:color w:val="000000"/>
        </w:rPr>
        <w:t xml:space="preserve"> </w:t>
      </w:r>
      <w:r w:rsidR="00130104">
        <w:rPr>
          <w:color w:val="000000"/>
        </w:rPr>
        <w:t>–</w:t>
      </w:r>
      <w:r w:rsidR="00611A0B">
        <w:rPr>
          <w:color w:val="000000"/>
        </w:rPr>
        <w:t xml:space="preserve"> akce č. 502</w:t>
      </w:r>
      <w:r w:rsidR="00611A0B" w:rsidRPr="003F1BD1">
        <w:rPr>
          <w:color w:val="000000"/>
        </w:rPr>
        <w:t>, FN Motol</w:t>
      </w:r>
      <w:r w:rsidR="00611A0B">
        <w:rPr>
          <w:color w:val="000000"/>
        </w:rPr>
        <w:t xml:space="preserve"> </w:t>
      </w:r>
      <w:r w:rsidR="00130104">
        <w:rPr>
          <w:color w:val="000000"/>
        </w:rPr>
        <w:t>–</w:t>
      </w:r>
      <w:r w:rsidR="00611A0B">
        <w:rPr>
          <w:color w:val="000000"/>
        </w:rPr>
        <w:t xml:space="preserve"> akce č. 302</w:t>
      </w:r>
      <w:r w:rsidR="00611A0B" w:rsidRPr="003F1BD1">
        <w:rPr>
          <w:color w:val="000000"/>
        </w:rPr>
        <w:t>) nebo předpokládané náklady uvedené v říd</w:t>
      </w:r>
      <w:r w:rsidR="00EB4C03">
        <w:rPr>
          <w:color w:val="000000"/>
        </w:rPr>
        <w:t>i</w:t>
      </w:r>
      <w:r w:rsidR="00611A0B" w:rsidRPr="003F1BD1">
        <w:rPr>
          <w:color w:val="000000"/>
        </w:rPr>
        <w:t>cí dokumentaci</w:t>
      </w:r>
      <w:r w:rsidR="00611A0B" w:rsidRPr="003F1BD1">
        <w:rPr>
          <w:rStyle w:val="Znakapoznpodarou"/>
          <w:color w:val="000000"/>
        </w:rPr>
        <w:footnoteReference w:id="8"/>
      </w:r>
      <w:r w:rsidR="00611A0B" w:rsidRPr="003F1BD1">
        <w:rPr>
          <w:color w:val="000000"/>
        </w:rPr>
        <w:t xml:space="preserve"> akce (FN Brno</w:t>
      </w:r>
      <w:r w:rsidR="00611A0B">
        <w:rPr>
          <w:color w:val="000000"/>
        </w:rPr>
        <w:t xml:space="preserve"> </w:t>
      </w:r>
      <w:r w:rsidR="00130104">
        <w:rPr>
          <w:color w:val="000000"/>
        </w:rPr>
        <w:t>– akce č. 602 a </w:t>
      </w:r>
      <w:r w:rsidR="00611A0B">
        <w:rPr>
          <w:color w:val="000000"/>
        </w:rPr>
        <w:t>505</w:t>
      </w:r>
      <w:r w:rsidR="00611A0B" w:rsidRPr="003F1BD1">
        <w:rPr>
          <w:color w:val="000000"/>
        </w:rPr>
        <w:t>).</w:t>
      </w:r>
      <w:r w:rsidR="00611A0B" w:rsidRPr="003F1BD1">
        <w:t xml:space="preserve"> </w:t>
      </w:r>
      <w:r w:rsidR="00611A0B" w:rsidRPr="003F1BD1">
        <w:rPr>
          <w:color w:val="000000"/>
        </w:rPr>
        <w:t xml:space="preserve">FN </w:t>
      </w:r>
      <w:r w:rsidR="00C13808">
        <w:rPr>
          <w:color w:val="000000"/>
        </w:rPr>
        <w:t xml:space="preserve">sice </w:t>
      </w:r>
      <w:r w:rsidR="004C7208">
        <w:rPr>
          <w:color w:val="000000"/>
        </w:rPr>
        <w:t>postupovaly v souladu se zákonem</w:t>
      </w:r>
      <w:r w:rsidR="008867B6" w:rsidRPr="008867B6">
        <w:rPr>
          <w:color w:val="000000"/>
        </w:rPr>
        <w:t xml:space="preserve"> </w:t>
      </w:r>
      <w:r w:rsidR="008867B6" w:rsidRPr="003F1BD1">
        <w:rPr>
          <w:color w:val="000000"/>
        </w:rPr>
        <w:t>č. 137/2006 Sb.</w:t>
      </w:r>
      <w:r w:rsidR="008867B6" w:rsidRPr="003F1BD1">
        <w:rPr>
          <w:rStyle w:val="Znakapoznpodarou"/>
        </w:rPr>
        <w:footnoteReference w:id="9"/>
      </w:r>
      <w:r w:rsidR="008867B6" w:rsidRPr="003F1BD1">
        <w:rPr>
          <w:color w:val="000000"/>
        </w:rPr>
        <w:t>,</w:t>
      </w:r>
      <w:r w:rsidR="004C7208">
        <w:rPr>
          <w:color w:val="000000"/>
        </w:rPr>
        <w:t xml:space="preserve"> ale </w:t>
      </w:r>
      <w:r w:rsidR="00611A0B" w:rsidRPr="003F1BD1">
        <w:rPr>
          <w:color w:val="000000"/>
        </w:rPr>
        <w:t>nevyužily možnost dan</w:t>
      </w:r>
      <w:r w:rsidR="00470F0B">
        <w:rPr>
          <w:color w:val="000000"/>
        </w:rPr>
        <w:t>ou</w:t>
      </w:r>
      <w:r w:rsidR="00611A0B" w:rsidRPr="003F1BD1">
        <w:rPr>
          <w:color w:val="000000"/>
        </w:rPr>
        <w:t xml:space="preserve"> ustanovením § 84 odst. 3 písm. b)</w:t>
      </w:r>
      <w:r w:rsidR="008867B6">
        <w:rPr>
          <w:color w:val="000000"/>
        </w:rPr>
        <w:t xml:space="preserve"> tohoto zákona</w:t>
      </w:r>
      <w:r w:rsidR="00611A0B" w:rsidRPr="003F1BD1">
        <w:rPr>
          <w:color w:val="000000"/>
        </w:rPr>
        <w:t>, když</w:t>
      </w:r>
      <w:r w:rsidR="00470F0B" w:rsidRPr="00470F0B">
        <w:rPr>
          <w:color w:val="000000"/>
        </w:rPr>
        <w:t xml:space="preserve"> </w:t>
      </w:r>
      <w:r w:rsidR="00470F0B" w:rsidRPr="003F1BD1">
        <w:rPr>
          <w:color w:val="000000"/>
        </w:rPr>
        <w:t>nezrušily</w:t>
      </w:r>
      <w:r w:rsidR="00611A0B" w:rsidRPr="003F1BD1">
        <w:rPr>
          <w:color w:val="000000"/>
        </w:rPr>
        <w:t xml:space="preserve"> zadávací řízení </w:t>
      </w:r>
      <w:r w:rsidR="00470F0B">
        <w:rPr>
          <w:color w:val="000000"/>
        </w:rPr>
        <w:t>z důvodu</w:t>
      </w:r>
      <w:r w:rsidR="00611A0B" w:rsidRPr="003F1BD1">
        <w:rPr>
          <w:color w:val="000000"/>
        </w:rPr>
        <w:t xml:space="preserve"> obdržení jediné nabídky</w:t>
      </w:r>
      <w:r w:rsidR="00161C0B">
        <w:rPr>
          <w:color w:val="000000"/>
        </w:rPr>
        <w:t xml:space="preserve">. </w:t>
      </w:r>
      <w:r w:rsidR="00B86B0A">
        <w:rPr>
          <w:color w:val="000000"/>
        </w:rPr>
        <w:t xml:space="preserve">V důsledku </w:t>
      </w:r>
      <w:r w:rsidR="000011E3">
        <w:rPr>
          <w:color w:val="000000"/>
        </w:rPr>
        <w:t xml:space="preserve">absence konkurenčního prostředí </w:t>
      </w:r>
      <w:r w:rsidR="00B86B0A">
        <w:rPr>
          <w:color w:val="000000"/>
        </w:rPr>
        <w:t>tak vzniklo riziko neh</w:t>
      </w:r>
      <w:r w:rsidR="00611A0B" w:rsidRPr="003F1BD1">
        <w:rPr>
          <w:color w:val="000000"/>
        </w:rPr>
        <w:t>ospodárné</w:t>
      </w:r>
      <w:r w:rsidR="00B86B0A">
        <w:rPr>
          <w:color w:val="000000"/>
        </w:rPr>
        <w:t>ho</w:t>
      </w:r>
      <w:r w:rsidR="00611A0B" w:rsidRPr="003F1BD1">
        <w:rPr>
          <w:color w:val="000000"/>
        </w:rPr>
        <w:t xml:space="preserve"> po</w:t>
      </w:r>
      <w:r w:rsidR="000A118B">
        <w:rPr>
          <w:color w:val="000000"/>
        </w:rPr>
        <w:t xml:space="preserve">řizování zdravotnické techniky. </w:t>
      </w:r>
      <w:r w:rsidR="00366455">
        <w:rPr>
          <w:color w:val="000000"/>
        </w:rPr>
        <w:t>P</w:t>
      </w:r>
      <w:r w:rsidR="00B86B0A">
        <w:t>o</w:t>
      </w:r>
      <w:r w:rsidR="000A118B">
        <w:t>řízení</w:t>
      </w:r>
      <w:r w:rsidR="00B86B0A">
        <w:t xml:space="preserve"> </w:t>
      </w:r>
      <w:r w:rsidR="000A118B">
        <w:t>zdravotnické techniky</w:t>
      </w:r>
      <w:r w:rsidR="00130104">
        <w:t xml:space="preserve"> </w:t>
      </w:r>
      <w:r w:rsidR="00470F0B">
        <w:t xml:space="preserve">v rámci </w:t>
      </w:r>
      <w:r w:rsidR="000011E3">
        <w:t xml:space="preserve">dalších akcí financovaných </w:t>
      </w:r>
      <w:r w:rsidR="00130104">
        <w:t>z </w:t>
      </w:r>
      <w:r w:rsidR="0012348E">
        <w:t>Programu</w:t>
      </w:r>
      <w:r w:rsidR="00F81315">
        <w:t xml:space="preserve"> </w:t>
      </w:r>
      <w:r w:rsidR="00366455">
        <w:t xml:space="preserve">bylo </w:t>
      </w:r>
      <w:r w:rsidR="00B86B0A">
        <w:t>šetřeno Úřadem pro ochranu hospodářské soutěž</w:t>
      </w:r>
      <w:r w:rsidR="004C7208">
        <w:t>e</w:t>
      </w:r>
      <w:r w:rsidR="00B86B0A">
        <w:t xml:space="preserve">, který </w:t>
      </w:r>
      <w:r w:rsidR="005F346F">
        <w:t>v několika případech</w:t>
      </w:r>
      <w:r w:rsidR="008867B6">
        <w:t xml:space="preserve"> </w:t>
      </w:r>
      <w:r w:rsidR="004C7208">
        <w:t xml:space="preserve">potvrdil nezákonnost </w:t>
      </w:r>
      <w:r w:rsidR="005F346F">
        <w:t>postupu</w:t>
      </w:r>
      <w:r w:rsidR="00EB4C03">
        <w:t>, kdy bylo</w:t>
      </w:r>
      <w:r w:rsidR="004C7208">
        <w:t xml:space="preserve"> neoprávněn</w:t>
      </w:r>
      <w:r w:rsidR="00EB4C03">
        <w:t>ě</w:t>
      </w:r>
      <w:r w:rsidR="004C7208">
        <w:t xml:space="preserve"> použit</w:t>
      </w:r>
      <w:r w:rsidR="00EB4C03">
        <w:t>o</w:t>
      </w:r>
      <w:r w:rsidR="004C7208">
        <w:t xml:space="preserve"> jednací řízení bez uveřejnění. </w:t>
      </w:r>
    </w:p>
    <w:p w:rsidR="006921EB" w:rsidRDefault="006921EB" w:rsidP="0080427D">
      <w:pPr>
        <w:spacing w:after="0" w:line="240" w:lineRule="auto"/>
        <w:jc w:val="both"/>
      </w:pPr>
    </w:p>
    <w:p w:rsidR="00C13808" w:rsidRPr="000D2303" w:rsidRDefault="00032908" w:rsidP="00965AA5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MZ provádělo kontrolu FN jako</w:t>
      </w:r>
      <w:r w:rsidR="00534674">
        <w:rPr>
          <w:b/>
          <w:color w:val="000000"/>
        </w:rPr>
        <w:t>žto</w:t>
      </w:r>
      <w:r>
        <w:rPr>
          <w:b/>
          <w:color w:val="000000"/>
        </w:rPr>
        <w:t xml:space="preserve"> příjemců dotací, avšak nezjistilo pochybení </w:t>
      </w:r>
    </w:p>
    <w:p w:rsidR="00EF1883" w:rsidRDefault="00EF1883" w:rsidP="0080427D">
      <w:pPr>
        <w:spacing w:after="0" w:line="240" w:lineRule="auto"/>
        <w:jc w:val="both"/>
        <w:rPr>
          <w:color w:val="000000"/>
        </w:rPr>
      </w:pPr>
    </w:p>
    <w:p w:rsidR="007402EF" w:rsidRDefault="00C13808" w:rsidP="0080427D">
      <w:pPr>
        <w:spacing w:after="0" w:line="240" w:lineRule="auto"/>
        <w:jc w:val="both"/>
        <w:rPr>
          <w:color w:val="000000"/>
        </w:rPr>
      </w:pPr>
      <w:r w:rsidRPr="003F1BD1">
        <w:rPr>
          <w:color w:val="000000"/>
        </w:rPr>
        <w:t xml:space="preserve">MZ provedlo v kontrolovaném období celkem třináct kontrol </w:t>
      </w:r>
      <w:r w:rsidR="000A4800">
        <w:rPr>
          <w:color w:val="000000"/>
        </w:rPr>
        <w:t xml:space="preserve">zaměřených na </w:t>
      </w:r>
      <w:r w:rsidRPr="003F1BD1">
        <w:rPr>
          <w:color w:val="000000"/>
        </w:rPr>
        <w:t>akc</w:t>
      </w:r>
      <w:r w:rsidR="000A4800">
        <w:rPr>
          <w:color w:val="000000"/>
        </w:rPr>
        <w:t>e</w:t>
      </w:r>
      <w:r w:rsidRPr="003F1BD1">
        <w:rPr>
          <w:color w:val="000000"/>
        </w:rPr>
        <w:t xml:space="preserve"> </w:t>
      </w:r>
      <w:r>
        <w:rPr>
          <w:color w:val="000000"/>
        </w:rPr>
        <w:t xml:space="preserve">vybraných </w:t>
      </w:r>
      <w:r w:rsidRPr="003F1BD1">
        <w:rPr>
          <w:color w:val="000000"/>
        </w:rPr>
        <w:t xml:space="preserve">podprogramů, z toho odbor kontroly MZ vykonal v rámci veřejnosprávních kontrol pět kontrol (FN Brno </w:t>
      </w:r>
      <w:r w:rsidR="00484380">
        <w:rPr>
          <w:color w:val="000000"/>
        </w:rPr>
        <w:t>–</w:t>
      </w:r>
      <w:r w:rsidRPr="003F1BD1">
        <w:rPr>
          <w:color w:val="000000"/>
        </w:rPr>
        <w:t xml:space="preserve"> </w:t>
      </w:r>
      <w:r w:rsidR="00484380">
        <w:rPr>
          <w:color w:val="000000"/>
        </w:rPr>
        <w:t xml:space="preserve">v roce </w:t>
      </w:r>
      <w:r w:rsidRPr="003F1BD1">
        <w:rPr>
          <w:color w:val="000000"/>
        </w:rPr>
        <w:t xml:space="preserve">2007, 2009 a 2010, FN Ostrava </w:t>
      </w:r>
      <w:r w:rsidR="00130104">
        <w:rPr>
          <w:color w:val="000000"/>
        </w:rPr>
        <w:t>–</w:t>
      </w:r>
      <w:r w:rsidRPr="003F1BD1">
        <w:rPr>
          <w:color w:val="000000"/>
        </w:rPr>
        <w:t xml:space="preserve"> </w:t>
      </w:r>
      <w:r w:rsidR="00484380">
        <w:rPr>
          <w:color w:val="000000"/>
        </w:rPr>
        <w:t>v roce</w:t>
      </w:r>
      <w:r w:rsidRPr="003F1BD1">
        <w:rPr>
          <w:color w:val="000000"/>
        </w:rPr>
        <w:t xml:space="preserve"> 2008 a FN Motol </w:t>
      </w:r>
      <w:r w:rsidR="00130104">
        <w:rPr>
          <w:color w:val="000000"/>
        </w:rPr>
        <w:t>–</w:t>
      </w:r>
      <w:r w:rsidRPr="003F1BD1">
        <w:rPr>
          <w:color w:val="000000"/>
        </w:rPr>
        <w:t xml:space="preserve"> </w:t>
      </w:r>
      <w:r w:rsidR="00484380">
        <w:rPr>
          <w:color w:val="000000"/>
        </w:rPr>
        <w:t>v roce</w:t>
      </w:r>
      <w:r w:rsidRPr="003F1BD1">
        <w:rPr>
          <w:color w:val="000000"/>
        </w:rPr>
        <w:t xml:space="preserve"> 2007) a</w:t>
      </w:r>
      <w:r w:rsidR="000A4800">
        <w:rPr>
          <w:color w:val="000000"/>
        </w:rPr>
        <w:t> </w:t>
      </w:r>
      <w:r w:rsidR="00484380">
        <w:rPr>
          <w:color w:val="000000"/>
        </w:rPr>
        <w:t xml:space="preserve">dále </w:t>
      </w:r>
      <w:r w:rsidRPr="003F1BD1">
        <w:rPr>
          <w:color w:val="000000"/>
        </w:rPr>
        <w:t xml:space="preserve">odbor investičního rozvoje MZ realizoval osm kontrol (FN Brno </w:t>
      </w:r>
      <w:r w:rsidR="00130104">
        <w:rPr>
          <w:color w:val="000000"/>
        </w:rPr>
        <w:t>–</w:t>
      </w:r>
      <w:r w:rsidRPr="003F1BD1">
        <w:rPr>
          <w:color w:val="000000"/>
        </w:rPr>
        <w:t xml:space="preserve"> </w:t>
      </w:r>
      <w:r w:rsidR="00484380">
        <w:rPr>
          <w:color w:val="000000"/>
        </w:rPr>
        <w:t xml:space="preserve">v roce </w:t>
      </w:r>
      <w:r w:rsidRPr="003F1BD1">
        <w:rPr>
          <w:color w:val="000000"/>
        </w:rPr>
        <w:t>2010, FN</w:t>
      </w:r>
      <w:r w:rsidR="000A4800">
        <w:rPr>
          <w:color w:val="000000"/>
        </w:rPr>
        <w:t> </w:t>
      </w:r>
      <w:r w:rsidRPr="003F1BD1">
        <w:rPr>
          <w:color w:val="000000"/>
        </w:rPr>
        <w:t xml:space="preserve">Ostrava </w:t>
      </w:r>
      <w:r w:rsidR="00130104">
        <w:rPr>
          <w:color w:val="000000"/>
        </w:rPr>
        <w:t>–</w:t>
      </w:r>
      <w:r w:rsidRPr="003F1BD1">
        <w:rPr>
          <w:color w:val="000000"/>
        </w:rPr>
        <w:t xml:space="preserve"> </w:t>
      </w:r>
      <w:r w:rsidR="00484380">
        <w:rPr>
          <w:color w:val="000000"/>
        </w:rPr>
        <w:t>v roce</w:t>
      </w:r>
      <w:r w:rsidRPr="003F1BD1">
        <w:rPr>
          <w:color w:val="000000"/>
        </w:rPr>
        <w:t xml:space="preserve"> 2009, FN Motol </w:t>
      </w:r>
      <w:r w:rsidR="00130104">
        <w:rPr>
          <w:color w:val="000000"/>
        </w:rPr>
        <w:t xml:space="preserve">– </w:t>
      </w:r>
      <w:r w:rsidR="00484380">
        <w:rPr>
          <w:color w:val="000000"/>
        </w:rPr>
        <w:t>v roce</w:t>
      </w:r>
      <w:r w:rsidRPr="003F1BD1">
        <w:rPr>
          <w:color w:val="000000"/>
        </w:rPr>
        <w:t xml:space="preserve"> 2006, 2007 a 2011 a FN Plzeň </w:t>
      </w:r>
      <w:r w:rsidR="00130104">
        <w:rPr>
          <w:color w:val="000000"/>
        </w:rPr>
        <w:t>–</w:t>
      </w:r>
      <w:r w:rsidRPr="003F1BD1">
        <w:rPr>
          <w:color w:val="000000"/>
        </w:rPr>
        <w:t xml:space="preserve"> </w:t>
      </w:r>
      <w:r w:rsidR="00484380">
        <w:rPr>
          <w:color w:val="000000"/>
        </w:rPr>
        <w:t>v roce</w:t>
      </w:r>
      <w:r w:rsidRPr="003F1BD1">
        <w:rPr>
          <w:color w:val="000000"/>
        </w:rPr>
        <w:t xml:space="preserve"> 2007, 2009 a 2010). </w:t>
      </w:r>
      <w:r>
        <w:rPr>
          <w:color w:val="000000"/>
        </w:rPr>
        <w:t>A</w:t>
      </w:r>
      <w:r w:rsidRPr="003F1BD1">
        <w:rPr>
          <w:color w:val="000000"/>
        </w:rPr>
        <w:t>kce FN Plzeň nebyly veřejnosprávní kontrol</w:t>
      </w:r>
      <w:r>
        <w:rPr>
          <w:color w:val="000000"/>
        </w:rPr>
        <w:t xml:space="preserve">e MZ vůbec podrobeny, </w:t>
      </w:r>
      <w:r w:rsidR="000A118B">
        <w:rPr>
          <w:color w:val="000000"/>
        </w:rPr>
        <w:t>přestože</w:t>
      </w:r>
      <w:r>
        <w:rPr>
          <w:color w:val="000000"/>
        </w:rPr>
        <w:t xml:space="preserve"> je MZ podpořilo dotací ve výši </w:t>
      </w:r>
      <w:r w:rsidR="00840AA8">
        <w:rPr>
          <w:color w:val="000000"/>
        </w:rPr>
        <w:t xml:space="preserve">1 113,5 </w:t>
      </w:r>
      <w:r>
        <w:rPr>
          <w:color w:val="000000"/>
        </w:rPr>
        <w:t>mil. Kč</w:t>
      </w:r>
      <w:r w:rsidRPr="003F1BD1">
        <w:rPr>
          <w:color w:val="000000"/>
        </w:rPr>
        <w:t>. Ani v jedné ze třinácti provedených kontrol nezjistilo MZ žádné pochybení.</w:t>
      </w:r>
    </w:p>
    <w:p w:rsidR="006921EB" w:rsidRDefault="006921EB" w:rsidP="0080427D">
      <w:pPr>
        <w:spacing w:after="0" w:line="240" w:lineRule="auto"/>
        <w:jc w:val="both"/>
        <w:rPr>
          <w:color w:val="000000"/>
        </w:rPr>
      </w:pPr>
    </w:p>
    <w:p w:rsidR="00BE23B4" w:rsidRDefault="0012348E" w:rsidP="0080427D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BE23B4">
        <w:rPr>
          <w:b/>
          <w:color w:val="000000"/>
        </w:rPr>
        <w:t xml:space="preserve">Financování </w:t>
      </w:r>
      <w:r w:rsidR="005810F7" w:rsidRPr="003F1BD1">
        <w:rPr>
          <w:b/>
        </w:rPr>
        <w:t>Program</w:t>
      </w:r>
      <w:r w:rsidR="005810F7">
        <w:rPr>
          <w:b/>
        </w:rPr>
        <w:t>u</w:t>
      </w:r>
      <w:r>
        <w:rPr>
          <w:b/>
        </w:rPr>
        <w:t xml:space="preserve"> </w:t>
      </w:r>
      <w:r w:rsidR="00BE23B4">
        <w:rPr>
          <w:b/>
          <w:color w:val="000000"/>
        </w:rPr>
        <w:t>a jeho akcí</w:t>
      </w:r>
    </w:p>
    <w:p w:rsidR="006921EB" w:rsidRDefault="006921EB" w:rsidP="0080427D">
      <w:pPr>
        <w:spacing w:after="0" w:line="240" w:lineRule="auto"/>
        <w:jc w:val="both"/>
        <w:rPr>
          <w:b/>
          <w:color w:val="000000"/>
        </w:rPr>
      </w:pPr>
    </w:p>
    <w:p w:rsidR="00720FA1" w:rsidRPr="00DA565E" w:rsidRDefault="00BE23B4" w:rsidP="00965AA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MZ rozšiřovalo </w:t>
      </w:r>
      <w:r w:rsidR="00C74C2F">
        <w:rPr>
          <w:b/>
          <w:color w:val="000000"/>
        </w:rPr>
        <w:t>P</w:t>
      </w:r>
      <w:r>
        <w:rPr>
          <w:b/>
          <w:color w:val="000000"/>
        </w:rPr>
        <w:t xml:space="preserve">rogram o </w:t>
      </w:r>
      <w:r w:rsidR="00840AA8">
        <w:rPr>
          <w:b/>
          <w:color w:val="000000"/>
        </w:rPr>
        <w:t xml:space="preserve">nové podprogramy a </w:t>
      </w:r>
      <w:r>
        <w:rPr>
          <w:b/>
          <w:color w:val="000000"/>
        </w:rPr>
        <w:t>finančně náročné akce, čímž</w:t>
      </w:r>
      <w:r w:rsidR="009F2D94">
        <w:rPr>
          <w:b/>
          <w:color w:val="000000"/>
        </w:rPr>
        <w:t xml:space="preserve"> </w:t>
      </w:r>
      <w:r w:rsidR="002E12D7" w:rsidRPr="00DA565E">
        <w:rPr>
          <w:b/>
          <w:color w:val="000000"/>
        </w:rPr>
        <w:t xml:space="preserve">od roku 2004 </w:t>
      </w:r>
      <w:r w:rsidR="009F2D94">
        <w:rPr>
          <w:b/>
          <w:color w:val="000000"/>
        </w:rPr>
        <w:t>vzrostl</w:t>
      </w:r>
      <w:r w:rsidR="005810F7">
        <w:rPr>
          <w:b/>
          <w:color w:val="000000"/>
        </w:rPr>
        <w:t>a účast SR</w:t>
      </w:r>
      <w:r w:rsidR="008B183D">
        <w:rPr>
          <w:rStyle w:val="Znakapoznpodarou"/>
          <w:b/>
          <w:color w:val="000000"/>
        </w:rPr>
        <w:footnoteReference w:id="10"/>
      </w:r>
      <w:r w:rsidR="009F2D94">
        <w:rPr>
          <w:b/>
          <w:color w:val="000000"/>
        </w:rPr>
        <w:t xml:space="preserve"> </w:t>
      </w:r>
      <w:r w:rsidR="005810F7">
        <w:rPr>
          <w:b/>
          <w:color w:val="000000"/>
        </w:rPr>
        <w:t xml:space="preserve">o 15,8 mld. Kč a doba </w:t>
      </w:r>
      <w:r w:rsidR="00DA565E">
        <w:rPr>
          <w:b/>
          <w:color w:val="000000"/>
        </w:rPr>
        <w:t xml:space="preserve">realizace </w:t>
      </w:r>
      <w:r w:rsidR="0092754D">
        <w:rPr>
          <w:b/>
          <w:color w:val="000000"/>
        </w:rPr>
        <w:t>se</w:t>
      </w:r>
      <w:r w:rsidR="00DA565E">
        <w:rPr>
          <w:b/>
          <w:color w:val="000000"/>
        </w:rPr>
        <w:t xml:space="preserve"> prodlouž</w:t>
      </w:r>
      <w:r w:rsidR="0092754D">
        <w:rPr>
          <w:b/>
          <w:color w:val="000000"/>
        </w:rPr>
        <w:t>ila</w:t>
      </w:r>
      <w:r w:rsidR="00DA565E">
        <w:rPr>
          <w:b/>
          <w:color w:val="000000"/>
        </w:rPr>
        <w:t xml:space="preserve"> </w:t>
      </w:r>
      <w:r w:rsidR="00DA565E" w:rsidRPr="00DA565E">
        <w:rPr>
          <w:b/>
          <w:color w:val="000000"/>
        </w:rPr>
        <w:t>o</w:t>
      </w:r>
      <w:r w:rsidR="0023297E">
        <w:rPr>
          <w:b/>
          <w:color w:val="000000"/>
        </w:rPr>
        <w:t> </w:t>
      </w:r>
      <w:r w:rsidR="00DA565E" w:rsidRPr="00DA565E">
        <w:rPr>
          <w:b/>
          <w:color w:val="000000"/>
        </w:rPr>
        <w:t>devět let</w:t>
      </w:r>
      <w:r w:rsidR="00475EFD">
        <w:rPr>
          <w:b/>
          <w:color w:val="000000"/>
        </w:rPr>
        <w:t xml:space="preserve">, </w:t>
      </w:r>
      <w:r w:rsidR="00870B21">
        <w:rPr>
          <w:b/>
          <w:color w:val="000000"/>
        </w:rPr>
        <w:t xml:space="preserve">přičemž </w:t>
      </w:r>
      <w:r w:rsidR="00475EFD">
        <w:rPr>
          <w:b/>
          <w:color w:val="000000"/>
        </w:rPr>
        <w:t xml:space="preserve">MZ průběžně </w:t>
      </w:r>
      <w:r w:rsidR="008739BD">
        <w:rPr>
          <w:b/>
          <w:color w:val="000000"/>
        </w:rPr>
        <w:t xml:space="preserve">Program </w:t>
      </w:r>
      <w:r w:rsidR="00475EFD">
        <w:rPr>
          <w:b/>
          <w:color w:val="000000"/>
        </w:rPr>
        <w:t>nevyhodnoc</w:t>
      </w:r>
      <w:r w:rsidR="00514C16">
        <w:rPr>
          <w:b/>
          <w:color w:val="000000"/>
        </w:rPr>
        <w:t>ovalo</w:t>
      </w:r>
    </w:p>
    <w:p w:rsidR="00EF1883" w:rsidRDefault="00EF1883" w:rsidP="0080427D">
      <w:pPr>
        <w:spacing w:after="0" w:line="240" w:lineRule="auto"/>
        <w:jc w:val="both"/>
        <w:rPr>
          <w:color w:val="000000"/>
        </w:rPr>
      </w:pPr>
    </w:p>
    <w:p w:rsidR="005810F7" w:rsidRPr="00B50272" w:rsidRDefault="00C30FAF" w:rsidP="0080427D">
      <w:pPr>
        <w:spacing w:after="0" w:line="240" w:lineRule="auto"/>
        <w:jc w:val="both"/>
        <w:rPr>
          <w:bCs/>
          <w:color w:val="000000"/>
          <w:lang w:eastAsia="cs-CZ"/>
        </w:rPr>
      </w:pPr>
      <w:r w:rsidRPr="003F1BD1">
        <w:rPr>
          <w:color w:val="000000"/>
        </w:rPr>
        <w:t xml:space="preserve">Program byl schválen v roce 2004 s účastí SR ve výši </w:t>
      </w:r>
      <w:r w:rsidRPr="003F1BD1">
        <w:rPr>
          <w:bCs/>
          <w:color w:val="000000"/>
          <w:lang w:eastAsia="cs-CZ"/>
        </w:rPr>
        <w:t>2</w:t>
      </w:r>
      <w:r w:rsidR="00EB4C03">
        <w:rPr>
          <w:bCs/>
          <w:color w:val="000000"/>
          <w:lang w:eastAsia="cs-CZ"/>
        </w:rPr>
        <w:t> </w:t>
      </w:r>
      <w:r w:rsidRPr="003F1BD1">
        <w:rPr>
          <w:bCs/>
          <w:color w:val="000000"/>
          <w:lang w:eastAsia="cs-CZ"/>
        </w:rPr>
        <w:t>839</w:t>
      </w:r>
      <w:r w:rsidR="00EB4C03">
        <w:rPr>
          <w:bCs/>
          <w:color w:val="000000"/>
          <w:lang w:eastAsia="cs-CZ"/>
        </w:rPr>
        <w:t> mil. Kč a </w:t>
      </w:r>
      <w:r w:rsidRPr="003F1BD1">
        <w:rPr>
          <w:bCs/>
          <w:color w:val="000000"/>
          <w:lang w:eastAsia="cs-CZ"/>
        </w:rPr>
        <w:t>předpokládaným termínem ukončení realizace do k</w:t>
      </w:r>
      <w:r w:rsidR="00B50272">
        <w:rPr>
          <w:bCs/>
          <w:color w:val="000000"/>
          <w:lang w:eastAsia="cs-CZ"/>
        </w:rPr>
        <w:t>once roku 2007. Ve skutečnosti však od jeho schválení do roku 2010</w:t>
      </w:r>
      <w:r w:rsidRPr="003F1BD1">
        <w:rPr>
          <w:bCs/>
          <w:color w:val="000000"/>
          <w:lang w:eastAsia="cs-CZ"/>
        </w:rPr>
        <w:t xml:space="preserve"> </w:t>
      </w:r>
      <w:r w:rsidR="00702806">
        <w:rPr>
          <w:bCs/>
          <w:color w:val="000000"/>
          <w:lang w:eastAsia="cs-CZ"/>
        </w:rPr>
        <w:t>vzrostla účast</w:t>
      </w:r>
      <w:r w:rsidRPr="003F1BD1">
        <w:rPr>
          <w:bCs/>
          <w:color w:val="000000"/>
          <w:lang w:eastAsia="cs-CZ"/>
        </w:rPr>
        <w:t xml:space="preserve"> SR o</w:t>
      </w:r>
      <w:r w:rsidR="00EB4C03">
        <w:rPr>
          <w:bCs/>
          <w:color w:val="000000"/>
          <w:lang w:eastAsia="cs-CZ"/>
        </w:rPr>
        <w:t> </w:t>
      </w:r>
      <w:r w:rsidR="00B50272" w:rsidRPr="003F1BD1">
        <w:rPr>
          <w:bCs/>
          <w:color w:val="000000"/>
          <w:lang w:eastAsia="cs-CZ"/>
        </w:rPr>
        <w:t>15</w:t>
      </w:r>
      <w:r w:rsidR="00EB4C03">
        <w:rPr>
          <w:bCs/>
          <w:color w:val="000000"/>
          <w:lang w:eastAsia="cs-CZ"/>
        </w:rPr>
        <w:t> </w:t>
      </w:r>
      <w:r w:rsidR="00B50272" w:rsidRPr="003F1BD1">
        <w:rPr>
          <w:bCs/>
          <w:color w:val="000000"/>
          <w:lang w:eastAsia="cs-CZ"/>
        </w:rPr>
        <w:t>809</w:t>
      </w:r>
      <w:r w:rsidR="00EB4C03">
        <w:rPr>
          <w:bCs/>
          <w:color w:val="000000"/>
          <w:lang w:eastAsia="cs-CZ"/>
        </w:rPr>
        <w:t> mil. </w:t>
      </w:r>
      <w:r w:rsidR="00B50272" w:rsidRPr="003F1BD1">
        <w:rPr>
          <w:bCs/>
          <w:color w:val="000000"/>
          <w:lang w:eastAsia="cs-CZ"/>
        </w:rPr>
        <w:t>Kč</w:t>
      </w:r>
      <w:r w:rsidR="00B50272">
        <w:rPr>
          <w:bCs/>
          <w:color w:val="000000"/>
          <w:lang w:eastAsia="cs-CZ"/>
        </w:rPr>
        <w:t xml:space="preserve"> (</w:t>
      </w:r>
      <w:r w:rsidR="00EB4C03">
        <w:rPr>
          <w:bCs/>
          <w:color w:val="000000"/>
          <w:lang w:eastAsia="cs-CZ"/>
        </w:rPr>
        <w:t>tj. o </w:t>
      </w:r>
      <w:r w:rsidR="00B50272">
        <w:rPr>
          <w:bCs/>
          <w:color w:val="000000"/>
          <w:lang w:eastAsia="cs-CZ"/>
        </w:rPr>
        <w:t>5</w:t>
      </w:r>
      <w:r w:rsidR="00B50272" w:rsidRPr="003F1BD1">
        <w:rPr>
          <w:bCs/>
          <w:color w:val="000000"/>
          <w:lang w:eastAsia="cs-CZ"/>
        </w:rPr>
        <w:t>57</w:t>
      </w:r>
      <w:r w:rsidR="00EB4C03">
        <w:rPr>
          <w:bCs/>
          <w:color w:val="000000"/>
          <w:lang w:eastAsia="cs-CZ"/>
        </w:rPr>
        <w:t> </w:t>
      </w:r>
      <w:r w:rsidR="00B50272" w:rsidRPr="003F1BD1">
        <w:rPr>
          <w:bCs/>
          <w:color w:val="000000"/>
          <w:lang w:eastAsia="cs-CZ"/>
        </w:rPr>
        <w:t>%</w:t>
      </w:r>
      <w:r w:rsidR="00B50272">
        <w:rPr>
          <w:bCs/>
          <w:color w:val="000000"/>
          <w:lang w:eastAsia="cs-CZ"/>
        </w:rPr>
        <w:t xml:space="preserve">) </w:t>
      </w:r>
      <w:r w:rsidR="00EB4C03">
        <w:rPr>
          <w:bCs/>
          <w:color w:val="000000"/>
          <w:lang w:eastAsia="cs-CZ"/>
        </w:rPr>
        <w:t>na současných 18 648 </w:t>
      </w:r>
      <w:r w:rsidR="00E301C8">
        <w:rPr>
          <w:bCs/>
          <w:color w:val="000000"/>
          <w:lang w:eastAsia="cs-CZ"/>
        </w:rPr>
        <w:t>mil.</w:t>
      </w:r>
      <w:r w:rsidR="00EB4C03">
        <w:rPr>
          <w:bCs/>
          <w:color w:val="000000"/>
          <w:lang w:eastAsia="cs-CZ"/>
        </w:rPr>
        <w:t> </w:t>
      </w:r>
      <w:r w:rsidRPr="003F1BD1">
        <w:rPr>
          <w:bCs/>
          <w:color w:val="000000"/>
          <w:lang w:eastAsia="cs-CZ"/>
        </w:rPr>
        <w:t>Kč (včetn</w:t>
      </w:r>
      <w:r w:rsidR="00B50272">
        <w:rPr>
          <w:bCs/>
          <w:color w:val="000000"/>
          <w:lang w:eastAsia="cs-CZ"/>
        </w:rPr>
        <w:t>ě</w:t>
      </w:r>
      <w:r w:rsidR="00EB4C03">
        <w:rPr>
          <w:bCs/>
          <w:color w:val="000000"/>
          <w:lang w:eastAsia="cs-CZ"/>
        </w:rPr>
        <w:t xml:space="preserve"> mimorozpočtových prostředků) a </w:t>
      </w:r>
      <w:r w:rsidR="00B50272">
        <w:rPr>
          <w:bCs/>
          <w:color w:val="000000"/>
          <w:lang w:eastAsia="cs-CZ"/>
        </w:rPr>
        <w:t>d</w:t>
      </w:r>
      <w:r w:rsidRPr="003F1BD1">
        <w:rPr>
          <w:bCs/>
          <w:color w:val="000000"/>
          <w:lang w:eastAsia="cs-CZ"/>
        </w:rPr>
        <w:t xml:space="preserve">oba realizace se prodloužila </w:t>
      </w:r>
      <w:r w:rsidR="00771466" w:rsidRPr="003F1BD1">
        <w:rPr>
          <w:bCs/>
          <w:color w:val="000000"/>
          <w:lang w:eastAsia="cs-CZ"/>
        </w:rPr>
        <w:t xml:space="preserve">o devět let, </w:t>
      </w:r>
      <w:r w:rsidR="00B50272">
        <w:rPr>
          <w:bCs/>
          <w:color w:val="000000"/>
          <w:lang w:eastAsia="cs-CZ"/>
        </w:rPr>
        <w:t>konkrétně</w:t>
      </w:r>
      <w:r w:rsidR="00771466" w:rsidRPr="003F1BD1">
        <w:rPr>
          <w:bCs/>
          <w:color w:val="000000"/>
          <w:lang w:eastAsia="cs-CZ"/>
        </w:rPr>
        <w:t xml:space="preserve"> </w:t>
      </w:r>
      <w:r w:rsidRPr="003F1BD1">
        <w:rPr>
          <w:bCs/>
          <w:color w:val="000000"/>
          <w:lang w:eastAsia="cs-CZ"/>
        </w:rPr>
        <w:t>ze</w:t>
      </w:r>
      <w:r w:rsidR="00EB4C03">
        <w:rPr>
          <w:bCs/>
          <w:color w:val="000000"/>
          <w:lang w:eastAsia="cs-CZ"/>
        </w:rPr>
        <w:t xml:space="preserve"> </w:t>
      </w:r>
      <w:r w:rsidRPr="003F1BD1">
        <w:rPr>
          <w:bCs/>
          <w:color w:val="000000"/>
          <w:lang w:eastAsia="cs-CZ"/>
        </w:rPr>
        <w:t>tří let a</w:t>
      </w:r>
      <w:r w:rsidR="00EB4C03">
        <w:rPr>
          <w:bCs/>
          <w:color w:val="000000"/>
          <w:lang w:eastAsia="cs-CZ"/>
        </w:rPr>
        <w:t> </w:t>
      </w:r>
      <w:r w:rsidRPr="003F1BD1">
        <w:rPr>
          <w:bCs/>
          <w:color w:val="000000"/>
          <w:lang w:eastAsia="cs-CZ"/>
        </w:rPr>
        <w:t>sedmi měsíců na dvanáct let a</w:t>
      </w:r>
      <w:r w:rsidR="00EB4C03">
        <w:rPr>
          <w:bCs/>
          <w:color w:val="000000"/>
          <w:lang w:eastAsia="cs-CZ"/>
        </w:rPr>
        <w:t> </w:t>
      </w:r>
      <w:r w:rsidRPr="003F1BD1">
        <w:rPr>
          <w:bCs/>
          <w:color w:val="000000"/>
          <w:lang w:eastAsia="cs-CZ"/>
        </w:rPr>
        <w:t>sedm měsíců</w:t>
      </w:r>
      <w:r w:rsidR="00771466" w:rsidRPr="003F1BD1">
        <w:rPr>
          <w:bCs/>
          <w:color w:val="000000"/>
          <w:lang w:eastAsia="cs-CZ"/>
        </w:rPr>
        <w:t xml:space="preserve">. </w:t>
      </w:r>
      <w:r w:rsidR="00130104">
        <w:rPr>
          <w:bCs/>
          <w:color w:val="000000"/>
          <w:lang w:eastAsia="cs-CZ"/>
        </w:rPr>
        <w:t>Důvodem navyšování účasti SR a </w:t>
      </w:r>
      <w:r w:rsidRPr="003F1BD1">
        <w:rPr>
          <w:bCs/>
          <w:color w:val="000000"/>
          <w:lang w:eastAsia="cs-CZ"/>
        </w:rPr>
        <w:t xml:space="preserve">prodlužování doby realizace bylo především zapojování nových podprogramů (FN Motol, FN Olomouc), </w:t>
      </w:r>
      <w:r w:rsidR="008A3F5C" w:rsidRPr="003F1BD1">
        <w:rPr>
          <w:bCs/>
          <w:color w:val="000000"/>
          <w:lang w:eastAsia="cs-CZ"/>
        </w:rPr>
        <w:t>získání mimorozpočtových prostředků z </w:t>
      </w:r>
      <w:r w:rsidR="008A3F5C" w:rsidRPr="003F1BD1">
        <w:t>Fondu ná</w:t>
      </w:r>
      <w:r w:rsidR="003015C3">
        <w:t xml:space="preserve">rodního majetku České republiky </w:t>
      </w:r>
      <w:r w:rsidR="00C81C84">
        <w:t>a</w:t>
      </w:r>
      <w:r w:rsidR="00EB4C03">
        <w:t> </w:t>
      </w:r>
      <w:r w:rsidRPr="003F1BD1">
        <w:rPr>
          <w:bCs/>
          <w:color w:val="000000"/>
          <w:lang w:eastAsia="cs-CZ"/>
        </w:rPr>
        <w:t xml:space="preserve">rozšiřování podprogramů </w:t>
      </w:r>
      <w:r w:rsidR="00470F0B">
        <w:rPr>
          <w:bCs/>
          <w:color w:val="000000"/>
          <w:lang w:eastAsia="cs-CZ"/>
        </w:rPr>
        <w:t>o nové</w:t>
      </w:r>
      <w:r w:rsidRPr="003F1BD1">
        <w:rPr>
          <w:bCs/>
          <w:color w:val="000000"/>
          <w:lang w:eastAsia="cs-CZ"/>
        </w:rPr>
        <w:t xml:space="preserve"> finančně </w:t>
      </w:r>
      <w:r w:rsidR="008A3F5C" w:rsidRPr="003F1BD1">
        <w:rPr>
          <w:bCs/>
          <w:color w:val="000000"/>
          <w:lang w:eastAsia="cs-CZ"/>
        </w:rPr>
        <w:t>i</w:t>
      </w:r>
      <w:r w:rsidR="00EB4C03">
        <w:rPr>
          <w:bCs/>
          <w:color w:val="000000"/>
          <w:lang w:eastAsia="cs-CZ"/>
        </w:rPr>
        <w:t> </w:t>
      </w:r>
      <w:r w:rsidRPr="003F1BD1">
        <w:rPr>
          <w:bCs/>
          <w:color w:val="000000"/>
          <w:lang w:eastAsia="cs-CZ"/>
        </w:rPr>
        <w:t>stavebně náročn</w:t>
      </w:r>
      <w:r w:rsidR="00470F0B">
        <w:rPr>
          <w:bCs/>
          <w:color w:val="000000"/>
          <w:lang w:eastAsia="cs-CZ"/>
        </w:rPr>
        <w:t>é</w:t>
      </w:r>
      <w:r w:rsidRPr="003F1BD1">
        <w:rPr>
          <w:bCs/>
          <w:color w:val="000000"/>
          <w:lang w:eastAsia="cs-CZ"/>
        </w:rPr>
        <w:t xml:space="preserve"> </w:t>
      </w:r>
      <w:r w:rsidR="008A3F5C" w:rsidRPr="003F1BD1">
        <w:rPr>
          <w:bCs/>
          <w:color w:val="000000"/>
          <w:lang w:eastAsia="cs-CZ"/>
        </w:rPr>
        <w:t>akc</w:t>
      </w:r>
      <w:r w:rsidR="00470F0B">
        <w:rPr>
          <w:bCs/>
          <w:color w:val="000000"/>
          <w:lang w:eastAsia="cs-CZ"/>
        </w:rPr>
        <w:t>e</w:t>
      </w:r>
      <w:r w:rsidR="008A3F5C" w:rsidRPr="003F1BD1">
        <w:rPr>
          <w:bCs/>
          <w:color w:val="000000"/>
          <w:lang w:eastAsia="cs-CZ"/>
        </w:rPr>
        <w:t xml:space="preserve"> (ICRC Brno) </w:t>
      </w:r>
      <w:r w:rsidRPr="003F1BD1">
        <w:rPr>
          <w:bCs/>
          <w:color w:val="000000"/>
          <w:lang w:eastAsia="cs-CZ"/>
        </w:rPr>
        <w:t xml:space="preserve">především v období 2004 </w:t>
      </w:r>
      <w:r w:rsidR="00053019">
        <w:rPr>
          <w:bCs/>
          <w:color w:val="000000"/>
          <w:lang w:eastAsia="cs-CZ"/>
        </w:rPr>
        <w:t>až</w:t>
      </w:r>
      <w:r w:rsidRPr="003F1BD1">
        <w:rPr>
          <w:bCs/>
          <w:color w:val="000000"/>
          <w:lang w:eastAsia="cs-CZ"/>
        </w:rPr>
        <w:t xml:space="preserve"> 2006</w:t>
      </w:r>
      <w:r w:rsidR="00B50272">
        <w:rPr>
          <w:bCs/>
          <w:color w:val="000000"/>
          <w:lang w:eastAsia="cs-CZ"/>
        </w:rPr>
        <w:t>.</w:t>
      </w:r>
      <w:r w:rsidR="008455D5">
        <w:rPr>
          <w:bCs/>
          <w:color w:val="000000"/>
          <w:lang w:eastAsia="cs-CZ"/>
        </w:rPr>
        <w:t xml:space="preserve"> </w:t>
      </w:r>
      <w:r w:rsidR="008A3F5C" w:rsidRPr="003F1BD1">
        <w:rPr>
          <w:bCs/>
          <w:color w:val="000000"/>
          <w:lang w:eastAsia="cs-CZ"/>
        </w:rPr>
        <w:t>M</w:t>
      </w:r>
      <w:r w:rsidRPr="003F1BD1">
        <w:rPr>
          <w:bCs/>
          <w:color w:val="000000"/>
          <w:lang w:eastAsia="cs-CZ"/>
        </w:rPr>
        <w:t xml:space="preserve">Z </w:t>
      </w:r>
      <w:r w:rsidR="002A1DEE">
        <w:rPr>
          <w:bCs/>
          <w:color w:val="000000"/>
          <w:lang w:eastAsia="cs-CZ"/>
        </w:rPr>
        <w:t xml:space="preserve">až </w:t>
      </w:r>
      <w:r w:rsidR="00F70493" w:rsidRPr="003F1BD1">
        <w:rPr>
          <w:color w:val="000000"/>
        </w:rPr>
        <w:t xml:space="preserve">do doby ukončení </w:t>
      </w:r>
      <w:r w:rsidR="0092754D">
        <w:rPr>
          <w:color w:val="000000"/>
        </w:rPr>
        <w:t>kontrolní akce</w:t>
      </w:r>
      <w:r w:rsidRPr="003F1BD1">
        <w:rPr>
          <w:color w:val="000000"/>
        </w:rPr>
        <w:t xml:space="preserve"> </w:t>
      </w:r>
      <w:r w:rsidR="002A1DEE">
        <w:rPr>
          <w:color w:val="000000"/>
        </w:rPr>
        <w:t xml:space="preserve">průběžně nevyhodnocovalo </w:t>
      </w:r>
      <w:r w:rsidR="00C522F3">
        <w:rPr>
          <w:color w:val="000000"/>
        </w:rPr>
        <w:t xml:space="preserve">naplňování cílů (indikátorů) </w:t>
      </w:r>
      <w:r w:rsidR="008739BD">
        <w:rPr>
          <w:color w:val="000000"/>
        </w:rPr>
        <w:t>P</w:t>
      </w:r>
      <w:r w:rsidRPr="003F1BD1">
        <w:rPr>
          <w:color w:val="000000"/>
        </w:rPr>
        <w:t>rogram</w:t>
      </w:r>
      <w:r w:rsidR="004D6543">
        <w:rPr>
          <w:color w:val="000000"/>
        </w:rPr>
        <w:t>u</w:t>
      </w:r>
      <w:r w:rsidR="000D2303">
        <w:rPr>
          <w:color w:val="000000"/>
        </w:rPr>
        <w:t xml:space="preserve">. </w:t>
      </w:r>
    </w:p>
    <w:p w:rsidR="00806ECF" w:rsidRDefault="00806ECF" w:rsidP="0080427D">
      <w:pPr>
        <w:spacing w:after="0" w:line="240" w:lineRule="auto"/>
        <w:jc w:val="both"/>
        <w:rPr>
          <w:rFonts w:eastAsia="Times New Roman"/>
          <w:bCs/>
          <w:lang w:eastAsia="cs-CZ"/>
        </w:rPr>
      </w:pPr>
    </w:p>
    <w:p w:rsidR="00386801" w:rsidRPr="006D30BA" w:rsidRDefault="00691358" w:rsidP="00965AA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MZ </w:t>
      </w:r>
      <w:r w:rsidR="00BA587D">
        <w:rPr>
          <w:b/>
          <w:color w:val="000000"/>
        </w:rPr>
        <w:t>u tř</w:t>
      </w:r>
      <w:r w:rsidR="00D87FBF">
        <w:rPr>
          <w:b/>
          <w:color w:val="000000"/>
        </w:rPr>
        <w:t>í</w:t>
      </w:r>
      <w:r w:rsidR="00BA587D">
        <w:rPr>
          <w:b/>
          <w:color w:val="000000"/>
        </w:rPr>
        <w:t xml:space="preserve"> akcí</w:t>
      </w:r>
      <w:r w:rsidR="00386801">
        <w:rPr>
          <w:b/>
          <w:color w:val="000000"/>
        </w:rPr>
        <w:t xml:space="preserve"> </w:t>
      </w:r>
      <w:r w:rsidR="00386801" w:rsidRPr="006D30BA">
        <w:rPr>
          <w:b/>
          <w:color w:val="000000"/>
        </w:rPr>
        <w:t>poskyt</w:t>
      </w:r>
      <w:r w:rsidR="00386801">
        <w:rPr>
          <w:b/>
          <w:color w:val="000000"/>
        </w:rPr>
        <w:t>l</w:t>
      </w:r>
      <w:r w:rsidR="00386801" w:rsidRPr="006D30BA">
        <w:rPr>
          <w:b/>
          <w:color w:val="000000"/>
        </w:rPr>
        <w:t>o</w:t>
      </w:r>
      <w:r w:rsidR="00386801">
        <w:rPr>
          <w:b/>
          <w:color w:val="000000"/>
        </w:rPr>
        <w:t xml:space="preserve"> d</w:t>
      </w:r>
      <w:r w:rsidR="00386801" w:rsidRPr="006D30BA">
        <w:rPr>
          <w:b/>
          <w:color w:val="000000"/>
        </w:rPr>
        <w:t xml:space="preserve">otace </w:t>
      </w:r>
      <w:r w:rsidR="00386801">
        <w:rPr>
          <w:b/>
          <w:color w:val="000000"/>
        </w:rPr>
        <w:t xml:space="preserve">až </w:t>
      </w:r>
      <w:r w:rsidR="00386801" w:rsidRPr="006D30BA">
        <w:rPr>
          <w:b/>
          <w:color w:val="000000"/>
        </w:rPr>
        <w:t xml:space="preserve">v posledních měsících roku </w:t>
      </w:r>
    </w:p>
    <w:p w:rsidR="00EF1883" w:rsidRDefault="00EF1883" w:rsidP="001A5B20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A5B20" w:rsidRDefault="006C6C73" w:rsidP="001A5B20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color w:val="000000"/>
        </w:rPr>
        <w:t xml:space="preserve">NKÚ </w:t>
      </w:r>
      <w:r w:rsidR="00470F0B">
        <w:rPr>
          <w:color w:val="000000"/>
        </w:rPr>
        <w:t>při kontrole</w:t>
      </w:r>
      <w:r w:rsidR="00A037F2">
        <w:rPr>
          <w:color w:val="000000"/>
        </w:rPr>
        <w:t xml:space="preserve"> zji</w:t>
      </w:r>
      <w:r w:rsidR="00470F0B">
        <w:rPr>
          <w:color w:val="000000"/>
        </w:rPr>
        <w:t>stil</w:t>
      </w:r>
      <w:r w:rsidR="00A037F2">
        <w:rPr>
          <w:color w:val="000000"/>
        </w:rPr>
        <w:t xml:space="preserve">, že MZ poskytovalo část peněžních prostředků </w:t>
      </w:r>
      <w:r w:rsidR="008739BD">
        <w:rPr>
          <w:color w:val="000000"/>
        </w:rPr>
        <w:t>P</w:t>
      </w:r>
      <w:r w:rsidR="00A037F2">
        <w:rPr>
          <w:color w:val="000000"/>
        </w:rPr>
        <w:t xml:space="preserve">rogramu </w:t>
      </w:r>
      <w:r w:rsidR="00A037F2" w:rsidRPr="003F1BD1">
        <w:t>až</w:t>
      </w:r>
      <w:r w:rsidR="005E0DB0">
        <w:t xml:space="preserve"> </w:t>
      </w:r>
      <w:r w:rsidR="00A037F2" w:rsidRPr="003F1BD1">
        <w:t>v závěrečných měsících příslušného roku, což znesnadň</w:t>
      </w:r>
      <w:r w:rsidR="00A037F2">
        <w:t>ovalo</w:t>
      </w:r>
      <w:r w:rsidR="00A037F2" w:rsidRPr="003F1BD1">
        <w:t xml:space="preserve"> jejich využití</w:t>
      </w:r>
      <w:r w:rsidR="00A037F2">
        <w:t>. Uvedený stav byl zjištěn u tř</w:t>
      </w:r>
      <w:r w:rsidR="00D87FBF">
        <w:t>í</w:t>
      </w:r>
      <w:r w:rsidR="00A037F2">
        <w:t xml:space="preserve"> </w:t>
      </w:r>
      <w:r w:rsidR="00A037F2" w:rsidRPr="003F1BD1">
        <w:t xml:space="preserve">ze čtrnácti </w:t>
      </w:r>
      <w:r w:rsidR="00A037F2">
        <w:t>akcí vybraných podprogramů</w:t>
      </w:r>
      <w:r w:rsidR="0011634F">
        <w:t>.</w:t>
      </w:r>
      <w:r w:rsidR="00A037F2" w:rsidRPr="003F1BD1">
        <w:t xml:space="preserve"> </w:t>
      </w:r>
      <w:r w:rsidR="0011634F">
        <w:rPr>
          <w:color w:val="000000"/>
        </w:rPr>
        <w:t>V</w:t>
      </w:r>
      <w:r w:rsidR="00A037F2" w:rsidRPr="003F1BD1">
        <w:rPr>
          <w:color w:val="000000"/>
        </w:rPr>
        <w:t xml:space="preserve">e svém důsledku </w:t>
      </w:r>
      <w:r w:rsidR="0011634F">
        <w:rPr>
          <w:color w:val="000000"/>
        </w:rPr>
        <w:t xml:space="preserve">tato skutečnost vedla </w:t>
      </w:r>
      <w:r w:rsidR="00A037F2">
        <w:rPr>
          <w:color w:val="000000"/>
        </w:rPr>
        <w:t>ke</w:t>
      </w:r>
      <w:r w:rsidR="005E0DB0">
        <w:rPr>
          <w:color w:val="000000"/>
        </w:rPr>
        <w:t xml:space="preserve"> </w:t>
      </w:r>
      <w:r w:rsidR="00A037F2">
        <w:rPr>
          <w:color w:val="000000"/>
        </w:rPr>
        <w:t xml:space="preserve">změně druhu zadávacího řízení </w:t>
      </w:r>
      <w:r w:rsidR="007402EF">
        <w:rPr>
          <w:color w:val="000000"/>
        </w:rPr>
        <w:t xml:space="preserve">z otevřeného </w:t>
      </w:r>
      <w:r w:rsidR="00470F0B">
        <w:rPr>
          <w:color w:val="000000"/>
        </w:rPr>
        <w:t xml:space="preserve">řízení </w:t>
      </w:r>
      <w:r w:rsidR="007402EF">
        <w:rPr>
          <w:color w:val="000000"/>
        </w:rPr>
        <w:t xml:space="preserve">na užší řízení </w:t>
      </w:r>
      <w:r w:rsidR="00A037F2">
        <w:rPr>
          <w:color w:val="000000"/>
        </w:rPr>
        <w:t>(FN Plzeň – akce č. 505)</w:t>
      </w:r>
      <w:r w:rsidR="00470F0B">
        <w:rPr>
          <w:color w:val="000000"/>
        </w:rPr>
        <w:t xml:space="preserve"> nebo</w:t>
      </w:r>
      <w:r w:rsidR="005E0DB0">
        <w:rPr>
          <w:color w:val="000000"/>
        </w:rPr>
        <w:t xml:space="preserve"> </w:t>
      </w:r>
      <w:r w:rsidR="00470F0B">
        <w:rPr>
          <w:color w:val="000000"/>
        </w:rPr>
        <w:t>k </w:t>
      </w:r>
      <w:r w:rsidR="00A037F2">
        <w:rPr>
          <w:color w:val="000000"/>
        </w:rPr>
        <w:t>úhradě faktur před dodáním předmětu smlouvy</w:t>
      </w:r>
      <w:r w:rsidR="00470F0B">
        <w:rPr>
          <w:color w:val="000000"/>
        </w:rPr>
        <w:t>,</w:t>
      </w:r>
      <w:r w:rsidR="00A037F2">
        <w:rPr>
          <w:color w:val="000000"/>
        </w:rPr>
        <w:t xml:space="preserve"> a t</w:t>
      </w:r>
      <w:r w:rsidR="00470F0B">
        <w:rPr>
          <w:color w:val="000000"/>
        </w:rPr>
        <w:t>edy</w:t>
      </w:r>
      <w:r w:rsidR="00A037F2">
        <w:rPr>
          <w:color w:val="000000"/>
        </w:rPr>
        <w:t xml:space="preserve"> </w:t>
      </w:r>
      <w:r w:rsidR="00470F0B">
        <w:rPr>
          <w:color w:val="000000"/>
        </w:rPr>
        <w:t>k </w:t>
      </w:r>
      <w:r w:rsidR="00A037F2">
        <w:rPr>
          <w:color w:val="000000"/>
        </w:rPr>
        <w:t>porušení podmínek</w:t>
      </w:r>
      <w:r w:rsidR="00A037F2" w:rsidRPr="003F1BD1">
        <w:rPr>
          <w:color w:val="000000"/>
        </w:rPr>
        <w:t xml:space="preserve"> čerpání </w:t>
      </w:r>
      <w:r w:rsidR="00130104">
        <w:rPr>
          <w:color w:val="000000"/>
        </w:rPr>
        <w:t>dotací (FN Ostrava – akce č. </w:t>
      </w:r>
      <w:r w:rsidR="00A037F2">
        <w:rPr>
          <w:color w:val="000000"/>
        </w:rPr>
        <w:t xml:space="preserve">402, FN Brno – akce č. 602). Na tuto skutečnost upozornil již kontrolní závěr </w:t>
      </w:r>
      <w:r w:rsidR="001A5B20">
        <w:rPr>
          <w:color w:val="000000"/>
        </w:rPr>
        <w:t>z</w:t>
      </w:r>
      <w:r w:rsidR="00A037F2">
        <w:rPr>
          <w:color w:val="000000"/>
        </w:rPr>
        <w:t xml:space="preserve"> kontrolní akce </w:t>
      </w:r>
      <w:r w:rsidR="001A5B20">
        <w:rPr>
          <w:color w:val="000000"/>
        </w:rPr>
        <w:t xml:space="preserve">NKÚ </w:t>
      </w:r>
      <w:r w:rsidR="00A037F2">
        <w:rPr>
          <w:color w:val="000000"/>
        </w:rPr>
        <w:t xml:space="preserve">č. </w:t>
      </w:r>
      <w:r w:rsidR="001A5B20">
        <w:rPr>
          <w:color w:val="000000"/>
        </w:rPr>
        <w:t xml:space="preserve">06/25 </w:t>
      </w:r>
      <w:r w:rsidR="00130104">
        <w:rPr>
          <w:color w:val="000000"/>
        </w:rPr>
        <w:t>–</w:t>
      </w:r>
      <w:r w:rsidR="001A5B20">
        <w:rPr>
          <w:color w:val="000000"/>
        </w:rPr>
        <w:t xml:space="preserve"> </w:t>
      </w:r>
      <w:r w:rsidR="001A5B20" w:rsidRPr="001A5B20">
        <w:rPr>
          <w:i/>
        </w:rPr>
        <w:t xml:space="preserve">Finanční prostředky státního </w:t>
      </w:r>
      <w:r w:rsidR="001A5B20" w:rsidRPr="001A5B20">
        <w:rPr>
          <w:i/>
        </w:rPr>
        <w:lastRenderedPageBreak/>
        <w:t xml:space="preserve">rozpočtu poskytnuté na realizaci programu </w:t>
      </w:r>
      <w:r w:rsidR="001A5B20" w:rsidRPr="00E83989">
        <w:t>„</w:t>
      </w:r>
      <w:r w:rsidR="001A5B20" w:rsidRPr="001A5B20">
        <w:rPr>
          <w:i/>
        </w:rPr>
        <w:t>Podpora rozvoje a</w:t>
      </w:r>
      <w:r w:rsidR="00470F0B">
        <w:rPr>
          <w:i/>
        </w:rPr>
        <w:t> </w:t>
      </w:r>
      <w:r w:rsidR="001A5B20" w:rsidRPr="001A5B20">
        <w:rPr>
          <w:i/>
        </w:rPr>
        <w:t>obnovy materiálně-technické základny fakultních nemocnic</w:t>
      </w:r>
      <w:r w:rsidR="001A5B20" w:rsidRPr="00E83989">
        <w:t>“</w:t>
      </w:r>
      <w:r w:rsidR="001A5B20" w:rsidRPr="00E83989">
        <w:rPr>
          <w:rStyle w:val="Znakapoznpodarou"/>
        </w:rPr>
        <w:footnoteReference w:id="11"/>
      </w:r>
      <w:r w:rsidR="001A5B20" w:rsidRPr="00E83989">
        <w:t>.</w:t>
      </w:r>
    </w:p>
    <w:p w:rsidR="001A5B20" w:rsidRPr="001A5B20" w:rsidRDefault="001A5B20" w:rsidP="001A5B20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C5A6E" w:rsidRDefault="000004C3" w:rsidP="00965AA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MZ nezajistilo včasné čerpání</w:t>
      </w:r>
      <w:r w:rsidR="008E2361">
        <w:rPr>
          <w:b/>
          <w:color w:val="000000"/>
        </w:rPr>
        <w:t xml:space="preserve"> disponibilní</w:t>
      </w:r>
      <w:r>
        <w:rPr>
          <w:b/>
          <w:color w:val="000000"/>
        </w:rPr>
        <w:t>ch</w:t>
      </w:r>
      <w:r w:rsidR="008E2361">
        <w:rPr>
          <w:b/>
          <w:color w:val="000000"/>
        </w:rPr>
        <w:t xml:space="preserve"> </w:t>
      </w:r>
      <w:r w:rsidR="00C522F3">
        <w:rPr>
          <w:b/>
          <w:color w:val="000000"/>
        </w:rPr>
        <w:t xml:space="preserve">mimorozpočtových </w:t>
      </w:r>
      <w:r w:rsidR="008E2361">
        <w:rPr>
          <w:b/>
          <w:color w:val="000000"/>
        </w:rPr>
        <w:t>prostředk</w:t>
      </w:r>
      <w:r>
        <w:rPr>
          <w:b/>
          <w:color w:val="000000"/>
        </w:rPr>
        <w:t>ů</w:t>
      </w:r>
      <w:r w:rsidR="007A0AF6" w:rsidRPr="007A0AF6">
        <w:rPr>
          <w:b/>
          <w:color w:val="000000"/>
        </w:rPr>
        <w:t xml:space="preserve"> </w:t>
      </w:r>
      <w:r w:rsidR="008739BD">
        <w:rPr>
          <w:b/>
          <w:color w:val="000000"/>
        </w:rPr>
        <w:t>P</w:t>
      </w:r>
      <w:r w:rsidR="007A0AF6" w:rsidRPr="007A0AF6">
        <w:rPr>
          <w:b/>
          <w:color w:val="000000"/>
        </w:rPr>
        <w:t>rogramu</w:t>
      </w:r>
      <w:r>
        <w:rPr>
          <w:b/>
          <w:color w:val="000000"/>
        </w:rPr>
        <w:t>, přičemž</w:t>
      </w:r>
      <w:r w:rsidR="008E2361">
        <w:rPr>
          <w:b/>
          <w:color w:val="000000"/>
        </w:rPr>
        <w:t xml:space="preserve"> f</w:t>
      </w:r>
      <w:r w:rsidR="007A0AF6" w:rsidRPr="007A0AF6">
        <w:rPr>
          <w:b/>
          <w:color w:val="000000"/>
        </w:rPr>
        <w:t xml:space="preserve">inancování </w:t>
      </w:r>
      <w:r w:rsidR="00806858">
        <w:rPr>
          <w:b/>
          <w:color w:val="000000"/>
        </w:rPr>
        <w:t xml:space="preserve">některých </w:t>
      </w:r>
      <w:r w:rsidR="007A0AF6" w:rsidRPr="007A0AF6">
        <w:rPr>
          <w:b/>
        </w:rPr>
        <w:t>investičních akcí prioritního a</w:t>
      </w:r>
      <w:r w:rsidR="0023297E">
        <w:rPr>
          <w:b/>
        </w:rPr>
        <w:t> </w:t>
      </w:r>
      <w:r w:rsidR="007A0AF6" w:rsidRPr="007A0AF6">
        <w:rPr>
          <w:b/>
        </w:rPr>
        <w:t xml:space="preserve">strategického významu je </w:t>
      </w:r>
      <w:r w:rsidR="007A0AF6">
        <w:rPr>
          <w:b/>
        </w:rPr>
        <w:t xml:space="preserve">nyní </w:t>
      </w:r>
      <w:r w:rsidR="007A0AF6" w:rsidRPr="007A0AF6">
        <w:rPr>
          <w:b/>
        </w:rPr>
        <w:t>ohroženo</w:t>
      </w:r>
      <w:r w:rsidR="007A0AF6" w:rsidRPr="007A0AF6">
        <w:rPr>
          <w:b/>
          <w:color w:val="000000"/>
        </w:rPr>
        <w:t xml:space="preserve"> </w:t>
      </w:r>
    </w:p>
    <w:p w:rsidR="00EF1883" w:rsidRDefault="00EF1883" w:rsidP="0080427D">
      <w:pPr>
        <w:spacing w:after="0" w:line="240" w:lineRule="auto"/>
        <w:jc w:val="both"/>
        <w:rPr>
          <w:color w:val="000000"/>
        </w:rPr>
      </w:pPr>
    </w:p>
    <w:p w:rsidR="00386801" w:rsidRPr="003F1BD1" w:rsidRDefault="00386801" w:rsidP="0080427D">
      <w:pPr>
        <w:spacing w:after="0" w:line="240" w:lineRule="auto"/>
        <w:jc w:val="both"/>
        <w:rPr>
          <w:color w:val="000000"/>
          <w:lang w:eastAsia="cs-CZ"/>
        </w:rPr>
      </w:pPr>
      <w:r w:rsidRPr="003F1BD1">
        <w:rPr>
          <w:color w:val="000000"/>
        </w:rPr>
        <w:t>V</w:t>
      </w:r>
      <w:r>
        <w:rPr>
          <w:color w:val="000000"/>
        </w:rPr>
        <w:t> letech 2006 až 2011</w:t>
      </w:r>
      <w:r w:rsidRPr="003F1BD1">
        <w:rPr>
          <w:color w:val="000000"/>
        </w:rPr>
        <w:t xml:space="preserve"> byla z rozpočtu</w:t>
      </w:r>
      <w:r w:rsidR="00D87FBF">
        <w:rPr>
          <w:color w:val="000000"/>
        </w:rPr>
        <w:t xml:space="preserve"> </w:t>
      </w:r>
      <w:r w:rsidR="008739BD">
        <w:rPr>
          <w:color w:val="000000"/>
        </w:rPr>
        <w:t>P</w:t>
      </w:r>
      <w:r w:rsidR="00285DC6">
        <w:rPr>
          <w:color w:val="000000"/>
        </w:rPr>
        <w:t>rogramu</w:t>
      </w:r>
      <w:r>
        <w:rPr>
          <w:color w:val="000000"/>
        </w:rPr>
        <w:t xml:space="preserve"> </w:t>
      </w:r>
      <w:r w:rsidRPr="003F1BD1">
        <w:rPr>
          <w:color w:val="000000"/>
        </w:rPr>
        <w:t>čerpána částka v</w:t>
      </w:r>
      <w:r>
        <w:rPr>
          <w:color w:val="000000"/>
        </w:rPr>
        <w:t xml:space="preserve"> celkové</w:t>
      </w:r>
      <w:r w:rsidRPr="003F1BD1">
        <w:rPr>
          <w:color w:val="000000"/>
        </w:rPr>
        <w:t xml:space="preserve"> výši </w:t>
      </w:r>
      <w:r w:rsidRPr="003F1BD1">
        <w:rPr>
          <w:color w:val="000000"/>
          <w:lang w:eastAsia="cs-CZ"/>
        </w:rPr>
        <w:t>11 988,2</w:t>
      </w:r>
      <w:r w:rsidR="0023297E">
        <w:rPr>
          <w:color w:val="000000"/>
          <w:lang w:eastAsia="cs-CZ"/>
        </w:rPr>
        <w:t> </w:t>
      </w:r>
      <w:r w:rsidRPr="003F1BD1">
        <w:rPr>
          <w:color w:val="000000"/>
          <w:lang w:eastAsia="cs-CZ"/>
        </w:rPr>
        <w:t>mil.</w:t>
      </w:r>
      <w:r w:rsidR="00BC293D">
        <w:rPr>
          <w:color w:val="000000"/>
          <w:lang w:eastAsia="cs-CZ"/>
        </w:rPr>
        <w:t> </w:t>
      </w:r>
      <w:r w:rsidRPr="003F1BD1">
        <w:rPr>
          <w:color w:val="000000"/>
          <w:lang w:eastAsia="cs-CZ"/>
        </w:rPr>
        <w:t>Kč</w:t>
      </w:r>
      <w:r>
        <w:rPr>
          <w:rStyle w:val="Znakapoznpodarou"/>
          <w:color w:val="000000"/>
          <w:lang w:eastAsia="cs-CZ"/>
        </w:rPr>
        <w:footnoteReference w:id="12"/>
      </w:r>
      <w:r w:rsidR="0011634F">
        <w:rPr>
          <w:color w:val="000000"/>
          <w:lang w:eastAsia="cs-CZ"/>
        </w:rPr>
        <w:t>,</w:t>
      </w:r>
      <w:r w:rsidR="00C70065">
        <w:rPr>
          <w:color w:val="000000"/>
          <w:lang w:eastAsia="cs-CZ"/>
        </w:rPr>
        <w:t xml:space="preserve"> </w:t>
      </w:r>
      <w:r w:rsidR="00C5680C">
        <w:rPr>
          <w:color w:val="000000"/>
          <w:lang w:eastAsia="cs-CZ"/>
        </w:rPr>
        <w:t xml:space="preserve">a to </w:t>
      </w:r>
      <w:r w:rsidRPr="003F1BD1">
        <w:rPr>
          <w:color w:val="000000"/>
          <w:lang w:eastAsia="cs-CZ"/>
        </w:rPr>
        <w:t>s maxim</w:t>
      </w:r>
      <w:r w:rsidR="00470F0B">
        <w:rPr>
          <w:color w:val="000000"/>
          <w:lang w:eastAsia="cs-CZ"/>
        </w:rPr>
        <w:t>álním čerpáním</w:t>
      </w:r>
      <w:r w:rsidRPr="003F1BD1">
        <w:rPr>
          <w:color w:val="000000"/>
          <w:lang w:eastAsia="cs-CZ"/>
        </w:rPr>
        <w:t xml:space="preserve"> v roce 2009, kdy byl</w:t>
      </w:r>
      <w:r w:rsidR="00470F0B">
        <w:rPr>
          <w:color w:val="000000"/>
          <w:lang w:eastAsia="cs-CZ"/>
        </w:rPr>
        <w:t>a</w:t>
      </w:r>
      <w:r w:rsidRPr="003F1BD1">
        <w:rPr>
          <w:color w:val="000000"/>
          <w:lang w:eastAsia="cs-CZ"/>
        </w:rPr>
        <w:t xml:space="preserve"> </w:t>
      </w:r>
      <w:r w:rsidR="00470F0B">
        <w:rPr>
          <w:color w:val="000000"/>
          <w:lang w:eastAsia="cs-CZ"/>
        </w:rPr>
        <w:t>vynaložena částka</w:t>
      </w:r>
      <w:r w:rsidRPr="003F1BD1">
        <w:rPr>
          <w:color w:val="000000"/>
          <w:lang w:eastAsia="cs-CZ"/>
        </w:rPr>
        <w:t xml:space="preserve"> 3 138,2</w:t>
      </w:r>
      <w:r w:rsidR="0011634F">
        <w:rPr>
          <w:color w:val="000000"/>
          <w:lang w:eastAsia="cs-CZ"/>
        </w:rPr>
        <w:t> </w:t>
      </w:r>
      <w:r w:rsidRPr="003F1BD1">
        <w:rPr>
          <w:color w:val="000000"/>
          <w:lang w:eastAsia="cs-CZ"/>
        </w:rPr>
        <w:t>mil.</w:t>
      </w:r>
      <w:r w:rsidR="0011634F">
        <w:rPr>
          <w:color w:val="000000"/>
          <w:lang w:eastAsia="cs-CZ"/>
        </w:rPr>
        <w:t> </w:t>
      </w:r>
      <w:r w:rsidRPr="003F1BD1">
        <w:rPr>
          <w:color w:val="000000"/>
          <w:lang w:eastAsia="cs-CZ"/>
        </w:rPr>
        <w:t>Kč.</w:t>
      </w:r>
      <w:r w:rsidR="00E301C8">
        <w:rPr>
          <w:color w:val="000000"/>
        </w:rPr>
        <w:t xml:space="preserve"> </w:t>
      </w:r>
      <w:r w:rsidRPr="003F1BD1">
        <w:rPr>
          <w:color w:val="000000"/>
          <w:lang w:eastAsia="cs-CZ"/>
        </w:rPr>
        <w:t xml:space="preserve">Zejména v letech 2006 až 2009 </w:t>
      </w:r>
      <w:r w:rsidR="00D43FEB" w:rsidRPr="003F1BD1">
        <w:rPr>
          <w:color w:val="000000"/>
          <w:lang w:eastAsia="cs-CZ"/>
        </w:rPr>
        <w:t xml:space="preserve">významně </w:t>
      </w:r>
      <w:r w:rsidRPr="003F1BD1">
        <w:rPr>
          <w:color w:val="000000"/>
          <w:lang w:eastAsia="cs-CZ"/>
        </w:rPr>
        <w:t xml:space="preserve">ovlivňovaly rozpočet </w:t>
      </w:r>
      <w:r w:rsidR="00470F0B">
        <w:rPr>
          <w:color w:val="000000"/>
          <w:lang w:eastAsia="cs-CZ"/>
        </w:rPr>
        <w:t xml:space="preserve">Programu </w:t>
      </w:r>
      <w:r w:rsidRPr="003F1BD1">
        <w:rPr>
          <w:color w:val="000000"/>
          <w:lang w:eastAsia="cs-CZ"/>
        </w:rPr>
        <w:t xml:space="preserve">částky, které </w:t>
      </w:r>
      <w:r>
        <w:rPr>
          <w:color w:val="000000"/>
          <w:lang w:eastAsia="cs-CZ"/>
        </w:rPr>
        <w:t>MZ</w:t>
      </w:r>
      <w:r w:rsidRPr="003F1BD1">
        <w:rPr>
          <w:color w:val="000000"/>
          <w:lang w:eastAsia="cs-CZ"/>
        </w:rPr>
        <w:t xml:space="preserve"> v jednotlivých letech opakovaně převádě</w:t>
      </w:r>
      <w:r>
        <w:rPr>
          <w:color w:val="000000"/>
          <w:lang w:eastAsia="cs-CZ"/>
        </w:rPr>
        <w:t>lo</w:t>
      </w:r>
      <w:r w:rsidRPr="003F1BD1">
        <w:rPr>
          <w:color w:val="000000"/>
          <w:lang w:eastAsia="cs-CZ"/>
        </w:rPr>
        <w:t xml:space="preserve"> do následujícího roku prostřednictvím </w:t>
      </w:r>
      <w:r w:rsidR="00854478">
        <w:rPr>
          <w:color w:val="000000"/>
          <w:lang w:eastAsia="cs-CZ"/>
        </w:rPr>
        <w:t>RF/NNPV</w:t>
      </w:r>
      <w:r>
        <w:rPr>
          <w:rStyle w:val="Znakapoznpodarou"/>
          <w:color w:val="000000"/>
          <w:lang w:eastAsia="cs-CZ"/>
        </w:rPr>
        <w:footnoteReference w:id="13"/>
      </w:r>
      <w:r w:rsidRPr="003F1BD1">
        <w:rPr>
          <w:color w:val="000000"/>
          <w:lang w:eastAsia="cs-CZ"/>
        </w:rPr>
        <w:t>. Sum</w:t>
      </w:r>
      <w:r w:rsidR="00D43FEB">
        <w:rPr>
          <w:color w:val="000000"/>
          <w:lang w:eastAsia="cs-CZ"/>
        </w:rPr>
        <w:t>a</w:t>
      </w:r>
      <w:r w:rsidRPr="003F1BD1">
        <w:rPr>
          <w:color w:val="000000"/>
          <w:lang w:eastAsia="cs-CZ"/>
        </w:rPr>
        <w:t xml:space="preserve"> těchto prostředků </w:t>
      </w:r>
      <w:r>
        <w:rPr>
          <w:color w:val="000000"/>
          <w:lang w:eastAsia="cs-CZ"/>
        </w:rPr>
        <w:t>převýšil</w:t>
      </w:r>
      <w:r w:rsidR="00D43FEB">
        <w:rPr>
          <w:color w:val="000000"/>
          <w:lang w:eastAsia="cs-CZ"/>
        </w:rPr>
        <w:t>a</w:t>
      </w:r>
      <w:r w:rsidRPr="003F1BD1">
        <w:rPr>
          <w:color w:val="000000"/>
          <w:lang w:eastAsia="cs-CZ"/>
        </w:rPr>
        <w:t xml:space="preserve"> v</w:t>
      </w:r>
      <w:r w:rsidR="00470F0B">
        <w:rPr>
          <w:color w:val="000000"/>
          <w:lang w:eastAsia="cs-CZ"/>
        </w:rPr>
        <w:t> </w:t>
      </w:r>
      <w:r w:rsidRPr="003F1BD1">
        <w:rPr>
          <w:color w:val="000000"/>
          <w:lang w:eastAsia="cs-CZ"/>
        </w:rPr>
        <w:t>obdo</w:t>
      </w:r>
      <w:r w:rsidR="00053019">
        <w:rPr>
          <w:color w:val="000000"/>
          <w:lang w:eastAsia="cs-CZ"/>
        </w:rPr>
        <w:t xml:space="preserve">bí 2007 až </w:t>
      </w:r>
      <w:r w:rsidRPr="003F1BD1">
        <w:rPr>
          <w:color w:val="000000"/>
          <w:lang w:eastAsia="cs-CZ"/>
        </w:rPr>
        <w:t xml:space="preserve">2008 částku </w:t>
      </w:r>
      <w:r>
        <w:rPr>
          <w:color w:val="000000"/>
          <w:lang w:eastAsia="cs-CZ"/>
        </w:rPr>
        <w:t>2,5</w:t>
      </w:r>
      <w:r w:rsidR="00BC293D">
        <w:rPr>
          <w:color w:val="000000"/>
          <w:lang w:eastAsia="cs-CZ"/>
        </w:rPr>
        <w:t> </w:t>
      </w:r>
      <w:r w:rsidR="006F083E">
        <w:rPr>
          <w:color w:val="000000"/>
          <w:lang w:eastAsia="cs-CZ"/>
        </w:rPr>
        <w:t>mld.</w:t>
      </w:r>
      <w:r w:rsidR="0011634F">
        <w:rPr>
          <w:color w:val="000000"/>
          <w:lang w:eastAsia="cs-CZ"/>
        </w:rPr>
        <w:t> </w:t>
      </w:r>
      <w:r w:rsidR="00327559">
        <w:rPr>
          <w:color w:val="000000"/>
          <w:lang w:eastAsia="cs-CZ"/>
        </w:rPr>
        <w:t>Kč</w:t>
      </w:r>
      <w:r w:rsidRPr="003F1BD1">
        <w:rPr>
          <w:color w:val="000000"/>
          <w:lang w:eastAsia="cs-CZ"/>
        </w:rPr>
        <w:t xml:space="preserve">. Po </w:t>
      </w:r>
      <w:r w:rsidR="0011634F">
        <w:rPr>
          <w:color w:val="000000"/>
          <w:lang w:eastAsia="cs-CZ"/>
        </w:rPr>
        <w:t>roce 2009 se jejich výše a </w:t>
      </w:r>
      <w:r w:rsidRPr="003F1BD1">
        <w:rPr>
          <w:color w:val="000000"/>
          <w:lang w:eastAsia="cs-CZ"/>
        </w:rPr>
        <w:t xml:space="preserve">vliv na </w:t>
      </w:r>
      <w:r w:rsidRPr="003F1BD1">
        <w:rPr>
          <w:color w:val="000000"/>
        </w:rPr>
        <w:t xml:space="preserve">rozpočet </w:t>
      </w:r>
      <w:r w:rsidR="003015C3">
        <w:rPr>
          <w:color w:val="000000"/>
        </w:rPr>
        <w:t>v důsledku opatření M</w:t>
      </w:r>
      <w:r w:rsidR="007B48EC">
        <w:rPr>
          <w:color w:val="000000"/>
        </w:rPr>
        <w:t xml:space="preserve">F </w:t>
      </w:r>
      <w:r w:rsidRPr="003F1BD1">
        <w:rPr>
          <w:color w:val="000000"/>
          <w:lang w:eastAsia="cs-CZ"/>
        </w:rPr>
        <w:t>snížil</w:t>
      </w:r>
      <w:r w:rsidR="00470F0B">
        <w:rPr>
          <w:color w:val="000000"/>
          <w:lang w:eastAsia="cs-CZ"/>
        </w:rPr>
        <w:t>y</w:t>
      </w:r>
      <w:r w:rsidRPr="003F1BD1">
        <w:rPr>
          <w:color w:val="000000"/>
          <w:lang w:eastAsia="cs-CZ"/>
        </w:rPr>
        <w:t xml:space="preserve"> a naopak významnou úlohu představují částky zapojované z mimorozpočtových zdrojů (viz tab</w:t>
      </w:r>
      <w:r w:rsidR="00C70065">
        <w:rPr>
          <w:color w:val="000000"/>
          <w:lang w:eastAsia="cs-CZ"/>
        </w:rPr>
        <w:t>ulka</w:t>
      </w:r>
      <w:r w:rsidR="00E301C8">
        <w:rPr>
          <w:color w:val="000000"/>
          <w:lang w:eastAsia="cs-CZ"/>
        </w:rPr>
        <w:t xml:space="preserve"> </w:t>
      </w:r>
      <w:r w:rsidRPr="003F1BD1">
        <w:rPr>
          <w:color w:val="000000"/>
          <w:lang w:eastAsia="cs-CZ"/>
        </w:rPr>
        <w:t>č.</w:t>
      </w:r>
      <w:r w:rsidR="0011634F">
        <w:rPr>
          <w:color w:val="000000"/>
          <w:lang w:eastAsia="cs-CZ"/>
        </w:rPr>
        <w:t> </w:t>
      </w:r>
      <w:r w:rsidR="005810F7">
        <w:rPr>
          <w:color w:val="000000"/>
          <w:lang w:eastAsia="cs-CZ"/>
        </w:rPr>
        <w:t>2</w:t>
      </w:r>
      <w:r w:rsidRPr="003F1BD1">
        <w:rPr>
          <w:color w:val="000000"/>
          <w:lang w:eastAsia="cs-CZ"/>
        </w:rPr>
        <w:t>).</w:t>
      </w:r>
    </w:p>
    <w:p w:rsidR="00691358" w:rsidRPr="00EF1883" w:rsidRDefault="00691358" w:rsidP="0080427D">
      <w:pPr>
        <w:spacing w:after="0" w:line="240" w:lineRule="auto"/>
        <w:jc w:val="both"/>
        <w:rPr>
          <w:color w:val="000000"/>
        </w:rPr>
      </w:pPr>
    </w:p>
    <w:p w:rsidR="00386801" w:rsidRPr="00691358" w:rsidRDefault="00386801" w:rsidP="0099601D">
      <w:pPr>
        <w:tabs>
          <w:tab w:val="left" w:pos="7938"/>
        </w:tabs>
        <w:spacing w:after="40" w:line="240" w:lineRule="auto"/>
        <w:jc w:val="both"/>
        <w:rPr>
          <w:b/>
          <w:color w:val="000000"/>
        </w:rPr>
      </w:pPr>
      <w:r w:rsidRPr="003F1BD1">
        <w:rPr>
          <w:b/>
          <w:color w:val="000000"/>
        </w:rPr>
        <w:t xml:space="preserve">Tabulka č. </w:t>
      </w:r>
      <w:r w:rsidR="005810F7">
        <w:rPr>
          <w:b/>
          <w:color w:val="000000"/>
        </w:rPr>
        <w:t>2</w:t>
      </w:r>
      <w:r w:rsidR="0099601D">
        <w:rPr>
          <w:b/>
          <w:color w:val="000000"/>
        </w:rPr>
        <w:t xml:space="preserve"> –</w:t>
      </w:r>
      <w:r w:rsidRPr="003F1BD1">
        <w:rPr>
          <w:b/>
          <w:color w:val="000000"/>
        </w:rPr>
        <w:t xml:space="preserve"> Čerpání peněžních prostředků </w:t>
      </w:r>
      <w:r w:rsidR="008739BD">
        <w:rPr>
          <w:b/>
          <w:color w:val="000000"/>
        </w:rPr>
        <w:t xml:space="preserve">Programu </w:t>
      </w:r>
      <w:r w:rsidRPr="003F1BD1">
        <w:rPr>
          <w:b/>
          <w:color w:val="000000"/>
        </w:rPr>
        <w:t xml:space="preserve">v letech 2006 </w:t>
      </w:r>
      <w:r w:rsidR="00053019">
        <w:rPr>
          <w:b/>
          <w:color w:val="000000"/>
        </w:rPr>
        <w:t>až</w:t>
      </w:r>
      <w:r w:rsidR="00D87FBF">
        <w:rPr>
          <w:b/>
          <w:color w:val="000000"/>
        </w:rPr>
        <w:t xml:space="preserve"> 2011</w:t>
      </w:r>
      <w:r w:rsidR="00D87FBF">
        <w:rPr>
          <w:b/>
          <w:color w:val="000000"/>
        </w:rPr>
        <w:tab/>
        <w:t>(</w:t>
      </w:r>
      <w:r w:rsidR="00691358">
        <w:rPr>
          <w:b/>
          <w:color w:val="000000"/>
        </w:rPr>
        <w:t>v</w:t>
      </w:r>
      <w:r w:rsidR="0099601D">
        <w:rPr>
          <w:b/>
          <w:color w:val="000000"/>
        </w:rPr>
        <w:t> </w:t>
      </w:r>
      <w:r w:rsidR="00691358">
        <w:rPr>
          <w:b/>
          <w:color w:val="000000"/>
        </w:rPr>
        <w:t>mi</w:t>
      </w:r>
      <w:r w:rsidR="0099601D">
        <w:rPr>
          <w:b/>
          <w:color w:val="000000"/>
        </w:rPr>
        <w:t>l. </w:t>
      </w:r>
      <w:r w:rsidR="00B840DB">
        <w:rPr>
          <w:b/>
          <w:color w:val="000000"/>
        </w:rPr>
        <w:t>Kč</w:t>
      </w:r>
      <w:r w:rsidR="00D87FBF">
        <w:rPr>
          <w:b/>
          <w:color w:val="000000"/>
        </w:rPr>
        <w:t>)</w:t>
      </w:r>
    </w:p>
    <w:tbl>
      <w:tblPr>
        <w:tblW w:w="0" w:type="auto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794"/>
        <w:gridCol w:w="794"/>
        <w:gridCol w:w="794"/>
        <w:gridCol w:w="794"/>
        <w:gridCol w:w="794"/>
        <w:gridCol w:w="794"/>
      </w:tblGrid>
      <w:tr w:rsidR="00386801" w:rsidRPr="00EF1883" w:rsidTr="00124699">
        <w:trPr>
          <w:trHeight w:val="283"/>
          <w:jc w:val="center"/>
        </w:trPr>
        <w:tc>
          <w:tcPr>
            <w:tcW w:w="4195" w:type="dxa"/>
            <w:shd w:val="clear" w:color="auto" w:fill="8DB3E2"/>
            <w:vAlign w:val="bottom"/>
            <w:hideMark/>
          </w:tcPr>
          <w:p w:rsidR="00386801" w:rsidRPr="00EF1883" w:rsidRDefault="00386801" w:rsidP="00EF1883">
            <w:pPr>
              <w:spacing w:before="20" w:after="20" w:line="240" w:lineRule="auto"/>
              <w:rPr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4" w:type="dxa"/>
            <w:shd w:val="clear" w:color="auto" w:fill="8DB3E2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2006</w:t>
            </w:r>
          </w:p>
        </w:tc>
        <w:tc>
          <w:tcPr>
            <w:tcW w:w="794" w:type="dxa"/>
            <w:shd w:val="clear" w:color="auto" w:fill="8DB3E2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2007</w:t>
            </w:r>
          </w:p>
        </w:tc>
        <w:tc>
          <w:tcPr>
            <w:tcW w:w="794" w:type="dxa"/>
            <w:shd w:val="clear" w:color="auto" w:fill="8DB3E2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2008</w:t>
            </w:r>
          </w:p>
        </w:tc>
        <w:tc>
          <w:tcPr>
            <w:tcW w:w="794" w:type="dxa"/>
            <w:shd w:val="clear" w:color="auto" w:fill="8DB3E2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794" w:type="dxa"/>
            <w:shd w:val="clear" w:color="auto" w:fill="8DB3E2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794" w:type="dxa"/>
            <w:shd w:val="clear" w:color="auto" w:fill="8DB3E2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jc w:val="center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b/>
                <w:color w:val="000000"/>
                <w:sz w:val="18"/>
                <w:szCs w:val="18"/>
                <w:lang w:eastAsia="cs-CZ"/>
              </w:rPr>
              <w:t>2011</w:t>
            </w:r>
          </w:p>
        </w:tc>
      </w:tr>
      <w:tr w:rsidR="00386801" w:rsidRPr="00EF1883" w:rsidTr="00124699">
        <w:trPr>
          <w:trHeight w:val="283"/>
          <w:jc w:val="center"/>
        </w:trPr>
        <w:tc>
          <w:tcPr>
            <w:tcW w:w="4195" w:type="dxa"/>
            <w:shd w:val="clear" w:color="auto" w:fill="auto"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Upravený rozpočet</w:t>
            </w:r>
            <w:r w:rsidR="005064E2" w:rsidRPr="00EF1883">
              <w:rPr>
                <w:color w:val="00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1 036,7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1 925,3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3 007,8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1 536,6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1 693,2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921,3</w:t>
            </w:r>
          </w:p>
        </w:tc>
      </w:tr>
      <w:tr w:rsidR="00386801" w:rsidRPr="00EF1883" w:rsidTr="00124699">
        <w:trPr>
          <w:trHeight w:val="283"/>
          <w:jc w:val="center"/>
        </w:trPr>
        <w:tc>
          <w:tcPr>
            <w:tcW w:w="4195" w:type="dxa"/>
            <w:shd w:val="clear" w:color="auto" w:fill="auto"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Vyčerpáno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1 159,2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1 130,5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2 428,6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3 138,2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2 511,3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1 620,4</w:t>
            </w:r>
          </w:p>
        </w:tc>
      </w:tr>
      <w:tr w:rsidR="00386801" w:rsidRPr="00EF1883" w:rsidTr="00124699">
        <w:trPr>
          <w:trHeight w:val="283"/>
          <w:jc w:val="center"/>
        </w:trPr>
        <w:tc>
          <w:tcPr>
            <w:tcW w:w="4195" w:type="dxa"/>
            <w:shd w:val="clear" w:color="auto" w:fill="auto"/>
            <w:vAlign w:val="center"/>
            <w:hideMark/>
          </w:tcPr>
          <w:p w:rsidR="00386801" w:rsidRPr="00EF1883" w:rsidRDefault="00386801" w:rsidP="00E83989">
            <w:pPr>
              <w:numPr>
                <w:ilvl w:val="0"/>
                <w:numId w:val="24"/>
              </w:numPr>
              <w:spacing w:before="20" w:after="20" w:line="240" w:lineRule="auto"/>
              <w:ind w:left="284" w:hanging="142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z toho</w:t>
            </w:r>
            <w:r w:rsidR="00470F0B">
              <w:rPr>
                <w:color w:val="000000"/>
                <w:sz w:val="18"/>
                <w:szCs w:val="18"/>
                <w:lang w:eastAsia="cs-CZ"/>
              </w:rPr>
              <w:t>: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 čerpání z</w:t>
            </w:r>
            <w:r w:rsidR="00854478" w:rsidRPr="00EF1883">
              <w:rPr>
                <w:color w:val="000000"/>
                <w:sz w:val="18"/>
                <w:szCs w:val="18"/>
                <w:lang w:eastAsia="cs-CZ"/>
              </w:rPr>
              <w:t> RF/NNPV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666,8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503,4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822,6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880,6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164,6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413,8</w:t>
            </w:r>
          </w:p>
        </w:tc>
      </w:tr>
      <w:tr w:rsidR="00386801" w:rsidRPr="00EF1883" w:rsidTr="00124699">
        <w:trPr>
          <w:trHeight w:val="283"/>
          <w:jc w:val="center"/>
        </w:trPr>
        <w:tc>
          <w:tcPr>
            <w:tcW w:w="4195" w:type="dxa"/>
            <w:shd w:val="clear" w:color="auto" w:fill="auto"/>
            <w:vAlign w:val="center"/>
            <w:hideMark/>
          </w:tcPr>
          <w:p w:rsidR="00386801" w:rsidRPr="00EF1883" w:rsidRDefault="00386801" w:rsidP="00E83989">
            <w:pPr>
              <w:numPr>
                <w:ilvl w:val="0"/>
                <w:numId w:val="24"/>
              </w:numPr>
              <w:spacing w:before="20" w:after="20" w:line="240" w:lineRule="auto"/>
              <w:ind w:left="284" w:hanging="142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z toho</w:t>
            </w:r>
            <w:r w:rsidR="00124699">
              <w:rPr>
                <w:color w:val="000000"/>
                <w:sz w:val="18"/>
                <w:szCs w:val="18"/>
                <w:lang w:eastAsia="cs-CZ"/>
              </w:rPr>
              <w:t>: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 čerpání z</w:t>
            </w:r>
            <w:r w:rsidR="00572AB1" w:rsidRPr="00EF1883">
              <w:rPr>
                <w:color w:val="000000"/>
                <w:sz w:val="18"/>
                <w:szCs w:val="18"/>
                <w:lang w:eastAsia="cs-CZ"/>
              </w:rPr>
              <w:t> 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>mimorozpočt</w:t>
            </w:r>
            <w:r w:rsidR="00C26387" w:rsidRPr="00EF1883">
              <w:rPr>
                <w:color w:val="000000"/>
                <w:sz w:val="18"/>
                <w:szCs w:val="18"/>
                <w:lang w:eastAsia="cs-CZ"/>
              </w:rPr>
              <w:t>ových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 zdrojů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748,5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1 107,4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474,1</w:t>
            </w:r>
          </w:p>
        </w:tc>
      </w:tr>
      <w:tr w:rsidR="00386801" w:rsidRPr="00EF1883" w:rsidTr="00124699">
        <w:trPr>
          <w:trHeight w:val="283"/>
          <w:jc w:val="center"/>
        </w:trPr>
        <w:tc>
          <w:tcPr>
            <w:tcW w:w="4195" w:type="dxa"/>
            <w:shd w:val="clear" w:color="auto" w:fill="auto"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Nečerpáno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 převod do následujícího roku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544,3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1 298,2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1 213,7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360,6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452,3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158,3</w:t>
            </w:r>
          </w:p>
        </w:tc>
      </w:tr>
      <w:tr w:rsidR="00386801" w:rsidRPr="00EF1883" w:rsidTr="00124699">
        <w:trPr>
          <w:trHeight w:val="283"/>
          <w:jc w:val="center"/>
        </w:trPr>
        <w:tc>
          <w:tcPr>
            <w:tcW w:w="4195" w:type="dxa"/>
            <w:shd w:val="clear" w:color="auto" w:fill="auto"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Nečerpáno </w:t>
            </w:r>
            <w:r w:rsidR="00965AA5" w:rsidRPr="00EF1883"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EF1883">
              <w:rPr>
                <w:color w:val="000000"/>
                <w:sz w:val="18"/>
                <w:szCs w:val="18"/>
                <w:lang w:eastAsia="cs-CZ"/>
              </w:rPr>
              <w:t xml:space="preserve"> převod do SR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188,</w:t>
            </w:r>
            <w:r w:rsidR="00975293" w:rsidRPr="00EF1883">
              <w:rPr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196,8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86801" w:rsidRPr="00EF1883" w:rsidRDefault="00386801" w:rsidP="00EF1883">
            <w:pPr>
              <w:spacing w:before="20" w:after="20" w:line="240" w:lineRule="auto"/>
              <w:ind w:right="28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EF1883">
              <w:rPr>
                <w:color w:val="000000"/>
                <w:sz w:val="18"/>
                <w:szCs w:val="18"/>
                <w:lang w:eastAsia="cs-CZ"/>
              </w:rPr>
              <w:t>68,9</w:t>
            </w:r>
          </w:p>
        </w:tc>
      </w:tr>
    </w:tbl>
    <w:p w:rsidR="00386801" w:rsidRDefault="00DC29E7" w:rsidP="00124699">
      <w:pPr>
        <w:spacing w:before="40" w:after="0" w:line="240" w:lineRule="auto"/>
        <w:ind w:left="567" w:hanging="567"/>
        <w:jc w:val="both"/>
        <w:rPr>
          <w:sz w:val="18"/>
          <w:szCs w:val="18"/>
        </w:rPr>
      </w:pPr>
      <w:r w:rsidRPr="00965AA5">
        <w:rPr>
          <w:b/>
          <w:sz w:val="18"/>
          <w:szCs w:val="18"/>
        </w:rPr>
        <w:t>Zdroj:</w:t>
      </w:r>
      <w:r w:rsidRPr="00E9506F">
        <w:rPr>
          <w:sz w:val="18"/>
          <w:szCs w:val="18"/>
        </w:rPr>
        <w:t xml:space="preserve"> </w:t>
      </w:r>
      <w:r w:rsidR="0099601D">
        <w:rPr>
          <w:sz w:val="18"/>
          <w:szCs w:val="18"/>
        </w:rPr>
        <w:tab/>
      </w:r>
      <w:r w:rsidR="00386801" w:rsidRPr="00E9506F">
        <w:rPr>
          <w:sz w:val="18"/>
          <w:szCs w:val="18"/>
        </w:rPr>
        <w:t>Ministerstv</w:t>
      </w:r>
      <w:r w:rsidRPr="00E9506F">
        <w:rPr>
          <w:sz w:val="18"/>
          <w:szCs w:val="18"/>
        </w:rPr>
        <w:t>o</w:t>
      </w:r>
      <w:r w:rsidR="00386801" w:rsidRPr="00E9506F">
        <w:rPr>
          <w:sz w:val="18"/>
          <w:szCs w:val="18"/>
        </w:rPr>
        <w:t xml:space="preserve"> zdravotnictví, </w:t>
      </w:r>
      <w:r w:rsidR="0011634F">
        <w:rPr>
          <w:sz w:val="18"/>
          <w:szCs w:val="18"/>
        </w:rPr>
        <w:t>s</w:t>
      </w:r>
      <w:r w:rsidR="00386801" w:rsidRPr="00E9506F">
        <w:rPr>
          <w:sz w:val="18"/>
          <w:szCs w:val="18"/>
        </w:rPr>
        <w:t>tátní závěrečn</w:t>
      </w:r>
      <w:r w:rsidR="0011634F">
        <w:rPr>
          <w:sz w:val="18"/>
          <w:szCs w:val="18"/>
        </w:rPr>
        <w:t>é</w:t>
      </w:r>
      <w:r w:rsidR="00386801" w:rsidRPr="00E9506F">
        <w:rPr>
          <w:sz w:val="18"/>
          <w:szCs w:val="18"/>
        </w:rPr>
        <w:t xml:space="preserve"> účt</w:t>
      </w:r>
      <w:r w:rsidR="0011634F">
        <w:rPr>
          <w:sz w:val="18"/>
          <w:szCs w:val="18"/>
        </w:rPr>
        <w:t>y</w:t>
      </w:r>
      <w:r w:rsidR="00386801" w:rsidRPr="00E9506F">
        <w:rPr>
          <w:sz w:val="18"/>
          <w:szCs w:val="18"/>
        </w:rPr>
        <w:t xml:space="preserve"> MZ za roky 2006 až 2011.</w:t>
      </w:r>
    </w:p>
    <w:p w:rsidR="00124699" w:rsidRPr="00E9506F" w:rsidRDefault="00124699" w:rsidP="00124699">
      <w:pPr>
        <w:spacing w:after="0" w:line="240" w:lineRule="auto"/>
        <w:ind w:left="567" w:hanging="567"/>
        <w:jc w:val="both"/>
        <w:rPr>
          <w:sz w:val="18"/>
          <w:szCs w:val="18"/>
        </w:rPr>
      </w:pPr>
      <w:r w:rsidRPr="00B4290F">
        <w:rPr>
          <w:b/>
          <w:sz w:val="18"/>
          <w:szCs w:val="18"/>
        </w:rPr>
        <w:t>Pozn.: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E9506F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E9506F">
        <w:rPr>
          <w:sz w:val="18"/>
          <w:szCs w:val="18"/>
        </w:rPr>
        <w:t>Rozpočet stanovený zákonem o státním rozpočtu ČR na příslušný rok po rozpočtových úpravách (tj.</w:t>
      </w:r>
      <w:r>
        <w:rPr>
          <w:sz w:val="18"/>
          <w:szCs w:val="18"/>
        </w:rPr>
        <w:t> </w:t>
      </w:r>
      <w:r w:rsidRPr="00E9506F">
        <w:rPr>
          <w:sz w:val="18"/>
          <w:szCs w:val="18"/>
        </w:rPr>
        <w:t>bez zapojení RF/NNPV, resp. mimorozpočtových zdrojů).</w:t>
      </w:r>
    </w:p>
    <w:p w:rsidR="00EF1883" w:rsidRDefault="00EF1883" w:rsidP="0080427D">
      <w:pPr>
        <w:spacing w:after="0" w:line="240" w:lineRule="auto"/>
        <w:jc w:val="both"/>
      </w:pPr>
    </w:p>
    <w:p w:rsidR="009C5A6E" w:rsidRDefault="009C5A6E" w:rsidP="0080427D">
      <w:pPr>
        <w:spacing w:after="0" w:line="240" w:lineRule="auto"/>
        <w:jc w:val="both"/>
        <w:rPr>
          <w:color w:val="000000"/>
          <w:lang w:eastAsia="cs-CZ"/>
        </w:rPr>
      </w:pPr>
      <w:r>
        <w:t>Významné navýšení</w:t>
      </w:r>
      <w:r w:rsidRPr="003F1BD1">
        <w:t xml:space="preserve"> rozpočtu </w:t>
      </w:r>
      <w:r w:rsidR="007E283C">
        <w:t xml:space="preserve">Programu </w:t>
      </w:r>
      <w:r w:rsidRPr="003F1BD1">
        <w:t>bylo provedeno přijetím zákona č. 112/2009 Sb.</w:t>
      </w:r>
      <w:r w:rsidRPr="003F1BD1">
        <w:rPr>
          <w:rStyle w:val="Znakapoznpodarou"/>
        </w:rPr>
        <w:footnoteReference w:id="14"/>
      </w:r>
      <w:r w:rsidRPr="003F1BD1">
        <w:t>, kterým byl schválen převod částky ve výši 1 500 mil. Kč v roce 2009 a</w:t>
      </w:r>
      <w:r w:rsidR="00130104">
        <w:t xml:space="preserve"> částky ve výši 1</w:t>
      </w:r>
      <w:r w:rsidR="0023297E">
        <w:t> </w:t>
      </w:r>
      <w:r w:rsidR="00130104">
        <w:t>500</w:t>
      </w:r>
      <w:r w:rsidR="0023297E">
        <w:t> </w:t>
      </w:r>
      <w:r w:rsidR="00130104">
        <w:t>mil. Kč v </w:t>
      </w:r>
      <w:r w:rsidRPr="003F1BD1">
        <w:t>roce 2010 z mimorozpočtových zdrojů</w:t>
      </w:r>
      <w:r w:rsidR="00124699">
        <w:t>, a to</w:t>
      </w:r>
      <w:r>
        <w:t xml:space="preserve"> </w:t>
      </w:r>
      <w:r w:rsidRPr="003F1BD1">
        <w:t>na podporu</w:t>
      </w:r>
      <w:r w:rsidR="008F27EC">
        <w:t xml:space="preserve"> tzv.</w:t>
      </w:r>
      <w:r w:rsidRPr="003F1BD1">
        <w:t xml:space="preserve"> strategických investic ve zdravotnictví</w:t>
      </w:r>
      <w:r w:rsidR="008F27EC">
        <w:t xml:space="preserve"> stanovených závazným jmenovitým výčtem strategických investic</w:t>
      </w:r>
      <w:r w:rsidR="00C70065">
        <w:t xml:space="preserve">. </w:t>
      </w:r>
      <w:r w:rsidRPr="003F1BD1">
        <w:rPr>
          <w:color w:val="000000"/>
        </w:rPr>
        <w:t xml:space="preserve">V souladu s </w:t>
      </w:r>
      <w:r w:rsidRPr="003F1BD1">
        <w:t xml:space="preserve">usnesením vlády </w:t>
      </w:r>
      <w:r w:rsidR="0011634F" w:rsidRPr="0011634F">
        <w:t xml:space="preserve">ze dne 8. června 2009 </w:t>
      </w:r>
      <w:r w:rsidRPr="003F1BD1">
        <w:t>č. 715</w:t>
      </w:r>
      <w:r w:rsidRPr="003F1BD1">
        <w:rPr>
          <w:rStyle w:val="Znakapoznpodarou"/>
        </w:rPr>
        <w:footnoteReference w:id="15"/>
      </w:r>
      <w:r w:rsidRPr="003F1BD1">
        <w:t xml:space="preserve"> měly být realizovány pouze akce, které budou financovány </w:t>
      </w:r>
      <w:r w:rsidR="00124699">
        <w:t>kromě</w:t>
      </w:r>
      <w:r w:rsidRPr="003F1BD1">
        <w:t xml:space="preserve"> vlastních zdrojů FN výlučně z mimorozpočtových </w:t>
      </w:r>
      <w:r w:rsidR="00C522F3">
        <w:t>zdrojů</w:t>
      </w:r>
      <w:r w:rsidR="0011634F">
        <w:t>,</w:t>
      </w:r>
      <w:r w:rsidRPr="003F1BD1">
        <w:t xml:space="preserve"> a nebudou mít žádné nároky na prostředky SR.</w:t>
      </w:r>
      <w:r w:rsidRPr="003F1BD1">
        <w:rPr>
          <w:color w:val="000000"/>
        </w:rPr>
        <w:t xml:space="preserve"> </w:t>
      </w:r>
      <w:r w:rsidRPr="003F1BD1">
        <w:t xml:space="preserve">MZ však přesto </w:t>
      </w:r>
      <w:r w:rsidR="00124699">
        <w:t>do</w:t>
      </w:r>
      <w:r w:rsidRPr="003F1BD1">
        <w:t xml:space="preserve"> </w:t>
      </w:r>
      <w:r w:rsidR="00C9605E">
        <w:t>j</w:t>
      </w:r>
      <w:r w:rsidRPr="00C70065">
        <w:t>menovit</w:t>
      </w:r>
      <w:r w:rsidR="00124699">
        <w:t>ého</w:t>
      </w:r>
      <w:r w:rsidRPr="00C70065">
        <w:t xml:space="preserve"> výč</w:t>
      </w:r>
      <w:r w:rsidR="00124699">
        <w:t>tu</w:t>
      </w:r>
      <w:r w:rsidRPr="00C70065">
        <w:t xml:space="preserve"> </w:t>
      </w:r>
      <w:r w:rsidR="00F03AEE">
        <w:t>deseti</w:t>
      </w:r>
      <w:r w:rsidR="00C9605E">
        <w:t xml:space="preserve"> </w:t>
      </w:r>
      <w:r w:rsidRPr="00C70065">
        <w:t>strategických investic v resortu MZ</w:t>
      </w:r>
      <w:r w:rsidRPr="003F1BD1">
        <w:t xml:space="preserve"> v roce 2009</w:t>
      </w:r>
      <w:r w:rsidR="00F03AEE">
        <w:rPr>
          <w:rStyle w:val="Znakapoznpodarou"/>
        </w:rPr>
        <w:footnoteReference w:id="16"/>
      </w:r>
      <w:r w:rsidRPr="003F1BD1">
        <w:t xml:space="preserve"> zařadilo čtyři akce</w:t>
      </w:r>
      <w:r w:rsidR="00C522F3">
        <w:t xml:space="preserve"> s celkovými předpokládanými </w:t>
      </w:r>
      <w:r>
        <w:t>náklady 13 656 mil. Kč</w:t>
      </w:r>
      <w:r w:rsidRPr="003F1BD1">
        <w:t xml:space="preserve">, </w:t>
      </w:r>
      <w:r w:rsidR="00124699">
        <w:t>i když na ně</w:t>
      </w:r>
      <w:r w:rsidRPr="003F1BD1">
        <w:t xml:space="preserve"> </w:t>
      </w:r>
      <w:r>
        <w:rPr>
          <w:color w:val="000000"/>
          <w:lang w:eastAsia="cs-CZ"/>
        </w:rPr>
        <w:t xml:space="preserve">vláda schválila </w:t>
      </w:r>
      <w:r w:rsidRPr="003F1BD1">
        <w:rPr>
          <w:color w:val="000000"/>
          <w:lang w:eastAsia="cs-CZ"/>
        </w:rPr>
        <w:t xml:space="preserve">z mimorozpočtových </w:t>
      </w:r>
      <w:r w:rsidR="00C522F3">
        <w:rPr>
          <w:color w:val="000000"/>
          <w:lang w:eastAsia="cs-CZ"/>
        </w:rPr>
        <w:t>zdrojů</w:t>
      </w:r>
      <w:r w:rsidRPr="003F1BD1">
        <w:rPr>
          <w:color w:val="000000"/>
          <w:lang w:eastAsia="cs-CZ"/>
        </w:rPr>
        <w:t xml:space="preserve"> </w:t>
      </w:r>
      <w:r w:rsidR="00124699">
        <w:rPr>
          <w:color w:val="000000"/>
          <w:lang w:eastAsia="cs-CZ"/>
        </w:rPr>
        <w:t xml:space="preserve">pouze </w:t>
      </w:r>
      <w:r w:rsidRPr="003F1BD1">
        <w:rPr>
          <w:color w:val="000000"/>
          <w:lang w:eastAsia="cs-CZ"/>
        </w:rPr>
        <w:t>300 mil. Kč</w:t>
      </w:r>
      <w:r w:rsidR="00572AB1">
        <w:rPr>
          <w:color w:val="000000"/>
          <w:lang w:eastAsia="cs-CZ"/>
        </w:rPr>
        <w:t xml:space="preserve">, </w:t>
      </w:r>
      <w:r w:rsidR="00124699">
        <w:rPr>
          <w:color w:val="000000"/>
          <w:lang w:eastAsia="cs-CZ"/>
        </w:rPr>
        <w:t>a </w:t>
      </w:r>
      <w:r w:rsidR="00572AB1">
        <w:rPr>
          <w:color w:val="000000"/>
          <w:lang w:eastAsia="cs-CZ"/>
        </w:rPr>
        <w:t>z</w:t>
      </w:r>
      <w:r w:rsidRPr="003F1BD1">
        <w:rPr>
          <w:color w:val="000000"/>
          <w:lang w:eastAsia="cs-CZ"/>
        </w:rPr>
        <w:t xml:space="preserve">ajištění potřeb zdroji </w:t>
      </w:r>
      <w:r w:rsidR="00124699" w:rsidRPr="003F1BD1">
        <w:rPr>
          <w:color w:val="000000"/>
          <w:lang w:eastAsia="cs-CZ"/>
        </w:rPr>
        <w:t xml:space="preserve">tedy </w:t>
      </w:r>
      <w:r w:rsidRPr="003F1BD1">
        <w:rPr>
          <w:color w:val="000000"/>
          <w:lang w:eastAsia="cs-CZ"/>
        </w:rPr>
        <w:t xml:space="preserve">činilo pouze 2 % předpokládaných výdajů. </w:t>
      </w:r>
      <w:r w:rsidR="001A5B20" w:rsidRPr="001A5B20">
        <w:rPr>
          <w:color w:val="000000"/>
          <w:lang w:eastAsia="cs-CZ"/>
        </w:rPr>
        <w:t>Jedn</w:t>
      </w:r>
      <w:r w:rsidR="00D530A1">
        <w:rPr>
          <w:color w:val="000000"/>
          <w:lang w:eastAsia="cs-CZ"/>
        </w:rPr>
        <w:t>alo</w:t>
      </w:r>
      <w:r w:rsidR="001A5B20" w:rsidRPr="001A5B20">
        <w:rPr>
          <w:color w:val="000000"/>
          <w:lang w:eastAsia="cs-CZ"/>
        </w:rPr>
        <w:t xml:space="preserve"> se o výstavb</w:t>
      </w:r>
      <w:r w:rsidR="003033DE">
        <w:rPr>
          <w:color w:val="000000"/>
          <w:lang w:eastAsia="cs-CZ"/>
        </w:rPr>
        <w:t>u pavilonu</w:t>
      </w:r>
      <w:r w:rsidR="001A5B20" w:rsidRPr="001A5B20">
        <w:rPr>
          <w:color w:val="000000"/>
          <w:lang w:eastAsia="cs-CZ"/>
        </w:rPr>
        <w:t xml:space="preserve"> </w:t>
      </w:r>
      <w:r w:rsidR="001A5B20" w:rsidRPr="001A5B20">
        <w:t xml:space="preserve">traumacentra ve FNKV, rekonstrukci a přístavbu </w:t>
      </w:r>
      <w:r w:rsidR="003033DE">
        <w:lastRenderedPageBreak/>
        <w:t xml:space="preserve">hlavní </w:t>
      </w:r>
      <w:r w:rsidR="001A5B20" w:rsidRPr="001A5B20">
        <w:t xml:space="preserve">budovy FN Olomouc, modernizaci </w:t>
      </w:r>
      <w:r w:rsidR="003033DE">
        <w:t>a</w:t>
      </w:r>
      <w:r w:rsidR="0023297E">
        <w:t> </w:t>
      </w:r>
      <w:r w:rsidR="003033DE">
        <w:t>dostavbu areálu</w:t>
      </w:r>
      <w:r w:rsidR="001A5B20" w:rsidRPr="001A5B20">
        <w:t xml:space="preserve"> VFN Praha a výstavbu nové gynekologicko-porodnické kliniky ve FN Brno.</w:t>
      </w:r>
      <w:r w:rsidR="003033DE">
        <w:rPr>
          <w:color w:val="000000"/>
          <w:lang w:eastAsia="cs-CZ"/>
        </w:rPr>
        <w:t xml:space="preserve"> </w:t>
      </w:r>
      <w:r w:rsidRPr="003F1BD1">
        <w:t>K vlastní rea</w:t>
      </w:r>
      <w:r w:rsidR="00B25054">
        <w:t xml:space="preserve">lizaci těchto akcí však z důvodu </w:t>
      </w:r>
      <w:r w:rsidRPr="003F1BD1">
        <w:t>s</w:t>
      </w:r>
      <w:r w:rsidR="00C70065">
        <w:t xml:space="preserve">nížení výdajů rozpočtu kapitoly </w:t>
      </w:r>
      <w:r w:rsidRPr="003F1BD1">
        <w:t xml:space="preserve">MZ </w:t>
      </w:r>
      <w:r w:rsidR="00024F7A">
        <w:t>a</w:t>
      </w:r>
      <w:r w:rsidR="0023297E">
        <w:t> </w:t>
      </w:r>
      <w:r w:rsidR="00124699">
        <w:t xml:space="preserve">z důvodu </w:t>
      </w:r>
      <w:r w:rsidR="00B25054">
        <w:t xml:space="preserve">nedostatečné </w:t>
      </w:r>
      <w:r w:rsidR="00024F7A">
        <w:t>výš</w:t>
      </w:r>
      <w:r w:rsidR="00124699">
        <w:t>e</w:t>
      </w:r>
      <w:r w:rsidR="00024F7A">
        <w:t xml:space="preserve"> vlastních zdrojů FN </w:t>
      </w:r>
      <w:r w:rsidRPr="003F1BD1">
        <w:t xml:space="preserve">v následujících letech </w:t>
      </w:r>
      <w:r w:rsidR="001A5B20">
        <w:t xml:space="preserve">i podle sdělení MZ </w:t>
      </w:r>
      <w:r w:rsidRPr="003F1BD1">
        <w:t xml:space="preserve">nedojde. MZ navíc o část již poskytnutých mimorozpočtových prostředků přišlo, neboť </w:t>
      </w:r>
      <w:r w:rsidR="00122B53">
        <w:t xml:space="preserve">vyčerpalo v letech 2009 </w:t>
      </w:r>
      <w:r w:rsidR="00053019">
        <w:t>a</w:t>
      </w:r>
      <w:r w:rsidR="00122B53">
        <w:t xml:space="preserve"> 2010 </w:t>
      </w:r>
      <w:r w:rsidRPr="003F1BD1">
        <w:rPr>
          <w:color w:val="000000"/>
        </w:rPr>
        <w:t>pouze přibližně 55 % těchto prostředků.</w:t>
      </w:r>
      <w:r w:rsidRPr="003F1BD1">
        <w:t xml:space="preserve"> </w:t>
      </w:r>
      <w:r w:rsidRPr="003F1BD1">
        <w:rPr>
          <w:color w:val="000000"/>
        </w:rPr>
        <w:t xml:space="preserve">Část mimorozpočtových prostředků </w:t>
      </w:r>
      <w:r w:rsidR="00124699">
        <w:rPr>
          <w:color w:val="000000"/>
        </w:rPr>
        <w:t xml:space="preserve">ve výši </w:t>
      </w:r>
      <w:r w:rsidRPr="003F1BD1">
        <w:rPr>
          <w:color w:val="000000"/>
        </w:rPr>
        <w:t xml:space="preserve">474 mil. Kč byla vyčerpána až v roce 2011 a částku 428 mil. Kč zbývalo dočerpat v roce 2012. Tuto </w:t>
      </w:r>
      <w:r>
        <w:rPr>
          <w:color w:val="000000"/>
        </w:rPr>
        <w:t>sumu</w:t>
      </w:r>
      <w:r w:rsidRPr="003F1BD1">
        <w:rPr>
          <w:color w:val="000000"/>
        </w:rPr>
        <w:t xml:space="preserve"> však dle informace MZ již </w:t>
      </w:r>
      <w:r w:rsidR="00122B53">
        <w:rPr>
          <w:color w:val="000000"/>
        </w:rPr>
        <w:t>MF</w:t>
      </w:r>
      <w:r w:rsidR="00B25054">
        <w:rPr>
          <w:color w:val="000000"/>
        </w:rPr>
        <w:t xml:space="preserve"> </w:t>
      </w:r>
      <w:r w:rsidRPr="003F1BD1">
        <w:rPr>
          <w:color w:val="000000"/>
        </w:rPr>
        <w:t>s odkazem na zákon č.</w:t>
      </w:r>
      <w:r w:rsidR="0023297E">
        <w:rPr>
          <w:color w:val="000000"/>
        </w:rPr>
        <w:t> </w:t>
      </w:r>
      <w:r w:rsidRPr="003F1BD1">
        <w:rPr>
          <w:color w:val="000000"/>
        </w:rPr>
        <w:t>15/2012 Sb.</w:t>
      </w:r>
      <w:r w:rsidRPr="003F1BD1">
        <w:rPr>
          <w:rStyle w:val="Znakapoznpodarou"/>
          <w:color w:val="000000"/>
        </w:rPr>
        <w:footnoteReference w:id="17"/>
      </w:r>
      <w:r w:rsidRPr="003F1BD1">
        <w:rPr>
          <w:color w:val="000000"/>
        </w:rPr>
        <w:t xml:space="preserve"> </w:t>
      </w:r>
      <w:r w:rsidR="00B25054">
        <w:rPr>
          <w:color w:val="000000"/>
        </w:rPr>
        <w:t xml:space="preserve">odmítlo </w:t>
      </w:r>
      <w:r w:rsidRPr="003F1BD1">
        <w:rPr>
          <w:color w:val="000000"/>
        </w:rPr>
        <w:t xml:space="preserve">do kapitoly MZ převést. Pokud se </w:t>
      </w:r>
      <w:r w:rsidRPr="003F1BD1">
        <w:t xml:space="preserve">nepodaří </w:t>
      </w:r>
      <w:r w:rsidR="00B25054">
        <w:t xml:space="preserve">nalézt </w:t>
      </w:r>
      <w:r w:rsidRPr="003F1BD1">
        <w:t>dodatečné peněžní prostředky na do</w:t>
      </w:r>
      <w:r w:rsidR="00B25054">
        <w:t xml:space="preserve">financování </w:t>
      </w:r>
      <w:r w:rsidR="00C65C85">
        <w:t xml:space="preserve">čtyř </w:t>
      </w:r>
      <w:r w:rsidR="00B25054">
        <w:t>výše uvedených akcí</w:t>
      </w:r>
      <w:r w:rsidRPr="003F1BD1">
        <w:t xml:space="preserve">, </w:t>
      </w:r>
      <w:r>
        <w:t>existuje</w:t>
      </w:r>
      <w:r w:rsidRPr="003F1BD1">
        <w:t xml:space="preserve"> riziko nenaplnění </w:t>
      </w:r>
      <w:r w:rsidR="008F27EC">
        <w:t xml:space="preserve">ustanovení </w:t>
      </w:r>
      <w:r w:rsidRPr="003F1BD1">
        <w:t>zákon</w:t>
      </w:r>
      <w:r w:rsidR="00C70065">
        <w:t>a</w:t>
      </w:r>
      <w:r w:rsidR="00B25054" w:rsidRPr="00B25054">
        <w:t xml:space="preserve"> </w:t>
      </w:r>
      <w:r w:rsidR="00B25054" w:rsidRPr="003F1BD1">
        <w:t>č. 112/2009 Sb.</w:t>
      </w:r>
    </w:p>
    <w:p w:rsidR="00285DC6" w:rsidRDefault="00285DC6" w:rsidP="0080427D">
      <w:pPr>
        <w:spacing w:after="0" w:line="240" w:lineRule="auto"/>
        <w:jc w:val="both"/>
        <w:rPr>
          <w:color w:val="000000"/>
        </w:rPr>
      </w:pPr>
    </w:p>
    <w:p w:rsidR="00285DC6" w:rsidRPr="00285DC6" w:rsidRDefault="00285DC6" w:rsidP="00965AA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b/>
          <w:color w:val="000000"/>
        </w:rPr>
      </w:pPr>
      <w:r w:rsidRPr="00285DC6">
        <w:rPr>
          <w:b/>
          <w:color w:val="000000"/>
        </w:rPr>
        <w:t>MZ nerespekt</w:t>
      </w:r>
      <w:r>
        <w:rPr>
          <w:b/>
          <w:color w:val="000000"/>
        </w:rPr>
        <w:t>ovalo</w:t>
      </w:r>
      <w:r w:rsidRPr="00285DC6">
        <w:rPr>
          <w:b/>
          <w:color w:val="000000"/>
        </w:rPr>
        <w:t xml:space="preserve"> podmínky </w:t>
      </w:r>
      <w:r w:rsidR="00124699">
        <w:rPr>
          <w:b/>
          <w:color w:val="000000"/>
        </w:rPr>
        <w:t xml:space="preserve">stanovené </w:t>
      </w:r>
      <w:r w:rsidRPr="00285DC6">
        <w:rPr>
          <w:b/>
          <w:color w:val="000000"/>
        </w:rPr>
        <w:t>pro financování akcí, což způsobilo rozdrobenost podpory a nedodržení spoluúčasti vlastních zdrojů FN</w:t>
      </w:r>
    </w:p>
    <w:p w:rsidR="00EF1883" w:rsidRDefault="00EF1883" w:rsidP="0080427D">
      <w:pPr>
        <w:spacing w:after="0" w:line="240" w:lineRule="auto"/>
        <w:jc w:val="both"/>
        <w:rPr>
          <w:color w:val="000000"/>
          <w:lang w:eastAsia="cs-CZ"/>
        </w:rPr>
      </w:pPr>
    </w:p>
    <w:p w:rsidR="004442CE" w:rsidRPr="003033DE" w:rsidRDefault="00285DC6" w:rsidP="0080427D">
      <w:pPr>
        <w:spacing w:after="0" w:line="240" w:lineRule="auto"/>
        <w:jc w:val="both"/>
        <w:rPr>
          <w:bCs/>
          <w:color w:val="000000"/>
        </w:rPr>
      </w:pPr>
      <w:r w:rsidRPr="003F1BD1">
        <w:rPr>
          <w:color w:val="000000"/>
          <w:lang w:eastAsia="cs-CZ"/>
        </w:rPr>
        <w:t xml:space="preserve">Dle podmínek </w:t>
      </w:r>
      <w:r>
        <w:rPr>
          <w:color w:val="000000"/>
          <w:lang w:eastAsia="cs-CZ"/>
        </w:rPr>
        <w:t xml:space="preserve">MZ </w:t>
      </w:r>
      <w:r w:rsidRPr="003F1BD1">
        <w:rPr>
          <w:color w:val="000000"/>
          <w:lang w:eastAsia="cs-CZ"/>
        </w:rPr>
        <w:t xml:space="preserve">pro financování akcí </w:t>
      </w:r>
      <w:r w:rsidRPr="003F1BD1">
        <w:rPr>
          <w:color w:val="000000"/>
        </w:rPr>
        <w:t xml:space="preserve">byla </w:t>
      </w:r>
      <w:r w:rsidRPr="003F1BD1">
        <w:rPr>
          <w:bCs/>
          <w:color w:val="000000"/>
        </w:rPr>
        <w:t xml:space="preserve">účast SR možná pouze za předpokladu, že náklady akce přesáhnou 1,5 % celkového obratu </w:t>
      </w:r>
      <w:r w:rsidR="00124699">
        <w:rPr>
          <w:bCs/>
          <w:color w:val="000000"/>
        </w:rPr>
        <w:t>fakultní nemocnice</w:t>
      </w:r>
      <w:r w:rsidRPr="003F1BD1">
        <w:rPr>
          <w:bCs/>
          <w:color w:val="000000"/>
        </w:rPr>
        <w:t xml:space="preserve"> žádající o dotaci, minimálně však 30 mil. Kč. Kontrolou </w:t>
      </w:r>
      <w:r w:rsidR="006C6C73">
        <w:rPr>
          <w:bCs/>
          <w:color w:val="000000"/>
        </w:rPr>
        <w:t xml:space="preserve">NKÚ </w:t>
      </w:r>
      <w:r w:rsidRPr="003F1BD1">
        <w:rPr>
          <w:bCs/>
          <w:color w:val="000000"/>
        </w:rPr>
        <w:t xml:space="preserve">bylo zjištěno, že tuto podmínku nesplnilo v kontrolovaném období </w:t>
      </w:r>
      <w:r w:rsidR="005E6D76">
        <w:rPr>
          <w:color w:val="000000"/>
        </w:rPr>
        <w:t>46 </w:t>
      </w:r>
      <w:r w:rsidR="003033DE" w:rsidRPr="003F1BD1">
        <w:rPr>
          <w:color w:val="000000"/>
        </w:rPr>
        <w:t>z 86</w:t>
      </w:r>
      <w:r w:rsidR="003033DE">
        <w:rPr>
          <w:color w:val="000000"/>
        </w:rPr>
        <w:t xml:space="preserve"> akcí (53</w:t>
      </w:r>
      <w:r w:rsidR="0092390E">
        <w:rPr>
          <w:color w:val="000000"/>
        </w:rPr>
        <w:t xml:space="preserve">,5 </w:t>
      </w:r>
      <w:r w:rsidR="003033DE">
        <w:rPr>
          <w:color w:val="000000"/>
        </w:rPr>
        <w:t>%)</w:t>
      </w:r>
      <w:r w:rsidR="003033DE">
        <w:rPr>
          <w:bCs/>
          <w:color w:val="000000"/>
        </w:rPr>
        <w:t xml:space="preserve"> </w:t>
      </w:r>
      <w:r>
        <w:rPr>
          <w:color w:val="000000"/>
        </w:rPr>
        <w:t>vybraných</w:t>
      </w:r>
      <w:r w:rsidRPr="003F1BD1">
        <w:rPr>
          <w:color w:val="000000"/>
        </w:rPr>
        <w:t xml:space="preserve"> podprogram</w:t>
      </w:r>
      <w:r>
        <w:rPr>
          <w:color w:val="000000"/>
        </w:rPr>
        <w:t>ů</w:t>
      </w:r>
      <w:r w:rsidRPr="003F1BD1">
        <w:rPr>
          <w:color w:val="000000"/>
        </w:rPr>
        <w:t>.</w:t>
      </w:r>
      <w:r>
        <w:rPr>
          <w:color w:val="000000"/>
        </w:rPr>
        <w:t xml:space="preserve"> </w:t>
      </w:r>
      <w:r w:rsidRPr="003F1BD1">
        <w:rPr>
          <w:bCs/>
        </w:rPr>
        <w:t xml:space="preserve">Pro </w:t>
      </w:r>
      <w:r>
        <w:rPr>
          <w:bCs/>
        </w:rPr>
        <w:t>vybrané</w:t>
      </w:r>
      <w:r w:rsidRPr="003F1BD1">
        <w:rPr>
          <w:bCs/>
        </w:rPr>
        <w:t xml:space="preserve"> podprogramy je tedy charakteristická </w:t>
      </w:r>
      <w:r w:rsidRPr="003F1BD1">
        <w:t>značná rozdrobenost poskytované podpory do mnoha finančně „méně náročných“ investičních akcí</w:t>
      </w:r>
      <w:r w:rsidR="00C9605E">
        <w:t xml:space="preserve">. </w:t>
      </w:r>
      <w:r w:rsidR="004442CE" w:rsidRPr="003F1BD1">
        <w:t xml:space="preserve">Další </w:t>
      </w:r>
      <w:r w:rsidR="003643CD">
        <w:t xml:space="preserve">podmínkou </w:t>
      </w:r>
      <w:r w:rsidR="008627C0">
        <w:t xml:space="preserve">pro financování akcí </w:t>
      </w:r>
      <w:r w:rsidR="004442CE" w:rsidRPr="003F1BD1">
        <w:rPr>
          <w:color w:val="000000"/>
        </w:rPr>
        <w:t xml:space="preserve">bylo </w:t>
      </w:r>
      <w:r w:rsidR="004442CE" w:rsidRPr="003F1BD1">
        <w:t xml:space="preserve">dodržení stanovené </w:t>
      </w:r>
      <w:r w:rsidR="00691358">
        <w:t xml:space="preserve">minimální </w:t>
      </w:r>
      <w:r w:rsidR="004442CE" w:rsidRPr="003F1BD1">
        <w:t xml:space="preserve">výše vlastních zdrojů z rozpočtů FN. MZ </w:t>
      </w:r>
      <w:r w:rsidR="007B616C" w:rsidRPr="003F1BD1">
        <w:t xml:space="preserve">v kontrolovaném období </w:t>
      </w:r>
      <w:r w:rsidR="00866DA5">
        <w:t>tuto podmínku nerespektovalo</w:t>
      </w:r>
      <w:r w:rsidR="003B245E">
        <w:t xml:space="preserve"> </w:t>
      </w:r>
      <w:r w:rsidR="0092390E">
        <w:rPr>
          <w:color w:val="000000"/>
        </w:rPr>
        <w:t>u</w:t>
      </w:r>
      <w:r w:rsidR="00BC293D">
        <w:rPr>
          <w:color w:val="000000"/>
        </w:rPr>
        <w:t> </w:t>
      </w:r>
      <w:r w:rsidR="005E6D76">
        <w:rPr>
          <w:color w:val="000000"/>
        </w:rPr>
        <w:t>12 </w:t>
      </w:r>
      <w:r w:rsidR="004442CE" w:rsidRPr="003F1BD1">
        <w:rPr>
          <w:color w:val="000000"/>
        </w:rPr>
        <w:t>z</w:t>
      </w:r>
      <w:r w:rsidR="003033DE">
        <w:rPr>
          <w:color w:val="000000"/>
        </w:rPr>
        <w:t xml:space="preserve"> 86 </w:t>
      </w:r>
      <w:r w:rsidR="004442CE" w:rsidRPr="003F1BD1">
        <w:rPr>
          <w:color w:val="000000"/>
        </w:rPr>
        <w:t>akcí</w:t>
      </w:r>
      <w:r w:rsidR="005E6D76">
        <w:rPr>
          <w:color w:val="000000"/>
        </w:rPr>
        <w:t xml:space="preserve"> (14 </w:t>
      </w:r>
      <w:r w:rsidR="003033DE">
        <w:rPr>
          <w:color w:val="000000"/>
        </w:rPr>
        <w:t>%)</w:t>
      </w:r>
      <w:r w:rsidR="004442CE" w:rsidRPr="003F1BD1">
        <w:rPr>
          <w:color w:val="000000"/>
        </w:rPr>
        <w:t xml:space="preserve"> </w:t>
      </w:r>
      <w:r w:rsidR="007B616C">
        <w:rPr>
          <w:color w:val="000000"/>
        </w:rPr>
        <w:t>vybraných</w:t>
      </w:r>
      <w:r w:rsidR="004442CE" w:rsidRPr="003F1BD1">
        <w:rPr>
          <w:color w:val="000000"/>
        </w:rPr>
        <w:t xml:space="preserve"> podprogram</w:t>
      </w:r>
      <w:r w:rsidR="00A734CF">
        <w:rPr>
          <w:color w:val="000000"/>
        </w:rPr>
        <w:t>ů</w:t>
      </w:r>
      <w:r w:rsidR="00A640E1">
        <w:rPr>
          <w:color w:val="000000"/>
        </w:rPr>
        <w:t xml:space="preserve">. </w:t>
      </w:r>
      <w:r w:rsidR="004442CE" w:rsidRPr="003F1BD1">
        <w:rPr>
          <w:color w:val="000000"/>
        </w:rPr>
        <w:t xml:space="preserve">Kontrolou NKÚ byly </w:t>
      </w:r>
      <w:r w:rsidR="00A734CF">
        <w:rPr>
          <w:color w:val="000000"/>
        </w:rPr>
        <w:t xml:space="preserve">navíc zjištěny </w:t>
      </w:r>
      <w:r w:rsidR="004442CE" w:rsidRPr="003F1BD1">
        <w:rPr>
          <w:color w:val="000000"/>
        </w:rPr>
        <w:t>nesrovnalosti ve vykazování vlastních zdrojů v databázi EDS/SMVS</w:t>
      </w:r>
      <w:r w:rsidR="004442CE" w:rsidRPr="003F1BD1">
        <w:rPr>
          <w:rStyle w:val="Znakapoznpodarou"/>
          <w:color w:val="000000"/>
        </w:rPr>
        <w:footnoteReference w:id="18"/>
      </w:r>
      <w:r w:rsidR="004442CE" w:rsidRPr="003F1BD1">
        <w:rPr>
          <w:color w:val="000000"/>
        </w:rPr>
        <w:t>.</w:t>
      </w:r>
    </w:p>
    <w:p w:rsidR="006921EB" w:rsidRDefault="006921EB" w:rsidP="0080427D">
      <w:pPr>
        <w:spacing w:after="0" w:line="240" w:lineRule="auto"/>
        <w:jc w:val="both"/>
        <w:rPr>
          <w:color w:val="000000"/>
        </w:rPr>
      </w:pPr>
    </w:p>
    <w:p w:rsidR="009C5A6E" w:rsidRPr="009C5A6E" w:rsidRDefault="00E9506F" w:rsidP="008C227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MZ o způsobu financování FN Motol z Programu rozhodlo až v roce 2007</w:t>
      </w:r>
    </w:p>
    <w:p w:rsidR="00EF1883" w:rsidRDefault="00EF1883" w:rsidP="0080427D">
      <w:pPr>
        <w:spacing w:after="0" w:line="240" w:lineRule="auto"/>
        <w:jc w:val="both"/>
        <w:rPr>
          <w:color w:val="000000"/>
          <w:lang w:eastAsia="cs-CZ"/>
        </w:rPr>
      </w:pPr>
    </w:p>
    <w:p w:rsidR="00064697" w:rsidRDefault="00A71212" w:rsidP="0080427D">
      <w:pPr>
        <w:spacing w:after="0" w:line="240" w:lineRule="auto"/>
        <w:jc w:val="both"/>
      </w:pPr>
      <w:r w:rsidRPr="003F1BD1">
        <w:rPr>
          <w:color w:val="000000"/>
          <w:lang w:eastAsia="cs-CZ"/>
        </w:rPr>
        <w:t>Největší investiční akcí z hlediska rozsahu i finanč</w:t>
      </w:r>
      <w:r w:rsidR="00822EF3">
        <w:rPr>
          <w:color w:val="000000"/>
          <w:lang w:eastAsia="cs-CZ"/>
        </w:rPr>
        <w:t>ní náročnosti je rekonstrukce a </w:t>
      </w:r>
      <w:r w:rsidRPr="003F1BD1">
        <w:rPr>
          <w:color w:val="000000"/>
          <w:lang w:eastAsia="cs-CZ"/>
        </w:rPr>
        <w:t>modernizace dětské části FN Motol. Stav objektu</w:t>
      </w:r>
      <w:r w:rsidR="00610301" w:rsidRPr="003F1BD1">
        <w:rPr>
          <w:color w:val="000000"/>
          <w:lang w:eastAsia="cs-CZ"/>
        </w:rPr>
        <w:t xml:space="preserve"> nemocnice</w:t>
      </w:r>
      <w:r w:rsidRPr="003F1BD1">
        <w:rPr>
          <w:color w:val="000000"/>
          <w:lang w:eastAsia="cs-CZ"/>
        </w:rPr>
        <w:t xml:space="preserve">, který </w:t>
      </w:r>
      <w:r w:rsidR="008627C0">
        <w:rPr>
          <w:color w:val="000000"/>
          <w:lang w:eastAsia="cs-CZ"/>
        </w:rPr>
        <w:t>je důsledkem</w:t>
      </w:r>
      <w:r w:rsidR="00877A33" w:rsidRPr="003F1BD1">
        <w:rPr>
          <w:color w:val="000000"/>
          <w:lang w:eastAsia="cs-CZ"/>
        </w:rPr>
        <w:t xml:space="preserve"> </w:t>
      </w:r>
      <w:r w:rsidR="00877A33" w:rsidRPr="00A640E1">
        <w:rPr>
          <w:color w:val="000000"/>
          <w:lang w:eastAsia="cs-CZ"/>
        </w:rPr>
        <w:t>neprovádění řádné stavební a technické údržby</w:t>
      </w:r>
      <w:r w:rsidR="00705CED" w:rsidRPr="003F1BD1">
        <w:rPr>
          <w:color w:val="000000"/>
          <w:lang w:eastAsia="cs-CZ"/>
        </w:rPr>
        <w:t xml:space="preserve"> po dobu třiceti let provozu, </w:t>
      </w:r>
      <w:r w:rsidR="00877A33" w:rsidRPr="003F1BD1">
        <w:rPr>
          <w:color w:val="000000"/>
          <w:lang w:eastAsia="cs-CZ"/>
        </w:rPr>
        <w:t xml:space="preserve">si vyžádal do doby ukončení </w:t>
      </w:r>
      <w:r w:rsidR="00123959">
        <w:rPr>
          <w:color w:val="000000"/>
          <w:lang w:eastAsia="cs-CZ"/>
        </w:rPr>
        <w:t>kontrolní akce</w:t>
      </w:r>
      <w:r w:rsidR="00877A33" w:rsidRPr="003F1BD1">
        <w:rPr>
          <w:color w:val="000000"/>
          <w:lang w:eastAsia="cs-CZ"/>
        </w:rPr>
        <w:t xml:space="preserve"> již investici přesahující 5</w:t>
      </w:r>
      <w:r w:rsidR="004442CE" w:rsidRPr="003F1BD1">
        <w:rPr>
          <w:color w:val="000000"/>
          <w:lang w:eastAsia="cs-CZ"/>
        </w:rPr>
        <w:t>,1</w:t>
      </w:r>
      <w:r w:rsidR="003643CD">
        <w:rPr>
          <w:color w:val="000000"/>
          <w:lang w:eastAsia="cs-CZ"/>
        </w:rPr>
        <w:t xml:space="preserve"> m</w:t>
      </w:r>
      <w:r w:rsidR="007E283C">
        <w:rPr>
          <w:color w:val="000000"/>
          <w:lang w:eastAsia="cs-CZ"/>
        </w:rPr>
        <w:t>ld. Kč</w:t>
      </w:r>
      <w:r w:rsidR="00877A33" w:rsidRPr="003F1BD1">
        <w:rPr>
          <w:color w:val="000000"/>
          <w:lang w:eastAsia="cs-CZ"/>
        </w:rPr>
        <w:t xml:space="preserve">. </w:t>
      </w:r>
      <w:r w:rsidR="00B10DA9" w:rsidRPr="003F1BD1">
        <w:rPr>
          <w:color w:val="000000"/>
          <w:lang w:eastAsia="cs-CZ"/>
        </w:rPr>
        <w:t xml:space="preserve">Neujasněnost týkající se formy financování </w:t>
      </w:r>
      <w:r w:rsidR="00877A33" w:rsidRPr="003F1BD1">
        <w:rPr>
          <w:color w:val="000000"/>
          <w:lang w:eastAsia="cs-CZ"/>
        </w:rPr>
        <w:t xml:space="preserve">akce </w:t>
      </w:r>
      <w:r w:rsidR="00B313B3">
        <w:rPr>
          <w:color w:val="000000"/>
          <w:lang w:eastAsia="cs-CZ"/>
        </w:rPr>
        <w:t>přetrvávala</w:t>
      </w:r>
      <w:r w:rsidR="00B10DA9" w:rsidRPr="003F1BD1">
        <w:rPr>
          <w:color w:val="000000"/>
          <w:lang w:eastAsia="cs-CZ"/>
        </w:rPr>
        <w:t xml:space="preserve"> od roku 2001 až do roku 2007, kdy </w:t>
      </w:r>
      <w:r w:rsidR="004E1178" w:rsidRPr="003F1BD1">
        <w:rPr>
          <w:color w:val="000000"/>
          <w:lang w:eastAsia="cs-CZ"/>
        </w:rPr>
        <w:t xml:space="preserve">MZ </w:t>
      </w:r>
      <w:r w:rsidR="00B10DA9" w:rsidRPr="003F1BD1">
        <w:rPr>
          <w:color w:val="000000"/>
          <w:lang w:eastAsia="cs-CZ"/>
        </w:rPr>
        <w:t>z uvažované řady alternativ</w:t>
      </w:r>
      <w:r w:rsidR="00905AF0">
        <w:rPr>
          <w:color w:val="000000"/>
          <w:lang w:eastAsia="cs-CZ"/>
        </w:rPr>
        <w:t xml:space="preserve"> (např. úvěr </w:t>
      </w:r>
      <w:r w:rsidR="0081753C">
        <w:rPr>
          <w:color w:val="000000"/>
          <w:lang w:eastAsia="cs-CZ"/>
        </w:rPr>
        <w:t>od Evropské investiční banky</w:t>
      </w:r>
      <w:r w:rsidR="00905AF0">
        <w:rPr>
          <w:color w:val="000000"/>
          <w:lang w:eastAsia="cs-CZ"/>
        </w:rPr>
        <w:t>,</w:t>
      </w:r>
      <w:r w:rsidR="002D1D4C">
        <w:rPr>
          <w:color w:val="000000"/>
          <w:lang w:eastAsia="cs-CZ"/>
        </w:rPr>
        <w:t xml:space="preserve"> </w:t>
      </w:r>
      <w:r w:rsidR="00905AF0">
        <w:rPr>
          <w:color w:val="000000"/>
          <w:lang w:eastAsia="cs-CZ"/>
        </w:rPr>
        <w:t>dodavatelský úvěr)</w:t>
      </w:r>
      <w:r w:rsidR="00B10DA9" w:rsidRPr="003F1BD1">
        <w:rPr>
          <w:color w:val="000000"/>
          <w:lang w:eastAsia="cs-CZ"/>
        </w:rPr>
        <w:t xml:space="preserve"> definitivně </w:t>
      </w:r>
      <w:r w:rsidR="008627C0">
        <w:rPr>
          <w:color w:val="000000"/>
          <w:lang w:eastAsia="cs-CZ"/>
        </w:rPr>
        <w:t xml:space="preserve">zvolilo variantu </w:t>
      </w:r>
      <w:r w:rsidR="00B10DA9" w:rsidRPr="003F1BD1">
        <w:rPr>
          <w:color w:val="000000"/>
          <w:lang w:eastAsia="cs-CZ"/>
        </w:rPr>
        <w:t xml:space="preserve">financování pouze za účasti </w:t>
      </w:r>
      <w:r w:rsidR="00705CED" w:rsidRPr="003F1BD1">
        <w:rPr>
          <w:color w:val="000000"/>
          <w:lang w:eastAsia="cs-CZ"/>
        </w:rPr>
        <w:t>SR</w:t>
      </w:r>
      <w:r w:rsidR="00B10DA9" w:rsidRPr="003F1BD1">
        <w:rPr>
          <w:color w:val="000000"/>
          <w:lang w:eastAsia="cs-CZ"/>
        </w:rPr>
        <w:t xml:space="preserve"> a</w:t>
      </w:r>
      <w:r w:rsidR="008627C0">
        <w:rPr>
          <w:color w:val="000000"/>
          <w:lang w:eastAsia="cs-CZ"/>
        </w:rPr>
        <w:t> </w:t>
      </w:r>
      <w:r w:rsidR="00B10DA9" w:rsidRPr="003F1BD1">
        <w:rPr>
          <w:color w:val="000000"/>
          <w:lang w:eastAsia="cs-CZ"/>
        </w:rPr>
        <w:t xml:space="preserve">vlastních zdrojů FN Motol. </w:t>
      </w:r>
      <w:r w:rsidR="00E9506F">
        <w:rPr>
          <w:color w:val="000000"/>
          <w:lang w:eastAsia="cs-CZ"/>
        </w:rPr>
        <w:t xml:space="preserve">Dotace pro </w:t>
      </w:r>
      <w:r w:rsidR="002A50DB" w:rsidRPr="003F1BD1">
        <w:t xml:space="preserve">FN Motol </w:t>
      </w:r>
      <w:r w:rsidR="008627C0">
        <w:t>byla v rámci</w:t>
      </w:r>
      <w:r w:rsidR="00E9506F">
        <w:t xml:space="preserve"> Programu </w:t>
      </w:r>
      <w:r w:rsidR="008627C0">
        <w:t xml:space="preserve">dominantní, její </w:t>
      </w:r>
      <w:r w:rsidR="00E9506F">
        <w:t>podíl</w:t>
      </w:r>
      <w:r w:rsidR="008627C0">
        <w:t xml:space="preserve"> na celkovém objemu</w:t>
      </w:r>
      <w:r w:rsidR="00E9506F">
        <w:t xml:space="preserve"> dotac</w:t>
      </w:r>
      <w:r w:rsidR="008627C0">
        <w:t>í činil</w:t>
      </w:r>
      <w:r w:rsidR="00E9506F">
        <w:t xml:space="preserve"> </w:t>
      </w:r>
      <w:r w:rsidR="00CD5D79" w:rsidRPr="003F1BD1">
        <w:t>37</w:t>
      </w:r>
      <w:r w:rsidR="00E9506F">
        <w:t xml:space="preserve"> </w:t>
      </w:r>
      <w:r w:rsidR="00CD5D79" w:rsidRPr="003F1BD1">
        <w:t>%</w:t>
      </w:r>
      <w:r w:rsidR="008A4258">
        <w:t xml:space="preserve"> </w:t>
      </w:r>
      <w:r w:rsidR="00822EF3">
        <w:t>–</w:t>
      </w:r>
      <w:r w:rsidR="008A4258">
        <w:t xml:space="preserve"> </w:t>
      </w:r>
      <w:r w:rsidR="00263329" w:rsidRPr="003F1BD1">
        <w:t>viz graf č.</w:t>
      </w:r>
      <w:r w:rsidR="00B313B3">
        <w:t> </w:t>
      </w:r>
      <w:r w:rsidR="00263329" w:rsidRPr="003F1BD1">
        <w:t>1.</w:t>
      </w:r>
    </w:p>
    <w:p w:rsidR="00E9506F" w:rsidRDefault="00E9506F" w:rsidP="0080427D">
      <w:pPr>
        <w:spacing w:after="0" w:line="240" w:lineRule="auto"/>
        <w:jc w:val="both"/>
      </w:pPr>
    </w:p>
    <w:p w:rsidR="00500965" w:rsidRDefault="00500965">
      <w:pPr>
        <w:spacing w:after="0" w:line="240" w:lineRule="auto"/>
      </w:pPr>
      <w:r>
        <w:br w:type="page"/>
      </w:r>
    </w:p>
    <w:p w:rsidR="00EC26DB" w:rsidRDefault="00705CED" w:rsidP="008627C0">
      <w:pPr>
        <w:tabs>
          <w:tab w:val="left" w:pos="8505"/>
        </w:tabs>
        <w:spacing w:after="40" w:line="240" w:lineRule="auto"/>
        <w:ind w:left="1389" w:hanging="1389"/>
        <w:jc w:val="both"/>
        <w:rPr>
          <w:b/>
        </w:rPr>
      </w:pPr>
      <w:r w:rsidRPr="003F1BD1">
        <w:rPr>
          <w:b/>
          <w:color w:val="000000"/>
          <w:lang w:eastAsia="cs-CZ"/>
        </w:rPr>
        <w:lastRenderedPageBreak/>
        <w:t xml:space="preserve">Graf </w:t>
      </w:r>
      <w:r w:rsidR="00EC26DB" w:rsidRPr="003F1BD1">
        <w:rPr>
          <w:b/>
          <w:color w:val="000000"/>
          <w:lang w:eastAsia="cs-CZ"/>
        </w:rPr>
        <w:t>č</w:t>
      </w:r>
      <w:r w:rsidRPr="003F1BD1">
        <w:rPr>
          <w:b/>
          <w:color w:val="000000"/>
          <w:lang w:eastAsia="cs-CZ"/>
        </w:rPr>
        <w:t>.</w:t>
      </w:r>
      <w:r w:rsidR="006B23FC">
        <w:rPr>
          <w:b/>
          <w:color w:val="000000"/>
          <w:lang w:eastAsia="cs-CZ"/>
        </w:rPr>
        <w:t xml:space="preserve"> </w:t>
      </w:r>
      <w:r w:rsidRPr="003F1BD1">
        <w:rPr>
          <w:b/>
          <w:color w:val="000000"/>
          <w:lang w:eastAsia="cs-CZ"/>
        </w:rPr>
        <w:t>1</w:t>
      </w:r>
      <w:r w:rsidR="008627C0">
        <w:rPr>
          <w:b/>
        </w:rPr>
        <w:t xml:space="preserve"> – </w:t>
      </w:r>
      <w:r w:rsidR="00EC26DB" w:rsidRPr="003F1BD1">
        <w:rPr>
          <w:b/>
        </w:rPr>
        <w:t xml:space="preserve">Podíl jednotlivých </w:t>
      </w:r>
      <w:r w:rsidR="00193F5B">
        <w:rPr>
          <w:b/>
        </w:rPr>
        <w:t>fakultních nemocnic</w:t>
      </w:r>
      <w:r w:rsidR="00EC26DB" w:rsidRPr="003F1BD1">
        <w:rPr>
          <w:b/>
        </w:rPr>
        <w:t xml:space="preserve"> na celkov</w:t>
      </w:r>
      <w:r w:rsidR="00B313B3">
        <w:rPr>
          <w:b/>
        </w:rPr>
        <w:t>é výši</w:t>
      </w:r>
      <w:r w:rsidR="00EC26DB" w:rsidRPr="003F1BD1">
        <w:rPr>
          <w:b/>
        </w:rPr>
        <w:t xml:space="preserve"> vyčerpaných peněžních prostřed</w:t>
      </w:r>
      <w:r w:rsidR="00B313B3">
        <w:rPr>
          <w:b/>
        </w:rPr>
        <w:t>ků</w:t>
      </w:r>
      <w:r w:rsidR="00EC26DB" w:rsidRPr="003F1BD1">
        <w:rPr>
          <w:b/>
        </w:rPr>
        <w:t xml:space="preserve"> </w:t>
      </w:r>
      <w:r w:rsidR="008739BD">
        <w:rPr>
          <w:b/>
        </w:rPr>
        <w:t xml:space="preserve">Programu </w:t>
      </w:r>
      <w:r w:rsidR="00EC26DB" w:rsidRPr="003F1BD1">
        <w:rPr>
          <w:b/>
        </w:rPr>
        <w:t xml:space="preserve">za období </w:t>
      </w:r>
      <w:r w:rsidR="008627C0">
        <w:rPr>
          <w:b/>
        </w:rPr>
        <w:t xml:space="preserve">let </w:t>
      </w:r>
      <w:r w:rsidR="00EC26DB" w:rsidRPr="003F1BD1">
        <w:rPr>
          <w:b/>
        </w:rPr>
        <w:t xml:space="preserve">2003 </w:t>
      </w:r>
      <w:r w:rsidR="00053019">
        <w:rPr>
          <w:b/>
        </w:rPr>
        <w:t>až</w:t>
      </w:r>
      <w:r w:rsidR="00EC26DB" w:rsidRPr="003F1BD1">
        <w:rPr>
          <w:b/>
        </w:rPr>
        <w:t xml:space="preserve"> 2012 </w:t>
      </w:r>
      <w:r w:rsidR="00B313B3">
        <w:rPr>
          <w:b/>
        </w:rPr>
        <w:tab/>
        <w:t>(</w:t>
      </w:r>
      <w:r w:rsidR="00EC26DB" w:rsidRPr="003F1BD1">
        <w:rPr>
          <w:b/>
        </w:rPr>
        <w:t>v %</w:t>
      </w:r>
      <w:r w:rsidR="00B313B3">
        <w:rPr>
          <w:b/>
        </w:rPr>
        <w:t>)</w:t>
      </w:r>
    </w:p>
    <w:p w:rsidR="00317FA5" w:rsidRDefault="00317FA5" w:rsidP="008627C0">
      <w:pPr>
        <w:tabs>
          <w:tab w:val="left" w:pos="8505"/>
        </w:tabs>
        <w:spacing w:after="40" w:line="240" w:lineRule="auto"/>
        <w:ind w:left="1389" w:hanging="1389"/>
        <w:jc w:val="both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600700" cy="41052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882" cy="410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C1" w:rsidRPr="00E9506F" w:rsidRDefault="003D7FF5" w:rsidP="00700FC6">
      <w:pPr>
        <w:tabs>
          <w:tab w:val="left" w:pos="851"/>
        </w:tabs>
        <w:spacing w:before="40" w:after="0" w:line="240" w:lineRule="auto"/>
        <w:jc w:val="both"/>
        <w:rPr>
          <w:sz w:val="18"/>
          <w:szCs w:val="18"/>
        </w:rPr>
      </w:pPr>
      <w:r w:rsidRPr="008C227E">
        <w:rPr>
          <w:b/>
          <w:sz w:val="18"/>
          <w:szCs w:val="18"/>
        </w:rPr>
        <w:t>Zdroj:</w:t>
      </w:r>
      <w:r w:rsidRPr="00E9506F">
        <w:rPr>
          <w:sz w:val="18"/>
          <w:szCs w:val="18"/>
        </w:rPr>
        <w:t xml:space="preserve"> </w:t>
      </w:r>
      <w:r w:rsidR="00193F5B" w:rsidRPr="00E9506F">
        <w:rPr>
          <w:sz w:val="18"/>
          <w:szCs w:val="18"/>
        </w:rPr>
        <w:t>Ministerstv</w:t>
      </w:r>
      <w:r w:rsidR="007B48EC" w:rsidRPr="00E9506F">
        <w:rPr>
          <w:sz w:val="18"/>
          <w:szCs w:val="18"/>
        </w:rPr>
        <w:t>o</w:t>
      </w:r>
      <w:r w:rsidR="00193F5B" w:rsidRPr="00E9506F">
        <w:rPr>
          <w:sz w:val="18"/>
          <w:szCs w:val="18"/>
        </w:rPr>
        <w:t xml:space="preserve"> zdravotnictví.</w:t>
      </w:r>
    </w:p>
    <w:p w:rsidR="00835C55" w:rsidRDefault="00835C55" w:rsidP="0080427D">
      <w:pPr>
        <w:spacing w:after="0" w:line="240" w:lineRule="auto"/>
        <w:jc w:val="both"/>
        <w:rPr>
          <w:color w:val="000000"/>
        </w:rPr>
      </w:pPr>
      <w:bookmarkStart w:id="0" w:name="_GoBack"/>
      <w:bookmarkEnd w:id="0"/>
    </w:p>
    <w:p w:rsidR="008C227E" w:rsidRDefault="008C227E" w:rsidP="00F1413E">
      <w:pPr>
        <w:spacing w:after="0" w:line="240" w:lineRule="auto"/>
        <w:jc w:val="both"/>
        <w:rPr>
          <w:color w:val="000000"/>
        </w:rPr>
      </w:pPr>
    </w:p>
    <w:p w:rsidR="00C86918" w:rsidRDefault="00BB4111" w:rsidP="00F1413E">
      <w:pPr>
        <w:pStyle w:val="Normlnweb"/>
        <w:jc w:val="center"/>
        <w:rPr>
          <w:rFonts w:ascii="Arial" w:hAnsi="Arial" w:cs="Arial"/>
          <w:b/>
          <w:color w:val="000000"/>
        </w:rPr>
      </w:pPr>
      <w:r w:rsidRPr="00BB4111">
        <w:rPr>
          <w:rFonts w:ascii="Arial" w:hAnsi="Arial" w:cs="Arial"/>
          <w:b/>
          <w:color w:val="000000"/>
        </w:rPr>
        <w:t>III. Skutečnosti zjištěné u příjemců podpory</w:t>
      </w:r>
    </w:p>
    <w:p w:rsidR="00F1413E" w:rsidRDefault="00F1413E" w:rsidP="00F1413E">
      <w:pPr>
        <w:spacing w:after="0" w:line="240" w:lineRule="auto"/>
        <w:jc w:val="both"/>
        <w:rPr>
          <w:color w:val="000000"/>
        </w:rPr>
      </w:pPr>
    </w:p>
    <w:p w:rsidR="00D53143" w:rsidRDefault="008627C0" w:rsidP="00F1413E">
      <w:pPr>
        <w:spacing w:after="0" w:line="240" w:lineRule="auto"/>
        <w:jc w:val="both"/>
        <w:rPr>
          <w:rFonts w:eastAsia="Times New Roman"/>
          <w:bCs/>
          <w:lang w:eastAsia="cs-CZ"/>
        </w:rPr>
      </w:pPr>
      <w:r>
        <w:rPr>
          <w:color w:val="000000"/>
        </w:rPr>
        <w:t>NKÚ v rámci kontroly vybraných podprogramů prověřil</w:t>
      </w:r>
      <w:r w:rsidR="008771C0">
        <w:rPr>
          <w:color w:val="000000"/>
        </w:rPr>
        <w:t xml:space="preserve"> </w:t>
      </w:r>
      <w:r w:rsidR="00053019">
        <w:rPr>
          <w:color w:val="000000"/>
        </w:rPr>
        <w:t xml:space="preserve">čtrnáct </w:t>
      </w:r>
      <w:r w:rsidR="008771C0">
        <w:rPr>
          <w:color w:val="000000"/>
        </w:rPr>
        <w:t xml:space="preserve">akcí </w:t>
      </w:r>
      <w:r w:rsidR="00BF11AD">
        <w:rPr>
          <w:color w:val="000000"/>
        </w:rPr>
        <w:t>s celkovými náklady ve výši</w:t>
      </w:r>
      <w:r w:rsidR="00530637" w:rsidRPr="00D50889">
        <w:rPr>
          <w:color w:val="000000"/>
        </w:rPr>
        <w:t xml:space="preserve"> </w:t>
      </w:r>
      <w:r w:rsidR="00530637" w:rsidRPr="00D50889">
        <w:rPr>
          <w:rFonts w:eastAsia="Times New Roman"/>
          <w:bCs/>
          <w:lang w:eastAsia="cs-CZ"/>
        </w:rPr>
        <w:t>6</w:t>
      </w:r>
      <w:r>
        <w:rPr>
          <w:rFonts w:eastAsia="Times New Roman"/>
          <w:bCs/>
          <w:lang w:eastAsia="cs-CZ"/>
        </w:rPr>
        <w:t> </w:t>
      </w:r>
      <w:r w:rsidR="00530637" w:rsidRPr="00D50889">
        <w:rPr>
          <w:rFonts w:eastAsia="Times New Roman"/>
          <w:bCs/>
          <w:lang w:eastAsia="cs-CZ"/>
        </w:rPr>
        <w:t>625,3</w:t>
      </w:r>
      <w:r>
        <w:rPr>
          <w:rFonts w:eastAsia="Times New Roman"/>
          <w:bCs/>
          <w:lang w:eastAsia="cs-CZ"/>
        </w:rPr>
        <w:t> </w:t>
      </w:r>
      <w:r w:rsidR="00530637" w:rsidRPr="00D50889">
        <w:rPr>
          <w:rFonts w:eastAsia="Times New Roman"/>
          <w:bCs/>
          <w:lang w:eastAsia="cs-CZ"/>
        </w:rPr>
        <w:t>mil.</w:t>
      </w:r>
      <w:r>
        <w:rPr>
          <w:rFonts w:eastAsia="Times New Roman"/>
          <w:bCs/>
          <w:lang w:eastAsia="cs-CZ"/>
        </w:rPr>
        <w:t> </w:t>
      </w:r>
      <w:r w:rsidR="00530637" w:rsidRPr="00D50889">
        <w:rPr>
          <w:rFonts w:eastAsia="Times New Roman"/>
          <w:bCs/>
          <w:lang w:eastAsia="cs-CZ"/>
        </w:rPr>
        <w:t>Kč</w:t>
      </w:r>
      <w:r w:rsidR="00503D6D">
        <w:rPr>
          <w:rFonts w:eastAsia="Times New Roman"/>
          <w:bCs/>
          <w:lang w:eastAsia="cs-CZ"/>
        </w:rPr>
        <w:t>,</w:t>
      </w:r>
      <w:r w:rsidR="00530637" w:rsidRPr="00D50889">
        <w:rPr>
          <w:rFonts w:eastAsia="Times New Roman"/>
          <w:bCs/>
          <w:lang w:eastAsia="cs-CZ"/>
        </w:rPr>
        <w:t xml:space="preserve"> na které byl</w:t>
      </w:r>
      <w:r w:rsidR="00147100">
        <w:rPr>
          <w:rFonts w:eastAsia="Times New Roman"/>
          <w:bCs/>
          <w:lang w:eastAsia="cs-CZ"/>
        </w:rPr>
        <w:t>y poskytnuty</w:t>
      </w:r>
      <w:r w:rsidR="00BF11AD">
        <w:rPr>
          <w:rFonts w:eastAsia="Times New Roman"/>
          <w:bCs/>
          <w:lang w:eastAsia="cs-CZ"/>
        </w:rPr>
        <w:t xml:space="preserve"> </w:t>
      </w:r>
      <w:r w:rsidR="00147100">
        <w:rPr>
          <w:rFonts w:eastAsia="Times New Roman"/>
          <w:bCs/>
          <w:lang w:eastAsia="cs-CZ"/>
        </w:rPr>
        <w:t>peněžní prostředky</w:t>
      </w:r>
      <w:r w:rsidR="00530637" w:rsidRPr="00D50889">
        <w:rPr>
          <w:rFonts w:eastAsia="Times New Roman"/>
          <w:bCs/>
          <w:lang w:eastAsia="cs-CZ"/>
        </w:rPr>
        <w:t xml:space="preserve"> ve výši 5 565 mil. Kč.</w:t>
      </w:r>
      <w:r w:rsidR="00D50889">
        <w:rPr>
          <w:rFonts w:eastAsia="Times New Roman"/>
          <w:bCs/>
          <w:lang w:eastAsia="cs-CZ"/>
        </w:rPr>
        <w:t xml:space="preserve"> </w:t>
      </w:r>
      <w:r w:rsidR="00441E07">
        <w:rPr>
          <w:rFonts w:eastAsia="Times New Roman"/>
          <w:bCs/>
          <w:lang w:eastAsia="cs-CZ"/>
        </w:rPr>
        <w:t xml:space="preserve">Nedostatky byly zjištěny zejména </w:t>
      </w:r>
      <w:r w:rsidR="004462AC">
        <w:rPr>
          <w:rFonts w:eastAsia="Times New Roman"/>
          <w:bCs/>
          <w:lang w:eastAsia="cs-CZ"/>
        </w:rPr>
        <w:t xml:space="preserve">při přípravě akcí, </w:t>
      </w:r>
      <w:r w:rsidR="00441E07">
        <w:rPr>
          <w:rFonts w:eastAsia="Times New Roman"/>
          <w:bCs/>
          <w:lang w:eastAsia="cs-CZ"/>
        </w:rPr>
        <w:t>v oblasti zadávání veřejných zakázek a</w:t>
      </w:r>
      <w:r>
        <w:rPr>
          <w:rFonts w:eastAsia="Times New Roman"/>
          <w:bCs/>
          <w:lang w:eastAsia="cs-CZ"/>
        </w:rPr>
        <w:t> </w:t>
      </w:r>
      <w:r w:rsidR="00441E07">
        <w:rPr>
          <w:rFonts w:eastAsia="Times New Roman"/>
          <w:bCs/>
          <w:lang w:eastAsia="cs-CZ"/>
        </w:rPr>
        <w:t xml:space="preserve">při plnění podmínek poskytnutí dotace. </w:t>
      </w:r>
      <w:r w:rsidR="005810F7" w:rsidRPr="00D50889">
        <w:rPr>
          <w:rFonts w:eastAsia="Times New Roman"/>
          <w:bCs/>
          <w:lang w:eastAsia="cs-CZ"/>
        </w:rPr>
        <w:t xml:space="preserve">V případě </w:t>
      </w:r>
      <w:r w:rsidR="005810F7">
        <w:rPr>
          <w:rFonts w:eastAsia="Times New Roman"/>
          <w:bCs/>
          <w:lang w:eastAsia="cs-CZ"/>
        </w:rPr>
        <w:t>VZ na stavební práce</w:t>
      </w:r>
      <w:r w:rsidR="005810F7" w:rsidRPr="00D50889">
        <w:rPr>
          <w:rFonts w:eastAsia="Times New Roman"/>
          <w:bCs/>
          <w:lang w:eastAsia="cs-CZ"/>
        </w:rPr>
        <w:t xml:space="preserve"> docházelo ve většině případů ke změnám stav</w:t>
      </w:r>
      <w:r w:rsidR="005810F7">
        <w:rPr>
          <w:rFonts w:eastAsia="Times New Roman"/>
          <w:bCs/>
          <w:lang w:eastAsia="cs-CZ"/>
        </w:rPr>
        <w:t>e</w:t>
      </w:r>
      <w:r w:rsidR="005810F7" w:rsidRPr="00D50889">
        <w:rPr>
          <w:rFonts w:eastAsia="Times New Roman"/>
          <w:bCs/>
          <w:lang w:eastAsia="cs-CZ"/>
        </w:rPr>
        <w:t>b</w:t>
      </w:r>
      <w:r w:rsidR="005A0295">
        <w:rPr>
          <w:rFonts w:eastAsia="Times New Roman"/>
          <w:bCs/>
          <w:lang w:eastAsia="cs-CZ"/>
        </w:rPr>
        <w:t>; tyto změny</w:t>
      </w:r>
      <w:r w:rsidR="005810F7" w:rsidRPr="00D50889">
        <w:rPr>
          <w:rFonts w:eastAsia="Times New Roman"/>
          <w:bCs/>
          <w:lang w:eastAsia="cs-CZ"/>
        </w:rPr>
        <w:t xml:space="preserve"> byly způsobeny nedostatky </w:t>
      </w:r>
      <w:r w:rsidR="005810F7">
        <w:rPr>
          <w:rFonts w:eastAsia="Times New Roman"/>
          <w:bCs/>
          <w:lang w:eastAsia="cs-CZ"/>
        </w:rPr>
        <w:t>v </w:t>
      </w:r>
      <w:r w:rsidR="005810F7" w:rsidRPr="00D50889">
        <w:rPr>
          <w:rFonts w:eastAsia="Times New Roman"/>
          <w:bCs/>
          <w:lang w:eastAsia="cs-CZ"/>
        </w:rPr>
        <w:t xml:space="preserve">projektové </w:t>
      </w:r>
      <w:r w:rsidR="005810F7">
        <w:rPr>
          <w:rFonts w:eastAsia="Times New Roman"/>
          <w:bCs/>
          <w:lang w:eastAsia="cs-CZ"/>
        </w:rPr>
        <w:t>i</w:t>
      </w:r>
      <w:r>
        <w:rPr>
          <w:rFonts w:eastAsia="Times New Roman"/>
          <w:bCs/>
          <w:lang w:eastAsia="cs-CZ"/>
        </w:rPr>
        <w:t> </w:t>
      </w:r>
      <w:r w:rsidR="005810F7">
        <w:rPr>
          <w:rFonts w:eastAsia="Times New Roman"/>
          <w:bCs/>
          <w:lang w:eastAsia="cs-CZ"/>
        </w:rPr>
        <w:t xml:space="preserve">zadávací </w:t>
      </w:r>
      <w:r w:rsidR="005810F7" w:rsidRPr="00D50889">
        <w:rPr>
          <w:rFonts w:eastAsia="Times New Roman"/>
          <w:bCs/>
          <w:lang w:eastAsia="cs-CZ"/>
        </w:rPr>
        <w:t>dokumentaci</w:t>
      </w:r>
      <w:r w:rsidR="005810F7">
        <w:rPr>
          <w:rFonts w:eastAsia="Times New Roman"/>
          <w:bCs/>
          <w:lang w:eastAsia="cs-CZ"/>
        </w:rPr>
        <w:t xml:space="preserve">, </w:t>
      </w:r>
      <w:r w:rsidR="005810F7" w:rsidRPr="00D50889">
        <w:rPr>
          <w:rFonts w:eastAsia="Times New Roman"/>
          <w:bCs/>
          <w:lang w:eastAsia="cs-CZ"/>
        </w:rPr>
        <w:t>d</w:t>
      </w:r>
      <w:r w:rsidR="005810F7">
        <w:rPr>
          <w:rFonts w:eastAsia="Times New Roman"/>
          <w:bCs/>
          <w:lang w:eastAsia="cs-CZ"/>
        </w:rPr>
        <w:t xml:space="preserve">odatečnými požadavky FN, </w:t>
      </w:r>
      <w:r w:rsidR="005810F7" w:rsidRPr="00D50889">
        <w:rPr>
          <w:rFonts w:eastAsia="Times New Roman"/>
          <w:bCs/>
          <w:lang w:eastAsia="cs-CZ"/>
        </w:rPr>
        <w:t>změn</w:t>
      </w:r>
      <w:r w:rsidR="005810F7">
        <w:rPr>
          <w:rFonts w:eastAsia="Times New Roman"/>
          <w:bCs/>
          <w:lang w:eastAsia="cs-CZ"/>
        </w:rPr>
        <w:t xml:space="preserve">ami technického řešení stavby </w:t>
      </w:r>
      <w:r w:rsidR="005810F7" w:rsidRPr="00D50889">
        <w:rPr>
          <w:rFonts w:eastAsia="Times New Roman"/>
          <w:bCs/>
          <w:lang w:eastAsia="cs-CZ"/>
        </w:rPr>
        <w:t>i</w:t>
      </w:r>
      <w:r>
        <w:rPr>
          <w:rFonts w:eastAsia="Times New Roman"/>
          <w:bCs/>
          <w:lang w:eastAsia="cs-CZ"/>
        </w:rPr>
        <w:t> </w:t>
      </w:r>
      <w:r w:rsidR="005810F7" w:rsidRPr="00D50889">
        <w:rPr>
          <w:rFonts w:eastAsia="Times New Roman"/>
          <w:bCs/>
          <w:lang w:eastAsia="cs-CZ"/>
        </w:rPr>
        <w:t>objektivní</w:t>
      </w:r>
      <w:r w:rsidR="005A0295">
        <w:rPr>
          <w:rFonts w:eastAsia="Times New Roman"/>
          <w:bCs/>
          <w:lang w:eastAsia="cs-CZ"/>
        </w:rPr>
        <w:t>mi</w:t>
      </w:r>
      <w:r w:rsidR="005810F7" w:rsidRPr="00D50889">
        <w:rPr>
          <w:rFonts w:eastAsia="Times New Roman"/>
          <w:bCs/>
          <w:lang w:eastAsia="cs-CZ"/>
        </w:rPr>
        <w:t xml:space="preserve"> příčin</w:t>
      </w:r>
      <w:r w:rsidR="005A0295">
        <w:rPr>
          <w:rFonts w:eastAsia="Times New Roman"/>
          <w:bCs/>
          <w:lang w:eastAsia="cs-CZ"/>
        </w:rPr>
        <w:t>ami</w:t>
      </w:r>
      <w:r w:rsidR="005810F7" w:rsidRPr="00D50889">
        <w:rPr>
          <w:rFonts w:eastAsia="Times New Roman"/>
          <w:bCs/>
          <w:lang w:eastAsia="cs-CZ"/>
        </w:rPr>
        <w:t>, které nebylo možné předvídat.</w:t>
      </w:r>
      <w:r w:rsidR="0027175F">
        <w:rPr>
          <w:rFonts w:eastAsia="Times New Roman"/>
          <w:bCs/>
          <w:lang w:eastAsia="cs-CZ"/>
        </w:rPr>
        <w:t xml:space="preserve"> To mělo </w:t>
      </w:r>
      <w:r w:rsidR="005810F7">
        <w:rPr>
          <w:rFonts w:eastAsia="Times New Roman"/>
          <w:bCs/>
          <w:lang w:eastAsia="cs-CZ"/>
        </w:rPr>
        <w:t xml:space="preserve">za následek </w:t>
      </w:r>
      <w:r w:rsidR="00D53143">
        <w:rPr>
          <w:rFonts w:eastAsia="Times New Roman"/>
          <w:bCs/>
          <w:lang w:eastAsia="cs-CZ"/>
        </w:rPr>
        <w:t>zvyšování nákladů a prodlužování termínů dokončení.</w:t>
      </w:r>
    </w:p>
    <w:p w:rsidR="006921EB" w:rsidRPr="00B201FE" w:rsidRDefault="006921EB" w:rsidP="00A01719">
      <w:pPr>
        <w:spacing w:after="0" w:line="240" w:lineRule="auto"/>
        <w:jc w:val="both"/>
        <w:rPr>
          <w:rFonts w:eastAsia="Times New Roman"/>
          <w:bCs/>
          <w:lang w:eastAsia="cs-CZ"/>
        </w:rPr>
      </w:pPr>
    </w:p>
    <w:p w:rsidR="00482DFF" w:rsidRDefault="00B201FE" w:rsidP="00A01719">
      <w:pPr>
        <w:spacing w:after="0" w:line="240" w:lineRule="auto"/>
        <w:jc w:val="both"/>
      </w:pPr>
      <w:r w:rsidRPr="00B201FE">
        <w:rPr>
          <w:b/>
        </w:rPr>
        <w:t>F</w:t>
      </w:r>
      <w:r w:rsidR="003F1BD1">
        <w:rPr>
          <w:b/>
        </w:rPr>
        <w:t>N</w:t>
      </w:r>
      <w:r w:rsidRPr="00B201FE">
        <w:rPr>
          <w:b/>
        </w:rPr>
        <w:t xml:space="preserve"> </w:t>
      </w:r>
      <w:r w:rsidR="00F54DDA">
        <w:rPr>
          <w:b/>
        </w:rPr>
        <w:t xml:space="preserve">Plzeň, </w:t>
      </w:r>
      <w:r w:rsidR="00F54DDA" w:rsidRPr="00F54DDA">
        <w:t>u níž</w:t>
      </w:r>
      <w:r w:rsidR="00F1413E">
        <w:t xml:space="preserve"> </w:t>
      </w:r>
      <w:r w:rsidR="00032908">
        <w:t>NKÚ prověřil</w:t>
      </w:r>
      <w:r w:rsidR="00B25870">
        <w:t xml:space="preserve"> </w:t>
      </w:r>
      <w:r w:rsidR="00B25054">
        <w:t>vý</w:t>
      </w:r>
      <w:r w:rsidR="005A7BA3">
        <w:t>stavb</w:t>
      </w:r>
      <w:r w:rsidR="008627C0">
        <w:t>u</w:t>
      </w:r>
      <w:r w:rsidR="005A7BA3">
        <w:t xml:space="preserve"> onkologického </w:t>
      </w:r>
      <w:r w:rsidR="003033DE">
        <w:t>centra</w:t>
      </w:r>
      <w:r w:rsidR="005A7BA3">
        <w:t xml:space="preserve"> a</w:t>
      </w:r>
      <w:r w:rsidR="008627C0">
        <w:t> </w:t>
      </w:r>
      <w:r w:rsidR="005A7BA3">
        <w:t xml:space="preserve">nákupy zdravotnické </w:t>
      </w:r>
      <w:r w:rsidR="00681CF8">
        <w:t>techniky</w:t>
      </w:r>
      <w:r w:rsidR="005A7BA3">
        <w:t xml:space="preserve"> (akce č. 505 a </w:t>
      </w:r>
      <w:r w:rsidR="00A00681">
        <w:t xml:space="preserve">č. </w:t>
      </w:r>
      <w:r w:rsidR="00F54DDA">
        <w:t>702):</w:t>
      </w:r>
    </w:p>
    <w:p w:rsidR="00482DFF" w:rsidRPr="00C70065" w:rsidRDefault="00B201FE" w:rsidP="00A0171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color w:val="000000"/>
        </w:rPr>
      </w:pPr>
      <w:r w:rsidRPr="00A520AC">
        <w:t xml:space="preserve">u </w:t>
      </w:r>
      <w:r w:rsidR="00B25054">
        <w:t xml:space="preserve">onkologického </w:t>
      </w:r>
      <w:r w:rsidR="003033DE">
        <w:t>centra</w:t>
      </w:r>
      <w:r w:rsidR="005A0295">
        <w:rPr>
          <w:bCs/>
        </w:rPr>
        <w:t xml:space="preserve"> posuzovala</w:t>
      </w:r>
      <w:r w:rsidR="009813A2" w:rsidRPr="00337C91" w:rsidDel="009813A2">
        <w:rPr>
          <w:bCs/>
        </w:rPr>
        <w:t xml:space="preserve"> </w:t>
      </w:r>
      <w:r w:rsidR="00482DFF">
        <w:rPr>
          <w:bCs/>
        </w:rPr>
        <w:t xml:space="preserve">při </w:t>
      </w:r>
      <w:r w:rsidR="009813A2">
        <w:rPr>
          <w:bCs/>
        </w:rPr>
        <w:t>vyjádření</w:t>
      </w:r>
      <w:r w:rsidR="00482DFF">
        <w:rPr>
          <w:bCs/>
        </w:rPr>
        <w:t xml:space="preserve"> efektivnosti vložených prostředků </w:t>
      </w:r>
      <w:r w:rsidR="009813A2" w:rsidRPr="00337C91">
        <w:rPr>
          <w:bCs/>
        </w:rPr>
        <w:t>v investičním záměru</w:t>
      </w:r>
      <w:r w:rsidR="00482DFF">
        <w:rPr>
          <w:bCs/>
        </w:rPr>
        <w:t xml:space="preserve"> </w:t>
      </w:r>
      <w:r w:rsidR="00DF6B64">
        <w:rPr>
          <w:bCs/>
        </w:rPr>
        <w:t>dv</w:t>
      </w:r>
      <w:r w:rsidR="00534674">
        <w:rPr>
          <w:bCs/>
        </w:rPr>
        <w:t>ě</w:t>
      </w:r>
      <w:r w:rsidR="009813A2">
        <w:rPr>
          <w:bCs/>
        </w:rPr>
        <w:t xml:space="preserve"> </w:t>
      </w:r>
      <w:r w:rsidR="00482DFF">
        <w:rPr>
          <w:bCs/>
        </w:rPr>
        <w:t>variant</w:t>
      </w:r>
      <w:r w:rsidR="005A0295">
        <w:rPr>
          <w:bCs/>
        </w:rPr>
        <w:t>y</w:t>
      </w:r>
      <w:r w:rsidR="00482DFF">
        <w:rPr>
          <w:bCs/>
        </w:rPr>
        <w:t xml:space="preserve">, </w:t>
      </w:r>
      <w:r w:rsidR="005A0295">
        <w:rPr>
          <w:bCs/>
        </w:rPr>
        <w:t>avšak</w:t>
      </w:r>
      <w:r w:rsidR="00482DFF">
        <w:rPr>
          <w:bCs/>
        </w:rPr>
        <w:t xml:space="preserve"> </w:t>
      </w:r>
      <w:r w:rsidR="005A0295">
        <w:rPr>
          <w:bCs/>
        </w:rPr>
        <w:t>ne</w:t>
      </w:r>
      <w:r w:rsidR="00482DFF">
        <w:rPr>
          <w:bCs/>
        </w:rPr>
        <w:t xml:space="preserve">vyčíslila </w:t>
      </w:r>
      <w:r w:rsidR="009813A2">
        <w:rPr>
          <w:bCs/>
        </w:rPr>
        <w:t>náklady jedné z</w:t>
      </w:r>
      <w:r w:rsidR="00C17EB2">
        <w:rPr>
          <w:bCs/>
        </w:rPr>
        <w:t> </w:t>
      </w:r>
      <w:r w:rsidR="005A0295">
        <w:rPr>
          <w:bCs/>
        </w:rPr>
        <w:t>variant, a to</w:t>
      </w:r>
      <w:r w:rsidR="00C17EB2">
        <w:rPr>
          <w:bCs/>
        </w:rPr>
        <w:t xml:space="preserve"> </w:t>
      </w:r>
      <w:r w:rsidR="009813A2" w:rsidRPr="00337C91">
        <w:rPr>
          <w:bCs/>
        </w:rPr>
        <w:t>částečné přestavby a rekonstrukce</w:t>
      </w:r>
      <w:r w:rsidR="009813A2">
        <w:rPr>
          <w:bCs/>
        </w:rPr>
        <w:t xml:space="preserve"> stávajícího objektu</w:t>
      </w:r>
      <w:r w:rsidR="005A0295">
        <w:rPr>
          <w:bCs/>
        </w:rPr>
        <w:t>.</w:t>
      </w:r>
      <w:r w:rsidR="00482DFF" w:rsidRPr="009813A2">
        <w:rPr>
          <w:bCs/>
        </w:rPr>
        <w:t xml:space="preserve"> </w:t>
      </w:r>
      <w:r w:rsidR="005A0295">
        <w:rPr>
          <w:bCs/>
        </w:rPr>
        <w:t>P</w:t>
      </w:r>
      <w:r w:rsidR="00510B77">
        <w:rPr>
          <w:bCs/>
        </w:rPr>
        <w:t xml:space="preserve">ropočet </w:t>
      </w:r>
      <w:r w:rsidR="009813A2">
        <w:rPr>
          <w:bCs/>
        </w:rPr>
        <w:t>náklad</w:t>
      </w:r>
      <w:r w:rsidR="00072158">
        <w:rPr>
          <w:bCs/>
        </w:rPr>
        <w:t>ů</w:t>
      </w:r>
      <w:r w:rsidR="009813A2" w:rsidRPr="009813A2">
        <w:rPr>
          <w:bCs/>
        </w:rPr>
        <w:t xml:space="preserve"> </w:t>
      </w:r>
      <w:r w:rsidR="009813A2">
        <w:rPr>
          <w:bCs/>
        </w:rPr>
        <w:t>uvedla</w:t>
      </w:r>
      <w:r w:rsidR="00482DFF" w:rsidRPr="009813A2">
        <w:rPr>
          <w:bCs/>
        </w:rPr>
        <w:t xml:space="preserve"> pouze </w:t>
      </w:r>
      <w:r w:rsidR="009813A2">
        <w:rPr>
          <w:bCs/>
        </w:rPr>
        <w:t>u</w:t>
      </w:r>
      <w:r w:rsidR="008C227E">
        <w:rPr>
          <w:bCs/>
        </w:rPr>
        <w:t> </w:t>
      </w:r>
      <w:r w:rsidR="009813A2">
        <w:rPr>
          <w:bCs/>
        </w:rPr>
        <w:t>zvolené varianty novostavby.</w:t>
      </w:r>
    </w:p>
    <w:p w:rsidR="00C9605E" w:rsidRPr="003033DE" w:rsidRDefault="00C9605E" w:rsidP="00A01719">
      <w:pPr>
        <w:spacing w:after="0" w:line="240" w:lineRule="auto"/>
        <w:jc w:val="both"/>
        <w:rPr>
          <w:color w:val="000000"/>
        </w:rPr>
      </w:pPr>
    </w:p>
    <w:p w:rsidR="005C728F" w:rsidRDefault="005C728F" w:rsidP="00EF1883">
      <w:pPr>
        <w:spacing w:after="0" w:line="240" w:lineRule="auto"/>
        <w:jc w:val="both"/>
      </w:pPr>
      <w:r w:rsidRPr="005C728F">
        <w:rPr>
          <w:b/>
        </w:rPr>
        <w:t>FN Brno</w:t>
      </w:r>
      <w:r w:rsidR="00F54DDA">
        <w:rPr>
          <w:b/>
        </w:rPr>
        <w:t xml:space="preserve">, </w:t>
      </w:r>
      <w:r w:rsidR="00F54DDA" w:rsidRPr="00F54DDA">
        <w:t>u níž</w:t>
      </w:r>
      <w:r w:rsidR="00D87FBF">
        <w:t xml:space="preserve"> </w:t>
      </w:r>
      <w:r w:rsidR="00B25870">
        <w:t xml:space="preserve">NKÚ prověřil </w:t>
      </w:r>
      <w:r w:rsidR="005A7BA3">
        <w:t>rekonstruk</w:t>
      </w:r>
      <w:r w:rsidR="003033DE">
        <w:t>c</w:t>
      </w:r>
      <w:r w:rsidR="00B25870">
        <w:t>i</w:t>
      </w:r>
      <w:r w:rsidR="003033DE">
        <w:t xml:space="preserve"> operačních sálů</w:t>
      </w:r>
      <w:r w:rsidR="005A7BA3">
        <w:t xml:space="preserve">, </w:t>
      </w:r>
      <w:r w:rsidR="003033DE">
        <w:t>gynekologicko-</w:t>
      </w:r>
      <w:r w:rsidR="005A0295">
        <w:br/>
        <w:t>-</w:t>
      </w:r>
      <w:r w:rsidR="003033DE">
        <w:t>porodnick</w:t>
      </w:r>
      <w:r w:rsidR="00B25870">
        <w:t>é</w:t>
      </w:r>
      <w:r w:rsidR="003033DE">
        <w:t xml:space="preserve"> klinik</w:t>
      </w:r>
      <w:r w:rsidR="00B25870">
        <w:t>y</w:t>
      </w:r>
      <w:r w:rsidR="003033DE">
        <w:t xml:space="preserve">, </w:t>
      </w:r>
      <w:r w:rsidR="005A7BA3">
        <w:t>přístavb</w:t>
      </w:r>
      <w:r w:rsidR="00B25870">
        <w:t>u</w:t>
      </w:r>
      <w:r w:rsidR="005A7BA3">
        <w:t xml:space="preserve"> str</w:t>
      </w:r>
      <w:r w:rsidR="003033DE">
        <w:t xml:space="preserve">avovacího provozu </w:t>
      </w:r>
      <w:r w:rsidR="005A7BA3">
        <w:t xml:space="preserve">a nákupy zdravotnické </w:t>
      </w:r>
      <w:r w:rsidR="00681CF8">
        <w:t>techniky</w:t>
      </w:r>
      <w:r w:rsidR="005A7BA3">
        <w:t xml:space="preserve"> (</w:t>
      </w:r>
      <w:r w:rsidR="00A2010A">
        <w:t>akce č.</w:t>
      </w:r>
      <w:r w:rsidR="00416D64">
        <w:t> </w:t>
      </w:r>
      <w:r w:rsidR="005A7BA3">
        <w:t xml:space="preserve">505 a </w:t>
      </w:r>
      <w:r w:rsidR="00A00681">
        <w:t xml:space="preserve">č. </w:t>
      </w:r>
      <w:r w:rsidR="005A7BA3">
        <w:t>602)</w:t>
      </w:r>
      <w:r w:rsidR="00F54DDA">
        <w:t>:</w:t>
      </w:r>
    </w:p>
    <w:p w:rsidR="005C728F" w:rsidRPr="00CE7D09" w:rsidRDefault="005C728F" w:rsidP="00EF188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u w:val="single"/>
        </w:rPr>
      </w:pPr>
      <w:r w:rsidRPr="00B25054">
        <w:rPr>
          <w:rFonts w:ascii="Arial" w:hAnsi="Arial" w:cs="Arial"/>
        </w:rPr>
        <w:t xml:space="preserve">u </w:t>
      </w:r>
      <w:r w:rsidR="00B25054" w:rsidRPr="00B25054">
        <w:rPr>
          <w:rFonts w:ascii="Arial" w:hAnsi="Arial" w:cs="Arial"/>
        </w:rPr>
        <w:t>přístavby stravovacího provozu</w:t>
      </w:r>
      <w:r w:rsidR="00B25054">
        <w:t xml:space="preserve"> </w:t>
      </w:r>
      <w:r w:rsidRPr="005C728F">
        <w:rPr>
          <w:rFonts w:ascii="Arial" w:hAnsi="Arial" w:cs="Arial"/>
        </w:rPr>
        <w:t xml:space="preserve">nepostupovala v souladu s ustanovením § 13 </w:t>
      </w:r>
      <w:r w:rsidR="00E376BF">
        <w:rPr>
          <w:rFonts w:ascii="Arial" w:hAnsi="Arial" w:cs="Arial"/>
        </w:rPr>
        <w:t xml:space="preserve">odst. 3 </w:t>
      </w:r>
      <w:r w:rsidRPr="005C728F">
        <w:rPr>
          <w:rFonts w:ascii="Arial" w:hAnsi="Arial" w:cs="Arial"/>
        </w:rPr>
        <w:t>zákona č. 137/2006 Sb., když rozdělila</w:t>
      </w:r>
      <w:r w:rsidR="003F3AEC">
        <w:rPr>
          <w:rFonts w:ascii="Arial" w:hAnsi="Arial" w:cs="Arial"/>
        </w:rPr>
        <w:t xml:space="preserve"> předmět</w:t>
      </w:r>
      <w:r w:rsidRPr="005C728F">
        <w:rPr>
          <w:rFonts w:ascii="Arial" w:hAnsi="Arial" w:cs="Arial"/>
        </w:rPr>
        <w:t xml:space="preserve"> </w:t>
      </w:r>
      <w:r w:rsidR="003F3AEC" w:rsidRPr="005C728F">
        <w:rPr>
          <w:rFonts w:ascii="Arial" w:hAnsi="Arial" w:cs="Arial"/>
        </w:rPr>
        <w:t>veřejn</w:t>
      </w:r>
      <w:r w:rsidR="003F3AEC">
        <w:rPr>
          <w:rFonts w:ascii="Arial" w:hAnsi="Arial" w:cs="Arial"/>
        </w:rPr>
        <w:t>é</w:t>
      </w:r>
      <w:r w:rsidR="003F3AEC" w:rsidRPr="005C728F">
        <w:rPr>
          <w:rFonts w:ascii="Arial" w:hAnsi="Arial" w:cs="Arial"/>
        </w:rPr>
        <w:t xml:space="preserve"> </w:t>
      </w:r>
      <w:r w:rsidRPr="005C728F">
        <w:rPr>
          <w:rFonts w:ascii="Arial" w:hAnsi="Arial" w:cs="Arial"/>
        </w:rPr>
        <w:t>zakázk</w:t>
      </w:r>
      <w:r w:rsidR="003F3AEC">
        <w:rPr>
          <w:rFonts w:ascii="Arial" w:hAnsi="Arial" w:cs="Arial"/>
        </w:rPr>
        <w:t>y</w:t>
      </w:r>
      <w:r w:rsidRPr="005C728F">
        <w:rPr>
          <w:rFonts w:ascii="Arial" w:hAnsi="Arial" w:cs="Arial"/>
        </w:rPr>
        <w:t xml:space="preserve"> na projektov</w:t>
      </w:r>
      <w:r w:rsidR="009B3527">
        <w:rPr>
          <w:rFonts w:ascii="Arial" w:hAnsi="Arial" w:cs="Arial"/>
        </w:rPr>
        <w:t>ou dokumentaci a autorský dozor</w:t>
      </w:r>
      <w:r w:rsidRPr="005C728F">
        <w:rPr>
          <w:rFonts w:ascii="Arial" w:hAnsi="Arial" w:cs="Arial"/>
        </w:rPr>
        <w:t xml:space="preserve">, přestože mezi jednotlivými plněními existovala věcná, </w:t>
      </w:r>
      <w:r w:rsidRPr="005C728F">
        <w:rPr>
          <w:rFonts w:ascii="Arial" w:hAnsi="Arial" w:cs="Arial"/>
        </w:rPr>
        <w:lastRenderedPageBreak/>
        <w:t>časová i místní souvislost</w:t>
      </w:r>
      <w:r w:rsidR="008627C0">
        <w:rPr>
          <w:rFonts w:ascii="Arial" w:hAnsi="Arial" w:cs="Arial"/>
        </w:rPr>
        <w:t>;</w:t>
      </w:r>
      <w:r w:rsidR="00CE7D09" w:rsidRPr="00CE7D09">
        <w:rPr>
          <w:rFonts w:ascii="Arial" w:hAnsi="Arial" w:cs="Arial"/>
        </w:rPr>
        <w:t xml:space="preserve"> </w:t>
      </w:r>
      <w:r w:rsidR="008627C0">
        <w:rPr>
          <w:rFonts w:ascii="Arial" w:hAnsi="Arial" w:cs="Arial"/>
        </w:rPr>
        <w:t>t</w:t>
      </w:r>
      <w:r w:rsidR="00CE7D09" w:rsidRPr="00CE7D09">
        <w:rPr>
          <w:rFonts w:ascii="Arial" w:hAnsi="Arial" w:cs="Arial"/>
        </w:rPr>
        <w:t>ímto postupem došlo ke snížení předpokládané hodnoty veřejné zakázky pod zákonem stanovený finanční limit</w:t>
      </w:r>
      <w:r w:rsidRPr="00CE7D09">
        <w:rPr>
          <w:rFonts w:ascii="Arial" w:hAnsi="Arial" w:cs="Arial"/>
        </w:rPr>
        <w:t>;</w:t>
      </w:r>
    </w:p>
    <w:p w:rsidR="005C728F" w:rsidRPr="005C728F" w:rsidRDefault="005C728F" w:rsidP="00EF188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u w:val="single"/>
        </w:rPr>
      </w:pPr>
      <w:r w:rsidRPr="00B25054">
        <w:rPr>
          <w:rFonts w:ascii="Arial" w:hAnsi="Arial" w:cs="Arial"/>
        </w:rPr>
        <w:t xml:space="preserve">u </w:t>
      </w:r>
      <w:r w:rsidR="00B25054" w:rsidRPr="00B25054">
        <w:rPr>
          <w:rFonts w:ascii="Arial" w:hAnsi="Arial" w:cs="Arial"/>
        </w:rPr>
        <w:t xml:space="preserve">rekonstrukce operačních sálů </w:t>
      </w:r>
      <w:r w:rsidRPr="00B25054">
        <w:rPr>
          <w:rFonts w:ascii="Arial" w:hAnsi="Arial" w:cs="Arial"/>
        </w:rPr>
        <w:t>uhradila</w:t>
      </w:r>
      <w:r w:rsidRPr="005C728F">
        <w:rPr>
          <w:rFonts w:ascii="Arial" w:hAnsi="Arial" w:cs="Arial"/>
        </w:rPr>
        <w:t xml:space="preserve"> za zkrácení doby realizace o dva měsíce částku 15,</w:t>
      </w:r>
      <w:r w:rsidR="00366455">
        <w:rPr>
          <w:rFonts w:ascii="Arial" w:hAnsi="Arial" w:cs="Arial"/>
        </w:rPr>
        <w:t>4</w:t>
      </w:r>
      <w:r w:rsidRPr="005C728F">
        <w:rPr>
          <w:rFonts w:ascii="Arial" w:hAnsi="Arial" w:cs="Arial"/>
        </w:rPr>
        <w:t xml:space="preserve"> mil. Kč, což představuje přibli</w:t>
      </w:r>
      <w:r w:rsidR="00B25054">
        <w:rPr>
          <w:rFonts w:ascii="Arial" w:hAnsi="Arial" w:cs="Arial"/>
        </w:rPr>
        <w:t xml:space="preserve">žně 10 % celkových nákladů akce, </w:t>
      </w:r>
      <w:r w:rsidR="007E62C7">
        <w:rPr>
          <w:rFonts w:ascii="Arial" w:hAnsi="Arial" w:cs="Arial"/>
        </w:rPr>
        <w:t>přičemž dodatek ke smlouvě</w:t>
      </w:r>
      <w:r w:rsidR="008627C0">
        <w:rPr>
          <w:rFonts w:ascii="Arial" w:hAnsi="Arial" w:cs="Arial"/>
        </w:rPr>
        <w:t xml:space="preserve">, v němž byly obsaženy </w:t>
      </w:r>
      <w:r w:rsidR="007E62C7">
        <w:rPr>
          <w:rFonts w:ascii="Arial" w:hAnsi="Arial" w:cs="Arial"/>
        </w:rPr>
        <w:t>tyto změny</w:t>
      </w:r>
      <w:r w:rsidR="008627C0">
        <w:rPr>
          <w:rFonts w:ascii="Arial" w:hAnsi="Arial" w:cs="Arial"/>
        </w:rPr>
        <w:t>,</w:t>
      </w:r>
      <w:r w:rsidR="007E62C7">
        <w:rPr>
          <w:rFonts w:ascii="Arial" w:hAnsi="Arial" w:cs="Arial"/>
        </w:rPr>
        <w:t xml:space="preserve"> byl podepsán jeden den před pře</w:t>
      </w:r>
      <w:r w:rsidR="00122B53">
        <w:rPr>
          <w:rFonts w:ascii="Arial" w:hAnsi="Arial" w:cs="Arial"/>
        </w:rPr>
        <w:t>dáním a</w:t>
      </w:r>
      <w:r w:rsidR="00500965">
        <w:rPr>
          <w:rFonts w:ascii="Arial" w:hAnsi="Arial" w:cs="Arial"/>
        </w:rPr>
        <w:t> </w:t>
      </w:r>
      <w:r w:rsidR="00122B53">
        <w:rPr>
          <w:rFonts w:ascii="Arial" w:hAnsi="Arial" w:cs="Arial"/>
        </w:rPr>
        <w:t xml:space="preserve">převzetím </w:t>
      </w:r>
      <w:r w:rsidR="00F53EDA">
        <w:rPr>
          <w:rFonts w:ascii="Arial" w:hAnsi="Arial" w:cs="Arial"/>
        </w:rPr>
        <w:t>dokončeného</w:t>
      </w:r>
      <w:r w:rsidR="00122B53">
        <w:rPr>
          <w:rFonts w:ascii="Arial" w:hAnsi="Arial" w:cs="Arial"/>
        </w:rPr>
        <w:t xml:space="preserve"> díla;</w:t>
      </w:r>
    </w:p>
    <w:p w:rsidR="005C728F" w:rsidRPr="00B25054" w:rsidRDefault="005C728F" w:rsidP="00EF188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5054">
        <w:rPr>
          <w:rFonts w:ascii="Arial" w:hAnsi="Arial" w:cs="Arial"/>
        </w:rPr>
        <w:t xml:space="preserve">u </w:t>
      </w:r>
      <w:r w:rsidR="00B25054" w:rsidRPr="00B25054">
        <w:rPr>
          <w:rFonts w:ascii="Arial" w:hAnsi="Arial" w:cs="Arial"/>
        </w:rPr>
        <w:t>nákupu zdravotnické techn</w:t>
      </w:r>
      <w:r w:rsidR="00681CF8">
        <w:rPr>
          <w:rFonts w:ascii="Arial" w:hAnsi="Arial" w:cs="Arial"/>
        </w:rPr>
        <w:t>iky</w:t>
      </w:r>
      <w:r w:rsidR="00B25054" w:rsidRPr="00B25054">
        <w:rPr>
          <w:rFonts w:ascii="Arial" w:hAnsi="Arial" w:cs="Arial"/>
        </w:rPr>
        <w:t xml:space="preserve"> (CT) </w:t>
      </w:r>
      <w:r w:rsidRPr="00B25054">
        <w:rPr>
          <w:rFonts w:ascii="Arial" w:hAnsi="Arial" w:cs="Arial"/>
        </w:rPr>
        <w:t>porušila podmínky poskytnutí dotace tím,</w:t>
      </w:r>
      <w:r w:rsidR="009B3527">
        <w:rPr>
          <w:rFonts w:ascii="Arial" w:hAnsi="Arial" w:cs="Arial"/>
        </w:rPr>
        <w:t xml:space="preserve"> </w:t>
      </w:r>
      <w:r w:rsidRPr="00B25054">
        <w:rPr>
          <w:rFonts w:ascii="Arial" w:hAnsi="Arial" w:cs="Arial"/>
        </w:rPr>
        <w:t xml:space="preserve">že </w:t>
      </w:r>
      <w:r w:rsidR="0080427D">
        <w:rPr>
          <w:rFonts w:ascii="Arial" w:hAnsi="Arial" w:cs="Arial"/>
        </w:rPr>
        <w:t xml:space="preserve">uhradila fakturu za dodávku </w:t>
      </w:r>
      <w:r w:rsidR="0080427D" w:rsidRPr="0027066D">
        <w:rPr>
          <w:rFonts w:ascii="Arial" w:hAnsi="Arial" w:cs="Arial"/>
        </w:rPr>
        <w:t>dříve, než došlo</w:t>
      </w:r>
      <w:r w:rsidR="0080427D" w:rsidRPr="005A0295">
        <w:rPr>
          <w:rFonts w:ascii="Arial" w:hAnsi="Arial" w:cs="Arial"/>
        </w:rPr>
        <w:t xml:space="preserve"> </w:t>
      </w:r>
      <w:r w:rsidR="0080427D">
        <w:rPr>
          <w:rFonts w:ascii="Arial" w:hAnsi="Arial" w:cs="Arial"/>
        </w:rPr>
        <w:t>k dodání předmětu smlouvy,</w:t>
      </w:r>
      <w:r w:rsidR="0080427D" w:rsidRPr="00B25054">
        <w:rPr>
          <w:rFonts w:ascii="Arial" w:hAnsi="Arial" w:cs="Arial"/>
        </w:rPr>
        <w:t xml:space="preserve"> </w:t>
      </w:r>
      <w:r w:rsidRPr="00B25054">
        <w:rPr>
          <w:rFonts w:ascii="Arial" w:hAnsi="Arial" w:cs="Arial"/>
        </w:rPr>
        <w:t xml:space="preserve">a dále nepostupovala v souladu </w:t>
      </w:r>
      <w:r w:rsidR="00E376BF" w:rsidRPr="00B25054">
        <w:rPr>
          <w:rFonts w:ascii="Arial" w:hAnsi="Arial" w:cs="Arial"/>
        </w:rPr>
        <w:t>s</w:t>
      </w:r>
      <w:r w:rsidR="00722403" w:rsidRPr="00B25054">
        <w:rPr>
          <w:rFonts w:ascii="Arial" w:hAnsi="Arial" w:cs="Arial"/>
        </w:rPr>
        <w:t> </w:t>
      </w:r>
      <w:r w:rsidR="00E376BF" w:rsidRPr="00B25054">
        <w:rPr>
          <w:rFonts w:ascii="Arial" w:hAnsi="Arial" w:cs="Arial"/>
        </w:rPr>
        <w:t>ustanovením</w:t>
      </w:r>
      <w:r w:rsidR="00722403" w:rsidRPr="00B25054">
        <w:rPr>
          <w:rFonts w:ascii="Arial" w:hAnsi="Arial" w:cs="Arial"/>
        </w:rPr>
        <w:t xml:space="preserve">i </w:t>
      </w:r>
      <w:r w:rsidRPr="00B25054">
        <w:rPr>
          <w:rFonts w:ascii="Arial" w:hAnsi="Arial" w:cs="Arial"/>
        </w:rPr>
        <w:t>zákon</w:t>
      </w:r>
      <w:r w:rsidR="00E376BF" w:rsidRPr="00B25054">
        <w:rPr>
          <w:rFonts w:ascii="Arial" w:hAnsi="Arial" w:cs="Arial"/>
        </w:rPr>
        <w:t>a</w:t>
      </w:r>
      <w:r w:rsidRPr="00B25054">
        <w:rPr>
          <w:rFonts w:ascii="Arial" w:hAnsi="Arial" w:cs="Arial"/>
        </w:rPr>
        <w:t xml:space="preserve"> č. </w:t>
      </w:r>
      <w:r w:rsidRPr="00B25054">
        <w:rPr>
          <w:rFonts w:ascii="Arial" w:hAnsi="Arial" w:cs="Arial"/>
          <w:lang w:eastAsia="cs-CZ"/>
        </w:rPr>
        <w:t>563/1991 Sb.</w:t>
      </w:r>
      <w:r w:rsidR="00864808" w:rsidRPr="00B25054">
        <w:rPr>
          <w:rStyle w:val="Znakapoznpodarou"/>
          <w:rFonts w:ascii="Arial" w:hAnsi="Arial" w:cs="Arial"/>
          <w:lang w:eastAsia="cs-CZ"/>
        </w:rPr>
        <w:footnoteReference w:id="19"/>
      </w:r>
      <w:r w:rsidRPr="00B25054">
        <w:rPr>
          <w:rFonts w:ascii="Arial" w:hAnsi="Arial" w:cs="Arial"/>
          <w:lang w:eastAsia="cs-CZ"/>
        </w:rPr>
        <w:t xml:space="preserve"> a vyhlášk</w:t>
      </w:r>
      <w:r w:rsidR="00E376BF" w:rsidRPr="00B25054">
        <w:rPr>
          <w:rFonts w:ascii="Arial" w:hAnsi="Arial" w:cs="Arial"/>
          <w:lang w:eastAsia="cs-CZ"/>
        </w:rPr>
        <w:t>y</w:t>
      </w:r>
      <w:r w:rsidR="00416D64">
        <w:rPr>
          <w:rFonts w:ascii="Arial" w:hAnsi="Arial" w:cs="Arial"/>
          <w:lang w:eastAsia="cs-CZ"/>
        </w:rPr>
        <w:t xml:space="preserve"> č. </w:t>
      </w:r>
      <w:r w:rsidRPr="00B25054">
        <w:rPr>
          <w:rFonts w:ascii="Arial" w:hAnsi="Arial" w:cs="Arial"/>
          <w:lang w:eastAsia="cs-CZ"/>
        </w:rPr>
        <w:t>410/2009 Sb.</w:t>
      </w:r>
      <w:r w:rsidR="002A5ECB" w:rsidRPr="00B25054">
        <w:rPr>
          <w:rStyle w:val="Znakapoznpodarou"/>
          <w:rFonts w:ascii="Arial" w:hAnsi="Arial" w:cs="Arial"/>
          <w:lang w:eastAsia="cs-CZ"/>
        </w:rPr>
        <w:footnoteReference w:id="20"/>
      </w:r>
      <w:r w:rsidR="005A0295">
        <w:rPr>
          <w:rFonts w:ascii="Arial" w:hAnsi="Arial" w:cs="Arial"/>
          <w:lang w:eastAsia="cs-CZ"/>
        </w:rPr>
        <w:t>, když</w:t>
      </w:r>
      <w:r w:rsidRPr="00B25054">
        <w:rPr>
          <w:rFonts w:ascii="Arial" w:hAnsi="Arial" w:cs="Arial"/>
          <w:lang w:eastAsia="cs-CZ"/>
        </w:rPr>
        <w:t xml:space="preserve"> účtovala o zařazení majetku dříve, než byl způsobilý k užívání.</w:t>
      </w:r>
    </w:p>
    <w:p w:rsidR="00D500EF" w:rsidRDefault="00D500EF" w:rsidP="00EF1883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lang w:eastAsia="cs-CZ"/>
        </w:rPr>
      </w:pPr>
    </w:p>
    <w:p w:rsidR="00D500EF" w:rsidRPr="00D6092F" w:rsidRDefault="00D500EF" w:rsidP="00EF1883">
      <w:pPr>
        <w:spacing w:after="0" w:line="240" w:lineRule="auto"/>
        <w:jc w:val="both"/>
      </w:pPr>
      <w:r w:rsidRPr="006767A5">
        <w:rPr>
          <w:b/>
        </w:rPr>
        <w:t>FN Ostrava</w:t>
      </w:r>
      <w:r w:rsidR="00F54DDA">
        <w:rPr>
          <w:b/>
        </w:rPr>
        <w:t xml:space="preserve">, </w:t>
      </w:r>
      <w:r w:rsidR="00F54DDA" w:rsidRPr="00F54DDA">
        <w:t>u níž</w:t>
      </w:r>
      <w:r w:rsidR="00F1413E">
        <w:t xml:space="preserve"> </w:t>
      </w:r>
      <w:r w:rsidR="00443106">
        <w:t xml:space="preserve">NKÚ prověřil </w:t>
      </w:r>
      <w:r w:rsidR="006767A5" w:rsidRPr="006767A5">
        <w:t>rekonstrukc</w:t>
      </w:r>
      <w:r w:rsidR="00443106">
        <w:t>i</w:t>
      </w:r>
      <w:r w:rsidR="006767A5" w:rsidRPr="006767A5">
        <w:t xml:space="preserve"> traumatologie, urgentního příjmu, vybudování jednotky intenzivní péče a anesteziologicko-resuscitační kliniky</w:t>
      </w:r>
      <w:r w:rsidR="00902089">
        <w:t xml:space="preserve">, </w:t>
      </w:r>
      <w:r w:rsidR="006767A5" w:rsidRPr="006767A5">
        <w:t>rekonstrukc</w:t>
      </w:r>
      <w:r w:rsidR="00443106">
        <w:t>i</w:t>
      </w:r>
      <w:r w:rsidR="006767A5" w:rsidRPr="006767A5">
        <w:t xml:space="preserve"> oddělení centrální sterilizace </w:t>
      </w:r>
      <w:r w:rsidR="005A7BA3" w:rsidRPr="006767A5">
        <w:t xml:space="preserve">a nákupy zdravotnické </w:t>
      </w:r>
      <w:r w:rsidR="00681CF8" w:rsidRPr="006767A5">
        <w:t>techniky</w:t>
      </w:r>
      <w:r w:rsidR="005A7BA3" w:rsidRPr="006767A5">
        <w:t xml:space="preserve"> (akce č.</w:t>
      </w:r>
      <w:r w:rsidR="00443106">
        <w:t> </w:t>
      </w:r>
      <w:r w:rsidR="007D1CD8" w:rsidRPr="006767A5">
        <w:t>201</w:t>
      </w:r>
      <w:r w:rsidR="005A7BA3" w:rsidRPr="006767A5">
        <w:t xml:space="preserve"> a </w:t>
      </w:r>
      <w:r w:rsidR="00A00681" w:rsidRPr="006767A5">
        <w:t xml:space="preserve">č. </w:t>
      </w:r>
      <w:r w:rsidR="007D1CD8" w:rsidRPr="006767A5">
        <w:t>402</w:t>
      </w:r>
      <w:r w:rsidR="005A7BA3" w:rsidRPr="006767A5">
        <w:t>)</w:t>
      </w:r>
      <w:r w:rsidR="00F54DDA">
        <w:t>:</w:t>
      </w:r>
    </w:p>
    <w:p w:rsidR="00F36ECC" w:rsidRPr="007E62C7" w:rsidRDefault="00D500EF" w:rsidP="00EF1883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7E62C7">
        <w:rPr>
          <w:rFonts w:ascii="Arial" w:hAnsi="Arial" w:cs="Arial"/>
        </w:rPr>
        <w:t xml:space="preserve">u </w:t>
      </w:r>
      <w:r w:rsidR="007E62C7" w:rsidRPr="007E62C7">
        <w:rPr>
          <w:rFonts w:ascii="Arial" w:hAnsi="Arial" w:cs="Arial"/>
        </w:rPr>
        <w:t xml:space="preserve">nákupu zdravotnické </w:t>
      </w:r>
      <w:r w:rsidR="00681CF8">
        <w:rPr>
          <w:rFonts w:ascii="Arial" w:hAnsi="Arial" w:cs="Arial"/>
        </w:rPr>
        <w:t>techniky</w:t>
      </w:r>
      <w:r w:rsidR="007E62C7" w:rsidRPr="007E62C7">
        <w:rPr>
          <w:rFonts w:ascii="Arial" w:hAnsi="Arial" w:cs="Arial"/>
        </w:rPr>
        <w:t xml:space="preserve"> (MR) </w:t>
      </w:r>
      <w:r w:rsidRPr="007E62C7">
        <w:rPr>
          <w:rFonts w:ascii="Arial" w:hAnsi="Arial" w:cs="Arial"/>
        </w:rPr>
        <w:t>nedodržela zásadu rovného z</w:t>
      </w:r>
      <w:r w:rsidR="00681CF8">
        <w:rPr>
          <w:rFonts w:ascii="Arial" w:hAnsi="Arial" w:cs="Arial"/>
        </w:rPr>
        <w:t xml:space="preserve">acházení ve smyslu ustanovení </w:t>
      </w:r>
      <w:r w:rsidRPr="007E62C7">
        <w:rPr>
          <w:rFonts w:ascii="Arial" w:hAnsi="Arial" w:cs="Arial"/>
        </w:rPr>
        <w:t xml:space="preserve">§ 6 zákona č. 137/2006 Sb., když ze dvou obdržených nabídek, </w:t>
      </w:r>
      <w:r w:rsidR="005A0295">
        <w:rPr>
          <w:rFonts w:ascii="Arial" w:hAnsi="Arial" w:cs="Arial"/>
        </w:rPr>
        <w:t>z nichž ani jedna neodpovídala</w:t>
      </w:r>
      <w:r w:rsidRPr="007E62C7">
        <w:rPr>
          <w:rFonts w:ascii="Arial" w:hAnsi="Arial" w:cs="Arial"/>
        </w:rPr>
        <w:t xml:space="preserve"> požadavkům zadavatele, vyřadila pouze jednu nabídku</w:t>
      </w:r>
      <w:r w:rsidR="00F36ECC" w:rsidRPr="007E62C7">
        <w:rPr>
          <w:rFonts w:ascii="Arial" w:hAnsi="Arial" w:cs="Arial"/>
        </w:rPr>
        <w:t>;</w:t>
      </w:r>
    </w:p>
    <w:p w:rsidR="00D500EF" w:rsidRPr="00D6092F" w:rsidRDefault="00D500EF" w:rsidP="00EF1883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6ECC">
        <w:rPr>
          <w:rFonts w:ascii="Arial" w:hAnsi="Arial" w:cs="Arial"/>
        </w:rPr>
        <w:t xml:space="preserve">u </w:t>
      </w:r>
      <w:r w:rsidR="007E62C7" w:rsidRPr="007E62C7">
        <w:rPr>
          <w:rFonts w:ascii="Arial" w:hAnsi="Arial" w:cs="Arial"/>
        </w:rPr>
        <w:t xml:space="preserve">nákupu zdravotnické </w:t>
      </w:r>
      <w:r w:rsidR="00681CF8">
        <w:rPr>
          <w:rFonts w:ascii="Arial" w:hAnsi="Arial" w:cs="Arial"/>
        </w:rPr>
        <w:t xml:space="preserve">techniky </w:t>
      </w:r>
      <w:r w:rsidR="007E62C7" w:rsidRPr="007E62C7">
        <w:rPr>
          <w:rFonts w:ascii="Arial" w:hAnsi="Arial" w:cs="Arial"/>
        </w:rPr>
        <w:t>(</w:t>
      </w:r>
      <w:r w:rsidR="007E62C7">
        <w:rPr>
          <w:rFonts w:ascii="Arial" w:hAnsi="Arial" w:cs="Arial"/>
        </w:rPr>
        <w:t>CT</w:t>
      </w:r>
      <w:r w:rsidR="007E62C7" w:rsidRPr="007E62C7">
        <w:rPr>
          <w:rFonts w:ascii="Arial" w:hAnsi="Arial" w:cs="Arial"/>
        </w:rPr>
        <w:t>)</w:t>
      </w:r>
      <w:r w:rsidR="005A0295">
        <w:rPr>
          <w:rFonts w:ascii="Arial" w:hAnsi="Arial" w:cs="Arial"/>
        </w:rPr>
        <w:t>:</w:t>
      </w:r>
    </w:p>
    <w:p w:rsidR="00D500EF" w:rsidRDefault="00FB7379" w:rsidP="00EF1883">
      <w:pPr>
        <w:pStyle w:val="Odstavecseseznamem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porušila </w:t>
      </w:r>
      <w:r w:rsidR="00D500EF" w:rsidRPr="0027066D">
        <w:rPr>
          <w:rFonts w:ascii="Arial" w:hAnsi="Arial" w:cs="Arial"/>
        </w:rPr>
        <w:t>podmínky poskyt</w:t>
      </w:r>
      <w:r w:rsidR="00F36ECC">
        <w:rPr>
          <w:rFonts w:ascii="Arial" w:hAnsi="Arial" w:cs="Arial"/>
        </w:rPr>
        <w:t>nutí</w:t>
      </w:r>
      <w:r w:rsidR="00D500EF" w:rsidRPr="0027066D">
        <w:rPr>
          <w:rFonts w:ascii="Arial" w:hAnsi="Arial" w:cs="Arial"/>
        </w:rPr>
        <w:t xml:space="preserve"> dotace tím, že uhradila fakturu za dodávku </w:t>
      </w:r>
      <w:r w:rsidR="00D500EF" w:rsidRPr="00BD58F5">
        <w:rPr>
          <w:rFonts w:ascii="Arial" w:hAnsi="Arial" w:cs="Arial"/>
        </w:rPr>
        <w:t xml:space="preserve">CT </w:t>
      </w:r>
      <w:r w:rsidR="00D500EF" w:rsidRPr="0027066D">
        <w:rPr>
          <w:rFonts w:ascii="Arial" w:hAnsi="Arial" w:cs="Arial"/>
        </w:rPr>
        <w:t>dříve, než došlo</w:t>
      </w:r>
      <w:r w:rsidR="00D500EF" w:rsidRPr="005A0295">
        <w:rPr>
          <w:rFonts w:ascii="Arial" w:hAnsi="Arial" w:cs="Arial"/>
        </w:rPr>
        <w:t xml:space="preserve"> </w:t>
      </w:r>
      <w:r w:rsidR="00511E3F">
        <w:rPr>
          <w:rFonts w:ascii="Arial" w:hAnsi="Arial" w:cs="Arial"/>
        </w:rPr>
        <w:t>k dodání předmětu smlouvy;</w:t>
      </w:r>
    </w:p>
    <w:p w:rsidR="00F36ECC" w:rsidRPr="00E43344" w:rsidRDefault="00D500EF" w:rsidP="00EF1883">
      <w:pPr>
        <w:pStyle w:val="Odstavecseseznamem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E43344">
        <w:rPr>
          <w:rFonts w:ascii="Arial" w:hAnsi="Arial" w:cs="Arial"/>
        </w:rPr>
        <w:t>nepostupovala v souladu s</w:t>
      </w:r>
      <w:r w:rsidR="00972CBF" w:rsidRPr="00E43344">
        <w:rPr>
          <w:rFonts w:ascii="Arial" w:hAnsi="Arial" w:cs="Arial"/>
        </w:rPr>
        <w:t xml:space="preserve"> ustanoveními </w:t>
      </w:r>
      <w:r w:rsidRPr="00E43344">
        <w:rPr>
          <w:rFonts w:ascii="Arial" w:hAnsi="Arial" w:cs="Arial"/>
        </w:rPr>
        <w:t xml:space="preserve">zákona č. </w:t>
      </w:r>
      <w:r w:rsidRPr="00E43344">
        <w:rPr>
          <w:rFonts w:ascii="Arial" w:hAnsi="Arial" w:cs="Arial"/>
          <w:lang w:eastAsia="cs-CZ"/>
        </w:rPr>
        <w:t>563/1991 Sb.</w:t>
      </w:r>
      <w:r w:rsidR="005A0295">
        <w:rPr>
          <w:rFonts w:ascii="Arial" w:hAnsi="Arial" w:cs="Arial"/>
          <w:lang w:eastAsia="cs-CZ"/>
        </w:rPr>
        <w:t>, neboť</w:t>
      </w:r>
      <w:r w:rsidRPr="00E43344">
        <w:rPr>
          <w:rFonts w:ascii="Arial" w:hAnsi="Arial" w:cs="Arial"/>
          <w:lang w:eastAsia="cs-CZ"/>
        </w:rPr>
        <w:t xml:space="preserve"> </w:t>
      </w:r>
      <w:r w:rsidRPr="00E43344">
        <w:rPr>
          <w:rFonts w:ascii="Arial" w:hAnsi="Arial" w:cs="Arial"/>
        </w:rPr>
        <w:t>ze svého majetku nevyřadila zdravotnickou techniku v </w:t>
      </w:r>
      <w:r w:rsidR="005A0295">
        <w:rPr>
          <w:rFonts w:ascii="Arial" w:hAnsi="Arial" w:cs="Arial"/>
        </w:rPr>
        <w:t>ceně</w:t>
      </w:r>
      <w:r w:rsidRPr="00E43344">
        <w:rPr>
          <w:rFonts w:ascii="Arial" w:hAnsi="Arial" w:cs="Arial"/>
        </w:rPr>
        <w:t xml:space="preserve"> 107,6 </w:t>
      </w:r>
      <w:r w:rsidR="00416D64" w:rsidRPr="00E43344">
        <w:rPr>
          <w:rFonts w:ascii="Arial" w:hAnsi="Arial" w:cs="Arial"/>
        </w:rPr>
        <w:t>mil. Kč a </w:t>
      </w:r>
      <w:r w:rsidRPr="00E43344">
        <w:rPr>
          <w:rFonts w:ascii="Arial" w:hAnsi="Arial" w:cs="Arial"/>
        </w:rPr>
        <w:t>vyřazení tohoto majetku nezúčtovala</w:t>
      </w:r>
      <w:r w:rsidR="005A0295">
        <w:rPr>
          <w:rFonts w:ascii="Arial" w:hAnsi="Arial" w:cs="Arial"/>
        </w:rPr>
        <w:t>,</w:t>
      </w:r>
      <w:r w:rsidR="00F36ECC" w:rsidRPr="00E43344">
        <w:rPr>
          <w:rFonts w:ascii="Arial" w:hAnsi="Arial" w:cs="Arial"/>
        </w:rPr>
        <w:t xml:space="preserve"> a dále </w:t>
      </w:r>
      <w:r w:rsidR="00DF2EC9" w:rsidRPr="00E43344">
        <w:rPr>
          <w:rFonts w:ascii="Arial" w:hAnsi="Arial" w:cs="Arial"/>
        </w:rPr>
        <w:t xml:space="preserve">tím, že </w:t>
      </w:r>
      <w:r w:rsidRPr="00E43344">
        <w:rPr>
          <w:rFonts w:ascii="Arial" w:hAnsi="Arial" w:cs="Arial"/>
        </w:rPr>
        <w:t>formálně proveden</w:t>
      </w:r>
      <w:r w:rsidR="00443106">
        <w:rPr>
          <w:rFonts w:ascii="Arial" w:hAnsi="Arial" w:cs="Arial"/>
        </w:rPr>
        <w:t>ými</w:t>
      </w:r>
      <w:r w:rsidRPr="00E43344">
        <w:rPr>
          <w:rFonts w:ascii="Arial" w:hAnsi="Arial" w:cs="Arial"/>
        </w:rPr>
        <w:t xml:space="preserve"> fyzick</w:t>
      </w:r>
      <w:r w:rsidR="00443106">
        <w:rPr>
          <w:rFonts w:ascii="Arial" w:hAnsi="Arial" w:cs="Arial"/>
        </w:rPr>
        <w:t>ými</w:t>
      </w:r>
      <w:r w:rsidRPr="00E43344">
        <w:rPr>
          <w:rFonts w:ascii="Arial" w:hAnsi="Arial" w:cs="Arial"/>
        </w:rPr>
        <w:t xml:space="preserve"> inventur</w:t>
      </w:r>
      <w:r w:rsidR="00443106">
        <w:rPr>
          <w:rFonts w:ascii="Arial" w:hAnsi="Arial" w:cs="Arial"/>
        </w:rPr>
        <w:t>ami</w:t>
      </w:r>
      <w:r w:rsidRPr="00E43344">
        <w:rPr>
          <w:rFonts w:ascii="Arial" w:hAnsi="Arial" w:cs="Arial"/>
        </w:rPr>
        <w:t xml:space="preserve"> v letech 2008 </w:t>
      </w:r>
      <w:r w:rsidR="00F36ECC" w:rsidRPr="00E43344">
        <w:rPr>
          <w:rFonts w:ascii="Arial" w:hAnsi="Arial" w:cs="Arial"/>
        </w:rPr>
        <w:t>až</w:t>
      </w:r>
      <w:r w:rsidRPr="00E43344">
        <w:rPr>
          <w:rFonts w:ascii="Arial" w:hAnsi="Arial" w:cs="Arial"/>
        </w:rPr>
        <w:t xml:space="preserve"> 2011 nezjistila inventarizační rozdíly</w:t>
      </w:r>
      <w:r w:rsidR="00681CF8" w:rsidRPr="00E43344">
        <w:rPr>
          <w:rFonts w:ascii="Arial" w:hAnsi="Arial" w:cs="Arial"/>
        </w:rPr>
        <w:t>;</w:t>
      </w:r>
    </w:p>
    <w:p w:rsidR="00D500EF" w:rsidRPr="00D6092F" w:rsidRDefault="00443106" w:rsidP="00EF1883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při</w:t>
      </w:r>
      <w:r w:rsidR="00D500EF" w:rsidRPr="00902089">
        <w:rPr>
          <w:rFonts w:ascii="Arial" w:hAnsi="Arial" w:cs="Arial"/>
        </w:rPr>
        <w:t xml:space="preserve"> </w:t>
      </w:r>
      <w:r w:rsidR="00902089" w:rsidRPr="00902089">
        <w:rPr>
          <w:rFonts w:ascii="Arial" w:hAnsi="Arial" w:cs="Arial"/>
        </w:rPr>
        <w:t>rekonstrukc</w:t>
      </w:r>
      <w:r>
        <w:rPr>
          <w:rFonts w:ascii="Arial" w:hAnsi="Arial" w:cs="Arial"/>
        </w:rPr>
        <w:t>i</w:t>
      </w:r>
      <w:r w:rsidR="00902089" w:rsidRPr="00902089">
        <w:rPr>
          <w:rFonts w:ascii="Arial" w:hAnsi="Arial" w:cs="Arial"/>
        </w:rPr>
        <w:t xml:space="preserve"> traumatologie, urgentního příjmu, vybudování jednotky intenzivní péče a</w:t>
      </w:r>
      <w:r w:rsidR="00B678CA">
        <w:rPr>
          <w:rFonts w:ascii="Arial" w:hAnsi="Arial" w:cs="Arial"/>
        </w:rPr>
        <w:t> </w:t>
      </w:r>
      <w:r w:rsidR="00902089" w:rsidRPr="00902089">
        <w:rPr>
          <w:rFonts w:ascii="Arial" w:hAnsi="Arial" w:cs="Arial"/>
        </w:rPr>
        <w:t>anesteziologicko-resuscitační kliniky a</w:t>
      </w:r>
      <w:r>
        <w:rPr>
          <w:rFonts w:ascii="Arial" w:hAnsi="Arial" w:cs="Arial"/>
        </w:rPr>
        <w:t> při</w:t>
      </w:r>
      <w:r w:rsidR="00902089" w:rsidRPr="00902089">
        <w:rPr>
          <w:rFonts w:ascii="Arial" w:hAnsi="Arial" w:cs="Arial"/>
        </w:rPr>
        <w:t xml:space="preserve"> rekonstrukc</w:t>
      </w:r>
      <w:r>
        <w:rPr>
          <w:rFonts w:ascii="Arial" w:hAnsi="Arial" w:cs="Arial"/>
        </w:rPr>
        <w:t>i</w:t>
      </w:r>
      <w:r w:rsidR="00902089" w:rsidRPr="00902089">
        <w:rPr>
          <w:rFonts w:ascii="Arial" w:hAnsi="Arial" w:cs="Arial"/>
        </w:rPr>
        <w:t xml:space="preserve"> oddělení centrální sterilizace</w:t>
      </w:r>
      <w:r w:rsidR="005A0295">
        <w:rPr>
          <w:rFonts w:ascii="Arial" w:hAnsi="Arial" w:cs="Arial"/>
        </w:rPr>
        <w:t>:</w:t>
      </w:r>
    </w:p>
    <w:p w:rsidR="00FF3DF8" w:rsidRDefault="001B62BE" w:rsidP="00EF1883">
      <w:pPr>
        <w:pStyle w:val="Odstavecseseznamem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nepostupovala </w:t>
      </w:r>
      <w:r w:rsidR="00526FCF" w:rsidRPr="00972CBF">
        <w:rPr>
          <w:rFonts w:ascii="Arial" w:hAnsi="Arial" w:cs="Arial"/>
        </w:rPr>
        <w:t xml:space="preserve">v rámci </w:t>
      </w:r>
      <w:r w:rsidR="000E550D">
        <w:rPr>
          <w:rFonts w:ascii="Arial" w:hAnsi="Arial" w:cs="Arial"/>
        </w:rPr>
        <w:t>zadá</w:t>
      </w:r>
      <w:r w:rsidR="00443106">
        <w:rPr>
          <w:rFonts w:ascii="Arial" w:hAnsi="Arial" w:cs="Arial"/>
        </w:rPr>
        <w:t>vá</w:t>
      </w:r>
      <w:r w:rsidR="000E550D">
        <w:rPr>
          <w:rFonts w:ascii="Arial" w:hAnsi="Arial" w:cs="Arial"/>
        </w:rPr>
        <w:t xml:space="preserve">ní </w:t>
      </w:r>
      <w:r w:rsidR="00972CBF" w:rsidRPr="00972CBF">
        <w:rPr>
          <w:rFonts w:ascii="Arial" w:hAnsi="Arial" w:cs="Arial"/>
        </w:rPr>
        <w:t>stavebních prací</w:t>
      </w:r>
      <w:r w:rsidR="009B3527">
        <w:rPr>
          <w:rFonts w:ascii="Arial" w:hAnsi="Arial" w:cs="Arial"/>
        </w:rPr>
        <w:t xml:space="preserve">, </w:t>
      </w:r>
      <w:r w:rsidR="00526FCF" w:rsidRPr="00972CBF">
        <w:rPr>
          <w:rFonts w:ascii="Arial" w:hAnsi="Arial" w:cs="Arial"/>
        </w:rPr>
        <w:t>souvisejících nákupů zdravotnické techniky</w:t>
      </w:r>
      <w:r w:rsidR="00C17EB2">
        <w:rPr>
          <w:rFonts w:ascii="Arial" w:hAnsi="Arial" w:cs="Arial"/>
        </w:rPr>
        <w:t xml:space="preserve"> a vybavení interiéru</w:t>
      </w:r>
      <w:r w:rsidR="00526FCF" w:rsidRPr="00972CBF">
        <w:rPr>
          <w:rFonts w:ascii="Arial" w:hAnsi="Arial" w:cs="Arial"/>
        </w:rPr>
        <w:t xml:space="preserve"> v souladu s ustanoveními zákona</w:t>
      </w:r>
      <w:r w:rsidR="009B3527">
        <w:rPr>
          <w:rFonts w:ascii="Arial" w:hAnsi="Arial" w:cs="Arial"/>
        </w:rPr>
        <w:t xml:space="preserve"> č.</w:t>
      </w:r>
      <w:r w:rsidR="0023297E">
        <w:rPr>
          <w:rFonts w:ascii="Arial" w:hAnsi="Arial" w:cs="Arial"/>
        </w:rPr>
        <w:t> </w:t>
      </w:r>
      <w:r w:rsidR="00526FCF" w:rsidRPr="00972CBF">
        <w:rPr>
          <w:rFonts w:ascii="Arial" w:hAnsi="Arial" w:cs="Arial"/>
        </w:rPr>
        <w:t>137/2006 Sb.</w:t>
      </w:r>
      <w:r>
        <w:rPr>
          <w:rFonts w:ascii="Arial" w:hAnsi="Arial" w:cs="Arial"/>
        </w:rPr>
        <w:t xml:space="preserve"> </w:t>
      </w:r>
      <w:r w:rsidR="00FF3DF8">
        <w:rPr>
          <w:rFonts w:ascii="Arial" w:hAnsi="Arial" w:cs="Arial"/>
        </w:rPr>
        <w:t xml:space="preserve">např. tím, </w:t>
      </w:r>
      <w:r w:rsidR="00FF3DF8" w:rsidRPr="0027066D">
        <w:rPr>
          <w:rFonts w:ascii="Arial" w:hAnsi="Arial" w:cs="Arial"/>
        </w:rPr>
        <w:t xml:space="preserve">že zadala </w:t>
      </w:r>
      <w:r w:rsidR="00FF3DF8">
        <w:rPr>
          <w:rFonts w:ascii="Arial" w:hAnsi="Arial" w:cs="Arial"/>
        </w:rPr>
        <w:t>VZ</w:t>
      </w:r>
      <w:r w:rsidR="00FF3DF8" w:rsidRPr="0027066D">
        <w:rPr>
          <w:rFonts w:ascii="Arial" w:hAnsi="Arial" w:cs="Arial"/>
        </w:rPr>
        <w:t xml:space="preserve"> na vícepráce formou </w:t>
      </w:r>
      <w:r w:rsidR="00FF3DF8">
        <w:rPr>
          <w:rFonts w:ascii="Arial" w:hAnsi="Arial" w:cs="Arial"/>
        </w:rPr>
        <w:t>JŘBU</w:t>
      </w:r>
      <w:r w:rsidR="00FF3DF8" w:rsidRPr="0027066D">
        <w:rPr>
          <w:rFonts w:ascii="Arial" w:hAnsi="Arial" w:cs="Arial"/>
        </w:rPr>
        <w:t xml:space="preserve">, ačkoliv nebyly </w:t>
      </w:r>
      <w:r w:rsidR="00FF3DF8">
        <w:rPr>
          <w:rFonts w:ascii="Arial" w:hAnsi="Arial" w:cs="Arial"/>
        </w:rPr>
        <w:t xml:space="preserve">naplněny zákonné </w:t>
      </w:r>
      <w:r w:rsidR="007E62C7">
        <w:rPr>
          <w:rFonts w:ascii="Arial" w:hAnsi="Arial" w:cs="Arial"/>
        </w:rPr>
        <w:t>podmínky</w:t>
      </w:r>
      <w:r w:rsidR="005A0295">
        <w:rPr>
          <w:rFonts w:ascii="Arial" w:hAnsi="Arial" w:cs="Arial"/>
        </w:rPr>
        <w:t>;</w:t>
      </w:r>
      <w:r w:rsidR="007E62C7">
        <w:rPr>
          <w:rFonts w:ascii="Arial" w:hAnsi="Arial" w:cs="Arial"/>
        </w:rPr>
        <w:t xml:space="preserve"> </w:t>
      </w:r>
      <w:r w:rsidR="00FF3DF8">
        <w:rPr>
          <w:rFonts w:ascii="Arial" w:hAnsi="Arial" w:cs="Arial"/>
        </w:rPr>
        <w:t>další nedostatky byly zjištěny především v oblasti posuzování kvalifikace a</w:t>
      </w:r>
      <w:r w:rsidR="00B678CA">
        <w:rPr>
          <w:rFonts w:ascii="Arial" w:hAnsi="Arial" w:cs="Arial"/>
        </w:rPr>
        <w:t> </w:t>
      </w:r>
      <w:r w:rsidR="00FF3DF8">
        <w:rPr>
          <w:rFonts w:ascii="Arial" w:hAnsi="Arial" w:cs="Arial"/>
        </w:rPr>
        <w:t>nabídek, činnost</w:t>
      </w:r>
      <w:r w:rsidR="00590D94">
        <w:rPr>
          <w:rFonts w:ascii="Arial" w:hAnsi="Arial" w:cs="Arial"/>
        </w:rPr>
        <w:t>i</w:t>
      </w:r>
      <w:r w:rsidR="00FF3DF8">
        <w:rPr>
          <w:rFonts w:ascii="Arial" w:hAnsi="Arial" w:cs="Arial"/>
        </w:rPr>
        <w:t xml:space="preserve"> hodnot</w:t>
      </w:r>
      <w:r w:rsidR="005A0295">
        <w:rPr>
          <w:rFonts w:ascii="Arial" w:hAnsi="Arial" w:cs="Arial"/>
        </w:rPr>
        <w:t>i</w:t>
      </w:r>
      <w:r w:rsidR="00FF3DF8">
        <w:rPr>
          <w:rFonts w:ascii="Arial" w:hAnsi="Arial" w:cs="Arial"/>
        </w:rPr>
        <w:t>cí komise a oznámení o uzavření smlouvy;</w:t>
      </w:r>
    </w:p>
    <w:p w:rsidR="006F18A0" w:rsidRDefault="006F18A0" w:rsidP="00EF1883">
      <w:pPr>
        <w:pStyle w:val="Odstavecseseznamem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E43344">
        <w:rPr>
          <w:rFonts w:ascii="Arial" w:hAnsi="Arial" w:cs="Arial"/>
        </w:rPr>
        <w:t>poruš</w:t>
      </w:r>
      <w:r w:rsidR="001B62BE" w:rsidRPr="00E43344">
        <w:rPr>
          <w:rFonts w:ascii="Arial" w:hAnsi="Arial" w:cs="Arial"/>
        </w:rPr>
        <w:t xml:space="preserve">ila podmínky poskytnutí dotace </w:t>
      </w:r>
      <w:r w:rsidRPr="00E43344">
        <w:rPr>
          <w:rFonts w:ascii="Arial" w:hAnsi="Arial" w:cs="Arial"/>
        </w:rPr>
        <w:t>tím</w:t>
      </w:r>
      <w:r w:rsidR="001B62BE" w:rsidRPr="00E43344">
        <w:rPr>
          <w:rFonts w:ascii="Arial" w:hAnsi="Arial" w:cs="Arial"/>
        </w:rPr>
        <w:t>,</w:t>
      </w:r>
      <w:r w:rsidRPr="00E43344">
        <w:rPr>
          <w:rFonts w:ascii="Arial" w:hAnsi="Arial" w:cs="Arial"/>
        </w:rPr>
        <w:t xml:space="preserve"> že </w:t>
      </w:r>
      <w:r w:rsidR="00D500EF" w:rsidRPr="00E43344">
        <w:rPr>
          <w:rFonts w:ascii="Arial" w:hAnsi="Arial" w:cs="Arial"/>
        </w:rPr>
        <w:t xml:space="preserve">uhradila faktury, aniž by si ověřila, zda práce a dodávky byly skutečně </w:t>
      </w:r>
      <w:r w:rsidRPr="00E43344">
        <w:rPr>
          <w:rFonts w:ascii="Arial" w:hAnsi="Arial" w:cs="Arial"/>
        </w:rPr>
        <w:t>provedeny</w:t>
      </w:r>
      <w:r w:rsidR="005A0295">
        <w:rPr>
          <w:rFonts w:ascii="Arial" w:hAnsi="Arial" w:cs="Arial"/>
        </w:rPr>
        <w:t>,</w:t>
      </w:r>
      <w:r w:rsidRPr="00E43344">
        <w:rPr>
          <w:rFonts w:ascii="Arial" w:hAnsi="Arial" w:cs="Arial"/>
        </w:rPr>
        <w:t xml:space="preserve"> a zároveň uhradila náklady nesouvisející s akcí, na n</w:t>
      </w:r>
      <w:r w:rsidR="005A0295">
        <w:rPr>
          <w:rFonts w:ascii="Arial" w:hAnsi="Arial" w:cs="Arial"/>
        </w:rPr>
        <w:t>i</w:t>
      </w:r>
      <w:r w:rsidRPr="00E43344">
        <w:rPr>
          <w:rFonts w:ascii="Arial" w:hAnsi="Arial" w:cs="Arial"/>
        </w:rPr>
        <w:t xml:space="preserve">ž byla </w:t>
      </w:r>
      <w:r w:rsidR="00526FCF" w:rsidRPr="00E43344">
        <w:rPr>
          <w:rFonts w:ascii="Arial" w:hAnsi="Arial" w:cs="Arial"/>
        </w:rPr>
        <w:t>dotace poskytnuta;</w:t>
      </w:r>
    </w:p>
    <w:p w:rsidR="00526FCF" w:rsidRDefault="00526FCF" w:rsidP="00EF1883">
      <w:pPr>
        <w:pStyle w:val="Odstavecseseznamem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E43344">
        <w:rPr>
          <w:rFonts w:ascii="Arial" w:hAnsi="Arial" w:cs="Arial"/>
        </w:rPr>
        <w:t xml:space="preserve">nesplnila povinnosti stanovené </w:t>
      </w:r>
      <w:r w:rsidR="00125605" w:rsidRPr="00972CBF">
        <w:rPr>
          <w:rFonts w:ascii="Arial" w:hAnsi="Arial" w:cs="Arial"/>
        </w:rPr>
        <w:t>zákon</w:t>
      </w:r>
      <w:r w:rsidR="00443106">
        <w:rPr>
          <w:rFonts w:ascii="Arial" w:hAnsi="Arial" w:cs="Arial"/>
        </w:rPr>
        <w:t>em</w:t>
      </w:r>
      <w:r w:rsidR="00722403" w:rsidRPr="00E43344">
        <w:rPr>
          <w:rFonts w:ascii="Arial" w:hAnsi="Arial" w:cs="Arial"/>
        </w:rPr>
        <w:t xml:space="preserve"> </w:t>
      </w:r>
      <w:r w:rsidRPr="00E43344">
        <w:rPr>
          <w:rFonts w:ascii="Arial" w:hAnsi="Arial" w:cs="Arial"/>
        </w:rPr>
        <w:t>č. 563/1991 Sb.</w:t>
      </w:r>
      <w:r w:rsidR="00443106">
        <w:rPr>
          <w:rFonts w:ascii="Arial" w:hAnsi="Arial" w:cs="Arial"/>
        </w:rPr>
        <w:t xml:space="preserve"> pro oblast</w:t>
      </w:r>
      <w:r w:rsidRPr="00E43344">
        <w:rPr>
          <w:rFonts w:ascii="Arial" w:hAnsi="Arial" w:cs="Arial"/>
        </w:rPr>
        <w:t xml:space="preserve"> průkaznosti účetních záznamů;</w:t>
      </w:r>
    </w:p>
    <w:p w:rsidR="00FB7379" w:rsidRDefault="00526FCF" w:rsidP="00EF1883">
      <w:pPr>
        <w:pStyle w:val="Odstavecseseznamem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E43344">
        <w:rPr>
          <w:rFonts w:ascii="Arial" w:hAnsi="Arial" w:cs="Arial"/>
        </w:rPr>
        <w:t xml:space="preserve">nepostupovala </w:t>
      </w:r>
      <w:r w:rsidR="006F7286" w:rsidRPr="00E43344">
        <w:rPr>
          <w:rFonts w:ascii="Arial" w:hAnsi="Arial" w:cs="Arial"/>
        </w:rPr>
        <w:t xml:space="preserve">při uzavírání smluv </w:t>
      </w:r>
      <w:r w:rsidR="001E35B5" w:rsidRPr="00E43344">
        <w:rPr>
          <w:rFonts w:ascii="Arial" w:hAnsi="Arial" w:cs="Arial"/>
        </w:rPr>
        <w:t>nejhospodárnějším</w:t>
      </w:r>
      <w:r w:rsidRPr="00E43344">
        <w:rPr>
          <w:rFonts w:ascii="Arial" w:hAnsi="Arial" w:cs="Arial"/>
        </w:rPr>
        <w:t xml:space="preserve"> způsobem, </w:t>
      </w:r>
      <w:r w:rsidR="00443106">
        <w:rPr>
          <w:rFonts w:ascii="Arial" w:hAnsi="Arial" w:cs="Arial"/>
        </w:rPr>
        <w:t>neboť</w:t>
      </w:r>
      <w:r w:rsidRPr="00E43344">
        <w:rPr>
          <w:rFonts w:ascii="Arial" w:hAnsi="Arial" w:cs="Arial"/>
        </w:rPr>
        <w:t xml:space="preserve"> </w:t>
      </w:r>
      <w:r w:rsidR="006F7286" w:rsidRPr="00E43344">
        <w:rPr>
          <w:rFonts w:ascii="Arial" w:hAnsi="Arial" w:cs="Arial"/>
        </w:rPr>
        <w:t xml:space="preserve">v nich </w:t>
      </w:r>
      <w:r w:rsidRPr="00E43344">
        <w:rPr>
          <w:rFonts w:ascii="Arial" w:hAnsi="Arial" w:cs="Arial"/>
        </w:rPr>
        <w:t xml:space="preserve">nezakotvila požadavek na uplatnění sankce v případě </w:t>
      </w:r>
      <w:r w:rsidR="006F7286" w:rsidRPr="00E43344">
        <w:rPr>
          <w:rFonts w:ascii="Arial" w:hAnsi="Arial" w:cs="Arial"/>
        </w:rPr>
        <w:t xml:space="preserve">dodání díla vykazujícího vady, neuplatnila pokuty a </w:t>
      </w:r>
      <w:r w:rsidRPr="00E43344">
        <w:rPr>
          <w:rFonts w:ascii="Arial" w:hAnsi="Arial" w:cs="Arial"/>
        </w:rPr>
        <w:t>neprodloužila platnost bankovní záru</w:t>
      </w:r>
      <w:r w:rsidR="00681CF8" w:rsidRPr="00E43344">
        <w:rPr>
          <w:rFonts w:ascii="Arial" w:hAnsi="Arial" w:cs="Arial"/>
        </w:rPr>
        <w:t>ky na celou dobu provádění díla.</w:t>
      </w:r>
    </w:p>
    <w:p w:rsidR="00E43344" w:rsidRPr="00E43344" w:rsidRDefault="00E43344" w:rsidP="00EF188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8455D5" w:rsidRDefault="00972CBF" w:rsidP="00EF1883">
      <w:pPr>
        <w:spacing w:after="0" w:line="240" w:lineRule="auto"/>
        <w:jc w:val="both"/>
      </w:pPr>
      <w:r>
        <w:rPr>
          <w:b/>
        </w:rPr>
        <w:t>F</w:t>
      </w:r>
      <w:r w:rsidR="006F7286" w:rsidRPr="0027066D">
        <w:rPr>
          <w:b/>
        </w:rPr>
        <w:t xml:space="preserve">N </w:t>
      </w:r>
      <w:r w:rsidR="006F7286">
        <w:rPr>
          <w:b/>
        </w:rPr>
        <w:t>Motol</w:t>
      </w:r>
      <w:r w:rsidR="00F54DDA">
        <w:rPr>
          <w:b/>
        </w:rPr>
        <w:t xml:space="preserve">, </w:t>
      </w:r>
      <w:r w:rsidR="00F54DDA" w:rsidRPr="00F54DDA">
        <w:t>u níž</w:t>
      </w:r>
      <w:r w:rsidR="00D87FBF">
        <w:t xml:space="preserve"> </w:t>
      </w:r>
      <w:r w:rsidR="00443106">
        <w:t>NKÚ prověřil</w:t>
      </w:r>
      <w:r w:rsidR="008455D5">
        <w:t xml:space="preserve"> řešení havarijní situace v dětské části, rekonstrukc</w:t>
      </w:r>
      <w:r w:rsidR="00443106">
        <w:t>i</w:t>
      </w:r>
      <w:r w:rsidR="008455D5">
        <w:t xml:space="preserve"> a</w:t>
      </w:r>
      <w:r w:rsidR="00500965">
        <w:t> </w:t>
      </w:r>
      <w:r w:rsidR="008455D5">
        <w:t>modernizac</w:t>
      </w:r>
      <w:r w:rsidR="00443106">
        <w:t>i</w:t>
      </w:r>
      <w:r w:rsidR="008455D5">
        <w:t xml:space="preserve"> dětské části </w:t>
      </w:r>
      <w:r w:rsidR="00965AA5">
        <w:t>–</w:t>
      </w:r>
      <w:r w:rsidR="008455D5">
        <w:t xml:space="preserve"> objekt</w:t>
      </w:r>
      <w:r w:rsidR="00FA0EB7">
        <w:t>y A, B, D, D1</w:t>
      </w:r>
      <w:r w:rsidR="00443106">
        <w:t> –</w:t>
      </w:r>
      <w:r w:rsidR="00FA0EB7">
        <w:t xml:space="preserve"> a dostavb</w:t>
      </w:r>
      <w:r w:rsidR="00443106">
        <w:t>u</w:t>
      </w:r>
      <w:r w:rsidR="00FA0EB7">
        <w:t xml:space="preserve"> a </w:t>
      </w:r>
      <w:r w:rsidR="008455D5">
        <w:t>rekonstrukce dětské části</w:t>
      </w:r>
      <w:r w:rsidR="007A09F2">
        <w:t>,</w:t>
      </w:r>
      <w:r w:rsidR="008455D5">
        <w:t xml:space="preserve"> a</w:t>
      </w:r>
      <w:r w:rsidR="00500965">
        <w:t> </w:t>
      </w:r>
      <w:r w:rsidR="008455D5">
        <w:t>to včetně souvisejících nákupů zdravotnické techniky</w:t>
      </w:r>
      <w:r w:rsidR="00F54DDA">
        <w:t>:</w:t>
      </w:r>
    </w:p>
    <w:p w:rsidR="00D53143" w:rsidRPr="00F1413E" w:rsidRDefault="00377D99" w:rsidP="00EF1883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 akce </w:t>
      </w:r>
      <w:r w:rsidR="007C18D7">
        <w:rPr>
          <w:rFonts w:ascii="Arial" w:hAnsi="Arial" w:cs="Arial"/>
          <w:color w:val="000000"/>
        </w:rPr>
        <w:t xml:space="preserve">řešení havarijní situace v dětské </w:t>
      </w:r>
      <w:r w:rsidR="007C18D7" w:rsidRPr="00F1413E">
        <w:rPr>
          <w:rFonts w:ascii="Arial" w:hAnsi="Arial" w:cs="Arial"/>
          <w:color w:val="000000"/>
        </w:rPr>
        <w:t>části</w:t>
      </w:r>
      <w:r w:rsidR="007A09F2">
        <w:rPr>
          <w:rFonts w:ascii="Arial" w:hAnsi="Arial" w:cs="Arial"/>
          <w:color w:val="000000"/>
        </w:rPr>
        <w:t>:</w:t>
      </w:r>
    </w:p>
    <w:p w:rsidR="00FF6F15" w:rsidRPr="00E9506F" w:rsidRDefault="00D53143" w:rsidP="00EF1883">
      <w:pPr>
        <w:pStyle w:val="Odstavecseseznamem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E9506F">
        <w:rPr>
          <w:rFonts w:ascii="Arial" w:hAnsi="Arial" w:cs="Arial"/>
          <w:color w:val="000000"/>
        </w:rPr>
        <w:t xml:space="preserve">uzavřela v průběhu stavby v rámci JŘBU </w:t>
      </w:r>
      <w:r w:rsidR="001F03FE" w:rsidRPr="00E9506F">
        <w:rPr>
          <w:rFonts w:ascii="Arial" w:hAnsi="Arial" w:cs="Arial"/>
          <w:color w:val="000000"/>
        </w:rPr>
        <w:t xml:space="preserve">čtyři </w:t>
      </w:r>
      <w:r w:rsidRPr="00E9506F">
        <w:rPr>
          <w:rFonts w:ascii="Arial" w:hAnsi="Arial" w:cs="Arial"/>
          <w:color w:val="000000"/>
        </w:rPr>
        <w:t>dodatk</w:t>
      </w:r>
      <w:r w:rsidR="001F03FE" w:rsidRPr="00E9506F">
        <w:rPr>
          <w:rFonts w:ascii="Arial" w:hAnsi="Arial" w:cs="Arial"/>
          <w:color w:val="000000"/>
        </w:rPr>
        <w:t>y</w:t>
      </w:r>
      <w:r w:rsidRPr="00E9506F">
        <w:rPr>
          <w:rFonts w:ascii="Arial" w:hAnsi="Arial" w:cs="Arial"/>
          <w:color w:val="000000"/>
        </w:rPr>
        <w:t xml:space="preserve"> ke smlouvě o dílo, </w:t>
      </w:r>
      <w:r w:rsidR="00443106">
        <w:rPr>
          <w:rFonts w:ascii="Arial" w:hAnsi="Arial" w:cs="Arial"/>
          <w:color w:val="000000"/>
        </w:rPr>
        <w:t>jimiž byla</w:t>
      </w:r>
      <w:r w:rsidRPr="00E9506F">
        <w:rPr>
          <w:rFonts w:ascii="Arial" w:hAnsi="Arial" w:cs="Arial"/>
          <w:color w:val="000000"/>
        </w:rPr>
        <w:t xml:space="preserve"> nabídkov</w:t>
      </w:r>
      <w:r w:rsidR="00443106">
        <w:rPr>
          <w:rFonts w:ascii="Arial" w:hAnsi="Arial" w:cs="Arial"/>
          <w:color w:val="000000"/>
        </w:rPr>
        <w:t>á</w:t>
      </w:r>
      <w:r w:rsidRPr="00E9506F">
        <w:rPr>
          <w:rFonts w:ascii="Arial" w:hAnsi="Arial" w:cs="Arial"/>
          <w:color w:val="000000"/>
        </w:rPr>
        <w:t xml:space="preserve"> cen</w:t>
      </w:r>
      <w:r w:rsidR="00443106">
        <w:rPr>
          <w:rFonts w:ascii="Arial" w:hAnsi="Arial" w:cs="Arial"/>
          <w:color w:val="000000"/>
        </w:rPr>
        <w:t>a</w:t>
      </w:r>
      <w:r w:rsidRPr="00E9506F">
        <w:rPr>
          <w:rFonts w:ascii="Arial" w:hAnsi="Arial" w:cs="Arial"/>
          <w:color w:val="000000"/>
        </w:rPr>
        <w:t xml:space="preserve"> navýš</w:t>
      </w:r>
      <w:r w:rsidR="00443106">
        <w:rPr>
          <w:rFonts w:ascii="Arial" w:hAnsi="Arial" w:cs="Arial"/>
          <w:color w:val="000000"/>
        </w:rPr>
        <w:t>ena</w:t>
      </w:r>
      <w:r w:rsidRPr="00E9506F">
        <w:rPr>
          <w:rFonts w:ascii="Arial" w:hAnsi="Arial" w:cs="Arial"/>
          <w:color w:val="000000"/>
        </w:rPr>
        <w:t xml:space="preserve"> </w:t>
      </w:r>
      <w:r w:rsidR="00FF6F15" w:rsidRPr="00E9506F">
        <w:rPr>
          <w:rFonts w:ascii="Arial" w:hAnsi="Arial" w:cs="Arial"/>
          <w:color w:val="000000"/>
        </w:rPr>
        <w:t>z 893,5 mil. Kč na 1 029,7 mil. Kč</w:t>
      </w:r>
      <w:r w:rsidR="0092390E" w:rsidRPr="00E9506F">
        <w:rPr>
          <w:rFonts w:ascii="Arial" w:hAnsi="Arial" w:cs="Arial"/>
          <w:color w:val="000000"/>
        </w:rPr>
        <w:t>;</w:t>
      </w:r>
      <w:r w:rsidR="00E9506F" w:rsidRPr="00E9506F">
        <w:rPr>
          <w:rFonts w:ascii="Arial" w:hAnsi="Arial" w:cs="Arial"/>
          <w:color w:val="000000"/>
        </w:rPr>
        <w:t xml:space="preserve"> </w:t>
      </w:r>
      <w:r w:rsidR="00FF6F15" w:rsidRPr="00E9506F">
        <w:rPr>
          <w:rFonts w:ascii="Arial" w:hAnsi="Arial" w:cs="Arial"/>
          <w:color w:val="000000"/>
        </w:rPr>
        <w:t xml:space="preserve">po převzetí díla a po vydání kolaudačního rozhodnutí uzavřela s použitím JŘBU pátý dodatek ke smlouvě o dílo, jehož předmětem byla </w:t>
      </w:r>
      <w:r w:rsidR="00443106">
        <w:rPr>
          <w:rFonts w:ascii="Arial" w:hAnsi="Arial" w:cs="Arial"/>
          <w:color w:val="000000"/>
        </w:rPr>
        <w:t>výstavba</w:t>
      </w:r>
      <w:r w:rsidR="00FF6F15" w:rsidRPr="00E9506F">
        <w:rPr>
          <w:rFonts w:ascii="Arial" w:hAnsi="Arial" w:cs="Arial"/>
          <w:color w:val="000000"/>
        </w:rPr>
        <w:t xml:space="preserve"> objektu za 105,3</w:t>
      </w:r>
      <w:r w:rsidR="004C1D50" w:rsidRPr="00E9506F">
        <w:rPr>
          <w:rFonts w:ascii="Arial" w:hAnsi="Arial" w:cs="Arial"/>
          <w:color w:val="000000"/>
        </w:rPr>
        <w:t> </w:t>
      </w:r>
      <w:r w:rsidR="00FF6F15" w:rsidRPr="00E9506F">
        <w:rPr>
          <w:rFonts w:ascii="Arial" w:hAnsi="Arial" w:cs="Arial"/>
          <w:color w:val="000000"/>
        </w:rPr>
        <w:t xml:space="preserve">mil. Kč, který nebyl součástí </w:t>
      </w:r>
      <w:r w:rsidR="00FF6F15" w:rsidRPr="00E9506F">
        <w:rPr>
          <w:rFonts w:ascii="Arial" w:hAnsi="Arial" w:cs="Arial"/>
          <w:color w:val="000000"/>
        </w:rPr>
        <w:lastRenderedPageBreak/>
        <w:t>první fáze rekonstrukce, tedy ani součástí zadávací dokumentace, přičemž stavební práce byly zahájeny ještě před uzavřením dodatku;</w:t>
      </w:r>
    </w:p>
    <w:p w:rsidR="00D53143" w:rsidRDefault="00D53143" w:rsidP="00EF1883">
      <w:pPr>
        <w:pStyle w:val="Odstavecseseznamem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D53143">
        <w:rPr>
          <w:rFonts w:ascii="Arial" w:hAnsi="Arial" w:cs="Arial"/>
          <w:color w:val="000000"/>
        </w:rPr>
        <w:t>investiční náklady na m</w:t>
      </w:r>
      <w:r w:rsidRPr="00D53143">
        <w:rPr>
          <w:rFonts w:ascii="Arial" w:hAnsi="Arial" w:cs="Arial"/>
          <w:color w:val="000000"/>
          <w:vertAlign w:val="superscript"/>
        </w:rPr>
        <w:t xml:space="preserve">3 </w:t>
      </w:r>
      <w:r w:rsidRPr="00D53143">
        <w:rPr>
          <w:rFonts w:ascii="Arial" w:hAnsi="Arial" w:cs="Arial"/>
          <w:color w:val="000000"/>
        </w:rPr>
        <w:t xml:space="preserve">rekonstrukce (odstranění havarijního stavu) </w:t>
      </w:r>
      <w:r w:rsidR="00FF6F15">
        <w:rPr>
          <w:rFonts w:ascii="Arial" w:hAnsi="Arial" w:cs="Arial"/>
          <w:color w:val="000000"/>
        </w:rPr>
        <w:t>dosáhly 11</w:t>
      </w:r>
      <w:r w:rsidR="00500965">
        <w:rPr>
          <w:rFonts w:ascii="Arial" w:hAnsi="Arial" w:cs="Arial"/>
          <w:color w:val="000000"/>
        </w:rPr>
        <w:t> </w:t>
      </w:r>
      <w:r w:rsidR="00FF6F15">
        <w:rPr>
          <w:rFonts w:ascii="Arial" w:hAnsi="Arial" w:cs="Arial"/>
          <w:color w:val="000000"/>
        </w:rPr>
        <w:t>780</w:t>
      </w:r>
      <w:r w:rsidR="00500965">
        <w:rPr>
          <w:rFonts w:ascii="Arial" w:hAnsi="Arial" w:cs="Arial"/>
          <w:color w:val="000000"/>
        </w:rPr>
        <w:t> </w:t>
      </w:r>
      <w:r w:rsidR="00FF6F15">
        <w:rPr>
          <w:rFonts w:ascii="Arial" w:hAnsi="Arial" w:cs="Arial"/>
          <w:color w:val="000000"/>
        </w:rPr>
        <w:t>Kč</w:t>
      </w:r>
      <w:r w:rsidR="00443106">
        <w:rPr>
          <w:rFonts w:ascii="Arial" w:hAnsi="Arial" w:cs="Arial"/>
          <w:color w:val="000000"/>
        </w:rPr>
        <w:t>/</w:t>
      </w:r>
      <w:r w:rsidR="00443106" w:rsidRPr="00D53143">
        <w:rPr>
          <w:rFonts w:ascii="Arial" w:hAnsi="Arial" w:cs="Arial"/>
          <w:color w:val="000000"/>
        </w:rPr>
        <w:t>m</w:t>
      </w:r>
      <w:r w:rsidR="00443106" w:rsidRPr="00D53143">
        <w:rPr>
          <w:rFonts w:ascii="Arial" w:hAnsi="Arial" w:cs="Arial"/>
          <w:color w:val="000000"/>
          <w:vertAlign w:val="superscript"/>
        </w:rPr>
        <w:t>3</w:t>
      </w:r>
      <w:r w:rsidR="00FF6F15">
        <w:rPr>
          <w:rFonts w:ascii="Arial" w:hAnsi="Arial" w:cs="Arial"/>
          <w:color w:val="000000"/>
        </w:rPr>
        <w:t xml:space="preserve"> bez DPH</w:t>
      </w:r>
      <w:r w:rsidR="007A09F2">
        <w:rPr>
          <w:rFonts w:ascii="Arial" w:hAnsi="Arial" w:cs="Arial"/>
          <w:color w:val="000000"/>
        </w:rPr>
        <w:t>;</w:t>
      </w:r>
    </w:p>
    <w:p w:rsidR="00D53143" w:rsidRPr="00F1413E" w:rsidRDefault="00D53143" w:rsidP="00EF1883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571B7D">
        <w:rPr>
          <w:rFonts w:ascii="Arial" w:hAnsi="Arial" w:cs="Arial"/>
          <w:color w:val="000000"/>
        </w:rPr>
        <w:t xml:space="preserve">u </w:t>
      </w:r>
      <w:r w:rsidR="00571B7D" w:rsidRPr="00571B7D">
        <w:rPr>
          <w:rFonts w:ascii="Arial" w:hAnsi="Arial" w:cs="Arial"/>
          <w:color w:val="000000"/>
        </w:rPr>
        <w:t xml:space="preserve">akce </w:t>
      </w:r>
      <w:r w:rsidR="00571B7D" w:rsidRPr="00571B7D">
        <w:rPr>
          <w:rFonts w:ascii="Arial" w:hAnsi="Arial" w:cs="Arial"/>
        </w:rPr>
        <w:t xml:space="preserve">rekonstrukce a modernizace dětské části </w:t>
      </w:r>
      <w:r w:rsidR="00965AA5">
        <w:rPr>
          <w:rFonts w:ascii="Arial" w:hAnsi="Arial" w:cs="Arial"/>
        </w:rPr>
        <w:t>–</w:t>
      </w:r>
      <w:r w:rsidR="00571B7D" w:rsidRPr="00571B7D">
        <w:rPr>
          <w:rFonts w:ascii="Arial" w:hAnsi="Arial" w:cs="Arial"/>
        </w:rPr>
        <w:t xml:space="preserve"> objekty A, B, D, D1</w:t>
      </w:r>
      <w:r w:rsidR="007A09F2">
        <w:rPr>
          <w:rFonts w:ascii="Arial" w:hAnsi="Arial" w:cs="Arial"/>
        </w:rPr>
        <w:t>:</w:t>
      </w:r>
    </w:p>
    <w:p w:rsidR="00D53143" w:rsidRPr="00E9506F" w:rsidRDefault="00D53143" w:rsidP="00EF1883">
      <w:pPr>
        <w:pStyle w:val="Odstavecseseznamem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E9506F">
        <w:rPr>
          <w:rFonts w:ascii="Arial" w:hAnsi="Arial" w:cs="Arial"/>
          <w:color w:val="000000"/>
        </w:rPr>
        <w:t>uzavřela v průběhu stavby v rámci JŘBU celkem jedenáct dodatků ke smlouvě o</w:t>
      </w:r>
      <w:r w:rsidR="004C1D50" w:rsidRPr="00E9506F">
        <w:rPr>
          <w:rFonts w:ascii="Arial" w:hAnsi="Arial" w:cs="Arial"/>
          <w:color w:val="000000"/>
        </w:rPr>
        <w:t> </w:t>
      </w:r>
      <w:r w:rsidRPr="00E9506F">
        <w:rPr>
          <w:rFonts w:ascii="Arial" w:hAnsi="Arial" w:cs="Arial"/>
          <w:color w:val="000000"/>
        </w:rPr>
        <w:t xml:space="preserve">dílo, </w:t>
      </w:r>
      <w:r w:rsidR="00443106">
        <w:rPr>
          <w:rFonts w:ascii="Arial" w:hAnsi="Arial" w:cs="Arial"/>
          <w:color w:val="000000"/>
        </w:rPr>
        <w:t>jimiž byla</w:t>
      </w:r>
      <w:r w:rsidRPr="00E9506F">
        <w:rPr>
          <w:rFonts w:ascii="Arial" w:hAnsi="Arial" w:cs="Arial"/>
          <w:color w:val="000000"/>
        </w:rPr>
        <w:t xml:space="preserve"> nabídkov</w:t>
      </w:r>
      <w:r w:rsidR="00443106">
        <w:rPr>
          <w:rFonts w:ascii="Arial" w:hAnsi="Arial" w:cs="Arial"/>
          <w:color w:val="000000"/>
        </w:rPr>
        <w:t>á</w:t>
      </w:r>
      <w:r w:rsidRPr="00E9506F">
        <w:rPr>
          <w:rFonts w:ascii="Arial" w:hAnsi="Arial" w:cs="Arial"/>
          <w:color w:val="000000"/>
        </w:rPr>
        <w:t xml:space="preserve"> cen</w:t>
      </w:r>
      <w:r w:rsidR="00443106">
        <w:rPr>
          <w:rFonts w:ascii="Arial" w:hAnsi="Arial" w:cs="Arial"/>
          <w:color w:val="000000"/>
        </w:rPr>
        <w:t>a</w:t>
      </w:r>
      <w:r w:rsidRPr="00E9506F">
        <w:rPr>
          <w:rFonts w:ascii="Arial" w:hAnsi="Arial" w:cs="Arial"/>
          <w:color w:val="000000"/>
        </w:rPr>
        <w:t xml:space="preserve"> navýš</w:t>
      </w:r>
      <w:r w:rsidR="00443106">
        <w:rPr>
          <w:rFonts w:ascii="Arial" w:hAnsi="Arial" w:cs="Arial"/>
          <w:color w:val="000000"/>
        </w:rPr>
        <w:t>ena</w:t>
      </w:r>
      <w:r w:rsidRPr="00E9506F">
        <w:rPr>
          <w:rFonts w:ascii="Arial" w:hAnsi="Arial" w:cs="Arial"/>
          <w:color w:val="000000"/>
        </w:rPr>
        <w:t xml:space="preserve"> </w:t>
      </w:r>
      <w:r w:rsidR="00FF6F15" w:rsidRPr="00E9506F">
        <w:rPr>
          <w:rFonts w:ascii="Arial" w:hAnsi="Arial" w:cs="Arial"/>
          <w:color w:val="000000"/>
        </w:rPr>
        <w:t>z</w:t>
      </w:r>
      <w:r w:rsidR="002A466E" w:rsidRPr="00E9506F">
        <w:rPr>
          <w:rFonts w:ascii="Arial" w:hAnsi="Arial" w:cs="Arial"/>
          <w:color w:val="000000"/>
        </w:rPr>
        <w:t> </w:t>
      </w:r>
      <w:r w:rsidR="00FF6F15" w:rsidRPr="00E9506F">
        <w:rPr>
          <w:rFonts w:ascii="Arial" w:hAnsi="Arial" w:cs="Arial"/>
          <w:color w:val="000000"/>
        </w:rPr>
        <w:t>3</w:t>
      </w:r>
      <w:r w:rsidR="002A466E" w:rsidRPr="00E9506F">
        <w:rPr>
          <w:rFonts w:ascii="Arial" w:hAnsi="Arial" w:cs="Arial"/>
          <w:color w:val="000000"/>
        </w:rPr>
        <w:t xml:space="preserve"> </w:t>
      </w:r>
      <w:r w:rsidR="00FF6F15" w:rsidRPr="00E9506F">
        <w:rPr>
          <w:rFonts w:ascii="Arial" w:hAnsi="Arial" w:cs="Arial"/>
          <w:color w:val="000000"/>
        </w:rPr>
        <w:t>386,5 mil. Kč na 4</w:t>
      </w:r>
      <w:r w:rsidR="002A466E" w:rsidRPr="00E9506F">
        <w:rPr>
          <w:rFonts w:ascii="Arial" w:hAnsi="Arial" w:cs="Arial"/>
          <w:color w:val="000000"/>
        </w:rPr>
        <w:t xml:space="preserve"> </w:t>
      </w:r>
      <w:r w:rsidR="001B62BE" w:rsidRPr="00E9506F">
        <w:rPr>
          <w:rFonts w:ascii="Arial" w:hAnsi="Arial" w:cs="Arial"/>
          <w:color w:val="000000"/>
        </w:rPr>
        <w:t>018,8 mil. Kč</w:t>
      </w:r>
      <w:r w:rsidRPr="00E9506F">
        <w:rPr>
          <w:rFonts w:ascii="Arial" w:hAnsi="Arial" w:cs="Arial"/>
          <w:color w:val="000000"/>
        </w:rPr>
        <w:t>;</w:t>
      </w:r>
      <w:r w:rsidR="00E9506F" w:rsidRPr="00E9506F">
        <w:rPr>
          <w:rFonts w:ascii="Arial" w:hAnsi="Arial" w:cs="Arial"/>
          <w:color w:val="000000"/>
        </w:rPr>
        <w:t xml:space="preserve"> </w:t>
      </w:r>
      <w:r w:rsidR="002A466E" w:rsidRPr="00E9506F">
        <w:rPr>
          <w:rFonts w:ascii="Arial" w:hAnsi="Arial" w:cs="Arial"/>
          <w:color w:val="000000"/>
        </w:rPr>
        <w:t xml:space="preserve">po převzetí díla a po vydání kolaudačního rozhodnutí uzavřela s použitím JŘBU dodatek na rekonstrukci </w:t>
      </w:r>
      <w:r w:rsidR="00443106">
        <w:rPr>
          <w:rFonts w:ascii="Arial" w:hAnsi="Arial" w:cs="Arial"/>
          <w:color w:val="000000"/>
        </w:rPr>
        <w:t xml:space="preserve">jednoho </w:t>
      </w:r>
      <w:r w:rsidR="002A466E" w:rsidRPr="00E9506F">
        <w:rPr>
          <w:rFonts w:ascii="Arial" w:hAnsi="Arial" w:cs="Arial"/>
          <w:color w:val="000000"/>
        </w:rPr>
        <w:t>objektu. Tato rekonstrukce v hodnotě 258,1</w:t>
      </w:r>
      <w:r w:rsidR="00443106">
        <w:rPr>
          <w:rFonts w:ascii="Arial" w:hAnsi="Arial" w:cs="Arial"/>
          <w:color w:val="000000"/>
        </w:rPr>
        <w:t> </w:t>
      </w:r>
      <w:r w:rsidR="002A466E" w:rsidRPr="00E9506F">
        <w:rPr>
          <w:rFonts w:ascii="Arial" w:hAnsi="Arial" w:cs="Arial"/>
          <w:color w:val="000000"/>
        </w:rPr>
        <w:t>mil.</w:t>
      </w:r>
      <w:r w:rsidR="00443106">
        <w:rPr>
          <w:rFonts w:ascii="Arial" w:hAnsi="Arial" w:cs="Arial"/>
          <w:color w:val="000000"/>
        </w:rPr>
        <w:t> </w:t>
      </w:r>
      <w:r w:rsidR="002A466E" w:rsidRPr="00E9506F">
        <w:rPr>
          <w:rFonts w:ascii="Arial" w:hAnsi="Arial" w:cs="Arial"/>
          <w:color w:val="000000"/>
        </w:rPr>
        <w:t xml:space="preserve">Kč byla zahájena </w:t>
      </w:r>
      <w:r w:rsidRPr="00E9506F">
        <w:rPr>
          <w:rFonts w:ascii="Arial" w:hAnsi="Arial" w:cs="Arial"/>
          <w:color w:val="000000"/>
        </w:rPr>
        <w:t>bez platného stavebního povolení</w:t>
      </w:r>
      <w:r w:rsidR="00443106">
        <w:rPr>
          <w:rFonts w:ascii="Arial" w:hAnsi="Arial" w:cs="Arial"/>
          <w:color w:val="000000"/>
        </w:rPr>
        <w:t xml:space="preserve"> – to</w:t>
      </w:r>
      <w:r w:rsidRPr="00E9506F">
        <w:rPr>
          <w:rFonts w:ascii="Arial" w:hAnsi="Arial" w:cs="Arial"/>
          <w:color w:val="000000"/>
        </w:rPr>
        <w:t xml:space="preserve"> bylo </w:t>
      </w:r>
      <w:r w:rsidR="00E25003" w:rsidRPr="00E9506F">
        <w:rPr>
          <w:rFonts w:ascii="Arial" w:hAnsi="Arial" w:cs="Arial"/>
          <w:color w:val="000000"/>
        </w:rPr>
        <w:t>obnoveno a</w:t>
      </w:r>
      <w:r w:rsidR="00443106">
        <w:rPr>
          <w:rFonts w:ascii="Arial" w:hAnsi="Arial" w:cs="Arial"/>
          <w:color w:val="000000"/>
        </w:rPr>
        <w:t> </w:t>
      </w:r>
      <w:r w:rsidR="00E25003" w:rsidRPr="00E9506F">
        <w:rPr>
          <w:rFonts w:ascii="Arial" w:hAnsi="Arial" w:cs="Arial"/>
          <w:color w:val="000000"/>
        </w:rPr>
        <w:t xml:space="preserve">věcně prodlouženo </w:t>
      </w:r>
      <w:r w:rsidRPr="00E9506F">
        <w:rPr>
          <w:rFonts w:ascii="Arial" w:hAnsi="Arial" w:cs="Arial"/>
          <w:color w:val="000000"/>
        </w:rPr>
        <w:t>až v reakci na kontrolu NKÚ;</w:t>
      </w:r>
    </w:p>
    <w:p w:rsidR="00D53143" w:rsidRPr="00D53143" w:rsidRDefault="00D53143" w:rsidP="00EF1883">
      <w:pPr>
        <w:pStyle w:val="Odstavecseseznamem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D53143">
        <w:rPr>
          <w:rFonts w:ascii="Arial" w:hAnsi="Arial" w:cs="Arial"/>
          <w:color w:val="000000"/>
        </w:rPr>
        <w:t xml:space="preserve">neměla při zadání VZ na související pořízení zdravotnické </w:t>
      </w:r>
      <w:r w:rsidR="00681CF8">
        <w:rPr>
          <w:rFonts w:ascii="Arial" w:hAnsi="Arial" w:cs="Arial"/>
          <w:color w:val="000000"/>
        </w:rPr>
        <w:t>techniky</w:t>
      </w:r>
      <w:r w:rsidRPr="00D53143">
        <w:rPr>
          <w:rFonts w:ascii="Arial" w:hAnsi="Arial" w:cs="Arial"/>
          <w:color w:val="000000"/>
        </w:rPr>
        <w:t xml:space="preserve"> zcela ujasněny požadavky na obsah a cenu</w:t>
      </w:r>
      <w:r w:rsidR="00443106">
        <w:rPr>
          <w:rFonts w:ascii="Arial" w:hAnsi="Arial" w:cs="Arial"/>
          <w:color w:val="000000"/>
        </w:rPr>
        <w:t xml:space="preserve"> VZ</w:t>
      </w:r>
      <w:r w:rsidRPr="00D53143">
        <w:rPr>
          <w:rFonts w:ascii="Arial" w:hAnsi="Arial" w:cs="Arial"/>
          <w:color w:val="000000"/>
        </w:rPr>
        <w:t>, důsledkem byly nerealizované práce a</w:t>
      </w:r>
      <w:r w:rsidR="004C1D50">
        <w:rPr>
          <w:rFonts w:ascii="Arial" w:hAnsi="Arial" w:cs="Arial"/>
          <w:color w:val="000000"/>
        </w:rPr>
        <w:t> </w:t>
      </w:r>
      <w:r w:rsidRPr="00D53143">
        <w:rPr>
          <w:rFonts w:ascii="Arial" w:hAnsi="Arial" w:cs="Arial"/>
          <w:color w:val="000000"/>
        </w:rPr>
        <w:t xml:space="preserve">dodávky ve </w:t>
      </w:r>
      <w:r w:rsidR="00443106">
        <w:rPr>
          <w:rFonts w:ascii="Arial" w:hAnsi="Arial" w:cs="Arial"/>
          <w:color w:val="000000"/>
        </w:rPr>
        <w:t>výši</w:t>
      </w:r>
      <w:r w:rsidRPr="00D53143">
        <w:rPr>
          <w:rFonts w:ascii="Arial" w:hAnsi="Arial" w:cs="Arial"/>
          <w:color w:val="000000"/>
        </w:rPr>
        <w:t xml:space="preserve"> 254 mil. Kč, </w:t>
      </w:r>
      <w:r w:rsidR="00443106">
        <w:rPr>
          <w:rFonts w:ascii="Arial" w:hAnsi="Arial" w:cs="Arial"/>
          <w:color w:val="000000"/>
        </w:rPr>
        <w:t>což činilo</w:t>
      </w:r>
      <w:r w:rsidRPr="00D53143">
        <w:rPr>
          <w:rFonts w:ascii="Arial" w:hAnsi="Arial" w:cs="Arial"/>
          <w:color w:val="000000"/>
        </w:rPr>
        <w:t xml:space="preserve"> 39,</w:t>
      </w:r>
      <w:r w:rsidR="003F2BBF">
        <w:rPr>
          <w:rFonts w:ascii="Arial" w:hAnsi="Arial" w:cs="Arial"/>
          <w:color w:val="000000"/>
        </w:rPr>
        <w:t>8</w:t>
      </w:r>
      <w:r w:rsidRPr="00D53143">
        <w:rPr>
          <w:rFonts w:ascii="Arial" w:hAnsi="Arial" w:cs="Arial"/>
          <w:color w:val="000000"/>
        </w:rPr>
        <w:t xml:space="preserve"> % nabídkové ceny původní VZ.</w:t>
      </w:r>
    </w:p>
    <w:p w:rsidR="00835C55" w:rsidRDefault="00835C55" w:rsidP="00EF188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FA0EB7" w:rsidRDefault="00FA0EB7" w:rsidP="00EF188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A91CCB" w:rsidRDefault="00A91CCB" w:rsidP="00EF1883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850DA9">
        <w:rPr>
          <w:b/>
          <w:color w:val="000000"/>
          <w:sz w:val="24"/>
          <w:szCs w:val="24"/>
        </w:rPr>
        <w:t>IV. Shrnutí a vyhodnocení</w:t>
      </w:r>
    </w:p>
    <w:p w:rsidR="00EF1883" w:rsidRDefault="00EF1883" w:rsidP="00EF1883">
      <w:pPr>
        <w:spacing w:after="0" w:line="240" w:lineRule="auto"/>
        <w:jc w:val="both"/>
        <w:rPr>
          <w:b/>
          <w:color w:val="000000"/>
        </w:rPr>
      </w:pPr>
    </w:p>
    <w:p w:rsidR="00C92102" w:rsidRDefault="00C92102" w:rsidP="00EF1883">
      <w:pPr>
        <w:spacing w:after="0" w:line="240" w:lineRule="auto"/>
        <w:jc w:val="both"/>
        <w:rPr>
          <w:b/>
          <w:noProof/>
          <w:color w:val="000000"/>
        </w:rPr>
      </w:pPr>
      <w:r>
        <w:rPr>
          <w:b/>
          <w:color w:val="000000"/>
        </w:rPr>
        <w:t>MZ</w:t>
      </w:r>
      <w:r w:rsidR="0080100C">
        <w:rPr>
          <w:b/>
          <w:color w:val="000000"/>
        </w:rPr>
        <w:t xml:space="preserve"> nemá ujasněnou koncepci</w:t>
      </w:r>
      <w:r>
        <w:rPr>
          <w:b/>
          <w:color w:val="000000"/>
        </w:rPr>
        <w:t xml:space="preserve"> </w:t>
      </w:r>
      <w:r w:rsidRPr="00C92102">
        <w:rPr>
          <w:b/>
          <w:color w:val="000000"/>
        </w:rPr>
        <w:t>v otáz</w:t>
      </w:r>
      <w:r w:rsidR="00E078C3">
        <w:rPr>
          <w:b/>
          <w:color w:val="000000"/>
        </w:rPr>
        <w:t>kách</w:t>
      </w:r>
      <w:r w:rsidRPr="00C92102">
        <w:rPr>
          <w:b/>
          <w:color w:val="000000"/>
        </w:rPr>
        <w:t xml:space="preserve"> </w:t>
      </w:r>
      <w:r>
        <w:rPr>
          <w:b/>
          <w:color w:val="000000"/>
        </w:rPr>
        <w:t>postavení</w:t>
      </w:r>
      <w:r w:rsidR="00C17EB2">
        <w:rPr>
          <w:b/>
          <w:color w:val="000000"/>
        </w:rPr>
        <w:t xml:space="preserve">, </w:t>
      </w:r>
      <w:r>
        <w:rPr>
          <w:b/>
          <w:color w:val="000000"/>
        </w:rPr>
        <w:t>počtu</w:t>
      </w:r>
      <w:r w:rsidR="00C17EB2">
        <w:rPr>
          <w:b/>
          <w:color w:val="000000"/>
        </w:rPr>
        <w:t xml:space="preserve"> a vybavení</w:t>
      </w:r>
      <w:r>
        <w:rPr>
          <w:b/>
          <w:color w:val="000000"/>
        </w:rPr>
        <w:t xml:space="preserve"> </w:t>
      </w:r>
      <w:r w:rsidRPr="00C92102">
        <w:rPr>
          <w:b/>
          <w:color w:val="000000"/>
        </w:rPr>
        <w:t>fakultních nemocnic</w:t>
      </w:r>
      <w:r w:rsidR="0080100C">
        <w:rPr>
          <w:b/>
          <w:color w:val="000000"/>
        </w:rPr>
        <w:t>,</w:t>
      </w:r>
      <w:r w:rsidRPr="00C92102">
        <w:rPr>
          <w:b/>
          <w:color w:val="000000"/>
        </w:rPr>
        <w:t xml:space="preserve"> </w:t>
      </w:r>
      <w:r w:rsidR="0080100C">
        <w:rPr>
          <w:b/>
          <w:color w:val="000000"/>
        </w:rPr>
        <w:t>což je</w:t>
      </w:r>
      <w:r w:rsidR="00BA7F7F">
        <w:rPr>
          <w:b/>
          <w:color w:val="000000"/>
        </w:rPr>
        <w:t xml:space="preserve"> </w:t>
      </w:r>
      <w:r w:rsidRPr="00C92102">
        <w:rPr>
          <w:b/>
          <w:color w:val="000000"/>
        </w:rPr>
        <w:t>důvodem absence navazujících strategických a</w:t>
      </w:r>
      <w:r w:rsidR="0080100C">
        <w:rPr>
          <w:b/>
          <w:color w:val="000000"/>
        </w:rPr>
        <w:t> </w:t>
      </w:r>
      <w:r w:rsidRPr="00C92102">
        <w:rPr>
          <w:b/>
          <w:color w:val="000000"/>
        </w:rPr>
        <w:t>kon</w:t>
      </w:r>
      <w:r>
        <w:rPr>
          <w:b/>
          <w:color w:val="000000"/>
        </w:rPr>
        <w:t xml:space="preserve">cepčních dokumentů, </w:t>
      </w:r>
      <w:r w:rsidR="00CF165A">
        <w:rPr>
          <w:b/>
          <w:color w:val="000000"/>
        </w:rPr>
        <w:t>které</w:t>
      </w:r>
      <w:r w:rsidR="001E0034">
        <w:rPr>
          <w:b/>
          <w:color w:val="000000"/>
        </w:rPr>
        <w:t xml:space="preserve"> by </w:t>
      </w:r>
      <w:r w:rsidRPr="00C92102">
        <w:rPr>
          <w:b/>
          <w:color w:val="000000"/>
        </w:rPr>
        <w:t>byly předpokladem pro dlouhodobé, systémové a</w:t>
      </w:r>
      <w:r w:rsidR="0080100C">
        <w:rPr>
          <w:b/>
          <w:color w:val="000000"/>
        </w:rPr>
        <w:t> </w:t>
      </w:r>
      <w:r w:rsidRPr="00C92102">
        <w:rPr>
          <w:b/>
          <w:color w:val="000000"/>
        </w:rPr>
        <w:t xml:space="preserve">efektivní vynakládání peněžních prostředků </w:t>
      </w:r>
      <w:r w:rsidRPr="00C92102">
        <w:rPr>
          <w:b/>
          <w:noProof/>
          <w:color w:val="000000"/>
        </w:rPr>
        <w:t>na rozvoj a</w:t>
      </w:r>
      <w:r w:rsidR="0080100C">
        <w:rPr>
          <w:b/>
          <w:noProof/>
          <w:color w:val="000000"/>
        </w:rPr>
        <w:t> </w:t>
      </w:r>
      <w:r w:rsidRPr="00C92102">
        <w:rPr>
          <w:b/>
          <w:noProof/>
          <w:color w:val="000000"/>
        </w:rPr>
        <w:t>obnovu materiálně-technické základny</w:t>
      </w:r>
      <w:r w:rsidR="0080100C">
        <w:rPr>
          <w:b/>
          <w:noProof/>
          <w:color w:val="000000"/>
        </w:rPr>
        <w:t xml:space="preserve"> FN</w:t>
      </w:r>
      <w:r w:rsidRPr="00C92102">
        <w:rPr>
          <w:b/>
          <w:noProof/>
          <w:color w:val="000000"/>
        </w:rPr>
        <w:t>.</w:t>
      </w:r>
    </w:p>
    <w:p w:rsidR="00EF1883" w:rsidRDefault="00EF1883" w:rsidP="00EF1883">
      <w:pPr>
        <w:spacing w:after="0" w:line="240" w:lineRule="auto"/>
        <w:jc w:val="both"/>
        <w:rPr>
          <w:b/>
          <w:noProof/>
          <w:color w:val="000000"/>
        </w:rPr>
      </w:pPr>
    </w:p>
    <w:p w:rsidR="00BA7F7F" w:rsidRDefault="00F12CB5" w:rsidP="00EF1883">
      <w:pPr>
        <w:spacing w:after="0" w:line="240" w:lineRule="auto"/>
        <w:jc w:val="both"/>
        <w:rPr>
          <w:b/>
          <w:color w:val="000000"/>
        </w:rPr>
      </w:pPr>
      <w:r w:rsidRPr="00EE2B54">
        <w:rPr>
          <w:b/>
          <w:color w:val="000000"/>
        </w:rPr>
        <w:t xml:space="preserve">Stávající </w:t>
      </w:r>
      <w:r w:rsidR="00C17EB2">
        <w:rPr>
          <w:b/>
          <w:color w:val="000000"/>
        </w:rPr>
        <w:t>způsob financování</w:t>
      </w:r>
      <w:r w:rsidR="00EE2B54">
        <w:rPr>
          <w:b/>
          <w:color w:val="000000"/>
        </w:rPr>
        <w:t xml:space="preserve"> </w:t>
      </w:r>
      <w:r w:rsidR="0080100C">
        <w:rPr>
          <w:b/>
          <w:color w:val="000000"/>
        </w:rPr>
        <w:t>nákupu</w:t>
      </w:r>
      <w:r w:rsidRPr="00EE2B54">
        <w:rPr>
          <w:b/>
          <w:color w:val="000000"/>
        </w:rPr>
        <w:t>, obnov</w:t>
      </w:r>
      <w:r w:rsidR="00EE2B54">
        <w:rPr>
          <w:b/>
          <w:color w:val="000000"/>
        </w:rPr>
        <w:t>y</w:t>
      </w:r>
      <w:r w:rsidRPr="00EE2B54">
        <w:rPr>
          <w:b/>
          <w:color w:val="000000"/>
        </w:rPr>
        <w:t xml:space="preserve"> či modernizac</w:t>
      </w:r>
      <w:r w:rsidR="006F18A0">
        <w:rPr>
          <w:b/>
          <w:color w:val="000000"/>
        </w:rPr>
        <w:t>e</w:t>
      </w:r>
      <w:r w:rsidRPr="00EE2B54">
        <w:rPr>
          <w:b/>
          <w:color w:val="000000"/>
        </w:rPr>
        <w:t xml:space="preserve"> zdravotnické techniky </w:t>
      </w:r>
      <w:r w:rsidR="00007321">
        <w:rPr>
          <w:b/>
          <w:color w:val="000000"/>
        </w:rPr>
        <w:t>z</w:t>
      </w:r>
      <w:r w:rsidR="0012348E">
        <w:rPr>
          <w:b/>
          <w:color w:val="000000"/>
        </w:rPr>
        <w:t xml:space="preserve"> Programu </w:t>
      </w:r>
      <w:r w:rsidRPr="00EE2B54">
        <w:rPr>
          <w:b/>
          <w:color w:val="000000"/>
        </w:rPr>
        <w:t xml:space="preserve">nezaručuje </w:t>
      </w:r>
      <w:r w:rsidR="00BA7F7F">
        <w:rPr>
          <w:b/>
          <w:color w:val="000000"/>
        </w:rPr>
        <w:t xml:space="preserve">hospodárné, efektivní a účelné </w:t>
      </w:r>
      <w:r w:rsidR="0080100C">
        <w:rPr>
          <w:b/>
          <w:color w:val="000000"/>
        </w:rPr>
        <w:t>vynakládání</w:t>
      </w:r>
      <w:r w:rsidR="00BA7F7F" w:rsidRPr="00EE2B54">
        <w:rPr>
          <w:b/>
          <w:color w:val="000000"/>
        </w:rPr>
        <w:t xml:space="preserve"> peněžních prostředků</w:t>
      </w:r>
      <w:r w:rsidR="00BA7F7F">
        <w:rPr>
          <w:b/>
          <w:color w:val="000000"/>
        </w:rPr>
        <w:t xml:space="preserve">. </w:t>
      </w:r>
      <w:r w:rsidR="00980749">
        <w:rPr>
          <w:b/>
          <w:color w:val="000000"/>
        </w:rPr>
        <w:t xml:space="preserve">Uvedená situace </w:t>
      </w:r>
      <w:r w:rsidR="00E078C3">
        <w:rPr>
          <w:b/>
          <w:color w:val="000000"/>
        </w:rPr>
        <w:t>byla</w:t>
      </w:r>
      <w:r w:rsidR="00980749">
        <w:rPr>
          <w:b/>
          <w:color w:val="000000"/>
        </w:rPr>
        <w:t xml:space="preserve"> způsoben</w:t>
      </w:r>
      <w:r w:rsidR="00E078C3">
        <w:rPr>
          <w:b/>
          <w:color w:val="000000"/>
        </w:rPr>
        <w:t>a</w:t>
      </w:r>
      <w:r w:rsidR="00BA7F7F">
        <w:rPr>
          <w:b/>
          <w:color w:val="000000"/>
        </w:rPr>
        <w:t xml:space="preserve"> </w:t>
      </w:r>
      <w:r w:rsidRPr="00EE2B54">
        <w:rPr>
          <w:b/>
          <w:color w:val="000000"/>
        </w:rPr>
        <w:t>absenc</w:t>
      </w:r>
      <w:r w:rsidR="00BA7F7F">
        <w:rPr>
          <w:b/>
          <w:color w:val="000000"/>
        </w:rPr>
        <w:t>í</w:t>
      </w:r>
      <w:r w:rsidRPr="00EE2B54">
        <w:rPr>
          <w:b/>
          <w:color w:val="000000"/>
        </w:rPr>
        <w:t xml:space="preserve"> střednědobé koncepce MZ pro rozmísťování zdravotnické techniky, neexistenc</w:t>
      </w:r>
      <w:r w:rsidR="00BA7F7F">
        <w:rPr>
          <w:b/>
          <w:color w:val="000000"/>
        </w:rPr>
        <w:t>í</w:t>
      </w:r>
      <w:r w:rsidRPr="00EE2B54">
        <w:rPr>
          <w:b/>
          <w:color w:val="000000"/>
        </w:rPr>
        <w:t xml:space="preserve"> kontinuálního přehledu o již pořízené zdravotnické technice prostřednictvím všech typů dotací</w:t>
      </w:r>
      <w:r w:rsidR="00EE2B54" w:rsidRPr="00EE2B54">
        <w:rPr>
          <w:b/>
          <w:color w:val="000000"/>
        </w:rPr>
        <w:t>, zrušení</w:t>
      </w:r>
      <w:r w:rsidR="00BA7F7F">
        <w:rPr>
          <w:b/>
          <w:color w:val="000000"/>
        </w:rPr>
        <w:t>m</w:t>
      </w:r>
      <w:r w:rsidR="00EE2B54" w:rsidRPr="00EE2B54">
        <w:rPr>
          <w:b/>
          <w:color w:val="000000"/>
        </w:rPr>
        <w:t xml:space="preserve"> </w:t>
      </w:r>
      <w:r w:rsidR="00E078C3">
        <w:rPr>
          <w:b/>
          <w:color w:val="000000"/>
        </w:rPr>
        <w:t>k</w:t>
      </w:r>
      <w:r w:rsidR="00EE2B54" w:rsidRPr="00EE2B54">
        <w:rPr>
          <w:b/>
          <w:color w:val="000000"/>
        </w:rPr>
        <w:t>omise pro posuzování rozmístění přístrojových zdravotnických prostředků</w:t>
      </w:r>
      <w:r w:rsidR="00EE2B54">
        <w:rPr>
          <w:b/>
          <w:color w:val="000000"/>
        </w:rPr>
        <w:t>, neexistenc</w:t>
      </w:r>
      <w:r w:rsidR="00BA7F7F">
        <w:rPr>
          <w:b/>
          <w:color w:val="000000"/>
        </w:rPr>
        <w:t>í</w:t>
      </w:r>
      <w:r w:rsidR="00EE2B54">
        <w:rPr>
          <w:b/>
          <w:color w:val="000000"/>
        </w:rPr>
        <w:t xml:space="preserve"> registru referenčních cen </w:t>
      </w:r>
      <w:r w:rsidR="0081753C">
        <w:rPr>
          <w:b/>
          <w:color w:val="000000"/>
        </w:rPr>
        <w:t>i</w:t>
      </w:r>
      <w:r w:rsidR="00BA7F7F">
        <w:rPr>
          <w:b/>
          <w:color w:val="000000"/>
        </w:rPr>
        <w:t xml:space="preserve"> samotným </w:t>
      </w:r>
      <w:r w:rsidR="00F54DDA">
        <w:rPr>
          <w:b/>
          <w:color w:val="000000"/>
        </w:rPr>
        <w:t>přístupem</w:t>
      </w:r>
      <w:r w:rsidR="00EE2B54">
        <w:rPr>
          <w:b/>
          <w:color w:val="000000"/>
        </w:rPr>
        <w:t xml:space="preserve"> </w:t>
      </w:r>
      <w:r w:rsidR="0057335F">
        <w:rPr>
          <w:b/>
          <w:color w:val="000000"/>
        </w:rPr>
        <w:t xml:space="preserve">přímých </w:t>
      </w:r>
      <w:r w:rsidR="00EE2B54">
        <w:rPr>
          <w:b/>
          <w:color w:val="000000"/>
        </w:rPr>
        <w:t>investorů (fakultních nemocnic)</w:t>
      </w:r>
      <w:r w:rsidR="00BA7F7F">
        <w:rPr>
          <w:b/>
          <w:color w:val="000000"/>
        </w:rPr>
        <w:t>.</w:t>
      </w:r>
      <w:r w:rsidR="00EE2B54">
        <w:rPr>
          <w:b/>
          <w:color w:val="000000"/>
        </w:rPr>
        <w:t xml:space="preserve"> </w:t>
      </w:r>
    </w:p>
    <w:p w:rsidR="00EF1883" w:rsidRDefault="00EF1883" w:rsidP="00EF1883">
      <w:pPr>
        <w:spacing w:after="0" w:line="240" w:lineRule="auto"/>
        <w:jc w:val="both"/>
        <w:rPr>
          <w:b/>
          <w:color w:val="000000"/>
        </w:rPr>
      </w:pPr>
    </w:p>
    <w:p w:rsidR="00EE2B54" w:rsidRDefault="00430EA9" w:rsidP="00EF1883">
      <w:pPr>
        <w:spacing w:after="0" w:line="240" w:lineRule="auto"/>
        <w:jc w:val="both"/>
        <w:rPr>
          <w:b/>
        </w:rPr>
      </w:pPr>
      <w:r>
        <w:rPr>
          <w:b/>
          <w:color w:val="000000"/>
        </w:rPr>
        <w:t xml:space="preserve">Nedodržování </w:t>
      </w:r>
      <w:r w:rsidR="007E62C7">
        <w:rPr>
          <w:b/>
          <w:color w:val="000000"/>
        </w:rPr>
        <w:t xml:space="preserve">stanovených </w:t>
      </w:r>
      <w:r>
        <w:rPr>
          <w:b/>
          <w:color w:val="000000"/>
        </w:rPr>
        <w:t xml:space="preserve">podmínek </w:t>
      </w:r>
      <w:r w:rsidR="0080100C">
        <w:rPr>
          <w:b/>
          <w:color w:val="000000"/>
        </w:rPr>
        <w:t>ze strany MZ při</w:t>
      </w:r>
      <w:r>
        <w:rPr>
          <w:b/>
          <w:color w:val="000000"/>
        </w:rPr>
        <w:t xml:space="preserve"> financování </w:t>
      </w:r>
      <w:r w:rsidR="00007321">
        <w:rPr>
          <w:b/>
          <w:color w:val="000000"/>
        </w:rPr>
        <w:t xml:space="preserve">z </w:t>
      </w:r>
      <w:r w:rsidR="0012348E">
        <w:rPr>
          <w:b/>
          <w:color w:val="000000"/>
        </w:rPr>
        <w:t xml:space="preserve">Programu </w:t>
      </w:r>
      <w:r w:rsidR="0080100C">
        <w:rPr>
          <w:b/>
          <w:color w:val="000000"/>
        </w:rPr>
        <w:t>má za následek</w:t>
      </w:r>
      <w:r>
        <w:rPr>
          <w:b/>
          <w:color w:val="000000"/>
        </w:rPr>
        <w:t xml:space="preserve"> </w:t>
      </w:r>
      <w:r w:rsidRPr="00430EA9">
        <w:rPr>
          <w:b/>
        </w:rPr>
        <w:t>rozdrobenost poskyto</w:t>
      </w:r>
      <w:r w:rsidR="00263329">
        <w:rPr>
          <w:b/>
        </w:rPr>
        <w:t xml:space="preserve">vané podpory do mnoha finančně méně náročných </w:t>
      </w:r>
      <w:r w:rsidRPr="00430EA9">
        <w:rPr>
          <w:b/>
        </w:rPr>
        <w:t>investičních akcí</w:t>
      </w:r>
      <w:r>
        <w:rPr>
          <w:b/>
        </w:rPr>
        <w:t>.</w:t>
      </w:r>
    </w:p>
    <w:p w:rsidR="00EF1883" w:rsidRPr="00BA7F7F" w:rsidRDefault="00EF1883" w:rsidP="00EF1883">
      <w:pPr>
        <w:spacing w:after="0" w:line="240" w:lineRule="auto"/>
        <w:jc w:val="both"/>
        <w:rPr>
          <w:b/>
          <w:color w:val="000000"/>
        </w:rPr>
      </w:pPr>
    </w:p>
    <w:p w:rsidR="00980749" w:rsidRDefault="00980749" w:rsidP="00EF1883">
      <w:pPr>
        <w:spacing w:after="0" w:line="240" w:lineRule="auto"/>
        <w:jc w:val="both"/>
        <w:rPr>
          <w:b/>
          <w:bCs/>
          <w:color w:val="000000"/>
          <w:lang w:eastAsia="cs-CZ"/>
        </w:rPr>
      </w:pPr>
      <w:r>
        <w:rPr>
          <w:b/>
          <w:color w:val="000000"/>
        </w:rPr>
        <w:t xml:space="preserve">MZ </w:t>
      </w:r>
      <w:r w:rsidR="004D6543" w:rsidRPr="00F03B24">
        <w:rPr>
          <w:b/>
          <w:bCs/>
          <w:color w:val="000000"/>
          <w:lang w:eastAsia="cs-CZ"/>
        </w:rPr>
        <w:t>průběžně</w:t>
      </w:r>
      <w:r w:rsidR="004D6543" w:rsidRPr="00F03B24">
        <w:rPr>
          <w:b/>
          <w:color w:val="000000"/>
        </w:rPr>
        <w:t xml:space="preserve"> nevyhodnocovalo</w:t>
      </w:r>
      <w:r w:rsidR="004D6543">
        <w:rPr>
          <w:b/>
          <w:color w:val="000000"/>
        </w:rPr>
        <w:t xml:space="preserve"> </w:t>
      </w:r>
      <w:r>
        <w:rPr>
          <w:b/>
          <w:color w:val="000000"/>
        </w:rPr>
        <w:t xml:space="preserve">naplňování cílů (indikátorů) podpory </w:t>
      </w:r>
      <w:r w:rsidRPr="00F03B24">
        <w:rPr>
          <w:b/>
          <w:color w:val="000000"/>
        </w:rPr>
        <w:t>investi</w:t>
      </w:r>
      <w:r>
        <w:rPr>
          <w:b/>
          <w:color w:val="000000"/>
        </w:rPr>
        <w:t>čních akcí</w:t>
      </w:r>
      <w:r w:rsidRPr="00F03B24">
        <w:rPr>
          <w:b/>
          <w:color w:val="000000"/>
        </w:rPr>
        <w:t xml:space="preserve"> fakultních nemocnic</w:t>
      </w:r>
      <w:r w:rsidR="004D6543">
        <w:rPr>
          <w:b/>
          <w:color w:val="000000"/>
        </w:rPr>
        <w:t>, přesto</w:t>
      </w:r>
      <w:r>
        <w:rPr>
          <w:b/>
          <w:color w:val="000000"/>
        </w:rPr>
        <w:t xml:space="preserve">že rozpočet Programu </w:t>
      </w:r>
      <w:r w:rsidRPr="00F03B24">
        <w:rPr>
          <w:b/>
          <w:color w:val="000000"/>
        </w:rPr>
        <w:t xml:space="preserve">vzrostl </w:t>
      </w:r>
      <w:r>
        <w:rPr>
          <w:b/>
          <w:color w:val="000000"/>
        </w:rPr>
        <w:t xml:space="preserve">v období let 2004 až 2010 </w:t>
      </w:r>
      <w:r w:rsidRPr="00F03B24">
        <w:rPr>
          <w:b/>
          <w:color w:val="000000"/>
        </w:rPr>
        <w:t>o</w:t>
      </w:r>
      <w:r w:rsidR="004C1D50">
        <w:rPr>
          <w:b/>
          <w:color w:val="000000"/>
        </w:rPr>
        <w:t> </w:t>
      </w:r>
      <w:r>
        <w:rPr>
          <w:b/>
          <w:color w:val="000000"/>
        </w:rPr>
        <w:t>5</w:t>
      </w:r>
      <w:r w:rsidRPr="00F03B24">
        <w:rPr>
          <w:b/>
          <w:color w:val="000000"/>
        </w:rPr>
        <w:t xml:space="preserve">57 % na současných </w:t>
      </w:r>
      <w:r w:rsidRPr="00F03B24">
        <w:rPr>
          <w:b/>
          <w:bCs/>
          <w:color w:val="000000"/>
          <w:lang w:eastAsia="cs-CZ"/>
        </w:rPr>
        <w:t>18</w:t>
      </w:r>
      <w:r>
        <w:rPr>
          <w:b/>
          <w:bCs/>
          <w:color w:val="000000"/>
          <w:lang w:eastAsia="cs-CZ"/>
        </w:rPr>
        <w:t>,7 m</w:t>
      </w:r>
      <w:r w:rsidR="001B62BE">
        <w:rPr>
          <w:b/>
          <w:bCs/>
          <w:color w:val="000000"/>
          <w:lang w:eastAsia="cs-CZ"/>
        </w:rPr>
        <w:t>ld. Kč</w:t>
      </w:r>
      <w:r>
        <w:rPr>
          <w:b/>
          <w:bCs/>
          <w:color w:val="000000"/>
          <w:lang w:eastAsia="cs-CZ"/>
        </w:rPr>
        <w:t xml:space="preserve"> a doba </w:t>
      </w:r>
      <w:r w:rsidRPr="00F03B24">
        <w:rPr>
          <w:b/>
          <w:bCs/>
          <w:color w:val="000000"/>
          <w:lang w:eastAsia="cs-CZ"/>
        </w:rPr>
        <w:t>realizace se prodloužila o devět let</w:t>
      </w:r>
      <w:r>
        <w:rPr>
          <w:b/>
          <w:bCs/>
          <w:color w:val="000000"/>
          <w:lang w:eastAsia="cs-CZ"/>
        </w:rPr>
        <w:t>.</w:t>
      </w:r>
    </w:p>
    <w:p w:rsidR="00EF1883" w:rsidRDefault="00EF1883" w:rsidP="00EF1883">
      <w:pPr>
        <w:spacing w:after="0" w:line="240" w:lineRule="auto"/>
        <w:jc w:val="both"/>
        <w:rPr>
          <w:b/>
          <w:color w:val="000000"/>
        </w:rPr>
      </w:pPr>
    </w:p>
    <w:p w:rsidR="00B73628" w:rsidRDefault="00B73628" w:rsidP="00EF1883">
      <w:pPr>
        <w:spacing w:after="0" w:line="240" w:lineRule="auto"/>
        <w:jc w:val="both"/>
        <w:rPr>
          <w:b/>
          <w:color w:val="000000"/>
        </w:rPr>
      </w:pPr>
      <w:r>
        <w:rPr>
          <w:b/>
        </w:rPr>
        <w:t xml:space="preserve">MZ nemá zajištěny peněžní prostředky na </w:t>
      </w:r>
      <w:r w:rsidR="00966DBD">
        <w:rPr>
          <w:b/>
        </w:rPr>
        <w:t>do</w:t>
      </w:r>
      <w:r>
        <w:rPr>
          <w:b/>
        </w:rPr>
        <w:t>f</w:t>
      </w:r>
      <w:r w:rsidRPr="00B73628">
        <w:rPr>
          <w:b/>
        </w:rPr>
        <w:t xml:space="preserve">inancování </w:t>
      </w:r>
      <w:r w:rsidR="00E33339">
        <w:rPr>
          <w:b/>
        </w:rPr>
        <w:t>investičních akcí</w:t>
      </w:r>
      <w:r w:rsidR="0012348E">
        <w:rPr>
          <w:b/>
          <w:color w:val="000000"/>
        </w:rPr>
        <w:t xml:space="preserve">, které byly do Programu </w:t>
      </w:r>
      <w:r w:rsidR="00B83AE5">
        <w:rPr>
          <w:b/>
          <w:color w:val="000000"/>
        </w:rPr>
        <w:t>zařazeny dodatečně na základě přijetí zákona č.</w:t>
      </w:r>
      <w:r w:rsidR="001B62BE">
        <w:rPr>
          <w:b/>
          <w:color w:val="000000"/>
        </w:rPr>
        <w:t xml:space="preserve"> </w:t>
      </w:r>
      <w:r w:rsidR="0092390E">
        <w:rPr>
          <w:b/>
          <w:color w:val="000000"/>
        </w:rPr>
        <w:t>112/2009 Sb.</w:t>
      </w:r>
    </w:p>
    <w:p w:rsidR="00EF1883" w:rsidRDefault="00EF1883" w:rsidP="00EF1883">
      <w:pPr>
        <w:spacing w:after="0" w:line="240" w:lineRule="auto"/>
        <w:jc w:val="both"/>
        <w:rPr>
          <w:b/>
          <w:color w:val="000000"/>
        </w:rPr>
      </w:pPr>
    </w:p>
    <w:p w:rsidR="00C17EB2" w:rsidRDefault="00C17EB2" w:rsidP="00EF1883">
      <w:pPr>
        <w:spacing w:after="0" w:line="240" w:lineRule="auto"/>
        <w:jc w:val="both"/>
        <w:rPr>
          <w:b/>
        </w:rPr>
      </w:pPr>
      <w:r w:rsidRPr="0057335F">
        <w:rPr>
          <w:b/>
          <w:color w:val="000000"/>
        </w:rPr>
        <w:t xml:space="preserve">Rozhodnutí MZ </w:t>
      </w:r>
      <w:r>
        <w:rPr>
          <w:b/>
          <w:color w:val="000000"/>
        </w:rPr>
        <w:t>financovat</w:t>
      </w:r>
      <w:r w:rsidRPr="0057335F">
        <w:rPr>
          <w:b/>
          <w:color w:val="000000"/>
          <w:lang w:eastAsia="cs-CZ"/>
        </w:rPr>
        <w:t xml:space="preserve"> rekonstrukc</w:t>
      </w:r>
      <w:r>
        <w:rPr>
          <w:b/>
          <w:color w:val="000000"/>
          <w:lang w:eastAsia="cs-CZ"/>
        </w:rPr>
        <w:t>i</w:t>
      </w:r>
      <w:r w:rsidRPr="0057335F">
        <w:rPr>
          <w:b/>
          <w:color w:val="000000"/>
          <w:lang w:eastAsia="cs-CZ"/>
        </w:rPr>
        <w:t xml:space="preserve"> a modernizac</w:t>
      </w:r>
      <w:r>
        <w:rPr>
          <w:b/>
          <w:color w:val="000000"/>
          <w:lang w:eastAsia="cs-CZ"/>
        </w:rPr>
        <w:t>i</w:t>
      </w:r>
      <w:r w:rsidRPr="0057335F">
        <w:rPr>
          <w:b/>
          <w:color w:val="000000"/>
          <w:lang w:eastAsia="cs-CZ"/>
        </w:rPr>
        <w:t xml:space="preserve"> dětské části FN Motol </w:t>
      </w:r>
      <w:r>
        <w:rPr>
          <w:b/>
          <w:color w:val="000000"/>
          <w:lang w:eastAsia="cs-CZ"/>
        </w:rPr>
        <w:t xml:space="preserve">pouze z peněžních prostředků Programu a vlastních zdrojů FN </w:t>
      </w:r>
      <w:r w:rsidRPr="0057335F">
        <w:rPr>
          <w:b/>
          <w:color w:val="000000"/>
          <w:lang w:eastAsia="cs-CZ"/>
        </w:rPr>
        <w:t xml:space="preserve">způsobilo </w:t>
      </w:r>
      <w:r>
        <w:rPr>
          <w:b/>
          <w:color w:val="000000"/>
          <w:lang w:eastAsia="cs-CZ"/>
        </w:rPr>
        <w:t>významné</w:t>
      </w:r>
      <w:r w:rsidRPr="0057335F">
        <w:rPr>
          <w:b/>
          <w:color w:val="000000"/>
          <w:lang w:eastAsia="cs-CZ"/>
        </w:rPr>
        <w:t xml:space="preserve"> rozdíl</w:t>
      </w:r>
      <w:r>
        <w:rPr>
          <w:b/>
          <w:color w:val="000000"/>
          <w:lang w:eastAsia="cs-CZ"/>
        </w:rPr>
        <w:t>y</w:t>
      </w:r>
      <w:r w:rsidR="009B3527">
        <w:rPr>
          <w:b/>
          <w:color w:val="000000"/>
          <w:lang w:eastAsia="cs-CZ"/>
        </w:rPr>
        <w:t xml:space="preserve"> </w:t>
      </w:r>
      <w:r w:rsidRPr="0057335F">
        <w:rPr>
          <w:b/>
          <w:color w:val="000000"/>
          <w:lang w:eastAsia="cs-CZ"/>
        </w:rPr>
        <w:t>v</w:t>
      </w:r>
      <w:r w:rsidR="004C1D50">
        <w:rPr>
          <w:b/>
          <w:color w:val="000000"/>
          <w:lang w:eastAsia="cs-CZ"/>
        </w:rPr>
        <w:t> </w:t>
      </w:r>
      <w:r w:rsidRPr="0057335F">
        <w:rPr>
          <w:b/>
        </w:rPr>
        <w:t xml:space="preserve">podílu </w:t>
      </w:r>
      <w:r w:rsidR="00955638">
        <w:rPr>
          <w:b/>
        </w:rPr>
        <w:t xml:space="preserve">čerpání </w:t>
      </w:r>
      <w:r w:rsidR="0080100C">
        <w:rPr>
          <w:b/>
        </w:rPr>
        <w:t>u </w:t>
      </w:r>
      <w:r w:rsidRPr="0057335F">
        <w:rPr>
          <w:b/>
        </w:rPr>
        <w:t>jednotlivých fakultních nemocnic</w:t>
      </w:r>
      <w:r w:rsidR="00955638">
        <w:rPr>
          <w:b/>
        </w:rPr>
        <w:t xml:space="preserve">. </w:t>
      </w:r>
      <w:r>
        <w:rPr>
          <w:b/>
        </w:rPr>
        <w:t xml:space="preserve">Dotace pro </w:t>
      </w:r>
      <w:r w:rsidRPr="0057335F">
        <w:rPr>
          <w:b/>
        </w:rPr>
        <w:t xml:space="preserve">FN Motol přesáhla v době ukončení </w:t>
      </w:r>
      <w:r>
        <w:rPr>
          <w:b/>
        </w:rPr>
        <w:t>kontrolní akce</w:t>
      </w:r>
      <w:r w:rsidRPr="0057335F">
        <w:rPr>
          <w:b/>
        </w:rPr>
        <w:t xml:space="preserve"> částku 5,1 m</w:t>
      </w:r>
      <w:r>
        <w:rPr>
          <w:b/>
        </w:rPr>
        <w:t>ld. Kč</w:t>
      </w:r>
      <w:r w:rsidR="00E078C3">
        <w:rPr>
          <w:b/>
        </w:rPr>
        <w:t>,</w:t>
      </w:r>
      <w:r w:rsidR="00955638">
        <w:rPr>
          <w:b/>
        </w:rPr>
        <w:t xml:space="preserve"> </w:t>
      </w:r>
      <w:r w:rsidR="0080100C">
        <w:rPr>
          <w:b/>
        </w:rPr>
        <w:t>což je</w:t>
      </w:r>
      <w:r w:rsidR="00955638">
        <w:rPr>
          <w:b/>
        </w:rPr>
        <w:t xml:space="preserve"> </w:t>
      </w:r>
      <w:r>
        <w:rPr>
          <w:b/>
        </w:rPr>
        <w:t>37 %</w:t>
      </w:r>
      <w:r w:rsidR="00E13361">
        <w:rPr>
          <w:b/>
        </w:rPr>
        <w:t xml:space="preserve"> </w:t>
      </w:r>
      <w:r w:rsidR="00955638">
        <w:rPr>
          <w:b/>
        </w:rPr>
        <w:t xml:space="preserve">objemu </w:t>
      </w:r>
      <w:r w:rsidR="00955638" w:rsidRPr="0057335F">
        <w:rPr>
          <w:b/>
        </w:rPr>
        <w:t>celkově čerpaných peněžních prostřed</w:t>
      </w:r>
      <w:r w:rsidR="00955638">
        <w:rPr>
          <w:b/>
        </w:rPr>
        <w:t>ků</w:t>
      </w:r>
      <w:r w:rsidR="00955638" w:rsidRPr="0057335F">
        <w:rPr>
          <w:b/>
        </w:rPr>
        <w:t xml:space="preserve"> Programu </w:t>
      </w:r>
      <w:r w:rsidR="00966DBD">
        <w:rPr>
          <w:b/>
        </w:rPr>
        <w:t>za</w:t>
      </w:r>
      <w:r w:rsidR="00955638" w:rsidRPr="0057335F">
        <w:rPr>
          <w:b/>
        </w:rPr>
        <w:t xml:space="preserve"> období </w:t>
      </w:r>
      <w:r w:rsidR="0080100C">
        <w:rPr>
          <w:b/>
        </w:rPr>
        <w:t xml:space="preserve">let </w:t>
      </w:r>
      <w:r w:rsidR="00955638" w:rsidRPr="0057335F">
        <w:rPr>
          <w:b/>
        </w:rPr>
        <w:t xml:space="preserve">2003 </w:t>
      </w:r>
      <w:r w:rsidR="00955638">
        <w:rPr>
          <w:b/>
        </w:rPr>
        <w:t>až</w:t>
      </w:r>
      <w:r w:rsidR="00955638" w:rsidRPr="0057335F">
        <w:rPr>
          <w:b/>
        </w:rPr>
        <w:t xml:space="preserve"> 2012</w:t>
      </w:r>
      <w:r w:rsidR="00955638">
        <w:rPr>
          <w:b/>
        </w:rPr>
        <w:t>.</w:t>
      </w:r>
    </w:p>
    <w:p w:rsidR="00EF1883" w:rsidRDefault="00EF1883" w:rsidP="00EF1883">
      <w:pPr>
        <w:spacing w:after="0" w:line="240" w:lineRule="auto"/>
        <w:jc w:val="both"/>
        <w:rPr>
          <w:b/>
        </w:rPr>
      </w:pPr>
    </w:p>
    <w:p w:rsidR="00F03B24" w:rsidRDefault="00007321" w:rsidP="00EF1883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NKÚ </w:t>
      </w:r>
      <w:r w:rsidR="0080100C">
        <w:rPr>
          <w:b/>
          <w:color w:val="000000"/>
        </w:rPr>
        <w:t>prověřil v rámci vybraných podprogramů</w:t>
      </w:r>
      <w:r w:rsidR="008771C0" w:rsidRPr="008771C0">
        <w:rPr>
          <w:b/>
          <w:color w:val="000000"/>
        </w:rPr>
        <w:t xml:space="preserve"> </w:t>
      </w:r>
      <w:r w:rsidR="00053019">
        <w:rPr>
          <w:b/>
          <w:color w:val="000000"/>
        </w:rPr>
        <w:t>čtrnáct</w:t>
      </w:r>
      <w:r w:rsidR="008771C0" w:rsidRPr="008771C0">
        <w:rPr>
          <w:b/>
          <w:color w:val="000000"/>
        </w:rPr>
        <w:t xml:space="preserve"> akcí (</w:t>
      </w:r>
      <w:r w:rsidR="0080100C">
        <w:rPr>
          <w:b/>
          <w:color w:val="000000"/>
        </w:rPr>
        <w:t>u </w:t>
      </w:r>
      <w:r w:rsidR="008771C0" w:rsidRPr="008771C0">
        <w:rPr>
          <w:b/>
          <w:color w:val="000000"/>
        </w:rPr>
        <w:t xml:space="preserve">FN Motol, FN Plzeň, FN Brno a FN Ostrava) </w:t>
      </w:r>
      <w:r w:rsidR="0080100C">
        <w:rPr>
          <w:b/>
          <w:color w:val="000000"/>
        </w:rPr>
        <w:t>s</w:t>
      </w:r>
      <w:r w:rsidR="008771C0" w:rsidRPr="008771C0">
        <w:rPr>
          <w:b/>
          <w:color w:val="000000"/>
        </w:rPr>
        <w:t> celkový</w:t>
      </w:r>
      <w:r w:rsidR="0080100C">
        <w:rPr>
          <w:b/>
          <w:color w:val="000000"/>
        </w:rPr>
        <w:t>mi</w:t>
      </w:r>
      <w:r w:rsidR="008771C0" w:rsidRPr="008771C0">
        <w:rPr>
          <w:b/>
          <w:color w:val="000000"/>
        </w:rPr>
        <w:t xml:space="preserve"> náklad</w:t>
      </w:r>
      <w:r w:rsidR="0080100C">
        <w:rPr>
          <w:b/>
          <w:color w:val="000000"/>
        </w:rPr>
        <w:t>y</w:t>
      </w:r>
      <w:r w:rsidR="008771C0" w:rsidRPr="008771C0">
        <w:rPr>
          <w:b/>
          <w:color w:val="000000"/>
        </w:rPr>
        <w:t xml:space="preserve"> </w:t>
      </w:r>
      <w:r w:rsidR="008771C0" w:rsidRPr="008771C0">
        <w:rPr>
          <w:rFonts w:eastAsia="Times New Roman"/>
          <w:b/>
          <w:bCs/>
          <w:lang w:eastAsia="cs-CZ"/>
        </w:rPr>
        <w:t>6</w:t>
      </w:r>
      <w:r w:rsidR="00D90F3E">
        <w:rPr>
          <w:rFonts w:eastAsia="Times New Roman"/>
          <w:b/>
          <w:bCs/>
          <w:lang w:eastAsia="cs-CZ"/>
        </w:rPr>
        <w:t>,</w:t>
      </w:r>
      <w:r w:rsidR="008771C0" w:rsidRPr="008771C0">
        <w:rPr>
          <w:rFonts w:eastAsia="Times New Roman"/>
          <w:b/>
          <w:bCs/>
          <w:lang w:eastAsia="cs-CZ"/>
        </w:rPr>
        <w:t>6 m</w:t>
      </w:r>
      <w:r w:rsidR="00D90F3E">
        <w:rPr>
          <w:rFonts w:eastAsia="Times New Roman"/>
          <w:b/>
          <w:bCs/>
          <w:lang w:eastAsia="cs-CZ"/>
        </w:rPr>
        <w:t>ld.</w:t>
      </w:r>
      <w:r w:rsidR="008771C0" w:rsidRPr="008771C0">
        <w:rPr>
          <w:rFonts w:eastAsia="Times New Roman"/>
          <w:b/>
          <w:bCs/>
          <w:lang w:eastAsia="cs-CZ"/>
        </w:rPr>
        <w:t xml:space="preserve"> Kč, na které byl</w:t>
      </w:r>
      <w:r w:rsidR="00527D2A">
        <w:rPr>
          <w:rFonts w:eastAsia="Times New Roman"/>
          <w:b/>
          <w:bCs/>
          <w:lang w:eastAsia="cs-CZ"/>
        </w:rPr>
        <w:t>y</w:t>
      </w:r>
      <w:r w:rsidR="008771C0" w:rsidRPr="008771C0">
        <w:rPr>
          <w:rFonts w:eastAsia="Times New Roman"/>
          <w:b/>
          <w:bCs/>
          <w:lang w:eastAsia="cs-CZ"/>
        </w:rPr>
        <w:t xml:space="preserve"> poskytnut</w:t>
      </w:r>
      <w:r w:rsidR="00527D2A">
        <w:rPr>
          <w:rFonts w:eastAsia="Times New Roman"/>
          <w:b/>
          <w:bCs/>
          <w:lang w:eastAsia="cs-CZ"/>
        </w:rPr>
        <w:t>y peněžní prostředky</w:t>
      </w:r>
      <w:r w:rsidR="008771C0" w:rsidRPr="008771C0">
        <w:rPr>
          <w:rFonts w:eastAsia="Times New Roman"/>
          <w:b/>
          <w:bCs/>
          <w:lang w:eastAsia="cs-CZ"/>
        </w:rPr>
        <w:t xml:space="preserve"> ve výši 5</w:t>
      </w:r>
      <w:r w:rsidR="00D90F3E">
        <w:rPr>
          <w:rFonts w:eastAsia="Times New Roman"/>
          <w:b/>
          <w:bCs/>
          <w:lang w:eastAsia="cs-CZ"/>
        </w:rPr>
        <w:t>,6 mld.</w:t>
      </w:r>
      <w:r w:rsidR="001D2265">
        <w:rPr>
          <w:rFonts w:eastAsia="Times New Roman"/>
          <w:b/>
          <w:bCs/>
          <w:lang w:eastAsia="cs-CZ"/>
        </w:rPr>
        <w:t xml:space="preserve"> </w:t>
      </w:r>
      <w:r w:rsidR="008771C0" w:rsidRPr="008771C0">
        <w:rPr>
          <w:rFonts w:eastAsia="Times New Roman"/>
          <w:b/>
          <w:bCs/>
          <w:lang w:eastAsia="cs-CZ"/>
        </w:rPr>
        <w:t>Kč.</w:t>
      </w:r>
      <w:r w:rsidR="008771C0" w:rsidRPr="008771C0">
        <w:rPr>
          <w:b/>
          <w:color w:val="000000"/>
        </w:rPr>
        <w:t xml:space="preserve"> </w:t>
      </w:r>
      <w:r w:rsidR="003B1442">
        <w:rPr>
          <w:b/>
          <w:color w:val="000000"/>
        </w:rPr>
        <w:t xml:space="preserve">NKÚ zjistil </w:t>
      </w:r>
      <w:r w:rsidR="003B1442" w:rsidRPr="00251F55">
        <w:rPr>
          <w:b/>
          <w:color w:val="000000"/>
        </w:rPr>
        <w:t xml:space="preserve">u </w:t>
      </w:r>
      <w:r w:rsidR="003B1442">
        <w:rPr>
          <w:b/>
          <w:color w:val="000000"/>
        </w:rPr>
        <w:t xml:space="preserve">některých </w:t>
      </w:r>
      <w:r w:rsidR="003B1442" w:rsidRPr="00251F55">
        <w:rPr>
          <w:b/>
          <w:color w:val="000000"/>
        </w:rPr>
        <w:t xml:space="preserve">vybraných příjemců dotací </w:t>
      </w:r>
      <w:r w:rsidR="003B1442">
        <w:rPr>
          <w:b/>
          <w:color w:val="000000"/>
        </w:rPr>
        <w:t xml:space="preserve">řadu </w:t>
      </w:r>
      <w:r>
        <w:rPr>
          <w:b/>
          <w:color w:val="000000"/>
        </w:rPr>
        <w:t>nedostatk</w:t>
      </w:r>
      <w:r w:rsidR="003B1442">
        <w:rPr>
          <w:b/>
          <w:color w:val="000000"/>
        </w:rPr>
        <w:t>ů</w:t>
      </w:r>
      <w:r>
        <w:rPr>
          <w:b/>
          <w:color w:val="000000"/>
        </w:rPr>
        <w:t xml:space="preserve"> </w:t>
      </w:r>
      <w:r w:rsidR="00E078C3">
        <w:rPr>
          <w:b/>
          <w:color w:val="000000"/>
        </w:rPr>
        <w:t xml:space="preserve">při </w:t>
      </w:r>
      <w:r w:rsidR="001A017B">
        <w:rPr>
          <w:b/>
          <w:color w:val="000000"/>
        </w:rPr>
        <w:t>přípravě</w:t>
      </w:r>
      <w:r w:rsidR="009B3527">
        <w:rPr>
          <w:b/>
          <w:color w:val="000000"/>
        </w:rPr>
        <w:t xml:space="preserve"> </w:t>
      </w:r>
      <w:r w:rsidR="00514C16">
        <w:rPr>
          <w:b/>
          <w:color w:val="000000"/>
        </w:rPr>
        <w:t>a</w:t>
      </w:r>
      <w:r w:rsidR="004C1D50">
        <w:rPr>
          <w:b/>
          <w:color w:val="000000"/>
        </w:rPr>
        <w:t> </w:t>
      </w:r>
      <w:r w:rsidR="00514C16">
        <w:rPr>
          <w:b/>
          <w:color w:val="000000"/>
        </w:rPr>
        <w:t xml:space="preserve">realizaci </w:t>
      </w:r>
      <w:r w:rsidR="001A017B">
        <w:rPr>
          <w:b/>
          <w:color w:val="000000"/>
        </w:rPr>
        <w:t>akcí, v oblasti veřejných zakázek, účetnictví</w:t>
      </w:r>
      <w:r w:rsidR="009B3527">
        <w:rPr>
          <w:b/>
          <w:color w:val="000000"/>
        </w:rPr>
        <w:t xml:space="preserve"> </w:t>
      </w:r>
      <w:r w:rsidR="001A017B">
        <w:rPr>
          <w:b/>
          <w:color w:val="000000"/>
        </w:rPr>
        <w:t>a</w:t>
      </w:r>
      <w:r w:rsidR="0080100C">
        <w:rPr>
          <w:b/>
          <w:color w:val="000000"/>
        </w:rPr>
        <w:t> </w:t>
      </w:r>
      <w:r w:rsidR="001A017B">
        <w:rPr>
          <w:b/>
          <w:color w:val="000000"/>
        </w:rPr>
        <w:t xml:space="preserve">dodržování podmínek poskytnutí dotace. </w:t>
      </w:r>
      <w:r w:rsidR="001E78C8" w:rsidRPr="009B3527">
        <w:rPr>
          <w:b/>
          <w:lang w:eastAsia="cs-CZ"/>
        </w:rPr>
        <w:t>Skutečnosti zjištěné kontrolou NKÚ, u</w:t>
      </w:r>
      <w:r w:rsidR="0080100C">
        <w:rPr>
          <w:b/>
          <w:lang w:eastAsia="cs-CZ"/>
        </w:rPr>
        <w:t> </w:t>
      </w:r>
      <w:r w:rsidR="001E78C8" w:rsidRPr="009B3527">
        <w:rPr>
          <w:b/>
          <w:lang w:eastAsia="cs-CZ"/>
        </w:rPr>
        <w:t xml:space="preserve">kterých je důvodné podezření na porušení rozpočtové kázně, </w:t>
      </w:r>
      <w:r w:rsidR="0080100C">
        <w:rPr>
          <w:b/>
          <w:lang w:eastAsia="cs-CZ"/>
        </w:rPr>
        <w:t>byly</w:t>
      </w:r>
      <w:r w:rsidR="001E78C8" w:rsidRPr="009B3527">
        <w:rPr>
          <w:b/>
          <w:lang w:eastAsia="cs-CZ"/>
        </w:rPr>
        <w:t xml:space="preserve"> oznámeny </w:t>
      </w:r>
      <w:r w:rsidR="001E78C8" w:rsidRPr="009B3527">
        <w:rPr>
          <w:b/>
          <w:lang w:eastAsia="cs-CZ"/>
        </w:rPr>
        <w:lastRenderedPageBreak/>
        <w:t>příslušným finančním úřadům.</w:t>
      </w:r>
      <w:r w:rsidR="001E78C8">
        <w:rPr>
          <w:b/>
          <w:color w:val="000000"/>
        </w:rPr>
        <w:t xml:space="preserve"> </w:t>
      </w:r>
      <w:r w:rsidR="00C47FB2">
        <w:rPr>
          <w:b/>
          <w:color w:val="000000"/>
        </w:rPr>
        <w:t>Přestože</w:t>
      </w:r>
      <w:r w:rsidR="003B1442">
        <w:rPr>
          <w:b/>
          <w:color w:val="000000"/>
        </w:rPr>
        <w:t xml:space="preserve"> MZ </w:t>
      </w:r>
      <w:r w:rsidR="003B1442" w:rsidRPr="00251F55">
        <w:rPr>
          <w:b/>
        </w:rPr>
        <w:t xml:space="preserve">provedlo v kontrolovaném období celkem </w:t>
      </w:r>
      <w:r w:rsidR="003B1442">
        <w:rPr>
          <w:b/>
        </w:rPr>
        <w:t>třináct</w:t>
      </w:r>
      <w:r w:rsidR="003B1442" w:rsidRPr="00251F55">
        <w:rPr>
          <w:b/>
        </w:rPr>
        <w:t xml:space="preserve"> kontrol </w:t>
      </w:r>
      <w:r w:rsidR="000A4800">
        <w:rPr>
          <w:b/>
        </w:rPr>
        <w:t xml:space="preserve">zaměřených na </w:t>
      </w:r>
      <w:r w:rsidR="003B1442" w:rsidRPr="00251F55">
        <w:rPr>
          <w:b/>
        </w:rPr>
        <w:t>akc</w:t>
      </w:r>
      <w:r w:rsidR="000A4800">
        <w:rPr>
          <w:b/>
        </w:rPr>
        <w:t>e</w:t>
      </w:r>
      <w:r w:rsidR="003B1442" w:rsidRPr="00251F55">
        <w:rPr>
          <w:b/>
        </w:rPr>
        <w:t xml:space="preserve"> vybraných podprogramů, </w:t>
      </w:r>
      <w:r w:rsidR="003B1442">
        <w:rPr>
          <w:b/>
        </w:rPr>
        <w:t xml:space="preserve">nezjistilo ani </w:t>
      </w:r>
      <w:r w:rsidR="003B1442" w:rsidRPr="00251F55">
        <w:rPr>
          <w:b/>
        </w:rPr>
        <w:t xml:space="preserve">v jedné z nich </w:t>
      </w:r>
      <w:r w:rsidR="003B1442">
        <w:rPr>
          <w:b/>
          <w:color w:val="000000"/>
        </w:rPr>
        <w:t xml:space="preserve">žádné pochybení. </w:t>
      </w:r>
    </w:p>
    <w:sectPr w:rsidR="00F03B24" w:rsidSect="0028103B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08" w:rsidRDefault="00032908" w:rsidP="004D72D0">
      <w:pPr>
        <w:spacing w:after="0" w:line="240" w:lineRule="auto"/>
      </w:pPr>
      <w:r>
        <w:separator/>
      </w:r>
    </w:p>
  </w:endnote>
  <w:endnote w:type="continuationSeparator" w:id="0">
    <w:p w:rsidR="00032908" w:rsidRDefault="00032908" w:rsidP="004D72D0">
      <w:pPr>
        <w:spacing w:after="0" w:line="240" w:lineRule="auto"/>
      </w:pPr>
      <w:r>
        <w:continuationSeparator/>
      </w:r>
    </w:p>
  </w:endnote>
  <w:endnote w:type="continuationNotice" w:id="1">
    <w:p w:rsidR="00EB444C" w:rsidRDefault="00EB4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08" w:rsidRDefault="00032908" w:rsidP="003B6D9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FA5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08" w:rsidRDefault="00032908" w:rsidP="004D72D0">
      <w:pPr>
        <w:spacing w:after="0" w:line="240" w:lineRule="auto"/>
      </w:pPr>
      <w:r>
        <w:separator/>
      </w:r>
    </w:p>
  </w:footnote>
  <w:footnote w:type="continuationSeparator" w:id="0">
    <w:p w:rsidR="00032908" w:rsidRDefault="00032908" w:rsidP="004D72D0">
      <w:pPr>
        <w:spacing w:after="0" w:line="240" w:lineRule="auto"/>
      </w:pPr>
      <w:r>
        <w:continuationSeparator/>
      </w:r>
    </w:p>
  </w:footnote>
  <w:footnote w:type="continuationNotice" w:id="1">
    <w:p w:rsidR="00EB444C" w:rsidRDefault="00EB444C">
      <w:pPr>
        <w:spacing w:after="0" w:line="240" w:lineRule="auto"/>
      </w:pPr>
    </w:p>
  </w:footnote>
  <w:footnote w:id="2">
    <w:p w:rsidR="00032908" w:rsidRDefault="00032908" w:rsidP="00E9506F">
      <w:pPr>
        <w:autoSpaceDE w:val="0"/>
        <w:autoSpaceDN w:val="0"/>
        <w:adjustRightInd w:val="0"/>
        <w:spacing w:after="0"/>
        <w:ind w:left="284" w:hanging="284"/>
        <w:jc w:val="both"/>
        <w:rPr>
          <w:bCs/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bCs/>
          <w:sz w:val="18"/>
          <w:szCs w:val="18"/>
        </w:rPr>
        <w:tab/>
      </w:r>
      <w:r w:rsidRPr="00E9506F">
        <w:rPr>
          <w:bCs/>
          <w:sz w:val="18"/>
          <w:szCs w:val="18"/>
        </w:rPr>
        <w:t>Zákon č. 2/1969 Sb., o zřízení ministerstev a jiných ústředních orgánů státní správy České republiky.</w:t>
      </w:r>
    </w:p>
    <w:p w:rsidR="00500965" w:rsidRPr="00E9506F" w:rsidRDefault="00500965" w:rsidP="00E9506F">
      <w:pPr>
        <w:autoSpaceDE w:val="0"/>
        <w:autoSpaceDN w:val="0"/>
        <w:adjustRightInd w:val="0"/>
        <w:spacing w:after="0"/>
        <w:ind w:left="284" w:hanging="284"/>
        <w:jc w:val="both"/>
        <w:rPr>
          <w:bCs/>
          <w:sz w:val="18"/>
          <w:szCs w:val="18"/>
        </w:rPr>
      </w:pPr>
    </w:p>
  </w:footnote>
  <w:footnote w:id="3">
    <w:p w:rsidR="00032908" w:rsidRPr="00E9506F" w:rsidRDefault="00032908" w:rsidP="00E9506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color w:val="000000"/>
          <w:sz w:val="18"/>
          <w:szCs w:val="18"/>
        </w:rPr>
        <w:tab/>
      </w:r>
      <w:r w:rsidRPr="00E9506F">
        <w:rPr>
          <w:color w:val="000000"/>
          <w:sz w:val="18"/>
          <w:szCs w:val="18"/>
        </w:rPr>
        <w:t xml:space="preserve">Vyhláška </w:t>
      </w:r>
      <w:r w:rsidRPr="00E9506F">
        <w:rPr>
          <w:sz w:val="18"/>
          <w:szCs w:val="18"/>
        </w:rPr>
        <w:t xml:space="preserve">č. 394/1991 Sb., </w:t>
      </w:r>
      <w:r w:rsidRPr="00E9506F">
        <w:rPr>
          <w:color w:val="000000"/>
          <w:sz w:val="18"/>
          <w:szCs w:val="18"/>
        </w:rPr>
        <w:t>o postavení, organizaci a činnosti fakultních nemocnic a dalších nemocnic, vybraných odborných léčebných ústavů a krajských hygienických stanic v řídící působnosti ministerstva zdravotnictví České republiky.</w:t>
      </w:r>
    </w:p>
  </w:footnote>
  <w:footnote w:id="4">
    <w:p w:rsidR="00032908" w:rsidRPr="00E9506F" w:rsidRDefault="00032908" w:rsidP="00E9506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sz w:val="18"/>
          <w:szCs w:val="18"/>
        </w:rPr>
        <w:t>Zákon č. 372/2011 Sb., o zdravotních službách a podmínkách jejich poskytování (zákon o zdravotních službách).</w:t>
      </w:r>
    </w:p>
  </w:footnote>
  <w:footnote w:id="5">
    <w:p w:rsidR="00032908" w:rsidRPr="00E9506F" w:rsidRDefault="00032908" w:rsidP="00E9506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rStyle w:val="Siln"/>
          <w:b w:val="0"/>
          <w:sz w:val="18"/>
          <w:szCs w:val="18"/>
        </w:rPr>
        <w:t>Zákon č. 218/2000 Sb., o rozpočtových pravidlech a o změně některých souvisejících</w:t>
      </w:r>
      <w:r w:rsidRPr="00936CF4">
        <w:rPr>
          <w:bCs/>
          <w:sz w:val="18"/>
          <w:szCs w:val="18"/>
        </w:rPr>
        <w:t xml:space="preserve"> </w:t>
      </w:r>
      <w:r w:rsidRPr="00E9506F">
        <w:rPr>
          <w:rStyle w:val="Siln"/>
          <w:b w:val="0"/>
          <w:sz w:val="18"/>
          <w:szCs w:val="18"/>
        </w:rPr>
        <w:t>zákonů (rozpočtová pravidla).</w:t>
      </w:r>
    </w:p>
  </w:footnote>
  <w:footnote w:id="6">
    <w:p w:rsidR="00032908" w:rsidRPr="00E9506F" w:rsidRDefault="00032908" w:rsidP="00E9506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bCs/>
          <w:sz w:val="18"/>
          <w:szCs w:val="18"/>
        </w:rPr>
        <w:t xml:space="preserve">Vyhláška č. 560/2006 Sb., o účasti státního rozpočtu na financování programů reprodukce majetku </w:t>
      </w:r>
      <w:r w:rsidRPr="00E9506F">
        <w:rPr>
          <w:sz w:val="18"/>
          <w:szCs w:val="18"/>
          <w:lang w:eastAsia="cs-CZ"/>
        </w:rPr>
        <w:t>(</w:t>
      </w:r>
      <w:r w:rsidRPr="00E9506F">
        <w:rPr>
          <w:sz w:val="18"/>
          <w:szCs w:val="18"/>
        </w:rPr>
        <w:t>resp. před 1. lednem 2007</w:t>
      </w:r>
      <w:r w:rsidRPr="00E9506F">
        <w:rPr>
          <w:sz w:val="18"/>
          <w:szCs w:val="18"/>
          <w:lang w:eastAsia="cs-CZ"/>
        </w:rPr>
        <w:t xml:space="preserve"> vyhláška č. 40/2001 Sb., </w:t>
      </w:r>
      <w:r w:rsidRPr="00E9506F">
        <w:rPr>
          <w:bCs/>
          <w:sz w:val="18"/>
          <w:szCs w:val="18"/>
        </w:rPr>
        <w:t>o účasti státního rozpočtu na financování programů reprodukce majetku).</w:t>
      </w:r>
    </w:p>
  </w:footnote>
  <w:footnote w:id="7">
    <w:p w:rsidR="00032908" w:rsidRPr="00E9506F" w:rsidRDefault="00032908" w:rsidP="00E9506F">
      <w:pPr>
        <w:pStyle w:val="Textpoznpodarou"/>
        <w:ind w:left="284" w:hanging="284"/>
        <w:jc w:val="both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sz w:val="18"/>
          <w:szCs w:val="18"/>
        </w:rPr>
        <w:t xml:space="preserve">Pokyn MF č. R1-07, č. R2-07 – oba pod názvem </w:t>
      </w:r>
      <w:r w:rsidRPr="00E83989">
        <w:rPr>
          <w:i/>
          <w:sz w:val="18"/>
          <w:szCs w:val="18"/>
        </w:rPr>
        <w:t>k řízení programů a provozování informačního systému programového financování</w:t>
      </w:r>
      <w:r w:rsidRPr="00E9506F">
        <w:rPr>
          <w:sz w:val="18"/>
          <w:szCs w:val="18"/>
        </w:rPr>
        <w:t xml:space="preserve"> a č. R1-2010</w:t>
      </w:r>
      <w:r>
        <w:rPr>
          <w:sz w:val="18"/>
          <w:szCs w:val="18"/>
        </w:rPr>
        <w:t>,</w:t>
      </w:r>
      <w:r w:rsidRPr="00E9506F">
        <w:rPr>
          <w:sz w:val="18"/>
          <w:szCs w:val="18"/>
        </w:rPr>
        <w:t xml:space="preserve"> </w:t>
      </w:r>
      <w:r w:rsidRPr="00E83989">
        <w:rPr>
          <w:i/>
          <w:sz w:val="18"/>
          <w:szCs w:val="18"/>
        </w:rPr>
        <w:t>k upřesnění postupu Ministerstva financí, správců programů a účastníků programu při přípravě, realizaci, financování a vyhodnocování programu nebo akce a k provozování informačního systému programového financování</w:t>
      </w:r>
      <w:r w:rsidRPr="00E9506F">
        <w:rPr>
          <w:sz w:val="18"/>
          <w:szCs w:val="18"/>
        </w:rPr>
        <w:t>.</w:t>
      </w:r>
    </w:p>
  </w:footnote>
  <w:footnote w:id="8">
    <w:p w:rsidR="00032908" w:rsidRPr="00E9506F" w:rsidRDefault="00032908" w:rsidP="00E9506F">
      <w:pPr>
        <w:pStyle w:val="Textpoznpodarou"/>
        <w:ind w:left="284" w:hanging="284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sz w:val="18"/>
          <w:szCs w:val="18"/>
        </w:rPr>
        <w:t>Registrační list akce.</w:t>
      </w:r>
    </w:p>
  </w:footnote>
  <w:footnote w:id="9">
    <w:p w:rsidR="00032908" w:rsidRPr="00E9506F" w:rsidRDefault="00032908" w:rsidP="00E9506F">
      <w:pPr>
        <w:pStyle w:val="Textpoznpodarou"/>
        <w:ind w:left="284" w:hanging="284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sz w:val="18"/>
          <w:szCs w:val="18"/>
        </w:rPr>
        <w:t>Z</w:t>
      </w:r>
      <w:r w:rsidRPr="00E9506F">
        <w:rPr>
          <w:rStyle w:val="st"/>
          <w:color w:val="222222"/>
          <w:sz w:val="18"/>
          <w:szCs w:val="18"/>
        </w:rPr>
        <w:t xml:space="preserve">ákon č. </w:t>
      </w:r>
      <w:r w:rsidRPr="00E9506F">
        <w:rPr>
          <w:rStyle w:val="Zvraznn"/>
          <w:b w:val="0"/>
          <w:color w:val="222222"/>
          <w:sz w:val="18"/>
          <w:szCs w:val="18"/>
        </w:rPr>
        <w:t>137/2006 Sb</w:t>
      </w:r>
      <w:r w:rsidRPr="00E83989">
        <w:rPr>
          <w:rStyle w:val="st"/>
          <w:color w:val="222222"/>
          <w:sz w:val="18"/>
          <w:szCs w:val="18"/>
        </w:rPr>
        <w:t>.,</w:t>
      </w:r>
      <w:r w:rsidRPr="00E9506F">
        <w:rPr>
          <w:rStyle w:val="st"/>
          <w:color w:val="222222"/>
          <w:sz w:val="18"/>
          <w:szCs w:val="18"/>
        </w:rPr>
        <w:t xml:space="preserve"> o veřejných zakázkách.</w:t>
      </w:r>
    </w:p>
  </w:footnote>
  <w:footnote w:id="10">
    <w:p w:rsidR="00032908" w:rsidRPr="00E9506F" w:rsidRDefault="00032908" w:rsidP="00E9506F">
      <w:pPr>
        <w:pStyle w:val="Textpoznpodarou"/>
        <w:ind w:left="284" w:hanging="284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rStyle w:val="Zvraznn"/>
          <w:b w:val="0"/>
          <w:color w:val="222222"/>
          <w:sz w:val="18"/>
          <w:szCs w:val="18"/>
        </w:rPr>
        <w:t>Výdaje organizační složky státu</w:t>
      </w:r>
      <w:r w:rsidRPr="00E9506F">
        <w:rPr>
          <w:rStyle w:val="st"/>
          <w:color w:val="222222"/>
          <w:sz w:val="18"/>
          <w:szCs w:val="18"/>
        </w:rPr>
        <w:t xml:space="preserve"> a dotace ze státního rozpočtu (</w:t>
      </w:r>
      <w:r w:rsidRPr="00E9506F">
        <w:rPr>
          <w:rStyle w:val="Zvraznn"/>
          <w:b w:val="0"/>
          <w:color w:val="222222"/>
          <w:sz w:val="18"/>
          <w:szCs w:val="18"/>
        </w:rPr>
        <w:t>VDS</w:t>
      </w:r>
      <w:r w:rsidRPr="00E9506F">
        <w:rPr>
          <w:rStyle w:val="st"/>
          <w:color w:val="222222"/>
          <w:sz w:val="18"/>
          <w:szCs w:val="18"/>
        </w:rPr>
        <w:t>).</w:t>
      </w:r>
    </w:p>
  </w:footnote>
  <w:footnote w:id="11">
    <w:p w:rsidR="00032908" w:rsidRPr="00E9506F" w:rsidRDefault="00032908" w:rsidP="00965AA5">
      <w:pPr>
        <w:pStyle w:val="Textpoznpodarou"/>
        <w:ind w:left="284" w:hanging="284"/>
        <w:jc w:val="both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color w:val="000000"/>
          <w:sz w:val="18"/>
          <w:szCs w:val="18"/>
        </w:rPr>
        <w:t xml:space="preserve">Kontrolní závěr z kontrolní akce č. 06/25 </w:t>
      </w:r>
      <w:r>
        <w:rPr>
          <w:color w:val="000000"/>
          <w:sz w:val="18"/>
          <w:szCs w:val="18"/>
        </w:rPr>
        <w:t>–</w:t>
      </w:r>
      <w:r w:rsidRPr="00E9506F">
        <w:rPr>
          <w:color w:val="000000"/>
          <w:sz w:val="18"/>
          <w:szCs w:val="18"/>
        </w:rPr>
        <w:t xml:space="preserve"> </w:t>
      </w:r>
      <w:r w:rsidRPr="00E83989">
        <w:rPr>
          <w:i/>
          <w:color w:val="000000"/>
          <w:sz w:val="18"/>
          <w:szCs w:val="18"/>
        </w:rPr>
        <w:t>Finanční prostředky státního rozpočtu poskytnuté na realizaci programu „Podpora rozvoje a obnovy materiálně-technické základny fakultních nemocnic“</w:t>
      </w:r>
      <w:r w:rsidRPr="00E9506F">
        <w:rPr>
          <w:color w:val="000000"/>
          <w:sz w:val="18"/>
          <w:szCs w:val="18"/>
        </w:rPr>
        <w:t xml:space="preserve"> byl zveřejněn v částce 1/2007</w:t>
      </w:r>
      <w:r w:rsidRPr="00E9506F">
        <w:rPr>
          <w:i/>
          <w:color w:val="000000"/>
          <w:sz w:val="18"/>
          <w:szCs w:val="18"/>
        </w:rPr>
        <w:t xml:space="preserve"> </w:t>
      </w:r>
      <w:r w:rsidRPr="00E83989">
        <w:rPr>
          <w:i/>
          <w:color w:val="000000"/>
          <w:sz w:val="18"/>
          <w:szCs w:val="18"/>
        </w:rPr>
        <w:t>Věstníku NKÚ</w:t>
      </w:r>
      <w:r w:rsidRPr="00E9506F">
        <w:rPr>
          <w:color w:val="000000"/>
          <w:sz w:val="18"/>
          <w:szCs w:val="18"/>
        </w:rPr>
        <w:t>.</w:t>
      </w:r>
    </w:p>
  </w:footnote>
  <w:footnote w:id="12">
    <w:p w:rsidR="00032908" w:rsidRPr="00E9506F" w:rsidRDefault="00032908" w:rsidP="00965AA5">
      <w:pPr>
        <w:pStyle w:val="Textpoznpodarou"/>
        <w:ind w:left="284" w:hanging="284"/>
        <w:jc w:val="both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sz w:val="18"/>
          <w:szCs w:val="18"/>
        </w:rPr>
        <w:t>Celkově byla z rozpočtu Programu od začátku jeho realizace (rok 2003) vyčerpána částka ve výši 13 964,6</w:t>
      </w:r>
      <w:r>
        <w:rPr>
          <w:sz w:val="18"/>
          <w:szCs w:val="18"/>
        </w:rPr>
        <w:t> </w:t>
      </w:r>
      <w:r w:rsidRPr="00E9506F">
        <w:rPr>
          <w:sz w:val="18"/>
          <w:szCs w:val="18"/>
        </w:rPr>
        <w:t>mil. Kč.</w:t>
      </w:r>
    </w:p>
  </w:footnote>
  <w:footnote w:id="13">
    <w:p w:rsidR="00032908" w:rsidRPr="00E9506F" w:rsidRDefault="00032908" w:rsidP="00E9506F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bCs/>
          <w:sz w:val="18"/>
          <w:szCs w:val="18"/>
        </w:rPr>
        <w:t xml:space="preserve">RF – rezervní fond, NNPV </w:t>
      </w:r>
      <w:r>
        <w:rPr>
          <w:bCs/>
          <w:sz w:val="18"/>
          <w:szCs w:val="18"/>
        </w:rPr>
        <w:t>–</w:t>
      </w:r>
      <w:r w:rsidRPr="00E9506F">
        <w:rPr>
          <w:bCs/>
          <w:sz w:val="18"/>
          <w:szCs w:val="18"/>
        </w:rPr>
        <w:t xml:space="preserve"> nároky z nespotřebovaných profilujících výdajů.</w:t>
      </w:r>
    </w:p>
  </w:footnote>
  <w:footnote w:id="14">
    <w:p w:rsidR="00032908" w:rsidRPr="00E9506F" w:rsidRDefault="00032908" w:rsidP="00E9506F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sz w:val="18"/>
          <w:szCs w:val="18"/>
        </w:rPr>
        <w:t>Zákon č. 112/2009 Sb., kterým se mění zákon č. 178/2005 Sb., o zrušení Fondu národního majetku České republiky a o působnosti Ministerstva financí při privatizaci majetku České republiky (zákon o zrušení Fondu národního majetku), ve znění pozdějších předpisů.</w:t>
      </w:r>
    </w:p>
  </w:footnote>
  <w:footnote w:id="15">
    <w:p w:rsidR="00032908" w:rsidRPr="00E9506F" w:rsidRDefault="00032908" w:rsidP="00E9506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sz w:val="18"/>
          <w:szCs w:val="18"/>
        </w:rPr>
        <w:t>Usnesení vlády České republiky ze dne 8. června 2009 č. 715</w:t>
      </w:r>
      <w:r>
        <w:rPr>
          <w:sz w:val="18"/>
          <w:szCs w:val="18"/>
        </w:rPr>
        <w:t>,</w:t>
      </w:r>
      <w:r w:rsidRPr="00E9506F">
        <w:rPr>
          <w:sz w:val="18"/>
          <w:szCs w:val="18"/>
        </w:rPr>
        <w:t xml:space="preserve"> </w:t>
      </w:r>
      <w:r w:rsidRPr="00E83989">
        <w:rPr>
          <w:i/>
          <w:sz w:val="18"/>
          <w:szCs w:val="18"/>
        </w:rPr>
        <w:t>o střednědobých výdajových rámcích vlády na léta 2010 až 2012</w:t>
      </w:r>
      <w:r w:rsidRPr="00E9506F">
        <w:rPr>
          <w:sz w:val="18"/>
          <w:szCs w:val="18"/>
        </w:rPr>
        <w:t>.</w:t>
      </w:r>
    </w:p>
  </w:footnote>
  <w:footnote w:id="16">
    <w:p w:rsidR="00032908" w:rsidRPr="00E9506F" w:rsidRDefault="00032908" w:rsidP="00E9506F">
      <w:pPr>
        <w:pStyle w:val="Textpoznpodarou"/>
        <w:ind w:left="284" w:hanging="284"/>
        <w:jc w:val="both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sz w:val="18"/>
          <w:szCs w:val="18"/>
        </w:rPr>
        <w:t>Usnesení vlády České republiky ze dne 4. května 2009 č. 586</w:t>
      </w:r>
      <w:r>
        <w:rPr>
          <w:sz w:val="18"/>
          <w:szCs w:val="18"/>
        </w:rPr>
        <w:t>,</w:t>
      </w:r>
      <w:r w:rsidRPr="00E9506F">
        <w:rPr>
          <w:sz w:val="18"/>
          <w:szCs w:val="18"/>
        </w:rPr>
        <w:t xml:space="preserve"> </w:t>
      </w:r>
      <w:r w:rsidRPr="00E83989">
        <w:rPr>
          <w:i/>
          <w:sz w:val="18"/>
          <w:szCs w:val="18"/>
        </w:rPr>
        <w:t>ke strategickým investicím v resortu Ministerstva zdravotnictví v roce 2009</w:t>
      </w:r>
      <w:r>
        <w:rPr>
          <w:sz w:val="18"/>
          <w:szCs w:val="18"/>
        </w:rPr>
        <w:t>,</w:t>
      </w:r>
      <w:r w:rsidRPr="00E9506F">
        <w:rPr>
          <w:sz w:val="18"/>
          <w:szCs w:val="18"/>
        </w:rPr>
        <w:t xml:space="preserve"> a usnesení vlády České republiky ze dne 9. listopadu 2009 č. 1372</w:t>
      </w:r>
      <w:r>
        <w:rPr>
          <w:sz w:val="18"/>
          <w:szCs w:val="18"/>
        </w:rPr>
        <w:t>,</w:t>
      </w:r>
      <w:r w:rsidRPr="00E9506F">
        <w:rPr>
          <w:sz w:val="18"/>
          <w:szCs w:val="18"/>
        </w:rPr>
        <w:t xml:space="preserve"> </w:t>
      </w:r>
      <w:r w:rsidRPr="00E83989">
        <w:rPr>
          <w:i/>
          <w:sz w:val="18"/>
          <w:szCs w:val="18"/>
        </w:rPr>
        <w:t>o změně usnesení vlády ze dne 4. května 2009 č. 586, ke strategickým investicím v resortu Ministerstva zdravotnictví v roce 2009</w:t>
      </w:r>
      <w:r w:rsidRPr="00E9506F">
        <w:rPr>
          <w:sz w:val="18"/>
          <w:szCs w:val="18"/>
        </w:rPr>
        <w:t>.</w:t>
      </w:r>
    </w:p>
  </w:footnote>
  <w:footnote w:id="17">
    <w:p w:rsidR="00032908" w:rsidRPr="00E9506F" w:rsidRDefault="00032908" w:rsidP="00E9506F">
      <w:pPr>
        <w:pStyle w:val="Textpoznpodarou"/>
        <w:ind w:left="284" w:hanging="284"/>
        <w:jc w:val="both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bCs/>
          <w:sz w:val="18"/>
          <w:szCs w:val="18"/>
        </w:rPr>
        <w:t>Zákon č. 15/2012 Sb., kterým se mění zákon č. 178/2005 Sb., o zrušení Fondu národního majetku České republiky a o působnosti Ministerstva financí při privatizaci majetku České republiky (zákon o zrušení Fondu národního majetku), ve znění pozdějších předpisů.</w:t>
      </w:r>
    </w:p>
  </w:footnote>
  <w:footnote w:id="18">
    <w:p w:rsidR="00032908" w:rsidRPr="00E9506F" w:rsidRDefault="00032908" w:rsidP="00E9506F">
      <w:pPr>
        <w:pStyle w:val="Textpoznpodarou"/>
        <w:ind w:left="284" w:hanging="284"/>
        <w:jc w:val="both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rStyle w:val="Zvraznn"/>
          <w:b w:val="0"/>
          <w:color w:val="222222"/>
          <w:sz w:val="18"/>
          <w:szCs w:val="18"/>
        </w:rPr>
        <w:t>EDS</w:t>
      </w:r>
      <w:r w:rsidRPr="00E9506F">
        <w:rPr>
          <w:rStyle w:val="st"/>
          <w:b/>
          <w:color w:val="222222"/>
          <w:sz w:val="18"/>
          <w:szCs w:val="18"/>
        </w:rPr>
        <w:t>/</w:t>
      </w:r>
      <w:r w:rsidRPr="00E9506F">
        <w:rPr>
          <w:rStyle w:val="st"/>
          <w:color w:val="222222"/>
          <w:sz w:val="18"/>
          <w:szCs w:val="18"/>
        </w:rPr>
        <w:t>SM</w:t>
      </w:r>
      <w:r>
        <w:rPr>
          <w:rStyle w:val="st"/>
          <w:color w:val="222222"/>
          <w:sz w:val="18"/>
          <w:szCs w:val="18"/>
        </w:rPr>
        <w:t>V</w:t>
      </w:r>
      <w:r w:rsidRPr="00E9506F">
        <w:rPr>
          <w:rStyle w:val="st"/>
          <w:color w:val="222222"/>
          <w:sz w:val="18"/>
          <w:szCs w:val="18"/>
        </w:rPr>
        <w:t xml:space="preserve">S </w:t>
      </w:r>
      <w:r>
        <w:rPr>
          <w:rStyle w:val="st"/>
          <w:color w:val="222222"/>
          <w:sz w:val="18"/>
          <w:szCs w:val="18"/>
        </w:rPr>
        <w:t>–</w:t>
      </w:r>
      <w:r w:rsidRPr="00E9506F">
        <w:rPr>
          <w:rStyle w:val="st"/>
          <w:color w:val="222222"/>
          <w:sz w:val="18"/>
          <w:szCs w:val="18"/>
        </w:rPr>
        <w:t xml:space="preserve"> </w:t>
      </w:r>
      <w:r>
        <w:rPr>
          <w:rStyle w:val="st"/>
          <w:color w:val="222222"/>
          <w:sz w:val="18"/>
          <w:szCs w:val="18"/>
        </w:rPr>
        <w:t>i</w:t>
      </w:r>
      <w:r w:rsidRPr="00E9506F">
        <w:rPr>
          <w:rStyle w:val="st"/>
          <w:color w:val="222222"/>
          <w:sz w:val="18"/>
          <w:szCs w:val="18"/>
        </w:rPr>
        <w:t>nformační systém</w:t>
      </w:r>
      <w:r>
        <w:rPr>
          <w:rStyle w:val="st"/>
          <w:color w:val="222222"/>
          <w:sz w:val="18"/>
          <w:szCs w:val="18"/>
        </w:rPr>
        <w:t>y</w:t>
      </w:r>
      <w:r w:rsidRPr="00E9506F">
        <w:rPr>
          <w:rStyle w:val="st"/>
          <w:color w:val="222222"/>
          <w:sz w:val="18"/>
          <w:szCs w:val="18"/>
        </w:rPr>
        <w:t xml:space="preserve"> programového financování </w:t>
      </w:r>
      <w:r w:rsidRPr="00E83989">
        <w:rPr>
          <w:rStyle w:val="st"/>
          <w:i/>
          <w:color w:val="222222"/>
          <w:sz w:val="18"/>
          <w:szCs w:val="18"/>
        </w:rPr>
        <w:t>Evidenční dotační systém</w:t>
      </w:r>
      <w:r w:rsidRPr="00E9506F">
        <w:rPr>
          <w:rStyle w:val="st"/>
          <w:color w:val="222222"/>
          <w:sz w:val="18"/>
          <w:szCs w:val="18"/>
        </w:rPr>
        <w:t xml:space="preserve"> (</w:t>
      </w:r>
      <w:r w:rsidRPr="00E9506F">
        <w:rPr>
          <w:rStyle w:val="Zvraznn"/>
          <w:b w:val="0"/>
          <w:color w:val="222222"/>
          <w:sz w:val="18"/>
          <w:szCs w:val="18"/>
        </w:rPr>
        <w:t>EDS</w:t>
      </w:r>
      <w:r w:rsidRPr="00E9506F">
        <w:rPr>
          <w:rStyle w:val="st"/>
          <w:color w:val="222222"/>
          <w:sz w:val="18"/>
          <w:szCs w:val="18"/>
        </w:rPr>
        <w:t xml:space="preserve">) a </w:t>
      </w:r>
      <w:r w:rsidRPr="00E83989">
        <w:rPr>
          <w:rStyle w:val="st"/>
          <w:i/>
          <w:color w:val="222222"/>
          <w:sz w:val="18"/>
          <w:szCs w:val="18"/>
        </w:rPr>
        <w:t>Správa majetku ve vlastnictví státu</w:t>
      </w:r>
      <w:r w:rsidRPr="00E9506F">
        <w:rPr>
          <w:rStyle w:val="st"/>
          <w:color w:val="222222"/>
          <w:sz w:val="18"/>
          <w:szCs w:val="18"/>
        </w:rPr>
        <w:t xml:space="preserve"> (</w:t>
      </w:r>
      <w:r w:rsidRPr="00E9506F">
        <w:rPr>
          <w:rStyle w:val="Zvraznn"/>
          <w:b w:val="0"/>
          <w:color w:val="222222"/>
          <w:sz w:val="18"/>
          <w:szCs w:val="18"/>
        </w:rPr>
        <w:t>SMVS</w:t>
      </w:r>
      <w:r w:rsidRPr="00E9506F">
        <w:rPr>
          <w:rStyle w:val="st"/>
          <w:color w:val="222222"/>
          <w:sz w:val="18"/>
          <w:szCs w:val="18"/>
        </w:rPr>
        <w:t>).</w:t>
      </w:r>
    </w:p>
  </w:footnote>
  <w:footnote w:id="19">
    <w:p w:rsidR="00032908" w:rsidRPr="00E9506F" w:rsidRDefault="00032908" w:rsidP="00E9506F">
      <w:pPr>
        <w:pStyle w:val="Textpoznpodarou"/>
        <w:ind w:left="284" w:hanging="284"/>
        <w:jc w:val="both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sz w:val="18"/>
          <w:szCs w:val="18"/>
        </w:rPr>
        <w:t xml:space="preserve">Zákon č. </w:t>
      </w:r>
      <w:r w:rsidRPr="00E9506F">
        <w:rPr>
          <w:sz w:val="18"/>
          <w:szCs w:val="18"/>
          <w:lang w:eastAsia="cs-CZ"/>
        </w:rPr>
        <w:t>563/1991 Sb., o účetnictví.</w:t>
      </w:r>
    </w:p>
  </w:footnote>
  <w:footnote w:id="20">
    <w:p w:rsidR="00032908" w:rsidRPr="00E9506F" w:rsidRDefault="00032908" w:rsidP="00E9506F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E9506F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E9506F">
        <w:rPr>
          <w:sz w:val="18"/>
          <w:szCs w:val="18"/>
        </w:rPr>
        <w:t>Vyhláška č. 410/2009 Sb., kterou se provádějí některá ustanovení zákona č. 563/1991 Sb., o účetnictví, ve znění pozdějších předpisů, pro některé vybrané účetní jednotky.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4C" w:rsidRDefault="00EB44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B86"/>
    <w:multiLevelType w:val="hybridMultilevel"/>
    <w:tmpl w:val="7076FE6E"/>
    <w:lvl w:ilvl="0" w:tplc="42B21D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E21B2"/>
    <w:multiLevelType w:val="hybridMultilevel"/>
    <w:tmpl w:val="39722E68"/>
    <w:lvl w:ilvl="0" w:tplc="0BB6986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E27"/>
    <w:multiLevelType w:val="hybridMultilevel"/>
    <w:tmpl w:val="E39A2E10"/>
    <w:lvl w:ilvl="0" w:tplc="5490A9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7C89CC8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5586"/>
    <w:multiLevelType w:val="hybridMultilevel"/>
    <w:tmpl w:val="AFC812F4"/>
    <w:lvl w:ilvl="0" w:tplc="0F98BA5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F5294"/>
    <w:multiLevelType w:val="hybridMultilevel"/>
    <w:tmpl w:val="65C0F6C2"/>
    <w:lvl w:ilvl="0" w:tplc="17C89CC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07263"/>
    <w:multiLevelType w:val="hybridMultilevel"/>
    <w:tmpl w:val="96944A10"/>
    <w:lvl w:ilvl="0" w:tplc="5490A9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174AB"/>
    <w:multiLevelType w:val="hybridMultilevel"/>
    <w:tmpl w:val="08FAA4B4"/>
    <w:lvl w:ilvl="0" w:tplc="5490A942">
      <w:numFmt w:val="bullet"/>
      <w:lvlText w:val="–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7">
    <w:nsid w:val="28CD6F8F"/>
    <w:multiLevelType w:val="hybridMultilevel"/>
    <w:tmpl w:val="C6321DB0"/>
    <w:lvl w:ilvl="0" w:tplc="5490A9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01846"/>
    <w:multiLevelType w:val="hybridMultilevel"/>
    <w:tmpl w:val="D6AE8D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83EE6"/>
    <w:multiLevelType w:val="hybridMultilevel"/>
    <w:tmpl w:val="1D84A8DE"/>
    <w:lvl w:ilvl="0" w:tplc="EC58A8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5003C2"/>
    <w:multiLevelType w:val="hybridMultilevel"/>
    <w:tmpl w:val="DF80F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5476E"/>
    <w:multiLevelType w:val="hybridMultilevel"/>
    <w:tmpl w:val="F452A318"/>
    <w:lvl w:ilvl="0" w:tplc="0DC80AD6">
      <w:start w:val="1"/>
      <w:numFmt w:val="bullet"/>
      <w:lvlText w:val="-"/>
      <w:lvlJc w:val="left"/>
      <w:pPr>
        <w:ind w:left="673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>
    <w:nsid w:val="375B57FE"/>
    <w:multiLevelType w:val="hybridMultilevel"/>
    <w:tmpl w:val="9536BED0"/>
    <w:lvl w:ilvl="0" w:tplc="5490A9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08"/>
    <w:multiLevelType w:val="hybridMultilevel"/>
    <w:tmpl w:val="E58A9548"/>
    <w:lvl w:ilvl="0" w:tplc="BF107E8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C0E1A51"/>
    <w:multiLevelType w:val="hybridMultilevel"/>
    <w:tmpl w:val="A1FE3346"/>
    <w:lvl w:ilvl="0" w:tplc="EAC4F1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171A8"/>
    <w:multiLevelType w:val="hybridMultilevel"/>
    <w:tmpl w:val="5048593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C7142A"/>
    <w:multiLevelType w:val="hybridMultilevel"/>
    <w:tmpl w:val="D27EE79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E55EC"/>
    <w:multiLevelType w:val="hybridMultilevel"/>
    <w:tmpl w:val="4D00852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1F5D0E"/>
    <w:multiLevelType w:val="hybridMultilevel"/>
    <w:tmpl w:val="3C02899A"/>
    <w:lvl w:ilvl="0" w:tplc="5490A9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06C9F"/>
    <w:multiLevelType w:val="hybridMultilevel"/>
    <w:tmpl w:val="900C8C3C"/>
    <w:lvl w:ilvl="0" w:tplc="83000A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C3657"/>
    <w:multiLevelType w:val="hybridMultilevel"/>
    <w:tmpl w:val="BC023F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3335A5"/>
    <w:multiLevelType w:val="hybridMultilevel"/>
    <w:tmpl w:val="DBDC0910"/>
    <w:lvl w:ilvl="0" w:tplc="5490A9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81895"/>
    <w:multiLevelType w:val="multilevel"/>
    <w:tmpl w:val="4E7AFD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DB00CC"/>
    <w:multiLevelType w:val="multilevel"/>
    <w:tmpl w:val="D9B69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8"/>
  </w:num>
  <w:num w:numId="4">
    <w:abstractNumId w:val="1"/>
  </w:num>
  <w:num w:numId="5">
    <w:abstractNumId w:val="14"/>
  </w:num>
  <w:num w:numId="6">
    <w:abstractNumId w:val="16"/>
  </w:num>
  <w:num w:numId="7">
    <w:abstractNumId w:val="7"/>
  </w:num>
  <w:num w:numId="8">
    <w:abstractNumId w:val="3"/>
  </w:num>
  <w:num w:numId="9">
    <w:abstractNumId w:val="5"/>
  </w:num>
  <w:num w:numId="10">
    <w:abstractNumId w:val="21"/>
  </w:num>
  <w:num w:numId="11">
    <w:abstractNumId w:val="13"/>
  </w:num>
  <w:num w:numId="12">
    <w:abstractNumId w:val="9"/>
  </w:num>
  <w:num w:numId="13">
    <w:abstractNumId w:val="12"/>
  </w:num>
  <w:num w:numId="14">
    <w:abstractNumId w:val="4"/>
  </w:num>
  <w:num w:numId="15">
    <w:abstractNumId w:val="18"/>
  </w:num>
  <w:num w:numId="16">
    <w:abstractNumId w:val="20"/>
  </w:num>
  <w:num w:numId="17">
    <w:abstractNumId w:val="19"/>
  </w:num>
  <w:num w:numId="18">
    <w:abstractNumId w:val="0"/>
  </w:num>
  <w:num w:numId="19">
    <w:abstractNumId w:val="2"/>
  </w:num>
  <w:num w:numId="20">
    <w:abstractNumId w:val="17"/>
  </w:num>
  <w:num w:numId="21">
    <w:abstractNumId w:val="15"/>
  </w:num>
  <w:num w:numId="22">
    <w:abstractNumId w:val="10"/>
  </w:num>
  <w:num w:numId="23">
    <w:abstractNumId w:val="11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FC"/>
    <w:rsid w:val="0000048A"/>
    <w:rsid w:val="000004C3"/>
    <w:rsid w:val="0000062C"/>
    <w:rsid w:val="00000B3F"/>
    <w:rsid w:val="00000F72"/>
    <w:rsid w:val="00001062"/>
    <w:rsid w:val="000011D2"/>
    <w:rsid w:val="000011E3"/>
    <w:rsid w:val="00001238"/>
    <w:rsid w:val="00001DF6"/>
    <w:rsid w:val="00001ED6"/>
    <w:rsid w:val="00002274"/>
    <w:rsid w:val="0000257B"/>
    <w:rsid w:val="0000271E"/>
    <w:rsid w:val="00002BDF"/>
    <w:rsid w:val="0000384A"/>
    <w:rsid w:val="00003B2A"/>
    <w:rsid w:val="00003EEB"/>
    <w:rsid w:val="00004145"/>
    <w:rsid w:val="00004164"/>
    <w:rsid w:val="00004199"/>
    <w:rsid w:val="000044BF"/>
    <w:rsid w:val="00004552"/>
    <w:rsid w:val="000046E2"/>
    <w:rsid w:val="0000506D"/>
    <w:rsid w:val="000054D9"/>
    <w:rsid w:val="000068D4"/>
    <w:rsid w:val="00006A1F"/>
    <w:rsid w:val="00006BE4"/>
    <w:rsid w:val="0000706B"/>
    <w:rsid w:val="00007321"/>
    <w:rsid w:val="000073BB"/>
    <w:rsid w:val="00007596"/>
    <w:rsid w:val="000078CB"/>
    <w:rsid w:val="00010526"/>
    <w:rsid w:val="00010D10"/>
    <w:rsid w:val="000114FC"/>
    <w:rsid w:val="00011656"/>
    <w:rsid w:val="00011AC3"/>
    <w:rsid w:val="00011FE5"/>
    <w:rsid w:val="000122BE"/>
    <w:rsid w:val="000128C0"/>
    <w:rsid w:val="00013B61"/>
    <w:rsid w:val="00013C31"/>
    <w:rsid w:val="00014918"/>
    <w:rsid w:val="00014CF3"/>
    <w:rsid w:val="00014F4B"/>
    <w:rsid w:val="000150A0"/>
    <w:rsid w:val="000153EF"/>
    <w:rsid w:val="00015668"/>
    <w:rsid w:val="00015692"/>
    <w:rsid w:val="00015ADD"/>
    <w:rsid w:val="0001601B"/>
    <w:rsid w:val="0001660E"/>
    <w:rsid w:val="000170D6"/>
    <w:rsid w:val="00017296"/>
    <w:rsid w:val="0002002B"/>
    <w:rsid w:val="0002034B"/>
    <w:rsid w:val="00020660"/>
    <w:rsid w:val="00020B7D"/>
    <w:rsid w:val="00020D58"/>
    <w:rsid w:val="00020F3D"/>
    <w:rsid w:val="000217EB"/>
    <w:rsid w:val="00021B4D"/>
    <w:rsid w:val="00021CA5"/>
    <w:rsid w:val="000237DB"/>
    <w:rsid w:val="00023BDF"/>
    <w:rsid w:val="00024039"/>
    <w:rsid w:val="000242E8"/>
    <w:rsid w:val="000247E4"/>
    <w:rsid w:val="000248AC"/>
    <w:rsid w:val="00024B00"/>
    <w:rsid w:val="00024F4D"/>
    <w:rsid w:val="00024F7A"/>
    <w:rsid w:val="00025DAB"/>
    <w:rsid w:val="00026411"/>
    <w:rsid w:val="0002674E"/>
    <w:rsid w:val="00027A81"/>
    <w:rsid w:val="00031605"/>
    <w:rsid w:val="0003194E"/>
    <w:rsid w:val="00031C37"/>
    <w:rsid w:val="000328B9"/>
    <w:rsid w:val="00032908"/>
    <w:rsid w:val="00032B05"/>
    <w:rsid w:val="00033481"/>
    <w:rsid w:val="000334E1"/>
    <w:rsid w:val="00033784"/>
    <w:rsid w:val="00034098"/>
    <w:rsid w:val="0003449F"/>
    <w:rsid w:val="000347EB"/>
    <w:rsid w:val="000348C0"/>
    <w:rsid w:val="00034D9B"/>
    <w:rsid w:val="00035087"/>
    <w:rsid w:val="000353B2"/>
    <w:rsid w:val="000360E7"/>
    <w:rsid w:val="000377F4"/>
    <w:rsid w:val="0003783B"/>
    <w:rsid w:val="00037A4D"/>
    <w:rsid w:val="00040048"/>
    <w:rsid w:val="000403EB"/>
    <w:rsid w:val="000408C2"/>
    <w:rsid w:val="00040E8D"/>
    <w:rsid w:val="00040EE9"/>
    <w:rsid w:val="00041941"/>
    <w:rsid w:val="0004245C"/>
    <w:rsid w:val="00044806"/>
    <w:rsid w:val="00044A6B"/>
    <w:rsid w:val="00044AB0"/>
    <w:rsid w:val="00044DBC"/>
    <w:rsid w:val="0004585B"/>
    <w:rsid w:val="000459AF"/>
    <w:rsid w:val="000465BA"/>
    <w:rsid w:val="00046D5D"/>
    <w:rsid w:val="00046FE7"/>
    <w:rsid w:val="000503BD"/>
    <w:rsid w:val="000505E3"/>
    <w:rsid w:val="00050626"/>
    <w:rsid w:val="000509B0"/>
    <w:rsid w:val="00050BE6"/>
    <w:rsid w:val="00051850"/>
    <w:rsid w:val="000519CD"/>
    <w:rsid w:val="00051B1A"/>
    <w:rsid w:val="00051CAB"/>
    <w:rsid w:val="00052024"/>
    <w:rsid w:val="000521A8"/>
    <w:rsid w:val="000527A1"/>
    <w:rsid w:val="00052A40"/>
    <w:rsid w:val="00052EA7"/>
    <w:rsid w:val="00053019"/>
    <w:rsid w:val="00053769"/>
    <w:rsid w:val="00053A93"/>
    <w:rsid w:val="00054701"/>
    <w:rsid w:val="0005514B"/>
    <w:rsid w:val="00055193"/>
    <w:rsid w:val="0005533D"/>
    <w:rsid w:val="000558A7"/>
    <w:rsid w:val="00056FD9"/>
    <w:rsid w:val="00057085"/>
    <w:rsid w:val="00057DE8"/>
    <w:rsid w:val="00060145"/>
    <w:rsid w:val="00060D9F"/>
    <w:rsid w:val="00060EA0"/>
    <w:rsid w:val="000611B9"/>
    <w:rsid w:val="000614E6"/>
    <w:rsid w:val="00061CEF"/>
    <w:rsid w:val="00062AC2"/>
    <w:rsid w:val="00062BB2"/>
    <w:rsid w:val="00063832"/>
    <w:rsid w:val="00063B3A"/>
    <w:rsid w:val="00063FAF"/>
    <w:rsid w:val="000642E0"/>
    <w:rsid w:val="00064472"/>
    <w:rsid w:val="00064697"/>
    <w:rsid w:val="00064E4B"/>
    <w:rsid w:val="00065414"/>
    <w:rsid w:val="00065592"/>
    <w:rsid w:val="00065AEC"/>
    <w:rsid w:val="00065EC4"/>
    <w:rsid w:val="00066253"/>
    <w:rsid w:val="00066685"/>
    <w:rsid w:val="00066D14"/>
    <w:rsid w:val="00067FA5"/>
    <w:rsid w:val="000703E7"/>
    <w:rsid w:val="000712A1"/>
    <w:rsid w:val="00071484"/>
    <w:rsid w:val="00071526"/>
    <w:rsid w:val="00072158"/>
    <w:rsid w:val="00072E79"/>
    <w:rsid w:val="0007326A"/>
    <w:rsid w:val="00074480"/>
    <w:rsid w:val="000749C3"/>
    <w:rsid w:val="00075218"/>
    <w:rsid w:val="00075855"/>
    <w:rsid w:val="000763D9"/>
    <w:rsid w:val="000773A6"/>
    <w:rsid w:val="000773D5"/>
    <w:rsid w:val="0007756D"/>
    <w:rsid w:val="000804E5"/>
    <w:rsid w:val="00081A82"/>
    <w:rsid w:val="00081D94"/>
    <w:rsid w:val="00081E42"/>
    <w:rsid w:val="0008255B"/>
    <w:rsid w:val="0008259A"/>
    <w:rsid w:val="00082872"/>
    <w:rsid w:val="00082C91"/>
    <w:rsid w:val="000832DC"/>
    <w:rsid w:val="000833BA"/>
    <w:rsid w:val="00083748"/>
    <w:rsid w:val="0008385D"/>
    <w:rsid w:val="00083CCD"/>
    <w:rsid w:val="00083EFE"/>
    <w:rsid w:val="000845C9"/>
    <w:rsid w:val="000846C6"/>
    <w:rsid w:val="00085471"/>
    <w:rsid w:val="00085872"/>
    <w:rsid w:val="00085A57"/>
    <w:rsid w:val="00086966"/>
    <w:rsid w:val="00086EEA"/>
    <w:rsid w:val="000872D2"/>
    <w:rsid w:val="0008753C"/>
    <w:rsid w:val="00087E9E"/>
    <w:rsid w:val="0009004B"/>
    <w:rsid w:val="000900F5"/>
    <w:rsid w:val="000903E8"/>
    <w:rsid w:val="00090416"/>
    <w:rsid w:val="000908C2"/>
    <w:rsid w:val="00090C6C"/>
    <w:rsid w:val="00092768"/>
    <w:rsid w:val="00092C85"/>
    <w:rsid w:val="00092D63"/>
    <w:rsid w:val="00093654"/>
    <w:rsid w:val="00093FA2"/>
    <w:rsid w:val="000943AB"/>
    <w:rsid w:val="000947EC"/>
    <w:rsid w:val="00094DAD"/>
    <w:rsid w:val="000958B2"/>
    <w:rsid w:val="000958C8"/>
    <w:rsid w:val="000962AC"/>
    <w:rsid w:val="00096340"/>
    <w:rsid w:val="00096FF1"/>
    <w:rsid w:val="00097107"/>
    <w:rsid w:val="0009712B"/>
    <w:rsid w:val="00097B64"/>
    <w:rsid w:val="000A0243"/>
    <w:rsid w:val="000A07B2"/>
    <w:rsid w:val="000A0C5A"/>
    <w:rsid w:val="000A0CA5"/>
    <w:rsid w:val="000A118B"/>
    <w:rsid w:val="000A1201"/>
    <w:rsid w:val="000A1C4A"/>
    <w:rsid w:val="000A3705"/>
    <w:rsid w:val="000A4088"/>
    <w:rsid w:val="000A4800"/>
    <w:rsid w:val="000A4D7E"/>
    <w:rsid w:val="000A5F80"/>
    <w:rsid w:val="000A5F97"/>
    <w:rsid w:val="000A6738"/>
    <w:rsid w:val="000A6980"/>
    <w:rsid w:val="000A71C6"/>
    <w:rsid w:val="000A73DB"/>
    <w:rsid w:val="000A7569"/>
    <w:rsid w:val="000A76C6"/>
    <w:rsid w:val="000A7701"/>
    <w:rsid w:val="000A7B21"/>
    <w:rsid w:val="000B0910"/>
    <w:rsid w:val="000B0DBF"/>
    <w:rsid w:val="000B219C"/>
    <w:rsid w:val="000B2891"/>
    <w:rsid w:val="000B389F"/>
    <w:rsid w:val="000B3F08"/>
    <w:rsid w:val="000B40B6"/>
    <w:rsid w:val="000B44BF"/>
    <w:rsid w:val="000B5F69"/>
    <w:rsid w:val="000B6091"/>
    <w:rsid w:val="000B67E1"/>
    <w:rsid w:val="000B75FE"/>
    <w:rsid w:val="000B7FCF"/>
    <w:rsid w:val="000C0428"/>
    <w:rsid w:val="000C15D0"/>
    <w:rsid w:val="000C1773"/>
    <w:rsid w:val="000C1E82"/>
    <w:rsid w:val="000C3288"/>
    <w:rsid w:val="000C3DD1"/>
    <w:rsid w:val="000C3E34"/>
    <w:rsid w:val="000C4049"/>
    <w:rsid w:val="000C480E"/>
    <w:rsid w:val="000C4BB4"/>
    <w:rsid w:val="000C4D41"/>
    <w:rsid w:val="000C514A"/>
    <w:rsid w:val="000C58BA"/>
    <w:rsid w:val="000C65EB"/>
    <w:rsid w:val="000C6999"/>
    <w:rsid w:val="000C70B6"/>
    <w:rsid w:val="000C76C3"/>
    <w:rsid w:val="000C7DA2"/>
    <w:rsid w:val="000C7FD9"/>
    <w:rsid w:val="000D0240"/>
    <w:rsid w:val="000D0D50"/>
    <w:rsid w:val="000D0F20"/>
    <w:rsid w:val="000D0FA6"/>
    <w:rsid w:val="000D2303"/>
    <w:rsid w:val="000D4802"/>
    <w:rsid w:val="000D4B0E"/>
    <w:rsid w:val="000D5517"/>
    <w:rsid w:val="000D56B1"/>
    <w:rsid w:val="000D5CA8"/>
    <w:rsid w:val="000D606A"/>
    <w:rsid w:val="000D615C"/>
    <w:rsid w:val="000D6C03"/>
    <w:rsid w:val="000D7502"/>
    <w:rsid w:val="000D755A"/>
    <w:rsid w:val="000E050D"/>
    <w:rsid w:val="000E0D7C"/>
    <w:rsid w:val="000E0E87"/>
    <w:rsid w:val="000E17C6"/>
    <w:rsid w:val="000E249C"/>
    <w:rsid w:val="000E297E"/>
    <w:rsid w:val="000E29BF"/>
    <w:rsid w:val="000E2D2F"/>
    <w:rsid w:val="000E2E82"/>
    <w:rsid w:val="000E3FBF"/>
    <w:rsid w:val="000E466E"/>
    <w:rsid w:val="000E4752"/>
    <w:rsid w:val="000E495E"/>
    <w:rsid w:val="000E511E"/>
    <w:rsid w:val="000E5160"/>
    <w:rsid w:val="000E5476"/>
    <w:rsid w:val="000E550D"/>
    <w:rsid w:val="000E62FE"/>
    <w:rsid w:val="000E635E"/>
    <w:rsid w:val="000E64B7"/>
    <w:rsid w:val="000E6F86"/>
    <w:rsid w:val="000E73F6"/>
    <w:rsid w:val="000F0685"/>
    <w:rsid w:val="000F0847"/>
    <w:rsid w:val="000F1546"/>
    <w:rsid w:val="000F166B"/>
    <w:rsid w:val="000F1957"/>
    <w:rsid w:val="000F1A01"/>
    <w:rsid w:val="000F1A39"/>
    <w:rsid w:val="000F1A80"/>
    <w:rsid w:val="000F1D75"/>
    <w:rsid w:val="000F1E6F"/>
    <w:rsid w:val="000F2AA5"/>
    <w:rsid w:val="000F3342"/>
    <w:rsid w:val="000F3727"/>
    <w:rsid w:val="000F380A"/>
    <w:rsid w:val="000F3AF5"/>
    <w:rsid w:val="000F420C"/>
    <w:rsid w:val="000F48F0"/>
    <w:rsid w:val="000F50EB"/>
    <w:rsid w:val="000F58EF"/>
    <w:rsid w:val="000F5C43"/>
    <w:rsid w:val="000F7676"/>
    <w:rsid w:val="000F7FBD"/>
    <w:rsid w:val="00100025"/>
    <w:rsid w:val="001001CA"/>
    <w:rsid w:val="00100F1C"/>
    <w:rsid w:val="0010174C"/>
    <w:rsid w:val="00102DD7"/>
    <w:rsid w:val="00103350"/>
    <w:rsid w:val="001037AA"/>
    <w:rsid w:val="00104146"/>
    <w:rsid w:val="00104FC7"/>
    <w:rsid w:val="00106015"/>
    <w:rsid w:val="001068BE"/>
    <w:rsid w:val="001072B1"/>
    <w:rsid w:val="001077F6"/>
    <w:rsid w:val="00107DDF"/>
    <w:rsid w:val="00110051"/>
    <w:rsid w:val="001100FF"/>
    <w:rsid w:val="00110A8A"/>
    <w:rsid w:val="00111E9F"/>
    <w:rsid w:val="0011234B"/>
    <w:rsid w:val="00112615"/>
    <w:rsid w:val="00112787"/>
    <w:rsid w:val="001131C5"/>
    <w:rsid w:val="001138AA"/>
    <w:rsid w:val="00113FC5"/>
    <w:rsid w:val="00114FA2"/>
    <w:rsid w:val="001154BC"/>
    <w:rsid w:val="00115D76"/>
    <w:rsid w:val="0011610A"/>
    <w:rsid w:val="001161A5"/>
    <w:rsid w:val="0011634F"/>
    <w:rsid w:val="00116466"/>
    <w:rsid w:val="001164DF"/>
    <w:rsid w:val="001165B8"/>
    <w:rsid w:val="00116DC3"/>
    <w:rsid w:val="0012080E"/>
    <w:rsid w:val="00120893"/>
    <w:rsid w:val="0012089B"/>
    <w:rsid w:val="00120952"/>
    <w:rsid w:val="00120E4D"/>
    <w:rsid w:val="00121630"/>
    <w:rsid w:val="001217F7"/>
    <w:rsid w:val="001218B8"/>
    <w:rsid w:val="00121C52"/>
    <w:rsid w:val="00122B53"/>
    <w:rsid w:val="00122D4F"/>
    <w:rsid w:val="0012338D"/>
    <w:rsid w:val="0012348E"/>
    <w:rsid w:val="001235E1"/>
    <w:rsid w:val="00123722"/>
    <w:rsid w:val="00123959"/>
    <w:rsid w:val="00123CF8"/>
    <w:rsid w:val="00124699"/>
    <w:rsid w:val="00124DB2"/>
    <w:rsid w:val="001253F9"/>
    <w:rsid w:val="00125605"/>
    <w:rsid w:val="001259FF"/>
    <w:rsid w:val="00125DDD"/>
    <w:rsid w:val="001264B9"/>
    <w:rsid w:val="001268F6"/>
    <w:rsid w:val="00126D3E"/>
    <w:rsid w:val="00127528"/>
    <w:rsid w:val="001276BE"/>
    <w:rsid w:val="001276C4"/>
    <w:rsid w:val="00127896"/>
    <w:rsid w:val="0012798C"/>
    <w:rsid w:val="00127F65"/>
    <w:rsid w:val="00130012"/>
    <w:rsid w:val="00130104"/>
    <w:rsid w:val="0013153D"/>
    <w:rsid w:val="00132512"/>
    <w:rsid w:val="00133526"/>
    <w:rsid w:val="00133A72"/>
    <w:rsid w:val="00134961"/>
    <w:rsid w:val="00134984"/>
    <w:rsid w:val="00135107"/>
    <w:rsid w:val="00135499"/>
    <w:rsid w:val="0013579F"/>
    <w:rsid w:val="00136011"/>
    <w:rsid w:val="001360F2"/>
    <w:rsid w:val="00136433"/>
    <w:rsid w:val="00136458"/>
    <w:rsid w:val="00136D75"/>
    <w:rsid w:val="00136DA8"/>
    <w:rsid w:val="001371B7"/>
    <w:rsid w:val="00137328"/>
    <w:rsid w:val="001375E2"/>
    <w:rsid w:val="00140180"/>
    <w:rsid w:val="0014050F"/>
    <w:rsid w:val="001405FF"/>
    <w:rsid w:val="00140BC1"/>
    <w:rsid w:val="00141632"/>
    <w:rsid w:val="00141BB6"/>
    <w:rsid w:val="0014217D"/>
    <w:rsid w:val="00142188"/>
    <w:rsid w:val="0014238E"/>
    <w:rsid w:val="00142EA4"/>
    <w:rsid w:val="0014345A"/>
    <w:rsid w:val="00143808"/>
    <w:rsid w:val="001438D2"/>
    <w:rsid w:val="00144B22"/>
    <w:rsid w:val="00144E3F"/>
    <w:rsid w:val="00146811"/>
    <w:rsid w:val="0014684F"/>
    <w:rsid w:val="001469D0"/>
    <w:rsid w:val="00146F2E"/>
    <w:rsid w:val="00147100"/>
    <w:rsid w:val="00147D80"/>
    <w:rsid w:val="0015015A"/>
    <w:rsid w:val="0015031C"/>
    <w:rsid w:val="00150B6B"/>
    <w:rsid w:val="00152105"/>
    <w:rsid w:val="001523F3"/>
    <w:rsid w:val="001528F0"/>
    <w:rsid w:val="00152943"/>
    <w:rsid w:val="00152C41"/>
    <w:rsid w:val="00152C57"/>
    <w:rsid w:val="00152D97"/>
    <w:rsid w:val="00153472"/>
    <w:rsid w:val="001534A8"/>
    <w:rsid w:val="001537F3"/>
    <w:rsid w:val="00154915"/>
    <w:rsid w:val="00154CB6"/>
    <w:rsid w:val="00154F3F"/>
    <w:rsid w:val="00154F84"/>
    <w:rsid w:val="001554EB"/>
    <w:rsid w:val="00155551"/>
    <w:rsid w:val="00155FED"/>
    <w:rsid w:val="00156369"/>
    <w:rsid w:val="001565BC"/>
    <w:rsid w:val="00157E44"/>
    <w:rsid w:val="00160D1E"/>
    <w:rsid w:val="00161C0B"/>
    <w:rsid w:val="00161CBA"/>
    <w:rsid w:val="001633AB"/>
    <w:rsid w:val="00163BD5"/>
    <w:rsid w:val="00164730"/>
    <w:rsid w:val="0016497A"/>
    <w:rsid w:val="00164C9F"/>
    <w:rsid w:val="00164D53"/>
    <w:rsid w:val="00165443"/>
    <w:rsid w:val="00166D61"/>
    <w:rsid w:val="00166ECB"/>
    <w:rsid w:val="001671AE"/>
    <w:rsid w:val="00167962"/>
    <w:rsid w:val="00167EBB"/>
    <w:rsid w:val="00170174"/>
    <w:rsid w:val="00171230"/>
    <w:rsid w:val="0017157A"/>
    <w:rsid w:val="00172463"/>
    <w:rsid w:val="00172881"/>
    <w:rsid w:val="00172F9A"/>
    <w:rsid w:val="001730DC"/>
    <w:rsid w:val="00175272"/>
    <w:rsid w:val="00175A88"/>
    <w:rsid w:val="00175EDC"/>
    <w:rsid w:val="0017647A"/>
    <w:rsid w:val="00176922"/>
    <w:rsid w:val="00176937"/>
    <w:rsid w:val="00176D27"/>
    <w:rsid w:val="00176D72"/>
    <w:rsid w:val="00176ED2"/>
    <w:rsid w:val="00177395"/>
    <w:rsid w:val="0018018E"/>
    <w:rsid w:val="00180250"/>
    <w:rsid w:val="001804A9"/>
    <w:rsid w:val="00180D3D"/>
    <w:rsid w:val="001813C3"/>
    <w:rsid w:val="00182DBE"/>
    <w:rsid w:val="00183392"/>
    <w:rsid w:val="00183884"/>
    <w:rsid w:val="00183B88"/>
    <w:rsid w:val="00183D7A"/>
    <w:rsid w:val="001845B3"/>
    <w:rsid w:val="0018491E"/>
    <w:rsid w:val="00184A16"/>
    <w:rsid w:val="00184A7C"/>
    <w:rsid w:val="00184B7A"/>
    <w:rsid w:val="0018586D"/>
    <w:rsid w:val="0018589D"/>
    <w:rsid w:val="00185ADF"/>
    <w:rsid w:val="00185F0E"/>
    <w:rsid w:val="001861D3"/>
    <w:rsid w:val="00186217"/>
    <w:rsid w:val="001866F7"/>
    <w:rsid w:val="00186C97"/>
    <w:rsid w:val="00187204"/>
    <w:rsid w:val="001876B5"/>
    <w:rsid w:val="00187FA0"/>
    <w:rsid w:val="0019055C"/>
    <w:rsid w:val="00190A79"/>
    <w:rsid w:val="0019133C"/>
    <w:rsid w:val="00191429"/>
    <w:rsid w:val="001916FA"/>
    <w:rsid w:val="001927B5"/>
    <w:rsid w:val="00193BE6"/>
    <w:rsid w:val="00193F5B"/>
    <w:rsid w:val="00194141"/>
    <w:rsid w:val="00194373"/>
    <w:rsid w:val="001944DE"/>
    <w:rsid w:val="00194739"/>
    <w:rsid w:val="001947CB"/>
    <w:rsid w:val="0019569B"/>
    <w:rsid w:val="001957E1"/>
    <w:rsid w:val="00195823"/>
    <w:rsid w:val="00195F1A"/>
    <w:rsid w:val="00196569"/>
    <w:rsid w:val="00196B49"/>
    <w:rsid w:val="001974AD"/>
    <w:rsid w:val="0019788C"/>
    <w:rsid w:val="001A017B"/>
    <w:rsid w:val="001A1477"/>
    <w:rsid w:val="001A18FC"/>
    <w:rsid w:val="001A1ADF"/>
    <w:rsid w:val="001A3E5E"/>
    <w:rsid w:val="001A42B7"/>
    <w:rsid w:val="001A495A"/>
    <w:rsid w:val="001A565E"/>
    <w:rsid w:val="001A5B20"/>
    <w:rsid w:val="001A5D7E"/>
    <w:rsid w:val="001A6A83"/>
    <w:rsid w:val="001A6F20"/>
    <w:rsid w:val="001A732B"/>
    <w:rsid w:val="001A7451"/>
    <w:rsid w:val="001A7AFD"/>
    <w:rsid w:val="001B0246"/>
    <w:rsid w:val="001B0E5C"/>
    <w:rsid w:val="001B0EA8"/>
    <w:rsid w:val="001B107E"/>
    <w:rsid w:val="001B1568"/>
    <w:rsid w:val="001B17B9"/>
    <w:rsid w:val="001B1865"/>
    <w:rsid w:val="001B1902"/>
    <w:rsid w:val="001B2F48"/>
    <w:rsid w:val="001B31C0"/>
    <w:rsid w:val="001B385A"/>
    <w:rsid w:val="001B3FD5"/>
    <w:rsid w:val="001B40A3"/>
    <w:rsid w:val="001B43F0"/>
    <w:rsid w:val="001B5DC4"/>
    <w:rsid w:val="001B5EC0"/>
    <w:rsid w:val="001B62BE"/>
    <w:rsid w:val="001B65F7"/>
    <w:rsid w:val="001B6820"/>
    <w:rsid w:val="001B694C"/>
    <w:rsid w:val="001B6BB7"/>
    <w:rsid w:val="001B6BD3"/>
    <w:rsid w:val="001B7049"/>
    <w:rsid w:val="001B76C1"/>
    <w:rsid w:val="001C1130"/>
    <w:rsid w:val="001C1760"/>
    <w:rsid w:val="001C1BFD"/>
    <w:rsid w:val="001C1C28"/>
    <w:rsid w:val="001C1D48"/>
    <w:rsid w:val="001C1FC9"/>
    <w:rsid w:val="001C26E0"/>
    <w:rsid w:val="001C4481"/>
    <w:rsid w:val="001C50B8"/>
    <w:rsid w:val="001C528C"/>
    <w:rsid w:val="001C5680"/>
    <w:rsid w:val="001C5FA0"/>
    <w:rsid w:val="001C67FE"/>
    <w:rsid w:val="001C6925"/>
    <w:rsid w:val="001C6E40"/>
    <w:rsid w:val="001C721B"/>
    <w:rsid w:val="001C79D6"/>
    <w:rsid w:val="001C7ABB"/>
    <w:rsid w:val="001C7B5C"/>
    <w:rsid w:val="001D0E73"/>
    <w:rsid w:val="001D10C3"/>
    <w:rsid w:val="001D1201"/>
    <w:rsid w:val="001D120B"/>
    <w:rsid w:val="001D2265"/>
    <w:rsid w:val="001D257B"/>
    <w:rsid w:val="001D3461"/>
    <w:rsid w:val="001D493C"/>
    <w:rsid w:val="001D4F1F"/>
    <w:rsid w:val="001D539D"/>
    <w:rsid w:val="001D5877"/>
    <w:rsid w:val="001D6BB2"/>
    <w:rsid w:val="001D7646"/>
    <w:rsid w:val="001D7B94"/>
    <w:rsid w:val="001D7DA1"/>
    <w:rsid w:val="001E0034"/>
    <w:rsid w:val="001E02D6"/>
    <w:rsid w:val="001E0A3F"/>
    <w:rsid w:val="001E14E6"/>
    <w:rsid w:val="001E1A26"/>
    <w:rsid w:val="001E2609"/>
    <w:rsid w:val="001E29E6"/>
    <w:rsid w:val="001E2F25"/>
    <w:rsid w:val="001E32A5"/>
    <w:rsid w:val="001E3393"/>
    <w:rsid w:val="001E35B5"/>
    <w:rsid w:val="001E40B5"/>
    <w:rsid w:val="001E4B09"/>
    <w:rsid w:val="001E4E65"/>
    <w:rsid w:val="001E541D"/>
    <w:rsid w:val="001E5D79"/>
    <w:rsid w:val="001E696B"/>
    <w:rsid w:val="001E6FF4"/>
    <w:rsid w:val="001E784F"/>
    <w:rsid w:val="001E78C8"/>
    <w:rsid w:val="001F03FE"/>
    <w:rsid w:val="001F055A"/>
    <w:rsid w:val="001F0689"/>
    <w:rsid w:val="001F074D"/>
    <w:rsid w:val="001F0A52"/>
    <w:rsid w:val="001F0BFD"/>
    <w:rsid w:val="001F0D0A"/>
    <w:rsid w:val="001F0EE8"/>
    <w:rsid w:val="001F1107"/>
    <w:rsid w:val="001F12BF"/>
    <w:rsid w:val="001F15E2"/>
    <w:rsid w:val="001F1ECC"/>
    <w:rsid w:val="001F2658"/>
    <w:rsid w:val="001F3972"/>
    <w:rsid w:val="001F3A9B"/>
    <w:rsid w:val="001F4135"/>
    <w:rsid w:val="001F4966"/>
    <w:rsid w:val="001F4A5A"/>
    <w:rsid w:val="001F503B"/>
    <w:rsid w:val="001F5E72"/>
    <w:rsid w:val="001F6021"/>
    <w:rsid w:val="001F6B47"/>
    <w:rsid w:val="001F6F97"/>
    <w:rsid w:val="001F7472"/>
    <w:rsid w:val="001F78BA"/>
    <w:rsid w:val="0020095E"/>
    <w:rsid w:val="00200FC3"/>
    <w:rsid w:val="002010C6"/>
    <w:rsid w:val="00201526"/>
    <w:rsid w:val="00201C16"/>
    <w:rsid w:val="002020AA"/>
    <w:rsid w:val="002020CE"/>
    <w:rsid w:val="0020216B"/>
    <w:rsid w:val="0020297B"/>
    <w:rsid w:val="00202D0F"/>
    <w:rsid w:val="00203273"/>
    <w:rsid w:val="0020357D"/>
    <w:rsid w:val="00203AAD"/>
    <w:rsid w:val="00203DB4"/>
    <w:rsid w:val="002041EE"/>
    <w:rsid w:val="002047B2"/>
    <w:rsid w:val="00205C8F"/>
    <w:rsid w:val="00206B41"/>
    <w:rsid w:val="002070A4"/>
    <w:rsid w:val="0021030F"/>
    <w:rsid w:val="00210338"/>
    <w:rsid w:val="00210439"/>
    <w:rsid w:val="0021068F"/>
    <w:rsid w:val="00210E86"/>
    <w:rsid w:val="002112EB"/>
    <w:rsid w:val="00212192"/>
    <w:rsid w:val="0021242A"/>
    <w:rsid w:val="00212F7D"/>
    <w:rsid w:val="00213910"/>
    <w:rsid w:val="002141BD"/>
    <w:rsid w:val="0021435F"/>
    <w:rsid w:val="00214695"/>
    <w:rsid w:val="00214891"/>
    <w:rsid w:val="00214ABE"/>
    <w:rsid w:val="00214C11"/>
    <w:rsid w:val="00215788"/>
    <w:rsid w:val="00215A73"/>
    <w:rsid w:val="0021624B"/>
    <w:rsid w:val="00216883"/>
    <w:rsid w:val="002172F9"/>
    <w:rsid w:val="00217A8C"/>
    <w:rsid w:val="00217E4A"/>
    <w:rsid w:val="00217EE0"/>
    <w:rsid w:val="00220AD3"/>
    <w:rsid w:val="00220CC1"/>
    <w:rsid w:val="00221360"/>
    <w:rsid w:val="00221573"/>
    <w:rsid w:val="0022162D"/>
    <w:rsid w:val="002221C3"/>
    <w:rsid w:val="00222E18"/>
    <w:rsid w:val="0022309C"/>
    <w:rsid w:val="00223B8F"/>
    <w:rsid w:val="002243E6"/>
    <w:rsid w:val="00225524"/>
    <w:rsid w:val="00226EF1"/>
    <w:rsid w:val="0023031C"/>
    <w:rsid w:val="00230D2A"/>
    <w:rsid w:val="00231B9F"/>
    <w:rsid w:val="00231D1F"/>
    <w:rsid w:val="00232796"/>
    <w:rsid w:val="0023297E"/>
    <w:rsid w:val="002334B2"/>
    <w:rsid w:val="002336D5"/>
    <w:rsid w:val="00234902"/>
    <w:rsid w:val="002350F3"/>
    <w:rsid w:val="0023536B"/>
    <w:rsid w:val="00235DCA"/>
    <w:rsid w:val="0023662E"/>
    <w:rsid w:val="0023680C"/>
    <w:rsid w:val="00236AC1"/>
    <w:rsid w:val="0023740F"/>
    <w:rsid w:val="002378A5"/>
    <w:rsid w:val="00237F45"/>
    <w:rsid w:val="00240CCF"/>
    <w:rsid w:val="00240E42"/>
    <w:rsid w:val="00242260"/>
    <w:rsid w:val="00242FC3"/>
    <w:rsid w:val="002435D0"/>
    <w:rsid w:val="00243F65"/>
    <w:rsid w:val="00243FD5"/>
    <w:rsid w:val="0024458A"/>
    <w:rsid w:val="0024503F"/>
    <w:rsid w:val="00245530"/>
    <w:rsid w:val="00245A88"/>
    <w:rsid w:val="00245BC4"/>
    <w:rsid w:val="00246880"/>
    <w:rsid w:val="00246B4E"/>
    <w:rsid w:val="00246D82"/>
    <w:rsid w:val="00246F2C"/>
    <w:rsid w:val="00247119"/>
    <w:rsid w:val="002477CC"/>
    <w:rsid w:val="00247805"/>
    <w:rsid w:val="00247B7A"/>
    <w:rsid w:val="00251D6D"/>
    <w:rsid w:val="00251EDF"/>
    <w:rsid w:val="00251F55"/>
    <w:rsid w:val="002528D6"/>
    <w:rsid w:val="00252FF7"/>
    <w:rsid w:val="00253790"/>
    <w:rsid w:val="002537DB"/>
    <w:rsid w:val="00253996"/>
    <w:rsid w:val="00253E6B"/>
    <w:rsid w:val="0025401E"/>
    <w:rsid w:val="00254108"/>
    <w:rsid w:val="002549AE"/>
    <w:rsid w:val="00256473"/>
    <w:rsid w:val="0025662B"/>
    <w:rsid w:val="00256B1C"/>
    <w:rsid w:val="00256B45"/>
    <w:rsid w:val="0025770E"/>
    <w:rsid w:val="00260B2D"/>
    <w:rsid w:val="00260CB8"/>
    <w:rsid w:val="00260CF6"/>
    <w:rsid w:val="00261DB6"/>
    <w:rsid w:val="00262D0A"/>
    <w:rsid w:val="00262ED8"/>
    <w:rsid w:val="00263077"/>
    <w:rsid w:val="00263329"/>
    <w:rsid w:val="0026376D"/>
    <w:rsid w:val="002645BD"/>
    <w:rsid w:val="0026470D"/>
    <w:rsid w:val="00264822"/>
    <w:rsid w:val="00265122"/>
    <w:rsid w:val="002651C0"/>
    <w:rsid w:val="00265338"/>
    <w:rsid w:val="00265C93"/>
    <w:rsid w:val="0026602F"/>
    <w:rsid w:val="00266579"/>
    <w:rsid w:val="00266E61"/>
    <w:rsid w:val="00267005"/>
    <w:rsid w:val="002671DA"/>
    <w:rsid w:val="00267C90"/>
    <w:rsid w:val="00267F25"/>
    <w:rsid w:val="0027085C"/>
    <w:rsid w:val="00270F58"/>
    <w:rsid w:val="002711CD"/>
    <w:rsid w:val="0027162B"/>
    <w:rsid w:val="0027175F"/>
    <w:rsid w:val="00271982"/>
    <w:rsid w:val="00272E1B"/>
    <w:rsid w:val="00273EED"/>
    <w:rsid w:val="002742FC"/>
    <w:rsid w:val="002744BC"/>
    <w:rsid w:val="00274527"/>
    <w:rsid w:val="0027472E"/>
    <w:rsid w:val="00274C03"/>
    <w:rsid w:val="00274E20"/>
    <w:rsid w:val="0027557B"/>
    <w:rsid w:val="0027575E"/>
    <w:rsid w:val="00275D5D"/>
    <w:rsid w:val="00275FE6"/>
    <w:rsid w:val="00276924"/>
    <w:rsid w:val="00276952"/>
    <w:rsid w:val="00276C0B"/>
    <w:rsid w:val="00280060"/>
    <w:rsid w:val="00280A49"/>
    <w:rsid w:val="0028103B"/>
    <w:rsid w:val="00281D37"/>
    <w:rsid w:val="00282777"/>
    <w:rsid w:val="00282FE1"/>
    <w:rsid w:val="0028344D"/>
    <w:rsid w:val="002836DB"/>
    <w:rsid w:val="002839AA"/>
    <w:rsid w:val="00283C49"/>
    <w:rsid w:val="00283D4D"/>
    <w:rsid w:val="002843E8"/>
    <w:rsid w:val="00284D39"/>
    <w:rsid w:val="0028515A"/>
    <w:rsid w:val="00285266"/>
    <w:rsid w:val="00285268"/>
    <w:rsid w:val="00285DC6"/>
    <w:rsid w:val="00285F45"/>
    <w:rsid w:val="00286051"/>
    <w:rsid w:val="00286392"/>
    <w:rsid w:val="00286C86"/>
    <w:rsid w:val="002874B7"/>
    <w:rsid w:val="0028756A"/>
    <w:rsid w:val="00287AF4"/>
    <w:rsid w:val="00287E4C"/>
    <w:rsid w:val="002901D9"/>
    <w:rsid w:val="002905A0"/>
    <w:rsid w:val="00290981"/>
    <w:rsid w:val="002909B8"/>
    <w:rsid w:val="00290B1E"/>
    <w:rsid w:val="00290C02"/>
    <w:rsid w:val="002912C7"/>
    <w:rsid w:val="0029138A"/>
    <w:rsid w:val="0029199B"/>
    <w:rsid w:val="00291C12"/>
    <w:rsid w:val="0029255B"/>
    <w:rsid w:val="00292DEB"/>
    <w:rsid w:val="002944A5"/>
    <w:rsid w:val="002955C4"/>
    <w:rsid w:val="00295A1B"/>
    <w:rsid w:val="002961BE"/>
    <w:rsid w:val="0029628F"/>
    <w:rsid w:val="00296313"/>
    <w:rsid w:val="00296B5A"/>
    <w:rsid w:val="002972CB"/>
    <w:rsid w:val="0029734C"/>
    <w:rsid w:val="00297A65"/>
    <w:rsid w:val="002A02F2"/>
    <w:rsid w:val="002A041C"/>
    <w:rsid w:val="002A0EBA"/>
    <w:rsid w:val="002A1579"/>
    <w:rsid w:val="002A1DEE"/>
    <w:rsid w:val="002A3370"/>
    <w:rsid w:val="002A3EE5"/>
    <w:rsid w:val="002A40C4"/>
    <w:rsid w:val="002A466E"/>
    <w:rsid w:val="002A4F62"/>
    <w:rsid w:val="002A5092"/>
    <w:rsid w:val="002A50DB"/>
    <w:rsid w:val="002A5662"/>
    <w:rsid w:val="002A5ECB"/>
    <w:rsid w:val="002A62D9"/>
    <w:rsid w:val="002A63A1"/>
    <w:rsid w:val="002A653F"/>
    <w:rsid w:val="002A7111"/>
    <w:rsid w:val="002A7177"/>
    <w:rsid w:val="002A74B2"/>
    <w:rsid w:val="002A7A77"/>
    <w:rsid w:val="002A7B2F"/>
    <w:rsid w:val="002A7B3C"/>
    <w:rsid w:val="002B0B65"/>
    <w:rsid w:val="002B0D11"/>
    <w:rsid w:val="002B0FF9"/>
    <w:rsid w:val="002B13CA"/>
    <w:rsid w:val="002B13E3"/>
    <w:rsid w:val="002B17B6"/>
    <w:rsid w:val="002B1D3E"/>
    <w:rsid w:val="002B1EF5"/>
    <w:rsid w:val="002B20B4"/>
    <w:rsid w:val="002B275B"/>
    <w:rsid w:val="002B28CD"/>
    <w:rsid w:val="002B2DC3"/>
    <w:rsid w:val="002B2E3F"/>
    <w:rsid w:val="002B35B1"/>
    <w:rsid w:val="002B36CC"/>
    <w:rsid w:val="002B3B78"/>
    <w:rsid w:val="002B3BCA"/>
    <w:rsid w:val="002B3E62"/>
    <w:rsid w:val="002B3E6F"/>
    <w:rsid w:val="002B43DA"/>
    <w:rsid w:val="002B4E3F"/>
    <w:rsid w:val="002B59FA"/>
    <w:rsid w:val="002B6516"/>
    <w:rsid w:val="002B7A6A"/>
    <w:rsid w:val="002C0358"/>
    <w:rsid w:val="002C0538"/>
    <w:rsid w:val="002C06E3"/>
    <w:rsid w:val="002C0811"/>
    <w:rsid w:val="002C1E39"/>
    <w:rsid w:val="002C21C1"/>
    <w:rsid w:val="002C26DA"/>
    <w:rsid w:val="002C316A"/>
    <w:rsid w:val="002C39C1"/>
    <w:rsid w:val="002C3EAD"/>
    <w:rsid w:val="002C4D92"/>
    <w:rsid w:val="002C53B9"/>
    <w:rsid w:val="002C685B"/>
    <w:rsid w:val="002C6901"/>
    <w:rsid w:val="002C69BD"/>
    <w:rsid w:val="002C6A6C"/>
    <w:rsid w:val="002C7164"/>
    <w:rsid w:val="002C722F"/>
    <w:rsid w:val="002C794C"/>
    <w:rsid w:val="002C7D42"/>
    <w:rsid w:val="002D141D"/>
    <w:rsid w:val="002D1D4C"/>
    <w:rsid w:val="002D3513"/>
    <w:rsid w:val="002D3A86"/>
    <w:rsid w:val="002D49F4"/>
    <w:rsid w:val="002D4E98"/>
    <w:rsid w:val="002D4EEB"/>
    <w:rsid w:val="002D5E4E"/>
    <w:rsid w:val="002D7703"/>
    <w:rsid w:val="002E000E"/>
    <w:rsid w:val="002E03A3"/>
    <w:rsid w:val="002E0B5F"/>
    <w:rsid w:val="002E0EE7"/>
    <w:rsid w:val="002E0FF8"/>
    <w:rsid w:val="002E114C"/>
    <w:rsid w:val="002E12D7"/>
    <w:rsid w:val="002E1476"/>
    <w:rsid w:val="002E16D6"/>
    <w:rsid w:val="002E21F1"/>
    <w:rsid w:val="002E2692"/>
    <w:rsid w:val="002E2ABE"/>
    <w:rsid w:val="002E2E1F"/>
    <w:rsid w:val="002E3C98"/>
    <w:rsid w:val="002E3EA2"/>
    <w:rsid w:val="002E3F48"/>
    <w:rsid w:val="002E41B9"/>
    <w:rsid w:val="002E44CA"/>
    <w:rsid w:val="002E4D31"/>
    <w:rsid w:val="002E52D1"/>
    <w:rsid w:val="002E5703"/>
    <w:rsid w:val="002E6E82"/>
    <w:rsid w:val="002E7DB3"/>
    <w:rsid w:val="002F05BF"/>
    <w:rsid w:val="002F094D"/>
    <w:rsid w:val="002F1542"/>
    <w:rsid w:val="002F16E7"/>
    <w:rsid w:val="002F1D83"/>
    <w:rsid w:val="002F21C5"/>
    <w:rsid w:val="002F3092"/>
    <w:rsid w:val="002F41C4"/>
    <w:rsid w:val="002F43E1"/>
    <w:rsid w:val="002F4742"/>
    <w:rsid w:val="002F515B"/>
    <w:rsid w:val="002F542D"/>
    <w:rsid w:val="002F5A84"/>
    <w:rsid w:val="002F5BB4"/>
    <w:rsid w:val="002F6473"/>
    <w:rsid w:val="002F70E5"/>
    <w:rsid w:val="002F7352"/>
    <w:rsid w:val="002F7379"/>
    <w:rsid w:val="002F7969"/>
    <w:rsid w:val="002F7A9B"/>
    <w:rsid w:val="002F7C21"/>
    <w:rsid w:val="002F7E37"/>
    <w:rsid w:val="003008EF"/>
    <w:rsid w:val="003009F3"/>
    <w:rsid w:val="00301349"/>
    <w:rsid w:val="0030143B"/>
    <w:rsid w:val="003015C3"/>
    <w:rsid w:val="00302211"/>
    <w:rsid w:val="00302F01"/>
    <w:rsid w:val="003033DE"/>
    <w:rsid w:val="00303C3E"/>
    <w:rsid w:val="00304325"/>
    <w:rsid w:val="003049A4"/>
    <w:rsid w:val="00304A37"/>
    <w:rsid w:val="00304DE3"/>
    <w:rsid w:val="00304F6A"/>
    <w:rsid w:val="00305C62"/>
    <w:rsid w:val="00305D62"/>
    <w:rsid w:val="00305F04"/>
    <w:rsid w:val="00306450"/>
    <w:rsid w:val="003064B0"/>
    <w:rsid w:val="003074C7"/>
    <w:rsid w:val="00307712"/>
    <w:rsid w:val="0030778D"/>
    <w:rsid w:val="0031033B"/>
    <w:rsid w:val="00310D6D"/>
    <w:rsid w:val="003110EA"/>
    <w:rsid w:val="0031192E"/>
    <w:rsid w:val="00311B7E"/>
    <w:rsid w:val="003125C4"/>
    <w:rsid w:val="00312635"/>
    <w:rsid w:val="003128D1"/>
    <w:rsid w:val="00312F8F"/>
    <w:rsid w:val="003131AF"/>
    <w:rsid w:val="003132A0"/>
    <w:rsid w:val="00313420"/>
    <w:rsid w:val="003135DB"/>
    <w:rsid w:val="00313BD6"/>
    <w:rsid w:val="00313D56"/>
    <w:rsid w:val="00313DC5"/>
    <w:rsid w:val="00313F2C"/>
    <w:rsid w:val="003142FA"/>
    <w:rsid w:val="00314524"/>
    <w:rsid w:val="003147D7"/>
    <w:rsid w:val="003148B9"/>
    <w:rsid w:val="00314EF8"/>
    <w:rsid w:val="00314F6E"/>
    <w:rsid w:val="00315024"/>
    <w:rsid w:val="00315731"/>
    <w:rsid w:val="0031609B"/>
    <w:rsid w:val="00316B42"/>
    <w:rsid w:val="00316FE0"/>
    <w:rsid w:val="00317455"/>
    <w:rsid w:val="0031774A"/>
    <w:rsid w:val="00317FA5"/>
    <w:rsid w:val="00321631"/>
    <w:rsid w:val="00321BF3"/>
    <w:rsid w:val="0032204A"/>
    <w:rsid w:val="003225EE"/>
    <w:rsid w:val="00322C5A"/>
    <w:rsid w:val="00323737"/>
    <w:rsid w:val="00323780"/>
    <w:rsid w:val="00323C93"/>
    <w:rsid w:val="003245A0"/>
    <w:rsid w:val="003246DB"/>
    <w:rsid w:val="00324AA1"/>
    <w:rsid w:val="00324FEE"/>
    <w:rsid w:val="00325083"/>
    <w:rsid w:val="003258EE"/>
    <w:rsid w:val="00326D5A"/>
    <w:rsid w:val="00326EC9"/>
    <w:rsid w:val="00327254"/>
    <w:rsid w:val="00327269"/>
    <w:rsid w:val="00327559"/>
    <w:rsid w:val="00327976"/>
    <w:rsid w:val="00330C59"/>
    <w:rsid w:val="00331796"/>
    <w:rsid w:val="00331AAC"/>
    <w:rsid w:val="00331B0A"/>
    <w:rsid w:val="00331C71"/>
    <w:rsid w:val="003323CA"/>
    <w:rsid w:val="0033295F"/>
    <w:rsid w:val="00332E29"/>
    <w:rsid w:val="00333443"/>
    <w:rsid w:val="003337EF"/>
    <w:rsid w:val="00333A39"/>
    <w:rsid w:val="00333A3A"/>
    <w:rsid w:val="003341FD"/>
    <w:rsid w:val="00334560"/>
    <w:rsid w:val="00335BCD"/>
    <w:rsid w:val="00336CD6"/>
    <w:rsid w:val="00336D97"/>
    <w:rsid w:val="00336E48"/>
    <w:rsid w:val="00336F5A"/>
    <w:rsid w:val="003376BF"/>
    <w:rsid w:val="00340492"/>
    <w:rsid w:val="0034073A"/>
    <w:rsid w:val="00341064"/>
    <w:rsid w:val="00341C2D"/>
    <w:rsid w:val="003425F5"/>
    <w:rsid w:val="003425F7"/>
    <w:rsid w:val="00342FE3"/>
    <w:rsid w:val="003435C3"/>
    <w:rsid w:val="00344214"/>
    <w:rsid w:val="003448C6"/>
    <w:rsid w:val="00344B6B"/>
    <w:rsid w:val="00344DAE"/>
    <w:rsid w:val="00344F12"/>
    <w:rsid w:val="003452D9"/>
    <w:rsid w:val="0034552D"/>
    <w:rsid w:val="003458B7"/>
    <w:rsid w:val="00345E9C"/>
    <w:rsid w:val="00346193"/>
    <w:rsid w:val="003468D8"/>
    <w:rsid w:val="003470DD"/>
    <w:rsid w:val="00347FD9"/>
    <w:rsid w:val="00350C30"/>
    <w:rsid w:val="00352454"/>
    <w:rsid w:val="00353171"/>
    <w:rsid w:val="0035425F"/>
    <w:rsid w:val="00355024"/>
    <w:rsid w:val="00355362"/>
    <w:rsid w:val="00355544"/>
    <w:rsid w:val="00355592"/>
    <w:rsid w:val="00355B66"/>
    <w:rsid w:val="00355CAA"/>
    <w:rsid w:val="003566FA"/>
    <w:rsid w:val="003567A0"/>
    <w:rsid w:val="00356B05"/>
    <w:rsid w:val="003578A3"/>
    <w:rsid w:val="003608B6"/>
    <w:rsid w:val="00360A1A"/>
    <w:rsid w:val="00362258"/>
    <w:rsid w:val="003627B9"/>
    <w:rsid w:val="00362A4C"/>
    <w:rsid w:val="00362DA9"/>
    <w:rsid w:val="00362E6C"/>
    <w:rsid w:val="00363BDE"/>
    <w:rsid w:val="003643CD"/>
    <w:rsid w:val="003644F7"/>
    <w:rsid w:val="00364576"/>
    <w:rsid w:val="003645DB"/>
    <w:rsid w:val="003646D6"/>
    <w:rsid w:val="00364945"/>
    <w:rsid w:val="00365491"/>
    <w:rsid w:val="0036642A"/>
    <w:rsid w:val="00366455"/>
    <w:rsid w:val="003664C5"/>
    <w:rsid w:val="0036669D"/>
    <w:rsid w:val="00367BB4"/>
    <w:rsid w:val="00367D19"/>
    <w:rsid w:val="00370518"/>
    <w:rsid w:val="00370EDD"/>
    <w:rsid w:val="00371A47"/>
    <w:rsid w:val="00372099"/>
    <w:rsid w:val="00372B37"/>
    <w:rsid w:val="00372B6B"/>
    <w:rsid w:val="0037346B"/>
    <w:rsid w:val="00373740"/>
    <w:rsid w:val="00373DBE"/>
    <w:rsid w:val="00375485"/>
    <w:rsid w:val="00375A8F"/>
    <w:rsid w:val="003760AB"/>
    <w:rsid w:val="0037624B"/>
    <w:rsid w:val="00377ACA"/>
    <w:rsid w:val="00377C6F"/>
    <w:rsid w:val="00377D99"/>
    <w:rsid w:val="00380662"/>
    <w:rsid w:val="00380767"/>
    <w:rsid w:val="00380DD9"/>
    <w:rsid w:val="00380E88"/>
    <w:rsid w:val="00381104"/>
    <w:rsid w:val="00381111"/>
    <w:rsid w:val="0038121D"/>
    <w:rsid w:val="00381394"/>
    <w:rsid w:val="003814AB"/>
    <w:rsid w:val="00381503"/>
    <w:rsid w:val="0038183E"/>
    <w:rsid w:val="00381C68"/>
    <w:rsid w:val="00382863"/>
    <w:rsid w:val="00382927"/>
    <w:rsid w:val="003837F1"/>
    <w:rsid w:val="00383F78"/>
    <w:rsid w:val="00384030"/>
    <w:rsid w:val="00384041"/>
    <w:rsid w:val="003857BA"/>
    <w:rsid w:val="0038592B"/>
    <w:rsid w:val="00386801"/>
    <w:rsid w:val="003869D6"/>
    <w:rsid w:val="00386A96"/>
    <w:rsid w:val="0039061D"/>
    <w:rsid w:val="00390CBD"/>
    <w:rsid w:val="003913A1"/>
    <w:rsid w:val="003915F3"/>
    <w:rsid w:val="0039177E"/>
    <w:rsid w:val="00391947"/>
    <w:rsid w:val="00392107"/>
    <w:rsid w:val="003926F2"/>
    <w:rsid w:val="00392EB5"/>
    <w:rsid w:val="00395433"/>
    <w:rsid w:val="003959C9"/>
    <w:rsid w:val="00395C14"/>
    <w:rsid w:val="00396024"/>
    <w:rsid w:val="00396169"/>
    <w:rsid w:val="003963C5"/>
    <w:rsid w:val="00396FB4"/>
    <w:rsid w:val="00397427"/>
    <w:rsid w:val="00397538"/>
    <w:rsid w:val="00397A5E"/>
    <w:rsid w:val="00397AE6"/>
    <w:rsid w:val="003A076A"/>
    <w:rsid w:val="003A1120"/>
    <w:rsid w:val="003A13CA"/>
    <w:rsid w:val="003A1CED"/>
    <w:rsid w:val="003A2404"/>
    <w:rsid w:val="003A2715"/>
    <w:rsid w:val="003A2EA8"/>
    <w:rsid w:val="003A2F07"/>
    <w:rsid w:val="003A2F8F"/>
    <w:rsid w:val="003A386A"/>
    <w:rsid w:val="003A3A27"/>
    <w:rsid w:val="003A3E02"/>
    <w:rsid w:val="003A44F0"/>
    <w:rsid w:val="003A4BD3"/>
    <w:rsid w:val="003A5C55"/>
    <w:rsid w:val="003A69D6"/>
    <w:rsid w:val="003A6E67"/>
    <w:rsid w:val="003A7181"/>
    <w:rsid w:val="003A7730"/>
    <w:rsid w:val="003A7B91"/>
    <w:rsid w:val="003A7C1F"/>
    <w:rsid w:val="003B036A"/>
    <w:rsid w:val="003B0DB4"/>
    <w:rsid w:val="003B0E77"/>
    <w:rsid w:val="003B1349"/>
    <w:rsid w:val="003B1442"/>
    <w:rsid w:val="003B1EC9"/>
    <w:rsid w:val="003B1EDB"/>
    <w:rsid w:val="003B245E"/>
    <w:rsid w:val="003B2AF3"/>
    <w:rsid w:val="003B2D33"/>
    <w:rsid w:val="003B3299"/>
    <w:rsid w:val="003B3999"/>
    <w:rsid w:val="003B4AE6"/>
    <w:rsid w:val="003B5774"/>
    <w:rsid w:val="003B594A"/>
    <w:rsid w:val="003B69BE"/>
    <w:rsid w:val="003B6CD8"/>
    <w:rsid w:val="003B6D92"/>
    <w:rsid w:val="003B742D"/>
    <w:rsid w:val="003B7F5B"/>
    <w:rsid w:val="003C056E"/>
    <w:rsid w:val="003C3EBE"/>
    <w:rsid w:val="003C4206"/>
    <w:rsid w:val="003C448B"/>
    <w:rsid w:val="003C4BD9"/>
    <w:rsid w:val="003C51AA"/>
    <w:rsid w:val="003C53B4"/>
    <w:rsid w:val="003C6815"/>
    <w:rsid w:val="003C6A92"/>
    <w:rsid w:val="003C7955"/>
    <w:rsid w:val="003C7BF0"/>
    <w:rsid w:val="003D1495"/>
    <w:rsid w:val="003D14ED"/>
    <w:rsid w:val="003D15AC"/>
    <w:rsid w:val="003D1C24"/>
    <w:rsid w:val="003D1DBC"/>
    <w:rsid w:val="003D20AC"/>
    <w:rsid w:val="003D2196"/>
    <w:rsid w:val="003D25F4"/>
    <w:rsid w:val="003D264A"/>
    <w:rsid w:val="003D26E8"/>
    <w:rsid w:val="003D2825"/>
    <w:rsid w:val="003D2AAC"/>
    <w:rsid w:val="003D2C9E"/>
    <w:rsid w:val="003D2F11"/>
    <w:rsid w:val="003D3040"/>
    <w:rsid w:val="003D3481"/>
    <w:rsid w:val="003D36A2"/>
    <w:rsid w:val="003D36D4"/>
    <w:rsid w:val="003D3A79"/>
    <w:rsid w:val="003D3B5A"/>
    <w:rsid w:val="003D3E00"/>
    <w:rsid w:val="003D4DA7"/>
    <w:rsid w:val="003D5144"/>
    <w:rsid w:val="003D582E"/>
    <w:rsid w:val="003D5A08"/>
    <w:rsid w:val="003D7FF5"/>
    <w:rsid w:val="003E0499"/>
    <w:rsid w:val="003E0838"/>
    <w:rsid w:val="003E1296"/>
    <w:rsid w:val="003E12BE"/>
    <w:rsid w:val="003E1443"/>
    <w:rsid w:val="003E1A09"/>
    <w:rsid w:val="003E239F"/>
    <w:rsid w:val="003E27D6"/>
    <w:rsid w:val="003E2BCD"/>
    <w:rsid w:val="003E2FD3"/>
    <w:rsid w:val="003E318F"/>
    <w:rsid w:val="003E3FF7"/>
    <w:rsid w:val="003E43F4"/>
    <w:rsid w:val="003E47D0"/>
    <w:rsid w:val="003E4C26"/>
    <w:rsid w:val="003E51FD"/>
    <w:rsid w:val="003E6848"/>
    <w:rsid w:val="003E6951"/>
    <w:rsid w:val="003E6AAC"/>
    <w:rsid w:val="003E6D56"/>
    <w:rsid w:val="003E7181"/>
    <w:rsid w:val="003E72B9"/>
    <w:rsid w:val="003E7BC3"/>
    <w:rsid w:val="003E7CD5"/>
    <w:rsid w:val="003F04E9"/>
    <w:rsid w:val="003F08FF"/>
    <w:rsid w:val="003F0A57"/>
    <w:rsid w:val="003F10B8"/>
    <w:rsid w:val="003F1925"/>
    <w:rsid w:val="003F1BD1"/>
    <w:rsid w:val="003F20D7"/>
    <w:rsid w:val="003F278D"/>
    <w:rsid w:val="003F2A10"/>
    <w:rsid w:val="003F2BBF"/>
    <w:rsid w:val="003F3081"/>
    <w:rsid w:val="003F317A"/>
    <w:rsid w:val="003F3AEC"/>
    <w:rsid w:val="003F3D3A"/>
    <w:rsid w:val="003F462C"/>
    <w:rsid w:val="003F48F7"/>
    <w:rsid w:val="003F4EB2"/>
    <w:rsid w:val="003F5773"/>
    <w:rsid w:val="003F5DA4"/>
    <w:rsid w:val="003F7895"/>
    <w:rsid w:val="0040096F"/>
    <w:rsid w:val="004009AA"/>
    <w:rsid w:val="00400D21"/>
    <w:rsid w:val="00400EE4"/>
    <w:rsid w:val="00401663"/>
    <w:rsid w:val="004018D1"/>
    <w:rsid w:val="00402813"/>
    <w:rsid w:val="00402E1E"/>
    <w:rsid w:val="0040339B"/>
    <w:rsid w:val="0040353B"/>
    <w:rsid w:val="00403926"/>
    <w:rsid w:val="00404320"/>
    <w:rsid w:val="004043B5"/>
    <w:rsid w:val="00404867"/>
    <w:rsid w:val="0040489B"/>
    <w:rsid w:val="004048D9"/>
    <w:rsid w:val="00404A29"/>
    <w:rsid w:val="00404EFC"/>
    <w:rsid w:val="00405480"/>
    <w:rsid w:val="00405786"/>
    <w:rsid w:val="0040592C"/>
    <w:rsid w:val="00405EA8"/>
    <w:rsid w:val="00405ECA"/>
    <w:rsid w:val="00406419"/>
    <w:rsid w:val="00406AB3"/>
    <w:rsid w:val="00406B82"/>
    <w:rsid w:val="00407126"/>
    <w:rsid w:val="0040725E"/>
    <w:rsid w:val="004079C8"/>
    <w:rsid w:val="00407A8B"/>
    <w:rsid w:val="00407D1E"/>
    <w:rsid w:val="0041005E"/>
    <w:rsid w:val="0041055B"/>
    <w:rsid w:val="00410BC9"/>
    <w:rsid w:val="00410C1E"/>
    <w:rsid w:val="00411088"/>
    <w:rsid w:val="00411973"/>
    <w:rsid w:val="0041238B"/>
    <w:rsid w:val="00412477"/>
    <w:rsid w:val="00412886"/>
    <w:rsid w:val="00413039"/>
    <w:rsid w:val="004132BA"/>
    <w:rsid w:val="00414029"/>
    <w:rsid w:val="00414A16"/>
    <w:rsid w:val="0041584E"/>
    <w:rsid w:val="0041653D"/>
    <w:rsid w:val="00416D64"/>
    <w:rsid w:val="004178FA"/>
    <w:rsid w:val="00417E01"/>
    <w:rsid w:val="00417EBC"/>
    <w:rsid w:val="00417F0D"/>
    <w:rsid w:val="00420C76"/>
    <w:rsid w:val="00421283"/>
    <w:rsid w:val="0042239C"/>
    <w:rsid w:val="00423DCB"/>
    <w:rsid w:val="00423FA5"/>
    <w:rsid w:val="00424175"/>
    <w:rsid w:val="00424C37"/>
    <w:rsid w:val="00425019"/>
    <w:rsid w:val="004271A9"/>
    <w:rsid w:val="0042735D"/>
    <w:rsid w:val="004276D3"/>
    <w:rsid w:val="004279F7"/>
    <w:rsid w:val="00430285"/>
    <w:rsid w:val="00430EA9"/>
    <w:rsid w:val="00430F07"/>
    <w:rsid w:val="00432846"/>
    <w:rsid w:val="00432AFF"/>
    <w:rsid w:val="00432FCF"/>
    <w:rsid w:val="0043408C"/>
    <w:rsid w:val="00434B73"/>
    <w:rsid w:val="0043521D"/>
    <w:rsid w:val="00435488"/>
    <w:rsid w:val="0043632B"/>
    <w:rsid w:val="00436B42"/>
    <w:rsid w:val="00436D91"/>
    <w:rsid w:val="0043744D"/>
    <w:rsid w:val="00440347"/>
    <w:rsid w:val="0044075F"/>
    <w:rsid w:val="00440CAA"/>
    <w:rsid w:val="00441599"/>
    <w:rsid w:val="004418F6"/>
    <w:rsid w:val="00441ABD"/>
    <w:rsid w:val="00441AF8"/>
    <w:rsid w:val="00441E07"/>
    <w:rsid w:val="0044250C"/>
    <w:rsid w:val="00442590"/>
    <w:rsid w:val="00442EA2"/>
    <w:rsid w:val="00443064"/>
    <w:rsid w:val="004430AF"/>
    <w:rsid w:val="00443106"/>
    <w:rsid w:val="004431C3"/>
    <w:rsid w:val="0044393B"/>
    <w:rsid w:val="00443B87"/>
    <w:rsid w:val="00443BEB"/>
    <w:rsid w:val="004442CE"/>
    <w:rsid w:val="0044454E"/>
    <w:rsid w:val="0044514C"/>
    <w:rsid w:val="00445631"/>
    <w:rsid w:val="00445771"/>
    <w:rsid w:val="00445C6D"/>
    <w:rsid w:val="004462AC"/>
    <w:rsid w:val="00446320"/>
    <w:rsid w:val="00446457"/>
    <w:rsid w:val="00446545"/>
    <w:rsid w:val="004465E4"/>
    <w:rsid w:val="00446E9E"/>
    <w:rsid w:val="0044715B"/>
    <w:rsid w:val="00447884"/>
    <w:rsid w:val="0045044B"/>
    <w:rsid w:val="0045053E"/>
    <w:rsid w:val="00450817"/>
    <w:rsid w:val="00450A1C"/>
    <w:rsid w:val="004510C5"/>
    <w:rsid w:val="0045133B"/>
    <w:rsid w:val="00451BB5"/>
    <w:rsid w:val="00452F8F"/>
    <w:rsid w:val="0045349A"/>
    <w:rsid w:val="00453543"/>
    <w:rsid w:val="00454DA0"/>
    <w:rsid w:val="00454E6A"/>
    <w:rsid w:val="00455C0F"/>
    <w:rsid w:val="0045612F"/>
    <w:rsid w:val="004563CF"/>
    <w:rsid w:val="0045684B"/>
    <w:rsid w:val="004571C2"/>
    <w:rsid w:val="00457418"/>
    <w:rsid w:val="00457D0A"/>
    <w:rsid w:val="00457D85"/>
    <w:rsid w:val="00457E14"/>
    <w:rsid w:val="004600FD"/>
    <w:rsid w:val="0046014E"/>
    <w:rsid w:val="0046047E"/>
    <w:rsid w:val="0046100E"/>
    <w:rsid w:val="0046120E"/>
    <w:rsid w:val="00461252"/>
    <w:rsid w:val="00461363"/>
    <w:rsid w:val="004613DA"/>
    <w:rsid w:val="00461734"/>
    <w:rsid w:val="00462354"/>
    <w:rsid w:val="00462F9C"/>
    <w:rsid w:val="00463289"/>
    <w:rsid w:val="00463665"/>
    <w:rsid w:val="00463C35"/>
    <w:rsid w:val="00464C6D"/>
    <w:rsid w:val="0046508F"/>
    <w:rsid w:val="00465289"/>
    <w:rsid w:val="00465941"/>
    <w:rsid w:val="00465988"/>
    <w:rsid w:val="0046688B"/>
    <w:rsid w:val="00466B59"/>
    <w:rsid w:val="00466F43"/>
    <w:rsid w:val="00466FE3"/>
    <w:rsid w:val="00467109"/>
    <w:rsid w:val="00467764"/>
    <w:rsid w:val="00470C86"/>
    <w:rsid w:val="00470D41"/>
    <w:rsid w:val="00470F0B"/>
    <w:rsid w:val="00471172"/>
    <w:rsid w:val="0047125F"/>
    <w:rsid w:val="004712B4"/>
    <w:rsid w:val="004719ED"/>
    <w:rsid w:val="00471D4F"/>
    <w:rsid w:val="00472221"/>
    <w:rsid w:val="00472615"/>
    <w:rsid w:val="0047266C"/>
    <w:rsid w:val="00472B35"/>
    <w:rsid w:val="00472D34"/>
    <w:rsid w:val="00472DBC"/>
    <w:rsid w:val="00472FA4"/>
    <w:rsid w:val="004734EB"/>
    <w:rsid w:val="00473A6D"/>
    <w:rsid w:val="00473CEF"/>
    <w:rsid w:val="00473ED8"/>
    <w:rsid w:val="0047411F"/>
    <w:rsid w:val="0047417E"/>
    <w:rsid w:val="00474272"/>
    <w:rsid w:val="00474463"/>
    <w:rsid w:val="00474D51"/>
    <w:rsid w:val="00475EFD"/>
    <w:rsid w:val="00476C23"/>
    <w:rsid w:val="004775FB"/>
    <w:rsid w:val="00477B60"/>
    <w:rsid w:val="004805E6"/>
    <w:rsid w:val="00482127"/>
    <w:rsid w:val="00482DFF"/>
    <w:rsid w:val="00484380"/>
    <w:rsid w:val="0048456D"/>
    <w:rsid w:val="0048463C"/>
    <w:rsid w:val="004864A6"/>
    <w:rsid w:val="004865C8"/>
    <w:rsid w:val="00486C9A"/>
    <w:rsid w:val="00486E05"/>
    <w:rsid w:val="00487125"/>
    <w:rsid w:val="004905BF"/>
    <w:rsid w:val="00490FA4"/>
    <w:rsid w:val="0049164F"/>
    <w:rsid w:val="00491F37"/>
    <w:rsid w:val="00493A9E"/>
    <w:rsid w:val="0049408D"/>
    <w:rsid w:val="00494778"/>
    <w:rsid w:val="004949DE"/>
    <w:rsid w:val="00494BA2"/>
    <w:rsid w:val="00494EC4"/>
    <w:rsid w:val="00494F02"/>
    <w:rsid w:val="004950D4"/>
    <w:rsid w:val="004953BB"/>
    <w:rsid w:val="004961BB"/>
    <w:rsid w:val="004964C5"/>
    <w:rsid w:val="00496FCB"/>
    <w:rsid w:val="004972C2"/>
    <w:rsid w:val="004977FB"/>
    <w:rsid w:val="00497E3B"/>
    <w:rsid w:val="00497EAA"/>
    <w:rsid w:val="004A0316"/>
    <w:rsid w:val="004A0907"/>
    <w:rsid w:val="004A0A2E"/>
    <w:rsid w:val="004A0E84"/>
    <w:rsid w:val="004A1350"/>
    <w:rsid w:val="004A154C"/>
    <w:rsid w:val="004A1584"/>
    <w:rsid w:val="004A1DAC"/>
    <w:rsid w:val="004A1DE2"/>
    <w:rsid w:val="004A2AEB"/>
    <w:rsid w:val="004A33A1"/>
    <w:rsid w:val="004A33E2"/>
    <w:rsid w:val="004A4564"/>
    <w:rsid w:val="004A468D"/>
    <w:rsid w:val="004A5EBD"/>
    <w:rsid w:val="004A6551"/>
    <w:rsid w:val="004A69AA"/>
    <w:rsid w:val="004A718E"/>
    <w:rsid w:val="004A7BDE"/>
    <w:rsid w:val="004B08B4"/>
    <w:rsid w:val="004B0BE6"/>
    <w:rsid w:val="004B0C72"/>
    <w:rsid w:val="004B0EC1"/>
    <w:rsid w:val="004B22B9"/>
    <w:rsid w:val="004B25C6"/>
    <w:rsid w:val="004B37A7"/>
    <w:rsid w:val="004B38E7"/>
    <w:rsid w:val="004B3CD0"/>
    <w:rsid w:val="004B4462"/>
    <w:rsid w:val="004B4544"/>
    <w:rsid w:val="004B45CB"/>
    <w:rsid w:val="004B4D6E"/>
    <w:rsid w:val="004B4E34"/>
    <w:rsid w:val="004B58EE"/>
    <w:rsid w:val="004B59D6"/>
    <w:rsid w:val="004B6260"/>
    <w:rsid w:val="004B679D"/>
    <w:rsid w:val="004B6DB2"/>
    <w:rsid w:val="004B780E"/>
    <w:rsid w:val="004B7D84"/>
    <w:rsid w:val="004C0572"/>
    <w:rsid w:val="004C07D9"/>
    <w:rsid w:val="004C15CA"/>
    <w:rsid w:val="004C15FF"/>
    <w:rsid w:val="004C1925"/>
    <w:rsid w:val="004C1CBD"/>
    <w:rsid w:val="004C1D50"/>
    <w:rsid w:val="004C1F46"/>
    <w:rsid w:val="004C245F"/>
    <w:rsid w:val="004C25E3"/>
    <w:rsid w:val="004C2636"/>
    <w:rsid w:val="004C2A5A"/>
    <w:rsid w:val="004C2DBF"/>
    <w:rsid w:val="004C2F99"/>
    <w:rsid w:val="004C3A01"/>
    <w:rsid w:val="004C3A3F"/>
    <w:rsid w:val="004C4156"/>
    <w:rsid w:val="004C424F"/>
    <w:rsid w:val="004C4DE0"/>
    <w:rsid w:val="004C515F"/>
    <w:rsid w:val="004C61AC"/>
    <w:rsid w:val="004C6C11"/>
    <w:rsid w:val="004C6DAB"/>
    <w:rsid w:val="004C6DD1"/>
    <w:rsid w:val="004C70F4"/>
    <w:rsid w:val="004C7208"/>
    <w:rsid w:val="004C7334"/>
    <w:rsid w:val="004C7450"/>
    <w:rsid w:val="004C75B2"/>
    <w:rsid w:val="004C78E9"/>
    <w:rsid w:val="004C7AB7"/>
    <w:rsid w:val="004D0622"/>
    <w:rsid w:val="004D0A85"/>
    <w:rsid w:val="004D0D64"/>
    <w:rsid w:val="004D170D"/>
    <w:rsid w:val="004D1ABE"/>
    <w:rsid w:val="004D21C4"/>
    <w:rsid w:val="004D25E0"/>
    <w:rsid w:val="004D3425"/>
    <w:rsid w:val="004D3899"/>
    <w:rsid w:val="004D39DF"/>
    <w:rsid w:val="004D4681"/>
    <w:rsid w:val="004D4764"/>
    <w:rsid w:val="004D4B9D"/>
    <w:rsid w:val="004D5440"/>
    <w:rsid w:val="004D55C6"/>
    <w:rsid w:val="004D64D0"/>
    <w:rsid w:val="004D6501"/>
    <w:rsid w:val="004D6543"/>
    <w:rsid w:val="004D6C7C"/>
    <w:rsid w:val="004D72D0"/>
    <w:rsid w:val="004D74A1"/>
    <w:rsid w:val="004D7760"/>
    <w:rsid w:val="004D7F20"/>
    <w:rsid w:val="004E02DC"/>
    <w:rsid w:val="004E0A0D"/>
    <w:rsid w:val="004E1178"/>
    <w:rsid w:val="004E180D"/>
    <w:rsid w:val="004E22EF"/>
    <w:rsid w:val="004E2815"/>
    <w:rsid w:val="004E2C8A"/>
    <w:rsid w:val="004E3276"/>
    <w:rsid w:val="004E3DD4"/>
    <w:rsid w:val="004E4CF5"/>
    <w:rsid w:val="004E56CA"/>
    <w:rsid w:val="004E58C6"/>
    <w:rsid w:val="004E5AE7"/>
    <w:rsid w:val="004E64DF"/>
    <w:rsid w:val="004E7343"/>
    <w:rsid w:val="004E76FC"/>
    <w:rsid w:val="004F0007"/>
    <w:rsid w:val="004F09D1"/>
    <w:rsid w:val="004F0F98"/>
    <w:rsid w:val="004F11F6"/>
    <w:rsid w:val="004F1229"/>
    <w:rsid w:val="004F17E1"/>
    <w:rsid w:val="004F2AF0"/>
    <w:rsid w:val="004F3B76"/>
    <w:rsid w:val="004F4591"/>
    <w:rsid w:val="004F5A0E"/>
    <w:rsid w:val="004F5B6A"/>
    <w:rsid w:val="004F5F9D"/>
    <w:rsid w:val="004F607C"/>
    <w:rsid w:val="004F6151"/>
    <w:rsid w:val="004F6612"/>
    <w:rsid w:val="004F6F63"/>
    <w:rsid w:val="004F6F78"/>
    <w:rsid w:val="004F715A"/>
    <w:rsid w:val="0050000A"/>
    <w:rsid w:val="0050043B"/>
    <w:rsid w:val="005004BC"/>
    <w:rsid w:val="005005C6"/>
    <w:rsid w:val="00500965"/>
    <w:rsid w:val="00500C3C"/>
    <w:rsid w:val="00500F19"/>
    <w:rsid w:val="00501224"/>
    <w:rsid w:val="00501A25"/>
    <w:rsid w:val="005023F4"/>
    <w:rsid w:val="005025A0"/>
    <w:rsid w:val="00502CB5"/>
    <w:rsid w:val="00502EDE"/>
    <w:rsid w:val="00503077"/>
    <w:rsid w:val="005033D0"/>
    <w:rsid w:val="005036A0"/>
    <w:rsid w:val="00503A0B"/>
    <w:rsid w:val="00503A9A"/>
    <w:rsid w:val="00503D6D"/>
    <w:rsid w:val="00503F8F"/>
    <w:rsid w:val="0050412E"/>
    <w:rsid w:val="005041DA"/>
    <w:rsid w:val="005047A0"/>
    <w:rsid w:val="005047C5"/>
    <w:rsid w:val="00504A98"/>
    <w:rsid w:val="00504E4B"/>
    <w:rsid w:val="00504E9C"/>
    <w:rsid w:val="00504F9D"/>
    <w:rsid w:val="00505172"/>
    <w:rsid w:val="00505457"/>
    <w:rsid w:val="00505472"/>
    <w:rsid w:val="00505B62"/>
    <w:rsid w:val="00505EEB"/>
    <w:rsid w:val="00506016"/>
    <w:rsid w:val="005064E2"/>
    <w:rsid w:val="00506A18"/>
    <w:rsid w:val="00507283"/>
    <w:rsid w:val="00507C2A"/>
    <w:rsid w:val="00507C72"/>
    <w:rsid w:val="00510B77"/>
    <w:rsid w:val="00511E3F"/>
    <w:rsid w:val="00511FE3"/>
    <w:rsid w:val="00512352"/>
    <w:rsid w:val="005124DE"/>
    <w:rsid w:val="00513F4F"/>
    <w:rsid w:val="0051438F"/>
    <w:rsid w:val="0051468D"/>
    <w:rsid w:val="005148BC"/>
    <w:rsid w:val="00514C16"/>
    <w:rsid w:val="005156E1"/>
    <w:rsid w:val="0051592E"/>
    <w:rsid w:val="00515D5E"/>
    <w:rsid w:val="005165E3"/>
    <w:rsid w:val="00517B1E"/>
    <w:rsid w:val="005201F1"/>
    <w:rsid w:val="00520634"/>
    <w:rsid w:val="00520E3D"/>
    <w:rsid w:val="00521D98"/>
    <w:rsid w:val="00521DCF"/>
    <w:rsid w:val="00521DD6"/>
    <w:rsid w:val="00521E54"/>
    <w:rsid w:val="00522314"/>
    <w:rsid w:val="00522580"/>
    <w:rsid w:val="005225DA"/>
    <w:rsid w:val="005230FD"/>
    <w:rsid w:val="005233A0"/>
    <w:rsid w:val="005242D9"/>
    <w:rsid w:val="005244FE"/>
    <w:rsid w:val="00524C76"/>
    <w:rsid w:val="00524F07"/>
    <w:rsid w:val="0052504E"/>
    <w:rsid w:val="00526FCF"/>
    <w:rsid w:val="005272EF"/>
    <w:rsid w:val="00527D2A"/>
    <w:rsid w:val="00530223"/>
    <w:rsid w:val="0053025B"/>
    <w:rsid w:val="00530441"/>
    <w:rsid w:val="00530637"/>
    <w:rsid w:val="005306A4"/>
    <w:rsid w:val="005309C5"/>
    <w:rsid w:val="00530D68"/>
    <w:rsid w:val="00531127"/>
    <w:rsid w:val="005314CE"/>
    <w:rsid w:val="005323C1"/>
    <w:rsid w:val="00532478"/>
    <w:rsid w:val="00532931"/>
    <w:rsid w:val="00532FC1"/>
    <w:rsid w:val="00533769"/>
    <w:rsid w:val="00533898"/>
    <w:rsid w:val="00533C24"/>
    <w:rsid w:val="00534255"/>
    <w:rsid w:val="005342B7"/>
    <w:rsid w:val="00534341"/>
    <w:rsid w:val="00534674"/>
    <w:rsid w:val="00534F86"/>
    <w:rsid w:val="0053729D"/>
    <w:rsid w:val="00537DD3"/>
    <w:rsid w:val="00540070"/>
    <w:rsid w:val="00540827"/>
    <w:rsid w:val="00540BAB"/>
    <w:rsid w:val="00540F35"/>
    <w:rsid w:val="0054125F"/>
    <w:rsid w:val="00541627"/>
    <w:rsid w:val="00541CE2"/>
    <w:rsid w:val="00541D95"/>
    <w:rsid w:val="00541E2B"/>
    <w:rsid w:val="00542087"/>
    <w:rsid w:val="005420EF"/>
    <w:rsid w:val="005427E4"/>
    <w:rsid w:val="005429BF"/>
    <w:rsid w:val="00543365"/>
    <w:rsid w:val="005436A0"/>
    <w:rsid w:val="00543B0C"/>
    <w:rsid w:val="00543B2A"/>
    <w:rsid w:val="005455E2"/>
    <w:rsid w:val="00546CF9"/>
    <w:rsid w:val="0054700A"/>
    <w:rsid w:val="005470D4"/>
    <w:rsid w:val="005472D5"/>
    <w:rsid w:val="0054744C"/>
    <w:rsid w:val="00547799"/>
    <w:rsid w:val="0054797E"/>
    <w:rsid w:val="00550F6F"/>
    <w:rsid w:val="005515BD"/>
    <w:rsid w:val="00551EB9"/>
    <w:rsid w:val="00552D82"/>
    <w:rsid w:val="00552F67"/>
    <w:rsid w:val="005530BC"/>
    <w:rsid w:val="0055353F"/>
    <w:rsid w:val="00553833"/>
    <w:rsid w:val="00554779"/>
    <w:rsid w:val="00554D45"/>
    <w:rsid w:val="005551E8"/>
    <w:rsid w:val="00556345"/>
    <w:rsid w:val="0055653D"/>
    <w:rsid w:val="00556ACF"/>
    <w:rsid w:val="00556C98"/>
    <w:rsid w:val="0055741E"/>
    <w:rsid w:val="00557B68"/>
    <w:rsid w:val="00557F91"/>
    <w:rsid w:val="00560365"/>
    <w:rsid w:val="00560B59"/>
    <w:rsid w:val="00560E25"/>
    <w:rsid w:val="00560F29"/>
    <w:rsid w:val="00561092"/>
    <w:rsid w:val="0056131E"/>
    <w:rsid w:val="005615CB"/>
    <w:rsid w:val="00562476"/>
    <w:rsid w:val="00562483"/>
    <w:rsid w:val="00562EA3"/>
    <w:rsid w:val="005632DB"/>
    <w:rsid w:val="005634E0"/>
    <w:rsid w:val="005635E3"/>
    <w:rsid w:val="00563830"/>
    <w:rsid w:val="00563B35"/>
    <w:rsid w:val="0056434A"/>
    <w:rsid w:val="005644AF"/>
    <w:rsid w:val="00564600"/>
    <w:rsid w:val="005648D4"/>
    <w:rsid w:val="005649F1"/>
    <w:rsid w:val="00564E73"/>
    <w:rsid w:val="005655AB"/>
    <w:rsid w:val="00567BA2"/>
    <w:rsid w:val="005702F4"/>
    <w:rsid w:val="005707B6"/>
    <w:rsid w:val="00571576"/>
    <w:rsid w:val="005717E2"/>
    <w:rsid w:val="00571B7D"/>
    <w:rsid w:val="005721C2"/>
    <w:rsid w:val="0057256D"/>
    <w:rsid w:val="00572AB1"/>
    <w:rsid w:val="0057335F"/>
    <w:rsid w:val="0057340D"/>
    <w:rsid w:val="00573453"/>
    <w:rsid w:val="00574828"/>
    <w:rsid w:val="00575FC9"/>
    <w:rsid w:val="00576F53"/>
    <w:rsid w:val="0057722E"/>
    <w:rsid w:val="00577346"/>
    <w:rsid w:val="005801E7"/>
    <w:rsid w:val="005810F7"/>
    <w:rsid w:val="005813B4"/>
    <w:rsid w:val="005813C8"/>
    <w:rsid w:val="00581E1C"/>
    <w:rsid w:val="00582328"/>
    <w:rsid w:val="00582559"/>
    <w:rsid w:val="005825F1"/>
    <w:rsid w:val="00583486"/>
    <w:rsid w:val="005846A1"/>
    <w:rsid w:val="00584B56"/>
    <w:rsid w:val="00585924"/>
    <w:rsid w:val="00585B44"/>
    <w:rsid w:val="00585E64"/>
    <w:rsid w:val="00586705"/>
    <w:rsid w:val="00586C2F"/>
    <w:rsid w:val="005871BD"/>
    <w:rsid w:val="0058794D"/>
    <w:rsid w:val="00587EAB"/>
    <w:rsid w:val="00587EDF"/>
    <w:rsid w:val="00587F1B"/>
    <w:rsid w:val="005901AF"/>
    <w:rsid w:val="00590265"/>
    <w:rsid w:val="005905A0"/>
    <w:rsid w:val="00590D94"/>
    <w:rsid w:val="00590F59"/>
    <w:rsid w:val="00591096"/>
    <w:rsid w:val="005915DA"/>
    <w:rsid w:val="005916A9"/>
    <w:rsid w:val="00591922"/>
    <w:rsid w:val="0059346A"/>
    <w:rsid w:val="00594055"/>
    <w:rsid w:val="00595540"/>
    <w:rsid w:val="00595B69"/>
    <w:rsid w:val="0059658C"/>
    <w:rsid w:val="0059696A"/>
    <w:rsid w:val="00596AD0"/>
    <w:rsid w:val="00596F33"/>
    <w:rsid w:val="00596F87"/>
    <w:rsid w:val="00596F8C"/>
    <w:rsid w:val="005976A9"/>
    <w:rsid w:val="005A0040"/>
    <w:rsid w:val="005A0295"/>
    <w:rsid w:val="005A06FA"/>
    <w:rsid w:val="005A08B2"/>
    <w:rsid w:val="005A090A"/>
    <w:rsid w:val="005A09E5"/>
    <w:rsid w:val="005A09F3"/>
    <w:rsid w:val="005A0FCA"/>
    <w:rsid w:val="005A1421"/>
    <w:rsid w:val="005A1497"/>
    <w:rsid w:val="005A158D"/>
    <w:rsid w:val="005A2557"/>
    <w:rsid w:val="005A2BE2"/>
    <w:rsid w:val="005A2D03"/>
    <w:rsid w:val="005A2E44"/>
    <w:rsid w:val="005A4501"/>
    <w:rsid w:val="005A45A5"/>
    <w:rsid w:val="005A4B0C"/>
    <w:rsid w:val="005A55A5"/>
    <w:rsid w:val="005A7341"/>
    <w:rsid w:val="005A7B0E"/>
    <w:rsid w:val="005A7BA3"/>
    <w:rsid w:val="005A7CAF"/>
    <w:rsid w:val="005B01E5"/>
    <w:rsid w:val="005B0AC3"/>
    <w:rsid w:val="005B1107"/>
    <w:rsid w:val="005B129F"/>
    <w:rsid w:val="005B2019"/>
    <w:rsid w:val="005B2204"/>
    <w:rsid w:val="005B24B1"/>
    <w:rsid w:val="005B2E5B"/>
    <w:rsid w:val="005B3F75"/>
    <w:rsid w:val="005B6225"/>
    <w:rsid w:val="005C00F0"/>
    <w:rsid w:val="005C0A1B"/>
    <w:rsid w:val="005C1225"/>
    <w:rsid w:val="005C1A94"/>
    <w:rsid w:val="005C1BA5"/>
    <w:rsid w:val="005C1ECF"/>
    <w:rsid w:val="005C309F"/>
    <w:rsid w:val="005C331D"/>
    <w:rsid w:val="005C3B04"/>
    <w:rsid w:val="005C3B8B"/>
    <w:rsid w:val="005C3F31"/>
    <w:rsid w:val="005C471C"/>
    <w:rsid w:val="005C4CE1"/>
    <w:rsid w:val="005C52D9"/>
    <w:rsid w:val="005C6D27"/>
    <w:rsid w:val="005C728F"/>
    <w:rsid w:val="005D00B4"/>
    <w:rsid w:val="005D07CA"/>
    <w:rsid w:val="005D09A0"/>
    <w:rsid w:val="005D0C44"/>
    <w:rsid w:val="005D1713"/>
    <w:rsid w:val="005D1730"/>
    <w:rsid w:val="005D2496"/>
    <w:rsid w:val="005D277B"/>
    <w:rsid w:val="005D28DF"/>
    <w:rsid w:val="005D29AA"/>
    <w:rsid w:val="005D31E7"/>
    <w:rsid w:val="005D32CE"/>
    <w:rsid w:val="005D340B"/>
    <w:rsid w:val="005D353D"/>
    <w:rsid w:val="005D368A"/>
    <w:rsid w:val="005D3B6C"/>
    <w:rsid w:val="005D3D76"/>
    <w:rsid w:val="005D4205"/>
    <w:rsid w:val="005D52B0"/>
    <w:rsid w:val="005D590B"/>
    <w:rsid w:val="005D5AC3"/>
    <w:rsid w:val="005D5D3A"/>
    <w:rsid w:val="005D6079"/>
    <w:rsid w:val="005D6466"/>
    <w:rsid w:val="005D6489"/>
    <w:rsid w:val="005D6B2F"/>
    <w:rsid w:val="005D7E16"/>
    <w:rsid w:val="005E0157"/>
    <w:rsid w:val="005E0333"/>
    <w:rsid w:val="005E035C"/>
    <w:rsid w:val="005E076D"/>
    <w:rsid w:val="005E0CB9"/>
    <w:rsid w:val="005E0DB0"/>
    <w:rsid w:val="005E0FC7"/>
    <w:rsid w:val="005E1A23"/>
    <w:rsid w:val="005E2120"/>
    <w:rsid w:val="005E2FAF"/>
    <w:rsid w:val="005E386E"/>
    <w:rsid w:val="005E3B99"/>
    <w:rsid w:val="005E3C5A"/>
    <w:rsid w:val="005E4B58"/>
    <w:rsid w:val="005E50DE"/>
    <w:rsid w:val="005E50E0"/>
    <w:rsid w:val="005E55EF"/>
    <w:rsid w:val="005E6D76"/>
    <w:rsid w:val="005E6D7E"/>
    <w:rsid w:val="005E7452"/>
    <w:rsid w:val="005E748D"/>
    <w:rsid w:val="005F0A0F"/>
    <w:rsid w:val="005F1713"/>
    <w:rsid w:val="005F19D4"/>
    <w:rsid w:val="005F20DD"/>
    <w:rsid w:val="005F2908"/>
    <w:rsid w:val="005F2A23"/>
    <w:rsid w:val="005F32D7"/>
    <w:rsid w:val="005F33E3"/>
    <w:rsid w:val="005F346F"/>
    <w:rsid w:val="005F3961"/>
    <w:rsid w:val="005F3970"/>
    <w:rsid w:val="005F566F"/>
    <w:rsid w:val="005F5C0F"/>
    <w:rsid w:val="005F5D63"/>
    <w:rsid w:val="005F71EA"/>
    <w:rsid w:val="005F778B"/>
    <w:rsid w:val="005F7D27"/>
    <w:rsid w:val="00600691"/>
    <w:rsid w:val="00600EAA"/>
    <w:rsid w:val="00601198"/>
    <w:rsid w:val="006013FC"/>
    <w:rsid w:val="00601869"/>
    <w:rsid w:val="00601974"/>
    <w:rsid w:val="00601B8C"/>
    <w:rsid w:val="00601E69"/>
    <w:rsid w:val="006020EB"/>
    <w:rsid w:val="0060259E"/>
    <w:rsid w:val="006027ED"/>
    <w:rsid w:val="00603601"/>
    <w:rsid w:val="006038C0"/>
    <w:rsid w:val="00603C5E"/>
    <w:rsid w:val="0060470D"/>
    <w:rsid w:val="00604BFD"/>
    <w:rsid w:val="00604C7E"/>
    <w:rsid w:val="00604EF0"/>
    <w:rsid w:val="00605588"/>
    <w:rsid w:val="00605D30"/>
    <w:rsid w:val="006061CF"/>
    <w:rsid w:val="006061ED"/>
    <w:rsid w:val="00606B79"/>
    <w:rsid w:val="00607C34"/>
    <w:rsid w:val="00610186"/>
    <w:rsid w:val="00610301"/>
    <w:rsid w:val="0061055E"/>
    <w:rsid w:val="00610B81"/>
    <w:rsid w:val="0061114C"/>
    <w:rsid w:val="0061146E"/>
    <w:rsid w:val="0061165A"/>
    <w:rsid w:val="006116CD"/>
    <w:rsid w:val="0061182C"/>
    <w:rsid w:val="00611A0B"/>
    <w:rsid w:val="00612C7C"/>
    <w:rsid w:val="006133C8"/>
    <w:rsid w:val="006134D8"/>
    <w:rsid w:val="006136EF"/>
    <w:rsid w:val="006140D9"/>
    <w:rsid w:val="0061415C"/>
    <w:rsid w:val="00614893"/>
    <w:rsid w:val="0061492B"/>
    <w:rsid w:val="00614D76"/>
    <w:rsid w:val="0061507E"/>
    <w:rsid w:val="00615319"/>
    <w:rsid w:val="00615497"/>
    <w:rsid w:val="00615C2B"/>
    <w:rsid w:val="0061623E"/>
    <w:rsid w:val="006168F4"/>
    <w:rsid w:val="00616F2A"/>
    <w:rsid w:val="006177DF"/>
    <w:rsid w:val="0061782B"/>
    <w:rsid w:val="00617C3F"/>
    <w:rsid w:val="00617CCB"/>
    <w:rsid w:val="00620F85"/>
    <w:rsid w:val="006218FB"/>
    <w:rsid w:val="00622B27"/>
    <w:rsid w:val="00622C02"/>
    <w:rsid w:val="00623285"/>
    <w:rsid w:val="00623E25"/>
    <w:rsid w:val="00623F3D"/>
    <w:rsid w:val="00624524"/>
    <w:rsid w:val="00624588"/>
    <w:rsid w:val="006245FA"/>
    <w:rsid w:val="00624682"/>
    <w:rsid w:val="00624873"/>
    <w:rsid w:val="00625ADC"/>
    <w:rsid w:val="0062654A"/>
    <w:rsid w:val="00626B8F"/>
    <w:rsid w:val="00626E8B"/>
    <w:rsid w:val="00627552"/>
    <w:rsid w:val="006275A2"/>
    <w:rsid w:val="00627637"/>
    <w:rsid w:val="00627857"/>
    <w:rsid w:val="00627D34"/>
    <w:rsid w:val="00627F68"/>
    <w:rsid w:val="006307C2"/>
    <w:rsid w:val="00630803"/>
    <w:rsid w:val="0063098C"/>
    <w:rsid w:val="00630DC7"/>
    <w:rsid w:val="00631711"/>
    <w:rsid w:val="00631793"/>
    <w:rsid w:val="006326DC"/>
    <w:rsid w:val="00633494"/>
    <w:rsid w:val="006336E9"/>
    <w:rsid w:val="00633D99"/>
    <w:rsid w:val="0063444D"/>
    <w:rsid w:val="00634C56"/>
    <w:rsid w:val="00634C8C"/>
    <w:rsid w:val="00634E40"/>
    <w:rsid w:val="00634EDB"/>
    <w:rsid w:val="0063589A"/>
    <w:rsid w:val="00636EB1"/>
    <w:rsid w:val="006373DE"/>
    <w:rsid w:val="00637BD9"/>
    <w:rsid w:val="00637F55"/>
    <w:rsid w:val="00640234"/>
    <w:rsid w:val="00640737"/>
    <w:rsid w:val="0064122B"/>
    <w:rsid w:val="006412D2"/>
    <w:rsid w:val="00641337"/>
    <w:rsid w:val="0064144D"/>
    <w:rsid w:val="00641A87"/>
    <w:rsid w:val="00641E32"/>
    <w:rsid w:val="00641E9C"/>
    <w:rsid w:val="006422E3"/>
    <w:rsid w:val="00642581"/>
    <w:rsid w:val="00642F4E"/>
    <w:rsid w:val="00643129"/>
    <w:rsid w:val="006432EB"/>
    <w:rsid w:val="00643D12"/>
    <w:rsid w:val="006452B1"/>
    <w:rsid w:val="006467A1"/>
    <w:rsid w:val="00646892"/>
    <w:rsid w:val="00647766"/>
    <w:rsid w:val="00647FE4"/>
    <w:rsid w:val="0065133C"/>
    <w:rsid w:val="00652632"/>
    <w:rsid w:val="0065267D"/>
    <w:rsid w:val="00652902"/>
    <w:rsid w:val="00652C1D"/>
    <w:rsid w:val="00653440"/>
    <w:rsid w:val="00653B77"/>
    <w:rsid w:val="00654258"/>
    <w:rsid w:val="00654302"/>
    <w:rsid w:val="00655D52"/>
    <w:rsid w:val="00656877"/>
    <w:rsid w:val="00656AE6"/>
    <w:rsid w:val="00656C9D"/>
    <w:rsid w:val="006571E7"/>
    <w:rsid w:val="006572CD"/>
    <w:rsid w:val="00657733"/>
    <w:rsid w:val="00657B8F"/>
    <w:rsid w:val="00660062"/>
    <w:rsid w:val="00660A49"/>
    <w:rsid w:val="00660ED7"/>
    <w:rsid w:val="0066147A"/>
    <w:rsid w:val="00661BDA"/>
    <w:rsid w:val="006620C2"/>
    <w:rsid w:val="00662B2B"/>
    <w:rsid w:val="00662E6D"/>
    <w:rsid w:val="00663561"/>
    <w:rsid w:val="00663EF8"/>
    <w:rsid w:val="0066486C"/>
    <w:rsid w:val="00665775"/>
    <w:rsid w:val="00665A4E"/>
    <w:rsid w:val="00665A68"/>
    <w:rsid w:val="00665BA9"/>
    <w:rsid w:val="00665D8E"/>
    <w:rsid w:val="006660BF"/>
    <w:rsid w:val="00666200"/>
    <w:rsid w:val="00670321"/>
    <w:rsid w:val="0067084E"/>
    <w:rsid w:val="00670A3B"/>
    <w:rsid w:val="00670E78"/>
    <w:rsid w:val="006710EA"/>
    <w:rsid w:val="00671F0D"/>
    <w:rsid w:val="00672DD4"/>
    <w:rsid w:val="00672F0A"/>
    <w:rsid w:val="006732A3"/>
    <w:rsid w:val="006743E9"/>
    <w:rsid w:val="0067478D"/>
    <w:rsid w:val="0067489F"/>
    <w:rsid w:val="00675FEC"/>
    <w:rsid w:val="006767A5"/>
    <w:rsid w:val="00676BAE"/>
    <w:rsid w:val="00676D4E"/>
    <w:rsid w:val="00676E3B"/>
    <w:rsid w:val="00677096"/>
    <w:rsid w:val="00677AAA"/>
    <w:rsid w:val="00677D55"/>
    <w:rsid w:val="00677DAC"/>
    <w:rsid w:val="006802B1"/>
    <w:rsid w:val="00680440"/>
    <w:rsid w:val="00680800"/>
    <w:rsid w:val="0068099C"/>
    <w:rsid w:val="00680F22"/>
    <w:rsid w:val="006812D2"/>
    <w:rsid w:val="0068141F"/>
    <w:rsid w:val="00681BD6"/>
    <w:rsid w:val="00681CF8"/>
    <w:rsid w:val="00682460"/>
    <w:rsid w:val="006827A4"/>
    <w:rsid w:val="006838EC"/>
    <w:rsid w:val="00684386"/>
    <w:rsid w:val="006844B7"/>
    <w:rsid w:val="0068471D"/>
    <w:rsid w:val="00684C04"/>
    <w:rsid w:val="00685144"/>
    <w:rsid w:val="006851B0"/>
    <w:rsid w:val="00685245"/>
    <w:rsid w:val="006860ED"/>
    <w:rsid w:val="0068664E"/>
    <w:rsid w:val="00686968"/>
    <w:rsid w:val="0068735A"/>
    <w:rsid w:val="00687C8A"/>
    <w:rsid w:val="0069073B"/>
    <w:rsid w:val="00690941"/>
    <w:rsid w:val="00690A89"/>
    <w:rsid w:val="00690C80"/>
    <w:rsid w:val="00691358"/>
    <w:rsid w:val="0069173F"/>
    <w:rsid w:val="00692136"/>
    <w:rsid w:val="006921EB"/>
    <w:rsid w:val="0069230B"/>
    <w:rsid w:val="006924F6"/>
    <w:rsid w:val="006927EA"/>
    <w:rsid w:val="00692D40"/>
    <w:rsid w:val="006940F2"/>
    <w:rsid w:val="0069461D"/>
    <w:rsid w:val="00694DA3"/>
    <w:rsid w:val="006957DC"/>
    <w:rsid w:val="006960D7"/>
    <w:rsid w:val="00697500"/>
    <w:rsid w:val="00697C60"/>
    <w:rsid w:val="006A0392"/>
    <w:rsid w:val="006A063C"/>
    <w:rsid w:val="006A0A24"/>
    <w:rsid w:val="006A0E5B"/>
    <w:rsid w:val="006A1211"/>
    <w:rsid w:val="006A1429"/>
    <w:rsid w:val="006A1A77"/>
    <w:rsid w:val="006A1DB3"/>
    <w:rsid w:val="006A2475"/>
    <w:rsid w:val="006A2520"/>
    <w:rsid w:val="006A3A04"/>
    <w:rsid w:val="006A4670"/>
    <w:rsid w:val="006A4F69"/>
    <w:rsid w:val="006A590B"/>
    <w:rsid w:val="006A5F10"/>
    <w:rsid w:val="006A63D9"/>
    <w:rsid w:val="006A6931"/>
    <w:rsid w:val="006A6A33"/>
    <w:rsid w:val="006A7000"/>
    <w:rsid w:val="006A789D"/>
    <w:rsid w:val="006A7C3B"/>
    <w:rsid w:val="006B04AE"/>
    <w:rsid w:val="006B17B9"/>
    <w:rsid w:val="006B1CBE"/>
    <w:rsid w:val="006B23FC"/>
    <w:rsid w:val="006B31F7"/>
    <w:rsid w:val="006B3458"/>
    <w:rsid w:val="006B3527"/>
    <w:rsid w:val="006B48DD"/>
    <w:rsid w:val="006B4AAB"/>
    <w:rsid w:val="006B5331"/>
    <w:rsid w:val="006B5640"/>
    <w:rsid w:val="006B6689"/>
    <w:rsid w:val="006B6C7A"/>
    <w:rsid w:val="006B6D02"/>
    <w:rsid w:val="006B7201"/>
    <w:rsid w:val="006B750C"/>
    <w:rsid w:val="006B751D"/>
    <w:rsid w:val="006C015A"/>
    <w:rsid w:val="006C01BD"/>
    <w:rsid w:val="006C10C5"/>
    <w:rsid w:val="006C1466"/>
    <w:rsid w:val="006C15F7"/>
    <w:rsid w:val="006C1D53"/>
    <w:rsid w:val="006C2E3C"/>
    <w:rsid w:val="006C3BCA"/>
    <w:rsid w:val="006C4161"/>
    <w:rsid w:val="006C435D"/>
    <w:rsid w:val="006C43A9"/>
    <w:rsid w:val="006C45DA"/>
    <w:rsid w:val="006C4F5F"/>
    <w:rsid w:val="006C5792"/>
    <w:rsid w:val="006C5F07"/>
    <w:rsid w:val="006C69E0"/>
    <w:rsid w:val="006C6B4E"/>
    <w:rsid w:val="006C6C73"/>
    <w:rsid w:val="006C73C5"/>
    <w:rsid w:val="006C7669"/>
    <w:rsid w:val="006C7C64"/>
    <w:rsid w:val="006C7E34"/>
    <w:rsid w:val="006D02B4"/>
    <w:rsid w:val="006D1195"/>
    <w:rsid w:val="006D1874"/>
    <w:rsid w:val="006D1B83"/>
    <w:rsid w:val="006D1D62"/>
    <w:rsid w:val="006D30BA"/>
    <w:rsid w:val="006D3118"/>
    <w:rsid w:val="006D3414"/>
    <w:rsid w:val="006D387C"/>
    <w:rsid w:val="006D419D"/>
    <w:rsid w:val="006D5455"/>
    <w:rsid w:val="006D5624"/>
    <w:rsid w:val="006D5AF9"/>
    <w:rsid w:val="006D5EAF"/>
    <w:rsid w:val="006D610F"/>
    <w:rsid w:val="006D670A"/>
    <w:rsid w:val="006D7376"/>
    <w:rsid w:val="006E0AA4"/>
    <w:rsid w:val="006E10C6"/>
    <w:rsid w:val="006E11B6"/>
    <w:rsid w:val="006E1217"/>
    <w:rsid w:val="006E12FD"/>
    <w:rsid w:val="006E176D"/>
    <w:rsid w:val="006E1775"/>
    <w:rsid w:val="006E1D3E"/>
    <w:rsid w:val="006E2AE0"/>
    <w:rsid w:val="006E3591"/>
    <w:rsid w:val="006E3FA6"/>
    <w:rsid w:val="006E446F"/>
    <w:rsid w:val="006E4753"/>
    <w:rsid w:val="006E47C5"/>
    <w:rsid w:val="006E4B34"/>
    <w:rsid w:val="006E5CDA"/>
    <w:rsid w:val="006E5F58"/>
    <w:rsid w:val="006E6293"/>
    <w:rsid w:val="006E6647"/>
    <w:rsid w:val="006E6AF9"/>
    <w:rsid w:val="006E7052"/>
    <w:rsid w:val="006E771B"/>
    <w:rsid w:val="006E7AE2"/>
    <w:rsid w:val="006E7F57"/>
    <w:rsid w:val="006F003C"/>
    <w:rsid w:val="006F083E"/>
    <w:rsid w:val="006F0BDB"/>
    <w:rsid w:val="006F14CE"/>
    <w:rsid w:val="006F18A0"/>
    <w:rsid w:val="006F29F0"/>
    <w:rsid w:val="006F2A0F"/>
    <w:rsid w:val="006F550D"/>
    <w:rsid w:val="006F57F6"/>
    <w:rsid w:val="006F6762"/>
    <w:rsid w:val="006F6E56"/>
    <w:rsid w:val="006F6F34"/>
    <w:rsid w:val="006F71C0"/>
    <w:rsid w:val="006F7286"/>
    <w:rsid w:val="0070017B"/>
    <w:rsid w:val="00700FC6"/>
    <w:rsid w:val="00701059"/>
    <w:rsid w:val="00701FF6"/>
    <w:rsid w:val="00702593"/>
    <w:rsid w:val="00702806"/>
    <w:rsid w:val="00702EBD"/>
    <w:rsid w:val="00703055"/>
    <w:rsid w:val="007030C2"/>
    <w:rsid w:val="00703157"/>
    <w:rsid w:val="00703334"/>
    <w:rsid w:val="007036D4"/>
    <w:rsid w:val="00704338"/>
    <w:rsid w:val="007054A2"/>
    <w:rsid w:val="00705B9A"/>
    <w:rsid w:val="00705CED"/>
    <w:rsid w:val="00705D32"/>
    <w:rsid w:val="00706273"/>
    <w:rsid w:val="00706A6A"/>
    <w:rsid w:val="00707254"/>
    <w:rsid w:val="00710198"/>
    <w:rsid w:val="007104CE"/>
    <w:rsid w:val="0071052F"/>
    <w:rsid w:val="00712750"/>
    <w:rsid w:val="007128B9"/>
    <w:rsid w:val="00712DE2"/>
    <w:rsid w:val="007143FE"/>
    <w:rsid w:val="00714892"/>
    <w:rsid w:val="007153C4"/>
    <w:rsid w:val="00715420"/>
    <w:rsid w:val="0071610A"/>
    <w:rsid w:val="0071671D"/>
    <w:rsid w:val="00716860"/>
    <w:rsid w:val="00716900"/>
    <w:rsid w:val="00716B5A"/>
    <w:rsid w:val="0071726C"/>
    <w:rsid w:val="00717BD3"/>
    <w:rsid w:val="007207F1"/>
    <w:rsid w:val="00720FA1"/>
    <w:rsid w:val="00721165"/>
    <w:rsid w:val="007213A3"/>
    <w:rsid w:val="007214BA"/>
    <w:rsid w:val="0072181E"/>
    <w:rsid w:val="00721BA4"/>
    <w:rsid w:val="00721BFC"/>
    <w:rsid w:val="00722403"/>
    <w:rsid w:val="00722B38"/>
    <w:rsid w:val="00723712"/>
    <w:rsid w:val="00723815"/>
    <w:rsid w:val="007238A1"/>
    <w:rsid w:val="00723B49"/>
    <w:rsid w:val="00723F85"/>
    <w:rsid w:val="007246FB"/>
    <w:rsid w:val="00725619"/>
    <w:rsid w:val="00725704"/>
    <w:rsid w:val="0072587D"/>
    <w:rsid w:val="0072591F"/>
    <w:rsid w:val="00725D4B"/>
    <w:rsid w:val="0072633E"/>
    <w:rsid w:val="007276C3"/>
    <w:rsid w:val="00730A1D"/>
    <w:rsid w:val="00730B88"/>
    <w:rsid w:val="00730DA6"/>
    <w:rsid w:val="00730E00"/>
    <w:rsid w:val="00730E3D"/>
    <w:rsid w:val="00730F20"/>
    <w:rsid w:val="00731423"/>
    <w:rsid w:val="007316B4"/>
    <w:rsid w:val="007326C7"/>
    <w:rsid w:val="007326EC"/>
    <w:rsid w:val="00732DB6"/>
    <w:rsid w:val="0073390A"/>
    <w:rsid w:val="00733B8F"/>
    <w:rsid w:val="00734413"/>
    <w:rsid w:val="00734C57"/>
    <w:rsid w:val="00735253"/>
    <w:rsid w:val="0073535A"/>
    <w:rsid w:val="00735B05"/>
    <w:rsid w:val="007366C4"/>
    <w:rsid w:val="0073692A"/>
    <w:rsid w:val="00736AAE"/>
    <w:rsid w:val="00736CAF"/>
    <w:rsid w:val="00737302"/>
    <w:rsid w:val="0073741E"/>
    <w:rsid w:val="0073753B"/>
    <w:rsid w:val="00737DA5"/>
    <w:rsid w:val="007402EF"/>
    <w:rsid w:val="00740768"/>
    <w:rsid w:val="0074077F"/>
    <w:rsid w:val="007413F0"/>
    <w:rsid w:val="00741ADA"/>
    <w:rsid w:val="00741B7B"/>
    <w:rsid w:val="00741F17"/>
    <w:rsid w:val="007420DF"/>
    <w:rsid w:val="007423A3"/>
    <w:rsid w:val="00742563"/>
    <w:rsid w:val="007432CF"/>
    <w:rsid w:val="00744829"/>
    <w:rsid w:val="00744BD5"/>
    <w:rsid w:val="007460FE"/>
    <w:rsid w:val="00746426"/>
    <w:rsid w:val="0074661B"/>
    <w:rsid w:val="0074672B"/>
    <w:rsid w:val="00746BAF"/>
    <w:rsid w:val="00746EEC"/>
    <w:rsid w:val="00747442"/>
    <w:rsid w:val="0075024F"/>
    <w:rsid w:val="00750860"/>
    <w:rsid w:val="0075108F"/>
    <w:rsid w:val="00751143"/>
    <w:rsid w:val="00751CD2"/>
    <w:rsid w:val="00751F5D"/>
    <w:rsid w:val="00752334"/>
    <w:rsid w:val="0075248A"/>
    <w:rsid w:val="00754095"/>
    <w:rsid w:val="00754611"/>
    <w:rsid w:val="00754CA7"/>
    <w:rsid w:val="00754D71"/>
    <w:rsid w:val="007554CC"/>
    <w:rsid w:val="00755987"/>
    <w:rsid w:val="0075650C"/>
    <w:rsid w:val="00756A4C"/>
    <w:rsid w:val="00756E4B"/>
    <w:rsid w:val="00757788"/>
    <w:rsid w:val="007579C3"/>
    <w:rsid w:val="00757FCD"/>
    <w:rsid w:val="007602DE"/>
    <w:rsid w:val="0076050B"/>
    <w:rsid w:val="00760563"/>
    <w:rsid w:val="00760709"/>
    <w:rsid w:val="00760EF6"/>
    <w:rsid w:val="007613BB"/>
    <w:rsid w:val="00761B50"/>
    <w:rsid w:val="007620E6"/>
    <w:rsid w:val="0076396E"/>
    <w:rsid w:val="00764421"/>
    <w:rsid w:val="00764584"/>
    <w:rsid w:val="00764B63"/>
    <w:rsid w:val="00765163"/>
    <w:rsid w:val="00765D9F"/>
    <w:rsid w:val="00766086"/>
    <w:rsid w:val="00766602"/>
    <w:rsid w:val="00766A28"/>
    <w:rsid w:val="00766CD1"/>
    <w:rsid w:val="00766FF2"/>
    <w:rsid w:val="007678A4"/>
    <w:rsid w:val="007679D8"/>
    <w:rsid w:val="00767C35"/>
    <w:rsid w:val="007704AA"/>
    <w:rsid w:val="007705E6"/>
    <w:rsid w:val="00770B24"/>
    <w:rsid w:val="007710A2"/>
    <w:rsid w:val="00771466"/>
    <w:rsid w:val="0077227E"/>
    <w:rsid w:val="00772426"/>
    <w:rsid w:val="00772A4C"/>
    <w:rsid w:val="0077326D"/>
    <w:rsid w:val="0077400C"/>
    <w:rsid w:val="0077430B"/>
    <w:rsid w:val="00774560"/>
    <w:rsid w:val="007746E8"/>
    <w:rsid w:val="0077480C"/>
    <w:rsid w:val="00775529"/>
    <w:rsid w:val="007755CD"/>
    <w:rsid w:val="00775BC3"/>
    <w:rsid w:val="00775DED"/>
    <w:rsid w:val="0077626F"/>
    <w:rsid w:val="0077629C"/>
    <w:rsid w:val="0077640B"/>
    <w:rsid w:val="00776D51"/>
    <w:rsid w:val="0077714F"/>
    <w:rsid w:val="007775DE"/>
    <w:rsid w:val="007775ED"/>
    <w:rsid w:val="00777B01"/>
    <w:rsid w:val="00777CF9"/>
    <w:rsid w:val="007809C8"/>
    <w:rsid w:val="00780B12"/>
    <w:rsid w:val="00781629"/>
    <w:rsid w:val="00782390"/>
    <w:rsid w:val="0078297B"/>
    <w:rsid w:val="00782C8C"/>
    <w:rsid w:val="00783013"/>
    <w:rsid w:val="00783640"/>
    <w:rsid w:val="00783839"/>
    <w:rsid w:val="00783ACD"/>
    <w:rsid w:val="00785013"/>
    <w:rsid w:val="007853F5"/>
    <w:rsid w:val="00785C84"/>
    <w:rsid w:val="00786040"/>
    <w:rsid w:val="00786251"/>
    <w:rsid w:val="00786282"/>
    <w:rsid w:val="007866C8"/>
    <w:rsid w:val="00786F5B"/>
    <w:rsid w:val="00787425"/>
    <w:rsid w:val="0078749D"/>
    <w:rsid w:val="007874F9"/>
    <w:rsid w:val="007876B9"/>
    <w:rsid w:val="00790276"/>
    <w:rsid w:val="007906F8"/>
    <w:rsid w:val="00791456"/>
    <w:rsid w:val="00791EAA"/>
    <w:rsid w:val="00792CB9"/>
    <w:rsid w:val="00793169"/>
    <w:rsid w:val="0079397A"/>
    <w:rsid w:val="00793D49"/>
    <w:rsid w:val="0079411E"/>
    <w:rsid w:val="00794867"/>
    <w:rsid w:val="00794DC0"/>
    <w:rsid w:val="00795403"/>
    <w:rsid w:val="00795DBC"/>
    <w:rsid w:val="00796B8F"/>
    <w:rsid w:val="00796D19"/>
    <w:rsid w:val="0079787A"/>
    <w:rsid w:val="00797F6B"/>
    <w:rsid w:val="007A0494"/>
    <w:rsid w:val="007A09F2"/>
    <w:rsid w:val="007A0AF6"/>
    <w:rsid w:val="007A1155"/>
    <w:rsid w:val="007A1BFB"/>
    <w:rsid w:val="007A1F69"/>
    <w:rsid w:val="007A21E2"/>
    <w:rsid w:val="007A238C"/>
    <w:rsid w:val="007A24C4"/>
    <w:rsid w:val="007A2F02"/>
    <w:rsid w:val="007A322A"/>
    <w:rsid w:val="007A35A2"/>
    <w:rsid w:val="007A37F6"/>
    <w:rsid w:val="007A3DD8"/>
    <w:rsid w:val="007A458F"/>
    <w:rsid w:val="007A4CC4"/>
    <w:rsid w:val="007A4DFF"/>
    <w:rsid w:val="007A5A68"/>
    <w:rsid w:val="007A5DC1"/>
    <w:rsid w:val="007A6096"/>
    <w:rsid w:val="007A65F4"/>
    <w:rsid w:val="007A6D8A"/>
    <w:rsid w:val="007B008F"/>
    <w:rsid w:val="007B0C28"/>
    <w:rsid w:val="007B14CC"/>
    <w:rsid w:val="007B19ED"/>
    <w:rsid w:val="007B2E43"/>
    <w:rsid w:val="007B3610"/>
    <w:rsid w:val="007B3C6E"/>
    <w:rsid w:val="007B4373"/>
    <w:rsid w:val="007B43AE"/>
    <w:rsid w:val="007B442E"/>
    <w:rsid w:val="007B48EC"/>
    <w:rsid w:val="007B4CB0"/>
    <w:rsid w:val="007B56F8"/>
    <w:rsid w:val="007B5716"/>
    <w:rsid w:val="007B599C"/>
    <w:rsid w:val="007B5CAA"/>
    <w:rsid w:val="007B5DC1"/>
    <w:rsid w:val="007B616C"/>
    <w:rsid w:val="007B63FE"/>
    <w:rsid w:val="007B6EAB"/>
    <w:rsid w:val="007B6F8E"/>
    <w:rsid w:val="007B6FF8"/>
    <w:rsid w:val="007B7AC1"/>
    <w:rsid w:val="007B7B9C"/>
    <w:rsid w:val="007B7DF1"/>
    <w:rsid w:val="007C07C8"/>
    <w:rsid w:val="007C1413"/>
    <w:rsid w:val="007C18D7"/>
    <w:rsid w:val="007C21D2"/>
    <w:rsid w:val="007C234D"/>
    <w:rsid w:val="007C2A1C"/>
    <w:rsid w:val="007C2A4F"/>
    <w:rsid w:val="007C2B0F"/>
    <w:rsid w:val="007C2BF1"/>
    <w:rsid w:val="007C30ED"/>
    <w:rsid w:val="007C3322"/>
    <w:rsid w:val="007C3847"/>
    <w:rsid w:val="007C38E6"/>
    <w:rsid w:val="007C4096"/>
    <w:rsid w:val="007C483C"/>
    <w:rsid w:val="007C4CFA"/>
    <w:rsid w:val="007C4EFA"/>
    <w:rsid w:val="007C5AC8"/>
    <w:rsid w:val="007C5F83"/>
    <w:rsid w:val="007C615E"/>
    <w:rsid w:val="007C6692"/>
    <w:rsid w:val="007C74E0"/>
    <w:rsid w:val="007C78C1"/>
    <w:rsid w:val="007D00F3"/>
    <w:rsid w:val="007D0100"/>
    <w:rsid w:val="007D0A11"/>
    <w:rsid w:val="007D0AB6"/>
    <w:rsid w:val="007D0EE9"/>
    <w:rsid w:val="007D197D"/>
    <w:rsid w:val="007D1CD8"/>
    <w:rsid w:val="007D268F"/>
    <w:rsid w:val="007D2761"/>
    <w:rsid w:val="007D361D"/>
    <w:rsid w:val="007D3F91"/>
    <w:rsid w:val="007D401D"/>
    <w:rsid w:val="007D4B51"/>
    <w:rsid w:val="007D4BD3"/>
    <w:rsid w:val="007D51D2"/>
    <w:rsid w:val="007D55C8"/>
    <w:rsid w:val="007D5AF3"/>
    <w:rsid w:val="007D62A1"/>
    <w:rsid w:val="007D6FC5"/>
    <w:rsid w:val="007D7020"/>
    <w:rsid w:val="007D7B3B"/>
    <w:rsid w:val="007D7F51"/>
    <w:rsid w:val="007E037C"/>
    <w:rsid w:val="007E081E"/>
    <w:rsid w:val="007E0976"/>
    <w:rsid w:val="007E0997"/>
    <w:rsid w:val="007E178A"/>
    <w:rsid w:val="007E283C"/>
    <w:rsid w:val="007E323A"/>
    <w:rsid w:val="007E388C"/>
    <w:rsid w:val="007E3991"/>
    <w:rsid w:val="007E3C59"/>
    <w:rsid w:val="007E4232"/>
    <w:rsid w:val="007E5F03"/>
    <w:rsid w:val="007E62C7"/>
    <w:rsid w:val="007E6314"/>
    <w:rsid w:val="007E6507"/>
    <w:rsid w:val="007E65C1"/>
    <w:rsid w:val="007E6702"/>
    <w:rsid w:val="007E6776"/>
    <w:rsid w:val="007E70BE"/>
    <w:rsid w:val="007E713C"/>
    <w:rsid w:val="007E71AF"/>
    <w:rsid w:val="007E73FD"/>
    <w:rsid w:val="007E740C"/>
    <w:rsid w:val="007F00A1"/>
    <w:rsid w:val="007F031F"/>
    <w:rsid w:val="007F09CD"/>
    <w:rsid w:val="007F0EB7"/>
    <w:rsid w:val="007F167F"/>
    <w:rsid w:val="007F21DA"/>
    <w:rsid w:val="007F38EA"/>
    <w:rsid w:val="007F3A5C"/>
    <w:rsid w:val="007F3BED"/>
    <w:rsid w:val="007F3E5B"/>
    <w:rsid w:val="007F435E"/>
    <w:rsid w:val="007F488F"/>
    <w:rsid w:val="007F5197"/>
    <w:rsid w:val="007F534C"/>
    <w:rsid w:val="007F5EF7"/>
    <w:rsid w:val="007F5F7D"/>
    <w:rsid w:val="007F6583"/>
    <w:rsid w:val="007F699C"/>
    <w:rsid w:val="007F6D35"/>
    <w:rsid w:val="007F7057"/>
    <w:rsid w:val="007F73D2"/>
    <w:rsid w:val="007F7B63"/>
    <w:rsid w:val="0080007D"/>
    <w:rsid w:val="00800EB0"/>
    <w:rsid w:val="0080100C"/>
    <w:rsid w:val="0080117F"/>
    <w:rsid w:val="00801E9E"/>
    <w:rsid w:val="00802155"/>
    <w:rsid w:val="00802CAE"/>
    <w:rsid w:val="0080345B"/>
    <w:rsid w:val="00803998"/>
    <w:rsid w:val="008039CC"/>
    <w:rsid w:val="0080427D"/>
    <w:rsid w:val="008045CC"/>
    <w:rsid w:val="008048F9"/>
    <w:rsid w:val="00804CFE"/>
    <w:rsid w:val="00805068"/>
    <w:rsid w:val="008055BC"/>
    <w:rsid w:val="008056B0"/>
    <w:rsid w:val="00806858"/>
    <w:rsid w:val="0080689C"/>
    <w:rsid w:val="00806ECF"/>
    <w:rsid w:val="00807D07"/>
    <w:rsid w:val="0081018C"/>
    <w:rsid w:val="00810331"/>
    <w:rsid w:val="00811520"/>
    <w:rsid w:val="0081181C"/>
    <w:rsid w:val="00811DA0"/>
    <w:rsid w:val="008123EA"/>
    <w:rsid w:val="008125BE"/>
    <w:rsid w:val="00812727"/>
    <w:rsid w:val="008127B9"/>
    <w:rsid w:val="00812B58"/>
    <w:rsid w:val="00812F93"/>
    <w:rsid w:val="00813AF3"/>
    <w:rsid w:val="00813D85"/>
    <w:rsid w:val="00814642"/>
    <w:rsid w:val="008149F0"/>
    <w:rsid w:val="00815295"/>
    <w:rsid w:val="00815D89"/>
    <w:rsid w:val="00815DD7"/>
    <w:rsid w:val="0081681F"/>
    <w:rsid w:val="00816A80"/>
    <w:rsid w:val="0081753C"/>
    <w:rsid w:val="008178BB"/>
    <w:rsid w:val="00820231"/>
    <w:rsid w:val="00820681"/>
    <w:rsid w:val="0082087B"/>
    <w:rsid w:val="00820E2E"/>
    <w:rsid w:val="008210FB"/>
    <w:rsid w:val="0082155A"/>
    <w:rsid w:val="00821767"/>
    <w:rsid w:val="00821F2A"/>
    <w:rsid w:val="00822E6C"/>
    <w:rsid w:val="00822EF3"/>
    <w:rsid w:val="008233D9"/>
    <w:rsid w:val="008235EA"/>
    <w:rsid w:val="008243C4"/>
    <w:rsid w:val="00824DE7"/>
    <w:rsid w:val="00825746"/>
    <w:rsid w:val="00825A0C"/>
    <w:rsid w:val="00825A42"/>
    <w:rsid w:val="00825D66"/>
    <w:rsid w:val="00825F6E"/>
    <w:rsid w:val="00826172"/>
    <w:rsid w:val="00826765"/>
    <w:rsid w:val="00826F36"/>
    <w:rsid w:val="00827584"/>
    <w:rsid w:val="00827CFC"/>
    <w:rsid w:val="00827F75"/>
    <w:rsid w:val="00830B9B"/>
    <w:rsid w:val="00830BC7"/>
    <w:rsid w:val="008315B2"/>
    <w:rsid w:val="008315CF"/>
    <w:rsid w:val="0083167A"/>
    <w:rsid w:val="00831C5B"/>
    <w:rsid w:val="00831FA5"/>
    <w:rsid w:val="0083247A"/>
    <w:rsid w:val="0083311B"/>
    <w:rsid w:val="00833449"/>
    <w:rsid w:val="00833776"/>
    <w:rsid w:val="00833AFD"/>
    <w:rsid w:val="00834B77"/>
    <w:rsid w:val="00835213"/>
    <w:rsid w:val="00835C55"/>
    <w:rsid w:val="00836776"/>
    <w:rsid w:val="008367B3"/>
    <w:rsid w:val="00836C9C"/>
    <w:rsid w:val="00837D07"/>
    <w:rsid w:val="0084035F"/>
    <w:rsid w:val="00840AA8"/>
    <w:rsid w:val="00840FA1"/>
    <w:rsid w:val="0084125E"/>
    <w:rsid w:val="00841A6D"/>
    <w:rsid w:val="00841BCA"/>
    <w:rsid w:val="00841F83"/>
    <w:rsid w:val="0084203B"/>
    <w:rsid w:val="008420E5"/>
    <w:rsid w:val="00842142"/>
    <w:rsid w:val="008423AA"/>
    <w:rsid w:val="00842546"/>
    <w:rsid w:val="008426C4"/>
    <w:rsid w:val="008429B5"/>
    <w:rsid w:val="00842FB4"/>
    <w:rsid w:val="0084332B"/>
    <w:rsid w:val="0084338E"/>
    <w:rsid w:val="00843A4F"/>
    <w:rsid w:val="00843CE7"/>
    <w:rsid w:val="00843DE9"/>
    <w:rsid w:val="00844EB0"/>
    <w:rsid w:val="00845386"/>
    <w:rsid w:val="008455D5"/>
    <w:rsid w:val="00845892"/>
    <w:rsid w:val="00845E29"/>
    <w:rsid w:val="00846614"/>
    <w:rsid w:val="00846712"/>
    <w:rsid w:val="00846D98"/>
    <w:rsid w:val="00847497"/>
    <w:rsid w:val="00847B14"/>
    <w:rsid w:val="00847F38"/>
    <w:rsid w:val="00850DA9"/>
    <w:rsid w:val="00850DB3"/>
    <w:rsid w:val="00850E65"/>
    <w:rsid w:val="008517D0"/>
    <w:rsid w:val="008527DA"/>
    <w:rsid w:val="00852D67"/>
    <w:rsid w:val="0085302B"/>
    <w:rsid w:val="00853121"/>
    <w:rsid w:val="0085403A"/>
    <w:rsid w:val="0085407F"/>
    <w:rsid w:val="00854478"/>
    <w:rsid w:val="008549EA"/>
    <w:rsid w:val="00854A95"/>
    <w:rsid w:val="00854BD0"/>
    <w:rsid w:val="00854C1E"/>
    <w:rsid w:val="00855A06"/>
    <w:rsid w:val="00855A19"/>
    <w:rsid w:val="00855D56"/>
    <w:rsid w:val="00855EC6"/>
    <w:rsid w:val="0085620F"/>
    <w:rsid w:val="00856A98"/>
    <w:rsid w:val="008570E7"/>
    <w:rsid w:val="00857418"/>
    <w:rsid w:val="008577E0"/>
    <w:rsid w:val="0086270A"/>
    <w:rsid w:val="008627C0"/>
    <w:rsid w:val="00862A1B"/>
    <w:rsid w:val="00862AAD"/>
    <w:rsid w:val="00862E45"/>
    <w:rsid w:val="00863A99"/>
    <w:rsid w:val="008640D2"/>
    <w:rsid w:val="0086452E"/>
    <w:rsid w:val="00864626"/>
    <w:rsid w:val="00864808"/>
    <w:rsid w:val="00864F82"/>
    <w:rsid w:val="00864F84"/>
    <w:rsid w:val="008657E0"/>
    <w:rsid w:val="00865A0E"/>
    <w:rsid w:val="00865C1B"/>
    <w:rsid w:val="00865C33"/>
    <w:rsid w:val="00866DA5"/>
    <w:rsid w:val="00867A4A"/>
    <w:rsid w:val="00867E64"/>
    <w:rsid w:val="00867F47"/>
    <w:rsid w:val="00870B21"/>
    <w:rsid w:val="00870E99"/>
    <w:rsid w:val="0087118E"/>
    <w:rsid w:val="008714EC"/>
    <w:rsid w:val="00871A77"/>
    <w:rsid w:val="00871B6D"/>
    <w:rsid w:val="008729E2"/>
    <w:rsid w:val="00872B2C"/>
    <w:rsid w:val="00872CEA"/>
    <w:rsid w:val="00872F32"/>
    <w:rsid w:val="00872F88"/>
    <w:rsid w:val="008730D7"/>
    <w:rsid w:val="00873639"/>
    <w:rsid w:val="008739BD"/>
    <w:rsid w:val="008746BE"/>
    <w:rsid w:val="00874B84"/>
    <w:rsid w:val="00874CDB"/>
    <w:rsid w:val="00875322"/>
    <w:rsid w:val="00875910"/>
    <w:rsid w:val="00875D84"/>
    <w:rsid w:val="00876B57"/>
    <w:rsid w:val="008771C0"/>
    <w:rsid w:val="0087728A"/>
    <w:rsid w:val="0087795A"/>
    <w:rsid w:val="00877A33"/>
    <w:rsid w:val="00877D30"/>
    <w:rsid w:val="008804B8"/>
    <w:rsid w:val="008806FD"/>
    <w:rsid w:val="0088084D"/>
    <w:rsid w:val="0088170D"/>
    <w:rsid w:val="00881958"/>
    <w:rsid w:val="00881B96"/>
    <w:rsid w:val="0088286A"/>
    <w:rsid w:val="00882B37"/>
    <w:rsid w:val="00883478"/>
    <w:rsid w:val="00883A7C"/>
    <w:rsid w:val="00883AEE"/>
    <w:rsid w:val="0088433B"/>
    <w:rsid w:val="00884DAE"/>
    <w:rsid w:val="008851E7"/>
    <w:rsid w:val="00885306"/>
    <w:rsid w:val="00885ECB"/>
    <w:rsid w:val="008867B6"/>
    <w:rsid w:val="008868DF"/>
    <w:rsid w:val="00886B8D"/>
    <w:rsid w:val="00886CBE"/>
    <w:rsid w:val="00886F93"/>
    <w:rsid w:val="0089038E"/>
    <w:rsid w:val="008918EC"/>
    <w:rsid w:val="008918F7"/>
    <w:rsid w:val="008919A7"/>
    <w:rsid w:val="00892143"/>
    <w:rsid w:val="008927C5"/>
    <w:rsid w:val="008927CB"/>
    <w:rsid w:val="00892A28"/>
    <w:rsid w:val="00893D65"/>
    <w:rsid w:val="00894B13"/>
    <w:rsid w:val="00894B1C"/>
    <w:rsid w:val="008956BE"/>
    <w:rsid w:val="00895F89"/>
    <w:rsid w:val="008963CC"/>
    <w:rsid w:val="0089698F"/>
    <w:rsid w:val="00896C47"/>
    <w:rsid w:val="00896DBB"/>
    <w:rsid w:val="008A0B1A"/>
    <w:rsid w:val="008A2738"/>
    <w:rsid w:val="008A2E81"/>
    <w:rsid w:val="008A318F"/>
    <w:rsid w:val="008A35DF"/>
    <w:rsid w:val="008A3F5C"/>
    <w:rsid w:val="008A4131"/>
    <w:rsid w:val="008A4197"/>
    <w:rsid w:val="008A4258"/>
    <w:rsid w:val="008A4EC9"/>
    <w:rsid w:val="008A5374"/>
    <w:rsid w:val="008A54A3"/>
    <w:rsid w:val="008A57AB"/>
    <w:rsid w:val="008A57B9"/>
    <w:rsid w:val="008A57C2"/>
    <w:rsid w:val="008A765B"/>
    <w:rsid w:val="008A76DB"/>
    <w:rsid w:val="008A7A22"/>
    <w:rsid w:val="008A7CDE"/>
    <w:rsid w:val="008B0426"/>
    <w:rsid w:val="008B055D"/>
    <w:rsid w:val="008B05EF"/>
    <w:rsid w:val="008B098E"/>
    <w:rsid w:val="008B16D7"/>
    <w:rsid w:val="008B183D"/>
    <w:rsid w:val="008B1978"/>
    <w:rsid w:val="008B1B6D"/>
    <w:rsid w:val="008B1FB9"/>
    <w:rsid w:val="008B2953"/>
    <w:rsid w:val="008B36E0"/>
    <w:rsid w:val="008B38DD"/>
    <w:rsid w:val="008B5082"/>
    <w:rsid w:val="008B510A"/>
    <w:rsid w:val="008B576E"/>
    <w:rsid w:val="008B5900"/>
    <w:rsid w:val="008B648B"/>
    <w:rsid w:val="008B64FA"/>
    <w:rsid w:val="008B6836"/>
    <w:rsid w:val="008B6BB1"/>
    <w:rsid w:val="008B70C6"/>
    <w:rsid w:val="008B7CFF"/>
    <w:rsid w:val="008C0796"/>
    <w:rsid w:val="008C19E7"/>
    <w:rsid w:val="008C1B4E"/>
    <w:rsid w:val="008C1BC9"/>
    <w:rsid w:val="008C227E"/>
    <w:rsid w:val="008C2DBE"/>
    <w:rsid w:val="008C2F90"/>
    <w:rsid w:val="008C367A"/>
    <w:rsid w:val="008C37F7"/>
    <w:rsid w:val="008C40CF"/>
    <w:rsid w:val="008C4C26"/>
    <w:rsid w:val="008C4D82"/>
    <w:rsid w:val="008C55C7"/>
    <w:rsid w:val="008C618E"/>
    <w:rsid w:val="008C7037"/>
    <w:rsid w:val="008C7FA8"/>
    <w:rsid w:val="008D1112"/>
    <w:rsid w:val="008D162C"/>
    <w:rsid w:val="008D1A94"/>
    <w:rsid w:val="008D3470"/>
    <w:rsid w:val="008D3B2A"/>
    <w:rsid w:val="008D4101"/>
    <w:rsid w:val="008D4EB3"/>
    <w:rsid w:val="008D5775"/>
    <w:rsid w:val="008D5EC7"/>
    <w:rsid w:val="008D6D3A"/>
    <w:rsid w:val="008D7310"/>
    <w:rsid w:val="008D7BAD"/>
    <w:rsid w:val="008E0133"/>
    <w:rsid w:val="008E038F"/>
    <w:rsid w:val="008E04F9"/>
    <w:rsid w:val="008E08D2"/>
    <w:rsid w:val="008E0F03"/>
    <w:rsid w:val="008E1009"/>
    <w:rsid w:val="008E15F5"/>
    <w:rsid w:val="008E1FCF"/>
    <w:rsid w:val="008E2361"/>
    <w:rsid w:val="008E2480"/>
    <w:rsid w:val="008E303F"/>
    <w:rsid w:val="008E3088"/>
    <w:rsid w:val="008E3364"/>
    <w:rsid w:val="008E36B7"/>
    <w:rsid w:val="008E404C"/>
    <w:rsid w:val="008E4F44"/>
    <w:rsid w:val="008E5964"/>
    <w:rsid w:val="008E69D0"/>
    <w:rsid w:val="008E713C"/>
    <w:rsid w:val="008E7576"/>
    <w:rsid w:val="008E793B"/>
    <w:rsid w:val="008E7C58"/>
    <w:rsid w:val="008E7E71"/>
    <w:rsid w:val="008F0453"/>
    <w:rsid w:val="008F0C2B"/>
    <w:rsid w:val="008F0CB7"/>
    <w:rsid w:val="008F0F60"/>
    <w:rsid w:val="008F0FA7"/>
    <w:rsid w:val="008F2301"/>
    <w:rsid w:val="008F27EC"/>
    <w:rsid w:val="008F28D2"/>
    <w:rsid w:val="008F2AF7"/>
    <w:rsid w:val="008F3496"/>
    <w:rsid w:val="008F3EE2"/>
    <w:rsid w:val="008F4214"/>
    <w:rsid w:val="008F4233"/>
    <w:rsid w:val="008F43A6"/>
    <w:rsid w:val="008F4716"/>
    <w:rsid w:val="008F4E2F"/>
    <w:rsid w:val="008F5242"/>
    <w:rsid w:val="008F5376"/>
    <w:rsid w:val="008F5D89"/>
    <w:rsid w:val="008F611C"/>
    <w:rsid w:val="008F6168"/>
    <w:rsid w:val="008F621D"/>
    <w:rsid w:val="008F64B1"/>
    <w:rsid w:val="008F67D2"/>
    <w:rsid w:val="008F6B24"/>
    <w:rsid w:val="008F72BB"/>
    <w:rsid w:val="008F73DF"/>
    <w:rsid w:val="008F78C1"/>
    <w:rsid w:val="008F7922"/>
    <w:rsid w:val="0090038F"/>
    <w:rsid w:val="00900592"/>
    <w:rsid w:val="00900744"/>
    <w:rsid w:val="00900840"/>
    <w:rsid w:val="00900E14"/>
    <w:rsid w:val="00901DAE"/>
    <w:rsid w:val="00901EA0"/>
    <w:rsid w:val="00902089"/>
    <w:rsid w:val="0090211D"/>
    <w:rsid w:val="00902858"/>
    <w:rsid w:val="00902AEC"/>
    <w:rsid w:val="0090334D"/>
    <w:rsid w:val="0090355F"/>
    <w:rsid w:val="0090367A"/>
    <w:rsid w:val="00903B4D"/>
    <w:rsid w:val="00904001"/>
    <w:rsid w:val="00904373"/>
    <w:rsid w:val="009048F1"/>
    <w:rsid w:val="0090536B"/>
    <w:rsid w:val="00905A28"/>
    <w:rsid w:val="00905AF0"/>
    <w:rsid w:val="00905D67"/>
    <w:rsid w:val="00906B53"/>
    <w:rsid w:val="00906B64"/>
    <w:rsid w:val="0090746C"/>
    <w:rsid w:val="00907667"/>
    <w:rsid w:val="009100E6"/>
    <w:rsid w:val="009102EB"/>
    <w:rsid w:val="0091054E"/>
    <w:rsid w:val="00910818"/>
    <w:rsid w:val="0091085B"/>
    <w:rsid w:val="0091085E"/>
    <w:rsid w:val="0091086B"/>
    <w:rsid w:val="00910CFF"/>
    <w:rsid w:val="0091132D"/>
    <w:rsid w:val="0091179F"/>
    <w:rsid w:val="00911C24"/>
    <w:rsid w:val="00911E67"/>
    <w:rsid w:val="009123D6"/>
    <w:rsid w:val="00912B68"/>
    <w:rsid w:val="00912DC6"/>
    <w:rsid w:val="009134F7"/>
    <w:rsid w:val="00913832"/>
    <w:rsid w:val="00913AA5"/>
    <w:rsid w:val="00913B24"/>
    <w:rsid w:val="00913C1C"/>
    <w:rsid w:val="00914343"/>
    <w:rsid w:val="0091493D"/>
    <w:rsid w:val="0091524F"/>
    <w:rsid w:val="00915849"/>
    <w:rsid w:val="00916067"/>
    <w:rsid w:val="00916E3A"/>
    <w:rsid w:val="00917182"/>
    <w:rsid w:val="009179C0"/>
    <w:rsid w:val="00920087"/>
    <w:rsid w:val="0092020E"/>
    <w:rsid w:val="00920925"/>
    <w:rsid w:val="00920D67"/>
    <w:rsid w:val="009214E2"/>
    <w:rsid w:val="00921859"/>
    <w:rsid w:val="0092196C"/>
    <w:rsid w:val="00921A19"/>
    <w:rsid w:val="00922088"/>
    <w:rsid w:val="009221D5"/>
    <w:rsid w:val="00922960"/>
    <w:rsid w:val="00923278"/>
    <w:rsid w:val="0092390E"/>
    <w:rsid w:val="00924217"/>
    <w:rsid w:val="00924A86"/>
    <w:rsid w:val="00924ADA"/>
    <w:rsid w:val="00924BDC"/>
    <w:rsid w:val="00925517"/>
    <w:rsid w:val="00925834"/>
    <w:rsid w:val="009261B0"/>
    <w:rsid w:val="00926D08"/>
    <w:rsid w:val="00927209"/>
    <w:rsid w:val="009272BE"/>
    <w:rsid w:val="0092754D"/>
    <w:rsid w:val="0092771A"/>
    <w:rsid w:val="00927AD1"/>
    <w:rsid w:val="00927DED"/>
    <w:rsid w:val="00930BC2"/>
    <w:rsid w:val="00930E27"/>
    <w:rsid w:val="00931149"/>
    <w:rsid w:val="009319A7"/>
    <w:rsid w:val="00931F45"/>
    <w:rsid w:val="00932EB6"/>
    <w:rsid w:val="00934540"/>
    <w:rsid w:val="009355BF"/>
    <w:rsid w:val="00935829"/>
    <w:rsid w:val="00935AB9"/>
    <w:rsid w:val="00936211"/>
    <w:rsid w:val="00936CF4"/>
    <w:rsid w:val="00937950"/>
    <w:rsid w:val="00937A2A"/>
    <w:rsid w:val="009405A6"/>
    <w:rsid w:val="00940A43"/>
    <w:rsid w:val="009412CA"/>
    <w:rsid w:val="0094187B"/>
    <w:rsid w:val="00941DC3"/>
    <w:rsid w:val="00943B24"/>
    <w:rsid w:val="009441DF"/>
    <w:rsid w:val="0094446A"/>
    <w:rsid w:val="00944536"/>
    <w:rsid w:val="009449D6"/>
    <w:rsid w:val="00945718"/>
    <w:rsid w:val="0094749F"/>
    <w:rsid w:val="0094775C"/>
    <w:rsid w:val="00947B65"/>
    <w:rsid w:val="00947BCC"/>
    <w:rsid w:val="00947C0C"/>
    <w:rsid w:val="00947E99"/>
    <w:rsid w:val="009500D1"/>
    <w:rsid w:val="009502AB"/>
    <w:rsid w:val="00950614"/>
    <w:rsid w:val="00950685"/>
    <w:rsid w:val="00950BE0"/>
    <w:rsid w:val="00950DDD"/>
    <w:rsid w:val="00951E84"/>
    <w:rsid w:val="0095206E"/>
    <w:rsid w:val="00952863"/>
    <w:rsid w:val="00953064"/>
    <w:rsid w:val="009530E7"/>
    <w:rsid w:val="00954BD4"/>
    <w:rsid w:val="00954EFC"/>
    <w:rsid w:val="00954F90"/>
    <w:rsid w:val="0095514D"/>
    <w:rsid w:val="00955638"/>
    <w:rsid w:val="009556B3"/>
    <w:rsid w:val="009557C1"/>
    <w:rsid w:val="00955F87"/>
    <w:rsid w:val="0095615B"/>
    <w:rsid w:val="00956D66"/>
    <w:rsid w:val="00956DAC"/>
    <w:rsid w:val="009575B6"/>
    <w:rsid w:val="00957E20"/>
    <w:rsid w:val="00960F11"/>
    <w:rsid w:val="00960F20"/>
    <w:rsid w:val="009616E0"/>
    <w:rsid w:val="00962914"/>
    <w:rsid w:val="00962E45"/>
    <w:rsid w:val="0096324F"/>
    <w:rsid w:val="00964642"/>
    <w:rsid w:val="009648A0"/>
    <w:rsid w:val="009650BE"/>
    <w:rsid w:val="00965894"/>
    <w:rsid w:val="00965AA5"/>
    <w:rsid w:val="00965B4C"/>
    <w:rsid w:val="00965D2A"/>
    <w:rsid w:val="00965D5F"/>
    <w:rsid w:val="0096648B"/>
    <w:rsid w:val="00966700"/>
    <w:rsid w:val="00966C68"/>
    <w:rsid w:val="00966DBD"/>
    <w:rsid w:val="00966E1B"/>
    <w:rsid w:val="00966FA3"/>
    <w:rsid w:val="00970367"/>
    <w:rsid w:val="00970F07"/>
    <w:rsid w:val="00972960"/>
    <w:rsid w:val="0097297C"/>
    <w:rsid w:val="00972CBF"/>
    <w:rsid w:val="00972D43"/>
    <w:rsid w:val="009737C9"/>
    <w:rsid w:val="00973908"/>
    <w:rsid w:val="00973917"/>
    <w:rsid w:val="00974258"/>
    <w:rsid w:val="00974613"/>
    <w:rsid w:val="00974B48"/>
    <w:rsid w:val="00975293"/>
    <w:rsid w:val="009752FC"/>
    <w:rsid w:val="009753E5"/>
    <w:rsid w:val="00975596"/>
    <w:rsid w:val="00975652"/>
    <w:rsid w:val="009756FD"/>
    <w:rsid w:val="0097578F"/>
    <w:rsid w:val="00975916"/>
    <w:rsid w:val="00975B3A"/>
    <w:rsid w:val="00975E1C"/>
    <w:rsid w:val="00975F25"/>
    <w:rsid w:val="009765F4"/>
    <w:rsid w:val="00976E52"/>
    <w:rsid w:val="00977049"/>
    <w:rsid w:val="00977F06"/>
    <w:rsid w:val="009802CC"/>
    <w:rsid w:val="00980583"/>
    <w:rsid w:val="00980749"/>
    <w:rsid w:val="00980789"/>
    <w:rsid w:val="00980ABF"/>
    <w:rsid w:val="00980C4A"/>
    <w:rsid w:val="00980C85"/>
    <w:rsid w:val="009813A2"/>
    <w:rsid w:val="009813BF"/>
    <w:rsid w:val="00981494"/>
    <w:rsid w:val="009814C3"/>
    <w:rsid w:val="00982AC3"/>
    <w:rsid w:val="0098365D"/>
    <w:rsid w:val="00983B35"/>
    <w:rsid w:val="00983E0B"/>
    <w:rsid w:val="0098435B"/>
    <w:rsid w:val="00984CB4"/>
    <w:rsid w:val="00984D2B"/>
    <w:rsid w:val="009856A2"/>
    <w:rsid w:val="00986242"/>
    <w:rsid w:val="00987766"/>
    <w:rsid w:val="00987915"/>
    <w:rsid w:val="009904C5"/>
    <w:rsid w:val="009913B2"/>
    <w:rsid w:val="00991808"/>
    <w:rsid w:val="00991974"/>
    <w:rsid w:val="00992683"/>
    <w:rsid w:val="00992A9E"/>
    <w:rsid w:val="00992DA7"/>
    <w:rsid w:val="00993003"/>
    <w:rsid w:val="00993C3F"/>
    <w:rsid w:val="00993D7F"/>
    <w:rsid w:val="009949A9"/>
    <w:rsid w:val="009957A7"/>
    <w:rsid w:val="0099601D"/>
    <w:rsid w:val="00996520"/>
    <w:rsid w:val="00996E85"/>
    <w:rsid w:val="009973FA"/>
    <w:rsid w:val="00997A92"/>
    <w:rsid w:val="009A0B45"/>
    <w:rsid w:val="009A1A96"/>
    <w:rsid w:val="009A1BA1"/>
    <w:rsid w:val="009A1D72"/>
    <w:rsid w:val="009A26FB"/>
    <w:rsid w:val="009A34BB"/>
    <w:rsid w:val="009A4549"/>
    <w:rsid w:val="009A46C2"/>
    <w:rsid w:val="009A48BA"/>
    <w:rsid w:val="009A4E5B"/>
    <w:rsid w:val="009A4EB9"/>
    <w:rsid w:val="009A539D"/>
    <w:rsid w:val="009A5C14"/>
    <w:rsid w:val="009A5C57"/>
    <w:rsid w:val="009A6030"/>
    <w:rsid w:val="009A67EE"/>
    <w:rsid w:val="009A7A96"/>
    <w:rsid w:val="009A7AC6"/>
    <w:rsid w:val="009B00B6"/>
    <w:rsid w:val="009B0B1B"/>
    <w:rsid w:val="009B12DF"/>
    <w:rsid w:val="009B15EC"/>
    <w:rsid w:val="009B2056"/>
    <w:rsid w:val="009B222C"/>
    <w:rsid w:val="009B29FE"/>
    <w:rsid w:val="009B2BCB"/>
    <w:rsid w:val="009B3023"/>
    <w:rsid w:val="009B3527"/>
    <w:rsid w:val="009B43E3"/>
    <w:rsid w:val="009B4A3F"/>
    <w:rsid w:val="009B4FFE"/>
    <w:rsid w:val="009B526B"/>
    <w:rsid w:val="009B5983"/>
    <w:rsid w:val="009B59A8"/>
    <w:rsid w:val="009B5AED"/>
    <w:rsid w:val="009B5BEE"/>
    <w:rsid w:val="009B63A9"/>
    <w:rsid w:val="009B6458"/>
    <w:rsid w:val="009B673D"/>
    <w:rsid w:val="009B6FC7"/>
    <w:rsid w:val="009B76E9"/>
    <w:rsid w:val="009B7A88"/>
    <w:rsid w:val="009C0688"/>
    <w:rsid w:val="009C17A3"/>
    <w:rsid w:val="009C18E4"/>
    <w:rsid w:val="009C1ED7"/>
    <w:rsid w:val="009C1FB0"/>
    <w:rsid w:val="009C22C5"/>
    <w:rsid w:val="009C2302"/>
    <w:rsid w:val="009C3375"/>
    <w:rsid w:val="009C365A"/>
    <w:rsid w:val="009C3979"/>
    <w:rsid w:val="009C3BFB"/>
    <w:rsid w:val="009C466B"/>
    <w:rsid w:val="009C47D1"/>
    <w:rsid w:val="009C4B76"/>
    <w:rsid w:val="009C5781"/>
    <w:rsid w:val="009C5A6E"/>
    <w:rsid w:val="009C641D"/>
    <w:rsid w:val="009C6589"/>
    <w:rsid w:val="009C6BE2"/>
    <w:rsid w:val="009C7619"/>
    <w:rsid w:val="009C799A"/>
    <w:rsid w:val="009D00A6"/>
    <w:rsid w:val="009D0F71"/>
    <w:rsid w:val="009D0F87"/>
    <w:rsid w:val="009D133B"/>
    <w:rsid w:val="009D20C7"/>
    <w:rsid w:val="009D22FA"/>
    <w:rsid w:val="009D2339"/>
    <w:rsid w:val="009D24D7"/>
    <w:rsid w:val="009D2DDD"/>
    <w:rsid w:val="009D33AA"/>
    <w:rsid w:val="009D37A9"/>
    <w:rsid w:val="009D3D36"/>
    <w:rsid w:val="009D44C1"/>
    <w:rsid w:val="009D4DA2"/>
    <w:rsid w:val="009D501F"/>
    <w:rsid w:val="009D5A41"/>
    <w:rsid w:val="009D67C3"/>
    <w:rsid w:val="009D6857"/>
    <w:rsid w:val="009D6919"/>
    <w:rsid w:val="009D69C6"/>
    <w:rsid w:val="009D6AE8"/>
    <w:rsid w:val="009D70CC"/>
    <w:rsid w:val="009D714A"/>
    <w:rsid w:val="009D7DA4"/>
    <w:rsid w:val="009E08E9"/>
    <w:rsid w:val="009E14A4"/>
    <w:rsid w:val="009E16EF"/>
    <w:rsid w:val="009E1842"/>
    <w:rsid w:val="009E30A6"/>
    <w:rsid w:val="009E37CA"/>
    <w:rsid w:val="009E3AEB"/>
    <w:rsid w:val="009E3B49"/>
    <w:rsid w:val="009E3D3D"/>
    <w:rsid w:val="009E441A"/>
    <w:rsid w:val="009E47BA"/>
    <w:rsid w:val="009E4894"/>
    <w:rsid w:val="009E4ADF"/>
    <w:rsid w:val="009E4DB2"/>
    <w:rsid w:val="009E4F9C"/>
    <w:rsid w:val="009E50E6"/>
    <w:rsid w:val="009E53D9"/>
    <w:rsid w:val="009E6833"/>
    <w:rsid w:val="009E7961"/>
    <w:rsid w:val="009E7E07"/>
    <w:rsid w:val="009E7E4B"/>
    <w:rsid w:val="009F00FD"/>
    <w:rsid w:val="009F0639"/>
    <w:rsid w:val="009F0863"/>
    <w:rsid w:val="009F0B4A"/>
    <w:rsid w:val="009F10AD"/>
    <w:rsid w:val="009F15FC"/>
    <w:rsid w:val="009F168B"/>
    <w:rsid w:val="009F21E6"/>
    <w:rsid w:val="009F2B4D"/>
    <w:rsid w:val="009F2D94"/>
    <w:rsid w:val="009F4239"/>
    <w:rsid w:val="009F4308"/>
    <w:rsid w:val="009F4436"/>
    <w:rsid w:val="009F4579"/>
    <w:rsid w:val="009F4651"/>
    <w:rsid w:val="009F494B"/>
    <w:rsid w:val="009F4981"/>
    <w:rsid w:val="009F4BA6"/>
    <w:rsid w:val="009F4E7F"/>
    <w:rsid w:val="009F4E9C"/>
    <w:rsid w:val="009F4F70"/>
    <w:rsid w:val="009F5263"/>
    <w:rsid w:val="009F5AE7"/>
    <w:rsid w:val="009F6079"/>
    <w:rsid w:val="009F6334"/>
    <w:rsid w:val="009F657A"/>
    <w:rsid w:val="009F6744"/>
    <w:rsid w:val="009F7CC3"/>
    <w:rsid w:val="009F7CD6"/>
    <w:rsid w:val="00A0009F"/>
    <w:rsid w:val="00A00681"/>
    <w:rsid w:val="00A0083C"/>
    <w:rsid w:val="00A00DA2"/>
    <w:rsid w:val="00A011FE"/>
    <w:rsid w:val="00A01719"/>
    <w:rsid w:val="00A01F94"/>
    <w:rsid w:val="00A01FFA"/>
    <w:rsid w:val="00A020FE"/>
    <w:rsid w:val="00A023DF"/>
    <w:rsid w:val="00A027D8"/>
    <w:rsid w:val="00A037F2"/>
    <w:rsid w:val="00A04D34"/>
    <w:rsid w:val="00A05614"/>
    <w:rsid w:val="00A05AB3"/>
    <w:rsid w:val="00A05CB9"/>
    <w:rsid w:val="00A05D4B"/>
    <w:rsid w:val="00A06481"/>
    <w:rsid w:val="00A064BF"/>
    <w:rsid w:val="00A10935"/>
    <w:rsid w:val="00A10CFF"/>
    <w:rsid w:val="00A11684"/>
    <w:rsid w:val="00A12343"/>
    <w:rsid w:val="00A126A4"/>
    <w:rsid w:val="00A129C7"/>
    <w:rsid w:val="00A12AEB"/>
    <w:rsid w:val="00A1301F"/>
    <w:rsid w:val="00A1339E"/>
    <w:rsid w:val="00A13419"/>
    <w:rsid w:val="00A13F3D"/>
    <w:rsid w:val="00A140DD"/>
    <w:rsid w:val="00A14509"/>
    <w:rsid w:val="00A14538"/>
    <w:rsid w:val="00A14DA7"/>
    <w:rsid w:val="00A15C7D"/>
    <w:rsid w:val="00A163FA"/>
    <w:rsid w:val="00A1687D"/>
    <w:rsid w:val="00A172B5"/>
    <w:rsid w:val="00A178A0"/>
    <w:rsid w:val="00A2010A"/>
    <w:rsid w:val="00A2047F"/>
    <w:rsid w:val="00A21126"/>
    <w:rsid w:val="00A2153C"/>
    <w:rsid w:val="00A2161C"/>
    <w:rsid w:val="00A223F6"/>
    <w:rsid w:val="00A224AF"/>
    <w:rsid w:val="00A22734"/>
    <w:rsid w:val="00A23395"/>
    <w:rsid w:val="00A238FC"/>
    <w:rsid w:val="00A2404A"/>
    <w:rsid w:val="00A2456D"/>
    <w:rsid w:val="00A251BA"/>
    <w:rsid w:val="00A25504"/>
    <w:rsid w:val="00A255BC"/>
    <w:rsid w:val="00A25D77"/>
    <w:rsid w:val="00A266C4"/>
    <w:rsid w:val="00A272DD"/>
    <w:rsid w:val="00A2731B"/>
    <w:rsid w:val="00A2764F"/>
    <w:rsid w:val="00A300E7"/>
    <w:rsid w:val="00A30BF5"/>
    <w:rsid w:val="00A3193D"/>
    <w:rsid w:val="00A31A97"/>
    <w:rsid w:val="00A31F20"/>
    <w:rsid w:val="00A3226C"/>
    <w:rsid w:val="00A331C8"/>
    <w:rsid w:val="00A3385B"/>
    <w:rsid w:val="00A33B45"/>
    <w:rsid w:val="00A34767"/>
    <w:rsid w:val="00A34C03"/>
    <w:rsid w:val="00A34E5B"/>
    <w:rsid w:val="00A3573E"/>
    <w:rsid w:val="00A357E4"/>
    <w:rsid w:val="00A35BCF"/>
    <w:rsid w:val="00A36163"/>
    <w:rsid w:val="00A3634F"/>
    <w:rsid w:val="00A3681E"/>
    <w:rsid w:val="00A36CCD"/>
    <w:rsid w:val="00A36DED"/>
    <w:rsid w:val="00A37527"/>
    <w:rsid w:val="00A41885"/>
    <w:rsid w:val="00A41CBE"/>
    <w:rsid w:val="00A42335"/>
    <w:rsid w:val="00A425CB"/>
    <w:rsid w:val="00A42632"/>
    <w:rsid w:val="00A426A4"/>
    <w:rsid w:val="00A42DF5"/>
    <w:rsid w:val="00A42EBC"/>
    <w:rsid w:val="00A42F51"/>
    <w:rsid w:val="00A43385"/>
    <w:rsid w:val="00A43626"/>
    <w:rsid w:val="00A43FBA"/>
    <w:rsid w:val="00A4434F"/>
    <w:rsid w:val="00A4554A"/>
    <w:rsid w:val="00A4579C"/>
    <w:rsid w:val="00A45981"/>
    <w:rsid w:val="00A46210"/>
    <w:rsid w:val="00A46899"/>
    <w:rsid w:val="00A46F36"/>
    <w:rsid w:val="00A470A3"/>
    <w:rsid w:val="00A47479"/>
    <w:rsid w:val="00A47C37"/>
    <w:rsid w:val="00A50064"/>
    <w:rsid w:val="00A50775"/>
    <w:rsid w:val="00A511FC"/>
    <w:rsid w:val="00A51589"/>
    <w:rsid w:val="00A516D3"/>
    <w:rsid w:val="00A51808"/>
    <w:rsid w:val="00A51AA7"/>
    <w:rsid w:val="00A51EBE"/>
    <w:rsid w:val="00A51FF5"/>
    <w:rsid w:val="00A520AC"/>
    <w:rsid w:val="00A52757"/>
    <w:rsid w:val="00A5487A"/>
    <w:rsid w:val="00A55219"/>
    <w:rsid w:val="00A55AE0"/>
    <w:rsid w:val="00A55BF1"/>
    <w:rsid w:val="00A563F5"/>
    <w:rsid w:val="00A567AF"/>
    <w:rsid w:val="00A56C87"/>
    <w:rsid w:val="00A57A67"/>
    <w:rsid w:val="00A57B45"/>
    <w:rsid w:val="00A57CD4"/>
    <w:rsid w:val="00A60079"/>
    <w:rsid w:val="00A60953"/>
    <w:rsid w:val="00A60B8A"/>
    <w:rsid w:val="00A60EFE"/>
    <w:rsid w:val="00A610DC"/>
    <w:rsid w:val="00A612B9"/>
    <w:rsid w:val="00A61389"/>
    <w:rsid w:val="00A61B6E"/>
    <w:rsid w:val="00A61D4A"/>
    <w:rsid w:val="00A62B09"/>
    <w:rsid w:val="00A6305C"/>
    <w:rsid w:val="00A639A8"/>
    <w:rsid w:val="00A63B4C"/>
    <w:rsid w:val="00A63E06"/>
    <w:rsid w:val="00A640E1"/>
    <w:rsid w:val="00A643C3"/>
    <w:rsid w:val="00A64F03"/>
    <w:rsid w:val="00A64F07"/>
    <w:rsid w:val="00A65266"/>
    <w:rsid w:val="00A65BEA"/>
    <w:rsid w:val="00A672D6"/>
    <w:rsid w:val="00A679E0"/>
    <w:rsid w:val="00A67A62"/>
    <w:rsid w:val="00A67B79"/>
    <w:rsid w:val="00A70B7E"/>
    <w:rsid w:val="00A711E0"/>
    <w:rsid w:val="00A71212"/>
    <w:rsid w:val="00A71BED"/>
    <w:rsid w:val="00A71D37"/>
    <w:rsid w:val="00A72206"/>
    <w:rsid w:val="00A72369"/>
    <w:rsid w:val="00A72751"/>
    <w:rsid w:val="00A72C3F"/>
    <w:rsid w:val="00A72D3C"/>
    <w:rsid w:val="00A73308"/>
    <w:rsid w:val="00A73393"/>
    <w:rsid w:val="00A734CF"/>
    <w:rsid w:val="00A739EE"/>
    <w:rsid w:val="00A74795"/>
    <w:rsid w:val="00A75D2D"/>
    <w:rsid w:val="00A75FC1"/>
    <w:rsid w:val="00A775DA"/>
    <w:rsid w:val="00A7778F"/>
    <w:rsid w:val="00A77B9C"/>
    <w:rsid w:val="00A80865"/>
    <w:rsid w:val="00A80B07"/>
    <w:rsid w:val="00A8189A"/>
    <w:rsid w:val="00A81BBA"/>
    <w:rsid w:val="00A81DE6"/>
    <w:rsid w:val="00A83E91"/>
    <w:rsid w:val="00A83E9B"/>
    <w:rsid w:val="00A84092"/>
    <w:rsid w:val="00A84F1B"/>
    <w:rsid w:val="00A859DD"/>
    <w:rsid w:val="00A860B0"/>
    <w:rsid w:val="00A862EF"/>
    <w:rsid w:val="00A867A1"/>
    <w:rsid w:val="00A8753F"/>
    <w:rsid w:val="00A87A86"/>
    <w:rsid w:val="00A90886"/>
    <w:rsid w:val="00A91A9A"/>
    <w:rsid w:val="00A91CCB"/>
    <w:rsid w:val="00A9285E"/>
    <w:rsid w:val="00A92EE3"/>
    <w:rsid w:val="00A9303A"/>
    <w:rsid w:val="00A937EF"/>
    <w:rsid w:val="00A9383F"/>
    <w:rsid w:val="00A93A4D"/>
    <w:rsid w:val="00A93CAE"/>
    <w:rsid w:val="00A94A0F"/>
    <w:rsid w:val="00A95375"/>
    <w:rsid w:val="00A95425"/>
    <w:rsid w:val="00A95927"/>
    <w:rsid w:val="00A96F8C"/>
    <w:rsid w:val="00A97084"/>
    <w:rsid w:val="00A97D98"/>
    <w:rsid w:val="00AA05EB"/>
    <w:rsid w:val="00AA1F25"/>
    <w:rsid w:val="00AA31B1"/>
    <w:rsid w:val="00AA370A"/>
    <w:rsid w:val="00AA3858"/>
    <w:rsid w:val="00AA3A5A"/>
    <w:rsid w:val="00AA3B69"/>
    <w:rsid w:val="00AA3DF0"/>
    <w:rsid w:val="00AA4BEC"/>
    <w:rsid w:val="00AA4E44"/>
    <w:rsid w:val="00AA5357"/>
    <w:rsid w:val="00AA5521"/>
    <w:rsid w:val="00AA6168"/>
    <w:rsid w:val="00AA68D2"/>
    <w:rsid w:val="00AA6F96"/>
    <w:rsid w:val="00AA74B5"/>
    <w:rsid w:val="00AA775D"/>
    <w:rsid w:val="00AA7A24"/>
    <w:rsid w:val="00AB0256"/>
    <w:rsid w:val="00AB078B"/>
    <w:rsid w:val="00AB07E4"/>
    <w:rsid w:val="00AB12E7"/>
    <w:rsid w:val="00AB14B2"/>
    <w:rsid w:val="00AB19C1"/>
    <w:rsid w:val="00AB3214"/>
    <w:rsid w:val="00AB38FF"/>
    <w:rsid w:val="00AB3C68"/>
    <w:rsid w:val="00AB43F4"/>
    <w:rsid w:val="00AB4475"/>
    <w:rsid w:val="00AB4695"/>
    <w:rsid w:val="00AB4781"/>
    <w:rsid w:val="00AB47F5"/>
    <w:rsid w:val="00AB4D7A"/>
    <w:rsid w:val="00AB5355"/>
    <w:rsid w:val="00AB561D"/>
    <w:rsid w:val="00AB5A07"/>
    <w:rsid w:val="00AB6336"/>
    <w:rsid w:val="00AB748C"/>
    <w:rsid w:val="00AB7629"/>
    <w:rsid w:val="00AB7D97"/>
    <w:rsid w:val="00AC10AC"/>
    <w:rsid w:val="00AC190C"/>
    <w:rsid w:val="00AC1C7B"/>
    <w:rsid w:val="00AC214D"/>
    <w:rsid w:val="00AC25F9"/>
    <w:rsid w:val="00AC3249"/>
    <w:rsid w:val="00AC3529"/>
    <w:rsid w:val="00AC36AE"/>
    <w:rsid w:val="00AC3D44"/>
    <w:rsid w:val="00AC3E4A"/>
    <w:rsid w:val="00AC3F7F"/>
    <w:rsid w:val="00AC479B"/>
    <w:rsid w:val="00AC4AF3"/>
    <w:rsid w:val="00AC4B3A"/>
    <w:rsid w:val="00AC516D"/>
    <w:rsid w:val="00AC6076"/>
    <w:rsid w:val="00AC6204"/>
    <w:rsid w:val="00AC6626"/>
    <w:rsid w:val="00AC6705"/>
    <w:rsid w:val="00AC6925"/>
    <w:rsid w:val="00AC6A21"/>
    <w:rsid w:val="00AC6D90"/>
    <w:rsid w:val="00AC7475"/>
    <w:rsid w:val="00AC7CB8"/>
    <w:rsid w:val="00AD0602"/>
    <w:rsid w:val="00AD0C4C"/>
    <w:rsid w:val="00AD2595"/>
    <w:rsid w:val="00AD3238"/>
    <w:rsid w:val="00AD4142"/>
    <w:rsid w:val="00AD4233"/>
    <w:rsid w:val="00AD42EF"/>
    <w:rsid w:val="00AD43C3"/>
    <w:rsid w:val="00AD46D8"/>
    <w:rsid w:val="00AD4A18"/>
    <w:rsid w:val="00AD56FF"/>
    <w:rsid w:val="00AD5BC9"/>
    <w:rsid w:val="00AD5C82"/>
    <w:rsid w:val="00AD659F"/>
    <w:rsid w:val="00AD67C9"/>
    <w:rsid w:val="00AD6A35"/>
    <w:rsid w:val="00AD6B3B"/>
    <w:rsid w:val="00AD6C6A"/>
    <w:rsid w:val="00AD6EAD"/>
    <w:rsid w:val="00AD7038"/>
    <w:rsid w:val="00AD7D51"/>
    <w:rsid w:val="00AE0097"/>
    <w:rsid w:val="00AE07FF"/>
    <w:rsid w:val="00AE0951"/>
    <w:rsid w:val="00AE0C60"/>
    <w:rsid w:val="00AE0CEB"/>
    <w:rsid w:val="00AE1546"/>
    <w:rsid w:val="00AE2408"/>
    <w:rsid w:val="00AE2AD0"/>
    <w:rsid w:val="00AE3EAC"/>
    <w:rsid w:val="00AE491A"/>
    <w:rsid w:val="00AE4939"/>
    <w:rsid w:val="00AE58CD"/>
    <w:rsid w:val="00AE77FA"/>
    <w:rsid w:val="00AF069D"/>
    <w:rsid w:val="00AF0F32"/>
    <w:rsid w:val="00AF1426"/>
    <w:rsid w:val="00AF1E73"/>
    <w:rsid w:val="00AF1F44"/>
    <w:rsid w:val="00AF2453"/>
    <w:rsid w:val="00AF2569"/>
    <w:rsid w:val="00AF334E"/>
    <w:rsid w:val="00AF414E"/>
    <w:rsid w:val="00AF423D"/>
    <w:rsid w:val="00AF44C5"/>
    <w:rsid w:val="00AF4B78"/>
    <w:rsid w:val="00AF529A"/>
    <w:rsid w:val="00AF57E1"/>
    <w:rsid w:val="00AF5E0D"/>
    <w:rsid w:val="00AF5F44"/>
    <w:rsid w:val="00AF62BB"/>
    <w:rsid w:val="00AF64F6"/>
    <w:rsid w:val="00AF68E4"/>
    <w:rsid w:val="00AF6E2C"/>
    <w:rsid w:val="00AF7050"/>
    <w:rsid w:val="00AF7AEE"/>
    <w:rsid w:val="00AF7EBD"/>
    <w:rsid w:val="00AF7FE9"/>
    <w:rsid w:val="00B00028"/>
    <w:rsid w:val="00B000A6"/>
    <w:rsid w:val="00B00173"/>
    <w:rsid w:val="00B0069D"/>
    <w:rsid w:val="00B00836"/>
    <w:rsid w:val="00B0095B"/>
    <w:rsid w:val="00B0130D"/>
    <w:rsid w:val="00B016B7"/>
    <w:rsid w:val="00B01BE8"/>
    <w:rsid w:val="00B02C69"/>
    <w:rsid w:val="00B03BE9"/>
    <w:rsid w:val="00B03E69"/>
    <w:rsid w:val="00B051F5"/>
    <w:rsid w:val="00B06367"/>
    <w:rsid w:val="00B068D7"/>
    <w:rsid w:val="00B06C99"/>
    <w:rsid w:val="00B06F95"/>
    <w:rsid w:val="00B075B4"/>
    <w:rsid w:val="00B10DA9"/>
    <w:rsid w:val="00B11061"/>
    <w:rsid w:val="00B112D4"/>
    <w:rsid w:val="00B113BF"/>
    <w:rsid w:val="00B11766"/>
    <w:rsid w:val="00B11CE8"/>
    <w:rsid w:val="00B12077"/>
    <w:rsid w:val="00B123BD"/>
    <w:rsid w:val="00B1250B"/>
    <w:rsid w:val="00B125A4"/>
    <w:rsid w:val="00B12703"/>
    <w:rsid w:val="00B12F5B"/>
    <w:rsid w:val="00B13687"/>
    <w:rsid w:val="00B1387E"/>
    <w:rsid w:val="00B14262"/>
    <w:rsid w:val="00B1439C"/>
    <w:rsid w:val="00B145C7"/>
    <w:rsid w:val="00B15071"/>
    <w:rsid w:val="00B15461"/>
    <w:rsid w:val="00B15A43"/>
    <w:rsid w:val="00B15B61"/>
    <w:rsid w:val="00B160EC"/>
    <w:rsid w:val="00B167E5"/>
    <w:rsid w:val="00B16E98"/>
    <w:rsid w:val="00B17041"/>
    <w:rsid w:val="00B17059"/>
    <w:rsid w:val="00B17BEF"/>
    <w:rsid w:val="00B17FB5"/>
    <w:rsid w:val="00B201FE"/>
    <w:rsid w:val="00B20377"/>
    <w:rsid w:val="00B21568"/>
    <w:rsid w:val="00B21923"/>
    <w:rsid w:val="00B21B50"/>
    <w:rsid w:val="00B22296"/>
    <w:rsid w:val="00B2260A"/>
    <w:rsid w:val="00B22F34"/>
    <w:rsid w:val="00B230AF"/>
    <w:rsid w:val="00B2340E"/>
    <w:rsid w:val="00B235C1"/>
    <w:rsid w:val="00B237CF"/>
    <w:rsid w:val="00B23AD9"/>
    <w:rsid w:val="00B23C15"/>
    <w:rsid w:val="00B24429"/>
    <w:rsid w:val="00B24434"/>
    <w:rsid w:val="00B24949"/>
    <w:rsid w:val="00B24D8F"/>
    <w:rsid w:val="00B25054"/>
    <w:rsid w:val="00B251BB"/>
    <w:rsid w:val="00B256A6"/>
    <w:rsid w:val="00B25870"/>
    <w:rsid w:val="00B2657B"/>
    <w:rsid w:val="00B2741E"/>
    <w:rsid w:val="00B27437"/>
    <w:rsid w:val="00B303B1"/>
    <w:rsid w:val="00B30A94"/>
    <w:rsid w:val="00B313B3"/>
    <w:rsid w:val="00B31906"/>
    <w:rsid w:val="00B31BBB"/>
    <w:rsid w:val="00B324DC"/>
    <w:rsid w:val="00B3254D"/>
    <w:rsid w:val="00B3279C"/>
    <w:rsid w:val="00B3299E"/>
    <w:rsid w:val="00B32C3C"/>
    <w:rsid w:val="00B33467"/>
    <w:rsid w:val="00B33C41"/>
    <w:rsid w:val="00B34236"/>
    <w:rsid w:val="00B34B04"/>
    <w:rsid w:val="00B34CA7"/>
    <w:rsid w:val="00B35788"/>
    <w:rsid w:val="00B368C6"/>
    <w:rsid w:val="00B3742A"/>
    <w:rsid w:val="00B37FFD"/>
    <w:rsid w:val="00B400FB"/>
    <w:rsid w:val="00B409DB"/>
    <w:rsid w:val="00B40A3D"/>
    <w:rsid w:val="00B40B5D"/>
    <w:rsid w:val="00B4125B"/>
    <w:rsid w:val="00B41992"/>
    <w:rsid w:val="00B41B94"/>
    <w:rsid w:val="00B42118"/>
    <w:rsid w:val="00B43CE3"/>
    <w:rsid w:val="00B43E73"/>
    <w:rsid w:val="00B44277"/>
    <w:rsid w:val="00B442F8"/>
    <w:rsid w:val="00B44749"/>
    <w:rsid w:val="00B44FBC"/>
    <w:rsid w:val="00B45206"/>
    <w:rsid w:val="00B45D01"/>
    <w:rsid w:val="00B46539"/>
    <w:rsid w:val="00B46702"/>
    <w:rsid w:val="00B467B3"/>
    <w:rsid w:val="00B46B9F"/>
    <w:rsid w:val="00B46D1A"/>
    <w:rsid w:val="00B470E9"/>
    <w:rsid w:val="00B4713B"/>
    <w:rsid w:val="00B471FF"/>
    <w:rsid w:val="00B4725A"/>
    <w:rsid w:val="00B47313"/>
    <w:rsid w:val="00B47CFF"/>
    <w:rsid w:val="00B50272"/>
    <w:rsid w:val="00B50E5C"/>
    <w:rsid w:val="00B511BD"/>
    <w:rsid w:val="00B5132B"/>
    <w:rsid w:val="00B5203A"/>
    <w:rsid w:val="00B5306F"/>
    <w:rsid w:val="00B53513"/>
    <w:rsid w:val="00B536D1"/>
    <w:rsid w:val="00B53B92"/>
    <w:rsid w:val="00B54A0A"/>
    <w:rsid w:val="00B54EF5"/>
    <w:rsid w:val="00B5518F"/>
    <w:rsid w:val="00B55314"/>
    <w:rsid w:val="00B5566C"/>
    <w:rsid w:val="00B55D79"/>
    <w:rsid w:val="00B56008"/>
    <w:rsid w:val="00B56117"/>
    <w:rsid w:val="00B568CA"/>
    <w:rsid w:val="00B56AF7"/>
    <w:rsid w:val="00B56B90"/>
    <w:rsid w:val="00B56D12"/>
    <w:rsid w:val="00B57E82"/>
    <w:rsid w:val="00B605CF"/>
    <w:rsid w:val="00B61237"/>
    <w:rsid w:val="00B614D4"/>
    <w:rsid w:val="00B615A4"/>
    <w:rsid w:val="00B622F6"/>
    <w:rsid w:val="00B62505"/>
    <w:rsid w:val="00B627BC"/>
    <w:rsid w:val="00B62CB8"/>
    <w:rsid w:val="00B62FB3"/>
    <w:rsid w:val="00B63166"/>
    <w:rsid w:val="00B63237"/>
    <w:rsid w:val="00B63890"/>
    <w:rsid w:val="00B63D84"/>
    <w:rsid w:val="00B63E05"/>
    <w:rsid w:val="00B64209"/>
    <w:rsid w:val="00B643A8"/>
    <w:rsid w:val="00B64829"/>
    <w:rsid w:val="00B64FFC"/>
    <w:rsid w:val="00B65526"/>
    <w:rsid w:val="00B65DE7"/>
    <w:rsid w:val="00B660B6"/>
    <w:rsid w:val="00B66308"/>
    <w:rsid w:val="00B6661B"/>
    <w:rsid w:val="00B66E2A"/>
    <w:rsid w:val="00B678CA"/>
    <w:rsid w:val="00B700D5"/>
    <w:rsid w:val="00B7046A"/>
    <w:rsid w:val="00B708EC"/>
    <w:rsid w:val="00B72268"/>
    <w:rsid w:val="00B7290B"/>
    <w:rsid w:val="00B72AF6"/>
    <w:rsid w:val="00B73628"/>
    <w:rsid w:val="00B7378E"/>
    <w:rsid w:val="00B741F9"/>
    <w:rsid w:val="00B7483A"/>
    <w:rsid w:val="00B74D6C"/>
    <w:rsid w:val="00B74F30"/>
    <w:rsid w:val="00B75079"/>
    <w:rsid w:val="00B75226"/>
    <w:rsid w:val="00B7587A"/>
    <w:rsid w:val="00B76210"/>
    <w:rsid w:val="00B77041"/>
    <w:rsid w:val="00B77EDC"/>
    <w:rsid w:val="00B812C1"/>
    <w:rsid w:val="00B82877"/>
    <w:rsid w:val="00B83AE5"/>
    <w:rsid w:val="00B840DB"/>
    <w:rsid w:val="00B84E56"/>
    <w:rsid w:val="00B85606"/>
    <w:rsid w:val="00B8574D"/>
    <w:rsid w:val="00B8587B"/>
    <w:rsid w:val="00B85983"/>
    <w:rsid w:val="00B85AEF"/>
    <w:rsid w:val="00B86B0A"/>
    <w:rsid w:val="00B877A1"/>
    <w:rsid w:val="00B87C1F"/>
    <w:rsid w:val="00B87F63"/>
    <w:rsid w:val="00B900E1"/>
    <w:rsid w:val="00B902D9"/>
    <w:rsid w:val="00B90A95"/>
    <w:rsid w:val="00B91160"/>
    <w:rsid w:val="00B91E08"/>
    <w:rsid w:val="00B92255"/>
    <w:rsid w:val="00B925BE"/>
    <w:rsid w:val="00B935C5"/>
    <w:rsid w:val="00B936DA"/>
    <w:rsid w:val="00B94CD8"/>
    <w:rsid w:val="00B9629B"/>
    <w:rsid w:val="00B9632D"/>
    <w:rsid w:val="00B96445"/>
    <w:rsid w:val="00B9651C"/>
    <w:rsid w:val="00B96A71"/>
    <w:rsid w:val="00B97815"/>
    <w:rsid w:val="00BA2281"/>
    <w:rsid w:val="00BA22E4"/>
    <w:rsid w:val="00BA2517"/>
    <w:rsid w:val="00BA2F3A"/>
    <w:rsid w:val="00BA3148"/>
    <w:rsid w:val="00BA359F"/>
    <w:rsid w:val="00BA3A2E"/>
    <w:rsid w:val="00BA4448"/>
    <w:rsid w:val="00BA4C8B"/>
    <w:rsid w:val="00BA575B"/>
    <w:rsid w:val="00BA587D"/>
    <w:rsid w:val="00BA5885"/>
    <w:rsid w:val="00BA58DB"/>
    <w:rsid w:val="00BA5A1D"/>
    <w:rsid w:val="00BA5A51"/>
    <w:rsid w:val="00BA6FD9"/>
    <w:rsid w:val="00BA737E"/>
    <w:rsid w:val="00BA7EF1"/>
    <w:rsid w:val="00BA7F7F"/>
    <w:rsid w:val="00BB005E"/>
    <w:rsid w:val="00BB0C08"/>
    <w:rsid w:val="00BB10CC"/>
    <w:rsid w:val="00BB153E"/>
    <w:rsid w:val="00BB1DC4"/>
    <w:rsid w:val="00BB2164"/>
    <w:rsid w:val="00BB25C7"/>
    <w:rsid w:val="00BB2ECC"/>
    <w:rsid w:val="00BB323D"/>
    <w:rsid w:val="00BB3C83"/>
    <w:rsid w:val="00BB3E6B"/>
    <w:rsid w:val="00BB3F40"/>
    <w:rsid w:val="00BB4069"/>
    <w:rsid w:val="00BB4111"/>
    <w:rsid w:val="00BB44C7"/>
    <w:rsid w:val="00BB5BC2"/>
    <w:rsid w:val="00BB6CD6"/>
    <w:rsid w:val="00BB6F73"/>
    <w:rsid w:val="00BB73B1"/>
    <w:rsid w:val="00BC042A"/>
    <w:rsid w:val="00BC04A1"/>
    <w:rsid w:val="00BC0843"/>
    <w:rsid w:val="00BC0E83"/>
    <w:rsid w:val="00BC17FA"/>
    <w:rsid w:val="00BC1F91"/>
    <w:rsid w:val="00BC25EB"/>
    <w:rsid w:val="00BC2891"/>
    <w:rsid w:val="00BC293D"/>
    <w:rsid w:val="00BC30F2"/>
    <w:rsid w:val="00BC33A8"/>
    <w:rsid w:val="00BC3A3F"/>
    <w:rsid w:val="00BC3CAE"/>
    <w:rsid w:val="00BC3F3F"/>
    <w:rsid w:val="00BC429C"/>
    <w:rsid w:val="00BC485E"/>
    <w:rsid w:val="00BC50BD"/>
    <w:rsid w:val="00BC5E90"/>
    <w:rsid w:val="00BC64A0"/>
    <w:rsid w:val="00BC67E1"/>
    <w:rsid w:val="00BC6E81"/>
    <w:rsid w:val="00BC7AEE"/>
    <w:rsid w:val="00BC7F03"/>
    <w:rsid w:val="00BD01F1"/>
    <w:rsid w:val="00BD0A43"/>
    <w:rsid w:val="00BD1182"/>
    <w:rsid w:val="00BD11FA"/>
    <w:rsid w:val="00BD15B2"/>
    <w:rsid w:val="00BD1A45"/>
    <w:rsid w:val="00BD2A9C"/>
    <w:rsid w:val="00BD3009"/>
    <w:rsid w:val="00BD3101"/>
    <w:rsid w:val="00BD3450"/>
    <w:rsid w:val="00BD35D9"/>
    <w:rsid w:val="00BD37A7"/>
    <w:rsid w:val="00BD3C34"/>
    <w:rsid w:val="00BD3F63"/>
    <w:rsid w:val="00BD4EAB"/>
    <w:rsid w:val="00BD5350"/>
    <w:rsid w:val="00BD5451"/>
    <w:rsid w:val="00BD5DDE"/>
    <w:rsid w:val="00BD6714"/>
    <w:rsid w:val="00BD6CE8"/>
    <w:rsid w:val="00BD778B"/>
    <w:rsid w:val="00BD7C53"/>
    <w:rsid w:val="00BE0020"/>
    <w:rsid w:val="00BE011F"/>
    <w:rsid w:val="00BE0744"/>
    <w:rsid w:val="00BE0A5D"/>
    <w:rsid w:val="00BE23B4"/>
    <w:rsid w:val="00BE3AEA"/>
    <w:rsid w:val="00BE41EB"/>
    <w:rsid w:val="00BE47DD"/>
    <w:rsid w:val="00BE557C"/>
    <w:rsid w:val="00BE6C22"/>
    <w:rsid w:val="00BE7347"/>
    <w:rsid w:val="00BE7D3E"/>
    <w:rsid w:val="00BF01FE"/>
    <w:rsid w:val="00BF04A6"/>
    <w:rsid w:val="00BF0579"/>
    <w:rsid w:val="00BF083A"/>
    <w:rsid w:val="00BF0E5A"/>
    <w:rsid w:val="00BF0EDB"/>
    <w:rsid w:val="00BF11AD"/>
    <w:rsid w:val="00BF15B7"/>
    <w:rsid w:val="00BF223C"/>
    <w:rsid w:val="00BF2A86"/>
    <w:rsid w:val="00BF2B1D"/>
    <w:rsid w:val="00BF3593"/>
    <w:rsid w:val="00BF4ECC"/>
    <w:rsid w:val="00BF510D"/>
    <w:rsid w:val="00BF56D7"/>
    <w:rsid w:val="00BF5A01"/>
    <w:rsid w:val="00BF5A43"/>
    <w:rsid w:val="00BF5DDA"/>
    <w:rsid w:val="00BF6AC8"/>
    <w:rsid w:val="00BF6CBD"/>
    <w:rsid w:val="00BF7961"/>
    <w:rsid w:val="00C0048D"/>
    <w:rsid w:val="00C007DF"/>
    <w:rsid w:val="00C00E2E"/>
    <w:rsid w:val="00C00F0E"/>
    <w:rsid w:val="00C01AC7"/>
    <w:rsid w:val="00C01F56"/>
    <w:rsid w:val="00C022CA"/>
    <w:rsid w:val="00C0301A"/>
    <w:rsid w:val="00C03953"/>
    <w:rsid w:val="00C04294"/>
    <w:rsid w:val="00C043F8"/>
    <w:rsid w:val="00C0484E"/>
    <w:rsid w:val="00C04EAE"/>
    <w:rsid w:val="00C052C7"/>
    <w:rsid w:val="00C054B2"/>
    <w:rsid w:val="00C05DA0"/>
    <w:rsid w:val="00C06495"/>
    <w:rsid w:val="00C07907"/>
    <w:rsid w:val="00C079EF"/>
    <w:rsid w:val="00C107DC"/>
    <w:rsid w:val="00C1090B"/>
    <w:rsid w:val="00C10941"/>
    <w:rsid w:val="00C11E07"/>
    <w:rsid w:val="00C12250"/>
    <w:rsid w:val="00C1239A"/>
    <w:rsid w:val="00C12AE8"/>
    <w:rsid w:val="00C130C5"/>
    <w:rsid w:val="00C13808"/>
    <w:rsid w:val="00C151D5"/>
    <w:rsid w:val="00C1561F"/>
    <w:rsid w:val="00C15677"/>
    <w:rsid w:val="00C156FE"/>
    <w:rsid w:val="00C157A4"/>
    <w:rsid w:val="00C1623E"/>
    <w:rsid w:val="00C172CB"/>
    <w:rsid w:val="00C17EB2"/>
    <w:rsid w:val="00C17FFA"/>
    <w:rsid w:val="00C20A08"/>
    <w:rsid w:val="00C2104D"/>
    <w:rsid w:val="00C21B2E"/>
    <w:rsid w:val="00C24591"/>
    <w:rsid w:val="00C25406"/>
    <w:rsid w:val="00C26387"/>
    <w:rsid w:val="00C26A84"/>
    <w:rsid w:val="00C26E99"/>
    <w:rsid w:val="00C26F44"/>
    <w:rsid w:val="00C305F1"/>
    <w:rsid w:val="00C307E8"/>
    <w:rsid w:val="00C30830"/>
    <w:rsid w:val="00C30E18"/>
    <w:rsid w:val="00C30FAF"/>
    <w:rsid w:val="00C31CF1"/>
    <w:rsid w:val="00C32057"/>
    <w:rsid w:val="00C3235F"/>
    <w:rsid w:val="00C32553"/>
    <w:rsid w:val="00C325C0"/>
    <w:rsid w:val="00C32A0D"/>
    <w:rsid w:val="00C330E0"/>
    <w:rsid w:val="00C3310E"/>
    <w:rsid w:val="00C33180"/>
    <w:rsid w:val="00C33328"/>
    <w:rsid w:val="00C3451E"/>
    <w:rsid w:val="00C3464F"/>
    <w:rsid w:val="00C350F6"/>
    <w:rsid w:val="00C3528D"/>
    <w:rsid w:val="00C35438"/>
    <w:rsid w:val="00C35903"/>
    <w:rsid w:val="00C35A58"/>
    <w:rsid w:val="00C35BB8"/>
    <w:rsid w:val="00C36600"/>
    <w:rsid w:val="00C36ABA"/>
    <w:rsid w:val="00C37BFF"/>
    <w:rsid w:val="00C37C93"/>
    <w:rsid w:val="00C37E86"/>
    <w:rsid w:val="00C400F1"/>
    <w:rsid w:val="00C40588"/>
    <w:rsid w:val="00C40D22"/>
    <w:rsid w:val="00C41D55"/>
    <w:rsid w:val="00C41EC4"/>
    <w:rsid w:val="00C4377C"/>
    <w:rsid w:val="00C45C09"/>
    <w:rsid w:val="00C461B5"/>
    <w:rsid w:val="00C4622A"/>
    <w:rsid w:val="00C4655C"/>
    <w:rsid w:val="00C47DA8"/>
    <w:rsid w:val="00C47FB2"/>
    <w:rsid w:val="00C50298"/>
    <w:rsid w:val="00C505FC"/>
    <w:rsid w:val="00C514FB"/>
    <w:rsid w:val="00C517DB"/>
    <w:rsid w:val="00C51E19"/>
    <w:rsid w:val="00C5219C"/>
    <w:rsid w:val="00C522F3"/>
    <w:rsid w:val="00C52FF3"/>
    <w:rsid w:val="00C53187"/>
    <w:rsid w:val="00C53E13"/>
    <w:rsid w:val="00C53EBC"/>
    <w:rsid w:val="00C54074"/>
    <w:rsid w:val="00C5467D"/>
    <w:rsid w:val="00C549A0"/>
    <w:rsid w:val="00C54C77"/>
    <w:rsid w:val="00C54E4E"/>
    <w:rsid w:val="00C55305"/>
    <w:rsid w:val="00C55867"/>
    <w:rsid w:val="00C55931"/>
    <w:rsid w:val="00C564AC"/>
    <w:rsid w:val="00C5680C"/>
    <w:rsid w:val="00C56A74"/>
    <w:rsid w:val="00C56AC1"/>
    <w:rsid w:val="00C56E82"/>
    <w:rsid w:val="00C576AD"/>
    <w:rsid w:val="00C57B20"/>
    <w:rsid w:val="00C57B41"/>
    <w:rsid w:val="00C57E8E"/>
    <w:rsid w:val="00C6020C"/>
    <w:rsid w:val="00C603EB"/>
    <w:rsid w:val="00C6070B"/>
    <w:rsid w:val="00C60B53"/>
    <w:rsid w:val="00C60BFC"/>
    <w:rsid w:val="00C60C5C"/>
    <w:rsid w:val="00C60F8C"/>
    <w:rsid w:val="00C62419"/>
    <w:rsid w:val="00C636BC"/>
    <w:rsid w:val="00C636F8"/>
    <w:rsid w:val="00C64DB3"/>
    <w:rsid w:val="00C6566E"/>
    <w:rsid w:val="00C659A8"/>
    <w:rsid w:val="00C65C85"/>
    <w:rsid w:val="00C65D55"/>
    <w:rsid w:val="00C66501"/>
    <w:rsid w:val="00C66DC0"/>
    <w:rsid w:val="00C66E4F"/>
    <w:rsid w:val="00C67484"/>
    <w:rsid w:val="00C70065"/>
    <w:rsid w:val="00C70377"/>
    <w:rsid w:val="00C70971"/>
    <w:rsid w:val="00C7128B"/>
    <w:rsid w:val="00C7146A"/>
    <w:rsid w:val="00C71500"/>
    <w:rsid w:val="00C72611"/>
    <w:rsid w:val="00C72F9B"/>
    <w:rsid w:val="00C731AE"/>
    <w:rsid w:val="00C73246"/>
    <w:rsid w:val="00C73642"/>
    <w:rsid w:val="00C744FE"/>
    <w:rsid w:val="00C74C2F"/>
    <w:rsid w:val="00C74C64"/>
    <w:rsid w:val="00C74FD2"/>
    <w:rsid w:val="00C7510C"/>
    <w:rsid w:val="00C752B5"/>
    <w:rsid w:val="00C753A3"/>
    <w:rsid w:val="00C759AA"/>
    <w:rsid w:val="00C75D88"/>
    <w:rsid w:val="00C75E00"/>
    <w:rsid w:val="00C75FD1"/>
    <w:rsid w:val="00C765C8"/>
    <w:rsid w:val="00C76727"/>
    <w:rsid w:val="00C77261"/>
    <w:rsid w:val="00C77405"/>
    <w:rsid w:val="00C774B9"/>
    <w:rsid w:val="00C779D4"/>
    <w:rsid w:val="00C77A78"/>
    <w:rsid w:val="00C77D23"/>
    <w:rsid w:val="00C805E2"/>
    <w:rsid w:val="00C810B9"/>
    <w:rsid w:val="00C8149B"/>
    <w:rsid w:val="00C814F9"/>
    <w:rsid w:val="00C815A3"/>
    <w:rsid w:val="00C81C84"/>
    <w:rsid w:val="00C81D4F"/>
    <w:rsid w:val="00C81E04"/>
    <w:rsid w:val="00C827E0"/>
    <w:rsid w:val="00C828BF"/>
    <w:rsid w:val="00C829B3"/>
    <w:rsid w:val="00C82E7E"/>
    <w:rsid w:val="00C82F5B"/>
    <w:rsid w:val="00C835D2"/>
    <w:rsid w:val="00C83831"/>
    <w:rsid w:val="00C83F96"/>
    <w:rsid w:val="00C84297"/>
    <w:rsid w:val="00C84ABB"/>
    <w:rsid w:val="00C8518C"/>
    <w:rsid w:val="00C851DF"/>
    <w:rsid w:val="00C85534"/>
    <w:rsid w:val="00C85A5F"/>
    <w:rsid w:val="00C86607"/>
    <w:rsid w:val="00C86918"/>
    <w:rsid w:val="00C86EA2"/>
    <w:rsid w:val="00C875BD"/>
    <w:rsid w:val="00C879F2"/>
    <w:rsid w:val="00C87BF1"/>
    <w:rsid w:val="00C87F5E"/>
    <w:rsid w:val="00C9006E"/>
    <w:rsid w:val="00C9087E"/>
    <w:rsid w:val="00C90CC4"/>
    <w:rsid w:val="00C90FBC"/>
    <w:rsid w:val="00C91324"/>
    <w:rsid w:val="00C918F7"/>
    <w:rsid w:val="00C91FAA"/>
    <w:rsid w:val="00C92102"/>
    <w:rsid w:val="00C9229F"/>
    <w:rsid w:val="00C92401"/>
    <w:rsid w:val="00C92F60"/>
    <w:rsid w:val="00C932D8"/>
    <w:rsid w:val="00C933F2"/>
    <w:rsid w:val="00C93D64"/>
    <w:rsid w:val="00C93EE8"/>
    <w:rsid w:val="00C9406A"/>
    <w:rsid w:val="00C944F6"/>
    <w:rsid w:val="00C945F7"/>
    <w:rsid w:val="00C94716"/>
    <w:rsid w:val="00C948C7"/>
    <w:rsid w:val="00C95434"/>
    <w:rsid w:val="00C95EF1"/>
    <w:rsid w:val="00C9605E"/>
    <w:rsid w:val="00C96B75"/>
    <w:rsid w:val="00C96BD6"/>
    <w:rsid w:val="00C97537"/>
    <w:rsid w:val="00C97D49"/>
    <w:rsid w:val="00C97EDD"/>
    <w:rsid w:val="00CA0A42"/>
    <w:rsid w:val="00CA1A11"/>
    <w:rsid w:val="00CA226F"/>
    <w:rsid w:val="00CA35CD"/>
    <w:rsid w:val="00CA439C"/>
    <w:rsid w:val="00CA4438"/>
    <w:rsid w:val="00CA503B"/>
    <w:rsid w:val="00CA74EE"/>
    <w:rsid w:val="00CB063D"/>
    <w:rsid w:val="00CB27F8"/>
    <w:rsid w:val="00CB2C6A"/>
    <w:rsid w:val="00CB37C5"/>
    <w:rsid w:val="00CB41F0"/>
    <w:rsid w:val="00CB4564"/>
    <w:rsid w:val="00CB508B"/>
    <w:rsid w:val="00CB5676"/>
    <w:rsid w:val="00CB6461"/>
    <w:rsid w:val="00CB6584"/>
    <w:rsid w:val="00CB65C4"/>
    <w:rsid w:val="00CB6A51"/>
    <w:rsid w:val="00CB7093"/>
    <w:rsid w:val="00CB75DD"/>
    <w:rsid w:val="00CB7851"/>
    <w:rsid w:val="00CB795F"/>
    <w:rsid w:val="00CB7FD9"/>
    <w:rsid w:val="00CC0925"/>
    <w:rsid w:val="00CC0D11"/>
    <w:rsid w:val="00CC10EA"/>
    <w:rsid w:val="00CC124A"/>
    <w:rsid w:val="00CC12DD"/>
    <w:rsid w:val="00CC1331"/>
    <w:rsid w:val="00CC2970"/>
    <w:rsid w:val="00CC2FC8"/>
    <w:rsid w:val="00CC436E"/>
    <w:rsid w:val="00CC5677"/>
    <w:rsid w:val="00CC64D0"/>
    <w:rsid w:val="00CC6844"/>
    <w:rsid w:val="00CC6EC3"/>
    <w:rsid w:val="00CC7864"/>
    <w:rsid w:val="00CD0017"/>
    <w:rsid w:val="00CD07CE"/>
    <w:rsid w:val="00CD0EA5"/>
    <w:rsid w:val="00CD12B6"/>
    <w:rsid w:val="00CD1306"/>
    <w:rsid w:val="00CD1792"/>
    <w:rsid w:val="00CD1DC7"/>
    <w:rsid w:val="00CD21A7"/>
    <w:rsid w:val="00CD21FB"/>
    <w:rsid w:val="00CD2417"/>
    <w:rsid w:val="00CD2C63"/>
    <w:rsid w:val="00CD2D1A"/>
    <w:rsid w:val="00CD324E"/>
    <w:rsid w:val="00CD4065"/>
    <w:rsid w:val="00CD40E5"/>
    <w:rsid w:val="00CD4396"/>
    <w:rsid w:val="00CD45A6"/>
    <w:rsid w:val="00CD57D9"/>
    <w:rsid w:val="00CD5A15"/>
    <w:rsid w:val="00CD5D0D"/>
    <w:rsid w:val="00CD5D79"/>
    <w:rsid w:val="00CD7CED"/>
    <w:rsid w:val="00CE0173"/>
    <w:rsid w:val="00CE0856"/>
    <w:rsid w:val="00CE0A0F"/>
    <w:rsid w:val="00CE2121"/>
    <w:rsid w:val="00CE230D"/>
    <w:rsid w:val="00CE31D0"/>
    <w:rsid w:val="00CE32D1"/>
    <w:rsid w:val="00CE3594"/>
    <w:rsid w:val="00CE36B6"/>
    <w:rsid w:val="00CE387A"/>
    <w:rsid w:val="00CE47C3"/>
    <w:rsid w:val="00CE4DA8"/>
    <w:rsid w:val="00CE53CE"/>
    <w:rsid w:val="00CE5842"/>
    <w:rsid w:val="00CE69F8"/>
    <w:rsid w:val="00CE6C8A"/>
    <w:rsid w:val="00CE7D09"/>
    <w:rsid w:val="00CE7F06"/>
    <w:rsid w:val="00CF04F8"/>
    <w:rsid w:val="00CF0B12"/>
    <w:rsid w:val="00CF0D4C"/>
    <w:rsid w:val="00CF0E33"/>
    <w:rsid w:val="00CF15C4"/>
    <w:rsid w:val="00CF165A"/>
    <w:rsid w:val="00CF1C60"/>
    <w:rsid w:val="00CF1FC9"/>
    <w:rsid w:val="00CF2909"/>
    <w:rsid w:val="00CF30A3"/>
    <w:rsid w:val="00CF3904"/>
    <w:rsid w:val="00CF3BD7"/>
    <w:rsid w:val="00CF4BD3"/>
    <w:rsid w:val="00CF4CA1"/>
    <w:rsid w:val="00CF4F3D"/>
    <w:rsid w:val="00CF51F7"/>
    <w:rsid w:val="00CF53A8"/>
    <w:rsid w:val="00CF5B47"/>
    <w:rsid w:val="00CF5D09"/>
    <w:rsid w:val="00CF5DAF"/>
    <w:rsid w:val="00CF6273"/>
    <w:rsid w:val="00CF6B0F"/>
    <w:rsid w:val="00CF74E5"/>
    <w:rsid w:val="00D000D7"/>
    <w:rsid w:val="00D0268C"/>
    <w:rsid w:val="00D029E6"/>
    <w:rsid w:val="00D0373D"/>
    <w:rsid w:val="00D03EBC"/>
    <w:rsid w:val="00D04843"/>
    <w:rsid w:val="00D0538F"/>
    <w:rsid w:val="00D058A2"/>
    <w:rsid w:val="00D05E8E"/>
    <w:rsid w:val="00D0695C"/>
    <w:rsid w:val="00D06F21"/>
    <w:rsid w:val="00D0752E"/>
    <w:rsid w:val="00D07919"/>
    <w:rsid w:val="00D102C2"/>
    <w:rsid w:val="00D10F43"/>
    <w:rsid w:val="00D11238"/>
    <w:rsid w:val="00D1137C"/>
    <w:rsid w:val="00D1146A"/>
    <w:rsid w:val="00D11893"/>
    <w:rsid w:val="00D11909"/>
    <w:rsid w:val="00D12319"/>
    <w:rsid w:val="00D12647"/>
    <w:rsid w:val="00D12847"/>
    <w:rsid w:val="00D12B71"/>
    <w:rsid w:val="00D12F42"/>
    <w:rsid w:val="00D13F4F"/>
    <w:rsid w:val="00D1444B"/>
    <w:rsid w:val="00D14BD2"/>
    <w:rsid w:val="00D153F4"/>
    <w:rsid w:val="00D16569"/>
    <w:rsid w:val="00D16C13"/>
    <w:rsid w:val="00D16CD4"/>
    <w:rsid w:val="00D16E78"/>
    <w:rsid w:val="00D17153"/>
    <w:rsid w:val="00D2032B"/>
    <w:rsid w:val="00D2046C"/>
    <w:rsid w:val="00D20606"/>
    <w:rsid w:val="00D20F9D"/>
    <w:rsid w:val="00D215D6"/>
    <w:rsid w:val="00D22A7F"/>
    <w:rsid w:val="00D240C8"/>
    <w:rsid w:val="00D24F78"/>
    <w:rsid w:val="00D2552E"/>
    <w:rsid w:val="00D260C8"/>
    <w:rsid w:val="00D264FD"/>
    <w:rsid w:val="00D30D9A"/>
    <w:rsid w:val="00D318C0"/>
    <w:rsid w:val="00D31AB3"/>
    <w:rsid w:val="00D31BC5"/>
    <w:rsid w:val="00D31CD8"/>
    <w:rsid w:val="00D31EA5"/>
    <w:rsid w:val="00D32249"/>
    <w:rsid w:val="00D32477"/>
    <w:rsid w:val="00D3270F"/>
    <w:rsid w:val="00D3373E"/>
    <w:rsid w:val="00D34367"/>
    <w:rsid w:val="00D344DC"/>
    <w:rsid w:val="00D34BEB"/>
    <w:rsid w:val="00D351CC"/>
    <w:rsid w:val="00D358E4"/>
    <w:rsid w:val="00D364AD"/>
    <w:rsid w:val="00D37213"/>
    <w:rsid w:val="00D376F9"/>
    <w:rsid w:val="00D37DE1"/>
    <w:rsid w:val="00D40134"/>
    <w:rsid w:val="00D403D1"/>
    <w:rsid w:val="00D4087F"/>
    <w:rsid w:val="00D40FB1"/>
    <w:rsid w:val="00D4146D"/>
    <w:rsid w:val="00D41AA9"/>
    <w:rsid w:val="00D429C3"/>
    <w:rsid w:val="00D42B52"/>
    <w:rsid w:val="00D42DDE"/>
    <w:rsid w:val="00D42F2E"/>
    <w:rsid w:val="00D4337A"/>
    <w:rsid w:val="00D43FEB"/>
    <w:rsid w:val="00D443ED"/>
    <w:rsid w:val="00D445B9"/>
    <w:rsid w:val="00D45336"/>
    <w:rsid w:val="00D45834"/>
    <w:rsid w:val="00D459DD"/>
    <w:rsid w:val="00D46142"/>
    <w:rsid w:val="00D467AB"/>
    <w:rsid w:val="00D468A7"/>
    <w:rsid w:val="00D46FC6"/>
    <w:rsid w:val="00D47A84"/>
    <w:rsid w:val="00D47F81"/>
    <w:rsid w:val="00D500EF"/>
    <w:rsid w:val="00D50889"/>
    <w:rsid w:val="00D50D7D"/>
    <w:rsid w:val="00D50E75"/>
    <w:rsid w:val="00D5114A"/>
    <w:rsid w:val="00D513B6"/>
    <w:rsid w:val="00D51715"/>
    <w:rsid w:val="00D51F8D"/>
    <w:rsid w:val="00D530A1"/>
    <w:rsid w:val="00D53143"/>
    <w:rsid w:val="00D53C39"/>
    <w:rsid w:val="00D53C6E"/>
    <w:rsid w:val="00D53D2A"/>
    <w:rsid w:val="00D53DF3"/>
    <w:rsid w:val="00D53EC8"/>
    <w:rsid w:val="00D541E6"/>
    <w:rsid w:val="00D5428B"/>
    <w:rsid w:val="00D543DD"/>
    <w:rsid w:val="00D56AAC"/>
    <w:rsid w:val="00D56F99"/>
    <w:rsid w:val="00D572D6"/>
    <w:rsid w:val="00D57512"/>
    <w:rsid w:val="00D576DD"/>
    <w:rsid w:val="00D57ADB"/>
    <w:rsid w:val="00D60668"/>
    <w:rsid w:val="00D6092F"/>
    <w:rsid w:val="00D60C0F"/>
    <w:rsid w:val="00D61182"/>
    <w:rsid w:val="00D61A1F"/>
    <w:rsid w:val="00D625B6"/>
    <w:rsid w:val="00D625BF"/>
    <w:rsid w:val="00D62A97"/>
    <w:rsid w:val="00D631BA"/>
    <w:rsid w:val="00D632D3"/>
    <w:rsid w:val="00D65360"/>
    <w:rsid w:val="00D66709"/>
    <w:rsid w:val="00D672F6"/>
    <w:rsid w:val="00D67891"/>
    <w:rsid w:val="00D67953"/>
    <w:rsid w:val="00D705AC"/>
    <w:rsid w:val="00D720F4"/>
    <w:rsid w:val="00D721A5"/>
    <w:rsid w:val="00D72548"/>
    <w:rsid w:val="00D73458"/>
    <w:rsid w:val="00D73857"/>
    <w:rsid w:val="00D73C33"/>
    <w:rsid w:val="00D749EB"/>
    <w:rsid w:val="00D754CA"/>
    <w:rsid w:val="00D75B91"/>
    <w:rsid w:val="00D76EC1"/>
    <w:rsid w:val="00D779D8"/>
    <w:rsid w:val="00D77AC2"/>
    <w:rsid w:val="00D77D92"/>
    <w:rsid w:val="00D77EAC"/>
    <w:rsid w:val="00D803A9"/>
    <w:rsid w:val="00D804D6"/>
    <w:rsid w:val="00D8093C"/>
    <w:rsid w:val="00D80B20"/>
    <w:rsid w:val="00D8198C"/>
    <w:rsid w:val="00D820E9"/>
    <w:rsid w:val="00D825FB"/>
    <w:rsid w:val="00D8369B"/>
    <w:rsid w:val="00D84067"/>
    <w:rsid w:val="00D84C29"/>
    <w:rsid w:val="00D84E3A"/>
    <w:rsid w:val="00D85132"/>
    <w:rsid w:val="00D85FD9"/>
    <w:rsid w:val="00D866BA"/>
    <w:rsid w:val="00D86A51"/>
    <w:rsid w:val="00D871C5"/>
    <w:rsid w:val="00D87FBF"/>
    <w:rsid w:val="00D9018E"/>
    <w:rsid w:val="00D90F3E"/>
    <w:rsid w:val="00D924BF"/>
    <w:rsid w:val="00D92504"/>
    <w:rsid w:val="00D928C1"/>
    <w:rsid w:val="00D929F3"/>
    <w:rsid w:val="00D938AC"/>
    <w:rsid w:val="00D9412B"/>
    <w:rsid w:val="00D94595"/>
    <w:rsid w:val="00D96161"/>
    <w:rsid w:val="00D967F7"/>
    <w:rsid w:val="00D9695A"/>
    <w:rsid w:val="00D9785C"/>
    <w:rsid w:val="00DA016D"/>
    <w:rsid w:val="00DA0620"/>
    <w:rsid w:val="00DA0885"/>
    <w:rsid w:val="00DA1AD4"/>
    <w:rsid w:val="00DA1E36"/>
    <w:rsid w:val="00DA1EE1"/>
    <w:rsid w:val="00DA2018"/>
    <w:rsid w:val="00DA2090"/>
    <w:rsid w:val="00DA2D0F"/>
    <w:rsid w:val="00DA2E41"/>
    <w:rsid w:val="00DA3327"/>
    <w:rsid w:val="00DA3491"/>
    <w:rsid w:val="00DA4CC1"/>
    <w:rsid w:val="00DA565E"/>
    <w:rsid w:val="00DA5EE7"/>
    <w:rsid w:val="00DA6231"/>
    <w:rsid w:val="00DA6485"/>
    <w:rsid w:val="00DA7670"/>
    <w:rsid w:val="00DA7885"/>
    <w:rsid w:val="00DA7A59"/>
    <w:rsid w:val="00DA7DB5"/>
    <w:rsid w:val="00DB0B55"/>
    <w:rsid w:val="00DB1C1D"/>
    <w:rsid w:val="00DB1D82"/>
    <w:rsid w:val="00DB21F6"/>
    <w:rsid w:val="00DB220A"/>
    <w:rsid w:val="00DB22A0"/>
    <w:rsid w:val="00DB2B2E"/>
    <w:rsid w:val="00DB2B9B"/>
    <w:rsid w:val="00DB2BF2"/>
    <w:rsid w:val="00DB3233"/>
    <w:rsid w:val="00DB3601"/>
    <w:rsid w:val="00DB3C95"/>
    <w:rsid w:val="00DB3CCA"/>
    <w:rsid w:val="00DB4834"/>
    <w:rsid w:val="00DB49E1"/>
    <w:rsid w:val="00DB4D58"/>
    <w:rsid w:val="00DB4F16"/>
    <w:rsid w:val="00DB504B"/>
    <w:rsid w:val="00DB532C"/>
    <w:rsid w:val="00DB53E5"/>
    <w:rsid w:val="00DB5AE3"/>
    <w:rsid w:val="00DB5E42"/>
    <w:rsid w:val="00DB6201"/>
    <w:rsid w:val="00DB6983"/>
    <w:rsid w:val="00DB6B09"/>
    <w:rsid w:val="00DB6EA5"/>
    <w:rsid w:val="00DB793D"/>
    <w:rsid w:val="00DB7BFF"/>
    <w:rsid w:val="00DB7D9F"/>
    <w:rsid w:val="00DB7F02"/>
    <w:rsid w:val="00DC0162"/>
    <w:rsid w:val="00DC02F0"/>
    <w:rsid w:val="00DC0ACF"/>
    <w:rsid w:val="00DC0BC2"/>
    <w:rsid w:val="00DC2025"/>
    <w:rsid w:val="00DC24AB"/>
    <w:rsid w:val="00DC280B"/>
    <w:rsid w:val="00DC29E7"/>
    <w:rsid w:val="00DC2A39"/>
    <w:rsid w:val="00DC2DEB"/>
    <w:rsid w:val="00DC3209"/>
    <w:rsid w:val="00DC37B7"/>
    <w:rsid w:val="00DC3B17"/>
    <w:rsid w:val="00DC3D34"/>
    <w:rsid w:val="00DC4951"/>
    <w:rsid w:val="00DC4A6F"/>
    <w:rsid w:val="00DC4EE9"/>
    <w:rsid w:val="00DC5067"/>
    <w:rsid w:val="00DC5205"/>
    <w:rsid w:val="00DC5D83"/>
    <w:rsid w:val="00DC5EEF"/>
    <w:rsid w:val="00DC642D"/>
    <w:rsid w:val="00DC6690"/>
    <w:rsid w:val="00DC68ED"/>
    <w:rsid w:val="00DC6F14"/>
    <w:rsid w:val="00DC75FD"/>
    <w:rsid w:val="00DC7D1C"/>
    <w:rsid w:val="00DC7E21"/>
    <w:rsid w:val="00DC7FB6"/>
    <w:rsid w:val="00DD0036"/>
    <w:rsid w:val="00DD302C"/>
    <w:rsid w:val="00DD3D03"/>
    <w:rsid w:val="00DD3F8F"/>
    <w:rsid w:val="00DD47F6"/>
    <w:rsid w:val="00DD4A5B"/>
    <w:rsid w:val="00DD4B09"/>
    <w:rsid w:val="00DD6280"/>
    <w:rsid w:val="00DD6A43"/>
    <w:rsid w:val="00DD6C86"/>
    <w:rsid w:val="00DE0A2F"/>
    <w:rsid w:val="00DE1200"/>
    <w:rsid w:val="00DE1E95"/>
    <w:rsid w:val="00DE26FC"/>
    <w:rsid w:val="00DE2955"/>
    <w:rsid w:val="00DE2EDC"/>
    <w:rsid w:val="00DE31D3"/>
    <w:rsid w:val="00DE3D19"/>
    <w:rsid w:val="00DE528C"/>
    <w:rsid w:val="00DE5878"/>
    <w:rsid w:val="00DE5B5F"/>
    <w:rsid w:val="00DE5EB3"/>
    <w:rsid w:val="00DE5FCB"/>
    <w:rsid w:val="00DE6A4A"/>
    <w:rsid w:val="00DE6E30"/>
    <w:rsid w:val="00DE76BF"/>
    <w:rsid w:val="00DE7D36"/>
    <w:rsid w:val="00DE7DA5"/>
    <w:rsid w:val="00DF0109"/>
    <w:rsid w:val="00DF05FA"/>
    <w:rsid w:val="00DF082A"/>
    <w:rsid w:val="00DF0BE5"/>
    <w:rsid w:val="00DF1001"/>
    <w:rsid w:val="00DF185A"/>
    <w:rsid w:val="00DF1868"/>
    <w:rsid w:val="00DF1901"/>
    <w:rsid w:val="00DF19F8"/>
    <w:rsid w:val="00DF2466"/>
    <w:rsid w:val="00DF2643"/>
    <w:rsid w:val="00DF28FE"/>
    <w:rsid w:val="00DF29C4"/>
    <w:rsid w:val="00DF2D20"/>
    <w:rsid w:val="00DF2EC9"/>
    <w:rsid w:val="00DF30A9"/>
    <w:rsid w:val="00DF32F0"/>
    <w:rsid w:val="00DF3FB6"/>
    <w:rsid w:val="00DF4357"/>
    <w:rsid w:val="00DF524F"/>
    <w:rsid w:val="00DF550F"/>
    <w:rsid w:val="00DF59A0"/>
    <w:rsid w:val="00DF5BAE"/>
    <w:rsid w:val="00DF5DB3"/>
    <w:rsid w:val="00DF61B2"/>
    <w:rsid w:val="00DF64ED"/>
    <w:rsid w:val="00DF6B64"/>
    <w:rsid w:val="00DF6B6D"/>
    <w:rsid w:val="00DF7AA7"/>
    <w:rsid w:val="00DF7E43"/>
    <w:rsid w:val="00DF7EF5"/>
    <w:rsid w:val="00E00CE8"/>
    <w:rsid w:val="00E00CFD"/>
    <w:rsid w:val="00E00EF8"/>
    <w:rsid w:val="00E0206B"/>
    <w:rsid w:val="00E02573"/>
    <w:rsid w:val="00E025E8"/>
    <w:rsid w:val="00E02905"/>
    <w:rsid w:val="00E0354E"/>
    <w:rsid w:val="00E03B0A"/>
    <w:rsid w:val="00E04099"/>
    <w:rsid w:val="00E04223"/>
    <w:rsid w:val="00E04305"/>
    <w:rsid w:val="00E044F5"/>
    <w:rsid w:val="00E04984"/>
    <w:rsid w:val="00E04B6D"/>
    <w:rsid w:val="00E04D96"/>
    <w:rsid w:val="00E05088"/>
    <w:rsid w:val="00E0523D"/>
    <w:rsid w:val="00E05EB7"/>
    <w:rsid w:val="00E064C9"/>
    <w:rsid w:val="00E065FB"/>
    <w:rsid w:val="00E06CA8"/>
    <w:rsid w:val="00E070CC"/>
    <w:rsid w:val="00E078C3"/>
    <w:rsid w:val="00E10117"/>
    <w:rsid w:val="00E106DB"/>
    <w:rsid w:val="00E10901"/>
    <w:rsid w:val="00E1161B"/>
    <w:rsid w:val="00E11976"/>
    <w:rsid w:val="00E11D42"/>
    <w:rsid w:val="00E128BA"/>
    <w:rsid w:val="00E12C89"/>
    <w:rsid w:val="00E13361"/>
    <w:rsid w:val="00E1340E"/>
    <w:rsid w:val="00E1360D"/>
    <w:rsid w:val="00E13906"/>
    <w:rsid w:val="00E159AF"/>
    <w:rsid w:val="00E15BB3"/>
    <w:rsid w:val="00E15C4F"/>
    <w:rsid w:val="00E15C7D"/>
    <w:rsid w:val="00E17106"/>
    <w:rsid w:val="00E17F19"/>
    <w:rsid w:val="00E2024B"/>
    <w:rsid w:val="00E207CC"/>
    <w:rsid w:val="00E212E6"/>
    <w:rsid w:val="00E214DB"/>
    <w:rsid w:val="00E22762"/>
    <w:rsid w:val="00E22D4F"/>
    <w:rsid w:val="00E236A4"/>
    <w:rsid w:val="00E24B03"/>
    <w:rsid w:val="00E25003"/>
    <w:rsid w:val="00E266A3"/>
    <w:rsid w:val="00E26DF2"/>
    <w:rsid w:val="00E272EA"/>
    <w:rsid w:val="00E2743B"/>
    <w:rsid w:val="00E2750C"/>
    <w:rsid w:val="00E275A4"/>
    <w:rsid w:val="00E279C8"/>
    <w:rsid w:val="00E27B25"/>
    <w:rsid w:val="00E301C8"/>
    <w:rsid w:val="00E30DF8"/>
    <w:rsid w:val="00E31C92"/>
    <w:rsid w:val="00E32713"/>
    <w:rsid w:val="00E33301"/>
    <w:rsid w:val="00E33339"/>
    <w:rsid w:val="00E3334D"/>
    <w:rsid w:val="00E341C3"/>
    <w:rsid w:val="00E346D9"/>
    <w:rsid w:val="00E34DD4"/>
    <w:rsid w:val="00E3542C"/>
    <w:rsid w:val="00E3666F"/>
    <w:rsid w:val="00E36BD1"/>
    <w:rsid w:val="00E37601"/>
    <w:rsid w:val="00E376BF"/>
    <w:rsid w:val="00E37B5B"/>
    <w:rsid w:val="00E37CA8"/>
    <w:rsid w:val="00E40199"/>
    <w:rsid w:val="00E40C09"/>
    <w:rsid w:val="00E40D41"/>
    <w:rsid w:val="00E412A3"/>
    <w:rsid w:val="00E4190A"/>
    <w:rsid w:val="00E41E2E"/>
    <w:rsid w:val="00E426A7"/>
    <w:rsid w:val="00E42A12"/>
    <w:rsid w:val="00E43344"/>
    <w:rsid w:val="00E43515"/>
    <w:rsid w:val="00E4493B"/>
    <w:rsid w:val="00E44DFB"/>
    <w:rsid w:val="00E44E51"/>
    <w:rsid w:val="00E45493"/>
    <w:rsid w:val="00E4565E"/>
    <w:rsid w:val="00E45A59"/>
    <w:rsid w:val="00E45DA2"/>
    <w:rsid w:val="00E46051"/>
    <w:rsid w:val="00E4643D"/>
    <w:rsid w:val="00E46A77"/>
    <w:rsid w:val="00E46E15"/>
    <w:rsid w:val="00E4747F"/>
    <w:rsid w:val="00E47AB7"/>
    <w:rsid w:val="00E47B63"/>
    <w:rsid w:val="00E50669"/>
    <w:rsid w:val="00E506AB"/>
    <w:rsid w:val="00E5121D"/>
    <w:rsid w:val="00E51DED"/>
    <w:rsid w:val="00E51F1D"/>
    <w:rsid w:val="00E51F50"/>
    <w:rsid w:val="00E52A24"/>
    <w:rsid w:val="00E52F2C"/>
    <w:rsid w:val="00E53409"/>
    <w:rsid w:val="00E5352C"/>
    <w:rsid w:val="00E539DA"/>
    <w:rsid w:val="00E53A81"/>
    <w:rsid w:val="00E547C4"/>
    <w:rsid w:val="00E54A90"/>
    <w:rsid w:val="00E55632"/>
    <w:rsid w:val="00E556B7"/>
    <w:rsid w:val="00E55941"/>
    <w:rsid w:val="00E55FE8"/>
    <w:rsid w:val="00E56586"/>
    <w:rsid w:val="00E5664E"/>
    <w:rsid w:val="00E575BA"/>
    <w:rsid w:val="00E60342"/>
    <w:rsid w:val="00E608E4"/>
    <w:rsid w:val="00E61A0F"/>
    <w:rsid w:val="00E632DA"/>
    <w:rsid w:val="00E63334"/>
    <w:rsid w:val="00E63680"/>
    <w:rsid w:val="00E63B02"/>
    <w:rsid w:val="00E63EE8"/>
    <w:rsid w:val="00E64529"/>
    <w:rsid w:val="00E648A9"/>
    <w:rsid w:val="00E64AD8"/>
    <w:rsid w:val="00E660DD"/>
    <w:rsid w:val="00E66105"/>
    <w:rsid w:val="00E66349"/>
    <w:rsid w:val="00E664F0"/>
    <w:rsid w:val="00E665D3"/>
    <w:rsid w:val="00E6687C"/>
    <w:rsid w:val="00E66A62"/>
    <w:rsid w:val="00E7067D"/>
    <w:rsid w:val="00E70CC7"/>
    <w:rsid w:val="00E7105A"/>
    <w:rsid w:val="00E71270"/>
    <w:rsid w:val="00E71436"/>
    <w:rsid w:val="00E714BA"/>
    <w:rsid w:val="00E717CB"/>
    <w:rsid w:val="00E71CBB"/>
    <w:rsid w:val="00E71FDF"/>
    <w:rsid w:val="00E727CE"/>
    <w:rsid w:val="00E73CB0"/>
    <w:rsid w:val="00E742A4"/>
    <w:rsid w:val="00E7483B"/>
    <w:rsid w:val="00E748B6"/>
    <w:rsid w:val="00E7496F"/>
    <w:rsid w:val="00E74977"/>
    <w:rsid w:val="00E75D71"/>
    <w:rsid w:val="00E75FC8"/>
    <w:rsid w:val="00E76346"/>
    <w:rsid w:val="00E76624"/>
    <w:rsid w:val="00E76767"/>
    <w:rsid w:val="00E80903"/>
    <w:rsid w:val="00E80E58"/>
    <w:rsid w:val="00E80EB7"/>
    <w:rsid w:val="00E81683"/>
    <w:rsid w:val="00E81D7E"/>
    <w:rsid w:val="00E8223C"/>
    <w:rsid w:val="00E8274B"/>
    <w:rsid w:val="00E82B64"/>
    <w:rsid w:val="00E833C1"/>
    <w:rsid w:val="00E83989"/>
    <w:rsid w:val="00E83A93"/>
    <w:rsid w:val="00E84A8C"/>
    <w:rsid w:val="00E84B27"/>
    <w:rsid w:val="00E84C4A"/>
    <w:rsid w:val="00E85222"/>
    <w:rsid w:val="00E85C27"/>
    <w:rsid w:val="00E8603C"/>
    <w:rsid w:val="00E86A55"/>
    <w:rsid w:val="00E86F82"/>
    <w:rsid w:val="00E87ACA"/>
    <w:rsid w:val="00E87EC8"/>
    <w:rsid w:val="00E9110A"/>
    <w:rsid w:val="00E91596"/>
    <w:rsid w:val="00E91920"/>
    <w:rsid w:val="00E92151"/>
    <w:rsid w:val="00E9253E"/>
    <w:rsid w:val="00E92898"/>
    <w:rsid w:val="00E92FFD"/>
    <w:rsid w:val="00E9352F"/>
    <w:rsid w:val="00E936F1"/>
    <w:rsid w:val="00E93847"/>
    <w:rsid w:val="00E93AA0"/>
    <w:rsid w:val="00E94C72"/>
    <w:rsid w:val="00E9506F"/>
    <w:rsid w:val="00E95102"/>
    <w:rsid w:val="00E9532B"/>
    <w:rsid w:val="00E95999"/>
    <w:rsid w:val="00E97131"/>
    <w:rsid w:val="00E977AA"/>
    <w:rsid w:val="00E97953"/>
    <w:rsid w:val="00E97B3D"/>
    <w:rsid w:val="00EA0314"/>
    <w:rsid w:val="00EA0521"/>
    <w:rsid w:val="00EA0800"/>
    <w:rsid w:val="00EA1747"/>
    <w:rsid w:val="00EA2B21"/>
    <w:rsid w:val="00EA2C7B"/>
    <w:rsid w:val="00EA2E54"/>
    <w:rsid w:val="00EA349A"/>
    <w:rsid w:val="00EA4002"/>
    <w:rsid w:val="00EA42FB"/>
    <w:rsid w:val="00EA4352"/>
    <w:rsid w:val="00EA5658"/>
    <w:rsid w:val="00EA57BB"/>
    <w:rsid w:val="00EA5D6C"/>
    <w:rsid w:val="00EA5D96"/>
    <w:rsid w:val="00EA5F7B"/>
    <w:rsid w:val="00EA663B"/>
    <w:rsid w:val="00EA66F0"/>
    <w:rsid w:val="00EA6C3A"/>
    <w:rsid w:val="00EA7A49"/>
    <w:rsid w:val="00EA7E5F"/>
    <w:rsid w:val="00EB034A"/>
    <w:rsid w:val="00EB0951"/>
    <w:rsid w:val="00EB0BFC"/>
    <w:rsid w:val="00EB0E04"/>
    <w:rsid w:val="00EB1631"/>
    <w:rsid w:val="00EB1787"/>
    <w:rsid w:val="00EB1B40"/>
    <w:rsid w:val="00EB26D8"/>
    <w:rsid w:val="00EB2C43"/>
    <w:rsid w:val="00EB2EA4"/>
    <w:rsid w:val="00EB31BB"/>
    <w:rsid w:val="00EB3B5C"/>
    <w:rsid w:val="00EB3D6F"/>
    <w:rsid w:val="00EB444C"/>
    <w:rsid w:val="00EB4756"/>
    <w:rsid w:val="00EB47ED"/>
    <w:rsid w:val="00EB4971"/>
    <w:rsid w:val="00EB4C03"/>
    <w:rsid w:val="00EB522F"/>
    <w:rsid w:val="00EB580B"/>
    <w:rsid w:val="00EB5AFD"/>
    <w:rsid w:val="00EB5E71"/>
    <w:rsid w:val="00EB63E9"/>
    <w:rsid w:val="00EB74B9"/>
    <w:rsid w:val="00EB785A"/>
    <w:rsid w:val="00EB7D7E"/>
    <w:rsid w:val="00EC06F6"/>
    <w:rsid w:val="00EC0701"/>
    <w:rsid w:val="00EC076A"/>
    <w:rsid w:val="00EC0C3F"/>
    <w:rsid w:val="00EC0FCC"/>
    <w:rsid w:val="00EC1063"/>
    <w:rsid w:val="00EC11A9"/>
    <w:rsid w:val="00EC164E"/>
    <w:rsid w:val="00EC18C9"/>
    <w:rsid w:val="00EC26DB"/>
    <w:rsid w:val="00EC3525"/>
    <w:rsid w:val="00EC463B"/>
    <w:rsid w:val="00EC52DB"/>
    <w:rsid w:val="00EC5412"/>
    <w:rsid w:val="00EC5944"/>
    <w:rsid w:val="00EC5D6A"/>
    <w:rsid w:val="00EC6040"/>
    <w:rsid w:val="00EC7E70"/>
    <w:rsid w:val="00ED0636"/>
    <w:rsid w:val="00ED144E"/>
    <w:rsid w:val="00ED189E"/>
    <w:rsid w:val="00ED2961"/>
    <w:rsid w:val="00ED29C2"/>
    <w:rsid w:val="00ED375F"/>
    <w:rsid w:val="00ED3961"/>
    <w:rsid w:val="00ED42FF"/>
    <w:rsid w:val="00ED4B8B"/>
    <w:rsid w:val="00ED4E18"/>
    <w:rsid w:val="00ED5CD5"/>
    <w:rsid w:val="00ED61C8"/>
    <w:rsid w:val="00ED640C"/>
    <w:rsid w:val="00ED6D34"/>
    <w:rsid w:val="00ED6DEC"/>
    <w:rsid w:val="00ED6EC3"/>
    <w:rsid w:val="00ED713D"/>
    <w:rsid w:val="00ED74D5"/>
    <w:rsid w:val="00ED778D"/>
    <w:rsid w:val="00ED7B42"/>
    <w:rsid w:val="00EE006F"/>
    <w:rsid w:val="00EE03B1"/>
    <w:rsid w:val="00EE067A"/>
    <w:rsid w:val="00EE0727"/>
    <w:rsid w:val="00EE0918"/>
    <w:rsid w:val="00EE0A09"/>
    <w:rsid w:val="00EE1686"/>
    <w:rsid w:val="00EE1DDF"/>
    <w:rsid w:val="00EE2353"/>
    <w:rsid w:val="00EE262E"/>
    <w:rsid w:val="00EE27B0"/>
    <w:rsid w:val="00EE2B54"/>
    <w:rsid w:val="00EE2DF5"/>
    <w:rsid w:val="00EE4444"/>
    <w:rsid w:val="00EE4B24"/>
    <w:rsid w:val="00EE5445"/>
    <w:rsid w:val="00EE546C"/>
    <w:rsid w:val="00EE54EF"/>
    <w:rsid w:val="00EE6971"/>
    <w:rsid w:val="00EE6D8F"/>
    <w:rsid w:val="00EE7EB1"/>
    <w:rsid w:val="00EF07A6"/>
    <w:rsid w:val="00EF0B19"/>
    <w:rsid w:val="00EF0D6A"/>
    <w:rsid w:val="00EF1883"/>
    <w:rsid w:val="00EF1C18"/>
    <w:rsid w:val="00EF1CC2"/>
    <w:rsid w:val="00EF2A55"/>
    <w:rsid w:val="00EF3B2A"/>
    <w:rsid w:val="00EF4882"/>
    <w:rsid w:val="00EF48AC"/>
    <w:rsid w:val="00EF56DD"/>
    <w:rsid w:val="00EF57B4"/>
    <w:rsid w:val="00EF5C8C"/>
    <w:rsid w:val="00EF6345"/>
    <w:rsid w:val="00EF6FEC"/>
    <w:rsid w:val="00EF76EF"/>
    <w:rsid w:val="00EF7E2B"/>
    <w:rsid w:val="00F00396"/>
    <w:rsid w:val="00F00931"/>
    <w:rsid w:val="00F009AF"/>
    <w:rsid w:val="00F02ACD"/>
    <w:rsid w:val="00F02B9F"/>
    <w:rsid w:val="00F02DDE"/>
    <w:rsid w:val="00F03373"/>
    <w:rsid w:val="00F0371E"/>
    <w:rsid w:val="00F03743"/>
    <w:rsid w:val="00F03AEE"/>
    <w:rsid w:val="00F03B24"/>
    <w:rsid w:val="00F03EDE"/>
    <w:rsid w:val="00F04832"/>
    <w:rsid w:val="00F04B38"/>
    <w:rsid w:val="00F05990"/>
    <w:rsid w:val="00F05F5F"/>
    <w:rsid w:val="00F06089"/>
    <w:rsid w:val="00F06ECD"/>
    <w:rsid w:val="00F1007C"/>
    <w:rsid w:val="00F10F22"/>
    <w:rsid w:val="00F113FD"/>
    <w:rsid w:val="00F113FE"/>
    <w:rsid w:val="00F1199F"/>
    <w:rsid w:val="00F11A5D"/>
    <w:rsid w:val="00F1273C"/>
    <w:rsid w:val="00F12B37"/>
    <w:rsid w:val="00F12C82"/>
    <w:rsid w:val="00F12CB5"/>
    <w:rsid w:val="00F13004"/>
    <w:rsid w:val="00F13016"/>
    <w:rsid w:val="00F13828"/>
    <w:rsid w:val="00F1413E"/>
    <w:rsid w:val="00F143D8"/>
    <w:rsid w:val="00F14470"/>
    <w:rsid w:val="00F14548"/>
    <w:rsid w:val="00F151F4"/>
    <w:rsid w:val="00F156A2"/>
    <w:rsid w:val="00F15975"/>
    <w:rsid w:val="00F177F7"/>
    <w:rsid w:val="00F17AFF"/>
    <w:rsid w:val="00F17B7D"/>
    <w:rsid w:val="00F206F4"/>
    <w:rsid w:val="00F20A4D"/>
    <w:rsid w:val="00F20D1C"/>
    <w:rsid w:val="00F21074"/>
    <w:rsid w:val="00F217F0"/>
    <w:rsid w:val="00F21CC1"/>
    <w:rsid w:val="00F21DB9"/>
    <w:rsid w:val="00F21E06"/>
    <w:rsid w:val="00F2218A"/>
    <w:rsid w:val="00F2293A"/>
    <w:rsid w:val="00F23631"/>
    <w:rsid w:val="00F237E9"/>
    <w:rsid w:val="00F2423F"/>
    <w:rsid w:val="00F2467E"/>
    <w:rsid w:val="00F2541B"/>
    <w:rsid w:val="00F25758"/>
    <w:rsid w:val="00F26268"/>
    <w:rsid w:val="00F26393"/>
    <w:rsid w:val="00F26E66"/>
    <w:rsid w:val="00F26FBF"/>
    <w:rsid w:val="00F277B3"/>
    <w:rsid w:val="00F27F67"/>
    <w:rsid w:val="00F31B75"/>
    <w:rsid w:val="00F31D7B"/>
    <w:rsid w:val="00F32011"/>
    <w:rsid w:val="00F32098"/>
    <w:rsid w:val="00F32512"/>
    <w:rsid w:val="00F32B3C"/>
    <w:rsid w:val="00F32CF3"/>
    <w:rsid w:val="00F32E44"/>
    <w:rsid w:val="00F3400D"/>
    <w:rsid w:val="00F3436A"/>
    <w:rsid w:val="00F34D21"/>
    <w:rsid w:val="00F35024"/>
    <w:rsid w:val="00F351A2"/>
    <w:rsid w:val="00F35395"/>
    <w:rsid w:val="00F3545D"/>
    <w:rsid w:val="00F35786"/>
    <w:rsid w:val="00F368CC"/>
    <w:rsid w:val="00F36A50"/>
    <w:rsid w:val="00F36E17"/>
    <w:rsid w:val="00F36ECC"/>
    <w:rsid w:val="00F36FAE"/>
    <w:rsid w:val="00F37746"/>
    <w:rsid w:val="00F379C4"/>
    <w:rsid w:val="00F37A0A"/>
    <w:rsid w:val="00F37B6E"/>
    <w:rsid w:val="00F4028B"/>
    <w:rsid w:val="00F408DB"/>
    <w:rsid w:val="00F4096A"/>
    <w:rsid w:val="00F40A56"/>
    <w:rsid w:val="00F40ADA"/>
    <w:rsid w:val="00F40AF8"/>
    <w:rsid w:val="00F4198E"/>
    <w:rsid w:val="00F4376C"/>
    <w:rsid w:val="00F442D1"/>
    <w:rsid w:val="00F4465E"/>
    <w:rsid w:val="00F4507E"/>
    <w:rsid w:val="00F454DE"/>
    <w:rsid w:val="00F458CE"/>
    <w:rsid w:val="00F45908"/>
    <w:rsid w:val="00F46F93"/>
    <w:rsid w:val="00F47744"/>
    <w:rsid w:val="00F5007D"/>
    <w:rsid w:val="00F50175"/>
    <w:rsid w:val="00F507BE"/>
    <w:rsid w:val="00F52400"/>
    <w:rsid w:val="00F52705"/>
    <w:rsid w:val="00F52846"/>
    <w:rsid w:val="00F529CB"/>
    <w:rsid w:val="00F52A1A"/>
    <w:rsid w:val="00F52F3F"/>
    <w:rsid w:val="00F53B51"/>
    <w:rsid w:val="00F53EDA"/>
    <w:rsid w:val="00F54DDA"/>
    <w:rsid w:val="00F5535B"/>
    <w:rsid w:val="00F55F6A"/>
    <w:rsid w:val="00F56240"/>
    <w:rsid w:val="00F564D3"/>
    <w:rsid w:val="00F56B3F"/>
    <w:rsid w:val="00F56D3E"/>
    <w:rsid w:val="00F570E2"/>
    <w:rsid w:val="00F57313"/>
    <w:rsid w:val="00F57379"/>
    <w:rsid w:val="00F57F97"/>
    <w:rsid w:val="00F60160"/>
    <w:rsid w:val="00F605C1"/>
    <w:rsid w:val="00F60B6E"/>
    <w:rsid w:val="00F612FC"/>
    <w:rsid w:val="00F62082"/>
    <w:rsid w:val="00F6276A"/>
    <w:rsid w:val="00F62D5B"/>
    <w:rsid w:val="00F63A74"/>
    <w:rsid w:val="00F65550"/>
    <w:rsid w:val="00F6561B"/>
    <w:rsid w:val="00F65884"/>
    <w:rsid w:val="00F667E4"/>
    <w:rsid w:val="00F66BE0"/>
    <w:rsid w:val="00F66BEB"/>
    <w:rsid w:val="00F7011E"/>
    <w:rsid w:val="00F70493"/>
    <w:rsid w:val="00F7072A"/>
    <w:rsid w:val="00F7133F"/>
    <w:rsid w:val="00F715C2"/>
    <w:rsid w:val="00F72091"/>
    <w:rsid w:val="00F72116"/>
    <w:rsid w:val="00F724B8"/>
    <w:rsid w:val="00F72788"/>
    <w:rsid w:val="00F72802"/>
    <w:rsid w:val="00F72A0E"/>
    <w:rsid w:val="00F72BF4"/>
    <w:rsid w:val="00F72C66"/>
    <w:rsid w:val="00F73DFF"/>
    <w:rsid w:val="00F748C5"/>
    <w:rsid w:val="00F749CE"/>
    <w:rsid w:val="00F74B72"/>
    <w:rsid w:val="00F74B9B"/>
    <w:rsid w:val="00F74F70"/>
    <w:rsid w:val="00F74FD9"/>
    <w:rsid w:val="00F750CD"/>
    <w:rsid w:val="00F752C8"/>
    <w:rsid w:val="00F75642"/>
    <w:rsid w:val="00F75BE2"/>
    <w:rsid w:val="00F7705A"/>
    <w:rsid w:val="00F7708E"/>
    <w:rsid w:val="00F77482"/>
    <w:rsid w:val="00F77546"/>
    <w:rsid w:val="00F77FC6"/>
    <w:rsid w:val="00F806F5"/>
    <w:rsid w:val="00F81315"/>
    <w:rsid w:val="00F813EF"/>
    <w:rsid w:val="00F819CD"/>
    <w:rsid w:val="00F82625"/>
    <w:rsid w:val="00F82B2E"/>
    <w:rsid w:val="00F82CEA"/>
    <w:rsid w:val="00F838DA"/>
    <w:rsid w:val="00F84D64"/>
    <w:rsid w:val="00F85633"/>
    <w:rsid w:val="00F8669C"/>
    <w:rsid w:val="00F86AD3"/>
    <w:rsid w:val="00F87412"/>
    <w:rsid w:val="00F87F4F"/>
    <w:rsid w:val="00F90796"/>
    <w:rsid w:val="00F907D5"/>
    <w:rsid w:val="00F90B24"/>
    <w:rsid w:val="00F90CC8"/>
    <w:rsid w:val="00F91F22"/>
    <w:rsid w:val="00F91FD7"/>
    <w:rsid w:val="00F9222C"/>
    <w:rsid w:val="00F925C6"/>
    <w:rsid w:val="00F92BF2"/>
    <w:rsid w:val="00F92C9A"/>
    <w:rsid w:val="00F93E69"/>
    <w:rsid w:val="00F945AE"/>
    <w:rsid w:val="00F947B4"/>
    <w:rsid w:val="00F94D29"/>
    <w:rsid w:val="00F955D0"/>
    <w:rsid w:val="00F97349"/>
    <w:rsid w:val="00F9735D"/>
    <w:rsid w:val="00F973E5"/>
    <w:rsid w:val="00F97CA9"/>
    <w:rsid w:val="00FA03F3"/>
    <w:rsid w:val="00FA07AF"/>
    <w:rsid w:val="00FA0EB7"/>
    <w:rsid w:val="00FA13E8"/>
    <w:rsid w:val="00FA1932"/>
    <w:rsid w:val="00FA1C94"/>
    <w:rsid w:val="00FA21FE"/>
    <w:rsid w:val="00FA2365"/>
    <w:rsid w:val="00FA2AF6"/>
    <w:rsid w:val="00FA494C"/>
    <w:rsid w:val="00FA4A4A"/>
    <w:rsid w:val="00FA632E"/>
    <w:rsid w:val="00FA71BB"/>
    <w:rsid w:val="00FA752C"/>
    <w:rsid w:val="00FA77EA"/>
    <w:rsid w:val="00FA7BC6"/>
    <w:rsid w:val="00FA7CAA"/>
    <w:rsid w:val="00FB0B7B"/>
    <w:rsid w:val="00FB0E25"/>
    <w:rsid w:val="00FB1343"/>
    <w:rsid w:val="00FB15EB"/>
    <w:rsid w:val="00FB19FE"/>
    <w:rsid w:val="00FB2039"/>
    <w:rsid w:val="00FB24C2"/>
    <w:rsid w:val="00FB2945"/>
    <w:rsid w:val="00FB2D3F"/>
    <w:rsid w:val="00FB3487"/>
    <w:rsid w:val="00FB38FE"/>
    <w:rsid w:val="00FB3C60"/>
    <w:rsid w:val="00FB40AB"/>
    <w:rsid w:val="00FB41BD"/>
    <w:rsid w:val="00FB6836"/>
    <w:rsid w:val="00FB7379"/>
    <w:rsid w:val="00FB7557"/>
    <w:rsid w:val="00FB7E5A"/>
    <w:rsid w:val="00FC00D8"/>
    <w:rsid w:val="00FC0262"/>
    <w:rsid w:val="00FC05C1"/>
    <w:rsid w:val="00FC10DC"/>
    <w:rsid w:val="00FC201A"/>
    <w:rsid w:val="00FC27FC"/>
    <w:rsid w:val="00FC2963"/>
    <w:rsid w:val="00FC37C6"/>
    <w:rsid w:val="00FC3CFF"/>
    <w:rsid w:val="00FC49FD"/>
    <w:rsid w:val="00FC6427"/>
    <w:rsid w:val="00FC669C"/>
    <w:rsid w:val="00FC6F05"/>
    <w:rsid w:val="00FC6F8E"/>
    <w:rsid w:val="00FC7203"/>
    <w:rsid w:val="00FC7299"/>
    <w:rsid w:val="00FC7C29"/>
    <w:rsid w:val="00FD0471"/>
    <w:rsid w:val="00FD04E9"/>
    <w:rsid w:val="00FD0C74"/>
    <w:rsid w:val="00FD0D73"/>
    <w:rsid w:val="00FD0DAB"/>
    <w:rsid w:val="00FD1E37"/>
    <w:rsid w:val="00FD1F62"/>
    <w:rsid w:val="00FD24C8"/>
    <w:rsid w:val="00FD2CE8"/>
    <w:rsid w:val="00FD3096"/>
    <w:rsid w:val="00FD34E4"/>
    <w:rsid w:val="00FD3DFE"/>
    <w:rsid w:val="00FD3F86"/>
    <w:rsid w:val="00FD423F"/>
    <w:rsid w:val="00FD4D69"/>
    <w:rsid w:val="00FD4E41"/>
    <w:rsid w:val="00FD5ACD"/>
    <w:rsid w:val="00FD5D8C"/>
    <w:rsid w:val="00FD60AB"/>
    <w:rsid w:val="00FD63BA"/>
    <w:rsid w:val="00FD6DE3"/>
    <w:rsid w:val="00FD70AF"/>
    <w:rsid w:val="00FD70F8"/>
    <w:rsid w:val="00FD7769"/>
    <w:rsid w:val="00FD7791"/>
    <w:rsid w:val="00FE03DA"/>
    <w:rsid w:val="00FE092C"/>
    <w:rsid w:val="00FE1683"/>
    <w:rsid w:val="00FE251D"/>
    <w:rsid w:val="00FE2CAE"/>
    <w:rsid w:val="00FE3161"/>
    <w:rsid w:val="00FE31D4"/>
    <w:rsid w:val="00FE4A2C"/>
    <w:rsid w:val="00FE4EE6"/>
    <w:rsid w:val="00FE5ECC"/>
    <w:rsid w:val="00FE6970"/>
    <w:rsid w:val="00FE6D8B"/>
    <w:rsid w:val="00FE6E03"/>
    <w:rsid w:val="00FE6F3E"/>
    <w:rsid w:val="00FE7C0A"/>
    <w:rsid w:val="00FE7D86"/>
    <w:rsid w:val="00FE7FB4"/>
    <w:rsid w:val="00FF0934"/>
    <w:rsid w:val="00FF09D9"/>
    <w:rsid w:val="00FF0D47"/>
    <w:rsid w:val="00FF117E"/>
    <w:rsid w:val="00FF1613"/>
    <w:rsid w:val="00FF1EA3"/>
    <w:rsid w:val="00FF28EB"/>
    <w:rsid w:val="00FF2A85"/>
    <w:rsid w:val="00FF2B0F"/>
    <w:rsid w:val="00FF3183"/>
    <w:rsid w:val="00FF3740"/>
    <w:rsid w:val="00FF3752"/>
    <w:rsid w:val="00FF3DF8"/>
    <w:rsid w:val="00FF4357"/>
    <w:rsid w:val="00FF4606"/>
    <w:rsid w:val="00FF4B98"/>
    <w:rsid w:val="00FF5A2C"/>
    <w:rsid w:val="00FF6D35"/>
    <w:rsid w:val="00FF6F15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iPriority="1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E8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640D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74C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40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74C64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customStyle="1" w:styleId="Kapitoly">
    <w:name w:val="Kapitoly"/>
    <w:basedOn w:val="Normln"/>
    <w:qFormat/>
    <w:rsid w:val="00CB2C6A"/>
    <w:pPr>
      <w:spacing w:after="0" w:line="240" w:lineRule="auto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ploha">
    <w:name w:val="příloha"/>
    <w:basedOn w:val="Normln"/>
    <w:qFormat/>
    <w:rsid w:val="004719ED"/>
    <w:pPr>
      <w:jc w:val="both"/>
    </w:pPr>
    <w:rPr>
      <w:rFonts w:eastAsia="Times New Roman"/>
    </w:rPr>
  </w:style>
  <w:style w:type="paragraph" w:styleId="Zkladntext2">
    <w:name w:val="Body Text 2"/>
    <w:basedOn w:val="Normln"/>
    <w:link w:val="Zkladntext2Char"/>
    <w:uiPriority w:val="99"/>
    <w:rsid w:val="009B4FFE"/>
    <w:pPr>
      <w:spacing w:after="0" w:line="360" w:lineRule="auto"/>
      <w:jc w:val="both"/>
    </w:pPr>
    <w:rPr>
      <w:rFonts w:eastAsia="Times New Roman"/>
      <w:i/>
      <w:iCs/>
    </w:rPr>
  </w:style>
  <w:style w:type="character" w:customStyle="1" w:styleId="Zkladntext2Char">
    <w:name w:val="Základní text 2 Char"/>
    <w:link w:val="Zkladntext2"/>
    <w:uiPriority w:val="99"/>
    <w:rsid w:val="009B4FFE"/>
    <w:rPr>
      <w:rFonts w:ascii="Arial" w:hAnsi="Arial" w:cs="Arial"/>
      <w:i/>
      <w:iCs/>
      <w:sz w:val="24"/>
      <w:szCs w:val="24"/>
    </w:r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4D72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4D72D0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uiPriority w:val="99"/>
    <w:rsid w:val="004D72D0"/>
    <w:rPr>
      <w:vertAlign w:val="superscript"/>
    </w:rPr>
  </w:style>
  <w:style w:type="paragraph" w:customStyle="1" w:styleId="Default">
    <w:name w:val="Default"/>
    <w:rsid w:val="008819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21126"/>
    <w:pPr>
      <w:ind w:left="720"/>
    </w:pPr>
    <w:rPr>
      <w:rFonts w:ascii="Calibri" w:eastAsia="MS Mincho" w:hAnsi="Calibri" w:cs="Calibri"/>
    </w:rPr>
  </w:style>
  <w:style w:type="paragraph" w:styleId="Zkladntext">
    <w:name w:val="Body Text"/>
    <w:basedOn w:val="Normln"/>
    <w:link w:val="ZkladntextChar"/>
    <w:uiPriority w:val="99"/>
    <w:rsid w:val="002F1D83"/>
    <w:pPr>
      <w:spacing w:after="120"/>
    </w:pPr>
  </w:style>
  <w:style w:type="character" w:customStyle="1" w:styleId="ZkladntextChar">
    <w:name w:val="Základní text Char"/>
    <w:link w:val="Zkladntext"/>
    <w:uiPriority w:val="99"/>
    <w:rsid w:val="002F1D83"/>
    <w:rPr>
      <w:rFonts w:ascii="Arial" w:hAnsi="Arial" w:cs="Arial"/>
    </w:rPr>
  </w:style>
  <w:style w:type="table" w:styleId="Mkatabulky">
    <w:name w:val="Table Grid"/>
    <w:basedOn w:val="Normlntabulka"/>
    <w:uiPriority w:val="59"/>
    <w:rsid w:val="00D42F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0A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rsid w:val="000A71C6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0A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0A71C6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rsid w:val="009A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1D7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6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1182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1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1182"/>
    <w:rPr>
      <w:rFonts w:ascii="Arial" w:hAnsi="Arial" w:cs="Arial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D61182"/>
    <w:rPr>
      <w:rFonts w:ascii="Arial" w:hAnsi="Arial" w:cs="Arial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90334D"/>
  </w:style>
  <w:style w:type="character" w:customStyle="1" w:styleId="Nadpis1Char">
    <w:name w:val="Nadpis 1 Char"/>
    <w:link w:val="Nadpis1"/>
    <w:uiPriority w:val="9"/>
    <w:rsid w:val="008640D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8640D2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Normlnweb">
    <w:name w:val="Normal (Web)"/>
    <w:basedOn w:val="Normln"/>
    <w:rsid w:val="0074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742563"/>
    <w:rPr>
      <w:b/>
      <w:bCs/>
    </w:rPr>
  </w:style>
  <w:style w:type="character" w:styleId="Hypertextovodkaz">
    <w:name w:val="Hyperlink"/>
    <w:uiPriority w:val="99"/>
    <w:rsid w:val="00D6536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3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403926"/>
    <w:rPr>
      <w:rFonts w:ascii="Courier New" w:eastAsia="Times New Roman" w:hAnsi="Courier New" w:cs="Courier New"/>
    </w:rPr>
  </w:style>
  <w:style w:type="paragraph" w:customStyle="1" w:styleId="odst1">
    <w:name w:val="odst 1"/>
    <w:basedOn w:val="Normln"/>
    <w:qFormat/>
    <w:rsid w:val="00081E42"/>
    <w:pPr>
      <w:spacing w:line="240" w:lineRule="auto"/>
      <w:jc w:val="both"/>
    </w:pPr>
  </w:style>
  <w:style w:type="character" w:customStyle="1" w:styleId="OdstavecseseznamemChar">
    <w:name w:val="Odstavec se seznamem Char"/>
    <w:link w:val="Odstavecseseznamem"/>
    <w:uiPriority w:val="34"/>
    <w:rsid w:val="00C50298"/>
    <w:rPr>
      <w:rFonts w:eastAsia="MS Mincho" w:cs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C30FAF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val="x-none" w:eastAsia="x-none"/>
    </w:rPr>
  </w:style>
  <w:style w:type="character" w:customStyle="1" w:styleId="NzevChar">
    <w:name w:val="Název Char"/>
    <w:link w:val="Nzev"/>
    <w:rsid w:val="00C30FAF"/>
    <w:rPr>
      <w:rFonts w:ascii="Arial" w:eastAsia="Times New Roman" w:hAnsi="Arial"/>
      <w:b/>
      <w:sz w:val="32"/>
      <w:lang w:val="x-none" w:eastAsia="x-none"/>
    </w:rPr>
  </w:style>
  <w:style w:type="character" w:styleId="Zvraznn">
    <w:name w:val="Emphasis"/>
    <w:uiPriority w:val="20"/>
    <w:qFormat/>
    <w:rsid w:val="00750860"/>
    <w:rPr>
      <w:b/>
      <w:bCs/>
      <w:i w:val="0"/>
      <w:iCs w:val="0"/>
    </w:rPr>
  </w:style>
  <w:style w:type="character" w:customStyle="1" w:styleId="st">
    <w:name w:val="st"/>
    <w:rsid w:val="00750860"/>
  </w:style>
  <w:style w:type="paragraph" w:customStyle="1" w:styleId="Zkladntext21">
    <w:name w:val="Základní text 21"/>
    <w:basedOn w:val="Normln"/>
    <w:rsid w:val="001A5B20"/>
    <w:pPr>
      <w:overflowPunct w:val="0"/>
      <w:autoSpaceDE w:val="0"/>
      <w:autoSpaceDN w:val="0"/>
      <w:adjustRightInd w:val="0"/>
      <w:spacing w:before="120"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iPriority="1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E8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640D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74C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40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74C64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customStyle="1" w:styleId="Kapitoly">
    <w:name w:val="Kapitoly"/>
    <w:basedOn w:val="Normln"/>
    <w:qFormat/>
    <w:rsid w:val="00CB2C6A"/>
    <w:pPr>
      <w:spacing w:after="0" w:line="240" w:lineRule="auto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ploha">
    <w:name w:val="příloha"/>
    <w:basedOn w:val="Normln"/>
    <w:qFormat/>
    <w:rsid w:val="004719ED"/>
    <w:pPr>
      <w:jc w:val="both"/>
    </w:pPr>
    <w:rPr>
      <w:rFonts w:eastAsia="Times New Roman"/>
    </w:rPr>
  </w:style>
  <w:style w:type="paragraph" w:styleId="Zkladntext2">
    <w:name w:val="Body Text 2"/>
    <w:basedOn w:val="Normln"/>
    <w:link w:val="Zkladntext2Char"/>
    <w:uiPriority w:val="99"/>
    <w:rsid w:val="009B4FFE"/>
    <w:pPr>
      <w:spacing w:after="0" w:line="360" w:lineRule="auto"/>
      <w:jc w:val="both"/>
    </w:pPr>
    <w:rPr>
      <w:rFonts w:eastAsia="Times New Roman"/>
      <w:i/>
      <w:iCs/>
    </w:rPr>
  </w:style>
  <w:style w:type="character" w:customStyle="1" w:styleId="Zkladntext2Char">
    <w:name w:val="Základní text 2 Char"/>
    <w:link w:val="Zkladntext2"/>
    <w:uiPriority w:val="99"/>
    <w:rsid w:val="009B4FFE"/>
    <w:rPr>
      <w:rFonts w:ascii="Arial" w:hAnsi="Arial" w:cs="Arial"/>
      <w:i/>
      <w:iCs/>
      <w:sz w:val="24"/>
      <w:szCs w:val="24"/>
    </w:r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4D72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4D72D0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uiPriority w:val="99"/>
    <w:rsid w:val="004D72D0"/>
    <w:rPr>
      <w:vertAlign w:val="superscript"/>
    </w:rPr>
  </w:style>
  <w:style w:type="paragraph" w:customStyle="1" w:styleId="Default">
    <w:name w:val="Default"/>
    <w:rsid w:val="008819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21126"/>
    <w:pPr>
      <w:ind w:left="720"/>
    </w:pPr>
    <w:rPr>
      <w:rFonts w:ascii="Calibri" w:eastAsia="MS Mincho" w:hAnsi="Calibri" w:cs="Calibri"/>
    </w:rPr>
  </w:style>
  <w:style w:type="paragraph" w:styleId="Zkladntext">
    <w:name w:val="Body Text"/>
    <w:basedOn w:val="Normln"/>
    <w:link w:val="ZkladntextChar"/>
    <w:uiPriority w:val="99"/>
    <w:rsid w:val="002F1D83"/>
    <w:pPr>
      <w:spacing w:after="120"/>
    </w:pPr>
  </w:style>
  <w:style w:type="character" w:customStyle="1" w:styleId="ZkladntextChar">
    <w:name w:val="Základní text Char"/>
    <w:link w:val="Zkladntext"/>
    <w:uiPriority w:val="99"/>
    <w:rsid w:val="002F1D83"/>
    <w:rPr>
      <w:rFonts w:ascii="Arial" w:hAnsi="Arial" w:cs="Arial"/>
    </w:rPr>
  </w:style>
  <w:style w:type="table" w:styleId="Mkatabulky">
    <w:name w:val="Table Grid"/>
    <w:basedOn w:val="Normlntabulka"/>
    <w:uiPriority w:val="59"/>
    <w:rsid w:val="00D42F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0A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rsid w:val="000A71C6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0A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0A71C6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rsid w:val="009A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1D7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6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1182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1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1182"/>
    <w:rPr>
      <w:rFonts w:ascii="Arial" w:hAnsi="Arial" w:cs="Arial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D61182"/>
    <w:rPr>
      <w:rFonts w:ascii="Arial" w:hAnsi="Arial" w:cs="Arial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90334D"/>
  </w:style>
  <w:style w:type="character" w:customStyle="1" w:styleId="Nadpis1Char">
    <w:name w:val="Nadpis 1 Char"/>
    <w:link w:val="Nadpis1"/>
    <w:uiPriority w:val="9"/>
    <w:rsid w:val="008640D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8640D2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Normlnweb">
    <w:name w:val="Normal (Web)"/>
    <w:basedOn w:val="Normln"/>
    <w:rsid w:val="0074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742563"/>
    <w:rPr>
      <w:b/>
      <w:bCs/>
    </w:rPr>
  </w:style>
  <w:style w:type="character" w:styleId="Hypertextovodkaz">
    <w:name w:val="Hyperlink"/>
    <w:uiPriority w:val="99"/>
    <w:rsid w:val="00D6536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3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403926"/>
    <w:rPr>
      <w:rFonts w:ascii="Courier New" w:eastAsia="Times New Roman" w:hAnsi="Courier New" w:cs="Courier New"/>
    </w:rPr>
  </w:style>
  <w:style w:type="paragraph" w:customStyle="1" w:styleId="odst1">
    <w:name w:val="odst 1"/>
    <w:basedOn w:val="Normln"/>
    <w:qFormat/>
    <w:rsid w:val="00081E42"/>
    <w:pPr>
      <w:spacing w:line="240" w:lineRule="auto"/>
      <w:jc w:val="both"/>
    </w:pPr>
  </w:style>
  <w:style w:type="character" w:customStyle="1" w:styleId="OdstavecseseznamemChar">
    <w:name w:val="Odstavec se seznamem Char"/>
    <w:link w:val="Odstavecseseznamem"/>
    <w:uiPriority w:val="34"/>
    <w:rsid w:val="00C50298"/>
    <w:rPr>
      <w:rFonts w:eastAsia="MS Mincho" w:cs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C30FAF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val="x-none" w:eastAsia="x-none"/>
    </w:rPr>
  </w:style>
  <w:style w:type="character" w:customStyle="1" w:styleId="NzevChar">
    <w:name w:val="Název Char"/>
    <w:link w:val="Nzev"/>
    <w:rsid w:val="00C30FAF"/>
    <w:rPr>
      <w:rFonts w:ascii="Arial" w:eastAsia="Times New Roman" w:hAnsi="Arial"/>
      <w:b/>
      <w:sz w:val="32"/>
      <w:lang w:val="x-none" w:eastAsia="x-none"/>
    </w:rPr>
  </w:style>
  <w:style w:type="character" w:styleId="Zvraznn">
    <w:name w:val="Emphasis"/>
    <w:uiPriority w:val="20"/>
    <w:qFormat/>
    <w:rsid w:val="00750860"/>
    <w:rPr>
      <w:b/>
      <w:bCs/>
      <w:i w:val="0"/>
      <w:iCs w:val="0"/>
    </w:rPr>
  </w:style>
  <w:style w:type="character" w:customStyle="1" w:styleId="st">
    <w:name w:val="st"/>
    <w:rsid w:val="00750860"/>
  </w:style>
  <w:style w:type="paragraph" w:customStyle="1" w:styleId="Zkladntext21">
    <w:name w:val="Základní text 21"/>
    <w:basedOn w:val="Normln"/>
    <w:rsid w:val="001A5B20"/>
    <w:pPr>
      <w:overflowPunct w:val="0"/>
      <w:autoSpaceDE w:val="0"/>
      <w:autoSpaceDN w:val="0"/>
      <w:adjustRightInd w:val="0"/>
      <w:spacing w:before="120"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951">
      <w:bodyDiv w:val="1"/>
      <w:marLeft w:val="88"/>
      <w:marRight w:val="88"/>
      <w:marTop w:val="88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F9D3-53E0-428E-92DF-1185BA5D519C}"/>
</file>

<file path=customXml/itemProps2.xml><?xml version="1.0" encoding="utf-8"?>
<ds:datastoreItem xmlns:ds="http://schemas.openxmlformats.org/officeDocument/2006/customXml" ds:itemID="{AE51C268-9BBD-4642-BB1D-6C5EEF9DAD53}"/>
</file>

<file path=customXml/itemProps3.xml><?xml version="1.0" encoding="utf-8"?>
<ds:datastoreItem xmlns:ds="http://schemas.openxmlformats.org/officeDocument/2006/customXml" ds:itemID="{D3C8E881-554F-4045-A7CE-8A4D87D9C901}"/>
</file>

<file path=customXml/itemProps4.xml><?xml version="1.0" encoding="utf-8"?>
<ds:datastoreItem xmlns:ds="http://schemas.openxmlformats.org/officeDocument/2006/customXml" ds:itemID="{0F71397B-1016-40F7-8A8C-23BEEF3C0CCB}"/>
</file>

<file path=customXml/itemProps5.xml><?xml version="1.0" encoding="utf-8"?>
<ds:datastoreItem xmlns:ds="http://schemas.openxmlformats.org/officeDocument/2006/customXml" ds:itemID="{0F6A3447-71D7-480B-8E34-619B46A4E48C}"/>
</file>

<file path=customXml/itemProps6.xml><?xml version="1.0" encoding="utf-8"?>
<ds:datastoreItem xmlns:ds="http://schemas.openxmlformats.org/officeDocument/2006/customXml" ds:itemID="{393A13B5-760E-43A7-B31D-31FBD894F7AC}"/>
</file>

<file path=customXml/itemProps7.xml><?xml version="1.0" encoding="utf-8"?>
<ds:datastoreItem xmlns:ds="http://schemas.openxmlformats.org/officeDocument/2006/customXml" ds:itemID="{6F453E96-0704-4E31-B00D-30F542EB0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4229</Words>
  <Characters>24674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Nejvyšší kontrolní úřad</Company>
  <LinksUpToDate>false</LinksUpToDate>
  <CharactersWithSpaces>28846</CharactersWithSpaces>
  <SharedDoc>false</SharedDoc>
  <HLinks>
    <vt:vector size="24" baseType="variant"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http://www.fnusa.cz/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http://bulovka.cz/</vt:lpwstr>
      </vt:variant>
      <vt:variant>
        <vt:lpwstr/>
      </vt:variant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http://www.fnusa.cz/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http://www.fnmotol.cz/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12/03</dc:title>
  <dc:creator>TOPINKA Lukáš</dc:creator>
  <cp:lastModifiedBy>GREŠOVÁ Romana</cp:lastModifiedBy>
  <cp:revision>4</cp:revision>
  <cp:lastPrinted>2013-02-25T13:40:00Z</cp:lastPrinted>
  <dcterms:created xsi:type="dcterms:W3CDTF">2013-02-28T09:31:00Z</dcterms:created>
  <dcterms:modified xsi:type="dcterms:W3CDTF">2013-03-01T14:05:00Z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759559351</vt:i4>
  </property>
  <property fmtid="{D5CDD505-2E9C-101B-9397-08002B2CF9AE}" pid="3" name="ContentTypeId">
    <vt:lpwstr>0x0101002F7A625AE9F5AB4A939F92BCAA7FEC02</vt:lpwstr>
  </property>
  <property fmtid="{D5CDD505-2E9C-101B-9397-08002B2CF9AE}" pid="4" name="CJ">
    <vt:lpwstr>10/14-NKU30/373/11</vt:lpwstr>
  </property>
  <property fmtid="{D5CDD505-2E9C-101B-9397-08002B2CF9AE}" pid="5" name="SZ_Spis_Pisemnost">
    <vt:lpwstr>10/14</vt:lpwstr>
  </property>
  <property fmtid="{D5CDD505-2E9C-101B-9397-08002B2CF9AE}" pid="6" name="DisplayName_SpisovyUzel_PoziceZodpo_Pisemnost">
    <vt:lpwstr>30</vt:lpwstr>
  </property>
  <property fmtid="{D5CDD505-2E9C-101B-9397-08002B2CF9AE}" pid="7" name="Zkratka_SpisovyUzel_PoziceZodpo_Pisemnost">
    <vt:lpwstr>30</vt:lpwstr>
  </property>
  <property fmtid="{D5CDD505-2E9C-101B-9397-08002B2CF9AE}" pid="8" name="Key_BarCode_Pisemnost">
    <vt:lpwstr>*B000125326*</vt:lpwstr>
  </property>
  <property fmtid="{D5CDD505-2E9C-101B-9397-08002B2CF9AE}" pid="9" name="EC_Pisemnost">
    <vt:lpwstr>11-5498</vt:lpwstr>
  </property>
  <property fmtid="{D5CDD505-2E9C-101B-9397-08002B2CF9AE}" pid="10" name="Odkaz">
    <vt:lpwstr>odkaz</vt:lpwstr>
  </property>
  <property fmtid="{D5CDD505-2E9C-101B-9397-08002B2CF9AE}" pid="11" name="SkartacniZnakLhuta_PisemnostZnak">
    <vt:lpwstr>/0</vt:lpwstr>
  </property>
  <property fmtid="{D5CDD505-2E9C-101B-9397-08002B2CF9AE}" pid="12" name="CJ_Spis_Pisemnost">
    <vt:lpwstr>CJ/SPIS/ROK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/>
  </property>
</Properties>
</file>