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BA" w:rsidRPr="000745BA" w:rsidRDefault="000745BA" w:rsidP="00821EB2">
      <w:pPr>
        <w:pStyle w:val="NadpisKZ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745BA">
        <w:rPr>
          <w:rFonts w:ascii="Arial" w:hAnsi="Arial" w:cs="Arial"/>
          <w:b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2706AE3" wp14:editId="3DC15F1B">
            <wp:simplePos x="0" y="0"/>
            <wp:positionH relativeFrom="column">
              <wp:posOffset>2483485</wp:posOffset>
            </wp:positionH>
            <wp:positionV relativeFrom="paragraph">
              <wp:posOffset>-274320</wp:posOffset>
            </wp:positionV>
            <wp:extent cx="790575" cy="552450"/>
            <wp:effectExtent l="0" t="0" r="0" b="0"/>
            <wp:wrapTopAndBottom/>
            <wp:docPr id="1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5BA" w:rsidRPr="000745BA" w:rsidRDefault="000745BA" w:rsidP="00821EB2">
      <w:pPr>
        <w:pStyle w:val="NadpisKZ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4B31D5" w:rsidRPr="000745BA" w:rsidRDefault="004B31D5" w:rsidP="00821EB2">
      <w:pPr>
        <w:pStyle w:val="NadpisKZ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4B31D5" w:rsidRPr="000745BA" w:rsidRDefault="004B31D5" w:rsidP="00821EB2">
      <w:pPr>
        <w:pStyle w:val="NadpisKZ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0745BA">
        <w:rPr>
          <w:rFonts w:ascii="Arial" w:hAnsi="Arial" w:cs="Arial"/>
          <w:sz w:val="28"/>
          <w:szCs w:val="28"/>
        </w:rPr>
        <w:t>Kontrolní závěr z kontrolní akce</w:t>
      </w:r>
    </w:p>
    <w:p w:rsidR="0037415F" w:rsidRPr="000745BA" w:rsidRDefault="0037415F" w:rsidP="00821EB2">
      <w:pPr>
        <w:pStyle w:val="NadpisKZ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4B31D5" w:rsidRPr="000745BA" w:rsidRDefault="004B31D5" w:rsidP="00821EB2">
      <w:pPr>
        <w:pStyle w:val="NadpisKZ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0745BA">
        <w:rPr>
          <w:rFonts w:ascii="Arial" w:hAnsi="Arial" w:cs="Arial"/>
          <w:sz w:val="28"/>
          <w:szCs w:val="28"/>
        </w:rPr>
        <w:t>12/09</w:t>
      </w:r>
    </w:p>
    <w:p w:rsidR="004B31D5" w:rsidRPr="000745BA" w:rsidRDefault="004B31D5" w:rsidP="00821EB2">
      <w:pPr>
        <w:pStyle w:val="NadpisKZ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4B31D5" w:rsidRPr="000745BA" w:rsidRDefault="004B31D5" w:rsidP="00821EB2">
      <w:pPr>
        <w:pStyle w:val="NadpisKZ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0745BA">
        <w:rPr>
          <w:rFonts w:ascii="Arial" w:hAnsi="Arial" w:cs="Arial"/>
          <w:sz w:val="28"/>
          <w:szCs w:val="28"/>
        </w:rPr>
        <w:t>Peněžní prostředky vynaložené v</w:t>
      </w:r>
      <w:r w:rsidR="005366B0">
        <w:rPr>
          <w:rFonts w:ascii="Arial" w:hAnsi="Arial" w:cs="Arial"/>
          <w:sz w:val="28"/>
          <w:szCs w:val="28"/>
        </w:rPr>
        <w:t> </w:t>
      </w:r>
      <w:r w:rsidRPr="000745BA">
        <w:rPr>
          <w:rFonts w:ascii="Arial" w:hAnsi="Arial" w:cs="Arial"/>
          <w:sz w:val="28"/>
          <w:szCs w:val="28"/>
        </w:rPr>
        <w:t>souvislosti s</w:t>
      </w:r>
      <w:r w:rsidR="005366B0">
        <w:rPr>
          <w:rFonts w:ascii="Arial" w:hAnsi="Arial" w:cs="Arial"/>
          <w:sz w:val="28"/>
          <w:szCs w:val="28"/>
        </w:rPr>
        <w:t> </w:t>
      </w:r>
      <w:r w:rsidRPr="000745BA">
        <w:rPr>
          <w:rFonts w:ascii="Arial" w:hAnsi="Arial" w:cs="Arial"/>
          <w:sz w:val="28"/>
          <w:szCs w:val="28"/>
        </w:rPr>
        <w:t>budováním informačního systému Státní pokladny</w:t>
      </w:r>
    </w:p>
    <w:p w:rsidR="00725ECE" w:rsidRPr="000745BA" w:rsidRDefault="00725ECE" w:rsidP="00114F5B">
      <w:pPr>
        <w:spacing w:before="0"/>
        <w:rPr>
          <w:sz w:val="22"/>
          <w:szCs w:val="22"/>
        </w:rPr>
      </w:pPr>
    </w:p>
    <w:p w:rsidR="004B31D5" w:rsidRPr="00BD069E" w:rsidRDefault="004B31D5" w:rsidP="00114F5B">
      <w:pPr>
        <w:spacing w:before="0"/>
        <w:rPr>
          <w:sz w:val="22"/>
          <w:szCs w:val="22"/>
        </w:rPr>
      </w:pPr>
    </w:p>
    <w:p w:rsidR="004D5CE1" w:rsidRPr="002319CD" w:rsidRDefault="004D5CE1" w:rsidP="004D5CE1">
      <w:pPr>
        <w:spacing w:before="0"/>
        <w:rPr>
          <w:sz w:val="22"/>
          <w:szCs w:val="22"/>
        </w:rPr>
      </w:pPr>
      <w:r w:rsidRPr="002319CD">
        <w:rPr>
          <w:sz w:val="22"/>
          <w:szCs w:val="22"/>
        </w:rPr>
        <w:t>Kontrolní akce byla zařazena do plánu kontrolní činnosti Nejvyššího kontrolního úřadu (dále jen „NKÚ“) na rok 201</w:t>
      </w:r>
      <w:r w:rsidR="00EA02CC">
        <w:rPr>
          <w:sz w:val="22"/>
          <w:szCs w:val="22"/>
        </w:rPr>
        <w:t>2</w:t>
      </w:r>
      <w:r>
        <w:rPr>
          <w:sz w:val="22"/>
          <w:szCs w:val="22"/>
        </w:rPr>
        <w:t xml:space="preserve"> pod číslem 12</w:t>
      </w:r>
      <w:r w:rsidRPr="002319CD">
        <w:rPr>
          <w:sz w:val="22"/>
          <w:szCs w:val="22"/>
        </w:rPr>
        <w:t>/</w:t>
      </w:r>
      <w:r>
        <w:rPr>
          <w:sz w:val="22"/>
          <w:szCs w:val="22"/>
        </w:rPr>
        <w:t>09. Kontrolní akci řídil a </w:t>
      </w:r>
      <w:r w:rsidRPr="002319CD">
        <w:rPr>
          <w:sz w:val="22"/>
          <w:szCs w:val="22"/>
        </w:rPr>
        <w:t>kontrolní závěr vypracoval člen</w:t>
      </w:r>
      <w:r>
        <w:rPr>
          <w:sz w:val="22"/>
          <w:szCs w:val="22"/>
        </w:rPr>
        <w:t> NKÚ Ing. </w:t>
      </w:r>
      <w:r w:rsidRPr="002319CD">
        <w:rPr>
          <w:sz w:val="22"/>
          <w:szCs w:val="22"/>
        </w:rPr>
        <w:t xml:space="preserve">Daniel </w:t>
      </w:r>
      <w:proofErr w:type="spellStart"/>
      <w:r w:rsidRPr="002319CD">
        <w:rPr>
          <w:sz w:val="22"/>
          <w:szCs w:val="22"/>
        </w:rPr>
        <w:t>Reisiegel</w:t>
      </w:r>
      <w:proofErr w:type="spellEnd"/>
      <w:r w:rsidRPr="002319CD">
        <w:rPr>
          <w:sz w:val="22"/>
          <w:szCs w:val="22"/>
        </w:rPr>
        <w:t>, MPA.</w:t>
      </w:r>
    </w:p>
    <w:p w:rsidR="004D5CE1" w:rsidRPr="002319CD" w:rsidRDefault="004D5CE1" w:rsidP="004D5CE1">
      <w:pPr>
        <w:spacing w:before="0"/>
        <w:rPr>
          <w:sz w:val="22"/>
          <w:szCs w:val="22"/>
        </w:rPr>
      </w:pPr>
    </w:p>
    <w:p w:rsidR="004D5CE1" w:rsidRPr="002319CD" w:rsidRDefault="004D5CE1" w:rsidP="004D5CE1">
      <w:pPr>
        <w:spacing w:before="0"/>
        <w:rPr>
          <w:sz w:val="22"/>
          <w:szCs w:val="22"/>
        </w:rPr>
      </w:pPr>
      <w:r w:rsidRPr="001D5DA3">
        <w:rPr>
          <w:sz w:val="22"/>
          <w:szCs w:val="22"/>
        </w:rPr>
        <w:t>Cílem kontroly bylo p</w:t>
      </w:r>
      <w:r w:rsidRPr="001D5DA3">
        <w:rPr>
          <w:iCs/>
          <w:sz w:val="22"/>
          <w:szCs w:val="22"/>
        </w:rPr>
        <w:t xml:space="preserve">rověřit </w:t>
      </w:r>
      <w:r w:rsidR="001D5DA3" w:rsidRPr="001D5DA3">
        <w:rPr>
          <w:iCs/>
          <w:sz w:val="22"/>
          <w:szCs w:val="22"/>
        </w:rPr>
        <w:t xml:space="preserve">použití </w:t>
      </w:r>
      <w:r w:rsidRPr="001D5DA3">
        <w:rPr>
          <w:iCs/>
          <w:sz w:val="22"/>
          <w:szCs w:val="22"/>
        </w:rPr>
        <w:t>peněžní</w:t>
      </w:r>
      <w:r w:rsidR="001D5DA3" w:rsidRPr="001D5DA3">
        <w:rPr>
          <w:iCs/>
          <w:sz w:val="22"/>
          <w:szCs w:val="22"/>
        </w:rPr>
        <w:t>ch prostředků vynaložených</w:t>
      </w:r>
      <w:r w:rsidRPr="001D5DA3">
        <w:rPr>
          <w:iCs/>
          <w:sz w:val="22"/>
          <w:szCs w:val="22"/>
        </w:rPr>
        <w:t xml:space="preserve"> v souvislosti s budováním informačního systému Státní pokladny.</w:t>
      </w:r>
    </w:p>
    <w:p w:rsidR="004D5CE1" w:rsidRPr="002319CD" w:rsidRDefault="004D5CE1" w:rsidP="004D5CE1">
      <w:pPr>
        <w:spacing w:before="0"/>
        <w:rPr>
          <w:sz w:val="22"/>
          <w:szCs w:val="22"/>
          <w:highlight w:val="lightGray"/>
        </w:rPr>
      </w:pPr>
    </w:p>
    <w:p w:rsidR="004D5CE1" w:rsidRPr="002319CD" w:rsidRDefault="004D5CE1" w:rsidP="004D5CE1">
      <w:pPr>
        <w:spacing w:before="0"/>
        <w:rPr>
          <w:sz w:val="22"/>
          <w:szCs w:val="22"/>
        </w:rPr>
      </w:pPr>
      <w:r w:rsidRPr="002319CD">
        <w:rPr>
          <w:sz w:val="22"/>
          <w:szCs w:val="22"/>
        </w:rPr>
        <w:t xml:space="preserve">Kontrolovanou osobou bylo </w:t>
      </w:r>
      <w:r w:rsidR="00640F58">
        <w:rPr>
          <w:iCs/>
          <w:sz w:val="22"/>
          <w:szCs w:val="22"/>
        </w:rPr>
        <w:t>Ministerstvo financí (dále také „MF</w:t>
      </w:r>
      <w:r w:rsidRPr="002319CD">
        <w:rPr>
          <w:iCs/>
          <w:sz w:val="22"/>
          <w:szCs w:val="22"/>
        </w:rPr>
        <w:t>“)</w:t>
      </w:r>
      <w:r w:rsidRPr="002319CD">
        <w:rPr>
          <w:sz w:val="22"/>
          <w:szCs w:val="22"/>
        </w:rPr>
        <w:t>.</w:t>
      </w:r>
    </w:p>
    <w:p w:rsidR="004D5CE1" w:rsidRPr="002319CD" w:rsidRDefault="004D5CE1" w:rsidP="004D5CE1">
      <w:pPr>
        <w:spacing w:before="0"/>
        <w:rPr>
          <w:sz w:val="22"/>
          <w:szCs w:val="22"/>
          <w:highlight w:val="lightGray"/>
        </w:rPr>
      </w:pPr>
    </w:p>
    <w:p w:rsidR="004D5CE1" w:rsidRPr="002319CD" w:rsidRDefault="004D5CE1" w:rsidP="004D5CE1">
      <w:pPr>
        <w:spacing w:before="0"/>
        <w:rPr>
          <w:sz w:val="22"/>
          <w:szCs w:val="22"/>
        </w:rPr>
      </w:pPr>
      <w:r w:rsidRPr="002319CD">
        <w:rPr>
          <w:sz w:val="22"/>
          <w:szCs w:val="22"/>
        </w:rPr>
        <w:t>Kontrolovaným obdobím byl</w:t>
      </w:r>
      <w:r w:rsidR="00640F58">
        <w:rPr>
          <w:sz w:val="22"/>
          <w:szCs w:val="22"/>
        </w:rPr>
        <w:t>y</w:t>
      </w:r>
      <w:r w:rsidRPr="002319CD">
        <w:rPr>
          <w:sz w:val="22"/>
          <w:szCs w:val="22"/>
        </w:rPr>
        <w:t xml:space="preserve"> rok</w:t>
      </w:r>
      <w:r w:rsidR="00640F58">
        <w:rPr>
          <w:sz w:val="22"/>
          <w:szCs w:val="22"/>
        </w:rPr>
        <w:t>y 2008 až 2011</w:t>
      </w:r>
      <w:r w:rsidRPr="002319CD">
        <w:rPr>
          <w:iCs/>
          <w:sz w:val="22"/>
          <w:szCs w:val="22"/>
        </w:rPr>
        <w:t>.</w:t>
      </w:r>
    </w:p>
    <w:p w:rsidR="004D5CE1" w:rsidRPr="002319CD" w:rsidRDefault="004D5CE1" w:rsidP="004D5CE1">
      <w:pPr>
        <w:spacing w:before="0"/>
        <w:rPr>
          <w:sz w:val="22"/>
          <w:szCs w:val="22"/>
        </w:rPr>
      </w:pPr>
    </w:p>
    <w:p w:rsidR="004D5CE1" w:rsidRPr="002319CD" w:rsidRDefault="004D5CE1" w:rsidP="004D5CE1">
      <w:pPr>
        <w:spacing w:before="0"/>
        <w:rPr>
          <w:sz w:val="22"/>
          <w:szCs w:val="22"/>
        </w:rPr>
      </w:pPr>
      <w:r w:rsidRPr="002319CD">
        <w:rPr>
          <w:sz w:val="22"/>
          <w:szCs w:val="22"/>
        </w:rPr>
        <w:t xml:space="preserve">Kontrola byla prováděna v době od </w:t>
      </w:r>
      <w:r w:rsidR="00640F58">
        <w:rPr>
          <w:sz w:val="22"/>
          <w:szCs w:val="22"/>
        </w:rPr>
        <w:t>března</w:t>
      </w:r>
      <w:r w:rsidRPr="002319CD">
        <w:rPr>
          <w:sz w:val="22"/>
          <w:szCs w:val="22"/>
        </w:rPr>
        <w:t xml:space="preserve"> do října </w:t>
      </w:r>
      <w:r w:rsidR="00640F58">
        <w:rPr>
          <w:sz w:val="22"/>
          <w:szCs w:val="22"/>
        </w:rPr>
        <w:t>roku 2012</w:t>
      </w:r>
      <w:r w:rsidRPr="002319CD">
        <w:rPr>
          <w:sz w:val="22"/>
          <w:szCs w:val="22"/>
        </w:rPr>
        <w:t>.</w:t>
      </w:r>
    </w:p>
    <w:p w:rsidR="004D5CE1" w:rsidRPr="002319CD" w:rsidRDefault="004D5CE1" w:rsidP="004D5CE1">
      <w:pPr>
        <w:spacing w:before="0"/>
        <w:rPr>
          <w:sz w:val="22"/>
          <w:szCs w:val="22"/>
        </w:rPr>
      </w:pPr>
    </w:p>
    <w:p w:rsidR="004D5CE1" w:rsidRPr="002319CD" w:rsidRDefault="004D5CE1" w:rsidP="004D5CE1">
      <w:pPr>
        <w:spacing w:before="0"/>
        <w:rPr>
          <w:sz w:val="22"/>
          <w:szCs w:val="22"/>
        </w:rPr>
      </w:pPr>
      <w:r w:rsidRPr="002319CD">
        <w:rPr>
          <w:sz w:val="22"/>
          <w:szCs w:val="22"/>
        </w:rPr>
        <w:t>Námitky proti kontrolnímu protokolu, které M</w:t>
      </w:r>
      <w:r w:rsidR="0080174A">
        <w:rPr>
          <w:sz w:val="22"/>
          <w:szCs w:val="22"/>
        </w:rPr>
        <w:t>F</w:t>
      </w:r>
      <w:r w:rsidRPr="002319CD">
        <w:rPr>
          <w:sz w:val="22"/>
          <w:szCs w:val="22"/>
        </w:rPr>
        <w:t xml:space="preserve"> podalo, byly vypořádány vedoucím skupiny k</w:t>
      </w:r>
      <w:r>
        <w:rPr>
          <w:sz w:val="22"/>
          <w:szCs w:val="22"/>
        </w:rPr>
        <w:t>ontrolujících rozhodnutím o </w:t>
      </w:r>
      <w:r w:rsidRPr="002319CD">
        <w:rPr>
          <w:sz w:val="22"/>
          <w:szCs w:val="22"/>
        </w:rPr>
        <w:t xml:space="preserve">námitkách. </w:t>
      </w:r>
      <w:r w:rsidRPr="00EA02CC">
        <w:rPr>
          <w:sz w:val="22"/>
          <w:szCs w:val="22"/>
        </w:rPr>
        <w:t>Odvolání p</w:t>
      </w:r>
      <w:r w:rsidR="0080174A" w:rsidRPr="00EA02CC">
        <w:rPr>
          <w:sz w:val="22"/>
          <w:szCs w:val="22"/>
        </w:rPr>
        <w:t>roti rozhodnutí o</w:t>
      </w:r>
      <w:r w:rsidR="001801D6">
        <w:rPr>
          <w:sz w:val="22"/>
          <w:szCs w:val="22"/>
        </w:rPr>
        <w:t xml:space="preserve"> </w:t>
      </w:r>
      <w:r w:rsidR="0080174A" w:rsidRPr="00EA02CC">
        <w:rPr>
          <w:sz w:val="22"/>
          <w:szCs w:val="22"/>
        </w:rPr>
        <w:t>námitkách MF</w:t>
      </w:r>
      <w:r w:rsidRPr="00EA02CC">
        <w:rPr>
          <w:sz w:val="22"/>
          <w:szCs w:val="22"/>
        </w:rPr>
        <w:t xml:space="preserve"> nepodalo.</w:t>
      </w:r>
    </w:p>
    <w:p w:rsidR="004D5CE1" w:rsidRPr="002319CD" w:rsidRDefault="004D5CE1" w:rsidP="004D5CE1">
      <w:pPr>
        <w:spacing w:before="0"/>
        <w:rPr>
          <w:sz w:val="22"/>
          <w:szCs w:val="22"/>
        </w:rPr>
      </w:pPr>
    </w:p>
    <w:p w:rsidR="004D5CE1" w:rsidRPr="002319CD" w:rsidRDefault="004D5CE1" w:rsidP="004D5CE1">
      <w:pPr>
        <w:spacing w:before="0"/>
        <w:rPr>
          <w:sz w:val="22"/>
          <w:szCs w:val="22"/>
        </w:rPr>
      </w:pPr>
      <w:proofErr w:type="gramStart"/>
      <w:r w:rsidRPr="002319CD">
        <w:rPr>
          <w:b/>
          <w:bCs/>
          <w:i/>
          <w:iCs/>
          <w:sz w:val="22"/>
          <w:szCs w:val="22"/>
        </w:rPr>
        <w:t>K o l e g i u m   N K Ú</w:t>
      </w:r>
      <w:r w:rsidRPr="002319CD">
        <w:rPr>
          <w:sz w:val="22"/>
          <w:szCs w:val="22"/>
        </w:rPr>
        <w:t xml:space="preserve">   na</w:t>
      </w:r>
      <w:proofErr w:type="gramEnd"/>
      <w:r w:rsidRPr="002319CD">
        <w:rPr>
          <w:sz w:val="22"/>
          <w:szCs w:val="22"/>
        </w:rPr>
        <w:t xml:space="preserve"> svém</w:t>
      </w:r>
      <w:r w:rsidR="0080174A">
        <w:rPr>
          <w:sz w:val="22"/>
          <w:szCs w:val="22"/>
        </w:rPr>
        <w:t xml:space="preserve"> </w:t>
      </w:r>
      <w:r w:rsidR="0037415F">
        <w:rPr>
          <w:sz w:val="22"/>
          <w:szCs w:val="22"/>
        </w:rPr>
        <w:t xml:space="preserve">II. </w:t>
      </w:r>
      <w:r w:rsidRPr="002319CD">
        <w:rPr>
          <w:sz w:val="22"/>
          <w:szCs w:val="22"/>
        </w:rPr>
        <w:t xml:space="preserve">zasedání, konaném dne </w:t>
      </w:r>
      <w:r w:rsidR="0037415F">
        <w:rPr>
          <w:sz w:val="22"/>
          <w:szCs w:val="22"/>
        </w:rPr>
        <w:t xml:space="preserve">28. </w:t>
      </w:r>
      <w:r w:rsidRPr="002319CD">
        <w:rPr>
          <w:sz w:val="22"/>
          <w:szCs w:val="22"/>
        </w:rPr>
        <w:t xml:space="preserve">ledna </w:t>
      </w:r>
      <w:r w:rsidR="0080174A">
        <w:rPr>
          <w:sz w:val="22"/>
          <w:szCs w:val="22"/>
        </w:rPr>
        <w:t>2013</w:t>
      </w:r>
      <w:r w:rsidRPr="002319CD">
        <w:rPr>
          <w:sz w:val="22"/>
          <w:szCs w:val="22"/>
        </w:rPr>
        <w:t>,</w:t>
      </w:r>
    </w:p>
    <w:p w:rsidR="004D5CE1" w:rsidRPr="002319CD" w:rsidRDefault="004D5CE1" w:rsidP="004D5CE1">
      <w:pPr>
        <w:spacing w:before="0"/>
        <w:rPr>
          <w:sz w:val="22"/>
          <w:szCs w:val="22"/>
        </w:rPr>
      </w:pPr>
      <w:proofErr w:type="gramStart"/>
      <w:r w:rsidRPr="002319CD">
        <w:rPr>
          <w:b/>
          <w:bCs/>
          <w:i/>
          <w:iCs/>
          <w:sz w:val="22"/>
          <w:szCs w:val="22"/>
        </w:rPr>
        <w:t>s c h v á l i l o</w:t>
      </w:r>
      <w:r w:rsidRPr="002319CD">
        <w:rPr>
          <w:sz w:val="22"/>
          <w:szCs w:val="22"/>
        </w:rPr>
        <w:t xml:space="preserve">   usnesením </w:t>
      </w:r>
      <w:r>
        <w:rPr>
          <w:sz w:val="22"/>
          <w:szCs w:val="22"/>
        </w:rPr>
        <w:t>č.</w:t>
      </w:r>
      <w:proofErr w:type="gramEnd"/>
      <w:r w:rsidR="001801D6">
        <w:rPr>
          <w:sz w:val="22"/>
          <w:szCs w:val="22"/>
        </w:rPr>
        <w:t xml:space="preserve"> </w:t>
      </w:r>
      <w:r w:rsidR="0050462F">
        <w:rPr>
          <w:sz w:val="22"/>
          <w:szCs w:val="22"/>
        </w:rPr>
        <w:t>7</w:t>
      </w:r>
      <w:r w:rsidRPr="002B1EB0">
        <w:rPr>
          <w:sz w:val="22"/>
          <w:szCs w:val="22"/>
        </w:rPr>
        <w:t>/</w:t>
      </w:r>
      <w:r w:rsidR="0050462F">
        <w:rPr>
          <w:sz w:val="22"/>
          <w:szCs w:val="22"/>
        </w:rPr>
        <w:t>II</w:t>
      </w:r>
      <w:r w:rsidRPr="002319CD">
        <w:rPr>
          <w:sz w:val="22"/>
          <w:szCs w:val="22"/>
        </w:rPr>
        <w:t>/201</w:t>
      </w:r>
      <w:r w:rsidR="0080174A">
        <w:rPr>
          <w:sz w:val="22"/>
          <w:szCs w:val="22"/>
        </w:rPr>
        <w:t>3</w:t>
      </w:r>
    </w:p>
    <w:p w:rsidR="004D5CE1" w:rsidRPr="002319CD" w:rsidRDefault="004D5CE1" w:rsidP="004D5CE1">
      <w:pPr>
        <w:spacing w:before="0"/>
        <w:rPr>
          <w:sz w:val="22"/>
          <w:szCs w:val="22"/>
        </w:rPr>
      </w:pPr>
      <w:proofErr w:type="gramStart"/>
      <w:r w:rsidRPr="002319CD">
        <w:rPr>
          <w:b/>
          <w:bCs/>
          <w:i/>
          <w:iCs/>
          <w:sz w:val="22"/>
          <w:szCs w:val="22"/>
        </w:rPr>
        <w:t>k o n t r o l n í   z á v ě r</w:t>
      </w:r>
      <w:r w:rsidRPr="002319CD">
        <w:rPr>
          <w:sz w:val="22"/>
          <w:szCs w:val="22"/>
        </w:rPr>
        <w:t xml:space="preserve">   v</w:t>
      </w:r>
      <w:r w:rsidR="001801D6">
        <w:rPr>
          <w:sz w:val="22"/>
          <w:szCs w:val="22"/>
        </w:rPr>
        <w:t xml:space="preserve"> </w:t>
      </w:r>
      <w:r w:rsidRPr="002319CD">
        <w:rPr>
          <w:sz w:val="22"/>
          <w:szCs w:val="22"/>
        </w:rPr>
        <w:t>tomto</w:t>
      </w:r>
      <w:proofErr w:type="gramEnd"/>
      <w:r w:rsidRPr="002319CD">
        <w:rPr>
          <w:sz w:val="22"/>
          <w:szCs w:val="22"/>
        </w:rPr>
        <w:t xml:space="preserve"> znění:</w:t>
      </w:r>
    </w:p>
    <w:p w:rsidR="004D5CE1" w:rsidRDefault="004D5CE1" w:rsidP="004D5CE1">
      <w:pPr>
        <w:spacing w:before="0"/>
        <w:rPr>
          <w:sz w:val="22"/>
          <w:szCs w:val="22"/>
        </w:rPr>
      </w:pPr>
    </w:p>
    <w:p w:rsidR="004D5CE1" w:rsidRPr="002319CD" w:rsidRDefault="004D5CE1" w:rsidP="004D5CE1">
      <w:pPr>
        <w:spacing w:before="0"/>
        <w:rPr>
          <w:sz w:val="22"/>
          <w:szCs w:val="22"/>
        </w:rPr>
      </w:pPr>
    </w:p>
    <w:p w:rsidR="004D5CE1" w:rsidRPr="002319CD" w:rsidRDefault="004D5CE1" w:rsidP="004D5CE1">
      <w:pPr>
        <w:spacing w:before="0"/>
        <w:jc w:val="center"/>
        <w:rPr>
          <w:b/>
        </w:rPr>
      </w:pPr>
      <w:r w:rsidRPr="002319CD">
        <w:rPr>
          <w:b/>
        </w:rPr>
        <w:t>I. Úvod</w:t>
      </w:r>
    </w:p>
    <w:p w:rsidR="004D5CE1" w:rsidRPr="002319CD" w:rsidRDefault="004D5CE1" w:rsidP="004D5CE1">
      <w:pPr>
        <w:spacing w:before="0"/>
        <w:rPr>
          <w:sz w:val="22"/>
          <w:szCs w:val="22"/>
          <w:highlight w:val="lightGray"/>
        </w:rPr>
      </w:pPr>
    </w:p>
    <w:p w:rsidR="001D5DA3" w:rsidRDefault="003D0285" w:rsidP="00821EB2">
      <w:pPr>
        <w:spacing w:before="0"/>
        <w:rPr>
          <w:iCs/>
          <w:sz w:val="22"/>
          <w:szCs w:val="22"/>
        </w:rPr>
      </w:pPr>
      <w:r>
        <w:rPr>
          <w:sz w:val="22"/>
          <w:szCs w:val="22"/>
        </w:rPr>
        <w:t>MF</w:t>
      </w:r>
      <w:r w:rsidR="001D5DA3" w:rsidRPr="00D82FEE">
        <w:rPr>
          <w:sz w:val="22"/>
          <w:szCs w:val="22"/>
        </w:rPr>
        <w:t xml:space="preserve"> je ústředním orgánem státní správy</w:t>
      </w:r>
      <w:r w:rsidR="001D5DA3" w:rsidRPr="00D82FEE">
        <w:rPr>
          <w:iCs/>
          <w:sz w:val="22"/>
          <w:szCs w:val="22"/>
        </w:rPr>
        <w:t xml:space="preserve">, organizační složkou státu a účetní jednotkou. MF je správcem čtyř kapitol státního rozpočtu, a to kapitol </w:t>
      </w:r>
      <w:r w:rsidR="001D5DA3" w:rsidRPr="00BD3FDE">
        <w:rPr>
          <w:i/>
          <w:iCs/>
          <w:sz w:val="22"/>
          <w:szCs w:val="22"/>
        </w:rPr>
        <w:t>Ministerstvo financí</w:t>
      </w:r>
      <w:r w:rsidR="001D5DA3" w:rsidRPr="00D82FEE">
        <w:rPr>
          <w:iCs/>
          <w:sz w:val="22"/>
          <w:szCs w:val="22"/>
        </w:rPr>
        <w:t xml:space="preserve">, </w:t>
      </w:r>
      <w:r w:rsidR="001D5DA3" w:rsidRPr="00BD3FDE">
        <w:rPr>
          <w:i/>
          <w:iCs/>
          <w:sz w:val="22"/>
          <w:szCs w:val="22"/>
        </w:rPr>
        <w:t>Všeobecná pokladní správa</w:t>
      </w:r>
      <w:r w:rsidR="001D5DA3" w:rsidRPr="00D82FEE">
        <w:rPr>
          <w:iCs/>
          <w:sz w:val="22"/>
          <w:szCs w:val="22"/>
        </w:rPr>
        <w:t xml:space="preserve">, </w:t>
      </w:r>
      <w:r w:rsidR="001D5DA3" w:rsidRPr="00BD3FDE">
        <w:rPr>
          <w:i/>
          <w:iCs/>
          <w:sz w:val="22"/>
          <w:szCs w:val="22"/>
        </w:rPr>
        <w:t xml:space="preserve">Státní dluh </w:t>
      </w:r>
      <w:r w:rsidR="001D5DA3" w:rsidRPr="00D82FEE">
        <w:rPr>
          <w:iCs/>
          <w:sz w:val="22"/>
          <w:szCs w:val="22"/>
        </w:rPr>
        <w:t xml:space="preserve">a </w:t>
      </w:r>
      <w:r w:rsidR="001D5DA3" w:rsidRPr="00BD3FDE">
        <w:rPr>
          <w:i/>
          <w:iCs/>
          <w:sz w:val="22"/>
          <w:szCs w:val="22"/>
        </w:rPr>
        <w:t>Operace státních finančních aktiv</w:t>
      </w:r>
      <w:r w:rsidR="001D5DA3" w:rsidRPr="00D82FEE">
        <w:rPr>
          <w:iCs/>
          <w:sz w:val="22"/>
          <w:szCs w:val="22"/>
        </w:rPr>
        <w:t xml:space="preserve">. Podle ustanovení § 4 odst. 1 zákona č. 2/1969 Sb., </w:t>
      </w:r>
      <w:r w:rsidR="001D5DA3" w:rsidRPr="00D82FEE">
        <w:rPr>
          <w:sz w:val="22"/>
          <w:szCs w:val="22"/>
        </w:rPr>
        <w:t>o</w:t>
      </w:r>
      <w:r w:rsidR="001801D6">
        <w:rPr>
          <w:sz w:val="22"/>
          <w:szCs w:val="22"/>
        </w:rPr>
        <w:t xml:space="preserve"> </w:t>
      </w:r>
      <w:r w:rsidR="001D5DA3" w:rsidRPr="00D82FEE">
        <w:rPr>
          <w:sz w:val="22"/>
          <w:szCs w:val="22"/>
        </w:rPr>
        <w:t>zřízení ministerstev a jiných ústředních orgánů státní správy České republiky,</w:t>
      </w:r>
      <w:r w:rsidR="001D5DA3" w:rsidRPr="00D82FEE">
        <w:rPr>
          <w:iCs/>
          <w:sz w:val="22"/>
          <w:szCs w:val="22"/>
        </w:rPr>
        <w:t xml:space="preserve"> patří do oblasti působnosti MF mimo jiné státní pokladna, státní rozpočet, zjišťování účetních záznamů pro potřeby státu včetně sestavování výkazů za Českou republiku podle zákona upravujícího účetnictví.</w:t>
      </w:r>
    </w:p>
    <w:p w:rsidR="00821EB2" w:rsidRPr="00D82FEE" w:rsidRDefault="00821EB2" w:rsidP="00821EB2">
      <w:pPr>
        <w:spacing w:before="0"/>
        <w:rPr>
          <w:iCs/>
          <w:sz w:val="22"/>
          <w:szCs w:val="22"/>
        </w:rPr>
      </w:pPr>
    </w:p>
    <w:p w:rsidR="001D5DA3" w:rsidRPr="00D82FEE" w:rsidRDefault="001D5DA3" w:rsidP="00821EB2">
      <w:pPr>
        <w:spacing w:before="0"/>
        <w:rPr>
          <w:iCs/>
          <w:sz w:val="22"/>
          <w:szCs w:val="22"/>
        </w:rPr>
      </w:pPr>
      <w:r w:rsidRPr="00D82FEE">
        <w:rPr>
          <w:iCs/>
          <w:sz w:val="22"/>
          <w:szCs w:val="22"/>
        </w:rPr>
        <w:t>Od roku 2008 MF budovalo Státní pokladnu především v</w:t>
      </w:r>
      <w:r w:rsidR="001801D6">
        <w:rPr>
          <w:iCs/>
          <w:sz w:val="22"/>
          <w:szCs w:val="22"/>
        </w:rPr>
        <w:t xml:space="preserve"> </w:t>
      </w:r>
      <w:r w:rsidRPr="00D82FEE">
        <w:rPr>
          <w:iCs/>
          <w:sz w:val="22"/>
          <w:szCs w:val="22"/>
        </w:rPr>
        <w:t>rámci programu 112 09</w:t>
      </w:r>
      <w:r w:rsidR="0069261F">
        <w:rPr>
          <w:iCs/>
          <w:sz w:val="22"/>
          <w:szCs w:val="22"/>
        </w:rPr>
        <w:t> –</w:t>
      </w:r>
      <w:r w:rsidRPr="00D82FEE">
        <w:rPr>
          <w:iCs/>
          <w:sz w:val="22"/>
          <w:szCs w:val="22"/>
        </w:rPr>
        <w:t xml:space="preserve"> </w:t>
      </w:r>
      <w:r w:rsidRPr="00BD3FDE">
        <w:rPr>
          <w:i/>
          <w:iCs/>
          <w:sz w:val="22"/>
          <w:szCs w:val="22"/>
        </w:rPr>
        <w:t>Výstavba, obnova a p</w:t>
      </w:r>
      <w:r w:rsidR="00046E26" w:rsidRPr="00BD3FDE">
        <w:rPr>
          <w:i/>
          <w:iCs/>
          <w:sz w:val="22"/>
          <w:szCs w:val="22"/>
        </w:rPr>
        <w:t>rovozování Státní pokladny</w:t>
      </w:r>
      <w:r w:rsidR="0069261F">
        <w:rPr>
          <w:i/>
          <w:iCs/>
          <w:sz w:val="22"/>
          <w:szCs w:val="22"/>
        </w:rPr>
        <w:t xml:space="preserve"> v letech</w:t>
      </w:r>
      <w:r w:rsidR="00046E26" w:rsidRPr="00BD3FDE">
        <w:rPr>
          <w:i/>
          <w:iCs/>
          <w:sz w:val="22"/>
          <w:szCs w:val="22"/>
        </w:rPr>
        <w:t xml:space="preserve"> 2007–</w:t>
      </w:r>
      <w:r w:rsidRPr="00BD3FDE">
        <w:rPr>
          <w:i/>
          <w:iCs/>
          <w:sz w:val="22"/>
          <w:szCs w:val="22"/>
        </w:rPr>
        <w:t>2013</w:t>
      </w:r>
      <w:r w:rsidR="004040FA">
        <w:rPr>
          <w:rStyle w:val="Znakapoznpodarou"/>
          <w:iCs/>
          <w:sz w:val="22"/>
          <w:szCs w:val="22"/>
        </w:rPr>
        <w:footnoteReference w:id="2"/>
      </w:r>
      <w:r w:rsidR="00E641AA">
        <w:rPr>
          <w:iCs/>
          <w:sz w:val="22"/>
          <w:szCs w:val="22"/>
        </w:rPr>
        <w:t>,</w:t>
      </w:r>
      <w:r w:rsidRPr="00D82FEE">
        <w:rPr>
          <w:iCs/>
          <w:sz w:val="22"/>
          <w:szCs w:val="22"/>
        </w:rPr>
        <w:t xml:space="preserve"> respektive jeho jediného podprogramu 112</w:t>
      </w:r>
      <w:r w:rsidR="0037415F">
        <w:rPr>
          <w:iCs/>
          <w:sz w:val="22"/>
          <w:szCs w:val="22"/>
        </w:rPr>
        <w:t> </w:t>
      </w:r>
      <w:r w:rsidRPr="00D82FEE">
        <w:rPr>
          <w:iCs/>
          <w:sz w:val="22"/>
          <w:szCs w:val="22"/>
        </w:rPr>
        <w:t>091</w:t>
      </w:r>
      <w:r w:rsidR="0069261F">
        <w:rPr>
          <w:iCs/>
          <w:sz w:val="22"/>
          <w:szCs w:val="22"/>
        </w:rPr>
        <w:t> –</w:t>
      </w:r>
      <w:r w:rsidRPr="00D82FEE">
        <w:rPr>
          <w:iCs/>
          <w:sz w:val="22"/>
          <w:szCs w:val="22"/>
        </w:rPr>
        <w:t xml:space="preserve"> </w:t>
      </w:r>
      <w:r w:rsidRPr="00BD3FDE">
        <w:rPr>
          <w:i/>
          <w:iCs/>
          <w:sz w:val="22"/>
          <w:szCs w:val="22"/>
        </w:rPr>
        <w:t>Integrova</w:t>
      </w:r>
      <w:r w:rsidR="008C1A9E" w:rsidRPr="00BD3FDE">
        <w:rPr>
          <w:i/>
          <w:iCs/>
          <w:sz w:val="22"/>
          <w:szCs w:val="22"/>
        </w:rPr>
        <w:t>ný systém Státní pokladny</w:t>
      </w:r>
      <w:r w:rsidRPr="00D82FEE">
        <w:rPr>
          <w:iCs/>
          <w:sz w:val="22"/>
          <w:szCs w:val="22"/>
        </w:rPr>
        <w:t xml:space="preserve">. Stěžejní </w:t>
      </w:r>
      <w:r w:rsidR="004040FA" w:rsidRPr="00D82FEE">
        <w:rPr>
          <w:iCs/>
          <w:sz w:val="22"/>
          <w:szCs w:val="22"/>
        </w:rPr>
        <w:t>akcí</w:t>
      </w:r>
      <w:r w:rsidRPr="00D82FEE">
        <w:rPr>
          <w:iCs/>
          <w:sz w:val="22"/>
          <w:szCs w:val="22"/>
        </w:rPr>
        <w:t xml:space="preserve"> podprogramu </w:t>
      </w:r>
      <w:r w:rsidRPr="00D82FEE">
        <w:rPr>
          <w:iCs/>
          <w:sz w:val="22"/>
          <w:szCs w:val="22"/>
        </w:rPr>
        <w:lastRenderedPageBreak/>
        <w:t>byl</w:t>
      </w:r>
      <w:r w:rsidR="00802841">
        <w:rPr>
          <w:iCs/>
          <w:sz w:val="22"/>
          <w:szCs w:val="22"/>
        </w:rPr>
        <w:t>a akce</w:t>
      </w:r>
      <w:r w:rsidRPr="00D82FEE">
        <w:rPr>
          <w:iCs/>
          <w:sz w:val="22"/>
          <w:szCs w:val="22"/>
        </w:rPr>
        <w:t xml:space="preserve"> </w:t>
      </w:r>
      <w:r w:rsidRPr="00BD3FDE">
        <w:rPr>
          <w:i/>
          <w:iCs/>
          <w:sz w:val="22"/>
          <w:szCs w:val="22"/>
        </w:rPr>
        <w:t>Integrovaný informační</w:t>
      </w:r>
      <w:r w:rsidR="00802841" w:rsidRPr="00BD3FDE">
        <w:rPr>
          <w:i/>
          <w:iCs/>
          <w:sz w:val="22"/>
          <w:szCs w:val="22"/>
        </w:rPr>
        <w:t xml:space="preserve"> systém Státní pokladny</w:t>
      </w:r>
      <w:r w:rsidR="00802841">
        <w:rPr>
          <w:iCs/>
          <w:sz w:val="22"/>
          <w:szCs w:val="22"/>
        </w:rPr>
        <w:t>, v</w:t>
      </w:r>
      <w:r w:rsidR="001801D6">
        <w:rPr>
          <w:iCs/>
          <w:sz w:val="22"/>
          <w:szCs w:val="22"/>
        </w:rPr>
        <w:t xml:space="preserve"> </w:t>
      </w:r>
      <w:r w:rsidR="00802841">
        <w:rPr>
          <w:iCs/>
          <w:sz w:val="22"/>
          <w:szCs w:val="22"/>
        </w:rPr>
        <w:t>jejímž</w:t>
      </w:r>
      <w:r w:rsidRPr="00D82FEE">
        <w:rPr>
          <w:iCs/>
          <w:sz w:val="22"/>
          <w:szCs w:val="22"/>
        </w:rPr>
        <w:t xml:space="preserve"> rámci MF </w:t>
      </w:r>
      <w:r w:rsidR="00CA10ED">
        <w:rPr>
          <w:iCs/>
          <w:sz w:val="22"/>
          <w:szCs w:val="22"/>
        </w:rPr>
        <w:t>v</w:t>
      </w:r>
      <w:r w:rsidR="0069261F">
        <w:rPr>
          <w:iCs/>
          <w:sz w:val="22"/>
          <w:szCs w:val="22"/>
        </w:rPr>
        <w:t> </w:t>
      </w:r>
      <w:r w:rsidR="00CA10ED">
        <w:rPr>
          <w:iCs/>
          <w:sz w:val="22"/>
          <w:szCs w:val="22"/>
        </w:rPr>
        <w:t xml:space="preserve">kontrolovaném období </w:t>
      </w:r>
      <w:r w:rsidRPr="00D82FEE">
        <w:rPr>
          <w:iCs/>
          <w:sz w:val="22"/>
          <w:szCs w:val="22"/>
        </w:rPr>
        <w:t xml:space="preserve">vybudovalo </w:t>
      </w:r>
      <w:r w:rsidRPr="00DB471E">
        <w:rPr>
          <w:i/>
          <w:iCs/>
          <w:sz w:val="22"/>
          <w:szCs w:val="22"/>
        </w:rPr>
        <w:t>Centrální systém účetních inf</w:t>
      </w:r>
      <w:r w:rsidR="0052607F" w:rsidRPr="00DB471E">
        <w:rPr>
          <w:i/>
          <w:iCs/>
          <w:sz w:val="22"/>
          <w:szCs w:val="22"/>
        </w:rPr>
        <w:t>ormací státu</w:t>
      </w:r>
      <w:r w:rsidR="00EA02CC">
        <w:rPr>
          <w:iCs/>
          <w:sz w:val="22"/>
          <w:szCs w:val="22"/>
        </w:rPr>
        <w:t xml:space="preserve">, </w:t>
      </w:r>
      <w:r w:rsidR="00EA02CC" w:rsidRPr="00DB471E">
        <w:rPr>
          <w:i/>
          <w:iCs/>
          <w:sz w:val="22"/>
          <w:szCs w:val="22"/>
        </w:rPr>
        <w:t>E</w:t>
      </w:r>
      <w:r w:rsidR="007906C2" w:rsidRPr="00DB471E">
        <w:rPr>
          <w:i/>
          <w:iCs/>
          <w:sz w:val="22"/>
          <w:szCs w:val="22"/>
        </w:rPr>
        <w:t>konomický informační systém</w:t>
      </w:r>
      <w:r w:rsidR="007906C2">
        <w:rPr>
          <w:iCs/>
          <w:sz w:val="22"/>
          <w:szCs w:val="22"/>
        </w:rPr>
        <w:t xml:space="preserve"> a </w:t>
      </w:r>
      <w:r w:rsidR="00D26D55" w:rsidRPr="00DB471E">
        <w:rPr>
          <w:i/>
          <w:iCs/>
          <w:sz w:val="22"/>
          <w:szCs w:val="22"/>
        </w:rPr>
        <w:t>M</w:t>
      </w:r>
      <w:r w:rsidRPr="00DB471E">
        <w:rPr>
          <w:i/>
          <w:iCs/>
          <w:sz w:val="22"/>
          <w:szCs w:val="22"/>
        </w:rPr>
        <w:t xml:space="preserve">anažerský informační systém Úřadu vlády </w:t>
      </w:r>
      <w:r w:rsidR="00EA02CC" w:rsidRPr="00DB471E">
        <w:rPr>
          <w:i/>
          <w:iCs/>
          <w:sz w:val="22"/>
          <w:szCs w:val="22"/>
        </w:rPr>
        <w:t>ČR</w:t>
      </w:r>
      <w:r w:rsidR="00EA02CC">
        <w:rPr>
          <w:iCs/>
          <w:sz w:val="22"/>
          <w:szCs w:val="22"/>
        </w:rPr>
        <w:t xml:space="preserve"> </w:t>
      </w:r>
      <w:r w:rsidR="00CA10ED">
        <w:rPr>
          <w:iCs/>
          <w:sz w:val="22"/>
          <w:szCs w:val="22"/>
        </w:rPr>
        <w:t>a</w:t>
      </w:r>
      <w:r w:rsidR="0069261F">
        <w:rPr>
          <w:iCs/>
          <w:sz w:val="22"/>
          <w:szCs w:val="22"/>
        </w:rPr>
        <w:t> </w:t>
      </w:r>
      <w:r w:rsidR="00CA10ED">
        <w:rPr>
          <w:iCs/>
          <w:sz w:val="22"/>
          <w:szCs w:val="22"/>
        </w:rPr>
        <w:t>dokončovalo</w:t>
      </w:r>
      <w:r w:rsidRPr="00D82FEE">
        <w:rPr>
          <w:iCs/>
          <w:sz w:val="22"/>
          <w:szCs w:val="22"/>
        </w:rPr>
        <w:t xml:space="preserve"> budování </w:t>
      </w:r>
      <w:r w:rsidRPr="00DB471E">
        <w:rPr>
          <w:i/>
          <w:iCs/>
          <w:sz w:val="22"/>
          <w:szCs w:val="22"/>
        </w:rPr>
        <w:t>Rozpočtového informa</w:t>
      </w:r>
      <w:r w:rsidR="008C1A9E" w:rsidRPr="00DB471E">
        <w:rPr>
          <w:i/>
          <w:iCs/>
          <w:sz w:val="22"/>
          <w:szCs w:val="22"/>
        </w:rPr>
        <w:t>čního systému</w:t>
      </w:r>
      <w:r w:rsidRPr="00D82FEE">
        <w:rPr>
          <w:iCs/>
          <w:sz w:val="22"/>
          <w:szCs w:val="22"/>
        </w:rPr>
        <w:t>.</w:t>
      </w:r>
    </w:p>
    <w:p w:rsidR="000745BA" w:rsidRDefault="000745BA" w:rsidP="00821EB2">
      <w:pPr>
        <w:spacing w:before="0"/>
        <w:rPr>
          <w:sz w:val="22"/>
          <w:szCs w:val="22"/>
          <w:lang w:eastAsia="cs-CZ"/>
        </w:rPr>
      </w:pPr>
    </w:p>
    <w:p w:rsidR="004D5CE1" w:rsidRDefault="004D5CE1" w:rsidP="00821EB2">
      <w:pPr>
        <w:spacing w:before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Kontrolní akce č.</w:t>
      </w:r>
      <w:r w:rsidR="0069261F">
        <w:rPr>
          <w:sz w:val="22"/>
          <w:szCs w:val="22"/>
          <w:lang w:eastAsia="cs-CZ"/>
        </w:rPr>
        <w:t> </w:t>
      </w:r>
      <w:r w:rsidR="009657E2">
        <w:rPr>
          <w:sz w:val="22"/>
          <w:szCs w:val="22"/>
          <w:lang w:eastAsia="cs-CZ"/>
        </w:rPr>
        <w:t>12/09</w:t>
      </w:r>
      <w:r w:rsidRPr="002319CD">
        <w:rPr>
          <w:sz w:val="22"/>
          <w:szCs w:val="22"/>
          <w:lang w:eastAsia="cs-CZ"/>
        </w:rPr>
        <w:t xml:space="preserve"> </w:t>
      </w:r>
      <w:r w:rsidR="00434692">
        <w:rPr>
          <w:sz w:val="22"/>
          <w:szCs w:val="22"/>
          <w:lang w:eastAsia="cs-CZ"/>
        </w:rPr>
        <w:t>se z</w:t>
      </w:r>
      <w:r w:rsidR="00EA02CC">
        <w:rPr>
          <w:sz w:val="22"/>
          <w:szCs w:val="22"/>
          <w:lang w:eastAsia="cs-CZ"/>
        </w:rPr>
        <w:t>aměřila na čtyři akce</w:t>
      </w:r>
      <w:r w:rsidR="00434692">
        <w:rPr>
          <w:sz w:val="22"/>
          <w:szCs w:val="22"/>
          <w:lang w:eastAsia="cs-CZ"/>
        </w:rPr>
        <w:t xml:space="preserve"> z</w:t>
      </w:r>
      <w:r w:rsidR="001801D6">
        <w:rPr>
          <w:sz w:val="22"/>
          <w:szCs w:val="22"/>
          <w:lang w:eastAsia="cs-CZ"/>
        </w:rPr>
        <w:t xml:space="preserve"> </w:t>
      </w:r>
      <w:r w:rsidR="00434692">
        <w:rPr>
          <w:sz w:val="22"/>
          <w:szCs w:val="22"/>
          <w:lang w:eastAsia="cs-CZ"/>
        </w:rPr>
        <w:t>podprogramu 112</w:t>
      </w:r>
      <w:r w:rsidR="001801D6">
        <w:rPr>
          <w:sz w:val="22"/>
          <w:szCs w:val="22"/>
          <w:lang w:eastAsia="cs-CZ"/>
        </w:rPr>
        <w:t xml:space="preserve"> </w:t>
      </w:r>
      <w:r w:rsidR="00434692">
        <w:rPr>
          <w:sz w:val="22"/>
          <w:szCs w:val="22"/>
          <w:lang w:eastAsia="cs-CZ"/>
        </w:rPr>
        <w:t>091</w:t>
      </w:r>
      <w:r w:rsidR="0069261F">
        <w:rPr>
          <w:sz w:val="22"/>
          <w:szCs w:val="22"/>
          <w:lang w:eastAsia="cs-CZ"/>
        </w:rPr>
        <w:t> –</w:t>
      </w:r>
      <w:r w:rsidR="00434692">
        <w:rPr>
          <w:sz w:val="22"/>
          <w:szCs w:val="22"/>
          <w:lang w:eastAsia="cs-CZ"/>
        </w:rPr>
        <w:t xml:space="preserve"> </w:t>
      </w:r>
      <w:r w:rsidR="00434692" w:rsidRPr="00BD3FDE">
        <w:rPr>
          <w:i/>
          <w:sz w:val="22"/>
          <w:szCs w:val="22"/>
          <w:lang w:eastAsia="cs-CZ"/>
        </w:rPr>
        <w:t>Integrovaný systém Státní pokladny</w:t>
      </w:r>
      <w:r w:rsidR="00434692">
        <w:rPr>
          <w:sz w:val="22"/>
          <w:szCs w:val="22"/>
          <w:lang w:eastAsia="cs-CZ"/>
        </w:rPr>
        <w:t>. V</w:t>
      </w:r>
      <w:r w:rsidR="001801D6">
        <w:rPr>
          <w:sz w:val="22"/>
          <w:szCs w:val="22"/>
          <w:lang w:eastAsia="cs-CZ"/>
        </w:rPr>
        <w:t xml:space="preserve"> </w:t>
      </w:r>
      <w:r w:rsidR="00434692">
        <w:rPr>
          <w:sz w:val="22"/>
          <w:szCs w:val="22"/>
          <w:lang w:eastAsia="cs-CZ"/>
        </w:rPr>
        <w:t>rámci těchto akcí MF v</w:t>
      </w:r>
      <w:r w:rsidR="001801D6">
        <w:rPr>
          <w:sz w:val="22"/>
          <w:szCs w:val="22"/>
          <w:lang w:eastAsia="cs-CZ"/>
        </w:rPr>
        <w:t xml:space="preserve"> </w:t>
      </w:r>
      <w:r w:rsidR="00434692">
        <w:rPr>
          <w:sz w:val="22"/>
          <w:szCs w:val="22"/>
          <w:lang w:eastAsia="cs-CZ"/>
        </w:rPr>
        <w:t>letech 2008 až 2011 realizova</w:t>
      </w:r>
      <w:r w:rsidR="00EA6352">
        <w:rPr>
          <w:sz w:val="22"/>
          <w:szCs w:val="22"/>
          <w:lang w:eastAsia="cs-CZ"/>
        </w:rPr>
        <w:t>lo výdaje v částce 2</w:t>
      </w:r>
      <w:r w:rsidR="0069261F">
        <w:rPr>
          <w:sz w:val="22"/>
          <w:szCs w:val="22"/>
          <w:lang w:eastAsia="cs-CZ"/>
        </w:rPr>
        <w:t> </w:t>
      </w:r>
      <w:r w:rsidR="00EA6352">
        <w:rPr>
          <w:sz w:val="22"/>
          <w:szCs w:val="22"/>
          <w:lang w:eastAsia="cs-CZ"/>
        </w:rPr>
        <w:t>426</w:t>
      </w:r>
      <w:r w:rsidR="0069261F">
        <w:rPr>
          <w:sz w:val="22"/>
          <w:szCs w:val="22"/>
          <w:lang w:eastAsia="cs-CZ"/>
        </w:rPr>
        <w:t> </w:t>
      </w:r>
      <w:r w:rsidR="00EA6352">
        <w:rPr>
          <w:sz w:val="22"/>
          <w:szCs w:val="22"/>
          <w:lang w:eastAsia="cs-CZ"/>
        </w:rPr>
        <w:t>773</w:t>
      </w:r>
      <w:r w:rsidR="0069261F">
        <w:rPr>
          <w:sz w:val="22"/>
          <w:szCs w:val="22"/>
          <w:lang w:eastAsia="cs-CZ"/>
        </w:rPr>
        <w:t> </w:t>
      </w:r>
      <w:r w:rsidR="00EA6352">
        <w:rPr>
          <w:sz w:val="22"/>
          <w:szCs w:val="22"/>
          <w:lang w:eastAsia="cs-CZ"/>
        </w:rPr>
        <w:t>tis.</w:t>
      </w:r>
      <w:r w:rsidR="0069261F">
        <w:rPr>
          <w:sz w:val="22"/>
          <w:szCs w:val="22"/>
          <w:lang w:eastAsia="cs-CZ"/>
        </w:rPr>
        <w:t> K</w:t>
      </w:r>
      <w:r w:rsidR="00434692">
        <w:rPr>
          <w:sz w:val="22"/>
          <w:szCs w:val="22"/>
          <w:lang w:eastAsia="cs-CZ"/>
        </w:rPr>
        <w:t>č. Kontrolní akce</w:t>
      </w:r>
      <w:r w:rsidR="004040FA">
        <w:rPr>
          <w:sz w:val="22"/>
          <w:szCs w:val="22"/>
          <w:lang w:eastAsia="cs-CZ"/>
        </w:rPr>
        <w:t xml:space="preserve"> prověřovala, zda kontrolované činnosti byly v</w:t>
      </w:r>
      <w:r w:rsidR="001801D6">
        <w:rPr>
          <w:sz w:val="22"/>
          <w:szCs w:val="22"/>
          <w:lang w:eastAsia="cs-CZ"/>
        </w:rPr>
        <w:t> </w:t>
      </w:r>
      <w:r w:rsidR="009657E2">
        <w:rPr>
          <w:sz w:val="22"/>
          <w:szCs w:val="22"/>
          <w:lang w:eastAsia="cs-CZ"/>
        </w:rPr>
        <w:t>souladu s</w:t>
      </w:r>
      <w:r w:rsidR="0069261F">
        <w:rPr>
          <w:sz w:val="22"/>
          <w:szCs w:val="22"/>
          <w:lang w:eastAsia="cs-CZ"/>
        </w:rPr>
        <w:t> </w:t>
      </w:r>
      <w:r w:rsidR="009657E2">
        <w:rPr>
          <w:sz w:val="22"/>
          <w:szCs w:val="22"/>
          <w:lang w:eastAsia="cs-CZ"/>
        </w:rPr>
        <w:t>právními předpisy</w:t>
      </w:r>
      <w:r w:rsidR="0069638C">
        <w:rPr>
          <w:sz w:val="22"/>
          <w:szCs w:val="22"/>
          <w:lang w:eastAsia="cs-CZ"/>
        </w:rPr>
        <w:t xml:space="preserve"> a</w:t>
      </w:r>
      <w:r w:rsidR="0069261F">
        <w:rPr>
          <w:sz w:val="22"/>
          <w:szCs w:val="22"/>
          <w:lang w:eastAsia="cs-CZ"/>
        </w:rPr>
        <w:t> </w:t>
      </w:r>
      <w:r w:rsidR="00EA02CC">
        <w:rPr>
          <w:sz w:val="22"/>
          <w:szCs w:val="22"/>
          <w:lang w:eastAsia="cs-CZ"/>
        </w:rPr>
        <w:t xml:space="preserve">se </w:t>
      </w:r>
      <w:r w:rsidR="004040FA">
        <w:rPr>
          <w:sz w:val="22"/>
          <w:szCs w:val="22"/>
          <w:lang w:eastAsia="cs-CZ"/>
        </w:rPr>
        <w:t>smlouvami uzavřenými na jejich základě (kontrola legality).</w:t>
      </w:r>
    </w:p>
    <w:p w:rsidR="004D5CE1" w:rsidRPr="002319CD" w:rsidRDefault="004D5CE1" w:rsidP="00821EB2">
      <w:pPr>
        <w:spacing w:before="0"/>
        <w:rPr>
          <w:sz w:val="22"/>
          <w:szCs w:val="22"/>
          <w:lang w:eastAsia="cs-CZ"/>
        </w:rPr>
      </w:pPr>
    </w:p>
    <w:p w:rsidR="004D5CE1" w:rsidRDefault="004D5CE1" w:rsidP="00121A4A">
      <w:pPr>
        <w:spacing w:before="0"/>
        <w:ind w:left="680" w:hanging="680"/>
        <w:rPr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Pozn.: </w:t>
      </w:r>
      <w:r>
        <w:rPr>
          <w:b/>
          <w:iCs/>
          <w:sz w:val="18"/>
          <w:szCs w:val="18"/>
        </w:rPr>
        <w:tab/>
      </w:r>
      <w:r w:rsidRPr="008A6C43">
        <w:rPr>
          <w:iCs/>
          <w:sz w:val="18"/>
          <w:szCs w:val="18"/>
        </w:rPr>
        <w:t>Všechny právní předpisy uváděné v tomto kontrolním závěru jsou aplikovány ve znění účinném pro kontrolované období.</w:t>
      </w:r>
    </w:p>
    <w:p w:rsidR="009D51F8" w:rsidRPr="00432DA5" w:rsidRDefault="009D51F8" w:rsidP="00121A4A">
      <w:pPr>
        <w:spacing w:before="0"/>
        <w:ind w:left="680" w:hanging="680"/>
        <w:rPr>
          <w:sz w:val="18"/>
          <w:szCs w:val="18"/>
        </w:rPr>
      </w:pPr>
      <w:r>
        <w:rPr>
          <w:b/>
          <w:iCs/>
          <w:sz w:val="18"/>
          <w:szCs w:val="18"/>
        </w:rPr>
        <w:tab/>
      </w:r>
      <w:r w:rsidRPr="00432DA5">
        <w:rPr>
          <w:iCs/>
          <w:sz w:val="18"/>
          <w:szCs w:val="18"/>
        </w:rPr>
        <w:t xml:space="preserve">Částky </w:t>
      </w:r>
      <w:r w:rsidR="003413BB" w:rsidRPr="00432DA5">
        <w:rPr>
          <w:iCs/>
          <w:sz w:val="18"/>
          <w:szCs w:val="18"/>
        </w:rPr>
        <w:t>uvedené v</w:t>
      </w:r>
      <w:r w:rsidR="0069261F">
        <w:rPr>
          <w:iCs/>
          <w:sz w:val="18"/>
          <w:szCs w:val="18"/>
        </w:rPr>
        <w:t> </w:t>
      </w:r>
      <w:r w:rsidR="003413BB" w:rsidRPr="00432DA5">
        <w:rPr>
          <w:iCs/>
          <w:sz w:val="18"/>
          <w:szCs w:val="18"/>
        </w:rPr>
        <w:t>textu</w:t>
      </w:r>
      <w:r w:rsidRPr="00432DA5">
        <w:rPr>
          <w:iCs/>
          <w:sz w:val="18"/>
          <w:szCs w:val="18"/>
        </w:rPr>
        <w:t xml:space="preserve"> </w:t>
      </w:r>
      <w:r w:rsidR="00B60077">
        <w:rPr>
          <w:iCs/>
          <w:sz w:val="18"/>
          <w:szCs w:val="18"/>
        </w:rPr>
        <w:t>jsou</w:t>
      </w:r>
      <w:r w:rsidRPr="00432DA5">
        <w:rPr>
          <w:iCs/>
          <w:sz w:val="18"/>
          <w:szCs w:val="18"/>
        </w:rPr>
        <w:t xml:space="preserve"> včetně DPH, pokud není uvedeno </w:t>
      </w:r>
      <w:r w:rsidR="00B60077">
        <w:rPr>
          <w:iCs/>
          <w:sz w:val="18"/>
          <w:szCs w:val="18"/>
        </w:rPr>
        <w:t>jinak</w:t>
      </w:r>
      <w:r w:rsidRPr="00432DA5">
        <w:rPr>
          <w:iCs/>
          <w:sz w:val="18"/>
          <w:szCs w:val="18"/>
        </w:rPr>
        <w:t>.</w:t>
      </w:r>
    </w:p>
    <w:p w:rsidR="00DB6279" w:rsidRPr="00BD069E" w:rsidRDefault="00DB6279" w:rsidP="00BD069E">
      <w:pPr>
        <w:spacing w:before="0"/>
        <w:rPr>
          <w:sz w:val="22"/>
          <w:szCs w:val="22"/>
        </w:rPr>
      </w:pPr>
    </w:p>
    <w:p w:rsidR="009D7507" w:rsidRPr="00BD069E" w:rsidRDefault="009D7507" w:rsidP="00BD069E">
      <w:pPr>
        <w:spacing w:before="0"/>
        <w:rPr>
          <w:sz w:val="22"/>
          <w:szCs w:val="22"/>
        </w:rPr>
      </w:pPr>
    </w:p>
    <w:p w:rsidR="007E09FB" w:rsidRPr="00F105EA" w:rsidRDefault="004D5CE1" w:rsidP="00F105EA">
      <w:pPr>
        <w:spacing w:before="0"/>
        <w:jc w:val="center"/>
        <w:rPr>
          <w:b/>
        </w:rPr>
      </w:pPr>
      <w:r w:rsidRPr="002319CD">
        <w:rPr>
          <w:b/>
        </w:rPr>
        <w:t>II. Skutečnosti zjištěn</w:t>
      </w:r>
      <w:r w:rsidR="00F105EA">
        <w:rPr>
          <w:b/>
        </w:rPr>
        <w:t>é při kontrole</w:t>
      </w:r>
    </w:p>
    <w:p w:rsidR="007E09FB" w:rsidRPr="00BD069E" w:rsidRDefault="007E09FB" w:rsidP="00BD069E">
      <w:pPr>
        <w:spacing w:before="0"/>
        <w:rPr>
          <w:sz w:val="22"/>
          <w:szCs w:val="22"/>
        </w:rPr>
      </w:pPr>
    </w:p>
    <w:p w:rsidR="00A43B97" w:rsidRPr="00BD069E" w:rsidRDefault="00A43B97" w:rsidP="00BD069E">
      <w:pPr>
        <w:spacing w:before="0"/>
        <w:rPr>
          <w:b/>
          <w:sz w:val="22"/>
          <w:szCs w:val="22"/>
        </w:rPr>
      </w:pPr>
      <w:r w:rsidRPr="00BD069E">
        <w:rPr>
          <w:b/>
          <w:sz w:val="22"/>
          <w:szCs w:val="22"/>
        </w:rPr>
        <w:t>1.</w:t>
      </w:r>
      <w:r w:rsidR="00BD069E" w:rsidRPr="00BD069E">
        <w:rPr>
          <w:b/>
          <w:sz w:val="22"/>
          <w:szCs w:val="22"/>
        </w:rPr>
        <w:t xml:space="preserve"> </w:t>
      </w:r>
      <w:r w:rsidRPr="00BD069E">
        <w:rPr>
          <w:b/>
          <w:sz w:val="22"/>
          <w:szCs w:val="22"/>
        </w:rPr>
        <w:t>Strategické dokumenty pro budování Státní pokladny</w:t>
      </w:r>
    </w:p>
    <w:p w:rsidR="000745BA" w:rsidRDefault="000745BA" w:rsidP="00BD069E">
      <w:pPr>
        <w:spacing w:before="0"/>
        <w:rPr>
          <w:iCs/>
          <w:sz w:val="22"/>
          <w:szCs w:val="22"/>
        </w:rPr>
      </w:pPr>
    </w:p>
    <w:p w:rsidR="00A43B97" w:rsidRPr="00432DA5" w:rsidRDefault="00A43B97" w:rsidP="00BD069E">
      <w:pPr>
        <w:spacing w:before="0"/>
        <w:rPr>
          <w:sz w:val="22"/>
          <w:szCs w:val="22"/>
        </w:rPr>
      </w:pPr>
      <w:r w:rsidRPr="003D0285">
        <w:rPr>
          <w:iCs/>
          <w:sz w:val="22"/>
          <w:szCs w:val="22"/>
        </w:rPr>
        <w:t>MF budova</w:t>
      </w:r>
      <w:r>
        <w:rPr>
          <w:iCs/>
          <w:sz w:val="22"/>
          <w:szCs w:val="22"/>
        </w:rPr>
        <w:t>lo</w:t>
      </w:r>
      <w:r w:rsidRPr="003D0285">
        <w:rPr>
          <w:iCs/>
          <w:sz w:val="22"/>
          <w:szCs w:val="22"/>
        </w:rPr>
        <w:t xml:space="preserve"> </w:t>
      </w:r>
      <w:r w:rsidR="00B60077">
        <w:rPr>
          <w:iCs/>
          <w:sz w:val="22"/>
          <w:szCs w:val="22"/>
        </w:rPr>
        <w:t>i</w:t>
      </w:r>
      <w:r w:rsidR="008C05E9">
        <w:rPr>
          <w:iCs/>
          <w:sz w:val="22"/>
          <w:szCs w:val="22"/>
        </w:rPr>
        <w:t xml:space="preserve">ntegrovaný </w:t>
      </w:r>
      <w:r w:rsidRPr="003D0285">
        <w:rPr>
          <w:iCs/>
          <w:sz w:val="22"/>
          <w:szCs w:val="22"/>
        </w:rPr>
        <w:t xml:space="preserve">systém Státní pokladny na základě strategického dokumentu s názvem </w:t>
      </w:r>
      <w:r w:rsidRPr="00BD3FDE">
        <w:rPr>
          <w:i/>
          <w:iCs/>
          <w:sz w:val="22"/>
          <w:szCs w:val="22"/>
        </w:rPr>
        <w:t>Záměr vytvoření Státní pokladny</w:t>
      </w:r>
      <w:r w:rsidRPr="003D0285">
        <w:rPr>
          <w:iCs/>
          <w:sz w:val="22"/>
          <w:szCs w:val="22"/>
        </w:rPr>
        <w:t>, který byl so</w:t>
      </w:r>
      <w:r w:rsidR="00180ECF">
        <w:rPr>
          <w:iCs/>
          <w:sz w:val="22"/>
          <w:szCs w:val="22"/>
        </w:rPr>
        <w:t>učástí usnesení vlády ze dne 9. </w:t>
      </w:r>
      <w:r w:rsidRPr="003D0285">
        <w:rPr>
          <w:iCs/>
          <w:sz w:val="22"/>
          <w:szCs w:val="22"/>
        </w:rPr>
        <w:t>února 2005</w:t>
      </w:r>
      <w:r w:rsidR="00B60077" w:rsidRPr="00B60077">
        <w:rPr>
          <w:iCs/>
          <w:sz w:val="22"/>
          <w:szCs w:val="22"/>
        </w:rPr>
        <w:t xml:space="preserve"> </w:t>
      </w:r>
      <w:r w:rsidR="00B60077" w:rsidRPr="003D0285">
        <w:rPr>
          <w:iCs/>
          <w:sz w:val="22"/>
          <w:szCs w:val="22"/>
        </w:rPr>
        <w:t>č. 169</w:t>
      </w:r>
      <w:r w:rsidRPr="003D0285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Tento záměr předpokládal, že jádro </w:t>
      </w:r>
      <w:r w:rsidR="00B60077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ntegrovaného systé</w:t>
      </w:r>
      <w:r w:rsidR="008C05E9">
        <w:rPr>
          <w:iCs/>
          <w:sz w:val="22"/>
          <w:szCs w:val="22"/>
        </w:rPr>
        <w:t xml:space="preserve">mu Státní pokladny bude tvořit </w:t>
      </w:r>
      <w:r w:rsidR="00B60077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ntegrovaný roz</w:t>
      </w:r>
      <w:r w:rsidR="008C1A9E">
        <w:rPr>
          <w:iCs/>
          <w:sz w:val="22"/>
          <w:szCs w:val="22"/>
        </w:rPr>
        <w:t>počtový systém</w:t>
      </w:r>
      <w:r>
        <w:rPr>
          <w:iCs/>
          <w:sz w:val="22"/>
          <w:szCs w:val="22"/>
        </w:rPr>
        <w:t xml:space="preserve">. Dále měl </w:t>
      </w:r>
      <w:r w:rsidR="00B60077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 xml:space="preserve">ntegrovaný systém Státní pokladny zahrnovat účetní systém a případně další specializované informační systémy. </w:t>
      </w:r>
      <w:r w:rsidR="00C35561">
        <w:rPr>
          <w:iCs/>
          <w:sz w:val="22"/>
          <w:szCs w:val="22"/>
        </w:rPr>
        <w:t xml:space="preserve">Záměr vytvoření Státní pokladny předpokládal komplexní nasazení systému Státní pokladny v roce 2010 a maximální výdaje 2 440 000 tis. Kč. </w:t>
      </w:r>
      <w:r w:rsidRPr="003D0285">
        <w:rPr>
          <w:sz w:val="22"/>
          <w:szCs w:val="22"/>
        </w:rPr>
        <w:t>Usnesením ze dne 23. května 2007</w:t>
      </w:r>
      <w:r w:rsidR="00B60077" w:rsidRPr="00B60077">
        <w:rPr>
          <w:sz w:val="22"/>
          <w:szCs w:val="22"/>
        </w:rPr>
        <w:t xml:space="preserve"> </w:t>
      </w:r>
      <w:r w:rsidR="00B60077">
        <w:rPr>
          <w:sz w:val="22"/>
          <w:szCs w:val="22"/>
        </w:rPr>
        <w:t>č. </w:t>
      </w:r>
      <w:r w:rsidR="00B60077" w:rsidRPr="003D0285">
        <w:rPr>
          <w:sz w:val="22"/>
          <w:szCs w:val="22"/>
        </w:rPr>
        <w:t>561</w:t>
      </w:r>
      <w:r w:rsidRPr="003D0285">
        <w:rPr>
          <w:sz w:val="22"/>
          <w:szCs w:val="22"/>
        </w:rPr>
        <w:t xml:space="preserve"> vláda schválila</w:t>
      </w:r>
      <w:r w:rsidR="00B60077">
        <w:rPr>
          <w:sz w:val="22"/>
          <w:szCs w:val="22"/>
        </w:rPr>
        <w:t xml:space="preserve"> </w:t>
      </w:r>
      <w:r w:rsidRPr="003D0285">
        <w:rPr>
          <w:sz w:val="22"/>
          <w:szCs w:val="22"/>
        </w:rPr>
        <w:t>vytvoření úče</w:t>
      </w:r>
      <w:r w:rsidR="00780626">
        <w:rPr>
          <w:sz w:val="22"/>
          <w:szCs w:val="22"/>
        </w:rPr>
        <w:t>tnictví státu s účinností od 1. </w:t>
      </w:r>
      <w:r w:rsidRPr="003D0285">
        <w:rPr>
          <w:sz w:val="22"/>
          <w:szCs w:val="22"/>
        </w:rPr>
        <w:t xml:space="preserve">ledna 2010 a základní principy vzniku účetnictví státu. </w:t>
      </w:r>
      <w:r w:rsidRPr="00432DA5">
        <w:rPr>
          <w:sz w:val="22"/>
          <w:szCs w:val="22"/>
        </w:rPr>
        <w:t xml:space="preserve">MF zpracovalo </w:t>
      </w:r>
      <w:r w:rsidRPr="00180ECF">
        <w:rPr>
          <w:i/>
          <w:sz w:val="22"/>
          <w:szCs w:val="22"/>
        </w:rPr>
        <w:t xml:space="preserve">Strategii budování Státní </w:t>
      </w:r>
      <w:r w:rsidR="008C05E9" w:rsidRPr="00180ECF">
        <w:rPr>
          <w:i/>
          <w:sz w:val="22"/>
          <w:szCs w:val="22"/>
        </w:rPr>
        <w:t>pokladny na období 2008 až 2012</w:t>
      </w:r>
      <w:r w:rsidRPr="00432DA5">
        <w:rPr>
          <w:sz w:val="22"/>
          <w:szCs w:val="22"/>
        </w:rPr>
        <w:t xml:space="preserve"> </w:t>
      </w:r>
      <w:r w:rsidR="009660EC" w:rsidRPr="00432DA5">
        <w:rPr>
          <w:sz w:val="22"/>
          <w:szCs w:val="22"/>
        </w:rPr>
        <w:t xml:space="preserve">(dále také „Strategie“) </w:t>
      </w:r>
      <w:r w:rsidRPr="00432DA5">
        <w:rPr>
          <w:sz w:val="22"/>
          <w:szCs w:val="22"/>
        </w:rPr>
        <w:t>s cílem vymezit</w:t>
      </w:r>
      <w:r w:rsidR="008C05E9" w:rsidRPr="00432DA5">
        <w:rPr>
          <w:sz w:val="22"/>
          <w:szCs w:val="22"/>
        </w:rPr>
        <w:t xml:space="preserve"> problematiku Státní pokladny, </w:t>
      </w:r>
      <w:r w:rsidRPr="00432DA5">
        <w:rPr>
          <w:sz w:val="22"/>
          <w:szCs w:val="22"/>
        </w:rPr>
        <w:t xml:space="preserve">popsat strategický záměr MF realizovat v ČR Státní pokladnu a implementovat </w:t>
      </w:r>
      <w:r w:rsidR="00B60077">
        <w:rPr>
          <w:sz w:val="22"/>
          <w:szCs w:val="22"/>
        </w:rPr>
        <w:t>i</w:t>
      </w:r>
      <w:r w:rsidRPr="00432DA5">
        <w:rPr>
          <w:sz w:val="22"/>
          <w:szCs w:val="22"/>
        </w:rPr>
        <w:t>ntegrovaný informační systém Státní pokladny (dále také „IISSP“).</w:t>
      </w:r>
      <w:r>
        <w:rPr>
          <w:sz w:val="22"/>
          <w:szCs w:val="22"/>
        </w:rPr>
        <w:t xml:space="preserve"> </w:t>
      </w:r>
      <w:r w:rsidR="002C50E8">
        <w:rPr>
          <w:sz w:val="22"/>
          <w:szCs w:val="22"/>
        </w:rPr>
        <w:t xml:space="preserve">Účelem Strategie bylo popsat cílový stav řešení Státní pokladny a proces implementace IISSP. </w:t>
      </w:r>
      <w:r>
        <w:rPr>
          <w:sz w:val="22"/>
          <w:szCs w:val="22"/>
        </w:rPr>
        <w:t xml:space="preserve">MF skupině </w:t>
      </w:r>
      <w:r w:rsidR="009660EC">
        <w:rPr>
          <w:sz w:val="22"/>
          <w:szCs w:val="22"/>
        </w:rPr>
        <w:t>kontrolujících předložilo tuto S</w:t>
      </w:r>
      <w:r>
        <w:rPr>
          <w:sz w:val="22"/>
          <w:szCs w:val="22"/>
        </w:rPr>
        <w:t xml:space="preserve">trategii ve znění poslední revize k 22. </w:t>
      </w:r>
      <w:r w:rsidR="00780626">
        <w:rPr>
          <w:sz w:val="22"/>
          <w:szCs w:val="22"/>
        </w:rPr>
        <w:t>únoru</w:t>
      </w:r>
      <w:r w:rsidR="0069638C">
        <w:rPr>
          <w:sz w:val="22"/>
          <w:szCs w:val="22"/>
        </w:rPr>
        <w:t xml:space="preserve"> 2009, verzi k datu vytvoření S</w:t>
      </w:r>
      <w:r>
        <w:rPr>
          <w:sz w:val="22"/>
          <w:szCs w:val="22"/>
        </w:rPr>
        <w:t>trategie</w:t>
      </w:r>
      <w:r w:rsidR="00B60077">
        <w:rPr>
          <w:sz w:val="22"/>
          <w:szCs w:val="22"/>
        </w:rPr>
        <w:t>, tj.</w:t>
      </w:r>
      <w:r>
        <w:rPr>
          <w:sz w:val="22"/>
          <w:szCs w:val="22"/>
        </w:rPr>
        <w:t xml:space="preserve"> </w:t>
      </w:r>
      <w:r w:rsidR="00B60077">
        <w:rPr>
          <w:sz w:val="22"/>
          <w:szCs w:val="22"/>
        </w:rPr>
        <w:t>k </w:t>
      </w:r>
      <w:r>
        <w:rPr>
          <w:sz w:val="22"/>
          <w:szCs w:val="22"/>
        </w:rPr>
        <w:t>25.</w:t>
      </w:r>
      <w:r w:rsidR="00180ECF">
        <w:rPr>
          <w:sz w:val="22"/>
          <w:szCs w:val="22"/>
        </w:rPr>
        <w:t> č</w:t>
      </w:r>
      <w:r w:rsidR="00780626">
        <w:rPr>
          <w:sz w:val="22"/>
          <w:szCs w:val="22"/>
        </w:rPr>
        <w:t>ervnu</w:t>
      </w:r>
      <w:r w:rsidR="00A85E0D">
        <w:rPr>
          <w:sz w:val="22"/>
          <w:szCs w:val="22"/>
        </w:rPr>
        <w:t xml:space="preserve"> </w:t>
      </w:r>
      <w:r>
        <w:rPr>
          <w:sz w:val="22"/>
          <w:szCs w:val="22"/>
        </w:rPr>
        <w:t>2008</w:t>
      </w:r>
      <w:r w:rsidR="00B6007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26D55">
        <w:rPr>
          <w:sz w:val="22"/>
          <w:szCs w:val="22"/>
        </w:rPr>
        <w:t>nepředložilo</w:t>
      </w:r>
      <w:r>
        <w:rPr>
          <w:sz w:val="22"/>
          <w:szCs w:val="22"/>
        </w:rPr>
        <w:t xml:space="preserve">. </w:t>
      </w:r>
      <w:r w:rsidRPr="00432DA5">
        <w:rPr>
          <w:sz w:val="22"/>
          <w:szCs w:val="22"/>
        </w:rPr>
        <w:t xml:space="preserve">Dokument </w:t>
      </w:r>
      <w:r w:rsidRPr="00180ECF">
        <w:rPr>
          <w:i/>
          <w:sz w:val="22"/>
          <w:szCs w:val="22"/>
        </w:rPr>
        <w:t>Strategie budování Státní pokladny na období 2008 až 2012</w:t>
      </w:r>
      <w:r w:rsidR="00061E32">
        <w:rPr>
          <w:sz w:val="22"/>
          <w:szCs w:val="22"/>
        </w:rPr>
        <w:t xml:space="preserve"> v předložené verzi</w:t>
      </w:r>
      <w:r w:rsidRPr="00432DA5">
        <w:rPr>
          <w:sz w:val="22"/>
          <w:szCs w:val="22"/>
        </w:rPr>
        <w:t xml:space="preserve"> k datu 22.</w:t>
      </w:r>
      <w:r w:rsidR="00780626" w:rsidRPr="00432DA5">
        <w:rPr>
          <w:sz w:val="22"/>
          <w:szCs w:val="22"/>
        </w:rPr>
        <w:t> února </w:t>
      </w:r>
      <w:r w:rsidRPr="00432DA5">
        <w:rPr>
          <w:sz w:val="22"/>
          <w:szCs w:val="22"/>
        </w:rPr>
        <w:t xml:space="preserve">2009 </w:t>
      </w:r>
      <w:r w:rsidR="00061E32">
        <w:rPr>
          <w:sz w:val="22"/>
          <w:szCs w:val="22"/>
        </w:rPr>
        <w:t xml:space="preserve">však </w:t>
      </w:r>
      <w:r w:rsidRPr="00432DA5">
        <w:rPr>
          <w:sz w:val="22"/>
          <w:szCs w:val="22"/>
        </w:rPr>
        <w:t>nelze považovat za strategický dokument ve smyslu nastavení základních cílů a</w:t>
      </w:r>
      <w:r w:rsidR="00434692" w:rsidRPr="00432DA5">
        <w:rPr>
          <w:sz w:val="22"/>
          <w:szCs w:val="22"/>
        </w:rPr>
        <w:t xml:space="preserve"> postupů, protože zadávací řízení na </w:t>
      </w:r>
      <w:r w:rsidR="0069638C" w:rsidRPr="00432DA5">
        <w:rPr>
          <w:sz w:val="22"/>
          <w:szCs w:val="22"/>
        </w:rPr>
        <w:t xml:space="preserve">dodávku </w:t>
      </w:r>
      <w:r w:rsidR="00434692" w:rsidRPr="00432DA5">
        <w:rPr>
          <w:sz w:val="22"/>
          <w:szCs w:val="22"/>
        </w:rPr>
        <w:t xml:space="preserve">IISSP </w:t>
      </w:r>
      <w:r w:rsidR="00B60077">
        <w:rPr>
          <w:sz w:val="22"/>
          <w:szCs w:val="22"/>
        </w:rPr>
        <w:t>a stejně tak</w:t>
      </w:r>
      <w:r w:rsidR="00434692" w:rsidRPr="00432DA5">
        <w:rPr>
          <w:sz w:val="22"/>
          <w:szCs w:val="22"/>
        </w:rPr>
        <w:t xml:space="preserve"> uzavření smlouvy proběhlo v roce 2008</w:t>
      </w:r>
      <w:r w:rsidR="00B60077">
        <w:rPr>
          <w:sz w:val="22"/>
          <w:szCs w:val="22"/>
        </w:rPr>
        <w:t>;</w:t>
      </w:r>
      <w:r w:rsidR="009D7C66">
        <w:rPr>
          <w:sz w:val="22"/>
          <w:szCs w:val="22"/>
        </w:rPr>
        <w:t xml:space="preserve"> NKÚ </w:t>
      </w:r>
      <w:r w:rsidR="00B60077">
        <w:rPr>
          <w:sz w:val="22"/>
          <w:szCs w:val="22"/>
        </w:rPr>
        <w:t xml:space="preserve">nemůže </w:t>
      </w:r>
      <w:r w:rsidR="009D7C66">
        <w:rPr>
          <w:sz w:val="22"/>
          <w:szCs w:val="22"/>
        </w:rPr>
        <w:t>z toho důvodu posoudit, zda lze Strategii považovat za strategický dokument</w:t>
      </w:r>
      <w:r w:rsidR="00434692" w:rsidRPr="00432DA5">
        <w:rPr>
          <w:sz w:val="22"/>
          <w:szCs w:val="22"/>
        </w:rPr>
        <w:t>.</w:t>
      </w:r>
    </w:p>
    <w:p w:rsidR="00434692" w:rsidRPr="000745BA" w:rsidRDefault="00434692" w:rsidP="00BD069E">
      <w:pPr>
        <w:tabs>
          <w:tab w:val="left" w:pos="284"/>
        </w:tabs>
        <w:spacing w:before="0"/>
        <w:ind w:left="284" w:hanging="284"/>
        <w:rPr>
          <w:sz w:val="22"/>
          <w:szCs w:val="22"/>
        </w:rPr>
      </w:pPr>
    </w:p>
    <w:p w:rsidR="00FF678E" w:rsidRDefault="00A43B97" w:rsidP="00B60077">
      <w:pPr>
        <w:spacing w:before="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7E09FB" w:rsidRPr="002A6170">
        <w:rPr>
          <w:b/>
          <w:sz w:val="22"/>
          <w:szCs w:val="22"/>
        </w:rPr>
        <w:t>.</w:t>
      </w:r>
      <w:r w:rsidR="000745BA">
        <w:rPr>
          <w:b/>
          <w:sz w:val="22"/>
          <w:szCs w:val="22"/>
        </w:rPr>
        <w:t xml:space="preserve"> </w:t>
      </w:r>
      <w:r w:rsidR="00821EB2">
        <w:rPr>
          <w:b/>
          <w:sz w:val="22"/>
          <w:szCs w:val="22"/>
        </w:rPr>
        <w:tab/>
      </w:r>
      <w:r w:rsidR="004C3EC8">
        <w:rPr>
          <w:b/>
          <w:sz w:val="22"/>
          <w:szCs w:val="22"/>
        </w:rPr>
        <w:t>Program 112 </w:t>
      </w:r>
      <w:r w:rsidR="00360212" w:rsidRPr="00360212">
        <w:rPr>
          <w:b/>
          <w:sz w:val="22"/>
          <w:szCs w:val="22"/>
        </w:rPr>
        <w:t>09</w:t>
      </w:r>
      <w:r w:rsidR="00B60077">
        <w:rPr>
          <w:b/>
          <w:sz w:val="22"/>
          <w:szCs w:val="22"/>
        </w:rPr>
        <w:t> –</w:t>
      </w:r>
      <w:r w:rsidR="004C3EC8">
        <w:rPr>
          <w:b/>
          <w:sz w:val="22"/>
          <w:szCs w:val="22"/>
        </w:rPr>
        <w:t> </w:t>
      </w:r>
      <w:r w:rsidR="00360212" w:rsidRPr="004C3EC8">
        <w:rPr>
          <w:b/>
          <w:i/>
          <w:sz w:val="22"/>
          <w:szCs w:val="22"/>
        </w:rPr>
        <w:t>Výstavba, o</w:t>
      </w:r>
      <w:r w:rsidR="00802841" w:rsidRPr="004C3EC8">
        <w:rPr>
          <w:b/>
          <w:i/>
          <w:sz w:val="22"/>
          <w:szCs w:val="22"/>
        </w:rPr>
        <w:t>bnova a</w:t>
      </w:r>
      <w:r w:rsidR="00821EB2" w:rsidRPr="004C3EC8">
        <w:rPr>
          <w:b/>
          <w:i/>
          <w:sz w:val="22"/>
          <w:szCs w:val="22"/>
        </w:rPr>
        <w:t> </w:t>
      </w:r>
      <w:r w:rsidR="00802841" w:rsidRPr="004C3EC8">
        <w:rPr>
          <w:b/>
          <w:i/>
          <w:sz w:val="22"/>
          <w:szCs w:val="22"/>
        </w:rPr>
        <w:t xml:space="preserve">provozování Státní pokladny </w:t>
      </w:r>
      <w:r w:rsidR="00821EB2" w:rsidRPr="004C3EC8">
        <w:rPr>
          <w:b/>
          <w:i/>
          <w:sz w:val="22"/>
          <w:szCs w:val="22"/>
        </w:rPr>
        <w:br/>
      </w:r>
      <w:r w:rsidR="00360212" w:rsidRPr="004C3EC8">
        <w:rPr>
          <w:b/>
          <w:i/>
          <w:sz w:val="22"/>
          <w:szCs w:val="22"/>
        </w:rPr>
        <w:t>v letech 2007–201</w:t>
      </w:r>
      <w:r w:rsidR="00F23F0D" w:rsidRPr="004C3EC8">
        <w:rPr>
          <w:b/>
          <w:i/>
          <w:sz w:val="22"/>
          <w:szCs w:val="22"/>
        </w:rPr>
        <w:t>4</w:t>
      </w:r>
      <w:r w:rsidR="0051192C">
        <w:rPr>
          <w:b/>
          <w:sz w:val="22"/>
          <w:szCs w:val="22"/>
          <w:vertAlign w:val="superscript"/>
        </w:rPr>
        <w:t>1</w:t>
      </w:r>
    </w:p>
    <w:p w:rsidR="000745BA" w:rsidRDefault="000745BA" w:rsidP="00BD069E">
      <w:pPr>
        <w:spacing w:before="0"/>
        <w:rPr>
          <w:sz w:val="22"/>
          <w:szCs w:val="22"/>
        </w:rPr>
      </w:pPr>
    </w:p>
    <w:p w:rsidR="00106B7F" w:rsidRDefault="00A826E0" w:rsidP="00BD069E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Programem se </w:t>
      </w:r>
      <w:r w:rsidR="0051192C">
        <w:rPr>
          <w:sz w:val="22"/>
          <w:szCs w:val="22"/>
        </w:rPr>
        <w:t>dle zákona č. 218/2000 Sb., o rozpočtových pravidlech a o změně některých souvisejících zákonů (rozpočtová pravidla),</w:t>
      </w:r>
      <w:r w:rsidR="00820E7B">
        <w:rPr>
          <w:sz w:val="22"/>
          <w:szCs w:val="22"/>
        </w:rPr>
        <w:t xml:space="preserve"> při zahájení budování Státní pokladny rozuměl</w:t>
      </w:r>
      <w:r w:rsidR="00820E7B" w:rsidRPr="00E539AA">
        <w:rPr>
          <w:sz w:val="22"/>
          <w:szCs w:val="22"/>
        </w:rPr>
        <w:t xml:space="preserve"> soubor věcných, časových a finančních podmínek pro pořízení nebo technické zhodnocení hmotného a nehmotného dlouhodobého i krátkodobého majetku, jeho údržbu a opravy, případně i pro jiné činnosti potřebné k dosažení stanovených cílů</w:t>
      </w:r>
      <w:r w:rsidR="003413BB">
        <w:rPr>
          <w:rStyle w:val="Znakapoznpodarou"/>
          <w:sz w:val="22"/>
          <w:szCs w:val="22"/>
        </w:rPr>
        <w:footnoteReference w:id="3"/>
      </w:r>
      <w:r w:rsidR="00820E7B" w:rsidRPr="00E539AA">
        <w:rPr>
          <w:sz w:val="22"/>
          <w:szCs w:val="22"/>
        </w:rPr>
        <w:t>.</w:t>
      </w:r>
      <w:r w:rsidR="0051192C">
        <w:rPr>
          <w:sz w:val="22"/>
          <w:szCs w:val="22"/>
        </w:rPr>
        <w:t xml:space="preserve"> </w:t>
      </w:r>
      <w:r w:rsidR="00FF678E" w:rsidRPr="00FF678E">
        <w:rPr>
          <w:sz w:val="22"/>
          <w:szCs w:val="22"/>
        </w:rPr>
        <w:t>Program 112</w:t>
      </w:r>
      <w:r w:rsidR="000F37F7">
        <w:rPr>
          <w:sz w:val="22"/>
          <w:szCs w:val="22"/>
        </w:rPr>
        <w:t> </w:t>
      </w:r>
      <w:r w:rsidR="00FF678E" w:rsidRPr="00FF678E">
        <w:rPr>
          <w:sz w:val="22"/>
          <w:szCs w:val="22"/>
        </w:rPr>
        <w:t>09</w:t>
      </w:r>
      <w:r w:rsidR="00B60077">
        <w:rPr>
          <w:sz w:val="22"/>
          <w:szCs w:val="22"/>
        </w:rPr>
        <w:t> –</w:t>
      </w:r>
      <w:r w:rsidR="00FF678E" w:rsidRPr="00FF678E">
        <w:rPr>
          <w:sz w:val="22"/>
          <w:szCs w:val="22"/>
        </w:rPr>
        <w:t xml:space="preserve"> </w:t>
      </w:r>
      <w:r w:rsidR="00FF678E" w:rsidRPr="00875CBD">
        <w:rPr>
          <w:i/>
          <w:sz w:val="22"/>
          <w:szCs w:val="22"/>
        </w:rPr>
        <w:t>Výstavba, obnova a provozování</w:t>
      </w:r>
      <w:r w:rsidR="00802841" w:rsidRPr="00875CBD">
        <w:rPr>
          <w:i/>
          <w:sz w:val="22"/>
          <w:szCs w:val="22"/>
        </w:rPr>
        <w:t xml:space="preserve"> Státní pokladny</w:t>
      </w:r>
      <w:r w:rsidR="009D7507" w:rsidRPr="00875CBD">
        <w:rPr>
          <w:i/>
          <w:sz w:val="22"/>
          <w:szCs w:val="22"/>
        </w:rPr>
        <w:t xml:space="preserve"> v letech 2007–</w:t>
      </w:r>
      <w:r w:rsidR="00FF678E" w:rsidRPr="00875CBD">
        <w:rPr>
          <w:i/>
          <w:sz w:val="22"/>
          <w:szCs w:val="22"/>
        </w:rPr>
        <w:t>201</w:t>
      </w:r>
      <w:r w:rsidR="00F23F0D" w:rsidRPr="00875CBD">
        <w:rPr>
          <w:i/>
          <w:sz w:val="22"/>
          <w:szCs w:val="22"/>
        </w:rPr>
        <w:t>4</w:t>
      </w:r>
      <w:r w:rsidR="007505A1">
        <w:rPr>
          <w:sz w:val="22"/>
          <w:szCs w:val="22"/>
          <w:vertAlign w:val="superscript"/>
        </w:rPr>
        <w:t>1</w:t>
      </w:r>
      <w:r w:rsidR="00FF678E" w:rsidRPr="00FF678E">
        <w:rPr>
          <w:sz w:val="22"/>
          <w:szCs w:val="22"/>
        </w:rPr>
        <w:t xml:space="preserve"> </w:t>
      </w:r>
      <w:r w:rsidR="00FF678E">
        <w:rPr>
          <w:sz w:val="22"/>
          <w:szCs w:val="22"/>
        </w:rPr>
        <w:t>obsahoval jeden</w:t>
      </w:r>
      <w:r w:rsidR="00FF678E" w:rsidRPr="00FF678E">
        <w:rPr>
          <w:sz w:val="22"/>
          <w:szCs w:val="22"/>
        </w:rPr>
        <w:t xml:space="preserve"> podpro</w:t>
      </w:r>
      <w:r w:rsidR="00FF678E">
        <w:rPr>
          <w:sz w:val="22"/>
          <w:szCs w:val="22"/>
        </w:rPr>
        <w:t>gram, a to 112 091</w:t>
      </w:r>
      <w:r w:rsidR="00B60077">
        <w:rPr>
          <w:sz w:val="22"/>
          <w:szCs w:val="22"/>
        </w:rPr>
        <w:t> –</w:t>
      </w:r>
      <w:r w:rsidR="00FF678E">
        <w:rPr>
          <w:sz w:val="22"/>
          <w:szCs w:val="22"/>
        </w:rPr>
        <w:t xml:space="preserve"> </w:t>
      </w:r>
      <w:r w:rsidR="00FF678E" w:rsidRPr="00875CBD">
        <w:rPr>
          <w:i/>
          <w:sz w:val="22"/>
          <w:szCs w:val="22"/>
        </w:rPr>
        <w:t>Integrovaný systém Státní pokladny</w:t>
      </w:r>
      <w:r w:rsidR="00FF678E">
        <w:rPr>
          <w:sz w:val="22"/>
          <w:szCs w:val="22"/>
        </w:rPr>
        <w:t>.</w:t>
      </w:r>
      <w:r w:rsidR="00FF678E" w:rsidRPr="00B60077">
        <w:rPr>
          <w:sz w:val="22"/>
          <w:szCs w:val="22"/>
        </w:rPr>
        <w:t xml:space="preserve"> </w:t>
      </w:r>
      <w:r w:rsidR="00AA459C">
        <w:rPr>
          <w:sz w:val="22"/>
          <w:szCs w:val="22"/>
        </w:rPr>
        <w:t>Cílem programu</w:t>
      </w:r>
      <w:r w:rsidR="00FF678E">
        <w:rPr>
          <w:sz w:val="22"/>
          <w:szCs w:val="22"/>
        </w:rPr>
        <w:t xml:space="preserve"> bylo </w:t>
      </w:r>
      <w:r w:rsidR="00FF678E" w:rsidRPr="0055227C">
        <w:rPr>
          <w:sz w:val="22"/>
          <w:szCs w:val="22"/>
        </w:rPr>
        <w:t>zabezpečit podmínky pro činnosti MF vyplývající ze zákona č. 2/1969 Sb.,</w:t>
      </w:r>
      <w:r w:rsidR="00516387">
        <w:rPr>
          <w:sz w:val="22"/>
          <w:szCs w:val="22"/>
        </w:rPr>
        <w:t xml:space="preserve"> </w:t>
      </w:r>
      <w:r w:rsidR="00516387" w:rsidRPr="00516387">
        <w:rPr>
          <w:sz w:val="22"/>
          <w:szCs w:val="22"/>
        </w:rPr>
        <w:t>o zřízení ministerstev a jiných ústředních orgánů státní správy České republiky</w:t>
      </w:r>
      <w:r w:rsidR="00516387">
        <w:rPr>
          <w:sz w:val="22"/>
          <w:szCs w:val="22"/>
        </w:rPr>
        <w:t>,</w:t>
      </w:r>
      <w:r w:rsidR="00FF678E" w:rsidRPr="0055227C">
        <w:rPr>
          <w:sz w:val="22"/>
          <w:szCs w:val="22"/>
        </w:rPr>
        <w:t xml:space="preserve"> tj. zajistit odpovídající </w:t>
      </w:r>
      <w:r w:rsidR="00FF678E" w:rsidRPr="0055227C">
        <w:rPr>
          <w:sz w:val="22"/>
          <w:szCs w:val="22"/>
        </w:rPr>
        <w:lastRenderedPageBreak/>
        <w:t>aplikační podporu pro kvalitní výkon činností MF a ostatních orgánů veřejné správy</w:t>
      </w:r>
      <w:r w:rsidR="00AA459C">
        <w:rPr>
          <w:sz w:val="22"/>
          <w:szCs w:val="22"/>
        </w:rPr>
        <w:t>.</w:t>
      </w:r>
      <w:r w:rsidR="00FF678E" w:rsidRPr="0055227C">
        <w:rPr>
          <w:sz w:val="22"/>
          <w:szCs w:val="22"/>
        </w:rPr>
        <w:t xml:space="preserve"> </w:t>
      </w:r>
      <w:r w:rsidR="00B46D85">
        <w:rPr>
          <w:sz w:val="22"/>
          <w:szCs w:val="22"/>
        </w:rPr>
        <w:t>Původně bylo ukončení realizace program</w:t>
      </w:r>
      <w:r w:rsidR="00E641AA">
        <w:rPr>
          <w:sz w:val="22"/>
          <w:szCs w:val="22"/>
        </w:rPr>
        <w:t xml:space="preserve">u stanoveno na 31. </w:t>
      </w:r>
      <w:r w:rsidR="009D7507">
        <w:rPr>
          <w:sz w:val="22"/>
          <w:szCs w:val="22"/>
        </w:rPr>
        <w:t>prosince</w:t>
      </w:r>
      <w:r w:rsidR="00E641AA">
        <w:rPr>
          <w:sz w:val="22"/>
          <w:szCs w:val="22"/>
        </w:rPr>
        <w:t xml:space="preserve"> 2013, v </w:t>
      </w:r>
      <w:r w:rsidR="00B60077">
        <w:rPr>
          <w:sz w:val="22"/>
          <w:szCs w:val="22"/>
        </w:rPr>
        <w:t>d</w:t>
      </w:r>
      <w:r w:rsidR="00B46D85">
        <w:rPr>
          <w:sz w:val="22"/>
          <w:szCs w:val="22"/>
        </w:rPr>
        <w:t xml:space="preserve">okumentaci programu schválené </w:t>
      </w:r>
      <w:r w:rsidR="00AA459C">
        <w:rPr>
          <w:sz w:val="22"/>
          <w:szCs w:val="22"/>
        </w:rPr>
        <w:t xml:space="preserve">dne </w:t>
      </w:r>
      <w:r w:rsidR="00B46D85">
        <w:rPr>
          <w:sz w:val="22"/>
          <w:szCs w:val="22"/>
        </w:rPr>
        <w:t xml:space="preserve">6. </w:t>
      </w:r>
      <w:r w:rsidR="009D7507">
        <w:rPr>
          <w:sz w:val="22"/>
          <w:szCs w:val="22"/>
        </w:rPr>
        <w:t>prosince</w:t>
      </w:r>
      <w:r w:rsidR="00B46D85">
        <w:rPr>
          <w:sz w:val="22"/>
          <w:szCs w:val="22"/>
        </w:rPr>
        <w:t xml:space="preserve"> 2011 bylo posunuto</w:t>
      </w:r>
      <w:r w:rsidR="009D111F">
        <w:rPr>
          <w:sz w:val="22"/>
          <w:szCs w:val="22"/>
        </w:rPr>
        <w:t xml:space="preserve"> na 31. </w:t>
      </w:r>
      <w:r w:rsidR="009D7507">
        <w:rPr>
          <w:sz w:val="22"/>
          <w:szCs w:val="22"/>
        </w:rPr>
        <w:t>prosince</w:t>
      </w:r>
      <w:r w:rsidR="009D111F">
        <w:rPr>
          <w:sz w:val="22"/>
          <w:szCs w:val="22"/>
        </w:rPr>
        <w:t xml:space="preserve"> 2014.</w:t>
      </w:r>
    </w:p>
    <w:p w:rsidR="00106B7F" w:rsidRDefault="00106B7F" w:rsidP="00BD069E">
      <w:pPr>
        <w:spacing w:before="0"/>
        <w:rPr>
          <w:sz w:val="22"/>
          <w:szCs w:val="22"/>
        </w:rPr>
      </w:pPr>
    </w:p>
    <w:p w:rsidR="006412CD" w:rsidRPr="00BD069E" w:rsidRDefault="006412CD" w:rsidP="00C8510E">
      <w:pPr>
        <w:tabs>
          <w:tab w:val="left" w:pos="1560"/>
          <w:tab w:val="left" w:pos="7938"/>
        </w:tabs>
        <w:spacing w:before="0" w:after="40"/>
        <w:ind w:left="1559" w:hanging="1559"/>
        <w:rPr>
          <w:b/>
          <w:sz w:val="22"/>
          <w:szCs w:val="22"/>
        </w:rPr>
      </w:pPr>
      <w:r w:rsidRPr="00BD069E">
        <w:rPr>
          <w:b/>
          <w:sz w:val="22"/>
          <w:szCs w:val="22"/>
        </w:rPr>
        <w:t xml:space="preserve">Tabulka č. </w:t>
      </w:r>
      <w:r w:rsidR="00AA459C" w:rsidRPr="00BD069E">
        <w:rPr>
          <w:b/>
          <w:sz w:val="22"/>
          <w:szCs w:val="22"/>
        </w:rPr>
        <w:t xml:space="preserve">1 </w:t>
      </w:r>
      <w:r w:rsidR="009D7507" w:rsidRPr="00BD069E">
        <w:rPr>
          <w:b/>
          <w:sz w:val="22"/>
          <w:szCs w:val="22"/>
        </w:rPr>
        <w:t>–</w:t>
      </w:r>
      <w:r w:rsidR="00BD069E">
        <w:rPr>
          <w:b/>
          <w:sz w:val="22"/>
          <w:szCs w:val="22"/>
        </w:rPr>
        <w:t xml:space="preserve"> </w:t>
      </w:r>
      <w:r w:rsidR="00BD069E">
        <w:rPr>
          <w:b/>
          <w:sz w:val="22"/>
          <w:szCs w:val="22"/>
        </w:rPr>
        <w:tab/>
      </w:r>
      <w:r w:rsidR="00AA459C" w:rsidRPr="00BD069E">
        <w:rPr>
          <w:b/>
          <w:sz w:val="22"/>
          <w:szCs w:val="22"/>
        </w:rPr>
        <w:t>Přehled akcí</w:t>
      </w:r>
      <w:r w:rsidRPr="00BD069E">
        <w:rPr>
          <w:b/>
          <w:sz w:val="22"/>
          <w:szCs w:val="22"/>
        </w:rPr>
        <w:t xml:space="preserve"> zahrnutých do programu 112 09, respektive do podprogramu 112 091</w:t>
      </w:r>
      <w:r w:rsidR="00C8510E">
        <w:rPr>
          <w:b/>
          <w:sz w:val="22"/>
          <w:szCs w:val="22"/>
        </w:rPr>
        <w:t> –</w:t>
      </w:r>
      <w:r w:rsidRPr="00BD069E">
        <w:rPr>
          <w:b/>
          <w:sz w:val="22"/>
          <w:szCs w:val="22"/>
        </w:rPr>
        <w:t xml:space="preserve"> </w:t>
      </w:r>
      <w:r w:rsidRPr="00690841">
        <w:rPr>
          <w:b/>
          <w:i/>
          <w:sz w:val="22"/>
          <w:szCs w:val="22"/>
        </w:rPr>
        <w:t>In</w:t>
      </w:r>
      <w:r w:rsidR="009D111F" w:rsidRPr="00690841">
        <w:rPr>
          <w:b/>
          <w:i/>
          <w:sz w:val="22"/>
          <w:szCs w:val="22"/>
        </w:rPr>
        <w:t>tegrovaný systém Státní pokladny</w:t>
      </w:r>
      <w:r w:rsidR="009D111F" w:rsidRPr="00BD069E">
        <w:rPr>
          <w:b/>
          <w:sz w:val="22"/>
          <w:szCs w:val="22"/>
        </w:rPr>
        <w:t xml:space="preserve"> dle verzí </w:t>
      </w:r>
      <w:r w:rsidR="00C8510E">
        <w:rPr>
          <w:b/>
          <w:sz w:val="22"/>
          <w:szCs w:val="22"/>
        </w:rPr>
        <w:t>d</w:t>
      </w:r>
      <w:r w:rsidR="009D111F" w:rsidRPr="00BD069E">
        <w:rPr>
          <w:b/>
          <w:sz w:val="22"/>
          <w:szCs w:val="22"/>
        </w:rPr>
        <w:t>okumentac</w:t>
      </w:r>
      <w:r w:rsidR="00F23F0D" w:rsidRPr="00BD069E">
        <w:rPr>
          <w:b/>
          <w:sz w:val="22"/>
          <w:szCs w:val="22"/>
        </w:rPr>
        <w:t>e</w:t>
      </w:r>
      <w:r w:rsidR="009D111F" w:rsidRPr="00BD069E">
        <w:rPr>
          <w:b/>
          <w:sz w:val="22"/>
          <w:szCs w:val="22"/>
        </w:rPr>
        <w:t xml:space="preserve"> programu</w:t>
      </w:r>
      <w:r w:rsidR="009D111F" w:rsidRPr="00BD069E">
        <w:rPr>
          <w:b/>
          <w:sz w:val="22"/>
          <w:szCs w:val="22"/>
        </w:rPr>
        <w:tab/>
      </w:r>
      <w:r w:rsidRPr="00BD069E">
        <w:rPr>
          <w:b/>
          <w:sz w:val="22"/>
          <w:szCs w:val="22"/>
        </w:rPr>
        <w:t xml:space="preserve">(v </w:t>
      </w:r>
      <w:r w:rsidR="00EA6352" w:rsidRPr="00BD069E">
        <w:rPr>
          <w:b/>
          <w:sz w:val="22"/>
          <w:szCs w:val="22"/>
        </w:rPr>
        <w:t>tis</w:t>
      </w:r>
      <w:r w:rsidRPr="00BD069E">
        <w:rPr>
          <w:b/>
          <w:sz w:val="22"/>
          <w:szCs w:val="22"/>
        </w:rPr>
        <w:t>. Kč)</w:t>
      </w:r>
    </w:p>
    <w:tbl>
      <w:tblPr>
        <w:tblStyle w:val="Mkatabulky"/>
        <w:tblW w:w="9061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01"/>
        <w:gridCol w:w="1134"/>
        <w:gridCol w:w="1100"/>
        <w:gridCol w:w="1175"/>
        <w:gridCol w:w="1239"/>
        <w:gridCol w:w="1044"/>
      </w:tblGrid>
      <w:tr w:rsidR="006412CD" w:rsidRPr="00BD069E" w:rsidTr="00BD069E">
        <w:trPr>
          <w:trHeight w:val="283"/>
          <w:jc w:val="center"/>
        </w:trPr>
        <w:tc>
          <w:tcPr>
            <w:tcW w:w="568" w:type="dxa"/>
            <w:vMerge w:val="restart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D069E">
              <w:rPr>
                <w:b/>
                <w:sz w:val="18"/>
                <w:szCs w:val="18"/>
              </w:rPr>
              <w:t>Číslo akce</w:t>
            </w:r>
          </w:p>
        </w:tc>
        <w:tc>
          <w:tcPr>
            <w:tcW w:w="2801" w:type="dxa"/>
            <w:vMerge w:val="restart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D069E">
              <w:rPr>
                <w:b/>
                <w:sz w:val="18"/>
                <w:szCs w:val="18"/>
              </w:rPr>
              <w:t>Název akce</w:t>
            </w:r>
          </w:p>
        </w:tc>
        <w:tc>
          <w:tcPr>
            <w:tcW w:w="5692" w:type="dxa"/>
            <w:gridSpan w:val="5"/>
            <w:shd w:val="clear" w:color="auto" w:fill="FFFFFF" w:themeFill="background1"/>
            <w:vAlign w:val="center"/>
          </w:tcPr>
          <w:p w:rsidR="006412CD" w:rsidRPr="00BD069E" w:rsidRDefault="006412CD" w:rsidP="00C8510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D069E">
              <w:rPr>
                <w:b/>
                <w:sz w:val="18"/>
                <w:szCs w:val="18"/>
              </w:rPr>
              <w:t>Finanční potřeby uváděné v </w:t>
            </w:r>
            <w:r w:rsidR="00C8510E">
              <w:rPr>
                <w:b/>
                <w:sz w:val="18"/>
                <w:szCs w:val="18"/>
              </w:rPr>
              <w:t>d</w:t>
            </w:r>
            <w:r w:rsidRPr="00BD069E">
              <w:rPr>
                <w:b/>
                <w:sz w:val="18"/>
                <w:szCs w:val="18"/>
              </w:rPr>
              <w:t>okumentaci programu</w:t>
            </w: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Merge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1" w:type="dxa"/>
            <w:vMerge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D069E">
              <w:rPr>
                <w:b/>
                <w:sz w:val="18"/>
                <w:szCs w:val="18"/>
              </w:rPr>
              <w:t>schválené 19.</w:t>
            </w:r>
            <w:r w:rsidR="00C8510E">
              <w:rPr>
                <w:b/>
                <w:sz w:val="18"/>
                <w:szCs w:val="18"/>
              </w:rPr>
              <w:t> </w:t>
            </w:r>
            <w:r w:rsidRPr="00BD069E">
              <w:rPr>
                <w:b/>
                <w:sz w:val="18"/>
                <w:szCs w:val="18"/>
              </w:rPr>
              <w:t>2.</w:t>
            </w:r>
            <w:r w:rsidR="00C8510E">
              <w:rPr>
                <w:b/>
                <w:sz w:val="18"/>
                <w:szCs w:val="18"/>
              </w:rPr>
              <w:t> </w:t>
            </w:r>
            <w:r w:rsidRPr="00BD069E"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1100" w:type="dxa"/>
            <w:vMerge w:val="restart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D069E">
              <w:rPr>
                <w:b/>
                <w:sz w:val="18"/>
                <w:szCs w:val="18"/>
              </w:rPr>
              <w:t>schválené 9.</w:t>
            </w:r>
            <w:r w:rsidR="00C8510E">
              <w:rPr>
                <w:b/>
                <w:sz w:val="18"/>
                <w:szCs w:val="18"/>
              </w:rPr>
              <w:t> </w:t>
            </w:r>
            <w:r w:rsidRPr="00BD069E">
              <w:rPr>
                <w:b/>
                <w:sz w:val="18"/>
                <w:szCs w:val="18"/>
              </w:rPr>
              <w:t>7.</w:t>
            </w:r>
            <w:r w:rsidR="00C8510E">
              <w:rPr>
                <w:b/>
                <w:sz w:val="18"/>
                <w:szCs w:val="18"/>
              </w:rPr>
              <w:t> </w:t>
            </w:r>
            <w:r w:rsidRPr="00BD069E"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1175" w:type="dxa"/>
            <w:vMerge w:val="restart"/>
            <w:vAlign w:val="center"/>
          </w:tcPr>
          <w:p w:rsidR="006412CD" w:rsidRPr="00BD069E" w:rsidRDefault="006412CD" w:rsidP="00BD069E">
            <w:pPr>
              <w:spacing w:before="20" w:after="20"/>
              <w:ind w:left="-67"/>
              <w:jc w:val="center"/>
              <w:rPr>
                <w:b/>
                <w:sz w:val="18"/>
                <w:szCs w:val="18"/>
              </w:rPr>
            </w:pPr>
            <w:r w:rsidRPr="00BD069E">
              <w:rPr>
                <w:b/>
                <w:sz w:val="18"/>
                <w:szCs w:val="18"/>
              </w:rPr>
              <w:t>schválené 22.</w:t>
            </w:r>
            <w:r w:rsidR="00C8510E">
              <w:rPr>
                <w:b/>
                <w:sz w:val="18"/>
                <w:szCs w:val="18"/>
              </w:rPr>
              <w:t> </w:t>
            </w:r>
            <w:r w:rsidRPr="00BD069E">
              <w:rPr>
                <w:b/>
                <w:sz w:val="18"/>
                <w:szCs w:val="18"/>
              </w:rPr>
              <w:t>12.</w:t>
            </w:r>
            <w:r w:rsidR="00C8510E">
              <w:rPr>
                <w:b/>
                <w:sz w:val="18"/>
                <w:szCs w:val="18"/>
              </w:rPr>
              <w:t> </w:t>
            </w:r>
            <w:r w:rsidRPr="00BD069E"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2283" w:type="dxa"/>
            <w:gridSpan w:val="2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D069E">
              <w:rPr>
                <w:b/>
                <w:sz w:val="18"/>
                <w:szCs w:val="18"/>
              </w:rPr>
              <w:t>schválené 6.</w:t>
            </w:r>
            <w:r w:rsidR="00C8510E">
              <w:rPr>
                <w:b/>
                <w:sz w:val="18"/>
                <w:szCs w:val="18"/>
              </w:rPr>
              <w:t> </w:t>
            </w:r>
            <w:r w:rsidRPr="00BD069E">
              <w:rPr>
                <w:b/>
                <w:sz w:val="18"/>
                <w:szCs w:val="18"/>
              </w:rPr>
              <w:t>12.</w:t>
            </w:r>
            <w:r w:rsidR="00C8510E">
              <w:rPr>
                <w:b/>
                <w:sz w:val="18"/>
                <w:szCs w:val="18"/>
              </w:rPr>
              <w:t> </w:t>
            </w:r>
            <w:r w:rsidRPr="00BD069E">
              <w:rPr>
                <w:b/>
                <w:sz w:val="18"/>
                <w:szCs w:val="18"/>
              </w:rPr>
              <w:t>2011</w:t>
            </w: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Merge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1" w:type="dxa"/>
            <w:vMerge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-45"/>
              <w:jc w:val="center"/>
              <w:rPr>
                <w:b/>
                <w:sz w:val="18"/>
                <w:szCs w:val="18"/>
              </w:rPr>
            </w:pPr>
            <w:r w:rsidRPr="00BD069E">
              <w:rPr>
                <w:b/>
                <w:sz w:val="18"/>
                <w:szCs w:val="18"/>
              </w:rPr>
              <w:t xml:space="preserve">celkem </w:t>
            </w:r>
            <w:r w:rsidR="00BD069E">
              <w:rPr>
                <w:b/>
                <w:sz w:val="18"/>
                <w:szCs w:val="18"/>
              </w:rPr>
              <w:br/>
            </w:r>
            <w:r w:rsidRPr="00BD069E">
              <w:rPr>
                <w:b/>
                <w:sz w:val="18"/>
                <w:szCs w:val="18"/>
              </w:rPr>
              <w:t>2008</w:t>
            </w:r>
            <w:r w:rsidR="000F37F7" w:rsidRPr="00BD069E">
              <w:rPr>
                <w:b/>
                <w:sz w:val="18"/>
                <w:szCs w:val="18"/>
              </w:rPr>
              <w:t>–</w:t>
            </w:r>
            <w:r w:rsidRPr="00BD069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044" w:type="dxa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D069E">
              <w:rPr>
                <w:b/>
                <w:sz w:val="18"/>
                <w:szCs w:val="18"/>
              </w:rPr>
              <w:t>z toho 2014</w:t>
            </w: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vAlign w:val="center"/>
          </w:tcPr>
          <w:p w:rsidR="006412CD" w:rsidRPr="00BD069E" w:rsidRDefault="005C1580" w:rsidP="00BD069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Integrovaný informační systém Státní pokladny (</w:t>
            </w:r>
            <w:r w:rsidR="006412CD" w:rsidRPr="00BD069E">
              <w:rPr>
                <w:sz w:val="18"/>
                <w:szCs w:val="18"/>
              </w:rPr>
              <w:t>IISSP</w:t>
            </w:r>
            <w:r w:rsidRPr="00BD069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2 392 </w:t>
            </w:r>
            <w:r w:rsidR="006412CD" w:rsidRPr="00BD069E">
              <w:rPr>
                <w:sz w:val="18"/>
                <w:szCs w:val="18"/>
              </w:rPr>
              <w:t>629</w:t>
            </w:r>
          </w:p>
        </w:tc>
        <w:tc>
          <w:tcPr>
            <w:tcW w:w="1175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2 558 </w:t>
            </w:r>
            <w:r w:rsidR="006412CD" w:rsidRPr="00BD069E">
              <w:rPr>
                <w:sz w:val="18"/>
                <w:szCs w:val="18"/>
              </w:rPr>
              <w:t>456</w:t>
            </w:r>
          </w:p>
        </w:tc>
        <w:tc>
          <w:tcPr>
            <w:tcW w:w="1239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3 257 </w:t>
            </w:r>
            <w:r w:rsidR="006412CD" w:rsidRPr="00BD069E">
              <w:rPr>
                <w:sz w:val="18"/>
                <w:szCs w:val="18"/>
              </w:rPr>
              <w:t>215</w:t>
            </w:r>
          </w:p>
        </w:tc>
        <w:tc>
          <w:tcPr>
            <w:tcW w:w="1044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178 </w:t>
            </w:r>
            <w:r w:rsidR="006412CD" w:rsidRPr="00BD069E">
              <w:rPr>
                <w:sz w:val="18"/>
                <w:szCs w:val="18"/>
              </w:rPr>
              <w:t>700</w:t>
            </w: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284" w:hanging="284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ICT podpora SP</w:t>
            </w:r>
          </w:p>
        </w:tc>
        <w:tc>
          <w:tcPr>
            <w:tcW w:w="113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45 </w:t>
            </w:r>
            <w:r w:rsidR="006412CD" w:rsidRPr="00BD069E">
              <w:rPr>
                <w:sz w:val="18"/>
                <w:szCs w:val="18"/>
              </w:rPr>
              <w:t>500</w:t>
            </w:r>
          </w:p>
        </w:tc>
        <w:tc>
          <w:tcPr>
            <w:tcW w:w="1175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18 </w:t>
            </w:r>
            <w:r w:rsidR="006412CD" w:rsidRPr="00BD069E">
              <w:rPr>
                <w:sz w:val="18"/>
                <w:szCs w:val="18"/>
              </w:rPr>
              <w:t>520</w:t>
            </w:r>
          </w:p>
        </w:tc>
        <w:tc>
          <w:tcPr>
            <w:tcW w:w="1239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17 </w:t>
            </w:r>
            <w:r w:rsidR="006412CD" w:rsidRPr="00BD069E">
              <w:rPr>
                <w:sz w:val="18"/>
                <w:szCs w:val="18"/>
              </w:rPr>
              <w:t>120</w:t>
            </w:r>
          </w:p>
        </w:tc>
        <w:tc>
          <w:tcPr>
            <w:tcW w:w="104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vAlign w:val="center"/>
          </w:tcPr>
          <w:p w:rsidR="006412CD" w:rsidRPr="00BD069E" w:rsidRDefault="006412CD" w:rsidP="00BD069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Řízení státního dluhu</w:t>
            </w:r>
          </w:p>
        </w:tc>
        <w:tc>
          <w:tcPr>
            <w:tcW w:w="113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30</w:t>
            </w:r>
            <w:r w:rsidR="00EA6352" w:rsidRPr="00BD069E">
              <w:rPr>
                <w:sz w:val="18"/>
                <w:szCs w:val="18"/>
              </w:rPr>
              <w:t xml:space="preserve"> </w:t>
            </w:r>
            <w:r w:rsidRPr="00BD069E">
              <w:rPr>
                <w:sz w:val="18"/>
                <w:szCs w:val="18"/>
              </w:rPr>
              <w:t>940</w:t>
            </w:r>
          </w:p>
        </w:tc>
        <w:tc>
          <w:tcPr>
            <w:tcW w:w="1175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30 </w:t>
            </w:r>
            <w:r w:rsidR="006412CD" w:rsidRPr="00BD069E">
              <w:rPr>
                <w:sz w:val="18"/>
                <w:szCs w:val="18"/>
              </w:rPr>
              <w:t>940</w:t>
            </w:r>
          </w:p>
        </w:tc>
        <w:tc>
          <w:tcPr>
            <w:tcW w:w="1239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78 </w:t>
            </w:r>
            <w:r w:rsidR="006412CD" w:rsidRPr="00BD069E">
              <w:rPr>
                <w:sz w:val="18"/>
                <w:szCs w:val="18"/>
              </w:rPr>
              <w:t>775</w:t>
            </w:r>
          </w:p>
        </w:tc>
        <w:tc>
          <w:tcPr>
            <w:tcW w:w="1044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11 </w:t>
            </w:r>
            <w:r w:rsidR="006412CD" w:rsidRPr="00BD069E">
              <w:rPr>
                <w:sz w:val="18"/>
                <w:szCs w:val="18"/>
              </w:rPr>
              <w:t>000</w:t>
            </w: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4</w:t>
            </w:r>
          </w:p>
        </w:tc>
        <w:tc>
          <w:tcPr>
            <w:tcW w:w="2801" w:type="dxa"/>
            <w:vAlign w:val="center"/>
          </w:tcPr>
          <w:p w:rsidR="006412CD" w:rsidRPr="00BD069E" w:rsidRDefault="006412CD" w:rsidP="00BD069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Služby právní podpory při realizaci I</w:t>
            </w:r>
            <w:r w:rsidR="00B12441" w:rsidRPr="00BD069E">
              <w:rPr>
                <w:sz w:val="18"/>
                <w:szCs w:val="18"/>
              </w:rPr>
              <w:t>I</w:t>
            </w:r>
            <w:r w:rsidRPr="00BD069E">
              <w:rPr>
                <w:sz w:val="18"/>
                <w:szCs w:val="18"/>
              </w:rPr>
              <w:t>SSP</w:t>
            </w:r>
          </w:p>
        </w:tc>
        <w:tc>
          <w:tcPr>
            <w:tcW w:w="1134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83 </w:t>
            </w:r>
            <w:r w:rsidR="006412CD" w:rsidRPr="00BD069E">
              <w:rPr>
                <w:sz w:val="18"/>
                <w:szCs w:val="18"/>
              </w:rPr>
              <w:t>014</w:t>
            </w:r>
          </w:p>
        </w:tc>
        <w:tc>
          <w:tcPr>
            <w:tcW w:w="1100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77 </w:t>
            </w:r>
            <w:r w:rsidR="006412CD" w:rsidRPr="00BD069E">
              <w:rPr>
                <w:sz w:val="18"/>
                <w:szCs w:val="18"/>
              </w:rPr>
              <w:t>112</w:t>
            </w:r>
          </w:p>
        </w:tc>
        <w:tc>
          <w:tcPr>
            <w:tcW w:w="1175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12 </w:t>
            </w:r>
            <w:r w:rsidR="006412CD" w:rsidRPr="00BD069E">
              <w:rPr>
                <w:sz w:val="18"/>
                <w:szCs w:val="18"/>
              </w:rPr>
              <w:t>853</w:t>
            </w:r>
          </w:p>
        </w:tc>
        <w:tc>
          <w:tcPr>
            <w:tcW w:w="1239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18</w:t>
            </w:r>
            <w:r w:rsidR="00EA6352" w:rsidRPr="00BD069E">
              <w:rPr>
                <w:sz w:val="18"/>
                <w:szCs w:val="18"/>
              </w:rPr>
              <w:t xml:space="preserve"> </w:t>
            </w:r>
            <w:r w:rsidRPr="00BD069E">
              <w:rPr>
                <w:sz w:val="18"/>
                <w:szCs w:val="18"/>
              </w:rPr>
              <w:t>255</w:t>
            </w:r>
          </w:p>
        </w:tc>
        <w:tc>
          <w:tcPr>
            <w:tcW w:w="104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1</w:t>
            </w: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5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5</w:t>
            </w:r>
          </w:p>
        </w:tc>
        <w:tc>
          <w:tcPr>
            <w:tcW w:w="2801" w:type="dxa"/>
            <w:vAlign w:val="center"/>
          </w:tcPr>
          <w:p w:rsidR="006412CD" w:rsidRPr="00BD069E" w:rsidRDefault="006412CD" w:rsidP="00BD069E">
            <w:pPr>
              <w:tabs>
                <w:tab w:val="left" w:pos="284"/>
              </w:tabs>
              <w:spacing w:before="20" w:after="20"/>
              <w:jc w:val="left"/>
              <w:rPr>
                <w:sz w:val="18"/>
                <w:szCs w:val="18"/>
                <w:vertAlign w:val="superscript"/>
              </w:rPr>
            </w:pPr>
            <w:r w:rsidRPr="00BD069E">
              <w:rPr>
                <w:sz w:val="18"/>
                <w:szCs w:val="18"/>
              </w:rPr>
              <w:t>Služby manažera projektu pro realizaci ISSP</w:t>
            </w:r>
            <w:r w:rsidR="003E3904" w:rsidRPr="00BD069E">
              <w:rPr>
                <w:rStyle w:val="Znakapoznpodarou"/>
                <w:sz w:val="18"/>
                <w:szCs w:val="18"/>
              </w:rPr>
              <w:footnoteReference w:id="4"/>
            </w:r>
          </w:p>
        </w:tc>
        <w:tc>
          <w:tcPr>
            <w:tcW w:w="1134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99 </w:t>
            </w:r>
            <w:r w:rsidR="006412CD" w:rsidRPr="00BD069E">
              <w:rPr>
                <w:sz w:val="18"/>
                <w:szCs w:val="18"/>
              </w:rPr>
              <w:t>960</w:t>
            </w:r>
          </w:p>
        </w:tc>
        <w:tc>
          <w:tcPr>
            <w:tcW w:w="1100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99 </w:t>
            </w:r>
            <w:r w:rsidR="006412CD" w:rsidRPr="00BD069E"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44 </w:t>
            </w:r>
            <w:r w:rsidR="006412CD" w:rsidRPr="00BD069E">
              <w:rPr>
                <w:sz w:val="18"/>
                <w:szCs w:val="18"/>
              </w:rPr>
              <w:t>839</w:t>
            </w:r>
          </w:p>
        </w:tc>
        <w:tc>
          <w:tcPr>
            <w:tcW w:w="1239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127 </w:t>
            </w:r>
            <w:r w:rsidR="006412CD" w:rsidRPr="00BD069E">
              <w:rPr>
                <w:sz w:val="18"/>
                <w:szCs w:val="18"/>
              </w:rPr>
              <w:t>204</w:t>
            </w:r>
          </w:p>
        </w:tc>
        <w:tc>
          <w:tcPr>
            <w:tcW w:w="1044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10 </w:t>
            </w:r>
            <w:r w:rsidR="006412CD" w:rsidRPr="00BD069E">
              <w:rPr>
                <w:sz w:val="18"/>
                <w:szCs w:val="18"/>
              </w:rPr>
              <w:t>000</w:t>
            </w: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6</w:t>
            </w:r>
          </w:p>
        </w:tc>
        <w:tc>
          <w:tcPr>
            <w:tcW w:w="2801" w:type="dxa"/>
            <w:vAlign w:val="center"/>
          </w:tcPr>
          <w:p w:rsidR="006412CD" w:rsidRPr="00BD069E" w:rsidRDefault="006412CD" w:rsidP="00BD069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IS EDS/ISPROFIN a</w:t>
            </w:r>
            <w:r w:rsidR="000F37F7" w:rsidRPr="00BD069E">
              <w:rPr>
                <w:sz w:val="18"/>
                <w:szCs w:val="18"/>
              </w:rPr>
              <w:t> </w:t>
            </w:r>
            <w:r w:rsidRPr="00BD069E">
              <w:rPr>
                <w:sz w:val="18"/>
                <w:szCs w:val="18"/>
              </w:rPr>
              <w:t>SMVS/ISPROFIN</w:t>
            </w:r>
          </w:p>
        </w:tc>
        <w:tc>
          <w:tcPr>
            <w:tcW w:w="113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77 </w:t>
            </w:r>
            <w:r w:rsidR="006412CD" w:rsidRPr="00BD069E"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77 </w:t>
            </w:r>
            <w:r w:rsidR="006412CD" w:rsidRPr="00BD069E">
              <w:rPr>
                <w:sz w:val="18"/>
                <w:szCs w:val="18"/>
              </w:rPr>
              <w:t>198</w:t>
            </w:r>
          </w:p>
        </w:tc>
        <w:tc>
          <w:tcPr>
            <w:tcW w:w="1239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144 </w:t>
            </w:r>
            <w:r w:rsidR="006412CD" w:rsidRPr="00BD069E">
              <w:rPr>
                <w:sz w:val="18"/>
                <w:szCs w:val="18"/>
              </w:rPr>
              <w:t>166</w:t>
            </w:r>
          </w:p>
        </w:tc>
        <w:tc>
          <w:tcPr>
            <w:tcW w:w="1044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7 </w:t>
            </w:r>
            <w:r w:rsidR="006412CD" w:rsidRPr="00BD069E">
              <w:rPr>
                <w:sz w:val="18"/>
                <w:szCs w:val="18"/>
              </w:rPr>
              <w:t>400</w:t>
            </w: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7</w:t>
            </w:r>
          </w:p>
        </w:tc>
        <w:tc>
          <w:tcPr>
            <w:tcW w:w="2801" w:type="dxa"/>
            <w:vAlign w:val="center"/>
          </w:tcPr>
          <w:p w:rsidR="006412CD" w:rsidRPr="00BD069E" w:rsidRDefault="006412CD" w:rsidP="00BD069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Rezerva v nákladech na projekty</w:t>
            </w:r>
          </w:p>
        </w:tc>
        <w:tc>
          <w:tcPr>
            <w:tcW w:w="113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651</w:t>
            </w:r>
          </w:p>
        </w:tc>
        <w:tc>
          <w:tcPr>
            <w:tcW w:w="1175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9 </w:t>
            </w:r>
            <w:r w:rsidR="006412CD" w:rsidRPr="00BD069E">
              <w:rPr>
                <w:sz w:val="18"/>
                <w:szCs w:val="18"/>
              </w:rPr>
              <w:t>500</w:t>
            </w:r>
          </w:p>
        </w:tc>
        <w:tc>
          <w:tcPr>
            <w:tcW w:w="104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8</w:t>
            </w:r>
          </w:p>
        </w:tc>
        <w:tc>
          <w:tcPr>
            <w:tcW w:w="2801" w:type="dxa"/>
            <w:vAlign w:val="center"/>
          </w:tcPr>
          <w:p w:rsidR="006412CD" w:rsidRPr="00BD069E" w:rsidRDefault="00516387" w:rsidP="00BD069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Projektový</w:t>
            </w:r>
            <w:r w:rsidR="006412CD" w:rsidRPr="00BD069E">
              <w:rPr>
                <w:sz w:val="18"/>
                <w:szCs w:val="18"/>
              </w:rPr>
              <w:t xml:space="preserve"> dozor</w:t>
            </w:r>
            <w:r w:rsidRPr="00BD069E">
              <w:rPr>
                <w:sz w:val="18"/>
                <w:szCs w:val="18"/>
              </w:rPr>
              <w:t xml:space="preserve"> </w:t>
            </w:r>
            <w:r w:rsidR="000916F0" w:rsidRPr="00BD069E">
              <w:rPr>
                <w:sz w:val="18"/>
                <w:szCs w:val="18"/>
              </w:rPr>
              <w:t xml:space="preserve">vývoje </w:t>
            </w:r>
            <w:r w:rsidR="00C8510E">
              <w:rPr>
                <w:sz w:val="18"/>
                <w:szCs w:val="18"/>
              </w:rPr>
              <w:t>IS </w:t>
            </w:r>
            <w:r w:rsidR="006412CD" w:rsidRPr="00BD069E">
              <w:rPr>
                <w:sz w:val="18"/>
                <w:szCs w:val="18"/>
              </w:rPr>
              <w:t>EDS/ISPROFIN a</w:t>
            </w:r>
            <w:r w:rsidR="00BD069E">
              <w:rPr>
                <w:sz w:val="18"/>
                <w:szCs w:val="18"/>
              </w:rPr>
              <w:t> </w:t>
            </w:r>
            <w:r w:rsidR="006412CD" w:rsidRPr="00BD069E">
              <w:rPr>
                <w:sz w:val="18"/>
                <w:szCs w:val="18"/>
              </w:rPr>
              <w:t>SMVS/ISPROFIN</w:t>
            </w:r>
          </w:p>
        </w:tc>
        <w:tc>
          <w:tcPr>
            <w:tcW w:w="113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1 </w:t>
            </w:r>
            <w:r w:rsidR="006412CD" w:rsidRPr="00BD069E">
              <w:rPr>
                <w:sz w:val="18"/>
                <w:szCs w:val="18"/>
              </w:rPr>
              <w:t>563</w:t>
            </w:r>
          </w:p>
        </w:tc>
        <w:tc>
          <w:tcPr>
            <w:tcW w:w="1239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2 </w:t>
            </w:r>
            <w:r w:rsidR="006412CD" w:rsidRPr="00BD069E">
              <w:rPr>
                <w:sz w:val="18"/>
                <w:szCs w:val="18"/>
              </w:rPr>
              <w:t>063</w:t>
            </w:r>
          </w:p>
        </w:tc>
        <w:tc>
          <w:tcPr>
            <w:tcW w:w="104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9</w:t>
            </w:r>
          </w:p>
        </w:tc>
        <w:tc>
          <w:tcPr>
            <w:tcW w:w="2801" w:type="dxa"/>
            <w:vAlign w:val="center"/>
          </w:tcPr>
          <w:p w:rsidR="006412CD" w:rsidRPr="00BD069E" w:rsidRDefault="006412CD" w:rsidP="00BD069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IISSP – podpora, licenční poplatky SAP</w:t>
            </w:r>
          </w:p>
        </w:tc>
        <w:tc>
          <w:tcPr>
            <w:tcW w:w="113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251 </w:t>
            </w:r>
            <w:r w:rsidR="006412CD" w:rsidRPr="00BD069E">
              <w:rPr>
                <w:sz w:val="18"/>
                <w:szCs w:val="18"/>
              </w:rPr>
              <w:t>576</w:t>
            </w:r>
          </w:p>
        </w:tc>
        <w:tc>
          <w:tcPr>
            <w:tcW w:w="1239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213 </w:t>
            </w:r>
            <w:r w:rsidR="006412CD" w:rsidRPr="00BD069E">
              <w:rPr>
                <w:sz w:val="18"/>
                <w:szCs w:val="18"/>
              </w:rPr>
              <w:t>600</w:t>
            </w:r>
          </w:p>
        </w:tc>
        <w:tc>
          <w:tcPr>
            <w:tcW w:w="1044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71 </w:t>
            </w:r>
            <w:r w:rsidR="006412CD" w:rsidRPr="00BD069E">
              <w:rPr>
                <w:sz w:val="18"/>
                <w:szCs w:val="18"/>
              </w:rPr>
              <w:t>200</w:t>
            </w: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10</w:t>
            </w:r>
          </w:p>
        </w:tc>
        <w:tc>
          <w:tcPr>
            <w:tcW w:w="2801" w:type="dxa"/>
            <w:vAlign w:val="center"/>
          </w:tcPr>
          <w:p w:rsidR="006412CD" w:rsidRPr="00BD069E" w:rsidRDefault="006412CD" w:rsidP="00BD069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Aplikační podpora IISSP</w:t>
            </w:r>
          </w:p>
        </w:tc>
        <w:tc>
          <w:tcPr>
            <w:tcW w:w="113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885 </w:t>
            </w:r>
            <w:r w:rsidR="006412CD" w:rsidRPr="00BD069E">
              <w:rPr>
                <w:sz w:val="18"/>
                <w:szCs w:val="18"/>
              </w:rPr>
              <w:t>400</w:t>
            </w:r>
          </w:p>
        </w:tc>
        <w:tc>
          <w:tcPr>
            <w:tcW w:w="1044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235 </w:t>
            </w:r>
            <w:r w:rsidR="006412CD" w:rsidRPr="00BD069E">
              <w:rPr>
                <w:sz w:val="18"/>
                <w:szCs w:val="18"/>
              </w:rPr>
              <w:t>000</w:t>
            </w: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11</w:t>
            </w:r>
          </w:p>
        </w:tc>
        <w:tc>
          <w:tcPr>
            <w:tcW w:w="2801" w:type="dxa"/>
            <w:vAlign w:val="center"/>
          </w:tcPr>
          <w:p w:rsidR="006412CD" w:rsidRPr="00BD069E" w:rsidRDefault="006412CD" w:rsidP="00BD069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ÚFIS</w:t>
            </w:r>
          </w:p>
        </w:tc>
        <w:tc>
          <w:tcPr>
            <w:tcW w:w="113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26 </w:t>
            </w:r>
            <w:r w:rsidR="006412CD" w:rsidRPr="00BD069E">
              <w:rPr>
                <w:sz w:val="18"/>
                <w:szCs w:val="18"/>
              </w:rPr>
              <w:t>300</w:t>
            </w:r>
          </w:p>
        </w:tc>
        <w:tc>
          <w:tcPr>
            <w:tcW w:w="1044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8 </w:t>
            </w:r>
            <w:r w:rsidR="006412CD" w:rsidRPr="00BD069E">
              <w:rPr>
                <w:sz w:val="18"/>
                <w:szCs w:val="18"/>
              </w:rPr>
              <w:t>700</w:t>
            </w: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12</w:t>
            </w:r>
          </w:p>
        </w:tc>
        <w:tc>
          <w:tcPr>
            <w:tcW w:w="2801" w:type="dxa"/>
            <w:vAlign w:val="center"/>
          </w:tcPr>
          <w:p w:rsidR="006412CD" w:rsidRPr="00BD069E" w:rsidRDefault="006412CD" w:rsidP="00BD069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Bázová podpora IISSP</w:t>
            </w:r>
          </w:p>
        </w:tc>
        <w:tc>
          <w:tcPr>
            <w:tcW w:w="1134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6412CD" w:rsidRPr="00BD069E" w:rsidRDefault="006412CD" w:rsidP="00BD069E">
            <w:pPr>
              <w:spacing w:before="20" w:after="20"/>
              <w:ind w:left="-108" w:right="33"/>
              <w:jc w:val="right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90 </w:t>
            </w:r>
            <w:r w:rsidR="006412CD" w:rsidRPr="00BD069E">
              <w:rPr>
                <w:sz w:val="18"/>
                <w:szCs w:val="18"/>
              </w:rPr>
              <w:t>000</w:t>
            </w:r>
          </w:p>
        </w:tc>
        <w:tc>
          <w:tcPr>
            <w:tcW w:w="1044" w:type="dxa"/>
            <w:vAlign w:val="center"/>
          </w:tcPr>
          <w:p w:rsidR="006412CD" w:rsidRPr="00BD069E" w:rsidRDefault="00EA6352" w:rsidP="00BD069E">
            <w:pPr>
              <w:spacing w:before="20" w:after="20"/>
              <w:ind w:left="-108" w:right="3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30 </w:t>
            </w:r>
            <w:r w:rsidR="006412CD" w:rsidRPr="00BD069E">
              <w:rPr>
                <w:sz w:val="18"/>
                <w:szCs w:val="18"/>
              </w:rPr>
              <w:t>000</w:t>
            </w: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7410BC" w:rsidRDefault="006412CD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FFFFFF" w:themeFill="background1"/>
            <w:vAlign w:val="center"/>
          </w:tcPr>
          <w:p w:rsidR="006412CD" w:rsidRPr="007410BC" w:rsidRDefault="006412CD" w:rsidP="00BD069E">
            <w:pPr>
              <w:spacing w:before="20" w:after="20"/>
              <w:jc w:val="left"/>
              <w:rPr>
                <w:b/>
                <w:sz w:val="18"/>
                <w:szCs w:val="18"/>
              </w:rPr>
            </w:pPr>
            <w:r w:rsidRPr="007410BC"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412CD" w:rsidRPr="007410BC" w:rsidRDefault="00EA6352" w:rsidP="00BD069E">
            <w:pPr>
              <w:spacing w:before="20" w:after="20"/>
              <w:ind w:left="-108" w:right="33"/>
              <w:jc w:val="right"/>
              <w:rPr>
                <w:b/>
                <w:sz w:val="18"/>
                <w:szCs w:val="18"/>
              </w:rPr>
            </w:pPr>
            <w:r w:rsidRPr="007410BC">
              <w:rPr>
                <w:b/>
                <w:sz w:val="18"/>
                <w:szCs w:val="18"/>
              </w:rPr>
              <w:t xml:space="preserve">182 </w:t>
            </w:r>
            <w:r w:rsidR="006412CD" w:rsidRPr="007410BC">
              <w:rPr>
                <w:b/>
                <w:sz w:val="18"/>
                <w:szCs w:val="18"/>
              </w:rPr>
              <w:t>974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6412CD" w:rsidRPr="007410BC" w:rsidRDefault="00EA6352" w:rsidP="00BD069E">
            <w:pPr>
              <w:spacing w:before="20" w:after="20"/>
              <w:ind w:left="-108" w:right="33"/>
              <w:jc w:val="right"/>
              <w:rPr>
                <w:b/>
                <w:sz w:val="18"/>
                <w:szCs w:val="18"/>
              </w:rPr>
            </w:pPr>
            <w:r w:rsidRPr="007410BC">
              <w:rPr>
                <w:b/>
                <w:sz w:val="18"/>
                <w:szCs w:val="18"/>
              </w:rPr>
              <w:t xml:space="preserve">2 723 </w:t>
            </w:r>
            <w:r w:rsidR="006412CD" w:rsidRPr="007410BC">
              <w:rPr>
                <w:b/>
                <w:sz w:val="18"/>
                <w:szCs w:val="18"/>
              </w:rPr>
              <w:t>632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6412CD" w:rsidRPr="007410BC" w:rsidRDefault="00EA6352" w:rsidP="00BD069E">
            <w:pPr>
              <w:spacing w:before="20" w:after="20"/>
              <w:ind w:left="-108" w:right="33"/>
              <w:jc w:val="right"/>
              <w:rPr>
                <w:b/>
                <w:sz w:val="18"/>
                <w:szCs w:val="18"/>
              </w:rPr>
            </w:pPr>
            <w:r w:rsidRPr="007410BC">
              <w:rPr>
                <w:b/>
                <w:sz w:val="18"/>
                <w:szCs w:val="18"/>
              </w:rPr>
              <w:t xml:space="preserve">2 995 </w:t>
            </w:r>
            <w:r w:rsidR="006412CD" w:rsidRPr="007410BC">
              <w:rPr>
                <w:b/>
                <w:sz w:val="18"/>
                <w:szCs w:val="18"/>
              </w:rPr>
              <w:t>945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412CD" w:rsidRPr="007410BC" w:rsidRDefault="00EA6352" w:rsidP="00BD069E">
            <w:pPr>
              <w:spacing w:before="20" w:after="20"/>
              <w:ind w:left="-108" w:right="34"/>
              <w:jc w:val="right"/>
              <w:rPr>
                <w:b/>
                <w:sz w:val="18"/>
                <w:szCs w:val="18"/>
              </w:rPr>
            </w:pPr>
            <w:r w:rsidRPr="007410BC">
              <w:rPr>
                <w:b/>
                <w:sz w:val="18"/>
                <w:szCs w:val="18"/>
              </w:rPr>
              <w:t xml:space="preserve">4 869 </w:t>
            </w:r>
            <w:r w:rsidR="006412CD" w:rsidRPr="007410BC">
              <w:rPr>
                <w:b/>
                <w:sz w:val="18"/>
                <w:szCs w:val="18"/>
              </w:rPr>
              <w:t>599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6412CD" w:rsidRPr="007410BC" w:rsidRDefault="00EA6352" w:rsidP="00BD069E">
            <w:pPr>
              <w:spacing w:before="20" w:after="20"/>
              <w:ind w:left="-108" w:right="34"/>
              <w:jc w:val="right"/>
              <w:rPr>
                <w:b/>
                <w:sz w:val="18"/>
                <w:szCs w:val="18"/>
              </w:rPr>
            </w:pPr>
            <w:r w:rsidRPr="007410BC">
              <w:rPr>
                <w:b/>
                <w:sz w:val="18"/>
                <w:szCs w:val="18"/>
              </w:rPr>
              <w:t xml:space="preserve">552 </w:t>
            </w:r>
            <w:r w:rsidR="006412CD" w:rsidRPr="007410BC">
              <w:rPr>
                <w:b/>
                <w:sz w:val="18"/>
                <w:szCs w:val="18"/>
              </w:rPr>
              <w:t>001</w:t>
            </w:r>
          </w:p>
        </w:tc>
      </w:tr>
      <w:tr w:rsidR="006412CD" w:rsidRPr="00BD069E" w:rsidTr="00BD069E">
        <w:trPr>
          <w:trHeight w:val="283"/>
          <w:jc w:val="center"/>
        </w:trPr>
        <w:tc>
          <w:tcPr>
            <w:tcW w:w="568" w:type="dxa"/>
            <w:vAlign w:val="center"/>
          </w:tcPr>
          <w:p w:rsidR="006412CD" w:rsidRPr="00BD069E" w:rsidRDefault="006412CD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Align w:val="center"/>
          </w:tcPr>
          <w:p w:rsidR="006412CD" w:rsidRPr="00BD069E" w:rsidRDefault="00AA459C" w:rsidP="00C8510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 xml:space="preserve">Počet </w:t>
            </w:r>
            <w:r w:rsidR="006412CD" w:rsidRPr="00BD069E">
              <w:rPr>
                <w:sz w:val="18"/>
                <w:szCs w:val="18"/>
              </w:rPr>
              <w:t>akcí</w:t>
            </w:r>
            <w:r w:rsidR="00545B5E" w:rsidRPr="00BD069E">
              <w:rPr>
                <w:sz w:val="18"/>
                <w:szCs w:val="18"/>
              </w:rPr>
              <w:t xml:space="preserve"> v </w:t>
            </w:r>
            <w:r w:rsidR="00C8510E">
              <w:rPr>
                <w:sz w:val="18"/>
                <w:szCs w:val="18"/>
              </w:rPr>
              <w:t>d</w:t>
            </w:r>
            <w:r w:rsidR="00545B5E" w:rsidRPr="00BD069E">
              <w:rPr>
                <w:sz w:val="18"/>
                <w:szCs w:val="18"/>
              </w:rPr>
              <w:t>okumentaci programu</w:t>
            </w:r>
          </w:p>
        </w:tc>
        <w:tc>
          <w:tcPr>
            <w:tcW w:w="1134" w:type="dxa"/>
            <w:vAlign w:val="center"/>
          </w:tcPr>
          <w:p w:rsidR="006412CD" w:rsidRPr="00BD069E" w:rsidRDefault="006412CD" w:rsidP="00BD069E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2</w:t>
            </w:r>
          </w:p>
        </w:tc>
        <w:tc>
          <w:tcPr>
            <w:tcW w:w="1100" w:type="dxa"/>
            <w:vAlign w:val="center"/>
          </w:tcPr>
          <w:p w:rsidR="006412CD" w:rsidRPr="00BD069E" w:rsidRDefault="006412CD" w:rsidP="00BD069E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7</w:t>
            </w:r>
          </w:p>
        </w:tc>
        <w:tc>
          <w:tcPr>
            <w:tcW w:w="1175" w:type="dxa"/>
            <w:vAlign w:val="center"/>
          </w:tcPr>
          <w:p w:rsidR="006412CD" w:rsidRPr="00BD069E" w:rsidRDefault="006412CD" w:rsidP="00BD069E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8</w:t>
            </w:r>
          </w:p>
        </w:tc>
        <w:tc>
          <w:tcPr>
            <w:tcW w:w="1239" w:type="dxa"/>
            <w:vAlign w:val="center"/>
          </w:tcPr>
          <w:p w:rsidR="006412CD" w:rsidRPr="00BD069E" w:rsidRDefault="006412CD" w:rsidP="00BD069E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12</w:t>
            </w:r>
          </w:p>
        </w:tc>
        <w:tc>
          <w:tcPr>
            <w:tcW w:w="1044" w:type="dxa"/>
            <w:vAlign w:val="center"/>
          </w:tcPr>
          <w:p w:rsidR="006412CD" w:rsidRPr="00BD069E" w:rsidRDefault="006412CD" w:rsidP="00BD069E">
            <w:pPr>
              <w:spacing w:before="20" w:after="20"/>
              <w:jc w:val="right"/>
              <w:rPr>
                <w:sz w:val="18"/>
                <w:szCs w:val="18"/>
              </w:rPr>
            </w:pPr>
          </w:p>
        </w:tc>
      </w:tr>
    </w:tbl>
    <w:p w:rsidR="006412CD" w:rsidRPr="00712227" w:rsidRDefault="006412CD" w:rsidP="00BD069E">
      <w:pPr>
        <w:spacing w:before="40"/>
        <w:rPr>
          <w:sz w:val="18"/>
          <w:szCs w:val="18"/>
        </w:rPr>
      </w:pPr>
      <w:r w:rsidRPr="000F37F7">
        <w:rPr>
          <w:b/>
          <w:sz w:val="18"/>
          <w:szCs w:val="18"/>
        </w:rPr>
        <w:t>Zdroj:</w:t>
      </w:r>
      <w:r w:rsidR="00F23F0D">
        <w:rPr>
          <w:sz w:val="18"/>
          <w:szCs w:val="18"/>
        </w:rPr>
        <w:t xml:space="preserve"> </w:t>
      </w:r>
      <w:r w:rsidR="00C8510E">
        <w:rPr>
          <w:sz w:val="18"/>
          <w:szCs w:val="18"/>
        </w:rPr>
        <w:t>d</w:t>
      </w:r>
      <w:r w:rsidRPr="00712227">
        <w:rPr>
          <w:sz w:val="18"/>
          <w:szCs w:val="18"/>
        </w:rPr>
        <w:t>okumentace programu</w:t>
      </w:r>
      <w:r w:rsidR="009D7507">
        <w:rPr>
          <w:sz w:val="18"/>
          <w:szCs w:val="18"/>
        </w:rPr>
        <w:t>.</w:t>
      </w:r>
    </w:p>
    <w:p w:rsidR="00C35561" w:rsidRDefault="00C35561" w:rsidP="00545B5E">
      <w:pPr>
        <w:spacing w:before="0"/>
        <w:rPr>
          <w:sz w:val="22"/>
          <w:szCs w:val="22"/>
        </w:rPr>
      </w:pPr>
    </w:p>
    <w:p w:rsidR="0055227C" w:rsidRDefault="008D09A9" w:rsidP="00545B5E">
      <w:pPr>
        <w:spacing w:before="0"/>
        <w:rPr>
          <w:sz w:val="22"/>
          <w:szCs w:val="22"/>
        </w:rPr>
      </w:pPr>
      <w:r>
        <w:rPr>
          <w:sz w:val="22"/>
          <w:szCs w:val="22"/>
        </w:rPr>
        <w:t>V průběhu let 2008 až 2011 došlo k nárůstu finančních potřeb v podprogramu 112 091</w:t>
      </w:r>
      <w:r w:rsidR="00C8510E">
        <w:rPr>
          <w:sz w:val="22"/>
          <w:szCs w:val="22"/>
        </w:rPr>
        <w:t>,</w:t>
      </w:r>
      <w:r>
        <w:rPr>
          <w:sz w:val="22"/>
          <w:szCs w:val="22"/>
        </w:rPr>
        <w:t xml:space="preserve"> zejména navýšením finančních potřeb u stěžejní akce</w:t>
      </w:r>
      <w:r w:rsidR="00061E32">
        <w:rPr>
          <w:sz w:val="22"/>
          <w:szCs w:val="22"/>
        </w:rPr>
        <w:t xml:space="preserve"> </w:t>
      </w:r>
      <w:r w:rsidR="00061E32" w:rsidRPr="00B56E2F">
        <w:rPr>
          <w:i/>
          <w:sz w:val="22"/>
          <w:szCs w:val="22"/>
        </w:rPr>
        <w:t>Integrovaný informační systém Státní pokladny</w:t>
      </w:r>
      <w:r w:rsidRPr="00B56E2F">
        <w:rPr>
          <w:i/>
          <w:sz w:val="22"/>
          <w:szCs w:val="22"/>
        </w:rPr>
        <w:t xml:space="preserve"> </w:t>
      </w:r>
      <w:r w:rsidR="00061E32" w:rsidRPr="00B56E2F">
        <w:rPr>
          <w:i/>
          <w:sz w:val="22"/>
          <w:szCs w:val="22"/>
        </w:rPr>
        <w:t>(</w:t>
      </w:r>
      <w:r w:rsidRPr="00B56E2F">
        <w:rPr>
          <w:i/>
          <w:sz w:val="22"/>
          <w:szCs w:val="22"/>
        </w:rPr>
        <w:t>IISSP</w:t>
      </w:r>
      <w:r w:rsidR="00061E32" w:rsidRPr="00B56E2F">
        <w:rPr>
          <w:i/>
          <w:sz w:val="22"/>
          <w:szCs w:val="22"/>
        </w:rPr>
        <w:t>)</w:t>
      </w:r>
      <w:r w:rsidR="00C35561">
        <w:rPr>
          <w:sz w:val="22"/>
          <w:szCs w:val="22"/>
        </w:rPr>
        <w:t>,</w:t>
      </w:r>
      <w:r>
        <w:rPr>
          <w:sz w:val="22"/>
          <w:szCs w:val="22"/>
        </w:rPr>
        <w:t xml:space="preserve"> prodloužením realizace podprogramu o jeden rok</w:t>
      </w:r>
      <w:r w:rsidR="00C35561">
        <w:rPr>
          <w:sz w:val="22"/>
          <w:szCs w:val="22"/>
        </w:rPr>
        <w:t xml:space="preserve"> a</w:t>
      </w:r>
      <w:r w:rsidR="00C35561" w:rsidRPr="00C35561">
        <w:rPr>
          <w:sz w:val="22"/>
          <w:szCs w:val="22"/>
        </w:rPr>
        <w:t xml:space="preserve"> </w:t>
      </w:r>
      <w:r w:rsidR="00C35561">
        <w:rPr>
          <w:sz w:val="22"/>
          <w:szCs w:val="22"/>
        </w:rPr>
        <w:t>zařazením dalších akcí</w:t>
      </w:r>
      <w:r w:rsidR="00C8510E">
        <w:rPr>
          <w:sz w:val="22"/>
          <w:szCs w:val="22"/>
        </w:rPr>
        <w:t xml:space="preserve"> zaměřených</w:t>
      </w:r>
      <w:r w:rsidR="00477FFA">
        <w:rPr>
          <w:sz w:val="22"/>
          <w:szCs w:val="22"/>
        </w:rPr>
        <w:t xml:space="preserve"> především</w:t>
      </w:r>
      <w:r w:rsidR="00C35561">
        <w:rPr>
          <w:sz w:val="22"/>
          <w:szCs w:val="22"/>
        </w:rPr>
        <w:t xml:space="preserve"> </w:t>
      </w:r>
      <w:r w:rsidR="00C8510E">
        <w:rPr>
          <w:sz w:val="22"/>
          <w:szCs w:val="22"/>
        </w:rPr>
        <w:t xml:space="preserve">na </w:t>
      </w:r>
      <w:r w:rsidR="00C35561">
        <w:rPr>
          <w:sz w:val="22"/>
          <w:szCs w:val="22"/>
        </w:rPr>
        <w:t>zabezpeč</w:t>
      </w:r>
      <w:r w:rsidR="00C8510E">
        <w:rPr>
          <w:sz w:val="22"/>
          <w:szCs w:val="22"/>
        </w:rPr>
        <w:t>ení</w:t>
      </w:r>
      <w:r w:rsidR="00C35561">
        <w:rPr>
          <w:sz w:val="22"/>
          <w:szCs w:val="22"/>
        </w:rPr>
        <w:t xml:space="preserve"> podpor</w:t>
      </w:r>
      <w:r w:rsidR="00C8510E">
        <w:rPr>
          <w:sz w:val="22"/>
          <w:szCs w:val="22"/>
        </w:rPr>
        <w:t>y</w:t>
      </w:r>
      <w:r w:rsidR="00C35561">
        <w:rPr>
          <w:sz w:val="22"/>
          <w:szCs w:val="22"/>
        </w:rPr>
        <w:t xml:space="preserve"> provozu IISSP.</w:t>
      </w:r>
    </w:p>
    <w:p w:rsidR="006412CD" w:rsidRDefault="006412CD" w:rsidP="007E09FB">
      <w:pPr>
        <w:spacing w:before="0"/>
        <w:rPr>
          <w:sz w:val="22"/>
          <w:szCs w:val="22"/>
        </w:rPr>
      </w:pPr>
    </w:p>
    <w:p w:rsidR="00F646B7" w:rsidRDefault="00F646B7">
      <w:pPr>
        <w:spacing w:before="0" w:after="200"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E0C72" w:rsidRDefault="00B13D22" w:rsidP="0037415F">
      <w:pPr>
        <w:spacing w:before="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3A1BBE">
        <w:rPr>
          <w:b/>
          <w:sz w:val="22"/>
          <w:szCs w:val="22"/>
        </w:rPr>
        <w:t>.</w:t>
      </w:r>
      <w:r w:rsidR="00BD069E">
        <w:rPr>
          <w:b/>
          <w:sz w:val="22"/>
          <w:szCs w:val="22"/>
        </w:rPr>
        <w:t xml:space="preserve"> </w:t>
      </w:r>
      <w:r w:rsidR="00BD069E">
        <w:rPr>
          <w:b/>
          <w:sz w:val="22"/>
          <w:szCs w:val="22"/>
        </w:rPr>
        <w:tab/>
      </w:r>
      <w:r w:rsidR="003A1BBE">
        <w:rPr>
          <w:b/>
          <w:sz w:val="22"/>
          <w:szCs w:val="22"/>
        </w:rPr>
        <w:t>Kontrolované akce</w:t>
      </w:r>
      <w:r w:rsidR="0055227C">
        <w:rPr>
          <w:b/>
          <w:sz w:val="22"/>
          <w:szCs w:val="22"/>
        </w:rPr>
        <w:t xml:space="preserve"> </w:t>
      </w:r>
      <w:r w:rsidR="00216BA2">
        <w:rPr>
          <w:b/>
          <w:sz w:val="22"/>
          <w:szCs w:val="22"/>
        </w:rPr>
        <w:t xml:space="preserve">programu 112 09, respektive </w:t>
      </w:r>
      <w:r w:rsidR="0055227C">
        <w:rPr>
          <w:b/>
          <w:sz w:val="22"/>
          <w:szCs w:val="22"/>
        </w:rPr>
        <w:t>podprogramu 112 091</w:t>
      </w:r>
    </w:p>
    <w:p w:rsidR="00BD069E" w:rsidRPr="00BD069E" w:rsidRDefault="00BD069E" w:rsidP="00BD069E">
      <w:pPr>
        <w:spacing w:before="0"/>
        <w:rPr>
          <w:sz w:val="22"/>
          <w:szCs w:val="22"/>
        </w:rPr>
      </w:pPr>
    </w:p>
    <w:p w:rsidR="007414CA" w:rsidRPr="00BD069E" w:rsidRDefault="003A1BBE" w:rsidP="00F66CC9">
      <w:pPr>
        <w:tabs>
          <w:tab w:val="left" w:pos="7938"/>
        </w:tabs>
        <w:spacing w:before="0" w:after="40"/>
        <w:rPr>
          <w:b/>
          <w:sz w:val="22"/>
          <w:szCs w:val="22"/>
        </w:rPr>
      </w:pPr>
      <w:r w:rsidRPr="00BD069E">
        <w:rPr>
          <w:b/>
          <w:sz w:val="22"/>
          <w:szCs w:val="22"/>
        </w:rPr>
        <w:t>Tabulka č. 2 – Kontrolované akce</w:t>
      </w:r>
      <w:r w:rsidR="000745BA">
        <w:rPr>
          <w:b/>
          <w:sz w:val="22"/>
          <w:szCs w:val="22"/>
        </w:rPr>
        <w:t xml:space="preserve"> </w:t>
      </w:r>
      <w:r w:rsidR="000745BA">
        <w:rPr>
          <w:b/>
          <w:sz w:val="22"/>
          <w:szCs w:val="22"/>
        </w:rPr>
        <w:tab/>
      </w:r>
      <w:r w:rsidR="00F66CC9">
        <w:rPr>
          <w:b/>
          <w:sz w:val="22"/>
          <w:szCs w:val="22"/>
        </w:rPr>
        <w:t>(v tis. Kč)</w:t>
      </w:r>
    </w:p>
    <w:tbl>
      <w:tblPr>
        <w:tblStyle w:val="Mkatabulky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64"/>
        <w:gridCol w:w="5244"/>
        <w:gridCol w:w="2871"/>
      </w:tblGrid>
      <w:tr w:rsidR="003A1BBE" w:rsidRPr="00BD069E" w:rsidTr="000745BA">
        <w:trPr>
          <w:trHeight w:val="283"/>
          <w:jc w:val="center"/>
        </w:trPr>
        <w:tc>
          <w:tcPr>
            <w:tcW w:w="964" w:type="dxa"/>
            <w:shd w:val="clear" w:color="auto" w:fill="FFFFFF" w:themeFill="background1"/>
            <w:vAlign w:val="center"/>
          </w:tcPr>
          <w:p w:rsidR="003A1BBE" w:rsidRPr="00BD069E" w:rsidRDefault="003A1BBE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D069E">
              <w:rPr>
                <w:b/>
                <w:sz w:val="18"/>
                <w:szCs w:val="18"/>
              </w:rPr>
              <w:t>Číslo akce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3A1BBE" w:rsidRPr="00BD069E" w:rsidRDefault="003A1BBE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D069E">
              <w:rPr>
                <w:b/>
                <w:sz w:val="18"/>
                <w:szCs w:val="18"/>
              </w:rPr>
              <w:t>Název akce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3A1BBE" w:rsidRPr="00BD069E" w:rsidRDefault="003A1BBE" w:rsidP="00F66CC9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D069E">
              <w:rPr>
                <w:b/>
                <w:sz w:val="18"/>
                <w:szCs w:val="18"/>
              </w:rPr>
              <w:t>Skutečné výdaje v letech 2008 až 2011</w:t>
            </w:r>
          </w:p>
        </w:tc>
      </w:tr>
      <w:tr w:rsidR="007414CA" w:rsidRPr="00BD069E" w:rsidTr="000745BA">
        <w:trPr>
          <w:trHeight w:val="283"/>
          <w:jc w:val="center"/>
        </w:trPr>
        <w:tc>
          <w:tcPr>
            <w:tcW w:w="964" w:type="dxa"/>
            <w:vAlign w:val="center"/>
          </w:tcPr>
          <w:p w:rsidR="007414CA" w:rsidRPr="00BD069E" w:rsidRDefault="007414CA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  <w:vAlign w:val="center"/>
          </w:tcPr>
          <w:p w:rsidR="007414CA" w:rsidRPr="00BD069E" w:rsidRDefault="007414CA" w:rsidP="00BD069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Integrovaný informační systém Státní pokladny</w:t>
            </w:r>
            <w:r w:rsidR="009148D7" w:rsidRPr="00BD069E">
              <w:rPr>
                <w:sz w:val="18"/>
                <w:szCs w:val="18"/>
              </w:rPr>
              <w:t xml:space="preserve"> (IISSP)</w:t>
            </w:r>
          </w:p>
        </w:tc>
        <w:tc>
          <w:tcPr>
            <w:tcW w:w="2871" w:type="dxa"/>
            <w:vAlign w:val="center"/>
          </w:tcPr>
          <w:p w:rsidR="007414CA" w:rsidRPr="00BD069E" w:rsidRDefault="0042136D" w:rsidP="00BD069E">
            <w:pPr>
              <w:spacing w:before="20" w:after="20"/>
              <w:ind w:right="10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2 249 472</w:t>
            </w:r>
          </w:p>
        </w:tc>
      </w:tr>
      <w:tr w:rsidR="007414CA" w:rsidRPr="00BD069E" w:rsidTr="000745BA">
        <w:trPr>
          <w:trHeight w:val="283"/>
          <w:jc w:val="center"/>
        </w:trPr>
        <w:tc>
          <w:tcPr>
            <w:tcW w:w="964" w:type="dxa"/>
            <w:vAlign w:val="center"/>
          </w:tcPr>
          <w:p w:rsidR="007414CA" w:rsidRPr="00BD069E" w:rsidRDefault="007414CA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5</w:t>
            </w:r>
          </w:p>
        </w:tc>
        <w:tc>
          <w:tcPr>
            <w:tcW w:w="5244" w:type="dxa"/>
            <w:vAlign w:val="center"/>
          </w:tcPr>
          <w:p w:rsidR="007414CA" w:rsidRPr="00BD069E" w:rsidRDefault="007414CA" w:rsidP="00BD069E">
            <w:pPr>
              <w:spacing w:before="20" w:after="20"/>
              <w:jc w:val="left"/>
              <w:rPr>
                <w:sz w:val="18"/>
                <w:szCs w:val="18"/>
                <w:vertAlign w:val="superscript"/>
              </w:rPr>
            </w:pPr>
            <w:r w:rsidRPr="00BD069E">
              <w:rPr>
                <w:sz w:val="18"/>
                <w:szCs w:val="18"/>
              </w:rPr>
              <w:t>Služby ma</w:t>
            </w:r>
            <w:r w:rsidR="0069638C" w:rsidRPr="00BD069E">
              <w:rPr>
                <w:sz w:val="18"/>
                <w:szCs w:val="18"/>
              </w:rPr>
              <w:t>nažera projektu pro realizaci I</w:t>
            </w:r>
            <w:r w:rsidRPr="00BD069E">
              <w:rPr>
                <w:sz w:val="18"/>
                <w:szCs w:val="18"/>
              </w:rPr>
              <w:t>SSP</w:t>
            </w:r>
            <w:r w:rsidR="00511726" w:rsidRPr="00BD069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71" w:type="dxa"/>
            <w:vAlign w:val="center"/>
          </w:tcPr>
          <w:p w:rsidR="007414CA" w:rsidRPr="00BD069E" w:rsidRDefault="0042136D" w:rsidP="00BD069E">
            <w:pPr>
              <w:spacing w:before="20" w:after="20"/>
              <w:ind w:right="10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65 922</w:t>
            </w:r>
          </w:p>
        </w:tc>
      </w:tr>
      <w:tr w:rsidR="007414CA" w:rsidRPr="00BD069E" w:rsidTr="000745BA">
        <w:trPr>
          <w:trHeight w:val="283"/>
          <w:jc w:val="center"/>
        </w:trPr>
        <w:tc>
          <w:tcPr>
            <w:tcW w:w="964" w:type="dxa"/>
            <w:vAlign w:val="center"/>
          </w:tcPr>
          <w:p w:rsidR="007414CA" w:rsidRPr="00BD069E" w:rsidRDefault="007414CA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7</w:t>
            </w:r>
          </w:p>
        </w:tc>
        <w:tc>
          <w:tcPr>
            <w:tcW w:w="5244" w:type="dxa"/>
            <w:vAlign w:val="center"/>
          </w:tcPr>
          <w:p w:rsidR="007414CA" w:rsidRPr="00BD069E" w:rsidRDefault="007414CA" w:rsidP="00BD069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Rezerva v nákladech na projekty</w:t>
            </w:r>
          </w:p>
        </w:tc>
        <w:tc>
          <w:tcPr>
            <w:tcW w:w="2871" w:type="dxa"/>
            <w:vAlign w:val="center"/>
          </w:tcPr>
          <w:p w:rsidR="007414CA" w:rsidRPr="00BD069E" w:rsidRDefault="0042136D" w:rsidP="00BD069E">
            <w:pPr>
              <w:spacing w:before="20" w:after="20"/>
              <w:ind w:right="10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1 738</w:t>
            </w:r>
          </w:p>
        </w:tc>
      </w:tr>
      <w:tr w:rsidR="007414CA" w:rsidRPr="00BD069E" w:rsidTr="000745BA">
        <w:trPr>
          <w:trHeight w:val="283"/>
          <w:jc w:val="center"/>
        </w:trPr>
        <w:tc>
          <w:tcPr>
            <w:tcW w:w="964" w:type="dxa"/>
            <w:vAlign w:val="center"/>
          </w:tcPr>
          <w:p w:rsidR="007414CA" w:rsidRPr="00BD069E" w:rsidRDefault="007414CA" w:rsidP="00BD069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10</w:t>
            </w:r>
          </w:p>
        </w:tc>
        <w:tc>
          <w:tcPr>
            <w:tcW w:w="5244" w:type="dxa"/>
            <w:vAlign w:val="center"/>
          </w:tcPr>
          <w:p w:rsidR="007414CA" w:rsidRPr="00BD069E" w:rsidRDefault="007414CA" w:rsidP="00BD069E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Aplikační podpora IISSP</w:t>
            </w:r>
          </w:p>
        </w:tc>
        <w:tc>
          <w:tcPr>
            <w:tcW w:w="2871" w:type="dxa"/>
            <w:vAlign w:val="center"/>
          </w:tcPr>
          <w:p w:rsidR="007414CA" w:rsidRPr="00BD069E" w:rsidRDefault="0042136D" w:rsidP="00BD069E">
            <w:pPr>
              <w:spacing w:before="20" w:after="20"/>
              <w:ind w:right="104"/>
              <w:jc w:val="right"/>
              <w:rPr>
                <w:sz w:val="18"/>
                <w:szCs w:val="18"/>
              </w:rPr>
            </w:pPr>
            <w:r w:rsidRPr="00BD069E">
              <w:rPr>
                <w:sz w:val="18"/>
                <w:szCs w:val="18"/>
              </w:rPr>
              <w:t>109 641</w:t>
            </w:r>
          </w:p>
        </w:tc>
      </w:tr>
      <w:tr w:rsidR="003A1BBE" w:rsidRPr="00F66CC9" w:rsidTr="000745BA">
        <w:trPr>
          <w:trHeight w:val="283"/>
          <w:jc w:val="center"/>
        </w:trPr>
        <w:tc>
          <w:tcPr>
            <w:tcW w:w="964" w:type="dxa"/>
            <w:shd w:val="clear" w:color="auto" w:fill="FFFFFF" w:themeFill="background1"/>
            <w:vAlign w:val="center"/>
          </w:tcPr>
          <w:p w:rsidR="003A1BBE" w:rsidRPr="00B659ED" w:rsidRDefault="003A1BBE" w:rsidP="00BD069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3A1BBE" w:rsidRPr="00B659ED" w:rsidRDefault="003A1BBE" w:rsidP="00BD069E">
            <w:pPr>
              <w:spacing w:before="20" w:after="20"/>
              <w:jc w:val="left"/>
              <w:rPr>
                <w:b/>
                <w:sz w:val="18"/>
                <w:szCs w:val="18"/>
              </w:rPr>
            </w:pPr>
            <w:r w:rsidRPr="00B659ED"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3A1BBE" w:rsidRPr="00B659ED" w:rsidRDefault="0042136D" w:rsidP="00BD069E">
            <w:pPr>
              <w:spacing w:before="20" w:after="20"/>
              <w:ind w:right="104"/>
              <w:jc w:val="right"/>
              <w:rPr>
                <w:b/>
                <w:sz w:val="18"/>
                <w:szCs w:val="18"/>
              </w:rPr>
            </w:pPr>
            <w:r w:rsidRPr="00B659ED">
              <w:rPr>
                <w:b/>
                <w:sz w:val="18"/>
                <w:szCs w:val="18"/>
              </w:rPr>
              <w:t>2 426 773</w:t>
            </w:r>
          </w:p>
        </w:tc>
      </w:tr>
    </w:tbl>
    <w:p w:rsidR="003E0C72" w:rsidRPr="00D01D81" w:rsidRDefault="00D01D81" w:rsidP="00BD069E">
      <w:pPr>
        <w:spacing w:before="40"/>
        <w:rPr>
          <w:sz w:val="18"/>
          <w:szCs w:val="18"/>
        </w:rPr>
      </w:pPr>
      <w:r w:rsidRPr="000F37F7">
        <w:rPr>
          <w:b/>
          <w:sz w:val="18"/>
          <w:szCs w:val="18"/>
        </w:rPr>
        <w:t>Zdroj:</w:t>
      </w:r>
      <w:r w:rsidR="00F23F0D">
        <w:rPr>
          <w:sz w:val="18"/>
          <w:szCs w:val="18"/>
        </w:rPr>
        <w:t xml:space="preserve"> </w:t>
      </w:r>
      <w:r w:rsidR="00F66CC9">
        <w:rPr>
          <w:sz w:val="18"/>
          <w:szCs w:val="18"/>
        </w:rPr>
        <w:t>f</w:t>
      </w:r>
      <w:r w:rsidR="001703C4">
        <w:rPr>
          <w:sz w:val="18"/>
          <w:szCs w:val="18"/>
        </w:rPr>
        <w:t>aktury a výpisy z bankovního účtu</w:t>
      </w:r>
      <w:r w:rsidR="00751349">
        <w:rPr>
          <w:sz w:val="18"/>
          <w:szCs w:val="18"/>
        </w:rPr>
        <w:t>.</w:t>
      </w:r>
    </w:p>
    <w:p w:rsidR="003A4716" w:rsidRDefault="003A4716" w:rsidP="00344D91">
      <w:pPr>
        <w:spacing w:before="0"/>
        <w:rPr>
          <w:sz w:val="22"/>
          <w:szCs w:val="22"/>
        </w:rPr>
      </w:pPr>
    </w:p>
    <w:p w:rsidR="0055227C" w:rsidRPr="0055227C" w:rsidRDefault="00B13D22" w:rsidP="00344D91">
      <w:pPr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55227C" w:rsidRPr="0055227C">
        <w:rPr>
          <w:b/>
          <w:sz w:val="22"/>
          <w:szCs w:val="22"/>
        </w:rPr>
        <w:t xml:space="preserve">.1 </w:t>
      </w:r>
      <w:r w:rsidR="004A7BE3">
        <w:rPr>
          <w:b/>
          <w:sz w:val="22"/>
          <w:szCs w:val="22"/>
        </w:rPr>
        <w:t>A</w:t>
      </w:r>
      <w:r w:rsidR="004A7BE3" w:rsidRPr="0055227C">
        <w:rPr>
          <w:b/>
          <w:sz w:val="22"/>
          <w:szCs w:val="22"/>
        </w:rPr>
        <w:t>kce č. 1</w:t>
      </w:r>
      <w:r w:rsidR="00E85535">
        <w:rPr>
          <w:b/>
          <w:sz w:val="22"/>
          <w:szCs w:val="22"/>
        </w:rPr>
        <w:t xml:space="preserve"> – </w:t>
      </w:r>
      <w:r w:rsidR="00E85535" w:rsidRPr="00B659ED">
        <w:rPr>
          <w:b/>
          <w:i/>
          <w:sz w:val="22"/>
          <w:szCs w:val="22"/>
        </w:rPr>
        <w:t>Integrovaný informační systém Státní pokladny (IISSP)</w:t>
      </w:r>
    </w:p>
    <w:p w:rsidR="00344D91" w:rsidRDefault="00344D91" w:rsidP="00344D91">
      <w:pPr>
        <w:spacing w:before="0"/>
        <w:rPr>
          <w:sz w:val="22"/>
          <w:szCs w:val="22"/>
        </w:rPr>
      </w:pPr>
    </w:p>
    <w:p w:rsidR="009B64B7" w:rsidRPr="00121A4A" w:rsidRDefault="00E85535" w:rsidP="00344D91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905AE9" w:rsidRPr="00905AE9">
        <w:rPr>
          <w:sz w:val="22"/>
          <w:szCs w:val="22"/>
        </w:rPr>
        <w:t>rámci akce</w:t>
      </w:r>
      <w:r w:rsidR="003A1BBE">
        <w:rPr>
          <w:sz w:val="22"/>
          <w:szCs w:val="22"/>
        </w:rPr>
        <w:t xml:space="preserve"> č. 1</w:t>
      </w:r>
      <w:r w:rsidR="00905AE9" w:rsidRPr="00905A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MF </w:t>
      </w:r>
      <w:r w:rsidR="004D6959">
        <w:rPr>
          <w:sz w:val="22"/>
          <w:szCs w:val="22"/>
        </w:rPr>
        <w:t xml:space="preserve">vybudovalo </w:t>
      </w:r>
      <w:r w:rsidRPr="00C950AC">
        <w:rPr>
          <w:i/>
          <w:sz w:val="22"/>
          <w:szCs w:val="22"/>
        </w:rPr>
        <w:t>Centrální s</w:t>
      </w:r>
      <w:r w:rsidR="008C1A9E" w:rsidRPr="00C950AC">
        <w:rPr>
          <w:i/>
          <w:sz w:val="22"/>
          <w:szCs w:val="22"/>
        </w:rPr>
        <w:t>ystém účetních informací státu</w:t>
      </w:r>
      <w:r w:rsidR="00D075B4">
        <w:rPr>
          <w:sz w:val="22"/>
          <w:szCs w:val="22"/>
        </w:rPr>
        <w:t xml:space="preserve"> </w:t>
      </w:r>
      <w:r w:rsidR="009D111F">
        <w:rPr>
          <w:sz w:val="22"/>
          <w:szCs w:val="22"/>
        </w:rPr>
        <w:t>a budovalo</w:t>
      </w:r>
      <w:r w:rsidR="004D6959">
        <w:rPr>
          <w:sz w:val="22"/>
          <w:szCs w:val="22"/>
        </w:rPr>
        <w:t xml:space="preserve"> </w:t>
      </w:r>
      <w:r w:rsidR="004D6959" w:rsidRPr="00C950AC">
        <w:rPr>
          <w:i/>
          <w:sz w:val="22"/>
          <w:szCs w:val="22"/>
        </w:rPr>
        <w:t>Rozpočtový informační systém</w:t>
      </w:r>
      <w:r w:rsidR="004D6959">
        <w:rPr>
          <w:sz w:val="22"/>
          <w:szCs w:val="22"/>
        </w:rPr>
        <w:t xml:space="preserve">. </w:t>
      </w:r>
      <w:r w:rsidR="00D075B4">
        <w:rPr>
          <w:sz w:val="22"/>
          <w:szCs w:val="22"/>
        </w:rPr>
        <w:t>Dále M</w:t>
      </w:r>
      <w:r w:rsidR="003A1BBE">
        <w:rPr>
          <w:sz w:val="22"/>
          <w:szCs w:val="22"/>
        </w:rPr>
        <w:t xml:space="preserve">F v rámci akce č. 1 vybudovalo </w:t>
      </w:r>
      <w:r w:rsidR="003A1BBE" w:rsidRPr="00C950AC">
        <w:rPr>
          <w:i/>
          <w:sz w:val="22"/>
          <w:szCs w:val="22"/>
        </w:rPr>
        <w:t>E</w:t>
      </w:r>
      <w:r w:rsidR="00D26D55" w:rsidRPr="00C950AC">
        <w:rPr>
          <w:i/>
          <w:sz w:val="22"/>
          <w:szCs w:val="22"/>
        </w:rPr>
        <w:t>konomický informační systém</w:t>
      </w:r>
      <w:r w:rsidR="00D26D55">
        <w:rPr>
          <w:sz w:val="22"/>
          <w:szCs w:val="22"/>
        </w:rPr>
        <w:t xml:space="preserve"> a </w:t>
      </w:r>
      <w:r w:rsidR="00D26D55" w:rsidRPr="00C950AC">
        <w:rPr>
          <w:i/>
          <w:sz w:val="22"/>
          <w:szCs w:val="22"/>
        </w:rPr>
        <w:t>M</w:t>
      </w:r>
      <w:r w:rsidR="00D075B4" w:rsidRPr="00C950AC">
        <w:rPr>
          <w:i/>
          <w:sz w:val="22"/>
          <w:szCs w:val="22"/>
        </w:rPr>
        <w:t>anaž</w:t>
      </w:r>
      <w:r w:rsidR="00D26D55" w:rsidRPr="00C950AC">
        <w:rPr>
          <w:i/>
          <w:sz w:val="22"/>
          <w:szCs w:val="22"/>
        </w:rPr>
        <w:t xml:space="preserve">erský informační systém </w:t>
      </w:r>
      <w:r w:rsidR="00D075B4" w:rsidRPr="00C950AC">
        <w:rPr>
          <w:i/>
          <w:sz w:val="22"/>
          <w:szCs w:val="22"/>
        </w:rPr>
        <w:t>Úřad</w:t>
      </w:r>
      <w:r w:rsidR="00D26D55" w:rsidRPr="00C950AC">
        <w:rPr>
          <w:i/>
          <w:sz w:val="22"/>
          <w:szCs w:val="22"/>
        </w:rPr>
        <w:t>u</w:t>
      </w:r>
      <w:r w:rsidR="00D075B4" w:rsidRPr="00C950AC">
        <w:rPr>
          <w:i/>
          <w:sz w:val="22"/>
          <w:szCs w:val="22"/>
        </w:rPr>
        <w:t xml:space="preserve"> vlády</w:t>
      </w:r>
      <w:r w:rsidR="003A1BBE" w:rsidRPr="00C950AC">
        <w:rPr>
          <w:i/>
          <w:sz w:val="22"/>
          <w:szCs w:val="22"/>
        </w:rPr>
        <w:t xml:space="preserve"> ČR</w:t>
      </w:r>
      <w:r w:rsidR="00D075B4">
        <w:rPr>
          <w:sz w:val="22"/>
          <w:szCs w:val="22"/>
        </w:rPr>
        <w:t xml:space="preserve">, </w:t>
      </w:r>
      <w:r w:rsidR="0052607F">
        <w:rPr>
          <w:sz w:val="22"/>
          <w:szCs w:val="22"/>
        </w:rPr>
        <w:t xml:space="preserve">a to </w:t>
      </w:r>
      <w:r w:rsidR="00D075B4">
        <w:rPr>
          <w:sz w:val="22"/>
          <w:szCs w:val="22"/>
        </w:rPr>
        <w:t xml:space="preserve">z důvodu potřeby ověření funkcionalit IISSP před jejich nasazením v plném provozu. </w:t>
      </w:r>
      <w:r w:rsidR="004D6959">
        <w:rPr>
          <w:sz w:val="22"/>
          <w:szCs w:val="22"/>
        </w:rPr>
        <w:t>V</w:t>
      </w:r>
      <w:r w:rsidR="00D26D55">
        <w:rPr>
          <w:sz w:val="22"/>
          <w:szCs w:val="22"/>
        </w:rPr>
        <w:t> letech 2008</w:t>
      </w:r>
      <w:r w:rsidR="00905AE9" w:rsidRPr="00905AE9">
        <w:rPr>
          <w:sz w:val="22"/>
          <w:szCs w:val="22"/>
        </w:rPr>
        <w:t xml:space="preserve"> až 2011 MF </w:t>
      </w:r>
      <w:r w:rsidR="0052607F">
        <w:rPr>
          <w:sz w:val="22"/>
          <w:szCs w:val="22"/>
        </w:rPr>
        <w:t xml:space="preserve">v rámci akce č. 1 </w:t>
      </w:r>
      <w:r>
        <w:rPr>
          <w:sz w:val="22"/>
          <w:szCs w:val="22"/>
        </w:rPr>
        <w:t>realizovalo výdaje</w:t>
      </w:r>
      <w:r w:rsidR="00EB3498">
        <w:rPr>
          <w:sz w:val="22"/>
          <w:szCs w:val="22"/>
        </w:rPr>
        <w:t xml:space="preserve"> v </w:t>
      </w:r>
      <w:r w:rsidR="00905AE9" w:rsidRPr="00905AE9">
        <w:rPr>
          <w:sz w:val="22"/>
          <w:szCs w:val="22"/>
        </w:rPr>
        <w:t>celk</w:t>
      </w:r>
      <w:r w:rsidR="00EB3498">
        <w:rPr>
          <w:sz w:val="22"/>
          <w:szCs w:val="22"/>
        </w:rPr>
        <w:t>ové výši</w:t>
      </w:r>
      <w:r w:rsidR="0042136D">
        <w:rPr>
          <w:sz w:val="22"/>
          <w:szCs w:val="22"/>
        </w:rPr>
        <w:t xml:space="preserve"> 2 249 472 tis.</w:t>
      </w:r>
      <w:r w:rsidR="00905AE9" w:rsidRPr="00905AE9">
        <w:rPr>
          <w:sz w:val="22"/>
          <w:szCs w:val="22"/>
        </w:rPr>
        <w:t xml:space="preserve"> Kč</w:t>
      </w:r>
      <w:r w:rsidR="00EB3498">
        <w:rPr>
          <w:sz w:val="22"/>
          <w:szCs w:val="22"/>
        </w:rPr>
        <w:t>, z</w:t>
      </w:r>
      <w:r w:rsidR="003A1BBE">
        <w:rPr>
          <w:sz w:val="22"/>
          <w:szCs w:val="22"/>
        </w:rPr>
        <w:t> </w:t>
      </w:r>
      <w:r w:rsidR="00EB3498">
        <w:rPr>
          <w:sz w:val="22"/>
          <w:szCs w:val="22"/>
        </w:rPr>
        <w:t>toho</w:t>
      </w:r>
      <w:r w:rsidR="003A1BBE">
        <w:rPr>
          <w:sz w:val="22"/>
          <w:szCs w:val="22"/>
        </w:rPr>
        <w:t xml:space="preserve"> čini</w:t>
      </w:r>
      <w:r w:rsidR="00174BF6">
        <w:rPr>
          <w:sz w:val="22"/>
          <w:szCs w:val="22"/>
        </w:rPr>
        <w:t>ly kapitálové výdaje</w:t>
      </w:r>
      <w:r w:rsidR="0042136D">
        <w:rPr>
          <w:sz w:val="22"/>
          <w:szCs w:val="22"/>
        </w:rPr>
        <w:t xml:space="preserve"> 2 003 544 tis.</w:t>
      </w:r>
      <w:r w:rsidR="00174BF6">
        <w:rPr>
          <w:sz w:val="22"/>
          <w:szCs w:val="22"/>
        </w:rPr>
        <w:t xml:space="preserve"> Kč a běžné výdaje</w:t>
      </w:r>
      <w:r w:rsidR="00EB3498">
        <w:rPr>
          <w:sz w:val="22"/>
          <w:szCs w:val="22"/>
        </w:rPr>
        <w:t xml:space="preserve"> </w:t>
      </w:r>
      <w:r w:rsidR="0042136D">
        <w:rPr>
          <w:sz w:val="22"/>
          <w:szCs w:val="22"/>
        </w:rPr>
        <w:t>245 928 tis.</w:t>
      </w:r>
      <w:r w:rsidR="002C3053">
        <w:rPr>
          <w:sz w:val="22"/>
          <w:szCs w:val="22"/>
        </w:rPr>
        <w:t xml:space="preserve"> Kč.</w:t>
      </w:r>
      <w:r w:rsidR="009D111F">
        <w:rPr>
          <w:sz w:val="22"/>
          <w:szCs w:val="22"/>
        </w:rPr>
        <w:t xml:space="preserve"> Akci zajišťoval</w:t>
      </w:r>
      <w:r w:rsidR="00AE7645">
        <w:rPr>
          <w:sz w:val="22"/>
          <w:szCs w:val="22"/>
        </w:rPr>
        <w:t xml:space="preserve"> </w:t>
      </w:r>
      <w:r w:rsidR="009D111F">
        <w:rPr>
          <w:sz w:val="22"/>
          <w:szCs w:val="22"/>
        </w:rPr>
        <w:t>jeden</w:t>
      </w:r>
      <w:r w:rsidR="00264675">
        <w:rPr>
          <w:sz w:val="22"/>
          <w:szCs w:val="22"/>
        </w:rPr>
        <w:t xml:space="preserve"> </w:t>
      </w:r>
      <w:r w:rsidR="009D111F">
        <w:rPr>
          <w:sz w:val="22"/>
          <w:szCs w:val="22"/>
        </w:rPr>
        <w:t xml:space="preserve">dodavatel </w:t>
      </w:r>
      <w:r w:rsidR="00AE7645">
        <w:rPr>
          <w:sz w:val="22"/>
          <w:szCs w:val="22"/>
        </w:rPr>
        <w:t>na základě dvou smluv</w:t>
      </w:r>
      <w:r w:rsidR="009148D7">
        <w:rPr>
          <w:sz w:val="22"/>
          <w:szCs w:val="22"/>
        </w:rPr>
        <w:t xml:space="preserve"> uvedených v bodech 3.1.1 a 3.1.2 tohoto kontrolního závěru</w:t>
      </w:r>
      <w:r w:rsidR="00AE7645">
        <w:rPr>
          <w:sz w:val="22"/>
          <w:szCs w:val="22"/>
        </w:rPr>
        <w:t>.</w:t>
      </w:r>
    </w:p>
    <w:p w:rsidR="0010357F" w:rsidRPr="00344D91" w:rsidRDefault="0010357F" w:rsidP="00344D91">
      <w:pPr>
        <w:spacing w:before="0"/>
        <w:rPr>
          <w:sz w:val="22"/>
          <w:szCs w:val="22"/>
        </w:rPr>
      </w:pPr>
    </w:p>
    <w:p w:rsidR="00721659" w:rsidRPr="00B13D22" w:rsidRDefault="00D26D55" w:rsidP="00344D91">
      <w:pPr>
        <w:spacing w:before="0"/>
        <w:rPr>
          <w:b/>
          <w:strike/>
          <w:sz w:val="22"/>
          <w:szCs w:val="22"/>
        </w:rPr>
      </w:pPr>
      <w:r>
        <w:rPr>
          <w:b/>
          <w:sz w:val="22"/>
          <w:szCs w:val="22"/>
        </w:rPr>
        <w:t xml:space="preserve">3.1.1 </w:t>
      </w:r>
      <w:r w:rsidR="00721659" w:rsidRPr="00B13D22">
        <w:rPr>
          <w:b/>
          <w:sz w:val="22"/>
          <w:szCs w:val="22"/>
        </w:rPr>
        <w:t>Smlouva o dodávce IISSP a souvisejících služeb</w:t>
      </w:r>
      <w:r w:rsidR="006E1E01" w:rsidRPr="00B13D22">
        <w:rPr>
          <w:b/>
          <w:sz w:val="22"/>
          <w:szCs w:val="22"/>
        </w:rPr>
        <w:t xml:space="preserve"> uzavřená </w:t>
      </w:r>
      <w:r w:rsidR="00583B77" w:rsidRPr="00B13D22">
        <w:rPr>
          <w:b/>
          <w:sz w:val="22"/>
          <w:szCs w:val="22"/>
        </w:rPr>
        <w:t xml:space="preserve">dne </w:t>
      </w:r>
      <w:r w:rsidR="000135CC">
        <w:rPr>
          <w:b/>
          <w:sz w:val="22"/>
          <w:szCs w:val="22"/>
        </w:rPr>
        <w:t xml:space="preserve">22. </w:t>
      </w:r>
      <w:r w:rsidR="00751349">
        <w:rPr>
          <w:b/>
          <w:sz w:val="22"/>
          <w:szCs w:val="22"/>
        </w:rPr>
        <w:t xml:space="preserve">prosince </w:t>
      </w:r>
      <w:r w:rsidR="000135CC">
        <w:rPr>
          <w:b/>
          <w:sz w:val="22"/>
          <w:szCs w:val="22"/>
        </w:rPr>
        <w:t>2008</w:t>
      </w:r>
    </w:p>
    <w:p w:rsidR="00344D91" w:rsidRDefault="00344D91" w:rsidP="00344D91">
      <w:pPr>
        <w:spacing w:before="0"/>
        <w:contextualSpacing/>
        <w:rPr>
          <w:sz w:val="22"/>
          <w:szCs w:val="22"/>
        </w:rPr>
      </w:pPr>
    </w:p>
    <w:p w:rsidR="00B41684" w:rsidRDefault="00CA10ED" w:rsidP="00344D91">
      <w:pPr>
        <w:spacing w:befor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MF zahájilo </w:t>
      </w:r>
      <w:r w:rsidR="009D111F">
        <w:rPr>
          <w:sz w:val="22"/>
          <w:szCs w:val="22"/>
        </w:rPr>
        <w:t xml:space="preserve">otevřené zadávací řízení </w:t>
      </w:r>
      <w:r>
        <w:rPr>
          <w:sz w:val="22"/>
          <w:szCs w:val="22"/>
        </w:rPr>
        <w:t xml:space="preserve">na dodávku IISSP </w:t>
      </w:r>
      <w:r w:rsidR="00ED42CD">
        <w:rPr>
          <w:sz w:val="22"/>
          <w:szCs w:val="22"/>
        </w:rPr>
        <w:t>v červenci 2008.</w:t>
      </w:r>
      <w:r w:rsidR="00CF2CF1">
        <w:rPr>
          <w:sz w:val="22"/>
          <w:szCs w:val="22"/>
        </w:rPr>
        <w:t xml:space="preserve"> </w:t>
      </w:r>
      <w:r w:rsidR="00B55A28">
        <w:rPr>
          <w:sz w:val="22"/>
          <w:szCs w:val="22"/>
        </w:rPr>
        <w:t>Dle zadávací dokumentace</w:t>
      </w:r>
      <w:r w:rsidR="00BC1FCD">
        <w:rPr>
          <w:sz w:val="22"/>
          <w:szCs w:val="22"/>
        </w:rPr>
        <w:t xml:space="preserve"> </w:t>
      </w:r>
      <w:r w:rsidR="009D111F">
        <w:rPr>
          <w:sz w:val="22"/>
          <w:szCs w:val="22"/>
        </w:rPr>
        <w:t xml:space="preserve">MF </w:t>
      </w:r>
      <w:r w:rsidR="00BC1FCD">
        <w:rPr>
          <w:sz w:val="22"/>
          <w:szCs w:val="22"/>
        </w:rPr>
        <w:t>předpokládalo</w:t>
      </w:r>
      <w:r w:rsidR="00B55A28">
        <w:rPr>
          <w:sz w:val="22"/>
          <w:szCs w:val="22"/>
        </w:rPr>
        <w:t xml:space="preserve"> zahájit budování rozpočtového a účetního systému </w:t>
      </w:r>
      <w:r w:rsidR="00BC1FCD">
        <w:rPr>
          <w:sz w:val="22"/>
          <w:szCs w:val="22"/>
        </w:rPr>
        <w:t>1.</w:t>
      </w:r>
      <w:r w:rsidR="000F37F7">
        <w:rPr>
          <w:sz w:val="22"/>
          <w:szCs w:val="22"/>
        </w:rPr>
        <w:t> </w:t>
      </w:r>
      <w:r w:rsidR="00751349">
        <w:rPr>
          <w:sz w:val="22"/>
          <w:szCs w:val="22"/>
        </w:rPr>
        <w:t>listopadu</w:t>
      </w:r>
      <w:r w:rsidR="00BC1FCD">
        <w:rPr>
          <w:sz w:val="22"/>
          <w:szCs w:val="22"/>
        </w:rPr>
        <w:t xml:space="preserve"> 2008 a uvedení těchto systémů do </w:t>
      </w:r>
      <w:r w:rsidR="00F66CC9">
        <w:rPr>
          <w:sz w:val="22"/>
          <w:szCs w:val="22"/>
        </w:rPr>
        <w:t>běžného</w:t>
      </w:r>
      <w:r w:rsidR="00BC1FCD">
        <w:rPr>
          <w:sz w:val="22"/>
          <w:szCs w:val="22"/>
        </w:rPr>
        <w:t xml:space="preserve"> provozu k 1. </w:t>
      </w:r>
      <w:r w:rsidR="00751349">
        <w:rPr>
          <w:sz w:val="22"/>
          <w:szCs w:val="22"/>
        </w:rPr>
        <w:t>lednu</w:t>
      </w:r>
      <w:r w:rsidR="00BC1FCD">
        <w:rPr>
          <w:sz w:val="22"/>
          <w:szCs w:val="22"/>
        </w:rPr>
        <w:t xml:space="preserve"> 2010</w:t>
      </w:r>
      <w:r w:rsidR="00477FFA">
        <w:rPr>
          <w:sz w:val="22"/>
          <w:szCs w:val="22"/>
        </w:rPr>
        <w:t>,</w:t>
      </w:r>
      <w:r w:rsidR="00BC1FCD">
        <w:rPr>
          <w:sz w:val="22"/>
          <w:szCs w:val="22"/>
        </w:rPr>
        <w:t xml:space="preserve"> </w:t>
      </w:r>
      <w:r w:rsidR="00F66CC9">
        <w:rPr>
          <w:sz w:val="22"/>
          <w:szCs w:val="22"/>
        </w:rPr>
        <w:t>tj. </w:t>
      </w:r>
      <w:r w:rsidR="008D67FC">
        <w:rPr>
          <w:sz w:val="22"/>
          <w:szCs w:val="22"/>
        </w:rPr>
        <w:t>za rok a</w:t>
      </w:r>
      <w:r w:rsidR="000F37F7">
        <w:rPr>
          <w:sz w:val="22"/>
          <w:szCs w:val="22"/>
        </w:rPr>
        <w:t> </w:t>
      </w:r>
      <w:r w:rsidR="008D67FC">
        <w:rPr>
          <w:sz w:val="22"/>
          <w:szCs w:val="22"/>
        </w:rPr>
        <w:t>dva měsíce. V letech</w:t>
      </w:r>
      <w:r w:rsidR="00BC1FCD">
        <w:rPr>
          <w:sz w:val="22"/>
          <w:szCs w:val="22"/>
        </w:rPr>
        <w:t xml:space="preserve"> 2010 a 2011 měl dodavatel zajišťovat pod</w:t>
      </w:r>
      <w:r w:rsidR="00CF2CF1">
        <w:rPr>
          <w:sz w:val="22"/>
          <w:szCs w:val="22"/>
        </w:rPr>
        <w:t>poru provozu včetně</w:t>
      </w:r>
      <w:r w:rsidR="0051200D">
        <w:rPr>
          <w:sz w:val="22"/>
          <w:szCs w:val="22"/>
        </w:rPr>
        <w:t xml:space="preserve"> služby</w:t>
      </w:r>
      <w:r w:rsidR="00CF2CF1">
        <w:rPr>
          <w:sz w:val="22"/>
          <w:szCs w:val="22"/>
        </w:rPr>
        <w:t xml:space="preserve"> </w:t>
      </w:r>
      <w:proofErr w:type="spellStart"/>
      <w:r w:rsidR="0051200D" w:rsidRPr="00B659ED">
        <w:rPr>
          <w:sz w:val="22"/>
          <w:szCs w:val="22"/>
        </w:rPr>
        <w:t>H</w:t>
      </w:r>
      <w:r w:rsidR="00CF2CF1" w:rsidRPr="00B659ED">
        <w:rPr>
          <w:sz w:val="22"/>
          <w:szCs w:val="22"/>
        </w:rPr>
        <w:t>elp</w:t>
      </w:r>
      <w:proofErr w:type="spellEnd"/>
      <w:r w:rsidR="00CF2CF1" w:rsidRPr="00B659ED">
        <w:rPr>
          <w:sz w:val="22"/>
          <w:szCs w:val="22"/>
        </w:rPr>
        <w:t xml:space="preserve"> </w:t>
      </w:r>
      <w:proofErr w:type="spellStart"/>
      <w:r w:rsidR="006223A4" w:rsidRPr="00B659ED">
        <w:rPr>
          <w:sz w:val="22"/>
          <w:szCs w:val="22"/>
        </w:rPr>
        <w:t>D</w:t>
      </w:r>
      <w:r w:rsidR="00CF2CF1" w:rsidRPr="00B659ED">
        <w:rPr>
          <w:sz w:val="22"/>
          <w:szCs w:val="22"/>
        </w:rPr>
        <w:t>esk</w:t>
      </w:r>
      <w:proofErr w:type="spellEnd"/>
      <w:r w:rsidR="00CF2CF1">
        <w:rPr>
          <w:sz w:val="22"/>
          <w:szCs w:val="22"/>
        </w:rPr>
        <w:t xml:space="preserve">. </w:t>
      </w:r>
      <w:r w:rsidR="00B41684">
        <w:rPr>
          <w:sz w:val="22"/>
          <w:szCs w:val="22"/>
        </w:rPr>
        <w:t>N</w:t>
      </w:r>
      <w:r w:rsidR="00B41684" w:rsidRPr="002C3053">
        <w:rPr>
          <w:sz w:val="22"/>
          <w:szCs w:val="22"/>
        </w:rPr>
        <w:t xml:space="preserve">abídky </w:t>
      </w:r>
      <w:r w:rsidR="00B41684">
        <w:rPr>
          <w:sz w:val="22"/>
          <w:szCs w:val="22"/>
        </w:rPr>
        <w:t xml:space="preserve">podali </w:t>
      </w:r>
      <w:r w:rsidR="00B41684" w:rsidRPr="002C3053">
        <w:rPr>
          <w:sz w:val="22"/>
          <w:szCs w:val="22"/>
        </w:rPr>
        <w:t>dva uchazeči</w:t>
      </w:r>
      <w:r w:rsidR="00F66CC9">
        <w:rPr>
          <w:sz w:val="22"/>
          <w:szCs w:val="22"/>
        </w:rPr>
        <w:t>.</w:t>
      </w:r>
      <w:r w:rsidR="00264675">
        <w:rPr>
          <w:sz w:val="22"/>
          <w:szCs w:val="22"/>
        </w:rPr>
        <w:t xml:space="preserve"> </w:t>
      </w:r>
      <w:r w:rsidR="00F66CC9">
        <w:rPr>
          <w:sz w:val="22"/>
          <w:szCs w:val="22"/>
        </w:rPr>
        <w:t>J</w:t>
      </w:r>
      <w:r w:rsidR="00264675">
        <w:rPr>
          <w:sz w:val="22"/>
          <w:szCs w:val="22"/>
        </w:rPr>
        <w:t>ednu</w:t>
      </w:r>
      <w:r w:rsidR="00B41684">
        <w:rPr>
          <w:sz w:val="22"/>
          <w:szCs w:val="22"/>
        </w:rPr>
        <w:t xml:space="preserve"> nabídku komise pro otevírán</w:t>
      </w:r>
      <w:r w:rsidR="00817A25">
        <w:rPr>
          <w:sz w:val="22"/>
          <w:szCs w:val="22"/>
        </w:rPr>
        <w:t xml:space="preserve">í obálek vyřadila pro neúplnost, když uchazeč složil </w:t>
      </w:r>
      <w:r w:rsidR="00F66CC9">
        <w:rPr>
          <w:sz w:val="22"/>
          <w:szCs w:val="22"/>
        </w:rPr>
        <w:t>jistinu</w:t>
      </w:r>
      <w:r w:rsidR="00817A25">
        <w:rPr>
          <w:sz w:val="22"/>
          <w:szCs w:val="22"/>
        </w:rPr>
        <w:t xml:space="preserve"> v nesprávné výši.</w:t>
      </w:r>
      <w:r w:rsidR="00B41684">
        <w:rPr>
          <w:sz w:val="22"/>
          <w:szCs w:val="22"/>
        </w:rPr>
        <w:t xml:space="preserve"> Dne 6. </w:t>
      </w:r>
      <w:r w:rsidR="00751349">
        <w:rPr>
          <w:sz w:val="22"/>
          <w:szCs w:val="22"/>
        </w:rPr>
        <w:t>listopadu</w:t>
      </w:r>
      <w:r w:rsidR="00B41684" w:rsidRPr="002675DB">
        <w:rPr>
          <w:sz w:val="22"/>
          <w:szCs w:val="22"/>
        </w:rPr>
        <w:t xml:space="preserve"> 2008</w:t>
      </w:r>
      <w:r w:rsidR="00B41684">
        <w:rPr>
          <w:sz w:val="22"/>
          <w:szCs w:val="22"/>
        </w:rPr>
        <w:t xml:space="preserve"> MF rozhodlo o</w:t>
      </w:r>
      <w:r w:rsidR="000F37F7">
        <w:rPr>
          <w:sz w:val="22"/>
          <w:szCs w:val="22"/>
        </w:rPr>
        <w:t> </w:t>
      </w:r>
      <w:r w:rsidR="00B41684">
        <w:rPr>
          <w:sz w:val="22"/>
          <w:szCs w:val="22"/>
        </w:rPr>
        <w:t xml:space="preserve">výběru nejvhodnější nabídky </w:t>
      </w:r>
      <w:r w:rsidR="005A36D7">
        <w:rPr>
          <w:sz w:val="22"/>
          <w:szCs w:val="22"/>
        </w:rPr>
        <w:t xml:space="preserve">s nabídkovou cenou </w:t>
      </w:r>
      <w:r w:rsidR="00F646B7">
        <w:rPr>
          <w:sz w:val="22"/>
          <w:szCs w:val="22"/>
        </w:rPr>
        <w:t xml:space="preserve">ve výši </w:t>
      </w:r>
      <w:r w:rsidR="005A36D7">
        <w:rPr>
          <w:sz w:val="22"/>
          <w:szCs w:val="22"/>
        </w:rPr>
        <w:t>2</w:t>
      </w:r>
      <w:r w:rsidR="00F66CC9">
        <w:rPr>
          <w:sz w:val="22"/>
          <w:szCs w:val="22"/>
        </w:rPr>
        <w:t> </w:t>
      </w:r>
      <w:r w:rsidR="005A36D7">
        <w:rPr>
          <w:sz w:val="22"/>
          <w:szCs w:val="22"/>
        </w:rPr>
        <w:t>149</w:t>
      </w:r>
      <w:r w:rsidR="00F66CC9">
        <w:rPr>
          <w:sz w:val="22"/>
          <w:szCs w:val="22"/>
        </w:rPr>
        <w:t> </w:t>
      </w:r>
      <w:r w:rsidR="005A36D7">
        <w:rPr>
          <w:sz w:val="22"/>
          <w:szCs w:val="22"/>
        </w:rPr>
        <w:t>934</w:t>
      </w:r>
      <w:r w:rsidR="005C1580">
        <w:rPr>
          <w:sz w:val="22"/>
          <w:szCs w:val="22"/>
        </w:rPr>
        <w:t>,3</w:t>
      </w:r>
      <w:r w:rsidR="00F66CC9">
        <w:rPr>
          <w:sz w:val="22"/>
          <w:szCs w:val="22"/>
        </w:rPr>
        <w:t> </w:t>
      </w:r>
      <w:r w:rsidR="00A74A2A">
        <w:rPr>
          <w:sz w:val="22"/>
          <w:szCs w:val="22"/>
        </w:rPr>
        <w:t>tis.</w:t>
      </w:r>
      <w:r w:rsidR="00F66CC9">
        <w:rPr>
          <w:sz w:val="22"/>
          <w:szCs w:val="22"/>
        </w:rPr>
        <w:t> </w:t>
      </w:r>
      <w:r w:rsidR="005A36D7">
        <w:rPr>
          <w:sz w:val="22"/>
          <w:szCs w:val="22"/>
        </w:rPr>
        <w:t>Kč bez DPH.</w:t>
      </w:r>
      <w:r w:rsidR="00B41684">
        <w:rPr>
          <w:sz w:val="22"/>
          <w:szCs w:val="22"/>
        </w:rPr>
        <w:t xml:space="preserve"> </w:t>
      </w:r>
    </w:p>
    <w:p w:rsidR="000B15F5" w:rsidRDefault="000B15F5" w:rsidP="00344D91">
      <w:pPr>
        <w:spacing w:before="0"/>
        <w:contextualSpacing/>
        <w:rPr>
          <w:sz w:val="22"/>
          <w:szCs w:val="22"/>
        </w:rPr>
      </w:pPr>
    </w:p>
    <w:p w:rsidR="00116B04" w:rsidRDefault="00EF01F9" w:rsidP="00344D91">
      <w:pPr>
        <w:spacing w:before="0"/>
        <w:contextualSpacing/>
        <w:rPr>
          <w:sz w:val="22"/>
          <w:szCs w:val="22"/>
        </w:rPr>
      </w:pPr>
      <w:r>
        <w:rPr>
          <w:sz w:val="22"/>
          <w:szCs w:val="22"/>
        </w:rPr>
        <w:t>MF</w:t>
      </w:r>
      <w:r w:rsidR="00264675">
        <w:rPr>
          <w:sz w:val="22"/>
          <w:szCs w:val="22"/>
        </w:rPr>
        <w:t xml:space="preserve"> dne 22. </w:t>
      </w:r>
      <w:r w:rsidR="00C62065">
        <w:rPr>
          <w:sz w:val="22"/>
          <w:szCs w:val="22"/>
        </w:rPr>
        <w:t>prosince</w:t>
      </w:r>
      <w:r w:rsidR="00264675">
        <w:rPr>
          <w:sz w:val="22"/>
          <w:szCs w:val="22"/>
        </w:rPr>
        <w:t xml:space="preserve"> 2008 uzavřelo s vybraným uchazečem (dále jen „</w:t>
      </w:r>
      <w:r w:rsidR="00F66CC9">
        <w:rPr>
          <w:sz w:val="22"/>
          <w:szCs w:val="22"/>
        </w:rPr>
        <w:t>d</w:t>
      </w:r>
      <w:r w:rsidR="00264675">
        <w:rPr>
          <w:sz w:val="22"/>
          <w:szCs w:val="22"/>
        </w:rPr>
        <w:t>odavatel“)</w:t>
      </w:r>
      <w:r>
        <w:rPr>
          <w:sz w:val="22"/>
          <w:szCs w:val="22"/>
        </w:rPr>
        <w:t xml:space="preserve"> </w:t>
      </w:r>
      <w:r w:rsidR="00F66CC9">
        <w:rPr>
          <w:sz w:val="22"/>
          <w:szCs w:val="22"/>
        </w:rPr>
        <w:t>smlouvu o </w:t>
      </w:r>
      <w:r w:rsidRPr="00B01C75">
        <w:rPr>
          <w:sz w:val="22"/>
          <w:szCs w:val="22"/>
        </w:rPr>
        <w:t>dodávce integrovaného informačního systému Státní pokladny</w:t>
      </w:r>
      <w:r w:rsidR="005A36D7">
        <w:rPr>
          <w:sz w:val="22"/>
          <w:szCs w:val="22"/>
        </w:rPr>
        <w:t xml:space="preserve"> (IISSP) a</w:t>
      </w:r>
      <w:r w:rsidR="00F66CC9">
        <w:rPr>
          <w:sz w:val="22"/>
          <w:szCs w:val="22"/>
        </w:rPr>
        <w:t> </w:t>
      </w:r>
      <w:r w:rsidR="005A36D7">
        <w:rPr>
          <w:sz w:val="22"/>
          <w:szCs w:val="22"/>
        </w:rPr>
        <w:t>souvisejících služeb</w:t>
      </w:r>
      <w:r w:rsidRPr="00B01C75">
        <w:rPr>
          <w:sz w:val="22"/>
          <w:szCs w:val="22"/>
        </w:rPr>
        <w:t xml:space="preserve"> (dále také „</w:t>
      </w:r>
      <w:r w:rsidR="005E1260">
        <w:rPr>
          <w:sz w:val="22"/>
          <w:szCs w:val="22"/>
        </w:rPr>
        <w:t>s</w:t>
      </w:r>
      <w:r w:rsidRPr="00B01C75">
        <w:rPr>
          <w:sz w:val="22"/>
          <w:szCs w:val="22"/>
        </w:rPr>
        <w:t>mlouva o dodávce IISSP“)</w:t>
      </w:r>
      <w:r w:rsidR="004149E4">
        <w:rPr>
          <w:sz w:val="22"/>
          <w:szCs w:val="22"/>
        </w:rPr>
        <w:t xml:space="preserve">. </w:t>
      </w:r>
      <w:r w:rsidR="00D01D81">
        <w:rPr>
          <w:sz w:val="22"/>
          <w:szCs w:val="22"/>
        </w:rPr>
        <w:t>MF v</w:t>
      </w:r>
      <w:r w:rsidR="004149E4" w:rsidRPr="00EC5F0D">
        <w:rPr>
          <w:sz w:val="22"/>
          <w:szCs w:val="22"/>
        </w:rPr>
        <w:t> </w:t>
      </w:r>
      <w:r w:rsidR="00D01D81">
        <w:rPr>
          <w:sz w:val="22"/>
          <w:szCs w:val="22"/>
        </w:rPr>
        <w:t xml:space="preserve">rámci </w:t>
      </w:r>
      <w:r w:rsidR="005E1260">
        <w:rPr>
          <w:sz w:val="22"/>
          <w:szCs w:val="22"/>
        </w:rPr>
        <w:t>s</w:t>
      </w:r>
      <w:r w:rsidR="00D01D81">
        <w:rPr>
          <w:sz w:val="22"/>
          <w:szCs w:val="22"/>
        </w:rPr>
        <w:t>mlouvy o</w:t>
      </w:r>
      <w:r w:rsidR="00F66CC9">
        <w:rPr>
          <w:sz w:val="22"/>
          <w:szCs w:val="22"/>
        </w:rPr>
        <w:t> </w:t>
      </w:r>
      <w:r w:rsidR="00D01D81">
        <w:rPr>
          <w:sz w:val="22"/>
          <w:szCs w:val="22"/>
        </w:rPr>
        <w:t>dodávce IISSP</w:t>
      </w:r>
      <w:r w:rsidR="004149E4" w:rsidRPr="00EC5F0D">
        <w:rPr>
          <w:sz w:val="22"/>
          <w:szCs w:val="22"/>
        </w:rPr>
        <w:t xml:space="preserve"> pořizovalo a udržovalo licence, implementovalo IISSP a zajišťovalo jeho podporu</w:t>
      </w:r>
      <w:r w:rsidR="00C05110">
        <w:rPr>
          <w:sz w:val="22"/>
          <w:szCs w:val="22"/>
        </w:rPr>
        <w:t>.</w:t>
      </w:r>
      <w:r w:rsidR="00D26D55">
        <w:rPr>
          <w:sz w:val="22"/>
          <w:szCs w:val="22"/>
        </w:rPr>
        <w:t xml:space="preserve"> </w:t>
      </w:r>
      <w:r w:rsidR="00C05110">
        <w:rPr>
          <w:sz w:val="22"/>
          <w:szCs w:val="22"/>
        </w:rPr>
        <w:t>T</w:t>
      </w:r>
      <w:r w:rsidR="00D26D55">
        <w:rPr>
          <w:sz w:val="22"/>
          <w:szCs w:val="22"/>
        </w:rPr>
        <w:t>yto oblasti upravovaly tři přílohy</w:t>
      </w:r>
      <w:r w:rsidR="00852BCD">
        <w:rPr>
          <w:sz w:val="22"/>
          <w:szCs w:val="22"/>
        </w:rPr>
        <w:t xml:space="preserve"> </w:t>
      </w:r>
      <w:r w:rsidR="005E1260">
        <w:rPr>
          <w:sz w:val="22"/>
          <w:szCs w:val="22"/>
        </w:rPr>
        <w:t>s</w:t>
      </w:r>
      <w:r w:rsidR="00852BCD">
        <w:rPr>
          <w:sz w:val="22"/>
          <w:szCs w:val="22"/>
        </w:rPr>
        <w:t>mlouvy o dodávce IISSP,</w:t>
      </w:r>
      <w:r w:rsidR="00BA0F2D">
        <w:rPr>
          <w:sz w:val="22"/>
          <w:szCs w:val="22"/>
        </w:rPr>
        <w:t xml:space="preserve"> a to</w:t>
      </w:r>
      <w:r w:rsidR="005E1260">
        <w:rPr>
          <w:sz w:val="22"/>
          <w:szCs w:val="22"/>
        </w:rPr>
        <w:t xml:space="preserve"> smlouvy</w:t>
      </w:r>
      <w:r w:rsidR="00BA0F2D">
        <w:rPr>
          <w:sz w:val="22"/>
          <w:szCs w:val="22"/>
        </w:rPr>
        <w:t xml:space="preserve"> </w:t>
      </w:r>
      <w:r w:rsidR="005E1260">
        <w:rPr>
          <w:sz w:val="22"/>
          <w:szCs w:val="22"/>
        </w:rPr>
        <w:t>l</w:t>
      </w:r>
      <w:r w:rsidR="00BA0F2D">
        <w:rPr>
          <w:sz w:val="22"/>
          <w:szCs w:val="22"/>
        </w:rPr>
        <w:t xml:space="preserve">icenční, </w:t>
      </w:r>
      <w:r w:rsidR="005E1260">
        <w:rPr>
          <w:sz w:val="22"/>
          <w:szCs w:val="22"/>
        </w:rPr>
        <w:t>i</w:t>
      </w:r>
      <w:r w:rsidR="00BA0F2D">
        <w:rPr>
          <w:sz w:val="22"/>
          <w:szCs w:val="22"/>
        </w:rPr>
        <w:t>mplementační a </w:t>
      </w:r>
      <w:r w:rsidR="005E1260">
        <w:rPr>
          <w:sz w:val="22"/>
          <w:szCs w:val="22"/>
        </w:rPr>
        <w:t>s</w:t>
      </w:r>
      <w:r w:rsidR="00852BCD">
        <w:rPr>
          <w:sz w:val="22"/>
          <w:szCs w:val="22"/>
        </w:rPr>
        <w:t>ervisní.</w:t>
      </w:r>
      <w:r w:rsidR="00CF2CF1">
        <w:rPr>
          <w:sz w:val="22"/>
          <w:szCs w:val="22"/>
        </w:rPr>
        <w:t xml:space="preserve"> </w:t>
      </w:r>
      <w:r w:rsidR="0049023B">
        <w:rPr>
          <w:sz w:val="22"/>
          <w:szCs w:val="22"/>
        </w:rPr>
        <w:t>D</w:t>
      </w:r>
      <w:r w:rsidR="00573A2A" w:rsidRPr="00573A2A">
        <w:rPr>
          <w:sz w:val="22"/>
          <w:szCs w:val="22"/>
        </w:rPr>
        <w:t xml:space="preserve">o 31. </w:t>
      </w:r>
      <w:r w:rsidR="00BA0F2D">
        <w:rPr>
          <w:sz w:val="22"/>
          <w:szCs w:val="22"/>
        </w:rPr>
        <w:t>prosince</w:t>
      </w:r>
      <w:r w:rsidR="00573A2A" w:rsidRPr="00573A2A">
        <w:rPr>
          <w:sz w:val="22"/>
          <w:szCs w:val="22"/>
        </w:rPr>
        <w:t xml:space="preserve"> 2011 </w:t>
      </w:r>
      <w:r w:rsidR="0049023B" w:rsidRPr="00573A2A">
        <w:rPr>
          <w:sz w:val="22"/>
          <w:szCs w:val="22"/>
        </w:rPr>
        <w:t xml:space="preserve">MF uzavřelo </w:t>
      </w:r>
      <w:r w:rsidR="00573A2A" w:rsidRPr="00573A2A">
        <w:rPr>
          <w:sz w:val="22"/>
          <w:szCs w:val="22"/>
        </w:rPr>
        <w:t xml:space="preserve">ke </w:t>
      </w:r>
      <w:r w:rsidR="005E1260">
        <w:rPr>
          <w:sz w:val="22"/>
          <w:szCs w:val="22"/>
        </w:rPr>
        <w:t>s</w:t>
      </w:r>
      <w:r w:rsidR="00573A2A" w:rsidRPr="00573A2A">
        <w:rPr>
          <w:sz w:val="22"/>
          <w:szCs w:val="22"/>
        </w:rPr>
        <w:t>mlouvě o</w:t>
      </w:r>
      <w:r w:rsidR="00F66CC9">
        <w:rPr>
          <w:sz w:val="22"/>
          <w:szCs w:val="22"/>
        </w:rPr>
        <w:t> </w:t>
      </w:r>
      <w:r w:rsidR="00573A2A" w:rsidRPr="00573A2A">
        <w:rPr>
          <w:sz w:val="22"/>
          <w:szCs w:val="22"/>
        </w:rPr>
        <w:t>dodávce IISSP</w:t>
      </w:r>
      <w:r w:rsidR="00116B04">
        <w:rPr>
          <w:sz w:val="22"/>
          <w:szCs w:val="22"/>
        </w:rPr>
        <w:t xml:space="preserve"> deset dodatků, </w:t>
      </w:r>
      <w:r w:rsidR="007F4420">
        <w:rPr>
          <w:sz w:val="22"/>
          <w:szCs w:val="22"/>
        </w:rPr>
        <w:t xml:space="preserve">zejména </w:t>
      </w:r>
      <w:r w:rsidR="00116B04">
        <w:rPr>
          <w:sz w:val="22"/>
          <w:szCs w:val="22"/>
        </w:rPr>
        <w:t>z důvodu změnových požadavků na implementaci a</w:t>
      </w:r>
      <w:r w:rsidR="00F66CC9">
        <w:rPr>
          <w:sz w:val="22"/>
          <w:szCs w:val="22"/>
        </w:rPr>
        <w:t> </w:t>
      </w:r>
      <w:r w:rsidR="00116B04">
        <w:rPr>
          <w:sz w:val="22"/>
          <w:szCs w:val="22"/>
        </w:rPr>
        <w:t xml:space="preserve">změn časového harmonogramu. </w:t>
      </w:r>
      <w:r w:rsidR="00473710" w:rsidRPr="00401A3D">
        <w:rPr>
          <w:bCs/>
          <w:iCs/>
          <w:sz w:val="22"/>
          <w:szCs w:val="22"/>
        </w:rPr>
        <w:t>Dodatkem č. 1 byl</w:t>
      </w:r>
      <w:r w:rsidR="00473710">
        <w:rPr>
          <w:bCs/>
          <w:iCs/>
          <w:sz w:val="22"/>
          <w:szCs w:val="22"/>
        </w:rPr>
        <w:t>y</w:t>
      </w:r>
      <w:r w:rsidR="00473710" w:rsidRPr="00401A3D">
        <w:rPr>
          <w:bCs/>
          <w:iCs/>
          <w:sz w:val="22"/>
          <w:szCs w:val="22"/>
        </w:rPr>
        <w:t xml:space="preserve"> mj. do </w:t>
      </w:r>
      <w:r w:rsidR="005E1260">
        <w:rPr>
          <w:bCs/>
          <w:iCs/>
          <w:sz w:val="22"/>
          <w:szCs w:val="22"/>
        </w:rPr>
        <w:t>i</w:t>
      </w:r>
      <w:r w:rsidR="00473710" w:rsidRPr="00401A3D">
        <w:rPr>
          <w:bCs/>
          <w:iCs/>
          <w:sz w:val="22"/>
          <w:szCs w:val="22"/>
        </w:rPr>
        <w:t>mplementační smlouvy doplněn</w:t>
      </w:r>
      <w:r w:rsidR="00473710">
        <w:rPr>
          <w:bCs/>
          <w:iCs/>
          <w:sz w:val="22"/>
          <w:szCs w:val="22"/>
        </w:rPr>
        <w:t>y</w:t>
      </w:r>
      <w:r w:rsidR="00473710" w:rsidRPr="00401A3D">
        <w:rPr>
          <w:bCs/>
          <w:iCs/>
          <w:sz w:val="22"/>
          <w:szCs w:val="22"/>
        </w:rPr>
        <w:t xml:space="preserve"> </w:t>
      </w:r>
      <w:r w:rsidR="005E1260">
        <w:rPr>
          <w:bCs/>
          <w:iCs/>
          <w:sz w:val="22"/>
          <w:szCs w:val="22"/>
        </w:rPr>
        <w:t>d</w:t>
      </w:r>
      <w:r w:rsidR="00473710" w:rsidRPr="00401A3D">
        <w:rPr>
          <w:bCs/>
          <w:iCs/>
          <w:sz w:val="22"/>
          <w:szCs w:val="22"/>
        </w:rPr>
        <w:t>efinice projektu</w:t>
      </w:r>
      <w:r w:rsidR="005E1260">
        <w:rPr>
          <w:bCs/>
          <w:iCs/>
          <w:sz w:val="22"/>
          <w:szCs w:val="22"/>
        </w:rPr>
        <w:t xml:space="preserve"> –</w:t>
      </w:r>
      <w:r w:rsidR="00473710" w:rsidRPr="00401A3D">
        <w:rPr>
          <w:bCs/>
          <w:iCs/>
          <w:sz w:val="22"/>
          <w:szCs w:val="22"/>
        </w:rPr>
        <w:t xml:space="preserve"> </w:t>
      </w:r>
      <w:r w:rsidR="00473710">
        <w:rPr>
          <w:bCs/>
          <w:iCs/>
          <w:sz w:val="22"/>
          <w:szCs w:val="22"/>
        </w:rPr>
        <w:t>h</w:t>
      </w:r>
      <w:r w:rsidR="00473710" w:rsidRPr="00401A3D">
        <w:rPr>
          <w:bCs/>
          <w:iCs/>
          <w:sz w:val="22"/>
          <w:szCs w:val="22"/>
        </w:rPr>
        <w:t>lavním cílem bylo stanovení</w:t>
      </w:r>
      <w:r w:rsidR="00F66CC9">
        <w:rPr>
          <w:bCs/>
          <w:iCs/>
          <w:sz w:val="22"/>
          <w:szCs w:val="22"/>
        </w:rPr>
        <w:t xml:space="preserve"> jednotné metodiky pro řízení a </w:t>
      </w:r>
      <w:r w:rsidR="00473710" w:rsidRPr="00401A3D">
        <w:rPr>
          <w:bCs/>
          <w:iCs/>
          <w:sz w:val="22"/>
          <w:szCs w:val="22"/>
        </w:rPr>
        <w:t>realizaci projektu IISSP</w:t>
      </w:r>
      <w:r w:rsidR="005E1260">
        <w:rPr>
          <w:bCs/>
          <w:iCs/>
          <w:sz w:val="22"/>
          <w:szCs w:val="22"/>
        </w:rPr>
        <w:t xml:space="preserve"> –</w:t>
      </w:r>
      <w:r w:rsidR="00473710">
        <w:rPr>
          <w:bCs/>
          <w:iCs/>
          <w:sz w:val="22"/>
          <w:szCs w:val="22"/>
        </w:rPr>
        <w:t xml:space="preserve"> a</w:t>
      </w:r>
      <w:r w:rsidR="00473710">
        <w:rPr>
          <w:sz w:val="22"/>
          <w:szCs w:val="22"/>
        </w:rPr>
        <w:t xml:space="preserve"> </w:t>
      </w:r>
      <w:r w:rsidR="005E1260">
        <w:rPr>
          <w:sz w:val="22"/>
          <w:szCs w:val="22"/>
        </w:rPr>
        <w:t>c</w:t>
      </w:r>
      <w:r w:rsidR="00473710">
        <w:rPr>
          <w:sz w:val="22"/>
          <w:szCs w:val="22"/>
        </w:rPr>
        <w:t>ílový koncept,</w:t>
      </w:r>
      <w:r w:rsidR="00473710" w:rsidRPr="00E410B2">
        <w:rPr>
          <w:bCs/>
          <w:iCs/>
          <w:sz w:val="22"/>
          <w:szCs w:val="22"/>
        </w:rPr>
        <w:t xml:space="preserve"> na jehož základě </w:t>
      </w:r>
      <w:r w:rsidR="00473710">
        <w:rPr>
          <w:bCs/>
          <w:iCs/>
          <w:sz w:val="22"/>
          <w:szCs w:val="22"/>
        </w:rPr>
        <w:t>byl</w:t>
      </w:r>
      <w:r w:rsidR="00473710" w:rsidRPr="00E410B2">
        <w:rPr>
          <w:bCs/>
          <w:iCs/>
          <w:sz w:val="22"/>
          <w:szCs w:val="22"/>
        </w:rPr>
        <w:t xml:space="preserve"> projekt </w:t>
      </w:r>
      <w:r w:rsidR="00473710">
        <w:rPr>
          <w:bCs/>
          <w:iCs/>
          <w:sz w:val="22"/>
          <w:szCs w:val="22"/>
        </w:rPr>
        <w:t xml:space="preserve">realizován. </w:t>
      </w:r>
      <w:r w:rsidR="00F66CC9">
        <w:rPr>
          <w:sz w:val="22"/>
          <w:szCs w:val="22"/>
        </w:rPr>
        <w:t>Dodatkem č. </w:t>
      </w:r>
      <w:r w:rsidR="007F4420">
        <w:rPr>
          <w:sz w:val="22"/>
          <w:szCs w:val="22"/>
        </w:rPr>
        <w:t xml:space="preserve">1 došlo </w:t>
      </w:r>
      <w:r w:rsidR="00473710">
        <w:rPr>
          <w:sz w:val="22"/>
          <w:szCs w:val="22"/>
        </w:rPr>
        <w:t xml:space="preserve">také </w:t>
      </w:r>
      <w:r w:rsidR="007F4420">
        <w:rPr>
          <w:sz w:val="22"/>
          <w:szCs w:val="22"/>
        </w:rPr>
        <w:t>k </w:t>
      </w:r>
      <w:r w:rsidR="005E1260">
        <w:rPr>
          <w:sz w:val="22"/>
          <w:szCs w:val="22"/>
        </w:rPr>
        <w:t>odložení</w:t>
      </w:r>
      <w:r w:rsidR="007F4420">
        <w:rPr>
          <w:sz w:val="22"/>
          <w:szCs w:val="22"/>
        </w:rPr>
        <w:t xml:space="preserve"> termínu uvedení systému IISSP do ostrého provozu o</w:t>
      </w:r>
      <w:r w:rsidR="00F66CC9">
        <w:rPr>
          <w:sz w:val="22"/>
          <w:szCs w:val="22"/>
        </w:rPr>
        <w:t> </w:t>
      </w:r>
      <w:r w:rsidR="007F4420">
        <w:rPr>
          <w:sz w:val="22"/>
          <w:szCs w:val="22"/>
        </w:rPr>
        <w:t xml:space="preserve">dva roky s tím, že bude uváděn do provozu po částech. </w:t>
      </w:r>
      <w:r w:rsidR="005A0B2D">
        <w:rPr>
          <w:sz w:val="22"/>
          <w:szCs w:val="22"/>
        </w:rPr>
        <w:t xml:space="preserve">K dalšímu posunu termínu došlo </w:t>
      </w:r>
      <w:r w:rsidR="005E1260">
        <w:rPr>
          <w:sz w:val="22"/>
          <w:szCs w:val="22"/>
        </w:rPr>
        <w:t>d</w:t>
      </w:r>
      <w:r w:rsidR="007F4420">
        <w:rPr>
          <w:sz w:val="22"/>
          <w:szCs w:val="22"/>
        </w:rPr>
        <w:t>odatkem č.</w:t>
      </w:r>
      <w:r w:rsidR="00F66CC9">
        <w:rPr>
          <w:sz w:val="22"/>
          <w:szCs w:val="22"/>
        </w:rPr>
        <w:t> </w:t>
      </w:r>
      <w:r w:rsidR="007F4420">
        <w:rPr>
          <w:sz w:val="22"/>
          <w:szCs w:val="22"/>
        </w:rPr>
        <w:t xml:space="preserve">6. </w:t>
      </w:r>
      <w:r w:rsidR="007F4420" w:rsidRPr="00432DA5">
        <w:rPr>
          <w:b/>
          <w:sz w:val="22"/>
          <w:szCs w:val="22"/>
        </w:rPr>
        <w:t>Dodatkem č.</w:t>
      </w:r>
      <w:r w:rsidR="00F66CC9">
        <w:rPr>
          <w:b/>
          <w:sz w:val="22"/>
          <w:szCs w:val="22"/>
        </w:rPr>
        <w:t> </w:t>
      </w:r>
      <w:r w:rsidR="007F4420" w:rsidRPr="00432DA5">
        <w:rPr>
          <w:b/>
          <w:sz w:val="22"/>
          <w:szCs w:val="22"/>
        </w:rPr>
        <w:t>10 byl termín uveden</w:t>
      </w:r>
      <w:r w:rsidR="0058342A" w:rsidRPr="00432DA5">
        <w:rPr>
          <w:b/>
          <w:sz w:val="22"/>
          <w:szCs w:val="22"/>
        </w:rPr>
        <w:t>í do ostrého provozu posunut o</w:t>
      </w:r>
      <w:r w:rsidR="00F66CC9">
        <w:rPr>
          <w:b/>
          <w:sz w:val="22"/>
          <w:szCs w:val="22"/>
        </w:rPr>
        <w:t> </w:t>
      </w:r>
      <w:r w:rsidR="0058342A" w:rsidRPr="00432DA5">
        <w:rPr>
          <w:b/>
          <w:sz w:val="22"/>
          <w:szCs w:val="22"/>
        </w:rPr>
        <w:t>tři</w:t>
      </w:r>
      <w:r w:rsidR="007F4420" w:rsidRPr="00432DA5">
        <w:rPr>
          <w:b/>
          <w:sz w:val="22"/>
          <w:szCs w:val="22"/>
        </w:rPr>
        <w:t xml:space="preserve"> a půl roku oproti základní verzi smlouvy ze dne 22. </w:t>
      </w:r>
      <w:r w:rsidR="00BA0F2D" w:rsidRPr="00432DA5">
        <w:rPr>
          <w:b/>
          <w:sz w:val="22"/>
          <w:szCs w:val="22"/>
        </w:rPr>
        <w:t>prosince</w:t>
      </w:r>
      <w:r w:rsidR="007F4420" w:rsidRPr="00432DA5">
        <w:rPr>
          <w:b/>
          <w:sz w:val="22"/>
          <w:szCs w:val="22"/>
        </w:rPr>
        <w:t xml:space="preserve"> 2008.</w:t>
      </w:r>
    </w:p>
    <w:p w:rsidR="00116B04" w:rsidRDefault="00116B04" w:rsidP="00344D91">
      <w:pPr>
        <w:spacing w:before="0"/>
        <w:contextualSpacing/>
        <w:rPr>
          <w:sz w:val="22"/>
          <w:szCs w:val="22"/>
        </w:rPr>
      </w:pPr>
    </w:p>
    <w:p w:rsidR="00F646B7" w:rsidRDefault="00F646B7">
      <w:pPr>
        <w:spacing w:before="0"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C1A9E" w:rsidRPr="00344D91" w:rsidRDefault="008C1A9E" w:rsidP="00344D91">
      <w:pPr>
        <w:spacing w:before="0" w:after="40"/>
        <w:rPr>
          <w:b/>
          <w:sz w:val="22"/>
          <w:szCs w:val="22"/>
        </w:rPr>
      </w:pPr>
      <w:r w:rsidRPr="00344D91">
        <w:rPr>
          <w:b/>
          <w:sz w:val="22"/>
          <w:szCs w:val="22"/>
        </w:rPr>
        <w:lastRenderedPageBreak/>
        <w:t xml:space="preserve">Tabulka č. </w:t>
      </w:r>
      <w:r w:rsidR="00852BCD" w:rsidRPr="00344D91">
        <w:rPr>
          <w:b/>
          <w:sz w:val="22"/>
          <w:szCs w:val="22"/>
        </w:rPr>
        <w:t>3</w:t>
      </w:r>
      <w:r w:rsidRPr="00344D91">
        <w:rPr>
          <w:b/>
          <w:sz w:val="22"/>
          <w:szCs w:val="22"/>
        </w:rPr>
        <w:t xml:space="preserve"> – Změny časového harmonogramu ve </w:t>
      </w:r>
      <w:r w:rsidR="005E1260">
        <w:rPr>
          <w:b/>
          <w:sz w:val="22"/>
          <w:szCs w:val="22"/>
        </w:rPr>
        <w:t>s</w:t>
      </w:r>
      <w:r w:rsidRPr="00344D91">
        <w:rPr>
          <w:b/>
          <w:sz w:val="22"/>
          <w:szCs w:val="22"/>
        </w:rPr>
        <w:t>mlouvě o dodávce IISSP</w:t>
      </w:r>
    </w:p>
    <w:tbl>
      <w:tblPr>
        <w:tblStyle w:val="Mkatabulky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345"/>
        <w:gridCol w:w="5670"/>
      </w:tblGrid>
      <w:tr w:rsidR="00116B04" w:rsidRPr="000F37F7" w:rsidTr="000745BA">
        <w:trPr>
          <w:trHeight w:val="283"/>
          <w:jc w:val="center"/>
        </w:trPr>
        <w:tc>
          <w:tcPr>
            <w:tcW w:w="3345" w:type="dxa"/>
            <w:shd w:val="clear" w:color="auto" w:fill="FFFFFF" w:themeFill="background1"/>
            <w:vAlign w:val="center"/>
          </w:tcPr>
          <w:p w:rsidR="00116B04" w:rsidRPr="00344D91" w:rsidRDefault="00116B04" w:rsidP="00344D91">
            <w:pPr>
              <w:spacing w:befor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16B04" w:rsidRPr="00344D91" w:rsidRDefault="00116B04" w:rsidP="00344D91">
            <w:pPr>
              <w:spacing w:before="0"/>
              <w:contextualSpacing/>
              <w:jc w:val="center"/>
              <w:rPr>
                <w:b/>
                <w:sz w:val="18"/>
                <w:szCs w:val="18"/>
              </w:rPr>
            </w:pPr>
            <w:r w:rsidRPr="00344D91">
              <w:rPr>
                <w:b/>
                <w:sz w:val="18"/>
                <w:szCs w:val="18"/>
              </w:rPr>
              <w:t>Uvedení systému IISSP do ostrého provozu</w:t>
            </w:r>
          </w:p>
        </w:tc>
      </w:tr>
      <w:tr w:rsidR="00116B04" w:rsidRPr="000F37F7" w:rsidTr="000745BA">
        <w:trPr>
          <w:trHeight w:val="283"/>
          <w:jc w:val="center"/>
        </w:trPr>
        <w:tc>
          <w:tcPr>
            <w:tcW w:w="3345" w:type="dxa"/>
            <w:vAlign w:val="center"/>
          </w:tcPr>
          <w:p w:rsidR="00116B04" w:rsidRPr="000F37F7" w:rsidRDefault="000745BA" w:rsidP="000745BA">
            <w:pPr>
              <w:spacing w:before="20" w:after="2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Smlouva o </w:t>
            </w:r>
            <w:r w:rsidR="005A0B2D" w:rsidRPr="000F37F7">
              <w:rPr>
                <w:sz w:val="18"/>
                <w:szCs w:val="18"/>
              </w:rPr>
              <w:t>dodávce IISSP</w:t>
            </w:r>
            <w:r w:rsidR="00116B04" w:rsidRPr="000F37F7">
              <w:rPr>
                <w:sz w:val="18"/>
                <w:szCs w:val="18"/>
              </w:rPr>
              <w:t xml:space="preserve"> </w:t>
            </w:r>
            <w:r w:rsidR="00344D91">
              <w:rPr>
                <w:sz w:val="18"/>
                <w:szCs w:val="18"/>
              </w:rPr>
              <w:br/>
            </w:r>
            <w:r w:rsidR="005A0B2D" w:rsidRPr="000F37F7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22. 12. </w:t>
            </w:r>
            <w:r w:rsidR="00116B04" w:rsidRPr="000F37F7">
              <w:rPr>
                <w:sz w:val="18"/>
                <w:szCs w:val="18"/>
              </w:rPr>
              <w:t>2008</w:t>
            </w:r>
          </w:p>
        </w:tc>
        <w:tc>
          <w:tcPr>
            <w:tcW w:w="5670" w:type="dxa"/>
          </w:tcPr>
          <w:p w:rsidR="00116B04" w:rsidRPr="000F37F7" w:rsidRDefault="00116B04" w:rsidP="00344D91">
            <w:pPr>
              <w:pStyle w:val="Odstavecseseznamem"/>
              <w:spacing w:before="20" w:after="20"/>
              <w:ind w:left="34" w:firstLine="0"/>
              <w:jc w:val="left"/>
              <w:rPr>
                <w:sz w:val="18"/>
                <w:szCs w:val="18"/>
              </w:rPr>
            </w:pPr>
            <w:r w:rsidRPr="000F37F7">
              <w:rPr>
                <w:sz w:val="18"/>
                <w:szCs w:val="18"/>
              </w:rPr>
              <w:t xml:space="preserve">1. </w:t>
            </w:r>
            <w:r w:rsidR="00C63F57" w:rsidRPr="000F37F7">
              <w:rPr>
                <w:sz w:val="18"/>
                <w:szCs w:val="18"/>
              </w:rPr>
              <w:t xml:space="preserve">1. </w:t>
            </w:r>
            <w:r w:rsidRPr="000F37F7">
              <w:rPr>
                <w:sz w:val="18"/>
                <w:szCs w:val="18"/>
              </w:rPr>
              <w:t>2010</w:t>
            </w:r>
          </w:p>
        </w:tc>
      </w:tr>
      <w:tr w:rsidR="00116B04" w:rsidRPr="000F37F7" w:rsidTr="000745BA">
        <w:trPr>
          <w:trHeight w:val="283"/>
          <w:jc w:val="center"/>
        </w:trPr>
        <w:tc>
          <w:tcPr>
            <w:tcW w:w="3345" w:type="dxa"/>
            <w:vAlign w:val="center"/>
          </w:tcPr>
          <w:p w:rsidR="00116B04" w:rsidRPr="000F37F7" w:rsidRDefault="00116B04" w:rsidP="000745BA">
            <w:pPr>
              <w:spacing w:before="20" w:after="20"/>
              <w:contextualSpacing/>
              <w:jc w:val="left"/>
              <w:rPr>
                <w:sz w:val="18"/>
                <w:szCs w:val="18"/>
              </w:rPr>
            </w:pPr>
            <w:r w:rsidRPr="000F37F7">
              <w:rPr>
                <w:sz w:val="18"/>
                <w:szCs w:val="18"/>
              </w:rPr>
              <w:t>Dodatek č.</w:t>
            </w:r>
            <w:r w:rsidR="000745BA">
              <w:rPr>
                <w:sz w:val="18"/>
                <w:szCs w:val="18"/>
              </w:rPr>
              <w:t> </w:t>
            </w:r>
            <w:r w:rsidRPr="000F37F7">
              <w:rPr>
                <w:sz w:val="18"/>
                <w:szCs w:val="18"/>
              </w:rPr>
              <w:t>1</w:t>
            </w:r>
            <w:r w:rsidR="005A0B2D" w:rsidRPr="000F37F7">
              <w:rPr>
                <w:sz w:val="18"/>
                <w:szCs w:val="18"/>
              </w:rPr>
              <w:t xml:space="preserve"> </w:t>
            </w:r>
            <w:r w:rsidR="000745BA">
              <w:rPr>
                <w:sz w:val="18"/>
                <w:szCs w:val="18"/>
              </w:rPr>
              <w:br/>
            </w:r>
            <w:r w:rsidR="005A0B2D" w:rsidRPr="000F37F7">
              <w:rPr>
                <w:sz w:val="18"/>
                <w:szCs w:val="18"/>
              </w:rPr>
              <w:t>z</w:t>
            </w:r>
            <w:r w:rsidR="000745BA">
              <w:rPr>
                <w:sz w:val="18"/>
                <w:szCs w:val="18"/>
              </w:rPr>
              <w:t> </w:t>
            </w:r>
            <w:r w:rsidR="00C63F57" w:rsidRPr="000F37F7">
              <w:rPr>
                <w:sz w:val="18"/>
                <w:szCs w:val="18"/>
              </w:rPr>
              <w:t>22.</w:t>
            </w:r>
            <w:r w:rsidR="000745BA">
              <w:rPr>
                <w:sz w:val="18"/>
                <w:szCs w:val="18"/>
              </w:rPr>
              <w:t> </w:t>
            </w:r>
            <w:r w:rsidR="00C63F57" w:rsidRPr="000F37F7">
              <w:rPr>
                <w:sz w:val="18"/>
                <w:szCs w:val="18"/>
              </w:rPr>
              <w:t>10.</w:t>
            </w:r>
            <w:r w:rsidR="000745BA">
              <w:rPr>
                <w:sz w:val="18"/>
                <w:szCs w:val="18"/>
              </w:rPr>
              <w:t> </w:t>
            </w:r>
            <w:r w:rsidR="00C63F57" w:rsidRPr="000F37F7">
              <w:rPr>
                <w:sz w:val="18"/>
                <w:szCs w:val="18"/>
              </w:rPr>
              <w:t>2009</w:t>
            </w:r>
          </w:p>
        </w:tc>
        <w:tc>
          <w:tcPr>
            <w:tcW w:w="5670" w:type="dxa"/>
          </w:tcPr>
          <w:p w:rsidR="00116B04" w:rsidRPr="000F37F7" w:rsidRDefault="00C63F57" w:rsidP="005E1260">
            <w:pPr>
              <w:spacing w:before="20" w:after="20"/>
              <w:ind w:left="34"/>
              <w:jc w:val="left"/>
              <w:rPr>
                <w:sz w:val="18"/>
                <w:szCs w:val="18"/>
              </w:rPr>
            </w:pPr>
            <w:r w:rsidRPr="000F37F7">
              <w:rPr>
                <w:sz w:val="18"/>
                <w:szCs w:val="18"/>
              </w:rPr>
              <w:t xml:space="preserve">IISSP bude uváděn do ostrého provozu po částech </w:t>
            </w:r>
            <w:r w:rsidR="001E1C61">
              <w:rPr>
                <w:sz w:val="18"/>
                <w:szCs w:val="18"/>
              </w:rPr>
              <w:br/>
            </w:r>
            <w:r w:rsidRPr="000F37F7">
              <w:rPr>
                <w:sz w:val="18"/>
                <w:szCs w:val="18"/>
              </w:rPr>
              <w:t>od 1. 1. 2010 do 1. 1. 2012</w:t>
            </w:r>
          </w:p>
        </w:tc>
      </w:tr>
      <w:tr w:rsidR="00116B04" w:rsidRPr="000F37F7" w:rsidTr="000745BA">
        <w:trPr>
          <w:trHeight w:val="283"/>
          <w:jc w:val="center"/>
        </w:trPr>
        <w:tc>
          <w:tcPr>
            <w:tcW w:w="3345" w:type="dxa"/>
            <w:vAlign w:val="center"/>
          </w:tcPr>
          <w:p w:rsidR="00116B04" w:rsidRPr="000F37F7" w:rsidRDefault="000745BA" w:rsidP="000745BA">
            <w:pPr>
              <w:spacing w:before="20" w:after="2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Dodatek č. </w:t>
            </w:r>
            <w:r w:rsidR="005A0B2D" w:rsidRPr="000F37F7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br/>
            </w:r>
            <w:r w:rsidR="005A0B2D" w:rsidRPr="000F37F7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  <w:r w:rsidR="00C63F57" w:rsidRPr="000F37F7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 2. </w:t>
            </w:r>
            <w:r w:rsidR="00C63F57" w:rsidRPr="000F37F7">
              <w:rPr>
                <w:sz w:val="18"/>
                <w:szCs w:val="18"/>
              </w:rPr>
              <w:t>2011</w:t>
            </w:r>
          </w:p>
        </w:tc>
        <w:tc>
          <w:tcPr>
            <w:tcW w:w="5670" w:type="dxa"/>
          </w:tcPr>
          <w:p w:rsidR="00116B04" w:rsidRPr="000F37F7" w:rsidRDefault="00C63F57" w:rsidP="005E1260">
            <w:pPr>
              <w:spacing w:before="20" w:after="20"/>
              <w:ind w:left="34"/>
              <w:jc w:val="left"/>
              <w:rPr>
                <w:sz w:val="18"/>
                <w:szCs w:val="18"/>
              </w:rPr>
            </w:pPr>
            <w:r w:rsidRPr="000F37F7">
              <w:rPr>
                <w:sz w:val="18"/>
                <w:szCs w:val="18"/>
              </w:rPr>
              <w:t xml:space="preserve">IISSP bude uváděn do ostrého provozu po částech </w:t>
            </w:r>
            <w:r w:rsidR="001E1C61">
              <w:rPr>
                <w:sz w:val="18"/>
                <w:szCs w:val="18"/>
              </w:rPr>
              <w:br/>
            </w:r>
            <w:r w:rsidRPr="000F37F7">
              <w:rPr>
                <w:sz w:val="18"/>
                <w:szCs w:val="18"/>
              </w:rPr>
              <w:t>od 1. 1. 2010 do 1. 1. 2013</w:t>
            </w:r>
          </w:p>
        </w:tc>
      </w:tr>
      <w:tr w:rsidR="00116B04" w:rsidRPr="000F37F7" w:rsidTr="000745BA">
        <w:trPr>
          <w:trHeight w:val="283"/>
          <w:jc w:val="center"/>
        </w:trPr>
        <w:tc>
          <w:tcPr>
            <w:tcW w:w="3345" w:type="dxa"/>
            <w:vAlign w:val="center"/>
          </w:tcPr>
          <w:p w:rsidR="00116B04" w:rsidRPr="000F37F7" w:rsidRDefault="005A0B2D" w:rsidP="000745BA">
            <w:pPr>
              <w:spacing w:before="20" w:after="20"/>
              <w:contextualSpacing/>
              <w:jc w:val="left"/>
              <w:rPr>
                <w:sz w:val="18"/>
                <w:szCs w:val="18"/>
              </w:rPr>
            </w:pPr>
            <w:r w:rsidRPr="000F37F7">
              <w:rPr>
                <w:sz w:val="18"/>
                <w:szCs w:val="18"/>
              </w:rPr>
              <w:t>Dod</w:t>
            </w:r>
            <w:r w:rsidR="000745BA">
              <w:rPr>
                <w:sz w:val="18"/>
                <w:szCs w:val="18"/>
              </w:rPr>
              <w:t>atek č. </w:t>
            </w:r>
            <w:r w:rsidRPr="000F37F7">
              <w:rPr>
                <w:sz w:val="18"/>
                <w:szCs w:val="18"/>
              </w:rPr>
              <w:t xml:space="preserve">10 </w:t>
            </w:r>
            <w:r w:rsidR="000745BA">
              <w:rPr>
                <w:sz w:val="18"/>
                <w:szCs w:val="18"/>
              </w:rPr>
              <w:br/>
              <w:t>z 22. </w:t>
            </w:r>
            <w:r w:rsidR="00C63F57" w:rsidRPr="000F37F7">
              <w:rPr>
                <w:sz w:val="18"/>
                <w:szCs w:val="18"/>
              </w:rPr>
              <w:t>12.</w:t>
            </w:r>
            <w:r w:rsidR="000745BA">
              <w:rPr>
                <w:sz w:val="18"/>
                <w:szCs w:val="18"/>
              </w:rPr>
              <w:t> </w:t>
            </w:r>
            <w:r w:rsidR="00C63F57" w:rsidRPr="000F37F7">
              <w:rPr>
                <w:sz w:val="18"/>
                <w:szCs w:val="18"/>
              </w:rPr>
              <w:t>2011</w:t>
            </w:r>
          </w:p>
        </w:tc>
        <w:tc>
          <w:tcPr>
            <w:tcW w:w="5670" w:type="dxa"/>
          </w:tcPr>
          <w:p w:rsidR="00116B04" w:rsidRPr="000F37F7" w:rsidRDefault="00C63F57" w:rsidP="005E1260">
            <w:pPr>
              <w:spacing w:before="20" w:after="20"/>
              <w:ind w:left="34"/>
              <w:jc w:val="left"/>
              <w:rPr>
                <w:sz w:val="18"/>
                <w:szCs w:val="18"/>
              </w:rPr>
            </w:pPr>
            <w:r w:rsidRPr="000F37F7">
              <w:rPr>
                <w:sz w:val="18"/>
                <w:szCs w:val="18"/>
              </w:rPr>
              <w:t xml:space="preserve">IISSP bude uváděn do ostrého provozu po částech </w:t>
            </w:r>
            <w:r w:rsidR="001E1C61">
              <w:rPr>
                <w:sz w:val="18"/>
                <w:szCs w:val="18"/>
              </w:rPr>
              <w:br/>
            </w:r>
            <w:r w:rsidRPr="000F37F7">
              <w:rPr>
                <w:sz w:val="18"/>
                <w:szCs w:val="18"/>
              </w:rPr>
              <w:t>od 1. 1. 2010 do 1. 7. 2013</w:t>
            </w:r>
          </w:p>
        </w:tc>
      </w:tr>
    </w:tbl>
    <w:p w:rsidR="00887421" w:rsidRPr="000F37F7" w:rsidRDefault="00887421" w:rsidP="00344D91">
      <w:pPr>
        <w:spacing w:before="40"/>
        <w:rPr>
          <w:sz w:val="18"/>
          <w:szCs w:val="18"/>
        </w:rPr>
      </w:pPr>
      <w:r w:rsidRPr="000F37F7">
        <w:rPr>
          <w:b/>
          <w:sz w:val="18"/>
          <w:szCs w:val="18"/>
        </w:rPr>
        <w:t>Zdroj</w:t>
      </w:r>
      <w:r w:rsidRPr="00C955C8">
        <w:rPr>
          <w:b/>
          <w:sz w:val="18"/>
          <w:szCs w:val="18"/>
        </w:rPr>
        <w:t>:</w:t>
      </w:r>
      <w:r w:rsidRPr="000F37F7">
        <w:rPr>
          <w:sz w:val="18"/>
          <w:szCs w:val="18"/>
        </w:rPr>
        <w:t xml:space="preserve"> </w:t>
      </w:r>
      <w:r w:rsidR="005E1260">
        <w:rPr>
          <w:sz w:val="18"/>
          <w:szCs w:val="18"/>
        </w:rPr>
        <w:t>s</w:t>
      </w:r>
      <w:r w:rsidRPr="000F37F7">
        <w:rPr>
          <w:sz w:val="18"/>
          <w:szCs w:val="18"/>
        </w:rPr>
        <w:t>mlouva o dodávce IISSP</w:t>
      </w:r>
      <w:r w:rsidR="00E641AA" w:rsidRPr="000F37F7">
        <w:rPr>
          <w:sz w:val="18"/>
          <w:szCs w:val="18"/>
        </w:rPr>
        <w:t xml:space="preserve"> a </w:t>
      </w:r>
      <w:r w:rsidR="005E1260">
        <w:rPr>
          <w:sz w:val="18"/>
          <w:szCs w:val="18"/>
        </w:rPr>
        <w:t>d</w:t>
      </w:r>
      <w:r w:rsidRPr="000F37F7">
        <w:rPr>
          <w:sz w:val="18"/>
          <w:szCs w:val="18"/>
        </w:rPr>
        <w:t>odatky č. 1, č. 6 a č. 10</w:t>
      </w:r>
      <w:r w:rsidR="0018169C" w:rsidRPr="000F37F7">
        <w:rPr>
          <w:sz w:val="18"/>
          <w:szCs w:val="18"/>
        </w:rPr>
        <w:t>.</w:t>
      </w:r>
    </w:p>
    <w:p w:rsidR="007F4420" w:rsidRDefault="007F4420" w:rsidP="00B12F01">
      <w:pPr>
        <w:spacing w:before="0"/>
        <w:contextualSpacing/>
        <w:rPr>
          <w:sz w:val="22"/>
          <w:szCs w:val="22"/>
        </w:rPr>
      </w:pPr>
    </w:p>
    <w:p w:rsidR="00E031AC" w:rsidRDefault="00116B04" w:rsidP="00B12F01">
      <w:pPr>
        <w:spacing w:before="0"/>
        <w:contextualSpacing/>
        <w:rPr>
          <w:sz w:val="22"/>
          <w:szCs w:val="22"/>
        </w:rPr>
      </w:pPr>
      <w:r>
        <w:rPr>
          <w:sz w:val="22"/>
          <w:szCs w:val="22"/>
        </w:rPr>
        <w:t>U</w:t>
      </w:r>
      <w:r w:rsidR="00357B53">
        <w:rPr>
          <w:sz w:val="22"/>
          <w:szCs w:val="22"/>
        </w:rPr>
        <w:t xml:space="preserve">zavřením </w:t>
      </w:r>
      <w:r>
        <w:rPr>
          <w:sz w:val="22"/>
          <w:szCs w:val="22"/>
        </w:rPr>
        <w:t xml:space="preserve">deseti dodatků </w:t>
      </w:r>
      <w:r w:rsidR="00E031AC">
        <w:rPr>
          <w:sz w:val="22"/>
          <w:szCs w:val="22"/>
        </w:rPr>
        <w:t>došlo</w:t>
      </w:r>
      <w:r w:rsidR="007F4420">
        <w:rPr>
          <w:sz w:val="22"/>
          <w:szCs w:val="22"/>
        </w:rPr>
        <w:t xml:space="preserve"> </w:t>
      </w:r>
      <w:r w:rsidR="00AD3FD5">
        <w:rPr>
          <w:sz w:val="22"/>
          <w:szCs w:val="22"/>
        </w:rPr>
        <w:t xml:space="preserve">do konce roku 2011 </w:t>
      </w:r>
      <w:r w:rsidR="007F4420">
        <w:rPr>
          <w:sz w:val="22"/>
          <w:szCs w:val="22"/>
        </w:rPr>
        <w:t xml:space="preserve">k nárůstu celkové ceny plnění </w:t>
      </w:r>
      <w:r w:rsidR="001E1C61">
        <w:rPr>
          <w:sz w:val="22"/>
          <w:szCs w:val="22"/>
        </w:rPr>
        <w:t>s</w:t>
      </w:r>
      <w:r w:rsidR="00E031AC">
        <w:rPr>
          <w:sz w:val="22"/>
          <w:szCs w:val="22"/>
        </w:rPr>
        <w:t xml:space="preserve">mlouvy </w:t>
      </w:r>
      <w:r w:rsidR="00A74A2A">
        <w:rPr>
          <w:sz w:val="22"/>
          <w:szCs w:val="22"/>
        </w:rPr>
        <w:t>o dodávce IISSP o 73 673 tis.</w:t>
      </w:r>
      <w:r w:rsidR="007F4420">
        <w:rPr>
          <w:sz w:val="22"/>
          <w:szCs w:val="22"/>
        </w:rPr>
        <w:t xml:space="preserve"> Kč</w:t>
      </w:r>
      <w:r w:rsidR="00480CAD">
        <w:rPr>
          <w:sz w:val="22"/>
          <w:szCs w:val="22"/>
        </w:rPr>
        <w:t xml:space="preserve"> bez DPH</w:t>
      </w:r>
      <w:r w:rsidR="00477FFA">
        <w:rPr>
          <w:sz w:val="22"/>
          <w:szCs w:val="22"/>
        </w:rPr>
        <w:t xml:space="preserve"> </w:t>
      </w:r>
      <w:r w:rsidR="007F4420">
        <w:rPr>
          <w:sz w:val="22"/>
          <w:szCs w:val="22"/>
        </w:rPr>
        <w:t>oproti základní verzi smlouvy ze dne 22.</w:t>
      </w:r>
      <w:r w:rsidR="000F37F7">
        <w:rPr>
          <w:sz w:val="22"/>
          <w:szCs w:val="22"/>
        </w:rPr>
        <w:t> </w:t>
      </w:r>
      <w:r w:rsidR="0018169C">
        <w:rPr>
          <w:sz w:val="22"/>
          <w:szCs w:val="22"/>
        </w:rPr>
        <w:t>prosince</w:t>
      </w:r>
      <w:r w:rsidR="000F37F7">
        <w:rPr>
          <w:sz w:val="22"/>
          <w:szCs w:val="22"/>
        </w:rPr>
        <w:t> </w:t>
      </w:r>
      <w:r w:rsidR="007F4420">
        <w:rPr>
          <w:sz w:val="22"/>
          <w:szCs w:val="22"/>
        </w:rPr>
        <w:t>2008.</w:t>
      </w:r>
    </w:p>
    <w:p w:rsidR="007F4420" w:rsidRDefault="007F4420" w:rsidP="00B12F01">
      <w:pPr>
        <w:spacing w:before="0"/>
        <w:contextualSpacing/>
        <w:rPr>
          <w:sz w:val="22"/>
          <w:szCs w:val="22"/>
        </w:rPr>
      </w:pPr>
    </w:p>
    <w:p w:rsidR="00344D91" w:rsidRDefault="007C6D94" w:rsidP="00344D91">
      <w:pPr>
        <w:spacing w:before="0"/>
        <w:rPr>
          <w:b/>
          <w:sz w:val="22"/>
          <w:szCs w:val="22"/>
        </w:rPr>
      </w:pPr>
      <w:r w:rsidRPr="00344D91">
        <w:rPr>
          <w:b/>
          <w:sz w:val="22"/>
          <w:szCs w:val="22"/>
        </w:rPr>
        <w:t xml:space="preserve">Tabulka č. </w:t>
      </w:r>
      <w:r w:rsidR="00852BCD" w:rsidRPr="00344D91">
        <w:rPr>
          <w:b/>
          <w:sz w:val="22"/>
          <w:szCs w:val="22"/>
        </w:rPr>
        <w:t>4</w:t>
      </w:r>
      <w:r w:rsidRPr="00344D91">
        <w:rPr>
          <w:b/>
          <w:sz w:val="22"/>
          <w:szCs w:val="22"/>
        </w:rPr>
        <w:t xml:space="preserve"> </w:t>
      </w:r>
      <w:r w:rsidR="0018169C" w:rsidRPr="00344D91">
        <w:rPr>
          <w:b/>
          <w:sz w:val="22"/>
          <w:szCs w:val="22"/>
        </w:rPr>
        <w:t>–</w:t>
      </w:r>
      <w:r w:rsidRPr="00344D91">
        <w:rPr>
          <w:b/>
          <w:sz w:val="22"/>
          <w:szCs w:val="22"/>
        </w:rPr>
        <w:t xml:space="preserve"> Dodatky ke </w:t>
      </w:r>
      <w:r w:rsidR="001E1C61">
        <w:rPr>
          <w:b/>
          <w:sz w:val="22"/>
          <w:szCs w:val="22"/>
        </w:rPr>
        <w:t>s</w:t>
      </w:r>
      <w:r w:rsidRPr="00344D91">
        <w:rPr>
          <w:b/>
          <w:sz w:val="22"/>
          <w:szCs w:val="22"/>
        </w:rPr>
        <w:t>mlouvě o dodávce IISSP včetně změn ceny bez DPH</w:t>
      </w:r>
    </w:p>
    <w:p w:rsidR="007C6D94" w:rsidRPr="00344D91" w:rsidRDefault="005C1580" w:rsidP="001E1C61">
      <w:pPr>
        <w:tabs>
          <w:tab w:val="left" w:pos="7938"/>
        </w:tabs>
        <w:spacing w:before="0" w:after="40"/>
        <w:rPr>
          <w:b/>
          <w:sz w:val="22"/>
          <w:szCs w:val="22"/>
        </w:rPr>
      </w:pPr>
      <w:r w:rsidRPr="00344D91">
        <w:rPr>
          <w:b/>
          <w:sz w:val="22"/>
          <w:szCs w:val="22"/>
        </w:rPr>
        <w:t xml:space="preserve"> </w:t>
      </w:r>
      <w:r w:rsidR="00344D91">
        <w:rPr>
          <w:b/>
          <w:sz w:val="22"/>
          <w:szCs w:val="22"/>
        </w:rPr>
        <w:tab/>
      </w:r>
      <w:r w:rsidRPr="00344D91">
        <w:rPr>
          <w:b/>
          <w:sz w:val="22"/>
          <w:szCs w:val="22"/>
        </w:rPr>
        <w:t>(v tis. Kč)</w:t>
      </w:r>
    </w:p>
    <w:tbl>
      <w:tblPr>
        <w:tblStyle w:val="Mkatabulky"/>
        <w:tblW w:w="9102" w:type="dxa"/>
        <w:jc w:val="center"/>
        <w:tblLook w:val="04A0" w:firstRow="1" w:lastRow="0" w:firstColumn="1" w:lastColumn="0" w:noHBand="0" w:noVBand="1"/>
      </w:tblPr>
      <w:tblGrid>
        <w:gridCol w:w="2365"/>
        <w:gridCol w:w="1282"/>
        <w:gridCol w:w="1537"/>
        <w:gridCol w:w="1409"/>
        <w:gridCol w:w="1373"/>
        <w:gridCol w:w="1136"/>
      </w:tblGrid>
      <w:tr w:rsidR="007C6D94" w:rsidRPr="00344D91" w:rsidTr="001E1C61">
        <w:trPr>
          <w:trHeight w:val="283"/>
          <w:jc w:val="center"/>
        </w:trPr>
        <w:tc>
          <w:tcPr>
            <w:tcW w:w="2371" w:type="dxa"/>
            <w:shd w:val="clear" w:color="auto" w:fill="FFFFFF" w:themeFill="background1"/>
            <w:vAlign w:val="center"/>
          </w:tcPr>
          <w:p w:rsidR="007C6D94" w:rsidRPr="00344D91" w:rsidRDefault="007C6D94" w:rsidP="00344D91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7C6D94" w:rsidRPr="00344D91" w:rsidRDefault="007C6D94" w:rsidP="001E1C61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344D91">
              <w:rPr>
                <w:b/>
                <w:sz w:val="18"/>
                <w:szCs w:val="18"/>
              </w:rPr>
              <w:t xml:space="preserve">Cena za </w:t>
            </w:r>
            <w:r w:rsidR="001E1C61">
              <w:rPr>
                <w:b/>
                <w:sz w:val="18"/>
                <w:szCs w:val="18"/>
              </w:rPr>
              <w:t>l</w:t>
            </w:r>
            <w:r w:rsidRPr="00344D91">
              <w:rPr>
                <w:b/>
                <w:sz w:val="18"/>
                <w:szCs w:val="18"/>
              </w:rPr>
              <w:t>icenci (</w:t>
            </w:r>
            <w:r w:rsidR="001E1C61">
              <w:rPr>
                <w:b/>
                <w:sz w:val="18"/>
                <w:szCs w:val="18"/>
              </w:rPr>
              <w:t>l</w:t>
            </w:r>
            <w:r w:rsidRPr="00344D91">
              <w:rPr>
                <w:b/>
                <w:sz w:val="18"/>
                <w:szCs w:val="18"/>
              </w:rPr>
              <w:t>icenční smlouva)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7C6D94" w:rsidRPr="00344D91" w:rsidRDefault="007C6D94" w:rsidP="001E1C61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344D91">
              <w:rPr>
                <w:b/>
                <w:sz w:val="18"/>
                <w:szCs w:val="18"/>
              </w:rPr>
              <w:t xml:space="preserve">Cena za </w:t>
            </w:r>
            <w:r w:rsidR="001E1C61">
              <w:rPr>
                <w:b/>
                <w:sz w:val="18"/>
                <w:szCs w:val="18"/>
              </w:rPr>
              <w:t>i</w:t>
            </w:r>
            <w:r w:rsidRPr="00344D91">
              <w:rPr>
                <w:b/>
                <w:sz w:val="18"/>
                <w:szCs w:val="18"/>
              </w:rPr>
              <w:t>mplementaci (</w:t>
            </w:r>
            <w:r w:rsidR="001E1C61">
              <w:rPr>
                <w:b/>
                <w:sz w:val="18"/>
                <w:szCs w:val="18"/>
              </w:rPr>
              <w:t>i</w:t>
            </w:r>
            <w:r w:rsidRPr="00344D91">
              <w:rPr>
                <w:b/>
                <w:sz w:val="18"/>
                <w:szCs w:val="18"/>
              </w:rPr>
              <w:t>mplementační smlouva)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7C6D94" w:rsidRPr="00344D91" w:rsidRDefault="007C6D94" w:rsidP="001E1C61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344D91">
              <w:rPr>
                <w:b/>
                <w:sz w:val="18"/>
                <w:szCs w:val="18"/>
              </w:rPr>
              <w:t xml:space="preserve">Cena za </w:t>
            </w:r>
            <w:r w:rsidR="001E1C61">
              <w:rPr>
                <w:b/>
                <w:sz w:val="18"/>
                <w:szCs w:val="18"/>
              </w:rPr>
              <w:t>p</w:t>
            </w:r>
            <w:r w:rsidRPr="00344D91">
              <w:rPr>
                <w:b/>
                <w:sz w:val="18"/>
                <w:szCs w:val="18"/>
              </w:rPr>
              <w:t>odporu (</w:t>
            </w:r>
            <w:r w:rsidR="001E1C61">
              <w:rPr>
                <w:b/>
                <w:sz w:val="18"/>
                <w:szCs w:val="18"/>
              </w:rPr>
              <w:t>s</w:t>
            </w:r>
            <w:r w:rsidRPr="00344D91">
              <w:rPr>
                <w:b/>
                <w:sz w:val="18"/>
                <w:szCs w:val="18"/>
              </w:rPr>
              <w:t>ervisní smlouva)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:rsidR="007C6D94" w:rsidRPr="00344D91" w:rsidRDefault="007C6D94" w:rsidP="001E1C61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344D91">
              <w:rPr>
                <w:b/>
                <w:sz w:val="18"/>
                <w:szCs w:val="18"/>
              </w:rPr>
              <w:t>Cena celkem (</w:t>
            </w:r>
            <w:r w:rsidR="001E1C61">
              <w:rPr>
                <w:b/>
                <w:sz w:val="18"/>
                <w:szCs w:val="18"/>
              </w:rPr>
              <w:t>s</w:t>
            </w:r>
            <w:r w:rsidRPr="00344D91">
              <w:rPr>
                <w:b/>
                <w:sz w:val="18"/>
                <w:szCs w:val="18"/>
              </w:rPr>
              <w:t>mlouva o</w:t>
            </w:r>
            <w:r w:rsidR="000F37F7" w:rsidRPr="00344D91">
              <w:rPr>
                <w:b/>
                <w:sz w:val="18"/>
                <w:szCs w:val="18"/>
              </w:rPr>
              <w:t> </w:t>
            </w:r>
            <w:r w:rsidRPr="00344D91">
              <w:rPr>
                <w:b/>
                <w:sz w:val="18"/>
                <w:szCs w:val="18"/>
              </w:rPr>
              <w:t>dodávce IISSP)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7C6D94" w:rsidRPr="00344D91" w:rsidRDefault="007C6D94" w:rsidP="00344D91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344D91">
              <w:rPr>
                <w:b/>
                <w:sz w:val="18"/>
                <w:szCs w:val="18"/>
              </w:rPr>
              <w:t>Rozdíl ceny celkem</w:t>
            </w:r>
          </w:p>
        </w:tc>
      </w:tr>
      <w:tr w:rsidR="00082DAA" w:rsidRPr="00344D91" w:rsidTr="001E1C61">
        <w:trPr>
          <w:trHeight w:val="283"/>
          <w:jc w:val="center"/>
        </w:trPr>
        <w:tc>
          <w:tcPr>
            <w:tcW w:w="2371" w:type="dxa"/>
            <w:vAlign w:val="center"/>
          </w:tcPr>
          <w:p w:rsidR="00082DAA" w:rsidRPr="00344D91" w:rsidRDefault="00082DAA" w:rsidP="00344D91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344D91">
              <w:rPr>
                <w:sz w:val="18"/>
                <w:szCs w:val="18"/>
              </w:rPr>
              <w:t>Smlouva</w:t>
            </w:r>
            <w:r w:rsidR="00344D91">
              <w:rPr>
                <w:sz w:val="18"/>
                <w:szCs w:val="18"/>
              </w:rPr>
              <w:t xml:space="preserve"> </w:t>
            </w:r>
            <w:r w:rsidRPr="00344D91">
              <w:rPr>
                <w:sz w:val="18"/>
                <w:szCs w:val="18"/>
              </w:rPr>
              <w:t>o</w:t>
            </w:r>
            <w:r w:rsidR="00344D91">
              <w:rPr>
                <w:sz w:val="18"/>
                <w:szCs w:val="18"/>
              </w:rPr>
              <w:t> </w:t>
            </w:r>
            <w:r w:rsidRPr="00344D91">
              <w:rPr>
                <w:sz w:val="18"/>
                <w:szCs w:val="18"/>
              </w:rPr>
              <w:t xml:space="preserve">dodávce IISSP </w:t>
            </w:r>
            <w:r w:rsidR="00B43572">
              <w:rPr>
                <w:sz w:val="18"/>
                <w:szCs w:val="18"/>
              </w:rPr>
              <w:br/>
            </w:r>
            <w:r w:rsidRPr="00344D91">
              <w:rPr>
                <w:sz w:val="18"/>
                <w:szCs w:val="18"/>
              </w:rPr>
              <w:t>z 22.</w:t>
            </w:r>
            <w:r w:rsidR="00344D91">
              <w:rPr>
                <w:sz w:val="18"/>
                <w:szCs w:val="18"/>
              </w:rPr>
              <w:t> </w:t>
            </w:r>
            <w:r w:rsidRPr="00344D91">
              <w:rPr>
                <w:sz w:val="18"/>
                <w:szCs w:val="18"/>
              </w:rPr>
              <w:t>12.</w:t>
            </w:r>
            <w:r w:rsidR="00344D91">
              <w:rPr>
                <w:sz w:val="18"/>
                <w:szCs w:val="18"/>
              </w:rPr>
              <w:t> </w:t>
            </w:r>
            <w:r w:rsidRPr="00344D91">
              <w:rPr>
                <w:sz w:val="18"/>
                <w:szCs w:val="18"/>
              </w:rPr>
              <w:t>2008</w:t>
            </w:r>
          </w:p>
        </w:tc>
        <w:tc>
          <w:tcPr>
            <w:tcW w:w="1283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412 401</w:t>
            </w:r>
          </w:p>
        </w:tc>
        <w:tc>
          <w:tcPr>
            <w:tcW w:w="1526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1 722 064</w:t>
            </w:r>
          </w:p>
        </w:tc>
        <w:tc>
          <w:tcPr>
            <w:tcW w:w="1410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15 469</w:t>
            </w:r>
          </w:p>
        </w:tc>
        <w:tc>
          <w:tcPr>
            <w:tcW w:w="1374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2 149 934</w:t>
            </w:r>
          </w:p>
        </w:tc>
        <w:tc>
          <w:tcPr>
            <w:tcW w:w="1138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2DAA" w:rsidRPr="00344D91" w:rsidTr="001E1C61">
        <w:trPr>
          <w:trHeight w:val="283"/>
          <w:jc w:val="center"/>
        </w:trPr>
        <w:tc>
          <w:tcPr>
            <w:tcW w:w="2371" w:type="dxa"/>
            <w:vAlign w:val="center"/>
          </w:tcPr>
          <w:p w:rsidR="00082DAA" w:rsidRPr="00344D91" w:rsidRDefault="00082DAA" w:rsidP="00344D91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344D91">
              <w:rPr>
                <w:sz w:val="18"/>
                <w:szCs w:val="18"/>
              </w:rPr>
              <w:t>Dodatek č.</w:t>
            </w:r>
            <w:r w:rsidR="00344D91">
              <w:rPr>
                <w:sz w:val="18"/>
                <w:szCs w:val="18"/>
              </w:rPr>
              <w:t> </w:t>
            </w:r>
            <w:r w:rsidRPr="00344D91">
              <w:rPr>
                <w:sz w:val="18"/>
                <w:szCs w:val="18"/>
              </w:rPr>
              <w:t>1</w:t>
            </w:r>
            <w:r w:rsidR="00344D91">
              <w:rPr>
                <w:sz w:val="18"/>
                <w:szCs w:val="18"/>
              </w:rPr>
              <w:t xml:space="preserve"> </w:t>
            </w:r>
            <w:r w:rsidR="00B43572">
              <w:rPr>
                <w:sz w:val="18"/>
                <w:szCs w:val="18"/>
              </w:rPr>
              <w:br/>
            </w:r>
            <w:r w:rsidR="00344D91">
              <w:rPr>
                <w:sz w:val="18"/>
                <w:szCs w:val="18"/>
              </w:rPr>
              <w:t>z 22. 10. </w:t>
            </w:r>
            <w:r w:rsidRPr="00344D91">
              <w:rPr>
                <w:sz w:val="18"/>
                <w:szCs w:val="18"/>
              </w:rPr>
              <w:t>2009</w:t>
            </w:r>
          </w:p>
        </w:tc>
        <w:tc>
          <w:tcPr>
            <w:tcW w:w="1283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390 561</w:t>
            </w:r>
          </w:p>
        </w:tc>
        <w:tc>
          <w:tcPr>
            <w:tcW w:w="1526" w:type="dxa"/>
            <w:vAlign w:val="center"/>
          </w:tcPr>
          <w:p w:rsidR="00082DAA" w:rsidRPr="00344D91" w:rsidRDefault="00174BF6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1 743 886</w:t>
            </w:r>
          </w:p>
        </w:tc>
        <w:tc>
          <w:tcPr>
            <w:tcW w:w="1410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1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374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2 149 916</w:t>
            </w:r>
          </w:p>
        </w:tc>
        <w:tc>
          <w:tcPr>
            <w:tcW w:w="1138" w:type="dxa"/>
            <w:vAlign w:val="center"/>
          </w:tcPr>
          <w:p w:rsidR="00082DAA" w:rsidRPr="00344D91" w:rsidRDefault="001E1C61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−</w:t>
            </w:r>
            <w:r w:rsidR="00082DAA" w:rsidRPr="00344D91">
              <w:rPr>
                <w:color w:val="000000"/>
                <w:sz w:val="18"/>
                <w:szCs w:val="18"/>
              </w:rPr>
              <w:t>18</w:t>
            </w:r>
          </w:p>
        </w:tc>
      </w:tr>
      <w:tr w:rsidR="00082DAA" w:rsidRPr="00344D91" w:rsidTr="001E1C61">
        <w:trPr>
          <w:trHeight w:val="283"/>
          <w:jc w:val="center"/>
        </w:trPr>
        <w:tc>
          <w:tcPr>
            <w:tcW w:w="2371" w:type="dxa"/>
            <w:vAlign w:val="center"/>
          </w:tcPr>
          <w:p w:rsidR="00082DAA" w:rsidRPr="00344D91" w:rsidRDefault="00082DAA" w:rsidP="00344D91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Dodatek č.</w:t>
            </w:r>
            <w:r w:rsidR="00344D91">
              <w:rPr>
                <w:color w:val="000000"/>
                <w:sz w:val="18"/>
                <w:szCs w:val="18"/>
              </w:rPr>
              <w:t> </w:t>
            </w:r>
            <w:r w:rsidRPr="00344D91">
              <w:rPr>
                <w:color w:val="000000"/>
                <w:sz w:val="18"/>
                <w:szCs w:val="18"/>
              </w:rPr>
              <w:t>2</w:t>
            </w:r>
            <w:r w:rsidR="00344D91">
              <w:rPr>
                <w:color w:val="000000"/>
                <w:sz w:val="18"/>
                <w:szCs w:val="18"/>
              </w:rPr>
              <w:t xml:space="preserve"> </w:t>
            </w:r>
            <w:r w:rsidR="00B43572">
              <w:rPr>
                <w:color w:val="000000"/>
                <w:sz w:val="18"/>
                <w:szCs w:val="18"/>
              </w:rPr>
              <w:br/>
            </w:r>
            <w:r w:rsidRPr="00344D91">
              <w:rPr>
                <w:color w:val="000000"/>
                <w:sz w:val="18"/>
                <w:szCs w:val="18"/>
              </w:rPr>
              <w:t>z</w:t>
            </w:r>
            <w:r w:rsidR="00344D91">
              <w:rPr>
                <w:color w:val="000000"/>
                <w:sz w:val="18"/>
                <w:szCs w:val="18"/>
              </w:rPr>
              <w:t> </w:t>
            </w:r>
            <w:r w:rsidRPr="00344D91">
              <w:rPr>
                <w:color w:val="000000"/>
                <w:sz w:val="18"/>
                <w:szCs w:val="18"/>
              </w:rPr>
              <w:t>22.</w:t>
            </w:r>
            <w:r w:rsidR="00344D91">
              <w:rPr>
                <w:color w:val="000000"/>
                <w:sz w:val="18"/>
                <w:szCs w:val="18"/>
              </w:rPr>
              <w:t> </w:t>
            </w:r>
            <w:r w:rsidRPr="00344D91">
              <w:rPr>
                <w:color w:val="000000"/>
                <w:sz w:val="18"/>
                <w:szCs w:val="18"/>
              </w:rPr>
              <w:t>10.</w:t>
            </w:r>
            <w:r w:rsidR="00344D91">
              <w:rPr>
                <w:color w:val="000000"/>
                <w:sz w:val="18"/>
                <w:szCs w:val="18"/>
              </w:rPr>
              <w:t> </w:t>
            </w:r>
            <w:r w:rsidRPr="00344D91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283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526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1 813 124</w:t>
            </w:r>
          </w:p>
        </w:tc>
        <w:tc>
          <w:tcPr>
            <w:tcW w:w="1410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1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374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2 219 154</w:t>
            </w:r>
          </w:p>
        </w:tc>
        <w:tc>
          <w:tcPr>
            <w:tcW w:w="1138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69 238</w:t>
            </w:r>
          </w:p>
        </w:tc>
      </w:tr>
      <w:tr w:rsidR="00082DAA" w:rsidRPr="00344D91" w:rsidTr="001E1C61">
        <w:trPr>
          <w:trHeight w:val="283"/>
          <w:jc w:val="center"/>
        </w:trPr>
        <w:tc>
          <w:tcPr>
            <w:tcW w:w="2371" w:type="dxa"/>
            <w:vAlign w:val="center"/>
          </w:tcPr>
          <w:p w:rsidR="00082DAA" w:rsidRPr="00344D91" w:rsidRDefault="00344D91" w:rsidP="00344D91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Dodatek č. </w:t>
            </w:r>
            <w:r w:rsidR="00082DAA" w:rsidRPr="00344D91">
              <w:rPr>
                <w:color w:val="000000"/>
                <w:sz w:val="18"/>
                <w:szCs w:val="18"/>
              </w:rPr>
              <w:t xml:space="preserve">3 </w:t>
            </w:r>
            <w:r w:rsidR="00B43572">
              <w:rPr>
                <w:color w:val="000000"/>
                <w:sz w:val="18"/>
                <w:szCs w:val="18"/>
              </w:rPr>
              <w:br/>
            </w:r>
            <w:r w:rsidR="00082DAA" w:rsidRPr="00344D91">
              <w:rPr>
                <w:color w:val="000000"/>
                <w:sz w:val="18"/>
                <w:szCs w:val="18"/>
              </w:rPr>
              <w:t>z</w:t>
            </w:r>
            <w:r>
              <w:rPr>
                <w:color w:val="000000"/>
                <w:sz w:val="18"/>
                <w:szCs w:val="18"/>
              </w:rPr>
              <w:t> </w:t>
            </w:r>
            <w:r w:rsidR="00082DAA" w:rsidRPr="00344D91">
              <w:rPr>
                <w:color w:val="000000"/>
                <w:sz w:val="18"/>
                <w:szCs w:val="18"/>
              </w:rPr>
              <w:t>16.</w:t>
            </w:r>
            <w:r>
              <w:rPr>
                <w:color w:val="000000"/>
                <w:sz w:val="18"/>
                <w:szCs w:val="18"/>
              </w:rPr>
              <w:t> </w:t>
            </w:r>
            <w:r w:rsidR="00082DAA" w:rsidRPr="00344D91">
              <w:rPr>
                <w:color w:val="000000"/>
                <w:sz w:val="18"/>
                <w:szCs w:val="18"/>
              </w:rPr>
              <w:t>12.</w:t>
            </w:r>
            <w:r>
              <w:rPr>
                <w:color w:val="000000"/>
                <w:sz w:val="18"/>
                <w:szCs w:val="18"/>
              </w:rPr>
              <w:t> </w:t>
            </w:r>
            <w:r w:rsidR="00082DAA" w:rsidRPr="00344D91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283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526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1 815 074</w:t>
            </w:r>
          </w:p>
        </w:tc>
        <w:tc>
          <w:tcPr>
            <w:tcW w:w="1410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1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374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2 221 104</w:t>
            </w:r>
          </w:p>
        </w:tc>
        <w:tc>
          <w:tcPr>
            <w:tcW w:w="1138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1 950</w:t>
            </w:r>
          </w:p>
        </w:tc>
      </w:tr>
      <w:tr w:rsidR="00082DAA" w:rsidRPr="00344D91" w:rsidTr="001E1C61">
        <w:trPr>
          <w:trHeight w:val="283"/>
          <w:jc w:val="center"/>
        </w:trPr>
        <w:tc>
          <w:tcPr>
            <w:tcW w:w="2371" w:type="dxa"/>
            <w:vAlign w:val="center"/>
          </w:tcPr>
          <w:p w:rsidR="00082DAA" w:rsidRPr="00344D91" w:rsidRDefault="000745BA" w:rsidP="000745BA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Dodatek č. </w:t>
            </w:r>
            <w:r w:rsidR="00082DAA" w:rsidRPr="00344D91">
              <w:rPr>
                <w:color w:val="000000"/>
                <w:sz w:val="18"/>
                <w:szCs w:val="18"/>
              </w:rPr>
              <w:t>4</w:t>
            </w:r>
            <w:r w:rsidR="00B43572">
              <w:rPr>
                <w:color w:val="000000"/>
                <w:sz w:val="18"/>
                <w:szCs w:val="18"/>
              </w:rPr>
              <w:t xml:space="preserve"> </w:t>
            </w:r>
            <w:r w:rsidR="00B43572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z </w:t>
            </w:r>
            <w:r w:rsidR="00082DAA" w:rsidRPr="00344D91">
              <w:rPr>
                <w:color w:val="000000"/>
                <w:sz w:val="18"/>
                <w:szCs w:val="18"/>
              </w:rPr>
              <w:t>18.</w:t>
            </w:r>
            <w:r>
              <w:rPr>
                <w:color w:val="000000"/>
                <w:sz w:val="18"/>
                <w:szCs w:val="18"/>
              </w:rPr>
              <w:t> </w:t>
            </w:r>
            <w:r w:rsidR="00082DAA" w:rsidRPr="00344D91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 </w:t>
            </w:r>
            <w:r w:rsidR="00082DAA" w:rsidRPr="00344D91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283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526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1 820 144</w:t>
            </w:r>
          </w:p>
        </w:tc>
        <w:tc>
          <w:tcPr>
            <w:tcW w:w="1410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1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374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2 226 174</w:t>
            </w:r>
          </w:p>
        </w:tc>
        <w:tc>
          <w:tcPr>
            <w:tcW w:w="1138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5 070</w:t>
            </w:r>
          </w:p>
        </w:tc>
      </w:tr>
      <w:tr w:rsidR="00082DAA" w:rsidRPr="00344D91" w:rsidTr="001E1C61">
        <w:trPr>
          <w:trHeight w:val="283"/>
          <w:jc w:val="center"/>
        </w:trPr>
        <w:tc>
          <w:tcPr>
            <w:tcW w:w="2371" w:type="dxa"/>
            <w:vAlign w:val="center"/>
          </w:tcPr>
          <w:p w:rsidR="00082DAA" w:rsidRPr="00344D91" w:rsidRDefault="000745BA" w:rsidP="000745BA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Dodatek č. </w:t>
            </w:r>
            <w:r w:rsidR="00082DAA" w:rsidRPr="00344D91">
              <w:rPr>
                <w:color w:val="000000"/>
                <w:sz w:val="18"/>
                <w:szCs w:val="18"/>
              </w:rPr>
              <w:t>5</w:t>
            </w:r>
            <w:r w:rsidR="00B43572">
              <w:rPr>
                <w:color w:val="000000"/>
                <w:sz w:val="18"/>
                <w:szCs w:val="18"/>
              </w:rPr>
              <w:t xml:space="preserve"> </w:t>
            </w:r>
            <w:r w:rsidR="00B43572">
              <w:rPr>
                <w:color w:val="000000"/>
                <w:sz w:val="18"/>
                <w:szCs w:val="18"/>
              </w:rPr>
              <w:br/>
            </w:r>
            <w:r w:rsidR="00082DAA" w:rsidRPr="00344D91">
              <w:rPr>
                <w:color w:val="000000"/>
                <w:sz w:val="18"/>
                <w:szCs w:val="18"/>
              </w:rPr>
              <w:t>z</w:t>
            </w:r>
            <w:r>
              <w:rPr>
                <w:color w:val="000000"/>
                <w:sz w:val="18"/>
                <w:szCs w:val="18"/>
              </w:rPr>
              <w:t> </w:t>
            </w:r>
            <w:r w:rsidR="00082DAA" w:rsidRPr="00344D9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1. </w:t>
            </w:r>
            <w:r w:rsidR="00082DAA" w:rsidRPr="00344D91">
              <w:rPr>
                <w:color w:val="000000"/>
                <w:sz w:val="18"/>
                <w:szCs w:val="18"/>
              </w:rPr>
              <w:t>5.</w:t>
            </w:r>
            <w:r>
              <w:rPr>
                <w:color w:val="000000"/>
                <w:sz w:val="18"/>
                <w:szCs w:val="18"/>
              </w:rPr>
              <w:t> </w:t>
            </w:r>
            <w:r w:rsidR="00082DAA" w:rsidRPr="00344D91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283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395 678</w:t>
            </w:r>
          </w:p>
        </w:tc>
        <w:tc>
          <w:tcPr>
            <w:tcW w:w="1526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1 830 406</w:t>
            </w:r>
          </w:p>
        </w:tc>
        <w:tc>
          <w:tcPr>
            <w:tcW w:w="1410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1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374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2 241 553</w:t>
            </w:r>
          </w:p>
        </w:tc>
        <w:tc>
          <w:tcPr>
            <w:tcW w:w="1138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15 379</w:t>
            </w:r>
          </w:p>
        </w:tc>
      </w:tr>
      <w:tr w:rsidR="00082DAA" w:rsidRPr="00344D91" w:rsidTr="001E1C61">
        <w:trPr>
          <w:trHeight w:val="283"/>
          <w:jc w:val="center"/>
        </w:trPr>
        <w:tc>
          <w:tcPr>
            <w:tcW w:w="2371" w:type="dxa"/>
            <w:vAlign w:val="center"/>
          </w:tcPr>
          <w:p w:rsidR="00082DAA" w:rsidRPr="00344D91" w:rsidRDefault="000745BA" w:rsidP="000745BA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Dodatek č. </w:t>
            </w:r>
            <w:r w:rsidR="00082DAA" w:rsidRPr="00344D91">
              <w:rPr>
                <w:color w:val="000000"/>
                <w:sz w:val="18"/>
                <w:szCs w:val="18"/>
              </w:rPr>
              <w:t>6</w:t>
            </w:r>
            <w:r w:rsidR="00B43572">
              <w:rPr>
                <w:color w:val="000000"/>
                <w:sz w:val="18"/>
                <w:szCs w:val="18"/>
              </w:rPr>
              <w:t xml:space="preserve"> </w:t>
            </w:r>
            <w:r w:rsidR="00B43572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z 3. 2. </w:t>
            </w:r>
            <w:r w:rsidR="00082DAA" w:rsidRPr="00344D91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83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526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1 666 406</w:t>
            </w:r>
          </w:p>
        </w:tc>
        <w:tc>
          <w:tcPr>
            <w:tcW w:w="1410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84 523</w:t>
            </w:r>
          </w:p>
        </w:tc>
        <w:tc>
          <w:tcPr>
            <w:tcW w:w="1374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2 146 607</w:t>
            </w:r>
          </w:p>
        </w:tc>
        <w:tc>
          <w:tcPr>
            <w:tcW w:w="1138" w:type="dxa"/>
            <w:vAlign w:val="center"/>
          </w:tcPr>
          <w:p w:rsidR="00082DAA" w:rsidRPr="00344D91" w:rsidRDefault="001E1C61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−</w:t>
            </w:r>
            <w:r w:rsidR="00082DAA" w:rsidRPr="00344D91">
              <w:rPr>
                <w:color w:val="000000"/>
                <w:sz w:val="18"/>
                <w:szCs w:val="18"/>
              </w:rPr>
              <w:t>94 946</w:t>
            </w:r>
          </w:p>
        </w:tc>
      </w:tr>
      <w:tr w:rsidR="00082DAA" w:rsidRPr="00344D91" w:rsidTr="001E1C61">
        <w:trPr>
          <w:trHeight w:val="283"/>
          <w:jc w:val="center"/>
        </w:trPr>
        <w:tc>
          <w:tcPr>
            <w:tcW w:w="2371" w:type="dxa"/>
            <w:vAlign w:val="center"/>
          </w:tcPr>
          <w:p w:rsidR="00082DAA" w:rsidRPr="00344D91" w:rsidRDefault="000745BA" w:rsidP="000745BA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Dodatek č. </w:t>
            </w:r>
            <w:r w:rsidR="00082DAA" w:rsidRPr="00344D91">
              <w:rPr>
                <w:color w:val="000000"/>
                <w:sz w:val="18"/>
                <w:szCs w:val="18"/>
              </w:rPr>
              <w:t>7</w:t>
            </w:r>
            <w:r w:rsidR="00B43572">
              <w:rPr>
                <w:color w:val="000000"/>
                <w:sz w:val="18"/>
                <w:szCs w:val="18"/>
              </w:rPr>
              <w:t xml:space="preserve"> </w:t>
            </w:r>
            <w:r w:rsidR="00B43572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z </w:t>
            </w:r>
            <w:r w:rsidR="00082DAA" w:rsidRPr="00344D91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 </w:t>
            </w:r>
            <w:r w:rsidR="00082DAA" w:rsidRPr="00344D91">
              <w:rPr>
                <w:color w:val="000000"/>
                <w:sz w:val="18"/>
                <w:szCs w:val="18"/>
              </w:rPr>
              <w:t>6.</w:t>
            </w:r>
            <w:r>
              <w:rPr>
                <w:color w:val="000000"/>
                <w:sz w:val="18"/>
                <w:szCs w:val="18"/>
              </w:rPr>
              <w:t> </w:t>
            </w:r>
            <w:r w:rsidR="00082DAA" w:rsidRPr="00344D91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83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526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1 716 406</w:t>
            </w:r>
          </w:p>
        </w:tc>
        <w:tc>
          <w:tcPr>
            <w:tcW w:w="1410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374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2 196 607</w:t>
            </w:r>
          </w:p>
        </w:tc>
        <w:tc>
          <w:tcPr>
            <w:tcW w:w="1138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082DAA" w:rsidRPr="00344D91" w:rsidTr="001E1C61">
        <w:trPr>
          <w:trHeight w:val="283"/>
          <w:jc w:val="center"/>
        </w:trPr>
        <w:tc>
          <w:tcPr>
            <w:tcW w:w="2371" w:type="dxa"/>
            <w:vAlign w:val="center"/>
          </w:tcPr>
          <w:p w:rsidR="00082DAA" w:rsidRPr="00344D91" w:rsidRDefault="000745BA" w:rsidP="000745BA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Dodatek č. </w:t>
            </w:r>
            <w:r w:rsidR="00082DAA" w:rsidRPr="00344D91">
              <w:rPr>
                <w:color w:val="000000"/>
                <w:sz w:val="18"/>
                <w:szCs w:val="18"/>
              </w:rPr>
              <w:t>8</w:t>
            </w:r>
            <w:r w:rsidR="00B43572">
              <w:rPr>
                <w:color w:val="000000"/>
                <w:sz w:val="18"/>
                <w:szCs w:val="18"/>
              </w:rPr>
              <w:t xml:space="preserve"> </w:t>
            </w:r>
            <w:r w:rsidR="00B43572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z </w:t>
            </w:r>
            <w:r w:rsidR="00082DAA" w:rsidRPr="00344D91">
              <w:rPr>
                <w:color w:val="000000"/>
                <w:sz w:val="18"/>
                <w:szCs w:val="18"/>
              </w:rPr>
              <w:t>21.</w:t>
            </w:r>
            <w:r>
              <w:rPr>
                <w:color w:val="000000"/>
                <w:sz w:val="18"/>
                <w:szCs w:val="18"/>
              </w:rPr>
              <w:t> 6. </w:t>
            </w:r>
            <w:r w:rsidR="00082DAA" w:rsidRPr="00344D91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83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526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2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410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374" w:type="dxa"/>
            <w:vAlign w:val="center"/>
          </w:tcPr>
          <w:p w:rsidR="00082DAA" w:rsidRPr="00344D91" w:rsidRDefault="001E1C61" w:rsidP="001E1C61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138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 0</w:t>
            </w:r>
          </w:p>
        </w:tc>
      </w:tr>
      <w:tr w:rsidR="00082DAA" w:rsidRPr="00344D91" w:rsidTr="001E1C61">
        <w:trPr>
          <w:trHeight w:val="283"/>
          <w:jc w:val="center"/>
        </w:trPr>
        <w:tc>
          <w:tcPr>
            <w:tcW w:w="2371" w:type="dxa"/>
            <w:vAlign w:val="center"/>
          </w:tcPr>
          <w:p w:rsidR="00082DAA" w:rsidRPr="00344D91" w:rsidRDefault="000745BA" w:rsidP="000745BA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Dodatek č. </w:t>
            </w:r>
            <w:r w:rsidR="00082DAA" w:rsidRPr="00344D91">
              <w:rPr>
                <w:color w:val="000000"/>
                <w:sz w:val="18"/>
                <w:szCs w:val="18"/>
              </w:rPr>
              <w:t>9</w:t>
            </w:r>
            <w:r w:rsidR="00B43572">
              <w:rPr>
                <w:color w:val="000000"/>
                <w:sz w:val="18"/>
                <w:szCs w:val="18"/>
              </w:rPr>
              <w:t xml:space="preserve"> </w:t>
            </w:r>
            <w:r w:rsidR="00B43572">
              <w:rPr>
                <w:color w:val="000000"/>
                <w:sz w:val="18"/>
                <w:szCs w:val="18"/>
              </w:rPr>
              <w:br/>
            </w:r>
            <w:r w:rsidR="00082DAA" w:rsidRPr="00344D91">
              <w:rPr>
                <w:color w:val="000000"/>
                <w:sz w:val="18"/>
                <w:szCs w:val="18"/>
              </w:rPr>
              <w:t>z</w:t>
            </w:r>
            <w:r>
              <w:rPr>
                <w:color w:val="000000"/>
                <w:sz w:val="18"/>
                <w:szCs w:val="18"/>
              </w:rPr>
              <w:t> </w:t>
            </w:r>
            <w:r w:rsidR="00082DAA" w:rsidRPr="00344D91">
              <w:rPr>
                <w:color w:val="000000"/>
                <w:sz w:val="18"/>
                <w:szCs w:val="18"/>
              </w:rPr>
              <w:t>29.</w:t>
            </w:r>
            <w:r>
              <w:rPr>
                <w:color w:val="000000"/>
                <w:sz w:val="18"/>
                <w:szCs w:val="18"/>
              </w:rPr>
              <w:t> </w:t>
            </w:r>
            <w:r w:rsidR="00082DAA" w:rsidRPr="00344D91">
              <w:rPr>
                <w:color w:val="000000"/>
                <w:sz w:val="18"/>
                <w:szCs w:val="18"/>
              </w:rPr>
              <w:t>9.</w:t>
            </w:r>
            <w:r>
              <w:rPr>
                <w:color w:val="000000"/>
                <w:sz w:val="18"/>
                <w:szCs w:val="18"/>
              </w:rPr>
              <w:t> </w:t>
            </w:r>
            <w:r w:rsidR="00082DAA" w:rsidRPr="00344D91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83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526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2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410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374" w:type="dxa"/>
            <w:vAlign w:val="center"/>
          </w:tcPr>
          <w:p w:rsidR="00082DAA" w:rsidRPr="00344D91" w:rsidRDefault="001E1C61" w:rsidP="001E1C61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138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 0</w:t>
            </w:r>
          </w:p>
        </w:tc>
      </w:tr>
      <w:tr w:rsidR="00082DAA" w:rsidRPr="00344D91" w:rsidTr="001E1C61">
        <w:trPr>
          <w:trHeight w:val="283"/>
          <w:jc w:val="center"/>
        </w:trPr>
        <w:tc>
          <w:tcPr>
            <w:tcW w:w="2371" w:type="dxa"/>
            <w:vAlign w:val="center"/>
          </w:tcPr>
          <w:p w:rsidR="00082DAA" w:rsidRPr="00344D91" w:rsidRDefault="000745BA" w:rsidP="000745BA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Dodatek č. </w:t>
            </w:r>
            <w:r w:rsidR="00082DAA" w:rsidRPr="00344D91">
              <w:rPr>
                <w:color w:val="000000"/>
                <w:sz w:val="18"/>
                <w:szCs w:val="18"/>
              </w:rPr>
              <w:t>10</w:t>
            </w:r>
            <w:r w:rsidR="00B43572">
              <w:rPr>
                <w:color w:val="000000"/>
                <w:sz w:val="18"/>
                <w:szCs w:val="18"/>
              </w:rPr>
              <w:t xml:space="preserve"> </w:t>
            </w:r>
            <w:r w:rsidR="00B43572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z </w:t>
            </w:r>
            <w:r w:rsidR="00082DAA" w:rsidRPr="00344D91">
              <w:rPr>
                <w:color w:val="000000"/>
                <w:sz w:val="18"/>
                <w:szCs w:val="18"/>
              </w:rPr>
              <w:t>22.</w:t>
            </w:r>
            <w:r>
              <w:rPr>
                <w:color w:val="000000"/>
                <w:sz w:val="18"/>
                <w:szCs w:val="18"/>
              </w:rPr>
              <w:t> 12. </w:t>
            </w:r>
            <w:r w:rsidR="00082DAA" w:rsidRPr="00344D91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83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526" w:type="dxa"/>
            <w:vAlign w:val="center"/>
          </w:tcPr>
          <w:p w:rsidR="00082DAA" w:rsidRPr="00344D91" w:rsidRDefault="001E1C61" w:rsidP="001E1C61">
            <w:pPr>
              <w:spacing w:before="20" w:after="20"/>
              <w:ind w:right="-2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082DAA" w:rsidRPr="00344D91">
              <w:rPr>
                <w:color w:val="000000"/>
                <w:sz w:val="18"/>
                <w:szCs w:val="18"/>
              </w:rPr>
              <w:t>ezměněno</w:t>
            </w:r>
          </w:p>
        </w:tc>
        <w:tc>
          <w:tcPr>
            <w:tcW w:w="1410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111 523</w:t>
            </w:r>
          </w:p>
        </w:tc>
        <w:tc>
          <w:tcPr>
            <w:tcW w:w="1374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2 223 607</w:t>
            </w:r>
          </w:p>
        </w:tc>
        <w:tc>
          <w:tcPr>
            <w:tcW w:w="1138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color w:val="000000"/>
                <w:sz w:val="18"/>
                <w:szCs w:val="18"/>
              </w:rPr>
            </w:pPr>
            <w:r w:rsidRPr="00344D91">
              <w:rPr>
                <w:color w:val="000000"/>
                <w:sz w:val="18"/>
                <w:szCs w:val="18"/>
              </w:rPr>
              <w:t>27 000</w:t>
            </w:r>
          </w:p>
        </w:tc>
      </w:tr>
      <w:tr w:rsidR="00082DAA" w:rsidRPr="00344D91" w:rsidTr="001E1C61">
        <w:trPr>
          <w:trHeight w:val="283"/>
          <w:jc w:val="center"/>
        </w:trPr>
        <w:tc>
          <w:tcPr>
            <w:tcW w:w="2371" w:type="dxa"/>
            <w:vAlign w:val="center"/>
          </w:tcPr>
          <w:p w:rsidR="00082DAA" w:rsidRPr="00344D91" w:rsidRDefault="00082DAA" w:rsidP="001E1C61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344D91">
              <w:rPr>
                <w:sz w:val="18"/>
                <w:szCs w:val="18"/>
              </w:rPr>
              <w:t xml:space="preserve">Rozdíl v ceně mezi cenou ve </w:t>
            </w:r>
            <w:r w:rsidR="001E1C61">
              <w:rPr>
                <w:sz w:val="18"/>
                <w:szCs w:val="18"/>
              </w:rPr>
              <w:t>s</w:t>
            </w:r>
            <w:r w:rsidRPr="00344D91">
              <w:rPr>
                <w:sz w:val="18"/>
                <w:szCs w:val="18"/>
              </w:rPr>
              <w:t>mlouvě o</w:t>
            </w:r>
            <w:r w:rsidR="00344D91" w:rsidRPr="00344D91">
              <w:rPr>
                <w:sz w:val="18"/>
                <w:szCs w:val="18"/>
              </w:rPr>
              <w:t> </w:t>
            </w:r>
            <w:r w:rsidRPr="00344D91">
              <w:rPr>
                <w:sz w:val="18"/>
                <w:szCs w:val="18"/>
              </w:rPr>
              <w:t>dodávce IISSP z</w:t>
            </w:r>
            <w:r w:rsidR="00344D91" w:rsidRPr="00344D91">
              <w:rPr>
                <w:sz w:val="18"/>
                <w:szCs w:val="18"/>
              </w:rPr>
              <w:t> </w:t>
            </w:r>
            <w:r w:rsidRPr="00344D91">
              <w:rPr>
                <w:sz w:val="18"/>
                <w:szCs w:val="18"/>
              </w:rPr>
              <w:t>22.</w:t>
            </w:r>
            <w:r w:rsidR="00344D91" w:rsidRPr="00344D91">
              <w:rPr>
                <w:sz w:val="18"/>
                <w:szCs w:val="18"/>
              </w:rPr>
              <w:t> 12. </w:t>
            </w:r>
            <w:r w:rsidRPr="00344D91">
              <w:rPr>
                <w:sz w:val="18"/>
                <w:szCs w:val="18"/>
              </w:rPr>
              <w:t>2008 a</w:t>
            </w:r>
            <w:r w:rsidR="00344D91" w:rsidRPr="00344D91">
              <w:rPr>
                <w:sz w:val="18"/>
                <w:szCs w:val="18"/>
              </w:rPr>
              <w:t> </w:t>
            </w:r>
            <w:r w:rsidRPr="00344D91">
              <w:rPr>
                <w:sz w:val="18"/>
                <w:szCs w:val="18"/>
              </w:rPr>
              <w:t>v</w:t>
            </w:r>
            <w:r w:rsidR="00344D91" w:rsidRPr="00344D91">
              <w:rPr>
                <w:sz w:val="18"/>
                <w:szCs w:val="18"/>
              </w:rPr>
              <w:t> </w:t>
            </w:r>
            <w:r w:rsidR="001E1C61">
              <w:rPr>
                <w:sz w:val="18"/>
                <w:szCs w:val="18"/>
              </w:rPr>
              <w:t>d</w:t>
            </w:r>
            <w:r w:rsidR="00344D91" w:rsidRPr="00344D91">
              <w:rPr>
                <w:sz w:val="18"/>
                <w:szCs w:val="18"/>
              </w:rPr>
              <w:t>odatku č. </w:t>
            </w:r>
            <w:r w:rsidRPr="00344D91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vAlign w:val="center"/>
          </w:tcPr>
          <w:p w:rsidR="00082DAA" w:rsidRPr="00344D91" w:rsidRDefault="001E1C61" w:rsidP="00344D91">
            <w:pPr>
              <w:spacing w:before="20" w:after="20"/>
              <w:ind w:right="125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−</w:t>
            </w:r>
            <w:r w:rsidR="00082DAA" w:rsidRPr="00344D91">
              <w:rPr>
                <w:sz w:val="18"/>
                <w:szCs w:val="18"/>
              </w:rPr>
              <w:t>16</w:t>
            </w:r>
            <w:r w:rsidR="000F37F7" w:rsidRPr="00344D91">
              <w:rPr>
                <w:sz w:val="18"/>
                <w:szCs w:val="18"/>
              </w:rPr>
              <w:t> </w:t>
            </w:r>
            <w:r w:rsidR="00082DAA" w:rsidRPr="00344D91">
              <w:rPr>
                <w:sz w:val="18"/>
                <w:szCs w:val="18"/>
              </w:rPr>
              <w:t>723</w:t>
            </w:r>
          </w:p>
        </w:tc>
        <w:tc>
          <w:tcPr>
            <w:tcW w:w="1526" w:type="dxa"/>
            <w:vAlign w:val="center"/>
          </w:tcPr>
          <w:p w:rsidR="00082DAA" w:rsidRPr="00344D91" w:rsidRDefault="001E1C61" w:rsidP="00344D91">
            <w:pPr>
              <w:spacing w:before="20" w:after="20"/>
              <w:ind w:right="125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−</w:t>
            </w:r>
            <w:r w:rsidR="00082DAA" w:rsidRPr="00344D91">
              <w:rPr>
                <w:sz w:val="18"/>
                <w:szCs w:val="18"/>
              </w:rPr>
              <w:t>5 658</w:t>
            </w:r>
          </w:p>
        </w:tc>
        <w:tc>
          <w:tcPr>
            <w:tcW w:w="1410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sz w:val="18"/>
                <w:szCs w:val="18"/>
              </w:rPr>
            </w:pPr>
            <w:r w:rsidRPr="00344D91">
              <w:rPr>
                <w:sz w:val="18"/>
                <w:szCs w:val="18"/>
              </w:rPr>
              <w:t>96</w:t>
            </w:r>
            <w:r w:rsidR="000F37F7" w:rsidRPr="00344D91">
              <w:rPr>
                <w:sz w:val="18"/>
                <w:szCs w:val="18"/>
              </w:rPr>
              <w:t> </w:t>
            </w:r>
            <w:r w:rsidRPr="00344D91">
              <w:rPr>
                <w:sz w:val="18"/>
                <w:szCs w:val="18"/>
              </w:rPr>
              <w:t>054</w:t>
            </w:r>
          </w:p>
        </w:tc>
        <w:tc>
          <w:tcPr>
            <w:tcW w:w="1374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sz w:val="18"/>
                <w:szCs w:val="18"/>
              </w:rPr>
            </w:pPr>
            <w:r w:rsidRPr="00344D91">
              <w:rPr>
                <w:sz w:val="18"/>
                <w:szCs w:val="18"/>
              </w:rPr>
              <w:t>73 673</w:t>
            </w:r>
          </w:p>
        </w:tc>
        <w:tc>
          <w:tcPr>
            <w:tcW w:w="1138" w:type="dxa"/>
            <w:vAlign w:val="center"/>
          </w:tcPr>
          <w:p w:rsidR="00082DAA" w:rsidRPr="00344D91" w:rsidRDefault="00082DAA" w:rsidP="00344D91">
            <w:pPr>
              <w:spacing w:before="20" w:after="20"/>
              <w:ind w:right="125"/>
              <w:jc w:val="right"/>
              <w:rPr>
                <w:sz w:val="18"/>
                <w:szCs w:val="18"/>
              </w:rPr>
            </w:pPr>
          </w:p>
        </w:tc>
      </w:tr>
    </w:tbl>
    <w:p w:rsidR="007C6D94" w:rsidRPr="0002573E" w:rsidRDefault="007C6D94" w:rsidP="00B43572">
      <w:pPr>
        <w:spacing w:before="40"/>
        <w:rPr>
          <w:sz w:val="18"/>
          <w:szCs w:val="18"/>
        </w:rPr>
      </w:pPr>
      <w:r w:rsidRPr="000F37F7">
        <w:rPr>
          <w:b/>
          <w:sz w:val="18"/>
          <w:szCs w:val="18"/>
        </w:rPr>
        <w:t>Zdroj</w:t>
      </w:r>
      <w:r w:rsidRPr="00781D31">
        <w:rPr>
          <w:b/>
          <w:sz w:val="18"/>
          <w:szCs w:val="18"/>
        </w:rPr>
        <w:t>:</w:t>
      </w:r>
      <w:r w:rsidRPr="0002573E">
        <w:rPr>
          <w:sz w:val="18"/>
          <w:szCs w:val="18"/>
        </w:rPr>
        <w:t xml:space="preserve"> </w:t>
      </w:r>
      <w:r w:rsidR="001E1C61">
        <w:rPr>
          <w:sz w:val="18"/>
          <w:szCs w:val="18"/>
        </w:rPr>
        <w:t>s</w:t>
      </w:r>
      <w:r w:rsidR="00E641AA">
        <w:rPr>
          <w:sz w:val="18"/>
          <w:szCs w:val="18"/>
        </w:rPr>
        <w:t xml:space="preserve">mlouva o dodávce IISSP a </w:t>
      </w:r>
      <w:r w:rsidR="001E1C61">
        <w:rPr>
          <w:sz w:val="18"/>
          <w:szCs w:val="18"/>
        </w:rPr>
        <w:t>d</w:t>
      </w:r>
      <w:r>
        <w:rPr>
          <w:sz w:val="18"/>
          <w:szCs w:val="18"/>
        </w:rPr>
        <w:t>odatky č. 1 až č. 10</w:t>
      </w:r>
      <w:r w:rsidR="0018169C">
        <w:rPr>
          <w:sz w:val="18"/>
          <w:szCs w:val="18"/>
        </w:rPr>
        <w:t>.</w:t>
      </w:r>
    </w:p>
    <w:p w:rsidR="00C05110" w:rsidRPr="00B43572" w:rsidRDefault="00C05110" w:rsidP="00B43572">
      <w:pPr>
        <w:spacing w:before="0"/>
        <w:rPr>
          <w:sz w:val="22"/>
          <w:szCs w:val="22"/>
        </w:rPr>
      </w:pPr>
    </w:p>
    <w:p w:rsidR="00473710" w:rsidRPr="00B43572" w:rsidRDefault="00AD3FD5" w:rsidP="00B43572">
      <w:pPr>
        <w:spacing w:before="0"/>
        <w:rPr>
          <w:bCs/>
          <w:iCs/>
          <w:sz w:val="22"/>
          <w:szCs w:val="22"/>
        </w:rPr>
      </w:pPr>
      <w:r w:rsidRPr="00B43572">
        <w:rPr>
          <w:sz w:val="22"/>
          <w:szCs w:val="22"/>
        </w:rPr>
        <w:t xml:space="preserve">Dodatky č. 1 až 7 a 10 došlo ke změnám ceny ve </w:t>
      </w:r>
      <w:r w:rsidR="001E1C61">
        <w:rPr>
          <w:bCs/>
          <w:iCs/>
          <w:sz w:val="22"/>
          <w:szCs w:val="22"/>
        </w:rPr>
        <w:t>s</w:t>
      </w:r>
      <w:r w:rsidRPr="00B43572">
        <w:rPr>
          <w:bCs/>
          <w:iCs/>
          <w:sz w:val="22"/>
          <w:szCs w:val="22"/>
        </w:rPr>
        <w:t>mlouvě o dodávce IISSP.</w:t>
      </w:r>
      <w:r w:rsidRPr="00B43572">
        <w:rPr>
          <w:sz w:val="22"/>
          <w:szCs w:val="22"/>
        </w:rPr>
        <w:t xml:space="preserve"> </w:t>
      </w:r>
      <w:r w:rsidR="00473710" w:rsidRPr="00B43572">
        <w:rPr>
          <w:bCs/>
          <w:iCs/>
          <w:sz w:val="22"/>
          <w:szCs w:val="22"/>
        </w:rPr>
        <w:t>Dodatky č.</w:t>
      </w:r>
      <w:r w:rsidR="0037415F" w:rsidRPr="00B43572">
        <w:rPr>
          <w:bCs/>
          <w:iCs/>
          <w:sz w:val="22"/>
          <w:szCs w:val="22"/>
        </w:rPr>
        <w:t> </w:t>
      </w:r>
      <w:r w:rsidR="00473710" w:rsidRPr="00B43572">
        <w:rPr>
          <w:bCs/>
          <w:iCs/>
          <w:sz w:val="22"/>
          <w:szCs w:val="22"/>
        </w:rPr>
        <w:t>8 a</w:t>
      </w:r>
      <w:r w:rsidR="000F37F7" w:rsidRPr="00B43572">
        <w:rPr>
          <w:bCs/>
          <w:iCs/>
          <w:sz w:val="22"/>
          <w:szCs w:val="22"/>
        </w:rPr>
        <w:t> </w:t>
      </w:r>
      <w:r w:rsidR="00473710" w:rsidRPr="00B43572">
        <w:rPr>
          <w:bCs/>
          <w:iCs/>
          <w:sz w:val="22"/>
          <w:szCs w:val="22"/>
        </w:rPr>
        <w:t xml:space="preserve">9 </w:t>
      </w:r>
      <w:r w:rsidR="001E1C61">
        <w:rPr>
          <w:bCs/>
          <w:iCs/>
          <w:sz w:val="22"/>
          <w:szCs w:val="22"/>
        </w:rPr>
        <w:t>s</w:t>
      </w:r>
      <w:r w:rsidR="00473710" w:rsidRPr="00B43572">
        <w:rPr>
          <w:bCs/>
          <w:iCs/>
          <w:sz w:val="22"/>
          <w:szCs w:val="22"/>
        </w:rPr>
        <w:t>mlouvy o dodávce IISSP neměnily cenu plnění ani podstatné náležitosti smlouvy, a tak MF nevznikla povinnost provádět zadávací řízení.</w:t>
      </w:r>
      <w:r w:rsidR="00473710" w:rsidRPr="00B43572">
        <w:rPr>
          <w:sz w:val="22"/>
          <w:szCs w:val="22"/>
        </w:rPr>
        <w:t xml:space="preserve"> </w:t>
      </w:r>
      <w:r w:rsidR="00C81A91" w:rsidRPr="00B43572">
        <w:rPr>
          <w:bCs/>
          <w:iCs/>
          <w:sz w:val="22"/>
          <w:szCs w:val="22"/>
        </w:rPr>
        <w:t>Dodatky č. 6, 7 a 10</w:t>
      </w:r>
      <w:r w:rsidR="003D179D" w:rsidRPr="00B43572">
        <w:rPr>
          <w:bCs/>
          <w:iCs/>
          <w:sz w:val="22"/>
          <w:szCs w:val="22"/>
        </w:rPr>
        <w:t xml:space="preserve"> </w:t>
      </w:r>
      <w:r w:rsidR="001E1C61">
        <w:rPr>
          <w:bCs/>
          <w:iCs/>
          <w:sz w:val="22"/>
          <w:szCs w:val="22"/>
        </w:rPr>
        <w:t>s</w:t>
      </w:r>
      <w:r w:rsidR="003D179D" w:rsidRPr="00B43572">
        <w:rPr>
          <w:bCs/>
          <w:iCs/>
          <w:sz w:val="22"/>
          <w:szCs w:val="22"/>
        </w:rPr>
        <w:t>mlouvy o</w:t>
      </w:r>
      <w:r w:rsidR="0037415F" w:rsidRPr="00B43572">
        <w:rPr>
          <w:bCs/>
          <w:iCs/>
          <w:sz w:val="22"/>
          <w:szCs w:val="22"/>
        </w:rPr>
        <w:t> </w:t>
      </w:r>
      <w:r w:rsidR="003D179D" w:rsidRPr="00B43572">
        <w:rPr>
          <w:bCs/>
          <w:iCs/>
          <w:sz w:val="22"/>
          <w:szCs w:val="22"/>
        </w:rPr>
        <w:t>dodávce IISSP</w:t>
      </w:r>
      <w:r w:rsidR="00C81A91" w:rsidRPr="00B43572">
        <w:rPr>
          <w:bCs/>
          <w:iCs/>
          <w:sz w:val="22"/>
          <w:szCs w:val="22"/>
        </w:rPr>
        <w:t xml:space="preserve"> uzavřelo </w:t>
      </w:r>
      <w:r w:rsidR="003D179D" w:rsidRPr="00B43572">
        <w:rPr>
          <w:bCs/>
          <w:iCs/>
          <w:sz w:val="22"/>
          <w:szCs w:val="22"/>
        </w:rPr>
        <w:t xml:space="preserve">MF </w:t>
      </w:r>
      <w:r w:rsidR="00C81A91" w:rsidRPr="00B43572">
        <w:rPr>
          <w:bCs/>
          <w:iCs/>
          <w:sz w:val="22"/>
          <w:szCs w:val="22"/>
        </w:rPr>
        <w:t xml:space="preserve">na základě </w:t>
      </w:r>
      <w:r w:rsidR="005B3BD5" w:rsidRPr="00B43572">
        <w:rPr>
          <w:bCs/>
          <w:iCs/>
          <w:sz w:val="22"/>
          <w:szCs w:val="22"/>
        </w:rPr>
        <w:t xml:space="preserve">zadávacího řízení realizovaného formou </w:t>
      </w:r>
      <w:r w:rsidR="00C81A91" w:rsidRPr="00B43572">
        <w:rPr>
          <w:bCs/>
          <w:iCs/>
          <w:sz w:val="22"/>
          <w:szCs w:val="22"/>
        </w:rPr>
        <w:t>jednacího řízení bez uveřejnění.</w:t>
      </w:r>
      <w:r w:rsidRPr="00B43572">
        <w:rPr>
          <w:sz w:val="22"/>
          <w:szCs w:val="22"/>
        </w:rPr>
        <w:t xml:space="preserve"> </w:t>
      </w:r>
      <w:r w:rsidRPr="00B43572">
        <w:rPr>
          <w:b/>
          <w:sz w:val="22"/>
          <w:szCs w:val="22"/>
        </w:rPr>
        <w:t xml:space="preserve">Před uzavřením </w:t>
      </w:r>
      <w:r w:rsidR="001E1C61">
        <w:rPr>
          <w:b/>
          <w:sz w:val="22"/>
          <w:szCs w:val="22"/>
        </w:rPr>
        <w:t>d</w:t>
      </w:r>
      <w:r w:rsidRPr="00B43572">
        <w:rPr>
          <w:b/>
          <w:sz w:val="22"/>
          <w:szCs w:val="22"/>
        </w:rPr>
        <w:t>odatků č. 1 až 5,</w:t>
      </w:r>
      <w:r w:rsidRPr="00B43572">
        <w:rPr>
          <w:b/>
          <w:bCs/>
          <w:iCs/>
          <w:sz w:val="22"/>
          <w:szCs w:val="22"/>
        </w:rPr>
        <w:t xml:space="preserve"> kterými došlo ke změnám ceny ve </w:t>
      </w:r>
      <w:r w:rsidR="001E1C61">
        <w:rPr>
          <w:b/>
          <w:bCs/>
          <w:iCs/>
          <w:sz w:val="22"/>
          <w:szCs w:val="22"/>
        </w:rPr>
        <w:t>s</w:t>
      </w:r>
      <w:r w:rsidRPr="00B43572">
        <w:rPr>
          <w:b/>
          <w:bCs/>
          <w:iCs/>
          <w:sz w:val="22"/>
          <w:szCs w:val="22"/>
        </w:rPr>
        <w:t>mlouvě o dodávce IISSP,</w:t>
      </w:r>
      <w:r w:rsidRPr="00B43572">
        <w:rPr>
          <w:b/>
          <w:sz w:val="22"/>
          <w:szCs w:val="22"/>
        </w:rPr>
        <w:t xml:space="preserve"> MF</w:t>
      </w:r>
      <w:r w:rsidRPr="00B43572">
        <w:rPr>
          <w:b/>
          <w:bCs/>
          <w:iCs/>
          <w:sz w:val="22"/>
          <w:szCs w:val="22"/>
        </w:rPr>
        <w:t xml:space="preserve"> neprovedlo zadávací řízení, čímž postupovalo v rozporu se zákonem č. 137/2006 Sb.</w:t>
      </w:r>
      <w:r w:rsidR="004302FB" w:rsidRPr="00B43572">
        <w:rPr>
          <w:b/>
          <w:bCs/>
          <w:iCs/>
          <w:sz w:val="22"/>
          <w:szCs w:val="22"/>
        </w:rPr>
        <w:t>, o veřejných zakázkách.</w:t>
      </w:r>
    </w:p>
    <w:p w:rsidR="00121A4A" w:rsidRPr="00B43572" w:rsidRDefault="00121A4A" w:rsidP="00B43572">
      <w:pPr>
        <w:spacing w:before="0"/>
        <w:rPr>
          <w:color w:val="000000"/>
          <w:sz w:val="22"/>
          <w:szCs w:val="22"/>
        </w:rPr>
      </w:pPr>
    </w:p>
    <w:p w:rsidR="00EE434B" w:rsidRPr="00B43572" w:rsidRDefault="00703AFA" w:rsidP="00B43572">
      <w:pPr>
        <w:spacing w:before="0"/>
        <w:rPr>
          <w:bCs/>
          <w:color w:val="000000"/>
          <w:sz w:val="22"/>
          <w:szCs w:val="22"/>
          <w:lang w:eastAsia="cs-CZ"/>
        </w:rPr>
      </w:pPr>
      <w:r w:rsidRPr="00B43572">
        <w:rPr>
          <w:bCs/>
          <w:iCs/>
          <w:sz w:val="22"/>
          <w:szCs w:val="22"/>
        </w:rPr>
        <w:lastRenderedPageBreak/>
        <w:t>MF uhradilo v letech 2008 až 2011 n</w:t>
      </w:r>
      <w:r w:rsidR="004020CE" w:rsidRPr="00B43572">
        <w:rPr>
          <w:bCs/>
          <w:iCs/>
          <w:sz w:val="22"/>
          <w:szCs w:val="22"/>
        </w:rPr>
        <w:t xml:space="preserve">a základě </w:t>
      </w:r>
      <w:r w:rsidR="00827DF7">
        <w:rPr>
          <w:bCs/>
          <w:iCs/>
          <w:sz w:val="22"/>
          <w:szCs w:val="22"/>
        </w:rPr>
        <w:t>s</w:t>
      </w:r>
      <w:r w:rsidR="004020CE" w:rsidRPr="00B43572">
        <w:rPr>
          <w:bCs/>
          <w:iCs/>
          <w:sz w:val="22"/>
          <w:szCs w:val="22"/>
        </w:rPr>
        <w:t>ml</w:t>
      </w:r>
      <w:r w:rsidRPr="00B43572">
        <w:rPr>
          <w:bCs/>
          <w:iCs/>
          <w:sz w:val="22"/>
          <w:szCs w:val="22"/>
        </w:rPr>
        <w:t xml:space="preserve">ouvy o dodávce IISSP </w:t>
      </w:r>
      <w:r w:rsidR="004020CE" w:rsidRPr="00B43572">
        <w:rPr>
          <w:bCs/>
          <w:iCs/>
          <w:sz w:val="22"/>
          <w:szCs w:val="22"/>
        </w:rPr>
        <w:t>celkem 2 182</w:t>
      </w:r>
      <w:r w:rsidR="0037415F" w:rsidRPr="00B43572">
        <w:rPr>
          <w:bCs/>
          <w:iCs/>
          <w:sz w:val="22"/>
          <w:szCs w:val="22"/>
        </w:rPr>
        <w:t> </w:t>
      </w:r>
      <w:r w:rsidR="004020CE" w:rsidRPr="00B43572">
        <w:rPr>
          <w:bCs/>
          <w:iCs/>
          <w:sz w:val="22"/>
          <w:szCs w:val="22"/>
        </w:rPr>
        <w:t>272</w:t>
      </w:r>
      <w:r w:rsidR="0037415F" w:rsidRPr="00B43572">
        <w:rPr>
          <w:bCs/>
          <w:iCs/>
          <w:sz w:val="22"/>
          <w:szCs w:val="22"/>
        </w:rPr>
        <w:t> </w:t>
      </w:r>
      <w:r w:rsidR="004020CE" w:rsidRPr="00B43572">
        <w:rPr>
          <w:bCs/>
          <w:iCs/>
          <w:sz w:val="22"/>
          <w:szCs w:val="22"/>
        </w:rPr>
        <w:t>ti</w:t>
      </w:r>
      <w:r w:rsidR="00A722BB" w:rsidRPr="00B43572">
        <w:rPr>
          <w:bCs/>
          <w:iCs/>
          <w:sz w:val="22"/>
          <w:szCs w:val="22"/>
        </w:rPr>
        <w:t>s. Kč, a to</w:t>
      </w:r>
      <w:r w:rsidR="004020CE" w:rsidRPr="00B43572">
        <w:rPr>
          <w:bCs/>
          <w:iCs/>
          <w:sz w:val="22"/>
          <w:szCs w:val="22"/>
        </w:rPr>
        <w:t xml:space="preserve"> v rámci </w:t>
      </w:r>
      <w:r w:rsidR="00827DF7">
        <w:rPr>
          <w:bCs/>
          <w:iCs/>
          <w:sz w:val="22"/>
          <w:szCs w:val="22"/>
        </w:rPr>
        <w:t>l</w:t>
      </w:r>
      <w:r w:rsidR="004020CE" w:rsidRPr="00B43572">
        <w:rPr>
          <w:bCs/>
          <w:iCs/>
          <w:sz w:val="22"/>
          <w:szCs w:val="22"/>
        </w:rPr>
        <w:t>icenční s</w:t>
      </w:r>
      <w:r w:rsidR="00A722BB" w:rsidRPr="00B43572">
        <w:rPr>
          <w:bCs/>
          <w:iCs/>
          <w:sz w:val="22"/>
          <w:szCs w:val="22"/>
        </w:rPr>
        <w:t xml:space="preserve">mlouvy 471 860 tis. Kč, </w:t>
      </w:r>
      <w:r w:rsidR="00827DF7">
        <w:rPr>
          <w:sz w:val="22"/>
          <w:szCs w:val="22"/>
        </w:rPr>
        <w:t>i</w:t>
      </w:r>
      <w:r w:rsidR="004020CE" w:rsidRPr="00B43572">
        <w:rPr>
          <w:sz w:val="22"/>
          <w:szCs w:val="22"/>
        </w:rPr>
        <w:t xml:space="preserve">mplementační smlouvy </w:t>
      </w:r>
      <w:r w:rsidR="00A722BB" w:rsidRPr="00B43572">
        <w:rPr>
          <w:sz w:val="22"/>
          <w:szCs w:val="22"/>
        </w:rPr>
        <w:t xml:space="preserve">1 629 581 tis. Kč a </w:t>
      </w:r>
      <w:r w:rsidR="00827DF7">
        <w:rPr>
          <w:sz w:val="22"/>
          <w:szCs w:val="22"/>
        </w:rPr>
        <w:t>s</w:t>
      </w:r>
      <w:r w:rsidR="004020CE" w:rsidRPr="00B43572">
        <w:rPr>
          <w:sz w:val="22"/>
          <w:szCs w:val="22"/>
        </w:rPr>
        <w:t xml:space="preserve">ervisní smlouvy </w:t>
      </w:r>
      <w:r w:rsidR="00A722BB" w:rsidRPr="00B43572">
        <w:rPr>
          <w:sz w:val="22"/>
          <w:szCs w:val="22"/>
        </w:rPr>
        <w:t xml:space="preserve">80 831 tis. </w:t>
      </w:r>
      <w:r w:rsidR="004020CE" w:rsidRPr="00B43572">
        <w:rPr>
          <w:bCs/>
          <w:color w:val="000000"/>
          <w:sz w:val="22"/>
          <w:szCs w:val="22"/>
          <w:lang w:eastAsia="cs-CZ"/>
        </w:rPr>
        <w:t>Kč</w:t>
      </w:r>
      <w:r w:rsidR="00A722BB" w:rsidRPr="00B43572">
        <w:rPr>
          <w:bCs/>
          <w:color w:val="000000"/>
          <w:sz w:val="22"/>
          <w:szCs w:val="22"/>
          <w:lang w:eastAsia="cs-CZ"/>
        </w:rPr>
        <w:t>.</w:t>
      </w:r>
      <w:r w:rsidR="004020CE" w:rsidRPr="00B43572">
        <w:rPr>
          <w:bCs/>
          <w:color w:val="000000"/>
          <w:sz w:val="22"/>
          <w:szCs w:val="22"/>
          <w:lang w:eastAsia="cs-CZ"/>
        </w:rPr>
        <w:t xml:space="preserve"> </w:t>
      </w:r>
    </w:p>
    <w:p w:rsidR="0037415F" w:rsidRPr="00B43572" w:rsidRDefault="0037415F" w:rsidP="00B43572">
      <w:pPr>
        <w:spacing w:before="0"/>
        <w:rPr>
          <w:bCs/>
          <w:iCs/>
          <w:sz w:val="22"/>
          <w:szCs w:val="22"/>
        </w:rPr>
      </w:pPr>
    </w:p>
    <w:p w:rsidR="001D5F94" w:rsidRPr="00B43572" w:rsidRDefault="000157F2" w:rsidP="00B43572">
      <w:pPr>
        <w:spacing w:before="0"/>
        <w:rPr>
          <w:sz w:val="22"/>
          <w:szCs w:val="22"/>
        </w:rPr>
      </w:pPr>
      <w:r w:rsidRPr="00B43572">
        <w:rPr>
          <w:bCs/>
          <w:iCs/>
          <w:sz w:val="22"/>
          <w:szCs w:val="22"/>
        </w:rPr>
        <w:t xml:space="preserve">Na základě </w:t>
      </w:r>
      <w:r w:rsidR="00827DF7">
        <w:rPr>
          <w:bCs/>
          <w:iCs/>
          <w:sz w:val="22"/>
          <w:szCs w:val="22"/>
        </w:rPr>
        <w:t>l</w:t>
      </w:r>
      <w:r w:rsidRPr="00B43572">
        <w:rPr>
          <w:bCs/>
          <w:iCs/>
          <w:sz w:val="22"/>
          <w:szCs w:val="22"/>
        </w:rPr>
        <w:t xml:space="preserve">icenční smlouvy </w:t>
      </w:r>
      <w:r w:rsidR="00B913F7" w:rsidRPr="00B43572">
        <w:rPr>
          <w:bCs/>
          <w:iCs/>
          <w:sz w:val="22"/>
          <w:szCs w:val="22"/>
        </w:rPr>
        <w:t xml:space="preserve">MF </w:t>
      </w:r>
      <w:r w:rsidR="003215C0" w:rsidRPr="00B43572">
        <w:rPr>
          <w:bCs/>
          <w:iCs/>
          <w:sz w:val="22"/>
          <w:szCs w:val="22"/>
        </w:rPr>
        <w:t xml:space="preserve">v letech 2008 až 2011 </w:t>
      </w:r>
      <w:r w:rsidR="00B913F7" w:rsidRPr="00B43572">
        <w:rPr>
          <w:bCs/>
          <w:iCs/>
          <w:sz w:val="22"/>
          <w:szCs w:val="22"/>
        </w:rPr>
        <w:t>uhradilo</w:t>
      </w:r>
      <w:r w:rsidR="00B7472D" w:rsidRPr="00B43572">
        <w:rPr>
          <w:bCs/>
          <w:iCs/>
          <w:sz w:val="22"/>
          <w:szCs w:val="22"/>
        </w:rPr>
        <w:t xml:space="preserve"> </w:t>
      </w:r>
      <w:r w:rsidR="00827DF7">
        <w:rPr>
          <w:bCs/>
          <w:iCs/>
          <w:sz w:val="22"/>
          <w:szCs w:val="22"/>
        </w:rPr>
        <w:t>d</w:t>
      </w:r>
      <w:r w:rsidR="00B7472D" w:rsidRPr="00B43572">
        <w:rPr>
          <w:bCs/>
          <w:iCs/>
          <w:sz w:val="22"/>
          <w:szCs w:val="22"/>
        </w:rPr>
        <w:t>odavateli</w:t>
      </w:r>
      <w:r w:rsidR="00B63FF8" w:rsidRPr="00B43572">
        <w:rPr>
          <w:bCs/>
          <w:iCs/>
          <w:sz w:val="22"/>
          <w:szCs w:val="22"/>
        </w:rPr>
        <w:t xml:space="preserve"> 471</w:t>
      </w:r>
      <w:r w:rsidR="00827DF7">
        <w:rPr>
          <w:bCs/>
          <w:iCs/>
          <w:sz w:val="22"/>
          <w:szCs w:val="22"/>
        </w:rPr>
        <w:t> </w:t>
      </w:r>
      <w:r w:rsidR="00B63FF8" w:rsidRPr="00B43572">
        <w:rPr>
          <w:bCs/>
          <w:iCs/>
          <w:sz w:val="22"/>
          <w:szCs w:val="22"/>
        </w:rPr>
        <w:t>860</w:t>
      </w:r>
      <w:r w:rsidR="00827DF7">
        <w:rPr>
          <w:bCs/>
          <w:iCs/>
          <w:sz w:val="22"/>
          <w:szCs w:val="22"/>
        </w:rPr>
        <w:t> </w:t>
      </w:r>
      <w:r w:rsidR="00B63FF8" w:rsidRPr="00B43572">
        <w:rPr>
          <w:bCs/>
          <w:iCs/>
          <w:sz w:val="22"/>
          <w:szCs w:val="22"/>
        </w:rPr>
        <w:t>tis.</w:t>
      </w:r>
      <w:r w:rsidR="00827DF7">
        <w:rPr>
          <w:bCs/>
          <w:iCs/>
          <w:sz w:val="22"/>
          <w:szCs w:val="22"/>
        </w:rPr>
        <w:t> </w:t>
      </w:r>
      <w:r w:rsidR="003A3C1C" w:rsidRPr="00B43572">
        <w:rPr>
          <w:bCs/>
          <w:iCs/>
          <w:sz w:val="22"/>
          <w:szCs w:val="22"/>
        </w:rPr>
        <w:t>Kč za</w:t>
      </w:r>
      <w:r w:rsidR="00E641AA" w:rsidRPr="00B43572">
        <w:rPr>
          <w:bCs/>
          <w:iCs/>
          <w:sz w:val="22"/>
          <w:szCs w:val="22"/>
        </w:rPr>
        <w:t xml:space="preserve"> dodávky</w:t>
      </w:r>
      <w:r w:rsidR="00B7472D" w:rsidRPr="00B43572">
        <w:rPr>
          <w:bCs/>
          <w:iCs/>
          <w:sz w:val="22"/>
          <w:szCs w:val="22"/>
        </w:rPr>
        <w:t xml:space="preserve"> majetku (licence) a služeb (údržba licencí)</w:t>
      </w:r>
      <w:r w:rsidR="00886367" w:rsidRPr="00B43572">
        <w:rPr>
          <w:bCs/>
          <w:iCs/>
          <w:sz w:val="22"/>
          <w:szCs w:val="22"/>
        </w:rPr>
        <w:t>.</w:t>
      </w:r>
      <w:r w:rsidR="00D85F44" w:rsidRPr="00B43572">
        <w:rPr>
          <w:bCs/>
          <w:iCs/>
          <w:sz w:val="22"/>
          <w:szCs w:val="22"/>
        </w:rPr>
        <w:t xml:space="preserve"> </w:t>
      </w:r>
      <w:r w:rsidR="00157BFC" w:rsidRPr="00B43572">
        <w:rPr>
          <w:sz w:val="22"/>
          <w:szCs w:val="22"/>
        </w:rPr>
        <w:t>V </w:t>
      </w:r>
      <w:r w:rsidR="00827DF7">
        <w:rPr>
          <w:sz w:val="22"/>
          <w:szCs w:val="22"/>
        </w:rPr>
        <w:t>l</w:t>
      </w:r>
      <w:r w:rsidR="00157BFC" w:rsidRPr="00B43572">
        <w:rPr>
          <w:sz w:val="22"/>
          <w:szCs w:val="22"/>
        </w:rPr>
        <w:t xml:space="preserve">icenční smlouvě </w:t>
      </w:r>
      <w:r w:rsidR="00827DF7">
        <w:rPr>
          <w:sz w:val="22"/>
          <w:szCs w:val="22"/>
        </w:rPr>
        <w:t>d</w:t>
      </w:r>
      <w:r w:rsidR="00157BFC" w:rsidRPr="00B43572">
        <w:rPr>
          <w:sz w:val="22"/>
          <w:szCs w:val="22"/>
        </w:rPr>
        <w:t>odatkem č.</w:t>
      </w:r>
      <w:r w:rsidR="00827DF7">
        <w:rPr>
          <w:sz w:val="22"/>
          <w:szCs w:val="22"/>
        </w:rPr>
        <w:t> </w:t>
      </w:r>
      <w:r w:rsidR="00157BFC" w:rsidRPr="00B43572">
        <w:rPr>
          <w:sz w:val="22"/>
          <w:szCs w:val="22"/>
        </w:rPr>
        <w:t xml:space="preserve">1 </w:t>
      </w:r>
      <w:r w:rsidR="00827DF7">
        <w:rPr>
          <w:sz w:val="22"/>
          <w:szCs w:val="22"/>
        </w:rPr>
        <w:t>s</w:t>
      </w:r>
      <w:r w:rsidR="00134641" w:rsidRPr="00B43572">
        <w:rPr>
          <w:sz w:val="22"/>
          <w:szCs w:val="22"/>
        </w:rPr>
        <w:t xml:space="preserve">mlouvy o dodávce IISSP </w:t>
      </w:r>
      <w:r w:rsidR="00157BFC" w:rsidRPr="00B43572">
        <w:rPr>
          <w:sz w:val="22"/>
          <w:szCs w:val="22"/>
        </w:rPr>
        <w:t xml:space="preserve">sjednalo </w:t>
      </w:r>
      <w:r w:rsidR="00477FFA" w:rsidRPr="00B43572">
        <w:rPr>
          <w:sz w:val="22"/>
          <w:szCs w:val="22"/>
        </w:rPr>
        <w:t xml:space="preserve">MF </w:t>
      </w:r>
      <w:r w:rsidR="00157BFC" w:rsidRPr="00B43572">
        <w:rPr>
          <w:sz w:val="22"/>
          <w:szCs w:val="22"/>
        </w:rPr>
        <w:t>s </w:t>
      </w:r>
      <w:r w:rsidR="00827DF7">
        <w:rPr>
          <w:sz w:val="22"/>
          <w:szCs w:val="22"/>
        </w:rPr>
        <w:t>d</w:t>
      </w:r>
      <w:r w:rsidR="00157BFC" w:rsidRPr="00B43572">
        <w:rPr>
          <w:sz w:val="22"/>
          <w:szCs w:val="22"/>
        </w:rPr>
        <w:t>odavatelem dobu užívání</w:t>
      </w:r>
      <w:r w:rsidR="00134641" w:rsidRPr="00B43572">
        <w:rPr>
          <w:sz w:val="22"/>
          <w:szCs w:val="22"/>
        </w:rPr>
        <w:t xml:space="preserve"> části licencí v hodnotě </w:t>
      </w:r>
      <w:r w:rsidR="00B63FF8" w:rsidRPr="00B43572">
        <w:rPr>
          <w:sz w:val="22"/>
          <w:szCs w:val="22"/>
        </w:rPr>
        <w:t>157 715 tis.</w:t>
      </w:r>
      <w:r w:rsidR="00134641" w:rsidRPr="00B43572">
        <w:rPr>
          <w:sz w:val="22"/>
          <w:szCs w:val="22"/>
        </w:rPr>
        <w:t xml:space="preserve"> Kč </w:t>
      </w:r>
      <w:r w:rsidR="00157BFC" w:rsidRPr="00B43572">
        <w:rPr>
          <w:sz w:val="22"/>
          <w:szCs w:val="22"/>
        </w:rPr>
        <w:t xml:space="preserve">od 1. </w:t>
      </w:r>
      <w:r w:rsidR="0018169C" w:rsidRPr="00B43572">
        <w:rPr>
          <w:sz w:val="22"/>
          <w:szCs w:val="22"/>
        </w:rPr>
        <w:t>prosince</w:t>
      </w:r>
      <w:r w:rsidR="00157BFC" w:rsidRPr="00B43572">
        <w:rPr>
          <w:sz w:val="22"/>
          <w:szCs w:val="22"/>
        </w:rPr>
        <w:t xml:space="preserve"> 20</w:t>
      </w:r>
      <w:r w:rsidR="00B913F7" w:rsidRPr="00B43572">
        <w:rPr>
          <w:sz w:val="22"/>
          <w:szCs w:val="22"/>
        </w:rPr>
        <w:t xml:space="preserve">09 s tím, že za tyto licence </w:t>
      </w:r>
      <w:r w:rsidR="00157BFC" w:rsidRPr="00B43572">
        <w:rPr>
          <w:sz w:val="22"/>
          <w:szCs w:val="22"/>
        </w:rPr>
        <w:t xml:space="preserve">zaplatí </w:t>
      </w:r>
      <w:r w:rsidR="00827DF7">
        <w:rPr>
          <w:sz w:val="22"/>
          <w:szCs w:val="22"/>
        </w:rPr>
        <w:t>d</w:t>
      </w:r>
      <w:r w:rsidR="00157BFC" w:rsidRPr="00B43572">
        <w:rPr>
          <w:sz w:val="22"/>
          <w:szCs w:val="22"/>
        </w:rPr>
        <w:t xml:space="preserve">odavateli </w:t>
      </w:r>
      <w:r w:rsidR="006743E1" w:rsidRPr="00B43572">
        <w:rPr>
          <w:sz w:val="22"/>
          <w:szCs w:val="22"/>
        </w:rPr>
        <w:t xml:space="preserve">do 10. </w:t>
      </w:r>
      <w:r w:rsidR="0018169C" w:rsidRPr="00B43572">
        <w:rPr>
          <w:sz w:val="22"/>
          <w:szCs w:val="22"/>
        </w:rPr>
        <w:t>ledna</w:t>
      </w:r>
      <w:r w:rsidR="006743E1" w:rsidRPr="00B43572">
        <w:rPr>
          <w:sz w:val="22"/>
          <w:szCs w:val="22"/>
        </w:rPr>
        <w:t xml:space="preserve"> 2011. L</w:t>
      </w:r>
      <w:r w:rsidR="00134641" w:rsidRPr="00B43572">
        <w:rPr>
          <w:sz w:val="22"/>
          <w:szCs w:val="22"/>
        </w:rPr>
        <w:t>icence</w:t>
      </w:r>
      <w:r w:rsidR="00B7472D" w:rsidRPr="00B43572">
        <w:rPr>
          <w:sz w:val="22"/>
          <w:szCs w:val="22"/>
        </w:rPr>
        <w:t xml:space="preserve"> MF převzalo od </w:t>
      </w:r>
      <w:r w:rsidR="00827DF7">
        <w:rPr>
          <w:sz w:val="22"/>
          <w:szCs w:val="22"/>
        </w:rPr>
        <w:t>d</w:t>
      </w:r>
      <w:r w:rsidR="00157BFC" w:rsidRPr="00B43572">
        <w:rPr>
          <w:sz w:val="22"/>
          <w:szCs w:val="22"/>
        </w:rPr>
        <w:t xml:space="preserve">odavatele </w:t>
      </w:r>
      <w:r w:rsidR="00EE434B" w:rsidRPr="00B43572">
        <w:rPr>
          <w:sz w:val="22"/>
          <w:szCs w:val="22"/>
        </w:rPr>
        <w:t>dne 10.</w:t>
      </w:r>
      <w:r w:rsidR="0018169C" w:rsidRPr="00B43572">
        <w:rPr>
          <w:sz w:val="22"/>
          <w:szCs w:val="22"/>
        </w:rPr>
        <w:t> prosince </w:t>
      </w:r>
      <w:r w:rsidR="006743E1" w:rsidRPr="00B43572">
        <w:rPr>
          <w:sz w:val="22"/>
          <w:szCs w:val="22"/>
        </w:rPr>
        <w:t>2009,</w:t>
      </w:r>
      <w:r w:rsidR="00BD30E5" w:rsidRPr="00B43572">
        <w:rPr>
          <w:sz w:val="22"/>
          <w:szCs w:val="22"/>
        </w:rPr>
        <w:t xml:space="preserve"> jejich pořízení zaúčtovalo</w:t>
      </w:r>
      <w:r w:rsidR="0036607E" w:rsidRPr="00B43572">
        <w:rPr>
          <w:sz w:val="22"/>
          <w:szCs w:val="22"/>
        </w:rPr>
        <w:t xml:space="preserve"> </w:t>
      </w:r>
      <w:r w:rsidR="00703AFA" w:rsidRPr="00B43572">
        <w:rPr>
          <w:sz w:val="22"/>
          <w:szCs w:val="22"/>
        </w:rPr>
        <w:t>až v následujícím účetním</w:t>
      </w:r>
      <w:r w:rsidR="00A722BB" w:rsidRPr="00B43572">
        <w:rPr>
          <w:sz w:val="22"/>
          <w:szCs w:val="22"/>
        </w:rPr>
        <w:t xml:space="preserve"> období </w:t>
      </w:r>
      <w:r w:rsidR="00E641AA" w:rsidRPr="00B43572">
        <w:rPr>
          <w:sz w:val="22"/>
          <w:szCs w:val="22"/>
        </w:rPr>
        <w:t xml:space="preserve">dne </w:t>
      </w:r>
      <w:r w:rsidR="0018169C" w:rsidRPr="00B43572">
        <w:rPr>
          <w:sz w:val="22"/>
          <w:szCs w:val="22"/>
        </w:rPr>
        <w:t>31. prosince</w:t>
      </w:r>
      <w:r w:rsidR="006743E1" w:rsidRPr="00B43572">
        <w:rPr>
          <w:sz w:val="22"/>
          <w:szCs w:val="22"/>
        </w:rPr>
        <w:t xml:space="preserve"> 2010 a</w:t>
      </w:r>
      <w:r w:rsidR="00827DF7">
        <w:rPr>
          <w:sz w:val="22"/>
          <w:szCs w:val="22"/>
        </w:rPr>
        <w:t> </w:t>
      </w:r>
      <w:r w:rsidR="006743E1" w:rsidRPr="00B43572">
        <w:rPr>
          <w:sz w:val="22"/>
          <w:szCs w:val="22"/>
        </w:rPr>
        <w:t xml:space="preserve">uhradilo je dne 18. </w:t>
      </w:r>
      <w:r w:rsidR="0018169C" w:rsidRPr="00B43572">
        <w:rPr>
          <w:sz w:val="22"/>
          <w:szCs w:val="22"/>
        </w:rPr>
        <w:t>ledna</w:t>
      </w:r>
      <w:r w:rsidR="006743E1" w:rsidRPr="00B43572">
        <w:rPr>
          <w:sz w:val="22"/>
          <w:szCs w:val="22"/>
        </w:rPr>
        <w:t xml:space="preserve"> 2011.</w:t>
      </w:r>
      <w:r w:rsidR="000E5BAC" w:rsidRPr="00B43572">
        <w:rPr>
          <w:sz w:val="22"/>
          <w:szCs w:val="22"/>
        </w:rPr>
        <w:t xml:space="preserve"> V</w:t>
      </w:r>
      <w:r w:rsidR="0037415F" w:rsidRPr="00B43572">
        <w:rPr>
          <w:sz w:val="22"/>
          <w:szCs w:val="22"/>
        </w:rPr>
        <w:t> </w:t>
      </w:r>
      <w:r w:rsidR="000E5BAC" w:rsidRPr="00B43572">
        <w:rPr>
          <w:sz w:val="22"/>
          <w:szCs w:val="22"/>
        </w:rPr>
        <w:t xml:space="preserve">účetním období 2009 MF nevedlo </w:t>
      </w:r>
      <w:r w:rsidR="009E5F14" w:rsidRPr="00B43572">
        <w:rPr>
          <w:sz w:val="22"/>
          <w:szCs w:val="22"/>
        </w:rPr>
        <w:t>v účetnictví licence</w:t>
      </w:r>
      <w:r w:rsidR="00B63FF8" w:rsidRPr="00B43572">
        <w:rPr>
          <w:sz w:val="22"/>
          <w:szCs w:val="22"/>
        </w:rPr>
        <w:t xml:space="preserve"> v hodnotě 157 715 tis.</w:t>
      </w:r>
      <w:r w:rsidR="00DE25A4" w:rsidRPr="00B43572">
        <w:rPr>
          <w:sz w:val="22"/>
          <w:szCs w:val="22"/>
        </w:rPr>
        <w:t xml:space="preserve"> Kč, čímž</w:t>
      </w:r>
      <w:r w:rsidR="000E5BAC" w:rsidRPr="00B43572">
        <w:rPr>
          <w:sz w:val="22"/>
          <w:szCs w:val="22"/>
        </w:rPr>
        <w:t xml:space="preserve"> </w:t>
      </w:r>
      <w:r w:rsidR="00DE25A4" w:rsidRPr="00B43572">
        <w:rPr>
          <w:sz w:val="22"/>
          <w:szCs w:val="22"/>
        </w:rPr>
        <w:t>nebylo účetnictví MF úplné ve smyslu ustanovení § 8 odst. 3 zákona č. 563/1991 Sb.</w:t>
      </w:r>
      <w:r w:rsidR="00E10C5B">
        <w:rPr>
          <w:sz w:val="22"/>
          <w:szCs w:val="22"/>
        </w:rPr>
        <w:t>, o účetnictví.</w:t>
      </w:r>
      <w:r w:rsidR="00DE25A4" w:rsidRPr="00B43572">
        <w:rPr>
          <w:sz w:val="22"/>
          <w:szCs w:val="22"/>
        </w:rPr>
        <w:t xml:space="preserve"> </w:t>
      </w:r>
      <w:r w:rsidR="00BD30E5" w:rsidRPr="00B43572">
        <w:rPr>
          <w:sz w:val="22"/>
          <w:szCs w:val="22"/>
        </w:rPr>
        <w:t xml:space="preserve">Při inventarizaci k 31. </w:t>
      </w:r>
      <w:r w:rsidR="0018169C" w:rsidRPr="00B43572">
        <w:rPr>
          <w:sz w:val="22"/>
          <w:szCs w:val="22"/>
        </w:rPr>
        <w:t>prosinci</w:t>
      </w:r>
      <w:r w:rsidR="00BD30E5" w:rsidRPr="00B43572">
        <w:rPr>
          <w:sz w:val="22"/>
          <w:szCs w:val="22"/>
        </w:rPr>
        <w:t xml:space="preserve"> 2009 tuto skutečnost MF nezjistilo</w:t>
      </w:r>
      <w:r w:rsidR="009148D7" w:rsidRPr="00B43572">
        <w:rPr>
          <w:sz w:val="22"/>
          <w:szCs w:val="22"/>
        </w:rPr>
        <w:t>, a</w:t>
      </w:r>
      <w:r w:rsidR="00827DF7">
        <w:rPr>
          <w:sz w:val="22"/>
          <w:szCs w:val="22"/>
        </w:rPr>
        <w:t> </w:t>
      </w:r>
      <w:r w:rsidR="009148D7" w:rsidRPr="00B43572">
        <w:rPr>
          <w:sz w:val="22"/>
          <w:szCs w:val="22"/>
        </w:rPr>
        <w:t>tím nedodrželo ustanovení §</w:t>
      </w:r>
      <w:r w:rsidR="00DE25A4" w:rsidRPr="00B43572">
        <w:rPr>
          <w:sz w:val="22"/>
          <w:szCs w:val="22"/>
        </w:rPr>
        <w:t> </w:t>
      </w:r>
      <w:r w:rsidR="009148D7" w:rsidRPr="00B43572">
        <w:rPr>
          <w:sz w:val="22"/>
          <w:szCs w:val="22"/>
        </w:rPr>
        <w:t>29 odst. 1 zákona č. 563/1991 Sb.</w:t>
      </w:r>
    </w:p>
    <w:p w:rsidR="00EE434B" w:rsidRPr="00B45658" w:rsidRDefault="00EE434B" w:rsidP="00B43572">
      <w:pPr>
        <w:widowControl w:val="0"/>
        <w:autoSpaceDE w:val="0"/>
        <w:autoSpaceDN w:val="0"/>
        <w:adjustRightInd w:val="0"/>
        <w:spacing w:before="0"/>
        <w:rPr>
          <w:sz w:val="22"/>
          <w:szCs w:val="22"/>
        </w:rPr>
      </w:pPr>
    </w:p>
    <w:p w:rsidR="00602A6E" w:rsidRPr="008077FC" w:rsidRDefault="00EE434B" w:rsidP="00B43572">
      <w:pPr>
        <w:pStyle w:val="Bezmezer"/>
        <w:jc w:val="both"/>
        <w:rPr>
          <w:rFonts w:ascii="Arial" w:hAnsi="Arial" w:cs="Arial"/>
        </w:rPr>
      </w:pPr>
      <w:r w:rsidRPr="00A85E0D">
        <w:rPr>
          <w:rFonts w:ascii="Arial" w:hAnsi="Arial" w:cs="Arial"/>
        </w:rPr>
        <w:t xml:space="preserve">Na základě </w:t>
      </w:r>
      <w:r w:rsidR="00827DF7" w:rsidRPr="00A85E0D">
        <w:rPr>
          <w:rFonts w:ascii="Arial" w:hAnsi="Arial" w:cs="Arial"/>
        </w:rPr>
        <w:t>i</w:t>
      </w:r>
      <w:r w:rsidRPr="00A85E0D">
        <w:rPr>
          <w:rFonts w:ascii="Arial" w:hAnsi="Arial" w:cs="Arial"/>
        </w:rPr>
        <w:t xml:space="preserve">mplementační smlouvy </w:t>
      </w:r>
      <w:r w:rsidR="00E10C5B" w:rsidRPr="00A85E0D">
        <w:rPr>
          <w:rFonts w:ascii="Arial" w:hAnsi="Arial" w:cs="Arial"/>
        </w:rPr>
        <w:t xml:space="preserve">uhradilo </w:t>
      </w:r>
      <w:r w:rsidR="008C2F54" w:rsidRPr="00A85E0D">
        <w:rPr>
          <w:rFonts w:ascii="Arial" w:hAnsi="Arial" w:cs="Arial"/>
        </w:rPr>
        <w:t xml:space="preserve">MF </w:t>
      </w:r>
      <w:r w:rsidRPr="00A85E0D">
        <w:rPr>
          <w:rFonts w:ascii="Arial" w:hAnsi="Arial" w:cs="Arial"/>
        </w:rPr>
        <w:t xml:space="preserve">v letech 2009 až 2011 </w:t>
      </w:r>
      <w:r w:rsidR="00827DF7" w:rsidRPr="00A85E0D">
        <w:rPr>
          <w:rFonts w:ascii="Arial" w:hAnsi="Arial" w:cs="Arial"/>
        </w:rPr>
        <w:t>d</w:t>
      </w:r>
      <w:r w:rsidR="003215C0" w:rsidRPr="00A85E0D">
        <w:rPr>
          <w:rFonts w:ascii="Arial" w:hAnsi="Arial" w:cs="Arial"/>
        </w:rPr>
        <w:t xml:space="preserve">odavateli </w:t>
      </w:r>
      <w:r w:rsidR="00C433E4" w:rsidRPr="00A85E0D">
        <w:rPr>
          <w:rFonts w:ascii="Arial" w:hAnsi="Arial" w:cs="Arial"/>
        </w:rPr>
        <w:t>především za dodávku softwar</w:t>
      </w:r>
      <w:r w:rsidR="00E10C5B" w:rsidRPr="00A85E0D">
        <w:rPr>
          <w:rFonts w:ascii="Arial" w:hAnsi="Arial" w:cs="Arial"/>
        </w:rPr>
        <w:t>u</w:t>
      </w:r>
      <w:r w:rsidR="00C433E4" w:rsidRPr="00A85E0D">
        <w:rPr>
          <w:rFonts w:ascii="Arial" w:hAnsi="Arial" w:cs="Arial"/>
        </w:rPr>
        <w:t xml:space="preserve"> 1 629 581</w:t>
      </w:r>
      <w:r w:rsidR="00B63FF8" w:rsidRPr="00A85E0D">
        <w:rPr>
          <w:rFonts w:ascii="Arial" w:hAnsi="Arial" w:cs="Arial"/>
          <w:bCs/>
          <w:color w:val="000000"/>
          <w:lang w:eastAsia="cs-CZ"/>
        </w:rPr>
        <w:t> tis.</w:t>
      </w:r>
      <w:r w:rsidRPr="00A85E0D">
        <w:rPr>
          <w:rFonts w:ascii="Arial" w:hAnsi="Arial" w:cs="Arial"/>
        </w:rPr>
        <w:t xml:space="preserve"> </w:t>
      </w:r>
      <w:r w:rsidRPr="00A85E0D">
        <w:rPr>
          <w:rFonts w:ascii="Arial" w:hAnsi="Arial" w:cs="Arial"/>
          <w:bCs/>
          <w:color w:val="000000"/>
          <w:lang w:eastAsia="cs-CZ"/>
        </w:rPr>
        <w:t>Kč</w:t>
      </w:r>
      <w:r w:rsidR="00C433E4" w:rsidRPr="00A85E0D">
        <w:rPr>
          <w:rFonts w:ascii="Arial" w:hAnsi="Arial" w:cs="Arial"/>
        </w:rPr>
        <w:t xml:space="preserve">. </w:t>
      </w:r>
      <w:r w:rsidR="00FA71D4" w:rsidRPr="00A85E0D">
        <w:rPr>
          <w:rFonts w:ascii="Arial" w:hAnsi="Arial" w:cs="Arial"/>
          <w:b/>
          <w:color w:val="000000"/>
        </w:rPr>
        <w:t xml:space="preserve">MF v roce 2011 poskytlo </w:t>
      </w:r>
      <w:r w:rsidR="00827DF7" w:rsidRPr="00A85E0D">
        <w:rPr>
          <w:rFonts w:ascii="Arial" w:hAnsi="Arial" w:cs="Arial"/>
          <w:b/>
          <w:color w:val="000000"/>
        </w:rPr>
        <w:t>d</w:t>
      </w:r>
      <w:r w:rsidR="00FA71D4" w:rsidRPr="00A85E0D">
        <w:rPr>
          <w:rFonts w:ascii="Arial" w:hAnsi="Arial" w:cs="Arial"/>
          <w:b/>
          <w:color w:val="000000"/>
        </w:rPr>
        <w:t>odavateli dvě zálohy v</w:t>
      </w:r>
      <w:r w:rsidR="00B63FF8" w:rsidRPr="00A85E0D">
        <w:rPr>
          <w:rFonts w:ascii="Arial" w:hAnsi="Arial" w:cs="Arial"/>
          <w:b/>
          <w:color w:val="000000"/>
        </w:rPr>
        <w:t xml:space="preserve"> celkové výši 248 776 tis. Kč </w:t>
      </w:r>
      <w:r w:rsidR="00FA71D4" w:rsidRPr="00A85E0D">
        <w:rPr>
          <w:rFonts w:ascii="Arial" w:hAnsi="Arial" w:cs="Arial"/>
          <w:b/>
          <w:color w:val="000000"/>
        </w:rPr>
        <w:t>na období delší než jedno čtvrtletí a z toho poskytnu</w:t>
      </w:r>
      <w:r w:rsidR="00B63FF8" w:rsidRPr="00A85E0D">
        <w:rPr>
          <w:rFonts w:ascii="Arial" w:hAnsi="Arial" w:cs="Arial"/>
          <w:b/>
          <w:color w:val="000000"/>
        </w:rPr>
        <w:t>té zálohy ve výši 159 676 tis.</w:t>
      </w:r>
      <w:r w:rsidR="00FA71D4" w:rsidRPr="00A85E0D">
        <w:rPr>
          <w:rFonts w:ascii="Arial" w:hAnsi="Arial" w:cs="Arial"/>
          <w:b/>
          <w:color w:val="000000"/>
        </w:rPr>
        <w:t xml:space="preserve"> Kč nevyúčtovalo ke konci rozpočtového roku, tj.</w:t>
      </w:r>
      <w:r w:rsidR="00827DF7" w:rsidRPr="00A85E0D">
        <w:rPr>
          <w:rFonts w:ascii="Arial" w:hAnsi="Arial" w:cs="Arial"/>
          <w:b/>
          <w:color w:val="000000"/>
        </w:rPr>
        <w:t> </w:t>
      </w:r>
      <w:r w:rsidR="00FA71D4" w:rsidRPr="00A85E0D">
        <w:rPr>
          <w:rFonts w:ascii="Arial" w:hAnsi="Arial" w:cs="Arial"/>
          <w:b/>
          <w:color w:val="000000"/>
        </w:rPr>
        <w:t>k 31.</w:t>
      </w:r>
      <w:r w:rsidR="00E0290B" w:rsidRPr="008077FC">
        <w:rPr>
          <w:rFonts w:ascii="Arial" w:hAnsi="Arial" w:cs="Arial"/>
          <w:b/>
          <w:color w:val="000000"/>
        </w:rPr>
        <w:t> </w:t>
      </w:r>
      <w:r w:rsidR="0018169C" w:rsidRPr="00A85E0D">
        <w:rPr>
          <w:rFonts w:ascii="Arial" w:hAnsi="Arial" w:cs="Arial"/>
          <w:b/>
          <w:color w:val="000000"/>
        </w:rPr>
        <w:t>prosinci</w:t>
      </w:r>
      <w:r w:rsidR="00FA71D4" w:rsidRPr="00A85E0D">
        <w:rPr>
          <w:rFonts w:ascii="Arial" w:hAnsi="Arial" w:cs="Arial"/>
          <w:b/>
          <w:color w:val="000000"/>
        </w:rPr>
        <w:t xml:space="preserve"> 2011.</w:t>
      </w:r>
      <w:r w:rsidR="00C433E4" w:rsidRPr="00A85E0D">
        <w:rPr>
          <w:rFonts w:ascii="Arial" w:hAnsi="Arial" w:cs="Arial"/>
          <w:b/>
          <w:color w:val="000000"/>
        </w:rPr>
        <w:t xml:space="preserve"> </w:t>
      </w:r>
      <w:r w:rsidR="00FA71D4" w:rsidRPr="00A85E0D">
        <w:rPr>
          <w:rFonts w:ascii="Arial" w:hAnsi="Arial" w:cs="Arial"/>
          <w:b/>
          <w:color w:val="000000"/>
        </w:rPr>
        <w:t xml:space="preserve">MF </w:t>
      </w:r>
      <w:r w:rsidR="00C433E4" w:rsidRPr="00A85E0D">
        <w:rPr>
          <w:rFonts w:ascii="Arial" w:hAnsi="Arial" w:cs="Arial"/>
          <w:b/>
          <w:color w:val="000000"/>
        </w:rPr>
        <w:t xml:space="preserve">tak </w:t>
      </w:r>
      <w:r w:rsidR="00FA71D4" w:rsidRPr="00A85E0D">
        <w:rPr>
          <w:rFonts w:ascii="Arial" w:hAnsi="Arial" w:cs="Arial"/>
          <w:b/>
          <w:color w:val="000000"/>
        </w:rPr>
        <w:t>porušilo ustanovení</w:t>
      </w:r>
      <w:r w:rsidR="00781AF8" w:rsidRPr="00A85E0D">
        <w:rPr>
          <w:rFonts w:ascii="Arial" w:hAnsi="Arial" w:cs="Arial"/>
          <w:b/>
          <w:color w:val="000000"/>
        </w:rPr>
        <w:t xml:space="preserve"> § 49 odst. 2 zákona č. 218/</w:t>
      </w:r>
      <w:r w:rsidR="00FA71D4" w:rsidRPr="00A85E0D">
        <w:rPr>
          <w:rFonts w:ascii="Arial" w:hAnsi="Arial" w:cs="Arial"/>
          <w:b/>
          <w:color w:val="000000"/>
        </w:rPr>
        <w:t>2000 Sb.</w:t>
      </w:r>
      <w:r w:rsidR="00FA71D4" w:rsidRPr="00A85E0D">
        <w:rPr>
          <w:rFonts w:ascii="Arial" w:hAnsi="Arial" w:cs="Arial"/>
          <w:color w:val="000000"/>
        </w:rPr>
        <w:t>, které stanoví, že organizační složka státu může poskytovat dodavatelům zálohy nejvýše na období jednoho čtvrtletí a že ke konci běžného rozpočtového roku musí být zálohy až na výjimky vyúčtovány</w:t>
      </w:r>
      <w:r w:rsidR="00FE498E" w:rsidRPr="00A85E0D">
        <w:rPr>
          <w:rFonts w:ascii="Arial" w:hAnsi="Arial" w:cs="Arial"/>
          <w:color w:val="000000"/>
        </w:rPr>
        <w:t xml:space="preserve">. </w:t>
      </w:r>
      <w:r w:rsidR="00FD2F05" w:rsidRPr="00A85E0D">
        <w:rPr>
          <w:rFonts w:ascii="Arial" w:hAnsi="Arial" w:cs="Arial"/>
          <w:b/>
          <w:color w:val="000000"/>
        </w:rPr>
        <w:t>Uvedené</w:t>
      </w:r>
      <w:r w:rsidR="00781AF8" w:rsidRPr="00A85E0D">
        <w:rPr>
          <w:rFonts w:ascii="Arial" w:hAnsi="Arial" w:cs="Arial"/>
          <w:b/>
        </w:rPr>
        <w:t xml:space="preserve"> skutečnosti nasvědčují tomu, že se MF dopustilo porušení rozpočtové kázně ve smyslu zákona č. 218/2000 Sb.</w:t>
      </w:r>
      <w:r w:rsidR="00FA71D4" w:rsidRPr="00A85E0D">
        <w:rPr>
          <w:rFonts w:ascii="Arial" w:hAnsi="Arial" w:cs="Arial"/>
          <w:b/>
        </w:rPr>
        <w:t xml:space="preserve"> v částce</w:t>
      </w:r>
      <w:r w:rsidR="00781AF8" w:rsidRPr="00A85E0D">
        <w:rPr>
          <w:rFonts w:ascii="Arial" w:hAnsi="Arial" w:cs="Arial"/>
          <w:b/>
          <w:bCs/>
        </w:rPr>
        <w:t xml:space="preserve"> </w:t>
      </w:r>
      <w:r w:rsidR="00B63FF8" w:rsidRPr="00A85E0D">
        <w:rPr>
          <w:rFonts w:ascii="Arial" w:hAnsi="Arial" w:cs="Arial"/>
          <w:b/>
          <w:color w:val="000000"/>
        </w:rPr>
        <w:t>248 776 tis.</w:t>
      </w:r>
      <w:r w:rsidR="00781AF8" w:rsidRPr="00A85E0D">
        <w:rPr>
          <w:rFonts w:ascii="Arial" w:hAnsi="Arial" w:cs="Arial"/>
          <w:b/>
          <w:color w:val="000000"/>
        </w:rPr>
        <w:t> Kč.</w:t>
      </w:r>
      <w:r w:rsidR="00D10938" w:rsidRPr="00A85E0D">
        <w:rPr>
          <w:rFonts w:ascii="Arial" w:hAnsi="Arial" w:cs="Arial"/>
          <w:color w:val="000000"/>
        </w:rPr>
        <w:t xml:space="preserve"> </w:t>
      </w:r>
      <w:r w:rsidR="00FA71D4" w:rsidRPr="00A85E0D">
        <w:rPr>
          <w:rFonts w:ascii="Arial" w:hAnsi="Arial" w:cs="Arial"/>
          <w:color w:val="000000"/>
        </w:rPr>
        <w:t>Termíny vyúčtování záloh na období delší než jedno čtvrtletí a na období zasahující do dalšího rozpočtového roku byly stanoveny v </w:t>
      </w:r>
      <w:r w:rsidR="00827DF7" w:rsidRPr="00A85E0D">
        <w:rPr>
          <w:rFonts w:ascii="Arial" w:hAnsi="Arial" w:cs="Arial"/>
          <w:color w:val="000000"/>
        </w:rPr>
        <w:t>d</w:t>
      </w:r>
      <w:r w:rsidR="00FA71D4" w:rsidRPr="00A85E0D">
        <w:rPr>
          <w:rFonts w:ascii="Arial" w:hAnsi="Arial" w:cs="Arial"/>
          <w:color w:val="000000"/>
        </w:rPr>
        <w:t>odatku č. 6 a v </w:t>
      </w:r>
      <w:r w:rsidR="00827DF7" w:rsidRPr="00A85E0D">
        <w:rPr>
          <w:rFonts w:ascii="Arial" w:hAnsi="Arial" w:cs="Arial"/>
          <w:color w:val="000000"/>
        </w:rPr>
        <w:t>d</w:t>
      </w:r>
      <w:r w:rsidR="00FA71D4" w:rsidRPr="00A85E0D">
        <w:rPr>
          <w:rFonts w:ascii="Arial" w:hAnsi="Arial" w:cs="Arial"/>
          <w:color w:val="000000"/>
        </w:rPr>
        <w:t xml:space="preserve">odatku č. 7 </w:t>
      </w:r>
      <w:r w:rsidR="00827DF7" w:rsidRPr="00A85E0D">
        <w:rPr>
          <w:rFonts w:ascii="Arial" w:hAnsi="Arial" w:cs="Arial"/>
          <w:color w:val="000000"/>
        </w:rPr>
        <w:t>s</w:t>
      </w:r>
      <w:r w:rsidR="00FA71D4" w:rsidRPr="00A85E0D">
        <w:rPr>
          <w:rFonts w:ascii="Arial" w:hAnsi="Arial" w:cs="Arial"/>
          <w:color w:val="000000"/>
        </w:rPr>
        <w:t>mlouvy o</w:t>
      </w:r>
      <w:r w:rsidR="0037415F" w:rsidRPr="00A85E0D">
        <w:rPr>
          <w:rFonts w:ascii="Arial" w:hAnsi="Arial" w:cs="Arial"/>
          <w:color w:val="000000"/>
        </w:rPr>
        <w:t> </w:t>
      </w:r>
      <w:r w:rsidR="00FA71D4" w:rsidRPr="00A85E0D">
        <w:rPr>
          <w:rFonts w:ascii="Arial" w:hAnsi="Arial" w:cs="Arial"/>
          <w:color w:val="000000"/>
        </w:rPr>
        <w:t>dodávce IISSP.</w:t>
      </w:r>
      <w:r w:rsidR="00E10C5B" w:rsidRPr="00A85E0D">
        <w:rPr>
          <w:rFonts w:ascii="Arial" w:hAnsi="Arial" w:cs="Arial"/>
          <w:color w:val="000000"/>
        </w:rPr>
        <w:t xml:space="preserve"> </w:t>
      </w:r>
      <w:r w:rsidR="00D10938" w:rsidRPr="008077FC">
        <w:rPr>
          <w:rFonts w:ascii="Arial" w:hAnsi="Arial" w:cs="Arial"/>
          <w:b/>
        </w:rPr>
        <w:t xml:space="preserve">Poskytnutí zálohových plateb </w:t>
      </w:r>
      <w:r w:rsidR="00827DF7" w:rsidRPr="008077FC">
        <w:rPr>
          <w:rFonts w:ascii="Arial" w:hAnsi="Arial" w:cs="Arial"/>
          <w:b/>
        </w:rPr>
        <w:t>d</w:t>
      </w:r>
      <w:r w:rsidR="00D10938" w:rsidRPr="008077FC">
        <w:rPr>
          <w:rFonts w:ascii="Arial" w:hAnsi="Arial" w:cs="Arial"/>
          <w:b/>
        </w:rPr>
        <w:t>odavateli</w:t>
      </w:r>
      <w:r w:rsidR="00B63FF8" w:rsidRPr="008077FC">
        <w:rPr>
          <w:rFonts w:ascii="Arial" w:hAnsi="Arial" w:cs="Arial"/>
          <w:b/>
        </w:rPr>
        <w:t xml:space="preserve"> v částce 159 676 tis.</w:t>
      </w:r>
      <w:r w:rsidR="00554A08" w:rsidRPr="008077FC">
        <w:rPr>
          <w:rFonts w:ascii="Arial" w:hAnsi="Arial" w:cs="Arial"/>
          <w:b/>
        </w:rPr>
        <w:t xml:space="preserve"> Kč </w:t>
      </w:r>
      <w:r w:rsidR="009D7C66" w:rsidRPr="008077FC">
        <w:rPr>
          <w:rFonts w:ascii="Arial" w:hAnsi="Arial" w:cs="Arial"/>
          <w:b/>
        </w:rPr>
        <w:t>nevyúčtovaných k</w:t>
      </w:r>
      <w:r w:rsidR="0037415F" w:rsidRPr="008077FC">
        <w:rPr>
          <w:rFonts w:ascii="Arial" w:hAnsi="Arial" w:cs="Arial"/>
          <w:b/>
        </w:rPr>
        <w:t> </w:t>
      </w:r>
      <w:r w:rsidR="009D7C66" w:rsidRPr="008077FC">
        <w:rPr>
          <w:rFonts w:ascii="Arial" w:hAnsi="Arial" w:cs="Arial"/>
          <w:b/>
        </w:rPr>
        <w:t>31</w:t>
      </w:r>
      <w:r w:rsidR="00554A08" w:rsidRPr="008077FC">
        <w:rPr>
          <w:rFonts w:ascii="Arial" w:hAnsi="Arial" w:cs="Arial"/>
          <w:b/>
        </w:rPr>
        <w:t xml:space="preserve">. </w:t>
      </w:r>
      <w:r w:rsidR="0018169C" w:rsidRPr="008077FC">
        <w:rPr>
          <w:rFonts w:ascii="Arial" w:hAnsi="Arial" w:cs="Arial"/>
          <w:b/>
        </w:rPr>
        <w:t>prosinc</w:t>
      </w:r>
      <w:r w:rsidR="00477FFA" w:rsidRPr="008077FC">
        <w:rPr>
          <w:rFonts w:ascii="Arial" w:hAnsi="Arial" w:cs="Arial"/>
          <w:b/>
        </w:rPr>
        <w:t>i</w:t>
      </w:r>
      <w:r w:rsidR="00554A08" w:rsidRPr="008077FC">
        <w:rPr>
          <w:rFonts w:ascii="Arial" w:hAnsi="Arial" w:cs="Arial"/>
          <w:b/>
        </w:rPr>
        <w:t xml:space="preserve"> 2011 MF neuvedlo v závěrečném účtu kapitoly 312</w:t>
      </w:r>
      <w:r w:rsidR="00F36687">
        <w:rPr>
          <w:rFonts w:ascii="Arial" w:hAnsi="Arial" w:cs="Arial"/>
          <w:b/>
        </w:rPr>
        <w:t> </w:t>
      </w:r>
      <w:r w:rsidR="00554A08" w:rsidRPr="008077FC">
        <w:rPr>
          <w:rFonts w:ascii="Arial" w:hAnsi="Arial" w:cs="Arial"/>
          <w:b/>
          <w:i/>
        </w:rPr>
        <w:t>Ministerstvo financí</w:t>
      </w:r>
      <w:r w:rsidR="00C73066" w:rsidRPr="008077FC">
        <w:rPr>
          <w:rFonts w:ascii="Arial" w:hAnsi="Arial" w:cs="Arial"/>
          <w:b/>
        </w:rPr>
        <w:t xml:space="preserve"> za rok 2011, čímž </w:t>
      </w:r>
      <w:r w:rsidR="009148D7" w:rsidRPr="008077FC">
        <w:rPr>
          <w:rFonts w:ascii="Arial" w:hAnsi="Arial" w:cs="Arial"/>
          <w:b/>
        </w:rPr>
        <w:t xml:space="preserve">nepostupovalo v souladu s </w:t>
      </w:r>
      <w:r w:rsidR="00C73066" w:rsidRPr="008077FC">
        <w:rPr>
          <w:rFonts w:ascii="Arial" w:hAnsi="Arial" w:cs="Arial"/>
          <w:b/>
        </w:rPr>
        <w:t>ustanovení</w:t>
      </w:r>
      <w:r w:rsidR="009148D7" w:rsidRPr="008077FC">
        <w:rPr>
          <w:rFonts w:ascii="Arial" w:hAnsi="Arial" w:cs="Arial"/>
          <w:b/>
        </w:rPr>
        <w:t>m</w:t>
      </w:r>
      <w:r w:rsidR="00554A08" w:rsidRPr="008077FC">
        <w:rPr>
          <w:rFonts w:ascii="Arial" w:hAnsi="Arial" w:cs="Arial"/>
          <w:b/>
        </w:rPr>
        <w:t xml:space="preserve"> § 2 odst. 1 vyhlášky č.</w:t>
      </w:r>
      <w:r w:rsidR="0037415F" w:rsidRPr="008077FC">
        <w:rPr>
          <w:rFonts w:ascii="Arial" w:hAnsi="Arial" w:cs="Arial"/>
          <w:b/>
        </w:rPr>
        <w:t> </w:t>
      </w:r>
      <w:r w:rsidR="00554A08" w:rsidRPr="008077FC">
        <w:rPr>
          <w:rFonts w:ascii="Arial" w:hAnsi="Arial" w:cs="Arial"/>
          <w:b/>
        </w:rPr>
        <w:t>419/2001 Sb.,</w:t>
      </w:r>
      <w:r w:rsidR="00554A08" w:rsidRPr="008077FC">
        <w:rPr>
          <w:rFonts w:ascii="Arial" w:hAnsi="Arial" w:cs="Arial"/>
        </w:rPr>
        <w:t xml:space="preserve"> o rozsahu, struktuře a termínech údajů předkládaných pro vypracování návrhu státního závěrečného účtu</w:t>
      </w:r>
      <w:r w:rsidR="00F23F0D" w:rsidRPr="008077FC">
        <w:rPr>
          <w:rFonts w:ascii="Arial" w:hAnsi="Arial" w:cs="Arial"/>
        </w:rPr>
        <w:t xml:space="preserve"> </w:t>
      </w:r>
      <w:r w:rsidR="00554A08" w:rsidRPr="008077FC">
        <w:rPr>
          <w:rFonts w:ascii="Arial" w:hAnsi="Arial" w:cs="Arial"/>
        </w:rPr>
        <w:t>a o rozsahu a termínech sestavení návrhů závěrečných účtů kapitol státního rozpočtu, ve znění vyhlášky č. 24/2012 Sb.</w:t>
      </w:r>
    </w:p>
    <w:p w:rsidR="0010357F" w:rsidRPr="008077FC" w:rsidRDefault="0010357F" w:rsidP="00B43572">
      <w:pPr>
        <w:spacing w:before="0"/>
        <w:rPr>
          <w:sz w:val="22"/>
          <w:szCs w:val="22"/>
        </w:rPr>
      </w:pPr>
    </w:p>
    <w:p w:rsidR="002C3053" w:rsidRPr="00B43572" w:rsidRDefault="00625B7C" w:rsidP="00B43572">
      <w:pPr>
        <w:spacing w:before="0"/>
        <w:rPr>
          <w:b/>
          <w:sz w:val="22"/>
          <w:szCs w:val="22"/>
        </w:rPr>
      </w:pPr>
      <w:r w:rsidRPr="00B43572">
        <w:rPr>
          <w:b/>
          <w:bCs/>
          <w:iCs/>
          <w:sz w:val="22"/>
          <w:szCs w:val="22"/>
        </w:rPr>
        <w:t xml:space="preserve">3.1.2 </w:t>
      </w:r>
      <w:r w:rsidR="00E249B3" w:rsidRPr="00B43572">
        <w:rPr>
          <w:b/>
          <w:bCs/>
          <w:iCs/>
          <w:sz w:val="22"/>
          <w:szCs w:val="22"/>
        </w:rPr>
        <w:t>Smlouva na poskytování služeb</w:t>
      </w:r>
      <w:r w:rsidR="00DE561D" w:rsidRPr="00B43572">
        <w:rPr>
          <w:b/>
          <w:bCs/>
          <w:iCs/>
          <w:sz w:val="22"/>
          <w:szCs w:val="22"/>
        </w:rPr>
        <w:t xml:space="preserve"> </w:t>
      </w:r>
      <w:r w:rsidR="00583B77" w:rsidRPr="00B43572">
        <w:rPr>
          <w:b/>
          <w:bCs/>
          <w:iCs/>
          <w:sz w:val="22"/>
          <w:szCs w:val="22"/>
        </w:rPr>
        <w:t xml:space="preserve">uzavřená dne </w:t>
      </w:r>
      <w:r w:rsidR="000135CC" w:rsidRPr="00B43572">
        <w:rPr>
          <w:b/>
          <w:bCs/>
          <w:iCs/>
          <w:sz w:val="22"/>
          <w:szCs w:val="22"/>
        </w:rPr>
        <w:t xml:space="preserve">3. </w:t>
      </w:r>
      <w:r w:rsidR="00513BB9" w:rsidRPr="00B43572">
        <w:rPr>
          <w:b/>
          <w:bCs/>
          <w:iCs/>
          <w:sz w:val="22"/>
          <w:szCs w:val="22"/>
        </w:rPr>
        <w:t>listopadu</w:t>
      </w:r>
      <w:r w:rsidR="000135CC" w:rsidRPr="00B43572">
        <w:rPr>
          <w:b/>
          <w:bCs/>
          <w:iCs/>
          <w:sz w:val="22"/>
          <w:szCs w:val="22"/>
        </w:rPr>
        <w:t xml:space="preserve"> 2010</w:t>
      </w:r>
    </w:p>
    <w:p w:rsidR="00B43572" w:rsidRPr="00B43572" w:rsidRDefault="00B43572" w:rsidP="00B43572">
      <w:pPr>
        <w:spacing w:before="0"/>
        <w:rPr>
          <w:bCs/>
          <w:iCs/>
          <w:sz w:val="22"/>
          <w:szCs w:val="22"/>
        </w:rPr>
      </w:pPr>
    </w:p>
    <w:p w:rsidR="00AE072F" w:rsidRPr="00B43572" w:rsidRDefault="00C0767A" w:rsidP="00B43572">
      <w:pPr>
        <w:spacing w:before="0"/>
        <w:rPr>
          <w:bCs/>
          <w:iCs/>
          <w:strike/>
          <w:sz w:val="22"/>
          <w:szCs w:val="22"/>
        </w:rPr>
      </w:pPr>
      <w:r w:rsidRPr="00B43572">
        <w:rPr>
          <w:bCs/>
          <w:iCs/>
          <w:sz w:val="22"/>
          <w:szCs w:val="22"/>
        </w:rPr>
        <w:t xml:space="preserve">MF uzavřelo dne 3. </w:t>
      </w:r>
      <w:r w:rsidR="00513BB9" w:rsidRPr="00B43572">
        <w:rPr>
          <w:bCs/>
          <w:iCs/>
          <w:sz w:val="22"/>
          <w:szCs w:val="22"/>
        </w:rPr>
        <w:t>listopadu</w:t>
      </w:r>
      <w:r w:rsidRPr="00B43572">
        <w:rPr>
          <w:bCs/>
          <w:iCs/>
          <w:sz w:val="22"/>
          <w:szCs w:val="22"/>
        </w:rPr>
        <w:t xml:space="preserve"> 2010 </w:t>
      </w:r>
      <w:r w:rsidR="00827DF7">
        <w:rPr>
          <w:bCs/>
          <w:iCs/>
          <w:sz w:val="22"/>
          <w:szCs w:val="22"/>
        </w:rPr>
        <w:t>s</w:t>
      </w:r>
      <w:r w:rsidR="00264675" w:rsidRPr="00B43572">
        <w:rPr>
          <w:bCs/>
          <w:iCs/>
          <w:sz w:val="22"/>
          <w:szCs w:val="22"/>
        </w:rPr>
        <w:t>mlouvu na poskytování služeb</w:t>
      </w:r>
      <w:r w:rsidRPr="00B43572">
        <w:rPr>
          <w:bCs/>
          <w:iCs/>
          <w:sz w:val="22"/>
          <w:szCs w:val="22"/>
        </w:rPr>
        <w:t xml:space="preserve">. Smlouva byla uzavřena na dobu určitou do 31. </w:t>
      </w:r>
      <w:r w:rsidR="00513BB9" w:rsidRPr="00B43572">
        <w:rPr>
          <w:bCs/>
          <w:iCs/>
          <w:sz w:val="22"/>
          <w:szCs w:val="22"/>
        </w:rPr>
        <w:t>ledna</w:t>
      </w:r>
      <w:r w:rsidRPr="00B43572">
        <w:rPr>
          <w:bCs/>
          <w:iCs/>
          <w:sz w:val="22"/>
          <w:szCs w:val="22"/>
        </w:rPr>
        <w:t xml:space="preserve"> 2011, tj. na dobu 3 měsíců, a sjednaná cena činila 56</w:t>
      </w:r>
      <w:r w:rsidR="0037415F" w:rsidRPr="00B43572">
        <w:rPr>
          <w:bCs/>
          <w:iCs/>
          <w:sz w:val="22"/>
          <w:szCs w:val="22"/>
        </w:rPr>
        <w:t> </w:t>
      </w:r>
      <w:r w:rsidR="00B63FF8" w:rsidRPr="00B43572">
        <w:rPr>
          <w:bCs/>
          <w:iCs/>
          <w:sz w:val="22"/>
          <w:szCs w:val="22"/>
        </w:rPr>
        <w:t>000</w:t>
      </w:r>
      <w:r w:rsidR="0037415F" w:rsidRPr="00B43572">
        <w:rPr>
          <w:bCs/>
          <w:iCs/>
          <w:sz w:val="22"/>
          <w:szCs w:val="22"/>
        </w:rPr>
        <w:t> </w:t>
      </w:r>
      <w:r w:rsidR="00B63FF8" w:rsidRPr="00B43572">
        <w:rPr>
          <w:bCs/>
          <w:iCs/>
          <w:sz w:val="22"/>
          <w:szCs w:val="22"/>
        </w:rPr>
        <w:t>tis.</w:t>
      </w:r>
      <w:r w:rsidR="0037415F" w:rsidRPr="00B43572">
        <w:rPr>
          <w:bCs/>
          <w:iCs/>
          <w:sz w:val="22"/>
          <w:szCs w:val="22"/>
        </w:rPr>
        <w:t> </w:t>
      </w:r>
      <w:r w:rsidRPr="00B43572">
        <w:rPr>
          <w:bCs/>
          <w:iCs/>
          <w:sz w:val="22"/>
          <w:szCs w:val="22"/>
        </w:rPr>
        <w:t>Kč bez DPH.</w:t>
      </w:r>
      <w:r w:rsidR="00A54F31" w:rsidRPr="00B43572">
        <w:rPr>
          <w:bCs/>
          <w:iCs/>
          <w:sz w:val="22"/>
          <w:szCs w:val="22"/>
        </w:rPr>
        <w:t xml:space="preserve"> </w:t>
      </w:r>
      <w:r w:rsidR="004C2E9A" w:rsidRPr="00B43572">
        <w:rPr>
          <w:sz w:val="22"/>
          <w:szCs w:val="22"/>
        </w:rPr>
        <w:t>V rámci</w:t>
      </w:r>
      <w:r w:rsidR="00E10C5B">
        <w:rPr>
          <w:sz w:val="22"/>
          <w:szCs w:val="22"/>
        </w:rPr>
        <w:t xml:space="preserve"> této</w:t>
      </w:r>
      <w:r w:rsidR="004C2E9A" w:rsidRPr="00B43572">
        <w:rPr>
          <w:sz w:val="22"/>
          <w:szCs w:val="22"/>
        </w:rPr>
        <w:t xml:space="preserve"> </w:t>
      </w:r>
      <w:r w:rsidR="00827DF7">
        <w:rPr>
          <w:sz w:val="22"/>
          <w:szCs w:val="22"/>
        </w:rPr>
        <w:t>s</w:t>
      </w:r>
      <w:r w:rsidR="004C2E9A" w:rsidRPr="00B43572">
        <w:rPr>
          <w:sz w:val="22"/>
          <w:szCs w:val="22"/>
        </w:rPr>
        <w:t xml:space="preserve">mlouvy </w:t>
      </w:r>
      <w:r w:rsidR="00827DF7">
        <w:rPr>
          <w:sz w:val="22"/>
          <w:szCs w:val="22"/>
        </w:rPr>
        <w:t>d</w:t>
      </w:r>
      <w:r w:rsidR="00D01EC0" w:rsidRPr="00B43572">
        <w:rPr>
          <w:sz w:val="22"/>
          <w:szCs w:val="22"/>
        </w:rPr>
        <w:t xml:space="preserve">odavatel </w:t>
      </w:r>
      <w:r w:rsidR="00513BB9" w:rsidRPr="00B43572">
        <w:rPr>
          <w:sz w:val="22"/>
          <w:szCs w:val="22"/>
        </w:rPr>
        <w:t>zajišťoval podporu modulů a </w:t>
      </w:r>
      <w:r w:rsidR="004C2E9A" w:rsidRPr="00B43572">
        <w:rPr>
          <w:sz w:val="22"/>
          <w:szCs w:val="22"/>
        </w:rPr>
        <w:t xml:space="preserve">funkcionalit uvedených do </w:t>
      </w:r>
      <w:r w:rsidR="00E10C5B">
        <w:rPr>
          <w:sz w:val="22"/>
          <w:szCs w:val="22"/>
        </w:rPr>
        <w:t>běžného</w:t>
      </w:r>
      <w:r w:rsidR="004C2E9A" w:rsidRPr="00B43572">
        <w:rPr>
          <w:sz w:val="22"/>
          <w:szCs w:val="22"/>
        </w:rPr>
        <w:t xml:space="preserve"> provozu.</w:t>
      </w:r>
      <w:r w:rsidR="00467E77" w:rsidRPr="00B43572">
        <w:rPr>
          <w:bCs/>
          <w:iCs/>
          <w:sz w:val="22"/>
          <w:szCs w:val="22"/>
        </w:rPr>
        <w:t xml:space="preserve"> </w:t>
      </w:r>
      <w:r w:rsidR="008A4DC5" w:rsidRPr="00B43572">
        <w:rPr>
          <w:bCs/>
          <w:iCs/>
          <w:sz w:val="22"/>
          <w:szCs w:val="22"/>
        </w:rPr>
        <w:t xml:space="preserve">Před uzavřením </w:t>
      </w:r>
      <w:r w:rsidR="00827DF7">
        <w:rPr>
          <w:bCs/>
          <w:iCs/>
          <w:sz w:val="22"/>
          <w:szCs w:val="22"/>
        </w:rPr>
        <w:t>s</w:t>
      </w:r>
      <w:r w:rsidR="008A4DC5" w:rsidRPr="00B43572">
        <w:rPr>
          <w:bCs/>
          <w:iCs/>
          <w:sz w:val="22"/>
          <w:szCs w:val="22"/>
        </w:rPr>
        <w:t xml:space="preserve">mlouvy na poskytování služeb ze dne 3. </w:t>
      </w:r>
      <w:r w:rsidR="00513BB9" w:rsidRPr="00B43572">
        <w:rPr>
          <w:bCs/>
          <w:iCs/>
          <w:sz w:val="22"/>
          <w:szCs w:val="22"/>
        </w:rPr>
        <w:t>listopadu</w:t>
      </w:r>
      <w:r w:rsidR="008A4DC5" w:rsidRPr="00B43572">
        <w:rPr>
          <w:bCs/>
          <w:iCs/>
          <w:sz w:val="22"/>
          <w:szCs w:val="22"/>
        </w:rPr>
        <w:t xml:space="preserve"> 2010</w:t>
      </w:r>
      <w:r w:rsidR="00513BB9" w:rsidRPr="00B43572">
        <w:rPr>
          <w:bCs/>
          <w:iCs/>
          <w:sz w:val="22"/>
          <w:szCs w:val="22"/>
        </w:rPr>
        <w:t xml:space="preserve"> </w:t>
      </w:r>
      <w:r w:rsidR="008A4DC5" w:rsidRPr="00B43572">
        <w:rPr>
          <w:b/>
          <w:bCs/>
          <w:iCs/>
          <w:sz w:val="22"/>
          <w:szCs w:val="22"/>
        </w:rPr>
        <w:t>MF neprovedlo zadávací řízení, čímž postupovalo v rozporu</w:t>
      </w:r>
      <w:r w:rsidR="00AE072F" w:rsidRPr="00B43572">
        <w:rPr>
          <w:b/>
          <w:bCs/>
          <w:iCs/>
          <w:sz w:val="22"/>
          <w:szCs w:val="22"/>
        </w:rPr>
        <w:t xml:space="preserve"> se zákonem č. 137/2006 Sb</w:t>
      </w:r>
      <w:r w:rsidR="008A4DC5" w:rsidRPr="00B43572">
        <w:rPr>
          <w:b/>
          <w:bCs/>
          <w:iCs/>
          <w:sz w:val="22"/>
          <w:szCs w:val="22"/>
        </w:rPr>
        <w:t xml:space="preserve">. </w:t>
      </w:r>
      <w:r w:rsidR="00AE072F" w:rsidRPr="00B43572">
        <w:rPr>
          <w:b/>
          <w:bCs/>
          <w:iCs/>
          <w:sz w:val="22"/>
          <w:szCs w:val="22"/>
        </w:rPr>
        <w:t>U</w:t>
      </w:r>
      <w:r w:rsidR="00AE072F" w:rsidRPr="00B43572">
        <w:rPr>
          <w:rFonts w:cs="Times New Roman"/>
          <w:b/>
          <w:sz w:val="22"/>
          <w:szCs w:val="22"/>
        </w:rPr>
        <w:t>vedené skutečnosti nasvědčují tomu, že se MF dopustilo porušení rozpočtové kázně ve smyslu zákona č.</w:t>
      </w:r>
      <w:r w:rsidR="0037415F" w:rsidRPr="00B43572">
        <w:rPr>
          <w:rFonts w:cs="Times New Roman"/>
          <w:b/>
          <w:sz w:val="22"/>
          <w:szCs w:val="22"/>
        </w:rPr>
        <w:t> </w:t>
      </w:r>
      <w:r w:rsidR="00AE072F" w:rsidRPr="00B43572">
        <w:rPr>
          <w:rFonts w:cs="Times New Roman"/>
          <w:b/>
          <w:sz w:val="22"/>
          <w:szCs w:val="22"/>
        </w:rPr>
        <w:t>218/2000</w:t>
      </w:r>
      <w:r w:rsidR="0037415F" w:rsidRPr="00B43572">
        <w:rPr>
          <w:rFonts w:cs="Times New Roman"/>
          <w:b/>
          <w:sz w:val="22"/>
          <w:szCs w:val="22"/>
        </w:rPr>
        <w:t> </w:t>
      </w:r>
      <w:r w:rsidR="00AE072F" w:rsidRPr="00B43572">
        <w:rPr>
          <w:rFonts w:cs="Times New Roman"/>
          <w:b/>
          <w:sz w:val="22"/>
          <w:szCs w:val="22"/>
        </w:rPr>
        <w:t>Sb.</w:t>
      </w:r>
      <w:r w:rsidR="008A4DC5" w:rsidRPr="00B43572">
        <w:rPr>
          <w:rFonts w:cs="Times New Roman"/>
          <w:b/>
          <w:sz w:val="22"/>
          <w:szCs w:val="22"/>
        </w:rPr>
        <w:t xml:space="preserve"> v částce</w:t>
      </w:r>
      <w:r w:rsidR="00C64EA3" w:rsidRPr="00B43572">
        <w:rPr>
          <w:b/>
          <w:bCs/>
          <w:sz w:val="22"/>
          <w:szCs w:val="22"/>
        </w:rPr>
        <w:t xml:space="preserve"> 67 200 tis.</w:t>
      </w:r>
      <w:r w:rsidR="00AE072F" w:rsidRPr="00B43572">
        <w:rPr>
          <w:b/>
          <w:color w:val="000000"/>
          <w:sz w:val="22"/>
          <w:szCs w:val="22"/>
        </w:rPr>
        <w:t> Kč.</w:t>
      </w:r>
    </w:p>
    <w:p w:rsidR="00C0767A" w:rsidRPr="00B43572" w:rsidRDefault="00C0767A" w:rsidP="00B43572">
      <w:pPr>
        <w:spacing w:before="0"/>
        <w:rPr>
          <w:sz w:val="22"/>
          <w:szCs w:val="22"/>
        </w:rPr>
      </w:pPr>
    </w:p>
    <w:p w:rsidR="00C84772" w:rsidRPr="00B43572" w:rsidRDefault="00144BEE" w:rsidP="00B43572">
      <w:pPr>
        <w:spacing w:before="0"/>
        <w:rPr>
          <w:sz w:val="22"/>
          <w:szCs w:val="22"/>
        </w:rPr>
      </w:pPr>
      <w:r w:rsidRPr="00B43572">
        <w:rPr>
          <w:sz w:val="22"/>
          <w:szCs w:val="22"/>
        </w:rPr>
        <w:t xml:space="preserve">Na základě </w:t>
      </w:r>
      <w:r w:rsidR="00827DF7">
        <w:rPr>
          <w:bCs/>
          <w:iCs/>
          <w:sz w:val="22"/>
          <w:szCs w:val="22"/>
        </w:rPr>
        <w:t>s</w:t>
      </w:r>
      <w:r w:rsidRPr="00B43572">
        <w:rPr>
          <w:bCs/>
          <w:iCs/>
          <w:sz w:val="22"/>
          <w:szCs w:val="22"/>
        </w:rPr>
        <w:t xml:space="preserve">mlouvy na poskytování služeb </w:t>
      </w:r>
      <w:r w:rsidR="004201E2" w:rsidRPr="00B43572">
        <w:rPr>
          <w:bCs/>
          <w:iCs/>
          <w:sz w:val="22"/>
          <w:szCs w:val="22"/>
        </w:rPr>
        <w:t>z</w:t>
      </w:r>
      <w:r w:rsidR="009D206E" w:rsidRPr="00B43572">
        <w:rPr>
          <w:bCs/>
          <w:iCs/>
          <w:sz w:val="22"/>
          <w:szCs w:val="22"/>
        </w:rPr>
        <w:t>e dne</w:t>
      </w:r>
      <w:r w:rsidR="004201E2" w:rsidRPr="00B43572">
        <w:rPr>
          <w:bCs/>
          <w:iCs/>
          <w:sz w:val="22"/>
          <w:szCs w:val="22"/>
        </w:rPr>
        <w:t xml:space="preserve"> 3. </w:t>
      </w:r>
      <w:r w:rsidR="00513BB9" w:rsidRPr="00B43572">
        <w:rPr>
          <w:bCs/>
          <w:iCs/>
          <w:sz w:val="22"/>
          <w:szCs w:val="22"/>
        </w:rPr>
        <w:t>listopadu</w:t>
      </w:r>
      <w:r w:rsidR="004201E2" w:rsidRPr="00B43572">
        <w:rPr>
          <w:bCs/>
          <w:iCs/>
          <w:sz w:val="22"/>
          <w:szCs w:val="22"/>
        </w:rPr>
        <w:t xml:space="preserve"> 2010 MF uhradilo </w:t>
      </w:r>
      <w:r w:rsidR="00827DF7">
        <w:rPr>
          <w:bCs/>
          <w:iCs/>
          <w:sz w:val="22"/>
          <w:szCs w:val="22"/>
        </w:rPr>
        <w:t>d</w:t>
      </w:r>
      <w:r w:rsidR="004201E2" w:rsidRPr="00B43572">
        <w:rPr>
          <w:sz w:val="22"/>
          <w:szCs w:val="22"/>
        </w:rPr>
        <w:t>odavateli</w:t>
      </w:r>
      <w:r w:rsidRPr="00B43572">
        <w:rPr>
          <w:sz w:val="22"/>
          <w:szCs w:val="22"/>
        </w:rPr>
        <w:t xml:space="preserve"> služby v celkové výši </w:t>
      </w:r>
      <w:r w:rsidR="00C64EA3" w:rsidRPr="00B43572">
        <w:rPr>
          <w:bCs/>
          <w:color w:val="000000"/>
          <w:sz w:val="22"/>
          <w:szCs w:val="22"/>
        </w:rPr>
        <w:t>67 200 tis.</w:t>
      </w:r>
      <w:r w:rsidRPr="00B43572">
        <w:rPr>
          <w:bCs/>
          <w:color w:val="000000"/>
          <w:sz w:val="22"/>
          <w:szCs w:val="22"/>
        </w:rPr>
        <w:t xml:space="preserve"> </w:t>
      </w:r>
      <w:r w:rsidRPr="00B43572">
        <w:rPr>
          <w:bCs/>
          <w:color w:val="000000"/>
          <w:sz w:val="22"/>
          <w:szCs w:val="22"/>
          <w:lang w:eastAsia="cs-CZ"/>
        </w:rPr>
        <w:t>Kč</w:t>
      </w:r>
      <w:r w:rsidR="00467E77" w:rsidRPr="00B43572">
        <w:rPr>
          <w:sz w:val="22"/>
          <w:szCs w:val="22"/>
        </w:rPr>
        <w:t xml:space="preserve">. </w:t>
      </w:r>
      <w:r w:rsidR="00C84772" w:rsidRPr="00B43572">
        <w:rPr>
          <w:b/>
          <w:color w:val="000000"/>
          <w:sz w:val="22"/>
          <w:szCs w:val="22"/>
        </w:rPr>
        <w:t>MF nepostupovalo v souladu s</w:t>
      </w:r>
      <w:r w:rsidR="00F23F0D" w:rsidRPr="00B43572">
        <w:rPr>
          <w:b/>
          <w:color w:val="000000"/>
          <w:sz w:val="22"/>
          <w:szCs w:val="22"/>
        </w:rPr>
        <w:t> </w:t>
      </w:r>
      <w:r w:rsidR="00C84772" w:rsidRPr="00B43572">
        <w:rPr>
          <w:b/>
          <w:color w:val="000000"/>
          <w:sz w:val="22"/>
          <w:szCs w:val="22"/>
        </w:rPr>
        <w:t>vyhláškou</w:t>
      </w:r>
      <w:r w:rsidR="00F23F0D" w:rsidRPr="00B43572">
        <w:rPr>
          <w:b/>
          <w:color w:val="000000"/>
          <w:sz w:val="22"/>
          <w:szCs w:val="22"/>
        </w:rPr>
        <w:t xml:space="preserve"> </w:t>
      </w:r>
      <w:r w:rsidR="00C84772" w:rsidRPr="00B43572">
        <w:rPr>
          <w:b/>
          <w:color w:val="000000"/>
          <w:sz w:val="22"/>
          <w:szCs w:val="22"/>
        </w:rPr>
        <w:t>č.</w:t>
      </w:r>
      <w:r w:rsidR="0037415F" w:rsidRPr="00B43572">
        <w:rPr>
          <w:b/>
          <w:color w:val="000000"/>
          <w:sz w:val="22"/>
          <w:szCs w:val="22"/>
        </w:rPr>
        <w:t> </w:t>
      </w:r>
      <w:r w:rsidR="00C84772" w:rsidRPr="00B43572">
        <w:rPr>
          <w:b/>
          <w:color w:val="000000"/>
          <w:sz w:val="22"/>
          <w:szCs w:val="22"/>
        </w:rPr>
        <w:t>323/2002 Sb.,</w:t>
      </w:r>
      <w:r w:rsidR="00602A6E" w:rsidRPr="00B43572">
        <w:rPr>
          <w:b/>
          <w:color w:val="000000"/>
          <w:sz w:val="22"/>
          <w:szCs w:val="22"/>
        </w:rPr>
        <w:t xml:space="preserve"> o rozpočtové skladbě,</w:t>
      </w:r>
      <w:r w:rsidR="00C64EA3" w:rsidRPr="00B43572">
        <w:rPr>
          <w:b/>
          <w:color w:val="000000"/>
          <w:sz w:val="22"/>
          <w:szCs w:val="22"/>
        </w:rPr>
        <w:t xml:space="preserve"> když </w:t>
      </w:r>
      <w:r w:rsidR="00DE25A4" w:rsidRPr="00B43572">
        <w:rPr>
          <w:b/>
          <w:color w:val="000000"/>
          <w:sz w:val="22"/>
          <w:szCs w:val="22"/>
        </w:rPr>
        <w:t xml:space="preserve">jeden z </w:t>
      </w:r>
      <w:r w:rsidR="00C64EA3" w:rsidRPr="00B43572">
        <w:rPr>
          <w:b/>
          <w:color w:val="000000"/>
          <w:sz w:val="22"/>
          <w:szCs w:val="22"/>
        </w:rPr>
        <w:t>výdaj</w:t>
      </w:r>
      <w:r w:rsidR="00DE25A4" w:rsidRPr="00B43572">
        <w:rPr>
          <w:b/>
          <w:color w:val="000000"/>
          <w:sz w:val="22"/>
          <w:szCs w:val="22"/>
        </w:rPr>
        <w:t>ů</w:t>
      </w:r>
      <w:r w:rsidR="00C64EA3" w:rsidRPr="00B43572">
        <w:rPr>
          <w:b/>
          <w:color w:val="000000"/>
          <w:sz w:val="22"/>
          <w:szCs w:val="22"/>
        </w:rPr>
        <w:t xml:space="preserve"> ve výši 52 800 tis.</w:t>
      </w:r>
      <w:r w:rsidR="00827DF7">
        <w:rPr>
          <w:b/>
          <w:color w:val="000000"/>
          <w:sz w:val="22"/>
          <w:szCs w:val="22"/>
        </w:rPr>
        <w:t> </w:t>
      </w:r>
      <w:r w:rsidR="00C84772" w:rsidRPr="00B43572">
        <w:rPr>
          <w:b/>
          <w:color w:val="000000"/>
          <w:sz w:val="22"/>
          <w:szCs w:val="22"/>
        </w:rPr>
        <w:t xml:space="preserve">Kč uskutečněný na základě plnění </w:t>
      </w:r>
      <w:r w:rsidR="00827DF7">
        <w:rPr>
          <w:b/>
          <w:color w:val="000000"/>
          <w:sz w:val="22"/>
          <w:szCs w:val="22"/>
        </w:rPr>
        <w:t>s</w:t>
      </w:r>
      <w:r w:rsidR="00C84772" w:rsidRPr="00B43572">
        <w:rPr>
          <w:b/>
          <w:color w:val="000000"/>
          <w:sz w:val="22"/>
          <w:szCs w:val="22"/>
        </w:rPr>
        <w:t xml:space="preserve">mlouvy na poskytování služeb </w:t>
      </w:r>
      <w:r w:rsidR="00DD44D9" w:rsidRPr="00B43572">
        <w:rPr>
          <w:b/>
          <w:color w:val="000000"/>
          <w:sz w:val="22"/>
          <w:szCs w:val="22"/>
        </w:rPr>
        <w:t>ze dne 3.</w:t>
      </w:r>
      <w:r w:rsidR="00513BB9" w:rsidRPr="00B43572">
        <w:rPr>
          <w:b/>
          <w:color w:val="000000"/>
          <w:sz w:val="22"/>
          <w:szCs w:val="22"/>
        </w:rPr>
        <w:t> listopadu </w:t>
      </w:r>
      <w:r w:rsidR="00DD44D9" w:rsidRPr="00B43572">
        <w:rPr>
          <w:b/>
          <w:color w:val="000000"/>
          <w:sz w:val="22"/>
          <w:szCs w:val="22"/>
        </w:rPr>
        <w:t xml:space="preserve">2010 </w:t>
      </w:r>
      <w:r w:rsidR="00C84772" w:rsidRPr="00B43572">
        <w:rPr>
          <w:b/>
          <w:color w:val="000000"/>
          <w:sz w:val="22"/>
          <w:szCs w:val="22"/>
        </w:rPr>
        <w:t xml:space="preserve">zatřídilo na položku rozpočtové skladby </w:t>
      </w:r>
      <w:r w:rsidR="00C84772" w:rsidRPr="00B43572">
        <w:rPr>
          <w:b/>
          <w:sz w:val="22"/>
          <w:szCs w:val="22"/>
        </w:rPr>
        <w:t>6111</w:t>
      </w:r>
      <w:r w:rsidR="00513BB9" w:rsidRPr="00B43572">
        <w:rPr>
          <w:b/>
          <w:sz w:val="22"/>
          <w:szCs w:val="22"/>
        </w:rPr>
        <w:t xml:space="preserve"> –</w:t>
      </w:r>
      <w:r w:rsidR="00C84772" w:rsidRPr="00B43572">
        <w:rPr>
          <w:b/>
          <w:sz w:val="22"/>
          <w:szCs w:val="22"/>
        </w:rPr>
        <w:t xml:space="preserve"> </w:t>
      </w:r>
      <w:r w:rsidR="00C84772" w:rsidRPr="00B43572">
        <w:rPr>
          <w:b/>
          <w:i/>
          <w:sz w:val="22"/>
          <w:szCs w:val="22"/>
        </w:rPr>
        <w:t>Programové vybavení</w:t>
      </w:r>
      <w:r w:rsidR="00C84772" w:rsidRPr="00B43572">
        <w:rPr>
          <w:b/>
          <w:sz w:val="22"/>
          <w:szCs w:val="22"/>
        </w:rPr>
        <w:t>, přes</w:t>
      </w:r>
      <w:r w:rsidR="00C2075E" w:rsidRPr="00B43572">
        <w:rPr>
          <w:b/>
          <w:sz w:val="22"/>
          <w:szCs w:val="22"/>
        </w:rPr>
        <w:t>tože předmětem plnění smlouvy byly služby</w:t>
      </w:r>
      <w:r w:rsidR="00DB6279" w:rsidRPr="00B43572">
        <w:rPr>
          <w:b/>
          <w:sz w:val="22"/>
          <w:szCs w:val="22"/>
        </w:rPr>
        <w:t>, a</w:t>
      </w:r>
      <w:r w:rsidR="00C2075E" w:rsidRPr="00B43572">
        <w:rPr>
          <w:b/>
          <w:sz w:val="22"/>
          <w:szCs w:val="22"/>
        </w:rPr>
        <w:t xml:space="preserve"> nikoli</w:t>
      </w:r>
      <w:r w:rsidR="00C84772" w:rsidRPr="00B43572">
        <w:rPr>
          <w:b/>
          <w:sz w:val="22"/>
          <w:szCs w:val="22"/>
        </w:rPr>
        <w:t xml:space="preserve"> pořízení programového vybavení.</w:t>
      </w:r>
      <w:r w:rsidR="00C84772" w:rsidRPr="00B43572">
        <w:rPr>
          <w:sz w:val="22"/>
          <w:szCs w:val="22"/>
        </w:rPr>
        <w:t xml:space="preserve"> </w:t>
      </w:r>
      <w:r w:rsidR="00C84772" w:rsidRPr="00B43572">
        <w:rPr>
          <w:bCs/>
          <w:iCs/>
          <w:sz w:val="22"/>
          <w:szCs w:val="22"/>
        </w:rPr>
        <w:t xml:space="preserve">V důsledku této skutečnosti MF </w:t>
      </w:r>
      <w:r w:rsidR="00EB7F28" w:rsidRPr="00B43572">
        <w:rPr>
          <w:bCs/>
          <w:iCs/>
          <w:sz w:val="22"/>
          <w:szCs w:val="22"/>
        </w:rPr>
        <w:t xml:space="preserve">též </w:t>
      </w:r>
      <w:r w:rsidR="00C84772" w:rsidRPr="00B43572">
        <w:rPr>
          <w:sz w:val="22"/>
          <w:szCs w:val="22"/>
        </w:rPr>
        <w:t xml:space="preserve">ve </w:t>
      </w:r>
      <w:r w:rsidR="00827DF7">
        <w:rPr>
          <w:sz w:val="22"/>
          <w:szCs w:val="22"/>
        </w:rPr>
        <w:t>v</w:t>
      </w:r>
      <w:r w:rsidR="00C84772" w:rsidRPr="00B43572">
        <w:rPr>
          <w:sz w:val="22"/>
          <w:szCs w:val="22"/>
        </w:rPr>
        <w:t>ýkazu pro hodnocení plnění rozpočtu správců kapitol k 31. </w:t>
      </w:r>
      <w:r w:rsidR="00513BB9" w:rsidRPr="00B43572">
        <w:rPr>
          <w:sz w:val="22"/>
          <w:szCs w:val="22"/>
        </w:rPr>
        <w:t>prosinci</w:t>
      </w:r>
      <w:r w:rsidR="00C84772" w:rsidRPr="00B43572">
        <w:rPr>
          <w:sz w:val="22"/>
          <w:szCs w:val="22"/>
        </w:rPr>
        <w:t> 2010 n</w:t>
      </w:r>
      <w:r w:rsidR="00C84772" w:rsidRPr="00B43572">
        <w:rPr>
          <w:color w:val="000000"/>
          <w:sz w:val="22"/>
          <w:szCs w:val="22"/>
        </w:rPr>
        <w:t xml:space="preserve">adhodnotilo výdaje vykázané </w:t>
      </w:r>
      <w:r w:rsidR="00E10C5B">
        <w:rPr>
          <w:color w:val="000000"/>
          <w:sz w:val="22"/>
          <w:szCs w:val="22"/>
        </w:rPr>
        <w:t>na</w:t>
      </w:r>
      <w:r w:rsidR="00C84772" w:rsidRPr="00B43572">
        <w:rPr>
          <w:color w:val="000000"/>
          <w:sz w:val="22"/>
          <w:szCs w:val="22"/>
        </w:rPr>
        <w:t xml:space="preserve"> polož</w:t>
      </w:r>
      <w:r w:rsidR="00E10C5B">
        <w:rPr>
          <w:color w:val="000000"/>
          <w:sz w:val="22"/>
          <w:szCs w:val="22"/>
        </w:rPr>
        <w:t>ce</w:t>
      </w:r>
      <w:r w:rsidR="00C84772" w:rsidRPr="00B43572">
        <w:rPr>
          <w:color w:val="000000"/>
          <w:sz w:val="22"/>
          <w:szCs w:val="22"/>
        </w:rPr>
        <w:t xml:space="preserve"> rozpočtové skladby 6111 – </w:t>
      </w:r>
      <w:r w:rsidR="00C84772" w:rsidRPr="00B43572">
        <w:rPr>
          <w:i/>
          <w:sz w:val="22"/>
          <w:szCs w:val="22"/>
        </w:rPr>
        <w:t>Programové vybavení</w:t>
      </w:r>
      <w:r w:rsidR="00C64EA3" w:rsidRPr="00B43572">
        <w:rPr>
          <w:color w:val="000000"/>
          <w:sz w:val="22"/>
          <w:szCs w:val="22"/>
        </w:rPr>
        <w:t xml:space="preserve"> o 52 800 tis.</w:t>
      </w:r>
      <w:r w:rsidR="00C84772" w:rsidRPr="00B43572">
        <w:rPr>
          <w:color w:val="000000"/>
          <w:sz w:val="22"/>
          <w:szCs w:val="22"/>
        </w:rPr>
        <w:t xml:space="preserve"> Kč a o stejnou částku podhodnotilo položku rozpočtové skladby 5169 – </w:t>
      </w:r>
      <w:r w:rsidR="00C84772" w:rsidRPr="00B43572">
        <w:rPr>
          <w:i/>
          <w:color w:val="000000"/>
          <w:sz w:val="22"/>
          <w:szCs w:val="22"/>
        </w:rPr>
        <w:t>Nákup ostatních služeb</w:t>
      </w:r>
      <w:r w:rsidR="00C84772" w:rsidRPr="00B43572">
        <w:rPr>
          <w:color w:val="000000"/>
          <w:sz w:val="22"/>
          <w:szCs w:val="22"/>
        </w:rPr>
        <w:t>.</w:t>
      </w:r>
      <w:r w:rsidR="007C1D46" w:rsidRPr="00B43572">
        <w:rPr>
          <w:color w:val="000000"/>
          <w:sz w:val="22"/>
          <w:szCs w:val="22"/>
        </w:rPr>
        <w:t xml:space="preserve"> </w:t>
      </w:r>
      <w:r w:rsidR="00C84772" w:rsidRPr="00B43572">
        <w:rPr>
          <w:b/>
          <w:color w:val="000000"/>
          <w:sz w:val="22"/>
          <w:szCs w:val="22"/>
        </w:rPr>
        <w:t xml:space="preserve">V návaznosti na zatřídění výdaje na nesprávnou položku rozpočtové skladby MF nesprávně vykázalo </w:t>
      </w:r>
      <w:r w:rsidR="00C84772" w:rsidRPr="00B43572">
        <w:rPr>
          <w:b/>
          <w:color w:val="000000"/>
          <w:sz w:val="22"/>
          <w:szCs w:val="22"/>
        </w:rPr>
        <w:lastRenderedPageBreak/>
        <w:t>na majetkovém účtu 013</w:t>
      </w:r>
      <w:r w:rsidR="00DC0B39" w:rsidRPr="00B43572">
        <w:rPr>
          <w:b/>
          <w:color w:val="000000"/>
          <w:sz w:val="22"/>
          <w:szCs w:val="22"/>
        </w:rPr>
        <w:t xml:space="preserve"> </w:t>
      </w:r>
      <w:r w:rsidR="00513BB9" w:rsidRPr="00B43572">
        <w:rPr>
          <w:b/>
          <w:color w:val="000000"/>
          <w:sz w:val="22"/>
          <w:szCs w:val="22"/>
        </w:rPr>
        <w:t>–</w:t>
      </w:r>
      <w:r w:rsidR="00C84772" w:rsidRPr="00B43572">
        <w:rPr>
          <w:b/>
          <w:color w:val="000000"/>
          <w:sz w:val="22"/>
          <w:szCs w:val="22"/>
        </w:rPr>
        <w:t xml:space="preserve"> </w:t>
      </w:r>
      <w:r w:rsidR="00C84772" w:rsidRPr="00B43572">
        <w:rPr>
          <w:b/>
          <w:i/>
          <w:color w:val="000000"/>
          <w:sz w:val="22"/>
          <w:szCs w:val="22"/>
        </w:rPr>
        <w:t>Software</w:t>
      </w:r>
      <w:r w:rsidR="00C84772" w:rsidRPr="00B43572">
        <w:rPr>
          <w:b/>
          <w:color w:val="000000"/>
          <w:sz w:val="22"/>
          <w:szCs w:val="22"/>
        </w:rPr>
        <w:t xml:space="preserve"> k 31. </w:t>
      </w:r>
      <w:r w:rsidR="00513BB9" w:rsidRPr="00B43572">
        <w:rPr>
          <w:b/>
          <w:color w:val="000000"/>
          <w:sz w:val="22"/>
          <w:szCs w:val="22"/>
        </w:rPr>
        <w:t>prosinci 2010 a k 31. prosinci</w:t>
      </w:r>
      <w:r w:rsidR="00C64EA3" w:rsidRPr="00B43572">
        <w:rPr>
          <w:b/>
          <w:color w:val="000000"/>
          <w:sz w:val="22"/>
          <w:szCs w:val="22"/>
        </w:rPr>
        <w:t xml:space="preserve"> 2011 majetek ve výši 52 800 tis.</w:t>
      </w:r>
      <w:r w:rsidR="00C84772" w:rsidRPr="00B43572">
        <w:rPr>
          <w:b/>
          <w:color w:val="000000"/>
          <w:sz w:val="22"/>
          <w:szCs w:val="22"/>
        </w:rPr>
        <w:t xml:space="preserve"> Kč</w:t>
      </w:r>
      <w:r w:rsidR="007B26B4" w:rsidRPr="00B43572">
        <w:rPr>
          <w:b/>
          <w:color w:val="000000"/>
          <w:sz w:val="22"/>
          <w:szCs w:val="22"/>
        </w:rPr>
        <w:t xml:space="preserve">, a tím o tuto částku nadhodnotilo položku rozvahy </w:t>
      </w:r>
      <w:proofErr w:type="gramStart"/>
      <w:r w:rsidR="007B26B4" w:rsidRPr="0041595D">
        <w:rPr>
          <w:b/>
          <w:color w:val="000000"/>
          <w:sz w:val="22"/>
          <w:szCs w:val="22"/>
        </w:rPr>
        <w:t>A.I.</w:t>
      </w:r>
      <w:proofErr w:type="gramEnd"/>
      <w:r w:rsidR="0051200D">
        <w:rPr>
          <w:b/>
          <w:color w:val="000000"/>
          <w:sz w:val="22"/>
          <w:szCs w:val="22"/>
        </w:rPr>
        <w:t> </w:t>
      </w:r>
      <w:r w:rsidR="007B26B4" w:rsidRPr="00B43572">
        <w:rPr>
          <w:b/>
          <w:i/>
          <w:color w:val="000000"/>
          <w:sz w:val="22"/>
          <w:szCs w:val="22"/>
        </w:rPr>
        <w:t>Dlouhodobý nehmotný majetek</w:t>
      </w:r>
      <w:r w:rsidR="007B26B4" w:rsidRPr="00B43572">
        <w:rPr>
          <w:b/>
          <w:color w:val="000000"/>
          <w:sz w:val="22"/>
          <w:szCs w:val="22"/>
        </w:rPr>
        <w:t>.</w:t>
      </w:r>
    </w:p>
    <w:p w:rsidR="001F4153" w:rsidRPr="00B43572" w:rsidRDefault="001F4153" w:rsidP="00B43572">
      <w:pPr>
        <w:spacing w:before="0"/>
        <w:rPr>
          <w:bCs/>
          <w:iCs/>
          <w:sz w:val="22"/>
          <w:szCs w:val="22"/>
        </w:rPr>
      </w:pPr>
    </w:p>
    <w:p w:rsidR="0055227C" w:rsidRPr="00B43572" w:rsidRDefault="0002110C" w:rsidP="00B43572">
      <w:pPr>
        <w:spacing w:before="0"/>
        <w:rPr>
          <w:b/>
          <w:sz w:val="22"/>
          <w:szCs w:val="22"/>
          <w:vertAlign w:val="superscript"/>
        </w:rPr>
      </w:pPr>
      <w:r w:rsidRPr="00B43572">
        <w:rPr>
          <w:b/>
          <w:sz w:val="22"/>
          <w:szCs w:val="22"/>
        </w:rPr>
        <w:t>3</w:t>
      </w:r>
      <w:r w:rsidR="0055227C" w:rsidRPr="00B43572">
        <w:rPr>
          <w:b/>
          <w:sz w:val="22"/>
          <w:szCs w:val="22"/>
        </w:rPr>
        <w:t>.2 Akce č. 5</w:t>
      </w:r>
      <w:r w:rsidR="005B0BB1" w:rsidRPr="00B43572">
        <w:rPr>
          <w:b/>
          <w:sz w:val="22"/>
          <w:szCs w:val="22"/>
        </w:rPr>
        <w:t xml:space="preserve"> – </w:t>
      </w:r>
      <w:r w:rsidR="005B0BB1" w:rsidRPr="0041595D">
        <w:rPr>
          <w:b/>
          <w:i/>
          <w:sz w:val="22"/>
          <w:szCs w:val="22"/>
        </w:rPr>
        <w:t>Služby manažera projektu pro realizaci ISSP</w:t>
      </w:r>
      <w:r w:rsidR="00511726" w:rsidRPr="00B43572">
        <w:rPr>
          <w:b/>
          <w:sz w:val="22"/>
          <w:szCs w:val="22"/>
          <w:vertAlign w:val="superscript"/>
        </w:rPr>
        <w:t>3</w:t>
      </w:r>
    </w:p>
    <w:p w:rsidR="00B43572" w:rsidRPr="00B43572" w:rsidRDefault="00B43572" w:rsidP="00B43572">
      <w:pPr>
        <w:spacing w:before="0"/>
        <w:rPr>
          <w:sz w:val="22"/>
          <w:szCs w:val="22"/>
        </w:rPr>
      </w:pPr>
    </w:p>
    <w:p w:rsidR="00D11F52" w:rsidRDefault="006D42DB" w:rsidP="00B43572">
      <w:pPr>
        <w:spacing w:before="0"/>
        <w:rPr>
          <w:sz w:val="22"/>
          <w:szCs w:val="22"/>
        </w:rPr>
      </w:pPr>
      <w:r w:rsidRPr="00B43572">
        <w:rPr>
          <w:sz w:val="22"/>
          <w:szCs w:val="22"/>
        </w:rPr>
        <w:t xml:space="preserve">V rámci akce č. 5 </w:t>
      </w:r>
      <w:r w:rsidR="00E10C5B" w:rsidRPr="00B43572">
        <w:rPr>
          <w:sz w:val="22"/>
          <w:szCs w:val="22"/>
        </w:rPr>
        <w:t xml:space="preserve">uzavřelo </w:t>
      </w:r>
      <w:r w:rsidRPr="00B43572">
        <w:rPr>
          <w:sz w:val="22"/>
          <w:szCs w:val="22"/>
        </w:rPr>
        <w:t>MF čtyři s</w:t>
      </w:r>
      <w:r w:rsidR="002767BC" w:rsidRPr="00B43572">
        <w:rPr>
          <w:sz w:val="22"/>
          <w:szCs w:val="22"/>
        </w:rPr>
        <w:t>mluvní vztahy se třemi</w:t>
      </w:r>
      <w:r w:rsidR="00E10C5B">
        <w:rPr>
          <w:bCs/>
          <w:iCs/>
          <w:sz w:val="22"/>
          <w:szCs w:val="22"/>
        </w:rPr>
        <w:t xml:space="preserve"> </w:t>
      </w:r>
      <w:r w:rsidR="008F3C0D" w:rsidRPr="00B43572">
        <w:rPr>
          <w:bCs/>
          <w:iCs/>
          <w:sz w:val="22"/>
          <w:szCs w:val="22"/>
        </w:rPr>
        <w:t xml:space="preserve">dodavateli. </w:t>
      </w:r>
      <w:r w:rsidR="008472C5" w:rsidRPr="00B43572">
        <w:rPr>
          <w:bCs/>
          <w:iCs/>
          <w:sz w:val="22"/>
          <w:szCs w:val="22"/>
        </w:rPr>
        <w:t xml:space="preserve">Výdaje realizované </w:t>
      </w:r>
      <w:r w:rsidR="008472C5" w:rsidRPr="00B43572">
        <w:rPr>
          <w:sz w:val="22"/>
          <w:szCs w:val="22"/>
        </w:rPr>
        <w:t xml:space="preserve">v letech 2008 až 2011 </w:t>
      </w:r>
      <w:r w:rsidR="008472C5" w:rsidRPr="00B43572">
        <w:rPr>
          <w:bCs/>
          <w:iCs/>
          <w:sz w:val="22"/>
          <w:szCs w:val="22"/>
        </w:rPr>
        <w:t xml:space="preserve">v rámci těchto smluv činily </w:t>
      </w:r>
      <w:r w:rsidR="002768A7" w:rsidRPr="00B43572">
        <w:rPr>
          <w:sz w:val="22"/>
          <w:szCs w:val="22"/>
        </w:rPr>
        <w:t>65 922 tis.</w:t>
      </w:r>
      <w:r w:rsidR="008472C5" w:rsidRPr="00B43572">
        <w:rPr>
          <w:sz w:val="22"/>
          <w:szCs w:val="22"/>
        </w:rPr>
        <w:t xml:space="preserve"> Kč.</w:t>
      </w:r>
      <w:r w:rsidR="008472C5" w:rsidRPr="00B43572">
        <w:rPr>
          <w:bCs/>
          <w:iCs/>
          <w:sz w:val="22"/>
          <w:szCs w:val="22"/>
        </w:rPr>
        <w:t xml:space="preserve"> </w:t>
      </w:r>
      <w:r w:rsidR="008F3C0D" w:rsidRPr="00B43572">
        <w:rPr>
          <w:bCs/>
          <w:iCs/>
          <w:sz w:val="22"/>
          <w:szCs w:val="22"/>
        </w:rPr>
        <w:t>Předmětem smluv bylo zejména provedení expertní činnosti pro dopracování specifikace rozpočtového informačního systému,</w:t>
      </w:r>
      <w:r w:rsidR="00910228" w:rsidRPr="00B43572">
        <w:rPr>
          <w:sz w:val="22"/>
          <w:szCs w:val="22"/>
        </w:rPr>
        <w:t xml:space="preserve"> provedení bezpečnostní analýzy a služby architekta infrastruktury IISSP,</w:t>
      </w:r>
      <w:r w:rsidR="008F3C0D" w:rsidRPr="00B43572">
        <w:rPr>
          <w:bCs/>
          <w:iCs/>
          <w:sz w:val="22"/>
          <w:szCs w:val="22"/>
        </w:rPr>
        <w:t xml:space="preserve"> </w:t>
      </w:r>
      <w:r w:rsidR="008F3C0D" w:rsidRPr="00B43572">
        <w:rPr>
          <w:sz w:val="22"/>
          <w:szCs w:val="22"/>
        </w:rPr>
        <w:t>služby manažera projektu pro realizaci projektu IISSP</w:t>
      </w:r>
      <w:r w:rsidR="00910228" w:rsidRPr="00B43572">
        <w:rPr>
          <w:sz w:val="22"/>
          <w:szCs w:val="22"/>
        </w:rPr>
        <w:t>, tj. například služby v oblastech integračního, projektového a procesního řízení, projektového plánování, řízení požadavků a</w:t>
      </w:r>
      <w:r w:rsidR="00E10C5B">
        <w:rPr>
          <w:sz w:val="22"/>
          <w:szCs w:val="22"/>
        </w:rPr>
        <w:t> </w:t>
      </w:r>
      <w:r w:rsidR="00910228" w:rsidRPr="00B43572">
        <w:rPr>
          <w:sz w:val="22"/>
          <w:szCs w:val="22"/>
        </w:rPr>
        <w:t>změn, řízení kvality a rizik.</w:t>
      </w:r>
      <w:r w:rsidR="008F3C0D" w:rsidRPr="00B43572">
        <w:rPr>
          <w:sz w:val="22"/>
          <w:szCs w:val="22"/>
        </w:rPr>
        <w:t xml:space="preserve"> </w:t>
      </w:r>
      <w:r w:rsidR="008472C5" w:rsidRPr="00B43572">
        <w:rPr>
          <w:sz w:val="22"/>
          <w:szCs w:val="22"/>
        </w:rPr>
        <w:t xml:space="preserve">MF uzavřelo </w:t>
      </w:r>
      <w:r w:rsidR="00E10C5B">
        <w:rPr>
          <w:sz w:val="22"/>
          <w:szCs w:val="22"/>
        </w:rPr>
        <w:t>s</w:t>
      </w:r>
      <w:r w:rsidR="00467E77" w:rsidRPr="00B43572">
        <w:rPr>
          <w:sz w:val="22"/>
          <w:szCs w:val="22"/>
        </w:rPr>
        <w:t>mlouvu na poskytování služeb</w:t>
      </w:r>
      <w:r w:rsidR="008472C5" w:rsidRPr="00B43572">
        <w:rPr>
          <w:sz w:val="22"/>
          <w:szCs w:val="22"/>
        </w:rPr>
        <w:t xml:space="preserve"> </w:t>
      </w:r>
      <w:r w:rsidR="008F3C0D" w:rsidRPr="00B43572">
        <w:rPr>
          <w:sz w:val="22"/>
          <w:szCs w:val="22"/>
        </w:rPr>
        <w:t xml:space="preserve">dne 22. </w:t>
      </w:r>
      <w:r w:rsidR="005C638A" w:rsidRPr="00B43572">
        <w:rPr>
          <w:sz w:val="22"/>
          <w:szCs w:val="22"/>
        </w:rPr>
        <w:t>května</w:t>
      </w:r>
      <w:r w:rsidR="008F3C0D" w:rsidRPr="00B43572">
        <w:rPr>
          <w:sz w:val="22"/>
          <w:szCs w:val="22"/>
        </w:rPr>
        <w:t xml:space="preserve"> 2008</w:t>
      </w:r>
      <w:r w:rsidR="008472C5" w:rsidRPr="00B43572">
        <w:rPr>
          <w:sz w:val="22"/>
          <w:szCs w:val="22"/>
        </w:rPr>
        <w:t xml:space="preserve"> na základě veřejné zakázky realizované v otevřeném zadávacím řízení a </w:t>
      </w:r>
      <w:r w:rsidR="00E10C5B">
        <w:rPr>
          <w:sz w:val="22"/>
          <w:szCs w:val="22"/>
        </w:rPr>
        <w:t>s</w:t>
      </w:r>
      <w:r w:rsidR="008472C5" w:rsidRPr="00B43572">
        <w:rPr>
          <w:sz w:val="22"/>
          <w:szCs w:val="22"/>
        </w:rPr>
        <w:t>mlouv</w:t>
      </w:r>
      <w:r w:rsidR="00467E77" w:rsidRPr="00B43572">
        <w:rPr>
          <w:sz w:val="22"/>
          <w:szCs w:val="22"/>
        </w:rPr>
        <w:t>u na poskytování služeb</w:t>
      </w:r>
      <w:r w:rsidR="008472C5" w:rsidRPr="00B43572">
        <w:rPr>
          <w:sz w:val="22"/>
          <w:szCs w:val="22"/>
        </w:rPr>
        <w:t xml:space="preserve"> dne 19. </w:t>
      </w:r>
      <w:r w:rsidR="005C638A" w:rsidRPr="00B43572">
        <w:rPr>
          <w:sz w:val="22"/>
          <w:szCs w:val="22"/>
        </w:rPr>
        <w:t>července</w:t>
      </w:r>
      <w:r w:rsidR="008472C5" w:rsidRPr="00B43572">
        <w:rPr>
          <w:sz w:val="22"/>
          <w:szCs w:val="22"/>
        </w:rPr>
        <w:t xml:space="preserve"> 2010 na základě veřejné zakázky realizované v</w:t>
      </w:r>
      <w:r w:rsidR="00E10C5B">
        <w:rPr>
          <w:sz w:val="22"/>
          <w:szCs w:val="22"/>
        </w:rPr>
        <w:t> </w:t>
      </w:r>
      <w:r w:rsidR="008472C5" w:rsidRPr="00B43572">
        <w:rPr>
          <w:sz w:val="22"/>
          <w:szCs w:val="22"/>
        </w:rPr>
        <w:t xml:space="preserve">jednacím řízení bez uveřejnění. Obě smlouvy </w:t>
      </w:r>
      <w:r w:rsidR="00467E77" w:rsidRPr="00B43572">
        <w:rPr>
          <w:sz w:val="22"/>
          <w:szCs w:val="22"/>
        </w:rPr>
        <w:t xml:space="preserve">uzavřelo se stejným dodavatelem a za poskytnuté služby </w:t>
      </w:r>
      <w:r w:rsidR="00B44580" w:rsidRPr="00B43572">
        <w:rPr>
          <w:sz w:val="22"/>
          <w:szCs w:val="22"/>
        </w:rPr>
        <w:t xml:space="preserve">uhradilo v letech 2008 až 2011 částku </w:t>
      </w:r>
      <w:r w:rsidR="00467E77" w:rsidRPr="00B43572">
        <w:rPr>
          <w:sz w:val="22"/>
          <w:szCs w:val="22"/>
        </w:rPr>
        <w:t>62</w:t>
      </w:r>
      <w:r w:rsidR="002768A7" w:rsidRPr="00B43572">
        <w:rPr>
          <w:sz w:val="22"/>
          <w:szCs w:val="22"/>
        </w:rPr>
        <w:t> </w:t>
      </w:r>
      <w:r w:rsidR="00467E77" w:rsidRPr="00B43572">
        <w:rPr>
          <w:sz w:val="22"/>
          <w:szCs w:val="22"/>
        </w:rPr>
        <w:t>8</w:t>
      </w:r>
      <w:r w:rsidR="002768A7" w:rsidRPr="00B43572">
        <w:rPr>
          <w:sz w:val="22"/>
          <w:szCs w:val="22"/>
        </w:rPr>
        <w:t>74 tis.</w:t>
      </w:r>
      <w:r w:rsidR="00B44580" w:rsidRPr="00B43572">
        <w:rPr>
          <w:sz w:val="22"/>
          <w:szCs w:val="22"/>
        </w:rPr>
        <w:t xml:space="preserve"> Kč</w:t>
      </w:r>
      <w:r w:rsidR="00467E77" w:rsidRPr="00B43572">
        <w:rPr>
          <w:sz w:val="22"/>
          <w:szCs w:val="22"/>
        </w:rPr>
        <w:t>.</w:t>
      </w:r>
    </w:p>
    <w:p w:rsidR="000745BA" w:rsidRPr="00B43572" w:rsidRDefault="000745BA" w:rsidP="00B43572">
      <w:pPr>
        <w:spacing w:before="0"/>
        <w:rPr>
          <w:bCs/>
          <w:iCs/>
          <w:sz w:val="22"/>
          <w:szCs w:val="22"/>
        </w:rPr>
      </w:pPr>
    </w:p>
    <w:p w:rsidR="007B734B" w:rsidRPr="00B43572" w:rsidRDefault="000B5F33" w:rsidP="00B43572">
      <w:pPr>
        <w:pStyle w:val="Bezmezer"/>
        <w:jc w:val="both"/>
        <w:rPr>
          <w:rFonts w:ascii="Arial" w:hAnsi="Arial" w:cs="Arial"/>
          <w:b/>
        </w:rPr>
      </w:pPr>
      <w:r w:rsidRPr="00B43572">
        <w:rPr>
          <w:rFonts w:ascii="Arial" w:hAnsi="Arial" w:cs="Arial"/>
          <w:b/>
        </w:rPr>
        <w:t xml:space="preserve">Platební podmínky uvedené ve </w:t>
      </w:r>
      <w:r w:rsidR="00E10C5B">
        <w:rPr>
          <w:rFonts w:ascii="Arial" w:hAnsi="Arial" w:cs="Arial"/>
          <w:b/>
        </w:rPr>
        <w:t>s</w:t>
      </w:r>
      <w:r w:rsidRPr="00B43572">
        <w:rPr>
          <w:rFonts w:ascii="Arial" w:hAnsi="Arial" w:cs="Arial"/>
          <w:b/>
        </w:rPr>
        <w:t>mlouvě</w:t>
      </w:r>
      <w:r w:rsidR="00DC0B39" w:rsidRPr="00B43572">
        <w:rPr>
          <w:rFonts w:ascii="Arial" w:hAnsi="Arial" w:cs="Arial"/>
          <w:b/>
        </w:rPr>
        <w:t xml:space="preserve"> na</w:t>
      </w:r>
      <w:r w:rsidR="009D206E" w:rsidRPr="00B43572">
        <w:rPr>
          <w:rFonts w:ascii="Arial" w:hAnsi="Arial" w:cs="Arial"/>
          <w:b/>
        </w:rPr>
        <w:t xml:space="preserve"> poskytování služeb ze</w:t>
      </w:r>
      <w:r w:rsidR="007B734B" w:rsidRPr="00B43572">
        <w:rPr>
          <w:rFonts w:ascii="Arial" w:hAnsi="Arial" w:cs="Arial"/>
          <w:b/>
        </w:rPr>
        <w:t xml:space="preserve"> dne</w:t>
      </w:r>
      <w:r w:rsidR="00DC0B39" w:rsidRPr="00B43572">
        <w:rPr>
          <w:rFonts w:ascii="Arial" w:hAnsi="Arial" w:cs="Arial"/>
          <w:b/>
        </w:rPr>
        <w:t xml:space="preserve"> 22. </w:t>
      </w:r>
      <w:r w:rsidR="005C638A" w:rsidRPr="00B43572">
        <w:rPr>
          <w:rFonts w:ascii="Arial" w:hAnsi="Arial" w:cs="Arial"/>
          <w:b/>
        </w:rPr>
        <w:t>května</w:t>
      </w:r>
      <w:r w:rsidR="00DC0B39" w:rsidRPr="00B43572">
        <w:rPr>
          <w:rFonts w:ascii="Arial" w:hAnsi="Arial" w:cs="Arial"/>
          <w:b/>
        </w:rPr>
        <w:t xml:space="preserve"> 2008 </w:t>
      </w:r>
      <w:r w:rsidR="000833A7" w:rsidRPr="00B43572">
        <w:rPr>
          <w:rFonts w:ascii="Arial" w:hAnsi="Arial" w:cs="Arial"/>
          <w:b/>
        </w:rPr>
        <w:t>stanovily, že fakturace za částečné plnění předmětu smlouvy nesmí být vyšší než 1/16 celkové ceny.</w:t>
      </w:r>
      <w:r w:rsidR="00DC0B39" w:rsidRPr="00B43572">
        <w:rPr>
          <w:rFonts w:ascii="Arial" w:hAnsi="Arial" w:cs="Arial"/>
          <w:b/>
        </w:rPr>
        <w:t xml:space="preserve"> Tato podmínka nebyla dodržena</w:t>
      </w:r>
      <w:r w:rsidRPr="00B43572">
        <w:rPr>
          <w:rFonts w:ascii="Arial" w:hAnsi="Arial" w:cs="Arial"/>
          <w:b/>
        </w:rPr>
        <w:t xml:space="preserve">, když MF uhradilo na základě faktury ze dne 22. </w:t>
      </w:r>
      <w:r w:rsidR="005C638A" w:rsidRPr="00B43572">
        <w:rPr>
          <w:rFonts w:ascii="Arial" w:hAnsi="Arial" w:cs="Arial"/>
          <w:b/>
        </w:rPr>
        <w:t>července</w:t>
      </w:r>
      <w:r w:rsidRPr="00B43572">
        <w:rPr>
          <w:rFonts w:ascii="Arial" w:hAnsi="Arial" w:cs="Arial"/>
          <w:b/>
        </w:rPr>
        <w:t xml:space="preserve"> 2008 </w:t>
      </w:r>
      <w:r w:rsidR="002768A7" w:rsidRPr="00B43572">
        <w:rPr>
          <w:rFonts w:ascii="Arial" w:hAnsi="Arial" w:cs="Arial"/>
          <w:b/>
        </w:rPr>
        <w:t xml:space="preserve">částku 3 561 tis. Kč, </w:t>
      </w:r>
      <w:r w:rsidR="00E10C5B">
        <w:rPr>
          <w:rFonts w:ascii="Arial" w:hAnsi="Arial" w:cs="Arial"/>
          <w:b/>
        </w:rPr>
        <w:t>což bylo</w:t>
      </w:r>
      <w:r w:rsidR="002768A7" w:rsidRPr="00B43572">
        <w:rPr>
          <w:rFonts w:ascii="Arial" w:hAnsi="Arial" w:cs="Arial"/>
          <w:b/>
        </w:rPr>
        <w:t xml:space="preserve"> o 759 tis.</w:t>
      </w:r>
      <w:r w:rsidR="00DC0B39" w:rsidRPr="00B43572">
        <w:rPr>
          <w:rFonts w:ascii="Arial" w:hAnsi="Arial" w:cs="Arial"/>
          <w:b/>
        </w:rPr>
        <w:t xml:space="preserve"> Kč více než 1/16 sj</w:t>
      </w:r>
      <w:r w:rsidR="007B734B" w:rsidRPr="00B43572">
        <w:rPr>
          <w:rFonts w:ascii="Arial" w:hAnsi="Arial" w:cs="Arial"/>
          <w:b/>
        </w:rPr>
        <w:t xml:space="preserve">ednané celkové ceny. </w:t>
      </w:r>
      <w:r w:rsidR="00810C93" w:rsidRPr="00B43572">
        <w:rPr>
          <w:rFonts w:ascii="Arial" w:hAnsi="Arial" w:cs="Arial"/>
          <w:b/>
        </w:rPr>
        <w:t xml:space="preserve">Dodatkem č. 1 </w:t>
      </w:r>
      <w:r w:rsidR="00F64717" w:rsidRPr="00B43572">
        <w:rPr>
          <w:rFonts w:ascii="Arial" w:hAnsi="Arial" w:cs="Arial"/>
          <w:b/>
        </w:rPr>
        <w:t xml:space="preserve">uzavřeným dne 28. </w:t>
      </w:r>
      <w:r w:rsidR="005C638A" w:rsidRPr="00B43572">
        <w:rPr>
          <w:rFonts w:ascii="Arial" w:hAnsi="Arial" w:cs="Arial"/>
          <w:b/>
        </w:rPr>
        <w:t>ledna</w:t>
      </w:r>
      <w:r w:rsidR="00F64717" w:rsidRPr="00B43572">
        <w:rPr>
          <w:rFonts w:ascii="Arial" w:hAnsi="Arial" w:cs="Arial"/>
          <w:b/>
        </w:rPr>
        <w:t xml:space="preserve"> 2009 </w:t>
      </w:r>
      <w:r w:rsidR="00810C93" w:rsidRPr="00B43572">
        <w:rPr>
          <w:rFonts w:ascii="Arial" w:hAnsi="Arial" w:cs="Arial"/>
          <w:b/>
        </w:rPr>
        <w:t xml:space="preserve">byly upraveny podmínky fakturace bez navýšení </w:t>
      </w:r>
      <w:r w:rsidR="00DE25A4" w:rsidRPr="00B43572">
        <w:rPr>
          <w:rFonts w:ascii="Arial" w:hAnsi="Arial" w:cs="Arial"/>
          <w:b/>
        </w:rPr>
        <w:t xml:space="preserve">celkové </w:t>
      </w:r>
      <w:r w:rsidR="00810C93" w:rsidRPr="00B43572">
        <w:rPr>
          <w:rFonts w:ascii="Arial" w:hAnsi="Arial" w:cs="Arial"/>
          <w:b/>
        </w:rPr>
        <w:t xml:space="preserve">smluvní </w:t>
      </w:r>
      <w:r w:rsidR="00000980" w:rsidRPr="00B43572">
        <w:rPr>
          <w:rFonts w:ascii="Arial" w:hAnsi="Arial" w:cs="Arial"/>
          <w:b/>
        </w:rPr>
        <w:t>ceny.</w:t>
      </w:r>
      <w:r w:rsidR="007B734B" w:rsidRPr="00B43572">
        <w:rPr>
          <w:rFonts w:ascii="Arial" w:hAnsi="Arial" w:cs="Arial"/>
          <w:b/>
        </w:rPr>
        <w:t xml:space="preserve"> </w:t>
      </w:r>
    </w:p>
    <w:p w:rsidR="002C71F2" w:rsidRPr="00B43572" w:rsidRDefault="002C71F2" w:rsidP="00B43572">
      <w:pPr>
        <w:spacing w:before="0"/>
        <w:rPr>
          <w:sz w:val="22"/>
          <w:szCs w:val="22"/>
        </w:rPr>
      </w:pPr>
    </w:p>
    <w:p w:rsidR="0055227C" w:rsidRPr="00B43572" w:rsidRDefault="0002110C" w:rsidP="00B43572">
      <w:pPr>
        <w:spacing w:before="0"/>
        <w:rPr>
          <w:b/>
          <w:sz w:val="22"/>
          <w:szCs w:val="22"/>
        </w:rPr>
      </w:pPr>
      <w:r w:rsidRPr="00B43572">
        <w:rPr>
          <w:b/>
          <w:sz w:val="22"/>
          <w:szCs w:val="22"/>
        </w:rPr>
        <w:t>3</w:t>
      </w:r>
      <w:r w:rsidR="0055227C" w:rsidRPr="00B43572">
        <w:rPr>
          <w:b/>
          <w:sz w:val="22"/>
          <w:szCs w:val="22"/>
        </w:rPr>
        <w:t>.3 Akce č. 7</w:t>
      </w:r>
      <w:r w:rsidR="00723302" w:rsidRPr="00B43572">
        <w:rPr>
          <w:b/>
          <w:sz w:val="22"/>
          <w:szCs w:val="22"/>
        </w:rPr>
        <w:t xml:space="preserve"> </w:t>
      </w:r>
      <w:r w:rsidR="005C638A" w:rsidRPr="00B43572">
        <w:rPr>
          <w:b/>
          <w:sz w:val="22"/>
          <w:szCs w:val="22"/>
        </w:rPr>
        <w:t>–</w:t>
      </w:r>
      <w:r w:rsidR="00240887" w:rsidRPr="00B43572">
        <w:rPr>
          <w:b/>
          <w:sz w:val="22"/>
          <w:szCs w:val="22"/>
        </w:rPr>
        <w:t xml:space="preserve"> </w:t>
      </w:r>
      <w:r w:rsidR="00723302" w:rsidRPr="00421ED9">
        <w:rPr>
          <w:b/>
          <w:i/>
          <w:sz w:val="22"/>
          <w:szCs w:val="22"/>
        </w:rPr>
        <w:t>Rezerva v nákladech na projekty</w:t>
      </w:r>
    </w:p>
    <w:p w:rsidR="00B43572" w:rsidRPr="00B43572" w:rsidRDefault="00B43572" w:rsidP="00B43572">
      <w:pPr>
        <w:spacing w:before="0"/>
        <w:rPr>
          <w:bCs/>
          <w:sz w:val="22"/>
          <w:szCs w:val="22"/>
        </w:rPr>
      </w:pPr>
    </w:p>
    <w:p w:rsidR="00FF713C" w:rsidRDefault="00E007A3" w:rsidP="00B43572">
      <w:pPr>
        <w:spacing w:before="0"/>
        <w:rPr>
          <w:sz w:val="22"/>
          <w:szCs w:val="22"/>
        </w:rPr>
      </w:pPr>
      <w:r w:rsidRPr="00B43572">
        <w:rPr>
          <w:bCs/>
          <w:sz w:val="22"/>
          <w:szCs w:val="22"/>
        </w:rPr>
        <w:t>V rámci akce</w:t>
      </w:r>
      <w:r w:rsidR="00FC20CB" w:rsidRPr="00B43572">
        <w:rPr>
          <w:bCs/>
          <w:sz w:val="22"/>
          <w:szCs w:val="22"/>
        </w:rPr>
        <w:t xml:space="preserve"> č. 7</w:t>
      </w:r>
      <w:r w:rsidRPr="00B43572">
        <w:rPr>
          <w:bCs/>
          <w:sz w:val="22"/>
          <w:szCs w:val="22"/>
        </w:rPr>
        <w:t xml:space="preserve"> </w:t>
      </w:r>
      <w:r w:rsidR="00E10C5B" w:rsidRPr="00B43572">
        <w:rPr>
          <w:bCs/>
          <w:sz w:val="22"/>
          <w:szCs w:val="22"/>
        </w:rPr>
        <w:t xml:space="preserve">uzavřelo </w:t>
      </w:r>
      <w:r w:rsidRPr="00B43572">
        <w:rPr>
          <w:bCs/>
          <w:sz w:val="22"/>
          <w:szCs w:val="22"/>
        </w:rPr>
        <w:t xml:space="preserve">MF </w:t>
      </w:r>
      <w:r w:rsidR="00FF713C" w:rsidRPr="00B43572">
        <w:rPr>
          <w:bCs/>
          <w:sz w:val="22"/>
          <w:szCs w:val="22"/>
        </w:rPr>
        <w:t xml:space="preserve">dne 6. </w:t>
      </w:r>
      <w:r w:rsidR="005C638A" w:rsidRPr="00B43572">
        <w:rPr>
          <w:bCs/>
          <w:sz w:val="22"/>
          <w:szCs w:val="22"/>
        </w:rPr>
        <w:t>května</w:t>
      </w:r>
      <w:r w:rsidR="00FF713C" w:rsidRPr="00B43572">
        <w:rPr>
          <w:bCs/>
          <w:sz w:val="22"/>
          <w:szCs w:val="22"/>
        </w:rPr>
        <w:t xml:space="preserve"> 2010 </w:t>
      </w:r>
      <w:r w:rsidR="00E10C5B">
        <w:rPr>
          <w:bCs/>
          <w:sz w:val="22"/>
          <w:szCs w:val="22"/>
        </w:rPr>
        <w:t>s</w:t>
      </w:r>
      <w:r w:rsidR="00FF713C" w:rsidRPr="00B43572">
        <w:rPr>
          <w:bCs/>
          <w:sz w:val="22"/>
          <w:szCs w:val="22"/>
        </w:rPr>
        <w:t>mlouvu o dílo, jejímž předmětem bylo provedení expertní činnosti pro projekt IISSP. Za provedení expertní činnosti pro projekt II</w:t>
      </w:r>
      <w:r w:rsidR="002768A7" w:rsidRPr="00B43572">
        <w:rPr>
          <w:bCs/>
          <w:sz w:val="22"/>
          <w:szCs w:val="22"/>
        </w:rPr>
        <w:t xml:space="preserve">SSP uhradilo MF </w:t>
      </w:r>
      <w:r w:rsidR="009148D7" w:rsidRPr="00B43572">
        <w:rPr>
          <w:bCs/>
          <w:sz w:val="22"/>
          <w:szCs w:val="22"/>
        </w:rPr>
        <w:t xml:space="preserve">dne 24. srpna 2010 </w:t>
      </w:r>
      <w:r w:rsidR="002768A7" w:rsidRPr="00B43572">
        <w:rPr>
          <w:bCs/>
          <w:sz w:val="22"/>
          <w:szCs w:val="22"/>
        </w:rPr>
        <w:t>částku 1 738 tis.</w:t>
      </w:r>
      <w:r w:rsidR="00FF713C" w:rsidRPr="00B43572">
        <w:rPr>
          <w:bCs/>
          <w:sz w:val="22"/>
          <w:szCs w:val="22"/>
        </w:rPr>
        <w:t xml:space="preserve"> Kč. </w:t>
      </w:r>
      <w:r w:rsidR="00FF713C" w:rsidRPr="00B43572">
        <w:rPr>
          <w:sz w:val="22"/>
          <w:szCs w:val="22"/>
        </w:rPr>
        <w:t xml:space="preserve">Výsledky expertní činnosti dodavatel zpracoval do </w:t>
      </w:r>
      <w:r w:rsidR="00E10C5B">
        <w:rPr>
          <w:sz w:val="22"/>
          <w:szCs w:val="22"/>
        </w:rPr>
        <w:t>s</w:t>
      </w:r>
      <w:r w:rsidR="00FF713C" w:rsidRPr="00B43572">
        <w:rPr>
          <w:sz w:val="22"/>
          <w:szCs w:val="22"/>
        </w:rPr>
        <w:t xml:space="preserve">ituační zprávy, ve které uvedl svá zjištění týkající se stavu projektu IISSP ke konci června 2010 </w:t>
      </w:r>
      <w:r w:rsidR="00C46C88">
        <w:rPr>
          <w:sz w:val="22"/>
          <w:szCs w:val="22"/>
        </w:rPr>
        <w:t>a doporučil další postup</w:t>
      </w:r>
      <w:r w:rsidR="00FF713C" w:rsidRPr="00B43572">
        <w:rPr>
          <w:sz w:val="22"/>
          <w:szCs w:val="22"/>
        </w:rPr>
        <w:t>.</w:t>
      </w:r>
    </w:p>
    <w:p w:rsidR="000745BA" w:rsidRPr="00B43572" w:rsidRDefault="000745BA" w:rsidP="00B43572">
      <w:pPr>
        <w:spacing w:before="0"/>
        <w:rPr>
          <w:sz w:val="22"/>
          <w:szCs w:val="22"/>
        </w:rPr>
      </w:pPr>
    </w:p>
    <w:p w:rsidR="004565F5" w:rsidRPr="00B43572" w:rsidRDefault="00511C38" w:rsidP="00B43572">
      <w:pPr>
        <w:spacing w:before="0"/>
        <w:rPr>
          <w:sz w:val="22"/>
          <w:szCs w:val="22"/>
        </w:rPr>
      </w:pPr>
      <w:r w:rsidRPr="00B43572">
        <w:rPr>
          <w:bCs/>
          <w:sz w:val="22"/>
          <w:szCs w:val="22"/>
        </w:rPr>
        <w:t>MF nevyhotovilo investiční záměr akce</w:t>
      </w:r>
      <w:r w:rsidR="009D206E" w:rsidRPr="00B43572">
        <w:rPr>
          <w:bCs/>
          <w:sz w:val="22"/>
          <w:szCs w:val="22"/>
        </w:rPr>
        <w:t xml:space="preserve">. Dokument </w:t>
      </w:r>
      <w:r w:rsidR="009D206E" w:rsidRPr="00421ED9">
        <w:rPr>
          <w:bCs/>
          <w:i/>
          <w:sz w:val="22"/>
          <w:szCs w:val="22"/>
        </w:rPr>
        <w:t>Registrace akce a</w:t>
      </w:r>
      <w:r w:rsidR="00976E57" w:rsidRPr="00421ED9">
        <w:rPr>
          <w:bCs/>
          <w:i/>
          <w:sz w:val="22"/>
          <w:szCs w:val="22"/>
        </w:rPr>
        <w:t xml:space="preserve"> </w:t>
      </w:r>
      <w:r w:rsidR="005725B7" w:rsidRPr="00421ED9">
        <w:rPr>
          <w:bCs/>
          <w:i/>
          <w:sz w:val="22"/>
          <w:szCs w:val="22"/>
        </w:rPr>
        <w:t>Stanovení výdajů na financování</w:t>
      </w:r>
      <w:r w:rsidR="00546988" w:rsidRPr="00421ED9">
        <w:rPr>
          <w:bCs/>
          <w:i/>
          <w:sz w:val="22"/>
          <w:szCs w:val="22"/>
        </w:rPr>
        <w:t xml:space="preserve"> </w:t>
      </w:r>
      <w:r w:rsidR="00E11C57" w:rsidRPr="00421ED9">
        <w:rPr>
          <w:bCs/>
          <w:i/>
          <w:sz w:val="22"/>
          <w:szCs w:val="22"/>
        </w:rPr>
        <w:t>akce organizační složky státu</w:t>
      </w:r>
      <w:r w:rsidR="00E11C57" w:rsidRPr="00B43572">
        <w:rPr>
          <w:bCs/>
          <w:sz w:val="22"/>
          <w:szCs w:val="22"/>
        </w:rPr>
        <w:t xml:space="preserve"> </w:t>
      </w:r>
      <w:r w:rsidR="00546988" w:rsidRPr="00B43572">
        <w:rPr>
          <w:bCs/>
          <w:sz w:val="22"/>
          <w:szCs w:val="22"/>
        </w:rPr>
        <w:t xml:space="preserve">schválilo </w:t>
      </w:r>
      <w:r w:rsidR="005B3BD5" w:rsidRPr="00B43572">
        <w:rPr>
          <w:bCs/>
          <w:sz w:val="22"/>
          <w:szCs w:val="22"/>
        </w:rPr>
        <w:t xml:space="preserve">až </w:t>
      </w:r>
      <w:r w:rsidR="00546988" w:rsidRPr="00B43572">
        <w:rPr>
          <w:bCs/>
          <w:sz w:val="22"/>
          <w:szCs w:val="22"/>
        </w:rPr>
        <w:t xml:space="preserve">dne 31. </w:t>
      </w:r>
      <w:r w:rsidR="005C638A" w:rsidRPr="00B43572">
        <w:rPr>
          <w:bCs/>
          <w:sz w:val="22"/>
          <w:szCs w:val="22"/>
        </w:rPr>
        <w:t>prosince</w:t>
      </w:r>
      <w:r w:rsidR="00546988" w:rsidRPr="00B43572">
        <w:rPr>
          <w:bCs/>
          <w:sz w:val="22"/>
          <w:szCs w:val="22"/>
        </w:rPr>
        <w:t xml:space="preserve"> 2010.</w:t>
      </w:r>
      <w:r w:rsidRPr="00B43572">
        <w:rPr>
          <w:sz w:val="22"/>
          <w:szCs w:val="22"/>
        </w:rPr>
        <w:t xml:space="preserve"> </w:t>
      </w:r>
      <w:r w:rsidR="004565F5" w:rsidRPr="00B43572">
        <w:rPr>
          <w:sz w:val="22"/>
          <w:szCs w:val="22"/>
        </w:rPr>
        <w:t xml:space="preserve">MF neprovedlo registraci akce č. 7 na základě investičního záměru, a tím </w:t>
      </w:r>
      <w:r w:rsidR="00546988" w:rsidRPr="00B43572">
        <w:rPr>
          <w:sz w:val="22"/>
          <w:szCs w:val="22"/>
        </w:rPr>
        <w:t>nepostupovalo v souladu s ustanovením § 12 odst</w:t>
      </w:r>
      <w:r w:rsidR="004565F5" w:rsidRPr="00B43572">
        <w:rPr>
          <w:sz w:val="22"/>
          <w:szCs w:val="22"/>
        </w:rPr>
        <w:t xml:space="preserve">. 5 zákona č. 218/2000 Sb. </w:t>
      </w:r>
      <w:r w:rsidR="004565F5" w:rsidRPr="00B43572">
        <w:rPr>
          <w:b/>
          <w:sz w:val="22"/>
          <w:szCs w:val="22"/>
        </w:rPr>
        <w:t xml:space="preserve">MF jako účastník programu nepředložilo investiční záměr a jako správce programu nestanovilo podmínky účasti státního rozpočtu </w:t>
      </w:r>
      <w:r w:rsidR="00C46C88">
        <w:rPr>
          <w:b/>
          <w:sz w:val="22"/>
          <w:szCs w:val="22"/>
        </w:rPr>
        <w:t>na</w:t>
      </w:r>
      <w:r w:rsidR="004565F5" w:rsidRPr="00B43572">
        <w:rPr>
          <w:b/>
          <w:sz w:val="22"/>
          <w:szCs w:val="22"/>
        </w:rPr>
        <w:t xml:space="preserve"> realizaci akce, a tak </w:t>
      </w:r>
      <w:r w:rsidR="00546988" w:rsidRPr="00B43572">
        <w:rPr>
          <w:b/>
          <w:sz w:val="22"/>
          <w:szCs w:val="22"/>
        </w:rPr>
        <w:t>nepostupovalo v souladu s ustanovením § 5 odst. 1 vyhlášky č. 560/2006 Sb.,</w:t>
      </w:r>
      <w:r w:rsidR="00602A6E" w:rsidRPr="00B43572">
        <w:rPr>
          <w:b/>
          <w:sz w:val="22"/>
          <w:szCs w:val="22"/>
        </w:rPr>
        <w:t xml:space="preserve"> o účasti státního rozpočtu na financování programů reprodukce majetku,</w:t>
      </w:r>
      <w:r w:rsidR="00546988" w:rsidRPr="00B43572">
        <w:rPr>
          <w:b/>
          <w:sz w:val="22"/>
          <w:szCs w:val="22"/>
        </w:rPr>
        <w:t xml:space="preserve"> ve znění vyhlášky č. 11/2010 Sb.</w:t>
      </w:r>
    </w:p>
    <w:p w:rsidR="009B7664" w:rsidRPr="00B43572" w:rsidRDefault="009B7664" w:rsidP="00B43572">
      <w:pPr>
        <w:spacing w:before="0"/>
        <w:rPr>
          <w:sz w:val="22"/>
          <w:szCs w:val="22"/>
        </w:rPr>
      </w:pPr>
    </w:p>
    <w:p w:rsidR="0055227C" w:rsidRPr="00B43572" w:rsidRDefault="0002110C" w:rsidP="00B43572">
      <w:pPr>
        <w:spacing w:before="0"/>
        <w:rPr>
          <w:b/>
          <w:sz w:val="22"/>
          <w:szCs w:val="22"/>
        </w:rPr>
      </w:pPr>
      <w:r w:rsidRPr="00B43572">
        <w:rPr>
          <w:b/>
          <w:sz w:val="22"/>
          <w:szCs w:val="22"/>
        </w:rPr>
        <w:t>3</w:t>
      </w:r>
      <w:r w:rsidR="0055227C" w:rsidRPr="00B43572">
        <w:rPr>
          <w:b/>
          <w:sz w:val="22"/>
          <w:szCs w:val="22"/>
        </w:rPr>
        <w:t>.4 Akce č. 10</w:t>
      </w:r>
      <w:r w:rsidR="00F92C51" w:rsidRPr="00B43572">
        <w:rPr>
          <w:b/>
          <w:sz w:val="22"/>
          <w:szCs w:val="22"/>
        </w:rPr>
        <w:t xml:space="preserve"> </w:t>
      </w:r>
      <w:r w:rsidR="005C638A" w:rsidRPr="00B43572">
        <w:rPr>
          <w:b/>
          <w:sz w:val="22"/>
          <w:szCs w:val="22"/>
        </w:rPr>
        <w:t>–</w:t>
      </w:r>
      <w:r w:rsidR="00BB020F" w:rsidRPr="00B43572">
        <w:rPr>
          <w:b/>
          <w:sz w:val="22"/>
          <w:szCs w:val="22"/>
        </w:rPr>
        <w:t xml:space="preserve"> </w:t>
      </w:r>
      <w:r w:rsidR="00F92C51" w:rsidRPr="00421ED9">
        <w:rPr>
          <w:b/>
          <w:i/>
          <w:sz w:val="22"/>
          <w:szCs w:val="22"/>
        </w:rPr>
        <w:t>Aplikační podpora</w:t>
      </w:r>
      <w:r w:rsidR="00CE29BC">
        <w:rPr>
          <w:b/>
          <w:i/>
          <w:sz w:val="22"/>
          <w:szCs w:val="22"/>
        </w:rPr>
        <w:t xml:space="preserve"> IISSP</w:t>
      </w:r>
    </w:p>
    <w:p w:rsidR="00B43572" w:rsidRPr="00B43572" w:rsidRDefault="00B43572" w:rsidP="00B43572">
      <w:pPr>
        <w:spacing w:before="0"/>
        <w:rPr>
          <w:sz w:val="22"/>
          <w:szCs w:val="22"/>
        </w:rPr>
      </w:pPr>
    </w:p>
    <w:p w:rsidR="009F13CD" w:rsidRPr="00B43572" w:rsidRDefault="00C46C88" w:rsidP="00B43572">
      <w:pPr>
        <w:spacing w:before="0"/>
        <w:rPr>
          <w:sz w:val="22"/>
          <w:szCs w:val="22"/>
        </w:rPr>
      </w:pPr>
      <w:r>
        <w:rPr>
          <w:sz w:val="22"/>
          <w:szCs w:val="22"/>
        </w:rPr>
        <w:t>MF v</w:t>
      </w:r>
      <w:r w:rsidR="00511C38" w:rsidRPr="00B43572">
        <w:rPr>
          <w:sz w:val="22"/>
          <w:szCs w:val="22"/>
        </w:rPr>
        <w:t> zadávacím řízení realizovaném formou</w:t>
      </w:r>
      <w:r w:rsidR="00E10C5B">
        <w:rPr>
          <w:sz w:val="22"/>
          <w:szCs w:val="22"/>
        </w:rPr>
        <w:t xml:space="preserve"> </w:t>
      </w:r>
      <w:r w:rsidR="00511C38" w:rsidRPr="00B43572">
        <w:rPr>
          <w:sz w:val="22"/>
          <w:szCs w:val="22"/>
        </w:rPr>
        <w:t>jednacího říz</w:t>
      </w:r>
      <w:r w:rsidR="009F13CD" w:rsidRPr="00B43572">
        <w:rPr>
          <w:sz w:val="22"/>
          <w:szCs w:val="22"/>
        </w:rPr>
        <w:t>ení bez uveřejnění oslovilo dodavatele, který realizoval dodávku IISSP v rámci akce č. 1. Dne 4. </w:t>
      </w:r>
      <w:r w:rsidR="005C638A" w:rsidRPr="00B43572">
        <w:rPr>
          <w:sz w:val="22"/>
          <w:szCs w:val="22"/>
        </w:rPr>
        <w:t>února</w:t>
      </w:r>
      <w:r w:rsidR="00E10C5B">
        <w:rPr>
          <w:sz w:val="22"/>
          <w:szCs w:val="22"/>
        </w:rPr>
        <w:t xml:space="preserve"> </w:t>
      </w:r>
      <w:r w:rsidR="009F13CD" w:rsidRPr="00B43572">
        <w:rPr>
          <w:sz w:val="22"/>
          <w:szCs w:val="22"/>
        </w:rPr>
        <w:t xml:space="preserve">2011 uzavřelo s tímto dodavatelem </w:t>
      </w:r>
      <w:r w:rsidR="00E10C5B">
        <w:rPr>
          <w:sz w:val="22"/>
          <w:szCs w:val="22"/>
        </w:rPr>
        <w:t>s</w:t>
      </w:r>
      <w:r w:rsidR="009F13CD" w:rsidRPr="00B43572">
        <w:rPr>
          <w:sz w:val="22"/>
          <w:szCs w:val="22"/>
        </w:rPr>
        <w:t>mlouvu na poskytování služeb na dobu určitou do 31.</w:t>
      </w:r>
      <w:r w:rsidR="005C638A" w:rsidRPr="00B43572">
        <w:rPr>
          <w:sz w:val="22"/>
          <w:szCs w:val="22"/>
        </w:rPr>
        <w:t> ledna</w:t>
      </w:r>
      <w:r w:rsidR="00E10C5B">
        <w:rPr>
          <w:sz w:val="22"/>
          <w:szCs w:val="22"/>
        </w:rPr>
        <w:t xml:space="preserve"> </w:t>
      </w:r>
      <w:r w:rsidR="009F13CD" w:rsidRPr="00B43572">
        <w:rPr>
          <w:sz w:val="22"/>
          <w:szCs w:val="22"/>
        </w:rPr>
        <w:t xml:space="preserve">2013. </w:t>
      </w:r>
      <w:r w:rsidR="001001E0" w:rsidRPr="00B43572">
        <w:rPr>
          <w:sz w:val="22"/>
          <w:szCs w:val="22"/>
        </w:rPr>
        <w:t>Předmětem smlouvy bylo mimo ji</w:t>
      </w:r>
      <w:r w:rsidR="005B3BD5" w:rsidRPr="00B43572">
        <w:rPr>
          <w:sz w:val="22"/>
          <w:szCs w:val="22"/>
        </w:rPr>
        <w:t>né poskytovat aplikační podporu a</w:t>
      </w:r>
      <w:r w:rsidR="001001E0" w:rsidRPr="00B43572">
        <w:rPr>
          <w:sz w:val="22"/>
          <w:szCs w:val="22"/>
        </w:rPr>
        <w:t xml:space="preserve"> do konce roku 2011 také bázovou podp</w:t>
      </w:r>
      <w:r w:rsidR="00387436" w:rsidRPr="00B43572">
        <w:rPr>
          <w:sz w:val="22"/>
          <w:szCs w:val="22"/>
        </w:rPr>
        <w:t>oru pro moduly IISSP uvedené do</w:t>
      </w:r>
      <w:r w:rsidR="001001E0" w:rsidRPr="00B43572">
        <w:rPr>
          <w:sz w:val="22"/>
          <w:szCs w:val="22"/>
        </w:rPr>
        <w:t> provozu.</w:t>
      </w:r>
    </w:p>
    <w:p w:rsidR="00B43572" w:rsidRPr="00B43572" w:rsidRDefault="00B43572" w:rsidP="00B43572">
      <w:pPr>
        <w:spacing w:before="0"/>
        <w:rPr>
          <w:sz w:val="22"/>
          <w:szCs w:val="22"/>
        </w:rPr>
      </w:pPr>
    </w:p>
    <w:p w:rsidR="007010E6" w:rsidRPr="00B43572" w:rsidRDefault="004E5E76" w:rsidP="00B43572">
      <w:pPr>
        <w:spacing w:before="0"/>
        <w:rPr>
          <w:b/>
          <w:sz w:val="22"/>
          <w:szCs w:val="22"/>
        </w:rPr>
      </w:pPr>
      <w:r w:rsidRPr="00B43572">
        <w:rPr>
          <w:b/>
          <w:sz w:val="22"/>
          <w:szCs w:val="22"/>
        </w:rPr>
        <w:t>Dokument</w:t>
      </w:r>
      <w:r w:rsidR="009A3E1A" w:rsidRPr="00B43572">
        <w:rPr>
          <w:b/>
          <w:sz w:val="22"/>
          <w:szCs w:val="22"/>
        </w:rPr>
        <w:t xml:space="preserve"> </w:t>
      </w:r>
      <w:r w:rsidR="009A3E1A" w:rsidRPr="00421ED9">
        <w:rPr>
          <w:b/>
          <w:i/>
          <w:sz w:val="22"/>
          <w:szCs w:val="22"/>
        </w:rPr>
        <w:t xml:space="preserve">Registrace akce a Stanovení výdajů na financování akce organizační složky státu </w:t>
      </w:r>
      <w:r w:rsidR="00C46C88" w:rsidRPr="00B43572">
        <w:rPr>
          <w:b/>
          <w:sz w:val="22"/>
          <w:szCs w:val="22"/>
        </w:rPr>
        <w:t xml:space="preserve">schválilo </w:t>
      </w:r>
      <w:r w:rsidR="009A3E1A" w:rsidRPr="00B43572">
        <w:rPr>
          <w:b/>
          <w:sz w:val="22"/>
          <w:szCs w:val="22"/>
        </w:rPr>
        <w:t xml:space="preserve">MF </w:t>
      </w:r>
      <w:r w:rsidR="00AE5C56" w:rsidRPr="00B43572">
        <w:rPr>
          <w:b/>
          <w:sz w:val="22"/>
          <w:szCs w:val="22"/>
        </w:rPr>
        <w:t xml:space="preserve">až po uzavření smlouvy </w:t>
      </w:r>
      <w:r w:rsidR="009A3E1A" w:rsidRPr="00B43572">
        <w:rPr>
          <w:b/>
          <w:sz w:val="22"/>
          <w:szCs w:val="22"/>
        </w:rPr>
        <w:t xml:space="preserve">dne 18. </w:t>
      </w:r>
      <w:r w:rsidR="005C638A" w:rsidRPr="00B43572">
        <w:rPr>
          <w:b/>
          <w:sz w:val="22"/>
          <w:szCs w:val="22"/>
        </w:rPr>
        <w:t>února</w:t>
      </w:r>
      <w:r w:rsidR="009A3E1A" w:rsidRPr="00B43572">
        <w:rPr>
          <w:b/>
          <w:sz w:val="22"/>
          <w:szCs w:val="22"/>
        </w:rPr>
        <w:t xml:space="preserve"> 2011 a investiční záměr akce dne 19.</w:t>
      </w:r>
      <w:r w:rsidR="00E10C5B">
        <w:rPr>
          <w:b/>
          <w:sz w:val="22"/>
          <w:szCs w:val="22"/>
        </w:rPr>
        <w:t> </w:t>
      </w:r>
      <w:r w:rsidR="005C638A" w:rsidRPr="00B43572">
        <w:rPr>
          <w:b/>
          <w:sz w:val="22"/>
          <w:szCs w:val="22"/>
        </w:rPr>
        <w:t>srpna</w:t>
      </w:r>
      <w:r w:rsidR="009A3E1A" w:rsidRPr="00B43572">
        <w:rPr>
          <w:b/>
          <w:sz w:val="22"/>
          <w:szCs w:val="22"/>
        </w:rPr>
        <w:t xml:space="preserve"> 2011.</w:t>
      </w:r>
      <w:r w:rsidR="009F13CD" w:rsidRPr="00B43572">
        <w:rPr>
          <w:b/>
          <w:sz w:val="22"/>
          <w:szCs w:val="22"/>
        </w:rPr>
        <w:t xml:space="preserve"> </w:t>
      </w:r>
      <w:r w:rsidR="007010E6" w:rsidRPr="00B43572">
        <w:rPr>
          <w:b/>
          <w:sz w:val="22"/>
          <w:szCs w:val="22"/>
        </w:rPr>
        <w:t xml:space="preserve">MF </w:t>
      </w:r>
      <w:r w:rsidR="004565F5" w:rsidRPr="00B43572">
        <w:rPr>
          <w:b/>
          <w:sz w:val="22"/>
          <w:szCs w:val="22"/>
        </w:rPr>
        <w:t>neprovedlo registraci akce č.</w:t>
      </w:r>
      <w:r w:rsidR="00E10C5B">
        <w:rPr>
          <w:b/>
          <w:sz w:val="22"/>
          <w:szCs w:val="22"/>
        </w:rPr>
        <w:t> </w:t>
      </w:r>
      <w:r w:rsidR="004565F5" w:rsidRPr="00B43572">
        <w:rPr>
          <w:b/>
          <w:sz w:val="22"/>
          <w:szCs w:val="22"/>
        </w:rPr>
        <w:t xml:space="preserve">10 na základě investičního záměru, a tím </w:t>
      </w:r>
      <w:r w:rsidR="007010E6" w:rsidRPr="00B43572">
        <w:rPr>
          <w:b/>
          <w:sz w:val="22"/>
          <w:szCs w:val="22"/>
        </w:rPr>
        <w:t>nepostupovalo v souladu s ustanovením § 12 odst.</w:t>
      </w:r>
      <w:r w:rsidR="00DE25A4" w:rsidRPr="00B43572">
        <w:rPr>
          <w:b/>
          <w:sz w:val="22"/>
          <w:szCs w:val="22"/>
        </w:rPr>
        <w:t xml:space="preserve"> 5 zákona č. </w:t>
      </w:r>
      <w:r w:rsidR="004565F5" w:rsidRPr="00B43572">
        <w:rPr>
          <w:b/>
          <w:sz w:val="22"/>
          <w:szCs w:val="22"/>
        </w:rPr>
        <w:t>218/2000</w:t>
      </w:r>
      <w:r w:rsidR="00DE25A4" w:rsidRPr="00B43572">
        <w:rPr>
          <w:b/>
          <w:sz w:val="22"/>
          <w:szCs w:val="22"/>
        </w:rPr>
        <w:t> </w:t>
      </w:r>
      <w:r w:rsidR="004565F5" w:rsidRPr="00B43572">
        <w:rPr>
          <w:b/>
          <w:sz w:val="22"/>
          <w:szCs w:val="22"/>
        </w:rPr>
        <w:t xml:space="preserve">Sb. </w:t>
      </w:r>
    </w:p>
    <w:p w:rsidR="00B43572" w:rsidRPr="00B43572" w:rsidRDefault="00B43572" w:rsidP="00B43572">
      <w:pPr>
        <w:spacing w:before="0"/>
        <w:rPr>
          <w:sz w:val="22"/>
          <w:szCs w:val="22"/>
        </w:rPr>
      </w:pPr>
    </w:p>
    <w:p w:rsidR="008F23EF" w:rsidRPr="00B43572" w:rsidRDefault="00450B25" w:rsidP="00B43572">
      <w:pPr>
        <w:spacing w:before="0"/>
        <w:rPr>
          <w:sz w:val="22"/>
          <w:szCs w:val="22"/>
        </w:rPr>
      </w:pPr>
      <w:r w:rsidRPr="00B43572">
        <w:rPr>
          <w:sz w:val="22"/>
          <w:szCs w:val="22"/>
        </w:rPr>
        <w:t xml:space="preserve">Na základě </w:t>
      </w:r>
      <w:r w:rsidR="00E10C5B">
        <w:rPr>
          <w:sz w:val="22"/>
          <w:szCs w:val="22"/>
        </w:rPr>
        <w:t>s</w:t>
      </w:r>
      <w:r w:rsidRPr="00B43572">
        <w:rPr>
          <w:sz w:val="22"/>
          <w:szCs w:val="22"/>
        </w:rPr>
        <w:t>mlouvy na</w:t>
      </w:r>
      <w:r w:rsidR="00955D4E" w:rsidRPr="00B43572">
        <w:rPr>
          <w:sz w:val="22"/>
          <w:szCs w:val="22"/>
        </w:rPr>
        <w:t xml:space="preserve"> poskytování služeb ze </w:t>
      </w:r>
      <w:r w:rsidR="009F13CD" w:rsidRPr="00B43572">
        <w:rPr>
          <w:sz w:val="22"/>
          <w:szCs w:val="22"/>
        </w:rPr>
        <w:t xml:space="preserve">dne </w:t>
      </w:r>
      <w:r w:rsidR="00955D4E" w:rsidRPr="00B43572">
        <w:rPr>
          <w:sz w:val="22"/>
          <w:szCs w:val="22"/>
        </w:rPr>
        <w:t xml:space="preserve">4. </w:t>
      </w:r>
      <w:r w:rsidR="005C638A" w:rsidRPr="00B43572">
        <w:rPr>
          <w:sz w:val="22"/>
          <w:szCs w:val="22"/>
        </w:rPr>
        <w:t>února</w:t>
      </w:r>
      <w:r w:rsidR="00955D4E" w:rsidRPr="00B43572">
        <w:rPr>
          <w:sz w:val="22"/>
          <w:szCs w:val="22"/>
        </w:rPr>
        <w:t xml:space="preserve"> </w:t>
      </w:r>
      <w:r w:rsidRPr="00B43572">
        <w:rPr>
          <w:sz w:val="22"/>
          <w:szCs w:val="22"/>
        </w:rPr>
        <w:t xml:space="preserve">2011 </w:t>
      </w:r>
      <w:r w:rsidR="00C46C88" w:rsidRPr="00B43572">
        <w:rPr>
          <w:sz w:val="22"/>
          <w:szCs w:val="22"/>
        </w:rPr>
        <w:t xml:space="preserve">uhradilo </w:t>
      </w:r>
      <w:r w:rsidR="009A3E1A" w:rsidRPr="00B43572">
        <w:rPr>
          <w:sz w:val="22"/>
          <w:szCs w:val="22"/>
        </w:rPr>
        <w:t>MF</w:t>
      </w:r>
      <w:r w:rsidR="00955D4E" w:rsidRPr="00B43572">
        <w:rPr>
          <w:sz w:val="22"/>
          <w:szCs w:val="22"/>
        </w:rPr>
        <w:t xml:space="preserve"> </w:t>
      </w:r>
      <w:r w:rsidR="009A3E1A" w:rsidRPr="00B43572">
        <w:rPr>
          <w:sz w:val="22"/>
          <w:szCs w:val="22"/>
        </w:rPr>
        <w:t>v roce 2011 za služby provozní technické podpory částku</w:t>
      </w:r>
      <w:r w:rsidR="002768A7" w:rsidRPr="00B43572">
        <w:rPr>
          <w:sz w:val="22"/>
          <w:szCs w:val="22"/>
        </w:rPr>
        <w:t xml:space="preserve"> 109 641 tis.</w:t>
      </w:r>
      <w:r w:rsidR="009A3E1A" w:rsidRPr="00B43572">
        <w:rPr>
          <w:sz w:val="22"/>
          <w:szCs w:val="22"/>
        </w:rPr>
        <w:t xml:space="preserve"> </w:t>
      </w:r>
      <w:r w:rsidR="009A3E1A" w:rsidRPr="00B43572">
        <w:rPr>
          <w:bCs/>
          <w:color w:val="000000"/>
          <w:sz w:val="22"/>
          <w:szCs w:val="22"/>
          <w:lang w:eastAsia="cs-CZ"/>
        </w:rPr>
        <w:t>Kč</w:t>
      </w:r>
      <w:r w:rsidR="009A3E1A" w:rsidRPr="00B43572">
        <w:rPr>
          <w:sz w:val="22"/>
          <w:szCs w:val="22"/>
        </w:rPr>
        <w:t xml:space="preserve">. </w:t>
      </w:r>
      <w:r w:rsidRPr="00B43572">
        <w:rPr>
          <w:sz w:val="22"/>
          <w:szCs w:val="22"/>
        </w:rPr>
        <w:t xml:space="preserve">Úhradu za </w:t>
      </w:r>
      <w:r w:rsidR="008F23EF" w:rsidRPr="00B43572">
        <w:rPr>
          <w:sz w:val="22"/>
          <w:szCs w:val="22"/>
        </w:rPr>
        <w:t>fakturované služby (</w:t>
      </w:r>
      <w:r w:rsidRPr="00B43572">
        <w:rPr>
          <w:sz w:val="22"/>
          <w:szCs w:val="22"/>
        </w:rPr>
        <w:t>technickou podporu</w:t>
      </w:r>
      <w:r w:rsidR="008F23EF" w:rsidRPr="00B43572">
        <w:rPr>
          <w:sz w:val="22"/>
          <w:szCs w:val="22"/>
        </w:rPr>
        <w:t>)</w:t>
      </w:r>
      <w:r w:rsidRPr="00B43572">
        <w:rPr>
          <w:sz w:val="22"/>
          <w:szCs w:val="22"/>
        </w:rPr>
        <w:t xml:space="preserve"> v měsíci dubnu 2011 </w:t>
      </w:r>
      <w:r w:rsidR="002768A7" w:rsidRPr="00B43572">
        <w:rPr>
          <w:sz w:val="22"/>
          <w:szCs w:val="22"/>
        </w:rPr>
        <w:t>v částce 10 815 tis.</w:t>
      </w:r>
      <w:r w:rsidRPr="00B43572">
        <w:rPr>
          <w:sz w:val="22"/>
          <w:szCs w:val="22"/>
        </w:rPr>
        <w:t xml:space="preserve"> Kč</w:t>
      </w:r>
      <w:r w:rsidR="008F23EF" w:rsidRPr="00B43572">
        <w:rPr>
          <w:sz w:val="22"/>
          <w:szCs w:val="22"/>
        </w:rPr>
        <w:t xml:space="preserve"> zaúčtovalo MF na účet nákladů 501 </w:t>
      </w:r>
      <w:r w:rsidR="005C638A" w:rsidRPr="00B43572">
        <w:rPr>
          <w:sz w:val="22"/>
          <w:szCs w:val="22"/>
        </w:rPr>
        <w:t>–</w:t>
      </w:r>
      <w:r w:rsidR="008F23EF" w:rsidRPr="00B43572">
        <w:rPr>
          <w:sz w:val="22"/>
          <w:szCs w:val="22"/>
        </w:rPr>
        <w:t xml:space="preserve"> </w:t>
      </w:r>
      <w:r w:rsidR="008F23EF" w:rsidRPr="00B43572">
        <w:rPr>
          <w:i/>
          <w:sz w:val="22"/>
          <w:szCs w:val="22"/>
        </w:rPr>
        <w:t>Spotřeba materiálu.</w:t>
      </w:r>
      <w:r w:rsidR="008F23EF" w:rsidRPr="00B43572">
        <w:rPr>
          <w:sz w:val="22"/>
          <w:szCs w:val="22"/>
        </w:rPr>
        <w:t xml:space="preserve"> Tímto postupem MF ve </w:t>
      </w:r>
      <w:r w:rsidR="00C46C88">
        <w:rPr>
          <w:sz w:val="22"/>
          <w:szCs w:val="22"/>
        </w:rPr>
        <w:t>v</w:t>
      </w:r>
      <w:r w:rsidR="008F23EF" w:rsidRPr="00B43572">
        <w:rPr>
          <w:sz w:val="22"/>
          <w:szCs w:val="22"/>
        </w:rPr>
        <w:t xml:space="preserve">ýkazu zisku a ztráty sestaveném k 31. </w:t>
      </w:r>
      <w:r w:rsidR="005C638A" w:rsidRPr="00B43572">
        <w:rPr>
          <w:sz w:val="22"/>
          <w:szCs w:val="22"/>
        </w:rPr>
        <w:t>prosinci</w:t>
      </w:r>
      <w:r w:rsidR="008F23EF" w:rsidRPr="00B43572">
        <w:rPr>
          <w:sz w:val="22"/>
          <w:szCs w:val="22"/>
        </w:rPr>
        <w:t xml:space="preserve"> 2011 nadhodnotilo položku </w:t>
      </w:r>
      <w:proofErr w:type="gramStart"/>
      <w:r w:rsidR="008F23EF" w:rsidRPr="00421ED9">
        <w:rPr>
          <w:sz w:val="22"/>
          <w:szCs w:val="22"/>
        </w:rPr>
        <w:t>A.I.1.</w:t>
      </w:r>
      <w:proofErr w:type="gramEnd"/>
      <w:r w:rsidR="006223A4">
        <w:rPr>
          <w:sz w:val="22"/>
          <w:szCs w:val="22"/>
        </w:rPr>
        <w:t> </w:t>
      </w:r>
      <w:r w:rsidR="008F23EF" w:rsidRPr="00B43572">
        <w:rPr>
          <w:i/>
          <w:sz w:val="22"/>
          <w:szCs w:val="22"/>
        </w:rPr>
        <w:t>Spotřeba materiálu</w:t>
      </w:r>
      <w:r w:rsidR="008F23EF" w:rsidRPr="00B43572">
        <w:rPr>
          <w:sz w:val="22"/>
          <w:szCs w:val="22"/>
        </w:rPr>
        <w:t xml:space="preserve"> (syntetický účet 501) </w:t>
      </w:r>
      <w:r w:rsidR="002768A7" w:rsidRPr="00B43572">
        <w:rPr>
          <w:sz w:val="22"/>
          <w:szCs w:val="22"/>
        </w:rPr>
        <w:t>o</w:t>
      </w:r>
      <w:r w:rsidR="000F37F7" w:rsidRPr="00B43572">
        <w:rPr>
          <w:sz w:val="22"/>
          <w:szCs w:val="22"/>
        </w:rPr>
        <w:t> </w:t>
      </w:r>
      <w:r w:rsidR="002768A7" w:rsidRPr="00B43572">
        <w:rPr>
          <w:sz w:val="22"/>
          <w:szCs w:val="22"/>
        </w:rPr>
        <w:t>10 815 tis.</w:t>
      </w:r>
      <w:r w:rsidR="008F23EF" w:rsidRPr="00B43572">
        <w:rPr>
          <w:sz w:val="22"/>
          <w:szCs w:val="22"/>
        </w:rPr>
        <w:t xml:space="preserve"> Kč a o stejnou částku podhodnotilo položku </w:t>
      </w:r>
      <w:proofErr w:type="gramStart"/>
      <w:r w:rsidR="008F23EF" w:rsidRPr="00421ED9">
        <w:rPr>
          <w:sz w:val="22"/>
          <w:szCs w:val="22"/>
        </w:rPr>
        <w:t>A.I.8.</w:t>
      </w:r>
      <w:proofErr w:type="gramEnd"/>
      <w:r w:rsidR="006223A4">
        <w:rPr>
          <w:sz w:val="22"/>
          <w:szCs w:val="22"/>
        </w:rPr>
        <w:t> </w:t>
      </w:r>
      <w:r w:rsidR="008F23EF" w:rsidRPr="00B43572">
        <w:rPr>
          <w:i/>
          <w:sz w:val="22"/>
          <w:szCs w:val="22"/>
        </w:rPr>
        <w:t>Ostatní služby</w:t>
      </w:r>
      <w:r w:rsidR="008F23EF" w:rsidRPr="00B43572">
        <w:rPr>
          <w:sz w:val="22"/>
          <w:szCs w:val="22"/>
        </w:rPr>
        <w:t xml:space="preserve"> (syntetický účet 518).</w:t>
      </w:r>
    </w:p>
    <w:p w:rsidR="00E73970" w:rsidRPr="00B43572" w:rsidRDefault="00E73970" w:rsidP="00B43572">
      <w:pPr>
        <w:spacing w:before="0"/>
        <w:rPr>
          <w:sz w:val="22"/>
          <w:szCs w:val="22"/>
        </w:rPr>
      </w:pPr>
    </w:p>
    <w:p w:rsidR="0055227C" w:rsidRPr="00B43572" w:rsidRDefault="0002110C" w:rsidP="00B43572">
      <w:pPr>
        <w:spacing w:before="0"/>
        <w:rPr>
          <w:b/>
          <w:sz w:val="22"/>
          <w:szCs w:val="22"/>
        </w:rPr>
      </w:pPr>
      <w:r w:rsidRPr="00B43572">
        <w:rPr>
          <w:b/>
          <w:sz w:val="22"/>
          <w:szCs w:val="22"/>
        </w:rPr>
        <w:t>4</w:t>
      </w:r>
      <w:r w:rsidR="0055227C" w:rsidRPr="00B43572">
        <w:rPr>
          <w:b/>
          <w:sz w:val="22"/>
          <w:szCs w:val="22"/>
        </w:rPr>
        <w:t xml:space="preserve">. Financování budování a provozu Státní pokladny </w:t>
      </w:r>
    </w:p>
    <w:p w:rsidR="00B43572" w:rsidRPr="00B43572" w:rsidRDefault="00B43572" w:rsidP="00B43572">
      <w:pPr>
        <w:spacing w:before="0"/>
        <w:rPr>
          <w:sz w:val="22"/>
          <w:szCs w:val="22"/>
        </w:rPr>
      </w:pPr>
    </w:p>
    <w:p w:rsidR="009F5CD0" w:rsidRPr="00B43572" w:rsidRDefault="00DB35C5" w:rsidP="00B43572">
      <w:pPr>
        <w:spacing w:before="0"/>
        <w:rPr>
          <w:sz w:val="22"/>
          <w:szCs w:val="22"/>
        </w:rPr>
      </w:pPr>
      <w:r w:rsidRPr="00B43572">
        <w:rPr>
          <w:sz w:val="22"/>
          <w:szCs w:val="22"/>
        </w:rPr>
        <w:t>Skutečné výdaje realizované v rámci podprogramu 112 091</w:t>
      </w:r>
      <w:r w:rsidR="00C46C88">
        <w:rPr>
          <w:sz w:val="22"/>
          <w:szCs w:val="22"/>
        </w:rPr>
        <w:t> –</w:t>
      </w:r>
      <w:r w:rsidRPr="00B43572">
        <w:rPr>
          <w:sz w:val="22"/>
          <w:szCs w:val="22"/>
        </w:rPr>
        <w:t xml:space="preserve"> </w:t>
      </w:r>
      <w:r w:rsidRPr="003B0F6E">
        <w:rPr>
          <w:i/>
          <w:sz w:val="22"/>
          <w:szCs w:val="22"/>
        </w:rPr>
        <w:t>Integrovaný systém Státní pokladny</w:t>
      </w:r>
      <w:r w:rsidRPr="00B43572">
        <w:rPr>
          <w:sz w:val="22"/>
          <w:szCs w:val="22"/>
        </w:rPr>
        <w:t xml:space="preserve"> v letech 2008 až 2011 činily</w:t>
      </w:r>
      <w:r w:rsidR="00E955BE" w:rsidRPr="00B43572">
        <w:rPr>
          <w:sz w:val="22"/>
          <w:szCs w:val="22"/>
        </w:rPr>
        <w:t xml:space="preserve"> 2 574 567 tis.</w:t>
      </w:r>
      <w:r w:rsidR="005E66A0" w:rsidRPr="00B43572">
        <w:rPr>
          <w:sz w:val="22"/>
          <w:szCs w:val="22"/>
        </w:rPr>
        <w:t xml:space="preserve"> Kč.</w:t>
      </w:r>
    </w:p>
    <w:p w:rsidR="00B43572" w:rsidRPr="00B43572" w:rsidRDefault="00B43572" w:rsidP="00B43572">
      <w:pPr>
        <w:spacing w:before="0"/>
        <w:rPr>
          <w:sz w:val="22"/>
          <w:szCs w:val="22"/>
        </w:rPr>
      </w:pPr>
    </w:p>
    <w:p w:rsidR="00B43572" w:rsidRDefault="00DB35C5" w:rsidP="00B43572">
      <w:pPr>
        <w:spacing w:before="0" w:after="40"/>
        <w:ind w:left="1560" w:hanging="1560"/>
        <w:rPr>
          <w:b/>
          <w:sz w:val="22"/>
          <w:szCs w:val="22"/>
        </w:rPr>
      </w:pPr>
      <w:r w:rsidRPr="00B43572">
        <w:rPr>
          <w:b/>
          <w:sz w:val="22"/>
          <w:szCs w:val="22"/>
        </w:rPr>
        <w:t xml:space="preserve">Tabulka č. </w:t>
      </w:r>
      <w:r w:rsidR="00A722BB" w:rsidRPr="00B43572">
        <w:rPr>
          <w:b/>
          <w:sz w:val="22"/>
          <w:szCs w:val="22"/>
        </w:rPr>
        <w:t>5</w:t>
      </w:r>
      <w:r w:rsidRPr="00B43572">
        <w:rPr>
          <w:b/>
          <w:sz w:val="22"/>
          <w:szCs w:val="22"/>
        </w:rPr>
        <w:t xml:space="preserve"> –</w:t>
      </w:r>
      <w:r w:rsidR="00B43572">
        <w:rPr>
          <w:b/>
          <w:sz w:val="22"/>
          <w:szCs w:val="22"/>
        </w:rPr>
        <w:t xml:space="preserve"> </w:t>
      </w:r>
      <w:r w:rsidR="00B43572">
        <w:rPr>
          <w:b/>
          <w:sz w:val="22"/>
          <w:szCs w:val="22"/>
        </w:rPr>
        <w:tab/>
      </w:r>
      <w:r w:rsidRPr="00B43572">
        <w:rPr>
          <w:b/>
          <w:sz w:val="22"/>
          <w:szCs w:val="22"/>
        </w:rPr>
        <w:t>Skutečné výdaje</w:t>
      </w:r>
      <w:r w:rsidR="00C46C88">
        <w:rPr>
          <w:b/>
          <w:sz w:val="22"/>
          <w:szCs w:val="22"/>
        </w:rPr>
        <w:t xml:space="preserve"> vynaložené</w:t>
      </w:r>
      <w:r w:rsidRPr="00B43572">
        <w:rPr>
          <w:b/>
          <w:sz w:val="22"/>
          <w:szCs w:val="22"/>
        </w:rPr>
        <w:t xml:space="preserve"> v letech 2008 až 2011 v rámci </w:t>
      </w:r>
      <w:r w:rsidR="00955D4E" w:rsidRPr="00B43572">
        <w:rPr>
          <w:b/>
          <w:sz w:val="22"/>
          <w:szCs w:val="22"/>
        </w:rPr>
        <w:t>programu 112 09</w:t>
      </w:r>
      <w:r w:rsidR="00E11C57" w:rsidRPr="00B43572">
        <w:rPr>
          <w:b/>
          <w:sz w:val="22"/>
          <w:szCs w:val="22"/>
        </w:rPr>
        <w:t>,</w:t>
      </w:r>
      <w:r w:rsidR="00955D4E" w:rsidRPr="00B43572">
        <w:rPr>
          <w:b/>
          <w:sz w:val="22"/>
          <w:szCs w:val="22"/>
        </w:rPr>
        <w:t xml:space="preserve"> respektive </w:t>
      </w:r>
      <w:r w:rsidRPr="00B43572">
        <w:rPr>
          <w:b/>
          <w:sz w:val="22"/>
          <w:szCs w:val="22"/>
        </w:rPr>
        <w:t>podprogramu 112 091</w:t>
      </w:r>
    </w:p>
    <w:p w:rsidR="00DB35C5" w:rsidRPr="00B43572" w:rsidRDefault="00B43572" w:rsidP="00B43572">
      <w:pPr>
        <w:tabs>
          <w:tab w:val="left" w:pos="7938"/>
        </w:tabs>
        <w:spacing w:before="0" w:after="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55D4E" w:rsidRPr="00B43572">
        <w:rPr>
          <w:b/>
          <w:sz w:val="22"/>
          <w:szCs w:val="22"/>
        </w:rPr>
        <w:tab/>
      </w:r>
      <w:r w:rsidR="00DB35C5" w:rsidRPr="00B43572">
        <w:rPr>
          <w:b/>
          <w:sz w:val="22"/>
          <w:szCs w:val="22"/>
        </w:rPr>
        <w:t xml:space="preserve">(v </w:t>
      </w:r>
      <w:r w:rsidR="00E955BE" w:rsidRPr="00B43572">
        <w:rPr>
          <w:b/>
          <w:sz w:val="22"/>
          <w:szCs w:val="22"/>
        </w:rPr>
        <w:t xml:space="preserve">tis. </w:t>
      </w:r>
      <w:r w:rsidR="00DB35C5" w:rsidRPr="00B43572">
        <w:rPr>
          <w:b/>
          <w:sz w:val="22"/>
          <w:szCs w:val="22"/>
        </w:rPr>
        <w:t>Kč)</w:t>
      </w:r>
    </w:p>
    <w:tbl>
      <w:tblPr>
        <w:tblW w:w="897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835"/>
        <w:gridCol w:w="1058"/>
        <w:gridCol w:w="1134"/>
        <w:gridCol w:w="1134"/>
        <w:gridCol w:w="1134"/>
        <w:gridCol w:w="1096"/>
      </w:tblGrid>
      <w:tr w:rsidR="00B43572" w:rsidRPr="00B43572" w:rsidTr="000745BA">
        <w:trPr>
          <w:trHeight w:val="283"/>
          <w:jc w:val="center"/>
        </w:trPr>
        <w:tc>
          <w:tcPr>
            <w:tcW w:w="581" w:type="dxa"/>
            <w:vMerge w:val="restart"/>
            <w:vAlign w:val="center"/>
          </w:tcPr>
          <w:p w:rsidR="00B43572" w:rsidRPr="00B43572" w:rsidRDefault="000745BA" w:rsidP="00B43572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Číslo akce</w:t>
            </w:r>
          </w:p>
        </w:tc>
        <w:tc>
          <w:tcPr>
            <w:tcW w:w="2835" w:type="dxa"/>
            <w:vMerge w:val="restart"/>
            <w:vAlign w:val="center"/>
          </w:tcPr>
          <w:p w:rsidR="00B43572" w:rsidRPr="00B43572" w:rsidRDefault="000745BA" w:rsidP="00B43572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akce</w:t>
            </w:r>
          </w:p>
        </w:tc>
        <w:tc>
          <w:tcPr>
            <w:tcW w:w="5556" w:type="dxa"/>
            <w:gridSpan w:val="5"/>
            <w:shd w:val="clear" w:color="auto" w:fill="auto"/>
            <w:noWrap/>
            <w:vAlign w:val="center"/>
          </w:tcPr>
          <w:p w:rsidR="00B43572" w:rsidRPr="00B43572" w:rsidRDefault="000745BA" w:rsidP="00B43572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Skutečné výdaje</w:t>
            </w:r>
          </w:p>
        </w:tc>
      </w:tr>
      <w:tr w:rsidR="00DB35C5" w:rsidRPr="00B43572" w:rsidTr="000745BA">
        <w:trPr>
          <w:trHeight w:val="283"/>
          <w:jc w:val="center"/>
        </w:trPr>
        <w:tc>
          <w:tcPr>
            <w:tcW w:w="581" w:type="dxa"/>
            <w:vMerge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3572">
              <w:rPr>
                <w:b/>
                <w:b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3572">
              <w:rPr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3572">
              <w:rPr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3572">
              <w:rPr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3572">
              <w:rPr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DB35C5" w:rsidRPr="00B43572" w:rsidTr="000745BA">
        <w:trPr>
          <w:trHeight w:val="283"/>
          <w:jc w:val="center"/>
        </w:trPr>
        <w:tc>
          <w:tcPr>
            <w:tcW w:w="581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Integrovaný informační systém Státní pokladny (IISSP)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2E1DAF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1 147 599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2E1DAF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419 785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2E1DAF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682 088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2 249 472</w:t>
            </w:r>
          </w:p>
        </w:tc>
      </w:tr>
      <w:tr w:rsidR="00DB35C5" w:rsidRPr="00B43572" w:rsidTr="000745BA">
        <w:trPr>
          <w:trHeight w:val="283"/>
          <w:jc w:val="center"/>
        </w:trPr>
        <w:tc>
          <w:tcPr>
            <w:tcW w:w="581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ICT podpora SP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14 086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3 035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17 121</w:t>
            </w:r>
          </w:p>
        </w:tc>
      </w:tr>
      <w:tr w:rsidR="00DB35C5" w:rsidRPr="00B43572" w:rsidTr="000745BA">
        <w:trPr>
          <w:trHeight w:val="283"/>
          <w:jc w:val="center"/>
        </w:trPr>
        <w:tc>
          <w:tcPr>
            <w:tcW w:w="581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B35C5" w:rsidRPr="00B43572" w:rsidRDefault="00E11C57" w:rsidP="00B43572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Řízení státního dluhu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1 914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5 790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7 839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15 543</w:t>
            </w:r>
          </w:p>
        </w:tc>
      </w:tr>
      <w:tr w:rsidR="00DB35C5" w:rsidRPr="00B43572" w:rsidTr="000745BA">
        <w:trPr>
          <w:trHeight w:val="283"/>
          <w:jc w:val="center"/>
        </w:trPr>
        <w:tc>
          <w:tcPr>
            <w:tcW w:w="581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Služby právní podpory při realizaci IISSP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2 909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 xml:space="preserve">4 040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8 097</w:t>
            </w:r>
          </w:p>
        </w:tc>
      </w:tr>
      <w:tr w:rsidR="00DB35C5" w:rsidRPr="00B43572" w:rsidTr="000745BA">
        <w:trPr>
          <w:trHeight w:val="283"/>
          <w:jc w:val="center"/>
        </w:trPr>
        <w:tc>
          <w:tcPr>
            <w:tcW w:w="581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left"/>
              <w:rPr>
                <w:color w:val="000000"/>
                <w:sz w:val="18"/>
                <w:szCs w:val="18"/>
                <w:vertAlign w:val="superscript"/>
              </w:rPr>
            </w:pPr>
            <w:r w:rsidRPr="00B43572">
              <w:rPr>
                <w:color w:val="000000"/>
                <w:sz w:val="18"/>
                <w:szCs w:val="18"/>
              </w:rPr>
              <w:t>Služby manažera projektu pro realizaci ISSP</w:t>
            </w:r>
            <w:r w:rsidR="00511726" w:rsidRPr="00B43572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7 259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22 557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21 541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14 565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65 922</w:t>
            </w:r>
          </w:p>
        </w:tc>
      </w:tr>
      <w:tr w:rsidR="00DB35C5" w:rsidRPr="00B43572" w:rsidTr="000745BA">
        <w:trPr>
          <w:trHeight w:val="283"/>
          <w:jc w:val="center"/>
        </w:trPr>
        <w:tc>
          <w:tcPr>
            <w:tcW w:w="581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B35C5" w:rsidRPr="00B43572" w:rsidRDefault="00C46C88" w:rsidP="00C46C88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 EDS/ISPROFIN a </w:t>
            </w:r>
            <w:r w:rsidR="00DB35C5" w:rsidRPr="00B43572">
              <w:rPr>
                <w:color w:val="000000"/>
                <w:sz w:val="18"/>
                <w:szCs w:val="18"/>
              </w:rPr>
              <w:t>SMVS/ISPROFIN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20 997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29 838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10 016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44 119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104 970</w:t>
            </w:r>
          </w:p>
        </w:tc>
      </w:tr>
      <w:tr w:rsidR="00DB35C5" w:rsidRPr="00B43572" w:rsidTr="000745BA">
        <w:trPr>
          <w:trHeight w:val="283"/>
          <w:jc w:val="center"/>
        </w:trPr>
        <w:tc>
          <w:tcPr>
            <w:tcW w:w="581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B35C5" w:rsidRPr="00B43572" w:rsidRDefault="000745BA" w:rsidP="00B43572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Rezerva v </w:t>
            </w:r>
            <w:r w:rsidR="00DB35C5" w:rsidRPr="00B43572">
              <w:rPr>
                <w:color w:val="000000"/>
                <w:sz w:val="18"/>
                <w:szCs w:val="18"/>
              </w:rPr>
              <w:t>nákladech na projekty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1 738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1 738</w:t>
            </w:r>
          </w:p>
        </w:tc>
      </w:tr>
      <w:tr w:rsidR="00DB35C5" w:rsidRPr="00B43572" w:rsidTr="000745BA">
        <w:trPr>
          <w:trHeight w:val="283"/>
          <w:jc w:val="center"/>
        </w:trPr>
        <w:tc>
          <w:tcPr>
            <w:tcW w:w="581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Projektový</w:t>
            </w:r>
            <w:r w:rsidR="000745BA">
              <w:rPr>
                <w:color w:val="000000"/>
                <w:sz w:val="18"/>
                <w:szCs w:val="18"/>
              </w:rPr>
              <w:t xml:space="preserve"> dozor vývoje IS EDS/ISPROFIN a </w:t>
            </w:r>
            <w:r w:rsidRPr="00B43572">
              <w:rPr>
                <w:color w:val="000000"/>
                <w:sz w:val="18"/>
                <w:szCs w:val="18"/>
              </w:rPr>
              <w:t>SMVS/ISPROFIN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2 063</w:t>
            </w:r>
          </w:p>
        </w:tc>
      </w:tr>
      <w:tr w:rsidR="00DB35C5" w:rsidRPr="00B43572" w:rsidTr="000745BA">
        <w:trPr>
          <w:trHeight w:val="283"/>
          <w:jc w:val="center"/>
        </w:trPr>
        <w:tc>
          <w:tcPr>
            <w:tcW w:w="581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B35C5" w:rsidRPr="00B43572" w:rsidRDefault="00DB35C5" w:rsidP="00C46C88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 xml:space="preserve">IISSP </w:t>
            </w:r>
            <w:r w:rsidR="00C46C88">
              <w:rPr>
                <w:color w:val="000000"/>
                <w:sz w:val="18"/>
                <w:szCs w:val="18"/>
              </w:rPr>
              <w:t>–</w:t>
            </w:r>
            <w:r w:rsidRPr="00B43572">
              <w:rPr>
                <w:color w:val="000000"/>
                <w:sz w:val="18"/>
                <w:szCs w:val="18"/>
              </w:rPr>
              <w:t xml:space="preserve"> podpora, licenční poplatky SAP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0</w:t>
            </w:r>
          </w:p>
        </w:tc>
      </w:tr>
      <w:tr w:rsidR="00DB35C5" w:rsidRPr="00B43572" w:rsidTr="000745BA">
        <w:trPr>
          <w:trHeight w:val="283"/>
          <w:jc w:val="center"/>
        </w:trPr>
        <w:tc>
          <w:tcPr>
            <w:tcW w:w="581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Aplikační podpora IISSP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109 641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E955B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109 641</w:t>
            </w:r>
          </w:p>
        </w:tc>
      </w:tr>
      <w:tr w:rsidR="00955D4E" w:rsidRPr="00B43572" w:rsidTr="000745BA">
        <w:trPr>
          <w:trHeight w:val="283"/>
          <w:jc w:val="center"/>
        </w:trPr>
        <w:tc>
          <w:tcPr>
            <w:tcW w:w="581" w:type="dxa"/>
            <w:shd w:val="clear" w:color="auto" w:fill="FFFFFF" w:themeFill="background1"/>
            <w:noWrap/>
            <w:vAlign w:val="center"/>
          </w:tcPr>
          <w:p w:rsidR="00955D4E" w:rsidRPr="00B43572" w:rsidRDefault="00955D4E" w:rsidP="00B43572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55D4E" w:rsidRPr="00B43572" w:rsidRDefault="00955D4E" w:rsidP="00B43572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ÚFIS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</w:tcPr>
          <w:p w:rsidR="00955D4E" w:rsidRPr="00B43572" w:rsidRDefault="00955D4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55D4E" w:rsidRPr="00B43572" w:rsidRDefault="00955D4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55D4E" w:rsidRPr="00B43572" w:rsidRDefault="00955D4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55D4E" w:rsidRPr="00B43572" w:rsidRDefault="00955D4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955D4E" w:rsidRPr="00B43572" w:rsidRDefault="00955D4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0</w:t>
            </w:r>
          </w:p>
        </w:tc>
      </w:tr>
      <w:tr w:rsidR="00955D4E" w:rsidRPr="00B43572" w:rsidTr="000745BA">
        <w:trPr>
          <w:trHeight w:val="283"/>
          <w:jc w:val="center"/>
        </w:trPr>
        <w:tc>
          <w:tcPr>
            <w:tcW w:w="581" w:type="dxa"/>
            <w:shd w:val="clear" w:color="auto" w:fill="FFFFFF" w:themeFill="background1"/>
            <w:noWrap/>
            <w:vAlign w:val="center"/>
          </w:tcPr>
          <w:p w:rsidR="00955D4E" w:rsidRPr="00B43572" w:rsidRDefault="00955D4E" w:rsidP="00B43572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55D4E" w:rsidRPr="00B43572" w:rsidRDefault="00955D4E" w:rsidP="00B43572">
            <w:pPr>
              <w:spacing w:before="20" w:after="20"/>
              <w:jc w:val="lef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Bázová podpora IISSP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</w:tcPr>
          <w:p w:rsidR="00955D4E" w:rsidRPr="00B43572" w:rsidRDefault="00955D4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55D4E" w:rsidRPr="00B43572" w:rsidRDefault="00955D4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55D4E" w:rsidRPr="00B43572" w:rsidRDefault="00955D4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55D4E" w:rsidRPr="00B43572" w:rsidRDefault="00955D4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955D4E" w:rsidRPr="00B43572" w:rsidRDefault="00955D4E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0</w:t>
            </w:r>
          </w:p>
        </w:tc>
      </w:tr>
      <w:tr w:rsidR="00DB35C5" w:rsidRPr="00B43572" w:rsidTr="000745BA">
        <w:trPr>
          <w:trHeight w:val="283"/>
          <w:jc w:val="center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B35C5" w:rsidP="00B43572">
            <w:pPr>
              <w:spacing w:before="20" w:after="2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43572">
              <w:rPr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58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02C79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45 902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02C79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1 209 895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02C79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459 545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02C79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859 225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DB35C5" w:rsidRPr="00B43572" w:rsidRDefault="00D02C79" w:rsidP="00B43572">
            <w:pPr>
              <w:spacing w:before="20" w:after="20"/>
              <w:ind w:right="28"/>
              <w:jc w:val="right"/>
              <w:rPr>
                <w:color w:val="000000"/>
                <w:sz w:val="18"/>
                <w:szCs w:val="18"/>
              </w:rPr>
            </w:pPr>
            <w:r w:rsidRPr="00B43572">
              <w:rPr>
                <w:color w:val="000000"/>
                <w:sz w:val="18"/>
                <w:szCs w:val="18"/>
              </w:rPr>
              <w:t>2 574 567</w:t>
            </w:r>
          </w:p>
        </w:tc>
      </w:tr>
    </w:tbl>
    <w:p w:rsidR="00DB35C5" w:rsidRPr="00CC53BF" w:rsidRDefault="00DB35C5" w:rsidP="000745BA">
      <w:pPr>
        <w:spacing w:before="40"/>
        <w:rPr>
          <w:sz w:val="18"/>
          <w:szCs w:val="18"/>
        </w:rPr>
      </w:pPr>
      <w:r w:rsidRPr="000F37F7">
        <w:rPr>
          <w:b/>
          <w:sz w:val="18"/>
          <w:szCs w:val="18"/>
        </w:rPr>
        <w:t>Zdroj</w:t>
      </w:r>
      <w:r>
        <w:rPr>
          <w:sz w:val="18"/>
          <w:szCs w:val="18"/>
        </w:rPr>
        <w:t xml:space="preserve">: </w:t>
      </w:r>
      <w:r w:rsidR="00C46C88">
        <w:rPr>
          <w:sz w:val="18"/>
          <w:szCs w:val="18"/>
        </w:rPr>
        <w:t>ú</w:t>
      </w:r>
      <w:r w:rsidR="003E3D55">
        <w:rPr>
          <w:sz w:val="18"/>
          <w:szCs w:val="18"/>
        </w:rPr>
        <w:t xml:space="preserve">daje MF </w:t>
      </w:r>
      <w:r w:rsidR="006A41D2">
        <w:rPr>
          <w:sz w:val="18"/>
          <w:szCs w:val="18"/>
        </w:rPr>
        <w:t>předložené při kontrole</w:t>
      </w:r>
      <w:r w:rsidR="005C638A">
        <w:rPr>
          <w:sz w:val="18"/>
          <w:szCs w:val="18"/>
        </w:rPr>
        <w:t>.</w:t>
      </w:r>
    </w:p>
    <w:p w:rsidR="00A21590" w:rsidRDefault="00A21590" w:rsidP="000745BA">
      <w:pPr>
        <w:spacing w:before="0"/>
        <w:rPr>
          <w:color w:val="000000" w:themeColor="text1"/>
          <w:sz w:val="22"/>
          <w:szCs w:val="22"/>
        </w:rPr>
      </w:pPr>
    </w:p>
    <w:p w:rsidR="007357D2" w:rsidRPr="0025363E" w:rsidRDefault="00934630" w:rsidP="000745BA">
      <w:pPr>
        <w:spacing w:before="0"/>
        <w:rPr>
          <w:sz w:val="22"/>
          <w:szCs w:val="22"/>
        </w:rPr>
      </w:pPr>
      <w:r w:rsidRPr="007357D2">
        <w:rPr>
          <w:color w:val="000000" w:themeColor="text1"/>
          <w:sz w:val="22"/>
          <w:szCs w:val="22"/>
        </w:rPr>
        <w:t>Budová</w:t>
      </w:r>
      <w:r w:rsidR="0025363E">
        <w:rPr>
          <w:color w:val="000000" w:themeColor="text1"/>
          <w:sz w:val="22"/>
          <w:szCs w:val="22"/>
        </w:rPr>
        <w:t xml:space="preserve">ní a provoz Státní pokladny </w:t>
      </w:r>
      <w:r w:rsidR="00C46C88">
        <w:rPr>
          <w:color w:val="000000" w:themeColor="text1"/>
          <w:sz w:val="22"/>
          <w:szCs w:val="22"/>
        </w:rPr>
        <w:t>financovalo</w:t>
      </w:r>
      <w:r w:rsidR="00C46C88" w:rsidRPr="007357D2">
        <w:rPr>
          <w:color w:val="000000" w:themeColor="text1"/>
          <w:sz w:val="22"/>
          <w:szCs w:val="22"/>
        </w:rPr>
        <w:t xml:space="preserve"> </w:t>
      </w:r>
      <w:r w:rsidR="0025363E">
        <w:rPr>
          <w:color w:val="000000" w:themeColor="text1"/>
          <w:sz w:val="22"/>
          <w:szCs w:val="22"/>
        </w:rPr>
        <w:t xml:space="preserve">MF </w:t>
      </w:r>
      <w:r w:rsidRPr="007357D2">
        <w:rPr>
          <w:color w:val="000000" w:themeColor="text1"/>
          <w:sz w:val="22"/>
          <w:szCs w:val="22"/>
        </w:rPr>
        <w:t>také z</w:t>
      </w:r>
      <w:r w:rsidR="007357D2" w:rsidRPr="007357D2">
        <w:rPr>
          <w:color w:val="000000" w:themeColor="text1"/>
          <w:sz w:val="22"/>
          <w:szCs w:val="22"/>
        </w:rPr>
        <w:t xml:space="preserve"> programu </w:t>
      </w:r>
      <w:r w:rsidR="007357D2" w:rsidRPr="007357D2">
        <w:rPr>
          <w:iCs/>
          <w:color w:val="000000" w:themeColor="text1"/>
          <w:sz w:val="22"/>
          <w:szCs w:val="22"/>
        </w:rPr>
        <w:t>112 01</w:t>
      </w:r>
      <w:r w:rsidR="00C46C88">
        <w:rPr>
          <w:iCs/>
          <w:color w:val="000000" w:themeColor="text1"/>
          <w:sz w:val="22"/>
          <w:szCs w:val="22"/>
        </w:rPr>
        <w:t> </w:t>
      </w:r>
      <w:r w:rsidR="007357D2" w:rsidRPr="007357D2">
        <w:rPr>
          <w:iCs/>
          <w:color w:val="000000" w:themeColor="text1"/>
          <w:sz w:val="22"/>
          <w:szCs w:val="22"/>
        </w:rPr>
        <w:t xml:space="preserve"> </w:t>
      </w:r>
      <w:r w:rsidR="007357D2" w:rsidRPr="00F6726F">
        <w:rPr>
          <w:i/>
          <w:iCs/>
          <w:color w:val="000000" w:themeColor="text1"/>
          <w:sz w:val="22"/>
          <w:szCs w:val="22"/>
        </w:rPr>
        <w:t>Rozvoj a</w:t>
      </w:r>
      <w:r w:rsidR="00C46C88" w:rsidRPr="00F6726F">
        <w:rPr>
          <w:i/>
          <w:iCs/>
          <w:color w:val="000000" w:themeColor="text1"/>
          <w:sz w:val="22"/>
          <w:szCs w:val="22"/>
        </w:rPr>
        <w:t> </w:t>
      </w:r>
      <w:r w:rsidR="007357D2" w:rsidRPr="00F6726F">
        <w:rPr>
          <w:i/>
          <w:iCs/>
          <w:color w:val="000000" w:themeColor="text1"/>
          <w:sz w:val="22"/>
          <w:szCs w:val="22"/>
        </w:rPr>
        <w:t>obnova materiálně technické základny systému řízení MF od roku 2007</w:t>
      </w:r>
      <w:r w:rsidR="0025363E">
        <w:rPr>
          <w:iCs/>
          <w:color w:val="000000" w:themeColor="text1"/>
          <w:sz w:val="22"/>
          <w:szCs w:val="22"/>
        </w:rPr>
        <w:t>. H</w:t>
      </w:r>
      <w:r w:rsidR="007357D2" w:rsidRPr="007357D2">
        <w:rPr>
          <w:iCs/>
          <w:color w:val="000000" w:themeColor="text1"/>
          <w:sz w:val="22"/>
          <w:szCs w:val="22"/>
        </w:rPr>
        <w:t>ospodaření s těmit</w:t>
      </w:r>
      <w:r w:rsidR="0025363E">
        <w:rPr>
          <w:iCs/>
          <w:color w:val="000000" w:themeColor="text1"/>
          <w:sz w:val="22"/>
          <w:szCs w:val="22"/>
        </w:rPr>
        <w:t>o peněžními prostředky nebylo předmětem kontroly</w:t>
      </w:r>
      <w:r w:rsidR="00A21590">
        <w:rPr>
          <w:iCs/>
          <w:color w:val="000000" w:themeColor="text1"/>
          <w:sz w:val="22"/>
          <w:szCs w:val="22"/>
        </w:rPr>
        <w:t xml:space="preserve">. </w:t>
      </w:r>
      <w:r w:rsidR="00A21590" w:rsidRPr="00A21590">
        <w:rPr>
          <w:sz w:val="22"/>
          <w:szCs w:val="22"/>
        </w:rPr>
        <w:t xml:space="preserve">Jednalo se </w:t>
      </w:r>
      <w:r w:rsidR="0025363E">
        <w:rPr>
          <w:sz w:val="22"/>
          <w:szCs w:val="22"/>
        </w:rPr>
        <w:t xml:space="preserve">o </w:t>
      </w:r>
      <w:r w:rsidR="00A21590" w:rsidRPr="00A21590">
        <w:rPr>
          <w:sz w:val="22"/>
          <w:szCs w:val="22"/>
        </w:rPr>
        <w:t xml:space="preserve">výdaje vynaložené v letech 2008 </w:t>
      </w:r>
      <w:r w:rsidR="005308F4">
        <w:rPr>
          <w:sz w:val="22"/>
          <w:szCs w:val="22"/>
        </w:rPr>
        <w:t>až 2011 v částce 508 984 tis.</w:t>
      </w:r>
      <w:r w:rsidR="0025363E">
        <w:rPr>
          <w:sz w:val="22"/>
          <w:szCs w:val="22"/>
        </w:rPr>
        <w:t xml:space="preserve"> Kč, z toho</w:t>
      </w:r>
      <w:r w:rsidR="00A21590">
        <w:rPr>
          <w:sz w:val="22"/>
          <w:szCs w:val="22"/>
        </w:rPr>
        <w:t>:</w:t>
      </w:r>
    </w:p>
    <w:p w:rsidR="00934630" w:rsidRPr="00191556" w:rsidRDefault="005308F4" w:rsidP="000745BA">
      <w:pPr>
        <w:pStyle w:val="Odstavecseseznamem"/>
        <w:numPr>
          <w:ilvl w:val="0"/>
          <w:numId w:val="19"/>
        </w:numPr>
        <w:spacing w:before="0" w:after="0"/>
        <w:ind w:left="284" w:hanging="284"/>
        <w:rPr>
          <w:iCs/>
        </w:rPr>
      </w:pPr>
      <w:r>
        <w:rPr>
          <w:iCs/>
        </w:rPr>
        <w:t>498 693 tis.</w:t>
      </w:r>
      <w:r w:rsidR="00934630" w:rsidRPr="00191556">
        <w:rPr>
          <w:iCs/>
        </w:rPr>
        <w:t xml:space="preserve"> Kč </w:t>
      </w:r>
      <w:r w:rsidR="00A21590">
        <w:rPr>
          <w:iCs/>
        </w:rPr>
        <w:t>n</w:t>
      </w:r>
      <w:r w:rsidR="00934630">
        <w:rPr>
          <w:iCs/>
        </w:rPr>
        <w:t xml:space="preserve">a </w:t>
      </w:r>
      <w:r w:rsidR="00934630" w:rsidRPr="00191556">
        <w:rPr>
          <w:iCs/>
        </w:rPr>
        <w:t xml:space="preserve">služby bezpečného datového centra pro provoz IISSP a služby </w:t>
      </w:r>
      <w:proofErr w:type="spellStart"/>
      <w:r w:rsidR="00934630" w:rsidRPr="00F6726F">
        <w:rPr>
          <w:iCs/>
        </w:rPr>
        <w:t>Service</w:t>
      </w:r>
      <w:proofErr w:type="spellEnd"/>
      <w:r w:rsidR="00934630" w:rsidRPr="00F6726F">
        <w:rPr>
          <w:iCs/>
        </w:rPr>
        <w:t xml:space="preserve"> </w:t>
      </w:r>
      <w:proofErr w:type="spellStart"/>
      <w:r w:rsidR="00934630" w:rsidRPr="00F6726F">
        <w:rPr>
          <w:iCs/>
        </w:rPr>
        <w:t>Desk</w:t>
      </w:r>
      <w:proofErr w:type="spellEnd"/>
      <w:r w:rsidR="00934630" w:rsidRPr="00191556">
        <w:rPr>
          <w:iCs/>
        </w:rPr>
        <w:t xml:space="preserve"> pro uživatele IISSP</w:t>
      </w:r>
      <w:r w:rsidR="00934630">
        <w:rPr>
          <w:iCs/>
        </w:rPr>
        <w:t>;</w:t>
      </w:r>
      <w:r w:rsidR="00934630" w:rsidRPr="00191556">
        <w:rPr>
          <w:iCs/>
        </w:rPr>
        <w:t xml:space="preserve"> </w:t>
      </w:r>
    </w:p>
    <w:p w:rsidR="00D05C1F" w:rsidRPr="00E73970" w:rsidRDefault="005308F4" w:rsidP="000745BA">
      <w:pPr>
        <w:pStyle w:val="Odstavecseseznamem"/>
        <w:numPr>
          <w:ilvl w:val="0"/>
          <w:numId w:val="19"/>
        </w:numPr>
        <w:spacing w:before="0" w:after="0"/>
        <w:ind w:left="284" w:hanging="284"/>
      </w:pPr>
      <w:r>
        <w:rPr>
          <w:color w:val="000000" w:themeColor="text1"/>
        </w:rPr>
        <w:t>10 291 tis.</w:t>
      </w:r>
      <w:r w:rsidR="00A707FD" w:rsidRPr="00A21590">
        <w:rPr>
          <w:color w:val="000000" w:themeColor="text1"/>
        </w:rPr>
        <w:t xml:space="preserve"> Kč </w:t>
      </w:r>
      <w:r w:rsidR="00C46C88">
        <w:rPr>
          <w:color w:val="000000" w:themeColor="text1"/>
        </w:rPr>
        <w:t xml:space="preserve">bylo vynaloženo </w:t>
      </w:r>
      <w:r w:rsidR="00A707FD" w:rsidRPr="00A21590">
        <w:rPr>
          <w:color w:val="000000" w:themeColor="text1"/>
        </w:rPr>
        <w:t xml:space="preserve">na </w:t>
      </w:r>
      <w:r w:rsidR="00934630" w:rsidRPr="00A21590">
        <w:rPr>
          <w:color w:val="000000" w:themeColor="text1"/>
        </w:rPr>
        <w:t xml:space="preserve">vývoj </w:t>
      </w:r>
      <w:r w:rsidR="00A707FD" w:rsidRPr="00A21590">
        <w:rPr>
          <w:color w:val="000000" w:themeColor="text1"/>
        </w:rPr>
        <w:t>a</w:t>
      </w:r>
      <w:r w:rsidR="00934630" w:rsidRPr="00A21590">
        <w:rPr>
          <w:color w:val="000000" w:themeColor="text1"/>
        </w:rPr>
        <w:t xml:space="preserve"> provoz aplikace </w:t>
      </w:r>
      <w:r w:rsidR="0025363E" w:rsidRPr="00F6726F">
        <w:rPr>
          <w:i/>
          <w:color w:val="000000" w:themeColor="text1"/>
        </w:rPr>
        <w:t>Prezentační systém finančních a účetních informací státu (</w:t>
      </w:r>
      <w:r w:rsidR="00934630" w:rsidRPr="00F6726F">
        <w:rPr>
          <w:i/>
          <w:color w:val="000000" w:themeColor="text1"/>
        </w:rPr>
        <w:t>ÚFIS</w:t>
      </w:r>
      <w:r w:rsidR="0025363E" w:rsidRPr="00F6726F">
        <w:rPr>
          <w:i/>
          <w:color w:val="000000" w:themeColor="text1"/>
        </w:rPr>
        <w:t>)</w:t>
      </w:r>
      <w:r w:rsidR="00934630" w:rsidRPr="00A21590">
        <w:rPr>
          <w:color w:val="000000" w:themeColor="text1"/>
        </w:rPr>
        <w:t xml:space="preserve"> umožňující uživatelsky aktivní přístup k vybraným údajům účetních a finančních informací státu z</w:t>
      </w:r>
      <w:r w:rsidR="0025363E">
        <w:rPr>
          <w:color w:val="000000" w:themeColor="text1"/>
        </w:rPr>
        <w:t> </w:t>
      </w:r>
      <w:r w:rsidR="0025363E" w:rsidRPr="00866BAF">
        <w:rPr>
          <w:i/>
          <w:color w:val="000000" w:themeColor="text1"/>
        </w:rPr>
        <w:t>Centrálního systému</w:t>
      </w:r>
      <w:r w:rsidR="003E3904" w:rsidRPr="00866BAF">
        <w:rPr>
          <w:i/>
          <w:color w:val="000000" w:themeColor="text1"/>
        </w:rPr>
        <w:t xml:space="preserve"> účetních infor</w:t>
      </w:r>
      <w:r w:rsidR="0025363E" w:rsidRPr="00866BAF">
        <w:rPr>
          <w:i/>
          <w:color w:val="000000" w:themeColor="text1"/>
        </w:rPr>
        <w:t>m</w:t>
      </w:r>
      <w:r w:rsidR="003E3904" w:rsidRPr="00866BAF">
        <w:rPr>
          <w:i/>
          <w:color w:val="000000" w:themeColor="text1"/>
        </w:rPr>
        <w:t>ací státu</w:t>
      </w:r>
      <w:r w:rsidR="003E3904">
        <w:rPr>
          <w:color w:val="000000" w:themeColor="text1"/>
        </w:rPr>
        <w:t xml:space="preserve"> a zajišťující zveřejňování účetních závěrek organizačních složek státu.</w:t>
      </w:r>
    </w:p>
    <w:p w:rsidR="00D05C1F" w:rsidRDefault="00D05C1F" w:rsidP="000745BA">
      <w:pPr>
        <w:spacing w:before="0"/>
        <w:rPr>
          <w:sz w:val="22"/>
          <w:szCs w:val="22"/>
        </w:rPr>
      </w:pPr>
    </w:p>
    <w:p w:rsidR="00121A4A" w:rsidRDefault="00121A4A" w:rsidP="000745BA">
      <w:pPr>
        <w:spacing w:before="0"/>
        <w:rPr>
          <w:sz w:val="22"/>
          <w:szCs w:val="22"/>
        </w:rPr>
      </w:pPr>
    </w:p>
    <w:p w:rsidR="000D4371" w:rsidRDefault="000D4371" w:rsidP="000745BA">
      <w:pPr>
        <w:spacing w:before="0"/>
        <w:rPr>
          <w:sz w:val="22"/>
          <w:szCs w:val="22"/>
        </w:rPr>
      </w:pPr>
    </w:p>
    <w:p w:rsidR="007E09FB" w:rsidRPr="002319CD" w:rsidRDefault="007E09FB" w:rsidP="000745BA">
      <w:pPr>
        <w:spacing w:before="0"/>
        <w:jc w:val="center"/>
        <w:rPr>
          <w:b/>
        </w:rPr>
      </w:pPr>
      <w:r w:rsidRPr="002319CD">
        <w:rPr>
          <w:b/>
        </w:rPr>
        <w:lastRenderedPageBreak/>
        <w:t>III. Shrnutí a vyhodnocení</w:t>
      </w:r>
    </w:p>
    <w:p w:rsidR="007E09FB" w:rsidRDefault="007E09FB" w:rsidP="000745BA">
      <w:pPr>
        <w:spacing w:before="0"/>
        <w:rPr>
          <w:sz w:val="22"/>
          <w:szCs w:val="22"/>
        </w:rPr>
      </w:pPr>
    </w:p>
    <w:p w:rsidR="00C9383A" w:rsidRDefault="007E09FB" w:rsidP="000745BA">
      <w:pPr>
        <w:spacing w:before="0"/>
        <w:rPr>
          <w:iCs/>
          <w:sz w:val="22"/>
          <w:szCs w:val="22"/>
        </w:rPr>
      </w:pPr>
      <w:r w:rsidRPr="00440612">
        <w:rPr>
          <w:sz w:val="22"/>
          <w:szCs w:val="22"/>
        </w:rPr>
        <w:t>Cílem kontrolní akce bylo p</w:t>
      </w:r>
      <w:r w:rsidR="003C19EA">
        <w:rPr>
          <w:iCs/>
          <w:sz w:val="22"/>
          <w:szCs w:val="22"/>
        </w:rPr>
        <w:t>rověřit</w:t>
      </w:r>
      <w:r w:rsidR="004040FA">
        <w:rPr>
          <w:iCs/>
          <w:sz w:val="22"/>
          <w:szCs w:val="22"/>
        </w:rPr>
        <w:t xml:space="preserve"> </w:t>
      </w:r>
      <w:r w:rsidR="005B3BD5">
        <w:rPr>
          <w:iCs/>
          <w:sz w:val="22"/>
          <w:szCs w:val="22"/>
        </w:rPr>
        <w:t>použití peněžních prostředků vynaložených v souvislosti s budováním informační</w:t>
      </w:r>
      <w:r w:rsidR="0025363E">
        <w:rPr>
          <w:iCs/>
          <w:sz w:val="22"/>
          <w:szCs w:val="22"/>
        </w:rPr>
        <w:t>ho systému Státní pokladny. Kontrolou byly prověřeny peněžní prostředky v </w:t>
      </w:r>
      <w:r w:rsidR="000A04CB">
        <w:rPr>
          <w:iCs/>
          <w:sz w:val="22"/>
          <w:szCs w:val="22"/>
        </w:rPr>
        <w:t xml:space="preserve">částce </w:t>
      </w:r>
      <w:r w:rsidR="005308F4">
        <w:rPr>
          <w:sz w:val="22"/>
          <w:szCs w:val="22"/>
          <w:lang w:eastAsia="cs-CZ"/>
        </w:rPr>
        <w:t>2 426 773 tis.</w:t>
      </w:r>
      <w:r w:rsidR="003E3904">
        <w:rPr>
          <w:iCs/>
          <w:sz w:val="22"/>
          <w:szCs w:val="22"/>
        </w:rPr>
        <w:t xml:space="preserve"> Kč</w:t>
      </w:r>
      <w:r w:rsidR="0025363E">
        <w:rPr>
          <w:iCs/>
          <w:sz w:val="22"/>
          <w:szCs w:val="22"/>
        </w:rPr>
        <w:t xml:space="preserve"> vynaložené v letech 2008 až 2011 v rámci podprogramu 112 091</w:t>
      </w:r>
      <w:r w:rsidR="0051726C">
        <w:rPr>
          <w:iCs/>
          <w:sz w:val="22"/>
          <w:szCs w:val="22"/>
        </w:rPr>
        <w:t> –</w:t>
      </w:r>
      <w:r w:rsidR="0025363E">
        <w:rPr>
          <w:iCs/>
          <w:sz w:val="22"/>
          <w:szCs w:val="22"/>
        </w:rPr>
        <w:t xml:space="preserve"> </w:t>
      </w:r>
      <w:r w:rsidR="0025363E" w:rsidRPr="00BB25CD">
        <w:rPr>
          <w:i/>
          <w:iCs/>
          <w:sz w:val="22"/>
          <w:szCs w:val="22"/>
        </w:rPr>
        <w:t>Integrovaný systém Státní pokladny</w:t>
      </w:r>
      <w:r w:rsidR="0025363E">
        <w:rPr>
          <w:iCs/>
          <w:sz w:val="22"/>
          <w:szCs w:val="22"/>
        </w:rPr>
        <w:t xml:space="preserve"> na</w:t>
      </w:r>
      <w:r w:rsidR="003E3904">
        <w:rPr>
          <w:iCs/>
          <w:sz w:val="22"/>
          <w:szCs w:val="22"/>
        </w:rPr>
        <w:t xml:space="preserve"> čtyři</w:t>
      </w:r>
      <w:r w:rsidR="00810512">
        <w:rPr>
          <w:iCs/>
          <w:sz w:val="22"/>
          <w:szCs w:val="22"/>
        </w:rPr>
        <w:t xml:space="preserve"> akce</w:t>
      </w:r>
      <w:r w:rsidR="00000F73">
        <w:rPr>
          <w:iCs/>
          <w:sz w:val="22"/>
          <w:szCs w:val="22"/>
        </w:rPr>
        <w:t xml:space="preserve">: </w:t>
      </w:r>
      <w:r w:rsidR="0025363E" w:rsidRPr="00BB25CD">
        <w:rPr>
          <w:i/>
          <w:iCs/>
          <w:sz w:val="22"/>
          <w:szCs w:val="22"/>
        </w:rPr>
        <w:t>Integrovaný informační systém Státní pokladny</w:t>
      </w:r>
      <w:r w:rsidR="00000F73" w:rsidRPr="00BB25CD">
        <w:rPr>
          <w:i/>
          <w:iCs/>
          <w:sz w:val="22"/>
          <w:szCs w:val="22"/>
        </w:rPr>
        <w:t xml:space="preserve"> (IISSP)</w:t>
      </w:r>
      <w:r w:rsidR="00000F73" w:rsidRPr="00000F73">
        <w:rPr>
          <w:iCs/>
          <w:sz w:val="22"/>
          <w:szCs w:val="22"/>
        </w:rPr>
        <w:t xml:space="preserve">, </w:t>
      </w:r>
      <w:r w:rsidR="0025363E" w:rsidRPr="00BB25CD">
        <w:rPr>
          <w:i/>
          <w:iCs/>
          <w:sz w:val="22"/>
          <w:szCs w:val="22"/>
        </w:rPr>
        <w:t>Služby manažer</w:t>
      </w:r>
      <w:r w:rsidR="003E3904" w:rsidRPr="00BB25CD">
        <w:rPr>
          <w:i/>
          <w:iCs/>
          <w:sz w:val="22"/>
          <w:szCs w:val="22"/>
        </w:rPr>
        <w:t>a projektu pro realizaci ISSP</w:t>
      </w:r>
      <w:r w:rsidR="00511726">
        <w:rPr>
          <w:iCs/>
          <w:sz w:val="22"/>
          <w:szCs w:val="22"/>
          <w:vertAlign w:val="superscript"/>
        </w:rPr>
        <w:t>3</w:t>
      </w:r>
      <w:r w:rsidR="00000F73" w:rsidRPr="00000F73">
        <w:rPr>
          <w:iCs/>
          <w:sz w:val="22"/>
          <w:szCs w:val="22"/>
        </w:rPr>
        <w:t xml:space="preserve">, </w:t>
      </w:r>
      <w:r w:rsidR="0025363E" w:rsidRPr="00BB25CD">
        <w:rPr>
          <w:i/>
          <w:iCs/>
          <w:sz w:val="22"/>
          <w:szCs w:val="22"/>
        </w:rPr>
        <w:t>Rezerva</w:t>
      </w:r>
      <w:r w:rsidR="00000F73" w:rsidRPr="00BB25CD">
        <w:rPr>
          <w:i/>
          <w:iCs/>
          <w:sz w:val="22"/>
          <w:szCs w:val="22"/>
        </w:rPr>
        <w:t xml:space="preserve"> v nákladech na projekty</w:t>
      </w:r>
      <w:r w:rsidR="00000F73" w:rsidRPr="00000F73">
        <w:rPr>
          <w:iCs/>
          <w:sz w:val="22"/>
          <w:szCs w:val="22"/>
        </w:rPr>
        <w:t xml:space="preserve"> a </w:t>
      </w:r>
      <w:r w:rsidR="0025363E" w:rsidRPr="00BB25CD">
        <w:rPr>
          <w:i/>
          <w:iCs/>
          <w:sz w:val="22"/>
          <w:szCs w:val="22"/>
        </w:rPr>
        <w:t>Aplikační podpora</w:t>
      </w:r>
      <w:r w:rsidR="00CE29BC">
        <w:rPr>
          <w:i/>
          <w:iCs/>
          <w:sz w:val="22"/>
          <w:szCs w:val="22"/>
        </w:rPr>
        <w:t xml:space="preserve"> IISSP</w:t>
      </w:r>
      <w:r w:rsidR="003E3904" w:rsidRPr="00000F73">
        <w:rPr>
          <w:iCs/>
          <w:sz w:val="22"/>
          <w:szCs w:val="22"/>
        </w:rPr>
        <w:t>.</w:t>
      </w:r>
      <w:r w:rsidR="00000F73">
        <w:rPr>
          <w:iCs/>
          <w:sz w:val="22"/>
          <w:szCs w:val="22"/>
        </w:rPr>
        <w:t xml:space="preserve"> Stěžejní akcí podprogramu byla akce IISSP, kde realizované výdaje v letech 2</w:t>
      </w:r>
      <w:r w:rsidR="005308F4">
        <w:rPr>
          <w:iCs/>
          <w:sz w:val="22"/>
          <w:szCs w:val="22"/>
        </w:rPr>
        <w:t>008 až 2011 činily 2 249 472 tis.</w:t>
      </w:r>
      <w:r w:rsidR="00000F73">
        <w:rPr>
          <w:iCs/>
          <w:sz w:val="22"/>
          <w:szCs w:val="22"/>
        </w:rPr>
        <w:t xml:space="preserve"> Kč.</w:t>
      </w:r>
      <w:r w:rsidR="00AA226F">
        <w:rPr>
          <w:iCs/>
          <w:sz w:val="22"/>
          <w:szCs w:val="22"/>
        </w:rPr>
        <w:t xml:space="preserve"> Akce IISSP a akce </w:t>
      </w:r>
      <w:r w:rsidR="00AA226F" w:rsidRPr="00BB25CD">
        <w:rPr>
          <w:i/>
          <w:iCs/>
          <w:sz w:val="22"/>
          <w:szCs w:val="22"/>
        </w:rPr>
        <w:t>Aplikační podpora</w:t>
      </w:r>
      <w:r w:rsidR="00CE29BC">
        <w:rPr>
          <w:i/>
          <w:iCs/>
          <w:sz w:val="22"/>
          <w:szCs w:val="22"/>
        </w:rPr>
        <w:t xml:space="preserve"> IISSP</w:t>
      </w:r>
      <w:r w:rsidR="00AA226F">
        <w:rPr>
          <w:iCs/>
          <w:sz w:val="22"/>
          <w:szCs w:val="22"/>
        </w:rPr>
        <w:t xml:space="preserve"> byly z</w:t>
      </w:r>
      <w:r w:rsidR="000745BA">
        <w:rPr>
          <w:iCs/>
          <w:sz w:val="22"/>
          <w:szCs w:val="22"/>
        </w:rPr>
        <w:t>ajišťovány stejným dodavatelem.</w:t>
      </w:r>
    </w:p>
    <w:p w:rsidR="000745BA" w:rsidRDefault="000745BA" w:rsidP="000745BA">
      <w:pPr>
        <w:spacing w:before="0"/>
        <w:rPr>
          <w:iCs/>
          <w:sz w:val="22"/>
          <w:szCs w:val="22"/>
        </w:rPr>
      </w:pPr>
    </w:p>
    <w:p w:rsidR="00C9383A" w:rsidRPr="00C9383A" w:rsidRDefault="00D15DF7" w:rsidP="000745BA">
      <w:pPr>
        <w:spacing w:before="0"/>
        <w:rPr>
          <w:sz w:val="22"/>
          <w:szCs w:val="22"/>
        </w:rPr>
      </w:pPr>
      <w:r w:rsidRPr="00D15DF7">
        <w:rPr>
          <w:sz w:val="22"/>
          <w:szCs w:val="22"/>
        </w:rPr>
        <w:t>Záměr vytvoření Státní pokladny</w:t>
      </w:r>
      <w:r w:rsidR="00BB25CD">
        <w:rPr>
          <w:sz w:val="22"/>
          <w:szCs w:val="22"/>
        </w:rPr>
        <w:t>,</w:t>
      </w:r>
      <w:r w:rsidRPr="00D15DF7">
        <w:rPr>
          <w:sz w:val="22"/>
          <w:szCs w:val="22"/>
        </w:rPr>
        <w:t xml:space="preserve"> schválený usnesením vlády ze dne 9. února 2005</w:t>
      </w:r>
      <w:r w:rsidR="0051726C" w:rsidRPr="0051726C">
        <w:rPr>
          <w:sz w:val="22"/>
          <w:szCs w:val="22"/>
        </w:rPr>
        <w:t xml:space="preserve"> </w:t>
      </w:r>
      <w:r w:rsidR="0051726C" w:rsidRPr="00D15DF7">
        <w:rPr>
          <w:sz w:val="22"/>
          <w:szCs w:val="22"/>
        </w:rPr>
        <w:t>č.</w:t>
      </w:r>
      <w:r w:rsidR="0051726C">
        <w:rPr>
          <w:sz w:val="22"/>
          <w:szCs w:val="22"/>
        </w:rPr>
        <w:t> </w:t>
      </w:r>
      <w:r w:rsidR="0051726C" w:rsidRPr="00D15DF7">
        <w:rPr>
          <w:sz w:val="22"/>
          <w:szCs w:val="22"/>
        </w:rPr>
        <w:t>169</w:t>
      </w:r>
      <w:r w:rsidR="00BB25CD">
        <w:rPr>
          <w:sz w:val="22"/>
          <w:szCs w:val="22"/>
        </w:rPr>
        <w:t>,</w:t>
      </w:r>
      <w:r w:rsidRPr="00D15DF7">
        <w:rPr>
          <w:sz w:val="22"/>
          <w:szCs w:val="22"/>
        </w:rPr>
        <w:t xml:space="preserve"> předpokládal komplexní nasazení systému Státní pokladny v roce 2010 a maximální výdaje 2 440 000 tis. Kč. Dokumentace programu schválená v den uzavření </w:t>
      </w:r>
      <w:r w:rsidR="0051726C">
        <w:rPr>
          <w:sz w:val="22"/>
          <w:szCs w:val="22"/>
        </w:rPr>
        <w:t>s</w:t>
      </w:r>
      <w:r w:rsidRPr="00D15DF7">
        <w:rPr>
          <w:sz w:val="22"/>
          <w:szCs w:val="22"/>
        </w:rPr>
        <w:t>mlouvy o</w:t>
      </w:r>
      <w:r w:rsidR="0051726C">
        <w:rPr>
          <w:sz w:val="22"/>
          <w:szCs w:val="22"/>
        </w:rPr>
        <w:t> </w:t>
      </w:r>
      <w:r w:rsidRPr="00D15DF7">
        <w:rPr>
          <w:sz w:val="22"/>
          <w:szCs w:val="22"/>
        </w:rPr>
        <w:t xml:space="preserve">dodávce </w:t>
      </w:r>
      <w:r w:rsidR="0051726C">
        <w:rPr>
          <w:sz w:val="22"/>
          <w:szCs w:val="22"/>
        </w:rPr>
        <w:t>i</w:t>
      </w:r>
      <w:r w:rsidR="00B52953" w:rsidRPr="00D15DF7">
        <w:rPr>
          <w:sz w:val="22"/>
          <w:szCs w:val="22"/>
        </w:rPr>
        <w:t>ntegrovaného informačního systému Státní pokladny (IISSP)</w:t>
      </w:r>
      <w:r w:rsidR="00CE29BC">
        <w:rPr>
          <w:sz w:val="22"/>
          <w:szCs w:val="22"/>
        </w:rPr>
        <w:t>, tj. </w:t>
      </w:r>
      <w:r w:rsidRPr="00D15DF7">
        <w:rPr>
          <w:sz w:val="22"/>
          <w:szCs w:val="22"/>
        </w:rPr>
        <w:t>22.</w:t>
      </w:r>
      <w:r w:rsidR="00CE29BC">
        <w:rPr>
          <w:sz w:val="22"/>
          <w:szCs w:val="22"/>
        </w:rPr>
        <w:t> </w:t>
      </w:r>
      <w:r w:rsidRPr="00D15DF7">
        <w:rPr>
          <w:sz w:val="22"/>
          <w:szCs w:val="22"/>
        </w:rPr>
        <w:t>prosince 2008</w:t>
      </w:r>
      <w:r w:rsidR="00CE29BC">
        <w:rPr>
          <w:sz w:val="22"/>
          <w:szCs w:val="22"/>
        </w:rPr>
        <w:t>,</w:t>
      </w:r>
      <w:r w:rsidRPr="00D15DF7">
        <w:rPr>
          <w:sz w:val="22"/>
          <w:szCs w:val="22"/>
        </w:rPr>
        <w:t xml:space="preserve"> předpokládala</w:t>
      </w:r>
      <w:r w:rsidR="00AA226F">
        <w:rPr>
          <w:sz w:val="22"/>
          <w:szCs w:val="22"/>
        </w:rPr>
        <w:t xml:space="preserve"> pro osm akcí</w:t>
      </w:r>
      <w:r w:rsidRPr="00D15DF7">
        <w:rPr>
          <w:sz w:val="22"/>
          <w:szCs w:val="22"/>
        </w:rPr>
        <w:t xml:space="preserve"> finanční potřeb</w:t>
      </w:r>
      <w:r w:rsidR="00CE29BC">
        <w:rPr>
          <w:sz w:val="22"/>
          <w:szCs w:val="22"/>
        </w:rPr>
        <w:t>u</w:t>
      </w:r>
      <w:r w:rsidRPr="00D15DF7">
        <w:rPr>
          <w:sz w:val="22"/>
          <w:szCs w:val="22"/>
        </w:rPr>
        <w:t xml:space="preserve"> programu</w:t>
      </w:r>
      <w:r w:rsidR="009D7C66">
        <w:rPr>
          <w:sz w:val="22"/>
          <w:szCs w:val="22"/>
        </w:rPr>
        <w:t>,</w:t>
      </w:r>
      <w:r w:rsidRPr="00D15DF7">
        <w:rPr>
          <w:sz w:val="22"/>
          <w:szCs w:val="22"/>
        </w:rPr>
        <w:t xml:space="preserve"> resp. podprogramu 112 091</w:t>
      </w:r>
      <w:r w:rsidR="0051726C">
        <w:rPr>
          <w:sz w:val="22"/>
          <w:szCs w:val="22"/>
        </w:rPr>
        <w:t> –</w:t>
      </w:r>
      <w:r w:rsidRPr="00D15DF7">
        <w:rPr>
          <w:sz w:val="22"/>
          <w:szCs w:val="22"/>
        </w:rPr>
        <w:t xml:space="preserve"> </w:t>
      </w:r>
      <w:r w:rsidRPr="00350D20">
        <w:rPr>
          <w:i/>
          <w:sz w:val="22"/>
          <w:szCs w:val="22"/>
        </w:rPr>
        <w:t>Integrovaný systém Státní pokladny</w:t>
      </w:r>
      <w:r w:rsidR="009D7C66">
        <w:rPr>
          <w:sz w:val="22"/>
          <w:szCs w:val="22"/>
        </w:rPr>
        <w:t>,</w:t>
      </w:r>
      <w:r w:rsidRPr="00D15DF7">
        <w:rPr>
          <w:sz w:val="22"/>
          <w:szCs w:val="22"/>
        </w:rPr>
        <w:t xml:space="preserve"> ve výši 2 995 945 tis. Kč a ukončení realizace programu na konci roku 2013. Dokumentace programu schválená o tři roky později</w:t>
      </w:r>
      <w:r w:rsidR="00CE29BC">
        <w:rPr>
          <w:sz w:val="22"/>
          <w:szCs w:val="22"/>
        </w:rPr>
        <w:t>,</w:t>
      </w:r>
      <w:r w:rsidRPr="00D15DF7">
        <w:rPr>
          <w:sz w:val="22"/>
          <w:szCs w:val="22"/>
        </w:rPr>
        <w:t xml:space="preserve"> </w:t>
      </w:r>
      <w:r w:rsidR="00CE29BC">
        <w:rPr>
          <w:sz w:val="22"/>
          <w:szCs w:val="22"/>
        </w:rPr>
        <w:t>tj. </w:t>
      </w:r>
      <w:r w:rsidR="001612CD">
        <w:rPr>
          <w:sz w:val="22"/>
          <w:szCs w:val="22"/>
        </w:rPr>
        <w:t>6. prosince</w:t>
      </w:r>
      <w:r w:rsidR="00A85E0D">
        <w:rPr>
          <w:sz w:val="22"/>
          <w:szCs w:val="22"/>
        </w:rPr>
        <w:t xml:space="preserve"> </w:t>
      </w:r>
      <w:r w:rsidRPr="00D15DF7">
        <w:rPr>
          <w:sz w:val="22"/>
          <w:szCs w:val="22"/>
        </w:rPr>
        <w:t>2011</w:t>
      </w:r>
      <w:r w:rsidR="00CE29BC">
        <w:rPr>
          <w:sz w:val="22"/>
          <w:szCs w:val="22"/>
        </w:rPr>
        <w:t>,</w:t>
      </w:r>
      <w:r w:rsidRPr="00D15DF7">
        <w:rPr>
          <w:sz w:val="22"/>
          <w:szCs w:val="22"/>
        </w:rPr>
        <w:t xml:space="preserve"> předpokládala</w:t>
      </w:r>
      <w:r w:rsidR="00AA226F">
        <w:rPr>
          <w:sz w:val="22"/>
          <w:szCs w:val="22"/>
        </w:rPr>
        <w:t xml:space="preserve"> pro 12 akcí</w:t>
      </w:r>
      <w:r w:rsidRPr="00D15DF7">
        <w:rPr>
          <w:sz w:val="22"/>
          <w:szCs w:val="22"/>
        </w:rPr>
        <w:t xml:space="preserve"> ukončení realizace programu v roce 2014 a</w:t>
      </w:r>
      <w:r w:rsidR="00CE29BC">
        <w:rPr>
          <w:sz w:val="22"/>
          <w:szCs w:val="22"/>
        </w:rPr>
        <w:t> </w:t>
      </w:r>
      <w:r w:rsidRPr="00D15DF7">
        <w:rPr>
          <w:sz w:val="22"/>
          <w:szCs w:val="22"/>
        </w:rPr>
        <w:t>finanční potřeby podprogramu 4 869 599 tis. Kč</w:t>
      </w:r>
      <w:r w:rsidR="009D7C66">
        <w:rPr>
          <w:sz w:val="22"/>
          <w:szCs w:val="22"/>
        </w:rPr>
        <w:t xml:space="preserve"> (63%</w:t>
      </w:r>
      <w:r w:rsidR="0051726C" w:rsidRPr="0051726C">
        <w:rPr>
          <w:sz w:val="22"/>
          <w:szCs w:val="22"/>
        </w:rPr>
        <w:t xml:space="preserve"> </w:t>
      </w:r>
      <w:r w:rsidR="0051726C">
        <w:rPr>
          <w:sz w:val="22"/>
          <w:szCs w:val="22"/>
        </w:rPr>
        <w:t>nárůst</w:t>
      </w:r>
      <w:r w:rsidR="009D7C66">
        <w:rPr>
          <w:sz w:val="22"/>
          <w:szCs w:val="22"/>
        </w:rPr>
        <w:t xml:space="preserve"> oproti verzi programu schválené v den uzavření </w:t>
      </w:r>
      <w:r w:rsidR="0051726C">
        <w:rPr>
          <w:sz w:val="22"/>
          <w:szCs w:val="22"/>
        </w:rPr>
        <w:t>s</w:t>
      </w:r>
      <w:r w:rsidR="009D7C66">
        <w:rPr>
          <w:sz w:val="22"/>
          <w:szCs w:val="22"/>
        </w:rPr>
        <w:t>mlouvy o dodávce IISSP)</w:t>
      </w:r>
      <w:r w:rsidRPr="00D15DF7">
        <w:rPr>
          <w:sz w:val="22"/>
          <w:szCs w:val="22"/>
        </w:rPr>
        <w:t>. Důvodem</w:t>
      </w:r>
      <w:r w:rsidR="00A85E0D">
        <w:rPr>
          <w:sz w:val="22"/>
          <w:szCs w:val="22"/>
        </w:rPr>
        <w:t xml:space="preserve"> </w:t>
      </w:r>
      <w:r w:rsidRPr="00D15DF7">
        <w:rPr>
          <w:sz w:val="22"/>
          <w:szCs w:val="22"/>
        </w:rPr>
        <w:t>nárůstu finančních potřeb v podprogramu bylo zejména zařazení dalších akcí zabezpečujících podporu provozu IISSP a navýšení finančních potřeb u stěžejní akce IISSP.</w:t>
      </w:r>
    </w:p>
    <w:p w:rsidR="00103DFF" w:rsidRDefault="00103DFF" w:rsidP="000745BA">
      <w:pPr>
        <w:spacing w:before="0"/>
        <w:rPr>
          <w:iCs/>
          <w:sz w:val="22"/>
          <w:szCs w:val="22"/>
        </w:rPr>
      </w:pPr>
    </w:p>
    <w:p w:rsidR="00F2640E" w:rsidRPr="00F2640E" w:rsidRDefault="00B52953" w:rsidP="000745BA">
      <w:pPr>
        <w:spacing w:befor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Ke </w:t>
      </w:r>
      <w:r w:rsidR="0051726C">
        <w:rPr>
          <w:iCs/>
          <w:sz w:val="22"/>
          <w:szCs w:val="22"/>
        </w:rPr>
        <w:t>s</w:t>
      </w:r>
      <w:r w:rsidR="00103DFF">
        <w:rPr>
          <w:iCs/>
          <w:sz w:val="22"/>
          <w:szCs w:val="22"/>
        </w:rPr>
        <w:t>mlouv</w:t>
      </w:r>
      <w:r>
        <w:rPr>
          <w:iCs/>
          <w:sz w:val="22"/>
          <w:szCs w:val="22"/>
        </w:rPr>
        <w:t>ě</w:t>
      </w:r>
      <w:r w:rsidR="00103DFF">
        <w:rPr>
          <w:iCs/>
          <w:sz w:val="22"/>
          <w:szCs w:val="22"/>
        </w:rPr>
        <w:t xml:space="preserve"> o dodávce IISSP ze dne 22. prosince 2008</w:t>
      </w:r>
      <w:r w:rsidR="00DE25A4">
        <w:rPr>
          <w:iCs/>
          <w:sz w:val="22"/>
          <w:szCs w:val="22"/>
        </w:rPr>
        <w:t xml:space="preserve"> </w:t>
      </w:r>
      <w:r w:rsidR="00103DFF">
        <w:rPr>
          <w:iCs/>
          <w:sz w:val="22"/>
          <w:szCs w:val="22"/>
        </w:rPr>
        <w:t xml:space="preserve">bylo v kontrolovaném </w:t>
      </w:r>
      <w:r w:rsidR="00477FFA">
        <w:rPr>
          <w:iCs/>
          <w:sz w:val="22"/>
          <w:szCs w:val="22"/>
        </w:rPr>
        <w:t>období uzavřeno deset</w:t>
      </w:r>
      <w:r w:rsidR="00103DFF">
        <w:rPr>
          <w:iCs/>
          <w:sz w:val="22"/>
          <w:szCs w:val="22"/>
        </w:rPr>
        <w:t xml:space="preserve"> dodatků.</w:t>
      </w:r>
      <w:r w:rsidR="00AA226F">
        <w:rPr>
          <w:iCs/>
          <w:sz w:val="22"/>
          <w:szCs w:val="22"/>
        </w:rPr>
        <w:t xml:space="preserve"> </w:t>
      </w:r>
      <w:r w:rsidR="00630DC6">
        <w:rPr>
          <w:iCs/>
          <w:sz w:val="22"/>
          <w:szCs w:val="22"/>
        </w:rPr>
        <w:t xml:space="preserve">Předpokládaný termín uvedení IISSP do ostrého provozu byl </w:t>
      </w:r>
      <w:r w:rsidR="0051726C">
        <w:rPr>
          <w:iCs/>
          <w:sz w:val="22"/>
          <w:szCs w:val="22"/>
        </w:rPr>
        <w:t>d</w:t>
      </w:r>
      <w:r w:rsidR="005C638A">
        <w:rPr>
          <w:iCs/>
          <w:sz w:val="22"/>
          <w:szCs w:val="22"/>
        </w:rPr>
        <w:t>odatkem č. 10 uzavřeným dne 22. prosince </w:t>
      </w:r>
      <w:r w:rsidR="00630DC6">
        <w:rPr>
          <w:iCs/>
          <w:sz w:val="22"/>
          <w:szCs w:val="22"/>
        </w:rPr>
        <w:t xml:space="preserve">2011 </w:t>
      </w:r>
      <w:r w:rsidR="0051726C">
        <w:rPr>
          <w:iCs/>
          <w:sz w:val="22"/>
          <w:szCs w:val="22"/>
        </w:rPr>
        <w:t>odložen</w:t>
      </w:r>
      <w:r w:rsidR="00F2640E">
        <w:rPr>
          <w:iCs/>
          <w:sz w:val="22"/>
          <w:szCs w:val="22"/>
        </w:rPr>
        <w:t xml:space="preserve"> o tři a půl roku oproti základní verzi </w:t>
      </w:r>
      <w:r w:rsidR="0051726C">
        <w:rPr>
          <w:iCs/>
          <w:sz w:val="22"/>
          <w:szCs w:val="22"/>
        </w:rPr>
        <w:t>s</w:t>
      </w:r>
      <w:r w:rsidR="00F2640E">
        <w:rPr>
          <w:iCs/>
          <w:sz w:val="22"/>
          <w:szCs w:val="22"/>
        </w:rPr>
        <w:t xml:space="preserve">mlouvy o dodávce IISSP ze dne 22. </w:t>
      </w:r>
      <w:r w:rsidR="005C638A">
        <w:rPr>
          <w:iCs/>
          <w:sz w:val="22"/>
          <w:szCs w:val="22"/>
        </w:rPr>
        <w:t>prosince</w:t>
      </w:r>
      <w:r w:rsidR="00F2640E">
        <w:rPr>
          <w:iCs/>
          <w:sz w:val="22"/>
          <w:szCs w:val="22"/>
        </w:rPr>
        <w:t xml:space="preserve"> 2008. </w:t>
      </w:r>
    </w:p>
    <w:p w:rsidR="006A41D2" w:rsidRDefault="006A41D2" w:rsidP="000745BA">
      <w:pPr>
        <w:spacing w:before="0"/>
        <w:rPr>
          <w:iCs/>
          <w:sz w:val="22"/>
          <w:szCs w:val="22"/>
        </w:rPr>
      </w:pPr>
    </w:p>
    <w:p w:rsidR="006A41D2" w:rsidRDefault="00060A40" w:rsidP="000745BA">
      <w:pPr>
        <w:spacing w:befor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MF neprovedlo zadávací řízení před uzavřením </w:t>
      </w:r>
      <w:r w:rsidR="0051726C">
        <w:rPr>
          <w:iCs/>
          <w:sz w:val="22"/>
          <w:szCs w:val="22"/>
        </w:rPr>
        <w:t>d</w:t>
      </w:r>
      <w:r>
        <w:rPr>
          <w:iCs/>
          <w:sz w:val="22"/>
          <w:szCs w:val="22"/>
        </w:rPr>
        <w:t xml:space="preserve">odatků č. 1 až 5 </w:t>
      </w:r>
      <w:r w:rsidR="00CE29BC">
        <w:rPr>
          <w:iCs/>
          <w:sz w:val="22"/>
          <w:szCs w:val="22"/>
        </w:rPr>
        <w:t xml:space="preserve">ke </w:t>
      </w:r>
      <w:r w:rsidR="0051726C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>mlouv</w:t>
      </w:r>
      <w:r w:rsidR="00CE29BC">
        <w:rPr>
          <w:iCs/>
          <w:sz w:val="22"/>
          <w:szCs w:val="22"/>
        </w:rPr>
        <w:t>ě</w:t>
      </w:r>
      <w:r>
        <w:rPr>
          <w:iCs/>
          <w:sz w:val="22"/>
          <w:szCs w:val="22"/>
        </w:rPr>
        <w:t xml:space="preserve"> o dodávce IISSP a</w:t>
      </w:r>
      <w:r w:rsidR="00CE29BC">
        <w:rPr>
          <w:iCs/>
          <w:sz w:val="22"/>
          <w:szCs w:val="22"/>
        </w:rPr>
        <w:t>ni</w:t>
      </w:r>
      <w:r>
        <w:rPr>
          <w:iCs/>
          <w:sz w:val="22"/>
          <w:szCs w:val="22"/>
        </w:rPr>
        <w:t xml:space="preserve"> před uzavřením </w:t>
      </w:r>
      <w:r w:rsidR="0051726C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mlouvy o poskytování služeb ze dne 3. </w:t>
      </w:r>
      <w:r w:rsidR="005C638A">
        <w:rPr>
          <w:iCs/>
          <w:sz w:val="22"/>
          <w:szCs w:val="22"/>
        </w:rPr>
        <w:t>listopadu</w:t>
      </w:r>
      <w:r>
        <w:rPr>
          <w:iCs/>
          <w:sz w:val="22"/>
          <w:szCs w:val="22"/>
        </w:rPr>
        <w:t xml:space="preserve"> 2010, čímž postupovalo v rozporu se zákonem </w:t>
      </w:r>
      <w:r w:rsidR="00871081">
        <w:rPr>
          <w:iCs/>
          <w:sz w:val="22"/>
          <w:szCs w:val="22"/>
        </w:rPr>
        <w:t>č</w:t>
      </w:r>
      <w:r w:rsidR="00871081" w:rsidRPr="00322D56">
        <w:rPr>
          <w:sz w:val="22"/>
          <w:szCs w:val="22"/>
        </w:rPr>
        <w:t xml:space="preserve">. 137/2006 </w:t>
      </w:r>
      <w:r w:rsidR="003E3D55">
        <w:rPr>
          <w:sz w:val="22"/>
          <w:szCs w:val="22"/>
        </w:rPr>
        <w:t>Sb.,</w:t>
      </w:r>
      <w:r w:rsidR="003E3D55" w:rsidRPr="003E3D55">
        <w:rPr>
          <w:sz w:val="22"/>
          <w:szCs w:val="22"/>
        </w:rPr>
        <w:t xml:space="preserve"> </w:t>
      </w:r>
      <w:r w:rsidR="003E3D55" w:rsidRPr="00CF2CF1">
        <w:rPr>
          <w:sz w:val="22"/>
          <w:szCs w:val="22"/>
        </w:rPr>
        <w:t>o veřejných zakázkách</w:t>
      </w:r>
      <w:r w:rsidR="003E3D55">
        <w:rPr>
          <w:sz w:val="22"/>
          <w:szCs w:val="22"/>
        </w:rPr>
        <w:t>.</w:t>
      </w:r>
    </w:p>
    <w:p w:rsidR="008C1F4D" w:rsidRDefault="008C1F4D" w:rsidP="000745BA">
      <w:pPr>
        <w:spacing w:before="0"/>
        <w:rPr>
          <w:iCs/>
          <w:sz w:val="22"/>
          <w:szCs w:val="22"/>
        </w:rPr>
      </w:pPr>
    </w:p>
    <w:p w:rsidR="00871081" w:rsidRDefault="00B52953" w:rsidP="000745BA">
      <w:pPr>
        <w:spacing w:before="0"/>
        <w:rPr>
          <w:sz w:val="22"/>
          <w:szCs w:val="22"/>
        </w:rPr>
      </w:pPr>
      <w:r w:rsidRPr="00BD30E5">
        <w:rPr>
          <w:sz w:val="22"/>
          <w:szCs w:val="22"/>
        </w:rPr>
        <w:t>Účetnictví MF v účetním období 2009 nebylo úplné v</w:t>
      </w:r>
      <w:r>
        <w:rPr>
          <w:sz w:val="22"/>
          <w:szCs w:val="22"/>
        </w:rPr>
        <w:t>e smyslu</w:t>
      </w:r>
      <w:r w:rsidRPr="00BD30E5">
        <w:rPr>
          <w:sz w:val="22"/>
          <w:szCs w:val="22"/>
        </w:rPr>
        <w:t xml:space="preserve"> zákona</w:t>
      </w:r>
      <w:r>
        <w:rPr>
          <w:sz w:val="22"/>
          <w:szCs w:val="22"/>
        </w:rPr>
        <w:t xml:space="preserve"> č. 563/1991 Sb., o</w:t>
      </w:r>
      <w:r w:rsidR="0037415F">
        <w:rPr>
          <w:sz w:val="22"/>
          <w:szCs w:val="22"/>
        </w:rPr>
        <w:t> </w:t>
      </w:r>
      <w:r>
        <w:rPr>
          <w:sz w:val="22"/>
          <w:szCs w:val="22"/>
        </w:rPr>
        <w:t>účetnictví</w:t>
      </w:r>
      <w:r w:rsidR="003E3D55">
        <w:rPr>
          <w:sz w:val="22"/>
          <w:szCs w:val="22"/>
        </w:rPr>
        <w:t>,</w:t>
      </w:r>
      <w:r w:rsidR="00871081">
        <w:rPr>
          <w:color w:val="000000"/>
          <w:sz w:val="22"/>
          <w:szCs w:val="22"/>
        </w:rPr>
        <w:t xml:space="preserve"> </w:t>
      </w:r>
      <w:r w:rsidR="00CE29BC">
        <w:rPr>
          <w:sz w:val="22"/>
          <w:szCs w:val="22"/>
        </w:rPr>
        <w:t>neboť MF v tomto období</w:t>
      </w:r>
      <w:r w:rsidR="00871081">
        <w:rPr>
          <w:sz w:val="22"/>
          <w:szCs w:val="22"/>
        </w:rPr>
        <w:t xml:space="preserve"> </w:t>
      </w:r>
      <w:r w:rsidR="00871081" w:rsidRPr="0036607E">
        <w:rPr>
          <w:sz w:val="22"/>
          <w:szCs w:val="22"/>
        </w:rPr>
        <w:t xml:space="preserve">nevedlo </w:t>
      </w:r>
      <w:r w:rsidR="009E5F14">
        <w:rPr>
          <w:sz w:val="22"/>
          <w:szCs w:val="22"/>
        </w:rPr>
        <w:t>v účetnictví licence</w:t>
      </w:r>
      <w:r w:rsidR="005308F4">
        <w:rPr>
          <w:sz w:val="22"/>
          <w:szCs w:val="22"/>
        </w:rPr>
        <w:t xml:space="preserve"> v hodnotě 157</w:t>
      </w:r>
      <w:r w:rsidR="0037415F">
        <w:rPr>
          <w:sz w:val="22"/>
          <w:szCs w:val="22"/>
        </w:rPr>
        <w:t> </w:t>
      </w:r>
      <w:r w:rsidR="005308F4">
        <w:rPr>
          <w:sz w:val="22"/>
          <w:szCs w:val="22"/>
        </w:rPr>
        <w:t>715</w:t>
      </w:r>
      <w:r w:rsidR="0037415F">
        <w:rPr>
          <w:sz w:val="22"/>
          <w:szCs w:val="22"/>
        </w:rPr>
        <w:t> </w:t>
      </w:r>
      <w:r w:rsidR="005308F4">
        <w:rPr>
          <w:sz w:val="22"/>
          <w:szCs w:val="22"/>
        </w:rPr>
        <w:t>tis.</w:t>
      </w:r>
      <w:r w:rsidR="0037415F">
        <w:rPr>
          <w:sz w:val="22"/>
          <w:szCs w:val="22"/>
        </w:rPr>
        <w:t> </w:t>
      </w:r>
      <w:r w:rsidR="00871081">
        <w:rPr>
          <w:sz w:val="22"/>
          <w:szCs w:val="22"/>
        </w:rPr>
        <w:t>Kč.</w:t>
      </w:r>
    </w:p>
    <w:p w:rsidR="006A41D2" w:rsidRDefault="006A41D2" w:rsidP="000745BA">
      <w:pPr>
        <w:spacing w:before="0"/>
        <w:rPr>
          <w:sz w:val="22"/>
          <w:szCs w:val="22"/>
        </w:rPr>
      </w:pPr>
    </w:p>
    <w:p w:rsidR="009F13CD" w:rsidRPr="007E38A5" w:rsidRDefault="00BF1E9F" w:rsidP="000745BA">
      <w:p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MF nepostupovalo v souladu se zákonem č. 218/2000 Sb.,</w:t>
      </w:r>
      <w:r w:rsidR="003E3D55">
        <w:rPr>
          <w:sz w:val="22"/>
          <w:szCs w:val="22"/>
        </w:rPr>
        <w:t xml:space="preserve"> o rozpočtových pravidlech a</w:t>
      </w:r>
      <w:r w:rsidR="0051726C">
        <w:rPr>
          <w:sz w:val="22"/>
          <w:szCs w:val="22"/>
        </w:rPr>
        <w:t> </w:t>
      </w:r>
      <w:r w:rsidR="005C638A">
        <w:rPr>
          <w:sz w:val="22"/>
          <w:szCs w:val="22"/>
        </w:rPr>
        <w:t>o </w:t>
      </w:r>
      <w:r w:rsidR="003E3D55">
        <w:rPr>
          <w:sz w:val="22"/>
          <w:szCs w:val="22"/>
        </w:rPr>
        <w:t>změně některých souvisejících zákonů (rozpočtová pravidla),</w:t>
      </w:r>
      <w:r>
        <w:rPr>
          <w:color w:val="000000"/>
          <w:sz w:val="22"/>
          <w:szCs w:val="22"/>
        </w:rPr>
        <w:t xml:space="preserve"> když dodavateli IISSP poskytlo </w:t>
      </w:r>
      <w:r w:rsidRPr="00554A08">
        <w:rPr>
          <w:color w:val="000000"/>
          <w:sz w:val="22"/>
          <w:szCs w:val="22"/>
        </w:rPr>
        <w:t>v roce 2011 dvě zálo</w:t>
      </w:r>
      <w:r w:rsidR="005308F4">
        <w:rPr>
          <w:color w:val="000000"/>
          <w:sz w:val="22"/>
          <w:szCs w:val="22"/>
        </w:rPr>
        <w:t>hy v celkové výši 248 776 tis.</w:t>
      </w:r>
      <w:r w:rsidRPr="00554A08">
        <w:rPr>
          <w:color w:val="000000"/>
          <w:sz w:val="22"/>
          <w:szCs w:val="22"/>
        </w:rPr>
        <w:t xml:space="preserve"> Kč na období delší než jedno čtvrtletí a </w:t>
      </w:r>
      <w:r w:rsidR="00CE29BC">
        <w:rPr>
          <w:color w:val="000000"/>
          <w:sz w:val="22"/>
          <w:szCs w:val="22"/>
        </w:rPr>
        <w:t>když jejich část</w:t>
      </w:r>
      <w:r w:rsidR="005308F4">
        <w:rPr>
          <w:color w:val="000000"/>
          <w:sz w:val="22"/>
          <w:szCs w:val="22"/>
        </w:rPr>
        <w:t xml:space="preserve"> ve výši 159 676 tis.</w:t>
      </w:r>
      <w:r w:rsidRPr="00554A08">
        <w:rPr>
          <w:color w:val="000000"/>
          <w:sz w:val="22"/>
          <w:szCs w:val="22"/>
        </w:rPr>
        <w:t xml:space="preserve"> Kč nevyúčtovalo ke konci rozpočtového roku, tj.</w:t>
      </w:r>
      <w:r w:rsidR="00A85E0D">
        <w:rPr>
          <w:color w:val="000000"/>
          <w:sz w:val="22"/>
          <w:szCs w:val="22"/>
        </w:rPr>
        <w:t> </w:t>
      </w:r>
      <w:r w:rsidRPr="00554A08">
        <w:rPr>
          <w:color w:val="000000"/>
          <w:sz w:val="22"/>
          <w:szCs w:val="22"/>
        </w:rPr>
        <w:t xml:space="preserve">k 31. </w:t>
      </w:r>
      <w:r w:rsidR="005C638A">
        <w:rPr>
          <w:color w:val="000000"/>
          <w:sz w:val="22"/>
          <w:szCs w:val="22"/>
        </w:rPr>
        <w:t>prosinci</w:t>
      </w:r>
      <w:r w:rsidRPr="00554A08">
        <w:rPr>
          <w:color w:val="000000"/>
          <w:sz w:val="22"/>
          <w:szCs w:val="22"/>
        </w:rPr>
        <w:t xml:space="preserve"> 2011.</w:t>
      </w:r>
      <w:r w:rsidR="00272578">
        <w:rPr>
          <w:color w:val="000000"/>
          <w:sz w:val="22"/>
          <w:szCs w:val="22"/>
        </w:rPr>
        <w:t xml:space="preserve"> </w:t>
      </w:r>
      <w:r w:rsidR="002822CF">
        <w:rPr>
          <w:sz w:val="22"/>
          <w:szCs w:val="22"/>
        </w:rPr>
        <w:t>Poskytnutí zálohových plateb d</w:t>
      </w:r>
      <w:r w:rsidRPr="00272578">
        <w:rPr>
          <w:sz w:val="22"/>
          <w:szCs w:val="22"/>
        </w:rPr>
        <w:t>odavateli</w:t>
      </w:r>
      <w:r w:rsidR="002822CF">
        <w:rPr>
          <w:sz w:val="22"/>
          <w:szCs w:val="22"/>
        </w:rPr>
        <w:t xml:space="preserve"> IISSP</w:t>
      </w:r>
      <w:r w:rsidRPr="00272578">
        <w:rPr>
          <w:sz w:val="22"/>
          <w:szCs w:val="22"/>
        </w:rPr>
        <w:t xml:space="preserve"> v</w:t>
      </w:r>
      <w:r w:rsidR="0037415F">
        <w:rPr>
          <w:sz w:val="22"/>
          <w:szCs w:val="22"/>
        </w:rPr>
        <w:t> </w:t>
      </w:r>
      <w:r w:rsidRPr="00272578">
        <w:rPr>
          <w:sz w:val="22"/>
          <w:szCs w:val="22"/>
        </w:rPr>
        <w:t>částce</w:t>
      </w:r>
      <w:r w:rsidR="005308F4">
        <w:rPr>
          <w:sz w:val="22"/>
          <w:szCs w:val="22"/>
        </w:rPr>
        <w:t xml:space="preserve"> 159 676 tis.</w:t>
      </w:r>
      <w:r w:rsidRPr="00272578">
        <w:rPr>
          <w:sz w:val="22"/>
          <w:szCs w:val="22"/>
        </w:rPr>
        <w:t xml:space="preserve"> Kč k</w:t>
      </w:r>
      <w:r w:rsidR="00350D20">
        <w:rPr>
          <w:sz w:val="22"/>
          <w:szCs w:val="22"/>
        </w:rPr>
        <w:t> </w:t>
      </w:r>
      <w:r w:rsidRPr="00272578">
        <w:rPr>
          <w:sz w:val="22"/>
          <w:szCs w:val="22"/>
        </w:rPr>
        <w:t xml:space="preserve">31. </w:t>
      </w:r>
      <w:r w:rsidR="005C638A">
        <w:rPr>
          <w:sz w:val="22"/>
          <w:szCs w:val="22"/>
        </w:rPr>
        <w:t>prosinci</w:t>
      </w:r>
      <w:r w:rsidRPr="00272578">
        <w:rPr>
          <w:sz w:val="22"/>
          <w:szCs w:val="22"/>
        </w:rPr>
        <w:t xml:space="preserve"> 2011 MF neuvedlo v závěrečném účtu kapitoly 312</w:t>
      </w:r>
      <w:bookmarkStart w:id="0" w:name="_GoBack"/>
      <w:bookmarkEnd w:id="0"/>
      <w:r w:rsidRPr="00272578">
        <w:rPr>
          <w:sz w:val="22"/>
          <w:szCs w:val="22"/>
        </w:rPr>
        <w:t xml:space="preserve"> </w:t>
      </w:r>
      <w:r w:rsidRPr="00350D20">
        <w:rPr>
          <w:i/>
          <w:sz w:val="22"/>
          <w:szCs w:val="22"/>
        </w:rPr>
        <w:t>Ministerstvo financí</w:t>
      </w:r>
      <w:r w:rsidR="00CD299B">
        <w:rPr>
          <w:sz w:val="22"/>
          <w:szCs w:val="22"/>
        </w:rPr>
        <w:t xml:space="preserve"> za rok </w:t>
      </w:r>
      <w:r w:rsidR="00272578" w:rsidRPr="00272578">
        <w:rPr>
          <w:sz w:val="22"/>
          <w:szCs w:val="22"/>
        </w:rPr>
        <w:t>2011.</w:t>
      </w:r>
    </w:p>
    <w:sectPr w:rsidR="009F13CD" w:rsidRPr="007E38A5" w:rsidSect="00821EB2"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ED" w:rsidRDefault="00B659ED" w:rsidP="004D5CE1">
      <w:pPr>
        <w:spacing w:before="0"/>
      </w:pPr>
      <w:r>
        <w:separator/>
      </w:r>
    </w:p>
  </w:endnote>
  <w:endnote w:type="continuationSeparator" w:id="0">
    <w:p w:rsidR="00B659ED" w:rsidRDefault="00B659ED" w:rsidP="004D5CE1">
      <w:pPr>
        <w:spacing w:before="0"/>
      </w:pPr>
      <w:r>
        <w:continuationSeparator/>
      </w:r>
    </w:p>
  </w:endnote>
  <w:endnote w:type="continuationNotice" w:id="1">
    <w:p w:rsidR="00A85E0D" w:rsidRDefault="00A85E0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715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659ED" w:rsidRPr="00BD069E" w:rsidRDefault="00B659ED" w:rsidP="00BD069E">
        <w:pPr>
          <w:pStyle w:val="Zpat"/>
          <w:jc w:val="center"/>
          <w:rPr>
            <w:sz w:val="22"/>
            <w:szCs w:val="22"/>
          </w:rPr>
        </w:pPr>
        <w:r w:rsidRPr="00BD069E">
          <w:rPr>
            <w:sz w:val="22"/>
            <w:szCs w:val="22"/>
          </w:rPr>
          <w:fldChar w:fldCharType="begin"/>
        </w:r>
        <w:r w:rsidRPr="00BD069E">
          <w:rPr>
            <w:sz w:val="22"/>
            <w:szCs w:val="22"/>
          </w:rPr>
          <w:instrText xml:space="preserve"> PAGE   \* MERGEFORMAT </w:instrText>
        </w:r>
        <w:r w:rsidRPr="00BD069E">
          <w:rPr>
            <w:sz w:val="22"/>
            <w:szCs w:val="22"/>
          </w:rPr>
          <w:fldChar w:fldCharType="separate"/>
        </w:r>
        <w:r w:rsidR="00866BAF">
          <w:rPr>
            <w:noProof/>
            <w:sz w:val="22"/>
            <w:szCs w:val="22"/>
          </w:rPr>
          <w:t>9</w:t>
        </w:r>
        <w:r w:rsidRPr="00BD069E">
          <w:rPr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ED" w:rsidRPr="00821EB2" w:rsidRDefault="00B659ED" w:rsidP="00821EB2">
    <w:pPr>
      <w:pStyle w:val="Zpat"/>
      <w:tabs>
        <w:tab w:val="clear" w:pos="4536"/>
      </w:tabs>
      <w:rPr>
        <w:color w:val="FFFFFF" w:themeColor="background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ED" w:rsidRDefault="00B659ED" w:rsidP="004D5CE1">
      <w:pPr>
        <w:spacing w:before="0"/>
      </w:pPr>
      <w:r>
        <w:separator/>
      </w:r>
    </w:p>
  </w:footnote>
  <w:footnote w:type="continuationSeparator" w:id="0">
    <w:p w:rsidR="00B659ED" w:rsidRDefault="00B659ED" w:rsidP="004D5CE1">
      <w:pPr>
        <w:spacing w:before="0"/>
      </w:pPr>
      <w:r>
        <w:continuationSeparator/>
      </w:r>
    </w:p>
  </w:footnote>
  <w:footnote w:type="continuationNotice" w:id="1">
    <w:p w:rsidR="00A85E0D" w:rsidRDefault="00A85E0D">
      <w:pPr>
        <w:spacing w:before="0"/>
      </w:pPr>
    </w:p>
  </w:footnote>
  <w:footnote w:id="2">
    <w:p w:rsidR="00B659ED" w:rsidRPr="000F37F7" w:rsidRDefault="00B659ED" w:rsidP="000745BA">
      <w:pPr>
        <w:pStyle w:val="Textpoznpodarou"/>
        <w:spacing w:before="0"/>
        <w:ind w:left="284" w:hanging="284"/>
        <w:rPr>
          <w:sz w:val="18"/>
          <w:szCs w:val="18"/>
        </w:rPr>
      </w:pPr>
      <w:r w:rsidRPr="000F37F7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0F37F7">
        <w:rPr>
          <w:sz w:val="18"/>
          <w:szCs w:val="18"/>
        </w:rPr>
        <w:t>V </w:t>
      </w:r>
      <w:r>
        <w:rPr>
          <w:sz w:val="18"/>
          <w:szCs w:val="18"/>
        </w:rPr>
        <w:t>d</w:t>
      </w:r>
      <w:r w:rsidRPr="000F37F7">
        <w:rPr>
          <w:sz w:val="18"/>
          <w:szCs w:val="18"/>
        </w:rPr>
        <w:t xml:space="preserve">okumentaci programu schválené 19. února 2008 program uváděn pod názvem </w:t>
      </w:r>
      <w:r w:rsidRPr="00BD3FDE">
        <w:rPr>
          <w:i/>
          <w:sz w:val="18"/>
          <w:szCs w:val="18"/>
        </w:rPr>
        <w:t>Výstavba, obnova a provozování centrálně řízených ICT resortu Ministerstva financí v letech 2007–2013</w:t>
      </w:r>
      <w:r w:rsidRPr="000F37F7">
        <w:rPr>
          <w:sz w:val="18"/>
          <w:szCs w:val="18"/>
        </w:rPr>
        <w:t>; v </w:t>
      </w:r>
      <w:r>
        <w:rPr>
          <w:sz w:val="18"/>
          <w:szCs w:val="18"/>
        </w:rPr>
        <w:t>d</w:t>
      </w:r>
      <w:r w:rsidRPr="000F37F7">
        <w:rPr>
          <w:sz w:val="18"/>
          <w:szCs w:val="18"/>
        </w:rPr>
        <w:t xml:space="preserve">okumentacích programu schválených 9. července 2008 a 22. prosince 2008 program uváděn pod názvem </w:t>
      </w:r>
      <w:r w:rsidRPr="00BD3FDE">
        <w:rPr>
          <w:i/>
          <w:sz w:val="18"/>
          <w:szCs w:val="18"/>
        </w:rPr>
        <w:t>Výstavba, obnova a provozování Státní pokladny v letech 2007–2013</w:t>
      </w:r>
      <w:r w:rsidRPr="000F37F7">
        <w:rPr>
          <w:sz w:val="18"/>
          <w:szCs w:val="18"/>
        </w:rPr>
        <w:t>; v </w:t>
      </w:r>
      <w:r>
        <w:rPr>
          <w:sz w:val="18"/>
          <w:szCs w:val="18"/>
        </w:rPr>
        <w:t>d</w:t>
      </w:r>
      <w:r w:rsidRPr="000F37F7">
        <w:rPr>
          <w:sz w:val="18"/>
          <w:szCs w:val="18"/>
        </w:rPr>
        <w:t xml:space="preserve">okumentaci programu schválené 6. prosince 2011 program uváděn pod názvem </w:t>
      </w:r>
      <w:r w:rsidRPr="00BD3FDE">
        <w:rPr>
          <w:i/>
          <w:iCs/>
          <w:sz w:val="18"/>
          <w:szCs w:val="18"/>
        </w:rPr>
        <w:t>Výstavba, obnova a provozování Státní pokladny v letech 2007–2014</w:t>
      </w:r>
      <w:r w:rsidRPr="000F37F7">
        <w:rPr>
          <w:iCs/>
          <w:sz w:val="18"/>
          <w:szCs w:val="18"/>
        </w:rPr>
        <w:t>.</w:t>
      </w:r>
    </w:p>
  </w:footnote>
  <w:footnote w:id="3">
    <w:p w:rsidR="00B659ED" w:rsidRPr="000F37F7" w:rsidRDefault="00B659ED" w:rsidP="000745BA">
      <w:pPr>
        <w:pStyle w:val="Textpoznpodarou"/>
        <w:spacing w:before="0"/>
        <w:ind w:left="284" w:hanging="284"/>
        <w:rPr>
          <w:sz w:val="18"/>
          <w:szCs w:val="18"/>
        </w:rPr>
      </w:pPr>
      <w:r w:rsidRPr="000F37F7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0F37F7">
        <w:rPr>
          <w:sz w:val="18"/>
          <w:szCs w:val="18"/>
        </w:rPr>
        <w:t>V kontrolovaném období byla definice programu v zákoně č. 218/2000 Sb. dvakrát změněna.</w:t>
      </w:r>
    </w:p>
  </w:footnote>
  <w:footnote w:id="4">
    <w:p w:rsidR="00B659ED" w:rsidRPr="00BD069E" w:rsidRDefault="00B659ED" w:rsidP="000745BA">
      <w:pPr>
        <w:spacing w:before="0"/>
        <w:ind w:left="284" w:hanging="284"/>
        <w:rPr>
          <w:sz w:val="18"/>
          <w:szCs w:val="18"/>
        </w:rPr>
      </w:pPr>
      <w:r w:rsidRPr="00BD069E">
        <w:rPr>
          <w:rStyle w:val="Znakapoznpodarou"/>
          <w:sz w:val="18"/>
          <w:szCs w:val="18"/>
        </w:rPr>
        <w:footnoteRef/>
      </w:r>
      <w:r w:rsidRPr="00BD069E">
        <w:rPr>
          <w:sz w:val="18"/>
          <w:szCs w:val="18"/>
        </w:rPr>
        <w:tab/>
        <w:t xml:space="preserve">Název </w:t>
      </w:r>
      <w:r w:rsidRPr="005E7E5E">
        <w:rPr>
          <w:i/>
          <w:sz w:val="18"/>
          <w:szCs w:val="18"/>
        </w:rPr>
        <w:t>Služby manažera projektu pro realizaci ISSP</w:t>
      </w:r>
      <w:r w:rsidRPr="00BD069E">
        <w:rPr>
          <w:sz w:val="18"/>
          <w:szCs w:val="18"/>
        </w:rPr>
        <w:t xml:space="preserve"> byl v </w:t>
      </w:r>
      <w:r>
        <w:rPr>
          <w:sz w:val="18"/>
          <w:szCs w:val="18"/>
        </w:rPr>
        <w:t>d</w:t>
      </w:r>
      <w:r w:rsidRPr="00BD069E">
        <w:rPr>
          <w:sz w:val="18"/>
          <w:szCs w:val="18"/>
        </w:rPr>
        <w:t xml:space="preserve">okumentaci schválené dne 6. prosince 2011 změněn na </w:t>
      </w:r>
      <w:r w:rsidRPr="005E7E5E">
        <w:rPr>
          <w:i/>
          <w:sz w:val="18"/>
          <w:szCs w:val="18"/>
        </w:rPr>
        <w:t>Služby manažera projektu pro realizaci IISSP</w:t>
      </w:r>
      <w:r w:rsidRPr="00BD069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0D" w:rsidRDefault="00A85E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913"/>
    <w:multiLevelType w:val="hybridMultilevel"/>
    <w:tmpl w:val="941EB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33B32"/>
    <w:multiLevelType w:val="hybridMultilevel"/>
    <w:tmpl w:val="71F68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51907"/>
    <w:multiLevelType w:val="hybridMultilevel"/>
    <w:tmpl w:val="AD0AD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421B5"/>
    <w:multiLevelType w:val="hybridMultilevel"/>
    <w:tmpl w:val="F2506FAC"/>
    <w:lvl w:ilvl="0" w:tplc="AB0EB2B2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236F1EE1"/>
    <w:multiLevelType w:val="hybridMultilevel"/>
    <w:tmpl w:val="BBDC9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63939"/>
    <w:multiLevelType w:val="hybridMultilevel"/>
    <w:tmpl w:val="07CC8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F5185"/>
    <w:multiLevelType w:val="hybridMultilevel"/>
    <w:tmpl w:val="543E2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B314F"/>
    <w:multiLevelType w:val="hybridMultilevel"/>
    <w:tmpl w:val="C916C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30DA"/>
    <w:multiLevelType w:val="hybridMultilevel"/>
    <w:tmpl w:val="C3682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31A30"/>
    <w:multiLevelType w:val="hybridMultilevel"/>
    <w:tmpl w:val="8CEA7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A12BA"/>
    <w:multiLevelType w:val="hybridMultilevel"/>
    <w:tmpl w:val="26945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72A75"/>
    <w:multiLevelType w:val="hybridMultilevel"/>
    <w:tmpl w:val="BF7C85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45951"/>
    <w:multiLevelType w:val="hybridMultilevel"/>
    <w:tmpl w:val="356E2244"/>
    <w:lvl w:ilvl="0" w:tplc="75D25C0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3770D"/>
    <w:multiLevelType w:val="hybridMultilevel"/>
    <w:tmpl w:val="E1147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34451"/>
    <w:multiLevelType w:val="hybridMultilevel"/>
    <w:tmpl w:val="4894D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41D6F"/>
    <w:multiLevelType w:val="hybridMultilevel"/>
    <w:tmpl w:val="ACB65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110E0"/>
    <w:multiLevelType w:val="hybridMultilevel"/>
    <w:tmpl w:val="03C03D12"/>
    <w:lvl w:ilvl="0" w:tplc="DE667C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04D2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0E4A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58AF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2CC6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C0A2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9EFB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5074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E242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1548A0"/>
    <w:multiLevelType w:val="hybridMultilevel"/>
    <w:tmpl w:val="D11EE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162FB"/>
    <w:multiLevelType w:val="hybridMultilevel"/>
    <w:tmpl w:val="ECE47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350D0"/>
    <w:multiLevelType w:val="hybridMultilevel"/>
    <w:tmpl w:val="7AD23C32"/>
    <w:lvl w:ilvl="0" w:tplc="6ED204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41C53"/>
    <w:multiLevelType w:val="hybridMultilevel"/>
    <w:tmpl w:val="A992C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18"/>
  </w:num>
  <w:num w:numId="7">
    <w:abstractNumId w:val="17"/>
  </w:num>
  <w:num w:numId="8">
    <w:abstractNumId w:val="8"/>
  </w:num>
  <w:num w:numId="9">
    <w:abstractNumId w:val="14"/>
  </w:num>
  <w:num w:numId="10">
    <w:abstractNumId w:val="1"/>
  </w:num>
  <w:num w:numId="11">
    <w:abstractNumId w:val="19"/>
  </w:num>
  <w:num w:numId="12">
    <w:abstractNumId w:val="7"/>
  </w:num>
  <w:num w:numId="13">
    <w:abstractNumId w:val="13"/>
  </w:num>
  <w:num w:numId="14">
    <w:abstractNumId w:val="11"/>
  </w:num>
  <w:num w:numId="15">
    <w:abstractNumId w:val="20"/>
  </w:num>
  <w:num w:numId="16">
    <w:abstractNumId w:val="15"/>
  </w:num>
  <w:num w:numId="17">
    <w:abstractNumId w:val="6"/>
  </w:num>
  <w:num w:numId="18">
    <w:abstractNumId w:val="2"/>
  </w:num>
  <w:num w:numId="19">
    <w:abstractNumId w:val="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E1"/>
    <w:rsid w:val="00000980"/>
    <w:rsid w:val="00000F73"/>
    <w:rsid w:val="00002B28"/>
    <w:rsid w:val="000135CC"/>
    <w:rsid w:val="000157F2"/>
    <w:rsid w:val="0002110C"/>
    <w:rsid w:val="000267B2"/>
    <w:rsid w:val="000329BC"/>
    <w:rsid w:val="00035F7F"/>
    <w:rsid w:val="000403C5"/>
    <w:rsid w:val="00046E26"/>
    <w:rsid w:val="00050D11"/>
    <w:rsid w:val="00060A40"/>
    <w:rsid w:val="00060D77"/>
    <w:rsid w:val="00061E32"/>
    <w:rsid w:val="00063915"/>
    <w:rsid w:val="00066A42"/>
    <w:rsid w:val="000745BA"/>
    <w:rsid w:val="00081778"/>
    <w:rsid w:val="00082DAA"/>
    <w:rsid w:val="00082ECD"/>
    <w:rsid w:val="000833A7"/>
    <w:rsid w:val="000916F0"/>
    <w:rsid w:val="00094932"/>
    <w:rsid w:val="000A04CB"/>
    <w:rsid w:val="000A1E0F"/>
    <w:rsid w:val="000A2BE8"/>
    <w:rsid w:val="000A2C01"/>
    <w:rsid w:val="000B15F5"/>
    <w:rsid w:val="000B46CD"/>
    <w:rsid w:val="000B5184"/>
    <w:rsid w:val="000B5F33"/>
    <w:rsid w:val="000C0110"/>
    <w:rsid w:val="000C06AA"/>
    <w:rsid w:val="000C55A2"/>
    <w:rsid w:val="000D3FC1"/>
    <w:rsid w:val="000D4371"/>
    <w:rsid w:val="000D5ED5"/>
    <w:rsid w:val="000D7FF1"/>
    <w:rsid w:val="000E4E7D"/>
    <w:rsid w:val="000E55E0"/>
    <w:rsid w:val="000E5BAC"/>
    <w:rsid w:val="000E60C6"/>
    <w:rsid w:val="000F046D"/>
    <w:rsid w:val="000F156B"/>
    <w:rsid w:val="000F37F7"/>
    <w:rsid w:val="000F4925"/>
    <w:rsid w:val="001001E0"/>
    <w:rsid w:val="00101126"/>
    <w:rsid w:val="001033DC"/>
    <w:rsid w:val="0010357F"/>
    <w:rsid w:val="00103DFF"/>
    <w:rsid w:val="00106B7F"/>
    <w:rsid w:val="00112EAB"/>
    <w:rsid w:val="00114F5B"/>
    <w:rsid w:val="00116636"/>
    <w:rsid w:val="001166E1"/>
    <w:rsid w:val="00116B04"/>
    <w:rsid w:val="00117589"/>
    <w:rsid w:val="00121A4A"/>
    <w:rsid w:val="00125AB0"/>
    <w:rsid w:val="00134641"/>
    <w:rsid w:val="0013538A"/>
    <w:rsid w:val="00135643"/>
    <w:rsid w:val="00136F72"/>
    <w:rsid w:val="00142984"/>
    <w:rsid w:val="00142AA3"/>
    <w:rsid w:val="00144BEE"/>
    <w:rsid w:val="00145508"/>
    <w:rsid w:val="001502B5"/>
    <w:rsid w:val="00157BFC"/>
    <w:rsid w:val="00160900"/>
    <w:rsid w:val="001612CD"/>
    <w:rsid w:val="001703C4"/>
    <w:rsid w:val="00171004"/>
    <w:rsid w:val="00174BF6"/>
    <w:rsid w:val="00176ED3"/>
    <w:rsid w:val="001801D6"/>
    <w:rsid w:val="00180ECF"/>
    <w:rsid w:val="0018169C"/>
    <w:rsid w:val="00182339"/>
    <w:rsid w:val="0019003A"/>
    <w:rsid w:val="00191556"/>
    <w:rsid w:val="0019497A"/>
    <w:rsid w:val="001A127A"/>
    <w:rsid w:val="001A549B"/>
    <w:rsid w:val="001A6193"/>
    <w:rsid w:val="001A7536"/>
    <w:rsid w:val="001B47E6"/>
    <w:rsid w:val="001C0B30"/>
    <w:rsid w:val="001C2885"/>
    <w:rsid w:val="001C50AD"/>
    <w:rsid w:val="001D077F"/>
    <w:rsid w:val="001D08CC"/>
    <w:rsid w:val="001D22C9"/>
    <w:rsid w:val="001D5DA3"/>
    <w:rsid w:val="001D5F94"/>
    <w:rsid w:val="001E1C61"/>
    <w:rsid w:val="001F4153"/>
    <w:rsid w:val="0020109C"/>
    <w:rsid w:val="002028AD"/>
    <w:rsid w:val="0020326F"/>
    <w:rsid w:val="00210F0A"/>
    <w:rsid w:val="0021161B"/>
    <w:rsid w:val="00211B1D"/>
    <w:rsid w:val="00216BA2"/>
    <w:rsid w:val="002222C8"/>
    <w:rsid w:val="002302BE"/>
    <w:rsid w:val="002323E7"/>
    <w:rsid w:val="002376AB"/>
    <w:rsid w:val="00240531"/>
    <w:rsid w:val="00240887"/>
    <w:rsid w:val="00240AAF"/>
    <w:rsid w:val="0025363E"/>
    <w:rsid w:val="002536BC"/>
    <w:rsid w:val="00262C34"/>
    <w:rsid w:val="00264675"/>
    <w:rsid w:val="002671CA"/>
    <w:rsid w:val="002675DB"/>
    <w:rsid w:val="00270B3E"/>
    <w:rsid w:val="00271958"/>
    <w:rsid w:val="00271E75"/>
    <w:rsid w:val="0027219D"/>
    <w:rsid w:val="00272578"/>
    <w:rsid w:val="002767BC"/>
    <w:rsid w:val="002768A7"/>
    <w:rsid w:val="00280BD6"/>
    <w:rsid w:val="002810FB"/>
    <w:rsid w:val="002822CF"/>
    <w:rsid w:val="0029525E"/>
    <w:rsid w:val="00297AD0"/>
    <w:rsid w:val="002A5CEB"/>
    <w:rsid w:val="002B1EB0"/>
    <w:rsid w:val="002C3053"/>
    <w:rsid w:val="002C370E"/>
    <w:rsid w:val="002C50E8"/>
    <w:rsid w:val="002C5D38"/>
    <w:rsid w:val="002C71F2"/>
    <w:rsid w:val="002C7EBD"/>
    <w:rsid w:val="002D103A"/>
    <w:rsid w:val="002D6AC5"/>
    <w:rsid w:val="002D7AC3"/>
    <w:rsid w:val="002E1DAF"/>
    <w:rsid w:val="003137D1"/>
    <w:rsid w:val="003144B5"/>
    <w:rsid w:val="0032004A"/>
    <w:rsid w:val="003215C0"/>
    <w:rsid w:val="00321F71"/>
    <w:rsid w:val="003228B9"/>
    <w:rsid w:val="00322D56"/>
    <w:rsid w:val="00326108"/>
    <w:rsid w:val="003273B3"/>
    <w:rsid w:val="0033381A"/>
    <w:rsid w:val="003413BB"/>
    <w:rsid w:val="0034303E"/>
    <w:rsid w:val="00344D91"/>
    <w:rsid w:val="00346D55"/>
    <w:rsid w:val="00350D20"/>
    <w:rsid w:val="0035174C"/>
    <w:rsid w:val="003521F6"/>
    <w:rsid w:val="00357B53"/>
    <w:rsid w:val="00360212"/>
    <w:rsid w:val="00363E35"/>
    <w:rsid w:val="0036607E"/>
    <w:rsid w:val="00366EA2"/>
    <w:rsid w:val="00367CE3"/>
    <w:rsid w:val="0037415F"/>
    <w:rsid w:val="003752D9"/>
    <w:rsid w:val="00376A6F"/>
    <w:rsid w:val="00384E73"/>
    <w:rsid w:val="00387436"/>
    <w:rsid w:val="00387AAA"/>
    <w:rsid w:val="003A137B"/>
    <w:rsid w:val="003A1BBE"/>
    <w:rsid w:val="003A3C1C"/>
    <w:rsid w:val="003A4716"/>
    <w:rsid w:val="003A6FFD"/>
    <w:rsid w:val="003B0F6E"/>
    <w:rsid w:val="003C19EA"/>
    <w:rsid w:val="003D0285"/>
    <w:rsid w:val="003D179D"/>
    <w:rsid w:val="003D3E02"/>
    <w:rsid w:val="003D73B8"/>
    <w:rsid w:val="003E09A7"/>
    <w:rsid w:val="003E0C72"/>
    <w:rsid w:val="003E3904"/>
    <w:rsid w:val="003E3D55"/>
    <w:rsid w:val="003F0176"/>
    <w:rsid w:val="003F0506"/>
    <w:rsid w:val="003F0E5A"/>
    <w:rsid w:val="003F3365"/>
    <w:rsid w:val="00401A3D"/>
    <w:rsid w:val="004020CE"/>
    <w:rsid w:val="004040FA"/>
    <w:rsid w:val="00410ECE"/>
    <w:rsid w:val="004149E4"/>
    <w:rsid w:val="0041595D"/>
    <w:rsid w:val="00415991"/>
    <w:rsid w:val="004201E2"/>
    <w:rsid w:val="0042136D"/>
    <w:rsid w:val="00421ED9"/>
    <w:rsid w:val="00425E2D"/>
    <w:rsid w:val="004302FB"/>
    <w:rsid w:val="00432481"/>
    <w:rsid w:val="00432DA5"/>
    <w:rsid w:val="00434692"/>
    <w:rsid w:val="00450B25"/>
    <w:rsid w:val="00453A0E"/>
    <w:rsid w:val="004565F5"/>
    <w:rsid w:val="00456903"/>
    <w:rsid w:val="004624D3"/>
    <w:rsid w:val="00462FC8"/>
    <w:rsid w:val="004634FF"/>
    <w:rsid w:val="00467E77"/>
    <w:rsid w:val="00472ADD"/>
    <w:rsid w:val="00473710"/>
    <w:rsid w:val="00477FFA"/>
    <w:rsid w:val="00480CAD"/>
    <w:rsid w:val="00481DA4"/>
    <w:rsid w:val="004821AC"/>
    <w:rsid w:val="004840D5"/>
    <w:rsid w:val="0049023B"/>
    <w:rsid w:val="00490338"/>
    <w:rsid w:val="004932FB"/>
    <w:rsid w:val="004937AA"/>
    <w:rsid w:val="0049748F"/>
    <w:rsid w:val="00497FD4"/>
    <w:rsid w:val="004A504E"/>
    <w:rsid w:val="004A7BE3"/>
    <w:rsid w:val="004B0CB3"/>
    <w:rsid w:val="004B18DA"/>
    <w:rsid w:val="004B31D5"/>
    <w:rsid w:val="004B42CD"/>
    <w:rsid w:val="004B5155"/>
    <w:rsid w:val="004B687A"/>
    <w:rsid w:val="004B6F90"/>
    <w:rsid w:val="004B72D5"/>
    <w:rsid w:val="004C2E9A"/>
    <w:rsid w:val="004C3EC8"/>
    <w:rsid w:val="004C4B44"/>
    <w:rsid w:val="004C76F0"/>
    <w:rsid w:val="004D4996"/>
    <w:rsid w:val="004D5CCC"/>
    <w:rsid w:val="004D5CE1"/>
    <w:rsid w:val="004D6959"/>
    <w:rsid w:val="004E5E76"/>
    <w:rsid w:val="004F282F"/>
    <w:rsid w:val="004F38F2"/>
    <w:rsid w:val="004F4853"/>
    <w:rsid w:val="004F55BC"/>
    <w:rsid w:val="00501566"/>
    <w:rsid w:val="0050462F"/>
    <w:rsid w:val="00510C6E"/>
    <w:rsid w:val="00511726"/>
    <w:rsid w:val="0051192C"/>
    <w:rsid w:val="00511C38"/>
    <w:rsid w:val="0051200D"/>
    <w:rsid w:val="00513BB9"/>
    <w:rsid w:val="00516387"/>
    <w:rsid w:val="0051726C"/>
    <w:rsid w:val="005224DB"/>
    <w:rsid w:val="0052292A"/>
    <w:rsid w:val="005249E3"/>
    <w:rsid w:val="0052607F"/>
    <w:rsid w:val="005308F4"/>
    <w:rsid w:val="005341C1"/>
    <w:rsid w:val="005366B0"/>
    <w:rsid w:val="00536A30"/>
    <w:rsid w:val="00542339"/>
    <w:rsid w:val="00545B5E"/>
    <w:rsid w:val="00546988"/>
    <w:rsid w:val="0054724F"/>
    <w:rsid w:val="0055227C"/>
    <w:rsid w:val="00554A08"/>
    <w:rsid w:val="00555915"/>
    <w:rsid w:val="00556407"/>
    <w:rsid w:val="00556EA8"/>
    <w:rsid w:val="005725B7"/>
    <w:rsid w:val="00573A2A"/>
    <w:rsid w:val="00573D88"/>
    <w:rsid w:val="00575C2A"/>
    <w:rsid w:val="00577AB1"/>
    <w:rsid w:val="0058342A"/>
    <w:rsid w:val="00583B77"/>
    <w:rsid w:val="00592511"/>
    <w:rsid w:val="0059511E"/>
    <w:rsid w:val="005A0B2D"/>
    <w:rsid w:val="005A2D25"/>
    <w:rsid w:val="005A36D7"/>
    <w:rsid w:val="005A6AA8"/>
    <w:rsid w:val="005A7F86"/>
    <w:rsid w:val="005B0BB1"/>
    <w:rsid w:val="005B3BD5"/>
    <w:rsid w:val="005C1580"/>
    <w:rsid w:val="005C51DF"/>
    <w:rsid w:val="005C638A"/>
    <w:rsid w:val="005C671D"/>
    <w:rsid w:val="005D0F9B"/>
    <w:rsid w:val="005D23A9"/>
    <w:rsid w:val="005D5B56"/>
    <w:rsid w:val="005E1260"/>
    <w:rsid w:val="005E3915"/>
    <w:rsid w:val="005E5600"/>
    <w:rsid w:val="005E66A0"/>
    <w:rsid w:val="005E722F"/>
    <w:rsid w:val="005E7E5E"/>
    <w:rsid w:val="005F2A2A"/>
    <w:rsid w:val="005F5832"/>
    <w:rsid w:val="005F7A35"/>
    <w:rsid w:val="0060052A"/>
    <w:rsid w:val="006011CE"/>
    <w:rsid w:val="00602A6E"/>
    <w:rsid w:val="00603A57"/>
    <w:rsid w:val="00605DFA"/>
    <w:rsid w:val="00606235"/>
    <w:rsid w:val="006127AB"/>
    <w:rsid w:val="006223A4"/>
    <w:rsid w:val="00622D61"/>
    <w:rsid w:val="00625B7C"/>
    <w:rsid w:val="00630DC6"/>
    <w:rsid w:val="0063467F"/>
    <w:rsid w:val="00637450"/>
    <w:rsid w:val="00640F58"/>
    <w:rsid w:val="0064120C"/>
    <w:rsid w:val="006412CD"/>
    <w:rsid w:val="00652C9E"/>
    <w:rsid w:val="006600AF"/>
    <w:rsid w:val="006617B1"/>
    <w:rsid w:val="00663D2F"/>
    <w:rsid w:val="006743E1"/>
    <w:rsid w:val="00690841"/>
    <w:rsid w:val="0069261F"/>
    <w:rsid w:val="0069638C"/>
    <w:rsid w:val="006A41D2"/>
    <w:rsid w:val="006B10ED"/>
    <w:rsid w:val="006B71FC"/>
    <w:rsid w:val="006D16E2"/>
    <w:rsid w:val="006D42DB"/>
    <w:rsid w:val="006D61FD"/>
    <w:rsid w:val="006E1E01"/>
    <w:rsid w:val="006E293E"/>
    <w:rsid w:val="006F0201"/>
    <w:rsid w:val="006F36E7"/>
    <w:rsid w:val="006F6EAD"/>
    <w:rsid w:val="007010E6"/>
    <w:rsid w:val="00703AFA"/>
    <w:rsid w:val="00705FAD"/>
    <w:rsid w:val="00721659"/>
    <w:rsid w:val="00721EC5"/>
    <w:rsid w:val="00723302"/>
    <w:rsid w:val="00725ECE"/>
    <w:rsid w:val="00734E1B"/>
    <w:rsid w:val="007357D2"/>
    <w:rsid w:val="007410BC"/>
    <w:rsid w:val="007414CA"/>
    <w:rsid w:val="007505A1"/>
    <w:rsid w:val="00751349"/>
    <w:rsid w:val="00757D85"/>
    <w:rsid w:val="0076663A"/>
    <w:rsid w:val="007779A0"/>
    <w:rsid w:val="00780626"/>
    <w:rsid w:val="00781AF8"/>
    <w:rsid w:val="00781D31"/>
    <w:rsid w:val="00783D38"/>
    <w:rsid w:val="007849AF"/>
    <w:rsid w:val="007906C2"/>
    <w:rsid w:val="00794A81"/>
    <w:rsid w:val="007A5C5C"/>
    <w:rsid w:val="007A6916"/>
    <w:rsid w:val="007B26B4"/>
    <w:rsid w:val="007B6510"/>
    <w:rsid w:val="007B734B"/>
    <w:rsid w:val="007C1D46"/>
    <w:rsid w:val="007C6D94"/>
    <w:rsid w:val="007D1F9F"/>
    <w:rsid w:val="007D2D90"/>
    <w:rsid w:val="007D6DAE"/>
    <w:rsid w:val="007E09FB"/>
    <w:rsid w:val="007E38A5"/>
    <w:rsid w:val="007E3D4E"/>
    <w:rsid w:val="007F0D89"/>
    <w:rsid w:val="007F4420"/>
    <w:rsid w:val="0080174A"/>
    <w:rsid w:val="00801BA5"/>
    <w:rsid w:val="00801ED8"/>
    <w:rsid w:val="00802841"/>
    <w:rsid w:val="008058B1"/>
    <w:rsid w:val="008077FC"/>
    <w:rsid w:val="00810512"/>
    <w:rsid w:val="00810C93"/>
    <w:rsid w:val="0081249A"/>
    <w:rsid w:val="008151C4"/>
    <w:rsid w:val="00816FE7"/>
    <w:rsid w:val="00817A25"/>
    <w:rsid w:val="008206C1"/>
    <w:rsid w:val="00820E7B"/>
    <w:rsid w:val="00821EB2"/>
    <w:rsid w:val="00822552"/>
    <w:rsid w:val="00822B9E"/>
    <w:rsid w:val="008266CF"/>
    <w:rsid w:val="00827DF7"/>
    <w:rsid w:val="008305F7"/>
    <w:rsid w:val="00832295"/>
    <w:rsid w:val="008370B5"/>
    <w:rsid w:val="008472C5"/>
    <w:rsid w:val="00850FD5"/>
    <w:rsid w:val="0085146A"/>
    <w:rsid w:val="00852BCD"/>
    <w:rsid w:val="00853D51"/>
    <w:rsid w:val="00855BD3"/>
    <w:rsid w:val="008605B3"/>
    <w:rsid w:val="00861BED"/>
    <w:rsid w:val="00864559"/>
    <w:rsid w:val="00866BAF"/>
    <w:rsid w:val="00867217"/>
    <w:rsid w:val="00867430"/>
    <w:rsid w:val="00871081"/>
    <w:rsid w:val="008723F2"/>
    <w:rsid w:val="00875CBD"/>
    <w:rsid w:val="008777AD"/>
    <w:rsid w:val="008834F5"/>
    <w:rsid w:val="00886367"/>
    <w:rsid w:val="00887421"/>
    <w:rsid w:val="00897B32"/>
    <w:rsid w:val="008A4CB6"/>
    <w:rsid w:val="008A4DC5"/>
    <w:rsid w:val="008A7A44"/>
    <w:rsid w:val="008B1823"/>
    <w:rsid w:val="008C05E9"/>
    <w:rsid w:val="008C1A9E"/>
    <w:rsid w:val="008C1F4D"/>
    <w:rsid w:val="008C27FA"/>
    <w:rsid w:val="008C2F54"/>
    <w:rsid w:val="008C6E1C"/>
    <w:rsid w:val="008D09A9"/>
    <w:rsid w:val="008D222F"/>
    <w:rsid w:val="008D3D8A"/>
    <w:rsid w:val="008D58ED"/>
    <w:rsid w:val="008D67FC"/>
    <w:rsid w:val="008E7F09"/>
    <w:rsid w:val="008F23EF"/>
    <w:rsid w:val="008F3C0D"/>
    <w:rsid w:val="008F6BFE"/>
    <w:rsid w:val="00904024"/>
    <w:rsid w:val="00905AE9"/>
    <w:rsid w:val="00910228"/>
    <w:rsid w:val="00912F45"/>
    <w:rsid w:val="009148D7"/>
    <w:rsid w:val="009218CB"/>
    <w:rsid w:val="00921A25"/>
    <w:rsid w:val="009304F4"/>
    <w:rsid w:val="00933BCA"/>
    <w:rsid w:val="00934630"/>
    <w:rsid w:val="00937763"/>
    <w:rsid w:val="00945CCB"/>
    <w:rsid w:val="00951B6C"/>
    <w:rsid w:val="00955D4E"/>
    <w:rsid w:val="00957E10"/>
    <w:rsid w:val="00962C82"/>
    <w:rsid w:val="00963032"/>
    <w:rsid w:val="009650F2"/>
    <w:rsid w:val="009657E2"/>
    <w:rsid w:val="009660EC"/>
    <w:rsid w:val="00971D70"/>
    <w:rsid w:val="00976E57"/>
    <w:rsid w:val="00977ABA"/>
    <w:rsid w:val="0098770C"/>
    <w:rsid w:val="00996323"/>
    <w:rsid w:val="009A3E1A"/>
    <w:rsid w:val="009A6660"/>
    <w:rsid w:val="009A7FE3"/>
    <w:rsid w:val="009B64B7"/>
    <w:rsid w:val="009B7664"/>
    <w:rsid w:val="009B7C49"/>
    <w:rsid w:val="009C0A0E"/>
    <w:rsid w:val="009C0D0A"/>
    <w:rsid w:val="009C72C3"/>
    <w:rsid w:val="009D111F"/>
    <w:rsid w:val="009D206E"/>
    <w:rsid w:val="009D51F8"/>
    <w:rsid w:val="009D7507"/>
    <w:rsid w:val="009D7C66"/>
    <w:rsid w:val="009E4804"/>
    <w:rsid w:val="009E4D15"/>
    <w:rsid w:val="009E5F14"/>
    <w:rsid w:val="009F042E"/>
    <w:rsid w:val="009F0E09"/>
    <w:rsid w:val="009F13CD"/>
    <w:rsid w:val="009F1DB9"/>
    <w:rsid w:val="009F5CD0"/>
    <w:rsid w:val="00A00939"/>
    <w:rsid w:val="00A05883"/>
    <w:rsid w:val="00A11D2F"/>
    <w:rsid w:val="00A14A09"/>
    <w:rsid w:val="00A21590"/>
    <w:rsid w:val="00A21780"/>
    <w:rsid w:val="00A2201E"/>
    <w:rsid w:val="00A30CAA"/>
    <w:rsid w:val="00A33E37"/>
    <w:rsid w:val="00A35C75"/>
    <w:rsid w:val="00A431A9"/>
    <w:rsid w:val="00A43B97"/>
    <w:rsid w:val="00A54F31"/>
    <w:rsid w:val="00A64D7B"/>
    <w:rsid w:val="00A707FD"/>
    <w:rsid w:val="00A70989"/>
    <w:rsid w:val="00A722BB"/>
    <w:rsid w:val="00A74A2A"/>
    <w:rsid w:val="00A826E0"/>
    <w:rsid w:val="00A85E0D"/>
    <w:rsid w:val="00A933C9"/>
    <w:rsid w:val="00A94A91"/>
    <w:rsid w:val="00A9528F"/>
    <w:rsid w:val="00AA0F52"/>
    <w:rsid w:val="00AA1950"/>
    <w:rsid w:val="00AA226F"/>
    <w:rsid w:val="00AA459C"/>
    <w:rsid w:val="00AC4FF3"/>
    <w:rsid w:val="00AD3D26"/>
    <w:rsid w:val="00AD3FD5"/>
    <w:rsid w:val="00AD78BD"/>
    <w:rsid w:val="00AE072F"/>
    <w:rsid w:val="00AE1D8D"/>
    <w:rsid w:val="00AE5C56"/>
    <w:rsid w:val="00AE7645"/>
    <w:rsid w:val="00AE7F73"/>
    <w:rsid w:val="00AF0258"/>
    <w:rsid w:val="00AF38EC"/>
    <w:rsid w:val="00AF73A4"/>
    <w:rsid w:val="00AF7C27"/>
    <w:rsid w:val="00B01C75"/>
    <w:rsid w:val="00B03267"/>
    <w:rsid w:val="00B111FD"/>
    <w:rsid w:val="00B12441"/>
    <w:rsid w:val="00B12F01"/>
    <w:rsid w:val="00B13D22"/>
    <w:rsid w:val="00B21A3E"/>
    <w:rsid w:val="00B2347E"/>
    <w:rsid w:val="00B26B0A"/>
    <w:rsid w:val="00B3053D"/>
    <w:rsid w:val="00B33C7C"/>
    <w:rsid w:val="00B35A00"/>
    <w:rsid w:val="00B36E5F"/>
    <w:rsid w:val="00B37964"/>
    <w:rsid w:val="00B41684"/>
    <w:rsid w:val="00B43572"/>
    <w:rsid w:val="00B44580"/>
    <w:rsid w:val="00B45658"/>
    <w:rsid w:val="00B46D85"/>
    <w:rsid w:val="00B46E74"/>
    <w:rsid w:val="00B5157A"/>
    <w:rsid w:val="00B52953"/>
    <w:rsid w:val="00B55A28"/>
    <w:rsid w:val="00B56E2F"/>
    <w:rsid w:val="00B60077"/>
    <w:rsid w:val="00B607FA"/>
    <w:rsid w:val="00B61878"/>
    <w:rsid w:val="00B63FF8"/>
    <w:rsid w:val="00B657B4"/>
    <w:rsid w:val="00B659ED"/>
    <w:rsid w:val="00B7472D"/>
    <w:rsid w:val="00B75057"/>
    <w:rsid w:val="00B75B88"/>
    <w:rsid w:val="00B83C5B"/>
    <w:rsid w:val="00B8560D"/>
    <w:rsid w:val="00B86A2F"/>
    <w:rsid w:val="00B913F7"/>
    <w:rsid w:val="00B9680E"/>
    <w:rsid w:val="00BA0F2D"/>
    <w:rsid w:val="00BA298F"/>
    <w:rsid w:val="00BA44DE"/>
    <w:rsid w:val="00BB020F"/>
    <w:rsid w:val="00BB25CD"/>
    <w:rsid w:val="00BC0E0F"/>
    <w:rsid w:val="00BC1FCD"/>
    <w:rsid w:val="00BC2755"/>
    <w:rsid w:val="00BC32BE"/>
    <w:rsid w:val="00BD069E"/>
    <w:rsid w:val="00BD06F2"/>
    <w:rsid w:val="00BD30E5"/>
    <w:rsid w:val="00BD3FDE"/>
    <w:rsid w:val="00BD5744"/>
    <w:rsid w:val="00BD64E7"/>
    <w:rsid w:val="00BF1777"/>
    <w:rsid w:val="00BF1E9F"/>
    <w:rsid w:val="00C02236"/>
    <w:rsid w:val="00C05110"/>
    <w:rsid w:val="00C0587D"/>
    <w:rsid w:val="00C0767A"/>
    <w:rsid w:val="00C11597"/>
    <w:rsid w:val="00C2075E"/>
    <w:rsid w:val="00C25204"/>
    <w:rsid w:val="00C25B53"/>
    <w:rsid w:val="00C2642D"/>
    <w:rsid w:val="00C2696C"/>
    <w:rsid w:val="00C3040C"/>
    <w:rsid w:val="00C35414"/>
    <w:rsid w:val="00C35561"/>
    <w:rsid w:val="00C433E4"/>
    <w:rsid w:val="00C46186"/>
    <w:rsid w:val="00C46C88"/>
    <w:rsid w:val="00C46CF9"/>
    <w:rsid w:val="00C503C4"/>
    <w:rsid w:val="00C514EB"/>
    <w:rsid w:val="00C52640"/>
    <w:rsid w:val="00C55760"/>
    <w:rsid w:val="00C62065"/>
    <w:rsid w:val="00C63F57"/>
    <w:rsid w:val="00C64EA3"/>
    <w:rsid w:val="00C65355"/>
    <w:rsid w:val="00C654F2"/>
    <w:rsid w:val="00C73066"/>
    <w:rsid w:val="00C81A91"/>
    <w:rsid w:val="00C84772"/>
    <w:rsid w:val="00C8510E"/>
    <w:rsid w:val="00C9383A"/>
    <w:rsid w:val="00C950AC"/>
    <w:rsid w:val="00C955C8"/>
    <w:rsid w:val="00CA10ED"/>
    <w:rsid w:val="00CA1ED8"/>
    <w:rsid w:val="00CA71ED"/>
    <w:rsid w:val="00CC495A"/>
    <w:rsid w:val="00CC4C9A"/>
    <w:rsid w:val="00CD21F9"/>
    <w:rsid w:val="00CD299B"/>
    <w:rsid w:val="00CD43E8"/>
    <w:rsid w:val="00CE29BC"/>
    <w:rsid w:val="00CF2CF1"/>
    <w:rsid w:val="00CF3051"/>
    <w:rsid w:val="00D01D81"/>
    <w:rsid w:val="00D01EC0"/>
    <w:rsid w:val="00D02C79"/>
    <w:rsid w:val="00D05C1F"/>
    <w:rsid w:val="00D075B4"/>
    <w:rsid w:val="00D07AB4"/>
    <w:rsid w:val="00D10938"/>
    <w:rsid w:val="00D11F52"/>
    <w:rsid w:val="00D15DF7"/>
    <w:rsid w:val="00D26D55"/>
    <w:rsid w:val="00D321DD"/>
    <w:rsid w:val="00D35A8A"/>
    <w:rsid w:val="00D37FA6"/>
    <w:rsid w:val="00D44D03"/>
    <w:rsid w:val="00D46864"/>
    <w:rsid w:val="00D564E9"/>
    <w:rsid w:val="00D6329D"/>
    <w:rsid w:val="00D63C7D"/>
    <w:rsid w:val="00D76C82"/>
    <w:rsid w:val="00D8135F"/>
    <w:rsid w:val="00D82FEE"/>
    <w:rsid w:val="00D85F44"/>
    <w:rsid w:val="00D86725"/>
    <w:rsid w:val="00D867A8"/>
    <w:rsid w:val="00D964F1"/>
    <w:rsid w:val="00DA15CF"/>
    <w:rsid w:val="00DA275F"/>
    <w:rsid w:val="00DA2D79"/>
    <w:rsid w:val="00DA4D35"/>
    <w:rsid w:val="00DA6CD9"/>
    <w:rsid w:val="00DB1E5A"/>
    <w:rsid w:val="00DB1EAD"/>
    <w:rsid w:val="00DB2F68"/>
    <w:rsid w:val="00DB35C5"/>
    <w:rsid w:val="00DB471E"/>
    <w:rsid w:val="00DB6279"/>
    <w:rsid w:val="00DC0B39"/>
    <w:rsid w:val="00DC308F"/>
    <w:rsid w:val="00DC3657"/>
    <w:rsid w:val="00DD346A"/>
    <w:rsid w:val="00DD44D9"/>
    <w:rsid w:val="00DD4F58"/>
    <w:rsid w:val="00DE14ED"/>
    <w:rsid w:val="00DE25A4"/>
    <w:rsid w:val="00DE561D"/>
    <w:rsid w:val="00DE6877"/>
    <w:rsid w:val="00DF7571"/>
    <w:rsid w:val="00E007A3"/>
    <w:rsid w:val="00E0290B"/>
    <w:rsid w:val="00E031AC"/>
    <w:rsid w:val="00E03670"/>
    <w:rsid w:val="00E07487"/>
    <w:rsid w:val="00E10C5B"/>
    <w:rsid w:val="00E11217"/>
    <w:rsid w:val="00E11C57"/>
    <w:rsid w:val="00E238FA"/>
    <w:rsid w:val="00E249B3"/>
    <w:rsid w:val="00E3020B"/>
    <w:rsid w:val="00E410B2"/>
    <w:rsid w:val="00E425C5"/>
    <w:rsid w:val="00E43EC3"/>
    <w:rsid w:val="00E44490"/>
    <w:rsid w:val="00E44B00"/>
    <w:rsid w:val="00E47234"/>
    <w:rsid w:val="00E47D4D"/>
    <w:rsid w:val="00E551BD"/>
    <w:rsid w:val="00E641AA"/>
    <w:rsid w:val="00E64819"/>
    <w:rsid w:val="00E64A1B"/>
    <w:rsid w:val="00E70406"/>
    <w:rsid w:val="00E7183D"/>
    <w:rsid w:val="00E73970"/>
    <w:rsid w:val="00E83D2C"/>
    <w:rsid w:val="00E85535"/>
    <w:rsid w:val="00E955BE"/>
    <w:rsid w:val="00EA02CC"/>
    <w:rsid w:val="00EA25B1"/>
    <w:rsid w:val="00EA6352"/>
    <w:rsid w:val="00EA6FA5"/>
    <w:rsid w:val="00EB3498"/>
    <w:rsid w:val="00EB5093"/>
    <w:rsid w:val="00EB7B37"/>
    <w:rsid w:val="00EB7F28"/>
    <w:rsid w:val="00EC5C06"/>
    <w:rsid w:val="00EC5F0D"/>
    <w:rsid w:val="00ED03E2"/>
    <w:rsid w:val="00ED3656"/>
    <w:rsid w:val="00ED42CD"/>
    <w:rsid w:val="00ED54F4"/>
    <w:rsid w:val="00EE434B"/>
    <w:rsid w:val="00EE45C3"/>
    <w:rsid w:val="00EE4A12"/>
    <w:rsid w:val="00EF01F9"/>
    <w:rsid w:val="00F03291"/>
    <w:rsid w:val="00F105EA"/>
    <w:rsid w:val="00F1363C"/>
    <w:rsid w:val="00F23F0D"/>
    <w:rsid w:val="00F242FC"/>
    <w:rsid w:val="00F2640E"/>
    <w:rsid w:val="00F303AC"/>
    <w:rsid w:val="00F36687"/>
    <w:rsid w:val="00F3698D"/>
    <w:rsid w:val="00F4033B"/>
    <w:rsid w:val="00F40C59"/>
    <w:rsid w:val="00F42545"/>
    <w:rsid w:val="00F4682F"/>
    <w:rsid w:val="00F53798"/>
    <w:rsid w:val="00F60C06"/>
    <w:rsid w:val="00F62DC4"/>
    <w:rsid w:val="00F646B7"/>
    <w:rsid w:val="00F64717"/>
    <w:rsid w:val="00F66CC9"/>
    <w:rsid w:val="00F6726F"/>
    <w:rsid w:val="00F67816"/>
    <w:rsid w:val="00F67E1E"/>
    <w:rsid w:val="00F70A7A"/>
    <w:rsid w:val="00F72C57"/>
    <w:rsid w:val="00F81092"/>
    <w:rsid w:val="00F82404"/>
    <w:rsid w:val="00F85301"/>
    <w:rsid w:val="00F90A60"/>
    <w:rsid w:val="00F91B22"/>
    <w:rsid w:val="00F92C51"/>
    <w:rsid w:val="00F936E1"/>
    <w:rsid w:val="00FA6A60"/>
    <w:rsid w:val="00FA71D4"/>
    <w:rsid w:val="00FB12DF"/>
    <w:rsid w:val="00FB30D3"/>
    <w:rsid w:val="00FC0D7B"/>
    <w:rsid w:val="00FC1BD8"/>
    <w:rsid w:val="00FC20CB"/>
    <w:rsid w:val="00FC3E18"/>
    <w:rsid w:val="00FD2F05"/>
    <w:rsid w:val="00FE498E"/>
    <w:rsid w:val="00FE5A50"/>
    <w:rsid w:val="00FE645C"/>
    <w:rsid w:val="00FF678E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CE1"/>
    <w:p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360212"/>
    <w:pPr>
      <w:spacing w:before="0"/>
      <w:ind w:left="284" w:hanging="284"/>
      <w:jc w:val="left"/>
      <w:outlineLvl w:val="1"/>
    </w:pPr>
    <w:rPr>
      <w:rFonts w:eastAsiaTheme="majorEastAsia" w:cstheme="majorBidi"/>
      <w:b/>
      <w:bCs/>
      <w:sz w:val="2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5CE1"/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5CE1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ormlnKZ">
    <w:name w:val="Normální KZ"/>
    <w:basedOn w:val="Normln"/>
    <w:uiPriority w:val="99"/>
    <w:rsid w:val="004D5CE1"/>
    <w:pPr>
      <w:spacing w:after="120"/>
      <w:ind w:firstLine="425"/>
    </w:pPr>
    <w:rPr>
      <w:sz w:val="22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D5CE1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7E09FB"/>
    <w:pPr>
      <w:spacing w:after="120"/>
      <w:ind w:left="720" w:firstLine="567"/>
    </w:pPr>
    <w:rPr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E09FB"/>
    <w:rPr>
      <w:rFonts w:ascii="Arial" w:eastAsia="Times New Roman" w:hAnsi="Arial" w:cs="Arial"/>
    </w:rPr>
  </w:style>
  <w:style w:type="character" w:customStyle="1" w:styleId="Nadpis2Char">
    <w:name w:val="Nadpis 2 Char"/>
    <w:basedOn w:val="Standardnpsmoodstavce"/>
    <w:link w:val="Nadpis2"/>
    <w:rsid w:val="00360212"/>
    <w:rPr>
      <w:rFonts w:ascii="Arial" w:eastAsiaTheme="majorEastAsia" w:hAnsi="Arial" w:cstheme="majorBidi"/>
      <w:b/>
      <w:bCs/>
      <w:szCs w:val="32"/>
    </w:rPr>
  </w:style>
  <w:style w:type="table" w:styleId="Mkatabulky">
    <w:name w:val="Table Grid"/>
    <w:basedOn w:val="Normlntabulka"/>
    <w:uiPriority w:val="59"/>
    <w:rsid w:val="0036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0C0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C06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453A0E"/>
    <w:pPr>
      <w:spacing w:after="0" w:line="240" w:lineRule="auto"/>
    </w:pPr>
    <w:rPr>
      <w:rFonts w:eastAsiaTheme="minorEastAsia"/>
    </w:rPr>
  </w:style>
  <w:style w:type="paragraph" w:styleId="Zhlav">
    <w:name w:val="header"/>
    <w:basedOn w:val="Normln"/>
    <w:link w:val="ZhlavChar"/>
    <w:uiPriority w:val="99"/>
    <w:unhideWhenUsed/>
    <w:rsid w:val="00C81A9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81A91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1A9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81A91"/>
    <w:rPr>
      <w:rFonts w:ascii="Arial" w:eastAsia="Times New Roman" w:hAnsi="Arial" w:cs="Arial"/>
      <w:sz w:val="24"/>
      <w:szCs w:val="24"/>
    </w:rPr>
  </w:style>
  <w:style w:type="paragraph" w:customStyle="1" w:styleId="NadpisKZ">
    <w:name w:val="Nadpis KZ"/>
    <w:basedOn w:val="Zkladntext2"/>
    <w:rsid w:val="004B31D5"/>
    <w:pPr>
      <w:spacing w:after="360" w:line="240" w:lineRule="auto"/>
      <w:jc w:val="left"/>
    </w:pPr>
    <w:rPr>
      <w:rFonts w:ascii="Times New Roman" w:hAnsi="Times New Roman" w:cs="Times New Roman"/>
      <w:b/>
      <w:bCs/>
      <w:sz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31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31D5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CE1"/>
    <w:p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360212"/>
    <w:pPr>
      <w:spacing w:before="0"/>
      <w:ind w:left="284" w:hanging="284"/>
      <w:jc w:val="left"/>
      <w:outlineLvl w:val="1"/>
    </w:pPr>
    <w:rPr>
      <w:rFonts w:eastAsiaTheme="majorEastAsia" w:cstheme="majorBidi"/>
      <w:b/>
      <w:bCs/>
      <w:sz w:val="2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5CE1"/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5CE1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ormlnKZ">
    <w:name w:val="Normální KZ"/>
    <w:basedOn w:val="Normln"/>
    <w:uiPriority w:val="99"/>
    <w:rsid w:val="004D5CE1"/>
    <w:pPr>
      <w:spacing w:after="120"/>
      <w:ind w:firstLine="425"/>
    </w:pPr>
    <w:rPr>
      <w:sz w:val="22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D5CE1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7E09FB"/>
    <w:pPr>
      <w:spacing w:after="120"/>
      <w:ind w:left="720" w:firstLine="567"/>
    </w:pPr>
    <w:rPr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E09FB"/>
    <w:rPr>
      <w:rFonts w:ascii="Arial" w:eastAsia="Times New Roman" w:hAnsi="Arial" w:cs="Arial"/>
    </w:rPr>
  </w:style>
  <w:style w:type="character" w:customStyle="1" w:styleId="Nadpis2Char">
    <w:name w:val="Nadpis 2 Char"/>
    <w:basedOn w:val="Standardnpsmoodstavce"/>
    <w:link w:val="Nadpis2"/>
    <w:rsid w:val="00360212"/>
    <w:rPr>
      <w:rFonts w:ascii="Arial" w:eastAsiaTheme="majorEastAsia" w:hAnsi="Arial" w:cstheme="majorBidi"/>
      <w:b/>
      <w:bCs/>
      <w:szCs w:val="32"/>
    </w:rPr>
  </w:style>
  <w:style w:type="table" w:styleId="Mkatabulky">
    <w:name w:val="Table Grid"/>
    <w:basedOn w:val="Normlntabulka"/>
    <w:uiPriority w:val="59"/>
    <w:rsid w:val="0036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0C0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C06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453A0E"/>
    <w:pPr>
      <w:spacing w:after="0" w:line="240" w:lineRule="auto"/>
    </w:pPr>
    <w:rPr>
      <w:rFonts w:eastAsiaTheme="minorEastAsia"/>
    </w:rPr>
  </w:style>
  <w:style w:type="paragraph" w:styleId="Zhlav">
    <w:name w:val="header"/>
    <w:basedOn w:val="Normln"/>
    <w:link w:val="ZhlavChar"/>
    <w:uiPriority w:val="99"/>
    <w:unhideWhenUsed/>
    <w:rsid w:val="00C81A9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81A91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1A9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81A91"/>
    <w:rPr>
      <w:rFonts w:ascii="Arial" w:eastAsia="Times New Roman" w:hAnsi="Arial" w:cs="Arial"/>
      <w:sz w:val="24"/>
      <w:szCs w:val="24"/>
    </w:rPr>
  </w:style>
  <w:style w:type="paragraph" w:customStyle="1" w:styleId="NadpisKZ">
    <w:name w:val="Nadpis KZ"/>
    <w:basedOn w:val="Zkladntext2"/>
    <w:rsid w:val="004B31D5"/>
    <w:pPr>
      <w:spacing w:after="360" w:line="240" w:lineRule="auto"/>
      <w:jc w:val="left"/>
    </w:pPr>
    <w:rPr>
      <w:rFonts w:ascii="Times New Roman" w:hAnsi="Times New Roman" w:cs="Times New Roman"/>
      <w:b/>
      <w:bCs/>
      <w:sz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31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31D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AEE436-47B5-4BC1-A103-ECFA9D0554AC}"/>
</file>

<file path=customXml/itemProps2.xml><?xml version="1.0" encoding="utf-8"?>
<ds:datastoreItem xmlns:ds="http://schemas.openxmlformats.org/officeDocument/2006/customXml" ds:itemID="{BDD38ACC-0970-40B1-8A60-84FB9B74F24D}"/>
</file>

<file path=customXml/itemProps3.xml><?xml version="1.0" encoding="utf-8"?>
<ds:datastoreItem xmlns:ds="http://schemas.openxmlformats.org/officeDocument/2006/customXml" ds:itemID="{7D994CF9-77E4-4353-A57F-FF62B9839A5F}"/>
</file>

<file path=customXml/itemProps4.xml><?xml version="1.0" encoding="utf-8"?>
<ds:datastoreItem xmlns:ds="http://schemas.openxmlformats.org/officeDocument/2006/customXml" ds:itemID="{26B733C4-9C94-40E6-A299-F2E22A87AA5E}"/>
</file>

<file path=customXml/itemProps5.xml><?xml version="1.0" encoding="utf-8"?>
<ds:datastoreItem xmlns:ds="http://schemas.openxmlformats.org/officeDocument/2006/customXml" ds:itemID="{978D62EC-F288-4C91-A2FF-C777C3F3B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3717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12/09</dc:title>
  <dc:creator>HLUŠIČKOVÁ Ellen</dc:creator>
  <cp:lastModifiedBy>POKORNÁ Jana</cp:lastModifiedBy>
  <cp:revision>4</cp:revision>
  <cp:lastPrinted>2013-01-22T13:13:00Z</cp:lastPrinted>
  <dcterms:created xsi:type="dcterms:W3CDTF">2013-02-07T12:05:00Z</dcterms:created>
  <dcterms:modified xsi:type="dcterms:W3CDTF">2013-02-07T12:10:00Z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