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3ED9" w:rsidRDefault="00993ED9">
      <w:pPr>
        <w:rPr>
          <w:rFonts w:ascii="Arial" w:hAnsi="Arial" w:cs="Arial"/>
          <w:b/>
          <w:bCs/>
          <w:sz w:val="22"/>
          <w:szCs w:val="22"/>
        </w:rPr>
      </w:pPr>
    </w:p>
    <w:p w:rsidR="00286C6E" w:rsidRDefault="00AE78B0">
      <w:pPr>
        <w:rPr>
          <w:rFonts w:ascii="Arial" w:hAnsi="Arial" w:cs="Arial"/>
          <w:b/>
          <w:bCs/>
          <w:sz w:val="22"/>
          <w:szCs w:val="22"/>
        </w:rPr>
      </w:pPr>
      <w:r>
        <w:rPr>
          <w:noProof/>
          <w:lang w:eastAsia="cs-CZ"/>
        </w:rPr>
        <w:drawing>
          <wp:anchor distT="0" distB="0" distL="114935" distR="114935" simplePos="0" relativeHeight="251657216" behindDoc="0" locked="0" layoutInCell="1" allowOverlap="1" wp14:anchorId="23D6333C" wp14:editId="6B785199">
            <wp:simplePos x="0" y="0"/>
            <wp:positionH relativeFrom="column">
              <wp:posOffset>2667000</wp:posOffset>
            </wp:positionH>
            <wp:positionV relativeFrom="paragraph">
              <wp:posOffset>-82550</wp:posOffset>
            </wp:positionV>
            <wp:extent cx="790575" cy="558800"/>
            <wp:effectExtent l="0" t="0" r="9525" b="0"/>
            <wp:wrapSquare wrapText="bothSides"/>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558800"/>
                    </a:xfrm>
                    <a:prstGeom prst="rect">
                      <a:avLst/>
                    </a:prstGeom>
                    <a:solidFill>
                      <a:srgbClr val="FFFFFF"/>
                    </a:solidFill>
                  </pic:spPr>
                </pic:pic>
              </a:graphicData>
            </a:graphic>
          </wp:anchor>
        </w:drawing>
      </w:r>
    </w:p>
    <w:p w:rsidR="00286C6E" w:rsidRDefault="00286C6E">
      <w:pPr>
        <w:rPr>
          <w:rFonts w:ascii="Arial" w:hAnsi="Arial" w:cs="Arial"/>
          <w:b/>
          <w:bCs/>
          <w:sz w:val="22"/>
          <w:szCs w:val="22"/>
        </w:rPr>
      </w:pPr>
    </w:p>
    <w:p w:rsidR="00286C6E" w:rsidRDefault="00286C6E">
      <w:pPr>
        <w:pStyle w:val="Nzev"/>
        <w:rPr>
          <w:rFonts w:ascii="Arial" w:hAnsi="Arial" w:cs="Arial"/>
          <w:spacing w:val="0"/>
        </w:rPr>
      </w:pPr>
    </w:p>
    <w:p w:rsidR="00286C6E" w:rsidRPr="004401C1" w:rsidRDefault="00286C6E">
      <w:pPr>
        <w:pStyle w:val="Nzev"/>
        <w:rPr>
          <w:rFonts w:ascii="Arial" w:hAnsi="Arial" w:cs="Arial"/>
          <w:spacing w:val="0"/>
          <w:sz w:val="28"/>
          <w:szCs w:val="28"/>
        </w:rPr>
      </w:pPr>
    </w:p>
    <w:p w:rsidR="00286C6E" w:rsidRPr="004401C1" w:rsidRDefault="00286C6E">
      <w:pPr>
        <w:pStyle w:val="Nzev"/>
        <w:rPr>
          <w:rFonts w:ascii="Arial" w:hAnsi="Arial" w:cs="Arial"/>
          <w:spacing w:val="0"/>
          <w:sz w:val="28"/>
          <w:szCs w:val="28"/>
        </w:rPr>
      </w:pPr>
      <w:r w:rsidRPr="004401C1">
        <w:rPr>
          <w:rFonts w:ascii="Arial" w:hAnsi="Arial" w:cs="Arial"/>
          <w:spacing w:val="0"/>
          <w:sz w:val="28"/>
          <w:szCs w:val="28"/>
        </w:rPr>
        <w:t>Kontrolní závěr z kontrolní akce</w:t>
      </w:r>
    </w:p>
    <w:p w:rsidR="00286C6E" w:rsidRPr="004401C1" w:rsidRDefault="00286C6E">
      <w:pPr>
        <w:pStyle w:val="Nzev"/>
        <w:rPr>
          <w:rFonts w:ascii="Arial" w:hAnsi="Arial" w:cs="Arial"/>
          <w:spacing w:val="0"/>
          <w:sz w:val="28"/>
          <w:szCs w:val="28"/>
        </w:rPr>
      </w:pPr>
    </w:p>
    <w:p w:rsidR="00286C6E" w:rsidRPr="004401C1" w:rsidRDefault="00286C6E">
      <w:pPr>
        <w:jc w:val="center"/>
        <w:rPr>
          <w:rFonts w:ascii="Arial" w:hAnsi="Arial" w:cs="Arial"/>
          <w:b/>
          <w:bCs/>
          <w:sz w:val="28"/>
          <w:szCs w:val="28"/>
        </w:rPr>
      </w:pPr>
      <w:r w:rsidRPr="004401C1">
        <w:rPr>
          <w:rFonts w:ascii="Arial" w:hAnsi="Arial" w:cs="Arial"/>
          <w:b/>
          <w:bCs/>
          <w:sz w:val="28"/>
          <w:szCs w:val="28"/>
        </w:rPr>
        <w:t>12/12</w:t>
      </w:r>
    </w:p>
    <w:p w:rsidR="00286C6E" w:rsidRPr="004401C1" w:rsidRDefault="00286C6E">
      <w:pPr>
        <w:jc w:val="center"/>
        <w:rPr>
          <w:rFonts w:ascii="Arial" w:hAnsi="Arial" w:cs="Arial"/>
          <w:b/>
          <w:bCs/>
          <w:sz w:val="28"/>
          <w:szCs w:val="28"/>
        </w:rPr>
      </w:pPr>
    </w:p>
    <w:p w:rsidR="005270E3" w:rsidRPr="004401C1" w:rsidRDefault="00286C6E">
      <w:pPr>
        <w:jc w:val="center"/>
        <w:rPr>
          <w:rFonts w:ascii="Arial" w:hAnsi="Arial" w:cs="Arial"/>
          <w:b/>
          <w:bCs/>
          <w:sz w:val="28"/>
          <w:szCs w:val="28"/>
        </w:rPr>
      </w:pPr>
      <w:r w:rsidRPr="004401C1">
        <w:rPr>
          <w:rFonts w:ascii="Arial" w:hAnsi="Arial" w:cs="Arial"/>
          <w:b/>
          <w:bCs/>
          <w:sz w:val="28"/>
          <w:szCs w:val="28"/>
        </w:rPr>
        <w:t xml:space="preserve">Příjmy z výkonových poplatků (mýtného) </w:t>
      </w:r>
    </w:p>
    <w:p w:rsidR="005270E3" w:rsidRPr="004401C1" w:rsidRDefault="00286C6E">
      <w:pPr>
        <w:jc w:val="center"/>
        <w:rPr>
          <w:rFonts w:ascii="Arial" w:hAnsi="Arial" w:cs="Arial"/>
          <w:b/>
          <w:bCs/>
          <w:sz w:val="28"/>
          <w:szCs w:val="28"/>
        </w:rPr>
      </w:pPr>
      <w:r w:rsidRPr="004401C1">
        <w:rPr>
          <w:rFonts w:ascii="Arial" w:hAnsi="Arial" w:cs="Arial"/>
          <w:b/>
          <w:bCs/>
          <w:sz w:val="28"/>
          <w:szCs w:val="28"/>
        </w:rPr>
        <w:t xml:space="preserve">a příjmy z časového zpoplatnění pozemních komunikací </w:t>
      </w:r>
    </w:p>
    <w:p w:rsidR="00286C6E" w:rsidRPr="004401C1" w:rsidRDefault="00286C6E">
      <w:pPr>
        <w:jc w:val="center"/>
        <w:rPr>
          <w:rFonts w:ascii="Arial" w:hAnsi="Arial" w:cs="Arial"/>
          <w:b/>
          <w:bCs/>
          <w:sz w:val="28"/>
          <w:szCs w:val="28"/>
        </w:rPr>
      </w:pPr>
      <w:r w:rsidRPr="004401C1">
        <w:rPr>
          <w:rFonts w:ascii="Arial" w:hAnsi="Arial" w:cs="Arial"/>
          <w:b/>
          <w:bCs/>
          <w:sz w:val="28"/>
          <w:szCs w:val="28"/>
        </w:rPr>
        <w:t>(časových kuponů), včetně souvisejících výdajů</w:t>
      </w:r>
    </w:p>
    <w:p w:rsidR="00286C6E" w:rsidRPr="00B7064F" w:rsidRDefault="00286C6E">
      <w:pPr>
        <w:rPr>
          <w:rFonts w:ascii="Arial" w:hAnsi="Arial" w:cs="Arial"/>
          <w:b/>
          <w:bCs/>
          <w:sz w:val="22"/>
          <w:szCs w:val="22"/>
        </w:rPr>
      </w:pPr>
    </w:p>
    <w:p w:rsidR="00286C6E" w:rsidRDefault="00286C6E">
      <w:pPr>
        <w:rPr>
          <w:rFonts w:ascii="Arial" w:hAnsi="Arial" w:cs="Arial"/>
          <w:b/>
          <w:bCs/>
          <w:sz w:val="22"/>
          <w:szCs w:val="22"/>
        </w:rPr>
      </w:pPr>
    </w:p>
    <w:p w:rsidR="00286C6E" w:rsidRDefault="00286C6E" w:rsidP="004401C1">
      <w:pPr>
        <w:jc w:val="both"/>
        <w:rPr>
          <w:rFonts w:ascii="Arial" w:hAnsi="Arial" w:cs="Arial"/>
          <w:sz w:val="22"/>
          <w:szCs w:val="22"/>
        </w:rPr>
      </w:pPr>
      <w:r>
        <w:rPr>
          <w:rFonts w:ascii="Arial" w:hAnsi="Arial" w:cs="Arial"/>
          <w:spacing w:val="-2"/>
          <w:sz w:val="22"/>
          <w:szCs w:val="22"/>
        </w:rPr>
        <w:t xml:space="preserve">Kontrolní akce byla zařazena do plánu kontrolní činnosti Nejvyššího kontrolního úřadu </w:t>
      </w:r>
      <w:r>
        <w:rPr>
          <w:rFonts w:ascii="Arial" w:hAnsi="Arial" w:cs="Arial"/>
          <w:sz w:val="22"/>
          <w:szCs w:val="22"/>
        </w:rPr>
        <w:t xml:space="preserve">(dále jen „NKÚ“) na rok 2012 pod číslem 12/12. Kontrolní akci řídil a kontrolní závěr vypracoval člen NKÚ MVDr. Rudolf Němeček. </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 xml:space="preserve">Cílem kontroly bylo prověřit plnění příjmů získávaných vybíráním a vymáháním peněžních prostředků </w:t>
      </w:r>
      <w:r w:rsidR="007A1976">
        <w:rPr>
          <w:rFonts w:ascii="Arial" w:hAnsi="Arial" w:cs="Arial"/>
          <w:sz w:val="22"/>
          <w:szCs w:val="22"/>
        </w:rPr>
        <w:t>z </w:t>
      </w:r>
      <w:r>
        <w:rPr>
          <w:rFonts w:ascii="Arial" w:hAnsi="Arial" w:cs="Arial"/>
          <w:sz w:val="22"/>
          <w:szCs w:val="22"/>
        </w:rPr>
        <w:t xml:space="preserve">mýtného a vybíráním peněžních prostředků za časové kupony a prověřit výdaje související </w:t>
      </w:r>
      <w:r w:rsidR="007A1976">
        <w:rPr>
          <w:rFonts w:ascii="Arial" w:hAnsi="Arial" w:cs="Arial"/>
          <w:sz w:val="22"/>
          <w:szCs w:val="22"/>
        </w:rPr>
        <w:t>s </w:t>
      </w:r>
      <w:r>
        <w:rPr>
          <w:rFonts w:ascii="Arial" w:hAnsi="Arial" w:cs="Arial"/>
          <w:sz w:val="22"/>
          <w:szCs w:val="22"/>
        </w:rPr>
        <w:t>těmito příjmy; prověřit výkon správy</w:t>
      </w:r>
      <w:r w:rsidR="003C3ED9">
        <w:rPr>
          <w:rFonts w:ascii="Arial" w:hAnsi="Arial" w:cs="Arial"/>
          <w:sz w:val="22"/>
          <w:szCs w:val="22"/>
        </w:rPr>
        <w:t xml:space="preserve"> pokut ukládaných, vybíraných a </w:t>
      </w:r>
      <w:r>
        <w:rPr>
          <w:rFonts w:ascii="Arial" w:hAnsi="Arial" w:cs="Arial"/>
          <w:sz w:val="22"/>
          <w:szCs w:val="22"/>
        </w:rPr>
        <w:t xml:space="preserve">vymáhaných celními orgány </w:t>
      </w:r>
      <w:r w:rsidR="007A1976">
        <w:rPr>
          <w:rFonts w:ascii="Arial" w:hAnsi="Arial" w:cs="Arial"/>
          <w:sz w:val="22"/>
          <w:szCs w:val="22"/>
        </w:rPr>
        <w:t>v </w:t>
      </w:r>
      <w:r>
        <w:rPr>
          <w:rFonts w:ascii="Arial" w:hAnsi="Arial" w:cs="Arial"/>
          <w:sz w:val="22"/>
          <w:szCs w:val="22"/>
        </w:rPr>
        <w:t>systému elektronického mýtného.</w:t>
      </w:r>
    </w:p>
    <w:p w:rsidR="005D555B" w:rsidRDefault="005D555B" w:rsidP="004401C1">
      <w:pPr>
        <w:jc w:val="both"/>
        <w:rPr>
          <w:rFonts w:ascii="Arial" w:hAnsi="Arial" w:cs="Arial"/>
          <w:sz w:val="22"/>
          <w:szCs w:val="22"/>
        </w:rPr>
      </w:pPr>
    </w:p>
    <w:p w:rsidR="00286C6E" w:rsidRDefault="00286C6E" w:rsidP="005270E3">
      <w:pPr>
        <w:jc w:val="both"/>
        <w:rPr>
          <w:rFonts w:ascii="Arial" w:hAnsi="Arial" w:cs="Arial"/>
          <w:sz w:val="22"/>
          <w:szCs w:val="22"/>
        </w:rPr>
      </w:pPr>
      <w:r>
        <w:rPr>
          <w:rFonts w:ascii="Arial" w:hAnsi="Arial" w:cs="Arial"/>
          <w:sz w:val="22"/>
          <w:szCs w:val="22"/>
        </w:rPr>
        <w:t>Kontrolované osoby:</w:t>
      </w:r>
    </w:p>
    <w:p w:rsidR="00286C6E" w:rsidRDefault="00286C6E" w:rsidP="004401C1">
      <w:pPr>
        <w:jc w:val="both"/>
        <w:rPr>
          <w:rFonts w:ascii="Arial" w:hAnsi="Arial" w:cs="Arial"/>
          <w:sz w:val="22"/>
          <w:szCs w:val="22"/>
        </w:rPr>
      </w:pPr>
      <w:r>
        <w:rPr>
          <w:rFonts w:ascii="Arial" w:hAnsi="Arial" w:cs="Arial"/>
          <w:sz w:val="22"/>
          <w:szCs w:val="22"/>
        </w:rPr>
        <w:t>Ministerstvo dopravy, Ředitelství silnic a dálnic ČR, Státní</w:t>
      </w:r>
      <w:r w:rsidR="003C3ED9">
        <w:rPr>
          <w:rFonts w:ascii="Arial" w:hAnsi="Arial" w:cs="Arial"/>
          <w:sz w:val="22"/>
          <w:szCs w:val="22"/>
        </w:rPr>
        <w:t xml:space="preserve"> fond dopravní infrastruktury a </w:t>
      </w:r>
      <w:r>
        <w:rPr>
          <w:rFonts w:ascii="Arial" w:hAnsi="Arial" w:cs="Arial"/>
          <w:sz w:val="22"/>
          <w:szCs w:val="22"/>
        </w:rPr>
        <w:t xml:space="preserve">Generální ředitelství cel. </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 xml:space="preserve">Kontrola byla prováděna od dubna do listopadu 2012. </w:t>
      </w:r>
      <w:r>
        <w:rPr>
          <w:rFonts w:ascii="Arial" w:hAnsi="Arial" w:cs="Arial"/>
          <w:spacing w:val="-2"/>
          <w:sz w:val="22"/>
          <w:szCs w:val="22"/>
        </w:rPr>
        <w:t xml:space="preserve">Kontrolováno bylo období let 2009 až 2011, v případě věcných </w:t>
      </w:r>
      <w:r>
        <w:rPr>
          <w:rFonts w:ascii="Arial" w:hAnsi="Arial" w:cs="Arial"/>
          <w:sz w:val="22"/>
          <w:szCs w:val="22"/>
        </w:rPr>
        <w:t>souvislostí i období předcházející nebo následující.</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rPr>
      </w:pPr>
      <w:r>
        <w:rPr>
          <w:rFonts w:ascii="Arial" w:hAnsi="Arial" w:cs="Arial"/>
          <w:sz w:val="22"/>
          <w:szCs w:val="22"/>
        </w:rPr>
        <w:t xml:space="preserve">Námitky proti kontrolnímu protokolu, které podalo Ministerstvo dopravy, Státní fond dopravní infrastruktury a Generální ředitelství cel, byly vypořádány vedoucími skupin kontrolujících rozhodnutími o námitkách. Odvolání proti rozhodnutí o námitkách </w:t>
      </w:r>
      <w:r>
        <w:rPr>
          <w:rFonts w:ascii="Arial" w:hAnsi="Arial" w:cs="Arial"/>
          <w:sz w:val="22"/>
        </w:rPr>
        <w:t>podané Státním fondem dopravní infrastruktury bylo vypořádáno usnesením Kolegia NKÚ.</w:t>
      </w:r>
    </w:p>
    <w:p w:rsidR="005270E3" w:rsidRDefault="005270E3" w:rsidP="005270E3">
      <w:pPr>
        <w:jc w:val="both"/>
        <w:rPr>
          <w:rFonts w:ascii="Arial" w:hAnsi="Arial" w:cs="Arial"/>
          <w:sz w:val="22"/>
        </w:rPr>
      </w:pPr>
    </w:p>
    <w:p w:rsidR="00286C6E" w:rsidRPr="003C3ED9" w:rsidRDefault="00286C6E">
      <w:pPr>
        <w:pStyle w:val="Zkladntext"/>
        <w:spacing w:line="240" w:lineRule="auto"/>
        <w:rPr>
          <w:rFonts w:ascii="Arial" w:hAnsi="Arial" w:cs="Arial"/>
          <w:sz w:val="22"/>
          <w:szCs w:val="22"/>
        </w:rPr>
      </w:pPr>
      <w:r>
        <w:rPr>
          <w:rFonts w:ascii="Arial" w:hAnsi="Arial" w:cs="Arial"/>
          <w:b/>
          <w:i/>
          <w:sz w:val="22"/>
          <w:szCs w:val="22"/>
        </w:rPr>
        <w:t>K o l e g i u m   N K Ú</w:t>
      </w:r>
      <w:r>
        <w:rPr>
          <w:rFonts w:ascii="Arial" w:hAnsi="Arial" w:cs="Arial"/>
          <w:sz w:val="22"/>
          <w:szCs w:val="22"/>
        </w:rPr>
        <w:t xml:space="preserve">  </w:t>
      </w:r>
      <w:r w:rsidR="00B7064F">
        <w:rPr>
          <w:rFonts w:ascii="Arial" w:hAnsi="Arial" w:cs="Arial"/>
          <w:sz w:val="22"/>
          <w:szCs w:val="22"/>
        </w:rPr>
        <w:t xml:space="preserve"> </w:t>
      </w:r>
      <w:r>
        <w:rPr>
          <w:rFonts w:ascii="Arial" w:hAnsi="Arial" w:cs="Arial"/>
          <w:sz w:val="22"/>
          <w:szCs w:val="22"/>
        </w:rPr>
        <w:t xml:space="preserve">na </w:t>
      </w:r>
      <w:r w:rsidRPr="003C3ED9">
        <w:rPr>
          <w:rFonts w:ascii="Arial" w:hAnsi="Arial" w:cs="Arial"/>
          <w:sz w:val="22"/>
          <w:szCs w:val="22"/>
        </w:rPr>
        <w:t xml:space="preserve">svém </w:t>
      </w:r>
      <w:r w:rsidR="00CF0582">
        <w:rPr>
          <w:rFonts w:ascii="Arial" w:hAnsi="Arial" w:cs="Arial"/>
          <w:sz w:val="22"/>
          <w:szCs w:val="22"/>
        </w:rPr>
        <w:t>VII.</w:t>
      </w:r>
      <w:r w:rsidR="00ED3647">
        <w:rPr>
          <w:rFonts w:ascii="Arial" w:hAnsi="Arial" w:cs="Arial"/>
          <w:sz w:val="22"/>
          <w:szCs w:val="22"/>
        </w:rPr>
        <w:t xml:space="preserve"> </w:t>
      </w:r>
      <w:r>
        <w:rPr>
          <w:rFonts w:ascii="Arial" w:hAnsi="Arial" w:cs="Arial"/>
          <w:sz w:val="22"/>
          <w:szCs w:val="22"/>
        </w:rPr>
        <w:t xml:space="preserve">zasedání, konaném </w:t>
      </w:r>
      <w:r w:rsidRPr="003C3ED9">
        <w:rPr>
          <w:rFonts w:ascii="Arial" w:hAnsi="Arial" w:cs="Arial"/>
          <w:sz w:val="22"/>
          <w:szCs w:val="22"/>
        </w:rPr>
        <w:t xml:space="preserve">dne </w:t>
      </w:r>
      <w:r w:rsidR="00462651">
        <w:rPr>
          <w:rFonts w:ascii="Arial" w:hAnsi="Arial" w:cs="Arial"/>
          <w:sz w:val="22"/>
          <w:szCs w:val="22"/>
        </w:rPr>
        <w:t>15</w:t>
      </w:r>
      <w:r w:rsidR="00ED3647">
        <w:rPr>
          <w:rFonts w:ascii="Arial" w:hAnsi="Arial" w:cs="Arial"/>
          <w:sz w:val="22"/>
          <w:szCs w:val="22"/>
        </w:rPr>
        <w:t>.</w:t>
      </w:r>
      <w:r w:rsidR="003C3ED9">
        <w:rPr>
          <w:rFonts w:ascii="Arial" w:hAnsi="Arial" w:cs="Arial"/>
          <w:sz w:val="22"/>
          <w:szCs w:val="22"/>
        </w:rPr>
        <w:t xml:space="preserve"> </w:t>
      </w:r>
      <w:r w:rsidR="00DB01F6">
        <w:rPr>
          <w:rFonts w:ascii="Arial" w:hAnsi="Arial" w:cs="Arial"/>
          <w:sz w:val="22"/>
          <w:szCs w:val="22"/>
        </w:rPr>
        <w:t>dubna</w:t>
      </w:r>
      <w:r w:rsidR="00534065">
        <w:rPr>
          <w:rFonts w:ascii="Arial" w:hAnsi="Arial" w:cs="Arial"/>
          <w:sz w:val="22"/>
          <w:szCs w:val="22"/>
        </w:rPr>
        <w:t xml:space="preserve"> </w:t>
      </w:r>
      <w:r w:rsidRPr="003C3ED9">
        <w:rPr>
          <w:rFonts w:ascii="Arial" w:hAnsi="Arial" w:cs="Arial"/>
          <w:sz w:val="22"/>
          <w:szCs w:val="22"/>
        </w:rPr>
        <w:t>2013,</w:t>
      </w:r>
    </w:p>
    <w:p w:rsidR="00286C6E" w:rsidRPr="003C3ED9" w:rsidRDefault="00286C6E">
      <w:pPr>
        <w:rPr>
          <w:rFonts w:ascii="Arial" w:hAnsi="Arial" w:cs="Arial"/>
          <w:sz w:val="22"/>
          <w:szCs w:val="22"/>
          <w:shd w:val="clear" w:color="auto" w:fill="FFFF00"/>
        </w:rPr>
      </w:pPr>
      <w:proofErr w:type="gramStart"/>
      <w:r w:rsidRPr="003C3ED9">
        <w:rPr>
          <w:rFonts w:ascii="Arial" w:hAnsi="Arial" w:cs="Arial"/>
          <w:b/>
          <w:i/>
          <w:sz w:val="22"/>
          <w:szCs w:val="22"/>
        </w:rPr>
        <w:t>s c h v á l i l o</w:t>
      </w:r>
      <w:r w:rsidRPr="003C3ED9">
        <w:rPr>
          <w:rFonts w:ascii="Arial" w:hAnsi="Arial" w:cs="Arial"/>
          <w:sz w:val="22"/>
          <w:szCs w:val="22"/>
        </w:rPr>
        <w:t xml:space="preserve">   usnesením</w:t>
      </w:r>
      <w:r w:rsidR="00CF0582">
        <w:rPr>
          <w:rFonts w:ascii="Arial" w:hAnsi="Arial" w:cs="Arial"/>
          <w:sz w:val="22"/>
          <w:szCs w:val="22"/>
        </w:rPr>
        <w:t xml:space="preserve"> </w:t>
      </w:r>
      <w:r w:rsidRPr="003C3ED9">
        <w:rPr>
          <w:rFonts w:ascii="Arial" w:hAnsi="Arial" w:cs="Arial"/>
          <w:sz w:val="22"/>
          <w:szCs w:val="22"/>
        </w:rPr>
        <w:t>č.</w:t>
      </w:r>
      <w:proofErr w:type="gramEnd"/>
      <w:r w:rsidRPr="003C3ED9">
        <w:rPr>
          <w:rFonts w:ascii="Arial" w:hAnsi="Arial" w:cs="Arial"/>
          <w:sz w:val="22"/>
          <w:szCs w:val="22"/>
        </w:rPr>
        <w:t xml:space="preserve"> </w:t>
      </w:r>
      <w:r w:rsidR="00EE0BAC">
        <w:rPr>
          <w:rFonts w:ascii="Arial" w:hAnsi="Arial" w:cs="Arial"/>
          <w:sz w:val="22"/>
          <w:szCs w:val="22"/>
        </w:rPr>
        <w:t>8</w:t>
      </w:r>
      <w:r w:rsidR="003C3ED9" w:rsidRPr="003C3ED9">
        <w:rPr>
          <w:rFonts w:ascii="Arial" w:hAnsi="Arial" w:cs="Arial"/>
          <w:sz w:val="22"/>
          <w:szCs w:val="22"/>
        </w:rPr>
        <w:t>/</w:t>
      </w:r>
      <w:r w:rsidR="00ED3647">
        <w:rPr>
          <w:rFonts w:ascii="Arial" w:hAnsi="Arial" w:cs="Arial"/>
          <w:sz w:val="22"/>
          <w:szCs w:val="22"/>
        </w:rPr>
        <w:t>V</w:t>
      </w:r>
      <w:r w:rsidR="00CF0582">
        <w:rPr>
          <w:rFonts w:ascii="Arial" w:hAnsi="Arial" w:cs="Arial"/>
          <w:sz w:val="22"/>
          <w:szCs w:val="22"/>
        </w:rPr>
        <w:t>I</w:t>
      </w:r>
      <w:r w:rsidR="00ED3647">
        <w:rPr>
          <w:rFonts w:ascii="Arial" w:hAnsi="Arial" w:cs="Arial"/>
          <w:sz w:val="22"/>
          <w:szCs w:val="22"/>
        </w:rPr>
        <w:t>I</w:t>
      </w:r>
      <w:r w:rsidR="003C3ED9" w:rsidRPr="003C3ED9">
        <w:rPr>
          <w:rFonts w:ascii="Arial" w:hAnsi="Arial" w:cs="Arial"/>
          <w:sz w:val="22"/>
          <w:szCs w:val="22"/>
        </w:rPr>
        <w:t>/2013</w:t>
      </w:r>
    </w:p>
    <w:p w:rsidR="00286C6E" w:rsidRDefault="00286C6E">
      <w:pPr>
        <w:rPr>
          <w:rFonts w:ascii="Arial" w:hAnsi="Arial" w:cs="Arial"/>
          <w:sz w:val="22"/>
          <w:szCs w:val="22"/>
        </w:rPr>
      </w:pPr>
      <w:r>
        <w:rPr>
          <w:rFonts w:ascii="Arial" w:hAnsi="Arial" w:cs="Arial"/>
          <w:b/>
          <w:i/>
          <w:sz w:val="22"/>
          <w:szCs w:val="22"/>
        </w:rPr>
        <w:t>k o n t r o l n í   z á v ě r</w:t>
      </w:r>
      <w:r>
        <w:rPr>
          <w:rFonts w:ascii="Arial" w:hAnsi="Arial" w:cs="Arial"/>
          <w:sz w:val="22"/>
          <w:szCs w:val="22"/>
        </w:rPr>
        <w:t xml:space="preserve">   v tomto znění:</w:t>
      </w:r>
    </w:p>
    <w:p w:rsidR="00534065" w:rsidRDefault="00534065">
      <w:pPr>
        <w:rPr>
          <w:rFonts w:ascii="Arial" w:hAnsi="Arial" w:cs="Arial"/>
          <w:sz w:val="22"/>
          <w:szCs w:val="22"/>
        </w:rPr>
      </w:pPr>
    </w:p>
    <w:p w:rsidR="005D555B" w:rsidRDefault="005D555B">
      <w:pPr>
        <w:rPr>
          <w:rFonts w:ascii="Arial" w:hAnsi="Arial" w:cs="Arial"/>
          <w:sz w:val="22"/>
          <w:szCs w:val="22"/>
        </w:rPr>
      </w:pPr>
    </w:p>
    <w:p w:rsidR="00286C6E" w:rsidRDefault="00286C6E" w:rsidP="004401C1">
      <w:pPr>
        <w:pStyle w:val="Nadpis1"/>
        <w:jc w:val="center"/>
        <w:rPr>
          <w:rFonts w:ascii="Arial" w:hAnsi="Arial" w:cs="Arial"/>
          <w:u w:val="none"/>
        </w:rPr>
      </w:pPr>
      <w:r>
        <w:rPr>
          <w:rFonts w:ascii="Arial" w:hAnsi="Arial" w:cs="Arial"/>
          <w:u w:val="none"/>
        </w:rPr>
        <w:t>I. Úvod</w:t>
      </w:r>
    </w:p>
    <w:p w:rsidR="005D555B" w:rsidRDefault="005D555B" w:rsidP="004401C1">
      <w:pPr>
        <w:jc w:val="both"/>
        <w:rPr>
          <w:rFonts w:ascii="Arial" w:hAnsi="Arial" w:cs="Arial"/>
          <w:b/>
          <w:sz w:val="22"/>
          <w:szCs w:val="22"/>
        </w:rPr>
      </w:pPr>
    </w:p>
    <w:p w:rsidR="00286C6E" w:rsidRDefault="00286C6E" w:rsidP="004401C1">
      <w:pPr>
        <w:jc w:val="both"/>
        <w:rPr>
          <w:rFonts w:ascii="Arial" w:hAnsi="Arial" w:cs="Arial"/>
          <w:sz w:val="22"/>
          <w:szCs w:val="22"/>
        </w:rPr>
      </w:pPr>
      <w:r>
        <w:rPr>
          <w:rFonts w:ascii="Arial" w:hAnsi="Arial" w:cs="Arial"/>
          <w:b/>
          <w:sz w:val="22"/>
          <w:szCs w:val="22"/>
        </w:rPr>
        <w:t xml:space="preserve">Ministerstvo dopravy </w:t>
      </w:r>
      <w:r>
        <w:rPr>
          <w:rFonts w:ascii="Arial" w:hAnsi="Arial" w:cs="Arial"/>
          <w:sz w:val="22"/>
          <w:szCs w:val="22"/>
        </w:rPr>
        <w:t>(dále také „MD“)</w:t>
      </w:r>
      <w:r>
        <w:rPr>
          <w:rFonts w:ascii="Arial" w:hAnsi="Arial" w:cs="Arial"/>
          <w:b/>
          <w:sz w:val="22"/>
          <w:szCs w:val="22"/>
        </w:rPr>
        <w:t xml:space="preserve"> </w:t>
      </w:r>
      <w:r>
        <w:rPr>
          <w:rFonts w:ascii="Arial" w:hAnsi="Arial" w:cs="Arial"/>
          <w:sz w:val="22"/>
          <w:szCs w:val="22"/>
        </w:rPr>
        <w:t xml:space="preserve">je ústředním orgánem státní správy ve věcech dopravy, </w:t>
      </w:r>
      <w:r w:rsidR="007A1976">
        <w:rPr>
          <w:rFonts w:ascii="Arial" w:hAnsi="Arial" w:cs="Arial"/>
          <w:sz w:val="22"/>
          <w:szCs w:val="22"/>
        </w:rPr>
        <w:t>v </w:t>
      </w:r>
      <w:r>
        <w:rPr>
          <w:rFonts w:ascii="Arial" w:hAnsi="Arial" w:cs="Arial"/>
          <w:sz w:val="22"/>
          <w:szCs w:val="22"/>
        </w:rPr>
        <w:t>rozsahu své působnosti odpovídá za tvorbu státní politiky v</w:t>
      </w:r>
      <w:r w:rsidR="00CB0CFF">
        <w:rPr>
          <w:rFonts w:ascii="Arial" w:hAnsi="Arial" w:cs="Arial"/>
          <w:sz w:val="22"/>
          <w:szCs w:val="22"/>
        </w:rPr>
        <w:t xml:space="preserve"> této </w:t>
      </w:r>
      <w:r>
        <w:rPr>
          <w:rFonts w:ascii="Arial" w:hAnsi="Arial" w:cs="Arial"/>
          <w:sz w:val="22"/>
          <w:szCs w:val="22"/>
        </w:rPr>
        <w:t>oblasti a za její uskutečňování. Podle zákona č. 13/1997 Sb.</w:t>
      </w:r>
      <w:r w:rsidR="006B6BCD">
        <w:rPr>
          <w:rStyle w:val="Znakapoznpodarou"/>
          <w:rFonts w:ascii="Arial" w:hAnsi="Arial"/>
          <w:sz w:val="22"/>
        </w:rPr>
        <w:footnoteReference w:id="2"/>
      </w:r>
      <w:r w:rsidR="006B6BCD" w:rsidRPr="006B6BCD">
        <w:rPr>
          <w:rFonts w:ascii="Arial" w:hAnsi="Arial" w:cs="Arial"/>
          <w:sz w:val="22"/>
          <w:szCs w:val="22"/>
        </w:rPr>
        <w:t xml:space="preserve"> </w:t>
      </w:r>
      <w:r>
        <w:rPr>
          <w:rFonts w:ascii="Arial" w:hAnsi="Arial" w:cs="Arial"/>
          <w:sz w:val="22"/>
          <w:szCs w:val="22"/>
        </w:rPr>
        <w:t xml:space="preserve">zajišťuje provoz systému elektronického mýtného a výběr mýtného, přičemž se souhlasem vlády těmito činnostmi pověřilo Ředitelství silnic a dálnic ČR. </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b/>
          <w:sz w:val="22"/>
          <w:szCs w:val="22"/>
        </w:rPr>
        <w:lastRenderedPageBreak/>
        <w:t xml:space="preserve">Ředitelství silnic a dálnic ČR </w:t>
      </w:r>
      <w:r>
        <w:rPr>
          <w:rFonts w:ascii="Arial" w:hAnsi="Arial" w:cs="Arial"/>
          <w:sz w:val="22"/>
          <w:szCs w:val="22"/>
        </w:rPr>
        <w:t>(dále také „ŘSD“) bylo zřízeno jako státní příspěvková organizace Ministerstvem dopravy. Na základě zřizovací listiny se ŘSD mimo jiné podílí na celostátní koncepci rozvoje systému výkonového zpoplatnění (dále také „SVZ“), zajišťuje výběr mýtného a smluvní vztahy provozování SVZ, spolupracuje s Policií ČR a Celní správou ČR v oblasti kontroly úhrady mýtného, shromažďuje, uschovává a zpracovává údaje za účelem stanovení, výběru a případného vymáhání mýtného.</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b/>
          <w:bCs/>
          <w:sz w:val="22"/>
          <w:szCs w:val="22"/>
        </w:rPr>
        <w:t xml:space="preserve">Generální ředitelství cel </w:t>
      </w:r>
      <w:r>
        <w:rPr>
          <w:rFonts w:ascii="Arial" w:hAnsi="Arial" w:cs="Arial"/>
          <w:sz w:val="22"/>
          <w:szCs w:val="22"/>
        </w:rPr>
        <w:t>(dále také „GŘC“)</w:t>
      </w:r>
      <w:r w:rsidR="006B6BCD">
        <w:rPr>
          <w:rFonts w:ascii="Arial" w:hAnsi="Arial" w:cs="Arial"/>
          <w:sz w:val="22"/>
          <w:szCs w:val="22"/>
        </w:rPr>
        <w:t>, celní ředitelství a c</w:t>
      </w:r>
      <w:r w:rsidR="006B6BCD" w:rsidRPr="006B6BCD">
        <w:rPr>
          <w:rFonts w:ascii="Arial" w:hAnsi="Arial" w:cs="Arial"/>
          <w:sz w:val="22"/>
          <w:szCs w:val="22"/>
        </w:rPr>
        <w:t>elní úřady tvoř</w:t>
      </w:r>
      <w:r w:rsidR="00887CE8">
        <w:rPr>
          <w:rFonts w:ascii="Arial" w:hAnsi="Arial" w:cs="Arial"/>
          <w:sz w:val="22"/>
          <w:szCs w:val="22"/>
        </w:rPr>
        <w:t>ily do konce roku 2012</w:t>
      </w:r>
      <w:r w:rsidR="006B6BCD" w:rsidRPr="006B6BCD">
        <w:rPr>
          <w:rFonts w:ascii="Arial" w:hAnsi="Arial" w:cs="Arial"/>
          <w:sz w:val="22"/>
          <w:szCs w:val="22"/>
        </w:rPr>
        <w:t xml:space="preserve"> soustavu celních orgánů pro oblast celnictví.</w:t>
      </w:r>
      <w:r>
        <w:rPr>
          <w:rFonts w:ascii="Arial" w:hAnsi="Arial" w:cs="Arial"/>
          <w:sz w:val="22"/>
          <w:szCs w:val="22"/>
        </w:rPr>
        <w:t xml:space="preserve"> </w:t>
      </w:r>
      <w:r w:rsidR="006B6BCD">
        <w:rPr>
          <w:rFonts w:ascii="Arial" w:hAnsi="Arial" w:cs="Arial"/>
          <w:sz w:val="22"/>
          <w:szCs w:val="22"/>
        </w:rPr>
        <w:t>Po</w:t>
      </w:r>
      <w:r w:rsidR="006E5AC1">
        <w:rPr>
          <w:rFonts w:ascii="Arial" w:hAnsi="Arial" w:cs="Arial"/>
          <w:sz w:val="22"/>
          <w:szCs w:val="22"/>
        </w:rPr>
        <w:t>dle zákona č. 13/1997 Sb. pln</w:t>
      </w:r>
      <w:r w:rsidR="00C85D0F">
        <w:rPr>
          <w:rFonts w:ascii="Arial" w:hAnsi="Arial" w:cs="Arial"/>
          <w:sz w:val="22"/>
          <w:szCs w:val="22"/>
        </w:rPr>
        <w:t>ily</w:t>
      </w:r>
      <w:r w:rsidR="006B6BCD">
        <w:rPr>
          <w:rFonts w:ascii="Arial" w:hAnsi="Arial" w:cs="Arial"/>
          <w:sz w:val="22"/>
          <w:szCs w:val="22"/>
        </w:rPr>
        <w:t xml:space="preserve"> mimo jiné úkoly </w:t>
      </w:r>
      <w:r>
        <w:rPr>
          <w:rFonts w:ascii="Arial" w:hAnsi="Arial" w:cs="Arial"/>
          <w:sz w:val="22"/>
          <w:szCs w:val="22"/>
        </w:rPr>
        <w:t>při kontrole dodržování povinnost</w:t>
      </w:r>
      <w:r w:rsidR="008B02E4">
        <w:rPr>
          <w:rFonts w:ascii="Arial" w:hAnsi="Arial" w:cs="Arial"/>
          <w:sz w:val="22"/>
          <w:szCs w:val="22"/>
        </w:rPr>
        <w:t>í</w:t>
      </w:r>
      <w:r>
        <w:rPr>
          <w:rFonts w:ascii="Arial" w:hAnsi="Arial" w:cs="Arial"/>
          <w:sz w:val="22"/>
          <w:szCs w:val="22"/>
        </w:rPr>
        <w:t xml:space="preserve"> při užívání zpopl</w:t>
      </w:r>
      <w:r w:rsidR="00C85D0F">
        <w:rPr>
          <w:rFonts w:ascii="Arial" w:hAnsi="Arial" w:cs="Arial"/>
          <w:sz w:val="22"/>
          <w:szCs w:val="22"/>
        </w:rPr>
        <w:t xml:space="preserve">atněných pozemních komunikací, </w:t>
      </w:r>
      <w:r>
        <w:rPr>
          <w:rFonts w:ascii="Arial" w:hAnsi="Arial" w:cs="Arial"/>
          <w:sz w:val="22"/>
          <w:szCs w:val="22"/>
        </w:rPr>
        <w:t>uklád</w:t>
      </w:r>
      <w:r w:rsidR="00C85D0F">
        <w:rPr>
          <w:rFonts w:ascii="Arial" w:hAnsi="Arial" w:cs="Arial"/>
          <w:sz w:val="22"/>
          <w:szCs w:val="22"/>
        </w:rPr>
        <w:t>aly a vymáhaly související</w:t>
      </w:r>
      <w:r>
        <w:rPr>
          <w:rFonts w:ascii="Arial" w:hAnsi="Arial" w:cs="Arial"/>
          <w:sz w:val="22"/>
          <w:szCs w:val="22"/>
        </w:rPr>
        <w:t xml:space="preserve"> pokut</w:t>
      </w:r>
      <w:r w:rsidR="00C85D0F">
        <w:rPr>
          <w:rFonts w:ascii="Arial" w:hAnsi="Arial" w:cs="Arial"/>
          <w:sz w:val="22"/>
          <w:szCs w:val="22"/>
        </w:rPr>
        <w:t>y</w:t>
      </w:r>
      <w:r>
        <w:rPr>
          <w:rFonts w:ascii="Arial" w:hAnsi="Arial" w:cs="Arial"/>
          <w:sz w:val="22"/>
          <w:szCs w:val="22"/>
        </w:rPr>
        <w:t>.</w:t>
      </w:r>
    </w:p>
    <w:p w:rsidR="005D555B" w:rsidRDefault="005D555B" w:rsidP="004401C1">
      <w:pPr>
        <w:jc w:val="both"/>
        <w:rPr>
          <w:rFonts w:ascii="Arial" w:hAnsi="Arial" w:cs="Arial"/>
          <w:sz w:val="22"/>
          <w:szCs w:val="22"/>
        </w:rPr>
      </w:pPr>
    </w:p>
    <w:p w:rsidR="00286C6E" w:rsidRDefault="00286C6E" w:rsidP="004401C1">
      <w:pPr>
        <w:jc w:val="both"/>
        <w:rPr>
          <w:rFonts w:ascii="Arial" w:hAnsi="Arial"/>
          <w:sz w:val="22"/>
        </w:rPr>
      </w:pPr>
      <w:r>
        <w:rPr>
          <w:rFonts w:ascii="Arial" w:hAnsi="Arial" w:cs="Arial"/>
          <w:b/>
          <w:sz w:val="22"/>
          <w:szCs w:val="22"/>
        </w:rPr>
        <w:t xml:space="preserve">Státní fond dopravní infrastruktury </w:t>
      </w:r>
      <w:r w:rsidR="00E03C07">
        <w:rPr>
          <w:rFonts w:ascii="Arial" w:hAnsi="Arial" w:cs="Arial"/>
          <w:bCs/>
          <w:iCs/>
          <w:sz w:val="22"/>
        </w:rPr>
        <w:t xml:space="preserve">(dále také „SFDI“) </w:t>
      </w:r>
      <w:r>
        <w:rPr>
          <w:rFonts w:ascii="Arial" w:hAnsi="Arial" w:cs="Arial"/>
          <w:sz w:val="22"/>
          <w:szCs w:val="22"/>
        </w:rPr>
        <w:t>j</w:t>
      </w:r>
      <w:r w:rsidR="004B1E4B">
        <w:rPr>
          <w:rFonts w:ascii="Arial" w:hAnsi="Arial" w:cs="Arial"/>
          <w:sz w:val="22"/>
          <w:szCs w:val="22"/>
        </w:rPr>
        <w:t>e státním fondem ve smyslu § 28 </w:t>
      </w:r>
      <w:r>
        <w:rPr>
          <w:rFonts w:ascii="Arial" w:hAnsi="Arial" w:cs="Arial"/>
          <w:sz w:val="22"/>
          <w:szCs w:val="22"/>
        </w:rPr>
        <w:t>zákona č. 218/2000 Sb.</w:t>
      </w:r>
      <w:r>
        <w:rPr>
          <w:rStyle w:val="Znakypropoznmkupodarou"/>
          <w:rFonts w:ascii="Arial" w:hAnsi="Arial" w:cs="Arial"/>
          <w:sz w:val="22"/>
          <w:szCs w:val="22"/>
        </w:rPr>
        <w:footnoteReference w:id="3"/>
      </w:r>
      <w:r>
        <w:rPr>
          <w:rFonts w:ascii="Arial" w:hAnsi="Arial"/>
          <w:sz w:val="22"/>
        </w:rPr>
        <w:t xml:space="preserve"> Organizačně a finančně zajišťuje každoroční emise časových kup</w:t>
      </w:r>
      <w:r w:rsidR="004832A4">
        <w:rPr>
          <w:rFonts w:ascii="Arial" w:hAnsi="Arial"/>
          <w:sz w:val="22"/>
        </w:rPr>
        <w:t>o</w:t>
      </w:r>
      <w:r>
        <w:rPr>
          <w:rFonts w:ascii="Arial" w:hAnsi="Arial"/>
          <w:sz w:val="22"/>
        </w:rPr>
        <w:t xml:space="preserve">nů. </w:t>
      </w:r>
      <w:r>
        <w:rPr>
          <w:rFonts w:ascii="Arial" w:hAnsi="Arial" w:cs="Arial"/>
          <w:bCs/>
          <w:iCs/>
          <w:sz w:val="22"/>
        </w:rPr>
        <w:t xml:space="preserve">Mezi činnosti vykonávané SFDI patří i financování </w:t>
      </w:r>
      <w:r w:rsidR="006E5AC1">
        <w:rPr>
          <w:rFonts w:ascii="Arial" w:hAnsi="Arial" w:cs="Arial"/>
          <w:bCs/>
          <w:iCs/>
          <w:sz w:val="22"/>
        </w:rPr>
        <w:t>SVZ</w:t>
      </w:r>
      <w:r>
        <w:rPr>
          <w:rFonts w:ascii="Arial" w:hAnsi="Arial" w:cs="Arial"/>
          <w:bCs/>
          <w:iCs/>
          <w:sz w:val="22"/>
        </w:rPr>
        <w:t xml:space="preserve">. </w:t>
      </w:r>
      <w:r>
        <w:rPr>
          <w:rFonts w:ascii="Arial" w:hAnsi="Arial"/>
          <w:sz w:val="22"/>
        </w:rPr>
        <w:t xml:space="preserve">Majetek, </w:t>
      </w:r>
      <w:r w:rsidR="007A1976">
        <w:rPr>
          <w:rFonts w:ascii="Arial" w:hAnsi="Arial"/>
          <w:sz w:val="22"/>
        </w:rPr>
        <w:t>s </w:t>
      </w:r>
      <w:r>
        <w:rPr>
          <w:rFonts w:ascii="Arial" w:hAnsi="Arial"/>
          <w:sz w:val="22"/>
        </w:rPr>
        <w:t>nímž SFDI hospodaří, je podle zákona č. 104/2000 Sb.</w:t>
      </w:r>
      <w:r>
        <w:rPr>
          <w:rStyle w:val="Znakypropoznmkupodarou"/>
          <w:rFonts w:ascii="Arial" w:hAnsi="Arial"/>
          <w:sz w:val="22"/>
        </w:rPr>
        <w:footnoteReference w:id="4"/>
      </w:r>
      <w:r>
        <w:rPr>
          <w:rFonts w:ascii="Arial" w:hAnsi="Arial"/>
          <w:sz w:val="22"/>
        </w:rPr>
        <w:t xml:space="preserve"> ve vlastnictví s</w:t>
      </w:r>
      <w:r w:rsidR="00534065">
        <w:rPr>
          <w:rFonts w:ascii="Arial" w:hAnsi="Arial"/>
          <w:sz w:val="22"/>
        </w:rPr>
        <w:t>tátu. SFDI je při hospodaření s </w:t>
      </w:r>
      <w:r>
        <w:rPr>
          <w:rFonts w:ascii="Arial" w:hAnsi="Arial"/>
          <w:sz w:val="22"/>
        </w:rPr>
        <w:t xml:space="preserve">prostředky </w:t>
      </w:r>
      <w:r w:rsidR="00471F04">
        <w:rPr>
          <w:rFonts w:ascii="Arial" w:hAnsi="Arial"/>
          <w:sz w:val="22"/>
        </w:rPr>
        <w:t xml:space="preserve">svěřenými </w:t>
      </w:r>
      <w:r>
        <w:rPr>
          <w:rFonts w:ascii="Arial" w:hAnsi="Arial"/>
          <w:sz w:val="22"/>
        </w:rPr>
        <w:t>podle téhož zákona povinen dbát zásad obezřetnosti a efektivnosti</w:t>
      </w:r>
      <w:r>
        <w:rPr>
          <w:rStyle w:val="Znakypropoznmkupodarou"/>
          <w:rFonts w:ascii="Arial" w:hAnsi="Arial"/>
          <w:sz w:val="22"/>
        </w:rPr>
        <w:footnoteReference w:id="5"/>
      </w:r>
      <w:r>
        <w:rPr>
          <w:rFonts w:ascii="Arial" w:hAnsi="Arial"/>
          <w:sz w:val="22"/>
        </w:rPr>
        <w:t>.</w:t>
      </w:r>
    </w:p>
    <w:p w:rsidR="005D555B" w:rsidRDefault="005D555B" w:rsidP="004401C1">
      <w:pPr>
        <w:jc w:val="both"/>
        <w:rPr>
          <w:rFonts w:ascii="Arial" w:hAnsi="Arial"/>
          <w:sz w:val="22"/>
        </w:rPr>
      </w:pPr>
    </w:p>
    <w:p w:rsidR="00516B56" w:rsidRDefault="006B6BCD" w:rsidP="004401C1">
      <w:pPr>
        <w:tabs>
          <w:tab w:val="left" w:pos="360"/>
        </w:tabs>
        <w:jc w:val="both"/>
        <w:rPr>
          <w:rFonts w:ascii="Arial" w:hAnsi="Arial" w:cs="Arial"/>
          <w:bCs/>
          <w:iCs/>
          <w:sz w:val="22"/>
        </w:rPr>
      </w:pPr>
      <w:r>
        <w:rPr>
          <w:rFonts w:ascii="Arial" w:hAnsi="Arial" w:cs="Arial"/>
          <w:bCs/>
          <w:iCs/>
          <w:sz w:val="22"/>
        </w:rPr>
        <w:t xml:space="preserve">Zákon č. 13/1997 Sb. </w:t>
      </w:r>
      <w:r w:rsidR="0042610D">
        <w:rPr>
          <w:rFonts w:ascii="Arial" w:hAnsi="Arial" w:cs="Arial"/>
          <w:bCs/>
          <w:iCs/>
          <w:sz w:val="22"/>
        </w:rPr>
        <w:t>a vyhláška č. 527/2006 Sb.</w:t>
      </w:r>
      <w:r w:rsidR="0042610D">
        <w:rPr>
          <w:rStyle w:val="Znakapoznpodarou"/>
          <w:rFonts w:ascii="Arial" w:hAnsi="Arial" w:cs="Arial"/>
          <w:bCs/>
          <w:iCs/>
          <w:sz w:val="22"/>
        </w:rPr>
        <w:footnoteReference w:id="6"/>
      </w:r>
      <w:r w:rsidR="0042610D">
        <w:rPr>
          <w:rFonts w:ascii="Arial" w:hAnsi="Arial" w:cs="Arial"/>
          <w:bCs/>
          <w:iCs/>
          <w:sz w:val="22"/>
        </w:rPr>
        <w:t xml:space="preserve"> </w:t>
      </w:r>
      <w:r w:rsidR="00C85D0F">
        <w:rPr>
          <w:rFonts w:ascii="Arial" w:hAnsi="Arial" w:cs="Arial"/>
          <w:bCs/>
          <w:iCs/>
          <w:sz w:val="22"/>
        </w:rPr>
        <w:t xml:space="preserve">definovaly </w:t>
      </w:r>
      <w:r>
        <w:rPr>
          <w:rFonts w:ascii="Arial" w:hAnsi="Arial" w:cs="Arial"/>
          <w:bCs/>
          <w:iCs/>
          <w:sz w:val="22"/>
        </w:rPr>
        <w:t>poz</w:t>
      </w:r>
      <w:r w:rsidR="00C85D0F">
        <w:rPr>
          <w:rFonts w:ascii="Arial" w:hAnsi="Arial" w:cs="Arial"/>
          <w:bCs/>
          <w:iCs/>
          <w:sz w:val="22"/>
        </w:rPr>
        <w:t>emní komunikace, které podléhaly</w:t>
      </w:r>
      <w:r>
        <w:rPr>
          <w:rFonts w:ascii="Arial" w:hAnsi="Arial" w:cs="Arial"/>
          <w:bCs/>
          <w:iCs/>
          <w:sz w:val="22"/>
        </w:rPr>
        <w:t xml:space="preserve"> zpoplatnění. Uživateli těchto komunikací </w:t>
      </w:r>
      <w:r w:rsidR="00C85D0F">
        <w:rPr>
          <w:rFonts w:ascii="Arial" w:hAnsi="Arial" w:cs="Arial"/>
          <w:bCs/>
          <w:iCs/>
          <w:sz w:val="22"/>
        </w:rPr>
        <w:t>byl</w:t>
      </w:r>
      <w:r w:rsidR="004832A4">
        <w:rPr>
          <w:rFonts w:ascii="Arial" w:hAnsi="Arial" w:cs="Arial"/>
          <w:bCs/>
          <w:iCs/>
          <w:sz w:val="22"/>
        </w:rPr>
        <w:t>i</w:t>
      </w:r>
      <w:r>
        <w:rPr>
          <w:rFonts w:ascii="Arial" w:hAnsi="Arial" w:cs="Arial"/>
          <w:bCs/>
          <w:iCs/>
          <w:sz w:val="22"/>
        </w:rPr>
        <w:t xml:space="preserve"> provozovatelé vozidel a jejich řidiči. Zpoplatnění pozemních komunikací</w:t>
      </w:r>
      <w:r w:rsidR="00C85D0F">
        <w:rPr>
          <w:rFonts w:ascii="Arial" w:hAnsi="Arial" w:cs="Arial"/>
          <w:bCs/>
          <w:iCs/>
          <w:sz w:val="22"/>
        </w:rPr>
        <w:t xml:space="preserve"> bylo</w:t>
      </w:r>
      <w:r>
        <w:rPr>
          <w:rFonts w:ascii="Arial" w:hAnsi="Arial" w:cs="Arial"/>
          <w:bCs/>
          <w:iCs/>
          <w:sz w:val="22"/>
        </w:rPr>
        <w:t xml:space="preserve"> proveden</w:t>
      </w:r>
      <w:r w:rsidR="00537016">
        <w:rPr>
          <w:rFonts w:ascii="Arial" w:hAnsi="Arial" w:cs="Arial"/>
          <w:bCs/>
          <w:iCs/>
          <w:sz w:val="22"/>
        </w:rPr>
        <w:t>o v podobě výkonového (mýtné) a </w:t>
      </w:r>
      <w:r>
        <w:rPr>
          <w:rFonts w:ascii="Arial" w:hAnsi="Arial" w:cs="Arial"/>
          <w:bCs/>
          <w:iCs/>
          <w:sz w:val="22"/>
        </w:rPr>
        <w:t xml:space="preserve">časového zpoplatnění </w:t>
      </w:r>
      <w:r w:rsidR="004832A4">
        <w:rPr>
          <w:rFonts w:ascii="Arial" w:hAnsi="Arial" w:cs="Arial"/>
          <w:bCs/>
          <w:iCs/>
          <w:sz w:val="22"/>
        </w:rPr>
        <w:t>(</w:t>
      </w:r>
      <w:r>
        <w:rPr>
          <w:rFonts w:ascii="Arial" w:hAnsi="Arial" w:cs="Arial"/>
          <w:bCs/>
          <w:iCs/>
          <w:sz w:val="22"/>
        </w:rPr>
        <w:t>časové kup</w:t>
      </w:r>
      <w:r w:rsidR="004832A4">
        <w:rPr>
          <w:rFonts w:ascii="Arial" w:hAnsi="Arial" w:cs="Arial"/>
          <w:bCs/>
          <w:iCs/>
          <w:sz w:val="22"/>
        </w:rPr>
        <w:t>o</w:t>
      </w:r>
      <w:r>
        <w:rPr>
          <w:rFonts w:ascii="Arial" w:hAnsi="Arial" w:cs="Arial"/>
          <w:bCs/>
          <w:iCs/>
          <w:sz w:val="22"/>
        </w:rPr>
        <w:t xml:space="preserve">ny </w:t>
      </w:r>
      <w:r w:rsidR="004832A4">
        <w:rPr>
          <w:rFonts w:ascii="Arial" w:hAnsi="Arial" w:cs="Arial"/>
          <w:bCs/>
          <w:iCs/>
          <w:sz w:val="22"/>
        </w:rPr>
        <w:t xml:space="preserve">– </w:t>
      </w:r>
      <w:r>
        <w:rPr>
          <w:rFonts w:ascii="Arial" w:hAnsi="Arial" w:cs="Arial"/>
          <w:bCs/>
          <w:iCs/>
          <w:sz w:val="22"/>
        </w:rPr>
        <w:t>dále také „ČK“). Smyslem zpoplatnění užívání pozemních komunikací bylo zejména finančně zapojit uživatele komuni</w:t>
      </w:r>
      <w:r w:rsidR="007E0B51">
        <w:rPr>
          <w:rFonts w:ascii="Arial" w:hAnsi="Arial" w:cs="Arial"/>
          <w:bCs/>
          <w:iCs/>
          <w:sz w:val="22"/>
        </w:rPr>
        <w:t>kací do výstavby nových úseků a </w:t>
      </w:r>
      <w:r>
        <w:rPr>
          <w:rFonts w:ascii="Arial" w:hAnsi="Arial" w:cs="Arial"/>
          <w:bCs/>
          <w:iCs/>
          <w:sz w:val="22"/>
        </w:rPr>
        <w:t xml:space="preserve">zkvalitnění dálniční sítě. </w:t>
      </w:r>
    </w:p>
    <w:p w:rsidR="005D555B" w:rsidRDefault="005D555B" w:rsidP="004401C1">
      <w:pPr>
        <w:tabs>
          <w:tab w:val="left" w:pos="360"/>
        </w:tabs>
        <w:jc w:val="both"/>
        <w:rPr>
          <w:rFonts w:ascii="Arial" w:hAnsi="Arial" w:cs="Arial"/>
          <w:bCs/>
          <w:iCs/>
          <w:sz w:val="22"/>
        </w:rPr>
      </w:pPr>
    </w:p>
    <w:p w:rsidR="00C5002E" w:rsidRDefault="00516B56" w:rsidP="004401C1">
      <w:pPr>
        <w:tabs>
          <w:tab w:val="left" w:pos="360"/>
        </w:tabs>
        <w:jc w:val="both"/>
        <w:rPr>
          <w:rFonts w:ascii="Arial" w:hAnsi="Arial" w:cs="Arial"/>
          <w:bCs/>
          <w:iCs/>
          <w:sz w:val="22"/>
        </w:rPr>
      </w:pPr>
      <w:r w:rsidRPr="00CB1104">
        <w:rPr>
          <w:rFonts w:ascii="Arial" w:hAnsi="Arial" w:cs="Arial"/>
          <w:bCs/>
          <w:iCs/>
          <w:sz w:val="22"/>
        </w:rPr>
        <w:t>Mýtnému od 1.</w:t>
      </w:r>
      <w:r w:rsidR="000B3D75" w:rsidRPr="00CB1104">
        <w:rPr>
          <w:rFonts w:ascii="Arial" w:hAnsi="Arial" w:cs="Arial"/>
          <w:bCs/>
          <w:iCs/>
          <w:sz w:val="22"/>
        </w:rPr>
        <w:t xml:space="preserve"> </w:t>
      </w:r>
      <w:r w:rsidR="008B02E4">
        <w:rPr>
          <w:rFonts w:ascii="Arial" w:hAnsi="Arial" w:cs="Arial"/>
          <w:bCs/>
          <w:iCs/>
          <w:sz w:val="22"/>
        </w:rPr>
        <w:t>ledna</w:t>
      </w:r>
      <w:r w:rsidR="000B3D75" w:rsidRPr="00CB1104">
        <w:rPr>
          <w:rFonts w:ascii="Arial" w:hAnsi="Arial" w:cs="Arial"/>
          <w:bCs/>
          <w:iCs/>
          <w:sz w:val="22"/>
        </w:rPr>
        <w:t xml:space="preserve"> </w:t>
      </w:r>
      <w:r w:rsidRPr="00CB1104">
        <w:rPr>
          <w:rFonts w:ascii="Arial" w:hAnsi="Arial" w:cs="Arial"/>
          <w:bCs/>
          <w:iCs/>
          <w:sz w:val="22"/>
        </w:rPr>
        <w:t>2007 podléha</w:t>
      </w:r>
      <w:r w:rsidR="000B3D75" w:rsidRPr="00CB1104">
        <w:rPr>
          <w:rFonts w:ascii="Arial" w:hAnsi="Arial" w:cs="Arial"/>
          <w:bCs/>
          <w:iCs/>
          <w:sz w:val="22"/>
        </w:rPr>
        <w:t>jí</w:t>
      </w:r>
      <w:r w:rsidRPr="00CB1104">
        <w:rPr>
          <w:rFonts w:ascii="Arial" w:hAnsi="Arial" w:cs="Arial"/>
          <w:bCs/>
          <w:iCs/>
          <w:sz w:val="22"/>
        </w:rPr>
        <w:t xml:space="preserve"> </w:t>
      </w:r>
      <w:r w:rsidR="000B3D75" w:rsidRPr="00CB1104">
        <w:rPr>
          <w:rFonts w:ascii="Arial" w:hAnsi="Arial" w:cs="Arial"/>
          <w:bCs/>
          <w:iCs/>
          <w:sz w:val="22"/>
        </w:rPr>
        <w:t>silniční motorová vozidla nejméně se čtyřmi koly, jejichž největší povolená hmotnost čin</w:t>
      </w:r>
      <w:r w:rsidR="008B02E4">
        <w:rPr>
          <w:rFonts w:ascii="Arial" w:hAnsi="Arial" w:cs="Arial"/>
          <w:bCs/>
          <w:iCs/>
          <w:sz w:val="22"/>
        </w:rPr>
        <w:t>í více než 12 t</w:t>
      </w:r>
      <w:r w:rsidR="005270E3">
        <w:rPr>
          <w:rFonts w:ascii="Arial" w:hAnsi="Arial" w:cs="Arial"/>
          <w:bCs/>
          <w:iCs/>
          <w:sz w:val="22"/>
        </w:rPr>
        <w:t>,</w:t>
      </w:r>
      <w:r w:rsidR="000B3D75" w:rsidRPr="00CB1104">
        <w:rPr>
          <w:rFonts w:ascii="Arial" w:hAnsi="Arial" w:cs="Arial"/>
          <w:bCs/>
          <w:iCs/>
          <w:sz w:val="22"/>
        </w:rPr>
        <w:t xml:space="preserve"> resp. od 1. </w:t>
      </w:r>
      <w:r w:rsidR="008B02E4">
        <w:rPr>
          <w:rFonts w:ascii="Arial" w:hAnsi="Arial" w:cs="Arial"/>
          <w:bCs/>
          <w:iCs/>
          <w:sz w:val="22"/>
        </w:rPr>
        <w:t>ledna</w:t>
      </w:r>
      <w:r w:rsidR="000B3D75" w:rsidRPr="00CB1104">
        <w:rPr>
          <w:rFonts w:ascii="Arial" w:hAnsi="Arial" w:cs="Arial"/>
          <w:bCs/>
          <w:iCs/>
          <w:sz w:val="22"/>
        </w:rPr>
        <w:t xml:space="preserve"> 2010 více než 3,5 t.</w:t>
      </w:r>
      <w:r w:rsidR="00CB1104">
        <w:rPr>
          <w:rFonts w:ascii="Arial" w:hAnsi="Arial" w:cs="Arial"/>
          <w:bCs/>
          <w:iCs/>
          <w:sz w:val="22"/>
        </w:rPr>
        <w:t xml:space="preserve"> Před zpoplatněním mýtem </w:t>
      </w:r>
      <w:r w:rsidR="00F40821">
        <w:rPr>
          <w:rFonts w:ascii="Arial" w:hAnsi="Arial" w:cs="Arial"/>
          <w:bCs/>
          <w:iCs/>
          <w:sz w:val="22"/>
        </w:rPr>
        <w:t xml:space="preserve">podléhala </w:t>
      </w:r>
      <w:r w:rsidR="00CB1104">
        <w:rPr>
          <w:rFonts w:ascii="Arial" w:hAnsi="Arial" w:cs="Arial"/>
          <w:bCs/>
          <w:iCs/>
          <w:sz w:val="22"/>
        </w:rPr>
        <w:t>tato vozidla časovému zpoplatnění</w:t>
      </w:r>
      <w:r w:rsidR="00F40821">
        <w:rPr>
          <w:rFonts w:ascii="Arial" w:hAnsi="Arial" w:cs="Arial"/>
          <w:bCs/>
          <w:iCs/>
          <w:sz w:val="22"/>
        </w:rPr>
        <w:t>.</w:t>
      </w:r>
      <w:r w:rsidR="000B3D75" w:rsidRPr="00CB1104">
        <w:rPr>
          <w:rFonts w:ascii="Arial" w:hAnsi="Arial" w:cs="Arial"/>
          <w:bCs/>
          <w:iCs/>
          <w:sz w:val="22"/>
        </w:rPr>
        <w:t xml:space="preserve"> </w:t>
      </w:r>
      <w:r w:rsidR="0042610D" w:rsidRPr="00CB1104">
        <w:rPr>
          <w:rFonts w:ascii="Arial" w:hAnsi="Arial" w:cs="Arial"/>
          <w:bCs/>
          <w:iCs/>
          <w:sz w:val="22"/>
        </w:rPr>
        <w:t>Mýtné lze</w:t>
      </w:r>
      <w:r w:rsidR="0042610D">
        <w:rPr>
          <w:rFonts w:ascii="Arial" w:hAnsi="Arial" w:cs="Arial"/>
          <w:bCs/>
          <w:iCs/>
          <w:sz w:val="22"/>
        </w:rPr>
        <w:t xml:space="preserve"> uhradit před uži</w:t>
      </w:r>
      <w:r w:rsidR="007E0B51">
        <w:rPr>
          <w:rFonts w:ascii="Arial" w:hAnsi="Arial" w:cs="Arial"/>
          <w:bCs/>
          <w:iCs/>
          <w:sz w:val="22"/>
        </w:rPr>
        <w:t>tím zpoplatněné komunikace, tj. </w:t>
      </w:r>
      <w:r w:rsidR="0042610D">
        <w:rPr>
          <w:rFonts w:ascii="Arial" w:hAnsi="Arial" w:cs="Arial"/>
          <w:bCs/>
          <w:iCs/>
          <w:sz w:val="22"/>
        </w:rPr>
        <w:t>v režimu placení předem</w:t>
      </w:r>
      <w:r w:rsidR="004832A4">
        <w:rPr>
          <w:rFonts w:ascii="Arial" w:hAnsi="Arial" w:cs="Arial"/>
          <w:bCs/>
          <w:iCs/>
          <w:sz w:val="22"/>
        </w:rPr>
        <w:t>,</w:t>
      </w:r>
      <w:r w:rsidR="0042610D">
        <w:rPr>
          <w:rFonts w:ascii="Arial" w:hAnsi="Arial" w:cs="Arial"/>
          <w:bCs/>
          <w:iCs/>
          <w:sz w:val="22"/>
        </w:rPr>
        <w:t xml:space="preserve"> nebo na základě smlouvy s ŘSD </w:t>
      </w:r>
      <w:r w:rsidR="00C5002E">
        <w:rPr>
          <w:rFonts w:ascii="Arial" w:hAnsi="Arial" w:cs="Arial"/>
          <w:bCs/>
          <w:iCs/>
          <w:sz w:val="22"/>
        </w:rPr>
        <w:t xml:space="preserve">a bankovní záruky </w:t>
      </w:r>
      <w:r w:rsidR="0042610D">
        <w:rPr>
          <w:rFonts w:ascii="Arial" w:hAnsi="Arial" w:cs="Arial"/>
          <w:bCs/>
          <w:iCs/>
          <w:sz w:val="22"/>
        </w:rPr>
        <w:t>po jejím užití</w:t>
      </w:r>
      <w:r w:rsidR="00317A25">
        <w:rPr>
          <w:rFonts w:ascii="Arial" w:hAnsi="Arial" w:cs="Arial"/>
          <w:bCs/>
          <w:iCs/>
          <w:sz w:val="22"/>
        </w:rPr>
        <w:t xml:space="preserve">, </w:t>
      </w:r>
      <w:r w:rsidR="0042610D">
        <w:rPr>
          <w:rFonts w:ascii="Arial" w:hAnsi="Arial" w:cs="Arial"/>
          <w:bCs/>
          <w:iCs/>
          <w:sz w:val="22"/>
        </w:rPr>
        <w:t xml:space="preserve">tj. </w:t>
      </w:r>
      <w:r w:rsidR="00892E3D">
        <w:rPr>
          <w:rFonts w:ascii="Arial" w:hAnsi="Arial" w:cs="Arial"/>
          <w:bCs/>
          <w:iCs/>
          <w:sz w:val="22"/>
        </w:rPr>
        <w:t>v </w:t>
      </w:r>
      <w:r w:rsidR="0042610D">
        <w:rPr>
          <w:rFonts w:ascii="Arial" w:hAnsi="Arial" w:cs="Arial"/>
          <w:bCs/>
          <w:iCs/>
          <w:sz w:val="22"/>
        </w:rPr>
        <w:t>režim</w:t>
      </w:r>
      <w:r w:rsidR="00317A25">
        <w:rPr>
          <w:rFonts w:ascii="Arial" w:hAnsi="Arial" w:cs="Arial"/>
          <w:bCs/>
          <w:iCs/>
          <w:sz w:val="22"/>
        </w:rPr>
        <w:t>u</w:t>
      </w:r>
      <w:r w:rsidR="0042610D">
        <w:rPr>
          <w:rFonts w:ascii="Arial" w:hAnsi="Arial" w:cs="Arial"/>
          <w:bCs/>
          <w:iCs/>
          <w:sz w:val="22"/>
        </w:rPr>
        <w:t xml:space="preserve"> následného placení</w:t>
      </w:r>
      <w:r w:rsidR="00471F04">
        <w:rPr>
          <w:rFonts w:ascii="Arial" w:hAnsi="Arial" w:cs="Arial"/>
          <w:bCs/>
          <w:iCs/>
          <w:sz w:val="22"/>
        </w:rPr>
        <w:t>.</w:t>
      </w:r>
      <w:r w:rsidR="0042610D">
        <w:rPr>
          <w:rFonts w:ascii="Arial" w:hAnsi="Arial" w:cs="Arial"/>
          <w:bCs/>
          <w:iCs/>
          <w:sz w:val="22"/>
        </w:rPr>
        <w:t xml:space="preserve"> </w:t>
      </w:r>
    </w:p>
    <w:p w:rsidR="005D555B" w:rsidRDefault="005D555B" w:rsidP="004401C1">
      <w:pPr>
        <w:tabs>
          <w:tab w:val="left" w:pos="360"/>
        </w:tabs>
        <w:jc w:val="both"/>
        <w:rPr>
          <w:rFonts w:ascii="Arial" w:hAnsi="Arial" w:cs="Arial"/>
          <w:bCs/>
          <w:iCs/>
          <w:sz w:val="22"/>
        </w:rPr>
      </w:pPr>
    </w:p>
    <w:p w:rsidR="006B6BCD" w:rsidRDefault="00F40821" w:rsidP="004401C1">
      <w:pPr>
        <w:tabs>
          <w:tab w:val="left" w:pos="360"/>
        </w:tabs>
        <w:jc w:val="both"/>
        <w:rPr>
          <w:rFonts w:ascii="Arial" w:hAnsi="Arial" w:cs="Arial"/>
          <w:bCs/>
          <w:iCs/>
          <w:sz w:val="22"/>
        </w:rPr>
      </w:pPr>
      <w:r>
        <w:rPr>
          <w:rFonts w:ascii="Arial" w:hAnsi="Arial" w:cs="Arial"/>
          <w:bCs/>
          <w:iCs/>
          <w:sz w:val="22"/>
        </w:rPr>
        <w:t>Časovému zpoplatnění podléhají vozidla do 3,5 t</w:t>
      </w:r>
      <w:r w:rsidR="005270E3">
        <w:rPr>
          <w:rFonts w:ascii="Arial" w:hAnsi="Arial" w:cs="Arial"/>
          <w:bCs/>
          <w:iCs/>
          <w:sz w:val="22"/>
        </w:rPr>
        <w:t>,</w:t>
      </w:r>
      <w:r>
        <w:rPr>
          <w:rFonts w:ascii="Arial" w:hAnsi="Arial" w:cs="Arial"/>
          <w:bCs/>
          <w:iCs/>
          <w:sz w:val="22"/>
        </w:rPr>
        <w:t xml:space="preserve"> resp. do 31. </w:t>
      </w:r>
      <w:r w:rsidR="008B02E4">
        <w:rPr>
          <w:rFonts w:ascii="Arial" w:hAnsi="Arial" w:cs="Arial"/>
          <w:bCs/>
          <w:iCs/>
          <w:sz w:val="22"/>
        </w:rPr>
        <w:t xml:space="preserve">prosince </w:t>
      </w:r>
      <w:r>
        <w:rPr>
          <w:rFonts w:ascii="Arial" w:hAnsi="Arial" w:cs="Arial"/>
          <w:bCs/>
          <w:iCs/>
          <w:sz w:val="22"/>
        </w:rPr>
        <w:t xml:space="preserve">2009 </w:t>
      </w:r>
      <w:r w:rsidR="004832A4">
        <w:rPr>
          <w:rFonts w:ascii="Arial" w:hAnsi="Arial" w:cs="Arial"/>
          <w:bCs/>
          <w:iCs/>
          <w:sz w:val="22"/>
        </w:rPr>
        <w:t xml:space="preserve">mu podléhala </w:t>
      </w:r>
      <w:r>
        <w:rPr>
          <w:rFonts w:ascii="Arial" w:hAnsi="Arial" w:cs="Arial"/>
          <w:bCs/>
          <w:iCs/>
          <w:sz w:val="22"/>
        </w:rPr>
        <w:t>vozidla do 12 t.</w:t>
      </w:r>
    </w:p>
    <w:p w:rsidR="005D555B" w:rsidRDefault="005D555B" w:rsidP="004401C1">
      <w:pPr>
        <w:tabs>
          <w:tab w:val="left" w:pos="360"/>
        </w:tabs>
        <w:jc w:val="both"/>
        <w:rPr>
          <w:rFonts w:ascii="Arial" w:hAnsi="Arial" w:cs="Arial"/>
          <w:bCs/>
          <w:iCs/>
          <w:sz w:val="22"/>
        </w:rPr>
      </w:pPr>
    </w:p>
    <w:p w:rsidR="00E03C07" w:rsidRDefault="00E03C07" w:rsidP="004401C1">
      <w:pPr>
        <w:tabs>
          <w:tab w:val="left" w:pos="360"/>
        </w:tabs>
        <w:jc w:val="both"/>
        <w:rPr>
          <w:rFonts w:ascii="Arial" w:hAnsi="Arial" w:cs="Arial"/>
          <w:bCs/>
          <w:iCs/>
          <w:sz w:val="22"/>
        </w:rPr>
      </w:pPr>
      <w:r>
        <w:rPr>
          <w:rFonts w:ascii="Arial" w:hAnsi="Arial" w:cs="Arial"/>
          <w:bCs/>
          <w:iCs/>
          <w:sz w:val="22"/>
        </w:rPr>
        <w:t xml:space="preserve">Do 30. </w:t>
      </w:r>
      <w:r w:rsidR="007E0B51">
        <w:rPr>
          <w:rFonts w:ascii="Arial" w:hAnsi="Arial" w:cs="Arial"/>
          <w:bCs/>
          <w:iCs/>
          <w:sz w:val="22"/>
        </w:rPr>
        <w:t>června</w:t>
      </w:r>
      <w:r>
        <w:rPr>
          <w:rFonts w:ascii="Arial" w:hAnsi="Arial" w:cs="Arial"/>
          <w:bCs/>
          <w:iCs/>
          <w:sz w:val="22"/>
        </w:rPr>
        <w:t xml:space="preserve"> 2011 byly finanční prostředky získané ze zpoplatnění pozemních komunikací příjmem státního rozpočtu. Od 1. </w:t>
      </w:r>
      <w:r w:rsidR="007E0B51">
        <w:rPr>
          <w:rFonts w:ascii="Arial" w:hAnsi="Arial" w:cs="Arial"/>
          <w:bCs/>
          <w:iCs/>
          <w:sz w:val="22"/>
        </w:rPr>
        <w:t>července</w:t>
      </w:r>
      <w:r>
        <w:rPr>
          <w:rFonts w:ascii="Arial" w:hAnsi="Arial" w:cs="Arial"/>
          <w:bCs/>
          <w:iCs/>
          <w:sz w:val="22"/>
        </w:rPr>
        <w:t xml:space="preserve"> 2011</w:t>
      </w:r>
      <w:r>
        <w:rPr>
          <w:rStyle w:val="Znakypropoznmkupodarou"/>
          <w:rFonts w:ascii="Arial" w:hAnsi="Arial" w:cs="Arial"/>
          <w:bCs/>
          <w:iCs/>
          <w:sz w:val="22"/>
        </w:rPr>
        <w:footnoteReference w:id="7"/>
      </w:r>
      <w:r>
        <w:rPr>
          <w:rFonts w:ascii="Arial" w:hAnsi="Arial" w:cs="Arial"/>
          <w:bCs/>
          <w:iCs/>
          <w:sz w:val="22"/>
        </w:rPr>
        <w:t xml:space="preserve"> jsou </w:t>
      </w:r>
      <w:r w:rsidR="0096588E">
        <w:rPr>
          <w:rFonts w:ascii="Arial" w:hAnsi="Arial" w:cs="Arial"/>
          <w:bCs/>
          <w:iCs/>
          <w:sz w:val="22"/>
        </w:rPr>
        <w:t xml:space="preserve">finanční </w:t>
      </w:r>
      <w:r>
        <w:rPr>
          <w:rFonts w:ascii="Arial" w:hAnsi="Arial" w:cs="Arial"/>
          <w:bCs/>
          <w:iCs/>
          <w:sz w:val="22"/>
        </w:rPr>
        <w:t xml:space="preserve">prostředky získané ze zpoplatnění pozemních komunikací příjmem </w:t>
      </w:r>
      <w:r w:rsidR="007D179A">
        <w:rPr>
          <w:rFonts w:ascii="Arial" w:hAnsi="Arial" w:cs="Arial"/>
          <w:bCs/>
          <w:iCs/>
          <w:sz w:val="22"/>
        </w:rPr>
        <w:t>SFDI</w:t>
      </w:r>
      <w:r>
        <w:rPr>
          <w:rFonts w:ascii="Arial" w:hAnsi="Arial" w:cs="Arial"/>
          <w:bCs/>
          <w:iCs/>
          <w:sz w:val="22"/>
        </w:rPr>
        <w:t>.</w:t>
      </w:r>
    </w:p>
    <w:p w:rsidR="005D555B" w:rsidRDefault="005D555B" w:rsidP="004401C1">
      <w:pPr>
        <w:tabs>
          <w:tab w:val="left" w:pos="360"/>
        </w:tabs>
        <w:jc w:val="both"/>
        <w:rPr>
          <w:rFonts w:ascii="Arial" w:hAnsi="Arial" w:cs="Arial"/>
          <w:bCs/>
          <w:iCs/>
          <w:sz w:val="22"/>
        </w:rPr>
      </w:pPr>
    </w:p>
    <w:p w:rsidR="006B6BCD" w:rsidRPr="00E03C07" w:rsidRDefault="00E03C07" w:rsidP="00537016">
      <w:pPr>
        <w:spacing w:after="120"/>
        <w:ind w:left="680" w:hanging="680"/>
        <w:jc w:val="both"/>
        <w:rPr>
          <w:rFonts w:ascii="Arial" w:hAnsi="Arial"/>
          <w:i/>
          <w:sz w:val="22"/>
        </w:rPr>
      </w:pPr>
      <w:r w:rsidRPr="007E0B51">
        <w:rPr>
          <w:rFonts w:ascii="Arial" w:hAnsi="Arial" w:cs="Arial"/>
          <w:b/>
          <w:sz w:val="18"/>
          <w:szCs w:val="18"/>
        </w:rPr>
        <w:t>Pozn.:</w:t>
      </w:r>
      <w:r w:rsidR="00EE0BAC">
        <w:rPr>
          <w:rFonts w:ascii="Arial" w:hAnsi="Arial" w:cs="Arial"/>
          <w:b/>
          <w:sz w:val="18"/>
          <w:szCs w:val="18"/>
        </w:rPr>
        <w:tab/>
      </w:r>
      <w:r w:rsidR="00317A25" w:rsidRPr="00A41C38">
        <w:rPr>
          <w:rFonts w:ascii="Arial" w:hAnsi="Arial" w:cs="Arial"/>
          <w:sz w:val="18"/>
          <w:szCs w:val="18"/>
        </w:rPr>
        <w:t xml:space="preserve">Všechny právní předpisy uváděné </w:t>
      </w:r>
      <w:r w:rsidR="00317A25">
        <w:rPr>
          <w:rFonts w:ascii="Arial" w:hAnsi="Arial" w:cs="Arial"/>
          <w:sz w:val="18"/>
          <w:szCs w:val="18"/>
        </w:rPr>
        <w:t>v </w:t>
      </w:r>
      <w:r w:rsidR="00317A25" w:rsidRPr="00A41C38">
        <w:rPr>
          <w:rFonts w:ascii="Arial" w:hAnsi="Arial" w:cs="Arial"/>
          <w:sz w:val="18"/>
          <w:szCs w:val="18"/>
        </w:rPr>
        <w:t>tomto kontrolním závěru jsou aplikovány ve znění účinném pro kontrolované období.</w:t>
      </w:r>
    </w:p>
    <w:p w:rsidR="00286C6E" w:rsidRDefault="00286C6E" w:rsidP="004401C1">
      <w:pPr>
        <w:pStyle w:val="Nadpis1"/>
        <w:jc w:val="center"/>
        <w:rPr>
          <w:rFonts w:ascii="Arial" w:hAnsi="Arial" w:cs="Arial"/>
          <w:u w:val="none"/>
        </w:rPr>
      </w:pPr>
      <w:r>
        <w:rPr>
          <w:rFonts w:ascii="Arial" w:hAnsi="Arial" w:cs="Arial"/>
          <w:u w:val="none"/>
        </w:rPr>
        <w:lastRenderedPageBreak/>
        <w:t>II. Skutečnosti zjištěné při kontrole</w:t>
      </w:r>
    </w:p>
    <w:p w:rsidR="005D555B" w:rsidRPr="004401C1" w:rsidRDefault="005D555B" w:rsidP="004401C1">
      <w:pPr>
        <w:rPr>
          <w:rFonts w:ascii="Arial" w:hAnsi="Arial" w:cs="Arial"/>
          <w:sz w:val="22"/>
          <w:szCs w:val="22"/>
        </w:rPr>
      </w:pPr>
    </w:p>
    <w:p w:rsidR="00286C6E" w:rsidRDefault="00A4663A" w:rsidP="004401C1">
      <w:pPr>
        <w:pStyle w:val="Nadpis2"/>
        <w:spacing w:before="0" w:after="0"/>
        <w:jc w:val="both"/>
        <w:rPr>
          <w:rFonts w:ascii="Arial" w:hAnsi="Arial" w:cs="Arial"/>
          <w:i w:val="0"/>
          <w:sz w:val="22"/>
          <w:szCs w:val="22"/>
        </w:rPr>
      </w:pPr>
      <w:bookmarkStart w:id="0" w:name="_MON_1413104824"/>
      <w:bookmarkStart w:id="1" w:name="_MON_1413104837"/>
      <w:bookmarkEnd w:id="0"/>
      <w:bookmarkEnd w:id="1"/>
      <w:r>
        <w:rPr>
          <w:rFonts w:ascii="Arial" w:hAnsi="Arial" w:cs="Arial"/>
          <w:i w:val="0"/>
          <w:sz w:val="22"/>
          <w:szCs w:val="22"/>
        </w:rPr>
        <w:t xml:space="preserve">1. </w:t>
      </w:r>
      <w:r w:rsidR="00286C6E" w:rsidRPr="00D30529">
        <w:rPr>
          <w:rFonts w:ascii="Arial" w:hAnsi="Arial" w:cs="Arial"/>
          <w:i w:val="0"/>
          <w:sz w:val="22"/>
          <w:szCs w:val="22"/>
        </w:rPr>
        <w:t>Cíle zavedení SVZ</w:t>
      </w:r>
    </w:p>
    <w:p w:rsidR="004572E3" w:rsidRPr="004401C1" w:rsidRDefault="004572E3" w:rsidP="004572E3">
      <w:pPr>
        <w:rPr>
          <w:rFonts w:ascii="Arial" w:hAnsi="Arial" w:cs="Arial"/>
          <w:sz w:val="22"/>
          <w:szCs w:val="22"/>
        </w:rPr>
      </w:pPr>
    </w:p>
    <w:p w:rsidR="00286C6E" w:rsidRDefault="00286C6E" w:rsidP="004401C1">
      <w:pPr>
        <w:jc w:val="both"/>
        <w:rPr>
          <w:rFonts w:ascii="Arial" w:hAnsi="Arial"/>
          <w:sz w:val="22"/>
        </w:rPr>
      </w:pPr>
      <w:r>
        <w:rPr>
          <w:rFonts w:ascii="Arial" w:hAnsi="Arial" w:cs="Arial"/>
          <w:sz w:val="22"/>
          <w:szCs w:val="22"/>
        </w:rPr>
        <w:t>Výkonové zpoplatnění bylo zavedeno</w:t>
      </w:r>
      <w:r>
        <w:rPr>
          <w:rStyle w:val="Znakypropoznmkupodarou"/>
          <w:rFonts w:ascii="Arial" w:hAnsi="Arial" w:cs="Arial"/>
          <w:sz w:val="22"/>
          <w:szCs w:val="22"/>
        </w:rPr>
        <w:footnoteReference w:id="8"/>
      </w:r>
      <w:r>
        <w:rPr>
          <w:rFonts w:ascii="Arial" w:hAnsi="Arial" w:cs="Arial"/>
          <w:sz w:val="22"/>
          <w:szCs w:val="22"/>
        </w:rPr>
        <w:t xml:space="preserve"> </w:t>
      </w:r>
      <w:r w:rsidR="007A1976">
        <w:rPr>
          <w:rFonts w:ascii="Arial" w:hAnsi="Arial" w:cs="Arial"/>
          <w:sz w:val="22"/>
          <w:szCs w:val="22"/>
        </w:rPr>
        <w:t>s </w:t>
      </w:r>
      <w:r>
        <w:rPr>
          <w:rFonts w:ascii="Arial" w:hAnsi="Arial" w:cs="Arial"/>
          <w:sz w:val="22"/>
          <w:szCs w:val="22"/>
        </w:rPr>
        <w:t>cílem dosáhnout užší vazby mezi rozsahem užívání pozemních komunikací a zpoplatněním (princip spravedlnosti) při zajištění rovnosti uživatelů zpoplatněných úseků, ochrany životního prostředí</w:t>
      </w:r>
      <w:r w:rsidR="0045291E">
        <w:rPr>
          <w:rFonts w:ascii="Arial" w:hAnsi="Arial" w:cs="Arial"/>
          <w:sz w:val="22"/>
          <w:szCs w:val="22"/>
        </w:rPr>
        <w:t>,</w:t>
      </w:r>
      <w:r>
        <w:rPr>
          <w:rFonts w:ascii="Arial" w:hAnsi="Arial" w:cs="Arial"/>
          <w:sz w:val="22"/>
          <w:szCs w:val="22"/>
        </w:rPr>
        <w:t xml:space="preserve"> při zachování </w:t>
      </w:r>
      <w:r w:rsidR="00892E3D">
        <w:rPr>
          <w:rFonts w:ascii="Arial" w:hAnsi="Arial" w:cs="Arial"/>
          <w:sz w:val="22"/>
        </w:rPr>
        <w:t>principu hospodárnosti a </w:t>
      </w:r>
      <w:r>
        <w:rPr>
          <w:rFonts w:ascii="Arial" w:hAnsi="Arial" w:cs="Arial"/>
          <w:sz w:val="22"/>
        </w:rPr>
        <w:t>účelnosti fungování veřejné správy</w:t>
      </w:r>
      <w:r>
        <w:rPr>
          <w:rFonts w:ascii="Arial" w:hAnsi="Arial" w:cs="Arial"/>
          <w:sz w:val="22"/>
          <w:szCs w:val="22"/>
        </w:rPr>
        <w:t xml:space="preserve">. </w:t>
      </w:r>
      <w:r w:rsidR="00584C51" w:rsidRPr="00584C51">
        <w:rPr>
          <w:rFonts w:ascii="Arial" w:hAnsi="Arial" w:cs="Arial"/>
          <w:sz w:val="22"/>
          <w:szCs w:val="22"/>
        </w:rPr>
        <w:t>Ve studiích a návrzích pro zavedení SVZ byl kladen důraz na levnost, výnosnost, efektivitu a vynutitelnost SVZ při eliminaci rizik nevhodně nastavených parametrů a zadávacích podmínek.</w:t>
      </w:r>
      <w:r w:rsidR="00584C51">
        <w:rPr>
          <w:rFonts w:ascii="Arial" w:hAnsi="Arial" w:cs="Arial"/>
          <w:sz w:val="22"/>
          <w:szCs w:val="22"/>
        </w:rPr>
        <w:t xml:space="preserve"> </w:t>
      </w:r>
      <w:r w:rsidRPr="00351D7B">
        <w:rPr>
          <w:rFonts w:ascii="Arial" w:hAnsi="Arial" w:cs="Arial"/>
          <w:sz w:val="22"/>
          <w:szCs w:val="22"/>
        </w:rPr>
        <w:t xml:space="preserve">Mělo </w:t>
      </w:r>
      <w:r w:rsidR="00023EFD" w:rsidRPr="00351D7B">
        <w:rPr>
          <w:rFonts w:ascii="Arial" w:hAnsi="Arial" w:cs="Arial"/>
          <w:sz w:val="22"/>
          <w:szCs w:val="22"/>
        </w:rPr>
        <w:t>dojít ke</w:t>
      </w:r>
      <w:r w:rsidR="00A4663A">
        <w:rPr>
          <w:rFonts w:ascii="Arial" w:hAnsi="Arial" w:cs="Arial"/>
          <w:sz w:val="22"/>
          <w:szCs w:val="22"/>
        </w:rPr>
        <w:t xml:space="preserve"> </w:t>
      </w:r>
      <w:r w:rsidR="00023EFD" w:rsidRPr="00351D7B">
        <w:rPr>
          <w:rFonts w:ascii="Arial" w:hAnsi="Arial" w:cs="Arial"/>
          <w:sz w:val="22"/>
          <w:szCs w:val="22"/>
        </w:rPr>
        <w:t>2</w:t>
      </w:r>
      <w:r w:rsidR="00397B50">
        <w:rPr>
          <w:rFonts w:ascii="Arial" w:hAnsi="Arial" w:cs="Arial"/>
          <w:sz w:val="22"/>
          <w:szCs w:val="22"/>
        </w:rPr>
        <w:t>-</w:t>
      </w:r>
      <w:r w:rsidR="00023EFD" w:rsidRPr="00351D7B">
        <w:rPr>
          <w:rFonts w:ascii="Arial" w:hAnsi="Arial" w:cs="Arial"/>
          <w:sz w:val="22"/>
          <w:szCs w:val="22"/>
        </w:rPr>
        <w:t xml:space="preserve"> až</w:t>
      </w:r>
      <w:r w:rsidR="00831B3A" w:rsidRPr="00351D7B">
        <w:rPr>
          <w:rFonts w:ascii="Arial" w:hAnsi="Arial" w:cs="Arial"/>
          <w:sz w:val="22"/>
          <w:szCs w:val="22"/>
        </w:rPr>
        <w:t xml:space="preserve"> </w:t>
      </w:r>
      <w:r w:rsidRPr="00351D7B">
        <w:rPr>
          <w:rFonts w:ascii="Arial" w:hAnsi="Arial" w:cs="Arial"/>
          <w:sz w:val="22"/>
          <w:szCs w:val="22"/>
        </w:rPr>
        <w:t>3násobnému zvýšení čistých vý</w:t>
      </w:r>
      <w:r w:rsidR="00E04F5A" w:rsidRPr="00351D7B">
        <w:rPr>
          <w:rFonts w:ascii="Arial" w:hAnsi="Arial" w:cs="Arial"/>
          <w:sz w:val="22"/>
          <w:szCs w:val="22"/>
        </w:rPr>
        <w:t>nosů proti časovému zpoplatnění.</w:t>
      </w:r>
      <w:r>
        <w:rPr>
          <w:rFonts w:ascii="Arial" w:hAnsi="Arial" w:cs="Arial"/>
          <w:sz w:val="22"/>
          <w:szCs w:val="22"/>
        </w:rPr>
        <w:t xml:space="preserve"> </w:t>
      </w:r>
      <w:r w:rsidR="00E04F5A">
        <w:rPr>
          <w:rFonts w:ascii="Arial" w:hAnsi="Arial" w:cs="Arial"/>
          <w:sz w:val="22"/>
          <w:szCs w:val="22"/>
        </w:rPr>
        <w:t>Z</w:t>
      </w:r>
      <w:r>
        <w:rPr>
          <w:rFonts w:ascii="Arial" w:hAnsi="Arial" w:cs="Arial"/>
          <w:sz w:val="22"/>
          <w:szCs w:val="22"/>
        </w:rPr>
        <w:t xml:space="preserve">ískané finanční prostředky </w:t>
      </w:r>
      <w:r w:rsidR="00A262CD">
        <w:rPr>
          <w:rFonts w:ascii="Arial" w:hAnsi="Arial" w:cs="Arial"/>
          <w:sz w:val="22"/>
          <w:szCs w:val="22"/>
        </w:rPr>
        <w:t xml:space="preserve">měly být </w:t>
      </w:r>
      <w:r w:rsidR="00A4663A">
        <w:rPr>
          <w:rFonts w:ascii="Arial" w:hAnsi="Arial" w:cs="Arial"/>
          <w:sz w:val="22"/>
          <w:szCs w:val="22"/>
        </w:rPr>
        <w:t xml:space="preserve">investovány </w:t>
      </w:r>
      <w:r>
        <w:rPr>
          <w:rFonts w:ascii="Arial" w:hAnsi="Arial" w:cs="Arial"/>
          <w:sz w:val="22"/>
          <w:szCs w:val="22"/>
        </w:rPr>
        <w:t>do výstavby a údržby pozemních komunikací. Dalším důvodem</w:t>
      </w:r>
      <w:r>
        <w:rPr>
          <w:rFonts w:ascii="Arial" w:hAnsi="Arial"/>
          <w:sz w:val="22"/>
        </w:rPr>
        <w:t xml:space="preserve"> </w:t>
      </w:r>
      <w:r w:rsidR="00A4663A">
        <w:rPr>
          <w:rFonts w:ascii="Arial" w:hAnsi="Arial"/>
          <w:sz w:val="22"/>
        </w:rPr>
        <w:t xml:space="preserve">pro realizaci SVZ </w:t>
      </w:r>
      <w:r>
        <w:rPr>
          <w:rFonts w:ascii="Arial" w:hAnsi="Arial"/>
          <w:sz w:val="22"/>
        </w:rPr>
        <w:t xml:space="preserve">byl </w:t>
      </w:r>
      <w:r>
        <w:rPr>
          <w:rFonts w:ascii="Arial" w:hAnsi="Arial" w:cs="Arial"/>
          <w:sz w:val="22"/>
          <w:szCs w:val="22"/>
        </w:rPr>
        <w:t>výrazný</w:t>
      </w:r>
      <w:r>
        <w:rPr>
          <w:rFonts w:ascii="Arial" w:hAnsi="Arial"/>
          <w:sz w:val="22"/>
        </w:rPr>
        <w:t xml:space="preserve"> nárůst užívání pozemních komunikací</w:t>
      </w:r>
      <w:r>
        <w:rPr>
          <w:rFonts w:ascii="Arial" w:hAnsi="Arial" w:cs="Arial"/>
          <w:sz w:val="22"/>
          <w:szCs w:val="22"/>
        </w:rPr>
        <w:t xml:space="preserve"> </w:t>
      </w:r>
      <w:r w:rsidR="007A1976">
        <w:rPr>
          <w:rFonts w:ascii="Arial" w:hAnsi="Arial" w:cs="Arial"/>
          <w:sz w:val="22"/>
          <w:szCs w:val="22"/>
        </w:rPr>
        <w:t>s </w:t>
      </w:r>
      <w:r>
        <w:rPr>
          <w:rFonts w:ascii="Arial" w:hAnsi="Arial" w:cs="Arial"/>
          <w:sz w:val="22"/>
          <w:szCs w:val="22"/>
        </w:rPr>
        <w:t>průvodními negativními vlivy</w:t>
      </w:r>
      <w:r>
        <w:rPr>
          <w:rFonts w:ascii="Arial" w:hAnsi="Arial"/>
          <w:sz w:val="22"/>
        </w:rPr>
        <w:t xml:space="preserve">, a to hlavně </w:t>
      </w:r>
      <w:r w:rsidR="00A4663A">
        <w:rPr>
          <w:rFonts w:ascii="Arial" w:hAnsi="Arial"/>
          <w:sz w:val="22"/>
        </w:rPr>
        <w:t xml:space="preserve">v důsledku zintenzivnění </w:t>
      </w:r>
      <w:r>
        <w:rPr>
          <w:rFonts w:ascii="Arial" w:hAnsi="Arial"/>
          <w:sz w:val="22"/>
        </w:rPr>
        <w:t>mezinárodní tranzitní kamionov</w:t>
      </w:r>
      <w:r w:rsidR="00A4663A">
        <w:rPr>
          <w:rFonts w:ascii="Arial" w:hAnsi="Arial"/>
          <w:sz w:val="22"/>
        </w:rPr>
        <w:t>é</w:t>
      </w:r>
      <w:r>
        <w:rPr>
          <w:rFonts w:ascii="Arial" w:hAnsi="Arial"/>
          <w:sz w:val="22"/>
        </w:rPr>
        <w:t xml:space="preserve"> doprav</w:t>
      </w:r>
      <w:r w:rsidR="00A4663A">
        <w:rPr>
          <w:rFonts w:ascii="Arial" w:hAnsi="Arial"/>
          <w:sz w:val="22"/>
        </w:rPr>
        <w:t>y</w:t>
      </w:r>
      <w:r>
        <w:rPr>
          <w:rFonts w:ascii="Arial" w:hAnsi="Arial" w:cs="Arial"/>
          <w:sz w:val="22"/>
          <w:szCs w:val="22"/>
        </w:rPr>
        <w:t>.</w:t>
      </w:r>
    </w:p>
    <w:p w:rsidR="005D555B" w:rsidRDefault="005D555B" w:rsidP="004401C1">
      <w:pPr>
        <w:jc w:val="both"/>
        <w:rPr>
          <w:rFonts w:ascii="Arial" w:hAnsi="Arial"/>
          <w:sz w:val="22"/>
        </w:rPr>
      </w:pPr>
    </w:p>
    <w:p w:rsidR="009F3DD9" w:rsidRDefault="00351D7B" w:rsidP="00BE7A1F">
      <w:pPr>
        <w:pStyle w:val="normlnmezera"/>
        <w:spacing w:before="0"/>
      </w:pPr>
      <w:r>
        <w:t>Ve studiích, které byly podkladem pro zavedení SVZ, dosahovala uvažovaná nákladovost v závislosti na zp</w:t>
      </w:r>
      <w:r w:rsidR="00230885">
        <w:t>ůsobu a rozsahu zpoplatnění 10</w:t>
      </w:r>
      <w:r w:rsidR="00A4663A">
        <w:t xml:space="preserve"> až </w:t>
      </w:r>
      <w:r>
        <w:t>40 %.</w:t>
      </w:r>
      <w:r w:rsidR="009F3DD9">
        <w:t xml:space="preserve"> </w:t>
      </w:r>
    </w:p>
    <w:p w:rsidR="00BE7A1F" w:rsidRDefault="00BE7A1F" w:rsidP="00BE7A1F">
      <w:pPr>
        <w:suppressAutoHyphens w:val="0"/>
        <w:jc w:val="both"/>
        <w:rPr>
          <w:rFonts w:ascii="Arial" w:eastAsia="Calibri" w:hAnsi="Arial" w:cs="Times New Roman"/>
          <w:sz w:val="22"/>
          <w:szCs w:val="20"/>
          <w:lang w:eastAsia="cs-CZ"/>
        </w:rPr>
      </w:pPr>
    </w:p>
    <w:p w:rsidR="009F3DD9" w:rsidRPr="005270E3" w:rsidRDefault="0006701D" w:rsidP="00397B50">
      <w:pPr>
        <w:tabs>
          <w:tab w:val="right" w:pos="9072"/>
        </w:tabs>
        <w:suppressAutoHyphens w:val="0"/>
        <w:jc w:val="both"/>
        <w:rPr>
          <w:rFonts w:ascii="Arial" w:eastAsia="Calibri" w:hAnsi="Arial" w:cs="Times New Roman"/>
          <w:b/>
          <w:sz w:val="22"/>
          <w:szCs w:val="20"/>
          <w:lang w:eastAsia="cs-CZ"/>
        </w:rPr>
      </w:pPr>
      <w:r w:rsidRPr="005270E3">
        <w:rPr>
          <w:rFonts w:ascii="Arial" w:eastAsia="Calibri" w:hAnsi="Arial" w:cs="Times New Roman"/>
          <w:b/>
          <w:sz w:val="22"/>
          <w:szCs w:val="20"/>
          <w:lang w:eastAsia="cs-CZ"/>
        </w:rPr>
        <w:t>Tabulka</w:t>
      </w:r>
      <w:r w:rsidR="009F3DD9" w:rsidRPr="005270E3">
        <w:rPr>
          <w:rFonts w:ascii="Arial" w:eastAsia="Calibri" w:hAnsi="Arial" w:cs="Times New Roman"/>
          <w:b/>
          <w:sz w:val="22"/>
          <w:szCs w:val="20"/>
          <w:lang w:eastAsia="cs-CZ"/>
        </w:rPr>
        <w:t xml:space="preserve"> č. 1 </w:t>
      </w:r>
      <w:r w:rsidR="00230885" w:rsidRPr="005270E3">
        <w:rPr>
          <w:rFonts w:ascii="Arial" w:eastAsia="Calibri" w:hAnsi="Arial" w:cs="Times New Roman"/>
          <w:b/>
          <w:sz w:val="22"/>
          <w:szCs w:val="20"/>
          <w:lang w:eastAsia="cs-CZ"/>
        </w:rPr>
        <w:t>–</w:t>
      </w:r>
      <w:r w:rsidR="009F3DD9" w:rsidRPr="005270E3">
        <w:rPr>
          <w:rFonts w:ascii="Arial" w:eastAsia="Calibri" w:hAnsi="Arial" w:cs="Times New Roman"/>
          <w:b/>
          <w:sz w:val="22"/>
          <w:szCs w:val="20"/>
          <w:lang w:eastAsia="cs-CZ"/>
        </w:rPr>
        <w:t xml:space="preserve"> Přehled </w:t>
      </w:r>
      <w:r w:rsidR="00A4663A" w:rsidRPr="005270E3">
        <w:rPr>
          <w:rFonts w:ascii="Arial" w:eastAsia="Calibri" w:hAnsi="Arial" w:cs="Times New Roman"/>
          <w:b/>
          <w:sz w:val="22"/>
          <w:szCs w:val="20"/>
          <w:lang w:eastAsia="cs-CZ"/>
        </w:rPr>
        <w:t xml:space="preserve">mýtného </w:t>
      </w:r>
      <w:r w:rsidR="009F3DD9" w:rsidRPr="005270E3">
        <w:rPr>
          <w:rFonts w:ascii="Arial" w:eastAsia="Calibri" w:hAnsi="Arial" w:cs="Times New Roman"/>
          <w:b/>
          <w:sz w:val="22"/>
          <w:szCs w:val="20"/>
          <w:lang w:eastAsia="cs-CZ"/>
        </w:rPr>
        <w:t>evidovaného</w:t>
      </w:r>
      <w:r w:rsidR="00A4663A">
        <w:rPr>
          <w:rFonts w:ascii="Arial" w:eastAsia="Calibri" w:hAnsi="Arial" w:cs="Times New Roman"/>
          <w:b/>
          <w:sz w:val="22"/>
          <w:szCs w:val="20"/>
          <w:lang w:eastAsia="cs-CZ"/>
        </w:rPr>
        <w:t xml:space="preserve"> u</w:t>
      </w:r>
      <w:r w:rsidR="009F3DD9" w:rsidRPr="005270E3">
        <w:rPr>
          <w:rFonts w:ascii="Arial" w:eastAsia="Calibri" w:hAnsi="Arial" w:cs="Times New Roman"/>
          <w:b/>
          <w:sz w:val="22"/>
          <w:szCs w:val="20"/>
          <w:lang w:eastAsia="cs-CZ"/>
        </w:rPr>
        <w:t xml:space="preserve"> ŘSD a v účetnictví SFDI</w:t>
      </w:r>
      <w:r w:rsidR="00397B50">
        <w:rPr>
          <w:rFonts w:ascii="Arial" w:eastAsia="Calibri" w:hAnsi="Arial" w:cs="Times New Roman"/>
          <w:b/>
          <w:sz w:val="22"/>
          <w:szCs w:val="20"/>
          <w:lang w:eastAsia="cs-CZ"/>
        </w:rPr>
        <w:tab/>
      </w:r>
      <w:r w:rsidR="00EE0BAC" w:rsidRPr="005270E3">
        <w:rPr>
          <w:rFonts w:ascii="Arial" w:eastAsia="Calibri" w:hAnsi="Arial" w:cs="Times New Roman"/>
          <w:b/>
          <w:sz w:val="22"/>
          <w:szCs w:val="20"/>
          <w:lang w:eastAsia="cs-CZ"/>
        </w:rPr>
        <w:t>(</w:t>
      </w:r>
      <w:r w:rsidR="009F3DD9" w:rsidRPr="005270E3">
        <w:rPr>
          <w:rFonts w:ascii="Arial" w:eastAsia="Calibri" w:hAnsi="Arial" w:cs="Times New Roman"/>
          <w:b/>
          <w:sz w:val="22"/>
          <w:szCs w:val="20"/>
          <w:lang w:eastAsia="cs-CZ"/>
        </w:rPr>
        <w:t>v tis. Kč</w:t>
      </w:r>
      <w:r w:rsidR="00EE0BAC" w:rsidRPr="005270E3">
        <w:rPr>
          <w:rFonts w:ascii="Arial" w:eastAsia="Calibri" w:hAnsi="Arial" w:cs="Times New Roman"/>
          <w:b/>
          <w:sz w:val="22"/>
          <w:szCs w:val="20"/>
          <w:lang w:eastAsia="cs-CZ"/>
        </w:rPr>
        <w:t>)</w:t>
      </w:r>
      <w:r w:rsidR="009F3DD9" w:rsidRPr="005270E3">
        <w:rPr>
          <w:rFonts w:ascii="Arial" w:eastAsia="Calibri" w:hAnsi="Arial" w:cs="Times New Roman"/>
          <w:b/>
          <w:sz w:val="22"/>
          <w:szCs w:val="20"/>
          <w:lang w:eastAsia="cs-CZ"/>
        </w:rPr>
        <w:t xml:space="preserve"> </w:t>
      </w:r>
    </w:p>
    <w:tbl>
      <w:tblPr>
        <w:tblpPr w:leftFromText="141" w:rightFromText="141" w:vertAnchor="text" w:tblpX="55" w:tblpY="1"/>
        <w:tblOverlap w:val="never"/>
        <w:tblW w:w="9142" w:type="dxa"/>
        <w:tblLayout w:type="fixed"/>
        <w:tblCellMar>
          <w:left w:w="70" w:type="dxa"/>
          <w:right w:w="70" w:type="dxa"/>
        </w:tblCellMar>
        <w:tblLook w:val="04A0" w:firstRow="1" w:lastRow="0" w:firstColumn="1" w:lastColumn="0" w:noHBand="0" w:noVBand="1"/>
      </w:tblPr>
      <w:tblGrid>
        <w:gridCol w:w="1433"/>
        <w:gridCol w:w="1927"/>
        <w:gridCol w:w="1927"/>
        <w:gridCol w:w="1927"/>
        <w:gridCol w:w="1928"/>
      </w:tblGrid>
      <w:tr w:rsidR="00F410C6" w:rsidRPr="00F410C6" w:rsidTr="004572E3">
        <w:trPr>
          <w:trHeight w:val="553"/>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ind w:right="159"/>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Období</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Příjmy z mýtného dle účetnictví SFDI</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Spotřebované mýtné</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Předepsané mýtné</w:t>
            </w:r>
          </w:p>
        </w:tc>
        <w:tc>
          <w:tcPr>
            <w:tcW w:w="1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Celkové náklady SVZ</w:t>
            </w:r>
          </w:p>
        </w:tc>
      </w:tr>
      <w:tr w:rsidR="00F410C6" w:rsidRPr="00F410C6" w:rsidTr="004572E3">
        <w:trPr>
          <w:trHeight w:val="22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F410C6" w:rsidRPr="005270E3" w:rsidRDefault="00F410C6" w:rsidP="00F410C6">
            <w:pPr>
              <w:suppressAutoHyphens w:val="0"/>
              <w:rPr>
                <w:rFonts w:ascii="Arial" w:hAnsi="Arial" w:cs="Arial"/>
                <w:b/>
                <w:bCs/>
                <w:color w:val="000000"/>
                <w:sz w:val="18"/>
                <w:szCs w:val="18"/>
                <w:lang w:eastAsia="cs-CZ"/>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410C6" w:rsidRPr="005270E3" w:rsidRDefault="00F410C6" w:rsidP="00F410C6">
            <w:pPr>
              <w:suppressAutoHyphens w:val="0"/>
              <w:rPr>
                <w:rFonts w:ascii="Arial" w:hAnsi="Arial" w:cs="Arial"/>
                <w:b/>
                <w:bCs/>
                <w:color w:val="000000"/>
                <w:sz w:val="18"/>
                <w:szCs w:val="18"/>
                <w:lang w:eastAsia="cs-CZ"/>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410C6" w:rsidRPr="005270E3" w:rsidRDefault="00F410C6" w:rsidP="00F410C6">
            <w:pPr>
              <w:suppressAutoHyphens w:val="0"/>
              <w:rPr>
                <w:rFonts w:ascii="Arial" w:hAnsi="Arial" w:cs="Arial"/>
                <w:b/>
                <w:bCs/>
                <w:color w:val="000000"/>
                <w:sz w:val="18"/>
                <w:szCs w:val="18"/>
                <w:lang w:eastAsia="cs-CZ"/>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410C6" w:rsidRPr="005270E3" w:rsidRDefault="00F410C6" w:rsidP="00F410C6">
            <w:pPr>
              <w:suppressAutoHyphens w:val="0"/>
              <w:rPr>
                <w:rFonts w:ascii="Arial" w:hAnsi="Arial" w:cs="Arial"/>
                <w:b/>
                <w:bCs/>
                <w:color w:val="000000"/>
                <w:sz w:val="18"/>
                <w:szCs w:val="18"/>
                <w:lang w:eastAsia="cs-CZ"/>
              </w:rPr>
            </w:pPr>
          </w:p>
        </w:tc>
        <w:tc>
          <w:tcPr>
            <w:tcW w:w="1928" w:type="dxa"/>
            <w:vMerge/>
            <w:tcBorders>
              <w:top w:val="single" w:sz="4" w:space="0" w:color="auto"/>
              <w:left w:val="single" w:sz="4" w:space="0" w:color="auto"/>
              <w:bottom w:val="single" w:sz="4" w:space="0" w:color="000000"/>
              <w:right w:val="single" w:sz="4" w:space="0" w:color="auto"/>
            </w:tcBorders>
            <w:vAlign w:val="center"/>
            <w:hideMark/>
          </w:tcPr>
          <w:p w:rsidR="00F410C6" w:rsidRPr="005270E3" w:rsidRDefault="00F410C6" w:rsidP="00F410C6">
            <w:pPr>
              <w:suppressAutoHyphens w:val="0"/>
              <w:rPr>
                <w:rFonts w:ascii="Arial" w:hAnsi="Arial" w:cs="Arial"/>
                <w:b/>
                <w:bCs/>
                <w:color w:val="000000"/>
                <w:sz w:val="18"/>
                <w:szCs w:val="18"/>
                <w:lang w:eastAsia="cs-CZ"/>
              </w:rPr>
            </w:pPr>
          </w:p>
        </w:tc>
      </w:tr>
      <w:tr w:rsidR="00F410C6" w:rsidRPr="00F410C6" w:rsidTr="004401C1">
        <w:trPr>
          <w:trHeight w:val="58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 xml:space="preserve">Náklady na přípravu SVZ </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 </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 </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center"/>
              <w:rPr>
                <w:rFonts w:ascii="Arial" w:hAnsi="Arial" w:cs="Arial"/>
                <w:b/>
                <w:bCs/>
                <w:color w:val="000000"/>
                <w:sz w:val="18"/>
                <w:szCs w:val="18"/>
                <w:lang w:eastAsia="cs-CZ"/>
              </w:rPr>
            </w:pPr>
            <w:r w:rsidRPr="005270E3">
              <w:rPr>
                <w:rFonts w:ascii="Arial" w:hAnsi="Arial" w:cs="Arial"/>
                <w:b/>
                <w:bCs/>
                <w:color w:val="000000"/>
                <w:sz w:val="18"/>
                <w:szCs w:val="18"/>
                <w:lang w:eastAsia="cs-CZ"/>
              </w:rPr>
              <w:t> </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139 739</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2007</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5 120 518</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5 565 278</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5 558 340</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1 912 913</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2008</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6 009 367</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6 144 152</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6 134 851</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3 427 227</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2009</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5 440 064</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5 543 272</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5 536 155</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4 752 937</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2010</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6 244 507</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6 574 441</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6 565 113</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2 758 609</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2011</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8 482 584</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8 126 017</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8 111 964</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color w:val="000000"/>
                <w:sz w:val="18"/>
                <w:szCs w:val="18"/>
                <w:lang w:eastAsia="cs-CZ"/>
              </w:rPr>
            </w:pPr>
            <w:r w:rsidRPr="005270E3">
              <w:rPr>
                <w:rFonts w:ascii="Arial" w:hAnsi="Arial" w:cs="Arial"/>
                <w:color w:val="000000"/>
                <w:sz w:val="18"/>
                <w:szCs w:val="18"/>
                <w:lang w:eastAsia="cs-CZ"/>
              </w:rPr>
              <w:t>2 623 375</w:t>
            </w:r>
          </w:p>
        </w:tc>
      </w:tr>
      <w:tr w:rsidR="00F410C6" w:rsidRPr="00F410C6" w:rsidTr="004401C1">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410C6" w:rsidRPr="005270E3" w:rsidRDefault="00F410C6" w:rsidP="004401C1">
            <w:pPr>
              <w:suppressAutoHyphens w:val="0"/>
              <w:rPr>
                <w:rFonts w:ascii="Arial" w:hAnsi="Arial" w:cs="Arial"/>
                <w:b/>
                <w:bCs/>
                <w:color w:val="000000"/>
                <w:sz w:val="18"/>
                <w:szCs w:val="18"/>
                <w:lang w:eastAsia="cs-CZ"/>
              </w:rPr>
            </w:pPr>
            <w:r w:rsidRPr="005270E3">
              <w:rPr>
                <w:rFonts w:ascii="Arial" w:hAnsi="Arial" w:cs="Arial"/>
                <w:b/>
                <w:bCs/>
                <w:color w:val="000000"/>
                <w:sz w:val="18"/>
                <w:szCs w:val="18"/>
                <w:lang w:eastAsia="cs-CZ"/>
              </w:rPr>
              <w:t>Celkem</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b/>
                <w:bCs/>
                <w:color w:val="000000"/>
                <w:sz w:val="18"/>
                <w:szCs w:val="18"/>
                <w:lang w:eastAsia="cs-CZ"/>
              </w:rPr>
            </w:pPr>
            <w:r w:rsidRPr="005270E3">
              <w:rPr>
                <w:rFonts w:ascii="Arial" w:hAnsi="Arial" w:cs="Arial"/>
                <w:b/>
                <w:bCs/>
                <w:color w:val="000000"/>
                <w:sz w:val="18"/>
                <w:szCs w:val="18"/>
                <w:lang w:eastAsia="cs-CZ"/>
              </w:rPr>
              <w:t>31 297 040</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b/>
                <w:bCs/>
                <w:color w:val="000000"/>
                <w:sz w:val="18"/>
                <w:szCs w:val="18"/>
                <w:lang w:eastAsia="cs-CZ"/>
              </w:rPr>
            </w:pPr>
            <w:r w:rsidRPr="005270E3">
              <w:rPr>
                <w:rFonts w:ascii="Arial" w:hAnsi="Arial" w:cs="Arial"/>
                <w:b/>
                <w:bCs/>
                <w:color w:val="000000"/>
                <w:sz w:val="18"/>
                <w:szCs w:val="18"/>
                <w:lang w:eastAsia="cs-CZ"/>
              </w:rPr>
              <w:t>31 953 160</w:t>
            </w:r>
          </w:p>
        </w:tc>
        <w:tc>
          <w:tcPr>
            <w:tcW w:w="1927"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b/>
                <w:bCs/>
                <w:color w:val="000000"/>
                <w:sz w:val="18"/>
                <w:szCs w:val="18"/>
                <w:lang w:eastAsia="cs-CZ"/>
              </w:rPr>
            </w:pPr>
            <w:r w:rsidRPr="005270E3">
              <w:rPr>
                <w:rFonts w:ascii="Arial" w:hAnsi="Arial" w:cs="Arial"/>
                <w:b/>
                <w:bCs/>
                <w:color w:val="000000"/>
                <w:sz w:val="18"/>
                <w:szCs w:val="18"/>
                <w:lang w:eastAsia="cs-CZ"/>
              </w:rPr>
              <w:t>31 906 423</w:t>
            </w:r>
          </w:p>
        </w:tc>
        <w:tc>
          <w:tcPr>
            <w:tcW w:w="1928" w:type="dxa"/>
            <w:tcBorders>
              <w:top w:val="nil"/>
              <w:left w:val="nil"/>
              <w:bottom w:val="single" w:sz="4" w:space="0" w:color="auto"/>
              <w:right w:val="single" w:sz="4" w:space="0" w:color="auto"/>
            </w:tcBorders>
            <w:shd w:val="clear" w:color="auto" w:fill="auto"/>
            <w:vAlign w:val="center"/>
            <w:hideMark/>
          </w:tcPr>
          <w:p w:rsidR="00F410C6" w:rsidRPr="005270E3" w:rsidRDefault="00F410C6" w:rsidP="00F410C6">
            <w:pPr>
              <w:suppressAutoHyphens w:val="0"/>
              <w:jc w:val="right"/>
              <w:rPr>
                <w:rFonts w:ascii="Arial" w:hAnsi="Arial" w:cs="Arial"/>
                <w:b/>
                <w:bCs/>
                <w:color w:val="000000"/>
                <w:sz w:val="18"/>
                <w:szCs w:val="18"/>
                <w:lang w:eastAsia="cs-CZ"/>
              </w:rPr>
            </w:pPr>
            <w:r w:rsidRPr="005270E3">
              <w:rPr>
                <w:rFonts w:ascii="Arial" w:hAnsi="Arial" w:cs="Arial"/>
                <w:b/>
                <w:bCs/>
                <w:color w:val="000000"/>
                <w:sz w:val="18"/>
                <w:szCs w:val="18"/>
                <w:lang w:eastAsia="cs-CZ"/>
              </w:rPr>
              <w:t>15 614 800</w:t>
            </w:r>
          </w:p>
        </w:tc>
      </w:tr>
    </w:tbl>
    <w:p w:rsidR="009F3DD9" w:rsidRPr="00C12ABC" w:rsidRDefault="009F3DD9" w:rsidP="004401C1">
      <w:pPr>
        <w:tabs>
          <w:tab w:val="left" w:pos="709"/>
        </w:tabs>
        <w:suppressAutoHyphens w:val="0"/>
        <w:jc w:val="both"/>
        <w:rPr>
          <w:rFonts w:ascii="Arial" w:eastAsia="Calibri" w:hAnsi="Arial" w:cs="Times New Roman"/>
          <w:sz w:val="18"/>
          <w:szCs w:val="18"/>
          <w:lang w:eastAsia="cs-CZ"/>
        </w:rPr>
      </w:pPr>
      <w:r w:rsidRPr="00CF0582">
        <w:rPr>
          <w:rFonts w:ascii="Arial" w:eastAsia="Calibri" w:hAnsi="Arial" w:cs="Times New Roman"/>
          <w:b/>
          <w:sz w:val="18"/>
          <w:szCs w:val="18"/>
          <w:lang w:eastAsia="cs-CZ"/>
        </w:rPr>
        <w:t>Zdroj:</w:t>
      </w:r>
      <w:r w:rsidRPr="00C12ABC">
        <w:rPr>
          <w:rFonts w:ascii="Arial" w:eastAsia="Calibri" w:hAnsi="Arial" w:cs="Times New Roman"/>
          <w:sz w:val="18"/>
          <w:szCs w:val="18"/>
          <w:lang w:eastAsia="cs-CZ"/>
        </w:rPr>
        <w:t xml:space="preserve"> </w:t>
      </w:r>
      <w:r w:rsidR="00DD44EF">
        <w:rPr>
          <w:rFonts w:ascii="Arial" w:eastAsia="Calibri" w:hAnsi="Arial" w:cs="Times New Roman"/>
          <w:sz w:val="18"/>
          <w:szCs w:val="18"/>
          <w:lang w:eastAsia="cs-CZ"/>
        </w:rPr>
        <w:tab/>
      </w:r>
      <w:r w:rsidR="00C02D02" w:rsidRPr="00C12ABC">
        <w:rPr>
          <w:rFonts w:ascii="Arial" w:eastAsia="Calibri" w:hAnsi="Arial" w:cs="Times New Roman"/>
          <w:sz w:val="18"/>
          <w:szCs w:val="18"/>
          <w:lang w:eastAsia="cs-CZ"/>
        </w:rPr>
        <w:t>ŘSD, SFDI</w:t>
      </w:r>
      <w:r w:rsidR="00CF0582">
        <w:rPr>
          <w:rFonts w:ascii="Arial" w:eastAsia="Calibri" w:hAnsi="Arial" w:cs="Times New Roman"/>
          <w:sz w:val="18"/>
          <w:szCs w:val="18"/>
          <w:lang w:eastAsia="cs-CZ"/>
        </w:rPr>
        <w:t>.</w:t>
      </w:r>
      <w:r w:rsidR="00C02D02" w:rsidRPr="00C12ABC">
        <w:rPr>
          <w:rFonts w:ascii="Arial" w:eastAsia="Calibri" w:hAnsi="Arial" w:cs="Times New Roman"/>
          <w:sz w:val="18"/>
          <w:szCs w:val="18"/>
          <w:lang w:eastAsia="cs-CZ"/>
        </w:rPr>
        <w:t xml:space="preserve"> </w:t>
      </w:r>
    </w:p>
    <w:p w:rsidR="00C85D0F" w:rsidRPr="009F3DD9" w:rsidRDefault="00230885" w:rsidP="004401C1">
      <w:pPr>
        <w:suppressAutoHyphens w:val="0"/>
        <w:ind w:left="709" w:hanging="709"/>
        <w:jc w:val="both"/>
        <w:rPr>
          <w:rFonts w:ascii="Arial" w:eastAsia="Calibri" w:hAnsi="Arial" w:cs="Times New Roman"/>
          <w:sz w:val="18"/>
          <w:szCs w:val="18"/>
          <w:lang w:eastAsia="cs-CZ"/>
        </w:rPr>
      </w:pPr>
      <w:r w:rsidRPr="00CF0582">
        <w:rPr>
          <w:rFonts w:ascii="Arial" w:eastAsia="Calibri" w:hAnsi="Arial" w:cs="Times New Roman"/>
          <w:b/>
          <w:sz w:val="18"/>
          <w:szCs w:val="18"/>
          <w:lang w:eastAsia="cs-CZ"/>
        </w:rPr>
        <w:t>Pozn.:</w:t>
      </w:r>
      <w:r w:rsidR="00C85D0F" w:rsidRPr="00C85D0F">
        <w:rPr>
          <w:rFonts w:ascii="Arial" w:eastAsia="Calibri" w:hAnsi="Arial" w:cs="Times New Roman"/>
          <w:sz w:val="18"/>
          <w:szCs w:val="18"/>
          <w:lang w:eastAsia="cs-CZ"/>
        </w:rPr>
        <w:t xml:space="preserve"> </w:t>
      </w:r>
      <w:r w:rsidR="00DD44EF">
        <w:rPr>
          <w:rFonts w:ascii="Arial" w:eastAsia="Calibri" w:hAnsi="Arial" w:cs="Times New Roman"/>
          <w:sz w:val="18"/>
          <w:szCs w:val="18"/>
          <w:lang w:eastAsia="cs-CZ"/>
        </w:rPr>
        <w:tab/>
      </w:r>
      <w:r w:rsidR="00C85D0F">
        <w:rPr>
          <w:rFonts w:ascii="Arial" w:eastAsia="Calibri" w:hAnsi="Arial" w:cs="Times New Roman"/>
          <w:sz w:val="18"/>
          <w:szCs w:val="18"/>
          <w:lang w:eastAsia="cs-CZ"/>
        </w:rPr>
        <w:t xml:space="preserve">Předepsané mýtné </w:t>
      </w:r>
      <w:r w:rsidR="00C85D0F" w:rsidRPr="009F3DD9">
        <w:rPr>
          <w:rFonts w:ascii="Arial" w:eastAsia="Calibri" w:hAnsi="Arial" w:cs="Times New Roman"/>
          <w:sz w:val="18"/>
          <w:szCs w:val="18"/>
          <w:lang w:eastAsia="cs-CZ"/>
        </w:rPr>
        <w:t>je finanční částka předepsaná jednotlivým dopravcům</w:t>
      </w:r>
      <w:r w:rsidR="003831B9">
        <w:rPr>
          <w:rFonts w:ascii="Arial" w:eastAsia="Calibri" w:hAnsi="Arial" w:cs="Times New Roman"/>
          <w:sz w:val="18"/>
          <w:szCs w:val="18"/>
          <w:lang w:eastAsia="cs-CZ"/>
        </w:rPr>
        <w:t xml:space="preserve"> na základě elektronického záznamu. </w:t>
      </w:r>
      <w:r w:rsidR="00C85D0F" w:rsidRPr="009F3DD9">
        <w:rPr>
          <w:rFonts w:ascii="Arial" w:eastAsia="Calibri" w:hAnsi="Arial" w:cs="Times New Roman"/>
          <w:sz w:val="18"/>
          <w:szCs w:val="18"/>
          <w:lang w:eastAsia="cs-CZ"/>
        </w:rPr>
        <w:t xml:space="preserve">Spotřebované mýtné je finanční částka, kterou skutečně zaplatili jednotliví </w:t>
      </w:r>
      <w:r w:rsidR="008B02E4">
        <w:rPr>
          <w:rFonts w:ascii="Arial" w:eastAsia="Calibri" w:hAnsi="Arial" w:cs="Times New Roman"/>
          <w:sz w:val="18"/>
          <w:szCs w:val="18"/>
          <w:lang w:eastAsia="cs-CZ"/>
        </w:rPr>
        <w:t>uživatelé</w:t>
      </w:r>
      <w:r w:rsidR="003831B9">
        <w:rPr>
          <w:rFonts w:ascii="Arial" w:eastAsia="Calibri" w:hAnsi="Arial" w:cs="Times New Roman"/>
          <w:sz w:val="18"/>
          <w:szCs w:val="18"/>
          <w:lang w:eastAsia="cs-CZ"/>
        </w:rPr>
        <w:t>.</w:t>
      </w:r>
      <w:r w:rsidR="00C85D0F" w:rsidRPr="009F3DD9">
        <w:rPr>
          <w:rFonts w:ascii="Arial" w:eastAsia="Calibri" w:hAnsi="Arial" w:cs="Times New Roman"/>
          <w:sz w:val="18"/>
          <w:szCs w:val="18"/>
          <w:lang w:eastAsia="cs-CZ"/>
        </w:rPr>
        <w:t xml:space="preserve"> </w:t>
      </w:r>
    </w:p>
    <w:p w:rsidR="00EB0205" w:rsidRDefault="00EB0205" w:rsidP="00EB0205">
      <w:pPr>
        <w:pStyle w:val="normlnmezera"/>
        <w:spacing w:before="0"/>
      </w:pPr>
    </w:p>
    <w:p w:rsidR="00F410C6" w:rsidRDefault="00351D7B" w:rsidP="00EB0205">
      <w:pPr>
        <w:pStyle w:val="normlnmezera"/>
        <w:spacing w:before="0"/>
      </w:pPr>
      <w:r>
        <w:t>Realizované inkaso za pět let provozu (od roku 2007) dosáhlo 31 297,04 mil. Kč s čistým výnosem 15 682,24 mil. Kč</w:t>
      </w:r>
      <w:r w:rsidR="007A6BB9">
        <w:t>. Náklady činily celkem 15 614,8 mil. Kč,</w:t>
      </w:r>
      <w:r>
        <w:t xml:space="preserve"> tj. průměrná nákladovost </w:t>
      </w:r>
      <w:r w:rsidRPr="00CB1104">
        <w:t>za pět let 49,9 %</w:t>
      </w:r>
      <w:r w:rsidRPr="00CB1104">
        <w:rPr>
          <w:rStyle w:val="Znakapoznpodarou"/>
        </w:rPr>
        <w:footnoteReference w:id="9"/>
      </w:r>
      <w:r w:rsidR="00BD44A5">
        <w:t xml:space="preserve"> (průměrn</w:t>
      </w:r>
      <w:r w:rsidR="009141E2">
        <w:t>é</w:t>
      </w:r>
      <w:r w:rsidR="00BD44A5">
        <w:t xml:space="preserve"> </w:t>
      </w:r>
      <w:r w:rsidR="009141E2">
        <w:t xml:space="preserve">roční </w:t>
      </w:r>
      <w:r w:rsidR="00175ECC">
        <w:t xml:space="preserve">náklady </w:t>
      </w:r>
      <w:r w:rsidR="00BD44A5">
        <w:t>3 122,96 mil. Kč)</w:t>
      </w:r>
      <w:r w:rsidRPr="00CB1104">
        <w:t xml:space="preserve">. </w:t>
      </w:r>
      <w:r w:rsidR="00F410C6" w:rsidRPr="00CB1104">
        <w:t xml:space="preserve">Do </w:t>
      </w:r>
      <w:r w:rsidR="00CB1104">
        <w:t>nákladů n</w:t>
      </w:r>
      <w:r w:rsidR="00F410C6" w:rsidRPr="00CB1104">
        <w:t>ebyly započteny náklady GŘC na výkon kontrolní činnosti, které činily cca 150 mil. Kč</w:t>
      </w:r>
      <w:r w:rsidR="00DB4C21">
        <w:rPr>
          <w:rStyle w:val="Znakapoznpodarou"/>
        </w:rPr>
        <w:footnoteReference w:id="10"/>
      </w:r>
      <w:r w:rsidR="00F410C6" w:rsidRPr="00CB1104">
        <w:t xml:space="preserve"> ročně (včetně časového zpoplatnění)</w:t>
      </w:r>
      <w:r w:rsidR="00F410C6" w:rsidRPr="00CB1104">
        <w:rPr>
          <w:rStyle w:val="Znakapoznpodarou"/>
        </w:rPr>
        <w:footnoteReference w:id="11"/>
      </w:r>
      <w:r w:rsidR="009141E2">
        <w:t>,</w:t>
      </w:r>
      <w:r w:rsidR="00F410C6" w:rsidRPr="00CB1104">
        <w:t xml:space="preserve"> a náklady na telematické </w:t>
      </w:r>
      <w:r w:rsidR="00F410C6" w:rsidRPr="00803987">
        <w:t xml:space="preserve">aplikace. </w:t>
      </w:r>
      <w:r w:rsidR="00AB646C" w:rsidRPr="00803987">
        <w:t xml:space="preserve">Průměrný roční čistý výnos z mýtného dosáhl 3 136,45 mil. Kč. </w:t>
      </w:r>
    </w:p>
    <w:p w:rsidR="00351D7B" w:rsidRDefault="00F40821" w:rsidP="004401C1">
      <w:pPr>
        <w:pStyle w:val="normlnmezera"/>
        <w:spacing w:before="0"/>
      </w:pPr>
      <w:r w:rsidRPr="00803987">
        <w:lastRenderedPageBreak/>
        <w:t>Před zpoplatněním mýtem, tj. v roce 2006, dosáhlo i</w:t>
      </w:r>
      <w:r w:rsidR="00F410C6" w:rsidRPr="00803987">
        <w:t xml:space="preserve">nkaso </w:t>
      </w:r>
      <w:r w:rsidR="00516B56" w:rsidRPr="00803987">
        <w:t>z</w:t>
      </w:r>
      <w:r w:rsidR="00483CC4" w:rsidRPr="00803987">
        <w:t> </w:t>
      </w:r>
      <w:r w:rsidR="00516B56" w:rsidRPr="00803987">
        <w:t>časov</w:t>
      </w:r>
      <w:r w:rsidR="00483CC4" w:rsidRPr="00803987">
        <w:t>ého zpoplatnění</w:t>
      </w:r>
      <w:r w:rsidR="00F410C6" w:rsidRPr="00803987">
        <w:t xml:space="preserve"> </w:t>
      </w:r>
      <w:r w:rsidRPr="00803987">
        <w:t>1</w:t>
      </w:r>
      <w:r w:rsidR="005270E3">
        <w:t> </w:t>
      </w:r>
      <w:r w:rsidRPr="00803987">
        <w:t>468,66</w:t>
      </w:r>
      <w:r w:rsidR="005270E3">
        <w:t> </w:t>
      </w:r>
      <w:r w:rsidR="00516B56" w:rsidRPr="00803987">
        <w:t>mil. Kč</w:t>
      </w:r>
      <w:r w:rsidR="00E53EB1">
        <w:rPr>
          <w:rStyle w:val="Znakapoznpodarou"/>
        </w:rPr>
        <w:footnoteReference w:id="12"/>
      </w:r>
      <w:r w:rsidR="00516B56" w:rsidRPr="00803987">
        <w:t xml:space="preserve"> (</w:t>
      </w:r>
      <w:r w:rsidR="007A1976">
        <w:t>z </w:t>
      </w:r>
      <w:r w:rsidR="00516B56" w:rsidRPr="00803987">
        <w:t xml:space="preserve">toho </w:t>
      </w:r>
      <w:r w:rsidR="00656FCC" w:rsidRPr="00803987">
        <w:t>1 208,62 mil. Kč</w:t>
      </w:r>
      <w:r w:rsidR="000B3D75" w:rsidRPr="00803987">
        <w:t xml:space="preserve"> </w:t>
      </w:r>
      <w:r w:rsidR="0036429F">
        <w:t xml:space="preserve">činilo inkaso za </w:t>
      </w:r>
      <w:r w:rsidR="000B3D75" w:rsidRPr="00803987">
        <w:t>vozidla nad 12</w:t>
      </w:r>
      <w:r w:rsidRPr="00803987">
        <w:t xml:space="preserve"> t a</w:t>
      </w:r>
      <w:r w:rsidR="003831B9" w:rsidRPr="00803987">
        <w:t xml:space="preserve"> </w:t>
      </w:r>
      <w:r w:rsidR="00CB1104" w:rsidRPr="00803987">
        <w:t>260,04 mil. Kč</w:t>
      </w:r>
      <w:r w:rsidR="00717657">
        <w:t xml:space="preserve"> </w:t>
      </w:r>
      <w:r w:rsidR="0036429F">
        <w:t xml:space="preserve">za </w:t>
      </w:r>
      <w:r w:rsidR="00717657">
        <w:t xml:space="preserve">vozidla </w:t>
      </w:r>
      <w:r w:rsidR="0036429F">
        <w:t xml:space="preserve">od </w:t>
      </w:r>
      <w:r w:rsidR="00717657">
        <w:t>3,5</w:t>
      </w:r>
      <w:r w:rsidR="000911C7">
        <w:t xml:space="preserve"> t do </w:t>
      </w:r>
      <w:r w:rsidR="003831B9" w:rsidRPr="00803987">
        <w:t>12</w:t>
      </w:r>
      <w:r w:rsidR="005270E3">
        <w:t> </w:t>
      </w:r>
      <w:r w:rsidR="003831B9" w:rsidRPr="00803987">
        <w:t>t</w:t>
      </w:r>
      <w:r w:rsidRPr="00803987">
        <w:rPr>
          <w:rStyle w:val="Znakapoznpodarou"/>
        </w:rPr>
        <w:footnoteReference w:id="13"/>
      </w:r>
      <w:r w:rsidR="003831B9" w:rsidRPr="00803987">
        <w:t>)</w:t>
      </w:r>
      <w:r w:rsidR="000B3D75" w:rsidRPr="00803987">
        <w:t xml:space="preserve">. </w:t>
      </w:r>
      <w:r w:rsidR="00E2644B" w:rsidRPr="00803987">
        <w:t xml:space="preserve">Při nákladovosti </w:t>
      </w:r>
      <w:r w:rsidR="000D25B0">
        <w:t>7,02</w:t>
      </w:r>
      <w:r w:rsidR="00E2644B" w:rsidRPr="00803987">
        <w:t xml:space="preserve"> % </w:t>
      </w:r>
      <w:r w:rsidR="00656FCC" w:rsidRPr="00803987">
        <w:t>dosáhl čistý výnos z časového zpoplatnění</w:t>
      </w:r>
      <w:r w:rsidR="00E2644B" w:rsidRPr="00803987">
        <w:t xml:space="preserve"> (pro k</w:t>
      </w:r>
      <w:r w:rsidR="00717657">
        <w:t>ategorie vozidel nad 12 t a 3,5–</w:t>
      </w:r>
      <w:r w:rsidR="00E2644B" w:rsidRPr="00803987">
        <w:t>12 t)</w:t>
      </w:r>
      <w:r w:rsidR="00656FCC" w:rsidRPr="00803987">
        <w:t xml:space="preserve"> v roce 2006 </w:t>
      </w:r>
      <w:r w:rsidR="00FE02A2">
        <w:t xml:space="preserve">částky </w:t>
      </w:r>
      <w:r w:rsidR="000D25B0">
        <w:t>1 382,29</w:t>
      </w:r>
      <w:r w:rsidR="00E2644B" w:rsidRPr="00803987">
        <w:t xml:space="preserve"> mil. Kč. </w:t>
      </w:r>
    </w:p>
    <w:p w:rsidR="005D555B" w:rsidRDefault="005D555B" w:rsidP="004401C1">
      <w:pPr>
        <w:pStyle w:val="normlnmezera"/>
        <w:spacing w:before="0"/>
      </w:pPr>
    </w:p>
    <w:p w:rsidR="00462651" w:rsidRDefault="00286C6E" w:rsidP="00EB0205">
      <w:pPr>
        <w:pStyle w:val="normlnmezera"/>
        <w:spacing w:before="0"/>
        <w:rPr>
          <w:rFonts w:cs="Arial"/>
          <w:szCs w:val="22"/>
        </w:rPr>
      </w:pPr>
      <w:r w:rsidRPr="003A2756">
        <w:rPr>
          <w:rFonts w:cs="Arial"/>
          <w:szCs w:val="22"/>
        </w:rPr>
        <w:t xml:space="preserve">MD </w:t>
      </w:r>
      <w:r w:rsidR="0096588E" w:rsidRPr="003A2756">
        <w:rPr>
          <w:rFonts w:cs="Arial"/>
          <w:szCs w:val="22"/>
        </w:rPr>
        <w:t>jako správce kapitoly nestanovilo kritéria pro hodnocení cíl</w:t>
      </w:r>
      <w:r w:rsidR="00731BA0">
        <w:rPr>
          <w:rFonts w:cs="Arial"/>
          <w:szCs w:val="22"/>
        </w:rPr>
        <w:t>ů SVZ. MD plnilo legislativní a </w:t>
      </w:r>
      <w:r w:rsidR="0096588E" w:rsidRPr="003A2756">
        <w:rPr>
          <w:rFonts w:cs="Arial"/>
          <w:szCs w:val="22"/>
        </w:rPr>
        <w:t>metodickou funkci</w:t>
      </w:r>
      <w:r w:rsidR="00483CC4" w:rsidRPr="003A2756">
        <w:rPr>
          <w:rFonts w:cs="Arial"/>
          <w:szCs w:val="22"/>
        </w:rPr>
        <w:t>, ale</w:t>
      </w:r>
      <w:r w:rsidR="0096588E" w:rsidRPr="003A2756">
        <w:rPr>
          <w:rFonts w:cs="Arial"/>
          <w:szCs w:val="22"/>
        </w:rPr>
        <w:t xml:space="preserve"> nemělo nastaven tok informací nezbytných pro soustavné hodnocení SVZ (souvisejících výdajů). </w:t>
      </w:r>
      <w:r w:rsidR="00A267DA" w:rsidRPr="003A2756">
        <w:rPr>
          <w:rFonts w:cs="Arial"/>
          <w:szCs w:val="22"/>
        </w:rPr>
        <w:t>Z podkladů a vyjádření MD vyplynulo,</w:t>
      </w:r>
      <w:r w:rsidR="00A267DA" w:rsidRPr="00A267DA">
        <w:rPr>
          <w:rFonts w:cs="Arial"/>
          <w:szCs w:val="22"/>
        </w:rPr>
        <w:t xml:space="preserve"> že MD s</w:t>
      </w:r>
      <w:r w:rsidR="0045291E" w:rsidRPr="00A267DA">
        <w:rPr>
          <w:rFonts w:cs="Arial"/>
          <w:szCs w:val="22"/>
        </w:rPr>
        <w:t>ledovalo a vyhodnocovalo pouze</w:t>
      </w:r>
      <w:r w:rsidRPr="00A267DA">
        <w:rPr>
          <w:rFonts w:cs="Arial"/>
          <w:szCs w:val="22"/>
        </w:rPr>
        <w:t xml:space="preserve"> inkaso mýtného</w:t>
      </w:r>
      <w:r w:rsidR="00FE02A2">
        <w:rPr>
          <w:rFonts w:cs="Arial"/>
          <w:szCs w:val="22"/>
        </w:rPr>
        <w:t>;</w:t>
      </w:r>
      <w:r w:rsidRPr="00A267DA">
        <w:rPr>
          <w:rFonts w:cs="Arial"/>
          <w:szCs w:val="22"/>
        </w:rPr>
        <w:t xml:space="preserve"> náklady</w:t>
      </w:r>
      <w:r w:rsidR="00A267DA" w:rsidRPr="00A267DA">
        <w:rPr>
          <w:rFonts w:cs="Arial"/>
          <w:szCs w:val="22"/>
        </w:rPr>
        <w:t xml:space="preserve"> </w:t>
      </w:r>
      <w:r w:rsidR="007A1976">
        <w:rPr>
          <w:rFonts w:cs="Arial"/>
          <w:szCs w:val="22"/>
        </w:rPr>
        <w:t>z </w:t>
      </w:r>
      <w:r w:rsidR="00A267DA" w:rsidRPr="00A267DA">
        <w:rPr>
          <w:rFonts w:cs="Arial"/>
          <w:szCs w:val="22"/>
        </w:rPr>
        <w:t>pohledu jejich výše</w:t>
      </w:r>
      <w:r w:rsidR="00962ED2">
        <w:rPr>
          <w:rFonts w:cs="Arial"/>
          <w:szCs w:val="22"/>
        </w:rPr>
        <w:t>, předmětu</w:t>
      </w:r>
      <w:r w:rsidR="00A267DA" w:rsidRPr="00A267DA">
        <w:rPr>
          <w:rFonts w:cs="Arial"/>
          <w:szCs w:val="22"/>
        </w:rPr>
        <w:t xml:space="preserve"> a věcné opodstatněnosti</w:t>
      </w:r>
      <w:r w:rsidR="00491FD2">
        <w:rPr>
          <w:rFonts w:cs="Arial"/>
          <w:szCs w:val="22"/>
        </w:rPr>
        <w:t xml:space="preserve"> nesledovalo</w:t>
      </w:r>
      <w:r w:rsidRPr="00A267DA">
        <w:rPr>
          <w:rFonts w:cs="Arial"/>
          <w:szCs w:val="22"/>
        </w:rPr>
        <w:t>.</w:t>
      </w:r>
    </w:p>
    <w:p w:rsidR="00286C6E" w:rsidRPr="005A351E" w:rsidRDefault="00286C6E" w:rsidP="00EB0205">
      <w:pPr>
        <w:pStyle w:val="normlnmezera"/>
        <w:spacing w:before="0"/>
        <w:rPr>
          <w:rFonts w:cs="Arial"/>
          <w:b/>
          <w:szCs w:val="22"/>
        </w:rPr>
      </w:pPr>
      <w:r w:rsidRPr="005A351E">
        <w:rPr>
          <w:rFonts w:cs="Arial"/>
          <w:b/>
          <w:szCs w:val="22"/>
        </w:rPr>
        <w:t xml:space="preserve"> </w:t>
      </w:r>
      <w:r w:rsidR="00EF3C45" w:rsidRPr="005A351E">
        <w:rPr>
          <w:rFonts w:cs="Arial"/>
          <w:b/>
          <w:szCs w:val="22"/>
        </w:rPr>
        <w:t xml:space="preserve"> </w:t>
      </w:r>
    </w:p>
    <w:p w:rsidR="00286C6E" w:rsidRDefault="00FE02A2" w:rsidP="004401C1">
      <w:pPr>
        <w:pStyle w:val="Nadpis2"/>
        <w:spacing w:before="0" w:after="0"/>
        <w:jc w:val="both"/>
        <w:rPr>
          <w:rFonts w:ascii="Arial" w:hAnsi="Arial" w:cs="Arial"/>
          <w:i w:val="0"/>
          <w:sz w:val="22"/>
          <w:szCs w:val="22"/>
        </w:rPr>
      </w:pPr>
      <w:r>
        <w:rPr>
          <w:rFonts w:ascii="Arial" w:hAnsi="Arial" w:cs="Arial"/>
          <w:i w:val="0"/>
          <w:sz w:val="22"/>
          <w:szCs w:val="22"/>
        </w:rPr>
        <w:t xml:space="preserve">2. </w:t>
      </w:r>
      <w:r w:rsidR="00286C6E">
        <w:rPr>
          <w:rFonts w:ascii="Arial" w:hAnsi="Arial" w:cs="Arial"/>
          <w:i w:val="0"/>
          <w:sz w:val="22"/>
          <w:szCs w:val="22"/>
        </w:rPr>
        <w:t>Zvýšení sazby mýtného a související úpravy SVZ</w:t>
      </w:r>
    </w:p>
    <w:p w:rsidR="004572E3" w:rsidRPr="004401C1" w:rsidRDefault="004572E3" w:rsidP="004572E3">
      <w:pPr>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 xml:space="preserve">S účinností od 1. </w:t>
      </w:r>
      <w:r w:rsidR="001326CA">
        <w:rPr>
          <w:rFonts w:ascii="Arial" w:hAnsi="Arial" w:cs="Arial"/>
          <w:sz w:val="22"/>
          <w:szCs w:val="22"/>
        </w:rPr>
        <w:t>ledna</w:t>
      </w:r>
      <w:r>
        <w:rPr>
          <w:rFonts w:ascii="Arial" w:hAnsi="Arial" w:cs="Arial"/>
          <w:sz w:val="22"/>
          <w:szCs w:val="22"/>
        </w:rPr>
        <w:t xml:space="preserve"> 2011 a </w:t>
      </w:r>
      <w:r w:rsidR="00FE02A2">
        <w:rPr>
          <w:rFonts w:ascii="Arial" w:hAnsi="Arial" w:cs="Arial"/>
          <w:sz w:val="22"/>
          <w:szCs w:val="22"/>
        </w:rPr>
        <w:t xml:space="preserve">od </w:t>
      </w:r>
      <w:r>
        <w:rPr>
          <w:rFonts w:ascii="Arial" w:hAnsi="Arial" w:cs="Arial"/>
          <w:sz w:val="22"/>
          <w:szCs w:val="22"/>
        </w:rPr>
        <w:t xml:space="preserve">1. </w:t>
      </w:r>
      <w:r w:rsidR="001326CA">
        <w:rPr>
          <w:rFonts w:ascii="Arial" w:hAnsi="Arial" w:cs="Arial"/>
          <w:sz w:val="22"/>
          <w:szCs w:val="22"/>
        </w:rPr>
        <w:t>ledna</w:t>
      </w:r>
      <w:r>
        <w:rPr>
          <w:rFonts w:ascii="Arial" w:hAnsi="Arial" w:cs="Arial"/>
          <w:sz w:val="22"/>
          <w:szCs w:val="22"/>
        </w:rPr>
        <w:t xml:space="preserve"> 2012 došlo </w:t>
      </w:r>
      <w:r w:rsidR="00CB4E6B">
        <w:rPr>
          <w:rFonts w:ascii="Arial" w:hAnsi="Arial" w:cs="Arial"/>
          <w:sz w:val="22"/>
          <w:szCs w:val="22"/>
        </w:rPr>
        <w:t xml:space="preserve">v každém roce </w:t>
      </w:r>
      <w:r>
        <w:rPr>
          <w:rFonts w:ascii="Arial" w:hAnsi="Arial" w:cs="Arial"/>
          <w:sz w:val="22"/>
          <w:szCs w:val="22"/>
        </w:rPr>
        <w:t>k</w:t>
      </w:r>
      <w:r w:rsidR="00FE02A2">
        <w:rPr>
          <w:rFonts w:ascii="Arial" w:hAnsi="Arial" w:cs="Arial"/>
          <w:sz w:val="22"/>
          <w:szCs w:val="22"/>
        </w:rPr>
        <w:t> </w:t>
      </w:r>
      <w:r>
        <w:rPr>
          <w:rFonts w:ascii="Arial" w:hAnsi="Arial" w:cs="Arial"/>
          <w:sz w:val="22"/>
          <w:szCs w:val="22"/>
        </w:rPr>
        <w:t xml:space="preserve">zvýšení sazeb mýtného o </w:t>
      </w:r>
      <w:r w:rsidR="00CB4E6B">
        <w:rPr>
          <w:rFonts w:ascii="Arial" w:hAnsi="Arial" w:cs="Arial"/>
          <w:sz w:val="22"/>
          <w:szCs w:val="22"/>
        </w:rPr>
        <w:t>25</w:t>
      </w:r>
      <w:r>
        <w:rPr>
          <w:rFonts w:ascii="Arial" w:hAnsi="Arial" w:cs="Arial"/>
          <w:sz w:val="22"/>
          <w:szCs w:val="22"/>
        </w:rPr>
        <w:t> %</w:t>
      </w:r>
      <w:r>
        <w:rPr>
          <w:rStyle w:val="Znakypropoznmkupodarou"/>
          <w:rFonts w:ascii="Arial" w:hAnsi="Arial" w:cs="Arial"/>
          <w:sz w:val="22"/>
          <w:szCs w:val="22"/>
        </w:rPr>
        <w:footnoteReference w:id="14"/>
      </w:r>
      <w:r w:rsidR="00FE02A2">
        <w:rPr>
          <w:rFonts w:ascii="Arial" w:hAnsi="Arial" w:cs="Arial"/>
          <w:sz w:val="22"/>
          <w:szCs w:val="22"/>
        </w:rPr>
        <w:t>.</w:t>
      </w:r>
      <w:r>
        <w:rPr>
          <w:rFonts w:ascii="Arial" w:hAnsi="Arial" w:cs="Arial"/>
          <w:sz w:val="22"/>
          <w:szCs w:val="22"/>
        </w:rPr>
        <w:t xml:space="preserve"> </w:t>
      </w:r>
      <w:r w:rsidR="00FE02A2">
        <w:rPr>
          <w:rFonts w:ascii="Arial" w:hAnsi="Arial" w:cs="Arial"/>
          <w:sz w:val="22"/>
          <w:szCs w:val="22"/>
        </w:rPr>
        <w:t>Toto zvýšení</w:t>
      </w:r>
      <w:r>
        <w:rPr>
          <w:rFonts w:ascii="Arial" w:hAnsi="Arial" w:cs="Arial"/>
          <w:sz w:val="22"/>
          <w:szCs w:val="22"/>
        </w:rPr>
        <w:t xml:space="preserve"> </w:t>
      </w:r>
      <w:r w:rsidR="00641038">
        <w:rPr>
          <w:rFonts w:ascii="Arial" w:hAnsi="Arial" w:cs="Arial"/>
          <w:sz w:val="22"/>
          <w:szCs w:val="22"/>
        </w:rPr>
        <w:t xml:space="preserve">vycházelo </w:t>
      </w:r>
      <w:r w:rsidR="007A1976">
        <w:rPr>
          <w:rFonts w:ascii="Arial" w:hAnsi="Arial" w:cs="Arial"/>
          <w:sz w:val="22"/>
          <w:szCs w:val="22"/>
        </w:rPr>
        <w:t>z </w:t>
      </w:r>
      <w:r>
        <w:rPr>
          <w:rFonts w:ascii="Arial" w:hAnsi="Arial" w:cs="Arial"/>
          <w:sz w:val="22"/>
          <w:szCs w:val="22"/>
        </w:rPr>
        <w:t>dohod</w:t>
      </w:r>
      <w:r w:rsidR="00641038">
        <w:rPr>
          <w:rFonts w:ascii="Arial" w:hAnsi="Arial" w:cs="Arial"/>
          <w:sz w:val="22"/>
          <w:szCs w:val="22"/>
        </w:rPr>
        <w:t>y</w:t>
      </w:r>
      <w:r>
        <w:rPr>
          <w:rFonts w:ascii="Arial" w:hAnsi="Arial" w:cs="Arial"/>
          <w:sz w:val="22"/>
          <w:szCs w:val="22"/>
        </w:rPr>
        <w:t xml:space="preserve"> mezi MD a Sdružením automobilových dopravců ČESMAD BOHEMIA (dále také „ČESMAD“)</w:t>
      </w:r>
      <w:r>
        <w:rPr>
          <w:rStyle w:val="Znakypropoznmkupodarou"/>
          <w:rFonts w:ascii="Arial" w:hAnsi="Arial" w:cs="Arial"/>
          <w:sz w:val="22"/>
          <w:szCs w:val="22"/>
        </w:rPr>
        <w:t xml:space="preserve"> </w:t>
      </w:r>
      <w:r w:rsidR="00974717">
        <w:rPr>
          <w:rFonts w:ascii="Arial" w:hAnsi="Arial" w:cs="Arial"/>
          <w:sz w:val="22"/>
          <w:szCs w:val="22"/>
        </w:rPr>
        <w:t>ze dne</w:t>
      </w:r>
      <w:r w:rsidR="008E26BA">
        <w:rPr>
          <w:rFonts w:ascii="Arial" w:hAnsi="Arial" w:cs="Arial"/>
          <w:sz w:val="22"/>
          <w:szCs w:val="22"/>
        </w:rPr>
        <w:t xml:space="preserve"> 8. listopadu 2010 </w:t>
      </w:r>
      <w:r w:rsidR="00CB4E6B">
        <w:rPr>
          <w:rStyle w:val="Znakypropoznmkupodarou"/>
          <w:rFonts w:ascii="Arial" w:hAnsi="Arial" w:cs="Arial"/>
          <w:sz w:val="22"/>
          <w:szCs w:val="22"/>
          <w:vertAlign w:val="baseline"/>
        </w:rPr>
        <w:t xml:space="preserve">o </w:t>
      </w:r>
      <w:r>
        <w:rPr>
          <w:rFonts w:ascii="Arial" w:hAnsi="Arial" w:cs="Arial"/>
          <w:sz w:val="22"/>
          <w:szCs w:val="22"/>
        </w:rPr>
        <w:t xml:space="preserve">zavedení </w:t>
      </w:r>
      <w:r w:rsidR="00CB4E6B">
        <w:rPr>
          <w:rFonts w:ascii="Arial" w:hAnsi="Arial" w:cs="Arial"/>
          <w:sz w:val="22"/>
          <w:szCs w:val="22"/>
        </w:rPr>
        <w:t xml:space="preserve">slev pro časté uživatele pozemních komunikací, </w:t>
      </w:r>
      <w:r>
        <w:rPr>
          <w:rFonts w:ascii="Arial" w:hAnsi="Arial" w:cs="Arial"/>
          <w:sz w:val="22"/>
          <w:szCs w:val="22"/>
        </w:rPr>
        <w:t>sa</w:t>
      </w:r>
      <w:r w:rsidR="00CB4E6B">
        <w:rPr>
          <w:rFonts w:ascii="Arial" w:hAnsi="Arial" w:cs="Arial"/>
          <w:sz w:val="22"/>
          <w:szCs w:val="22"/>
        </w:rPr>
        <w:t>mostatné kategorie pro autobusy</w:t>
      </w:r>
      <w:r w:rsidR="00D42622">
        <w:rPr>
          <w:rFonts w:ascii="Arial" w:hAnsi="Arial" w:cs="Arial"/>
          <w:sz w:val="22"/>
          <w:szCs w:val="22"/>
        </w:rPr>
        <w:t xml:space="preserve"> a </w:t>
      </w:r>
      <w:r>
        <w:rPr>
          <w:rFonts w:ascii="Arial" w:hAnsi="Arial" w:cs="Arial"/>
          <w:sz w:val="22"/>
          <w:szCs w:val="22"/>
        </w:rPr>
        <w:t xml:space="preserve">systému aktivního řešení mýtných přestupků. </w:t>
      </w:r>
    </w:p>
    <w:p w:rsidR="005D555B" w:rsidRDefault="005D555B" w:rsidP="004401C1">
      <w:pPr>
        <w:jc w:val="both"/>
        <w:rPr>
          <w:rFonts w:ascii="Arial" w:hAnsi="Arial" w:cs="Arial"/>
          <w:sz w:val="22"/>
          <w:szCs w:val="22"/>
        </w:rPr>
      </w:pPr>
    </w:p>
    <w:p w:rsidR="00C74A95" w:rsidRPr="005270E3" w:rsidRDefault="00C74A95" w:rsidP="004401C1">
      <w:pPr>
        <w:pStyle w:val="normlnmezera"/>
        <w:spacing w:before="0"/>
        <w:rPr>
          <w:b/>
        </w:rPr>
      </w:pPr>
      <w:r w:rsidRPr="005270E3">
        <w:rPr>
          <w:b/>
        </w:rPr>
        <w:t>Tabulka č. 2 – Zastoupení uživatelů v SVZ</w:t>
      </w:r>
    </w:p>
    <w:tbl>
      <w:tblPr>
        <w:tblW w:w="9087" w:type="dxa"/>
        <w:tblInd w:w="55" w:type="dxa"/>
        <w:tblLayout w:type="fixed"/>
        <w:tblCellMar>
          <w:left w:w="70" w:type="dxa"/>
          <w:right w:w="70" w:type="dxa"/>
        </w:tblCellMar>
        <w:tblLook w:val="04A0" w:firstRow="1" w:lastRow="0" w:firstColumn="1" w:lastColumn="0" w:noHBand="0" w:noVBand="1"/>
      </w:tblPr>
      <w:tblGrid>
        <w:gridCol w:w="1716"/>
        <w:gridCol w:w="1748"/>
        <w:gridCol w:w="1748"/>
        <w:gridCol w:w="1749"/>
        <w:gridCol w:w="2126"/>
      </w:tblGrid>
      <w:tr w:rsidR="00C74A95" w:rsidRPr="00C12ABC" w:rsidTr="005270E3">
        <w:trPr>
          <w:trHeight w:val="258"/>
        </w:trPr>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74A95" w:rsidRPr="00113582" w:rsidRDefault="00C74A95" w:rsidP="004401C1">
            <w:pPr>
              <w:suppressAutoHyphens w:val="0"/>
              <w:ind w:right="71"/>
              <w:jc w:val="center"/>
              <w:rPr>
                <w:rFonts w:ascii="Arial" w:hAnsi="Arial" w:cs="Arial"/>
                <w:b/>
                <w:color w:val="000000"/>
                <w:sz w:val="18"/>
                <w:szCs w:val="18"/>
                <w:lang w:eastAsia="cs-CZ"/>
              </w:rPr>
            </w:pPr>
            <w:r w:rsidRPr="00113582">
              <w:rPr>
                <w:rFonts w:ascii="Arial" w:hAnsi="Arial" w:cs="Arial"/>
                <w:b/>
                <w:color w:val="000000"/>
                <w:sz w:val="18"/>
                <w:szCs w:val="18"/>
                <w:lang w:eastAsia="cs-CZ"/>
              </w:rPr>
              <w:t>Rok</w:t>
            </w:r>
          </w:p>
        </w:tc>
        <w:tc>
          <w:tcPr>
            <w:tcW w:w="5245"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C74A95" w:rsidRPr="00113582" w:rsidRDefault="00C74A95" w:rsidP="00717657">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 xml:space="preserve">Předepsané mýtné </w:t>
            </w:r>
            <w:r w:rsidR="008028DC">
              <w:rPr>
                <w:rFonts w:ascii="Arial" w:hAnsi="Arial" w:cs="Arial"/>
                <w:b/>
                <w:color w:val="000000"/>
                <w:sz w:val="18"/>
                <w:szCs w:val="18"/>
                <w:lang w:eastAsia="cs-CZ"/>
              </w:rPr>
              <w:t>(</w:t>
            </w:r>
            <w:r w:rsidRPr="00113582">
              <w:rPr>
                <w:rFonts w:ascii="Arial" w:hAnsi="Arial" w:cs="Arial"/>
                <w:b/>
                <w:color w:val="000000"/>
                <w:sz w:val="18"/>
                <w:szCs w:val="18"/>
                <w:lang w:eastAsia="cs-CZ"/>
              </w:rPr>
              <w:t>v Kč</w:t>
            </w:r>
            <w:r w:rsidR="008028DC">
              <w:rPr>
                <w:rFonts w:ascii="Arial" w:hAnsi="Arial" w:cs="Arial"/>
                <w:b/>
                <w:color w:val="000000"/>
                <w:sz w:val="18"/>
                <w:szCs w:val="18"/>
                <w:lang w:eastAsia="cs-CZ"/>
              </w:rPr>
              <w:t>)</w:t>
            </w:r>
          </w:p>
        </w:tc>
        <w:tc>
          <w:tcPr>
            <w:tcW w:w="2126" w:type="dxa"/>
            <w:vMerge w:val="restart"/>
            <w:tcBorders>
              <w:top w:val="single" w:sz="8" w:space="0" w:color="auto"/>
              <w:left w:val="nil"/>
              <w:bottom w:val="single" w:sz="8" w:space="0" w:color="000000"/>
              <w:right w:val="single" w:sz="8" w:space="0" w:color="auto"/>
            </w:tcBorders>
            <w:shd w:val="clear" w:color="auto" w:fill="auto"/>
            <w:vAlign w:val="bottom"/>
            <w:hideMark/>
          </w:tcPr>
          <w:p w:rsidR="00C74A95" w:rsidRPr="00113582" w:rsidRDefault="00C74A95" w:rsidP="00C74A95">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 xml:space="preserve">Meziroční </w:t>
            </w:r>
            <w:r>
              <w:rPr>
                <w:rFonts w:ascii="Arial" w:hAnsi="Arial" w:cs="Arial"/>
                <w:b/>
                <w:color w:val="000000"/>
                <w:sz w:val="18"/>
                <w:szCs w:val="18"/>
                <w:lang w:eastAsia="cs-CZ"/>
              </w:rPr>
              <w:t>nárůst</w:t>
            </w:r>
            <w:r w:rsidRPr="00113582">
              <w:rPr>
                <w:rFonts w:ascii="Arial" w:hAnsi="Arial" w:cs="Arial"/>
                <w:b/>
                <w:color w:val="000000"/>
                <w:sz w:val="18"/>
                <w:szCs w:val="18"/>
                <w:lang w:eastAsia="cs-CZ"/>
              </w:rPr>
              <w:t xml:space="preserve"> celkových hodnot</w:t>
            </w:r>
          </w:p>
        </w:tc>
      </w:tr>
      <w:tr w:rsidR="00C74A95" w:rsidRPr="00C12ABC" w:rsidTr="005270E3">
        <w:trPr>
          <w:trHeight w:val="206"/>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C74A95" w:rsidRPr="00C12ABC" w:rsidRDefault="00C74A95" w:rsidP="00717657">
            <w:pPr>
              <w:suppressAutoHyphens w:val="0"/>
              <w:rPr>
                <w:rFonts w:ascii="Arial" w:hAnsi="Arial" w:cs="Arial"/>
                <w:color w:val="000000"/>
                <w:sz w:val="18"/>
                <w:szCs w:val="18"/>
                <w:lang w:eastAsia="cs-CZ"/>
              </w:rPr>
            </w:pPr>
          </w:p>
        </w:tc>
        <w:tc>
          <w:tcPr>
            <w:tcW w:w="1748" w:type="dxa"/>
            <w:tcBorders>
              <w:top w:val="nil"/>
              <w:left w:val="nil"/>
              <w:bottom w:val="single" w:sz="8" w:space="0" w:color="auto"/>
              <w:right w:val="nil"/>
            </w:tcBorders>
            <w:shd w:val="clear" w:color="000000" w:fill="FFFFFF"/>
            <w:noWrap/>
            <w:vAlign w:val="center"/>
            <w:hideMark/>
          </w:tcPr>
          <w:p w:rsidR="00C74A95" w:rsidRPr="00113582" w:rsidRDefault="00C74A95" w:rsidP="005270E3">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Zahraniční</w:t>
            </w:r>
          </w:p>
        </w:tc>
        <w:tc>
          <w:tcPr>
            <w:tcW w:w="1748" w:type="dxa"/>
            <w:tcBorders>
              <w:top w:val="nil"/>
              <w:left w:val="single" w:sz="4" w:space="0" w:color="auto"/>
              <w:bottom w:val="single" w:sz="8" w:space="0" w:color="auto"/>
              <w:right w:val="nil"/>
            </w:tcBorders>
            <w:shd w:val="clear" w:color="000000" w:fill="FFFFFF"/>
            <w:noWrap/>
            <w:vAlign w:val="center"/>
            <w:hideMark/>
          </w:tcPr>
          <w:p w:rsidR="00C74A95" w:rsidRPr="00113582" w:rsidRDefault="00C74A95" w:rsidP="005270E3">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Tuzemské</w:t>
            </w:r>
          </w:p>
        </w:tc>
        <w:tc>
          <w:tcPr>
            <w:tcW w:w="1749" w:type="dxa"/>
            <w:tcBorders>
              <w:top w:val="nil"/>
              <w:left w:val="single" w:sz="4" w:space="0" w:color="auto"/>
              <w:bottom w:val="single" w:sz="8" w:space="0" w:color="auto"/>
              <w:right w:val="single" w:sz="8" w:space="0" w:color="auto"/>
            </w:tcBorders>
            <w:shd w:val="clear" w:color="000000" w:fill="FFFFFF"/>
            <w:noWrap/>
            <w:vAlign w:val="center"/>
            <w:hideMark/>
          </w:tcPr>
          <w:p w:rsidR="00C74A95" w:rsidRPr="00113582" w:rsidRDefault="00C74A95" w:rsidP="005270E3">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Celkem</w:t>
            </w:r>
          </w:p>
        </w:tc>
        <w:tc>
          <w:tcPr>
            <w:tcW w:w="2126" w:type="dxa"/>
            <w:vMerge/>
            <w:tcBorders>
              <w:top w:val="single" w:sz="8" w:space="0" w:color="auto"/>
              <w:left w:val="nil"/>
              <w:bottom w:val="single" w:sz="8" w:space="0" w:color="000000"/>
              <w:right w:val="single" w:sz="8" w:space="0" w:color="auto"/>
            </w:tcBorders>
            <w:vAlign w:val="center"/>
            <w:hideMark/>
          </w:tcPr>
          <w:p w:rsidR="00C74A95" w:rsidRPr="00C12ABC" w:rsidRDefault="00C74A95" w:rsidP="00717657">
            <w:pPr>
              <w:suppressAutoHyphens w:val="0"/>
              <w:rPr>
                <w:rFonts w:ascii="Arial" w:hAnsi="Arial" w:cs="Arial"/>
                <w:color w:val="000000"/>
                <w:sz w:val="18"/>
                <w:szCs w:val="18"/>
                <w:lang w:eastAsia="cs-CZ"/>
              </w:rPr>
            </w:pPr>
          </w:p>
        </w:tc>
      </w:tr>
      <w:tr w:rsidR="00C74A95" w:rsidRPr="00C12ABC" w:rsidTr="004401C1">
        <w:trPr>
          <w:trHeight w:val="30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val="en-US" w:eastAsia="cs-CZ"/>
              </w:rPr>
            </w:pPr>
            <w:r w:rsidRPr="00113582">
              <w:rPr>
                <w:rFonts w:ascii="Arial" w:hAnsi="Arial" w:cs="Arial"/>
                <w:b/>
                <w:color w:val="000000"/>
                <w:sz w:val="18"/>
                <w:szCs w:val="18"/>
                <w:lang w:eastAsia="cs-CZ"/>
              </w:rPr>
              <w:t>2007</w:t>
            </w:r>
          </w:p>
        </w:tc>
        <w:tc>
          <w:tcPr>
            <w:tcW w:w="1748" w:type="dxa"/>
            <w:tcBorders>
              <w:top w:val="nil"/>
              <w:left w:val="nil"/>
              <w:bottom w:val="single" w:sz="4"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2 150 575 480</w:t>
            </w:r>
          </w:p>
        </w:tc>
        <w:tc>
          <w:tcPr>
            <w:tcW w:w="1748" w:type="dxa"/>
            <w:tcBorders>
              <w:top w:val="nil"/>
              <w:left w:val="nil"/>
              <w:bottom w:val="single" w:sz="4" w:space="0" w:color="auto"/>
              <w:right w:val="single" w:sz="4"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3 407 764 805</w:t>
            </w:r>
          </w:p>
        </w:tc>
        <w:tc>
          <w:tcPr>
            <w:tcW w:w="1749" w:type="dxa"/>
            <w:tcBorders>
              <w:top w:val="nil"/>
              <w:left w:val="nil"/>
              <w:bottom w:val="single" w:sz="4" w:space="0" w:color="auto"/>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5 558 340 284</w:t>
            </w:r>
          </w:p>
        </w:tc>
        <w:tc>
          <w:tcPr>
            <w:tcW w:w="2126" w:type="dxa"/>
            <w:tcBorders>
              <w:top w:val="nil"/>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851"/>
              <w:jc w:val="right"/>
              <w:rPr>
                <w:rFonts w:ascii="Arial" w:hAnsi="Arial" w:cs="Arial"/>
                <w:color w:val="000000"/>
                <w:sz w:val="18"/>
                <w:szCs w:val="18"/>
                <w:lang w:eastAsia="cs-CZ"/>
              </w:rPr>
            </w:pPr>
            <w:r w:rsidRPr="00C12ABC">
              <w:rPr>
                <w:rFonts w:ascii="Arial" w:hAnsi="Arial" w:cs="Arial"/>
                <w:color w:val="000000"/>
                <w:sz w:val="18"/>
                <w:szCs w:val="18"/>
                <w:lang w:eastAsia="cs-CZ"/>
              </w:rPr>
              <w:t>x</w:t>
            </w:r>
          </w:p>
        </w:tc>
      </w:tr>
      <w:tr w:rsidR="00C74A95" w:rsidRPr="00C12ABC" w:rsidTr="004401C1">
        <w:trPr>
          <w:trHeight w:val="30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2010</w:t>
            </w:r>
          </w:p>
        </w:tc>
        <w:tc>
          <w:tcPr>
            <w:tcW w:w="1748" w:type="dxa"/>
            <w:tcBorders>
              <w:top w:val="nil"/>
              <w:left w:val="nil"/>
              <w:bottom w:val="single" w:sz="4"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2 714 838 802</w:t>
            </w:r>
          </w:p>
        </w:tc>
        <w:tc>
          <w:tcPr>
            <w:tcW w:w="1748" w:type="dxa"/>
            <w:tcBorders>
              <w:top w:val="nil"/>
              <w:left w:val="nil"/>
              <w:bottom w:val="single" w:sz="4"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3 850 274 147</w:t>
            </w:r>
          </w:p>
        </w:tc>
        <w:tc>
          <w:tcPr>
            <w:tcW w:w="1749" w:type="dxa"/>
            <w:tcBorders>
              <w:top w:val="nil"/>
              <w:left w:val="nil"/>
              <w:bottom w:val="single" w:sz="4" w:space="0" w:color="auto"/>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6 565 112 950</w:t>
            </w:r>
          </w:p>
        </w:tc>
        <w:tc>
          <w:tcPr>
            <w:tcW w:w="2126" w:type="dxa"/>
            <w:tcBorders>
              <w:top w:val="nil"/>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638"/>
              <w:jc w:val="right"/>
              <w:rPr>
                <w:rFonts w:ascii="Arial" w:hAnsi="Arial" w:cs="Arial"/>
                <w:color w:val="000000"/>
                <w:sz w:val="18"/>
                <w:szCs w:val="18"/>
                <w:lang w:eastAsia="cs-CZ"/>
              </w:rPr>
            </w:pPr>
            <w:r w:rsidRPr="00C12ABC">
              <w:rPr>
                <w:rFonts w:ascii="Arial" w:hAnsi="Arial" w:cs="Arial"/>
                <w:color w:val="000000"/>
                <w:sz w:val="18"/>
                <w:szCs w:val="18"/>
                <w:lang w:eastAsia="cs-CZ"/>
              </w:rPr>
              <w:t>16</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r>
      <w:tr w:rsidR="00C74A95" w:rsidRPr="00C12ABC" w:rsidTr="004401C1">
        <w:trPr>
          <w:trHeight w:val="315"/>
        </w:trPr>
        <w:tc>
          <w:tcPr>
            <w:tcW w:w="1716" w:type="dxa"/>
            <w:tcBorders>
              <w:top w:val="nil"/>
              <w:left w:val="single" w:sz="8" w:space="0" w:color="auto"/>
              <w:bottom w:val="nil"/>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2011</w:t>
            </w:r>
          </w:p>
        </w:tc>
        <w:tc>
          <w:tcPr>
            <w:tcW w:w="1748" w:type="dxa"/>
            <w:tcBorders>
              <w:top w:val="nil"/>
              <w:left w:val="nil"/>
              <w:bottom w:val="nil"/>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3 493 847 718</w:t>
            </w:r>
          </w:p>
        </w:tc>
        <w:tc>
          <w:tcPr>
            <w:tcW w:w="1748" w:type="dxa"/>
            <w:tcBorders>
              <w:top w:val="nil"/>
              <w:left w:val="nil"/>
              <w:bottom w:val="nil"/>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4 618 116 254</w:t>
            </w:r>
          </w:p>
        </w:tc>
        <w:tc>
          <w:tcPr>
            <w:tcW w:w="1749" w:type="dxa"/>
            <w:tcBorders>
              <w:top w:val="nil"/>
              <w:left w:val="nil"/>
              <w:bottom w:val="nil"/>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8 111 963 972</w:t>
            </w:r>
          </w:p>
        </w:tc>
        <w:tc>
          <w:tcPr>
            <w:tcW w:w="2126" w:type="dxa"/>
            <w:tcBorders>
              <w:top w:val="nil"/>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638"/>
              <w:jc w:val="right"/>
              <w:rPr>
                <w:rFonts w:ascii="Arial" w:hAnsi="Arial" w:cs="Arial"/>
                <w:color w:val="000000"/>
                <w:sz w:val="18"/>
                <w:szCs w:val="18"/>
                <w:lang w:eastAsia="cs-CZ"/>
              </w:rPr>
            </w:pPr>
            <w:r w:rsidRPr="00C12ABC">
              <w:rPr>
                <w:rFonts w:ascii="Arial" w:hAnsi="Arial" w:cs="Arial"/>
                <w:color w:val="000000"/>
                <w:sz w:val="18"/>
                <w:szCs w:val="18"/>
                <w:lang w:eastAsia="cs-CZ"/>
              </w:rPr>
              <w:t>19</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r>
      <w:tr w:rsidR="00C74A95" w:rsidRPr="00C12ABC" w:rsidTr="004401C1">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4A95" w:rsidRPr="00113582" w:rsidRDefault="00C74A95" w:rsidP="00FE02A2">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Změna 2007</w:t>
            </w:r>
            <w:r w:rsidR="005270E3">
              <w:rPr>
                <w:rFonts w:ascii="Arial" w:hAnsi="Arial" w:cs="Arial"/>
                <w:b/>
                <w:color w:val="000000"/>
                <w:sz w:val="18"/>
                <w:szCs w:val="18"/>
                <w:lang w:eastAsia="cs-CZ"/>
              </w:rPr>
              <w:t>–</w:t>
            </w:r>
            <w:r w:rsidRPr="00113582">
              <w:rPr>
                <w:rFonts w:ascii="Arial" w:hAnsi="Arial" w:cs="Arial"/>
                <w:b/>
                <w:color w:val="000000"/>
                <w:sz w:val="18"/>
                <w:szCs w:val="18"/>
                <w:lang w:eastAsia="cs-CZ"/>
              </w:rPr>
              <w:t>2011</w:t>
            </w:r>
          </w:p>
        </w:tc>
        <w:tc>
          <w:tcPr>
            <w:tcW w:w="1748" w:type="dxa"/>
            <w:tcBorders>
              <w:top w:val="single" w:sz="8" w:space="0" w:color="auto"/>
              <w:left w:val="nil"/>
              <w:bottom w:val="single" w:sz="8"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62</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1748" w:type="dxa"/>
            <w:tcBorders>
              <w:top w:val="single" w:sz="8" w:space="0" w:color="auto"/>
              <w:left w:val="nil"/>
              <w:bottom w:val="single" w:sz="8"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36</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1749" w:type="dxa"/>
            <w:tcBorders>
              <w:top w:val="single" w:sz="8" w:space="0" w:color="auto"/>
              <w:left w:val="nil"/>
              <w:bottom w:val="single" w:sz="8" w:space="0" w:color="auto"/>
              <w:right w:val="single" w:sz="8"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46</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C74A95" w:rsidRPr="00C12ABC" w:rsidRDefault="00C74A95" w:rsidP="004401C1">
            <w:pPr>
              <w:suppressAutoHyphens w:val="0"/>
              <w:ind w:right="851"/>
              <w:jc w:val="right"/>
              <w:rPr>
                <w:rFonts w:ascii="Arial" w:hAnsi="Arial" w:cs="Arial"/>
                <w:color w:val="000000"/>
                <w:sz w:val="18"/>
                <w:szCs w:val="18"/>
                <w:lang w:eastAsia="cs-CZ"/>
              </w:rPr>
            </w:pPr>
            <w:r w:rsidRPr="00C12ABC">
              <w:rPr>
                <w:rFonts w:ascii="Arial" w:hAnsi="Arial" w:cs="Arial"/>
                <w:color w:val="000000"/>
                <w:sz w:val="18"/>
                <w:szCs w:val="18"/>
                <w:lang w:eastAsia="cs-CZ"/>
              </w:rPr>
              <w:t>x</w:t>
            </w:r>
          </w:p>
        </w:tc>
      </w:tr>
      <w:tr w:rsidR="00C74A95" w:rsidRPr="00C12ABC" w:rsidTr="004401C1">
        <w:trPr>
          <w:trHeight w:val="315"/>
        </w:trPr>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rsidR="00C74A95" w:rsidRPr="00113582" w:rsidRDefault="00C74A95" w:rsidP="00FE02A2">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 </w:t>
            </w:r>
          </w:p>
        </w:tc>
        <w:tc>
          <w:tcPr>
            <w:tcW w:w="5245" w:type="dxa"/>
            <w:gridSpan w:val="3"/>
            <w:tcBorders>
              <w:top w:val="nil"/>
              <w:left w:val="nil"/>
              <w:bottom w:val="single" w:sz="8" w:space="0" w:color="auto"/>
              <w:right w:val="single" w:sz="8" w:space="0" w:color="000000"/>
            </w:tcBorders>
            <w:shd w:val="clear" w:color="000000" w:fill="FFFFFF"/>
            <w:noWrap/>
            <w:vAlign w:val="center"/>
            <w:hideMark/>
          </w:tcPr>
          <w:p w:rsidR="00C74A95" w:rsidRPr="00113582" w:rsidRDefault="00C74A95" w:rsidP="001E0673">
            <w:pPr>
              <w:suppressAutoHyphens w:val="0"/>
              <w:jc w:val="center"/>
              <w:rPr>
                <w:rFonts w:ascii="Arial" w:hAnsi="Arial" w:cs="Arial"/>
                <w:b/>
                <w:color w:val="000000"/>
                <w:sz w:val="18"/>
                <w:szCs w:val="18"/>
                <w:lang w:eastAsia="cs-CZ"/>
              </w:rPr>
            </w:pPr>
            <w:r w:rsidRPr="00113582">
              <w:rPr>
                <w:rFonts w:ascii="Arial" w:hAnsi="Arial" w:cs="Arial"/>
                <w:b/>
                <w:color w:val="000000"/>
                <w:sz w:val="18"/>
                <w:szCs w:val="18"/>
                <w:lang w:eastAsia="cs-CZ"/>
              </w:rPr>
              <w:t>Mýtné transakce</w:t>
            </w:r>
          </w:p>
        </w:tc>
        <w:tc>
          <w:tcPr>
            <w:tcW w:w="2126" w:type="dxa"/>
            <w:tcBorders>
              <w:top w:val="nil"/>
              <w:left w:val="nil"/>
              <w:bottom w:val="nil"/>
              <w:right w:val="single" w:sz="8" w:space="0" w:color="auto"/>
            </w:tcBorders>
            <w:shd w:val="clear" w:color="auto" w:fill="auto"/>
            <w:noWrap/>
            <w:vAlign w:val="bottom"/>
            <w:hideMark/>
          </w:tcPr>
          <w:p w:rsidR="00C74A95" w:rsidRPr="00C12ABC" w:rsidRDefault="00C74A95" w:rsidP="004401C1">
            <w:pPr>
              <w:tabs>
                <w:tab w:val="left" w:pos="1336"/>
              </w:tabs>
              <w:suppressAutoHyphens w:val="0"/>
              <w:ind w:right="638"/>
              <w:jc w:val="right"/>
              <w:rPr>
                <w:rFonts w:ascii="Arial" w:hAnsi="Arial" w:cs="Arial"/>
                <w:color w:val="000000"/>
                <w:sz w:val="18"/>
                <w:szCs w:val="18"/>
                <w:lang w:eastAsia="cs-CZ"/>
              </w:rPr>
            </w:pPr>
            <w:r w:rsidRPr="00C12ABC">
              <w:rPr>
                <w:rFonts w:ascii="Arial" w:hAnsi="Arial" w:cs="Arial"/>
                <w:color w:val="000000"/>
                <w:sz w:val="18"/>
                <w:szCs w:val="18"/>
                <w:lang w:eastAsia="cs-CZ"/>
              </w:rPr>
              <w:t> </w:t>
            </w:r>
          </w:p>
        </w:tc>
      </w:tr>
      <w:tr w:rsidR="00C74A95" w:rsidRPr="00C12ABC" w:rsidTr="004401C1">
        <w:trPr>
          <w:trHeight w:val="30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2007</w:t>
            </w:r>
          </w:p>
        </w:tc>
        <w:tc>
          <w:tcPr>
            <w:tcW w:w="1748" w:type="dxa"/>
            <w:tcBorders>
              <w:top w:val="nil"/>
              <w:left w:val="nil"/>
              <w:bottom w:val="single" w:sz="4"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77 841 132</w:t>
            </w:r>
          </w:p>
        </w:tc>
        <w:tc>
          <w:tcPr>
            <w:tcW w:w="1748" w:type="dxa"/>
            <w:tcBorders>
              <w:top w:val="nil"/>
              <w:left w:val="nil"/>
              <w:bottom w:val="single" w:sz="4"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146 370 902</w:t>
            </w:r>
          </w:p>
        </w:tc>
        <w:tc>
          <w:tcPr>
            <w:tcW w:w="1749" w:type="dxa"/>
            <w:tcBorders>
              <w:top w:val="nil"/>
              <w:left w:val="nil"/>
              <w:bottom w:val="single" w:sz="4" w:space="0" w:color="auto"/>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224 212 034</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851"/>
              <w:jc w:val="right"/>
              <w:rPr>
                <w:rFonts w:ascii="Arial" w:hAnsi="Arial" w:cs="Arial"/>
                <w:color w:val="000000"/>
                <w:sz w:val="18"/>
                <w:szCs w:val="18"/>
                <w:lang w:eastAsia="cs-CZ"/>
              </w:rPr>
            </w:pPr>
            <w:r w:rsidRPr="00C12ABC">
              <w:rPr>
                <w:rFonts w:ascii="Arial" w:hAnsi="Arial" w:cs="Arial"/>
                <w:color w:val="000000"/>
                <w:sz w:val="18"/>
                <w:szCs w:val="18"/>
                <w:lang w:eastAsia="cs-CZ"/>
              </w:rPr>
              <w:t>x</w:t>
            </w:r>
          </w:p>
        </w:tc>
      </w:tr>
      <w:tr w:rsidR="00C74A95" w:rsidRPr="00C12ABC" w:rsidTr="004401C1">
        <w:trPr>
          <w:trHeight w:val="30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2010</w:t>
            </w:r>
          </w:p>
        </w:tc>
        <w:tc>
          <w:tcPr>
            <w:tcW w:w="1748" w:type="dxa"/>
            <w:tcBorders>
              <w:top w:val="nil"/>
              <w:left w:val="nil"/>
              <w:bottom w:val="single" w:sz="4" w:space="0" w:color="auto"/>
              <w:right w:val="single" w:sz="4"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111 724 501</w:t>
            </w:r>
          </w:p>
        </w:tc>
        <w:tc>
          <w:tcPr>
            <w:tcW w:w="1748" w:type="dxa"/>
            <w:tcBorders>
              <w:top w:val="nil"/>
              <w:left w:val="nil"/>
              <w:bottom w:val="single" w:sz="4" w:space="0" w:color="auto"/>
              <w:right w:val="single" w:sz="4"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207 189 468</w:t>
            </w:r>
          </w:p>
        </w:tc>
        <w:tc>
          <w:tcPr>
            <w:tcW w:w="1749" w:type="dxa"/>
            <w:tcBorders>
              <w:top w:val="nil"/>
              <w:left w:val="nil"/>
              <w:bottom w:val="single" w:sz="4" w:space="0" w:color="auto"/>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320 436 538</w:t>
            </w:r>
          </w:p>
        </w:tc>
        <w:tc>
          <w:tcPr>
            <w:tcW w:w="2126" w:type="dxa"/>
            <w:tcBorders>
              <w:top w:val="nil"/>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638"/>
              <w:jc w:val="right"/>
              <w:rPr>
                <w:rFonts w:ascii="Arial" w:hAnsi="Arial" w:cs="Arial"/>
                <w:color w:val="000000"/>
                <w:sz w:val="18"/>
                <w:szCs w:val="18"/>
                <w:lang w:eastAsia="cs-CZ"/>
              </w:rPr>
            </w:pPr>
            <w:r w:rsidRPr="00C12ABC">
              <w:rPr>
                <w:rFonts w:ascii="Arial" w:hAnsi="Arial" w:cs="Arial"/>
                <w:color w:val="000000"/>
                <w:sz w:val="18"/>
                <w:szCs w:val="18"/>
                <w:lang w:eastAsia="cs-CZ"/>
              </w:rPr>
              <w:t>25</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r>
      <w:tr w:rsidR="00C74A95" w:rsidRPr="00C12ABC" w:rsidTr="004401C1">
        <w:trPr>
          <w:trHeight w:val="315"/>
        </w:trPr>
        <w:tc>
          <w:tcPr>
            <w:tcW w:w="1716" w:type="dxa"/>
            <w:tcBorders>
              <w:top w:val="nil"/>
              <w:left w:val="single" w:sz="8" w:space="0" w:color="auto"/>
              <w:bottom w:val="nil"/>
              <w:right w:val="single" w:sz="8" w:space="0" w:color="auto"/>
            </w:tcBorders>
            <w:shd w:val="clear" w:color="auto" w:fill="auto"/>
            <w:noWrap/>
            <w:vAlign w:val="center"/>
            <w:hideMark/>
          </w:tcPr>
          <w:p w:rsidR="00C74A95" w:rsidRPr="00113582" w:rsidRDefault="00C74A95" w:rsidP="004401C1">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2011</w:t>
            </w:r>
          </w:p>
        </w:tc>
        <w:tc>
          <w:tcPr>
            <w:tcW w:w="1748" w:type="dxa"/>
            <w:tcBorders>
              <w:top w:val="nil"/>
              <w:left w:val="nil"/>
              <w:bottom w:val="nil"/>
              <w:right w:val="single" w:sz="4"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125 802 617</w:t>
            </w:r>
          </w:p>
        </w:tc>
        <w:tc>
          <w:tcPr>
            <w:tcW w:w="1748" w:type="dxa"/>
            <w:tcBorders>
              <w:top w:val="nil"/>
              <w:left w:val="nil"/>
              <w:bottom w:val="nil"/>
              <w:right w:val="single" w:sz="4"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224 584 833</w:t>
            </w:r>
          </w:p>
        </w:tc>
        <w:tc>
          <w:tcPr>
            <w:tcW w:w="1749" w:type="dxa"/>
            <w:tcBorders>
              <w:top w:val="nil"/>
              <w:left w:val="nil"/>
              <w:bottom w:val="nil"/>
              <w:right w:val="single" w:sz="8" w:space="0" w:color="auto"/>
            </w:tcBorders>
            <w:shd w:val="clear" w:color="000000" w:fill="FFFFFF"/>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351 756 313</w:t>
            </w:r>
          </w:p>
        </w:tc>
        <w:tc>
          <w:tcPr>
            <w:tcW w:w="2126" w:type="dxa"/>
            <w:tcBorders>
              <w:top w:val="nil"/>
              <w:left w:val="nil"/>
              <w:bottom w:val="single" w:sz="4" w:space="0" w:color="auto"/>
              <w:right w:val="single" w:sz="8" w:space="0" w:color="auto"/>
            </w:tcBorders>
            <w:shd w:val="clear" w:color="auto" w:fill="auto"/>
            <w:noWrap/>
            <w:vAlign w:val="bottom"/>
            <w:hideMark/>
          </w:tcPr>
          <w:p w:rsidR="00C74A95" w:rsidRPr="00C12ABC" w:rsidRDefault="00C74A95" w:rsidP="004401C1">
            <w:pPr>
              <w:suppressAutoHyphens w:val="0"/>
              <w:ind w:right="638"/>
              <w:jc w:val="right"/>
              <w:rPr>
                <w:rFonts w:ascii="Arial" w:hAnsi="Arial" w:cs="Arial"/>
                <w:color w:val="000000"/>
                <w:sz w:val="18"/>
                <w:szCs w:val="18"/>
                <w:lang w:eastAsia="cs-CZ"/>
              </w:rPr>
            </w:pPr>
            <w:r w:rsidRPr="00C12ABC">
              <w:rPr>
                <w:rFonts w:ascii="Arial" w:hAnsi="Arial" w:cs="Arial"/>
                <w:color w:val="000000"/>
                <w:sz w:val="18"/>
                <w:szCs w:val="18"/>
                <w:lang w:eastAsia="cs-CZ"/>
              </w:rPr>
              <w:t>9</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r>
      <w:tr w:rsidR="00C74A95" w:rsidRPr="00C12ABC" w:rsidTr="004401C1">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4A95" w:rsidRPr="00113582" w:rsidRDefault="00C74A95" w:rsidP="00FE02A2">
            <w:pPr>
              <w:suppressAutoHyphens w:val="0"/>
              <w:rPr>
                <w:rFonts w:ascii="Arial" w:hAnsi="Arial" w:cs="Arial"/>
                <w:b/>
                <w:color w:val="000000"/>
                <w:sz w:val="18"/>
                <w:szCs w:val="18"/>
                <w:lang w:eastAsia="cs-CZ"/>
              </w:rPr>
            </w:pPr>
            <w:r w:rsidRPr="00113582">
              <w:rPr>
                <w:rFonts w:ascii="Arial" w:hAnsi="Arial" w:cs="Arial"/>
                <w:b/>
                <w:color w:val="000000"/>
                <w:sz w:val="18"/>
                <w:szCs w:val="18"/>
                <w:lang w:eastAsia="cs-CZ"/>
              </w:rPr>
              <w:t>Změna 2007</w:t>
            </w:r>
            <w:r w:rsidR="00FE02A2">
              <w:rPr>
                <w:rFonts w:ascii="Arial" w:hAnsi="Arial" w:cs="Arial"/>
                <w:b/>
                <w:color w:val="000000"/>
                <w:sz w:val="18"/>
                <w:szCs w:val="18"/>
                <w:lang w:eastAsia="cs-CZ"/>
              </w:rPr>
              <w:t>–</w:t>
            </w:r>
            <w:r w:rsidRPr="00113582">
              <w:rPr>
                <w:rFonts w:ascii="Arial" w:hAnsi="Arial" w:cs="Arial"/>
                <w:b/>
                <w:color w:val="000000"/>
                <w:sz w:val="18"/>
                <w:szCs w:val="18"/>
                <w:lang w:eastAsia="cs-CZ"/>
              </w:rPr>
              <w:t>2011</w:t>
            </w:r>
          </w:p>
        </w:tc>
        <w:tc>
          <w:tcPr>
            <w:tcW w:w="1748" w:type="dxa"/>
            <w:tcBorders>
              <w:top w:val="single" w:sz="8" w:space="0" w:color="auto"/>
              <w:left w:val="nil"/>
              <w:bottom w:val="single" w:sz="8"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62</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1748" w:type="dxa"/>
            <w:tcBorders>
              <w:top w:val="single" w:sz="8" w:space="0" w:color="auto"/>
              <w:left w:val="nil"/>
              <w:bottom w:val="single" w:sz="8" w:space="0" w:color="auto"/>
              <w:right w:val="single" w:sz="4"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53</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1749" w:type="dxa"/>
            <w:tcBorders>
              <w:top w:val="single" w:sz="8" w:space="0" w:color="auto"/>
              <w:left w:val="nil"/>
              <w:bottom w:val="single" w:sz="8" w:space="0" w:color="auto"/>
              <w:right w:val="single" w:sz="8" w:space="0" w:color="auto"/>
            </w:tcBorders>
            <w:shd w:val="clear" w:color="auto" w:fill="auto"/>
            <w:noWrap/>
            <w:vAlign w:val="bottom"/>
            <w:hideMark/>
          </w:tcPr>
          <w:p w:rsidR="00C74A95" w:rsidRPr="00C12ABC" w:rsidRDefault="00C74A95" w:rsidP="00717657">
            <w:pPr>
              <w:suppressAutoHyphens w:val="0"/>
              <w:jc w:val="right"/>
              <w:rPr>
                <w:rFonts w:ascii="Arial" w:hAnsi="Arial" w:cs="Arial"/>
                <w:color w:val="000000"/>
                <w:sz w:val="18"/>
                <w:szCs w:val="18"/>
                <w:lang w:eastAsia="cs-CZ"/>
              </w:rPr>
            </w:pPr>
            <w:r w:rsidRPr="00C12ABC">
              <w:rPr>
                <w:rFonts w:ascii="Arial" w:hAnsi="Arial" w:cs="Arial"/>
                <w:color w:val="000000"/>
                <w:sz w:val="18"/>
                <w:szCs w:val="18"/>
                <w:lang w:eastAsia="cs-CZ"/>
              </w:rPr>
              <w:t>57</w:t>
            </w:r>
            <w:r w:rsidR="00FE02A2">
              <w:rPr>
                <w:rFonts w:ascii="Arial" w:hAnsi="Arial" w:cs="Arial"/>
                <w:color w:val="000000"/>
                <w:sz w:val="18"/>
                <w:szCs w:val="18"/>
                <w:lang w:eastAsia="cs-CZ"/>
              </w:rPr>
              <w:t xml:space="preserve"> </w:t>
            </w:r>
            <w:r w:rsidRPr="00C12ABC">
              <w:rPr>
                <w:rFonts w:ascii="Arial" w:hAnsi="Arial" w:cs="Arial"/>
                <w:color w:val="000000"/>
                <w:sz w:val="18"/>
                <w:szCs w:val="18"/>
                <w:lang w:eastAsia="cs-CZ"/>
              </w:rPr>
              <w:t>%</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C74A95" w:rsidRPr="00C12ABC" w:rsidRDefault="00C74A95" w:rsidP="004401C1">
            <w:pPr>
              <w:suppressAutoHyphens w:val="0"/>
              <w:ind w:right="851"/>
              <w:jc w:val="right"/>
              <w:rPr>
                <w:rFonts w:ascii="Arial" w:hAnsi="Arial" w:cs="Arial"/>
                <w:color w:val="000000"/>
                <w:sz w:val="18"/>
                <w:szCs w:val="18"/>
                <w:lang w:eastAsia="cs-CZ"/>
              </w:rPr>
            </w:pPr>
            <w:r w:rsidRPr="00C12ABC">
              <w:rPr>
                <w:rFonts w:ascii="Arial" w:hAnsi="Arial" w:cs="Arial"/>
                <w:color w:val="000000"/>
                <w:sz w:val="18"/>
                <w:szCs w:val="18"/>
                <w:lang w:eastAsia="cs-CZ"/>
              </w:rPr>
              <w:t>x</w:t>
            </w:r>
          </w:p>
        </w:tc>
      </w:tr>
    </w:tbl>
    <w:p w:rsidR="00C74A95" w:rsidRDefault="00C74A95" w:rsidP="00C74A95">
      <w:pPr>
        <w:pStyle w:val="normlnmezera"/>
        <w:spacing w:before="0"/>
        <w:rPr>
          <w:rFonts w:cs="Arial"/>
          <w:sz w:val="18"/>
          <w:szCs w:val="18"/>
        </w:rPr>
      </w:pPr>
      <w:r w:rsidRPr="00731BA0">
        <w:rPr>
          <w:rFonts w:cs="Arial"/>
          <w:b/>
          <w:sz w:val="18"/>
          <w:szCs w:val="18"/>
        </w:rPr>
        <w:t>Zdroj:</w:t>
      </w:r>
      <w:r>
        <w:rPr>
          <w:rFonts w:cs="Arial"/>
          <w:sz w:val="18"/>
          <w:szCs w:val="18"/>
        </w:rPr>
        <w:t xml:space="preserve"> </w:t>
      </w:r>
      <w:r w:rsidR="002F76DA">
        <w:rPr>
          <w:rFonts w:cs="Arial"/>
          <w:sz w:val="18"/>
          <w:szCs w:val="18"/>
        </w:rPr>
        <w:t>Ř</w:t>
      </w:r>
      <w:r>
        <w:rPr>
          <w:rFonts w:cs="Arial"/>
          <w:sz w:val="18"/>
          <w:szCs w:val="18"/>
        </w:rPr>
        <w:t>SD, zpracováno NKÚ</w:t>
      </w:r>
      <w:r w:rsidR="00731BA0">
        <w:rPr>
          <w:rFonts w:cs="Arial"/>
          <w:sz w:val="18"/>
          <w:szCs w:val="18"/>
        </w:rPr>
        <w:t>.</w:t>
      </w:r>
      <w:r w:rsidRPr="00C12ABC">
        <w:rPr>
          <w:rFonts w:cs="Arial"/>
          <w:sz w:val="18"/>
          <w:szCs w:val="18"/>
        </w:rPr>
        <w:t xml:space="preserve"> </w:t>
      </w:r>
    </w:p>
    <w:p w:rsidR="00C74A95" w:rsidRPr="004401C1" w:rsidRDefault="00C74A95" w:rsidP="00C74A95">
      <w:pPr>
        <w:pStyle w:val="normlnmezera"/>
        <w:spacing w:before="0"/>
        <w:rPr>
          <w:rFonts w:cs="Arial"/>
          <w:szCs w:val="22"/>
        </w:rPr>
      </w:pPr>
    </w:p>
    <w:p w:rsidR="00641038" w:rsidRDefault="00B453F7" w:rsidP="004401C1">
      <w:pPr>
        <w:jc w:val="both"/>
        <w:rPr>
          <w:rFonts w:ascii="Arial" w:hAnsi="Arial" w:cs="Arial"/>
          <w:sz w:val="22"/>
          <w:szCs w:val="22"/>
        </w:rPr>
      </w:pPr>
      <w:r>
        <w:rPr>
          <w:rFonts w:ascii="Arial" w:hAnsi="Arial" w:cs="Arial"/>
          <w:sz w:val="22"/>
          <w:szCs w:val="22"/>
        </w:rPr>
        <w:t xml:space="preserve">Vývoj předepsaného mýtného a mýtných transakcí mezi roky </w:t>
      </w:r>
      <w:r w:rsidR="00286C6E" w:rsidRPr="00A307A9">
        <w:rPr>
          <w:rFonts w:ascii="Arial" w:hAnsi="Arial" w:cs="Arial"/>
          <w:sz w:val="22"/>
          <w:szCs w:val="22"/>
        </w:rPr>
        <w:t>2010 a 2011</w:t>
      </w:r>
      <w:r>
        <w:rPr>
          <w:rFonts w:ascii="Arial" w:hAnsi="Arial" w:cs="Arial"/>
          <w:sz w:val="22"/>
          <w:szCs w:val="22"/>
        </w:rPr>
        <w:t xml:space="preserve"> je uveden</w:t>
      </w:r>
      <w:r w:rsidR="000C4C68">
        <w:rPr>
          <w:rFonts w:ascii="Arial" w:hAnsi="Arial" w:cs="Arial"/>
          <w:sz w:val="22"/>
          <w:szCs w:val="22"/>
        </w:rPr>
        <w:t xml:space="preserve"> v</w:t>
      </w:r>
      <w:r w:rsidR="00731BA0">
        <w:rPr>
          <w:rFonts w:ascii="Arial" w:hAnsi="Arial" w:cs="Arial"/>
          <w:sz w:val="22"/>
          <w:szCs w:val="22"/>
        </w:rPr>
        <w:t> </w:t>
      </w:r>
      <w:r>
        <w:rPr>
          <w:rFonts w:ascii="Arial" w:hAnsi="Arial" w:cs="Arial"/>
          <w:sz w:val="22"/>
          <w:szCs w:val="22"/>
        </w:rPr>
        <w:t>tabulce č. 2. Za srovnatelné časové období</w:t>
      </w:r>
      <w:r w:rsidR="00286C6E" w:rsidRPr="00D47603">
        <w:rPr>
          <w:rFonts w:ascii="Arial" w:hAnsi="Arial" w:cs="Arial"/>
          <w:sz w:val="22"/>
          <w:szCs w:val="22"/>
        </w:rPr>
        <w:t xml:space="preserve"> roku 2012 bylo </w:t>
      </w:r>
      <w:r w:rsidR="00E078C4" w:rsidRPr="00D47603">
        <w:rPr>
          <w:rFonts w:ascii="Arial" w:hAnsi="Arial" w:cs="Arial"/>
          <w:sz w:val="22"/>
          <w:szCs w:val="22"/>
        </w:rPr>
        <w:t>předepsané</w:t>
      </w:r>
      <w:r w:rsidR="00286C6E" w:rsidRPr="00D47603">
        <w:rPr>
          <w:rFonts w:ascii="Arial" w:hAnsi="Arial" w:cs="Arial"/>
          <w:sz w:val="22"/>
          <w:szCs w:val="22"/>
        </w:rPr>
        <w:t xml:space="preserve"> mýtné navýšeno o</w:t>
      </w:r>
      <w:r w:rsidR="00731BA0">
        <w:rPr>
          <w:rFonts w:ascii="Arial" w:hAnsi="Arial" w:cs="Arial"/>
          <w:sz w:val="22"/>
          <w:szCs w:val="22"/>
        </w:rPr>
        <w:t> </w:t>
      </w:r>
      <w:r w:rsidR="001326CA" w:rsidRPr="00D47603">
        <w:rPr>
          <w:rFonts w:ascii="Arial" w:hAnsi="Arial" w:cs="Arial"/>
          <w:sz w:val="22"/>
          <w:szCs w:val="22"/>
        </w:rPr>
        <w:t>8 </w:t>
      </w:r>
      <w:r w:rsidR="00286C6E" w:rsidRPr="00D47603">
        <w:rPr>
          <w:rFonts w:ascii="Arial" w:hAnsi="Arial" w:cs="Arial"/>
          <w:sz w:val="22"/>
          <w:szCs w:val="22"/>
        </w:rPr>
        <w:t>%</w:t>
      </w:r>
      <w:r w:rsidR="00CB4E6B" w:rsidRPr="00D47603">
        <w:rPr>
          <w:rFonts w:ascii="Arial" w:hAnsi="Arial" w:cs="Arial"/>
          <w:sz w:val="22"/>
          <w:szCs w:val="22"/>
        </w:rPr>
        <w:t xml:space="preserve"> (odůvodnění </w:t>
      </w:r>
      <w:r w:rsidR="007A1976">
        <w:rPr>
          <w:rFonts w:ascii="Arial" w:hAnsi="Arial" w:cs="Arial"/>
          <w:sz w:val="22"/>
          <w:szCs w:val="22"/>
        </w:rPr>
        <w:t>k </w:t>
      </w:r>
      <w:r w:rsidR="001326CA" w:rsidRPr="00D47603">
        <w:rPr>
          <w:rFonts w:ascii="Arial" w:hAnsi="Arial" w:cs="Arial"/>
          <w:sz w:val="22"/>
          <w:szCs w:val="22"/>
        </w:rPr>
        <w:t>nařízení vlády předpokládalo 15</w:t>
      </w:r>
      <w:r w:rsidR="00CB4E6B" w:rsidRPr="00D47603">
        <w:rPr>
          <w:rFonts w:ascii="Arial" w:hAnsi="Arial" w:cs="Arial"/>
          <w:sz w:val="22"/>
          <w:szCs w:val="22"/>
        </w:rPr>
        <w:t>%</w:t>
      </w:r>
      <w:r w:rsidR="00AF413D" w:rsidRPr="00D47603">
        <w:rPr>
          <w:rFonts w:ascii="Arial" w:hAnsi="Arial" w:cs="Arial"/>
          <w:sz w:val="22"/>
          <w:szCs w:val="22"/>
        </w:rPr>
        <w:t xml:space="preserve"> navýšení mýtného</w:t>
      </w:r>
      <w:r w:rsidR="00632300" w:rsidRPr="00D47603">
        <w:rPr>
          <w:rFonts w:ascii="Arial" w:hAnsi="Arial" w:cs="Arial"/>
          <w:sz w:val="22"/>
          <w:szCs w:val="22"/>
        </w:rPr>
        <w:t xml:space="preserve"> za rok</w:t>
      </w:r>
      <w:r w:rsidR="00632300" w:rsidRPr="00351D7B">
        <w:rPr>
          <w:rFonts w:ascii="Arial" w:hAnsi="Arial" w:cs="Arial"/>
          <w:sz w:val="22"/>
          <w:szCs w:val="22"/>
        </w:rPr>
        <w:t xml:space="preserve"> 2012</w:t>
      </w:r>
      <w:r w:rsidR="00CB4E6B" w:rsidRPr="00351D7B">
        <w:rPr>
          <w:rFonts w:ascii="Arial" w:hAnsi="Arial" w:cs="Arial"/>
          <w:sz w:val="22"/>
          <w:szCs w:val="22"/>
        </w:rPr>
        <w:t>)</w:t>
      </w:r>
      <w:r w:rsidR="00286C6E" w:rsidRPr="00351D7B">
        <w:rPr>
          <w:rFonts w:ascii="Arial" w:hAnsi="Arial" w:cs="Arial"/>
          <w:sz w:val="22"/>
          <w:szCs w:val="22"/>
        </w:rPr>
        <w:t xml:space="preserve">. </w:t>
      </w:r>
      <w:r>
        <w:rPr>
          <w:rFonts w:ascii="Arial" w:hAnsi="Arial" w:cs="Arial"/>
          <w:sz w:val="22"/>
          <w:szCs w:val="22"/>
        </w:rPr>
        <w:t xml:space="preserve"> </w:t>
      </w:r>
    </w:p>
    <w:p w:rsidR="005D555B" w:rsidRDefault="005D555B" w:rsidP="004401C1">
      <w:pPr>
        <w:jc w:val="both"/>
        <w:rPr>
          <w:rFonts w:ascii="Arial" w:hAnsi="Arial" w:cs="Arial"/>
          <w:sz w:val="22"/>
          <w:szCs w:val="22"/>
        </w:rPr>
      </w:pPr>
    </w:p>
    <w:p w:rsidR="00286C6E" w:rsidRPr="00061684" w:rsidRDefault="00286C6E" w:rsidP="004401C1">
      <w:pPr>
        <w:pStyle w:val="Nadpis2"/>
        <w:numPr>
          <w:ilvl w:val="2"/>
          <w:numId w:val="18"/>
        </w:numPr>
        <w:spacing w:before="0" w:after="120"/>
        <w:ind w:left="284" w:hanging="284"/>
        <w:jc w:val="both"/>
        <w:rPr>
          <w:rFonts w:ascii="Arial" w:hAnsi="Arial" w:cs="Arial"/>
          <w:i w:val="0"/>
          <w:sz w:val="22"/>
          <w:szCs w:val="22"/>
        </w:rPr>
      </w:pPr>
      <w:r w:rsidRPr="00061684">
        <w:rPr>
          <w:rFonts w:ascii="Arial" w:hAnsi="Arial" w:cs="Arial"/>
          <w:i w:val="0"/>
          <w:sz w:val="22"/>
          <w:szCs w:val="22"/>
        </w:rPr>
        <w:lastRenderedPageBreak/>
        <w:t xml:space="preserve">Slevy na mýtném a princip spravedlnosti </w:t>
      </w:r>
    </w:p>
    <w:p w:rsidR="00412810" w:rsidRPr="00412810" w:rsidRDefault="00C23E5D" w:rsidP="00412810">
      <w:pPr>
        <w:jc w:val="both"/>
        <w:rPr>
          <w:rFonts w:ascii="Arial" w:hAnsi="Arial" w:cs="Arial"/>
          <w:sz w:val="22"/>
          <w:szCs w:val="22"/>
        </w:rPr>
      </w:pPr>
      <w:r>
        <w:rPr>
          <w:rFonts w:ascii="Arial" w:hAnsi="Arial" w:cs="Arial"/>
          <w:sz w:val="22"/>
          <w:szCs w:val="22"/>
        </w:rPr>
        <w:t>Slevy na mýtném byly zavedeny s účinností od 22.</w:t>
      </w:r>
      <w:r w:rsidR="008E6A1A">
        <w:rPr>
          <w:rFonts w:ascii="Arial" w:hAnsi="Arial" w:cs="Arial"/>
          <w:sz w:val="22"/>
          <w:szCs w:val="22"/>
        </w:rPr>
        <w:t xml:space="preserve"> </w:t>
      </w:r>
      <w:r>
        <w:rPr>
          <w:rFonts w:ascii="Arial" w:hAnsi="Arial" w:cs="Arial"/>
          <w:sz w:val="22"/>
          <w:szCs w:val="22"/>
        </w:rPr>
        <w:t xml:space="preserve">října 2012. </w:t>
      </w:r>
      <w:r w:rsidR="00C4781C">
        <w:rPr>
          <w:rFonts w:ascii="Arial" w:hAnsi="Arial" w:cs="Arial"/>
          <w:sz w:val="22"/>
          <w:szCs w:val="22"/>
        </w:rPr>
        <w:t xml:space="preserve">MD </w:t>
      </w:r>
      <w:proofErr w:type="gramStart"/>
      <w:r w:rsidR="00C4781C">
        <w:rPr>
          <w:rFonts w:ascii="Arial" w:hAnsi="Arial" w:cs="Arial"/>
          <w:sz w:val="22"/>
          <w:szCs w:val="22"/>
        </w:rPr>
        <w:t>předpokládalo</w:t>
      </w:r>
      <w:proofErr w:type="gramEnd"/>
      <w:r w:rsidR="00C4781C">
        <w:rPr>
          <w:rFonts w:ascii="Arial" w:hAnsi="Arial" w:cs="Arial"/>
          <w:sz w:val="22"/>
          <w:szCs w:val="22"/>
        </w:rPr>
        <w:t xml:space="preserve"> m</w:t>
      </w:r>
      <w:r w:rsidR="00C4781C" w:rsidRPr="00864883">
        <w:rPr>
          <w:rFonts w:ascii="Arial" w:hAnsi="Arial" w:cs="Arial"/>
          <w:sz w:val="22"/>
          <w:szCs w:val="22"/>
        </w:rPr>
        <w:t xml:space="preserve">aximální roční </w:t>
      </w:r>
      <w:r w:rsidR="00C4781C" w:rsidRPr="00412810">
        <w:rPr>
          <w:rFonts w:ascii="Arial" w:hAnsi="Arial" w:cs="Arial"/>
          <w:sz w:val="22"/>
          <w:szCs w:val="22"/>
        </w:rPr>
        <w:t xml:space="preserve">výši slev </w:t>
      </w:r>
      <w:r w:rsidR="002F76DA">
        <w:rPr>
          <w:rFonts w:ascii="Arial" w:hAnsi="Arial" w:cs="Arial"/>
          <w:sz w:val="22"/>
          <w:szCs w:val="22"/>
        </w:rPr>
        <w:t xml:space="preserve">v částce </w:t>
      </w:r>
      <w:r w:rsidR="00C4781C" w:rsidRPr="00412810">
        <w:rPr>
          <w:rFonts w:ascii="Arial" w:hAnsi="Arial" w:cs="Arial"/>
          <w:sz w:val="22"/>
          <w:szCs w:val="22"/>
        </w:rPr>
        <w:t>350 mil. Kč</w:t>
      </w:r>
      <w:r w:rsidR="00342614">
        <w:rPr>
          <w:rFonts w:ascii="Arial" w:hAnsi="Arial" w:cs="Arial"/>
          <w:sz w:val="22"/>
          <w:szCs w:val="22"/>
        </w:rPr>
        <w:t xml:space="preserve">, </w:t>
      </w:r>
      <w:r w:rsidR="002F76DA">
        <w:rPr>
          <w:rFonts w:ascii="Arial" w:hAnsi="Arial" w:cs="Arial"/>
          <w:sz w:val="22"/>
          <w:szCs w:val="22"/>
        </w:rPr>
        <w:t>přičemž slevy mělo</w:t>
      </w:r>
      <w:r w:rsidR="00342614">
        <w:rPr>
          <w:rFonts w:ascii="Arial" w:hAnsi="Arial" w:cs="Arial"/>
          <w:sz w:val="22"/>
          <w:szCs w:val="22"/>
        </w:rPr>
        <w:t xml:space="preserve"> využívat</w:t>
      </w:r>
      <w:r w:rsidR="00C4781C" w:rsidRPr="00864883">
        <w:rPr>
          <w:rFonts w:ascii="Arial" w:hAnsi="Arial" w:cs="Arial"/>
          <w:sz w:val="22"/>
          <w:szCs w:val="22"/>
        </w:rPr>
        <w:t xml:space="preserve"> cca 20 </w:t>
      </w:r>
      <w:r w:rsidR="002F76DA">
        <w:rPr>
          <w:rFonts w:ascii="Arial" w:hAnsi="Arial" w:cs="Arial"/>
          <w:sz w:val="22"/>
          <w:szCs w:val="22"/>
        </w:rPr>
        <w:t>000</w:t>
      </w:r>
      <w:r w:rsidR="00C4781C" w:rsidRPr="00864883">
        <w:rPr>
          <w:rFonts w:ascii="Arial" w:hAnsi="Arial" w:cs="Arial"/>
          <w:sz w:val="22"/>
          <w:szCs w:val="22"/>
        </w:rPr>
        <w:t xml:space="preserve"> dopravců</w:t>
      </w:r>
      <w:r w:rsidR="002F76DA">
        <w:rPr>
          <w:rFonts w:ascii="Arial" w:hAnsi="Arial" w:cs="Arial"/>
          <w:sz w:val="22"/>
          <w:szCs w:val="22"/>
        </w:rPr>
        <w:t>.</w:t>
      </w:r>
      <w:r w:rsidR="00C17995" w:rsidRPr="004401C1">
        <w:rPr>
          <w:rFonts w:ascii="Arial" w:hAnsi="Arial" w:cs="Arial"/>
          <w:sz w:val="22"/>
          <w:szCs w:val="22"/>
          <w:vertAlign w:val="superscript"/>
        </w:rPr>
        <w:footnoteReference w:id="15"/>
      </w:r>
      <w:r w:rsidR="00C4781C">
        <w:rPr>
          <w:rFonts w:ascii="Arial" w:hAnsi="Arial" w:cs="Arial"/>
          <w:sz w:val="22"/>
          <w:szCs w:val="22"/>
        </w:rPr>
        <w:t xml:space="preserve"> </w:t>
      </w:r>
      <w:r w:rsidR="007A1976">
        <w:rPr>
          <w:rFonts w:ascii="Arial" w:hAnsi="Arial" w:cs="Arial"/>
          <w:sz w:val="22"/>
          <w:szCs w:val="22"/>
        </w:rPr>
        <w:t>V </w:t>
      </w:r>
      <w:r w:rsidR="00412810">
        <w:rPr>
          <w:rFonts w:ascii="Arial" w:hAnsi="Arial" w:cs="Arial"/>
          <w:sz w:val="22"/>
          <w:szCs w:val="22"/>
        </w:rPr>
        <w:t xml:space="preserve">odůvodnění k nařízení vlády </w:t>
      </w:r>
      <w:r w:rsidR="00890002">
        <w:rPr>
          <w:rFonts w:ascii="Arial" w:hAnsi="Arial" w:cs="Arial"/>
          <w:sz w:val="22"/>
          <w:szCs w:val="22"/>
        </w:rPr>
        <w:t>a dohodě</w:t>
      </w:r>
      <w:r w:rsidR="0062028F">
        <w:rPr>
          <w:rFonts w:ascii="Arial" w:hAnsi="Arial" w:cs="Arial"/>
          <w:sz w:val="22"/>
          <w:szCs w:val="22"/>
        </w:rPr>
        <w:t xml:space="preserve"> </w:t>
      </w:r>
      <w:r w:rsidR="00890002">
        <w:rPr>
          <w:rFonts w:ascii="Arial" w:hAnsi="Arial" w:cs="Arial"/>
          <w:sz w:val="22"/>
          <w:szCs w:val="22"/>
        </w:rPr>
        <w:t>s </w:t>
      </w:r>
      <w:proofErr w:type="gramStart"/>
      <w:r w:rsidR="00890002">
        <w:rPr>
          <w:rFonts w:ascii="Arial" w:hAnsi="Arial" w:cs="Arial"/>
          <w:sz w:val="22"/>
          <w:szCs w:val="22"/>
        </w:rPr>
        <w:t>ČESMAD</w:t>
      </w:r>
      <w:proofErr w:type="gramEnd"/>
      <w:r w:rsidR="00890002">
        <w:rPr>
          <w:rFonts w:ascii="Arial" w:hAnsi="Arial" w:cs="Arial"/>
          <w:sz w:val="22"/>
          <w:szCs w:val="22"/>
        </w:rPr>
        <w:t xml:space="preserve"> </w:t>
      </w:r>
      <w:r w:rsidR="00412810">
        <w:rPr>
          <w:rFonts w:ascii="Arial" w:hAnsi="Arial" w:cs="Arial"/>
          <w:sz w:val="22"/>
          <w:szCs w:val="22"/>
        </w:rPr>
        <w:t>se předpokládalo, že sleva bude</w:t>
      </w:r>
      <w:r w:rsidR="00412810" w:rsidRPr="00412810">
        <w:rPr>
          <w:rFonts w:ascii="Arial" w:hAnsi="Arial" w:cs="Arial"/>
          <w:sz w:val="22"/>
          <w:szCs w:val="22"/>
        </w:rPr>
        <w:t xml:space="preserve"> </w:t>
      </w:r>
      <w:r w:rsidR="00890002">
        <w:rPr>
          <w:rFonts w:ascii="Arial" w:hAnsi="Arial" w:cs="Arial"/>
          <w:sz w:val="22"/>
          <w:szCs w:val="22"/>
        </w:rPr>
        <w:t xml:space="preserve">kompenzována </w:t>
      </w:r>
      <w:r w:rsidR="00412810" w:rsidRPr="00412810">
        <w:rPr>
          <w:rFonts w:ascii="Arial" w:hAnsi="Arial" w:cs="Arial"/>
          <w:sz w:val="22"/>
          <w:szCs w:val="22"/>
        </w:rPr>
        <w:t>v rámci zvýšených příjmů z </w:t>
      </w:r>
      <w:r w:rsidR="00342614" w:rsidRPr="00412810">
        <w:rPr>
          <w:rFonts w:ascii="Arial" w:hAnsi="Arial" w:cs="Arial"/>
          <w:sz w:val="22"/>
          <w:szCs w:val="22"/>
        </w:rPr>
        <w:t>mýtného v důsledku</w:t>
      </w:r>
      <w:r w:rsidR="00412810" w:rsidRPr="00412810">
        <w:rPr>
          <w:rFonts w:ascii="Arial" w:hAnsi="Arial" w:cs="Arial"/>
          <w:sz w:val="22"/>
          <w:szCs w:val="22"/>
        </w:rPr>
        <w:t xml:space="preserve"> zvýšených tarifních sazeb, které budou činit cca 1 mld. Kč. </w:t>
      </w:r>
      <w:r w:rsidR="004B61E7" w:rsidRPr="00890002">
        <w:rPr>
          <w:rFonts w:ascii="Arial" w:hAnsi="Arial" w:cs="Arial"/>
          <w:sz w:val="22"/>
          <w:szCs w:val="22"/>
        </w:rPr>
        <w:t>Náklady na zavedení a administraci slev činily 45</w:t>
      </w:r>
      <w:r w:rsidR="002F76DA">
        <w:rPr>
          <w:rFonts w:ascii="Arial" w:hAnsi="Arial" w:cs="Arial"/>
          <w:sz w:val="22"/>
          <w:szCs w:val="22"/>
        </w:rPr>
        <w:t> </w:t>
      </w:r>
      <w:r w:rsidR="004B61E7" w:rsidRPr="00890002">
        <w:rPr>
          <w:rFonts w:ascii="Arial" w:hAnsi="Arial" w:cs="Arial"/>
          <w:sz w:val="22"/>
          <w:szCs w:val="22"/>
        </w:rPr>
        <w:t>mil.</w:t>
      </w:r>
      <w:r w:rsidR="002F76DA">
        <w:rPr>
          <w:rFonts w:ascii="Arial" w:hAnsi="Arial" w:cs="Arial"/>
          <w:sz w:val="22"/>
          <w:szCs w:val="22"/>
        </w:rPr>
        <w:t> </w:t>
      </w:r>
      <w:r w:rsidR="004B61E7" w:rsidRPr="00890002">
        <w:rPr>
          <w:rFonts w:ascii="Arial" w:hAnsi="Arial" w:cs="Arial"/>
          <w:sz w:val="22"/>
          <w:szCs w:val="22"/>
        </w:rPr>
        <w:t>Kč</w:t>
      </w:r>
      <w:r w:rsidR="002F76DA">
        <w:rPr>
          <w:rFonts w:ascii="Arial" w:hAnsi="Arial" w:cs="Arial"/>
          <w:sz w:val="22"/>
          <w:szCs w:val="22"/>
        </w:rPr>
        <w:t>.</w:t>
      </w:r>
      <w:r w:rsidR="004B61E7" w:rsidRPr="00890002">
        <w:rPr>
          <w:rStyle w:val="Znakapoznpodarou"/>
          <w:rFonts w:ascii="Arial" w:hAnsi="Arial" w:cs="Arial"/>
          <w:sz w:val="22"/>
          <w:szCs w:val="22"/>
        </w:rPr>
        <w:footnoteReference w:id="16"/>
      </w:r>
      <w:r w:rsidR="008E6A1A">
        <w:rPr>
          <w:rFonts w:ascii="Arial" w:hAnsi="Arial" w:cs="Arial"/>
          <w:sz w:val="22"/>
          <w:szCs w:val="22"/>
        </w:rPr>
        <w:t xml:space="preserve"> </w:t>
      </w:r>
    </w:p>
    <w:p w:rsidR="00412810" w:rsidRPr="004401C1" w:rsidRDefault="00412810" w:rsidP="00412810">
      <w:pPr>
        <w:jc w:val="both"/>
        <w:rPr>
          <w:rFonts w:ascii="Arial" w:hAnsi="Arial" w:cs="Arial"/>
          <w:sz w:val="22"/>
          <w:szCs w:val="22"/>
          <w:lang w:eastAsia="cs-CZ"/>
        </w:rPr>
      </w:pPr>
    </w:p>
    <w:p w:rsidR="00595C19" w:rsidRDefault="00890002" w:rsidP="004401C1">
      <w:pPr>
        <w:jc w:val="both"/>
        <w:rPr>
          <w:rFonts w:ascii="Arial" w:hAnsi="Arial" w:cs="Arial"/>
          <w:sz w:val="22"/>
          <w:szCs w:val="22"/>
        </w:rPr>
      </w:pPr>
      <w:r>
        <w:rPr>
          <w:rFonts w:ascii="Arial" w:hAnsi="Arial" w:cs="Arial"/>
          <w:sz w:val="22"/>
          <w:szCs w:val="22"/>
        </w:rPr>
        <w:t>Podle odůvodnění k nařízení vlády</w:t>
      </w:r>
      <w:r w:rsidR="004B61E7">
        <w:rPr>
          <w:rFonts w:ascii="Arial" w:hAnsi="Arial" w:cs="Arial"/>
          <w:sz w:val="22"/>
          <w:szCs w:val="22"/>
        </w:rPr>
        <w:t xml:space="preserve"> MD očekávalo, že získ</w:t>
      </w:r>
      <w:r w:rsidR="00FE6F94">
        <w:rPr>
          <w:rFonts w:ascii="Arial" w:hAnsi="Arial" w:cs="Arial"/>
          <w:sz w:val="22"/>
          <w:szCs w:val="22"/>
        </w:rPr>
        <w:t>áním nových informací zejména o </w:t>
      </w:r>
      <w:r w:rsidR="004B61E7">
        <w:rPr>
          <w:rFonts w:ascii="Arial" w:hAnsi="Arial" w:cs="Arial"/>
          <w:sz w:val="22"/>
          <w:szCs w:val="22"/>
        </w:rPr>
        <w:t>uživatelích v režimu placení předem a jejich vozidlech dojde</w:t>
      </w:r>
      <w:r>
        <w:rPr>
          <w:rFonts w:ascii="Arial" w:hAnsi="Arial" w:cs="Arial"/>
          <w:sz w:val="22"/>
          <w:szCs w:val="22"/>
        </w:rPr>
        <w:t xml:space="preserve"> k úspoře administrativních nákladů na kontrolu a vymáhání nedoplatků. </w:t>
      </w:r>
      <w:r w:rsidRPr="00844CCC">
        <w:rPr>
          <w:rFonts w:ascii="Arial" w:hAnsi="Arial" w:cs="Arial"/>
          <w:sz w:val="22"/>
          <w:szCs w:val="22"/>
        </w:rPr>
        <w:t>Tyto údaje a doklady však ŘSD mohlo požadovat i před zavedením slev. Nejnižší sleva 5 % je poskytována po</w:t>
      </w:r>
      <w:r>
        <w:rPr>
          <w:rFonts w:ascii="Arial" w:hAnsi="Arial" w:cs="Arial"/>
          <w:sz w:val="22"/>
          <w:szCs w:val="22"/>
        </w:rPr>
        <w:t xml:space="preserve"> projetí mýtného nad 100 </w:t>
      </w:r>
      <w:r w:rsidRPr="000E2FF4">
        <w:rPr>
          <w:rFonts w:ascii="Arial" w:hAnsi="Arial" w:cs="Arial"/>
          <w:sz w:val="22"/>
          <w:szCs w:val="22"/>
        </w:rPr>
        <w:t>000 Kč</w:t>
      </w:r>
      <w:r>
        <w:rPr>
          <w:rFonts w:ascii="Arial" w:hAnsi="Arial" w:cs="Arial"/>
          <w:sz w:val="22"/>
          <w:szCs w:val="22"/>
        </w:rPr>
        <w:t xml:space="preserve"> ročně. Režim placení předem využívají převážně zahraniční uživatelé s nižším spotřebovaným mýtným, kteří neprojedou mýtné ve výši nutné pro přiznání slevy. </w:t>
      </w:r>
      <w:r w:rsidRPr="001F2E11">
        <w:rPr>
          <w:rFonts w:ascii="Arial" w:hAnsi="Arial" w:cs="Arial"/>
          <w:sz w:val="22"/>
          <w:szCs w:val="22"/>
        </w:rPr>
        <w:t>232</w:t>
      </w:r>
      <w:r w:rsidR="005270E3">
        <w:rPr>
          <w:rFonts w:ascii="Arial" w:hAnsi="Arial" w:cs="Arial"/>
          <w:sz w:val="22"/>
          <w:szCs w:val="22"/>
        </w:rPr>
        <w:t> </w:t>
      </w:r>
      <w:r w:rsidRPr="001F2E11">
        <w:rPr>
          <w:rFonts w:ascii="Arial" w:hAnsi="Arial" w:cs="Arial"/>
          <w:sz w:val="22"/>
          <w:szCs w:val="22"/>
        </w:rPr>
        <w:t>554</w:t>
      </w:r>
      <w:r w:rsidR="005270E3">
        <w:rPr>
          <w:rFonts w:ascii="Arial" w:hAnsi="Arial" w:cs="Arial"/>
          <w:sz w:val="22"/>
          <w:szCs w:val="22"/>
        </w:rPr>
        <w:t> </w:t>
      </w:r>
      <w:r w:rsidRPr="003812F7">
        <w:rPr>
          <w:rFonts w:ascii="Arial" w:hAnsi="Arial"/>
          <w:sz w:val="22"/>
        </w:rPr>
        <w:t xml:space="preserve">elektronických palubních </w:t>
      </w:r>
      <w:r w:rsidR="007618F6">
        <w:rPr>
          <w:rFonts w:ascii="Arial" w:hAnsi="Arial"/>
          <w:sz w:val="22"/>
        </w:rPr>
        <w:t>jednotek</w:t>
      </w:r>
      <w:r w:rsidRPr="003812F7">
        <w:rPr>
          <w:rFonts w:ascii="Arial" w:hAnsi="Arial"/>
          <w:sz w:val="22"/>
        </w:rPr>
        <w:t xml:space="preserve"> (dále také „OBU“)</w:t>
      </w:r>
      <w:r w:rsidRPr="003812F7">
        <w:rPr>
          <w:rFonts w:ascii="Arial" w:hAnsi="Arial"/>
          <w:sz w:val="22"/>
          <w:vertAlign w:val="superscript"/>
        </w:rPr>
        <w:footnoteReference w:id="17"/>
      </w:r>
      <w:r w:rsidRPr="003812F7">
        <w:rPr>
          <w:rFonts w:ascii="Arial" w:hAnsi="Arial"/>
          <w:sz w:val="22"/>
        </w:rPr>
        <w:t xml:space="preserve"> </w:t>
      </w:r>
      <w:r w:rsidRPr="003812F7">
        <w:rPr>
          <w:rFonts w:ascii="Arial" w:hAnsi="Arial" w:cs="Arial"/>
          <w:sz w:val="22"/>
          <w:szCs w:val="22"/>
        </w:rPr>
        <w:t>registrovaných na zahraniční</w:t>
      </w:r>
      <w:r>
        <w:rPr>
          <w:rFonts w:ascii="Arial" w:hAnsi="Arial" w:cs="Arial"/>
          <w:sz w:val="22"/>
          <w:szCs w:val="22"/>
        </w:rPr>
        <w:t xml:space="preserve"> uživatele </w:t>
      </w:r>
      <w:r w:rsidR="007618F6" w:rsidRPr="001F2E11">
        <w:rPr>
          <w:rFonts w:ascii="Arial" w:hAnsi="Arial" w:cs="Arial"/>
          <w:sz w:val="22"/>
          <w:szCs w:val="22"/>
        </w:rPr>
        <w:t>realizoval</w:t>
      </w:r>
      <w:r w:rsidR="007618F6">
        <w:rPr>
          <w:rFonts w:ascii="Arial" w:hAnsi="Arial" w:cs="Arial"/>
          <w:sz w:val="22"/>
          <w:szCs w:val="22"/>
        </w:rPr>
        <w:t>o</w:t>
      </w:r>
      <w:r w:rsidR="007618F6" w:rsidRPr="001F2E11">
        <w:rPr>
          <w:rFonts w:ascii="Arial" w:hAnsi="Arial" w:cs="Arial"/>
          <w:sz w:val="22"/>
          <w:szCs w:val="22"/>
        </w:rPr>
        <w:t xml:space="preserve"> </w:t>
      </w:r>
      <w:r>
        <w:rPr>
          <w:rFonts w:ascii="Arial" w:hAnsi="Arial" w:cs="Arial"/>
          <w:sz w:val="22"/>
          <w:szCs w:val="22"/>
        </w:rPr>
        <w:t>v</w:t>
      </w:r>
      <w:r w:rsidRPr="001F2E11">
        <w:rPr>
          <w:rFonts w:ascii="Arial" w:hAnsi="Arial" w:cs="Arial"/>
          <w:sz w:val="22"/>
          <w:szCs w:val="22"/>
        </w:rPr>
        <w:t xml:space="preserve"> roce 2011 </w:t>
      </w:r>
      <w:r w:rsidR="007618F6">
        <w:rPr>
          <w:rFonts w:ascii="Arial" w:hAnsi="Arial" w:cs="Arial"/>
          <w:sz w:val="22"/>
          <w:szCs w:val="22"/>
        </w:rPr>
        <w:t>celkem</w:t>
      </w:r>
      <w:r w:rsidR="00D7735D">
        <w:rPr>
          <w:rFonts w:ascii="Arial" w:hAnsi="Arial" w:cs="Arial"/>
          <w:sz w:val="22"/>
          <w:szCs w:val="22"/>
        </w:rPr>
        <w:t xml:space="preserve"> </w:t>
      </w:r>
      <w:r w:rsidRPr="001F2E11">
        <w:rPr>
          <w:rFonts w:ascii="Arial" w:hAnsi="Arial" w:cs="Arial"/>
          <w:sz w:val="22"/>
          <w:szCs w:val="22"/>
        </w:rPr>
        <w:t xml:space="preserve">89,9 mil. transakcí s mýtným </w:t>
      </w:r>
      <w:r w:rsidR="007618F6">
        <w:rPr>
          <w:rFonts w:ascii="Arial" w:hAnsi="Arial" w:cs="Arial"/>
          <w:sz w:val="22"/>
          <w:szCs w:val="22"/>
        </w:rPr>
        <w:t xml:space="preserve">ve výši </w:t>
      </w:r>
      <w:r w:rsidRPr="001F2E11">
        <w:rPr>
          <w:rFonts w:ascii="Arial" w:hAnsi="Arial" w:cs="Arial"/>
          <w:sz w:val="22"/>
          <w:szCs w:val="22"/>
        </w:rPr>
        <w:t>2 474,5</w:t>
      </w:r>
      <w:r w:rsidR="00D7735D">
        <w:rPr>
          <w:rFonts w:ascii="Arial" w:hAnsi="Arial" w:cs="Arial"/>
          <w:sz w:val="22"/>
          <w:szCs w:val="22"/>
        </w:rPr>
        <w:t> </w:t>
      </w:r>
      <w:r w:rsidRPr="001F2E11">
        <w:rPr>
          <w:rFonts w:ascii="Arial" w:hAnsi="Arial" w:cs="Arial"/>
          <w:sz w:val="22"/>
          <w:szCs w:val="22"/>
        </w:rPr>
        <w:t>mil.</w:t>
      </w:r>
      <w:r w:rsidR="00D7735D">
        <w:rPr>
          <w:rFonts w:ascii="Arial" w:hAnsi="Arial" w:cs="Arial"/>
          <w:sz w:val="22"/>
          <w:szCs w:val="22"/>
        </w:rPr>
        <w:t> </w:t>
      </w:r>
      <w:r w:rsidRPr="001F2E11">
        <w:rPr>
          <w:rFonts w:ascii="Arial" w:hAnsi="Arial" w:cs="Arial"/>
          <w:sz w:val="22"/>
          <w:szCs w:val="22"/>
        </w:rPr>
        <w:t>Kč</w:t>
      </w:r>
      <w:r>
        <w:rPr>
          <w:rFonts w:ascii="Arial" w:hAnsi="Arial" w:cs="Arial"/>
          <w:sz w:val="22"/>
          <w:szCs w:val="22"/>
        </w:rPr>
        <w:t xml:space="preserve">, </w:t>
      </w:r>
      <w:r w:rsidR="007618F6">
        <w:rPr>
          <w:rFonts w:ascii="Arial" w:hAnsi="Arial" w:cs="Arial"/>
          <w:sz w:val="22"/>
          <w:szCs w:val="22"/>
        </w:rPr>
        <w:t>což je</w:t>
      </w:r>
      <w:r>
        <w:rPr>
          <w:rFonts w:ascii="Arial" w:hAnsi="Arial" w:cs="Arial"/>
          <w:sz w:val="22"/>
          <w:szCs w:val="22"/>
        </w:rPr>
        <w:t xml:space="preserve"> průměrně 10 641 Kč na </w:t>
      </w:r>
      <w:proofErr w:type="gramStart"/>
      <w:r>
        <w:rPr>
          <w:rFonts w:ascii="Arial" w:hAnsi="Arial" w:cs="Arial"/>
          <w:sz w:val="22"/>
          <w:szCs w:val="22"/>
        </w:rPr>
        <w:t>jednu</w:t>
      </w:r>
      <w:proofErr w:type="gramEnd"/>
      <w:r>
        <w:rPr>
          <w:rFonts w:ascii="Arial" w:hAnsi="Arial" w:cs="Arial"/>
          <w:sz w:val="22"/>
          <w:szCs w:val="22"/>
        </w:rPr>
        <w:t xml:space="preserve"> OBU.</w:t>
      </w:r>
      <w:r w:rsidR="00445758" w:rsidRPr="00445758">
        <w:rPr>
          <w:rFonts w:ascii="Arial" w:hAnsi="Arial" w:cs="Arial"/>
          <w:sz w:val="22"/>
          <w:szCs w:val="22"/>
        </w:rPr>
        <w:t xml:space="preserve"> </w:t>
      </w:r>
    </w:p>
    <w:p w:rsidR="005D555B" w:rsidRDefault="005D555B" w:rsidP="004401C1">
      <w:pPr>
        <w:jc w:val="both"/>
        <w:rPr>
          <w:rFonts w:ascii="Arial" w:hAnsi="Arial" w:cs="Arial"/>
          <w:sz w:val="22"/>
          <w:szCs w:val="22"/>
        </w:rPr>
      </w:pPr>
    </w:p>
    <w:p w:rsidR="008E6A1A" w:rsidRDefault="004B61E7" w:rsidP="004401C1">
      <w:pPr>
        <w:jc w:val="both"/>
        <w:rPr>
          <w:rFonts w:ascii="Arial" w:hAnsi="Arial" w:cs="Arial"/>
          <w:sz w:val="22"/>
          <w:szCs w:val="22"/>
        </w:rPr>
      </w:pPr>
      <w:r w:rsidRPr="00462651">
        <w:rPr>
          <w:rFonts w:ascii="Arial" w:hAnsi="Arial" w:cs="Arial"/>
          <w:sz w:val="22"/>
          <w:szCs w:val="22"/>
        </w:rPr>
        <w:t xml:space="preserve">Administrativní náklady na vymáhání mýta u všech uživatelů </w:t>
      </w:r>
      <w:r w:rsidR="00023055" w:rsidRPr="00462651">
        <w:rPr>
          <w:rFonts w:ascii="Arial" w:hAnsi="Arial" w:cs="Arial"/>
          <w:sz w:val="22"/>
          <w:szCs w:val="22"/>
        </w:rPr>
        <w:t>do roku 2015 byly smluvně ujednány ve výši</w:t>
      </w:r>
      <w:r w:rsidRPr="00462651">
        <w:rPr>
          <w:rFonts w:ascii="Arial" w:hAnsi="Arial" w:cs="Arial"/>
          <w:sz w:val="22"/>
          <w:szCs w:val="22"/>
        </w:rPr>
        <w:t xml:space="preserve"> 20,52 mil. Kč bez DPH</w:t>
      </w:r>
      <w:r w:rsidR="007618F6">
        <w:rPr>
          <w:rStyle w:val="Znakapoznpodarou"/>
          <w:rFonts w:ascii="Arial" w:hAnsi="Arial" w:cs="Arial"/>
          <w:sz w:val="22"/>
          <w:szCs w:val="22"/>
        </w:rPr>
        <w:footnoteReference w:id="18"/>
      </w:r>
      <w:r w:rsidR="00470E34" w:rsidRPr="00462651">
        <w:rPr>
          <w:rFonts w:ascii="Arial" w:hAnsi="Arial" w:cs="Arial"/>
          <w:sz w:val="22"/>
          <w:szCs w:val="22"/>
        </w:rPr>
        <w:t xml:space="preserve">. </w:t>
      </w:r>
      <w:r w:rsidR="0049473D" w:rsidRPr="00462651">
        <w:rPr>
          <w:rFonts w:ascii="Arial" w:hAnsi="Arial" w:cs="Arial"/>
          <w:sz w:val="22"/>
          <w:szCs w:val="22"/>
        </w:rPr>
        <w:t xml:space="preserve">Podle </w:t>
      </w:r>
      <w:r w:rsidR="007618F6">
        <w:rPr>
          <w:rFonts w:ascii="Arial" w:hAnsi="Arial" w:cs="Arial"/>
          <w:sz w:val="22"/>
          <w:szCs w:val="22"/>
        </w:rPr>
        <w:t>s</w:t>
      </w:r>
      <w:r w:rsidR="0049473D" w:rsidRPr="00462651">
        <w:rPr>
          <w:rFonts w:ascii="Arial" w:hAnsi="Arial" w:cs="Arial"/>
          <w:sz w:val="22"/>
          <w:szCs w:val="22"/>
        </w:rPr>
        <w:t>měrnice Evropského parlamentu a Rady</w:t>
      </w:r>
      <w:r w:rsidR="0049473D" w:rsidRPr="00462651">
        <w:rPr>
          <w:rStyle w:val="Znakypropoznmkupodarou"/>
          <w:rFonts w:ascii="Arial" w:hAnsi="Arial" w:cs="Arial"/>
          <w:sz w:val="22"/>
          <w:szCs w:val="22"/>
        </w:rPr>
        <w:footnoteReference w:id="19"/>
      </w:r>
      <w:r w:rsidR="0049473D" w:rsidRPr="00462651">
        <w:rPr>
          <w:rFonts w:ascii="Arial" w:hAnsi="Arial" w:cs="Arial"/>
          <w:sz w:val="22"/>
          <w:szCs w:val="22"/>
        </w:rPr>
        <w:t xml:space="preserve"> lze slevy na mýtném zavést, jen pokud mj. povedou </w:t>
      </w:r>
      <w:r w:rsidR="007A1976">
        <w:rPr>
          <w:rFonts w:ascii="Arial" w:hAnsi="Arial" w:cs="Arial"/>
          <w:sz w:val="22"/>
          <w:szCs w:val="22"/>
        </w:rPr>
        <w:t>k </w:t>
      </w:r>
      <w:r w:rsidR="0049473D" w:rsidRPr="00462651">
        <w:rPr>
          <w:rFonts w:ascii="Arial" w:hAnsi="Arial" w:cs="Arial"/>
          <w:sz w:val="22"/>
          <w:szCs w:val="22"/>
        </w:rPr>
        <w:t xml:space="preserve">prokazatelným administrativním úsporám. </w:t>
      </w:r>
      <w:r w:rsidR="00470E34" w:rsidRPr="00462651">
        <w:rPr>
          <w:rFonts w:ascii="Arial" w:hAnsi="Arial" w:cs="Arial"/>
          <w:sz w:val="22"/>
          <w:szCs w:val="22"/>
        </w:rPr>
        <w:t xml:space="preserve">Vzhledem k výši nákladů na zavedení slev a </w:t>
      </w:r>
      <w:r w:rsidR="00023055" w:rsidRPr="00462651">
        <w:rPr>
          <w:rFonts w:ascii="Arial" w:hAnsi="Arial" w:cs="Arial"/>
          <w:sz w:val="22"/>
          <w:szCs w:val="22"/>
        </w:rPr>
        <w:t>pevně stanoveným nákladům na vymáhání</w:t>
      </w:r>
      <w:r w:rsidR="00470E34" w:rsidRPr="00462651">
        <w:rPr>
          <w:rFonts w:ascii="Arial" w:hAnsi="Arial" w:cs="Arial"/>
          <w:sz w:val="22"/>
          <w:szCs w:val="22"/>
        </w:rPr>
        <w:t xml:space="preserve"> </w:t>
      </w:r>
      <w:r w:rsidR="00EE0BAC">
        <w:rPr>
          <w:rFonts w:ascii="Arial" w:hAnsi="Arial" w:cs="Arial"/>
          <w:sz w:val="22"/>
          <w:szCs w:val="22"/>
        </w:rPr>
        <w:t xml:space="preserve">vyhodnotil </w:t>
      </w:r>
      <w:r w:rsidR="00DF718A" w:rsidRPr="00462651">
        <w:rPr>
          <w:rFonts w:ascii="Arial" w:hAnsi="Arial" w:cs="Arial"/>
          <w:sz w:val="22"/>
          <w:szCs w:val="22"/>
        </w:rPr>
        <w:t xml:space="preserve">NKÚ </w:t>
      </w:r>
      <w:r w:rsidR="00023055" w:rsidRPr="00462651">
        <w:rPr>
          <w:rFonts w:ascii="Arial" w:hAnsi="Arial" w:cs="Arial"/>
          <w:sz w:val="22"/>
          <w:szCs w:val="22"/>
        </w:rPr>
        <w:t>dosažení úspor administrativních nákladů v oblasti kontroly a</w:t>
      </w:r>
      <w:r w:rsidR="005270E3">
        <w:rPr>
          <w:rFonts w:ascii="Arial" w:hAnsi="Arial" w:cs="Arial"/>
          <w:sz w:val="22"/>
          <w:szCs w:val="22"/>
        </w:rPr>
        <w:t> </w:t>
      </w:r>
      <w:r w:rsidR="00023055" w:rsidRPr="00462651">
        <w:rPr>
          <w:rFonts w:ascii="Arial" w:hAnsi="Arial" w:cs="Arial"/>
          <w:sz w:val="22"/>
          <w:szCs w:val="22"/>
        </w:rPr>
        <w:t>vymáhání nedoplatků</w:t>
      </w:r>
      <w:r w:rsidR="0033600A" w:rsidRPr="00462651">
        <w:rPr>
          <w:rFonts w:ascii="Arial" w:hAnsi="Arial" w:cs="Arial"/>
          <w:sz w:val="22"/>
          <w:szCs w:val="22"/>
        </w:rPr>
        <w:t xml:space="preserve"> </w:t>
      </w:r>
      <w:r w:rsidR="00684B69" w:rsidRPr="00462651">
        <w:rPr>
          <w:rFonts w:ascii="Arial" w:hAnsi="Arial" w:cs="Arial"/>
          <w:sz w:val="22"/>
          <w:szCs w:val="22"/>
        </w:rPr>
        <w:t xml:space="preserve">jako </w:t>
      </w:r>
      <w:r w:rsidR="00023055" w:rsidRPr="00462651">
        <w:rPr>
          <w:rFonts w:ascii="Arial" w:hAnsi="Arial" w:cs="Arial"/>
          <w:sz w:val="22"/>
          <w:szCs w:val="22"/>
        </w:rPr>
        <w:t>nereálné</w:t>
      </w:r>
      <w:r w:rsidR="008E6A1A" w:rsidRPr="00462651">
        <w:rPr>
          <w:rFonts w:ascii="Arial" w:hAnsi="Arial" w:cs="Arial"/>
          <w:sz w:val="22"/>
          <w:szCs w:val="22"/>
        </w:rPr>
        <w:t xml:space="preserve">. </w:t>
      </w:r>
    </w:p>
    <w:p w:rsidR="005D555B" w:rsidRPr="00462651" w:rsidRDefault="005D555B" w:rsidP="004401C1">
      <w:pPr>
        <w:jc w:val="both"/>
        <w:rPr>
          <w:rFonts w:ascii="Arial" w:hAnsi="Arial" w:cs="Arial"/>
          <w:sz w:val="22"/>
          <w:szCs w:val="22"/>
        </w:rPr>
      </w:pPr>
    </w:p>
    <w:p w:rsidR="00342614" w:rsidRDefault="0049473D" w:rsidP="004401C1">
      <w:pPr>
        <w:jc w:val="both"/>
        <w:rPr>
          <w:rFonts w:ascii="Arial" w:hAnsi="Arial" w:cs="Arial"/>
          <w:sz w:val="22"/>
          <w:szCs w:val="22"/>
        </w:rPr>
      </w:pPr>
      <w:r>
        <w:rPr>
          <w:rFonts w:ascii="Arial" w:hAnsi="Arial" w:cs="Arial"/>
          <w:sz w:val="22"/>
          <w:szCs w:val="22"/>
        </w:rPr>
        <w:t>Dosažení a</w:t>
      </w:r>
      <w:r w:rsidR="0011663B">
        <w:rPr>
          <w:rFonts w:ascii="Arial" w:hAnsi="Arial" w:cs="Arial"/>
          <w:sz w:val="22"/>
          <w:szCs w:val="22"/>
        </w:rPr>
        <w:t>d</w:t>
      </w:r>
      <w:r w:rsidR="00323F7F">
        <w:rPr>
          <w:rFonts w:ascii="Arial" w:hAnsi="Arial" w:cs="Arial"/>
          <w:sz w:val="22"/>
          <w:szCs w:val="22"/>
        </w:rPr>
        <w:t>ministrativních úspor</w:t>
      </w:r>
      <w:r w:rsidRPr="0049473D">
        <w:rPr>
          <w:rFonts w:ascii="Arial" w:hAnsi="Arial" w:cs="Arial"/>
          <w:sz w:val="22"/>
          <w:szCs w:val="22"/>
        </w:rPr>
        <w:t xml:space="preserve"> </w:t>
      </w:r>
      <w:r>
        <w:rPr>
          <w:rFonts w:ascii="Arial" w:hAnsi="Arial" w:cs="Arial"/>
          <w:sz w:val="22"/>
          <w:szCs w:val="22"/>
        </w:rPr>
        <w:t xml:space="preserve">nepodporuje </w:t>
      </w:r>
      <w:r w:rsidR="007618F6">
        <w:rPr>
          <w:rFonts w:ascii="Arial" w:hAnsi="Arial" w:cs="Arial"/>
          <w:sz w:val="22"/>
          <w:szCs w:val="22"/>
        </w:rPr>
        <w:t xml:space="preserve">ani </w:t>
      </w:r>
      <w:r>
        <w:rPr>
          <w:rFonts w:ascii="Arial" w:hAnsi="Arial" w:cs="Arial"/>
          <w:sz w:val="22"/>
          <w:szCs w:val="22"/>
        </w:rPr>
        <w:t>konstrukce slevy</w:t>
      </w:r>
      <w:r w:rsidR="0011663B">
        <w:rPr>
          <w:rFonts w:ascii="Arial" w:hAnsi="Arial" w:cs="Arial"/>
          <w:sz w:val="22"/>
          <w:szCs w:val="22"/>
        </w:rPr>
        <w:t xml:space="preserve">, </w:t>
      </w:r>
      <w:r w:rsidR="007618F6">
        <w:rPr>
          <w:rFonts w:ascii="Arial" w:hAnsi="Arial" w:cs="Arial"/>
          <w:sz w:val="22"/>
          <w:szCs w:val="22"/>
        </w:rPr>
        <w:t xml:space="preserve">neboť </w:t>
      </w:r>
      <w:r w:rsidR="0011663B">
        <w:rPr>
          <w:rFonts w:ascii="Arial" w:hAnsi="Arial" w:cs="Arial"/>
          <w:sz w:val="22"/>
          <w:szCs w:val="22"/>
        </w:rPr>
        <w:t xml:space="preserve">výše </w:t>
      </w:r>
      <w:r w:rsidR="0062028F">
        <w:rPr>
          <w:rFonts w:ascii="Arial" w:hAnsi="Arial" w:cs="Arial"/>
          <w:sz w:val="22"/>
          <w:szCs w:val="22"/>
        </w:rPr>
        <w:t>spotřebovaného</w:t>
      </w:r>
      <w:r w:rsidR="0011663B">
        <w:rPr>
          <w:rFonts w:ascii="Arial" w:hAnsi="Arial" w:cs="Arial"/>
          <w:sz w:val="22"/>
          <w:szCs w:val="22"/>
        </w:rPr>
        <w:t xml:space="preserve"> mýta </w:t>
      </w:r>
      <w:r w:rsidR="003B39A3">
        <w:rPr>
          <w:rFonts w:ascii="Arial" w:hAnsi="Arial" w:cs="Arial"/>
          <w:sz w:val="22"/>
          <w:szCs w:val="22"/>
        </w:rPr>
        <w:t xml:space="preserve">u </w:t>
      </w:r>
      <w:r w:rsidR="0011663B">
        <w:rPr>
          <w:rFonts w:ascii="Arial" w:hAnsi="Arial" w:cs="Arial"/>
          <w:sz w:val="22"/>
          <w:szCs w:val="22"/>
        </w:rPr>
        <w:t xml:space="preserve">vozidel zahraničních uživatelů v systému placení předem nedosahuje </w:t>
      </w:r>
      <w:r w:rsidR="003B39A3">
        <w:rPr>
          <w:rFonts w:ascii="Arial" w:hAnsi="Arial" w:cs="Arial"/>
          <w:sz w:val="22"/>
          <w:szCs w:val="22"/>
        </w:rPr>
        <w:t xml:space="preserve">limitu nutného pro přiznání alespoň </w:t>
      </w:r>
      <w:r w:rsidR="0011663B">
        <w:rPr>
          <w:rFonts w:ascii="Arial" w:hAnsi="Arial" w:cs="Arial"/>
          <w:sz w:val="22"/>
          <w:szCs w:val="22"/>
        </w:rPr>
        <w:t xml:space="preserve">minimální </w:t>
      </w:r>
      <w:r w:rsidR="003B39A3">
        <w:rPr>
          <w:rFonts w:ascii="Arial" w:hAnsi="Arial" w:cs="Arial"/>
          <w:sz w:val="22"/>
          <w:szCs w:val="22"/>
        </w:rPr>
        <w:t>slevy</w:t>
      </w:r>
      <w:r w:rsidR="0011663B">
        <w:rPr>
          <w:rFonts w:ascii="Arial" w:hAnsi="Arial" w:cs="Arial"/>
          <w:sz w:val="22"/>
          <w:szCs w:val="22"/>
        </w:rPr>
        <w:t xml:space="preserve"> (tj</w:t>
      </w:r>
      <w:r w:rsidR="0062028F">
        <w:rPr>
          <w:rFonts w:ascii="Arial" w:hAnsi="Arial" w:cs="Arial"/>
          <w:sz w:val="22"/>
          <w:szCs w:val="22"/>
        </w:rPr>
        <w:t>.</w:t>
      </w:r>
      <w:r w:rsidR="0011663B">
        <w:rPr>
          <w:rFonts w:ascii="Arial" w:hAnsi="Arial" w:cs="Arial"/>
          <w:sz w:val="22"/>
          <w:szCs w:val="22"/>
        </w:rPr>
        <w:t xml:space="preserve"> </w:t>
      </w:r>
      <w:r w:rsidR="00B57A41">
        <w:rPr>
          <w:rFonts w:ascii="Arial" w:hAnsi="Arial" w:cs="Arial"/>
          <w:sz w:val="22"/>
          <w:szCs w:val="22"/>
        </w:rPr>
        <w:t xml:space="preserve">limitu </w:t>
      </w:r>
      <w:r w:rsidR="0011663B">
        <w:rPr>
          <w:rFonts w:ascii="Arial" w:hAnsi="Arial" w:cs="Arial"/>
          <w:sz w:val="22"/>
          <w:szCs w:val="22"/>
        </w:rPr>
        <w:t>100 000 Kč</w:t>
      </w:r>
      <w:r w:rsidR="003B39A3">
        <w:rPr>
          <w:rFonts w:ascii="Arial" w:hAnsi="Arial" w:cs="Arial"/>
          <w:sz w:val="22"/>
          <w:szCs w:val="22"/>
        </w:rPr>
        <w:t xml:space="preserve"> ročně</w:t>
      </w:r>
      <w:r w:rsidR="0011663B">
        <w:rPr>
          <w:rFonts w:ascii="Arial" w:hAnsi="Arial" w:cs="Arial"/>
          <w:sz w:val="22"/>
          <w:szCs w:val="22"/>
        </w:rPr>
        <w:t xml:space="preserve">). </w:t>
      </w:r>
      <w:r w:rsidR="00323F7F">
        <w:rPr>
          <w:rFonts w:ascii="Arial" w:hAnsi="Arial" w:cs="Arial"/>
          <w:sz w:val="22"/>
          <w:szCs w:val="22"/>
        </w:rPr>
        <w:t>U</w:t>
      </w:r>
      <w:r w:rsidR="00FA23A7">
        <w:rPr>
          <w:rFonts w:ascii="Arial" w:hAnsi="Arial" w:cs="Arial"/>
          <w:sz w:val="22"/>
          <w:szCs w:val="22"/>
        </w:rPr>
        <w:t> </w:t>
      </w:r>
      <w:r w:rsidR="0011663B">
        <w:rPr>
          <w:rFonts w:ascii="Arial" w:hAnsi="Arial" w:cs="Arial"/>
          <w:sz w:val="22"/>
          <w:szCs w:val="22"/>
        </w:rPr>
        <w:t>uživatel</w:t>
      </w:r>
      <w:r w:rsidR="003B39A3">
        <w:rPr>
          <w:rFonts w:ascii="Arial" w:hAnsi="Arial" w:cs="Arial"/>
          <w:sz w:val="22"/>
          <w:szCs w:val="22"/>
        </w:rPr>
        <w:t>e</w:t>
      </w:r>
      <w:r w:rsidR="0062028F">
        <w:rPr>
          <w:rFonts w:ascii="Arial" w:hAnsi="Arial" w:cs="Arial"/>
          <w:sz w:val="22"/>
          <w:szCs w:val="22"/>
        </w:rPr>
        <w:t xml:space="preserve"> v režimu následného placení</w:t>
      </w:r>
      <w:r w:rsidR="0011663B">
        <w:rPr>
          <w:rFonts w:ascii="Arial" w:hAnsi="Arial" w:cs="Arial"/>
          <w:sz w:val="22"/>
          <w:szCs w:val="22"/>
        </w:rPr>
        <w:t xml:space="preserve"> </w:t>
      </w:r>
      <w:r w:rsidR="00323F7F">
        <w:rPr>
          <w:rFonts w:ascii="Arial" w:hAnsi="Arial" w:cs="Arial"/>
          <w:sz w:val="22"/>
          <w:szCs w:val="22"/>
        </w:rPr>
        <w:t xml:space="preserve">má ŘSD </w:t>
      </w:r>
      <w:r w:rsidR="00323F7F" w:rsidRPr="00323F7F">
        <w:rPr>
          <w:rFonts w:ascii="Arial" w:hAnsi="Arial" w:cs="Arial"/>
          <w:sz w:val="22"/>
          <w:szCs w:val="22"/>
        </w:rPr>
        <w:t xml:space="preserve">dostatek informací </w:t>
      </w:r>
      <w:r w:rsidR="007A1976">
        <w:rPr>
          <w:rFonts w:ascii="Arial" w:hAnsi="Arial" w:cs="Arial"/>
          <w:sz w:val="22"/>
          <w:szCs w:val="22"/>
        </w:rPr>
        <w:t>z </w:t>
      </w:r>
      <w:r w:rsidR="00F0648F">
        <w:rPr>
          <w:rFonts w:ascii="Arial" w:hAnsi="Arial" w:cs="Arial"/>
          <w:sz w:val="22"/>
          <w:szCs w:val="22"/>
        </w:rPr>
        <w:t>žádosti o tuto formu úhrady a u </w:t>
      </w:r>
      <w:r w:rsidR="00323F7F" w:rsidRPr="00661F75">
        <w:rPr>
          <w:rFonts w:ascii="Arial" w:hAnsi="Arial" w:cs="Arial"/>
          <w:sz w:val="22"/>
          <w:szCs w:val="22"/>
        </w:rPr>
        <w:t>tuzem</w:t>
      </w:r>
      <w:r w:rsidR="00984D52" w:rsidRPr="00661F75">
        <w:rPr>
          <w:rFonts w:ascii="Arial" w:hAnsi="Arial" w:cs="Arial"/>
          <w:sz w:val="22"/>
          <w:szCs w:val="22"/>
        </w:rPr>
        <w:t>ských</w:t>
      </w:r>
      <w:r w:rsidR="00323F7F" w:rsidRPr="00661F75">
        <w:rPr>
          <w:rFonts w:ascii="Arial" w:hAnsi="Arial" w:cs="Arial"/>
          <w:sz w:val="22"/>
          <w:szCs w:val="22"/>
        </w:rPr>
        <w:t xml:space="preserve"> účastní</w:t>
      </w:r>
      <w:r w:rsidR="00984D52" w:rsidRPr="00661F75">
        <w:rPr>
          <w:rFonts w:ascii="Arial" w:hAnsi="Arial" w:cs="Arial"/>
          <w:sz w:val="22"/>
          <w:szCs w:val="22"/>
        </w:rPr>
        <w:t>ků</w:t>
      </w:r>
      <w:r w:rsidR="00323F7F" w:rsidRPr="00661F75">
        <w:rPr>
          <w:rFonts w:ascii="Arial" w:hAnsi="Arial" w:cs="Arial"/>
          <w:sz w:val="22"/>
          <w:szCs w:val="22"/>
        </w:rPr>
        <w:t xml:space="preserve"> </w:t>
      </w:r>
      <w:r w:rsidR="007A1976">
        <w:rPr>
          <w:rFonts w:ascii="Arial" w:hAnsi="Arial" w:cs="Arial"/>
          <w:sz w:val="22"/>
          <w:szCs w:val="22"/>
        </w:rPr>
        <w:t>v </w:t>
      </w:r>
      <w:r w:rsidR="00323F7F" w:rsidRPr="00661F75">
        <w:rPr>
          <w:rFonts w:ascii="Arial" w:hAnsi="Arial" w:cs="Arial"/>
          <w:sz w:val="22"/>
          <w:szCs w:val="22"/>
        </w:rPr>
        <w:t>režimu placení předem</w:t>
      </w:r>
      <w:r w:rsidR="009F6785" w:rsidRPr="00661F75">
        <w:rPr>
          <w:rFonts w:ascii="Arial" w:hAnsi="Arial" w:cs="Arial"/>
          <w:sz w:val="22"/>
          <w:szCs w:val="22"/>
        </w:rPr>
        <w:t xml:space="preserve"> </w:t>
      </w:r>
      <w:r w:rsidR="00323F7F" w:rsidRPr="00661F75">
        <w:rPr>
          <w:rFonts w:ascii="Arial" w:hAnsi="Arial" w:cs="Arial"/>
          <w:sz w:val="22"/>
          <w:szCs w:val="22"/>
        </w:rPr>
        <w:t>může po</w:t>
      </w:r>
      <w:r w:rsidR="0062028F" w:rsidRPr="00661F75">
        <w:rPr>
          <w:rFonts w:ascii="Arial" w:hAnsi="Arial" w:cs="Arial"/>
          <w:sz w:val="22"/>
          <w:szCs w:val="22"/>
        </w:rPr>
        <w:t xml:space="preserve">třebné informace pro vymáhání </w:t>
      </w:r>
      <w:r w:rsidR="00323F7F" w:rsidRPr="00661F75">
        <w:rPr>
          <w:rFonts w:ascii="Arial" w:hAnsi="Arial" w:cs="Arial"/>
          <w:sz w:val="22"/>
          <w:szCs w:val="22"/>
        </w:rPr>
        <w:t xml:space="preserve">získávat </w:t>
      </w:r>
      <w:r w:rsidR="007A1976">
        <w:rPr>
          <w:rFonts w:ascii="Arial" w:hAnsi="Arial" w:cs="Arial"/>
          <w:sz w:val="22"/>
          <w:szCs w:val="22"/>
        </w:rPr>
        <w:t>z </w:t>
      </w:r>
      <w:r w:rsidR="00323F7F" w:rsidRPr="00661F75">
        <w:rPr>
          <w:rFonts w:ascii="Arial" w:hAnsi="Arial" w:cs="Arial"/>
          <w:sz w:val="22"/>
          <w:szCs w:val="22"/>
        </w:rPr>
        <w:t>jiných zdrojů</w:t>
      </w:r>
      <w:r w:rsidR="003B39A3">
        <w:rPr>
          <w:rFonts w:ascii="Arial" w:hAnsi="Arial" w:cs="Arial"/>
          <w:sz w:val="22"/>
          <w:szCs w:val="22"/>
        </w:rPr>
        <w:t>,</w:t>
      </w:r>
      <w:r w:rsidR="00323F7F" w:rsidRPr="00661F75">
        <w:rPr>
          <w:rFonts w:ascii="Arial" w:hAnsi="Arial" w:cs="Arial"/>
          <w:sz w:val="22"/>
          <w:szCs w:val="22"/>
        </w:rPr>
        <w:t xml:space="preserve"> např. </w:t>
      </w:r>
      <w:r w:rsidR="003B39A3">
        <w:rPr>
          <w:rFonts w:ascii="Arial" w:hAnsi="Arial" w:cs="Arial"/>
          <w:sz w:val="22"/>
          <w:szCs w:val="22"/>
        </w:rPr>
        <w:t>z c</w:t>
      </w:r>
      <w:r w:rsidR="00323F7F" w:rsidRPr="00661F75">
        <w:rPr>
          <w:rFonts w:ascii="Arial" w:hAnsi="Arial" w:cs="Arial"/>
          <w:sz w:val="22"/>
          <w:szCs w:val="22"/>
        </w:rPr>
        <w:t>entrální evidence motorových vozidel</w:t>
      </w:r>
      <w:r w:rsidR="003B39A3">
        <w:rPr>
          <w:rFonts w:ascii="Arial" w:hAnsi="Arial" w:cs="Arial"/>
          <w:sz w:val="22"/>
          <w:szCs w:val="22"/>
        </w:rPr>
        <w:t xml:space="preserve"> nebo z</w:t>
      </w:r>
      <w:r w:rsidR="00FA23A7">
        <w:rPr>
          <w:rFonts w:ascii="Arial" w:hAnsi="Arial" w:cs="Arial"/>
          <w:sz w:val="22"/>
          <w:szCs w:val="22"/>
        </w:rPr>
        <w:t> </w:t>
      </w:r>
      <w:r w:rsidR="00323F7F" w:rsidRPr="00661F75">
        <w:rPr>
          <w:rFonts w:ascii="Arial" w:hAnsi="Arial" w:cs="Arial"/>
          <w:sz w:val="22"/>
          <w:szCs w:val="22"/>
        </w:rPr>
        <w:t>obchodní</w:t>
      </w:r>
      <w:r w:rsidR="003B39A3">
        <w:rPr>
          <w:rFonts w:ascii="Arial" w:hAnsi="Arial" w:cs="Arial"/>
          <w:sz w:val="22"/>
          <w:szCs w:val="22"/>
        </w:rPr>
        <w:t>ho</w:t>
      </w:r>
      <w:r w:rsidR="00323F7F" w:rsidRPr="00661F75">
        <w:rPr>
          <w:rFonts w:ascii="Arial" w:hAnsi="Arial" w:cs="Arial"/>
          <w:sz w:val="22"/>
          <w:szCs w:val="22"/>
        </w:rPr>
        <w:t xml:space="preserve"> rejstřík</w:t>
      </w:r>
      <w:r w:rsidR="003B39A3">
        <w:rPr>
          <w:rFonts w:ascii="Arial" w:hAnsi="Arial" w:cs="Arial"/>
          <w:sz w:val="22"/>
          <w:szCs w:val="22"/>
        </w:rPr>
        <w:t>u</w:t>
      </w:r>
      <w:r w:rsidR="00323F7F" w:rsidRPr="00661F75">
        <w:rPr>
          <w:rFonts w:ascii="Arial" w:hAnsi="Arial" w:cs="Arial"/>
          <w:sz w:val="22"/>
          <w:szCs w:val="22"/>
        </w:rPr>
        <w:t>.</w:t>
      </w:r>
    </w:p>
    <w:p w:rsidR="005D555B" w:rsidRPr="00661F75" w:rsidRDefault="005D555B" w:rsidP="004401C1">
      <w:pPr>
        <w:jc w:val="both"/>
        <w:rPr>
          <w:rFonts w:ascii="Arial" w:hAnsi="Arial" w:cs="Arial"/>
          <w:sz w:val="22"/>
          <w:szCs w:val="22"/>
        </w:rPr>
      </w:pPr>
    </w:p>
    <w:p w:rsidR="00286C6E" w:rsidRPr="00061684" w:rsidRDefault="002B60A7" w:rsidP="004401C1">
      <w:pPr>
        <w:pStyle w:val="Nadpis2"/>
        <w:numPr>
          <w:ilvl w:val="2"/>
          <w:numId w:val="18"/>
        </w:numPr>
        <w:spacing w:before="0" w:after="120"/>
        <w:ind w:left="284" w:hanging="284"/>
        <w:jc w:val="both"/>
        <w:rPr>
          <w:rFonts w:ascii="Arial" w:hAnsi="Arial" w:cs="Arial"/>
          <w:i w:val="0"/>
          <w:sz w:val="22"/>
          <w:szCs w:val="22"/>
        </w:rPr>
      </w:pPr>
      <w:r>
        <w:rPr>
          <w:rFonts w:ascii="Arial" w:hAnsi="Arial" w:cs="Arial"/>
          <w:i w:val="0"/>
          <w:sz w:val="22"/>
          <w:szCs w:val="22"/>
        </w:rPr>
        <w:t xml:space="preserve">Nezvýšení sazeb mýtného </w:t>
      </w:r>
      <w:r w:rsidR="0052437A">
        <w:rPr>
          <w:rFonts w:ascii="Arial" w:hAnsi="Arial" w:cs="Arial"/>
          <w:i w:val="0"/>
          <w:sz w:val="22"/>
          <w:szCs w:val="22"/>
        </w:rPr>
        <w:t>u emisní</w:t>
      </w:r>
      <w:r w:rsidR="00397B50">
        <w:rPr>
          <w:rFonts w:ascii="Arial" w:hAnsi="Arial" w:cs="Arial"/>
          <w:i w:val="0"/>
          <w:sz w:val="22"/>
          <w:szCs w:val="22"/>
        </w:rPr>
        <w:t>ch</w:t>
      </w:r>
      <w:r w:rsidR="0052437A">
        <w:rPr>
          <w:rFonts w:ascii="Arial" w:hAnsi="Arial" w:cs="Arial"/>
          <w:i w:val="0"/>
          <w:sz w:val="22"/>
          <w:szCs w:val="22"/>
        </w:rPr>
        <w:t xml:space="preserve"> tříd</w:t>
      </w:r>
      <w:r>
        <w:rPr>
          <w:rFonts w:ascii="Arial" w:hAnsi="Arial" w:cs="Arial"/>
          <w:i w:val="0"/>
          <w:sz w:val="22"/>
          <w:szCs w:val="22"/>
        </w:rPr>
        <w:t xml:space="preserve"> EURO V</w:t>
      </w:r>
      <w:r w:rsidR="007A1976">
        <w:rPr>
          <w:rFonts w:ascii="Arial" w:hAnsi="Arial" w:cs="Arial"/>
          <w:i w:val="0"/>
          <w:sz w:val="22"/>
          <w:szCs w:val="22"/>
        </w:rPr>
        <w:t xml:space="preserve"> </w:t>
      </w:r>
      <w:r>
        <w:rPr>
          <w:rFonts w:ascii="Arial" w:hAnsi="Arial" w:cs="Arial"/>
          <w:i w:val="0"/>
          <w:sz w:val="22"/>
          <w:szCs w:val="22"/>
        </w:rPr>
        <w:t>a vyšší</w:t>
      </w:r>
      <w:r w:rsidR="0052437A">
        <w:rPr>
          <w:rFonts w:ascii="Arial" w:hAnsi="Arial" w:cs="Arial"/>
          <w:i w:val="0"/>
          <w:sz w:val="22"/>
          <w:szCs w:val="22"/>
        </w:rPr>
        <w:t>ch</w:t>
      </w:r>
    </w:p>
    <w:p w:rsidR="00113582" w:rsidRDefault="00061684" w:rsidP="00281B33">
      <w:pPr>
        <w:spacing w:after="120"/>
        <w:jc w:val="both"/>
        <w:rPr>
          <w:rFonts w:ascii="Arial" w:hAnsi="Arial" w:cs="Arial"/>
          <w:sz w:val="22"/>
          <w:szCs w:val="22"/>
        </w:rPr>
      </w:pPr>
      <w:r>
        <w:rPr>
          <w:rFonts w:ascii="Arial" w:hAnsi="Arial" w:cs="Arial"/>
          <w:sz w:val="22"/>
          <w:szCs w:val="22"/>
        </w:rPr>
        <w:t>U</w:t>
      </w:r>
      <w:r w:rsidR="00286C6E">
        <w:rPr>
          <w:rFonts w:ascii="Arial" w:hAnsi="Arial" w:cs="Arial"/>
          <w:sz w:val="22"/>
          <w:szCs w:val="22"/>
        </w:rPr>
        <w:t xml:space="preserve"> emisní</w:t>
      </w:r>
      <w:r w:rsidR="00397B50">
        <w:rPr>
          <w:rFonts w:ascii="Arial" w:hAnsi="Arial" w:cs="Arial"/>
          <w:sz w:val="22"/>
          <w:szCs w:val="22"/>
        </w:rPr>
        <w:t>ch</w:t>
      </w:r>
      <w:r w:rsidR="00286C6E">
        <w:rPr>
          <w:rFonts w:ascii="Arial" w:hAnsi="Arial" w:cs="Arial"/>
          <w:sz w:val="22"/>
          <w:szCs w:val="22"/>
        </w:rPr>
        <w:t xml:space="preserve"> tříd EURO V a vyšší</w:t>
      </w:r>
      <w:r w:rsidR="00B57A41">
        <w:rPr>
          <w:rFonts w:ascii="Arial" w:hAnsi="Arial" w:cs="Arial"/>
          <w:sz w:val="22"/>
          <w:szCs w:val="22"/>
        </w:rPr>
        <w:t>ch</w:t>
      </w:r>
      <w:r w:rsidR="00286C6E">
        <w:rPr>
          <w:rFonts w:ascii="Arial" w:hAnsi="Arial" w:cs="Arial"/>
          <w:sz w:val="22"/>
          <w:szCs w:val="22"/>
        </w:rPr>
        <w:t xml:space="preserve"> se sazby </w:t>
      </w:r>
      <w:r>
        <w:rPr>
          <w:rFonts w:ascii="Arial" w:hAnsi="Arial" w:cs="Arial"/>
          <w:sz w:val="22"/>
          <w:szCs w:val="22"/>
        </w:rPr>
        <w:t>mýtného nezvý</w:t>
      </w:r>
      <w:r w:rsidR="00286C6E">
        <w:rPr>
          <w:rFonts w:ascii="Arial" w:hAnsi="Arial" w:cs="Arial"/>
          <w:sz w:val="22"/>
          <w:szCs w:val="22"/>
        </w:rPr>
        <w:t>š</w:t>
      </w:r>
      <w:r>
        <w:rPr>
          <w:rFonts w:ascii="Arial" w:hAnsi="Arial" w:cs="Arial"/>
          <w:sz w:val="22"/>
          <w:szCs w:val="22"/>
        </w:rPr>
        <w:t>ily</w:t>
      </w:r>
      <w:r w:rsidR="00286C6E">
        <w:rPr>
          <w:rFonts w:ascii="Arial" w:hAnsi="Arial" w:cs="Arial"/>
          <w:sz w:val="22"/>
          <w:szCs w:val="22"/>
        </w:rPr>
        <w:t xml:space="preserve"> z</w:t>
      </w:r>
      <w:r w:rsidR="007A1976">
        <w:rPr>
          <w:rFonts w:ascii="Arial" w:hAnsi="Arial" w:cs="Arial"/>
          <w:sz w:val="22"/>
          <w:szCs w:val="22"/>
        </w:rPr>
        <w:t> </w:t>
      </w:r>
      <w:r w:rsidR="00286C6E">
        <w:rPr>
          <w:rFonts w:ascii="Arial" w:hAnsi="Arial" w:cs="Arial"/>
          <w:sz w:val="22"/>
          <w:szCs w:val="22"/>
        </w:rPr>
        <w:t>důvodu motivace tuzemských přepravců k obnově vozového parku</w:t>
      </w:r>
      <w:r w:rsidR="00D024B3">
        <w:rPr>
          <w:rFonts w:ascii="Arial" w:hAnsi="Arial" w:cs="Arial"/>
          <w:sz w:val="22"/>
          <w:szCs w:val="22"/>
        </w:rPr>
        <w:t>.</w:t>
      </w:r>
      <w:r>
        <w:rPr>
          <w:rStyle w:val="Znakapoznpodarou"/>
          <w:rFonts w:ascii="Arial" w:hAnsi="Arial" w:cs="Arial"/>
          <w:sz w:val="22"/>
          <w:szCs w:val="22"/>
        </w:rPr>
        <w:footnoteReference w:id="20"/>
      </w:r>
    </w:p>
    <w:p w:rsidR="005D555B" w:rsidRDefault="005D555B">
      <w:pPr>
        <w:suppressAutoHyphens w:val="0"/>
        <w:rPr>
          <w:rFonts w:ascii="Arial" w:hAnsi="Arial" w:cs="Arial"/>
          <w:b/>
          <w:sz w:val="22"/>
          <w:szCs w:val="22"/>
        </w:rPr>
      </w:pPr>
      <w:r>
        <w:rPr>
          <w:rFonts w:ascii="Arial" w:hAnsi="Arial" w:cs="Arial"/>
          <w:b/>
          <w:sz w:val="22"/>
          <w:szCs w:val="22"/>
        </w:rPr>
        <w:br w:type="page"/>
      </w:r>
    </w:p>
    <w:p w:rsidR="0052437A" w:rsidRPr="0052437A" w:rsidRDefault="0052437A" w:rsidP="0052437A">
      <w:pPr>
        <w:suppressAutoHyphens w:val="0"/>
        <w:rPr>
          <w:rFonts w:ascii="Arial" w:eastAsiaTheme="minorHAnsi" w:hAnsi="Arial" w:cs="Arial"/>
          <w:b/>
          <w:sz w:val="22"/>
          <w:szCs w:val="22"/>
          <w:lang w:eastAsia="en-US"/>
        </w:rPr>
      </w:pPr>
      <w:r w:rsidRPr="0052437A">
        <w:rPr>
          <w:rFonts w:ascii="Arial" w:eastAsiaTheme="minorHAnsi" w:hAnsi="Arial" w:cs="Arial"/>
          <w:b/>
          <w:sz w:val="22"/>
          <w:szCs w:val="22"/>
          <w:lang w:eastAsia="en-US"/>
        </w:rPr>
        <w:lastRenderedPageBreak/>
        <w:t xml:space="preserve">Graf č. 1 – Vývoj zastoupení emisních </w:t>
      </w:r>
      <w:r w:rsidR="00B57A41">
        <w:rPr>
          <w:rFonts w:ascii="Arial" w:eastAsiaTheme="minorHAnsi" w:hAnsi="Arial" w:cs="Arial"/>
          <w:b/>
          <w:sz w:val="22"/>
          <w:szCs w:val="22"/>
          <w:lang w:eastAsia="en-US"/>
        </w:rPr>
        <w:t>tříd mezi roky 2009–2012</w:t>
      </w:r>
    </w:p>
    <w:p w:rsidR="0052437A" w:rsidRPr="0052437A" w:rsidRDefault="0052437A" w:rsidP="0052437A">
      <w:pPr>
        <w:suppressAutoHyphens w:val="0"/>
        <w:rPr>
          <w:rFonts w:ascii="Arial" w:eastAsiaTheme="minorHAnsi" w:hAnsi="Arial" w:cs="Arial"/>
          <w:sz w:val="22"/>
          <w:szCs w:val="22"/>
          <w:lang w:eastAsia="en-US"/>
        </w:rPr>
      </w:pPr>
      <w:r w:rsidRPr="0052437A">
        <w:rPr>
          <w:rFonts w:ascii="Arial" w:eastAsiaTheme="minorHAnsi" w:hAnsi="Arial" w:cs="Arial"/>
          <w:noProof/>
          <w:sz w:val="22"/>
          <w:szCs w:val="22"/>
          <w:lang w:eastAsia="cs-CZ"/>
        </w:rPr>
        <w:drawing>
          <wp:inline distT="0" distB="0" distL="0" distR="0" wp14:anchorId="59A11E9D" wp14:editId="15205796">
            <wp:extent cx="5760720" cy="2771344"/>
            <wp:effectExtent l="57150" t="57150" r="49530" b="4826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437A" w:rsidRPr="00397B50" w:rsidRDefault="0052437A" w:rsidP="00397B50">
      <w:pPr>
        <w:suppressAutoHyphens w:val="0"/>
        <w:rPr>
          <w:rFonts w:ascii="Arial" w:eastAsiaTheme="minorHAnsi" w:hAnsi="Arial" w:cs="Arial"/>
          <w:sz w:val="18"/>
          <w:szCs w:val="18"/>
          <w:lang w:eastAsia="en-US"/>
        </w:rPr>
      </w:pPr>
      <w:r w:rsidRPr="00397B50">
        <w:rPr>
          <w:rFonts w:ascii="Arial" w:eastAsiaTheme="minorHAnsi" w:hAnsi="Arial" w:cs="Arial"/>
          <w:b/>
          <w:sz w:val="18"/>
          <w:szCs w:val="18"/>
          <w:lang w:eastAsia="en-US"/>
        </w:rPr>
        <w:t>Zdroj:</w:t>
      </w:r>
      <w:r w:rsidRPr="00397B50">
        <w:rPr>
          <w:rFonts w:ascii="Arial" w:eastAsiaTheme="minorHAnsi" w:hAnsi="Arial" w:cs="Arial"/>
          <w:sz w:val="18"/>
          <w:szCs w:val="18"/>
          <w:lang w:eastAsia="en-US"/>
        </w:rPr>
        <w:t xml:space="preserve"> MD</w:t>
      </w:r>
      <w:r w:rsidR="00221C38">
        <w:rPr>
          <w:rFonts w:ascii="Arial" w:eastAsiaTheme="minorHAnsi" w:hAnsi="Arial" w:cs="Arial"/>
          <w:sz w:val="18"/>
          <w:szCs w:val="18"/>
          <w:lang w:eastAsia="en-US"/>
        </w:rPr>
        <w:t xml:space="preserve"> a ŘSD.</w:t>
      </w:r>
    </w:p>
    <w:p w:rsidR="0052437A" w:rsidRPr="0052437A" w:rsidRDefault="0052437A" w:rsidP="0052437A">
      <w:pPr>
        <w:suppressAutoHyphens w:val="0"/>
        <w:rPr>
          <w:rFonts w:ascii="Arial" w:eastAsiaTheme="minorHAnsi" w:hAnsi="Arial" w:cs="Arial"/>
          <w:sz w:val="22"/>
          <w:szCs w:val="22"/>
          <w:lang w:eastAsia="en-US"/>
        </w:rPr>
      </w:pPr>
    </w:p>
    <w:p w:rsidR="00286C6E" w:rsidRDefault="00EE0BAC" w:rsidP="0098256D">
      <w:pPr>
        <w:jc w:val="both"/>
        <w:rPr>
          <w:rFonts w:ascii="Arial" w:hAnsi="Arial" w:cs="Arial"/>
          <w:b/>
          <w:bCs/>
          <w:iCs/>
          <w:sz w:val="22"/>
          <w:szCs w:val="22"/>
        </w:rPr>
      </w:pPr>
      <w:r>
        <w:rPr>
          <w:rFonts w:ascii="Arial" w:hAnsi="Arial" w:cs="Arial"/>
          <w:sz w:val="22"/>
          <w:szCs w:val="22"/>
        </w:rPr>
        <w:t>Dále z</w:t>
      </w:r>
      <w:r w:rsidR="00C37D67">
        <w:rPr>
          <w:rFonts w:ascii="Arial" w:hAnsi="Arial" w:cs="Arial"/>
          <w:sz w:val="22"/>
          <w:szCs w:val="22"/>
        </w:rPr>
        <w:t> </w:t>
      </w:r>
      <w:r w:rsidR="00FD2307">
        <w:rPr>
          <w:rFonts w:ascii="Arial" w:hAnsi="Arial" w:cs="Arial"/>
          <w:sz w:val="22"/>
          <w:szCs w:val="22"/>
        </w:rPr>
        <w:t>tabulky</w:t>
      </w:r>
      <w:r w:rsidR="00C37D67">
        <w:rPr>
          <w:rFonts w:ascii="Arial" w:hAnsi="Arial" w:cs="Arial"/>
          <w:sz w:val="22"/>
          <w:szCs w:val="22"/>
        </w:rPr>
        <w:t xml:space="preserve"> č. </w:t>
      </w:r>
      <w:r w:rsidR="00C33372">
        <w:rPr>
          <w:rFonts w:ascii="Arial" w:hAnsi="Arial" w:cs="Arial"/>
          <w:sz w:val="22"/>
          <w:szCs w:val="22"/>
        </w:rPr>
        <w:t xml:space="preserve">2 </w:t>
      </w:r>
      <w:r w:rsidR="00FD2307">
        <w:rPr>
          <w:rFonts w:ascii="Arial" w:hAnsi="Arial" w:cs="Arial"/>
          <w:sz w:val="22"/>
          <w:szCs w:val="22"/>
        </w:rPr>
        <w:t xml:space="preserve">vyplývá, že </w:t>
      </w:r>
      <w:r w:rsidR="00616EB9">
        <w:rPr>
          <w:rFonts w:ascii="Arial" w:hAnsi="Arial" w:cs="Arial"/>
          <w:sz w:val="22"/>
          <w:szCs w:val="22"/>
        </w:rPr>
        <w:t>přes zvýšení sazeb mýtného v roce 2011</w:t>
      </w:r>
      <w:r w:rsidR="00C33372">
        <w:rPr>
          <w:rFonts w:ascii="Arial" w:hAnsi="Arial" w:cs="Arial"/>
          <w:sz w:val="22"/>
          <w:szCs w:val="22"/>
        </w:rPr>
        <w:t xml:space="preserve"> a</w:t>
      </w:r>
      <w:r w:rsidR="00616EB9">
        <w:rPr>
          <w:rFonts w:ascii="Arial" w:hAnsi="Arial" w:cs="Arial"/>
          <w:sz w:val="22"/>
          <w:szCs w:val="22"/>
        </w:rPr>
        <w:t xml:space="preserve"> </w:t>
      </w:r>
      <w:r w:rsidR="00D024B3">
        <w:rPr>
          <w:rFonts w:ascii="Arial" w:hAnsi="Arial" w:cs="Arial"/>
          <w:sz w:val="22"/>
          <w:szCs w:val="22"/>
        </w:rPr>
        <w:t xml:space="preserve">přes </w:t>
      </w:r>
      <w:r w:rsidR="00616EB9">
        <w:rPr>
          <w:rFonts w:ascii="Arial" w:hAnsi="Arial" w:cs="Arial"/>
          <w:sz w:val="22"/>
          <w:szCs w:val="22"/>
        </w:rPr>
        <w:t>mírn</w:t>
      </w:r>
      <w:r w:rsidR="00D024B3">
        <w:rPr>
          <w:rFonts w:ascii="Arial" w:hAnsi="Arial" w:cs="Arial"/>
          <w:sz w:val="22"/>
          <w:szCs w:val="22"/>
        </w:rPr>
        <w:t>ý</w:t>
      </w:r>
      <w:r w:rsidR="00616EB9">
        <w:rPr>
          <w:rFonts w:ascii="Arial" w:hAnsi="Arial" w:cs="Arial"/>
          <w:sz w:val="22"/>
          <w:szCs w:val="22"/>
        </w:rPr>
        <w:t xml:space="preserve"> nárůst </w:t>
      </w:r>
      <w:r w:rsidR="00616EB9" w:rsidRPr="00616EB9">
        <w:rPr>
          <w:rFonts w:ascii="Arial" w:hAnsi="Arial" w:cs="Arial"/>
          <w:sz w:val="22"/>
          <w:szCs w:val="22"/>
        </w:rPr>
        <w:t>intenzit</w:t>
      </w:r>
      <w:r w:rsidR="00616EB9">
        <w:rPr>
          <w:rFonts w:ascii="Arial" w:hAnsi="Arial" w:cs="Arial"/>
          <w:sz w:val="22"/>
          <w:szCs w:val="22"/>
        </w:rPr>
        <w:t xml:space="preserve">y dopravy </w:t>
      </w:r>
      <w:r w:rsidR="00616EB9" w:rsidRPr="00616EB9">
        <w:rPr>
          <w:rFonts w:ascii="Arial" w:hAnsi="Arial" w:cs="Arial"/>
          <w:sz w:val="22"/>
          <w:szCs w:val="22"/>
        </w:rPr>
        <w:t>na zpoplatněné síti komunikací</w:t>
      </w:r>
      <w:r w:rsidR="00616EB9">
        <w:rPr>
          <w:rFonts w:ascii="Arial" w:hAnsi="Arial" w:cs="Arial"/>
          <w:sz w:val="22"/>
          <w:szCs w:val="22"/>
        </w:rPr>
        <w:t xml:space="preserve"> se</w:t>
      </w:r>
      <w:r w:rsidR="00B32EF9" w:rsidRPr="004401C1">
        <w:rPr>
          <w:rFonts w:ascii="Arial" w:hAnsi="Arial" w:cs="Arial"/>
          <w:sz w:val="22"/>
          <w:szCs w:val="22"/>
        </w:rPr>
        <w:t xml:space="preserve"> </w:t>
      </w:r>
      <w:r w:rsidR="00616EB9" w:rsidRPr="002D462D">
        <w:rPr>
          <w:rFonts w:ascii="Arial" w:hAnsi="Arial" w:cs="Arial"/>
          <w:sz w:val="22"/>
          <w:szCs w:val="22"/>
        </w:rPr>
        <w:t xml:space="preserve">inkaso mýtného </w:t>
      </w:r>
      <w:r w:rsidR="00D024B3">
        <w:rPr>
          <w:rFonts w:ascii="Arial" w:hAnsi="Arial" w:cs="Arial"/>
          <w:sz w:val="22"/>
          <w:szCs w:val="22"/>
        </w:rPr>
        <w:t xml:space="preserve">nijak výrazně </w:t>
      </w:r>
      <w:r w:rsidR="00616EB9" w:rsidRPr="002D462D">
        <w:rPr>
          <w:rFonts w:ascii="Arial" w:hAnsi="Arial" w:cs="Arial"/>
          <w:sz w:val="22"/>
          <w:szCs w:val="22"/>
        </w:rPr>
        <w:t>nezv</w:t>
      </w:r>
      <w:r w:rsidR="000164FE">
        <w:rPr>
          <w:rFonts w:ascii="Arial" w:hAnsi="Arial" w:cs="Arial"/>
          <w:sz w:val="22"/>
          <w:szCs w:val="22"/>
        </w:rPr>
        <w:t>ýšilo</w:t>
      </w:r>
      <w:r w:rsidR="00616EB9" w:rsidRPr="002D462D">
        <w:rPr>
          <w:rFonts w:ascii="Arial" w:hAnsi="Arial" w:cs="Arial"/>
          <w:sz w:val="22"/>
          <w:szCs w:val="22"/>
        </w:rPr>
        <w:t>.</w:t>
      </w:r>
      <w:r w:rsidR="00616EB9" w:rsidRPr="004401C1">
        <w:rPr>
          <w:rFonts w:ascii="Arial" w:hAnsi="Arial" w:cs="Arial"/>
          <w:sz w:val="22"/>
          <w:szCs w:val="22"/>
        </w:rPr>
        <w:t xml:space="preserve"> </w:t>
      </w:r>
      <w:r w:rsidR="00616EB9" w:rsidRPr="00E5401B">
        <w:rPr>
          <w:rFonts w:ascii="Arial" w:hAnsi="Arial" w:cs="Arial"/>
          <w:sz w:val="22"/>
          <w:szCs w:val="22"/>
        </w:rPr>
        <w:t>ŘSD odhadlo</w:t>
      </w:r>
      <w:r w:rsidR="00FD2307" w:rsidRPr="00E5401B">
        <w:rPr>
          <w:rFonts w:ascii="Arial" w:hAnsi="Arial" w:cs="Arial"/>
          <w:sz w:val="22"/>
          <w:szCs w:val="22"/>
        </w:rPr>
        <w:t xml:space="preserve"> dopad k</w:t>
      </w:r>
      <w:r w:rsidR="00616EB9" w:rsidRPr="00E5401B">
        <w:rPr>
          <w:rFonts w:ascii="Arial" w:hAnsi="Arial" w:cs="Arial"/>
          <w:sz w:val="22"/>
          <w:szCs w:val="22"/>
        </w:rPr>
        <w:t>a</w:t>
      </w:r>
      <w:r w:rsidR="00C37D67" w:rsidRPr="00E5401B">
        <w:rPr>
          <w:rFonts w:ascii="Arial" w:hAnsi="Arial" w:cs="Arial"/>
          <w:sz w:val="22"/>
          <w:szCs w:val="22"/>
        </w:rPr>
        <w:t>tegori</w:t>
      </w:r>
      <w:r w:rsidR="000164FE">
        <w:rPr>
          <w:rFonts w:ascii="Arial" w:hAnsi="Arial" w:cs="Arial"/>
          <w:sz w:val="22"/>
          <w:szCs w:val="22"/>
        </w:rPr>
        <w:t>í</w:t>
      </w:r>
      <w:r w:rsidR="00726EF7" w:rsidRPr="00E5401B">
        <w:rPr>
          <w:rFonts w:ascii="Arial" w:hAnsi="Arial" w:cs="Arial"/>
          <w:sz w:val="22"/>
          <w:szCs w:val="22"/>
        </w:rPr>
        <w:t xml:space="preserve"> vozidel E</w:t>
      </w:r>
      <w:r w:rsidR="008F6514">
        <w:rPr>
          <w:rFonts w:ascii="Arial" w:hAnsi="Arial" w:cs="Arial"/>
          <w:sz w:val="22"/>
          <w:szCs w:val="22"/>
        </w:rPr>
        <w:t>URO</w:t>
      </w:r>
      <w:r w:rsidR="00726EF7" w:rsidRPr="00E5401B">
        <w:rPr>
          <w:rFonts w:ascii="Arial" w:hAnsi="Arial" w:cs="Arial"/>
          <w:sz w:val="22"/>
          <w:szCs w:val="22"/>
        </w:rPr>
        <w:t> V a </w:t>
      </w:r>
      <w:r w:rsidR="00B57A41">
        <w:rPr>
          <w:rFonts w:ascii="Arial" w:hAnsi="Arial" w:cs="Arial"/>
          <w:sz w:val="22"/>
          <w:szCs w:val="22"/>
        </w:rPr>
        <w:t xml:space="preserve">vyšších </w:t>
      </w:r>
      <w:r w:rsidR="00FD2307" w:rsidRPr="00E5401B">
        <w:rPr>
          <w:rFonts w:ascii="Arial" w:hAnsi="Arial" w:cs="Arial"/>
          <w:sz w:val="22"/>
          <w:szCs w:val="22"/>
        </w:rPr>
        <w:t>na inkaso mýtného takto</w:t>
      </w:r>
      <w:r w:rsidR="00C37D67" w:rsidRPr="00E5401B">
        <w:rPr>
          <w:rFonts w:ascii="Arial" w:hAnsi="Arial" w:cs="Arial"/>
          <w:sz w:val="22"/>
          <w:szCs w:val="22"/>
        </w:rPr>
        <w:t>: v</w:t>
      </w:r>
      <w:r w:rsidR="00F0648F">
        <w:rPr>
          <w:rFonts w:ascii="Arial" w:hAnsi="Arial" w:cs="Arial"/>
          <w:sz w:val="22"/>
          <w:szCs w:val="22"/>
        </w:rPr>
        <w:t> </w:t>
      </w:r>
      <w:r w:rsidR="0099152B" w:rsidRPr="00E5401B">
        <w:rPr>
          <w:rFonts w:ascii="Arial" w:hAnsi="Arial" w:cs="Arial"/>
          <w:sz w:val="22"/>
          <w:szCs w:val="22"/>
        </w:rPr>
        <w:t xml:space="preserve">roce 2011 snížení o </w:t>
      </w:r>
      <w:r w:rsidR="00616EB9" w:rsidRPr="00E5401B">
        <w:rPr>
          <w:rFonts w:ascii="Arial" w:hAnsi="Arial" w:cs="Arial"/>
          <w:sz w:val="22"/>
          <w:szCs w:val="22"/>
        </w:rPr>
        <w:t>685 mil. Kč a za prvních sedm měsíců roku 2012 o</w:t>
      </w:r>
      <w:r w:rsidR="002D462D" w:rsidRPr="00E5401B">
        <w:rPr>
          <w:rFonts w:ascii="Arial" w:hAnsi="Arial" w:cs="Arial"/>
          <w:sz w:val="22"/>
          <w:szCs w:val="22"/>
        </w:rPr>
        <w:t xml:space="preserve"> </w:t>
      </w:r>
      <w:r w:rsidR="003A2756">
        <w:rPr>
          <w:rFonts w:ascii="Arial" w:hAnsi="Arial" w:cs="Arial"/>
          <w:sz w:val="22"/>
          <w:szCs w:val="22"/>
        </w:rPr>
        <w:t xml:space="preserve">dalších </w:t>
      </w:r>
      <w:r w:rsidR="00F0648F">
        <w:rPr>
          <w:rFonts w:ascii="Arial" w:hAnsi="Arial" w:cs="Arial"/>
          <w:sz w:val="22"/>
          <w:szCs w:val="22"/>
        </w:rPr>
        <w:t>475 mil. </w:t>
      </w:r>
      <w:r w:rsidR="002D462D" w:rsidRPr="00E5401B">
        <w:rPr>
          <w:rFonts w:ascii="Arial" w:hAnsi="Arial" w:cs="Arial"/>
          <w:sz w:val="22"/>
          <w:szCs w:val="22"/>
        </w:rPr>
        <w:t>Kč (odhad na</w:t>
      </w:r>
      <w:r w:rsidR="00616EB9" w:rsidRPr="00E5401B">
        <w:rPr>
          <w:rFonts w:ascii="Arial" w:hAnsi="Arial" w:cs="Arial"/>
          <w:sz w:val="22"/>
          <w:szCs w:val="22"/>
        </w:rPr>
        <w:t xml:space="preserve"> celý rok </w:t>
      </w:r>
      <w:r w:rsidR="002D462D" w:rsidRPr="00E5401B">
        <w:rPr>
          <w:rFonts w:ascii="Arial" w:hAnsi="Arial" w:cs="Arial"/>
          <w:sz w:val="22"/>
          <w:szCs w:val="22"/>
        </w:rPr>
        <w:t xml:space="preserve">2012 </w:t>
      </w:r>
      <w:r w:rsidR="008F6514">
        <w:rPr>
          <w:rFonts w:ascii="Arial" w:hAnsi="Arial" w:cs="Arial"/>
          <w:sz w:val="22"/>
          <w:szCs w:val="22"/>
        </w:rPr>
        <w:t>čin</w:t>
      </w:r>
      <w:r w:rsidR="000164FE">
        <w:rPr>
          <w:rFonts w:ascii="Arial" w:hAnsi="Arial" w:cs="Arial"/>
          <w:sz w:val="22"/>
          <w:szCs w:val="22"/>
        </w:rPr>
        <w:t>il</w:t>
      </w:r>
      <w:r w:rsidR="008F6514">
        <w:rPr>
          <w:rFonts w:ascii="Arial" w:hAnsi="Arial" w:cs="Arial"/>
          <w:sz w:val="22"/>
          <w:szCs w:val="22"/>
        </w:rPr>
        <w:t xml:space="preserve"> </w:t>
      </w:r>
      <w:r w:rsidR="00616EB9" w:rsidRPr="00E5401B">
        <w:rPr>
          <w:rFonts w:ascii="Arial" w:hAnsi="Arial" w:cs="Arial"/>
          <w:sz w:val="22"/>
          <w:szCs w:val="22"/>
        </w:rPr>
        <w:t>815 mil. Kč</w:t>
      </w:r>
      <w:r w:rsidR="002D462D" w:rsidRPr="00E5401B">
        <w:rPr>
          <w:rFonts w:ascii="Arial" w:hAnsi="Arial" w:cs="Arial"/>
          <w:sz w:val="22"/>
          <w:szCs w:val="22"/>
        </w:rPr>
        <w:t>)</w:t>
      </w:r>
      <w:r w:rsidR="00616EB9" w:rsidRPr="00E5401B">
        <w:rPr>
          <w:rStyle w:val="Znakypropoznmkupodarou"/>
          <w:rFonts w:ascii="Arial" w:hAnsi="Arial" w:cs="Arial"/>
          <w:sz w:val="22"/>
          <w:szCs w:val="22"/>
        </w:rPr>
        <w:footnoteReference w:id="21"/>
      </w:r>
      <w:r w:rsidR="002D462D" w:rsidRPr="00E5401B">
        <w:rPr>
          <w:rFonts w:ascii="Arial" w:hAnsi="Arial" w:cs="Arial"/>
          <w:sz w:val="22"/>
          <w:szCs w:val="22"/>
        </w:rPr>
        <w:t>.</w:t>
      </w:r>
      <w:r w:rsidR="00616EB9" w:rsidRPr="00E5401B">
        <w:rPr>
          <w:rFonts w:ascii="Arial" w:hAnsi="Arial" w:cs="Arial"/>
          <w:sz w:val="22"/>
          <w:szCs w:val="22"/>
        </w:rPr>
        <w:t xml:space="preserve"> </w:t>
      </w:r>
      <w:r w:rsidR="00512E5B" w:rsidRPr="00E5401B">
        <w:rPr>
          <w:rFonts w:ascii="Arial" w:hAnsi="Arial" w:cs="Arial"/>
          <w:sz w:val="22"/>
          <w:szCs w:val="22"/>
        </w:rPr>
        <w:t>Sn</w:t>
      </w:r>
      <w:r w:rsidR="004D0961">
        <w:rPr>
          <w:rFonts w:ascii="Arial" w:hAnsi="Arial" w:cs="Arial"/>
          <w:sz w:val="22"/>
          <w:szCs w:val="22"/>
        </w:rPr>
        <w:t>ižování</w:t>
      </w:r>
      <w:r w:rsidR="00512E5B" w:rsidRPr="00E5401B">
        <w:rPr>
          <w:rFonts w:ascii="Arial" w:hAnsi="Arial" w:cs="Arial"/>
          <w:sz w:val="22"/>
          <w:szCs w:val="22"/>
        </w:rPr>
        <w:t xml:space="preserve"> inkasa se bude dále s narůstajícím počtem vozidel emisní</w:t>
      </w:r>
      <w:r w:rsidR="000164FE">
        <w:rPr>
          <w:rFonts w:ascii="Arial" w:hAnsi="Arial" w:cs="Arial"/>
          <w:sz w:val="22"/>
          <w:szCs w:val="22"/>
        </w:rPr>
        <w:t>ch</w:t>
      </w:r>
      <w:r w:rsidR="00512E5B" w:rsidRPr="00E5401B">
        <w:rPr>
          <w:rFonts w:ascii="Arial" w:hAnsi="Arial" w:cs="Arial"/>
          <w:sz w:val="22"/>
          <w:szCs w:val="22"/>
        </w:rPr>
        <w:t xml:space="preserve"> tříd EURO V a vyšší</w:t>
      </w:r>
      <w:r w:rsidR="004D0961">
        <w:rPr>
          <w:rFonts w:ascii="Arial" w:hAnsi="Arial" w:cs="Arial"/>
          <w:sz w:val="22"/>
          <w:szCs w:val="22"/>
        </w:rPr>
        <w:t>ch</w:t>
      </w:r>
      <w:r w:rsidR="00512E5B" w:rsidRPr="00E5401B">
        <w:rPr>
          <w:rFonts w:ascii="Arial" w:hAnsi="Arial" w:cs="Arial"/>
          <w:sz w:val="22"/>
          <w:szCs w:val="22"/>
        </w:rPr>
        <w:t xml:space="preserve"> prohlubovat.</w:t>
      </w:r>
    </w:p>
    <w:p w:rsidR="00A513DC" w:rsidRDefault="00A513DC" w:rsidP="0098256D">
      <w:pPr>
        <w:jc w:val="both"/>
        <w:rPr>
          <w:rFonts w:ascii="Arial" w:hAnsi="Arial" w:cs="Arial"/>
          <w:b/>
          <w:bCs/>
          <w:iCs/>
          <w:sz w:val="22"/>
          <w:szCs w:val="22"/>
        </w:rPr>
      </w:pPr>
    </w:p>
    <w:p w:rsidR="00A513DC" w:rsidRPr="00462651" w:rsidRDefault="00A513DC" w:rsidP="0098256D">
      <w:pPr>
        <w:jc w:val="both"/>
        <w:rPr>
          <w:rFonts w:ascii="Arial" w:hAnsi="Arial" w:cs="Arial"/>
          <w:sz w:val="22"/>
          <w:szCs w:val="22"/>
        </w:rPr>
      </w:pPr>
      <w:r w:rsidRPr="00462651">
        <w:rPr>
          <w:rFonts w:ascii="Arial" w:hAnsi="Arial" w:cs="Arial"/>
          <w:bCs/>
          <w:iCs/>
          <w:sz w:val="22"/>
          <w:szCs w:val="22"/>
        </w:rPr>
        <w:t xml:space="preserve">MD </w:t>
      </w:r>
      <w:r w:rsidR="008F6514" w:rsidRPr="00462651">
        <w:rPr>
          <w:rFonts w:ascii="Arial" w:hAnsi="Arial" w:cs="Arial"/>
          <w:bCs/>
          <w:iCs/>
          <w:sz w:val="22"/>
          <w:szCs w:val="22"/>
        </w:rPr>
        <w:t xml:space="preserve">na zjištění NKÚ reagovalo </w:t>
      </w:r>
      <w:r w:rsidR="000164FE">
        <w:rPr>
          <w:rFonts w:ascii="Arial" w:hAnsi="Arial" w:cs="Arial"/>
          <w:bCs/>
          <w:iCs/>
          <w:sz w:val="22"/>
          <w:szCs w:val="22"/>
        </w:rPr>
        <w:t xml:space="preserve">touto </w:t>
      </w:r>
      <w:r w:rsidR="008F6514" w:rsidRPr="00462651">
        <w:rPr>
          <w:rFonts w:ascii="Arial" w:hAnsi="Arial" w:cs="Arial"/>
          <w:bCs/>
          <w:iCs/>
          <w:sz w:val="22"/>
          <w:szCs w:val="22"/>
        </w:rPr>
        <w:t>informací</w:t>
      </w:r>
      <w:r w:rsidRPr="00462651">
        <w:rPr>
          <w:rFonts w:ascii="Arial" w:hAnsi="Arial" w:cs="Arial"/>
          <w:bCs/>
          <w:iCs/>
          <w:sz w:val="22"/>
          <w:szCs w:val="22"/>
        </w:rPr>
        <w:t xml:space="preserve">: </w:t>
      </w:r>
      <w:r w:rsidRPr="004401C1">
        <w:rPr>
          <w:rFonts w:ascii="Arial" w:hAnsi="Arial" w:cs="Arial"/>
          <w:bCs/>
          <w:iCs/>
          <w:sz w:val="22"/>
          <w:szCs w:val="22"/>
        </w:rPr>
        <w:t>„</w:t>
      </w:r>
      <w:r w:rsidRPr="00462651">
        <w:rPr>
          <w:rFonts w:ascii="Arial" w:hAnsi="Arial" w:cs="Arial"/>
          <w:bCs/>
          <w:i/>
          <w:iCs/>
          <w:sz w:val="22"/>
          <w:szCs w:val="22"/>
        </w:rPr>
        <w:t xml:space="preserve">Na nižší růst </w:t>
      </w:r>
      <w:r w:rsidR="00F0648F">
        <w:rPr>
          <w:rFonts w:ascii="Arial" w:hAnsi="Arial" w:cs="Arial"/>
          <w:bCs/>
          <w:i/>
          <w:iCs/>
          <w:sz w:val="22"/>
          <w:szCs w:val="22"/>
        </w:rPr>
        <w:t>tržeb z důvodu stejných sazeb u </w:t>
      </w:r>
      <w:r w:rsidRPr="00462651">
        <w:rPr>
          <w:rFonts w:ascii="Arial" w:hAnsi="Arial" w:cs="Arial"/>
          <w:bCs/>
          <w:i/>
          <w:iCs/>
          <w:sz w:val="22"/>
          <w:szCs w:val="22"/>
        </w:rPr>
        <w:t>EURO V a vyšší bude muset MD reagovat, např. přeskupením vozidel dle emisí, zvýšením sazeb dle inflace</w:t>
      </w:r>
      <w:r w:rsidR="00FD2307" w:rsidRPr="00462651">
        <w:rPr>
          <w:rFonts w:ascii="Arial" w:hAnsi="Arial" w:cs="Arial"/>
          <w:bCs/>
          <w:i/>
          <w:iCs/>
          <w:sz w:val="22"/>
          <w:szCs w:val="22"/>
        </w:rPr>
        <w:t>.</w:t>
      </w:r>
      <w:r w:rsidR="00FD2307" w:rsidRPr="004401C1">
        <w:rPr>
          <w:rFonts w:ascii="Arial" w:hAnsi="Arial" w:cs="Arial"/>
          <w:bCs/>
          <w:iCs/>
          <w:sz w:val="22"/>
          <w:szCs w:val="22"/>
        </w:rPr>
        <w:t>“</w:t>
      </w:r>
    </w:p>
    <w:p w:rsidR="00281B33" w:rsidRDefault="00281B33" w:rsidP="0098256D">
      <w:pPr>
        <w:jc w:val="both"/>
        <w:rPr>
          <w:rFonts w:ascii="Arial" w:hAnsi="Arial" w:cs="Arial"/>
          <w:b/>
          <w:bCs/>
          <w:iCs/>
          <w:sz w:val="22"/>
          <w:szCs w:val="22"/>
        </w:rPr>
      </w:pPr>
    </w:p>
    <w:p w:rsidR="00286C6E" w:rsidRPr="00061684" w:rsidRDefault="00286C6E" w:rsidP="004401C1">
      <w:pPr>
        <w:pStyle w:val="Nadpis2"/>
        <w:numPr>
          <w:ilvl w:val="2"/>
          <w:numId w:val="18"/>
        </w:numPr>
        <w:spacing w:before="0" w:after="120"/>
        <w:ind w:left="284" w:hanging="284"/>
        <w:jc w:val="both"/>
        <w:rPr>
          <w:rFonts w:ascii="Arial" w:hAnsi="Arial" w:cs="Arial"/>
          <w:i w:val="0"/>
          <w:sz w:val="22"/>
          <w:szCs w:val="22"/>
        </w:rPr>
      </w:pPr>
      <w:r w:rsidRPr="00061684">
        <w:rPr>
          <w:rFonts w:ascii="Arial" w:hAnsi="Arial" w:cs="Arial"/>
          <w:i w:val="0"/>
          <w:sz w:val="22"/>
          <w:szCs w:val="22"/>
        </w:rPr>
        <w:t>Rozšíření SVZ o kategorii autobus</w:t>
      </w:r>
    </w:p>
    <w:p w:rsidR="00286C6E" w:rsidRDefault="00286C6E" w:rsidP="004401C1">
      <w:pPr>
        <w:jc w:val="both"/>
        <w:rPr>
          <w:rFonts w:ascii="Arial" w:hAnsi="Arial" w:cs="Arial"/>
          <w:sz w:val="22"/>
          <w:szCs w:val="22"/>
        </w:rPr>
      </w:pPr>
      <w:r>
        <w:rPr>
          <w:rFonts w:ascii="Arial" w:hAnsi="Arial" w:cs="Arial"/>
          <w:sz w:val="22"/>
          <w:szCs w:val="22"/>
        </w:rPr>
        <w:t xml:space="preserve">Od 1. </w:t>
      </w:r>
      <w:r w:rsidR="007B34AC">
        <w:rPr>
          <w:rFonts w:ascii="Arial" w:hAnsi="Arial" w:cs="Arial"/>
          <w:sz w:val="22"/>
          <w:szCs w:val="22"/>
        </w:rPr>
        <w:t>září</w:t>
      </w:r>
      <w:r>
        <w:rPr>
          <w:rFonts w:ascii="Arial" w:hAnsi="Arial" w:cs="Arial"/>
          <w:sz w:val="22"/>
          <w:szCs w:val="22"/>
        </w:rPr>
        <w:t xml:space="preserve"> 2011 byla zavedena </w:t>
      </w:r>
      <w:r w:rsidR="007A3757">
        <w:rPr>
          <w:rFonts w:ascii="Arial" w:hAnsi="Arial" w:cs="Arial"/>
          <w:sz w:val="22"/>
          <w:szCs w:val="22"/>
        </w:rPr>
        <w:t>kategori</w:t>
      </w:r>
      <w:r w:rsidR="00281B33">
        <w:rPr>
          <w:rFonts w:ascii="Arial" w:hAnsi="Arial" w:cs="Arial"/>
          <w:sz w:val="22"/>
          <w:szCs w:val="22"/>
        </w:rPr>
        <w:t>e</w:t>
      </w:r>
      <w:r w:rsidR="007A3757">
        <w:rPr>
          <w:rFonts w:ascii="Arial" w:hAnsi="Arial" w:cs="Arial"/>
          <w:sz w:val="22"/>
          <w:szCs w:val="22"/>
        </w:rPr>
        <w:t xml:space="preserve"> autobus </w:t>
      </w:r>
      <w:r w:rsidR="007A1976">
        <w:rPr>
          <w:rFonts w:ascii="Arial" w:hAnsi="Arial" w:cs="Arial"/>
          <w:sz w:val="22"/>
          <w:szCs w:val="22"/>
        </w:rPr>
        <w:t>s </w:t>
      </w:r>
      <w:r>
        <w:rPr>
          <w:rFonts w:ascii="Arial" w:hAnsi="Arial" w:cs="Arial"/>
          <w:sz w:val="22"/>
          <w:szCs w:val="22"/>
        </w:rPr>
        <w:t>výrazně nižší sazb</w:t>
      </w:r>
      <w:r w:rsidR="007A3757">
        <w:rPr>
          <w:rFonts w:ascii="Arial" w:hAnsi="Arial" w:cs="Arial"/>
          <w:sz w:val="22"/>
          <w:szCs w:val="22"/>
        </w:rPr>
        <w:t>ou</w:t>
      </w:r>
      <w:r>
        <w:rPr>
          <w:rFonts w:ascii="Arial" w:hAnsi="Arial" w:cs="Arial"/>
          <w:sz w:val="22"/>
          <w:szCs w:val="22"/>
        </w:rPr>
        <w:t xml:space="preserve"> mýtného</w:t>
      </w:r>
      <w:r>
        <w:rPr>
          <w:rStyle w:val="Znakypropoznmkupodarou"/>
          <w:rFonts w:ascii="Arial" w:hAnsi="Arial" w:cs="Arial"/>
          <w:sz w:val="22"/>
          <w:szCs w:val="22"/>
        </w:rPr>
        <w:footnoteReference w:id="22"/>
      </w:r>
      <w:r>
        <w:rPr>
          <w:rFonts w:ascii="Arial" w:hAnsi="Arial" w:cs="Arial"/>
          <w:sz w:val="22"/>
          <w:szCs w:val="22"/>
        </w:rPr>
        <w:t xml:space="preserve">. </w:t>
      </w:r>
      <w:r w:rsidR="00236681">
        <w:rPr>
          <w:rFonts w:ascii="Arial" w:hAnsi="Arial" w:cs="Arial"/>
          <w:sz w:val="22"/>
          <w:szCs w:val="22"/>
        </w:rPr>
        <w:t>D</w:t>
      </w:r>
      <w:r>
        <w:rPr>
          <w:rFonts w:ascii="Arial" w:hAnsi="Arial" w:cs="Arial"/>
          <w:sz w:val="22"/>
          <w:szCs w:val="22"/>
        </w:rPr>
        <w:t>ůvodem změny byla přímá podpora hromadné osobní dopravy</w:t>
      </w:r>
      <w:r w:rsidR="00AF7E12">
        <w:rPr>
          <w:rFonts w:ascii="Arial" w:hAnsi="Arial" w:cs="Arial"/>
          <w:sz w:val="22"/>
          <w:szCs w:val="22"/>
        </w:rPr>
        <w:t xml:space="preserve"> (zejména pravidelné)</w:t>
      </w:r>
      <w:r w:rsidR="006B3813">
        <w:rPr>
          <w:rFonts w:ascii="Arial" w:hAnsi="Arial" w:cs="Arial"/>
          <w:sz w:val="22"/>
          <w:szCs w:val="22"/>
        </w:rPr>
        <w:t xml:space="preserve"> před individuální </w:t>
      </w:r>
      <w:r w:rsidR="007A1976">
        <w:rPr>
          <w:rFonts w:ascii="Arial" w:hAnsi="Arial" w:cs="Arial"/>
          <w:sz w:val="22"/>
          <w:szCs w:val="22"/>
        </w:rPr>
        <w:t>s</w:t>
      </w:r>
      <w:r w:rsidR="009D5362">
        <w:rPr>
          <w:rFonts w:ascii="Arial" w:hAnsi="Arial" w:cs="Arial"/>
          <w:sz w:val="22"/>
          <w:szCs w:val="22"/>
        </w:rPr>
        <w:t xml:space="preserve"> </w:t>
      </w:r>
      <w:r w:rsidR="006B3813">
        <w:rPr>
          <w:rFonts w:ascii="Arial" w:hAnsi="Arial" w:cs="Arial"/>
          <w:sz w:val="22"/>
          <w:szCs w:val="22"/>
        </w:rPr>
        <w:t xml:space="preserve">příznivým dopadem na životní prostředí a </w:t>
      </w:r>
      <w:r w:rsidR="009D5362">
        <w:rPr>
          <w:rFonts w:ascii="Arial" w:hAnsi="Arial" w:cs="Arial"/>
          <w:sz w:val="22"/>
          <w:szCs w:val="22"/>
        </w:rPr>
        <w:t xml:space="preserve">na </w:t>
      </w:r>
      <w:r w:rsidR="006B3813">
        <w:rPr>
          <w:rFonts w:ascii="Arial" w:hAnsi="Arial" w:cs="Arial"/>
          <w:sz w:val="22"/>
          <w:szCs w:val="22"/>
        </w:rPr>
        <w:t>dopravní kongesce.</w:t>
      </w:r>
    </w:p>
    <w:p w:rsidR="005D555B" w:rsidRDefault="005D555B" w:rsidP="004401C1">
      <w:pPr>
        <w:jc w:val="both"/>
        <w:rPr>
          <w:rFonts w:ascii="Arial" w:hAnsi="Arial" w:cs="Arial"/>
          <w:sz w:val="22"/>
          <w:szCs w:val="22"/>
        </w:rPr>
      </w:pPr>
    </w:p>
    <w:p w:rsidR="00286C6E" w:rsidRDefault="00025B46" w:rsidP="004401C1">
      <w:pPr>
        <w:jc w:val="both"/>
        <w:rPr>
          <w:rFonts w:ascii="Arial" w:hAnsi="Arial" w:cs="Arial"/>
          <w:sz w:val="22"/>
          <w:szCs w:val="22"/>
        </w:rPr>
      </w:pPr>
      <w:r w:rsidRPr="00DE4FA7">
        <w:rPr>
          <w:rFonts w:ascii="Arial" w:hAnsi="Arial"/>
          <w:sz w:val="22"/>
        </w:rPr>
        <w:t>Podle sdělení ŘSD j</w:t>
      </w:r>
      <w:r w:rsidR="00286C6E" w:rsidRPr="00DE4FA7">
        <w:rPr>
          <w:rFonts w:ascii="Arial" w:hAnsi="Arial"/>
          <w:sz w:val="22"/>
        </w:rPr>
        <w:t>ednorázové náklady</w:t>
      </w:r>
      <w:r w:rsidR="00286C6E" w:rsidRPr="00DE4FA7">
        <w:rPr>
          <w:rFonts w:ascii="Arial" w:hAnsi="Arial" w:cs="Arial"/>
          <w:sz w:val="22"/>
          <w:szCs w:val="22"/>
        </w:rPr>
        <w:t xml:space="preserve"> </w:t>
      </w:r>
      <w:r w:rsidR="00236681" w:rsidRPr="00DE4FA7">
        <w:rPr>
          <w:rFonts w:ascii="Arial" w:hAnsi="Arial" w:cs="Arial"/>
          <w:sz w:val="22"/>
          <w:szCs w:val="22"/>
        </w:rPr>
        <w:t xml:space="preserve">ŘSD </w:t>
      </w:r>
      <w:r w:rsidR="00286C6E" w:rsidRPr="00DE4FA7">
        <w:rPr>
          <w:rFonts w:ascii="Arial" w:hAnsi="Arial" w:cs="Arial"/>
          <w:sz w:val="22"/>
          <w:szCs w:val="22"/>
        </w:rPr>
        <w:t xml:space="preserve">na zavedení kategorie autobus </w:t>
      </w:r>
      <w:r w:rsidR="009D5362">
        <w:rPr>
          <w:rFonts w:ascii="Arial" w:hAnsi="Arial" w:cs="Arial"/>
          <w:sz w:val="22"/>
          <w:szCs w:val="22"/>
        </w:rPr>
        <w:t xml:space="preserve">do </w:t>
      </w:r>
      <w:r w:rsidR="00286C6E" w:rsidRPr="00DE4FA7">
        <w:rPr>
          <w:rFonts w:ascii="Arial" w:hAnsi="Arial" w:cs="Arial"/>
          <w:sz w:val="22"/>
          <w:szCs w:val="22"/>
        </w:rPr>
        <w:t xml:space="preserve">SVZ činily celkem </w:t>
      </w:r>
      <w:r w:rsidR="00286C6E" w:rsidRPr="00DE4FA7">
        <w:rPr>
          <w:rFonts w:ascii="Arial" w:hAnsi="Arial"/>
          <w:sz w:val="22"/>
        </w:rPr>
        <w:t>33,35 mil. Kč</w:t>
      </w:r>
      <w:r w:rsidR="00844CCC" w:rsidRPr="00DE4FA7">
        <w:rPr>
          <w:rFonts w:ascii="Arial" w:hAnsi="Arial"/>
          <w:sz w:val="22"/>
        </w:rPr>
        <w:t>. D</w:t>
      </w:r>
      <w:r w:rsidR="0079608B" w:rsidRPr="00DE4FA7">
        <w:rPr>
          <w:rFonts w:ascii="Arial" w:hAnsi="Arial"/>
          <w:sz w:val="22"/>
        </w:rPr>
        <w:t xml:space="preserve">ále lze </w:t>
      </w:r>
      <w:r w:rsidR="003E37EA" w:rsidRPr="00DE4FA7">
        <w:rPr>
          <w:rFonts w:ascii="Arial" w:hAnsi="Arial"/>
          <w:sz w:val="22"/>
        </w:rPr>
        <w:t>očekávat</w:t>
      </w:r>
      <w:r w:rsidR="00E5401B" w:rsidRPr="00DE4FA7">
        <w:rPr>
          <w:rFonts w:ascii="Arial" w:hAnsi="Arial"/>
          <w:sz w:val="22"/>
        </w:rPr>
        <w:t xml:space="preserve"> průběžné </w:t>
      </w:r>
      <w:r w:rsidR="003E37EA" w:rsidRPr="00DE4FA7">
        <w:rPr>
          <w:rFonts w:ascii="Arial" w:hAnsi="Arial"/>
          <w:sz w:val="22"/>
        </w:rPr>
        <w:t xml:space="preserve">náklady na obměnu, </w:t>
      </w:r>
      <w:r w:rsidR="0079608B" w:rsidRPr="00DE4FA7">
        <w:rPr>
          <w:rFonts w:ascii="Arial" w:hAnsi="Arial"/>
          <w:sz w:val="22"/>
        </w:rPr>
        <w:t xml:space="preserve">repasi </w:t>
      </w:r>
      <w:r w:rsidR="003E37EA" w:rsidRPr="00DE4FA7">
        <w:rPr>
          <w:rFonts w:ascii="Arial" w:hAnsi="Arial"/>
          <w:sz w:val="22"/>
        </w:rPr>
        <w:t xml:space="preserve">a doplnění stavu </w:t>
      </w:r>
      <w:r w:rsidR="003812F7" w:rsidRPr="00DE4FA7">
        <w:rPr>
          <w:rFonts w:ascii="Arial" w:hAnsi="Arial"/>
          <w:sz w:val="22"/>
        </w:rPr>
        <w:t xml:space="preserve">OBU </w:t>
      </w:r>
      <w:r w:rsidR="007B67F4" w:rsidRPr="00DE4FA7">
        <w:rPr>
          <w:rFonts w:ascii="Arial" w:hAnsi="Arial"/>
          <w:sz w:val="22"/>
        </w:rPr>
        <w:t xml:space="preserve">a </w:t>
      </w:r>
      <w:r w:rsidR="007A7549" w:rsidRPr="00DE4FA7">
        <w:rPr>
          <w:rFonts w:ascii="Arial" w:hAnsi="Arial" w:cs="Arial"/>
          <w:sz w:val="22"/>
          <w:szCs w:val="22"/>
        </w:rPr>
        <w:t>poplatky za provoz OBU této kategorie</w:t>
      </w:r>
      <w:r w:rsidR="0099152B" w:rsidRPr="00DE4FA7">
        <w:rPr>
          <w:rFonts w:ascii="Arial" w:hAnsi="Arial" w:cs="Arial"/>
          <w:sz w:val="22"/>
          <w:szCs w:val="22"/>
        </w:rPr>
        <w:t>.</w:t>
      </w:r>
      <w:r w:rsidR="00A7212F" w:rsidRPr="00DE4FA7">
        <w:rPr>
          <w:rFonts w:ascii="Arial" w:hAnsi="Arial" w:cs="Arial"/>
          <w:sz w:val="22"/>
          <w:szCs w:val="22"/>
        </w:rPr>
        <w:t xml:space="preserve"> V období od 9/2011–</w:t>
      </w:r>
      <w:r w:rsidR="006A015F" w:rsidRPr="00DE4FA7">
        <w:rPr>
          <w:rFonts w:ascii="Arial" w:hAnsi="Arial" w:cs="Arial"/>
          <w:sz w:val="22"/>
          <w:szCs w:val="22"/>
        </w:rPr>
        <w:t>9/</w:t>
      </w:r>
      <w:r w:rsidR="009D5362">
        <w:rPr>
          <w:rFonts w:ascii="Arial" w:hAnsi="Arial" w:cs="Arial"/>
          <w:sz w:val="22"/>
          <w:szCs w:val="22"/>
        </w:rPr>
        <w:t>20</w:t>
      </w:r>
      <w:r w:rsidR="006A015F" w:rsidRPr="00DE4FA7">
        <w:rPr>
          <w:rFonts w:ascii="Arial" w:hAnsi="Arial" w:cs="Arial"/>
          <w:sz w:val="22"/>
          <w:szCs w:val="22"/>
        </w:rPr>
        <w:t>12 byl</w:t>
      </w:r>
      <w:r w:rsidR="00E04CAB" w:rsidRPr="00DE4FA7">
        <w:rPr>
          <w:rFonts w:ascii="Arial" w:hAnsi="Arial" w:cs="Arial"/>
          <w:sz w:val="22"/>
          <w:szCs w:val="22"/>
        </w:rPr>
        <w:t xml:space="preserve">o registrováno 23 991 autobusů. </w:t>
      </w:r>
      <w:r w:rsidR="008A69AC" w:rsidRPr="00DE4FA7">
        <w:rPr>
          <w:rFonts w:ascii="Arial" w:hAnsi="Arial" w:cs="Arial"/>
          <w:sz w:val="22"/>
          <w:szCs w:val="22"/>
        </w:rPr>
        <w:t xml:space="preserve">Za </w:t>
      </w:r>
      <w:r w:rsidR="00E82B17" w:rsidRPr="00DE4FA7">
        <w:rPr>
          <w:rFonts w:ascii="Arial" w:hAnsi="Arial" w:cs="Arial"/>
          <w:sz w:val="22"/>
          <w:szCs w:val="22"/>
        </w:rPr>
        <w:t>12 měsíců účinnosti dosáhl</w:t>
      </w:r>
      <w:r w:rsidR="006A015F" w:rsidRPr="00DE4FA7">
        <w:rPr>
          <w:rFonts w:ascii="Arial" w:hAnsi="Arial" w:cs="Arial"/>
          <w:sz w:val="22"/>
          <w:szCs w:val="22"/>
        </w:rPr>
        <w:t xml:space="preserve">o inkaso </w:t>
      </w:r>
      <w:r w:rsidR="00286C6E" w:rsidRPr="00DE4FA7">
        <w:rPr>
          <w:rFonts w:ascii="Arial" w:hAnsi="Arial" w:cs="Arial"/>
          <w:sz w:val="22"/>
          <w:szCs w:val="22"/>
        </w:rPr>
        <w:t xml:space="preserve">mýtného </w:t>
      </w:r>
      <w:r w:rsidR="00236681" w:rsidRPr="00DE4FA7">
        <w:rPr>
          <w:rFonts w:ascii="Arial" w:hAnsi="Arial" w:cs="Arial"/>
          <w:sz w:val="22"/>
          <w:szCs w:val="22"/>
        </w:rPr>
        <w:t>této</w:t>
      </w:r>
      <w:r w:rsidR="00286C6E" w:rsidRPr="00DE4FA7">
        <w:rPr>
          <w:rFonts w:ascii="Arial" w:hAnsi="Arial" w:cs="Arial"/>
          <w:sz w:val="22"/>
          <w:szCs w:val="22"/>
        </w:rPr>
        <w:t xml:space="preserve"> kategorie 106,37</w:t>
      </w:r>
      <w:r w:rsidR="00FA23A7">
        <w:rPr>
          <w:rFonts w:ascii="Arial" w:hAnsi="Arial" w:cs="Arial"/>
          <w:sz w:val="22"/>
          <w:szCs w:val="22"/>
        </w:rPr>
        <w:t> </w:t>
      </w:r>
      <w:r w:rsidR="00286C6E" w:rsidRPr="00DE4FA7">
        <w:rPr>
          <w:rFonts w:ascii="Arial" w:hAnsi="Arial" w:cs="Arial"/>
          <w:sz w:val="22"/>
          <w:szCs w:val="22"/>
        </w:rPr>
        <w:t>mil.</w:t>
      </w:r>
      <w:r w:rsidR="00FA23A7">
        <w:rPr>
          <w:rFonts w:ascii="Arial" w:hAnsi="Arial" w:cs="Arial"/>
          <w:sz w:val="22"/>
          <w:szCs w:val="22"/>
        </w:rPr>
        <w:t> </w:t>
      </w:r>
      <w:r w:rsidR="00286C6E" w:rsidRPr="00DE4FA7">
        <w:rPr>
          <w:rFonts w:ascii="Arial" w:hAnsi="Arial" w:cs="Arial"/>
          <w:sz w:val="22"/>
          <w:szCs w:val="22"/>
        </w:rPr>
        <w:t>Kč</w:t>
      </w:r>
      <w:r w:rsidR="006F7A3A" w:rsidRPr="00DE4FA7">
        <w:rPr>
          <w:rFonts w:ascii="Arial" w:hAnsi="Arial" w:cs="Arial"/>
          <w:sz w:val="22"/>
          <w:szCs w:val="22"/>
        </w:rPr>
        <w:t>.</w:t>
      </w:r>
      <w:r w:rsidRPr="00DE4FA7">
        <w:rPr>
          <w:rFonts w:ascii="Arial" w:hAnsi="Arial" w:cs="Arial"/>
          <w:sz w:val="22"/>
          <w:szCs w:val="22"/>
        </w:rPr>
        <w:t xml:space="preserve"> </w:t>
      </w:r>
    </w:p>
    <w:p w:rsidR="005D555B" w:rsidRPr="00DE4FA7" w:rsidRDefault="005D555B" w:rsidP="004401C1">
      <w:pPr>
        <w:jc w:val="both"/>
        <w:rPr>
          <w:rFonts w:ascii="Arial" w:hAnsi="Arial" w:cs="Arial"/>
          <w:sz w:val="22"/>
          <w:szCs w:val="22"/>
        </w:rPr>
      </w:pPr>
    </w:p>
    <w:p w:rsidR="008416E9" w:rsidRDefault="00286C6E" w:rsidP="004401C1">
      <w:pPr>
        <w:jc w:val="both"/>
        <w:rPr>
          <w:rFonts w:ascii="Arial" w:hAnsi="Arial" w:cs="Arial"/>
          <w:sz w:val="22"/>
          <w:szCs w:val="22"/>
        </w:rPr>
      </w:pPr>
      <w:r w:rsidRPr="008416E9">
        <w:rPr>
          <w:rFonts w:ascii="Arial" w:hAnsi="Arial" w:cs="Arial"/>
          <w:sz w:val="22"/>
          <w:szCs w:val="22"/>
        </w:rPr>
        <w:t xml:space="preserve">Inkaso mýtného </w:t>
      </w:r>
      <w:r w:rsidR="00C55BCB">
        <w:rPr>
          <w:rFonts w:ascii="Arial" w:hAnsi="Arial" w:cs="Arial"/>
          <w:sz w:val="22"/>
          <w:szCs w:val="22"/>
        </w:rPr>
        <w:t>u </w:t>
      </w:r>
      <w:r w:rsidR="005370D7" w:rsidRPr="008416E9">
        <w:rPr>
          <w:rFonts w:ascii="Arial" w:hAnsi="Arial" w:cs="Arial"/>
          <w:sz w:val="22"/>
          <w:szCs w:val="22"/>
        </w:rPr>
        <w:t xml:space="preserve">této kategorie vozidel </w:t>
      </w:r>
      <w:r w:rsidR="007B34AC" w:rsidRPr="008416E9">
        <w:rPr>
          <w:rFonts w:ascii="Arial" w:hAnsi="Arial"/>
          <w:sz w:val="22"/>
        </w:rPr>
        <w:t>za období 9/2011–</w:t>
      </w:r>
      <w:r w:rsidRPr="008416E9">
        <w:rPr>
          <w:rFonts w:ascii="Arial" w:hAnsi="Arial"/>
          <w:sz w:val="22"/>
        </w:rPr>
        <w:t xml:space="preserve">7/2012 </w:t>
      </w:r>
      <w:r w:rsidRPr="008416E9">
        <w:rPr>
          <w:rFonts w:ascii="Arial" w:hAnsi="Arial" w:cs="Arial"/>
          <w:sz w:val="22"/>
          <w:szCs w:val="22"/>
        </w:rPr>
        <w:t xml:space="preserve">bylo </w:t>
      </w:r>
      <w:r w:rsidR="00A13C98" w:rsidRPr="008416E9">
        <w:rPr>
          <w:rFonts w:ascii="Arial" w:hAnsi="Arial" w:cs="Arial"/>
          <w:sz w:val="22"/>
          <w:szCs w:val="22"/>
        </w:rPr>
        <w:t>dle informace ŘS</w:t>
      </w:r>
      <w:r w:rsidR="007E68BF" w:rsidRPr="008416E9">
        <w:rPr>
          <w:rFonts w:ascii="Arial" w:hAnsi="Arial" w:cs="Arial"/>
          <w:sz w:val="22"/>
          <w:szCs w:val="22"/>
        </w:rPr>
        <w:t>D</w:t>
      </w:r>
      <w:r w:rsidR="00A13C98" w:rsidRPr="008416E9">
        <w:rPr>
          <w:rFonts w:ascii="Arial" w:hAnsi="Arial" w:cs="Arial"/>
          <w:sz w:val="22"/>
          <w:szCs w:val="22"/>
        </w:rPr>
        <w:t xml:space="preserve"> </w:t>
      </w:r>
      <w:r w:rsidRPr="008416E9">
        <w:rPr>
          <w:rFonts w:ascii="Arial" w:hAnsi="Arial" w:cs="Arial"/>
          <w:sz w:val="22"/>
          <w:szCs w:val="22"/>
        </w:rPr>
        <w:t xml:space="preserve">proti původnímu způsobu zpoplatnění </w:t>
      </w:r>
      <w:r w:rsidR="00E04CAB" w:rsidRPr="008416E9">
        <w:rPr>
          <w:rFonts w:ascii="Arial" w:hAnsi="Arial" w:cs="Arial"/>
          <w:sz w:val="22"/>
          <w:szCs w:val="22"/>
        </w:rPr>
        <w:t xml:space="preserve">sníženo </w:t>
      </w:r>
      <w:r w:rsidR="00B453F7" w:rsidRPr="008416E9">
        <w:rPr>
          <w:rFonts w:ascii="Arial" w:hAnsi="Arial" w:cs="Arial"/>
          <w:sz w:val="22"/>
          <w:szCs w:val="22"/>
        </w:rPr>
        <w:t xml:space="preserve">cca </w:t>
      </w:r>
      <w:r w:rsidR="00E04CAB" w:rsidRPr="008416E9">
        <w:rPr>
          <w:rFonts w:ascii="Arial" w:hAnsi="Arial" w:cs="Arial"/>
          <w:sz w:val="22"/>
          <w:szCs w:val="22"/>
        </w:rPr>
        <w:t>o </w:t>
      </w:r>
      <w:r w:rsidRPr="008416E9">
        <w:rPr>
          <w:rFonts w:ascii="Arial" w:hAnsi="Arial" w:cs="Arial"/>
          <w:sz w:val="22"/>
          <w:szCs w:val="22"/>
        </w:rPr>
        <w:t>267</w:t>
      </w:r>
      <w:r w:rsidR="0041249D" w:rsidRPr="008416E9">
        <w:rPr>
          <w:rFonts w:ascii="Arial" w:hAnsi="Arial" w:cs="Arial"/>
          <w:sz w:val="22"/>
          <w:szCs w:val="22"/>
        </w:rPr>
        <w:t xml:space="preserve"> </w:t>
      </w:r>
      <w:r w:rsidRPr="008416E9">
        <w:rPr>
          <w:rFonts w:ascii="Arial" w:hAnsi="Arial" w:cs="Arial"/>
          <w:sz w:val="22"/>
          <w:szCs w:val="22"/>
        </w:rPr>
        <w:t>mil. Kč</w:t>
      </w:r>
      <w:r w:rsidRPr="008416E9">
        <w:rPr>
          <w:rFonts w:ascii="Arial" w:hAnsi="Arial"/>
          <w:sz w:val="22"/>
        </w:rPr>
        <w:t>.</w:t>
      </w:r>
      <w:r w:rsidR="002B50A0" w:rsidRPr="008416E9">
        <w:rPr>
          <w:rFonts w:ascii="Arial" w:hAnsi="Arial"/>
          <w:sz w:val="22"/>
        </w:rPr>
        <w:t xml:space="preserve"> MD </w:t>
      </w:r>
      <w:r w:rsidR="00A73D42" w:rsidRPr="008416E9">
        <w:rPr>
          <w:rFonts w:ascii="Arial" w:hAnsi="Arial"/>
          <w:sz w:val="22"/>
        </w:rPr>
        <w:t>v odůvodnění</w:t>
      </w:r>
      <w:r w:rsidR="00A73D42">
        <w:rPr>
          <w:rFonts w:ascii="Arial" w:hAnsi="Arial"/>
          <w:sz w:val="22"/>
        </w:rPr>
        <w:t xml:space="preserve"> </w:t>
      </w:r>
      <w:r w:rsidR="009D5362">
        <w:rPr>
          <w:rFonts w:ascii="Arial" w:hAnsi="Arial"/>
          <w:sz w:val="22"/>
        </w:rPr>
        <w:t>k </w:t>
      </w:r>
      <w:r w:rsidR="00A73D42">
        <w:rPr>
          <w:rFonts w:ascii="Arial" w:hAnsi="Arial"/>
          <w:sz w:val="22"/>
        </w:rPr>
        <w:t xml:space="preserve">nařízení vlády </w:t>
      </w:r>
      <w:r w:rsidR="002B50A0">
        <w:rPr>
          <w:rFonts w:ascii="Arial" w:hAnsi="Arial"/>
          <w:sz w:val="22"/>
        </w:rPr>
        <w:t xml:space="preserve">předpokládalo </w:t>
      </w:r>
      <w:r w:rsidR="00A73D42">
        <w:rPr>
          <w:rFonts w:ascii="Arial" w:hAnsi="Arial"/>
          <w:sz w:val="22"/>
        </w:rPr>
        <w:t xml:space="preserve">cca 10 tis. </w:t>
      </w:r>
      <w:r w:rsidR="00384BCE">
        <w:rPr>
          <w:rFonts w:ascii="Arial" w:hAnsi="Arial"/>
          <w:sz w:val="22"/>
        </w:rPr>
        <w:t>a</w:t>
      </w:r>
      <w:r w:rsidR="00A73D42">
        <w:rPr>
          <w:rFonts w:ascii="Arial" w:hAnsi="Arial"/>
          <w:sz w:val="22"/>
        </w:rPr>
        <w:t xml:space="preserve">utobusů, </w:t>
      </w:r>
      <w:r w:rsidR="002B50A0">
        <w:rPr>
          <w:rFonts w:ascii="Arial" w:hAnsi="Arial"/>
          <w:sz w:val="22"/>
        </w:rPr>
        <w:t xml:space="preserve">snížení </w:t>
      </w:r>
      <w:r w:rsidR="00A73D42">
        <w:rPr>
          <w:rFonts w:ascii="Arial" w:hAnsi="Arial"/>
          <w:sz w:val="22"/>
        </w:rPr>
        <w:t xml:space="preserve">mýtného </w:t>
      </w:r>
      <w:r w:rsidR="002B50A0">
        <w:rPr>
          <w:rFonts w:ascii="Arial" w:hAnsi="Arial"/>
          <w:sz w:val="22"/>
        </w:rPr>
        <w:t>o</w:t>
      </w:r>
      <w:r w:rsidR="00A73D42">
        <w:rPr>
          <w:rFonts w:ascii="Arial" w:hAnsi="Arial"/>
          <w:sz w:val="22"/>
        </w:rPr>
        <w:t xml:space="preserve"> 120 mil. Kč a</w:t>
      </w:r>
      <w:r w:rsidR="009D5362">
        <w:rPr>
          <w:rFonts w:ascii="Arial" w:hAnsi="Arial"/>
          <w:sz w:val="22"/>
        </w:rPr>
        <w:t> </w:t>
      </w:r>
      <w:r w:rsidR="00A73D42">
        <w:rPr>
          <w:rFonts w:ascii="Arial" w:hAnsi="Arial"/>
          <w:sz w:val="22"/>
        </w:rPr>
        <w:t xml:space="preserve">jednorázové </w:t>
      </w:r>
      <w:r w:rsidR="00A73D42" w:rsidRPr="00462651">
        <w:rPr>
          <w:rFonts w:ascii="Arial" w:hAnsi="Arial"/>
          <w:sz w:val="22"/>
        </w:rPr>
        <w:t xml:space="preserve">náklady 25 mil. Kč. </w:t>
      </w:r>
      <w:r w:rsidR="00684B69" w:rsidRPr="00462651">
        <w:rPr>
          <w:rFonts w:ascii="Arial" w:hAnsi="Arial"/>
          <w:sz w:val="22"/>
        </w:rPr>
        <w:t xml:space="preserve">MD předpokládalo výrazně </w:t>
      </w:r>
      <w:r w:rsidR="009D5362">
        <w:rPr>
          <w:rFonts w:ascii="Arial" w:hAnsi="Arial"/>
          <w:sz w:val="22"/>
        </w:rPr>
        <w:t>menší</w:t>
      </w:r>
      <w:r w:rsidR="00684B69" w:rsidRPr="00462651">
        <w:rPr>
          <w:rFonts w:ascii="Arial" w:hAnsi="Arial"/>
          <w:sz w:val="22"/>
        </w:rPr>
        <w:t xml:space="preserve"> snížení </w:t>
      </w:r>
      <w:r w:rsidR="00DB3D9C" w:rsidRPr="00462651">
        <w:rPr>
          <w:rFonts w:ascii="Arial" w:hAnsi="Arial"/>
          <w:sz w:val="22"/>
        </w:rPr>
        <w:t xml:space="preserve">inkasa </w:t>
      </w:r>
      <w:r w:rsidR="00684B69" w:rsidRPr="00462651">
        <w:rPr>
          <w:rFonts w:ascii="Arial" w:hAnsi="Arial"/>
          <w:sz w:val="22"/>
        </w:rPr>
        <w:t xml:space="preserve">mýtného. </w:t>
      </w:r>
      <w:r w:rsidR="008416E9" w:rsidRPr="00462651">
        <w:rPr>
          <w:rFonts w:ascii="Arial" w:hAnsi="Arial" w:cs="Arial"/>
          <w:sz w:val="22"/>
          <w:szCs w:val="22"/>
        </w:rPr>
        <w:lastRenderedPageBreak/>
        <w:t>Průběžné</w:t>
      </w:r>
      <w:r w:rsidR="008416E9" w:rsidRPr="00384BCE">
        <w:rPr>
          <w:rFonts w:ascii="Arial" w:hAnsi="Arial" w:cs="Arial"/>
          <w:sz w:val="22"/>
          <w:szCs w:val="22"/>
        </w:rPr>
        <w:t xml:space="preserve"> náklady </w:t>
      </w:r>
      <w:r w:rsidR="008416E9" w:rsidRPr="00E5401B">
        <w:rPr>
          <w:rFonts w:ascii="Arial" w:hAnsi="Arial" w:cs="Arial"/>
          <w:sz w:val="22"/>
          <w:szCs w:val="22"/>
        </w:rPr>
        <w:t>M</w:t>
      </w:r>
      <w:r w:rsidR="009D5362">
        <w:rPr>
          <w:rFonts w:ascii="Arial" w:hAnsi="Arial" w:cs="Arial"/>
          <w:sz w:val="22"/>
          <w:szCs w:val="22"/>
        </w:rPr>
        <w:t>inisterstvo dopravy</w:t>
      </w:r>
      <w:r w:rsidR="008416E9" w:rsidRPr="00E5401B">
        <w:rPr>
          <w:rFonts w:ascii="Arial" w:hAnsi="Arial" w:cs="Arial"/>
          <w:sz w:val="22"/>
          <w:szCs w:val="22"/>
        </w:rPr>
        <w:t xml:space="preserve"> v odůvodnění návrhu na zavedení této kategorie neuvedlo</w:t>
      </w:r>
      <w:r w:rsidR="008416E9">
        <w:rPr>
          <w:rFonts w:ascii="Arial" w:hAnsi="Arial" w:cs="Arial"/>
          <w:sz w:val="22"/>
          <w:szCs w:val="22"/>
        </w:rPr>
        <w:t>.</w:t>
      </w:r>
      <w:r w:rsidR="008416E9" w:rsidRPr="00384BCE">
        <w:rPr>
          <w:rFonts w:ascii="Arial" w:hAnsi="Arial" w:cs="Arial"/>
          <w:sz w:val="22"/>
          <w:szCs w:val="22"/>
        </w:rPr>
        <w:t xml:space="preserve"> </w:t>
      </w:r>
    </w:p>
    <w:p w:rsidR="005D555B" w:rsidRPr="00462651" w:rsidRDefault="005D555B" w:rsidP="004401C1">
      <w:pPr>
        <w:jc w:val="both"/>
        <w:rPr>
          <w:rFonts w:ascii="Arial" w:hAnsi="Arial" w:cs="Arial"/>
          <w:sz w:val="22"/>
          <w:szCs w:val="22"/>
        </w:rPr>
      </w:pPr>
    </w:p>
    <w:p w:rsidR="00286C6E" w:rsidRPr="00FD19FB" w:rsidRDefault="00286C6E" w:rsidP="004401C1">
      <w:pPr>
        <w:pStyle w:val="Nadpis2"/>
        <w:numPr>
          <w:ilvl w:val="2"/>
          <w:numId w:val="18"/>
        </w:numPr>
        <w:spacing w:before="0" w:after="120"/>
        <w:ind w:left="284" w:hanging="284"/>
        <w:jc w:val="both"/>
        <w:rPr>
          <w:rFonts w:ascii="Arial" w:hAnsi="Arial" w:cs="Arial"/>
          <w:i w:val="0"/>
          <w:sz w:val="22"/>
          <w:szCs w:val="22"/>
        </w:rPr>
      </w:pPr>
      <w:r w:rsidRPr="00FD19FB">
        <w:rPr>
          <w:rFonts w:ascii="Arial" w:hAnsi="Arial" w:cs="Arial"/>
          <w:i w:val="0"/>
          <w:sz w:val="22"/>
          <w:szCs w:val="22"/>
        </w:rPr>
        <w:t xml:space="preserve">Aktivní řešení mýtných přestupků uživatelem </w:t>
      </w:r>
    </w:p>
    <w:p w:rsidR="00286C6E" w:rsidRDefault="00286C6E" w:rsidP="004401C1">
      <w:pPr>
        <w:autoSpaceDE w:val="0"/>
        <w:jc w:val="both"/>
        <w:rPr>
          <w:rFonts w:ascii="Arial" w:hAnsi="Arial" w:cs="Arial"/>
          <w:bCs/>
          <w:sz w:val="22"/>
          <w:szCs w:val="22"/>
        </w:rPr>
      </w:pPr>
      <w:r w:rsidRPr="00462651">
        <w:rPr>
          <w:rFonts w:ascii="Arial" w:hAnsi="Arial" w:cs="Arial"/>
          <w:bCs/>
          <w:sz w:val="22"/>
          <w:szCs w:val="22"/>
        </w:rPr>
        <w:t>Funkcionalita „</w:t>
      </w:r>
      <w:r w:rsidR="009D5362">
        <w:rPr>
          <w:rFonts w:ascii="Arial" w:hAnsi="Arial" w:cs="Arial"/>
          <w:bCs/>
          <w:sz w:val="22"/>
          <w:szCs w:val="22"/>
        </w:rPr>
        <w:t>a</w:t>
      </w:r>
      <w:r w:rsidRPr="00462651">
        <w:rPr>
          <w:rFonts w:ascii="Arial" w:hAnsi="Arial" w:cs="Arial"/>
          <w:bCs/>
          <w:sz w:val="22"/>
          <w:szCs w:val="22"/>
        </w:rPr>
        <w:t xml:space="preserve">ktivní řešení mýtných přestupků uživatelem“ umožňuje uživatelům v režimu následného placení dodatečně zaplatit nedoplatky vzniklé na </w:t>
      </w:r>
      <w:r w:rsidR="00EB2C23" w:rsidRPr="00462651">
        <w:rPr>
          <w:rFonts w:ascii="Arial" w:hAnsi="Arial" w:cs="Arial"/>
          <w:bCs/>
          <w:sz w:val="22"/>
          <w:szCs w:val="22"/>
        </w:rPr>
        <w:t xml:space="preserve">44 </w:t>
      </w:r>
      <w:r w:rsidRPr="00462651">
        <w:rPr>
          <w:rFonts w:ascii="Arial" w:hAnsi="Arial" w:cs="Arial"/>
          <w:bCs/>
          <w:sz w:val="22"/>
          <w:szCs w:val="22"/>
        </w:rPr>
        <w:t>kontrolních branách</w:t>
      </w:r>
      <w:r w:rsidRPr="00462651">
        <w:rPr>
          <w:rStyle w:val="Znakypropoznmkupodarou"/>
          <w:rFonts w:ascii="Arial" w:hAnsi="Arial" w:cs="Arial"/>
          <w:bCs/>
          <w:sz w:val="22"/>
          <w:szCs w:val="22"/>
        </w:rPr>
        <w:footnoteReference w:id="23"/>
      </w:r>
      <w:r w:rsidR="008C3A76" w:rsidRPr="00462651">
        <w:rPr>
          <w:rFonts w:ascii="Arial" w:hAnsi="Arial" w:cs="Arial"/>
          <w:bCs/>
          <w:sz w:val="22"/>
          <w:szCs w:val="22"/>
        </w:rPr>
        <w:t xml:space="preserve">, avšak nedoplatky z ostatních </w:t>
      </w:r>
      <w:r w:rsidR="00EB2C23" w:rsidRPr="00462651">
        <w:rPr>
          <w:rFonts w:ascii="Arial" w:hAnsi="Arial" w:cs="Arial"/>
          <w:bCs/>
          <w:sz w:val="22"/>
          <w:szCs w:val="22"/>
        </w:rPr>
        <w:t xml:space="preserve">212 </w:t>
      </w:r>
      <w:r w:rsidR="008C3A76" w:rsidRPr="00462651">
        <w:rPr>
          <w:rFonts w:ascii="Arial" w:hAnsi="Arial" w:cs="Arial"/>
          <w:bCs/>
          <w:sz w:val="22"/>
          <w:szCs w:val="22"/>
        </w:rPr>
        <w:t>mýtných bran uhradit neumožňuje</w:t>
      </w:r>
      <w:r w:rsidR="005D6555" w:rsidRPr="00462651">
        <w:rPr>
          <w:rFonts w:ascii="Arial" w:hAnsi="Arial" w:cs="Arial"/>
          <w:bCs/>
          <w:sz w:val="22"/>
          <w:szCs w:val="22"/>
        </w:rPr>
        <w:t>.</w:t>
      </w:r>
      <w:r w:rsidRPr="00462651">
        <w:rPr>
          <w:rFonts w:ascii="Arial" w:hAnsi="Arial" w:cs="Arial"/>
          <w:bCs/>
          <w:sz w:val="22"/>
          <w:szCs w:val="22"/>
        </w:rPr>
        <w:t xml:space="preserve"> </w:t>
      </w:r>
    </w:p>
    <w:p w:rsidR="005D555B" w:rsidRPr="00462651" w:rsidRDefault="005D555B" w:rsidP="004401C1">
      <w:pPr>
        <w:autoSpaceDE w:val="0"/>
        <w:jc w:val="both"/>
        <w:rPr>
          <w:rFonts w:ascii="Arial" w:hAnsi="Arial" w:cs="Arial"/>
          <w:bCs/>
          <w:sz w:val="22"/>
          <w:szCs w:val="22"/>
        </w:rPr>
      </w:pPr>
    </w:p>
    <w:p w:rsidR="00511B22" w:rsidRDefault="00286C6E" w:rsidP="004401C1">
      <w:pPr>
        <w:shd w:val="clear" w:color="auto" w:fill="FFFFFF"/>
        <w:ind w:left="17" w:right="11"/>
        <w:jc w:val="both"/>
        <w:rPr>
          <w:rFonts w:ascii="Arial" w:hAnsi="Arial" w:cs="Arial"/>
          <w:iCs/>
          <w:sz w:val="22"/>
          <w:szCs w:val="22"/>
        </w:rPr>
      </w:pPr>
      <w:r w:rsidRPr="00462651">
        <w:rPr>
          <w:rFonts w:ascii="Arial" w:hAnsi="Arial" w:cs="Arial"/>
          <w:iCs/>
          <w:sz w:val="22"/>
          <w:szCs w:val="22"/>
        </w:rPr>
        <w:t xml:space="preserve">S ohledem na krátkou dobu od zavedení této funkcionality není možné její efektivnost vyhodnotit. Dosavadní ekonomický přínos ve výši 227 tis. Kč za období </w:t>
      </w:r>
      <w:r w:rsidR="009E15E0" w:rsidRPr="00462651">
        <w:rPr>
          <w:rFonts w:ascii="Arial" w:hAnsi="Arial" w:cs="Arial"/>
          <w:iCs/>
          <w:sz w:val="22"/>
          <w:szCs w:val="22"/>
        </w:rPr>
        <w:t>1</w:t>
      </w:r>
      <w:r w:rsidR="00251DA5" w:rsidRPr="00462651">
        <w:rPr>
          <w:rFonts w:ascii="Arial" w:hAnsi="Arial" w:cs="Arial"/>
          <w:iCs/>
          <w:sz w:val="22"/>
          <w:szCs w:val="22"/>
        </w:rPr>
        <w:t>/201</w:t>
      </w:r>
      <w:r w:rsidR="009E15E0" w:rsidRPr="00462651">
        <w:rPr>
          <w:rFonts w:ascii="Arial" w:hAnsi="Arial" w:cs="Arial"/>
          <w:iCs/>
          <w:sz w:val="22"/>
          <w:szCs w:val="22"/>
        </w:rPr>
        <w:t>2</w:t>
      </w:r>
      <w:r w:rsidR="007B34AC" w:rsidRPr="00462651">
        <w:rPr>
          <w:rFonts w:ascii="Arial" w:hAnsi="Arial" w:cs="Arial"/>
          <w:iCs/>
          <w:sz w:val="22"/>
          <w:szCs w:val="22"/>
        </w:rPr>
        <w:t>–</w:t>
      </w:r>
      <w:r w:rsidR="00251DA5" w:rsidRPr="00462651">
        <w:rPr>
          <w:rFonts w:ascii="Arial" w:hAnsi="Arial" w:cs="Arial"/>
          <w:iCs/>
          <w:sz w:val="22"/>
          <w:szCs w:val="22"/>
        </w:rPr>
        <w:t>9/2012</w:t>
      </w:r>
      <w:r w:rsidRPr="00462651">
        <w:rPr>
          <w:rFonts w:ascii="Arial" w:hAnsi="Arial" w:cs="Arial"/>
          <w:iCs/>
          <w:sz w:val="22"/>
          <w:szCs w:val="22"/>
        </w:rPr>
        <w:t xml:space="preserve"> při vynaložení 31 mil. Kč na její zavedení je zatím minimální. </w:t>
      </w:r>
      <w:r w:rsidR="002A1621" w:rsidRPr="00462651">
        <w:rPr>
          <w:rFonts w:ascii="Arial" w:hAnsi="Arial" w:cs="Arial"/>
          <w:iCs/>
          <w:sz w:val="22"/>
          <w:szCs w:val="22"/>
        </w:rPr>
        <w:t>N</w:t>
      </w:r>
      <w:r w:rsidR="00EB2C23" w:rsidRPr="00462651">
        <w:rPr>
          <w:rFonts w:ascii="Arial" w:hAnsi="Arial" w:cs="Arial"/>
          <w:iCs/>
          <w:sz w:val="22"/>
          <w:szCs w:val="22"/>
        </w:rPr>
        <w:t>edoplatky z mýtných bran musí ŘSD vymáhat standardní cestou</w:t>
      </w:r>
      <w:r w:rsidR="002A1621" w:rsidRPr="00462651">
        <w:rPr>
          <w:rFonts w:ascii="Arial" w:hAnsi="Arial" w:cs="Arial"/>
          <w:iCs/>
          <w:sz w:val="22"/>
          <w:szCs w:val="22"/>
        </w:rPr>
        <w:t xml:space="preserve"> s vynaložením dalších nákladů na vymáhání</w:t>
      </w:r>
      <w:r w:rsidR="00196EC1">
        <w:rPr>
          <w:rFonts w:ascii="Arial" w:hAnsi="Arial" w:cs="Arial"/>
          <w:iCs/>
          <w:sz w:val="22"/>
          <w:szCs w:val="22"/>
        </w:rPr>
        <w:t xml:space="preserve">. </w:t>
      </w:r>
    </w:p>
    <w:p w:rsidR="005D555B" w:rsidRPr="00196EC1" w:rsidRDefault="005D555B" w:rsidP="004401C1">
      <w:pPr>
        <w:shd w:val="clear" w:color="auto" w:fill="FFFFFF"/>
        <w:ind w:left="17" w:right="11"/>
        <w:jc w:val="both"/>
        <w:rPr>
          <w:rFonts w:ascii="Arial" w:hAnsi="Arial" w:cs="Arial"/>
          <w:iCs/>
          <w:sz w:val="22"/>
          <w:szCs w:val="22"/>
        </w:rPr>
      </w:pPr>
    </w:p>
    <w:p w:rsidR="00511B22" w:rsidRPr="00462651" w:rsidRDefault="00DE4FA7" w:rsidP="002B586B">
      <w:pPr>
        <w:jc w:val="both"/>
        <w:rPr>
          <w:rFonts w:ascii="Arial" w:hAnsi="Arial" w:cs="Arial"/>
          <w:sz w:val="22"/>
          <w:szCs w:val="22"/>
        </w:rPr>
      </w:pPr>
      <w:r w:rsidRPr="00462651">
        <w:rPr>
          <w:rFonts w:ascii="Arial" w:hAnsi="Arial" w:cs="Arial"/>
          <w:bCs/>
          <w:iCs/>
          <w:sz w:val="22"/>
          <w:szCs w:val="22"/>
        </w:rPr>
        <w:t xml:space="preserve">MD na zjištění NKÚ </w:t>
      </w:r>
      <w:r w:rsidR="00462651">
        <w:rPr>
          <w:rFonts w:ascii="Arial" w:hAnsi="Arial" w:cs="Arial"/>
          <w:bCs/>
          <w:iCs/>
          <w:sz w:val="22"/>
          <w:szCs w:val="22"/>
        </w:rPr>
        <w:t>týkající se dohody s </w:t>
      </w:r>
      <w:proofErr w:type="gramStart"/>
      <w:r w:rsidR="00462651">
        <w:rPr>
          <w:rFonts w:ascii="Arial" w:hAnsi="Arial" w:cs="Arial"/>
          <w:bCs/>
          <w:iCs/>
          <w:sz w:val="22"/>
          <w:szCs w:val="22"/>
        </w:rPr>
        <w:t>ČESMAD</w:t>
      </w:r>
      <w:proofErr w:type="gramEnd"/>
      <w:r w:rsidR="00462651">
        <w:rPr>
          <w:rFonts w:ascii="Arial" w:hAnsi="Arial" w:cs="Arial"/>
          <w:bCs/>
          <w:iCs/>
          <w:sz w:val="22"/>
          <w:szCs w:val="22"/>
        </w:rPr>
        <w:t xml:space="preserve"> </w:t>
      </w:r>
      <w:r w:rsidRPr="00462651">
        <w:rPr>
          <w:rFonts w:ascii="Arial" w:hAnsi="Arial" w:cs="Arial"/>
          <w:bCs/>
          <w:iCs/>
          <w:sz w:val="22"/>
          <w:szCs w:val="22"/>
        </w:rPr>
        <w:t>reagovalo informací, že</w:t>
      </w:r>
      <w:r w:rsidR="00511B22" w:rsidRPr="00462651">
        <w:rPr>
          <w:rFonts w:ascii="Arial" w:hAnsi="Arial" w:cs="Arial"/>
          <w:sz w:val="22"/>
          <w:szCs w:val="22"/>
        </w:rPr>
        <w:t xml:space="preserve"> </w:t>
      </w:r>
      <w:r w:rsidR="00511B22" w:rsidRPr="004401C1">
        <w:rPr>
          <w:rFonts w:ascii="Arial" w:hAnsi="Arial" w:cs="Arial"/>
          <w:sz w:val="22"/>
          <w:szCs w:val="22"/>
        </w:rPr>
        <w:t>„</w:t>
      </w:r>
      <w:r w:rsidR="00511B22" w:rsidRPr="00462651">
        <w:rPr>
          <w:rFonts w:ascii="Arial" w:hAnsi="Arial" w:cs="Arial"/>
          <w:i/>
          <w:sz w:val="22"/>
          <w:szCs w:val="22"/>
        </w:rPr>
        <w:t>MD by mělo zvážit úpravy tarifů v návaznosti na další vývoj tržeb z mýtného a na výsledky slev</w:t>
      </w:r>
      <w:r w:rsidR="00511B22" w:rsidRPr="004401C1">
        <w:rPr>
          <w:rFonts w:ascii="Arial" w:hAnsi="Arial" w:cs="Arial"/>
          <w:sz w:val="22"/>
          <w:szCs w:val="22"/>
        </w:rPr>
        <w:t>“</w:t>
      </w:r>
      <w:r w:rsidR="00511B22" w:rsidRPr="009D5362">
        <w:rPr>
          <w:rFonts w:ascii="Arial" w:hAnsi="Arial" w:cs="Arial"/>
          <w:sz w:val="22"/>
          <w:szCs w:val="22"/>
        </w:rPr>
        <w:t>.</w:t>
      </w:r>
      <w:r w:rsidR="00511B22" w:rsidRPr="00462651">
        <w:rPr>
          <w:rFonts w:ascii="Arial" w:hAnsi="Arial" w:cs="Arial"/>
          <w:sz w:val="22"/>
          <w:szCs w:val="22"/>
        </w:rPr>
        <w:t xml:space="preserve"> </w:t>
      </w:r>
    </w:p>
    <w:p w:rsidR="002B586B" w:rsidRDefault="002B586B" w:rsidP="002B586B">
      <w:pPr>
        <w:jc w:val="both"/>
        <w:rPr>
          <w:rFonts w:ascii="Arial" w:hAnsi="Arial" w:cs="Arial"/>
          <w:b/>
          <w:sz w:val="22"/>
          <w:szCs w:val="22"/>
        </w:rPr>
      </w:pPr>
    </w:p>
    <w:p w:rsidR="008B0B54" w:rsidRDefault="009D5362" w:rsidP="004401C1">
      <w:pPr>
        <w:pStyle w:val="Nadpis2"/>
        <w:spacing w:before="0" w:after="0"/>
        <w:jc w:val="both"/>
        <w:rPr>
          <w:rFonts w:ascii="Arial" w:hAnsi="Arial" w:cs="Arial"/>
          <w:i w:val="0"/>
          <w:sz w:val="22"/>
          <w:szCs w:val="22"/>
        </w:rPr>
      </w:pPr>
      <w:r>
        <w:rPr>
          <w:rFonts w:ascii="Arial" w:hAnsi="Arial" w:cs="Arial"/>
          <w:i w:val="0"/>
          <w:sz w:val="22"/>
          <w:szCs w:val="22"/>
        </w:rPr>
        <w:t xml:space="preserve">3. </w:t>
      </w:r>
      <w:r w:rsidR="00286C6E" w:rsidRPr="00FD19FB">
        <w:rPr>
          <w:rFonts w:ascii="Arial" w:hAnsi="Arial" w:cs="Arial"/>
          <w:i w:val="0"/>
          <w:sz w:val="22"/>
          <w:szCs w:val="22"/>
        </w:rPr>
        <w:t>Organizační zajištění SVZ a smluvní vztahy</w:t>
      </w:r>
    </w:p>
    <w:p w:rsidR="005D555B" w:rsidRPr="004401C1" w:rsidRDefault="005D555B" w:rsidP="004401C1">
      <w:pPr>
        <w:rPr>
          <w:i/>
        </w:rPr>
      </w:pPr>
    </w:p>
    <w:p w:rsidR="00286C6E" w:rsidRPr="00FD19FB" w:rsidRDefault="009D5362" w:rsidP="004401C1">
      <w:pPr>
        <w:pStyle w:val="Nadpis2"/>
        <w:spacing w:before="0" w:after="120"/>
        <w:jc w:val="both"/>
        <w:rPr>
          <w:rFonts w:ascii="Arial" w:hAnsi="Arial" w:cs="Arial"/>
          <w:i w:val="0"/>
          <w:sz w:val="22"/>
          <w:szCs w:val="22"/>
        </w:rPr>
      </w:pPr>
      <w:r>
        <w:rPr>
          <w:rFonts w:ascii="Arial" w:hAnsi="Arial" w:cs="Arial"/>
          <w:i w:val="0"/>
          <w:sz w:val="22"/>
          <w:szCs w:val="22"/>
        </w:rPr>
        <w:t xml:space="preserve">3.1 </w:t>
      </w:r>
      <w:r w:rsidR="00286C6E" w:rsidRPr="00FD19FB">
        <w:rPr>
          <w:rFonts w:ascii="Arial" w:hAnsi="Arial" w:cs="Arial"/>
          <w:i w:val="0"/>
          <w:sz w:val="22"/>
          <w:szCs w:val="22"/>
        </w:rPr>
        <w:t xml:space="preserve">Organizační struktura </w:t>
      </w:r>
    </w:p>
    <w:p w:rsidR="00286C6E" w:rsidRDefault="002D462D" w:rsidP="004401C1">
      <w:pPr>
        <w:jc w:val="both"/>
        <w:rPr>
          <w:rFonts w:ascii="Arial" w:hAnsi="Arial" w:cs="Arial"/>
          <w:sz w:val="22"/>
          <w:szCs w:val="22"/>
        </w:rPr>
      </w:pPr>
      <w:r>
        <w:rPr>
          <w:rFonts w:ascii="Arial" w:hAnsi="Arial" w:cs="Arial"/>
          <w:sz w:val="22"/>
          <w:szCs w:val="22"/>
        </w:rPr>
        <w:t xml:space="preserve">Významná část </w:t>
      </w:r>
      <w:r w:rsidR="00286C6E">
        <w:rPr>
          <w:rFonts w:ascii="Arial" w:hAnsi="Arial" w:cs="Arial"/>
          <w:sz w:val="22"/>
          <w:szCs w:val="22"/>
        </w:rPr>
        <w:t>činností je zabezpečována generáln</w:t>
      </w:r>
      <w:r w:rsidR="00255147">
        <w:rPr>
          <w:rFonts w:ascii="Arial" w:hAnsi="Arial" w:cs="Arial"/>
          <w:sz w:val="22"/>
          <w:szCs w:val="22"/>
        </w:rPr>
        <w:t>ím dodavatelem</w:t>
      </w:r>
      <w:r w:rsidR="00EE7803">
        <w:rPr>
          <w:rFonts w:ascii="Arial" w:hAnsi="Arial" w:cs="Arial"/>
          <w:sz w:val="22"/>
          <w:szCs w:val="22"/>
        </w:rPr>
        <w:t xml:space="preserve"> služeb</w:t>
      </w:r>
      <w:r w:rsidR="00286C6E">
        <w:rPr>
          <w:rFonts w:ascii="Arial" w:hAnsi="Arial" w:cs="Arial"/>
          <w:sz w:val="22"/>
          <w:szCs w:val="22"/>
        </w:rPr>
        <w:t xml:space="preserve"> a jeho dodavateli</w:t>
      </w:r>
      <w:r w:rsidR="00255147">
        <w:rPr>
          <w:rFonts w:ascii="Arial" w:hAnsi="Arial" w:cs="Arial"/>
          <w:sz w:val="22"/>
          <w:szCs w:val="22"/>
        </w:rPr>
        <w:t xml:space="preserve"> (soukromoprávními subjekty)</w:t>
      </w:r>
      <w:r w:rsidR="00286C6E">
        <w:rPr>
          <w:rFonts w:ascii="Arial" w:hAnsi="Arial" w:cs="Arial"/>
          <w:sz w:val="22"/>
          <w:szCs w:val="22"/>
        </w:rPr>
        <w:t xml:space="preserve">. </w:t>
      </w:r>
      <w:r w:rsidR="007A1976">
        <w:rPr>
          <w:rFonts w:ascii="Arial" w:hAnsi="Arial" w:cs="Arial"/>
          <w:sz w:val="22"/>
          <w:szCs w:val="22"/>
        </w:rPr>
        <w:t>V </w:t>
      </w:r>
      <w:r w:rsidR="00286C6E">
        <w:rPr>
          <w:rFonts w:ascii="Arial" w:hAnsi="Arial" w:cs="Arial"/>
          <w:sz w:val="22"/>
          <w:szCs w:val="22"/>
        </w:rPr>
        <w:t xml:space="preserve">materiálech, které byly podkladem pro rozhodování </w:t>
      </w:r>
      <w:r w:rsidR="007B34AC">
        <w:rPr>
          <w:rFonts w:ascii="Arial" w:hAnsi="Arial" w:cs="Arial"/>
          <w:sz w:val="22"/>
          <w:szCs w:val="22"/>
        </w:rPr>
        <w:t>v</w:t>
      </w:r>
      <w:r w:rsidR="00EE7803">
        <w:rPr>
          <w:rFonts w:ascii="Arial" w:hAnsi="Arial" w:cs="Arial"/>
          <w:sz w:val="22"/>
          <w:szCs w:val="22"/>
        </w:rPr>
        <w:t xml:space="preserve">lády ČR a Parlamentu ČR </w:t>
      </w:r>
      <w:r w:rsidR="00286C6E">
        <w:rPr>
          <w:rFonts w:ascii="Arial" w:hAnsi="Arial" w:cs="Arial"/>
          <w:sz w:val="22"/>
          <w:szCs w:val="22"/>
        </w:rPr>
        <w:t xml:space="preserve">o nastavení SVZ, bylo zdůrazňováno, že zvolené řešení musí vést k úsporám nákladů. </w:t>
      </w:r>
    </w:p>
    <w:p w:rsidR="005D555B"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Vládou ČR</w:t>
      </w:r>
      <w:r>
        <w:rPr>
          <w:rStyle w:val="Znakypropoznmkupodarou"/>
          <w:rFonts w:ascii="Arial" w:hAnsi="Arial" w:cs="Arial"/>
          <w:sz w:val="22"/>
          <w:szCs w:val="22"/>
        </w:rPr>
        <w:footnoteReference w:id="24"/>
      </w:r>
      <w:r>
        <w:rPr>
          <w:rFonts w:ascii="Arial" w:hAnsi="Arial" w:cs="Arial"/>
          <w:sz w:val="22"/>
          <w:szCs w:val="22"/>
        </w:rPr>
        <w:t xml:space="preserve"> byl zvolen model státního financování </w:t>
      </w:r>
      <w:r w:rsidR="007A1976">
        <w:rPr>
          <w:rFonts w:ascii="Arial" w:hAnsi="Arial" w:cs="Arial"/>
          <w:sz w:val="22"/>
          <w:szCs w:val="22"/>
        </w:rPr>
        <w:t>s </w:t>
      </w:r>
      <w:r>
        <w:rPr>
          <w:rFonts w:ascii="Arial" w:hAnsi="Arial" w:cs="Arial"/>
          <w:sz w:val="22"/>
          <w:szCs w:val="22"/>
        </w:rPr>
        <w:t>odloženým spl</w:t>
      </w:r>
      <w:r w:rsidR="009D5362">
        <w:rPr>
          <w:rFonts w:ascii="Arial" w:hAnsi="Arial" w:cs="Arial"/>
          <w:sz w:val="22"/>
          <w:szCs w:val="22"/>
        </w:rPr>
        <w:t>á</w:t>
      </w:r>
      <w:r>
        <w:rPr>
          <w:rFonts w:ascii="Arial" w:hAnsi="Arial" w:cs="Arial"/>
          <w:sz w:val="22"/>
          <w:szCs w:val="22"/>
        </w:rPr>
        <w:t xml:space="preserve">cením pořizovacích nákladů </w:t>
      </w:r>
      <w:r w:rsidR="007A1976">
        <w:rPr>
          <w:rFonts w:ascii="Arial" w:hAnsi="Arial" w:cs="Arial"/>
          <w:sz w:val="22"/>
          <w:szCs w:val="22"/>
        </w:rPr>
        <w:t>s </w:t>
      </w:r>
      <w:r>
        <w:rPr>
          <w:rFonts w:ascii="Arial" w:hAnsi="Arial" w:cs="Arial"/>
          <w:sz w:val="22"/>
          <w:szCs w:val="22"/>
        </w:rPr>
        <w:t>tím, že provozovatelem SVZ bude státní příspěvková organizace ŘSD. Výhodou této varianty měla být zejména minimalizace negativních dopadů a možnost kontroly provozovatele ze strany státu. Jednou z</w:t>
      </w:r>
      <w:r w:rsidR="007A1976">
        <w:rPr>
          <w:rFonts w:ascii="Arial" w:hAnsi="Arial" w:cs="Arial"/>
          <w:sz w:val="22"/>
          <w:szCs w:val="22"/>
        </w:rPr>
        <w:t> </w:t>
      </w:r>
      <w:r>
        <w:rPr>
          <w:rFonts w:ascii="Arial" w:hAnsi="Arial" w:cs="Arial"/>
          <w:sz w:val="22"/>
          <w:szCs w:val="22"/>
        </w:rPr>
        <w:t>dalších zvažovaných variant bylo uzavření smlouvy se soukrom</w:t>
      </w:r>
      <w:r w:rsidR="00EE7803">
        <w:rPr>
          <w:rFonts w:ascii="Arial" w:hAnsi="Arial" w:cs="Arial"/>
          <w:sz w:val="22"/>
          <w:szCs w:val="22"/>
        </w:rPr>
        <w:t>ým subjektem</w:t>
      </w:r>
      <w:r>
        <w:rPr>
          <w:rFonts w:ascii="Arial" w:hAnsi="Arial" w:cs="Arial"/>
          <w:sz w:val="22"/>
          <w:szCs w:val="22"/>
        </w:rPr>
        <w:t>, kter</w:t>
      </w:r>
      <w:r w:rsidR="00EE7803">
        <w:rPr>
          <w:rFonts w:ascii="Arial" w:hAnsi="Arial" w:cs="Arial"/>
          <w:sz w:val="22"/>
          <w:szCs w:val="22"/>
        </w:rPr>
        <w:t>ý</w:t>
      </w:r>
      <w:r>
        <w:rPr>
          <w:rFonts w:ascii="Arial" w:hAnsi="Arial" w:cs="Arial"/>
          <w:sz w:val="22"/>
          <w:szCs w:val="22"/>
        </w:rPr>
        <w:t xml:space="preserve"> by provozova</w:t>
      </w:r>
      <w:r w:rsidR="00EE7803">
        <w:rPr>
          <w:rFonts w:ascii="Arial" w:hAnsi="Arial" w:cs="Arial"/>
          <w:sz w:val="22"/>
          <w:szCs w:val="22"/>
        </w:rPr>
        <w:t>l</w:t>
      </w:r>
      <w:r>
        <w:rPr>
          <w:rFonts w:ascii="Arial" w:hAnsi="Arial" w:cs="Arial"/>
          <w:sz w:val="22"/>
          <w:szCs w:val="22"/>
        </w:rPr>
        <w:t xml:space="preserve"> SVZ. </w:t>
      </w:r>
      <w:r w:rsidR="00D14259">
        <w:rPr>
          <w:rFonts w:ascii="Arial" w:hAnsi="Arial" w:cs="Arial"/>
          <w:sz w:val="22"/>
          <w:szCs w:val="22"/>
        </w:rPr>
        <w:t>V</w:t>
      </w:r>
      <w:r>
        <w:rPr>
          <w:rFonts w:ascii="Arial" w:hAnsi="Arial" w:cs="Arial"/>
          <w:sz w:val="22"/>
          <w:szCs w:val="22"/>
        </w:rPr>
        <w:t>ýhodou</w:t>
      </w:r>
      <w:r w:rsidR="00D14259">
        <w:rPr>
          <w:rFonts w:ascii="Arial" w:hAnsi="Arial" w:cs="Arial"/>
          <w:sz w:val="22"/>
          <w:szCs w:val="22"/>
        </w:rPr>
        <w:t xml:space="preserve"> tohoto řešení</w:t>
      </w:r>
      <w:r>
        <w:rPr>
          <w:rFonts w:ascii="Arial" w:hAnsi="Arial" w:cs="Arial"/>
          <w:sz w:val="22"/>
          <w:szCs w:val="22"/>
        </w:rPr>
        <w:t xml:space="preserve"> mělo být přenesení většiny rizik a nákladů na zavedení a provoz SVZ na soukrom</w:t>
      </w:r>
      <w:r w:rsidR="00EE7803">
        <w:rPr>
          <w:rFonts w:ascii="Arial" w:hAnsi="Arial" w:cs="Arial"/>
          <w:sz w:val="22"/>
          <w:szCs w:val="22"/>
        </w:rPr>
        <w:t>ý</w:t>
      </w:r>
      <w:r>
        <w:rPr>
          <w:rFonts w:ascii="Arial" w:hAnsi="Arial" w:cs="Arial"/>
          <w:sz w:val="22"/>
          <w:szCs w:val="22"/>
        </w:rPr>
        <w:t xml:space="preserve"> </w:t>
      </w:r>
      <w:r w:rsidR="00EE7803">
        <w:rPr>
          <w:rFonts w:ascii="Arial" w:hAnsi="Arial" w:cs="Arial"/>
          <w:sz w:val="22"/>
          <w:szCs w:val="22"/>
        </w:rPr>
        <w:t>subjekt</w:t>
      </w:r>
      <w:r>
        <w:rPr>
          <w:rFonts w:ascii="Arial" w:hAnsi="Arial" w:cs="Arial"/>
          <w:sz w:val="22"/>
          <w:szCs w:val="22"/>
        </w:rPr>
        <w:t xml:space="preserve">, získání znalostí a inovací soukromého sektoru. </w:t>
      </w:r>
    </w:p>
    <w:p w:rsidR="005D555B" w:rsidRDefault="005D555B" w:rsidP="004401C1">
      <w:pPr>
        <w:jc w:val="both"/>
        <w:rPr>
          <w:rFonts w:ascii="Arial" w:hAnsi="Arial" w:cs="Arial"/>
          <w:sz w:val="22"/>
          <w:szCs w:val="22"/>
        </w:rPr>
      </w:pPr>
    </w:p>
    <w:p w:rsidR="00286C6E" w:rsidRDefault="00D14259" w:rsidP="004401C1">
      <w:pPr>
        <w:jc w:val="both"/>
        <w:rPr>
          <w:rFonts w:ascii="Arial" w:hAnsi="Arial" w:cs="Arial"/>
          <w:sz w:val="22"/>
          <w:szCs w:val="22"/>
        </w:rPr>
      </w:pPr>
      <w:r>
        <w:rPr>
          <w:rFonts w:ascii="Arial" w:hAnsi="Arial" w:cs="Arial"/>
          <w:sz w:val="22"/>
          <w:szCs w:val="22"/>
        </w:rPr>
        <w:t xml:space="preserve">Realizovaný </w:t>
      </w:r>
      <w:r w:rsidR="00286C6E" w:rsidRPr="00462651">
        <w:rPr>
          <w:rFonts w:ascii="Arial" w:hAnsi="Arial" w:cs="Arial"/>
          <w:sz w:val="22"/>
          <w:szCs w:val="22"/>
        </w:rPr>
        <w:t xml:space="preserve">SVZ </w:t>
      </w:r>
      <w:r w:rsidRPr="00462651">
        <w:rPr>
          <w:rFonts w:ascii="Arial" w:hAnsi="Arial" w:cs="Arial"/>
          <w:sz w:val="22"/>
          <w:szCs w:val="22"/>
        </w:rPr>
        <w:t>neodpovídá</w:t>
      </w:r>
      <w:r>
        <w:rPr>
          <w:rFonts w:ascii="Arial" w:hAnsi="Arial" w:cs="Arial"/>
          <w:sz w:val="22"/>
          <w:szCs w:val="22"/>
        </w:rPr>
        <w:t xml:space="preserve"> </w:t>
      </w:r>
      <w:r w:rsidR="00286C6E" w:rsidRPr="00462651">
        <w:rPr>
          <w:rFonts w:ascii="Arial" w:hAnsi="Arial" w:cs="Arial"/>
          <w:sz w:val="22"/>
          <w:szCs w:val="22"/>
        </w:rPr>
        <w:t>variantě schválené vládou ČR, neboť SVZ</w:t>
      </w:r>
      <w:r w:rsidR="003C7765" w:rsidRPr="00462651">
        <w:rPr>
          <w:rFonts w:ascii="Arial" w:hAnsi="Arial" w:cs="Arial"/>
          <w:sz w:val="22"/>
          <w:szCs w:val="22"/>
        </w:rPr>
        <w:t xml:space="preserve"> je kombinací</w:t>
      </w:r>
      <w:r w:rsidR="00EE7803" w:rsidRPr="00462651">
        <w:rPr>
          <w:rFonts w:ascii="Arial" w:hAnsi="Arial" w:cs="Arial"/>
          <w:sz w:val="22"/>
          <w:szCs w:val="22"/>
        </w:rPr>
        <w:t xml:space="preserve"> </w:t>
      </w:r>
      <w:r w:rsidR="003C7765" w:rsidRPr="00462651">
        <w:rPr>
          <w:rFonts w:ascii="Arial" w:hAnsi="Arial" w:cs="Arial"/>
          <w:sz w:val="22"/>
          <w:szCs w:val="22"/>
        </w:rPr>
        <w:t>obou variant</w:t>
      </w:r>
      <w:r w:rsidR="002D462D" w:rsidRPr="00462651">
        <w:rPr>
          <w:rFonts w:ascii="Arial" w:hAnsi="Arial" w:cs="Arial"/>
          <w:sz w:val="22"/>
          <w:szCs w:val="22"/>
        </w:rPr>
        <w:t xml:space="preserve">. V průběhu </w:t>
      </w:r>
      <w:r w:rsidR="00285889" w:rsidRPr="00462651">
        <w:rPr>
          <w:rFonts w:ascii="Arial" w:hAnsi="Arial" w:cs="Arial"/>
          <w:sz w:val="22"/>
          <w:szCs w:val="22"/>
        </w:rPr>
        <w:t xml:space="preserve">realizace SVZ </w:t>
      </w:r>
      <w:r>
        <w:rPr>
          <w:rFonts w:ascii="Arial" w:hAnsi="Arial" w:cs="Arial"/>
          <w:sz w:val="22"/>
          <w:szCs w:val="22"/>
        </w:rPr>
        <w:t>se projevily</w:t>
      </w:r>
      <w:r w:rsidR="00285889" w:rsidRPr="00462651">
        <w:rPr>
          <w:rFonts w:ascii="Arial" w:hAnsi="Arial" w:cs="Arial"/>
          <w:sz w:val="22"/>
          <w:szCs w:val="22"/>
        </w:rPr>
        <w:t xml:space="preserve"> nedostatky ve smluvních ujednání</w:t>
      </w:r>
      <w:r w:rsidR="00DD1D45" w:rsidRPr="00462651">
        <w:rPr>
          <w:rFonts w:ascii="Arial" w:hAnsi="Arial" w:cs="Arial"/>
          <w:sz w:val="22"/>
          <w:szCs w:val="22"/>
        </w:rPr>
        <w:t>ch</w:t>
      </w:r>
      <w:r w:rsidR="00285889" w:rsidRPr="00462651">
        <w:rPr>
          <w:rFonts w:ascii="Arial" w:hAnsi="Arial" w:cs="Arial"/>
          <w:sz w:val="22"/>
          <w:szCs w:val="22"/>
        </w:rPr>
        <w:t xml:space="preserve"> souvisejících </w:t>
      </w:r>
      <w:r w:rsidR="007A1976">
        <w:rPr>
          <w:rFonts w:ascii="Arial" w:hAnsi="Arial" w:cs="Arial"/>
          <w:sz w:val="22"/>
          <w:szCs w:val="22"/>
        </w:rPr>
        <w:t>s </w:t>
      </w:r>
      <w:r w:rsidR="00285889" w:rsidRPr="00462651">
        <w:rPr>
          <w:rFonts w:ascii="Arial" w:hAnsi="Arial" w:cs="Arial"/>
          <w:sz w:val="22"/>
          <w:szCs w:val="22"/>
        </w:rPr>
        <w:t xml:space="preserve">předáváním podkladů pro stanovení a následné vymáhání mýtného (vymáhání nedoplatků mýtného bylo </w:t>
      </w:r>
      <w:r w:rsidR="00286C6E" w:rsidRPr="00462651">
        <w:rPr>
          <w:rFonts w:ascii="Arial" w:hAnsi="Arial" w:cs="Arial"/>
          <w:sz w:val="22"/>
          <w:szCs w:val="22"/>
        </w:rPr>
        <w:t>ponechán</w:t>
      </w:r>
      <w:r w:rsidR="00285889" w:rsidRPr="00462651">
        <w:rPr>
          <w:rFonts w:ascii="Arial" w:hAnsi="Arial" w:cs="Arial"/>
          <w:sz w:val="22"/>
          <w:szCs w:val="22"/>
        </w:rPr>
        <w:t>o ŘSD), placení</w:t>
      </w:r>
      <w:r w:rsidR="0070525C" w:rsidRPr="00462651">
        <w:rPr>
          <w:rFonts w:ascii="Arial" w:hAnsi="Arial" w:cs="Arial"/>
          <w:sz w:val="22"/>
          <w:szCs w:val="22"/>
        </w:rPr>
        <w:t>m</w:t>
      </w:r>
      <w:r w:rsidR="00285889" w:rsidRPr="00462651">
        <w:rPr>
          <w:rFonts w:ascii="Arial" w:hAnsi="Arial" w:cs="Arial"/>
          <w:sz w:val="22"/>
          <w:szCs w:val="22"/>
        </w:rPr>
        <w:t xml:space="preserve"> poplatků generálnímu dodavateli služeb za </w:t>
      </w:r>
      <w:proofErr w:type="gramStart"/>
      <w:r w:rsidR="00285889" w:rsidRPr="00462651">
        <w:rPr>
          <w:rFonts w:ascii="Arial" w:hAnsi="Arial" w:cs="Arial"/>
          <w:sz w:val="22"/>
          <w:szCs w:val="22"/>
        </w:rPr>
        <w:t>neaktivní</w:t>
      </w:r>
      <w:proofErr w:type="gramEnd"/>
      <w:r w:rsidR="00285889" w:rsidRPr="00462651">
        <w:rPr>
          <w:rFonts w:ascii="Arial" w:hAnsi="Arial" w:cs="Arial"/>
          <w:sz w:val="22"/>
          <w:szCs w:val="22"/>
        </w:rPr>
        <w:t xml:space="preserve"> OBU, stanovení</w:t>
      </w:r>
      <w:r w:rsidR="0070525C" w:rsidRPr="00462651">
        <w:rPr>
          <w:rFonts w:ascii="Arial" w:hAnsi="Arial" w:cs="Arial"/>
          <w:sz w:val="22"/>
          <w:szCs w:val="22"/>
        </w:rPr>
        <w:t>m</w:t>
      </w:r>
      <w:r w:rsidR="00285889" w:rsidRPr="00462651">
        <w:rPr>
          <w:rFonts w:ascii="Arial" w:hAnsi="Arial" w:cs="Arial"/>
          <w:sz w:val="22"/>
          <w:szCs w:val="22"/>
        </w:rPr>
        <w:t xml:space="preserve"> počtu uživatelů a</w:t>
      </w:r>
      <w:r w:rsidR="00C55BCB">
        <w:rPr>
          <w:rFonts w:ascii="Arial" w:hAnsi="Arial" w:cs="Arial"/>
          <w:sz w:val="22"/>
          <w:szCs w:val="22"/>
        </w:rPr>
        <w:t> </w:t>
      </w:r>
      <w:r w:rsidR="00285889" w:rsidRPr="00462651">
        <w:rPr>
          <w:rFonts w:ascii="Arial" w:hAnsi="Arial" w:cs="Arial"/>
          <w:sz w:val="22"/>
          <w:szCs w:val="22"/>
        </w:rPr>
        <w:t>placení</w:t>
      </w:r>
      <w:r w:rsidR="0070525C" w:rsidRPr="00462651">
        <w:rPr>
          <w:rFonts w:ascii="Arial" w:hAnsi="Arial" w:cs="Arial"/>
          <w:sz w:val="22"/>
          <w:szCs w:val="22"/>
        </w:rPr>
        <w:t>m</w:t>
      </w:r>
      <w:r w:rsidR="00285889" w:rsidRPr="00462651">
        <w:rPr>
          <w:rFonts w:ascii="Arial" w:hAnsi="Arial" w:cs="Arial"/>
          <w:sz w:val="22"/>
          <w:szCs w:val="22"/>
        </w:rPr>
        <w:t xml:space="preserve"> poplatků za platbu mýtného kartou</w:t>
      </w:r>
      <w:r w:rsidR="0070525C" w:rsidRPr="00462651">
        <w:rPr>
          <w:rFonts w:ascii="Arial" w:hAnsi="Arial" w:cs="Arial"/>
          <w:sz w:val="22"/>
          <w:szCs w:val="22"/>
        </w:rPr>
        <w:t xml:space="preserve"> (blíže bod 2.3 a bod 4</w:t>
      </w:r>
      <w:r>
        <w:rPr>
          <w:rFonts w:ascii="Arial" w:hAnsi="Arial" w:cs="Arial"/>
          <w:sz w:val="22"/>
          <w:szCs w:val="22"/>
        </w:rPr>
        <w:t>.</w:t>
      </w:r>
      <w:r w:rsidR="0070525C" w:rsidRPr="00462651">
        <w:rPr>
          <w:rFonts w:ascii="Arial" w:hAnsi="Arial" w:cs="Arial"/>
          <w:sz w:val="22"/>
          <w:szCs w:val="22"/>
        </w:rPr>
        <w:t xml:space="preserve"> tohoto kontrolního závěru)</w:t>
      </w:r>
      <w:r w:rsidR="00286C6E" w:rsidRPr="00462651">
        <w:rPr>
          <w:rFonts w:ascii="Arial" w:hAnsi="Arial" w:cs="Arial"/>
          <w:sz w:val="22"/>
          <w:szCs w:val="22"/>
        </w:rPr>
        <w:t xml:space="preserve">. </w:t>
      </w:r>
      <w:r w:rsidR="00285889" w:rsidRPr="00462651">
        <w:rPr>
          <w:rFonts w:ascii="Arial" w:hAnsi="Arial" w:cs="Arial"/>
          <w:sz w:val="22"/>
          <w:szCs w:val="22"/>
        </w:rPr>
        <w:t xml:space="preserve"> </w:t>
      </w:r>
    </w:p>
    <w:p w:rsidR="005D555B" w:rsidRPr="00462651" w:rsidRDefault="005D555B" w:rsidP="004401C1">
      <w:pPr>
        <w:jc w:val="both"/>
        <w:rPr>
          <w:rFonts w:ascii="Arial" w:hAnsi="Arial" w:cs="Arial"/>
          <w:sz w:val="22"/>
          <w:szCs w:val="22"/>
          <w:lang w:eastAsia="en-US"/>
        </w:rPr>
      </w:pPr>
    </w:p>
    <w:p w:rsidR="00286C6E" w:rsidRPr="00FD19FB" w:rsidRDefault="00D14259" w:rsidP="004401C1">
      <w:pPr>
        <w:pStyle w:val="Nadpis2"/>
        <w:spacing w:before="0" w:after="120"/>
        <w:jc w:val="both"/>
        <w:rPr>
          <w:rFonts w:ascii="Arial" w:hAnsi="Arial" w:cs="Arial"/>
          <w:i w:val="0"/>
          <w:sz w:val="22"/>
          <w:szCs w:val="22"/>
        </w:rPr>
      </w:pPr>
      <w:r>
        <w:rPr>
          <w:rFonts w:ascii="Arial" w:hAnsi="Arial" w:cs="Arial"/>
          <w:i w:val="0"/>
          <w:sz w:val="22"/>
          <w:szCs w:val="22"/>
        </w:rPr>
        <w:t xml:space="preserve">3.2 </w:t>
      </w:r>
      <w:r w:rsidR="00286C6E" w:rsidRPr="00FD19FB">
        <w:rPr>
          <w:rFonts w:ascii="Arial" w:hAnsi="Arial" w:cs="Arial"/>
          <w:i w:val="0"/>
          <w:sz w:val="22"/>
          <w:szCs w:val="22"/>
        </w:rPr>
        <w:t xml:space="preserve">Rozsah </w:t>
      </w:r>
      <w:proofErr w:type="spellStart"/>
      <w:r w:rsidR="00286C6E" w:rsidRPr="00FD19FB">
        <w:rPr>
          <w:rFonts w:ascii="Arial" w:hAnsi="Arial" w:cs="Arial"/>
          <w:i w:val="0"/>
          <w:sz w:val="22"/>
          <w:szCs w:val="22"/>
        </w:rPr>
        <w:t>dodavatelsky</w:t>
      </w:r>
      <w:proofErr w:type="spellEnd"/>
      <w:r w:rsidR="00286C6E" w:rsidRPr="00FD19FB">
        <w:rPr>
          <w:rFonts w:ascii="Arial" w:hAnsi="Arial" w:cs="Arial"/>
          <w:i w:val="0"/>
          <w:sz w:val="22"/>
          <w:szCs w:val="22"/>
        </w:rPr>
        <w:t xml:space="preserve"> realizovaných služeb</w:t>
      </w:r>
    </w:p>
    <w:p w:rsidR="00286C6E" w:rsidRDefault="00286C6E" w:rsidP="004401C1">
      <w:pPr>
        <w:jc w:val="both"/>
        <w:rPr>
          <w:rFonts w:ascii="Arial" w:hAnsi="Arial" w:cs="Arial"/>
          <w:sz w:val="22"/>
          <w:szCs w:val="22"/>
        </w:rPr>
      </w:pPr>
      <w:r>
        <w:rPr>
          <w:rFonts w:ascii="Arial" w:hAnsi="Arial" w:cs="Arial"/>
          <w:sz w:val="22"/>
          <w:szCs w:val="22"/>
        </w:rPr>
        <w:t xml:space="preserve">Na základě smlouvy o službách </w:t>
      </w:r>
      <w:r w:rsidR="003C7765">
        <w:rPr>
          <w:rFonts w:ascii="Arial" w:hAnsi="Arial" w:cs="Arial"/>
          <w:sz w:val="22"/>
          <w:szCs w:val="22"/>
        </w:rPr>
        <w:t>je</w:t>
      </w:r>
      <w:r>
        <w:rPr>
          <w:rFonts w:ascii="Arial" w:hAnsi="Arial" w:cs="Arial"/>
          <w:sz w:val="22"/>
          <w:szCs w:val="22"/>
        </w:rPr>
        <w:t xml:space="preserve"> generálnímu dodavateli služeb vyplácena odměna za služby, jejíž výše se odví</w:t>
      </w:r>
      <w:r w:rsidR="003C7765">
        <w:rPr>
          <w:rFonts w:ascii="Arial" w:hAnsi="Arial" w:cs="Arial"/>
          <w:sz w:val="22"/>
          <w:szCs w:val="22"/>
        </w:rPr>
        <w:t>jí</w:t>
      </w:r>
      <w:r>
        <w:rPr>
          <w:rFonts w:ascii="Arial" w:hAnsi="Arial" w:cs="Arial"/>
          <w:sz w:val="22"/>
          <w:szCs w:val="22"/>
        </w:rPr>
        <w:t xml:space="preserve"> od </w:t>
      </w:r>
      <w:r w:rsidR="003C7765">
        <w:rPr>
          <w:rFonts w:ascii="Arial" w:hAnsi="Arial" w:cs="Arial"/>
          <w:sz w:val="22"/>
          <w:szCs w:val="22"/>
        </w:rPr>
        <w:t xml:space="preserve">úspěšnosti </w:t>
      </w:r>
      <w:r>
        <w:rPr>
          <w:rFonts w:ascii="Arial" w:hAnsi="Arial" w:cs="Arial"/>
          <w:sz w:val="22"/>
          <w:szCs w:val="22"/>
        </w:rPr>
        <w:t xml:space="preserve">služeb měřené nezávislým znalcem. Smluvní strany ujednaly, že minimální úspěšnost předepsání mýtných transakcí v kalendářním měsíci musí </w:t>
      </w:r>
      <w:r w:rsidRPr="00462651">
        <w:rPr>
          <w:rFonts w:ascii="Arial" w:hAnsi="Arial" w:cs="Arial"/>
          <w:sz w:val="22"/>
          <w:szCs w:val="22"/>
        </w:rPr>
        <w:t xml:space="preserve">činit 95 % všech transakcí, které měly být </w:t>
      </w:r>
      <w:r w:rsidR="007A1976">
        <w:rPr>
          <w:rFonts w:ascii="Arial" w:hAnsi="Arial" w:cs="Arial"/>
          <w:sz w:val="22"/>
          <w:szCs w:val="22"/>
        </w:rPr>
        <w:t>v </w:t>
      </w:r>
      <w:r w:rsidRPr="00462651">
        <w:rPr>
          <w:rFonts w:ascii="Arial" w:hAnsi="Arial" w:cs="Arial"/>
          <w:sz w:val="22"/>
          <w:szCs w:val="22"/>
        </w:rPr>
        <w:t xml:space="preserve">SVZ zaznamenány </w:t>
      </w:r>
      <w:r w:rsidR="00FD1FBA" w:rsidRPr="00462651">
        <w:rPr>
          <w:rFonts w:ascii="Arial" w:hAnsi="Arial" w:cs="Arial"/>
          <w:sz w:val="22"/>
          <w:szCs w:val="22"/>
        </w:rPr>
        <w:t>branami.</w:t>
      </w:r>
    </w:p>
    <w:p w:rsidR="005D555B" w:rsidRPr="00462651"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rPr>
      </w:pPr>
      <w:r w:rsidRPr="00462651">
        <w:rPr>
          <w:rFonts w:ascii="Arial" w:hAnsi="Arial" w:cs="Arial"/>
          <w:sz w:val="22"/>
          <w:szCs w:val="22"/>
        </w:rPr>
        <w:lastRenderedPageBreak/>
        <w:t xml:space="preserve">Podklady </w:t>
      </w:r>
      <w:r w:rsidR="005959E5" w:rsidRPr="00462651">
        <w:rPr>
          <w:rFonts w:ascii="Arial" w:hAnsi="Arial" w:cs="Arial"/>
          <w:sz w:val="22"/>
          <w:szCs w:val="22"/>
        </w:rPr>
        <w:t xml:space="preserve">a důvody </w:t>
      </w:r>
      <w:r w:rsidRPr="00462651">
        <w:rPr>
          <w:rFonts w:ascii="Arial" w:hAnsi="Arial" w:cs="Arial"/>
          <w:sz w:val="22"/>
          <w:szCs w:val="22"/>
        </w:rPr>
        <w:t xml:space="preserve">pro stanovení 95% úspěšnosti </w:t>
      </w:r>
      <w:r w:rsidR="005959E5" w:rsidRPr="00462651">
        <w:rPr>
          <w:rFonts w:ascii="Arial" w:hAnsi="Arial" w:cs="Arial"/>
          <w:sz w:val="22"/>
          <w:szCs w:val="22"/>
        </w:rPr>
        <w:t>pro celou</w:t>
      </w:r>
      <w:r w:rsidR="00614F30" w:rsidRPr="00462651">
        <w:rPr>
          <w:rFonts w:ascii="Arial" w:hAnsi="Arial" w:cs="Arial"/>
          <w:sz w:val="22"/>
          <w:szCs w:val="22"/>
        </w:rPr>
        <w:t xml:space="preserve"> dobu platnosti smlouvy </w:t>
      </w:r>
      <w:r w:rsidR="00D14259">
        <w:rPr>
          <w:rFonts w:ascii="Arial" w:hAnsi="Arial" w:cs="Arial"/>
          <w:sz w:val="22"/>
          <w:szCs w:val="22"/>
        </w:rPr>
        <w:t>(</w:t>
      </w:r>
      <w:r w:rsidR="00614F30" w:rsidRPr="00462651">
        <w:rPr>
          <w:rFonts w:ascii="Arial" w:hAnsi="Arial" w:cs="Arial"/>
          <w:sz w:val="22"/>
          <w:szCs w:val="22"/>
        </w:rPr>
        <w:t>tj. 10 </w:t>
      </w:r>
      <w:r w:rsidR="005959E5" w:rsidRPr="00462651">
        <w:rPr>
          <w:rFonts w:ascii="Arial" w:hAnsi="Arial" w:cs="Arial"/>
          <w:sz w:val="22"/>
          <w:szCs w:val="22"/>
        </w:rPr>
        <w:t>let</w:t>
      </w:r>
      <w:r w:rsidR="00D14259">
        <w:rPr>
          <w:rFonts w:ascii="Arial" w:hAnsi="Arial" w:cs="Arial"/>
          <w:sz w:val="22"/>
          <w:szCs w:val="22"/>
        </w:rPr>
        <w:t>)</w:t>
      </w:r>
      <w:r w:rsidR="005959E5" w:rsidRPr="00462651">
        <w:rPr>
          <w:rFonts w:ascii="Arial" w:hAnsi="Arial" w:cs="Arial"/>
          <w:sz w:val="22"/>
          <w:szCs w:val="22"/>
        </w:rPr>
        <w:t xml:space="preserve"> </w:t>
      </w:r>
      <w:r w:rsidR="00E44F4E" w:rsidRPr="00462651">
        <w:rPr>
          <w:rFonts w:ascii="Arial" w:hAnsi="Arial" w:cs="Arial"/>
          <w:sz w:val="22"/>
          <w:szCs w:val="22"/>
        </w:rPr>
        <w:t>nebyly NKÚ předloženy.</w:t>
      </w:r>
      <w:r w:rsidRPr="00462651">
        <w:rPr>
          <w:rFonts w:ascii="Arial" w:hAnsi="Arial" w:cs="Arial"/>
          <w:sz w:val="22"/>
          <w:szCs w:val="22"/>
        </w:rPr>
        <w:t xml:space="preserve"> MD pouze sdělilo, že vycházelo ze zkušeností z </w:t>
      </w:r>
      <w:r w:rsidR="00614F30" w:rsidRPr="00462651">
        <w:rPr>
          <w:rFonts w:ascii="Arial" w:hAnsi="Arial" w:cs="Arial"/>
          <w:sz w:val="22"/>
          <w:szCs w:val="22"/>
        </w:rPr>
        <w:t>jiných zemí a </w:t>
      </w:r>
      <w:r w:rsidRPr="00462651">
        <w:rPr>
          <w:rFonts w:ascii="Arial" w:hAnsi="Arial" w:cs="Arial"/>
          <w:sz w:val="22"/>
          <w:szCs w:val="22"/>
        </w:rPr>
        <w:t>vyspělosti technologií.</w:t>
      </w:r>
    </w:p>
    <w:p w:rsidR="005D555B" w:rsidRPr="00462651" w:rsidRDefault="005D555B" w:rsidP="004401C1">
      <w:pPr>
        <w:jc w:val="both"/>
        <w:rPr>
          <w:rFonts w:ascii="Arial" w:hAnsi="Arial" w:cs="Arial"/>
          <w:sz w:val="22"/>
          <w:szCs w:val="22"/>
        </w:rPr>
      </w:pPr>
    </w:p>
    <w:p w:rsidR="00286C6E" w:rsidRDefault="00286C6E" w:rsidP="004401C1">
      <w:pPr>
        <w:jc w:val="both"/>
        <w:rPr>
          <w:rFonts w:ascii="Arial" w:hAnsi="Arial" w:cs="Arial"/>
          <w:sz w:val="22"/>
          <w:szCs w:val="22"/>
          <w:lang w:eastAsia="en-US"/>
        </w:rPr>
      </w:pPr>
      <w:r w:rsidRPr="00462651">
        <w:rPr>
          <w:rFonts w:ascii="Arial" w:hAnsi="Arial" w:cs="Arial"/>
          <w:sz w:val="22"/>
          <w:szCs w:val="22"/>
        </w:rPr>
        <w:t>Při dos</w:t>
      </w:r>
      <w:r w:rsidR="003D39AB" w:rsidRPr="00462651">
        <w:rPr>
          <w:rFonts w:ascii="Arial" w:hAnsi="Arial" w:cs="Arial"/>
          <w:sz w:val="22"/>
          <w:szCs w:val="22"/>
        </w:rPr>
        <w:t>ažení vyšší úspěšnosti než 95 %</w:t>
      </w:r>
      <w:r w:rsidRPr="00462651">
        <w:rPr>
          <w:rFonts w:ascii="Arial" w:hAnsi="Arial" w:cs="Arial"/>
          <w:sz w:val="22"/>
          <w:szCs w:val="22"/>
        </w:rPr>
        <w:t xml:space="preserve"> má generální dodavatel služeb nárok na zvýšení odměny za služby o částku odpovídající 50 % mýtných poplatků z mýtných transakcí přesahuj</w:t>
      </w:r>
      <w:r w:rsidR="003C7765" w:rsidRPr="00462651">
        <w:rPr>
          <w:rFonts w:ascii="Arial" w:hAnsi="Arial" w:cs="Arial"/>
          <w:sz w:val="22"/>
          <w:szCs w:val="22"/>
        </w:rPr>
        <w:t>ících stanovenou hranici úspěšnosti</w:t>
      </w:r>
      <w:r w:rsidRPr="00462651">
        <w:rPr>
          <w:rFonts w:ascii="Arial" w:hAnsi="Arial" w:cs="Arial"/>
          <w:sz w:val="22"/>
          <w:szCs w:val="22"/>
        </w:rPr>
        <w:t xml:space="preserve">. </w:t>
      </w:r>
      <w:r w:rsidR="00C55929" w:rsidRPr="00462651">
        <w:rPr>
          <w:rFonts w:ascii="Arial" w:hAnsi="Arial" w:cs="Arial"/>
          <w:sz w:val="22"/>
          <w:szCs w:val="22"/>
          <w:lang w:eastAsia="en-US"/>
        </w:rPr>
        <w:t xml:space="preserve">V případě, že by nebylo dosaženo úspěšnosti 95 %, byl by dodavatel služeb povinen dorovnat </w:t>
      </w:r>
      <w:r w:rsidR="00614F30" w:rsidRPr="00462651">
        <w:rPr>
          <w:rFonts w:ascii="Arial" w:hAnsi="Arial" w:cs="Arial"/>
          <w:sz w:val="22"/>
          <w:szCs w:val="22"/>
          <w:lang w:eastAsia="en-US"/>
        </w:rPr>
        <w:t>ušlé mýtné z vlastních zdrojů</w:t>
      </w:r>
      <w:r w:rsidR="003D39AB" w:rsidRPr="00462651">
        <w:rPr>
          <w:rFonts w:ascii="Arial" w:hAnsi="Arial" w:cs="Arial"/>
          <w:sz w:val="22"/>
          <w:szCs w:val="22"/>
          <w:lang w:eastAsia="en-US"/>
        </w:rPr>
        <w:t xml:space="preserve">. </w:t>
      </w:r>
      <w:r w:rsidR="00C55929" w:rsidRPr="00462651">
        <w:rPr>
          <w:rFonts w:ascii="Arial" w:hAnsi="Arial" w:cs="Arial"/>
          <w:sz w:val="22"/>
          <w:szCs w:val="22"/>
          <w:lang w:eastAsia="en-US"/>
        </w:rPr>
        <w:t xml:space="preserve">Tato situace nenastala. </w:t>
      </w:r>
    </w:p>
    <w:p w:rsidR="005D555B" w:rsidRPr="00462651" w:rsidRDefault="005D555B" w:rsidP="004401C1">
      <w:pPr>
        <w:jc w:val="both"/>
        <w:rPr>
          <w:rFonts w:ascii="Arial" w:hAnsi="Arial" w:cs="Arial"/>
          <w:sz w:val="22"/>
          <w:szCs w:val="22"/>
        </w:rPr>
      </w:pPr>
    </w:p>
    <w:p w:rsidR="00286C6E" w:rsidRDefault="003D39AB" w:rsidP="004401C1">
      <w:pPr>
        <w:jc w:val="both"/>
        <w:rPr>
          <w:rFonts w:ascii="Arial" w:hAnsi="Arial" w:cs="Arial"/>
          <w:sz w:val="22"/>
          <w:szCs w:val="22"/>
        </w:rPr>
      </w:pPr>
      <w:r w:rsidRPr="00462651">
        <w:rPr>
          <w:rFonts w:ascii="Arial" w:hAnsi="Arial" w:cs="Arial"/>
          <w:sz w:val="22"/>
          <w:szCs w:val="22"/>
        </w:rPr>
        <w:t>Ú</w:t>
      </w:r>
      <w:r w:rsidR="00286C6E" w:rsidRPr="00462651">
        <w:rPr>
          <w:rFonts w:ascii="Arial" w:hAnsi="Arial" w:cs="Arial"/>
          <w:sz w:val="22"/>
          <w:szCs w:val="22"/>
        </w:rPr>
        <w:t xml:space="preserve">spěšnost dodávaných služeb </w:t>
      </w:r>
      <w:r w:rsidR="003C7765" w:rsidRPr="00462651">
        <w:rPr>
          <w:rFonts w:ascii="Arial" w:hAnsi="Arial" w:cs="Arial"/>
          <w:sz w:val="22"/>
          <w:szCs w:val="22"/>
        </w:rPr>
        <w:t>byl</w:t>
      </w:r>
      <w:r w:rsidRPr="00462651">
        <w:rPr>
          <w:rFonts w:ascii="Arial" w:hAnsi="Arial" w:cs="Arial"/>
          <w:sz w:val="22"/>
          <w:szCs w:val="22"/>
        </w:rPr>
        <w:t>a</w:t>
      </w:r>
      <w:r w:rsidR="003C7765" w:rsidRPr="00462651">
        <w:rPr>
          <w:rFonts w:ascii="Arial" w:hAnsi="Arial" w:cs="Arial"/>
          <w:sz w:val="22"/>
          <w:szCs w:val="22"/>
        </w:rPr>
        <w:t xml:space="preserve"> ověřován</w:t>
      </w:r>
      <w:r w:rsidRPr="00462651">
        <w:rPr>
          <w:rFonts w:ascii="Arial" w:hAnsi="Arial" w:cs="Arial"/>
          <w:sz w:val="22"/>
          <w:szCs w:val="22"/>
        </w:rPr>
        <w:t>a</w:t>
      </w:r>
      <w:r w:rsidR="003C7765" w:rsidRPr="00462651">
        <w:rPr>
          <w:rFonts w:ascii="Arial" w:hAnsi="Arial" w:cs="Arial"/>
          <w:sz w:val="22"/>
          <w:szCs w:val="22"/>
        </w:rPr>
        <w:t xml:space="preserve"> </w:t>
      </w:r>
      <w:r w:rsidR="00286C6E" w:rsidRPr="00462651">
        <w:rPr>
          <w:rFonts w:ascii="Arial" w:hAnsi="Arial" w:cs="Arial"/>
          <w:sz w:val="22"/>
          <w:szCs w:val="22"/>
        </w:rPr>
        <w:t xml:space="preserve">nezávislým znalcem na náklady ŘSD. </w:t>
      </w:r>
      <w:r w:rsidR="007A1976">
        <w:rPr>
          <w:rFonts w:ascii="Arial" w:hAnsi="Arial" w:cs="Arial"/>
          <w:sz w:val="22"/>
          <w:szCs w:val="22"/>
        </w:rPr>
        <w:t>V </w:t>
      </w:r>
      <w:r w:rsidR="00286C6E" w:rsidRPr="00462651">
        <w:rPr>
          <w:rFonts w:ascii="Arial" w:hAnsi="Arial" w:cs="Arial"/>
          <w:sz w:val="22"/>
          <w:szCs w:val="22"/>
        </w:rPr>
        <w:t xml:space="preserve">roce 2007 </w:t>
      </w:r>
      <w:r w:rsidR="003C7765" w:rsidRPr="00462651">
        <w:rPr>
          <w:rFonts w:ascii="Arial" w:hAnsi="Arial" w:cs="Arial"/>
          <w:sz w:val="22"/>
          <w:szCs w:val="22"/>
        </w:rPr>
        <w:t xml:space="preserve">přesahovala </w:t>
      </w:r>
      <w:r w:rsidR="00286C6E" w:rsidRPr="00462651">
        <w:rPr>
          <w:rFonts w:ascii="Arial" w:hAnsi="Arial" w:cs="Arial"/>
          <w:sz w:val="22"/>
          <w:szCs w:val="22"/>
        </w:rPr>
        <w:t>průměrn</w:t>
      </w:r>
      <w:r w:rsidR="003C7765" w:rsidRPr="00462651">
        <w:rPr>
          <w:rFonts w:ascii="Arial" w:hAnsi="Arial" w:cs="Arial"/>
          <w:sz w:val="22"/>
          <w:szCs w:val="22"/>
        </w:rPr>
        <w:t xml:space="preserve">á </w:t>
      </w:r>
      <w:r w:rsidR="009659EA" w:rsidRPr="00462651">
        <w:rPr>
          <w:rFonts w:ascii="Arial" w:hAnsi="Arial" w:cs="Arial"/>
          <w:sz w:val="22"/>
          <w:szCs w:val="22"/>
        </w:rPr>
        <w:t xml:space="preserve">měsíční </w:t>
      </w:r>
      <w:r w:rsidR="003C7765" w:rsidRPr="00462651">
        <w:rPr>
          <w:rFonts w:ascii="Arial" w:hAnsi="Arial" w:cs="Arial"/>
          <w:sz w:val="22"/>
          <w:szCs w:val="22"/>
        </w:rPr>
        <w:t>úspěšnost</w:t>
      </w:r>
      <w:r w:rsidR="0063445C" w:rsidRPr="00462651">
        <w:rPr>
          <w:rFonts w:ascii="Arial" w:hAnsi="Arial" w:cs="Arial"/>
          <w:sz w:val="22"/>
          <w:szCs w:val="22"/>
        </w:rPr>
        <w:t xml:space="preserve"> 97 % a od roku 2008</w:t>
      </w:r>
      <w:r w:rsidR="00D14259">
        <w:rPr>
          <w:rFonts w:ascii="Arial" w:hAnsi="Arial" w:cs="Arial"/>
          <w:sz w:val="22"/>
          <w:szCs w:val="22"/>
        </w:rPr>
        <w:t xml:space="preserve"> </w:t>
      </w:r>
      <w:r w:rsidR="00190E53">
        <w:rPr>
          <w:rFonts w:ascii="Arial" w:hAnsi="Arial" w:cs="Arial"/>
          <w:sz w:val="22"/>
          <w:szCs w:val="22"/>
        </w:rPr>
        <w:t>přesahuje</w:t>
      </w:r>
      <w:r w:rsidR="0063445C" w:rsidRPr="00462651">
        <w:rPr>
          <w:rFonts w:ascii="Arial" w:hAnsi="Arial" w:cs="Arial"/>
          <w:sz w:val="22"/>
          <w:szCs w:val="22"/>
        </w:rPr>
        <w:t xml:space="preserve"> 99 </w:t>
      </w:r>
      <w:r w:rsidR="00286C6E" w:rsidRPr="00462651">
        <w:rPr>
          <w:rFonts w:ascii="Arial" w:hAnsi="Arial" w:cs="Arial"/>
          <w:sz w:val="22"/>
          <w:szCs w:val="22"/>
        </w:rPr>
        <w:t xml:space="preserve">%, což s ohledem na konstrukci odměny přináší významný prospěch generálnímu dodavateli služeb. Za období let 2007 až 2011 ŘSD zaplatilo generálnímu dodavateli služeb za zvýšenou </w:t>
      </w:r>
      <w:r w:rsidR="009659EA" w:rsidRPr="00462651">
        <w:rPr>
          <w:rFonts w:ascii="Arial" w:hAnsi="Arial" w:cs="Arial"/>
          <w:sz w:val="22"/>
          <w:szCs w:val="22"/>
        </w:rPr>
        <w:t xml:space="preserve">úspěšnost služeb </w:t>
      </w:r>
      <w:r w:rsidR="00286C6E" w:rsidRPr="00462651">
        <w:rPr>
          <w:rFonts w:ascii="Arial" w:hAnsi="Arial" w:cs="Arial"/>
          <w:sz w:val="22"/>
          <w:szCs w:val="22"/>
        </w:rPr>
        <w:t>odměnu ve výši 755,24 mil. Kč vč. DPH</w:t>
      </w:r>
      <w:r w:rsidR="00614F30" w:rsidRPr="00462651">
        <w:rPr>
          <w:rFonts w:ascii="Arial" w:hAnsi="Arial" w:cs="Arial"/>
          <w:sz w:val="22"/>
          <w:szCs w:val="22"/>
        </w:rPr>
        <w:t xml:space="preserve"> a</w:t>
      </w:r>
      <w:r w:rsidR="00D14259">
        <w:rPr>
          <w:rFonts w:ascii="Arial" w:hAnsi="Arial" w:cs="Arial"/>
          <w:sz w:val="22"/>
          <w:szCs w:val="22"/>
        </w:rPr>
        <w:t xml:space="preserve"> </w:t>
      </w:r>
      <w:r w:rsidR="00286C6E" w:rsidRPr="00462651">
        <w:rPr>
          <w:rFonts w:ascii="Arial" w:hAnsi="Arial" w:cs="Arial"/>
          <w:sz w:val="22"/>
          <w:szCs w:val="22"/>
        </w:rPr>
        <w:t xml:space="preserve">nezávislým znalcům za vyhodnocení </w:t>
      </w:r>
      <w:r w:rsidR="009659EA" w:rsidRPr="00462651">
        <w:rPr>
          <w:rFonts w:ascii="Arial" w:hAnsi="Arial" w:cs="Arial"/>
          <w:sz w:val="22"/>
          <w:szCs w:val="22"/>
        </w:rPr>
        <w:t>úspěšnosti</w:t>
      </w:r>
      <w:r w:rsidR="00286C6E" w:rsidRPr="00462651">
        <w:rPr>
          <w:rFonts w:ascii="Arial" w:hAnsi="Arial" w:cs="Arial"/>
          <w:sz w:val="22"/>
          <w:szCs w:val="22"/>
        </w:rPr>
        <w:t xml:space="preserve"> </w:t>
      </w:r>
      <w:r w:rsidR="00D14259">
        <w:rPr>
          <w:rFonts w:ascii="Arial" w:hAnsi="Arial" w:cs="Arial"/>
          <w:sz w:val="22"/>
          <w:szCs w:val="22"/>
        </w:rPr>
        <w:t xml:space="preserve">uhradilo </w:t>
      </w:r>
      <w:r w:rsidR="00286C6E" w:rsidRPr="00462651">
        <w:rPr>
          <w:rFonts w:ascii="Arial" w:hAnsi="Arial" w:cs="Arial"/>
          <w:sz w:val="22"/>
          <w:szCs w:val="22"/>
        </w:rPr>
        <w:t>finanční částku ve výši 113,45 mil. Kč vč. DPH.</w:t>
      </w:r>
    </w:p>
    <w:p w:rsidR="005D555B" w:rsidRPr="00462651" w:rsidRDefault="005D555B" w:rsidP="004401C1">
      <w:pPr>
        <w:jc w:val="both"/>
        <w:rPr>
          <w:rFonts w:ascii="Arial" w:hAnsi="Arial" w:cs="Arial"/>
          <w:sz w:val="22"/>
          <w:szCs w:val="22"/>
        </w:rPr>
      </w:pPr>
    </w:p>
    <w:p w:rsidR="00286C6E" w:rsidRDefault="009659EA" w:rsidP="004401C1">
      <w:pPr>
        <w:jc w:val="both"/>
        <w:rPr>
          <w:rFonts w:ascii="Arial" w:hAnsi="Arial" w:cs="Arial"/>
          <w:sz w:val="22"/>
          <w:szCs w:val="22"/>
        </w:rPr>
      </w:pPr>
      <w:r w:rsidRPr="00462651">
        <w:rPr>
          <w:rFonts w:ascii="Arial" w:hAnsi="Arial" w:cs="Arial"/>
          <w:sz w:val="22"/>
          <w:szCs w:val="22"/>
        </w:rPr>
        <w:t>Z</w:t>
      </w:r>
      <w:r w:rsidR="00286C6E" w:rsidRPr="00462651">
        <w:rPr>
          <w:rFonts w:ascii="Arial" w:hAnsi="Arial" w:cs="Arial"/>
          <w:sz w:val="22"/>
          <w:szCs w:val="22"/>
        </w:rPr>
        <w:t>výšení sazeb mýtného nebo vylepšení SVZ za účelem zvýšení příjmů státního rozpočtu, resp. SFDI</w:t>
      </w:r>
      <w:r w:rsidR="00D14259">
        <w:rPr>
          <w:rFonts w:ascii="Arial" w:hAnsi="Arial" w:cs="Arial"/>
          <w:sz w:val="22"/>
          <w:szCs w:val="22"/>
        </w:rPr>
        <w:t>,</w:t>
      </w:r>
      <w:r w:rsidR="00286C6E" w:rsidRPr="00462651">
        <w:rPr>
          <w:rFonts w:ascii="Arial" w:hAnsi="Arial" w:cs="Arial"/>
          <w:sz w:val="22"/>
          <w:szCs w:val="22"/>
        </w:rPr>
        <w:t xml:space="preserve"> významně zvyšuje odměnu dodavatele služeb</w:t>
      </w:r>
      <w:r w:rsidRPr="00462651">
        <w:rPr>
          <w:rFonts w:ascii="Arial" w:hAnsi="Arial" w:cs="Arial"/>
          <w:sz w:val="22"/>
          <w:szCs w:val="22"/>
        </w:rPr>
        <w:t>.</w:t>
      </w:r>
      <w:r w:rsidR="00286C6E" w:rsidRPr="00462651">
        <w:rPr>
          <w:rFonts w:ascii="Arial" w:hAnsi="Arial" w:cs="Arial"/>
          <w:sz w:val="22"/>
          <w:szCs w:val="22"/>
        </w:rPr>
        <w:t xml:space="preserve"> </w:t>
      </w:r>
      <w:r w:rsidR="0092662F" w:rsidRPr="00462651">
        <w:rPr>
          <w:rFonts w:ascii="Arial" w:hAnsi="Arial" w:cs="Arial"/>
          <w:sz w:val="22"/>
          <w:szCs w:val="22"/>
        </w:rPr>
        <w:t xml:space="preserve">Sjednaný způsob odměňování nezohledňuje zaběhnutí SVZ do praxe. </w:t>
      </w:r>
    </w:p>
    <w:p w:rsidR="005D555B" w:rsidRPr="00462651" w:rsidRDefault="005D555B" w:rsidP="004401C1">
      <w:pPr>
        <w:jc w:val="both"/>
        <w:rPr>
          <w:rFonts w:ascii="Arial" w:hAnsi="Arial" w:cs="Arial"/>
          <w:sz w:val="22"/>
          <w:szCs w:val="22"/>
        </w:rPr>
      </w:pPr>
    </w:p>
    <w:p w:rsidR="00BC4198" w:rsidRDefault="00286C6E" w:rsidP="004401C1">
      <w:pPr>
        <w:jc w:val="both"/>
        <w:rPr>
          <w:rFonts w:ascii="Arial" w:hAnsi="Arial" w:cs="Arial"/>
          <w:sz w:val="22"/>
          <w:szCs w:val="22"/>
        </w:rPr>
      </w:pPr>
      <w:r w:rsidRPr="00462651">
        <w:rPr>
          <w:rFonts w:ascii="Arial" w:hAnsi="Arial" w:cs="Arial"/>
          <w:sz w:val="22"/>
          <w:szCs w:val="22"/>
        </w:rPr>
        <w:t>Smluvní ujednání o z</w:t>
      </w:r>
      <w:r w:rsidR="00FD1FBA" w:rsidRPr="00462651">
        <w:rPr>
          <w:rFonts w:ascii="Arial" w:hAnsi="Arial" w:cs="Arial"/>
          <w:sz w:val="22"/>
          <w:szCs w:val="22"/>
        </w:rPr>
        <w:t xml:space="preserve">výšení odměny </w:t>
      </w:r>
      <w:r w:rsidR="0082157D" w:rsidRPr="00462651">
        <w:rPr>
          <w:rFonts w:ascii="Arial" w:hAnsi="Arial" w:cs="Arial"/>
          <w:sz w:val="22"/>
          <w:szCs w:val="22"/>
        </w:rPr>
        <w:t xml:space="preserve">generálnímu </w:t>
      </w:r>
      <w:r w:rsidR="00FD1FBA" w:rsidRPr="00462651">
        <w:rPr>
          <w:rFonts w:ascii="Arial" w:hAnsi="Arial" w:cs="Arial"/>
          <w:sz w:val="22"/>
          <w:szCs w:val="22"/>
        </w:rPr>
        <w:t>dodavateli služeb</w:t>
      </w:r>
      <w:r w:rsidR="00BC4198" w:rsidRPr="00462651">
        <w:rPr>
          <w:rFonts w:ascii="Arial" w:hAnsi="Arial" w:cs="Arial"/>
          <w:sz w:val="22"/>
          <w:szCs w:val="22"/>
        </w:rPr>
        <w:t xml:space="preserve"> a doby, na kterou je sjednáno</w:t>
      </w:r>
      <w:r w:rsidR="00614F30" w:rsidRPr="00462651">
        <w:rPr>
          <w:rFonts w:ascii="Arial" w:hAnsi="Arial" w:cs="Arial"/>
          <w:sz w:val="22"/>
          <w:szCs w:val="22"/>
        </w:rPr>
        <w:t>, bylo pro stát nevýhodné</w:t>
      </w:r>
      <w:r w:rsidR="00FA7520" w:rsidRPr="00462651">
        <w:rPr>
          <w:rFonts w:ascii="Arial" w:hAnsi="Arial" w:cs="Arial"/>
          <w:sz w:val="22"/>
          <w:szCs w:val="22"/>
        </w:rPr>
        <w:t>.</w:t>
      </w:r>
      <w:r w:rsidRPr="00462651">
        <w:rPr>
          <w:rFonts w:ascii="Arial" w:hAnsi="Arial" w:cs="Arial"/>
          <w:sz w:val="22"/>
          <w:szCs w:val="22"/>
        </w:rPr>
        <w:t xml:space="preserve"> </w:t>
      </w:r>
      <w:r w:rsidR="00D04620" w:rsidRPr="00462651">
        <w:rPr>
          <w:rFonts w:ascii="Arial" w:hAnsi="Arial" w:cs="Arial"/>
          <w:sz w:val="22"/>
          <w:szCs w:val="22"/>
        </w:rPr>
        <w:t xml:space="preserve">MD při sjednání závazku platit zvýšenou odměnu nepostupovalo </w:t>
      </w:r>
      <w:r w:rsidR="007A1976">
        <w:rPr>
          <w:rFonts w:ascii="Arial" w:hAnsi="Arial" w:cs="Arial"/>
          <w:sz w:val="22"/>
          <w:szCs w:val="22"/>
        </w:rPr>
        <w:t>v </w:t>
      </w:r>
      <w:r w:rsidR="00D04620" w:rsidRPr="00462651">
        <w:rPr>
          <w:rFonts w:ascii="Arial" w:hAnsi="Arial" w:cs="Arial"/>
          <w:sz w:val="22"/>
          <w:szCs w:val="22"/>
        </w:rPr>
        <w:t xml:space="preserve">souladu s ustanovením § 45 odst. 2 zákona č. 218/2000 Sb., protože dosahování příjmů z mýtného nebylo nastaveno nejhospodárnějším způsobem. </w:t>
      </w:r>
    </w:p>
    <w:p w:rsidR="005D555B" w:rsidRPr="00B035EA" w:rsidRDefault="005D555B" w:rsidP="004401C1">
      <w:pPr>
        <w:jc w:val="both"/>
        <w:rPr>
          <w:rFonts w:ascii="Arial" w:hAnsi="Arial" w:cs="Arial"/>
          <w:sz w:val="22"/>
          <w:szCs w:val="22"/>
        </w:rPr>
      </w:pPr>
    </w:p>
    <w:p w:rsidR="00286C6E" w:rsidRPr="00FD19FB" w:rsidRDefault="002551E8" w:rsidP="004401C1">
      <w:pPr>
        <w:pStyle w:val="Nadpis2"/>
        <w:spacing w:before="0" w:after="120"/>
        <w:jc w:val="both"/>
        <w:rPr>
          <w:rFonts w:ascii="Arial" w:hAnsi="Arial" w:cs="Arial"/>
          <w:i w:val="0"/>
          <w:sz w:val="22"/>
          <w:szCs w:val="22"/>
        </w:rPr>
      </w:pPr>
      <w:r>
        <w:rPr>
          <w:rFonts w:ascii="Arial" w:hAnsi="Arial" w:cs="Arial"/>
          <w:i w:val="0"/>
          <w:sz w:val="22"/>
          <w:szCs w:val="22"/>
        </w:rPr>
        <w:t xml:space="preserve">3.3 </w:t>
      </w:r>
      <w:r w:rsidR="00286C6E" w:rsidRPr="00FD19FB">
        <w:rPr>
          <w:rFonts w:ascii="Arial" w:hAnsi="Arial" w:cs="Arial"/>
          <w:i w:val="0"/>
          <w:sz w:val="22"/>
          <w:szCs w:val="22"/>
        </w:rPr>
        <w:t xml:space="preserve">Poplatky za platbu mýtného platební kartou </w:t>
      </w:r>
    </w:p>
    <w:p w:rsidR="00286C6E" w:rsidRDefault="00286C6E" w:rsidP="004401C1">
      <w:pPr>
        <w:jc w:val="both"/>
        <w:rPr>
          <w:rFonts w:ascii="Arial" w:hAnsi="Arial" w:cs="Arial"/>
          <w:bCs/>
          <w:iCs/>
          <w:sz w:val="22"/>
          <w:szCs w:val="22"/>
        </w:rPr>
      </w:pPr>
      <w:r>
        <w:rPr>
          <w:rFonts w:ascii="Arial" w:hAnsi="Arial" w:cs="Arial"/>
          <w:sz w:val="22"/>
          <w:szCs w:val="22"/>
        </w:rPr>
        <w:t xml:space="preserve">Mýtné je možné platit bezhotovostně prostřednictvím bankovních a tankovacích karet. </w:t>
      </w:r>
      <w:r>
        <w:rPr>
          <w:rFonts w:ascii="Arial" w:hAnsi="Arial" w:cs="Arial"/>
          <w:bCs/>
          <w:iCs/>
          <w:sz w:val="22"/>
          <w:szCs w:val="22"/>
        </w:rPr>
        <w:t xml:space="preserve">MD </w:t>
      </w:r>
      <w:r w:rsidRPr="00462651">
        <w:rPr>
          <w:rFonts w:ascii="Arial" w:hAnsi="Arial" w:cs="Arial"/>
          <w:bCs/>
          <w:iCs/>
          <w:sz w:val="22"/>
          <w:szCs w:val="22"/>
        </w:rPr>
        <w:t xml:space="preserve">v zadávací dokumentaci očekávalo </w:t>
      </w:r>
      <w:r w:rsidR="00B31C8A" w:rsidRPr="00462651">
        <w:rPr>
          <w:rFonts w:ascii="Arial" w:hAnsi="Arial" w:cs="Arial"/>
          <w:bCs/>
          <w:iCs/>
          <w:sz w:val="22"/>
          <w:szCs w:val="22"/>
        </w:rPr>
        <w:t xml:space="preserve">registraci </w:t>
      </w:r>
      <w:r w:rsidRPr="00462651">
        <w:rPr>
          <w:rFonts w:ascii="Arial" w:hAnsi="Arial" w:cs="Arial"/>
          <w:bCs/>
          <w:iCs/>
          <w:sz w:val="22"/>
          <w:szCs w:val="22"/>
        </w:rPr>
        <w:t>87 500 vozidel (</w:t>
      </w:r>
      <w:r w:rsidRPr="00462651">
        <w:rPr>
          <w:rFonts w:ascii="Arial" w:hAnsi="Arial" w:cs="Arial"/>
          <w:bCs/>
          <w:iCs/>
          <w:sz w:val="22"/>
          <w:szCs w:val="28"/>
        </w:rPr>
        <w:t>včetně 25% rezervy</w:t>
      </w:r>
      <w:r w:rsidRPr="00462651">
        <w:rPr>
          <w:rFonts w:ascii="Arial" w:hAnsi="Arial" w:cs="Arial"/>
          <w:bCs/>
          <w:iCs/>
          <w:sz w:val="22"/>
          <w:szCs w:val="22"/>
        </w:rPr>
        <w:t xml:space="preserve">) do SVZ, k čemuž </w:t>
      </w:r>
      <w:r w:rsidR="002551E8">
        <w:rPr>
          <w:rFonts w:ascii="Arial" w:hAnsi="Arial" w:cs="Arial"/>
          <w:bCs/>
          <w:iCs/>
          <w:sz w:val="22"/>
          <w:szCs w:val="22"/>
        </w:rPr>
        <w:t xml:space="preserve">také </w:t>
      </w:r>
      <w:r w:rsidRPr="00462651">
        <w:rPr>
          <w:rFonts w:ascii="Arial" w:hAnsi="Arial" w:cs="Arial"/>
          <w:bCs/>
          <w:iCs/>
          <w:sz w:val="22"/>
          <w:szCs w:val="22"/>
        </w:rPr>
        <w:t>byly generálním dodavatelem služeb kalkulovány poplatky za</w:t>
      </w:r>
      <w:r w:rsidR="002551E8">
        <w:rPr>
          <w:rFonts w:ascii="Arial" w:hAnsi="Arial" w:cs="Arial"/>
          <w:bCs/>
          <w:iCs/>
          <w:sz w:val="22"/>
          <w:szCs w:val="22"/>
        </w:rPr>
        <w:t xml:space="preserve"> </w:t>
      </w:r>
      <w:r w:rsidRPr="00462651">
        <w:rPr>
          <w:rFonts w:ascii="Arial" w:hAnsi="Arial" w:cs="Arial"/>
          <w:bCs/>
          <w:iCs/>
          <w:sz w:val="22"/>
          <w:szCs w:val="22"/>
        </w:rPr>
        <w:t xml:space="preserve">použití </w:t>
      </w:r>
      <w:r w:rsidR="00B31C8A" w:rsidRPr="00462651">
        <w:rPr>
          <w:rFonts w:ascii="Arial" w:hAnsi="Arial" w:cs="Arial"/>
          <w:bCs/>
          <w:iCs/>
          <w:sz w:val="22"/>
          <w:szCs w:val="22"/>
        </w:rPr>
        <w:t>platebních karet</w:t>
      </w:r>
      <w:r w:rsidRPr="00462651">
        <w:rPr>
          <w:rFonts w:ascii="Arial" w:hAnsi="Arial" w:cs="Arial"/>
          <w:bCs/>
          <w:iCs/>
          <w:sz w:val="22"/>
          <w:szCs w:val="22"/>
        </w:rPr>
        <w:t xml:space="preserve"> </w:t>
      </w:r>
      <w:r w:rsidR="002551E8">
        <w:rPr>
          <w:rFonts w:ascii="Arial" w:hAnsi="Arial" w:cs="Arial"/>
          <w:bCs/>
          <w:iCs/>
          <w:sz w:val="22"/>
          <w:szCs w:val="22"/>
        </w:rPr>
        <w:t>při</w:t>
      </w:r>
      <w:r w:rsidRPr="00462651">
        <w:rPr>
          <w:rFonts w:ascii="Arial" w:hAnsi="Arial" w:cs="Arial"/>
          <w:bCs/>
          <w:iCs/>
          <w:sz w:val="22"/>
          <w:szCs w:val="22"/>
        </w:rPr>
        <w:t xml:space="preserve"> platb</w:t>
      </w:r>
      <w:r w:rsidR="002551E8">
        <w:rPr>
          <w:rFonts w:ascii="Arial" w:hAnsi="Arial" w:cs="Arial"/>
          <w:bCs/>
          <w:iCs/>
          <w:sz w:val="22"/>
          <w:szCs w:val="22"/>
        </w:rPr>
        <w:t>ě</w:t>
      </w:r>
      <w:r w:rsidRPr="00462651">
        <w:rPr>
          <w:rFonts w:ascii="Arial" w:hAnsi="Arial" w:cs="Arial"/>
          <w:bCs/>
          <w:iCs/>
          <w:sz w:val="22"/>
          <w:szCs w:val="22"/>
        </w:rPr>
        <w:t xml:space="preserve"> mýtného</w:t>
      </w:r>
      <w:r w:rsidR="002551E8">
        <w:rPr>
          <w:rFonts w:ascii="Arial" w:hAnsi="Arial" w:cs="Arial"/>
          <w:bCs/>
          <w:iCs/>
          <w:sz w:val="22"/>
          <w:szCs w:val="22"/>
        </w:rPr>
        <w:t>.</w:t>
      </w:r>
      <w:r w:rsidRPr="00462651">
        <w:rPr>
          <w:rStyle w:val="Znakapoznpodarou"/>
          <w:rFonts w:ascii="Arial" w:hAnsi="Arial" w:cs="Arial"/>
          <w:bCs/>
          <w:iCs/>
          <w:sz w:val="22"/>
          <w:szCs w:val="22"/>
        </w:rPr>
        <w:footnoteReference w:id="25"/>
      </w:r>
      <w:r w:rsidRPr="00462651">
        <w:rPr>
          <w:rFonts w:ascii="Arial" w:hAnsi="Arial" w:cs="Arial"/>
          <w:bCs/>
          <w:iCs/>
          <w:sz w:val="22"/>
          <w:szCs w:val="22"/>
        </w:rPr>
        <w:t xml:space="preserve"> </w:t>
      </w:r>
    </w:p>
    <w:p w:rsidR="005D555B" w:rsidRPr="00462651" w:rsidRDefault="005D555B" w:rsidP="004401C1">
      <w:pPr>
        <w:jc w:val="both"/>
        <w:rPr>
          <w:rFonts w:ascii="Arial" w:hAnsi="Arial" w:cs="Arial"/>
          <w:bCs/>
          <w:iCs/>
          <w:sz w:val="22"/>
          <w:szCs w:val="22"/>
        </w:rPr>
      </w:pPr>
    </w:p>
    <w:p w:rsidR="00286C6E" w:rsidRDefault="00286C6E" w:rsidP="004401C1">
      <w:pPr>
        <w:jc w:val="both"/>
        <w:rPr>
          <w:rFonts w:ascii="Arial" w:hAnsi="Arial" w:cs="Arial"/>
          <w:sz w:val="22"/>
        </w:rPr>
      </w:pPr>
      <w:r w:rsidRPr="00462651">
        <w:rPr>
          <w:rFonts w:ascii="Arial" w:hAnsi="Arial" w:cs="Arial"/>
          <w:bCs/>
          <w:iCs/>
          <w:sz w:val="22"/>
          <w:szCs w:val="22"/>
        </w:rPr>
        <w:t xml:space="preserve">Očekávání MD bylo </w:t>
      </w:r>
      <w:r w:rsidR="00B31C8A" w:rsidRPr="00462651">
        <w:rPr>
          <w:rFonts w:ascii="Arial" w:hAnsi="Arial" w:cs="Arial"/>
          <w:bCs/>
          <w:iCs/>
          <w:sz w:val="22"/>
          <w:szCs w:val="22"/>
        </w:rPr>
        <w:t xml:space="preserve">výrazně </w:t>
      </w:r>
      <w:r w:rsidRPr="00462651">
        <w:rPr>
          <w:rFonts w:ascii="Arial" w:hAnsi="Arial" w:cs="Arial"/>
          <w:bCs/>
          <w:iCs/>
          <w:sz w:val="22"/>
          <w:szCs w:val="22"/>
        </w:rPr>
        <w:t>podhodnocen</w:t>
      </w:r>
      <w:r w:rsidR="00353CF7">
        <w:rPr>
          <w:rFonts w:ascii="Arial" w:hAnsi="Arial" w:cs="Arial"/>
          <w:bCs/>
          <w:iCs/>
          <w:sz w:val="22"/>
          <w:szCs w:val="22"/>
        </w:rPr>
        <w:t>é</w:t>
      </w:r>
      <w:r w:rsidRPr="00462651">
        <w:rPr>
          <w:rFonts w:ascii="Arial" w:hAnsi="Arial" w:cs="Arial"/>
          <w:bCs/>
          <w:iCs/>
          <w:sz w:val="22"/>
          <w:szCs w:val="22"/>
        </w:rPr>
        <w:t>. S nárůstem počtu vozidel na cca 6</w:t>
      </w:r>
      <w:r w:rsidR="00C71755">
        <w:rPr>
          <w:rFonts w:ascii="Arial" w:hAnsi="Arial" w:cs="Arial"/>
          <w:bCs/>
          <w:iCs/>
          <w:sz w:val="22"/>
          <w:szCs w:val="22"/>
        </w:rPr>
        <w:t>3</w:t>
      </w:r>
      <w:r w:rsidRPr="00462651">
        <w:rPr>
          <w:rFonts w:ascii="Arial" w:hAnsi="Arial" w:cs="Arial"/>
          <w:bCs/>
          <w:iCs/>
          <w:sz w:val="22"/>
          <w:szCs w:val="22"/>
        </w:rPr>
        <w:t>0</w:t>
      </w:r>
      <w:r w:rsidR="00353CF7">
        <w:rPr>
          <w:rFonts w:ascii="Arial" w:hAnsi="Arial" w:cs="Arial"/>
          <w:bCs/>
          <w:iCs/>
          <w:sz w:val="22"/>
          <w:szCs w:val="22"/>
        </w:rPr>
        <w:t> 000</w:t>
      </w:r>
      <w:r w:rsidRPr="00462651">
        <w:rPr>
          <w:rFonts w:ascii="Arial" w:hAnsi="Arial" w:cs="Arial"/>
          <w:bCs/>
          <w:iCs/>
          <w:sz w:val="22"/>
          <w:szCs w:val="22"/>
        </w:rPr>
        <w:t xml:space="preserve"> rostly náklady na poplatky za platbu platební kartou, </w:t>
      </w:r>
      <w:r w:rsidR="00833092">
        <w:rPr>
          <w:rFonts w:ascii="Arial" w:hAnsi="Arial" w:cs="Arial"/>
          <w:bCs/>
          <w:iCs/>
          <w:sz w:val="22"/>
          <w:szCs w:val="22"/>
        </w:rPr>
        <w:t>které nebyly pokryty smlouvou o </w:t>
      </w:r>
      <w:r w:rsidRPr="00462651">
        <w:rPr>
          <w:rFonts w:ascii="Arial" w:hAnsi="Arial" w:cs="Arial"/>
          <w:bCs/>
          <w:iCs/>
          <w:sz w:val="22"/>
          <w:szCs w:val="22"/>
        </w:rPr>
        <w:t xml:space="preserve">službách. Generální dodavatel služeb požadoval </w:t>
      </w:r>
      <w:r w:rsidR="00417528" w:rsidRPr="00462651">
        <w:rPr>
          <w:rFonts w:ascii="Arial" w:hAnsi="Arial" w:cs="Arial"/>
          <w:bCs/>
          <w:iCs/>
          <w:sz w:val="22"/>
          <w:szCs w:val="22"/>
        </w:rPr>
        <w:t xml:space="preserve">po ŘSD </w:t>
      </w:r>
      <w:r w:rsidRPr="00462651">
        <w:rPr>
          <w:rFonts w:ascii="Arial" w:hAnsi="Arial" w:cs="Arial"/>
          <w:bCs/>
          <w:iCs/>
          <w:sz w:val="22"/>
          <w:szCs w:val="22"/>
        </w:rPr>
        <w:t xml:space="preserve">za </w:t>
      </w:r>
      <w:r w:rsidR="00614F30" w:rsidRPr="00462651">
        <w:rPr>
          <w:rFonts w:ascii="Arial" w:hAnsi="Arial" w:cs="Arial"/>
          <w:bCs/>
          <w:iCs/>
          <w:sz w:val="22"/>
          <w:szCs w:val="22"/>
        </w:rPr>
        <w:t>období 1/2007–</w:t>
      </w:r>
      <w:r w:rsidR="009E15E0" w:rsidRPr="00462651">
        <w:rPr>
          <w:rFonts w:ascii="Arial" w:hAnsi="Arial" w:cs="Arial"/>
          <w:bCs/>
          <w:iCs/>
          <w:sz w:val="22"/>
          <w:szCs w:val="22"/>
        </w:rPr>
        <w:t>12/</w:t>
      </w:r>
      <w:r w:rsidR="00251DA5" w:rsidRPr="00462651">
        <w:rPr>
          <w:rFonts w:ascii="Arial" w:hAnsi="Arial" w:cs="Arial"/>
          <w:bCs/>
          <w:iCs/>
          <w:sz w:val="22"/>
          <w:szCs w:val="22"/>
        </w:rPr>
        <w:t>2011 úhradu částky</w:t>
      </w:r>
      <w:r w:rsidRPr="00462651">
        <w:rPr>
          <w:rFonts w:ascii="Arial" w:hAnsi="Arial" w:cs="Arial"/>
          <w:bCs/>
          <w:iCs/>
          <w:sz w:val="22"/>
          <w:szCs w:val="22"/>
        </w:rPr>
        <w:t xml:space="preserve"> </w:t>
      </w:r>
      <w:r w:rsidRPr="00462651">
        <w:rPr>
          <w:rFonts w:ascii="Arial" w:hAnsi="Arial" w:cs="Arial"/>
          <w:sz w:val="22"/>
        </w:rPr>
        <w:t>499,50 mil. Kč vč. DPH</w:t>
      </w:r>
      <w:r w:rsidR="00417528" w:rsidRPr="00462651">
        <w:rPr>
          <w:rFonts w:ascii="Arial" w:hAnsi="Arial" w:cs="Arial"/>
          <w:sz w:val="22"/>
        </w:rPr>
        <w:t xml:space="preserve"> za poplatky za platbu platební kartou, které nebyly kalkulovány ve smlouvě</w:t>
      </w:r>
      <w:r w:rsidRPr="00462651">
        <w:rPr>
          <w:rFonts w:ascii="Arial" w:hAnsi="Arial" w:cs="Arial"/>
          <w:sz w:val="22"/>
        </w:rPr>
        <w:t xml:space="preserve">. ŘSD pro </w:t>
      </w:r>
      <w:r w:rsidR="00417528" w:rsidRPr="00462651">
        <w:rPr>
          <w:rFonts w:ascii="Arial" w:hAnsi="Arial" w:cs="Arial"/>
          <w:sz w:val="22"/>
        </w:rPr>
        <w:t>posouzení tohoto požadavku</w:t>
      </w:r>
      <w:r w:rsidRPr="00462651">
        <w:rPr>
          <w:rFonts w:ascii="Arial" w:hAnsi="Arial" w:cs="Arial"/>
          <w:sz w:val="22"/>
        </w:rPr>
        <w:t xml:space="preserve"> nechalo vypracovat znalecké posudky, za </w:t>
      </w:r>
      <w:r w:rsidR="00353CF7">
        <w:rPr>
          <w:rFonts w:ascii="Arial" w:hAnsi="Arial" w:cs="Arial"/>
          <w:sz w:val="22"/>
        </w:rPr>
        <w:t>které zaplatilo</w:t>
      </w:r>
      <w:r w:rsidRPr="00462651">
        <w:rPr>
          <w:rFonts w:ascii="Arial" w:hAnsi="Arial"/>
          <w:sz w:val="22"/>
        </w:rPr>
        <w:t xml:space="preserve"> </w:t>
      </w:r>
      <w:r w:rsidRPr="00462651">
        <w:rPr>
          <w:rFonts w:ascii="Arial" w:hAnsi="Arial" w:cs="Arial"/>
          <w:sz w:val="22"/>
        </w:rPr>
        <w:t xml:space="preserve">dalších 810 tis. Kč vč. DPH. </w:t>
      </w:r>
    </w:p>
    <w:p w:rsidR="005D555B" w:rsidRPr="00462651" w:rsidRDefault="005D555B" w:rsidP="004401C1">
      <w:pPr>
        <w:jc w:val="both"/>
        <w:rPr>
          <w:rFonts w:ascii="Arial" w:hAnsi="Arial" w:cs="Arial"/>
          <w:sz w:val="22"/>
        </w:rPr>
      </w:pPr>
    </w:p>
    <w:p w:rsidR="009826C5" w:rsidRDefault="00286C6E" w:rsidP="009826C5">
      <w:pPr>
        <w:jc w:val="both"/>
        <w:rPr>
          <w:rFonts w:ascii="Arial" w:hAnsi="Arial" w:cs="Arial"/>
          <w:sz w:val="22"/>
          <w:szCs w:val="22"/>
        </w:rPr>
      </w:pPr>
      <w:r w:rsidRPr="00462651">
        <w:rPr>
          <w:rFonts w:ascii="Arial" w:hAnsi="Arial" w:cs="Arial"/>
          <w:sz w:val="22"/>
          <w:szCs w:val="22"/>
        </w:rPr>
        <w:t xml:space="preserve">Při obnově smluvního vztahu s generálním dodavatelem by mělo ŘSD zvážit úpravu </w:t>
      </w:r>
      <w:r w:rsidR="00353CF7">
        <w:rPr>
          <w:rFonts w:ascii="Arial" w:hAnsi="Arial" w:cs="Arial"/>
          <w:sz w:val="22"/>
          <w:szCs w:val="22"/>
        </w:rPr>
        <w:t>v</w:t>
      </w:r>
      <w:r w:rsidRPr="00462651">
        <w:rPr>
          <w:rFonts w:ascii="Arial" w:hAnsi="Arial" w:cs="Arial"/>
          <w:sz w:val="22"/>
          <w:szCs w:val="22"/>
        </w:rPr>
        <w:t>šeobecných smluvních podmínek provozovatele elektronického mýtného</w:t>
      </w:r>
      <w:r w:rsidRPr="00462651">
        <w:rPr>
          <w:rStyle w:val="Znakypropoznmkupodarou"/>
          <w:rFonts w:ascii="Arial" w:hAnsi="Arial" w:cs="Arial"/>
          <w:sz w:val="22"/>
          <w:szCs w:val="22"/>
        </w:rPr>
        <w:footnoteReference w:id="26"/>
      </w:r>
      <w:r w:rsidRPr="00462651">
        <w:rPr>
          <w:rFonts w:ascii="Arial" w:hAnsi="Arial" w:cs="Arial"/>
          <w:sz w:val="22"/>
          <w:szCs w:val="22"/>
        </w:rPr>
        <w:t xml:space="preserve"> tak, aby poplatky za použití </w:t>
      </w:r>
      <w:r w:rsidR="007346A4" w:rsidRPr="00462651">
        <w:rPr>
          <w:rFonts w:ascii="Arial" w:hAnsi="Arial" w:cs="Arial"/>
          <w:sz w:val="22"/>
          <w:szCs w:val="22"/>
        </w:rPr>
        <w:t>platebních karet</w:t>
      </w:r>
      <w:r w:rsidRPr="00462651">
        <w:rPr>
          <w:rFonts w:ascii="Arial" w:hAnsi="Arial" w:cs="Arial"/>
          <w:sz w:val="22"/>
          <w:szCs w:val="22"/>
        </w:rPr>
        <w:t xml:space="preserve"> nešly k tíži ŘSD, resp. státu. </w:t>
      </w:r>
    </w:p>
    <w:p w:rsidR="00286C6E" w:rsidRDefault="00286C6E" w:rsidP="009826C5">
      <w:pPr>
        <w:jc w:val="both"/>
        <w:rPr>
          <w:rFonts w:ascii="Arial" w:hAnsi="Arial" w:cs="Arial"/>
          <w:sz w:val="22"/>
          <w:szCs w:val="22"/>
        </w:rPr>
      </w:pPr>
      <w:r w:rsidRPr="00462651">
        <w:rPr>
          <w:rFonts w:ascii="Arial" w:hAnsi="Arial" w:cs="Arial"/>
          <w:sz w:val="22"/>
          <w:szCs w:val="22"/>
        </w:rPr>
        <w:t xml:space="preserve"> </w:t>
      </w:r>
    </w:p>
    <w:p w:rsidR="00D7735D" w:rsidRDefault="00D7735D" w:rsidP="009826C5">
      <w:pPr>
        <w:jc w:val="both"/>
        <w:rPr>
          <w:rFonts w:ascii="Arial" w:hAnsi="Arial" w:cs="Arial"/>
          <w:sz w:val="22"/>
          <w:szCs w:val="22"/>
        </w:rPr>
      </w:pPr>
    </w:p>
    <w:p w:rsidR="00D7735D" w:rsidRDefault="00D7735D" w:rsidP="009826C5">
      <w:pPr>
        <w:jc w:val="both"/>
        <w:rPr>
          <w:rFonts w:ascii="Arial" w:hAnsi="Arial" w:cs="Arial"/>
          <w:sz w:val="22"/>
          <w:szCs w:val="22"/>
        </w:rPr>
      </w:pPr>
    </w:p>
    <w:p w:rsidR="00D7735D" w:rsidRPr="00462651" w:rsidRDefault="00D7735D" w:rsidP="009826C5">
      <w:pPr>
        <w:jc w:val="both"/>
        <w:rPr>
          <w:rFonts w:ascii="Arial" w:hAnsi="Arial" w:cs="Arial"/>
          <w:sz w:val="22"/>
          <w:szCs w:val="22"/>
        </w:rPr>
      </w:pPr>
    </w:p>
    <w:p w:rsidR="00286C6E" w:rsidRDefault="00353CF7" w:rsidP="004401C1">
      <w:pPr>
        <w:pStyle w:val="Nadpis2"/>
        <w:spacing w:before="0" w:after="0"/>
        <w:jc w:val="both"/>
        <w:rPr>
          <w:rFonts w:ascii="Arial" w:hAnsi="Arial" w:cs="Arial"/>
          <w:i w:val="0"/>
          <w:sz w:val="22"/>
          <w:szCs w:val="22"/>
        </w:rPr>
      </w:pPr>
      <w:r>
        <w:rPr>
          <w:rFonts w:ascii="Arial" w:hAnsi="Arial" w:cs="Arial"/>
          <w:i w:val="0"/>
          <w:sz w:val="22"/>
          <w:szCs w:val="22"/>
        </w:rPr>
        <w:lastRenderedPageBreak/>
        <w:t xml:space="preserve">4. </w:t>
      </w:r>
      <w:r w:rsidR="00286C6E" w:rsidRPr="00FD19FB">
        <w:rPr>
          <w:rFonts w:ascii="Arial" w:hAnsi="Arial" w:cs="Arial"/>
          <w:i w:val="0"/>
          <w:sz w:val="22"/>
          <w:szCs w:val="22"/>
        </w:rPr>
        <w:t>Kontrola</w:t>
      </w:r>
      <w:r w:rsidR="00497146">
        <w:rPr>
          <w:rFonts w:ascii="Arial" w:hAnsi="Arial" w:cs="Arial"/>
          <w:i w:val="0"/>
          <w:sz w:val="22"/>
          <w:szCs w:val="22"/>
        </w:rPr>
        <w:t xml:space="preserve"> </w:t>
      </w:r>
      <w:r w:rsidR="00820D2E">
        <w:rPr>
          <w:rFonts w:ascii="Arial" w:hAnsi="Arial" w:cs="Arial"/>
          <w:i w:val="0"/>
          <w:sz w:val="22"/>
          <w:szCs w:val="22"/>
        </w:rPr>
        <w:t>dodržování zpoplatnění</w:t>
      </w:r>
      <w:r w:rsidR="00286C6E" w:rsidRPr="00FD19FB">
        <w:rPr>
          <w:rFonts w:ascii="Arial" w:hAnsi="Arial" w:cs="Arial"/>
          <w:i w:val="0"/>
          <w:sz w:val="22"/>
          <w:szCs w:val="22"/>
        </w:rPr>
        <w:t xml:space="preserve">, ukládání a vymáhání pokut </w:t>
      </w:r>
    </w:p>
    <w:p w:rsidR="004920C0" w:rsidRPr="004401C1" w:rsidRDefault="004920C0" w:rsidP="004401C1">
      <w:pPr>
        <w:rPr>
          <w:i/>
        </w:rPr>
      </w:pPr>
    </w:p>
    <w:p w:rsidR="00286C6E" w:rsidRPr="00FD19FB" w:rsidRDefault="0093464C" w:rsidP="004401C1">
      <w:pPr>
        <w:pStyle w:val="Nadpis2"/>
        <w:spacing w:before="0" w:after="120"/>
        <w:jc w:val="both"/>
        <w:rPr>
          <w:rFonts w:ascii="Arial" w:hAnsi="Arial" w:cs="Arial"/>
          <w:i w:val="0"/>
          <w:sz w:val="22"/>
          <w:szCs w:val="22"/>
        </w:rPr>
      </w:pPr>
      <w:r>
        <w:rPr>
          <w:rFonts w:ascii="Arial" w:hAnsi="Arial" w:cs="Arial"/>
          <w:i w:val="0"/>
          <w:sz w:val="22"/>
          <w:szCs w:val="22"/>
        </w:rPr>
        <w:t xml:space="preserve">4.1 </w:t>
      </w:r>
      <w:r w:rsidR="00286C6E" w:rsidRPr="00FD19FB">
        <w:rPr>
          <w:rFonts w:ascii="Arial" w:hAnsi="Arial" w:cs="Arial"/>
          <w:i w:val="0"/>
          <w:sz w:val="22"/>
          <w:szCs w:val="22"/>
        </w:rPr>
        <w:t xml:space="preserve">Kontrola dodržování </w:t>
      </w:r>
      <w:r w:rsidR="00D27D70">
        <w:rPr>
          <w:rFonts w:ascii="Arial" w:hAnsi="Arial" w:cs="Arial"/>
          <w:i w:val="0"/>
          <w:sz w:val="22"/>
          <w:szCs w:val="22"/>
        </w:rPr>
        <w:t xml:space="preserve">výkonového </w:t>
      </w:r>
      <w:r w:rsidR="00286C6E" w:rsidRPr="00FD19FB">
        <w:rPr>
          <w:rFonts w:ascii="Arial" w:hAnsi="Arial" w:cs="Arial"/>
          <w:i w:val="0"/>
          <w:sz w:val="22"/>
          <w:szCs w:val="22"/>
        </w:rPr>
        <w:t xml:space="preserve">zpoplatnění  </w:t>
      </w:r>
    </w:p>
    <w:p w:rsidR="00286C6E" w:rsidRDefault="00286C6E" w:rsidP="004401C1">
      <w:pPr>
        <w:jc w:val="both"/>
        <w:rPr>
          <w:rFonts w:ascii="Arial" w:hAnsi="Arial" w:cs="Arial"/>
          <w:sz w:val="22"/>
          <w:szCs w:val="22"/>
        </w:rPr>
      </w:pPr>
      <w:r>
        <w:rPr>
          <w:rFonts w:ascii="Arial" w:hAnsi="Arial" w:cs="Arial"/>
          <w:sz w:val="22"/>
          <w:szCs w:val="22"/>
        </w:rPr>
        <w:t xml:space="preserve">SVZ automaticky generuje případy vozidel podezřelých </w:t>
      </w:r>
      <w:r w:rsidR="007A1976">
        <w:rPr>
          <w:rFonts w:ascii="Arial" w:hAnsi="Arial" w:cs="Arial"/>
          <w:sz w:val="22"/>
          <w:szCs w:val="22"/>
        </w:rPr>
        <w:t>z </w:t>
      </w:r>
      <w:r>
        <w:rPr>
          <w:rFonts w:ascii="Arial" w:hAnsi="Arial" w:cs="Arial"/>
          <w:sz w:val="22"/>
          <w:szCs w:val="22"/>
        </w:rPr>
        <w:t>porušení mýtné povinnosti, které jsou dále ověřovány Centrem manuální validace provozovaným generálním dodavatelem služeb. C</w:t>
      </w:r>
      <w:r w:rsidR="00CA62E6">
        <w:rPr>
          <w:rFonts w:ascii="Arial" w:hAnsi="Arial" w:cs="Arial"/>
          <w:sz w:val="22"/>
          <w:szCs w:val="22"/>
        </w:rPr>
        <w:t>entrum manuální validace</w:t>
      </w:r>
      <w:r>
        <w:rPr>
          <w:rFonts w:ascii="Arial" w:hAnsi="Arial" w:cs="Arial"/>
          <w:sz w:val="22"/>
          <w:szCs w:val="22"/>
        </w:rPr>
        <w:t xml:space="preserve"> </w:t>
      </w:r>
      <w:r w:rsidR="007E3B67">
        <w:rPr>
          <w:rFonts w:ascii="Arial" w:hAnsi="Arial" w:cs="Arial"/>
          <w:sz w:val="22"/>
          <w:szCs w:val="22"/>
        </w:rPr>
        <w:t xml:space="preserve">po ověření </w:t>
      </w:r>
      <w:r>
        <w:rPr>
          <w:rFonts w:ascii="Arial" w:hAnsi="Arial" w:cs="Arial"/>
          <w:sz w:val="22"/>
          <w:szCs w:val="22"/>
        </w:rPr>
        <w:t>označ</w:t>
      </w:r>
      <w:r w:rsidR="00F02F91">
        <w:rPr>
          <w:rFonts w:ascii="Arial" w:hAnsi="Arial" w:cs="Arial"/>
          <w:sz w:val="22"/>
          <w:szCs w:val="22"/>
        </w:rPr>
        <w:t>uje</w:t>
      </w:r>
      <w:r>
        <w:rPr>
          <w:rFonts w:ascii="Arial" w:hAnsi="Arial" w:cs="Arial"/>
          <w:sz w:val="22"/>
          <w:szCs w:val="22"/>
        </w:rPr>
        <w:t xml:space="preserve"> podezřelé </w:t>
      </w:r>
      <w:r w:rsidR="00820D2E">
        <w:rPr>
          <w:rFonts w:ascii="Arial" w:hAnsi="Arial" w:cs="Arial"/>
          <w:sz w:val="22"/>
          <w:szCs w:val="22"/>
        </w:rPr>
        <w:t>případy</w:t>
      </w:r>
      <w:r w:rsidR="007E3B67">
        <w:rPr>
          <w:rFonts w:ascii="Arial" w:hAnsi="Arial" w:cs="Arial"/>
          <w:sz w:val="22"/>
          <w:szCs w:val="22"/>
        </w:rPr>
        <w:t xml:space="preserve"> jako </w:t>
      </w:r>
      <w:r w:rsidR="00F02F91">
        <w:rPr>
          <w:rFonts w:ascii="Arial" w:hAnsi="Arial" w:cs="Arial"/>
          <w:sz w:val="22"/>
          <w:szCs w:val="22"/>
        </w:rPr>
        <w:t>incident</w:t>
      </w:r>
      <w:r w:rsidR="007E3B67">
        <w:rPr>
          <w:rFonts w:ascii="Arial" w:hAnsi="Arial" w:cs="Arial"/>
          <w:sz w:val="22"/>
          <w:szCs w:val="22"/>
        </w:rPr>
        <w:t xml:space="preserve">y </w:t>
      </w:r>
      <w:r w:rsidR="0093464C">
        <w:rPr>
          <w:rFonts w:ascii="Arial" w:hAnsi="Arial" w:cs="Arial"/>
          <w:sz w:val="22"/>
          <w:szCs w:val="22"/>
        </w:rPr>
        <w:t>a </w:t>
      </w:r>
      <w:r w:rsidR="00F02F91">
        <w:rPr>
          <w:rFonts w:ascii="Arial" w:hAnsi="Arial" w:cs="Arial"/>
          <w:sz w:val="22"/>
          <w:szCs w:val="22"/>
        </w:rPr>
        <w:t>zasílá</w:t>
      </w:r>
      <w:r w:rsidR="0093464C">
        <w:rPr>
          <w:rFonts w:ascii="Arial" w:hAnsi="Arial" w:cs="Arial"/>
          <w:sz w:val="22"/>
          <w:szCs w:val="22"/>
        </w:rPr>
        <w:t xml:space="preserve"> je</w:t>
      </w:r>
      <w:r>
        <w:rPr>
          <w:rFonts w:ascii="Arial" w:hAnsi="Arial" w:cs="Arial"/>
          <w:sz w:val="22"/>
          <w:szCs w:val="22"/>
        </w:rPr>
        <w:t xml:space="preserve"> mobilním</w:t>
      </w:r>
      <w:r w:rsidR="00820D2E">
        <w:rPr>
          <w:rFonts w:ascii="Arial" w:hAnsi="Arial" w:cs="Arial"/>
          <w:sz w:val="22"/>
          <w:szCs w:val="22"/>
        </w:rPr>
        <w:t xml:space="preserve"> hlídká</w:t>
      </w:r>
      <w:r>
        <w:rPr>
          <w:rFonts w:ascii="Arial" w:hAnsi="Arial" w:cs="Arial"/>
          <w:sz w:val="22"/>
          <w:szCs w:val="22"/>
        </w:rPr>
        <w:t xml:space="preserve">m </w:t>
      </w:r>
      <w:r w:rsidR="00512E5B">
        <w:rPr>
          <w:rFonts w:ascii="Arial" w:hAnsi="Arial" w:cs="Arial"/>
          <w:sz w:val="22"/>
          <w:szCs w:val="22"/>
        </w:rPr>
        <w:t>C</w:t>
      </w:r>
      <w:r w:rsidR="000630D8">
        <w:rPr>
          <w:rFonts w:ascii="Arial" w:hAnsi="Arial" w:cs="Arial"/>
          <w:sz w:val="22"/>
          <w:szCs w:val="22"/>
        </w:rPr>
        <w:t>elní správy</w:t>
      </w:r>
      <w:r w:rsidR="00512E5B">
        <w:rPr>
          <w:rFonts w:ascii="Arial" w:hAnsi="Arial" w:cs="Arial"/>
          <w:sz w:val="22"/>
          <w:szCs w:val="22"/>
        </w:rPr>
        <w:t xml:space="preserve"> ČR</w:t>
      </w:r>
      <w:r>
        <w:rPr>
          <w:rFonts w:ascii="Arial" w:hAnsi="Arial" w:cs="Arial"/>
          <w:sz w:val="22"/>
          <w:szCs w:val="22"/>
        </w:rPr>
        <w:t xml:space="preserve"> ke kontrole zaplacení mýta. </w:t>
      </w:r>
    </w:p>
    <w:p w:rsidR="004920C0" w:rsidRDefault="004920C0" w:rsidP="004401C1">
      <w:pPr>
        <w:jc w:val="both"/>
        <w:rPr>
          <w:rFonts w:ascii="Arial" w:hAnsi="Arial" w:cs="Arial"/>
          <w:sz w:val="22"/>
          <w:szCs w:val="22"/>
        </w:rPr>
      </w:pPr>
    </w:p>
    <w:p w:rsidR="00522B78" w:rsidRDefault="00522B78" w:rsidP="004401C1">
      <w:pPr>
        <w:jc w:val="both"/>
        <w:rPr>
          <w:rFonts w:ascii="Arial" w:hAnsi="Arial" w:cs="Arial"/>
          <w:sz w:val="22"/>
          <w:szCs w:val="22"/>
        </w:rPr>
      </w:pPr>
      <w:r w:rsidRPr="00462651">
        <w:rPr>
          <w:rFonts w:ascii="Arial" w:hAnsi="Arial" w:cs="Arial"/>
          <w:sz w:val="22"/>
          <w:szCs w:val="22"/>
        </w:rPr>
        <w:t xml:space="preserve">Proti původnímu předpokladu je v SVZ registrován výrazně vyšší počet </w:t>
      </w:r>
      <w:r w:rsidR="00D41146" w:rsidRPr="00462651">
        <w:rPr>
          <w:rFonts w:ascii="Arial" w:hAnsi="Arial" w:cs="Arial"/>
          <w:sz w:val="22"/>
          <w:szCs w:val="22"/>
        </w:rPr>
        <w:t>OBU</w:t>
      </w:r>
      <w:r w:rsidR="006F1F08" w:rsidRPr="00462651">
        <w:rPr>
          <w:rFonts w:ascii="Arial" w:hAnsi="Arial" w:cs="Arial"/>
          <w:sz w:val="22"/>
          <w:szCs w:val="22"/>
        </w:rPr>
        <w:t>. S</w:t>
      </w:r>
      <w:r w:rsidRPr="00462651">
        <w:rPr>
          <w:rFonts w:ascii="Arial" w:hAnsi="Arial" w:cs="Arial"/>
          <w:sz w:val="22"/>
          <w:szCs w:val="22"/>
        </w:rPr>
        <w:t>oučasně</w:t>
      </w:r>
      <w:r w:rsidR="00352F23" w:rsidRPr="00462651">
        <w:rPr>
          <w:rFonts w:ascii="Arial" w:hAnsi="Arial" w:cs="Arial"/>
          <w:sz w:val="22"/>
          <w:szCs w:val="22"/>
        </w:rPr>
        <w:t xml:space="preserve"> od roku 2007</w:t>
      </w:r>
      <w:r w:rsidRPr="00462651">
        <w:rPr>
          <w:rFonts w:ascii="Arial" w:hAnsi="Arial" w:cs="Arial"/>
          <w:sz w:val="22"/>
          <w:szCs w:val="22"/>
        </w:rPr>
        <w:t xml:space="preserve"> došlo k nárůstu zpoplatněných úseků. Průměrný počet pracovníků mobilních hlídek </w:t>
      </w:r>
      <w:r w:rsidR="00512E5B" w:rsidRPr="00462651">
        <w:rPr>
          <w:rFonts w:ascii="Arial" w:hAnsi="Arial" w:cs="Arial"/>
          <w:sz w:val="22"/>
          <w:szCs w:val="22"/>
        </w:rPr>
        <w:t>C</w:t>
      </w:r>
      <w:r w:rsidR="000630D8" w:rsidRPr="00462651">
        <w:rPr>
          <w:rFonts w:ascii="Arial" w:hAnsi="Arial" w:cs="Arial"/>
          <w:sz w:val="22"/>
          <w:szCs w:val="22"/>
        </w:rPr>
        <w:t>elní správy</w:t>
      </w:r>
      <w:r w:rsidR="00512E5B" w:rsidRPr="00462651">
        <w:rPr>
          <w:rFonts w:ascii="Arial" w:hAnsi="Arial" w:cs="Arial"/>
          <w:sz w:val="22"/>
          <w:szCs w:val="22"/>
        </w:rPr>
        <w:t xml:space="preserve"> ČR</w:t>
      </w:r>
      <w:r w:rsidR="000630D8" w:rsidRPr="00462651">
        <w:rPr>
          <w:rFonts w:ascii="Arial" w:hAnsi="Arial" w:cs="Arial"/>
          <w:sz w:val="22"/>
          <w:szCs w:val="22"/>
        </w:rPr>
        <w:t xml:space="preserve"> </w:t>
      </w:r>
      <w:r w:rsidRPr="00462651">
        <w:rPr>
          <w:rFonts w:ascii="Arial" w:hAnsi="Arial" w:cs="Arial"/>
          <w:sz w:val="22"/>
          <w:szCs w:val="22"/>
        </w:rPr>
        <w:t xml:space="preserve">vykonávajících kontrolu naopak poklesl, počet vozidel mobilní kontroly se od roku 2007 nezměnil.  </w:t>
      </w:r>
    </w:p>
    <w:p w:rsidR="004920C0" w:rsidRPr="00462651" w:rsidRDefault="004920C0" w:rsidP="004401C1">
      <w:pPr>
        <w:jc w:val="both"/>
        <w:rPr>
          <w:rFonts w:ascii="Arial" w:hAnsi="Arial" w:cs="Arial"/>
          <w:sz w:val="22"/>
          <w:szCs w:val="22"/>
        </w:rPr>
      </w:pPr>
    </w:p>
    <w:p w:rsidR="009E5682" w:rsidRDefault="00820D2E" w:rsidP="004572E3">
      <w:pPr>
        <w:jc w:val="both"/>
        <w:rPr>
          <w:rFonts w:ascii="Arial" w:hAnsi="Arial" w:cs="Arial"/>
          <w:sz w:val="22"/>
          <w:szCs w:val="22"/>
        </w:rPr>
      </w:pPr>
      <w:r w:rsidRPr="00462651">
        <w:rPr>
          <w:rFonts w:ascii="Arial" w:hAnsi="Arial" w:cs="Arial"/>
          <w:sz w:val="22"/>
          <w:szCs w:val="22"/>
        </w:rPr>
        <w:t>Zatímco p</w:t>
      </w:r>
      <w:r w:rsidR="00286C6E" w:rsidRPr="00462651">
        <w:rPr>
          <w:rFonts w:ascii="Arial" w:hAnsi="Arial" w:cs="Arial"/>
          <w:sz w:val="22"/>
          <w:szCs w:val="22"/>
        </w:rPr>
        <w:t xml:space="preserve">očet </w:t>
      </w:r>
      <w:r w:rsidR="00362030" w:rsidRPr="00462651">
        <w:rPr>
          <w:rFonts w:ascii="Arial" w:hAnsi="Arial" w:cs="Arial"/>
          <w:sz w:val="22"/>
          <w:szCs w:val="22"/>
        </w:rPr>
        <w:t xml:space="preserve">mýtných </w:t>
      </w:r>
      <w:r w:rsidR="00286C6E" w:rsidRPr="00462651">
        <w:rPr>
          <w:rFonts w:ascii="Arial" w:hAnsi="Arial" w:cs="Arial"/>
          <w:sz w:val="22"/>
          <w:szCs w:val="22"/>
        </w:rPr>
        <w:t>transakcí</w:t>
      </w:r>
      <w:r w:rsidR="00FD42AA" w:rsidRPr="00462651">
        <w:rPr>
          <w:rFonts w:ascii="Arial" w:hAnsi="Arial" w:cs="Arial"/>
          <w:sz w:val="22"/>
          <w:szCs w:val="22"/>
        </w:rPr>
        <w:t xml:space="preserve"> mezi roky 2009–</w:t>
      </w:r>
      <w:r w:rsidR="00FD1FBA" w:rsidRPr="00462651">
        <w:rPr>
          <w:rFonts w:ascii="Arial" w:hAnsi="Arial" w:cs="Arial"/>
          <w:sz w:val="22"/>
          <w:szCs w:val="22"/>
        </w:rPr>
        <w:t>2011</w:t>
      </w:r>
      <w:r w:rsidR="00286C6E" w:rsidRPr="00462651">
        <w:rPr>
          <w:rFonts w:ascii="Arial" w:hAnsi="Arial" w:cs="Arial"/>
          <w:sz w:val="22"/>
          <w:szCs w:val="22"/>
        </w:rPr>
        <w:t xml:space="preserve"> i </w:t>
      </w:r>
      <w:r w:rsidR="007E3B67" w:rsidRPr="00462651">
        <w:rPr>
          <w:rFonts w:ascii="Arial" w:hAnsi="Arial" w:cs="Arial"/>
          <w:sz w:val="22"/>
          <w:szCs w:val="22"/>
        </w:rPr>
        <w:t xml:space="preserve">počet </w:t>
      </w:r>
      <w:r w:rsidR="0093464C" w:rsidRPr="00462651">
        <w:rPr>
          <w:rFonts w:ascii="Arial" w:hAnsi="Arial" w:cs="Arial"/>
          <w:sz w:val="22"/>
          <w:szCs w:val="22"/>
        </w:rPr>
        <w:t xml:space="preserve">incidentů </w:t>
      </w:r>
      <w:r w:rsidR="002D4CF6" w:rsidRPr="00462651">
        <w:rPr>
          <w:rFonts w:ascii="Arial" w:hAnsi="Arial" w:cs="Arial"/>
          <w:sz w:val="22"/>
          <w:szCs w:val="22"/>
        </w:rPr>
        <w:t>ověřených</w:t>
      </w:r>
      <w:r w:rsidR="007E3B67" w:rsidRPr="00462651">
        <w:rPr>
          <w:rFonts w:ascii="Arial" w:hAnsi="Arial" w:cs="Arial"/>
          <w:sz w:val="22"/>
          <w:szCs w:val="22"/>
        </w:rPr>
        <w:t xml:space="preserve"> </w:t>
      </w:r>
      <w:r w:rsidR="00CA62E6" w:rsidRPr="00462651">
        <w:rPr>
          <w:rFonts w:ascii="Arial" w:hAnsi="Arial" w:cs="Arial"/>
          <w:sz w:val="22"/>
          <w:szCs w:val="22"/>
        </w:rPr>
        <w:t xml:space="preserve">Centrem manuální validace </w:t>
      </w:r>
      <w:r w:rsidR="00286C6E" w:rsidRPr="00462651">
        <w:rPr>
          <w:rFonts w:ascii="Arial" w:hAnsi="Arial" w:cs="Arial"/>
          <w:sz w:val="22"/>
          <w:szCs w:val="22"/>
        </w:rPr>
        <w:t>meziročně významně stoupal, objem</w:t>
      </w:r>
      <w:r w:rsidR="007E3B67" w:rsidRPr="00462651">
        <w:rPr>
          <w:rFonts w:ascii="Arial" w:hAnsi="Arial" w:cs="Arial"/>
          <w:sz w:val="22"/>
          <w:szCs w:val="22"/>
        </w:rPr>
        <w:t xml:space="preserve"> incidentů řešených</w:t>
      </w:r>
      <w:r w:rsidR="00286C6E" w:rsidRPr="00462651">
        <w:rPr>
          <w:rFonts w:ascii="Arial" w:hAnsi="Arial" w:cs="Arial"/>
          <w:sz w:val="22"/>
          <w:szCs w:val="22"/>
        </w:rPr>
        <w:t xml:space="preserve"> mobilními hlídkami </w:t>
      </w:r>
      <w:r w:rsidR="00512E5B" w:rsidRPr="00462651">
        <w:rPr>
          <w:rFonts w:ascii="Arial" w:hAnsi="Arial" w:cs="Arial"/>
          <w:sz w:val="22"/>
          <w:szCs w:val="22"/>
        </w:rPr>
        <w:t>C</w:t>
      </w:r>
      <w:r w:rsidR="000630D8" w:rsidRPr="00462651">
        <w:rPr>
          <w:rFonts w:ascii="Arial" w:hAnsi="Arial" w:cs="Arial"/>
          <w:sz w:val="22"/>
          <w:szCs w:val="22"/>
        </w:rPr>
        <w:t>elní správy</w:t>
      </w:r>
      <w:r w:rsidR="00512E5B" w:rsidRPr="00462651">
        <w:rPr>
          <w:rFonts w:ascii="Arial" w:hAnsi="Arial" w:cs="Arial"/>
          <w:sz w:val="22"/>
          <w:szCs w:val="22"/>
        </w:rPr>
        <w:t xml:space="preserve"> ČR</w:t>
      </w:r>
      <w:r w:rsidR="00286C6E" w:rsidRPr="00462651">
        <w:rPr>
          <w:rFonts w:ascii="Arial" w:hAnsi="Arial" w:cs="Arial"/>
          <w:sz w:val="22"/>
          <w:szCs w:val="22"/>
        </w:rPr>
        <w:t xml:space="preserve"> </w:t>
      </w:r>
      <w:r w:rsidR="003857D4" w:rsidRPr="00462651">
        <w:rPr>
          <w:rFonts w:ascii="Arial" w:hAnsi="Arial" w:cs="Arial"/>
          <w:sz w:val="22"/>
          <w:szCs w:val="22"/>
        </w:rPr>
        <w:t>rostl méně dynamicky</w:t>
      </w:r>
      <w:r w:rsidR="0093464C">
        <w:rPr>
          <w:rFonts w:ascii="Arial" w:hAnsi="Arial" w:cs="Arial"/>
          <w:sz w:val="22"/>
          <w:szCs w:val="22"/>
        </w:rPr>
        <w:t>,</w:t>
      </w:r>
      <w:r w:rsidR="0099670A">
        <w:rPr>
          <w:rFonts w:ascii="Arial" w:hAnsi="Arial" w:cs="Arial"/>
          <w:sz w:val="22"/>
          <w:szCs w:val="22"/>
        </w:rPr>
        <w:t xml:space="preserve"> viz tabulka č. 3</w:t>
      </w:r>
      <w:r w:rsidR="0093464C">
        <w:rPr>
          <w:rFonts w:ascii="Arial" w:hAnsi="Arial" w:cs="Arial"/>
          <w:sz w:val="22"/>
          <w:szCs w:val="22"/>
        </w:rPr>
        <w:t>,</w:t>
      </w:r>
      <w:r w:rsidR="00FD1FBA" w:rsidRPr="00462651">
        <w:rPr>
          <w:rFonts w:ascii="Arial" w:hAnsi="Arial" w:cs="Arial"/>
          <w:sz w:val="22"/>
          <w:szCs w:val="22"/>
        </w:rPr>
        <w:t xml:space="preserve"> </w:t>
      </w:r>
      <w:r w:rsidR="0093464C">
        <w:rPr>
          <w:rFonts w:ascii="Arial" w:hAnsi="Arial" w:cs="Arial"/>
          <w:sz w:val="22"/>
          <w:szCs w:val="22"/>
        </w:rPr>
        <w:t>a v </w:t>
      </w:r>
      <w:r w:rsidR="003857D4" w:rsidRPr="00462651">
        <w:rPr>
          <w:rFonts w:ascii="Arial" w:hAnsi="Arial" w:cs="Arial"/>
          <w:sz w:val="22"/>
          <w:szCs w:val="22"/>
        </w:rPr>
        <w:t xml:space="preserve">procentuálním vyjádření </w:t>
      </w:r>
      <w:r w:rsidR="0093464C">
        <w:rPr>
          <w:rFonts w:ascii="Arial" w:hAnsi="Arial" w:cs="Arial"/>
          <w:sz w:val="22"/>
          <w:szCs w:val="22"/>
        </w:rPr>
        <w:t xml:space="preserve">ve vztahu </w:t>
      </w:r>
      <w:r w:rsidR="003857D4" w:rsidRPr="00462651">
        <w:rPr>
          <w:rFonts w:ascii="Arial" w:hAnsi="Arial" w:cs="Arial"/>
          <w:sz w:val="22"/>
          <w:szCs w:val="22"/>
        </w:rPr>
        <w:t xml:space="preserve">k počtu ověřených incidentů </w:t>
      </w:r>
      <w:r w:rsidR="0093464C">
        <w:rPr>
          <w:rFonts w:ascii="Arial" w:hAnsi="Arial" w:cs="Arial"/>
          <w:sz w:val="22"/>
          <w:szCs w:val="22"/>
        </w:rPr>
        <w:t xml:space="preserve">dokonce </w:t>
      </w:r>
      <w:r w:rsidR="003857D4" w:rsidRPr="00462651">
        <w:rPr>
          <w:rFonts w:ascii="Arial" w:hAnsi="Arial" w:cs="Arial"/>
          <w:sz w:val="22"/>
          <w:szCs w:val="22"/>
        </w:rPr>
        <w:t>klesal (</w:t>
      </w:r>
      <w:r w:rsidR="00286C6E" w:rsidRPr="00462651">
        <w:rPr>
          <w:rFonts w:ascii="Arial" w:hAnsi="Arial" w:cs="Arial"/>
          <w:sz w:val="22"/>
          <w:szCs w:val="22"/>
        </w:rPr>
        <w:t xml:space="preserve">24 % v roce 2009, 18 % v roce 2011). Mobilní hlídky </w:t>
      </w:r>
      <w:r w:rsidR="00512E5B" w:rsidRPr="00462651">
        <w:rPr>
          <w:rFonts w:ascii="Arial" w:hAnsi="Arial" w:cs="Arial"/>
          <w:sz w:val="22"/>
          <w:szCs w:val="22"/>
        </w:rPr>
        <w:t>C</w:t>
      </w:r>
      <w:r w:rsidR="000630D8" w:rsidRPr="00462651">
        <w:rPr>
          <w:rFonts w:ascii="Arial" w:hAnsi="Arial" w:cs="Arial"/>
          <w:sz w:val="22"/>
          <w:szCs w:val="22"/>
        </w:rPr>
        <w:t>elní správy</w:t>
      </w:r>
      <w:r w:rsidR="00512E5B" w:rsidRPr="00462651">
        <w:rPr>
          <w:rFonts w:ascii="Arial" w:hAnsi="Arial" w:cs="Arial"/>
          <w:sz w:val="22"/>
          <w:szCs w:val="22"/>
        </w:rPr>
        <w:t xml:space="preserve"> ČR</w:t>
      </w:r>
      <w:r w:rsidR="000630D8" w:rsidRPr="00462651">
        <w:rPr>
          <w:rFonts w:ascii="Arial" w:hAnsi="Arial" w:cs="Arial"/>
          <w:sz w:val="22"/>
          <w:szCs w:val="22"/>
        </w:rPr>
        <w:t xml:space="preserve"> </w:t>
      </w:r>
      <w:r w:rsidR="00FD42AA" w:rsidRPr="00462651">
        <w:rPr>
          <w:rFonts w:ascii="Arial" w:hAnsi="Arial" w:cs="Arial"/>
          <w:sz w:val="22"/>
          <w:szCs w:val="22"/>
        </w:rPr>
        <w:t>převážnou většinu z nich (89 </w:t>
      </w:r>
      <w:r w:rsidR="00286C6E" w:rsidRPr="00462651">
        <w:rPr>
          <w:rFonts w:ascii="Arial" w:hAnsi="Arial" w:cs="Arial"/>
          <w:sz w:val="22"/>
          <w:szCs w:val="22"/>
        </w:rPr>
        <w:t xml:space="preserve">% až 94 %) uzavřely jako přestupek. </w:t>
      </w:r>
    </w:p>
    <w:p w:rsidR="004572E3" w:rsidRDefault="004572E3" w:rsidP="004572E3">
      <w:pPr>
        <w:jc w:val="both"/>
        <w:rPr>
          <w:rFonts w:ascii="Arial" w:hAnsi="Arial" w:cs="Arial"/>
          <w:sz w:val="22"/>
          <w:szCs w:val="22"/>
        </w:rPr>
      </w:pPr>
    </w:p>
    <w:p w:rsidR="00D27D70" w:rsidRDefault="00D27D70" w:rsidP="005270E3">
      <w:pPr>
        <w:jc w:val="both"/>
        <w:rPr>
          <w:rFonts w:ascii="Arial" w:hAnsi="Arial" w:cs="Arial"/>
          <w:b/>
          <w:sz w:val="22"/>
          <w:szCs w:val="22"/>
        </w:rPr>
      </w:pPr>
      <w:r w:rsidRPr="005270E3">
        <w:rPr>
          <w:rFonts w:ascii="Arial" w:hAnsi="Arial" w:cs="Arial"/>
          <w:b/>
          <w:sz w:val="22"/>
          <w:szCs w:val="22"/>
        </w:rPr>
        <w:t xml:space="preserve">Tabulka č. 3 </w:t>
      </w:r>
      <w:r w:rsidR="0099670A" w:rsidRPr="005270E3">
        <w:rPr>
          <w:rFonts w:ascii="Arial" w:hAnsi="Arial" w:cs="Arial"/>
          <w:b/>
          <w:sz w:val="22"/>
          <w:szCs w:val="22"/>
        </w:rPr>
        <w:t>–</w:t>
      </w:r>
      <w:r w:rsidRPr="005270E3">
        <w:rPr>
          <w:rFonts w:ascii="Arial" w:hAnsi="Arial" w:cs="Arial"/>
          <w:b/>
          <w:sz w:val="22"/>
          <w:szCs w:val="22"/>
        </w:rPr>
        <w:t xml:space="preserve"> </w:t>
      </w:r>
      <w:r w:rsidR="0099670A" w:rsidRPr="005270E3">
        <w:rPr>
          <w:rFonts w:ascii="Arial" w:hAnsi="Arial" w:cs="Arial"/>
          <w:b/>
          <w:sz w:val="22"/>
          <w:szCs w:val="22"/>
        </w:rPr>
        <w:t>Kontrolní činnost mobilních hlídek CS</w:t>
      </w:r>
      <w:r w:rsidR="0093464C">
        <w:rPr>
          <w:rFonts w:ascii="Arial" w:hAnsi="Arial" w:cs="Arial"/>
          <w:b/>
          <w:sz w:val="22"/>
          <w:szCs w:val="22"/>
        </w:rPr>
        <w:t>*</w:t>
      </w:r>
    </w:p>
    <w:tbl>
      <w:tblPr>
        <w:tblStyle w:val="Mkatabulky"/>
        <w:tblW w:w="0" w:type="auto"/>
        <w:tblLook w:val="04A0" w:firstRow="1" w:lastRow="0" w:firstColumn="1" w:lastColumn="0" w:noHBand="0" w:noVBand="1"/>
      </w:tblPr>
      <w:tblGrid>
        <w:gridCol w:w="3510"/>
        <w:gridCol w:w="1899"/>
        <w:gridCol w:w="1900"/>
        <w:gridCol w:w="1900"/>
      </w:tblGrid>
      <w:tr w:rsidR="005270E3" w:rsidTr="00C11A46">
        <w:tc>
          <w:tcPr>
            <w:tcW w:w="3510" w:type="dxa"/>
          </w:tcPr>
          <w:p w:rsidR="005270E3" w:rsidRPr="005270E3" w:rsidRDefault="005270E3" w:rsidP="005270E3">
            <w:pPr>
              <w:jc w:val="both"/>
              <w:rPr>
                <w:rFonts w:ascii="Arial" w:hAnsi="Arial" w:cs="Arial"/>
                <w:b/>
                <w:sz w:val="18"/>
                <w:szCs w:val="18"/>
              </w:rPr>
            </w:pPr>
          </w:p>
        </w:tc>
        <w:tc>
          <w:tcPr>
            <w:tcW w:w="1899" w:type="dxa"/>
          </w:tcPr>
          <w:p w:rsidR="005270E3" w:rsidRPr="005270E3" w:rsidRDefault="005270E3" w:rsidP="005270E3">
            <w:pPr>
              <w:jc w:val="center"/>
              <w:rPr>
                <w:rFonts w:ascii="Arial" w:hAnsi="Arial" w:cs="Arial"/>
                <w:b/>
                <w:sz w:val="18"/>
                <w:szCs w:val="18"/>
              </w:rPr>
            </w:pPr>
            <w:r w:rsidRPr="005270E3">
              <w:rPr>
                <w:rFonts w:ascii="Arial" w:hAnsi="Arial" w:cs="Arial"/>
                <w:b/>
                <w:sz w:val="18"/>
                <w:szCs w:val="18"/>
              </w:rPr>
              <w:t>2009</w:t>
            </w:r>
          </w:p>
        </w:tc>
        <w:tc>
          <w:tcPr>
            <w:tcW w:w="1900" w:type="dxa"/>
          </w:tcPr>
          <w:p w:rsidR="005270E3" w:rsidRPr="005270E3" w:rsidRDefault="0093464C" w:rsidP="0093464C">
            <w:pPr>
              <w:jc w:val="center"/>
              <w:rPr>
                <w:rFonts w:ascii="Arial" w:hAnsi="Arial" w:cs="Arial"/>
                <w:b/>
                <w:sz w:val="18"/>
                <w:szCs w:val="18"/>
              </w:rPr>
            </w:pPr>
            <w:r>
              <w:rPr>
                <w:rFonts w:ascii="Arial" w:hAnsi="Arial" w:cs="Arial"/>
                <w:b/>
                <w:sz w:val="18"/>
                <w:szCs w:val="18"/>
              </w:rPr>
              <w:t>2010</w:t>
            </w:r>
          </w:p>
        </w:tc>
        <w:tc>
          <w:tcPr>
            <w:tcW w:w="1900" w:type="dxa"/>
          </w:tcPr>
          <w:p w:rsidR="005270E3" w:rsidRPr="005270E3" w:rsidRDefault="0093464C" w:rsidP="0093464C">
            <w:pPr>
              <w:jc w:val="center"/>
              <w:rPr>
                <w:rFonts w:ascii="Arial" w:hAnsi="Arial" w:cs="Arial"/>
                <w:b/>
                <w:sz w:val="18"/>
                <w:szCs w:val="18"/>
              </w:rPr>
            </w:pPr>
            <w:r>
              <w:rPr>
                <w:rFonts w:ascii="Arial" w:hAnsi="Arial" w:cs="Arial"/>
                <w:b/>
                <w:sz w:val="18"/>
                <w:szCs w:val="18"/>
              </w:rPr>
              <w:t>2011</w:t>
            </w:r>
          </w:p>
        </w:tc>
      </w:tr>
      <w:tr w:rsidR="005270E3" w:rsidTr="004401C1">
        <w:tc>
          <w:tcPr>
            <w:tcW w:w="3510" w:type="dxa"/>
          </w:tcPr>
          <w:p w:rsidR="005270E3" w:rsidRPr="005270E3" w:rsidRDefault="005270E3" w:rsidP="005270E3">
            <w:pPr>
              <w:rPr>
                <w:rFonts w:ascii="Arial" w:hAnsi="Arial" w:cs="Arial"/>
                <w:b/>
                <w:sz w:val="18"/>
                <w:szCs w:val="18"/>
              </w:rPr>
            </w:pPr>
            <w:r w:rsidRPr="005270E3">
              <w:rPr>
                <w:rFonts w:ascii="Arial" w:hAnsi="Arial" w:cs="Arial"/>
                <w:b/>
                <w:sz w:val="18"/>
                <w:szCs w:val="18"/>
              </w:rPr>
              <w:t>Celkový počet mýtných transakcí</w:t>
            </w:r>
          </w:p>
        </w:tc>
        <w:tc>
          <w:tcPr>
            <w:tcW w:w="1899" w:type="dxa"/>
            <w:vAlign w:val="center"/>
          </w:tcPr>
          <w:p w:rsidR="005270E3" w:rsidRPr="00C11A46" w:rsidRDefault="005270E3" w:rsidP="0093464C">
            <w:pPr>
              <w:ind w:right="231"/>
              <w:jc w:val="right"/>
              <w:rPr>
                <w:rFonts w:ascii="Arial" w:hAnsi="Arial" w:cs="Arial"/>
                <w:sz w:val="18"/>
                <w:szCs w:val="18"/>
              </w:rPr>
            </w:pPr>
            <w:r w:rsidRPr="00C11A46">
              <w:rPr>
                <w:rFonts w:ascii="Arial" w:hAnsi="Arial" w:cs="Arial"/>
                <w:sz w:val="18"/>
                <w:szCs w:val="18"/>
              </w:rPr>
              <w:t>239 754 251</w:t>
            </w:r>
          </w:p>
        </w:tc>
        <w:tc>
          <w:tcPr>
            <w:tcW w:w="1900" w:type="dxa"/>
            <w:vAlign w:val="center"/>
          </w:tcPr>
          <w:p w:rsidR="005270E3" w:rsidRPr="00C11A46" w:rsidRDefault="005270E3" w:rsidP="00317441">
            <w:pPr>
              <w:ind w:right="231"/>
              <w:jc w:val="right"/>
              <w:rPr>
                <w:rFonts w:ascii="Arial" w:hAnsi="Arial" w:cs="Arial"/>
                <w:sz w:val="18"/>
                <w:szCs w:val="18"/>
              </w:rPr>
            </w:pPr>
            <w:r w:rsidRPr="00C11A46">
              <w:rPr>
                <w:rFonts w:ascii="Arial" w:hAnsi="Arial" w:cs="Arial"/>
                <w:sz w:val="18"/>
                <w:szCs w:val="18"/>
              </w:rPr>
              <w:t>320 436 538</w:t>
            </w:r>
          </w:p>
        </w:tc>
        <w:tc>
          <w:tcPr>
            <w:tcW w:w="1900" w:type="dxa"/>
            <w:vAlign w:val="center"/>
          </w:tcPr>
          <w:p w:rsidR="005270E3" w:rsidRPr="00C11A46" w:rsidRDefault="005270E3">
            <w:pPr>
              <w:ind w:right="231"/>
              <w:jc w:val="right"/>
              <w:rPr>
                <w:rFonts w:ascii="Arial" w:hAnsi="Arial" w:cs="Arial"/>
                <w:sz w:val="18"/>
                <w:szCs w:val="18"/>
              </w:rPr>
            </w:pPr>
            <w:r w:rsidRPr="00C11A46">
              <w:rPr>
                <w:rFonts w:ascii="Arial" w:hAnsi="Arial" w:cs="Arial"/>
                <w:sz w:val="18"/>
                <w:szCs w:val="18"/>
              </w:rPr>
              <w:t>351 756 313</w:t>
            </w:r>
          </w:p>
        </w:tc>
      </w:tr>
      <w:tr w:rsidR="005270E3" w:rsidTr="004401C1">
        <w:tc>
          <w:tcPr>
            <w:tcW w:w="3510" w:type="dxa"/>
          </w:tcPr>
          <w:p w:rsidR="005270E3" w:rsidRPr="005270E3" w:rsidRDefault="005270E3" w:rsidP="0093464C">
            <w:pPr>
              <w:rPr>
                <w:rFonts w:ascii="Arial" w:hAnsi="Arial" w:cs="Arial"/>
                <w:b/>
                <w:sz w:val="18"/>
                <w:szCs w:val="18"/>
              </w:rPr>
            </w:pPr>
            <w:r w:rsidRPr="005270E3">
              <w:rPr>
                <w:rFonts w:ascii="Arial" w:hAnsi="Arial" w:cs="Arial"/>
                <w:b/>
                <w:sz w:val="18"/>
                <w:szCs w:val="18"/>
              </w:rPr>
              <w:t xml:space="preserve">Verifikováno </w:t>
            </w:r>
            <w:r w:rsidR="0093464C">
              <w:rPr>
                <w:rFonts w:ascii="Arial" w:hAnsi="Arial" w:cs="Arial"/>
                <w:b/>
                <w:sz w:val="18"/>
                <w:szCs w:val="18"/>
              </w:rPr>
              <w:t>Centrem manuální validace</w:t>
            </w:r>
          </w:p>
        </w:tc>
        <w:tc>
          <w:tcPr>
            <w:tcW w:w="1899" w:type="dxa"/>
            <w:vAlign w:val="center"/>
          </w:tcPr>
          <w:p w:rsidR="005270E3" w:rsidRPr="00C11A46" w:rsidRDefault="005270E3" w:rsidP="0093464C">
            <w:pPr>
              <w:ind w:right="231"/>
              <w:jc w:val="right"/>
              <w:rPr>
                <w:rFonts w:ascii="Arial" w:hAnsi="Arial" w:cs="Arial"/>
                <w:sz w:val="18"/>
                <w:szCs w:val="18"/>
              </w:rPr>
            </w:pPr>
            <w:r w:rsidRPr="00C11A46">
              <w:rPr>
                <w:rFonts w:ascii="Arial" w:hAnsi="Arial" w:cs="Arial"/>
                <w:sz w:val="18"/>
                <w:szCs w:val="18"/>
              </w:rPr>
              <w:t>1 093 186</w:t>
            </w:r>
          </w:p>
        </w:tc>
        <w:tc>
          <w:tcPr>
            <w:tcW w:w="1900" w:type="dxa"/>
            <w:vAlign w:val="center"/>
          </w:tcPr>
          <w:p w:rsidR="005270E3" w:rsidRPr="00C11A46" w:rsidRDefault="005270E3" w:rsidP="00317441">
            <w:pPr>
              <w:ind w:right="231"/>
              <w:jc w:val="right"/>
              <w:rPr>
                <w:rFonts w:ascii="Arial" w:hAnsi="Arial" w:cs="Arial"/>
                <w:sz w:val="18"/>
                <w:szCs w:val="18"/>
              </w:rPr>
            </w:pPr>
            <w:r w:rsidRPr="00C11A46">
              <w:rPr>
                <w:rFonts w:ascii="Arial" w:hAnsi="Arial" w:cs="Arial"/>
                <w:sz w:val="18"/>
                <w:szCs w:val="18"/>
              </w:rPr>
              <w:t>1 337 983</w:t>
            </w:r>
          </w:p>
        </w:tc>
        <w:tc>
          <w:tcPr>
            <w:tcW w:w="1900" w:type="dxa"/>
            <w:vAlign w:val="center"/>
          </w:tcPr>
          <w:p w:rsidR="005270E3" w:rsidRPr="00C11A46" w:rsidRDefault="005270E3">
            <w:pPr>
              <w:ind w:right="231"/>
              <w:jc w:val="right"/>
              <w:rPr>
                <w:rFonts w:ascii="Arial" w:hAnsi="Arial" w:cs="Arial"/>
                <w:sz w:val="18"/>
                <w:szCs w:val="18"/>
              </w:rPr>
            </w:pPr>
            <w:r w:rsidRPr="00C11A46">
              <w:rPr>
                <w:rFonts w:ascii="Arial" w:hAnsi="Arial" w:cs="Arial"/>
                <w:sz w:val="18"/>
                <w:szCs w:val="18"/>
              </w:rPr>
              <w:t>1 837 281</w:t>
            </w:r>
          </w:p>
        </w:tc>
      </w:tr>
      <w:tr w:rsidR="005270E3" w:rsidTr="004401C1">
        <w:tc>
          <w:tcPr>
            <w:tcW w:w="3510" w:type="dxa"/>
          </w:tcPr>
          <w:p w:rsidR="005270E3" w:rsidRPr="005270E3" w:rsidRDefault="005270E3" w:rsidP="008D5070">
            <w:pPr>
              <w:ind w:right="-108"/>
              <w:rPr>
                <w:rFonts w:ascii="Arial" w:hAnsi="Arial" w:cs="Arial"/>
                <w:b/>
                <w:sz w:val="18"/>
                <w:szCs w:val="18"/>
              </w:rPr>
            </w:pPr>
            <w:r w:rsidRPr="005270E3">
              <w:rPr>
                <w:rFonts w:ascii="Arial" w:hAnsi="Arial" w:cs="Arial"/>
                <w:b/>
                <w:sz w:val="18"/>
                <w:szCs w:val="18"/>
              </w:rPr>
              <w:t>Zkontrolováno mobilními hlídkami CS</w:t>
            </w:r>
          </w:p>
        </w:tc>
        <w:tc>
          <w:tcPr>
            <w:tcW w:w="1899" w:type="dxa"/>
            <w:vAlign w:val="center"/>
          </w:tcPr>
          <w:p w:rsidR="005270E3" w:rsidRPr="00C11A46" w:rsidRDefault="005270E3" w:rsidP="0093464C">
            <w:pPr>
              <w:ind w:right="231"/>
              <w:jc w:val="right"/>
              <w:rPr>
                <w:rFonts w:ascii="Arial" w:hAnsi="Arial" w:cs="Arial"/>
                <w:sz w:val="18"/>
                <w:szCs w:val="18"/>
              </w:rPr>
            </w:pPr>
            <w:r w:rsidRPr="00C11A46">
              <w:rPr>
                <w:rFonts w:ascii="Arial" w:hAnsi="Arial" w:cs="Arial"/>
                <w:sz w:val="18"/>
                <w:szCs w:val="18"/>
              </w:rPr>
              <w:t>258 312</w:t>
            </w:r>
          </w:p>
        </w:tc>
        <w:tc>
          <w:tcPr>
            <w:tcW w:w="1900" w:type="dxa"/>
            <w:vAlign w:val="center"/>
          </w:tcPr>
          <w:p w:rsidR="005270E3" w:rsidRPr="00C11A46" w:rsidRDefault="005270E3" w:rsidP="00317441">
            <w:pPr>
              <w:ind w:right="231"/>
              <w:jc w:val="right"/>
              <w:rPr>
                <w:rFonts w:ascii="Arial" w:hAnsi="Arial" w:cs="Arial"/>
                <w:sz w:val="18"/>
                <w:szCs w:val="18"/>
              </w:rPr>
            </w:pPr>
            <w:r w:rsidRPr="00C11A46">
              <w:rPr>
                <w:rFonts w:ascii="Arial" w:hAnsi="Arial" w:cs="Arial"/>
                <w:sz w:val="18"/>
                <w:szCs w:val="18"/>
              </w:rPr>
              <w:t>301 754</w:t>
            </w:r>
          </w:p>
        </w:tc>
        <w:tc>
          <w:tcPr>
            <w:tcW w:w="1900" w:type="dxa"/>
            <w:vAlign w:val="center"/>
          </w:tcPr>
          <w:p w:rsidR="005270E3" w:rsidRPr="00C11A46" w:rsidRDefault="005270E3">
            <w:pPr>
              <w:ind w:right="231"/>
              <w:jc w:val="right"/>
              <w:rPr>
                <w:rFonts w:ascii="Arial" w:hAnsi="Arial" w:cs="Arial"/>
                <w:sz w:val="18"/>
                <w:szCs w:val="18"/>
              </w:rPr>
            </w:pPr>
            <w:r w:rsidRPr="00C11A46">
              <w:rPr>
                <w:rFonts w:ascii="Arial" w:hAnsi="Arial" w:cs="Arial"/>
                <w:sz w:val="18"/>
                <w:szCs w:val="18"/>
              </w:rPr>
              <w:t>330 053</w:t>
            </w:r>
          </w:p>
        </w:tc>
      </w:tr>
    </w:tbl>
    <w:p w:rsidR="00D27D70" w:rsidRDefault="00AD4D1E" w:rsidP="004572E3">
      <w:pPr>
        <w:jc w:val="both"/>
        <w:rPr>
          <w:rFonts w:ascii="Arial" w:hAnsi="Arial" w:cs="Arial"/>
          <w:sz w:val="18"/>
          <w:szCs w:val="18"/>
        </w:rPr>
      </w:pPr>
      <w:bookmarkStart w:id="2" w:name="_MON_1427528768"/>
      <w:bookmarkStart w:id="3" w:name="_MON_1427528815"/>
      <w:bookmarkStart w:id="4" w:name="_MON_1427528852"/>
      <w:bookmarkStart w:id="5" w:name="_MON_1427528856"/>
      <w:bookmarkStart w:id="6" w:name="_MON_1427528339"/>
      <w:bookmarkEnd w:id="2"/>
      <w:bookmarkEnd w:id="3"/>
      <w:bookmarkEnd w:id="4"/>
      <w:bookmarkEnd w:id="5"/>
      <w:bookmarkEnd w:id="6"/>
      <w:r w:rsidRPr="004572E3">
        <w:rPr>
          <w:rFonts w:ascii="Arial" w:hAnsi="Arial" w:cs="Arial"/>
          <w:b/>
          <w:sz w:val="18"/>
          <w:szCs w:val="18"/>
        </w:rPr>
        <w:t>Zdroj:</w:t>
      </w:r>
      <w:r>
        <w:rPr>
          <w:rFonts w:ascii="Arial" w:hAnsi="Arial" w:cs="Arial"/>
          <w:sz w:val="18"/>
          <w:szCs w:val="18"/>
        </w:rPr>
        <w:t xml:space="preserve"> ŘSD</w:t>
      </w:r>
      <w:r w:rsidR="0093464C">
        <w:rPr>
          <w:rFonts w:ascii="Arial" w:hAnsi="Arial" w:cs="Arial"/>
          <w:sz w:val="18"/>
          <w:szCs w:val="18"/>
        </w:rPr>
        <w:t>.</w:t>
      </w:r>
    </w:p>
    <w:p w:rsidR="004572E3" w:rsidRDefault="0093464C" w:rsidP="004401C1">
      <w:pPr>
        <w:tabs>
          <w:tab w:val="left" w:pos="142"/>
        </w:tabs>
        <w:jc w:val="both"/>
        <w:rPr>
          <w:rFonts w:ascii="Arial" w:hAnsi="Arial" w:cs="Arial"/>
          <w:sz w:val="18"/>
          <w:szCs w:val="18"/>
        </w:rPr>
      </w:pPr>
      <w:r>
        <w:rPr>
          <w:rFonts w:ascii="Arial" w:hAnsi="Arial" w:cs="Arial"/>
          <w:sz w:val="18"/>
          <w:szCs w:val="18"/>
        </w:rPr>
        <w:t>*</w:t>
      </w:r>
      <w:r>
        <w:rPr>
          <w:rFonts w:ascii="Arial" w:hAnsi="Arial" w:cs="Arial"/>
          <w:sz w:val="18"/>
          <w:szCs w:val="18"/>
        </w:rPr>
        <w:tab/>
        <w:t>CS = Celní správa ČR.</w:t>
      </w:r>
    </w:p>
    <w:p w:rsidR="0093464C" w:rsidRPr="0093464C" w:rsidRDefault="0093464C" w:rsidP="004401C1">
      <w:pPr>
        <w:tabs>
          <w:tab w:val="left" w:pos="284"/>
        </w:tabs>
        <w:jc w:val="both"/>
        <w:rPr>
          <w:rFonts w:ascii="Arial" w:hAnsi="Arial" w:cs="Arial"/>
          <w:sz w:val="22"/>
          <w:szCs w:val="22"/>
        </w:rPr>
      </w:pPr>
    </w:p>
    <w:p w:rsidR="00286C6E" w:rsidRPr="00C11A46" w:rsidRDefault="00286C6E">
      <w:pPr>
        <w:jc w:val="both"/>
        <w:rPr>
          <w:rFonts w:ascii="Arial" w:hAnsi="Arial" w:cs="Arial"/>
          <w:b/>
          <w:sz w:val="22"/>
          <w:szCs w:val="22"/>
        </w:rPr>
      </w:pPr>
      <w:r w:rsidRPr="00C11A46">
        <w:rPr>
          <w:rFonts w:ascii="Arial" w:hAnsi="Arial" w:cs="Arial"/>
          <w:b/>
          <w:sz w:val="22"/>
          <w:szCs w:val="22"/>
        </w:rPr>
        <w:t>Tabulka č.</w:t>
      </w:r>
      <w:r w:rsidR="00D84DFC" w:rsidRPr="00C11A46">
        <w:rPr>
          <w:rFonts w:ascii="Arial" w:hAnsi="Arial" w:cs="Arial"/>
          <w:b/>
          <w:sz w:val="22"/>
          <w:szCs w:val="22"/>
        </w:rPr>
        <w:t xml:space="preserve"> </w:t>
      </w:r>
      <w:r w:rsidR="0099670A" w:rsidRPr="00C11A46">
        <w:rPr>
          <w:rFonts w:ascii="Arial" w:hAnsi="Arial" w:cs="Arial"/>
          <w:b/>
          <w:sz w:val="22"/>
          <w:szCs w:val="22"/>
        </w:rPr>
        <w:t>4</w:t>
      </w:r>
      <w:r w:rsidR="000C4826" w:rsidRPr="00C11A46">
        <w:rPr>
          <w:rFonts w:ascii="Arial" w:hAnsi="Arial" w:cs="Arial"/>
          <w:b/>
          <w:sz w:val="22"/>
          <w:szCs w:val="22"/>
        </w:rPr>
        <w:t xml:space="preserve"> </w:t>
      </w:r>
      <w:r w:rsidR="00415C57" w:rsidRPr="00C11A46">
        <w:rPr>
          <w:rFonts w:ascii="Arial" w:hAnsi="Arial" w:cs="Arial"/>
          <w:b/>
          <w:sz w:val="22"/>
          <w:szCs w:val="22"/>
        </w:rPr>
        <w:t>–</w:t>
      </w:r>
      <w:r w:rsidRPr="00C11A46">
        <w:rPr>
          <w:rFonts w:ascii="Arial" w:hAnsi="Arial" w:cs="Arial"/>
          <w:b/>
          <w:sz w:val="22"/>
          <w:szCs w:val="22"/>
        </w:rPr>
        <w:t xml:space="preserve"> Náklady na kontroly </w:t>
      </w:r>
      <w:r w:rsidR="0093464C">
        <w:rPr>
          <w:rFonts w:ascii="Arial" w:hAnsi="Arial" w:cs="Arial"/>
          <w:b/>
          <w:sz w:val="22"/>
          <w:szCs w:val="22"/>
        </w:rPr>
        <w:t xml:space="preserve">vykonávané </w:t>
      </w:r>
      <w:r w:rsidRPr="00C11A46">
        <w:rPr>
          <w:rFonts w:ascii="Arial" w:hAnsi="Arial" w:cs="Arial"/>
          <w:b/>
          <w:sz w:val="22"/>
          <w:szCs w:val="22"/>
        </w:rPr>
        <w:t>mobilní</w:t>
      </w:r>
      <w:r w:rsidR="0093464C">
        <w:rPr>
          <w:rFonts w:ascii="Arial" w:hAnsi="Arial" w:cs="Arial"/>
          <w:b/>
          <w:sz w:val="22"/>
          <w:szCs w:val="22"/>
        </w:rPr>
        <w:t>mi</w:t>
      </w:r>
      <w:r w:rsidRPr="00C11A46">
        <w:rPr>
          <w:rFonts w:ascii="Arial" w:hAnsi="Arial" w:cs="Arial"/>
          <w:b/>
          <w:sz w:val="22"/>
          <w:szCs w:val="22"/>
        </w:rPr>
        <w:t xml:space="preserve"> hlíd</w:t>
      </w:r>
      <w:r w:rsidR="0093464C">
        <w:rPr>
          <w:rFonts w:ascii="Arial" w:hAnsi="Arial" w:cs="Arial"/>
          <w:b/>
          <w:sz w:val="22"/>
          <w:szCs w:val="22"/>
        </w:rPr>
        <w:t>kami</w:t>
      </w:r>
      <w:r w:rsidRPr="00C11A46">
        <w:rPr>
          <w:rFonts w:ascii="Arial" w:hAnsi="Arial" w:cs="Arial"/>
          <w:b/>
          <w:sz w:val="22"/>
          <w:szCs w:val="22"/>
        </w:rPr>
        <w:t xml:space="preserve"> </w:t>
      </w:r>
      <w:r w:rsidR="00763B20" w:rsidRPr="00C11A46">
        <w:rPr>
          <w:rFonts w:ascii="Arial" w:hAnsi="Arial" w:cs="Arial"/>
          <w:b/>
          <w:sz w:val="22"/>
          <w:szCs w:val="22"/>
        </w:rPr>
        <w:t>C</w:t>
      </w:r>
      <w:r w:rsidR="00A2213F" w:rsidRPr="00C11A46">
        <w:rPr>
          <w:rFonts w:ascii="Arial" w:hAnsi="Arial" w:cs="Arial"/>
          <w:b/>
          <w:sz w:val="22"/>
          <w:szCs w:val="22"/>
        </w:rPr>
        <w:t>elní správy</w:t>
      </w:r>
      <w:r w:rsidR="00763B20" w:rsidRPr="00C11A46">
        <w:rPr>
          <w:rFonts w:ascii="Arial" w:hAnsi="Arial" w:cs="Arial"/>
          <w:b/>
          <w:sz w:val="22"/>
          <w:szCs w:val="22"/>
        </w:rPr>
        <w:t xml:space="preserve"> ČR</w:t>
      </w:r>
    </w:p>
    <w:tbl>
      <w:tblPr>
        <w:tblW w:w="9087" w:type="dxa"/>
        <w:tblInd w:w="55" w:type="dxa"/>
        <w:tblLayout w:type="fixed"/>
        <w:tblCellMar>
          <w:left w:w="70" w:type="dxa"/>
          <w:right w:w="70" w:type="dxa"/>
        </w:tblCellMar>
        <w:tblLook w:val="04A0" w:firstRow="1" w:lastRow="0" w:firstColumn="1" w:lastColumn="0" w:noHBand="0" w:noVBand="1"/>
      </w:tblPr>
      <w:tblGrid>
        <w:gridCol w:w="863"/>
        <w:gridCol w:w="1696"/>
        <w:gridCol w:w="848"/>
        <w:gridCol w:w="1922"/>
        <w:gridCol w:w="1916"/>
        <w:gridCol w:w="1842"/>
      </w:tblGrid>
      <w:tr w:rsidR="00441AA2" w:rsidRPr="001D6F08" w:rsidTr="004401C1">
        <w:trPr>
          <w:trHeight w:val="585"/>
        </w:trPr>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6F08" w:rsidRPr="001D6F08" w:rsidRDefault="001D6F08" w:rsidP="001D6F08">
            <w:pPr>
              <w:suppressAutoHyphens w:val="0"/>
              <w:rPr>
                <w:rFonts w:ascii="Arial" w:hAnsi="Arial" w:cs="Arial"/>
                <w:color w:val="000000"/>
                <w:sz w:val="18"/>
                <w:szCs w:val="18"/>
                <w:lang w:eastAsia="cs-CZ"/>
              </w:rPr>
            </w:pPr>
            <w:r w:rsidRPr="001D6F08">
              <w:rPr>
                <w:rFonts w:ascii="Arial" w:hAnsi="Arial" w:cs="Arial"/>
                <w:color w:val="000000"/>
                <w:sz w:val="18"/>
                <w:szCs w:val="18"/>
                <w:lang w:eastAsia="cs-CZ"/>
              </w:rPr>
              <w:t>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1D6F08" w:rsidRPr="004401C1" w:rsidRDefault="001D6F08" w:rsidP="004401C1">
            <w:pPr>
              <w:suppressAutoHyphens w:val="0"/>
              <w:jc w:val="center"/>
              <w:rPr>
                <w:rFonts w:ascii="Arial" w:hAnsi="Arial" w:cs="Arial"/>
                <w:b/>
                <w:color w:val="000000"/>
                <w:sz w:val="18"/>
                <w:szCs w:val="18"/>
                <w:lang w:eastAsia="cs-CZ"/>
              </w:rPr>
            </w:pPr>
            <w:r w:rsidRPr="004401C1">
              <w:rPr>
                <w:rFonts w:ascii="Arial" w:hAnsi="Arial" w:cs="Arial"/>
                <w:b/>
                <w:color w:val="000000"/>
                <w:sz w:val="18"/>
                <w:szCs w:val="18"/>
                <w:lang w:eastAsia="cs-CZ"/>
              </w:rPr>
              <w:t xml:space="preserve">Počet pracovníků mob. hlídek </w:t>
            </w:r>
            <w:r w:rsidR="00763B20" w:rsidRPr="004401C1">
              <w:rPr>
                <w:rFonts w:ascii="Arial" w:hAnsi="Arial" w:cs="Arial"/>
                <w:b/>
                <w:color w:val="000000"/>
                <w:sz w:val="18"/>
                <w:szCs w:val="18"/>
                <w:lang w:eastAsia="cs-CZ"/>
              </w:rPr>
              <w:t>C</w:t>
            </w:r>
            <w:r w:rsidR="00A2213F" w:rsidRPr="004401C1">
              <w:rPr>
                <w:rFonts w:ascii="Arial" w:hAnsi="Arial" w:cs="Arial"/>
                <w:b/>
                <w:color w:val="000000"/>
                <w:sz w:val="18"/>
                <w:szCs w:val="18"/>
                <w:lang w:eastAsia="cs-CZ"/>
              </w:rPr>
              <w:t>elní správy</w:t>
            </w:r>
            <w:r w:rsidR="00763B20" w:rsidRPr="004401C1">
              <w:rPr>
                <w:rFonts w:ascii="Arial" w:hAnsi="Arial" w:cs="Arial"/>
                <w:b/>
                <w:color w:val="000000"/>
                <w:sz w:val="18"/>
                <w:szCs w:val="18"/>
                <w:lang w:eastAsia="cs-CZ"/>
              </w:rPr>
              <w:t xml:space="preserve"> ČR</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1D6F08" w:rsidRPr="004401C1" w:rsidRDefault="001D6F08" w:rsidP="004401C1">
            <w:pPr>
              <w:suppressAutoHyphens w:val="0"/>
              <w:jc w:val="center"/>
              <w:rPr>
                <w:rFonts w:ascii="Arial" w:hAnsi="Arial" w:cs="Arial"/>
                <w:b/>
                <w:color w:val="000000"/>
                <w:sz w:val="18"/>
                <w:szCs w:val="18"/>
                <w:lang w:eastAsia="cs-CZ"/>
              </w:rPr>
            </w:pPr>
            <w:r w:rsidRPr="004401C1">
              <w:rPr>
                <w:rFonts w:ascii="Arial" w:hAnsi="Arial" w:cs="Arial"/>
                <w:b/>
                <w:color w:val="000000"/>
                <w:sz w:val="18"/>
                <w:szCs w:val="18"/>
                <w:lang w:eastAsia="cs-CZ"/>
              </w:rPr>
              <w:t>Počet vozidel</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123060" w:rsidRDefault="001D6F08" w:rsidP="004401C1">
            <w:pPr>
              <w:suppressAutoHyphens w:val="0"/>
              <w:jc w:val="center"/>
              <w:rPr>
                <w:rFonts w:ascii="Arial" w:hAnsi="Arial" w:cs="Arial"/>
                <w:b/>
                <w:color w:val="000000"/>
                <w:sz w:val="18"/>
                <w:szCs w:val="18"/>
                <w:lang w:val="en-US" w:eastAsia="cs-CZ"/>
              </w:rPr>
            </w:pPr>
            <w:r w:rsidRPr="004401C1">
              <w:rPr>
                <w:rFonts w:ascii="Arial" w:hAnsi="Arial" w:cs="Arial"/>
                <w:b/>
                <w:color w:val="000000"/>
                <w:sz w:val="18"/>
                <w:szCs w:val="18"/>
                <w:lang w:eastAsia="cs-CZ"/>
              </w:rPr>
              <w:t>Náklady GŘC</w:t>
            </w:r>
          </w:p>
          <w:p w:rsidR="001D6F08" w:rsidRPr="004401C1" w:rsidRDefault="0093464C" w:rsidP="004401C1">
            <w:pPr>
              <w:suppressAutoHyphens w:val="0"/>
              <w:jc w:val="center"/>
              <w:rPr>
                <w:rFonts w:ascii="Arial" w:hAnsi="Arial" w:cs="Arial"/>
                <w:b/>
                <w:color w:val="000000"/>
                <w:sz w:val="18"/>
                <w:szCs w:val="18"/>
                <w:lang w:eastAsia="cs-CZ"/>
              </w:rPr>
            </w:pPr>
            <w:r w:rsidRPr="004401C1">
              <w:rPr>
                <w:rFonts w:ascii="Arial" w:hAnsi="Arial" w:cs="Arial"/>
                <w:b/>
                <w:color w:val="000000"/>
                <w:sz w:val="18"/>
                <w:szCs w:val="18"/>
                <w:lang w:eastAsia="cs-CZ"/>
              </w:rPr>
              <w:t>(</w:t>
            </w:r>
            <w:r w:rsidR="00962C1A" w:rsidRPr="004401C1">
              <w:rPr>
                <w:rFonts w:ascii="Arial" w:hAnsi="Arial" w:cs="Arial"/>
                <w:b/>
                <w:color w:val="000000"/>
                <w:sz w:val="18"/>
                <w:szCs w:val="18"/>
                <w:lang w:eastAsia="cs-CZ"/>
              </w:rPr>
              <w:t>v Kč</w:t>
            </w:r>
            <w:r w:rsidRPr="004401C1">
              <w:rPr>
                <w:rFonts w:ascii="Arial" w:hAnsi="Arial" w:cs="Arial"/>
                <w:b/>
                <w:color w:val="000000"/>
                <w:sz w:val="18"/>
                <w:szCs w:val="18"/>
                <w:lang w:eastAsia="cs-CZ"/>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123060" w:rsidRDefault="001D6F08" w:rsidP="004401C1">
            <w:pPr>
              <w:suppressAutoHyphens w:val="0"/>
              <w:jc w:val="center"/>
              <w:rPr>
                <w:rFonts w:ascii="Arial" w:hAnsi="Arial" w:cs="Arial"/>
                <w:b/>
                <w:color w:val="000000"/>
                <w:sz w:val="18"/>
                <w:szCs w:val="18"/>
                <w:lang w:val="en-US" w:eastAsia="cs-CZ"/>
              </w:rPr>
            </w:pPr>
            <w:r w:rsidRPr="004401C1">
              <w:rPr>
                <w:rFonts w:ascii="Arial" w:hAnsi="Arial" w:cs="Arial"/>
                <w:b/>
                <w:color w:val="000000"/>
                <w:sz w:val="18"/>
                <w:szCs w:val="18"/>
                <w:lang w:eastAsia="cs-CZ"/>
              </w:rPr>
              <w:t>Náklady ŘSD</w:t>
            </w:r>
          </w:p>
          <w:p w:rsidR="001D6F08" w:rsidRPr="004401C1" w:rsidRDefault="0093464C" w:rsidP="004401C1">
            <w:pPr>
              <w:suppressAutoHyphens w:val="0"/>
              <w:jc w:val="center"/>
              <w:rPr>
                <w:rFonts w:ascii="Arial" w:hAnsi="Arial" w:cs="Arial"/>
                <w:b/>
                <w:color w:val="000000"/>
                <w:sz w:val="18"/>
                <w:szCs w:val="18"/>
                <w:lang w:eastAsia="cs-CZ"/>
              </w:rPr>
            </w:pPr>
            <w:r w:rsidRPr="004401C1">
              <w:rPr>
                <w:rFonts w:ascii="Arial" w:hAnsi="Arial" w:cs="Arial"/>
                <w:b/>
                <w:color w:val="000000"/>
                <w:sz w:val="18"/>
                <w:szCs w:val="18"/>
                <w:lang w:eastAsia="cs-CZ"/>
              </w:rPr>
              <w:t>(</w:t>
            </w:r>
            <w:r w:rsidR="00962C1A" w:rsidRPr="004401C1">
              <w:rPr>
                <w:rFonts w:ascii="Arial" w:hAnsi="Arial" w:cs="Arial"/>
                <w:b/>
                <w:color w:val="000000"/>
                <w:sz w:val="18"/>
                <w:szCs w:val="18"/>
                <w:lang w:eastAsia="cs-CZ"/>
              </w:rPr>
              <w:t>v Kč</w:t>
            </w:r>
            <w:r w:rsidRPr="004401C1">
              <w:rPr>
                <w:rFonts w:ascii="Arial" w:hAnsi="Arial" w:cs="Arial"/>
                <w:b/>
                <w:color w:val="000000"/>
                <w:sz w:val="18"/>
                <w:szCs w:val="18"/>
                <w:lang w:eastAsia="cs-CZ"/>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23060" w:rsidRDefault="001D6F08" w:rsidP="004401C1">
            <w:pPr>
              <w:suppressAutoHyphens w:val="0"/>
              <w:ind w:right="-181"/>
              <w:jc w:val="center"/>
              <w:rPr>
                <w:rFonts w:ascii="Arial" w:hAnsi="Arial" w:cs="Arial"/>
                <w:b/>
                <w:color w:val="000000"/>
                <w:sz w:val="18"/>
                <w:szCs w:val="18"/>
                <w:lang w:val="en-US" w:eastAsia="cs-CZ"/>
              </w:rPr>
            </w:pPr>
            <w:r w:rsidRPr="004401C1">
              <w:rPr>
                <w:rFonts w:ascii="Arial" w:hAnsi="Arial" w:cs="Arial"/>
                <w:b/>
                <w:color w:val="000000"/>
                <w:sz w:val="18"/>
                <w:szCs w:val="18"/>
                <w:lang w:eastAsia="cs-CZ"/>
              </w:rPr>
              <w:t>Náklady celkem</w:t>
            </w:r>
          </w:p>
          <w:p w:rsidR="001D6F08" w:rsidRPr="004401C1" w:rsidRDefault="0093464C" w:rsidP="004401C1">
            <w:pPr>
              <w:suppressAutoHyphens w:val="0"/>
              <w:ind w:right="-181"/>
              <w:jc w:val="center"/>
              <w:rPr>
                <w:rFonts w:ascii="Arial" w:hAnsi="Arial" w:cs="Arial"/>
                <w:b/>
                <w:color w:val="000000"/>
                <w:sz w:val="18"/>
                <w:szCs w:val="18"/>
                <w:lang w:eastAsia="cs-CZ"/>
              </w:rPr>
            </w:pPr>
            <w:r w:rsidRPr="004401C1">
              <w:rPr>
                <w:rFonts w:ascii="Arial" w:hAnsi="Arial" w:cs="Arial"/>
                <w:b/>
                <w:color w:val="000000"/>
                <w:sz w:val="18"/>
                <w:szCs w:val="18"/>
                <w:lang w:eastAsia="cs-CZ"/>
              </w:rPr>
              <w:t>(</w:t>
            </w:r>
            <w:r w:rsidR="00962C1A" w:rsidRPr="004401C1">
              <w:rPr>
                <w:rFonts w:ascii="Arial" w:hAnsi="Arial" w:cs="Arial"/>
                <w:b/>
                <w:color w:val="000000"/>
                <w:sz w:val="18"/>
                <w:szCs w:val="18"/>
                <w:lang w:eastAsia="cs-CZ"/>
              </w:rPr>
              <w:t>v Kč</w:t>
            </w:r>
            <w:r w:rsidRPr="004401C1">
              <w:rPr>
                <w:rFonts w:ascii="Arial" w:hAnsi="Arial" w:cs="Arial"/>
                <w:b/>
                <w:color w:val="000000"/>
                <w:sz w:val="18"/>
                <w:szCs w:val="18"/>
                <w:lang w:eastAsia="cs-CZ"/>
              </w:rPr>
              <w:t>)</w:t>
            </w:r>
          </w:p>
        </w:tc>
      </w:tr>
      <w:tr w:rsidR="00441AA2" w:rsidRPr="001D6F08" w:rsidTr="004401C1">
        <w:trPr>
          <w:trHeight w:val="24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D6F08" w:rsidRPr="001D6F08" w:rsidRDefault="001D6F08" w:rsidP="00C11A46">
            <w:pPr>
              <w:suppressAutoHyphens w:val="0"/>
              <w:rPr>
                <w:rFonts w:ascii="Arial" w:hAnsi="Arial" w:cs="Arial"/>
                <w:color w:val="000000"/>
                <w:sz w:val="18"/>
                <w:szCs w:val="18"/>
                <w:lang w:eastAsia="cs-CZ"/>
              </w:rPr>
            </w:pPr>
            <w:r w:rsidRPr="001D6F08">
              <w:rPr>
                <w:rFonts w:ascii="Arial" w:hAnsi="Arial" w:cs="Arial"/>
                <w:color w:val="000000"/>
                <w:sz w:val="18"/>
                <w:szCs w:val="18"/>
                <w:lang w:eastAsia="cs-CZ"/>
              </w:rPr>
              <w:t>2009</w:t>
            </w:r>
          </w:p>
        </w:tc>
        <w:tc>
          <w:tcPr>
            <w:tcW w:w="1696"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319</w:t>
            </w:r>
          </w:p>
        </w:tc>
        <w:tc>
          <w:tcPr>
            <w:tcW w:w="848"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35</w:t>
            </w:r>
          </w:p>
        </w:tc>
        <w:tc>
          <w:tcPr>
            <w:tcW w:w="192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158 948 115</w:t>
            </w:r>
          </w:p>
        </w:tc>
        <w:tc>
          <w:tcPr>
            <w:tcW w:w="1916"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47 931 494</w:t>
            </w:r>
          </w:p>
        </w:tc>
        <w:tc>
          <w:tcPr>
            <w:tcW w:w="184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206 879 609</w:t>
            </w:r>
          </w:p>
        </w:tc>
      </w:tr>
      <w:tr w:rsidR="00441AA2" w:rsidRPr="001D6F08" w:rsidTr="004401C1">
        <w:trPr>
          <w:trHeight w:val="24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D6F08" w:rsidRPr="001D6F08" w:rsidRDefault="001D6F08" w:rsidP="00C11A46">
            <w:pPr>
              <w:suppressAutoHyphens w:val="0"/>
              <w:rPr>
                <w:rFonts w:ascii="Arial" w:hAnsi="Arial" w:cs="Arial"/>
                <w:color w:val="000000"/>
                <w:sz w:val="18"/>
                <w:szCs w:val="18"/>
                <w:lang w:eastAsia="cs-CZ"/>
              </w:rPr>
            </w:pPr>
            <w:r w:rsidRPr="001D6F08">
              <w:rPr>
                <w:rFonts w:ascii="Arial" w:hAnsi="Arial" w:cs="Arial"/>
                <w:color w:val="000000"/>
                <w:sz w:val="18"/>
                <w:szCs w:val="18"/>
                <w:lang w:eastAsia="cs-CZ"/>
              </w:rPr>
              <w:t>2010</w:t>
            </w:r>
          </w:p>
        </w:tc>
        <w:tc>
          <w:tcPr>
            <w:tcW w:w="1696"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327</w:t>
            </w:r>
          </w:p>
        </w:tc>
        <w:tc>
          <w:tcPr>
            <w:tcW w:w="848"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35</w:t>
            </w:r>
          </w:p>
        </w:tc>
        <w:tc>
          <w:tcPr>
            <w:tcW w:w="192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157 181 361</w:t>
            </w:r>
          </w:p>
        </w:tc>
        <w:tc>
          <w:tcPr>
            <w:tcW w:w="1916"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52 415 364</w:t>
            </w:r>
          </w:p>
        </w:tc>
        <w:tc>
          <w:tcPr>
            <w:tcW w:w="184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209 596 725</w:t>
            </w:r>
          </w:p>
        </w:tc>
      </w:tr>
      <w:tr w:rsidR="00441AA2" w:rsidRPr="001D6F08" w:rsidTr="004401C1">
        <w:trPr>
          <w:trHeight w:val="24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D6F08" w:rsidRPr="001D6F08" w:rsidRDefault="001D6F08" w:rsidP="00C11A46">
            <w:pPr>
              <w:suppressAutoHyphens w:val="0"/>
              <w:rPr>
                <w:rFonts w:ascii="Arial" w:hAnsi="Arial" w:cs="Arial"/>
                <w:color w:val="000000"/>
                <w:sz w:val="18"/>
                <w:szCs w:val="18"/>
                <w:lang w:eastAsia="cs-CZ"/>
              </w:rPr>
            </w:pPr>
            <w:r w:rsidRPr="001D6F08">
              <w:rPr>
                <w:rFonts w:ascii="Arial" w:hAnsi="Arial" w:cs="Arial"/>
                <w:color w:val="000000"/>
                <w:sz w:val="18"/>
                <w:szCs w:val="18"/>
                <w:lang w:eastAsia="cs-CZ"/>
              </w:rPr>
              <w:t>2011</w:t>
            </w:r>
          </w:p>
        </w:tc>
        <w:tc>
          <w:tcPr>
            <w:tcW w:w="1696"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315</w:t>
            </w:r>
          </w:p>
        </w:tc>
        <w:tc>
          <w:tcPr>
            <w:tcW w:w="848" w:type="dxa"/>
            <w:tcBorders>
              <w:top w:val="nil"/>
              <w:left w:val="nil"/>
              <w:bottom w:val="single" w:sz="4" w:space="0" w:color="auto"/>
              <w:right w:val="single" w:sz="4" w:space="0" w:color="auto"/>
            </w:tcBorders>
            <w:shd w:val="clear" w:color="auto" w:fill="auto"/>
            <w:noWrap/>
            <w:vAlign w:val="bottom"/>
            <w:hideMark/>
          </w:tcPr>
          <w:p w:rsidR="001D6F08" w:rsidRPr="001D6F08" w:rsidRDefault="001D6F08" w:rsidP="001D6F08">
            <w:pPr>
              <w:suppressAutoHyphens w:val="0"/>
              <w:jc w:val="right"/>
              <w:rPr>
                <w:rFonts w:ascii="Arial" w:hAnsi="Arial" w:cs="Arial"/>
                <w:color w:val="000000"/>
                <w:sz w:val="18"/>
                <w:szCs w:val="18"/>
                <w:lang w:eastAsia="cs-CZ"/>
              </w:rPr>
            </w:pPr>
            <w:r w:rsidRPr="001D6F08">
              <w:rPr>
                <w:rFonts w:ascii="Arial" w:hAnsi="Arial" w:cs="Arial"/>
                <w:color w:val="000000"/>
                <w:sz w:val="18"/>
                <w:szCs w:val="18"/>
                <w:lang w:eastAsia="cs-CZ"/>
              </w:rPr>
              <w:t>35</w:t>
            </w:r>
          </w:p>
        </w:tc>
        <w:tc>
          <w:tcPr>
            <w:tcW w:w="192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147 905 466</w:t>
            </w:r>
          </w:p>
        </w:tc>
        <w:tc>
          <w:tcPr>
            <w:tcW w:w="1916"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65 821 304</w:t>
            </w:r>
          </w:p>
        </w:tc>
        <w:tc>
          <w:tcPr>
            <w:tcW w:w="1842" w:type="dxa"/>
            <w:tcBorders>
              <w:top w:val="nil"/>
              <w:left w:val="nil"/>
              <w:bottom w:val="single" w:sz="4" w:space="0" w:color="auto"/>
              <w:right w:val="single" w:sz="4" w:space="0" w:color="auto"/>
            </w:tcBorders>
            <w:shd w:val="clear" w:color="auto" w:fill="auto"/>
            <w:noWrap/>
            <w:vAlign w:val="center"/>
            <w:hideMark/>
          </w:tcPr>
          <w:p w:rsidR="001D6F08" w:rsidRPr="001D6F08" w:rsidRDefault="001D6F08" w:rsidP="004401C1">
            <w:pPr>
              <w:suppressAutoHyphens w:val="0"/>
              <w:ind w:right="-12"/>
              <w:jc w:val="right"/>
              <w:rPr>
                <w:rFonts w:ascii="Arial" w:hAnsi="Arial" w:cs="Arial"/>
                <w:color w:val="000000"/>
                <w:sz w:val="18"/>
                <w:szCs w:val="18"/>
                <w:lang w:eastAsia="cs-CZ"/>
              </w:rPr>
            </w:pPr>
            <w:r w:rsidRPr="001D6F08">
              <w:rPr>
                <w:rFonts w:ascii="Arial" w:hAnsi="Arial" w:cs="Arial"/>
                <w:color w:val="000000"/>
                <w:sz w:val="18"/>
                <w:szCs w:val="18"/>
                <w:lang w:eastAsia="cs-CZ"/>
              </w:rPr>
              <w:t>213 726 770</w:t>
            </w:r>
          </w:p>
        </w:tc>
      </w:tr>
      <w:tr w:rsidR="00441AA2" w:rsidRPr="001D6F08" w:rsidTr="004401C1">
        <w:trPr>
          <w:trHeight w:val="24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D6F08" w:rsidRPr="00441AA2" w:rsidRDefault="001D6F08" w:rsidP="001D6F08">
            <w:pPr>
              <w:suppressAutoHyphens w:val="0"/>
              <w:rPr>
                <w:rFonts w:ascii="Arial" w:hAnsi="Arial" w:cs="Arial"/>
                <w:b/>
                <w:color w:val="000000"/>
                <w:sz w:val="18"/>
                <w:szCs w:val="18"/>
                <w:lang w:eastAsia="cs-CZ"/>
              </w:rPr>
            </w:pPr>
            <w:r w:rsidRPr="00441AA2">
              <w:rPr>
                <w:rFonts w:ascii="Arial" w:hAnsi="Arial" w:cs="Arial"/>
                <w:b/>
                <w:color w:val="000000"/>
                <w:sz w:val="18"/>
                <w:szCs w:val="18"/>
                <w:lang w:eastAsia="cs-CZ"/>
              </w:rPr>
              <w:t xml:space="preserve">Celkem </w:t>
            </w:r>
          </w:p>
        </w:tc>
        <w:tc>
          <w:tcPr>
            <w:tcW w:w="1696" w:type="dxa"/>
            <w:tcBorders>
              <w:top w:val="nil"/>
              <w:left w:val="nil"/>
              <w:bottom w:val="single" w:sz="4" w:space="0" w:color="auto"/>
              <w:right w:val="single" w:sz="4" w:space="0" w:color="auto"/>
            </w:tcBorders>
            <w:shd w:val="clear" w:color="auto" w:fill="auto"/>
            <w:noWrap/>
            <w:vAlign w:val="bottom"/>
            <w:hideMark/>
          </w:tcPr>
          <w:p w:rsidR="001D6F08" w:rsidRPr="00441AA2" w:rsidRDefault="001D6F08" w:rsidP="001D6F08">
            <w:pPr>
              <w:suppressAutoHyphens w:val="0"/>
              <w:rPr>
                <w:rFonts w:ascii="Arial" w:hAnsi="Arial" w:cs="Arial"/>
                <w:b/>
                <w:color w:val="000000"/>
                <w:sz w:val="18"/>
                <w:szCs w:val="18"/>
                <w:lang w:eastAsia="cs-CZ"/>
              </w:rPr>
            </w:pPr>
            <w:r w:rsidRPr="00441AA2">
              <w:rPr>
                <w:rFonts w:ascii="Arial" w:hAnsi="Arial" w:cs="Arial"/>
                <w:b/>
                <w:color w:val="000000"/>
                <w:sz w:val="18"/>
                <w:szCs w:val="18"/>
                <w:lang w:eastAsia="cs-CZ"/>
              </w:rPr>
              <w:t> </w:t>
            </w:r>
          </w:p>
        </w:tc>
        <w:tc>
          <w:tcPr>
            <w:tcW w:w="848" w:type="dxa"/>
            <w:tcBorders>
              <w:top w:val="nil"/>
              <w:left w:val="nil"/>
              <w:bottom w:val="single" w:sz="4" w:space="0" w:color="auto"/>
              <w:right w:val="single" w:sz="4" w:space="0" w:color="auto"/>
            </w:tcBorders>
            <w:shd w:val="clear" w:color="auto" w:fill="auto"/>
            <w:noWrap/>
            <w:vAlign w:val="bottom"/>
            <w:hideMark/>
          </w:tcPr>
          <w:p w:rsidR="001D6F08" w:rsidRPr="00441AA2" w:rsidRDefault="001D6F08" w:rsidP="001D6F08">
            <w:pPr>
              <w:suppressAutoHyphens w:val="0"/>
              <w:rPr>
                <w:rFonts w:ascii="Arial" w:hAnsi="Arial" w:cs="Arial"/>
                <w:b/>
                <w:color w:val="000000"/>
                <w:sz w:val="18"/>
                <w:szCs w:val="18"/>
                <w:lang w:eastAsia="cs-CZ"/>
              </w:rPr>
            </w:pPr>
            <w:r w:rsidRPr="00441AA2">
              <w:rPr>
                <w:rFonts w:ascii="Arial" w:hAnsi="Arial" w:cs="Arial"/>
                <w:b/>
                <w:color w:val="000000"/>
                <w:sz w:val="18"/>
                <w:szCs w:val="18"/>
                <w:lang w:eastAsia="cs-CZ"/>
              </w:rPr>
              <w:t> </w:t>
            </w:r>
          </w:p>
        </w:tc>
        <w:tc>
          <w:tcPr>
            <w:tcW w:w="1922" w:type="dxa"/>
            <w:tcBorders>
              <w:top w:val="nil"/>
              <w:left w:val="nil"/>
              <w:bottom w:val="single" w:sz="4" w:space="0" w:color="auto"/>
              <w:right w:val="single" w:sz="4" w:space="0" w:color="auto"/>
            </w:tcBorders>
            <w:shd w:val="clear" w:color="auto" w:fill="auto"/>
            <w:noWrap/>
            <w:vAlign w:val="center"/>
            <w:hideMark/>
          </w:tcPr>
          <w:p w:rsidR="001D6F08" w:rsidRPr="00441AA2" w:rsidRDefault="001D6F08" w:rsidP="004401C1">
            <w:pPr>
              <w:suppressAutoHyphens w:val="0"/>
              <w:ind w:right="-12"/>
              <w:jc w:val="right"/>
              <w:rPr>
                <w:rFonts w:ascii="Arial" w:hAnsi="Arial" w:cs="Arial"/>
                <w:b/>
                <w:color w:val="000000"/>
                <w:sz w:val="18"/>
                <w:szCs w:val="18"/>
                <w:lang w:eastAsia="cs-CZ"/>
              </w:rPr>
            </w:pPr>
            <w:r w:rsidRPr="00441AA2">
              <w:rPr>
                <w:rFonts w:ascii="Arial" w:hAnsi="Arial" w:cs="Arial"/>
                <w:b/>
                <w:color w:val="000000"/>
                <w:sz w:val="18"/>
                <w:szCs w:val="18"/>
                <w:lang w:eastAsia="cs-CZ"/>
              </w:rPr>
              <w:t>464 034 942</w:t>
            </w:r>
          </w:p>
        </w:tc>
        <w:tc>
          <w:tcPr>
            <w:tcW w:w="1916" w:type="dxa"/>
            <w:tcBorders>
              <w:top w:val="nil"/>
              <w:left w:val="nil"/>
              <w:bottom w:val="single" w:sz="4" w:space="0" w:color="auto"/>
              <w:right w:val="single" w:sz="4" w:space="0" w:color="auto"/>
            </w:tcBorders>
            <w:shd w:val="clear" w:color="auto" w:fill="auto"/>
            <w:noWrap/>
            <w:vAlign w:val="center"/>
            <w:hideMark/>
          </w:tcPr>
          <w:p w:rsidR="001D6F08" w:rsidRPr="00441AA2" w:rsidRDefault="001D6F08" w:rsidP="004401C1">
            <w:pPr>
              <w:suppressAutoHyphens w:val="0"/>
              <w:ind w:right="-12"/>
              <w:jc w:val="right"/>
              <w:rPr>
                <w:rFonts w:ascii="Arial" w:hAnsi="Arial" w:cs="Arial"/>
                <w:b/>
                <w:color w:val="000000"/>
                <w:sz w:val="18"/>
                <w:szCs w:val="18"/>
                <w:lang w:eastAsia="cs-CZ"/>
              </w:rPr>
            </w:pPr>
            <w:r w:rsidRPr="00441AA2">
              <w:rPr>
                <w:rFonts w:ascii="Arial" w:hAnsi="Arial" w:cs="Arial"/>
                <w:b/>
                <w:color w:val="000000"/>
                <w:sz w:val="18"/>
                <w:szCs w:val="18"/>
                <w:lang w:eastAsia="cs-CZ"/>
              </w:rPr>
              <w:t>166 168 162</w:t>
            </w:r>
          </w:p>
        </w:tc>
        <w:tc>
          <w:tcPr>
            <w:tcW w:w="1842" w:type="dxa"/>
            <w:tcBorders>
              <w:top w:val="nil"/>
              <w:left w:val="nil"/>
              <w:bottom w:val="single" w:sz="4" w:space="0" w:color="auto"/>
              <w:right w:val="single" w:sz="4" w:space="0" w:color="auto"/>
            </w:tcBorders>
            <w:shd w:val="clear" w:color="auto" w:fill="auto"/>
            <w:noWrap/>
            <w:vAlign w:val="center"/>
            <w:hideMark/>
          </w:tcPr>
          <w:p w:rsidR="001D6F08" w:rsidRPr="00441AA2" w:rsidRDefault="001D6F08" w:rsidP="004401C1">
            <w:pPr>
              <w:suppressAutoHyphens w:val="0"/>
              <w:ind w:right="-12"/>
              <w:jc w:val="right"/>
              <w:rPr>
                <w:rFonts w:ascii="Arial" w:hAnsi="Arial" w:cs="Arial"/>
                <w:b/>
                <w:color w:val="000000"/>
                <w:sz w:val="18"/>
                <w:szCs w:val="18"/>
                <w:lang w:eastAsia="cs-CZ"/>
              </w:rPr>
            </w:pPr>
            <w:r w:rsidRPr="00441AA2">
              <w:rPr>
                <w:rFonts w:ascii="Arial" w:hAnsi="Arial" w:cs="Arial"/>
                <w:b/>
                <w:color w:val="000000"/>
                <w:sz w:val="18"/>
                <w:szCs w:val="18"/>
                <w:lang w:eastAsia="cs-CZ"/>
              </w:rPr>
              <w:t>630 203 104</w:t>
            </w:r>
          </w:p>
        </w:tc>
      </w:tr>
    </w:tbl>
    <w:p w:rsidR="001D6F08" w:rsidRDefault="000C4826" w:rsidP="004401C1">
      <w:pPr>
        <w:jc w:val="both"/>
        <w:rPr>
          <w:rFonts w:ascii="Arial" w:hAnsi="Arial" w:cs="Arial"/>
          <w:sz w:val="22"/>
          <w:szCs w:val="22"/>
        </w:rPr>
      </w:pPr>
      <w:r w:rsidRPr="00D84DFC">
        <w:rPr>
          <w:rFonts w:ascii="Arial" w:hAnsi="Arial" w:cs="Arial"/>
          <w:b/>
          <w:sz w:val="18"/>
          <w:szCs w:val="18"/>
        </w:rPr>
        <w:t>Zdroj:</w:t>
      </w:r>
      <w:r w:rsidRPr="000C4826">
        <w:rPr>
          <w:rFonts w:ascii="Arial" w:hAnsi="Arial" w:cs="Arial"/>
          <w:sz w:val="18"/>
          <w:szCs w:val="18"/>
        </w:rPr>
        <w:t xml:space="preserve"> G</w:t>
      </w:r>
      <w:r w:rsidR="00441AA2">
        <w:rPr>
          <w:rFonts w:ascii="Arial" w:hAnsi="Arial" w:cs="Arial"/>
          <w:sz w:val="18"/>
          <w:szCs w:val="18"/>
        </w:rPr>
        <w:t>Ř</w:t>
      </w:r>
      <w:r w:rsidRPr="000C4826">
        <w:rPr>
          <w:rFonts w:ascii="Arial" w:hAnsi="Arial" w:cs="Arial"/>
          <w:sz w:val="18"/>
          <w:szCs w:val="18"/>
        </w:rPr>
        <w:t>C</w:t>
      </w:r>
      <w:r w:rsidR="005959E5">
        <w:rPr>
          <w:rFonts w:ascii="Arial" w:hAnsi="Arial" w:cs="Arial"/>
          <w:sz w:val="18"/>
          <w:szCs w:val="18"/>
        </w:rPr>
        <w:t xml:space="preserve"> a ŘSD</w:t>
      </w:r>
      <w:r w:rsidR="00415C57">
        <w:rPr>
          <w:rFonts w:ascii="Arial" w:hAnsi="Arial" w:cs="Arial"/>
          <w:sz w:val="18"/>
          <w:szCs w:val="18"/>
        </w:rPr>
        <w:t>.</w:t>
      </w:r>
    </w:p>
    <w:p w:rsidR="004920C0" w:rsidRPr="004401C1" w:rsidRDefault="004920C0" w:rsidP="004401C1">
      <w:pPr>
        <w:jc w:val="both"/>
        <w:rPr>
          <w:rFonts w:ascii="Arial" w:hAnsi="Arial" w:cs="Arial"/>
          <w:sz w:val="22"/>
          <w:szCs w:val="22"/>
        </w:rPr>
      </w:pPr>
    </w:p>
    <w:p w:rsidR="00286C6E" w:rsidRDefault="007A1976" w:rsidP="004401C1">
      <w:pPr>
        <w:jc w:val="both"/>
        <w:rPr>
          <w:rFonts w:ascii="Arial" w:hAnsi="Arial" w:cs="Arial"/>
          <w:sz w:val="22"/>
          <w:szCs w:val="22"/>
        </w:rPr>
      </w:pPr>
      <w:r>
        <w:rPr>
          <w:rFonts w:ascii="Arial" w:hAnsi="Arial" w:cs="Arial"/>
          <w:sz w:val="22"/>
          <w:szCs w:val="22"/>
        </w:rPr>
        <w:t>V </w:t>
      </w:r>
      <w:r w:rsidR="00286C6E">
        <w:rPr>
          <w:rFonts w:ascii="Arial" w:hAnsi="Arial" w:cs="Arial"/>
          <w:sz w:val="22"/>
          <w:szCs w:val="22"/>
        </w:rPr>
        <w:t>průměru byly na jednu kontrolu vynaloženy finanční prostředky ve výši 708 Kč,</w:t>
      </w:r>
      <w:r w:rsidR="00286C6E">
        <w:rPr>
          <w:rFonts w:ascii="Calibri" w:hAnsi="Calibri"/>
          <w:sz w:val="22"/>
          <w:szCs w:val="22"/>
        </w:rPr>
        <w:t xml:space="preserve"> </w:t>
      </w:r>
      <w:r w:rsidR="00286C6E">
        <w:rPr>
          <w:rFonts w:ascii="Arial" w:hAnsi="Arial" w:cs="Arial"/>
          <w:sz w:val="22"/>
          <w:szCs w:val="22"/>
        </w:rPr>
        <w:t xml:space="preserve">na jedno zjištěné porušení právních předpisů 3 601,61 Kč a 4,59 Kč na jednu korunu uložené blokové pokuty. </w:t>
      </w:r>
      <w:r w:rsidR="00286C6E" w:rsidRPr="001E30C7">
        <w:rPr>
          <w:rFonts w:ascii="Arial" w:hAnsi="Arial" w:cs="Arial"/>
          <w:sz w:val="22"/>
          <w:szCs w:val="22"/>
        </w:rPr>
        <w:t xml:space="preserve">Kontrolou NKÚ bylo zjištěno, že v případě hlídky mobilní kontroly dislokované na </w:t>
      </w:r>
      <w:r w:rsidR="00286C6E" w:rsidRPr="00462651">
        <w:rPr>
          <w:rFonts w:ascii="Arial" w:hAnsi="Arial" w:cs="Arial"/>
          <w:sz w:val="22"/>
          <w:szCs w:val="22"/>
        </w:rPr>
        <w:t>C</w:t>
      </w:r>
      <w:r w:rsidR="00352F23" w:rsidRPr="00462651">
        <w:rPr>
          <w:rFonts w:ascii="Arial" w:hAnsi="Arial" w:cs="Arial"/>
          <w:sz w:val="22"/>
          <w:szCs w:val="22"/>
        </w:rPr>
        <w:t xml:space="preserve">elním úřadu </w:t>
      </w:r>
      <w:r w:rsidR="00286C6E" w:rsidRPr="00462651">
        <w:rPr>
          <w:rFonts w:ascii="Arial" w:hAnsi="Arial" w:cs="Arial"/>
          <w:sz w:val="22"/>
          <w:szCs w:val="22"/>
        </w:rPr>
        <w:t xml:space="preserve">Praha D5 bylo po dobu několika let dosahováno </w:t>
      </w:r>
      <w:r w:rsidR="001E30C7" w:rsidRPr="00462651">
        <w:rPr>
          <w:rFonts w:ascii="Arial" w:hAnsi="Arial" w:cs="Arial"/>
          <w:sz w:val="22"/>
          <w:szCs w:val="22"/>
        </w:rPr>
        <w:t xml:space="preserve">2,3násobně </w:t>
      </w:r>
      <w:r w:rsidR="00286C6E" w:rsidRPr="00462651">
        <w:rPr>
          <w:rFonts w:ascii="Arial" w:hAnsi="Arial" w:cs="Arial"/>
          <w:sz w:val="22"/>
          <w:szCs w:val="22"/>
        </w:rPr>
        <w:t>nižší efektivity</w:t>
      </w:r>
      <w:r w:rsidR="00E75E51" w:rsidRPr="00462651">
        <w:rPr>
          <w:rFonts w:ascii="Arial" w:hAnsi="Arial" w:cs="Arial"/>
          <w:sz w:val="22"/>
          <w:szCs w:val="22"/>
        </w:rPr>
        <w:t xml:space="preserve"> kontroly </w:t>
      </w:r>
      <w:r>
        <w:rPr>
          <w:rFonts w:ascii="Arial" w:hAnsi="Arial" w:cs="Arial"/>
          <w:sz w:val="22"/>
          <w:szCs w:val="22"/>
        </w:rPr>
        <w:t>v </w:t>
      </w:r>
      <w:r w:rsidR="00E75E51" w:rsidRPr="00462651">
        <w:rPr>
          <w:rFonts w:ascii="Arial" w:hAnsi="Arial" w:cs="Arial"/>
          <w:sz w:val="22"/>
          <w:szCs w:val="22"/>
        </w:rPr>
        <w:t>SVZ</w:t>
      </w:r>
      <w:r w:rsidR="00286C6E" w:rsidRPr="00462651">
        <w:rPr>
          <w:rFonts w:ascii="Arial" w:hAnsi="Arial" w:cs="Arial"/>
          <w:sz w:val="22"/>
          <w:szCs w:val="22"/>
        </w:rPr>
        <w:t>,</w:t>
      </w:r>
      <w:r w:rsidR="003554BB" w:rsidRPr="00462651">
        <w:rPr>
          <w:rFonts w:ascii="Arial" w:hAnsi="Arial" w:cs="Arial"/>
          <w:sz w:val="22"/>
          <w:szCs w:val="22"/>
        </w:rPr>
        <w:t xml:space="preserve"> než činil průměr dosahovaný ostatními celními úřady</w:t>
      </w:r>
      <w:r w:rsidR="00962C1A" w:rsidRPr="00462651">
        <w:rPr>
          <w:rFonts w:ascii="Arial" w:hAnsi="Arial" w:cs="Arial"/>
          <w:sz w:val="22"/>
          <w:szCs w:val="22"/>
        </w:rPr>
        <w:t>, a</w:t>
      </w:r>
      <w:r w:rsidR="00286C6E" w:rsidRPr="00462651">
        <w:rPr>
          <w:rFonts w:ascii="Arial" w:hAnsi="Arial" w:cs="Arial"/>
          <w:sz w:val="22"/>
          <w:szCs w:val="22"/>
        </w:rPr>
        <w:t xml:space="preserve"> GŘC nepřijalo dostatečně pružně opatření k nápravě. </w:t>
      </w:r>
    </w:p>
    <w:p w:rsidR="00C25DFC" w:rsidRDefault="00C25DFC" w:rsidP="004401C1">
      <w:pPr>
        <w:pStyle w:val="Odstavecseseznamem1"/>
        <w:ind w:left="0"/>
        <w:jc w:val="both"/>
        <w:rPr>
          <w:rFonts w:ascii="Arial" w:hAnsi="Arial" w:cs="Arial"/>
          <w:b/>
          <w:sz w:val="22"/>
          <w:szCs w:val="22"/>
          <w:lang w:val="cs-CZ"/>
        </w:rPr>
      </w:pPr>
    </w:p>
    <w:p w:rsidR="00C25DFC" w:rsidRPr="004401C1" w:rsidRDefault="00C25DFC" w:rsidP="00C25DFC">
      <w:pPr>
        <w:pStyle w:val="Odstavecseseznamem1"/>
        <w:spacing w:after="120"/>
        <w:ind w:left="0"/>
        <w:jc w:val="both"/>
        <w:rPr>
          <w:rFonts w:ascii="Arial" w:hAnsi="Arial" w:cs="Arial"/>
          <w:b/>
          <w:sz w:val="22"/>
          <w:szCs w:val="22"/>
          <w:lang w:val="cs-CZ"/>
        </w:rPr>
      </w:pPr>
      <w:r w:rsidRPr="004401C1">
        <w:rPr>
          <w:rFonts w:ascii="Arial" w:hAnsi="Arial" w:cs="Arial"/>
          <w:b/>
          <w:sz w:val="22"/>
          <w:szCs w:val="22"/>
        </w:rPr>
        <w:t xml:space="preserve">4.2 Ukládání a vymáhání pokut </w:t>
      </w:r>
    </w:p>
    <w:p w:rsidR="00286C6E" w:rsidRDefault="00286C6E" w:rsidP="004401C1">
      <w:pPr>
        <w:pStyle w:val="Odstavecseseznamem1"/>
        <w:ind w:left="0"/>
        <w:jc w:val="both"/>
        <w:rPr>
          <w:rFonts w:ascii="Arial" w:hAnsi="Arial" w:cs="Arial"/>
          <w:sz w:val="22"/>
          <w:szCs w:val="22"/>
          <w:lang w:val="cs-CZ"/>
        </w:rPr>
      </w:pPr>
      <w:r>
        <w:rPr>
          <w:rFonts w:ascii="Arial" w:hAnsi="Arial" w:cs="Arial"/>
          <w:sz w:val="22"/>
          <w:szCs w:val="22"/>
        </w:rPr>
        <w:t xml:space="preserve">Celní </w:t>
      </w:r>
      <w:r w:rsidR="00DA0F32">
        <w:rPr>
          <w:rFonts w:ascii="Arial" w:hAnsi="Arial" w:cs="Arial"/>
          <w:sz w:val="22"/>
          <w:szCs w:val="22"/>
        </w:rPr>
        <w:t xml:space="preserve">správa </w:t>
      </w:r>
      <w:r>
        <w:rPr>
          <w:rFonts w:ascii="Arial" w:hAnsi="Arial" w:cs="Arial"/>
          <w:sz w:val="22"/>
          <w:szCs w:val="22"/>
        </w:rPr>
        <w:t>ČR v kontrolovaném období při kontrole výkonového a časového zpoplatnění</w:t>
      </w:r>
      <w:r w:rsidR="0099670A">
        <w:rPr>
          <w:rStyle w:val="Znakapoznpodarou"/>
          <w:rFonts w:ascii="Arial" w:hAnsi="Arial" w:cs="Arial"/>
          <w:sz w:val="22"/>
          <w:szCs w:val="22"/>
        </w:rPr>
        <w:footnoteReference w:id="27"/>
      </w:r>
      <w:r>
        <w:rPr>
          <w:rFonts w:ascii="Arial" w:hAnsi="Arial" w:cs="Arial"/>
          <w:sz w:val="22"/>
          <w:szCs w:val="22"/>
        </w:rPr>
        <w:t xml:space="preserve"> zjistil</w:t>
      </w:r>
      <w:r w:rsidR="00DA0F32">
        <w:rPr>
          <w:rFonts w:ascii="Arial" w:hAnsi="Arial" w:cs="Arial"/>
          <w:sz w:val="22"/>
          <w:szCs w:val="22"/>
        </w:rPr>
        <w:t>a</w:t>
      </w:r>
      <w:r>
        <w:rPr>
          <w:rFonts w:ascii="Arial" w:hAnsi="Arial" w:cs="Arial"/>
          <w:sz w:val="22"/>
          <w:szCs w:val="22"/>
        </w:rPr>
        <w:t xml:space="preserve"> 178 976 porušení</w:t>
      </w:r>
      <w:r w:rsidR="00962C1A">
        <w:rPr>
          <w:rFonts w:ascii="Arial" w:hAnsi="Arial" w:cs="Arial"/>
          <w:sz w:val="22"/>
          <w:szCs w:val="22"/>
        </w:rPr>
        <w:t xml:space="preserve"> právních předpisů upravujících zpoplatnění</w:t>
      </w:r>
      <w:r>
        <w:rPr>
          <w:rFonts w:ascii="Arial" w:hAnsi="Arial" w:cs="Arial"/>
          <w:sz w:val="22"/>
          <w:szCs w:val="22"/>
        </w:rPr>
        <w:t xml:space="preserve">, z toho </w:t>
      </w:r>
      <w:r w:rsidR="008F04D8">
        <w:rPr>
          <w:rFonts w:ascii="Arial" w:hAnsi="Arial" w:cs="Arial"/>
          <w:sz w:val="22"/>
          <w:szCs w:val="22"/>
          <w:lang w:val="cs-CZ"/>
        </w:rPr>
        <w:t>9</w:t>
      </w:r>
      <w:r w:rsidR="007A66F8">
        <w:rPr>
          <w:rFonts w:ascii="Arial" w:hAnsi="Arial" w:cs="Arial"/>
          <w:sz w:val="22"/>
          <w:szCs w:val="22"/>
          <w:lang w:val="cs-CZ"/>
        </w:rPr>
        <w:t>6</w:t>
      </w:r>
      <w:r>
        <w:rPr>
          <w:rFonts w:ascii="Arial" w:hAnsi="Arial" w:cs="Arial"/>
          <w:sz w:val="22"/>
          <w:szCs w:val="22"/>
        </w:rPr>
        <w:t xml:space="preserve"> % bylo </w:t>
      </w:r>
      <w:r w:rsidR="008F04D8">
        <w:rPr>
          <w:rFonts w:ascii="Arial" w:hAnsi="Arial" w:cs="Arial"/>
          <w:sz w:val="22"/>
          <w:szCs w:val="22"/>
          <w:lang w:val="cs-CZ"/>
        </w:rPr>
        <w:lastRenderedPageBreak/>
        <w:t xml:space="preserve">vyřešeno </w:t>
      </w:r>
      <w:r w:rsidR="007A66F8">
        <w:rPr>
          <w:rFonts w:ascii="Arial" w:hAnsi="Arial" w:cs="Arial"/>
          <w:sz w:val="22"/>
          <w:szCs w:val="22"/>
          <w:lang w:val="cs-CZ"/>
        </w:rPr>
        <w:t xml:space="preserve">pokutou </w:t>
      </w:r>
      <w:r w:rsidR="008F04D8">
        <w:rPr>
          <w:rFonts w:ascii="Arial" w:hAnsi="Arial" w:cs="Arial"/>
          <w:sz w:val="22"/>
          <w:szCs w:val="22"/>
          <w:lang w:val="cs-CZ"/>
        </w:rPr>
        <w:t>v blokovém řízení.</w:t>
      </w:r>
      <w:r w:rsidR="007A1976">
        <w:rPr>
          <w:rFonts w:ascii="Arial" w:hAnsi="Arial" w:cs="Arial"/>
          <w:sz w:val="22"/>
          <w:szCs w:val="22"/>
          <w:lang w:val="cs-CZ"/>
        </w:rPr>
        <w:t xml:space="preserve"> </w:t>
      </w:r>
      <w:r>
        <w:rPr>
          <w:rFonts w:ascii="Arial" w:hAnsi="Arial" w:cs="Arial"/>
          <w:sz w:val="22"/>
          <w:szCs w:val="22"/>
        </w:rPr>
        <w:t>Uložené pokuty dosáhly 141,2 mil. Kč</w:t>
      </w:r>
      <w:r w:rsidR="00441AA2">
        <w:rPr>
          <w:rFonts w:ascii="Arial" w:hAnsi="Arial" w:cs="Arial"/>
          <w:sz w:val="22"/>
          <w:szCs w:val="22"/>
          <w:lang w:val="cs-CZ"/>
        </w:rPr>
        <w:t>.</w:t>
      </w:r>
      <w:r w:rsidR="00F964E8">
        <w:rPr>
          <w:rStyle w:val="Znakapoznpodarou"/>
          <w:rFonts w:ascii="Arial" w:hAnsi="Arial" w:cs="Arial"/>
          <w:sz w:val="22"/>
          <w:szCs w:val="22"/>
        </w:rPr>
        <w:footnoteReference w:id="28"/>
      </w:r>
      <w:r>
        <w:rPr>
          <w:rFonts w:ascii="Arial" w:hAnsi="Arial" w:cs="Arial"/>
          <w:sz w:val="22"/>
          <w:szCs w:val="22"/>
        </w:rPr>
        <w:t xml:space="preserve"> Pokuty uložené cizím státním</w:t>
      </w:r>
      <w:r w:rsidR="002B586B">
        <w:rPr>
          <w:rFonts w:ascii="Arial" w:hAnsi="Arial" w:cs="Arial"/>
          <w:sz w:val="22"/>
          <w:szCs w:val="22"/>
        </w:rPr>
        <w:t xml:space="preserve"> příslušníkům činily cca 50 %. </w:t>
      </w:r>
      <w:r>
        <w:rPr>
          <w:rFonts w:ascii="Arial" w:hAnsi="Arial" w:cs="Arial"/>
          <w:sz w:val="22"/>
          <w:szCs w:val="22"/>
        </w:rPr>
        <w:t>Počet porušení, uložených pokut a jejich finanční objem připadá ze dvou</w:t>
      </w:r>
      <w:r w:rsidR="000037C0">
        <w:rPr>
          <w:rFonts w:ascii="Arial" w:hAnsi="Arial" w:cs="Arial"/>
          <w:sz w:val="22"/>
          <w:szCs w:val="22"/>
        </w:rPr>
        <w:t xml:space="preserve"> třetin na výkonové zpoplatnění</w:t>
      </w:r>
      <w:r w:rsidR="000037C0">
        <w:rPr>
          <w:rFonts w:ascii="Arial" w:hAnsi="Arial" w:cs="Arial"/>
          <w:sz w:val="22"/>
          <w:szCs w:val="22"/>
          <w:lang w:val="cs-CZ"/>
        </w:rPr>
        <w:t>.</w:t>
      </w:r>
      <w:r>
        <w:rPr>
          <w:rFonts w:ascii="Arial" w:hAnsi="Arial" w:cs="Arial"/>
          <w:sz w:val="22"/>
          <w:szCs w:val="22"/>
        </w:rPr>
        <w:t xml:space="preserve"> </w:t>
      </w:r>
      <w:r w:rsidR="000037C0">
        <w:rPr>
          <w:rFonts w:ascii="Arial" w:hAnsi="Arial" w:cs="Arial"/>
          <w:sz w:val="22"/>
          <w:szCs w:val="22"/>
          <w:lang w:val="cs-CZ"/>
        </w:rPr>
        <w:t xml:space="preserve"> </w:t>
      </w:r>
    </w:p>
    <w:p w:rsidR="004920C0" w:rsidRPr="000037C0" w:rsidRDefault="004920C0" w:rsidP="004401C1">
      <w:pPr>
        <w:pStyle w:val="Odstavecseseznamem1"/>
        <w:ind w:left="0"/>
        <w:jc w:val="both"/>
        <w:rPr>
          <w:rFonts w:ascii="Arial" w:hAnsi="Arial" w:cs="Arial"/>
          <w:sz w:val="22"/>
          <w:szCs w:val="22"/>
          <w:lang w:val="cs-CZ"/>
        </w:rPr>
      </w:pPr>
    </w:p>
    <w:p w:rsidR="00286C6E" w:rsidRDefault="00286C6E" w:rsidP="004401C1">
      <w:pPr>
        <w:jc w:val="both"/>
        <w:rPr>
          <w:rFonts w:ascii="Arial" w:hAnsi="Arial" w:cs="Arial"/>
          <w:sz w:val="22"/>
          <w:szCs w:val="22"/>
        </w:rPr>
      </w:pPr>
      <w:r>
        <w:rPr>
          <w:rFonts w:ascii="Arial" w:hAnsi="Arial" w:cs="Arial"/>
          <w:sz w:val="22"/>
          <w:szCs w:val="22"/>
        </w:rPr>
        <w:t xml:space="preserve">Sankce za porušení </w:t>
      </w:r>
      <w:r w:rsidR="000B5249">
        <w:rPr>
          <w:rFonts w:ascii="Arial" w:hAnsi="Arial" w:cs="Arial"/>
          <w:sz w:val="22"/>
          <w:szCs w:val="22"/>
        </w:rPr>
        <w:t>právních předpisů</w:t>
      </w:r>
      <w:r>
        <w:rPr>
          <w:rFonts w:ascii="Arial" w:hAnsi="Arial" w:cs="Arial"/>
          <w:sz w:val="22"/>
          <w:szCs w:val="22"/>
        </w:rPr>
        <w:t xml:space="preserve"> </w:t>
      </w:r>
      <w:r w:rsidR="00962C1A">
        <w:rPr>
          <w:rFonts w:ascii="Arial" w:hAnsi="Arial" w:cs="Arial"/>
          <w:sz w:val="22"/>
          <w:szCs w:val="22"/>
        </w:rPr>
        <w:t>byly</w:t>
      </w:r>
      <w:r>
        <w:rPr>
          <w:rFonts w:ascii="Arial" w:hAnsi="Arial" w:cs="Arial"/>
          <w:sz w:val="22"/>
          <w:szCs w:val="22"/>
        </w:rPr>
        <w:t xml:space="preserve"> ukládány jen v případech, kdy </w:t>
      </w:r>
      <w:r w:rsidR="00962C1A">
        <w:rPr>
          <w:rFonts w:ascii="Arial" w:hAnsi="Arial" w:cs="Arial"/>
          <w:sz w:val="22"/>
          <w:szCs w:val="22"/>
        </w:rPr>
        <w:t>bylo</w:t>
      </w:r>
      <w:r>
        <w:rPr>
          <w:rFonts w:ascii="Arial" w:hAnsi="Arial" w:cs="Arial"/>
          <w:sz w:val="22"/>
          <w:szCs w:val="22"/>
        </w:rPr>
        <w:t xml:space="preserve"> vozidlo zastaveno hlídkou mobilní kontroly </w:t>
      </w:r>
      <w:r w:rsidR="00763B20">
        <w:rPr>
          <w:rFonts w:ascii="Arial" w:hAnsi="Arial" w:cs="Arial"/>
          <w:sz w:val="22"/>
          <w:szCs w:val="22"/>
        </w:rPr>
        <w:t>C</w:t>
      </w:r>
      <w:r w:rsidR="00A2213F">
        <w:rPr>
          <w:rFonts w:ascii="Arial" w:hAnsi="Arial" w:cs="Arial"/>
          <w:sz w:val="22"/>
          <w:szCs w:val="22"/>
        </w:rPr>
        <w:t>elní správy</w:t>
      </w:r>
      <w:r w:rsidR="00763B20">
        <w:rPr>
          <w:rFonts w:ascii="Arial" w:hAnsi="Arial" w:cs="Arial"/>
          <w:sz w:val="22"/>
          <w:szCs w:val="22"/>
        </w:rPr>
        <w:t xml:space="preserve"> ČR</w:t>
      </w:r>
      <w:r>
        <w:rPr>
          <w:rFonts w:ascii="Arial" w:hAnsi="Arial" w:cs="Arial"/>
          <w:sz w:val="22"/>
          <w:szCs w:val="22"/>
        </w:rPr>
        <w:t>. Při ukládání pokut v SVZ byla zohledňována četnost porušení právních předpisů v oblas</w:t>
      </w:r>
      <w:r w:rsidR="00D84DFC">
        <w:rPr>
          <w:rFonts w:ascii="Arial" w:hAnsi="Arial" w:cs="Arial"/>
          <w:sz w:val="22"/>
          <w:szCs w:val="22"/>
        </w:rPr>
        <w:t>ti zpoplatnění. ŘSD informace o </w:t>
      </w:r>
      <w:r>
        <w:rPr>
          <w:rFonts w:ascii="Arial" w:hAnsi="Arial" w:cs="Arial"/>
          <w:sz w:val="22"/>
          <w:szCs w:val="22"/>
        </w:rPr>
        <w:t xml:space="preserve">porušení právních předpisů </w:t>
      </w:r>
      <w:r w:rsidR="00C74CE5">
        <w:rPr>
          <w:rFonts w:ascii="Arial" w:hAnsi="Arial" w:cs="Arial"/>
          <w:sz w:val="22"/>
          <w:szCs w:val="22"/>
        </w:rPr>
        <w:t xml:space="preserve">zjištěné v průběhu vymáhání nedoplatků soukromoprávními subjekty </w:t>
      </w:r>
      <w:r w:rsidR="004318B7">
        <w:rPr>
          <w:rFonts w:ascii="Arial" w:hAnsi="Arial" w:cs="Arial"/>
          <w:sz w:val="22"/>
          <w:szCs w:val="22"/>
        </w:rPr>
        <w:t>Celní správě</w:t>
      </w:r>
      <w:r w:rsidR="00962C1A">
        <w:rPr>
          <w:rFonts w:ascii="Arial" w:hAnsi="Arial" w:cs="Arial"/>
          <w:sz w:val="22"/>
          <w:szCs w:val="22"/>
        </w:rPr>
        <w:t xml:space="preserve"> ČR k uložení sankce nepředávalo</w:t>
      </w:r>
      <w:r>
        <w:rPr>
          <w:rFonts w:ascii="Arial" w:hAnsi="Arial" w:cs="Arial"/>
          <w:sz w:val="22"/>
          <w:szCs w:val="22"/>
        </w:rPr>
        <w:t xml:space="preserve">.  </w:t>
      </w:r>
    </w:p>
    <w:p w:rsidR="004920C0" w:rsidRDefault="004920C0" w:rsidP="004401C1">
      <w:pPr>
        <w:jc w:val="both"/>
        <w:rPr>
          <w:rFonts w:ascii="Arial" w:hAnsi="Arial" w:cs="Arial"/>
          <w:sz w:val="22"/>
          <w:szCs w:val="22"/>
        </w:rPr>
      </w:pPr>
    </w:p>
    <w:p w:rsidR="00286C6E" w:rsidRDefault="00286C6E" w:rsidP="004401C1">
      <w:pPr>
        <w:jc w:val="both"/>
        <w:rPr>
          <w:rFonts w:ascii="Arial" w:hAnsi="Arial" w:cs="Arial"/>
          <w:sz w:val="22"/>
          <w:szCs w:val="22"/>
        </w:rPr>
      </w:pPr>
      <w:r w:rsidRPr="00C74CE5">
        <w:rPr>
          <w:rFonts w:ascii="Arial" w:hAnsi="Arial" w:cs="Arial"/>
          <w:sz w:val="22"/>
          <w:szCs w:val="22"/>
        </w:rPr>
        <w:t xml:space="preserve">Vymáhání </w:t>
      </w:r>
      <w:r w:rsidR="005D61CA" w:rsidRPr="00C74CE5">
        <w:rPr>
          <w:rFonts w:ascii="Arial" w:hAnsi="Arial" w:cs="Arial"/>
          <w:sz w:val="22"/>
          <w:szCs w:val="22"/>
        </w:rPr>
        <w:t>nedoplatků na pokutách prováděla</w:t>
      </w:r>
      <w:r w:rsidRPr="00C74CE5">
        <w:rPr>
          <w:rFonts w:ascii="Arial" w:hAnsi="Arial" w:cs="Arial"/>
          <w:sz w:val="22"/>
          <w:szCs w:val="22"/>
        </w:rPr>
        <w:t xml:space="preserve"> Celní </w:t>
      </w:r>
      <w:r w:rsidR="00A60377" w:rsidRPr="00C74CE5">
        <w:rPr>
          <w:rFonts w:ascii="Arial" w:hAnsi="Arial" w:cs="Arial"/>
          <w:sz w:val="22"/>
          <w:szCs w:val="22"/>
        </w:rPr>
        <w:t xml:space="preserve">správa </w:t>
      </w:r>
      <w:r w:rsidRPr="00C74CE5">
        <w:rPr>
          <w:rFonts w:ascii="Arial" w:hAnsi="Arial" w:cs="Arial"/>
          <w:sz w:val="22"/>
          <w:szCs w:val="22"/>
        </w:rPr>
        <w:t xml:space="preserve">ČR podle právních předpisů upravujících správu daní a poplatků. Nedoplatky na pokutách byly vymáhány </w:t>
      </w:r>
      <w:r w:rsidR="00441AA2">
        <w:rPr>
          <w:rFonts w:ascii="Arial" w:hAnsi="Arial" w:cs="Arial"/>
          <w:sz w:val="22"/>
          <w:szCs w:val="22"/>
        </w:rPr>
        <w:t xml:space="preserve">zároveň </w:t>
      </w:r>
      <w:r w:rsidRPr="00C74CE5">
        <w:rPr>
          <w:rFonts w:ascii="Arial" w:hAnsi="Arial" w:cs="Arial"/>
          <w:sz w:val="22"/>
          <w:szCs w:val="22"/>
        </w:rPr>
        <w:t>s dalšími daňovými nedoplatky</w:t>
      </w:r>
      <w:r w:rsidR="000037C0">
        <w:rPr>
          <w:rFonts w:ascii="Arial" w:hAnsi="Arial" w:cs="Arial"/>
          <w:sz w:val="22"/>
          <w:szCs w:val="22"/>
        </w:rPr>
        <w:t>,</w:t>
      </w:r>
      <w:r w:rsidRPr="00C74CE5">
        <w:rPr>
          <w:rFonts w:ascii="Arial" w:hAnsi="Arial" w:cs="Arial"/>
          <w:sz w:val="22"/>
          <w:szCs w:val="22"/>
        </w:rPr>
        <w:t xml:space="preserve"> </w:t>
      </w:r>
      <w:r w:rsidR="000037C0">
        <w:rPr>
          <w:rFonts w:ascii="Arial" w:hAnsi="Arial" w:cs="Arial"/>
          <w:sz w:val="22"/>
          <w:szCs w:val="22"/>
        </w:rPr>
        <w:t>tak</w:t>
      </w:r>
      <w:r w:rsidR="00441AA2">
        <w:rPr>
          <w:rFonts w:ascii="Arial" w:hAnsi="Arial" w:cs="Arial"/>
          <w:sz w:val="22"/>
          <w:szCs w:val="22"/>
        </w:rPr>
        <w:t>že</w:t>
      </w:r>
      <w:r w:rsidR="000037C0">
        <w:rPr>
          <w:rFonts w:ascii="Arial" w:hAnsi="Arial" w:cs="Arial"/>
          <w:sz w:val="22"/>
          <w:szCs w:val="22"/>
        </w:rPr>
        <w:t xml:space="preserve"> </w:t>
      </w:r>
      <w:r w:rsidRPr="00C74CE5">
        <w:rPr>
          <w:rFonts w:ascii="Arial" w:hAnsi="Arial" w:cs="Arial"/>
          <w:sz w:val="22"/>
          <w:szCs w:val="22"/>
        </w:rPr>
        <w:t xml:space="preserve">náklady na vymáhání </w:t>
      </w:r>
      <w:r w:rsidR="00441AA2" w:rsidRPr="00C74CE5">
        <w:rPr>
          <w:rFonts w:ascii="Arial" w:hAnsi="Arial" w:cs="Arial"/>
          <w:sz w:val="22"/>
          <w:szCs w:val="22"/>
        </w:rPr>
        <w:t xml:space="preserve">nelze </w:t>
      </w:r>
      <w:r w:rsidRPr="00C74CE5">
        <w:rPr>
          <w:rFonts w:ascii="Arial" w:hAnsi="Arial" w:cs="Arial"/>
          <w:sz w:val="22"/>
          <w:szCs w:val="22"/>
        </w:rPr>
        <w:t xml:space="preserve">samostatně vyčíslit. </w:t>
      </w:r>
    </w:p>
    <w:p w:rsidR="004920C0" w:rsidRPr="00C74CE5" w:rsidRDefault="004920C0" w:rsidP="004401C1">
      <w:pPr>
        <w:jc w:val="both"/>
        <w:rPr>
          <w:rFonts w:ascii="Arial" w:hAnsi="Arial" w:cs="Arial"/>
          <w:sz w:val="22"/>
          <w:szCs w:val="22"/>
        </w:rPr>
      </w:pPr>
    </w:p>
    <w:p w:rsidR="007E68BF" w:rsidRDefault="00505FD8" w:rsidP="004401C1">
      <w:pPr>
        <w:jc w:val="both"/>
        <w:rPr>
          <w:rFonts w:ascii="Arial" w:hAnsi="Arial" w:cs="Arial"/>
          <w:sz w:val="22"/>
          <w:szCs w:val="22"/>
        </w:rPr>
      </w:pPr>
      <w:r w:rsidRPr="00462651">
        <w:rPr>
          <w:rFonts w:ascii="Arial" w:hAnsi="Arial"/>
          <w:sz w:val="22"/>
        </w:rPr>
        <w:t xml:space="preserve">Pokuty uložené v kontrolovaném období na místě nezaplacené cizími státními příslušníky byly vymoženy z 50 % </w:t>
      </w:r>
      <w:r w:rsidR="00286C6E" w:rsidRPr="00462651">
        <w:rPr>
          <w:rFonts w:ascii="Arial" w:hAnsi="Arial" w:cs="Arial"/>
          <w:sz w:val="22"/>
          <w:szCs w:val="22"/>
        </w:rPr>
        <w:t>(u tuzemských dlužníků dosáhla úspěšnost vymáhání 75 %). Z důvodu výše uložených pokut a vysokých nákladů spojených s jejich vymáháním</w:t>
      </w:r>
      <w:r w:rsidR="00286C6E">
        <w:rPr>
          <w:rFonts w:ascii="Arial" w:hAnsi="Arial" w:cs="Arial"/>
          <w:sz w:val="22"/>
          <w:szCs w:val="22"/>
        </w:rPr>
        <w:t xml:space="preserve"> v zahraničí </w:t>
      </w:r>
      <w:r w:rsidR="00441AA2">
        <w:rPr>
          <w:rFonts w:ascii="Arial" w:hAnsi="Arial" w:cs="Arial"/>
          <w:sz w:val="22"/>
          <w:szCs w:val="22"/>
        </w:rPr>
        <w:t xml:space="preserve">a z důvodu </w:t>
      </w:r>
      <w:r w:rsidR="00286C6E">
        <w:rPr>
          <w:rFonts w:ascii="Arial" w:hAnsi="Arial" w:cs="Arial"/>
          <w:sz w:val="22"/>
          <w:szCs w:val="22"/>
        </w:rPr>
        <w:t>nemožnosti vymáhat nedoplatky prostřednictvím zahraničních správních orgánů (tak</w:t>
      </w:r>
      <w:r w:rsidR="00E63EA9">
        <w:rPr>
          <w:rFonts w:ascii="Arial" w:hAnsi="Arial" w:cs="Arial"/>
          <w:sz w:val="22"/>
          <w:szCs w:val="22"/>
        </w:rPr>
        <w:t>,</w:t>
      </w:r>
      <w:r w:rsidR="00286C6E">
        <w:rPr>
          <w:rFonts w:ascii="Arial" w:hAnsi="Arial" w:cs="Arial"/>
          <w:sz w:val="22"/>
          <w:szCs w:val="22"/>
        </w:rPr>
        <w:t xml:space="preserve"> jak je to</w:t>
      </w:r>
      <w:r w:rsidR="00441AA2">
        <w:rPr>
          <w:rFonts w:ascii="Arial" w:hAnsi="Arial" w:cs="Arial"/>
          <w:sz w:val="22"/>
          <w:szCs w:val="22"/>
        </w:rPr>
        <w:t>mu</w:t>
      </w:r>
      <w:r w:rsidR="00286C6E">
        <w:rPr>
          <w:rFonts w:ascii="Arial" w:hAnsi="Arial" w:cs="Arial"/>
          <w:sz w:val="22"/>
          <w:szCs w:val="22"/>
        </w:rPr>
        <w:t xml:space="preserve"> při vymáhání </w:t>
      </w:r>
      <w:r w:rsidR="00C74CE5">
        <w:rPr>
          <w:rFonts w:ascii="Arial" w:hAnsi="Arial" w:cs="Arial"/>
          <w:sz w:val="22"/>
          <w:szCs w:val="22"/>
        </w:rPr>
        <w:t xml:space="preserve">ostatních </w:t>
      </w:r>
      <w:r w:rsidR="00286C6E">
        <w:rPr>
          <w:rFonts w:ascii="Arial" w:hAnsi="Arial" w:cs="Arial"/>
          <w:sz w:val="22"/>
          <w:szCs w:val="22"/>
        </w:rPr>
        <w:t xml:space="preserve">daňových nedoplatků) </w:t>
      </w:r>
      <w:r w:rsidR="00286C6E" w:rsidRPr="004D179C">
        <w:rPr>
          <w:rFonts w:ascii="Arial" w:hAnsi="Arial" w:cs="Arial"/>
          <w:sz w:val="22"/>
          <w:szCs w:val="22"/>
        </w:rPr>
        <w:t xml:space="preserve">bylo zaslání výzvy k zaplacení pokuty v náhradní lhůtě zpravidla jediným úkonem </w:t>
      </w:r>
      <w:r w:rsidR="000037C0">
        <w:rPr>
          <w:rFonts w:ascii="Arial" w:hAnsi="Arial" w:cs="Arial"/>
          <w:sz w:val="22"/>
          <w:szCs w:val="22"/>
        </w:rPr>
        <w:t xml:space="preserve">vůči cizím státním příslušníkům </w:t>
      </w:r>
      <w:r w:rsidR="00286C6E" w:rsidRPr="004D179C">
        <w:rPr>
          <w:rFonts w:ascii="Arial" w:hAnsi="Arial" w:cs="Arial"/>
          <w:sz w:val="22"/>
          <w:szCs w:val="22"/>
        </w:rPr>
        <w:t>při vymáhání</w:t>
      </w:r>
      <w:r w:rsidR="006F6F8F">
        <w:rPr>
          <w:rFonts w:ascii="Arial" w:hAnsi="Arial" w:cs="Arial"/>
          <w:sz w:val="22"/>
          <w:szCs w:val="22"/>
        </w:rPr>
        <w:t xml:space="preserve"> pokut</w:t>
      </w:r>
      <w:r w:rsidR="00286C6E" w:rsidRPr="004D179C">
        <w:rPr>
          <w:rFonts w:ascii="Arial" w:hAnsi="Arial" w:cs="Arial"/>
          <w:sz w:val="22"/>
          <w:szCs w:val="22"/>
        </w:rPr>
        <w:t xml:space="preserve">. </w:t>
      </w:r>
    </w:p>
    <w:p w:rsidR="004920C0" w:rsidRPr="004D179C" w:rsidRDefault="004920C0" w:rsidP="004401C1">
      <w:pPr>
        <w:jc w:val="both"/>
        <w:rPr>
          <w:rFonts w:ascii="Arial" w:hAnsi="Arial" w:cs="Arial"/>
          <w:sz w:val="22"/>
          <w:szCs w:val="22"/>
        </w:rPr>
      </w:pPr>
    </w:p>
    <w:p w:rsidR="00286C6E" w:rsidRDefault="00441AA2" w:rsidP="004401C1">
      <w:pPr>
        <w:pStyle w:val="Nadpis2"/>
        <w:spacing w:before="0" w:after="0"/>
        <w:jc w:val="both"/>
        <w:rPr>
          <w:rFonts w:ascii="Arial" w:hAnsi="Arial" w:cs="Arial"/>
          <w:i w:val="0"/>
          <w:sz w:val="22"/>
          <w:szCs w:val="22"/>
        </w:rPr>
      </w:pPr>
      <w:r>
        <w:rPr>
          <w:rFonts w:ascii="Arial" w:hAnsi="Arial" w:cs="Arial"/>
          <w:i w:val="0"/>
          <w:sz w:val="22"/>
          <w:szCs w:val="22"/>
        </w:rPr>
        <w:t xml:space="preserve">5. </w:t>
      </w:r>
      <w:r w:rsidR="008146E8">
        <w:rPr>
          <w:rFonts w:ascii="Arial" w:hAnsi="Arial" w:cs="Arial"/>
          <w:i w:val="0"/>
          <w:sz w:val="22"/>
          <w:szCs w:val="22"/>
        </w:rPr>
        <w:t>Vyúčtování</w:t>
      </w:r>
      <w:r w:rsidR="00CD7B98">
        <w:rPr>
          <w:rFonts w:ascii="Arial" w:hAnsi="Arial" w:cs="Arial"/>
          <w:i w:val="0"/>
          <w:sz w:val="22"/>
          <w:szCs w:val="22"/>
        </w:rPr>
        <w:t xml:space="preserve"> </w:t>
      </w:r>
      <w:r w:rsidR="00614730">
        <w:rPr>
          <w:rFonts w:ascii="Arial" w:hAnsi="Arial" w:cs="Arial"/>
          <w:i w:val="0"/>
          <w:sz w:val="22"/>
          <w:szCs w:val="22"/>
        </w:rPr>
        <w:t xml:space="preserve">uniklého mýta </w:t>
      </w:r>
      <w:r w:rsidR="00286C6E" w:rsidRPr="00FD19FB">
        <w:rPr>
          <w:rFonts w:ascii="Arial" w:hAnsi="Arial" w:cs="Arial"/>
          <w:i w:val="0"/>
          <w:sz w:val="22"/>
          <w:szCs w:val="22"/>
        </w:rPr>
        <w:t>a vymáhání mýtného</w:t>
      </w:r>
    </w:p>
    <w:p w:rsidR="004572E3" w:rsidRPr="004572E3" w:rsidRDefault="004572E3" w:rsidP="004572E3">
      <w:pPr>
        <w:rPr>
          <w:rFonts w:ascii="Arial" w:hAnsi="Arial" w:cs="Arial"/>
          <w:sz w:val="22"/>
          <w:szCs w:val="22"/>
        </w:rPr>
      </w:pPr>
    </w:p>
    <w:p w:rsidR="00852485" w:rsidRDefault="000F2DAB" w:rsidP="004401C1">
      <w:pPr>
        <w:jc w:val="both"/>
        <w:rPr>
          <w:rFonts w:ascii="Arial" w:hAnsi="Arial" w:cs="Arial"/>
          <w:sz w:val="22"/>
          <w:szCs w:val="22"/>
        </w:rPr>
      </w:pPr>
      <w:r w:rsidRPr="000F2DAB">
        <w:rPr>
          <w:rFonts w:ascii="Arial" w:hAnsi="Arial" w:cs="Arial"/>
          <w:sz w:val="22"/>
          <w:szCs w:val="22"/>
        </w:rPr>
        <w:t>Zákon č. 13/1997 Sb. a vyhláška č. 527/2006 Sb.</w:t>
      </w:r>
      <w:r w:rsidR="00286C6E">
        <w:rPr>
          <w:rFonts w:ascii="Arial" w:hAnsi="Arial" w:cs="Arial"/>
          <w:sz w:val="22"/>
          <w:szCs w:val="22"/>
        </w:rPr>
        <w:t xml:space="preserve"> upr</w:t>
      </w:r>
      <w:r w:rsidR="00B035EA">
        <w:rPr>
          <w:rFonts w:ascii="Arial" w:hAnsi="Arial" w:cs="Arial"/>
          <w:sz w:val="22"/>
          <w:szCs w:val="22"/>
        </w:rPr>
        <w:t>avovaly pouze způsob zjištění a </w:t>
      </w:r>
      <w:r w:rsidR="00286C6E">
        <w:rPr>
          <w:rFonts w:ascii="Arial" w:hAnsi="Arial" w:cs="Arial"/>
          <w:sz w:val="22"/>
          <w:szCs w:val="22"/>
        </w:rPr>
        <w:t>stanovení výše mýtného za pomoc</w:t>
      </w:r>
      <w:r w:rsidR="00317441">
        <w:rPr>
          <w:rFonts w:ascii="Arial" w:hAnsi="Arial" w:cs="Arial"/>
          <w:sz w:val="22"/>
          <w:szCs w:val="22"/>
        </w:rPr>
        <w:t>i</w:t>
      </w:r>
      <w:r w:rsidR="00286C6E">
        <w:rPr>
          <w:rFonts w:ascii="Arial" w:hAnsi="Arial" w:cs="Arial"/>
          <w:sz w:val="22"/>
          <w:szCs w:val="22"/>
        </w:rPr>
        <w:t xml:space="preserve"> OBU</w:t>
      </w:r>
      <w:r w:rsidR="004C5ADD">
        <w:rPr>
          <w:rFonts w:ascii="Arial" w:hAnsi="Arial" w:cs="Arial"/>
          <w:sz w:val="22"/>
          <w:szCs w:val="22"/>
        </w:rPr>
        <w:t>. V</w:t>
      </w:r>
      <w:r w:rsidR="00286C6E">
        <w:rPr>
          <w:rFonts w:ascii="Arial" w:hAnsi="Arial" w:cs="Arial"/>
          <w:sz w:val="22"/>
          <w:szCs w:val="22"/>
        </w:rPr>
        <w:t xml:space="preserve"> případech, kdy </w:t>
      </w:r>
      <w:r w:rsidR="004C5ADD">
        <w:rPr>
          <w:rFonts w:ascii="Arial" w:hAnsi="Arial" w:cs="Arial"/>
          <w:sz w:val="22"/>
          <w:szCs w:val="22"/>
        </w:rPr>
        <w:t>Centrum manuální validace</w:t>
      </w:r>
      <w:r w:rsidR="00614730">
        <w:rPr>
          <w:rFonts w:ascii="Arial" w:hAnsi="Arial" w:cs="Arial"/>
          <w:sz w:val="22"/>
          <w:szCs w:val="22"/>
        </w:rPr>
        <w:t xml:space="preserve"> (generální dodavatel)</w:t>
      </w:r>
      <w:r w:rsidR="00044044">
        <w:rPr>
          <w:rFonts w:ascii="Arial" w:hAnsi="Arial" w:cs="Arial"/>
          <w:sz w:val="22"/>
          <w:szCs w:val="22"/>
        </w:rPr>
        <w:t xml:space="preserve"> zaznamenalo</w:t>
      </w:r>
      <w:r w:rsidR="004C5ADD">
        <w:rPr>
          <w:rFonts w:ascii="Arial" w:hAnsi="Arial" w:cs="Arial"/>
          <w:sz w:val="22"/>
          <w:szCs w:val="22"/>
        </w:rPr>
        <w:t xml:space="preserve"> pod kontrolní branou průjezd vozidla, které nebylo zaregistrov</w:t>
      </w:r>
      <w:r w:rsidR="00614730">
        <w:rPr>
          <w:rFonts w:ascii="Arial" w:hAnsi="Arial" w:cs="Arial"/>
          <w:sz w:val="22"/>
          <w:szCs w:val="22"/>
        </w:rPr>
        <w:t>áno uživatelem</w:t>
      </w:r>
      <w:r w:rsidR="00286C6E">
        <w:rPr>
          <w:rFonts w:ascii="Arial" w:hAnsi="Arial" w:cs="Arial"/>
          <w:sz w:val="22"/>
          <w:szCs w:val="22"/>
        </w:rPr>
        <w:t xml:space="preserve"> do SVZ </w:t>
      </w:r>
      <w:r w:rsidR="00614730">
        <w:rPr>
          <w:rFonts w:ascii="Arial" w:hAnsi="Arial" w:cs="Arial"/>
          <w:sz w:val="22"/>
          <w:szCs w:val="22"/>
        </w:rPr>
        <w:t xml:space="preserve">nebo </w:t>
      </w:r>
      <w:r w:rsidR="00317441">
        <w:rPr>
          <w:rFonts w:ascii="Arial" w:hAnsi="Arial" w:cs="Arial"/>
          <w:sz w:val="22"/>
          <w:szCs w:val="22"/>
        </w:rPr>
        <w:t xml:space="preserve">u nějž </w:t>
      </w:r>
      <w:r w:rsidR="005F239B">
        <w:rPr>
          <w:rFonts w:ascii="Arial" w:hAnsi="Arial" w:cs="Arial"/>
          <w:sz w:val="22"/>
          <w:szCs w:val="22"/>
        </w:rPr>
        <w:t>nesouhlasily zaregistrované údaje</w:t>
      </w:r>
      <w:r w:rsidR="00614730">
        <w:rPr>
          <w:rFonts w:ascii="Arial" w:hAnsi="Arial" w:cs="Arial"/>
          <w:sz w:val="22"/>
          <w:szCs w:val="22"/>
        </w:rPr>
        <w:t xml:space="preserve"> (</w:t>
      </w:r>
      <w:r w:rsidR="00852485">
        <w:rPr>
          <w:rFonts w:ascii="Arial" w:hAnsi="Arial" w:cs="Arial"/>
          <w:sz w:val="22"/>
          <w:szCs w:val="22"/>
        </w:rPr>
        <w:t xml:space="preserve">např. </w:t>
      </w:r>
      <w:r w:rsidR="00614730">
        <w:rPr>
          <w:rFonts w:ascii="Arial" w:hAnsi="Arial" w:cs="Arial"/>
          <w:sz w:val="22"/>
          <w:szCs w:val="22"/>
        </w:rPr>
        <w:t>neo</w:t>
      </w:r>
      <w:r w:rsidR="00852485">
        <w:rPr>
          <w:rFonts w:ascii="Arial" w:hAnsi="Arial" w:cs="Arial"/>
          <w:sz w:val="22"/>
          <w:szCs w:val="22"/>
        </w:rPr>
        <w:t>d</w:t>
      </w:r>
      <w:r w:rsidR="00614730">
        <w:rPr>
          <w:rFonts w:ascii="Arial" w:hAnsi="Arial" w:cs="Arial"/>
          <w:sz w:val="22"/>
          <w:szCs w:val="22"/>
        </w:rPr>
        <w:t>povíd</w:t>
      </w:r>
      <w:r w:rsidR="00317441">
        <w:rPr>
          <w:rFonts w:ascii="Arial" w:hAnsi="Arial" w:cs="Arial"/>
          <w:sz w:val="22"/>
          <w:szCs w:val="22"/>
        </w:rPr>
        <w:t>al</w:t>
      </w:r>
      <w:r w:rsidR="00614730">
        <w:rPr>
          <w:rFonts w:ascii="Arial" w:hAnsi="Arial" w:cs="Arial"/>
          <w:sz w:val="22"/>
          <w:szCs w:val="22"/>
        </w:rPr>
        <w:t xml:space="preserve"> počet náprav</w:t>
      </w:r>
      <w:r w:rsidR="00044044">
        <w:rPr>
          <w:rFonts w:ascii="Arial" w:hAnsi="Arial" w:cs="Arial"/>
          <w:sz w:val="22"/>
          <w:szCs w:val="22"/>
        </w:rPr>
        <w:t>, hmotnost vozidla</w:t>
      </w:r>
      <w:r w:rsidR="00852485">
        <w:rPr>
          <w:rFonts w:ascii="Arial" w:hAnsi="Arial" w:cs="Arial"/>
          <w:sz w:val="22"/>
          <w:szCs w:val="22"/>
        </w:rPr>
        <w:t>)</w:t>
      </w:r>
      <w:r w:rsidR="00317441">
        <w:rPr>
          <w:rFonts w:ascii="Arial" w:hAnsi="Arial" w:cs="Arial"/>
          <w:sz w:val="22"/>
          <w:szCs w:val="22"/>
        </w:rPr>
        <w:t>,</w:t>
      </w:r>
      <w:r w:rsidR="00614730">
        <w:rPr>
          <w:rFonts w:ascii="Arial" w:hAnsi="Arial" w:cs="Arial"/>
          <w:sz w:val="22"/>
          <w:szCs w:val="22"/>
        </w:rPr>
        <w:t xml:space="preserve"> </w:t>
      </w:r>
      <w:r w:rsidR="00286C6E">
        <w:rPr>
          <w:rFonts w:ascii="Arial" w:hAnsi="Arial" w:cs="Arial"/>
          <w:sz w:val="22"/>
          <w:szCs w:val="22"/>
        </w:rPr>
        <w:t>p</w:t>
      </w:r>
      <w:r w:rsidR="00852485">
        <w:rPr>
          <w:rFonts w:ascii="Arial" w:hAnsi="Arial" w:cs="Arial"/>
          <w:sz w:val="22"/>
          <w:szCs w:val="22"/>
        </w:rPr>
        <w:t xml:space="preserve">řípadně byla </w:t>
      </w:r>
      <w:r w:rsidR="004C5ADD">
        <w:rPr>
          <w:rFonts w:ascii="Arial" w:hAnsi="Arial" w:cs="Arial"/>
          <w:sz w:val="22"/>
          <w:szCs w:val="22"/>
        </w:rPr>
        <w:t>ne</w:t>
      </w:r>
      <w:r w:rsidR="00286C6E">
        <w:rPr>
          <w:rFonts w:ascii="Arial" w:hAnsi="Arial" w:cs="Arial"/>
          <w:sz w:val="22"/>
          <w:szCs w:val="22"/>
        </w:rPr>
        <w:t>funkční OBU</w:t>
      </w:r>
      <w:r w:rsidR="00852485">
        <w:rPr>
          <w:rFonts w:ascii="Arial" w:hAnsi="Arial" w:cs="Arial"/>
          <w:sz w:val="22"/>
          <w:szCs w:val="22"/>
        </w:rPr>
        <w:t xml:space="preserve">, </w:t>
      </w:r>
      <w:r w:rsidR="00044044">
        <w:rPr>
          <w:rFonts w:ascii="Arial" w:hAnsi="Arial" w:cs="Arial"/>
          <w:sz w:val="22"/>
          <w:szCs w:val="22"/>
        </w:rPr>
        <w:t>byly</w:t>
      </w:r>
      <w:r w:rsidR="00852485">
        <w:rPr>
          <w:rFonts w:ascii="Arial" w:hAnsi="Arial" w:cs="Arial"/>
          <w:sz w:val="22"/>
          <w:szCs w:val="22"/>
        </w:rPr>
        <w:t xml:space="preserve"> podklady pro vyúčtování mýtného předávány ŘSD</w:t>
      </w:r>
      <w:r w:rsidR="00286C6E">
        <w:rPr>
          <w:rFonts w:ascii="Arial" w:hAnsi="Arial" w:cs="Arial"/>
          <w:sz w:val="22"/>
          <w:szCs w:val="22"/>
        </w:rPr>
        <w:t xml:space="preserve">. </w:t>
      </w:r>
    </w:p>
    <w:p w:rsidR="004920C0" w:rsidRDefault="004920C0" w:rsidP="004401C1">
      <w:pPr>
        <w:jc w:val="both"/>
        <w:rPr>
          <w:rFonts w:ascii="Arial" w:hAnsi="Arial" w:cs="Arial"/>
          <w:sz w:val="22"/>
          <w:szCs w:val="22"/>
        </w:rPr>
      </w:pPr>
    </w:p>
    <w:p w:rsidR="00C31389" w:rsidRDefault="00C31389" w:rsidP="004401C1">
      <w:pPr>
        <w:jc w:val="both"/>
        <w:rPr>
          <w:rFonts w:ascii="Arial" w:hAnsi="Arial" w:cs="Arial"/>
          <w:bCs/>
          <w:sz w:val="22"/>
          <w:szCs w:val="22"/>
        </w:rPr>
      </w:pPr>
      <w:r>
        <w:rPr>
          <w:rFonts w:ascii="Arial" w:hAnsi="Arial" w:cs="Arial"/>
          <w:sz w:val="22"/>
          <w:szCs w:val="22"/>
        </w:rPr>
        <w:t>ŘSD</w:t>
      </w:r>
      <w:r w:rsidR="00044044" w:rsidRPr="009D3FDA">
        <w:rPr>
          <w:rFonts w:ascii="Arial" w:hAnsi="Arial" w:cs="Arial"/>
          <w:sz w:val="22"/>
          <w:szCs w:val="22"/>
        </w:rPr>
        <w:t xml:space="preserve"> </w:t>
      </w:r>
      <w:r w:rsidR="007A010A" w:rsidRPr="009D3FDA">
        <w:rPr>
          <w:rFonts w:ascii="Arial" w:hAnsi="Arial" w:cs="Arial"/>
          <w:sz w:val="22"/>
          <w:szCs w:val="22"/>
        </w:rPr>
        <w:t>začalo</w:t>
      </w:r>
      <w:r w:rsidR="007A010A">
        <w:rPr>
          <w:rFonts w:ascii="Arial" w:hAnsi="Arial" w:cs="Arial"/>
          <w:sz w:val="22"/>
          <w:szCs w:val="22"/>
        </w:rPr>
        <w:t xml:space="preserve"> teprve p</w:t>
      </w:r>
      <w:r w:rsidR="007A010A" w:rsidRPr="009D3FDA">
        <w:rPr>
          <w:rFonts w:ascii="Arial" w:hAnsi="Arial" w:cs="Arial"/>
          <w:sz w:val="22"/>
          <w:szCs w:val="22"/>
        </w:rPr>
        <w:t xml:space="preserve">o 1. </w:t>
      </w:r>
      <w:r w:rsidR="007A010A">
        <w:rPr>
          <w:rFonts w:ascii="Arial" w:hAnsi="Arial" w:cs="Arial"/>
          <w:sz w:val="22"/>
          <w:szCs w:val="22"/>
        </w:rPr>
        <w:t>lednu</w:t>
      </w:r>
      <w:r w:rsidR="007A010A" w:rsidRPr="009D3FDA">
        <w:rPr>
          <w:rFonts w:ascii="Arial" w:hAnsi="Arial" w:cs="Arial"/>
          <w:sz w:val="22"/>
          <w:szCs w:val="22"/>
        </w:rPr>
        <w:t xml:space="preserve"> 2010 </w:t>
      </w:r>
      <w:r w:rsidR="00044044">
        <w:rPr>
          <w:rFonts w:ascii="Arial" w:hAnsi="Arial" w:cs="Arial"/>
          <w:sz w:val="22"/>
          <w:szCs w:val="22"/>
        </w:rPr>
        <w:t xml:space="preserve">vyúčtovávat uniklé mýtné a </w:t>
      </w:r>
      <w:r w:rsidR="00044044" w:rsidRPr="009D3FDA">
        <w:rPr>
          <w:rFonts w:ascii="Arial" w:hAnsi="Arial" w:cs="Arial"/>
          <w:sz w:val="22"/>
          <w:szCs w:val="22"/>
        </w:rPr>
        <w:t>vymáhat</w:t>
      </w:r>
      <w:r w:rsidR="00044044">
        <w:rPr>
          <w:rFonts w:ascii="Arial" w:hAnsi="Arial" w:cs="Arial"/>
          <w:sz w:val="22"/>
          <w:szCs w:val="22"/>
        </w:rPr>
        <w:t xml:space="preserve"> nedoplatky</w:t>
      </w:r>
      <w:r w:rsidR="00044044" w:rsidRPr="009D3FDA">
        <w:rPr>
          <w:rFonts w:ascii="Arial" w:hAnsi="Arial" w:cs="Arial"/>
          <w:sz w:val="22"/>
          <w:szCs w:val="22"/>
        </w:rPr>
        <w:t xml:space="preserve"> </w:t>
      </w:r>
      <w:r w:rsidR="00044044">
        <w:rPr>
          <w:rFonts w:ascii="Arial" w:hAnsi="Arial" w:cs="Arial"/>
          <w:sz w:val="22"/>
          <w:szCs w:val="22"/>
        </w:rPr>
        <w:t xml:space="preserve">občanskoprávní cestou, přestože </w:t>
      </w:r>
      <w:r>
        <w:rPr>
          <w:rFonts w:ascii="Arial" w:hAnsi="Arial" w:cs="Arial"/>
          <w:sz w:val="22"/>
          <w:szCs w:val="22"/>
        </w:rPr>
        <w:t>t</w:t>
      </w:r>
      <w:r w:rsidR="00044044">
        <w:rPr>
          <w:rFonts w:ascii="Arial" w:hAnsi="Arial" w:cs="Arial"/>
          <w:sz w:val="22"/>
          <w:szCs w:val="22"/>
        </w:rPr>
        <w:t>uto</w:t>
      </w:r>
      <w:r w:rsidR="00044044" w:rsidRPr="00195B75">
        <w:rPr>
          <w:rFonts w:ascii="Arial" w:hAnsi="Arial" w:cs="Arial"/>
          <w:sz w:val="22"/>
          <w:szCs w:val="22"/>
        </w:rPr>
        <w:t xml:space="preserve"> cestu </w:t>
      </w:r>
      <w:r>
        <w:rPr>
          <w:rFonts w:ascii="Arial" w:hAnsi="Arial" w:cs="Arial"/>
          <w:sz w:val="22"/>
          <w:szCs w:val="22"/>
        </w:rPr>
        <w:t xml:space="preserve">mohlo využívat </w:t>
      </w:r>
      <w:r w:rsidR="00044044" w:rsidRPr="00195B75">
        <w:rPr>
          <w:rFonts w:ascii="Arial" w:hAnsi="Arial" w:cs="Arial"/>
          <w:sz w:val="22"/>
          <w:szCs w:val="22"/>
        </w:rPr>
        <w:t>od samého počátku zavedení SVZ</w:t>
      </w:r>
      <w:r w:rsidR="00132965">
        <w:rPr>
          <w:rFonts w:ascii="Arial" w:hAnsi="Arial" w:cs="Arial"/>
          <w:sz w:val="22"/>
          <w:szCs w:val="22"/>
        </w:rPr>
        <w:t xml:space="preserve"> (tj. od roku 2007)</w:t>
      </w:r>
      <w:r w:rsidR="00044044" w:rsidRPr="00195B75">
        <w:rPr>
          <w:rFonts w:ascii="Arial" w:hAnsi="Arial" w:cs="Arial"/>
          <w:sz w:val="22"/>
          <w:szCs w:val="22"/>
        </w:rPr>
        <w:t xml:space="preserve">. </w:t>
      </w:r>
      <w:r w:rsidR="00044044" w:rsidRPr="008F3CC0">
        <w:rPr>
          <w:rFonts w:ascii="Arial" w:hAnsi="Arial" w:cs="Arial"/>
          <w:sz w:val="22"/>
          <w:szCs w:val="22"/>
        </w:rPr>
        <w:t>Minimálně ve třech případech</w:t>
      </w:r>
      <w:r w:rsidR="00044044">
        <w:rPr>
          <w:rStyle w:val="Znakapoznpodarou"/>
          <w:rFonts w:ascii="Arial" w:hAnsi="Arial" w:cs="Arial"/>
          <w:sz w:val="22"/>
          <w:szCs w:val="22"/>
        </w:rPr>
        <w:footnoteReference w:id="29"/>
      </w:r>
      <w:r w:rsidR="00B035EA">
        <w:rPr>
          <w:rFonts w:ascii="Arial" w:hAnsi="Arial" w:cs="Arial"/>
          <w:sz w:val="22"/>
          <w:szCs w:val="22"/>
        </w:rPr>
        <w:t xml:space="preserve"> soudy zamítly návrh ŘSD s </w:t>
      </w:r>
      <w:r w:rsidR="00044044" w:rsidRPr="008F3CC0">
        <w:rPr>
          <w:rFonts w:ascii="Arial" w:hAnsi="Arial" w:cs="Arial"/>
          <w:sz w:val="22"/>
          <w:szCs w:val="22"/>
        </w:rPr>
        <w:t>odůvodněním, že vyúčtování a následné vymáhání nedoplatků z období 2007, resp. 2008</w:t>
      </w:r>
      <w:r w:rsidR="00B9587F">
        <w:rPr>
          <w:rFonts w:ascii="Arial" w:hAnsi="Arial" w:cs="Arial"/>
          <w:sz w:val="22"/>
          <w:szCs w:val="22"/>
        </w:rPr>
        <w:t>,</w:t>
      </w:r>
      <w:r w:rsidR="00044044" w:rsidRPr="008F3CC0">
        <w:rPr>
          <w:rFonts w:ascii="Arial" w:hAnsi="Arial" w:cs="Arial"/>
          <w:sz w:val="22"/>
          <w:szCs w:val="22"/>
        </w:rPr>
        <w:t xml:space="preserve"> až v roce 2011 je v rozporu se zásadami </w:t>
      </w:r>
      <w:r w:rsidR="00044044">
        <w:rPr>
          <w:rFonts w:ascii="Arial" w:hAnsi="Arial" w:cs="Arial"/>
          <w:sz w:val="22"/>
          <w:szCs w:val="22"/>
        </w:rPr>
        <w:t>poctivého</w:t>
      </w:r>
      <w:r w:rsidR="00044044" w:rsidRPr="008F3CC0">
        <w:rPr>
          <w:rFonts w:ascii="Arial" w:hAnsi="Arial" w:cs="Arial"/>
          <w:sz w:val="22"/>
          <w:szCs w:val="22"/>
        </w:rPr>
        <w:t xml:space="preserve"> obchodního</w:t>
      </w:r>
      <w:r w:rsidR="00904190">
        <w:rPr>
          <w:rFonts w:ascii="Arial" w:hAnsi="Arial" w:cs="Arial"/>
          <w:sz w:val="22"/>
          <w:szCs w:val="22"/>
        </w:rPr>
        <w:t xml:space="preserve"> styku a že se jedná o </w:t>
      </w:r>
      <w:r w:rsidR="00044044">
        <w:rPr>
          <w:rFonts w:ascii="Arial" w:hAnsi="Arial" w:cs="Arial"/>
          <w:sz w:val="22"/>
          <w:szCs w:val="22"/>
        </w:rPr>
        <w:t xml:space="preserve">zneužití státní moci. Proti tomu v řadě případů byly nároky ŘSD uznány. </w:t>
      </w:r>
      <w:r w:rsidRPr="008146E8">
        <w:rPr>
          <w:rFonts w:ascii="Arial" w:hAnsi="Arial" w:cs="Arial"/>
          <w:bCs/>
          <w:sz w:val="22"/>
          <w:szCs w:val="22"/>
        </w:rPr>
        <w:t xml:space="preserve">Zahraničním </w:t>
      </w:r>
      <w:r>
        <w:rPr>
          <w:rFonts w:ascii="Arial" w:hAnsi="Arial" w:cs="Arial"/>
          <w:bCs/>
          <w:sz w:val="22"/>
          <w:szCs w:val="22"/>
        </w:rPr>
        <w:t xml:space="preserve">uživatelům </w:t>
      </w:r>
      <w:r w:rsidRPr="008146E8">
        <w:rPr>
          <w:rFonts w:ascii="Arial" w:hAnsi="Arial" w:cs="Arial"/>
          <w:bCs/>
          <w:sz w:val="22"/>
          <w:szCs w:val="22"/>
        </w:rPr>
        <w:t xml:space="preserve">byly výzvy k úhradě </w:t>
      </w:r>
      <w:r>
        <w:rPr>
          <w:rFonts w:ascii="Arial" w:hAnsi="Arial" w:cs="Arial"/>
          <w:bCs/>
          <w:sz w:val="22"/>
          <w:szCs w:val="22"/>
        </w:rPr>
        <w:t>mýtného</w:t>
      </w:r>
      <w:r w:rsidRPr="008146E8">
        <w:rPr>
          <w:rFonts w:ascii="Arial" w:hAnsi="Arial" w:cs="Arial"/>
          <w:bCs/>
          <w:sz w:val="22"/>
          <w:szCs w:val="22"/>
        </w:rPr>
        <w:t xml:space="preserve"> odeslány až v roce 2012. </w:t>
      </w:r>
    </w:p>
    <w:p w:rsidR="004920C0" w:rsidRPr="00C31389" w:rsidRDefault="004920C0" w:rsidP="004401C1">
      <w:pPr>
        <w:jc w:val="both"/>
        <w:rPr>
          <w:rFonts w:ascii="Arial" w:hAnsi="Arial" w:cs="Arial"/>
          <w:color w:val="FF0000"/>
          <w:sz w:val="22"/>
          <w:szCs w:val="22"/>
        </w:rPr>
      </w:pPr>
    </w:p>
    <w:p w:rsidR="00E778A3" w:rsidRDefault="00E778A3" w:rsidP="004401C1">
      <w:pPr>
        <w:jc w:val="both"/>
        <w:rPr>
          <w:rFonts w:ascii="Arial" w:hAnsi="Arial" w:cs="Arial"/>
          <w:sz w:val="22"/>
          <w:szCs w:val="22"/>
          <w:lang w:eastAsia="en-US"/>
        </w:rPr>
      </w:pPr>
      <w:r>
        <w:rPr>
          <w:rFonts w:ascii="Arial" w:hAnsi="Arial" w:cs="Arial"/>
          <w:sz w:val="22"/>
          <w:szCs w:val="22"/>
        </w:rPr>
        <w:t xml:space="preserve">K 30. září 2012 </w:t>
      </w:r>
      <w:r w:rsidR="007A1976">
        <w:rPr>
          <w:rFonts w:ascii="Arial" w:hAnsi="Arial" w:cs="Arial"/>
          <w:sz w:val="22"/>
          <w:szCs w:val="22"/>
        </w:rPr>
        <w:t>z </w:t>
      </w:r>
      <w:r w:rsidRPr="008C703E">
        <w:rPr>
          <w:rFonts w:ascii="Arial" w:hAnsi="Arial" w:cs="Arial"/>
          <w:sz w:val="22"/>
          <w:szCs w:val="22"/>
        </w:rPr>
        <w:t xml:space="preserve">celkového počtu 41 979 </w:t>
      </w:r>
      <w:r>
        <w:rPr>
          <w:rFonts w:ascii="Arial" w:hAnsi="Arial" w:cs="Arial"/>
          <w:sz w:val="22"/>
          <w:szCs w:val="22"/>
        </w:rPr>
        <w:t>případů</w:t>
      </w:r>
      <w:r w:rsidR="00C34DC7">
        <w:rPr>
          <w:rStyle w:val="Znakapoznpodarou"/>
          <w:rFonts w:ascii="Arial" w:hAnsi="Arial" w:cs="Arial"/>
          <w:sz w:val="22"/>
          <w:szCs w:val="22"/>
        </w:rPr>
        <w:footnoteReference w:id="30"/>
      </w:r>
      <w:r w:rsidR="00C34DC7">
        <w:rPr>
          <w:rFonts w:ascii="Arial" w:hAnsi="Arial" w:cs="Arial"/>
          <w:sz w:val="22"/>
          <w:szCs w:val="22"/>
        </w:rPr>
        <w:t>,</w:t>
      </w:r>
      <w:r>
        <w:rPr>
          <w:rFonts w:ascii="Arial" w:hAnsi="Arial" w:cs="Arial"/>
          <w:sz w:val="22"/>
          <w:szCs w:val="22"/>
        </w:rPr>
        <w:t xml:space="preserve"> kdy mýtné </w:t>
      </w:r>
      <w:r w:rsidR="00B9587F">
        <w:rPr>
          <w:rFonts w:ascii="Arial" w:hAnsi="Arial" w:cs="Arial"/>
          <w:sz w:val="22"/>
          <w:szCs w:val="22"/>
        </w:rPr>
        <w:t xml:space="preserve">v úhrnné </w:t>
      </w:r>
      <w:r w:rsidR="00225BAC">
        <w:rPr>
          <w:rFonts w:ascii="Arial" w:hAnsi="Arial" w:cs="Arial"/>
          <w:sz w:val="22"/>
          <w:szCs w:val="22"/>
        </w:rPr>
        <w:t xml:space="preserve">výši </w:t>
      </w:r>
      <w:r w:rsidR="00B9587F">
        <w:rPr>
          <w:rFonts w:ascii="Arial" w:hAnsi="Arial" w:cs="Arial"/>
          <w:sz w:val="22"/>
          <w:szCs w:val="22"/>
        </w:rPr>
        <w:t>41,</w:t>
      </w:r>
      <w:r w:rsidR="00B9587F" w:rsidRPr="008C703E">
        <w:rPr>
          <w:rFonts w:ascii="Arial" w:hAnsi="Arial" w:cs="Arial"/>
          <w:sz w:val="22"/>
          <w:szCs w:val="22"/>
        </w:rPr>
        <w:t>5</w:t>
      </w:r>
      <w:r w:rsidR="00B9587F">
        <w:rPr>
          <w:rFonts w:ascii="Arial" w:hAnsi="Arial" w:cs="Arial"/>
          <w:sz w:val="22"/>
          <w:szCs w:val="22"/>
        </w:rPr>
        <w:t>6</w:t>
      </w:r>
      <w:r w:rsidR="00692E7D">
        <w:rPr>
          <w:rFonts w:ascii="Arial" w:hAnsi="Arial" w:cs="Arial"/>
          <w:sz w:val="22"/>
          <w:szCs w:val="22"/>
        </w:rPr>
        <w:t> </w:t>
      </w:r>
      <w:r w:rsidR="00B9587F">
        <w:rPr>
          <w:rFonts w:ascii="Arial" w:hAnsi="Arial" w:cs="Arial"/>
          <w:sz w:val="22"/>
          <w:szCs w:val="22"/>
        </w:rPr>
        <w:t>mil.</w:t>
      </w:r>
      <w:r w:rsidR="00692E7D">
        <w:rPr>
          <w:rFonts w:ascii="Arial" w:hAnsi="Arial" w:cs="Arial"/>
          <w:sz w:val="22"/>
          <w:szCs w:val="22"/>
        </w:rPr>
        <w:t> </w:t>
      </w:r>
      <w:r w:rsidR="00B9587F">
        <w:rPr>
          <w:rFonts w:ascii="Arial" w:hAnsi="Arial" w:cs="Arial"/>
          <w:sz w:val="22"/>
          <w:szCs w:val="22"/>
        </w:rPr>
        <w:t xml:space="preserve">Kč nebylo pomocí OBU </w:t>
      </w:r>
      <w:r>
        <w:rPr>
          <w:rFonts w:ascii="Arial" w:hAnsi="Arial" w:cs="Arial"/>
          <w:sz w:val="22"/>
          <w:szCs w:val="22"/>
        </w:rPr>
        <w:t xml:space="preserve">stanoveno ve správné </w:t>
      </w:r>
      <w:r w:rsidR="000D386F">
        <w:rPr>
          <w:rFonts w:ascii="Arial" w:hAnsi="Arial" w:cs="Arial"/>
          <w:sz w:val="22"/>
          <w:szCs w:val="22"/>
        </w:rPr>
        <w:t>hodnotě</w:t>
      </w:r>
      <w:r>
        <w:rPr>
          <w:rFonts w:ascii="Arial" w:hAnsi="Arial" w:cs="Arial"/>
          <w:sz w:val="22"/>
          <w:szCs w:val="22"/>
        </w:rPr>
        <w:t>, byli uživatelé</w:t>
      </w:r>
      <w:r w:rsidRPr="008C703E">
        <w:rPr>
          <w:rFonts w:ascii="Arial" w:hAnsi="Arial" w:cs="Arial"/>
          <w:sz w:val="22"/>
          <w:szCs w:val="22"/>
        </w:rPr>
        <w:t xml:space="preserve"> vyzván</w:t>
      </w:r>
      <w:r>
        <w:rPr>
          <w:rFonts w:ascii="Arial" w:hAnsi="Arial" w:cs="Arial"/>
          <w:sz w:val="22"/>
          <w:szCs w:val="22"/>
        </w:rPr>
        <w:t>i</w:t>
      </w:r>
      <w:r w:rsidRPr="008C703E">
        <w:rPr>
          <w:rFonts w:ascii="Arial" w:hAnsi="Arial" w:cs="Arial"/>
          <w:sz w:val="22"/>
          <w:szCs w:val="22"/>
        </w:rPr>
        <w:t xml:space="preserve"> </w:t>
      </w:r>
      <w:r>
        <w:rPr>
          <w:rFonts w:ascii="Arial" w:hAnsi="Arial" w:cs="Arial"/>
          <w:sz w:val="22"/>
          <w:szCs w:val="22"/>
        </w:rPr>
        <w:t xml:space="preserve">k zaplacení mýtného </w:t>
      </w:r>
      <w:r w:rsidR="007A1976">
        <w:rPr>
          <w:rFonts w:ascii="Arial" w:hAnsi="Arial" w:cs="Arial"/>
          <w:sz w:val="22"/>
          <w:szCs w:val="22"/>
        </w:rPr>
        <w:t>v </w:t>
      </w:r>
      <w:r w:rsidRPr="008C703E">
        <w:rPr>
          <w:rFonts w:ascii="Arial" w:hAnsi="Arial" w:cs="Arial"/>
          <w:sz w:val="22"/>
          <w:szCs w:val="22"/>
        </w:rPr>
        <w:t>18 702 případ</w:t>
      </w:r>
      <w:r>
        <w:rPr>
          <w:rFonts w:ascii="Arial" w:hAnsi="Arial" w:cs="Arial"/>
          <w:sz w:val="22"/>
          <w:szCs w:val="22"/>
        </w:rPr>
        <w:t>ech</w:t>
      </w:r>
      <w:r w:rsidRPr="008C703E">
        <w:rPr>
          <w:rFonts w:ascii="Arial" w:hAnsi="Arial" w:cs="Arial"/>
          <w:sz w:val="22"/>
          <w:szCs w:val="22"/>
        </w:rPr>
        <w:t xml:space="preserve"> </w:t>
      </w:r>
      <w:r w:rsidR="007A1976">
        <w:rPr>
          <w:rFonts w:ascii="Arial" w:hAnsi="Arial" w:cs="Arial"/>
          <w:sz w:val="22"/>
          <w:szCs w:val="22"/>
        </w:rPr>
        <w:t>v </w:t>
      </w:r>
      <w:r w:rsidRPr="008C703E">
        <w:rPr>
          <w:rFonts w:ascii="Arial" w:hAnsi="Arial" w:cs="Arial"/>
          <w:sz w:val="22"/>
          <w:szCs w:val="22"/>
        </w:rPr>
        <w:t>hodnotě 31</w:t>
      </w:r>
      <w:r>
        <w:rPr>
          <w:rFonts w:ascii="Arial" w:hAnsi="Arial" w:cs="Arial"/>
          <w:sz w:val="22"/>
          <w:szCs w:val="22"/>
        </w:rPr>
        <w:t>,</w:t>
      </w:r>
      <w:r w:rsidRPr="008C703E">
        <w:rPr>
          <w:rFonts w:ascii="Arial" w:hAnsi="Arial" w:cs="Arial"/>
          <w:sz w:val="22"/>
          <w:szCs w:val="22"/>
        </w:rPr>
        <w:t>83</w:t>
      </w:r>
      <w:r>
        <w:rPr>
          <w:rFonts w:ascii="Arial" w:hAnsi="Arial" w:cs="Arial"/>
          <w:sz w:val="22"/>
          <w:szCs w:val="22"/>
        </w:rPr>
        <w:t xml:space="preserve"> mil. Kč</w:t>
      </w:r>
      <w:r w:rsidRPr="008C703E">
        <w:rPr>
          <w:rFonts w:ascii="Arial" w:hAnsi="Arial" w:cs="Arial"/>
          <w:sz w:val="22"/>
          <w:szCs w:val="22"/>
        </w:rPr>
        <w:t xml:space="preserve">. Zbývající část tvoří </w:t>
      </w:r>
      <w:r>
        <w:rPr>
          <w:rFonts w:ascii="Arial" w:hAnsi="Arial" w:cs="Arial"/>
          <w:sz w:val="22"/>
          <w:szCs w:val="22"/>
        </w:rPr>
        <w:t xml:space="preserve">případy, u nichž uniklé mýtné </w:t>
      </w:r>
      <w:r w:rsidRPr="00332EDC">
        <w:rPr>
          <w:rFonts w:ascii="Arial" w:hAnsi="Arial" w:cs="Arial"/>
          <w:sz w:val="22"/>
          <w:szCs w:val="22"/>
          <w:lang w:eastAsia="en-US"/>
        </w:rPr>
        <w:t xml:space="preserve">u jednoho </w:t>
      </w:r>
      <w:r>
        <w:rPr>
          <w:rFonts w:ascii="Arial" w:hAnsi="Arial" w:cs="Arial"/>
          <w:sz w:val="22"/>
          <w:szCs w:val="22"/>
          <w:lang w:eastAsia="en-US"/>
        </w:rPr>
        <w:t xml:space="preserve">uživatele </w:t>
      </w:r>
      <w:r w:rsidR="00B9587F">
        <w:rPr>
          <w:rFonts w:ascii="Arial" w:hAnsi="Arial" w:cs="Arial"/>
          <w:sz w:val="22"/>
          <w:szCs w:val="22"/>
          <w:lang w:eastAsia="en-US"/>
        </w:rPr>
        <w:t>z tuzemska či</w:t>
      </w:r>
      <w:r w:rsidRPr="00332EDC">
        <w:rPr>
          <w:rFonts w:ascii="Arial" w:hAnsi="Arial" w:cs="Arial"/>
          <w:sz w:val="22"/>
          <w:szCs w:val="22"/>
          <w:lang w:eastAsia="en-US"/>
        </w:rPr>
        <w:t xml:space="preserve"> ze Slovenska </w:t>
      </w:r>
      <w:r>
        <w:rPr>
          <w:rFonts w:ascii="Arial" w:hAnsi="Arial" w:cs="Arial"/>
          <w:sz w:val="22"/>
          <w:szCs w:val="22"/>
          <w:lang w:eastAsia="en-US"/>
        </w:rPr>
        <w:t>ne</w:t>
      </w:r>
      <w:r w:rsidRPr="00332EDC">
        <w:rPr>
          <w:rFonts w:ascii="Arial" w:hAnsi="Arial" w:cs="Arial"/>
          <w:sz w:val="22"/>
          <w:szCs w:val="22"/>
          <w:lang w:eastAsia="en-US"/>
        </w:rPr>
        <w:t>přesáhl</w:t>
      </w:r>
      <w:r w:rsidR="00B9587F">
        <w:rPr>
          <w:rFonts w:ascii="Arial" w:hAnsi="Arial" w:cs="Arial"/>
          <w:sz w:val="22"/>
          <w:szCs w:val="22"/>
          <w:lang w:eastAsia="en-US"/>
        </w:rPr>
        <w:t>o</w:t>
      </w:r>
      <w:r w:rsidRPr="00332EDC">
        <w:rPr>
          <w:rFonts w:ascii="Arial" w:hAnsi="Arial" w:cs="Arial"/>
          <w:sz w:val="22"/>
          <w:szCs w:val="22"/>
          <w:lang w:eastAsia="en-US"/>
        </w:rPr>
        <w:t xml:space="preserve"> částku 100 Kč (od</w:t>
      </w:r>
      <w:r w:rsidR="000D386F">
        <w:rPr>
          <w:rFonts w:ascii="Arial" w:hAnsi="Arial" w:cs="Arial"/>
          <w:sz w:val="22"/>
          <w:szCs w:val="22"/>
          <w:lang w:eastAsia="en-US"/>
        </w:rPr>
        <w:t> </w:t>
      </w:r>
      <w:r w:rsidRPr="00332EDC">
        <w:rPr>
          <w:rFonts w:ascii="Arial" w:hAnsi="Arial" w:cs="Arial"/>
          <w:sz w:val="22"/>
          <w:szCs w:val="22"/>
          <w:lang w:eastAsia="en-US"/>
        </w:rPr>
        <w:t xml:space="preserve">roku 2011 </w:t>
      </w:r>
      <w:r w:rsidR="00B9587F">
        <w:rPr>
          <w:rFonts w:ascii="Arial" w:hAnsi="Arial" w:cs="Arial"/>
          <w:sz w:val="22"/>
          <w:szCs w:val="22"/>
          <w:lang w:eastAsia="en-US"/>
        </w:rPr>
        <w:t>částku</w:t>
      </w:r>
      <w:r w:rsidRPr="00332EDC">
        <w:rPr>
          <w:rFonts w:ascii="Arial" w:hAnsi="Arial" w:cs="Arial"/>
          <w:sz w:val="22"/>
          <w:szCs w:val="22"/>
          <w:lang w:eastAsia="en-US"/>
        </w:rPr>
        <w:t xml:space="preserve"> 300 Kč) </w:t>
      </w:r>
      <w:r w:rsidR="00B9587F">
        <w:rPr>
          <w:rFonts w:ascii="Arial" w:hAnsi="Arial" w:cs="Arial"/>
          <w:sz w:val="22"/>
          <w:szCs w:val="22"/>
          <w:lang w:eastAsia="en-US"/>
        </w:rPr>
        <w:t xml:space="preserve">– </w:t>
      </w:r>
      <w:r>
        <w:rPr>
          <w:rFonts w:ascii="Arial" w:hAnsi="Arial" w:cs="Arial"/>
          <w:sz w:val="22"/>
          <w:szCs w:val="22"/>
          <w:lang w:eastAsia="en-US"/>
        </w:rPr>
        <w:t>u</w:t>
      </w:r>
      <w:r w:rsidRPr="00332EDC">
        <w:rPr>
          <w:rFonts w:ascii="Arial" w:hAnsi="Arial" w:cs="Arial"/>
          <w:sz w:val="22"/>
          <w:szCs w:val="22"/>
          <w:lang w:eastAsia="en-US"/>
        </w:rPr>
        <w:t xml:space="preserve"> zahraničních subjektů činil </w:t>
      </w:r>
      <w:r w:rsidRPr="00462651">
        <w:rPr>
          <w:rFonts w:ascii="Arial" w:hAnsi="Arial" w:cs="Arial"/>
          <w:sz w:val="22"/>
          <w:szCs w:val="22"/>
          <w:lang w:eastAsia="en-US"/>
        </w:rPr>
        <w:t>stanovený limit 500 Kč.</w:t>
      </w:r>
      <w:bookmarkStart w:id="7" w:name="_GoBack"/>
      <w:bookmarkEnd w:id="7"/>
    </w:p>
    <w:p w:rsidR="004920C0" w:rsidRPr="00462651" w:rsidRDefault="004920C0" w:rsidP="004401C1">
      <w:pPr>
        <w:jc w:val="both"/>
        <w:rPr>
          <w:rFonts w:ascii="Arial" w:hAnsi="Arial" w:cs="Arial"/>
          <w:sz w:val="22"/>
          <w:szCs w:val="22"/>
          <w:lang w:eastAsia="en-US"/>
        </w:rPr>
      </w:pPr>
    </w:p>
    <w:p w:rsidR="00C31389" w:rsidRDefault="00E778A3" w:rsidP="004401C1">
      <w:pPr>
        <w:jc w:val="both"/>
        <w:rPr>
          <w:rFonts w:ascii="Arial" w:hAnsi="Arial" w:cs="Arial"/>
          <w:sz w:val="22"/>
          <w:szCs w:val="22"/>
        </w:rPr>
      </w:pPr>
      <w:r w:rsidRPr="00462651">
        <w:rPr>
          <w:rFonts w:ascii="Arial" w:hAnsi="Arial" w:cs="Arial"/>
          <w:sz w:val="22"/>
          <w:szCs w:val="22"/>
        </w:rPr>
        <w:t xml:space="preserve">NKÚ zjistil, že </w:t>
      </w:r>
      <w:r w:rsidR="007A1976">
        <w:rPr>
          <w:rFonts w:ascii="Arial" w:hAnsi="Arial" w:cs="Arial"/>
          <w:sz w:val="22"/>
          <w:szCs w:val="22"/>
        </w:rPr>
        <w:t>v </w:t>
      </w:r>
      <w:r w:rsidRPr="00462651">
        <w:rPr>
          <w:rFonts w:ascii="Arial" w:hAnsi="Arial" w:cs="Arial"/>
          <w:sz w:val="22"/>
          <w:szCs w:val="22"/>
        </w:rPr>
        <w:t xml:space="preserve">období let 2007–2009 </w:t>
      </w:r>
      <w:r w:rsidR="00C31389" w:rsidRPr="00462651">
        <w:rPr>
          <w:rFonts w:ascii="Arial" w:hAnsi="Arial" w:cs="Arial"/>
          <w:sz w:val="22"/>
          <w:szCs w:val="22"/>
        </w:rPr>
        <w:t xml:space="preserve">ŘSD </w:t>
      </w:r>
      <w:r w:rsidR="00CB0A11" w:rsidRPr="00462651">
        <w:rPr>
          <w:rFonts w:ascii="Arial" w:hAnsi="Arial" w:cs="Arial"/>
          <w:sz w:val="22"/>
          <w:szCs w:val="22"/>
        </w:rPr>
        <w:t xml:space="preserve">nevyúčtovalo </w:t>
      </w:r>
      <w:r w:rsidR="007A1976">
        <w:rPr>
          <w:rFonts w:ascii="Arial" w:hAnsi="Arial" w:cs="Arial"/>
          <w:sz w:val="22"/>
          <w:szCs w:val="22"/>
        </w:rPr>
        <w:t>v </w:t>
      </w:r>
      <w:r w:rsidRPr="00462651">
        <w:rPr>
          <w:rFonts w:ascii="Arial" w:hAnsi="Arial" w:cs="Arial"/>
          <w:sz w:val="22"/>
          <w:szCs w:val="22"/>
        </w:rPr>
        <w:t>přiměřené lhůtě dlužníkům mýtné ve výši 28,38 mil</w:t>
      </w:r>
      <w:r w:rsidR="00EE0BAC">
        <w:rPr>
          <w:rFonts w:ascii="Arial" w:hAnsi="Arial" w:cs="Arial"/>
          <w:sz w:val="22"/>
          <w:szCs w:val="22"/>
        </w:rPr>
        <w:t>.</w:t>
      </w:r>
      <w:r w:rsidRPr="00462651">
        <w:rPr>
          <w:rFonts w:ascii="Arial" w:hAnsi="Arial" w:cs="Arial"/>
          <w:sz w:val="22"/>
          <w:szCs w:val="22"/>
        </w:rPr>
        <w:t xml:space="preserve"> Kč</w:t>
      </w:r>
      <w:r w:rsidR="004F2EDF" w:rsidRPr="00462651">
        <w:rPr>
          <w:rFonts w:ascii="Arial" w:hAnsi="Arial" w:cs="Arial"/>
          <w:sz w:val="22"/>
          <w:szCs w:val="22"/>
        </w:rPr>
        <w:t xml:space="preserve"> a následně nevymáhalo nedoplatky</w:t>
      </w:r>
      <w:r w:rsidRPr="00462651">
        <w:rPr>
          <w:rFonts w:ascii="Arial" w:hAnsi="Arial" w:cs="Arial"/>
          <w:sz w:val="22"/>
          <w:szCs w:val="22"/>
        </w:rPr>
        <w:t>. N</w:t>
      </w:r>
      <w:r w:rsidR="00C31389" w:rsidRPr="00462651">
        <w:rPr>
          <w:rFonts w:ascii="Arial" w:hAnsi="Arial" w:cs="Arial"/>
          <w:sz w:val="22"/>
          <w:szCs w:val="22"/>
        </w:rPr>
        <w:t xml:space="preserve">epostupovalo </w:t>
      </w:r>
      <w:r w:rsidRPr="00462651">
        <w:rPr>
          <w:rFonts w:ascii="Arial" w:hAnsi="Arial" w:cs="Arial"/>
          <w:sz w:val="22"/>
          <w:szCs w:val="22"/>
        </w:rPr>
        <w:t xml:space="preserve">tak </w:t>
      </w:r>
      <w:r w:rsidR="00C31389" w:rsidRPr="00462651">
        <w:rPr>
          <w:rFonts w:ascii="Arial" w:hAnsi="Arial" w:cs="Arial"/>
          <w:sz w:val="22"/>
          <w:szCs w:val="22"/>
        </w:rPr>
        <w:lastRenderedPageBreak/>
        <w:t>v</w:t>
      </w:r>
      <w:r w:rsidR="00C11A46">
        <w:rPr>
          <w:rFonts w:ascii="Arial" w:hAnsi="Arial" w:cs="Arial"/>
          <w:sz w:val="22"/>
          <w:szCs w:val="22"/>
        </w:rPr>
        <w:t> </w:t>
      </w:r>
      <w:r w:rsidR="00C31389" w:rsidRPr="00462651">
        <w:rPr>
          <w:rFonts w:ascii="Arial" w:hAnsi="Arial" w:cs="Arial"/>
          <w:sz w:val="22"/>
          <w:szCs w:val="22"/>
        </w:rPr>
        <w:t>souladu s ustanovením § 14 odst. 5 zákona č. 219/2000 Sb.</w:t>
      </w:r>
      <w:r w:rsidRPr="00462651">
        <w:rPr>
          <w:rFonts w:ascii="Arial" w:hAnsi="Arial" w:cs="Arial"/>
          <w:sz w:val="22"/>
          <w:szCs w:val="22"/>
        </w:rPr>
        <w:t>, neboť</w:t>
      </w:r>
      <w:r w:rsidR="00C31389" w:rsidRPr="00462651">
        <w:rPr>
          <w:rFonts w:ascii="Arial" w:hAnsi="Arial" w:cs="Arial"/>
          <w:sz w:val="22"/>
          <w:szCs w:val="22"/>
        </w:rPr>
        <w:t xml:space="preserve"> neuplatňovalo právo státu na úhradu mýtného</w:t>
      </w:r>
      <w:r w:rsidR="00CB0A11">
        <w:rPr>
          <w:rFonts w:ascii="Arial" w:hAnsi="Arial" w:cs="Arial"/>
          <w:sz w:val="22"/>
          <w:szCs w:val="22"/>
        </w:rPr>
        <w:t xml:space="preserve"> </w:t>
      </w:r>
      <w:r w:rsidR="00CB0A11" w:rsidRPr="00462651">
        <w:rPr>
          <w:rFonts w:ascii="Arial" w:hAnsi="Arial" w:cs="Arial"/>
          <w:sz w:val="22"/>
          <w:szCs w:val="22"/>
        </w:rPr>
        <w:t>včas</w:t>
      </w:r>
      <w:r w:rsidR="00C31389" w:rsidRPr="00462651">
        <w:rPr>
          <w:rFonts w:ascii="Arial" w:hAnsi="Arial" w:cs="Arial"/>
          <w:sz w:val="22"/>
          <w:szCs w:val="22"/>
        </w:rPr>
        <w:t xml:space="preserve"> (právo státu uplatnilo po třech letech). K 30. září 2012 byly z důvodu insolvence dlužníků odepsány nedoplatky</w:t>
      </w:r>
      <w:r w:rsidR="00C31389" w:rsidRPr="00462651">
        <w:t xml:space="preserve"> </w:t>
      </w:r>
      <w:r w:rsidR="007A1976">
        <w:rPr>
          <w:rFonts w:ascii="Arial" w:hAnsi="Arial" w:cs="Arial"/>
          <w:sz w:val="22"/>
          <w:szCs w:val="22"/>
        </w:rPr>
        <w:t>v </w:t>
      </w:r>
      <w:r w:rsidR="00C31389" w:rsidRPr="00462651">
        <w:rPr>
          <w:rFonts w:ascii="Arial" w:hAnsi="Arial" w:cs="Arial"/>
          <w:sz w:val="22"/>
          <w:szCs w:val="22"/>
        </w:rPr>
        <w:t xml:space="preserve">celkové výši 911 tis. Kč.  </w:t>
      </w:r>
    </w:p>
    <w:p w:rsidR="004920C0" w:rsidRPr="00462651" w:rsidRDefault="004920C0" w:rsidP="004401C1">
      <w:pPr>
        <w:jc w:val="both"/>
        <w:rPr>
          <w:rFonts w:ascii="Arial" w:hAnsi="Arial" w:cs="Arial"/>
          <w:sz w:val="22"/>
          <w:szCs w:val="22"/>
        </w:rPr>
      </w:pPr>
    </w:p>
    <w:p w:rsidR="00C31389" w:rsidRDefault="00332EDC" w:rsidP="004401C1">
      <w:pPr>
        <w:jc w:val="both"/>
        <w:rPr>
          <w:rFonts w:ascii="Arial" w:hAnsi="Arial" w:cs="Arial"/>
          <w:sz w:val="22"/>
          <w:szCs w:val="22"/>
        </w:rPr>
      </w:pPr>
      <w:r w:rsidRPr="00462651">
        <w:rPr>
          <w:rFonts w:ascii="Arial" w:hAnsi="Arial" w:cs="Arial"/>
          <w:sz w:val="22"/>
          <w:szCs w:val="22"/>
        </w:rPr>
        <w:t xml:space="preserve">Soudně bylo vymáháno 2 138 případů </w:t>
      </w:r>
      <w:r w:rsidR="007A010A" w:rsidRPr="00462651">
        <w:rPr>
          <w:rFonts w:ascii="Arial" w:hAnsi="Arial" w:cs="Arial"/>
          <w:sz w:val="22"/>
          <w:szCs w:val="22"/>
        </w:rPr>
        <w:t xml:space="preserve">nedoplatků </w:t>
      </w:r>
      <w:r w:rsidRPr="00462651">
        <w:rPr>
          <w:rFonts w:ascii="Arial" w:hAnsi="Arial" w:cs="Arial"/>
          <w:sz w:val="22"/>
          <w:szCs w:val="22"/>
        </w:rPr>
        <w:t>ve výši 4,74 mil. Kč, z toho bylo vymoženo 1,2 mil. Kč. 58,79 % ze všech do září 2012 soudně vym</w:t>
      </w:r>
      <w:r w:rsidR="00904190">
        <w:rPr>
          <w:rFonts w:ascii="Arial" w:hAnsi="Arial" w:cs="Arial"/>
          <w:sz w:val="22"/>
          <w:szCs w:val="22"/>
        </w:rPr>
        <w:t>áhaných nedoplatků nepřesáhlo 1 </w:t>
      </w:r>
      <w:r w:rsidRPr="00462651">
        <w:rPr>
          <w:rFonts w:ascii="Arial" w:hAnsi="Arial" w:cs="Arial"/>
          <w:sz w:val="22"/>
          <w:szCs w:val="22"/>
        </w:rPr>
        <w:t>000 Kč</w:t>
      </w:r>
      <w:r w:rsidRPr="00462651">
        <w:rPr>
          <w:rStyle w:val="Znakapoznpodarou"/>
          <w:rFonts w:ascii="Arial" w:hAnsi="Arial" w:cs="Arial"/>
          <w:sz w:val="22"/>
          <w:szCs w:val="22"/>
        </w:rPr>
        <w:footnoteReference w:id="31"/>
      </w:r>
      <w:r w:rsidR="00DD0A83" w:rsidRPr="00462651">
        <w:rPr>
          <w:rFonts w:ascii="Arial" w:hAnsi="Arial" w:cs="Arial"/>
          <w:sz w:val="22"/>
          <w:szCs w:val="22"/>
        </w:rPr>
        <w:t xml:space="preserve">. ŘSD nevyužilo oprávnění </w:t>
      </w:r>
      <w:r w:rsidR="00353265" w:rsidRPr="00462651">
        <w:rPr>
          <w:rFonts w:ascii="Arial" w:hAnsi="Arial" w:cs="Arial"/>
          <w:sz w:val="22"/>
          <w:szCs w:val="22"/>
        </w:rPr>
        <w:t xml:space="preserve">dle </w:t>
      </w:r>
      <w:r w:rsidR="00DD0A83" w:rsidRPr="00462651">
        <w:rPr>
          <w:rFonts w:ascii="Arial" w:hAnsi="Arial" w:cs="Arial"/>
          <w:sz w:val="22"/>
          <w:szCs w:val="22"/>
        </w:rPr>
        <w:t xml:space="preserve">ustanovení § 35 </w:t>
      </w:r>
      <w:r w:rsidR="00353265" w:rsidRPr="00462651">
        <w:rPr>
          <w:rFonts w:ascii="Arial" w:hAnsi="Arial" w:cs="Arial"/>
          <w:sz w:val="22"/>
          <w:szCs w:val="22"/>
        </w:rPr>
        <w:t xml:space="preserve">odst. 2 </w:t>
      </w:r>
      <w:r w:rsidR="00DD0A83" w:rsidRPr="00462651">
        <w:rPr>
          <w:rFonts w:ascii="Arial" w:hAnsi="Arial" w:cs="Arial"/>
          <w:sz w:val="22"/>
          <w:szCs w:val="22"/>
        </w:rPr>
        <w:t xml:space="preserve">zákona č. 219/2000 Sb. </w:t>
      </w:r>
      <w:r w:rsidR="00353265" w:rsidRPr="00462651">
        <w:rPr>
          <w:rFonts w:ascii="Arial" w:hAnsi="Arial" w:cs="Arial"/>
          <w:sz w:val="22"/>
          <w:szCs w:val="22"/>
        </w:rPr>
        <w:t>umožňující upustit od vymáhání pohledávek do 1 000 Kč za rok</w:t>
      </w:r>
      <w:r w:rsidR="003855D3" w:rsidRPr="00462651">
        <w:rPr>
          <w:rFonts w:ascii="Arial" w:hAnsi="Arial" w:cs="Arial"/>
          <w:sz w:val="22"/>
          <w:szCs w:val="22"/>
        </w:rPr>
        <w:t xml:space="preserve"> u jednoho dlužníka</w:t>
      </w:r>
      <w:r w:rsidR="00353265" w:rsidRPr="00462651">
        <w:rPr>
          <w:rFonts w:ascii="Arial" w:hAnsi="Arial" w:cs="Arial"/>
          <w:sz w:val="22"/>
          <w:szCs w:val="22"/>
        </w:rPr>
        <w:t xml:space="preserve">. </w:t>
      </w:r>
      <w:r w:rsidR="00DD0A83" w:rsidRPr="00462651">
        <w:rPr>
          <w:rFonts w:ascii="Arial" w:hAnsi="Arial" w:cs="Arial"/>
          <w:sz w:val="22"/>
          <w:szCs w:val="22"/>
        </w:rPr>
        <w:t xml:space="preserve"> </w:t>
      </w:r>
    </w:p>
    <w:p w:rsidR="004920C0" w:rsidRPr="00462651" w:rsidRDefault="004920C0" w:rsidP="004401C1">
      <w:pPr>
        <w:jc w:val="both"/>
        <w:rPr>
          <w:rFonts w:ascii="Arial" w:hAnsi="Arial" w:cs="Arial"/>
          <w:sz w:val="22"/>
          <w:szCs w:val="22"/>
        </w:rPr>
      </w:pPr>
    </w:p>
    <w:p w:rsidR="00B42CEA" w:rsidRDefault="00B42CEA" w:rsidP="004401C1">
      <w:pPr>
        <w:jc w:val="both"/>
        <w:rPr>
          <w:rFonts w:ascii="Arial" w:hAnsi="Arial" w:cs="Arial"/>
          <w:sz w:val="22"/>
          <w:szCs w:val="22"/>
        </w:rPr>
      </w:pPr>
      <w:r w:rsidRPr="00462651">
        <w:rPr>
          <w:rFonts w:ascii="Arial" w:hAnsi="Arial" w:cs="Arial"/>
          <w:sz w:val="22"/>
          <w:szCs w:val="22"/>
        </w:rPr>
        <w:t>K 30. září 2012 bylo celkem vymoženo uniklé mýtné v hodnotě 17,57 mil. Kč, z toho jen 6,83</w:t>
      </w:r>
      <w:r w:rsidR="007A1976">
        <w:rPr>
          <w:rFonts w:ascii="Arial" w:hAnsi="Arial" w:cs="Arial"/>
          <w:sz w:val="22"/>
          <w:szCs w:val="22"/>
        </w:rPr>
        <w:t> </w:t>
      </w:r>
      <w:r w:rsidRPr="00462651">
        <w:rPr>
          <w:rFonts w:ascii="Arial" w:hAnsi="Arial" w:cs="Arial"/>
          <w:sz w:val="22"/>
          <w:szCs w:val="22"/>
        </w:rPr>
        <w:t xml:space="preserve">% na základě podané žaloby, ostatní uniklé mýtné bylo uhrazeno na základě výzvy. </w:t>
      </w:r>
    </w:p>
    <w:p w:rsidR="004920C0" w:rsidRPr="00462651" w:rsidRDefault="004920C0" w:rsidP="004401C1">
      <w:pPr>
        <w:jc w:val="both"/>
        <w:rPr>
          <w:rFonts w:ascii="Arial" w:hAnsi="Arial" w:cs="Arial"/>
          <w:sz w:val="22"/>
          <w:szCs w:val="22"/>
        </w:rPr>
      </w:pPr>
    </w:p>
    <w:p w:rsidR="00C31389" w:rsidRDefault="00C31389" w:rsidP="004401C1">
      <w:pPr>
        <w:jc w:val="both"/>
        <w:rPr>
          <w:rFonts w:ascii="Arial" w:hAnsi="Arial" w:cs="Arial"/>
          <w:sz w:val="22"/>
          <w:szCs w:val="22"/>
        </w:rPr>
      </w:pPr>
      <w:r w:rsidRPr="00462651">
        <w:rPr>
          <w:rFonts w:ascii="Arial" w:hAnsi="Arial" w:cs="Arial"/>
          <w:sz w:val="22"/>
          <w:szCs w:val="22"/>
        </w:rPr>
        <w:t xml:space="preserve">ŘSD s účinností od 27. února 2009 do 1. března 2015 uzavřelo </w:t>
      </w:r>
      <w:r w:rsidR="007A1976">
        <w:rPr>
          <w:rFonts w:ascii="Arial" w:hAnsi="Arial" w:cs="Arial"/>
          <w:sz w:val="22"/>
          <w:szCs w:val="22"/>
        </w:rPr>
        <w:t>s </w:t>
      </w:r>
      <w:r w:rsidRPr="00462651">
        <w:rPr>
          <w:rFonts w:ascii="Arial" w:hAnsi="Arial" w:cs="Arial"/>
          <w:sz w:val="22"/>
          <w:szCs w:val="22"/>
        </w:rPr>
        <w:t xml:space="preserve">advokátní kanceláří a společností pro správu a vymáhání pohledávek </w:t>
      </w:r>
      <w:r w:rsidR="00CB0A11">
        <w:rPr>
          <w:rFonts w:ascii="Arial" w:hAnsi="Arial" w:cs="Arial"/>
          <w:sz w:val="22"/>
          <w:szCs w:val="22"/>
        </w:rPr>
        <w:t>„s</w:t>
      </w:r>
      <w:r w:rsidRPr="00462651">
        <w:rPr>
          <w:rFonts w:ascii="Arial" w:hAnsi="Arial" w:cs="Arial"/>
          <w:sz w:val="22"/>
          <w:szCs w:val="22"/>
        </w:rPr>
        <w:t>mlouvu o poskytování služeb spojených s evidencí a vymáháním nedoplatků na mýtném</w:t>
      </w:r>
      <w:r w:rsidR="00CB0A11">
        <w:rPr>
          <w:rFonts w:ascii="Arial" w:hAnsi="Arial" w:cs="Arial"/>
          <w:sz w:val="22"/>
          <w:szCs w:val="22"/>
        </w:rPr>
        <w:t>“</w:t>
      </w:r>
      <w:r w:rsidR="007A010A" w:rsidRPr="00462651">
        <w:rPr>
          <w:rFonts w:ascii="Arial" w:hAnsi="Arial" w:cs="Arial"/>
          <w:sz w:val="22"/>
          <w:szCs w:val="22"/>
        </w:rPr>
        <w:t xml:space="preserve">, která zahrnuje činnosti od </w:t>
      </w:r>
      <w:r w:rsidR="00CB0A11">
        <w:rPr>
          <w:rFonts w:ascii="Arial" w:hAnsi="Arial" w:cs="Arial"/>
          <w:sz w:val="22"/>
          <w:szCs w:val="22"/>
        </w:rPr>
        <w:t>zjišťování</w:t>
      </w:r>
      <w:r w:rsidR="007A010A" w:rsidRPr="00462651">
        <w:rPr>
          <w:rFonts w:ascii="Arial" w:hAnsi="Arial" w:cs="Arial"/>
          <w:sz w:val="22"/>
          <w:szCs w:val="22"/>
        </w:rPr>
        <w:t xml:space="preserve"> výše uniklého mýta a jeho vyúčtování až po jeho úhradu</w:t>
      </w:r>
      <w:r w:rsidR="00CB0A11">
        <w:rPr>
          <w:rFonts w:ascii="Arial" w:hAnsi="Arial" w:cs="Arial"/>
          <w:sz w:val="22"/>
          <w:szCs w:val="22"/>
        </w:rPr>
        <w:t>.</w:t>
      </w:r>
      <w:r w:rsidRPr="00462651">
        <w:rPr>
          <w:rStyle w:val="Znakapoznpodarou"/>
          <w:rFonts w:ascii="Arial" w:hAnsi="Arial" w:cs="Arial"/>
          <w:sz w:val="22"/>
          <w:szCs w:val="22"/>
        </w:rPr>
        <w:footnoteReference w:id="32"/>
      </w:r>
      <w:r w:rsidRPr="00462651">
        <w:rPr>
          <w:rFonts w:ascii="Arial" w:hAnsi="Arial" w:cs="Arial"/>
          <w:sz w:val="22"/>
          <w:szCs w:val="22"/>
        </w:rPr>
        <w:t xml:space="preserve"> ŘSD ekonomickou výhodnost </w:t>
      </w:r>
      <w:r w:rsidR="00CB0A11">
        <w:rPr>
          <w:rFonts w:ascii="Arial" w:hAnsi="Arial" w:cs="Arial"/>
          <w:sz w:val="22"/>
          <w:szCs w:val="22"/>
        </w:rPr>
        <w:t>tohoto</w:t>
      </w:r>
      <w:r w:rsidRPr="00462651">
        <w:rPr>
          <w:rFonts w:ascii="Arial" w:hAnsi="Arial" w:cs="Arial"/>
          <w:sz w:val="22"/>
          <w:szCs w:val="22"/>
        </w:rPr>
        <w:t xml:space="preserve"> řešení nedoložilo. </w:t>
      </w:r>
    </w:p>
    <w:p w:rsidR="004920C0" w:rsidRPr="00462651" w:rsidRDefault="004920C0" w:rsidP="004401C1">
      <w:pPr>
        <w:jc w:val="both"/>
        <w:rPr>
          <w:rFonts w:ascii="Arial" w:hAnsi="Arial" w:cs="Arial"/>
          <w:sz w:val="22"/>
          <w:szCs w:val="22"/>
        </w:rPr>
      </w:pPr>
    </w:p>
    <w:p w:rsidR="00C31389" w:rsidRDefault="00C31389" w:rsidP="004401C1">
      <w:pPr>
        <w:jc w:val="both"/>
        <w:rPr>
          <w:rFonts w:ascii="Arial" w:hAnsi="Arial" w:cs="Arial"/>
          <w:sz w:val="22"/>
          <w:szCs w:val="22"/>
        </w:rPr>
      </w:pPr>
      <w:r w:rsidRPr="00462651">
        <w:rPr>
          <w:rFonts w:ascii="Arial" w:hAnsi="Arial" w:cs="Arial"/>
          <w:sz w:val="22"/>
          <w:szCs w:val="22"/>
        </w:rPr>
        <w:t>Součástí služeb, které jsou ve smlouvě podrobně specifikovány, bylo i vybudování softwar</w:t>
      </w:r>
      <w:r w:rsidR="00CB0A11">
        <w:rPr>
          <w:rFonts w:ascii="Arial" w:hAnsi="Arial" w:cs="Arial"/>
          <w:sz w:val="22"/>
          <w:szCs w:val="22"/>
        </w:rPr>
        <w:t>u</w:t>
      </w:r>
      <w:r w:rsidRPr="00462651">
        <w:rPr>
          <w:rFonts w:ascii="Arial" w:hAnsi="Arial" w:cs="Arial"/>
          <w:sz w:val="22"/>
          <w:szCs w:val="22"/>
        </w:rPr>
        <w:t xml:space="preserve"> v celkové hodnotě 39,5 mil. Kč bez DPH. Software zabezpečuje celý průběh vymáhání a evidence nedoplatků </w:t>
      </w:r>
      <w:r w:rsidR="00CB0A11">
        <w:rPr>
          <w:rFonts w:ascii="Arial" w:hAnsi="Arial" w:cs="Arial"/>
          <w:sz w:val="22"/>
          <w:szCs w:val="22"/>
        </w:rPr>
        <w:t>a zajišťuje</w:t>
      </w:r>
      <w:r w:rsidRPr="00462651">
        <w:rPr>
          <w:rFonts w:ascii="Arial" w:hAnsi="Arial" w:cs="Arial"/>
          <w:sz w:val="22"/>
          <w:szCs w:val="22"/>
        </w:rPr>
        <w:t xml:space="preserve"> tvorb</w:t>
      </w:r>
      <w:r w:rsidR="00CB0A11">
        <w:rPr>
          <w:rFonts w:ascii="Arial" w:hAnsi="Arial" w:cs="Arial"/>
          <w:sz w:val="22"/>
          <w:szCs w:val="22"/>
        </w:rPr>
        <w:t>u</w:t>
      </w:r>
      <w:r w:rsidRPr="00462651">
        <w:rPr>
          <w:rFonts w:ascii="Arial" w:hAnsi="Arial" w:cs="Arial"/>
          <w:sz w:val="22"/>
          <w:szCs w:val="22"/>
        </w:rPr>
        <w:t xml:space="preserve"> a odesílání dokumentů (výzev, generování žalob a exekučních návrhů apod.), párování plateb atd. Za průběžně poskytované služby, včetně právních</w:t>
      </w:r>
      <w:r w:rsidR="00CB0A11">
        <w:rPr>
          <w:rFonts w:ascii="Arial" w:hAnsi="Arial" w:cs="Arial"/>
          <w:sz w:val="22"/>
          <w:szCs w:val="22"/>
        </w:rPr>
        <w:t>,</w:t>
      </w:r>
      <w:r w:rsidRPr="00462651">
        <w:rPr>
          <w:rFonts w:ascii="Arial" w:hAnsi="Arial"/>
          <w:sz w:val="22"/>
        </w:rPr>
        <w:t xml:space="preserve"> </w:t>
      </w:r>
      <w:r w:rsidRPr="00462651">
        <w:rPr>
          <w:rFonts w:ascii="Arial" w:hAnsi="Arial" w:cs="Arial"/>
          <w:sz w:val="22"/>
          <w:szCs w:val="22"/>
        </w:rPr>
        <w:t xml:space="preserve">byla ve smlouvě dohodnuta </w:t>
      </w:r>
      <w:r w:rsidRPr="00462651">
        <w:rPr>
          <w:rFonts w:ascii="Arial" w:hAnsi="Arial"/>
          <w:sz w:val="22"/>
        </w:rPr>
        <w:t xml:space="preserve">paušální měsíční </w:t>
      </w:r>
      <w:r w:rsidRPr="00462651">
        <w:rPr>
          <w:rFonts w:ascii="Arial" w:hAnsi="Arial" w:cs="Arial"/>
          <w:sz w:val="22"/>
          <w:szCs w:val="22"/>
        </w:rPr>
        <w:t xml:space="preserve">odměna ve výši 285 tis. Kč bez DPH. Za právní služby na vyžádání byla sjednána odměna </w:t>
      </w:r>
      <w:r w:rsidR="00CB0A11">
        <w:rPr>
          <w:rFonts w:ascii="Arial" w:hAnsi="Arial" w:cs="Arial"/>
          <w:sz w:val="22"/>
          <w:szCs w:val="22"/>
        </w:rPr>
        <w:t xml:space="preserve">dle </w:t>
      </w:r>
      <w:r w:rsidRPr="00462651">
        <w:rPr>
          <w:rFonts w:ascii="Arial" w:hAnsi="Arial" w:cs="Arial"/>
          <w:sz w:val="22"/>
          <w:szCs w:val="22"/>
        </w:rPr>
        <w:t xml:space="preserve">hodinové sazby </w:t>
      </w:r>
      <w:r w:rsidR="00CB0A11" w:rsidRPr="00462651">
        <w:rPr>
          <w:rFonts w:ascii="Arial" w:hAnsi="Arial" w:cs="Arial"/>
          <w:sz w:val="22"/>
          <w:szCs w:val="22"/>
        </w:rPr>
        <w:t xml:space="preserve">ve výši </w:t>
      </w:r>
      <w:r w:rsidRPr="00462651">
        <w:rPr>
          <w:rFonts w:ascii="Arial" w:hAnsi="Arial" w:cs="Arial"/>
          <w:sz w:val="22"/>
          <w:szCs w:val="22"/>
        </w:rPr>
        <w:t>3 500 Kč, resp. 2 500 Kč</w:t>
      </w:r>
      <w:r w:rsidR="00CB0A11">
        <w:rPr>
          <w:rFonts w:ascii="Arial" w:hAnsi="Arial" w:cs="Arial"/>
          <w:sz w:val="22"/>
          <w:szCs w:val="22"/>
        </w:rPr>
        <w:t>,</w:t>
      </w:r>
      <w:r w:rsidRPr="00462651">
        <w:rPr>
          <w:rFonts w:ascii="Arial" w:hAnsi="Arial" w:cs="Arial"/>
          <w:sz w:val="22"/>
          <w:szCs w:val="22"/>
        </w:rPr>
        <w:t xml:space="preserve"> bez DPH za každou započatou hodinu právní pomoci a ve výši advokátního tarifu za promeškaný čas. Za plnění služeb podle smlouvy bylo uhrazeno celkem 56,88</w:t>
      </w:r>
      <w:r w:rsidR="00692E7D">
        <w:rPr>
          <w:rFonts w:cs="Arial"/>
        </w:rPr>
        <w:t> </w:t>
      </w:r>
      <w:r w:rsidRPr="00462651">
        <w:rPr>
          <w:rFonts w:ascii="Arial" w:hAnsi="Arial" w:cs="Arial"/>
          <w:sz w:val="22"/>
          <w:szCs w:val="22"/>
        </w:rPr>
        <w:t>mil.</w:t>
      </w:r>
      <w:r w:rsidR="00692E7D">
        <w:rPr>
          <w:rFonts w:ascii="Arial" w:hAnsi="Arial" w:cs="Arial"/>
          <w:sz w:val="22"/>
          <w:szCs w:val="22"/>
        </w:rPr>
        <w:t> </w:t>
      </w:r>
      <w:r w:rsidRPr="00462651">
        <w:rPr>
          <w:rFonts w:ascii="Arial" w:hAnsi="Arial" w:cs="Arial"/>
          <w:sz w:val="22"/>
          <w:szCs w:val="22"/>
        </w:rPr>
        <w:t xml:space="preserve">Kč bez DPH. </w:t>
      </w:r>
      <w:r w:rsidR="00B42CEA" w:rsidRPr="00462651">
        <w:rPr>
          <w:rFonts w:ascii="Arial" w:hAnsi="Arial" w:cs="Arial"/>
          <w:sz w:val="22"/>
          <w:szCs w:val="22"/>
        </w:rPr>
        <w:t xml:space="preserve">Nákladová efektivnost vymáhání uniklého mýta a nedoplatků dosáhla 0,32 Kč, </w:t>
      </w:r>
      <w:r w:rsidR="00CB0A11">
        <w:rPr>
          <w:rFonts w:ascii="Arial" w:hAnsi="Arial" w:cs="Arial"/>
          <w:sz w:val="22"/>
          <w:szCs w:val="22"/>
        </w:rPr>
        <w:t>což</w:t>
      </w:r>
      <w:r w:rsidR="00B42CEA" w:rsidRPr="00462651">
        <w:rPr>
          <w:rFonts w:ascii="Arial" w:hAnsi="Arial" w:cs="Arial"/>
          <w:sz w:val="22"/>
          <w:szCs w:val="22"/>
        </w:rPr>
        <w:t xml:space="preserve"> znamená, že na jednu korunu vynaložených nákladů byl výnos 32 haléřů</w:t>
      </w:r>
      <w:r w:rsidR="00CB0A11">
        <w:rPr>
          <w:rFonts w:ascii="Arial" w:hAnsi="Arial" w:cs="Arial"/>
          <w:sz w:val="22"/>
          <w:szCs w:val="22"/>
        </w:rPr>
        <w:t>.</w:t>
      </w:r>
      <w:r w:rsidR="00B42CEA" w:rsidRPr="00462651">
        <w:rPr>
          <w:rStyle w:val="Znakapoznpodarou"/>
          <w:rFonts w:ascii="Arial" w:hAnsi="Arial" w:cs="Arial"/>
          <w:sz w:val="22"/>
          <w:szCs w:val="22"/>
        </w:rPr>
        <w:footnoteReference w:id="33"/>
      </w:r>
    </w:p>
    <w:p w:rsidR="004920C0" w:rsidRPr="00462651" w:rsidRDefault="004920C0" w:rsidP="004401C1">
      <w:pPr>
        <w:jc w:val="both"/>
        <w:rPr>
          <w:rFonts w:ascii="Arial" w:hAnsi="Arial" w:cs="Arial"/>
          <w:sz w:val="22"/>
          <w:szCs w:val="22"/>
        </w:rPr>
      </w:pPr>
    </w:p>
    <w:p w:rsidR="00C31389" w:rsidRDefault="00C31389" w:rsidP="004401C1">
      <w:pPr>
        <w:jc w:val="both"/>
        <w:rPr>
          <w:rFonts w:ascii="Arial" w:hAnsi="Arial" w:cs="Arial"/>
          <w:sz w:val="22"/>
          <w:szCs w:val="22"/>
        </w:rPr>
      </w:pPr>
      <w:r w:rsidRPr="00462651">
        <w:rPr>
          <w:rFonts w:ascii="Arial" w:hAnsi="Arial" w:cs="Arial"/>
          <w:sz w:val="22"/>
          <w:szCs w:val="22"/>
        </w:rPr>
        <w:t xml:space="preserve">NKÚ prověřil 36 případů vymáhání nedoplatků a zjistil, že uhrazeno bylo pouze 14 </w:t>
      </w:r>
      <w:r w:rsidR="007A1976">
        <w:rPr>
          <w:rFonts w:ascii="Arial" w:hAnsi="Arial" w:cs="Arial"/>
          <w:sz w:val="22"/>
          <w:szCs w:val="22"/>
        </w:rPr>
        <w:t>z </w:t>
      </w:r>
      <w:r w:rsidRPr="00462651">
        <w:rPr>
          <w:rFonts w:ascii="Arial" w:hAnsi="Arial" w:cs="Arial"/>
          <w:sz w:val="22"/>
          <w:szCs w:val="22"/>
        </w:rPr>
        <w:t xml:space="preserve">nich. Dále bylo zjištěno, že nedoplatky devíti dlužníků </w:t>
      </w:r>
      <w:r w:rsidR="007A1976">
        <w:rPr>
          <w:rFonts w:ascii="Arial" w:hAnsi="Arial" w:cs="Arial"/>
          <w:sz w:val="22"/>
          <w:szCs w:val="22"/>
        </w:rPr>
        <w:t>v </w:t>
      </w:r>
      <w:r w:rsidRPr="00462651">
        <w:rPr>
          <w:rFonts w:ascii="Arial" w:hAnsi="Arial" w:cs="Arial"/>
          <w:sz w:val="22"/>
          <w:szCs w:val="22"/>
        </w:rPr>
        <w:t>celkové výši 17 875 Kč vzrostly navýšením o</w:t>
      </w:r>
      <w:r w:rsidR="00692E7D">
        <w:rPr>
          <w:rFonts w:ascii="Arial" w:hAnsi="Arial" w:cs="Arial"/>
          <w:sz w:val="22"/>
          <w:szCs w:val="22"/>
        </w:rPr>
        <w:t xml:space="preserve"> </w:t>
      </w:r>
      <w:r w:rsidRPr="00462651">
        <w:rPr>
          <w:rFonts w:ascii="Arial" w:hAnsi="Arial" w:cs="Arial"/>
          <w:sz w:val="22"/>
          <w:szCs w:val="22"/>
        </w:rPr>
        <w:t xml:space="preserve">soudní poplatky, odměny advokátní kanceláři, paušální poplatky, </w:t>
      </w:r>
      <w:r w:rsidR="00CB0A11">
        <w:rPr>
          <w:rFonts w:ascii="Arial" w:hAnsi="Arial" w:cs="Arial"/>
          <w:sz w:val="22"/>
          <w:szCs w:val="22"/>
        </w:rPr>
        <w:t>příp.</w:t>
      </w:r>
      <w:r w:rsidRPr="00462651">
        <w:rPr>
          <w:rFonts w:ascii="Arial" w:hAnsi="Arial" w:cs="Arial"/>
          <w:sz w:val="22"/>
          <w:szCs w:val="22"/>
        </w:rPr>
        <w:t xml:space="preserve"> náklady na exekuci, na celkovou částku 89 882 Kč. Přestože soudy nároky ŘSD uznaly, advokátní kancelář nevymohla </w:t>
      </w:r>
      <w:r w:rsidR="00CB0A11">
        <w:rPr>
          <w:rFonts w:ascii="Arial" w:hAnsi="Arial" w:cs="Arial"/>
          <w:sz w:val="22"/>
          <w:szCs w:val="22"/>
        </w:rPr>
        <w:t xml:space="preserve">u kontrolovaných případů </w:t>
      </w:r>
      <w:r w:rsidRPr="00462651">
        <w:rPr>
          <w:rFonts w:ascii="Arial" w:hAnsi="Arial" w:cs="Arial"/>
          <w:sz w:val="22"/>
          <w:szCs w:val="22"/>
        </w:rPr>
        <w:t xml:space="preserve">žádnou částku. Rozsudkem Krajského soudu </w:t>
      </w:r>
      <w:r w:rsidR="007A1976">
        <w:rPr>
          <w:rFonts w:ascii="Arial" w:hAnsi="Arial" w:cs="Arial"/>
          <w:sz w:val="22"/>
          <w:szCs w:val="22"/>
        </w:rPr>
        <w:t>v </w:t>
      </w:r>
      <w:r w:rsidRPr="00462651">
        <w:rPr>
          <w:rFonts w:ascii="Arial" w:hAnsi="Arial" w:cs="Arial"/>
          <w:sz w:val="22"/>
          <w:szCs w:val="22"/>
        </w:rPr>
        <w:t>Plzni</w:t>
      </w:r>
      <w:r w:rsidRPr="00462651">
        <w:rPr>
          <w:rStyle w:val="Znakypropoznmkupodarou"/>
          <w:rFonts w:ascii="Arial" w:hAnsi="Arial" w:cs="Arial"/>
          <w:sz w:val="22"/>
          <w:szCs w:val="22"/>
        </w:rPr>
        <w:footnoteReference w:id="34"/>
      </w:r>
      <w:r w:rsidRPr="00462651">
        <w:rPr>
          <w:rFonts w:ascii="Arial" w:hAnsi="Arial" w:cs="Arial"/>
          <w:sz w:val="22"/>
          <w:szCs w:val="22"/>
        </w:rPr>
        <w:t xml:space="preserve"> bylo rozhodnuto o snížení náhrady nákladů ŘSD na právní zastoupení advokátní kanceláří s odůvodněním, že ŘSD by mělo být vybaveno odborným aparátem k plnění svých profesních úkolů.</w:t>
      </w:r>
    </w:p>
    <w:p w:rsidR="004920C0" w:rsidRPr="00462651" w:rsidRDefault="004920C0" w:rsidP="004401C1">
      <w:pPr>
        <w:jc w:val="both"/>
        <w:rPr>
          <w:rFonts w:ascii="Arial" w:hAnsi="Arial" w:cs="Arial"/>
          <w:sz w:val="22"/>
          <w:szCs w:val="22"/>
        </w:rPr>
      </w:pPr>
    </w:p>
    <w:p w:rsidR="00C31389" w:rsidRDefault="00C31389" w:rsidP="004401C1">
      <w:pPr>
        <w:jc w:val="both"/>
        <w:rPr>
          <w:rFonts w:ascii="Arial" w:hAnsi="Arial" w:cs="Arial"/>
          <w:sz w:val="22"/>
          <w:szCs w:val="22"/>
        </w:rPr>
      </w:pPr>
      <w:r w:rsidRPr="00462651">
        <w:rPr>
          <w:rFonts w:ascii="Arial" w:hAnsi="Arial" w:cs="Arial"/>
          <w:sz w:val="22"/>
          <w:szCs w:val="22"/>
        </w:rPr>
        <w:lastRenderedPageBreak/>
        <w:t xml:space="preserve">Smluvně zajišťované úkony </w:t>
      </w:r>
      <w:r w:rsidR="007A1976">
        <w:rPr>
          <w:rFonts w:ascii="Arial" w:hAnsi="Arial" w:cs="Arial"/>
          <w:sz w:val="22"/>
          <w:szCs w:val="22"/>
        </w:rPr>
        <w:t>k </w:t>
      </w:r>
      <w:r w:rsidRPr="00462651">
        <w:rPr>
          <w:rFonts w:ascii="Arial" w:hAnsi="Arial" w:cs="Arial"/>
          <w:sz w:val="22"/>
          <w:szCs w:val="22"/>
        </w:rPr>
        <w:t xml:space="preserve">vymožení nedoplatků na mýtném jsou činnostmi, které při vymáhání nedoplatků na pokutách uložených za porušení povinnosti v SVZ vykonávají celní orgány. </w:t>
      </w:r>
    </w:p>
    <w:p w:rsidR="004920C0" w:rsidRPr="004401C1" w:rsidRDefault="004920C0" w:rsidP="004401C1">
      <w:pPr>
        <w:jc w:val="both"/>
        <w:rPr>
          <w:rFonts w:ascii="Arial" w:hAnsi="Arial" w:cs="Arial"/>
          <w:sz w:val="22"/>
          <w:szCs w:val="22"/>
        </w:rPr>
      </w:pPr>
    </w:p>
    <w:p w:rsidR="00353265" w:rsidRDefault="00F46A75" w:rsidP="004401C1">
      <w:pPr>
        <w:jc w:val="both"/>
        <w:rPr>
          <w:rFonts w:ascii="Arial" w:hAnsi="Arial" w:cs="Arial"/>
          <w:sz w:val="22"/>
          <w:szCs w:val="22"/>
        </w:rPr>
      </w:pPr>
      <w:r w:rsidRPr="00462651">
        <w:rPr>
          <w:rFonts w:ascii="Arial" w:hAnsi="Arial" w:cs="Arial"/>
          <w:sz w:val="22"/>
          <w:szCs w:val="22"/>
        </w:rPr>
        <w:t>V</w:t>
      </w:r>
      <w:r w:rsidR="00044044" w:rsidRPr="00462651">
        <w:rPr>
          <w:rFonts w:ascii="Arial" w:hAnsi="Arial" w:cs="Arial"/>
          <w:sz w:val="22"/>
          <w:szCs w:val="22"/>
        </w:rPr>
        <w:t xml:space="preserve">ymáhání nedoplatků na mýtném bylo </w:t>
      </w:r>
      <w:r w:rsidR="005B3782" w:rsidRPr="00462651">
        <w:rPr>
          <w:rFonts w:ascii="Arial" w:hAnsi="Arial" w:cs="Arial"/>
          <w:sz w:val="22"/>
          <w:szCs w:val="22"/>
        </w:rPr>
        <w:t xml:space="preserve">ve všech materiálech, které </w:t>
      </w:r>
      <w:r w:rsidR="00CB0A11">
        <w:rPr>
          <w:rFonts w:ascii="Arial" w:hAnsi="Arial" w:cs="Arial"/>
          <w:sz w:val="22"/>
          <w:szCs w:val="22"/>
        </w:rPr>
        <w:t>v</w:t>
      </w:r>
      <w:r w:rsidR="00044044" w:rsidRPr="00462651">
        <w:rPr>
          <w:rFonts w:ascii="Arial" w:hAnsi="Arial" w:cs="Arial"/>
          <w:sz w:val="22"/>
          <w:szCs w:val="22"/>
        </w:rPr>
        <w:t>lád</w:t>
      </w:r>
      <w:r w:rsidR="005B3782" w:rsidRPr="00462651">
        <w:rPr>
          <w:rFonts w:ascii="Arial" w:hAnsi="Arial" w:cs="Arial"/>
          <w:sz w:val="22"/>
          <w:szCs w:val="22"/>
        </w:rPr>
        <w:t>a</w:t>
      </w:r>
      <w:r w:rsidR="00044044" w:rsidRPr="00462651">
        <w:rPr>
          <w:rFonts w:ascii="Arial" w:hAnsi="Arial" w:cs="Arial"/>
          <w:sz w:val="22"/>
          <w:szCs w:val="22"/>
        </w:rPr>
        <w:t xml:space="preserve"> ČR</w:t>
      </w:r>
      <w:r w:rsidR="005B3782" w:rsidRPr="00462651">
        <w:rPr>
          <w:rFonts w:ascii="Arial" w:hAnsi="Arial" w:cs="Arial"/>
          <w:sz w:val="22"/>
          <w:szCs w:val="22"/>
        </w:rPr>
        <w:t xml:space="preserve"> vzala </w:t>
      </w:r>
      <w:r w:rsidR="00CB0A11">
        <w:rPr>
          <w:rFonts w:ascii="Arial" w:hAnsi="Arial" w:cs="Arial"/>
          <w:sz w:val="22"/>
          <w:szCs w:val="22"/>
        </w:rPr>
        <w:t xml:space="preserve">svými </w:t>
      </w:r>
      <w:r w:rsidR="00132965" w:rsidRPr="00462651">
        <w:rPr>
          <w:rFonts w:ascii="Arial" w:hAnsi="Arial" w:cs="Arial"/>
          <w:sz w:val="22"/>
          <w:szCs w:val="22"/>
        </w:rPr>
        <w:t>usnesením</w:t>
      </w:r>
      <w:r w:rsidRPr="00462651">
        <w:rPr>
          <w:rFonts w:ascii="Arial" w:hAnsi="Arial" w:cs="Arial"/>
          <w:sz w:val="22"/>
          <w:szCs w:val="22"/>
        </w:rPr>
        <w:t>i</w:t>
      </w:r>
      <w:r w:rsidR="00132965" w:rsidRPr="00462651">
        <w:rPr>
          <w:rFonts w:ascii="Arial" w:hAnsi="Arial" w:cs="Arial"/>
          <w:sz w:val="22"/>
          <w:szCs w:val="22"/>
        </w:rPr>
        <w:t xml:space="preserve"> </w:t>
      </w:r>
      <w:r w:rsidR="005B3782" w:rsidRPr="00462651">
        <w:rPr>
          <w:rFonts w:ascii="Arial" w:hAnsi="Arial" w:cs="Arial"/>
          <w:sz w:val="22"/>
          <w:szCs w:val="22"/>
        </w:rPr>
        <w:t>na vědomí,</w:t>
      </w:r>
      <w:r w:rsidR="00044044" w:rsidRPr="00462651">
        <w:rPr>
          <w:rFonts w:ascii="Arial" w:hAnsi="Arial" w:cs="Arial"/>
          <w:sz w:val="22"/>
          <w:szCs w:val="22"/>
        </w:rPr>
        <w:t xml:space="preserve"> </w:t>
      </w:r>
      <w:r w:rsidR="00044044" w:rsidRPr="00462651">
        <w:rPr>
          <w:rFonts w:ascii="Arial" w:hAnsi="Arial" w:cs="Arial"/>
          <w:bCs/>
          <w:iCs/>
          <w:sz w:val="22"/>
          <w:szCs w:val="22"/>
        </w:rPr>
        <w:t xml:space="preserve">koncipováno </w:t>
      </w:r>
      <w:r w:rsidR="007A1976">
        <w:rPr>
          <w:rFonts w:ascii="Arial" w:hAnsi="Arial" w:cs="Arial"/>
          <w:bCs/>
          <w:iCs/>
          <w:sz w:val="22"/>
          <w:szCs w:val="22"/>
        </w:rPr>
        <w:t>v </w:t>
      </w:r>
      <w:r w:rsidR="00044044" w:rsidRPr="00462651">
        <w:rPr>
          <w:rFonts w:ascii="Arial" w:hAnsi="Arial" w:cs="Arial"/>
          <w:bCs/>
          <w:iCs/>
          <w:sz w:val="22"/>
          <w:szCs w:val="22"/>
        </w:rPr>
        <w:t xml:space="preserve">rovině veřejnoprávní, </w:t>
      </w:r>
      <w:r w:rsidR="00840758">
        <w:rPr>
          <w:rFonts w:ascii="Arial" w:hAnsi="Arial" w:cs="Arial"/>
          <w:bCs/>
          <w:iCs/>
          <w:sz w:val="22"/>
          <w:szCs w:val="22"/>
        </w:rPr>
        <w:t xml:space="preserve">konkrétně </w:t>
      </w:r>
      <w:r w:rsidR="00CB0A11">
        <w:rPr>
          <w:rFonts w:ascii="Arial" w:hAnsi="Arial" w:cs="Arial"/>
          <w:bCs/>
          <w:iCs/>
          <w:sz w:val="22"/>
          <w:szCs w:val="22"/>
        </w:rPr>
        <w:t>mělo být prováděno</w:t>
      </w:r>
      <w:r w:rsidR="00044044" w:rsidRPr="00462651">
        <w:rPr>
          <w:rFonts w:ascii="Arial" w:hAnsi="Arial" w:cs="Arial"/>
          <w:bCs/>
          <w:iCs/>
          <w:sz w:val="22"/>
          <w:szCs w:val="22"/>
        </w:rPr>
        <w:t xml:space="preserve"> celní</w:t>
      </w:r>
      <w:r w:rsidR="00840758">
        <w:rPr>
          <w:rFonts w:ascii="Arial" w:hAnsi="Arial" w:cs="Arial"/>
          <w:bCs/>
          <w:iCs/>
          <w:sz w:val="22"/>
          <w:szCs w:val="22"/>
        </w:rPr>
        <w:t>mi</w:t>
      </w:r>
      <w:r w:rsidR="00044044" w:rsidRPr="00462651">
        <w:rPr>
          <w:rFonts w:ascii="Arial" w:hAnsi="Arial" w:cs="Arial"/>
          <w:bCs/>
          <w:iCs/>
          <w:sz w:val="22"/>
          <w:szCs w:val="22"/>
        </w:rPr>
        <w:t xml:space="preserve"> orgán</w:t>
      </w:r>
      <w:r w:rsidR="00840758">
        <w:rPr>
          <w:rFonts w:ascii="Arial" w:hAnsi="Arial" w:cs="Arial"/>
          <w:bCs/>
          <w:iCs/>
          <w:sz w:val="22"/>
          <w:szCs w:val="22"/>
        </w:rPr>
        <w:t>y</w:t>
      </w:r>
      <w:r w:rsidR="00044044" w:rsidRPr="00462651">
        <w:rPr>
          <w:rFonts w:ascii="Arial" w:hAnsi="Arial" w:cs="Arial"/>
          <w:bCs/>
          <w:iCs/>
          <w:sz w:val="22"/>
          <w:szCs w:val="22"/>
        </w:rPr>
        <w:t xml:space="preserve">. </w:t>
      </w:r>
      <w:r w:rsidRPr="00462651">
        <w:rPr>
          <w:rFonts w:ascii="Arial" w:hAnsi="Arial" w:cs="Arial"/>
          <w:sz w:val="22"/>
          <w:szCs w:val="22"/>
        </w:rPr>
        <w:t xml:space="preserve">Kontrolou NKÚ bylo zjištěno, že </w:t>
      </w:r>
      <w:r w:rsidR="00E46DF7" w:rsidRPr="00462651">
        <w:rPr>
          <w:rFonts w:ascii="Arial" w:hAnsi="Arial" w:cs="Arial"/>
          <w:sz w:val="22"/>
          <w:szCs w:val="22"/>
        </w:rPr>
        <w:t>MD t</w:t>
      </w:r>
      <w:r w:rsidR="00044044" w:rsidRPr="00462651">
        <w:rPr>
          <w:rFonts w:ascii="Arial" w:hAnsi="Arial" w:cs="Arial"/>
          <w:bCs/>
          <w:iCs/>
          <w:sz w:val="22"/>
          <w:szCs w:val="22"/>
        </w:rPr>
        <w:t>akovou úpravu procesu vymáhání</w:t>
      </w:r>
      <w:r w:rsidR="00044044" w:rsidRPr="00462651">
        <w:rPr>
          <w:rFonts w:ascii="Arial" w:hAnsi="Arial" w:cs="Arial"/>
          <w:sz w:val="22"/>
          <w:szCs w:val="22"/>
        </w:rPr>
        <w:t xml:space="preserve"> nedoplatků</w:t>
      </w:r>
      <w:r w:rsidR="0082157D" w:rsidRPr="00462651">
        <w:rPr>
          <w:rFonts w:ascii="Arial" w:hAnsi="Arial" w:cs="Arial"/>
          <w:sz w:val="22"/>
          <w:szCs w:val="22"/>
        </w:rPr>
        <w:t xml:space="preserve"> </w:t>
      </w:r>
      <w:r w:rsidR="00044044" w:rsidRPr="00462651">
        <w:rPr>
          <w:rFonts w:ascii="Arial" w:hAnsi="Arial" w:cs="Arial"/>
          <w:sz w:val="22"/>
          <w:szCs w:val="22"/>
        </w:rPr>
        <w:t xml:space="preserve">na mýtném </w:t>
      </w:r>
      <w:r w:rsidR="0082157D" w:rsidRPr="00462651">
        <w:rPr>
          <w:rFonts w:ascii="Arial" w:hAnsi="Arial" w:cs="Arial"/>
          <w:sz w:val="22"/>
          <w:szCs w:val="22"/>
        </w:rPr>
        <w:t xml:space="preserve">do </w:t>
      </w:r>
      <w:r w:rsidR="00E46DF7" w:rsidRPr="00462651">
        <w:rPr>
          <w:rFonts w:ascii="Arial" w:hAnsi="Arial" w:cs="Arial"/>
          <w:sz w:val="22"/>
          <w:szCs w:val="22"/>
        </w:rPr>
        <w:t xml:space="preserve">příslušných ustanovení </w:t>
      </w:r>
      <w:r w:rsidR="0082157D" w:rsidRPr="00462651">
        <w:rPr>
          <w:rFonts w:ascii="Arial" w:hAnsi="Arial" w:cs="Arial"/>
          <w:sz w:val="22"/>
          <w:szCs w:val="22"/>
        </w:rPr>
        <w:t xml:space="preserve">právních předpisů </w:t>
      </w:r>
      <w:r w:rsidR="00044044" w:rsidRPr="00462651">
        <w:rPr>
          <w:rFonts w:ascii="Arial" w:hAnsi="Arial" w:cs="Arial"/>
          <w:sz w:val="22"/>
          <w:szCs w:val="22"/>
        </w:rPr>
        <w:t>nenavrhlo</w:t>
      </w:r>
      <w:r w:rsidR="00E46DF7" w:rsidRPr="00462651">
        <w:rPr>
          <w:rFonts w:ascii="Arial" w:hAnsi="Arial" w:cs="Arial"/>
          <w:sz w:val="22"/>
          <w:szCs w:val="22"/>
        </w:rPr>
        <w:t xml:space="preserve">, </w:t>
      </w:r>
      <w:r w:rsidR="0082157D" w:rsidRPr="00462651">
        <w:rPr>
          <w:rFonts w:ascii="Arial" w:hAnsi="Arial" w:cs="Arial"/>
          <w:sz w:val="22"/>
          <w:szCs w:val="22"/>
        </w:rPr>
        <w:t xml:space="preserve">nedoplatky jsou vymáhány občanskoprávní cestou dodavatelským způsobem. </w:t>
      </w:r>
      <w:r w:rsidR="00044044" w:rsidRPr="00462651">
        <w:rPr>
          <w:rFonts w:ascii="Arial" w:hAnsi="Arial" w:cs="Arial"/>
          <w:sz w:val="22"/>
          <w:szCs w:val="22"/>
        </w:rPr>
        <w:t xml:space="preserve"> </w:t>
      </w:r>
    </w:p>
    <w:p w:rsidR="004920C0" w:rsidRPr="00462651" w:rsidRDefault="004920C0" w:rsidP="004401C1">
      <w:pPr>
        <w:jc w:val="both"/>
        <w:rPr>
          <w:rFonts w:ascii="Arial" w:hAnsi="Arial" w:cs="Arial"/>
          <w:sz w:val="22"/>
          <w:szCs w:val="22"/>
        </w:rPr>
      </w:pPr>
    </w:p>
    <w:p w:rsidR="00286C6E" w:rsidRDefault="00840758" w:rsidP="004401C1">
      <w:pPr>
        <w:pStyle w:val="Nadpis2"/>
        <w:spacing w:before="120" w:after="0"/>
        <w:jc w:val="both"/>
        <w:rPr>
          <w:rFonts w:ascii="Arial" w:hAnsi="Arial" w:cs="Arial"/>
          <w:i w:val="0"/>
          <w:sz w:val="22"/>
          <w:szCs w:val="22"/>
        </w:rPr>
      </w:pPr>
      <w:r>
        <w:rPr>
          <w:rFonts w:ascii="Arial" w:hAnsi="Arial" w:cs="Arial"/>
          <w:i w:val="0"/>
          <w:sz w:val="22"/>
          <w:szCs w:val="22"/>
        </w:rPr>
        <w:t xml:space="preserve">6. </w:t>
      </w:r>
      <w:r w:rsidR="00286C6E" w:rsidRPr="0072157A">
        <w:rPr>
          <w:rFonts w:ascii="Arial" w:hAnsi="Arial" w:cs="Arial"/>
          <w:i w:val="0"/>
          <w:sz w:val="22"/>
          <w:szCs w:val="22"/>
        </w:rPr>
        <w:t>Registrace vozidla v SVZ a úprava registru vozidel</w:t>
      </w:r>
    </w:p>
    <w:p w:rsidR="0076236F" w:rsidRPr="004401C1" w:rsidRDefault="0076236F" w:rsidP="0076236F">
      <w:pPr>
        <w:rPr>
          <w:rFonts w:ascii="Arial" w:hAnsi="Arial" w:cs="Arial"/>
          <w:sz w:val="22"/>
          <w:szCs w:val="22"/>
        </w:rPr>
      </w:pPr>
    </w:p>
    <w:p w:rsidR="00286C6E" w:rsidRDefault="00286C6E" w:rsidP="004401C1">
      <w:pPr>
        <w:widowControl w:val="0"/>
        <w:autoSpaceDE w:val="0"/>
        <w:jc w:val="both"/>
        <w:rPr>
          <w:rFonts w:ascii="Arial" w:hAnsi="Arial" w:cs="Arial"/>
          <w:sz w:val="22"/>
          <w:szCs w:val="22"/>
        </w:rPr>
      </w:pPr>
      <w:r w:rsidRPr="00143110">
        <w:rPr>
          <w:rFonts w:ascii="Arial" w:hAnsi="Arial" w:cs="Arial"/>
          <w:sz w:val="22"/>
          <w:szCs w:val="22"/>
        </w:rPr>
        <w:t xml:space="preserve">Registrace vozidla </w:t>
      </w:r>
      <w:r w:rsidR="00840758">
        <w:rPr>
          <w:rFonts w:ascii="Arial" w:hAnsi="Arial" w:cs="Arial"/>
          <w:sz w:val="22"/>
          <w:szCs w:val="22"/>
        </w:rPr>
        <w:t>v</w:t>
      </w:r>
      <w:r w:rsidRPr="00143110">
        <w:rPr>
          <w:rFonts w:ascii="Arial" w:hAnsi="Arial" w:cs="Arial"/>
          <w:sz w:val="22"/>
          <w:szCs w:val="22"/>
        </w:rPr>
        <w:t xml:space="preserve"> SVZ </w:t>
      </w:r>
      <w:r w:rsidR="00840758">
        <w:rPr>
          <w:rFonts w:ascii="Arial" w:hAnsi="Arial" w:cs="Arial"/>
          <w:sz w:val="22"/>
          <w:szCs w:val="22"/>
        </w:rPr>
        <w:t>a</w:t>
      </w:r>
      <w:r w:rsidRPr="00143110">
        <w:rPr>
          <w:rFonts w:ascii="Arial" w:hAnsi="Arial" w:cs="Arial"/>
          <w:sz w:val="22"/>
          <w:szCs w:val="22"/>
        </w:rPr>
        <w:t xml:space="preserve"> uvedení správných a úplných údajů je základní podmínkou pro využívání výkonově zpoplatněných komunikací </w:t>
      </w:r>
      <w:r w:rsidR="00840758">
        <w:rPr>
          <w:rFonts w:ascii="Arial" w:hAnsi="Arial" w:cs="Arial"/>
          <w:sz w:val="22"/>
          <w:szCs w:val="22"/>
        </w:rPr>
        <w:t>i</w:t>
      </w:r>
      <w:r w:rsidRPr="00143110">
        <w:rPr>
          <w:rFonts w:ascii="Arial" w:hAnsi="Arial" w:cs="Arial"/>
          <w:sz w:val="22"/>
          <w:szCs w:val="22"/>
        </w:rPr>
        <w:t xml:space="preserve"> pro správné zjištění a vyměření mýtného. Obsah evidence </w:t>
      </w:r>
      <w:r w:rsidR="00814E34" w:rsidRPr="00143110">
        <w:rPr>
          <w:rFonts w:ascii="Arial" w:hAnsi="Arial" w:cs="Arial"/>
          <w:sz w:val="22"/>
          <w:szCs w:val="22"/>
        </w:rPr>
        <w:t>údajů o mýtném</w:t>
      </w:r>
      <w:r w:rsidRPr="00143110">
        <w:rPr>
          <w:rFonts w:ascii="Arial" w:hAnsi="Arial" w:cs="Arial"/>
          <w:sz w:val="22"/>
          <w:szCs w:val="22"/>
        </w:rPr>
        <w:t>, práva a povinnosti ŘSD</w:t>
      </w:r>
      <w:r w:rsidR="00665D2D" w:rsidRPr="00143110">
        <w:rPr>
          <w:rFonts w:ascii="Arial" w:hAnsi="Arial" w:cs="Arial"/>
          <w:sz w:val="22"/>
          <w:szCs w:val="22"/>
        </w:rPr>
        <w:t xml:space="preserve"> při vedení evidence </w:t>
      </w:r>
      <w:r w:rsidR="00520EF3" w:rsidRPr="00143110">
        <w:rPr>
          <w:rFonts w:ascii="Arial" w:hAnsi="Arial" w:cs="Arial"/>
          <w:sz w:val="22"/>
          <w:szCs w:val="22"/>
        </w:rPr>
        <w:t>a </w:t>
      </w:r>
      <w:r w:rsidR="00840758" w:rsidRPr="00143110">
        <w:rPr>
          <w:rFonts w:ascii="Arial" w:hAnsi="Arial" w:cs="Arial"/>
          <w:sz w:val="22"/>
          <w:szCs w:val="22"/>
        </w:rPr>
        <w:t>práva a</w:t>
      </w:r>
      <w:r w:rsidR="00692E7D">
        <w:rPr>
          <w:rFonts w:ascii="Arial" w:hAnsi="Arial" w:cs="Arial"/>
          <w:sz w:val="22"/>
          <w:szCs w:val="22"/>
        </w:rPr>
        <w:t> </w:t>
      </w:r>
      <w:r w:rsidR="00840758" w:rsidRPr="00143110">
        <w:rPr>
          <w:rFonts w:ascii="Arial" w:hAnsi="Arial" w:cs="Arial"/>
          <w:sz w:val="22"/>
          <w:szCs w:val="22"/>
        </w:rPr>
        <w:t xml:space="preserve">povinnosti </w:t>
      </w:r>
      <w:r w:rsidRPr="00143110">
        <w:rPr>
          <w:rFonts w:ascii="Arial" w:hAnsi="Arial" w:cs="Arial"/>
          <w:sz w:val="22"/>
          <w:szCs w:val="22"/>
        </w:rPr>
        <w:t xml:space="preserve">uživatele </w:t>
      </w:r>
      <w:r w:rsidR="00840758">
        <w:rPr>
          <w:rFonts w:ascii="Arial" w:hAnsi="Arial" w:cs="Arial"/>
          <w:sz w:val="22"/>
          <w:szCs w:val="22"/>
        </w:rPr>
        <w:t>ohledně</w:t>
      </w:r>
      <w:r w:rsidRPr="00143110">
        <w:rPr>
          <w:rFonts w:ascii="Arial" w:hAnsi="Arial" w:cs="Arial"/>
          <w:sz w:val="22"/>
          <w:szCs w:val="22"/>
        </w:rPr>
        <w:t xml:space="preserve"> sdělování údajů byly legislativně upraveny od zavedení SVZ.</w:t>
      </w:r>
    </w:p>
    <w:p w:rsidR="004920C0" w:rsidRPr="00143110" w:rsidRDefault="004920C0" w:rsidP="004401C1">
      <w:pPr>
        <w:widowControl w:val="0"/>
        <w:autoSpaceDE w:val="0"/>
        <w:jc w:val="both"/>
        <w:rPr>
          <w:rFonts w:ascii="Arial" w:hAnsi="Arial" w:cs="Arial"/>
          <w:sz w:val="22"/>
          <w:szCs w:val="22"/>
        </w:rPr>
      </w:pPr>
    </w:p>
    <w:p w:rsidR="00286C6E" w:rsidRDefault="00286C6E" w:rsidP="004401C1">
      <w:pPr>
        <w:jc w:val="both"/>
        <w:rPr>
          <w:rFonts w:ascii="Arial" w:hAnsi="Arial" w:cs="Arial"/>
          <w:sz w:val="22"/>
          <w:szCs w:val="22"/>
        </w:rPr>
      </w:pPr>
      <w:r w:rsidRPr="00143110">
        <w:rPr>
          <w:rFonts w:ascii="Arial" w:hAnsi="Arial" w:cs="Arial"/>
          <w:sz w:val="22"/>
          <w:szCs w:val="22"/>
        </w:rPr>
        <w:t xml:space="preserve">Kontrolou NKÚ bylo zjištěno, že z celkového počtu 476 107 </w:t>
      </w:r>
      <w:r w:rsidR="00665D2D" w:rsidRPr="00143110">
        <w:rPr>
          <w:rFonts w:ascii="Arial" w:hAnsi="Arial" w:cs="Arial"/>
          <w:sz w:val="22"/>
          <w:szCs w:val="22"/>
        </w:rPr>
        <w:t>provozovatelů vozidel</w:t>
      </w:r>
      <w:r w:rsidRPr="00143110">
        <w:rPr>
          <w:rFonts w:ascii="Arial" w:hAnsi="Arial" w:cs="Arial"/>
          <w:sz w:val="22"/>
          <w:szCs w:val="22"/>
        </w:rPr>
        <w:t xml:space="preserve"> v režimu placení předem byly pouze u 33 183 </w:t>
      </w:r>
      <w:r w:rsidR="00665D2D" w:rsidRPr="00143110">
        <w:rPr>
          <w:rFonts w:ascii="Arial" w:hAnsi="Arial" w:cs="Arial"/>
          <w:sz w:val="22"/>
          <w:szCs w:val="22"/>
        </w:rPr>
        <w:t>provozovatelů</w:t>
      </w:r>
      <w:r w:rsidRPr="00143110">
        <w:rPr>
          <w:rFonts w:ascii="Arial" w:hAnsi="Arial" w:cs="Arial"/>
          <w:sz w:val="22"/>
          <w:szCs w:val="22"/>
        </w:rPr>
        <w:t xml:space="preserve"> uvedeny úplné a správné</w:t>
      </w:r>
      <w:r w:rsidR="00460C0B" w:rsidRPr="00143110">
        <w:rPr>
          <w:rFonts w:ascii="Arial" w:hAnsi="Arial" w:cs="Arial"/>
          <w:sz w:val="22"/>
          <w:szCs w:val="22"/>
        </w:rPr>
        <w:t xml:space="preserve"> údaje</w:t>
      </w:r>
      <w:r w:rsidRPr="00143110">
        <w:rPr>
          <w:rFonts w:ascii="Arial" w:hAnsi="Arial" w:cs="Arial"/>
          <w:sz w:val="22"/>
          <w:szCs w:val="22"/>
        </w:rPr>
        <w:t xml:space="preserve">. Neúplné údaje o </w:t>
      </w:r>
      <w:r w:rsidR="00191142" w:rsidRPr="00143110">
        <w:rPr>
          <w:rFonts w:ascii="Arial" w:hAnsi="Arial" w:cs="Arial"/>
          <w:sz w:val="22"/>
          <w:szCs w:val="22"/>
        </w:rPr>
        <w:t>provozovatelích</w:t>
      </w:r>
      <w:r w:rsidRPr="00143110">
        <w:rPr>
          <w:rFonts w:ascii="Arial" w:hAnsi="Arial" w:cs="Arial"/>
          <w:sz w:val="22"/>
          <w:szCs w:val="22"/>
        </w:rPr>
        <w:t xml:space="preserve"> v tomto režimu znemožňovaly identifikaci dlužníků. </w:t>
      </w:r>
      <w:r w:rsidR="00DE75CD" w:rsidRPr="00143110">
        <w:rPr>
          <w:rFonts w:ascii="Arial" w:hAnsi="Arial" w:cs="Arial"/>
          <w:sz w:val="22"/>
          <w:szCs w:val="22"/>
        </w:rPr>
        <w:t>ŘSD nevedlo e</w:t>
      </w:r>
      <w:r w:rsidRPr="00143110">
        <w:rPr>
          <w:rFonts w:ascii="Arial" w:hAnsi="Arial" w:cs="Arial"/>
          <w:sz w:val="22"/>
          <w:szCs w:val="22"/>
        </w:rPr>
        <w:t>videnc</w:t>
      </w:r>
      <w:r w:rsidR="00DE75CD" w:rsidRPr="00143110">
        <w:rPr>
          <w:rFonts w:ascii="Arial" w:hAnsi="Arial" w:cs="Arial"/>
          <w:sz w:val="22"/>
          <w:szCs w:val="22"/>
        </w:rPr>
        <w:t>i</w:t>
      </w:r>
      <w:r w:rsidRPr="00143110">
        <w:rPr>
          <w:rFonts w:ascii="Arial" w:hAnsi="Arial" w:cs="Arial"/>
          <w:sz w:val="22"/>
          <w:szCs w:val="22"/>
        </w:rPr>
        <w:t xml:space="preserve"> údajů </w:t>
      </w:r>
      <w:r w:rsidR="00814E34" w:rsidRPr="00143110">
        <w:rPr>
          <w:rFonts w:ascii="Arial" w:hAnsi="Arial" w:cs="Arial"/>
          <w:sz w:val="22"/>
          <w:szCs w:val="22"/>
        </w:rPr>
        <w:t>o mýtném</w:t>
      </w:r>
      <w:r w:rsidRPr="00143110">
        <w:rPr>
          <w:rFonts w:ascii="Arial" w:hAnsi="Arial" w:cs="Arial"/>
          <w:sz w:val="22"/>
          <w:szCs w:val="22"/>
        </w:rPr>
        <w:t xml:space="preserve"> </w:t>
      </w:r>
      <w:r w:rsidR="007A1976">
        <w:rPr>
          <w:rFonts w:ascii="Arial" w:hAnsi="Arial" w:cs="Arial"/>
          <w:sz w:val="22"/>
          <w:szCs w:val="22"/>
        </w:rPr>
        <w:t>v </w:t>
      </w:r>
      <w:r w:rsidRPr="00143110">
        <w:rPr>
          <w:rFonts w:ascii="Arial" w:hAnsi="Arial" w:cs="Arial"/>
          <w:sz w:val="22"/>
          <w:szCs w:val="22"/>
        </w:rPr>
        <w:t>souladu s ustanovením</w:t>
      </w:r>
      <w:r w:rsidR="00814E34" w:rsidRPr="00143110">
        <w:rPr>
          <w:rFonts w:ascii="Arial" w:hAnsi="Arial" w:cs="Arial"/>
          <w:sz w:val="22"/>
          <w:szCs w:val="22"/>
        </w:rPr>
        <w:t>i</w:t>
      </w:r>
      <w:r w:rsidRPr="00143110">
        <w:rPr>
          <w:rFonts w:ascii="Arial" w:hAnsi="Arial" w:cs="Arial"/>
          <w:sz w:val="22"/>
          <w:szCs w:val="22"/>
        </w:rPr>
        <w:t xml:space="preserve"> § 22b odst. 2 zákona č. 13/1997 Sb. a</w:t>
      </w:r>
      <w:r w:rsidR="00904190">
        <w:rPr>
          <w:rFonts w:ascii="Arial" w:hAnsi="Arial" w:cs="Arial"/>
          <w:sz w:val="22"/>
          <w:szCs w:val="22"/>
        </w:rPr>
        <w:t> </w:t>
      </w:r>
      <w:r w:rsidRPr="00143110">
        <w:rPr>
          <w:rFonts w:ascii="Arial" w:hAnsi="Arial" w:cs="Arial"/>
          <w:sz w:val="22"/>
          <w:szCs w:val="22"/>
        </w:rPr>
        <w:t>§</w:t>
      </w:r>
      <w:r w:rsidR="00904190">
        <w:rPr>
          <w:rFonts w:ascii="Arial" w:hAnsi="Arial" w:cs="Arial"/>
          <w:sz w:val="22"/>
          <w:szCs w:val="22"/>
        </w:rPr>
        <w:t> </w:t>
      </w:r>
      <w:r w:rsidRPr="00143110">
        <w:rPr>
          <w:rFonts w:ascii="Arial" w:hAnsi="Arial" w:cs="Arial"/>
          <w:sz w:val="22"/>
          <w:szCs w:val="22"/>
        </w:rPr>
        <w:t xml:space="preserve">12 vyhlášky č. 527/2006 Sb. Údaje do evidence byly </w:t>
      </w:r>
      <w:r w:rsidR="007A1976">
        <w:rPr>
          <w:rFonts w:ascii="Arial" w:hAnsi="Arial" w:cs="Arial"/>
          <w:sz w:val="22"/>
          <w:szCs w:val="22"/>
        </w:rPr>
        <w:t>v </w:t>
      </w:r>
      <w:r w:rsidRPr="00143110">
        <w:rPr>
          <w:rFonts w:ascii="Arial" w:hAnsi="Arial" w:cs="Arial"/>
          <w:sz w:val="22"/>
          <w:szCs w:val="22"/>
        </w:rPr>
        <w:t xml:space="preserve">režimu placení předem vkládány zejména na </w:t>
      </w:r>
      <w:r w:rsidR="00D269A9" w:rsidRPr="00143110">
        <w:rPr>
          <w:rFonts w:ascii="Arial" w:hAnsi="Arial" w:cs="Arial"/>
          <w:sz w:val="22"/>
          <w:szCs w:val="22"/>
        </w:rPr>
        <w:t xml:space="preserve">místech pro </w:t>
      </w:r>
      <w:r w:rsidRPr="00143110">
        <w:rPr>
          <w:rFonts w:ascii="Arial" w:hAnsi="Arial" w:cs="Arial"/>
          <w:sz w:val="22"/>
          <w:szCs w:val="22"/>
        </w:rPr>
        <w:t>distribu</w:t>
      </w:r>
      <w:r w:rsidR="00D269A9" w:rsidRPr="00143110">
        <w:rPr>
          <w:rFonts w:ascii="Arial" w:hAnsi="Arial" w:cs="Arial"/>
          <w:sz w:val="22"/>
          <w:szCs w:val="22"/>
        </w:rPr>
        <w:t>ci OBU</w:t>
      </w:r>
      <w:r w:rsidRPr="00143110">
        <w:rPr>
          <w:rFonts w:ascii="Arial" w:hAnsi="Arial" w:cs="Arial"/>
          <w:sz w:val="22"/>
          <w:szCs w:val="22"/>
        </w:rPr>
        <w:t xml:space="preserve"> a za jejich správnost a úplnost odpovídal generální dodavatel </w:t>
      </w:r>
      <w:r w:rsidR="00165083" w:rsidRPr="00143110">
        <w:rPr>
          <w:rFonts w:ascii="Arial" w:hAnsi="Arial" w:cs="Arial"/>
          <w:sz w:val="22"/>
          <w:szCs w:val="22"/>
        </w:rPr>
        <w:t>služeb</w:t>
      </w:r>
      <w:r w:rsidRPr="00143110">
        <w:rPr>
          <w:rFonts w:ascii="Arial" w:hAnsi="Arial" w:cs="Arial"/>
          <w:sz w:val="22"/>
          <w:szCs w:val="22"/>
        </w:rPr>
        <w:t xml:space="preserve">. ŘSD </w:t>
      </w:r>
      <w:r w:rsidR="009C5046" w:rsidRPr="00143110">
        <w:rPr>
          <w:rFonts w:ascii="Arial" w:hAnsi="Arial" w:cs="Arial"/>
          <w:sz w:val="22"/>
          <w:szCs w:val="22"/>
        </w:rPr>
        <w:t>refundace</w:t>
      </w:r>
      <w:r w:rsidR="00BC0309" w:rsidRPr="00143110">
        <w:rPr>
          <w:rFonts w:ascii="Arial" w:hAnsi="Arial" w:cs="Arial"/>
          <w:sz w:val="22"/>
          <w:szCs w:val="22"/>
        </w:rPr>
        <w:t xml:space="preserve"> za </w:t>
      </w:r>
      <w:r w:rsidRPr="00143110">
        <w:rPr>
          <w:rFonts w:ascii="Arial" w:hAnsi="Arial" w:cs="Arial"/>
          <w:sz w:val="22"/>
          <w:szCs w:val="22"/>
        </w:rPr>
        <w:t xml:space="preserve">nedostatky v evidenci </w:t>
      </w:r>
      <w:r w:rsidR="00903D62" w:rsidRPr="00143110">
        <w:rPr>
          <w:rFonts w:ascii="Arial" w:hAnsi="Arial" w:cs="Arial"/>
          <w:sz w:val="22"/>
          <w:szCs w:val="22"/>
        </w:rPr>
        <w:t>s </w:t>
      </w:r>
      <w:r w:rsidRPr="00143110">
        <w:rPr>
          <w:rFonts w:ascii="Arial" w:hAnsi="Arial" w:cs="Arial"/>
          <w:sz w:val="22"/>
          <w:szCs w:val="22"/>
        </w:rPr>
        <w:t>generálním dodavatel</w:t>
      </w:r>
      <w:r w:rsidR="00BC0309" w:rsidRPr="00143110">
        <w:rPr>
          <w:rFonts w:ascii="Arial" w:hAnsi="Arial" w:cs="Arial"/>
          <w:sz w:val="22"/>
          <w:szCs w:val="22"/>
        </w:rPr>
        <w:t>em neřešilo.</w:t>
      </w:r>
      <w:r w:rsidRPr="00143110">
        <w:rPr>
          <w:rFonts w:ascii="Arial" w:hAnsi="Arial" w:cs="Arial"/>
          <w:sz w:val="22"/>
          <w:szCs w:val="22"/>
        </w:rPr>
        <w:t xml:space="preserve"> Převážně z důvodu nezjištění provozovatele vozidla byl</w:t>
      </w:r>
      <w:r w:rsidR="00783877" w:rsidRPr="00143110">
        <w:rPr>
          <w:rFonts w:ascii="Arial" w:hAnsi="Arial" w:cs="Arial"/>
          <w:sz w:val="22"/>
          <w:szCs w:val="22"/>
        </w:rPr>
        <w:t xml:space="preserve">o odepsáno uniklé mýtné </w:t>
      </w:r>
      <w:r w:rsidR="00D04620" w:rsidRPr="00143110">
        <w:rPr>
          <w:rFonts w:ascii="Arial" w:hAnsi="Arial" w:cs="Arial"/>
          <w:sz w:val="22"/>
          <w:szCs w:val="22"/>
        </w:rPr>
        <w:t>v celkové výši 311,67 mil. Kč</w:t>
      </w:r>
      <w:r w:rsidR="00840758">
        <w:rPr>
          <w:rFonts w:ascii="Arial" w:hAnsi="Arial" w:cs="Arial"/>
          <w:sz w:val="22"/>
          <w:szCs w:val="22"/>
        </w:rPr>
        <w:t>, čímž byly zároveň</w:t>
      </w:r>
      <w:r w:rsidR="00D04620" w:rsidRPr="00143110">
        <w:rPr>
          <w:rFonts w:ascii="Arial" w:hAnsi="Arial" w:cs="Arial"/>
          <w:sz w:val="22"/>
          <w:szCs w:val="22"/>
        </w:rPr>
        <w:t xml:space="preserve"> sníženy příjmy státního rozpočtu, resp.</w:t>
      </w:r>
      <w:r w:rsidR="00692E7D">
        <w:rPr>
          <w:rFonts w:ascii="Arial" w:hAnsi="Arial" w:cs="Arial"/>
          <w:sz w:val="22"/>
          <w:szCs w:val="22"/>
        </w:rPr>
        <w:t> </w:t>
      </w:r>
      <w:r w:rsidR="00D04620" w:rsidRPr="00143110">
        <w:rPr>
          <w:rFonts w:ascii="Arial" w:hAnsi="Arial" w:cs="Arial"/>
          <w:sz w:val="22"/>
          <w:szCs w:val="22"/>
        </w:rPr>
        <w:t xml:space="preserve">SFDI. </w:t>
      </w:r>
    </w:p>
    <w:p w:rsidR="004920C0" w:rsidRPr="00143110" w:rsidRDefault="004920C0" w:rsidP="004401C1">
      <w:pPr>
        <w:jc w:val="both"/>
        <w:rPr>
          <w:rFonts w:ascii="Arial" w:hAnsi="Arial" w:cs="Arial"/>
          <w:sz w:val="22"/>
          <w:szCs w:val="22"/>
        </w:rPr>
      </w:pPr>
    </w:p>
    <w:p w:rsidR="00F04D53" w:rsidRDefault="00191142" w:rsidP="004401C1">
      <w:pPr>
        <w:jc w:val="both"/>
        <w:rPr>
          <w:rFonts w:ascii="Arial" w:hAnsi="Arial" w:cs="Arial"/>
          <w:sz w:val="22"/>
          <w:szCs w:val="22"/>
        </w:rPr>
      </w:pPr>
      <w:r w:rsidRPr="00143110">
        <w:rPr>
          <w:rFonts w:ascii="Arial" w:hAnsi="Arial" w:cs="Arial"/>
          <w:sz w:val="22"/>
          <w:szCs w:val="22"/>
        </w:rPr>
        <w:t xml:space="preserve">Neúplné údaje o </w:t>
      </w:r>
      <w:r w:rsidR="00F04D53" w:rsidRPr="00143110">
        <w:rPr>
          <w:rFonts w:ascii="Arial" w:hAnsi="Arial" w:cs="Arial"/>
          <w:sz w:val="22"/>
          <w:szCs w:val="22"/>
        </w:rPr>
        <w:t xml:space="preserve">tuzemských </w:t>
      </w:r>
      <w:r w:rsidRPr="00143110">
        <w:rPr>
          <w:rFonts w:ascii="Arial" w:hAnsi="Arial" w:cs="Arial"/>
          <w:sz w:val="22"/>
          <w:szCs w:val="22"/>
        </w:rPr>
        <w:t>provozovatelích a vozidlech</w:t>
      </w:r>
      <w:r w:rsidR="0018197F" w:rsidRPr="00143110">
        <w:rPr>
          <w:rFonts w:ascii="Arial" w:hAnsi="Arial" w:cs="Arial"/>
          <w:sz w:val="22"/>
          <w:szCs w:val="22"/>
        </w:rPr>
        <w:t xml:space="preserve"> může ŘSD na základě novely zákona č. 56/2001 Sb.</w:t>
      </w:r>
      <w:r w:rsidR="0018197F" w:rsidRPr="00143110">
        <w:rPr>
          <w:rStyle w:val="Znakapoznpodarou"/>
          <w:rFonts w:ascii="Arial" w:hAnsi="Arial" w:cs="Arial"/>
          <w:sz w:val="22"/>
          <w:szCs w:val="22"/>
        </w:rPr>
        <w:footnoteReference w:id="35"/>
      </w:r>
      <w:r w:rsidR="00665D2D" w:rsidRPr="00143110">
        <w:rPr>
          <w:rFonts w:ascii="Arial" w:hAnsi="Arial" w:cs="Arial"/>
          <w:sz w:val="22"/>
          <w:szCs w:val="22"/>
        </w:rPr>
        <w:t xml:space="preserve"> </w:t>
      </w:r>
      <w:r w:rsidR="0018197F" w:rsidRPr="00143110">
        <w:rPr>
          <w:rFonts w:ascii="Arial" w:hAnsi="Arial" w:cs="Arial"/>
          <w:sz w:val="22"/>
          <w:szCs w:val="22"/>
        </w:rPr>
        <w:t xml:space="preserve">účinné od 1. července 2011 </w:t>
      </w:r>
      <w:r w:rsidR="00840758">
        <w:rPr>
          <w:rFonts w:ascii="Arial" w:hAnsi="Arial" w:cs="Arial"/>
          <w:sz w:val="22"/>
          <w:szCs w:val="22"/>
        </w:rPr>
        <w:t>doplňovat</w:t>
      </w:r>
      <w:r w:rsidR="0018197F" w:rsidRPr="00143110">
        <w:rPr>
          <w:rFonts w:ascii="Arial" w:hAnsi="Arial" w:cs="Arial"/>
          <w:sz w:val="22"/>
          <w:szCs w:val="22"/>
        </w:rPr>
        <w:t xml:space="preserve"> </w:t>
      </w:r>
      <w:r w:rsidR="007A1976">
        <w:rPr>
          <w:rFonts w:ascii="Arial" w:hAnsi="Arial" w:cs="Arial"/>
          <w:sz w:val="22"/>
          <w:szCs w:val="22"/>
        </w:rPr>
        <w:t>z </w:t>
      </w:r>
      <w:r w:rsidR="0018197F" w:rsidRPr="00143110">
        <w:rPr>
          <w:rFonts w:ascii="Arial" w:hAnsi="Arial" w:cs="Arial"/>
          <w:sz w:val="22"/>
          <w:szCs w:val="22"/>
        </w:rPr>
        <w:t>centrálního registru</w:t>
      </w:r>
      <w:r w:rsidR="00F04D53" w:rsidRPr="00143110">
        <w:rPr>
          <w:rFonts w:ascii="Arial" w:hAnsi="Arial" w:cs="Arial"/>
          <w:sz w:val="22"/>
          <w:szCs w:val="22"/>
        </w:rPr>
        <w:t xml:space="preserve"> vozidel</w:t>
      </w:r>
      <w:r w:rsidR="00165083" w:rsidRPr="00143110">
        <w:rPr>
          <w:rFonts w:ascii="Arial" w:hAnsi="Arial" w:cs="Arial"/>
          <w:sz w:val="22"/>
          <w:szCs w:val="22"/>
        </w:rPr>
        <w:t xml:space="preserve"> </w:t>
      </w:r>
      <w:r w:rsidR="00F04D53" w:rsidRPr="00143110">
        <w:rPr>
          <w:rFonts w:ascii="Arial" w:hAnsi="Arial" w:cs="Arial"/>
          <w:sz w:val="22"/>
          <w:szCs w:val="22"/>
        </w:rPr>
        <w:t xml:space="preserve">způsobem umožňujícím dálkový a nepřetržitý přístup. ŘSD na </w:t>
      </w:r>
      <w:r w:rsidR="0018197F" w:rsidRPr="00143110">
        <w:rPr>
          <w:rFonts w:ascii="Arial" w:hAnsi="Arial" w:cs="Arial"/>
          <w:sz w:val="22"/>
          <w:szCs w:val="22"/>
        </w:rPr>
        <w:t>zpracování údajů z</w:t>
      </w:r>
      <w:r w:rsidR="00423175" w:rsidRPr="00143110">
        <w:rPr>
          <w:rFonts w:ascii="Arial" w:hAnsi="Arial" w:cs="Arial"/>
          <w:sz w:val="22"/>
          <w:szCs w:val="22"/>
        </w:rPr>
        <w:t> registru</w:t>
      </w:r>
      <w:r w:rsidR="00F04D53" w:rsidRPr="00143110">
        <w:rPr>
          <w:rFonts w:ascii="Arial" w:hAnsi="Arial" w:cs="Arial"/>
          <w:sz w:val="22"/>
          <w:szCs w:val="22"/>
        </w:rPr>
        <w:t xml:space="preserve"> vynaložilo 1,16 mil. Kč.</w:t>
      </w:r>
    </w:p>
    <w:p w:rsidR="004920C0" w:rsidRPr="00143110" w:rsidRDefault="004920C0" w:rsidP="004401C1">
      <w:pPr>
        <w:jc w:val="both"/>
        <w:rPr>
          <w:rFonts w:ascii="Arial" w:hAnsi="Arial" w:cs="Arial"/>
          <w:sz w:val="22"/>
          <w:szCs w:val="22"/>
        </w:rPr>
      </w:pPr>
    </w:p>
    <w:p w:rsidR="00286C6E" w:rsidRDefault="007A1976" w:rsidP="004401C1">
      <w:pPr>
        <w:jc w:val="both"/>
        <w:rPr>
          <w:rFonts w:ascii="Arial" w:hAnsi="Arial"/>
          <w:sz w:val="22"/>
        </w:rPr>
      </w:pPr>
      <w:r>
        <w:rPr>
          <w:rFonts w:ascii="Arial" w:hAnsi="Arial" w:cs="Arial"/>
          <w:sz w:val="22"/>
          <w:szCs w:val="22"/>
        </w:rPr>
        <w:t>V </w:t>
      </w:r>
      <w:r w:rsidR="00286C6E" w:rsidRPr="00143110">
        <w:rPr>
          <w:rFonts w:ascii="Arial" w:hAnsi="Arial" w:cs="Arial"/>
          <w:sz w:val="22"/>
          <w:szCs w:val="22"/>
        </w:rPr>
        <w:t>období od března 2007 do září 2008 byly při měření úspěšnosti SVZ nezávislým znalcem využívá</w:t>
      </w:r>
      <w:r w:rsidR="00665D2D" w:rsidRPr="00143110">
        <w:rPr>
          <w:rFonts w:ascii="Arial" w:hAnsi="Arial" w:cs="Arial"/>
          <w:sz w:val="22"/>
          <w:szCs w:val="22"/>
        </w:rPr>
        <w:t xml:space="preserve">ny informace </w:t>
      </w:r>
      <w:r>
        <w:rPr>
          <w:rFonts w:ascii="Arial" w:hAnsi="Arial" w:cs="Arial"/>
          <w:sz w:val="22"/>
          <w:szCs w:val="22"/>
        </w:rPr>
        <w:t>z </w:t>
      </w:r>
      <w:r w:rsidR="00665D2D" w:rsidRPr="00143110">
        <w:rPr>
          <w:rFonts w:ascii="Arial" w:hAnsi="Arial" w:cs="Arial"/>
          <w:sz w:val="22"/>
          <w:szCs w:val="22"/>
        </w:rPr>
        <w:t>registru vozidel</w:t>
      </w:r>
      <w:r w:rsidR="00286C6E" w:rsidRPr="00143110">
        <w:rPr>
          <w:rFonts w:ascii="Arial" w:hAnsi="Arial" w:cs="Arial"/>
          <w:sz w:val="22"/>
          <w:szCs w:val="22"/>
        </w:rPr>
        <w:t xml:space="preserve"> pro určení, zda se jedná o vozidlo s mýtnou povinností</w:t>
      </w:r>
      <w:r w:rsidR="00840758">
        <w:rPr>
          <w:rFonts w:ascii="Arial" w:hAnsi="Arial" w:cs="Arial"/>
          <w:sz w:val="22"/>
          <w:szCs w:val="22"/>
        </w:rPr>
        <w:t>, či nikoli</w:t>
      </w:r>
      <w:r w:rsidR="00286C6E" w:rsidRPr="00143110">
        <w:rPr>
          <w:rFonts w:ascii="Arial" w:hAnsi="Arial" w:cs="Arial"/>
          <w:sz w:val="22"/>
          <w:szCs w:val="22"/>
        </w:rPr>
        <w:t xml:space="preserve">. Generální dodavatel služeb přístup do </w:t>
      </w:r>
      <w:r w:rsidR="00423175" w:rsidRPr="00143110">
        <w:rPr>
          <w:rFonts w:ascii="Arial" w:hAnsi="Arial" w:cs="Arial"/>
          <w:sz w:val="22"/>
          <w:szCs w:val="22"/>
        </w:rPr>
        <w:t>registru vozidel</w:t>
      </w:r>
      <w:r w:rsidR="00286C6E" w:rsidRPr="00143110">
        <w:rPr>
          <w:rFonts w:ascii="Arial" w:hAnsi="Arial" w:cs="Arial"/>
          <w:sz w:val="22"/>
          <w:szCs w:val="22"/>
        </w:rPr>
        <w:t xml:space="preserve"> neměl. Odchylka </w:t>
      </w:r>
      <w:r w:rsidR="0049285C">
        <w:rPr>
          <w:rFonts w:ascii="Arial" w:hAnsi="Arial" w:cs="Arial"/>
          <w:sz w:val="22"/>
          <w:szCs w:val="22"/>
        </w:rPr>
        <w:t>mezi údaji naměřenými</w:t>
      </w:r>
      <w:r w:rsidR="00286C6E" w:rsidRPr="00143110">
        <w:rPr>
          <w:rFonts w:ascii="Arial" w:hAnsi="Arial" w:cs="Arial"/>
          <w:sz w:val="22"/>
          <w:szCs w:val="22"/>
        </w:rPr>
        <w:t xml:space="preserve"> znalce</w:t>
      </w:r>
      <w:r w:rsidR="0049285C">
        <w:rPr>
          <w:rFonts w:ascii="Arial" w:hAnsi="Arial" w:cs="Arial"/>
          <w:sz w:val="22"/>
          <w:szCs w:val="22"/>
        </w:rPr>
        <w:t>m</w:t>
      </w:r>
      <w:r w:rsidR="00286C6E" w:rsidRPr="00143110">
        <w:rPr>
          <w:rFonts w:ascii="Arial" w:hAnsi="Arial" w:cs="Arial"/>
          <w:sz w:val="22"/>
          <w:szCs w:val="22"/>
        </w:rPr>
        <w:t xml:space="preserve"> a </w:t>
      </w:r>
      <w:r w:rsidR="0049285C">
        <w:rPr>
          <w:rFonts w:ascii="Arial" w:hAnsi="Arial" w:cs="Arial"/>
          <w:sz w:val="22"/>
          <w:szCs w:val="22"/>
        </w:rPr>
        <w:t xml:space="preserve">údaji </w:t>
      </w:r>
      <w:r w:rsidR="00286C6E" w:rsidRPr="00143110">
        <w:rPr>
          <w:rFonts w:ascii="Arial" w:hAnsi="Arial" w:cs="Arial"/>
          <w:sz w:val="22"/>
          <w:szCs w:val="22"/>
        </w:rPr>
        <w:t>generálního dodavatele se promí</w:t>
      </w:r>
      <w:r w:rsidR="00903D62" w:rsidRPr="00143110">
        <w:rPr>
          <w:rFonts w:ascii="Arial" w:hAnsi="Arial" w:cs="Arial"/>
          <w:sz w:val="22"/>
          <w:szCs w:val="22"/>
        </w:rPr>
        <w:t>tala do výše odměny za služby v </w:t>
      </w:r>
      <w:r w:rsidR="00286C6E" w:rsidRPr="00143110">
        <w:rPr>
          <w:rFonts w:ascii="Arial" w:hAnsi="Arial" w:cs="Arial"/>
          <w:sz w:val="22"/>
          <w:szCs w:val="22"/>
        </w:rPr>
        <w:t xml:space="preserve">neprospěch </w:t>
      </w:r>
      <w:r w:rsidR="00140346" w:rsidRPr="00143110">
        <w:rPr>
          <w:rFonts w:ascii="Arial" w:hAnsi="Arial" w:cs="Arial"/>
          <w:sz w:val="22"/>
          <w:szCs w:val="22"/>
        </w:rPr>
        <w:t xml:space="preserve">generálního </w:t>
      </w:r>
      <w:r w:rsidR="00165083" w:rsidRPr="00143110">
        <w:rPr>
          <w:rFonts w:ascii="Arial" w:hAnsi="Arial" w:cs="Arial"/>
          <w:sz w:val="22"/>
          <w:szCs w:val="22"/>
        </w:rPr>
        <w:t>dodavatele</w:t>
      </w:r>
      <w:r w:rsidR="00286C6E" w:rsidRPr="00143110">
        <w:rPr>
          <w:rFonts w:ascii="Arial" w:hAnsi="Arial" w:cs="Arial"/>
          <w:sz w:val="22"/>
          <w:szCs w:val="22"/>
        </w:rPr>
        <w:t xml:space="preserve">. </w:t>
      </w:r>
      <w:r w:rsidR="00165083" w:rsidRPr="00143110">
        <w:rPr>
          <w:rFonts w:ascii="Arial" w:hAnsi="Arial" w:cs="Arial"/>
          <w:sz w:val="22"/>
          <w:szCs w:val="22"/>
        </w:rPr>
        <w:t>Využívání</w:t>
      </w:r>
      <w:r w:rsidR="00286C6E" w:rsidRPr="00143110">
        <w:rPr>
          <w:rFonts w:ascii="Arial" w:hAnsi="Arial" w:cs="Arial"/>
          <w:sz w:val="22"/>
          <w:szCs w:val="22"/>
        </w:rPr>
        <w:t xml:space="preserve"> </w:t>
      </w:r>
      <w:r w:rsidR="00423175" w:rsidRPr="00143110">
        <w:rPr>
          <w:rFonts w:ascii="Arial" w:hAnsi="Arial" w:cs="Arial"/>
          <w:sz w:val="22"/>
          <w:szCs w:val="22"/>
        </w:rPr>
        <w:t>registru vozidel</w:t>
      </w:r>
      <w:r w:rsidR="00286C6E" w:rsidRPr="00143110">
        <w:rPr>
          <w:rFonts w:ascii="Arial" w:hAnsi="Arial" w:cs="Arial"/>
          <w:sz w:val="22"/>
          <w:szCs w:val="22"/>
        </w:rPr>
        <w:t xml:space="preserve"> nezávisl</w:t>
      </w:r>
      <w:r w:rsidR="00903D62" w:rsidRPr="00143110">
        <w:rPr>
          <w:rFonts w:ascii="Arial" w:hAnsi="Arial" w:cs="Arial"/>
          <w:sz w:val="22"/>
          <w:szCs w:val="22"/>
        </w:rPr>
        <w:t>ým znalcem při určení vozidel s </w:t>
      </w:r>
      <w:r w:rsidR="00286C6E" w:rsidRPr="00143110">
        <w:rPr>
          <w:rFonts w:ascii="Arial" w:hAnsi="Arial" w:cs="Arial"/>
          <w:sz w:val="22"/>
          <w:szCs w:val="22"/>
        </w:rPr>
        <w:t>mýtnou povinností vytvářelo nerovný přístup pr</w:t>
      </w:r>
      <w:r w:rsidR="00051545" w:rsidRPr="00143110">
        <w:rPr>
          <w:rFonts w:ascii="Arial" w:hAnsi="Arial" w:cs="Arial"/>
          <w:sz w:val="22"/>
          <w:szCs w:val="22"/>
        </w:rPr>
        <w:t xml:space="preserve">o generálního dodavatele služeb. </w:t>
      </w:r>
      <w:r w:rsidR="00286C6E" w:rsidRPr="00143110">
        <w:rPr>
          <w:rFonts w:ascii="Arial" w:hAnsi="Arial" w:cs="Arial"/>
          <w:sz w:val="22"/>
          <w:szCs w:val="22"/>
        </w:rPr>
        <w:t xml:space="preserve">ŘSD zadalo nezávislému znalci přepočítání odměny za období březen 2007 až září 2008, v důsledku čehož došlo </w:t>
      </w:r>
      <w:r>
        <w:rPr>
          <w:rFonts w:ascii="Arial" w:hAnsi="Arial" w:cs="Arial"/>
          <w:sz w:val="22"/>
          <w:szCs w:val="22"/>
        </w:rPr>
        <w:t>k </w:t>
      </w:r>
      <w:r w:rsidR="00286C6E" w:rsidRPr="00143110">
        <w:rPr>
          <w:rFonts w:ascii="Arial" w:hAnsi="Arial" w:cs="Arial"/>
          <w:sz w:val="22"/>
          <w:szCs w:val="22"/>
        </w:rPr>
        <w:t>její</w:t>
      </w:r>
      <w:r w:rsidR="00D96A50" w:rsidRPr="00143110">
        <w:rPr>
          <w:rFonts w:ascii="Arial" w:hAnsi="Arial" w:cs="Arial"/>
          <w:sz w:val="22"/>
          <w:szCs w:val="22"/>
        </w:rPr>
        <w:t>mu</w:t>
      </w:r>
      <w:r w:rsidR="00286C6E" w:rsidRPr="00143110">
        <w:rPr>
          <w:rFonts w:ascii="Arial" w:hAnsi="Arial" w:cs="Arial"/>
          <w:sz w:val="22"/>
          <w:szCs w:val="22"/>
        </w:rPr>
        <w:t xml:space="preserve"> navýšení o 69,14 mil. Kč. Náklady na </w:t>
      </w:r>
      <w:r w:rsidR="00D04620" w:rsidRPr="00143110">
        <w:rPr>
          <w:rFonts w:ascii="Arial" w:hAnsi="Arial" w:cs="Arial"/>
          <w:sz w:val="22"/>
          <w:szCs w:val="22"/>
        </w:rPr>
        <w:t>opakované</w:t>
      </w:r>
      <w:r w:rsidR="00286C6E" w:rsidRPr="00143110">
        <w:rPr>
          <w:rFonts w:ascii="Arial" w:hAnsi="Arial" w:cs="Arial"/>
          <w:sz w:val="22"/>
          <w:szCs w:val="22"/>
        </w:rPr>
        <w:t xml:space="preserve"> přepočítání odměny za služby činily 18,48 mil. Kč.</w:t>
      </w:r>
      <w:r w:rsidR="00286C6E" w:rsidRPr="00143110">
        <w:rPr>
          <w:rFonts w:ascii="Arial" w:hAnsi="Arial"/>
          <w:sz w:val="22"/>
        </w:rPr>
        <w:t xml:space="preserve"> </w:t>
      </w:r>
    </w:p>
    <w:p w:rsidR="004920C0" w:rsidRPr="00143110" w:rsidRDefault="004920C0" w:rsidP="004401C1">
      <w:pPr>
        <w:jc w:val="both"/>
        <w:rPr>
          <w:rFonts w:ascii="Arial" w:hAnsi="Arial"/>
          <w:sz w:val="22"/>
        </w:rPr>
      </w:pPr>
    </w:p>
    <w:p w:rsidR="00021937" w:rsidRDefault="00423175" w:rsidP="004401C1">
      <w:pPr>
        <w:suppressAutoHyphens w:val="0"/>
        <w:jc w:val="both"/>
        <w:rPr>
          <w:rFonts w:ascii="Arial" w:hAnsi="Arial" w:cs="Arial"/>
          <w:sz w:val="22"/>
          <w:szCs w:val="22"/>
          <w:lang w:eastAsia="en-US"/>
        </w:rPr>
      </w:pPr>
      <w:r w:rsidRPr="00143110">
        <w:rPr>
          <w:rFonts w:ascii="Arial" w:hAnsi="Arial" w:cs="Arial"/>
          <w:sz w:val="22"/>
          <w:szCs w:val="22"/>
          <w:lang w:eastAsia="en-US"/>
        </w:rPr>
        <w:t xml:space="preserve">Pro </w:t>
      </w:r>
      <w:r w:rsidR="00683D89" w:rsidRPr="00143110">
        <w:rPr>
          <w:rFonts w:ascii="Arial" w:hAnsi="Arial" w:cs="Arial"/>
          <w:sz w:val="22"/>
          <w:szCs w:val="22"/>
          <w:lang w:eastAsia="en-US"/>
        </w:rPr>
        <w:t>identifikac</w:t>
      </w:r>
      <w:r w:rsidRPr="00143110">
        <w:rPr>
          <w:rFonts w:ascii="Arial" w:hAnsi="Arial" w:cs="Arial"/>
          <w:sz w:val="22"/>
          <w:szCs w:val="22"/>
          <w:lang w:eastAsia="en-US"/>
        </w:rPr>
        <w:t>i</w:t>
      </w:r>
      <w:r w:rsidR="00683D89" w:rsidRPr="00143110">
        <w:rPr>
          <w:rFonts w:ascii="Arial" w:hAnsi="Arial" w:cs="Arial"/>
          <w:sz w:val="22"/>
          <w:szCs w:val="22"/>
          <w:lang w:eastAsia="en-US"/>
        </w:rPr>
        <w:t xml:space="preserve"> provozovatele vozidla</w:t>
      </w:r>
      <w:r w:rsidR="00F04D53" w:rsidRPr="00143110">
        <w:rPr>
          <w:rFonts w:ascii="Arial" w:hAnsi="Arial" w:cs="Arial"/>
          <w:sz w:val="22"/>
          <w:szCs w:val="22"/>
          <w:lang w:eastAsia="en-US"/>
        </w:rPr>
        <w:t>, které nebylo</w:t>
      </w:r>
      <w:r w:rsidR="00683D89" w:rsidRPr="00143110">
        <w:rPr>
          <w:rFonts w:ascii="Arial" w:hAnsi="Arial" w:cs="Arial"/>
          <w:sz w:val="22"/>
          <w:szCs w:val="22"/>
          <w:lang w:eastAsia="en-US"/>
        </w:rPr>
        <w:t xml:space="preserve"> zaregistrováno </w:t>
      </w:r>
      <w:r w:rsidR="0049285C">
        <w:rPr>
          <w:rFonts w:ascii="Arial" w:hAnsi="Arial" w:cs="Arial"/>
          <w:sz w:val="22"/>
          <w:szCs w:val="22"/>
          <w:lang w:eastAsia="en-US"/>
        </w:rPr>
        <w:t>v </w:t>
      </w:r>
      <w:r w:rsidR="00683D89" w:rsidRPr="00143110">
        <w:rPr>
          <w:rFonts w:ascii="Arial" w:hAnsi="Arial" w:cs="Arial"/>
          <w:sz w:val="22"/>
          <w:szCs w:val="22"/>
          <w:lang w:eastAsia="en-US"/>
        </w:rPr>
        <w:t>SVZ a použilo zpoplatněnou komunikaci</w:t>
      </w:r>
      <w:r w:rsidR="00F04D53" w:rsidRPr="00143110">
        <w:rPr>
          <w:rFonts w:ascii="Arial" w:hAnsi="Arial" w:cs="Arial"/>
          <w:sz w:val="22"/>
          <w:szCs w:val="22"/>
          <w:lang w:eastAsia="en-US"/>
        </w:rPr>
        <w:t>,</w:t>
      </w:r>
      <w:r w:rsidRPr="00143110">
        <w:rPr>
          <w:rFonts w:ascii="Arial" w:hAnsi="Arial" w:cs="Arial"/>
          <w:sz w:val="22"/>
          <w:szCs w:val="22"/>
          <w:lang w:eastAsia="en-US"/>
        </w:rPr>
        <w:t xml:space="preserve"> nemělo ŘSD </w:t>
      </w:r>
      <w:r w:rsidR="00F04D53" w:rsidRPr="00143110">
        <w:rPr>
          <w:rFonts w:ascii="Arial" w:hAnsi="Arial" w:cs="Arial"/>
          <w:sz w:val="22"/>
          <w:szCs w:val="22"/>
          <w:lang w:eastAsia="en-US"/>
        </w:rPr>
        <w:t xml:space="preserve">odpovídající přístupy do </w:t>
      </w:r>
      <w:r w:rsidRPr="00143110">
        <w:rPr>
          <w:rFonts w:ascii="Arial" w:hAnsi="Arial" w:cs="Arial"/>
          <w:sz w:val="22"/>
          <w:szCs w:val="22"/>
          <w:lang w:eastAsia="en-US"/>
        </w:rPr>
        <w:t>registru vozidel.</w:t>
      </w:r>
      <w:r w:rsidR="00F04D53" w:rsidRPr="00143110">
        <w:rPr>
          <w:rFonts w:ascii="Arial" w:hAnsi="Arial" w:cs="Arial"/>
          <w:sz w:val="22"/>
          <w:szCs w:val="22"/>
          <w:lang w:eastAsia="en-US"/>
        </w:rPr>
        <w:t xml:space="preserve"> </w:t>
      </w:r>
      <w:r w:rsidR="00683D89" w:rsidRPr="00143110">
        <w:rPr>
          <w:rFonts w:ascii="Arial" w:hAnsi="Arial" w:cs="Arial"/>
          <w:sz w:val="22"/>
          <w:szCs w:val="22"/>
          <w:lang w:eastAsia="en-US"/>
        </w:rPr>
        <w:t>O nutnosti upravit př</w:t>
      </w:r>
      <w:r w:rsidR="0049285C">
        <w:rPr>
          <w:rFonts w:ascii="Arial" w:hAnsi="Arial" w:cs="Arial"/>
          <w:sz w:val="22"/>
          <w:szCs w:val="22"/>
          <w:lang w:eastAsia="en-US"/>
        </w:rPr>
        <w:t>í</w:t>
      </w:r>
      <w:r w:rsidR="00683D89" w:rsidRPr="00143110">
        <w:rPr>
          <w:rFonts w:ascii="Arial" w:hAnsi="Arial" w:cs="Arial"/>
          <w:sz w:val="22"/>
          <w:szCs w:val="22"/>
          <w:lang w:eastAsia="en-US"/>
        </w:rPr>
        <w:t xml:space="preserve">stup ŘSD do </w:t>
      </w:r>
      <w:r w:rsidRPr="00143110">
        <w:rPr>
          <w:rFonts w:ascii="Arial" w:hAnsi="Arial" w:cs="Arial"/>
          <w:sz w:val="22"/>
          <w:szCs w:val="22"/>
          <w:lang w:eastAsia="en-US"/>
        </w:rPr>
        <w:t>registru vozidel</w:t>
      </w:r>
      <w:r w:rsidR="00683D89" w:rsidRPr="00143110">
        <w:rPr>
          <w:rFonts w:ascii="Arial" w:hAnsi="Arial" w:cs="Arial"/>
          <w:sz w:val="22"/>
          <w:szCs w:val="22"/>
          <w:lang w:eastAsia="en-US"/>
        </w:rPr>
        <w:t xml:space="preserve"> </w:t>
      </w:r>
      <w:proofErr w:type="gramStart"/>
      <w:r w:rsidR="00683D89" w:rsidRPr="00143110">
        <w:rPr>
          <w:rFonts w:ascii="Arial" w:hAnsi="Arial" w:cs="Arial"/>
          <w:sz w:val="22"/>
          <w:szCs w:val="22"/>
          <w:lang w:eastAsia="en-US"/>
        </w:rPr>
        <w:t>pojednával</w:t>
      </w:r>
      <w:proofErr w:type="gramEnd"/>
      <w:r w:rsidR="00683D89" w:rsidRPr="00143110">
        <w:rPr>
          <w:rFonts w:ascii="Arial" w:hAnsi="Arial" w:cs="Arial"/>
          <w:sz w:val="22"/>
          <w:szCs w:val="22"/>
          <w:lang w:eastAsia="en-US"/>
        </w:rPr>
        <w:t xml:space="preserve"> již materiál MD </w:t>
      </w:r>
      <w:r w:rsidR="007A1976">
        <w:rPr>
          <w:rFonts w:ascii="Arial" w:hAnsi="Arial" w:cs="Arial"/>
          <w:sz w:val="22"/>
          <w:szCs w:val="22"/>
          <w:lang w:eastAsia="en-US"/>
        </w:rPr>
        <w:t>z </w:t>
      </w:r>
      <w:r w:rsidR="00683D89" w:rsidRPr="00143110">
        <w:rPr>
          <w:rFonts w:ascii="Arial" w:hAnsi="Arial" w:cs="Arial"/>
          <w:sz w:val="22"/>
          <w:szCs w:val="22"/>
          <w:lang w:eastAsia="en-US"/>
        </w:rPr>
        <w:t>ledna 2003</w:t>
      </w:r>
      <w:r w:rsidR="00683D89" w:rsidRPr="00143110">
        <w:rPr>
          <w:rFonts w:ascii="Arial" w:hAnsi="Arial" w:cs="Arial"/>
          <w:sz w:val="22"/>
          <w:szCs w:val="22"/>
          <w:vertAlign w:val="superscript"/>
          <w:lang w:eastAsia="en-US"/>
        </w:rPr>
        <w:footnoteReference w:id="36"/>
      </w:r>
      <w:r w:rsidR="00683D89" w:rsidRPr="00143110">
        <w:rPr>
          <w:rFonts w:ascii="Arial" w:hAnsi="Arial" w:cs="Arial"/>
          <w:sz w:val="22"/>
          <w:szCs w:val="22"/>
          <w:lang w:eastAsia="en-US"/>
        </w:rPr>
        <w:t xml:space="preserve">. MD </w:t>
      </w:r>
      <w:proofErr w:type="gramStart"/>
      <w:r w:rsidR="00683D89" w:rsidRPr="00143110">
        <w:rPr>
          <w:rFonts w:ascii="Arial" w:hAnsi="Arial" w:cs="Arial"/>
          <w:sz w:val="22"/>
          <w:szCs w:val="22"/>
          <w:lang w:eastAsia="en-US"/>
        </w:rPr>
        <w:lastRenderedPageBreak/>
        <w:t>navrhlo</w:t>
      </w:r>
      <w:proofErr w:type="gramEnd"/>
      <w:r w:rsidR="00683D89" w:rsidRPr="00143110">
        <w:rPr>
          <w:rFonts w:ascii="Arial" w:hAnsi="Arial" w:cs="Arial"/>
          <w:sz w:val="22"/>
          <w:szCs w:val="22"/>
          <w:lang w:eastAsia="en-US"/>
        </w:rPr>
        <w:t xml:space="preserve"> právní úpravu </w:t>
      </w:r>
      <w:r w:rsidR="0049285C">
        <w:rPr>
          <w:rFonts w:ascii="Arial" w:hAnsi="Arial" w:cs="Arial"/>
          <w:sz w:val="22"/>
          <w:szCs w:val="22"/>
          <w:lang w:eastAsia="en-US"/>
        </w:rPr>
        <w:t xml:space="preserve">pro </w:t>
      </w:r>
      <w:r w:rsidR="00683D89" w:rsidRPr="00143110">
        <w:rPr>
          <w:rFonts w:ascii="Arial" w:hAnsi="Arial" w:cs="Arial"/>
          <w:sz w:val="22"/>
          <w:szCs w:val="22"/>
          <w:lang w:eastAsia="en-US"/>
        </w:rPr>
        <w:t xml:space="preserve">oblast přístupu do </w:t>
      </w:r>
      <w:r w:rsidRPr="00143110">
        <w:rPr>
          <w:rFonts w:ascii="Arial" w:hAnsi="Arial" w:cs="Arial"/>
          <w:sz w:val="22"/>
          <w:szCs w:val="22"/>
          <w:lang w:eastAsia="en-US"/>
        </w:rPr>
        <w:t xml:space="preserve">registru vozidel </w:t>
      </w:r>
      <w:r w:rsidR="00743585" w:rsidRPr="00143110">
        <w:rPr>
          <w:rFonts w:ascii="Arial" w:hAnsi="Arial" w:cs="Arial"/>
          <w:sz w:val="22"/>
          <w:szCs w:val="22"/>
          <w:lang w:eastAsia="en-US"/>
        </w:rPr>
        <w:t>opožděně, přestože o </w:t>
      </w:r>
      <w:r w:rsidR="00683D89" w:rsidRPr="00143110">
        <w:rPr>
          <w:rFonts w:ascii="Arial" w:hAnsi="Arial" w:cs="Arial"/>
          <w:sz w:val="22"/>
          <w:szCs w:val="22"/>
          <w:lang w:eastAsia="en-US"/>
        </w:rPr>
        <w:t xml:space="preserve">nutnosti takové úpravy vědělo již v době přípravy výkonového zpoplatnění, což se negativně projevilo ve výši </w:t>
      </w:r>
      <w:r w:rsidR="00B741E0" w:rsidRPr="00143110">
        <w:rPr>
          <w:rFonts w:ascii="Arial" w:hAnsi="Arial" w:cs="Arial"/>
          <w:sz w:val="22"/>
          <w:szCs w:val="22"/>
          <w:lang w:eastAsia="en-US"/>
        </w:rPr>
        <w:t>odepsaných nedoplatků</w:t>
      </w:r>
      <w:r w:rsidR="00683D89" w:rsidRPr="00143110">
        <w:rPr>
          <w:rFonts w:ascii="Arial" w:hAnsi="Arial" w:cs="Arial"/>
          <w:sz w:val="22"/>
          <w:szCs w:val="22"/>
          <w:lang w:eastAsia="en-US"/>
        </w:rPr>
        <w:t xml:space="preserve"> a </w:t>
      </w:r>
      <w:r w:rsidR="0049285C">
        <w:rPr>
          <w:rFonts w:ascii="Arial" w:hAnsi="Arial" w:cs="Arial"/>
          <w:sz w:val="22"/>
          <w:szCs w:val="22"/>
          <w:lang w:eastAsia="en-US"/>
        </w:rPr>
        <w:t>ve</w:t>
      </w:r>
      <w:r w:rsidR="0049285C" w:rsidRPr="00143110">
        <w:rPr>
          <w:rFonts w:ascii="Arial" w:hAnsi="Arial" w:cs="Arial"/>
          <w:sz w:val="22"/>
          <w:szCs w:val="22"/>
          <w:lang w:eastAsia="en-US"/>
        </w:rPr>
        <w:t xml:space="preserve"> </w:t>
      </w:r>
      <w:r w:rsidR="00683D89" w:rsidRPr="00143110">
        <w:rPr>
          <w:rFonts w:ascii="Arial" w:hAnsi="Arial" w:cs="Arial"/>
          <w:sz w:val="22"/>
          <w:szCs w:val="22"/>
          <w:lang w:eastAsia="en-US"/>
        </w:rPr>
        <w:t xml:space="preserve">vynaložení </w:t>
      </w:r>
      <w:r w:rsidR="00B741E0" w:rsidRPr="00143110">
        <w:rPr>
          <w:rFonts w:ascii="Arial" w:hAnsi="Arial" w:cs="Arial"/>
          <w:sz w:val="22"/>
          <w:szCs w:val="22"/>
          <w:lang w:eastAsia="en-US"/>
        </w:rPr>
        <w:t xml:space="preserve">dalších prostředků </w:t>
      </w:r>
      <w:r w:rsidR="00683D89" w:rsidRPr="00143110">
        <w:rPr>
          <w:rFonts w:ascii="Arial" w:hAnsi="Arial" w:cs="Arial"/>
          <w:sz w:val="22"/>
          <w:szCs w:val="22"/>
          <w:lang w:eastAsia="en-US"/>
        </w:rPr>
        <w:t xml:space="preserve">na </w:t>
      </w:r>
      <w:r w:rsidR="0049285C">
        <w:rPr>
          <w:rFonts w:ascii="Arial" w:hAnsi="Arial" w:cs="Arial"/>
          <w:sz w:val="22"/>
          <w:szCs w:val="22"/>
          <w:lang w:eastAsia="en-US"/>
        </w:rPr>
        <w:t>opakovaný</w:t>
      </w:r>
      <w:r w:rsidR="0049285C" w:rsidRPr="00143110">
        <w:rPr>
          <w:rFonts w:ascii="Arial" w:hAnsi="Arial" w:cs="Arial"/>
          <w:sz w:val="22"/>
          <w:szCs w:val="22"/>
          <w:lang w:eastAsia="en-US"/>
        </w:rPr>
        <w:t xml:space="preserve"> </w:t>
      </w:r>
      <w:r w:rsidR="00683D89" w:rsidRPr="00143110">
        <w:rPr>
          <w:rFonts w:ascii="Arial" w:hAnsi="Arial" w:cs="Arial"/>
          <w:sz w:val="22"/>
          <w:szCs w:val="22"/>
          <w:lang w:eastAsia="en-US"/>
        </w:rPr>
        <w:t xml:space="preserve">přepočet odměny pro </w:t>
      </w:r>
      <w:r w:rsidR="006F4EB5" w:rsidRPr="00143110">
        <w:rPr>
          <w:rFonts w:ascii="Arial" w:hAnsi="Arial" w:cs="Arial"/>
          <w:sz w:val="22"/>
          <w:szCs w:val="22"/>
          <w:lang w:eastAsia="en-US"/>
        </w:rPr>
        <w:t xml:space="preserve">generálního </w:t>
      </w:r>
      <w:r w:rsidR="00683D89" w:rsidRPr="00143110">
        <w:rPr>
          <w:rFonts w:ascii="Arial" w:hAnsi="Arial" w:cs="Arial"/>
          <w:sz w:val="22"/>
          <w:szCs w:val="22"/>
          <w:lang w:eastAsia="en-US"/>
        </w:rPr>
        <w:t xml:space="preserve">dodavatele služeb. </w:t>
      </w:r>
    </w:p>
    <w:p w:rsidR="004920C0" w:rsidRPr="004401C1" w:rsidRDefault="004920C0" w:rsidP="004401C1">
      <w:pPr>
        <w:suppressAutoHyphens w:val="0"/>
        <w:jc w:val="both"/>
        <w:rPr>
          <w:rFonts w:ascii="Arial" w:hAnsi="Arial" w:cs="Arial"/>
          <w:sz w:val="22"/>
          <w:szCs w:val="22"/>
          <w:lang w:eastAsia="en-US"/>
        </w:rPr>
      </w:pPr>
    </w:p>
    <w:p w:rsidR="00286C6E" w:rsidRDefault="0049285C" w:rsidP="004401C1">
      <w:pPr>
        <w:pStyle w:val="Nadpis2"/>
        <w:spacing w:before="0" w:after="0"/>
        <w:jc w:val="both"/>
        <w:rPr>
          <w:rFonts w:ascii="Arial" w:hAnsi="Arial" w:cs="Arial"/>
          <w:i w:val="0"/>
          <w:sz w:val="22"/>
          <w:szCs w:val="22"/>
        </w:rPr>
      </w:pPr>
      <w:r>
        <w:rPr>
          <w:rFonts w:ascii="Arial" w:hAnsi="Arial" w:cs="Arial"/>
          <w:i w:val="0"/>
          <w:sz w:val="22"/>
          <w:szCs w:val="22"/>
        </w:rPr>
        <w:t xml:space="preserve">7. </w:t>
      </w:r>
      <w:r w:rsidR="00953F94">
        <w:rPr>
          <w:rFonts w:ascii="Arial" w:hAnsi="Arial" w:cs="Arial"/>
          <w:i w:val="0"/>
          <w:sz w:val="22"/>
          <w:szCs w:val="22"/>
        </w:rPr>
        <w:t>Dodatečné mýtné, odstavení vozidla</w:t>
      </w:r>
      <w:r w:rsidR="00286C6E" w:rsidRPr="0072157A">
        <w:rPr>
          <w:rFonts w:ascii="Arial" w:hAnsi="Arial" w:cs="Arial"/>
          <w:i w:val="0"/>
          <w:sz w:val="22"/>
          <w:szCs w:val="22"/>
        </w:rPr>
        <w:t xml:space="preserve"> a kauce</w:t>
      </w:r>
      <w:r w:rsidR="00D7735D">
        <w:rPr>
          <w:rFonts w:ascii="Arial" w:hAnsi="Arial" w:cs="Arial"/>
          <w:i w:val="0"/>
          <w:sz w:val="22"/>
          <w:szCs w:val="22"/>
        </w:rPr>
        <w:t xml:space="preserve"> na úhradu pokuty a mýtného</w:t>
      </w:r>
    </w:p>
    <w:p w:rsidR="0076236F" w:rsidRPr="004401C1" w:rsidRDefault="0076236F" w:rsidP="0076236F">
      <w:pPr>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 xml:space="preserve">NKÚ na vzorku 275 dlužníků, kterým mobilní hlídky </w:t>
      </w:r>
      <w:r w:rsidR="0082575F">
        <w:rPr>
          <w:rFonts w:ascii="Arial" w:hAnsi="Arial" w:cs="Arial"/>
          <w:sz w:val="22"/>
          <w:szCs w:val="22"/>
        </w:rPr>
        <w:t>C</w:t>
      </w:r>
      <w:r w:rsidR="00A2213F">
        <w:rPr>
          <w:rFonts w:ascii="Arial" w:hAnsi="Arial" w:cs="Arial"/>
          <w:sz w:val="22"/>
          <w:szCs w:val="22"/>
        </w:rPr>
        <w:t>elní správy</w:t>
      </w:r>
      <w:r w:rsidR="0082575F">
        <w:rPr>
          <w:rFonts w:ascii="Arial" w:hAnsi="Arial" w:cs="Arial"/>
          <w:sz w:val="22"/>
          <w:szCs w:val="22"/>
        </w:rPr>
        <w:t xml:space="preserve"> ČR</w:t>
      </w:r>
      <w:r w:rsidR="00A2213F">
        <w:rPr>
          <w:rFonts w:ascii="Arial" w:hAnsi="Arial" w:cs="Arial"/>
          <w:sz w:val="22"/>
          <w:szCs w:val="22"/>
        </w:rPr>
        <w:t xml:space="preserve"> </w:t>
      </w:r>
      <w:r>
        <w:rPr>
          <w:rFonts w:ascii="Arial" w:hAnsi="Arial" w:cs="Arial"/>
          <w:sz w:val="22"/>
          <w:szCs w:val="22"/>
        </w:rPr>
        <w:t>uložil</w:t>
      </w:r>
      <w:r w:rsidR="00140346">
        <w:rPr>
          <w:rFonts w:ascii="Arial" w:hAnsi="Arial" w:cs="Arial"/>
          <w:sz w:val="22"/>
          <w:szCs w:val="22"/>
        </w:rPr>
        <w:t>y</w:t>
      </w:r>
      <w:r>
        <w:rPr>
          <w:rFonts w:ascii="Arial" w:hAnsi="Arial" w:cs="Arial"/>
          <w:sz w:val="22"/>
          <w:szCs w:val="22"/>
        </w:rPr>
        <w:t xml:space="preserve"> pokutu, </w:t>
      </w:r>
      <w:r w:rsidR="0049285C">
        <w:rPr>
          <w:rFonts w:ascii="Arial" w:hAnsi="Arial" w:cs="Arial"/>
          <w:sz w:val="22"/>
          <w:szCs w:val="22"/>
        </w:rPr>
        <w:t>pr</w:t>
      </w:r>
      <w:r>
        <w:rPr>
          <w:rFonts w:ascii="Arial" w:hAnsi="Arial" w:cs="Arial"/>
          <w:sz w:val="22"/>
          <w:szCs w:val="22"/>
        </w:rPr>
        <w:t xml:space="preserve">ověřil, zda bylo uhrazeno dlužné mýtné. </w:t>
      </w:r>
      <w:r w:rsidR="0049285C">
        <w:rPr>
          <w:rFonts w:ascii="Arial" w:hAnsi="Arial" w:cs="Arial"/>
          <w:sz w:val="22"/>
          <w:szCs w:val="22"/>
        </w:rPr>
        <w:t>B</w:t>
      </w:r>
      <w:r>
        <w:rPr>
          <w:rFonts w:ascii="Arial" w:hAnsi="Arial" w:cs="Arial"/>
          <w:sz w:val="22"/>
          <w:szCs w:val="22"/>
        </w:rPr>
        <w:t xml:space="preserve">ylo zjištěno, že v 84 případech nebyly do </w:t>
      </w:r>
      <w:r w:rsidR="0049285C">
        <w:rPr>
          <w:rFonts w:ascii="Arial" w:hAnsi="Arial" w:cs="Arial"/>
          <w:sz w:val="22"/>
          <w:szCs w:val="22"/>
        </w:rPr>
        <w:t xml:space="preserve">ukončení </w:t>
      </w:r>
      <w:r>
        <w:rPr>
          <w:rFonts w:ascii="Arial" w:hAnsi="Arial" w:cs="Arial"/>
          <w:sz w:val="22"/>
          <w:szCs w:val="22"/>
        </w:rPr>
        <w:t xml:space="preserve">kontroly NKÚ nedoplatky na mýtném doplaceny. </w:t>
      </w:r>
    </w:p>
    <w:p w:rsidR="004920C0" w:rsidRDefault="004920C0" w:rsidP="004401C1">
      <w:pPr>
        <w:jc w:val="both"/>
        <w:rPr>
          <w:rFonts w:ascii="Arial" w:hAnsi="Arial" w:cs="Arial"/>
          <w:sz w:val="22"/>
          <w:szCs w:val="22"/>
        </w:rPr>
      </w:pPr>
    </w:p>
    <w:p w:rsidR="00286C6E" w:rsidRDefault="00286C6E" w:rsidP="004401C1">
      <w:pPr>
        <w:jc w:val="both"/>
        <w:rPr>
          <w:rFonts w:ascii="Arial" w:hAnsi="Arial" w:cs="Arial"/>
          <w:sz w:val="22"/>
          <w:szCs w:val="22"/>
        </w:rPr>
      </w:pPr>
      <w:r>
        <w:rPr>
          <w:rFonts w:ascii="Arial" w:hAnsi="Arial" w:cs="Arial"/>
          <w:sz w:val="22"/>
          <w:szCs w:val="22"/>
        </w:rPr>
        <w:t>Již v</w:t>
      </w:r>
      <w:r w:rsidR="00140346">
        <w:rPr>
          <w:rFonts w:ascii="Arial" w:hAnsi="Arial" w:cs="Arial"/>
          <w:sz w:val="22"/>
          <w:szCs w:val="22"/>
        </w:rPr>
        <w:t xml:space="preserve"> lednu </w:t>
      </w:r>
      <w:r>
        <w:rPr>
          <w:rFonts w:ascii="Arial" w:hAnsi="Arial" w:cs="Arial"/>
          <w:sz w:val="22"/>
          <w:szCs w:val="22"/>
        </w:rPr>
        <w:t>2003 a 2004</w:t>
      </w:r>
      <w:r>
        <w:rPr>
          <w:rStyle w:val="Znakypropoznmkupodarou"/>
          <w:rFonts w:ascii="Arial" w:hAnsi="Arial" w:cs="Arial"/>
          <w:sz w:val="22"/>
          <w:szCs w:val="22"/>
        </w:rPr>
        <w:footnoteReference w:id="37"/>
      </w:r>
      <w:r w:rsidR="00140346">
        <w:rPr>
          <w:rFonts w:ascii="Arial" w:hAnsi="Arial" w:cs="Arial"/>
          <w:sz w:val="22"/>
          <w:szCs w:val="22"/>
        </w:rPr>
        <w:t xml:space="preserve"> </w:t>
      </w:r>
      <w:r>
        <w:rPr>
          <w:rFonts w:ascii="Arial" w:hAnsi="Arial" w:cs="Arial"/>
          <w:sz w:val="22"/>
          <w:szCs w:val="22"/>
        </w:rPr>
        <w:t>byl</w:t>
      </w:r>
      <w:r w:rsidR="00140346">
        <w:rPr>
          <w:rFonts w:ascii="Arial" w:hAnsi="Arial" w:cs="Arial"/>
          <w:sz w:val="22"/>
          <w:szCs w:val="22"/>
        </w:rPr>
        <w:t xml:space="preserve">o navrhováno zavedení </w:t>
      </w:r>
      <w:r>
        <w:rPr>
          <w:rFonts w:ascii="Arial" w:hAnsi="Arial" w:cs="Arial"/>
          <w:sz w:val="22"/>
          <w:szCs w:val="22"/>
        </w:rPr>
        <w:t>tzv. dodatečného mýta (tj. zvýšené</w:t>
      </w:r>
      <w:r w:rsidR="0049285C">
        <w:rPr>
          <w:rFonts w:ascii="Arial" w:hAnsi="Arial" w:cs="Arial"/>
          <w:sz w:val="22"/>
          <w:szCs w:val="22"/>
        </w:rPr>
        <w:t>ho</w:t>
      </w:r>
      <w:r>
        <w:rPr>
          <w:rFonts w:ascii="Arial" w:hAnsi="Arial" w:cs="Arial"/>
          <w:sz w:val="22"/>
          <w:szCs w:val="22"/>
        </w:rPr>
        <w:t xml:space="preserve"> mýtné</w:t>
      </w:r>
      <w:r w:rsidR="0049285C">
        <w:rPr>
          <w:rFonts w:ascii="Arial" w:hAnsi="Arial" w:cs="Arial"/>
          <w:sz w:val="22"/>
          <w:szCs w:val="22"/>
        </w:rPr>
        <w:t>ho</w:t>
      </w:r>
      <w:r>
        <w:rPr>
          <w:rFonts w:ascii="Arial" w:hAnsi="Arial" w:cs="Arial"/>
          <w:sz w:val="22"/>
          <w:szCs w:val="22"/>
        </w:rPr>
        <w:t>, které</w:t>
      </w:r>
      <w:r w:rsidR="00140346">
        <w:rPr>
          <w:rFonts w:ascii="Arial" w:hAnsi="Arial" w:cs="Arial"/>
          <w:sz w:val="22"/>
          <w:szCs w:val="22"/>
        </w:rPr>
        <w:t xml:space="preserve"> by byl</w:t>
      </w:r>
      <w:r>
        <w:rPr>
          <w:rFonts w:ascii="Arial" w:hAnsi="Arial" w:cs="Arial"/>
          <w:sz w:val="22"/>
          <w:szCs w:val="22"/>
        </w:rPr>
        <w:t xml:space="preserve"> řidič vozidla povin</w:t>
      </w:r>
      <w:r w:rsidR="00140346">
        <w:rPr>
          <w:rFonts w:ascii="Arial" w:hAnsi="Arial" w:cs="Arial"/>
          <w:sz w:val="22"/>
          <w:szCs w:val="22"/>
        </w:rPr>
        <w:t>en uhradit kontrolnímu orgánu),</w:t>
      </w:r>
      <w:r>
        <w:rPr>
          <w:rFonts w:ascii="Arial" w:hAnsi="Arial" w:cs="Arial"/>
          <w:sz w:val="22"/>
          <w:szCs w:val="22"/>
        </w:rPr>
        <w:t xml:space="preserve"> </w:t>
      </w:r>
      <w:r w:rsidR="0049285C">
        <w:rPr>
          <w:rFonts w:ascii="Arial" w:hAnsi="Arial" w:cs="Arial"/>
          <w:sz w:val="22"/>
          <w:szCs w:val="22"/>
        </w:rPr>
        <w:t xml:space="preserve">dále zavedení </w:t>
      </w:r>
      <w:r>
        <w:rPr>
          <w:rFonts w:ascii="Arial" w:hAnsi="Arial" w:cs="Arial"/>
          <w:sz w:val="22"/>
          <w:szCs w:val="22"/>
        </w:rPr>
        <w:t xml:space="preserve">kaucí a </w:t>
      </w:r>
      <w:r w:rsidR="00140346">
        <w:rPr>
          <w:rFonts w:ascii="Arial" w:hAnsi="Arial" w:cs="Arial"/>
          <w:sz w:val="22"/>
          <w:szCs w:val="22"/>
        </w:rPr>
        <w:t xml:space="preserve">možnosti </w:t>
      </w:r>
      <w:r>
        <w:rPr>
          <w:rFonts w:ascii="Arial" w:hAnsi="Arial" w:cs="Arial"/>
          <w:sz w:val="22"/>
          <w:szCs w:val="22"/>
        </w:rPr>
        <w:t>odstav</w:t>
      </w:r>
      <w:r w:rsidR="00140346">
        <w:rPr>
          <w:rFonts w:ascii="Arial" w:hAnsi="Arial" w:cs="Arial"/>
          <w:sz w:val="22"/>
          <w:szCs w:val="22"/>
        </w:rPr>
        <w:t>it</w:t>
      </w:r>
      <w:r>
        <w:rPr>
          <w:rFonts w:ascii="Arial" w:hAnsi="Arial" w:cs="Arial"/>
          <w:sz w:val="22"/>
          <w:szCs w:val="22"/>
        </w:rPr>
        <w:t xml:space="preserve"> vozidl</w:t>
      </w:r>
      <w:r w:rsidR="00140346">
        <w:rPr>
          <w:rFonts w:ascii="Arial" w:hAnsi="Arial" w:cs="Arial"/>
          <w:sz w:val="22"/>
          <w:szCs w:val="22"/>
        </w:rPr>
        <w:t>o</w:t>
      </w:r>
      <w:r>
        <w:rPr>
          <w:rFonts w:ascii="Arial" w:hAnsi="Arial" w:cs="Arial"/>
          <w:sz w:val="22"/>
          <w:szCs w:val="22"/>
        </w:rPr>
        <w:t xml:space="preserve">. SFDI takovou úpravu připravil v návrhu </w:t>
      </w:r>
      <w:r w:rsidR="00EA214B">
        <w:rPr>
          <w:rFonts w:ascii="Arial" w:hAnsi="Arial" w:cs="Arial"/>
          <w:sz w:val="22"/>
          <w:szCs w:val="22"/>
        </w:rPr>
        <w:t>změny</w:t>
      </w:r>
      <w:r>
        <w:rPr>
          <w:rFonts w:ascii="Arial" w:hAnsi="Arial" w:cs="Arial"/>
          <w:sz w:val="22"/>
          <w:szCs w:val="22"/>
        </w:rPr>
        <w:t xml:space="preserve"> záko</w:t>
      </w:r>
      <w:r w:rsidR="00904190">
        <w:rPr>
          <w:rFonts w:ascii="Arial" w:hAnsi="Arial" w:cs="Arial"/>
          <w:sz w:val="22"/>
          <w:szCs w:val="22"/>
        </w:rPr>
        <w:t>na č.</w:t>
      </w:r>
      <w:r w:rsidR="0049285C">
        <w:rPr>
          <w:rFonts w:ascii="Arial" w:hAnsi="Arial" w:cs="Arial"/>
          <w:sz w:val="22"/>
          <w:szCs w:val="22"/>
        </w:rPr>
        <w:t> </w:t>
      </w:r>
      <w:r w:rsidR="00904190">
        <w:rPr>
          <w:rFonts w:ascii="Arial" w:hAnsi="Arial" w:cs="Arial"/>
          <w:sz w:val="22"/>
          <w:szCs w:val="22"/>
        </w:rPr>
        <w:t xml:space="preserve">13/1997 Sb. </w:t>
      </w:r>
      <w:r w:rsidR="007A1976">
        <w:rPr>
          <w:rFonts w:ascii="Arial" w:hAnsi="Arial" w:cs="Arial"/>
          <w:sz w:val="22"/>
          <w:szCs w:val="22"/>
        </w:rPr>
        <w:t>z </w:t>
      </w:r>
      <w:r w:rsidR="00904190">
        <w:rPr>
          <w:rFonts w:ascii="Arial" w:hAnsi="Arial" w:cs="Arial"/>
          <w:sz w:val="22"/>
          <w:szCs w:val="22"/>
        </w:rPr>
        <w:t>roku </w:t>
      </w:r>
      <w:r w:rsidR="00EA214B">
        <w:rPr>
          <w:rFonts w:ascii="Arial" w:hAnsi="Arial" w:cs="Arial"/>
          <w:sz w:val="22"/>
          <w:szCs w:val="22"/>
        </w:rPr>
        <w:t>2004, MD však tento návrh do zákona, kterým byl SV</w:t>
      </w:r>
      <w:r w:rsidR="007A1976">
        <w:rPr>
          <w:rFonts w:ascii="Arial" w:hAnsi="Arial" w:cs="Arial"/>
          <w:sz w:val="22"/>
          <w:szCs w:val="22"/>
        </w:rPr>
        <w:t xml:space="preserve">Z </w:t>
      </w:r>
      <w:r w:rsidR="00EA214B">
        <w:rPr>
          <w:rFonts w:ascii="Arial" w:hAnsi="Arial" w:cs="Arial"/>
          <w:sz w:val="22"/>
          <w:szCs w:val="22"/>
        </w:rPr>
        <w:t>zaveden, nezapracovalo</w:t>
      </w:r>
      <w:r>
        <w:rPr>
          <w:rFonts w:ascii="Arial" w:hAnsi="Arial" w:cs="Arial"/>
          <w:sz w:val="22"/>
          <w:szCs w:val="22"/>
        </w:rPr>
        <w:t xml:space="preserve">.  </w:t>
      </w:r>
    </w:p>
    <w:p w:rsidR="004920C0" w:rsidRDefault="004920C0" w:rsidP="004401C1">
      <w:pPr>
        <w:jc w:val="both"/>
        <w:rPr>
          <w:rFonts w:ascii="Arial" w:hAnsi="Arial" w:cs="Arial"/>
          <w:sz w:val="22"/>
          <w:szCs w:val="22"/>
        </w:rPr>
      </w:pPr>
    </w:p>
    <w:p w:rsidR="00286C6E" w:rsidRDefault="00286C6E" w:rsidP="004401C1">
      <w:pPr>
        <w:jc w:val="both"/>
        <w:rPr>
          <w:rFonts w:ascii="Arial" w:hAnsi="Arial" w:cs="Arial"/>
          <w:sz w:val="22"/>
          <w:szCs w:val="22"/>
        </w:rPr>
      </w:pPr>
      <w:r w:rsidRPr="00143110">
        <w:rPr>
          <w:rFonts w:ascii="Arial" w:hAnsi="Arial" w:cs="Arial"/>
          <w:sz w:val="22"/>
          <w:szCs w:val="22"/>
        </w:rPr>
        <w:t xml:space="preserve">S účinností do 30. </w:t>
      </w:r>
      <w:r w:rsidR="0078094F" w:rsidRPr="00143110">
        <w:rPr>
          <w:rFonts w:ascii="Arial" w:hAnsi="Arial" w:cs="Arial"/>
          <w:sz w:val="22"/>
          <w:szCs w:val="22"/>
        </w:rPr>
        <w:t>června</w:t>
      </w:r>
      <w:r w:rsidRPr="00143110">
        <w:rPr>
          <w:rFonts w:ascii="Arial" w:hAnsi="Arial" w:cs="Arial"/>
          <w:sz w:val="22"/>
          <w:szCs w:val="22"/>
        </w:rPr>
        <w:t xml:space="preserve"> 2011</w:t>
      </w:r>
      <w:r w:rsidRPr="00143110">
        <w:rPr>
          <w:rStyle w:val="Znakypropoznmkupodarou"/>
          <w:rFonts w:ascii="Arial" w:hAnsi="Arial" w:cs="Arial"/>
          <w:sz w:val="22"/>
          <w:szCs w:val="22"/>
        </w:rPr>
        <w:footnoteReference w:id="38"/>
      </w:r>
      <w:r w:rsidRPr="00143110">
        <w:rPr>
          <w:rFonts w:ascii="Arial" w:hAnsi="Arial" w:cs="Arial"/>
          <w:sz w:val="22"/>
          <w:szCs w:val="22"/>
        </w:rPr>
        <w:t xml:space="preserve"> byl celník oprávněn nařídit řidiči jízdu na nejbližší vhodné místo a zabránit mu </w:t>
      </w:r>
      <w:r w:rsidR="007A1976">
        <w:rPr>
          <w:rFonts w:ascii="Arial" w:hAnsi="Arial" w:cs="Arial"/>
          <w:sz w:val="22"/>
          <w:szCs w:val="22"/>
        </w:rPr>
        <w:t>v </w:t>
      </w:r>
      <w:r w:rsidRPr="00143110">
        <w:rPr>
          <w:rFonts w:ascii="Arial" w:hAnsi="Arial" w:cs="Arial"/>
          <w:sz w:val="22"/>
          <w:szCs w:val="22"/>
        </w:rPr>
        <w:t>další jízdě použitím technického prostředku, odmít</w:t>
      </w:r>
      <w:r w:rsidR="00E6787E" w:rsidRPr="00143110">
        <w:rPr>
          <w:rFonts w:ascii="Arial" w:hAnsi="Arial" w:cs="Arial"/>
          <w:sz w:val="22"/>
          <w:szCs w:val="22"/>
        </w:rPr>
        <w:t>l</w:t>
      </w:r>
      <w:r w:rsidRPr="00143110">
        <w:rPr>
          <w:rFonts w:ascii="Arial" w:hAnsi="Arial" w:cs="Arial"/>
          <w:sz w:val="22"/>
          <w:szCs w:val="22"/>
        </w:rPr>
        <w:t>-li řidič na zpoplatněné pozemní komunikaci uhradit na místě mýtné. ŘSD pro tyto účely zajistilo platební t</w:t>
      </w:r>
      <w:r w:rsidR="00423175" w:rsidRPr="00143110">
        <w:rPr>
          <w:rFonts w:ascii="Arial" w:hAnsi="Arial" w:cs="Arial"/>
          <w:sz w:val="22"/>
          <w:szCs w:val="22"/>
        </w:rPr>
        <w:t>erminály. Z</w:t>
      </w:r>
      <w:r w:rsidRPr="00143110">
        <w:rPr>
          <w:rFonts w:ascii="Arial" w:hAnsi="Arial" w:cs="Arial"/>
          <w:sz w:val="22"/>
          <w:szCs w:val="22"/>
        </w:rPr>
        <w:t> právní úpravy</w:t>
      </w:r>
      <w:r w:rsidR="00423175" w:rsidRPr="00143110">
        <w:rPr>
          <w:rFonts w:ascii="Arial" w:hAnsi="Arial" w:cs="Arial"/>
          <w:sz w:val="22"/>
          <w:szCs w:val="22"/>
        </w:rPr>
        <w:t xml:space="preserve"> však</w:t>
      </w:r>
      <w:r w:rsidRPr="00143110">
        <w:rPr>
          <w:rFonts w:ascii="Arial" w:hAnsi="Arial" w:cs="Arial"/>
          <w:sz w:val="22"/>
          <w:szCs w:val="22"/>
        </w:rPr>
        <w:t xml:space="preserve"> nebylo zřejmé, zda k úhradě mýtného </w:t>
      </w:r>
      <w:r w:rsidR="00423175" w:rsidRPr="00143110">
        <w:rPr>
          <w:rFonts w:ascii="Arial" w:hAnsi="Arial" w:cs="Arial"/>
          <w:sz w:val="22"/>
          <w:szCs w:val="22"/>
        </w:rPr>
        <w:t xml:space="preserve">může </w:t>
      </w:r>
      <w:r w:rsidRPr="00143110">
        <w:rPr>
          <w:rFonts w:ascii="Arial" w:hAnsi="Arial" w:cs="Arial"/>
          <w:sz w:val="22"/>
          <w:szCs w:val="22"/>
        </w:rPr>
        <w:t>dojít</w:t>
      </w:r>
      <w:r w:rsidR="00423175" w:rsidRPr="00143110">
        <w:rPr>
          <w:rFonts w:ascii="Arial" w:hAnsi="Arial" w:cs="Arial"/>
          <w:sz w:val="22"/>
          <w:szCs w:val="22"/>
        </w:rPr>
        <w:t xml:space="preserve"> prostřednictvím celního orgánu</w:t>
      </w:r>
      <w:r w:rsidR="0049285C">
        <w:rPr>
          <w:rFonts w:ascii="Arial" w:hAnsi="Arial" w:cs="Arial"/>
          <w:sz w:val="22"/>
          <w:szCs w:val="22"/>
        </w:rPr>
        <w:t>,</w:t>
      </w:r>
      <w:r w:rsidR="00423175" w:rsidRPr="00143110">
        <w:rPr>
          <w:rFonts w:ascii="Arial" w:hAnsi="Arial" w:cs="Arial"/>
          <w:sz w:val="22"/>
          <w:szCs w:val="22"/>
        </w:rPr>
        <w:t xml:space="preserve"> a navíc</w:t>
      </w:r>
      <w:r w:rsidRPr="00143110">
        <w:rPr>
          <w:rFonts w:ascii="Arial" w:hAnsi="Arial" w:cs="Arial"/>
          <w:sz w:val="22"/>
          <w:szCs w:val="22"/>
        </w:rPr>
        <w:t xml:space="preserve"> SVZ </w:t>
      </w:r>
      <w:r w:rsidR="00665AE5" w:rsidRPr="00143110">
        <w:rPr>
          <w:rFonts w:ascii="Arial" w:hAnsi="Arial" w:cs="Arial"/>
          <w:sz w:val="22"/>
          <w:szCs w:val="22"/>
        </w:rPr>
        <w:t>t</w:t>
      </w:r>
      <w:r w:rsidR="00953F94" w:rsidRPr="00143110">
        <w:rPr>
          <w:rFonts w:ascii="Arial" w:hAnsi="Arial" w:cs="Arial"/>
          <w:sz w:val="22"/>
          <w:szCs w:val="22"/>
        </w:rPr>
        <w:t xml:space="preserve">echnicky </w:t>
      </w:r>
      <w:r w:rsidRPr="00143110">
        <w:rPr>
          <w:rFonts w:ascii="Arial" w:hAnsi="Arial" w:cs="Arial"/>
          <w:sz w:val="22"/>
          <w:szCs w:val="22"/>
        </w:rPr>
        <w:t xml:space="preserve">neumožňoval mobilním hlídkám </w:t>
      </w:r>
      <w:r w:rsidR="0082575F" w:rsidRPr="00143110">
        <w:rPr>
          <w:rFonts w:ascii="Arial" w:hAnsi="Arial" w:cs="Arial"/>
          <w:sz w:val="22"/>
          <w:szCs w:val="22"/>
        </w:rPr>
        <w:t>C</w:t>
      </w:r>
      <w:r w:rsidR="00A2213F" w:rsidRPr="00143110">
        <w:rPr>
          <w:rFonts w:ascii="Arial" w:hAnsi="Arial" w:cs="Arial"/>
          <w:sz w:val="22"/>
          <w:szCs w:val="22"/>
        </w:rPr>
        <w:t>elní správy</w:t>
      </w:r>
      <w:r w:rsidR="0082575F" w:rsidRPr="00143110">
        <w:rPr>
          <w:rFonts w:ascii="Arial" w:hAnsi="Arial" w:cs="Arial"/>
          <w:sz w:val="22"/>
          <w:szCs w:val="22"/>
        </w:rPr>
        <w:t xml:space="preserve"> ČR</w:t>
      </w:r>
      <w:r w:rsidRPr="00143110">
        <w:rPr>
          <w:rFonts w:ascii="Arial" w:hAnsi="Arial" w:cs="Arial"/>
          <w:sz w:val="22"/>
          <w:szCs w:val="22"/>
        </w:rPr>
        <w:t xml:space="preserve"> zjistit výši dlužného mýtného</w:t>
      </w:r>
      <w:r w:rsidR="00665AE5" w:rsidRPr="00143110">
        <w:rPr>
          <w:rFonts w:ascii="Arial" w:hAnsi="Arial" w:cs="Arial"/>
          <w:sz w:val="22"/>
          <w:szCs w:val="22"/>
        </w:rPr>
        <w:t>. P</w:t>
      </w:r>
      <w:r w:rsidRPr="00143110">
        <w:rPr>
          <w:rFonts w:ascii="Arial" w:hAnsi="Arial" w:cs="Arial"/>
          <w:sz w:val="22"/>
          <w:szCs w:val="22"/>
        </w:rPr>
        <w:t>říslušn</w:t>
      </w:r>
      <w:r w:rsidR="00665AE5" w:rsidRPr="00143110">
        <w:rPr>
          <w:rFonts w:ascii="Arial" w:hAnsi="Arial" w:cs="Arial"/>
          <w:sz w:val="22"/>
          <w:szCs w:val="22"/>
        </w:rPr>
        <w:t>é</w:t>
      </w:r>
      <w:r w:rsidRPr="00143110">
        <w:rPr>
          <w:rFonts w:ascii="Arial" w:hAnsi="Arial" w:cs="Arial"/>
          <w:sz w:val="22"/>
          <w:szCs w:val="22"/>
        </w:rPr>
        <w:t xml:space="preserve"> </w:t>
      </w:r>
      <w:r w:rsidR="00665AE5" w:rsidRPr="00143110">
        <w:rPr>
          <w:rFonts w:ascii="Arial" w:hAnsi="Arial" w:cs="Arial"/>
          <w:sz w:val="22"/>
          <w:szCs w:val="22"/>
        </w:rPr>
        <w:t xml:space="preserve">ustanovení </w:t>
      </w:r>
      <w:r w:rsidRPr="00143110">
        <w:rPr>
          <w:rFonts w:ascii="Arial" w:hAnsi="Arial" w:cs="Arial"/>
          <w:sz w:val="22"/>
          <w:szCs w:val="22"/>
        </w:rPr>
        <w:t>byl</w:t>
      </w:r>
      <w:r w:rsidR="00665AE5" w:rsidRPr="00143110">
        <w:rPr>
          <w:rFonts w:ascii="Arial" w:hAnsi="Arial" w:cs="Arial"/>
          <w:sz w:val="22"/>
          <w:szCs w:val="22"/>
        </w:rPr>
        <w:t>o</w:t>
      </w:r>
      <w:r w:rsidRPr="00143110">
        <w:rPr>
          <w:rFonts w:ascii="Arial" w:hAnsi="Arial" w:cs="Arial"/>
          <w:sz w:val="22"/>
          <w:szCs w:val="22"/>
        </w:rPr>
        <w:t xml:space="preserve"> neaplikovateln</w:t>
      </w:r>
      <w:r w:rsidR="00665AE5" w:rsidRPr="00143110">
        <w:rPr>
          <w:rFonts w:ascii="Arial" w:hAnsi="Arial" w:cs="Arial"/>
          <w:sz w:val="22"/>
          <w:szCs w:val="22"/>
        </w:rPr>
        <w:t>é</w:t>
      </w:r>
      <w:r w:rsidR="00423175" w:rsidRPr="00143110">
        <w:rPr>
          <w:rFonts w:ascii="Arial" w:hAnsi="Arial" w:cs="Arial"/>
          <w:sz w:val="22"/>
          <w:szCs w:val="22"/>
        </w:rPr>
        <w:t xml:space="preserve"> a</w:t>
      </w:r>
      <w:r w:rsidR="00E6787E" w:rsidRPr="00143110">
        <w:rPr>
          <w:rFonts w:ascii="Arial" w:hAnsi="Arial" w:cs="Arial"/>
          <w:sz w:val="22"/>
          <w:szCs w:val="22"/>
        </w:rPr>
        <w:t xml:space="preserve"> byl</w:t>
      </w:r>
      <w:r w:rsidR="00665AE5" w:rsidRPr="00143110">
        <w:rPr>
          <w:rFonts w:ascii="Arial" w:hAnsi="Arial" w:cs="Arial"/>
          <w:sz w:val="22"/>
          <w:szCs w:val="22"/>
        </w:rPr>
        <w:t>o</w:t>
      </w:r>
      <w:r w:rsidRPr="00143110">
        <w:rPr>
          <w:rFonts w:ascii="Arial" w:hAnsi="Arial" w:cs="Arial"/>
          <w:sz w:val="22"/>
          <w:szCs w:val="22"/>
        </w:rPr>
        <w:t xml:space="preserve"> </w:t>
      </w:r>
      <w:r w:rsidR="00423175" w:rsidRPr="00143110">
        <w:rPr>
          <w:rFonts w:ascii="Arial" w:hAnsi="Arial" w:cs="Arial"/>
          <w:sz w:val="22"/>
          <w:szCs w:val="22"/>
        </w:rPr>
        <w:t xml:space="preserve">s účinností </w:t>
      </w:r>
      <w:r w:rsidRPr="00143110">
        <w:rPr>
          <w:rFonts w:ascii="Arial" w:hAnsi="Arial" w:cs="Arial"/>
          <w:sz w:val="22"/>
          <w:szCs w:val="22"/>
        </w:rPr>
        <w:t xml:space="preserve">od 1. </w:t>
      </w:r>
      <w:r w:rsidR="00D530FE" w:rsidRPr="00143110">
        <w:rPr>
          <w:rFonts w:ascii="Arial" w:hAnsi="Arial" w:cs="Arial"/>
          <w:sz w:val="22"/>
          <w:szCs w:val="22"/>
        </w:rPr>
        <w:t>července</w:t>
      </w:r>
      <w:r w:rsidRPr="00143110">
        <w:rPr>
          <w:rFonts w:ascii="Arial" w:hAnsi="Arial" w:cs="Arial"/>
          <w:sz w:val="22"/>
          <w:szCs w:val="22"/>
        </w:rPr>
        <w:t xml:space="preserve"> 2011</w:t>
      </w:r>
      <w:r w:rsidRPr="00143110">
        <w:rPr>
          <w:rFonts w:ascii="Arial" w:hAnsi="Arial"/>
          <w:sz w:val="22"/>
        </w:rPr>
        <w:t xml:space="preserve"> </w:t>
      </w:r>
      <w:r w:rsidRPr="00143110">
        <w:rPr>
          <w:rFonts w:ascii="Arial" w:hAnsi="Arial" w:cs="Arial"/>
          <w:sz w:val="22"/>
          <w:szCs w:val="22"/>
        </w:rPr>
        <w:t>zrušen</w:t>
      </w:r>
      <w:r w:rsidR="00665AE5" w:rsidRPr="00143110">
        <w:rPr>
          <w:rFonts w:ascii="Arial" w:hAnsi="Arial" w:cs="Arial"/>
          <w:sz w:val="22"/>
          <w:szCs w:val="22"/>
        </w:rPr>
        <w:t>o</w:t>
      </w:r>
      <w:r w:rsidRPr="00143110">
        <w:rPr>
          <w:rStyle w:val="Znakypropoznmkupodarou"/>
          <w:rFonts w:ascii="Arial" w:hAnsi="Arial" w:cs="Arial"/>
          <w:sz w:val="22"/>
          <w:szCs w:val="22"/>
        </w:rPr>
        <w:footnoteReference w:id="39"/>
      </w:r>
      <w:r w:rsidRPr="00143110">
        <w:rPr>
          <w:rFonts w:ascii="Arial" w:hAnsi="Arial" w:cs="Arial"/>
          <w:sz w:val="22"/>
          <w:szCs w:val="22"/>
        </w:rPr>
        <w:t xml:space="preserve">. </w:t>
      </w:r>
    </w:p>
    <w:p w:rsidR="004920C0" w:rsidRPr="00143110" w:rsidRDefault="004920C0" w:rsidP="004401C1">
      <w:pPr>
        <w:jc w:val="both"/>
        <w:rPr>
          <w:rFonts w:ascii="Arial" w:hAnsi="Arial" w:cs="Arial"/>
          <w:sz w:val="22"/>
          <w:szCs w:val="22"/>
        </w:rPr>
      </w:pPr>
    </w:p>
    <w:p w:rsidR="00286C6E" w:rsidRDefault="00665AE5" w:rsidP="004401C1">
      <w:pPr>
        <w:jc w:val="both"/>
        <w:rPr>
          <w:rFonts w:ascii="Arial" w:hAnsi="Arial" w:cs="Arial"/>
          <w:sz w:val="22"/>
          <w:szCs w:val="22"/>
        </w:rPr>
      </w:pPr>
      <w:r w:rsidRPr="00143110">
        <w:rPr>
          <w:rFonts w:ascii="Arial" w:hAnsi="Arial" w:cs="Arial"/>
          <w:sz w:val="22"/>
          <w:szCs w:val="22"/>
        </w:rPr>
        <w:t xml:space="preserve">Dodatečné mýtné </w:t>
      </w:r>
      <w:r w:rsidR="00286C6E" w:rsidRPr="00143110">
        <w:rPr>
          <w:rFonts w:ascii="Arial" w:hAnsi="Arial" w:cs="Arial"/>
          <w:sz w:val="22"/>
          <w:szCs w:val="22"/>
        </w:rPr>
        <w:t xml:space="preserve">MD </w:t>
      </w:r>
      <w:r w:rsidRPr="00143110">
        <w:rPr>
          <w:rFonts w:ascii="Arial" w:hAnsi="Arial" w:cs="Arial"/>
          <w:sz w:val="22"/>
          <w:szCs w:val="22"/>
        </w:rPr>
        <w:t>začlenilo až do</w:t>
      </w:r>
      <w:r w:rsidR="00286C6E" w:rsidRPr="00143110">
        <w:rPr>
          <w:rFonts w:ascii="Arial" w:hAnsi="Arial" w:cs="Arial"/>
          <w:sz w:val="22"/>
          <w:szCs w:val="22"/>
        </w:rPr>
        <w:t xml:space="preserve"> návrhu zákona č. 152/2011 Sb. </w:t>
      </w:r>
      <w:r w:rsidRPr="00143110">
        <w:rPr>
          <w:rFonts w:ascii="Arial" w:hAnsi="Arial" w:cs="Arial"/>
          <w:sz w:val="22"/>
          <w:szCs w:val="22"/>
        </w:rPr>
        <w:t xml:space="preserve">s tím, že </w:t>
      </w:r>
      <w:r w:rsidR="00286C6E" w:rsidRPr="00143110">
        <w:rPr>
          <w:rFonts w:ascii="Arial" w:hAnsi="Arial" w:cs="Arial"/>
          <w:sz w:val="22"/>
          <w:szCs w:val="22"/>
        </w:rPr>
        <w:t>jeho výběr měly zajišťovat celní orgány. Na základě mezire</w:t>
      </w:r>
      <w:r w:rsidR="0049285C">
        <w:rPr>
          <w:rFonts w:ascii="Arial" w:hAnsi="Arial" w:cs="Arial"/>
          <w:sz w:val="22"/>
          <w:szCs w:val="22"/>
        </w:rPr>
        <w:t>s</w:t>
      </w:r>
      <w:r w:rsidR="00286C6E" w:rsidRPr="00143110">
        <w:rPr>
          <w:rFonts w:ascii="Arial" w:hAnsi="Arial" w:cs="Arial"/>
          <w:sz w:val="22"/>
          <w:szCs w:val="22"/>
        </w:rPr>
        <w:t xml:space="preserve">ortního připomínkového řízení byl tento institut </w:t>
      </w:r>
      <w:r w:rsidRPr="00143110">
        <w:rPr>
          <w:rFonts w:ascii="Arial" w:hAnsi="Arial" w:cs="Arial"/>
          <w:sz w:val="22"/>
          <w:szCs w:val="22"/>
        </w:rPr>
        <w:t xml:space="preserve">z návrhu zákona </w:t>
      </w:r>
      <w:r w:rsidR="00286C6E" w:rsidRPr="00143110">
        <w:rPr>
          <w:rFonts w:ascii="Arial" w:hAnsi="Arial" w:cs="Arial"/>
          <w:sz w:val="22"/>
          <w:szCs w:val="22"/>
        </w:rPr>
        <w:t xml:space="preserve">vypuštěn. Naopak byla do </w:t>
      </w:r>
      <w:r w:rsidRPr="00143110">
        <w:rPr>
          <w:rFonts w:ascii="Arial" w:hAnsi="Arial" w:cs="Arial"/>
          <w:sz w:val="22"/>
          <w:szCs w:val="22"/>
        </w:rPr>
        <w:t xml:space="preserve">tohoto </w:t>
      </w:r>
      <w:r w:rsidR="00286C6E" w:rsidRPr="00143110">
        <w:rPr>
          <w:rFonts w:ascii="Arial" w:hAnsi="Arial" w:cs="Arial"/>
          <w:sz w:val="22"/>
          <w:szCs w:val="22"/>
        </w:rPr>
        <w:t xml:space="preserve">zákona </w:t>
      </w:r>
      <w:r w:rsidR="007C27C6" w:rsidRPr="00143110">
        <w:rPr>
          <w:rFonts w:ascii="Arial" w:hAnsi="Arial" w:cs="Arial"/>
          <w:sz w:val="22"/>
          <w:szCs w:val="22"/>
        </w:rPr>
        <w:t>s účinností od 1.</w:t>
      </w:r>
      <w:r w:rsidR="00D530FE" w:rsidRPr="00143110">
        <w:rPr>
          <w:rFonts w:ascii="Arial" w:hAnsi="Arial" w:cs="Arial"/>
          <w:sz w:val="22"/>
          <w:szCs w:val="22"/>
        </w:rPr>
        <w:t> července </w:t>
      </w:r>
      <w:r w:rsidR="007C27C6" w:rsidRPr="00143110">
        <w:rPr>
          <w:rFonts w:ascii="Arial" w:hAnsi="Arial" w:cs="Arial"/>
          <w:sz w:val="22"/>
          <w:szCs w:val="22"/>
        </w:rPr>
        <w:t xml:space="preserve">2011 </w:t>
      </w:r>
      <w:r w:rsidR="00286C6E" w:rsidRPr="00143110">
        <w:rPr>
          <w:rFonts w:ascii="Arial" w:hAnsi="Arial" w:cs="Arial"/>
          <w:sz w:val="22"/>
          <w:szCs w:val="22"/>
        </w:rPr>
        <w:t xml:space="preserve">vložena ustanovení § 43a </w:t>
      </w:r>
      <w:r w:rsidR="0049285C">
        <w:rPr>
          <w:rFonts w:ascii="Arial" w:hAnsi="Arial" w:cs="Arial"/>
          <w:sz w:val="22"/>
          <w:szCs w:val="22"/>
        </w:rPr>
        <w:t>(v</w:t>
      </w:r>
      <w:r w:rsidR="00286C6E" w:rsidRPr="00143110">
        <w:rPr>
          <w:rFonts w:ascii="Arial" w:hAnsi="Arial" w:cs="Arial"/>
          <w:sz w:val="22"/>
          <w:szCs w:val="22"/>
        </w:rPr>
        <w:t>ybírání kaucí</w:t>
      </w:r>
      <w:r w:rsidR="0049285C">
        <w:rPr>
          <w:rFonts w:ascii="Arial" w:hAnsi="Arial" w:cs="Arial"/>
          <w:sz w:val="22"/>
          <w:szCs w:val="22"/>
        </w:rPr>
        <w:t>)</w:t>
      </w:r>
      <w:r w:rsidR="002E3B37" w:rsidRPr="00143110">
        <w:rPr>
          <w:rFonts w:ascii="Arial" w:hAnsi="Arial" w:cs="Arial"/>
          <w:sz w:val="22"/>
          <w:szCs w:val="22"/>
        </w:rPr>
        <w:t xml:space="preserve">, § 43b </w:t>
      </w:r>
      <w:r w:rsidR="0049285C">
        <w:rPr>
          <w:rFonts w:ascii="Arial" w:hAnsi="Arial" w:cs="Arial"/>
          <w:sz w:val="22"/>
          <w:szCs w:val="22"/>
        </w:rPr>
        <w:t>(v</w:t>
      </w:r>
      <w:r w:rsidR="002E3B37" w:rsidRPr="00143110">
        <w:rPr>
          <w:rFonts w:ascii="Arial" w:hAnsi="Arial" w:cs="Arial"/>
          <w:sz w:val="22"/>
          <w:szCs w:val="22"/>
        </w:rPr>
        <w:t>racení a propadnutí kaucí</w:t>
      </w:r>
      <w:r w:rsidR="0049285C">
        <w:rPr>
          <w:rFonts w:ascii="Arial" w:hAnsi="Arial" w:cs="Arial"/>
          <w:sz w:val="22"/>
          <w:szCs w:val="22"/>
        </w:rPr>
        <w:t>)</w:t>
      </w:r>
      <w:r w:rsidR="002E3B37" w:rsidRPr="00143110">
        <w:rPr>
          <w:rFonts w:ascii="Arial" w:hAnsi="Arial" w:cs="Arial"/>
          <w:sz w:val="22"/>
          <w:szCs w:val="22"/>
        </w:rPr>
        <w:t xml:space="preserve"> a § 43c</w:t>
      </w:r>
      <w:r w:rsidR="00286C6E" w:rsidRPr="00143110">
        <w:rPr>
          <w:rFonts w:ascii="Arial" w:hAnsi="Arial" w:cs="Arial"/>
          <w:sz w:val="22"/>
          <w:szCs w:val="22"/>
        </w:rPr>
        <w:t xml:space="preserve"> </w:t>
      </w:r>
      <w:r w:rsidR="0049285C">
        <w:rPr>
          <w:rFonts w:ascii="Arial" w:hAnsi="Arial" w:cs="Arial"/>
          <w:sz w:val="22"/>
          <w:szCs w:val="22"/>
        </w:rPr>
        <w:t>(z</w:t>
      </w:r>
      <w:r w:rsidR="00286C6E" w:rsidRPr="00143110">
        <w:rPr>
          <w:rFonts w:ascii="Arial" w:hAnsi="Arial" w:cs="Arial"/>
          <w:sz w:val="22"/>
          <w:szCs w:val="22"/>
        </w:rPr>
        <w:t>abránění v</w:t>
      </w:r>
      <w:r w:rsidR="0049285C">
        <w:rPr>
          <w:rFonts w:ascii="Arial" w:hAnsi="Arial" w:cs="Arial"/>
          <w:sz w:val="22"/>
          <w:szCs w:val="22"/>
        </w:rPr>
        <w:t> </w:t>
      </w:r>
      <w:r w:rsidR="00286C6E" w:rsidRPr="00143110">
        <w:rPr>
          <w:rFonts w:ascii="Arial" w:hAnsi="Arial" w:cs="Arial"/>
          <w:sz w:val="22"/>
          <w:szCs w:val="22"/>
        </w:rPr>
        <w:t>jízdě</w:t>
      </w:r>
      <w:r w:rsidR="0049285C">
        <w:rPr>
          <w:rFonts w:ascii="Arial" w:hAnsi="Arial" w:cs="Arial"/>
          <w:sz w:val="22"/>
          <w:szCs w:val="22"/>
        </w:rPr>
        <w:t>)</w:t>
      </w:r>
      <w:r w:rsidR="00286C6E" w:rsidRPr="00143110">
        <w:rPr>
          <w:rFonts w:ascii="Arial" w:hAnsi="Arial" w:cs="Arial"/>
          <w:sz w:val="22"/>
          <w:szCs w:val="22"/>
        </w:rPr>
        <w:t xml:space="preserve">, která bylo možné aplikovat v případech důvodného podezření, že </w:t>
      </w:r>
      <w:r w:rsidR="0049285C" w:rsidRPr="00143110">
        <w:rPr>
          <w:rFonts w:ascii="Arial" w:hAnsi="Arial" w:cs="Arial"/>
          <w:sz w:val="22"/>
          <w:szCs w:val="22"/>
        </w:rPr>
        <w:t xml:space="preserve">se </w:t>
      </w:r>
      <w:r w:rsidR="00286C6E" w:rsidRPr="00143110">
        <w:rPr>
          <w:rFonts w:ascii="Arial" w:hAnsi="Arial" w:cs="Arial"/>
          <w:sz w:val="22"/>
          <w:szCs w:val="22"/>
        </w:rPr>
        <w:t>řidič</w:t>
      </w:r>
      <w:r w:rsidR="00E6787E" w:rsidRPr="00143110">
        <w:rPr>
          <w:rFonts w:ascii="Arial" w:hAnsi="Arial" w:cs="Arial"/>
          <w:sz w:val="22"/>
          <w:szCs w:val="22"/>
        </w:rPr>
        <w:t>,</w:t>
      </w:r>
      <w:r w:rsidR="00286C6E" w:rsidRPr="00143110">
        <w:rPr>
          <w:rFonts w:ascii="Arial" w:hAnsi="Arial" w:cs="Arial"/>
          <w:sz w:val="22"/>
          <w:szCs w:val="22"/>
        </w:rPr>
        <w:t xml:space="preserve"> resp. provozovatel vozidla</w:t>
      </w:r>
      <w:r w:rsidR="0049285C">
        <w:rPr>
          <w:rFonts w:ascii="Arial" w:hAnsi="Arial" w:cs="Arial"/>
          <w:sz w:val="22"/>
          <w:szCs w:val="22"/>
        </w:rPr>
        <w:t>,</w:t>
      </w:r>
      <w:r w:rsidR="00286C6E" w:rsidRPr="00143110">
        <w:rPr>
          <w:rFonts w:ascii="Arial" w:hAnsi="Arial" w:cs="Arial"/>
          <w:sz w:val="22"/>
          <w:szCs w:val="22"/>
        </w:rPr>
        <w:t xml:space="preserve"> bude vyhýbat přestupkovému</w:t>
      </w:r>
      <w:r w:rsidR="00203C89" w:rsidRPr="00143110">
        <w:rPr>
          <w:rFonts w:ascii="Arial" w:hAnsi="Arial" w:cs="Arial"/>
          <w:sz w:val="22"/>
          <w:szCs w:val="22"/>
        </w:rPr>
        <w:t xml:space="preserve"> řízení nebo řízení o správním deliktu.</w:t>
      </w:r>
    </w:p>
    <w:p w:rsidR="004920C0" w:rsidRPr="00143110" w:rsidRDefault="004920C0" w:rsidP="004401C1">
      <w:pPr>
        <w:jc w:val="both"/>
        <w:rPr>
          <w:rFonts w:ascii="Arial" w:hAnsi="Arial" w:cs="Arial"/>
          <w:sz w:val="22"/>
          <w:szCs w:val="22"/>
        </w:rPr>
      </w:pPr>
    </w:p>
    <w:p w:rsidR="00286C6E" w:rsidRDefault="00286C6E" w:rsidP="004401C1">
      <w:pPr>
        <w:jc w:val="both"/>
        <w:rPr>
          <w:rFonts w:ascii="Arial" w:hAnsi="Arial" w:cs="Arial"/>
          <w:sz w:val="22"/>
          <w:szCs w:val="22"/>
        </w:rPr>
      </w:pPr>
      <w:r w:rsidRPr="00143110">
        <w:rPr>
          <w:rFonts w:ascii="Arial" w:hAnsi="Arial" w:cs="Arial"/>
          <w:sz w:val="22"/>
          <w:szCs w:val="22"/>
        </w:rPr>
        <w:t xml:space="preserve">Výběr kaucí </w:t>
      </w:r>
      <w:r w:rsidR="00D7735D">
        <w:rPr>
          <w:rFonts w:ascii="Arial" w:hAnsi="Arial" w:cs="Arial"/>
          <w:sz w:val="22"/>
          <w:szCs w:val="22"/>
        </w:rPr>
        <w:t xml:space="preserve">na úhradu pokut </w:t>
      </w:r>
      <w:r w:rsidRPr="00143110">
        <w:rPr>
          <w:rFonts w:ascii="Arial" w:hAnsi="Arial" w:cs="Arial"/>
          <w:sz w:val="22"/>
          <w:szCs w:val="22"/>
        </w:rPr>
        <w:t xml:space="preserve">upravilo GŘC </w:t>
      </w:r>
      <w:r w:rsidR="0049285C">
        <w:rPr>
          <w:rFonts w:ascii="Arial" w:hAnsi="Arial" w:cs="Arial"/>
          <w:sz w:val="22"/>
          <w:szCs w:val="22"/>
        </w:rPr>
        <w:t>s</w:t>
      </w:r>
      <w:r w:rsidRPr="00143110">
        <w:rPr>
          <w:rFonts w:ascii="Arial" w:hAnsi="Arial" w:cs="Arial"/>
          <w:sz w:val="22"/>
          <w:szCs w:val="22"/>
        </w:rPr>
        <w:t>lužebním předpisem č. 12/2012 schváleným 2. </w:t>
      </w:r>
      <w:r w:rsidR="00D530FE" w:rsidRPr="00143110">
        <w:rPr>
          <w:rFonts w:ascii="Arial" w:hAnsi="Arial" w:cs="Arial"/>
          <w:sz w:val="22"/>
          <w:szCs w:val="22"/>
        </w:rPr>
        <w:t>července </w:t>
      </w:r>
      <w:r w:rsidRPr="00143110">
        <w:rPr>
          <w:rFonts w:ascii="Arial" w:hAnsi="Arial" w:cs="Arial"/>
          <w:sz w:val="22"/>
          <w:szCs w:val="22"/>
        </w:rPr>
        <w:t xml:space="preserve">2012. </w:t>
      </w:r>
      <w:r w:rsidR="00423175" w:rsidRPr="00143110">
        <w:rPr>
          <w:rFonts w:ascii="Arial" w:hAnsi="Arial" w:cs="Arial"/>
          <w:sz w:val="22"/>
          <w:szCs w:val="22"/>
        </w:rPr>
        <w:t>N</w:t>
      </w:r>
      <w:r w:rsidR="00665AE5" w:rsidRPr="00143110">
        <w:rPr>
          <w:rFonts w:ascii="Arial" w:hAnsi="Arial" w:cs="Arial"/>
          <w:sz w:val="22"/>
          <w:szCs w:val="22"/>
        </w:rPr>
        <w:t xml:space="preserve">ásledně </w:t>
      </w:r>
      <w:r w:rsidR="00423175" w:rsidRPr="00143110">
        <w:rPr>
          <w:rFonts w:ascii="Arial" w:hAnsi="Arial" w:cs="Arial"/>
          <w:sz w:val="22"/>
          <w:szCs w:val="22"/>
        </w:rPr>
        <w:t xml:space="preserve">bylo </w:t>
      </w:r>
      <w:r w:rsidR="00665AE5" w:rsidRPr="00143110">
        <w:rPr>
          <w:rFonts w:ascii="Arial" w:hAnsi="Arial" w:cs="Arial"/>
          <w:sz w:val="22"/>
          <w:szCs w:val="22"/>
        </w:rPr>
        <w:t xml:space="preserve">do 30. </w:t>
      </w:r>
      <w:r w:rsidR="002926C7" w:rsidRPr="00143110">
        <w:rPr>
          <w:rFonts w:ascii="Arial" w:hAnsi="Arial" w:cs="Arial"/>
          <w:sz w:val="22"/>
          <w:szCs w:val="22"/>
        </w:rPr>
        <w:t>listopadu</w:t>
      </w:r>
      <w:r w:rsidR="00665AE5" w:rsidRPr="00143110">
        <w:rPr>
          <w:rFonts w:ascii="Arial" w:hAnsi="Arial" w:cs="Arial"/>
          <w:sz w:val="22"/>
          <w:szCs w:val="22"/>
        </w:rPr>
        <w:t xml:space="preserve"> 2012</w:t>
      </w:r>
      <w:r w:rsidR="00423175" w:rsidRPr="00143110">
        <w:rPr>
          <w:rFonts w:ascii="Arial" w:hAnsi="Arial" w:cs="Arial"/>
          <w:sz w:val="22"/>
          <w:szCs w:val="22"/>
        </w:rPr>
        <w:t xml:space="preserve"> </w:t>
      </w:r>
      <w:r w:rsidR="0049285C">
        <w:rPr>
          <w:rFonts w:ascii="Arial" w:hAnsi="Arial" w:cs="Arial"/>
          <w:sz w:val="22"/>
          <w:szCs w:val="22"/>
        </w:rPr>
        <w:t>c</w:t>
      </w:r>
      <w:r w:rsidR="00423175" w:rsidRPr="00143110">
        <w:rPr>
          <w:rFonts w:ascii="Arial" w:hAnsi="Arial" w:cs="Arial"/>
          <w:sz w:val="22"/>
          <w:szCs w:val="22"/>
        </w:rPr>
        <w:t>elními orgány ČR</w:t>
      </w:r>
      <w:r w:rsidR="00665AE5" w:rsidRPr="00143110">
        <w:rPr>
          <w:rFonts w:ascii="Arial" w:hAnsi="Arial" w:cs="Arial"/>
          <w:sz w:val="22"/>
          <w:szCs w:val="22"/>
        </w:rPr>
        <w:t xml:space="preserve"> vybráno devět kaucí v celkové výši 120 tis. Kč. </w:t>
      </w:r>
      <w:r w:rsidRPr="00143110">
        <w:rPr>
          <w:rFonts w:ascii="Arial" w:hAnsi="Arial" w:cs="Arial"/>
          <w:sz w:val="22"/>
          <w:szCs w:val="22"/>
        </w:rPr>
        <w:t>Oprávnění vybírat kauce se jeví jako pozitivní prvek při výběru pokut, neboť motivuje pře</w:t>
      </w:r>
      <w:r w:rsidR="00D04620" w:rsidRPr="00143110">
        <w:rPr>
          <w:rFonts w:ascii="Arial" w:hAnsi="Arial" w:cs="Arial"/>
          <w:sz w:val="22"/>
          <w:szCs w:val="22"/>
        </w:rPr>
        <w:t xml:space="preserve">stupce k úhradě pokuty na místě, avšak nebylo celními úřady rok využíváno. </w:t>
      </w:r>
      <w:r w:rsidRPr="00143110">
        <w:rPr>
          <w:rFonts w:ascii="Arial" w:hAnsi="Arial" w:cs="Arial"/>
          <w:sz w:val="22"/>
          <w:szCs w:val="22"/>
        </w:rPr>
        <w:t>Problematick</w:t>
      </w:r>
      <w:r w:rsidR="00B741E0" w:rsidRPr="00143110">
        <w:rPr>
          <w:rFonts w:ascii="Arial" w:hAnsi="Arial" w:cs="Arial"/>
          <w:sz w:val="22"/>
          <w:szCs w:val="22"/>
        </w:rPr>
        <w:t>é</w:t>
      </w:r>
      <w:r w:rsidRPr="00143110">
        <w:rPr>
          <w:rFonts w:ascii="Arial" w:hAnsi="Arial" w:cs="Arial"/>
          <w:sz w:val="22"/>
          <w:szCs w:val="22"/>
        </w:rPr>
        <w:t xml:space="preserve"> </w:t>
      </w:r>
      <w:r w:rsidR="00863B37" w:rsidRPr="00143110">
        <w:rPr>
          <w:rFonts w:ascii="Arial" w:hAnsi="Arial" w:cs="Arial"/>
          <w:sz w:val="22"/>
          <w:szCs w:val="22"/>
        </w:rPr>
        <w:t xml:space="preserve">může </w:t>
      </w:r>
      <w:r w:rsidR="00665AE5" w:rsidRPr="00143110">
        <w:rPr>
          <w:rFonts w:ascii="Arial" w:hAnsi="Arial" w:cs="Arial"/>
          <w:sz w:val="22"/>
          <w:szCs w:val="22"/>
        </w:rPr>
        <w:t>být prokazování</w:t>
      </w:r>
      <w:r w:rsidRPr="00143110">
        <w:rPr>
          <w:rFonts w:ascii="Arial" w:hAnsi="Arial" w:cs="Arial"/>
          <w:sz w:val="22"/>
          <w:szCs w:val="22"/>
        </w:rPr>
        <w:t xml:space="preserve"> důvodného podezření, že přestupce uloženou pokutu neuhradí</w:t>
      </w:r>
      <w:r w:rsidR="0049285C">
        <w:rPr>
          <w:rFonts w:ascii="Arial" w:hAnsi="Arial" w:cs="Arial"/>
          <w:sz w:val="22"/>
          <w:szCs w:val="22"/>
        </w:rPr>
        <w:t xml:space="preserve"> nebo</w:t>
      </w:r>
      <w:r w:rsidRPr="00143110">
        <w:rPr>
          <w:rFonts w:ascii="Arial" w:hAnsi="Arial" w:cs="Arial"/>
          <w:sz w:val="22"/>
          <w:szCs w:val="22"/>
        </w:rPr>
        <w:t xml:space="preserve"> že se bude vyhýbat přestupkovému řízení či správnímu řízení.</w:t>
      </w:r>
    </w:p>
    <w:p w:rsidR="004920C0" w:rsidRPr="00143110" w:rsidRDefault="004920C0" w:rsidP="004401C1">
      <w:pPr>
        <w:jc w:val="both"/>
        <w:rPr>
          <w:rFonts w:ascii="Arial" w:hAnsi="Arial" w:cs="Arial"/>
          <w:sz w:val="22"/>
          <w:szCs w:val="22"/>
        </w:rPr>
      </w:pPr>
    </w:p>
    <w:p w:rsidR="00286C6E" w:rsidRDefault="00286C6E" w:rsidP="004401C1">
      <w:pPr>
        <w:jc w:val="both"/>
        <w:rPr>
          <w:rFonts w:ascii="Arial" w:hAnsi="Arial" w:cs="Arial"/>
          <w:sz w:val="22"/>
          <w:szCs w:val="22"/>
        </w:rPr>
      </w:pPr>
      <w:r w:rsidRPr="00143110">
        <w:rPr>
          <w:rFonts w:ascii="Arial" w:hAnsi="Arial" w:cs="Arial"/>
          <w:sz w:val="22"/>
          <w:szCs w:val="22"/>
        </w:rPr>
        <w:t xml:space="preserve">K zabezpečení </w:t>
      </w:r>
      <w:r w:rsidR="00356185" w:rsidRPr="00143110">
        <w:rPr>
          <w:rFonts w:ascii="Arial" w:hAnsi="Arial" w:cs="Arial"/>
          <w:sz w:val="22"/>
          <w:szCs w:val="22"/>
        </w:rPr>
        <w:t>inkasa mýtného</w:t>
      </w:r>
      <w:r w:rsidRPr="00143110">
        <w:rPr>
          <w:rFonts w:ascii="Arial" w:hAnsi="Arial" w:cs="Arial"/>
          <w:sz w:val="22"/>
          <w:szCs w:val="22"/>
        </w:rPr>
        <w:t xml:space="preserve"> by přispělo, kdyby kauce mohla být stanovena ve výši pokrývající jak případnou pokutu, tak i ned</w:t>
      </w:r>
      <w:r w:rsidR="0089330F" w:rsidRPr="00143110">
        <w:rPr>
          <w:rFonts w:ascii="Arial" w:hAnsi="Arial" w:cs="Arial"/>
          <w:sz w:val="22"/>
          <w:szCs w:val="22"/>
        </w:rPr>
        <w:t>oplatek na mýtném, případně zavedení</w:t>
      </w:r>
      <w:r w:rsidRPr="00143110">
        <w:rPr>
          <w:rFonts w:ascii="Arial" w:hAnsi="Arial" w:cs="Arial"/>
          <w:sz w:val="22"/>
          <w:szCs w:val="22"/>
        </w:rPr>
        <w:t xml:space="preserve"> institut</w:t>
      </w:r>
      <w:r w:rsidR="0089330F" w:rsidRPr="00143110">
        <w:rPr>
          <w:rFonts w:ascii="Arial" w:hAnsi="Arial" w:cs="Arial"/>
          <w:sz w:val="22"/>
          <w:szCs w:val="22"/>
        </w:rPr>
        <w:t>u</w:t>
      </w:r>
      <w:r w:rsidRPr="00143110">
        <w:rPr>
          <w:rFonts w:ascii="Arial" w:hAnsi="Arial" w:cs="Arial"/>
          <w:sz w:val="22"/>
          <w:szCs w:val="22"/>
        </w:rPr>
        <w:t xml:space="preserve"> dodatečného mýta. </w:t>
      </w:r>
    </w:p>
    <w:p w:rsidR="004920C0" w:rsidRDefault="004920C0" w:rsidP="004401C1">
      <w:pPr>
        <w:jc w:val="both"/>
        <w:rPr>
          <w:rFonts w:ascii="Arial" w:hAnsi="Arial" w:cs="Arial"/>
          <w:sz w:val="22"/>
          <w:szCs w:val="22"/>
        </w:rPr>
      </w:pPr>
    </w:p>
    <w:p w:rsidR="00D7735D" w:rsidRPr="00143110" w:rsidRDefault="00D7735D" w:rsidP="004401C1">
      <w:pPr>
        <w:jc w:val="both"/>
        <w:rPr>
          <w:rFonts w:ascii="Arial" w:hAnsi="Arial" w:cs="Arial"/>
          <w:sz w:val="22"/>
          <w:szCs w:val="22"/>
        </w:rPr>
      </w:pPr>
    </w:p>
    <w:p w:rsidR="009D2A55" w:rsidRDefault="0049285C" w:rsidP="004401C1">
      <w:pPr>
        <w:pStyle w:val="Nadpis2"/>
        <w:spacing w:before="0" w:after="0"/>
        <w:jc w:val="both"/>
        <w:rPr>
          <w:rFonts w:ascii="Arial" w:hAnsi="Arial" w:cs="Arial"/>
          <w:i w:val="0"/>
          <w:sz w:val="22"/>
          <w:szCs w:val="22"/>
        </w:rPr>
      </w:pPr>
      <w:r>
        <w:rPr>
          <w:rFonts w:ascii="Arial" w:hAnsi="Arial" w:cs="Arial"/>
          <w:i w:val="0"/>
          <w:sz w:val="22"/>
          <w:szCs w:val="22"/>
        </w:rPr>
        <w:lastRenderedPageBreak/>
        <w:t xml:space="preserve">8. </w:t>
      </w:r>
      <w:r w:rsidR="009D2A55" w:rsidRPr="009D2A55">
        <w:rPr>
          <w:rFonts w:ascii="Arial" w:hAnsi="Arial" w:cs="Arial"/>
          <w:i w:val="0"/>
          <w:sz w:val="22"/>
          <w:szCs w:val="22"/>
        </w:rPr>
        <w:t>Kauce na OBU a nespotřebované mýtné</w:t>
      </w:r>
    </w:p>
    <w:p w:rsidR="0076236F" w:rsidRPr="004401C1" w:rsidRDefault="0076236F" w:rsidP="0076236F">
      <w:pPr>
        <w:rPr>
          <w:rFonts w:ascii="Arial" w:hAnsi="Arial" w:cs="Arial"/>
          <w:sz w:val="22"/>
          <w:szCs w:val="22"/>
        </w:rPr>
      </w:pPr>
    </w:p>
    <w:p w:rsidR="009D2A55" w:rsidRDefault="00AE218E" w:rsidP="004401C1">
      <w:pPr>
        <w:jc w:val="both"/>
        <w:rPr>
          <w:rFonts w:ascii="Arial" w:hAnsi="Arial" w:cs="Arial"/>
          <w:iCs/>
          <w:sz w:val="22"/>
        </w:rPr>
      </w:pPr>
      <w:r>
        <w:rPr>
          <w:rFonts w:ascii="Arial" w:hAnsi="Arial" w:cs="Arial"/>
          <w:iCs/>
          <w:sz w:val="22"/>
        </w:rPr>
        <w:t>ŘSD požaduje</w:t>
      </w:r>
      <w:r w:rsidR="009D2A55">
        <w:rPr>
          <w:rFonts w:ascii="Arial" w:hAnsi="Arial" w:cs="Arial"/>
          <w:iCs/>
          <w:sz w:val="22"/>
        </w:rPr>
        <w:t xml:space="preserve"> složení kauce</w:t>
      </w:r>
      <w:r w:rsidR="009D2A55">
        <w:rPr>
          <w:rStyle w:val="Znakapoznpodarou"/>
          <w:rFonts w:ascii="Arial" w:hAnsi="Arial" w:cs="Arial"/>
          <w:iCs/>
          <w:sz w:val="22"/>
        </w:rPr>
        <w:footnoteReference w:id="40"/>
      </w:r>
      <w:r>
        <w:rPr>
          <w:rFonts w:ascii="Arial" w:hAnsi="Arial" w:cs="Arial"/>
          <w:iCs/>
          <w:sz w:val="22"/>
        </w:rPr>
        <w:t xml:space="preserve"> ve výši 1 550 Kč</w:t>
      </w:r>
      <w:r w:rsidR="009D2A55">
        <w:rPr>
          <w:rFonts w:ascii="Arial" w:hAnsi="Arial" w:cs="Arial"/>
          <w:iCs/>
          <w:sz w:val="22"/>
        </w:rPr>
        <w:t xml:space="preserve"> </w:t>
      </w:r>
      <w:r>
        <w:rPr>
          <w:rFonts w:ascii="Arial" w:hAnsi="Arial" w:cs="Arial"/>
          <w:iCs/>
          <w:sz w:val="22"/>
        </w:rPr>
        <w:t>jako záruku za</w:t>
      </w:r>
      <w:r w:rsidR="002926C7">
        <w:rPr>
          <w:rFonts w:ascii="Arial" w:hAnsi="Arial" w:cs="Arial"/>
          <w:iCs/>
          <w:sz w:val="22"/>
        </w:rPr>
        <w:t xml:space="preserve"> vrácení funkční a </w:t>
      </w:r>
      <w:r w:rsidR="009D2A55">
        <w:rPr>
          <w:rFonts w:ascii="Arial" w:hAnsi="Arial" w:cs="Arial"/>
          <w:iCs/>
          <w:sz w:val="22"/>
        </w:rPr>
        <w:t xml:space="preserve">nepoškozené OBU. Lhůta pro vrácení OBU </w:t>
      </w:r>
      <w:r>
        <w:rPr>
          <w:rFonts w:ascii="Arial" w:hAnsi="Arial" w:cs="Arial"/>
          <w:iCs/>
          <w:sz w:val="22"/>
        </w:rPr>
        <w:t>nebyla stanovena, neboť</w:t>
      </w:r>
      <w:r w:rsidR="009D2A55">
        <w:rPr>
          <w:rFonts w:ascii="Arial" w:hAnsi="Arial" w:cs="Arial"/>
          <w:iCs/>
          <w:sz w:val="22"/>
        </w:rPr>
        <w:t xml:space="preserve"> MD předpokládalo, že OBU </w:t>
      </w:r>
      <w:r>
        <w:rPr>
          <w:rFonts w:ascii="Arial" w:hAnsi="Arial" w:cs="Arial"/>
          <w:iCs/>
          <w:sz w:val="22"/>
        </w:rPr>
        <w:t xml:space="preserve">budou vraceny z důvodu kauce. </w:t>
      </w:r>
    </w:p>
    <w:p w:rsidR="004920C0" w:rsidRDefault="004920C0" w:rsidP="004401C1">
      <w:pPr>
        <w:jc w:val="both"/>
        <w:rPr>
          <w:rFonts w:ascii="Arial" w:hAnsi="Arial" w:cs="Arial"/>
          <w:iCs/>
          <w:sz w:val="22"/>
        </w:rPr>
      </w:pPr>
    </w:p>
    <w:p w:rsidR="009D2A55" w:rsidRDefault="009D2A55" w:rsidP="004401C1">
      <w:pPr>
        <w:tabs>
          <w:tab w:val="left" w:pos="142"/>
        </w:tabs>
        <w:jc w:val="both"/>
        <w:rPr>
          <w:rFonts w:ascii="Arial" w:hAnsi="Arial" w:cs="Arial"/>
          <w:iCs/>
          <w:sz w:val="22"/>
        </w:rPr>
      </w:pPr>
      <w:r>
        <w:rPr>
          <w:rFonts w:ascii="Arial" w:hAnsi="Arial" w:cs="Arial"/>
          <w:iCs/>
          <w:sz w:val="22"/>
        </w:rPr>
        <w:t>Ke </w:t>
      </w:r>
      <w:r w:rsidR="00AE218E">
        <w:rPr>
          <w:rFonts w:ascii="Arial" w:hAnsi="Arial" w:cs="Arial"/>
          <w:iCs/>
          <w:sz w:val="22"/>
        </w:rPr>
        <w:t xml:space="preserve">dni </w:t>
      </w:r>
      <w:r>
        <w:rPr>
          <w:rFonts w:ascii="Arial" w:hAnsi="Arial" w:cs="Arial"/>
          <w:iCs/>
          <w:sz w:val="22"/>
        </w:rPr>
        <w:t xml:space="preserve">2. </w:t>
      </w:r>
      <w:r w:rsidR="00217779">
        <w:rPr>
          <w:rFonts w:ascii="Arial" w:hAnsi="Arial" w:cs="Arial"/>
          <w:iCs/>
          <w:sz w:val="22"/>
        </w:rPr>
        <w:t>listopadu</w:t>
      </w:r>
      <w:r>
        <w:rPr>
          <w:rFonts w:ascii="Arial" w:hAnsi="Arial" w:cs="Arial"/>
          <w:iCs/>
          <w:sz w:val="22"/>
        </w:rPr>
        <w:t xml:space="preserve"> 2012 bylo evidováno celkem 107 280 ks</w:t>
      </w:r>
      <w:r>
        <w:rPr>
          <w:rStyle w:val="Znakapoznpodarou"/>
          <w:rFonts w:ascii="Arial" w:hAnsi="Arial" w:cs="Arial"/>
          <w:iCs/>
          <w:sz w:val="22"/>
        </w:rPr>
        <w:footnoteReference w:id="41"/>
      </w:r>
      <w:r>
        <w:rPr>
          <w:rFonts w:ascii="Arial" w:hAnsi="Arial" w:cs="Arial"/>
          <w:iCs/>
          <w:sz w:val="22"/>
        </w:rPr>
        <w:t xml:space="preserve"> OBU,</w:t>
      </w:r>
      <w:r>
        <w:t xml:space="preserve"> </w:t>
      </w:r>
      <w:r>
        <w:rPr>
          <w:rFonts w:ascii="Arial" w:hAnsi="Arial" w:cs="Arial"/>
          <w:iCs/>
          <w:sz w:val="22"/>
        </w:rPr>
        <w:t xml:space="preserve">u nichž nebyla déle než tři roky </w:t>
      </w:r>
      <w:r w:rsidR="00AE218E">
        <w:rPr>
          <w:rFonts w:ascii="Arial" w:hAnsi="Arial" w:cs="Arial"/>
          <w:iCs/>
          <w:sz w:val="22"/>
        </w:rPr>
        <w:t>uskutečněna mýtná transakce</w:t>
      </w:r>
      <w:r w:rsidR="00C017AE">
        <w:rPr>
          <w:rFonts w:ascii="Arial" w:hAnsi="Arial" w:cs="Arial"/>
          <w:iCs/>
          <w:sz w:val="22"/>
        </w:rPr>
        <w:t>,</w:t>
      </w:r>
      <w:r w:rsidR="00AE218E">
        <w:rPr>
          <w:rFonts w:ascii="Arial" w:hAnsi="Arial" w:cs="Arial"/>
          <w:iCs/>
          <w:sz w:val="22"/>
        </w:rPr>
        <w:t xml:space="preserve"> </w:t>
      </w:r>
      <w:r>
        <w:rPr>
          <w:rFonts w:ascii="Arial" w:hAnsi="Arial" w:cs="Arial"/>
          <w:iCs/>
          <w:sz w:val="22"/>
        </w:rPr>
        <w:t xml:space="preserve">a </w:t>
      </w:r>
      <w:r w:rsidR="00AE218E">
        <w:rPr>
          <w:rFonts w:ascii="Arial" w:hAnsi="Arial" w:cs="Arial"/>
          <w:iCs/>
          <w:sz w:val="22"/>
        </w:rPr>
        <w:t xml:space="preserve">přesto </w:t>
      </w:r>
      <w:r>
        <w:rPr>
          <w:rFonts w:ascii="Arial" w:hAnsi="Arial" w:cs="Arial"/>
          <w:iCs/>
          <w:sz w:val="22"/>
        </w:rPr>
        <w:t>nebyl</w:t>
      </w:r>
      <w:r w:rsidR="000F7E95">
        <w:rPr>
          <w:rFonts w:ascii="Arial" w:hAnsi="Arial" w:cs="Arial"/>
          <w:iCs/>
          <w:sz w:val="22"/>
        </w:rPr>
        <w:t>y</w:t>
      </w:r>
      <w:r>
        <w:rPr>
          <w:rFonts w:ascii="Arial" w:hAnsi="Arial" w:cs="Arial"/>
          <w:iCs/>
          <w:sz w:val="22"/>
        </w:rPr>
        <w:t xml:space="preserve"> vrácen</w:t>
      </w:r>
      <w:r w:rsidR="000F7E95">
        <w:rPr>
          <w:rFonts w:ascii="Arial" w:hAnsi="Arial" w:cs="Arial"/>
          <w:iCs/>
          <w:sz w:val="22"/>
        </w:rPr>
        <w:t>y</w:t>
      </w:r>
      <w:r>
        <w:rPr>
          <w:rFonts w:ascii="Arial" w:hAnsi="Arial" w:cs="Arial"/>
          <w:iCs/>
          <w:sz w:val="22"/>
        </w:rPr>
        <w:t>. Za tyto OBU byl</w:t>
      </w:r>
      <w:r w:rsidR="00AE218E">
        <w:rPr>
          <w:rFonts w:ascii="Arial" w:hAnsi="Arial" w:cs="Arial"/>
          <w:iCs/>
          <w:sz w:val="22"/>
        </w:rPr>
        <w:t>y</w:t>
      </w:r>
      <w:r>
        <w:rPr>
          <w:rFonts w:ascii="Arial" w:hAnsi="Arial" w:cs="Arial"/>
          <w:iCs/>
          <w:sz w:val="22"/>
        </w:rPr>
        <w:t xml:space="preserve"> složen</w:t>
      </w:r>
      <w:r w:rsidR="00AE218E">
        <w:rPr>
          <w:rFonts w:ascii="Arial" w:hAnsi="Arial" w:cs="Arial"/>
          <w:iCs/>
          <w:sz w:val="22"/>
        </w:rPr>
        <w:t>y</w:t>
      </w:r>
      <w:r>
        <w:rPr>
          <w:rFonts w:ascii="Arial" w:hAnsi="Arial" w:cs="Arial"/>
          <w:iCs/>
          <w:sz w:val="22"/>
        </w:rPr>
        <w:t xml:space="preserve"> kauce </w:t>
      </w:r>
      <w:r w:rsidR="00AE218E">
        <w:rPr>
          <w:rFonts w:ascii="Arial" w:hAnsi="Arial" w:cs="Arial"/>
          <w:iCs/>
          <w:sz w:val="22"/>
        </w:rPr>
        <w:t>v </w:t>
      </w:r>
      <w:r>
        <w:rPr>
          <w:rFonts w:ascii="Arial" w:hAnsi="Arial" w:cs="Arial"/>
          <w:iCs/>
          <w:sz w:val="22"/>
        </w:rPr>
        <w:t>celk</w:t>
      </w:r>
      <w:r w:rsidR="00AE218E">
        <w:rPr>
          <w:rFonts w:ascii="Arial" w:hAnsi="Arial" w:cs="Arial"/>
          <w:iCs/>
          <w:sz w:val="22"/>
        </w:rPr>
        <w:t>ové výši</w:t>
      </w:r>
      <w:r>
        <w:rPr>
          <w:rFonts w:ascii="Arial" w:hAnsi="Arial" w:cs="Arial"/>
          <w:iCs/>
          <w:sz w:val="22"/>
        </w:rPr>
        <w:t xml:space="preserve"> 166,28 mil. Kč (</w:t>
      </w:r>
      <w:r w:rsidR="007A1976">
        <w:rPr>
          <w:rFonts w:ascii="Arial" w:hAnsi="Arial" w:cs="Arial"/>
          <w:iCs/>
          <w:sz w:val="22"/>
        </w:rPr>
        <w:t>z </w:t>
      </w:r>
      <w:r>
        <w:rPr>
          <w:rFonts w:ascii="Arial" w:hAnsi="Arial" w:cs="Arial"/>
          <w:iCs/>
          <w:sz w:val="22"/>
        </w:rPr>
        <w:t>toho 97 %</w:t>
      </w:r>
      <w:r w:rsidR="000F7E95">
        <w:rPr>
          <w:rFonts w:ascii="Arial" w:hAnsi="Arial" w:cs="Arial"/>
          <w:iCs/>
          <w:sz w:val="22"/>
        </w:rPr>
        <w:t xml:space="preserve"> uhradili</w:t>
      </w:r>
      <w:r>
        <w:rPr>
          <w:rFonts w:ascii="Arial" w:hAnsi="Arial" w:cs="Arial"/>
          <w:iCs/>
          <w:sz w:val="22"/>
        </w:rPr>
        <w:t xml:space="preserve"> zahraniční uživatelé) a bylo předplaceno nespotřebované</w:t>
      </w:r>
      <w:r>
        <w:rPr>
          <w:rStyle w:val="Znakypropoznmkupodarou"/>
          <w:rFonts w:ascii="Arial" w:hAnsi="Arial" w:cs="Arial"/>
          <w:iCs/>
          <w:sz w:val="22"/>
        </w:rPr>
        <w:footnoteReference w:id="42"/>
      </w:r>
      <w:r>
        <w:rPr>
          <w:rFonts w:ascii="Arial" w:hAnsi="Arial" w:cs="Arial"/>
          <w:iCs/>
          <w:sz w:val="22"/>
        </w:rPr>
        <w:t xml:space="preserve"> mýtné v</w:t>
      </w:r>
      <w:r w:rsidR="00AE218E">
        <w:rPr>
          <w:rFonts w:ascii="Arial" w:hAnsi="Arial" w:cs="Arial"/>
          <w:iCs/>
          <w:sz w:val="22"/>
        </w:rPr>
        <w:t xml:space="preserve"> celkové </w:t>
      </w:r>
      <w:r>
        <w:rPr>
          <w:rFonts w:ascii="Arial" w:hAnsi="Arial" w:cs="Arial"/>
          <w:iCs/>
          <w:sz w:val="22"/>
        </w:rPr>
        <w:t xml:space="preserve">výši 135,15 mil. Kč. </w:t>
      </w:r>
      <w:r w:rsidR="00FE6063">
        <w:rPr>
          <w:rFonts w:ascii="Arial" w:hAnsi="Arial" w:cs="Arial"/>
          <w:iCs/>
          <w:sz w:val="22"/>
        </w:rPr>
        <w:t xml:space="preserve">Teprve po </w:t>
      </w:r>
      <w:r w:rsidR="00AC6D80">
        <w:rPr>
          <w:rFonts w:ascii="Arial" w:hAnsi="Arial" w:cs="Arial"/>
          <w:iCs/>
          <w:sz w:val="22"/>
        </w:rPr>
        <w:t>změn</w:t>
      </w:r>
      <w:r w:rsidR="00FE6063">
        <w:rPr>
          <w:rFonts w:ascii="Arial" w:hAnsi="Arial" w:cs="Arial"/>
          <w:iCs/>
          <w:sz w:val="22"/>
        </w:rPr>
        <w:t>ě</w:t>
      </w:r>
      <w:r w:rsidR="00AC6D80">
        <w:rPr>
          <w:rFonts w:ascii="Arial" w:hAnsi="Arial" w:cs="Arial"/>
          <w:iCs/>
          <w:sz w:val="22"/>
        </w:rPr>
        <w:t xml:space="preserve"> </w:t>
      </w:r>
      <w:r w:rsidR="00F37AFC">
        <w:rPr>
          <w:rFonts w:ascii="Arial" w:hAnsi="Arial" w:cs="Arial"/>
          <w:iCs/>
          <w:sz w:val="22"/>
        </w:rPr>
        <w:t>zákona</w:t>
      </w:r>
      <w:r w:rsidR="00141803">
        <w:rPr>
          <w:rFonts w:ascii="Arial" w:hAnsi="Arial" w:cs="Arial"/>
          <w:iCs/>
          <w:sz w:val="22"/>
        </w:rPr>
        <w:t xml:space="preserve"> </w:t>
      </w:r>
      <w:r w:rsidR="00F37AFC">
        <w:rPr>
          <w:rFonts w:ascii="Arial" w:hAnsi="Arial" w:cs="Arial"/>
          <w:iCs/>
          <w:sz w:val="22"/>
        </w:rPr>
        <w:t>č. 13/1997 </w:t>
      </w:r>
      <w:r>
        <w:rPr>
          <w:rFonts w:ascii="Arial" w:hAnsi="Arial" w:cs="Arial"/>
          <w:iCs/>
          <w:sz w:val="22"/>
        </w:rPr>
        <w:t>Sb.</w:t>
      </w:r>
      <w:r>
        <w:rPr>
          <w:rStyle w:val="Znakapoznpodarou"/>
          <w:rFonts w:ascii="Arial" w:hAnsi="Arial" w:cs="Arial"/>
          <w:iCs/>
          <w:sz w:val="22"/>
        </w:rPr>
        <w:footnoteReference w:id="43"/>
      </w:r>
      <w:r>
        <w:rPr>
          <w:rFonts w:ascii="Arial" w:hAnsi="Arial" w:cs="Arial"/>
          <w:iCs/>
          <w:sz w:val="22"/>
        </w:rPr>
        <w:t xml:space="preserve"> </w:t>
      </w:r>
      <w:r w:rsidR="007A1976">
        <w:rPr>
          <w:rFonts w:ascii="Arial" w:hAnsi="Arial" w:cs="Arial"/>
          <w:iCs/>
          <w:sz w:val="22"/>
        </w:rPr>
        <w:t>s </w:t>
      </w:r>
      <w:r w:rsidR="00AC6D80">
        <w:rPr>
          <w:rFonts w:ascii="Arial" w:hAnsi="Arial" w:cs="Arial"/>
          <w:iCs/>
          <w:sz w:val="22"/>
        </w:rPr>
        <w:t xml:space="preserve">účinností </w:t>
      </w:r>
      <w:r>
        <w:rPr>
          <w:rFonts w:ascii="Arial" w:hAnsi="Arial" w:cs="Arial"/>
          <w:iCs/>
          <w:sz w:val="22"/>
        </w:rPr>
        <w:t xml:space="preserve">od 1. </w:t>
      </w:r>
      <w:r w:rsidR="00217779">
        <w:rPr>
          <w:rFonts w:ascii="Arial" w:hAnsi="Arial" w:cs="Arial"/>
          <w:iCs/>
          <w:sz w:val="22"/>
        </w:rPr>
        <w:t>září</w:t>
      </w:r>
      <w:r>
        <w:rPr>
          <w:rFonts w:ascii="Arial" w:hAnsi="Arial" w:cs="Arial"/>
          <w:iCs/>
          <w:sz w:val="22"/>
        </w:rPr>
        <w:t xml:space="preserve"> 2012 </w:t>
      </w:r>
      <w:r w:rsidR="00FE6063">
        <w:rPr>
          <w:rFonts w:ascii="Arial" w:hAnsi="Arial" w:cs="Arial"/>
          <w:iCs/>
          <w:sz w:val="22"/>
        </w:rPr>
        <w:t>propadají kauce</w:t>
      </w:r>
      <w:r>
        <w:rPr>
          <w:rFonts w:ascii="Arial" w:hAnsi="Arial" w:cs="Arial"/>
          <w:iCs/>
          <w:sz w:val="22"/>
        </w:rPr>
        <w:t xml:space="preserve"> po </w:t>
      </w:r>
      <w:r w:rsidR="00E761E9">
        <w:rPr>
          <w:rFonts w:ascii="Arial" w:hAnsi="Arial" w:cs="Arial"/>
          <w:iCs/>
          <w:sz w:val="22"/>
        </w:rPr>
        <w:t>jednom</w:t>
      </w:r>
      <w:r>
        <w:rPr>
          <w:rFonts w:ascii="Arial" w:hAnsi="Arial" w:cs="Arial"/>
          <w:iCs/>
          <w:sz w:val="22"/>
        </w:rPr>
        <w:t xml:space="preserve"> roce od poslední mýtné transakce</w:t>
      </w:r>
      <w:r w:rsidR="00FE6063">
        <w:rPr>
          <w:rFonts w:ascii="Arial" w:hAnsi="Arial" w:cs="Arial"/>
          <w:iCs/>
          <w:sz w:val="22"/>
        </w:rPr>
        <w:t xml:space="preserve"> ve prospěch SFDI</w:t>
      </w:r>
      <w:r w:rsidR="00491FD2">
        <w:rPr>
          <w:rFonts w:ascii="Arial" w:hAnsi="Arial" w:cs="Arial"/>
          <w:iCs/>
          <w:sz w:val="22"/>
        </w:rPr>
        <w:t xml:space="preserve">. </w:t>
      </w:r>
      <w:r w:rsidR="00957EED" w:rsidRPr="00957EED">
        <w:rPr>
          <w:rFonts w:ascii="Arial" w:hAnsi="Arial" w:cs="Arial"/>
          <w:iCs/>
          <w:sz w:val="22"/>
        </w:rPr>
        <w:t>Návrh zákona byl předložen do mezire</w:t>
      </w:r>
      <w:r w:rsidR="000F7E95">
        <w:rPr>
          <w:rFonts w:ascii="Arial" w:hAnsi="Arial" w:cs="Arial"/>
          <w:iCs/>
          <w:sz w:val="22"/>
        </w:rPr>
        <w:t>s</w:t>
      </w:r>
      <w:r w:rsidR="00957EED" w:rsidRPr="00957EED">
        <w:rPr>
          <w:rFonts w:ascii="Arial" w:hAnsi="Arial" w:cs="Arial"/>
          <w:iCs/>
          <w:sz w:val="22"/>
        </w:rPr>
        <w:t>ortního připomínkového řízení v červenci roku 2011.</w:t>
      </w:r>
      <w:r w:rsidR="00FE6063">
        <w:rPr>
          <w:rFonts w:ascii="Arial" w:hAnsi="Arial" w:cs="Arial"/>
          <w:iCs/>
          <w:sz w:val="22"/>
        </w:rPr>
        <w:t xml:space="preserve"> </w:t>
      </w:r>
    </w:p>
    <w:p w:rsidR="00141803" w:rsidRDefault="00141803" w:rsidP="004401C1">
      <w:pPr>
        <w:tabs>
          <w:tab w:val="left" w:pos="142"/>
        </w:tabs>
        <w:jc w:val="both"/>
        <w:rPr>
          <w:rFonts w:ascii="Arial" w:hAnsi="Arial" w:cs="Arial"/>
          <w:iCs/>
          <w:sz w:val="22"/>
        </w:rPr>
      </w:pPr>
    </w:p>
    <w:p w:rsidR="0018197F" w:rsidRDefault="0018197F" w:rsidP="004401C1">
      <w:pPr>
        <w:tabs>
          <w:tab w:val="left" w:pos="142"/>
        </w:tabs>
        <w:jc w:val="both"/>
        <w:rPr>
          <w:rFonts w:ascii="Arial" w:hAnsi="Arial" w:cs="Arial"/>
          <w:iCs/>
          <w:sz w:val="22"/>
        </w:rPr>
      </w:pPr>
      <w:r w:rsidRPr="00195B75">
        <w:rPr>
          <w:rFonts w:ascii="Arial" w:hAnsi="Arial" w:cs="Arial"/>
          <w:iCs/>
          <w:sz w:val="22"/>
        </w:rPr>
        <w:t xml:space="preserve">ŘSD hradí generálnímu dodavateli služeb odměnu za </w:t>
      </w:r>
      <w:r>
        <w:rPr>
          <w:rFonts w:ascii="Arial" w:hAnsi="Arial" w:cs="Arial"/>
          <w:iCs/>
          <w:sz w:val="22"/>
        </w:rPr>
        <w:t xml:space="preserve">správu účtů </w:t>
      </w:r>
      <w:r w:rsidR="007A1976">
        <w:rPr>
          <w:rFonts w:ascii="Arial" w:hAnsi="Arial" w:cs="Arial"/>
          <w:iCs/>
          <w:sz w:val="22"/>
        </w:rPr>
        <w:t>k </w:t>
      </w:r>
      <w:r w:rsidRPr="00195B75">
        <w:rPr>
          <w:rFonts w:ascii="Arial" w:hAnsi="Arial" w:cs="Arial"/>
          <w:iCs/>
          <w:sz w:val="22"/>
        </w:rPr>
        <w:t xml:space="preserve">OBU, </w:t>
      </w:r>
      <w:r>
        <w:rPr>
          <w:rFonts w:ascii="Arial" w:hAnsi="Arial" w:cs="Arial"/>
          <w:iCs/>
          <w:sz w:val="22"/>
        </w:rPr>
        <w:t>na kterých</w:t>
      </w:r>
      <w:r w:rsidRPr="00195B75">
        <w:rPr>
          <w:rFonts w:ascii="Arial" w:hAnsi="Arial" w:cs="Arial"/>
          <w:iCs/>
          <w:sz w:val="22"/>
        </w:rPr>
        <w:t xml:space="preserve"> nedochází </w:t>
      </w:r>
      <w:r w:rsidR="007A1976">
        <w:rPr>
          <w:rFonts w:ascii="Arial" w:hAnsi="Arial" w:cs="Arial"/>
          <w:iCs/>
          <w:sz w:val="22"/>
        </w:rPr>
        <w:t>k </w:t>
      </w:r>
      <w:r w:rsidRPr="00195B75">
        <w:rPr>
          <w:rFonts w:ascii="Arial" w:hAnsi="Arial" w:cs="Arial"/>
          <w:iCs/>
          <w:sz w:val="22"/>
        </w:rPr>
        <w:t xml:space="preserve">mýtným transakcím, protože i po změně zákona účinné od 1. září </w:t>
      </w:r>
      <w:r>
        <w:rPr>
          <w:rFonts w:ascii="Arial" w:hAnsi="Arial" w:cs="Arial"/>
          <w:iCs/>
          <w:sz w:val="22"/>
        </w:rPr>
        <w:t xml:space="preserve">2012 </w:t>
      </w:r>
      <w:r w:rsidRPr="00195B75">
        <w:rPr>
          <w:rFonts w:ascii="Arial" w:hAnsi="Arial" w:cs="Arial"/>
          <w:iCs/>
          <w:sz w:val="22"/>
        </w:rPr>
        <w:t xml:space="preserve">je </w:t>
      </w:r>
      <w:r>
        <w:rPr>
          <w:rFonts w:ascii="Arial" w:hAnsi="Arial" w:cs="Arial"/>
          <w:iCs/>
          <w:sz w:val="22"/>
        </w:rPr>
        <w:t xml:space="preserve">na nich </w:t>
      </w:r>
      <w:r w:rsidRPr="00195B75">
        <w:rPr>
          <w:rFonts w:ascii="Arial" w:hAnsi="Arial" w:cs="Arial"/>
          <w:iCs/>
          <w:sz w:val="22"/>
        </w:rPr>
        <w:t>evidováno nespotřebované mýtné</w:t>
      </w:r>
      <w:r w:rsidR="00DD1D45">
        <w:rPr>
          <w:rFonts w:ascii="Arial" w:hAnsi="Arial" w:cs="Arial"/>
          <w:iCs/>
          <w:sz w:val="22"/>
        </w:rPr>
        <w:t xml:space="preserve"> (tyto OBU zvyšují </w:t>
      </w:r>
      <w:r w:rsidR="00A143F0">
        <w:rPr>
          <w:rFonts w:ascii="Arial" w:hAnsi="Arial" w:cs="Arial"/>
          <w:iCs/>
          <w:sz w:val="22"/>
        </w:rPr>
        <w:t xml:space="preserve">celkový počet provozovaných OBU </w:t>
      </w:r>
      <w:r w:rsidR="007A1976">
        <w:rPr>
          <w:rFonts w:ascii="Arial" w:hAnsi="Arial" w:cs="Arial"/>
          <w:iCs/>
          <w:sz w:val="22"/>
        </w:rPr>
        <w:t>v </w:t>
      </w:r>
      <w:r w:rsidR="00A143F0">
        <w:rPr>
          <w:rFonts w:ascii="Arial" w:hAnsi="Arial" w:cs="Arial"/>
          <w:iCs/>
          <w:sz w:val="22"/>
        </w:rPr>
        <w:t>SVZ)</w:t>
      </w:r>
      <w:r w:rsidRPr="00195B75">
        <w:rPr>
          <w:rFonts w:ascii="Arial" w:hAnsi="Arial" w:cs="Arial"/>
          <w:iCs/>
          <w:sz w:val="22"/>
        </w:rPr>
        <w:t>.</w:t>
      </w:r>
      <w:r w:rsidR="00367E26">
        <w:rPr>
          <w:rFonts w:ascii="Arial" w:hAnsi="Arial" w:cs="Arial"/>
          <w:iCs/>
          <w:sz w:val="22"/>
        </w:rPr>
        <w:t xml:space="preserve"> Vyhláška </w:t>
      </w:r>
      <w:r w:rsidR="00506A98">
        <w:rPr>
          <w:rFonts w:ascii="Arial" w:hAnsi="Arial" w:cs="Arial"/>
          <w:iCs/>
          <w:sz w:val="22"/>
        </w:rPr>
        <w:t xml:space="preserve">č. </w:t>
      </w:r>
      <w:r w:rsidR="00367E26">
        <w:rPr>
          <w:rFonts w:ascii="Arial" w:hAnsi="Arial" w:cs="Arial"/>
          <w:iCs/>
          <w:sz w:val="22"/>
        </w:rPr>
        <w:t>527/2</w:t>
      </w:r>
      <w:r w:rsidR="002C28E8">
        <w:rPr>
          <w:rFonts w:ascii="Arial" w:hAnsi="Arial" w:cs="Arial"/>
          <w:iCs/>
          <w:sz w:val="22"/>
        </w:rPr>
        <w:t>006 Sb.</w:t>
      </w:r>
      <w:r w:rsidR="002C28E8" w:rsidRPr="004401C1">
        <w:rPr>
          <w:rStyle w:val="Znakapoznpodarou"/>
          <w:rFonts w:ascii="Arial" w:hAnsi="Arial" w:cs="Arial"/>
          <w:iCs/>
          <w:sz w:val="22"/>
        </w:rPr>
        <w:footnoteReference w:id="44"/>
      </w:r>
      <w:r w:rsidR="002C28E8" w:rsidRPr="0007680E">
        <w:rPr>
          <w:rFonts w:ascii="Arial" w:hAnsi="Arial" w:cs="Arial"/>
          <w:iCs/>
          <w:sz w:val="22"/>
        </w:rPr>
        <w:t xml:space="preserve"> </w:t>
      </w:r>
      <w:r w:rsidR="00506A98">
        <w:rPr>
          <w:rFonts w:ascii="Arial" w:hAnsi="Arial" w:cs="Arial"/>
          <w:iCs/>
          <w:sz w:val="22"/>
        </w:rPr>
        <w:t>na</w:t>
      </w:r>
      <w:r w:rsidR="00367E26">
        <w:rPr>
          <w:rFonts w:ascii="Arial" w:hAnsi="Arial" w:cs="Arial"/>
          <w:iCs/>
          <w:sz w:val="22"/>
        </w:rPr>
        <w:t xml:space="preserve">dále uvádí, že nespotřebované mýtné </w:t>
      </w:r>
      <w:r w:rsidR="00367E26" w:rsidRPr="00367E26">
        <w:rPr>
          <w:rFonts w:ascii="Arial" w:hAnsi="Arial" w:cs="Arial"/>
          <w:iCs/>
          <w:sz w:val="22"/>
        </w:rPr>
        <w:t>je platné pouze po dobu tří let od poslední mýtné transakce.</w:t>
      </w:r>
      <w:r w:rsidR="00367E26">
        <w:rPr>
          <w:rFonts w:ascii="Arial" w:hAnsi="Arial" w:cs="Arial"/>
          <w:iCs/>
          <w:sz w:val="22"/>
        </w:rPr>
        <w:t xml:space="preserve"> V případě odhlášení vozidla ze SVZ se předplacené mýtné vrací provozovateli vozidla, avšak </w:t>
      </w:r>
      <w:r w:rsidR="005D63D2">
        <w:rPr>
          <w:rFonts w:ascii="Arial" w:hAnsi="Arial" w:cs="Arial"/>
          <w:iCs/>
          <w:sz w:val="22"/>
        </w:rPr>
        <w:t xml:space="preserve">nebylo upraveno, že propadnutí kauce je důvodem pro odhlášení vozidla ze SVZ. V případě </w:t>
      </w:r>
      <w:proofErr w:type="spellStart"/>
      <w:r w:rsidR="005D63D2">
        <w:rPr>
          <w:rFonts w:ascii="Arial" w:hAnsi="Arial" w:cs="Arial"/>
          <w:iCs/>
          <w:sz w:val="22"/>
        </w:rPr>
        <w:t>nekontaktnosti</w:t>
      </w:r>
      <w:proofErr w:type="spellEnd"/>
      <w:r w:rsidR="005D63D2">
        <w:rPr>
          <w:rFonts w:ascii="Arial" w:hAnsi="Arial" w:cs="Arial"/>
          <w:iCs/>
          <w:sz w:val="22"/>
        </w:rPr>
        <w:t xml:space="preserve"> provozo</w:t>
      </w:r>
      <w:r w:rsidR="00092CE1">
        <w:rPr>
          <w:rFonts w:ascii="Arial" w:hAnsi="Arial" w:cs="Arial"/>
          <w:iCs/>
          <w:sz w:val="22"/>
        </w:rPr>
        <w:t xml:space="preserve">vatele </w:t>
      </w:r>
      <w:r w:rsidR="007D56ED">
        <w:rPr>
          <w:rFonts w:ascii="Arial" w:hAnsi="Arial" w:cs="Arial"/>
          <w:iCs/>
          <w:sz w:val="22"/>
        </w:rPr>
        <w:t xml:space="preserve">nebylo </w:t>
      </w:r>
      <w:r w:rsidR="00092CE1">
        <w:rPr>
          <w:rFonts w:ascii="Arial" w:hAnsi="Arial" w:cs="Arial"/>
          <w:iCs/>
          <w:sz w:val="22"/>
        </w:rPr>
        <w:t>upraveno</w:t>
      </w:r>
      <w:r w:rsidR="00506A98">
        <w:rPr>
          <w:rFonts w:ascii="Arial" w:hAnsi="Arial" w:cs="Arial"/>
          <w:iCs/>
          <w:sz w:val="22"/>
        </w:rPr>
        <w:t>,</w:t>
      </w:r>
      <w:r w:rsidR="00092CE1">
        <w:rPr>
          <w:rFonts w:ascii="Arial" w:hAnsi="Arial" w:cs="Arial"/>
          <w:iCs/>
          <w:sz w:val="22"/>
        </w:rPr>
        <w:t xml:space="preserve"> jak s nespotřebovaným mýtným nakládat</w:t>
      </w:r>
      <w:r w:rsidR="00A65230" w:rsidRPr="004401C1">
        <w:rPr>
          <w:rStyle w:val="Znakapoznpodarou"/>
          <w:rFonts w:ascii="Arial" w:hAnsi="Arial" w:cs="Arial"/>
          <w:iCs/>
          <w:sz w:val="22"/>
        </w:rPr>
        <w:footnoteReference w:id="45"/>
      </w:r>
      <w:r w:rsidR="00092CE1">
        <w:rPr>
          <w:rFonts w:ascii="Arial" w:hAnsi="Arial" w:cs="Arial"/>
          <w:iCs/>
          <w:sz w:val="22"/>
        </w:rPr>
        <w:t xml:space="preserve">. </w:t>
      </w:r>
      <w:r w:rsidR="00367E26">
        <w:rPr>
          <w:rFonts w:ascii="Arial" w:hAnsi="Arial" w:cs="Arial"/>
          <w:iCs/>
          <w:sz w:val="22"/>
        </w:rPr>
        <w:t xml:space="preserve"> </w:t>
      </w:r>
    </w:p>
    <w:p w:rsidR="00141803" w:rsidRDefault="00141803" w:rsidP="004401C1">
      <w:pPr>
        <w:tabs>
          <w:tab w:val="left" w:pos="142"/>
        </w:tabs>
        <w:jc w:val="both"/>
        <w:rPr>
          <w:rFonts w:ascii="Arial" w:hAnsi="Arial" w:cs="Arial"/>
          <w:iCs/>
          <w:sz w:val="22"/>
        </w:rPr>
      </w:pPr>
    </w:p>
    <w:p w:rsidR="005F1E06" w:rsidRDefault="009D2A55" w:rsidP="004401C1">
      <w:pPr>
        <w:jc w:val="both"/>
        <w:rPr>
          <w:rFonts w:ascii="Arial" w:hAnsi="Arial" w:cs="Arial"/>
          <w:iCs/>
          <w:sz w:val="22"/>
        </w:rPr>
      </w:pPr>
      <w:r w:rsidRPr="00143110">
        <w:rPr>
          <w:rFonts w:ascii="Arial" w:hAnsi="Arial" w:cs="Arial"/>
          <w:iCs/>
          <w:sz w:val="22"/>
        </w:rPr>
        <w:t xml:space="preserve">MD nepostupovalo </w:t>
      </w:r>
      <w:r w:rsidR="007A1976">
        <w:rPr>
          <w:rFonts w:ascii="Arial" w:hAnsi="Arial" w:cs="Arial"/>
          <w:iCs/>
          <w:sz w:val="22"/>
        </w:rPr>
        <w:t>v </w:t>
      </w:r>
      <w:r w:rsidRPr="00143110">
        <w:rPr>
          <w:rFonts w:ascii="Arial" w:hAnsi="Arial" w:cs="Arial"/>
          <w:iCs/>
          <w:sz w:val="22"/>
        </w:rPr>
        <w:t xml:space="preserve">souladu </w:t>
      </w:r>
      <w:r w:rsidR="007A1976">
        <w:rPr>
          <w:rFonts w:ascii="Arial" w:hAnsi="Arial" w:cs="Arial"/>
          <w:iCs/>
          <w:sz w:val="22"/>
        </w:rPr>
        <w:t>s </w:t>
      </w:r>
      <w:r w:rsidRPr="00143110">
        <w:rPr>
          <w:rFonts w:ascii="Arial" w:hAnsi="Arial" w:cs="Arial"/>
          <w:iCs/>
          <w:sz w:val="22"/>
        </w:rPr>
        <w:t>ustanovením</w:t>
      </w:r>
      <w:r w:rsidR="0007680E">
        <w:rPr>
          <w:rFonts w:ascii="Arial" w:hAnsi="Arial" w:cs="Arial"/>
          <w:iCs/>
          <w:sz w:val="22"/>
        </w:rPr>
        <w:t>i</w:t>
      </w:r>
      <w:r w:rsidRPr="00143110">
        <w:rPr>
          <w:rFonts w:ascii="Arial" w:hAnsi="Arial" w:cs="Arial"/>
          <w:iCs/>
          <w:sz w:val="22"/>
        </w:rPr>
        <w:t xml:space="preserve"> § 22 a § 24 zákona č. 2/1969 Sb., neboť ani po více než pěti letech provozu SVZ nevyřešilo nak</w:t>
      </w:r>
      <w:r w:rsidR="00111339" w:rsidRPr="00143110">
        <w:rPr>
          <w:rFonts w:ascii="Arial" w:hAnsi="Arial" w:cs="Arial"/>
          <w:iCs/>
          <w:sz w:val="22"/>
        </w:rPr>
        <w:t xml:space="preserve">ládání </w:t>
      </w:r>
      <w:r w:rsidR="007A1976">
        <w:rPr>
          <w:rFonts w:ascii="Arial" w:hAnsi="Arial" w:cs="Arial"/>
          <w:iCs/>
          <w:sz w:val="22"/>
        </w:rPr>
        <w:t>s </w:t>
      </w:r>
      <w:r w:rsidR="00111339" w:rsidRPr="00143110">
        <w:rPr>
          <w:rFonts w:ascii="Arial" w:hAnsi="Arial" w:cs="Arial"/>
          <w:iCs/>
          <w:sz w:val="22"/>
        </w:rPr>
        <w:t>nespotřebovaným mýtným</w:t>
      </w:r>
      <w:r w:rsidR="005D63D2" w:rsidRPr="00143110">
        <w:rPr>
          <w:rFonts w:ascii="Arial" w:hAnsi="Arial" w:cs="Arial"/>
          <w:iCs/>
          <w:sz w:val="22"/>
        </w:rPr>
        <w:t xml:space="preserve"> v</w:t>
      </w:r>
      <w:r w:rsidR="00506A98" w:rsidRPr="00143110">
        <w:rPr>
          <w:rFonts w:ascii="Arial" w:hAnsi="Arial" w:cs="Arial"/>
          <w:iCs/>
          <w:sz w:val="22"/>
        </w:rPr>
        <w:t> </w:t>
      </w:r>
      <w:r w:rsidR="005D63D2" w:rsidRPr="00143110">
        <w:rPr>
          <w:rFonts w:ascii="Arial" w:hAnsi="Arial" w:cs="Arial"/>
          <w:iCs/>
          <w:sz w:val="22"/>
        </w:rPr>
        <w:t>případech</w:t>
      </w:r>
      <w:r w:rsidR="00506A98" w:rsidRPr="00143110">
        <w:rPr>
          <w:rFonts w:ascii="Arial" w:hAnsi="Arial" w:cs="Arial"/>
          <w:iCs/>
          <w:sz w:val="22"/>
        </w:rPr>
        <w:t>,</w:t>
      </w:r>
      <w:r w:rsidR="005D63D2" w:rsidRPr="00143110">
        <w:rPr>
          <w:rFonts w:ascii="Arial" w:hAnsi="Arial" w:cs="Arial"/>
          <w:iCs/>
          <w:sz w:val="22"/>
        </w:rPr>
        <w:t xml:space="preserve"> </w:t>
      </w:r>
      <w:r w:rsidR="007D0ABE" w:rsidRPr="00143110">
        <w:rPr>
          <w:rFonts w:ascii="Arial" w:hAnsi="Arial" w:cs="Arial"/>
          <w:iCs/>
          <w:sz w:val="22"/>
        </w:rPr>
        <w:t xml:space="preserve">kdy </w:t>
      </w:r>
      <w:r w:rsidR="0007680E" w:rsidRPr="00143110">
        <w:rPr>
          <w:rFonts w:ascii="Arial" w:hAnsi="Arial" w:cs="Arial"/>
          <w:iCs/>
          <w:sz w:val="22"/>
        </w:rPr>
        <w:t xml:space="preserve">vozidlo </w:t>
      </w:r>
      <w:r w:rsidR="007D0ABE" w:rsidRPr="00143110">
        <w:rPr>
          <w:rFonts w:ascii="Arial" w:hAnsi="Arial" w:cs="Arial"/>
          <w:iCs/>
          <w:sz w:val="22"/>
        </w:rPr>
        <w:t>nebylo</w:t>
      </w:r>
      <w:r w:rsidR="005D63D2" w:rsidRPr="00143110">
        <w:rPr>
          <w:rFonts w:ascii="Arial" w:hAnsi="Arial" w:cs="Arial"/>
          <w:iCs/>
          <w:sz w:val="22"/>
        </w:rPr>
        <w:t xml:space="preserve"> odhlášeno ze SVZ</w:t>
      </w:r>
      <w:r w:rsidR="00111339" w:rsidRPr="00143110">
        <w:rPr>
          <w:rFonts w:ascii="Arial" w:hAnsi="Arial" w:cs="Arial"/>
          <w:iCs/>
          <w:sz w:val="22"/>
        </w:rPr>
        <w:t xml:space="preserve">. </w:t>
      </w:r>
      <w:r w:rsidRPr="00143110">
        <w:rPr>
          <w:rFonts w:ascii="Arial" w:hAnsi="Arial" w:cs="Arial"/>
          <w:iCs/>
          <w:sz w:val="22"/>
        </w:rPr>
        <w:t xml:space="preserve">Také v případě úpravy propadnutí kauce za </w:t>
      </w:r>
      <w:proofErr w:type="gramStart"/>
      <w:r w:rsidRPr="00143110">
        <w:rPr>
          <w:rFonts w:ascii="Arial" w:hAnsi="Arial" w:cs="Arial"/>
          <w:iCs/>
          <w:sz w:val="22"/>
        </w:rPr>
        <w:t>neaktivní</w:t>
      </w:r>
      <w:proofErr w:type="gramEnd"/>
      <w:r w:rsidRPr="00143110">
        <w:rPr>
          <w:rFonts w:ascii="Arial" w:hAnsi="Arial" w:cs="Arial"/>
          <w:iCs/>
          <w:sz w:val="22"/>
        </w:rPr>
        <w:t xml:space="preserve"> OBU nepostupovalo </w:t>
      </w:r>
      <w:r w:rsidR="0007680E" w:rsidRPr="00143110">
        <w:rPr>
          <w:rFonts w:ascii="Arial" w:hAnsi="Arial" w:cs="Arial"/>
          <w:iCs/>
          <w:sz w:val="22"/>
        </w:rPr>
        <w:t xml:space="preserve">MD </w:t>
      </w:r>
      <w:r w:rsidRPr="00143110">
        <w:rPr>
          <w:rFonts w:ascii="Arial" w:hAnsi="Arial" w:cs="Arial"/>
          <w:iCs/>
          <w:sz w:val="22"/>
        </w:rPr>
        <w:t xml:space="preserve">dostatečně pružně, </w:t>
      </w:r>
      <w:r w:rsidR="0007680E">
        <w:rPr>
          <w:rFonts w:ascii="Arial" w:hAnsi="Arial" w:cs="Arial"/>
          <w:iCs/>
          <w:sz w:val="22"/>
        </w:rPr>
        <w:t xml:space="preserve">v důsledku čehož právní úprava řešící tento problém nabyla </w:t>
      </w:r>
      <w:r w:rsidR="00C812E1" w:rsidRPr="00143110">
        <w:rPr>
          <w:rFonts w:ascii="Arial" w:hAnsi="Arial" w:cs="Arial"/>
          <w:iCs/>
          <w:sz w:val="22"/>
        </w:rPr>
        <w:t>účinnost</w:t>
      </w:r>
      <w:r w:rsidR="0007680E">
        <w:rPr>
          <w:rFonts w:ascii="Arial" w:hAnsi="Arial" w:cs="Arial"/>
          <w:iCs/>
          <w:sz w:val="22"/>
        </w:rPr>
        <w:t>i až</w:t>
      </w:r>
      <w:r w:rsidR="00C812E1" w:rsidRPr="00143110">
        <w:rPr>
          <w:rFonts w:ascii="Arial" w:hAnsi="Arial" w:cs="Arial"/>
          <w:iCs/>
          <w:sz w:val="22"/>
        </w:rPr>
        <w:t xml:space="preserve"> od 1. září</w:t>
      </w:r>
      <w:r w:rsidRPr="00143110">
        <w:rPr>
          <w:rFonts w:ascii="Arial" w:hAnsi="Arial" w:cs="Arial"/>
          <w:iCs/>
          <w:sz w:val="22"/>
        </w:rPr>
        <w:t xml:space="preserve"> 2012. ŘSD nemohlo</w:t>
      </w:r>
      <w:r w:rsidR="005F1E06" w:rsidRPr="00143110">
        <w:rPr>
          <w:rFonts w:ascii="Arial" w:hAnsi="Arial" w:cs="Arial"/>
          <w:iCs/>
          <w:sz w:val="22"/>
        </w:rPr>
        <w:t xml:space="preserve"> </w:t>
      </w:r>
      <w:r w:rsidR="00AC6D80" w:rsidRPr="00143110">
        <w:rPr>
          <w:rFonts w:ascii="Arial" w:hAnsi="Arial" w:cs="Arial"/>
          <w:iCs/>
          <w:sz w:val="22"/>
        </w:rPr>
        <w:t>do té doby</w:t>
      </w:r>
      <w:r w:rsidR="00A06E07" w:rsidRPr="00143110">
        <w:rPr>
          <w:rFonts w:ascii="Arial" w:hAnsi="Arial" w:cs="Arial"/>
          <w:iCs/>
          <w:sz w:val="22"/>
        </w:rPr>
        <w:t xml:space="preserve"> se</w:t>
      </w:r>
      <w:r w:rsidR="00AC6D80" w:rsidRPr="00143110">
        <w:rPr>
          <w:rFonts w:ascii="Arial" w:hAnsi="Arial" w:cs="Arial"/>
          <w:iCs/>
          <w:sz w:val="22"/>
        </w:rPr>
        <w:t xml:space="preserve"> </w:t>
      </w:r>
      <w:r w:rsidRPr="00143110">
        <w:rPr>
          <w:rFonts w:ascii="Arial" w:hAnsi="Arial" w:cs="Arial"/>
          <w:iCs/>
          <w:sz w:val="22"/>
        </w:rPr>
        <w:t>složen</w:t>
      </w:r>
      <w:r w:rsidR="005F1E06" w:rsidRPr="00143110">
        <w:rPr>
          <w:rFonts w:ascii="Arial" w:hAnsi="Arial" w:cs="Arial"/>
          <w:iCs/>
          <w:sz w:val="22"/>
        </w:rPr>
        <w:t xml:space="preserve">ými </w:t>
      </w:r>
      <w:r w:rsidRPr="00143110">
        <w:rPr>
          <w:rFonts w:ascii="Arial" w:hAnsi="Arial" w:cs="Arial"/>
          <w:iCs/>
          <w:sz w:val="22"/>
        </w:rPr>
        <w:t>kauce</w:t>
      </w:r>
      <w:r w:rsidR="005F1E06" w:rsidRPr="00143110">
        <w:rPr>
          <w:rFonts w:ascii="Arial" w:hAnsi="Arial" w:cs="Arial"/>
          <w:iCs/>
          <w:sz w:val="22"/>
        </w:rPr>
        <w:t>mi</w:t>
      </w:r>
      <w:r w:rsidR="00904190">
        <w:rPr>
          <w:rFonts w:ascii="Arial" w:hAnsi="Arial" w:cs="Arial"/>
          <w:iCs/>
          <w:sz w:val="22"/>
        </w:rPr>
        <w:t xml:space="preserve"> ve výši 166,28 </w:t>
      </w:r>
      <w:r w:rsidRPr="00143110">
        <w:rPr>
          <w:rFonts w:ascii="Arial" w:hAnsi="Arial" w:cs="Arial"/>
          <w:iCs/>
          <w:sz w:val="22"/>
        </w:rPr>
        <w:t xml:space="preserve">mil. Kč </w:t>
      </w:r>
      <w:r w:rsidR="005F1E06" w:rsidRPr="00143110">
        <w:rPr>
          <w:rFonts w:ascii="Arial" w:hAnsi="Arial" w:cs="Arial"/>
          <w:iCs/>
          <w:sz w:val="22"/>
        </w:rPr>
        <w:t>nakládat</w:t>
      </w:r>
      <w:r w:rsidR="006E32C0" w:rsidRPr="00143110">
        <w:rPr>
          <w:rFonts w:ascii="Arial" w:hAnsi="Arial" w:cs="Arial"/>
          <w:iCs/>
          <w:sz w:val="22"/>
        </w:rPr>
        <w:t xml:space="preserve">, neboť zákon neupravoval lhůtu pro jejich propadnutí. </w:t>
      </w:r>
      <w:r w:rsidR="00111339" w:rsidRPr="00143110">
        <w:rPr>
          <w:rFonts w:ascii="Arial" w:hAnsi="Arial" w:cs="Arial"/>
          <w:iCs/>
          <w:sz w:val="22"/>
        </w:rPr>
        <w:t xml:space="preserve"> </w:t>
      </w:r>
    </w:p>
    <w:p w:rsidR="00141803" w:rsidRPr="00143110" w:rsidRDefault="00141803" w:rsidP="004401C1">
      <w:pPr>
        <w:jc w:val="both"/>
        <w:rPr>
          <w:rFonts w:ascii="Arial" w:hAnsi="Arial" w:cs="Arial"/>
          <w:iCs/>
          <w:sz w:val="22"/>
        </w:rPr>
      </w:pPr>
    </w:p>
    <w:p w:rsidR="00D66BCF" w:rsidRDefault="00537FE9" w:rsidP="004401C1">
      <w:pPr>
        <w:pStyle w:val="Nadpis2"/>
        <w:spacing w:before="0" w:after="0"/>
        <w:jc w:val="both"/>
        <w:rPr>
          <w:rFonts w:ascii="Arial" w:hAnsi="Arial" w:cs="Arial"/>
          <w:i w:val="0"/>
          <w:sz w:val="22"/>
          <w:szCs w:val="22"/>
        </w:rPr>
      </w:pPr>
      <w:r>
        <w:rPr>
          <w:rFonts w:ascii="Arial" w:hAnsi="Arial" w:cs="Arial"/>
          <w:i w:val="0"/>
          <w:sz w:val="22"/>
          <w:szCs w:val="22"/>
        </w:rPr>
        <w:t xml:space="preserve">9. </w:t>
      </w:r>
      <w:r w:rsidR="00D66BCF">
        <w:rPr>
          <w:rFonts w:ascii="Arial" w:hAnsi="Arial" w:cs="Arial"/>
          <w:i w:val="0"/>
          <w:sz w:val="22"/>
          <w:szCs w:val="22"/>
        </w:rPr>
        <w:t xml:space="preserve">Časové zpoplatnění </w:t>
      </w:r>
    </w:p>
    <w:p w:rsidR="0076236F" w:rsidRPr="004401C1" w:rsidRDefault="0076236F" w:rsidP="0076236F">
      <w:pPr>
        <w:rPr>
          <w:rFonts w:ascii="Arial" w:hAnsi="Arial" w:cs="Arial"/>
          <w:sz w:val="22"/>
          <w:szCs w:val="22"/>
        </w:rPr>
      </w:pPr>
    </w:p>
    <w:p w:rsidR="00D66BCF" w:rsidRDefault="00D66BCF" w:rsidP="004401C1">
      <w:pPr>
        <w:pStyle w:val="normlnmezera"/>
        <w:spacing w:before="0"/>
      </w:pPr>
      <w:r>
        <w:t xml:space="preserve">Distribuci </w:t>
      </w:r>
      <w:r w:rsidR="00537FE9">
        <w:t>časových kuponů (</w:t>
      </w:r>
      <w:r w:rsidR="00C22C1B">
        <w:t>ČK</w:t>
      </w:r>
      <w:r w:rsidR="00537FE9">
        <w:t>)</w:t>
      </w:r>
      <w:r>
        <w:t xml:space="preserve"> zajišťoval SFD</w:t>
      </w:r>
      <w:r w:rsidR="00C812E1">
        <w:t>I prostřednictvím komisionářů a </w:t>
      </w:r>
      <w:r>
        <w:t>jejich oprávněných prodejců. V roce 2009 se jednalo o 6 500 distribučních míst, v roce 2010 celkem 6 400 a v roce 2011 celkem 6</w:t>
      </w:r>
      <w:r w:rsidR="006B6BCD">
        <w:t> </w:t>
      </w:r>
      <w:r>
        <w:t>900</w:t>
      </w:r>
      <w:r w:rsidR="006B6BCD">
        <w:t xml:space="preserve"> míst</w:t>
      </w:r>
      <w:r w:rsidR="006F4EB5">
        <w:t>.</w:t>
      </w:r>
    </w:p>
    <w:p w:rsidR="00141803" w:rsidRPr="006F4EB5" w:rsidRDefault="00141803" w:rsidP="004401C1">
      <w:pPr>
        <w:pStyle w:val="normlnmezera"/>
        <w:spacing w:before="0"/>
      </w:pPr>
    </w:p>
    <w:p w:rsidR="00D66BCF" w:rsidRDefault="00D66BCF" w:rsidP="004401C1">
      <w:pPr>
        <w:pStyle w:val="normlnmezera"/>
        <w:spacing w:before="0"/>
      </w:pPr>
      <w:r w:rsidRPr="00143110">
        <w:t>Nejv</w:t>
      </w:r>
      <w:r w:rsidR="00537FE9">
        <w:t>ětší</w:t>
      </w:r>
      <w:r w:rsidRPr="00143110">
        <w:t xml:space="preserve"> položku nákladů SFDI souvisejících se zajištěním časového zpoplatnění představovala provize </w:t>
      </w:r>
      <w:r w:rsidR="002B700C" w:rsidRPr="00143110">
        <w:t xml:space="preserve">komisionářům. </w:t>
      </w:r>
      <w:r w:rsidRPr="00143110">
        <w:t>Její výše byla závislá na nominální hodnotě ČK, počtu prodaných ČK a výši sjednaného procenta provize</w:t>
      </w:r>
      <w:r w:rsidRPr="00143110">
        <w:rPr>
          <w:rStyle w:val="Znakypropoznmkupodarou"/>
        </w:rPr>
        <w:footnoteReference w:id="46"/>
      </w:r>
      <w:r w:rsidRPr="00143110">
        <w:t>. Toto procento bylo v jednotlivých letech postupně snižováno tak, aby nedocházelo k neúměrnému růstu vyp</w:t>
      </w:r>
      <w:r w:rsidR="00580C69" w:rsidRPr="00143110">
        <w:t xml:space="preserve">lacených provizí. </w:t>
      </w:r>
      <w:r w:rsidR="00580C69" w:rsidRPr="00143110">
        <w:lastRenderedPageBreak/>
        <w:t>V období 2009</w:t>
      </w:r>
      <w:r w:rsidRPr="00143110">
        <w:t>–2011 byly vyplaceny provize v celkové výši 477,57 mil. Kč bez DPH, resp.</w:t>
      </w:r>
      <w:r w:rsidR="00692E7D">
        <w:t> </w:t>
      </w:r>
      <w:r w:rsidRPr="00143110">
        <w:t>571,24</w:t>
      </w:r>
      <w:r w:rsidR="006B6BCD" w:rsidRPr="00143110">
        <w:t xml:space="preserve"> </w:t>
      </w:r>
      <w:r w:rsidRPr="00143110">
        <w:t xml:space="preserve">mil. Kč vč. DPH. </w:t>
      </w:r>
    </w:p>
    <w:p w:rsidR="00141803" w:rsidRPr="00143110" w:rsidRDefault="00141803" w:rsidP="004401C1">
      <w:pPr>
        <w:pStyle w:val="normlnmezera"/>
        <w:spacing w:before="0"/>
      </w:pPr>
    </w:p>
    <w:p w:rsidR="00D66BCF" w:rsidRDefault="00D66BCF" w:rsidP="004401C1">
      <w:pPr>
        <w:pStyle w:val="normlnmezera"/>
        <w:spacing w:before="0"/>
      </w:pPr>
      <w:r w:rsidRPr="00143110">
        <w:t>Druhou nejv</w:t>
      </w:r>
      <w:r w:rsidR="00537FE9">
        <w:t>ětší</w:t>
      </w:r>
      <w:r w:rsidRPr="00143110">
        <w:t xml:space="preserve"> polož</w:t>
      </w:r>
      <w:r w:rsidR="00AB0500" w:rsidRPr="00143110">
        <w:t>kou nákladů byla výroba ČK</w:t>
      </w:r>
      <w:r w:rsidR="00D07778">
        <w:t xml:space="preserve"> – </w:t>
      </w:r>
      <w:r w:rsidR="006B6BCD" w:rsidRPr="00143110">
        <w:t>výše</w:t>
      </w:r>
      <w:r w:rsidR="00D07778">
        <w:t xml:space="preserve"> těchto nákladů</w:t>
      </w:r>
      <w:r w:rsidR="00A13544" w:rsidRPr="00143110">
        <w:t xml:space="preserve"> se odvíjela</w:t>
      </w:r>
      <w:r w:rsidRPr="00143110">
        <w:t xml:space="preserve"> podle množstevních pásem, s rostoucím množstvím ČK kles</w:t>
      </w:r>
      <w:r w:rsidR="00AB0500" w:rsidRPr="00143110">
        <w:t>ala</w:t>
      </w:r>
      <w:r w:rsidRPr="00143110">
        <w:t xml:space="preserve"> cena za kus. </w:t>
      </w:r>
      <w:r w:rsidR="00AB0500" w:rsidRPr="00143110">
        <w:t xml:space="preserve">Náklady na výrobu ČK </w:t>
      </w:r>
      <w:r w:rsidR="00342D89" w:rsidRPr="00143110">
        <w:t xml:space="preserve">za roky </w:t>
      </w:r>
      <w:r w:rsidR="00AB0500" w:rsidRPr="00143110">
        <w:t>2009</w:t>
      </w:r>
      <w:r w:rsidR="00580C69" w:rsidRPr="00143110">
        <w:t>–</w:t>
      </w:r>
      <w:r w:rsidR="00AB0500" w:rsidRPr="00143110">
        <w:t xml:space="preserve">2011 </w:t>
      </w:r>
      <w:r w:rsidR="00537FE9">
        <w:t xml:space="preserve">činily </w:t>
      </w:r>
      <w:r w:rsidR="00AB0500" w:rsidRPr="00143110">
        <w:t xml:space="preserve">celkem </w:t>
      </w:r>
      <w:r w:rsidR="00342D89" w:rsidRPr="00143110">
        <w:t xml:space="preserve">106,68 </w:t>
      </w:r>
      <w:r w:rsidR="00AB0500" w:rsidRPr="00143110">
        <w:t>mil. Kč.</w:t>
      </w:r>
    </w:p>
    <w:p w:rsidR="00141803" w:rsidRPr="00143110" w:rsidRDefault="00141803" w:rsidP="004401C1">
      <w:pPr>
        <w:pStyle w:val="normlnmezera"/>
        <w:spacing w:before="0"/>
      </w:pPr>
    </w:p>
    <w:p w:rsidR="00D66BCF" w:rsidRDefault="00D66BCF" w:rsidP="004401C1">
      <w:pPr>
        <w:pStyle w:val="normlnmezera"/>
        <w:spacing w:before="0"/>
      </w:pPr>
      <w:r w:rsidRPr="00143110">
        <w:rPr>
          <w:rFonts w:cs="Arial"/>
          <w:szCs w:val="22"/>
        </w:rPr>
        <w:t>Celkové inkaso</w:t>
      </w:r>
      <w:r w:rsidR="00580C69" w:rsidRPr="00143110">
        <w:rPr>
          <w:rFonts w:cs="Arial"/>
          <w:szCs w:val="22"/>
        </w:rPr>
        <w:t xml:space="preserve"> časových poplatků za roky 2009–</w:t>
      </w:r>
      <w:r w:rsidRPr="00143110">
        <w:rPr>
          <w:rFonts w:cs="Arial"/>
          <w:szCs w:val="22"/>
        </w:rPr>
        <w:t>2011 činilo 9 171,16 mil. Kč a čistý výnos 8 489,51 mil. Kč</w:t>
      </w:r>
      <w:r w:rsidR="00537FE9">
        <w:rPr>
          <w:rFonts w:cs="Arial"/>
          <w:szCs w:val="22"/>
        </w:rPr>
        <w:t>;</w:t>
      </w:r>
      <w:r w:rsidRPr="00143110">
        <w:rPr>
          <w:rFonts w:cs="Arial"/>
          <w:szCs w:val="22"/>
        </w:rPr>
        <w:t xml:space="preserve"> průměrná ce</w:t>
      </w:r>
      <w:r w:rsidRPr="00143110">
        <w:t xml:space="preserve">lková nákladovost </w:t>
      </w:r>
      <w:r w:rsidR="00AB0500" w:rsidRPr="00143110">
        <w:t xml:space="preserve">v jednotlivých letech </w:t>
      </w:r>
      <w:r w:rsidRPr="00143110">
        <w:t>činila 7,4 %.</w:t>
      </w:r>
      <w:r w:rsidRPr="00143110">
        <w:rPr>
          <w:color w:val="FF0000"/>
        </w:rPr>
        <w:t xml:space="preserve"> </w:t>
      </w:r>
      <w:r w:rsidRPr="00143110">
        <w:t xml:space="preserve">Efektivita výroby a distribuce prodaných ČK se průměrně pohybovala na </w:t>
      </w:r>
      <w:r w:rsidR="00537FE9">
        <w:t xml:space="preserve">hodnotě </w:t>
      </w:r>
      <w:r w:rsidRPr="00143110">
        <w:t>13,45</w:t>
      </w:r>
      <w:r w:rsidR="00537FE9">
        <w:t> </w:t>
      </w:r>
      <w:r w:rsidRPr="00143110">
        <w:t>Kč</w:t>
      </w:r>
      <w:r w:rsidRPr="00143110">
        <w:rPr>
          <w:rStyle w:val="Znakypropoznmkupodarou"/>
        </w:rPr>
        <w:footnoteReference w:id="47"/>
      </w:r>
      <w:r w:rsidRPr="00143110">
        <w:t xml:space="preserve">. V kontrolovaném období efektivita časového zpoplatnění rostla v důsledku </w:t>
      </w:r>
      <w:r w:rsidR="00537FE9">
        <w:t>zvyšující se</w:t>
      </w:r>
      <w:r w:rsidRPr="00143110">
        <w:t xml:space="preserve"> ceny ČK a relativně konstantních nákladů.</w:t>
      </w:r>
    </w:p>
    <w:p w:rsidR="00141803" w:rsidRPr="00143110" w:rsidRDefault="00141803" w:rsidP="004401C1">
      <w:pPr>
        <w:pStyle w:val="normlnmezera"/>
        <w:spacing w:before="0"/>
      </w:pPr>
    </w:p>
    <w:p w:rsidR="00286C6E" w:rsidRDefault="00D66BCF" w:rsidP="004401C1">
      <w:pPr>
        <w:pStyle w:val="normlnmezera"/>
        <w:spacing w:before="0"/>
        <w:rPr>
          <w:bCs/>
        </w:rPr>
      </w:pPr>
      <w:r w:rsidRPr="00143110">
        <w:t xml:space="preserve">SFDI </w:t>
      </w:r>
      <w:r w:rsidR="00AB0500" w:rsidRPr="00143110">
        <w:t xml:space="preserve">musel </w:t>
      </w:r>
      <w:r w:rsidR="007A1976">
        <w:t>k </w:t>
      </w:r>
      <w:r w:rsidR="003A3D05" w:rsidRPr="00143110">
        <w:t xml:space="preserve">31. </w:t>
      </w:r>
      <w:r w:rsidR="00580C69" w:rsidRPr="00143110">
        <w:t>květnu</w:t>
      </w:r>
      <w:r w:rsidR="00AB0500" w:rsidRPr="00143110">
        <w:t xml:space="preserve"> roku předcházejícího emisi ČK </w:t>
      </w:r>
      <w:r w:rsidRPr="00143110">
        <w:t xml:space="preserve">závazně stanovit objem a strukturu ČK. </w:t>
      </w:r>
      <w:r w:rsidR="00AB0500" w:rsidRPr="00143110">
        <w:t xml:space="preserve">Objem výroby </w:t>
      </w:r>
      <w:r w:rsidRPr="00143110">
        <w:t xml:space="preserve">ČK nelze </w:t>
      </w:r>
      <w:r w:rsidR="00AB0500" w:rsidRPr="00143110">
        <w:t xml:space="preserve">stanovit </w:t>
      </w:r>
      <w:r w:rsidRPr="00143110">
        <w:t xml:space="preserve">tak, aby nedocházelo </w:t>
      </w:r>
      <w:r w:rsidR="007A1976">
        <w:t>k </w:t>
      </w:r>
      <w:r w:rsidRPr="00143110">
        <w:t xml:space="preserve">žádné likvidaci vyrobených ČK. NKÚ však </w:t>
      </w:r>
      <w:r w:rsidR="00C10165" w:rsidRPr="00143110">
        <w:t>zjistil</w:t>
      </w:r>
      <w:r w:rsidRPr="00143110">
        <w:t xml:space="preserve">, že po skončení platnosti </w:t>
      </w:r>
      <w:r w:rsidR="003A3D05" w:rsidRPr="00143110">
        <w:t xml:space="preserve">neprodaných </w:t>
      </w:r>
      <w:r w:rsidRPr="00143110">
        <w:t>ČK bylo likvidováno průměrně</w:t>
      </w:r>
      <w:r w:rsidR="00537FE9">
        <w:t xml:space="preserve"> </w:t>
      </w:r>
      <w:r w:rsidRPr="00143110">
        <w:t>14</w:t>
      </w:r>
      <w:r w:rsidR="00537FE9">
        <w:t> </w:t>
      </w:r>
      <w:r w:rsidRPr="00143110">
        <w:t>%</w:t>
      </w:r>
      <w:r w:rsidR="00537FE9">
        <w:t> </w:t>
      </w:r>
      <w:r w:rsidRPr="00143110">
        <w:t>ČK ročně</w:t>
      </w:r>
      <w:r w:rsidR="00537FE9">
        <w:t xml:space="preserve"> a že</w:t>
      </w:r>
      <w:r w:rsidRPr="00143110">
        <w:t xml:space="preserve"> na </w:t>
      </w:r>
      <w:r w:rsidR="003A3D05" w:rsidRPr="00143110">
        <w:t>jejich výrobu</w:t>
      </w:r>
      <w:r w:rsidRPr="00143110">
        <w:t xml:space="preserve"> bylo vynaloženo cca 5 mil. Kč. Kontrolou NKÚ bylo zjištěno, že SFDI nenastavil systém objednávání a doobjednávání ČK tak, aby došlo k vý</w:t>
      </w:r>
      <w:r w:rsidR="00537FE9">
        <w:t>raznému</w:t>
      </w:r>
      <w:r w:rsidRPr="00143110">
        <w:t xml:space="preserve"> snížení počtu likvidovaných ČK. Přestože </w:t>
      </w:r>
      <w:r w:rsidR="007A1976">
        <w:t>v </w:t>
      </w:r>
      <w:r w:rsidRPr="00143110">
        <w:t xml:space="preserve">zápisech likvidační komise </w:t>
      </w:r>
      <w:r w:rsidR="00537FE9" w:rsidRPr="00143110">
        <w:t xml:space="preserve">byla </w:t>
      </w:r>
      <w:r w:rsidRPr="00143110">
        <w:t xml:space="preserve">každoročně uvedena celková výše nákladů na výrobu zlikvidovaných ČK, </w:t>
      </w:r>
      <w:r w:rsidRPr="00143110">
        <w:rPr>
          <w:bCs/>
        </w:rPr>
        <w:t>SFDI nepřijal</w:t>
      </w:r>
      <w:r w:rsidR="00277DCC" w:rsidRPr="00143110">
        <w:rPr>
          <w:bCs/>
        </w:rPr>
        <w:t xml:space="preserve"> </w:t>
      </w:r>
      <w:r w:rsidR="003A3D05" w:rsidRPr="00143110">
        <w:rPr>
          <w:bCs/>
        </w:rPr>
        <w:t>účinné opatření k</w:t>
      </w:r>
      <w:r w:rsidR="00803987" w:rsidRPr="00143110">
        <w:rPr>
          <w:bCs/>
        </w:rPr>
        <w:t> </w:t>
      </w:r>
      <w:r w:rsidR="003A3D05" w:rsidRPr="00143110">
        <w:rPr>
          <w:bCs/>
        </w:rPr>
        <w:t xml:space="preserve">nápravě </w:t>
      </w:r>
      <w:r w:rsidR="00537FE9">
        <w:rPr>
          <w:bCs/>
        </w:rPr>
        <w:t xml:space="preserve">a </w:t>
      </w:r>
      <w:r w:rsidR="00D83294" w:rsidRPr="00143110">
        <w:rPr>
          <w:bCs/>
        </w:rPr>
        <w:t>ne</w:t>
      </w:r>
      <w:r w:rsidR="003A3D05" w:rsidRPr="00143110">
        <w:rPr>
          <w:bCs/>
        </w:rPr>
        <w:t>nastav</w:t>
      </w:r>
      <w:r w:rsidR="00277DCC" w:rsidRPr="00143110">
        <w:rPr>
          <w:bCs/>
        </w:rPr>
        <w:t>il</w:t>
      </w:r>
      <w:r w:rsidR="003A3D05" w:rsidRPr="00143110">
        <w:rPr>
          <w:bCs/>
        </w:rPr>
        <w:t xml:space="preserve"> </w:t>
      </w:r>
      <w:r w:rsidR="00537FE9" w:rsidRPr="00143110">
        <w:rPr>
          <w:bCs/>
        </w:rPr>
        <w:t xml:space="preserve">ani </w:t>
      </w:r>
      <w:r w:rsidR="003A3D05" w:rsidRPr="00143110">
        <w:rPr>
          <w:bCs/>
        </w:rPr>
        <w:t>indikátor a parametr pro hodnocení přiměřenosti nadvýroby.</w:t>
      </w:r>
    </w:p>
    <w:p w:rsidR="00141803" w:rsidRDefault="00141803" w:rsidP="004401C1">
      <w:pPr>
        <w:pStyle w:val="normlnmezera"/>
        <w:spacing w:before="0"/>
        <w:rPr>
          <w:bCs/>
        </w:rPr>
      </w:pPr>
    </w:p>
    <w:p w:rsidR="00141803" w:rsidRDefault="00141803" w:rsidP="004401C1">
      <w:pPr>
        <w:pStyle w:val="normlnmezera"/>
        <w:spacing w:before="0"/>
        <w:rPr>
          <w:bCs/>
        </w:rPr>
      </w:pPr>
    </w:p>
    <w:p w:rsidR="00286C6E" w:rsidRDefault="00286C6E" w:rsidP="004401C1">
      <w:pPr>
        <w:pStyle w:val="Nadpis1"/>
        <w:jc w:val="center"/>
        <w:rPr>
          <w:rFonts w:ascii="Arial" w:hAnsi="Arial" w:cs="Arial"/>
          <w:u w:val="none"/>
        </w:rPr>
      </w:pPr>
      <w:r>
        <w:rPr>
          <w:rFonts w:ascii="Arial" w:hAnsi="Arial" w:cs="Arial"/>
          <w:u w:val="none"/>
        </w:rPr>
        <w:t>III. Shrnutí a vyhodnocení</w:t>
      </w:r>
    </w:p>
    <w:p w:rsidR="0076236F" w:rsidRPr="004401C1" w:rsidRDefault="0076236F" w:rsidP="0076236F">
      <w:pPr>
        <w:rPr>
          <w:rFonts w:ascii="Arial" w:hAnsi="Arial" w:cs="Arial"/>
          <w:sz w:val="22"/>
          <w:szCs w:val="22"/>
        </w:rPr>
      </w:pPr>
    </w:p>
    <w:p w:rsidR="00F278FC" w:rsidRDefault="00F278FC" w:rsidP="004401C1">
      <w:pPr>
        <w:jc w:val="both"/>
        <w:rPr>
          <w:rFonts w:ascii="Arial" w:hAnsi="Arial" w:cs="Arial"/>
          <w:b/>
          <w:sz w:val="22"/>
          <w:szCs w:val="22"/>
        </w:rPr>
      </w:pPr>
      <w:r>
        <w:rPr>
          <w:rFonts w:ascii="Arial" w:hAnsi="Arial" w:cs="Arial"/>
          <w:b/>
          <w:sz w:val="22"/>
          <w:szCs w:val="22"/>
        </w:rPr>
        <w:t xml:space="preserve">Kontrolní akce navázala na </w:t>
      </w:r>
      <w:r w:rsidR="00802B1D">
        <w:rPr>
          <w:rFonts w:ascii="Arial" w:hAnsi="Arial" w:cs="Arial"/>
          <w:b/>
          <w:sz w:val="22"/>
          <w:szCs w:val="22"/>
        </w:rPr>
        <w:t xml:space="preserve">akci </w:t>
      </w:r>
      <w:r>
        <w:rPr>
          <w:rFonts w:ascii="Arial" w:hAnsi="Arial" w:cs="Arial"/>
          <w:b/>
          <w:sz w:val="22"/>
          <w:szCs w:val="22"/>
        </w:rPr>
        <w:t>č. 11/13</w:t>
      </w:r>
      <w:r w:rsidR="00802B1D">
        <w:rPr>
          <w:rFonts w:ascii="Arial" w:hAnsi="Arial" w:cs="Arial"/>
          <w:b/>
          <w:sz w:val="22"/>
          <w:szCs w:val="22"/>
        </w:rPr>
        <w:t>,</w:t>
      </w:r>
      <w:r>
        <w:rPr>
          <w:rFonts w:ascii="Arial" w:hAnsi="Arial" w:cs="Arial"/>
          <w:b/>
          <w:sz w:val="22"/>
          <w:szCs w:val="22"/>
        </w:rPr>
        <w:t xml:space="preserve"> jejímž předmětem byla kontrola p</w:t>
      </w:r>
      <w:r w:rsidRPr="00F278FC">
        <w:rPr>
          <w:rFonts w:ascii="Arial" w:hAnsi="Arial" w:cs="Arial"/>
          <w:b/>
          <w:sz w:val="22"/>
          <w:szCs w:val="22"/>
        </w:rPr>
        <w:t>eněžní</w:t>
      </w:r>
      <w:r>
        <w:rPr>
          <w:rFonts w:ascii="Arial" w:hAnsi="Arial" w:cs="Arial"/>
          <w:b/>
          <w:sz w:val="22"/>
          <w:szCs w:val="22"/>
        </w:rPr>
        <w:t>ch</w:t>
      </w:r>
      <w:r w:rsidRPr="00F278FC">
        <w:rPr>
          <w:rFonts w:ascii="Arial" w:hAnsi="Arial" w:cs="Arial"/>
          <w:b/>
          <w:sz w:val="22"/>
          <w:szCs w:val="22"/>
        </w:rPr>
        <w:t xml:space="preserve"> prostředk</w:t>
      </w:r>
      <w:r>
        <w:rPr>
          <w:rFonts w:ascii="Arial" w:hAnsi="Arial" w:cs="Arial"/>
          <w:b/>
          <w:sz w:val="22"/>
          <w:szCs w:val="22"/>
        </w:rPr>
        <w:t>ů</w:t>
      </w:r>
      <w:r w:rsidRPr="00F278FC">
        <w:rPr>
          <w:rFonts w:ascii="Arial" w:hAnsi="Arial" w:cs="Arial"/>
          <w:b/>
          <w:sz w:val="22"/>
          <w:szCs w:val="22"/>
        </w:rPr>
        <w:t xml:space="preserve"> vynaložen</w:t>
      </w:r>
      <w:r>
        <w:rPr>
          <w:rFonts w:ascii="Arial" w:hAnsi="Arial" w:cs="Arial"/>
          <w:b/>
          <w:sz w:val="22"/>
          <w:szCs w:val="22"/>
        </w:rPr>
        <w:t>ých</w:t>
      </w:r>
      <w:r w:rsidRPr="00F278FC">
        <w:rPr>
          <w:rFonts w:ascii="Arial" w:hAnsi="Arial" w:cs="Arial"/>
          <w:b/>
          <w:sz w:val="22"/>
          <w:szCs w:val="22"/>
        </w:rPr>
        <w:t xml:space="preserve"> na pořízení a provoz systému výběru mýtného za užívání silniční infrastruktury České republiky</w:t>
      </w:r>
      <w:r>
        <w:rPr>
          <w:rFonts w:ascii="Arial" w:hAnsi="Arial" w:cs="Arial"/>
          <w:b/>
          <w:sz w:val="22"/>
          <w:szCs w:val="22"/>
        </w:rPr>
        <w:t xml:space="preserve">. </w:t>
      </w:r>
    </w:p>
    <w:p w:rsidR="00141803" w:rsidRDefault="00141803" w:rsidP="004401C1">
      <w:pPr>
        <w:jc w:val="both"/>
        <w:rPr>
          <w:rFonts w:ascii="Arial" w:hAnsi="Arial" w:cs="Arial"/>
          <w:b/>
          <w:sz w:val="22"/>
          <w:szCs w:val="22"/>
        </w:rPr>
      </w:pPr>
    </w:p>
    <w:p w:rsidR="00286C6E" w:rsidRDefault="00286C6E" w:rsidP="004401C1">
      <w:pPr>
        <w:jc w:val="both"/>
        <w:rPr>
          <w:rFonts w:ascii="Arial" w:hAnsi="Arial" w:cs="Arial"/>
          <w:b/>
          <w:sz w:val="22"/>
          <w:szCs w:val="22"/>
        </w:rPr>
      </w:pPr>
      <w:r>
        <w:rPr>
          <w:rFonts w:ascii="Arial" w:hAnsi="Arial" w:cs="Arial"/>
          <w:b/>
          <w:sz w:val="22"/>
          <w:szCs w:val="22"/>
        </w:rPr>
        <w:t xml:space="preserve">Zpoplatnění užívání vybraných pozemních komunikací bylo zavedeno </w:t>
      </w:r>
      <w:r w:rsidR="00310188">
        <w:rPr>
          <w:rFonts w:ascii="Arial" w:hAnsi="Arial" w:cs="Arial"/>
          <w:b/>
          <w:sz w:val="22"/>
          <w:szCs w:val="22"/>
        </w:rPr>
        <w:t>mimo jiné z </w:t>
      </w:r>
      <w:r w:rsidR="00F278FC">
        <w:rPr>
          <w:rFonts w:ascii="Arial" w:hAnsi="Arial" w:cs="Arial"/>
          <w:b/>
          <w:sz w:val="22"/>
          <w:szCs w:val="22"/>
        </w:rPr>
        <w:t>důvodu</w:t>
      </w:r>
      <w:r>
        <w:rPr>
          <w:rFonts w:ascii="Arial" w:hAnsi="Arial" w:cs="Arial"/>
          <w:b/>
          <w:sz w:val="22"/>
          <w:szCs w:val="22"/>
        </w:rPr>
        <w:t xml:space="preserve"> zajištění nových finančních </w:t>
      </w:r>
      <w:r w:rsidR="00CB55EA">
        <w:rPr>
          <w:rFonts w:ascii="Arial" w:hAnsi="Arial" w:cs="Arial"/>
          <w:b/>
          <w:sz w:val="22"/>
          <w:szCs w:val="22"/>
        </w:rPr>
        <w:t xml:space="preserve">zdrojů </w:t>
      </w:r>
      <w:r>
        <w:rPr>
          <w:rFonts w:ascii="Arial" w:hAnsi="Arial" w:cs="Arial"/>
          <w:b/>
          <w:sz w:val="22"/>
          <w:szCs w:val="22"/>
        </w:rPr>
        <w:t xml:space="preserve">na výstavbu a údržbu pozemních komunikací. </w:t>
      </w:r>
    </w:p>
    <w:p w:rsidR="00141803" w:rsidRDefault="00141803" w:rsidP="004401C1">
      <w:pPr>
        <w:jc w:val="both"/>
        <w:rPr>
          <w:rFonts w:ascii="Arial" w:hAnsi="Arial" w:cs="Arial"/>
          <w:b/>
          <w:sz w:val="22"/>
          <w:szCs w:val="22"/>
        </w:rPr>
      </w:pPr>
    </w:p>
    <w:p w:rsidR="00286C6E" w:rsidRDefault="00F278FC" w:rsidP="004401C1">
      <w:pPr>
        <w:jc w:val="both"/>
        <w:rPr>
          <w:rFonts w:ascii="Arial" w:hAnsi="Arial" w:cs="Arial"/>
          <w:b/>
          <w:sz w:val="22"/>
          <w:szCs w:val="22"/>
        </w:rPr>
      </w:pPr>
      <w:r>
        <w:rPr>
          <w:rFonts w:ascii="Arial" w:hAnsi="Arial" w:cs="Arial"/>
          <w:b/>
          <w:sz w:val="22"/>
          <w:szCs w:val="22"/>
        </w:rPr>
        <w:t>I</w:t>
      </w:r>
      <w:r w:rsidR="00286C6E">
        <w:rPr>
          <w:rFonts w:ascii="Arial" w:hAnsi="Arial" w:cs="Arial"/>
          <w:b/>
          <w:sz w:val="22"/>
          <w:szCs w:val="22"/>
        </w:rPr>
        <w:t>nkaso m</w:t>
      </w:r>
      <w:r w:rsidR="00310188">
        <w:rPr>
          <w:rFonts w:ascii="Arial" w:hAnsi="Arial" w:cs="Arial"/>
          <w:b/>
          <w:sz w:val="22"/>
          <w:szCs w:val="22"/>
        </w:rPr>
        <w:t>ýtného za pět let provozu (2007–</w:t>
      </w:r>
      <w:r w:rsidR="00286C6E">
        <w:rPr>
          <w:rFonts w:ascii="Arial" w:hAnsi="Arial" w:cs="Arial"/>
          <w:b/>
          <w:sz w:val="22"/>
          <w:szCs w:val="22"/>
        </w:rPr>
        <w:t xml:space="preserve">2011) dosáhlo 31 297,04 mil. Kč, </w:t>
      </w:r>
      <w:r>
        <w:rPr>
          <w:rFonts w:ascii="Arial" w:hAnsi="Arial" w:cs="Arial"/>
          <w:b/>
          <w:sz w:val="22"/>
          <w:szCs w:val="22"/>
        </w:rPr>
        <w:t>celkové náklady</w:t>
      </w:r>
      <w:r w:rsidR="00CB55EA">
        <w:rPr>
          <w:rStyle w:val="Znakapoznpodarou"/>
          <w:rFonts w:ascii="Arial" w:hAnsi="Arial" w:cs="Arial"/>
          <w:b/>
          <w:sz w:val="22"/>
          <w:szCs w:val="22"/>
        </w:rPr>
        <w:footnoteReference w:id="48"/>
      </w:r>
      <w:r>
        <w:rPr>
          <w:rFonts w:ascii="Arial" w:hAnsi="Arial" w:cs="Arial"/>
          <w:b/>
          <w:sz w:val="22"/>
          <w:szCs w:val="22"/>
        </w:rPr>
        <w:t xml:space="preserve"> </w:t>
      </w:r>
      <w:r w:rsidR="000A7AFB">
        <w:rPr>
          <w:rFonts w:ascii="Arial" w:hAnsi="Arial" w:cs="Arial"/>
          <w:b/>
          <w:sz w:val="22"/>
          <w:szCs w:val="22"/>
        </w:rPr>
        <w:t>činily 15 614,80 mil. Kč (</w:t>
      </w:r>
      <w:r w:rsidR="00743585">
        <w:rPr>
          <w:rFonts w:ascii="Arial" w:hAnsi="Arial" w:cs="Arial"/>
          <w:b/>
          <w:sz w:val="22"/>
          <w:szCs w:val="22"/>
        </w:rPr>
        <w:t>49,9 </w:t>
      </w:r>
      <w:r w:rsidR="00286C6E">
        <w:rPr>
          <w:rFonts w:ascii="Arial" w:hAnsi="Arial" w:cs="Arial"/>
          <w:b/>
          <w:sz w:val="22"/>
          <w:szCs w:val="22"/>
        </w:rPr>
        <w:t>%</w:t>
      </w:r>
      <w:r w:rsidR="000A7AFB">
        <w:rPr>
          <w:rFonts w:ascii="Arial" w:hAnsi="Arial" w:cs="Arial"/>
          <w:b/>
          <w:sz w:val="22"/>
          <w:szCs w:val="22"/>
        </w:rPr>
        <w:t>)</w:t>
      </w:r>
      <w:r w:rsidR="00286C6E">
        <w:rPr>
          <w:rFonts w:ascii="Arial" w:hAnsi="Arial" w:cs="Arial"/>
          <w:b/>
          <w:sz w:val="22"/>
          <w:szCs w:val="22"/>
        </w:rPr>
        <w:t xml:space="preserve">, tj. čistý výnos mýtného </w:t>
      </w:r>
      <w:r w:rsidR="00A65BD0">
        <w:rPr>
          <w:rFonts w:ascii="Arial" w:hAnsi="Arial" w:cs="Arial"/>
          <w:b/>
          <w:sz w:val="22"/>
          <w:szCs w:val="22"/>
        </w:rPr>
        <w:t xml:space="preserve">činil </w:t>
      </w:r>
      <w:r w:rsidR="00286C6E">
        <w:rPr>
          <w:rFonts w:ascii="Arial" w:hAnsi="Arial" w:cs="Arial"/>
          <w:b/>
          <w:sz w:val="22"/>
          <w:szCs w:val="22"/>
        </w:rPr>
        <w:t>15</w:t>
      </w:r>
      <w:r w:rsidR="001645AB">
        <w:rPr>
          <w:rFonts w:ascii="Arial" w:hAnsi="Arial" w:cs="Arial"/>
          <w:b/>
          <w:sz w:val="22"/>
          <w:szCs w:val="22"/>
        </w:rPr>
        <w:t> 682,24</w:t>
      </w:r>
      <w:r w:rsidR="00DF63FD">
        <w:rPr>
          <w:rFonts w:ascii="Arial" w:hAnsi="Arial" w:cs="Arial"/>
          <w:b/>
          <w:sz w:val="22"/>
          <w:szCs w:val="22"/>
        </w:rPr>
        <w:t> </w:t>
      </w:r>
      <w:r w:rsidR="00286C6E">
        <w:rPr>
          <w:rFonts w:ascii="Arial" w:hAnsi="Arial" w:cs="Arial"/>
          <w:b/>
          <w:sz w:val="22"/>
          <w:szCs w:val="22"/>
        </w:rPr>
        <w:t>mil.</w:t>
      </w:r>
      <w:r w:rsidR="00DF63FD">
        <w:rPr>
          <w:rFonts w:ascii="Arial" w:hAnsi="Arial" w:cs="Arial"/>
          <w:b/>
          <w:sz w:val="22"/>
          <w:szCs w:val="22"/>
        </w:rPr>
        <w:t> </w:t>
      </w:r>
      <w:r w:rsidR="00286C6E">
        <w:rPr>
          <w:rFonts w:ascii="Arial" w:hAnsi="Arial" w:cs="Arial"/>
          <w:b/>
          <w:sz w:val="22"/>
          <w:szCs w:val="22"/>
        </w:rPr>
        <w:t>Kč</w:t>
      </w:r>
      <w:r w:rsidR="00F7113A">
        <w:rPr>
          <w:rFonts w:ascii="Arial" w:hAnsi="Arial" w:cs="Arial"/>
          <w:b/>
          <w:sz w:val="22"/>
          <w:szCs w:val="22"/>
        </w:rPr>
        <w:t>.</w:t>
      </w:r>
      <w:r w:rsidR="0082575F">
        <w:rPr>
          <w:rFonts w:ascii="Arial" w:hAnsi="Arial" w:cs="Arial"/>
          <w:b/>
          <w:sz w:val="22"/>
          <w:szCs w:val="22"/>
        </w:rPr>
        <w:t xml:space="preserve"> P</w:t>
      </w:r>
      <w:r w:rsidR="00DF63FD">
        <w:rPr>
          <w:rFonts w:ascii="Arial" w:hAnsi="Arial" w:cs="Arial"/>
          <w:b/>
          <w:sz w:val="22"/>
          <w:szCs w:val="22"/>
        </w:rPr>
        <w:t xml:space="preserve">růměrné </w:t>
      </w:r>
      <w:r w:rsidR="00E3006C">
        <w:rPr>
          <w:rFonts w:ascii="Arial" w:hAnsi="Arial" w:cs="Arial"/>
          <w:b/>
          <w:sz w:val="22"/>
          <w:szCs w:val="22"/>
        </w:rPr>
        <w:t xml:space="preserve">roční </w:t>
      </w:r>
      <w:r w:rsidR="00DF63FD">
        <w:rPr>
          <w:rFonts w:ascii="Arial" w:hAnsi="Arial" w:cs="Arial"/>
          <w:b/>
          <w:sz w:val="22"/>
          <w:szCs w:val="22"/>
        </w:rPr>
        <w:t>inkaso činilo 6 259,41 mil. Kč a průměrné náklady 3 136,45 mil. Kč</w:t>
      </w:r>
      <w:r w:rsidR="00CB55EA">
        <w:rPr>
          <w:rFonts w:ascii="Arial" w:hAnsi="Arial" w:cs="Arial"/>
          <w:b/>
          <w:sz w:val="22"/>
          <w:szCs w:val="22"/>
        </w:rPr>
        <w:t>.</w:t>
      </w:r>
      <w:r w:rsidR="00DF63FD">
        <w:rPr>
          <w:rStyle w:val="Znakapoznpodarou"/>
          <w:rFonts w:ascii="Arial" w:hAnsi="Arial" w:cs="Arial"/>
          <w:b/>
          <w:sz w:val="22"/>
          <w:szCs w:val="22"/>
        </w:rPr>
        <w:footnoteReference w:id="49"/>
      </w:r>
    </w:p>
    <w:p w:rsidR="00141803" w:rsidRDefault="00141803" w:rsidP="004401C1">
      <w:pPr>
        <w:jc w:val="both"/>
        <w:rPr>
          <w:rFonts w:ascii="Arial" w:hAnsi="Arial" w:cs="Arial"/>
          <w:b/>
          <w:sz w:val="22"/>
          <w:szCs w:val="22"/>
        </w:rPr>
      </w:pPr>
    </w:p>
    <w:p w:rsidR="00665AE5" w:rsidRDefault="000A7AFB" w:rsidP="004401C1">
      <w:pPr>
        <w:jc w:val="both"/>
        <w:rPr>
          <w:rFonts w:ascii="Arial" w:hAnsi="Arial" w:cs="Arial"/>
          <w:b/>
          <w:sz w:val="22"/>
          <w:szCs w:val="22"/>
        </w:rPr>
      </w:pPr>
      <w:r>
        <w:rPr>
          <w:rFonts w:ascii="Arial" w:hAnsi="Arial" w:cs="Arial"/>
          <w:b/>
          <w:sz w:val="22"/>
          <w:szCs w:val="22"/>
        </w:rPr>
        <w:t>Inkaso</w:t>
      </w:r>
      <w:r w:rsidR="00D40A65">
        <w:rPr>
          <w:rFonts w:ascii="Arial" w:hAnsi="Arial" w:cs="Arial"/>
          <w:b/>
          <w:sz w:val="22"/>
          <w:szCs w:val="22"/>
        </w:rPr>
        <w:t xml:space="preserve"> časových poplatků za roky 2009–</w:t>
      </w:r>
      <w:r>
        <w:rPr>
          <w:rFonts w:ascii="Arial" w:hAnsi="Arial" w:cs="Arial"/>
          <w:b/>
          <w:sz w:val="22"/>
          <w:szCs w:val="22"/>
        </w:rPr>
        <w:t xml:space="preserve">2011 činilo 9 171,16 mil. Kč, celkové náklady činily 681,64 mil. Kč (7,4 %), </w:t>
      </w:r>
      <w:r w:rsidR="00506C1E">
        <w:rPr>
          <w:rFonts w:ascii="Arial" w:hAnsi="Arial" w:cs="Arial"/>
          <w:b/>
          <w:sz w:val="22"/>
          <w:szCs w:val="22"/>
        </w:rPr>
        <w:t>t</w:t>
      </w:r>
      <w:r>
        <w:rPr>
          <w:rFonts w:ascii="Arial" w:hAnsi="Arial" w:cs="Arial"/>
          <w:b/>
          <w:sz w:val="22"/>
          <w:szCs w:val="22"/>
        </w:rPr>
        <w:t xml:space="preserve">j. čistý výnos </w:t>
      </w:r>
      <w:r w:rsidR="00506C1E">
        <w:rPr>
          <w:rFonts w:ascii="Arial" w:hAnsi="Arial" w:cs="Arial"/>
          <w:b/>
          <w:sz w:val="22"/>
          <w:szCs w:val="22"/>
        </w:rPr>
        <w:t xml:space="preserve">z časového zpoplatnění </w:t>
      </w:r>
      <w:r w:rsidR="00CB55EA">
        <w:rPr>
          <w:rFonts w:ascii="Arial" w:hAnsi="Arial" w:cs="Arial"/>
          <w:b/>
          <w:sz w:val="22"/>
          <w:szCs w:val="22"/>
        </w:rPr>
        <w:t xml:space="preserve">dosáhl výše </w:t>
      </w:r>
      <w:r>
        <w:rPr>
          <w:rFonts w:ascii="Arial" w:hAnsi="Arial" w:cs="Arial"/>
          <w:b/>
          <w:sz w:val="22"/>
          <w:szCs w:val="22"/>
        </w:rPr>
        <w:t>8</w:t>
      </w:r>
      <w:r w:rsidR="00CB55EA">
        <w:rPr>
          <w:rFonts w:ascii="Arial" w:hAnsi="Arial" w:cs="Arial"/>
          <w:b/>
          <w:sz w:val="22"/>
          <w:szCs w:val="22"/>
        </w:rPr>
        <w:t> </w:t>
      </w:r>
      <w:r>
        <w:rPr>
          <w:rFonts w:ascii="Arial" w:hAnsi="Arial" w:cs="Arial"/>
          <w:b/>
          <w:sz w:val="22"/>
          <w:szCs w:val="22"/>
        </w:rPr>
        <w:t>489,51 mil. Kč</w:t>
      </w:r>
      <w:r w:rsidR="0082575F">
        <w:rPr>
          <w:rFonts w:ascii="Arial" w:hAnsi="Arial" w:cs="Arial"/>
          <w:b/>
          <w:sz w:val="22"/>
          <w:szCs w:val="22"/>
        </w:rPr>
        <w:t>. P</w:t>
      </w:r>
      <w:r w:rsidR="00234132">
        <w:rPr>
          <w:rFonts w:ascii="Arial" w:hAnsi="Arial" w:cs="Arial"/>
          <w:b/>
          <w:sz w:val="22"/>
          <w:szCs w:val="22"/>
        </w:rPr>
        <w:t>růměrné inkaso za rok činilo 3 057,05 mil. Kč a průměrné náklady 227,21 mil. Kč</w:t>
      </w:r>
      <w:r>
        <w:rPr>
          <w:rFonts w:ascii="Arial" w:hAnsi="Arial" w:cs="Arial"/>
          <w:b/>
          <w:sz w:val="22"/>
          <w:szCs w:val="22"/>
        </w:rPr>
        <w:t>.</w:t>
      </w:r>
    </w:p>
    <w:p w:rsidR="00141803" w:rsidRDefault="00141803" w:rsidP="004401C1">
      <w:pPr>
        <w:jc w:val="both"/>
        <w:rPr>
          <w:rFonts w:ascii="Arial" w:hAnsi="Arial" w:cs="Arial"/>
          <w:b/>
          <w:sz w:val="22"/>
          <w:szCs w:val="22"/>
        </w:rPr>
      </w:pPr>
    </w:p>
    <w:p w:rsidR="002B60A7" w:rsidRDefault="002B60A7" w:rsidP="004401C1">
      <w:pPr>
        <w:jc w:val="both"/>
        <w:rPr>
          <w:rFonts w:ascii="Arial" w:hAnsi="Arial" w:cs="Arial"/>
          <w:b/>
          <w:sz w:val="22"/>
          <w:szCs w:val="22"/>
        </w:rPr>
      </w:pPr>
      <w:r w:rsidRPr="003140CB">
        <w:rPr>
          <w:rFonts w:ascii="Arial" w:hAnsi="Arial" w:cs="Arial"/>
          <w:b/>
          <w:sz w:val="22"/>
          <w:szCs w:val="22"/>
        </w:rPr>
        <w:lastRenderedPageBreak/>
        <w:t>Cíl SVZ získat nové finanční prostředky na rozvoj pozemních komunikací byl dosažen, avšak při vysokých nákladech a významném zvýšení ceny za užívání zpoplatněných komunikací.</w:t>
      </w:r>
      <w:r>
        <w:rPr>
          <w:rStyle w:val="Znakapoznpodarou"/>
          <w:rFonts w:ascii="Arial" w:hAnsi="Arial" w:cs="Arial"/>
          <w:b/>
          <w:sz w:val="22"/>
          <w:szCs w:val="22"/>
        </w:rPr>
        <w:footnoteReference w:id="50"/>
      </w:r>
      <w:r>
        <w:rPr>
          <w:rFonts w:ascii="Arial" w:hAnsi="Arial" w:cs="Arial"/>
          <w:b/>
          <w:sz w:val="22"/>
          <w:szCs w:val="22"/>
        </w:rPr>
        <w:t xml:space="preserve"> </w:t>
      </w:r>
    </w:p>
    <w:p w:rsidR="00141803" w:rsidRDefault="00141803" w:rsidP="004401C1">
      <w:pPr>
        <w:jc w:val="both"/>
        <w:rPr>
          <w:rFonts w:ascii="Arial" w:hAnsi="Arial" w:cs="Arial"/>
          <w:b/>
          <w:sz w:val="22"/>
          <w:szCs w:val="22"/>
        </w:rPr>
      </w:pPr>
    </w:p>
    <w:p w:rsidR="00957EED" w:rsidRDefault="002B60A7" w:rsidP="004401C1">
      <w:pPr>
        <w:jc w:val="both"/>
        <w:rPr>
          <w:rFonts w:ascii="Arial" w:hAnsi="Arial" w:cs="Arial"/>
          <w:b/>
          <w:sz w:val="22"/>
          <w:szCs w:val="22"/>
        </w:rPr>
      </w:pPr>
      <w:r>
        <w:rPr>
          <w:rFonts w:ascii="Arial" w:hAnsi="Arial" w:cs="Arial"/>
          <w:b/>
          <w:sz w:val="22"/>
          <w:szCs w:val="22"/>
        </w:rPr>
        <w:t>V důsledku d</w:t>
      </w:r>
      <w:r w:rsidR="00286C6E">
        <w:rPr>
          <w:rFonts w:ascii="Arial" w:hAnsi="Arial" w:cs="Arial"/>
          <w:b/>
          <w:sz w:val="22"/>
          <w:szCs w:val="22"/>
        </w:rPr>
        <w:t>ohod</w:t>
      </w:r>
      <w:r>
        <w:rPr>
          <w:rFonts w:ascii="Arial" w:hAnsi="Arial" w:cs="Arial"/>
          <w:b/>
          <w:sz w:val="22"/>
          <w:szCs w:val="22"/>
        </w:rPr>
        <w:t>y</w:t>
      </w:r>
      <w:r w:rsidR="00286C6E">
        <w:rPr>
          <w:rFonts w:ascii="Arial" w:hAnsi="Arial" w:cs="Arial"/>
          <w:b/>
          <w:sz w:val="22"/>
          <w:szCs w:val="22"/>
        </w:rPr>
        <w:t xml:space="preserve"> MD s </w:t>
      </w:r>
      <w:r w:rsidR="00CB55EA">
        <w:rPr>
          <w:rFonts w:ascii="Arial" w:hAnsi="Arial" w:cs="Arial"/>
          <w:b/>
          <w:sz w:val="22"/>
          <w:szCs w:val="22"/>
        </w:rPr>
        <w:t>Č</w:t>
      </w:r>
      <w:r w:rsidR="00286C6E">
        <w:rPr>
          <w:rFonts w:ascii="Arial" w:hAnsi="Arial" w:cs="Arial"/>
          <w:b/>
          <w:sz w:val="22"/>
          <w:szCs w:val="22"/>
        </w:rPr>
        <w:t xml:space="preserve">ESMAD </w:t>
      </w:r>
      <w:r w:rsidR="00E46DF7">
        <w:rPr>
          <w:rFonts w:ascii="Arial" w:hAnsi="Arial" w:cs="Arial"/>
          <w:b/>
          <w:sz w:val="22"/>
          <w:szCs w:val="22"/>
        </w:rPr>
        <w:t>upravující</w:t>
      </w:r>
      <w:r w:rsidR="00286C6E">
        <w:rPr>
          <w:rFonts w:ascii="Arial" w:hAnsi="Arial" w:cs="Arial"/>
          <w:b/>
          <w:sz w:val="22"/>
          <w:szCs w:val="22"/>
        </w:rPr>
        <w:t xml:space="preserve"> zvýšení sazeb </w:t>
      </w:r>
      <w:r w:rsidR="00CD613F">
        <w:rPr>
          <w:rFonts w:ascii="Arial" w:hAnsi="Arial" w:cs="Arial"/>
          <w:b/>
          <w:sz w:val="22"/>
          <w:szCs w:val="22"/>
        </w:rPr>
        <w:t xml:space="preserve">mýtného </w:t>
      </w:r>
      <w:r w:rsidR="00A52FD7">
        <w:rPr>
          <w:rFonts w:ascii="Arial" w:hAnsi="Arial" w:cs="Arial"/>
          <w:b/>
          <w:sz w:val="22"/>
          <w:szCs w:val="22"/>
        </w:rPr>
        <w:t xml:space="preserve">průměrně </w:t>
      </w:r>
      <w:r w:rsidR="00904190">
        <w:rPr>
          <w:rFonts w:ascii="Arial" w:hAnsi="Arial" w:cs="Arial"/>
          <w:b/>
          <w:sz w:val="22"/>
          <w:szCs w:val="22"/>
        </w:rPr>
        <w:t>o 25 </w:t>
      </w:r>
      <w:r w:rsidR="00D40A65">
        <w:rPr>
          <w:rFonts w:ascii="Arial" w:hAnsi="Arial" w:cs="Arial"/>
          <w:b/>
          <w:sz w:val="22"/>
          <w:szCs w:val="22"/>
        </w:rPr>
        <w:t xml:space="preserve">% v roce 2011 </w:t>
      </w:r>
      <w:r w:rsidR="00D40A65" w:rsidRPr="003140CB">
        <w:rPr>
          <w:rFonts w:ascii="Arial" w:hAnsi="Arial" w:cs="Arial"/>
          <w:b/>
          <w:sz w:val="22"/>
          <w:szCs w:val="22"/>
        </w:rPr>
        <w:t>a o </w:t>
      </w:r>
      <w:r w:rsidR="00A52FD7">
        <w:rPr>
          <w:rFonts w:ascii="Arial" w:hAnsi="Arial" w:cs="Arial"/>
          <w:b/>
          <w:sz w:val="22"/>
          <w:szCs w:val="22"/>
        </w:rPr>
        <w:t xml:space="preserve">dalších </w:t>
      </w:r>
      <w:r w:rsidR="00D40A65" w:rsidRPr="003140CB">
        <w:rPr>
          <w:rFonts w:ascii="Arial" w:hAnsi="Arial" w:cs="Arial"/>
          <w:b/>
          <w:sz w:val="22"/>
          <w:szCs w:val="22"/>
        </w:rPr>
        <w:t>25 </w:t>
      </w:r>
      <w:r w:rsidR="00A13544" w:rsidRPr="003140CB">
        <w:rPr>
          <w:rFonts w:ascii="Arial" w:hAnsi="Arial" w:cs="Arial"/>
          <w:b/>
          <w:sz w:val="22"/>
          <w:szCs w:val="22"/>
        </w:rPr>
        <w:t xml:space="preserve">% </w:t>
      </w:r>
      <w:r w:rsidR="00C55929" w:rsidRPr="003140CB">
        <w:rPr>
          <w:rFonts w:ascii="Arial" w:hAnsi="Arial" w:cs="Arial"/>
          <w:b/>
          <w:sz w:val="22"/>
          <w:szCs w:val="22"/>
        </w:rPr>
        <w:t xml:space="preserve">v roce </w:t>
      </w:r>
      <w:r w:rsidR="00A13544" w:rsidRPr="003140CB">
        <w:rPr>
          <w:rFonts w:ascii="Arial" w:hAnsi="Arial" w:cs="Arial"/>
          <w:b/>
          <w:sz w:val="22"/>
          <w:szCs w:val="22"/>
        </w:rPr>
        <w:t>2012</w:t>
      </w:r>
      <w:r w:rsidR="00286C6E" w:rsidRPr="003140CB">
        <w:rPr>
          <w:rFonts w:ascii="Arial" w:hAnsi="Arial" w:cs="Arial"/>
          <w:b/>
          <w:sz w:val="22"/>
          <w:szCs w:val="22"/>
        </w:rPr>
        <w:t xml:space="preserve"> byl</w:t>
      </w:r>
      <w:r>
        <w:rPr>
          <w:rFonts w:ascii="Arial" w:hAnsi="Arial" w:cs="Arial"/>
          <w:b/>
          <w:sz w:val="22"/>
          <w:szCs w:val="22"/>
        </w:rPr>
        <w:t>y zvýšeny</w:t>
      </w:r>
      <w:r w:rsidR="00286C6E" w:rsidRPr="003140CB">
        <w:rPr>
          <w:rFonts w:ascii="Arial" w:hAnsi="Arial" w:cs="Arial"/>
          <w:b/>
          <w:sz w:val="22"/>
          <w:szCs w:val="22"/>
        </w:rPr>
        <w:t xml:space="preserve"> náklady SVZ. </w:t>
      </w:r>
    </w:p>
    <w:p w:rsidR="00141803" w:rsidRDefault="00141803" w:rsidP="004401C1">
      <w:pPr>
        <w:jc w:val="both"/>
        <w:rPr>
          <w:rFonts w:ascii="Arial" w:hAnsi="Arial" w:cs="Arial"/>
          <w:b/>
          <w:sz w:val="22"/>
          <w:szCs w:val="22"/>
        </w:rPr>
      </w:pPr>
    </w:p>
    <w:p w:rsidR="00286C6E" w:rsidRDefault="00957EED" w:rsidP="004401C1">
      <w:pPr>
        <w:jc w:val="both"/>
        <w:rPr>
          <w:rFonts w:ascii="Arial" w:hAnsi="Arial" w:cs="Arial"/>
          <w:b/>
          <w:sz w:val="22"/>
          <w:szCs w:val="22"/>
        </w:rPr>
      </w:pPr>
      <w:r w:rsidRPr="00462651">
        <w:rPr>
          <w:rFonts w:ascii="Arial" w:hAnsi="Arial" w:cs="Arial"/>
          <w:b/>
          <w:sz w:val="22"/>
          <w:szCs w:val="22"/>
        </w:rPr>
        <w:t>V</w:t>
      </w:r>
      <w:r w:rsidR="00E46DF7" w:rsidRPr="00462651">
        <w:rPr>
          <w:rFonts w:ascii="Arial" w:hAnsi="Arial" w:cs="Arial"/>
          <w:b/>
          <w:sz w:val="22"/>
          <w:szCs w:val="22"/>
        </w:rPr>
        <w:t xml:space="preserve"> souvislosti se zavedením slev na mýtném </w:t>
      </w:r>
      <w:r w:rsidR="00A43C04" w:rsidRPr="00462651">
        <w:rPr>
          <w:rFonts w:ascii="Arial" w:hAnsi="Arial" w:cs="Arial"/>
          <w:b/>
          <w:sz w:val="22"/>
          <w:szCs w:val="22"/>
        </w:rPr>
        <w:t>NKÚ doporučuje</w:t>
      </w:r>
      <w:r w:rsidR="00CB55EA">
        <w:rPr>
          <w:rFonts w:ascii="Arial" w:hAnsi="Arial" w:cs="Arial"/>
          <w:b/>
          <w:sz w:val="22"/>
          <w:szCs w:val="22"/>
        </w:rPr>
        <w:t>, aby</w:t>
      </w:r>
      <w:r w:rsidRPr="00462651">
        <w:rPr>
          <w:rFonts w:ascii="Arial" w:hAnsi="Arial" w:cs="Arial"/>
          <w:b/>
          <w:sz w:val="22"/>
          <w:szCs w:val="22"/>
        </w:rPr>
        <w:t xml:space="preserve"> MD sledova</w:t>
      </w:r>
      <w:r w:rsidR="00CB55EA">
        <w:rPr>
          <w:rFonts w:ascii="Arial" w:hAnsi="Arial" w:cs="Arial"/>
          <w:b/>
          <w:sz w:val="22"/>
          <w:szCs w:val="22"/>
        </w:rPr>
        <w:t>lo</w:t>
      </w:r>
      <w:r w:rsidRPr="00462651">
        <w:rPr>
          <w:rFonts w:ascii="Arial" w:hAnsi="Arial" w:cs="Arial"/>
          <w:b/>
          <w:sz w:val="22"/>
          <w:szCs w:val="22"/>
        </w:rPr>
        <w:t xml:space="preserve"> </w:t>
      </w:r>
      <w:r>
        <w:rPr>
          <w:rFonts w:ascii="Arial" w:hAnsi="Arial" w:cs="Arial"/>
          <w:b/>
          <w:sz w:val="22"/>
          <w:szCs w:val="22"/>
        </w:rPr>
        <w:t xml:space="preserve">dodržování podmínek </w:t>
      </w:r>
      <w:r w:rsidR="00A52FD7">
        <w:rPr>
          <w:rFonts w:ascii="Arial" w:hAnsi="Arial" w:cs="Arial"/>
          <w:b/>
          <w:sz w:val="22"/>
          <w:szCs w:val="22"/>
        </w:rPr>
        <w:t>pro zavedení slev daných předpisy EU (zejména dosahov</w:t>
      </w:r>
      <w:r w:rsidR="00CB55EA">
        <w:rPr>
          <w:rFonts w:ascii="Arial" w:hAnsi="Arial" w:cs="Arial"/>
          <w:b/>
          <w:sz w:val="22"/>
          <w:szCs w:val="22"/>
        </w:rPr>
        <w:t>ání</w:t>
      </w:r>
      <w:r w:rsidR="00A52FD7">
        <w:rPr>
          <w:rFonts w:ascii="Arial" w:hAnsi="Arial" w:cs="Arial"/>
          <w:b/>
          <w:sz w:val="22"/>
          <w:szCs w:val="22"/>
        </w:rPr>
        <w:t xml:space="preserve"> skutečných administrativních úspor) a přijíma</w:t>
      </w:r>
      <w:r w:rsidR="00CB55EA">
        <w:rPr>
          <w:rFonts w:ascii="Arial" w:hAnsi="Arial" w:cs="Arial"/>
          <w:b/>
          <w:sz w:val="22"/>
          <w:szCs w:val="22"/>
        </w:rPr>
        <w:t>lo</w:t>
      </w:r>
      <w:r w:rsidR="00A52FD7">
        <w:rPr>
          <w:rFonts w:ascii="Arial" w:hAnsi="Arial" w:cs="Arial"/>
          <w:b/>
          <w:sz w:val="22"/>
          <w:szCs w:val="22"/>
        </w:rPr>
        <w:t xml:space="preserve"> adekvátní opatření.</w:t>
      </w:r>
    </w:p>
    <w:p w:rsidR="00141803" w:rsidRDefault="00141803" w:rsidP="004401C1">
      <w:pPr>
        <w:jc w:val="both"/>
        <w:rPr>
          <w:rFonts w:ascii="Arial" w:hAnsi="Arial" w:cs="Arial"/>
          <w:b/>
          <w:sz w:val="22"/>
          <w:szCs w:val="22"/>
        </w:rPr>
      </w:pPr>
    </w:p>
    <w:p w:rsidR="001F3806" w:rsidRPr="00E56944" w:rsidRDefault="001F3806" w:rsidP="004401C1">
      <w:pPr>
        <w:jc w:val="both"/>
        <w:rPr>
          <w:rFonts w:ascii="Arial" w:hAnsi="Arial" w:cs="Arial"/>
          <w:b/>
          <w:sz w:val="22"/>
          <w:szCs w:val="22"/>
        </w:rPr>
      </w:pPr>
      <w:r w:rsidRPr="00E56944">
        <w:rPr>
          <w:rFonts w:ascii="Arial" w:hAnsi="Arial" w:cs="Arial"/>
          <w:b/>
          <w:sz w:val="22"/>
          <w:szCs w:val="22"/>
        </w:rPr>
        <w:t xml:space="preserve">MD negativně ovlivnilo výsledky výkonového zpoplatnění těmito skutečnostmi: </w:t>
      </w:r>
    </w:p>
    <w:p w:rsidR="001F3806" w:rsidRDefault="001F3806" w:rsidP="004401C1">
      <w:pPr>
        <w:numPr>
          <w:ilvl w:val="0"/>
          <w:numId w:val="16"/>
        </w:numPr>
        <w:ind w:left="284" w:hanging="284"/>
        <w:jc w:val="both"/>
        <w:rPr>
          <w:rFonts w:ascii="Arial" w:hAnsi="Arial" w:cs="Arial"/>
          <w:b/>
          <w:sz w:val="22"/>
          <w:szCs w:val="22"/>
        </w:rPr>
      </w:pPr>
      <w:r>
        <w:rPr>
          <w:rFonts w:ascii="Arial" w:hAnsi="Arial" w:cs="Arial"/>
          <w:b/>
          <w:sz w:val="22"/>
          <w:szCs w:val="22"/>
        </w:rPr>
        <w:t xml:space="preserve">nezajistilo organizační zabezpečení SVZ v souladu se schválenou koncepcí SVZ, </w:t>
      </w:r>
    </w:p>
    <w:p w:rsidR="00462651" w:rsidRPr="00A95DB9" w:rsidRDefault="00904190" w:rsidP="004401C1">
      <w:pPr>
        <w:numPr>
          <w:ilvl w:val="0"/>
          <w:numId w:val="16"/>
        </w:numPr>
        <w:ind w:left="284" w:hanging="284"/>
        <w:jc w:val="both"/>
        <w:rPr>
          <w:rFonts w:ascii="Arial" w:hAnsi="Arial" w:cs="Arial"/>
          <w:b/>
          <w:sz w:val="22"/>
          <w:szCs w:val="22"/>
        </w:rPr>
      </w:pPr>
      <w:r>
        <w:rPr>
          <w:rFonts w:ascii="Arial" w:hAnsi="Arial" w:cs="Arial"/>
          <w:b/>
          <w:sz w:val="22"/>
          <w:szCs w:val="22"/>
        </w:rPr>
        <w:t>nesledovalo a </w:t>
      </w:r>
      <w:r w:rsidR="00462651">
        <w:rPr>
          <w:rFonts w:ascii="Arial" w:hAnsi="Arial" w:cs="Arial"/>
          <w:b/>
          <w:sz w:val="22"/>
          <w:szCs w:val="22"/>
        </w:rPr>
        <w:t>nevyhodnocovalo výdaje na SVZ</w:t>
      </w:r>
      <w:r w:rsidR="00CB55EA">
        <w:rPr>
          <w:rFonts w:ascii="Arial" w:hAnsi="Arial" w:cs="Arial"/>
          <w:b/>
          <w:sz w:val="22"/>
          <w:szCs w:val="22"/>
        </w:rPr>
        <w:t xml:space="preserve"> z pohledu účelnosti, hospodárnosti a efektivnosti</w:t>
      </w:r>
      <w:r w:rsidR="00143110">
        <w:rPr>
          <w:rFonts w:ascii="Arial" w:hAnsi="Arial" w:cs="Arial"/>
          <w:b/>
          <w:sz w:val="22"/>
          <w:szCs w:val="22"/>
        </w:rPr>
        <w:t>,</w:t>
      </w:r>
      <w:r w:rsidR="00462651">
        <w:rPr>
          <w:rFonts w:ascii="Arial" w:hAnsi="Arial" w:cs="Arial"/>
          <w:b/>
          <w:sz w:val="22"/>
          <w:szCs w:val="22"/>
        </w:rPr>
        <w:t xml:space="preserve"> </w:t>
      </w:r>
    </w:p>
    <w:p w:rsidR="001F3806" w:rsidRPr="00A95DB9" w:rsidRDefault="001F3806" w:rsidP="004401C1">
      <w:pPr>
        <w:numPr>
          <w:ilvl w:val="0"/>
          <w:numId w:val="11"/>
        </w:numPr>
        <w:ind w:left="284" w:hanging="284"/>
        <w:jc w:val="both"/>
        <w:rPr>
          <w:rFonts w:ascii="Arial" w:hAnsi="Arial" w:cs="Arial"/>
          <w:b/>
          <w:sz w:val="22"/>
          <w:szCs w:val="22"/>
        </w:rPr>
      </w:pPr>
      <w:r>
        <w:rPr>
          <w:rFonts w:ascii="Arial" w:hAnsi="Arial" w:cs="Arial"/>
          <w:b/>
          <w:sz w:val="22"/>
          <w:szCs w:val="22"/>
        </w:rPr>
        <w:t xml:space="preserve">nenavrhlo dostatečně pružně nezbytnou právní úpravu přístupu do registru vozidel, propadnutí kaucí za OBU a nakládání s nespotřebovaným mýtným, </w:t>
      </w:r>
    </w:p>
    <w:p w:rsidR="001F3806" w:rsidRPr="00A95DB9" w:rsidRDefault="001F3806" w:rsidP="004401C1">
      <w:pPr>
        <w:numPr>
          <w:ilvl w:val="0"/>
          <w:numId w:val="11"/>
        </w:numPr>
        <w:ind w:left="284" w:hanging="284"/>
        <w:jc w:val="both"/>
        <w:rPr>
          <w:rFonts w:ascii="Arial" w:hAnsi="Arial" w:cs="Arial"/>
          <w:b/>
          <w:sz w:val="22"/>
          <w:szCs w:val="22"/>
        </w:rPr>
      </w:pPr>
      <w:r>
        <w:rPr>
          <w:rFonts w:ascii="Arial" w:hAnsi="Arial" w:cs="Arial"/>
          <w:b/>
          <w:sz w:val="22"/>
          <w:szCs w:val="22"/>
        </w:rPr>
        <w:t xml:space="preserve">významně podhodnotilo počet uživatelů zpoplatněných úseků a související náklady,  </w:t>
      </w:r>
    </w:p>
    <w:p w:rsidR="001F3806" w:rsidRDefault="001F3806" w:rsidP="004401C1">
      <w:pPr>
        <w:numPr>
          <w:ilvl w:val="0"/>
          <w:numId w:val="11"/>
        </w:numPr>
        <w:ind w:left="284" w:hanging="284"/>
        <w:jc w:val="both"/>
        <w:rPr>
          <w:rFonts w:ascii="Arial" w:hAnsi="Arial" w:cs="Arial"/>
          <w:b/>
          <w:sz w:val="22"/>
          <w:szCs w:val="22"/>
        </w:rPr>
      </w:pPr>
      <w:r>
        <w:rPr>
          <w:rFonts w:ascii="Arial" w:hAnsi="Arial" w:cs="Arial"/>
          <w:b/>
          <w:sz w:val="22"/>
          <w:szCs w:val="22"/>
        </w:rPr>
        <w:t xml:space="preserve">uzavřelo pro stát nevýhodné smluvní ujednání o odměně generálního dodavatele SVZ a služeb. </w:t>
      </w:r>
    </w:p>
    <w:p w:rsidR="00141803" w:rsidRDefault="00141803" w:rsidP="004401C1">
      <w:pPr>
        <w:jc w:val="both"/>
        <w:rPr>
          <w:rFonts w:ascii="Arial" w:hAnsi="Arial" w:cs="Arial"/>
          <w:b/>
          <w:sz w:val="22"/>
          <w:szCs w:val="22"/>
        </w:rPr>
      </w:pPr>
    </w:p>
    <w:p w:rsidR="002668F3" w:rsidRDefault="002668F3" w:rsidP="004401C1">
      <w:pPr>
        <w:jc w:val="both"/>
        <w:rPr>
          <w:rFonts w:ascii="Arial" w:hAnsi="Arial" w:cs="Arial"/>
          <w:b/>
          <w:sz w:val="22"/>
          <w:szCs w:val="22"/>
        </w:rPr>
      </w:pPr>
      <w:r>
        <w:rPr>
          <w:rFonts w:ascii="Arial" w:hAnsi="Arial" w:cs="Arial"/>
          <w:b/>
          <w:sz w:val="22"/>
          <w:szCs w:val="22"/>
        </w:rPr>
        <w:t xml:space="preserve">ŘSD nevedlo evidenci SVZ v souladu s právními předpisy, což se negativně projevilo do inkasa mýtného </w:t>
      </w:r>
      <w:r w:rsidR="00466444">
        <w:rPr>
          <w:rFonts w:ascii="Arial" w:hAnsi="Arial" w:cs="Arial"/>
          <w:b/>
          <w:sz w:val="22"/>
          <w:szCs w:val="22"/>
        </w:rPr>
        <w:t xml:space="preserve">a souvisejících nákladů. </w:t>
      </w:r>
      <w:r w:rsidR="008904C4">
        <w:rPr>
          <w:rFonts w:ascii="Arial" w:hAnsi="Arial" w:cs="Arial"/>
          <w:b/>
          <w:sz w:val="22"/>
          <w:szCs w:val="22"/>
        </w:rPr>
        <w:t xml:space="preserve">Zjišťování a vyúčtování uniklého mýtného s následným vymáháním </w:t>
      </w:r>
      <w:r w:rsidR="00642F34">
        <w:rPr>
          <w:rFonts w:ascii="Arial" w:hAnsi="Arial" w:cs="Arial"/>
          <w:b/>
          <w:sz w:val="22"/>
          <w:szCs w:val="22"/>
        </w:rPr>
        <w:t xml:space="preserve">pohledávek a </w:t>
      </w:r>
      <w:r w:rsidR="00466444">
        <w:rPr>
          <w:rFonts w:ascii="Arial" w:hAnsi="Arial" w:cs="Arial"/>
          <w:b/>
          <w:sz w:val="22"/>
          <w:szCs w:val="22"/>
        </w:rPr>
        <w:t xml:space="preserve">nedoplatků bylo ŘSD zahájeno opožděně </w:t>
      </w:r>
      <w:r w:rsidR="00FF3AB3">
        <w:rPr>
          <w:rFonts w:ascii="Arial" w:hAnsi="Arial" w:cs="Arial"/>
          <w:b/>
          <w:sz w:val="22"/>
          <w:szCs w:val="22"/>
        </w:rPr>
        <w:t xml:space="preserve">(o tři roky) </w:t>
      </w:r>
      <w:r w:rsidR="00466444">
        <w:rPr>
          <w:rFonts w:ascii="Arial" w:hAnsi="Arial" w:cs="Arial"/>
          <w:b/>
          <w:sz w:val="22"/>
          <w:szCs w:val="22"/>
        </w:rPr>
        <w:t xml:space="preserve">za využití </w:t>
      </w:r>
      <w:r w:rsidR="00466444" w:rsidRPr="00CB55EA">
        <w:rPr>
          <w:rFonts w:ascii="Arial" w:hAnsi="Arial" w:cs="Arial"/>
          <w:b/>
          <w:sz w:val="22"/>
          <w:szCs w:val="22"/>
        </w:rPr>
        <w:t>outsour</w:t>
      </w:r>
      <w:r w:rsidR="00CB55EA" w:rsidRPr="004401C1">
        <w:rPr>
          <w:rFonts w:ascii="Arial" w:hAnsi="Arial" w:cs="Arial"/>
          <w:b/>
          <w:sz w:val="22"/>
          <w:szCs w:val="22"/>
        </w:rPr>
        <w:t>c</w:t>
      </w:r>
      <w:r w:rsidR="00466444" w:rsidRPr="00155F62">
        <w:rPr>
          <w:rFonts w:ascii="Arial" w:hAnsi="Arial" w:cs="Arial"/>
          <w:b/>
          <w:sz w:val="22"/>
          <w:szCs w:val="22"/>
        </w:rPr>
        <w:t>in</w:t>
      </w:r>
      <w:r w:rsidR="00F76988" w:rsidRPr="00155F62">
        <w:rPr>
          <w:rFonts w:ascii="Arial" w:hAnsi="Arial" w:cs="Arial"/>
          <w:b/>
          <w:sz w:val="22"/>
          <w:szCs w:val="22"/>
        </w:rPr>
        <w:t>gu</w:t>
      </w:r>
      <w:r w:rsidR="00F76988">
        <w:rPr>
          <w:rFonts w:ascii="Arial" w:hAnsi="Arial" w:cs="Arial"/>
          <w:b/>
          <w:sz w:val="22"/>
          <w:szCs w:val="22"/>
        </w:rPr>
        <w:t xml:space="preserve">, přestože se jednalo o </w:t>
      </w:r>
      <w:r w:rsidR="00E56944">
        <w:rPr>
          <w:rFonts w:ascii="Arial" w:hAnsi="Arial" w:cs="Arial"/>
          <w:b/>
          <w:sz w:val="22"/>
          <w:szCs w:val="22"/>
        </w:rPr>
        <w:t xml:space="preserve">běžné </w:t>
      </w:r>
      <w:r w:rsidR="00F76988">
        <w:rPr>
          <w:rFonts w:ascii="Arial" w:hAnsi="Arial" w:cs="Arial"/>
          <w:b/>
          <w:sz w:val="22"/>
          <w:szCs w:val="22"/>
        </w:rPr>
        <w:t xml:space="preserve">úkony vykonávané </w:t>
      </w:r>
      <w:r w:rsidR="002E3B37">
        <w:rPr>
          <w:rFonts w:ascii="Arial" w:hAnsi="Arial" w:cs="Arial"/>
          <w:b/>
          <w:sz w:val="22"/>
          <w:szCs w:val="22"/>
        </w:rPr>
        <w:t xml:space="preserve">jinými </w:t>
      </w:r>
      <w:r w:rsidR="00F76988">
        <w:rPr>
          <w:rFonts w:ascii="Arial" w:hAnsi="Arial" w:cs="Arial"/>
          <w:b/>
          <w:sz w:val="22"/>
          <w:szCs w:val="22"/>
        </w:rPr>
        <w:t xml:space="preserve">správními orgány v rámci </w:t>
      </w:r>
      <w:r w:rsidR="00CB55EA">
        <w:rPr>
          <w:rFonts w:ascii="Arial" w:hAnsi="Arial" w:cs="Arial"/>
          <w:b/>
          <w:sz w:val="22"/>
          <w:szCs w:val="22"/>
        </w:rPr>
        <w:t>jejich</w:t>
      </w:r>
      <w:r w:rsidR="00F76988">
        <w:rPr>
          <w:rFonts w:ascii="Arial" w:hAnsi="Arial" w:cs="Arial"/>
          <w:b/>
          <w:sz w:val="22"/>
          <w:szCs w:val="22"/>
        </w:rPr>
        <w:t xml:space="preserve"> činnosti</w:t>
      </w:r>
      <w:r w:rsidR="00466444">
        <w:rPr>
          <w:rFonts w:ascii="Arial" w:hAnsi="Arial" w:cs="Arial"/>
          <w:b/>
          <w:sz w:val="22"/>
          <w:szCs w:val="22"/>
        </w:rPr>
        <w:t xml:space="preserve">. </w:t>
      </w:r>
      <w:r w:rsidR="00277DCC">
        <w:rPr>
          <w:rFonts w:ascii="Arial" w:hAnsi="Arial" w:cs="Arial"/>
          <w:b/>
          <w:sz w:val="22"/>
          <w:szCs w:val="22"/>
        </w:rPr>
        <w:t xml:space="preserve">Celkové náklady na vymáhání </w:t>
      </w:r>
      <w:r w:rsidR="00904190">
        <w:rPr>
          <w:rFonts w:ascii="Arial" w:hAnsi="Arial" w:cs="Arial"/>
          <w:b/>
          <w:sz w:val="22"/>
          <w:szCs w:val="22"/>
        </w:rPr>
        <w:t>pohledávek a </w:t>
      </w:r>
      <w:r w:rsidR="00277DCC">
        <w:rPr>
          <w:rFonts w:ascii="Arial" w:hAnsi="Arial" w:cs="Arial"/>
          <w:b/>
          <w:sz w:val="22"/>
          <w:szCs w:val="22"/>
        </w:rPr>
        <w:t xml:space="preserve">nedoplatků </w:t>
      </w:r>
      <w:r w:rsidR="00D34BB7">
        <w:rPr>
          <w:rFonts w:ascii="Arial" w:hAnsi="Arial" w:cs="Arial"/>
          <w:b/>
          <w:sz w:val="22"/>
          <w:szCs w:val="22"/>
        </w:rPr>
        <w:t xml:space="preserve">uhrazené advokátní kanceláři a </w:t>
      </w:r>
      <w:r w:rsidR="00D34BB7" w:rsidRPr="00D34BB7">
        <w:rPr>
          <w:rFonts w:ascii="Arial" w:hAnsi="Arial" w:cs="Arial"/>
          <w:b/>
          <w:sz w:val="22"/>
          <w:szCs w:val="22"/>
        </w:rPr>
        <w:t>společnost</w:t>
      </w:r>
      <w:r w:rsidR="00DE0888">
        <w:rPr>
          <w:rFonts w:ascii="Arial" w:hAnsi="Arial" w:cs="Arial"/>
          <w:b/>
          <w:sz w:val="22"/>
          <w:szCs w:val="22"/>
        </w:rPr>
        <w:t>i</w:t>
      </w:r>
      <w:r w:rsidR="003A6E51">
        <w:rPr>
          <w:rFonts w:ascii="Arial" w:hAnsi="Arial" w:cs="Arial"/>
          <w:b/>
          <w:sz w:val="22"/>
          <w:szCs w:val="22"/>
        </w:rPr>
        <w:t xml:space="preserve"> pro správu a </w:t>
      </w:r>
      <w:r w:rsidR="00D34BB7" w:rsidRPr="00D34BB7">
        <w:rPr>
          <w:rFonts w:ascii="Arial" w:hAnsi="Arial" w:cs="Arial"/>
          <w:b/>
          <w:sz w:val="22"/>
          <w:szCs w:val="22"/>
        </w:rPr>
        <w:t>vymáhání pohledávek</w:t>
      </w:r>
      <w:r w:rsidR="00D34BB7">
        <w:rPr>
          <w:rFonts w:ascii="Arial" w:hAnsi="Arial" w:cs="Arial"/>
          <w:b/>
          <w:sz w:val="22"/>
          <w:szCs w:val="22"/>
        </w:rPr>
        <w:t xml:space="preserve"> činily 56,88 mil</w:t>
      </w:r>
      <w:r w:rsidR="00E56944">
        <w:rPr>
          <w:rFonts w:ascii="Arial" w:hAnsi="Arial" w:cs="Arial"/>
          <w:b/>
          <w:sz w:val="22"/>
          <w:szCs w:val="22"/>
        </w:rPr>
        <w:t>.</w:t>
      </w:r>
      <w:r w:rsidR="00D34BB7">
        <w:rPr>
          <w:rFonts w:ascii="Arial" w:hAnsi="Arial" w:cs="Arial"/>
          <w:b/>
          <w:sz w:val="22"/>
          <w:szCs w:val="22"/>
        </w:rPr>
        <w:t xml:space="preserve"> Kč, vymožené mýto činilo 18,27 mil</w:t>
      </w:r>
      <w:r w:rsidR="00E56944">
        <w:rPr>
          <w:rFonts w:ascii="Arial" w:hAnsi="Arial" w:cs="Arial"/>
          <w:b/>
          <w:sz w:val="22"/>
          <w:szCs w:val="22"/>
        </w:rPr>
        <w:t>.</w:t>
      </w:r>
      <w:r w:rsidR="00D34BB7">
        <w:rPr>
          <w:rFonts w:ascii="Arial" w:hAnsi="Arial" w:cs="Arial"/>
          <w:b/>
          <w:sz w:val="22"/>
          <w:szCs w:val="22"/>
        </w:rPr>
        <w:t xml:space="preserve"> Kč. </w:t>
      </w:r>
    </w:p>
    <w:p w:rsidR="00141803" w:rsidRDefault="00141803" w:rsidP="004401C1">
      <w:pPr>
        <w:jc w:val="both"/>
        <w:rPr>
          <w:rFonts w:ascii="Arial" w:hAnsi="Arial" w:cs="Arial"/>
          <w:b/>
          <w:sz w:val="22"/>
          <w:szCs w:val="22"/>
        </w:rPr>
      </w:pPr>
    </w:p>
    <w:p w:rsidR="00A55842" w:rsidRDefault="00155F62" w:rsidP="004401C1">
      <w:pPr>
        <w:jc w:val="both"/>
        <w:rPr>
          <w:rFonts w:ascii="Arial" w:hAnsi="Arial" w:cs="Arial"/>
          <w:b/>
          <w:sz w:val="22"/>
          <w:szCs w:val="22"/>
        </w:rPr>
      </w:pPr>
      <w:r>
        <w:rPr>
          <w:rFonts w:ascii="Arial" w:hAnsi="Arial" w:cs="Arial"/>
          <w:b/>
          <w:sz w:val="22"/>
          <w:szCs w:val="22"/>
        </w:rPr>
        <w:t>V</w:t>
      </w:r>
      <w:r w:rsidR="00A55842" w:rsidRPr="00021937">
        <w:rPr>
          <w:rFonts w:ascii="Arial" w:hAnsi="Arial" w:cs="Arial"/>
          <w:b/>
          <w:sz w:val="22"/>
          <w:szCs w:val="22"/>
        </w:rPr>
        <w:t xml:space="preserve"> současnosti realizovaný způsob vymáhání </w:t>
      </w:r>
      <w:r w:rsidR="00A55842">
        <w:rPr>
          <w:rFonts w:ascii="Arial" w:hAnsi="Arial" w:cs="Arial"/>
          <w:b/>
          <w:sz w:val="22"/>
          <w:szCs w:val="22"/>
        </w:rPr>
        <w:t xml:space="preserve">mýtného a </w:t>
      </w:r>
      <w:r w:rsidR="00A55842" w:rsidRPr="00021937">
        <w:rPr>
          <w:rFonts w:ascii="Arial" w:hAnsi="Arial" w:cs="Arial"/>
          <w:b/>
          <w:sz w:val="22"/>
          <w:szCs w:val="22"/>
        </w:rPr>
        <w:t>nedoplatků na mýtném</w:t>
      </w:r>
      <w:r w:rsidR="00A55842">
        <w:rPr>
          <w:rFonts w:ascii="Arial" w:hAnsi="Arial" w:cs="Arial"/>
          <w:b/>
          <w:sz w:val="22"/>
          <w:szCs w:val="22"/>
        </w:rPr>
        <w:t xml:space="preserve"> a pokutách </w:t>
      </w:r>
      <w:r w:rsidRPr="00021937">
        <w:rPr>
          <w:rFonts w:ascii="Arial" w:hAnsi="Arial" w:cs="Arial"/>
          <w:b/>
          <w:sz w:val="22"/>
          <w:szCs w:val="22"/>
        </w:rPr>
        <w:t xml:space="preserve">považuje NKÚ </w:t>
      </w:r>
      <w:r w:rsidR="00A55842" w:rsidRPr="00021937">
        <w:rPr>
          <w:rFonts w:ascii="Arial" w:hAnsi="Arial" w:cs="Arial"/>
          <w:b/>
          <w:sz w:val="22"/>
          <w:szCs w:val="22"/>
        </w:rPr>
        <w:t>za neefektivní.</w:t>
      </w:r>
      <w:r w:rsidR="00A55842" w:rsidRPr="004401C1">
        <w:rPr>
          <w:rFonts w:ascii="Arial" w:hAnsi="Arial" w:cs="Arial"/>
          <w:b/>
          <w:sz w:val="22"/>
          <w:szCs w:val="22"/>
        </w:rPr>
        <w:t xml:space="preserve"> </w:t>
      </w:r>
      <w:r w:rsidR="001F3806" w:rsidRPr="00143110">
        <w:rPr>
          <w:rFonts w:ascii="Arial" w:hAnsi="Arial" w:cs="Arial"/>
          <w:b/>
          <w:sz w:val="22"/>
          <w:szCs w:val="22"/>
        </w:rPr>
        <w:t>V</w:t>
      </w:r>
      <w:r w:rsidR="00A55842" w:rsidRPr="00143110">
        <w:rPr>
          <w:rFonts w:ascii="Arial" w:hAnsi="Arial" w:cs="Arial"/>
          <w:b/>
          <w:sz w:val="22"/>
          <w:szCs w:val="22"/>
        </w:rPr>
        <w:t>ariant</w:t>
      </w:r>
      <w:r>
        <w:rPr>
          <w:rFonts w:ascii="Arial" w:hAnsi="Arial" w:cs="Arial"/>
          <w:b/>
          <w:sz w:val="22"/>
          <w:szCs w:val="22"/>
        </w:rPr>
        <w:t>ou</w:t>
      </w:r>
      <w:r w:rsidR="00A55842" w:rsidRPr="00143110">
        <w:rPr>
          <w:rFonts w:ascii="Arial" w:hAnsi="Arial" w:cs="Arial"/>
          <w:b/>
          <w:sz w:val="22"/>
          <w:szCs w:val="22"/>
        </w:rPr>
        <w:t xml:space="preserve"> by bylo sjednotit vymáhání pohledávek a nedoplatků na mýtném a pokutách tak, aby bylo zajišťováno správním orgánem postupy </w:t>
      </w:r>
      <w:r>
        <w:rPr>
          <w:rFonts w:ascii="Arial" w:hAnsi="Arial" w:cs="Arial"/>
          <w:b/>
          <w:sz w:val="22"/>
          <w:szCs w:val="22"/>
        </w:rPr>
        <w:t>upravenými daňovým řádem</w:t>
      </w:r>
      <w:r w:rsidR="00A55842" w:rsidRPr="00143110">
        <w:rPr>
          <w:rStyle w:val="Znakapoznpodarou"/>
          <w:rFonts w:ascii="Arial" w:hAnsi="Arial" w:cs="Arial"/>
          <w:b/>
          <w:sz w:val="22"/>
          <w:szCs w:val="22"/>
        </w:rPr>
        <w:footnoteReference w:id="51"/>
      </w:r>
      <w:r w:rsidR="001F3806" w:rsidRPr="00143110">
        <w:rPr>
          <w:rFonts w:ascii="Arial" w:hAnsi="Arial" w:cs="Arial"/>
          <w:b/>
          <w:sz w:val="22"/>
          <w:szCs w:val="22"/>
        </w:rPr>
        <w:t xml:space="preserve">, případně </w:t>
      </w:r>
      <w:r>
        <w:rPr>
          <w:rFonts w:ascii="Arial" w:hAnsi="Arial" w:cs="Arial"/>
          <w:b/>
          <w:sz w:val="22"/>
          <w:szCs w:val="22"/>
        </w:rPr>
        <w:t xml:space="preserve">by mohlo být řešením </w:t>
      </w:r>
      <w:r w:rsidR="001F3806" w:rsidRPr="00143110">
        <w:rPr>
          <w:rFonts w:ascii="Arial" w:hAnsi="Arial" w:cs="Arial"/>
          <w:b/>
          <w:sz w:val="22"/>
          <w:szCs w:val="22"/>
        </w:rPr>
        <w:t>zavedení dodatečného mýta.</w:t>
      </w:r>
    </w:p>
    <w:p w:rsidR="00141803" w:rsidRPr="00143110" w:rsidRDefault="00141803" w:rsidP="004401C1">
      <w:pPr>
        <w:jc w:val="both"/>
        <w:rPr>
          <w:rFonts w:ascii="Arial" w:hAnsi="Arial" w:cs="Arial"/>
          <w:b/>
          <w:sz w:val="22"/>
          <w:szCs w:val="22"/>
        </w:rPr>
      </w:pPr>
    </w:p>
    <w:p w:rsidR="0020209E" w:rsidRDefault="007A1976" w:rsidP="004401C1">
      <w:pPr>
        <w:jc w:val="both"/>
        <w:rPr>
          <w:rFonts w:ascii="Arial" w:hAnsi="Arial" w:cs="Arial"/>
          <w:b/>
          <w:sz w:val="22"/>
          <w:szCs w:val="22"/>
        </w:rPr>
      </w:pPr>
      <w:r>
        <w:rPr>
          <w:rFonts w:ascii="Arial" w:hAnsi="Arial" w:cs="Arial"/>
          <w:b/>
          <w:sz w:val="22"/>
          <w:szCs w:val="22"/>
        </w:rPr>
        <w:t>V </w:t>
      </w:r>
      <w:r w:rsidR="0020209E" w:rsidRPr="0020209E">
        <w:rPr>
          <w:rFonts w:ascii="Arial" w:hAnsi="Arial" w:cs="Arial"/>
          <w:b/>
          <w:sz w:val="22"/>
          <w:szCs w:val="22"/>
        </w:rPr>
        <w:t>průměru byly na jednu kontrolu vynaloženy finanční prostředky ve výši 708 Kč</w:t>
      </w:r>
      <w:r w:rsidR="002E57D5">
        <w:rPr>
          <w:rFonts w:ascii="Arial" w:hAnsi="Arial" w:cs="Arial"/>
          <w:b/>
          <w:sz w:val="22"/>
          <w:szCs w:val="22"/>
        </w:rPr>
        <w:t xml:space="preserve"> </w:t>
      </w:r>
      <w:r w:rsidR="0020209E" w:rsidRPr="0020209E">
        <w:rPr>
          <w:rFonts w:ascii="Arial" w:hAnsi="Arial" w:cs="Arial"/>
          <w:b/>
          <w:sz w:val="22"/>
          <w:szCs w:val="22"/>
        </w:rPr>
        <w:t>a na jednu korunu uložené blokové pokuty</w:t>
      </w:r>
      <w:r w:rsidR="002E57D5">
        <w:rPr>
          <w:rFonts w:ascii="Arial" w:hAnsi="Arial" w:cs="Arial"/>
          <w:b/>
          <w:sz w:val="22"/>
          <w:szCs w:val="22"/>
        </w:rPr>
        <w:t xml:space="preserve"> bylo vynaloženo 4,59 Kč.</w:t>
      </w:r>
    </w:p>
    <w:p w:rsidR="00141803" w:rsidRDefault="00141803" w:rsidP="004401C1">
      <w:pPr>
        <w:jc w:val="both"/>
        <w:rPr>
          <w:rFonts w:ascii="Arial" w:hAnsi="Arial" w:cs="Arial"/>
          <w:b/>
          <w:sz w:val="22"/>
          <w:szCs w:val="22"/>
        </w:rPr>
      </w:pPr>
    </w:p>
    <w:p w:rsidR="00286C6E" w:rsidRPr="00BA533B" w:rsidRDefault="00286C6E" w:rsidP="00BA533B">
      <w:pPr>
        <w:spacing w:after="120"/>
        <w:jc w:val="both"/>
        <w:rPr>
          <w:rFonts w:ascii="Arial" w:hAnsi="Arial" w:cs="Arial"/>
          <w:b/>
          <w:sz w:val="22"/>
          <w:szCs w:val="22"/>
        </w:rPr>
      </w:pPr>
      <w:r w:rsidRPr="00143110">
        <w:rPr>
          <w:rFonts w:ascii="Arial" w:hAnsi="Arial" w:cs="Arial"/>
          <w:b/>
          <w:sz w:val="22"/>
          <w:szCs w:val="22"/>
        </w:rPr>
        <w:t xml:space="preserve">NKÚ identifikoval riziko v nedostatečnosti zajištění kontroly mobilními hlídkami </w:t>
      </w:r>
      <w:r w:rsidR="00FF3AB3" w:rsidRPr="00143110">
        <w:rPr>
          <w:rFonts w:ascii="Arial" w:hAnsi="Arial" w:cs="Arial"/>
          <w:b/>
          <w:sz w:val="22"/>
          <w:szCs w:val="22"/>
        </w:rPr>
        <w:t>C</w:t>
      </w:r>
      <w:r w:rsidR="00A2213F" w:rsidRPr="00143110">
        <w:rPr>
          <w:rFonts w:ascii="Arial" w:hAnsi="Arial" w:cs="Arial"/>
          <w:b/>
          <w:sz w:val="22"/>
          <w:szCs w:val="22"/>
        </w:rPr>
        <w:t>elní správy</w:t>
      </w:r>
      <w:r w:rsidR="00FF3AB3" w:rsidRPr="00143110">
        <w:rPr>
          <w:rFonts w:ascii="Arial" w:hAnsi="Arial" w:cs="Arial"/>
          <w:b/>
          <w:sz w:val="22"/>
          <w:szCs w:val="22"/>
        </w:rPr>
        <w:t xml:space="preserve"> ČR</w:t>
      </w:r>
      <w:r w:rsidRPr="00143110">
        <w:rPr>
          <w:rFonts w:ascii="Arial" w:hAnsi="Arial" w:cs="Arial"/>
          <w:b/>
          <w:sz w:val="22"/>
          <w:szCs w:val="22"/>
        </w:rPr>
        <w:t xml:space="preserve">. Vývoj </w:t>
      </w:r>
      <w:r w:rsidR="00155F62">
        <w:rPr>
          <w:rFonts w:ascii="Arial" w:hAnsi="Arial" w:cs="Arial"/>
          <w:b/>
          <w:sz w:val="22"/>
          <w:szCs w:val="22"/>
        </w:rPr>
        <w:t>zajišťování</w:t>
      </w:r>
      <w:r w:rsidR="00155F62" w:rsidRPr="00143110">
        <w:rPr>
          <w:rFonts w:ascii="Arial" w:hAnsi="Arial" w:cs="Arial"/>
          <w:b/>
          <w:sz w:val="22"/>
          <w:szCs w:val="22"/>
        </w:rPr>
        <w:t xml:space="preserve"> </w:t>
      </w:r>
      <w:r w:rsidRPr="00143110">
        <w:rPr>
          <w:rFonts w:ascii="Arial" w:hAnsi="Arial" w:cs="Arial"/>
          <w:b/>
          <w:sz w:val="22"/>
          <w:szCs w:val="22"/>
        </w:rPr>
        <w:t xml:space="preserve">této činnosti neodpovídá </w:t>
      </w:r>
      <w:r>
        <w:rPr>
          <w:rFonts w:ascii="Arial" w:hAnsi="Arial" w:cs="Arial"/>
          <w:b/>
          <w:sz w:val="22"/>
          <w:szCs w:val="22"/>
        </w:rPr>
        <w:t>vývoji rozsahu zpoplatněn</w:t>
      </w:r>
      <w:r w:rsidR="00FF3AB3">
        <w:rPr>
          <w:rFonts w:ascii="Arial" w:hAnsi="Arial" w:cs="Arial"/>
          <w:b/>
          <w:sz w:val="22"/>
          <w:szCs w:val="22"/>
        </w:rPr>
        <w:t xml:space="preserve">ých úseků, růstu </w:t>
      </w:r>
      <w:r>
        <w:rPr>
          <w:rFonts w:ascii="Arial" w:hAnsi="Arial" w:cs="Arial"/>
          <w:b/>
          <w:sz w:val="22"/>
          <w:szCs w:val="22"/>
        </w:rPr>
        <w:t>počtu uživatelů a</w:t>
      </w:r>
      <w:r w:rsidR="00155F62">
        <w:rPr>
          <w:rFonts w:ascii="Arial" w:hAnsi="Arial" w:cs="Arial"/>
          <w:b/>
          <w:sz w:val="22"/>
          <w:szCs w:val="22"/>
        </w:rPr>
        <w:t>ni růstu</w:t>
      </w:r>
      <w:r>
        <w:rPr>
          <w:rFonts w:ascii="Arial" w:hAnsi="Arial" w:cs="Arial"/>
          <w:b/>
          <w:sz w:val="22"/>
          <w:szCs w:val="22"/>
        </w:rPr>
        <w:t xml:space="preserve"> identifikovaných incidentů.</w:t>
      </w:r>
    </w:p>
    <w:sectPr w:rsidR="00286C6E" w:rsidRPr="00BA533B" w:rsidSect="00356185">
      <w:headerReference w:type="default" r:id="rId16"/>
      <w:footerReference w:type="default" r:id="rId17"/>
      <w:pgSz w:w="11905" w:h="16837"/>
      <w:pgMar w:top="1418" w:right="1418" w:bottom="1694" w:left="1418" w:header="709"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41" w:rsidRDefault="00B57A41">
      <w:r>
        <w:separator/>
      </w:r>
    </w:p>
  </w:endnote>
  <w:endnote w:type="continuationSeparator" w:id="0">
    <w:p w:rsidR="00B57A41" w:rsidRDefault="00B57A41">
      <w:r>
        <w:continuationSeparator/>
      </w:r>
    </w:p>
  </w:endnote>
  <w:endnote w:type="continuationNotice" w:id="1">
    <w:p w:rsidR="00B57A41" w:rsidRDefault="00B57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41" w:rsidRPr="00EE0BAC" w:rsidRDefault="00B57A41">
    <w:pPr>
      <w:pStyle w:val="Zpat"/>
      <w:jc w:val="center"/>
      <w:rPr>
        <w:rFonts w:ascii="Arial" w:hAnsi="Arial" w:cs="Arial"/>
        <w:sz w:val="22"/>
        <w:szCs w:val="22"/>
      </w:rPr>
    </w:pPr>
    <w:r w:rsidRPr="00EE0BAC">
      <w:rPr>
        <w:rFonts w:ascii="Arial" w:hAnsi="Arial" w:cs="Arial"/>
        <w:sz w:val="22"/>
        <w:szCs w:val="22"/>
      </w:rPr>
      <w:fldChar w:fldCharType="begin"/>
    </w:r>
    <w:r w:rsidRPr="00EE0BAC">
      <w:rPr>
        <w:rFonts w:ascii="Arial" w:hAnsi="Arial" w:cs="Arial"/>
        <w:sz w:val="22"/>
        <w:szCs w:val="22"/>
      </w:rPr>
      <w:instrText>PAGE   \* MERGEFORMAT</w:instrText>
    </w:r>
    <w:r w:rsidRPr="00EE0BAC">
      <w:rPr>
        <w:rFonts w:ascii="Arial" w:hAnsi="Arial" w:cs="Arial"/>
        <w:sz w:val="22"/>
        <w:szCs w:val="22"/>
      </w:rPr>
      <w:fldChar w:fldCharType="separate"/>
    </w:r>
    <w:r w:rsidR="000D386F">
      <w:rPr>
        <w:rFonts w:ascii="Arial" w:hAnsi="Arial" w:cs="Arial"/>
        <w:noProof/>
        <w:sz w:val="22"/>
        <w:szCs w:val="22"/>
      </w:rPr>
      <w:t>10</w:t>
    </w:r>
    <w:r w:rsidRPr="00EE0BAC">
      <w:rPr>
        <w:rFonts w:ascii="Arial" w:hAnsi="Arial" w:cs="Arial"/>
        <w:sz w:val="22"/>
        <w:szCs w:val="22"/>
      </w:rPr>
      <w:fldChar w:fldCharType="end"/>
    </w:r>
  </w:p>
  <w:p w:rsidR="00B57A41" w:rsidRDefault="00B57A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41" w:rsidRDefault="00B57A41">
      <w:r>
        <w:separator/>
      </w:r>
    </w:p>
  </w:footnote>
  <w:footnote w:type="continuationSeparator" w:id="0">
    <w:p w:rsidR="00B57A41" w:rsidRDefault="00B57A41">
      <w:r>
        <w:continuationSeparator/>
      </w:r>
    </w:p>
  </w:footnote>
  <w:footnote w:type="continuationNotice" w:id="1">
    <w:p w:rsidR="00B57A41" w:rsidRDefault="00B57A41"/>
  </w:footnote>
  <w:footnote w:id="2">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Zákon č. 13/1997 Sb., o pozemních komunikacích.</w:t>
      </w:r>
    </w:p>
  </w:footnote>
  <w:footnote w:id="3">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Zákon č. 218/2000 Sb., o rozpočtových pravidlech a o změně některých souvisejících zákonů (rozpočtová pravidla).</w:t>
      </w:r>
    </w:p>
  </w:footnote>
  <w:footnote w:id="4">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 xml:space="preserve">Ustanovení § 1 odst. 3 zákona č. 104/2000 Sb., o Státním fondu dopravní infrastruktury a o změně zákona č. 171/1991 Sb., o působnosti orgánů České republiky ve věcech převodů majetku státu na jiné osoby a o Fondu národního majetku České republiky, ve znění pozdějších předpisů.  </w:t>
      </w:r>
    </w:p>
  </w:footnote>
  <w:footnote w:id="5">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Článek 2 odst. 7 a 8 přílohy k usnesení vlády ze dne 12. července 2000 č. 701</w:t>
      </w:r>
      <w:r>
        <w:rPr>
          <w:rFonts w:ascii="Arial" w:hAnsi="Arial" w:cs="Arial"/>
          <w:sz w:val="18"/>
          <w:szCs w:val="18"/>
        </w:rPr>
        <w:t xml:space="preserve">, </w:t>
      </w:r>
      <w:r w:rsidRPr="004401C1">
        <w:rPr>
          <w:rFonts w:ascii="Arial" w:hAnsi="Arial" w:cs="Arial"/>
          <w:i/>
          <w:sz w:val="18"/>
          <w:szCs w:val="18"/>
        </w:rPr>
        <w:t>o Statutu Státního fondu dopravní infrastruktury</w:t>
      </w:r>
      <w:r w:rsidRPr="00C64A1A">
        <w:rPr>
          <w:rFonts w:ascii="Arial" w:hAnsi="Arial" w:cs="Arial"/>
          <w:sz w:val="18"/>
          <w:szCs w:val="18"/>
        </w:rPr>
        <w:t>.</w:t>
      </w:r>
    </w:p>
  </w:footnote>
  <w:footnote w:id="6">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Vyhláška č. 527/2006 Sb., o užívání zpoplatněných pozemních komunikací a o změně vyhlášky Ministerstva dopravy a spojů č. 104/1997 Sb., kterou se provádí zákon o pozemních komunikacích, ve znění pozdějších předpisů. </w:t>
      </w:r>
    </w:p>
  </w:footnote>
  <w:footnote w:id="7">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Zákon č. 152/2011 Sb., kterým se mění zákon č. 13/1997 Sb., o pozemních komunikacích, ve znění pozdějších předpisů</w:t>
      </w:r>
      <w:r>
        <w:rPr>
          <w:rFonts w:ascii="Arial" w:hAnsi="Arial" w:cs="Arial"/>
          <w:sz w:val="18"/>
          <w:szCs w:val="18"/>
        </w:rPr>
        <w:t>,</w:t>
      </w:r>
      <w:r w:rsidRPr="00C64A1A">
        <w:rPr>
          <w:rFonts w:ascii="Arial" w:hAnsi="Arial" w:cs="Arial"/>
          <w:sz w:val="18"/>
          <w:szCs w:val="18"/>
        </w:rPr>
        <w:t xml:space="preserve"> a další související zákony.  </w:t>
      </w:r>
    </w:p>
  </w:footnote>
  <w:footnote w:id="8">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Důvodová zpráva k zákonu č. 80/2006 Sb., kterým se mění zákon č. 13/1997 Sb., o pozemních komunikacích</w:t>
      </w:r>
      <w:r>
        <w:rPr>
          <w:rFonts w:ascii="Arial" w:hAnsi="Arial" w:cs="Arial"/>
          <w:sz w:val="18"/>
          <w:szCs w:val="18"/>
        </w:rPr>
        <w:t xml:space="preserve">, </w:t>
      </w:r>
      <w:r w:rsidRPr="00C64A1A">
        <w:rPr>
          <w:rFonts w:ascii="Arial" w:hAnsi="Arial" w:cs="Arial"/>
          <w:sz w:val="18"/>
          <w:szCs w:val="18"/>
        </w:rPr>
        <w:t>ve znění pozdějších předpisů</w:t>
      </w:r>
      <w:r>
        <w:rPr>
          <w:rFonts w:ascii="Arial" w:hAnsi="Arial" w:cs="Arial"/>
          <w:sz w:val="18"/>
          <w:szCs w:val="18"/>
        </w:rPr>
        <w:t>,</w:t>
      </w:r>
      <w:r w:rsidRPr="00C64A1A">
        <w:rPr>
          <w:rFonts w:ascii="Arial" w:hAnsi="Arial" w:cs="Arial"/>
          <w:sz w:val="18"/>
          <w:szCs w:val="18"/>
        </w:rPr>
        <w:t xml:space="preserve"> a další související zákony.</w:t>
      </w:r>
    </w:p>
  </w:footnote>
  <w:footnote w:id="9">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Náklady na zavedení SVZ jsou uvedeny v kontrolním závěru z KA č. 11/13, který byl zveřejněn v č</w:t>
      </w:r>
      <w:r>
        <w:rPr>
          <w:rFonts w:ascii="Arial" w:hAnsi="Arial" w:cs="Arial"/>
          <w:sz w:val="18"/>
          <w:szCs w:val="18"/>
        </w:rPr>
        <w:t xml:space="preserve">ástce </w:t>
      </w:r>
      <w:r w:rsidRPr="00C64A1A">
        <w:rPr>
          <w:rFonts w:ascii="Arial" w:hAnsi="Arial" w:cs="Arial"/>
          <w:sz w:val="18"/>
          <w:szCs w:val="18"/>
        </w:rPr>
        <w:t xml:space="preserve">2/2012 </w:t>
      </w:r>
      <w:r w:rsidRPr="004401C1">
        <w:rPr>
          <w:rFonts w:ascii="Arial" w:hAnsi="Arial" w:cs="Arial"/>
          <w:i/>
          <w:sz w:val="18"/>
          <w:szCs w:val="18"/>
        </w:rPr>
        <w:t>Věstníku NKÚ</w:t>
      </w:r>
      <w:r w:rsidRPr="00C64A1A">
        <w:rPr>
          <w:rFonts w:ascii="Arial" w:hAnsi="Arial" w:cs="Arial"/>
          <w:sz w:val="18"/>
          <w:szCs w:val="18"/>
        </w:rPr>
        <w:t xml:space="preserve"> s tím rozdílem, že byly započteny náklady do konce roku 2011 a nebyly započteny náklady na telematické aplikace </w:t>
      </w:r>
      <w:r>
        <w:rPr>
          <w:rFonts w:ascii="Arial" w:hAnsi="Arial" w:cs="Arial"/>
          <w:sz w:val="18"/>
          <w:szCs w:val="18"/>
        </w:rPr>
        <w:t>(z</w:t>
      </w:r>
      <w:r w:rsidRPr="00C64A1A">
        <w:rPr>
          <w:rFonts w:ascii="Arial" w:hAnsi="Arial" w:cs="Arial"/>
          <w:sz w:val="18"/>
          <w:szCs w:val="18"/>
        </w:rPr>
        <w:t>droj</w:t>
      </w:r>
      <w:r>
        <w:rPr>
          <w:rFonts w:ascii="Arial" w:hAnsi="Arial" w:cs="Arial"/>
          <w:sz w:val="18"/>
          <w:szCs w:val="18"/>
        </w:rPr>
        <w:t xml:space="preserve"> dat</w:t>
      </w:r>
      <w:r w:rsidRPr="00C64A1A">
        <w:rPr>
          <w:rFonts w:ascii="Arial" w:hAnsi="Arial" w:cs="Arial"/>
          <w:sz w:val="18"/>
          <w:szCs w:val="18"/>
        </w:rPr>
        <w:t xml:space="preserve">: </w:t>
      </w:r>
      <w:r>
        <w:rPr>
          <w:rFonts w:ascii="Arial" w:hAnsi="Arial" w:cs="Arial"/>
          <w:sz w:val="18"/>
          <w:szCs w:val="18"/>
        </w:rPr>
        <w:t>Ř</w:t>
      </w:r>
      <w:r w:rsidRPr="00C64A1A">
        <w:rPr>
          <w:rFonts w:ascii="Arial" w:hAnsi="Arial" w:cs="Arial"/>
          <w:sz w:val="18"/>
          <w:szCs w:val="18"/>
        </w:rPr>
        <w:t>SD, SFDI</w:t>
      </w:r>
      <w:r>
        <w:rPr>
          <w:rFonts w:ascii="Arial" w:hAnsi="Arial" w:cs="Arial"/>
          <w:sz w:val="18"/>
          <w:szCs w:val="18"/>
        </w:rPr>
        <w:t>;</w:t>
      </w:r>
      <w:r w:rsidRPr="00C64A1A">
        <w:rPr>
          <w:rFonts w:ascii="Arial" w:hAnsi="Arial" w:cs="Arial"/>
          <w:sz w:val="18"/>
          <w:szCs w:val="18"/>
        </w:rPr>
        <w:t xml:space="preserve"> výpočet NKÚ</w:t>
      </w:r>
      <w:r>
        <w:rPr>
          <w:rFonts w:ascii="Arial" w:hAnsi="Arial" w:cs="Arial"/>
          <w:sz w:val="18"/>
          <w:szCs w:val="18"/>
        </w:rPr>
        <w:t>)</w:t>
      </w:r>
      <w:r w:rsidRPr="00C64A1A">
        <w:rPr>
          <w:rFonts w:ascii="Arial" w:hAnsi="Arial" w:cs="Arial"/>
          <w:sz w:val="18"/>
          <w:szCs w:val="18"/>
        </w:rPr>
        <w:t xml:space="preserve">. Pro stanovení hrubého příjmu </w:t>
      </w:r>
      <w:r>
        <w:rPr>
          <w:rFonts w:ascii="Arial" w:hAnsi="Arial" w:cs="Arial"/>
          <w:sz w:val="18"/>
          <w:szCs w:val="18"/>
        </w:rPr>
        <w:t>z </w:t>
      </w:r>
      <w:r w:rsidRPr="00C64A1A">
        <w:rPr>
          <w:rFonts w:ascii="Arial" w:hAnsi="Arial" w:cs="Arial"/>
          <w:sz w:val="18"/>
          <w:szCs w:val="18"/>
        </w:rPr>
        <w:t>provozu SVZ použil NKÚ stav vedený v účetnictví SFDI, protože pouze tyto finanční prostředky lze použít na rozvoj dopravní infrastruktury.</w:t>
      </w:r>
    </w:p>
  </w:footnote>
  <w:footnote w:id="10">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Zdroj: GŘC a ŘSD.</w:t>
      </w:r>
    </w:p>
  </w:footnote>
  <w:footnote w:id="11">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Kontrola v oblasti výkonového zpoplatnění vyžaduje nepřetržitý výkon činnosti celními orgány a speciální technické zabezpečení a je proti kontrole časového zpoplatnění výrazně nákladnější. Náklady na kontrolu v SVZ nelze samostatně vyčíslit.</w:t>
      </w:r>
    </w:p>
  </w:footnote>
  <w:footnote w:id="12">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Zdroj: </w:t>
      </w:r>
      <w:r w:rsidRPr="004401C1">
        <w:rPr>
          <w:rFonts w:ascii="Arial" w:hAnsi="Arial" w:cs="Arial"/>
          <w:i/>
          <w:sz w:val="18"/>
          <w:szCs w:val="18"/>
        </w:rPr>
        <w:t>Závěrečná zpráva k hospodářským výsledkům dálničních kuponů emise 2006</w:t>
      </w:r>
      <w:r w:rsidRPr="00C64A1A">
        <w:rPr>
          <w:rFonts w:ascii="Arial" w:hAnsi="Arial" w:cs="Arial"/>
          <w:sz w:val="18"/>
          <w:szCs w:val="18"/>
        </w:rPr>
        <w:t xml:space="preserve">. </w:t>
      </w:r>
    </w:p>
  </w:footnote>
  <w:footnote w:id="13">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V roce 2009 činilo inkaso časových poplatků </w:t>
      </w:r>
      <w:r>
        <w:rPr>
          <w:rFonts w:ascii="Arial" w:hAnsi="Arial" w:cs="Arial"/>
          <w:sz w:val="18"/>
          <w:szCs w:val="18"/>
        </w:rPr>
        <w:t xml:space="preserve">u </w:t>
      </w:r>
      <w:r w:rsidRPr="00C64A1A">
        <w:rPr>
          <w:rFonts w:ascii="Arial" w:hAnsi="Arial" w:cs="Arial"/>
          <w:sz w:val="18"/>
          <w:szCs w:val="18"/>
        </w:rPr>
        <w:t xml:space="preserve">vozidel </w:t>
      </w:r>
      <w:r>
        <w:rPr>
          <w:rFonts w:ascii="Arial" w:hAnsi="Arial" w:cs="Arial"/>
          <w:sz w:val="18"/>
          <w:szCs w:val="18"/>
        </w:rPr>
        <w:t xml:space="preserve">kategorie od </w:t>
      </w:r>
      <w:r w:rsidRPr="00C64A1A">
        <w:rPr>
          <w:rFonts w:ascii="Arial" w:hAnsi="Arial" w:cs="Arial"/>
          <w:sz w:val="18"/>
          <w:szCs w:val="18"/>
        </w:rPr>
        <w:t>3,5 t</w:t>
      </w:r>
      <w:r>
        <w:rPr>
          <w:rFonts w:ascii="Arial" w:hAnsi="Arial" w:cs="Arial"/>
          <w:sz w:val="18"/>
          <w:szCs w:val="18"/>
        </w:rPr>
        <w:t xml:space="preserve"> do </w:t>
      </w:r>
      <w:r w:rsidRPr="00C64A1A">
        <w:rPr>
          <w:rFonts w:ascii="Arial" w:hAnsi="Arial" w:cs="Arial"/>
          <w:sz w:val="18"/>
          <w:szCs w:val="18"/>
        </w:rPr>
        <w:t xml:space="preserve">12 t </w:t>
      </w:r>
      <w:r>
        <w:rPr>
          <w:rFonts w:ascii="Arial" w:hAnsi="Arial" w:cs="Arial"/>
          <w:sz w:val="18"/>
          <w:szCs w:val="18"/>
        </w:rPr>
        <w:t xml:space="preserve">celkem </w:t>
      </w:r>
      <w:r w:rsidRPr="00C64A1A">
        <w:rPr>
          <w:rFonts w:ascii="Arial" w:hAnsi="Arial" w:cs="Arial"/>
          <w:sz w:val="18"/>
          <w:szCs w:val="18"/>
        </w:rPr>
        <w:t>338,46 mil. Kč, tj. při nákladovosti 7,52 % čistý výnos 313,01 mil. Kč.</w:t>
      </w:r>
    </w:p>
  </w:footnote>
  <w:footnote w:id="14">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Nařízení vlády č. 415/2010 Sb., kterým se mění nařízení vlády č. 484/2006 Sb., o výši časových poplatků a o výši sazeb mýtného za užívání určených pozemních komunikací, ve znění pozdějších předpisů, a nařízení vlády č. 354/2011 Sb., kterým se mění nařízení vlády č. 484/2006 Sb., o výši časových poplatků a o výši sazeb mýtného za užívání určených pozemních komunikací, ve znění pozdějších předpisů.</w:t>
      </w:r>
    </w:p>
  </w:footnote>
  <w:footnote w:id="15">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Odůvodnění a závěrečná zpráva </w:t>
      </w:r>
      <w:r>
        <w:rPr>
          <w:rFonts w:ascii="Arial" w:hAnsi="Arial" w:cs="Arial"/>
          <w:sz w:val="18"/>
          <w:szCs w:val="18"/>
        </w:rPr>
        <w:t>z </w:t>
      </w:r>
      <w:r w:rsidRPr="00C64A1A">
        <w:rPr>
          <w:rFonts w:ascii="Arial" w:hAnsi="Arial" w:cs="Arial"/>
          <w:sz w:val="18"/>
          <w:szCs w:val="18"/>
        </w:rPr>
        <w:t>hodnocení dopadů regulace k nařízení vlády č. 352/2012 Sb.</w:t>
      </w:r>
      <w:r>
        <w:rPr>
          <w:rFonts w:ascii="Arial" w:hAnsi="Arial" w:cs="Arial"/>
          <w:sz w:val="18"/>
          <w:szCs w:val="18"/>
        </w:rPr>
        <w:t>,</w:t>
      </w:r>
      <w:r w:rsidRPr="00C64A1A">
        <w:rPr>
          <w:rFonts w:ascii="Arial" w:hAnsi="Arial" w:cs="Arial"/>
          <w:sz w:val="18"/>
          <w:szCs w:val="18"/>
        </w:rPr>
        <w:t xml:space="preserve"> kterým se mění nařízení vlády č. 484/2006 Sb., o výši časových poplatků a o výši sazeb mýtného za užívání určených pozemních komunikací, ve znění pozdějších předpisů. </w:t>
      </w:r>
    </w:p>
  </w:footnote>
  <w:footnote w:id="16">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Zdroj: MD a ŘSD.</w:t>
      </w:r>
    </w:p>
  </w:footnote>
  <w:footnote w:id="17">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Z anglického „On-</w:t>
      </w:r>
      <w:proofErr w:type="spellStart"/>
      <w:r w:rsidRPr="00C64A1A">
        <w:rPr>
          <w:rFonts w:ascii="Arial" w:hAnsi="Arial" w:cs="Arial"/>
          <w:sz w:val="18"/>
          <w:szCs w:val="18"/>
        </w:rPr>
        <w:t>Board</w:t>
      </w:r>
      <w:proofErr w:type="spellEnd"/>
      <w:r w:rsidRPr="00C64A1A">
        <w:rPr>
          <w:rFonts w:ascii="Arial" w:hAnsi="Arial" w:cs="Arial"/>
          <w:sz w:val="18"/>
          <w:szCs w:val="18"/>
        </w:rPr>
        <w:t>-Unit“</w:t>
      </w:r>
      <w:r>
        <w:rPr>
          <w:rFonts w:ascii="Arial" w:hAnsi="Arial" w:cs="Arial"/>
          <w:sz w:val="18"/>
          <w:szCs w:val="18"/>
        </w:rPr>
        <w:t>.</w:t>
      </w:r>
      <w:r w:rsidRPr="00C64A1A">
        <w:rPr>
          <w:rFonts w:ascii="Arial" w:hAnsi="Arial" w:cs="Arial"/>
          <w:sz w:val="18"/>
          <w:szCs w:val="18"/>
        </w:rPr>
        <w:t xml:space="preserve"> OBU slouží k identifikaci vozidla při průjezdu branou a zaznamenání mýtných transakcí. Počet OBU vyjadřuje počet vozidel registrovaných v SVZ. </w:t>
      </w:r>
      <w:r>
        <w:rPr>
          <w:rFonts w:ascii="Arial" w:hAnsi="Arial" w:cs="Arial"/>
          <w:sz w:val="18"/>
          <w:szCs w:val="18"/>
        </w:rPr>
        <w:t>(</w:t>
      </w:r>
      <w:r w:rsidRPr="00C64A1A">
        <w:rPr>
          <w:rFonts w:ascii="Arial" w:hAnsi="Arial" w:cs="Arial"/>
          <w:sz w:val="18"/>
          <w:szCs w:val="18"/>
        </w:rPr>
        <w:t>Zdroj: ŘSD.</w:t>
      </w:r>
      <w:r>
        <w:rPr>
          <w:rFonts w:ascii="Arial" w:hAnsi="Arial" w:cs="Arial"/>
          <w:sz w:val="18"/>
          <w:szCs w:val="18"/>
        </w:rPr>
        <w:t>)</w:t>
      </w:r>
    </w:p>
  </w:footnote>
  <w:footnote w:id="18">
    <w:p w:rsidR="00B57A41" w:rsidRPr="004401C1" w:rsidRDefault="00B57A41" w:rsidP="004401C1">
      <w:pPr>
        <w:pStyle w:val="Textpoznpodarou"/>
        <w:ind w:left="284" w:hanging="284"/>
        <w:rPr>
          <w:rFonts w:ascii="Arial" w:hAnsi="Arial" w:cs="Arial"/>
          <w:sz w:val="18"/>
          <w:szCs w:val="18"/>
        </w:rPr>
      </w:pPr>
      <w:r w:rsidRPr="004401C1">
        <w:rPr>
          <w:rStyle w:val="Znakapoznpodarou"/>
          <w:rFonts w:ascii="Arial" w:hAnsi="Arial" w:cs="Arial"/>
          <w:sz w:val="18"/>
          <w:szCs w:val="18"/>
        </w:rPr>
        <w:footnoteRef/>
      </w:r>
      <w:r w:rsidRPr="004401C1">
        <w:rPr>
          <w:rFonts w:ascii="Arial" w:hAnsi="Arial" w:cs="Arial"/>
          <w:sz w:val="18"/>
          <w:szCs w:val="18"/>
        </w:rPr>
        <w:t xml:space="preserve"> </w:t>
      </w:r>
      <w:r>
        <w:rPr>
          <w:rFonts w:ascii="Arial" w:hAnsi="Arial" w:cs="Arial"/>
          <w:sz w:val="18"/>
          <w:szCs w:val="18"/>
        </w:rPr>
        <w:tab/>
      </w:r>
      <w:r w:rsidRPr="007618F6">
        <w:rPr>
          <w:rFonts w:ascii="Arial" w:hAnsi="Arial" w:cs="Arial"/>
          <w:sz w:val="18"/>
          <w:szCs w:val="18"/>
        </w:rPr>
        <w:t>Daň z přidané hodnoty</w:t>
      </w:r>
      <w:r>
        <w:rPr>
          <w:rFonts w:ascii="Arial" w:hAnsi="Arial" w:cs="Arial"/>
          <w:sz w:val="18"/>
          <w:szCs w:val="18"/>
        </w:rPr>
        <w:t>.</w:t>
      </w:r>
    </w:p>
  </w:footnote>
  <w:footnote w:id="19">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 xml:space="preserve">Ustanovení čl. 7i odst. 2 </w:t>
      </w:r>
      <w:r>
        <w:rPr>
          <w:rFonts w:ascii="Arial" w:hAnsi="Arial" w:cs="Arial"/>
          <w:sz w:val="18"/>
          <w:szCs w:val="18"/>
        </w:rPr>
        <w:t>s</w:t>
      </w:r>
      <w:r w:rsidRPr="00C64A1A">
        <w:rPr>
          <w:rFonts w:ascii="Arial" w:hAnsi="Arial" w:cs="Arial"/>
          <w:sz w:val="18"/>
          <w:szCs w:val="18"/>
        </w:rPr>
        <w:t>měrnice Evropského parlamentu a Rady č. 1999/62/ES, o výběru poplatků za užívání určitých pozemních komunikací těžkými nákladními vozidly.</w:t>
      </w:r>
    </w:p>
  </w:footnote>
  <w:footnote w:id="20">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Odůvodnění </w:t>
      </w:r>
      <w:r>
        <w:rPr>
          <w:rFonts w:ascii="Arial" w:hAnsi="Arial" w:cs="Arial"/>
          <w:sz w:val="18"/>
          <w:szCs w:val="18"/>
        </w:rPr>
        <w:t xml:space="preserve">k </w:t>
      </w:r>
      <w:r w:rsidRPr="00C64A1A">
        <w:rPr>
          <w:rFonts w:ascii="Arial" w:hAnsi="Arial" w:cs="Arial"/>
          <w:sz w:val="18"/>
          <w:szCs w:val="18"/>
        </w:rPr>
        <w:t>nařízení vlády č. 354/2011 Sb., kterým se mění nařízení vlády č. 484/2006 Sb., o výši časových poplatků a o výši sazeb mýtného za užívání určených pozemních komunikací, ve znění pozdějších předpisů.</w:t>
      </w:r>
    </w:p>
  </w:footnote>
  <w:footnote w:id="21">
    <w:p w:rsidR="00B57A41" w:rsidRPr="00C64A1A" w:rsidRDefault="00B57A41" w:rsidP="00B57A41">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Hodnoty vycházejí z přepočtu sazeb pro vozidla EURO V a vyšší</w:t>
      </w:r>
      <w:r>
        <w:rPr>
          <w:rFonts w:ascii="Arial" w:hAnsi="Arial" w:cs="Arial"/>
          <w:sz w:val="18"/>
          <w:szCs w:val="18"/>
        </w:rPr>
        <w:t>ch</w:t>
      </w:r>
      <w:r w:rsidRPr="00C64A1A">
        <w:rPr>
          <w:rFonts w:ascii="Arial" w:hAnsi="Arial" w:cs="Arial"/>
          <w:sz w:val="18"/>
          <w:szCs w:val="18"/>
        </w:rPr>
        <w:t xml:space="preserve"> při neposkytnutí výjimky.</w:t>
      </w:r>
    </w:p>
  </w:footnote>
  <w:footnote w:id="22">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Nařízení vlády č. 243/2011 Sb., kterým se mění nařízení vlády č. 484/2006 Sb.</w:t>
      </w:r>
      <w:r>
        <w:rPr>
          <w:rFonts w:ascii="Arial" w:hAnsi="Arial" w:cs="Arial"/>
          <w:sz w:val="18"/>
          <w:szCs w:val="18"/>
        </w:rPr>
        <w:t>,</w:t>
      </w:r>
      <w:r w:rsidRPr="00C64A1A">
        <w:rPr>
          <w:rFonts w:ascii="Arial" w:hAnsi="Arial" w:cs="Arial"/>
          <w:sz w:val="18"/>
          <w:szCs w:val="18"/>
        </w:rPr>
        <w:t xml:space="preserve"> o výši časových poplatků a o výši sazeb mýtného za užívání určených pozemních komunikací, ve znění pozdějších předpisů.</w:t>
      </w:r>
    </w:p>
  </w:footnote>
  <w:footnote w:id="23">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Součástí kontrolního systému jsou kontrolní brány osazené technologií pro určování druhu, kategorie a poznávací značky vozidla a dále mýtné brány, které pouze snímají signál OBU k určení projetého mýtného. </w:t>
      </w:r>
    </w:p>
  </w:footnote>
  <w:footnote w:id="24">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Usnesení vlády ČR ze dne 12. ledna 2005 č. 42, </w:t>
      </w:r>
      <w:r w:rsidRPr="004401C1">
        <w:rPr>
          <w:rFonts w:ascii="Arial" w:hAnsi="Arial" w:cs="Arial"/>
          <w:i/>
          <w:sz w:val="18"/>
          <w:szCs w:val="18"/>
        </w:rPr>
        <w:t>k Návrhu zavedení výkonového zpoplatnění na vybraných pozemních komunikacích v České republice</w:t>
      </w:r>
      <w:r w:rsidRPr="00C64A1A">
        <w:rPr>
          <w:rFonts w:ascii="Arial" w:hAnsi="Arial" w:cs="Arial"/>
          <w:sz w:val="18"/>
          <w:szCs w:val="18"/>
        </w:rPr>
        <w:t>.</w:t>
      </w:r>
    </w:p>
  </w:footnote>
  <w:footnote w:id="25">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Poplatky zahrnují</w:t>
      </w:r>
      <w:r>
        <w:rPr>
          <w:rFonts w:ascii="Arial" w:hAnsi="Arial" w:cs="Arial"/>
          <w:sz w:val="18"/>
          <w:szCs w:val="18"/>
        </w:rPr>
        <w:t>:</w:t>
      </w:r>
      <w:r w:rsidRPr="00C64A1A">
        <w:rPr>
          <w:rFonts w:ascii="Arial" w:hAnsi="Arial" w:cs="Arial"/>
          <w:sz w:val="18"/>
          <w:szCs w:val="18"/>
        </w:rPr>
        <w:t xml:space="preserve"> poplatky bance vydávající kartu, poplatek bance akceptující kartu, poplatek za autorizaci </w:t>
      </w:r>
      <w:r>
        <w:rPr>
          <w:rFonts w:ascii="Arial" w:hAnsi="Arial" w:cs="Arial"/>
          <w:sz w:val="18"/>
          <w:szCs w:val="18"/>
        </w:rPr>
        <w:t>a</w:t>
      </w:r>
      <w:r w:rsidRPr="00C64A1A">
        <w:rPr>
          <w:rFonts w:ascii="Arial" w:hAnsi="Arial" w:cs="Arial"/>
          <w:sz w:val="18"/>
          <w:szCs w:val="18"/>
        </w:rPr>
        <w:t> zpracování transakce</w:t>
      </w:r>
      <w:r>
        <w:rPr>
          <w:rFonts w:ascii="Arial" w:hAnsi="Arial" w:cs="Arial"/>
          <w:sz w:val="18"/>
          <w:szCs w:val="18"/>
        </w:rPr>
        <w:t>,</w:t>
      </w:r>
      <w:r w:rsidRPr="00C64A1A">
        <w:rPr>
          <w:rFonts w:ascii="Arial" w:hAnsi="Arial" w:cs="Arial"/>
          <w:sz w:val="18"/>
          <w:szCs w:val="18"/>
        </w:rPr>
        <w:t xml:space="preserve"> případně další poplatky.</w:t>
      </w:r>
    </w:p>
  </w:footnote>
  <w:footnote w:id="26">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Smluvními podmínkami provozovatele elektronického mýtného byly v souladu s ustanovením § 22c odst. 2 a 5 zákona č</w:t>
      </w:r>
      <w:r>
        <w:rPr>
          <w:rFonts w:ascii="Arial" w:hAnsi="Arial" w:cs="Arial"/>
          <w:sz w:val="18"/>
          <w:szCs w:val="18"/>
        </w:rPr>
        <w:t>.</w:t>
      </w:r>
      <w:r w:rsidRPr="00C64A1A">
        <w:rPr>
          <w:rFonts w:ascii="Arial" w:hAnsi="Arial" w:cs="Arial"/>
          <w:sz w:val="18"/>
          <w:szCs w:val="18"/>
        </w:rPr>
        <w:t xml:space="preserve"> 13/1997 Sb. upravovány některé podrobnosti úhrady mýtného. </w:t>
      </w:r>
    </w:p>
  </w:footnote>
  <w:footnote w:id="27">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Celní správa zajišťuje kontrolní činnost v časovém i výkonovém zpoplatnění. Kontrolní činnost je prováděna souběžně</w:t>
      </w:r>
      <w:r>
        <w:rPr>
          <w:rFonts w:ascii="Arial" w:hAnsi="Arial" w:cs="Arial"/>
          <w:sz w:val="18"/>
          <w:szCs w:val="18"/>
        </w:rPr>
        <w:t>,</w:t>
      </w:r>
      <w:r w:rsidRPr="00C64A1A">
        <w:rPr>
          <w:rFonts w:ascii="Arial" w:hAnsi="Arial" w:cs="Arial"/>
          <w:sz w:val="18"/>
          <w:szCs w:val="18"/>
        </w:rPr>
        <w:t xml:space="preserve"> a</w:t>
      </w:r>
      <w:r>
        <w:rPr>
          <w:rFonts w:ascii="Arial" w:hAnsi="Arial" w:cs="Arial"/>
          <w:sz w:val="18"/>
          <w:szCs w:val="18"/>
        </w:rPr>
        <w:t xml:space="preserve"> proto</w:t>
      </w:r>
      <w:r w:rsidRPr="00C64A1A">
        <w:rPr>
          <w:rFonts w:ascii="Arial" w:hAnsi="Arial" w:cs="Arial"/>
          <w:sz w:val="18"/>
          <w:szCs w:val="18"/>
        </w:rPr>
        <w:t xml:space="preserve"> nelze náklady podle způsobu zpoplatnění samostatně vyčíslit.</w:t>
      </w:r>
    </w:p>
  </w:footnote>
  <w:footnote w:id="28">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 xml:space="preserve">Kontrolu zpoplatnění je oprávněna provádět i Policie ČR, její výsledky nejsou v tomto kontrolním závěru zohledněny. </w:t>
      </w:r>
    </w:p>
  </w:footnote>
  <w:footnote w:id="29">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Rozsudky č.</w:t>
      </w:r>
      <w:r>
        <w:rPr>
          <w:rFonts w:ascii="Arial" w:hAnsi="Arial" w:cs="Arial"/>
          <w:sz w:val="18"/>
          <w:szCs w:val="18"/>
        </w:rPr>
        <w:t> </w:t>
      </w:r>
      <w:r w:rsidRPr="00C64A1A">
        <w:rPr>
          <w:rFonts w:ascii="Arial" w:hAnsi="Arial" w:cs="Arial"/>
          <w:sz w:val="18"/>
          <w:szCs w:val="18"/>
        </w:rPr>
        <w:t>j. 13 EC 984/2011-71, 111 EC 188/2011-83 a 4 EC 190/2011-49.</w:t>
      </w:r>
    </w:p>
  </w:footnote>
  <w:footnote w:id="30">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 xml:space="preserve">Případy, u kterých bylo ŘSD schopno určit dlužníka a vyčíslit uniklé mýtné jinou cestou. </w:t>
      </w:r>
    </w:p>
  </w:footnote>
  <w:footnote w:id="31">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Podle ustanovení § 35 odst. 2 zákona č. 219/2000 Sb., o majetku </w:t>
      </w:r>
      <w:r>
        <w:rPr>
          <w:rFonts w:ascii="Arial" w:hAnsi="Arial" w:cs="Arial"/>
          <w:sz w:val="18"/>
          <w:szCs w:val="18"/>
        </w:rPr>
        <w:t>České republiky a jejím vystupování v právních vztazích</w:t>
      </w:r>
      <w:r w:rsidRPr="00C64A1A">
        <w:rPr>
          <w:rFonts w:ascii="Arial" w:hAnsi="Arial" w:cs="Arial"/>
          <w:sz w:val="18"/>
          <w:szCs w:val="18"/>
        </w:rPr>
        <w:t>, lze upustit od vymáhání pohledávek, jejichž jmenovitá hodnota včetně příslušenství, případně jejich součet, nepřesahuje 1 000 Kč za rok a dlužník odmítá dluh dobrovolně splnit.</w:t>
      </w:r>
    </w:p>
  </w:footnote>
  <w:footnote w:id="32">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Poskytovanými službami jsou zejména: evidence mýtných incidentů, vyhodnocení potenciálních nedoplatků včetně automatického zpracování dat, identifikace a dopočítání pohledávek a nedoplatků na mýtném, identifikace a ztotožnění provozovatelů vozidel, seskupení pohledávek a nedoplatků podle provozovatelů a předání k procesu vymáhání, vypracování a zasílání výzev k plnění a další komunikace </w:t>
      </w:r>
      <w:r>
        <w:rPr>
          <w:rFonts w:ascii="Arial" w:hAnsi="Arial" w:cs="Arial"/>
          <w:sz w:val="18"/>
          <w:szCs w:val="18"/>
        </w:rPr>
        <w:t>s </w:t>
      </w:r>
      <w:r w:rsidRPr="00C64A1A">
        <w:rPr>
          <w:rFonts w:ascii="Arial" w:hAnsi="Arial" w:cs="Arial"/>
          <w:sz w:val="18"/>
          <w:szCs w:val="18"/>
        </w:rPr>
        <w:t xml:space="preserve">dlužníky, podávání žalob, zastupování před soudem, komunikace </w:t>
      </w:r>
      <w:r>
        <w:rPr>
          <w:rFonts w:ascii="Arial" w:hAnsi="Arial" w:cs="Arial"/>
          <w:sz w:val="18"/>
          <w:szCs w:val="18"/>
        </w:rPr>
        <w:t>s </w:t>
      </w:r>
      <w:r w:rsidRPr="00C64A1A">
        <w:rPr>
          <w:rFonts w:ascii="Arial" w:hAnsi="Arial" w:cs="Arial"/>
          <w:sz w:val="18"/>
          <w:szCs w:val="18"/>
        </w:rPr>
        <w:t>exekutory, konzultace, poradenství a analýzy.</w:t>
      </w:r>
    </w:p>
  </w:footnote>
  <w:footnote w:id="33">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 xml:space="preserve">Vzhledem k tomu, že v nákladech jsou zahrnuty pořizovací náklady na software, bude </w:t>
      </w:r>
      <w:r>
        <w:rPr>
          <w:rFonts w:ascii="Arial" w:hAnsi="Arial" w:cs="Arial"/>
          <w:sz w:val="18"/>
          <w:szCs w:val="18"/>
        </w:rPr>
        <w:t>s </w:t>
      </w:r>
      <w:r w:rsidRPr="00C64A1A">
        <w:rPr>
          <w:rFonts w:ascii="Arial" w:hAnsi="Arial" w:cs="Arial"/>
          <w:sz w:val="18"/>
          <w:szCs w:val="18"/>
        </w:rPr>
        <w:t>rostoucím objemem vymožených mýtných nedoplatků efektivita postupně narůstat.</w:t>
      </w:r>
    </w:p>
  </w:footnote>
  <w:footnote w:id="34">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Rozsudek č.</w:t>
      </w:r>
      <w:r>
        <w:rPr>
          <w:rFonts w:ascii="Arial" w:hAnsi="Arial" w:cs="Arial"/>
          <w:sz w:val="18"/>
          <w:szCs w:val="18"/>
        </w:rPr>
        <w:t> </w:t>
      </w:r>
      <w:r w:rsidRPr="00C64A1A">
        <w:rPr>
          <w:rFonts w:ascii="Arial" w:hAnsi="Arial" w:cs="Arial"/>
          <w:sz w:val="18"/>
          <w:szCs w:val="18"/>
        </w:rPr>
        <w:t>j. 25 Co 86/2012-164.</w:t>
      </w:r>
    </w:p>
  </w:footnote>
  <w:footnote w:id="35">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Zákon č. 56/2001 Sb., ze dne 10. ledna 2001 o podmínkách provozu vozidel na pozemních komunikacích a o změně zákona č. 168/1999 Sb., o pojištění odpovědnosti za škodu způsobenou provozem vozidla a o změně některých souvisejících zákonů (zákon o pojištění odpovědnosti </w:t>
      </w:r>
      <w:r>
        <w:rPr>
          <w:rFonts w:ascii="Arial" w:hAnsi="Arial" w:cs="Arial"/>
          <w:sz w:val="18"/>
          <w:szCs w:val="18"/>
        </w:rPr>
        <w:t>z </w:t>
      </w:r>
      <w:r w:rsidRPr="00C64A1A">
        <w:rPr>
          <w:rFonts w:ascii="Arial" w:hAnsi="Arial" w:cs="Arial"/>
          <w:sz w:val="18"/>
          <w:szCs w:val="18"/>
        </w:rPr>
        <w:t>provozu vozidla), ve znění zákona č. 307/1999 Sb.</w:t>
      </w:r>
    </w:p>
  </w:footnote>
  <w:footnote w:id="36">
    <w:p w:rsidR="00B57A41" w:rsidRPr="00C64A1A" w:rsidRDefault="00B57A41" w:rsidP="00EE0BAC">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Projekt </w:t>
      </w:r>
      <w:r>
        <w:rPr>
          <w:rFonts w:ascii="Arial" w:hAnsi="Arial" w:cs="Arial"/>
          <w:sz w:val="18"/>
          <w:szCs w:val="18"/>
        </w:rPr>
        <w:t xml:space="preserve">Ministerstva dopravy a spojů </w:t>
      </w:r>
      <w:r w:rsidRPr="00C64A1A">
        <w:rPr>
          <w:rFonts w:ascii="Arial" w:hAnsi="Arial" w:cs="Arial"/>
          <w:sz w:val="18"/>
          <w:szCs w:val="18"/>
        </w:rPr>
        <w:t xml:space="preserve">č. 804/110/101 </w:t>
      </w:r>
      <w:r w:rsidRPr="004401C1">
        <w:rPr>
          <w:rFonts w:ascii="Arial" w:hAnsi="Arial" w:cs="Arial"/>
          <w:i/>
          <w:sz w:val="18"/>
          <w:szCs w:val="18"/>
        </w:rPr>
        <w:t>Elektronické platby mýtného</w:t>
      </w:r>
      <w:r w:rsidRPr="00C64A1A">
        <w:rPr>
          <w:rFonts w:ascii="Arial" w:hAnsi="Arial" w:cs="Arial"/>
          <w:sz w:val="18"/>
          <w:szCs w:val="18"/>
        </w:rPr>
        <w:t>.</w:t>
      </w:r>
    </w:p>
  </w:footnote>
  <w:footnote w:id="37">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ab/>
        <w:t>Součást projektu M</w:t>
      </w:r>
      <w:r w:rsidR="008D5070">
        <w:rPr>
          <w:rFonts w:ascii="Arial" w:hAnsi="Arial" w:cs="Arial"/>
          <w:sz w:val="18"/>
          <w:szCs w:val="18"/>
        </w:rPr>
        <w:t>inisterstva dopravy</w:t>
      </w:r>
      <w:r w:rsidRPr="00C64A1A">
        <w:rPr>
          <w:rFonts w:ascii="Arial" w:hAnsi="Arial" w:cs="Arial"/>
          <w:sz w:val="18"/>
          <w:szCs w:val="18"/>
        </w:rPr>
        <w:t xml:space="preserve"> </w:t>
      </w:r>
      <w:r w:rsidR="00397B50">
        <w:rPr>
          <w:rFonts w:ascii="Arial" w:hAnsi="Arial" w:cs="Arial"/>
          <w:sz w:val="18"/>
          <w:szCs w:val="18"/>
        </w:rPr>
        <w:t xml:space="preserve">a spojů </w:t>
      </w:r>
      <w:r w:rsidRPr="00C64A1A">
        <w:rPr>
          <w:rFonts w:ascii="Arial" w:hAnsi="Arial" w:cs="Arial"/>
          <w:sz w:val="18"/>
          <w:szCs w:val="18"/>
        </w:rPr>
        <w:t xml:space="preserve">č. 804/110/101 </w:t>
      </w:r>
      <w:r w:rsidRPr="004401C1">
        <w:rPr>
          <w:rFonts w:ascii="Arial" w:hAnsi="Arial" w:cs="Arial"/>
          <w:i/>
          <w:sz w:val="18"/>
          <w:szCs w:val="18"/>
        </w:rPr>
        <w:t>Elektronické platby mýtného</w:t>
      </w:r>
      <w:r w:rsidRPr="00C64A1A">
        <w:rPr>
          <w:rFonts w:ascii="Arial" w:hAnsi="Arial" w:cs="Arial"/>
          <w:sz w:val="18"/>
          <w:szCs w:val="18"/>
        </w:rPr>
        <w:t>.</w:t>
      </w:r>
    </w:p>
  </w:footnote>
  <w:footnote w:id="38">
    <w:p w:rsidR="00B57A41" w:rsidRPr="00C64A1A" w:rsidRDefault="00B57A41" w:rsidP="00EE0BAC">
      <w:pPr>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Ustanovení § 40 odst. 7 písm. e) zákona č. 13/1997 Sb. </w:t>
      </w:r>
    </w:p>
  </w:footnote>
  <w:footnote w:id="39">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Zákon č. 152/2011 Sb., kterým se mění zákon č. 13/1997 Sb., o pozemních komunikacích, ve znění pozdějších předpisů</w:t>
      </w:r>
      <w:r>
        <w:rPr>
          <w:rFonts w:ascii="Arial" w:hAnsi="Arial" w:cs="Arial"/>
          <w:sz w:val="18"/>
          <w:szCs w:val="18"/>
        </w:rPr>
        <w:t>,</w:t>
      </w:r>
      <w:r w:rsidRPr="00C64A1A">
        <w:rPr>
          <w:rFonts w:ascii="Arial" w:hAnsi="Arial" w:cs="Arial"/>
          <w:sz w:val="18"/>
          <w:szCs w:val="18"/>
        </w:rPr>
        <w:t xml:space="preserve"> a další související zákony.</w:t>
      </w:r>
    </w:p>
  </w:footnote>
  <w:footnote w:id="40">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Ustanovení § 22b odst</w:t>
      </w:r>
      <w:r>
        <w:rPr>
          <w:rFonts w:ascii="Arial" w:hAnsi="Arial" w:cs="Arial"/>
          <w:sz w:val="18"/>
          <w:szCs w:val="18"/>
        </w:rPr>
        <w:t>.</w:t>
      </w:r>
      <w:r w:rsidRPr="00C64A1A">
        <w:rPr>
          <w:rFonts w:ascii="Arial" w:hAnsi="Arial" w:cs="Arial"/>
          <w:sz w:val="18"/>
          <w:szCs w:val="18"/>
        </w:rPr>
        <w:t xml:space="preserve"> 4 písm. b) a odst. 5 zákona č. 13/1997 Sb.</w:t>
      </w:r>
    </w:p>
  </w:footnote>
  <w:footnote w:id="41">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OBU, </w:t>
      </w:r>
      <w:proofErr w:type="gramStart"/>
      <w:r w:rsidRPr="00C64A1A">
        <w:rPr>
          <w:rFonts w:ascii="Arial" w:hAnsi="Arial" w:cs="Arial"/>
          <w:sz w:val="18"/>
          <w:szCs w:val="18"/>
        </w:rPr>
        <w:t>které</w:t>
      </w:r>
      <w:proofErr w:type="gramEnd"/>
      <w:r w:rsidRPr="00C64A1A">
        <w:rPr>
          <w:rFonts w:ascii="Arial" w:hAnsi="Arial" w:cs="Arial"/>
          <w:sz w:val="18"/>
          <w:szCs w:val="18"/>
        </w:rPr>
        <w:t xml:space="preserve"> by </w:t>
      </w:r>
      <w:proofErr w:type="spellStart"/>
      <w:r w:rsidRPr="00C64A1A">
        <w:rPr>
          <w:rFonts w:ascii="Arial" w:hAnsi="Arial" w:cs="Arial"/>
          <w:sz w:val="18"/>
          <w:szCs w:val="18"/>
        </w:rPr>
        <w:t>expirovaly</w:t>
      </w:r>
      <w:proofErr w:type="spellEnd"/>
      <w:r w:rsidRPr="00C64A1A">
        <w:rPr>
          <w:rFonts w:ascii="Arial" w:hAnsi="Arial" w:cs="Arial"/>
          <w:sz w:val="18"/>
          <w:szCs w:val="18"/>
        </w:rPr>
        <w:t xml:space="preserve"> za roky 2009, 2010, 2011 a</w:t>
      </w:r>
      <w:r>
        <w:rPr>
          <w:rFonts w:ascii="Arial" w:hAnsi="Arial" w:cs="Arial"/>
          <w:sz w:val="18"/>
          <w:szCs w:val="18"/>
        </w:rPr>
        <w:t xml:space="preserve"> </w:t>
      </w:r>
      <w:r w:rsidR="00D30C6A">
        <w:rPr>
          <w:rFonts w:ascii="Arial" w:hAnsi="Arial" w:cs="Arial"/>
          <w:sz w:val="18"/>
          <w:szCs w:val="18"/>
        </w:rPr>
        <w:t xml:space="preserve">za </w:t>
      </w:r>
      <w:r w:rsidRPr="00C64A1A">
        <w:rPr>
          <w:rFonts w:ascii="Arial" w:hAnsi="Arial" w:cs="Arial"/>
          <w:sz w:val="18"/>
          <w:szCs w:val="18"/>
        </w:rPr>
        <w:t>část roku 2012.</w:t>
      </w:r>
    </w:p>
  </w:footnote>
  <w:footnote w:id="42">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Nespotřebované mýtné je zálohou vloženou na OBU v režimu placení předem na v budoucnu spotřebované mýtné. </w:t>
      </w:r>
    </w:p>
  </w:footnote>
  <w:footnote w:id="43">
    <w:p w:rsidR="00B57A41" w:rsidRPr="00C64A1A" w:rsidRDefault="00B57A41" w:rsidP="00EE0BAC">
      <w:pPr>
        <w:pStyle w:val="Textpoznpodarou"/>
        <w:ind w:left="284" w:hanging="284"/>
        <w:jc w:val="both"/>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Zákon č. 196/2012 Sb.</w:t>
      </w:r>
      <w:r>
        <w:rPr>
          <w:rFonts w:ascii="Arial" w:hAnsi="Arial" w:cs="Arial"/>
          <w:sz w:val="18"/>
          <w:szCs w:val="18"/>
        </w:rPr>
        <w:t>,</w:t>
      </w:r>
      <w:r w:rsidRPr="00C64A1A">
        <w:rPr>
          <w:rFonts w:ascii="Arial" w:hAnsi="Arial" w:cs="Arial"/>
          <w:sz w:val="18"/>
          <w:szCs w:val="18"/>
        </w:rPr>
        <w:t xml:space="preserve"> kterým se mění zákon č. 13/1997 Sb., o pozemních komunikacích, ve znění pozdějších předpisů</w:t>
      </w:r>
      <w:r>
        <w:rPr>
          <w:rFonts w:ascii="Arial" w:hAnsi="Arial" w:cs="Arial"/>
          <w:sz w:val="18"/>
          <w:szCs w:val="18"/>
        </w:rPr>
        <w:t>,</w:t>
      </w:r>
      <w:r w:rsidRPr="00C64A1A">
        <w:rPr>
          <w:rFonts w:ascii="Arial" w:hAnsi="Arial" w:cs="Arial"/>
          <w:sz w:val="18"/>
          <w:szCs w:val="18"/>
        </w:rPr>
        <w:t xml:space="preserve"> a některé další zákony. </w:t>
      </w:r>
    </w:p>
  </w:footnote>
  <w:footnote w:id="44">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S účinností od 1. ledna 2013 je účinná vyhláška č. 470/2012 Sb., která nahrazuje vyhlášku č. 527/</w:t>
      </w:r>
      <w:r>
        <w:rPr>
          <w:rFonts w:ascii="Arial" w:hAnsi="Arial" w:cs="Arial"/>
          <w:sz w:val="18"/>
          <w:szCs w:val="18"/>
        </w:rPr>
        <w:t>2006</w:t>
      </w:r>
      <w:r w:rsidRPr="00C64A1A">
        <w:rPr>
          <w:rFonts w:ascii="Arial" w:hAnsi="Arial" w:cs="Arial"/>
          <w:sz w:val="18"/>
          <w:szCs w:val="18"/>
        </w:rPr>
        <w:t xml:space="preserve"> Sb.</w:t>
      </w:r>
    </w:p>
  </w:footnote>
  <w:footnote w:id="45">
    <w:p w:rsidR="00B57A41" w:rsidRPr="00C64A1A" w:rsidRDefault="00B57A41" w:rsidP="00EE0BAC">
      <w:pPr>
        <w:pStyle w:val="Textpoznpodarou"/>
        <w:ind w:left="284" w:hanging="284"/>
        <w:jc w:val="both"/>
        <w:rPr>
          <w:rFonts w:ascii="Arial" w:hAnsi="Arial" w:cs="Arial"/>
          <w:i/>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Dle §</w:t>
      </w:r>
      <w:r>
        <w:rPr>
          <w:rFonts w:ascii="Arial" w:hAnsi="Arial" w:cs="Arial"/>
          <w:sz w:val="18"/>
          <w:szCs w:val="18"/>
        </w:rPr>
        <w:t xml:space="preserve"> </w:t>
      </w:r>
      <w:r w:rsidRPr="00C64A1A">
        <w:rPr>
          <w:rFonts w:ascii="Arial" w:hAnsi="Arial" w:cs="Arial"/>
          <w:sz w:val="18"/>
          <w:szCs w:val="18"/>
        </w:rPr>
        <w:t>16 odst. 1 vyhlášky č. 527/2006 Sb.</w:t>
      </w:r>
      <w:r>
        <w:rPr>
          <w:rFonts w:ascii="Arial" w:hAnsi="Arial" w:cs="Arial"/>
          <w:sz w:val="18"/>
          <w:szCs w:val="18"/>
        </w:rPr>
        <w:t>:</w:t>
      </w:r>
      <w:r w:rsidRPr="00C64A1A">
        <w:rPr>
          <w:rFonts w:ascii="Arial" w:hAnsi="Arial" w:cs="Arial"/>
          <w:sz w:val="18"/>
          <w:szCs w:val="18"/>
        </w:rPr>
        <w:t xml:space="preserve"> „</w:t>
      </w:r>
      <w:r w:rsidRPr="00C64A1A">
        <w:rPr>
          <w:rFonts w:ascii="Arial" w:hAnsi="Arial" w:cs="Arial"/>
          <w:i/>
          <w:sz w:val="18"/>
          <w:szCs w:val="18"/>
        </w:rPr>
        <w:t>Vozidlo se odhlásí ze systému elektronického mýtného vrácením elektronického zařízení provozovateli systému elektronického mýtného. V případě, kdy elektronické zařízení nemůže být vráceno (např. v případě jeho ztráty nebo zničení), odhlašuje se vozidlo písemným oznámením provozovateli systému elektronického mýtného na kontaktní místo.</w:t>
      </w:r>
      <w:r w:rsidRPr="004401C1">
        <w:rPr>
          <w:rFonts w:ascii="Arial" w:hAnsi="Arial" w:cs="Arial"/>
          <w:sz w:val="18"/>
          <w:szCs w:val="18"/>
        </w:rPr>
        <w:t>“</w:t>
      </w:r>
    </w:p>
  </w:footnote>
  <w:footnote w:id="46">
    <w:p w:rsidR="00B57A41" w:rsidRPr="00C64A1A" w:rsidRDefault="00B57A41" w:rsidP="00EE0BAC">
      <w:pPr>
        <w:pStyle w:val="Textpoznpodarou"/>
        <w:ind w:left="284" w:hanging="284"/>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Tj. 5,25 % v roce 2009, 5,2 % v roce 2010</w:t>
      </w:r>
      <w:r>
        <w:rPr>
          <w:rFonts w:ascii="Arial" w:hAnsi="Arial" w:cs="Arial"/>
          <w:sz w:val="18"/>
          <w:szCs w:val="18"/>
        </w:rPr>
        <w:t xml:space="preserve"> a</w:t>
      </w:r>
      <w:r w:rsidRPr="00C64A1A">
        <w:rPr>
          <w:rFonts w:ascii="Arial" w:hAnsi="Arial" w:cs="Arial"/>
          <w:sz w:val="18"/>
          <w:szCs w:val="18"/>
        </w:rPr>
        <w:t xml:space="preserve"> 5,175 % v roce 2011.</w:t>
      </w:r>
    </w:p>
  </w:footnote>
  <w:footnote w:id="47">
    <w:p w:rsidR="00B57A41" w:rsidRPr="00C64A1A" w:rsidRDefault="00B57A41" w:rsidP="00EE0BAC">
      <w:pPr>
        <w:pStyle w:val="Textpoznpodarou"/>
        <w:ind w:left="284" w:hanging="284"/>
        <w:rPr>
          <w:rFonts w:ascii="Arial" w:hAnsi="Arial" w:cs="Arial"/>
          <w:sz w:val="18"/>
          <w:szCs w:val="18"/>
        </w:rPr>
      </w:pPr>
      <w:r w:rsidRPr="00C64A1A">
        <w:rPr>
          <w:rStyle w:val="Znakypropoznmkupodarou"/>
          <w:rFonts w:ascii="Arial" w:hAnsi="Arial" w:cs="Arial"/>
          <w:sz w:val="18"/>
          <w:szCs w:val="18"/>
        </w:rPr>
        <w:footnoteRef/>
      </w:r>
      <w:r w:rsidRPr="00C64A1A">
        <w:rPr>
          <w:rFonts w:ascii="Arial" w:hAnsi="Arial" w:cs="Arial"/>
          <w:sz w:val="18"/>
          <w:szCs w:val="18"/>
        </w:rPr>
        <w:t> </w:t>
      </w:r>
      <w:r w:rsidRPr="00C64A1A">
        <w:rPr>
          <w:rFonts w:ascii="Arial" w:hAnsi="Arial" w:cs="Arial"/>
          <w:sz w:val="18"/>
          <w:szCs w:val="18"/>
        </w:rPr>
        <w:tab/>
        <w:t xml:space="preserve">Ukazatel udává, kolik korun výnosů přináší jedna koruna vynaložených </w:t>
      </w:r>
      <w:r>
        <w:rPr>
          <w:rFonts w:ascii="Arial" w:hAnsi="Arial" w:cs="Arial"/>
          <w:sz w:val="18"/>
          <w:szCs w:val="18"/>
        </w:rPr>
        <w:t>nákladů</w:t>
      </w:r>
      <w:r w:rsidRPr="00C64A1A">
        <w:rPr>
          <w:rFonts w:ascii="Arial" w:hAnsi="Arial" w:cs="Arial"/>
          <w:sz w:val="18"/>
          <w:szCs w:val="18"/>
        </w:rPr>
        <w:t xml:space="preserve">. </w:t>
      </w:r>
    </w:p>
  </w:footnote>
  <w:footnote w:id="48">
    <w:p w:rsidR="00B57A41" w:rsidRPr="00C64A1A" w:rsidRDefault="00B57A41" w:rsidP="00CB55EA">
      <w:pPr>
        <w:pStyle w:val="Textpoznpodarou"/>
        <w:ind w:left="284" w:hanging="284"/>
        <w:jc w:val="both"/>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ab/>
        <w:t xml:space="preserve">V celkových nákladech není započten nerealizovaný příjem z časového zpoplatnění vozidel zpoplatněných mýtným.  </w:t>
      </w:r>
    </w:p>
  </w:footnote>
  <w:footnote w:id="49">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Jedná se o průměrné hodnoty, vývoj inkasa a nákladů je uveden v tabulce č. 1.</w:t>
      </w:r>
    </w:p>
  </w:footnote>
  <w:footnote w:id="50">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NKÚ při hodnocení plnění cíle nezohlednil růst ceny ČK a</w:t>
      </w:r>
      <w:r>
        <w:rPr>
          <w:rFonts w:ascii="Arial" w:hAnsi="Arial" w:cs="Arial"/>
          <w:sz w:val="18"/>
          <w:szCs w:val="18"/>
        </w:rPr>
        <w:t>ni</w:t>
      </w:r>
      <w:r w:rsidRPr="00C64A1A">
        <w:rPr>
          <w:rFonts w:ascii="Arial" w:hAnsi="Arial" w:cs="Arial"/>
          <w:sz w:val="18"/>
          <w:szCs w:val="18"/>
        </w:rPr>
        <w:t xml:space="preserve"> </w:t>
      </w:r>
      <w:r>
        <w:rPr>
          <w:rFonts w:ascii="Arial" w:hAnsi="Arial" w:cs="Arial"/>
          <w:sz w:val="18"/>
          <w:szCs w:val="18"/>
        </w:rPr>
        <w:t xml:space="preserve">růst </w:t>
      </w:r>
      <w:r w:rsidRPr="00C64A1A">
        <w:rPr>
          <w:rFonts w:ascii="Arial" w:hAnsi="Arial" w:cs="Arial"/>
          <w:sz w:val="18"/>
          <w:szCs w:val="18"/>
        </w:rPr>
        <w:t>počtu uživatelů.</w:t>
      </w:r>
    </w:p>
  </w:footnote>
  <w:footnote w:id="51">
    <w:p w:rsidR="00B57A41" w:rsidRPr="00C64A1A" w:rsidRDefault="00B57A41" w:rsidP="00EE0BAC">
      <w:pPr>
        <w:pStyle w:val="Textpoznpodarou"/>
        <w:ind w:left="284" w:hanging="284"/>
        <w:rPr>
          <w:rFonts w:ascii="Arial" w:hAnsi="Arial" w:cs="Arial"/>
          <w:sz w:val="18"/>
          <w:szCs w:val="18"/>
        </w:rPr>
      </w:pPr>
      <w:r w:rsidRPr="00C64A1A">
        <w:rPr>
          <w:rStyle w:val="Znakapoznpodarou"/>
          <w:rFonts w:ascii="Arial" w:hAnsi="Arial" w:cs="Arial"/>
          <w:sz w:val="18"/>
          <w:szCs w:val="18"/>
        </w:rPr>
        <w:footnoteRef/>
      </w:r>
      <w:r w:rsidRPr="00C64A1A">
        <w:rPr>
          <w:rFonts w:ascii="Arial" w:hAnsi="Arial" w:cs="Arial"/>
          <w:sz w:val="18"/>
          <w:szCs w:val="18"/>
        </w:rPr>
        <w:t xml:space="preserve"> </w:t>
      </w:r>
      <w:r w:rsidRPr="00C64A1A">
        <w:rPr>
          <w:rFonts w:ascii="Arial" w:hAnsi="Arial" w:cs="Arial"/>
          <w:sz w:val="18"/>
          <w:szCs w:val="18"/>
        </w:rPr>
        <w:tab/>
        <w:t>Zákon č. 280/2009 Sb., daňový řád.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41" w:rsidRDefault="00B57A4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final1"/>
      <w:lvlText w:val="%1"/>
      <w:lvlJc w:val="left"/>
      <w:pPr>
        <w:tabs>
          <w:tab w:val="num" w:pos="0"/>
        </w:tabs>
        <w:ind w:left="1080" w:hanging="360"/>
      </w:pPr>
      <w:rPr>
        <w:rFonts w:cs="Times New Roman"/>
      </w:rPr>
    </w:lvl>
  </w:abstractNum>
  <w:abstractNum w:abstractNumId="1">
    <w:nsid w:val="00000002"/>
    <w:multiLevelType w:val="multilevel"/>
    <w:tmpl w:val="0000000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3"/>
    <w:multiLevelType w:val="multilevel"/>
    <w:tmpl w:val="00000003"/>
    <w:name w:val="WW8Num8"/>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multilevel"/>
    <w:tmpl w:val="00000004"/>
    <w:name w:val="WW8Num1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nsid w:val="00000005"/>
    <w:multiLevelType w:val="singleLevel"/>
    <w:tmpl w:val="00000005"/>
    <w:name w:val="WW8Num13"/>
    <w:lvl w:ilvl="0">
      <w:start w:val="1"/>
      <w:numFmt w:val="bullet"/>
      <w:lvlText w:val=""/>
      <w:lvlJc w:val="left"/>
      <w:pPr>
        <w:tabs>
          <w:tab w:val="num" w:pos="0"/>
        </w:tabs>
        <w:ind w:left="778" w:hanging="360"/>
      </w:pPr>
      <w:rPr>
        <w:rFonts w:ascii="Symbol" w:hAnsi="Symbol"/>
      </w:rPr>
    </w:lvl>
  </w:abstractNum>
  <w:abstractNum w:abstractNumId="5">
    <w:nsid w:val="00000006"/>
    <w:multiLevelType w:val="singleLevel"/>
    <w:tmpl w:val="00000006"/>
    <w:name w:val="WW8Num17"/>
    <w:lvl w:ilvl="0">
      <w:start w:val="1"/>
      <w:numFmt w:val="bullet"/>
      <w:lvlText w:val=""/>
      <w:lvlJc w:val="left"/>
      <w:pPr>
        <w:tabs>
          <w:tab w:val="num" w:pos="0"/>
        </w:tabs>
        <w:ind w:left="785" w:hanging="360"/>
      </w:pPr>
      <w:rPr>
        <w:rFonts w:ascii="Symbol" w:hAnsi="Symbol"/>
      </w:rPr>
    </w:lvl>
  </w:abstractNum>
  <w:abstractNum w:abstractNumId="6">
    <w:nsid w:val="00000008"/>
    <w:multiLevelType w:val="singleLevel"/>
    <w:tmpl w:val="00000008"/>
    <w:name w:val="WW8Num24"/>
    <w:lvl w:ilvl="0">
      <w:start w:val="1"/>
      <w:numFmt w:val="decimal"/>
      <w:pStyle w:val="Doklad1"/>
      <w:lvlText w:val="Doklad č. %1."/>
      <w:lvlJc w:val="left"/>
      <w:pPr>
        <w:tabs>
          <w:tab w:val="num" w:pos="0"/>
        </w:tabs>
        <w:ind w:left="720" w:hanging="360"/>
      </w:pPr>
      <w:rPr>
        <w:rFonts w:cs="Times New Roman"/>
      </w:rPr>
    </w:lvl>
  </w:abstractNum>
  <w:abstractNum w:abstractNumId="7">
    <w:nsid w:val="00000009"/>
    <w:multiLevelType w:val="singleLevel"/>
    <w:tmpl w:val="00000009"/>
    <w:name w:val="WW8Num26"/>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28"/>
    <w:lvl w:ilvl="0">
      <w:start w:val="1"/>
      <w:numFmt w:val="decimal"/>
      <w:pStyle w:val="Ploha1"/>
      <w:lvlText w:val="Příloha č. %1"/>
      <w:lvlJc w:val="left"/>
      <w:pPr>
        <w:tabs>
          <w:tab w:val="num" w:pos="0"/>
        </w:tabs>
        <w:ind w:left="360" w:hanging="360"/>
      </w:pPr>
      <w:rPr>
        <w:rFonts w:ascii="Arial" w:hAnsi="Arial" w:cs="Times New Roman"/>
        <w:b w:val="0"/>
        <w:i w:val="0"/>
        <w:sz w:val="22"/>
      </w:rPr>
    </w:lvl>
  </w:abstractNum>
  <w:abstractNum w:abstractNumId="9">
    <w:nsid w:val="0000000B"/>
    <w:multiLevelType w:val="singleLevel"/>
    <w:tmpl w:val="0000000B"/>
    <w:name w:val="WW8Num29"/>
    <w:lvl w:ilvl="0">
      <w:start w:val="1"/>
      <w:numFmt w:val="bullet"/>
      <w:lvlText w:val=""/>
      <w:lvlJc w:val="left"/>
      <w:pPr>
        <w:tabs>
          <w:tab w:val="num" w:pos="0"/>
        </w:tabs>
        <w:ind w:left="720" w:hanging="360"/>
      </w:pPr>
      <w:rPr>
        <w:rFonts w:ascii="Symbol" w:hAnsi="Symbol"/>
      </w:rPr>
    </w:lvl>
  </w:abstractNum>
  <w:abstractNum w:abstractNumId="10">
    <w:nsid w:val="0000000C"/>
    <w:multiLevelType w:val="multilevel"/>
    <w:tmpl w:val="0000000C"/>
    <w:name w:val="WW8Num3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D"/>
    <w:multiLevelType w:val="singleLevel"/>
    <w:tmpl w:val="0000000D"/>
    <w:name w:val="WW8Num34"/>
    <w:lvl w:ilvl="0">
      <w:start w:val="1"/>
      <w:numFmt w:val="decimal"/>
      <w:pStyle w:val="doklad10"/>
      <w:lvlText w:val="Doklad č.  %1"/>
      <w:lvlJc w:val="left"/>
      <w:pPr>
        <w:tabs>
          <w:tab w:val="num" w:pos="1588"/>
        </w:tabs>
        <w:ind w:left="1588" w:hanging="1588"/>
      </w:pPr>
      <w:rPr>
        <w:rFonts w:cs="Times New Roman"/>
      </w:rPr>
    </w:lvl>
  </w:abstractNum>
  <w:abstractNum w:abstractNumId="12">
    <w:nsid w:val="0000000E"/>
    <w:multiLevelType w:val="multilevel"/>
    <w:tmpl w:val="0000000E"/>
    <w:name w:val="WW8Num38"/>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nsid w:val="0000000F"/>
    <w:multiLevelType w:val="singleLevel"/>
    <w:tmpl w:val="0000000F"/>
    <w:name w:val="WW8Num40"/>
    <w:lvl w:ilvl="0">
      <w:start w:val="1"/>
      <w:numFmt w:val="bullet"/>
      <w:pStyle w:val="Odrka1"/>
      <w:lvlText w:val=""/>
      <w:lvlJc w:val="left"/>
      <w:pPr>
        <w:tabs>
          <w:tab w:val="num" w:pos="680"/>
        </w:tabs>
        <w:ind w:left="680" w:hanging="283"/>
      </w:pPr>
      <w:rPr>
        <w:rFonts w:ascii="Symbol" w:hAnsi="Symbol"/>
        <w:b w:val="0"/>
        <w:i w:val="0"/>
        <w:sz w:val="20"/>
      </w:rPr>
    </w:lvl>
  </w:abstractNum>
  <w:abstractNum w:abstractNumId="14">
    <w:nsid w:val="00000010"/>
    <w:multiLevelType w:val="singleLevel"/>
    <w:tmpl w:val="00000010"/>
    <w:name w:val="WW8Num42"/>
    <w:lvl w:ilvl="0">
      <w:start w:val="1"/>
      <w:numFmt w:val="bullet"/>
      <w:lvlText w:val=""/>
      <w:lvlJc w:val="left"/>
      <w:pPr>
        <w:tabs>
          <w:tab w:val="num" w:pos="0"/>
        </w:tabs>
        <w:ind w:left="720" w:hanging="360"/>
      </w:pPr>
      <w:rPr>
        <w:rFonts w:ascii="Symbol" w:hAnsi="Symbol"/>
      </w:rPr>
    </w:lvl>
  </w:abstractNum>
  <w:abstractNum w:abstractNumId="15">
    <w:nsid w:val="15272D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177055"/>
    <w:multiLevelType w:val="multilevel"/>
    <w:tmpl w:val="EB2CBE98"/>
    <w:lvl w:ilvl="0">
      <w:start w:val="1"/>
      <w:numFmt w:val="decimal"/>
      <w:lvlText w:val="%1."/>
      <w:lvlJc w:val="left"/>
      <w:pPr>
        <w:ind w:left="360" w:hanging="360"/>
      </w:p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375F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B400CA"/>
    <w:multiLevelType w:val="hybridMultilevel"/>
    <w:tmpl w:val="AAECA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153F6F"/>
    <w:multiLevelType w:val="multilevel"/>
    <w:tmpl w:val="9626DE7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32872DEE"/>
    <w:multiLevelType w:val="hybridMultilevel"/>
    <w:tmpl w:val="8020C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82330E"/>
    <w:multiLevelType w:val="hybridMultilevel"/>
    <w:tmpl w:val="AADA0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B9506E9"/>
    <w:multiLevelType w:val="multilevel"/>
    <w:tmpl w:val="B21EA07C"/>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54A33E7B"/>
    <w:multiLevelType w:val="multilevel"/>
    <w:tmpl w:val="889081BA"/>
    <w:lvl w:ilvl="0">
      <w:start w:val="1"/>
      <w:numFmt w:val="decimal"/>
      <w:lvlText w:val="%1."/>
      <w:lvlJc w:val="left"/>
      <w:pPr>
        <w:ind w:left="357" w:hanging="35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nsid w:val="68EF5A4A"/>
    <w:multiLevelType w:val="hybridMultilevel"/>
    <w:tmpl w:val="067E6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ED3C41"/>
    <w:multiLevelType w:val="hybridMultilevel"/>
    <w:tmpl w:val="8856CD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nsid w:val="7F37470D"/>
    <w:multiLevelType w:val="multilevel"/>
    <w:tmpl w:val="10C25A3E"/>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23"/>
  </w:num>
  <w:num w:numId="19">
    <w:abstractNumId w:val="22"/>
  </w:num>
  <w:num w:numId="20">
    <w:abstractNumId w:val="19"/>
  </w:num>
  <w:num w:numId="21">
    <w:abstractNumId w:val="26"/>
  </w:num>
  <w:num w:numId="22">
    <w:abstractNumId w:val="17"/>
  </w:num>
  <w:num w:numId="23">
    <w:abstractNumId w:val="25"/>
  </w:num>
  <w:num w:numId="24">
    <w:abstractNumId w:val="21"/>
  </w:num>
  <w:num w:numId="25">
    <w:abstractNumId w:val="18"/>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29"/>
    <w:rsid w:val="00000123"/>
    <w:rsid w:val="000037C0"/>
    <w:rsid w:val="000041AE"/>
    <w:rsid w:val="00007688"/>
    <w:rsid w:val="0001223E"/>
    <w:rsid w:val="00012AF1"/>
    <w:rsid w:val="00015F3F"/>
    <w:rsid w:val="000164FE"/>
    <w:rsid w:val="000177E5"/>
    <w:rsid w:val="00021937"/>
    <w:rsid w:val="00023055"/>
    <w:rsid w:val="00023E76"/>
    <w:rsid w:val="00023EFD"/>
    <w:rsid w:val="00025B46"/>
    <w:rsid w:val="00034001"/>
    <w:rsid w:val="0003498F"/>
    <w:rsid w:val="000351FF"/>
    <w:rsid w:val="00044044"/>
    <w:rsid w:val="00044A86"/>
    <w:rsid w:val="00044EC6"/>
    <w:rsid w:val="00051545"/>
    <w:rsid w:val="00051C1F"/>
    <w:rsid w:val="00056664"/>
    <w:rsid w:val="00061684"/>
    <w:rsid w:val="00061806"/>
    <w:rsid w:val="000630D8"/>
    <w:rsid w:val="0006701D"/>
    <w:rsid w:val="000706A0"/>
    <w:rsid w:val="000763B6"/>
    <w:rsid w:val="0007680E"/>
    <w:rsid w:val="000911C7"/>
    <w:rsid w:val="00092CE1"/>
    <w:rsid w:val="000A58D9"/>
    <w:rsid w:val="000A7AFB"/>
    <w:rsid w:val="000B19E9"/>
    <w:rsid w:val="000B3D75"/>
    <w:rsid w:val="000B4307"/>
    <w:rsid w:val="000B5249"/>
    <w:rsid w:val="000C4826"/>
    <w:rsid w:val="000C4C68"/>
    <w:rsid w:val="000C6370"/>
    <w:rsid w:val="000D25B0"/>
    <w:rsid w:val="000D386F"/>
    <w:rsid w:val="000D5FA1"/>
    <w:rsid w:val="000E2FF4"/>
    <w:rsid w:val="000F2DAB"/>
    <w:rsid w:val="000F6E6C"/>
    <w:rsid w:val="000F7074"/>
    <w:rsid w:val="000F7E95"/>
    <w:rsid w:val="00100728"/>
    <w:rsid w:val="00100ECA"/>
    <w:rsid w:val="0010237F"/>
    <w:rsid w:val="00111339"/>
    <w:rsid w:val="00113582"/>
    <w:rsid w:val="00115B06"/>
    <w:rsid w:val="0011663B"/>
    <w:rsid w:val="00123060"/>
    <w:rsid w:val="001244F0"/>
    <w:rsid w:val="001326CA"/>
    <w:rsid w:val="00132965"/>
    <w:rsid w:val="001369F3"/>
    <w:rsid w:val="00140346"/>
    <w:rsid w:val="00140BE4"/>
    <w:rsid w:val="00141803"/>
    <w:rsid w:val="00143110"/>
    <w:rsid w:val="00144F5C"/>
    <w:rsid w:val="0014513F"/>
    <w:rsid w:val="00155F62"/>
    <w:rsid w:val="001645AB"/>
    <w:rsid w:val="00165083"/>
    <w:rsid w:val="0016581F"/>
    <w:rsid w:val="0017200A"/>
    <w:rsid w:val="001726EE"/>
    <w:rsid w:val="00172E35"/>
    <w:rsid w:val="00174B32"/>
    <w:rsid w:val="001751E8"/>
    <w:rsid w:val="00175D0B"/>
    <w:rsid w:val="00175ECC"/>
    <w:rsid w:val="00177DBC"/>
    <w:rsid w:val="0018197F"/>
    <w:rsid w:val="00184618"/>
    <w:rsid w:val="001866B2"/>
    <w:rsid w:val="00190E53"/>
    <w:rsid w:val="00191142"/>
    <w:rsid w:val="0019429B"/>
    <w:rsid w:val="00196EC1"/>
    <w:rsid w:val="001A17E8"/>
    <w:rsid w:val="001A53F8"/>
    <w:rsid w:val="001A6E5E"/>
    <w:rsid w:val="001A73B2"/>
    <w:rsid w:val="001B41F6"/>
    <w:rsid w:val="001C34EE"/>
    <w:rsid w:val="001C49F8"/>
    <w:rsid w:val="001D3689"/>
    <w:rsid w:val="001D6F08"/>
    <w:rsid w:val="001E0673"/>
    <w:rsid w:val="001E30C7"/>
    <w:rsid w:val="001E7AF3"/>
    <w:rsid w:val="001F2E11"/>
    <w:rsid w:val="001F3806"/>
    <w:rsid w:val="0020209E"/>
    <w:rsid w:val="00203C89"/>
    <w:rsid w:val="00203CD2"/>
    <w:rsid w:val="00206EB6"/>
    <w:rsid w:val="00217779"/>
    <w:rsid w:val="00221C38"/>
    <w:rsid w:val="00225A10"/>
    <w:rsid w:val="00225BAC"/>
    <w:rsid w:val="00230885"/>
    <w:rsid w:val="00233042"/>
    <w:rsid w:val="00234132"/>
    <w:rsid w:val="00236681"/>
    <w:rsid w:val="00242BD2"/>
    <w:rsid w:val="00251DA5"/>
    <w:rsid w:val="00255147"/>
    <w:rsid w:val="002551E8"/>
    <w:rsid w:val="0026399D"/>
    <w:rsid w:val="002668F3"/>
    <w:rsid w:val="00266EDF"/>
    <w:rsid w:val="00275D4E"/>
    <w:rsid w:val="00277DCC"/>
    <w:rsid w:val="00280541"/>
    <w:rsid w:val="002809BA"/>
    <w:rsid w:val="00280D79"/>
    <w:rsid w:val="002813CC"/>
    <w:rsid w:val="00281B33"/>
    <w:rsid w:val="00285889"/>
    <w:rsid w:val="00286C6E"/>
    <w:rsid w:val="0028747F"/>
    <w:rsid w:val="002920DA"/>
    <w:rsid w:val="002926C7"/>
    <w:rsid w:val="0029585F"/>
    <w:rsid w:val="002A1621"/>
    <w:rsid w:val="002A5ACE"/>
    <w:rsid w:val="002B255C"/>
    <w:rsid w:val="002B29E3"/>
    <w:rsid w:val="002B50A0"/>
    <w:rsid w:val="002B586B"/>
    <w:rsid w:val="002B60A7"/>
    <w:rsid w:val="002B700C"/>
    <w:rsid w:val="002B76A2"/>
    <w:rsid w:val="002C28E8"/>
    <w:rsid w:val="002C423D"/>
    <w:rsid w:val="002C6D6E"/>
    <w:rsid w:val="002D16F8"/>
    <w:rsid w:val="002D448C"/>
    <w:rsid w:val="002D45B5"/>
    <w:rsid w:val="002D462D"/>
    <w:rsid w:val="002D4CF6"/>
    <w:rsid w:val="002E1E8F"/>
    <w:rsid w:val="002E3B37"/>
    <w:rsid w:val="002E3DD2"/>
    <w:rsid w:val="002E57D5"/>
    <w:rsid w:val="002E67CE"/>
    <w:rsid w:val="002E7268"/>
    <w:rsid w:val="002F76DA"/>
    <w:rsid w:val="003033AF"/>
    <w:rsid w:val="00310188"/>
    <w:rsid w:val="003140CB"/>
    <w:rsid w:val="00314B49"/>
    <w:rsid w:val="00315EB1"/>
    <w:rsid w:val="00317441"/>
    <w:rsid w:val="00317A25"/>
    <w:rsid w:val="003227B6"/>
    <w:rsid w:val="00323F7F"/>
    <w:rsid w:val="003320D2"/>
    <w:rsid w:val="00332118"/>
    <w:rsid w:val="00332EDC"/>
    <w:rsid w:val="0033600A"/>
    <w:rsid w:val="00342614"/>
    <w:rsid w:val="00342D89"/>
    <w:rsid w:val="00351D7B"/>
    <w:rsid w:val="00352F23"/>
    <w:rsid w:val="00353265"/>
    <w:rsid w:val="00353CF7"/>
    <w:rsid w:val="003554BB"/>
    <w:rsid w:val="00356185"/>
    <w:rsid w:val="00362030"/>
    <w:rsid w:val="0036429F"/>
    <w:rsid w:val="00364F31"/>
    <w:rsid w:val="00366896"/>
    <w:rsid w:val="00367E26"/>
    <w:rsid w:val="00374F90"/>
    <w:rsid w:val="003812F7"/>
    <w:rsid w:val="003831B9"/>
    <w:rsid w:val="00384BCE"/>
    <w:rsid w:val="003855D3"/>
    <w:rsid w:val="003857D4"/>
    <w:rsid w:val="00387BEE"/>
    <w:rsid w:val="003930F3"/>
    <w:rsid w:val="00397B50"/>
    <w:rsid w:val="003A2756"/>
    <w:rsid w:val="003A3599"/>
    <w:rsid w:val="003A3D05"/>
    <w:rsid w:val="003A6E51"/>
    <w:rsid w:val="003B39A3"/>
    <w:rsid w:val="003B3CD2"/>
    <w:rsid w:val="003B43D2"/>
    <w:rsid w:val="003C3E34"/>
    <w:rsid w:val="003C3ED9"/>
    <w:rsid w:val="003C7765"/>
    <w:rsid w:val="003D39AB"/>
    <w:rsid w:val="003D55E0"/>
    <w:rsid w:val="003E37EA"/>
    <w:rsid w:val="003E6945"/>
    <w:rsid w:val="003E797C"/>
    <w:rsid w:val="003F259C"/>
    <w:rsid w:val="00401DC4"/>
    <w:rsid w:val="004041EB"/>
    <w:rsid w:val="0040484B"/>
    <w:rsid w:val="004117D0"/>
    <w:rsid w:val="0041249D"/>
    <w:rsid w:val="00412810"/>
    <w:rsid w:val="00415C57"/>
    <w:rsid w:val="00417528"/>
    <w:rsid w:val="0042097B"/>
    <w:rsid w:val="00420CE5"/>
    <w:rsid w:val="00423175"/>
    <w:rsid w:val="00423D18"/>
    <w:rsid w:val="00424A04"/>
    <w:rsid w:val="0042610D"/>
    <w:rsid w:val="004318B7"/>
    <w:rsid w:val="00433344"/>
    <w:rsid w:val="004401C1"/>
    <w:rsid w:val="00441AA2"/>
    <w:rsid w:val="00445758"/>
    <w:rsid w:val="0044659D"/>
    <w:rsid w:val="00447E3A"/>
    <w:rsid w:val="00450CF0"/>
    <w:rsid w:val="0045291E"/>
    <w:rsid w:val="00455E07"/>
    <w:rsid w:val="004572E3"/>
    <w:rsid w:val="00460C0B"/>
    <w:rsid w:val="00462651"/>
    <w:rsid w:val="00466444"/>
    <w:rsid w:val="004678AA"/>
    <w:rsid w:val="00470E34"/>
    <w:rsid w:val="00471F04"/>
    <w:rsid w:val="00482295"/>
    <w:rsid w:val="004832A4"/>
    <w:rsid w:val="00483CC4"/>
    <w:rsid w:val="00491FD2"/>
    <w:rsid w:val="00491FFB"/>
    <w:rsid w:val="004920C0"/>
    <w:rsid w:val="00492659"/>
    <w:rsid w:val="0049285C"/>
    <w:rsid w:val="0049307F"/>
    <w:rsid w:val="0049473D"/>
    <w:rsid w:val="00496FA6"/>
    <w:rsid w:val="00497146"/>
    <w:rsid w:val="004A218E"/>
    <w:rsid w:val="004B0877"/>
    <w:rsid w:val="004B1E4B"/>
    <w:rsid w:val="004B61E7"/>
    <w:rsid w:val="004C4CEB"/>
    <w:rsid w:val="004C563C"/>
    <w:rsid w:val="004C5ADD"/>
    <w:rsid w:val="004D017D"/>
    <w:rsid w:val="004D0961"/>
    <w:rsid w:val="004D179C"/>
    <w:rsid w:val="004D3B7D"/>
    <w:rsid w:val="004E25BF"/>
    <w:rsid w:val="004E2BB8"/>
    <w:rsid w:val="004F2EDF"/>
    <w:rsid w:val="0050110B"/>
    <w:rsid w:val="00505FD8"/>
    <w:rsid w:val="00506A98"/>
    <w:rsid w:val="00506C1E"/>
    <w:rsid w:val="00511B22"/>
    <w:rsid w:val="00512E5B"/>
    <w:rsid w:val="00516B56"/>
    <w:rsid w:val="005207E4"/>
    <w:rsid w:val="00520B11"/>
    <w:rsid w:val="00520EF3"/>
    <w:rsid w:val="005214B1"/>
    <w:rsid w:val="00522B78"/>
    <w:rsid w:val="0052437A"/>
    <w:rsid w:val="005270E3"/>
    <w:rsid w:val="005338A0"/>
    <w:rsid w:val="00534065"/>
    <w:rsid w:val="00537016"/>
    <w:rsid w:val="005370D7"/>
    <w:rsid w:val="00537FE9"/>
    <w:rsid w:val="0054179E"/>
    <w:rsid w:val="00550EAB"/>
    <w:rsid w:val="00551466"/>
    <w:rsid w:val="005544A2"/>
    <w:rsid w:val="005545DC"/>
    <w:rsid w:val="00561C67"/>
    <w:rsid w:val="00564AD4"/>
    <w:rsid w:val="00565FBB"/>
    <w:rsid w:val="00567810"/>
    <w:rsid w:val="005773D6"/>
    <w:rsid w:val="00580C69"/>
    <w:rsid w:val="00584C51"/>
    <w:rsid w:val="00587268"/>
    <w:rsid w:val="00592D00"/>
    <w:rsid w:val="00593933"/>
    <w:rsid w:val="005959E5"/>
    <w:rsid w:val="00595C19"/>
    <w:rsid w:val="005A1285"/>
    <w:rsid w:val="005A351E"/>
    <w:rsid w:val="005A37B9"/>
    <w:rsid w:val="005A69CD"/>
    <w:rsid w:val="005B2401"/>
    <w:rsid w:val="005B3782"/>
    <w:rsid w:val="005B6356"/>
    <w:rsid w:val="005C45B6"/>
    <w:rsid w:val="005D3AB2"/>
    <w:rsid w:val="005D51D8"/>
    <w:rsid w:val="005D555B"/>
    <w:rsid w:val="005D61CA"/>
    <w:rsid w:val="005D63D2"/>
    <w:rsid w:val="005D6555"/>
    <w:rsid w:val="005E18BF"/>
    <w:rsid w:val="005E36A7"/>
    <w:rsid w:val="005E7CB5"/>
    <w:rsid w:val="005F1E06"/>
    <w:rsid w:val="005F239B"/>
    <w:rsid w:val="005F409E"/>
    <w:rsid w:val="006141FE"/>
    <w:rsid w:val="00614730"/>
    <w:rsid w:val="00614F30"/>
    <w:rsid w:val="0061594C"/>
    <w:rsid w:val="00616EB9"/>
    <w:rsid w:val="0062028F"/>
    <w:rsid w:val="00626FF8"/>
    <w:rsid w:val="00632300"/>
    <w:rsid w:val="00632C13"/>
    <w:rsid w:val="0063445C"/>
    <w:rsid w:val="00635080"/>
    <w:rsid w:val="006353D5"/>
    <w:rsid w:val="00635BCD"/>
    <w:rsid w:val="00641038"/>
    <w:rsid w:val="00642F34"/>
    <w:rsid w:val="0064587D"/>
    <w:rsid w:val="00654AE8"/>
    <w:rsid w:val="00656FCC"/>
    <w:rsid w:val="00661F75"/>
    <w:rsid w:val="00663D85"/>
    <w:rsid w:val="00665AE5"/>
    <w:rsid w:val="00665D2D"/>
    <w:rsid w:val="0066675F"/>
    <w:rsid w:val="00667CD7"/>
    <w:rsid w:val="00671694"/>
    <w:rsid w:val="00677268"/>
    <w:rsid w:val="0068046A"/>
    <w:rsid w:val="00683D89"/>
    <w:rsid w:val="00684B69"/>
    <w:rsid w:val="006901EB"/>
    <w:rsid w:val="0069078D"/>
    <w:rsid w:val="00690F08"/>
    <w:rsid w:val="00691249"/>
    <w:rsid w:val="00691DB9"/>
    <w:rsid w:val="006923A6"/>
    <w:rsid w:val="00692629"/>
    <w:rsid w:val="00692E7D"/>
    <w:rsid w:val="00696EBD"/>
    <w:rsid w:val="0069763E"/>
    <w:rsid w:val="006A015F"/>
    <w:rsid w:val="006A6CA0"/>
    <w:rsid w:val="006B3813"/>
    <w:rsid w:val="006B4D79"/>
    <w:rsid w:val="006B6BCD"/>
    <w:rsid w:val="006C5F65"/>
    <w:rsid w:val="006D5C1F"/>
    <w:rsid w:val="006E05C2"/>
    <w:rsid w:val="006E0B1B"/>
    <w:rsid w:val="006E32B3"/>
    <w:rsid w:val="006E32C0"/>
    <w:rsid w:val="006E5AC1"/>
    <w:rsid w:val="006F0455"/>
    <w:rsid w:val="006F1F08"/>
    <w:rsid w:val="006F4EB5"/>
    <w:rsid w:val="006F6513"/>
    <w:rsid w:val="006F6F8F"/>
    <w:rsid w:val="006F7538"/>
    <w:rsid w:val="006F7A3A"/>
    <w:rsid w:val="00700419"/>
    <w:rsid w:val="0070065A"/>
    <w:rsid w:val="0070525C"/>
    <w:rsid w:val="00717657"/>
    <w:rsid w:val="0072157A"/>
    <w:rsid w:val="00723058"/>
    <w:rsid w:val="00723579"/>
    <w:rsid w:val="007235FB"/>
    <w:rsid w:val="00726EF7"/>
    <w:rsid w:val="00731BA0"/>
    <w:rsid w:val="007346A4"/>
    <w:rsid w:val="0073529B"/>
    <w:rsid w:val="00741589"/>
    <w:rsid w:val="00743585"/>
    <w:rsid w:val="00750CC2"/>
    <w:rsid w:val="00752021"/>
    <w:rsid w:val="00752970"/>
    <w:rsid w:val="007544EF"/>
    <w:rsid w:val="007618F6"/>
    <w:rsid w:val="0076236F"/>
    <w:rsid w:val="00763B20"/>
    <w:rsid w:val="0076711C"/>
    <w:rsid w:val="00772995"/>
    <w:rsid w:val="0077490C"/>
    <w:rsid w:val="0078094F"/>
    <w:rsid w:val="0078193A"/>
    <w:rsid w:val="00783877"/>
    <w:rsid w:val="00787882"/>
    <w:rsid w:val="0079197D"/>
    <w:rsid w:val="0079608B"/>
    <w:rsid w:val="007A010A"/>
    <w:rsid w:val="007A1976"/>
    <w:rsid w:val="007A2162"/>
    <w:rsid w:val="007A3757"/>
    <w:rsid w:val="007A44CF"/>
    <w:rsid w:val="007A4CBD"/>
    <w:rsid w:val="007A66F8"/>
    <w:rsid w:val="007A6BB9"/>
    <w:rsid w:val="007A7549"/>
    <w:rsid w:val="007B34AC"/>
    <w:rsid w:val="007B67F4"/>
    <w:rsid w:val="007C2476"/>
    <w:rsid w:val="007C27C6"/>
    <w:rsid w:val="007C738B"/>
    <w:rsid w:val="007D0692"/>
    <w:rsid w:val="007D0967"/>
    <w:rsid w:val="007D0ABE"/>
    <w:rsid w:val="007D179A"/>
    <w:rsid w:val="007D56ED"/>
    <w:rsid w:val="007D7C40"/>
    <w:rsid w:val="007E0B51"/>
    <w:rsid w:val="007E2C7A"/>
    <w:rsid w:val="007E3B67"/>
    <w:rsid w:val="007E68BF"/>
    <w:rsid w:val="007F034C"/>
    <w:rsid w:val="007F4231"/>
    <w:rsid w:val="007F5339"/>
    <w:rsid w:val="00801BC0"/>
    <w:rsid w:val="008028DC"/>
    <w:rsid w:val="00802B1D"/>
    <w:rsid w:val="00803987"/>
    <w:rsid w:val="00803CA2"/>
    <w:rsid w:val="00813114"/>
    <w:rsid w:val="008146E8"/>
    <w:rsid w:val="00814E34"/>
    <w:rsid w:val="00820079"/>
    <w:rsid w:val="00820D2E"/>
    <w:rsid w:val="0082157D"/>
    <w:rsid w:val="0082575F"/>
    <w:rsid w:val="00827459"/>
    <w:rsid w:val="00831B3A"/>
    <w:rsid w:val="00833092"/>
    <w:rsid w:val="00840758"/>
    <w:rsid w:val="008416E9"/>
    <w:rsid w:val="00844CCC"/>
    <w:rsid w:val="00844D9E"/>
    <w:rsid w:val="00852485"/>
    <w:rsid w:val="00855D20"/>
    <w:rsid w:val="008579B3"/>
    <w:rsid w:val="0086386F"/>
    <w:rsid w:val="00863B37"/>
    <w:rsid w:val="00864883"/>
    <w:rsid w:val="00867969"/>
    <w:rsid w:val="00887CE8"/>
    <w:rsid w:val="00890002"/>
    <w:rsid w:val="00890031"/>
    <w:rsid w:val="008904C4"/>
    <w:rsid w:val="00892652"/>
    <w:rsid w:val="00892E3D"/>
    <w:rsid w:val="0089330F"/>
    <w:rsid w:val="00893645"/>
    <w:rsid w:val="0089450F"/>
    <w:rsid w:val="00894BF2"/>
    <w:rsid w:val="008A281D"/>
    <w:rsid w:val="008A4C0B"/>
    <w:rsid w:val="008A6463"/>
    <w:rsid w:val="008A69AC"/>
    <w:rsid w:val="008B02E4"/>
    <w:rsid w:val="008B0B54"/>
    <w:rsid w:val="008B5EFB"/>
    <w:rsid w:val="008B64DE"/>
    <w:rsid w:val="008C3A76"/>
    <w:rsid w:val="008C703E"/>
    <w:rsid w:val="008D374F"/>
    <w:rsid w:val="008D3CF4"/>
    <w:rsid w:val="008D5070"/>
    <w:rsid w:val="008E1301"/>
    <w:rsid w:val="008E26BA"/>
    <w:rsid w:val="008E6802"/>
    <w:rsid w:val="008E6A1A"/>
    <w:rsid w:val="008F04D8"/>
    <w:rsid w:val="008F2589"/>
    <w:rsid w:val="008F3CC0"/>
    <w:rsid w:val="008F6514"/>
    <w:rsid w:val="00903D62"/>
    <w:rsid w:val="00904190"/>
    <w:rsid w:val="00904303"/>
    <w:rsid w:val="009059B7"/>
    <w:rsid w:val="00910C3F"/>
    <w:rsid w:val="009114D4"/>
    <w:rsid w:val="00913520"/>
    <w:rsid w:val="009141E2"/>
    <w:rsid w:val="00914E2A"/>
    <w:rsid w:val="00915744"/>
    <w:rsid w:val="00915F74"/>
    <w:rsid w:val="00921F63"/>
    <w:rsid w:val="00924022"/>
    <w:rsid w:val="009256B0"/>
    <w:rsid w:val="0092662F"/>
    <w:rsid w:val="0093464C"/>
    <w:rsid w:val="00936521"/>
    <w:rsid w:val="00941EF2"/>
    <w:rsid w:val="00945327"/>
    <w:rsid w:val="0095108D"/>
    <w:rsid w:val="00953F94"/>
    <w:rsid w:val="00957EED"/>
    <w:rsid w:val="00962C1A"/>
    <w:rsid w:val="00962ED2"/>
    <w:rsid w:val="0096422A"/>
    <w:rsid w:val="0096505E"/>
    <w:rsid w:val="0096588E"/>
    <w:rsid w:val="009659EA"/>
    <w:rsid w:val="00974717"/>
    <w:rsid w:val="0098256D"/>
    <w:rsid w:val="009826C5"/>
    <w:rsid w:val="0098466B"/>
    <w:rsid w:val="00984D52"/>
    <w:rsid w:val="00986C44"/>
    <w:rsid w:val="0099152B"/>
    <w:rsid w:val="009916EE"/>
    <w:rsid w:val="00993ED9"/>
    <w:rsid w:val="0099670A"/>
    <w:rsid w:val="009A11E7"/>
    <w:rsid w:val="009A7774"/>
    <w:rsid w:val="009B41BC"/>
    <w:rsid w:val="009B4E08"/>
    <w:rsid w:val="009C4429"/>
    <w:rsid w:val="009C5046"/>
    <w:rsid w:val="009C5BA3"/>
    <w:rsid w:val="009C6B1B"/>
    <w:rsid w:val="009C7DEC"/>
    <w:rsid w:val="009D02BA"/>
    <w:rsid w:val="009D2A55"/>
    <w:rsid w:val="009D3FDA"/>
    <w:rsid w:val="009D5362"/>
    <w:rsid w:val="009D6C1C"/>
    <w:rsid w:val="009E15E0"/>
    <w:rsid w:val="009E5682"/>
    <w:rsid w:val="009F3DD9"/>
    <w:rsid w:val="009F4C41"/>
    <w:rsid w:val="009F6785"/>
    <w:rsid w:val="00A049C3"/>
    <w:rsid w:val="00A050C5"/>
    <w:rsid w:val="00A06E07"/>
    <w:rsid w:val="00A10778"/>
    <w:rsid w:val="00A117A8"/>
    <w:rsid w:val="00A13544"/>
    <w:rsid w:val="00A13C98"/>
    <w:rsid w:val="00A143F0"/>
    <w:rsid w:val="00A14574"/>
    <w:rsid w:val="00A151F1"/>
    <w:rsid w:val="00A16EB7"/>
    <w:rsid w:val="00A179DD"/>
    <w:rsid w:val="00A17A4B"/>
    <w:rsid w:val="00A2213F"/>
    <w:rsid w:val="00A262CD"/>
    <w:rsid w:val="00A267DA"/>
    <w:rsid w:val="00A27853"/>
    <w:rsid w:val="00A307A9"/>
    <w:rsid w:val="00A314FA"/>
    <w:rsid w:val="00A32E18"/>
    <w:rsid w:val="00A4367F"/>
    <w:rsid w:val="00A43C04"/>
    <w:rsid w:val="00A4663A"/>
    <w:rsid w:val="00A46CBB"/>
    <w:rsid w:val="00A513DC"/>
    <w:rsid w:val="00A5159A"/>
    <w:rsid w:val="00A52FD7"/>
    <w:rsid w:val="00A55842"/>
    <w:rsid w:val="00A56C30"/>
    <w:rsid w:val="00A57A74"/>
    <w:rsid w:val="00A60377"/>
    <w:rsid w:val="00A643BD"/>
    <w:rsid w:val="00A65230"/>
    <w:rsid w:val="00A65BD0"/>
    <w:rsid w:val="00A675C2"/>
    <w:rsid w:val="00A7212F"/>
    <w:rsid w:val="00A72B99"/>
    <w:rsid w:val="00A73D42"/>
    <w:rsid w:val="00A74185"/>
    <w:rsid w:val="00A7626F"/>
    <w:rsid w:val="00A82AB3"/>
    <w:rsid w:val="00A86E01"/>
    <w:rsid w:val="00A87789"/>
    <w:rsid w:val="00A92825"/>
    <w:rsid w:val="00A95DB9"/>
    <w:rsid w:val="00AB0500"/>
    <w:rsid w:val="00AB2222"/>
    <w:rsid w:val="00AB423D"/>
    <w:rsid w:val="00AB646C"/>
    <w:rsid w:val="00AB76CB"/>
    <w:rsid w:val="00AC1ED3"/>
    <w:rsid w:val="00AC2D31"/>
    <w:rsid w:val="00AC3C19"/>
    <w:rsid w:val="00AC6D80"/>
    <w:rsid w:val="00AD2A58"/>
    <w:rsid w:val="00AD4D1E"/>
    <w:rsid w:val="00AE218E"/>
    <w:rsid w:val="00AE32F3"/>
    <w:rsid w:val="00AE52C7"/>
    <w:rsid w:val="00AE78B0"/>
    <w:rsid w:val="00AF057F"/>
    <w:rsid w:val="00AF130D"/>
    <w:rsid w:val="00AF413D"/>
    <w:rsid w:val="00AF7604"/>
    <w:rsid w:val="00AF7E12"/>
    <w:rsid w:val="00B003D7"/>
    <w:rsid w:val="00B035EA"/>
    <w:rsid w:val="00B04C6F"/>
    <w:rsid w:val="00B05B9B"/>
    <w:rsid w:val="00B149BD"/>
    <w:rsid w:val="00B16D89"/>
    <w:rsid w:val="00B3014A"/>
    <w:rsid w:val="00B31C8A"/>
    <w:rsid w:val="00B32EF9"/>
    <w:rsid w:val="00B3335A"/>
    <w:rsid w:val="00B42CEA"/>
    <w:rsid w:val="00B4445F"/>
    <w:rsid w:val="00B453F7"/>
    <w:rsid w:val="00B57A41"/>
    <w:rsid w:val="00B7064F"/>
    <w:rsid w:val="00B741E0"/>
    <w:rsid w:val="00B8436F"/>
    <w:rsid w:val="00B85D1E"/>
    <w:rsid w:val="00B9587F"/>
    <w:rsid w:val="00B97AB5"/>
    <w:rsid w:val="00BA533B"/>
    <w:rsid w:val="00BA584A"/>
    <w:rsid w:val="00BC0309"/>
    <w:rsid w:val="00BC08E1"/>
    <w:rsid w:val="00BC4198"/>
    <w:rsid w:val="00BC6996"/>
    <w:rsid w:val="00BD3075"/>
    <w:rsid w:val="00BD44A5"/>
    <w:rsid w:val="00BD5CAF"/>
    <w:rsid w:val="00BD65F7"/>
    <w:rsid w:val="00BD7FED"/>
    <w:rsid w:val="00BE1D42"/>
    <w:rsid w:val="00BE355B"/>
    <w:rsid w:val="00BE5553"/>
    <w:rsid w:val="00BE7A1F"/>
    <w:rsid w:val="00BF6BA9"/>
    <w:rsid w:val="00C017AE"/>
    <w:rsid w:val="00C021C2"/>
    <w:rsid w:val="00C02D02"/>
    <w:rsid w:val="00C03C29"/>
    <w:rsid w:val="00C07D12"/>
    <w:rsid w:val="00C10165"/>
    <w:rsid w:val="00C11A46"/>
    <w:rsid w:val="00C12ABC"/>
    <w:rsid w:val="00C141D9"/>
    <w:rsid w:val="00C176FB"/>
    <w:rsid w:val="00C17995"/>
    <w:rsid w:val="00C22C1B"/>
    <w:rsid w:val="00C23E5D"/>
    <w:rsid w:val="00C25DFC"/>
    <w:rsid w:val="00C31389"/>
    <w:rsid w:val="00C33372"/>
    <w:rsid w:val="00C333EE"/>
    <w:rsid w:val="00C34924"/>
    <w:rsid w:val="00C34DC7"/>
    <w:rsid w:val="00C35602"/>
    <w:rsid w:val="00C37D67"/>
    <w:rsid w:val="00C476D1"/>
    <w:rsid w:val="00C4781C"/>
    <w:rsid w:val="00C5002E"/>
    <w:rsid w:val="00C53C26"/>
    <w:rsid w:val="00C55929"/>
    <w:rsid w:val="00C55BCB"/>
    <w:rsid w:val="00C604A5"/>
    <w:rsid w:val="00C64A1A"/>
    <w:rsid w:val="00C71755"/>
    <w:rsid w:val="00C74A95"/>
    <w:rsid w:val="00C74CE5"/>
    <w:rsid w:val="00C812E1"/>
    <w:rsid w:val="00C85D0F"/>
    <w:rsid w:val="00C926E9"/>
    <w:rsid w:val="00C94B3D"/>
    <w:rsid w:val="00C95326"/>
    <w:rsid w:val="00C96AC9"/>
    <w:rsid w:val="00CA3CF1"/>
    <w:rsid w:val="00CA62E6"/>
    <w:rsid w:val="00CB0A11"/>
    <w:rsid w:val="00CB0CB5"/>
    <w:rsid w:val="00CB0CFF"/>
    <w:rsid w:val="00CB1104"/>
    <w:rsid w:val="00CB4D6D"/>
    <w:rsid w:val="00CB4E6B"/>
    <w:rsid w:val="00CB55EA"/>
    <w:rsid w:val="00CB6A6B"/>
    <w:rsid w:val="00CB7CA7"/>
    <w:rsid w:val="00CC37A0"/>
    <w:rsid w:val="00CD355C"/>
    <w:rsid w:val="00CD5A7C"/>
    <w:rsid w:val="00CD613F"/>
    <w:rsid w:val="00CD6474"/>
    <w:rsid w:val="00CD70EC"/>
    <w:rsid w:val="00CD794E"/>
    <w:rsid w:val="00CD7B98"/>
    <w:rsid w:val="00CE56B5"/>
    <w:rsid w:val="00CF0582"/>
    <w:rsid w:val="00CF3B32"/>
    <w:rsid w:val="00D024B3"/>
    <w:rsid w:val="00D04620"/>
    <w:rsid w:val="00D07778"/>
    <w:rsid w:val="00D14259"/>
    <w:rsid w:val="00D20B0C"/>
    <w:rsid w:val="00D2371A"/>
    <w:rsid w:val="00D269A9"/>
    <w:rsid w:val="00D27D70"/>
    <w:rsid w:val="00D27EEC"/>
    <w:rsid w:val="00D3044D"/>
    <w:rsid w:val="00D30529"/>
    <w:rsid w:val="00D30C6A"/>
    <w:rsid w:val="00D32916"/>
    <w:rsid w:val="00D32EA7"/>
    <w:rsid w:val="00D34BB7"/>
    <w:rsid w:val="00D40A65"/>
    <w:rsid w:val="00D40FE4"/>
    <w:rsid w:val="00D41146"/>
    <w:rsid w:val="00D42622"/>
    <w:rsid w:val="00D47603"/>
    <w:rsid w:val="00D5212C"/>
    <w:rsid w:val="00D52797"/>
    <w:rsid w:val="00D530FE"/>
    <w:rsid w:val="00D659BA"/>
    <w:rsid w:val="00D66BCF"/>
    <w:rsid w:val="00D7735D"/>
    <w:rsid w:val="00D80DA7"/>
    <w:rsid w:val="00D83294"/>
    <w:rsid w:val="00D84DFC"/>
    <w:rsid w:val="00D90A17"/>
    <w:rsid w:val="00D92A67"/>
    <w:rsid w:val="00D964CC"/>
    <w:rsid w:val="00D96A50"/>
    <w:rsid w:val="00DA0F32"/>
    <w:rsid w:val="00DA2402"/>
    <w:rsid w:val="00DA3C04"/>
    <w:rsid w:val="00DA3D5E"/>
    <w:rsid w:val="00DA6BE1"/>
    <w:rsid w:val="00DB0171"/>
    <w:rsid w:val="00DB01F6"/>
    <w:rsid w:val="00DB38D0"/>
    <w:rsid w:val="00DB3D9C"/>
    <w:rsid w:val="00DB4C21"/>
    <w:rsid w:val="00DC2625"/>
    <w:rsid w:val="00DD0A83"/>
    <w:rsid w:val="00DD1D45"/>
    <w:rsid w:val="00DD44EF"/>
    <w:rsid w:val="00DD5093"/>
    <w:rsid w:val="00DD7AC5"/>
    <w:rsid w:val="00DE0888"/>
    <w:rsid w:val="00DE4FA7"/>
    <w:rsid w:val="00DE75CD"/>
    <w:rsid w:val="00DF135A"/>
    <w:rsid w:val="00DF63FD"/>
    <w:rsid w:val="00DF718A"/>
    <w:rsid w:val="00DF7693"/>
    <w:rsid w:val="00E03C07"/>
    <w:rsid w:val="00E03D15"/>
    <w:rsid w:val="00E04CAB"/>
    <w:rsid w:val="00E04F5A"/>
    <w:rsid w:val="00E051D8"/>
    <w:rsid w:val="00E078C4"/>
    <w:rsid w:val="00E1248D"/>
    <w:rsid w:val="00E1509C"/>
    <w:rsid w:val="00E2644B"/>
    <w:rsid w:val="00E3006C"/>
    <w:rsid w:val="00E4158B"/>
    <w:rsid w:val="00E44140"/>
    <w:rsid w:val="00E44C11"/>
    <w:rsid w:val="00E44F4E"/>
    <w:rsid w:val="00E4584D"/>
    <w:rsid w:val="00E46DF7"/>
    <w:rsid w:val="00E53EB1"/>
    <w:rsid w:val="00E5401B"/>
    <w:rsid w:val="00E546F3"/>
    <w:rsid w:val="00E56944"/>
    <w:rsid w:val="00E6240D"/>
    <w:rsid w:val="00E63EA9"/>
    <w:rsid w:val="00E66276"/>
    <w:rsid w:val="00E66A7B"/>
    <w:rsid w:val="00E6787E"/>
    <w:rsid w:val="00E7022F"/>
    <w:rsid w:val="00E73950"/>
    <w:rsid w:val="00E73AF0"/>
    <w:rsid w:val="00E75E51"/>
    <w:rsid w:val="00E761E9"/>
    <w:rsid w:val="00E765C9"/>
    <w:rsid w:val="00E778A3"/>
    <w:rsid w:val="00E82B17"/>
    <w:rsid w:val="00E836FA"/>
    <w:rsid w:val="00E845A0"/>
    <w:rsid w:val="00E97746"/>
    <w:rsid w:val="00EA214B"/>
    <w:rsid w:val="00EB0205"/>
    <w:rsid w:val="00EB2C23"/>
    <w:rsid w:val="00EC6B29"/>
    <w:rsid w:val="00ED3647"/>
    <w:rsid w:val="00EE0BAC"/>
    <w:rsid w:val="00EE4395"/>
    <w:rsid w:val="00EE6E52"/>
    <w:rsid w:val="00EE7803"/>
    <w:rsid w:val="00EF3C45"/>
    <w:rsid w:val="00EF5181"/>
    <w:rsid w:val="00EF5DDB"/>
    <w:rsid w:val="00F02811"/>
    <w:rsid w:val="00F02F91"/>
    <w:rsid w:val="00F04D53"/>
    <w:rsid w:val="00F0648F"/>
    <w:rsid w:val="00F0688A"/>
    <w:rsid w:val="00F0725F"/>
    <w:rsid w:val="00F11DB3"/>
    <w:rsid w:val="00F14CBB"/>
    <w:rsid w:val="00F2414D"/>
    <w:rsid w:val="00F278FC"/>
    <w:rsid w:val="00F307F0"/>
    <w:rsid w:val="00F322E7"/>
    <w:rsid w:val="00F3482B"/>
    <w:rsid w:val="00F35270"/>
    <w:rsid w:val="00F353BD"/>
    <w:rsid w:val="00F35FF8"/>
    <w:rsid w:val="00F37AFC"/>
    <w:rsid w:val="00F40821"/>
    <w:rsid w:val="00F410C6"/>
    <w:rsid w:val="00F4275B"/>
    <w:rsid w:val="00F433F0"/>
    <w:rsid w:val="00F459E5"/>
    <w:rsid w:val="00F46A75"/>
    <w:rsid w:val="00F507DF"/>
    <w:rsid w:val="00F56619"/>
    <w:rsid w:val="00F61353"/>
    <w:rsid w:val="00F62EBD"/>
    <w:rsid w:val="00F63FFA"/>
    <w:rsid w:val="00F64140"/>
    <w:rsid w:val="00F70D27"/>
    <w:rsid w:val="00F7113A"/>
    <w:rsid w:val="00F76988"/>
    <w:rsid w:val="00F94F30"/>
    <w:rsid w:val="00F964E8"/>
    <w:rsid w:val="00FA08CB"/>
    <w:rsid w:val="00FA23A7"/>
    <w:rsid w:val="00FA7520"/>
    <w:rsid w:val="00FB0CC5"/>
    <w:rsid w:val="00FB51E4"/>
    <w:rsid w:val="00FC175E"/>
    <w:rsid w:val="00FD0092"/>
    <w:rsid w:val="00FD19FB"/>
    <w:rsid w:val="00FD1FBA"/>
    <w:rsid w:val="00FD2307"/>
    <w:rsid w:val="00FD42AA"/>
    <w:rsid w:val="00FE01FC"/>
    <w:rsid w:val="00FE02A2"/>
    <w:rsid w:val="00FE2AC0"/>
    <w:rsid w:val="00FE6063"/>
    <w:rsid w:val="00FE6F94"/>
    <w:rsid w:val="00FE735B"/>
    <w:rsid w:val="00FF0B23"/>
    <w:rsid w:val="00FF3549"/>
    <w:rsid w:val="00FF3AB3"/>
    <w:rsid w:val="00FF5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bCs/>
      <w:u w:val="single"/>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spacing w:before="240" w:after="60"/>
      <w:outlineLvl w:val="2"/>
    </w:pPr>
    <w:rPr>
      <w:rFonts w:ascii="Cambria" w:hAnsi="Cambria"/>
      <w:b/>
      <w:bCs/>
      <w:sz w:val="26"/>
      <w:szCs w:val="26"/>
    </w:rPr>
  </w:style>
  <w:style w:type="paragraph" w:styleId="Nadpis4">
    <w:name w:val="heading 4"/>
    <w:basedOn w:val="Normln"/>
    <w:next w:val="Normln"/>
    <w:qFormat/>
    <w:pPr>
      <w:keepNext/>
      <w:tabs>
        <w:tab w:val="left" w:pos="1702"/>
      </w:tabs>
      <w:spacing w:before="240" w:after="60"/>
      <w:ind w:left="851" w:hanging="851"/>
      <w:jc w:val="both"/>
      <w:outlineLvl w:val="3"/>
    </w:pPr>
    <w:rPr>
      <w:rFonts w:ascii="Arial" w:hAnsi="Arial"/>
      <w:b/>
      <w:bCs/>
      <w:sz w:val="22"/>
      <w:szCs w:val="28"/>
      <w:lang w:val="en-US"/>
    </w:rPr>
  </w:style>
  <w:style w:type="paragraph" w:styleId="Nadpis5">
    <w:name w:val="heading 5"/>
    <w:basedOn w:val="Normln"/>
    <w:next w:val="Normln"/>
    <w:qFormat/>
    <w:pPr>
      <w:keepNext/>
      <w:keepLines/>
      <w:spacing w:before="200"/>
      <w:jc w:val="both"/>
      <w:outlineLvl w:val="4"/>
    </w:pPr>
    <w:rPr>
      <w:rFonts w:ascii="Cambria" w:hAnsi="Cambria"/>
      <w:color w:val="243F60"/>
      <w:sz w:val="22"/>
      <w:lang w:val="en-US"/>
    </w:rPr>
  </w:style>
  <w:style w:type="paragraph" w:styleId="Nadpis6">
    <w:name w:val="heading 6"/>
    <w:basedOn w:val="Normln"/>
    <w:next w:val="Normln"/>
    <w:qFormat/>
    <w:pPr>
      <w:keepNext/>
      <w:outlineLvl w:val="5"/>
    </w:pPr>
    <w:rPr>
      <w:rFonts w:ascii="Arial" w:hAnsi="Arial"/>
      <w:b/>
      <w:bCs/>
      <w:sz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Arial" w:hAnsi="Arial" w:cs="Times New Roman"/>
      <w:b/>
      <w:i w:val="0"/>
      <w:sz w:val="24"/>
    </w:rPr>
  </w:style>
  <w:style w:type="character" w:customStyle="1" w:styleId="WW8Num18z1">
    <w:name w:val="WW8Num18z1"/>
    <w:rPr>
      <w:rFonts w:ascii="Arial" w:hAnsi="Arial" w:cs="Times New Roman"/>
      <w:b/>
      <w:i w:val="0"/>
      <w:sz w:val="22"/>
    </w:rPr>
  </w:style>
  <w:style w:type="character" w:customStyle="1" w:styleId="WW8Num18z4">
    <w:name w:val="WW8Num18z4"/>
    <w:rPr>
      <w:rFonts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cs="Times New Roman"/>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Arial" w:hAnsi="Arial" w:cs="Times New Roman"/>
      <w:b w:val="0"/>
      <w:i w:val="0"/>
      <w:sz w:val="22"/>
    </w:rPr>
  </w:style>
  <w:style w:type="character" w:customStyle="1" w:styleId="WW8Num28z1">
    <w:name w:val="WW8Num28z1"/>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Arial" w:eastAsia="Times New Roman" w:hAnsi="Aria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Arial" w:eastAsia="Times New Roman" w:hAnsi="Aria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cs="Times New Roman"/>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b w:val="0"/>
      <w:i w:val="0"/>
      <w:sz w:val="20"/>
    </w:rPr>
  </w:style>
  <w:style w:type="character" w:customStyle="1" w:styleId="WW8Num40z2">
    <w:name w:val="WW8Num40z2"/>
    <w:rPr>
      <w:rFonts w:cs="Times New Roman"/>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cs="Times New Roman"/>
    </w:rPr>
  </w:style>
  <w:style w:type="character" w:customStyle="1" w:styleId="WW8Num45z0">
    <w:name w:val="WW8Num45z0"/>
    <w:rPr>
      <w:rFonts w:cs="Times New Roman"/>
    </w:rPr>
  </w:style>
  <w:style w:type="character" w:customStyle="1" w:styleId="Standardnpsmoodstavce1">
    <w:name w:val="Standardní písmo odstavce1"/>
  </w:style>
  <w:style w:type="character" w:customStyle="1" w:styleId="Heading1Char">
    <w:name w:val="Heading 1 Char"/>
    <w:rPr>
      <w:rFonts w:ascii="Times New Roman" w:hAnsi="Times New Roman"/>
      <w:b/>
      <w:sz w:val="24"/>
      <w:u w:val="single"/>
      <w:lang w:val="x-none"/>
    </w:rPr>
  </w:style>
  <w:style w:type="character" w:customStyle="1" w:styleId="Heading2Char">
    <w:name w:val="Heading 2 Char"/>
    <w:rPr>
      <w:rFonts w:ascii="Cambria" w:hAnsi="Cambria"/>
      <w:b/>
      <w:i/>
      <w:sz w:val="28"/>
      <w:lang w:val="x-none"/>
    </w:rPr>
  </w:style>
  <w:style w:type="character" w:customStyle="1" w:styleId="Heading3Char">
    <w:name w:val="Heading 3 Char"/>
    <w:rPr>
      <w:rFonts w:ascii="Cambria" w:hAnsi="Cambria"/>
      <w:b/>
      <w:sz w:val="26"/>
      <w:lang w:val="x-none"/>
    </w:rPr>
  </w:style>
  <w:style w:type="character" w:customStyle="1" w:styleId="Heading4Char">
    <w:name w:val="Heading 4 Char"/>
    <w:rPr>
      <w:rFonts w:ascii="Arial" w:hAnsi="Arial"/>
      <w:b/>
      <w:sz w:val="28"/>
      <w:lang w:val="en-US"/>
    </w:rPr>
  </w:style>
  <w:style w:type="character" w:customStyle="1" w:styleId="Heading5Char">
    <w:name w:val="Heading 5 Char"/>
    <w:rPr>
      <w:rFonts w:ascii="Cambria" w:hAnsi="Cambria"/>
      <w:color w:val="243F60"/>
      <w:sz w:val="24"/>
      <w:lang w:val="en-US"/>
    </w:rPr>
  </w:style>
  <w:style w:type="character" w:customStyle="1" w:styleId="Heading6Char">
    <w:name w:val="Heading 6 Char"/>
    <w:rPr>
      <w:rFonts w:ascii="Arial" w:hAnsi="Arial"/>
      <w:b/>
      <w:sz w:val="24"/>
      <w:lang w:val="en-US"/>
    </w:rPr>
  </w:style>
  <w:style w:type="character" w:customStyle="1" w:styleId="BodyTextChar">
    <w:name w:val="Body Text Char"/>
    <w:rPr>
      <w:rFonts w:ascii="Times New Roman" w:hAnsi="Times New Roman"/>
      <w:sz w:val="24"/>
      <w:lang w:val="x-none"/>
    </w:rPr>
  </w:style>
  <w:style w:type="character" w:customStyle="1" w:styleId="FooterChar">
    <w:name w:val="Footer Char"/>
    <w:rPr>
      <w:rFonts w:ascii="Times New Roman" w:hAnsi="Times New Roman"/>
      <w:sz w:val="24"/>
    </w:rPr>
  </w:style>
  <w:style w:type="character" w:styleId="slostrnky">
    <w:name w:val="page number"/>
    <w:semiHidden/>
    <w:rPr>
      <w:rFonts w:cs="Times New Roman"/>
    </w:rPr>
  </w:style>
  <w:style w:type="character" w:customStyle="1" w:styleId="TitleChar">
    <w:name w:val="Title Char"/>
    <w:rPr>
      <w:rFonts w:ascii="Times New Roman" w:hAnsi="Times New Roman"/>
      <w:b/>
      <w:spacing w:val="20"/>
      <w:sz w:val="24"/>
      <w:lang w:val="x-none"/>
    </w:rPr>
  </w:style>
  <w:style w:type="character" w:customStyle="1" w:styleId="HeaderChar">
    <w:name w:val="Header Char"/>
    <w:rPr>
      <w:rFonts w:ascii="Times New Roman" w:hAnsi="Times New Roman"/>
      <w:sz w:val="24"/>
    </w:rPr>
  </w:style>
  <w:style w:type="character" w:customStyle="1" w:styleId="FootnoteTextChar">
    <w:name w:val="Footnote Text Char"/>
    <w:rPr>
      <w:rFonts w:ascii="Times New Roman" w:hAnsi="Times New Roman"/>
      <w:sz w:val="20"/>
    </w:rPr>
  </w:style>
  <w:style w:type="character" w:customStyle="1" w:styleId="Znakypropoznmkupodarou">
    <w:name w:val="Znaky pro poznámku pod čarou"/>
    <w:rPr>
      <w:vertAlign w:val="superscript"/>
    </w:rPr>
  </w:style>
  <w:style w:type="character" w:customStyle="1" w:styleId="ListParagraphChar">
    <w:name w:val="List Paragraph Char"/>
    <w:rPr>
      <w:rFonts w:ascii="Times New Roman" w:hAnsi="Times New Roman"/>
      <w:sz w:val="24"/>
      <w:lang w:val="x-none"/>
    </w:rPr>
  </w:style>
  <w:style w:type="character" w:customStyle="1" w:styleId="CommentReference">
    <w:name w:val="Comment Reference"/>
    <w:rPr>
      <w:sz w:val="16"/>
    </w:rPr>
  </w:style>
  <w:style w:type="character" w:customStyle="1" w:styleId="CommentTextChar">
    <w:name w:val="Comment Text Char"/>
    <w:rPr>
      <w:rFonts w:ascii="Times New Roman" w:hAnsi="Times New Roman"/>
      <w:sz w:val="20"/>
    </w:rPr>
  </w:style>
  <w:style w:type="character" w:customStyle="1" w:styleId="CommentSubjectChar">
    <w:name w:val="Comment Subject Char"/>
    <w:rPr>
      <w:rFonts w:ascii="Times New Roman" w:hAnsi="Times New Roman"/>
      <w:b/>
      <w:sz w:val="20"/>
    </w:rPr>
  </w:style>
  <w:style w:type="character" w:customStyle="1" w:styleId="BalloonTextChar">
    <w:name w:val="Balloon Text Char"/>
    <w:rPr>
      <w:rFonts w:ascii="Tahoma" w:hAnsi="Tahoma"/>
      <w:sz w:val="16"/>
    </w:rPr>
  </w:style>
  <w:style w:type="character" w:customStyle="1" w:styleId="Nadpis6Char">
    <w:name w:val="Nadpis 6 Char"/>
    <w:rPr>
      <w:rFonts w:ascii="Cambria" w:hAnsi="Cambria"/>
      <w:i/>
      <w:color w:val="243F60"/>
      <w:sz w:val="24"/>
    </w:rPr>
  </w:style>
  <w:style w:type="character" w:customStyle="1" w:styleId="BodyText2Char">
    <w:name w:val="Body Text 2 Char"/>
    <w:rPr>
      <w:rFonts w:ascii="Arial" w:hAnsi="Arial"/>
      <w:sz w:val="24"/>
    </w:rPr>
  </w:style>
  <w:style w:type="character" w:customStyle="1" w:styleId="BodyTextIndentChar">
    <w:name w:val="Body Text Indent Char"/>
    <w:rPr>
      <w:rFonts w:ascii="Times New Roman" w:hAnsi="Times New Roman"/>
      <w:sz w:val="24"/>
      <w:lang w:val="en-US"/>
    </w:rPr>
  </w:style>
  <w:style w:type="character" w:customStyle="1" w:styleId="BodyTextIndent3Char">
    <w:name w:val="Body Text Indent 3 Char"/>
    <w:rPr>
      <w:rFonts w:ascii="Times New Roman" w:hAnsi="Times New Roman"/>
      <w:sz w:val="16"/>
    </w:rPr>
  </w:style>
  <w:style w:type="character" w:styleId="Hypertextovodkaz">
    <w:name w:val="Hyperlink"/>
    <w:semiHidden/>
    <w:rPr>
      <w:color w:val="0000FF"/>
      <w:u w:val="single"/>
    </w:rPr>
  </w:style>
  <w:style w:type="character" w:customStyle="1" w:styleId="EndnoteTextChar">
    <w:name w:val="Endnote Text Char"/>
    <w:rPr>
      <w:rFonts w:ascii="Times New Roman" w:hAnsi="Times New Roman"/>
      <w:sz w:val="20"/>
    </w:rPr>
  </w:style>
  <w:style w:type="character" w:customStyle="1" w:styleId="Znakyprovysvtlivky">
    <w:name w:val="Znaky pro vysvětlivky"/>
    <w:rPr>
      <w:vertAlign w:val="superscript"/>
    </w:rPr>
  </w:style>
  <w:style w:type="character" w:customStyle="1" w:styleId="st1">
    <w:name w:val="st1"/>
    <w:rPr>
      <w:rFonts w:cs="Times New Roman"/>
    </w:rPr>
  </w:style>
  <w:style w:type="character" w:customStyle="1" w:styleId="Ploha1Char">
    <w:name w:val="Příloha 1 Char"/>
    <w:rPr>
      <w:rFonts w:ascii="Arial" w:hAnsi="Arial"/>
      <w:sz w:val="24"/>
      <w:lang w:val="x-none"/>
    </w:rPr>
  </w:style>
  <w:style w:type="character" w:customStyle="1" w:styleId="SubtitleChar">
    <w:name w:val="Subtitle Char"/>
    <w:rPr>
      <w:rFonts w:ascii="Cambria" w:hAnsi="Cambria"/>
      <w:i/>
      <w:color w:val="4F81BD"/>
      <w:spacing w:val="15"/>
      <w:sz w:val="24"/>
      <w:lang w:val="en-US"/>
    </w:rPr>
  </w:style>
  <w:style w:type="character" w:customStyle="1" w:styleId="Zdraznnjemn1">
    <w:name w:val="Zdůraznění – jemné1"/>
    <w:rPr>
      <w:i/>
      <w:color w:val="808080"/>
    </w:rPr>
  </w:style>
  <w:style w:type="character" w:styleId="Zvraznn">
    <w:name w:val="Emphasis"/>
    <w:qFormat/>
    <w:rPr>
      <w:i/>
    </w:rPr>
  </w:style>
  <w:style w:type="character" w:customStyle="1" w:styleId="Zdraznnintenzivn1">
    <w:name w:val="Zdůraznění – intenzivní1"/>
    <w:rPr>
      <w:b/>
      <w:i/>
      <w:color w:val="4F81BD"/>
    </w:rPr>
  </w:style>
  <w:style w:type="character" w:styleId="Siln">
    <w:name w:val="Strong"/>
    <w:qFormat/>
    <w:rPr>
      <w:b/>
    </w:rPr>
  </w:style>
  <w:style w:type="character" w:customStyle="1" w:styleId="QuoteChar">
    <w:name w:val="Quote Char"/>
    <w:rPr>
      <w:rFonts w:ascii="Arial" w:hAnsi="Arial"/>
      <w:i/>
      <w:color w:val="000000"/>
      <w:sz w:val="24"/>
      <w:lang w:val="en-US"/>
    </w:rPr>
  </w:style>
  <w:style w:type="character" w:customStyle="1" w:styleId="IntenseQuoteChar">
    <w:name w:val="Intense Quote Char"/>
    <w:rPr>
      <w:rFonts w:ascii="Arial" w:hAnsi="Arial"/>
      <w:b/>
      <w:i/>
      <w:color w:val="4F81BD"/>
      <w:sz w:val="24"/>
      <w:lang w:val="en-US"/>
    </w:rPr>
  </w:style>
  <w:style w:type="character" w:customStyle="1" w:styleId="Odkazjemn1">
    <w:name w:val="Odkaz – jemný1"/>
    <w:rPr>
      <w:smallCaps/>
      <w:color w:val="C0504D"/>
      <w:u w:val="single"/>
    </w:rPr>
  </w:style>
  <w:style w:type="character" w:customStyle="1" w:styleId="Odkazintenzivn1">
    <w:name w:val="Odkaz – intenzivní1"/>
    <w:rPr>
      <w:b/>
      <w:smallCaps/>
      <w:color w:val="C0504D"/>
      <w:spacing w:val="5"/>
      <w:u w:val="single"/>
    </w:rPr>
  </w:style>
  <w:style w:type="character" w:customStyle="1" w:styleId="Nzevknihy1">
    <w:name w:val="Název knihy1"/>
    <w:rPr>
      <w:b/>
      <w:smallCaps/>
      <w:spacing w:val="5"/>
    </w:rPr>
  </w:style>
  <w:style w:type="character" w:customStyle="1" w:styleId="PlainTextChar">
    <w:name w:val="Plain Text Char"/>
    <w:rPr>
      <w:rFonts w:ascii="Consolas" w:hAnsi="Consolas"/>
    </w:rPr>
  </w:style>
  <w:style w:type="character" w:customStyle="1" w:styleId="PlainTextChar1">
    <w:name w:val="Plain Text Char1"/>
    <w:rPr>
      <w:rFonts w:ascii="Courier New" w:hAnsi="Courier New" w:cs="Courier New"/>
    </w:rPr>
  </w:style>
  <w:style w:type="character" w:customStyle="1" w:styleId="ProsttextChar1">
    <w:name w:val="Prostý text Char1"/>
    <w:rPr>
      <w:rFonts w:ascii="Courier New" w:hAnsi="Courier New"/>
      <w:lang w:val="x-none"/>
    </w:rPr>
  </w:style>
  <w:style w:type="character" w:styleId="Znakapoznpodarou">
    <w:name w:val="footnote reference"/>
    <w:uiPriority w:val="99"/>
    <w:semiHidden/>
    <w:rPr>
      <w:vertAlign w:val="superscript"/>
    </w:rPr>
  </w:style>
  <w:style w:type="character" w:styleId="Odkaznavysvtlivky">
    <w:name w:val="endnote reference"/>
    <w:semiHidden/>
    <w:rPr>
      <w:vertAlign w:val="superscript"/>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line="360" w:lineRule="auto"/>
      <w:jc w:val="both"/>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link w:val="ZpatChar"/>
    <w:uiPriority w:val="99"/>
    <w:pPr>
      <w:tabs>
        <w:tab w:val="center" w:pos="4536"/>
        <w:tab w:val="right" w:pos="9072"/>
      </w:tabs>
    </w:pPr>
  </w:style>
  <w:style w:type="paragraph" w:styleId="Nzev">
    <w:name w:val="Title"/>
    <w:basedOn w:val="Normln"/>
    <w:next w:val="Podtitul"/>
    <w:qFormat/>
    <w:pPr>
      <w:jc w:val="center"/>
    </w:pPr>
    <w:rPr>
      <w:b/>
      <w:bCs/>
      <w:spacing w:val="20"/>
    </w:rPr>
  </w:style>
  <w:style w:type="paragraph" w:styleId="Podtitul">
    <w:name w:val="Subtitle"/>
    <w:basedOn w:val="Normln"/>
    <w:next w:val="Normln"/>
    <w:qFormat/>
    <w:pPr>
      <w:jc w:val="both"/>
    </w:pPr>
    <w:rPr>
      <w:rFonts w:ascii="Cambria" w:hAnsi="Cambria"/>
      <w:i/>
      <w:iCs/>
      <w:color w:val="4F81BD"/>
      <w:spacing w:val="15"/>
      <w:lang w:val="en-US"/>
    </w:rPr>
  </w:style>
  <w:style w:type="paragraph" w:styleId="Zhlav">
    <w:name w:val="header"/>
    <w:basedOn w:val="Normln"/>
    <w:semiHidden/>
    <w:pPr>
      <w:tabs>
        <w:tab w:val="center" w:pos="4536"/>
        <w:tab w:val="right" w:pos="9072"/>
      </w:tabs>
    </w:pPr>
  </w:style>
  <w:style w:type="paragraph" w:customStyle="1" w:styleId="Normlnweb1">
    <w:name w:val="Normální (web)1"/>
    <w:basedOn w:val="Normln"/>
    <w:pPr>
      <w:spacing w:before="280" w:after="280"/>
    </w:pPr>
    <w:rPr>
      <w:rFonts w:ascii="Arial Unicode MS" w:eastAsia="Arial Unicode MS" w:hAnsi="Arial Unicode MS" w:cs="Arial Unicode MS"/>
      <w:lang w:val="en-US"/>
    </w:rPr>
  </w:style>
  <w:style w:type="paragraph" w:styleId="Textpoznpodarou">
    <w:name w:val="footnote text"/>
    <w:basedOn w:val="Normln"/>
    <w:link w:val="TextpoznpodarouChar"/>
    <w:uiPriority w:val="99"/>
    <w:rPr>
      <w:sz w:val="20"/>
      <w:szCs w:val="20"/>
    </w:rPr>
  </w:style>
  <w:style w:type="paragraph" w:customStyle="1" w:styleId="Odstavecseseznamem1">
    <w:name w:val="Odstavec se seznamem1"/>
    <w:basedOn w:val="Normln"/>
    <w:pPr>
      <w:ind w:left="708"/>
    </w:pPr>
    <w:rPr>
      <w:szCs w:val="20"/>
      <w:lang w:val="x-none"/>
    </w:rPr>
  </w:style>
  <w:style w:type="paragraph" w:customStyle="1" w:styleId="CommentText">
    <w:name w:val="Comment Text"/>
    <w:basedOn w:val="Normln"/>
    <w:rPr>
      <w:sz w:val="20"/>
      <w:szCs w:val="20"/>
    </w:rPr>
  </w:style>
  <w:style w:type="paragraph" w:customStyle="1" w:styleId="CommentSubject">
    <w:name w:val="Comment Subject"/>
    <w:basedOn w:val="CommentText"/>
    <w:next w:val="CommentText"/>
    <w:rPr>
      <w:b/>
      <w:bCs/>
    </w:rPr>
  </w:style>
  <w:style w:type="paragraph" w:customStyle="1" w:styleId="Textbubliny1">
    <w:name w:val="Text bubliny1"/>
    <w:basedOn w:val="Normln"/>
    <w:rPr>
      <w:rFonts w:ascii="Tahoma" w:hAnsi="Tahoma"/>
      <w:sz w:val="16"/>
      <w:szCs w:val="16"/>
    </w:rPr>
  </w:style>
  <w:style w:type="paragraph" w:customStyle="1" w:styleId="Zkladntext21">
    <w:name w:val="Základní text 21"/>
    <w:basedOn w:val="Normln"/>
    <w:rPr>
      <w:rFonts w:ascii="Arial" w:hAnsi="Arial"/>
      <w:sz w:val="20"/>
    </w:rPr>
  </w:style>
  <w:style w:type="paragraph" w:styleId="Zkladntextodsazen">
    <w:name w:val="Body Text Indent"/>
    <w:basedOn w:val="Normln"/>
    <w:semiHidden/>
    <w:pPr>
      <w:spacing w:after="120"/>
      <w:ind w:left="283"/>
    </w:pPr>
    <w:rPr>
      <w:lang w:val="en-US"/>
    </w:rPr>
  </w:style>
  <w:style w:type="paragraph" w:customStyle="1" w:styleId="Pa13">
    <w:name w:val="Pa13"/>
    <w:basedOn w:val="Normln"/>
    <w:next w:val="Normln"/>
    <w:pPr>
      <w:autoSpaceDE w:val="0"/>
      <w:spacing w:after="80" w:line="181" w:lineRule="atLeast"/>
    </w:pPr>
    <w:rPr>
      <w:rFonts w:ascii="Arial" w:hAnsi="Arial"/>
      <w:lang w:val="en-US"/>
    </w:rPr>
  </w:style>
  <w:style w:type="paragraph" w:customStyle="1" w:styleId="Bezmezer1">
    <w:name w:val="Bez mezer1"/>
    <w:pPr>
      <w:suppressAutoHyphens/>
    </w:pPr>
    <w:rPr>
      <w:rFonts w:ascii="Calibri" w:eastAsia="Arial" w:hAnsi="Calibri" w:cs="Calibri"/>
      <w:sz w:val="22"/>
      <w:szCs w:val="22"/>
      <w:lang w:eastAsia="ar-SA"/>
    </w:rPr>
  </w:style>
  <w:style w:type="paragraph" w:customStyle="1" w:styleId="Zkladntextodsazen31">
    <w:name w:val="Základní text odsazený 31"/>
    <w:basedOn w:val="Normln"/>
    <w:pPr>
      <w:spacing w:after="120"/>
      <w:ind w:left="283"/>
    </w:pPr>
    <w:rPr>
      <w:sz w:val="16"/>
      <w:szCs w:val="16"/>
    </w:rPr>
  </w:style>
  <w:style w:type="paragraph" w:styleId="Textvysvtlivek">
    <w:name w:val="endnote text"/>
    <w:basedOn w:val="Normln"/>
    <w:semiHidden/>
    <w:rPr>
      <w:sz w:val="20"/>
      <w:szCs w:val="20"/>
    </w:rPr>
  </w:style>
  <w:style w:type="paragraph" w:customStyle="1" w:styleId="Revize1">
    <w:name w:val="Revize1"/>
    <w:pPr>
      <w:suppressAutoHyphens/>
    </w:pPr>
    <w:rPr>
      <w:rFonts w:eastAsia="Arial" w:cs="Calibri"/>
      <w:sz w:val="24"/>
      <w:szCs w:val="24"/>
      <w:lang w:eastAsia="ar-SA"/>
    </w:rPr>
  </w:style>
  <w:style w:type="paragraph" w:customStyle="1" w:styleId="Seznamobrzk1">
    <w:name w:val="Seznam obrázků1"/>
    <w:basedOn w:val="Normln"/>
    <w:next w:val="Normln"/>
    <w:rPr>
      <w:lang w:val="en-US"/>
    </w:rPr>
  </w:style>
  <w:style w:type="paragraph" w:customStyle="1" w:styleId="normlnmezera">
    <w:name w:val="normální mezera"/>
    <w:basedOn w:val="Normln"/>
    <w:pPr>
      <w:spacing w:before="120"/>
      <w:jc w:val="both"/>
    </w:pPr>
    <w:rPr>
      <w:rFonts w:ascii="Arial" w:hAnsi="Arial"/>
      <w:sz w:val="22"/>
      <w:szCs w:val="20"/>
    </w:rPr>
  </w:style>
  <w:style w:type="paragraph" w:customStyle="1" w:styleId="Titulek1">
    <w:name w:val="Titulek1"/>
    <w:basedOn w:val="Normln"/>
    <w:next w:val="Normln"/>
    <w:pPr>
      <w:spacing w:after="200"/>
    </w:pPr>
    <w:rPr>
      <w:b/>
      <w:bCs/>
      <w:color w:val="4F81BD"/>
      <w:sz w:val="18"/>
      <w:szCs w:val="18"/>
      <w:lang w:val="en-US"/>
    </w:rPr>
  </w:style>
  <w:style w:type="paragraph" w:customStyle="1" w:styleId="Doklad11">
    <w:name w:val="Doklad 1"/>
    <w:basedOn w:val="Normln"/>
    <w:pPr>
      <w:jc w:val="both"/>
    </w:pPr>
    <w:rPr>
      <w:rFonts w:ascii="Arial" w:hAnsi="Arial"/>
      <w:sz w:val="22"/>
      <w:lang w:val="en-US"/>
    </w:rPr>
  </w:style>
  <w:style w:type="paragraph" w:customStyle="1" w:styleId="kriteria">
    <w:name w:val="kriteria"/>
    <w:basedOn w:val="Normln"/>
    <w:pPr>
      <w:spacing w:before="120"/>
      <w:ind w:left="567"/>
      <w:jc w:val="both"/>
    </w:pPr>
    <w:rPr>
      <w:rFonts w:ascii="Arial" w:hAnsi="Arial"/>
      <w:i/>
      <w:sz w:val="22"/>
      <w:lang w:val="en-US"/>
    </w:rPr>
  </w:style>
  <w:style w:type="paragraph" w:customStyle="1" w:styleId="odsazen">
    <w:name w:val="odsazený"/>
    <w:basedOn w:val="Normln"/>
    <w:pPr>
      <w:spacing w:before="360"/>
      <w:ind w:firstLine="567"/>
      <w:jc w:val="both"/>
    </w:pPr>
    <w:rPr>
      <w:rFonts w:ascii="Arial" w:hAnsi="Arial"/>
      <w:sz w:val="22"/>
    </w:rPr>
  </w:style>
  <w:style w:type="paragraph" w:customStyle="1" w:styleId="Ploha1">
    <w:name w:val="Příloha 1"/>
    <w:basedOn w:val="Normln"/>
    <w:pPr>
      <w:numPr>
        <w:numId w:val="10"/>
      </w:numPr>
      <w:spacing w:before="120"/>
      <w:ind w:left="502"/>
      <w:jc w:val="both"/>
    </w:pPr>
    <w:rPr>
      <w:rFonts w:ascii="Arial" w:hAnsi="Arial"/>
      <w:szCs w:val="20"/>
      <w:lang w:val="x-none"/>
    </w:rPr>
  </w:style>
  <w:style w:type="paragraph" w:customStyle="1" w:styleId="Citt1">
    <w:name w:val="Citát1"/>
    <w:basedOn w:val="Normln"/>
    <w:next w:val="Normln"/>
    <w:pPr>
      <w:jc w:val="both"/>
    </w:pPr>
    <w:rPr>
      <w:rFonts w:ascii="Arial" w:hAnsi="Arial"/>
      <w:i/>
      <w:iCs/>
      <w:color w:val="000000"/>
      <w:sz w:val="22"/>
      <w:lang w:val="en-US"/>
    </w:rPr>
  </w:style>
  <w:style w:type="paragraph" w:customStyle="1" w:styleId="Vrazncitt1">
    <w:name w:val="Výrazný citát1"/>
    <w:basedOn w:val="Normln"/>
    <w:next w:val="Normln"/>
    <w:pPr>
      <w:pBdr>
        <w:bottom w:val="single" w:sz="4" w:space="4" w:color="808080"/>
      </w:pBdr>
      <w:spacing w:before="200" w:after="280"/>
      <w:ind w:left="936" w:right="936"/>
      <w:jc w:val="both"/>
    </w:pPr>
    <w:rPr>
      <w:rFonts w:ascii="Arial" w:hAnsi="Arial"/>
      <w:b/>
      <w:bCs/>
      <w:i/>
      <w:iCs/>
      <w:color w:val="4F81BD"/>
      <w:sz w:val="22"/>
      <w:lang w:val="en-US"/>
    </w:rPr>
  </w:style>
  <w:style w:type="paragraph" w:customStyle="1" w:styleId="Doklad1">
    <w:name w:val="Doklad_1"/>
    <w:basedOn w:val="Normln"/>
    <w:pPr>
      <w:numPr>
        <w:numId w:val="8"/>
      </w:numPr>
      <w:tabs>
        <w:tab w:val="left" w:pos="2138"/>
      </w:tabs>
      <w:spacing w:after="120"/>
      <w:jc w:val="both"/>
    </w:pPr>
    <w:rPr>
      <w:rFonts w:ascii="Arial" w:hAnsi="Arial"/>
      <w:sz w:val="22"/>
      <w:lang w:val="en-US"/>
    </w:rPr>
  </w:style>
  <w:style w:type="paragraph" w:customStyle="1" w:styleId="zvr">
    <w:name w:val="závěr"/>
    <w:basedOn w:val="odsazen"/>
    <w:rPr>
      <w:b/>
    </w:rPr>
  </w:style>
  <w:style w:type="paragraph" w:styleId="Obsah1">
    <w:name w:val="toc 1"/>
    <w:basedOn w:val="Normln"/>
    <w:next w:val="Normln"/>
    <w:semiHidden/>
    <w:pPr>
      <w:jc w:val="both"/>
    </w:pPr>
    <w:rPr>
      <w:rFonts w:ascii="Arial" w:hAnsi="Arial"/>
      <w:sz w:val="22"/>
      <w:lang w:val="en-US"/>
    </w:rPr>
  </w:style>
  <w:style w:type="paragraph" w:styleId="Obsah2">
    <w:name w:val="toc 2"/>
    <w:basedOn w:val="Normln"/>
    <w:next w:val="Normln"/>
    <w:semiHidden/>
    <w:pPr>
      <w:spacing w:before="120" w:after="120"/>
      <w:ind w:left="215"/>
      <w:jc w:val="both"/>
    </w:pPr>
    <w:rPr>
      <w:rFonts w:ascii="Arial" w:hAnsi="Arial"/>
      <w:sz w:val="22"/>
    </w:rPr>
  </w:style>
  <w:style w:type="paragraph" w:styleId="Obsah3">
    <w:name w:val="toc 3"/>
    <w:basedOn w:val="Normln"/>
    <w:next w:val="Normln"/>
    <w:semiHidden/>
    <w:pPr>
      <w:spacing w:after="100" w:line="276" w:lineRule="auto"/>
      <w:ind w:left="440"/>
    </w:pPr>
    <w:rPr>
      <w:rFonts w:ascii="Calibri" w:hAnsi="Calibri"/>
      <w:sz w:val="22"/>
      <w:szCs w:val="22"/>
    </w:rPr>
  </w:style>
  <w:style w:type="paragraph" w:customStyle="1" w:styleId="doklad10">
    <w:name w:val="doklad_1"/>
    <w:basedOn w:val="Normln"/>
    <w:pPr>
      <w:numPr>
        <w:numId w:val="13"/>
      </w:numPr>
      <w:tabs>
        <w:tab w:val="left" w:pos="3176"/>
      </w:tabs>
      <w:spacing w:after="120"/>
      <w:jc w:val="both"/>
    </w:pPr>
    <w:rPr>
      <w:rFonts w:ascii="Arial" w:hAnsi="Arial"/>
      <w:sz w:val="22"/>
      <w:szCs w:val="20"/>
    </w:rPr>
  </w:style>
  <w:style w:type="paragraph" w:customStyle="1" w:styleId="pklad">
    <w:name w:val="příklad"/>
    <w:basedOn w:val="normlnmezera"/>
    <w:pPr>
      <w:ind w:left="567"/>
    </w:pPr>
    <w:rPr>
      <w:iCs/>
    </w:rPr>
  </w:style>
  <w:style w:type="paragraph" w:customStyle="1" w:styleId="Styl50">
    <w:name w:val="Styl50"/>
    <w:basedOn w:val="Normln"/>
    <w:pPr>
      <w:spacing w:after="120"/>
      <w:ind w:left="1418" w:hanging="284"/>
      <w:jc w:val="both"/>
    </w:pPr>
    <w:rPr>
      <w:sz w:val="20"/>
      <w:szCs w:val="20"/>
    </w:rPr>
  </w:style>
  <w:style w:type="paragraph" w:customStyle="1" w:styleId="final1">
    <w:name w:val="final 1"/>
    <w:basedOn w:val="Normln"/>
    <w:pPr>
      <w:numPr>
        <w:numId w:val="1"/>
      </w:numPr>
      <w:spacing w:line="276" w:lineRule="auto"/>
      <w:jc w:val="both"/>
      <w:outlineLvl w:val="0"/>
    </w:pPr>
    <w:rPr>
      <w:rFonts w:ascii="Arial" w:hAnsi="Arial" w:cs="Arial"/>
      <w:b/>
      <w:i/>
      <w:sz w:val="22"/>
      <w:szCs w:val="22"/>
    </w:rPr>
  </w:style>
  <w:style w:type="paragraph" w:customStyle="1" w:styleId="Prosttext1">
    <w:name w:val="Prostý text1"/>
    <w:basedOn w:val="Normln"/>
    <w:rPr>
      <w:rFonts w:ascii="Consolas" w:hAnsi="Consolas"/>
      <w:sz w:val="20"/>
      <w:szCs w:val="20"/>
      <w:lang w:val="x-none"/>
    </w:rPr>
  </w:style>
  <w:style w:type="paragraph" w:customStyle="1" w:styleId="Odrka1">
    <w:name w:val="Odrážka 1"/>
    <w:basedOn w:val="Normln"/>
    <w:pPr>
      <w:numPr>
        <w:numId w:val="15"/>
      </w:numPr>
      <w:tabs>
        <w:tab w:val="left" w:pos="1531"/>
        <w:tab w:val="left" w:pos="1702"/>
      </w:tabs>
      <w:spacing w:after="120"/>
      <w:ind w:left="851"/>
      <w:jc w:val="both"/>
    </w:pPr>
    <w:rPr>
      <w:rFonts w:ascii="Verdana" w:hAnsi="Verdana"/>
      <w:sz w:val="20"/>
    </w:rPr>
  </w:style>
  <w:style w:type="paragraph" w:customStyle="1" w:styleId="Odstavecseseznamem10">
    <w:name w:val="Odstavec se seznamem1"/>
    <w:basedOn w:val="Normln"/>
    <w:pPr>
      <w:spacing w:after="200" w:line="276" w:lineRule="auto"/>
      <w:ind w:left="720"/>
    </w:pPr>
    <w:rPr>
      <w:rFonts w:ascii="Calibri" w:hAnsi="Calibri"/>
      <w:sz w:val="22"/>
      <w:szCs w:val="22"/>
    </w:rPr>
  </w:style>
  <w:style w:type="paragraph" w:customStyle="1" w:styleId="texttabulky-cz">
    <w:name w:val="text tabulky - cz"/>
    <w:pPr>
      <w:suppressAutoHyphens/>
    </w:pPr>
    <w:rPr>
      <w:rFonts w:ascii="Arial" w:eastAsia="Arial" w:hAnsi="Arial" w:cs="Arial"/>
      <w:iCs/>
      <w:spacing w:val="-5"/>
      <w:lang w:eastAsia="ar-SA"/>
    </w:rPr>
  </w:style>
  <w:style w:type="paragraph" w:customStyle="1" w:styleId="textlnku1">
    <w:name w:val="text článku 1"/>
    <w:pPr>
      <w:suppressAutoHyphens/>
      <w:spacing w:before="60"/>
      <w:ind w:firstLine="851"/>
    </w:pPr>
    <w:rPr>
      <w:rFonts w:ascii="Arial" w:eastAsia="Arial" w:hAnsi="Arial" w:cs="Arial"/>
      <w:lang w:eastAsia="ar-SA"/>
    </w:rPr>
  </w:style>
  <w:style w:type="paragraph" w:customStyle="1" w:styleId="Styl">
    <w:name w:val="Styl"/>
    <w:pPr>
      <w:widowControl w:val="0"/>
      <w:suppressAutoHyphens/>
      <w:autoSpaceDE w:val="0"/>
    </w:pPr>
    <w:rPr>
      <w:rFonts w:eastAsia="Arial" w:cs="Calibri"/>
      <w:sz w:val="24"/>
      <w:szCs w:val="24"/>
      <w:lang w:eastAsia="ar-SA"/>
    </w:rPr>
  </w:style>
  <w:style w:type="paragraph" w:customStyle="1" w:styleId="Odstavecseseznamem2">
    <w:name w:val="Odstavec se seznamem2"/>
    <w:basedOn w:val="Normln"/>
    <w:pPr>
      <w:spacing w:after="200" w:line="276" w:lineRule="auto"/>
      <w:ind w:left="720"/>
    </w:pPr>
    <w:rPr>
      <w:rFonts w:ascii="Calibri" w:hAnsi="Calibri"/>
      <w:sz w:val="22"/>
      <w:szCs w:val="22"/>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customStyle="1" w:styleId="ZpatChar">
    <w:name w:val="Zápatí Char"/>
    <w:link w:val="Zpat"/>
    <w:uiPriority w:val="99"/>
    <w:rsid w:val="00356185"/>
    <w:rPr>
      <w:rFonts w:cs="Calibri"/>
      <w:sz w:val="24"/>
      <w:szCs w:val="24"/>
      <w:lang w:eastAsia="ar-SA"/>
    </w:rPr>
  </w:style>
  <w:style w:type="paragraph" w:styleId="Textbubliny">
    <w:name w:val="Balloon Text"/>
    <w:basedOn w:val="Normln"/>
    <w:link w:val="TextbublinyChar"/>
    <w:uiPriority w:val="99"/>
    <w:semiHidden/>
    <w:unhideWhenUsed/>
    <w:rsid w:val="00803CA2"/>
    <w:rPr>
      <w:rFonts w:ascii="Tahoma" w:hAnsi="Tahoma" w:cs="Tahoma"/>
      <w:sz w:val="16"/>
      <w:szCs w:val="16"/>
    </w:rPr>
  </w:style>
  <w:style w:type="character" w:customStyle="1" w:styleId="TextbublinyChar">
    <w:name w:val="Text bubliny Char"/>
    <w:link w:val="Textbubliny"/>
    <w:uiPriority w:val="99"/>
    <w:semiHidden/>
    <w:rsid w:val="00803CA2"/>
    <w:rPr>
      <w:rFonts w:ascii="Tahoma" w:hAnsi="Tahoma" w:cs="Tahoma"/>
      <w:sz w:val="16"/>
      <w:szCs w:val="16"/>
      <w:lang w:eastAsia="ar-SA"/>
    </w:rPr>
  </w:style>
  <w:style w:type="character" w:styleId="Odkaznakoment">
    <w:name w:val="annotation reference"/>
    <w:uiPriority w:val="99"/>
    <w:semiHidden/>
    <w:unhideWhenUsed/>
    <w:rsid w:val="00F35270"/>
    <w:rPr>
      <w:sz w:val="16"/>
      <w:szCs w:val="16"/>
    </w:rPr>
  </w:style>
  <w:style w:type="paragraph" w:styleId="Textkomente">
    <w:name w:val="annotation text"/>
    <w:basedOn w:val="Normln"/>
    <w:link w:val="TextkomenteChar"/>
    <w:uiPriority w:val="99"/>
    <w:semiHidden/>
    <w:unhideWhenUsed/>
    <w:rsid w:val="00F35270"/>
    <w:rPr>
      <w:sz w:val="20"/>
      <w:szCs w:val="20"/>
    </w:rPr>
  </w:style>
  <w:style w:type="character" w:customStyle="1" w:styleId="TextkomenteChar">
    <w:name w:val="Text komentáře Char"/>
    <w:link w:val="Textkomente"/>
    <w:uiPriority w:val="99"/>
    <w:semiHidden/>
    <w:rsid w:val="00F35270"/>
    <w:rPr>
      <w:rFonts w:cs="Calibri"/>
      <w:lang w:eastAsia="ar-SA"/>
    </w:rPr>
  </w:style>
  <w:style w:type="paragraph" w:styleId="Pedmtkomente">
    <w:name w:val="annotation subject"/>
    <w:basedOn w:val="Textkomente"/>
    <w:next w:val="Textkomente"/>
    <w:link w:val="PedmtkomenteChar"/>
    <w:uiPriority w:val="99"/>
    <w:semiHidden/>
    <w:unhideWhenUsed/>
    <w:rsid w:val="00F35270"/>
    <w:rPr>
      <w:b/>
      <w:bCs/>
    </w:rPr>
  </w:style>
  <w:style w:type="character" w:customStyle="1" w:styleId="PedmtkomenteChar">
    <w:name w:val="Předmět komentáře Char"/>
    <w:link w:val="Pedmtkomente"/>
    <w:uiPriority w:val="99"/>
    <w:semiHidden/>
    <w:rsid w:val="00F35270"/>
    <w:rPr>
      <w:rFonts w:cs="Calibri"/>
      <w:b/>
      <w:bCs/>
      <w:lang w:eastAsia="ar-SA"/>
    </w:rPr>
  </w:style>
  <w:style w:type="character" w:customStyle="1" w:styleId="Nadpis2Char">
    <w:name w:val="Nadpis 2 Char"/>
    <w:basedOn w:val="Standardnpsmoodstavce"/>
    <w:link w:val="Nadpis2"/>
    <w:rsid w:val="00D66BCF"/>
    <w:rPr>
      <w:rFonts w:ascii="Cambria" w:hAnsi="Cambria" w:cs="Calibri"/>
      <w:b/>
      <w:bCs/>
      <w:i/>
      <w:iCs/>
      <w:sz w:val="28"/>
      <w:szCs w:val="28"/>
      <w:lang w:eastAsia="ar-SA"/>
    </w:rPr>
  </w:style>
  <w:style w:type="character" w:customStyle="1" w:styleId="TextpoznpodarouChar">
    <w:name w:val="Text pozn. pod čarou Char"/>
    <w:basedOn w:val="Standardnpsmoodstavce"/>
    <w:link w:val="Textpoznpodarou"/>
    <w:uiPriority w:val="99"/>
    <w:rsid w:val="00D66BCF"/>
    <w:rPr>
      <w:rFonts w:cs="Calibri"/>
      <w:lang w:eastAsia="ar-SA"/>
    </w:rPr>
  </w:style>
  <w:style w:type="character" w:customStyle="1" w:styleId="Standardnpsmoodstavce2">
    <w:name w:val="Standardní písmo odstavce2"/>
    <w:rsid w:val="005D61CA"/>
  </w:style>
  <w:style w:type="character" w:customStyle="1" w:styleId="Zdraznnjemn2">
    <w:name w:val="Zdůraznění – jemné2"/>
    <w:rsid w:val="005D61CA"/>
    <w:rPr>
      <w:i/>
      <w:color w:val="808080"/>
    </w:rPr>
  </w:style>
  <w:style w:type="character" w:customStyle="1" w:styleId="Zdraznnintenzivn2">
    <w:name w:val="Zdůraznění – intenzivní2"/>
    <w:rsid w:val="005D61CA"/>
    <w:rPr>
      <w:b/>
      <w:i/>
      <w:color w:val="4F81BD"/>
    </w:rPr>
  </w:style>
  <w:style w:type="character" w:customStyle="1" w:styleId="Odkazjemn2">
    <w:name w:val="Odkaz – jemný2"/>
    <w:rsid w:val="005D61CA"/>
    <w:rPr>
      <w:smallCaps/>
      <w:color w:val="C0504D"/>
      <w:u w:val="single"/>
    </w:rPr>
  </w:style>
  <w:style w:type="character" w:customStyle="1" w:styleId="Odkazintenzivn2">
    <w:name w:val="Odkaz – intenzivní2"/>
    <w:rsid w:val="005D61CA"/>
    <w:rPr>
      <w:b/>
      <w:smallCaps/>
      <w:color w:val="C0504D"/>
      <w:spacing w:val="5"/>
      <w:u w:val="single"/>
    </w:rPr>
  </w:style>
  <w:style w:type="character" w:customStyle="1" w:styleId="Nzevknihy2">
    <w:name w:val="Název knihy2"/>
    <w:rsid w:val="005D61CA"/>
    <w:rPr>
      <w:b/>
      <w:smallCaps/>
      <w:spacing w:val="5"/>
    </w:rPr>
  </w:style>
  <w:style w:type="paragraph" w:customStyle="1" w:styleId="Normlnweb2">
    <w:name w:val="Normální (web)2"/>
    <w:basedOn w:val="Normln"/>
    <w:rsid w:val="005D61CA"/>
    <w:pPr>
      <w:spacing w:before="280" w:after="280"/>
    </w:pPr>
    <w:rPr>
      <w:rFonts w:ascii="Arial Unicode MS" w:eastAsia="Arial Unicode MS" w:hAnsi="Arial Unicode MS" w:cs="Arial Unicode MS"/>
      <w:lang w:val="en-US"/>
    </w:rPr>
  </w:style>
  <w:style w:type="paragraph" w:customStyle="1" w:styleId="Odstavecseseznamem3">
    <w:name w:val="Odstavec se seznamem3"/>
    <w:basedOn w:val="Normln"/>
    <w:rsid w:val="005D61CA"/>
    <w:pPr>
      <w:ind w:left="708"/>
    </w:pPr>
    <w:rPr>
      <w:szCs w:val="20"/>
      <w:lang w:val="x-none"/>
    </w:rPr>
  </w:style>
  <w:style w:type="paragraph" w:customStyle="1" w:styleId="Textbubliny2">
    <w:name w:val="Text bubliny2"/>
    <w:basedOn w:val="Normln"/>
    <w:rsid w:val="005D61CA"/>
    <w:rPr>
      <w:rFonts w:ascii="Tahoma" w:hAnsi="Tahoma"/>
      <w:sz w:val="16"/>
      <w:szCs w:val="16"/>
    </w:rPr>
  </w:style>
  <w:style w:type="paragraph" w:customStyle="1" w:styleId="Zkladntext22">
    <w:name w:val="Základní text 22"/>
    <w:basedOn w:val="Normln"/>
    <w:rsid w:val="005D61CA"/>
    <w:rPr>
      <w:rFonts w:ascii="Arial" w:hAnsi="Arial"/>
      <w:sz w:val="20"/>
    </w:rPr>
  </w:style>
  <w:style w:type="paragraph" w:customStyle="1" w:styleId="Bezmezer2">
    <w:name w:val="Bez mezer2"/>
    <w:rsid w:val="005D61CA"/>
    <w:pPr>
      <w:suppressAutoHyphens/>
    </w:pPr>
    <w:rPr>
      <w:rFonts w:ascii="Calibri" w:eastAsia="Arial" w:hAnsi="Calibri" w:cs="Calibri"/>
      <w:sz w:val="22"/>
      <w:szCs w:val="22"/>
      <w:lang w:eastAsia="ar-SA"/>
    </w:rPr>
  </w:style>
  <w:style w:type="paragraph" w:customStyle="1" w:styleId="Zkladntextodsazen32">
    <w:name w:val="Základní text odsazený 32"/>
    <w:basedOn w:val="Normln"/>
    <w:rsid w:val="005D61CA"/>
    <w:pPr>
      <w:spacing w:after="120"/>
      <w:ind w:left="283"/>
    </w:pPr>
    <w:rPr>
      <w:sz w:val="16"/>
      <w:szCs w:val="16"/>
    </w:rPr>
  </w:style>
  <w:style w:type="paragraph" w:customStyle="1" w:styleId="Revize2">
    <w:name w:val="Revize2"/>
    <w:rsid w:val="005D61CA"/>
    <w:pPr>
      <w:suppressAutoHyphens/>
    </w:pPr>
    <w:rPr>
      <w:rFonts w:eastAsia="Arial" w:cs="Calibri"/>
      <w:sz w:val="24"/>
      <w:szCs w:val="24"/>
      <w:lang w:eastAsia="ar-SA"/>
    </w:rPr>
  </w:style>
  <w:style w:type="paragraph" w:customStyle="1" w:styleId="Seznamobrzk2">
    <w:name w:val="Seznam obrázků2"/>
    <w:basedOn w:val="Normln"/>
    <w:next w:val="Normln"/>
    <w:rsid w:val="005D61CA"/>
    <w:rPr>
      <w:lang w:val="en-US"/>
    </w:rPr>
  </w:style>
  <w:style w:type="paragraph" w:customStyle="1" w:styleId="Titulek2">
    <w:name w:val="Titulek2"/>
    <w:basedOn w:val="Normln"/>
    <w:next w:val="Normln"/>
    <w:rsid w:val="005D61CA"/>
    <w:pPr>
      <w:spacing w:after="200"/>
    </w:pPr>
    <w:rPr>
      <w:b/>
      <w:bCs/>
      <w:color w:val="4F81BD"/>
      <w:sz w:val="18"/>
      <w:szCs w:val="18"/>
      <w:lang w:val="en-US"/>
    </w:rPr>
  </w:style>
  <w:style w:type="paragraph" w:customStyle="1" w:styleId="Citt2">
    <w:name w:val="Citát2"/>
    <w:basedOn w:val="Normln"/>
    <w:next w:val="Normln"/>
    <w:rsid w:val="005D61CA"/>
    <w:pPr>
      <w:jc w:val="both"/>
    </w:pPr>
    <w:rPr>
      <w:rFonts w:ascii="Arial" w:hAnsi="Arial"/>
      <w:i/>
      <w:iCs/>
      <w:color w:val="000000"/>
      <w:sz w:val="22"/>
      <w:lang w:val="en-US"/>
    </w:rPr>
  </w:style>
  <w:style w:type="paragraph" w:customStyle="1" w:styleId="Vrazncitt2">
    <w:name w:val="Výrazný citát2"/>
    <w:basedOn w:val="Normln"/>
    <w:next w:val="Normln"/>
    <w:rsid w:val="005D61CA"/>
    <w:pPr>
      <w:pBdr>
        <w:bottom w:val="single" w:sz="4" w:space="4" w:color="808080"/>
      </w:pBdr>
      <w:spacing w:before="200" w:after="280"/>
      <w:ind w:left="936" w:right="936"/>
      <w:jc w:val="both"/>
    </w:pPr>
    <w:rPr>
      <w:rFonts w:ascii="Arial" w:hAnsi="Arial"/>
      <w:b/>
      <w:bCs/>
      <w:i/>
      <w:iCs/>
      <w:color w:val="4F81BD"/>
      <w:sz w:val="22"/>
      <w:lang w:val="en-US"/>
    </w:rPr>
  </w:style>
  <w:style w:type="paragraph" w:customStyle="1" w:styleId="Prosttext2">
    <w:name w:val="Prostý text2"/>
    <w:basedOn w:val="Normln"/>
    <w:rsid w:val="005D61CA"/>
    <w:rPr>
      <w:rFonts w:ascii="Consolas" w:hAnsi="Consolas"/>
      <w:sz w:val="20"/>
      <w:szCs w:val="20"/>
      <w:lang w:val="x-none"/>
    </w:rPr>
  </w:style>
  <w:style w:type="paragraph" w:styleId="Odstavecseseznamem">
    <w:name w:val="List Paragraph"/>
    <w:basedOn w:val="Normln"/>
    <w:uiPriority w:val="34"/>
    <w:qFormat/>
    <w:rsid w:val="00506C1E"/>
    <w:pPr>
      <w:ind w:left="720"/>
      <w:contextualSpacing/>
    </w:pPr>
  </w:style>
  <w:style w:type="paragraph" w:styleId="Normlnweb">
    <w:name w:val="Normal (Web)"/>
    <w:basedOn w:val="Normln"/>
    <w:uiPriority w:val="99"/>
    <w:rsid w:val="00342614"/>
    <w:pPr>
      <w:suppressAutoHyphens w:val="0"/>
      <w:spacing w:before="100" w:beforeAutospacing="1" w:after="100" w:afterAutospacing="1"/>
    </w:pPr>
    <w:rPr>
      <w:rFonts w:cs="Times New Roman"/>
      <w:color w:val="000000"/>
      <w:lang w:eastAsia="cs-CZ"/>
    </w:rPr>
  </w:style>
  <w:style w:type="table" w:styleId="Mkatabulky">
    <w:name w:val="Table Grid"/>
    <w:basedOn w:val="Normlntabulka"/>
    <w:uiPriority w:val="59"/>
    <w:rsid w:val="00527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bCs/>
      <w:u w:val="single"/>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spacing w:before="240" w:after="60"/>
      <w:outlineLvl w:val="2"/>
    </w:pPr>
    <w:rPr>
      <w:rFonts w:ascii="Cambria" w:hAnsi="Cambria"/>
      <w:b/>
      <w:bCs/>
      <w:sz w:val="26"/>
      <w:szCs w:val="26"/>
    </w:rPr>
  </w:style>
  <w:style w:type="paragraph" w:styleId="Nadpis4">
    <w:name w:val="heading 4"/>
    <w:basedOn w:val="Normln"/>
    <w:next w:val="Normln"/>
    <w:qFormat/>
    <w:pPr>
      <w:keepNext/>
      <w:tabs>
        <w:tab w:val="left" w:pos="1702"/>
      </w:tabs>
      <w:spacing w:before="240" w:after="60"/>
      <w:ind w:left="851" w:hanging="851"/>
      <w:jc w:val="both"/>
      <w:outlineLvl w:val="3"/>
    </w:pPr>
    <w:rPr>
      <w:rFonts w:ascii="Arial" w:hAnsi="Arial"/>
      <w:b/>
      <w:bCs/>
      <w:sz w:val="22"/>
      <w:szCs w:val="28"/>
      <w:lang w:val="en-US"/>
    </w:rPr>
  </w:style>
  <w:style w:type="paragraph" w:styleId="Nadpis5">
    <w:name w:val="heading 5"/>
    <w:basedOn w:val="Normln"/>
    <w:next w:val="Normln"/>
    <w:qFormat/>
    <w:pPr>
      <w:keepNext/>
      <w:keepLines/>
      <w:spacing w:before="200"/>
      <w:jc w:val="both"/>
      <w:outlineLvl w:val="4"/>
    </w:pPr>
    <w:rPr>
      <w:rFonts w:ascii="Cambria" w:hAnsi="Cambria"/>
      <w:color w:val="243F60"/>
      <w:sz w:val="22"/>
      <w:lang w:val="en-US"/>
    </w:rPr>
  </w:style>
  <w:style w:type="paragraph" w:styleId="Nadpis6">
    <w:name w:val="heading 6"/>
    <w:basedOn w:val="Normln"/>
    <w:next w:val="Normln"/>
    <w:qFormat/>
    <w:pPr>
      <w:keepNext/>
      <w:outlineLvl w:val="5"/>
    </w:pPr>
    <w:rPr>
      <w:rFonts w:ascii="Arial" w:hAnsi="Arial"/>
      <w:b/>
      <w:bCs/>
      <w:sz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Arial" w:hAnsi="Arial" w:cs="Times New Roman"/>
      <w:b/>
      <w:i w:val="0"/>
      <w:sz w:val="24"/>
    </w:rPr>
  </w:style>
  <w:style w:type="character" w:customStyle="1" w:styleId="WW8Num18z1">
    <w:name w:val="WW8Num18z1"/>
    <w:rPr>
      <w:rFonts w:ascii="Arial" w:hAnsi="Arial" w:cs="Times New Roman"/>
      <w:b/>
      <w:i w:val="0"/>
      <w:sz w:val="22"/>
    </w:rPr>
  </w:style>
  <w:style w:type="character" w:customStyle="1" w:styleId="WW8Num18z4">
    <w:name w:val="WW8Num18z4"/>
    <w:rPr>
      <w:rFonts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cs="Times New Roman"/>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Arial" w:hAnsi="Arial" w:cs="Times New Roman"/>
      <w:b w:val="0"/>
      <w:i w:val="0"/>
      <w:sz w:val="22"/>
    </w:rPr>
  </w:style>
  <w:style w:type="character" w:customStyle="1" w:styleId="WW8Num28z1">
    <w:name w:val="WW8Num28z1"/>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Arial" w:eastAsia="Times New Roman" w:hAnsi="Aria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Arial" w:eastAsia="Times New Roman" w:hAnsi="Aria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cs="Times New Roman"/>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b w:val="0"/>
      <w:i w:val="0"/>
      <w:sz w:val="20"/>
    </w:rPr>
  </w:style>
  <w:style w:type="character" w:customStyle="1" w:styleId="WW8Num40z2">
    <w:name w:val="WW8Num40z2"/>
    <w:rPr>
      <w:rFonts w:cs="Times New Roman"/>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cs="Times New Roman"/>
    </w:rPr>
  </w:style>
  <w:style w:type="character" w:customStyle="1" w:styleId="WW8Num45z0">
    <w:name w:val="WW8Num45z0"/>
    <w:rPr>
      <w:rFonts w:cs="Times New Roman"/>
    </w:rPr>
  </w:style>
  <w:style w:type="character" w:customStyle="1" w:styleId="Standardnpsmoodstavce1">
    <w:name w:val="Standardní písmo odstavce1"/>
  </w:style>
  <w:style w:type="character" w:customStyle="1" w:styleId="Heading1Char">
    <w:name w:val="Heading 1 Char"/>
    <w:rPr>
      <w:rFonts w:ascii="Times New Roman" w:hAnsi="Times New Roman"/>
      <w:b/>
      <w:sz w:val="24"/>
      <w:u w:val="single"/>
      <w:lang w:val="x-none"/>
    </w:rPr>
  </w:style>
  <w:style w:type="character" w:customStyle="1" w:styleId="Heading2Char">
    <w:name w:val="Heading 2 Char"/>
    <w:rPr>
      <w:rFonts w:ascii="Cambria" w:hAnsi="Cambria"/>
      <w:b/>
      <w:i/>
      <w:sz w:val="28"/>
      <w:lang w:val="x-none"/>
    </w:rPr>
  </w:style>
  <w:style w:type="character" w:customStyle="1" w:styleId="Heading3Char">
    <w:name w:val="Heading 3 Char"/>
    <w:rPr>
      <w:rFonts w:ascii="Cambria" w:hAnsi="Cambria"/>
      <w:b/>
      <w:sz w:val="26"/>
      <w:lang w:val="x-none"/>
    </w:rPr>
  </w:style>
  <w:style w:type="character" w:customStyle="1" w:styleId="Heading4Char">
    <w:name w:val="Heading 4 Char"/>
    <w:rPr>
      <w:rFonts w:ascii="Arial" w:hAnsi="Arial"/>
      <w:b/>
      <w:sz w:val="28"/>
      <w:lang w:val="en-US"/>
    </w:rPr>
  </w:style>
  <w:style w:type="character" w:customStyle="1" w:styleId="Heading5Char">
    <w:name w:val="Heading 5 Char"/>
    <w:rPr>
      <w:rFonts w:ascii="Cambria" w:hAnsi="Cambria"/>
      <w:color w:val="243F60"/>
      <w:sz w:val="24"/>
      <w:lang w:val="en-US"/>
    </w:rPr>
  </w:style>
  <w:style w:type="character" w:customStyle="1" w:styleId="Heading6Char">
    <w:name w:val="Heading 6 Char"/>
    <w:rPr>
      <w:rFonts w:ascii="Arial" w:hAnsi="Arial"/>
      <w:b/>
      <w:sz w:val="24"/>
      <w:lang w:val="en-US"/>
    </w:rPr>
  </w:style>
  <w:style w:type="character" w:customStyle="1" w:styleId="BodyTextChar">
    <w:name w:val="Body Text Char"/>
    <w:rPr>
      <w:rFonts w:ascii="Times New Roman" w:hAnsi="Times New Roman"/>
      <w:sz w:val="24"/>
      <w:lang w:val="x-none"/>
    </w:rPr>
  </w:style>
  <w:style w:type="character" w:customStyle="1" w:styleId="FooterChar">
    <w:name w:val="Footer Char"/>
    <w:rPr>
      <w:rFonts w:ascii="Times New Roman" w:hAnsi="Times New Roman"/>
      <w:sz w:val="24"/>
    </w:rPr>
  </w:style>
  <w:style w:type="character" w:styleId="slostrnky">
    <w:name w:val="page number"/>
    <w:semiHidden/>
    <w:rPr>
      <w:rFonts w:cs="Times New Roman"/>
    </w:rPr>
  </w:style>
  <w:style w:type="character" w:customStyle="1" w:styleId="TitleChar">
    <w:name w:val="Title Char"/>
    <w:rPr>
      <w:rFonts w:ascii="Times New Roman" w:hAnsi="Times New Roman"/>
      <w:b/>
      <w:spacing w:val="20"/>
      <w:sz w:val="24"/>
      <w:lang w:val="x-none"/>
    </w:rPr>
  </w:style>
  <w:style w:type="character" w:customStyle="1" w:styleId="HeaderChar">
    <w:name w:val="Header Char"/>
    <w:rPr>
      <w:rFonts w:ascii="Times New Roman" w:hAnsi="Times New Roman"/>
      <w:sz w:val="24"/>
    </w:rPr>
  </w:style>
  <w:style w:type="character" w:customStyle="1" w:styleId="FootnoteTextChar">
    <w:name w:val="Footnote Text Char"/>
    <w:rPr>
      <w:rFonts w:ascii="Times New Roman" w:hAnsi="Times New Roman"/>
      <w:sz w:val="20"/>
    </w:rPr>
  </w:style>
  <w:style w:type="character" w:customStyle="1" w:styleId="Znakypropoznmkupodarou">
    <w:name w:val="Znaky pro poznámku pod čarou"/>
    <w:rPr>
      <w:vertAlign w:val="superscript"/>
    </w:rPr>
  </w:style>
  <w:style w:type="character" w:customStyle="1" w:styleId="ListParagraphChar">
    <w:name w:val="List Paragraph Char"/>
    <w:rPr>
      <w:rFonts w:ascii="Times New Roman" w:hAnsi="Times New Roman"/>
      <w:sz w:val="24"/>
      <w:lang w:val="x-none"/>
    </w:rPr>
  </w:style>
  <w:style w:type="character" w:customStyle="1" w:styleId="CommentReference">
    <w:name w:val="Comment Reference"/>
    <w:rPr>
      <w:sz w:val="16"/>
    </w:rPr>
  </w:style>
  <w:style w:type="character" w:customStyle="1" w:styleId="CommentTextChar">
    <w:name w:val="Comment Text Char"/>
    <w:rPr>
      <w:rFonts w:ascii="Times New Roman" w:hAnsi="Times New Roman"/>
      <w:sz w:val="20"/>
    </w:rPr>
  </w:style>
  <w:style w:type="character" w:customStyle="1" w:styleId="CommentSubjectChar">
    <w:name w:val="Comment Subject Char"/>
    <w:rPr>
      <w:rFonts w:ascii="Times New Roman" w:hAnsi="Times New Roman"/>
      <w:b/>
      <w:sz w:val="20"/>
    </w:rPr>
  </w:style>
  <w:style w:type="character" w:customStyle="1" w:styleId="BalloonTextChar">
    <w:name w:val="Balloon Text Char"/>
    <w:rPr>
      <w:rFonts w:ascii="Tahoma" w:hAnsi="Tahoma"/>
      <w:sz w:val="16"/>
    </w:rPr>
  </w:style>
  <w:style w:type="character" w:customStyle="1" w:styleId="Nadpis6Char">
    <w:name w:val="Nadpis 6 Char"/>
    <w:rPr>
      <w:rFonts w:ascii="Cambria" w:hAnsi="Cambria"/>
      <w:i/>
      <w:color w:val="243F60"/>
      <w:sz w:val="24"/>
    </w:rPr>
  </w:style>
  <w:style w:type="character" w:customStyle="1" w:styleId="BodyText2Char">
    <w:name w:val="Body Text 2 Char"/>
    <w:rPr>
      <w:rFonts w:ascii="Arial" w:hAnsi="Arial"/>
      <w:sz w:val="24"/>
    </w:rPr>
  </w:style>
  <w:style w:type="character" w:customStyle="1" w:styleId="BodyTextIndentChar">
    <w:name w:val="Body Text Indent Char"/>
    <w:rPr>
      <w:rFonts w:ascii="Times New Roman" w:hAnsi="Times New Roman"/>
      <w:sz w:val="24"/>
      <w:lang w:val="en-US"/>
    </w:rPr>
  </w:style>
  <w:style w:type="character" w:customStyle="1" w:styleId="BodyTextIndent3Char">
    <w:name w:val="Body Text Indent 3 Char"/>
    <w:rPr>
      <w:rFonts w:ascii="Times New Roman" w:hAnsi="Times New Roman"/>
      <w:sz w:val="16"/>
    </w:rPr>
  </w:style>
  <w:style w:type="character" w:styleId="Hypertextovodkaz">
    <w:name w:val="Hyperlink"/>
    <w:semiHidden/>
    <w:rPr>
      <w:color w:val="0000FF"/>
      <w:u w:val="single"/>
    </w:rPr>
  </w:style>
  <w:style w:type="character" w:customStyle="1" w:styleId="EndnoteTextChar">
    <w:name w:val="Endnote Text Char"/>
    <w:rPr>
      <w:rFonts w:ascii="Times New Roman" w:hAnsi="Times New Roman"/>
      <w:sz w:val="20"/>
    </w:rPr>
  </w:style>
  <w:style w:type="character" w:customStyle="1" w:styleId="Znakyprovysvtlivky">
    <w:name w:val="Znaky pro vysvětlivky"/>
    <w:rPr>
      <w:vertAlign w:val="superscript"/>
    </w:rPr>
  </w:style>
  <w:style w:type="character" w:customStyle="1" w:styleId="st1">
    <w:name w:val="st1"/>
    <w:rPr>
      <w:rFonts w:cs="Times New Roman"/>
    </w:rPr>
  </w:style>
  <w:style w:type="character" w:customStyle="1" w:styleId="Ploha1Char">
    <w:name w:val="Příloha 1 Char"/>
    <w:rPr>
      <w:rFonts w:ascii="Arial" w:hAnsi="Arial"/>
      <w:sz w:val="24"/>
      <w:lang w:val="x-none"/>
    </w:rPr>
  </w:style>
  <w:style w:type="character" w:customStyle="1" w:styleId="SubtitleChar">
    <w:name w:val="Subtitle Char"/>
    <w:rPr>
      <w:rFonts w:ascii="Cambria" w:hAnsi="Cambria"/>
      <w:i/>
      <w:color w:val="4F81BD"/>
      <w:spacing w:val="15"/>
      <w:sz w:val="24"/>
      <w:lang w:val="en-US"/>
    </w:rPr>
  </w:style>
  <w:style w:type="character" w:customStyle="1" w:styleId="Zdraznnjemn1">
    <w:name w:val="Zdůraznění – jemné1"/>
    <w:rPr>
      <w:i/>
      <w:color w:val="808080"/>
    </w:rPr>
  </w:style>
  <w:style w:type="character" w:styleId="Zvraznn">
    <w:name w:val="Emphasis"/>
    <w:qFormat/>
    <w:rPr>
      <w:i/>
    </w:rPr>
  </w:style>
  <w:style w:type="character" w:customStyle="1" w:styleId="Zdraznnintenzivn1">
    <w:name w:val="Zdůraznění – intenzivní1"/>
    <w:rPr>
      <w:b/>
      <w:i/>
      <w:color w:val="4F81BD"/>
    </w:rPr>
  </w:style>
  <w:style w:type="character" w:styleId="Siln">
    <w:name w:val="Strong"/>
    <w:qFormat/>
    <w:rPr>
      <w:b/>
    </w:rPr>
  </w:style>
  <w:style w:type="character" w:customStyle="1" w:styleId="QuoteChar">
    <w:name w:val="Quote Char"/>
    <w:rPr>
      <w:rFonts w:ascii="Arial" w:hAnsi="Arial"/>
      <w:i/>
      <w:color w:val="000000"/>
      <w:sz w:val="24"/>
      <w:lang w:val="en-US"/>
    </w:rPr>
  </w:style>
  <w:style w:type="character" w:customStyle="1" w:styleId="IntenseQuoteChar">
    <w:name w:val="Intense Quote Char"/>
    <w:rPr>
      <w:rFonts w:ascii="Arial" w:hAnsi="Arial"/>
      <w:b/>
      <w:i/>
      <w:color w:val="4F81BD"/>
      <w:sz w:val="24"/>
      <w:lang w:val="en-US"/>
    </w:rPr>
  </w:style>
  <w:style w:type="character" w:customStyle="1" w:styleId="Odkazjemn1">
    <w:name w:val="Odkaz – jemný1"/>
    <w:rPr>
      <w:smallCaps/>
      <w:color w:val="C0504D"/>
      <w:u w:val="single"/>
    </w:rPr>
  </w:style>
  <w:style w:type="character" w:customStyle="1" w:styleId="Odkazintenzivn1">
    <w:name w:val="Odkaz – intenzivní1"/>
    <w:rPr>
      <w:b/>
      <w:smallCaps/>
      <w:color w:val="C0504D"/>
      <w:spacing w:val="5"/>
      <w:u w:val="single"/>
    </w:rPr>
  </w:style>
  <w:style w:type="character" w:customStyle="1" w:styleId="Nzevknihy1">
    <w:name w:val="Název knihy1"/>
    <w:rPr>
      <w:b/>
      <w:smallCaps/>
      <w:spacing w:val="5"/>
    </w:rPr>
  </w:style>
  <w:style w:type="character" w:customStyle="1" w:styleId="PlainTextChar">
    <w:name w:val="Plain Text Char"/>
    <w:rPr>
      <w:rFonts w:ascii="Consolas" w:hAnsi="Consolas"/>
    </w:rPr>
  </w:style>
  <w:style w:type="character" w:customStyle="1" w:styleId="PlainTextChar1">
    <w:name w:val="Plain Text Char1"/>
    <w:rPr>
      <w:rFonts w:ascii="Courier New" w:hAnsi="Courier New" w:cs="Courier New"/>
    </w:rPr>
  </w:style>
  <w:style w:type="character" w:customStyle="1" w:styleId="ProsttextChar1">
    <w:name w:val="Prostý text Char1"/>
    <w:rPr>
      <w:rFonts w:ascii="Courier New" w:hAnsi="Courier New"/>
      <w:lang w:val="x-none"/>
    </w:rPr>
  </w:style>
  <w:style w:type="character" w:styleId="Znakapoznpodarou">
    <w:name w:val="footnote reference"/>
    <w:uiPriority w:val="99"/>
    <w:semiHidden/>
    <w:rPr>
      <w:vertAlign w:val="superscript"/>
    </w:rPr>
  </w:style>
  <w:style w:type="character" w:styleId="Odkaznavysvtlivky">
    <w:name w:val="endnote reference"/>
    <w:semiHidden/>
    <w:rPr>
      <w:vertAlign w:val="superscript"/>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line="360" w:lineRule="auto"/>
      <w:jc w:val="both"/>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link w:val="ZpatChar"/>
    <w:uiPriority w:val="99"/>
    <w:pPr>
      <w:tabs>
        <w:tab w:val="center" w:pos="4536"/>
        <w:tab w:val="right" w:pos="9072"/>
      </w:tabs>
    </w:pPr>
  </w:style>
  <w:style w:type="paragraph" w:styleId="Nzev">
    <w:name w:val="Title"/>
    <w:basedOn w:val="Normln"/>
    <w:next w:val="Podtitul"/>
    <w:qFormat/>
    <w:pPr>
      <w:jc w:val="center"/>
    </w:pPr>
    <w:rPr>
      <w:b/>
      <w:bCs/>
      <w:spacing w:val="20"/>
    </w:rPr>
  </w:style>
  <w:style w:type="paragraph" w:styleId="Podtitul">
    <w:name w:val="Subtitle"/>
    <w:basedOn w:val="Normln"/>
    <w:next w:val="Normln"/>
    <w:qFormat/>
    <w:pPr>
      <w:jc w:val="both"/>
    </w:pPr>
    <w:rPr>
      <w:rFonts w:ascii="Cambria" w:hAnsi="Cambria"/>
      <w:i/>
      <w:iCs/>
      <w:color w:val="4F81BD"/>
      <w:spacing w:val="15"/>
      <w:lang w:val="en-US"/>
    </w:rPr>
  </w:style>
  <w:style w:type="paragraph" w:styleId="Zhlav">
    <w:name w:val="header"/>
    <w:basedOn w:val="Normln"/>
    <w:semiHidden/>
    <w:pPr>
      <w:tabs>
        <w:tab w:val="center" w:pos="4536"/>
        <w:tab w:val="right" w:pos="9072"/>
      </w:tabs>
    </w:pPr>
  </w:style>
  <w:style w:type="paragraph" w:customStyle="1" w:styleId="Normlnweb1">
    <w:name w:val="Normální (web)1"/>
    <w:basedOn w:val="Normln"/>
    <w:pPr>
      <w:spacing w:before="280" w:after="280"/>
    </w:pPr>
    <w:rPr>
      <w:rFonts w:ascii="Arial Unicode MS" w:eastAsia="Arial Unicode MS" w:hAnsi="Arial Unicode MS" w:cs="Arial Unicode MS"/>
      <w:lang w:val="en-US"/>
    </w:rPr>
  </w:style>
  <w:style w:type="paragraph" w:styleId="Textpoznpodarou">
    <w:name w:val="footnote text"/>
    <w:basedOn w:val="Normln"/>
    <w:link w:val="TextpoznpodarouChar"/>
    <w:uiPriority w:val="99"/>
    <w:rPr>
      <w:sz w:val="20"/>
      <w:szCs w:val="20"/>
    </w:rPr>
  </w:style>
  <w:style w:type="paragraph" w:customStyle="1" w:styleId="Odstavecseseznamem1">
    <w:name w:val="Odstavec se seznamem1"/>
    <w:basedOn w:val="Normln"/>
    <w:pPr>
      <w:ind w:left="708"/>
    </w:pPr>
    <w:rPr>
      <w:szCs w:val="20"/>
      <w:lang w:val="x-none"/>
    </w:rPr>
  </w:style>
  <w:style w:type="paragraph" w:customStyle="1" w:styleId="CommentText">
    <w:name w:val="Comment Text"/>
    <w:basedOn w:val="Normln"/>
    <w:rPr>
      <w:sz w:val="20"/>
      <w:szCs w:val="20"/>
    </w:rPr>
  </w:style>
  <w:style w:type="paragraph" w:customStyle="1" w:styleId="CommentSubject">
    <w:name w:val="Comment Subject"/>
    <w:basedOn w:val="CommentText"/>
    <w:next w:val="CommentText"/>
    <w:rPr>
      <w:b/>
      <w:bCs/>
    </w:rPr>
  </w:style>
  <w:style w:type="paragraph" w:customStyle="1" w:styleId="Textbubliny1">
    <w:name w:val="Text bubliny1"/>
    <w:basedOn w:val="Normln"/>
    <w:rPr>
      <w:rFonts w:ascii="Tahoma" w:hAnsi="Tahoma"/>
      <w:sz w:val="16"/>
      <w:szCs w:val="16"/>
    </w:rPr>
  </w:style>
  <w:style w:type="paragraph" w:customStyle="1" w:styleId="Zkladntext21">
    <w:name w:val="Základní text 21"/>
    <w:basedOn w:val="Normln"/>
    <w:rPr>
      <w:rFonts w:ascii="Arial" w:hAnsi="Arial"/>
      <w:sz w:val="20"/>
    </w:rPr>
  </w:style>
  <w:style w:type="paragraph" w:styleId="Zkladntextodsazen">
    <w:name w:val="Body Text Indent"/>
    <w:basedOn w:val="Normln"/>
    <w:semiHidden/>
    <w:pPr>
      <w:spacing w:after="120"/>
      <w:ind w:left="283"/>
    </w:pPr>
    <w:rPr>
      <w:lang w:val="en-US"/>
    </w:rPr>
  </w:style>
  <w:style w:type="paragraph" w:customStyle="1" w:styleId="Pa13">
    <w:name w:val="Pa13"/>
    <w:basedOn w:val="Normln"/>
    <w:next w:val="Normln"/>
    <w:pPr>
      <w:autoSpaceDE w:val="0"/>
      <w:spacing w:after="80" w:line="181" w:lineRule="atLeast"/>
    </w:pPr>
    <w:rPr>
      <w:rFonts w:ascii="Arial" w:hAnsi="Arial"/>
      <w:lang w:val="en-US"/>
    </w:rPr>
  </w:style>
  <w:style w:type="paragraph" w:customStyle="1" w:styleId="Bezmezer1">
    <w:name w:val="Bez mezer1"/>
    <w:pPr>
      <w:suppressAutoHyphens/>
    </w:pPr>
    <w:rPr>
      <w:rFonts w:ascii="Calibri" w:eastAsia="Arial" w:hAnsi="Calibri" w:cs="Calibri"/>
      <w:sz w:val="22"/>
      <w:szCs w:val="22"/>
      <w:lang w:eastAsia="ar-SA"/>
    </w:rPr>
  </w:style>
  <w:style w:type="paragraph" w:customStyle="1" w:styleId="Zkladntextodsazen31">
    <w:name w:val="Základní text odsazený 31"/>
    <w:basedOn w:val="Normln"/>
    <w:pPr>
      <w:spacing w:after="120"/>
      <w:ind w:left="283"/>
    </w:pPr>
    <w:rPr>
      <w:sz w:val="16"/>
      <w:szCs w:val="16"/>
    </w:rPr>
  </w:style>
  <w:style w:type="paragraph" w:styleId="Textvysvtlivek">
    <w:name w:val="endnote text"/>
    <w:basedOn w:val="Normln"/>
    <w:semiHidden/>
    <w:rPr>
      <w:sz w:val="20"/>
      <w:szCs w:val="20"/>
    </w:rPr>
  </w:style>
  <w:style w:type="paragraph" w:customStyle="1" w:styleId="Revize1">
    <w:name w:val="Revize1"/>
    <w:pPr>
      <w:suppressAutoHyphens/>
    </w:pPr>
    <w:rPr>
      <w:rFonts w:eastAsia="Arial" w:cs="Calibri"/>
      <w:sz w:val="24"/>
      <w:szCs w:val="24"/>
      <w:lang w:eastAsia="ar-SA"/>
    </w:rPr>
  </w:style>
  <w:style w:type="paragraph" w:customStyle="1" w:styleId="Seznamobrzk1">
    <w:name w:val="Seznam obrázků1"/>
    <w:basedOn w:val="Normln"/>
    <w:next w:val="Normln"/>
    <w:rPr>
      <w:lang w:val="en-US"/>
    </w:rPr>
  </w:style>
  <w:style w:type="paragraph" w:customStyle="1" w:styleId="normlnmezera">
    <w:name w:val="normální mezera"/>
    <w:basedOn w:val="Normln"/>
    <w:pPr>
      <w:spacing w:before="120"/>
      <w:jc w:val="both"/>
    </w:pPr>
    <w:rPr>
      <w:rFonts w:ascii="Arial" w:hAnsi="Arial"/>
      <w:sz w:val="22"/>
      <w:szCs w:val="20"/>
    </w:rPr>
  </w:style>
  <w:style w:type="paragraph" w:customStyle="1" w:styleId="Titulek1">
    <w:name w:val="Titulek1"/>
    <w:basedOn w:val="Normln"/>
    <w:next w:val="Normln"/>
    <w:pPr>
      <w:spacing w:after="200"/>
    </w:pPr>
    <w:rPr>
      <w:b/>
      <w:bCs/>
      <w:color w:val="4F81BD"/>
      <w:sz w:val="18"/>
      <w:szCs w:val="18"/>
      <w:lang w:val="en-US"/>
    </w:rPr>
  </w:style>
  <w:style w:type="paragraph" w:customStyle="1" w:styleId="Doklad11">
    <w:name w:val="Doklad 1"/>
    <w:basedOn w:val="Normln"/>
    <w:pPr>
      <w:jc w:val="both"/>
    </w:pPr>
    <w:rPr>
      <w:rFonts w:ascii="Arial" w:hAnsi="Arial"/>
      <w:sz w:val="22"/>
      <w:lang w:val="en-US"/>
    </w:rPr>
  </w:style>
  <w:style w:type="paragraph" w:customStyle="1" w:styleId="kriteria">
    <w:name w:val="kriteria"/>
    <w:basedOn w:val="Normln"/>
    <w:pPr>
      <w:spacing w:before="120"/>
      <w:ind w:left="567"/>
      <w:jc w:val="both"/>
    </w:pPr>
    <w:rPr>
      <w:rFonts w:ascii="Arial" w:hAnsi="Arial"/>
      <w:i/>
      <w:sz w:val="22"/>
      <w:lang w:val="en-US"/>
    </w:rPr>
  </w:style>
  <w:style w:type="paragraph" w:customStyle="1" w:styleId="odsazen">
    <w:name w:val="odsazený"/>
    <w:basedOn w:val="Normln"/>
    <w:pPr>
      <w:spacing w:before="360"/>
      <w:ind w:firstLine="567"/>
      <w:jc w:val="both"/>
    </w:pPr>
    <w:rPr>
      <w:rFonts w:ascii="Arial" w:hAnsi="Arial"/>
      <w:sz w:val="22"/>
    </w:rPr>
  </w:style>
  <w:style w:type="paragraph" w:customStyle="1" w:styleId="Ploha1">
    <w:name w:val="Příloha 1"/>
    <w:basedOn w:val="Normln"/>
    <w:pPr>
      <w:numPr>
        <w:numId w:val="10"/>
      </w:numPr>
      <w:spacing w:before="120"/>
      <w:ind w:left="502"/>
      <w:jc w:val="both"/>
    </w:pPr>
    <w:rPr>
      <w:rFonts w:ascii="Arial" w:hAnsi="Arial"/>
      <w:szCs w:val="20"/>
      <w:lang w:val="x-none"/>
    </w:rPr>
  </w:style>
  <w:style w:type="paragraph" w:customStyle="1" w:styleId="Citt1">
    <w:name w:val="Citát1"/>
    <w:basedOn w:val="Normln"/>
    <w:next w:val="Normln"/>
    <w:pPr>
      <w:jc w:val="both"/>
    </w:pPr>
    <w:rPr>
      <w:rFonts w:ascii="Arial" w:hAnsi="Arial"/>
      <w:i/>
      <w:iCs/>
      <w:color w:val="000000"/>
      <w:sz w:val="22"/>
      <w:lang w:val="en-US"/>
    </w:rPr>
  </w:style>
  <w:style w:type="paragraph" w:customStyle="1" w:styleId="Vrazncitt1">
    <w:name w:val="Výrazný citát1"/>
    <w:basedOn w:val="Normln"/>
    <w:next w:val="Normln"/>
    <w:pPr>
      <w:pBdr>
        <w:bottom w:val="single" w:sz="4" w:space="4" w:color="808080"/>
      </w:pBdr>
      <w:spacing w:before="200" w:after="280"/>
      <w:ind w:left="936" w:right="936"/>
      <w:jc w:val="both"/>
    </w:pPr>
    <w:rPr>
      <w:rFonts w:ascii="Arial" w:hAnsi="Arial"/>
      <w:b/>
      <w:bCs/>
      <w:i/>
      <w:iCs/>
      <w:color w:val="4F81BD"/>
      <w:sz w:val="22"/>
      <w:lang w:val="en-US"/>
    </w:rPr>
  </w:style>
  <w:style w:type="paragraph" w:customStyle="1" w:styleId="Doklad1">
    <w:name w:val="Doklad_1"/>
    <w:basedOn w:val="Normln"/>
    <w:pPr>
      <w:numPr>
        <w:numId w:val="8"/>
      </w:numPr>
      <w:tabs>
        <w:tab w:val="left" w:pos="2138"/>
      </w:tabs>
      <w:spacing w:after="120"/>
      <w:jc w:val="both"/>
    </w:pPr>
    <w:rPr>
      <w:rFonts w:ascii="Arial" w:hAnsi="Arial"/>
      <w:sz w:val="22"/>
      <w:lang w:val="en-US"/>
    </w:rPr>
  </w:style>
  <w:style w:type="paragraph" w:customStyle="1" w:styleId="zvr">
    <w:name w:val="závěr"/>
    <w:basedOn w:val="odsazen"/>
    <w:rPr>
      <w:b/>
    </w:rPr>
  </w:style>
  <w:style w:type="paragraph" w:styleId="Obsah1">
    <w:name w:val="toc 1"/>
    <w:basedOn w:val="Normln"/>
    <w:next w:val="Normln"/>
    <w:semiHidden/>
    <w:pPr>
      <w:jc w:val="both"/>
    </w:pPr>
    <w:rPr>
      <w:rFonts w:ascii="Arial" w:hAnsi="Arial"/>
      <w:sz w:val="22"/>
      <w:lang w:val="en-US"/>
    </w:rPr>
  </w:style>
  <w:style w:type="paragraph" w:styleId="Obsah2">
    <w:name w:val="toc 2"/>
    <w:basedOn w:val="Normln"/>
    <w:next w:val="Normln"/>
    <w:semiHidden/>
    <w:pPr>
      <w:spacing w:before="120" w:after="120"/>
      <w:ind w:left="215"/>
      <w:jc w:val="both"/>
    </w:pPr>
    <w:rPr>
      <w:rFonts w:ascii="Arial" w:hAnsi="Arial"/>
      <w:sz w:val="22"/>
    </w:rPr>
  </w:style>
  <w:style w:type="paragraph" w:styleId="Obsah3">
    <w:name w:val="toc 3"/>
    <w:basedOn w:val="Normln"/>
    <w:next w:val="Normln"/>
    <w:semiHidden/>
    <w:pPr>
      <w:spacing w:after="100" w:line="276" w:lineRule="auto"/>
      <w:ind w:left="440"/>
    </w:pPr>
    <w:rPr>
      <w:rFonts w:ascii="Calibri" w:hAnsi="Calibri"/>
      <w:sz w:val="22"/>
      <w:szCs w:val="22"/>
    </w:rPr>
  </w:style>
  <w:style w:type="paragraph" w:customStyle="1" w:styleId="doklad10">
    <w:name w:val="doklad_1"/>
    <w:basedOn w:val="Normln"/>
    <w:pPr>
      <w:numPr>
        <w:numId w:val="13"/>
      </w:numPr>
      <w:tabs>
        <w:tab w:val="left" w:pos="3176"/>
      </w:tabs>
      <w:spacing w:after="120"/>
      <w:jc w:val="both"/>
    </w:pPr>
    <w:rPr>
      <w:rFonts w:ascii="Arial" w:hAnsi="Arial"/>
      <w:sz w:val="22"/>
      <w:szCs w:val="20"/>
    </w:rPr>
  </w:style>
  <w:style w:type="paragraph" w:customStyle="1" w:styleId="pklad">
    <w:name w:val="příklad"/>
    <w:basedOn w:val="normlnmezera"/>
    <w:pPr>
      <w:ind w:left="567"/>
    </w:pPr>
    <w:rPr>
      <w:iCs/>
    </w:rPr>
  </w:style>
  <w:style w:type="paragraph" w:customStyle="1" w:styleId="Styl50">
    <w:name w:val="Styl50"/>
    <w:basedOn w:val="Normln"/>
    <w:pPr>
      <w:spacing w:after="120"/>
      <w:ind w:left="1418" w:hanging="284"/>
      <w:jc w:val="both"/>
    </w:pPr>
    <w:rPr>
      <w:sz w:val="20"/>
      <w:szCs w:val="20"/>
    </w:rPr>
  </w:style>
  <w:style w:type="paragraph" w:customStyle="1" w:styleId="final1">
    <w:name w:val="final 1"/>
    <w:basedOn w:val="Normln"/>
    <w:pPr>
      <w:numPr>
        <w:numId w:val="1"/>
      </w:numPr>
      <w:spacing w:line="276" w:lineRule="auto"/>
      <w:jc w:val="both"/>
      <w:outlineLvl w:val="0"/>
    </w:pPr>
    <w:rPr>
      <w:rFonts w:ascii="Arial" w:hAnsi="Arial" w:cs="Arial"/>
      <w:b/>
      <w:i/>
      <w:sz w:val="22"/>
      <w:szCs w:val="22"/>
    </w:rPr>
  </w:style>
  <w:style w:type="paragraph" w:customStyle="1" w:styleId="Prosttext1">
    <w:name w:val="Prostý text1"/>
    <w:basedOn w:val="Normln"/>
    <w:rPr>
      <w:rFonts w:ascii="Consolas" w:hAnsi="Consolas"/>
      <w:sz w:val="20"/>
      <w:szCs w:val="20"/>
      <w:lang w:val="x-none"/>
    </w:rPr>
  </w:style>
  <w:style w:type="paragraph" w:customStyle="1" w:styleId="Odrka1">
    <w:name w:val="Odrážka 1"/>
    <w:basedOn w:val="Normln"/>
    <w:pPr>
      <w:numPr>
        <w:numId w:val="15"/>
      </w:numPr>
      <w:tabs>
        <w:tab w:val="left" w:pos="1531"/>
        <w:tab w:val="left" w:pos="1702"/>
      </w:tabs>
      <w:spacing w:after="120"/>
      <w:ind w:left="851"/>
      <w:jc w:val="both"/>
    </w:pPr>
    <w:rPr>
      <w:rFonts w:ascii="Verdana" w:hAnsi="Verdana"/>
      <w:sz w:val="20"/>
    </w:rPr>
  </w:style>
  <w:style w:type="paragraph" w:customStyle="1" w:styleId="Odstavecseseznamem10">
    <w:name w:val="Odstavec se seznamem1"/>
    <w:basedOn w:val="Normln"/>
    <w:pPr>
      <w:spacing w:after="200" w:line="276" w:lineRule="auto"/>
      <w:ind w:left="720"/>
    </w:pPr>
    <w:rPr>
      <w:rFonts w:ascii="Calibri" w:hAnsi="Calibri"/>
      <w:sz w:val="22"/>
      <w:szCs w:val="22"/>
    </w:rPr>
  </w:style>
  <w:style w:type="paragraph" w:customStyle="1" w:styleId="texttabulky-cz">
    <w:name w:val="text tabulky - cz"/>
    <w:pPr>
      <w:suppressAutoHyphens/>
    </w:pPr>
    <w:rPr>
      <w:rFonts w:ascii="Arial" w:eastAsia="Arial" w:hAnsi="Arial" w:cs="Arial"/>
      <w:iCs/>
      <w:spacing w:val="-5"/>
      <w:lang w:eastAsia="ar-SA"/>
    </w:rPr>
  </w:style>
  <w:style w:type="paragraph" w:customStyle="1" w:styleId="textlnku1">
    <w:name w:val="text článku 1"/>
    <w:pPr>
      <w:suppressAutoHyphens/>
      <w:spacing w:before="60"/>
      <w:ind w:firstLine="851"/>
    </w:pPr>
    <w:rPr>
      <w:rFonts w:ascii="Arial" w:eastAsia="Arial" w:hAnsi="Arial" w:cs="Arial"/>
      <w:lang w:eastAsia="ar-SA"/>
    </w:rPr>
  </w:style>
  <w:style w:type="paragraph" w:customStyle="1" w:styleId="Styl">
    <w:name w:val="Styl"/>
    <w:pPr>
      <w:widowControl w:val="0"/>
      <w:suppressAutoHyphens/>
      <w:autoSpaceDE w:val="0"/>
    </w:pPr>
    <w:rPr>
      <w:rFonts w:eastAsia="Arial" w:cs="Calibri"/>
      <w:sz w:val="24"/>
      <w:szCs w:val="24"/>
      <w:lang w:eastAsia="ar-SA"/>
    </w:rPr>
  </w:style>
  <w:style w:type="paragraph" w:customStyle="1" w:styleId="Odstavecseseznamem2">
    <w:name w:val="Odstavec se seznamem2"/>
    <w:basedOn w:val="Normln"/>
    <w:pPr>
      <w:spacing w:after="200" w:line="276" w:lineRule="auto"/>
      <w:ind w:left="720"/>
    </w:pPr>
    <w:rPr>
      <w:rFonts w:ascii="Calibri" w:hAnsi="Calibri"/>
      <w:sz w:val="22"/>
      <w:szCs w:val="22"/>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customStyle="1" w:styleId="ZpatChar">
    <w:name w:val="Zápatí Char"/>
    <w:link w:val="Zpat"/>
    <w:uiPriority w:val="99"/>
    <w:rsid w:val="00356185"/>
    <w:rPr>
      <w:rFonts w:cs="Calibri"/>
      <w:sz w:val="24"/>
      <w:szCs w:val="24"/>
      <w:lang w:eastAsia="ar-SA"/>
    </w:rPr>
  </w:style>
  <w:style w:type="paragraph" w:styleId="Textbubliny">
    <w:name w:val="Balloon Text"/>
    <w:basedOn w:val="Normln"/>
    <w:link w:val="TextbublinyChar"/>
    <w:uiPriority w:val="99"/>
    <w:semiHidden/>
    <w:unhideWhenUsed/>
    <w:rsid w:val="00803CA2"/>
    <w:rPr>
      <w:rFonts w:ascii="Tahoma" w:hAnsi="Tahoma" w:cs="Tahoma"/>
      <w:sz w:val="16"/>
      <w:szCs w:val="16"/>
    </w:rPr>
  </w:style>
  <w:style w:type="character" w:customStyle="1" w:styleId="TextbublinyChar">
    <w:name w:val="Text bubliny Char"/>
    <w:link w:val="Textbubliny"/>
    <w:uiPriority w:val="99"/>
    <w:semiHidden/>
    <w:rsid w:val="00803CA2"/>
    <w:rPr>
      <w:rFonts w:ascii="Tahoma" w:hAnsi="Tahoma" w:cs="Tahoma"/>
      <w:sz w:val="16"/>
      <w:szCs w:val="16"/>
      <w:lang w:eastAsia="ar-SA"/>
    </w:rPr>
  </w:style>
  <w:style w:type="character" w:styleId="Odkaznakoment">
    <w:name w:val="annotation reference"/>
    <w:uiPriority w:val="99"/>
    <w:semiHidden/>
    <w:unhideWhenUsed/>
    <w:rsid w:val="00F35270"/>
    <w:rPr>
      <w:sz w:val="16"/>
      <w:szCs w:val="16"/>
    </w:rPr>
  </w:style>
  <w:style w:type="paragraph" w:styleId="Textkomente">
    <w:name w:val="annotation text"/>
    <w:basedOn w:val="Normln"/>
    <w:link w:val="TextkomenteChar"/>
    <w:uiPriority w:val="99"/>
    <w:semiHidden/>
    <w:unhideWhenUsed/>
    <w:rsid w:val="00F35270"/>
    <w:rPr>
      <w:sz w:val="20"/>
      <w:szCs w:val="20"/>
    </w:rPr>
  </w:style>
  <w:style w:type="character" w:customStyle="1" w:styleId="TextkomenteChar">
    <w:name w:val="Text komentáře Char"/>
    <w:link w:val="Textkomente"/>
    <w:uiPriority w:val="99"/>
    <w:semiHidden/>
    <w:rsid w:val="00F35270"/>
    <w:rPr>
      <w:rFonts w:cs="Calibri"/>
      <w:lang w:eastAsia="ar-SA"/>
    </w:rPr>
  </w:style>
  <w:style w:type="paragraph" w:styleId="Pedmtkomente">
    <w:name w:val="annotation subject"/>
    <w:basedOn w:val="Textkomente"/>
    <w:next w:val="Textkomente"/>
    <w:link w:val="PedmtkomenteChar"/>
    <w:uiPriority w:val="99"/>
    <w:semiHidden/>
    <w:unhideWhenUsed/>
    <w:rsid w:val="00F35270"/>
    <w:rPr>
      <w:b/>
      <w:bCs/>
    </w:rPr>
  </w:style>
  <w:style w:type="character" w:customStyle="1" w:styleId="PedmtkomenteChar">
    <w:name w:val="Předmět komentáře Char"/>
    <w:link w:val="Pedmtkomente"/>
    <w:uiPriority w:val="99"/>
    <w:semiHidden/>
    <w:rsid w:val="00F35270"/>
    <w:rPr>
      <w:rFonts w:cs="Calibri"/>
      <w:b/>
      <w:bCs/>
      <w:lang w:eastAsia="ar-SA"/>
    </w:rPr>
  </w:style>
  <w:style w:type="character" w:customStyle="1" w:styleId="Nadpis2Char">
    <w:name w:val="Nadpis 2 Char"/>
    <w:basedOn w:val="Standardnpsmoodstavce"/>
    <w:link w:val="Nadpis2"/>
    <w:rsid w:val="00D66BCF"/>
    <w:rPr>
      <w:rFonts w:ascii="Cambria" w:hAnsi="Cambria" w:cs="Calibri"/>
      <w:b/>
      <w:bCs/>
      <w:i/>
      <w:iCs/>
      <w:sz w:val="28"/>
      <w:szCs w:val="28"/>
      <w:lang w:eastAsia="ar-SA"/>
    </w:rPr>
  </w:style>
  <w:style w:type="character" w:customStyle="1" w:styleId="TextpoznpodarouChar">
    <w:name w:val="Text pozn. pod čarou Char"/>
    <w:basedOn w:val="Standardnpsmoodstavce"/>
    <w:link w:val="Textpoznpodarou"/>
    <w:uiPriority w:val="99"/>
    <w:rsid w:val="00D66BCF"/>
    <w:rPr>
      <w:rFonts w:cs="Calibri"/>
      <w:lang w:eastAsia="ar-SA"/>
    </w:rPr>
  </w:style>
  <w:style w:type="character" w:customStyle="1" w:styleId="Standardnpsmoodstavce2">
    <w:name w:val="Standardní písmo odstavce2"/>
    <w:rsid w:val="005D61CA"/>
  </w:style>
  <w:style w:type="character" w:customStyle="1" w:styleId="Zdraznnjemn2">
    <w:name w:val="Zdůraznění – jemné2"/>
    <w:rsid w:val="005D61CA"/>
    <w:rPr>
      <w:i/>
      <w:color w:val="808080"/>
    </w:rPr>
  </w:style>
  <w:style w:type="character" w:customStyle="1" w:styleId="Zdraznnintenzivn2">
    <w:name w:val="Zdůraznění – intenzivní2"/>
    <w:rsid w:val="005D61CA"/>
    <w:rPr>
      <w:b/>
      <w:i/>
      <w:color w:val="4F81BD"/>
    </w:rPr>
  </w:style>
  <w:style w:type="character" w:customStyle="1" w:styleId="Odkazjemn2">
    <w:name w:val="Odkaz – jemný2"/>
    <w:rsid w:val="005D61CA"/>
    <w:rPr>
      <w:smallCaps/>
      <w:color w:val="C0504D"/>
      <w:u w:val="single"/>
    </w:rPr>
  </w:style>
  <w:style w:type="character" w:customStyle="1" w:styleId="Odkazintenzivn2">
    <w:name w:val="Odkaz – intenzivní2"/>
    <w:rsid w:val="005D61CA"/>
    <w:rPr>
      <w:b/>
      <w:smallCaps/>
      <w:color w:val="C0504D"/>
      <w:spacing w:val="5"/>
      <w:u w:val="single"/>
    </w:rPr>
  </w:style>
  <w:style w:type="character" w:customStyle="1" w:styleId="Nzevknihy2">
    <w:name w:val="Název knihy2"/>
    <w:rsid w:val="005D61CA"/>
    <w:rPr>
      <w:b/>
      <w:smallCaps/>
      <w:spacing w:val="5"/>
    </w:rPr>
  </w:style>
  <w:style w:type="paragraph" w:customStyle="1" w:styleId="Normlnweb2">
    <w:name w:val="Normální (web)2"/>
    <w:basedOn w:val="Normln"/>
    <w:rsid w:val="005D61CA"/>
    <w:pPr>
      <w:spacing w:before="280" w:after="280"/>
    </w:pPr>
    <w:rPr>
      <w:rFonts w:ascii="Arial Unicode MS" w:eastAsia="Arial Unicode MS" w:hAnsi="Arial Unicode MS" w:cs="Arial Unicode MS"/>
      <w:lang w:val="en-US"/>
    </w:rPr>
  </w:style>
  <w:style w:type="paragraph" w:customStyle="1" w:styleId="Odstavecseseznamem3">
    <w:name w:val="Odstavec se seznamem3"/>
    <w:basedOn w:val="Normln"/>
    <w:rsid w:val="005D61CA"/>
    <w:pPr>
      <w:ind w:left="708"/>
    </w:pPr>
    <w:rPr>
      <w:szCs w:val="20"/>
      <w:lang w:val="x-none"/>
    </w:rPr>
  </w:style>
  <w:style w:type="paragraph" w:customStyle="1" w:styleId="Textbubliny2">
    <w:name w:val="Text bubliny2"/>
    <w:basedOn w:val="Normln"/>
    <w:rsid w:val="005D61CA"/>
    <w:rPr>
      <w:rFonts w:ascii="Tahoma" w:hAnsi="Tahoma"/>
      <w:sz w:val="16"/>
      <w:szCs w:val="16"/>
    </w:rPr>
  </w:style>
  <w:style w:type="paragraph" w:customStyle="1" w:styleId="Zkladntext22">
    <w:name w:val="Základní text 22"/>
    <w:basedOn w:val="Normln"/>
    <w:rsid w:val="005D61CA"/>
    <w:rPr>
      <w:rFonts w:ascii="Arial" w:hAnsi="Arial"/>
      <w:sz w:val="20"/>
    </w:rPr>
  </w:style>
  <w:style w:type="paragraph" w:customStyle="1" w:styleId="Bezmezer2">
    <w:name w:val="Bez mezer2"/>
    <w:rsid w:val="005D61CA"/>
    <w:pPr>
      <w:suppressAutoHyphens/>
    </w:pPr>
    <w:rPr>
      <w:rFonts w:ascii="Calibri" w:eastAsia="Arial" w:hAnsi="Calibri" w:cs="Calibri"/>
      <w:sz w:val="22"/>
      <w:szCs w:val="22"/>
      <w:lang w:eastAsia="ar-SA"/>
    </w:rPr>
  </w:style>
  <w:style w:type="paragraph" w:customStyle="1" w:styleId="Zkladntextodsazen32">
    <w:name w:val="Základní text odsazený 32"/>
    <w:basedOn w:val="Normln"/>
    <w:rsid w:val="005D61CA"/>
    <w:pPr>
      <w:spacing w:after="120"/>
      <w:ind w:left="283"/>
    </w:pPr>
    <w:rPr>
      <w:sz w:val="16"/>
      <w:szCs w:val="16"/>
    </w:rPr>
  </w:style>
  <w:style w:type="paragraph" w:customStyle="1" w:styleId="Revize2">
    <w:name w:val="Revize2"/>
    <w:rsid w:val="005D61CA"/>
    <w:pPr>
      <w:suppressAutoHyphens/>
    </w:pPr>
    <w:rPr>
      <w:rFonts w:eastAsia="Arial" w:cs="Calibri"/>
      <w:sz w:val="24"/>
      <w:szCs w:val="24"/>
      <w:lang w:eastAsia="ar-SA"/>
    </w:rPr>
  </w:style>
  <w:style w:type="paragraph" w:customStyle="1" w:styleId="Seznamobrzk2">
    <w:name w:val="Seznam obrázků2"/>
    <w:basedOn w:val="Normln"/>
    <w:next w:val="Normln"/>
    <w:rsid w:val="005D61CA"/>
    <w:rPr>
      <w:lang w:val="en-US"/>
    </w:rPr>
  </w:style>
  <w:style w:type="paragraph" w:customStyle="1" w:styleId="Titulek2">
    <w:name w:val="Titulek2"/>
    <w:basedOn w:val="Normln"/>
    <w:next w:val="Normln"/>
    <w:rsid w:val="005D61CA"/>
    <w:pPr>
      <w:spacing w:after="200"/>
    </w:pPr>
    <w:rPr>
      <w:b/>
      <w:bCs/>
      <w:color w:val="4F81BD"/>
      <w:sz w:val="18"/>
      <w:szCs w:val="18"/>
      <w:lang w:val="en-US"/>
    </w:rPr>
  </w:style>
  <w:style w:type="paragraph" w:customStyle="1" w:styleId="Citt2">
    <w:name w:val="Citát2"/>
    <w:basedOn w:val="Normln"/>
    <w:next w:val="Normln"/>
    <w:rsid w:val="005D61CA"/>
    <w:pPr>
      <w:jc w:val="both"/>
    </w:pPr>
    <w:rPr>
      <w:rFonts w:ascii="Arial" w:hAnsi="Arial"/>
      <w:i/>
      <w:iCs/>
      <w:color w:val="000000"/>
      <w:sz w:val="22"/>
      <w:lang w:val="en-US"/>
    </w:rPr>
  </w:style>
  <w:style w:type="paragraph" w:customStyle="1" w:styleId="Vrazncitt2">
    <w:name w:val="Výrazný citát2"/>
    <w:basedOn w:val="Normln"/>
    <w:next w:val="Normln"/>
    <w:rsid w:val="005D61CA"/>
    <w:pPr>
      <w:pBdr>
        <w:bottom w:val="single" w:sz="4" w:space="4" w:color="808080"/>
      </w:pBdr>
      <w:spacing w:before="200" w:after="280"/>
      <w:ind w:left="936" w:right="936"/>
      <w:jc w:val="both"/>
    </w:pPr>
    <w:rPr>
      <w:rFonts w:ascii="Arial" w:hAnsi="Arial"/>
      <w:b/>
      <w:bCs/>
      <w:i/>
      <w:iCs/>
      <w:color w:val="4F81BD"/>
      <w:sz w:val="22"/>
      <w:lang w:val="en-US"/>
    </w:rPr>
  </w:style>
  <w:style w:type="paragraph" w:customStyle="1" w:styleId="Prosttext2">
    <w:name w:val="Prostý text2"/>
    <w:basedOn w:val="Normln"/>
    <w:rsid w:val="005D61CA"/>
    <w:rPr>
      <w:rFonts w:ascii="Consolas" w:hAnsi="Consolas"/>
      <w:sz w:val="20"/>
      <w:szCs w:val="20"/>
      <w:lang w:val="x-none"/>
    </w:rPr>
  </w:style>
  <w:style w:type="paragraph" w:styleId="Odstavecseseznamem">
    <w:name w:val="List Paragraph"/>
    <w:basedOn w:val="Normln"/>
    <w:uiPriority w:val="34"/>
    <w:qFormat/>
    <w:rsid w:val="00506C1E"/>
    <w:pPr>
      <w:ind w:left="720"/>
      <w:contextualSpacing/>
    </w:pPr>
  </w:style>
  <w:style w:type="paragraph" w:styleId="Normlnweb">
    <w:name w:val="Normal (Web)"/>
    <w:basedOn w:val="Normln"/>
    <w:uiPriority w:val="99"/>
    <w:rsid w:val="00342614"/>
    <w:pPr>
      <w:suppressAutoHyphens w:val="0"/>
      <w:spacing w:before="100" w:beforeAutospacing="1" w:after="100" w:afterAutospacing="1"/>
    </w:pPr>
    <w:rPr>
      <w:rFonts w:cs="Times New Roman"/>
      <w:color w:val="000000"/>
      <w:lang w:eastAsia="cs-CZ"/>
    </w:rPr>
  </w:style>
  <w:style w:type="table" w:styleId="Mkatabulky">
    <w:name w:val="Table Grid"/>
    <w:basedOn w:val="Normlntabulka"/>
    <w:uiPriority w:val="59"/>
    <w:rsid w:val="00527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2439">
      <w:bodyDiv w:val="1"/>
      <w:marLeft w:val="0"/>
      <w:marRight w:val="0"/>
      <w:marTop w:val="0"/>
      <w:marBottom w:val="0"/>
      <w:divBdr>
        <w:top w:val="none" w:sz="0" w:space="0" w:color="auto"/>
        <w:left w:val="none" w:sz="0" w:space="0" w:color="auto"/>
        <w:bottom w:val="none" w:sz="0" w:space="0" w:color="auto"/>
        <w:right w:val="none" w:sz="0" w:space="0" w:color="auto"/>
      </w:divBdr>
    </w:div>
    <w:div w:id="189340993">
      <w:bodyDiv w:val="1"/>
      <w:marLeft w:val="0"/>
      <w:marRight w:val="0"/>
      <w:marTop w:val="0"/>
      <w:marBottom w:val="0"/>
      <w:divBdr>
        <w:top w:val="none" w:sz="0" w:space="0" w:color="auto"/>
        <w:left w:val="none" w:sz="0" w:space="0" w:color="auto"/>
        <w:bottom w:val="none" w:sz="0" w:space="0" w:color="auto"/>
        <w:right w:val="none" w:sz="0" w:space="0" w:color="auto"/>
      </w:divBdr>
    </w:div>
    <w:div w:id="516965384">
      <w:bodyDiv w:val="1"/>
      <w:marLeft w:val="0"/>
      <w:marRight w:val="0"/>
      <w:marTop w:val="0"/>
      <w:marBottom w:val="0"/>
      <w:divBdr>
        <w:top w:val="none" w:sz="0" w:space="0" w:color="auto"/>
        <w:left w:val="none" w:sz="0" w:space="0" w:color="auto"/>
        <w:bottom w:val="none" w:sz="0" w:space="0" w:color="auto"/>
        <w:right w:val="none" w:sz="0" w:space="0" w:color="auto"/>
      </w:divBdr>
    </w:div>
    <w:div w:id="739791183">
      <w:bodyDiv w:val="1"/>
      <w:marLeft w:val="0"/>
      <w:marRight w:val="0"/>
      <w:marTop w:val="0"/>
      <w:marBottom w:val="0"/>
      <w:divBdr>
        <w:top w:val="none" w:sz="0" w:space="0" w:color="auto"/>
        <w:left w:val="none" w:sz="0" w:space="0" w:color="auto"/>
        <w:bottom w:val="none" w:sz="0" w:space="0" w:color="auto"/>
        <w:right w:val="none" w:sz="0" w:space="0" w:color="auto"/>
      </w:divBdr>
    </w:div>
    <w:div w:id="1126583567">
      <w:bodyDiv w:val="1"/>
      <w:marLeft w:val="0"/>
      <w:marRight w:val="0"/>
      <w:marTop w:val="0"/>
      <w:marBottom w:val="0"/>
      <w:divBdr>
        <w:top w:val="none" w:sz="0" w:space="0" w:color="auto"/>
        <w:left w:val="none" w:sz="0" w:space="0" w:color="auto"/>
        <w:bottom w:val="none" w:sz="0" w:space="0" w:color="auto"/>
        <w:right w:val="none" w:sz="0" w:space="0" w:color="auto"/>
      </w:divBdr>
    </w:div>
    <w:div w:id="1477406721">
      <w:bodyDiv w:val="1"/>
      <w:marLeft w:val="0"/>
      <w:marRight w:val="0"/>
      <w:marTop w:val="0"/>
      <w:marBottom w:val="0"/>
      <w:divBdr>
        <w:top w:val="none" w:sz="0" w:space="0" w:color="auto"/>
        <w:left w:val="none" w:sz="0" w:space="0" w:color="auto"/>
        <w:bottom w:val="none" w:sz="0" w:space="0" w:color="auto"/>
        <w:right w:val="none" w:sz="0" w:space="0" w:color="auto"/>
      </w:divBdr>
    </w:div>
    <w:div w:id="1543060051">
      <w:bodyDiv w:val="1"/>
      <w:marLeft w:val="0"/>
      <w:marRight w:val="0"/>
      <w:marTop w:val="0"/>
      <w:marBottom w:val="0"/>
      <w:divBdr>
        <w:top w:val="none" w:sz="0" w:space="0" w:color="auto"/>
        <w:left w:val="none" w:sz="0" w:space="0" w:color="auto"/>
        <w:bottom w:val="none" w:sz="0" w:space="0" w:color="auto"/>
        <w:right w:val="none" w:sz="0" w:space="0" w:color="auto"/>
      </w:divBdr>
    </w:div>
    <w:div w:id="1579903120">
      <w:bodyDiv w:val="1"/>
      <w:marLeft w:val="0"/>
      <w:marRight w:val="0"/>
      <w:marTop w:val="0"/>
      <w:marBottom w:val="0"/>
      <w:divBdr>
        <w:top w:val="none" w:sz="0" w:space="0" w:color="auto"/>
        <w:left w:val="none" w:sz="0" w:space="0" w:color="auto"/>
        <w:bottom w:val="none" w:sz="0" w:space="0" w:color="auto"/>
        <w:right w:val="none" w:sz="0" w:space="0" w:color="auto"/>
      </w:divBdr>
    </w:div>
    <w:div w:id="17869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FS1\SYKORAP\KZ%20ke%20korektur&#225;m\2013\graf%2012-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cs-CZ" sz="1000">
                <a:latin typeface="Arial" pitchFamily="34" charset="0"/>
                <a:cs typeface="Arial" pitchFamily="34" charset="0"/>
              </a:rPr>
              <a:t>Podíl emisních tříd na počtu transakcí v mýtném systému (v %)</a:t>
            </a:r>
          </a:p>
        </c:rich>
      </c:tx>
      <c:layout/>
      <c:overlay val="0"/>
    </c:title>
    <c:autoTitleDeleted val="0"/>
    <c:plotArea>
      <c:layout/>
      <c:lineChart>
        <c:grouping val="standard"/>
        <c:varyColors val="0"/>
        <c:ser>
          <c:idx val="0"/>
          <c:order val="0"/>
          <c:tx>
            <c:strRef>
              <c:f>List1!$A$5</c:f>
              <c:strCache>
                <c:ptCount val="1"/>
                <c:pt idx="0">
                  <c:v>EURO 0</c:v>
                </c:pt>
              </c:strCache>
            </c:strRef>
          </c:tx>
          <c:marker>
            <c:symbol val="circle"/>
            <c:size val="7"/>
          </c:marker>
          <c:dLbls>
            <c:dLbl>
              <c:idx val="0"/>
              <c:layout>
                <c:manualLayout>
                  <c:x val="-1.2374221817314159E-2"/>
                  <c:y val="-2.5744874674170883E-2"/>
                </c:manualLayout>
              </c:layout>
              <c:dLblPos val="r"/>
              <c:showLegendKey val="0"/>
              <c:showVal val="1"/>
              <c:showCatName val="0"/>
              <c:showSerName val="0"/>
              <c:showPercent val="0"/>
              <c:showBubbleSize val="0"/>
            </c:dLbl>
            <c:dLbl>
              <c:idx val="1"/>
              <c:layout>
                <c:manualLayout>
                  <c:x val="-1.084844654685733E-2"/>
                  <c:y val="-2.6199108832326196E-2"/>
                </c:manualLayout>
              </c:layout>
              <c:dLblPos val="r"/>
              <c:showLegendKey val="0"/>
              <c:showVal val="1"/>
              <c:showCatName val="0"/>
              <c:showSerName val="0"/>
              <c:showPercent val="0"/>
              <c:showBubbleSize val="0"/>
            </c:dLbl>
            <c:dLbl>
              <c:idx val="2"/>
              <c:layout>
                <c:manualLayout>
                  <c:x val="-4.8144478366539435E-2"/>
                  <c:y val="-3.3698956235121771E-2"/>
                </c:manualLayout>
              </c:layout>
              <c:dLblPos val="r"/>
              <c:showLegendKey val="0"/>
              <c:showVal val="1"/>
              <c:showCatName val="0"/>
              <c:showSerName val="0"/>
              <c:showPercent val="0"/>
              <c:showBubbleSize val="0"/>
            </c:dLbl>
            <c:dLbl>
              <c:idx val="3"/>
              <c:layout>
                <c:manualLayout>
                  <c:x val="-5.1874081548507776E-2"/>
                  <c:y val="-3.3698956235121771E-2"/>
                </c:manualLayout>
              </c:layout>
              <c:dLblPos val="r"/>
              <c:showLegendKey val="0"/>
              <c:showVal val="1"/>
              <c:showCatName val="0"/>
              <c:showSerName val="0"/>
              <c:showPercent val="0"/>
              <c:showBubbleSize val="0"/>
            </c:dLbl>
            <c:txPr>
              <a:bodyPr/>
              <a:lstStyle/>
              <a:p>
                <a:pPr>
                  <a:defRPr sz="900" b="1" baseline="0">
                    <a:solidFill>
                      <a:schemeClr val="accent1">
                        <a:lumMod val="75000"/>
                      </a:schemeClr>
                    </a:solidFill>
                    <a:latin typeface="Arial" pitchFamily="34" charset="0"/>
                    <a:cs typeface="Arial" pitchFamily="34" charset="0"/>
                  </a:defRPr>
                </a:pPr>
                <a:endParaRPr lang="cs-CZ"/>
              </a:p>
            </c:txPr>
            <c:dLblPos val="t"/>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List1!$B$5:$E$5</c:f>
              <c:numCache>
                <c:formatCode>General</c:formatCode>
                <c:ptCount val="4"/>
                <c:pt idx="0">
                  <c:v>1.9</c:v>
                </c:pt>
                <c:pt idx="1">
                  <c:v>1.5</c:v>
                </c:pt>
                <c:pt idx="2">
                  <c:v>1.1000000000000001</c:v>
                </c:pt>
                <c:pt idx="3">
                  <c:v>0.8</c:v>
                </c:pt>
              </c:numCache>
            </c:numRef>
          </c:val>
          <c:smooth val="0"/>
        </c:ser>
        <c:ser>
          <c:idx val="1"/>
          <c:order val="1"/>
          <c:tx>
            <c:strRef>
              <c:f>List1!$A$6</c:f>
              <c:strCache>
                <c:ptCount val="1"/>
                <c:pt idx="0">
                  <c:v>EURO I</c:v>
                </c:pt>
              </c:strCache>
            </c:strRef>
          </c:tx>
          <c:marker>
            <c:symbol val="circle"/>
            <c:size val="7"/>
          </c:marker>
          <c:dLbls>
            <c:dLbl>
              <c:idx val="0"/>
              <c:layout>
                <c:manualLayout>
                  <c:x val="-6.0690821174597252E-2"/>
                  <c:y val="-1.1600994474457635E-2"/>
                </c:manualLayout>
              </c:layout>
              <c:dLblPos val="r"/>
              <c:showLegendKey val="0"/>
              <c:showVal val="1"/>
              <c:showCatName val="0"/>
              <c:showSerName val="0"/>
              <c:showPercent val="0"/>
              <c:showBubbleSize val="0"/>
            </c:dLbl>
            <c:dLbl>
              <c:idx val="1"/>
              <c:layout>
                <c:manualLayout>
                  <c:x val="5.2519900261026632E-3"/>
                  <c:y val="3.4977230186494755E-2"/>
                </c:manualLayout>
              </c:layout>
              <c:dLblPos val="r"/>
              <c:showLegendKey val="0"/>
              <c:showVal val="1"/>
              <c:showCatName val="0"/>
              <c:showSerName val="0"/>
              <c:showPercent val="0"/>
              <c:showBubbleSize val="0"/>
            </c:dLbl>
            <c:dLbl>
              <c:idx val="2"/>
              <c:layout>
                <c:manualLayout>
                  <c:x val="7.459206363936443E-3"/>
                  <c:y val="2.9147897210523133E-2"/>
                </c:manualLayout>
              </c:layout>
              <c:dLblPos val="r"/>
              <c:showLegendKey val="0"/>
              <c:showVal val="1"/>
              <c:showCatName val="0"/>
              <c:showSerName val="0"/>
              <c:showPercent val="0"/>
              <c:showBubbleSize val="0"/>
            </c:dLbl>
            <c:dLbl>
              <c:idx val="3"/>
              <c:layout>
                <c:manualLayout>
                  <c:x val="-5.9367526159582011E-3"/>
                  <c:y val="-1.2875785242494619E-2"/>
                </c:manualLayout>
              </c:layout>
              <c:dLblPos val="r"/>
              <c:showLegendKey val="0"/>
              <c:showVal val="1"/>
              <c:showCatName val="0"/>
              <c:showSerName val="0"/>
              <c:showPercent val="0"/>
              <c:showBubbleSize val="0"/>
            </c:dLbl>
            <c:txPr>
              <a:bodyPr/>
              <a:lstStyle/>
              <a:p>
                <a:pPr>
                  <a:defRPr sz="900" b="1">
                    <a:solidFill>
                      <a:srgbClr val="C00000"/>
                    </a:solidFill>
                    <a:latin typeface="Arial" pitchFamily="34" charset="0"/>
                    <a:cs typeface="Arial" pitchFamily="34" charset="0"/>
                  </a:defRPr>
                </a:pPr>
                <a:endParaRPr lang="cs-CZ"/>
              </a:p>
            </c:txPr>
            <c:dLblPos val="r"/>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List1!$B$6:$E$6</c:f>
              <c:numCache>
                <c:formatCode>General</c:formatCode>
                <c:ptCount val="4"/>
                <c:pt idx="0">
                  <c:v>1.1000000000000001</c:v>
                </c:pt>
                <c:pt idx="1">
                  <c:v>1.1000000000000001</c:v>
                </c:pt>
                <c:pt idx="2">
                  <c:v>0.8</c:v>
                </c:pt>
                <c:pt idx="3">
                  <c:v>0.6</c:v>
                </c:pt>
              </c:numCache>
            </c:numRef>
          </c:val>
          <c:smooth val="0"/>
        </c:ser>
        <c:ser>
          <c:idx val="2"/>
          <c:order val="2"/>
          <c:tx>
            <c:strRef>
              <c:f>List1!$A$7</c:f>
              <c:strCache>
                <c:ptCount val="1"/>
                <c:pt idx="0">
                  <c:v>EURO II</c:v>
                </c:pt>
              </c:strCache>
            </c:strRef>
          </c:tx>
          <c:marker>
            <c:symbol val="circle"/>
            <c:size val="7"/>
          </c:marker>
          <c:dLbls>
            <c:dLbl>
              <c:idx val="0"/>
              <c:layout>
                <c:manualLayout>
                  <c:x val="-8.1167870545107487E-3"/>
                  <c:y val="3.6667117641222685E-2"/>
                </c:manualLayout>
              </c:layout>
              <c:dLblPos val="r"/>
              <c:showLegendKey val="0"/>
              <c:showVal val="1"/>
              <c:showCatName val="0"/>
              <c:showSerName val="0"/>
              <c:showPercent val="0"/>
              <c:showBubbleSize val="0"/>
            </c:dLbl>
            <c:dLbl>
              <c:idx val="1"/>
              <c:layout>
                <c:manualLayout>
                  <c:x val="-1.7779570942061996E-2"/>
                  <c:y val="3.2841049507986761E-2"/>
                </c:manualLayout>
              </c:layout>
              <c:dLblPos val="r"/>
              <c:showLegendKey val="0"/>
              <c:showVal val="1"/>
              <c:showCatName val="0"/>
              <c:showSerName val="0"/>
              <c:showPercent val="0"/>
              <c:showBubbleSize val="0"/>
            </c:dLbl>
            <c:dLbl>
              <c:idx val="2"/>
              <c:layout>
                <c:manualLayout>
                  <c:x val="-8.9836449558731539E-3"/>
                  <c:y val="2.9318966708108841E-2"/>
                </c:manualLayout>
              </c:layout>
              <c:dLblPos val="r"/>
              <c:showLegendKey val="0"/>
              <c:showVal val="1"/>
              <c:showCatName val="0"/>
              <c:showSerName val="0"/>
              <c:showPercent val="0"/>
              <c:showBubbleSize val="0"/>
            </c:dLbl>
            <c:dLbl>
              <c:idx val="3"/>
              <c:layout>
                <c:manualLayout>
                  <c:x val="-7.1189018039411744E-3"/>
                  <c:y val="-1.8757623216437999E-3"/>
                </c:manualLayout>
              </c:layout>
              <c:dLblPos val="r"/>
              <c:showLegendKey val="0"/>
              <c:showVal val="1"/>
              <c:showCatName val="0"/>
              <c:showSerName val="0"/>
              <c:showPercent val="0"/>
              <c:showBubbleSize val="0"/>
            </c:dLbl>
            <c:txPr>
              <a:bodyPr/>
              <a:lstStyle/>
              <a:p>
                <a:pPr>
                  <a:defRPr sz="900" b="1">
                    <a:solidFill>
                      <a:schemeClr val="accent3">
                        <a:lumMod val="75000"/>
                      </a:schemeClr>
                    </a:solidFill>
                    <a:latin typeface="Arial" pitchFamily="34" charset="0"/>
                    <a:cs typeface="Arial" pitchFamily="34" charset="0"/>
                  </a:defRPr>
                </a:pPr>
                <a:endParaRPr lang="cs-CZ"/>
              </a:p>
            </c:txPr>
            <c:dLblPos val="b"/>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List1!$B$7:$E$7</c:f>
              <c:numCache>
                <c:formatCode>General</c:formatCode>
                <c:ptCount val="4"/>
                <c:pt idx="0">
                  <c:v>12.1</c:v>
                </c:pt>
                <c:pt idx="1">
                  <c:v>12.2</c:v>
                </c:pt>
                <c:pt idx="2">
                  <c:v>9.6999999999999993</c:v>
                </c:pt>
                <c:pt idx="3">
                  <c:v>7.5</c:v>
                </c:pt>
              </c:numCache>
            </c:numRef>
          </c:val>
          <c:smooth val="0"/>
        </c:ser>
        <c:ser>
          <c:idx val="3"/>
          <c:order val="3"/>
          <c:tx>
            <c:strRef>
              <c:f>List1!$A$8</c:f>
              <c:strCache>
                <c:ptCount val="1"/>
                <c:pt idx="0">
                  <c:v>EURO III</c:v>
                </c:pt>
              </c:strCache>
            </c:strRef>
          </c:tx>
          <c:marker>
            <c:symbol val="circle"/>
            <c:size val="7"/>
          </c:marker>
          <c:dLbls>
            <c:dLbl>
              <c:idx val="0"/>
              <c:layout>
                <c:manualLayout>
                  <c:x val="-1.9305395179355745E-2"/>
                  <c:y val="-4.5830834613165623E-2"/>
                </c:manualLayout>
              </c:layout>
              <c:dLblPos val="r"/>
              <c:showLegendKey val="0"/>
              <c:showVal val="1"/>
              <c:showCatName val="0"/>
              <c:showSerName val="0"/>
              <c:showPercent val="0"/>
              <c:showBubbleSize val="0"/>
            </c:dLbl>
            <c:dLbl>
              <c:idx val="2"/>
              <c:layout>
                <c:manualLayout>
                  <c:x val="-1.7846151225717886E-2"/>
                  <c:y val="-4.1702867636901432E-2"/>
                </c:manualLayout>
              </c:layout>
              <c:dLblPos val="r"/>
              <c:showLegendKey val="0"/>
              <c:showVal val="1"/>
              <c:showCatName val="0"/>
              <c:showSerName val="0"/>
              <c:showPercent val="0"/>
              <c:showBubbleSize val="0"/>
            </c:dLbl>
            <c:dLbl>
              <c:idx val="3"/>
              <c:layout>
                <c:manualLayout>
                  <c:x val="-1.3710990406403405E-2"/>
                  <c:y val="-3.3446933684373063E-2"/>
                </c:manualLayout>
              </c:layout>
              <c:dLblPos val="r"/>
              <c:showLegendKey val="0"/>
              <c:showVal val="1"/>
              <c:showCatName val="0"/>
              <c:showSerName val="0"/>
              <c:showPercent val="0"/>
              <c:showBubbleSize val="0"/>
            </c:dLbl>
            <c:txPr>
              <a:bodyPr/>
              <a:lstStyle/>
              <a:p>
                <a:pPr>
                  <a:defRPr sz="900" b="1">
                    <a:solidFill>
                      <a:srgbClr val="7030A0"/>
                    </a:solidFill>
                    <a:latin typeface="Arial" pitchFamily="34" charset="0"/>
                    <a:cs typeface="Arial" pitchFamily="34" charset="0"/>
                  </a:defRPr>
                </a:pPr>
                <a:endParaRPr lang="cs-CZ"/>
              </a:p>
            </c:txPr>
            <c:dLblPos val="t"/>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List1!$B$8:$E$8</c:f>
              <c:numCache>
                <c:formatCode>General</c:formatCode>
                <c:ptCount val="4"/>
                <c:pt idx="0">
                  <c:v>50.5</c:v>
                </c:pt>
                <c:pt idx="1">
                  <c:v>47.7</c:v>
                </c:pt>
                <c:pt idx="2">
                  <c:v>42</c:v>
                </c:pt>
                <c:pt idx="3">
                  <c:v>34.9</c:v>
                </c:pt>
              </c:numCache>
            </c:numRef>
          </c:val>
          <c:smooth val="0"/>
        </c:ser>
        <c:ser>
          <c:idx val="4"/>
          <c:order val="4"/>
          <c:tx>
            <c:strRef>
              <c:f>List1!$A$9</c:f>
              <c:strCache>
                <c:ptCount val="1"/>
                <c:pt idx="0">
                  <c:v>EURO IV</c:v>
                </c:pt>
              </c:strCache>
            </c:strRef>
          </c:tx>
          <c:marker>
            <c:symbol val="circle"/>
            <c:size val="7"/>
          </c:marker>
          <c:dLbls>
            <c:dLbl>
              <c:idx val="0"/>
              <c:layout>
                <c:manualLayout>
                  <c:x val="-1.2251746452765604E-2"/>
                  <c:y val="-4.5830834613165623E-2"/>
                </c:manualLayout>
              </c:layout>
              <c:dLblPos val="r"/>
              <c:showLegendKey val="0"/>
              <c:showVal val="1"/>
              <c:showCatName val="0"/>
              <c:showSerName val="0"/>
              <c:showPercent val="0"/>
              <c:showBubbleSize val="0"/>
            </c:dLbl>
            <c:dLbl>
              <c:idx val="1"/>
              <c:layout>
                <c:manualLayout>
                  <c:x val="-1.1846188815419309E-2"/>
                  <c:y val="-3.3446933684373063E-2"/>
                </c:manualLayout>
              </c:layout>
              <c:dLblPos val="r"/>
              <c:showLegendKey val="0"/>
              <c:showVal val="1"/>
              <c:showCatName val="0"/>
              <c:showSerName val="0"/>
              <c:showPercent val="0"/>
              <c:showBubbleSize val="0"/>
            </c:dLbl>
            <c:dLbl>
              <c:idx val="2"/>
              <c:layout>
                <c:manualLayout>
                  <c:x val="-9.0307802433785885E-3"/>
                  <c:y val="-3.3446798531626763E-2"/>
                </c:manualLayout>
              </c:layout>
              <c:dLblPos val="r"/>
              <c:showLegendKey val="0"/>
              <c:showVal val="1"/>
              <c:showCatName val="0"/>
              <c:showSerName val="0"/>
              <c:showPercent val="0"/>
              <c:showBubbleSize val="0"/>
            </c:dLbl>
            <c:dLbl>
              <c:idx val="3"/>
              <c:layout>
                <c:manualLayout>
                  <c:x val="-1.5067265352161558E-2"/>
                  <c:y val="-4.5830920619458648E-2"/>
                </c:manualLayout>
              </c:layout>
              <c:dLblPos val="r"/>
              <c:showLegendKey val="0"/>
              <c:showVal val="1"/>
              <c:showCatName val="0"/>
              <c:showSerName val="0"/>
              <c:showPercent val="0"/>
              <c:showBubbleSize val="0"/>
            </c:dLbl>
            <c:txPr>
              <a:bodyPr/>
              <a:lstStyle/>
              <a:p>
                <a:pPr>
                  <a:defRPr sz="900" b="1">
                    <a:solidFill>
                      <a:schemeClr val="tx2">
                        <a:lumMod val="40000"/>
                        <a:lumOff val="60000"/>
                      </a:schemeClr>
                    </a:solidFill>
                    <a:latin typeface="Arial" pitchFamily="34" charset="0"/>
                    <a:cs typeface="Arial" pitchFamily="34" charset="0"/>
                  </a:defRPr>
                </a:pPr>
                <a:endParaRPr lang="cs-CZ"/>
              </a:p>
            </c:txPr>
            <c:dLblPos val="t"/>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List1!$B$9:$E$9</c:f>
              <c:numCache>
                <c:formatCode>General</c:formatCode>
                <c:ptCount val="4"/>
                <c:pt idx="0">
                  <c:v>12</c:v>
                </c:pt>
                <c:pt idx="1">
                  <c:v>14.4</c:v>
                </c:pt>
                <c:pt idx="2">
                  <c:v>14</c:v>
                </c:pt>
                <c:pt idx="3">
                  <c:v>13.1</c:v>
                </c:pt>
              </c:numCache>
            </c:numRef>
          </c:val>
          <c:smooth val="0"/>
        </c:ser>
        <c:ser>
          <c:idx val="5"/>
          <c:order val="5"/>
          <c:tx>
            <c:strRef>
              <c:f>List1!$A$10</c:f>
              <c:strCache>
                <c:ptCount val="1"/>
                <c:pt idx="0">
                  <c:v>EURO V</c:v>
                </c:pt>
              </c:strCache>
            </c:strRef>
          </c:tx>
          <c:dLbls>
            <c:dLbl>
              <c:idx val="0"/>
              <c:layout>
                <c:manualLayout>
                  <c:x val="-1.1846188815419309E-2"/>
                  <c:y val="-3.3446933684373063E-2"/>
                </c:manualLayout>
              </c:layout>
              <c:dLblPos val="r"/>
              <c:showLegendKey val="0"/>
              <c:showVal val="1"/>
              <c:showCatName val="0"/>
              <c:showSerName val="0"/>
              <c:showPercent val="0"/>
              <c:showBubbleSize val="0"/>
            </c:dLbl>
            <c:dLbl>
              <c:idx val="1"/>
              <c:layout>
                <c:manualLayout>
                  <c:x val="-6.2873950673521181E-2"/>
                  <c:y val="-3.757483922757078E-2"/>
                </c:manualLayout>
              </c:layout>
              <c:dLblPos val="r"/>
              <c:showLegendKey val="0"/>
              <c:showVal val="1"/>
              <c:showCatName val="0"/>
              <c:showSerName val="0"/>
              <c:showPercent val="0"/>
              <c:showBubbleSize val="0"/>
            </c:dLbl>
            <c:dLbl>
              <c:idx val="2"/>
              <c:layout>
                <c:manualLayout>
                  <c:x val="-6.5077807422832479E-2"/>
                  <c:y val="-3.7575200007215592E-2"/>
                </c:manualLayout>
              </c:layout>
              <c:dLblPos val="r"/>
              <c:showLegendKey val="0"/>
              <c:showVal val="1"/>
              <c:showCatName val="0"/>
              <c:showSerName val="0"/>
              <c:showPercent val="0"/>
              <c:showBubbleSize val="0"/>
            </c:dLbl>
            <c:dLbl>
              <c:idx val="3"/>
              <c:layout>
                <c:manualLayout>
                  <c:x val="-2.4671325048719803E-2"/>
                  <c:y val="-4.4375644994840091E-2"/>
                </c:manualLayout>
              </c:layout>
              <c:dLblPos val="r"/>
              <c:showLegendKey val="0"/>
              <c:showVal val="1"/>
              <c:showCatName val="0"/>
              <c:showSerName val="0"/>
              <c:showPercent val="0"/>
              <c:showBubbleSize val="0"/>
            </c:dLbl>
            <c:txPr>
              <a:bodyPr/>
              <a:lstStyle/>
              <a:p>
                <a:pPr>
                  <a:defRPr sz="900" b="1">
                    <a:solidFill>
                      <a:srgbClr val="FFC000"/>
                    </a:solidFill>
                    <a:latin typeface="Arial" pitchFamily="34" charset="0"/>
                    <a:cs typeface="Arial" pitchFamily="34" charset="0"/>
                  </a:defRPr>
                </a:pPr>
                <a:endParaRPr lang="cs-CZ"/>
              </a:p>
            </c:txPr>
            <c:dLblPos val="t"/>
            <c:showLegendKey val="0"/>
            <c:showVal val="1"/>
            <c:showCatName val="0"/>
            <c:showSerName val="0"/>
            <c:showPercent val="0"/>
            <c:showBubbleSize val="0"/>
            <c:showLeaderLines val="0"/>
          </c:dLbls>
          <c:cat>
            <c:numRef>
              <c:f>List1!$B$4:$E$4</c:f>
              <c:numCache>
                <c:formatCode>General</c:formatCode>
                <c:ptCount val="4"/>
                <c:pt idx="0">
                  <c:v>2009</c:v>
                </c:pt>
                <c:pt idx="1">
                  <c:v>2010</c:v>
                </c:pt>
                <c:pt idx="2">
                  <c:v>2011</c:v>
                </c:pt>
                <c:pt idx="3">
                  <c:v>2012</c:v>
                </c:pt>
              </c:numCache>
            </c:numRef>
          </c:cat>
          <c:val>
            <c:numRef>
              <c:f>List1!$B$10:$E$10</c:f>
              <c:numCache>
                <c:formatCode>General</c:formatCode>
                <c:ptCount val="4"/>
                <c:pt idx="0">
                  <c:v>22.4</c:v>
                </c:pt>
                <c:pt idx="1">
                  <c:v>23.1</c:v>
                </c:pt>
                <c:pt idx="2">
                  <c:v>32.4</c:v>
                </c:pt>
                <c:pt idx="3">
                  <c:v>43.1</c:v>
                </c:pt>
              </c:numCache>
            </c:numRef>
          </c:val>
          <c:smooth val="0"/>
        </c:ser>
        <c:dLbls>
          <c:showLegendKey val="0"/>
          <c:showVal val="0"/>
          <c:showCatName val="0"/>
          <c:showSerName val="0"/>
          <c:showPercent val="0"/>
          <c:showBubbleSize val="0"/>
        </c:dLbls>
        <c:dropLines>
          <c:spPr>
            <a:ln w="3175"/>
          </c:spPr>
        </c:dropLines>
        <c:marker val="1"/>
        <c:smooth val="0"/>
        <c:axId val="237578112"/>
        <c:axId val="237579648"/>
      </c:lineChart>
      <c:catAx>
        <c:axId val="237578112"/>
        <c:scaling>
          <c:orientation val="minMax"/>
        </c:scaling>
        <c:delete val="0"/>
        <c:axPos val="b"/>
        <c:numFmt formatCode="General" sourceLinked="1"/>
        <c:majorTickMark val="none"/>
        <c:minorTickMark val="none"/>
        <c:tickLblPos val="nextTo"/>
        <c:txPr>
          <a:bodyPr/>
          <a:lstStyle/>
          <a:p>
            <a:pPr>
              <a:defRPr sz="900">
                <a:latin typeface="Arial" pitchFamily="34" charset="0"/>
                <a:cs typeface="Arial" pitchFamily="34" charset="0"/>
              </a:defRPr>
            </a:pPr>
            <a:endParaRPr lang="cs-CZ"/>
          </a:p>
        </c:txPr>
        <c:crossAx val="237579648"/>
        <c:crosses val="autoZero"/>
        <c:auto val="1"/>
        <c:lblAlgn val="ctr"/>
        <c:lblOffset val="100"/>
        <c:noMultiLvlLbl val="0"/>
      </c:catAx>
      <c:valAx>
        <c:axId val="237579648"/>
        <c:scaling>
          <c:orientation val="minMax"/>
        </c:scaling>
        <c:delete val="0"/>
        <c:axPos val="l"/>
        <c:majorGridlines/>
        <c:numFmt formatCode="General" sourceLinked="1"/>
        <c:majorTickMark val="out"/>
        <c:minorTickMark val="none"/>
        <c:tickLblPos val="nextTo"/>
        <c:txPr>
          <a:bodyPr/>
          <a:lstStyle/>
          <a:p>
            <a:pPr>
              <a:defRPr sz="900">
                <a:latin typeface="Arial" pitchFamily="34" charset="0"/>
                <a:cs typeface="Arial" pitchFamily="34" charset="0"/>
              </a:defRPr>
            </a:pPr>
            <a:endParaRPr lang="cs-CZ"/>
          </a:p>
        </c:txPr>
        <c:crossAx val="237578112"/>
        <c:crosses val="autoZero"/>
        <c:crossBetween val="between"/>
      </c:valAx>
    </c:plotArea>
    <c:legend>
      <c:legendPos val="t"/>
      <c:layout/>
      <c:overlay val="0"/>
      <c:txPr>
        <a:bodyPr/>
        <a:lstStyle/>
        <a:p>
          <a:pPr>
            <a:defRPr sz="900">
              <a:latin typeface="Arial" pitchFamily="34" charset="0"/>
              <a:cs typeface="Arial" pitchFamily="34" charset="0"/>
            </a:defRPr>
          </a:pPr>
          <a:endParaRPr lang="cs-CZ"/>
        </a:p>
      </c:txPr>
    </c:legend>
    <c:plotVisOnly val="1"/>
    <c:dispBlanksAs val="gap"/>
    <c:showDLblsOverMax val="0"/>
  </c:chart>
  <c:spPr>
    <a:ln w="25400">
      <a:solidFill>
        <a:schemeClr val="accent1"/>
      </a:solidFill>
    </a:ln>
    <a:scene3d>
      <a:camera prst="orthographicFront"/>
      <a:lightRig rig="threePt" dir="t"/>
    </a:scene3d>
  </c:sp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2C4C-EB1C-4F1D-B3D1-9B12E8CC5C7D}"/>
</file>

<file path=customXml/itemProps2.xml><?xml version="1.0" encoding="utf-8"?>
<ds:datastoreItem xmlns:ds="http://schemas.openxmlformats.org/officeDocument/2006/customXml" ds:itemID="{1A878EE9-BED6-42F9-A590-F3EE575DCD59}"/>
</file>

<file path=customXml/itemProps3.xml><?xml version="1.0" encoding="utf-8"?>
<ds:datastoreItem xmlns:ds="http://schemas.openxmlformats.org/officeDocument/2006/customXml" ds:itemID="{DA165713-7E8C-46B9-9280-6E7B9172AE6D}"/>
</file>

<file path=customXml/itemProps4.xml><?xml version="1.0" encoding="utf-8"?>
<ds:datastoreItem xmlns:ds="http://schemas.openxmlformats.org/officeDocument/2006/customXml" ds:itemID="{03742BE2-B9FF-42FE-9A10-4329AEA9EAF5}"/>
</file>

<file path=customXml/itemProps5.xml><?xml version="1.0" encoding="utf-8"?>
<ds:datastoreItem xmlns:ds="http://schemas.openxmlformats.org/officeDocument/2006/customXml" ds:itemID="{1BD24D1F-96F2-4352-A877-6C76AE347335}"/>
</file>

<file path=customXml/itemProps6.xml><?xml version="1.0" encoding="utf-8"?>
<ds:datastoreItem xmlns:ds="http://schemas.openxmlformats.org/officeDocument/2006/customXml" ds:itemID="{E7C2DB06-9EB2-4E03-AD66-07DAFA90DDE7}"/>
</file>

<file path=docProps/app.xml><?xml version="1.0" encoding="utf-8"?>
<Properties xmlns="http://schemas.openxmlformats.org/officeDocument/2006/extended-properties" xmlns:vt="http://schemas.openxmlformats.org/officeDocument/2006/docPropsVTypes">
  <Template>Normal</Template>
  <TotalTime>185</TotalTime>
  <Pages>16</Pages>
  <Words>5762</Words>
  <Characters>34000</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Kontrolní závěr z kontrolní akce NKÚ č. 11/07</vt:lpstr>
    </vt:vector>
  </TitlesOfParts>
  <Company>NKU</Company>
  <LinksUpToDate>false</LinksUpToDate>
  <CharactersWithSpaces>39683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Kontrolní závěr z kontrolní akce NKÚ č. 12/12</dc:title>
  <dc:creator>PALIZA Michal</dc:creator>
  <cp:lastModifiedBy>POKORNÁ Jana</cp:lastModifiedBy>
  <cp:revision>13</cp:revision>
  <cp:lastPrinted>2013-04-30T05:46:00Z</cp:lastPrinted>
  <dcterms:created xsi:type="dcterms:W3CDTF">2013-04-25T06:55:00Z</dcterms:created>
  <dcterms:modified xsi:type="dcterms:W3CDTF">2013-04-30T06:06:00Z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286/13-NKU200/110/13</vt:lpwstr>
  </property>
  <property fmtid="{D5CDD505-2E9C-101B-9397-08002B2CF9AE}" pid="3" name="CJ_Spis_Pisemnost">
    <vt:lpwstr>CJ/SPIS/ROK</vt:lpwstr>
  </property>
  <property fmtid="{D5CDD505-2E9C-101B-9397-08002B2CF9AE}" pid="4" name="ContentTypeId">
    <vt:lpwstr>0x0101002F7A625AE9F5AB4A939F92BCAA7FEC02</vt:lpwstr>
  </property>
  <property fmtid="{D5CDD505-2E9C-101B-9397-08002B2CF9AE}" pid="5" name="DatumPlatnosti_PisemnostTypZpristupneniInformaciZOSZ_Pisemnost">
    <vt:lpwstr>ZOSZ_DatumPlatnosti</vt:lpwstr>
  </property>
  <property fmtid="{D5CDD505-2E9C-101B-9397-08002B2CF9AE}" pid="6" name="DisplayName_SpisovyUzel_PoziceZodpo_Pisemnost">
    <vt:lpwstr>200</vt:lpwstr>
  </property>
  <property fmtid="{D5CDD505-2E9C-101B-9397-08002B2CF9AE}" pid="7" name="EC_Pisemnost">
    <vt:lpwstr>13-3211</vt:lpwstr>
  </property>
  <property fmtid="{D5CDD505-2E9C-101B-9397-08002B2CF9AE}" pid="8" name="Key_BarCode_Pisemnost">
    <vt:lpwstr>*B000174561*</vt:lpwstr>
  </property>
  <property fmtid="{D5CDD505-2E9C-101B-9397-08002B2CF9AE}" pid="9" name="Odkaz">
    <vt:lpwstr>ODKAZ</vt:lpwstr>
  </property>
  <property fmtid="{D5CDD505-2E9C-101B-9397-08002B2CF9AE}" pid="10" name="Password_PisemnostTypZpristupneniInformaciZOSZ_Pisemnost">
    <vt:lpwstr>ZOSZ_Password</vt:lpwstr>
  </property>
  <property fmtid="{D5CDD505-2E9C-101B-9397-08002B2CF9AE}" pid="11" name="SZ_Spis_Pisemnost">
    <vt:lpwstr>286/13</vt:lpwstr>
  </property>
  <property fmtid="{D5CDD505-2E9C-101B-9397-08002B2CF9AE}" pid="12" name="SkartacniZnakLhuta_PisemnostZnak">
    <vt:lpwstr>/0</vt:lpwstr>
  </property>
  <property fmtid="{D5CDD505-2E9C-101B-9397-08002B2CF9AE}" pid="13" name="TEST">
    <vt:lpwstr>testovací pole</vt:lpwstr>
  </property>
  <property fmtid="{D5CDD505-2E9C-101B-9397-08002B2CF9AE}" pid="14" name="UserName_PisemnostTypZpristupneniInformaciZOSZ_Pisemnost">
    <vt:lpwstr>ZOSZ_UserName</vt:lpwstr>
  </property>
  <property fmtid="{D5CDD505-2E9C-101B-9397-08002B2CF9AE}" pid="15" name="Vec_Pisemnost">
    <vt:lpwstr>KZ 12/12 - připomínkové řízení</vt:lpwstr>
  </property>
  <property fmtid="{D5CDD505-2E9C-101B-9397-08002B2CF9AE}" pid="16" name="Zkratka_SpisovyUzel_PoziceZodpo_Pisemnost">
    <vt:lpwstr>200</vt:lpwstr>
  </property>
  <property fmtid="{D5CDD505-2E9C-101B-9397-08002B2CF9AE}" pid="17" name="Contact_PostaOdes_All">
    <vt:lpwstr/>
  </property>
  <property fmtid="{D5CDD505-2E9C-101B-9397-08002B2CF9AE}" pid="18" name="PocetListu_Pisemnost">
    <vt:lpwstr>1/3</vt:lpwstr>
  </property>
  <property fmtid="{D5CDD505-2E9C-101B-9397-08002B2CF9AE}" pid="19" name="DatumPoriz_Pisemnost">
    <vt:lpwstr>26.2.2013</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3</vt:lpwstr>
  </property>
  <property fmtid="{D5CDD505-2E9C-101B-9397-08002B2CF9AE}" pid="23" name="TypPrilohy_Pisemnost">
    <vt:lpwstr>dokument ve Wordu, dokumenty v Excelu</vt:lpwstr>
  </property>
  <property fmtid="{D5CDD505-2E9C-101B-9397-08002B2CF9AE}" pid="24" name="DisplayName_UserPoriz_Pisemnost">
    <vt:lpwstr>Ivana Růžičková</vt:lpwstr>
  </property>
  <property fmtid="{D5CDD505-2E9C-101B-9397-08002B2CF9AE}" pid="25" name="Podpis">
    <vt:lpwstr/>
  </property>
  <property fmtid="{D5CDD505-2E9C-101B-9397-08002B2CF9AE}" pid="26" name="SmlouvaCislo">
    <vt:lpwstr>ČÍSLO SMLOUVY</vt:lpwstr>
  </property>
</Properties>
</file>