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5" w:rsidRPr="00EC672E" w:rsidRDefault="004C6055" w:rsidP="000F3378">
      <w:pPr>
        <w:jc w:val="center"/>
        <w:rPr>
          <w:rFonts w:ascii="Arial" w:hAnsi="Arial" w:cs="Arial"/>
          <w:sz w:val="22"/>
        </w:rPr>
      </w:pPr>
      <w:r w:rsidRPr="00EC672E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0C1955C7" wp14:editId="42FC7A40">
            <wp:simplePos x="0" y="0"/>
            <wp:positionH relativeFrom="column">
              <wp:posOffset>2519680</wp:posOffset>
            </wp:positionH>
            <wp:positionV relativeFrom="paragraph">
              <wp:posOffset>-185420</wp:posOffset>
            </wp:positionV>
            <wp:extent cx="791210" cy="559435"/>
            <wp:effectExtent l="0" t="0" r="889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055" w:rsidRPr="00EC672E" w:rsidRDefault="004C6055" w:rsidP="000F3378">
      <w:pPr>
        <w:jc w:val="center"/>
        <w:rPr>
          <w:rFonts w:ascii="Arial" w:hAnsi="Arial" w:cs="Arial"/>
          <w:sz w:val="22"/>
        </w:rPr>
      </w:pPr>
    </w:p>
    <w:p w:rsidR="004C6055" w:rsidRPr="00EC672E" w:rsidRDefault="004C6055" w:rsidP="000F3378">
      <w:pPr>
        <w:jc w:val="center"/>
        <w:rPr>
          <w:rFonts w:ascii="Arial" w:hAnsi="Arial" w:cs="Arial"/>
          <w:sz w:val="22"/>
        </w:rPr>
      </w:pPr>
    </w:p>
    <w:p w:rsidR="004C6055" w:rsidRPr="00EC672E" w:rsidRDefault="004C6055" w:rsidP="00A37297">
      <w:pPr>
        <w:jc w:val="center"/>
        <w:rPr>
          <w:rFonts w:ascii="Arial" w:hAnsi="Arial" w:cs="Arial"/>
          <w:b/>
          <w:sz w:val="28"/>
          <w:szCs w:val="28"/>
        </w:rPr>
      </w:pPr>
      <w:r w:rsidRPr="00EC672E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4E6B66" w:rsidRPr="00EC672E" w:rsidRDefault="004E6B66" w:rsidP="00A37297">
      <w:pPr>
        <w:jc w:val="center"/>
        <w:rPr>
          <w:rFonts w:ascii="Arial" w:hAnsi="Arial" w:cs="Arial"/>
          <w:b/>
          <w:szCs w:val="24"/>
        </w:rPr>
      </w:pPr>
    </w:p>
    <w:p w:rsidR="004E6B66" w:rsidRPr="00EC672E" w:rsidRDefault="004E6B66" w:rsidP="00A37297">
      <w:pPr>
        <w:pStyle w:val="NadpisKZ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672E">
        <w:rPr>
          <w:rFonts w:ascii="Arial" w:hAnsi="Arial" w:cs="Arial"/>
          <w:b/>
          <w:sz w:val="28"/>
          <w:szCs w:val="28"/>
        </w:rPr>
        <w:t>12/14</w:t>
      </w:r>
    </w:p>
    <w:p w:rsidR="000F3378" w:rsidRPr="00EC672E" w:rsidRDefault="000F3378" w:rsidP="00A37297">
      <w:pPr>
        <w:pStyle w:val="NadpisKZ"/>
        <w:spacing w:after="0" w:line="240" w:lineRule="auto"/>
        <w:jc w:val="center"/>
        <w:rPr>
          <w:rFonts w:ascii="Arial" w:hAnsi="Arial" w:cs="Arial"/>
          <w:b/>
        </w:rPr>
      </w:pPr>
    </w:p>
    <w:p w:rsidR="004E6B66" w:rsidRPr="00EC672E" w:rsidRDefault="004E6B66" w:rsidP="00A37297">
      <w:pPr>
        <w:pStyle w:val="NadpisKZ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672E">
        <w:rPr>
          <w:rFonts w:ascii="Arial" w:hAnsi="Arial" w:cs="Arial"/>
          <w:b/>
          <w:sz w:val="28"/>
          <w:szCs w:val="28"/>
        </w:rPr>
        <w:t xml:space="preserve">Závěrečný účet kapitoly státního rozpočtu </w:t>
      </w:r>
      <w:r w:rsidR="000F3378" w:rsidRPr="00EC672E">
        <w:rPr>
          <w:rFonts w:ascii="Arial" w:hAnsi="Arial" w:cs="Arial"/>
          <w:b/>
          <w:sz w:val="28"/>
          <w:szCs w:val="28"/>
        </w:rPr>
        <w:br/>
      </w:r>
      <w:r w:rsidRPr="00EC672E">
        <w:rPr>
          <w:rFonts w:ascii="Arial" w:hAnsi="Arial" w:cs="Arial"/>
          <w:b/>
          <w:sz w:val="28"/>
          <w:szCs w:val="28"/>
        </w:rPr>
        <w:t>Ministerstvo dopravy za rok 2011,</w:t>
      </w:r>
      <w:r w:rsidR="000F3378" w:rsidRPr="00EC672E">
        <w:rPr>
          <w:rFonts w:ascii="Arial" w:hAnsi="Arial" w:cs="Arial"/>
          <w:b/>
          <w:sz w:val="28"/>
          <w:szCs w:val="28"/>
        </w:rPr>
        <w:br/>
      </w:r>
      <w:r w:rsidRPr="00EC672E">
        <w:rPr>
          <w:rFonts w:ascii="Arial" w:hAnsi="Arial" w:cs="Arial"/>
          <w:b/>
          <w:sz w:val="28"/>
          <w:szCs w:val="28"/>
        </w:rPr>
        <w:t>účetní závěrka a finanční výkazy Ministerstva dopravy za rok 2011</w:t>
      </w:r>
    </w:p>
    <w:p w:rsidR="004E6B66" w:rsidRPr="00EC672E" w:rsidRDefault="004E6B66" w:rsidP="00A37297">
      <w:pPr>
        <w:pStyle w:val="NadpisKZ"/>
        <w:spacing w:after="0" w:line="240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0F3378" w:rsidRPr="00EC672E" w:rsidRDefault="000F3378" w:rsidP="00A37297">
      <w:pPr>
        <w:pStyle w:val="NadpisKZ"/>
        <w:spacing w:after="0" w:line="240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EC672E">
        <w:rPr>
          <w:rFonts w:ascii="Arial" w:hAnsi="Arial" w:cs="Arial"/>
          <w:szCs w:val="22"/>
        </w:rPr>
        <w:t xml:space="preserve">Kontrolní akce byla zařazena do plánu kontrolní činnosti Nejvyššího kontrolního úřadu (dále jen „NKÚ“) na rok 2012 pod číslem 12/14. Kontrolní akci řídil a kontrolní závěr vypracoval člen NKÚ Ing. Daniel Reisiegel, </w:t>
      </w:r>
      <w:proofErr w:type="spellStart"/>
      <w:r w:rsidRPr="00EC672E">
        <w:rPr>
          <w:rFonts w:ascii="Arial" w:hAnsi="Arial" w:cs="Arial"/>
          <w:szCs w:val="22"/>
        </w:rPr>
        <w:t>MPA</w:t>
      </w:r>
      <w:proofErr w:type="spellEnd"/>
      <w:r w:rsidRPr="00EC672E">
        <w:rPr>
          <w:rFonts w:ascii="Arial" w:hAnsi="Arial" w:cs="Arial"/>
          <w:szCs w:val="22"/>
        </w:rPr>
        <w:t>.</w:t>
      </w:r>
    </w:p>
    <w:p w:rsidR="00842B48" w:rsidRPr="00EC672E" w:rsidRDefault="00842B48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Cílem kontroly bylo prověřit, zda Ministerstvo dopravy při sestavení závěrečného účtu a při vedení účetnictví a sestavení účetní závěrky a finančních výkazů za rok 2011 postupovalo v souladu s příslušnými právními předpisy.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Kontrolovanou osobou bylo Ministerstvo dopravy (dále také „MD“).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CC0FB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Kontrolováno bylo období roku</w:t>
      </w:r>
      <w:r w:rsidR="004E6B66" w:rsidRPr="00EC672E">
        <w:rPr>
          <w:rFonts w:ascii="Arial" w:hAnsi="Arial" w:cs="Arial"/>
          <w:sz w:val="22"/>
        </w:rPr>
        <w:t xml:space="preserve"> 2011 včetně souvisejících skutečností z let předchozích a</w:t>
      </w:r>
      <w:r w:rsidR="00D43102" w:rsidRPr="00EC672E">
        <w:rPr>
          <w:rFonts w:ascii="Arial" w:hAnsi="Arial" w:cs="Arial"/>
        </w:rPr>
        <w:t> </w:t>
      </w:r>
      <w:r w:rsidR="004E6B66" w:rsidRPr="00EC672E">
        <w:rPr>
          <w:rFonts w:ascii="Arial" w:hAnsi="Arial" w:cs="Arial"/>
          <w:sz w:val="22"/>
        </w:rPr>
        <w:t>z roku 2012.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EC672E">
        <w:rPr>
          <w:rFonts w:ascii="Arial" w:hAnsi="Arial" w:cs="Arial"/>
          <w:szCs w:val="22"/>
        </w:rPr>
        <w:t xml:space="preserve">Kontrola byla prováděna v době od května do října roku 2012. </w:t>
      </w:r>
    </w:p>
    <w:p w:rsidR="00842B48" w:rsidRPr="00EC672E" w:rsidRDefault="00842B48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EC672E">
        <w:rPr>
          <w:rFonts w:ascii="Arial" w:hAnsi="Arial" w:cs="Arial"/>
          <w:szCs w:val="22"/>
        </w:rPr>
        <w:t xml:space="preserve">Námitky proti kontrolnímu protokolu MD nepodalo. </w:t>
      </w:r>
    </w:p>
    <w:p w:rsidR="00842B48" w:rsidRPr="00EC672E" w:rsidRDefault="00842B48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  <w:proofErr w:type="gramStart"/>
      <w:r w:rsidRPr="00EC672E">
        <w:rPr>
          <w:rFonts w:ascii="Arial" w:hAnsi="Arial" w:cs="Arial"/>
          <w:b/>
          <w:bCs/>
          <w:i/>
          <w:iCs/>
          <w:spacing w:val="60"/>
          <w:szCs w:val="22"/>
        </w:rPr>
        <w:t>Kolegium</w:t>
      </w:r>
      <w:r w:rsidR="000F3378" w:rsidRPr="00EC672E">
        <w:rPr>
          <w:rFonts w:ascii="Arial" w:hAnsi="Arial" w:cs="Arial"/>
          <w:b/>
          <w:bCs/>
          <w:i/>
          <w:iCs/>
          <w:szCs w:val="22"/>
        </w:rPr>
        <w:t xml:space="preserve">  </w:t>
      </w:r>
      <w:r w:rsidRPr="00EC672E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EC672E">
        <w:rPr>
          <w:rFonts w:ascii="Arial" w:hAnsi="Arial" w:cs="Arial"/>
          <w:b/>
          <w:bCs/>
          <w:i/>
          <w:iCs/>
          <w:spacing w:val="60"/>
          <w:szCs w:val="22"/>
        </w:rPr>
        <w:t>NKÚ</w:t>
      </w:r>
      <w:proofErr w:type="gramEnd"/>
      <w:r w:rsidRPr="00EC672E">
        <w:rPr>
          <w:rFonts w:ascii="Arial" w:hAnsi="Arial" w:cs="Arial"/>
          <w:szCs w:val="22"/>
        </w:rPr>
        <w:t xml:space="preserve">   na svém </w:t>
      </w:r>
      <w:r w:rsidR="00D43102" w:rsidRPr="00EC672E">
        <w:rPr>
          <w:rFonts w:ascii="Arial" w:hAnsi="Arial" w:cs="Arial"/>
          <w:szCs w:val="22"/>
        </w:rPr>
        <w:t xml:space="preserve">II. </w:t>
      </w:r>
      <w:r w:rsidRPr="00EC672E">
        <w:rPr>
          <w:rFonts w:ascii="Arial" w:hAnsi="Arial" w:cs="Arial"/>
          <w:szCs w:val="22"/>
        </w:rPr>
        <w:t xml:space="preserve">zasedání, konaném dne </w:t>
      </w:r>
      <w:r w:rsidR="00D43102" w:rsidRPr="00EC672E">
        <w:rPr>
          <w:rFonts w:ascii="Arial" w:hAnsi="Arial" w:cs="Arial"/>
          <w:szCs w:val="22"/>
        </w:rPr>
        <w:t>28. ledna 2013,</w:t>
      </w:r>
    </w:p>
    <w:p w:rsidR="004E6B66" w:rsidRPr="00EC672E" w:rsidRDefault="004E6B66" w:rsidP="00A37297">
      <w:pPr>
        <w:pStyle w:val="Normlnweb"/>
        <w:rPr>
          <w:rFonts w:ascii="Arial" w:hAnsi="Arial" w:cs="Arial"/>
          <w:sz w:val="22"/>
          <w:szCs w:val="22"/>
        </w:rPr>
      </w:pPr>
      <w:proofErr w:type="gramStart"/>
      <w:r w:rsidRPr="00EC672E"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>schválilo</w:t>
      </w:r>
      <w:r w:rsidRPr="00EC672E">
        <w:rPr>
          <w:rFonts w:ascii="Arial" w:hAnsi="Arial" w:cs="Arial"/>
          <w:sz w:val="22"/>
          <w:szCs w:val="22"/>
        </w:rPr>
        <w:t xml:space="preserve">   usnesením</w:t>
      </w:r>
      <w:proofErr w:type="gramEnd"/>
      <w:r w:rsidRPr="00EC672E">
        <w:rPr>
          <w:rFonts w:ascii="Arial" w:hAnsi="Arial" w:cs="Arial"/>
          <w:sz w:val="22"/>
          <w:szCs w:val="22"/>
        </w:rPr>
        <w:t xml:space="preserve"> č. </w:t>
      </w:r>
      <w:r w:rsidR="00842B48" w:rsidRPr="00EC672E">
        <w:rPr>
          <w:rFonts w:ascii="Arial" w:hAnsi="Arial" w:cs="Arial"/>
          <w:sz w:val="22"/>
          <w:szCs w:val="22"/>
        </w:rPr>
        <w:t>8</w:t>
      </w:r>
      <w:r w:rsidR="00D43102" w:rsidRPr="00EC672E">
        <w:rPr>
          <w:rFonts w:ascii="Arial" w:hAnsi="Arial" w:cs="Arial"/>
          <w:sz w:val="22"/>
          <w:szCs w:val="22"/>
        </w:rPr>
        <w:t>/II/2013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  <w:proofErr w:type="gramStart"/>
      <w:r w:rsidRPr="00EC672E">
        <w:rPr>
          <w:rFonts w:ascii="Arial" w:hAnsi="Arial" w:cs="Arial"/>
          <w:b/>
          <w:bCs/>
          <w:i/>
          <w:iCs/>
          <w:spacing w:val="60"/>
          <w:sz w:val="22"/>
        </w:rPr>
        <w:t>kontrolní</w:t>
      </w:r>
      <w:r w:rsidRPr="00EC672E">
        <w:rPr>
          <w:rFonts w:ascii="Arial" w:hAnsi="Arial" w:cs="Arial"/>
          <w:b/>
          <w:bCs/>
          <w:i/>
          <w:iCs/>
          <w:sz w:val="22"/>
        </w:rPr>
        <w:t xml:space="preserve">   </w:t>
      </w:r>
      <w:r w:rsidRPr="00EC672E">
        <w:rPr>
          <w:rFonts w:ascii="Arial" w:hAnsi="Arial" w:cs="Arial"/>
          <w:b/>
          <w:bCs/>
          <w:i/>
          <w:iCs/>
          <w:spacing w:val="60"/>
          <w:sz w:val="22"/>
        </w:rPr>
        <w:t>závěr</w:t>
      </w:r>
      <w:proofErr w:type="gramEnd"/>
      <w:r w:rsidRPr="00EC672E">
        <w:rPr>
          <w:rFonts w:ascii="Arial" w:hAnsi="Arial" w:cs="Arial"/>
          <w:sz w:val="22"/>
        </w:rPr>
        <w:t xml:space="preserve">   v tomto znění: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C11E9A" w:rsidRPr="00EC672E" w:rsidRDefault="00C11E9A" w:rsidP="00A37297">
      <w:pPr>
        <w:jc w:val="center"/>
        <w:rPr>
          <w:rFonts w:ascii="Arial" w:hAnsi="Arial" w:cs="Arial"/>
          <w:b/>
        </w:rPr>
      </w:pPr>
    </w:p>
    <w:p w:rsidR="004E6B66" w:rsidRPr="00EC672E" w:rsidRDefault="004E6B66" w:rsidP="00A37297">
      <w:pPr>
        <w:jc w:val="center"/>
        <w:rPr>
          <w:rFonts w:ascii="Arial" w:hAnsi="Arial" w:cs="Arial"/>
          <w:b/>
        </w:rPr>
      </w:pPr>
      <w:r w:rsidRPr="00EC672E">
        <w:rPr>
          <w:rFonts w:ascii="Arial" w:hAnsi="Arial" w:cs="Arial"/>
          <w:b/>
        </w:rPr>
        <w:t>I. Úvod</w:t>
      </w: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MD bylo zřízeno zákonem č. 2/1969 Sb., o zřízení ministerstev a jiných ústředních orgánů státní správy České republiky. Podle tohoto zákona má MD postavení ústředního orgánu státní správy ve věcech dopravy a odpovídá za tvorbu stát</w:t>
      </w:r>
      <w:r w:rsidR="00D43102" w:rsidRPr="00EC672E">
        <w:rPr>
          <w:rFonts w:ascii="Arial" w:hAnsi="Arial" w:cs="Arial"/>
          <w:sz w:val="22"/>
        </w:rPr>
        <w:t>ní politiky v oblasti dopravy a </w:t>
      </w:r>
      <w:r w:rsidRPr="00EC672E">
        <w:rPr>
          <w:rFonts w:ascii="Arial" w:hAnsi="Arial" w:cs="Arial"/>
          <w:sz w:val="22"/>
        </w:rPr>
        <w:t xml:space="preserve">v rozsahu své působnosti za její uskutečňování. 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MD je také řídícím orgánem </w:t>
      </w:r>
      <w:r w:rsidR="00873D6B">
        <w:rPr>
          <w:rFonts w:ascii="Arial" w:hAnsi="Arial" w:cs="Arial"/>
          <w:sz w:val="22"/>
        </w:rPr>
        <w:t>o</w:t>
      </w:r>
      <w:r w:rsidRPr="00EC672E">
        <w:rPr>
          <w:rFonts w:ascii="Arial" w:hAnsi="Arial" w:cs="Arial"/>
          <w:sz w:val="22"/>
        </w:rPr>
        <w:t xml:space="preserve">peračního programu </w:t>
      </w:r>
      <w:r w:rsidRPr="00EC672E">
        <w:rPr>
          <w:rFonts w:ascii="Arial" w:hAnsi="Arial" w:cs="Arial"/>
          <w:i/>
          <w:sz w:val="22"/>
        </w:rPr>
        <w:t>Doprava</w:t>
      </w:r>
      <w:r w:rsidRPr="00EC672E">
        <w:rPr>
          <w:rFonts w:ascii="Arial" w:hAnsi="Arial" w:cs="Arial"/>
          <w:sz w:val="22"/>
        </w:rPr>
        <w:t xml:space="preserve">, </w:t>
      </w:r>
      <w:r w:rsidR="00B2171D" w:rsidRPr="00EC672E">
        <w:rPr>
          <w:rFonts w:ascii="Arial" w:hAnsi="Arial" w:cs="Arial"/>
          <w:sz w:val="22"/>
        </w:rPr>
        <w:t xml:space="preserve">jehož </w:t>
      </w:r>
      <w:r w:rsidRPr="00EC672E">
        <w:rPr>
          <w:rFonts w:ascii="Arial" w:hAnsi="Arial" w:cs="Arial"/>
          <w:sz w:val="22"/>
        </w:rPr>
        <w:t>prostřednictvím</w:t>
      </w:r>
      <w:r w:rsidR="00D43102" w:rsidRPr="00EC672E">
        <w:rPr>
          <w:rFonts w:ascii="Arial" w:hAnsi="Arial" w:cs="Arial"/>
          <w:sz w:val="22"/>
        </w:rPr>
        <w:t xml:space="preserve"> jsou v období let 2007–</w:t>
      </w:r>
      <w:r w:rsidRPr="00EC672E">
        <w:rPr>
          <w:rFonts w:ascii="Arial" w:hAnsi="Arial" w:cs="Arial"/>
          <w:sz w:val="22"/>
        </w:rPr>
        <w:t>2013 spolufinancovány priority sektoru doprava z </w:t>
      </w:r>
      <w:r w:rsidRPr="00EC672E">
        <w:rPr>
          <w:rFonts w:ascii="Arial" w:hAnsi="Arial" w:cs="Arial"/>
          <w:i/>
          <w:sz w:val="22"/>
        </w:rPr>
        <w:t xml:space="preserve">Evropského fondu pro regionální rozvoj </w:t>
      </w:r>
      <w:r w:rsidRPr="00EC672E">
        <w:rPr>
          <w:rFonts w:ascii="Arial" w:hAnsi="Arial" w:cs="Arial"/>
          <w:sz w:val="22"/>
        </w:rPr>
        <w:t>a z </w:t>
      </w:r>
      <w:r w:rsidRPr="00EC672E">
        <w:rPr>
          <w:rFonts w:ascii="Arial" w:hAnsi="Arial" w:cs="Arial"/>
          <w:i/>
          <w:sz w:val="22"/>
        </w:rPr>
        <w:t>Fondu soudržnosti</w:t>
      </w:r>
      <w:r w:rsidRPr="00EC672E">
        <w:rPr>
          <w:rFonts w:ascii="Arial" w:hAnsi="Arial" w:cs="Arial"/>
          <w:sz w:val="22"/>
        </w:rPr>
        <w:t>. Dohodou o d</w:t>
      </w:r>
      <w:r w:rsidR="00D43102" w:rsidRPr="00EC672E">
        <w:rPr>
          <w:rFonts w:ascii="Arial" w:hAnsi="Arial" w:cs="Arial"/>
          <w:sz w:val="22"/>
        </w:rPr>
        <w:t>elegování některých pravomocí a </w:t>
      </w:r>
      <w:r w:rsidRPr="00EC672E">
        <w:rPr>
          <w:rFonts w:ascii="Arial" w:hAnsi="Arial" w:cs="Arial"/>
          <w:sz w:val="22"/>
        </w:rPr>
        <w:t xml:space="preserve">činností </w:t>
      </w:r>
      <w:r w:rsidR="00873D6B">
        <w:rPr>
          <w:rFonts w:ascii="Arial" w:hAnsi="Arial" w:cs="Arial"/>
          <w:sz w:val="22"/>
        </w:rPr>
        <w:t>ř</w:t>
      </w:r>
      <w:r w:rsidRPr="00EC672E">
        <w:rPr>
          <w:rFonts w:ascii="Arial" w:hAnsi="Arial" w:cs="Arial"/>
          <w:sz w:val="22"/>
        </w:rPr>
        <w:t>íd</w:t>
      </w:r>
      <w:r w:rsidR="00873D6B">
        <w:rPr>
          <w:rFonts w:ascii="Arial" w:hAnsi="Arial" w:cs="Arial"/>
          <w:sz w:val="22"/>
        </w:rPr>
        <w:t>i</w:t>
      </w:r>
      <w:r w:rsidRPr="00EC672E">
        <w:rPr>
          <w:rFonts w:ascii="Arial" w:hAnsi="Arial" w:cs="Arial"/>
          <w:sz w:val="22"/>
        </w:rPr>
        <w:t xml:space="preserve">cího orgánu </w:t>
      </w:r>
      <w:r w:rsidR="00873D6B">
        <w:rPr>
          <w:rFonts w:ascii="Arial" w:hAnsi="Arial" w:cs="Arial"/>
          <w:sz w:val="22"/>
        </w:rPr>
        <w:t>o</w:t>
      </w:r>
      <w:r w:rsidRPr="00EC672E">
        <w:rPr>
          <w:rFonts w:ascii="Arial" w:hAnsi="Arial" w:cs="Arial"/>
          <w:sz w:val="22"/>
        </w:rPr>
        <w:t xml:space="preserve">peračního programu </w:t>
      </w:r>
      <w:r w:rsidRPr="00EC672E">
        <w:rPr>
          <w:rFonts w:ascii="Arial" w:hAnsi="Arial" w:cs="Arial"/>
          <w:i/>
          <w:sz w:val="22"/>
        </w:rPr>
        <w:t xml:space="preserve">Doprava </w:t>
      </w:r>
      <w:r w:rsidRPr="00EC672E">
        <w:rPr>
          <w:rFonts w:ascii="Arial" w:hAnsi="Arial" w:cs="Arial"/>
          <w:sz w:val="22"/>
        </w:rPr>
        <w:t xml:space="preserve">uzavřenou dne 24. </w:t>
      </w:r>
      <w:r w:rsidR="00D43102" w:rsidRPr="00EC672E">
        <w:rPr>
          <w:rFonts w:ascii="Arial" w:hAnsi="Arial" w:cs="Arial"/>
          <w:sz w:val="22"/>
        </w:rPr>
        <w:t>září</w:t>
      </w:r>
      <w:r w:rsidRPr="00EC672E">
        <w:rPr>
          <w:rFonts w:ascii="Arial" w:hAnsi="Arial" w:cs="Arial"/>
          <w:sz w:val="22"/>
        </w:rPr>
        <w:t xml:space="preserve"> 2007 byl jako zprostředkující subjekt stanoven Státní fond dopravní infrastruktury (dále také „</w:t>
      </w:r>
      <w:proofErr w:type="spellStart"/>
      <w:r w:rsidRPr="00EC672E">
        <w:rPr>
          <w:rFonts w:ascii="Arial" w:hAnsi="Arial" w:cs="Arial"/>
          <w:sz w:val="22"/>
        </w:rPr>
        <w:t>SFDI</w:t>
      </w:r>
      <w:proofErr w:type="spellEnd"/>
      <w:r w:rsidRPr="00EC672E">
        <w:rPr>
          <w:rFonts w:ascii="Arial" w:hAnsi="Arial" w:cs="Arial"/>
          <w:sz w:val="22"/>
        </w:rPr>
        <w:t>“).</w:t>
      </w:r>
    </w:p>
    <w:p w:rsidR="00842B48" w:rsidRDefault="00842B48" w:rsidP="00A37297">
      <w:pPr>
        <w:rPr>
          <w:rFonts w:ascii="Arial" w:hAnsi="Arial" w:cs="Arial"/>
          <w:sz w:val="22"/>
        </w:rPr>
      </w:pPr>
    </w:p>
    <w:p w:rsidR="006651F7" w:rsidRPr="00EC672E" w:rsidRDefault="006651F7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lastRenderedPageBreak/>
        <w:t>MD je v souladu se zákonem č. 219/2000 Sb., o majetku České republiky a jejím vystupování v právních vztazích (dále jen „zákon o majetku ČR“)</w:t>
      </w:r>
      <w:r w:rsidR="0067476E" w:rsidRPr="00EC672E">
        <w:rPr>
          <w:rFonts w:ascii="Arial" w:hAnsi="Arial" w:cs="Arial"/>
          <w:sz w:val="22"/>
        </w:rPr>
        <w:t>,</w:t>
      </w:r>
      <w:r w:rsidRPr="00EC672E">
        <w:rPr>
          <w:rFonts w:ascii="Arial" w:hAnsi="Arial" w:cs="Arial"/>
          <w:sz w:val="22"/>
        </w:rPr>
        <w:t xml:space="preserve"> organizační složkou státu (dále také „</w:t>
      </w:r>
      <w:proofErr w:type="spellStart"/>
      <w:r w:rsidRPr="00EC672E">
        <w:rPr>
          <w:rFonts w:ascii="Arial" w:hAnsi="Arial" w:cs="Arial"/>
          <w:sz w:val="22"/>
        </w:rPr>
        <w:t>OSS</w:t>
      </w:r>
      <w:proofErr w:type="spellEnd"/>
      <w:r w:rsidRPr="00EC672E">
        <w:rPr>
          <w:rFonts w:ascii="Arial" w:hAnsi="Arial" w:cs="Arial"/>
          <w:sz w:val="22"/>
        </w:rPr>
        <w:t xml:space="preserve">“) a dle zákona č. 563/1991 Sb., o účetnictví (dále </w:t>
      </w:r>
      <w:r w:rsidR="00873D6B">
        <w:rPr>
          <w:rFonts w:ascii="Arial" w:hAnsi="Arial" w:cs="Arial"/>
          <w:sz w:val="22"/>
        </w:rPr>
        <w:t xml:space="preserve">také </w:t>
      </w:r>
      <w:r w:rsidRPr="00EC672E">
        <w:rPr>
          <w:rFonts w:ascii="Arial" w:hAnsi="Arial" w:cs="Arial"/>
          <w:sz w:val="22"/>
        </w:rPr>
        <w:t>„zákon o</w:t>
      </w:r>
      <w:r w:rsidR="002F5F9C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účetnictví“)</w:t>
      </w:r>
      <w:r w:rsidR="0067476E" w:rsidRPr="00EC672E">
        <w:rPr>
          <w:rFonts w:ascii="Arial" w:hAnsi="Arial" w:cs="Arial"/>
          <w:sz w:val="22"/>
        </w:rPr>
        <w:t>,</w:t>
      </w:r>
      <w:r w:rsidRPr="00EC672E">
        <w:rPr>
          <w:rFonts w:ascii="Arial" w:hAnsi="Arial" w:cs="Arial"/>
          <w:sz w:val="22"/>
        </w:rPr>
        <w:t xml:space="preserve"> samostatnou účetní jednotkou. MD je v soulad</w:t>
      </w:r>
      <w:r w:rsidR="00D43102" w:rsidRPr="00EC672E">
        <w:rPr>
          <w:rFonts w:ascii="Arial" w:hAnsi="Arial" w:cs="Arial"/>
          <w:sz w:val="22"/>
        </w:rPr>
        <w:t>u se zákonem č. 218/2000 Sb., o </w:t>
      </w:r>
      <w:r w:rsidRPr="00EC672E">
        <w:rPr>
          <w:rFonts w:ascii="Arial" w:hAnsi="Arial" w:cs="Arial"/>
          <w:sz w:val="22"/>
        </w:rPr>
        <w:t>rozpočtových pravidlech a o změně některých souvisejících zákonů (rozpočtová pravidla)</w:t>
      </w:r>
      <w:r w:rsidR="00CC0FB6" w:rsidRPr="00EC672E">
        <w:rPr>
          <w:rFonts w:ascii="Arial" w:hAnsi="Arial" w:cs="Arial"/>
          <w:sz w:val="22"/>
        </w:rPr>
        <w:t>,</w:t>
      </w:r>
      <w:r w:rsidRPr="00EC672E">
        <w:rPr>
          <w:rFonts w:ascii="Arial" w:hAnsi="Arial" w:cs="Arial"/>
          <w:sz w:val="22"/>
        </w:rPr>
        <w:t xml:space="preserve"> správcem rozpočtové kapitoly 327 </w:t>
      </w:r>
      <w:r w:rsidRPr="00EC672E">
        <w:rPr>
          <w:rFonts w:ascii="Arial" w:hAnsi="Arial" w:cs="Arial"/>
          <w:i/>
          <w:sz w:val="22"/>
        </w:rPr>
        <w:t xml:space="preserve">Ministerstvo dopravy </w:t>
      </w:r>
      <w:r w:rsidRPr="00EC672E">
        <w:rPr>
          <w:rFonts w:ascii="Arial" w:hAnsi="Arial" w:cs="Arial"/>
          <w:sz w:val="22"/>
        </w:rPr>
        <w:t xml:space="preserve">(dále </w:t>
      </w:r>
      <w:r w:rsidR="009D0C0E" w:rsidRPr="00EC672E">
        <w:rPr>
          <w:rFonts w:ascii="Arial" w:hAnsi="Arial" w:cs="Arial"/>
          <w:sz w:val="22"/>
        </w:rPr>
        <w:t>také</w:t>
      </w:r>
      <w:r w:rsidR="00B2171D"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sz w:val="22"/>
        </w:rPr>
        <w:t xml:space="preserve">„kapitola 327 MD“). </w:t>
      </w:r>
    </w:p>
    <w:p w:rsidR="000F3378" w:rsidRPr="00EC672E" w:rsidRDefault="000F337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K datu 31. </w:t>
      </w:r>
      <w:r w:rsidR="00D43102" w:rsidRPr="00EC672E">
        <w:rPr>
          <w:rFonts w:ascii="Arial" w:hAnsi="Arial" w:cs="Arial"/>
          <w:sz w:val="22"/>
        </w:rPr>
        <w:t>prosince</w:t>
      </w:r>
      <w:r w:rsidRPr="00EC672E">
        <w:rPr>
          <w:rFonts w:ascii="Arial" w:hAnsi="Arial" w:cs="Arial"/>
          <w:sz w:val="22"/>
        </w:rPr>
        <w:t xml:space="preserve"> 2011 bylo MD zřizovatelem šesti organizačních složek státu – Úřadu pro civilní letectví, Ústavu pro odborné zjišťování příčin leteckých nehod, Státní plavební správy, Ředitelství vodních cest ČR, Drážního úřadu, Drážní inspekce a dvou příspěvkových organizací – Ředitelství silnic a dálnic ČR a Centra služeb pro silniční dopravu.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V roce 2011 činil podíl příjmů MD na celkovém souhrnu p</w:t>
      </w:r>
      <w:r w:rsidR="00D43102" w:rsidRPr="00EC672E">
        <w:rPr>
          <w:rFonts w:ascii="Arial" w:hAnsi="Arial" w:cs="Arial"/>
          <w:sz w:val="22"/>
        </w:rPr>
        <w:t>říjmů kapitoly 327 MD 99,75 % a </w:t>
      </w:r>
      <w:r w:rsidRPr="00EC672E">
        <w:rPr>
          <w:rFonts w:ascii="Arial" w:hAnsi="Arial" w:cs="Arial"/>
          <w:sz w:val="22"/>
        </w:rPr>
        <w:t>podíl výdajů MD na celkovém souhrnu výdajů kapitoly 327 MD 99,22 %. Podíl aktiv MD na celkovém souhrnu aktiv, resp. pasiv kapitoly 327 MD v roce 2011 činil 22,69 %.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Kontrolovány byly činnosti a skutečnosti, které byly předmětem účetnictví a měly vliv na hodnotu kontrolovaných významných konečných zůstatků účtů v účetní závěrce Ministerstva dopravy za rok 2011, a dále </w:t>
      </w:r>
      <w:r w:rsidR="00B2171D" w:rsidRPr="00EC672E">
        <w:rPr>
          <w:rFonts w:ascii="Arial" w:hAnsi="Arial" w:cs="Arial"/>
          <w:sz w:val="22"/>
        </w:rPr>
        <w:t xml:space="preserve">skutečnosti, </w:t>
      </w:r>
      <w:r w:rsidRPr="00EC672E">
        <w:rPr>
          <w:rFonts w:ascii="Arial" w:hAnsi="Arial" w:cs="Arial"/>
          <w:sz w:val="22"/>
        </w:rPr>
        <w:t xml:space="preserve">které měly vliv na hodnotu významných údajů ve finančních výkazech Ministerstva dopravy za rok 2011 a na závěrečný účet kapitoly 327 </w:t>
      </w:r>
      <w:r w:rsidR="00D43102" w:rsidRPr="00EC672E">
        <w:rPr>
          <w:rFonts w:ascii="Arial" w:hAnsi="Arial" w:cs="Arial"/>
          <w:sz w:val="22"/>
        </w:rPr>
        <w:t>MD za rok </w:t>
      </w:r>
      <w:r w:rsidRPr="00EC672E">
        <w:rPr>
          <w:rFonts w:ascii="Arial" w:hAnsi="Arial" w:cs="Arial"/>
          <w:sz w:val="22"/>
        </w:rPr>
        <w:t xml:space="preserve">2011. 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Kontrola byla provedena u položek účetní závěrky (dále také „</w:t>
      </w:r>
      <w:proofErr w:type="spellStart"/>
      <w:r w:rsidRPr="00EC672E">
        <w:rPr>
          <w:rFonts w:ascii="Arial" w:hAnsi="Arial" w:cs="Arial"/>
          <w:sz w:val="22"/>
        </w:rPr>
        <w:t>ÚZ</w:t>
      </w:r>
      <w:proofErr w:type="spellEnd"/>
      <w:r w:rsidRPr="00EC672E">
        <w:rPr>
          <w:rFonts w:ascii="Arial" w:hAnsi="Arial" w:cs="Arial"/>
          <w:sz w:val="22"/>
        </w:rPr>
        <w:t>“) a finančních výkazů výběrovým způsobem v návaznosti na jejich významnost.</w:t>
      </w: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Tato kontrolní akce svým zaměřením </w:t>
      </w:r>
      <w:r w:rsidR="00CC0FB6" w:rsidRPr="00EC672E">
        <w:rPr>
          <w:rFonts w:ascii="Arial" w:hAnsi="Arial" w:cs="Arial"/>
          <w:sz w:val="22"/>
        </w:rPr>
        <w:t xml:space="preserve">navazuje </w:t>
      </w:r>
      <w:r w:rsidRPr="00EC672E">
        <w:rPr>
          <w:rFonts w:ascii="Arial" w:hAnsi="Arial" w:cs="Arial"/>
          <w:sz w:val="22"/>
        </w:rPr>
        <w:t>na kontrolní akci</w:t>
      </w:r>
      <w:r w:rsidR="00D43102" w:rsidRPr="00EC672E">
        <w:rPr>
          <w:rFonts w:ascii="Arial" w:hAnsi="Arial" w:cs="Arial"/>
          <w:sz w:val="22"/>
        </w:rPr>
        <w:t xml:space="preserve"> </w:t>
      </w:r>
      <w:r w:rsidR="00CC0FB6" w:rsidRPr="00EC672E">
        <w:rPr>
          <w:rFonts w:ascii="Arial" w:hAnsi="Arial" w:cs="Arial"/>
          <w:sz w:val="22"/>
        </w:rPr>
        <w:t xml:space="preserve">NKÚ </w:t>
      </w:r>
      <w:r w:rsidR="00D43102" w:rsidRPr="00EC672E">
        <w:rPr>
          <w:rFonts w:ascii="Arial" w:hAnsi="Arial" w:cs="Arial"/>
          <w:sz w:val="22"/>
        </w:rPr>
        <w:t>č.</w:t>
      </w:r>
      <w:r w:rsidRPr="00EC672E">
        <w:rPr>
          <w:rFonts w:ascii="Arial" w:hAnsi="Arial" w:cs="Arial"/>
          <w:sz w:val="22"/>
        </w:rPr>
        <w:t xml:space="preserve"> 09/22, v</w:t>
      </w:r>
      <w:r w:rsidR="00CC0FB6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 xml:space="preserve">jejímž rámci byly kontrolovány činnosti, majetek a závazky, které byly předmětem účetnictví MD, měly vliv na hodnoty kontrolovaných konečných zůstatků účtů v </w:t>
      </w:r>
      <w:proofErr w:type="spellStart"/>
      <w:r w:rsidRPr="00EC672E">
        <w:rPr>
          <w:rFonts w:ascii="Arial" w:hAnsi="Arial" w:cs="Arial"/>
          <w:sz w:val="22"/>
        </w:rPr>
        <w:t>ÚZ</w:t>
      </w:r>
      <w:proofErr w:type="spellEnd"/>
      <w:r w:rsidR="00842B48" w:rsidRPr="00EC672E">
        <w:rPr>
          <w:rStyle w:val="Znakapoznpodarou"/>
          <w:rFonts w:ascii="Arial" w:hAnsi="Arial" w:cs="Arial"/>
          <w:sz w:val="22"/>
        </w:rPr>
        <w:footnoteReference w:id="2"/>
      </w:r>
      <w:r w:rsidR="00CC0FB6" w:rsidRPr="00EC672E">
        <w:rPr>
          <w:rFonts w:ascii="Arial" w:hAnsi="Arial" w:cs="Arial"/>
          <w:sz w:val="22"/>
        </w:rPr>
        <w:t xml:space="preserve"> k </w:t>
      </w:r>
      <w:r w:rsidRPr="00EC672E">
        <w:rPr>
          <w:rFonts w:ascii="Arial" w:hAnsi="Arial" w:cs="Arial"/>
          <w:sz w:val="22"/>
        </w:rPr>
        <w:t>31.</w:t>
      </w:r>
      <w:r w:rsidR="00CC0FB6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prosinci 2008 a které sloužily jako podklad pro závěrečný účet kapitoly 327 MD za rok 2008.</w:t>
      </w:r>
    </w:p>
    <w:p w:rsidR="004E6B66" w:rsidRPr="00EC672E" w:rsidRDefault="004E6B66" w:rsidP="00A37297">
      <w:pPr>
        <w:rPr>
          <w:rFonts w:ascii="Arial" w:hAnsi="Arial" w:cs="Arial"/>
          <w:sz w:val="22"/>
          <w:highlight w:val="lightGray"/>
        </w:rPr>
      </w:pPr>
    </w:p>
    <w:p w:rsidR="004E6B66" w:rsidRPr="00EC672E" w:rsidRDefault="004E6B66" w:rsidP="001F60CD">
      <w:pPr>
        <w:ind w:left="595" w:hanging="595"/>
        <w:rPr>
          <w:rFonts w:ascii="Arial" w:hAnsi="Arial" w:cs="Arial"/>
          <w:iCs/>
          <w:sz w:val="18"/>
          <w:szCs w:val="18"/>
        </w:rPr>
      </w:pPr>
      <w:r w:rsidRPr="00EC672E">
        <w:rPr>
          <w:rFonts w:ascii="Arial" w:hAnsi="Arial" w:cs="Arial"/>
          <w:b/>
          <w:iCs/>
          <w:sz w:val="18"/>
          <w:szCs w:val="18"/>
        </w:rPr>
        <w:t xml:space="preserve">Pozn.: </w:t>
      </w:r>
      <w:r w:rsidR="001F60CD" w:rsidRPr="00EC672E">
        <w:rPr>
          <w:rFonts w:ascii="Arial" w:hAnsi="Arial" w:cs="Arial"/>
          <w:b/>
          <w:iCs/>
          <w:sz w:val="18"/>
          <w:szCs w:val="18"/>
        </w:rPr>
        <w:tab/>
      </w:r>
      <w:r w:rsidRPr="00EC672E">
        <w:rPr>
          <w:rFonts w:ascii="Arial" w:hAnsi="Arial" w:cs="Arial"/>
          <w:iCs/>
          <w:sz w:val="18"/>
          <w:szCs w:val="18"/>
        </w:rPr>
        <w:t>Všechny právní předpisy uváděné v tomto kontrolním závěru jsou aplikovány ve znění účinném pro kontrolované období.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842B48" w:rsidRPr="00EC672E" w:rsidRDefault="00842B48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jc w:val="center"/>
        <w:rPr>
          <w:rFonts w:ascii="Arial" w:hAnsi="Arial" w:cs="Arial"/>
          <w:b/>
        </w:rPr>
      </w:pPr>
      <w:r w:rsidRPr="00EC672E">
        <w:rPr>
          <w:rFonts w:ascii="Arial" w:hAnsi="Arial" w:cs="Arial"/>
          <w:b/>
        </w:rPr>
        <w:t>II. Skutečnosti zjištěné při kontrole</w:t>
      </w:r>
    </w:p>
    <w:p w:rsidR="004E6B66" w:rsidRPr="00EC672E" w:rsidRDefault="004E6B66" w:rsidP="00A37297">
      <w:pPr>
        <w:rPr>
          <w:rFonts w:ascii="Arial" w:hAnsi="Arial" w:cs="Arial"/>
          <w:sz w:val="22"/>
          <w:highlight w:val="lightGray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1. Účetní závěrka MD k 31. prosinci 2011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  <w:r w:rsidRPr="00EC672E">
        <w:rPr>
          <w:rFonts w:ascii="Arial" w:hAnsi="Arial" w:cs="Arial"/>
          <w:sz w:val="22"/>
        </w:rPr>
        <w:t xml:space="preserve">MD sestavilo </w:t>
      </w:r>
      <w:proofErr w:type="spellStart"/>
      <w:r w:rsidRPr="00EC672E">
        <w:rPr>
          <w:rFonts w:ascii="Arial" w:hAnsi="Arial" w:cs="Arial"/>
          <w:sz w:val="22"/>
        </w:rPr>
        <w:t>ÚZ</w:t>
      </w:r>
      <w:proofErr w:type="spellEnd"/>
      <w:r w:rsidRPr="00EC672E">
        <w:rPr>
          <w:rFonts w:ascii="Arial" w:hAnsi="Arial" w:cs="Arial"/>
          <w:sz w:val="22"/>
        </w:rPr>
        <w:t xml:space="preserve"> v rozsahu dle </w:t>
      </w:r>
      <w:r w:rsidRPr="00EC672E">
        <w:rPr>
          <w:rFonts w:ascii="Arial" w:hAnsi="Arial" w:cs="Arial"/>
          <w:bCs/>
          <w:sz w:val="22"/>
        </w:rPr>
        <w:t xml:space="preserve">§ 18 odst. 1 zákona o účetnictví, tj. sestavilo rozvahu, výkaz zisku a ztráty, přílohu, přehled o peněžních tocích a přehled o změnách vlastního kapitálu. Takto sestavená </w:t>
      </w:r>
      <w:proofErr w:type="spellStart"/>
      <w:r w:rsidRPr="00EC672E">
        <w:rPr>
          <w:rFonts w:ascii="Arial" w:hAnsi="Arial" w:cs="Arial"/>
          <w:bCs/>
          <w:sz w:val="22"/>
        </w:rPr>
        <w:t>ÚZ</w:t>
      </w:r>
      <w:proofErr w:type="spellEnd"/>
      <w:r w:rsidRPr="00EC672E">
        <w:rPr>
          <w:rFonts w:ascii="Arial" w:hAnsi="Arial" w:cs="Arial"/>
          <w:bCs/>
          <w:sz w:val="22"/>
        </w:rPr>
        <w:t xml:space="preserve"> obsahovala náležitosti dle § 18 odst. 2 zákona o účetnictví. 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0F3378">
      <w:pPr>
        <w:tabs>
          <w:tab w:val="left" w:pos="8364"/>
        </w:tabs>
        <w:spacing w:after="40"/>
        <w:rPr>
          <w:rFonts w:ascii="Arial" w:hAnsi="Arial" w:cs="Arial"/>
          <w:sz w:val="22"/>
        </w:rPr>
      </w:pPr>
      <w:r w:rsidRPr="00EC672E">
        <w:rPr>
          <w:rFonts w:ascii="Arial" w:hAnsi="Arial" w:cs="Arial"/>
          <w:b/>
          <w:sz w:val="22"/>
        </w:rPr>
        <w:t>Tabulka č. 1 –</w:t>
      </w:r>
      <w:r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b/>
          <w:sz w:val="22"/>
        </w:rPr>
        <w:t>Základní</w:t>
      </w:r>
      <w:r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b/>
          <w:sz w:val="22"/>
        </w:rPr>
        <w:t xml:space="preserve">údaje účetní závěrky MD k 31. prosinci 2011 </w:t>
      </w:r>
      <w:r w:rsidRPr="00EC672E">
        <w:rPr>
          <w:rFonts w:ascii="Arial" w:hAnsi="Arial" w:cs="Arial"/>
          <w:b/>
          <w:sz w:val="22"/>
        </w:rPr>
        <w:tab/>
        <w:t>(v Kč)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5032"/>
      </w:tblGrid>
      <w:tr w:rsidR="004E6B66" w:rsidRPr="00EC672E" w:rsidTr="007516A4">
        <w:trPr>
          <w:trHeight w:val="283"/>
        </w:trPr>
        <w:tc>
          <w:tcPr>
            <w:tcW w:w="4040" w:type="dxa"/>
            <w:shd w:val="clear" w:color="auto" w:fill="BFBFBF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C672E">
              <w:rPr>
                <w:rFonts w:ascii="Arial" w:hAnsi="Arial" w:cs="Arial"/>
                <w:b/>
                <w:bCs/>
                <w:sz w:val="22"/>
              </w:rPr>
              <w:t>Ukazatel</w:t>
            </w:r>
          </w:p>
        </w:tc>
        <w:tc>
          <w:tcPr>
            <w:tcW w:w="5032" w:type="dxa"/>
            <w:shd w:val="clear" w:color="auto" w:fill="BFBFBF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C672E">
              <w:rPr>
                <w:rFonts w:ascii="Arial" w:hAnsi="Arial" w:cs="Arial"/>
                <w:b/>
                <w:bCs/>
                <w:sz w:val="22"/>
              </w:rPr>
              <w:t>Účetní hodnota</w:t>
            </w:r>
          </w:p>
        </w:tc>
      </w:tr>
      <w:tr w:rsidR="004E6B66" w:rsidRPr="00EC672E" w:rsidTr="000F3378">
        <w:trPr>
          <w:trHeight w:val="283"/>
        </w:trPr>
        <w:tc>
          <w:tcPr>
            <w:tcW w:w="4040" w:type="dxa"/>
            <w:vAlign w:val="center"/>
          </w:tcPr>
          <w:p w:rsidR="004E6B66" w:rsidRPr="00EC672E" w:rsidRDefault="004E6B66" w:rsidP="000F3378">
            <w:pPr>
              <w:spacing w:before="20" w:after="20"/>
              <w:jc w:val="left"/>
              <w:rPr>
                <w:rFonts w:ascii="Arial" w:hAnsi="Arial" w:cs="Arial"/>
                <w:sz w:val="22"/>
                <w:highlight w:val="lightGray"/>
              </w:rPr>
            </w:pPr>
            <w:r w:rsidRPr="00EC672E">
              <w:rPr>
                <w:rFonts w:ascii="Arial" w:hAnsi="Arial" w:cs="Arial"/>
                <w:sz w:val="22"/>
              </w:rPr>
              <w:t>Aktiva (netto)</w:t>
            </w:r>
          </w:p>
        </w:tc>
        <w:tc>
          <w:tcPr>
            <w:tcW w:w="5032" w:type="dxa"/>
            <w:vAlign w:val="center"/>
          </w:tcPr>
          <w:p w:rsidR="004E6B66" w:rsidRPr="00EC672E" w:rsidRDefault="004E6B66" w:rsidP="000F3378">
            <w:pPr>
              <w:spacing w:before="20" w:after="20"/>
              <w:ind w:right="459" w:firstLine="142"/>
              <w:jc w:val="right"/>
              <w:rPr>
                <w:rFonts w:ascii="Arial" w:hAnsi="Arial" w:cs="Arial"/>
                <w:sz w:val="22"/>
                <w:highlight w:val="lightGray"/>
              </w:rPr>
            </w:pPr>
            <w:r w:rsidRPr="00EC672E">
              <w:rPr>
                <w:rFonts w:ascii="Arial" w:hAnsi="Arial" w:cs="Arial"/>
                <w:sz w:val="22"/>
              </w:rPr>
              <w:t>122 025 767 157,48</w:t>
            </w:r>
          </w:p>
        </w:tc>
      </w:tr>
      <w:tr w:rsidR="004E6B66" w:rsidRPr="00EC672E" w:rsidTr="000F3378">
        <w:trPr>
          <w:trHeight w:val="283"/>
        </w:trPr>
        <w:tc>
          <w:tcPr>
            <w:tcW w:w="4040" w:type="dxa"/>
            <w:vAlign w:val="center"/>
          </w:tcPr>
          <w:p w:rsidR="004E6B66" w:rsidRPr="00EC672E" w:rsidRDefault="004E6B66" w:rsidP="000F3378">
            <w:pPr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EC672E">
              <w:rPr>
                <w:rFonts w:ascii="Arial" w:hAnsi="Arial" w:cs="Arial"/>
                <w:sz w:val="22"/>
              </w:rPr>
              <w:t>Pasiva</w:t>
            </w:r>
          </w:p>
        </w:tc>
        <w:tc>
          <w:tcPr>
            <w:tcW w:w="5032" w:type="dxa"/>
            <w:vAlign w:val="center"/>
          </w:tcPr>
          <w:p w:rsidR="004E6B66" w:rsidRPr="00EC672E" w:rsidRDefault="004E6B66" w:rsidP="000F3378">
            <w:pPr>
              <w:spacing w:before="20" w:after="20"/>
              <w:ind w:right="459" w:firstLine="142"/>
              <w:jc w:val="right"/>
              <w:rPr>
                <w:rFonts w:ascii="Arial" w:hAnsi="Arial" w:cs="Arial"/>
                <w:sz w:val="22"/>
                <w:highlight w:val="lightGray"/>
                <w:vertAlign w:val="superscript"/>
              </w:rPr>
            </w:pPr>
            <w:r w:rsidRPr="00EC672E">
              <w:rPr>
                <w:rFonts w:ascii="Arial" w:hAnsi="Arial" w:cs="Arial"/>
                <w:sz w:val="22"/>
              </w:rPr>
              <w:t>122 025 767 157,48</w:t>
            </w:r>
          </w:p>
        </w:tc>
      </w:tr>
      <w:tr w:rsidR="004E6B66" w:rsidRPr="00EC672E" w:rsidTr="000F3378">
        <w:trPr>
          <w:trHeight w:val="283"/>
        </w:trPr>
        <w:tc>
          <w:tcPr>
            <w:tcW w:w="4040" w:type="dxa"/>
            <w:vAlign w:val="center"/>
          </w:tcPr>
          <w:p w:rsidR="004E6B66" w:rsidRPr="00EC672E" w:rsidRDefault="004E6B66" w:rsidP="000F3378">
            <w:pPr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EC672E">
              <w:rPr>
                <w:rFonts w:ascii="Arial" w:hAnsi="Arial" w:cs="Arial"/>
                <w:sz w:val="22"/>
              </w:rPr>
              <w:t>Náklady</w:t>
            </w:r>
          </w:p>
        </w:tc>
        <w:tc>
          <w:tcPr>
            <w:tcW w:w="5032" w:type="dxa"/>
            <w:vAlign w:val="center"/>
          </w:tcPr>
          <w:p w:rsidR="004E6B66" w:rsidRPr="00EC672E" w:rsidRDefault="004E6B66" w:rsidP="000F3378">
            <w:pPr>
              <w:spacing w:before="20" w:after="20"/>
              <w:ind w:right="459" w:firstLine="142"/>
              <w:jc w:val="right"/>
              <w:rPr>
                <w:rFonts w:ascii="Arial" w:hAnsi="Arial" w:cs="Arial"/>
                <w:sz w:val="22"/>
              </w:rPr>
            </w:pPr>
            <w:r w:rsidRPr="00EC672E">
              <w:rPr>
                <w:rFonts w:ascii="Arial" w:hAnsi="Arial" w:cs="Arial"/>
                <w:sz w:val="22"/>
              </w:rPr>
              <w:t>45 529 189 401,17</w:t>
            </w:r>
          </w:p>
        </w:tc>
      </w:tr>
      <w:tr w:rsidR="004E6B66" w:rsidRPr="00EC672E" w:rsidTr="000F3378">
        <w:trPr>
          <w:trHeight w:val="283"/>
        </w:trPr>
        <w:tc>
          <w:tcPr>
            <w:tcW w:w="4040" w:type="dxa"/>
            <w:vAlign w:val="center"/>
          </w:tcPr>
          <w:p w:rsidR="004E6B66" w:rsidRPr="00EC672E" w:rsidRDefault="004E6B66" w:rsidP="000F3378">
            <w:pPr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EC672E">
              <w:rPr>
                <w:rFonts w:ascii="Arial" w:hAnsi="Arial" w:cs="Arial"/>
                <w:sz w:val="22"/>
              </w:rPr>
              <w:t>Výnosy</w:t>
            </w:r>
          </w:p>
        </w:tc>
        <w:tc>
          <w:tcPr>
            <w:tcW w:w="5032" w:type="dxa"/>
            <w:vAlign w:val="center"/>
          </w:tcPr>
          <w:p w:rsidR="004E6B66" w:rsidRPr="00EC672E" w:rsidRDefault="004E6B66" w:rsidP="000F3378">
            <w:pPr>
              <w:spacing w:before="20" w:after="20"/>
              <w:ind w:right="459" w:firstLine="142"/>
              <w:jc w:val="right"/>
              <w:rPr>
                <w:rFonts w:ascii="Arial" w:hAnsi="Arial" w:cs="Arial"/>
                <w:sz w:val="22"/>
                <w:highlight w:val="lightGray"/>
                <w:vertAlign w:val="superscript"/>
              </w:rPr>
            </w:pPr>
            <w:r w:rsidRPr="00EC672E">
              <w:rPr>
                <w:rFonts w:ascii="Arial" w:hAnsi="Arial" w:cs="Arial"/>
                <w:sz w:val="22"/>
              </w:rPr>
              <w:t>34 339 224 069,22</w:t>
            </w:r>
          </w:p>
        </w:tc>
      </w:tr>
    </w:tbl>
    <w:p w:rsidR="004E6B66" w:rsidRPr="00EC672E" w:rsidRDefault="004E6B66" w:rsidP="000F3378">
      <w:pPr>
        <w:pStyle w:val="NormlnKZ"/>
        <w:spacing w:before="40" w:after="0"/>
        <w:ind w:firstLine="0"/>
        <w:rPr>
          <w:rFonts w:ascii="Arial" w:hAnsi="Arial" w:cs="Arial"/>
          <w:b/>
          <w:szCs w:val="22"/>
        </w:rPr>
      </w:pPr>
      <w:r w:rsidRPr="00EC672E">
        <w:rPr>
          <w:rFonts w:ascii="Arial" w:hAnsi="Arial" w:cs="Arial"/>
          <w:b/>
          <w:sz w:val="18"/>
          <w:szCs w:val="18"/>
        </w:rPr>
        <w:t>Zdroj:</w:t>
      </w:r>
      <w:r w:rsidRPr="00EC672E">
        <w:rPr>
          <w:rFonts w:ascii="Arial" w:hAnsi="Arial" w:cs="Arial"/>
          <w:sz w:val="18"/>
          <w:szCs w:val="18"/>
        </w:rPr>
        <w:t xml:space="preserve"> účetní závěrka MD k 31. prosinci 2011</w:t>
      </w:r>
      <w:r w:rsidRPr="00EC672E">
        <w:rPr>
          <w:rFonts w:ascii="Arial" w:hAnsi="Arial" w:cs="Arial"/>
          <w:szCs w:val="22"/>
        </w:rPr>
        <w:t>.</w:t>
      </w: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C11E9A" w:rsidRPr="00EC672E" w:rsidRDefault="00C11E9A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0F3378">
      <w:pPr>
        <w:pStyle w:val="Titulek"/>
        <w:tabs>
          <w:tab w:val="left" w:pos="8364"/>
        </w:tabs>
        <w:spacing w:before="0" w:after="40"/>
        <w:rPr>
          <w:rFonts w:ascii="Arial" w:hAnsi="Arial" w:cs="Arial"/>
          <w:b w:val="0"/>
          <w:sz w:val="22"/>
          <w:szCs w:val="22"/>
        </w:rPr>
      </w:pPr>
      <w:r w:rsidRPr="00EC672E">
        <w:rPr>
          <w:rFonts w:ascii="Arial" w:hAnsi="Arial" w:cs="Arial"/>
          <w:bCs w:val="0"/>
          <w:sz w:val="22"/>
          <w:szCs w:val="22"/>
        </w:rPr>
        <w:lastRenderedPageBreak/>
        <w:t>Tabulka č. 2</w:t>
      </w:r>
      <w:r w:rsidRPr="00EC672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672E">
        <w:rPr>
          <w:rFonts w:ascii="Arial" w:hAnsi="Arial" w:cs="Arial"/>
          <w:bCs w:val="0"/>
          <w:sz w:val="22"/>
          <w:szCs w:val="22"/>
        </w:rPr>
        <w:t>–</w:t>
      </w:r>
      <w:r w:rsidRPr="00EC672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672E">
        <w:rPr>
          <w:rFonts w:ascii="Arial" w:hAnsi="Arial" w:cs="Arial"/>
          <w:sz w:val="22"/>
          <w:szCs w:val="22"/>
        </w:rPr>
        <w:t xml:space="preserve">Údaje za běžné období z výkazu </w:t>
      </w:r>
      <w:r w:rsidRPr="00EC672E">
        <w:rPr>
          <w:rFonts w:ascii="Arial" w:hAnsi="Arial" w:cs="Arial"/>
          <w:iCs/>
          <w:sz w:val="22"/>
          <w:szCs w:val="22"/>
        </w:rPr>
        <w:t>rozvaha</w:t>
      </w:r>
      <w:r w:rsidRPr="00EC672E">
        <w:rPr>
          <w:rFonts w:ascii="Arial" w:hAnsi="Arial" w:cs="Arial"/>
          <w:i/>
          <w:iCs/>
          <w:sz w:val="22"/>
          <w:szCs w:val="22"/>
        </w:rPr>
        <w:t xml:space="preserve"> </w:t>
      </w:r>
      <w:r w:rsidRPr="00EC672E">
        <w:rPr>
          <w:rFonts w:ascii="Arial" w:hAnsi="Arial" w:cs="Arial"/>
          <w:sz w:val="22"/>
          <w:szCs w:val="22"/>
        </w:rPr>
        <w:t xml:space="preserve">k 31. prosinci 2011 </w:t>
      </w:r>
      <w:r w:rsidR="000F3378" w:rsidRPr="00EC672E">
        <w:rPr>
          <w:rFonts w:ascii="Arial" w:hAnsi="Arial" w:cs="Arial"/>
          <w:sz w:val="22"/>
          <w:szCs w:val="22"/>
        </w:rPr>
        <w:tab/>
      </w:r>
      <w:r w:rsidRPr="00EC672E">
        <w:rPr>
          <w:rFonts w:ascii="Arial" w:hAnsi="Arial" w:cs="Arial"/>
          <w:sz w:val="22"/>
          <w:szCs w:val="22"/>
        </w:rPr>
        <w:t>(v Kč)</w:t>
      </w:r>
    </w:p>
    <w:tbl>
      <w:tblPr>
        <w:tblW w:w="9058" w:type="dxa"/>
        <w:jc w:val="center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478"/>
        <w:gridCol w:w="1564"/>
        <w:gridCol w:w="1490"/>
        <w:gridCol w:w="1487"/>
        <w:gridCol w:w="1564"/>
      </w:tblGrid>
      <w:tr w:rsidR="004E6B66" w:rsidRPr="00EC672E" w:rsidTr="007516A4">
        <w:trPr>
          <w:trHeight w:val="227"/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Aktiva (v netto hodnotě)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Pasiva </w:t>
            </w:r>
          </w:p>
        </w:tc>
      </w:tr>
      <w:tr w:rsidR="004E6B66" w:rsidRPr="00EC672E" w:rsidTr="007516A4">
        <w:trPr>
          <w:trHeight w:val="22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Stálá aktiva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Oběžná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Aktiva celkem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Vlastní kapitál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Cizí zdroje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2E">
              <w:rPr>
                <w:rFonts w:ascii="Arial" w:hAnsi="Arial" w:cs="Arial"/>
                <w:b/>
                <w:bCs/>
                <w:sz w:val="16"/>
                <w:szCs w:val="16"/>
              </w:rPr>
              <w:t>Pasiva celkem</w:t>
            </w:r>
          </w:p>
        </w:tc>
      </w:tr>
      <w:tr w:rsidR="004E6B66" w:rsidRPr="00EC672E" w:rsidTr="007516A4">
        <w:trPr>
          <w:trHeight w:val="22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40 633 153 765,86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81 392 613 391,62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122 025 767 157,48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30 850 997 907,01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91 174 769 250,47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122 025 767 157,48</w:t>
            </w:r>
          </w:p>
        </w:tc>
      </w:tr>
    </w:tbl>
    <w:p w:rsidR="004E6B66" w:rsidRPr="00EC672E" w:rsidRDefault="004E6B66" w:rsidP="000F3378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EC672E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EC672E">
        <w:rPr>
          <w:rFonts w:ascii="Arial" w:hAnsi="Arial" w:cs="Arial"/>
          <w:sz w:val="18"/>
          <w:szCs w:val="18"/>
          <w:lang w:eastAsia="cs-CZ"/>
        </w:rPr>
        <w:t xml:space="preserve"> účetní závěrka MD k 31. prosinci 2011.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1F60CD">
      <w:pPr>
        <w:tabs>
          <w:tab w:val="left" w:pos="8505"/>
        </w:tabs>
        <w:spacing w:after="40"/>
        <w:ind w:left="1531" w:right="-142" w:hanging="1531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Tabulka č. 3 – </w:t>
      </w:r>
      <w:r w:rsidR="001F60CD"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sz w:val="22"/>
        </w:rPr>
        <w:t>Údaje za běžné období z výkazu zisku a ztráty k 31. prosinci 2011</w:t>
      </w:r>
      <w:r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bCs/>
          <w:sz w:val="22"/>
        </w:rPr>
        <w:t>(v Kč)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219"/>
      </w:tblGrid>
      <w:tr w:rsidR="004E6B66" w:rsidRPr="00EC672E" w:rsidTr="007516A4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C672E">
              <w:rPr>
                <w:rFonts w:ascii="Arial" w:hAnsi="Arial" w:cs="Arial"/>
                <w:b/>
                <w:bCs/>
                <w:sz w:val="22"/>
              </w:rPr>
              <w:t>Náklady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C672E">
              <w:rPr>
                <w:rFonts w:ascii="Arial" w:hAnsi="Arial" w:cs="Arial"/>
                <w:b/>
                <w:bCs/>
                <w:sz w:val="22"/>
              </w:rPr>
              <w:t>Výnosy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C672E">
              <w:rPr>
                <w:rFonts w:ascii="Arial" w:hAnsi="Arial" w:cs="Arial"/>
                <w:b/>
                <w:bCs/>
                <w:sz w:val="22"/>
              </w:rPr>
              <w:t>Výsledek hospodaření po zdanění</w:t>
            </w:r>
          </w:p>
        </w:tc>
      </w:tr>
      <w:tr w:rsidR="004E6B66" w:rsidRPr="00EC672E" w:rsidTr="007516A4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ind w:right="228"/>
              <w:jc w:val="right"/>
              <w:rPr>
                <w:rFonts w:ascii="Arial" w:hAnsi="Arial" w:cs="Arial"/>
                <w:sz w:val="22"/>
                <w:highlight w:val="lightGray"/>
              </w:rPr>
            </w:pPr>
            <w:r w:rsidRPr="00EC672E">
              <w:rPr>
                <w:rFonts w:ascii="Arial" w:hAnsi="Arial" w:cs="Arial"/>
                <w:sz w:val="22"/>
              </w:rPr>
              <w:t>45 529 189 401,17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4E6B66" w:rsidP="000F3378">
            <w:pPr>
              <w:spacing w:before="20" w:after="20"/>
              <w:ind w:right="228"/>
              <w:jc w:val="right"/>
              <w:rPr>
                <w:rFonts w:ascii="Arial" w:hAnsi="Arial" w:cs="Arial"/>
                <w:sz w:val="22"/>
                <w:highlight w:val="lightGray"/>
              </w:rPr>
            </w:pPr>
            <w:r w:rsidRPr="00EC672E">
              <w:rPr>
                <w:rFonts w:ascii="Arial" w:hAnsi="Arial" w:cs="Arial"/>
                <w:sz w:val="22"/>
              </w:rPr>
              <w:t>34 339 224 069,22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EC672E" w:rsidRDefault="00B2171D" w:rsidP="000F3378">
            <w:pPr>
              <w:spacing w:before="20" w:after="20"/>
              <w:ind w:right="228"/>
              <w:jc w:val="right"/>
              <w:rPr>
                <w:rFonts w:ascii="Arial" w:hAnsi="Arial" w:cs="Arial"/>
                <w:sz w:val="22"/>
              </w:rPr>
            </w:pPr>
            <w:r w:rsidRPr="00EC672E">
              <w:rPr>
                <w:rFonts w:ascii="Arial" w:hAnsi="Arial" w:cs="Arial"/>
                <w:sz w:val="22"/>
              </w:rPr>
              <w:t>−</w:t>
            </w:r>
            <w:r w:rsidR="004E6B66" w:rsidRPr="00EC672E">
              <w:rPr>
                <w:rFonts w:ascii="Arial" w:hAnsi="Arial" w:cs="Arial"/>
                <w:sz w:val="22"/>
              </w:rPr>
              <w:t>11 189 965 331,95</w:t>
            </w:r>
          </w:p>
        </w:tc>
      </w:tr>
    </w:tbl>
    <w:p w:rsidR="004E6B66" w:rsidRPr="00EC672E" w:rsidRDefault="004E6B66" w:rsidP="000F3378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EC672E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EC672E">
        <w:rPr>
          <w:rFonts w:ascii="Arial" w:hAnsi="Arial" w:cs="Arial"/>
          <w:sz w:val="18"/>
          <w:szCs w:val="18"/>
          <w:lang w:eastAsia="cs-CZ"/>
        </w:rPr>
        <w:t xml:space="preserve"> účetní závěrka MD k 31. prosinci 2011.</w:t>
      </w:r>
    </w:p>
    <w:p w:rsidR="000F3378" w:rsidRPr="00EC672E" w:rsidRDefault="000F3378" w:rsidP="000F3378">
      <w:pPr>
        <w:rPr>
          <w:rFonts w:ascii="Arial" w:hAnsi="Arial" w:cs="Arial"/>
          <w:sz w:val="22"/>
        </w:rPr>
      </w:pPr>
    </w:p>
    <w:p w:rsidR="004E6B66" w:rsidRPr="00EC672E" w:rsidRDefault="004E6B66" w:rsidP="000F3378">
      <w:pPr>
        <w:tabs>
          <w:tab w:val="left" w:pos="8505"/>
        </w:tabs>
        <w:spacing w:after="40"/>
        <w:ind w:right="-284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Tabulka č. 4 – Údaje za běžné období z přílohy </w:t>
      </w:r>
      <w:proofErr w:type="spellStart"/>
      <w:r w:rsidRPr="00EC672E">
        <w:rPr>
          <w:rFonts w:ascii="Arial" w:hAnsi="Arial" w:cs="Arial"/>
          <w:b/>
          <w:sz w:val="22"/>
        </w:rPr>
        <w:t>ÚZ</w:t>
      </w:r>
      <w:proofErr w:type="spellEnd"/>
      <w:r w:rsidRPr="00EC672E">
        <w:rPr>
          <w:rFonts w:ascii="Arial" w:hAnsi="Arial" w:cs="Arial"/>
          <w:b/>
          <w:sz w:val="22"/>
        </w:rPr>
        <w:t xml:space="preserve"> k 31. prosinci 2011</w:t>
      </w:r>
      <w:r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bCs/>
          <w:sz w:val="22"/>
        </w:rPr>
        <w:t>(v Kč)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E6B66" w:rsidRPr="00EC672E" w:rsidTr="000F3378">
        <w:trPr>
          <w:trHeight w:val="28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72E">
              <w:rPr>
                <w:rFonts w:ascii="Arial" w:hAnsi="Arial" w:cs="Arial"/>
                <w:b/>
                <w:bCs/>
                <w:sz w:val="20"/>
                <w:szCs w:val="20"/>
              </w:rPr>
              <w:t>Podrozvahové účty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72E">
              <w:rPr>
                <w:rFonts w:ascii="Arial" w:hAnsi="Arial" w:cs="Arial"/>
                <w:b/>
                <w:bCs/>
                <w:sz w:val="20"/>
                <w:szCs w:val="20"/>
              </w:rPr>
              <w:t>Účetní hodnota</w:t>
            </w:r>
          </w:p>
        </w:tc>
      </w:tr>
      <w:tr w:rsidR="004E6B66" w:rsidRPr="00EC672E" w:rsidTr="000F3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CC0FB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P.</w:t>
            </w:r>
            <w:r w:rsidR="00CC0FB6" w:rsidRPr="00E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72E">
              <w:rPr>
                <w:rFonts w:ascii="Arial" w:hAnsi="Arial" w:cs="Arial"/>
                <w:sz w:val="20"/>
                <w:szCs w:val="20"/>
              </w:rPr>
              <w:t>I Majetek účetní jednotky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1 200 679,77</w:t>
            </w:r>
          </w:p>
        </w:tc>
      </w:tr>
      <w:tr w:rsidR="004E6B66" w:rsidRPr="00EC672E" w:rsidTr="000F3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CC0FB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P.</w:t>
            </w:r>
            <w:r w:rsidR="00CC0FB6" w:rsidRPr="00E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72E">
              <w:rPr>
                <w:rFonts w:ascii="Arial" w:hAnsi="Arial" w:cs="Arial"/>
                <w:sz w:val="20"/>
                <w:szCs w:val="20"/>
              </w:rPr>
              <w:t>IV Další podmíněné pohledávky a ostatní podmíněná aktiva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84 482 426 249,96</w:t>
            </w:r>
          </w:p>
        </w:tc>
      </w:tr>
      <w:tr w:rsidR="004E6B66" w:rsidRPr="00EC672E" w:rsidTr="000F3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CC0FB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P.</w:t>
            </w:r>
            <w:r w:rsidR="00CC0FB6" w:rsidRPr="00E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72E">
              <w:rPr>
                <w:rFonts w:ascii="Arial" w:hAnsi="Arial" w:cs="Arial"/>
                <w:sz w:val="20"/>
                <w:szCs w:val="20"/>
              </w:rPr>
              <w:t>V Podmíněné závazky z důvodu užívání cizího majetku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18 963,50</w:t>
            </w:r>
          </w:p>
        </w:tc>
      </w:tr>
      <w:tr w:rsidR="004E6B66" w:rsidRPr="00EC672E" w:rsidTr="000F3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CC0FB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P.</w:t>
            </w:r>
            <w:r w:rsidR="00CC0FB6" w:rsidRPr="00E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72E">
              <w:rPr>
                <w:rFonts w:ascii="Arial" w:hAnsi="Arial" w:cs="Arial"/>
                <w:sz w:val="20"/>
                <w:szCs w:val="20"/>
              </w:rPr>
              <w:t>VI Další podmíněné závazky a ostatní podmíněná pasiva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56 585 641 658,57</w:t>
            </w:r>
          </w:p>
        </w:tc>
      </w:tr>
      <w:tr w:rsidR="004E6B66" w:rsidRPr="00EC672E" w:rsidTr="000F3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CC0FB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P.</w:t>
            </w:r>
            <w:r w:rsidR="00CC0FB6" w:rsidRPr="00EC6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72E">
              <w:rPr>
                <w:rFonts w:ascii="Arial" w:hAnsi="Arial" w:cs="Arial"/>
                <w:sz w:val="20"/>
                <w:szCs w:val="20"/>
              </w:rPr>
              <w:t>VII Vyrovnávací účet k podrozvahovým účtům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72E">
              <w:rPr>
                <w:rFonts w:ascii="Arial" w:hAnsi="Arial" w:cs="Arial"/>
                <w:sz w:val="20"/>
                <w:szCs w:val="20"/>
              </w:rPr>
              <w:t>27 897 966 307,66</w:t>
            </w:r>
          </w:p>
        </w:tc>
      </w:tr>
    </w:tbl>
    <w:p w:rsidR="004E6B66" w:rsidRPr="00EC672E" w:rsidRDefault="004E6B66" w:rsidP="000F3378">
      <w:pPr>
        <w:spacing w:before="40"/>
        <w:rPr>
          <w:rFonts w:ascii="Arial" w:hAnsi="Arial" w:cs="Arial"/>
          <w:bCs/>
          <w:sz w:val="18"/>
          <w:szCs w:val="18"/>
        </w:rPr>
      </w:pPr>
      <w:r w:rsidRPr="00EC672E">
        <w:rPr>
          <w:rFonts w:ascii="Arial" w:hAnsi="Arial" w:cs="Arial"/>
          <w:b/>
          <w:bCs/>
          <w:sz w:val="18"/>
          <w:szCs w:val="18"/>
        </w:rPr>
        <w:t>Zdroj</w:t>
      </w:r>
      <w:r w:rsidRPr="00EC672E">
        <w:rPr>
          <w:rFonts w:ascii="Arial" w:hAnsi="Arial" w:cs="Arial"/>
          <w:bCs/>
          <w:sz w:val="18"/>
          <w:szCs w:val="18"/>
        </w:rPr>
        <w:t>: účetní závěrka MD k 31. prosinci 2011.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B2171D">
      <w:pPr>
        <w:ind w:left="369" w:hanging="369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1.1</w:t>
      </w:r>
      <w:r w:rsidR="0067476E"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sz w:val="22"/>
        </w:rPr>
        <w:t xml:space="preserve">Účetní regulace platná a účinná v roce 2011 a její vliv na </w:t>
      </w:r>
      <w:proofErr w:type="spellStart"/>
      <w:r w:rsidRPr="00EC672E">
        <w:rPr>
          <w:rFonts w:ascii="Arial" w:hAnsi="Arial" w:cs="Arial"/>
          <w:b/>
          <w:sz w:val="22"/>
        </w:rPr>
        <w:t>ÚZ</w:t>
      </w:r>
      <w:proofErr w:type="spellEnd"/>
      <w:r w:rsidRPr="00EC672E">
        <w:rPr>
          <w:rFonts w:ascii="Arial" w:hAnsi="Arial" w:cs="Arial"/>
          <w:b/>
          <w:sz w:val="22"/>
        </w:rPr>
        <w:t xml:space="preserve"> a na možnost vyjádřit se </w:t>
      </w:r>
      <w:r w:rsidR="00CC0FB6" w:rsidRPr="00EC672E">
        <w:rPr>
          <w:rFonts w:ascii="Arial" w:hAnsi="Arial" w:cs="Arial"/>
          <w:b/>
          <w:sz w:val="22"/>
        </w:rPr>
        <w:t>ke</w:t>
      </w:r>
      <w:r w:rsidRPr="00EC672E">
        <w:rPr>
          <w:rFonts w:ascii="Arial" w:hAnsi="Arial" w:cs="Arial"/>
          <w:b/>
          <w:sz w:val="22"/>
        </w:rPr>
        <w:t xml:space="preserve"> spolehlivosti</w:t>
      </w:r>
      <w:r w:rsidR="00CC0FB6" w:rsidRPr="00EC672E">
        <w:rPr>
          <w:rFonts w:ascii="Arial" w:hAnsi="Arial" w:cs="Arial"/>
          <w:b/>
          <w:sz w:val="22"/>
        </w:rPr>
        <w:t xml:space="preserve"> </w:t>
      </w:r>
      <w:proofErr w:type="spellStart"/>
      <w:r w:rsidR="00CC0FB6" w:rsidRPr="00EC672E">
        <w:rPr>
          <w:rFonts w:ascii="Arial" w:hAnsi="Arial" w:cs="Arial"/>
          <w:b/>
          <w:sz w:val="22"/>
        </w:rPr>
        <w:t>ÚZ</w:t>
      </w:r>
      <w:proofErr w:type="spellEnd"/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>V letech 2010 a 2011 došlo v České republice k významné změně předpisů upravujících účetnictví a výkaznictví u některých subjektů veřejného sektoru, tzv. vybraných účetních jednotek</w:t>
      </w:r>
      <w:r w:rsidRPr="00EC672E">
        <w:rPr>
          <w:rStyle w:val="Znakapoznpodarou"/>
          <w:rFonts w:ascii="Arial" w:hAnsi="Arial" w:cs="Arial"/>
          <w:bCs/>
          <w:sz w:val="22"/>
        </w:rPr>
        <w:footnoteReference w:id="3"/>
      </w:r>
      <w:r w:rsidRPr="00EC672E">
        <w:rPr>
          <w:rFonts w:ascii="Arial" w:hAnsi="Arial" w:cs="Arial"/>
          <w:bCs/>
          <w:iCs/>
          <w:sz w:val="22"/>
        </w:rPr>
        <w:t xml:space="preserve">. </w:t>
      </w:r>
      <w:r w:rsidRPr="00EC672E">
        <w:rPr>
          <w:rFonts w:ascii="Arial" w:hAnsi="Arial" w:cs="Arial"/>
          <w:sz w:val="22"/>
        </w:rPr>
        <w:t>Prvním krokem bylo schválení zákona č. 304/2008 Sb.,</w:t>
      </w:r>
      <w:r w:rsidR="001B5865" w:rsidRPr="00EC672E">
        <w:rPr>
          <w:rFonts w:ascii="Arial" w:hAnsi="Arial" w:cs="Arial"/>
          <w:sz w:val="22"/>
        </w:rPr>
        <w:t xml:space="preserve"> kterým se mění zákon o </w:t>
      </w:r>
      <w:r w:rsidRPr="00EC672E">
        <w:rPr>
          <w:rFonts w:ascii="Arial" w:hAnsi="Arial" w:cs="Arial"/>
          <w:sz w:val="22"/>
        </w:rPr>
        <w:t xml:space="preserve">účetnictví, ve znění pozdějších předpisů, a některé zákony, na </w:t>
      </w:r>
      <w:r w:rsidR="00CC0FB6" w:rsidRPr="00EC672E">
        <w:rPr>
          <w:rFonts w:ascii="Arial" w:hAnsi="Arial" w:cs="Arial"/>
          <w:sz w:val="22"/>
        </w:rPr>
        <w:t xml:space="preserve">jehož </w:t>
      </w:r>
      <w:r w:rsidRPr="00EC672E">
        <w:rPr>
          <w:rFonts w:ascii="Arial" w:hAnsi="Arial" w:cs="Arial"/>
          <w:sz w:val="22"/>
        </w:rPr>
        <w:t>základě se s účinností od 1.</w:t>
      </w:r>
      <w:r w:rsidR="001F60CD" w:rsidRPr="00EC672E">
        <w:rPr>
          <w:rFonts w:ascii="Arial" w:hAnsi="Arial" w:cs="Arial"/>
          <w:sz w:val="22"/>
        </w:rPr>
        <w:t> </w:t>
      </w:r>
      <w:r w:rsidR="001B5865" w:rsidRPr="00EC672E">
        <w:rPr>
          <w:rFonts w:ascii="Arial" w:hAnsi="Arial" w:cs="Arial"/>
          <w:sz w:val="22"/>
        </w:rPr>
        <w:t>ledna</w:t>
      </w:r>
      <w:r w:rsidR="001F60CD"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sz w:val="22"/>
        </w:rPr>
        <w:t>2010 změnil zákon o účetnictví. Na novelizaci zákona o účetnictví navázalo zrušení stávajících prováděcích předpisů pro některé účetní jednotky a vytvoření nových prováděcích předpisů pro vybrané účetní jednotky</w:t>
      </w:r>
      <w:r w:rsidR="00CC0FB6" w:rsidRPr="00EC672E">
        <w:rPr>
          <w:rFonts w:ascii="Arial" w:hAnsi="Arial" w:cs="Arial"/>
          <w:sz w:val="22"/>
        </w:rPr>
        <w:t xml:space="preserve"> a vydání</w:t>
      </w:r>
      <w:r w:rsidRPr="00EC672E">
        <w:rPr>
          <w:rFonts w:ascii="Arial" w:hAnsi="Arial" w:cs="Arial"/>
          <w:sz w:val="22"/>
        </w:rPr>
        <w:t xml:space="preserve"> nových účetních standardů. Tyto n</w:t>
      </w:r>
      <w:r w:rsidRPr="00EC672E">
        <w:rPr>
          <w:rFonts w:ascii="Arial" w:hAnsi="Arial" w:cs="Arial"/>
          <w:bCs/>
          <w:iCs/>
          <w:sz w:val="22"/>
        </w:rPr>
        <w:t>ové právní normy vstoupily poprvé v účinnost v roce 2010, ale již v roce 2011 byly novelizovány a doplněny.</w:t>
      </w: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sz w:val="22"/>
        </w:rPr>
        <w:t xml:space="preserve">Pro rok 2011 byla novelizována vyhláška č. 410/2009 Sb., kterou se provádějí některá ustanovení zákona </w:t>
      </w:r>
      <w:r w:rsidR="00873D6B">
        <w:rPr>
          <w:rFonts w:ascii="Arial" w:hAnsi="Arial" w:cs="Arial"/>
          <w:bCs/>
          <w:sz w:val="22"/>
        </w:rPr>
        <w:t xml:space="preserve">č. 563/1991 Sb., </w:t>
      </w:r>
      <w:r w:rsidRPr="00EC672E">
        <w:rPr>
          <w:rFonts w:ascii="Arial" w:hAnsi="Arial" w:cs="Arial"/>
          <w:bCs/>
          <w:sz w:val="22"/>
        </w:rPr>
        <w:t xml:space="preserve">o účetnictví, ve znění pozdějších předpisů, pro některé vybrané účetní jednotky (dále také „vyhláška č. 410/2009 Sb.“), i vyhláška </w:t>
      </w:r>
      <w:r w:rsidR="00CC0FB6" w:rsidRPr="00EC672E">
        <w:rPr>
          <w:rFonts w:ascii="Arial" w:hAnsi="Arial" w:cs="Arial"/>
          <w:sz w:val="22"/>
        </w:rPr>
        <w:t>č. 383/2009 Sb., o </w:t>
      </w:r>
      <w:r w:rsidRPr="00EC672E">
        <w:rPr>
          <w:rFonts w:ascii="Arial" w:hAnsi="Arial" w:cs="Arial"/>
          <w:sz w:val="22"/>
        </w:rPr>
        <w:t xml:space="preserve">účetních záznamech v technické formě vybraných účetních jednotek a jejich předávání do centrálního systému účetních informací státu a o požadavcích na technické a smíšené formy účetních záznamů (technická vyhláška o účetních záznamech). </w:t>
      </w:r>
      <w:r w:rsidRPr="00EC672E">
        <w:rPr>
          <w:rFonts w:ascii="Arial" w:hAnsi="Arial" w:cs="Arial"/>
          <w:bCs/>
          <w:sz w:val="22"/>
        </w:rPr>
        <w:t>Př</w:t>
      </w:r>
      <w:r w:rsidR="001B5865" w:rsidRPr="00EC672E">
        <w:rPr>
          <w:rFonts w:ascii="Arial" w:hAnsi="Arial" w:cs="Arial"/>
          <w:bCs/>
          <w:sz w:val="22"/>
        </w:rPr>
        <w:t>edmětem novelizace vyhlášky č. </w:t>
      </w:r>
      <w:r w:rsidRPr="00EC672E">
        <w:rPr>
          <w:rFonts w:ascii="Arial" w:hAnsi="Arial" w:cs="Arial"/>
          <w:bCs/>
          <w:sz w:val="22"/>
        </w:rPr>
        <w:t>410/2009 Sb. byly zejména</w:t>
      </w:r>
      <w:r w:rsidRPr="00EC672E">
        <w:rPr>
          <w:rFonts w:ascii="Arial" w:hAnsi="Arial" w:cs="Arial"/>
          <w:sz w:val="22"/>
        </w:rPr>
        <w:t xml:space="preserve"> úpravy týkající se sjednocení používání jednotek české měny při vykazování v účetní závěrce a finančních výkazech, úpravy obsahového vymezení položek rozvahy a výkazu zisku a ztráty související s novelo</w:t>
      </w:r>
      <w:r w:rsidR="001B5865" w:rsidRPr="00EC672E">
        <w:rPr>
          <w:rFonts w:ascii="Arial" w:hAnsi="Arial" w:cs="Arial"/>
          <w:sz w:val="22"/>
        </w:rPr>
        <w:t xml:space="preserve">u </w:t>
      </w:r>
      <w:r w:rsidR="00B2171D" w:rsidRPr="00EC672E">
        <w:rPr>
          <w:rFonts w:ascii="Arial" w:hAnsi="Arial" w:cs="Arial"/>
          <w:sz w:val="22"/>
        </w:rPr>
        <w:t>č</w:t>
      </w:r>
      <w:r w:rsidR="001B5865" w:rsidRPr="00EC672E">
        <w:rPr>
          <w:rFonts w:ascii="Arial" w:hAnsi="Arial" w:cs="Arial"/>
          <w:sz w:val="22"/>
        </w:rPr>
        <w:t>eského účetního standardu č. </w:t>
      </w:r>
      <w:r w:rsidRPr="00EC672E">
        <w:rPr>
          <w:rFonts w:ascii="Arial" w:hAnsi="Arial" w:cs="Arial"/>
          <w:sz w:val="22"/>
        </w:rPr>
        <w:t xml:space="preserve">703 –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>, úpravy související s použitím účetní metody opravných položek k majetku a úpravy související s použitím účetní metody odpisování dlouhodobého majetku.</w:t>
      </w: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K zákonu o účetnictví byla vydána nová prováděcí vyhláška č. 270/2010 Sb., o inventarizaci majetku a závazků, která podrobně vymezila povinnosti vybraných účetních jednotek při </w:t>
      </w:r>
      <w:r w:rsidR="00271E01" w:rsidRPr="00EC672E">
        <w:rPr>
          <w:rFonts w:ascii="Arial" w:hAnsi="Arial" w:cs="Arial"/>
          <w:sz w:val="22"/>
        </w:rPr>
        <w:t>zajišťování, provádění a vyhodnocování</w:t>
      </w:r>
      <w:r w:rsidRPr="00EC672E">
        <w:rPr>
          <w:rFonts w:ascii="Arial" w:hAnsi="Arial" w:cs="Arial"/>
          <w:sz w:val="22"/>
        </w:rPr>
        <w:t xml:space="preserve"> inventarizací majetku a závazků.</w:t>
      </w: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sz w:val="22"/>
        </w:rPr>
        <w:t xml:space="preserve">Účetní regulace pro organizační složky státu byla pro účetní období roku 2011 dále doplněna vydáním nových českých účetních standardů pro některé vybrané účetní jednotky (dále </w:t>
      </w:r>
      <w:r w:rsidR="000D1366" w:rsidRPr="00EC672E">
        <w:rPr>
          <w:rFonts w:ascii="Arial" w:hAnsi="Arial" w:cs="Arial"/>
          <w:bCs/>
          <w:sz w:val="22"/>
        </w:rPr>
        <w:t>také</w:t>
      </w:r>
      <w:r w:rsidRPr="00EC672E">
        <w:rPr>
          <w:rFonts w:ascii="Arial" w:hAnsi="Arial" w:cs="Arial"/>
          <w:bCs/>
          <w:sz w:val="22"/>
        </w:rPr>
        <w:t xml:space="preserve"> „</w:t>
      </w:r>
      <w:proofErr w:type="spellStart"/>
      <w:r w:rsidRPr="00EC672E">
        <w:rPr>
          <w:rFonts w:ascii="Arial" w:hAnsi="Arial" w:cs="Arial"/>
          <w:bCs/>
          <w:sz w:val="22"/>
        </w:rPr>
        <w:t>ČÚS</w:t>
      </w:r>
      <w:proofErr w:type="spellEnd"/>
      <w:r w:rsidRPr="00EC672E">
        <w:rPr>
          <w:rFonts w:ascii="Arial" w:hAnsi="Arial" w:cs="Arial"/>
          <w:bCs/>
          <w:sz w:val="22"/>
        </w:rPr>
        <w:t>“), a to:</w:t>
      </w:r>
    </w:p>
    <w:p w:rsidR="004E6B66" w:rsidRPr="00EC672E" w:rsidRDefault="004E6B66" w:rsidP="00A37297">
      <w:pPr>
        <w:numPr>
          <w:ilvl w:val="0"/>
          <w:numId w:val="37"/>
        </w:numPr>
        <w:tabs>
          <w:tab w:val="clear" w:pos="1104"/>
        </w:tabs>
        <w:ind w:left="284" w:hanging="284"/>
        <w:rPr>
          <w:rFonts w:ascii="Arial" w:hAnsi="Arial" w:cs="Arial"/>
          <w:sz w:val="22"/>
        </w:rPr>
      </w:pP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705 – </w:t>
      </w:r>
      <w:r w:rsidRPr="00EC672E">
        <w:rPr>
          <w:rFonts w:ascii="Arial" w:hAnsi="Arial" w:cs="Arial"/>
          <w:i/>
          <w:sz w:val="22"/>
        </w:rPr>
        <w:t>Rezervy</w:t>
      </w:r>
      <w:r w:rsidRPr="00EC672E">
        <w:rPr>
          <w:rFonts w:ascii="Arial" w:hAnsi="Arial" w:cs="Arial"/>
          <w:sz w:val="22"/>
        </w:rPr>
        <w:t xml:space="preserve"> (zveřejněn ve </w:t>
      </w:r>
      <w:r w:rsidRPr="00EC672E">
        <w:rPr>
          <w:rFonts w:ascii="Arial" w:hAnsi="Arial" w:cs="Arial"/>
          <w:i/>
          <w:sz w:val="22"/>
        </w:rPr>
        <w:t>Finančním zpravodaji</w:t>
      </w:r>
      <w:r w:rsidRPr="00EC672E">
        <w:rPr>
          <w:rFonts w:ascii="Arial" w:hAnsi="Arial" w:cs="Arial"/>
          <w:sz w:val="22"/>
        </w:rPr>
        <w:t xml:space="preserve"> č. 8/2010</w:t>
      </w:r>
      <w:r w:rsidR="00271E01" w:rsidRPr="00EC672E">
        <w:rPr>
          <w:rFonts w:ascii="Arial" w:hAnsi="Arial" w:cs="Arial"/>
          <w:sz w:val="22"/>
        </w:rPr>
        <w:t>)</w:t>
      </w:r>
      <w:r w:rsidRPr="00EC672E">
        <w:rPr>
          <w:rFonts w:ascii="Arial" w:hAnsi="Arial" w:cs="Arial"/>
          <w:sz w:val="22"/>
        </w:rPr>
        <w:t>, s účinností od 1.</w:t>
      </w:r>
      <w:r w:rsidR="00842B48" w:rsidRPr="00EC672E">
        <w:rPr>
          <w:rFonts w:ascii="Arial" w:hAnsi="Arial" w:cs="Arial"/>
          <w:sz w:val="22"/>
        </w:rPr>
        <w:t> </w:t>
      </w:r>
      <w:r w:rsidR="001B5865" w:rsidRPr="00EC672E">
        <w:rPr>
          <w:rFonts w:ascii="Arial" w:hAnsi="Arial" w:cs="Arial"/>
          <w:sz w:val="22"/>
        </w:rPr>
        <w:t>ledna</w:t>
      </w:r>
      <w:r w:rsidRPr="00EC672E">
        <w:rPr>
          <w:rFonts w:ascii="Arial" w:hAnsi="Arial" w:cs="Arial"/>
          <w:sz w:val="22"/>
        </w:rPr>
        <w:t xml:space="preserve"> 2011; </w:t>
      </w:r>
    </w:p>
    <w:p w:rsidR="004E6B66" w:rsidRPr="00EC672E" w:rsidRDefault="004E6B66" w:rsidP="00A37297">
      <w:pPr>
        <w:numPr>
          <w:ilvl w:val="0"/>
          <w:numId w:val="37"/>
        </w:numPr>
        <w:tabs>
          <w:tab w:val="clear" w:pos="1104"/>
        </w:tabs>
        <w:ind w:left="284" w:hanging="284"/>
        <w:rPr>
          <w:rFonts w:ascii="Arial" w:hAnsi="Arial" w:cs="Arial"/>
          <w:sz w:val="22"/>
        </w:rPr>
      </w:pP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706 – </w:t>
      </w:r>
      <w:r w:rsidRPr="00EC672E">
        <w:rPr>
          <w:rFonts w:ascii="Arial" w:hAnsi="Arial" w:cs="Arial"/>
          <w:i/>
          <w:sz w:val="22"/>
        </w:rPr>
        <w:t>Opravné položky a vyřazení pohledávek</w:t>
      </w:r>
      <w:r w:rsidRPr="00EC672E">
        <w:rPr>
          <w:rFonts w:ascii="Arial" w:hAnsi="Arial" w:cs="Arial"/>
          <w:sz w:val="22"/>
        </w:rPr>
        <w:t xml:space="preserve"> (zveřejněn ve </w:t>
      </w:r>
      <w:r w:rsidRPr="00EC672E">
        <w:rPr>
          <w:rFonts w:ascii="Arial" w:hAnsi="Arial" w:cs="Arial"/>
          <w:i/>
          <w:sz w:val="22"/>
        </w:rPr>
        <w:t>Finančním zpravodaji</w:t>
      </w:r>
      <w:r w:rsidRPr="00EC672E">
        <w:rPr>
          <w:rFonts w:ascii="Arial" w:hAnsi="Arial" w:cs="Arial"/>
          <w:sz w:val="22"/>
        </w:rPr>
        <w:t xml:space="preserve"> č. 8/2010</w:t>
      </w:r>
      <w:r w:rsidR="00271E01" w:rsidRPr="00EC672E">
        <w:rPr>
          <w:rFonts w:ascii="Arial" w:hAnsi="Arial" w:cs="Arial"/>
          <w:sz w:val="22"/>
        </w:rPr>
        <w:t>)</w:t>
      </w:r>
      <w:r w:rsidRPr="00EC672E">
        <w:rPr>
          <w:rFonts w:ascii="Arial" w:hAnsi="Arial" w:cs="Arial"/>
          <w:sz w:val="22"/>
        </w:rPr>
        <w:t xml:space="preserve">, s účinností od 1. </w:t>
      </w:r>
      <w:r w:rsidR="001B5865" w:rsidRPr="00EC672E">
        <w:rPr>
          <w:rFonts w:ascii="Arial" w:hAnsi="Arial" w:cs="Arial"/>
          <w:sz w:val="22"/>
        </w:rPr>
        <w:t>ledna</w:t>
      </w:r>
      <w:r w:rsidRPr="00EC672E">
        <w:rPr>
          <w:rFonts w:ascii="Arial" w:hAnsi="Arial" w:cs="Arial"/>
          <w:sz w:val="22"/>
        </w:rPr>
        <w:t xml:space="preserve"> 2011;</w:t>
      </w:r>
    </w:p>
    <w:p w:rsidR="004E6B66" w:rsidRPr="00EC672E" w:rsidRDefault="004E6B66" w:rsidP="00A37297">
      <w:pPr>
        <w:numPr>
          <w:ilvl w:val="0"/>
          <w:numId w:val="37"/>
        </w:numPr>
        <w:tabs>
          <w:tab w:val="clear" w:pos="1104"/>
        </w:tabs>
        <w:ind w:left="284" w:hanging="284"/>
        <w:rPr>
          <w:rFonts w:ascii="Arial" w:hAnsi="Arial" w:cs="Arial"/>
          <w:sz w:val="22"/>
        </w:rPr>
      </w:pP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707 – </w:t>
      </w:r>
      <w:r w:rsidRPr="00EC672E">
        <w:rPr>
          <w:rFonts w:ascii="Arial" w:hAnsi="Arial" w:cs="Arial"/>
          <w:i/>
          <w:sz w:val="22"/>
        </w:rPr>
        <w:t>Zásoby</w:t>
      </w:r>
      <w:r w:rsidRPr="00EC672E">
        <w:rPr>
          <w:rFonts w:ascii="Arial" w:hAnsi="Arial" w:cs="Arial"/>
          <w:sz w:val="22"/>
        </w:rPr>
        <w:t xml:space="preserve"> (zveřejněn ve </w:t>
      </w:r>
      <w:r w:rsidRPr="00EC672E">
        <w:rPr>
          <w:rFonts w:ascii="Arial" w:hAnsi="Arial" w:cs="Arial"/>
          <w:i/>
          <w:sz w:val="22"/>
        </w:rPr>
        <w:t>Finančním zpravodaji</w:t>
      </w:r>
      <w:r w:rsidRPr="00EC672E">
        <w:rPr>
          <w:rFonts w:ascii="Arial" w:hAnsi="Arial" w:cs="Arial"/>
          <w:sz w:val="22"/>
        </w:rPr>
        <w:t xml:space="preserve"> č. 8/2010</w:t>
      </w:r>
      <w:r w:rsidR="00271E01" w:rsidRPr="00EC672E">
        <w:rPr>
          <w:rFonts w:ascii="Arial" w:hAnsi="Arial" w:cs="Arial"/>
          <w:sz w:val="22"/>
        </w:rPr>
        <w:t>)</w:t>
      </w:r>
      <w:r w:rsidRPr="00EC672E">
        <w:rPr>
          <w:rFonts w:ascii="Arial" w:hAnsi="Arial" w:cs="Arial"/>
          <w:sz w:val="22"/>
        </w:rPr>
        <w:t>, s účinností od 1.</w:t>
      </w:r>
      <w:r w:rsidR="00842B48" w:rsidRPr="00EC672E">
        <w:rPr>
          <w:rFonts w:ascii="Arial" w:hAnsi="Arial" w:cs="Arial"/>
          <w:sz w:val="22"/>
        </w:rPr>
        <w:t> </w:t>
      </w:r>
      <w:r w:rsidR="004B16DB" w:rsidRPr="00EC672E">
        <w:rPr>
          <w:rFonts w:ascii="Arial" w:hAnsi="Arial" w:cs="Arial"/>
          <w:sz w:val="22"/>
        </w:rPr>
        <w:t>ledna</w:t>
      </w:r>
      <w:r w:rsidRPr="00EC672E">
        <w:rPr>
          <w:rFonts w:ascii="Arial" w:hAnsi="Arial" w:cs="Arial"/>
          <w:sz w:val="22"/>
        </w:rPr>
        <w:t xml:space="preserve"> 2011;</w:t>
      </w:r>
    </w:p>
    <w:p w:rsidR="004E6B66" w:rsidRPr="00EC672E" w:rsidRDefault="004E6B66" w:rsidP="00A37297">
      <w:pPr>
        <w:numPr>
          <w:ilvl w:val="0"/>
          <w:numId w:val="37"/>
        </w:numPr>
        <w:tabs>
          <w:tab w:val="clear" w:pos="1104"/>
        </w:tabs>
        <w:ind w:left="284" w:hanging="284"/>
        <w:rPr>
          <w:rFonts w:ascii="Arial" w:hAnsi="Arial" w:cs="Arial"/>
          <w:sz w:val="22"/>
        </w:rPr>
      </w:pP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708 – </w:t>
      </w:r>
      <w:r w:rsidRPr="00EC672E">
        <w:rPr>
          <w:rFonts w:ascii="Arial" w:hAnsi="Arial" w:cs="Arial"/>
          <w:i/>
          <w:sz w:val="22"/>
        </w:rPr>
        <w:t>Odpisování dlouhodobého majetku</w:t>
      </w:r>
      <w:r w:rsidRPr="00EC672E">
        <w:rPr>
          <w:rFonts w:ascii="Arial" w:hAnsi="Arial" w:cs="Arial"/>
          <w:sz w:val="22"/>
        </w:rPr>
        <w:t xml:space="preserve"> (zveřejněn ve </w:t>
      </w:r>
      <w:r w:rsidRPr="00EC672E">
        <w:rPr>
          <w:rFonts w:ascii="Arial" w:hAnsi="Arial" w:cs="Arial"/>
          <w:i/>
          <w:sz w:val="22"/>
        </w:rPr>
        <w:t>Finančním zpravodaji</w:t>
      </w:r>
      <w:r w:rsidRPr="00EC672E">
        <w:rPr>
          <w:rFonts w:ascii="Arial" w:hAnsi="Arial" w:cs="Arial"/>
          <w:sz w:val="22"/>
        </w:rPr>
        <w:t xml:space="preserve"> č.</w:t>
      </w:r>
      <w:r w:rsidR="00842B48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3/2011</w:t>
      </w:r>
      <w:r w:rsidR="00271E01" w:rsidRPr="00EC672E">
        <w:rPr>
          <w:rFonts w:ascii="Arial" w:hAnsi="Arial" w:cs="Arial"/>
          <w:sz w:val="22"/>
        </w:rPr>
        <w:t>)</w:t>
      </w:r>
      <w:r w:rsidRPr="00EC672E">
        <w:rPr>
          <w:rFonts w:ascii="Arial" w:hAnsi="Arial" w:cs="Arial"/>
          <w:sz w:val="22"/>
        </w:rPr>
        <w:t xml:space="preserve">, s účinností od 31. </w:t>
      </w:r>
      <w:r w:rsidR="004B16DB" w:rsidRPr="00EC672E">
        <w:rPr>
          <w:rFonts w:ascii="Arial" w:hAnsi="Arial" w:cs="Arial"/>
          <w:sz w:val="22"/>
        </w:rPr>
        <w:t>prosince</w:t>
      </w:r>
      <w:r w:rsidRPr="00EC672E">
        <w:rPr>
          <w:rFonts w:ascii="Arial" w:hAnsi="Arial" w:cs="Arial"/>
          <w:sz w:val="22"/>
        </w:rPr>
        <w:t xml:space="preserve"> 2011; tento standard byl v průběhu roku 2011 novelizován (zveřejněno ve </w:t>
      </w:r>
      <w:r w:rsidRPr="00EC672E">
        <w:rPr>
          <w:rFonts w:ascii="Arial" w:hAnsi="Arial" w:cs="Arial"/>
          <w:i/>
          <w:sz w:val="22"/>
        </w:rPr>
        <w:t xml:space="preserve">Finančním zpravodaji </w:t>
      </w:r>
      <w:r w:rsidRPr="00EC672E">
        <w:rPr>
          <w:rFonts w:ascii="Arial" w:hAnsi="Arial" w:cs="Arial"/>
          <w:sz w:val="22"/>
        </w:rPr>
        <w:t xml:space="preserve">č. 5/2011 ze dne 20. </w:t>
      </w:r>
      <w:r w:rsidR="004B16DB" w:rsidRPr="00EC672E">
        <w:rPr>
          <w:rFonts w:ascii="Arial" w:hAnsi="Arial" w:cs="Arial"/>
          <w:sz w:val="22"/>
        </w:rPr>
        <w:t>října</w:t>
      </w:r>
      <w:r w:rsidRPr="00EC672E">
        <w:rPr>
          <w:rFonts w:ascii="Arial" w:hAnsi="Arial" w:cs="Arial"/>
          <w:sz w:val="22"/>
        </w:rPr>
        <w:t xml:space="preserve"> 2011).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Původní </w:t>
      </w: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703 –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 xml:space="preserve"> platný pro rok 2010 byl s účinností od 1. </w:t>
      </w:r>
      <w:r w:rsidR="00244903" w:rsidRPr="00EC672E">
        <w:rPr>
          <w:rFonts w:ascii="Arial" w:hAnsi="Arial" w:cs="Arial"/>
          <w:sz w:val="22"/>
        </w:rPr>
        <w:t>ledna</w:t>
      </w:r>
      <w:r w:rsidRPr="00EC672E">
        <w:rPr>
          <w:rFonts w:ascii="Arial" w:hAnsi="Arial" w:cs="Arial"/>
          <w:sz w:val="22"/>
        </w:rPr>
        <w:t xml:space="preserve"> 2011 nahrazen novým </w:t>
      </w: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703 –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 xml:space="preserve">, zveřejněným ve </w:t>
      </w:r>
      <w:r w:rsidRPr="00EC672E">
        <w:rPr>
          <w:rFonts w:ascii="Arial" w:hAnsi="Arial" w:cs="Arial"/>
          <w:i/>
          <w:sz w:val="22"/>
        </w:rPr>
        <w:t>Finančním zpravodaji</w:t>
      </w:r>
      <w:r w:rsidRPr="00EC672E">
        <w:rPr>
          <w:rFonts w:ascii="Arial" w:hAnsi="Arial" w:cs="Arial"/>
          <w:sz w:val="22"/>
        </w:rPr>
        <w:t xml:space="preserve"> č. 8/2010.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0C69">
      <w:pPr>
        <w:ind w:left="567" w:hanging="567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1.1.1 </w:t>
      </w:r>
      <w:r w:rsidR="00A30C69"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sz w:val="22"/>
        </w:rPr>
        <w:t>Části účetní závěrky, ke kterým se NKÚ nevy</w:t>
      </w:r>
      <w:r w:rsidR="00244903" w:rsidRPr="00EC672E">
        <w:rPr>
          <w:rFonts w:ascii="Arial" w:hAnsi="Arial" w:cs="Arial"/>
          <w:b/>
          <w:sz w:val="22"/>
        </w:rPr>
        <w:t>jadřuje vzhledem k nejasnosti a </w:t>
      </w:r>
      <w:r w:rsidRPr="00EC672E">
        <w:rPr>
          <w:rFonts w:ascii="Arial" w:hAnsi="Arial" w:cs="Arial"/>
          <w:b/>
          <w:sz w:val="22"/>
        </w:rPr>
        <w:t>nejednoznačnosti účetních předpisů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6E3BF6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 xml:space="preserve">Účtování o peněžních prostředcích státního rozpočtu na předfinancování výdajů, které mají být kryty prostředky z rozpočtu EU </w:t>
      </w:r>
      <w:r w:rsidR="00271E01" w:rsidRPr="00EC672E">
        <w:rPr>
          <w:rFonts w:ascii="Arial" w:hAnsi="Arial" w:cs="Arial"/>
          <w:b/>
          <w:sz w:val="22"/>
          <w:lang w:val="cs-CZ"/>
        </w:rPr>
        <w:t>prostřednictvím</w:t>
      </w:r>
      <w:r w:rsidR="00244903" w:rsidRPr="00EC672E">
        <w:rPr>
          <w:rFonts w:ascii="Arial" w:hAnsi="Arial" w:cs="Arial"/>
          <w:b/>
          <w:sz w:val="22"/>
          <w:lang w:val="cs-CZ"/>
        </w:rPr>
        <w:t xml:space="preserve"> </w:t>
      </w:r>
      <w:r w:rsidR="00873D6B">
        <w:rPr>
          <w:rFonts w:ascii="Arial" w:hAnsi="Arial" w:cs="Arial"/>
          <w:b/>
          <w:sz w:val="22"/>
          <w:lang w:val="cs-CZ"/>
        </w:rPr>
        <w:t>o</w:t>
      </w:r>
      <w:r w:rsidR="00244903" w:rsidRPr="00EC672E">
        <w:rPr>
          <w:rFonts w:ascii="Arial" w:hAnsi="Arial" w:cs="Arial"/>
          <w:b/>
          <w:sz w:val="22"/>
          <w:lang w:val="cs-CZ"/>
        </w:rPr>
        <w:t xml:space="preserve">peračního programu </w:t>
      </w:r>
      <w:r w:rsidR="00244903" w:rsidRPr="00EC672E">
        <w:rPr>
          <w:rFonts w:ascii="Arial" w:hAnsi="Arial" w:cs="Arial"/>
          <w:b/>
          <w:i/>
          <w:sz w:val="22"/>
          <w:lang w:val="cs-CZ"/>
        </w:rPr>
        <w:t>Doprava</w:t>
      </w:r>
      <w:r w:rsidR="00244903" w:rsidRPr="00EC672E">
        <w:rPr>
          <w:rFonts w:ascii="Arial" w:hAnsi="Arial" w:cs="Arial"/>
          <w:b/>
          <w:sz w:val="22"/>
          <w:lang w:val="cs-CZ"/>
        </w:rPr>
        <w:t xml:space="preserve"> a </w:t>
      </w:r>
      <w:r w:rsidR="00B2171D" w:rsidRPr="00EC672E">
        <w:rPr>
          <w:rFonts w:ascii="Arial" w:hAnsi="Arial" w:cs="Arial"/>
          <w:b/>
          <w:sz w:val="22"/>
          <w:lang w:val="cs-CZ"/>
        </w:rPr>
        <w:t>k</w:t>
      </w:r>
      <w:r w:rsidRPr="00EC672E">
        <w:rPr>
          <w:rFonts w:ascii="Arial" w:hAnsi="Arial" w:cs="Arial"/>
          <w:b/>
          <w:sz w:val="22"/>
          <w:lang w:val="cs-CZ"/>
        </w:rPr>
        <w:t>omunitárních programů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Účtování a vykazování účetních případů týkajících se poskytování peněžních prostředků státního rozpočtu na předfinancování výdajů, které mají být kryty prostředky z rozpočtu EU, bylo v roce 2011 zatíženo nejasnostmi souvisejícími s nejednoznačnostmi při aplikaci </w:t>
      </w:r>
      <w:proofErr w:type="spellStart"/>
      <w:r w:rsidR="00244903" w:rsidRPr="00EC672E">
        <w:rPr>
          <w:rFonts w:ascii="Arial" w:hAnsi="Arial" w:cs="Arial"/>
          <w:sz w:val="22"/>
        </w:rPr>
        <w:t>ČÚS</w:t>
      </w:r>
      <w:proofErr w:type="spellEnd"/>
      <w:r w:rsidR="00244903" w:rsidRPr="00EC672E">
        <w:rPr>
          <w:rFonts w:ascii="Arial" w:hAnsi="Arial" w:cs="Arial"/>
          <w:sz w:val="22"/>
        </w:rPr>
        <w:t xml:space="preserve"> č. </w:t>
      </w:r>
      <w:r w:rsidRPr="00EC672E">
        <w:rPr>
          <w:rFonts w:ascii="Arial" w:hAnsi="Arial" w:cs="Arial"/>
          <w:sz w:val="22"/>
        </w:rPr>
        <w:t xml:space="preserve">703 </w:t>
      </w:r>
      <w:r w:rsidR="00244903" w:rsidRPr="00EC672E">
        <w:rPr>
          <w:rFonts w:ascii="Arial" w:hAnsi="Arial" w:cs="Arial"/>
          <w:sz w:val="22"/>
        </w:rPr>
        <w:t>–</w:t>
      </w:r>
      <w:r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>. Přitom informace o těchto účetních případech jsou ve vztahu k účetní závěrce MD kvantitativně významné.</w:t>
      </w:r>
    </w:p>
    <w:p w:rsidR="004E6B66" w:rsidRPr="00EC672E" w:rsidRDefault="004E6B66" w:rsidP="00A37297">
      <w:pPr>
        <w:rPr>
          <w:rFonts w:ascii="Arial" w:eastAsiaTheme="minorHAnsi" w:hAnsi="Arial" w:cs="Arial"/>
          <w:sz w:val="20"/>
          <w:szCs w:val="20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sz w:val="22"/>
        </w:rPr>
        <w:t xml:space="preserve">MD z národních zdrojů </w:t>
      </w:r>
      <w:proofErr w:type="spellStart"/>
      <w:r w:rsidRPr="00EC672E">
        <w:rPr>
          <w:rFonts w:ascii="Arial" w:hAnsi="Arial" w:cs="Arial"/>
          <w:bCs/>
          <w:sz w:val="22"/>
        </w:rPr>
        <w:t>předfinancovává</w:t>
      </w:r>
      <w:proofErr w:type="spellEnd"/>
      <w:r w:rsidRPr="00EC672E">
        <w:rPr>
          <w:rFonts w:ascii="Arial" w:hAnsi="Arial" w:cs="Arial"/>
          <w:bCs/>
          <w:sz w:val="22"/>
        </w:rPr>
        <w:t xml:space="preserve"> transfery spoluf</w:t>
      </w:r>
      <w:r w:rsidR="00244903" w:rsidRPr="00EC672E">
        <w:rPr>
          <w:rFonts w:ascii="Arial" w:hAnsi="Arial" w:cs="Arial"/>
          <w:bCs/>
          <w:sz w:val="22"/>
        </w:rPr>
        <w:t>inancované ze zahraničí, a to z </w:t>
      </w:r>
      <w:r w:rsidR="00873D6B">
        <w:rPr>
          <w:rFonts w:ascii="Arial" w:hAnsi="Arial" w:cs="Arial"/>
          <w:bCs/>
          <w:sz w:val="22"/>
        </w:rPr>
        <w:t>o</w:t>
      </w:r>
      <w:r w:rsidRPr="00EC672E">
        <w:rPr>
          <w:rFonts w:ascii="Arial" w:hAnsi="Arial" w:cs="Arial"/>
          <w:sz w:val="22"/>
        </w:rPr>
        <w:t xml:space="preserve">peračního programu </w:t>
      </w:r>
      <w:r w:rsidRPr="00EC672E">
        <w:rPr>
          <w:rFonts w:ascii="Arial" w:hAnsi="Arial" w:cs="Arial"/>
          <w:i/>
          <w:sz w:val="22"/>
        </w:rPr>
        <w:t xml:space="preserve">Doprava </w:t>
      </w:r>
      <w:r w:rsidRPr="00EC672E">
        <w:rPr>
          <w:rFonts w:ascii="Arial" w:hAnsi="Arial" w:cs="Arial"/>
          <w:sz w:val="22"/>
        </w:rPr>
        <w:t xml:space="preserve">(dále </w:t>
      </w:r>
      <w:r w:rsidR="00E61940" w:rsidRPr="00EC672E">
        <w:rPr>
          <w:rFonts w:ascii="Arial" w:hAnsi="Arial" w:cs="Arial"/>
          <w:sz w:val="22"/>
        </w:rPr>
        <w:t xml:space="preserve">jen </w:t>
      </w:r>
      <w:r w:rsidRPr="00EC672E">
        <w:rPr>
          <w:rFonts w:ascii="Arial" w:hAnsi="Arial" w:cs="Arial"/>
          <w:sz w:val="22"/>
        </w:rPr>
        <w:t>„</w:t>
      </w:r>
      <w:proofErr w:type="spellStart"/>
      <w:r w:rsidRPr="00EC672E">
        <w:rPr>
          <w:rFonts w:ascii="Arial" w:hAnsi="Arial" w:cs="Arial"/>
          <w:sz w:val="22"/>
        </w:rPr>
        <w:t>OPD</w:t>
      </w:r>
      <w:proofErr w:type="spellEnd"/>
      <w:r w:rsidRPr="00EC672E">
        <w:rPr>
          <w:rFonts w:ascii="Arial" w:hAnsi="Arial" w:cs="Arial"/>
          <w:sz w:val="22"/>
        </w:rPr>
        <w:t xml:space="preserve">“) a </w:t>
      </w:r>
      <w:r w:rsidR="00B2171D" w:rsidRPr="00EC672E">
        <w:rPr>
          <w:rFonts w:ascii="Arial" w:hAnsi="Arial" w:cs="Arial"/>
          <w:sz w:val="22"/>
        </w:rPr>
        <w:t>k</w:t>
      </w:r>
      <w:r w:rsidRPr="00EC672E">
        <w:rPr>
          <w:rFonts w:ascii="Arial" w:hAnsi="Arial" w:cs="Arial"/>
          <w:sz w:val="22"/>
        </w:rPr>
        <w:t xml:space="preserve">omunitárních programů (dále </w:t>
      </w:r>
      <w:r w:rsidR="00E61940" w:rsidRPr="00EC672E">
        <w:rPr>
          <w:rFonts w:ascii="Arial" w:hAnsi="Arial" w:cs="Arial"/>
          <w:sz w:val="22"/>
        </w:rPr>
        <w:t xml:space="preserve">jen </w:t>
      </w:r>
      <w:r w:rsidRPr="00EC672E">
        <w:rPr>
          <w:rFonts w:ascii="Arial" w:hAnsi="Arial" w:cs="Arial"/>
          <w:sz w:val="22"/>
        </w:rPr>
        <w:t>„</w:t>
      </w:r>
      <w:proofErr w:type="spellStart"/>
      <w:r w:rsidRPr="00EC672E">
        <w:rPr>
          <w:rFonts w:ascii="Arial" w:hAnsi="Arial" w:cs="Arial"/>
          <w:sz w:val="22"/>
        </w:rPr>
        <w:t>KP</w:t>
      </w:r>
      <w:proofErr w:type="spellEnd"/>
      <w:r w:rsidRPr="00EC672E">
        <w:rPr>
          <w:rFonts w:ascii="Arial" w:hAnsi="Arial" w:cs="Arial"/>
          <w:sz w:val="22"/>
        </w:rPr>
        <w:t xml:space="preserve">“). Tyto transfery jsou poskytovány Ministerstvem dopravy, a to zejména s využitím zprostředkujícího subjektu, kterým je </w:t>
      </w:r>
      <w:proofErr w:type="spellStart"/>
      <w:r w:rsidRPr="00EC672E">
        <w:rPr>
          <w:rFonts w:ascii="Arial" w:hAnsi="Arial" w:cs="Arial"/>
          <w:sz w:val="22"/>
        </w:rPr>
        <w:t>SFDI</w:t>
      </w:r>
      <w:proofErr w:type="spellEnd"/>
      <w:r w:rsidRPr="00EC672E">
        <w:rPr>
          <w:rFonts w:ascii="Arial" w:hAnsi="Arial" w:cs="Arial"/>
          <w:sz w:val="22"/>
        </w:rPr>
        <w:t xml:space="preserve">. 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NKÚ hodnotil, jakou roli v rámci </w:t>
      </w:r>
      <w:proofErr w:type="spellStart"/>
      <w:r w:rsidRPr="00EC672E">
        <w:rPr>
          <w:rFonts w:ascii="Arial" w:hAnsi="Arial" w:cs="Arial"/>
          <w:sz w:val="22"/>
        </w:rPr>
        <w:t>OP</w:t>
      </w:r>
      <w:r w:rsidR="00891096" w:rsidRPr="00EC672E">
        <w:rPr>
          <w:rFonts w:ascii="Arial" w:hAnsi="Arial" w:cs="Arial"/>
          <w:sz w:val="22"/>
        </w:rPr>
        <w:t>D</w:t>
      </w:r>
      <w:proofErr w:type="spellEnd"/>
      <w:r w:rsidRPr="00EC672E">
        <w:rPr>
          <w:rFonts w:ascii="Arial" w:hAnsi="Arial" w:cs="Arial"/>
          <w:sz w:val="22"/>
        </w:rPr>
        <w:t xml:space="preserve"> a </w:t>
      </w:r>
      <w:proofErr w:type="spellStart"/>
      <w:r w:rsidRPr="00EC672E">
        <w:rPr>
          <w:rFonts w:ascii="Arial" w:hAnsi="Arial" w:cs="Arial"/>
          <w:sz w:val="22"/>
        </w:rPr>
        <w:t>KP</w:t>
      </w:r>
      <w:proofErr w:type="spellEnd"/>
      <w:r w:rsidRPr="00EC672E">
        <w:rPr>
          <w:rFonts w:ascii="Arial" w:hAnsi="Arial" w:cs="Arial"/>
          <w:sz w:val="22"/>
        </w:rPr>
        <w:t xml:space="preserve"> </w:t>
      </w:r>
      <w:r w:rsidR="00FE634C" w:rsidRPr="00EC672E">
        <w:rPr>
          <w:rFonts w:ascii="Arial" w:hAnsi="Arial" w:cs="Arial"/>
          <w:sz w:val="22"/>
        </w:rPr>
        <w:t xml:space="preserve">zaujímá </w:t>
      </w:r>
      <w:r w:rsidRPr="00EC672E">
        <w:rPr>
          <w:rFonts w:ascii="Arial" w:hAnsi="Arial" w:cs="Arial"/>
          <w:sz w:val="22"/>
        </w:rPr>
        <w:t>Ministerstvo dopravy z hlediska účetních předpisů</w:t>
      </w:r>
      <w:r w:rsidR="00FE634C" w:rsidRPr="00EC672E">
        <w:rPr>
          <w:rFonts w:ascii="Arial" w:hAnsi="Arial" w:cs="Arial"/>
          <w:sz w:val="22"/>
        </w:rPr>
        <w:t>:</w:t>
      </w:r>
      <w:r w:rsidRPr="00EC672E">
        <w:rPr>
          <w:rFonts w:ascii="Arial" w:hAnsi="Arial" w:cs="Arial"/>
          <w:sz w:val="22"/>
        </w:rPr>
        <w:t xml:space="preserve"> zda jej lze ve smyslu </w:t>
      </w: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703 </w:t>
      </w:r>
      <w:r w:rsidR="00244903" w:rsidRPr="00EC672E">
        <w:rPr>
          <w:rFonts w:ascii="Arial" w:hAnsi="Arial" w:cs="Arial"/>
          <w:sz w:val="22"/>
        </w:rPr>
        <w:t>–</w:t>
      </w:r>
      <w:r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 xml:space="preserve"> jednoznačně označit za tzv. </w:t>
      </w:r>
      <w:r w:rsidRPr="00EC672E">
        <w:rPr>
          <w:rFonts w:ascii="Arial" w:hAnsi="Arial" w:cs="Arial"/>
          <w:bCs/>
          <w:sz w:val="22"/>
        </w:rPr>
        <w:t>poskytovatele a</w:t>
      </w:r>
      <w:r w:rsidRPr="00EC672E">
        <w:rPr>
          <w:rFonts w:ascii="Arial" w:hAnsi="Arial" w:cs="Arial"/>
          <w:sz w:val="22"/>
        </w:rPr>
        <w:t xml:space="preserve"> příjemce transferu, nebo zda působí v roli zprostředkovatele, a to tzv. zprostředkovatele zahraničního transferu. Pro všechny tyto typy subjektů stanoví účetní standard specifické postupy účtování, které jsou odlišné a v důsledku mají zásadně rozdílný dopad na </w:t>
      </w:r>
      <w:proofErr w:type="spellStart"/>
      <w:r w:rsidRPr="00EC672E">
        <w:rPr>
          <w:rFonts w:ascii="Arial" w:hAnsi="Arial" w:cs="Arial"/>
          <w:sz w:val="22"/>
        </w:rPr>
        <w:t>ÚZ</w:t>
      </w:r>
      <w:proofErr w:type="spellEnd"/>
      <w:r w:rsidRPr="00EC672E">
        <w:rPr>
          <w:rFonts w:ascii="Arial" w:hAnsi="Arial" w:cs="Arial"/>
          <w:sz w:val="22"/>
        </w:rPr>
        <w:t xml:space="preserve">. </w:t>
      </w:r>
    </w:p>
    <w:p w:rsidR="00842B48" w:rsidRPr="00EC672E" w:rsidRDefault="00842B48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Dle </w:t>
      </w:r>
      <w:proofErr w:type="spellStart"/>
      <w:r w:rsidRPr="00EC672E">
        <w:rPr>
          <w:rFonts w:ascii="Arial" w:hAnsi="Arial" w:cs="Arial"/>
          <w:bCs/>
          <w:iCs/>
          <w:sz w:val="22"/>
        </w:rPr>
        <w:t>ČÚS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č. 703 </w:t>
      </w:r>
      <w:r w:rsidR="00244903" w:rsidRPr="00EC672E">
        <w:rPr>
          <w:rFonts w:ascii="Arial" w:hAnsi="Arial" w:cs="Arial"/>
          <w:bCs/>
          <w:iCs/>
          <w:sz w:val="22"/>
        </w:rPr>
        <w:t>–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>Transfery</w:t>
      </w:r>
      <w:r w:rsidR="00B2171D" w:rsidRPr="00EC672E">
        <w:rPr>
          <w:rFonts w:ascii="Arial" w:hAnsi="Arial" w:cs="Arial"/>
          <w:bCs/>
          <w:iCs/>
          <w:sz w:val="22"/>
        </w:rPr>
        <w:t>:</w:t>
      </w:r>
    </w:p>
    <w:p w:rsidR="004E6B66" w:rsidRPr="00EC672E" w:rsidRDefault="004E6B66" w:rsidP="00A37297">
      <w:pPr>
        <w:pStyle w:val="Odstavecseseznamem"/>
        <w:numPr>
          <w:ilvl w:val="0"/>
          <w:numId w:val="36"/>
        </w:numPr>
        <w:shd w:val="clear" w:color="auto" w:fill="FFFFFF"/>
        <w:ind w:left="284" w:hanging="284"/>
        <w:contextualSpacing w:val="0"/>
        <w:rPr>
          <w:rFonts w:ascii="Arial" w:hAnsi="Arial" w:cs="Arial"/>
          <w:bCs/>
          <w:iCs/>
          <w:sz w:val="22"/>
          <w:lang w:val="cs-CZ"/>
        </w:rPr>
      </w:pPr>
      <w:r w:rsidRPr="00EC672E">
        <w:rPr>
          <w:rFonts w:ascii="Arial" w:hAnsi="Arial" w:cs="Arial"/>
          <w:bCs/>
          <w:iCs/>
          <w:sz w:val="22"/>
          <w:lang w:val="cs-CZ"/>
        </w:rPr>
        <w:t>zprostředkovatel zahraničního transferu neúčtuje a nev</w:t>
      </w:r>
      <w:r w:rsidR="001F60CD" w:rsidRPr="00EC672E">
        <w:rPr>
          <w:rFonts w:ascii="Arial" w:hAnsi="Arial" w:cs="Arial"/>
          <w:bCs/>
          <w:iCs/>
          <w:sz w:val="22"/>
          <w:lang w:val="cs-CZ"/>
        </w:rPr>
        <w:t xml:space="preserve">ykazuje náklady ani výnosy, </w:t>
      </w:r>
      <w:r w:rsidR="00B2171D" w:rsidRPr="00EC672E">
        <w:rPr>
          <w:rFonts w:ascii="Arial" w:hAnsi="Arial" w:cs="Arial"/>
          <w:bCs/>
          <w:iCs/>
          <w:sz w:val="22"/>
          <w:lang w:val="cs-CZ"/>
        </w:rPr>
        <w:t xml:space="preserve">a tedy </w:t>
      </w:r>
      <w:r w:rsidRPr="00EC672E">
        <w:rPr>
          <w:rFonts w:ascii="Arial" w:hAnsi="Arial" w:cs="Arial"/>
          <w:bCs/>
          <w:iCs/>
          <w:sz w:val="22"/>
          <w:lang w:val="cs-CZ"/>
        </w:rPr>
        <w:t xml:space="preserve">účetní případy nemají vliv na vykázaný výsledek hospodaření účetní jednotky, </w:t>
      </w:r>
    </w:p>
    <w:p w:rsidR="004E6B66" w:rsidRPr="00EC672E" w:rsidRDefault="004E6B66" w:rsidP="00A37297">
      <w:pPr>
        <w:pStyle w:val="Odstavecseseznamem"/>
        <w:numPr>
          <w:ilvl w:val="0"/>
          <w:numId w:val="36"/>
        </w:numPr>
        <w:shd w:val="clear" w:color="auto" w:fill="FFFFFF"/>
        <w:ind w:left="284" w:hanging="284"/>
        <w:contextualSpacing w:val="0"/>
        <w:rPr>
          <w:rFonts w:ascii="Arial" w:hAnsi="Arial" w:cs="Arial"/>
          <w:bCs/>
          <w:iCs/>
          <w:sz w:val="22"/>
          <w:lang w:val="cs-CZ"/>
        </w:rPr>
      </w:pPr>
      <w:r w:rsidRPr="00EC672E">
        <w:rPr>
          <w:rFonts w:ascii="Arial" w:hAnsi="Arial" w:cs="Arial"/>
          <w:bCs/>
          <w:iCs/>
          <w:sz w:val="22"/>
          <w:lang w:val="cs-CZ"/>
        </w:rPr>
        <w:t>poskytovatel a příjemce účtuje nejen o nákladech a výnosech, ale navíc u zálohově poskytovaných transferů účtuje také o závazcích a pohledávkách dohadného charakteru, což se v </w:t>
      </w:r>
      <w:proofErr w:type="spellStart"/>
      <w:r w:rsidRPr="00EC672E">
        <w:rPr>
          <w:rFonts w:ascii="Arial" w:hAnsi="Arial" w:cs="Arial"/>
          <w:bCs/>
          <w:iCs/>
          <w:sz w:val="22"/>
          <w:lang w:val="cs-CZ"/>
        </w:rPr>
        <w:t>ÚZ</w:t>
      </w:r>
      <w:proofErr w:type="spellEnd"/>
      <w:r w:rsidRPr="00EC672E">
        <w:rPr>
          <w:rFonts w:ascii="Arial" w:hAnsi="Arial" w:cs="Arial"/>
          <w:bCs/>
          <w:iCs/>
          <w:sz w:val="22"/>
          <w:lang w:val="cs-CZ"/>
        </w:rPr>
        <w:t xml:space="preserve"> – oproti zprostředkovateli – projevuje navyšováním vykázané bilanční sumy. </w:t>
      </w:r>
    </w:p>
    <w:p w:rsidR="00842B48" w:rsidRPr="00EC672E" w:rsidRDefault="00842B48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MD zvolilo postup, při kterém účetní případy týkající se </w:t>
      </w:r>
      <w:proofErr w:type="spellStart"/>
      <w:r w:rsidRPr="00EC672E">
        <w:rPr>
          <w:rFonts w:ascii="Arial" w:hAnsi="Arial" w:cs="Arial"/>
          <w:sz w:val="22"/>
        </w:rPr>
        <w:t>OPD</w:t>
      </w:r>
      <w:proofErr w:type="spellEnd"/>
      <w:r w:rsidRPr="00EC672E">
        <w:rPr>
          <w:rFonts w:ascii="Arial" w:hAnsi="Arial" w:cs="Arial"/>
          <w:sz w:val="22"/>
        </w:rPr>
        <w:t xml:space="preserve"> a </w:t>
      </w:r>
      <w:proofErr w:type="spellStart"/>
      <w:r w:rsidRPr="00EC672E">
        <w:rPr>
          <w:rFonts w:ascii="Arial" w:hAnsi="Arial" w:cs="Arial"/>
          <w:sz w:val="22"/>
        </w:rPr>
        <w:t>KP</w:t>
      </w:r>
      <w:proofErr w:type="spellEnd"/>
      <w:r w:rsidRPr="00EC672E">
        <w:rPr>
          <w:rFonts w:ascii="Arial" w:hAnsi="Arial" w:cs="Arial"/>
          <w:sz w:val="22"/>
        </w:rPr>
        <w:t xml:space="preserve"> zachycovalo v zásadě tak, jak by dle </w:t>
      </w: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</w:rPr>
        <w:t xml:space="preserve"> č. 703 </w:t>
      </w:r>
      <w:r w:rsidR="00244903" w:rsidRPr="00EC672E">
        <w:rPr>
          <w:rFonts w:ascii="Arial" w:hAnsi="Arial" w:cs="Arial"/>
          <w:sz w:val="22"/>
        </w:rPr>
        <w:t>–</w:t>
      </w:r>
      <w:r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i/>
          <w:sz w:val="22"/>
        </w:rPr>
        <w:t>Transfery</w:t>
      </w:r>
      <w:r w:rsidRPr="00EC672E">
        <w:rPr>
          <w:rFonts w:ascii="Arial" w:hAnsi="Arial" w:cs="Arial"/>
          <w:sz w:val="22"/>
        </w:rPr>
        <w:t xml:space="preserve"> měl účtovat tzv. poskytovatel a příjemce transferu. 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sz w:val="22"/>
        </w:rPr>
        <w:t>NKÚ se ve svém hodnocení zaměřil na prostředky poskytnuté ze státního rozpočtu na předfinancování výdajů, které mají být kryty prostředky Národn</w:t>
      </w:r>
      <w:r w:rsidR="00244903" w:rsidRPr="00EC672E">
        <w:rPr>
          <w:rFonts w:ascii="Arial" w:hAnsi="Arial" w:cs="Arial"/>
          <w:sz w:val="22"/>
        </w:rPr>
        <w:t xml:space="preserve">ího fondu nebo přímo </w:t>
      </w:r>
      <w:r w:rsidR="00244903" w:rsidRPr="00EC672E">
        <w:rPr>
          <w:rFonts w:ascii="Arial" w:hAnsi="Arial" w:cs="Arial"/>
          <w:sz w:val="22"/>
        </w:rPr>
        <w:lastRenderedPageBreak/>
        <w:t xml:space="preserve">prostředky </w:t>
      </w:r>
      <w:r w:rsidRPr="00EC672E">
        <w:rPr>
          <w:rFonts w:ascii="Arial" w:hAnsi="Arial" w:cs="Arial"/>
          <w:sz w:val="22"/>
        </w:rPr>
        <w:t>z rozpočtu Evropské unie, a to na prostředky</w:t>
      </w:r>
      <w:r w:rsidRPr="00EC672E">
        <w:rPr>
          <w:rFonts w:ascii="Arial" w:hAnsi="Arial" w:cs="Arial"/>
          <w:bCs/>
          <w:iCs/>
          <w:sz w:val="22"/>
        </w:rPr>
        <w:t xml:space="preserve"> poskytnuté </w:t>
      </w:r>
      <w:r w:rsidR="00FE634C" w:rsidRPr="00EC672E">
        <w:rPr>
          <w:rFonts w:ascii="Arial" w:hAnsi="Arial" w:cs="Arial"/>
          <w:bCs/>
          <w:iCs/>
          <w:sz w:val="22"/>
        </w:rPr>
        <w:t xml:space="preserve">ze </w:t>
      </w:r>
      <w:proofErr w:type="spellStart"/>
      <w:r w:rsidRPr="00EC672E">
        <w:rPr>
          <w:rFonts w:ascii="Arial" w:hAnsi="Arial" w:cs="Arial"/>
          <w:bCs/>
          <w:iCs/>
          <w:sz w:val="22"/>
        </w:rPr>
        <w:t>SFDI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a určené k refinancování z rozpočtu EU. </w:t>
      </w: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Refinancování je prováděno </w:t>
      </w:r>
      <w:r w:rsidR="00FE634C" w:rsidRPr="00EC672E">
        <w:rPr>
          <w:rFonts w:ascii="Arial" w:hAnsi="Arial" w:cs="Arial"/>
          <w:bCs/>
          <w:iCs/>
          <w:sz w:val="22"/>
        </w:rPr>
        <w:t xml:space="preserve">(v případě </w:t>
      </w:r>
      <w:proofErr w:type="spellStart"/>
      <w:r w:rsidR="00FE634C" w:rsidRPr="00EC672E">
        <w:rPr>
          <w:rFonts w:ascii="Arial" w:hAnsi="Arial" w:cs="Arial"/>
          <w:bCs/>
          <w:iCs/>
          <w:sz w:val="22"/>
        </w:rPr>
        <w:t>KP</w:t>
      </w:r>
      <w:proofErr w:type="spellEnd"/>
      <w:r w:rsidR="00FE634C" w:rsidRPr="00EC672E">
        <w:rPr>
          <w:rFonts w:ascii="Arial" w:hAnsi="Arial" w:cs="Arial"/>
          <w:bCs/>
          <w:iCs/>
          <w:sz w:val="22"/>
        </w:rPr>
        <w:t>)</w:t>
      </w:r>
      <w:r w:rsidRPr="00EC672E">
        <w:rPr>
          <w:rFonts w:ascii="Arial" w:hAnsi="Arial" w:cs="Arial"/>
          <w:bCs/>
          <w:iCs/>
          <w:sz w:val="22"/>
        </w:rPr>
        <w:t xml:space="preserve"> přímo z Evropské komise (dále jen „</w:t>
      </w:r>
      <w:proofErr w:type="spellStart"/>
      <w:r w:rsidRPr="00EC672E">
        <w:rPr>
          <w:rFonts w:ascii="Arial" w:hAnsi="Arial" w:cs="Arial"/>
          <w:bCs/>
          <w:iCs/>
          <w:sz w:val="22"/>
        </w:rPr>
        <w:t>EK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“), tedy od subjektu se sídlem v zahraničí, anebo </w:t>
      </w:r>
      <w:r w:rsidR="00FE634C" w:rsidRPr="00EC672E">
        <w:rPr>
          <w:rFonts w:ascii="Arial" w:hAnsi="Arial" w:cs="Arial"/>
          <w:bCs/>
          <w:iCs/>
          <w:sz w:val="22"/>
        </w:rPr>
        <w:t xml:space="preserve">(v případě </w:t>
      </w:r>
      <w:proofErr w:type="spellStart"/>
      <w:r w:rsidR="00FE634C" w:rsidRPr="00EC672E">
        <w:rPr>
          <w:rFonts w:ascii="Arial" w:hAnsi="Arial" w:cs="Arial"/>
          <w:bCs/>
          <w:iCs/>
          <w:sz w:val="22"/>
        </w:rPr>
        <w:t>OP</w:t>
      </w:r>
      <w:r w:rsidR="00CD1602" w:rsidRPr="00EC672E">
        <w:rPr>
          <w:rFonts w:ascii="Arial" w:hAnsi="Arial" w:cs="Arial"/>
          <w:bCs/>
          <w:iCs/>
          <w:sz w:val="22"/>
        </w:rPr>
        <w:t>D</w:t>
      </w:r>
      <w:proofErr w:type="spellEnd"/>
      <w:r w:rsidR="00FE634C" w:rsidRPr="00EC672E">
        <w:rPr>
          <w:rFonts w:ascii="Arial" w:hAnsi="Arial" w:cs="Arial"/>
          <w:bCs/>
          <w:iCs/>
          <w:sz w:val="22"/>
        </w:rPr>
        <w:t xml:space="preserve">) </w:t>
      </w:r>
      <w:r w:rsidRPr="00EC672E">
        <w:rPr>
          <w:rFonts w:ascii="Arial" w:hAnsi="Arial" w:cs="Arial"/>
          <w:bCs/>
          <w:iCs/>
          <w:sz w:val="22"/>
        </w:rPr>
        <w:t>z prostředků Národního fondu, tj.</w:t>
      </w:r>
      <w:r w:rsidR="00526015" w:rsidRPr="00EC672E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>z prostředků svěřených České republice Evropskou unií k realizaci programů nebo projektů spolufinancovaných z rozpočtu EU a</w:t>
      </w:r>
      <w:r w:rsidR="00FE634C" w:rsidRPr="00EC672E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 xml:space="preserve">spravovaných Ministerstvem financí. </w:t>
      </w:r>
    </w:p>
    <w:p w:rsidR="00842B48" w:rsidRPr="00EC672E" w:rsidRDefault="00842B48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Podle </w:t>
      </w:r>
      <w:proofErr w:type="spellStart"/>
      <w:r w:rsidRPr="00EC672E">
        <w:rPr>
          <w:rFonts w:ascii="Arial" w:hAnsi="Arial" w:cs="Arial"/>
          <w:bCs/>
          <w:iCs/>
          <w:sz w:val="22"/>
        </w:rPr>
        <w:t>ČÚS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č. 703 </w:t>
      </w:r>
      <w:r w:rsidR="00244903" w:rsidRPr="00EC672E">
        <w:rPr>
          <w:rFonts w:ascii="Arial" w:hAnsi="Arial" w:cs="Arial"/>
          <w:bCs/>
          <w:iCs/>
          <w:sz w:val="22"/>
        </w:rPr>
        <w:t>–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>Transfery</w:t>
      </w:r>
      <w:r w:rsidRPr="00EC672E">
        <w:rPr>
          <w:rFonts w:ascii="Arial" w:hAnsi="Arial" w:cs="Arial"/>
          <w:bCs/>
          <w:iCs/>
          <w:sz w:val="22"/>
        </w:rPr>
        <w:t xml:space="preserve"> jsou </w:t>
      </w:r>
      <w:proofErr w:type="spellStart"/>
      <w:r w:rsidRPr="00EC672E">
        <w:rPr>
          <w:rFonts w:ascii="Arial" w:hAnsi="Arial" w:cs="Arial"/>
          <w:bCs/>
          <w:iCs/>
          <w:sz w:val="22"/>
        </w:rPr>
        <w:t>OSS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poskytující prostředky získané od subjektu se sídlem v zahraničí zprostředkovatelem zahraničního transferu. MD je </w:t>
      </w:r>
      <w:proofErr w:type="spellStart"/>
      <w:r w:rsidRPr="00EC672E">
        <w:rPr>
          <w:rFonts w:ascii="Arial" w:hAnsi="Arial" w:cs="Arial"/>
          <w:bCs/>
          <w:iCs/>
          <w:sz w:val="22"/>
        </w:rPr>
        <w:t>OSS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a v tomto smyslu lze výkladově dovodit, že role MD odpovídá roli zprostředkovat</w:t>
      </w:r>
      <w:r w:rsidR="001F60CD" w:rsidRPr="00EC672E">
        <w:rPr>
          <w:rFonts w:ascii="Arial" w:hAnsi="Arial" w:cs="Arial"/>
          <w:bCs/>
          <w:iCs/>
          <w:sz w:val="22"/>
        </w:rPr>
        <w:t>ele zahraničního transferu, tj. </w:t>
      </w:r>
      <w:r w:rsidRPr="00EC672E">
        <w:rPr>
          <w:rFonts w:ascii="Arial" w:hAnsi="Arial" w:cs="Arial"/>
          <w:bCs/>
          <w:iCs/>
          <w:sz w:val="22"/>
        </w:rPr>
        <w:t xml:space="preserve">transferu prostředků z Evropské unie. </w:t>
      </w:r>
    </w:p>
    <w:p w:rsidR="00842B48" w:rsidRPr="00EC672E" w:rsidRDefault="00842B48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/>
          <w:bCs/>
          <w:sz w:val="22"/>
        </w:rPr>
      </w:pPr>
      <w:r w:rsidRPr="00EC672E">
        <w:rPr>
          <w:rFonts w:ascii="Arial" w:hAnsi="Arial" w:cs="Arial"/>
          <w:b/>
          <w:bCs/>
          <w:sz w:val="22"/>
        </w:rPr>
        <w:t>Postupy účtování, přesně uvedené v </w:t>
      </w:r>
      <w:proofErr w:type="spellStart"/>
      <w:r w:rsidRPr="00EC672E">
        <w:rPr>
          <w:rFonts w:ascii="Arial" w:hAnsi="Arial" w:cs="Arial"/>
          <w:b/>
          <w:bCs/>
          <w:sz w:val="22"/>
        </w:rPr>
        <w:t>ČÚS</w:t>
      </w:r>
      <w:proofErr w:type="spellEnd"/>
      <w:r w:rsidRPr="00EC672E">
        <w:rPr>
          <w:rFonts w:ascii="Arial" w:hAnsi="Arial" w:cs="Arial"/>
          <w:b/>
          <w:bCs/>
          <w:sz w:val="22"/>
        </w:rPr>
        <w:t xml:space="preserve"> č. 703 </w:t>
      </w:r>
      <w:r w:rsidR="00244903" w:rsidRPr="00EC672E">
        <w:rPr>
          <w:rFonts w:ascii="Arial" w:hAnsi="Arial" w:cs="Arial"/>
          <w:b/>
          <w:bCs/>
          <w:sz w:val="22"/>
        </w:rPr>
        <w:t>–</w:t>
      </w:r>
      <w:r w:rsidRPr="00EC672E">
        <w:rPr>
          <w:rFonts w:ascii="Arial" w:hAnsi="Arial" w:cs="Arial"/>
          <w:b/>
          <w:bCs/>
          <w:sz w:val="22"/>
        </w:rPr>
        <w:t xml:space="preserve"> </w:t>
      </w:r>
      <w:r w:rsidRPr="00EC672E">
        <w:rPr>
          <w:rFonts w:ascii="Arial" w:hAnsi="Arial" w:cs="Arial"/>
          <w:b/>
          <w:bCs/>
          <w:i/>
          <w:sz w:val="22"/>
        </w:rPr>
        <w:t>Transfery</w:t>
      </w:r>
      <w:r w:rsidRPr="00EC672E">
        <w:rPr>
          <w:rFonts w:ascii="Arial" w:hAnsi="Arial" w:cs="Arial"/>
          <w:b/>
          <w:bCs/>
          <w:sz w:val="22"/>
        </w:rPr>
        <w:t xml:space="preserve"> pro případ zprostředkovatele zahraničního transferu, jsou však v daném případě na MD obtížně aplikovatelné, neboť z důvodu daného způsobu financování, </w:t>
      </w:r>
      <w:r w:rsidR="007F5B4E" w:rsidRPr="00EC672E">
        <w:rPr>
          <w:rFonts w:ascii="Arial" w:hAnsi="Arial" w:cs="Arial"/>
          <w:b/>
          <w:bCs/>
          <w:sz w:val="22"/>
        </w:rPr>
        <w:t xml:space="preserve">který </w:t>
      </w:r>
      <w:r w:rsidRPr="00EC672E">
        <w:rPr>
          <w:rFonts w:ascii="Arial" w:hAnsi="Arial" w:cs="Arial"/>
          <w:b/>
          <w:bCs/>
          <w:sz w:val="22"/>
        </w:rPr>
        <w:t>spočív</w:t>
      </w:r>
      <w:r w:rsidR="007F5B4E" w:rsidRPr="00EC672E">
        <w:rPr>
          <w:rFonts w:ascii="Arial" w:hAnsi="Arial" w:cs="Arial"/>
          <w:b/>
          <w:bCs/>
          <w:sz w:val="22"/>
        </w:rPr>
        <w:t>á</w:t>
      </w:r>
      <w:r w:rsidRPr="00EC672E">
        <w:rPr>
          <w:rFonts w:ascii="Arial" w:hAnsi="Arial" w:cs="Arial"/>
          <w:b/>
          <w:bCs/>
          <w:sz w:val="22"/>
        </w:rPr>
        <w:t xml:space="preserve"> v</w:t>
      </w:r>
      <w:r w:rsidR="001F60CD" w:rsidRPr="00EC672E">
        <w:rPr>
          <w:rFonts w:ascii="Arial" w:hAnsi="Arial" w:cs="Arial"/>
          <w:b/>
          <w:bCs/>
          <w:sz w:val="22"/>
        </w:rPr>
        <w:t> tzv. </w:t>
      </w:r>
      <w:r w:rsidRPr="00EC672E">
        <w:rPr>
          <w:rFonts w:ascii="Arial" w:hAnsi="Arial" w:cs="Arial"/>
          <w:b/>
          <w:bCs/>
          <w:sz w:val="22"/>
        </w:rPr>
        <w:t xml:space="preserve">předfinancování prostředků spolufinancovaných z EU, probíhají finanční toky odlišným způsobem, než odpovídá popisu toků, na který jsou postupy účtování v účetním standardu nastaveny. </w:t>
      </w: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sz w:val="22"/>
        </w:rPr>
        <w:t xml:space="preserve">MD v roce 2011 postupovalo tak, že o účetních případech týkajících se transferů v rámci </w:t>
      </w:r>
      <w:proofErr w:type="spellStart"/>
      <w:r w:rsidRPr="00EC672E">
        <w:rPr>
          <w:rFonts w:ascii="Arial" w:hAnsi="Arial" w:cs="Arial"/>
          <w:sz w:val="22"/>
        </w:rPr>
        <w:t>OP</w:t>
      </w:r>
      <w:r w:rsidR="00CD1602" w:rsidRPr="00EC672E">
        <w:rPr>
          <w:rFonts w:ascii="Arial" w:hAnsi="Arial" w:cs="Arial"/>
          <w:sz w:val="22"/>
        </w:rPr>
        <w:t>D</w:t>
      </w:r>
      <w:proofErr w:type="spellEnd"/>
      <w:r w:rsidRPr="00EC672E">
        <w:rPr>
          <w:rFonts w:ascii="Arial" w:hAnsi="Arial" w:cs="Arial"/>
          <w:sz w:val="22"/>
        </w:rPr>
        <w:t xml:space="preserve"> a </w:t>
      </w:r>
      <w:proofErr w:type="spellStart"/>
      <w:r w:rsidRPr="00EC672E">
        <w:rPr>
          <w:rFonts w:ascii="Arial" w:hAnsi="Arial" w:cs="Arial"/>
          <w:sz w:val="22"/>
        </w:rPr>
        <w:t>KP</w:t>
      </w:r>
      <w:proofErr w:type="spellEnd"/>
      <w:r w:rsidRPr="00EC672E">
        <w:rPr>
          <w:rFonts w:ascii="Arial" w:hAnsi="Arial" w:cs="Arial"/>
          <w:sz w:val="22"/>
        </w:rPr>
        <w:t xml:space="preserve"> účtovalo jako poskytovatel s povinností finančního vypořádání. Vykázalo tak mj. významné zůstatky na dohadných účtech pasivních a také náklady na transfery. Tento postup vycházel z toho, že </w:t>
      </w:r>
      <w:r w:rsidRPr="00EC672E">
        <w:rPr>
          <w:rFonts w:ascii="Arial" w:hAnsi="Arial" w:cs="Arial"/>
          <w:bCs/>
          <w:iCs/>
          <w:sz w:val="22"/>
        </w:rPr>
        <w:t xml:space="preserve">MD poskytovalo prostředky </w:t>
      </w:r>
      <w:proofErr w:type="spellStart"/>
      <w:r w:rsidRPr="00EC672E">
        <w:rPr>
          <w:rFonts w:ascii="Arial" w:hAnsi="Arial" w:cs="Arial"/>
          <w:bCs/>
          <w:iCs/>
          <w:sz w:val="22"/>
        </w:rPr>
        <w:t>OPD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a </w:t>
      </w:r>
      <w:proofErr w:type="spellStart"/>
      <w:r w:rsidRPr="00EC672E">
        <w:rPr>
          <w:rFonts w:ascii="Arial" w:hAnsi="Arial" w:cs="Arial"/>
          <w:bCs/>
          <w:iCs/>
          <w:sz w:val="22"/>
        </w:rPr>
        <w:t>KP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na základě vydá</w:t>
      </w:r>
      <w:r w:rsidR="007F5B4E" w:rsidRPr="00EC672E">
        <w:rPr>
          <w:rFonts w:ascii="Arial" w:hAnsi="Arial" w:cs="Arial"/>
          <w:bCs/>
          <w:iCs/>
          <w:sz w:val="22"/>
        </w:rPr>
        <w:t>vá</w:t>
      </w:r>
      <w:r w:rsidRPr="00EC672E">
        <w:rPr>
          <w:rFonts w:ascii="Arial" w:hAnsi="Arial" w:cs="Arial"/>
          <w:bCs/>
          <w:iCs/>
          <w:sz w:val="22"/>
        </w:rPr>
        <w:t xml:space="preserve">ní </w:t>
      </w:r>
      <w:r w:rsidR="007F5B4E" w:rsidRPr="00EC672E">
        <w:rPr>
          <w:rFonts w:ascii="Arial" w:hAnsi="Arial" w:cs="Arial"/>
          <w:bCs/>
          <w:iCs/>
          <w:sz w:val="22"/>
        </w:rPr>
        <w:t>svých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="000D1366" w:rsidRPr="00EC672E">
        <w:rPr>
          <w:rFonts w:ascii="Arial" w:hAnsi="Arial" w:cs="Arial"/>
          <w:bCs/>
          <w:iCs/>
          <w:sz w:val="22"/>
        </w:rPr>
        <w:t>r</w:t>
      </w:r>
      <w:r w:rsidRPr="00EC672E">
        <w:rPr>
          <w:rFonts w:ascii="Arial" w:hAnsi="Arial" w:cs="Arial"/>
          <w:bCs/>
          <w:iCs/>
          <w:sz w:val="22"/>
        </w:rPr>
        <w:t>ozhodnutí o poskytnutí finanční dotace a poskytnuté prostředky, tj. prostředky určené k refinancování z prostředků ze zahraničí, podléhaly v souladu s</w:t>
      </w:r>
      <w:r w:rsidR="00271E01" w:rsidRPr="00EC672E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 xml:space="preserve">vyhláškou č. 52/2008 Sb. finančnímu vypořádání se státním rozpočtem. Na základě toho lze výkladově dovozovat, že role MD odpovídá roli poskytovatele dle </w:t>
      </w:r>
      <w:proofErr w:type="spellStart"/>
      <w:r w:rsidRPr="00EC672E">
        <w:rPr>
          <w:rFonts w:ascii="Arial" w:hAnsi="Arial" w:cs="Arial"/>
          <w:bCs/>
          <w:iCs/>
          <w:sz w:val="22"/>
        </w:rPr>
        <w:t>ČÚS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č. 703</w:t>
      </w:r>
      <w:r w:rsidR="006B0BD4" w:rsidRPr="00EC672E">
        <w:rPr>
          <w:rFonts w:ascii="Arial" w:hAnsi="Arial" w:cs="Arial"/>
          <w:bCs/>
          <w:iCs/>
          <w:sz w:val="22"/>
        </w:rPr>
        <w:t xml:space="preserve"> –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>Transfery</w:t>
      </w:r>
      <w:r w:rsidRPr="00EC672E">
        <w:rPr>
          <w:rFonts w:ascii="Arial" w:hAnsi="Arial" w:cs="Arial"/>
          <w:bCs/>
          <w:iCs/>
          <w:sz w:val="22"/>
        </w:rPr>
        <w:t>.</w:t>
      </w: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sz w:val="22"/>
        </w:rPr>
        <w:t xml:space="preserve">MD však muselo také rozhodnout, jak účtovat o přijatém refinancování transferů z Národního fondu a </w:t>
      </w:r>
      <w:proofErr w:type="spellStart"/>
      <w:r w:rsidRPr="00EC672E">
        <w:rPr>
          <w:rFonts w:ascii="Arial" w:hAnsi="Arial" w:cs="Arial"/>
          <w:bCs/>
          <w:sz w:val="22"/>
        </w:rPr>
        <w:t>EK</w:t>
      </w:r>
      <w:proofErr w:type="spellEnd"/>
      <w:r w:rsidRPr="00EC672E">
        <w:rPr>
          <w:rFonts w:ascii="Arial" w:hAnsi="Arial" w:cs="Arial"/>
          <w:bCs/>
          <w:sz w:val="22"/>
        </w:rPr>
        <w:t xml:space="preserve">. MD o těchto prostředcích účtovalo jako jejich příjemce. Příjemcem by však měl být ve smyslu účetního standardu ten subjekt, jehož cílem je použít přijaté prostředky zejména pro pořízení aktiva nebo </w:t>
      </w:r>
      <w:r w:rsidR="007F5B4E" w:rsidRPr="00EC672E">
        <w:rPr>
          <w:rFonts w:ascii="Arial" w:hAnsi="Arial" w:cs="Arial"/>
          <w:bCs/>
          <w:sz w:val="22"/>
        </w:rPr>
        <w:t xml:space="preserve">na </w:t>
      </w:r>
      <w:r w:rsidRPr="00EC672E">
        <w:rPr>
          <w:rFonts w:ascii="Arial" w:hAnsi="Arial" w:cs="Arial"/>
          <w:bCs/>
          <w:sz w:val="22"/>
        </w:rPr>
        <w:t xml:space="preserve">úhradu závazku. U MD však přijetím prostředků docházelo k refinancování předfinancovaných prostředků, zatímco konečným příjemcem, jenž měl prostředky z transferů ve smyslu </w:t>
      </w:r>
      <w:proofErr w:type="spellStart"/>
      <w:r w:rsidRPr="00EC672E">
        <w:rPr>
          <w:rFonts w:ascii="Arial" w:hAnsi="Arial" w:cs="Arial"/>
          <w:bCs/>
          <w:sz w:val="22"/>
        </w:rPr>
        <w:t>ČÚS</w:t>
      </w:r>
      <w:proofErr w:type="spellEnd"/>
      <w:r w:rsidRPr="00EC672E">
        <w:rPr>
          <w:rFonts w:ascii="Arial" w:hAnsi="Arial" w:cs="Arial"/>
          <w:bCs/>
          <w:sz w:val="22"/>
        </w:rPr>
        <w:t xml:space="preserve"> č. 703 </w:t>
      </w:r>
      <w:r w:rsidR="006B0BD4" w:rsidRPr="00EC672E">
        <w:rPr>
          <w:rFonts w:ascii="Arial" w:hAnsi="Arial" w:cs="Arial"/>
          <w:bCs/>
          <w:sz w:val="22"/>
        </w:rPr>
        <w:t>–</w:t>
      </w:r>
      <w:r w:rsidRPr="00EC672E">
        <w:rPr>
          <w:rFonts w:ascii="Arial" w:hAnsi="Arial" w:cs="Arial"/>
          <w:bCs/>
          <w:sz w:val="22"/>
        </w:rPr>
        <w:t xml:space="preserve"> </w:t>
      </w:r>
      <w:r w:rsidRPr="00EC672E">
        <w:rPr>
          <w:rFonts w:ascii="Arial" w:hAnsi="Arial" w:cs="Arial"/>
          <w:bCs/>
          <w:i/>
          <w:sz w:val="22"/>
        </w:rPr>
        <w:t>Transfery</w:t>
      </w:r>
      <w:r w:rsidRPr="00EC672E">
        <w:rPr>
          <w:rFonts w:ascii="Arial" w:hAnsi="Arial" w:cs="Arial"/>
          <w:bCs/>
          <w:sz w:val="22"/>
        </w:rPr>
        <w:t xml:space="preserve"> použít zejména </w:t>
      </w:r>
      <w:r w:rsidR="007F5B4E" w:rsidRPr="00EC672E">
        <w:rPr>
          <w:rFonts w:ascii="Arial" w:hAnsi="Arial" w:cs="Arial"/>
          <w:bCs/>
          <w:sz w:val="22"/>
        </w:rPr>
        <w:t>na</w:t>
      </w:r>
      <w:r w:rsidRPr="00EC672E">
        <w:rPr>
          <w:rFonts w:ascii="Arial" w:hAnsi="Arial" w:cs="Arial"/>
          <w:bCs/>
          <w:sz w:val="22"/>
        </w:rPr>
        <w:t xml:space="preserve"> pořízení aktiva nebo </w:t>
      </w:r>
      <w:r w:rsidR="007F5B4E" w:rsidRPr="00EC672E">
        <w:rPr>
          <w:rFonts w:ascii="Arial" w:hAnsi="Arial" w:cs="Arial"/>
          <w:bCs/>
          <w:sz w:val="22"/>
        </w:rPr>
        <w:t xml:space="preserve">na </w:t>
      </w:r>
      <w:r w:rsidRPr="00EC672E">
        <w:rPr>
          <w:rFonts w:ascii="Arial" w:hAnsi="Arial" w:cs="Arial"/>
          <w:bCs/>
          <w:sz w:val="22"/>
        </w:rPr>
        <w:t>úhradu závazku, byl jiný</w:t>
      </w:r>
      <w:r w:rsidR="007F5B4E" w:rsidRPr="00EC672E">
        <w:rPr>
          <w:rFonts w:ascii="Arial" w:hAnsi="Arial" w:cs="Arial"/>
          <w:bCs/>
          <w:sz w:val="22"/>
        </w:rPr>
        <w:t xml:space="preserve"> subjekt</w:t>
      </w:r>
      <w:r w:rsidRPr="00EC672E">
        <w:rPr>
          <w:rFonts w:ascii="Arial" w:hAnsi="Arial" w:cs="Arial"/>
          <w:sz w:val="22"/>
        </w:rPr>
        <w:t>.</w:t>
      </w:r>
      <w:r w:rsidRPr="00EC672E">
        <w:rPr>
          <w:rStyle w:val="Znakapoznpodarou"/>
          <w:rFonts w:ascii="Arial" w:hAnsi="Arial" w:cs="Arial"/>
          <w:sz w:val="22"/>
        </w:rPr>
        <w:footnoteReference w:id="4"/>
      </w: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Volba role, kterou MD v rámci </w:t>
      </w:r>
      <w:proofErr w:type="spellStart"/>
      <w:r w:rsidRPr="00EC672E">
        <w:rPr>
          <w:rFonts w:ascii="Arial" w:hAnsi="Arial" w:cs="Arial"/>
          <w:bCs/>
          <w:iCs/>
          <w:sz w:val="22"/>
        </w:rPr>
        <w:t>KP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a </w:t>
      </w:r>
      <w:proofErr w:type="spellStart"/>
      <w:r w:rsidRPr="00EC672E">
        <w:rPr>
          <w:rFonts w:ascii="Arial" w:hAnsi="Arial" w:cs="Arial"/>
          <w:bCs/>
          <w:iCs/>
          <w:sz w:val="22"/>
        </w:rPr>
        <w:t>OPD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hraje, je zásadní z hlediska dopadu na </w:t>
      </w:r>
      <w:proofErr w:type="spellStart"/>
      <w:r w:rsidRPr="00EC672E">
        <w:rPr>
          <w:rFonts w:ascii="Arial" w:hAnsi="Arial" w:cs="Arial"/>
          <w:bCs/>
          <w:iCs/>
          <w:sz w:val="22"/>
        </w:rPr>
        <w:t>ÚZ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MD. </w:t>
      </w:r>
      <w:r w:rsidRPr="00EC672E">
        <w:rPr>
          <w:rFonts w:ascii="Arial" w:hAnsi="Arial" w:cs="Arial"/>
          <w:sz w:val="22"/>
        </w:rPr>
        <w:t xml:space="preserve">Dopad zaúčtovaných účetních případů se promítl nejen do vykázané výše výsledku hospodaření MD, tj. do výše vykázaných nákladů a výnosů, ale také do nárůstu vykázané bilanční sumy v jeho rozvaze. </w:t>
      </w: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>Přístup zvolený MD je výkladově možný, z </w:t>
      </w:r>
      <w:proofErr w:type="spellStart"/>
      <w:r w:rsidRPr="00EC672E">
        <w:rPr>
          <w:rFonts w:ascii="Arial" w:hAnsi="Arial" w:cs="Arial"/>
          <w:bCs/>
          <w:iCs/>
          <w:sz w:val="22"/>
        </w:rPr>
        <w:t>ČÚS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č. 703 </w:t>
      </w:r>
      <w:r w:rsidR="006B0BD4" w:rsidRPr="00EC672E">
        <w:rPr>
          <w:rFonts w:ascii="Arial" w:hAnsi="Arial" w:cs="Arial"/>
          <w:bCs/>
          <w:iCs/>
          <w:sz w:val="22"/>
        </w:rPr>
        <w:t>–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>Transfery</w:t>
      </w:r>
      <w:r w:rsidRPr="00EC672E">
        <w:rPr>
          <w:rFonts w:ascii="Arial" w:hAnsi="Arial" w:cs="Arial"/>
          <w:bCs/>
          <w:iCs/>
          <w:sz w:val="22"/>
        </w:rPr>
        <w:t xml:space="preserve"> lze však vyvozovat i jiné přijatelné výklady. </w:t>
      </w:r>
      <w:r w:rsidRPr="00EC672E">
        <w:rPr>
          <w:rFonts w:ascii="Arial" w:hAnsi="Arial" w:cs="Arial"/>
          <w:sz w:val="22"/>
          <w:lang w:eastAsia="hi-IN" w:bidi="hi-IN"/>
        </w:rPr>
        <w:t>Vzhledem k tomu,</w:t>
      </w:r>
      <w:r w:rsidR="000D1366" w:rsidRPr="00EC672E">
        <w:rPr>
          <w:rFonts w:ascii="Arial" w:hAnsi="Arial" w:cs="Arial"/>
          <w:sz w:val="22"/>
          <w:lang w:eastAsia="hi-IN" w:bidi="hi-IN"/>
        </w:rPr>
        <w:t xml:space="preserve"> </w:t>
      </w:r>
      <w:r w:rsidRPr="00EC672E">
        <w:rPr>
          <w:rFonts w:ascii="Arial" w:hAnsi="Arial" w:cs="Arial"/>
          <w:sz w:val="22"/>
          <w:lang w:eastAsia="hi-IN" w:bidi="hi-IN"/>
        </w:rPr>
        <w:t xml:space="preserve">že </w:t>
      </w:r>
      <w:proofErr w:type="spellStart"/>
      <w:r w:rsidRPr="00EC672E">
        <w:rPr>
          <w:rFonts w:ascii="Arial" w:hAnsi="Arial" w:cs="Arial"/>
          <w:sz w:val="22"/>
        </w:rPr>
        <w:t>ČÚS</w:t>
      </w:r>
      <w:proofErr w:type="spellEnd"/>
      <w:r w:rsidRPr="00EC672E">
        <w:rPr>
          <w:rFonts w:ascii="Arial" w:hAnsi="Arial" w:cs="Arial"/>
          <w:sz w:val="22"/>
          <w:lang w:eastAsia="hi-IN" w:bidi="hi-IN"/>
        </w:rPr>
        <w:t xml:space="preserve"> č. 703 – </w:t>
      </w:r>
      <w:r w:rsidRPr="00EC672E">
        <w:rPr>
          <w:rFonts w:ascii="Arial" w:hAnsi="Arial" w:cs="Arial"/>
          <w:i/>
          <w:sz w:val="22"/>
          <w:lang w:eastAsia="hi-IN" w:bidi="hi-IN"/>
        </w:rPr>
        <w:t>Transfery</w:t>
      </w:r>
      <w:r w:rsidRPr="00EC672E">
        <w:rPr>
          <w:rFonts w:ascii="Arial" w:hAnsi="Arial" w:cs="Arial"/>
          <w:sz w:val="22"/>
          <w:lang w:eastAsia="hi-IN" w:bidi="hi-IN"/>
        </w:rPr>
        <w:t xml:space="preserve"> umožňuje různé výklady, jak účtovat o prostředcích komunitárních programů a </w:t>
      </w:r>
      <w:proofErr w:type="spellStart"/>
      <w:r w:rsidRPr="00EC672E">
        <w:rPr>
          <w:rFonts w:ascii="Arial" w:hAnsi="Arial" w:cs="Arial"/>
          <w:sz w:val="22"/>
          <w:lang w:eastAsia="hi-IN" w:bidi="hi-IN"/>
        </w:rPr>
        <w:t>OPD</w:t>
      </w:r>
      <w:proofErr w:type="spellEnd"/>
      <w:r w:rsidRPr="00EC672E">
        <w:rPr>
          <w:rFonts w:ascii="Arial" w:hAnsi="Arial" w:cs="Arial"/>
          <w:sz w:val="22"/>
          <w:lang w:eastAsia="hi-IN" w:bidi="hi-IN"/>
        </w:rPr>
        <w:t xml:space="preserve">, přičemž tyto výklady mají významný a různý dopad na údaje o výsledku hospodaření (náklady, výnosy), </w:t>
      </w:r>
      <w:r w:rsidRPr="00EC672E">
        <w:rPr>
          <w:rFonts w:ascii="Arial" w:hAnsi="Arial" w:cs="Arial"/>
          <w:bCs/>
          <w:sz w:val="22"/>
          <w:lang w:eastAsia="hi-IN" w:bidi="hi-IN"/>
        </w:rPr>
        <w:t>nevyjadřuje se NKÚ ke správnosti účtování a vykazování některých položek účetní závěrky sestavené k 31. </w:t>
      </w:r>
      <w:r w:rsidR="006B0BD4" w:rsidRPr="00EC672E">
        <w:rPr>
          <w:rFonts w:ascii="Arial" w:hAnsi="Arial" w:cs="Arial"/>
          <w:bCs/>
          <w:sz w:val="22"/>
          <w:lang w:eastAsia="hi-IN" w:bidi="hi-IN"/>
        </w:rPr>
        <w:t>prosinci</w:t>
      </w:r>
      <w:r w:rsidR="000D1366" w:rsidRPr="00EC672E">
        <w:rPr>
          <w:rFonts w:ascii="Arial" w:hAnsi="Arial" w:cs="Arial"/>
          <w:bCs/>
          <w:sz w:val="22"/>
          <w:lang w:eastAsia="hi-IN" w:bidi="hi-IN"/>
        </w:rPr>
        <w:t xml:space="preserve"> </w:t>
      </w:r>
      <w:r w:rsidRPr="00EC672E">
        <w:rPr>
          <w:rFonts w:ascii="Arial" w:hAnsi="Arial" w:cs="Arial"/>
          <w:bCs/>
          <w:sz w:val="22"/>
          <w:lang w:eastAsia="hi-IN" w:bidi="hi-IN"/>
        </w:rPr>
        <w:t>2011, a to těch, které souvisejí s pros</w:t>
      </w:r>
      <w:r w:rsidR="00271E01" w:rsidRPr="00EC672E">
        <w:rPr>
          <w:rFonts w:ascii="Arial" w:hAnsi="Arial" w:cs="Arial"/>
          <w:bCs/>
          <w:sz w:val="22"/>
          <w:lang w:eastAsia="hi-IN" w:bidi="hi-IN"/>
        </w:rPr>
        <w:t>tředky komunitárních programů a </w:t>
      </w:r>
      <w:proofErr w:type="spellStart"/>
      <w:r w:rsidRPr="00EC672E">
        <w:rPr>
          <w:rFonts w:ascii="Arial" w:hAnsi="Arial" w:cs="Arial"/>
          <w:bCs/>
          <w:sz w:val="22"/>
          <w:lang w:eastAsia="hi-IN" w:bidi="hi-IN"/>
        </w:rPr>
        <w:t>OPD</w:t>
      </w:r>
      <w:proofErr w:type="spellEnd"/>
      <w:r w:rsidRPr="00EC672E">
        <w:rPr>
          <w:rFonts w:ascii="Arial" w:hAnsi="Arial" w:cs="Arial"/>
          <w:bCs/>
          <w:sz w:val="22"/>
          <w:lang w:eastAsia="hi-IN" w:bidi="hi-IN"/>
        </w:rPr>
        <w:t xml:space="preserve">, které MD nerealizovalo přímo, ale prostřednictvím </w:t>
      </w:r>
      <w:proofErr w:type="spellStart"/>
      <w:r w:rsidRPr="00EC672E">
        <w:rPr>
          <w:rFonts w:ascii="Arial" w:hAnsi="Arial" w:cs="Arial"/>
          <w:bCs/>
          <w:sz w:val="22"/>
          <w:lang w:eastAsia="hi-IN" w:bidi="hi-IN"/>
        </w:rPr>
        <w:t>SFDI</w:t>
      </w:r>
      <w:proofErr w:type="spellEnd"/>
      <w:r w:rsidRPr="00EC672E">
        <w:rPr>
          <w:rFonts w:ascii="Arial" w:hAnsi="Arial" w:cs="Arial"/>
          <w:bCs/>
          <w:sz w:val="22"/>
          <w:lang w:eastAsia="hi-IN" w:bidi="hi-IN"/>
        </w:rPr>
        <w:t>.</w:t>
      </w:r>
    </w:p>
    <w:p w:rsidR="004E6B66" w:rsidRPr="00EC672E" w:rsidRDefault="004E6B66" w:rsidP="00A37297">
      <w:pPr>
        <w:shd w:val="clear" w:color="auto" w:fill="FFFFFF"/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sz w:val="22"/>
          <w:lang w:eastAsia="hi-IN" w:bidi="hi-IN"/>
        </w:rPr>
      </w:pPr>
      <w:r w:rsidRPr="00EC672E">
        <w:rPr>
          <w:rFonts w:ascii="Arial" w:hAnsi="Arial" w:cs="Arial"/>
          <w:bCs/>
          <w:sz w:val="22"/>
          <w:lang w:eastAsia="hi-IN" w:bidi="hi-IN"/>
        </w:rPr>
        <w:lastRenderedPageBreak/>
        <w:t xml:space="preserve">NKÚ se proto nevyjadřuje ke správnosti účtování a vykazování některých položek </w:t>
      </w:r>
      <w:proofErr w:type="spellStart"/>
      <w:r w:rsidRPr="00EC672E">
        <w:rPr>
          <w:rFonts w:ascii="Arial" w:hAnsi="Arial" w:cs="Arial"/>
          <w:bCs/>
          <w:sz w:val="22"/>
          <w:lang w:eastAsia="hi-IN" w:bidi="hi-IN"/>
        </w:rPr>
        <w:t>ÚZ</w:t>
      </w:r>
      <w:proofErr w:type="spellEnd"/>
      <w:r w:rsidRPr="00EC672E">
        <w:rPr>
          <w:rFonts w:ascii="Arial" w:hAnsi="Arial" w:cs="Arial"/>
          <w:bCs/>
          <w:sz w:val="22"/>
          <w:lang w:eastAsia="hi-IN" w:bidi="hi-IN"/>
        </w:rPr>
        <w:t xml:space="preserve">, které souvisejí s prostředky určenými k refundaci z Národního fondu či z prostředků </w:t>
      </w:r>
      <w:proofErr w:type="spellStart"/>
      <w:r w:rsidRPr="00EC672E">
        <w:rPr>
          <w:rFonts w:ascii="Arial" w:hAnsi="Arial" w:cs="Arial"/>
          <w:bCs/>
          <w:sz w:val="22"/>
          <w:lang w:eastAsia="hi-IN" w:bidi="hi-IN"/>
        </w:rPr>
        <w:t>EK</w:t>
      </w:r>
      <w:proofErr w:type="spellEnd"/>
      <w:r w:rsidR="007F5B4E" w:rsidRPr="00EC672E">
        <w:rPr>
          <w:rFonts w:ascii="Arial" w:hAnsi="Arial" w:cs="Arial"/>
          <w:bCs/>
          <w:sz w:val="22"/>
          <w:lang w:eastAsia="hi-IN" w:bidi="hi-IN"/>
        </w:rPr>
        <w:t xml:space="preserve"> a které byly</w:t>
      </w:r>
      <w:r w:rsidRPr="00EC672E">
        <w:rPr>
          <w:rFonts w:ascii="Arial" w:hAnsi="Arial" w:cs="Arial"/>
          <w:bCs/>
          <w:sz w:val="22"/>
          <w:lang w:eastAsia="hi-IN" w:bidi="hi-IN"/>
        </w:rPr>
        <w:t xml:space="preserve"> vykáz</w:t>
      </w:r>
      <w:r w:rsidR="007F5B4E" w:rsidRPr="00EC672E">
        <w:rPr>
          <w:rFonts w:ascii="Arial" w:hAnsi="Arial" w:cs="Arial"/>
          <w:bCs/>
          <w:sz w:val="22"/>
          <w:lang w:eastAsia="hi-IN" w:bidi="hi-IN"/>
        </w:rPr>
        <w:t>ány</w:t>
      </w:r>
      <w:r w:rsidRPr="00EC672E">
        <w:rPr>
          <w:rFonts w:ascii="Arial" w:hAnsi="Arial" w:cs="Arial"/>
          <w:bCs/>
          <w:sz w:val="22"/>
          <w:lang w:eastAsia="hi-IN" w:bidi="hi-IN"/>
        </w:rPr>
        <w:t xml:space="preserve"> v rozvaze nebo výkazu zisku a ztráty. Jedná se o následující případy:</w:t>
      </w:r>
    </w:p>
    <w:p w:rsidR="004E6B66" w:rsidRPr="00EC672E" w:rsidRDefault="004E6B66" w:rsidP="00A37297">
      <w:pPr>
        <w:pStyle w:val="Odstavecseseznamem"/>
        <w:numPr>
          <w:ilvl w:val="0"/>
          <w:numId w:val="38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EC672E">
        <w:rPr>
          <w:rFonts w:ascii="Arial" w:hAnsi="Arial" w:cs="Arial"/>
          <w:sz w:val="22"/>
          <w:lang w:val="cs-CZ"/>
        </w:rPr>
        <w:t xml:space="preserve">V případě účtu 371 – </w:t>
      </w:r>
      <w:r w:rsidRPr="00EC672E">
        <w:rPr>
          <w:rFonts w:ascii="Arial" w:hAnsi="Arial" w:cs="Arial"/>
          <w:i/>
          <w:sz w:val="22"/>
          <w:lang w:val="cs-CZ"/>
        </w:rPr>
        <w:t>Krátkodobé pohledávky z nástrojů spolufinancovaných ze zahraničí</w:t>
      </w:r>
      <w:r w:rsidRPr="00EC672E">
        <w:rPr>
          <w:rFonts w:ascii="Arial" w:hAnsi="Arial" w:cs="Arial"/>
          <w:sz w:val="22"/>
          <w:lang w:val="cs-CZ"/>
        </w:rPr>
        <w:t xml:space="preserve"> se NKÚ nevyjadřuje k celé částce zůstatku ve výši 3 399 408 759,50 Kč</w:t>
      </w:r>
      <w:r w:rsidR="000D1366" w:rsidRPr="00EC672E">
        <w:rPr>
          <w:rFonts w:ascii="Arial" w:hAnsi="Arial" w:cs="Arial"/>
          <w:sz w:val="22"/>
          <w:lang w:val="cs-CZ"/>
        </w:rPr>
        <w:t>.</w:t>
      </w:r>
    </w:p>
    <w:p w:rsidR="004E6B66" w:rsidRPr="00EC672E" w:rsidRDefault="004E6B66" w:rsidP="00A37297">
      <w:pPr>
        <w:pStyle w:val="Odstavecseseznamem"/>
        <w:numPr>
          <w:ilvl w:val="0"/>
          <w:numId w:val="38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sz w:val="22"/>
          <w:lang w:val="cs-CZ"/>
        </w:rPr>
        <w:t xml:space="preserve">V případě účtu 373 – </w:t>
      </w:r>
      <w:r w:rsidRPr="00EC672E">
        <w:rPr>
          <w:rFonts w:ascii="Arial" w:hAnsi="Arial" w:cs="Arial"/>
          <w:i/>
          <w:sz w:val="22"/>
          <w:lang w:val="cs-CZ"/>
        </w:rPr>
        <w:t>Poskytnuté zálohy na transfery</w:t>
      </w:r>
      <w:r w:rsidRPr="00EC672E">
        <w:rPr>
          <w:rFonts w:ascii="Arial" w:hAnsi="Arial" w:cs="Arial"/>
          <w:sz w:val="22"/>
          <w:lang w:val="cs-CZ"/>
        </w:rPr>
        <w:t xml:space="preserve"> s vykázaným zůstatkem ve výši </w:t>
      </w:r>
      <w:r w:rsidRPr="00EC672E">
        <w:rPr>
          <w:rFonts w:ascii="Arial" w:hAnsi="Arial" w:cs="Arial"/>
          <w:color w:val="000000"/>
          <w:sz w:val="22"/>
          <w:lang w:val="cs-CZ" w:eastAsia="cs-CZ"/>
        </w:rPr>
        <w:t xml:space="preserve">43 961 832 571,56 Kč se NKÚ nevyjadřuje k částce </w:t>
      </w:r>
      <w:r w:rsidR="00543D1D" w:rsidRPr="00EC672E">
        <w:rPr>
          <w:rFonts w:ascii="Arial" w:hAnsi="Arial" w:cs="Arial"/>
          <w:color w:val="000000"/>
          <w:sz w:val="22"/>
          <w:lang w:val="cs-CZ" w:eastAsia="cs-CZ"/>
        </w:rPr>
        <w:t>19 443 867 244,18 Kč (44,23 </w:t>
      </w:r>
      <w:r w:rsidRPr="00EC672E">
        <w:rPr>
          <w:rFonts w:ascii="Arial" w:hAnsi="Arial" w:cs="Arial"/>
          <w:color w:val="000000"/>
          <w:sz w:val="22"/>
          <w:lang w:val="cs-CZ" w:eastAsia="cs-CZ"/>
        </w:rPr>
        <w:t>% zůstatku účtu)</w:t>
      </w:r>
      <w:r w:rsidR="000D1366" w:rsidRPr="00EC672E">
        <w:rPr>
          <w:rFonts w:ascii="Arial" w:hAnsi="Arial" w:cs="Arial"/>
          <w:color w:val="000000"/>
          <w:sz w:val="22"/>
          <w:lang w:val="cs-CZ" w:eastAsia="cs-CZ"/>
        </w:rPr>
        <w:t>.</w:t>
      </w:r>
    </w:p>
    <w:p w:rsidR="004E6B66" w:rsidRPr="00EC672E" w:rsidRDefault="004E6B66" w:rsidP="00A37297">
      <w:pPr>
        <w:pStyle w:val="Odstavecseseznamem"/>
        <w:numPr>
          <w:ilvl w:val="0"/>
          <w:numId w:val="38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color w:val="000000"/>
          <w:sz w:val="22"/>
          <w:lang w:val="cs-CZ" w:eastAsia="cs-CZ"/>
        </w:rPr>
        <w:t xml:space="preserve">V případě účtu 374 – </w:t>
      </w:r>
      <w:r w:rsidRPr="00EC672E">
        <w:rPr>
          <w:rFonts w:ascii="Arial" w:hAnsi="Arial" w:cs="Arial"/>
          <w:i/>
          <w:color w:val="000000"/>
          <w:sz w:val="22"/>
          <w:lang w:val="cs-CZ" w:eastAsia="cs-CZ"/>
        </w:rPr>
        <w:t>Přijaté zálohy na transfery</w:t>
      </w:r>
      <w:r w:rsidRPr="00EC672E">
        <w:rPr>
          <w:rFonts w:ascii="Arial" w:hAnsi="Arial" w:cs="Arial"/>
          <w:color w:val="000000"/>
          <w:sz w:val="22"/>
          <w:lang w:val="cs-CZ" w:eastAsia="cs-CZ"/>
        </w:rPr>
        <w:t xml:space="preserve"> </w:t>
      </w:r>
      <w:r w:rsidRPr="00EC672E">
        <w:rPr>
          <w:rFonts w:ascii="Arial" w:hAnsi="Arial" w:cs="Arial"/>
          <w:sz w:val="22"/>
          <w:lang w:val="cs-CZ"/>
        </w:rPr>
        <w:t xml:space="preserve">s vykázaným zůstatkem </w:t>
      </w:r>
      <w:r w:rsidRPr="00EC672E">
        <w:rPr>
          <w:rFonts w:ascii="Arial" w:hAnsi="Arial" w:cs="Arial"/>
          <w:color w:val="000000"/>
          <w:sz w:val="22"/>
          <w:lang w:val="cs-CZ" w:eastAsia="cs-CZ"/>
        </w:rPr>
        <w:t>ve výši 73 595 586,36 Kč se NKÚ nevyjadřuje k částce 68 456 436,44 Kč (93,02 % zůstatku účtu)</w:t>
      </w:r>
      <w:r w:rsidR="000D1366" w:rsidRPr="00EC672E">
        <w:rPr>
          <w:rFonts w:ascii="Arial" w:hAnsi="Arial" w:cs="Arial"/>
          <w:color w:val="000000"/>
          <w:sz w:val="22"/>
          <w:lang w:val="cs-CZ" w:eastAsia="cs-CZ"/>
        </w:rPr>
        <w:t>.</w:t>
      </w:r>
    </w:p>
    <w:p w:rsidR="004E6B66" w:rsidRPr="00EC672E" w:rsidRDefault="00543D1D" w:rsidP="00A37297">
      <w:pPr>
        <w:pStyle w:val="Odstavecseseznamem"/>
        <w:numPr>
          <w:ilvl w:val="0"/>
          <w:numId w:val="39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color w:val="000000"/>
          <w:sz w:val="22"/>
          <w:lang w:val="cs-CZ" w:eastAsia="cs-CZ"/>
        </w:rPr>
        <w:t>V případě účtu 388 – </w:t>
      </w:r>
      <w:r w:rsidR="004E6B66" w:rsidRPr="00EC672E">
        <w:rPr>
          <w:rFonts w:ascii="Arial" w:hAnsi="Arial" w:cs="Arial"/>
          <w:i/>
          <w:color w:val="000000"/>
          <w:sz w:val="22"/>
          <w:lang w:val="cs-CZ" w:eastAsia="cs-CZ"/>
        </w:rPr>
        <w:t>Dohadné účty aktivní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 xml:space="preserve"> </w:t>
      </w:r>
      <w:r w:rsidR="004E6B66" w:rsidRPr="00EC672E">
        <w:rPr>
          <w:rFonts w:ascii="Arial" w:hAnsi="Arial" w:cs="Arial"/>
          <w:sz w:val="22"/>
          <w:lang w:val="cs-CZ"/>
        </w:rPr>
        <w:t xml:space="preserve">s vykázaným zůstatkem 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ve výši 20 295 055 468,20 Kč se NKÚ nevyjadřuje k částce 19 439 165 638,40 Kč (95,78</w:t>
      </w:r>
      <w:r w:rsidR="001F60CD" w:rsidRPr="00EC672E">
        <w:rPr>
          <w:rFonts w:ascii="Arial" w:hAnsi="Arial" w:cs="Arial"/>
          <w:color w:val="000000"/>
          <w:sz w:val="22"/>
          <w:lang w:val="cs-CZ" w:eastAsia="cs-CZ"/>
        </w:rPr>
        <w:t> 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% zůstatku účtu)</w:t>
      </w:r>
      <w:r w:rsidR="000D1366" w:rsidRPr="00EC672E">
        <w:rPr>
          <w:rFonts w:ascii="Arial" w:hAnsi="Arial" w:cs="Arial"/>
          <w:color w:val="000000"/>
          <w:sz w:val="22"/>
          <w:lang w:val="cs-CZ" w:eastAsia="cs-CZ"/>
        </w:rPr>
        <w:t>.</w:t>
      </w:r>
    </w:p>
    <w:p w:rsidR="004E6B66" w:rsidRPr="00EC672E" w:rsidRDefault="00543D1D" w:rsidP="00A37297">
      <w:pPr>
        <w:pStyle w:val="Odstavecseseznamem"/>
        <w:numPr>
          <w:ilvl w:val="0"/>
          <w:numId w:val="39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color w:val="000000"/>
          <w:sz w:val="22"/>
          <w:lang w:val="cs-CZ" w:eastAsia="cs-CZ"/>
        </w:rPr>
        <w:t>V případě účtu 389 – </w:t>
      </w:r>
      <w:r w:rsidR="004E6B66" w:rsidRPr="00EC672E">
        <w:rPr>
          <w:rFonts w:ascii="Arial" w:hAnsi="Arial" w:cs="Arial"/>
          <w:i/>
          <w:color w:val="000000"/>
          <w:sz w:val="22"/>
          <w:lang w:val="cs-CZ" w:eastAsia="cs-CZ"/>
        </w:rPr>
        <w:t>Dohadné účty pasivní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 xml:space="preserve"> </w:t>
      </w:r>
      <w:r w:rsidR="004E6B66" w:rsidRPr="00EC672E">
        <w:rPr>
          <w:rFonts w:ascii="Arial" w:hAnsi="Arial" w:cs="Arial"/>
          <w:sz w:val="22"/>
          <w:lang w:val="cs-CZ"/>
        </w:rPr>
        <w:t xml:space="preserve">s vykázaným zůstatkem 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ve výši 44 054 380 028,71 Kč se NKÚ nevyjadřuje k částce 19 443 867 244,18 Kč (44,14</w:t>
      </w:r>
      <w:r w:rsidR="001F60CD" w:rsidRPr="00EC672E">
        <w:rPr>
          <w:rFonts w:ascii="Arial" w:hAnsi="Arial" w:cs="Arial"/>
          <w:color w:val="000000"/>
          <w:sz w:val="22"/>
          <w:lang w:val="cs-CZ" w:eastAsia="cs-CZ"/>
        </w:rPr>
        <w:t> 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% zůstatku účtu)</w:t>
      </w:r>
      <w:r w:rsidR="000D1366" w:rsidRPr="00EC672E">
        <w:rPr>
          <w:rFonts w:ascii="Arial" w:hAnsi="Arial" w:cs="Arial"/>
          <w:color w:val="000000"/>
          <w:sz w:val="22"/>
          <w:lang w:val="cs-CZ" w:eastAsia="cs-CZ"/>
        </w:rPr>
        <w:t>.</w:t>
      </w:r>
    </w:p>
    <w:p w:rsidR="004E6B66" w:rsidRPr="00EC672E" w:rsidRDefault="00543D1D" w:rsidP="00A37297">
      <w:pPr>
        <w:pStyle w:val="Odstavecseseznamem"/>
        <w:numPr>
          <w:ilvl w:val="0"/>
          <w:numId w:val="39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color w:val="000000"/>
          <w:sz w:val="22"/>
          <w:lang w:val="cs-CZ" w:eastAsia="cs-CZ"/>
        </w:rPr>
        <w:t>V případě účtu 571 – </w:t>
      </w:r>
      <w:r w:rsidR="004E6B66" w:rsidRPr="00EC672E">
        <w:rPr>
          <w:rFonts w:ascii="Arial" w:hAnsi="Arial" w:cs="Arial"/>
          <w:i/>
          <w:color w:val="000000"/>
          <w:sz w:val="22"/>
          <w:lang w:val="cs-CZ" w:eastAsia="cs-CZ"/>
        </w:rPr>
        <w:t xml:space="preserve">Náklady ústředních rozpočtů na transfery </w:t>
      </w:r>
      <w:r w:rsidR="004E6B66" w:rsidRPr="00EC672E">
        <w:rPr>
          <w:rFonts w:ascii="Arial" w:hAnsi="Arial" w:cs="Arial"/>
          <w:sz w:val="22"/>
          <w:lang w:val="cs-CZ"/>
        </w:rPr>
        <w:t xml:space="preserve">s vykázaným zůstatkem 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ve výši 44 266 038 788,01 Kč se NKÚ nevyjadřuje k částce 19 443 867 244,18 Kč (43,93</w:t>
      </w:r>
      <w:r w:rsidR="00842B48" w:rsidRPr="00EC672E">
        <w:rPr>
          <w:rFonts w:ascii="Arial" w:hAnsi="Arial" w:cs="Arial"/>
          <w:color w:val="000000"/>
          <w:sz w:val="22"/>
          <w:lang w:val="cs-CZ" w:eastAsia="cs-CZ"/>
        </w:rPr>
        <w:t> </w:t>
      </w:r>
      <w:r w:rsidR="004E6B66" w:rsidRPr="00EC672E">
        <w:rPr>
          <w:rFonts w:ascii="Arial" w:hAnsi="Arial" w:cs="Arial"/>
          <w:color w:val="000000"/>
          <w:sz w:val="22"/>
          <w:lang w:val="cs-CZ" w:eastAsia="cs-CZ"/>
        </w:rPr>
        <w:t>% zůstatku účtu)</w:t>
      </w:r>
      <w:r w:rsidR="000D1366" w:rsidRPr="00EC672E">
        <w:rPr>
          <w:rFonts w:ascii="Arial" w:hAnsi="Arial" w:cs="Arial"/>
          <w:color w:val="000000"/>
          <w:sz w:val="22"/>
          <w:lang w:val="cs-CZ" w:eastAsia="cs-CZ"/>
        </w:rPr>
        <w:t>.</w:t>
      </w:r>
    </w:p>
    <w:p w:rsidR="004E6B66" w:rsidRPr="00EC672E" w:rsidRDefault="004E6B66" w:rsidP="00A37297">
      <w:pPr>
        <w:pStyle w:val="Odstavecseseznamem"/>
        <w:numPr>
          <w:ilvl w:val="0"/>
          <w:numId w:val="39"/>
        </w:numPr>
        <w:ind w:left="284" w:hanging="284"/>
        <w:contextualSpacing w:val="0"/>
        <w:rPr>
          <w:rFonts w:ascii="Arial" w:hAnsi="Arial" w:cs="Arial"/>
          <w:color w:val="000000"/>
          <w:sz w:val="22"/>
          <w:lang w:val="cs-CZ" w:eastAsia="cs-CZ"/>
        </w:rPr>
      </w:pPr>
      <w:r w:rsidRPr="00EC672E">
        <w:rPr>
          <w:rFonts w:ascii="Arial" w:hAnsi="Arial" w:cs="Arial"/>
          <w:color w:val="000000"/>
          <w:sz w:val="22"/>
          <w:lang w:val="cs-CZ" w:eastAsia="cs-CZ"/>
        </w:rPr>
        <w:t>V pří</w:t>
      </w:r>
      <w:r w:rsidR="00AD5E83" w:rsidRPr="00EC672E">
        <w:rPr>
          <w:rFonts w:ascii="Arial" w:hAnsi="Arial" w:cs="Arial"/>
          <w:color w:val="000000"/>
          <w:sz w:val="22"/>
          <w:lang w:val="cs-CZ" w:eastAsia="cs-CZ"/>
        </w:rPr>
        <w:t>padě účtu 671 – </w:t>
      </w:r>
      <w:r w:rsidRPr="00EC672E">
        <w:rPr>
          <w:rFonts w:ascii="Arial" w:hAnsi="Arial" w:cs="Arial"/>
          <w:i/>
          <w:color w:val="000000"/>
          <w:sz w:val="22"/>
          <w:lang w:val="cs-CZ" w:eastAsia="cs-CZ"/>
        </w:rPr>
        <w:t xml:space="preserve">Výnosy ústředních rozpočtů z transferů </w:t>
      </w:r>
      <w:r w:rsidRPr="00EC672E">
        <w:rPr>
          <w:rFonts w:ascii="Arial" w:hAnsi="Arial" w:cs="Arial"/>
          <w:sz w:val="22"/>
          <w:lang w:val="cs-CZ"/>
        </w:rPr>
        <w:t xml:space="preserve">s vykázaným zůstatkem </w:t>
      </w:r>
      <w:r w:rsidRPr="00EC672E">
        <w:rPr>
          <w:rFonts w:ascii="Arial" w:hAnsi="Arial" w:cs="Arial"/>
          <w:color w:val="000000"/>
          <w:sz w:val="22"/>
          <w:lang w:val="cs-CZ" w:eastAsia="cs-CZ"/>
        </w:rPr>
        <w:t>ve výši 34 166 344 993,45 Kč se NKÚ nevyjadřuje k částce 33 284 576 379,18 Kč (97,42 % zůstatku účtu).</w:t>
      </w:r>
    </w:p>
    <w:p w:rsidR="00842B48" w:rsidRPr="00EC672E" w:rsidRDefault="00842B48" w:rsidP="00A37297">
      <w:pPr>
        <w:rPr>
          <w:rFonts w:ascii="Arial" w:hAnsi="Arial" w:cs="Arial"/>
          <w:color w:val="000000"/>
          <w:sz w:val="22"/>
          <w:lang w:eastAsia="cs-CZ"/>
        </w:rPr>
      </w:pPr>
    </w:p>
    <w:p w:rsidR="004E6B66" w:rsidRPr="00EC672E" w:rsidRDefault="004E6B66" w:rsidP="00A37297">
      <w:pPr>
        <w:rPr>
          <w:rFonts w:ascii="Arial" w:hAnsi="Arial" w:cs="Arial"/>
          <w:color w:val="000000"/>
          <w:sz w:val="22"/>
          <w:lang w:eastAsia="cs-CZ"/>
        </w:rPr>
      </w:pPr>
      <w:r w:rsidRPr="00EC672E">
        <w:rPr>
          <w:rFonts w:ascii="Arial" w:hAnsi="Arial" w:cs="Arial"/>
          <w:color w:val="000000"/>
          <w:sz w:val="22"/>
          <w:lang w:eastAsia="cs-CZ"/>
        </w:rPr>
        <w:t>Účetní pravidla v oblasti předfinancování prostředků, které mají být kryty</w:t>
      </w:r>
      <w:r w:rsidR="00AD5E83" w:rsidRPr="00EC672E">
        <w:rPr>
          <w:rFonts w:ascii="Arial" w:hAnsi="Arial" w:cs="Arial"/>
          <w:color w:val="000000"/>
          <w:sz w:val="22"/>
          <w:lang w:eastAsia="cs-CZ"/>
        </w:rPr>
        <w:t xml:space="preserve"> prostředky z </w:t>
      </w:r>
      <w:r w:rsidRPr="00EC672E">
        <w:rPr>
          <w:rFonts w:ascii="Arial" w:hAnsi="Arial" w:cs="Arial"/>
          <w:color w:val="000000"/>
          <w:sz w:val="22"/>
          <w:lang w:eastAsia="cs-CZ"/>
        </w:rPr>
        <w:t xml:space="preserve">rozpočtu EU, a pro identifikaci zprostředkovatele zahraničního transferu by měla být pro vybrané účetní jednotky jednoznačně stanovena tak, aby nevznikaly pochyby o správném účetním postupu a vykázaných údajích, tzn. o výši aktiv, závazků, nákladů a výnosů těchto účetních jednotek. </w:t>
      </w:r>
      <w:r w:rsidRPr="00EC672E">
        <w:rPr>
          <w:rFonts w:ascii="Arial" w:hAnsi="Arial" w:cs="Arial"/>
          <w:b/>
          <w:color w:val="000000"/>
          <w:sz w:val="22"/>
          <w:lang w:eastAsia="cs-CZ"/>
        </w:rPr>
        <w:t>NKÚ v souvislosti s těmito údaji vykazovanými v účetních závěrkách vybraných účetních jednotek upozorňuje na riziko nesrovnatelnosti údajů účetních závěrek mezi účetními obdobími i mezi účetními jednotkami navzájem.</w:t>
      </w: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cs-CZ"/>
        </w:rPr>
      </w:pPr>
    </w:p>
    <w:p w:rsidR="004E6B66" w:rsidRPr="00EC672E" w:rsidRDefault="004E6B66" w:rsidP="00C850E9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Nejednoznačná úprava vyřazení majetku likvidací</w:t>
      </w:r>
    </w:p>
    <w:p w:rsidR="00835033" w:rsidRPr="00EC672E" w:rsidRDefault="00835033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Pro účetní období roku 2010 i 2011 neexistovaly pro vybrané účetní jednotky jednoznačné postupy účtování týkající se vyřazení dlouhodobého majetku, který nebyl odepisován (první použití metody odpisování dlouhodobého majetku bylo ve vyhlášce č. 410/2009 Sb. stanoveno až k 31.</w:t>
      </w:r>
      <w:r w:rsidR="000D1366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 xml:space="preserve">prosinci 2011). </w:t>
      </w:r>
      <w:r w:rsidRPr="00EC672E">
        <w:rPr>
          <w:rFonts w:ascii="Arial" w:hAnsi="Arial" w:cs="Arial"/>
          <w:b/>
          <w:sz w:val="22"/>
        </w:rPr>
        <w:t>Směrná účtová osnova nestanovila účty, na které by měla být účtována pořizovací cena majetku při jeho vyřazení.</w:t>
      </w:r>
      <w:r w:rsidRPr="00EC672E">
        <w:rPr>
          <w:rFonts w:ascii="Arial" w:hAnsi="Arial" w:cs="Arial"/>
          <w:sz w:val="22"/>
        </w:rPr>
        <w:t xml:space="preserve"> Stanoveny byly pouze účty, na které se účtuje zůstatková cena majetku při jeho vyřazení. </w:t>
      </w:r>
      <w:r w:rsidRPr="00EC672E">
        <w:rPr>
          <w:rFonts w:ascii="Arial" w:hAnsi="Arial" w:cs="Arial"/>
          <w:bCs/>
          <w:sz w:val="22"/>
        </w:rPr>
        <w:t xml:space="preserve">Nelze proto jednoznačně určit, zda při vyřazování majetku měla být výše jeho ocenění v účetnictví účtována do nákladů v účtové třídě 5 – </w:t>
      </w:r>
      <w:r w:rsidRPr="00EC672E">
        <w:rPr>
          <w:rFonts w:ascii="Arial" w:hAnsi="Arial" w:cs="Arial"/>
          <w:bCs/>
          <w:i/>
          <w:sz w:val="22"/>
        </w:rPr>
        <w:t>Náklady</w:t>
      </w:r>
      <w:r w:rsidRPr="00EC672E">
        <w:rPr>
          <w:rFonts w:ascii="Arial" w:hAnsi="Arial" w:cs="Arial"/>
          <w:bCs/>
          <w:sz w:val="22"/>
        </w:rPr>
        <w:t xml:space="preserve"> nebo na účet 406 – </w:t>
      </w:r>
      <w:r w:rsidRPr="00EC672E">
        <w:rPr>
          <w:rFonts w:ascii="Arial" w:hAnsi="Arial" w:cs="Arial"/>
          <w:bCs/>
          <w:i/>
          <w:sz w:val="22"/>
        </w:rPr>
        <w:t>Oceňovací rozdíly při změně metody</w:t>
      </w:r>
      <w:r w:rsidRPr="00EC672E">
        <w:rPr>
          <w:rFonts w:ascii="Arial" w:hAnsi="Arial" w:cs="Arial"/>
          <w:bCs/>
          <w:sz w:val="22"/>
        </w:rPr>
        <w:t>.</w:t>
      </w:r>
      <w:r w:rsidR="0070134D" w:rsidRPr="00EC672E">
        <w:rPr>
          <w:rFonts w:ascii="Arial" w:hAnsi="Arial" w:cs="Arial"/>
          <w:bCs/>
          <w:sz w:val="22"/>
        </w:rPr>
        <w:t xml:space="preserve"> </w:t>
      </w:r>
    </w:p>
    <w:p w:rsidR="00411BA0" w:rsidRPr="00EC672E" w:rsidRDefault="00411BA0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Vzhledem k nejednoznačné aplikovatelnosti vyhlášky č. 410/2009 Sb. v této oblasti se NKÚ nevyjadřuje ke správnosti způsobu, kterým MD v roce 2011</w:t>
      </w:r>
      <w:r w:rsidR="00AD5E83" w:rsidRPr="00EC672E">
        <w:rPr>
          <w:rFonts w:ascii="Arial" w:hAnsi="Arial" w:cs="Arial"/>
          <w:sz w:val="22"/>
        </w:rPr>
        <w:t xml:space="preserve"> účtovalo o odstranění stavby v </w:t>
      </w:r>
      <w:r w:rsidRPr="00EC672E">
        <w:rPr>
          <w:rFonts w:ascii="Arial" w:hAnsi="Arial" w:cs="Arial"/>
          <w:sz w:val="22"/>
        </w:rPr>
        <w:t xml:space="preserve">pořizovací ceně 7 829 404,02 Kč. MD pořizovací hodnotu odstraněné stavby odúčtovalo z účtu 401 – </w:t>
      </w:r>
      <w:r w:rsidRPr="00EC672E">
        <w:rPr>
          <w:rFonts w:ascii="Arial" w:hAnsi="Arial" w:cs="Arial"/>
          <w:i/>
          <w:sz w:val="22"/>
        </w:rPr>
        <w:t>Jmění účetní jednotky</w:t>
      </w:r>
      <w:r w:rsidRPr="00EC672E">
        <w:rPr>
          <w:rFonts w:ascii="Arial" w:hAnsi="Arial" w:cs="Arial"/>
          <w:sz w:val="22"/>
        </w:rPr>
        <w:t>.</w:t>
      </w: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1.1.2 </w:t>
      </w:r>
      <w:r w:rsidRPr="00EC672E">
        <w:rPr>
          <w:rFonts w:ascii="Arial" w:eastAsiaTheme="minorHAnsi" w:hAnsi="Arial" w:cs="Arial"/>
          <w:b/>
          <w:bCs/>
          <w:sz w:val="22"/>
        </w:rPr>
        <w:t>Skutečnosti ovlivňující vypovídací schopnost informací v účetní závěrce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C850E9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 xml:space="preserve">Přehled o peněžních tocích </w:t>
      </w:r>
    </w:p>
    <w:p w:rsidR="00835033" w:rsidRPr="00EC672E" w:rsidRDefault="00835033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Přehled o peněžních tocích, jeho obsahové vymezení, uspořádání a označování položek</w:t>
      </w:r>
      <w:r w:rsidR="007F5B4E" w:rsidRPr="00EC672E">
        <w:rPr>
          <w:rFonts w:ascii="Arial" w:hAnsi="Arial" w:cs="Arial"/>
          <w:sz w:val="22"/>
        </w:rPr>
        <w:t xml:space="preserve"> i závazný vzor tohoto přehledu</w:t>
      </w:r>
      <w:r w:rsidRPr="00EC672E">
        <w:rPr>
          <w:rFonts w:ascii="Arial" w:hAnsi="Arial" w:cs="Arial"/>
          <w:sz w:val="22"/>
        </w:rPr>
        <w:t xml:space="preserve"> pro účetní období roku 2011 stanovovala vyhláška </w:t>
      </w:r>
      <w:r w:rsidRPr="00EC672E">
        <w:rPr>
          <w:rFonts w:ascii="Arial" w:hAnsi="Arial" w:cs="Arial"/>
          <w:sz w:val="22"/>
        </w:rPr>
        <w:lastRenderedPageBreak/>
        <w:t xml:space="preserve">č. 410/2009 Sb. V některých případech tak však </w:t>
      </w:r>
      <w:r w:rsidR="007F5B4E" w:rsidRPr="00EC672E">
        <w:rPr>
          <w:rFonts w:ascii="Arial" w:hAnsi="Arial" w:cs="Arial"/>
          <w:sz w:val="22"/>
        </w:rPr>
        <w:t>činila</w:t>
      </w:r>
      <w:r w:rsidRPr="00EC672E">
        <w:rPr>
          <w:rFonts w:ascii="Arial" w:hAnsi="Arial" w:cs="Arial"/>
          <w:sz w:val="22"/>
        </w:rPr>
        <w:t xml:space="preserve"> ne zcela systematicky nebo úprava nebyla dostatečně účinná:</w:t>
      </w:r>
    </w:p>
    <w:p w:rsidR="004E6B66" w:rsidRPr="00EC672E" w:rsidRDefault="000D1366" w:rsidP="00A37297">
      <w:pPr>
        <w:pStyle w:val="Odstavecseseznamem"/>
        <w:numPr>
          <w:ilvl w:val="0"/>
          <w:numId w:val="35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EC672E">
        <w:rPr>
          <w:rFonts w:ascii="Arial" w:hAnsi="Arial" w:cs="Arial"/>
          <w:sz w:val="22"/>
          <w:lang w:val="cs-CZ"/>
        </w:rPr>
        <w:t>O</w:t>
      </w:r>
      <w:r w:rsidR="004E6B66" w:rsidRPr="00EC672E">
        <w:rPr>
          <w:rFonts w:ascii="Arial" w:hAnsi="Arial" w:cs="Arial"/>
          <w:sz w:val="22"/>
          <w:lang w:val="cs-CZ"/>
        </w:rPr>
        <w:t>pravné položky k pohledávkám a opravné pol</w:t>
      </w:r>
      <w:r w:rsidR="00AD5E83" w:rsidRPr="00EC672E">
        <w:rPr>
          <w:rFonts w:ascii="Arial" w:hAnsi="Arial" w:cs="Arial"/>
          <w:sz w:val="22"/>
          <w:lang w:val="cs-CZ"/>
        </w:rPr>
        <w:t>ožky k zásobám nejsou uvedeny v </w:t>
      </w:r>
      <w:r w:rsidR="004E6B66" w:rsidRPr="00EC672E">
        <w:rPr>
          <w:rFonts w:ascii="Arial" w:hAnsi="Arial" w:cs="Arial"/>
          <w:sz w:val="22"/>
          <w:lang w:val="cs-CZ"/>
        </w:rPr>
        <w:t xml:space="preserve">obsahovém vymezení položky </w:t>
      </w:r>
      <w:proofErr w:type="spellStart"/>
      <w:proofErr w:type="gramStart"/>
      <w:r w:rsidR="004E6B66" w:rsidRPr="00EC672E">
        <w:rPr>
          <w:rFonts w:ascii="Arial" w:hAnsi="Arial" w:cs="Arial"/>
          <w:sz w:val="22"/>
          <w:lang w:val="cs-CZ"/>
        </w:rPr>
        <w:t>A.I.2</w:t>
      </w:r>
      <w:proofErr w:type="spellEnd"/>
      <w:r w:rsidR="004E6B66" w:rsidRPr="00EC672E">
        <w:rPr>
          <w:rFonts w:ascii="Arial" w:hAnsi="Arial" w:cs="Arial"/>
          <w:sz w:val="22"/>
          <w:lang w:val="cs-CZ"/>
        </w:rPr>
        <w:t>.</w:t>
      </w:r>
      <w:proofErr w:type="gramEnd"/>
      <w:r w:rsidR="004E6B66" w:rsidRPr="00EC672E">
        <w:rPr>
          <w:rFonts w:ascii="Arial" w:hAnsi="Arial" w:cs="Arial"/>
          <w:sz w:val="22"/>
          <w:lang w:val="cs-CZ"/>
        </w:rPr>
        <w:t xml:space="preserve"> </w:t>
      </w:r>
      <w:r w:rsidR="004E6B66" w:rsidRPr="00EC672E">
        <w:rPr>
          <w:rFonts w:ascii="Arial" w:hAnsi="Arial" w:cs="Arial"/>
          <w:i/>
          <w:sz w:val="22"/>
          <w:lang w:val="cs-CZ"/>
        </w:rPr>
        <w:t>Změna stavu opravných položek</w:t>
      </w:r>
      <w:r w:rsidR="004E6B66" w:rsidRPr="00EC672E">
        <w:rPr>
          <w:rFonts w:ascii="Arial" w:hAnsi="Arial" w:cs="Arial"/>
          <w:sz w:val="22"/>
          <w:lang w:val="cs-CZ"/>
        </w:rPr>
        <w:t>,</w:t>
      </w:r>
      <w:r w:rsidR="004E6B66" w:rsidRPr="00EC672E">
        <w:rPr>
          <w:rFonts w:ascii="Arial" w:hAnsi="Arial" w:cs="Arial"/>
          <w:i/>
          <w:sz w:val="22"/>
          <w:lang w:val="cs-CZ"/>
        </w:rPr>
        <w:t xml:space="preserve"> </w:t>
      </w:r>
      <w:r w:rsidR="004E6B66" w:rsidRPr="00EC672E">
        <w:rPr>
          <w:rFonts w:ascii="Arial" w:hAnsi="Arial" w:cs="Arial"/>
          <w:sz w:val="22"/>
          <w:lang w:val="cs-CZ"/>
        </w:rPr>
        <w:t xml:space="preserve">a proto mají být – nesystematicky </w:t>
      </w:r>
      <w:r w:rsidR="00AD5E83" w:rsidRPr="00EC672E">
        <w:rPr>
          <w:rFonts w:ascii="Arial" w:hAnsi="Arial" w:cs="Arial"/>
          <w:sz w:val="22"/>
          <w:lang w:val="cs-CZ"/>
        </w:rPr>
        <w:t>–</w:t>
      </w:r>
      <w:r w:rsidR="004E6B66" w:rsidRPr="00EC672E">
        <w:rPr>
          <w:rFonts w:ascii="Arial" w:hAnsi="Arial" w:cs="Arial"/>
          <w:sz w:val="22"/>
          <w:lang w:val="cs-CZ"/>
        </w:rPr>
        <w:t xml:space="preserve"> součástí položky </w:t>
      </w:r>
      <w:proofErr w:type="spellStart"/>
      <w:proofErr w:type="gramStart"/>
      <w:r w:rsidR="004E6B66" w:rsidRPr="00EC672E">
        <w:rPr>
          <w:rFonts w:ascii="Arial" w:hAnsi="Arial" w:cs="Arial"/>
          <w:sz w:val="22"/>
          <w:lang w:val="cs-CZ"/>
        </w:rPr>
        <w:t>A.I.6</w:t>
      </w:r>
      <w:proofErr w:type="spellEnd"/>
      <w:r w:rsidR="004E6B66" w:rsidRPr="00EC672E">
        <w:rPr>
          <w:rFonts w:ascii="Arial" w:hAnsi="Arial" w:cs="Arial"/>
          <w:sz w:val="22"/>
          <w:lang w:val="cs-CZ"/>
        </w:rPr>
        <w:t>.</w:t>
      </w:r>
      <w:proofErr w:type="gramEnd"/>
      <w:r w:rsidR="004E6B66" w:rsidRPr="00EC672E">
        <w:rPr>
          <w:rFonts w:ascii="Arial" w:hAnsi="Arial" w:cs="Arial"/>
          <w:sz w:val="22"/>
          <w:lang w:val="cs-CZ"/>
        </w:rPr>
        <w:t xml:space="preserve"> </w:t>
      </w:r>
      <w:r w:rsidR="004E6B66" w:rsidRPr="00EC672E">
        <w:rPr>
          <w:rFonts w:ascii="Arial" w:hAnsi="Arial" w:cs="Arial"/>
          <w:i/>
          <w:sz w:val="22"/>
          <w:lang w:val="cs-CZ"/>
        </w:rPr>
        <w:t>Ostatní úpravy o nepeněžní operace</w:t>
      </w:r>
      <w:r w:rsidRPr="00EC672E">
        <w:rPr>
          <w:rFonts w:ascii="Arial" w:hAnsi="Arial" w:cs="Arial"/>
          <w:sz w:val="22"/>
          <w:lang w:val="cs-CZ"/>
        </w:rPr>
        <w:t>.</w:t>
      </w:r>
    </w:p>
    <w:p w:rsidR="004E6B66" w:rsidRPr="00EC672E" w:rsidRDefault="000D1366" w:rsidP="00A37297">
      <w:pPr>
        <w:pStyle w:val="Odstavecseseznamem"/>
        <w:numPr>
          <w:ilvl w:val="0"/>
          <w:numId w:val="35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EC672E">
        <w:rPr>
          <w:rFonts w:ascii="Arial" w:hAnsi="Arial" w:cs="Arial"/>
          <w:sz w:val="22"/>
          <w:lang w:val="cs-CZ"/>
        </w:rPr>
        <w:t>V</w:t>
      </w:r>
      <w:r w:rsidR="004E6B66" w:rsidRPr="00EC672E">
        <w:rPr>
          <w:rFonts w:ascii="Arial" w:hAnsi="Arial" w:cs="Arial"/>
          <w:sz w:val="22"/>
          <w:lang w:val="cs-CZ"/>
        </w:rPr>
        <w:t xml:space="preserve">yhláška nestanovila, v jakých položkách přehledu o peněžních tocích by měly být vykázány položky </w:t>
      </w:r>
      <w:proofErr w:type="gramStart"/>
      <w:r w:rsidR="004E6B66" w:rsidRPr="00EC672E">
        <w:rPr>
          <w:rFonts w:ascii="Arial" w:hAnsi="Arial" w:cs="Arial"/>
          <w:sz w:val="22"/>
          <w:lang w:val="cs-CZ"/>
        </w:rPr>
        <w:t xml:space="preserve">rozvahy </w:t>
      </w:r>
      <w:proofErr w:type="spellStart"/>
      <w:r w:rsidR="004E6B66" w:rsidRPr="00EC672E">
        <w:rPr>
          <w:rFonts w:ascii="Arial" w:hAnsi="Arial" w:cs="Arial"/>
          <w:sz w:val="22"/>
          <w:lang w:val="cs-CZ"/>
        </w:rPr>
        <w:t>B.III</w:t>
      </w:r>
      <w:proofErr w:type="gramEnd"/>
      <w:r w:rsidR="004E6B66" w:rsidRPr="00EC672E">
        <w:rPr>
          <w:rFonts w:ascii="Arial" w:hAnsi="Arial" w:cs="Arial"/>
          <w:sz w:val="22"/>
          <w:lang w:val="cs-CZ"/>
        </w:rPr>
        <w:t>.1</w:t>
      </w:r>
      <w:proofErr w:type="spellEnd"/>
      <w:r w:rsidR="004E6B66" w:rsidRPr="00EC672E">
        <w:rPr>
          <w:rFonts w:ascii="Arial" w:hAnsi="Arial" w:cs="Arial"/>
          <w:sz w:val="22"/>
          <w:lang w:val="cs-CZ"/>
        </w:rPr>
        <w:t xml:space="preserve">. </w:t>
      </w:r>
      <w:r w:rsidR="004E6B66" w:rsidRPr="00EC672E">
        <w:rPr>
          <w:rFonts w:ascii="Arial" w:hAnsi="Arial" w:cs="Arial"/>
          <w:i/>
          <w:sz w:val="22"/>
          <w:lang w:val="cs-CZ"/>
        </w:rPr>
        <w:t xml:space="preserve">Příjmový účet organizačních složek </w:t>
      </w:r>
      <w:proofErr w:type="gramStart"/>
      <w:r w:rsidR="004E6B66" w:rsidRPr="00EC672E">
        <w:rPr>
          <w:rFonts w:ascii="Arial" w:hAnsi="Arial" w:cs="Arial"/>
          <w:i/>
          <w:sz w:val="22"/>
          <w:lang w:val="cs-CZ"/>
        </w:rPr>
        <w:t>státu</w:t>
      </w:r>
      <w:r w:rsidR="005720C0" w:rsidRPr="00EC672E">
        <w:rPr>
          <w:rFonts w:ascii="Arial" w:hAnsi="Arial" w:cs="Arial"/>
          <w:sz w:val="22"/>
          <w:lang w:val="cs-CZ"/>
        </w:rPr>
        <w:t xml:space="preserve"> a </w:t>
      </w:r>
      <w:proofErr w:type="spellStart"/>
      <w:r w:rsidR="005720C0" w:rsidRPr="00EC672E">
        <w:rPr>
          <w:rFonts w:ascii="Arial" w:hAnsi="Arial" w:cs="Arial"/>
          <w:sz w:val="22"/>
          <w:lang w:val="cs-CZ"/>
        </w:rPr>
        <w:t>D.I.1</w:t>
      </w:r>
      <w:proofErr w:type="spellEnd"/>
      <w:r w:rsidR="005720C0" w:rsidRPr="00EC672E">
        <w:rPr>
          <w:rFonts w:ascii="Arial" w:hAnsi="Arial" w:cs="Arial"/>
          <w:sz w:val="22"/>
          <w:lang w:val="cs-CZ"/>
        </w:rPr>
        <w:t>.</w:t>
      </w:r>
      <w:proofErr w:type="gramEnd"/>
      <w:r w:rsidR="005720C0" w:rsidRPr="00EC672E">
        <w:rPr>
          <w:rFonts w:ascii="Arial" w:hAnsi="Arial" w:cs="Arial"/>
          <w:sz w:val="22"/>
          <w:lang w:val="cs-CZ"/>
        </w:rPr>
        <w:t> </w:t>
      </w:r>
      <w:r w:rsidR="004E6B66" w:rsidRPr="00EC672E">
        <w:rPr>
          <w:rFonts w:ascii="Arial" w:hAnsi="Arial" w:cs="Arial"/>
          <w:i/>
          <w:sz w:val="22"/>
          <w:lang w:val="cs-CZ"/>
        </w:rPr>
        <w:t>Zvláštní výdajový účet</w:t>
      </w:r>
      <w:r w:rsidR="007F5B4E" w:rsidRPr="00EC672E">
        <w:rPr>
          <w:rFonts w:ascii="Arial" w:hAnsi="Arial" w:cs="Arial"/>
          <w:sz w:val="22"/>
          <w:lang w:val="cs-CZ"/>
        </w:rPr>
        <w:t>;</w:t>
      </w:r>
      <w:r w:rsidR="004E6B66" w:rsidRPr="00EC672E">
        <w:rPr>
          <w:rFonts w:ascii="Arial" w:hAnsi="Arial" w:cs="Arial"/>
          <w:sz w:val="22"/>
          <w:lang w:val="cs-CZ"/>
        </w:rPr>
        <w:t xml:space="preserve"> zatřídění těchto položek do přehledu </w:t>
      </w:r>
      <w:r w:rsidR="007F5B4E" w:rsidRPr="00EC672E">
        <w:rPr>
          <w:rFonts w:ascii="Arial" w:hAnsi="Arial" w:cs="Arial"/>
          <w:sz w:val="22"/>
          <w:lang w:val="cs-CZ"/>
        </w:rPr>
        <w:t>o </w:t>
      </w:r>
      <w:r w:rsidR="004E6B66" w:rsidRPr="00EC672E">
        <w:rPr>
          <w:rFonts w:ascii="Arial" w:hAnsi="Arial" w:cs="Arial"/>
          <w:sz w:val="22"/>
          <w:lang w:val="cs-CZ"/>
        </w:rPr>
        <w:t>peněžních to</w:t>
      </w:r>
      <w:r w:rsidR="007F5B4E" w:rsidRPr="00EC672E">
        <w:rPr>
          <w:rFonts w:ascii="Arial" w:hAnsi="Arial" w:cs="Arial"/>
          <w:sz w:val="22"/>
          <w:lang w:val="cs-CZ"/>
        </w:rPr>
        <w:t>cích</w:t>
      </w:r>
      <w:r w:rsidR="004E6B66" w:rsidRPr="00EC672E">
        <w:rPr>
          <w:rFonts w:ascii="Arial" w:hAnsi="Arial" w:cs="Arial"/>
          <w:sz w:val="22"/>
          <w:lang w:val="cs-CZ"/>
        </w:rPr>
        <w:t xml:space="preserve"> je však nezbytné pro sestavení </w:t>
      </w:r>
      <w:r w:rsidR="007F5B4E" w:rsidRPr="00EC672E">
        <w:rPr>
          <w:rFonts w:ascii="Arial" w:hAnsi="Arial" w:cs="Arial"/>
          <w:sz w:val="22"/>
          <w:lang w:val="cs-CZ"/>
        </w:rPr>
        <w:t xml:space="preserve">tohoto </w:t>
      </w:r>
      <w:r w:rsidR="004E6B66" w:rsidRPr="00EC672E">
        <w:rPr>
          <w:rFonts w:ascii="Arial" w:hAnsi="Arial" w:cs="Arial"/>
          <w:sz w:val="22"/>
          <w:lang w:val="cs-CZ"/>
        </w:rPr>
        <w:t>přehledu.</w:t>
      </w:r>
      <w:r w:rsidR="004E6B66" w:rsidRPr="00EC672E">
        <w:rPr>
          <w:rStyle w:val="Znakapoznpodarou"/>
          <w:rFonts w:ascii="Arial" w:hAnsi="Arial" w:cs="Arial"/>
          <w:sz w:val="22"/>
          <w:lang w:val="cs-CZ"/>
        </w:rPr>
        <w:footnoteReference w:id="5"/>
      </w:r>
    </w:p>
    <w:p w:rsidR="000F3378" w:rsidRPr="00EC672E" w:rsidRDefault="000F3378" w:rsidP="000F3378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ind w:left="426" w:hanging="426"/>
        <w:rPr>
          <w:rFonts w:ascii="Arial" w:hAnsi="Arial" w:cs="Arial"/>
          <w:sz w:val="22"/>
        </w:rPr>
      </w:pPr>
      <w:r w:rsidRPr="00EC672E">
        <w:rPr>
          <w:rFonts w:ascii="Arial" w:hAnsi="Arial" w:cs="Arial"/>
          <w:b/>
          <w:sz w:val="22"/>
        </w:rPr>
        <w:t>1.2</w:t>
      </w:r>
      <w:r w:rsidR="0067476E" w:rsidRPr="00EC672E">
        <w:rPr>
          <w:rFonts w:ascii="Arial" w:hAnsi="Arial" w:cs="Arial"/>
          <w:b/>
          <w:sz w:val="22"/>
        </w:rPr>
        <w:tab/>
      </w:r>
      <w:r w:rsidRPr="00EC672E">
        <w:rPr>
          <w:rFonts w:ascii="Arial" w:hAnsi="Arial" w:cs="Arial"/>
          <w:b/>
          <w:sz w:val="22"/>
        </w:rPr>
        <w:t>Části účetní závěrky, ke kterým se NKÚ nevyjadřuje vzhledem k tomu, že nebylo možn</w:t>
      </w:r>
      <w:r w:rsidR="00C345C6" w:rsidRPr="00EC672E">
        <w:rPr>
          <w:rFonts w:ascii="Arial" w:hAnsi="Arial" w:cs="Arial"/>
          <w:b/>
          <w:sz w:val="22"/>
        </w:rPr>
        <w:t>é</w:t>
      </w:r>
      <w:r w:rsidRPr="00EC672E">
        <w:rPr>
          <w:rFonts w:ascii="Arial" w:hAnsi="Arial" w:cs="Arial"/>
          <w:b/>
          <w:sz w:val="22"/>
        </w:rPr>
        <w:t xml:space="preserve"> získat dostatečné a vhodné informace k jejich ověření</w:t>
      </w:r>
      <w:r w:rsidRPr="00EC672E">
        <w:rPr>
          <w:rFonts w:ascii="Arial" w:hAnsi="Arial" w:cs="Arial"/>
          <w:sz w:val="22"/>
        </w:rPr>
        <w:t xml:space="preserve"> 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8B679E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Nedostatečně doložená doba životnosti ekonomického informačního systému</w:t>
      </w:r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  <w:lang w:eastAsia="cs-CZ"/>
        </w:rPr>
      </w:pPr>
      <w:r w:rsidRPr="00EC672E">
        <w:rPr>
          <w:rFonts w:ascii="Arial" w:hAnsi="Arial" w:cs="Arial"/>
          <w:bCs/>
          <w:iCs/>
          <w:sz w:val="22"/>
        </w:rPr>
        <w:t xml:space="preserve">MD používá ekonomický informační systém, který zahrnuje účetnictví, </w:t>
      </w:r>
      <w:r w:rsidRPr="00EC672E">
        <w:rPr>
          <w:rFonts w:ascii="Arial" w:hAnsi="Arial" w:cs="Arial"/>
          <w:sz w:val="22"/>
        </w:rPr>
        <w:t>personalistiku</w:t>
      </w:r>
      <w:r w:rsidR="00B70FB0" w:rsidRPr="00EC672E">
        <w:rPr>
          <w:rFonts w:ascii="Arial" w:hAnsi="Arial" w:cs="Arial"/>
          <w:sz w:val="22"/>
        </w:rPr>
        <w:t>, mzdy a </w:t>
      </w:r>
      <w:r w:rsidRPr="00EC672E">
        <w:rPr>
          <w:rFonts w:ascii="Arial" w:hAnsi="Arial" w:cs="Arial"/>
          <w:sz w:val="22"/>
        </w:rPr>
        <w:t xml:space="preserve">vzdělávání. Tento informační systém je využíván nejen MD, ale i </w:t>
      </w:r>
      <w:r w:rsidRPr="00EC672E">
        <w:rPr>
          <w:rFonts w:ascii="Arial" w:hAnsi="Arial" w:cs="Arial"/>
          <w:sz w:val="22"/>
          <w:lang w:eastAsia="cs-CZ"/>
        </w:rPr>
        <w:t>další</w:t>
      </w:r>
      <w:r w:rsidR="007F5B4E" w:rsidRPr="00EC672E">
        <w:rPr>
          <w:rFonts w:ascii="Arial" w:hAnsi="Arial" w:cs="Arial"/>
          <w:sz w:val="22"/>
          <w:lang w:eastAsia="cs-CZ"/>
        </w:rPr>
        <w:t>mi</w:t>
      </w:r>
      <w:r w:rsidRPr="00EC672E">
        <w:rPr>
          <w:rFonts w:ascii="Arial" w:hAnsi="Arial" w:cs="Arial"/>
          <w:sz w:val="22"/>
          <w:lang w:eastAsia="cs-CZ"/>
        </w:rPr>
        <w:t xml:space="preserve"> sedmi organizac</w:t>
      </w:r>
      <w:r w:rsidR="007F5B4E" w:rsidRPr="00EC672E">
        <w:rPr>
          <w:rFonts w:ascii="Arial" w:hAnsi="Arial" w:cs="Arial"/>
          <w:sz w:val="22"/>
          <w:lang w:eastAsia="cs-CZ"/>
        </w:rPr>
        <w:t>emi</w:t>
      </w:r>
      <w:r w:rsidRPr="00EC672E">
        <w:rPr>
          <w:rFonts w:ascii="Arial" w:hAnsi="Arial" w:cs="Arial"/>
          <w:sz w:val="22"/>
          <w:lang w:eastAsia="cs-CZ"/>
        </w:rPr>
        <w:t xml:space="preserve"> podřízený</w:t>
      </w:r>
      <w:r w:rsidR="007F5B4E" w:rsidRPr="00EC672E">
        <w:rPr>
          <w:rFonts w:ascii="Arial" w:hAnsi="Arial" w:cs="Arial"/>
          <w:sz w:val="22"/>
          <w:lang w:eastAsia="cs-CZ"/>
        </w:rPr>
        <w:t>mi</w:t>
      </w:r>
      <w:r w:rsidRPr="00EC672E">
        <w:rPr>
          <w:rFonts w:ascii="Arial" w:hAnsi="Arial" w:cs="Arial"/>
          <w:sz w:val="22"/>
          <w:lang w:eastAsia="cs-CZ"/>
        </w:rPr>
        <w:t xml:space="preserve"> MD, kterými jsou Centrum služeb pro silniční dopravu, Drážní úřad, Drážní inspekce, Úřad pro civilní letectví, Ústav pro odborné zjišťování příčin leteckých nehod, Státní plavební správa a Ředitelství vodních cest ČR. </w:t>
      </w:r>
    </w:p>
    <w:p w:rsidR="00842B48" w:rsidRPr="00EC672E" w:rsidRDefault="00842B48" w:rsidP="00A37297">
      <w:pPr>
        <w:rPr>
          <w:rFonts w:ascii="Arial" w:hAnsi="Arial" w:cs="Arial"/>
          <w:sz w:val="22"/>
          <w:lang w:eastAsia="cs-CZ"/>
        </w:rPr>
      </w:pPr>
    </w:p>
    <w:p w:rsidR="004E6B66" w:rsidRPr="00EC672E" w:rsidRDefault="004E6B66" w:rsidP="00A3729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eastAsia="cs-CZ"/>
        </w:rPr>
      </w:pPr>
      <w:r w:rsidRPr="00EC672E">
        <w:rPr>
          <w:rFonts w:ascii="Arial" w:hAnsi="Arial" w:cs="Arial"/>
          <w:sz w:val="22"/>
          <w:lang w:eastAsia="cs-CZ"/>
        </w:rPr>
        <w:t>Systém byl budován od roku 2006. Cena za údržbu, implementační služby a podporu provozu systému v počtu 1</w:t>
      </w:r>
      <w:r w:rsidR="000D136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015 udělených licencí byla smlouvou stanovena na 663 894</w:t>
      </w:r>
      <w:r w:rsidR="00842B48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737</w:t>
      </w:r>
      <w:r w:rsidR="00842B48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 xml:space="preserve">Kč. Následně byly uzavřeny další smlouvy, </w:t>
      </w:r>
      <w:r w:rsidR="007F5B4E" w:rsidRPr="00EC672E">
        <w:rPr>
          <w:rFonts w:ascii="Arial" w:hAnsi="Arial" w:cs="Arial"/>
          <w:sz w:val="22"/>
          <w:lang w:eastAsia="cs-CZ"/>
        </w:rPr>
        <w:t xml:space="preserve">které se </w:t>
      </w:r>
      <w:r w:rsidRPr="00EC672E">
        <w:rPr>
          <w:rFonts w:ascii="Arial" w:hAnsi="Arial" w:cs="Arial"/>
          <w:sz w:val="22"/>
          <w:lang w:eastAsia="cs-CZ"/>
        </w:rPr>
        <w:t>týka</w:t>
      </w:r>
      <w:r w:rsidR="007F5B4E" w:rsidRPr="00EC672E">
        <w:rPr>
          <w:rFonts w:ascii="Arial" w:hAnsi="Arial" w:cs="Arial"/>
          <w:sz w:val="22"/>
          <w:lang w:eastAsia="cs-CZ"/>
        </w:rPr>
        <w:t>ly</w:t>
      </w:r>
      <w:r w:rsidRPr="00EC672E">
        <w:rPr>
          <w:rFonts w:ascii="Arial" w:hAnsi="Arial" w:cs="Arial"/>
          <w:sz w:val="22"/>
          <w:lang w:eastAsia="cs-CZ"/>
        </w:rPr>
        <w:t xml:space="preserve"> např. provozní podpory uživatelů (dvě smlouvy z let 2007 a 2008 uzavřené na </w:t>
      </w:r>
      <w:r w:rsidR="00C345C6" w:rsidRPr="00EC672E">
        <w:rPr>
          <w:rFonts w:ascii="Arial" w:hAnsi="Arial" w:cs="Arial"/>
          <w:sz w:val="22"/>
          <w:lang w:eastAsia="cs-CZ"/>
        </w:rPr>
        <w:t xml:space="preserve">celkovou </w:t>
      </w:r>
      <w:r w:rsidRPr="00EC672E">
        <w:rPr>
          <w:rFonts w:ascii="Arial" w:hAnsi="Arial" w:cs="Arial"/>
          <w:sz w:val="22"/>
          <w:lang w:eastAsia="cs-CZ"/>
        </w:rPr>
        <w:t>částku 401 297</w:t>
      </w:r>
      <w:r w:rsidR="00C345C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821</w:t>
      </w:r>
      <w:r w:rsidR="00C345C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Kč</w:t>
      </w:r>
      <w:r w:rsidR="007F5B4E" w:rsidRPr="00EC672E">
        <w:rPr>
          <w:rFonts w:ascii="Arial" w:hAnsi="Arial" w:cs="Arial"/>
          <w:sz w:val="22"/>
          <w:lang w:eastAsia="cs-CZ"/>
        </w:rPr>
        <w:t>)</w:t>
      </w:r>
      <w:r w:rsidRPr="00EC672E">
        <w:rPr>
          <w:rFonts w:ascii="Arial" w:hAnsi="Arial" w:cs="Arial"/>
          <w:sz w:val="22"/>
          <w:lang w:eastAsia="cs-CZ"/>
        </w:rPr>
        <w:t xml:space="preserve"> nebo rozšíření systému a poskytnutí dalších souvisejících služeb (smlouva z roku 2009 na částku 335 000 000 Kč, z toho 195 000 000 Kč za prodloužení stávajících licencí na dobu neurčitou). </w:t>
      </w:r>
      <w:r w:rsidRPr="00EC672E">
        <w:rPr>
          <w:rFonts w:ascii="Arial" w:hAnsi="Arial" w:cs="Arial"/>
          <w:b/>
          <w:sz w:val="22"/>
          <w:lang w:eastAsia="cs-CZ"/>
        </w:rPr>
        <w:t xml:space="preserve">Celková cena </w:t>
      </w:r>
      <w:r w:rsidRPr="00EC672E">
        <w:rPr>
          <w:rFonts w:ascii="Arial" w:hAnsi="Arial" w:cs="Arial"/>
          <w:sz w:val="22"/>
          <w:lang w:eastAsia="cs-CZ"/>
        </w:rPr>
        <w:t>vyplývající z uzavřených smluv tak</w:t>
      </w:r>
      <w:r w:rsidRPr="00EC672E">
        <w:rPr>
          <w:rFonts w:ascii="Arial" w:hAnsi="Arial" w:cs="Arial"/>
          <w:b/>
          <w:sz w:val="22"/>
          <w:lang w:eastAsia="cs-CZ"/>
        </w:rPr>
        <w:t xml:space="preserve"> za vybudování informačního systému a související služby činila 1 400 192 558 Kč.</w:t>
      </w:r>
      <w:r w:rsidRPr="00EC672E">
        <w:rPr>
          <w:rFonts w:ascii="Arial" w:hAnsi="Arial" w:cs="Arial"/>
          <w:sz w:val="22"/>
          <w:lang w:eastAsia="cs-CZ"/>
        </w:rPr>
        <w:t xml:space="preserve"> K 31.</w:t>
      </w:r>
      <w:r w:rsidR="00C345C6" w:rsidRPr="00EC672E">
        <w:rPr>
          <w:rFonts w:ascii="Arial" w:hAnsi="Arial" w:cs="Arial"/>
          <w:sz w:val="22"/>
          <w:lang w:eastAsia="cs-CZ"/>
        </w:rPr>
        <w:t> </w:t>
      </w:r>
      <w:r w:rsidR="00B70FB0" w:rsidRPr="00EC672E">
        <w:rPr>
          <w:rFonts w:ascii="Arial" w:hAnsi="Arial" w:cs="Arial"/>
          <w:sz w:val="22"/>
          <w:lang w:eastAsia="cs-CZ"/>
        </w:rPr>
        <w:t>prosinci</w:t>
      </w:r>
      <w:r w:rsidRPr="00EC672E">
        <w:rPr>
          <w:rFonts w:ascii="Arial" w:hAnsi="Arial" w:cs="Arial"/>
          <w:sz w:val="22"/>
          <w:lang w:eastAsia="cs-CZ"/>
        </w:rPr>
        <w:t xml:space="preserve"> 2011 byl informační systém vykázán v aktivech MD jako software v pořizovací ceně 302 603 667,50 Kč.</w:t>
      </w:r>
    </w:p>
    <w:p w:rsidR="00842B48" w:rsidRPr="00EC672E" w:rsidRDefault="00842B48" w:rsidP="00A3729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eastAsia="cs-CZ"/>
        </w:rPr>
      </w:pPr>
    </w:p>
    <w:p w:rsidR="004E6B66" w:rsidRPr="00EC672E" w:rsidRDefault="004E6B66" w:rsidP="00A3729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eastAsia="cs-CZ"/>
        </w:rPr>
      </w:pPr>
      <w:r w:rsidRPr="00EC672E">
        <w:rPr>
          <w:rFonts w:ascii="Arial" w:hAnsi="Arial" w:cs="Arial"/>
          <w:sz w:val="22"/>
          <w:lang w:eastAsia="cs-CZ"/>
        </w:rPr>
        <w:t xml:space="preserve">MD mělo povinnost </w:t>
      </w:r>
      <w:r w:rsidR="007F5B4E" w:rsidRPr="00EC672E">
        <w:rPr>
          <w:rFonts w:ascii="Arial" w:hAnsi="Arial" w:cs="Arial"/>
          <w:sz w:val="22"/>
          <w:lang w:eastAsia="cs-CZ"/>
        </w:rPr>
        <w:t xml:space="preserve">začít </w:t>
      </w:r>
      <w:r w:rsidRPr="00EC672E">
        <w:rPr>
          <w:rFonts w:ascii="Arial" w:hAnsi="Arial" w:cs="Arial"/>
          <w:sz w:val="22"/>
          <w:lang w:eastAsia="cs-CZ"/>
        </w:rPr>
        <w:t xml:space="preserve">k 31. </w:t>
      </w:r>
      <w:r w:rsidR="00E21F48" w:rsidRPr="00EC672E">
        <w:rPr>
          <w:rFonts w:ascii="Arial" w:hAnsi="Arial" w:cs="Arial"/>
          <w:sz w:val="22"/>
          <w:lang w:eastAsia="cs-CZ"/>
        </w:rPr>
        <w:t>prosinci</w:t>
      </w:r>
      <w:r w:rsidRPr="00EC672E">
        <w:rPr>
          <w:rFonts w:ascii="Arial" w:hAnsi="Arial" w:cs="Arial"/>
          <w:sz w:val="22"/>
          <w:lang w:eastAsia="cs-CZ"/>
        </w:rPr>
        <w:t xml:space="preserve"> 2011 tento majetek odepisovat. </w:t>
      </w:r>
      <w:proofErr w:type="spellStart"/>
      <w:r w:rsidRPr="00EC672E">
        <w:rPr>
          <w:rFonts w:ascii="Arial" w:hAnsi="Arial" w:cs="Arial"/>
          <w:sz w:val="22"/>
          <w:lang w:eastAsia="cs-CZ"/>
        </w:rPr>
        <w:t>ČÚS</w:t>
      </w:r>
      <w:proofErr w:type="spellEnd"/>
      <w:r w:rsidRPr="00EC672E">
        <w:rPr>
          <w:rFonts w:ascii="Arial" w:hAnsi="Arial" w:cs="Arial"/>
          <w:sz w:val="22"/>
          <w:lang w:eastAsia="cs-CZ"/>
        </w:rPr>
        <w:t xml:space="preserve"> č. 708 v bodu </w:t>
      </w:r>
      <w:r w:rsidRPr="00EC672E">
        <w:rPr>
          <w:rFonts w:ascii="Arial" w:hAnsi="Arial" w:cs="Arial"/>
          <w:sz w:val="22"/>
        </w:rPr>
        <w:t xml:space="preserve">7.1.1 stanoví, že pokud účetní jednotka odpisuje dlouhodobý majetek rovnoměrným, výkonovým nebo komponentním způsobem, provede kategorizaci dlouhodobého majetku podle přílohy č. 1 a kvalifikovaný odhad zbývající doby používání majetku. MD </w:t>
      </w:r>
      <w:r w:rsidRPr="00EC672E">
        <w:rPr>
          <w:rFonts w:ascii="Arial" w:hAnsi="Arial" w:cs="Arial"/>
          <w:bCs/>
          <w:sz w:val="22"/>
          <w:lang w:eastAsia="cs-CZ"/>
        </w:rPr>
        <w:t xml:space="preserve">v příloze </w:t>
      </w:r>
      <w:proofErr w:type="spellStart"/>
      <w:r w:rsidRPr="00EC672E">
        <w:rPr>
          <w:rFonts w:ascii="Arial" w:hAnsi="Arial" w:cs="Arial"/>
          <w:bCs/>
          <w:sz w:val="22"/>
          <w:lang w:eastAsia="cs-CZ"/>
        </w:rPr>
        <w:t>ÚZ</w:t>
      </w:r>
      <w:proofErr w:type="spellEnd"/>
      <w:r w:rsidRPr="00EC672E">
        <w:rPr>
          <w:rFonts w:ascii="Arial" w:hAnsi="Arial" w:cs="Arial"/>
          <w:bCs/>
          <w:sz w:val="22"/>
          <w:lang w:eastAsia="cs-CZ"/>
        </w:rPr>
        <w:t xml:space="preserve"> sestav</w:t>
      </w:r>
      <w:r w:rsidR="007F5B4E" w:rsidRPr="00EC672E">
        <w:rPr>
          <w:rFonts w:ascii="Arial" w:hAnsi="Arial" w:cs="Arial"/>
          <w:bCs/>
          <w:sz w:val="22"/>
          <w:lang w:eastAsia="cs-CZ"/>
        </w:rPr>
        <w:t>e</w:t>
      </w:r>
      <w:r w:rsidRPr="00EC672E">
        <w:rPr>
          <w:rFonts w:ascii="Arial" w:hAnsi="Arial" w:cs="Arial"/>
          <w:bCs/>
          <w:sz w:val="22"/>
          <w:lang w:eastAsia="cs-CZ"/>
        </w:rPr>
        <w:t xml:space="preserve">né k 31. </w:t>
      </w:r>
      <w:r w:rsidR="00E21F48" w:rsidRPr="00EC672E">
        <w:rPr>
          <w:rFonts w:ascii="Arial" w:hAnsi="Arial" w:cs="Arial"/>
          <w:bCs/>
          <w:sz w:val="22"/>
          <w:lang w:eastAsia="cs-CZ"/>
        </w:rPr>
        <w:t>prosinci</w:t>
      </w:r>
      <w:r w:rsidRPr="00EC672E">
        <w:rPr>
          <w:rFonts w:ascii="Arial" w:hAnsi="Arial" w:cs="Arial"/>
          <w:bCs/>
          <w:sz w:val="22"/>
          <w:lang w:eastAsia="cs-CZ"/>
        </w:rPr>
        <w:t xml:space="preserve"> 2011 uvedlo, že dlouhodobý nehmotný majetek bude odepisován rovnoměrně po dobu 8 anebo 30 let;</w:t>
      </w:r>
      <w:r w:rsidRPr="00EC672E">
        <w:rPr>
          <w:rFonts w:ascii="Arial" w:hAnsi="Arial" w:cs="Arial"/>
          <w:sz w:val="22"/>
          <w:lang w:eastAsia="cs-CZ"/>
        </w:rPr>
        <w:t xml:space="preserve"> pro tento informační systém stanovilo dobu životnosti na 30 let. MD však nepředložilo podklady dokládající,</w:t>
      </w:r>
      <w:r w:rsidR="00E21F48" w:rsidRPr="00EC672E">
        <w:rPr>
          <w:rFonts w:ascii="Arial" w:hAnsi="Arial" w:cs="Arial"/>
          <w:sz w:val="22"/>
          <w:lang w:eastAsia="cs-CZ"/>
        </w:rPr>
        <w:t xml:space="preserve"> z čeho tento odhad vycházel a </w:t>
      </w:r>
      <w:r w:rsidRPr="00EC672E">
        <w:rPr>
          <w:rFonts w:ascii="Arial" w:hAnsi="Arial" w:cs="Arial"/>
          <w:sz w:val="22"/>
          <w:lang w:eastAsia="cs-CZ"/>
        </w:rPr>
        <w:t>omezilo se pouze na konstatování, že 30 let je běžná životnost udávaná u srovnatelných informačních systémů.</w:t>
      </w:r>
    </w:p>
    <w:p w:rsidR="00842B48" w:rsidRPr="00EC672E" w:rsidRDefault="00842B48" w:rsidP="00A3729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eastAsia="cs-CZ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  <w:lang w:eastAsia="cs-CZ"/>
        </w:rPr>
      </w:pPr>
      <w:r w:rsidRPr="00EC672E">
        <w:rPr>
          <w:rFonts w:ascii="Arial" w:hAnsi="Arial" w:cs="Arial"/>
          <w:b/>
          <w:sz w:val="22"/>
          <w:lang w:eastAsia="cs-CZ"/>
        </w:rPr>
        <w:t xml:space="preserve">Přestože se NKÚ domnívá, že 30 let není adekvátní doba životnosti </w:t>
      </w:r>
      <w:r w:rsidR="00944F2E" w:rsidRPr="00EC672E">
        <w:rPr>
          <w:rFonts w:ascii="Arial" w:hAnsi="Arial" w:cs="Arial"/>
          <w:b/>
          <w:sz w:val="22"/>
          <w:lang w:eastAsia="cs-CZ"/>
        </w:rPr>
        <w:t xml:space="preserve">pro </w:t>
      </w:r>
      <w:r w:rsidRPr="00EC672E">
        <w:rPr>
          <w:rFonts w:ascii="Arial" w:hAnsi="Arial" w:cs="Arial"/>
          <w:b/>
          <w:sz w:val="22"/>
          <w:lang w:eastAsia="cs-CZ"/>
        </w:rPr>
        <w:t>výše uveden</w:t>
      </w:r>
      <w:r w:rsidR="00944F2E" w:rsidRPr="00EC672E">
        <w:rPr>
          <w:rFonts w:ascii="Arial" w:hAnsi="Arial" w:cs="Arial"/>
          <w:b/>
          <w:sz w:val="22"/>
          <w:lang w:eastAsia="cs-CZ"/>
        </w:rPr>
        <w:t>ý</w:t>
      </w:r>
      <w:r w:rsidRPr="00EC672E">
        <w:rPr>
          <w:rFonts w:ascii="Arial" w:hAnsi="Arial" w:cs="Arial"/>
          <w:b/>
          <w:sz w:val="22"/>
          <w:lang w:eastAsia="cs-CZ"/>
        </w:rPr>
        <w:t xml:space="preserve"> software, nemůže tento případ vyhodnotit jako porušení právních předpisů, </w:t>
      </w:r>
      <w:r w:rsidR="007F5B4E" w:rsidRPr="00EC672E">
        <w:rPr>
          <w:rFonts w:ascii="Arial" w:hAnsi="Arial" w:cs="Arial"/>
          <w:b/>
          <w:sz w:val="22"/>
          <w:lang w:eastAsia="cs-CZ"/>
        </w:rPr>
        <w:t>neboť ty</w:t>
      </w:r>
      <w:r w:rsidRPr="00EC672E">
        <w:rPr>
          <w:rFonts w:ascii="Arial" w:hAnsi="Arial" w:cs="Arial"/>
          <w:b/>
          <w:sz w:val="22"/>
          <w:lang w:eastAsia="cs-CZ"/>
        </w:rPr>
        <w:t xml:space="preserve"> nepředpokládají, že by si účetní jednotky při dodržení p</w:t>
      </w:r>
      <w:r w:rsidR="003A23C2" w:rsidRPr="00EC672E">
        <w:rPr>
          <w:rFonts w:ascii="Arial" w:hAnsi="Arial" w:cs="Arial"/>
          <w:b/>
          <w:sz w:val="22"/>
          <w:lang w:eastAsia="cs-CZ"/>
        </w:rPr>
        <w:t xml:space="preserve">ostupu uvedeného v bodu 5.5.2 </w:t>
      </w:r>
      <w:proofErr w:type="spellStart"/>
      <w:r w:rsidRPr="00EC672E">
        <w:rPr>
          <w:rFonts w:ascii="Arial" w:hAnsi="Arial" w:cs="Arial"/>
          <w:b/>
          <w:sz w:val="22"/>
          <w:lang w:eastAsia="cs-CZ"/>
        </w:rPr>
        <w:t>ČÚS</w:t>
      </w:r>
      <w:proofErr w:type="spellEnd"/>
      <w:r w:rsidRPr="00EC672E">
        <w:rPr>
          <w:rFonts w:ascii="Arial" w:hAnsi="Arial" w:cs="Arial"/>
          <w:b/>
          <w:sz w:val="22"/>
          <w:lang w:eastAsia="cs-CZ"/>
        </w:rPr>
        <w:t xml:space="preserve"> č. 708 (kvalifikovaný odhad) stanovily nereálné doby používání dlouhodobého majetku. </w:t>
      </w:r>
    </w:p>
    <w:p w:rsidR="004E6B66" w:rsidRPr="00EC672E" w:rsidRDefault="004E6B66" w:rsidP="00A37297">
      <w:pPr>
        <w:rPr>
          <w:rFonts w:ascii="Arial" w:hAnsi="Arial" w:cs="Arial"/>
          <w:sz w:val="22"/>
          <w:lang w:eastAsia="cs-CZ"/>
        </w:rPr>
      </w:pPr>
    </w:p>
    <w:p w:rsidR="004E6B66" w:rsidRPr="00EC672E" w:rsidRDefault="004E6B66" w:rsidP="00A3729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lang w:eastAsia="cs-CZ"/>
        </w:rPr>
      </w:pPr>
      <w:r w:rsidRPr="00EC672E">
        <w:rPr>
          <w:rFonts w:ascii="Arial" w:hAnsi="Arial" w:cs="Arial"/>
          <w:sz w:val="22"/>
          <w:lang w:eastAsia="cs-CZ"/>
        </w:rPr>
        <w:t>Z uvedeného důvodu se NKÚ nevyjadřuje k výši odpisů a oprávek vyčíslených k 31.</w:t>
      </w:r>
      <w:r w:rsidR="00370109" w:rsidRPr="00EC672E">
        <w:rPr>
          <w:rFonts w:ascii="Arial" w:hAnsi="Arial" w:cs="Arial"/>
          <w:sz w:val="22"/>
          <w:lang w:eastAsia="cs-CZ"/>
        </w:rPr>
        <w:t> </w:t>
      </w:r>
      <w:r w:rsidR="00E21F48" w:rsidRPr="00EC672E">
        <w:rPr>
          <w:rFonts w:ascii="Arial" w:hAnsi="Arial" w:cs="Arial"/>
          <w:sz w:val="22"/>
          <w:lang w:eastAsia="cs-CZ"/>
        </w:rPr>
        <w:t>prosinci</w:t>
      </w:r>
      <w:r w:rsidR="00185902">
        <w:rPr>
          <w:rFonts w:ascii="Arial" w:hAnsi="Arial" w:cs="Arial"/>
          <w:sz w:val="22"/>
          <w:lang w:eastAsia="cs-CZ"/>
        </w:rPr>
        <w:t> </w:t>
      </w:r>
      <w:bookmarkStart w:id="0" w:name="_GoBack"/>
      <w:bookmarkEnd w:id="0"/>
      <w:r w:rsidRPr="00EC672E">
        <w:rPr>
          <w:rFonts w:ascii="Arial" w:hAnsi="Arial" w:cs="Arial"/>
          <w:sz w:val="22"/>
          <w:lang w:eastAsia="cs-CZ"/>
        </w:rPr>
        <w:t xml:space="preserve">2011 na účtu 073 – </w:t>
      </w:r>
      <w:r w:rsidRPr="00EC672E">
        <w:rPr>
          <w:rFonts w:ascii="Arial" w:hAnsi="Arial" w:cs="Arial"/>
          <w:i/>
          <w:sz w:val="22"/>
          <w:lang w:eastAsia="cs-CZ"/>
        </w:rPr>
        <w:t>Oprávky k software</w:t>
      </w:r>
      <w:r w:rsidRPr="00EC672E">
        <w:rPr>
          <w:rFonts w:ascii="Arial" w:hAnsi="Arial" w:cs="Arial"/>
          <w:sz w:val="22"/>
          <w:lang w:eastAsia="cs-CZ"/>
        </w:rPr>
        <w:t xml:space="preserve"> ve výši 21</w:t>
      </w:r>
      <w:r w:rsidR="000D136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854</w:t>
      </w:r>
      <w:r w:rsidR="000D136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>716</w:t>
      </w:r>
      <w:r w:rsidR="000D1366" w:rsidRPr="00EC672E">
        <w:rPr>
          <w:rFonts w:ascii="Arial" w:hAnsi="Arial" w:cs="Arial"/>
          <w:sz w:val="22"/>
          <w:lang w:eastAsia="cs-CZ"/>
        </w:rPr>
        <w:t> </w:t>
      </w:r>
      <w:r w:rsidRPr="00EC672E">
        <w:rPr>
          <w:rFonts w:ascii="Arial" w:hAnsi="Arial" w:cs="Arial"/>
          <w:sz w:val="22"/>
          <w:lang w:eastAsia="cs-CZ"/>
        </w:rPr>
        <w:t xml:space="preserve">Kč, </w:t>
      </w:r>
      <w:r w:rsidR="007F5B4E" w:rsidRPr="00EC672E">
        <w:rPr>
          <w:rFonts w:ascii="Arial" w:hAnsi="Arial" w:cs="Arial"/>
          <w:sz w:val="22"/>
          <w:lang w:eastAsia="cs-CZ"/>
        </w:rPr>
        <w:t>neboť tato</w:t>
      </w:r>
      <w:r w:rsidRPr="00EC672E">
        <w:rPr>
          <w:rFonts w:ascii="Arial" w:hAnsi="Arial" w:cs="Arial"/>
          <w:sz w:val="22"/>
          <w:lang w:eastAsia="cs-CZ"/>
        </w:rPr>
        <w:t xml:space="preserve"> výše je odvozena právě od stanovené doby životnosti. </w:t>
      </w: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lastRenderedPageBreak/>
        <w:t xml:space="preserve">1.3 Nesprávnosti v účetní závěrce </w:t>
      </w:r>
      <w:r w:rsidRPr="00EC672E">
        <w:rPr>
          <w:rFonts w:ascii="Arial" w:eastAsiaTheme="minorHAnsi" w:hAnsi="Arial" w:cs="Arial"/>
          <w:b/>
          <w:bCs/>
          <w:sz w:val="22"/>
        </w:rPr>
        <w:t xml:space="preserve">a hlavní příčiny </w:t>
      </w:r>
      <w:r w:rsidR="007F5B4E" w:rsidRPr="00EC672E">
        <w:rPr>
          <w:rFonts w:ascii="Arial" w:eastAsiaTheme="minorHAnsi" w:hAnsi="Arial" w:cs="Arial"/>
          <w:b/>
          <w:bCs/>
          <w:sz w:val="22"/>
        </w:rPr>
        <w:t xml:space="preserve">vzniku </w:t>
      </w:r>
      <w:r w:rsidRPr="00EC672E">
        <w:rPr>
          <w:rFonts w:ascii="Arial" w:eastAsiaTheme="minorHAnsi" w:hAnsi="Arial" w:cs="Arial"/>
          <w:b/>
          <w:bCs/>
          <w:sz w:val="22"/>
        </w:rPr>
        <w:t>těchto nesprávností</w:t>
      </w: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C672E">
        <w:rPr>
          <w:rFonts w:ascii="Arial" w:hAnsi="Arial" w:cs="Arial"/>
          <w:bCs/>
          <w:sz w:val="22"/>
        </w:rPr>
        <w:t>V účetní závěrce MD k 31. prosinci 2011 zjistil NKÚ celkovou nesprávnost ve výši 46 092 112,02 Kč. Na celkové nesprávnosti se podílelo nadhodnocení a podhodnocení zůstatků jednotlivých účtů výkazu rozvaha a výkazu zisku a ztráty v důsledk</w:t>
      </w:r>
      <w:r w:rsidR="000D1366" w:rsidRPr="00EC672E">
        <w:rPr>
          <w:rFonts w:ascii="Arial" w:hAnsi="Arial" w:cs="Arial"/>
          <w:bCs/>
          <w:sz w:val="22"/>
        </w:rPr>
        <w:t>u</w:t>
      </w:r>
      <w:r w:rsidRPr="00EC672E">
        <w:rPr>
          <w:rFonts w:ascii="Arial" w:hAnsi="Arial" w:cs="Arial"/>
          <w:bCs/>
          <w:sz w:val="22"/>
        </w:rPr>
        <w:t xml:space="preserve"> porušení různých ustanovení zákona o účetnictví, jeho prováděcí vyhlášky č. 410/2009 Sb. anebo příslušného českého účetního standardu. Nesprávnosti byly identifikovány </w:t>
      </w:r>
      <w:r w:rsidR="007F5B4E" w:rsidRPr="00EC672E">
        <w:rPr>
          <w:rFonts w:ascii="Arial" w:hAnsi="Arial" w:cs="Arial"/>
          <w:bCs/>
          <w:sz w:val="22"/>
        </w:rPr>
        <w:t>na</w:t>
      </w:r>
      <w:r w:rsidRPr="00EC672E">
        <w:rPr>
          <w:rFonts w:ascii="Arial" w:hAnsi="Arial" w:cs="Arial"/>
          <w:bCs/>
          <w:sz w:val="22"/>
        </w:rPr>
        <w:t xml:space="preserve"> jednotlivých položk</w:t>
      </w:r>
      <w:r w:rsidR="007F5B4E" w:rsidRPr="00EC672E">
        <w:rPr>
          <w:rFonts w:ascii="Arial" w:hAnsi="Arial" w:cs="Arial"/>
          <w:bCs/>
          <w:sz w:val="22"/>
        </w:rPr>
        <w:t>ách</w:t>
      </w:r>
      <w:r w:rsidRPr="00EC672E">
        <w:rPr>
          <w:rFonts w:ascii="Arial" w:hAnsi="Arial" w:cs="Arial"/>
          <w:bCs/>
          <w:sz w:val="22"/>
        </w:rPr>
        <w:t xml:space="preserve"> </w:t>
      </w:r>
      <w:proofErr w:type="spellStart"/>
      <w:r w:rsidRPr="00EC672E">
        <w:rPr>
          <w:rFonts w:ascii="Arial" w:hAnsi="Arial" w:cs="Arial"/>
          <w:bCs/>
          <w:sz w:val="22"/>
        </w:rPr>
        <w:t>ÚZ</w:t>
      </w:r>
      <w:proofErr w:type="spellEnd"/>
      <w:r w:rsidRPr="00EC672E">
        <w:rPr>
          <w:rFonts w:ascii="Arial" w:hAnsi="Arial" w:cs="Arial"/>
          <w:bCs/>
          <w:sz w:val="22"/>
        </w:rPr>
        <w:t xml:space="preserve"> s ohledem na jejich obsahové vymezen</w:t>
      </w:r>
      <w:r w:rsidR="00A30C69" w:rsidRPr="00EC672E">
        <w:rPr>
          <w:rFonts w:ascii="Arial" w:hAnsi="Arial" w:cs="Arial"/>
          <w:bCs/>
          <w:sz w:val="22"/>
        </w:rPr>
        <w:t>í podle ustanovení § 4 zákona o </w:t>
      </w:r>
      <w:r w:rsidRPr="00EC672E">
        <w:rPr>
          <w:rFonts w:ascii="Arial" w:hAnsi="Arial" w:cs="Arial"/>
          <w:bCs/>
          <w:sz w:val="22"/>
        </w:rPr>
        <w:t xml:space="preserve">účetnictví a podle vyhlášky č. 410/2009 Sb. </w:t>
      </w:r>
      <w:r w:rsidR="007F5B4E" w:rsidRPr="00EC672E">
        <w:rPr>
          <w:rFonts w:ascii="Arial" w:hAnsi="Arial" w:cs="Arial"/>
          <w:bCs/>
          <w:sz w:val="22"/>
        </w:rPr>
        <w:t>O nejzávažnějších zjištěních je pojednáno v následujících podkapitolách</w:t>
      </w:r>
      <w:r w:rsidRPr="00EC672E">
        <w:rPr>
          <w:rFonts w:ascii="Arial" w:hAnsi="Arial" w:cs="Arial"/>
          <w:bCs/>
          <w:sz w:val="22"/>
        </w:rPr>
        <w:t>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1.3.1 Správnost účetnictví</w:t>
      </w:r>
    </w:p>
    <w:p w:rsidR="004E6B66" w:rsidRPr="00EC672E" w:rsidRDefault="004E6B66" w:rsidP="00A37297">
      <w:pPr>
        <w:outlineLvl w:val="2"/>
        <w:rPr>
          <w:rFonts w:ascii="Arial" w:hAnsi="Arial" w:cs="Arial"/>
          <w:sz w:val="22"/>
        </w:rPr>
      </w:pPr>
      <w:bookmarkStart w:id="1" w:name="_Toc337132426"/>
      <w:bookmarkStart w:id="2" w:name="_Toc338344934"/>
    </w:p>
    <w:p w:rsidR="004E6B66" w:rsidRPr="00EC672E" w:rsidRDefault="004E6B66" w:rsidP="00FD3702">
      <w:pPr>
        <w:pStyle w:val="Odstavecseseznamem"/>
        <w:numPr>
          <w:ilvl w:val="0"/>
          <w:numId w:val="41"/>
        </w:numPr>
        <w:ind w:left="284" w:hanging="284"/>
        <w:outlineLvl w:val="2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Nesprávné nastavení dopočtu oprávek u majetku zařazeného do II. a III. odpisové skupiny</w:t>
      </w:r>
      <w:bookmarkEnd w:id="1"/>
      <w:bookmarkEnd w:id="2"/>
      <w:r w:rsidRPr="00EC672E">
        <w:rPr>
          <w:rFonts w:ascii="Arial" w:hAnsi="Arial" w:cs="Arial"/>
          <w:b/>
          <w:sz w:val="22"/>
          <w:lang w:val="cs-CZ"/>
        </w:rPr>
        <w:t xml:space="preserve"> </w:t>
      </w:r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  <w:lang w:eastAsia="cs-CZ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  <w:lang w:eastAsia="cs-CZ"/>
        </w:rPr>
        <w:t>MD se v roce 2011 rozhodlo u dlouhodobého hmotného majetku (dále také „</w:t>
      </w:r>
      <w:proofErr w:type="spellStart"/>
      <w:r w:rsidRPr="00EC672E">
        <w:rPr>
          <w:rFonts w:ascii="Arial" w:hAnsi="Arial" w:cs="Arial"/>
          <w:bCs/>
          <w:iCs/>
          <w:sz w:val="22"/>
          <w:lang w:eastAsia="cs-CZ"/>
        </w:rPr>
        <w:t>DHM</w:t>
      </w:r>
      <w:proofErr w:type="spellEnd"/>
      <w:r w:rsidRPr="00EC672E">
        <w:rPr>
          <w:rFonts w:ascii="Arial" w:hAnsi="Arial" w:cs="Arial"/>
          <w:bCs/>
          <w:iCs/>
          <w:sz w:val="22"/>
          <w:lang w:eastAsia="cs-CZ"/>
        </w:rPr>
        <w:t>“) pro zjednodušený způsob odpisování, avšak při</w:t>
      </w:r>
      <w:r w:rsidRPr="00EC672E">
        <w:rPr>
          <w:rFonts w:ascii="Arial" w:hAnsi="Arial" w:cs="Arial"/>
          <w:bCs/>
          <w:iCs/>
          <w:sz w:val="22"/>
        </w:rPr>
        <w:t xml:space="preserve"> dopočtu oprávek k 31. </w:t>
      </w:r>
      <w:r w:rsidR="00FC5A79" w:rsidRPr="00EC672E">
        <w:rPr>
          <w:rFonts w:ascii="Arial" w:hAnsi="Arial" w:cs="Arial"/>
          <w:bCs/>
          <w:iCs/>
          <w:sz w:val="22"/>
        </w:rPr>
        <w:t xml:space="preserve">prosinci </w:t>
      </w:r>
      <w:r w:rsidRPr="00EC672E">
        <w:rPr>
          <w:rFonts w:ascii="Arial" w:hAnsi="Arial" w:cs="Arial"/>
          <w:bCs/>
          <w:iCs/>
          <w:sz w:val="22"/>
        </w:rPr>
        <w:t xml:space="preserve">2011 nepostupovalo v případě majetku zařazeného do II. a III. odpisové skupiny podle přílohy </w:t>
      </w:r>
      <w:r w:rsidR="00FC5A79" w:rsidRPr="00EC672E">
        <w:rPr>
          <w:rFonts w:ascii="Arial" w:hAnsi="Arial" w:cs="Arial"/>
          <w:bCs/>
          <w:sz w:val="22"/>
          <w:lang w:eastAsia="cs-CZ"/>
        </w:rPr>
        <w:t>č. </w:t>
      </w:r>
      <w:r w:rsidRPr="00EC672E">
        <w:rPr>
          <w:rFonts w:ascii="Arial" w:hAnsi="Arial" w:cs="Arial"/>
          <w:bCs/>
          <w:sz w:val="22"/>
          <w:lang w:eastAsia="cs-CZ"/>
        </w:rPr>
        <w:t>4  </w:t>
      </w:r>
      <w:proofErr w:type="spellStart"/>
      <w:r w:rsidRPr="00EC672E">
        <w:rPr>
          <w:rFonts w:ascii="Arial" w:hAnsi="Arial" w:cs="Arial"/>
          <w:bCs/>
          <w:sz w:val="22"/>
          <w:lang w:eastAsia="cs-CZ"/>
        </w:rPr>
        <w:t>ČÚS</w:t>
      </w:r>
      <w:proofErr w:type="spellEnd"/>
      <w:r w:rsidRPr="00EC672E">
        <w:rPr>
          <w:rFonts w:ascii="Arial" w:hAnsi="Arial" w:cs="Arial"/>
          <w:bCs/>
          <w:sz w:val="22"/>
          <w:lang w:eastAsia="cs-CZ"/>
        </w:rPr>
        <w:t xml:space="preserve"> č. 708 – </w:t>
      </w:r>
      <w:r w:rsidRPr="00EC672E">
        <w:rPr>
          <w:rFonts w:ascii="Arial" w:hAnsi="Arial" w:cs="Arial"/>
          <w:bCs/>
          <w:i/>
          <w:sz w:val="22"/>
          <w:lang w:eastAsia="cs-CZ"/>
        </w:rPr>
        <w:t>Odpisování dlouhodobého majetku</w:t>
      </w:r>
      <w:r w:rsidRPr="00EC672E">
        <w:rPr>
          <w:rFonts w:ascii="Arial" w:hAnsi="Arial" w:cs="Arial"/>
          <w:bCs/>
          <w:sz w:val="22"/>
          <w:lang w:eastAsia="cs-CZ"/>
        </w:rPr>
        <w:t>.</w:t>
      </w:r>
      <w:r w:rsidRPr="00EC672E">
        <w:rPr>
          <w:rFonts w:ascii="Arial" w:hAnsi="Arial" w:cs="Arial"/>
          <w:bCs/>
          <w:i/>
          <w:sz w:val="22"/>
          <w:lang w:eastAsia="cs-CZ"/>
        </w:rPr>
        <w:t xml:space="preserve"> </w:t>
      </w:r>
      <w:r w:rsidRPr="00EC672E">
        <w:rPr>
          <w:rFonts w:ascii="Arial" w:hAnsi="Arial" w:cs="Arial"/>
          <w:bCs/>
          <w:sz w:val="22"/>
          <w:lang w:eastAsia="cs-CZ"/>
        </w:rPr>
        <w:t>Podle této přílohy</w:t>
      </w:r>
      <w:r w:rsidRPr="00EC672E">
        <w:rPr>
          <w:rFonts w:ascii="Arial" w:hAnsi="Arial" w:cs="Arial"/>
          <w:bCs/>
          <w:i/>
          <w:sz w:val="22"/>
          <w:lang w:eastAsia="cs-CZ"/>
        </w:rPr>
        <w:t xml:space="preserve"> </w:t>
      </w:r>
      <w:r w:rsidRPr="00EC672E">
        <w:rPr>
          <w:rFonts w:ascii="Arial" w:hAnsi="Arial" w:cs="Arial"/>
          <w:bCs/>
          <w:sz w:val="22"/>
          <w:lang w:eastAsia="cs-CZ"/>
        </w:rPr>
        <w:t>procento dopočtu oprávek z pořizovací ceny u odpisové skupiny II činí 37,5</w:t>
      </w:r>
      <w:r w:rsidR="00CD429E" w:rsidRPr="00EC672E">
        <w:rPr>
          <w:rFonts w:ascii="Arial" w:hAnsi="Arial" w:cs="Arial"/>
          <w:bCs/>
          <w:sz w:val="22"/>
          <w:lang w:eastAsia="cs-CZ"/>
        </w:rPr>
        <w:t> </w:t>
      </w:r>
      <w:r w:rsidRPr="00EC672E">
        <w:rPr>
          <w:rFonts w:ascii="Arial" w:hAnsi="Arial" w:cs="Arial"/>
          <w:bCs/>
          <w:sz w:val="22"/>
          <w:lang w:eastAsia="cs-CZ"/>
        </w:rPr>
        <w:t>% a u odpisové skupiny III 41,6</w:t>
      </w:r>
      <w:r w:rsidR="00842B48" w:rsidRPr="00EC672E">
        <w:rPr>
          <w:rFonts w:ascii="Arial" w:hAnsi="Arial" w:cs="Arial"/>
          <w:bCs/>
          <w:sz w:val="22"/>
          <w:lang w:eastAsia="cs-CZ"/>
        </w:rPr>
        <w:t xml:space="preserve"> </w:t>
      </w:r>
      <w:r w:rsidRPr="00EC672E">
        <w:rPr>
          <w:rFonts w:ascii="Arial" w:hAnsi="Arial" w:cs="Arial"/>
          <w:bCs/>
          <w:sz w:val="22"/>
          <w:lang w:eastAsia="cs-CZ"/>
        </w:rPr>
        <w:t>% (viz tabulka č. 5). MD však v</w:t>
      </w:r>
      <w:r w:rsidRPr="00EC672E">
        <w:rPr>
          <w:rFonts w:ascii="Arial" w:hAnsi="Arial" w:cs="Arial"/>
          <w:bCs/>
          <w:iCs/>
          <w:sz w:val="22"/>
        </w:rPr>
        <w:t> ekonomickém účetním systému nastavilo u všech odpisových skupin algoritmus dopočtu oprávek jako 40 % z pořizovací ceny.</w:t>
      </w:r>
    </w:p>
    <w:p w:rsidR="00842B48" w:rsidRPr="00EC672E" w:rsidRDefault="00842B48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0F3378">
      <w:pPr>
        <w:spacing w:after="40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Tabulka č. 5 – Dopočet oprávek podle </w:t>
      </w:r>
      <w:proofErr w:type="spellStart"/>
      <w:r w:rsidRPr="00EC672E">
        <w:rPr>
          <w:rFonts w:ascii="Arial" w:hAnsi="Arial" w:cs="Arial"/>
          <w:b/>
          <w:sz w:val="22"/>
        </w:rPr>
        <w:t>ČÚS</w:t>
      </w:r>
      <w:proofErr w:type="spellEnd"/>
      <w:r w:rsidRPr="00EC672E">
        <w:rPr>
          <w:rFonts w:ascii="Arial" w:hAnsi="Arial" w:cs="Arial"/>
          <w:b/>
          <w:sz w:val="22"/>
        </w:rPr>
        <w:t xml:space="preserve"> č. 708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2268"/>
        <w:gridCol w:w="2127"/>
      </w:tblGrid>
      <w:tr w:rsidR="004E6B66" w:rsidRPr="00EC672E" w:rsidTr="00BC23C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Účetní odpisová skupina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Stanovená doba používání </w:t>
            </w:r>
            <w:r w:rsidR="00B57CA7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</w:t>
            </w:r>
            <w:r w:rsidR="0067476E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letech</w:t>
            </w:r>
            <w:r w:rsidR="00B57CA7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Stanovená zbývající doba používání </w:t>
            </w:r>
            <w:r w:rsidR="00B57CA7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</w:t>
            </w:r>
            <w:r w:rsidR="0067476E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letech</w:t>
            </w:r>
            <w:r w:rsidR="00B57CA7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B66" w:rsidRPr="00EC672E" w:rsidRDefault="004E6B66" w:rsidP="00B57CA7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Stanovená doba pro provedení dopočtu oprávek k 31.</w:t>
            </w:r>
            <w:r w:rsidR="0067476E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12.</w:t>
            </w:r>
            <w:r w:rsidR="0067476E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2011</w:t>
            </w:r>
            <w:r w:rsidR="00B57CA7"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(v letech)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Procento z pořizovací ceny</w:t>
            </w:r>
          </w:p>
        </w:tc>
      </w:tr>
      <w:tr w:rsidR="004E6B66" w:rsidRPr="00EC672E" w:rsidTr="00BC23C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E6B66" w:rsidRPr="00EC672E" w:rsidRDefault="004E6B66" w:rsidP="00873D6B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3/8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=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37,5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</w:p>
        </w:tc>
      </w:tr>
      <w:tr w:rsidR="004E6B66" w:rsidRPr="00EC672E" w:rsidTr="00BC23C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E6B66" w:rsidRPr="00EC672E" w:rsidRDefault="004E6B66" w:rsidP="00873D6B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6B66" w:rsidRPr="00EC672E" w:rsidRDefault="004E6B66" w:rsidP="000F3378">
            <w:pPr>
              <w:spacing w:before="20" w:after="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5/12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=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41,6</w:t>
            </w:r>
            <w:r w:rsidR="00B57CA7"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EC672E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</w:p>
        </w:tc>
      </w:tr>
    </w:tbl>
    <w:p w:rsidR="004E6B66" w:rsidRPr="00EC672E" w:rsidRDefault="004E6B66" w:rsidP="000F3378">
      <w:pPr>
        <w:spacing w:before="40"/>
        <w:rPr>
          <w:rFonts w:ascii="Arial" w:hAnsi="Arial" w:cs="Arial"/>
          <w:bCs/>
          <w:iCs/>
          <w:sz w:val="18"/>
          <w:szCs w:val="18"/>
        </w:rPr>
      </w:pPr>
      <w:r w:rsidRPr="00EC672E">
        <w:rPr>
          <w:rFonts w:ascii="Arial" w:hAnsi="Arial" w:cs="Arial"/>
          <w:b/>
          <w:bCs/>
          <w:iCs/>
          <w:sz w:val="18"/>
          <w:szCs w:val="18"/>
        </w:rPr>
        <w:t>Zdroj:</w:t>
      </w:r>
      <w:r w:rsidRPr="00EC672E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EC672E">
        <w:rPr>
          <w:rFonts w:ascii="Arial" w:hAnsi="Arial" w:cs="Arial"/>
          <w:bCs/>
          <w:iCs/>
          <w:sz w:val="18"/>
          <w:szCs w:val="18"/>
        </w:rPr>
        <w:t>ČÚS</w:t>
      </w:r>
      <w:proofErr w:type="spellEnd"/>
      <w:r w:rsidRPr="00EC672E">
        <w:rPr>
          <w:rFonts w:ascii="Arial" w:hAnsi="Arial" w:cs="Arial"/>
          <w:bCs/>
          <w:iCs/>
          <w:sz w:val="18"/>
          <w:szCs w:val="18"/>
        </w:rPr>
        <w:t xml:space="preserve"> č. 708</w:t>
      </w:r>
      <w:r w:rsidR="00FC5A79" w:rsidRPr="00EC672E">
        <w:rPr>
          <w:rFonts w:ascii="Arial" w:hAnsi="Arial" w:cs="Arial"/>
          <w:bCs/>
          <w:iCs/>
          <w:sz w:val="18"/>
          <w:szCs w:val="18"/>
        </w:rPr>
        <w:t>.</w:t>
      </w:r>
    </w:p>
    <w:p w:rsidR="000F3378" w:rsidRPr="00EC672E" w:rsidRDefault="000F3378" w:rsidP="000F3378">
      <w:pPr>
        <w:rPr>
          <w:rFonts w:ascii="Arial" w:hAnsi="Arial" w:cs="Arial"/>
          <w:b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sz w:val="22"/>
        </w:rPr>
        <w:t xml:space="preserve">MD tím v účetní závěrce </w:t>
      </w:r>
      <w:r w:rsidRPr="00EC672E">
        <w:rPr>
          <w:rFonts w:ascii="Arial" w:hAnsi="Arial" w:cs="Arial"/>
          <w:bCs/>
          <w:iCs/>
          <w:sz w:val="22"/>
        </w:rPr>
        <w:t>sestavené</w:t>
      </w:r>
      <w:r w:rsidRPr="00EC672E">
        <w:rPr>
          <w:rFonts w:ascii="Arial" w:hAnsi="Arial" w:cs="Arial"/>
          <w:sz w:val="22"/>
        </w:rPr>
        <w:t xml:space="preserve"> k 31. </w:t>
      </w:r>
      <w:r w:rsidR="00FC5A79" w:rsidRPr="00EC672E">
        <w:rPr>
          <w:rFonts w:ascii="Arial" w:hAnsi="Arial" w:cs="Arial"/>
          <w:sz w:val="22"/>
        </w:rPr>
        <w:t>prosinci</w:t>
      </w:r>
      <w:r w:rsidR="00CD429E" w:rsidRPr="00EC672E">
        <w:rPr>
          <w:rFonts w:ascii="Arial" w:hAnsi="Arial" w:cs="Arial"/>
          <w:sz w:val="22"/>
        </w:rPr>
        <w:t xml:space="preserve"> </w:t>
      </w:r>
      <w:r w:rsidRPr="00EC672E">
        <w:rPr>
          <w:rFonts w:ascii="Arial" w:hAnsi="Arial" w:cs="Arial"/>
          <w:sz w:val="22"/>
        </w:rPr>
        <w:t xml:space="preserve">2011 ve výkazu rozvaha u majetku zařazeného do </w:t>
      </w:r>
      <w:r w:rsidRPr="00EC672E">
        <w:rPr>
          <w:rFonts w:ascii="Arial" w:hAnsi="Arial" w:cs="Arial"/>
          <w:bCs/>
          <w:sz w:val="22"/>
          <w:lang w:eastAsia="cs-CZ"/>
        </w:rPr>
        <w:t xml:space="preserve">odpisové skupiny II </w:t>
      </w:r>
      <w:r w:rsidRPr="00EC672E">
        <w:rPr>
          <w:rFonts w:ascii="Arial" w:hAnsi="Arial" w:cs="Arial"/>
          <w:sz w:val="22"/>
        </w:rPr>
        <w:t xml:space="preserve">podhodnotilo zůstatek účtu 022 – </w:t>
      </w:r>
      <w:r w:rsidRPr="00EC672E">
        <w:rPr>
          <w:rFonts w:ascii="Arial" w:hAnsi="Arial" w:cs="Arial"/>
          <w:i/>
          <w:sz w:val="22"/>
        </w:rPr>
        <w:t xml:space="preserve">Samostatné movité věci a soubory movitých věcí </w:t>
      </w:r>
      <w:r w:rsidRPr="00EC672E">
        <w:rPr>
          <w:rFonts w:ascii="Arial" w:hAnsi="Arial" w:cs="Arial"/>
          <w:sz w:val="22"/>
        </w:rPr>
        <w:t>minimálně</w:t>
      </w:r>
      <w:r w:rsidRPr="00EC672E">
        <w:rPr>
          <w:rFonts w:ascii="Arial" w:hAnsi="Arial" w:cs="Arial"/>
          <w:i/>
          <w:sz w:val="22"/>
        </w:rPr>
        <w:t xml:space="preserve"> </w:t>
      </w:r>
      <w:r w:rsidRPr="00EC672E">
        <w:rPr>
          <w:rFonts w:ascii="Arial" w:hAnsi="Arial" w:cs="Arial"/>
          <w:sz w:val="22"/>
        </w:rPr>
        <w:t xml:space="preserve">o částku </w:t>
      </w:r>
      <w:r w:rsidRPr="00EC672E">
        <w:rPr>
          <w:rFonts w:ascii="Arial" w:hAnsi="Arial" w:cs="Arial"/>
          <w:bCs/>
          <w:iCs/>
          <w:sz w:val="22"/>
        </w:rPr>
        <w:t xml:space="preserve">1 242 774 Kč ve sloupci NETTO (v důsledku nadhodnocení zůstatku účtu 082 – </w:t>
      </w:r>
      <w:r w:rsidRPr="00EC672E">
        <w:rPr>
          <w:rFonts w:ascii="Arial" w:hAnsi="Arial" w:cs="Arial"/>
          <w:bCs/>
          <w:i/>
          <w:iCs/>
          <w:sz w:val="22"/>
        </w:rPr>
        <w:t>Oprávk</w:t>
      </w:r>
      <w:r w:rsidR="00FC5A79" w:rsidRPr="00EC672E">
        <w:rPr>
          <w:rFonts w:ascii="Arial" w:hAnsi="Arial" w:cs="Arial"/>
          <w:bCs/>
          <w:i/>
          <w:iCs/>
          <w:sz w:val="22"/>
        </w:rPr>
        <w:t>y k samostatným movitým věcem a </w:t>
      </w:r>
      <w:r w:rsidRPr="00EC672E">
        <w:rPr>
          <w:rFonts w:ascii="Arial" w:hAnsi="Arial" w:cs="Arial"/>
          <w:bCs/>
          <w:i/>
          <w:iCs/>
          <w:sz w:val="22"/>
        </w:rPr>
        <w:t>souborům movitých věcí</w:t>
      </w:r>
      <w:r w:rsidRPr="00EC672E">
        <w:rPr>
          <w:rFonts w:ascii="Arial" w:hAnsi="Arial" w:cs="Arial"/>
          <w:bCs/>
          <w:iCs/>
          <w:sz w:val="22"/>
        </w:rPr>
        <w:t xml:space="preserve"> ve výši 1 242 774 Kč) a o stejnou částku p</w:t>
      </w:r>
      <w:r w:rsidR="00FC5A79" w:rsidRPr="00EC672E">
        <w:rPr>
          <w:rFonts w:ascii="Arial" w:hAnsi="Arial" w:cs="Arial"/>
          <w:bCs/>
          <w:iCs/>
          <w:sz w:val="22"/>
        </w:rPr>
        <w:t>odhodnotilo zůstatek účtu 406 – </w:t>
      </w:r>
      <w:r w:rsidRPr="00EC672E">
        <w:rPr>
          <w:rFonts w:ascii="Arial" w:hAnsi="Arial" w:cs="Arial"/>
          <w:bCs/>
          <w:i/>
          <w:iCs/>
          <w:sz w:val="22"/>
        </w:rPr>
        <w:t>Oceňovací rozdíly při změně metody</w:t>
      </w:r>
      <w:r w:rsidRPr="00EC672E">
        <w:rPr>
          <w:rFonts w:ascii="Arial" w:hAnsi="Arial" w:cs="Arial"/>
          <w:bCs/>
          <w:iCs/>
          <w:sz w:val="22"/>
        </w:rPr>
        <w:t xml:space="preserve">, a naopak u majetku zařazeného do </w:t>
      </w:r>
      <w:r w:rsidRPr="00EC672E">
        <w:rPr>
          <w:rFonts w:ascii="Arial" w:hAnsi="Arial" w:cs="Arial"/>
          <w:bCs/>
          <w:sz w:val="22"/>
          <w:lang w:eastAsia="cs-CZ"/>
        </w:rPr>
        <w:t xml:space="preserve">odpisové skupiny III </w:t>
      </w:r>
      <w:r w:rsidRPr="00EC672E">
        <w:rPr>
          <w:rFonts w:ascii="Arial" w:hAnsi="Arial" w:cs="Arial"/>
          <w:sz w:val="22"/>
        </w:rPr>
        <w:t xml:space="preserve">nadhodnotilo zůstatek účtu 022 – </w:t>
      </w:r>
      <w:r w:rsidRPr="00EC672E">
        <w:rPr>
          <w:rFonts w:ascii="Arial" w:hAnsi="Arial" w:cs="Arial"/>
          <w:i/>
          <w:sz w:val="22"/>
        </w:rPr>
        <w:t xml:space="preserve">Samostatné movité věci a soubory movitých věcí </w:t>
      </w:r>
      <w:r w:rsidRPr="00EC672E">
        <w:rPr>
          <w:rFonts w:ascii="Arial" w:hAnsi="Arial" w:cs="Arial"/>
          <w:sz w:val="22"/>
        </w:rPr>
        <w:t xml:space="preserve">o částku </w:t>
      </w:r>
      <w:r w:rsidRPr="00EC672E">
        <w:rPr>
          <w:rFonts w:ascii="Arial" w:hAnsi="Arial" w:cs="Arial"/>
          <w:bCs/>
          <w:iCs/>
          <w:sz w:val="22"/>
        </w:rPr>
        <w:t xml:space="preserve">9 567,00 Kč ve sloupci NETTO (v důsledku podhodnocení zůstatku účtu 082 – </w:t>
      </w:r>
      <w:r w:rsidRPr="00EC672E">
        <w:rPr>
          <w:rFonts w:ascii="Arial" w:hAnsi="Arial" w:cs="Arial"/>
          <w:bCs/>
          <w:i/>
          <w:iCs/>
          <w:sz w:val="22"/>
        </w:rPr>
        <w:t>Oprávky k samostatným movitým věcem a souborům movitých věcí</w:t>
      </w:r>
      <w:r w:rsidR="00FC5A79" w:rsidRPr="00EC672E">
        <w:rPr>
          <w:rFonts w:ascii="Arial" w:hAnsi="Arial" w:cs="Arial"/>
          <w:bCs/>
          <w:iCs/>
          <w:sz w:val="22"/>
        </w:rPr>
        <w:t xml:space="preserve"> ve výši 9 </w:t>
      </w:r>
      <w:r w:rsidRPr="00EC672E">
        <w:rPr>
          <w:rFonts w:ascii="Arial" w:hAnsi="Arial" w:cs="Arial"/>
          <w:bCs/>
          <w:iCs/>
          <w:sz w:val="22"/>
        </w:rPr>
        <w:t xml:space="preserve">567,00 Kč) a o stejnou částku nadhodnotilo zůstatek účtu 406 – </w:t>
      </w:r>
      <w:r w:rsidRPr="00EC672E">
        <w:rPr>
          <w:rFonts w:ascii="Arial" w:hAnsi="Arial" w:cs="Arial"/>
          <w:bCs/>
          <w:i/>
          <w:iCs/>
          <w:sz w:val="22"/>
        </w:rPr>
        <w:t>Oceňovací rozdíly při změně metody</w:t>
      </w:r>
      <w:r w:rsidRPr="00EC672E">
        <w:rPr>
          <w:rFonts w:ascii="Arial" w:hAnsi="Arial" w:cs="Arial"/>
          <w:bCs/>
          <w:iCs/>
          <w:sz w:val="22"/>
        </w:rPr>
        <w:t>.</w:t>
      </w: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</w:p>
    <w:p w:rsidR="004E6B66" w:rsidRPr="00EC672E" w:rsidRDefault="004E6B66" w:rsidP="00E86415">
      <w:pPr>
        <w:pStyle w:val="Odstavecseseznamem"/>
        <w:numPr>
          <w:ilvl w:val="0"/>
          <w:numId w:val="41"/>
        </w:numPr>
        <w:ind w:left="284" w:hanging="284"/>
        <w:outlineLvl w:val="2"/>
        <w:rPr>
          <w:rFonts w:ascii="Arial" w:hAnsi="Arial" w:cs="Arial"/>
          <w:b/>
          <w:sz w:val="22"/>
          <w:lang w:val="cs-CZ"/>
        </w:rPr>
      </w:pPr>
      <w:bookmarkStart w:id="3" w:name="_Toc338344936"/>
      <w:r w:rsidRPr="00EC672E">
        <w:rPr>
          <w:rFonts w:ascii="Arial" w:hAnsi="Arial" w:cs="Arial"/>
          <w:b/>
          <w:sz w:val="22"/>
          <w:lang w:val="cs-CZ"/>
        </w:rPr>
        <w:t>Neoprávněná tvorba opravných položek k pohledávkám z hlavní činnosti</w:t>
      </w:r>
      <w:bookmarkEnd w:id="3"/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  <w:u w:val="single"/>
        </w:rPr>
      </w:pPr>
      <w:r w:rsidRPr="00EC672E">
        <w:rPr>
          <w:rFonts w:ascii="Arial" w:hAnsi="Arial" w:cs="Arial"/>
          <w:bCs/>
          <w:iCs/>
          <w:sz w:val="22"/>
        </w:rPr>
        <w:t>MD v </w:t>
      </w:r>
      <w:proofErr w:type="spellStart"/>
      <w:r w:rsidRPr="00EC672E">
        <w:rPr>
          <w:rFonts w:ascii="Arial" w:hAnsi="Arial" w:cs="Arial"/>
          <w:bCs/>
          <w:iCs/>
          <w:sz w:val="22"/>
        </w:rPr>
        <w:t>ÚZ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sestavené k 31. </w:t>
      </w:r>
      <w:r w:rsidR="00FC5A79" w:rsidRPr="00EC672E">
        <w:rPr>
          <w:rFonts w:ascii="Arial" w:hAnsi="Arial" w:cs="Arial"/>
          <w:bCs/>
          <w:iCs/>
          <w:sz w:val="22"/>
        </w:rPr>
        <w:t>prosinci</w:t>
      </w:r>
      <w:r w:rsidRPr="00EC672E">
        <w:rPr>
          <w:rFonts w:ascii="Arial" w:hAnsi="Arial" w:cs="Arial"/>
          <w:bCs/>
          <w:iCs/>
          <w:sz w:val="22"/>
        </w:rPr>
        <w:t xml:space="preserve"> 2011 ve výkazu rozvaha vykázalo k účtu 315</w:t>
      </w:r>
      <w:r w:rsidRPr="00EC672E">
        <w:rPr>
          <w:rFonts w:ascii="Arial" w:hAnsi="Arial" w:cs="Arial"/>
          <w:bCs/>
          <w:i/>
          <w:iCs/>
          <w:sz w:val="22"/>
        </w:rPr>
        <w:t xml:space="preserve"> – Jiné pohledávky z hlavní činnosti</w:t>
      </w:r>
      <w:r w:rsidRPr="00EC672E">
        <w:rPr>
          <w:rFonts w:ascii="Arial" w:hAnsi="Arial" w:cs="Arial"/>
          <w:bCs/>
          <w:iCs/>
          <w:sz w:val="22"/>
        </w:rPr>
        <w:t xml:space="preserve"> ve sloupci KOREKCE opravnou položku ve výši </w:t>
      </w:r>
      <w:r w:rsidRPr="00EC672E">
        <w:rPr>
          <w:rFonts w:ascii="Arial" w:hAnsi="Arial" w:cs="Arial"/>
          <w:sz w:val="22"/>
        </w:rPr>
        <w:t xml:space="preserve">960 406,71 Kč, přestože </w:t>
      </w:r>
      <w:r w:rsidRPr="00EC672E">
        <w:rPr>
          <w:rFonts w:ascii="Arial" w:hAnsi="Arial" w:cs="Arial"/>
          <w:bCs/>
          <w:iCs/>
          <w:sz w:val="22"/>
        </w:rPr>
        <w:t xml:space="preserve">vyhláška č. 410/2009 Sb. neumožňovala v uvedeném účetním období tvorbu opravných položek k pohledávkám z hlavní činnosti. </w:t>
      </w:r>
      <w:r w:rsidRPr="00EC672E">
        <w:rPr>
          <w:rFonts w:ascii="Arial" w:hAnsi="Arial" w:cs="Arial"/>
          <w:sz w:val="22"/>
        </w:rPr>
        <w:t xml:space="preserve">MD tím </w:t>
      </w:r>
      <w:r w:rsidRPr="00EC672E">
        <w:rPr>
          <w:rFonts w:ascii="Arial" w:hAnsi="Arial" w:cs="Arial"/>
          <w:bCs/>
          <w:iCs/>
          <w:sz w:val="22"/>
        </w:rPr>
        <w:t>ve výkazu zisku a ztráty za období běžné nadhodnotilo zůstatek účtu 556</w:t>
      </w:r>
      <w:r w:rsidR="00FC5A79" w:rsidRPr="00EC672E">
        <w:rPr>
          <w:rFonts w:ascii="Arial" w:hAnsi="Arial" w:cs="Arial"/>
          <w:bCs/>
          <w:i/>
          <w:iCs/>
          <w:sz w:val="22"/>
        </w:rPr>
        <w:t> – Tvorba a </w:t>
      </w:r>
      <w:r w:rsidRPr="00EC672E">
        <w:rPr>
          <w:rFonts w:ascii="Arial" w:hAnsi="Arial" w:cs="Arial"/>
          <w:bCs/>
          <w:i/>
          <w:iCs/>
          <w:sz w:val="22"/>
        </w:rPr>
        <w:t>zúčtování opravných položek</w:t>
      </w:r>
      <w:r w:rsidRPr="00EC672E">
        <w:rPr>
          <w:rFonts w:ascii="Arial" w:hAnsi="Arial" w:cs="Arial"/>
          <w:bCs/>
          <w:iCs/>
          <w:sz w:val="22"/>
        </w:rPr>
        <w:t xml:space="preserve"> o</w:t>
      </w:r>
      <w:r w:rsidR="00873D6B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 xml:space="preserve">částku </w:t>
      </w:r>
      <w:r w:rsidRPr="00EC672E">
        <w:rPr>
          <w:rFonts w:ascii="Arial" w:hAnsi="Arial" w:cs="Arial"/>
          <w:color w:val="000000"/>
          <w:sz w:val="22"/>
        </w:rPr>
        <w:t xml:space="preserve">960 406,71 Kč a </w:t>
      </w:r>
      <w:r w:rsidRPr="00EC672E">
        <w:rPr>
          <w:rFonts w:ascii="Arial" w:hAnsi="Arial" w:cs="Arial"/>
          <w:bCs/>
          <w:iCs/>
          <w:sz w:val="22"/>
        </w:rPr>
        <w:t>ve výkazu rozvaha za období běžné o stejnou částku podhodnotilo zůstatek účtu 315</w:t>
      </w:r>
      <w:r w:rsidRPr="00EC672E">
        <w:rPr>
          <w:rFonts w:ascii="Arial" w:hAnsi="Arial" w:cs="Arial"/>
          <w:bCs/>
          <w:i/>
          <w:iCs/>
          <w:sz w:val="22"/>
        </w:rPr>
        <w:t> – Jiné pohledávky z hlavní činnosti</w:t>
      </w:r>
      <w:r w:rsidRPr="00EC672E">
        <w:rPr>
          <w:rFonts w:ascii="Arial" w:hAnsi="Arial" w:cs="Arial"/>
          <w:bCs/>
          <w:iCs/>
          <w:sz w:val="22"/>
        </w:rPr>
        <w:t xml:space="preserve"> (vykázaný ve sloupci NETTO účtu </w:t>
      </w:r>
      <w:r w:rsidRPr="00EC672E">
        <w:rPr>
          <w:rFonts w:ascii="Arial" w:hAnsi="Arial" w:cs="Arial"/>
          <w:bCs/>
          <w:iCs/>
          <w:sz w:val="22"/>
        </w:rPr>
        <w:lastRenderedPageBreak/>
        <w:t>315)</w:t>
      </w:r>
      <w:r w:rsidRPr="00EC672E">
        <w:rPr>
          <w:rFonts w:ascii="Arial" w:hAnsi="Arial" w:cs="Arial"/>
          <w:color w:val="000000"/>
          <w:sz w:val="22"/>
        </w:rPr>
        <w:t xml:space="preserve">, </w:t>
      </w:r>
      <w:r w:rsidR="00B57CA7" w:rsidRPr="00EC672E">
        <w:rPr>
          <w:rFonts w:ascii="Arial" w:hAnsi="Arial" w:cs="Arial"/>
          <w:color w:val="000000"/>
          <w:sz w:val="22"/>
        </w:rPr>
        <w:t xml:space="preserve">a to </w:t>
      </w:r>
      <w:r w:rsidRPr="00EC672E">
        <w:rPr>
          <w:rFonts w:ascii="Arial" w:hAnsi="Arial" w:cs="Arial"/>
          <w:bCs/>
          <w:iCs/>
          <w:sz w:val="22"/>
        </w:rPr>
        <w:t>v důsledku vytvoření opravné položky na účtu 199</w:t>
      </w:r>
      <w:r w:rsidRPr="00EC672E">
        <w:rPr>
          <w:rFonts w:ascii="Arial" w:hAnsi="Arial" w:cs="Arial"/>
          <w:bCs/>
          <w:i/>
          <w:iCs/>
          <w:sz w:val="22"/>
        </w:rPr>
        <w:t> </w:t>
      </w:r>
      <w:r w:rsidR="00FC5A79" w:rsidRPr="00EC672E">
        <w:rPr>
          <w:rFonts w:ascii="Arial" w:hAnsi="Arial" w:cs="Arial"/>
          <w:bCs/>
          <w:i/>
          <w:iCs/>
          <w:sz w:val="22"/>
        </w:rPr>
        <w:t>–</w:t>
      </w:r>
      <w:r w:rsidRPr="00EC672E">
        <w:rPr>
          <w:rFonts w:ascii="Arial" w:hAnsi="Arial" w:cs="Arial"/>
          <w:bCs/>
          <w:i/>
          <w:iCs/>
          <w:sz w:val="22"/>
        </w:rPr>
        <w:t xml:space="preserve"> Opravné položky k ostatním krátkodobým pohledávkám</w:t>
      </w:r>
      <w:r w:rsidRPr="00EC672E">
        <w:rPr>
          <w:rFonts w:ascii="Arial" w:hAnsi="Arial" w:cs="Arial"/>
          <w:bCs/>
          <w:iCs/>
          <w:sz w:val="22"/>
        </w:rPr>
        <w:t xml:space="preserve"> (vykázané ve sloupci KOREKCE účtu 315)</w:t>
      </w:r>
      <w:r w:rsidRPr="00EC672E">
        <w:rPr>
          <w:rFonts w:ascii="Arial" w:hAnsi="Arial" w:cs="Arial"/>
          <w:color w:val="000000"/>
          <w:sz w:val="22"/>
        </w:rPr>
        <w:t>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E86415">
      <w:pPr>
        <w:pStyle w:val="Odstavecseseznamem"/>
        <w:numPr>
          <w:ilvl w:val="0"/>
          <w:numId w:val="41"/>
        </w:numPr>
        <w:ind w:left="284" w:hanging="284"/>
        <w:outlineLvl w:val="2"/>
        <w:rPr>
          <w:rFonts w:ascii="Arial" w:hAnsi="Arial" w:cs="Arial"/>
          <w:b/>
          <w:sz w:val="22"/>
          <w:lang w:val="cs-CZ"/>
        </w:rPr>
      </w:pPr>
      <w:bookmarkStart w:id="4" w:name="_Toc338344937"/>
      <w:r w:rsidRPr="00EC672E">
        <w:rPr>
          <w:rFonts w:ascii="Arial" w:hAnsi="Arial" w:cs="Arial"/>
          <w:b/>
          <w:sz w:val="22"/>
          <w:lang w:val="cs-CZ"/>
        </w:rPr>
        <w:t>Neoprávněná tvorba dohadné položky aktivní</w:t>
      </w:r>
      <w:bookmarkEnd w:id="4"/>
      <w:r w:rsidRPr="00EC672E">
        <w:rPr>
          <w:rFonts w:ascii="Arial" w:hAnsi="Arial" w:cs="Arial"/>
          <w:b/>
          <w:sz w:val="22"/>
          <w:lang w:val="cs-CZ"/>
        </w:rPr>
        <w:t xml:space="preserve"> a nesprávné účtování o rezervním fondu</w:t>
      </w:r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suppressAutoHyphens/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MD v roce 2011 čerpalo peněžní prostředky rezervního fondu na komunitární program </w:t>
      </w:r>
      <w:proofErr w:type="spellStart"/>
      <w:r w:rsidRPr="00EC672E">
        <w:rPr>
          <w:rFonts w:ascii="Arial" w:hAnsi="Arial" w:cs="Arial"/>
          <w:bCs/>
          <w:iCs/>
          <w:sz w:val="22"/>
        </w:rPr>
        <w:t>CONNECT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II ve výši 4 701 606,38 Kč. Tuto částku však k 31. </w:t>
      </w:r>
      <w:r w:rsidR="00FC5A79" w:rsidRPr="00EC672E">
        <w:rPr>
          <w:rFonts w:ascii="Arial" w:hAnsi="Arial" w:cs="Arial"/>
          <w:bCs/>
          <w:iCs/>
          <w:sz w:val="22"/>
        </w:rPr>
        <w:t>prosinci</w:t>
      </w:r>
      <w:r w:rsidRPr="00EC672E">
        <w:rPr>
          <w:rFonts w:ascii="Arial" w:hAnsi="Arial" w:cs="Arial"/>
          <w:bCs/>
          <w:iCs/>
          <w:sz w:val="22"/>
        </w:rPr>
        <w:t xml:space="preserve"> 2011 </w:t>
      </w:r>
      <w:r w:rsidR="00B57CA7" w:rsidRPr="00EC672E">
        <w:rPr>
          <w:rFonts w:ascii="Arial" w:hAnsi="Arial" w:cs="Arial"/>
          <w:bCs/>
          <w:iCs/>
          <w:sz w:val="22"/>
        </w:rPr>
        <w:t xml:space="preserve">nesprávně </w:t>
      </w:r>
      <w:r w:rsidRPr="00EC672E">
        <w:rPr>
          <w:rFonts w:ascii="Arial" w:hAnsi="Arial" w:cs="Arial"/>
          <w:bCs/>
          <w:iCs/>
          <w:sz w:val="22"/>
        </w:rPr>
        <w:t xml:space="preserve">vykázalo na výnosovém účtu 671 – </w:t>
      </w:r>
      <w:r w:rsidRPr="00EC672E">
        <w:rPr>
          <w:rFonts w:ascii="Arial" w:hAnsi="Arial" w:cs="Arial"/>
          <w:bCs/>
          <w:i/>
          <w:iCs/>
          <w:sz w:val="22"/>
        </w:rPr>
        <w:t>Výnosy ústředních rozpočtů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>z transferů</w:t>
      </w:r>
      <w:r w:rsidRPr="00EC672E">
        <w:rPr>
          <w:rFonts w:ascii="Arial" w:hAnsi="Arial" w:cs="Arial"/>
          <w:bCs/>
          <w:iCs/>
          <w:sz w:val="22"/>
        </w:rPr>
        <w:t xml:space="preserve"> místo na účtu 648 – </w:t>
      </w:r>
      <w:r w:rsidRPr="00EC672E">
        <w:rPr>
          <w:rFonts w:ascii="Arial" w:hAnsi="Arial" w:cs="Arial"/>
          <w:bCs/>
          <w:i/>
          <w:iCs/>
          <w:sz w:val="22"/>
        </w:rPr>
        <w:t>Čerpání fondů</w:t>
      </w:r>
      <w:r w:rsidRPr="00EC672E">
        <w:rPr>
          <w:rFonts w:ascii="Arial" w:hAnsi="Arial" w:cs="Arial"/>
          <w:bCs/>
          <w:iCs/>
          <w:sz w:val="22"/>
        </w:rPr>
        <w:t xml:space="preserve">. Navíc MD nesprávně vytvořilo k 31. </w:t>
      </w:r>
      <w:r w:rsidR="00FC5A79" w:rsidRPr="00EC672E">
        <w:rPr>
          <w:rFonts w:ascii="Arial" w:hAnsi="Arial" w:cs="Arial"/>
          <w:bCs/>
          <w:iCs/>
          <w:sz w:val="22"/>
        </w:rPr>
        <w:t>prosinci 2011 v této výši i </w:t>
      </w:r>
      <w:r w:rsidRPr="00EC672E">
        <w:rPr>
          <w:rFonts w:ascii="Arial" w:hAnsi="Arial" w:cs="Arial"/>
          <w:bCs/>
          <w:iCs/>
          <w:sz w:val="22"/>
        </w:rPr>
        <w:t>dohadnou položku aktivní a částku 4 701 606,38 Kč opět zaúčtovalo na výnosový účet 671.</w:t>
      </w:r>
      <w:r w:rsidR="00CD429E"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Cs/>
          <w:sz w:val="22"/>
        </w:rPr>
        <w:t>MD tím v </w:t>
      </w:r>
      <w:proofErr w:type="spellStart"/>
      <w:r w:rsidRPr="00EC672E">
        <w:rPr>
          <w:rFonts w:ascii="Arial" w:hAnsi="Arial" w:cs="Arial"/>
          <w:bCs/>
          <w:iCs/>
          <w:sz w:val="22"/>
        </w:rPr>
        <w:t>ÚZ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sestavené k 31. </w:t>
      </w:r>
      <w:r w:rsidR="00FC5A79" w:rsidRPr="00EC672E">
        <w:rPr>
          <w:rFonts w:ascii="Arial" w:hAnsi="Arial" w:cs="Arial"/>
          <w:bCs/>
          <w:iCs/>
          <w:sz w:val="22"/>
        </w:rPr>
        <w:t>prosinci</w:t>
      </w:r>
      <w:r w:rsidRPr="00EC672E">
        <w:rPr>
          <w:rFonts w:ascii="Arial" w:hAnsi="Arial" w:cs="Arial"/>
          <w:bCs/>
          <w:iCs/>
          <w:sz w:val="22"/>
        </w:rPr>
        <w:t xml:space="preserve"> 2011 ve výkazu rozvaha nadhodnotilo zůstatek účtu 388</w:t>
      </w:r>
      <w:r w:rsidR="00FC5A79" w:rsidRPr="00EC672E">
        <w:rPr>
          <w:rFonts w:ascii="Arial" w:hAnsi="Arial" w:cs="Arial"/>
          <w:bCs/>
          <w:iCs/>
          <w:sz w:val="22"/>
        </w:rPr>
        <w:t xml:space="preserve"> –</w:t>
      </w:r>
      <w:r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 xml:space="preserve">Dohadné účty aktivní </w:t>
      </w:r>
      <w:r w:rsidRPr="00EC672E">
        <w:rPr>
          <w:rFonts w:ascii="Arial" w:hAnsi="Arial" w:cs="Arial"/>
          <w:bCs/>
          <w:iCs/>
          <w:sz w:val="22"/>
        </w:rPr>
        <w:t>a zůstatek účtu 493</w:t>
      </w:r>
      <w:r w:rsidRPr="00EC672E">
        <w:rPr>
          <w:rFonts w:ascii="Arial" w:hAnsi="Arial" w:cs="Arial"/>
          <w:bCs/>
          <w:i/>
          <w:iCs/>
          <w:sz w:val="22"/>
        </w:rPr>
        <w:t xml:space="preserve"> – Výsledek hospodaření běžného účetního období </w:t>
      </w:r>
      <w:r w:rsidRPr="00EC672E">
        <w:rPr>
          <w:rFonts w:ascii="Arial" w:hAnsi="Arial" w:cs="Arial"/>
          <w:bCs/>
          <w:iCs/>
          <w:sz w:val="22"/>
        </w:rPr>
        <w:t>o částku 4 701 606,38 Kč a ve výkazu zisku a ztráty nadhodnotilo zůstatek účtu</w:t>
      </w:r>
      <w:r w:rsidR="00FC5A79" w:rsidRPr="00EC672E">
        <w:rPr>
          <w:rFonts w:ascii="Arial" w:hAnsi="Arial" w:cs="Arial"/>
          <w:bCs/>
          <w:iCs/>
          <w:sz w:val="22"/>
        </w:rPr>
        <w:t xml:space="preserve"> 671 –</w:t>
      </w:r>
      <w:r w:rsidR="0067476E"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/>
          <w:iCs/>
          <w:sz w:val="22"/>
        </w:rPr>
        <w:t xml:space="preserve">Výnosy ústředních rozpočtů z transferů </w:t>
      </w:r>
      <w:r w:rsidRPr="00EC672E">
        <w:rPr>
          <w:rFonts w:ascii="Arial" w:hAnsi="Arial" w:cs="Arial"/>
          <w:bCs/>
          <w:iCs/>
          <w:sz w:val="22"/>
        </w:rPr>
        <w:t>o</w:t>
      </w:r>
      <w:r w:rsidRPr="00EC672E">
        <w:rPr>
          <w:rFonts w:ascii="Arial" w:hAnsi="Arial" w:cs="Arial"/>
          <w:bCs/>
          <w:i/>
          <w:iCs/>
          <w:sz w:val="22"/>
        </w:rPr>
        <w:t xml:space="preserve"> </w:t>
      </w:r>
      <w:r w:rsidRPr="00EC672E">
        <w:rPr>
          <w:rFonts w:ascii="Arial" w:hAnsi="Arial" w:cs="Arial"/>
          <w:bCs/>
          <w:iCs/>
          <w:sz w:val="22"/>
        </w:rPr>
        <w:t>částku 9 403 212,76 Kč (tj. 2</w:t>
      </w:r>
      <w:r w:rsidR="00B57CA7" w:rsidRPr="00EC672E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>x 4 701 606,38</w:t>
      </w:r>
      <w:r w:rsidR="0067476E" w:rsidRPr="00EC672E">
        <w:rPr>
          <w:rFonts w:ascii="Arial" w:hAnsi="Arial" w:cs="Arial"/>
          <w:bCs/>
          <w:iCs/>
          <w:sz w:val="22"/>
        </w:rPr>
        <w:t> </w:t>
      </w:r>
      <w:r w:rsidRPr="00EC672E">
        <w:rPr>
          <w:rFonts w:ascii="Arial" w:hAnsi="Arial" w:cs="Arial"/>
          <w:bCs/>
          <w:iCs/>
          <w:sz w:val="22"/>
        </w:rPr>
        <w:t xml:space="preserve">Kč) </w:t>
      </w:r>
      <w:r w:rsidR="00FC5A79" w:rsidRPr="00EC672E">
        <w:rPr>
          <w:rFonts w:ascii="Arial" w:hAnsi="Arial" w:cs="Arial"/>
          <w:bCs/>
          <w:iCs/>
          <w:sz w:val="22"/>
        </w:rPr>
        <w:t>a </w:t>
      </w:r>
      <w:r w:rsidRPr="00EC672E">
        <w:rPr>
          <w:rFonts w:ascii="Arial" w:hAnsi="Arial" w:cs="Arial"/>
          <w:bCs/>
          <w:iCs/>
          <w:sz w:val="22"/>
        </w:rPr>
        <w:t>o částku 4 701 606,38 Kč podhodnotilo zůstatek</w:t>
      </w:r>
      <w:r w:rsidRPr="00EC672E">
        <w:rPr>
          <w:rFonts w:ascii="Arial" w:hAnsi="Arial" w:cs="Arial"/>
          <w:bCs/>
          <w:i/>
          <w:iCs/>
          <w:sz w:val="22"/>
        </w:rPr>
        <w:t xml:space="preserve"> </w:t>
      </w:r>
      <w:r w:rsidRPr="00EC672E">
        <w:rPr>
          <w:rFonts w:ascii="Arial" w:hAnsi="Arial" w:cs="Arial"/>
          <w:bCs/>
          <w:iCs/>
          <w:sz w:val="22"/>
        </w:rPr>
        <w:t>účtu 648</w:t>
      </w:r>
      <w:r w:rsidRPr="00EC672E">
        <w:rPr>
          <w:rFonts w:ascii="Arial" w:hAnsi="Arial" w:cs="Arial"/>
          <w:bCs/>
          <w:i/>
          <w:iCs/>
          <w:sz w:val="22"/>
        </w:rPr>
        <w:t xml:space="preserve"> – Čerpání fondů.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7B39E0">
      <w:pPr>
        <w:pStyle w:val="Odstavecseseznamem"/>
        <w:numPr>
          <w:ilvl w:val="0"/>
          <w:numId w:val="41"/>
        </w:numPr>
        <w:ind w:left="284" w:hanging="284"/>
        <w:outlineLvl w:val="2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Nedodržení obsahového vymezení účtů</w:t>
      </w:r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  <w:u w:val="single"/>
        </w:rPr>
      </w:pPr>
      <w:r w:rsidRPr="00EC672E">
        <w:rPr>
          <w:rFonts w:ascii="Arial" w:hAnsi="Arial" w:cs="Arial"/>
          <w:bCs/>
          <w:iCs/>
          <w:sz w:val="22"/>
        </w:rPr>
        <w:t xml:space="preserve">MD bezúplatně nabylo na základě </w:t>
      </w:r>
      <w:r w:rsidR="00CD429E" w:rsidRPr="00EC672E">
        <w:rPr>
          <w:rFonts w:ascii="Arial" w:hAnsi="Arial" w:cs="Arial"/>
          <w:bCs/>
          <w:iCs/>
          <w:sz w:val="22"/>
        </w:rPr>
        <w:t>z</w:t>
      </w:r>
      <w:r w:rsidRPr="00EC672E">
        <w:rPr>
          <w:rFonts w:ascii="Arial" w:hAnsi="Arial" w:cs="Arial"/>
          <w:bCs/>
          <w:iCs/>
          <w:sz w:val="22"/>
        </w:rPr>
        <w:t xml:space="preserve">ápisu o změně příslušnosti hospodařit s majetkem státu od Ministerstva obrany množství nemovitostí včetně součástí a příslušenství. Některé majetkové položky, které byly stavbou, však zaúčtovalo jako pozemek, </w:t>
      </w:r>
      <w:r w:rsidRPr="00EC672E">
        <w:rPr>
          <w:rFonts w:ascii="Arial" w:hAnsi="Arial" w:cs="Arial"/>
          <w:sz w:val="22"/>
        </w:rPr>
        <w:t xml:space="preserve">čímž v účetní závěrce </w:t>
      </w:r>
      <w:r w:rsidRPr="00EC672E">
        <w:rPr>
          <w:rFonts w:ascii="Arial" w:hAnsi="Arial" w:cs="Arial"/>
          <w:bCs/>
          <w:iCs/>
          <w:sz w:val="22"/>
        </w:rPr>
        <w:t>sestavené</w:t>
      </w:r>
      <w:r w:rsidRPr="00EC672E">
        <w:rPr>
          <w:rFonts w:ascii="Arial" w:hAnsi="Arial" w:cs="Arial"/>
          <w:sz w:val="22"/>
        </w:rPr>
        <w:t xml:space="preserve"> k 31. </w:t>
      </w:r>
      <w:r w:rsidR="00FC5A79" w:rsidRPr="00EC672E">
        <w:rPr>
          <w:rFonts w:ascii="Arial" w:hAnsi="Arial" w:cs="Arial"/>
          <w:sz w:val="22"/>
        </w:rPr>
        <w:t xml:space="preserve">prosinci </w:t>
      </w:r>
      <w:r w:rsidRPr="00EC672E">
        <w:rPr>
          <w:rFonts w:ascii="Arial" w:hAnsi="Arial" w:cs="Arial"/>
          <w:sz w:val="22"/>
        </w:rPr>
        <w:t xml:space="preserve">2011 ve výkazu rozvaha nadhodnotilo zůstatek účtu 031 – </w:t>
      </w:r>
      <w:r w:rsidRPr="00EC672E">
        <w:rPr>
          <w:rFonts w:ascii="Arial" w:hAnsi="Arial" w:cs="Arial"/>
          <w:i/>
          <w:sz w:val="22"/>
        </w:rPr>
        <w:t xml:space="preserve">Pozemky </w:t>
      </w:r>
      <w:r w:rsidRPr="00EC672E">
        <w:rPr>
          <w:rFonts w:ascii="Arial" w:hAnsi="Arial" w:cs="Arial"/>
          <w:sz w:val="22"/>
        </w:rPr>
        <w:t xml:space="preserve">o částku </w:t>
      </w:r>
      <w:r w:rsidRPr="00EC672E">
        <w:rPr>
          <w:rFonts w:ascii="Arial" w:hAnsi="Arial" w:cs="Arial"/>
          <w:bCs/>
          <w:iCs/>
          <w:sz w:val="22"/>
        </w:rPr>
        <w:t xml:space="preserve">v celkové výši </w:t>
      </w:r>
      <w:r w:rsidRPr="00EC672E">
        <w:rPr>
          <w:rFonts w:ascii="Arial" w:hAnsi="Arial" w:cs="Arial"/>
          <w:sz w:val="22"/>
        </w:rPr>
        <w:t>661 232</w:t>
      </w:r>
      <w:r w:rsidRPr="00EC672E">
        <w:rPr>
          <w:rFonts w:ascii="Arial" w:hAnsi="Arial" w:cs="Arial"/>
          <w:sz w:val="20"/>
          <w:szCs w:val="20"/>
        </w:rPr>
        <w:t xml:space="preserve"> </w:t>
      </w:r>
      <w:r w:rsidRPr="00EC672E">
        <w:rPr>
          <w:rFonts w:ascii="Arial" w:hAnsi="Arial" w:cs="Arial"/>
          <w:bCs/>
          <w:iCs/>
          <w:sz w:val="22"/>
        </w:rPr>
        <w:t>Kč,</w:t>
      </w:r>
      <w:r w:rsidRPr="00EC672E">
        <w:rPr>
          <w:rFonts w:ascii="Arial" w:hAnsi="Arial" w:cs="Arial"/>
          <w:sz w:val="22"/>
        </w:rPr>
        <w:t xml:space="preserve"> podhodnotilo zůstatek účtu 021 – </w:t>
      </w:r>
      <w:r w:rsidRPr="00EC672E">
        <w:rPr>
          <w:rFonts w:ascii="Arial" w:hAnsi="Arial" w:cs="Arial"/>
          <w:i/>
          <w:sz w:val="22"/>
        </w:rPr>
        <w:t>Stavby</w:t>
      </w:r>
      <w:r w:rsidR="00FC5A79" w:rsidRPr="00EC672E">
        <w:rPr>
          <w:rFonts w:ascii="Arial" w:hAnsi="Arial" w:cs="Arial"/>
          <w:sz w:val="22"/>
        </w:rPr>
        <w:t xml:space="preserve"> o </w:t>
      </w:r>
      <w:r w:rsidRPr="00EC672E">
        <w:rPr>
          <w:rFonts w:ascii="Arial" w:hAnsi="Arial" w:cs="Arial"/>
          <w:sz w:val="22"/>
        </w:rPr>
        <w:t>částku v celkové výši 396 739</w:t>
      </w:r>
      <w:r w:rsidRPr="00EC672E">
        <w:rPr>
          <w:rFonts w:ascii="Arial" w:hAnsi="Arial" w:cs="Arial"/>
          <w:sz w:val="20"/>
          <w:szCs w:val="20"/>
        </w:rPr>
        <w:t xml:space="preserve"> </w:t>
      </w:r>
      <w:r w:rsidRPr="00EC672E">
        <w:rPr>
          <w:rFonts w:ascii="Arial" w:hAnsi="Arial" w:cs="Arial"/>
          <w:sz w:val="22"/>
        </w:rPr>
        <w:t xml:space="preserve">Kč ve sloupci NETTO (v důsledku podhodnocení zůstatku účtu 081 – </w:t>
      </w:r>
      <w:r w:rsidRPr="00EC672E">
        <w:rPr>
          <w:rFonts w:ascii="Arial" w:hAnsi="Arial" w:cs="Arial"/>
          <w:i/>
          <w:sz w:val="22"/>
        </w:rPr>
        <w:t>Oprávky ke stavbám</w:t>
      </w:r>
      <w:r w:rsidRPr="00EC672E">
        <w:rPr>
          <w:rFonts w:ascii="Arial" w:hAnsi="Arial" w:cs="Arial"/>
          <w:sz w:val="22"/>
        </w:rPr>
        <w:t xml:space="preserve"> v celkové výši 264 493 Kč ve sloupci KOREKCE) a</w:t>
      </w:r>
      <w:r w:rsidR="00FC5A79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color w:val="000000"/>
          <w:sz w:val="22"/>
        </w:rPr>
        <w:t xml:space="preserve">nadhodnotilo zůstatek účtu 406 – </w:t>
      </w:r>
      <w:r w:rsidRPr="00EC672E">
        <w:rPr>
          <w:rFonts w:ascii="Arial" w:hAnsi="Arial" w:cs="Arial"/>
          <w:i/>
          <w:color w:val="000000"/>
          <w:sz w:val="22"/>
        </w:rPr>
        <w:t xml:space="preserve">Oceňovací rozdíly při změně metody </w:t>
      </w:r>
      <w:r w:rsidRPr="00EC672E">
        <w:rPr>
          <w:rFonts w:ascii="Arial" w:hAnsi="Arial" w:cs="Arial"/>
          <w:color w:val="000000"/>
          <w:sz w:val="22"/>
        </w:rPr>
        <w:t>o 264 493 Kč.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FF449A">
      <w:pPr>
        <w:pStyle w:val="Odstavecseseznamem"/>
        <w:numPr>
          <w:ilvl w:val="0"/>
          <w:numId w:val="41"/>
        </w:numPr>
        <w:ind w:left="284" w:hanging="284"/>
        <w:outlineLvl w:val="4"/>
        <w:rPr>
          <w:rFonts w:ascii="Arial" w:hAnsi="Arial" w:cs="Arial"/>
          <w:b/>
          <w:bCs/>
          <w:sz w:val="22"/>
          <w:lang w:val="cs-CZ" w:eastAsia="cs-CZ"/>
        </w:rPr>
      </w:pPr>
      <w:bookmarkStart w:id="5" w:name="_Toc338344943"/>
      <w:r w:rsidRPr="00EC672E">
        <w:rPr>
          <w:rFonts w:ascii="Arial" w:hAnsi="Arial" w:cs="Arial"/>
          <w:b/>
          <w:bCs/>
          <w:sz w:val="22"/>
          <w:lang w:val="cs-CZ" w:eastAsia="cs-CZ"/>
        </w:rPr>
        <w:t>Nesprávné účtování o transferech, jejichž zdrojem byly úroky</w:t>
      </w:r>
      <w:bookmarkEnd w:id="5"/>
    </w:p>
    <w:p w:rsidR="00835033" w:rsidRPr="00EC672E" w:rsidRDefault="00835033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sz w:val="22"/>
        </w:rPr>
        <w:t xml:space="preserve">MD jako </w:t>
      </w:r>
      <w:r w:rsidR="00873D6B">
        <w:rPr>
          <w:rFonts w:ascii="Arial" w:hAnsi="Arial" w:cs="Arial"/>
          <w:sz w:val="22"/>
        </w:rPr>
        <w:t>ř</w:t>
      </w:r>
      <w:r w:rsidRPr="00EC672E">
        <w:rPr>
          <w:rFonts w:ascii="Arial" w:hAnsi="Arial" w:cs="Arial"/>
          <w:sz w:val="22"/>
        </w:rPr>
        <w:t>íd</w:t>
      </w:r>
      <w:r w:rsidR="00873D6B">
        <w:rPr>
          <w:rFonts w:ascii="Arial" w:hAnsi="Arial" w:cs="Arial"/>
          <w:sz w:val="22"/>
        </w:rPr>
        <w:t>i</w:t>
      </w:r>
      <w:r w:rsidRPr="00EC672E">
        <w:rPr>
          <w:rFonts w:ascii="Arial" w:hAnsi="Arial" w:cs="Arial"/>
          <w:sz w:val="22"/>
        </w:rPr>
        <w:t xml:space="preserve">cí orgán </w:t>
      </w:r>
      <w:proofErr w:type="spellStart"/>
      <w:r w:rsidRPr="00EC672E">
        <w:rPr>
          <w:rFonts w:ascii="Arial" w:hAnsi="Arial" w:cs="Arial"/>
          <w:sz w:val="22"/>
        </w:rPr>
        <w:t>OPD</w:t>
      </w:r>
      <w:proofErr w:type="spellEnd"/>
      <w:r w:rsidRPr="00EC672E">
        <w:rPr>
          <w:rFonts w:ascii="Arial" w:hAnsi="Arial" w:cs="Arial"/>
          <w:sz w:val="22"/>
        </w:rPr>
        <w:t xml:space="preserve"> přijalo v roce 2011 na svůj příjmový účet částku 17 346 045,52</w:t>
      </w:r>
      <w:r w:rsidR="00CD429E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Kč, která představovala podíl MD na úrocích vygenerovaných za období od 1. </w:t>
      </w:r>
      <w:r w:rsidR="00FC5A79" w:rsidRPr="00EC672E">
        <w:rPr>
          <w:rFonts w:ascii="Arial" w:hAnsi="Arial" w:cs="Arial"/>
          <w:sz w:val="22"/>
        </w:rPr>
        <w:t>října 2010 do 30. září</w:t>
      </w:r>
      <w:r w:rsidRPr="00EC672E">
        <w:rPr>
          <w:rFonts w:ascii="Arial" w:hAnsi="Arial" w:cs="Arial"/>
          <w:sz w:val="22"/>
        </w:rPr>
        <w:t xml:space="preserve"> 2011 na účtu Platebního a certifikačního orgánu, a tuto částku zaúčtovalo nesprávně jako úrok na účet 662 – </w:t>
      </w:r>
      <w:r w:rsidRPr="00EC672E">
        <w:rPr>
          <w:rFonts w:ascii="Arial" w:hAnsi="Arial" w:cs="Arial"/>
          <w:i/>
          <w:sz w:val="22"/>
        </w:rPr>
        <w:t>Úroky</w:t>
      </w:r>
      <w:r w:rsidRPr="00EC672E">
        <w:rPr>
          <w:rFonts w:ascii="Arial" w:hAnsi="Arial" w:cs="Arial"/>
          <w:sz w:val="22"/>
        </w:rPr>
        <w:t>. Tyto p</w:t>
      </w:r>
      <w:r w:rsidRPr="00EC672E">
        <w:rPr>
          <w:rFonts w:ascii="Arial" w:hAnsi="Arial" w:cs="Arial"/>
          <w:bCs/>
          <w:iCs/>
          <w:sz w:val="22"/>
        </w:rPr>
        <w:t xml:space="preserve">rostředky se však považují za národní zdroj prostředků, kterými se kompenzují </w:t>
      </w:r>
      <w:r w:rsidR="00B57CA7" w:rsidRPr="00EC672E">
        <w:rPr>
          <w:rFonts w:ascii="Arial" w:hAnsi="Arial" w:cs="Arial"/>
          <w:bCs/>
          <w:iCs/>
          <w:sz w:val="22"/>
        </w:rPr>
        <w:t>výdaje</w:t>
      </w:r>
      <w:r w:rsidRPr="00EC672E">
        <w:rPr>
          <w:rFonts w:ascii="Arial" w:hAnsi="Arial" w:cs="Arial"/>
          <w:bCs/>
          <w:iCs/>
          <w:sz w:val="22"/>
        </w:rPr>
        <w:t xml:space="preserve"> vynaložené MD v rámci </w:t>
      </w:r>
      <w:proofErr w:type="spellStart"/>
      <w:r w:rsidRPr="00EC672E">
        <w:rPr>
          <w:rFonts w:ascii="Arial" w:hAnsi="Arial" w:cs="Arial"/>
          <w:bCs/>
          <w:iCs/>
          <w:sz w:val="22"/>
        </w:rPr>
        <w:t>OPD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jako národní podíl financování projektů; rozpočtově přitom MD příjem těchto prostředků zatřídilo správně jako transfer na položku 4118 – </w:t>
      </w:r>
      <w:r w:rsidRPr="00EC672E">
        <w:rPr>
          <w:rFonts w:ascii="Arial" w:hAnsi="Arial" w:cs="Arial"/>
          <w:bCs/>
          <w:i/>
          <w:iCs/>
          <w:sz w:val="22"/>
        </w:rPr>
        <w:t>Neinvestiční převody z Národního fondu</w:t>
      </w:r>
      <w:r w:rsidRPr="00EC672E">
        <w:rPr>
          <w:rFonts w:ascii="Arial" w:hAnsi="Arial" w:cs="Arial"/>
          <w:bCs/>
          <w:iCs/>
          <w:sz w:val="22"/>
        </w:rPr>
        <w:t>.</w:t>
      </w:r>
      <w:r w:rsidR="00944F2E" w:rsidRPr="00EC672E">
        <w:rPr>
          <w:rFonts w:ascii="Arial" w:hAnsi="Arial" w:cs="Arial"/>
          <w:bCs/>
          <w:iCs/>
          <w:sz w:val="22"/>
        </w:rPr>
        <w:t xml:space="preserve"> </w:t>
      </w:r>
      <w:r w:rsidRPr="00EC672E">
        <w:rPr>
          <w:rFonts w:ascii="Arial" w:hAnsi="Arial" w:cs="Arial"/>
          <w:bCs/>
          <w:iCs/>
          <w:sz w:val="22"/>
        </w:rPr>
        <w:t>MD tím v </w:t>
      </w:r>
      <w:proofErr w:type="spellStart"/>
      <w:r w:rsidRPr="00EC672E">
        <w:rPr>
          <w:rFonts w:ascii="Arial" w:hAnsi="Arial" w:cs="Arial"/>
          <w:bCs/>
          <w:iCs/>
          <w:sz w:val="22"/>
        </w:rPr>
        <w:t>ÚZ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sestavené k 31.</w:t>
      </w:r>
      <w:r w:rsidR="00873D6B">
        <w:rPr>
          <w:rFonts w:ascii="Arial" w:hAnsi="Arial" w:cs="Arial"/>
          <w:bCs/>
          <w:iCs/>
          <w:sz w:val="22"/>
        </w:rPr>
        <w:t> </w:t>
      </w:r>
      <w:r w:rsidR="00FC5A79" w:rsidRPr="00EC672E">
        <w:rPr>
          <w:rFonts w:ascii="Arial" w:hAnsi="Arial" w:cs="Arial"/>
          <w:bCs/>
          <w:iCs/>
          <w:sz w:val="22"/>
        </w:rPr>
        <w:t>prosinci</w:t>
      </w:r>
      <w:r w:rsidRPr="00EC672E">
        <w:rPr>
          <w:rFonts w:ascii="Arial" w:hAnsi="Arial" w:cs="Arial"/>
          <w:bCs/>
          <w:iCs/>
          <w:sz w:val="22"/>
        </w:rPr>
        <w:t xml:space="preserve"> 2011 ve výkazu zisku a ztráty nadhodnotilo zůstatek účtu 662</w:t>
      </w:r>
      <w:r w:rsidRPr="00EC672E">
        <w:rPr>
          <w:rFonts w:ascii="Arial" w:hAnsi="Arial" w:cs="Arial"/>
          <w:bCs/>
          <w:i/>
          <w:iCs/>
          <w:sz w:val="22"/>
        </w:rPr>
        <w:t xml:space="preserve"> </w:t>
      </w:r>
      <w:r w:rsidR="00FC5A79" w:rsidRPr="00EC672E">
        <w:rPr>
          <w:rFonts w:ascii="Arial" w:hAnsi="Arial" w:cs="Arial"/>
          <w:bCs/>
          <w:i/>
          <w:iCs/>
          <w:sz w:val="22"/>
        </w:rPr>
        <w:t>–</w:t>
      </w:r>
      <w:r w:rsidRPr="00EC672E">
        <w:rPr>
          <w:rFonts w:ascii="Arial" w:hAnsi="Arial" w:cs="Arial"/>
          <w:bCs/>
          <w:i/>
          <w:iCs/>
          <w:sz w:val="22"/>
        </w:rPr>
        <w:t xml:space="preserve"> Úroky </w:t>
      </w:r>
      <w:r w:rsidRPr="00EC672E">
        <w:rPr>
          <w:rFonts w:ascii="Arial" w:hAnsi="Arial" w:cs="Arial"/>
          <w:bCs/>
          <w:iCs/>
          <w:sz w:val="22"/>
        </w:rPr>
        <w:t>o částku 17 346 045,52 Kč a o stejnou částku podhodnotilo zůstatek účtu 671</w:t>
      </w:r>
      <w:r w:rsidRPr="00EC672E">
        <w:rPr>
          <w:rFonts w:ascii="Arial" w:hAnsi="Arial" w:cs="Arial"/>
          <w:bCs/>
          <w:i/>
          <w:iCs/>
          <w:sz w:val="22"/>
        </w:rPr>
        <w:t xml:space="preserve"> – Výnosy ústředních rozpočtů z transferů</w:t>
      </w:r>
      <w:r w:rsidRPr="00EC672E">
        <w:rPr>
          <w:rFonts w:ascii="Arial" w:hAnsi="Arial" w:cs="Arial"/>
          <w:bCs/>
          <w:iCs/>
          <w:sz w:val="22"/>
        </w:rPr>
        <w:t>.</w:t>
      </w: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1.3.2 Úplnost účetnictví</w:t>
      </w:r>
    </w:p>
    <w:p w:rsidR="004E6B66" w:rsidRPr="00EC672E" w:rsidRDefault="004E6B66" w:rsidP="00A37297">
      <w:pPr>
        <w:rPr>
          <w:rFonts w:ascii="Arial" w:hAnsi="Arial" w:cs="Arial"/>
        </w:rPr>
      </w:pPr>
    </w:p>
    <w:p w:rsidR="004E6B66" w:rsidRPr="00EC672E" w:rsidRDefault="004E6B66" w:rsidP="00873D6B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Nezaúčtování dlouhodobého nehmotného majetku</w:t>
      </w:r>
    </w:p>
    <w:p w:rsidR="00835033" w:rsidRPr="00EC672E" w:rsidRDefault="00835033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bCs/>
          <w:iCs/>
          <w:sz w:val="22"/>
        </w:rPr>
        <w:t xml:space="preserve">MD uzavřelo v roce 2008 </w:t>
      </w:r>
      <w:r w:rsidR="00CD429E" w:rsidRPr="00EC672E">
        <w:rPr>
          <w:rFonts w:ascii="Arial" w:hAnsi="Arial" w:cs="Arial"/>
          <w:bCs/>
          <w:iCs/>
          <w:sz w:val="22"/>
        </w:rPr>
        <w:t>s</w:t>
      </w:r>
      <w:r w:rsidRPr="00EC672E">
        <w:rPr>
          <w:rFonts w:ascii="Arial" w:hAnsi="Arial" w:cs="Arial"/>
          <w:bCs/>
          <w:iCs/>
          <w:sz w:val="22"/>
        </w:rPr>
        <w:t>mlouvu o poskytování služeb v oblasti bezpečnosti silničního provozu, na základě které byla realizována kampaň „</w:t>
      </w:r>
      <w:r w:rsidRPr="00EC672E">
        <w:rPr>
          <w:rFonts w:ascii="Arial" w:hAnsi="Arial" w:cs="Arial"/>
          <w:bCs/>
          <w:i/>
          <w:iCs/>
          <w:sz w:val="22"/>
        </w:rPr>
        <w:t>Nemyslíš, zaplatíš</w:t>
      </w:r>
      <w:r w:rsidRPr="00EC672E">
        <w:rPr>
          <w:rFonts w:ascii="Arial" w:hAnsi="Arial" w:cs="Arial"/>
          <w:bCs/>
          <w:iCs/>
          <w:sz w:val="22"/>
        </w:rPr>
        <w:t>“. I když MD na základě této smlouvy nabylo i licenční oprávnění užívat autorské dílo (vznikl dlouhodobý nehmotný majetek), o výdajích vynaložených v letech 2008 a 2009 ve výši 33 201 000 Kč na pořízení tohoto ocenitelného práva, tj. na výrobu jednotlivých spotů ke kampani „</w:t>
      </w:r>
      <w:r w:rsidRPr="00EC672E">
        <w:rPr>
          <w:rFonts w:ascii="Arial" w:hAnsi="Arial" w:cs="Arial"/>
          <w:bCs/>
          <w:i/>
          <w:iCs/>
          <w:sz w:val="22"/>
        </w:rPr>
        <w:t>Nemyslíš</w:t>
      </w:r>
      <w:r w:rsidR="00CD429E" w:rsidRPr="00EC672E">
        <w:rPr>
          <w:rFonts w:ascii="Arial" w:hAnsi="Arial" w:cs="Arial"/>
          <w:bCs/>
          <w:i/>
          <w:iCs/>
          <w:sz w:val="22"/>
        </w:rPr>
        <w:t>,</w:t>
      </w:r>
      <w:r w:rsidRPr="00EC672E">
        <w:rPr>
          <w:rFonts w:ascii="Arial" w:hAnsi="Arial" w:cs="Arial"/>
          <w:bCs/>
          <w:i/>
          <w:iCs/>
          <w:sz w:val="22"/>
        </w:rPr>
        <w:t xml:space="preserve"> </w:t>
      </w:r>
      <w:r w:rsidR="00CD429E" w:rsidRPr="00EC672E">
        <w:rPr>
          <w:rFonts w:ascii="Arial" w:hAnsi="Arial" w:cs="Arial"/>
          <w:bCs/>
          <w:i/>
          <w:iCs/>
          <w:sz w:val="22"/>
        </w:rPr>
        <w:t>z</w:t>
      </w:r>
      <w:r w:rsidRPr="00EC672E">
        <w:rPr>
          <w:rFonts w:ascii="Arial" w:hAnsi="Arial" w:cs="Arial"/>
          <w:bCs/>
          <w:i/>
          <w:iCs/>
          <w:sz w:val="22"/>
        </w:rPr>
        <w:t>aplatíš</w:t>
      </w:r>
      <w:r w:rsidRPr="00EC672E">
        <w:rPr>
          <w:rFonts w:ascii="Arial" w:hAnsi="Arial" w:cs="Arial"/>
          <w:bCs/>
          <w:iCs/>
          <w:sz w:val="22"/>
        </w:rPr>
        <w:t>“, účtovalo jako o nákladech namísto toho, aby účtovalo o dlouhodobém nehmotném majetku. MD tím v účetní závěrce sestav</w:t>
      </w:r>
      <w:r w:rsidR="00B57CA7" w:rsidRPr="00EC672E">
        <w:rPr>
          <w:rFonts w:ascii="Arial" w:hAnsi="Arial" w:cs="Arial"/>
          <w:bCs/>
          <w:iCs/>
          <w:sz w:val="22"/>
        </w:rPr>
        <w:t>e</w:t>
      </w:r>
      <w:r w:rsidRPr="00EC672E">
        <w:rPr>
          <w:rFonts w:ascii="Arial" w:hAnsi="Arial" w:cs="Arial"/>
          <w:bCs/>
          <w:iCs/>
          <w:sz w:val="22"/>
        </w:rPr>
        <w:t xml:space="preserve">né k 31. </w:t>
      </w:r>
      <w:r w:rsidR="004E7665" w:rsidRPr="00EC672E">
        <w:rPr>
          <w:rFonts w:ascii="Arial" w:hAnsi="Arial" w:cs="Arial"/>
          <w:bCs/>
          <w:iCs/>
          <w:sz w:val="22"/>
        </w:rPr>
        <w:t>prosinci</w:t>
      </w:r>
      <w:r w:rsidRPr="00EC672E">
        <w:rPr>
          <w:rFonts w:ascii="Arial" w:hAnsi="Arial" w:cs="Arial"/>
          <w:bCs/>
          <w:iCs/>
          <w:sz w:val="22"/>
        </w:rPr>
        <w:t xml:space="preserve"> 2011 ve výkazu rozvaha podhodnotilo zůstatek účtu 014 – </w:t>
      </w:r>
      <w:r w:rsidRPr="00EC672E">
        <w:rPr>
          <w:rFonts w:ascii="Arial" w:hAnsi="Arial" w:cs="Arial"/>
          <w:bCs/>
          <w:i/>
          <w:iCs/>
          <w:sz w:val="22"/>
        </w:rPr>
        <w:t>Ocenitelná práva</w:t>
      </w:r>
      <w:r w:rsidRPr="00EC672E">
        <w:rPr>
          <w:rFonts w:ascii="Arial" w:hAnsi="Arial" w:cs="Arial"/>
          <w:bCs/>
          <w:iCs/>
          <w:sz w:val="22"/>
        </w:rPr>
        <w:t xml:space="preserve"> o částku ve výši 19 920 600 Kč ve </w:t>
      </w:r>
      <w:r w:rsidRPr="00EC672E">
        <w:rPr>
          <w:rFonts w:ascii="Arial" w:hAnsi="Arial" w:cs="Arial"/>
          <w:bCs/>
          <w:iCs/>
          <w:sz w:val="22"/>
        </w:rPr>
        <w:lastRenderedPageBreak/>
        <w:t xml:space="preserve">sloupci NETTO (v důsledku podhodnocení zůstatku účtu 074 – </w:t>
      </w:r>
      <w:r w:rsidRPr="00EC672E">
        <w:rPr>
          <w:rFonts w:ascii="Arial" w:hAnsi="Arial" w:cs="Arial"/>
          <w:bCs/>
          <w:i/>
          <w:iCs/>
          <w:sz w:val="22"/>
        </w:rPr>
        <w:t>Oprávky k ocenitelným právům</w:t>
      </w:r>
      <w:r w:rsidRPr="00EC672E">
        <w:rPr>
          <w:rFonts w:ascii="Arial" w:hAnsi="Arial" w:cs="Arial"/>
          <w:bCs/>
          <w:iCs/>
          <w:sz w:val="22"/>
        </w:rPr>
        <w:t xml:space="preserve"> ve výši 13 280 400,00 Kč ve sloupci KOREKCE).</w:t>
      </w:r>
    </w:p>
    <w:p w:rsidR="00F81E4D" w:rsidRPr="00EC672E" w:rsidRDefault="00F81E4D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1.3.3 Průkaznost účetnictví</w:t>
      </w:r>
    </w:p>
    <w:p w:rsidR="007778B6" w:rsidRPr="00EC672E" w:rsidRDefault="007778B6" w:rsidP="00A37297">
      <w:pPr>
        <w:rPr>
          <w:rFonts w:ascii="Arial" w:hAnsi="Arial" w:cs="Arial"/>
          <w:b/>
          <w:sz w:val="22"/>
        </w:rPr>
      </w:pPr>
    </w:p>
    <w:p w:rsidR="004E6B66" w:rsidRPr="00EC672E" w:rsidRDefault="004E6B66" w:rsidP="00A37297">
      <w:pPr>
        <w:pStyle w:val="Bezmezer1"/>
        <w:spacing w:after="0"/>
        <w:ind w:firstLine="0"/>
        <w:rPr>
          <w:rFonts w:eastAsia="Calibri"/>
          <w:b/>
        </w:rPr>
      </w:pPr>
      <w:r w:rsidRPr="00EC672E">
        <w:t>Ministerstvo dopravy porušilo § 29 odst. 1 zákona o účetnictví tím, že v roce 2011 neprovedlo řádně inventarizaci, protože nezjistilo skutečný stav veškerého majetku na účtech 021, 022 a 028 v celkové hodnotě 53 338 753,62 Kč. MD tento majetek postupně inventarizovalo ještě během roku 2012.</w:t>
      </w:r>
      <w:r w:rsidR="00CD429E" w:rsidRPr="00EC672E">
        <w:t xml:space="preserve"> </w:t>
      </w:r>
      <w:r w:rsidRPr="00EC672E">
        <w:rPr>
          <w:rFonts w:eastAsia="Calibri"/>
          <w:b/>
        </w:rPr>
        <w:t>Ministerstvo dopravy tak v rozporu s</w:t>
      </w:r>
      <w:r w:rsidR="00AD084B" w:rsidRPr="00EC672E">
        <w:rPr>
          <w:rFonts w:eastAsia="Calibri"/>
          <w:b/>
        </w:rPr>
        <w:t> </w:t>
      </w:r>
      <w:r w:rsidRPr="00EC672E">
        <w:rPr>
          <w:rFonts w:eastAsia="Calibri"/>
          <w:b/>
        </w:rPr>
        <w:t xml:space="preserve">ustanovením § 8 odst. 1 zákona o účetnictví nevedlo v roce 2011 průkazné účetnictví ve smyslu </w:t>
      </w:r>
      <w:r w:rsidR="00FC3A4B" w:rsidRPr="00EC672E">
        <w:rPr>
          <w:rFonts w:eastAsia="Calibri"/>
          <w:b/>
        </w:rPr>
        <w:t>ustanovení § 8 odst. 4 zákona o </w:t>
      </w:r>
      <w:r w:rsidRPr="00EC672E">
        <w:rPr>
          <w:rFonts w:eastAsia="Calibri"/>
          <w:b/>
        </w:rPr>
        <w:t>účetnictví, neboť inventarizace nebyla p</w:t>
      </w:r>
      <w:r w:rsidR="00FC3A4B" w:rsidRPr="00EC672E">
        <w:rPr>
          <w:rFonts w:eastAsia="Calibri"/>
          <w:b/>
        </w:rPr>
        <w:t>rovedena v souladu se zákonem o </w:t>
      </w:r>
      <w:r w:rsidRPr="00EC672E">
        <w:rPr>
          <w:rFonts w:eastAsia="Calibri"/>
          <w:b/>
        </w:rPr>
        <w:t>účetnictví.</w:t>
      </w:r>
    </w:p>
    <w:p w:rsidR="004E6B66" w:rsidRPr="00EC672E" w:rsidRDefault="004E6B66" w:rsidP="00A37297">
      <w:pPr>
        <w:rPr>
          <w:rFonts w:ascii="Arial" w:hAnsi="Arial" w:cs="Arial"/>
          <w:bCs/>
          <w:iCs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2. Finanční výkazy MD za rok 2011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  <w:highlight w:val="lightGray"/>
        </w:rPr>
      </w:pPr>
      <w:r w:rsidRPr="00EC672E">
        <w:rPr>
          <w:rFonts w:ascii="Arial" w:hAnsi="Arial" w:cs="Arial"/>
          <w:sz w:val="22"/>
        </w:rPr>
        <w:t>V průběhu kontroly byl prověřován výkaz pro hodnocení plnění rozpočtu správců kapitol, organizačních složek státu a státních fondů (dále také „výkaz pro hodnocení plnění rozpočtu“), a to jak z hlediska formálních náležitostí, tak na vzorku případů.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spacing w:after="40"/>
        <w:ind w:left="1843" w:hanging="1843"/>
        <w:rPr>
          <w:rFonts w:ascii="Arial" w:hAnsi="Arial" w:cs="Arial"/>
          <w:b/>
          <w:bCs/>
          <w:sz w:val="22"/>
        </w:rPr>
      </w:pPr>
      <w:r w:rsidRPr="00EC672E">
        <w:rPr>
          <w:rFonts w:ascii="Arial" w:hAnsi="Arial" w:cs="Arial"/>
          <w:b/>
          <w:bCs/>
          <w:sz w:val="22"/>
        </w:rPr>
        <w:t>Tabulka č. 6 – Údaje za běžné období z výkazu pro hodnocení plnění rozpočt</w:t>
      </w:r>
      <w:r w:rsidR="00FC3A4B" w:rsidRPr="00EC672E">
        <w:rPr>
          <w:rFonts w:ascii="Arial" w:hAnsi="Arial" w:cs="Arial"/>
          <w:b/>
          <w:bCs/>
          <w:sz w:val="22"/>
        </w:rPr>
        <w:t>u k 31. </w:t>
      </w:r>
      <w:r w:rsidRPr="00EC672E">
        <w:rPr>
          <w:rFonts w:ascii="Arial" w:hAnsi="Arial" w:cs="Arial"/>
          <w:b/>
          <w:bCs/>
          <w:sz w:val="22"/>
        </w:rPr>
        <w:t>prosinci 2011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6110"/>
      </w:tblGrid>
      <w:tr w:rsidR="004E6B66" w:rsidRPr="00EC672E" w:rsidTr="00A37297">
        <w:trPr>
          <w:trHeight w:val="2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66" w:rsidRPr="00EC672E" w:rsidRDefault="004E6B66" w:rsidP="00A37297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b/>
                <w:sz w:val="22"/>
                <w:lang w:eastAsia="cs-CZ"/>
              </w:rPr>
              <w:t>Ukazatele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66" w:rsidRPr="00EC672E" w:rsidRDefault="004E6B66" w:rsidP="00A37297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b/>
                <w:sz w:val="22"/>
                <w:lang w:eastAsia="cs-CZ"/>
              </w:rPr>
              <w:t>Výsledek od počátku roku</w:t>
            </w:r>
          </w:p>
        </w:tc>
      </w:tr>
      <w:tr w:rsidR="004E6B66" w:rsidRPr="00EC672E" w:rsidTr="00A37297">
        <w:trPr>
          <w:trHeight w:val="2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66" w:rsidRPr="00EC672E" w:rsidRDefault="004E6B66" w:rsidP="00A37297">
            <w:pPr>
              <w:spacing w:before="20" w:after="20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sz w:val="22"/>
                <w:lang w:eastAsia="cs-CZ"/>
              </w:rPr>
              <w:t>Příjmy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66" w:rsidRPr="00EC672E" w:rsidRDefault="004E6B66" w:rsidP="00A37297">
            <w:pPr>
              <w:spacing w:before="20" w:after="20"/>
              <w:ind w:right="317"/>
              <w:jc w:val="right"/>
              <w:rPr>
                <w:rFonts w:ascii="Arial" w:hAnsi="Arial" w:cs="Arial"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sz w:val="22"/>
                <w:lang w:eastAsia="cs-CZ"/>
              </w:rPr>
              <w:t>13 554 695 343,47</w:t>
            </w:r>
          </w:p>
        </w:tc>
      </w:tr>
      <w:tr w:rsidR="004E6B66" w:rsidRPr="00EC672E" w:rsidTr="00A37297">
        <w:trPr>
          <w:trHeight w:val="2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66" w:rsidRPr="00EC672E" w:rsidRDefault="004E6B66" w:rsidP="00A37297">
            <w:pPr>
              <w:spacing w:before="20" w:after="20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sz w:val="22"/>
                <w:lang w:eastAsia="cs-CZ"/>
              </w:rPr>
              <w:t>Výdaje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B66" w:rsidRPr="00EC672E" w:rsidRDefault="00835033" w:rsidP="00A37297">
            <w:pPr>
              <w:spacing w:before="20" w:after="20"/>
              <w:ind w:right="317"/>
              <w:jc w:val="right"/>
              <w:rPr>
                <w:rFonts w:ascii="Arial" w:hAnsi="Arial" w:cs="Arial"/>
                <w:sz w:val="22"/>
                <w:lang w:eastAsia="cs-CZ"/>
              </w:rPr>
            </w:pPr>
            <w:r w:rsidRPr="00EC672E">
              <w:rPr>
                <w:rFonts w:ascii="Arial" w:hAnsi="Arial" w:cs="Arial"/>
                <w:sz w:val="22"/>
                <w:lang w:eastAsia="cs-CZ"/>
              </w:rPr>
              <w:t>46 969 746 </w:t>
            </w:r>
            <w:r w:rsidR="004E6B66" w:rsidRPr="00EC672E">
              <w:rPr>
                <w:rFonts w:ascii="Arial" w:hAnsi="Arial" w:cs="Arial"/>
                <w:sz w:val="22"/>
                <w:lang w:eastAsia="cs-CZ"/>
              </w:rPr>
              <w:t>503,49</w:t>
            </w:r>
          </w:p>
        </w:tc>
      </w:tr>
    </w:tbl>
    <w:p w:rsidR="004E6B66" w:rsidRPr="00EC672E" w:rsidRDefault="004E6B66" w:rsidP="00A37297">
      <w:pPr>
        <w:spacing w:before="40"/>
        <w:rPr>
          <w:rFonts w:ascii="Arial" w:hAnsi="Arial" w:cs="Arial"/>
          <w:bCs/>
          <w:sz w:val="18"/>
          <w:szCs w:val="18"/>
        </w:rPr>
      </w:pPr>
      <w:r w:rsidRPr="00EC672E">
        <w:rPr>
          <w:rFonts w:ascii="Arial" w:hAnsi="Arial" w:cs="Arial"/>
          <w:b/>
          <w:bCs/>
          <w:sz w:val="18"/>
          <w:szCs w:val="18"/>
        </w:rPr>
        <w:t>Zdroj:</w:t>
      </w:r>
      <w:r w:rsidRPr="00EC672E">
        <w:rPr>
          <w:rFonts w:ascii="Arial" w:hAnsi="Arial" w:cs="Arial"/>
          <w:bCs/>
          <w:sz w:val="18"/>
          <w:szCs w:val="18"/>
        </w:rPr>
        <w:t xml:space="preserve"> </w:t>
      </w:r>
      <w:r w:rsidR="00CD429E" w:rsidRPr="00EC672E">
        <w:rPr>
          <w:rFonts w:ascii="Arial" w:hAnsi="Arial" w:cs="Arial"/>
          <w:bCs/>
          <w:sz w:val="18"/>
          <w:szCs w:val="18"/>
        </w:rPr>
        <w:t>f</w:t>
      </w:r>
      <w:r w:rsidRPr="00EC672E">
        <w:rPr>
          <w:rFonts w:ascii="Arial" w:hAnsi="Arial" w:cs="Arial"/>
          <w:bCs/>
          <w:sz w:val="18"/>
          <w:szCs w:val="18"/>
        </w:rPr>
        <w:t xml:space="preserve">inanční výkazy k 31. </w:t>
      </w:r>
      <w:r w:rsidR="00FC3A4B" w:rsidRPr="00EC672E">
        <w:rPr>
          <w:rFonts w:ascii="Arial" w:hAnsi="Arial" w:cs="Arial"/>
          <w:bCs/>
          <w:sz w:val="18"/>
          <w:szCs w:val="18"/>
        </w:rPr>
        <w:t>prosinci</w:t>
      </w:r>
      <w:r w:rsidRPr="00EC672E">
        <w:rPr>
          <w:rFonts w:ascii="Arial" w:hAnsi="Arial" w:cs="Arial"/>
          <w:bCs/>
          <w:sz w:val="18"/>
          <w:szCs w:val="18"/>
        </w:rPr>
        <w:t xml:space="preserve"> 2011</w:t>
      </w:r>
      <w:r w:rsidR="00FC3A4B" w:rsidRPr="00EC672E">
        <w:rPr>
          <w:rFonts w:ascii="Arial" w:hAnsi="Arial" w:cs="Arial"/>
          <w:bCs/>
          <w:sz w:val="18"/>
          <w:szCs w:val="18"/>
        </w:rPr>
        <w:t>.</w:t>
      </w:r>
    </w:p>
    <w:p w:rsidR="00A37297" w:rsidRPr="00EC672E" w:rsidRDefault="00A37297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2.1 Regulace platná a účinná v roce 2011 pro oblast finančního výkaznictví</w:t>
      </w:r>
    </w:p>
    <w:p w:rsidR="004E6B66" w:rsidRPr="00EC672E" w:rsidRDefault="004E6B66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  <w:r w:rsidRPr="00EC672E">
        <w:rPr>
          <w:rFonts w:ascii="Arial" w:hAnsi="Arial" w:cs="Arial"/>
          <w:sz w:val="22"/>
        </w:rPr>
        <w:t>Finanční výkazy byly v roce 2011 upraveny zejména zákonem č. 218/2000 Sb., o rozpočtových pravidlech a o změně některých souvisejících zákonů (rozpočtová pravidla), vyhláškou č. 323/2002 Sb., o rozpočtové skladbě</w:t>
      </w:r>
      <w:r w:rsidR="00B57CA7" w:rsidRPr="00EC672E">
        <w:rPr>
          <w:rFonts w:ascii="Arial" w:hAnsi="Arial" w:cs="Arial"/>
          <w:sz w:val="22"/>
        </w:rPr>
        <w:t>,</w:t>
      </w:r>
      <w:r w:rsidRPr="00EC672E">
        <w:rPr>
          <w:rFonts w:ascii="Arial" w:hAnsi="Arial" w:cs="Arial"/>
          <w:sz w:val="22"/>
        </w:rPr>
        <w:t xml:space="preserve"> a vyhláškou č. 449/2009 Sb., o způsobu, termínech a rozsahu údajů předkládaných pro hodnocení plnění státního rozpočtu, rozpočtů státních fondů, rozpočtů územních samosprávn</w:t>
      </w:r>
      <w:r w:rsidR="00B57CA7" w:rsidRPr="00EC672E">
        <w:rPr>
          <w:rFonts w:ascii="Arial" w:hAnsi="Arial" w:cs="Arial"/>
          <w:sz w:val="22"/>
        </w:rPr>
        <w:t>ý</w:t>
      </w:r>
      <w:r w:rsidRPr="00EC672E">
        <w:rPr>
          <w:rFonts w:ascii="Arial" w:hAnsi="Arial" w:cs="Arial"/>
          <w:sz w:val="22"/>
        </w:rPr>
        <w:t xml:space="preserve">ch celků, rozpočtů dobrovolných svazků obcí a rozpočtů Regionálních rad regionů soudržnosti. Tyto právní předpisy byly s účinností pro rok 2011 novelizovány. Novela vyhlášky č. 449/2009 Sb. s účinností od 1. ledna 2011 stanovuje povinnost </w:t>
      </w:r>
      <w:r w:rsidR="00B57CA7" w:rsidRPr="00EC672E">
        <w:rPr>
          <w:rFonts w:ascii="Arial" w:hAnsi="Arial" w:cs="Arial"/>
          <w:sz w:val="22"/>
        </w:rPr>
        <w:t>zadávat</w:t>
      </w:r>
      <w:r w:rsidRPr="00EC672E">
        <w:rPr>
          <w:rFonts w:ascii="Arial" w:hAnsi="Arial" w:cs="Arial"/>
          <w:sz w:val="22"/>
        </w:rPr>
        <w:t xml:space="preserve"> údaje </w:t>
      </w:r>
      <w:r w:rsidR="00B57CA7" w:rsidRPr="00EC672E">
        <w:rPr>
          <w:rFonts w:ascii="Arial" w:hAnsi="Arial" w:cs="Arial"/>
          <w:sz w:val="22"/>
        </w:rPr>
        <w:t>z </w:t>
      </w:r>
      <w:r w:rsidRPr="00EC672E">
        <w:rPr>
          <w:rFonts w:ascii="Arial" w:hAnsi="Arial" w:cs="Arial"/>
          <w:sz w:val="22"/>
        </w:rPr>
        <w:t xml:space="preserve">finančních výkazů do </w:t>
      </w:r>
      <w:r w:rsidR="00B57CA7" w:rsidRPr="00EC672E">
        <w:rPr>
          <w:rFonts w:ascii="Arial" w:hAnsi="Arial" w:cs="Arial"/>
          <w:sz w:val="22"/>
        </w:rPr>
        <w:t>centrálního systému účetních informací státu (</w:t>
      </w:r>
      <w:proofErr w:type="spellStart"/>
      <w:r w:rsidRPr="00EC672E">
        <w:rPr>
          <w:rFonts w:ascii="Arial" w:hAnsi="Arial" w:cs="Arial"/>
          <w:sz w:val="22"/>
        </w:rPr>
        <w:t>CSÚIS</w:t>
      </w:r>
      <w:proofErr w:type="spellEnd"/>
      <w:r w:rsidR="00B57CA7" w:rsidRPr="00EC672E">
        <w:rPr>
          <w:rFonts w:ascii="Arial" w:hAnsi="Arial" w:cs="Arial"/>
          <w:sz w:val="22"/>
        </w:rPr>
        <w:t>)</w:t>
      </w:r>
      <w:r w:rsidRPr="00EC672E">
        <w:rPr>
          <w:rFonts w:ascii="Arial" w:hAnsi="Arial" w:cs="Arial"/>
          <w:sz w:val="22"/>
        </w:rPr>
        <w:t xml:space="preserve"> v Kč s přesností na dvě desetinná místa. Došlo také ke změně termínů pro předávání některých finančních výkazů.</w:t>
      </w: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2.2 Nesprávnosti ve výkazu pro hodnocení plnění rozpočtu</w:t>
      </w: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bCs/>
          <w:szCs w:val="22"/>
          <w:lang w:eastAsia="en-US"/>
        </w:rPr>
      </w:pPr>
    </w:p>
    <w:p w:rsidR="004E6B66" w:rsidRPr="00EC672E" w:rsidRDefault="004E6B66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EC672E">
        <w:rPr>
          <w:rFonts w:ascii="Arial" w:hAnsi="Arial" w:cs="Arial"/>
          <w:bCs/>
          <w:szCs w:val="22"/>
          <w:lang w:eastAsia="en-US"/>
        </w:rPr>
        <w:t xml:space="preserve">Ve výkazu pro hodnocení plnění rozpočtu byla ověřována správnost zatřídění ke kontrole vybraných příjmů a výdajů dle vyhlášky č. 323/2002 Sb., o rozpočtové skladbě, přičemž </w:t>
      </w:r>
      <w:r w:rsidRPr="00EC672E">
        <w:rPr>
          <w:rFonts w:ascii="Arial" w:hAnsi="Arial" w:cs="Arial"/>
          <w:szCs w:val="22"/>
        </w:rPr>
        <w:t xml:space="preserve">byla zjištěna nesprávnost při použití paragrafů rozpočtové skladby v celkové výši 63 696 626,54 Kč. </w:t>
      </w:r>
    </w:p>
    <w:p w:rsidR="00F81E4D" w:rsidRPr="00EC672E" w:rsidRDefault="00F81E4D" w:rsidP="00A37297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EC672E" w:rsidRDefault="004E6B66" w:rsidP="00844829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>Nesprávné použití paragrafu při zatřídění výdaje vynaloženého na systém pro zabezpečení objektu</w:t>
      </w:r>
    </w:p>
    <w:p w:rsidR="00835033" w:rsidRPr="00EC672E" w:rsidRDefault="00835033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MD v roce 2011 zatřídilo výdaj vynaložený na pořízení systému </w:t>
      </w:r>
      <w:r w:rsidRPr="00EC672E">
        <w:rPr>
          <w:rFonts w:ascii="Arial" w:hAnsi="Arial" w:cs="Arial"/>
          <w:bCs/>
          <w:iCs/>
          <w:sz w:val="22"/>
        </w:rPr>
        <w:t xml:space="preserve">sloužícího </w:t>
      </w:r>
      <w:r w:rsidR="00B57CA7" w:rsidRPr="00EC672E">
        <w:rPr>
          <w:rFonts w:ascii="Arial" w:hAnsi="Arial" w:cs="Arial"/>
          <w:bCs/>
          <w:iCs/>
          <w:sz w:val="22"/>
        </w:rPr>
        <w:t>k </w:t>
      </w:r>
      <w:r w:rsidRPr="00EC672E">
        <w:rPr>
          <w:rFonts w:ascii="Arial" w:hAnsi="Arial" w:cs="Arial"/>
          <w:bCs/>
          <w:iCs/>
          <w:sz w:val="22"/>
        </w:rPr>
        <w:t>zabezpečení objektu MD</w:t>
      </w:r>
      <w:r w:rsidRPr="00EC672E">
        <w:rPr>
          <w:rFonts w:ascii="Arial" w:hAnsi="Arial" w:cs="Arial"/>
          <w:sz w:val="22"/>
        </w:rPr>
        <w:t xml:space="preserve"> na paragraf 5399 </w:t>
      </w:r>
      <w:r w:rsidRPr="00EC672E">
        <w:rPr>
          <w:rFonts w:ascii="Arial" w:hAnsi="Arial" w:cs="Arial"/>
          <w:bCs/>
          <w:iCs/>
          <w:sz w:val="22"/>
        </w:rPr>
        <w:t xml:space="preserve">– </w:t>
      </w:r>
      <w:r w:rsidRPr="00EC672E">
        <w:rPr>
          <w:rFonts w:ascii="Arial" w:hAnsi="Arial" w:cs="Arial"/>
          <w:bCs/>
          <w:i/>
          <w:iCs/>
          <w:sz w:val="22"/>
        </w:rPr>
        <w:t xml:space="preserve">Ostatní záležitosti bezpečnosti, veřejného pořádku, </w:t>
      </w:r>
      <w:r w:rsidRPr="00EC672E">
        <w:rPr>
          <w:rFonts w:ascii="Arial" w:hAnsi="Arial" w:cs="Arial"/>
          <w:bCs/>
          <w:iCs/>
          <w:sz w:val="22"/>
        </w:rPr>
        <w:t>ačkoliv tento paragraf patří do podskupiny výdajů určených na činnosti spojené s veřejným pořádkem a zajištěním bezpečnosti. Výdaje na zabezpečení budovy MD však spadají svo</w:t>
      </w:r>
      <w:r w:rsidR="00B57CA7" w:rsidRPr="00EC672E">
        <w:rPr>
          <w:rFonts w:ascii="Arial" w:hAnsi="Arial" w:cs="Arial"/>
          <w:bCs/>
          <w:iCs/>
          <w:sz w:val="22"/>
        </w:rPr>
        <w:t>u</w:t>
      </w:r>
      <w:r w:rsidRPr="00EC672E">
        <w:rPr>
          <w:rFonts w:ascii="Arial" w:hAnsi="Arial" w:cs="Arial"/>
          <w:bCs/>
          <w:iCs/>
          <w:sz w:val="22"/>
        </w:rPr>
        <w:t xml:space="preserve"> povahou pod paragraf</w:t>
      </w:r>
      <w:r w:rsidRPr="00EC672E">
        <w:rPr>
          <w:rFonts w:ascii="Arial" w:hAnsi="Arial" w:cs="Arial"/>
          <w:bCs/>
          <w:i/>
          <w:iCs/>
          <w:sz w:val="22"/>
        </w:rPr>
        <w:t xml:space="preserve"> </w:t>
      </w:r>
      <w:r w:rsidRPr="00EC672E">
        <w:rPr>
          <w:rFonts w:ascii="Arial" w:hAnsi="Arial" w:cs="Arial"/>
          <w:sz w:val="22"/>
        </w:rPr>
        <w:t xml:space="preserve">2261 </w:t>
      </w:r>
      <w:r w:rsidRPr="00EC672E">
        <w:rPr>
          <w:rFonts w:ascii="Arial" w:hAnsi="Arial" w:cs="Arial"/>
          <w:i/>
          <w:sz w:val="22"/>
        </w:rPr>
        <w:t>– Činnost ústředních orgánů státní správy v dopravě</w:t>
      </w:r>
      <w:r w:rsidRPr="00EC672E">
        <w:rPr>
          <w:rFonts w:ascii="Arial" w:hAnsi="Arial" w:cs="Arial"/>
          <w:sz w:val="22"/>
        </w:rPr>
        <w:t xml:space="preserve">. MD tím ve </w:t>
      </w:r>
      <w:r w:rsidRPr="00EC672E">
        <w:rPr>
          <w:rFonts w:ascii="Arial" w:hAnsi="Arial" w:cs="Arial"/>
          <w:sz w:val="22"/>
        </w:rPr>
        <w:lastRenderedPageBreak/>
        <w:t xml:space="preserve">výkazu pro hodnocení plnění rozpočtu k 31. </w:t>
      </w:r>
      <w:r w:rsidR="00FC3A4B" w:rsidRPr="00EC672E">
        <w:rPr>
          <w:rFonts w:ascii="Arial" w:hAnsi="Arial" w:cs="Arial"/>
          <w:sz w:val="22"/>
        </w:rPr>
        <w:t>prosinci</w:t>
      </w:r>
      <w:r w:rsidRPr="00EC672E">
        <w:rPr>
          <w:rFonts w:ascii="Arial" w:hAnsi="Arial" w:cs="Arial"/>
          <w:sz w:val="22"/>
        </w:rPr>
        <w:t xml:space="preserve"> 2011 nadhodnotilo paragraf rozpočtové skladby 5399 – </w:t>
      </w:r>
      <w:r w:rsidRPr="00EC672E">
        <w:rPr>
          <w:rFonts w:ascii="Arial" w:hAnsi="Arial" w:cs="Arial"/>
          <w:i/>
          <w:sz w:val="22"/>
        </w:rPr>
        <w:t>Ostatní záležitosti bezpečnosti, veřejného pořádku</w:t>
      </w:r>
      <w:r w:rsidRPr="00EC672E">
        <w:rPr>
          <w:rFonts w:ascii="Arial" w:hAnsi="Arial" w:cs="Arial"/>
          <w:sz w:val="22"/>
        </w:rPr>
        <w:t xml:space="preserve"> o částku 2 399 832 Kč a</w:t>
      </w:r>
      <w:r w:rsidR="007A3D09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o</w:t>
      </w:r>
      <w:r w:rsidR="0064125A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 xml:space="preserve">stejnou částku podhodnotilo paragraf rozpočtové skladby 2261 </w:t>
      </w:r>
      <w:r w:rsidRPr="00EC672E">
        <w:rPr>
          <w:rFonts w:ascii="Arial" w:hAnsi="Arial" w:cs="Arial"/>
          <w:i/>
          <w:sz w:val="22"/>
        </w:rPr>
        <w:t>– Činnost ústředních orgánů státní správy v dopravě</w:t>
      </w:r>
      <w:r w:rsidRPr="00EC672E">
        <w:rPr>
          <w:rFonts w:ascii="Arial" w:hAnsi="Arial" w:cs="Arial"/>
          <w:sz w:val="22"/>
        </w:rPr>
        <w:t>.</w:t>
      </w:r>
    </w:p>
    <w:p w:rsidR="0067476E" w:rsidRPr="00EC672E" w:rsidRDefault="0067476E" w:rsidP="00A37297">
      <w:pPr>
        <w:rPr>
          <w:rFonts w:ascii="Arial" w:hAnsi="Arial" w:cs="Arial"/>
          <w:sz w:val="22"/>
        </w:rPr>
      </w:pPr>
    </w:p>
    <w:p w:rsidR="004E6B66" w:rsidRPr="00EC672E" w:rsidRDefault="004E6B66" w:rsidP="0064125A">
      <w:pPr>
        <w:pStyle w:val="Odstavecseseznamem"/>
        <w:numPr>
          <w:ilvl w:val="0"/>
          <w:numId w:val="41"/>
        </w:numPr>
        <w:ind w:left="284" w:hanging="284"/>
        <w:rPr>
          <w:rFonts w:ascii="Arial" w:hAnsi="Arial" w:cs="Arial"/>
          <w:b/>
          <w:sz w:val="22"/>
          <w:lang w:val="cs-CZ"/>
        </w:rPr>
      </w:pPr>
      <w:r w:rsidRPr="00EC672E">
        <w:rPr>
          <w:rFonts w:ascii="Arial" w:hAnsi="Arial" w:cs="Arial"/>
          <w:b/>
          <w:sz w:val="22"/>
          <w:lang w:val="cs-CZ"/>
        </w:rPr>
        <w:t xml:space="preserve">Nesprávné použití paragrafu při zatřídění výdaje na </w:t>
      </w:r>
      <w:r w:rsidRPr="00EC672E">
        <w:rPr>
          <w:rFonts w:ascii="Arial" w:hAnsi="Arial" w:cs="Arial"/>
          <w:b/>
          <w:bCs/>
          <w:iCs/>
          <w:sz w:val="22"/>
          <w:lang w:val="cs-CZ"/>
        </w:rPr>
        <w:t>projekt v</w:t>
      </w:r>
      <w:r w:rsidRPr="00EC672E">
        <w:rPr>
          <w:rFonts w:ascii="Arial" w:hAnsi="Arial" w:cs="Arial"/>
          <w:b/>
          <w:bCs/>
          <w:color w:val="000000"/>
          <w:sz w:val="22"/>
          <w:lang w:val="cs-CZ"/>
        </w:rPr>
        <w:t xml:space="preserve">ýstavby dálnice </w:t>
      </w:r>
      <w:proofErr w:type="spellStart"/>
      <w:r w:rsidRPr="00EC672E">
        <w:rPr>
          <w:rFonts w:ascii="Arial" w:hAnsi="Arial" w:cs="Arial"/>
          <w:b/>
          <w:bCs/>
          <w:iCs/>
          <w:sz w:val="22"/>
          <w:lang w:val="cs-CZ"/>
        </w:rPr>
        <w:t>D47</w:t>
      </w:r>
      <w:proofErr w:type="spellEnd"/>
    </w:p>
    <w:p w:rsidR="00835033" w:rsidRPr="00EC672E" w:rsidRDefault="00835033" w:rsidP="00A37297">
      <w:pPr>
        <w:rPr>
          <w:rFonts w:ascii="Arial" w:hAnsi="Arial" w:cs="Arial"/>
          <w:bCs/>
          <w:color w:val="000000"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Cs/>
          <w:color w:val="000000"/>
          <w:sz w:val="22"/>
        </w:rPr>
      </w:pPr>
      <w:r w:rsidRPr="00EC672E">
        <w:rPr>
          <w:rFonts w:ascii="Arial" w:hAnsi="Arial" w:cs="Arial"/>
          <w:bCs/>
          <w:color w:val="000000"/>
          <w:sz w:val="22"/>
        </w:rPr>
        <w:t xml:space="preserve">MD výdaj ve výši 69 299 156 Kč uskutečněný v roce 2011 </w:t>
      </w:r>
      <w:r w:rsidR="00FC3A4B" w:rsidRPr="00EC672E">
        <w:rPr>
          <w:rFonts w:ascii="Arial" w:hAnsi="Arial" w:cs="Arial"/>
          <w:bCs/>
          <w:color w:val="000000"/>
          <w:sz w:val="22"/>
        </w:rPr>
        <w:t xml:space="preserve">na základě </w:t>
      </w:r>
      <w:r w:rsidR="00CD429E" w:rsidRPr="00EC672E">
        <w:rPr>
          <w:rFonts w:ascii="Arial" w:hAnsi="Arial" w:cs="Arial"/>
          <w:bCs/>
          <w:color w:val="000000"/>
          <w:sz w:val="22"/>
        </w:rPr>
        <w:t>r</w:t>
      </w:r>
      <w:r w:rsidR="00FC3A4B" w:rsidRPr="00EC672E">
        <w:rPr>
          <w:rFonts w:ascii="Arial" w:hAnsi="Arial" w:cs="Arial"/>
          <w:bCs/>
          <w:color w:val="000000"/>
          <w:sz w:val="22"/>
        </w:rPr>
        <w:t>ozhodnutí o </w:t>
      </w:r>
      <w:r w:rsidRPr="00EC672E">
        <w:rPr>
          <w:rFonts w:ascii="Arial" w:hAnsi="Arial" w:cs="Arial"/>
          <w:bCs/>
          <w:color w:val="000000"/>
          <w:sz w:val="22"/>
        </w:rPr>
        <w:t xml:space="preserve">poskytnutí dotace na projekt </w:t>
      </w:r>
      <w:r w:rsidRPr="00EC672E">
        <w:rPr>
          <w:rFonts w:ascii="Arial" w:hAnsi="Arial" w:cs="Arial"/>
          <w:bCs/>
          <w:iCs/>
          <w:sz w:val="22"/>
        </w:rPr>
        <w:t xml:space="preserve">výstavby dálnice </w:t>
      </w:r>
      <w:proofErr w:type="spellStart"/>
      <w:r w:rsidRPr="00EC672E">
        <w:rPr>
          <w:rFonts w:ascii="Arial" w:hAnsi="Arial" w:cs="Arial"/>
          <w:bCs/>
          <w:iCs/>
          <w:sz w:val="22"/>
        </w:rPr>
        <w:t>D47</w:t>
      </w:r>
      <w:proofErr w:type="spellEnd"/>
      <w:r w:rsidRPr="00EC672E">
        <w:rPr>
          <w:rFonts w:ascii="Arial" w:hAnsi="Arial" w:cs="Arial"/>
          <w:bCs/>
          <w:iCs/>
          <w:sz w:val="22"/>
        </w:rPr>
        <w:t xml:space="preserve"> v úseku 47092 Bohumín – státní hranice Česká republika/Polsko</w:t>
      </w:r>
      <w:r w:rsidR="00B57CA7" w:rsidRPr="00EC672E">
        <w:rPr>
          <w:rFonts w:ascii="Arial" w:hAnsi="Arial" w:cs="Arial"/>
          <w:bCs/>
          <w:iCs/>
          <w:sz w:val="22"/>
        </w:rPr>
        <w:t>,</w:t>
      </w:r>
      <w:r w:rsidRPr="00EC672E">
        <w:rPr>
          <w:rFonts w:ascii="Arial" w:hAnsi="Arial" w:cs="Arial"/>
          <w:bCs/>
          <w:iCs/>
          <w:sz w:val="22"/>
        </w:rPr>
        <w:t xml:space="preserve"> spolufinancovaný z fondu TEN-T</w:t>
      </w:r>
      <w:r w:rsidRPr="00EC672E">
        <w:rPr>
          <w:rFonts w:ascii="Arial" w:hAnsi="Arial" w:cs="Arial"/>
          <w:bCs/>
          <w:color w:val="000000"/>
          <w:sz w:val="22"/>
        </w:rPr>
        <w:t>, zatřídilo z hlediska odvětvového na paragraf rozpočtové skladby 2299 –</w:t>
      </w:r>
      <w:r w:rsidRPr="00EC672E">
        <w:rPr>
          <w:rFonts w:ascii="Arial" w:hAnsi="Arial" w:cs="Arial"/>
          <w:bCs/>
          <w:i/>
          <w:color w:val="000000"/>
          <w:sz w:val="22"/>
        </w:rPr>
        <w:t xml:space="preserve"> Ostatní záležitosti v dopravě </w:t>
      </w:r>
      <w:r w:rsidRPr="00EC672E">
        <w:rPr>
          <w:rFonts w:ascii="Arial" w:hAnsi="Arial" w:cs="Arial"/>
          <w:bCs/>
          <w:color w:val="000000"/>
          <w:sz w:val="22"/>
        </w:rPr>
        <w:t xml:space="preserve">místo na paragraf rozpočtové skladby 2211 </w:t>
      </w:r>
      <w:r w:rsidRPr="00EC672E">
        <w:rPr>
          <w:rFonts w:ascii="Arial" w:hAnsi="Arial" w:cs="Arial"/>
          <w:bCs/>
          <w:i/>
          <w:color w:val="000000"/>
          <w:sz w:val="22"/>
        </w:rPr>
        <w:t>–</w:t>
      </w:r>
      <w:r w:rsidRPr="00EC672E">
        <w:rPr>
          <w:rFonts w:ascii="Arial" w:hAnsi="Arial" w:cs="Arial"/>
          <w:bCs/>
          <w:color w:val="000000"/>
          <w:sz w:val="22"/>
        </w:rPr>
        <w:t xml:space="preserve"> </w:t>
      </w:r>
      <w:r w:rsidRPr="00EC672E">
        <w:rPr>
          <w:rFonts w:ascii="Arial" w:hAnsi="Arial" w:cs="Arial"/>
          <w:bCs/>
          <w:i/>
          <w:color w:val="000000"/>
          <w:sz w:val="22"/>
        </w:rPr>
        <w:t>Dálnice</w:t>
      </w:r>
      <w:r w:rsidRPr="00EC672E">
        <w:rPr>
          <w:rFonts w:ascii="Arial" w:hAnsi="Arial" w:cs="Arial"/>
          <w:bCs/>
          <w:color w:val="000000"/>
          <w:sz w:val="22"/>
        </w:rPr>
        <w:t xml:space="preserve">, který obsahuje činnosti spojené se správou, údržbou, opravami, technickou obnovou a výstavbou dálnic a jejich součástí. Po vrácení nespotřebované dotace ve výši 8 002 361,46 Kč </w:t>
      </w:r>
      <w:r w:rsidR="00B57CA7" w:rsidRPr="00EC672E">
        <w:rPr>
          <w:rFonts w:ascii="Arial" w:hAnsi="Arial" w:cs="Arial"/>
          <w:bCs/>
          <w:color w:val="000000"/>
          <w:sz w:val="22"/>
        </w:rPr>
        <w:t>na</w:t>
      </w:r>
      <w:r w:rsidRPr="00EC672E">
        <w:rPr>
          <w:rFonts w:ascii="Arial" w:hAnsi="Arial" w:cs="Arial"/>
          <w:bCs/>
          <w:color w:val="000000"/>
          <w:sz w:val="22"/>
        </w:rPr>
        <w:t xml:space="preserve"> výše uveden</w:t>
      </w:r>
      <w:r w:rsidR="00B57CA7" w:rsidRPr="00EC672E">
        <w:rPr>
          <w:rFonts w:ascii="Arial" w:hAnsi="Arial" w:cs="Arial"/>
          <w:bCs/>
          <w:color w:val="000000"/>
          <w:sz w:val="22"/>
        </w:rPr>
        <w:t>ý</w:t>
      </w:r>
      <w:r w:rsidRPr="00EC672E">
        <w:rPr>
          <w:rFonts w:ascii="Arial" w:hAnsi="Arial" w:cs="Arial"/>
          <w:bCs/>
          <w:color w:val="000000"/>
          <w:sz w:val="22"/>
        </w:rPr>
        <w:t xml:space="preserve"> projekt tak MD vykázalo k 31. </w:t>
      </w:r>
      <w:r w:rsidR="00FC3A4B" w:rsidRPr="00EC672E">
        <w:rPr>
          <w:rFonts w:ascii="Arial" w:hAnsi="Arial" w:cs="Arial"/>
          <w:bCs/>
          <w:color w:val="000000"/>
          <w:sz w:val="22"/>
        </w:rPr>
        <w:t xml:space="preserve">prosinci </w:t>
      </w:r>
      <w:r w:rsidRPr="00EC672E">
        <w:rPr>
          <w:rFonts w:ascii="Arial" w:hAnsi="Arial" w:cs="Arial"/>
          <w:bCs/>
          <w:color w:val="000000"/>
          <w:sz w:val="22"/>
        </w:rPr>
        <w:t xml:space="preserve">2011 na paragrafu 2299 částku 61 296 794,54 Kč. </w:t>
      </w:r>
      <w:r w:rsidRPr="00EC672E">
        <w:rPr>
          <w:rFonts w:ascii="Arial" w:hAnsi="Arial" w:cs="Arial"/>
          <w:bCs/>
          <w:iCs/>
          <w:sz w:val="22"/>
        </w:rPr>
        <w:t>MD tím</w:t>
      </w:r>
      <w:r w:rsidRPr="00EC672E">
        <w:rPr>
          <w:rFonts w:ascii="Arial" w:hAnsi="Arial" w:cs="Arial"/>
          <w:bCs/>
          <w:color w:val="000000"/>
          <w:sz w:val="22"/>
        </w:rPr>
        <w:t xml:space="preserve"> ve výkazu pro hodnocení plnění rozpočtu k 31. </w:t>
      </w:r>
      <w:r w:rsidR="00FC3A4B" w:rsidRPr="00EC672E">
        <w:rPr>
          <w:rFonts w:ascii="Arial" w:hAnsi="Arial" w:cs="Arial"/>
          <w:bCs/>
          <w:color w:val="000000"/>
          <w:sz w:val="22"/>
        </w:rPr>
        <w:t>prosinci</w:t>
      </w:r>
      <w:r w:rsidRPr="00EC672E">
        <w:rPr>
          <w:rFonts w:ascii="Arial" w:hAnsi="Arial" w:cs="Arial"/>
          <w:bCs/>
          <w:color w:val="000000"/>
          <w:sz w:val="22"/>
        </w:rPr>
        <w:t xml:space="preserve"> 2011 nadhodnotilo paragraf rozpočtové skladby 2299 – </w:t>
      </w:r>
      <w:r w:rsidRPr="00EC672E">
        <w:rPr>
          <w:rFonts w:ascii="Arial" w:hAnsi="Arial" w:cs="Arial"/>
          <w:bCs/>
          <w:i/>
          <w:color w:val="000000"/>
          <w:sz w:val="22"/>
        </w:rPr>
        <w:t>Ostatní záležitosti v dopravě</w:t>
      </w:r>
      <w:r w:rsidRPr="00EC672E">
        <w:rPr>
          <w:rFonts w:ascii="Arial" w:hAnsi="Arial" w:cs="Arial"/>
          <w:bCs/>
          <w:color w:val="000000"/>
          <w:sz w:val="22"/>
        </w:rPr>
        <w:t xml:space="preserve"> o částku 61 296 794,54 Kč a o stejnou částku podhodnotilo paragraf rozpočtové skladby 2211 – </w:t>
      </w:r>
      <w:r w:rsidRPr="00EC672E">
        <w:rPr>
          <w:rFonts w:ascii="Arial" w:hAnsi="Arial" w:cs="Arial"/>
          <w:bCs/>
          <w:i/>
          <w:color w:val="000000"/>
          <w:sz w:val="22"/>
        </w:rPr>
        <w:t>Dálnice</w:t>
      </w:r>
      <w:r w:rsidRPr="00EC672E">
        <w:rPr>
          <w:rFonts w:ascii="Arial" w:hAnsi="Arial" w:cs="Arial"/>
          <w:bCs/>
          <w:color w:val="000000"/>
          <w:sz w:val="22"/>
        </w:rPr>
        <w:t>.</w:t>
      </w: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</w:p>
    <w:p w:rsidR="004E6B66" w:rsidRPr="00EC672E" w:rsidRDefault="004E6B66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 xml:space="preserve">3. Závěrečný účet </w:t>
      </w:r>
    </w:p>
    <w:p w:rsidR="004E6B66" w:rsidRPr="00EC672E" w:rsidRDefault="004E6B66" w:rsidP="00A37297">
      <w:pPr>
        <w:rPr>
          <w:rFonts w:ascii="Arial" w:hAnsi="Arial" w:cs="Arial"/>
        </w:rPr>
      </w:pPr>
      <w:bookmarkStart w:id="6" w:name="_Toc270532944"/>
      <w:bookmarkStart w:id="7" w:name="_Toc270533957"/>
      <w:bookmarkStart w:id="8" w:name="_Toc270534159"/>
    </w:p>
    <w:bookmarkEnd w:id="6"/>
    <w:bookmarkEnd w:id="7"/>
    <w:bookmarkEnd w:id="8"/>
    <w:p w:rsidR="004E6B66" w:rsidRPr="00EC672E" w:rsidRDefault="00B57CA7" w:rsidP="00A37297">
      <w:pPr>
        <w:rPr>
          <w:rFonts w:ascii="Arial" w:hAnsi="Arial" w:cs="Arial"/>
          <w:bCs/>
          <w:iCs/>
          <w:sz w:val="22"/>
        </w:rPr>
      </w:pPr>
      <w:r w:rsidRPr="00EC672E">
        <w:rPr>
          <w:rFonts w:ascii="Arial" w:hAnsi="Arial" w:cs="Arial"/>
          <w:sz w:val="22"/>
        </w:rPr>
        <w:t>Z</w:t>
      </w:r>
      <w:r w:rsidR="004E6B66" w:rsidRPr="00EC672E">
        <w:rPr>
          <w:rFonts w:ascii="Arial" w:hAnsi="Arial" w:cs="Arial"/>
          <w:sz w:val="22"/>
        </w:rPr>
        <w:t>ávěrečn</w:t>
      </w:r>
      <w:r w:rsidRPr="00EC672E">
        <w:rPr>
          <w:rFonts w:ascii="Arial" w:hAnsi="Arial" w:cs="Arial"/>
          <w:sz w:val="22"/>
        </w:rPr>
        <w:t>ý</w:t>
      </w:r>
      <w:r w:rsidR="004E6B66" w:rsidRPr="00EC672E">
        <w:rPr>
          <w:rFonts w:ascii="Arial" w:hAnsi="Arial" w:cs="Arial"/>
          <w:sz w:val="22"/>
        </w:rPr>
        <w:t xml:space="preserve"> úč</w:t>
      </w:r>
      <w:r w:rsidRPr="00EC672E">
        <w:rPr>
          <w:rFonts w:ascii="Arial" w:hAnsi="Arial" w:cs="Arial"/>
          <w:sz w:val="22"/>
        </w:rPr>
        <w:t>e</w:t>
      </w:r>
      <w:r w:rsidR="004E6B66" w:rsidRPr="00EC672E">
        <w:rPr>
          <w:rFonts w:ascii="Arial" w:hAnsi="Arial" w:cs="Arial"/>
          <w:sz w:val="22"/>
        </w:rPr>
        <w:t xml:space="preserve">t kapitoly 327 </w:t>
      </w:r>
      <w:r w:rsidR="004E6B66" w:rsidRPr="00EC672E">
        <w:rPr>
          <w:rFonts w:ascii="Arial" w:hAnsi="Arial" w:cs="Arial"/>
          <w:i/>
          <w:sz w:val="22"/>
        </w:rPr>
        <w:t>Ministerstvo dopravy</w:t>
      </w:r>
      <w:r w:rsidR="004E6B66" w:rsidRPr="00EC672E">
        <w:rPr>
          <w:rFonts w:ascii="Arial" w:hAnsi="Arial" w:cs="Arial"/>
          <w:sz w:val="22"/>
        </w:rPr>
        <w:t xml:space="preserve"> za rok 2011 nebyl zcela </w:t>
      </w:r>
      <w:r w:rsidR="004E6B66" w:rsidRPr="00EC672E">
        <w:rPr>
          <w:rFonts w:ascii="Arial" w:hAnsi="Arial" w:cs="Arial"/>
          <w:bCs/>
          <w:iCs/>
          <w:sz w:val="22"/>
        </w:rPr>
        <w:t>v souladu s</w:t>
      </w:r>
      <w:r w:rsidR="0064125A" w:rsidRPr="00EC672E">
        <w:rPr>
          <w:rFonts w:ascii="Arial" w:hAnsi="Arial" w:cs="Arial"/>
          <w:bCs/>
          <w:iCs/>
          <w:sz w:val="22"/>
        </w:rPr>
        <w:t> </w:t>
      </w:r>
      <w:r w:rsidR="004E6B66" w:rsidRPr="00EC672E">
        <w:rPr>
          <w:rFonts w:ascii="Arial" w:hAnsi="Arial" w:cs="Arial"/>
          <w:bCs/>
          <w:iCs/>
          <w:sz w:val="22"/>
        </w:rPr>
        <w:t xml:space="preserve">vyhláškou č. 419/2001 Sb., o rozsahu, struktuře a termínech údajů předkládaných pro vypracování návrhu státního závěrečného účtu a o rozsahu a termínech sestavení návrhů závěrečných účtů kapitol státního rozpočtu, </w:t>
      </w:r>
      <w:r w:rsidR="004E6B66" w:rsidRPr="00EC672E">
        <w:rPr>
          <w:rFonts w:ascii="Arial" w:hAnsi="Arial" w:cs="Arial"/>
          <w:sz w:val="22"/>
        </w:rPr>
        <w:t>neboť neobsahoval</w:t>
      </w:r>
      <w:r w:rsidR="004E6B66" w:rsidRPr="00EC672E">
        <w:rPr>
          <w:rFonts w:ascii="Arial" w:hAnsi="Arial" w:cs="Arial"/>
          <w:bCs/>
          <w:iCs/>
          <w:sz w:val="22"/>
        </w:rPr>
        <w:t>:</w:t>
      </w:r>
    </w:p>
    <w:p w:rsidR="004E6B66" w:rsidRPr="00EC672E" w:rsidRDefault="004E6B66" w:rsidP="00A37297">
      <w:pPr>
        <w:numPr>
          <w:ilvl w:val="0"/>
          <w:numId w:val="40"/>
        </w:numPr>
        <w:ind w:left="284" w:hanging="284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komentář </w:t>
      </w:r>
      <w:r w:rsidR="00B57CA7" w:rsidRPr="00EC672E">
        <w:rPr>
          <w:rFonts w:ascii="Arial" w:hAnsi="Arial" w:cs="Arial"/>
          <w:sz w:val="22"/>
        </w:rPr>
        <w:t>k </w:t>
      </w:r>
      <w:r w:rsidRPr="00EC672E">
        <w:rPr>
          <w:rFonts w:ascii="Arial" w:hAnsi="Arial" w:cs="Arial"/>
          <w:sz w:val="22"/>
        </w:rPr>
        <w:t>výdajů</w:t>
      </w:r>
      <w:r w:rsidR="00B57CA7" w:rsidRPr="00EC672E">
        <w:rPr>
          <w:rFonts w:ascii="Arial" w:hAnsi="Arial" w:cs="Arial"/>
          <w:sz w:val="22"/>
        </w:rPr>
        <w:t>m</w:t>
      </w:r>
      <w:r w:rsidRPr="00EC672E">
        <w:rPr>
          <w:rFonts w:ascii="Arial" w:hAnsi="Arial" w:cs="Arial"/>
          <w:sz w:val="22"/>
        </w:rPr>
        <w:t xml:space="preserve"> na platy a ostatní platby za provedenou práci v rámci společných programů České republiky a Evropské unie,</w:t>
      </w:r>
    </w:p>
    <w:p w:rsidR="004E6B66" w:rsidRPr="00EC672E" w:rsidRDefault="004E6B66" w:rsidP="00A37297">
      <w:pPr>
        <w:numPr>
          <w:ilvl w:val="0"/>
          <w:numId w:val="40"/>
        </w:numPr>
        <w:ind w:left="284" w:hanging="284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hodnocení účelnosti kapitálových výdajů a celkového přínosu jednotlivých činností a</w:t>
      </w:r>
      <w:r w:rsidR="00FC3A4B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programů financovaných vládou,</w:t>
      </w:r>
    </w:p>
    <w:p w:rsidR="004E6B66" w:rsidRPr="00EC672E" w:rsidRDefault="004E6B66" w:rsidP="00A37297">
      <w:pPr>
        <w:numPr>
          <w:ilvl w:val="0"/>
          <w:numId w:val="40"/>
        </w:numPr>
        <w:ind w:left="284" w:hanging="284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vyhodnocení výdajů vyplývajících z veřejných zakázek o předpokládané hodnotě nejméně 300 mil. Kč. </w:t>
      </w:r>
    </w:p>
    <w:p w:rsidR="00A909A1" w:rsidRPr="00EC672E" w:rsidRDefault="00A909A1" w:rsidP="00A37297">
      <w:pPr>
        <w:rPr>
          <w:rFonts w:ascii="Arial" w:hAnsi="Arial" w:cs="Arial"/>
          <w:sz w:val="22"/>
        </w:rPr>
      </w:pPr>
    </w:p>
    <w:p w:rsidR="00A909A1" w:rsidRPr="00EC672E" w:rsidRDefault="00A909A1" w:rsidP="00A37297">
      <w:pPr>
        <w:rPr>
          <w:rFonts w:ascii="Arial" w:hAnsi="Arial" w:cs="Arial"/>
          <w:sz w:val="22"/>
        </w:rPr>
      </w:pPr>
    </w:p>
    <w:p w:rsidR="004E6B66" w:rsidRPr="00EC672E" w:rsidRDefault="004E6B66" w:rsidP="00A37297">
      <w:pPr>
        <w:jc w:val="center"/>
        <w:rPr>
          <w:rFonts w:ascii="Arial" w:hAnsi="Arial" w:cs="Arial"/>
          <w:b/>
          <w:szCs w:val="24"/>
        </w:rPr>
      </w:pPr>
      <w:r w:rsidRPr="00EC672E">
        <w:rPr>
          <w:rFonts w:ascii="Arial" w:hAnsi="Arial" w:cs="Arial"/>
          <w:b/>
          <w:szCs w:val="24"/>
        </w:rPr>
        <w:t>III. Shrnutí a vyhodnocení</w:t>
      </w:r>
    </w:p>
    <w:p w:rsidR="004E6B66" w:rsidRPr="00EC672E" w:rsidRDefault="004E6B66" w:rsidP="00A37297">
      <w:pPr>
        <w:rPr>
          <w:rFonts w:ascii="Arial" w:hAnsi="Arial" w:cs="Arial"/>
          <w:bCs/>
          <w:sz w:val="22"/>
        </w:rPr>
      </w:pPr>
    </w:p>
    <w:p w:rsidR="004E6B66" w:rsidRPr="00EC672E" w:rsidRDefault="004E6B66" w:rsidP="00A3729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Kontrolou byla prověřena účetní závěrka MD k 31. prosinci 2011, finanční výkazy MD za rok 2011 a soulad závěrečného účtu kapitoly 32</w:t>
      </w:r>
      <w:r w:rsidR="00B57CA7" w:rsidRPr="00EC672E">
        <w:rPr>
          <w:rFonts w:ascii="Arial" w:hAnsi="Arial" w:cs="Arial"/>
          <w:sz w:val="22"/>
        </w:rPr>
        <w:t xml:space="preserve">7 </w:t>
      </w:r>
      <w:r w:rsidR="00B57CA7" w:rsidRPr="00EC672E">
        <w:rPr>
          <w:rFonts w:ascii="Arial" w:hAnsi="Arial" w:cs="Arial"/>
          <w:i/>
          <w:sz w:val="22"/>
        </w:rPr>
        <w:t>Ministerstvo dopravy</w:t>
      </w:r>
      <w:r w:rsidR="00B57CA7" w:rsidRPr="00EC672E">
        <w:rPr>
          <w:rFonts w:ascii="Arial" w:hAnsi="Arial" w:cs="Arial"/>
          <w:sz w:val="22"/>
        </w:rPr>
        <w:t xml:space="preserve"> za rok 2011 s vyhláškou č. </w:t>
      </w:r>
      <w:r w:rsidRPr="00EC672E">
        <w:rPr>
          <w:rFonts w:ascii="Arial" w:hAnsi="Arial" w:cs="Arial"/>
          <w:sz w:val="22"/>
        </w:rPr>
        <w:t>419/2001 Sb.</w:t>
      </w:r>
    </w:p>
    <w:p w:rsidR="00842B48" w:rsidRPr="00EC672E" w:rsidRDefault="00842B48" w:rsidP="00A37297">
      <w:pPr>
        <w:pStyle w:val="NadpisKZ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96779" w:rsidRPr="00EC672E" w:rsidRDefault="00696779" w:rsidP="00A37297">
      <w:pPr>
        <w:pStyle w:val="NadpisKZ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C672E">
        <w:rPr>
          <w:rFonts w:ascii="Arial" w:hAnsi="Arial" w:cs="Arial"/>
          <w:b/>
          <w:sz w:val="22"/>
          <w:szCs w:val="22"/>
        </w:rPr>
        <w:t>Účetní závěrka</w:t>
      </w:r>
    </w:p>
    <w:p w:rsidR="00696779" w:rsidRPr="00EC672E" w:rsidRDefault="00696779" w:rsidP="00835033">
      <w:pPr>
        <w:rPr>
          <w:rFonts w:ascii="Arial" w:hAnsi="Arial" w:cs="Arial"/>
          <w:sz w:val="22"/>
        </w:rPr>
      </w:pPr>
    </w:p>
    <w:p w:rsidR="00696779" w:rsidRPr="00EC672E" w:rsidRDefault="00696779" w:rsidP="00835033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bCs/>
          <w:sz w:val="22"/>
        </w:rPr>
        <w:t>Možnos</w:t>
      </w:r>
      <w:r w:rsidR="00835033" w:rsidRPr="00EC672E">
        <w:rPr>
          <w:rFonts w:ascii="Arial" w:hAnsi="Arial" w:cs="Arial"/>
          <w:bCs/>
          <w:sz w:val="22"/>
        </w:rPr>
        <w:t>t vyjádř</w:t>
      </w:r>
      <w:r w:rsidR="00B57CBD" w:rsidRPr="00EC672E">
        <w:rPr>
          <w:rFonts w:ascii="Arial" w:hAnsi="Arial" w:cs="Arial"/>
          <w:bCs/>
          <w:sz w:val="22"/>
        </w:rPr>
        <w:t>it</w:t>
      </w:r>
      <w:r w:rsidR="00835033" w:rsidRPr="00EC672E">
        <w:rPr>
          <w:rFonts w:ascii="Arial" w:hAnsi="Arial" w:cs="Arial"/>
          <w:bCs/>
          <w:sz w:val="22"/>
        </w:rPr>
        <w:t xml:space="preserve"> se ke spolehlivosti </w:t>
      </w:r>
      <w:r w:rsidRPr="00EC672E">
        <w:rPr>
          <w:rFonts w:ascii="Arial" w:hAnsi="Arial" w:cs="Arial"/>
          <w:bCs/>
          <w:sz w:val="22"/>
        </w:rPr>
        <w:t>účetní závěrky MD k 31. prosinci 2011 jako celku byla ve významném až zásadním rozsahu omezena, a</w:t>
      </w:r>
      <w:r w:rsidR="00FC3A4B" w:rsidRPr="00EC672E">
        <w:rPr>
          <w:rFonts w:ascii="Arial" w:hAnsi="Arial" w:cs="Arial"/>
          <w:bCs/>
          <w:sz w:val="22"/>
        </w:rPr>
        <w:t xml:space="preserve"> to z důvodu nejednoznačností v </w:t>
      </w:r>
      <w:r w:rsidRPr="00EC672E">
        <w:rPr>
          <w:rFonts w:ascii="Arial" w:hAnsi="Arial" w:cs="Arial"/>
          <w:bCs/>
          <w:sz w:val="22"/>
        </w:rPr>
        <w:t xml:space="preserve">ustanoveních předpisů upravujících vedení účetnictví v roce 2011. </w:t>
      </w:r>
    </w:p>
    <w:p w:rsidR="00696779" w:rsidRPr="00EC672E" w:rsidRDefault="00696779" w:rsidP="00835033">
      <w:pPr>
        <w:rPr>
          <w:rFonts w:ascii="Arial" w:hAnsi="Arial" w:cs="Arial"/>
          <w:sz w:val="22"/>
        </w:rPr>
      </w:pPr>
    </w:p>
    <w:p w:rsidR="00696779" w:rsidRPr="00EC672E" w:rsidRDefault="00696779" w:rsidP="00A37297">
      <w:pPr>
        <w:pStyle w:val="NadpisKZ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672E">
        <w:rPr>
          <w:rFonts w:ascii="Arial" w:hAnsi="Arial" w:cs="Arial"/>
          <w:sz w:val="22"/>
          <w:szCs w:val="22"/>
        </w:rPr>
        <w:t>Některá ustanovení platných účetních předpisů, zejména v oblasti vyřazování dlouhodobého majetku a předfinancování výdajů, které jsou kryty prostředky z rozpočtu EU, byla v roce 2011 u organizačních složek státu nejasně aplikovatelná</w:t>
      </w:r>
      <w:r w:rsidRPr="00EC672E">
        <w:rPr>
          <w:rStyle w:val="Znakapoznpodarou"/>
          <w:rFonts w:ascii="Arial" w:eastAsiaTheme="majorEastAsia" w:hAnsi="Arial" w:cs="Arial"/>
          <w:sz w:val="22"/>
          <w:szCs w:val="22"/>
        </w:rPr>
        <w:footnoteReference w:id="6"/>
      </w:r>
      <w:r w:rsidRPr="00EC672E">
        <w:rPr>
          <w:rFonts w:ascii="Arial" w:hAnsi="Arial" w:cs="Arial"/>
          <w:sz w:val="22"/>
          <w:szCs w:val="22"/>
        </w:rPr>
        <w:t xml:space="preserve">. Kontrolou byly v této souvislosti identifikovány a vyčísleny údaje účetní závěrky MD k 31. </w:t>
      </w:r>
      <w:r w:rsidR="00FC3A4B" w:rsidRPr="00EC672E">
        <w:rPr>
          <w:rFonts w:ascii="Arial" w:hAnsi="Arial" w:cs="Arial"/>
          <w:sz w:val="22"/>
          <w:szCs w:val="22"/>
        </w:rPr>
        <w:t xml:space="preserve">prosinci 2011 </w:t>
      </w:r>
      <w:r w:rsidR="00B57CBD" w:rsidRPr="00EC672E">
        <w:rPr>
          <w:rFonts w:ascii="Arial" w:hAnsi="Arial" w:cs="Arial"/>
          <w:sz w:val="22"/>
          <w:szCs w:val="22"/>
        </w:rPr>
        <w:t>(</w:t>
      </w:r>
      <w:r w:rsidR="00FC3A4B" w:rsidRPr="00EC672E">
        <w:rPr>
          <w:rFonts w:ascii="Arial" w:hAnsi="Arial" w:cs="Arial"/>
          <w:sz w:val="22"/>
          <w:szCs w:val="22"/>
        </w:rPr>
        <w:t>viz tabulka č. 7</w:t>
      </w:r>
      <w:r w:rsidR="00B57CBD" w:rsidRPr="00EC672E">
        <w:rPr>
          <w:rFonts w:ascii="Arial" w:hAnsi="Arial" w:cs="Arial"/>
          <w:sz w:val="22"/>
          <w:szCs w:val="22"/>
        </w:rPr>
        <w:t>)</w:t>
      </w:r>
      <w:r w:rsidR="00FC3A4B" w:rsidRPr="00EC672E">
        <w:rPr>
          <w:rFonts w:ascii="Arial" w:hAnsi="Arial" w:cs="Arial"/>
          <w:sz w:val="22"/>
          <w:szCs w:val="22"/>
        </w:rPr>
        <w:t xml:space="preserve">, </w:t>
      </w:r>
      <w:r w:rsidR="00FC3A4B" w:rsidRPr="00EC672E">
        <w:rPr>
          <w:rFonts w:ascii="Arial" w:hAnsi="Arial" w:cs="Arial"/>
          <w:sz w:val="22"/>
          <w:szCs w:val="22"/>
        </w:rPr>
        <w:lastRenderedPageBreak/>
        <w:t>u </w:t>
      </w:r>
      <w:r w:rsidRPr="00EC672E">
        <w:rPr>
          <w:rFonts w:ascii="Arial" w:hAnsi="Arial" w:cs="Arial"/>
          <w:sz w:val="22"/>
          <w:szCs w:val="22"/>
        </w:rPr>
        <w:t>nichž NKÚ nevyhodnotil správnost aplikace účetních předpisů, a to právě z důvodu jejich nejasnosti a nejednoznačnosti (podrobněji viz část 1.1.1 tohoto kontrolního závěru).</w:t>
      </w:r>
    </w:p>
    <w:p w:rsidR="00696779" w:rsidRPr="00EC672E" w:rsidRDefault="00696779" w:rsidP="00A37297">
      <w:pPr>
        <w:tabs>
          <w:tab w:val="left" w:pos="8505"/>
        </w:tabs>
        <w:ind w:right="-284"/>
        <w:rPr>
          <w:rFonts w:ascii="Arial" w:hAnsi="Arial" w:cs="Arial"/>
          <w:bCs/>
          <w:sz w:val="22"/>
        </w:rPr>
      </w:pPr>
    </w:p>
    <w:p w:rsidR="00696779" w:rsidRPr="00EC672E" w:rsidRDefault="00FF6FFE" w:rsidP="00A37297">
      <w:pPr>
        <w:tabs>
          <w:tab w:val="left" w:pos="8364"/>
        </w:tabs>
        <w:spacing w:after="40"/>
        <w:ind w:left="1559" w:hanging="1559"/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Tabulka č. </w:t>
      </w:r>
      <w:r w:rsidR="00696779" w:rsidRPr="00EC672E">
        <w:rPr>
          <w:rFonts w:ascii="Arial" w:hAnsi="Arial" w:cs="Arial"/>
          <w:b/>
          <w:sz w:val="22"/>
        </w:rPr>
        <w:t>7 –</w:t>
      </w:r>
      <w:r w:rsidR="0067476E" w:rsidRPr="00EC672E">
        <w:rPr>
          <w:rFonts w:ascii="Arial" w:hAnsi="Arial" w:cs="Arial"/>
          <w:b/>
          <w:sz w:val="22"/>
        </w:rPr>
        <w:tab/>
      </w:r>
      <w:r w:rsidR="00696779" w:rsidRPr="00EC672E">
        <w:rPr>
          <w:rFonts w:ascii="Arial" w:hAnsi="Arial" w:cs="Arial"/>
          <w:b/>
          <w:sz w:val="22"/>
        </w:rPr>
        <w:t xml:space="preserve">Údaje </w:t>
      </w:r>
      <w:proofErr w:type="spellStart"/>
      <w:r w:rsidR="00696779" w:rsidRPr="00EC672E">
        <w:rPr>
          <w:rFonts w:ascii="Arial" w:hAnsi="Arial" w:cs="Arial"/>
          <w:b/>
          <w:sz w:val="22"/>
        </w:rPr>
        <w:t>ÚZ</w:t>
      </w:r>
      <w:proofErr w:type="spellEnd"/>
      <w:r w:rsidR="00696779" w:rsidRPr="00EC672E">
        <w:rPr>
          <w:rFonts w:ascii="Arial" w:hAnsi="Arial" w:cs="Arial"/>
          <w:b/>
          <w:sz w:val="22"/>
        </w:rPr>
        <w:t xml:space="preserve"> MD k 31. </w:t>
      </w:r>
      <w:r w:rsidR="00F81E4D" w:rsidRPr="00EC672E">
        <w:rPr>
          <w:rFonts w:ascii="Arial" w:hAnsi="Arial" w:cs="Arial"/>
          <w:b/>
          <w:sz w:val="22"/>
        </w:rPr>
        <w:t>prosinci</w:t>
      </w:r>
      <w:r w:rsidR="00696779" w:rsidRPr="00EC672E">
        <w:rPr>
          <w:rFonts w:ascii="Arial" w:hAnsi="Arial" w:cs="Arial"/>
          <w:b/>
          <w:sz w:val="22"/>
        </w:rPr>
        <w:t xml:space="preserve"> 2011, k jejich</w:t>
      </w:r>
      <w:r w:rsidR="00F81E4D" w:rsidRPr="00EC672E">
        <w:rPr>
          <w:rFonts w:ascii="Arial" w:hAnsi="Arial" w:cs="Arial"/>
          <w:b/>
          <w:sz w:val="22"/>
        </w:rPr>
        <w:t>ž správnosti se NKÚ nevyjadřuje</w:t>
      </w:r>
      <w:r w:rsidR="00A37297" w:rsidRPr="00EC672E">
        <w:rPr>
          <w:rFonts w:ascii="Arial" w:hAnsi="Arial" w:cs="Arial"/>
          <w:b/>
          <w:sz w:val="22"/>
        </w:rPr>
        <w:t xml:space="preserve"> </w:t>
      </w:r>
      <w:r w:rsidR="00A37297" w:rsidRPr="00EC672E">
        <w:rPr>
          <w:rFonts w:ascii="Arial" w:hAnsi="Arial" w:cs="Arial"/>
          <w:b/>
          <w:sz w:val="22"/>
        </w:rPr>
        <w:tab/>
      </w:r>
      <w:r w:rsidR="00696779" w:rsidRPr="00EC672E">
        <w:rPr>
          <w:rFonts w:ascii="Arial" w:hAnsi="Arial" w:cs="Arial"/>
          <w:b/>
          <w:sz w:val="22"/>
        </w:rPr>
        <w:t>(v Kč)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268"/>
        <w:gridCol w:w="3543"/>
      </w:tblGrid>
      <w:tr w:rsidR="00696779" w:rsidRPr="00EC672E" w:rsidTr="007454CD">
        <w:trPr>
          <w:trHeight w:val="28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Vykázaná hodnota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Hodnota, ke které se NKÚ nevyjadřuje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Podíl hodnoty, ke které se NKÚ nevyjadřuje, na celkové vykázané hodnotě</w:t>
            </w:r>
          </w:p>
        </w:tc>
      </w:tr>
      <w:tr w:rsidR="00696779" w:rsidRPr="00EC672E" w:rsidTr="007454CD">
        <w:trPr>
          <w:trHeight w:val="28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Aktiva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122 025 767 157,48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42 282 441 642,08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34,7</w:t>
            </w:r>
            <w:r w:rsidR="00F36336"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96779" w:rsidRPr="00EC672E" w:rsidTr="007454CD">
        <w:trPr>
          <w:trHeight w:val="28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Pasiva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122 025 767 157,48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19 520 153 084,64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16,0</w:t>
            </w:r>
            <w:r w:rsidR="00F36336"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96779" w:rsidRPr="00EC672E" w:rsidTr="007454CD">
        <w:trPr>
          <w:trHeight w:val="28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45 529 189 401,17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19 443 867 244,18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42,7</w:t>
            </w:r>
            <w:r w:rsidR="00F36336"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96779" w:rsidRPr="00EC672E" w:rsidTr="007454CD">
        <w:trPr>
          <w:trHeight w:val="283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34 339 224 069,22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33 284 576 379,18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96779" w:rsidRPr="00EC672E" w:rsidRDefault="00696779" w:rsidP="00A37297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96,9</w:t>
            </w:r>
            <w:r w:rsidR="00F36336"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EC672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:rsidR="00696779" w:rsidRPr="00EC672E" w:rsidRDefault="00696779" w:rsidP="00A37297">
      <w:pPr>
        <w:pStyle w:val="NadpisKZ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96779" w:rsidRPr="00EC672E" w:rsidRDefault="00696779" w:rsidP="00A37297">
      <w:pPr>
        <w:pStyle w:val="NadpisKZ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C672E">
        <w:rPr>
          <w:rFonts w:ascii="Arial" w:hAnsi="Arial" w:cs="Arial"/>
          <w:sz w:val="22"/>
          <w:szCs w:val="22"/>
        </w:rPr>
        <w:t>Ke správnosti údajů uvedených v tabulce č. 7 a vykázaných v </w:t>
      </w:r>
      <w:proofErr w:type="spellStart"/>
      <w:r w:rsidRPr="00EC672E">
        <w:rPr>
          <w:rFonts w:ascii="Arial" w:hAnsi="Arial" w:cs="Arial"/>
          <w:sz w:val="22"/>
          <w:szCs w:val="22"/>
        </w:rPr>
        <w:t>ÚZ</w:t>
      </w:r>
      <w:proofErr w:type="spellEnd"/>
      <w:r w:rsidRPr="00EC672E">
        <w:rPr>
          <w:rFonts w:ascii="Arial" w:hAnsi="Arial" w:cs="Arial"/>
          <w:sz w:val="22"/>
          <w:szCs w:val="22"/>
        </w:rPr>
        <w:t xml:space="preserve"> MD se NKÚ nevyjadřuje; rozsah těchto údajů je zásadní ve vztahu k účetní závěrce jako celku, vyhodnocení údajů </w:t>
      </w:r>
      <w:proofErr w:type="spellStart"/>
      <w:r w:rsidRPr="00EC672E">
        <w:rPr>
          <w:rFonts w:ascii="Arial" w:hAnsi="Arial" w:cs="Arial"/>
          <w:sz w:val="22"/>
          <w:szCs w:val="22"/>
        </w:rPr>
        <w:t>ÚZ</w:t>
      </w:r>
      <w:proofErr w:type="spellEnd"/>
      <w:r w:rsidRPr="00EC672E">
        <w:rPr>
          <w:rFonts w:ascii="Arial" w:hAnsi="Arial" w:cs="Arial"/>
          <w:sz w:val="22"/>
          <w:szCs w:val="22"/>
        </w:rPr>
        <w:t xml:space="preserve"> MD k 31. </w:t>
      </w:r>
      <w:r w:rsidR="00FC3A4B" w:rsidRPr="00EC672E">
        <w:rPr>
          <w:rFonts w:ascii="Arial" w:hAnsi="Arial" w:cs="Arial"/>
          <w:sz w:val="22"/>
          <w:szCs w:val="22"/>
        </w:rPr>
        <w:t>prosinci</w:t>
      </w:r>
      <w:r w:rsidRPr="00EC672E">
        <w:rPr>
          <w:rFonts w:ascii="Arial" w:hAnsi="Arial" w:cs="Arial"/>
          <w:sz w:val="22"/>
          <w:szCs w:val="22"/>
        </w:rPr>
        <w:t xml:space="preserve"> 2011 jako celku proto není možné provést.</w:t>
      </w:r>
    </w:p>
    <w:p w:rsidR="00BC23CF" w:rsidRPr="00EC672E" w:rsidRDefault="00BC23CF" w:rsidP="00A37297">
      <w:pPr>
        <w:pStyle w:val="NadpisKZ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96779" w:rsidRPr="00EC672E" w:rsidRDefault="00696779" w:rsidP="00A37297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EC672E">
        <w:rPr>
          <w:rFonts w:ascii="Arial" w:hAnsi="Arial" w:cs="Arial"/>
          <w:sz w:val="22"/>
        </w:rPr>
        <w:t xml:space="preserve">Nejednoznačnosti a nejasnosti aplikace právních předpisů v oblasti účetnictví v roce 2011 nemohou být dány k tíži MD. Zároveň však nelze ze strany NKÚ poskytnout uživatelům účetní závěrky informaci, zda účetní závěrka MD podává či nepodává věrný a poctivý obraz předmětu účetnictví a finanční situace účetní jednotky dle § 7 odst. 1 zákona o účetnictví, neboť při jiném výkladu nejednoznačných ustanovení předpisů upravujících vedení účetnictví by mohly být podány informace jiné, které by mohly </w:t>
      </w:r>
      <w:r w:rsidRPr="00EC672E">
        <w:rPr>
          <w:rFonts w:ascii="Arial" w:hAnsi="Arial" w:cs="Arial"/>
          <w:bCs/>
          <w:sz w:val="22"/>
        </w:rPr>
        <w:t xml:space="preserve">jiným </w:t>
      </w:r>
      <w:r w:rsidR="00FC3A4B" w:rsidRPr="00EC672E">
        <w:rPr>
          <w:rFonts w:ascii="Arial" w:hAnsi="Arial" w:cs="Arial"/>
          <w:bCs/>
          <w:sz w:val="22"/>
        </w:rPr>
        <w:t>způsobem ovlivnit rozhodování a </w:t>
      </w:r>
      <w:r w:rsidRPr="00EC672E">
        <w:rPr>
          <w:rFonts w:ascii="Arial" w:hAnsi="Arial" w:cs="Arial"/>
          <w:bCs/>
          <w:sz w:val="22"/>
        </w:rPr>
        <w:t>úsudek uživatele účetní závěrky. Může docházet i k tomu, že různé účetní jednotky s podobnými účetními případy budou prováděné ope</w:t>
      </w:r>
      <w:r w:rsidR="00FC3A4B" w:rsidRPr="00EC672E">
        <w:rPr>
          <w:rFonts w:ascii="Arial" w:hAnsi="Arial" w:cs="Arial"/>
          <w:bCs/>
          <w:sz w:val="22"/>
        </w:rPr>
        <w:t>race a skutečnosti zachycovat a </w:t>
      </w:r>
      <w:r w:rsidRPr="00EC672E">
        <w:rPr>
          <w:rFonts w:ascii="Arial" w:hAnsi="Arial" w:cs="Arial"/>
          <w:bCs/>
          <w:sz w:val="22"/>
        </w:rPr>
        <w:t xml:space="preserve">vykazovat odlišně, což </w:t>
      </w:r>
      <w:r w:rsidR="00E24FA4" w:rsidRPr="00EC672E">
        <w:rPr>
          <w:rFonts w:ascii="Arial" w:hAnsi="Arial" w:cs="Arial"/>
          <w:bCs/>
          <w:sz w:val="22"/>
        </w:rPr>
        <w:t>povede</w:t>
      </w:r>
      <w:r w:rsidRPr="00EC672E">
        <w:rPr>
          <w:rFonts w:ascii="Arial" w:hAnsi="Arial" w:cs="Arial"/>
          <w:bCs/>
          <w:sz w:val="22"/>
        </w:rPr>
        <w:t xml:space="preserve"> ke vzájemné nesrovnatelnosti údajů účetních závěrek.</w:t>
      </w:r>
    </w:p>
    <w:p w:rsidR="00696779" w:rsidRPr="00EC672E" w:rsidRDefault="00696779" w:rsidP="00A37297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:rsidR="00857BEF" w:rsidRPr="00EC672E" w:rsidRDefault="00696779" w:rsidP="00A3729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Při kontrole ostatních účetních případů</w:t>
      </w:r>
      <w:r w:rsidRPr="00EC672E">
        <w:rPr>
          <w:rFonts w:ascii="Arial" w:hAnsi="Arial" w:cs="Arial"/>
          <w:bCs/>
          <w:sz w:val="22"/>
        </w:rPr>
        <w:t xml:space="preserve"> vykázaných v účetní závěrce MD k 31. prosinci 2011</w:t>
      </w:r>
      <w:r w:rsidRPr="00EC672E">
        <w:rPr>
          <w:rFonts w:ascii="Arial" w:hAnsi="Arial" w:cs="Arial"/>
          <w:sz w:val="22"/>
        </w:rPr>
        <w:t>, kde nebyly identifikovány nejasnosti aplikace právních předpisů,</w:t>
      </w:r>
      <w:r w:rsidRPr="00EC672E">
        <w:rPr>
          <w:rFonts w:ascii="Arial" w:hAnsi="Arial" w:cs="Arial"/>
          <w:bCs/>
          <w:sz w:val="22"/>
        </w:rPr>
        <w:t xml:space="preserve"> NKÚ zjistil celkovou nesprávnost ve výši 46 092 112,02 Kč. </w:t>
      </w:r>
      <w:r w:rsidR="00857BEF" w:rsidRPr="00EC672E">
        <w:rPr>
          <w:rFonts w:ascii="Arial" w:hAnsi="Arial" w:cs="Arial"/>
          <w:sz w:val="22"/>
        </w:rPr>
        <w:t>Nesprávnosti se týkaly neoprávněné tvorby opravných položek k pohledávkám z vlastní činnosti, neoprávněné tvorby dohadné položky aktivní, nesprávného účtování o rezervním fondu, nesprávn</w:t>
      </w:r>
      <w:r w:rsidR="00FC3A4B" w:rsidRPr="00EC672E">
        <w:rPr>
          <w:rFonts w:ascii="Arial" w:hAnsi="Arial" w:cs="Arial"/>
          <w:sz w:val="22"/>
        </w:rPr>
        <w:t>ého nastavení dopočtu oprávek u </w:t>
      </w:r>
      <w:r w:rsidR="00857BEF" w:rsidRPr="00EC672E">
        <w:rPr>
          <w:rFonts w:ascii="Arial" w:hAnsi="Arial" w:cs="Arial"/>
          <w:sz w:val="22"/>
        </w:rPr>
        <w:t>některého majetku, nesprávné</w:t>
      </w:r>
      <w:r w:rsidR="00213832" w:rsidRPr="00EC672E">
        <w:rPr>
          <w:rFonts w:ascii="Arial" w:hAnsi="Arial" w:cs="Arial"/>
          <w:sz w:val="22"/>
        </w:rPr>
        <w:t>ho</w:t>
      </w:r>
      <w:r w:rsidR="00857BEF" w:rsidRPr="00EC672E">
        <w:rPr>
          <w:rFonts w:ascii="Arial" w:hAnsi="Arial" w:cs="Arial"/>
          <w:sz w:val="22"/>
        </w:rPr>
        <w:t xml:space="preserve"> účtování o </w:t>
      </w:r>
      <w:r w:rsidR="00213832" w:rsidRPr="00EC672E">
        <w:rPr>
          <w:rFonts w:ascii="Arial" w:hAnsi="Arial" w:cs="Arial"/>
          <w:sz w:val="22"/>
        </w:rPr>
        <w:t>transferech</w:t>
      </w:r>
      <w:r w:rsidR="00FC3A4B" w:rsidRPr="00EC672E">
        <w:rPr>
          <w:rFonts w:ascii="Arial" w:hAnsi="Arial" w:cs="Arial"/>
          <w:sz w:val="22"/>
        </w:rPr>
        <w:t>, jejichž zdrojem byly úroky</w:t>
      </w:r>
      <w:r w:rsidR="00E24FA4" w:rsidRPr="00EC672E">
        <w:rPr>
          <w:rFonts w:ascii="Arial" w:hAnsi="Arial" w:cs="Arial"/>
          <w:sz w:val="22"/>
        </w:rPr>
        <w:t>,</w:t>
      </w:r>
      <w:r w:rsidR="00FC3A4B" w:rsidRPr="00EC672E">
        <w:rPr>
          <w:rFonts w:ascii="Arial" w:hAnsi="Arial" w:cs="Arial"/>
          <w:sz w:val="22"/>
        </w:rPr>
        <w:t xml:space="preserve"> a </w:t>
      </w:r>
      <w:r w:rsidR="00213832" w:rsidRPr="00EC672E">
        <w:rPr>
          <w:rFonts w:ascii="Arial" w:hAnsi="Arial" w:cs="Arial"/>
          <w:sz w:val="22"/>
        </w:rPr>
        <w:t>nedodržení obsahového vymezení některých účtů. Dále NKÚ zjistil</w:t>
      </w:r>
      <w:r w:rsidR="00424B54" w:rsidRPr="00EC672E">
        <w:rPr>
          <w:rFonts w:ascii="Arial" w:hAnsi="Arial" w:cs="Arial"/>
          <w:sz w:val="22"/>
        </w:rPr>
        <w:t>, že MD nevedlo úplné účetnictví, protože nezaúčtovalo část nehmotného majetku</w:t>
      </w:r>
      <w:r w:rsidR="00E24FA4" w:rsidRPr="00EC672E">
        <w:rPr>
          <w:rFonts w:ascii="Arial" w:hAnsi="Arial" w:cs="Arial"/>
          <w:sz w:val="22"/>
        </w:rPr>
        <w:t>;</w:t>
      </w:r>
      <w:r w:rsidR="00424B54" w:rsidRPr="00EC672E">
        <w:rPr>
          <w:rFonts w:ascii="Arial" w:hAnsi="Arial" w:cs="Arial"/>
          <w:sz w:val="22"/>
        </w:rPr>
        <w:t xml:space="preserve"> nevedlo ani průkazné účetnictví vzhledem k tomu, že neprovedlo řádně inventarizaci, </w:t>
      </w:r>
      <w:r w:rsidR="00E24FA4" w:rsidRPr="00EC672E">
        <w:rPr>
          <w:rFonts w:ascii="Arial" w:hAnsi="Arial" w:cs="Arial"/>
          <w:sz w:val="22"/>
        </w:rPr>
        <w:t>neboť</w:t>
      </w:r>
      <w:r w:rsidR="00424B54" w:rsidRPr="00EC672E">
        <w:rPr>
          <w:rFonts w:ascii="Arial" w:hAnsi="Arial" w:cs="Arial"/>
          <w:sz w:val="22"/>
        </w:rPr>
        <w:t xml:space="preserve"> nezjistilo skutečný stav veškerého majetku. </w:t>
      </w:r>
    </w:p>
    <w:p w:rsidR="00857BEF" w:rsidRPr="00EC672E" w:rsidRDefault="00857BEF" w:rsidP="00A3729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96779" w:rsidRPr="00EC672E" w:rsidRDefault="00696779" w:rsidP="00A37297">
      <w:pPr>
        <w:rPr>
          <w:rFonts w:ascii="Arial" w:hAnsi="Arial" w:cs="Arial"/>
          <w:b/>
          <w:sz w:val="22"/>
        </w:rPr>
      </w:pPr>
      <w:r w:rsidRPr="00EC672E">
        <w:rPr>
          <w:rFonts w:ascii="Arial" w:hAnsi="Arial" w:cs="Arial"/>
          <w:b/>
          <w:sz w:val="22"/>
        </w:rPr>
        <w:t>Finanční výkazy a závěrečný účet</w:t>
      </w:r>
    </w:p>
    <w:p w:rsidR="00835033" w:rsidRPr="00EC672E" w:rsidRDefault="00835033" w:rsidP="00A37297">
      <w:pPr>
        <w:rPr>
          <w:rFonts w:ascii="Arial" w:hAnsi="Arial" w:cs="Arial"/>
          <w:sz w:val="22"/>
        </w:rPr>
      </w:pPr>
    </w:p>
    <w:p w:rsidR="00696779" w:rsidRPr="00EC672E" w:rsidRDefault="00696779" w:rsidP="00A37297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 xml:space="preserve">Kontrolou byly prověřeny také finanční výkazy MD za rok 2011. Ve výkazu pro hodnocení plnění rozpočtu byla zjištěna nesprávnost </w:t>
      </w:r>
      <w:r w:rsidR="00873D6B" w:rsidRPr="00EC672E">
        <w:rPr>
          <w:rFonts w:ascii="Arial" w:hAnsi="Arial" w:cs="Arial"/>
          <w:sz w:val="22"/>
        </w:rPr>
        <w:t>v celkové výši 63 696 626,54 Kč</w:t>
      </w:r>
      <w:r w:rsidR="00873D6B" w:rsidRPr="00EC672E">
        <w:rPr>
          <w:rFonts w:ascii="Arial" w:hAnsi="Arial" w:cs="Arial"/>
          <w:sz w:val="22"/>
        </w:rPr>
        <w:t xml:space="preserve"> </w:t>
      </w:r>
      <w:r w:rsidR="00E24FA4" w:rsidRPr="00EC672E">
        <w:rPr>
          <w:rFonts w:ascii="Arial" w:hAnsi="Arial" w:cs="Arial"/>
          <w:sz w:val="22"/>
        </w:rPr>
        <w:t>zapříčiněná chybným</w:t>
      </w:r>
      <w:r w:rsidRPr="00EC672E">
        <w:rPr>
          <w:rFonts w:ascii="Arial" w:hAnsi="Arial" w:cs="Arial"/>
          <w:sz w:val="22"/>
        </w:rPr>
        <w:t xml:space="preserve"> použití</w:t>
      </w:r>
      <w:r w:rsidR="00E24FA4" w:rsidRPr="00EC672E">
        <w:rPr>
          <w:rFonts w:ascii="Arial" w:hAnsi="Arial" w:cs="Arial"/>
          <w:sz w:val="22"/>
        </w:rPr>
        <w:t>m</w:t>
      </w:r>
      <w:r w:rsidRPr="00EC672E">
        <w:rPr>
          <w:rFonts w:ascii="Arial" w:hAnsi="Arial" w:cs="Arial"/>
          <w:sz w:val="22"/>
        </w:rPr>
        <w:t xml:space="preserve"> paragrafů rozpočtové skladby. </w:t>
      </w:r>
    </w:p>
    <w:p w:rsidR="0067476E" w:rsidRPr="00EC672E" w:rsidRDefault="0067476E" w:rsidP="00A37297">
      <w:pPr>
        <w:rPr>
          <w:rFonts w:ascii="Arial" w:hAnsi="Arial" w:cs="Arial"/>
          <w:sz w:val="22"/>
        </w:rPr>
      </w:pPr>
    </w:p>
    <w:p w:rsidR="00696779" w:rsidRPr="00EC672E" w:rsidRDefault="00696779" w:rsidP="00BC23CF">
      <w:pPr>
        <w:rPr>
          <w:rFonts w:ascii="Arial" w:hAnsi="Arial" w:cs="Arial"/>
          <w:sz w:val="22"/>
        </w:rPr>
      </w:pPr>
      <w:r w:rsidRPr="00EC672E">
        <w:rPr>
          <w:rFonts w:ascii="Arial" w:hAnsi="Arial" w:cs="Arial"/>
          <w:sz w:val="22"/>
        </w:rPr>
        <w:t>V závěrečném účtu kapitoly 327 MD za rok 2011 chyběly v rozporu s vyhláškou č.</w:t>
      </w:r>
      <w:r w:rsidR="00842B48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419/2001</w:t>
      </w:r>
      <w:r w:rsidR="00842B48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Sb.</w:t>
      </w:r>
      <w:r w:rsidR="00E24FA4" w:rsidRPr="00EC672E">
        <w:rPr>
          <w:rFonts w:ascii="Arial" w:hAnsi="Arial" w:cs="Arial"/>
          <w:sz w:val="22"/>
        </w:rPr>
        <w:t>:</w:t>
      </w:r>
      <w:r w:rsidRPr="00EC672E">
        <w:rPr>
          <w:rFonts w:ascii="Arial" w:hAnsi="Arial" w:cs="Arial"/>
          <w:sz w:val="22"/>
        </w:rPr>
        <w:t xml:space="preserve"> komentář </w:t>
      </w:r>
      <w:r w:rsidR="00E24FA4" w:rsidRPr="00EC672E">
        <w:rPr>
          <w:rFonts w:ascii="Arial" w:hAnsi="Arial" w:cs="Arial"/>
          <w:sz w:val="22"/>
        </w:rPr>
        <w:t>k </w:t>
      </w:r>
      <w:r w:rsidRPr="00EC672E">
        <w:rPr>
          <w:rFonts w:ascii="Arial" w:hAnsi="Arial" w:cs="Arial"/>
          <w:sz w:val="22"/>
        </w:rPr>
        <w:t>výdajů</w:t>
      </w:r>
      <w:r w:rsidR="00E24FA4" w:rsidRPr="00EC672E">
        <w:rPr>
          <w:rFonts w:ascii="Arial" w:hAnsi="Arial" w:cs="Arial"/>
          <w:sz w:val="22"/>
        </w:rPr>
        <w:t>m</w:t>
      </w:r>
      <w:r w:rsidRPr="00EC672E">
        <w:rPr>
          <w:rFonts w:ascii="Arial" w:hAnsi="Arial" w:cs="Arial"/>
          <w:sz w:val="22"/>
        </w:rPr>
        <w:t xml:space="preserve"> na platy a ostatní platby za provedenou práci v rámci společných programů České republiky a Evropské unie, hodnocení účelnosti kapitálových výdajů </w:t>
      </w:r>
      <w:r w:rsidR="00FC3A4B" w:rsidRPr="00EC672E">
        <w:rPr>
          <w:rFonts w:ascii="Arial" w:hAnsi="Arial" w:cs="Arial"/>
          <w:sz w:val="22"/>
        </w:rPr>
        <w:t>a </w:t>
      </w:r>
      <w:r w:rsidRPr="00EC672E">
        <w:rPr>
          <w:rFonts w:ascii="Arial" w:hAnsi="Arial" w:cs="Arial"/>
          <w:sz w:val="22"/>
        </w:rPr>
        <w:t>celkového přínosu jednotlivých činností a programů financovaných vládou a</w:t>
      </w:r>
      <w:r w:rsidR="00842B48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vyhodnocení výdajů vyplývajících z veřejných zakázek o př</w:t>
      </w:r>
      <w:r w:rsidR="00B57CBD" w:rsidRPr="00EC672E">
        <w:rPr>
          <w:rFonts w:ascii="Arial" w:hAnsi="Arial" w:cs="Arial"/>
          <w:sz w:val="22"/>
        </w:rPr>
        <w:t>edpokládané hodnotě nejméně 300 </w:t>
      </w:r>
      <w:r w:rsidRPr="00EC672E">
        <w:rPr>
          <w:rFonts w:ascii="Arial" w:hAnsi="Arial" w:cs="Arial"/>
          <w:sz w:val="22"/>
        </w:rPr>
        <w:t>mil.</w:t>
      </w:r>
      <w:r w:rsidR="00B57CBD" w:rsidRPr="00EC672E">
        <w:rPr>
          <w:rFonts w:ascii="Arial" w:hAnsi="Arial" w:cs="Arial"/>
          <w:sz w:val="22"/>
        </w:rPr>
        <w:t> </w:t>
      </w:r>
      <w:r w:rsidRPr="00EC672E">
        <w:rPr>
          <w:rFonts w:ascii="Arial" w:hAnsi="Arial" w:cs="Arial"/>
          <w:sz w:val="22"/>
        </w:rPr>
        <w:t>Kč.</w:t>
      </w:r>
    </w:p>
    <w:sectPr w:rsidR="00696779" w:rsidRPr="00EC672E" w:rsidSect="00BE783E">
      <w:headerReference w:type="default" r:id="rId11"/>
      <w:footerReference w:type="default" r:id="rId12"/>
      <w:pgSz w:w="11906" w:h="16838"/>
      <w:pgMar w:top="1417" w:right="1417" w:bottom="1417" w:left="141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9C" w:rsidRDefault="002F5F9C" w:rsidP="004C6055">
      <w:r>
        <w:separator/>
      </w:r>
    </w:p>
  </w:endnote>
  <w:endnote w:type="continuationSeparator" w:id="0">
    <w:p w:rsidR="002F5F9C" w:rsidRDefault="002F5F9C" w:rsidP="004C6055">
      <w:r>
        <w:continuationSeparator/>
      </w:r>
    </w:p>
  </w:endnote>
  <w:endnote w:type="continuationNotice" w:id="1">
    <w:p w:rsidR="002F5F9C" w:rsidRDefault="002F5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9C" w:rsidRPr="00494FF1" w:rsidRDefault="002F5F9C" w:rsidP="004016AF">
    <w:pPr>
      <w:pStyle w:val="Zpat"/>
      <w:jc w:val="center"/>
      <w:rPr>
        <w:rFonts w:ascii="Arial" w:hAnsi="Arial" w:cs="Arial"/>
        <w:sz w:val="22"/>
      </w:rPr>
    </w:pPr>
    <w:r w:rsidRPr="00494FF1">
      <w:rPr>
        <w:rFonts w:ascii="Arial" w:hAnsi="Arial" w:cs="Arial"/>
        <w:sz w:val="22"/>
      </w:rPr>
      <w:fldChar w:fldCharType="begin"/>
    </w:r>
    <w:r w:rsidRPr="00494FF1">
      <w:rPr>
        <w:rFonts w:ascii="Arial" w:hAnsi="Arial" w:cs="Arial"/>
        <w:sz w:val="22"/>
      </w:rPr>
      <w:instrText xml:space="preserve"> PAGE   \* MERGEFORMAT </w:instrText>
    </w:r>
    <w:r w:rsidRPr="00494FF1">
      <w:rPr>
        <w:rFonts w:ascii="Arial" w:hAnsi="Arial" w:cs="Arial"/>
        <w:sz w:val="22"/>
      </w:rPr>
      <w:fldChar w:fldCharType="separate"/>
    </w:r>
    <w:r w:rsidR="00185902">
      <w:rPr>
        <w:rFonts w:ascii="Arial" w:hAnsi="Arial" w:cs="Arial"/>
        <w:noProof/>
        <w:sz w:val="22"/>
      </w:rPr>
      <w:t>8</w:t>
    </w:r>
    <w:r w:rsidRPr="00494FF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9C" w:rsidRDefault="002F5F9C" w:rsidP="004C6055">
      <w:r>
        <w:separator/>
      </w:r>
    </w:p>
  </w:footnote>
  <w:footnote w:type="continuationSeparator" w:id="0">
    <w:p w:rsidR="002F5F9C" w:rsidRDefault="002F5F9C" w:rsidP="004C6055">
      <w:r>
        <w:continuationSeparator/>
      </w:r>
    </w:p>
  </w:footnote>
  <w:footnote w:type="continuationNotice" w:id="1">
    <w:p w:rsidR="002F5F9C" w:rsidRDefault="002F5F9C"/>
  </w:footnote>
  <w:footnote w:id="2">
    <w:p w:rsidR="002F5F9C" w:rsidRPr="00842B48" w:rsidRDefault="002F5F9C" w:rsidP="00842B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42B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42B48">
        <w:rPr>
          <w:rFonts w:ascii="Arial" w:hAnsi="Arial" w:cs="Arial"/>
          <w:sz w:val="18"/>
          <w:szCs w:val="18"/>
        </w:rPr>
        <w:t>Do 31. prosince 2009 byly součástí účetní závěrky také finanční výkazy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F5F9C" w:rsidRPr="001F60CD" w:rsidRDefault="002F5F9C" w:rsidP="00842B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1F60CD">
        <w:rPr>
          <w:rStyle w:val="Znakapoznpodarou"/>
          <w:rFonts w:ascii="Arial" w:hAnsi="Arial" w:cs="Arial"/>
          <w:sz w:val="18"/>
          <w:szCs w:val="18"/>
        </w:rPr>
        <w:footnoteRef/>
      </w:r>
      <w:r w:rsidRPr="001F60CD">
        <w:rPr>
          <w:rFonts w:ascii="Arial" w:hAnsi="Arial" w:cs="Arial"/>
          <w:sz w:val="18"/>
          <w:szCs w:val="18"/>
        </w:rPr>
        <w:tab/>
        <w:t xml:space="preserve">V souladu s § 1 odst. 3 zákona o účetnictví jsou vybranými účetními jednotkami </w:t>
      </w:r>
      <w:proofErr w:type="spellStart"/>
      <w:r w:rsidRPr="001F60CD">
        <w:rPr>
          <w:rFonts w:ascii="Arial" w:hAnsi="Arial" w:cs="Arial"/>
          <w:sz w:val="18"/>
          <w:szCs w:val="18"/>
        </w:rPr>
        <w:t>OSS</w:t>
      </w:r>
      <w:proofErr w:type="spellEnd"/>
      <w:r w:rsidRPr="001F60CD">
        <w:rPr>
          <w:rFonts w:ascii="Arial" w:hAnsi="Arial" w:cs="Arial"/>
          <w:sz w:val="18"/>
          <w:szCs w:val="18"/>
        </w:rPr>
        <w:t xml:space="preserve">, státní fondy podle rozpočtových pravidel, Pozemkový fond České republiky, územní samosprávné celky, dobrovolné svazky obcí, </w:t>
      </w:r>
      <w:r w:rsidR="00873D6B">
        <w:rPr>
          <w:rFonts w:ascii="Arial" w:hAnsi="Arial" w:cs="Arial"/>
          <w:sz w:val="18"/>
          <w:szCs w:val="18"/>
        </w:rPr>
        <w:t>r</w:t>
      </w:r>
      <w:r w:rsidRPr="001F60CD">
        <w:rPr>
          <w:rFonts w:ascii="Arial" w:hAnsi="Arial" w:cs="Arial"/>
          <w:sz w:val="18"/>
          <w:szCs w:val="18"/>
        </w:rPr>
        <w:t>egionální rady regionů soudržnosti, příspěvkové organizace a zdravotní pojišťovny.</w:t>
      </w:r>
    </w:p>
  </w:footnote>
  <w:footnote w:id="4">
    <w:p w:rsidR="002F5F9C" w:rsidRPr="00842B48" w:rsidRDefault="002F5F9C" w:rsidP="00842B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42B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42B48">
        <w:rPr>
          <w:rFonts w:ascii="Arial" w:hAnsi="Arial" w:cs="Arial"/>
          <w:sz w:val="18"/>
          <w:szCs w:val="18"/>
        </w:rPr>
        <w:t xml:space="preserve">Konečným příjemcem ve smyslu </w:t>
      </w:r>
      <w:proofErr w:type="spellStart"/>
      <w:r w:rsidRPr="00842B48">
        <w:rPr>
          <w:rFonts w:ascii="Arial" w:hAnsi="Arial" w:cs="Arial"/>
          <w:sz w:val="18"/>
          <w:szCs w:val="18"/>
        </w:rPr>
        <w:t>ČÚS</w:t>
      </w:r>
      <w:proofErr w:type="spellEnd"/>
      <w:r w:rsidRPr="00842B48">
        <w:rPr>
          <w:rFonts w:ascii="Arial" w:hAnsi="Arial" w:cs="Arial"/>
          <w:sz w:val="18"/>
          <w:szCs w:val="18"/>
        </w:rPr>
        <w:t xml:space="preserve"> č. 703 – </w:t>
      </w:r>
      <w:r w:rsidRPr="007A4EAE">
        <w:rPr>
          <w:rFonts w:ascii="Arial" w:hAnsi="Arial" w:cs="Arial"/>
          <w:i/>
          <w:sz w:val="18"/>
          <w:szCs w:val="18"/>
        </w:rPr>
        <w:t>Transfery</w:t>
      </w:r>
      <w:r w:rsidRPr="00842B48">
        <w:rPr>
          <w:rFonts w:ascii="Arial" w:hAnsi="Arial" w:cs="Arial"/>
          <w:sz w:val="18"/>
          <w:szCs w:val="18"/>
        </w:rPr>
        <w:t xml:space="preserve"> bylo MD jednoznačně pouze u části přijatých prostředků, jež sloužila k financování pořízení aktiv MD či </w:t>
      </w:r>
      <w:r>
        <w:rPr>
          <w:rFonts w:ascii="Arial" w:hAnsi="Arial" w:cs="Arial"/>
          <w:sz w:val="18"/>
          <w:szCs w:val="18"/>
        </w:rPr>
        <w:t>k </w:t>
      </w:r>
      <w:r w:rsidRPr="00842B48">
        <w:rPr>
          <w:rFonts w:ascii="Arial" w:hAnsi="Arial" w:cs="Arial"/>
          <w:sz w:val="18"/>
          <w:szCs w:val="18"/>
        </w:rPr>
        <w:t>úhrad</w:t>
      </w:r>
      <w:r>
        <w:rPr>
          <w:rFonts w:ascii="Arial" w:hAnsi="Arial" w:cs="Arial"/>
          <w:sz w:val="18"/>
          <w:szCs w:val="18"/>
        </w:rPr>
        <w:t>ě</w:t>
      </w:r>
      <w:r w:rsidRPr="00842B48">
        <w:rPr>
          <w:rFonts w:ascii="Arial" w:hAnsi="Arial" w:cs="Arial"/>
          <w:sz w:val="18"/>
          <w:szCs w:val="18"/>
        </w:rPr>
        <w:t xml:space="preserve"> jeho závazků, což se týká např. </w:t>
      </w:r>
      <w:r w:rsidR="00873D6B">
        <w:rPr>
          <w:rFonts w:ascii="Arial" w:hAnsi="Arial" w:cs="Arial"/>
          <w:sz w:val="18"/>
          <w:szCs w:val="18"/>
        </w:rPr>
        <w:t xml:space="preserve">operačního programu </w:t>
      </w:r>
      <w:r w:rsidRPr="007A4EAE">
        <w:rPr>
          <w:rFonts w:ascii="Arial" w:hAnsi="Arial" w:cs="Arial"/>
          <w:i/>
          <w:sz w:val="18"/>
          <w:szCs w:val="18"/>
        </w:rPr>
        <w:t>Technická pomoc</w:t>
      </w:r>
      <w:r w:rsidRPr="00842B48">
        <w:rPr>
          <w:rFonts w:ascii="Arial" w:hAnsi="Arial" w:cs="Arial"/>
          <w:sz w:val="18"/>
          <w:szCs w:val="18"/>
        </w:rPr>
        <w:t>.</w:t>
      </w:r>
    </w:p>
  </w:footnote>
  <w:footnote w:id="5">
    <w:p w:rsidR="002F5F9C" w:rsidRPr="000F3378" w:rsidRDefault="002F5F9C" w:rsidP="00842B48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0F3378">
        <w:rPr>
          <w:rStyle w:val="Znakapoznpodarou"/>
          <w:rFonts w:ascii="Arial" w:hAnsi="Arial" w:cs="Arial"/>
          <w:sz w:val="18"/>
          <w:szCs w:val="18"/>
        </w:rPr>
        <w:footnoteRef/>
      </w:r>
      <w:r w:rsidRPr="000F3378">
        <w:rPr>
          <w:rFonts w:ascii="Arial" w:hAnsi="Arial" w:cs="Arial"/>
          <w:sz w:val="18"/>
          <w:szCs w:val="18"/>
        </w:rPr>
        <w:tab/>
      </w:r>
      <w:r w:rsidRPr="000F3378">
        <w:rPr>
          <w:rFonts w:ascii="Arial" w:hAnsi="Arial" w:cs="Arial"/>
          <w:sz w:val="18"/>
          <w:szCs w:val="18"/>
          <w:lang w:eastAsia="cs-CZ"/>
        </w:rPr>
        <w:t xml:space="preserve">Vyhláškou č. 403/2011 Sb. byla s účinností od 1. ledna 2012 novelizována vyhláška č. 410/2009 Sb. a došlo </w:t>
      </w:r>
      <w:r w:rsidRPr="000F3378">
        <w:rPr>
          <w:rFonts w:ascii="Arial" w:hAnsi="Arial" w:cs="Arial"/>
          <w:sz w:val="18"/>
          <w:szCs w:val="18"/>
        </w:rPr>
        <w:t>k odstranění uvedených nedostatků v účetní regulaci.</w:t>
      </w:r>
    </w:p>
  </w:footnote>
  <w:footnote w:id="6">
    <w:p w:rsidR="002F5F9C" w:rsidRPr="00842B48" w:rsidRDefault="002F5F9C" w:rsidP="00842B4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842B4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42B48">
        <w:rPr>
          <w:rFonts w:ascii="Arial" w:hAnsi="Arial" w:cs="Arial"/>
          <w:bCs/>
          <w:sz w:val="18"/>
          <w:szCs w:val="18"/>
        </w:rPr>
        <w:t xml:space="preserve">Obdobné vyhodnocení bylo uvedeno také v kontrolním závěru </w:t>
      </w:r>
      <w:r>
        <w:rPr>
          <w:rFonts w:ascii="Arial" w:hAnsi="Arial" w:cs="Arial"/>
          <w:bCs/>
          <w:sz w:val="18"/>
          <w:szCs w:val="18"/>
        </w:rPr>
        <w:t>z kontrolní akce</w:t>
      </w:r>
      <w:r w:rsidRPr="00842B48">
        <w:rPr>
          <w:rFonts w:ascii="Arial" w:hAnsi="Arial" w:cs="Arial"/>
          <w:bCs/>
          <w:sz w:val="18"/>
          <w:szCs w:val="18"/>
        </w:rPr>
        <w:t xml:space="preserve"> č. 11/29 – </w:t>
      </w:r>
      <w:r w:rsidRPr="0064125A">
        <w:rPr>
          <w:rFonts w:ascii="Arial" w:hAnsi="Arial" w:cs="Arial"/>
          <w:bCs/>
          <w:i/>
          <w:sz w:val="18"/>
          <w:szCs w:val="18"/>
        </w:rPr>
        <w:t>Závěrečný účet kapitoly státního rozpočtu Ministerstvo školství, mládeže a tělovýchovy za rok 2011</w:t>
      </w:r>
      <w:r w:rsidRPr="00842B48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(Kontrolní závěr byl zveřejněn </w:t>
      </w:r>
      <w:r w:rsidR="00873D6B">
        <w:rPr>
          <w:rFonts w:ascii="Arial" w:hAnsi="Arial" w:cs="Arial"/>
          <w:bCs/>
          <w:sz w:val="18"/>
          <w:szCs w:val="18"/>
        </w:rPr>
        <w:t xml:space="preserve">v </w:t>
      </w:r>
      <w:r w:rsidR="00873D6B">
        <w:rPr>
          <w:rFonts w:ascii="Arial" w:hAnsi="Arial" w:cs="Arial"/>
          <w:bCs/>
          <w:sz w:val="18"/>
          <w:szCs w:val="18"/>
        </w:rPr>
        <w:t>č</w:t>
      </w:r>
      <w:r w:rsidR="00873D6B">
        <w:rPr>
          <w:rFonts w:ascii="Arial" w:hAnsi="Arial" w:cs="Arial"/>
          <w:bCs/>
          <w:sz w:val="18"/>
          <w:szCs w:val="18"/>
        </w:rPr>
        <w:t>ástce</w:t>
      </w:r>
      <w:r w:rsidR="00873D6B">
        <w:rPr>
          <w:rFonts w:ascii="Arial" w:hAnsi="Arial" w:cs="Arial"/>
          <w:bCs/>
          <w:sz w:val="18"/>
          <w:szCs w:val="18"/>
        </w:rPr>
        <w:t> 3/2012</w:t>
      </w:r>
      <w:r w:rsidR="00873D6B">
        <w:rPr>
          <w:rFonts w:ascii="Arial" w:hAnsi="Arial" w:cs="Arial"/>
          <w:bCs/>
          <w:sz w:val="18"/>
          <w:szCs w:val="18"/>
        </w:rPr>
        <w:t xml:space="preserve"> </w:t>
      </w:r>
      <w:r w:rsidRPr="00873D6B">
        <w:rPr>
          <w:rFonts w:ascii="Arial" w:hAnsi="Arial" w:cs="Arial"/>
          <w:bCs/>
          <w:i/>
          <w:sz w:val="18"/>
          <w:szCs w:val="18"/>
        </w:rPr>
        <w:t>Věstníku NKÚ</w:t>
      </w:r>
      <w:r>
        <w:rPr>
          <w:rFonts w:ascii="Arial" w:hAnsi="Arial" w:cs="Arial"/>
          <w:bCs/>
          <w:sz w:val="18"/>
          <w:szCs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9C" w:rsidRDefault="002F5F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6C53FB"/>
    <w:multiLevelType w:val="hybridMultilevel"/>
    <w:tmpl w:val="A998A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84C"/>
    <w:multiLevelType w:val="hybridMultilevel"/>
    <w:tmpl w:val="8BBE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2F95"/>
    <w:multiLevelType w:val="hybridMultilevel"/>
    <w:tmpl w:val="B194F0C6"/>
    <w:lvl w:ilvl="0" w:tplc="04050001">
      <w:start w:val="1"/>
      <w:numFmt w:val="bullet"/>
      <w:lvlText w:val=""/>
      <w:lvlJc w:val="left"/>
      <w:pPr>
        <w:tabs>
          <w:tab w:val="num" w:pos="1104"/>
        </w:tabs>
        <w:ind w:left="1104" w:hanging="6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E1574A5"/>
    <w:multiLevelType w:val="hybridMultilevel"/>
    <w:tmpl w:val="345282C0"/>
    <w:lvl w:ilvl="0" w:tplc="66B2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46F8"/>
    <w:multiLevelType w:val="hybridMultilevel"/>
    <w:tmpl w:val="1FC8B43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0EA2"/>
    <w:multiLevelType w:val="hybridMultilevel"/>
    <w:tmpl w:val="3872EA4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8A066BA"/>
    <w:multiLevelType w:val="hybridMultilevel"/>
    <w:tmpl w:val="E2DCA0D4"/>
    <w:lvl w:ilvl="0" w:tplc="E75693A0">
      <w:start w:val="10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206F76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125508B"/>
    <w:multiLevelType w:val="multilevel"/>
    <w:tmpl w:val="46242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2CB0D8E"/>
    <w:multiLevelType w:val="hybridMultilevel"/>
    <w:tmpl w:val="7F0A02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4608E"/>
    <w:multiLevelType w:val="hybridMultilevel"/>
    <w:tmpl w:val="D1A2C9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331BC"/>
    <w:multiLevelType w:val="hybridMultilevel"/>
    <w:tmpl w:val="4DD44FA0"/>
    <w:lvl w:ilvl="0" w:tplc="84485058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3857"/>
    <w:multiLevelType w:val="hybridMultilevel"/>
    <w:tmpl w:val="F730AB72"/>
    <w:lvl w:ilvl="0" w:tplc="04050001">
      <w:start w:val="1"/>
      <w:numFmt w:val="bullet"/>
      <w:lvlText w:val=""/>
      <w:lvlJc w:val="left"/>
      <w:pPr>
        <w:tabs>
          <w:tab w:val="num" w:pos="1104"/>
        </w:tabs>
        <w:ind w:left="1104" w:hanging="6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8D05B4F"/>
    <w:multiLevelType w:val="multilevel"/>
    <w:tmpl w:val="0F02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9B689F"/>
    <w:multiLevelType w:val="hybridMultilevel"/>
    <w:tmpl w:val="93663E18"/>
    <w:lvl w:ilvl="0" w:tplc="84485058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8645D"/>
    <w:multiLevelType w:val="hybridMultilevel"/>
    <w:tmpl w:val="13DADA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5DAA"/>
    <w:multiLevelType w:val="hybridMultilevel"/>
    <w:tmpl w:val="391A1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A35ED"/>
    <w:multiLevelType w:val="hybridMultilevel"/>
    <w:tmpl w:val="764018AE"/>
    <w:lvl w:ilvl="0" w:tplc="C26066D6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27C43"/>
    <w:multiLevelType w:val="hybridMultilevel"/>
    <w:tmpl w:val="FAEAA224"/>
    <w:lvl w:ilvl="0" w:tplc="ADA2A1E2">
      <w:start w:val="3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A115B29"/>
    <w:multiLevelType w:val="hybridMultilevel"/>
    <w:tmpl w:val="12083086"/>
    <w:lvl w:ilvl="0" w:tplc="F2C287C4">
      <w:start w:val="34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128AA"/>
    <w:multiLevelType w:val="hybridMultilevel"/>
    <w:tmpl w:val="F508D6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535BA1"/>
    <w:multiLevelType w:val="hybridMultilevel"/>
    <w:tmpl w:val="F43E8DA0"/>
    <w:lvl w:ilvl="0" w:tplc="1594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267A7"/>
    <w:multiLevelType w:val="hybridMultilevel"/>
    <w:tmpl w:val="5B8C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1773"/>
    <w:multiLevelType w:val="multilevel"/>
    <w:tmpl w:val="85EC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46AA2123"/>
    <w:multiLevelType w:val="hybridMultilevel"/>
    <w:tmpl w:val="EBA6E5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D6AAD"/>
    <w:multiLevelType w:val="hybridMultilevel"/>
    <w:tmpl w:val="C1C65A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196D8F"/>
    <w:multiLevelType w:val="hybridMultilevel"/>
    <w:tmpl w:val="992EF01E"/>
    <w:lvl w:ilvl="0" w:tplc="84485058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7374C"/>
    <w:multiLevelType w:val="hybridMultilevel"/>
    <w:tmpl w:val="20B88A78"/>
    <w:lvl w:ilvl="0" w:tplc="84485058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40F13"/>
    <w:multiLevelType w:val="hybridMultilevel"/>
    <w:tmpl w:val="B666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2587E"/>
    <w:multiLevelType w:val="hybridMultilevel"/>
    <w:tmpl w:val="66F2D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A5462"/>
    <w:multiLevelType w:val="hybridMultilevel"/>
    <w:tmpl w:val="1144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54CB4"/>
    <w:multiLevelType w:val="hybridMultilevel"/>
    <w:tmpl w:val="BBE4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039C1"/>
    <w:multiLevelType w:val="hybridMultilevel"/>
    <w:tmpl w:val="BBD434E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F44C73"/>
    <w:multiLevelType w:val="hybridMultilevel"/>
    <w:tmpl w:val="F1946968"/>
    <w:lvl w:ilvl="0" w:tplc="04050001">
      <w:start w:val="1"/>
      <w:numFmt w:val="bullet"/>
      <w:lvlText w:val=""/>
      <w:lvlJc w:val="left"/>
      <w:pPr>
        <w:tabs>
          <w:tab w:val="num" w:pos="1104"/>
        </w:tabs>
        <w:ind w:left="1104" w:hanging="6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AB43C26"/>
    <w:multiLevelType w:val="hybridMultilevel"/>
    <w:tmpl w:val="8702C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90E3C"/>
    <w:multiLevelType w:val="hybridMultilevel"/>
    <w:tmpl w:val="FEAC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73E"/>
    <w:multiLevelType w:val="hybridMultilevel"/>
    <w:tmpl w:val="E1FA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6569"/>
    <w:multiLevelType w:val="hybridMultilevel"/>
    <w:tmpl w:val="690EC3FA"/>
    <w:lvl w:ilvl="0" w:tplc="84485058">
      <w:start w:val="1"/>
      <w:numFmt w:val="bullet"/>
      <w:lvlText w:val="–"/>
      <w:lvlJc w:val="left"/>
      <w:pPr>
        <w:tabs>
          <w:tab w:val="num" w:pos="1104"/>
        </w:tabs>
        <w:ind w:left="1104" w:hanging="684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9A515A"/>
    <w:multiLevelType w:val="hybridMultilevel"/>
    <w:tmpl w:val="859A0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C0F71"/>
    <w:multiLevelType w:val="hybridMultilevel"/>
    <w:tmpl w:val="2F3C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8"/>
  </w:num>
  <w:num w:numId="5">
    <w:abstractNumId w:val="24"/>
  </w:num>
  <w:num w:numId="6">
    <w:abstractNumId w:val="9"/>
  </w:num>
  <w:num w:numId="7">
    <w:abstractNumId w:val="40"/>
  </w:num>
  <w:num w:numId="8">
    <w:abstractNumId w:val="20"/>
  </w:num>
  <w:num w:numId="9">
    <w:abstractNumId w:val="34"/>
  </w:num>
  <w:num w:numId="10">
    <w:abstractNumId w:val="13"/>
  </w:num>
  <w:num w:numId="11">
    <w:abstractNumId w:val="3"/>
  </w:num>
  <w:num w:numId="12">
    <w:abstractNumId w:val="31"/>
  </w:num>
  <w:num w:numId="13">
    <w:abstractNumId w:val="6"/>
  </w:num>
  <w:num w:numId="14">
    <w:abstractNumId w:val="17"/>
  </w:num>
  <w:num w:numId="15">
    <w:abstractNumId w:val="36"/>
  </w:num>
  <w:num w:numId="16">
    <w:abstractNumId w:val="10"/>
  </w:num>
  <w:num w:numId="17">
    <w:abstractNumId w:val="33"/>
  </w:num>
  <w:num w:numId="18">
    <w:abstractNumId w:val="11"/>
  </w:num>
  <w:num w:numId="19">
    <w:abstractNumId w:val="26"/>
  </w:num>
  <w:num w:numId="20">
    <w:abstractNumId w:val="21"/>
  </w:num>
  <w:num w:numId="21">
    <w:abstractNumId w:val="0"/>
  </w:num>
  <w:num w:numId="22">
    <w:abstractNumId w:val="4"/>
  </w:num>
  <w:num w:numId="23">
    <w:abstractNumId w:val="22"/>
  </w:num>
  <w:num w:numId="24">
    <w:abstractNumId w:val="5"/>
  </w:num>
  <w:num w:numId="25">
    <w:abstractNumId w:val="23"/>
  </w:num>
  <w:num w:numId="26">
    <w:abstractNumId w:val="29"/>
  </w:num>
  <w:num w:numId="27">
    <w:abstractNumId w:val="2"/>
  </w:num>
  <w:num w:numId="28">
    <w:abstractNumId w:val="39"/>
  </w:num>
  <w:num w:numId="29">
    <w:abstractNumId w:val="16"/>
  </w:num>
  <w:num w:numId="30">
    <w:abstractNumId w:val="37"/>
  </w:num>
  <w:num w:numId="31">
    <w:abstractNumId w:val="32"/>
  </w:num>
  <w:num w:numId="32">
    <w:abstractNumId w:val="35"/>
  </w:num>
  <w:num w:numId="33">
    <w:abstractNumId w:val="25"/>
  </w:num>
  <w:num w:numId="34">
    <w:abstractNumId w:val="19"/>
  </w:num>
  <w:num w:numId="35">
    <w:abstractNumId w:val="18"/>
  </w:num>
  <w:num w:numId="36">
    <w:abstractNumId w:val="15"/>
  </w:num>
  <w:num w:numId="37">
    <w:abstractNumId w:val="38"/>
  </w:num>
  <w:num w:numId="38">
    <w:abstractNumId w:val="27"/>
  </w:num>
  <w:num w:numId="39">
    <w:abstractNumId w:val="12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5"/>
    <w:rsid w:val="00025A35"/>
    <w:rsid w:val="00027352"/>
    <w:rsid w:val="000312B7"/>
    <w:rsid w:val="00033499"/>
    <w:rsid w:val="000663D7"/>
    <w:rsid w:val="0007407A"/>
    <w:rsid w:val="00074E7E"/>
    <w:rsid w:val="000C007F"/>
    <w:rsid w:val="000C05F5"/>
    <w:rsid w:val="000C24F1"/>
    <w:rsid w:val="000D1366"/>
    <w:rsid w:val="000E1E88"/>
    <w:rsid w:val="000E38AC"/>
    <w:rsid w:val="000F3378"/>
    <w:rsid w:val="00100CEC"/>
    <w:rsid w:val="001212C8"/>
    <w:rsid w:val="001467B9"/>
    <w:rsid w:val="0015010F"/>
    <w:rsid w:val="0018055E"/>
    <w:rsid w:val="00185902"/>
    <w:rsid w:val="001875CD"/>
    <w:rsid w:val="001A77CA"/>
    <w:rsid w:val="001B5865"/>
    <w:rsid w:val="001D446C"/>
    <w:rsid w:val="001F60CD"/>
    <w:rsid w:val="00207776"/>
    <w:rsid w:val="00213832"/>
    <w:rsid w:val="00223428"/>
    <w:rsid w:val="002364C9"/>
    <w:rsid w:val="00244903"/>
    <w:rsid w:val="0024528B"/>
    <w:rsid w:val="002528A7"/>
    <w:rsid w:val="00271E01"/>
    <w:rsid w:val="00281DF1"/>
    <w:rsid w:val="002C584D"/>
    <w:rsid w:val="002F5F9C"/>
    <w:rsid w:val="0031199F"/>
    <w:rsid w:val="0032660F"/>
    <w:rsid w:val="00333386"/>
    <w:rsid w:val="003565F2"/>
    <w:rsid w:val="00370109"/>
    <w:rsid w:val="003A23C2"/>
    <w:rsid w:val="003D57E5"/>
    <w:rsid w:val="004016AF"/>
    <w:rsid w:val="00411BA0"/>
    <w:rsid w:val="00424B54"/>
    <w:rsid w:val="00441DE2"/>
    <w:rsid w:val="00447553"/>
    <w:rsid w:val="00456FB8"/>
    <w:rsid w:val="00457CAD"/>
    <w:rsid w:val="00487299"/>
    <w:rsid w:val="004A1A36"/>
    <w:rsid w:val="004B16DB"/>
    <w:rsid w:val="004C0B7B"/>
    <w:rsid w:val="004C6055"/>
    <w:rsid w:val="004E6B66"/>
    <w:rsid w:val="004E7665"/>
    <w:rsid w:val="00512BE3"/>
    <w:rsid w:val="0051689A"/>
    <w:rsid w:val="00526015"/>
    <w:rsid w:val="00543D1D"/>
    <w:rsid w:val="005720C0"/>
    <w:rsid w:val="0058038A"/>
    <w:rsid w:val="0058348B"/>
    <w:rsid w:val="005A49F7"/>
    <w:rsid w:val="005D2ADB"/>
    <w:rsid w:val="006023B5"/>
    <w:rsid w:val="00631AF9"/>
    <w:rsid w:val="0063753F"/>
    <w:rsid w:val="0064125A"/>
    <w:rsid w:val="006651F7"/>
    <w:rsid w:val="0067476E"/>
    <w:rsid w:val="00696779"/>
    <w:rsid w:val="006A15CA"/>
    <w:rsid w:val="006A3DD4"/>
    <w:rsid w:val="006B0BD4"/>
    <w:rsid w:val="006E3BF6"/>
    <w:rsid w:val="006F70CA"/>
    <w:rsid w:val="0070134D"/>
    <w:rsid w:val="007454CD"/>
    <w:rsid w:val="007516A4"/>
    <w:rsid w:val="00765D00"/>
    <w:rsid w:val="00767F41"/>
    <w:rsid w:val="007778B6"/>
    <w:rsid w:val="007818DC"/>
    <w:rsid w:val="007A3D09"/>
    <w:rsid w:val="007A4EAE"/>
    <w:rsid w:val="007B39E0"/>
    <w:rsid w:val="007D2A7A"/>
    <w:rsid w:val="007E0CC8"/>
    <w:rsid w:val="007E5D74"/>
    <w:rsid w:val="007F5B4E"/>
    <w:rsid w:val="00816E00"/>
    <w:rsid w:val="008342F9"/>
    <w:rsid w:val="00835033"/>
    <w:rsid w:val="00837CD8"/>
    <w:rsid w:val="00842B48"/>
    <w:rsid w:val="00844829"/>
    <w:rsid w:val="00857BEF"/>
    <w:rsid w:val="00872996"/>
    <w:rsid w:val="00873D6B"/>
    <w:rsid w:val="00881FAA"/>
    <w:rsid w:val="00891096"/>
    <w:rsid w:val="008B679E"/>
    <w:rsid w:val="008E1363"/>
    <w:rsid w:val="008F7CF0"/>
    <w:rsid w:val="00902FCE"/>
    <w:rsid w:val="009360AF"/>
    <w:rsid w:val="009437D0"/>
    <w:rsid w:val="00944F2E"/>
    <w:rsid w:val="00956338"/>
    <w:rsid w:val="009738B9"/>
    <w:rsid w:val="009A1267"/>
    <w:rsid w:val="009B0500"/>
    <w:rsid w:val="009B746B"/>
    <w:rsid w:val="009D0C0E"/>
    <w:rsid w:val="009D3F82"/>
    <w:rsid w:val="009F148D"/>
    <w:rsid w:val="00A25C1D"/>
    <w:rsid w:val="00A30843"/>
    <w:rsid w:val="00A30C69"/>
    <w:rsid w:val="00A33DCF"/>
    <w:rsid w:val="00A344E6"/>
    <w:rsid w:val="00A37297"/>
    <w:rsid w:val="00A421F7"/>
    <w:rsid w:val="00A62C03"/>
    <w:rsid w:val="00A635FE"/>
    <w:rsid w:val="00A8446B"/>
    <w:rsid w:val="00A909A1"/>
    <w:rsid w:val="00AB3CC4"/>
    <w:rsid w:val="00AD084B"/>
    <w:rsid w:val="00AD5E83"/>
    <w:rsid w:val="00AE33F1"/>
    <w:rsid w:val="00B2171D"/>
    <w:rsid w:val="00B376A4"/>
    <w:rsid w:val="00B531C4"/>
    <w:rsid w:val="00B540A7"/>
    <w:rsid w:val="00B57CA7"/>
    <w:rsid w:val="00B57CBD"/>
    <w:rsid w:val="00B70FB0"/>
    <w:rsid w:val="00B73699"/>
    <w:rsid w:val="00BA01E8"/>
    <w:rsid w:val="00BA3932"/>
    <w:rsid w:val="00BA4CDE"/>
    <w:rsid w:val="00BC23CF"/>
    <w:rsid w:val="00BE783E"/>
    <w:rsid w:val="00C11E9A"/>
    <w:rsid w:val="00C12D40"/>
    <w:rsid w:val="00C16211"/>
    <w:rsid w:val="00C30F16"/>
    <w:rsid w:val="00C345C6"/>
    <w:rsid w:val="00C4787C"/>
    <w:rsid w:val="00C57592"/>
    <w:rsid w:val="00C80108"/>
    <w:rsid w:val="00C80AE3"/>
    <w:rsid w:val="00C850E9"/>
    <w:rsid w:val="00C851E1"/>
    <w:rsid w:val="00C950D6"/>
    <w:rsid w:val="00CA7EAB"/>
    <w:rsid w:val="00CC0FB6"/>
    <w:rsid w:val="00CC34E6"/>
    <w:rsid w:val="00CD1602"/>
    <w:rsid w:val="00CD429E"/>
    <w:rsid w:val="00CE3EB8"/>
    <w:rsid w:val="00D260D6"/>
    <w:rsid w:val="00D43102"/>
    <w:rsid w:val="00D60AE7"/>
    <w:rsid w:val="00D63B50"/>
    <w:rsid w:val="00D831CC"/>
    <w:rsid w:val="00D85151"/>
    <w:rsid w:val="00DB1F3B"/>
    <w:rsid w:val="00DC4149"/>
    <w:rsid w:val="00E00B31"/>
    <w:rsid w:val="00E0590A"/>
    <w:rsid w:val="00E21F48"/>
    <w:rsid w:val="00E24FA4"/>
    <w:rsid w:val="00E4647D"/>
    <w:rsid w:val="00E5116A"/>
    <w:rsid w:val="00E61940"/>
    <w:rsid w:val="00E662B0"/>
    <w:rsid w:val="00E7207B"/>
    <w:rsid w:val="00E80E40"/>
    <w:rsid w:val="00E86415"/>
    <w:rsid w:val="00E9065C"/>
    <w:rsid w:val="00EA7F62"/>
    <w:rsid w:val="00EB3BD0"/>
    <w:rsid w:val="00EC1D27"/>
    <w:rsid w:val="00EC672E"/>
    <w:rsid w:val="00F35991"/>
    <w:rsid w:val="00F36336"/>
    <w:rsid w:val="00F501E8"/>
    <w:rsid w:val="00F81E4D"/>
    <w:rsid w:val="00F92C37"/>
    <w:rsid w:val="00F96921"/>
    <w:rsid w:val="00FC3A4B"/>
    <w:rsid w:val="00FC5A79"/>
    <w:rsid w:val="00FD3702"/>
    <w:rsid w:val="00FE634C"/>
    <w:rsid w:val="00FF1A10"/>
    <w:rsid w:val="00FF449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basedOn w:val="Standardnpsmoodstav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6055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605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5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5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5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605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5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5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rážky"/>
    <w:basedOn w:val="Normln"/>
    <w:uiPriority w:val="34"/>
    <w:qFormat/>
    <w:rsid w:val="004C6055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basedOn w:val="Standardnpsmoodstav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57454-A660-4554-B98C-1AF7CB6A6995}"/>
</file>

<file path=customXml/itemProps2.xml><?xml version="1.0" encoding="utf-8"?>
<ds:datastoreItem xmlns:ds="http://schemas.openxmlformats.org/officeDocument/2006/customXml" ds:itemID="{01FE58AF-5499-44DC-BC79-7FE0734F1FEC}"/>
</file>

<file path=customXml/itemProps3.xml><?xml version="1.0" encoding="utf-8"?>
<ds:datastoreItem xmlns:ds="http://schemas.openxmlformats.org/officeDocument/2006/customXml" ds:itemID="{9F92BDFC-3BF4-4206-9CB5-A5F9399050DD}"/>
</file>

<file path=customXml/itemProps4.xml><?xml version="1.0" encoding="utf-8"?>
<ds:datastoreItem xmlns:ds="http://schemas.openxmlformats.org/officeDocument/2006/customXml" ds:itemID="{21CB8882-C31F-482F-B044-371A54698F3C}"/>
</file>

<file path=customXml/itemProps5.xml><?xml version="1.0" encoding="utf-8"?>
<ds:datastoreItem xmlns:ds="http://schemas.openxmlformats.org/officeDocument/2006/customXml" ds:itemID="{910E2D1A-2DDF-45BA-8E55-DF8C665AD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5282</Words>
  <Characters>31166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12/14</dc:title>
  <dc:creator>BIEDERMANNOVÁ Miroslava</dc:creator>
  <cp:lastModifiedBy>GREŠOVÁ Romana</cp:lastModifiedBy>
  <cp:revision>7</cp:revision>
  <cp:lastPrinted>2013-01-28T14:27:00Z</cp:lastPrinted>
  <dcterms:created xsi:type="dcterms:W3CDTF">2013-02-11T12:20:00Z</dcterms:created>
  <dcterms:modified xsi:type="dcterms:W3CDTF">2013-02-13T09:31:00Z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