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A032F8" w:rsidRDefault="0097250A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A032F8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0E3C861" wp14:editId="4D8B139E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A032F8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A032F8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A032F8" w:rsidRDefault="00E47DAC" w:rsidP="00E624ED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A032F8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A032F8" w:rsidRDefault="007C5432" w:rsidP="00E624ED">
      <w:pPr>
        <w:jc w:val="center"/>
        <w:rPr>
          <w:sz w:val="22"/>
          <w:szCs w:val="22"/>
        </w:rPr>
      </w:pPr>
    </w:p>
    <w:p w:rsidR="00E47DAC" w:rsidRPr="00A032F8" w:rsidRDefault="004379AD" w:rsidP="00E624ED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A032F8">
        <w:rPr>
          <w:rFonts w:cs="Arial"/>
          <w:b/>
          <w:bCs/>
          <w:sz w:val="28"/>
          <w:szCs w:val="28"/>
        </w:rPr>
        <w:t>1</w:t>
      </w:r>
      <w:r w:rsidR="008409FA" w:rsidRPr="00A032F8">
        <w:rPr>
          <w:rFonts w:cs="Arial"/>
          <w:b/>
          <w:bCs/>
          <w:sz w:val="28"/>
          <w:szCs w:val="28"/>
        </w:rPr>
        <w:t>2</w:t>
      </w:r>
      <w:r w:rsidR="00553974" w:rsidRPr="00A032F8">
        <w:rPr>
          <w:rFonts w:cs="Arial"/>
          <w:b/>
          <w:bCs/>
          <w:sz w:val="28"/>
          <w:szCs w:val="28"/>
        </w:rPr>
        <w:t>/</w:t>
      </w:r>
      <w:r w:rsidR="006460C1" w:rsidRPr="00A032F8">
        <w:rPr>
          <w:rFonts w:cs="Arial"/>
          <w:b/>
          <w:bCs/>
          <w:sz w:val="28"/>
          <w:szCs w:val="28"/>
        </w:rPr>
        <w:t>27</w:t>
      </w:r>
    </w:p>
    <w:p w:rsidR="007C5432" w:rsidRPr="00A032F8" w:rsidRDefault="007C5432" w:rsidP="00E624ED">
      <w:pPr>
        <w:ind w:right="68"/>
        <w:jc w:val="center"/>
        <w:rPr>
          <w:rFonts w:cs="Arial"/>
          <w:b/>
          <w:bCs/>
          <w:sz w:val="22"/>
          <w:szCs w:val="22"/>
        </w:rPr>
      </w:pPr>
    </w:p>
    <w:p w:rsidR="00637B66" w:rsidRPr="00A032F8" w:rsidRDefault="008409FA" w:rsidP="00E624ED">
      <w:pPr>
        <w:jc w:val="center"/>
        <w:rPr>
          <w:rFonts w:cs="Arial"/>
          <w:b/>
          <w:sz w:val="28"/>
          <w:szCs w:val="28"/>
        </w:rPr>
      </w:pPr>
      <w:r w:rsidRPr="00A032F8">
        <w:rPr>
          <w:rFonts w:cs="Arial"/>
          <w:b/>
          <w:sz w:val="28"/>
          <w:szCs w:val="28"/>
        </w:rPr>
        <w:t xml:space="preserve">Peněžní prostředky určené na </w:t>
      </w:r>
      <w:r w:rsidR="006460C1" w:rsidRPr="00A032F8">
        <w:rPr>
          <w:rFonts w:cs="Arial"/>
          <w:b/>
          <w:sz w:val="28"/>
          <w:szCs w:val="28"/>
        </w:rPr>
        <w:t>programy</w:t>
      </w:r>
    </w:p>
    <w:p w:rsidR="006460C1" w:rsidRPr="00A032F8" w:rsidRDefault="006460C1" w:rsidP="00E624ED">
      <w:pPr>
        <w:jc w:val="center"/>
        <w:rPr>
          <w:rFonts w:cs="Arial"/>
          <w:b/>
          <w:sz w:val="28"/>
          <w:szCs w:val="28"/>
        </w:rPr>
      </w:pPr>
      <w:r w:rsidRPr="00A032F8">
        <w:rPr>
          <w:rFonts w:cs="Arial"/>
          <w:b/>
          <w:sz w:val="28"/>
          <w:szCs w:val="28"/>
        </w:rPr>
        <w:t>prevence před povodněmi</w:t>
      </w:r>
    </w:p>
    <w:p w:rsidR="00E47DAC" w:rsidRPr="00A032F8" w:rsidRDefault="00E47DAC">
      <w:pPr>
        <w:rPr>
          <w:rFonts w:cs="Arial"/>
          <w:sz w:val="22"/>
          <w:szCs w:val="22"/>
        </w:rPr>
      </w:pPr>
    </w:p>
    <w:p w:rsidR="00E47DAC" w:rsidRPr="00A032F8" w:rsidRDefault="00E47DAC">
      <w:pPr>
        <w:rPr>
          <w:rFonts w:cs="Arial"/>
          <w:sz w:val="22"/>
          <w:szCs w:val="22"/>
        </w:rPr>
      </w:pPr>
    </w:p>
    <w:p w:rsidR="00E47DAC" w:rsidRPr="00A032F8" w:rsidRDefault="00E47DAC">
      <w:pPr>
        <w:pStyle w:val="Zkladn"/>
        <w:spacing w:before="0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 w:rsidRPr="00A032F8">
        <w:rPr>
          <w:rFonts w:cs="Arial"/>
          <w:sz w:val="22"/>
          <w:szCs w:val="22"/>
        </w:rPr>
        <w:t>1</w:t>
      </w:r>
      <w:r w:rsidR="008409FA" w:rsidRPr="00A032F8">
        <w:rPr>
          <w:rFonts w:cs="Arial"/>
          <w:sz w:val="22"/>
          <w:szCs w:val="22"/>
        </w:rPr>
        <w:t>2</w:t>
      </w:r>
      <w:r w:rsidRPr="00A032F8">
        <w:rPr>
          <w:rFonts w:cs="Arial"/>
          <w:sz w:val="22"/>
          <w:szCs w:val="22"/>
        </w:rPr>
        <w:t xml:space="preserve"> pod číslem </w:t>
      </w:r>
      <w:r w:rsidR="004379AD" w:rsidRPr="00A032F8">
        <w:rPr>
          <w:rFonts w:cs="Arial"/>
          <w:sz w:val="22"/>
          <w:szCs w:val="22"/>
        </w:rPr>
        <w:t>1</w:t>
      </w:r>
      <w:r w:rsidR="008409FA" w:rsidRPr="00A032F8">
        <w:rPr>
          <w:rFonts w:cs="Arial"/>
          <w:sz w:val="22"/>
          <w:szCs w:val="22"/>
        </w:rPr>
        <w:t>2</w:t>
      </w:r>
      <w:r w:rsidRPr="00A032F8">
        <w:rPr>
          <w:rFonts w:cs="Arial"/>
          <w:sz w:val="22"/>
          <w:szCs w:val="22"/>
        </w:rPr>
        <w:t>/</w:t>
      </w:r>
      <w:r w:rsidR="006460C1" w:rsidRPr="00A032F8">
        <w:rPr>
          <w:rFonts w:cs="Arial"/>
          <w:sz w:val="22"/>
          <w:szCs w:val="22"/>
        </w:rPr>
        <w:t>27</w:t>
      </w:r>
      <w:r w:rsidRPr="00A032F8">
        <w:rPr>
          <w:rFonts w:cs="Arial"/>
          <w:sz w:val="22"/>
          <w:szCs w:val="22"/>
        </w:rPr>
        <w:t>. Kontrolní akci řídil a kontrolní</w:t>
      </w:r>
      <w:r w:rsidR="00A032F8" w:rsidRPr="00A032F8">
        <w:rPr>
          <w:rFonts w:cs="Arial"/>
          <w:sz w:val="22"/>
          <w:szCs w:val="22"/>
        </w:rPr>
        <w:t xml:space="preserve"> závěr vypracoval člen NKÚ Ing. </w:t>
      </w:r>
      <w:r w:rsidRPr="00A032F8">
        <w:rPr>
          <w:rFonts w:cs="Arial"/>
          <w:sz w:val="22"/>
          <w:szCs w:val="22"/>
        </w:rPr>
        <w:t xml:space="preserve">Jiří </w:t>
      </w:r>
      <w:r w:rsidR="00DD1F0E" w:rsidRPr="00A032F8">
        <w:rPr>
          <w:rFonts w:cs="Arial"/>
          <w:sz w:val="22"/>
          <w:szCs w:val="22"/>
        </w:rPr>
        <w:t>Adámek</w:t>
      </w:r>
      <w:r w:rsidRPr="00A032F8">
        <w:rPr>
          <w:rFonts w:cs="Arial"/>
          <w:sz w:val="22"/>
          <w:szCs w:val="22"/>
        </w:rPr>
        <w:t xml:space="preserve">. </w:t>
      </w:r>
    </w:p>
    <w:p w:rsidR="00E47DAC" w:rsidRPr="00A032F8" w:rsidRDefault="00E47DAC">
      <w:pPr>
        <w:pStyle w:val="Zkladn"/>
        <w:spacing w:before="0"/>
        <w:rPr>
          <w:rFonts w:cs="Arial"/>
          <w:sz w:val="22"/>
          <w:szCs w:val="22"/>
        </w:rPr>
      </w:pPr>
    </w:p>
    <w:p w:rsidR="00292459" w:rsidRPr="00A032F8" w:rsidRDefault="00E47DAC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Cílem kontroly bylo prověřit</w:t>
      </w:r>
      <w:r w:rsidR="008409FA" w:rsidRPr="00A032F8">
        <w:rPr>
          <w:rFonts w:cs="Arial"/>
          <w:sz w:val="22"/>
          <w:szCs w:val="22"/>
        </w:rPr>
        <w:t xml:space="preserve"> </w:t>
      </w:r>
      <w:r w:rsidR="006460C1" w:rsidRPr="00A032F8">
        <w:rPr>
          <w:rFonts w:cs="Arial"/>
          <w:sz w:val="22"/>
          <w:szCs w:val="22"/>
        </w:rPr>
        <w:t>poskytování, čerpání a použití peněžních prostředků určených na programy prevence před povodněmi.</w:t>
      </w:r>
      <w:r w:rsidR="00DD1F0E" w:rsidRPr="00A032F8">
        <w:rPr>
          <w:rFonts w:cs="Arial"/>
          <w:sz w:val="22"/>
          <w:szCs w:val="22"/>
        </w:rPr>
        <w:t xml:space="preserve"> </w:t>
      </w:r>
    </w:p>
    <w:p w:rsidR="008409FA" w:rsidRPr="00A032F8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DD1F0E" w:rsidRPr="00A032F8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Kontrolováno bylo</w:t>
      </w:r>
      <w:r w:rsidR="00637B66" w:rsidRPr="00A032F8">
        <w:rPr>
          <w:rFonts w:cs="Arial"/>
          <w:sz w:val="22"/>
          <w:szCs w:val="22"/>
        </w:rPr>
        <w:t xml:space="preserve"> </w:t>
      </w:r>
      <w:r w:rsidR="00E47DAC" w:rsidRPr="00A032F8">
        <w:rPr>
          <w:rFonts w:cs="Arial"/>
          <w:sz w:val="22"/>
          <w:szCs w:val="22"/>
        </w:rPr>
        <w:t>období</w:t>
      </w:r>
      <w:r w:rsidRPr="00A032F8">
        <w:rPr>
          <w:rFonts w:cs="Arial"/>
          <w:sz w:val="22"/>
          <w:szCs w:val="22"/>
        </w:rPr>
        <w:t xml:space="preserve"> od roku 200</w:t>
      </w:r>
      <w:r w:rsidR="006460C1" w:rsidRPr="00A032F8">
        <w:rPr>
          <w:rFonts w:cs="Arial"/>
          <w:sz w:val="22"/>
          <w:szCs w:val="22"/>
        </w:rPr>
        <w:t>7</w:t>
      </w:r>
      <w:r w:rsidRPr="00A032F8">
        <w:rPr>
          <w:rFonts w:cs="Arial"/>
          <w:sz w:val="22"/>
          <w:szCs w:val="22"/>
        </w:rPr>
        <w:t xml:space="preserve"> do </w:t>
      </w:r>
      <w:r w:rsidR="006460C1" w:rsidRPr="00A032F8">
        <w:rPr>
          <w:rFonts w:cs="Arial"/>
          <w:sz w:val="22"/>
          <w:szCs w:val="22"/>
        </w:rPr>
        <w:t>roku</w:t>
      </w:r>
      <w:r w:rsidRPr="00A032F8">
        <w:rPr>
          <w:rFonts w:cs="Arial"/>
          <w:sz w:val="22"/>
          <w:szCs w:val="22"/>
        </w:rPr>
        <w:t xml:space="preserve"> 2012</w:t>
      </w:r>
      <w:r w:rsidR="00491C48" w:rsidRPr="00A032F8">
        <w:rPr>
          <w:rFonts w:cs="Arial"/>
          <w:sz w:val="22"/>
          <w:szCs w:val="22"/>
        </w:rPr>
        <w:t>,</w:t>
      </w:r>
      <w:r w:rsidR="00E47DAC" w:rsidRPr="00A032F8">
        <w:rPr>
          <w:rFonts w:cs="Arial"/>
          <w:sz w:val="22"/>
          <w:szCs w:val="22"/>
        </w:rPr>
        <w:t xml:space="preserve"> </w:t>
      </w:r>
      <w:r w:rsidR="00A314B2" w:rsidRPr="00A032F8">
        <w:rPr>
          <w:rFonts w:cs="Arial"/>
          <w:sz w:val="22"/>
          <w:szCs w:val="22"/>
        </w:rPr>
        <w:t>v</w:t>
      </w:r>
      <w:r w:rsidR="00785380" w:rsidRPr="00A032F8">
        <w:rPr>
          <w:rFonts w:cs="Arial"/>
          <w:sz w:val="22"/>
          <w:szCs w:val="22"/>
        </w:rPr>
        <w:t xml:space="preserve"> </w:t>
      </w:r>
      <w:r w:rsidR="00DD1F0E" w:rsidRPr="00A032F8">
        <w:rPr>
          <w:rFonts w:cs="Arial"/>
          <w:sz w:val="22"/>
          <w:szCs w:val="22"/>
        </w:rPr>
        <w:t>případě věcných souvislostí i</w:t>
      </w:r>
      <w:r w:rsidR="00785380" w:rsidRPr="00A032F8">
        <w:rPr>
          <w:rFonts w:cs="Arial"/>
          <w:sz w:val="22"/>
          <w:szCs w:val="22"/>
        </w:rPr>
        <w:t xml:space="preserve"> </w:t>
      </w:r>
      <w:r w:rsidR="00DD1F0E" w:rsidRPr="00A032F8">
        <w:rPr>
          <w:rFonts w:cs="Arial"/>
          <w:sz w:val="22"/>
          <w:szCs w:val="22"/>
        </w:rPr>
        <w:t>období</w:t>
      </w:r>
      <w:r w:rsidR="003F046B" w:rsidRPr="00A032F8">
        <w:rPr>
          <w:rFonts w:cs="Arial"/>
          <w:sz w:val="22"/>
          <w:szCs w:val="22"/>
        </w:rPr>
        <w:t xml:space="preserve"> předcházející a</w:t>
      </w:r>
      <w:r w:rsidR="006101EC" w:rsidRPr="00A032F8">
        <w:rPr>
          <w:rFonts w:cs="Arial"/>
          <w:sz w:val="22"/>
          <w:szCs w:val="22"/>
        </w:rPr>
        <w:t xml:space="preserve"> </w:t>
      </w:r>
      <w:r w:rsidR="003F046B" w:rsidRPr="00A032F8">
        <w:rPr>
          <w:rFonts w:cs="Arial"/>
          <w:sz w:val="22"/>
          <w:szCs w:val="22"/>
        </w:rPr>
        <w:t>následující</w:t>
      </w:r>
      <w:r w:rsidR="00DD1F0E" w:rsidRPr="00A032F8">
        <w:rPr>
          <w:rFonts w:cs="Arial"/>
          <w:sz w:val="22"/>
          <w:szCs w:val="22"/>
        </w:rPr>
        <w:t xml:space="preserve">. </w:t>
      </w:r>
      <w:r w:rsidR="00E47DAC" w:rsidRPr="00A032F8">
        <w:rPr>
          <w:rFonts w:cs="Arial"/>
          <w:sz w:val="22"/>
          <w:szCs w:val="22"/>
        </w:rPr>
        <w:t>Kontrola byla prov</w:t>
      </w:r>
      <w:r w:rsidR="005C2A50" w:rsidRPr="00A032F8">
        <w:rPr>
          <w:rFonts w:cs="Arial"/>
          <w:sz w:val="22"/>
          <w:szCs w:val="22"/>
        </w:rPr>
        <w:t>á</w:t>
      </w:r>
      <w:r w:rsidR="00E47DAC" w:rsidRPr="00A032F8">
        <w:rPr>
          <w:rFonts w:cs="Arial"/>
          <w:sz w:val="22"/>
          <w:szCs w:val="22"/>
        </w:rPr>
        <w:t>d</w:t>
      </w:r>
      <w:r w:rsidR="005C2A50" w:rsidRPr="00A032F8">
        <w:rPr>
          <w:rFonts w:cs="Arial"/>
          <w:sz w:val="22"/>
          <w:szCs w:val="22"/>
        </w:rPr>
        <w:t>ě</w:t>
      </w:r>
      <w:r w:rsidR="00E47DAC" w:rsidRPr="00A032F8">
        <w:rPr>
          <w:rFonts w:cs="Arial"/>
          <w:sz w:val="22"/>
          <w:szCs w:val="22"/>
        </w:rPr>
        <w:t xml:space="preserve">na od </w:t>
      </w:r>
      <w:r w:rsidR="006460C1" w:rsidRPr="00A032F8">
        <w:rPr>
          <w:rFonts w:cs="Arial"/>
          <w:sz w:val="22"/>
          <w:szCs w:val="22"/>
        </w:rPr>
        <w:t>října</w:t>
      </w:r>
      <w:r w:rsidR="00DD1F0E" w:rsidRPr="00A032F8">
        <w:rPr>
          <w:rFonts w:cs="Arial"/>
          <w:sz w:val="22"/>
          <w:szCs w:val="22"/>
        </w:rPr>
        <w:t xml:space="preserve"> 20</w:t>
      </w:r>
      <w:r w:rsidR="00BB6DBE" w:rsidRPr="00A032F8">
        <w:rPr>
          <w:rFonts w:cs="Arial"/>
          <w:sz w:val="22"/>
          <w:szCs w:val="22"/>
        </w:rPr>
        <w:t>1</w:t>
      </w:r>
      <w:r w:rsidRPr="00A032F8">
        <w:rPr>
          <w:rFonts w:cs="Arial"/>
          <w:sz w:val="22"/>
          <w:szCs w:val="22"/>
        </w:rPr>
        <w:t>2</w:t>
      </w:r>
      <w:r w:rsidR="00E47DAC" w:rsidRPr="00A032F8">
        <w:rPr>
          <w:rFonts w:cs="Arial"/>
          <w:sz w:val="22"/>
          <w:szCs w:val="22"/>
        </w:rPr>
        <w:t xml:space="preserve"> do </w:t>
      </w:r>
      <w:r w:rsidR="006460C1" w:rsidRPr="00A032F8">
        <w:rPr>
          <w:rFonts w:cs="Arial"/>
          <w:sz w:val="22"/>
          <w:szCs w:val="22"/>
        </w:rPr>
        <w:t>května</w:t>
      </w:r>
      <w:r w:rsidR="00E47DAC" w:rsidRPr="00A032F8">
        <w:rPr>
          <w:rFonts w:cs="Arial"/>
          <w:sz w:val="22"/>
          <w:szCs w:val="22"/>
        </w:rPr>
        <w:t xml:space="preserve"> 20</w:t>
      </w:r>
      <w:r w:rsidR="00B27B29" w:rsidRPr="00A032F8">
        <w:rPr>
          <w:rFonts w:cs="Arial"/>
          <w:sz w:val="22"/>
          <w:szCs w:val="22"/>
        </w:rPr>
        <w:t>1</w:t>
      </w:r>
      <w:r w:rsidRPr="00A032F8">
        <w:rPr>
          <w:rFonts w:cs="Arial"/>
          <w:sz w:val="22"/>
          <w:szCs w:val="22"/>
        </w:rPr>
        <w:t>3</w:t>
      </w:r>
      <w:r w:rsidR="00DD1F0E" w:rsidRPr="00A032F8">
        <w:rPr>
          <w:rFonts w:cs="Arial"/>
          <w:sz w:val="22"/>
          <w:szCs w:val="22"/>
        </w:rPr>
        <w:t>.</w:t>
      </w:r>
    </w:p>
    <w:p w:rsidR="00DD1F0E" w:rsidRPr="00A032F8" w:rsidRDefault="00DD1F0E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A032F8" w:rsidRDefault="008409FA">
      <w:pPr>
        <w:pStyle w:val="Zkladn"/>
        <w:spacing w:before="0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Kontrolované osoby</w:t>
      </w:r>
      <w:r w:rsidR="00DD1F0E" w:rsidRPr="00A032F8">
        <w:rPr>
          <w:rFonts w:cs="Arial"/>
          <w:sz w:val="22"/>
          <w:szCs w:val="22"/>
        </w:rPr>
        <w:t>:</w:t>
      </w:r>
    </w:p>
    <w:p w:rsidR="006460C1" w:rsidRPr="00A032F8" w:rsidRDefault="00A032F8" w:rsidP="006460C1">
      <w:pPr>
        <w:pStyle w:val="Zkladn"/>
        <w:spacing w:before="0"/>
        <w:ind w:left="284" w:hanging="284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1.</w:t>
      </w:r>
      <w:r w:rsidR="006460C1" w:rsidRPr="00A032F8">
        <w:rPr>
          <w:rFonts w:cs="Arial"/>
          <w:sz w:val="22"/>
          <w:szCs w:val="22"/>
        </w:rPr>
        <w:tab/>
      </w:r>
      <w:r w:rsidR="003E56B4">
        <w:rPr>
          <w:rFonts w:cs="Arial"/>
          <w:sz w:val="22"/>
          <w:szCs w:val="22"/>
        </w:rPr>
        <w:t>s</w:t>
      </w:r>
      <w:r w:rsidR="006460C1" w:rsidRPr="00A032F8">
        <w:rPr>
          <w:rFonts w:cs="Arial"/>
          <w:sz w:val="22"/>
          <w:szCs w:val="22"/>
        </w:rPr>
        <w:t>právce kontrolovaných programů:</w:t>
      </w:r>
    </w:p>
    <w:p w:rsidR="00DF7DCC" w:rsidRPr="00A032F8" w:rsidRDefault="008409FA" w:rsidP="006460C1">
      <w:pPr>
        <w:pStyle w:val="Zkladn"/>
        <w:spacing w:before="0"/>
        <w:ind w:left="284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Ministe</w:t>
      </w:r>
      <w:r w:rsidR="006460C1" w:rsidRPr="00A032F8">
        <w:rPr>
          <w:rFonts w:cs="Arial"/>
          <w:sz w:val="22"/>
          <w:szCs w:val="22"/>
        </w:rPr>
        <w:t>r</w:t>
      </w:r>
      <w:r w:rsidRPr="00A032F8">
        <w:rPr>
          <w:rFonts w:cs="Arial"/>
          <w:sz w:val="22"/>
          <w:szCs w:val="22"/>
        </w:rPr>
        <w:t xml:space="preserve">stvo </w:t>
      </w:r>
      <w:r w:rsidR="006460C1" w:rsidRPr="00A032F8">
        <w:rPr>
          <w:rFonts w:cs="Arial"/>
          <w:sz w:val="22"/>
          <w:szCs w:val="22"/>
        </w:rPr>
        <w:t>zemědělství (dále jen „</w:t>
      </w:r>
      <w:proofErr w:type="spellStart"/>
      <w:r w:rsidR="006460C1" w:rsidRPr="00A032F8">
        <w:rPr>
          <w:rFonts w:cs="Arial"/>
          <w:sz w:val="22"/>
          <w:szCs w:val="22"/>
        </w:rPr>
        <w:t>MZe</w:t>
      </w:r>
      <w:proofErr w:type="spellEnd"/>
      <w:r w:rsidR="006460C1" w:rsidRPr="00A032F8">
        <w:rPr>
          <w:rFonts w:cs="Arial"/>
          <w:sz w:val="22"/>
          <w:szCs w:val="22"/>
        </w:rPr>
        <w:t>“)</w:t>
      </w:r>
      <w:r w:rsidR="00F133C2" w:rsidRPr="00A032F8">
        <w:rPr>
          <w:rFonts w:cs="Arial"/>
          <w:sz w:val="22"/>
          <w:szCs w:val="22"/>
        </w:rPr>
        <w:t>;</w:t>
      </w:r>
    </w:p>
    <w:p w:rsidR="006460C1" w:rsidRPr="00A032F8" w:rsidRDefault="006460C1" w:rsidP="006460C1">
      <w:pPr>
        <w:pStyle w:val="Zkladn"/>
        <w:spacing w:before="0"/>
        <w:ind w:left="284" w:hanging="284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2.</w:t>
      </w:r>
      <w:r w:rsidRPr="00A032F8">
        <w:rPr>
          <w:rFonts w:cs="Arial"/>
          <w:sz w:val="22"/>
          <w:szCs w:val="22"/>
        </w:rPr>
        <w:tab/>
      </w:r>
      <w:r w:rsidR="003E56B4">
        <w:rPr>
          <w:rFonts w:cs="Arial"/>
          <w:sz w:val="22"/>
          <w:szCs w:val="22"/>
        </w:rPr>
        <w:t>p</w:t>
      </w:r>
      <w:r w:rsidRPr="00A032F8">
        <w:rPr>
          <w:rFonts w:cs="Arial"/>
          <w:sz w:val="22"/>
          <w:szCs w:val="22"/>
        </w:rPr>
        <w:t>říjemci dotací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120:</w:t>
      </w:r>
    </w:p>
    <w:p w:rsidR="006460C1" w:rsidRPr="00A032F8" w:rsidRDefault="006460C1" w:rsidP="006460C1">
      <w:pPr>
        <w:pStyle w:val="Zkladn"/>
        <w:spacing w:before="0"/>
        <w:ind w:left="284" w:hanging="284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ab/>
      </w:r>
      <w:r w:rsidR="00F133C2" w:rsidRPr="00A032F8">
        <w:rPr>
          <w:rFonts w:cs="Arial"/>
          <w:sz w:val="22"/>
          <w:szCs w:val="22"/>
        </w:rPr>
        <w:t xml:space="preserve">Povodí Labe, státní podnik, Hradec Králové; Povodí Moravy, </w:t>
      </w:r>
      <w:proofErr w:type="spellStart"/>
      <w:proofErr w:type="gramStart"/>
      <w:r w:rsidR="00F133C2" w:rsidRPr="00A032F8">
        <w:rPr>
          <w:rFonts w:cs="Arial"/>
          <w:sz w:val="22"/>
          <w:szCs w:val="22"/>
        </w:rPr>
        <w:t>s.p</w:t>
      </w:r>
      <w:proofErr w:type="spellEnd"/>
      <w:r w:rsidR="00F133C2" w:rsidRPr="00A032F8">
        <w:rPr>
          <w:rFonts w:cs="Arial"/>
          <w:sz w:val="22"/>
          <w:szCs w:val="22"/>
        </w:rPr>
        <w:t>.</w:t>
      </w:r>
      <w:proofErr w:type="gramEnd"/>
      <w:r w:rsidR="00F133C2" w:rsidRPr="00A032F8">
        <w:rPr>
          <w:rFonts w:cs="Arial"/>
          <w:sz w:val="22"/>
          <w:szCs w:val="22"/>
        </w:rPr>
        <w:t xml:space="preserve">, Brno; Povodí Odry, státní podnik, Ostrava; Povodí Vltavy, státní podnik, Praha; </w:t>
      </w:r>
    </w:p>
    <w:p w:rsidR="006460C1" w:rsidRPr="00A032F8" w:rsidRDefault="006460C1" w:rsidP="006460C1">
      <w:pPr>
        <w:pStyle w:val="Zkladn"/>
        <w:spacing w:before="0"/>
        <w:ind w:left="284" w:hanging="284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3.</w:t>
      </w:r>
      <w:r w:rsidRPr="00A032F8">
        <w:rPr>
          <w:rFonts w:cs="Arial"/>
          <w:sz w:val="22"/>
          <w:szCs w:val="22"/>
        </w:rPr>
        <w:tab/>
      </w:r>
      <w:r w:rsidR="003E56B4">
        <w:rPr>
          <w:rFonts w:cs="Arial"/>
          <w:sz w:val="22"/>
          <w:szCs w:val="22"/>
        </w:rPr>
        <w:t>p</w:t>
      </w:r>
      <w:r w:rsidRPr="00A032F8">
        <w:rPr>
          <w:rFonts w:cs="Arial"/>
          <w:sz w:val="22"/>
          <w:szCs w:val="22"/>
        </w:rPr>
        <w:t>říjemci dotací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130:</w:t>
      </w:r>
    </w:p>
    <w:p w:rsidR="00BD2316" w:rsidRPr="00A032F8" w:rsidRDefault="00F133C2" w:rsidP="00F133C2">
      <w:pPr>
        <w:pStyle w:val="Zkladn"/>
        <w:spacing w:before="0"/>
        <w:ind w:left="284" w:hanging="284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ab/>
        <w:t xml:space="preserve">KINSKÝ Žďár, a.s., Žďár nad Sázavou; Rybářství Hluboká </w:t>
      </w:r>
      <w:proofErr w:type="spellStart"/>
      <w:r w:rsidRPr="00A032F8">
        <w:rPr>
          <w:rFonts w:cs="Arial"/>
          <w:sz w:val="22"/>
          <w:szCs w:val="22"/>
        </w:rPr>
        <w:t>cz</w:t>
      </w:r>
      <w:proofErr w:type="spellEnd"/>
      <w:r w:rsidRPr="00A032F8">
        <w:rPr>
          <w:rFonts w:cs="Arial"/>
          <w:sz w:val="22"/>
          <w:szCs w:val="22"/>
        </w:rPr>
        <w:t>. s.r.o., Hluboká nad Vltavou; Český rybářský svaz, místní organizace Humpolec</w:t>
      </w:r>
      <w:r w:rsidR="006A7447" w:rsidRPr="00A032F8">
        <w:rPr>
          <w:rFonts w:cs="Arial"/>
          <w:sz w:val="22"/>
          <w:szCs w:val="22"/>
        </w:rPr>
        <w:t xml:space="preserve"> (dále jen „ČRS MO“)</w:t>
      </w:r>
      <w:r w:rsidRPr="00A032F8">
        <w:rPr>
          <w:rFonts w:cs="Arial"/>
          <w:sz w:val="22"/>
          <w:szCs w:val="22"/>
        </w:rPr>
        <w:t xml:space="preserve">, Humpolec; Iveta </w:t>
      </w:r>
      <w:proofErr w:type="spellStart"/>
      <w:r w:rsidRPr="00A032F8">
        <w:rPr>
          <w:rFonts w:cs="Arial"/>
          <w:sz w:val="22"/>
          <w:szCs w:val="22"/>
        </w:rPr>
        <w:t>Plucarová</w:t>
      </w:r>
      <w:proofErr w:type="spellEnd"/>
      <w:r w:rsidRPr="00A032F8">
        <w:rPr>
          <w:rFonts w:cs="Arial"/>
          <w:sz w:val="22"/>
          <w:szCs w:val="22"/>
        </w:rPr>
        <w:t xml:space="preserve">, Kunžak (IČ 60856505); Karel </w:t>
      </w:r>
      <w:proofErr w:type="spellStart"/>
      <w:r w:rsidRPr="00A032F8">
        <w:rPr>
          <w:rFonts w:cs="Arial"/>
          <w:sz w:val="22"/>
          <w:szCs w:val="22"/>
        </w:rPr>
        <w:t>Plucar</w:t>
      </w:r>
      <w:proofErr w:type="spellEnd"/>
      <w:r w:rsidRPr="00A032F8">
        <w:rPr>
          <w:rFonts w:cs="Arial"/>
          <w:sz w:val="22"/>
          <w:szCs w:val="22"/>
        </w:rPr>
        <w:t xml:space="preserve">, Kunžak (IČ 46675493); Jan Pokorný, Telč (IČ 18523358).  </w:t>
      </w:r>
    </w:p>
    <w:p w:rsidR="00F133C2" w:rsidRPr="00A032F8" w:rsidRDefault="00F133C2">
      <w:pPr>
        <w:ind w:right="70"/>
        <w:jc w:val="both"/>
        <w:rPr>
          <w:rFonts w:cs="Arial"/>
          <w:sz w:val="22"/>
          <w:szCs w:val="22"/>
        </w:rPr>
      </w:pPr>
    </w:p>
    <w:p w:rsidR="00185411" w:rsidRPr="00A032F8" w:rsidRDefault="00185411" w:rsidP="00185411">
      <w:pPr>
        <w:pStyle w:val="Zkladn"/>
        <w:spacing w:before="0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Námitky proti kontrolnímu protokolu, které podaly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>, Povodí Labe, Povodí Vltavy, Povodí Odry, ČRS MO Humpolec a Jan Pokorný, byly vypořádány vedoucími skupin kontrolujících rozhodnutími o námitkách. Odvolání, kter</w:t>
      </w:r>
      <w:r w:rsidR="0068126F" w:rsidRPr="00A032F8">
        <w:rPr>
          <w:rFonts w:cs="Arial"/>
          <w:sz w:val="22"/>
          <w:szCs w:val="22"/>
        </w:rPr>
        <w:t>á</w:t>
      </w:r>
      <w:r w:rsidRPr="00A032F8">
        <w:rPr>
          <w:rFonts w:cs="Arial"/>
          <w:sz w:val="22"/>
          <w:szCs w:val="22"/>
        </w:rPr>
        <w:t xml:space="preserve"> podaly Povodí Odry a ČRS MO Humpolec, byla vypořád</w:t>
      </w:r>
      <w:r w:rsidR="008828A0">
        <w:rPr>
          <w:rFonts w:cs="Arial"/>
          <w:sz w:val="22"/>
          <w:szCs w:val="22"/>
        </w:rPr>
        <w:t>á</w:t>
      </w:r>
      <w:r w:rsidRPr="00A032F8">
        <w:rPr>
          <w:rFonts w:cs="Arial"/>
          <w:sz w:val="22"/>
          <w:szCs w:val="22"/>
        </w:rPr>
        <w:t>n</w:t>
      </w:r>
      <w:r w:rsidR="008828A0">
        <w:rPr>
          <w:rFonts w:cs="Arial"/>
          <w:sz w:val="22"/>
          <w:szCs w:val="22"/>
        </w:rPr>
        <w:t>a</w:t>
      </w:r>
      <w:r w:rsidRPr="00A032F8">
        <w:rPr>
          <w:rFonts w:cs="Arial"/>
          <w:sz w:val="22"/>
          <w:szCs w:val="22"/>
        </w:rPr>
        <w:t xml:space="preserve"> usneseními Kolegia NKÚ. </w:t>
      </w:r>
    </w:p>
    <w:p w:rsidR="00185411" w:rsidRPr="00A032F8" w:rsidRDefault="00185411">
      <w:pPr>
        <w:ind w:right="70"/>
        <w:jc w:val="both"/>
        <w:rPr>
          <w:rFonts w:cs="Arial"/>
          <w:sz w:val="22"/>
          <w:szCs w:val="22"/>
        </w:rPr>
      </w:pPr>
    </w:p>
    <w:p w:rsidR="00F133C2" w:rsidRPr="00A032F8" w:rsidRDefault="00F133C2">
      <w:pPr>
        <w:ind w:right="70"/>
        <w:jc w:val="both"/>
        <w:rPr>
          <w:rFonts w:cs="Arial"/>
          <w:sz w:val="22"/>
          <w:szCs w:val="22"/>
        </w:rPr>
      </w:pPr>
    </w:p>
    <w:p w:rsidR="00E47DAC" w:rsidRPr="00A032F8" w:rsidRDefault="00E47DAC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A032F8">
        <w:rPr>
          <w:rFonts w:cs="Arial"/>
          <w:b/>
          <w:bCs/>
          <w:i/>
          <w:iCs/>
          <w:sz w:val="22"/>
          <w:szCs w:val="22"/>
        </w:rPr>
        <w:t>K o l e g i u m</w:t>
      </w:r>
      <w:r w:rsidRPr="00A032F8">
        <w:rPr>
          <w:rFonts w:cs="Arial"/>
          <w:sz w:val="22"/>
          <w:szCs w:val="22"/>
        </w:rPr>
        <w:t xml:space="preserve">   </w:t>
      </w:r>
      <w:r w:rsidRPr="00A032F8">
        <w:rPr>
          <w:rFonts w:cs="Arial"/>
          <w:b/>
          <w:bCs/>
          <w:i/>
          <w:iCs/>
          <w:sz w:val="22"/>
          <w:szCs w:val="22"/>
        </w:rPr>
        <w:t>N</w:t>
      </w:r>
      <w:r w:rsidR="008D64F9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K</w:t>
      </w:r>
      <w:r w:rsidR="005E2660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Ú</w:t>
      </w:r>
      <w:r w:rsidR="002313A4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810EFF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2313A4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na</w:t>
      </w:r>
      <w:proofErr w:type="gramEnd"/>
      <w:r w:rsidR="00F57CC9" w:rsidRPr="00A032F8">
        <w:rPr>
          <w:rFonts w:cs="Arial"/>
          <w:sz w:val="22"/>
          <w:szCs w:val="22"/>
        </w:rPr>
        <w:t xml:space="preserve"> </w:t>
      </w:r>
      <w:r w:rsidR="00F34AD3" w:rsidRPr="00A032F8">
        <w:rPr>
          <w:rFonts w:cs="Arial"/>
          <w:sz w:val="22"/>
          <w:szCs w:val="22"/>
        </w:rPr>
        <w:t xml:space="preserve">svém </w:t>
      </w:r>
      <w:r w:rsidR="00DA5FD2" w:rsidRPr="00A032F8">
        <w:rPr>
          <w:rFonts w:cs="Arial"/>
          <w:sz w:val="22"/>
          <w:szCs w:val="22"/>
        </w:rPr>
        <w:t xml:space="preserve">XIII. </w:t>
      </w:r>
      <w:r w:rsidRPr="00A032F8">
        <w:rPr>
          <w:rFonts w:cs="Arial"/>
          <w:sz w:val="22"/>
          <w:szCs w:val="22"/>
        </w:rPr>
        <w:t>zasedání, konaném dne</w:t>
      </w:r>
      <w:r w:rsidR="009A12AE" w:rsidRPr="00A032F8">
        <w:rPr>
          <w:rFonts w:cs="Arial"/>
          <w:sz w:val="22"/>
          <w:szCs w:val="22"/>
        </w:rPr>
        <w:t xml:space="preserve"> </w:t>
      </w:r>
      <w:r w:rsidR="00C46AC0">
        <w:rPr>
          <w:rFonts w:cs="Arial"/>
          <w:sz w:val="22"/>
          <w:szCs w:val="22"/>
        </w:rPr>
        <w:t>5. </w:t>
      </w:r>
      <w:r w:rsidR="00C50A91" w:rsidRPr="00A032F8">
        <w:rPr>
          <w:rFonts w:cs="Arial"/>
          <w:sz w:val="22"/>
          <w:szCs w:val="22"/>
        </w:rPr>
        <w:t>srpna</w:t>
      </w:r>
      <w:r w:rsidR="001418C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20</w:t>
      </w:r>
      <w:r w:rsidR="00B27B29" w:rsidRPr="00A032F8">
        <w:rPr>
          <w:rFonts w:cs="Arial"/>
          <w:sz w:val="22"/>
          <w:szCs w:val="22"/>
        </w:rPr>
        <w:t>1</w:t>
      </w:r>
      <w:r w:rsidR="004B4092" w:rsidRPr="00A032F8">
        <w:rPr>
          <w:rFonts w:cs="Arial"/>
          <w:sz w:val="22"/>
          <w:szCs w:val="22"/>
        </w:rPr>
        <w:t>3</w:t>
      </w:r>
      <w:r w:rsidRPr="00A032F8">
        <w:rPr>
          <w:rFonts w:cs="Arial"/>
          <w:sz w:val="22"/>
          <w:szCs w:val="22"/>
        </w:rPr>
        <w:t xml:space="preserve">, </w:t>
      </w:r>
    </w:p>
    <w:p w:rsidR="00E47DAC" w:rsidRPr="00A032F8" w:rsidRDefault="00A427F9" w:rsidP="00A427F9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A032F8">
        <w:rPr>
          <w:rFonts w:cs="Arial"/>
          <w:b/>
          <w:bCs/>
          <w:i/>
          <w:iCs/>
          <w:sz w:val="22"/>
          <w:szCs w:val="22"/>
        </w:rPr>
        <w:t>s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c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h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v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á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l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i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l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o</w:t>
      </w:r>
      <w:r w:rsidR="00E47DAC" w:rsidRPr="00A032F8">
        <w:rPr>
          <w:rFonts w:cs="Arial"/>
          <w:sz w:val="22"/>
          <w:szCs w:val="22"/>
        </w:rPr>
        <w:t xml:space="preserve"> </w:t>
      </w:r>
      <w:r w:rsidR="002313A4" w:rsidRPr="00A032F8">
        <w:rPr>
          <w:rFonts w:cs="Arial"/>
          <w:sz w:val="22"/>
          <w:szCs w:val="22"/>
        </w:rPr>
        <w:t xml:space="preserve">  </w:t>
      </w:r>
      <w:r w:rsidR="00E47DAC" w:rsidRPr="00A032F8">
        <w:rPr>
          <w:rFonts w:cs="Arial"/>
          <w:sz w:val="22"/>
          <w:szCs w:val="22"/>
        </w:rPr>
        <w:t>usnesením č.</w:t>
      </w:r>
      <w:proofErr w:type="gramEnd"/>
      <w:r w:rsidR="009A12AE" w:rsidRPr="00A032F8">
        <w:rPr>
          <w:rFonts w:cs="Arial"/>
          <w:sz w:val="22"/>
          <w:szCs w:val="22"/>
        </w:rPr>
        <w:t xml:space="preserve"> </w:t>
      </w:r>
      <w:r w:rsidR="001C34AD" w:rsidRPr="00A032F8">
        <w:rPr>
          <w:rFonts w:cs="Arial"/>
          <w:sz w:val="22"/>
          <w:szCs w:val="22"/>
        </w:rPr>
        <w:t>6</w:t>
      </w:r>
      <w:r w:rsidR="00BD2316" w:rsidRPr="00A032F8">
        <w:rPr>
          <w:rFonts w:cs="Arial"/>
          <w:sz w:val="22"/>
          <w:szCs w:val="22"/>
        </w:rPr>
        <w:t>/</w:t>
      </w:r>
      <w:r w:rsidR="00DA5FD2" w:rsidRPr="00A032F8">
        <w:rPr>
          <w:rFonts w:cs="Arial"/>
          <w:sz w:val="22"/>
          <w:szCs w:val="22"/>
        </w:rPr>
        <w:t>XIII</w:t>
      </w:r>
      <w:r w:rsidR="00BD2316" w:rsidRPr="00A032F8">
        <w:rPr>
          <w:rFonts w:cs="Arial"/>
          <w:sz w:val="22"/>
          <w:szCs w:val="22"/>
        </w:rPr>
        <w:t>/201</w:t>
      </w:r>
      <w:r w:rsidR="004B4092" w:rsidRPr="00A032F8">
        <w:rPr>
          <w:rFonts w:cs="Arial"/>
          <w:sz w:val="22"/>
          <w:szCs w:val="22"/>
        </w:rPr>
        <w:t>3</w:t>
      </w:r>
      <w:r w:rsidR="00E47DAC" w:rsidRPr="00A032F8">
        <w:rPr>
          <w:rFonts w:cs="Arial"/>
          <w:sz w:val="22"/>
          <w:szCs w:val="22"/>
        </w:rPr>
        <w:t xml:space="preserve"> </w:t>
      </w:r>
    </w:p>
    <w:p w:rsidR="00E47DAC" w:rsidRPr="00A032F8" w:rsidRDefault="00A427F9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A032F8">
        <w:rPr>
          <w:rFonts w:cs="Arial"/>
          <w:b/>
          <w:bCs/>
          <w:i/>
          <w:iCs/>
          <w:sz w:val="22"/>
          <w:szCs w:val="22"/>
        </w:rPr>
        <w:t>k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o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n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t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r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o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l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n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 xml:space="preserve">í 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 </w:t>
      </w:r>
      <w:r w:rsidRPr="00A032F8">
        <w:rPr>
          <w:rFonts w:cs="Arial"/>
          <w:b/>
          <w:bCs/>
          <w:i/>
          <w:iCs/>
          <w:sz w:val="22"/>
          <w:szCs w:val="22"/>
        </w:rPr>
        <w:t>z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á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v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ě</w:t>
      </w:r>
      <w:r w:rsidR="003E0C7C" w:rsidRPr="00A032F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032F8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A032F8">
        <w:rPr>
          <w:rFonts w:cs="Arial"/>
          <w:sz w:val="22"/>
          <w:szCs w:val="22"/>
        </w:rPr>
        <w:t xml:space="preserve"> </w:t>
      </w:r>
      <w:r w:rsidR="002313A4" w:rsidRPr="00A032F8">
        <w:rPr>
          <w:rFonts w:cs="Arial"/>
          <w:sz w:val="22"/>
          <w:szCs w:val="22"/>
        </w:rPr>
        <w:t xml:space="preserve">  </w:t>
      </w:r>
      <w:r w:rsidR="0013397D" w:rsidRPr="00A032F8">
        <w:rPr>
          <w:rFonts w:cs="Arial"/>
          <w:sz w:val="22"/>
          <w:szCs w:val="22"/>
        </w:rPr>
        <w:t>v</w:t>
      </w:r>
      <w:r w:rsidR="006101EC" w:rsidRPr="00A032F8">
        <w:rPr>
          <w:rFonts w:cs="Arial"/>
          <w:sz w:val="22"/>
          <w:szCs w:val="22"/>
        </w:rPr>
        <w:t xml:space="preserve"> </w:t>
      </w:r>
      <w:r w:rsidR="00E47DAC" w:rsidRPr="00A032F8">
        <w:rPr>
          <w:rFonts w:cs="Arial"/>
          <w:sz w:val="22"/>
          <w:szCs w:val="22"/>
        </w:rPr>
        <w:t>tomto</w:t>
      </w:r>
      <w:proofErr w:type="gramEnd"/>
      <w:r w:rsidR="00E47DAC" w:rsidRPr="00A032F8">
        <w:rPr>
          <w:rFonts w:cs="Arial"/>
          <w:sz w:val="22"/>
          <w:szCs w:val="22"/>
        </w:rPr>
        <w:t xml:space="preserve"> znění:</w:t>
      </w:r>
    </w:p>
    <w:p w:rsidR="003F75C8" w:rsidRPr="00A032F8" w:rsidRDefault="003F75C8">
      <w:pPr>
        <w:ind w:right="70"/>
        <w:jc w:val="both"/>
        <w:rPr>
          <w:rFonts w:cs="Arial"/>
          <w:sz w:val="22"/>
          <w:szCs w:val="22"/>
        </w:rPr>
      </w:pPr>
    </w:p>
    <w:p w:rsidR="009154CD" w:rsidRPr="00A032F8" w:rsidRDefault="009154CD">
      <w:pPr>
        <w:ind w:right="70"/>
        <w:jc w:val="both"/>
        <w:rPr>
          <w:rFonts w:cs="Arial"/>
          <w:sz w:val="22"/>
          <w:szCs w:val="22"/>
        </w:rPr>
      </w:pPr>
    </w:p>
    <w:p w:rsidR="00E47DAC" w:rsidRPr="00A032F8" w:rsidRDefault="005C2A50" w:rsidP="00E624ED">
      <w:pPr>
        <w:jc w:val="center"/>
        <w:rPr>
          <w:rFonts w:cs="Arial"/>
          <w:b/>
        </w:rPr>
      </w:pPr>
      <w:r w:rsidRPr="00A032F8">
        <w:rPr>
          <w:rFonts w:cs="Arial"/>
          <w:b/>
        </w:rPr>
        <w:t xml:space="preserve">I. </w:t>
      </w:r>
      <w:r w:rsidR="00E47DAC" w:rsidRPr="00A032F8">
        <w:rPr>
          <w:rFonts w:cs="Arial"/>
          <w:b/>
        </w:rPr>
        <w:t>Úvod</w:t>
      </w:r>
    </w:p>
    <w:p w:rsidR="00E47DAC" w:rsidRPr="00A032F8" w:rsidRDefault="00E47DAC">
      <w:pPr>
        <w:rPr>
          <w:rFonts w:cs="Arial"/>
          <w:sz w:val="22"/>
          <w:szCs w:val="22"/>
        </w:rPr>
      </w:pPr>
    </w:p>
    <w:p w:rsidR="00C53016" w:rsidRPr="00A032F8" w:rsidRDefault="000B2B9A" w:rsidP="00C53016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Kontrola byla zaměřena</w:t>
      </w:r>
      <w:r w:rsidR="002E4445" w:rsidRPr="00A032F8">
        <w:rPr>
          <w:rFonts w:cs="Arial"/>
          <w:sz w:val="22"/>
          <w:szCs w:val="22"/>
        </w:rPr>
        <w:t xml:space="preserve"> na</w:t>
      </w:r>
      <w:r w:rsidRPr="00A032F8">
        <w:rPr>
          <w:rFonts w:cs="Arial"/>
          <w:sz w:val="22"/>
          <w:szCs w:val="22"/>
        </w:rPr>
        <w:t xml:space="preserve"> programy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120</w:t>
      </w:r>
      <w:r w:rsidR="003E56B4">
        <w:rPr>
          <w:rFonts w:cs="Arial"/>
          <w:sz w:val="22"/>
          <w:szCs w:val="22"/>
        </w:rPr>
        <w:t> –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i/>
          <w:sz w:val="22"/>
          <w:szCs w:val="22"/>
        </w:rPr>
        <w:t>Podpora prevence před povodněmi</w:t>
      </w:r>
      <w:r w:rsidR="00C46AC0">
        <w:rPr>
          <w:rFonts w:cs="Arial"/>
          <w:i/>
          <w:sz w:val="22"/>
          <w:szCs w:val="22"/>
        </w:rPr>
        <w:t> </w:t>
      </w:r>
      <w:r w:rsidRPr="00A032F8">
        <w:rPr>
          <w:rFonts w:cs="Arial"/>
          <w:i/>
          <w:sz w:val="22"/>
          <w:szCs w:val="22"/>
        </w:rPr>
        <w:t>II</w:t>
      </w:r>
      <w:r w:rsidR="00C53016" w:rsidRPr="00A032F8">
        <w:rPr>
          <w:rFonts w:cs="Arial"/>
          <w:sz w:val="22"/>
          <w:szCs w:val="22"/>
        </w:rPr>
        <w:t xml:space="preserve"> a </w:t>
      </w:r>
      <w:r w:rsidRPr="00A032F8">
        <w:rPr>
          <w:rFonts w:cs="Arial"/>
          <w:sz w:val="22"/>
          <w:szCs w:val="22"/>
        </w:rPr>
        <w:t>129 130</w:t>
      </w:r>
      <w:r w:rsidR="003E56B4">
        <w:rPr>
          <w:rFonts w:cs="Arial"/>
          <w:sz w:val="22"/>
          <w:szCs w:val="22"/>
        </w:rPr>
        <w:t> –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i/>
          <w:sz w:val="22"/>
          <w:szCs w:val="22"/>
        </w:rPr>
        <w:t>Podpora obnovy, odbahnění a rekonstrukce rybníků a</w:t>
      </w:r>
      <w:r w:rsidR="00C46AC0">
        <w:rPr>
          <w:rFonts w:cs="Arial"/>
          <w:i/>
          <w:sz w:val="22"/>
          <w:szCs w:val="22"/>
        </w:rPr>
        <w:t> </w:t>
      </w:r>
      <w:r w:rsidRPr="00A032F8">
        <w:rPr>
          <w:rFonts w:cs="Arial"/>
          <w:i/>
          <w:sz w:val="22"/>
          <w:szCs w:val="22"/>
        </w:rPr>
        <w:t>výstavby vodních nádrží</w:t>
      </w:r>
      <w:r w:rsidRPr="00A032F8">
        <w:rPr>
          <w:rFonts w:cs="Arial"/>
          <w:sz w:val="22"/>
          <w:szCs w:val="22"/>
        </w:rPr>
        <w:t xml:space="preserve">. </w:t>
      </w:r>
      <w:r w:rsidR="00C53016" w:rsidRPr="00A032F8">
        <w:rPr>
          <w:rFonts w:cs="Arial"/>
          <w:sz w:val="22"/>
          <w:szCs w:val="22"/>
        </w:rPr>
        <w:t xml:space="preserve">Na </w:t>
      </w:r>
      <w:proofErr w:type="spellStart"/>
      <w:r w:rsidR="00C53016" w:rsidRPr="00A032F8">
        <w:rPr>
          <w:rFonts w:cs="Arial"/>
          <w:sz w:val="22"/>
          <w:szCs w:val="22"/>
        </w:rPr>
        <w:t>MZe</w:t>
      </w:r>
      <w:proofErr w:type="spellEnd"/>
      <w:r w:rsidR="00C53016" w:rsidRPr="00A032F8">
        <w:rPr>
          <w:rFonts w:cs="Arial"/>
          <w:sz w:val="22"/>
          <w:szCs w:val="22"/>
        </w:rPr>
        <w:t xml:space="preserve"> </w:t>
      </w:r>
      <w:r w:rsidR="00E81B68" w:rsidRPr="00A032F8">
        <w:rPr>
          <w:rFonts w:cs="Arial"/>
          <w:sz w:val="22"/>
          <w:szCs w:val="22"/>
        </w:rPr>
        <w:t>byly kontrolovány povinnosti vyplývající</w:t>
      </w:r>
      <w:r w:rsidR="00994AC1" w:rsidRPr="00A032F8">
        <w:rPr>
          <w:rFonts w:cs="Arial"/>
          <w:sz w:val="22"/>
          <w:szCs w:val="22"/>
        </w:rPr>
        <w:t xml:space="preserve"> pro něj</w:t>
      </w:r>
      <w:r w:rsidR="00E81B68" w:rsidRPr="00A032F8">
        <w:rPr>
          <w:rFonts w:cs="Arial"/>
          <w:sz w:val="22"/>
          <w:szCs w:val="22"/>
        </w:rPr>
        <w:t xml:space="preserve"> z</w:t>
      </w:r>
      <w:r w:rsidR="00C46AC0">
        <w:rPr>
          <w:rFonts w:cs="Arial"/>
          <w:sz w:val="22"/>
          <w:szCs w:val="22"/>
        </w:rPr>
        <w:t> </w:t>
      </w:r>
      <w:r w:rsidR="00994AC1" w:rsidRPr="00A032F8">
        <w:rPr>
          <w:rFonts w:cs="Arial"/>
          <w:sz w:val="22"/>
          <w:szCs w:val="22"/>
        </w:rPr>
        <w:t>funkce</w:t>
      </w:r>
      <w:r w:rsidR="00E81B68" w:rsidRPr="00A032F8">
        <w:rPr>
          <w:rFonts w:cs="Arial"/>
          <w:sz w:val="22"/>
          <w:szCs w:val="22"/>
        </w:rPr>
        <w:t xml:space="preserve"> </w:t>
      </w:r>
      <w:r w:rsidR="00C53016" w:rsidRPr="00A032F8">
        <w:rPr>
          <w:rFonts w:cs="Arial"/>
          <w:sz w:val="22"/>
          <w:szCs w:val="22"/>
        </w:rPr>
        <w:t>správce</w:t>
      </w:r>
      <w:r w:rsidR="00E81B68" w:rsidRPr="00A032F8">
        <w:rPr>
          <w:rFonts w:cs="Arial"/>
          <w:sz w:val="22"/>
          <w:szCs w:val="22"/>
        </w:rPr>
        <w:t xml:space="preserve"> programů,</w:t>
      </w:r>
      <w:r w:rsidR="00994AC1" w:rsidRPr="00A032F8">
        <w:rPr>
          <w:rFonts w:cs="Arial"/>
          <w:sz w:val="22"/>
          <w:szCs w:val="22"/>
        </w:rPr>
        <w:t xml:space="preserve"> zejména správnos</w:t>
      </w:r>
      <w:r w:rsidR="00C46AC0">
        <w:rPr>
          <w:rFonts w:cs="Arial"/>
          <w:sz w:val="22"/>
          <w:szCs w:val="22"/>
        </w:rPr>
        <w:t>t obsahu dokumentace programů a </w:t>
      </w:r>
      <w:r w:rsidR="00994AC1" w:rsidRPr="00A032F8">
        <w:rPr>
          <w:rFonts w:cs="Arial"/>
          <w:sz w:val="22"/>
          <w:szCs w:val="22"/>
        </w:rPr>
        <w:t>činnosti související s</w:t>
      </w:r>
      <w:r w:rsidR="00C46AC0">
        <w:rPr>
          <w:rFonts w:cs="Arial"/>
          <w:sz w:val="22"/>
          <w:szCs w:val="22"/>
        </w:rPr>
        <w:t> </w:t>
      </w:r>
      <w:r w:rsidR="00994AC1" w:rsidRPr="00A032F8">
        <w:rPr>
          <w:rFonts w:cs="Arial"/>
          <w:sz w:val="22"/>
          <w:szCs w:val="22"/>
        </w:rPr>
        <w:t xml:space="preserve">registrací a financováním akcí. </w:t>
      </w:r>
      <w:r w:rsidR="00C53016" w:rsidRPr="00A032F8">
        <w:rPr>
          <w:rFonts w:cs="Arial"/>
          <w:sz w:val="22"/>
          <w:szCs w:val="22"/>
        </w:rPr>
        <w:t xml:space="preserve">U příjemců dotací (účastníků programů) bylo kontrolováno plnění </w:t>
      </w:r>
      <w:r w:rsidR="00C53016" w:rsidRPr="00A032F8">
        <w:rPr>
          <w:rFonts w:cs="Arial"/>
          <w:sz w:val="22"/>
          <w:szCs w:val="22"/>
        </w:rPr>
        <w:lastRenderedPageBreak/>
        <w:t>povinnost</w:t>
      </w:r>
      <w:r w:rsidR="001C34AD" w:rsidRPr="00A032F8">
        <w:rPr>
          <w:rFonts w:cs="Arial"/>
          <w:sz w:val="22"/>
          <w:szCs w:val="22"/>
        </w:rPr>
        <w:t>í</w:t>
      </w:r>
      <w:r w:rsidR="00C53016" w:rsidRPr="00A032F8">
        <w:rPr>
          <w:rFonts w:cs="Arial"/>
          <w:sz w:val="22"/>
          <w:szCs w:val="22"/>
        </w:rPr>
        <w:t xml:space="preserve"> vyplývajících pro </w:t>
      </w:r>
      <w:r w:rsidR="00994AC1" w:rsidRPr="00A032F8">
        <w:rPr>
          <w:rFonts w:cs="Arial"/>
          <w:sz w:val="22"/>
          <w:szCs w:val="22"/>
        </w:rPr>
        <w:t>ně</w:t>
      </w:r>
      <w:r w:rsidR="00C53016" w:rsidRPr="00A032F8">
        <w:rPr>
          <w:rFonts w:cs="Arial"/>
          <w:sz w:val="22"/>
          <w:szCs w:val="22"/>
        </w:rPr>
        <w:t xml:space="preserve"> z</w:t>
      </w:r>
      <w:r w:rsidR="00785380" w:rsidRPr="00A032F8">
        <w:rPr>
          <w:rFonts w:cs="Arial"/>
          <w:sz w:val="22"/>
          <w:szCs w:val="22"/>
        </w:rPr>
        <w:t xml:space="preserve"> </w:t>
      </w:r>
      <w:r w:rsidR="00C53016" w:rsidRPr="00A032F8">
        <w:rPr>
          <w:rFonts w:cs="Arial"/>
          <w:sz w:val="22"/>
          <w:szCs w:val="22"/>
        </w:rPr>
        <w:t xml:space="preserve">právních předpisů, </w:t>
      </w:r>
      <w:r w:rsidR="00994AC1" w:rsidRPr="00A032F8">
        <w:rPr>
          <w:rFonts w:cs="Arial"/>
          <w:sz w:val="22"/>
          <w:szCs w:val="22"/>
        </w:rPr>
        <w:t>zejména</w:t>
      </w:r>
      <w:r w:rsidR="00C53016" w:rsidRPr="00A032F8">
        <w:rPr>
          <w:rFonts w:cs="Arial"/>
          <w:sz w:val="22"/>
          <w:szCs w:val="22"/>
        </w:rPr>
        <w:t xml:space="preserve"> </w:t>
      </w:r>
      <w:r w:rsidR="00994AC1" w:rsidRPr="00A032F8">
        <w:rPr>
          <w:rFonts w:cs="Arial"/>
          <w:sz w:val="22"/>
          <w:szCs w:val="22"/>
        </w:rPr>
        <w:t>dodržení</w:t>
      </w:r>
      <w:r w:rsidR="00C53016" w:rsidRPr="00A032F8">
        <w:rPr>
          <w:rFonts w:cs="Arial"/>
          <w:sz w:val="22"/>
          <w:szCs w:val="22"/>
        </w:rPr>
        <w:t xml:space="preserve"> podmínek stan</w:t>
      </w:r>
      <w:r w:rsidR="00994AC1" w:rsidRPr="00A032F8">
        <w:rPr>
          <w:rFonts w:cs="Arial"/>
          <w:sz w:val="22"/>
          <w:szCs w:val="22"/>
        </w:rPr>
        <w:t xml:space="preserve">ovených </w:t>
      </w:r>
      <w:proofErr w:type="spellStart"/>
      <w:r w:rsidR="00994AC1" w:rsidRPr="00A032F8">
        <w:rPr>
          <w:rFonts w:cs="Arial"/>
          <w:sz w:val="22"/>
          <w:szCs w:val="22"/>
        </w:rPr>
        <w:t>MZe</w:t>
      </w:r>
      <w:proofErr w:type="spellEnd"/>
      <w:r w:rsidR="00994AC1" w:rsidRPr="00A032F8">
        <w:rPr>
          <w:rFonts w:cs="Arial"/>
          <w:sz w:val="22"/>
          <w:szCs w:val="22"/>
        </w:rPr>
        <w:t>. D</w:t>
      </w:r>
      <w:r w:rsidR="00C53016" w:rsidRPr="00A032F8">
        <w:rPr>
          <w:rFonts w:cs="Arial"/>
          <w:sz w:val="22"/>
          <w:szCs w:val="22"/>
        </w:rPr>
        <w:t>ále byla</w:t>
      </w:r>
      <w:r w:rsidR="00994AC1" w:rsidRPr="00A032F8">
        <w:rPr>
          <w:rFonts w:cs="Arial"/>
          <w:sz w:val="22"/>
          <w:szCs w:val="22"/>
        </w:rPr>
        <w:t xml:space="preserve"> u příjemců dotací</w:t>
      </w:r>
      <w:r w:rsidR="00C53016" w:rsidRPr="00A032F8">
        <w:rPr>
          <w:rFonts w:cs="Arial"/>
          <w:sz w:val="22"/>
          <w:szCs w:val="22"/>
        </w:rPr>
        <w:t xml:space="preserve"> kontrolována příprava a realizace vybraných akcí financovaných z uvedených</w:t>
      </w:r>
      <w:r w:rsidR="00785380" w:rsidRPr="00A032F8">
        <w:rPr>
          <w:rFonts w:cs="Arial"/>
          <w:sz w:val="22"/>
          <w:szCs w:val="22"/>
        </w:rPr>
        <w:t xml:space="preserve"> </w:t>
      </w:r>
      <w:r w:rsidR="00C53016" w:rsidRPr="00A032F8">
        <w:rPr>
          <w:rFonts w:cs="Arial"/>
          <w:sz w:val="22"/>
          <w:szCs w:val="22"/>
        </w:rPr>
        <w:t>programů</w:t>
      </w:r>
      <w:r w:rsidR="00994AC1" w:rsidRPr="00A032F8">
        <w:rPr>
          <w:rFonts w:cs="Arial"/>
          <w:sz w:val="22"/>
          <w:szCs w:val="22"/>
        </w:rPr>
        <w:t>.</w:t>
      </w:r>
    </w:p>
    <w:p w:rsidR="00C53016" w:rsidRPr="00A032F8" w:rsidRDefault="00C53016" w:rsidP="00C53016">
      <w:pPr>
        <w:jc w:val="both"/>
        <w:rPr>
          <w:rFonts w:cs="Arial"/>
          <w:sz w:val="22"/>
          <w:szCs w:val="22"/>
        </w:rPr>
      </w:pPr>
    </w:p>
    <w:p w:rsidR="0010048A" w:rsidRPr="00A032F8" w:rsidRDefault="0010048A" w:rsidP="0010048A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Účast státního rozpočtu na financování programů upravuje zákon č.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218/2000 Sb.</w:t>
      </w:r>
      <w:r w:rsidRPr="00A032F8">
        <w:rPr>
          <w:rStyle w:val="Znakapoznpodarou"/>
          <w:rFonts w:cs="Arial"/>
          <w:sz w:val="22"/>
          <w:szCs w:val="22"/>
        </w:rPr>
        <w:footnoteReference w:id="2"/>
      </w:r>
      <w:r w:rsidRPr="00A032F8">
        <w:rPr>
          <w:rFonts w:cs="Arial"/>
          <w:sz w:val="22"/>
          <w:szCs w:val="22"/>
        </w:rPr>
        <w:t xml:space="preserve"> </w:t>
      </w:r>
      <w:r w:rsidR="003D778D" w:rsidRPr="00A032F8">
        <w:rPr>
          <w:rFonts w:cs="Arial"/>
          <w:sz w:val="22"/>
          <w:szCs w:val="22"/>
        </w:rPr>
        <w:t xml:space="preserve">Činnosti </w:t>
      </w:r>
      <w:r w:rsidRPr="00A032F8">
        <w:rPr>
          <w:rFonts w:cs="Arial"/>
          <w:sz w:val="22"/>
          <w:szCs w:val="22"/>
        </w:rPr>
        <w:t>správců programů a účastníků programů stanovuje vyhláška č.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560/2006 Sb.</w:t>
      </w:r>
      <w:r w:rsidRPr="00A032F8">
        <w:rPr>
          <w:rStyle w:val="Znakapoznpodarou"/>
          <w:rFonts w:cs="Arial"/>
          <w:sz w:val="22"/>
          <w:szCs w:val="22"/>
        </w:rPr>
        <w:footnoteReference w:id="3"/>
      </w:r>
      <w:r w:rsidR="00CE5939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Pravidla pro poskytování finančních prostředků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programů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120 a č.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130 byla stanovena v přílohách k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zákonům o státním rozpočtu České republiky na příslušný rok</w:t>
      </w:r>
      <w:r w:rsidRPr="00A032F8">
        <w:rPr>
          <w:rStyle w:val="Znakapoznpodarou"/>
          <w:rFonts w:cs="Arial"/>
          <w:sz w:val="22"/>
          <w:szCs w:val="22"/>
        </w:rPr>
        <w:footnoteReference w:id="4"/>
      </w:r>
      <w:r w:rsidRPr="00A032F8">
        <w:rPr>
          <w:rFonts w:cs="Arial"/>
          <w:sz w:val="22"/>
          <w:szCs w:val="22"/>
        </w:rPr>
        <w:t xml:space="preserve">. </w:t>
      </w:r>
    </w:p>
    <w:p w:rsidR="00883218" w:rsidRPr="00A032F8" w:rsidRDefault="00883218" w:rsidP="00CC6BC7">
      <w:pPr>
        <w:jc w:val="both"/>
        <w:rPr>
          <w:rFonts w:cs="Arial"/>
          <w:sz w:val="22"/>
          <w:szCs w:val="22"/>
        </w:rPr>
      </w:pPr>
    </w:p>
    <w:p w:rsidR="008727C7" w:rsidRPr="00A032F8" w:rsidRDefault="00DE2042" w:rsidP="008727C7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Realizace kontrolovaných programů byla stanovena na roky </w:t>
      </w:r>
      <w:r w:rsidR="00A400E1" w:rsidRPr="00A032F8">
        <w:rPr>
          <w:rFonts w:cs="Arial"/>
          <w:sz w:val="22"/>
          <w:szCs w:val="22"/>
        </w:rPr>
        <w:t>2007 a</w:t>
      </w:r>
      <w:r w:rsidRPr="00A032F8">
        <w:rPr>
          <w:rFonts w:cs="Arial"/>
          <w:sz w:val="22"/>
          <w:szCs w:val="22"/>
        </w:rPr>
        <w:t>ž 2013. V</w:t>
      </w:r>
      <w:r w:rsidR="00137C8D" w:rsidRPr="00A032F8">
        <w:rPr>
          <w:rFonts w:cs="Arial"/>
          <w:sz w:val="22"/>
          <w:szCs w:val="22"/>
        </w:rPr>
        <w:t>ýdaje na program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="00137C8D" w:rsidRPr="00A032F8">
        <w:rPr>
          <w:rFonts w:cs="Arial"/>
          <w:sz w:val="22"/>
          <w:szCs w:val="22"/>
        </w:rPr>
        <w:t>120 mají činit 11</w:t>
      </w:r>
      <w:r w:rsidR="00785380" w:rsidRPr="00A032F8">
        <w:rPr>
          <w:rFonts w:cs="Arial"/>
          <w:sz w:val="22"/>
          <w:szCs w:val="22"/>
        </w:rPr>
        <w:t xml:space="preserve"> </w:t>
      </w:r>
      <w:r w:rsidR="00137C8D" w:rsidRPr="00A032F8">
        <w:rPr>
          <w:rFonts w:cs="Arial"/>
          <w:sz w:val="22"/>
          <w:szCs w:val="22"/>
        </w:rPr>
        <w:t>550 mil. Kč</w:t>
      </w:r>
      <w:r w:rsidR="00B947A2" w:rsidRPr="00A032F8">
        <w:rPr>
          <w:rFonts w:cs="Arial"/>
          <w:sz w:val="22"/>
          <w:szCs w:val="22"/>
        </w:rPr>
        <w:t>.</w:t>
      </w:r>
      <w:r w:rsidR="00AF1907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>Hrazeny mají být ve výši 7</w:t>
      </w:r>
      <w:r w:rsidR="00785380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 xml:space="preserve">000 mil. Kč </w:t>
      </w:r>
      <w:r w:rsidR="00137C8D" w:rsidRPr="00A032F8">
        <w:rPr>
          <w:rFonts w:cs="Arial"/>
          <w:sz w:val="22"/>
          <w:szCs w:val="22"/>
        </w:rPr>
        <w:t>z</w:t>
      </w:r>
      <w:r w:rsidR="00B947A2" w:rsidRPr="00A032F8">
        <w:rPr>
          <w:rFonts w:cs="Arial"/>
          <w:sz w:val="22"/>
          <w:szCs w:val="22"/>
        </w:rPr>
        <w:t xml:space="preserve"> </w:t>
      </w:r>
      <w:r w:rsidR="00137C8D" w:rsidRPr="00A032F8">
        <w:rPr>
          <w:rFonts w:cs="Arial"/>
          <w:sz w:val="22"/>
          <w:szCs w:val="22"/>
        </w:rPr>
        <w:t>úvěr</w:t>
      </w:r>
      <w:r w:rsidR="00B947A2" w:rsidRPr="00A032F8">
        <w:rPr>
          <w:rFonts w:cs="Arial"/>
          <w:sz w:val="22"/>
          <w:szCs w:val="22"/>
        </w:rPr>
        <w:t>u</w:t>
      </w:r>
      <w:r w:rsidR="00137C8D" w:rsidRPr="00A032F8">
        <w:rPr>
          <w:rFonts w:cs="Arial"/>
          <w:sz w:val="22"/>
          <w:szCs w:val="22"/>
        </w:rPr>
        <w:t xml:space="preserve"> od Evropské investiční banky,</w:t>
      </w:r>
      <w:r w:rsidR="00B947A2" w:rsidRPr="00A032F8">
        <w:rPr>
          <w:rFonts w:cs="Arial"/>
          <w:sz w:val="22"/>
          <w:szCs w:val="22"/>
        </w:rPr>
        <w:t xml:space="preserve"> ve výši 4</w:t>
      </w:r>
      <w:r w:rsidR="00785380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>000 mil. Kč z</w:t>
      </w:r>
      <w:r w:rsidR="00785380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 xml:space="preserve">prostředků </w:t>
      </w:r>
      <w:r w:rsidR="00137C8D" w:rsidRPr="00A032F8">
        <w:rPr>
          <w:rFonts w:cs="Arial"/>
          <w:sz w:val="22"/>
          <w:szCs w:val="22"/>
        </w:rPr>
        <w:t>státního rozpočtu</w:t>
      </w:r>
      <w:r w:rsidR="00B2732A" w:rsidRPr="00A032F8">
        <w:rPr>
          <w:rStyle w:val="Znakapoznpodarou"/>
          <w:rFonts w:cs="Arial"/>
          <w:sz w:val="22"/>
          <w:szCs w:val="22"/>
        </w:rPr>
        <w:footnoteReference w:id="5"/>
      </w:r>
      <w:r w:rsidR="00137C8D" w:rsidRPr="00A032F8">
        <w:rPr>
          <w:rFonts w:cs="Arial"/>
          <w:sz w:val="22"/>
          <w:szCs w:val="22"/>
        </w:rPr>
        <w:t xml:space="preserve"> a</w:t>
      </w:r>
      <w:r w:rsidR="00B947A2" w:rsidRPr="00A032F8">
        <w:rPr>
          <w:rFonts w:cs="Arial"/>
          <w:sz w:val="22"/>
          <w:szCs w:val="22"/>
        </w:rPr>
        <w:t xml:space="preserve"> ve výši 550 mil. Kč ze zdrojů</w:t>
      </w:r>
      <w:r w:rsidR="00137C8D" w:rsidRPr="00A032F8">
        <w:rPr>
          <w:rFonts w:cs="Arial"/>
          <w:sz w:val="22"/>
          <w:szCs w:val="22"/>
        </w:rPr>
        <w:t xml:space="preserve"> účastníků programu. </w:t>
      </w:r>
      <w:r w:rsidRPr="00A032F8">
        <w:rPr>
          <w:rFonts w:cs="Arial"/>
          <w:sz w:val="22"/>
          <w:szCs w:val="22"/>
        </w:rPr>
        <w:t>V</w:t>
      </w:r>
      <w:r w:rsidR="008727C7" w:rsidRPr="00A032F8">
        <w:rPr>
          <w:rFonts w:cs="Arial"/>
          <w:sz w:val="22"/>
          <w:szCs w:val="22"/>
        </w:rPr>
        <w:t xml:space="preserve">ýdaje na </w:t>
      </w:r>
      <w:r w:rsidR="00B947A2" w:rsidRPr="00A032F8">
        <w:rPr>
          <w:rFonts w:cs="Arial"/>
          <w:sz w:val="22"/>
          <w:szCs w:val="22"/>
        </w:rPr>
        <w:t>pro</w:t>
      </w:r>
      <w:r w:rsidR="00AF1907" w:rsidRPr="00A032F8">
        <w:rPr>
          <w:rFonts w:cs="Arial"/>
          <w:sz w:val="22"/>
          <w:szCs w:val="22"/>
        </w:rPr>
        <w:t>gram č.</w:t>
      </w:r>
      <w:r w:rsidR="00785380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>129</w:t>
      </w:r>
      <w:r w:rsidR="00785380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>130 mají činit 4</w:t>
      </w:r>
      <w:r w:rsidR="00F133C2" w:rsidRPr="00A032F8">
        <w:rPr>
          <w:rFonts w:cs="Arial"/>
          <w:sz w:val="22"/>
          <w:szCs w:val="22"/>
        </w:rPr>
        <w:t> </w:t>
      </w:r>
      <w:r w:rsidR="008727C7" w:rsidRPr="00A032F8">
        <w:rPr>
          <w:rFonts w:cs="Arial"/>
          <w:sz w:val="22"/>
          <w:szCs w:val="22"/>
        </w:rPr>
        <w:t>000</w:t>
      </w:r>
      <w:r w:rsidR="00F133C2" w:rsidRPr="00A032F8">
        <w:rPr>
          <w:rFonts w:cs="Arial"/>
          <w:sz w:val="22"/>
          <w:szCs w:val="22"/>
        </w:rPr>
        <w:t> </w:t>
      </w:r>
      <w:r w:rsidR="008727C7" w:rsidRPr="00A032F8">
        <w:rPr>
          <w:rFonts w:cs="Arial"/>
          <w:sz w:val="22"/>
          <w:szCs w:val="22"/>
        </w:rPr>
        <w:t>mil.</w:t>
      </w:r>
      <w:r w:rsidR="00F133C2" w:rsidRPr="00A032F8">
        <w:rPr>
          <w:rFonts w:cs="Arial"/>
          <w:sz w:val="22"/>
          <w:szCs w:val="22"/>
        </w:rPr>
        <w:t> </w:t>
      </w:r>
      <w:r w:rsidR="008727C7" w:rsidRPr="00A032F8">
        <w:rPr>
          <w:rFonts w:cs="Arial"/>
          <w:sz w:val="22"/>
          <w:szCs w:val="22"/>
        </w:rPr>
        <w:t>Kč</w:t>
      </w:r>
      <w:r w:rsidR="00B947A2" w:rsidRPr="00A032F8">
        <w:rPr>
          <w:rFonts w:cs="Arial"/>
          <w:sz w:val="22"/>
          <w:szCs w:val="22"/>
        </w:rPr>
        <w:t>. Hrazeny mají být ve výši 2</w:t>
      </w:r>
      <w:r w:rsidR="00785380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 xml:space="preserve">000 mil. Kč </w:t>
      </w:r>
      <w:r w:rsidR="008727C7" w:rsidRPr="00A032F8">
        <w:rPr>
          <w:rFonts w:cs="Arial"/>
          <w:sz w:val="22"/>
          <w:szCs w:val="22"/>
        </w:rPr>
        <w:t>z</w:t>
      </w:r>
      <w:r w:rsidR="00785380" w:rsidRPr="00A032F8">
        <w:rPr>
          <w:rFonts w:cs="Arial"/>
          <w:sz w:val="22"/>
          <w:szCs w:val="22"/>
        </w:rPr>
        <w:t xml:space="preserve"> </w:t>
      </w:r>
      <w:r w:rsidR="008727C7" w:rsidRPr="00A032F8">
        <w:rPr>
          <w:rFonts w:cs="Arial"/>
          <w:sz w:val="22"/>
          <w:szCs w:val="22"/>
        </w:rPr>
        <w:t>úvěr</w:t>
      </w:r>
      <w:r w:rsidR="00B947A2" w:rsidRPr="00A032F8">
        <w:rPr>
          <w:rFonts w:cs="Arial"/>
          <w:sz w:val="22"/>
          <w:szCs w:val="22"/>
        </w:rPr>
        <w:t>u</w:t>
      </w:r>
      <w:r w:rsidR="008727C7" w:rsidRPr="00A032F8">
        <w:rPr>
          <w:rFonts w:cs="Arial"/>
          <w:sz w:val="22"/>
          <w:szCs w:val="22"/>
        </w:rPr>
        <w:t xml:space="preserve"> od Evropské investiční banky,</w:t>
      </w:r>
      <w:r w:rsidR="00B947A2" w:rsidRPr="00A032F8">
        <w:rPr>
          <w:rFonts w:cs="Arial"/>
          <w:sz w:val="22"/>
          <w:szCs w:val="22"/>
        </w:rPr>
        <w:t xml:space="preserve"> ve výši </w:t>
      </w:r>
      <w:r w:rsidR="006D206A" w:rsidRPr="00A032F8">
        <w:rPr>
          <w:rFonts w:cs="Arial"/>
          <w:sz w:val="22"/>
          <w:szCs w:val="22"/>
        </w:rPr>
        <w:t>1</w:t>
      </w:r>
      <w:r w:rsidR="00785380" w:rsidRPr="00A032F8">
        <w:rPr>
          <w:rFonts w:cs="Arial"/>
          <w:sz w:val="22"/>
          <w:szCs w:val="22"/>
        </w:rPr>
        <w:t xml:space="preserve"> </w:t>
      </w:r>
      <w:r w:rsidR="006D206A" w:rsidRPr="00A032F8">
        <w:rPr>
          <w:rFonts w:cs="Arial"/>
          <w:sz w:val="22"/>
          <w:szCs w:val="22"/>
        </w:rPr>
        <w:t>200</w:t>
      </w:r>
      <w:r w:rsidR="00B947A2" w:rsidRPr="00A032F8">
        <w:rPr>
          <w:rFonts w:cs="Arial"/>
          <w:sz w:val="22"/>
          <w:szCs w:val="22"/>
        </w:rPr>
        <w:t xml:space="preserve"> mil. Kč z</w:t>
      </w:r>
      <w:r w:rsidR="00785380" w:rsidRPr="00A032F8">
        <w:rPr>
          <w:rFonts w:cs="Arial"/>
          <w:sz w:val="22"/>
          <w:szCs w:val="22"/>
        </w:rPr>
        <w:t xml:space="preserve"> </w:t>
      </w:r>
      <w:r w:rsidR="00B947A2" w:rsidRPr="00A032F8">
        <w:rPr>
          <w:rFonts w:cs="Arial"/>
          <w:sz w:val="22"/>
          <w:szCs w:val="22"/>
        </w:rPr>
        <w:t>prostředků státního rozpočtu</w:t>
      </w:r>
      <w:r w:rsidR="006D206A" w:rsidRPr="00A032F8">
        <w:rPr>
          <w:rFonts w:cs="Arial"/>
          <w:sz w:val="22"/>
          <w:szCs w:val="22"/>
          <w:vertAlign w:val="superscript"/>
        </w:rPr>
        <w:t>4</w:t>
      </w:r>
      <w:r w:rsidR="006D206A" w:rsidRPr="00A032F8">
        <w:rPr>
          <w:rFonts w:cs="Arial"/>
          <w:sz w:val="22"/>
          <w:szCs w:val="22"/>
        </w:rPr>
        <w:t xml:space="preserve"> a</w:t>
      </w:r>
      <w:r w:rsidR="00B947A2" w:rsidRPr="00A032F8">
        <w:rPr>
          <w:rFonts w:cs="Arial"/>
          <w:sz w:val="22"/>
          <w:szCs w:val="22"/>
        </w:rPr>
        <w:t xml:space="preserve"> ve výši 800 mil. Kč ze zdrojů účastníků programu</w:t>
      </w:r>
      <w:r w:rsidR="008727C7" w:rsidRPr="00A032F8">
        <w:rPr>
          <w:rFonts w:cs="Arial"/>
          <w:sz w:val="22"/>
          <w:szCs w:val="22"/>
        </w:rPr>
        <w:t>.</w:t>
      </w:r>
    </w:p>
    <w:p w:rsidR="008727C7" w:rsidRPr="00A032F8" w:rsidRDefault="008727C7" w:rsidP="008727C7">
      <w:pPr>
        <w:jc w:val="both"/>
        <w:rPr>
          <w:rFonts w:cs="Arial"/>
          <w:sz w:val="22"/>
          <w:szCs w:val="22"/>
        </w:rPr>
      </w:pPr>
    </w:p>
    <w:p w:rsidR="00DE2042" w:rsidRPr="00A032F8" w:rsidRDefault="009C1637" w:rsidP="00CC6BC7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Program</w:t>
      </w:r>
      <w:r w:rsidR="008727C7" w:rsidRPr="00A032F8">
        <w:rPr>
          <w:rFonts w:cs="Arial"/>
          <w:sz w:val="22"/>
          <w:szCs w:val="22"/>
        </w:rPr>
        <w:t xml:space="preserve">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="008727C7" w:rsidRPr="00A032F8">
        <w:rPr>
          <w:rFonts w:cs="Arial"/>
          <w:sz w:val="22"/>
          <w:szCs w:val="22"/>
        </w:rPr>
        <w:t>120</w:t>
      </w:r>
      <w:r w:rsidRPr="00A032F8">
        <w:rPr>
          <w:rFonts w:cs="Arial"/>
          <w:sz w:val="22"/>
          <w:szCs w:val="22"/>
        </w:rPr>
        <w:t xml:space="preserve"> </w:t>
      </w:r>
      <w:r w:rsidR="00095ED9" w:rsidRPr="00A032F8">
        <w:rPr>
          <w:rFonts w:cs="Arial"/>
          <w:sz w:val="22"/>
          <w:szCs w:val="22"/>
        </w:rPr>
        <w:t xml:space="preserve">se člení na </w:t>
      </w:r>
      <w:r w:rsidR="00141D91" w:rsidRPr="00A032F8">
        <w:rPr>
          <w:rFonts w:cs="Arial"/>
          <w:sz w:val="22"/>
          <w:szCs w:val="22"/>
        </w:rPr>
        <w:t>pět podprogramů</w:t>
      </w:r>
      <w:r w:rsidR="00307F23" w:rsidRPr="00A032F8">
        <w:rPr>
          <w:rFonts w:cs="Arial"/>
          <w:sz w:val="22"/>
          <w:szCs w:val="22"/>
        </w:rPr>
        <w:t>,</w:t>
      </w:r>
      <w:r w:rsidR="00095ED9" w:rsidRPr="00A032F8">
        <w:rPr>
          <w:rFonts w:cs="Arial"/>
          <w:sz w:val="22"/>
          <w:szCs w:val="22"/>
        </w:rPr>
        <w:t xml:space="preserve"> a to 129</w:t>
      </w:r>
      <w:r w:rsidR="003E56B4">
        <w:rPr>
          <w:rFonts w:cs="Arial"/>
          <w:sz w:val="22"/>
          <w:szCs w:val="22"/>
        </w:rPr>
        <w:t> </w:t>
      </w:r>
      <w:r w:rsidR="00095ED9" w:rsidRPr="00A032F8">
        <w:rPr>
          <w:rFonts w:cs="Arial"/>
          <w:sz w:val="22"/>
          <w:szCs w:val="22"/>
        </w:rPr>
        <w:t>122</w:t>
      </w:r>
      <w:r w:rsidR="003E56B4">
        <w:rPr>
          <w:rFonts w:cs="Arial"/>
          <w:sz w:val="22"/>
          <w:szCs w:val="22"/>
        </w:rPr>
        <w:t> –</w:t>
      </w:r>
      <w:r w:rsidR="00095ED9" w:rsidRPr="00A032F8">
        <w:rPr>
          <w:rFonts w:cs="Arial"/>
          <w:sz w:val="22"/>
          <w:szCs w:val="22"/>
        </w:rPr>
        <w:t xml:space="preserve"> </w:t>
      </w:r>
      <w:r w:rsidR="00B36068" w:rsidRPr="00A032F8">
        <w:rPr>
          <w:rFonts w:cs="Arial"/>
          <w:i/>
          <w:sz w:val="22"/>
          <w:szCs w:val="22"/>
        </w:rPr>
        <w:t>Podpora protipovodňových opatření s</w:t>
      </w:r>
      <w:r w:rsidR="00785380" w:rsidRPr="00A032F8">
        <w:rPr>
          <w:rFonts w:cs="Arial"/>
          <w:i/>
          <w:sz w:val="22"/>
          <w:szCs w:val="22"/>
        </w:rPr>
        <w:t xml:space="preserve"> </w:t>
      </w:r>
      <w:r w:rsidR="00B36068" w:rsidRPr="00A032F8">
        <w:rPr>
          <w:rFonts w:cs="Arial"/>
          <w:i/>
          <w:sz w:val="22"/>
          <w:szCs w:val="22"/>
        </w:rPr>
        <w:t>retencí</w:t>
      </w:r>
      <w:r w:rsidR="00B36068" w:rsidRPr="00A032F8">
        <w:rPr>
          <w:rFonts w:cs="Arial"/>
          <w:sz w:val="22"/>
          <w:szCs w:val="22"/>
        </w:rPr>
        <w:t>, 129</w:t>
      </w:r>
      <w:r w:rsidR="003E56B4">
        <w:rPr>
          <w:rFonts w:cs="Arial"/>
          <w:sz w:val="22"/>
          <w:szCs w:val="22"/>
        </w:rPr>
        <w:t> </w:t>
      </w:r>
      <w:r w:rsidR="00B36068" w:rsidRPr="00A032F8">
        <w:rPr>
          <w:rFonts w:cs="Arial"/>
          <w:sz w:val="22"/>
          <w:szCs w:val="22"/>
        </w:rPr>
        <w:t>123</w:t>
      </w:r>
      <w:r w:rsidR="003E56B4">
        <w:rPr>
          <w:rFonts w:cs="Arial"/>
          <w:sz w:val="22"/>
          <w:szCs w:val="22"/>
        </w:rPr>
        <w:t> –</w:t>
      </w:r>
      <w:r w:rsidR="00B36068" w:rsidRPr="00A032F8">
        <w:rPr>
          <w:rFonts w:cs="Arial"/>
          <w:sz w:val="22"/>
          <w:szCs w:val="22"/>
        </w:rPr>
        <w:t xml:space="preserve"> </w:t>
      </w:r>
      <w:r w:rsidR="00B36068" w:rsidRPr="00A032F8">
        <w:rPr>
          <w:rFonts w:cs="Arial"/>
          <w:i/>
          <w:sz w:val="22"/>
          <w:szCs w:val="22"/>
        </w:rPr>
        <w:t>Podpora protipovodňových opatření podél vodních toků</w:t>
      </w:r>
      <w:r w:rsidR="007134D1" w:rsidRPr="00A032F8">
        <w:rPr>
          <w:rFonts w:cs="Arial"/>
          <w:sz w:val="22"/>
          <w:szCs w:val="22"/>
        </w:rPr>
        <w:t xml:space="preserve">, </w:t>
      </w:r>
      <w:r w:rsidR="00B36068" w:rsidRPr="00A032F8">
        <w:rPr>
          <w:rFonts w:cs="Arial"/>
          <w:sz w:val="22"/>
          <w:szCs w:val="22"/>
        </w:rPr>
        <w:t>129</w:t>
      </w:r>
      <w:r w:rsidR="003E56B4">
        <w:rPr>
          <w:rFonts w:cs="Arial"/>
          <w:sz w:val="22"/>
          <w:szCs w:val="22"/>
        </w:rPr>
        <w:t> </w:t>
      </w:r>
      <w:r w:rsidR="00B36068" w:rsidRPr="00A032F8">
        <w:rPr>
          <w:rFonts w:cs="Arial"/>
          <w:sz w:val="22"/>
          <w:szCs w:val="22"/>
        </w:rPr>
        <w:t>124</w:t>
      </w:r>
      <w:r w:rsidR="003E56B4">
        <w:rPr>
          <w:rFonts w:cs="Arial"/>
          <w:sz w:val="22"/>
          <w:szCs w:val="22"/>
        </w:rPr>
        <w:t> –</w:t>
      </w:r>
      <w:r w:rsidR="00B36068" w:rsidRPr="00A032F8">
        <w:rPr>
          <w:rFonts w:cs="Arial"/>
          <w:sz w:val="22"/>
          <w:szCs w:val="22"/>
        </w:rPr>
        <w:t xml:space="preserve"> </w:t>
      </w:r>
      <w:r w:rsidR="00B36068" w:rsidRPr="00A032F8">
        <w:rPr>
          <w:rFonts w:cs="Arial"/>
          <w:i/>
          <w:sz w:val="22"/>
          <w:szCs w:val="22"/>
        </w:rPr>
        <w:t>Podpora zvyšování bezpečnosti vodních děl</w:t>
      </w:r>
      <w:r w:rsidR="00141D91" w:rsidRPr="00A032F8">
        <w:rPr>
          <w:rFonts w:cs="Arial"/>
          <w:sz w:val="22"/>
          <w:szCs w:val="22"/>
        </w:rPr>
        <w:t xml:space="preserve">, </w:t>
      </w:r>
      <w:r w:rsidR="00B36068" w:rsidRPr="00A032F8">
        <w:rPr>
          <w:rFonts w:cs="Arial"/>
          <w:sz w:val="22"/>
          <w:szCs w:val="22"/>
        </w:rPr>
        <w:t>129</w:t>
      </w:r>
      <w:r w:rsidR="003E56B4">
        <w:rPr>
          <w:rFonts w:cs="Arial"/>
          <w:sz w:val="22"/>
          <w:szCs w:val="22"/>
        </w:rPr>
        <w:t> </w:t>
      </w:r>
      <w:r w:rsidR="00B36068" w:rsidRPr="00A032F8">
        <w:rPr>
          <w:rFonts w:cs="Arial"/>
          <w:sz w:val="22"/>
          <w:szCs w:val="22"/>
        </w:rPr>
        <w:t>125</w:t>
      </w:r>
      <w:r w:rsidR="003E56B4">
        <w:rPr>
          <w:rFonts w:cs="Arial"/>
          <w:sz w:val="22"/>
          <w:szCs w:val="22"/>
        </w:rPr>
        <w:t> –</w:t>
      </w:r>
      <w:r w:rsidR="00B36068" w:rsidRPr="00A032F8">
        <w:rPr>
          <w:rFonts w:cs="Arial"/>
          <w:sz w:val="22"/>
          <w:szCs w:val="22"/>
        </w:rPr>
        <w:t xml:space="preserve"> </w:t>
      </w:r>
      <w:r w:rsidR="00B36068" w:rsidRPr="00A032F8">
        <w:rPr>
          <w:rFonts w:cs="Arial"/>
          <w:i/>
          <w:sz w:val="22"/>
          <w:szCs w:val="22"/>
        </w:rPr>
        <w:t>Podpora vymezení záplavových území a studií odtokových poměrů</w:t>
      </w:r>
      <w:r w:rsidR="00362B4C" w:rsidRPr="00A032F8">
        <w:rPr>
          <w:rFonts w:cs="Arial"/>
          <w:i/>
          <w:sz w:val="22"/>
          <w:szCs w:val="22"/>
        </w:rPr>
        <w:t xml:space="preserve"> </w:t>
      </w:r>
      <w:r w:rsidR="00362B4C" w:rsidRPr="00A032F8">
        <w:rPr>
          <w:rFonts w:cs="Arial"/>
          <w:sz w:val="22"/>
          <w:szCs w:val="22"/>
        </w:rPr>
        <w:t>a 129</w:t>
      </w:r>
      <w:r w:rsidR="003E56B4">
        <w:rPr>
          <w:rFonts w:cs="Arial"/>
          <w:sz w:val="22"/>
          <w:szCs w:val="22"/>
        </w:rPr>
        <w:t> </w:t>
      </w:r>
      <w:r w:rsidR="00362B4C" w:rsidRPr="00A032F8">
        <w:rPr>
          <w:rFonts w:cs="Arial"/>
          <w:sz w:val="22"/>
          <w:szCs w:val="22"/>
        </w:rPr>
        <w:t>126</w:t>
      </w:r>
      <w:r w:rsidR="003E56B4">
        <w:rPr>
          <w:rFonts w:cs="Arial"/>
          <w:sz w:val="22"/>
          <w:szCs w:val="22"/>
        </w:rPr>
        <w:t> –</w:t>
      </w:r>
      <w:r w:rsidR="00362B4C" w:rsidRPr="00A032F8">
        <w:rPr>
          <w:rFonts w:cs="Arial"/>
          <w:sz w:val="22"/>
          <w:szCs w:val="22"/>
        </w:rPr>
        <w:t xml:space="preserve"> </w:t>
      </w:r>
      <w:r w:rsidR="00362B4C" w:rsidRPr="00A032F8">
        <w:rPr>
          <w:rFonts w:cs="Arial"/>
          <w:i/>
          <w:sz w:val="22"/>
          <w:szCs w:val="22"/>
        </w:rPr>
        <w:t>Podpora zadržování vody v</w:t>
      </w:r>
      <w:r w:rsidR="003E56B4">
        <w:rPr>
          <w:rFonts w:cs="Arial"/>
          <w:i/>
          <w:sz w:val="22"/>
          <w:szCs w:val="22"/>
        </w:rPr>
        <w:t> </w:t>
      </w:r>
      <w:r w:rsidR="00362B4C" w:rsidRPr="00A032F8">
        <w:rPr>
          <w:rFonts w:cs="Arial"/>
          <w:i/>
          <w:sz w:val="22"/>
          <w:szCs w:val="22"/>
        </w:rPr>
        <w:t>suchých nádržích na drobných vodních tocích</w:t>
      </w:r>
      <w:r w:rsidR="00B36068" w:rsidRPr="00A032F8">
        <w:rPr>
          <w:rFonts w:cs="Arial"/>
          <w:sz w:val="22"/>
          <w:szCs w:val="22"/>
        </w:rPr>
        <w:t xml:space="preserve">. </w:t>
      </w:r>
      <w:r w:rsidR="00095ED9" w:rsidRPr="00A032F8">
        <w:rPr>
          <w:rFonts w:cs="Arial"/>
          <w:sz w:val="22"/>
          <w:szCs w:val="22"/>
        </w:rPr>
        <w:t xml:space="preserve">Kontrola byla </w:t>
      </w:r>
      <w:r w:rsidR="008727C7" w:rsidRPr="00A032F8">
        <w:rPr>
          <w:rFonts w:cs="Arial"/>
          <w:sz w:val="22"/>
          <w:szCs w:val="22"/>
        </w:rPr>
        <w:t xml:space="preserve">především zaměřena </w:t>
      </w:r>
      <w:r w:rsidR="005006B5" w:rsidRPr="00A032F8">
        <w:rPr>
          <w:rFonts w:cs="Arial"/>
          <w:sz w:val="22"/>
          <w:szCs w:val="22"/>
        </w:rPr>
        <w:t>na</w:t>
      </w:r>
      <w:r w:rsidR="00095ED9" w:rsidRPr="00A032F8">
        <w:rPr>
          <w:rFonts w:cs="Arial"/>
          <w:sz w:val="22"/>
          <w:szCs w:val="22"/>
        </w:rPr>
        <w:t xml:space="preserve"> podprogramy</w:t>
      </w:r>
      <w:r w:rsidR="00B36068" w:rsidRPr="00A032F8">
        <w:rPr>
          <w:rFonts w:cs="Arial"/>
          <w:sz w:val="22"/>
          <w:szCs w:val="22"/>
        </w:rPr>
        <w:t xml:space="preserve"> </w:t>
      </w:r>
      <w:r w:rsidR="008727C7" w:rsidRPr="00A032F8">
        <w:rPr>
          <w:rFonts w:cs="Arial"/>
          <w:sz w:val="22"/>
          <w:szCs w:val="22"/>
        </w:rPr>
        <w:t>č.</w:t>
      </w:r>
      <w:r w:rsidR="00DE2042" w:rsidRPr="00A032F8">
        <w:rPr>
          <w:rFonts w:cs="Arial"/>
          <w:sz w:val="22"/>
          <w:szCs w:val="22"/>
        </w:rPr>
        <w:t xml:space="preserve"> 129</w:t>
      </w:r>
      <w:r w:rsidR="00785380" w:rsidRPr="00A032F8">
        <w:rPr>
          <w:rFonts w:cs="Arial"/>
          <w:sz w:val="22"/>
          <w:szCs w:val="22"/>
        </w:rPr>
        <w:t xml:space="preserve"> </w:t>
      </w:r>
      <w:r w:rsidR="00DE2042" w:rsidRPr="00A032F8">
        <w:rPr>
          <w:rFonts w:cs="Arial"/>
          <w:sz w:val="22"/>
          <w:szCs w:val="22"/>
        </w:rPr>
        <w:t>123 a</w:t>
      </w:r>
      <w:r w:rsidR="00307F23" w:rsidRPr="00A032F8">
        <w:rPr>
          <w:rFonts w:cs="Arial"/>
          <w:sz w:val="22"/>
          <w:szCs w:val="22"/>
        </w:rPr>
        <w:t> </w:t>
      </w:r>
      <w:r w:rsidR="003E56B4">
        <w:rPr>
          <w:rFonts w:cs="Arial"/>
          <w:sz w:val="22"/>
          <w:szCs w:val="22"/>
        </w:rPr>
        <w:t>č. </w:t>
      </w:r>
      <w:r w:rsidR="00DE2042" w:rsidRPr="00A032F8">
        <w:rPr>
          <w:rFonts w:cs="Arial"/>
          <w:sz w:val="22"/>
          <w:szCs w:val="22"/>
        </w:rPr>
        <w:t xml:space="preserve">129 124, </w:t>
      </w:r>
      <w:r w:rsidR="00C46AC0">
        <w:rPr>
          <w:rFonts w:cs="Arial"/>
          <w:sz w:val="22"/>
          <w:szCs w:val="22"/>
        </w:rPr>
        <w:t xml:space="preserve">z nichž </w:t>
      </w:r>
      <w:r w:rsidR="00DE2042" w:rsidRPr="00A032F8">
        <w:rPr>
          <w:rFonts w:cs="Arial"/>
          <w:sz w:val="22"/>
          <w:szCs w:val="22"/>
        </w:rPr>
        <w:t>bylo u příjemců podpory podrobeno kontrole 18 akcí s</w:t>
      </w:r>
      <w:r w:rsidR="00785380" w:rsidRPr="00A032F8">
        <w:rPr>
          <w:rFonts w:cs="Arial"/>
          <w:sz w:val="22"/>
          <w:szCs w:val="22"/>
        </w:rPr>
        <w:t xml:space="preserve"> </w:t>
      </w:r>
      <w:r w:rsidR="00DE2042" w:rsidRPr="00A032F8">
        <w:rPr>
          <w:rFonts w:cs="Arial"/>
          <w:sz w:val="22"/>
          <w:szCs w:val="22"/>
        </w:rPr>
        <w:t>celkovými náklady 2</w:t>
      </w:r>
      <w:r w:rsidR="00785380" w:rsidRPr="00A032F8">
        <w:rPr>
          <w:rFonts w:cs="Arial"/>
          <w:sz w:val="22"/>
          <w:szCs w:val="22"/>
        </w:rPr>
        <w:t xml:space="preserve"> </w:t>
      </w:r>
      <w:r w:rsidR="001C72BF" w:rsidRPr="00A032F8">
        <w:rPr>
          <w:rFonts w:cs="Arial"/>
          <w:sz w:val="22"/>
          <w:szCs w:val="22"/>
        </w:rPr>
        <w:t>289</w:t>
      </w:r>
      <w:r w:rsidR="00DE2042" w:rsidRPr="00A032F8">
        <w:rPr>
          <w:rFonts w:cs="Arial"/>
          <w:sz w:val="22"/>
          <w:szCs w:val="22"/>
        </w:rPr>
        <w:t xml:space="preserve"> mil. Kč.</w:t>
      </w:r>
    </w:p>
    <w:p w:rsidR="002C2AC4" w:rsidRPr="00A032F8" w:rsidRDefault="002C2AC4" w:rsidP="00CC6BC7">
      <w:pPr>
        <w:jc w:val="both"/>
        <w:rPr>
          <w:rFonts w:cs="Arial"/>
          <w:sz w:val="22"/>
          <w:szCs w:val="22"/>
        </w:rPr>
      </w:pPr>
    </w:p>
    <w:p w:rsidR="008B3092" w:rsidRPr="00A032F8" w:rsidRDefault="00095ED9" w:rsidP="00CC6BC7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Program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130 se člení na dva podprogramy. Kontrolován byl podprogram</w:t>
      </w:r>
      <w:r w:rsidR="005006B5" w:rsidRPr="00A032F8">
        <w:rPr>
          <w:rFonts w:cs="Arial"/>
          <w:sz w:val="22"/>
          <w:szCs w:val="22"/>
        </w:rPr>
        <w:t xml:space="preserve"> č.</w:t>
      </w:r>
      <w:r w:rsidR="003E56B4">
        <w:rPr>
          <w:rFonts w:cs="Arial"/>
          <w:sz w:val="22"/>
          <w:szCs w:val="22"/>
        </w:rPr>
        <w:t> </w:t>
      </w:r>
      <w:r w:rsidR="005006B5" w:rsidRPr="00A032F8">
        <w:rPr>
          <w:rFonts w:cs="Arial"/>
          <w:sz w:val="22"/>
          <w:szCs w:val="22"/>
        </w:rPr>
        <w:t>129</w:t>
      </w:r>
      <w:r w:rsidR="003E56B4">
        <w:rPr>
          <w:rFonts w:cs="Arial"/>
          <w:sz w:val="22"/>
          <w:szCs w:val="22"/>
        </w:rPr>
        <w:t> </w:t>
      </w:r>
      <w:r w:rsidR="005006B5" w:rsidRPr="00A032F8">
        <w:rPr>
          <w:rFonts w:cs="Arial"/>
          <w:sz w:val="22"/>
          <w:szCs w:val="22"/>
        </w:rPr>
        <w:t>132</w:t>
      </w:r>
      <w:r w:rsidR="003E56B4">
        <w:rPr>
          <w:rFonts w:cs="Arial"/>
          <w:sz w:val="22"/>
          <w:szCs w:val="22"/>
        </w:rPr>
        <w:t> –</w:t>
      </w:r>
      <w:r w:rsidR="005006B5" w:rsidRPr="00A032F8">
        <w:rPr>
          <w:rFonts w:cs="Arial"/>
          <w:sz w:val="22"/>
          <w:szCs w:val="22"/>
        </w:rPr>
        <w:t xml:space="preserve"> </w:t>
      </w:r>
      <w:r w:rsidR="005006B5" w:rsidRPr="00A032F8">
        <w:rPr>
          <w:rFonts w:cs="Arial"/>
          <w:i/>
          <w:sz w:val="22"/>
          <w:szCs w:val="22"/>
        </w:rPr>
        <w:t>Obnova, odbahnění a rekonstrukce rybníků a výstavba vodních nádrží</w:t>
      </w:r>
      <w:r w:rsidR="00B36068" w:rsidRPr="00A032F8">
        <w:rPr>
          <w:rFonts w:cs="Arial"/>
          <w:sz w:val="22"/>
          <w:szCs w:val="22"/>
        </w:rPr>
        <w:t xml:space="preserve">, </w:t>
      </w:r>
      <w:r w:rsidR="00C46AC0">
        <w:rPr>
          <w:rFonts w:cs="Arial"/>
          <w:sz w:val="22"/>
          <w:szCs w:val="22"/>
        </w:rPr>
        <w:t xml:space="preserve">z něhož </w:t>
      </w:r>
      <w:r w:rsidR="00DE2042" w:rsidRPr="00A032F8">
        <w:rPr>
          <w:rFonts w:cs="Arial"/>
          <w:sz w:val="22"/>
          <w:szCs w:val="22"/>
        </w:rPr>
        <w:t>bylo</w:t>
      </w:r>
      <w:r w:rsidR="005006B5" w:rsidRPr="00A032F8">
        <w:rPr>
          <w:rFonts w:cs="Arial"/>
          <w:sz w:val="22"/>
          <w:szCs w:val="22"/>
        </w:rPr>
        <w:t xml:space="preserve"> </w:t>
      </w:r>
      <w:r w:rsidR="00B36068" w:rsidRPr="00A032F8">
        <w:rPr>
          <w:rFonts w:cs="Arial"/>
          <w:sz w:val="22"/>
          <w:szCs w:val="22"/>
        </w:rPr>
        <w:t>u </w:t>
      </w:r>
      <w:r w:rsidR="002C2AC4" w:rsidRPr="00A032F8">
        <w:rPr>
          <w:rFonts w:cs="Arial"/>
          <w:sz w:val="22"/>
          <w:szCs w:val="22"/>
        </w:rPr>
        <w:t>příjemců</w:t>
      </w:r>
      <w:r w:rsidR="00DE2042" w:rsidRPr="00A032F8">
        <w:rPr>
          <w:rFonts w:cs="Arial"/>
          <w:sz w:val="22"/>
          <w:szCs w:val="22"/>
        </w:rPr>
        <w:t xml:space="preserve"> podpory</w:t>
      </w:r>
      <w:r w:rsidR="002C2AC4" w:rsidRPr="00A032F8">
        <w:rPr>
          <w:rFonts w:cs="Arial"/>
          <w:sz w:val="22"/>
          <w:szCs w:val="22"/>
        </w:rPr>
        <w:t xml:space="preserve"> podrobeno</w:t>
      </w:r>
      <w:r w:rsidR="00DE2042" w:rsidRPr="00A032F8">
        <w:rPr>
          <w:rFonts w:cs="Arial"/>
          <w:sz w:val="22"/>
          <w:szCs w:val="22"/>
        </w:rPr>
        <w:t xml:space="preserve"> kontrole</w:t>
      </w:r>
      <w:r w:rsidR="002C2AC4" w:rsidRPr="00A032F8">
        <w:rPr>
          <w:rFonts w:cs="Arial"/>
          <w:sz w:val="22"/>
          <w:szCs w:val="22"/>
        </w:rPr>
        <w:t xml:space="preserve"> 15 akcí s</w:t>
      </w:r>
      <w:r w:rsidR="00785380" w:rsidRPr="00A032F8">
        <w:rPr>
          <w:rFonts w:cs="Arial"/>
          <w:sz w:val="22"/>
          <w:szCs w:val="22"/>
        </w:rPr>
        <w:t xml:space="preserve"> </w:t>
      </w:r>
      <w:r w:rsidR="002C2AC4" w:rsidRPr="00A032F8">
        <w:rPr>
          <w:rFonts w:cs="Arial"/>
          <w:sz w:val="22"/>
          <w:szCs w:val="22"/>
        </w:rPr>
        <w:t>celkovými náklady 342 mil. Kč.</w:t>
      </w:r>
      <w:r w:rsidRPr="00A032F8">
        <w:rPr>
          <w:rFonts w:cs="Arial"/>
          <w:sz w:val="22"/>
          <w:szCs w:val="22"/>
        </w:rPr>
        <w:t xml:space="preserve"> Druhý podprogram</w:t>
      </w:r>
      <w:r w:rsidR="00B36068" w:rsidRPr="00A032F8">
        <w:rPr>
          <w:rFonts w:cs="Arial"/>
          <w:sz w:val="22"/>
          <w:szCs w:val="22"/>
        </w:rPr>
        <w:t xml:space="preserve"> č.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129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133</w:t>
      </w:r>
      <w:r w:rsidR="003E56B4">
        <w:rPr>
          <w:rFonts w:cs="Arial"/>
          <w:sz w:val="22"/>
          <w:szCs w:val="22"/>
        </w:rPr>
        <w:t> –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i/>
          <w:sz w:val="22"/>
          <w:szCs w:val="22"/>
        </w:rPr>
        <w:t>Odstraňování povodňových škod n</w:t>
      </w:r>
      <w:r w:rsidR="00DE2042" w:rsidRPr="00A032F8">
        <w:rPr>
          <w:rFonts w:cs="Arial"/>
          <w:i/>
          <w:sz w:val="22"/>
          <w:szCs w:val="22"/>
        </w:rPr>
        <w:t>a hrázích a</w:t>
      </w:r>
      <w:r w:rsidR="003E56B4">
        <w:rPr>
          <w:rFonts w:cs="Arial"/>
          <w:i/>
          <w:sz w:val="22"/>
          <w:szCs w:val="22"/>
        </w:rPr>
        <w:t> </w:t>
      </w:r>
      <w:r w:rsidR="00DE2042" w:rsidRPr="00A032F8">
        <w:rPr>
          <w:rFonts w:cs="Arial"/>
          <w:i/>
          <w:sz w:val="22"/>
          <w:szCs w:val="22"/>
        </w:rPr>
        <w:t>objektech rybníků a </w:t>
      </w:r>
      <w:r w:rsidRPr="00A032F8">
        <w:rPr>
          <w:rFonts w:cs="Arial"/>
          <w:i/>
          <w:sz w:val="22"/>
          <w:szCs w:val="22"/>
        </w:rPr>
        <w:t>vodních nádrží</w:t>
      </w:r>
      <w:r w:rsidR="00DE2042" w:rsidRPr="00A032F8">
        <w:rPr>
          <w:rFonts w:cs="Arial"/>
          <w:sz w:val="22"/>
          <w:szCs w:val="22"/>
        </w:rPr>
        <w:t xml:space="preserve"> byl koncipován</w:t>
      </w:r>
      <w:r w:rsidRPr="00A032F8">
        <w:rPr>
          <w:rFonts w:cs="Arial"/>
          <w:sz w:val="22"/>
          <w:szCs w:val="22"/>
        </w:rPr>
        <w:t xml:space="preserve"> jako předběžně připravený pro odstraňov</w:t>
      </w:r>
      <w:r w:rsidR="00DE2042" w:rsidRPr="00A032F8">
        <w:rPr>
          <w:rFonts w:cs="Arial"/>
          <w:sz w:val="22"/>
          <w:szCs w:val="22"/>
        </w:rPr>
        <w:t>ání budoucích škod po povodních a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nebyl v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době kontroly aktivní.</w:t>
      </w:r>
    </w:p>
    <w:p w:rsidR="00250598" w:rsidRPr="00A032F8" w:rsidRDefault="00250598" w:rsidP="00CC6BC7">
      <w:pPr>
        <w:jc w:val="both"/>
        <w:rPr>
          <w:rFonts w:cs="Arial"/>
          <w:sz w:val="22"/>
          <w:szCs w:val="22"/>
        </w:rPr>
      </w:pPr>
    </w:p>
    <w:p w:rsidR="00830BDF" w:rsidRPr="00A032F8" w:rsidRDefault="00830BDF" w:rsidP="0034250C">
      <w:pPr>
        <w:ind w:left="709" w:hanging="709"/>
        <w:jc w:val="both"/>
        <w:rPr>
          <w:rFonts w:cs="Arial"/>
          <w:sz w:val="20"/>
          <w:szCs w:val="20"/>
        </w:rPr>
      </w:pPr>
      <w:r w:rsidRPr="006040CA">
        <w:rPr>
          <w:rFonts w:cs="Arial"/>
          <w:b/>
          <w:sz w:val="20"/>
          <w:szCs w:val="20"/>
        </w:rPr>
        <w:t>Pozn</w:t>
      </w:r>
      <w:r w:rsidR="003E56B4">
        <w:rPr>
          <w:rFonts w:cs="Arial"/>
          <w:b/>
          <w:sz w:val="20"/>
          <w:szCs w:val="20"/>
        </w:rPr>
        <w:t>.:</w:t>
      </w:r>
      <w:r w:rsidRPr="00A032F8">
        <w:rPr>
          <w:rFonts w:cs="Arial"/>
          <w:sz w:val="20"/>
          <w:szCs w:val="20"/>
        </w:rPr>
        <w:tab/>
        <w:t>Právní předpisy uvedené v</w:t>
      </w:r>
      <w:r w:rsidR="00785380" w:rsidRPr="00A032F8">
        <w:rPr>
          <w:rFonts w:cs="Arial"/>
          <w:sz w:val="20"/>
          <w:szCs w:val="20"/>
        </w:rPr>
        <w:t xml:space="preserve"> </w:t>
      </w:r>
      <w:r w:rsidRPr="00A032F8">
        <w:rPr>
          <w:rFonts w:cs="Arial"/>
          <w:sz w:val="20"/>
          <w:szCs w:val="20"/>
        </w:rPr>
        <w:t>tomto kontrolním závěru jsou aplikovány ve znění účinném pro kontrolované období.</w:t>
      </w:r>
    </w:p>
    <w:p w:rsidR="00E624ED" w:rsidRPr="00A032F8" w:rsidRDefault="00E624ED" w:rsidP="00E624ED">
      <w:pPr>
        <w:jc w:val="both"/>
        <w:rPr>
          <w:rFonts w:cs="Arial"/>
          <w:sz w:val="22"/>
          <w:szCs w:val="22"/>
        </w:rPr>
      </w:pPr>
    </w:p>
    <w:p w:rsidR="00E624ED" w:rsidRPr="00A032F8" w:rsidRDefault="00E624ED" w:rsidP="00E624ED">
      <w:pPr>
        <w:jc w:val="both"/>
        <w:rPr>
          <w:rFonts w:cs="Arial"/>
          <w:sz w:val="22"/>
          <w:szCs w:val="22"/>
        </w:rPr>
      </w:pPr>
    </w:p>
    <w:p w:rsidR="00332DC7" w:rsidRPr="00A032F8" w:rsidRDefault="00830BDF" w:rsidP="00830BDF">
      <w:pPr>
        <w:jc w:val="center"/>
        <w:rPr>
          <w:rFonts w:cs="Arial"/>
          <w:b/>
          <w:sz w:val="22"/>
          <w:szCs w:val="22"/>
        </w:rPr>
      </w:pPr>
      <w:r w:rsidRPr="00A032F8">
        <w:rPr>
          <w:rFonts w:cs="Arial"/>
          <w:b/>
        </w:rPr>
        <w:t>II. Skutečnosti zjištěn</w:t>
      </w:r>
      <w:r w:rsidR="003E56B4">
        <w:rPr>
          <w:rFonts w:cs="Arial"/>
          <w:b/>
        </w:rPr>
        <w:t>é</w:t>
      </w:r>
      <w:r w:rsidRPr="00A032F8">
        <w:rPr>
          <w:rFonts w:cs="Arial"/>
          <w:b/>
        </w:rPr>
        <w:t xml:space="preserve"> při kontrole</w:t>
      </w:r>
    </w:p>
    <w:p w:rsidR="00830BDF" w:rsidRPr="00A032F8" w:rsidRDefault="00830BDF" w:rsidP="00E624ED">
      <w:pPr>
        <w:jc w:val="both"/>
        <w:rPr>
          <w:rFonts w:cs="Arial"/>
          <w:sz w:val="22"/>
          <w:szCs w:val="22"/>
        </w:rPr>
      </w:pPr>
    </w:p>
    <w:p w:rsidR="00DB275F" w:rsidRPr="00A032F8" w:rsidRDefault="00DB275F" w:rsidP="00DB275F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1. Programy č.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120 a</w:t>
      </w:r>
      <w:r w:rsidR="00C50A91" w:rsidRPr="00A032F8">
        <w:rPr>
          <w:rFonts w:cs="Arial"/>
          <w:b/>
          <w:sz w:val="22"/>
          <w:szCs w:val="22"/>
        </w:rPr>
        <w:t xml:space="preserve"> č.</w:t>
      </w:r>
      <w:r w:rsidRPr="00A032F8">
        <w:rPr>
          <w:rFonts w:cs="Arial"/>
          <w:b/>
          <w:sz w:val="22"/>
          <w:szCs w:val="22"/>
        </w:rPr>
        <w:t xml:space="preserve">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130</w:t>
      </w:r>
    </w:p>
    <w:p w:rsidR="00DB275F" w:rsidRPr="00A032F8" w:rsidRDefault="00DB275F" w:rsidP="00DB275F">
      <w:pPr>
        <w:jc w:val="both"/>
        <w:rPr>
          <w:rFonts w:cs="Arial"/>
          <w:sz w:val="22"/>
          <w:szCs w:val="22"/>
        </w:rPr>
      </w:pPr>
    </w:p>
    <w:p w:rsidR="00331BE4" w:rsidRPr="00A032F8" w:rsidRDefault="000959E9" w:rsidP="00DB27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Programy č. 129 120 a</w:t>
      </w:r>
      <w:r w:rsidR="00C50A91" w:rsidRPr="00A032F8">
        <w:rPr>
          <w:rFonts w:cs="Arial"/>
          <w:sz w:val="22"/>
          <w:szCs w:val="22"/>
        </w:rPr>
        <w:t xml:space="preserve"> č.</w:t>
      </w:r>
      <w:r w:rsidRPr="00A032F8">
        <w:rPr>
          <w:rFonts w:cs="Arial"/>
          <w:sz w:val="22"/>
          <w:szCs w:val="22"/>
        </w:rPr>
        <w:t xml:space="preserve">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130 navázaly na první etapu protipovodňových opatření, kterou </w:t>
      </w:r>
      <w:proofErr w:type="spellStart"/>
      <w:r w:rsidR="00DE2042" w:rsidRPr="00A032F8">
        <w:rPr>
          <w:rFonts w:cs="Arial"/>
          <w:sz w:val="22"/>
          <w:szCs w:val="22"/>
        </w:rPr>
        <w:t>MZe</w:t>
      </w:r>
      <w:proofErr w:type="spellEnd"/>
      <w:r w:rsidR="00DE2042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realizovalo </w:t>
      </w:r>
      <w:r w:rsidR="00DE2042" w:rsidRPr="00A032F8">
        <w:rPr>
          <w:rFonts w:cs="Arial"/>
          <w:sz w:val="22"/>
          <w:szCs w:val="22"/>
        </w:rPr>
        <w:t>v</w:t>
      </w:r>
      <w:r w:rsidR="00785380" w:rsidRPr="00A032F8">
        <w:rPr>
          <w:rFonts w:cs="Arial"/>
          <w:sz w:val="22"/>
          <w:szCs w:val="22"/>
        </w:rPr>
        <w:t xml:space="preserve"> </w:t>
      </w:r>
      <w:r w:rsidR="00DB275F" w:rsidRPr="00A032F8">
        <w:rPr>
          <w:rFonts w:cs="Arial"/>
          <w:sz w:val="22"/>
          <w:szCs w:val="22"/>
        </w:rPr>
        <w:t xml:space="preserve">letech 2002 až 2007 </w:t>
      </w:r>
      <w:r w:rsidRPr="00A032F8">
        <w:rPr>
          <w:rFonts w:cs="Arial"/>
          <w:sz w:val="22"/>
          <w:szCs w:val="22"/>
        </w:rPr>
        <w:t>v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rámci programů č.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229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060</w:t>
      </w:r>
      <w:r w:rsidR="003E56B4">
        <w:rPr>
          <w:rFonts w:cs="Arial"/>
          <w:sz w:val="22"/>
          <w:szCs w:val="22"/>
        </w:rPr>
        <w:t> –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i/>
          <w:sz w:val="22"/>
          <w:szCs w:val="22"/>
        </w:rPr>
        <w:t>Prevence před povodněmi</w:t>
      </w:r>
      <w:r w:rsidRPr="00A032F8">
        <w:rPr>
          <w:rFonts w:cs="Arial"/>
          <w:sz w:val="22"/>
          <w:szCs w:val="22"/>
        </w:rPr>
        <w:t xml:space="preserve"> a</w:t>
      </w:r>
      <w:r w:rsidR="003E56B4">
        <w:rPr>
          <w:rFonts w:cs="Arial"/>
          <w:sz w:val="22"/>
          <w:szCs w:val="22"/>
        </w:rPr>
        <w:t> </w:t>
      </w:r>
      <w:r w:rsidR="00C50A91" w:rsidRPr="00A032F8">
        <w:rPr>
          <w:rFonts w:cs="Arial"/>
          <w:sz w:val="22"/>
          <w:szCs w:val="22"/>
        </w:rPr>
        <w:t>č.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229</w:t>
      </w:r>
      <w:r w:rsidR="003E56B4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210</w:t>
      </w:r>
      <w:r w:rsidR="003E56B4">
        <w:rPr>
          <w:rFonts w:cs="Arial"/>
          <w:sz w:val="22"/>
          <w:szCs w:val="22"/>
        </w:rPr>
        <w:t> –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i/>
          <w:sz w:val="22"/>
          <w:szCs w:val="22"/>
        </w:rPr>
        <w:t>Obnova, odb</w:t>
      </w:r>
      <w:r w:rsidR="003E56B4">
        <w:rPr>
          <w:rFonts w:cs="Arial"/>
          <w:i/>
          <w:sz w:val="22"/>
          <w:szCs w:val="22"/>
        </w:rPr>
        <w:t>ahnění a rekonstrukce rybníků a </w:t>
      </w:r>
      <w:r w:rsidRPr="00A032F8">
        <w:rPr>
          <w:rFonts w:cs="Arial"/>
          <w:i/>
          <w:sz w:val="22"/>
          <w:szCs w:val="22"/>
        </w:rPr>
        <w:t>vodních nádrží</w:t>
      </w:r>
      <w:r w:rsidR="00FE517A" w:rsidRPr="00A032F8">
        <w:rPr>
          <w:rFonts w:cs="Arial"/>
          <w:sz w:val="22"/>
          <w:szCs w:val="22"/>
        </w:rPr>
        <w:t>.</w:t>
      </w:r>
      <w:r w:rsidR="00331BE4" w:rsidRPr="00A032F8">
        <w:rPr>
          <w:rFonts w:cs="Arial"/>
          <w:sz w:val="22"/>
          <w:szCs w:val="22"/>
        </w:rPr>
        <w:t xml:space="preserve"> Program č.</w:t>
      </w:r>
      <w:r w:rsidR="003E56B4">
        <w:rPr>
          <w:rFonts w:cs="Arial"/>
          <w:sz w:val="22"/>
          <w:szCs w:val="22"/>
        </w:rPr>
        <w:t> </w:t>
      </w:r>
      <w:r w:rsidR="00331BE4" w:rsidRPr="00A032F8">
        <w:rPr>
          <w:rFonts w:cs="Arial"/>
          <w:sz w:val="22"/>
          <w:szCs w:val="22"/>
        </w:rPr>
        <w:t>129</w:t>
      </w:r>
      <w:r w:rsidR="003E56B4">
        <w:rPr>
          <w:rFonts w:cs="Arial"/>
          <w:sz w:val="22"/>
          <w:szCs w:val="22"/>
        </w:rPr>
        <w:t> </w:t>
      </w:r>
      <w:r w:rsidR="00331BE4" w:rsidRPr="00A032F8">
        <w:rPr>
          <w:rFonts w:cs="Arial"/>
          <w:sz w:val="22"/>
          <w:szCs w:val="22"/>
        </w:rPr>
        <w:t>120 je součástí projektu komplexního řešení povodňové ochrany České republiky</w:t>
      </w:r>
      <w:r w:rsidR="00FD2000" w:rsidRPr="00A032F8">
        <w:rPr>
          <w:rFonts w:cs="Arial"/>
          <w:sz w:val="22"/>
          <w:szCs w:val="22"/>
        </w:rPr>
        <w:t xml:space="preserve"> a</w:t>
      </w:r>
      <w:r w:rsidR="00307F23" w:rsidRPr="00A032F8">
        <w:rPr>
          <w:rFonts w:cs="Arial"/>
          <w:sz w:val="22"/>
          <w:szCs w:val="22"/>
        </w:rPr>
        <w:t> </w:t>
      </w:r>
      <w:r w:rsidR="00A5142F" w:rsidRPr="00A032F8">
        <w:rPr>
          <w:rFonts w:cs="Arial"/>
          <w:sz w:val="22"/>
          <w:szCs w:val="22"/>
        </w:rPr>
        <w:t>akce financované z něj mají být realizovány v</w:t>
      </w:r>
      <w:r w:rsidR="00785380" w:rsidRPr="00A032F8">
        <w:rPr>
          <w:rFonts w:cs="Arial"/>
          <w:sz w:val="22"/>
          <w:szCs w:val="22"/>
        </w:rPr>
        <w:t xml:space="preserve"> </w:t>
      </w:r>
      <w:r w:rsidR="00A5142F" w:rsidRPr="00A032F8">
        <w:rPr>
          <w:rFonts w:cs="Arial"/>
          <w:sz w:val="22"/>
          <w:szCs w:val="22"/>
        </w:rPr>
        <w:t>prioritních oblastech vycházejících</w:t>
      </w:r>
      <w:r w:rsidR="00A36914" w:rsidRPr="00A032F8">
        <w:rPr>
          <w:rFonts w:cs="Arial"/>
          <w:sz w:val="22"/>
          <w:szCs w:val="22"/>
        </w:rPr>
        <w:t xml:space="preserve"> </w:t>
      </w:r>
      <w:r w:rsidR="00A36914" w:rsidRPr="00A032F8">
        <w:rPr>
          <w:rFonts w:cs="Arial"/>
          <w:sz w:val="22"/>
          <w:szCs w:val="22"/>
        </w:rPr>
        <w:lastRenderedPageBreak/>
        <w:t>z</w:t>
      </w:r>
      <w:r w:rsidR="003E56B4">
        <w:rPr>
          <w:rFonts w:cs="Arial"/>
          <w:sz w:val="22"/>
          <w:szCs w:val="22"/>
        </w:rPr>
        <w:t> </w:t>
      </w:r>
      <w:r w:rsidR="00A36914" w:rsidRPr="00A032F8">
        <w:rPr>
          <w:rFonts w:cs="Arial"/>
          <w:i/>
          <w:sz w:val="22"/>
          <w:szCs w:val="22"/>
        </w:rPr>
        <w:t>Plánu hlavních povodí České republiky</w:t>
      </w:r>
      <w:r w:rsidR="00A36914" w:rsidRPr="00A032F8">
        <w:rPr>
          <w:rStyle w:val="Znakapoznpodarou"/>
          <w:rFonts w:cs="Arial"/>
          <w:i/>
          <w:sz w:val="22"/>
          <w:szCs w:val="22"/>
        </w:rPr>
        <w:footnoteReference w:id="6"/>
      </w:r>
      <w:r w:rsidR="00A36914" w:rsidRPr="00A032F8">
        <w:rPr>
          <w:rFonts w:cs="Arial"/>
          <w:sz w:val="22"/>
          <w:szCs w:val="22"/>
        </w:rPr>
        <w:t>.</w:t>
      </w:r>
      <w:r w:rsidR="003E56B4">
        <w:rPr>
          <w:rFonts w:cs="Arial"/>
          <w:sz w:val="22"/>
          <w:szCs w:val="22"/>
        </w:rPr>
        <w:t xml:space="preserve"> Program č. </w:t>
      </w:r>
      <w:r w:rsidR="00331BE4" w:rsidRPr="00A032F8">
        <w:rPr>
          <w:rFonts w:cs="Arial"/>
          <w:sz w:val="22"/>
          <w:szCs w:val="22"/>
        </w:rPr>
        <w:t>129</w:t>
      </w:r>
      <w:r w:rsidR="003E56B4">
        <w:rPr>
          <w:rFonts w:cs="Arial"/>
          <w:sz w:val="22"/>
          <w:szCs w:val="22"/>
        </w:rPr>
        <w:t> </w:t>
      </w:r>
      <w:r w:rsidR="00331BE4" w:rsidRPr="00A032F8">
        <w:rPr>
          <w:rFonts w:cs="Arial"/>
          <w:sz w:val="22"/>
          <w:szCs w:val="22"/>
        </w:rPr>
        <w:t>130 je</w:t>
      </w:r>
      <w:r w:rsidR="00F60285" w:rsidRPr="00A032F8">
        <w:rPr>
          <w:rFonts w:cs="Arial"/>
          <w:sz w:val="22"/>
          <w:szCs w:val="22"/>
        </w:rPr>
        <w:t xml:space="preserve"> podle </w:t>
      </w:r>
      <w:proofErr w:type="spellStart"/>
      <w:r w:rsidR="00F60285" w:rsidRPr="00A032F8">
        <w:rPr>
          <w:rFonts w:cs="Arial"/>
          <w:sz w:val="22"/>
          <w:szCs w:val="22"/>
        </w:rPr>
        <w:t>MZe</w:t>
      </w:r>
      <w:proofErr w:type="spellEnd"/>
      <w:r w:rsidR="00331BE4" w:rsidRPr="00A032F8">
        <w:rPr>
          <w:rFonts w:cs="Arial"/>
          <w:sz w:val="22"/>
          <w:szCs w:val="22"/>
        </w:rPr>
        <w:t xml:space="preserve"> </w:t>
      </w:r>
      <w:r w:rsidR="00316F80" w:rsidRPr="00A032F8">
        <w:rPr>
          <w:rFonts w:cs="Arial"/>
          <w:sz w:val="22"/>
          <w:szCs w:val="22"/>
        </w:rPr>
        <w:t>koncipován v</w:t>
      </w:r>
      <w:r w:rsidR="00AE2A95" w:rsidRPr="00A032F8">
        <w:rPr>
          <w:rFonts w:cs="Arial"/>
          <w:sz w:val="22"/>
          <w:szCs w:val="22"/>
        </w:rPr>
        <w:t> </w:t>
      </w:r>
      <w:r w:rsidR="00316F80" w:rsidRPr="00A032F8">
        <w:rPr>
          <w:rFonts w:cs="Arial"/>
          <w:sz w:val="22"/>
          <w:szCs w:val="22"/>
        </w:rPr>
        <w:t>rámci</w:t>
      </w:r>
      <w:r w:rsidR="00AE2A95" w:rsidRPr="00A032F8">
        <w:rPr>
          <w:rFonts w:cs="Arial"/>
          <w:sz w:val="22"/>
          <w:szCs w:val="22"/>
        </w:rPr>
        <w:t xml:space="preserve"> projektu</w:t>
      </w:r>
      <w:r w:rsidR="00316F80" w:rsidRPr="00A032F8">
        <w:rPr>
          <w:rFonts w:cs="Arial"/>
          <w:sz w:val="22"/>
          <w:szCs w:val="22"/>
        </w:rPr>
        <w:t xml:space="preserve"> komplexního řešení povodňové ochrany </w:t>
      </w:r>
      <w:r w:rsidR="00331BE4" w:rsidRPr="00A032F8">
        <w:rPr>
          <w:rFonts w:cs="Arial"/>
          <w:sz w:val="22"/>
          <w:szCs w:val="22"/>
        </w:rPr>
        <w:t>jako doplňkový</w:t>
      </w:r>
      <w:r w:rsidR="00A5142F" w:rsidRPr="00A032F8">
        <w:rPr>
          <w:rFonts w:cs="Arial"/>
          <w:sz w:val="22"/>
          <w:szCs w:val="22"/>
        </w:rPr>
        <w:t>.</w:t>
      </w:r>
    </w:p>
    <w:p w:rsidR="001B679F" w:rsidRPr="00A032F8" w:rsidRDefault="001B679F" w:rsidP="00DB275F">
      <w:pPr>
        <w:jc w:val="both"/>
        <w:rPr>
          <w:rFonts w:cs="Arial"/>
          <w:sz w:val="22"/>
          <w:szCs w:val="22"/>
        </w:rPr>
      </w:pPr>
    </w:p>
    <w:p w:rsidR="00B13304" w:rsidRPr="00A032F8" w:rsidRDefault="001B679F" w:rsidP="00DB27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1.</w:t>
      </w:r>
      <w:r w:rsidR="00BC2904" w:rsidRPr="00A032F8">
        <w:rPr>
          <w:rFonts w:cs="Arial"/>
          <w:b/>
          <w:sz w:val="22"/>
          <w:szCs w:val="22"/>
        </w:rPr>
        <w:t>1</w:t>
      </w:r>
      <w:r w:rsidRPr="00A032F8">
        <w:rPr>
          <w:rFonts w:cs="Arial"/>
          <w:b/>
          <w:sz w:val="22"/>
          <w:szCs w:val="22"/>
        </w:rPr>
        <w:t xml:space="preserve"> </w:t>
      </w:r>
      <w:r w:rsidR="009341DC" w:rsidRPr="00A032F8">
        <w:rPr>
          <w:rFonts w:cs="Arial"/>
          <w:b/>
          <w:sz w:val="22"/>
          <w:szCs w:val="22"/>
        </w:rPr>
        <w:t>Program č. 129 120</w:t>
      </w:r>
      <w:r w:rsidR="009341DC" w:rsidRPr="00A032F8">
        <w:rPr>
          <w:rFonts w:cs="Arial"/>
          <w:sz w:val="22"/>
          <w:szCs w:val="22"/>
        </w:rPr>
        <w:t xml:space="preserve"> vycházel z</w:t>
      </w:r>
      <w:r w:rsidR="00785380" w:rsidRPr="00A032F8">
        <w:rPr>
          <w:rFonts w:cs="Arial"/>
          <w:sz w:val="22"/>
          <w:szCs w:val="22"/>
        </w:rPr>
        <w:t xml:space="preserve"> </w:t>
      </w:r>
      <w:r w:rsidR="00445B97" w:rsidRPr="00A032F8">
        <w:rPr>
          <w:rFonts w:cs="Arial"/>
          <w:sz w:val="22"/>
          <w:szCs w:val="22"/>
        </w:rPr>
        <w:t>návrhů</w:t>
      </w:r>
      <w:r w:rsidR="009341DC" w:rsidRPr="00A032F8">
        <w:rPr>
          <w:rFonts w:cs="Arial"/>
          <w:sz w:val="22"/>
          <w:szCs w:val="22"/>
        </w:rPr>
        <w:t xml:space="preserve"> 349 akcí</w:t>
      </w:r>
      <w:r w:rsidR="00445B97" w:rsidRPr="00A032F8">
        <w:rPr>
          <w:rFonts w:cs="Arial"/>
          <w:sz w:val="22"/>
          <w:szCs w:val="22"/>
        </w:rPr>
        <w:t>, zpracovaných v roce 2005 příslušnými investory</w:t>
      </w:r>
      <w:r w:rsidR="00445B97" w:rsidRPr="00A032F8">
        <w:rPr>
          <w:rStyle w:val="Znakapoznpodarou"/>
          <w:rFonts w:cs="Arial"/>
          <w:sz w:val="22"/>
          <w:szCs w:val="22"/>
        </w:rPr>
        <w:footnoteReference w:id="7"/>
      </w:r>
      <w:r w:rsidR="00445B97" w:rsidRPr="00A032F8">
        <w:rPr>
          <w:rFonts w:cs="Arial"/>
          <w:sz w:val="22"/>
          <w:szCs w:val="22"/>
        </w:rPr>
        <w:t>. Odhadované</w:t>
      </w:r>
      <w:r w:rsidR="00BE38AC" w:rsidRPr="00A032F8">
        <w:rPr>
          <w:rFonts w:cs="Arial"/>
          <w:sz w:val="22"/>
          <w:szCs w:val="22"/>
        </w:rPr>
        <w:t xml:space="preserve"> náklady</w:t>
      </w:r>
      <w:r w:rsidR="00445B97" w:rsidRPr="00A032F8">
        <w:rPr>
          <w:rFonts w:cs="Arial"/>
          <w:sz w:val="22"/>
          <w:szCs w:val="22"/>
        </w:rPr>
        <w:t xml:space="preserve"> na akce činily</w:t>
      </w:r>
      <w:r w:rsidR="00BE38AC" w:rsidRPr="00A032F8">
        <w:rPr>
          <w:rFonts w:cs="Arial"/>
          <w:sz w:val="22"/>
          <w:szCs w:val="22"/>
        </w:rPr>
        <w:t xml:space="preserve"> 10</w:t>
      </w:r>
      <w:r w:rsidR="00F133C2" w:rsidRPr="00A032F8">
        <w:rPr>
          <w:rFonts w:cs="Arial"/>
          <w:sz w:val="22"/>
          <w:szCs w:val="22"/>
        </w:rPr>
        <w:t> </w:t>
      </w:r>
      <w:r w:rsidR="00BE38AC" w:rsidRPr="00A032F8">
        <w:rPr>
          <w:rFonts w:cs="Arial"/>
          <w:sz w:val="22"/>
          <w:szCs w:val="22"/>
        </w:rPr>
        <w:t>552</w:t>
      </w:r>
      <w:r w:rsidR="00F133C2" w:rsidRPr="00A032F8">
        <w:rPr>
          <w:rFonts w:cs="Arial"/>
          <w:sz w:val="22"/>
          <w:szCs w:val="22"/>
        </w:rPr>
        <w:t> </w:t>
      </w:r>
      <w:r w:rsidR="00BE38AC" w:rsidRPr="00A032F8">
        <w:rPr>
          <w:rFonts w:cs="Arial"/>
          <w:sz w:val="22"/>
          <w:szCs w:val="22"/>
        </w:rPr>
        <w:t>mil.</w:t>
      </w:r>
      <w:r w:rsidR="00F133C2" w:rsidRPr="00A032F8">
        <w:rPr>
          <w:rFonts w:cs="Arial"/>
          <w:sz w:val="22"/>
          <w:szCs w:val="22"/>
        </w:rPr>
        <w:t> </w:t>
      </w:r>
      <w:r w:rsidR="006A7447" w:rsidRPr="00A032F8">
        <w:rPr>
          <w:rFonts w:cs="Arial"/>
          <w:sz w:val="22"/>
          <w:szCs w:val="22"/>
        </w:rPr>
        <w:t xml:space="preserve">Kč. Návrh </w:t>
      </w:r>
      <w:r w:rsidR="009341DC" w:rsidRPr="00A032F8">
        <w:rPr>
          <w:rFonts w:cs="Arial"/>
          <w:sz w:val="22"/>
          <w:szCs w:val="22"/>
        </w:rPr>
        <w:t xml:space="preserve">vymezoval </w:t>
      </w:r>
      <w:r w:rsidR="00952FBC" w:rsidRPr="00A032F8">
        <w:rPr>
          <w:rFonts w:cs="Arial"/>
          <w:sz w:val="22"/>
          <w:szCs w:val="22"/>
        </w:rPr>
        <w:t>559 044 ochráněných obyvatel, možné povodňové škody</w:t>
      </w:r>
      <w:r w:rsidR="009B5F69" w:rsidRPr="00A032F8">
        <w:rPr>
          <w:rFonts w:cs="Arial"/>
          <w:sz w:val="22"/>
          <w:szCs w:val="22"/>
        </w:rPr>
        <w:t xml:space="preserve"> ve výši</w:t>
      </w:r>
      <w:r w:rsidR="00952FBC" w:rsidRPr="00A032F8">
        <w:rPr>
          <w:rFonts w:cs="Arial"/>
          <w:sz w:val="22"/>
          <w:szCs w:val="22"/>
        </w:rPr>
        <w:t xml:space="preserve"> 90</w:t>
      </w:r>
      <w:r w:rsidR="002E3F0E">
        <w:rPr>
          <w:rFonts w:cs="Arial"/>
          <w:sz w:val="22"/>
          <w:szCs w:val="22"/>
        </w:rPr>
        <w:t> 496 mil. Kč a </w:t>
      </w:r>
      <w:r w:rsidR="00952FBC" w:rsidRPr="00A032F8">
        <w:rPr>
          <w:rFonts w:cs="Arial"/>
          <w:sz w:val="22"/>
          <w:szCs w:val="22"/>
        </w:rPr>
        <w:t>délku záplavových</w:t>
      </w:r>
      <w:r w:rsidR="009341DC" w:rsidRPr="00A032F8">
        <w:rPr>
          <w:rFonts w:cs="Arial"/>
          <w:sz w:val="22"/>
          <w:szCs w:val="22"/>
        </w:rPr>
        <w:t xml:space="preserve"> území podél v</w:t>
      </w:r>
      <w:r w:rsidR="00BE38AC" w:rsidRPr="00A032F8">
        <w:rPr>
          <w:rFonts w:cs="Arial"/>
          <w:sz w:val="22"/>
          <w:szCs w:val="22"/>
        </w:rPr>
        <w:t xml:space="preserve">odních toků </w:t>
      </w:r>
      <w:r w:rsidR="008828A0">
        <w:rPr>
          <w:rFonts w:cs="Arial"/>
          <w:sz w:val="22"/>
          <w:szCs w:val="22"/>
        </w:rPr>
        <w:t xml:space="preserve">na </w:t>
      </w:r>
      <w:r w:rsidR="00BE38AC" w:rsidRPr="00A032F8">
        <w:rPr>
          <w:rFonts w:cs="Arial"/>
          <w:sz w:val="22"/>
          <w:szCs w:val="22"/>
        </w:rPr>
        <w:t>1</w:t>
      </w:r>
      <w:r w:rsidR="002E3F0E">
        <w:rPr>
          <w:rFonts w:cs="Arial"/>
          <w:sz w:val="22"/>
          <w:szCs w:val="22"/>
        </w:rPr>
        <w:t> </w:t>
      </w:r>
      <w:r w:rsidR="00BE38AC" w:rsidRPr="00A032F8">
        <w:rPr>
          <w:rFonts w:cs="Arial"/>
          <w:sz w:val="22"/>
          <w:szCs w:val="22"/>
        </w:rPr>
        <w:t xml:space="preserve">134 km, což bylo </w:t>
      </w:r>
      <w:r w:rsidR="002E3F0E">
        <w:rPr>
          <w:rFonts w:cs="Arial"/>
          <w:sz w:val="22"/>
          <w:szCs w:val="22"/>
        </w:rPr>
        <w:t>9,4 </w:t>
      </w:r>
      <w:r w:rsidR="00952FBC" w:rsidRPr="00A032F8">
        <w:rPr>
          <w:rFonts w:cs="Arial"/>
          <w:sz w:val="22"/>
          <w:szCs w:val="22"/>
        </w:rPr>
        <w:t xml:space="preserve">% </w:t>
      </w:r>
      <w:r w:rsidR="009341DC" w:rsidRPr="00A032F8">
        <w:rPr>
          <w:rFonts w:cs="Arial"/>
          <w:sz w:val="22"/>
          <w:szCs w:val="22"/>
        </w:rPr>
        <w:t>z</w:t>
      </w:r>
      <w:r w:rsidR="00154C4D">
        <w:rPr>
          <w:rFonts w:cs="Arial"/>
          <w:sz w:val="22"/>
          <w:szCs w:val="22"/>
        </w:rPr>
        <w:t>e záplavových území</w:t>
      </w:r>
      <w:r w:rsidR="00785380" w:rsidRPr="00A032F8">
        <w:rPr>
          <w:rFonts w:cs="Arial"/>
          <w:sz w:val="22"/>
          <w:szCs w:val="22"/>
        </w:rPr>
        <w:t xml:space="preserve"> </w:t>
      </w:r>
      <w:r w:rsidR="00154C4D" w:rsidRPr="00A032F8">
        <w:rPr>
          <w:rFonts w:cs="Arial"/>
          <w:sz w:val="22"/>
          <w:szCs w:val="22"/>
        </w:rPr>
        <w:t xml:space="preserve">podél vodních toků </w:t>
      </w:r>
      <w:r w:rsidR="00BD36B0" w:rsidRPr="00BD36B0">
        <w:rPr>
          <w:rFonts w:cs="Arial"/>
          <w:sz w:val="22"/>
          <w:szCs w:val="22"/>
        </w:rPr>
        <w:t xml:space="preserve">vymezených </w:t>
      </w:r>
      <w:r w:rsidR="00952FBC" w:rsidRPr="00A032F8">
        <w:rPr>
          <w:rFonts w:cs="Arial"/>
          <w:sz w:val="22"/>
          <w:szCs w:val="22"/>
        </w:rPr>
        <w:t>následně</w:t>
      </w:r>
      <w:r w:rsidR="00BE38AC" w:rsidRPr="00A032F8">
        <w:rPr>
          <w:rFonts w:cs="Arial"/>
          <w:sz w:val="22"/>
          <w:szCs w:val="22"/>
        </w:rPr>
        <w:t xml:space="preserve"> v</w:t>
      </w:r>
      <w:r w:rsidR="00785380" w:rsidRPr="00A032F8">
        <w:rPr>
          <w:rFonts w:cs="Arial"/>
          <w:sz w:val="22"/>
          <w:szCs w:val="22"/>
        </w:rPr>
        <w:t xml:space="preserve"> </w:t>
      </w:r>
      <w:r w:rsidR="00BE38AC" w:rsidRPr="00A032F8">
        <w:rPr>
          <w:rFonts w:cs="Arial"/>
          <w:sz w:val="22"/>
          <w:szCs w:val="22"/>
        </w:rPr>
        <w:t>roce 2008</w:t>
      </w:r>
      <w:r w:rsidR="00952FBC" w:rsidRPr="00A032F8">
        <w:rPr>
          <w:rFonts w:cs="Arial"/>
          <w:sz w:val="22"/>
          <w:szCs w:val="22"/>
        </w:rPr>
        <w:t>.</w:t>
      </w:r>
      <w:r w:rsidR="00385642" w:rsidRPr="00A032F8">
        <w:rPr>
          <w:rFonts w:cs="Arial"/>
          <w:sz w:val="22"/>
          <w:szCs w:val="22"/>
        </w:rPr>
        <w:t xml:space="preserve"> </w:t>
      </w:r>
    </w:p>
    <w:p w:rsidR="00B13304" w:rsidRPr="00A032F8" w:rsidRDefault="00B13304" w:rsidP="00DB275F">
      <w:pPr>
        <w:jc w:val="both"/>
        <w:rPr>
          <w:rFonts w:cs="Arial"/>
          <w:sz w:val="22"/>
          <w:szCs w:val="22"/>
        </w:rPr>
      </w:pPr>
    </w:p>
    <w:p w:rsidR="00385642" w:rsidRPr="00A032F8" w:rsidRDefault="00B13304" w:rsidP="00DB275F">
      <w:pPr>
        <w:jc w:val="both"/>
        <w:rPr>
          <w:rFonts w:cs="Arial"/>
          <w:sz w:val="22"/>
          <w:szCs w:val="22"/>
        </w:rPr>
      </w:pP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požádalo v</w:t>
      </w:r>
      <w:r w:rsidR="00785380" w:rsidRPr="00A032F8">
        <w:rPr>
          <w:rFonts w:cs="Arial"/>
          <w:sz w:val="22"/>
          <w:szCs w:val="22"/>
        </w:rPr>
        <w:t xml:space="preserve"> </w:t>
      </w:r>
      <w:r w:rsidR="00385642" w:rsidRPr="00A032F8">
        <w:rPr>
          <w:rFonts w:cs="Arial"/>
          <w:sz w:val="22"/>
          <w:szCs w:val="22"/>
        </w:rPr>
        <w:t>červnu 2006 investory k</w:t>
      </w:r>
      <w:r w:rsidR="00785380" w:rsidRPr="00A032F8">
        <w:rPr>
          <w:rFonts w:cs="Arial"/>
          <w:sz w:val="22"/>
          <w:szCs w:val="22"/>
        </w:rPr>
        <w:t xml:space="preserve"> </w:t>
      </w:r>
      <w:r w:rsidR="00385642" w:rsidRPr="00A032F8">
        <w:rPr>
          <w:rFonts w:cs="Arial"/>
          <w:sz w:val="22"/>
          <w:szCs w:val="22"/>
        </w:rPr>
        <w:t xml:space="preserve">zaevidování dalších akcí realizovatelných do roku 2010. </w:t>
      </w:r>
      <w:r w:rsidRPr="00A032F8">
        <w:rPr>
          <w:rFonts w:cs="Arial"/>
          <w:sz w:val="22"/>
          <w:szCs w:val="22"/>
        </w:rPr>
        <w:t>P</w:t>
      </w:r>
      <w:r w:rsidR="00385642" w:rsidRPr="00A032F8">
        <w:rPr>
          <w:rFonts w:cs="Arial"/>
          <w:sz w:val="22"/>
          <w:szCs w:val="22"/>
        </w:rPr>
        <w:t>oté evidovalo 521 návrhů na akce s</w:t>
      </w:r>
      <w:r w:rsidR="00785380" w:rsidRPr="00A032F8">
        <w:rPr>
          <w:rFonts w:cs="Arial"/>
          <w:sz w:val="22"/>
          <w:szCs w:val="22"/>
        </w:rPr>
        <w:t xml:space="preserve"> </w:t>
      </w:r>
      <w:r w:rsidR="00385642" w:rsidRPr="00A032F8">
        <w:rPr>
          <w:rFonts w:cs="Arial"/>
          <w:sz w:val="22"/>
          <w:szCs w:val="22"/>
        </w:rPr>
        <w:t>celkovými náklady 13</w:t>
      </w:r>
      <w:r w:rsidR="002E3F0E">
        <w:rPr>
          <w:rFonts w:cs="Arial"/>
          <w:sz w:val="22"/>
          <w:szCs w:val="22"/>
        </w:rPr>
        <w:t> </w:t>
      </w:r>
      <w:r w:rsidR="00385642" w:rsidRPr="00A032F8">
        <w:rPr>
          <w:rFonts w:cs="Arial"/>
          <w:sz w:val="22"/>
          <w:szCs w:val="22"/>
        </w:rPr>
        <w:t>279</w:t>
      </w:r>
      <w:r w:rsidR="002E3F0E">
        <w:rPr>
          <w:rFonts w:cs="Arial"/>
          <w:sz w:val="22"/>
          <w:szCs w:val="22"/>
        </w:rPr>
        <w:t> mil. </w:t>
      </w:r>
      <w:r w:rsidR="00385642" w:rsidRPr="00A032F8">
        <w:rPr>
          <w:rFonts w:cs="Arial"/>
          <w:sz w:val="22"/>
          <w:szCs w:val="22"/>
        </w:rPr>
        <w:t>Kč.</w:t>
      </w:r>
      <w:r w:rsidR="0034711D" w:rsidRPr="00A032F8">
        <w:rPr>
          <w:rFonts w:cs="Arial"/>
          <w:sz w:val="22"/>
          <w:szCs w:val="22"/>
        </w:rPr>
        <w:t xml:space="preserve"> Strategickým expertem</w:t>
      </w:r>
      <w:r w:rsidR="0034711D" w:rsidRPr="00A032F8">
        <w:rPr>
          <w:rStyle w:val="Znakapoznpodarou"/>
          <w:rFonts w:cs="Arial"/>
          <w:sz w:val="22"/>
          <w:szCs w:val="22"/>
        </w:rPr>
        <w:footnoteReference w:id="8"/>
      </w:r>
      <w:r w:rsidR="0034711D" w:rsidRPr="00A032F8">
        <w:rPr>
          <w:rFonts w:cs="Arial"/>
          <w:sz w:val="22"/>
          <w:szCs w:val="22"/>
        </w:rPr>
        <w:t xml:space="preserve"> bylo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průběhu realizace</w:t>
      </w:r>
      <w:r w:rsidR="00A946D0" w:rsidRPr="00A032F8">
        <w:rPr>
          <w:rFonts w:cs="Arial"/>
          <w:sz w:val="22"/>
          <w:szCs w:val="22"/>
        </w:rPr>
        <w:t xml:space="preserve"> programu</w:t>
      </w:r>
      <w:r w:rsidR="0034711D" w:rsidRPr="00A032F8">
        <w:rPr>
          <w:rFonts w:cs="Arial"/>
          <w:sz w:val="22"/>
          <w:szCs w:val="22"/>
        </w:rPr>
        <w:t xml:space="preserve"> posuzováno 765 akcí. Cca 200 akcí bylo především z</w:t>
      </w:r>
      <w:r w:rsidR="00785380" w:rsidRPr="00A032F8">
        <w:rPr>
          <w:rFonts w:cs="Arial"/>
          <w:sz w:val="22"/>
          <w:szCs w:val="22"/>
        </w:rPr>
        <w:t xml:space="preserve"> </w:t>
      </w:r>
      <w:r w:rsidR="0034711D" w:rsidRPr="00A032F8">
        <w:rPr>
          <w:rFonts w:cs="Arial"/>
          <w:sz w:val="22"/>
          <w:szCs w:val="22"/>
        </w:rPr>
        <w:t>důvodu negativního stanoviska strategického experta a nedoložení žádosti o poskytnutí dotace v</w:t>
      </w:r>
      <w:r w:rsidR="00785380" w:rsidRPr="00A032F8">
        <w:rPr>
          <w:rFonts w:cs="Arial"/>
          <w:sz w:val="22"/>
          <w:szCs w:val="22"/>
        </w:rPr>
        <w:t xml:space="preserve"> </w:t>
      </w:r>
      <w:r w:rsidR="0034711D" w:rsidRPr="00A032F8">
        <w:rPr>
          <w:rFonts w:cs="Arial"/>
          <w:sz w:val="22"/>
          <w:szCs w:val="22"/>
        </w:rPr>
        <w:t>požadovaném rozsahu vyřazeno.</w:t>
      </w:r>
    </w:p>
    <w:p w:rsidR="00385642" w:rsidRPr="00A032F8" w:rsidRDefault="00385642" w:rsidP="00DB275F">
      <w:pPr>
        <w:jc w:val="both"/>
        <w:rPr>
          <w:rFonts w:cs="Arial"/>
          <w:sz w:val="22"/>
          <w:szCs w:val="22"/>
        </w:rPr>
      </w:pPr>
    </w:p>
    <w:p w:rsidR="00385642" w:rsidRPr="00A032F8" w:rsidRDefault="00331BE4" w:rsidP="00DB27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Dokumentaci p</w:t>
      </w:r>
      <w:r w:rsidR="00BC2904" w:rsidRPr="00A032F8">
        <w:rPr>
          <w:rFonts w:cs="Arial"/>
          <w:sz w:val="22"/>
          <w:szCs w:val="22"/>
        </w:rPr>
        <w:t>rogram</w:t>
      </w:r>
      <w:r w:rsidRPr="00A032F8">
        <w:rPr>
          <w:rFonts w:cs="Arial"/>
          <w:sz w:val="22"/>
          <w:szCs w:val="22"/>
        </w:rPr>
        <w:t>u</w:t>
      </w:r>
      <w:r w:rsidR="00512BFA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schválila vláda usnesením ze dne 15.</w:t>
      </w:r>
      <w:r w:rsidR="002E3F0E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listopadu 2006 č.</w:t>
      </w:r>
      <w:r w:rsidR="002E3F0E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1304</w:t>
      </w:r>
      <w:r w:rsidR="00A36914" w:rsidRPr="00A032F8">
        <w:rPr>
          <w:rStyle w:val="Znakapoznpodarou"/>
          <w:rFonts w:cs="Arial"/>
          <w:sz w:val="22"/>
          <w:szCs w:val="22"/>
        </w:rPr>
        <w:footnoteReference w:id="9"/>
      </w:r>
      <w:r w:rsidR="00A36914" w:rsidRPr="00A032F8">
        <w:rPr>
          <w:rFonts w:cs="Arial"/>
          <w:sz w:val="22"/>
          <w:szCs w:val="22"/>
        </w:rPr>
        <w:t xml:space="preserve">. </w:t>
      </w:r>
      <w:r w:rsidR="002F7E73" w:rsidRPr="00A032F8">
        <w:rPr>
          <w:rFonts w:cs="Arial"/>
          <w:sz w:val="22"/>
          <w:szCs w:val="22"/>
        </w:rPr>
        <w:t xml:space="preserve">Jako hlavní cíl programu </w:t>
      </w:r>
      <w:proofErr w:type="spellStart"/>
      <w:r w:rsidR="002F7E73" w:rsidRPr="00A032F8">
        <w:rPr>
          <w:rFonts w:cs="Arial"/>
          <w:sz w:val="22"/>
          <w:szCs w:val="22"/>
        </w:rPr>
        <w:t>MZe</w:t>
      </w:r>
      <w:proofErr w:type="spellEnd"/>
      <w:r w:rsidR="002F7E73" w:rsidRPr="00A032F8">
        <w:rPr>
          <w:rFonts w:cs="Arial"/>
          <w:sz w:val="22"/>
          <w:szCs w:val="22"/>
        </w:rPr>
        <w:t xml:space="preserve"> </w:t>
      </w:r>
      <w:r w:rsidR="009341DC" w:rsidRPr="00A032F8">
        <w:rPr>
          <w:rFonts w:cs="Arial"/>
          <w:sz w:val="22"/>
          <w:szCs w:val="22"/>
        </w:rPr>
        <w:t xml:space="preserve">stanovilo </w:t>
      </w:r>
      <w:r w:rsidR="002F7E73" w:rsidRPr="00A032F8">
        <w:rPr>
          <w:rFonts w:cs="Arial"/>
          <w:sz w:val="22"/>
          <w:szCs w:val="22"/>
        </w:rPr>
        <w:t>realizaci</w:t>
      </w:r>
      <w:r w:rsidR="009341DC" w:rsidRPr="00A032F8">
        <w:rPr>
          <w:rFonts w:cs="Arial"/>
          <w:sz w:val="22"/>
          <w:szCs w:val="22"/>
        </w:rPr>
        <w:t xml:space="preserve"> účinných a</w:t>
      </w:r>
      <w:r w:rsidR="002E3F0E">
        <w:rPr>
          <w:rFonts w:cs="Arial"/>
          <w:sz w:val="22"/>
          <w:szCs w:val="22"/>
        </w:rPr>
        <w:t> </w:t>
      </w:r>
      <w:r w:rsidR="000551FF" w:rsidRPr="00A032F8">
        <w:rPr>
          <w:rFonts w:cs="Arial"/>
          <w:sz w:val="22"/>
          <w:szCs w:val="22"/>
        </w:rPr>
        <w:t>ekonomicky efektivn</w:t>
      </w:r>
      <w:r w:rsidR="002E3F0E">
        <w:rPr>
          <w:rFonts w:cs="Arial"/>
          <w:sz w:val="22"/>
          <w:szCs w:val="22"/>
        </w:rPr>
        <w:t>ích protipovodňových opatření a </w:t>
      </w:r>
      <w:r w:rsidR="000551FF" w:rsidRPr="00A032F8">
        <w:rPr>
          <w:rFonts w:cs="Arial"/>
          <w:sz w:val="22"/>
          <w:szCs w:val="22"/>
        </w:rPr>
        <w:t>da</w:t>
      </w:r>
      <w:r w:rsidR="009341DC" w:rsidRPr="00A032F8">
        <w:rPr>
          <w:rFonts w:cs="Arial"/>
          <w:sz w:val="22"/>
          <w:szCs w:val="22"/>
        </w:rPr>
        <w:t>lší snižování ohrožení a</w:t>
      </w:r>
      <w:r w:rsidR="002E3F0E">
        <w:rPr>
          <w:rFonts w:cs="Arial"/>
          <w:sz w:val="22"/>
          <w:szCs w:val="22"/>
        </w:rPr>
        <w:t> </w:t>
      </w:r>
      <w:r w:rsidR="000551FF" w:rsidRPr="00A032F8">
        <w:rPr>
          <w:rFonts w:cs="Arial"/>
          <w:sz w:val="22"/>
          <w:szCs w:val="22"/>
        </w:rPr>
        <w:t>povodňových rizik v záplavových oblastech vodních toků.</w:t>
      </w:r>
    </w:p>
    <w:p w:rsidR="00766F80" w:rsidRPr="00A032F8" w:rsidRDefault="00766F80" w:rsidP="00DB275F">
      <w:pPr>
        <w:jc w:val="both"/>
        <w:rPr>
          <w:rFonts w:cs="Arial"/>
          <w:sz w:val="22"/>
          <w:szCs w:val="22"/>
        </w:rPr>
      </w:pPr>
    </w:p>
    <w:p w:rsidR="00B56953" w:rsidRPr="00A032F8" w:rsidRDefault="005D0641" w:rsidP="00DB27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a) </w:t>
      </w:r>
      <w:r w:rsidR="002F7E73" w:rsidRPr="00A032F8">
        <w:rPr>
          <w:rFonts w:cs="Arial"/>
          <w:sz w:val="22"/>
          <w:szCs w:val="22"/>
        </w:rPr>
        <w:t xml:space="preserve">Cíle programu č. 129 120 </w:t>
      </w:r>
      <w:r w:rsidR="00766F80" w:rsidRPr="00A032F8">
        <w:rPr>
          <w:rFonts w:cs="Arial"/>
          <w:sz w:val="22"/>
          <w:szCs w:val="22"/>
        </w:rPr>
        <w:t xml:space="preserve">specifikovalo </w:t>
      </w:r>
      <w:proofErr w:type="spellStart"/>
      <w:r w:rsidR="002F7E73" w:rsidRPr="00A032F8">
        <w:rPr>
          <w:rFonts w:cs="Arial"/>
          <w:sz w:val="22"/>
          <w:szCs w:val="22"/>
        </w:rPr>
        <w:t>MZe</w:t>
      </w:r>
      <w:proofErr w:type="spellEnd"/>
      <w:r w:rsidR="002F7E73" w:rsidRPr="00A032F8">
        <w:rPr>
          <w:rFonts w:cs="Arial"/>
          <w:sz w:val="22"/>
          <w:szCs w:val="22"/>
        </w:rPr>
        <w:t xml:space="preserve"> </w:t>
      </w:r>
      <w:r w:rsidR="00766F80" w:rsidRPr="00A032F8">
        <w:rPr>
          <w:rFonts w:cs="Arial"/>
          <w:sz w:val="22"/>
          <w:szCs w:val="22"/>
        </w:rPr>
        <w:t>deseti indikátory</w:t>
      </w:r>
      <w:r w:rsidR="00F15893" w:rsidRPr="00A032F8">
        <w:rPr>
          <w:rFonts w:cs="Arial"/>
          <w:sz w:val="22"/>
          <w:szCs w:val="22"/>
        </w:rPr>
        <w:t>,</w:t>
      </w:r>
      <w:r w:rsidR="006001FF" w:rsidRPr="00A032F8">
        <w:rPr>
          <w:rFonts w:cs="Arial"/>
          <w:sz w:val="22"/>
          <w:szCs w:val="22"/>
        </w:rPr>
        <w:t xml:space="preserve"> </w:t>
      </w:r>
      <w:r w:rsidR="00F15893" w:rsidRPr="00A032F8">
        <w:rPr>
          <w:rFonts w:cs="Arial"/>
          <w:sz w:val="22"/>
          <w:szCs w:val="22"/>
        </w:rPr>
        <w:t xml:space="preserve">jako </w:t>
      </w:r>
      <w:r w:rsidR="006001FF" w:rsidRPr="00A032F8">
        <w:rPr>
          <w:rFonts w:cs="Arial"/>
          <w:sz w:val="22"/>
          <w:szCs w:val="22"/>
        </w:rPr>
        <w:t>např.</w:t>
      </w:r>
      <w:r w:rsidR="009341DC" w:rsidRPr="00A032F8">
        <w:rPr>
          <w:rFonts w:cs="Arial"/>
          <w:sz w:val="22"/>
          <w:szCs w:val="22"/>
        </w:rPr>
        <w:t xml:space="preserve"> </w:t>
      </w:r>
      <w:r w:rsidR="008828A0">
        <w:rPr>
          <w:rFonts w:cs="Arial"/>
          <w:sz w:val="22"/>
          <w:szCs w:val="22"/>
        </w:rPr>
        <w:t>„</w:t>
      </w:r>
      <w:r w:rsidR="006001FF" w:rsidRPr="00A032F8">
        <w:rPr>
          <w:rFonts w:cs="Arial"/>
          <w:sz w:val="22"/>
          <w:szCs w:val="22"/>
        </w:rPr>
        <w:t>zvýšení míry ochrany před povodněmi</w:t>
      </w:r>
      <w:r w:rsidR="008828A0">
        <w:rPr>
          <w:rFonts w:cs="Arial"/>
          <w:sz w:val="22"/>
          <w:szCs w:val="22"/>
        </w:rPr>
        <w:t>“</w:t>
      </w:r>
      <w:r w:rsidR="006001FF" w:rsidRPr="00A032F8">
        <w:rPr>
          <w:rFonts w:cs="Arial"/>
          <w:sz w:val="22"/>
          <w:szCs w:val="22"/>
        </w:rPr>
        <w:t xml:space="preserve">, </w:t>
      </w:r>
      <w:r w:rsidR="008828A0">
        <w:rPr>
          <w:rFonts w:cs="Arial"/>
          <w:sz w:val="22"/>
          <w:szCs w:val="22"/>
        </w:rPr>
        <w:t>„</w:t>
      </w:r>
      <w:r w:rsidR="006001FF" w:rsidRPr="00A032F8">
        <w:rPr>
          <w:rFonts w:cs="Arial"/>
          <w:sz w:val="22"/>
          <w:szCs w:val="22"/>
        </w:rPr>
        <w:t>počet ohrožených obyvatel</w:t>
      </w:r>
      <w:r w:rsidR="008828A0">
        <w:rPr>
          <w:rFonts w:cs="Arial"/>
          <w:sz w:val="22"/>
          <w:szCs w:val="22"/>
        </w:rPr>
        <w:t>“</w:t>
      </w:r>
      <w:r w:rsidR="006001FF" w:rsidRPr="00A032F8">
        <w:rPr>
          <w:rFonts w:cs="Arial"/>
          <w:sz w:val="22"/>
          <w:szCs w:val="22"/>
        </w:rPr>
        <w:t xml:space="preserve"> nebo </w:t>
      </w:r>
      <w:r w:rsidR="008828A0">
        <w:rPr>
          <w:rFonts w:cs="Arial"/>
          <w:sz w:val="22"/>
          <w:szCs w:val="22"/>
        </w:rPr>
        <w:t>„</w:t>
      </w:r>
      <w:r w:rsidR="006001FF" w:rsidRPr="00A032F8">
        <w:rPr>
          <w:rFonts w:cs="Arial"/>
          <w:sz w:val="22"/>
          <w:szCs w:val="22"/>
        </w:rPr>
        <w:t>plocha území ohroženého zvláštními povodněmi</w:t>
      </w:r>
      <w:r w:rsidR="008828A0">
        <w:rPr>
          <w:rFonts w:cs="Arial"/>
          <w:sz w:val="22"/>
          <w:szCs w:val="22"/>
        </w:rPr>
        <w:t>“</w:t>
      </w:r>
      <w:r w:rsidR="00995FD6" w:rsidRPr="00A032F8">
        <w:rPr>
          <w:rStyle w:val="Znakapoznpodarou"/>
          <w:rFonts w:cs="Arial"/>
          <w:sz w:val="22"/>
          <w:szCs w:val="22"/>
        </w:rPr>
        <w:footnoteReference w:id="10"/>
      </w:r>
      <w:r w:rsidR="009154CD" w:rsidRPr="00A032F8">
        <w:rPr>
          <w:rFonts w:cs="Arial"/>
          <w:sz w:val="22"/>
          <w:szCs w:val="22"/>
        </w:rPr>
        <w:t>, avšak</w:t>
      </w:r>
      <w:r w:rsidR="009154CD" w:rsidRPr="00A032F8">
        <w:rPr>
          <w:rFonts w:cs="Arial"/>
          <w:b/>
          <w:sz w:val="22"/>
          <w:szCs w:val="22"/>
        </w:rPr>
        <w:t xml:space="preserve"> n</w:t>
      </w:r>
      <w:r w:rsidR="00AB3E19" w:rsidRPr="00A032F8">
        <w:rPr>
          <w:rFonts w:cs="Arial"/>
          <w:b/>
          <w:sz w:val="22"/>
          <w:szCs w:val="22"/>
        </w:rPr>
        <w:t>estanovilo</w:t>
      </w:r>
      <w:r w:rsidR="00F15893" w:rsidRPr="00A032F8">
        <w:rPr>
          <w:rFonts w:cs="Arial"/>
          <w:b/>
          <w:sz w:val="22"/>
          <w:szCs w:val="22"/>
        </w:rPr>
        <w:t xml:space="preserve"> </w:t>
      </w:r>
      <w:r w:rsidR="00AB3E19" w:rsidRPr="00A032F8">
        <w:rPr>
          <w:rFonts w:cs="Arial"/>
          <w:b/>
          <w:sz w:val="22"/>
          <w:szCs w:val="22"/>
        </w:rPr>
        <w:t>hodnoty</w:t>
      </w:r>
      <w:r w:rsidR="009154CD" w:rsidRPr="00A032F8">
        <w:rPr>
          <w:rFonts w:cs="Arial"/>
          <w:b/>
          <w:sz w:val="22"/>
          <w:szCs w:val="22"/>
        </w:rPr>
        <w:t xml:space="preserve"> indikátorů</w:t>
      </w:r>
      <w:r w:rsidR="00995FD6" w:rsidRPr="00A032F8">
        <w:rPr>
          <w:rFonts w:cs="Arial"/>
          <w:b/>
          <w:sz w:val="22"/>
          <w:szCs w:val="22"/>
        </w:rPr>
        <w:t>, které mají být realizací programu</w:t>
      </w:r>
      <w:r w:rsidR="00636E0B" w:rsidRPr="00A032F8">
        <w:rPr>
          <w:rFonts w:cs="Arial"/>
          <w:b/>
          <w:sz w:val="22"/>
          <w:szCs w:val="22"/>
        </w:rPr>
        <w:t>, resp. jeho podprogramů</w:t>
      </w:r>
      <w:r w:rsidR="00AE59C4">
        <w:rPr>
          <w:rFonts w:cs="Arial"/>
          <w:b/>
          <w:sz w:val="22"/>
          <w:szCs w:val="22"/>
        </w:rPr>
        <w:t>,</w:t>
      </w:r>
      <w:r w:rsidR="00995FD6" w:rsidRPr="00A032F8">
        <w:rPr>
          <w:rFonts w:cs="Arial"/>
          <w:b/>
          <w:sz w:val="22"/>
          <w:szCs w:val="22"/>
        </w:rPr>
        <w:t xml:space="preserve"> dosaženy</w:t>
      </w:r>
      <w:r w:rsidR="00AB3E19" w:rsidRPr="00A032F8">
        <w:rPr>
          <w:rFonts w:cs="Arial"/>
          <w:b/>
          <w:sz w:val="22"/>
          <w:szCs w:val="22"/>
        </w:rPr>
        <w:t>.</w:t>
      </w:r>
      <w:r w:rsidR="001F619F" w:rsidRPr="00A032F8">
        <w:rPr>
          <w:rFonts w:cs="Arial"/>
          <w:sz w:val="22"/>
          <w:szCs w:val="22"/>
        </w:rPr>
        <w:t xml:space="preserve"> </w:t>
      </w:r>
      <w:r w:rsidR="0027708C" w:rsidRPr="00A032F8">
        <w:rPr>
          <w:rFonts w:cs="Arial"/>
          <w:sz w:val="22"/>
          <w:szCs w:val="22"/>
        </w:rPr>
        <w:t>Hodnoty</w:t>
      </w:r>
      <w:r w:rsidR="001F619F" w:rsidRPr="00A032F8">
        <w:rPr>
          <w:rFonts w:cs="Arial"/>
          <w:sz w:val="22"/>
          <w:szCs w:val="22"/>
        </w:rPr>
        <w:t xml:space="preserve"> s</w:t>
      </w:r>
      <w:r w:rsidR="00B77201" w:rsidRPr="00A032F8">
        <w:rPr>
          <w:rFonts w:cs="Arial"/>
          <w:sz w:val="22"/>
          <w:szCs w:val="22"/>
        </w:rPr>
        <w:t xml:space="preserve">tanovilo </w:t>
      </w:r>
      <w:r w:rsidR="001F619F" w:rsidRPr="00A032F8">
        <w:rPr>
          <w:rFonts w:cs="Arial"/>
          <w:sz w:val="22"/>
          <w:szCs w:val="22"/>
        </w:rPr>
        <w:t>pouze</w:t>
      </w:r>
      <w:r w:rsidR="0027708C" w:rsidRPr="00A032F8">
        <w:rPr>
          <w:rFonts w:cs="Arial"/>
          <w:sz w:val="22"/>
          <w:szCs w:val="22"/>
        </w:rPr>
        <w:t xml:space="preserve"> u parametrů programu</w:t>
      </w:r>
      <w:r w:rsidR="00B77201" w:rsidRPr="00A032F8">
        <w:rPr>
          <w:rFonts w:cs="Arial"/>
          <w:sz w:val="22"/>
          <w:szCs w:val="22"/>
        </w:rPr>
        <w:t xml:space="preserve"> (</w:t>
      </w:r>
      <w:r w:rsidR="0058521E" w:rsidRPr="00A032F8">
        <w:rPr>
          <w:rFonts w:cs="Arial"/>
          <w:sz w:val="22"/>
          <w:szCs w:val="22"/>
        </w:rPr>
        <w:t>ty však nevyjadřují celkový přínos z</w:t>
      </w:r>
      <w:r w:rsidR="00785380" w:rsidRPr="00A032F8">
        <w:rPr>
          <w:rFonts w:cs="Arial"/>
          <w:sz w:val="22"/>
          <w:szCs w:val="22"/>
        </w:rPr>
        <w:t xml:space="preserve"> </w:t>
      </w:r>
      <w:r w:rsidR="0058521E" w:rsidRPr="00A032F8">
        <w:rPr>
          <w:rFonts w:cs="Arial"/>
          <w:sz w:val="22"/>
          <w:szCs w:val="22"/>
        </w:rPr>
        <w:t>realizace programu pro zlepšení situace protipovodňové ochrany, ale</w:t>
      </w:r>
      <w:r w:rsidR="00F15893" w:rsidRPr="00A032F8">
        <w:rPr>
          <w:rFonts w:cs="Arial"/>
          <w:sz w:val="22"/>
          <w:szCs w:val="22"/>
        </w:rPr>
        <w:t xml:space="preserve"> </w:t>
      </w:r>
      <w:r w:rsidR="00B73C95" w:rsidRPr="00A032F8">
        <w:rPr>
          <w:rFonts w:cs="Arial"/>
          <w:sz w:val="22"/>
          <w:szCs w:val="22"/>
        </w:rPr>
        <w:t>vyjadřují</w:t>
      </w:r>
      <w:r w:rsidR="00F15893" w:rsidRPr="00A032F8">
        <w:rPr>
          <w:rFonts w:cs="Arial"/>
          <w:sz w:val="22"/>
          <w:szCs w:val="22"/>
        </w:rPr>
        <w:t xml:space="preserve"> hodnoty vybudovaných retenčních objemů, délek vybudovaných ochranných hrází, úprav apod.)</w:t>
      </w:r>
      <w:r w:rsidR="00B77201" w:rsidRPr="00A032F8">
        <w:rPr>
          <w:rFonts w:cs="Arial"/>
          <w:sz w:val="22"/>
          <w:szCs w:val="22"/>
        </w:rPr>
        <w:t xml:space="preserve">. </w:t>
      </w:r>
      <w:r w:rsidR="00ED2CAF" w:rsidRPr="00A032F8">
        <w:rPr>
          <w:rFonts w:cs="Arial"/>
          <w:sz w:val="22"/>
          <w:szCs w:val="22"/>
        </w:rPr>
        <w:t>Očekávané h</w:t>
      </w:r>
      <w:r w:rsidR="00EC2E5B" w:rsidRPr="00A032F8">
        <w:rPr>
          <w:rFonts w:cs="Arial"/>
          <w:sz w:val="22"/>
          <w:szCs w:val="22"/>
        </w:rPr>
        <w:t xml:space="preserve">odnoty indikátorů </w:t>
      </w:r>
      <w:r w:rsidR="00ED2CAF" w:rsidRPr="00A032F8">
        <w:rPr>
          <w:rFonts w:cs="Arial"/>
          <w:sz w:val="22"/>
          <w:szCs w:val="22"/>
        </w:rPr>
        <w:t>stanovovali</w:t>
      </w:r>
      <w:r w:rsidR="00B56953" w:rsidRPr="00A032F8">
        <w:rPr>
          <w:rFonts w:cs="Arial"/>
          <w:sz w:val="22"/>
          <w:szCs w:val="22"/>
        </w:rPr>
        <w:t xml:space="preserve"> sami</w:t>
      </w:r>
      <w:r w:rsidR="00ED2CAF" w:rsidRPr="00A032F8">
        <w:rPr>
          <w:rFonts w:cs="Arial"/>
          <w:sz w:val="22"/>
          <w:szCs w:val="22"/>
        </w:rPr>
        <w:t xml:space="preserve"> příjemci podpory</w:t>
      </w:r>
      <w:r w:rsidR="009154CD" w:rsidRPr="00A032F8">
        <w:rPr>
          <w:rFonts w:cs="Arial"/>
          <w:sz w:val="22"/>
          <w:szCs w:val="22"/>
        </w:rPr>
        <w:t xml:space="preserve"> </w:t>
      </w:r>
      <w:r w:rsidR="00EC2E5B" w:rsidRPr="00A032F8">
        <w:rPr>
          <w:rFonts w:cs="Arial"/>
          <w:sz w:val="22"/>
          <w:szCs w:val="22"/>
        </w:rPr>
        <w:t>v</w:t>
      </w:r>
      <w:r w:rsidR="00785380" w:rsidRPr="00A032F8">
        <w:rPr>
          <w:rFonts w:cs="Arial"/>
          <w:sz w:val="22"/>
          <w:szCs w:val="22"/>
        </w:rPr>
        <w:t xml:space="preserve"> </w:t>
      </w:r>
      <w:r w:rsidR="00EC2E5B" w:rsidRPr="00A032F8">
        <w:rPr>
          <w:rFonts w:cs="Arial"/>
          <w:sz w:val="22"/>
          <w:szCs w:val="22"/>
        </w:rPr>
        <w:t>žádostech o dotaci</w:t>
      </w:r>
      <w:r w:rsidR="009154CD" w:rsidRPr="00A032F8">
        <w:rPr>
          <w:rFonts w:cs="Arial"/>
          <w:sz w:val="22"/>
          <w:szCs w:val="22"/>
        </w:rPr>
        <w:t xml:space="preserve"> pro příslušnou akci</w:t>
      </w:r>
      <w:r w:rsidR="00EC2E5B" w:rsidRPr="00A032F8">
        <w:rPr>
          <w:rFonts w:cs="Arial"/>
          <w:sz w:val="22"/>
          <w:szCs w:val="22"/>
        </w:rPr>
        <w:t>.</w:t>
      </w:r>
      <w:r w:rsidR="00ED2CAF" w:rsidRPr="00A032F8">
        <w:rPr>
          <w:rFonts w:cs="Arial"/>
          <w:sz w:val="22"/>
          <w:szCs w:val="22"/>
        </w:rPr>
        <w:t xml:space="preserve"> </w:t>
      </w:r>
      <w:r w:rsidR="002F7E73" w:rsidRPr="00A032F8">
        <w:rPr>
          <w:rFonts w:cs="Arial"/>
          <w:sz w:val="22"/>
          <w:szCs w:val="22"/>
        </w:rPr>
        <w:t xml:space="preserve"> </w:t>
      </w:r>
    </w:p>
    <w:p w:rsidR="00B56953" w:rsidRPr="00A032F8" w:rsidRDefault="00B56953" w:rsidP="00DB275F">
      <w:pPr>
        <w:jc w:val="both"/>
        <w:rPr>
          <w:rFonts w:cs="Arial"/>
          <w:sz w:val="22"/>
          <w:szCs w:val="22"/>
        </w:rPr>
      </w:pPr>
    </w:p>
    <w:p w:rsidR="004145D4" w:rsidRPr="00A032F8" w:rsidRDefault="00B56953" w:rsidP="00DB27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Podle §</w:t>
      </w:r>
      <w:r w:rsidR="002E3F0E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12 zákona č.</w:t>
      </w:r>
      <w:r w:rsidR="002E3F0E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 xml:space="preserve">218/2000 Sb. </w:t>
      </w:r>
      <w:r w:rsidR="001F619F" w:rsidRPr="00A032F8">
        <w:rPr>
          <w:rFonts w:cs="Arial"/>
          <w:sz w:val="22"/>
          <w:szCs w:val="22"/>
        </w:rPr>
        <w:t>má</w:t>
      </w:r>
      <w:r w:rsidRPr="00A032F8">
        <w:rPr>
          <w:rFonts w:cs="Arial"/>
          <w:sz w:val="22"/>
          <w:szCs w:val="22"/>
        </w:rPr>
        <w:t xml:space="preserve"> dokumentace programu obsahovat specifikac</w:t>
      </w:r>
      <w:r w:rsidR="009F71E1" w:rsidRPr="00A032F8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 xml:space="preserve"> cílů</w:t>
      </w:r>
      <w:r w:rsidR="00E93D31" w:rsidRPr="00A032F8">
        <w:rPr>
          <w:rFonts w:cs="Arial"/>
          <w:sz w:val="22"/>
          <w:szCs w:val="22"/>
        </w:rPr>
        <w:t>, spolu s</w:t>
      </w:r>
      <w:r w:rsidR="002E3F0E">
        <w:rPr>
          <w:rFonts w:cs="Arial"/>
          <w:sz w:val="22"/>
          <w:szCs w:val="22"/>
        </w:rPr>
        <w:t> </w:t>
      </w:r>
      <w:r w:rsidR="00E93D31" w:rsidRPr="00A032F8">
        <w:rPr>
          <w:rFonts w:cs="Arial"/>
          <w:sz w:val="22"/>
          <w:szCs w:val="22"/>
        </w:rPr>
        <w:t xml:space="preserve">jejich </w:t>
      </w:r>
      <w:proofErr w:type="spellStart"/>
      <w:r w:rsidR="00E93D31" w:rsidRPr="00A032F8">
        <w:rPr>
          <w:rFonts w:cs="Arial"/>
          <w:sz w:val="22"/>
          <w:szCs w:val="22"/>
        </w:rPr>
        <w:t>technicko-ekonomickým</w:t>
      </w:r>
      <w:proofErr w:type="spellEnd"/>
      <w:r w:rsidR="00E93D31" w:rsidRPr="00A032F8">
        <w:rPr>
          <w:rFonts w:cs="Arial"/>
          <w:sz w:val="22"/>
          <w:szCs w:val="22"/>
        </w:rPr>
        <w:t xml:space="preserve"> zdůvodněním a</w:t>
      </w:r>
      <w:r w:rsidR="002E3F0E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vyhodnocení</w:t>
      </w:r>
      <w:r w:rsidR="00E93D31" w:rsidRPr="00A032F8">
        <w:rPr>
          <w:rFonts w:cs="Arial"/>
          <w:sz w:val="22"/>
          <w:szCs w:val="22"/>
        </w:rPr>
        <w:t>m</w:t>
      </w:r>
      <w:r w:rsidRPr="00A032F8">
        <w:rPr>
          <w:rFonts w:cs="Arial"/>
          <w:sz w:val="22"/>
          <w:szCs w:val="22"/>
        </w:rPr>
        <w:t xml:space="preserve"> efektivnosti vynaložených finančních prostředků. </w:t>
      </w:r>
      <w:r w:rsidR="0058521E" w:rsidRPr="00A032F8">
        <w:rPr>
          <w:rFonts w:cs="Arial"/>
          <w:sz w:val="22"/>
          <w:szCs w:val="22"/>
        </w:rPr>
        <w:t>Proto</w:t>
      </w:r>
      <w:r w:rsidRPr="00A032F8">
        <w:rPr>
          <w:rFonts w:cs="Arial"/>
          <w:sz w:val="22"/>
          <w:szCs w:val="22"/>
        </w:rPr>
        <w:t xml:space="preserve">že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nestanovilo předpokládané hodnoty indikátorů, bude možno </w:t>
      </w:r>
      <w:r w:rsidR="0058521E" w:rsidRPr="00A032F8">
        <w:rPr>
          <w:rFonts w:cs="Arial"/>
          <w:sz w:val="22"/>
          <w:szCs w:val="22"/>
        </w:rPr>
        <w:t xml:space="preserve">vyhodnotit </w:t>
      </w:r>
      <w:r w:rsidRPr="00A032F8">
        <w:rPr>
          <w:rFonts w:cs="Arial"/>
          <w:sz w:val="22"/>
          <w:szCs w:val="22"/>
        </w:rPr>
        <w:t>c</w:t>
      </w:r>
      <w:r w:rsidR="00B77201" w:rsidRPr="00A032F8">
        <w:rPr>
          <w:rFonts w:cs="Arial"/>
          <w:sz w:val="22"/>
          <w:szCs w:val="22"/>
        </w:rPr>
        <w:t>elkový přínos programu pro zlepšení protipovodňové ochrany</w:t>
      </w:r>
      <w:r w:rsidR="00C374E1" w:rsidRPr="00A032F8">
        <w:rPr>
          <w:rFonts w:cs="Arial"/>
          <w:sz w:val="22"/>
          <w:szCs w:val="22"/>
        </w:rPr>
        <w:t xml:space="preserve"> a</w:t>
      </w:r>
      <w:r w:rsidR="00785380" w:rsidRPr="00A032F8">
        <w:rPr>
          <w:rFonts w:cs="Arial"/>
          <w:sz w:val="22"/>
          <w:szCs w:val="22"/>
        </w:rPr>
        <w:t xml:space="preserve"> </w:t>
      </w:r>
      <w:r w:rsidR="00B77201" w:rsidRPr="00A032F8">
        <w:rPr>
          <w:rFonts w:cs="Arial"/>
          <w:sz w:val="22"/>
          <w:szCs w:val="22"/>
        </w:rPr>
        <w:t xml:space="preserve">efektivnost vynaložených finančních prostředků až po skončení programu. </w:t>
      </w:r>
      <w:r w:rsidR="004145D4" w:rsidRPr="00A032F8">
        <w:rPr>
          <w:rFonts w:cs="Arial"/>
          <w:b/>
          <w:sz w:val="22"/>
          <w:szCs w:val="22"/>
        </w:rPr>
        <w:t xml:space="preserve">Nelze tak ověřit, </w:t>
      </w:r>
      <w:r w:rsidR="00DA01B2" w:rsidRPr="00A032F8">
        <w:rPr>
          <w:rFonts w:cs="Arial"/>
          <w:b/>
          <w:sz w:val="22"/>
          <w:szCs w:val="22"/>
        </w:rPr>
        <w:t>zda a v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="00DA01B2" w:rsidRPr="00A032F8">
        <w:rPr>
          <w:rFonts w:cs="Arial"/>
          <w:b/>
          <w:sz w:val="22"/>
          <w:szCs w:val="22"/>
        </w:rPr>
        <w:t>jaké míře je zabezpečeno</w:t>
      </w:r>
      <w:r w:rsidR="004145D4" w:rsidRPr="00A032F8">
        <w:rPr>
          <w:rFonts w:cs="Arial"/>
          <w:b/>
          <w:sz w:val="22"/>
          <w:szCs w:val="22"/>
        </w:rPr>
        <w:t xml:space="preserve"> </w:t>
      </w:r>
      <w:r w:rsidR="00DA01B2" w:rsidRPr="00A032F8">
        <w:rPr>
          <w:rFonts w:cs="Arial"/>
          <w:b/>
          <w:sz w:val="22"/>
          <w:szCs w:val="22"/>
        </w:rPr>
        <w:t xml:space="preserve">dosažení co </w:t>
      </w:r>
      <w:r w:rsidR="00DA01B2" w:rsidRPr="00A032F8">
        <w:rPr>
          <w:rFonts w:cs="Arial"/>
          <w:b/>
          <w:sz w:val="22"/>
          <w:szCs w:val="22"/>
        </w:rPr>
        <w:t>nejvyšší</w:t>
      </w:r>
      <w:r w:rsidR="004C7F10">
        <w:rPr>
          <w:rFonts w:cs="Arial"/>
          <w:b/>
          <w:sz w:val="22"/>
          <w:szCs w:val="22"/>
        </w:rPr>
        <w:t>ho</w:t>
      </w:r>
      <w:r w:rsidR="00DA01B2" w:rsidRPr="00A032F8">
        <w:rPr>
          <w:rFonts w:cs="Arial"/>
          <w:b/>
          <w:sz w:val="22"/>
          <w:szCs w:val="22"/>
        </w:rPr>
        <w:t xml:space="preserve"> efekt</w:t>
      </w:r>
      <w:r w:rsidR="004C7F10">
        <w:rPr>
          <w:rFonts w:cs="Arial"/>
          <w:b/>
          <w:sz w:val="22"/>
          <w:szCs w:val="22"/>
        </w:rPr>
        <w:t>u</w:t>
      </w:r>
      <w:r w:rsidR="00DA01B2" w:rsidRPr="00A032F8">
        <w:rPr>
          <w:rFonts w:cs="Arial"/>
          <w:b/>
          <w:sz w:val="22"/>
          <w:szCs w:val="22"/>
        </w:rPr>
        <w:t xml:space="preserve"> z</w:t>
      </w:r>
      <w:r w:rsidR="004C7F10">
        <w:rPr>
          <w:rFonts w:cs="Arial"/>
          <w:b/>
          <w:sz w:val="22"/>
          <w:szCs w:val="22"/>
        </w:rPr>
        <w:t> </w:t>
      </w:r>
      <w:r w:rsidR="004145D4" w:rsidRPr="00A032F8">
        <w:rPr>
          <w:rFonts w:cs="Arial"/>
          <w:b/>
          <w:sz w:val="22"/>
          <w:szCs w:val="22"/>
        </w:rPr>
        <w:t>realizace</w:t>
      </w:r>
      <w:r w:rsidR="00DA01B2" w:rsidRPr="00A032F8">
        <w:rPr>
          <w:rFonts w:cs="Arial"/>
          <w:b/>
          <w:sz w:val="22"/>
          <w:szCs w:val="22"/>
        </w:rPr>
        <w:t xml:space="preserve"> programu</w:t>
      </w:r>
      <w:r w:rsidR="00AE59C4">
        <w:rPr>
          <w:rFonts w:cs="Arial"/>
          <w:b/>
          <w:sz w:val="22"/>
          <w:szCs w:val="22"/>
        </w:rPr>
        <w:t>,</w:t>
      </w:r>
      <w:r w:rsidR="004145D4" w:rsidRPr="00A032F8">
        <w:rPr>
          <w:rFonts w:cs="Arial"/>
          <w:b/>
          <w:sz w:val="22"/>
          <w:szCs w:val="22"/>
        </w:rPr>
        <w:t xml:space="preserve"> ani</w:t>
      </w:r>
      <w:r w:rsidR="00DA01B2" w:rsidRPr="00A032F8">
        <w:rPr>
          <w:rFonts w:cs="Arial"/>
          <w:b/>
          <w:sz w:val="22"/>
          <w:szCs w:val="22"/>
        </w:rPr>
        <w:t xml:space="preserve"> to, </w:t>
      </w:r>
      <w:r w:rsidR="004145D4" w:rsidRPr="00A032F8">
        <w:rPr>
          <w:rFonts w:cs="Arial"/>
          <w:b/>
          <w:sz w:val="22"/>
          <w:szCs w:val="22"/>
        </w:rPr>
        <w:t xml:space="preserve">jak </w:t>
      </w:r>
      <w:r w:rsidR="00DA01B2" w:rsidRPr="00A032F8">
        <w:rPr>
          <w:rFonts w:cs="Arial"/>
          <w:b/>
          <w:sz w:val="22"/>
          <w:szCs w:val="22"/>
        </w:rPr>
        <w:t>jsou stanovené cíle průběžně naplňovány.</w:t>
      </w:r>
    </w:p>
    <w:p w:rsidR="00EF6409" w:rsidRPr="00A032F8" w:rsidRDefault="00EF6409" w:rsidP="00DB275F">
      <w:pPr>
        <w:jc w:val="both"/>
        <w:rPr>
          <w:rFonts w:cs="Arial"/>
          <w:sz w:val="22"/>
          <w:szCs w:val="22"/>
        </w:rPr>
      </w:pPr>
    </w:p>
    <w:p w:rsidR="00181918" w:rsidRPr="00A032F8" w:rsidRDefault="00636E0B" w:rsidP="00DB27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Podle </w:t>
      </w:r>
      <w:proofErr w:type="spellStart"/>
      <w:r w:rsidR="00181918" w:rsidRPr="00A032F8">
        <w:rPr>
          <w:rFonts w:cs="Arial"/>
          <w:sz w:val="22"/>
          <w:szCs w:val="22"/>
        </w:rPr>
        <w:t>MZe</w:t>
      </w:r>
      <w:proofErr w:type="spellEnd"/>
      <w:r w:rsidR="00181918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j</w:t>
      </w:r>
      <w:r w:rsidR="00181918" w:rsidRPr="00A032F8">
        <w:rPr>
          <w:rFonts w:cs="Arial"/>
          <w:sz w:val="22"/>
          <w:szCs w:val="22"/>
        </w:rPr>
        <w:t xml:space="preserve">e efektivnost vložených prostředků </w:t>
      </w:r>
      <w:r w:rsidRPr="00A032F8">
        <w:rPr>
          <w:rFonts w:cs="Arial"/>
          <w:sz w:val="22"/>
          <w:szCs w:val="22"/>
        </w:rPr>
        <w:t>zabezpečová</w:t>
      </w:r>
      <w:r w:rsidR="00181918" w:rsidRPr="00A032F8">
        <w:rPr>
          <w:rFonts w:cs="Arial"/>
          <w:sz w:val="22"/>
          <w:szCs w:val="22"/>
        </w:rPr>
        <w:t>na v</w:t>
      </w:r>
      <w:r w:rsidR="00785380" w:rsidRPr="00A032F8">
        <w:rPr>
          <w:rFonts w:cs="Arial"/>
          <w:sz w:val="22"/>
          <w:szCs w:val="22"/>
        </w:rPr>
        <w:t xml:space="preserve"> </w:t>
      </w:r>
      <w:r w:rsidR="00181918" w:rsidRPr="00A032F8">
        <w:rPr>
          <w:rFonts w:cs="Arial"/>
          <w:sz w:val="22"/>
          <w:szCs w:val="22"/>
        </w:rPr>
        <w:t>rámci posuzování akcí navrhovaných k</w:t>
      </w:r>
      <w:r w:rsidR="00785380" w:rsidRPr="00A032F8">
        <w:rPr>
          <w:rFonts w:cs="Arial"/>
          <w:sz w:val="22"/>
          <w:szCs w:val="22"/>
        </w:rPr>
        <w:t xml:space="preserve"> </w:t>
      </w:r>
      <w:r w:rsidR="00181918" w:rsidRPr="00A032F8">
        <w:rPr>
          <w:rFonts w:cs="Arial"/>
          <w:sz w:val="22"/>
          <w:szCs w:val="22"/>
        </w:rPr>
        <w:t>zařazení do programu principem vícekr</w:t>
      </w:r>
      <w:r w:rsidRPr="00A032F8">
        <w:rPr>
          <w:rFonts w:cs="Arial"/>
          <w:sz w:val="22"/>
          <w:szCs w:val="22"/>
        </w:rPr>
        <w:t>iteriálního hodnocení nákladů a </w:t>
      </w:r>
      <w:r w:rsidR="00181918" w:rsidRPr="00A032F8">
        <w:rPr>
          <w:rFonts w:cs="Arial"/>
          <w:sz w:val="22"/>
          <w:szCs w:val="22"/>
        </w:rPr>
        <w:t xml:space="preserve">užitků, které </w:t>
      </w:r>
      <w:r w:rsidRPr="00A032F8">
        <w:rPr>
          <w:rFonts w:cs="Arial"/>
          <w:sz w:val="22"/>
          <w:szCs w:val="22"/>
        </w:rPr>
        <w:t>provádí</w:t>
      </w:r>
      <w:r w:rsidR="00181918" w:rsidRPr="00A032F8">
        <w:rPr>
          <w:rFonts w:cs="Arial"/>
          <w:sz w:val="22"/>
          <w:szCs w:val="22"/>
        </w:rPr>
        <w:t xml:space="preserve"> strategický expert podle </w:t>
      </w:r>
      <w:r w:rsidR="00181918" w:rsidRPr="00A032F8">
        <w:rPr>
          <w:rFonts w:cs="Arial"/>
          <w:i/>
          <w:sz w:val="22"/>
          <w:szCs w:val="22"/>
        </w:rPr>
        <w:t>Metodiky pro posuzování protipovodňových opatření navržených do II. etapy programu</w:t>
      </w:r>
      <w:r w:rsidR="00181918" w:rsidRPr="00A032F8">
        <w:rPr>
          <w:rFonts w:cs="Arial"/>
          <w:sz w:val="22"/>
          <w:szCs w:val="22"/>
        </w:rPr>
        <w:t xml:space="preserve"> (metodika </w:t>
      </w:r>
      <w:r w:rsidR="00822F87" w:rsidRPr="00A032F8">
        <w:rPr>
          <w:rFonts w:cs="Arial"/>
          <w:sz w:val="22"/>
          <w:szCs w:val="22"/>
        </w:rPr>
        <w:t>byla</w:t>
      </w:r>
      <w:r w:rsidR="00181918" w:rsidRPr="00A032F8">
        <w:rPr>
          <w:rFonts w:cs="Arial"/>
          <w:sz w:val="22"/>
          <w:szCs w:val="22"/>
        </w:rPr>
        <w:t xml:space="preserve"> součástí schválené dokumentace programu). Hodnocení efektivnosti konkrétních akcí</w:t>
      </w:r>
      <w:r w:rsidR="00822F87" w:rsidRPr="00A032F8">
        <w:rPr>
          <w:rFonts w:cs="Arial"/>
          <w:sz w:val="22"/>
          <w:szCs w:val="22"/>
        </w:rPr>
        <w:t xml:space="preserve"> však</w:t>
      </w:r>
      <w:r w:rsidR="00181918" w:rsidRPr="00A032F8">
        <w:rPr>
          <w:rFonts w:cs="Arial"/>
          <w:sz w:val="22"/>
          <w:szCs w:val="22"/>
        </w:rPr>
        <w:t xml:space="preserve"> není vyhodnocením efektivnosti </w:t>
      </w:r>
      <w:r w:rsidR="00181918" w:rsidRPr="00A032F8">
        <w:rPr>
          <w:rFonts w:cs="Arial"/>
          <w:sz w:val="22"/>
          <w:szCs w:val="22"/>
        </w:rPr>
        <w:lastRenderedPageBreak/>
        <w:t>vynaložených</w:t>
      </w:r>
      <w:r w:rsidR="00181918" w:rsidRPr="00A032F8">
        <w:rPr>
          <w:rFonts w:cs="Arial"/>
          <w:sz w:val="22"/>
          <w:szCs w:val="22"/>
        </w:rPr>
        <w:t xml:space="preserve"> finančních prostředků na realizaci programu ve smyslu uvedeného ustanovení zákona č. 218/2000 Sb. </w:t>
      </w:r>
    </w:p>
    <w:p w:rsidR="00181918" w:rsidRPr="00A032F8" w:rsidRDefault="00181918" w:rsidP="00DB275F">
      <w:pPr>
        <w:jc w:val="both"/>
        <w:rPr>
          <w:rFonts w:cs="Arial"/>
          <w:sz w:val="22"/>
          <w:szCs w:val="22"/>
        </w:rPr>
      </w:pPr>
    </w:p>
    <w:p w:rsidR="0037666E" w:rsidRPr="00A032F8" w:rsidRDefault="00563402" w:rsidP="00DB27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V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závěrečném vyhodnocení programu podle § 4 vyhlášky č. 560/2006 Sb. nebude možno vyhodnotit</w:t>
      </w:r>
      <w:r w:rsidR="0021353D" w:rsidRPr="00A032F8">
        <w:rPr>
          <w:rFonts w:cs="Arial"/>
          <w:b/>
          <w:sz w:val="22"/>
          <w:szCs w:val="22"/>
        </w:rPr>
        <w:t xml:space="preserve"> dosažené hodnoty indikátorů vůči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="0021353D" w:rsidRPr="00A032F8">
        <w:rPr>
          <w:rFonts w:cs="Arial"/>
          <w:b/>
          <w:sz w:val="22"/>
          <w:szCs w:val="22"/>
        </w:rPr>
        <w:t>předpokládaným</w:t>
      </w:r>
      <w:r w:rsidR="0021353D" w:rsidRPr="00A032F8">
        <w:rPr>
          <w:rFonts w:cs="Arial"/>
          <w:sz w:val="22"/>
          <w:szCs w:val="22"/>
        </w:rPr>
        <w:t xml:space="preserve"> (míra naplnění stanovených cílů). </w:t>
      </w:r>
      <w:r w:rsidR="00980595" w:rsidRPr="00A032F8">
        <w:rPr>
          <w:rFonts w:cs="Arial"/>
          <w:sz w:val="22"/>
          <w:szCs w:val="22"/>
        </w:rPr>
        <w:t xml:space="preserve">Bude se tak </w:t>
      </w:r>
      <w:r w:rsidR="00A919B2" w:rsidRPr="00A032F8">
        <w:rPr>
          <w:rFonts w:cs="Arial"/>
          <w:sz w:val="22"/>
          <w:szCs w:val="22"/>
        </w:rPr>
        <w:t>opakovat stav</w:t>
      </w:r>
      <w:r w:rsidR="008C0A0C" w:rsidRPr="00A032F8">
        <w:rPr>
          <w:rFonts w:cs="Arial"/>
          <w:sz w:val="22"/>
          <w:szCs w:val="22"/>
        </w:rPr>
        <w:t>, kdy</w:t>
      </w:r>
      <w:r w:rsidRPr="00A032F8">
        <w:rPr>
          <w:rFonts w:cs="Arial"/>
          <w:sz w:val="22"/>
          <w:szCs w:val="22"/>
        </w:rPr>
        <w:t xml:space="preserve">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="008C0A0C" w:rsidRPr="00A032F8">
        <w:rPr>
          <w:rFonts w:cs="Arial"/>
          <w:sz w:val="22"/>
          <w:szCs w:val="22"/>
        </w:rPr>
        <w:t xml:space="preserve"> </w:t>
      </w:r>
      <w:r w:rsidR="0021353D" w:rsidRPr="00A032F8">
        <w:rPr>
          <w:rFonts w:cs="Arial"/>
          <w:sz w:val="22"/>
          <w:szCs w:val="22"/>
        </w:rPr>
        <w:t>v</w:t>
      </w:r>
      <w:r w:rsidR="00785380" w:rsidRPr="00A032F8">
        <w:rPr>
          <w:rFonts w:cs="Arial"/>
          <w:sz w:val="22"/>
          <w:szCs w:val="22"/>
        </w:rPr>
        <w:t xml:space="preserve"> </w:t>
      </w:r>
      <w:r w:rsidR="0021353D" w:rsidRPr="00A032F8">
        <w:rPr>
          <w:rFonts w:cs="Arial"/>
          <w:sz w:val="22"/>
          <w:szCs w:val="22"/>
        </w:rPr>
        <w:t>souladu s</w:t>
      </w:r>
      <w:r w:rsidR="00785380" w:rsidRPr="00A032F8">
        <w:rPr>
          <w:rFonts w:cs="Arial"/>
          <w:sz w:val="22"/>
          <w:szCs w:val="22"/>
        </w:rPr>
        <w:t xml:space="preserve"> </w:t>
      </w:r>
      <w:r w:rsidR="0021353D" w:rsidRPr="00A032F8">
        <w:rPr>
          <w:rFonts w:cs="Arial"/>
          <w:sz w:val="22"/>
          <w:szCs w:val="22"/>
        </w:rPr>
        <w:t xml:space="preserve">tehdejší právní úpravou účasti státního rozpočtu na financování programů </w:t>
      </w:r>
      <w:r w:rsidR="008C0A0C" w:rsidRPr="00A032F8">
        <w:rPr>
          <w:rFonts w:cs="Arial"/>
          <w:sz w:val="22"/>
          <w:szCs w:val="22"/>
        </w:rPr>
        <w:t xml:space="preserve">v závěrečném vyhodnocení </w:t>
      </w:r>
      <w:r w:rsidR="00980595" w:rsidRPr="00A032F8">
        <w:rPr>
          <w:rFonts w:cs="Arial"/>
          <w:sz w:val="22"/>
          <w:szCs w:val="22"/>
        </w:rPr>
        <w:t>předcházejícího programu č.</w:t>
      </w:r>
      <w:r w:rsidR="00785380" w:rsidRPr="00A032F8">
        <w:rPr>
          <w:rFonts w:cs="Arial"/>
          <w:sz w:val="22"/>
          <w:szCs w:val="22"/>
        </w:rPr>
        <w:t xml:space="preserve"> </w:t>
      </w:r>
      <w:r w:rsidR="00980595" w:rsidRPr="00A032F8">
        <w:rPr>
          <w:rFonts w:cs="Arial"/>
          <w:sz w:val="22"/>
          <w:szCs w:val="22"/>
        </w:rPr>
        <w:t>229</w:t>
      </w:r>
      <w:r w:rsidR="00785380" w:rsidRPr="00A032F8">
        <w:rPr>
          <w:rFonts w:cs="Arial"/>
          <w:sz w:val="22"/>
          <w:szCs w:val="22"/>
        </w:rPr>
        <w:t xml:space="preserve"> </w:t>
      </w:r>
      <w:r w:rsidR="00980595" w:rsidRPr="00A032F8">
        <w:rPr>
          <w:rFonts w:cs="Arial"/>
          <w:sz w:val="22"/>
          <w:szCs w:val="22"/>
        </w:rPr>
        <w:t>060</w:t>
      </w:r>
      <w:r w:rsidRPr="00A032F8">
        <w:rPr>
          <w:rFonts w:cs="Arial"/>
          <w:sz w:val="22"/>
          <w:szCs w:val="22"/>
        </w:rPr>
        <w:t xml:space="preserve"> posuzovalo </w:t>
      </w:r>
      <w:r w:rsidR="00BE0BB4" w:rsidRPr="00A032F8">
        <w:rPr>
          <w:rFonts w:cs="Arial"/>
          <w:sz w:val="22"/>
          <w:szCs w:val="22"/>
        </w:rPr>
        <w:t>především</w:t>
      </w:r>
      <w:r w:rsidR="00980595" w:rsidRPr="00A032F8">
        <w:rPr>
          <w:rFonts w:cs="Arial"/>
          <w:sz w:val="22"/>
          <w:szCs w:val="22"/>
        </w:rPr>
        <w:t xml:space="preserve"> </w:t>
      </w:r>
      <w:r w:rsidR="008C0A0C" w:rsidRPr="00A032F8">
        <w:rPr>
          <w:rFonts w:cs="Arial"/>
          <w:sz w:val="22"/>
          <w:szCs w:val="22"/>
        </w:rPr>
        <w:t>dosažené parametry</w:t>
      </w:r>
      <w:r w:rsidR="00B73C95" w:rsidRPr="00A032F8">
        <w:rPr>
          <w:rFonts w:cs="Arial"/>
          <w:sz w:val="22"/>
          <w:szCs w:val="22"/>
        </w:rPr>
        <w:t xml:space="preserve"> </w:t>
      </w:r>
      <w:r w:rsidR="0021353D" w:rsidRPr="00A032F8">
        <w:rPr>
          <w:rFonts w:cs="Arial"/>
          <w:sz w:val="22"/>
          <w:szCs w:val="22"/>
        </w:rPr>
        <w:t>a</w:t>
      </w:r>
      <w:r w:rsidR="001C34AD" w:rsidRPr="00A032F8">
        <w:rPr>
          <w:rFonts w:cs="Arial"/>
          <w:sz w:val="22"/>
          <w:szCs w:val="22"/>
        </w:rPr>
        <w:t> </w:t>
      </w:r>
      <w:r w:rsidR="0021353D" w:rsidRPr="00A032F8">
        <w:rPr>
          <w:rFonts w:cs="Arial"/>
          <w:sz w:val="22"/>
          <w:szCs w:val="22"/>
        </w:rPr>
        <w:t>nehodnotilo</w:t>
      </w:r>
      <w:r w:rsidR="00AA5A86" w:rsidRPr="00A032F8">
        <w:rPr>
          <w:rFonts w:cs="Arial"/>
          <w:sz w:val="22"/>
          <w:szCs w:val="22"/>
        </w:rPr>
        <w:t xml:space="preserve"> jeho</w:t>
      </w:r>
      <w:r w:rsidR="0021353D" w:rsidRPr="00A032F8">
        <w:rPr>
          <w:rFonts w:cs="Arial"/>
          <w:sz w:val="22"/>
          <w:szCs w:val="22"/>
        </w:rPr>
        <w:t xml:space="preserve"> celkový přínos pro zlepšení protipovodňové ochrany. </w:t>
      </w:r>
      <w:proofErr w:type="spellStart"/>
      <w:r w:rsidR="0021353D" w:rsidRPr="00A032F8">
        <w:rPr>
          <w:rFonts w:cs="Arial"/>
          <w:sz w:val="22"/>
          <w:szCs w:val="22"/>
        </w:rPr>
        <w:t>MZe</w:t>
      </w:r>
      <w:proofErr w:type="spellEnd"/>
      <w:r w:rsidR="00822F87" w:rsidRPr="00A032F8">
        <w:rPr>
          <w:rFonts w:cs="Arial"/>
          <w:sz w:val="22"/>
          <w:szCs w:val="22"/>
        </w:rPr>
        <w:t xml:space="preserve"> </w:t>
      </w:r>
      <w:r w:rsidR="0021353D" w:rsidRPr="00A032F8">
        <w:rPr>
          <w:rFonts w:cs="Arial"/>
          <w:sz w:val="22"/>
          <w:szCs w:val="22"/>
        </w:rPr>
        <w:t>ú</w:t>
      </w:r>
      <w:r w:rsidR="00980595" w:rsidRPr="00A032F8">
        <w:rPr>
          <w:rFonts w:cs="Arial"/>
          <w:sz w:val="22"/>
          <w:szCs w:val="22"/>
        </w:rPr>
        <w:t xml:space="preserve">daje jako počet ochráněných osob, hodnota ochráněného majetku, míra ochrany před povodněmi apod. </w:t>
      </w:r>
      <w:r w:rsidR="0037666E" w:rsidRPr="00A032F8">
        <w:rPr>
          <w:rFonts w:cs="Arial"/>
          <w:sz w:val="22"/>
          <w:szCs w:val="22"/>
        </w:rPr>
        <w:t>uvedlo</w:t>
      </w:r>
      <w:r w:rsidR="00B425B3" w:rsidRPr="00A032F8">
        <w:rPr>
          <w:rFonts w:cs="Arial"/>
          <w:sz w:val="22"/>
          <w:szCs w:val="22"/>
        </w:rPr>
        <w:t xml:space="preserve"> až</w:t>
      </w:r>
      <w:r w:rsidR="0037666E" w:rsidRPr="00A032F8">
        <w:rPr>
          <w:rFonts w:cs="Arial"/>
          <w:sz w:val="22"/>
          <w:szCs w:val="22"/>
        </w:rPr>
        <w:t xml:space="preserve"> ve změnách dokumentace navazujícího 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="0037666E" w:rsidRPr="00A032F8">
        <w:rPr>
          <w:rFonts w:cs="Arial"/>
          <w:sz w:val="22"/>
          <w:szCs w:val="22"/>
        </w:rPr>
        <w:t>120. Doklady k</w:t>
      </w:r>
      <w:r w:rsidR="00413F45" w:rsidRPr="00A032F8">
        <w:rPr>
          <w:rFonts w:cs="Arial"/>
          <w:sz w:val="22"/>
          <w:szCs w:val="22"/>
        </w:rPr>
        <w:t> </w:t>
      </w:r>
      <w:r w:rsidR="0037666E" w:rsidRPr="00A032F8">
        <w:rPr>
          <w:rFonts w:cs="Arial"/>
          <w:sz w:val="22"/>
          <w:szCs w:val="22"/>
        </w:rPr>
        <w:t>jejich ověření však nepředložilo s</w:t>
      </w:r>
      <w:r w:rsidR="00BE0BB4" w:rsidRPr="00A032F8">
        <w:rPr>
          <w:rFonts w:cs="Arial"/>
          <w:sz w:val="22"/>
          <w:szCs w:val="22"/>
        </w:rPr>
        <w:t> tím, že byly vyčísleny z</w:t>
      </w:r>
      <w:r w:rsidR="00785380" w:rsidRPr="00A032F8">
        <w:rPr>
          <w:rFonts w:cs="Arial"/>
          <w:sz w:val="22"/>
          <w:szCs w:val="22"/>
        </w:rPr>
        <w:t xml:space="preserve"> </w:t>
      </w:r>
      <w:r w:rsidR="0037666E" w:rsidRPr="00A032F8">
        <w:rPr>
          <w:rFonts w:cs="Arial"/>
          <w:sz w:val="22"/>
          <w:szCs w:val="22"/>
        </w:rPr>
        <w:t>jednotlivých</w:t>
      </w:r>
      <w:r w:rsidR="00785380" w:rsidRPr="00A032F8">
        <w:rPr>
          <w:rFonts w:cs="Arial"/>
          <w:sz w:val="22"/>
          <w:szCs w:val="22"/>
        </w:rPr>
        <w:t xml:space="preserve"> </w:t>
      </w:r>
      <w:r w:rsidR="0037666E" w:rsidRPr="00A032F8">
        <w:rPr>
          <w:rFonts w:cs="Arial"/>
          <w:sz w:val="22"/>
          <w:szCs w:val="22"/>
        </w:rPr>
        <w:t xml:space="preserve">posudků strategického experta. </w:t>
      </w:r>
    </w:p>
    <w:p w:rsidR="001402EC" w:rsidRPr="00A032F8" w:rsidRDefault="001402EC" w:rsidP="00DB275F">
      <w:pPr>
        <w:jc w:val="both"/>
        <w:rPr>
          <w:rFonts w:cs="Arial"/>
          <w:sz w:val="22"/>
          <w:szCs w:val="22"/>
        </w:rPr>
      </w:pPr>
    </w:p>
    <w:p w:rsidR="00872CE1" w:rsidRPr="00A032F8" w:rsidRDefault="005D0641" w:rsidP="00872CE1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b) </w:t>
      </w:r>
      <w:r w:rsidR="00E32A09" w:rsidRPr="00A032F8">
        <w:rPr>
          <w:rFonts w:cs="Arial"/>
          <w:sz w:val="22"/>
          <w:szCs w:val="22"/>
        </w:rPr>
        <w:t>Zdroje financování programu</w:t>
      </w:r>
      <w:r w:rsidR="00DF0DB7" w:rsidRPr="00A032F8">
        <w:rPr>
          <w:rFonts w:cs="Arial"/>
          <w:sz w:val="22"/>
          <w:szCs w:val="22"/>
        </w:rPr>
        <w:t xml:space="preserve"> č. 129 120</w:t>
      </w:r>
      <w:r w:rsidR="00E32A09" w:rsidRPr="00A032F8">
        <w:rPr>
          <w:rFonts w:cs="Arial"/>
          <w:sz w:val="22"/>
          <w:szCs w:val="22"/>
        </w:rPr>
        <w:t xml:space="preserve"> vymezila vláda v</w:t>
      </w:r>
      <w:r w:rsidR="00785380" w:rsidRPr="00A032F8">
        <w:rPr>
          <w:rFonts w:cs="Arial"/>
          <w:sz w:val="22"/>
          <w:szCs w:val="22"/>
        </w:rPr>
        <w:t xml:space="preserve"> </w:t>
      </w:r>
      <w:r w:rsidR="00E32A09" w:rsidRPr="00A032F8">
        <w:rPr>
          <w:rFonts w:cs="Arial"/>
          <w:sz w:val="22"/>
          <w:szCs w:val="22"/>
        </w:rPr>
        <w:t>usnesení ze dne 15. listopadu</w:t>
      </w:r>
      <w:r w:rsidR="00413F45" w:rsidRPr="00A032F8">
        <w:rPr>
          <w:rFonts w:cs="Arial"/>
          <w:sz w:val="22"/>
          <w:szCs w:val="22"/>
        </w:rPr>
        <w:t xml:space="preserve"> </w:t>
      </w:r>
      <w:r w:rsidR="00E32A09" w:rsidRPr="00A032F8">
        <w:rPr>
          <w:rFonts w:cs="Arial"/>
          <w:sz w:val="22"/>
          <w:szCs w:val="22"/>
        </w:rPr>
        <w:t>2006 č.</w:t>
      </w:r>
      <w:r w:rsidR="00785380" w:rsidRPr="00A032F8">
        <w:rPr>
          <w:rFonts w:cs="Arial"/>
          <w:sz w:val="22"/>
          <w:szCs w:val="22"/>
        </w:rPr>
        <w:t xml:space="preserve"> </w:t>
      </w:r>
      <w:r w:rsidR="00E32A09" w:rsidRPr="00A032F8">
        <w:rPr>
          <w:rFonts w:cs="Arial"/>
          <w:sz w:val="22"/>
          <w:szCs w:val="22"/>
        </w:rPr>
        <w:t xml:space="preserve">1304. </w:t>
      </w:r>
      <w:r w:rsidR="00C82FDF" w:rsidRPr="00A032F8">
        <w:rPr>
          <w:rFonts w:cs="Arial"/>
          <w:sz w:val="22"/>
          <w:szCs w:val="22"/>
        </w:rPr>
        <w:t>Předpokládané f</w:t>
      </w:r>
      <w:r w:rsidR="00FC315C" w:rsidRPr="00A032F8">
        <w:rPr>
          <w:rFonts w:cs="Arial"/>
          <w:sz w:val="22"/>
          <w:szCs w:val="22"/>
        </w:rPr>
        <w:t>inanční para</w:t>
      </w:r>
      <w:r w:rsidR="00C82FDF" w:rsidRPr="00A032F8">
        <w:rPr>
          <w:rFonts w:cs="Arial"/>
          <w:sz w:val="22"/>
          <w:szCs w:val="22"/>
        </w:rPr>
        <w:t>metry programu a jeji</w:t>
      </w:r>
      <w:r w:rsidR="00FC315C" w:rsidRPr="00A032F8">
        <w:rPr>
          <w:rFonts w:cs="Arial"/>
          <w:sz w:val="22"/>
          <w:szCs w:val="22"/>
        </w:rPr>
        <w:t>ch vývoj za</w:t>
      </w:r>
      <w:r w:rsidR="00785380" w:rsidRPr="00A032F8">
        <w:rPr>
          <w:rFonts w:cs="Arial"/>
          <w:sz w:val="22"/>
          <w:szCs w:val="22"/>
        </w:rPr>
        <w:t xml:space="preserve"> </w:t>
      </w:r>
      <w:r w:rsidR="00FC315C" w:rsidRPr="00A032F8">
        <w:rPr>
          <w:rFonts w:cs="Arial"/>
          <w:sz w:val="22"/>
          <w:szCs w:val="22"/>
        </w:rPr>
        <w:t>dobu realizace jsou uvedeny v</w:t>
      </w:r>
      <w:r w:rsidR="00785380" w:rsidRPr="00A032F8">
        <w:rPr>
          <w:rFonts w:cs="Arial"/>
          <w:sz w:val="22"/>
          <w:szCs w:val="22"/>
        </w:rPr>
        <w:t xml:space="preserve"> </w:t>
      </w:r>
      <w:r w:rsidR="00FC315C" w:rsidRPr="00A032F8">
        <w:rPr>
          <w:rFonts w:cs="Arial"/>
          <w:sz w:val="22"/>
          <w:szCs w:val="22"/>
        </w:rPr>
        <w:t>tabulce č. 1. Čerpání finančních prostředků programu</w:t>
      </w:r>
      <w:r w:rsidR="00141D91" w:rsidRPr="00A032F8">
        <w:rPr>
          <w:rFonts w:cs="Arial"/>
          <w:sz w:val="22"/>
          <w:szCs w:val="22"/>
        </w:rPr>
        <w:t xml:space="preserve"> za roky 2007 až 2012</w:t>
      </w:r>
      <w:r w:rsidR="00FC315C" w:rsidRPr="00A032F8">
        <w:rPr>
          <w:rFonts w:cs="Arial"/>
          <w:sz w:val="22"/>
          <w:szCs w:val="22"/>
        </w:rPr>
        <w:t xml:space="preserve"> je uvedeno v</w:t>
      </w:r>
      <w:r w:rsidR="00785380" w:rsidRPr="00A032F8">
        <w:rPr>
          <w:rFonts w:cs="Arial"/>
          <w:sz w:val="22"/>
          <w:szCs w:val="22"/>
        </w:rPr>
        <w:t xml:space="preserve"> </w:t>
      </w:r>
      <w:r w:rsidR="00FC315C" w:rsidRPr="00A032F8">
        <w:rPr>
          <w:rFonts w:cs="Arial"/>
          <w:sz w:val="22"/>
          <w:szCs w:val="22"/>
        </w:rPr>
        <w:t>tabulce č. 2.</w:t>
      </w:r>
      <w:r w:rsidR="00E32A09" w:rsidRPr="00A032F8">
        <w:rPr>
          <w:rFonts w:cs="Arial"/>
          <w:sz w:val="22"/>
          <w:szCs w:val="22"/>
        </w:rPr>
        <w:t xml:space="preserve"> </w:t>
      </w:r>
    </w:p>
    <w:p w:rsidR="00F133C2" w:rsidRPr="00A032F8" w:rsidRDefault="00F133C2" w:rsidP="00872CE1">
      <w:pPr>
        <w:jc w:val="both"/>
        <w:rPr>
          <w:rFonts w:cs="Arial"/>
          <w:sz w:val="22"/>
          <w:szCs w:val="22"/>
        </w:rPr>
      </w:pPr>
    </w:p>
    <w:p w:rsidR="00FC315C" w:rsidRPr="006040CA" w:rsidRDefault="00141D91" w:rsidP="00512BFA">
      <w:pPr>
        <w:tabs>
          <w:tab w:val="left" w:pos="7938"/>
        </w:tabs>
        <w:spacing w:after="40"/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Tabulka č. 1 – Finanční parametry programu č.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120</w:t>
      </w:r>
      <w:r w:rsidRPr="00A032F8">
        <w:rPr>
          <w:rFonts w:cs="Arial"/>
          <w:b/>
          <w:sz w:val="22"/>
          <w:szCs w:val="22"/>
        </w:rPr>
        <w:tab/>
      </w:r>
      <w:r w:rsidRPr="006040CA">
        <w:rPr>
          <w:rFonts w:cs="Arial"/>
          <w:b/>
          <w:sz w:val="22"/>
          <w:szCs w:val="22"/>
        </w:rPr>
        <w:t>(v mil. Kč)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304"/>
        <w:gridCol w:w="1354"/>
        <w:gridCol w:w="1354"/>
        <w:gridCol w:w="1355"/>
      </w:tblGrid>
      <w:tr w:rsidR="00BE04B5" w:rsidRPr="00A032F8" w:rsidTr="00810EFF">
        <w:trPr>
          <w:trHeight w:val="283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04B5" w:rsidRPr="00A032F8" w:rsidRDefault="00BE04B5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Schválení/změna dokumentace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04B5" w:rsidRPr="00A032F8" w:rsidRDefault="00BE04B5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Roky realizace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04B5" w:rsidRPr="00A032F8" w:rsidRDefault="00BE04B5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Celková potřeba</w:t>
            </w:r>
          </w:p>
        </w:tc>
        <w:tc>
          <w:tcPr>
            <w:tcW w:w="40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04B5" w:rsidRPr="00A032F8" w:rsidRDefault="00BE04B5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Zdroje krytí potřeby</w:t>
            </w:r>
          </w:p>
        </w:tc>
      </w:tr>
      <w:tr w:rsidR="00BE04B5" w:rsidRPr="00A032F8" w:rsidTr="00810EFF">
        <w:trPr>
          <w:trHeight w:val="283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04B5" w:rsidRPr="00A032F8" w:rsidRDefault="00BE04B5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04B5" w:rsidRPr="00A032F8" w:rsidRDefault="00BE04B5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04B5" w:rsidRPr="00A032F8" w:rsidRDefault="00BE04B5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04B5" w:rsidRPr="00A032F8" w:rsidRDefault="00AE59C4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Ú</w:t>
            </w:r>
            <w:r w:rsidR="00BE04B5" w:rsidRPr="00A032F8">
              <w:rPr>
                <w:rFonts w:cs="Arial"/>
                <w:b/>
                <w:sz w:val="18"/>
                <w:szCs w:val="18"/>
              </w:rPr>
              <w:t>věr EIB</w:t>
            </w:r>
            <w:r w:rsidR="00BE04B5" w:rsidRPr="00A032F8">
              <w:rPr>
                <w:rFonts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04B5" w:rsidRPr="00A032F8" w:rsidRDefault="00AE59C4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BE04B5" w:rsidRPr="00A032F8">
              <w:rPr>
                <w:rFonts w:cs="Arial"/>
                <w:b/>
                <w:sz w:val="18"/>
                <w:szCs w:val="18"/>
              </w:rPr>
              <w:t>tát</w:t>
            </w:r>
            <w:r w:rsidR="00307F23" w:rsidRPr="00A032F8">
              <w:rPr>
                <w:rFonts w:cs="Arial"/>
                <w:b/>
                <w:sz w:val="18"/>
                <w:szCs w:val="18"/>
              </w:rPr>
              <w:t>ní</w:t>
            </w:r>
            <w:r w:rsidR="00BE04B5" w:rsidRPr="00A032F8">
              <w:rPr>
                <w:rFonts w:cs="Arial"/>
                <w:b/>
                <w:sz w:val="18"/>
                <w:szCs w:val="18"/>
              </w:rPr>
              <w:t xml:space="preserve"> rozp</w:t>
            </w:r>
            <w:r w:rsidR="00307F23" w:rsidRPr="00A032F8">
              <w:rPr>
                <w:rFonts w:cs="Arial"/>
                <w:b/>
                <w:sz w:val="18"/>
                <w:szCs w:val="18"/>
              </w:rPr>
              <w:t>očet</w:t>
            </w:r>
            <w:r w:rsidR="00BE04B5" w:rsidRPr="00A032F8">
              <w:rPr>
                <w:rFonts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04B5" w:rsidRPr="00A032F8" w:rsidRDefault="00AE59C4" w:rsidP="00512BFA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="00822F87" w:rsidRPr="00A032F8">
              <w:rPr>
                <w:rFonts w:cs="Arial"/>
                <w:b/>
                <w:sz w:val="18"/>
                <w:szCs w:val="18"/>
              </w:rPr>
              <w:t>lastní</w:t>
            </w:r>
            <w:r w:rsidR="00BE04B5" w:rsidRPr="00A032F8">
              <w:rPr>
                <w:rFonts w:cs="Arial"/>
                <w:b/>
                <w:sz w:val="18"/>
                <w:szCs w:val="18"/>
              </w:rPr>
              <w:t xml:space="preserve"> zdroje</w:t>
            </w:r>
            <w:r w:rsidR="00BE04B5" w:rsidRPr="00A032F8">
              <w:rPr>
                <w:rFonts w:cs="Arial"/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FC315C" w:rsidRPr="00A032F8" w:rsidTr="00810EFF">
        <w:trPr>
          <w:trHeight w:val="283"/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C315C" w:rsidRPr="00A032F8" w:rsidRDefault="00AE59C4" w:rsidP="00512BFA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BE04B5" w:rsidRPr="00A032F8">
              <w:rPr>
                <w:rFonts w:cs="Arial"/>
                <w:sz w:val="18"/>
                <w:szCs w:val="18"/>
              </w:rPr>
              <w:t>istopad 2006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C315C" w:rsidRPr="00A032F8" w:rsidRDefault="00BE04B5" w:rsidP="00512BFA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200</w:t>
            </w:r>
            <w:r w:rsidR="001C6DF9" w:rsidRPr="00A032F8">
              <w:rPr>
                <w:rFonts w:cs="Arial"/>
                <w:sz w:val="18"/>
                <w:szCs w:val="18"/>
              </w:rPr>
              <w:t>7</w:t>
            </w:r>
            <w:r w:rsidR="00F133C2" w:rsidRPr="00A032F8">
              <w:rPr>
                <w:rFonts w:cs="Arial"/>
                <w:sz w:val="18"/>
                <w:szCs w:val="18"/>
              </w:rPr>
              <w:t>–</w:t>
            </w:r>
            <w:r w:rsidRPr="00A032F8"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FC315C" w:rsidRPr="00A032F8" w:rsidRDefault="00BE04B5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10 500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FC315C" w:rsidRPr="00A032F8" w:rsidRDefault="006D206A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6 000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FC315C" w:rsidRPr="00A032F8" w:rsidRDefault="006D206A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4 000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500</w:t>
            </w:r>
          </w:p>
        </w:tc>
      </w:tr>
      <w:tr w:rsidR="00FC315C" w:rsidRPr="00A032F8" w:rsidTr="00810EFF">
        <w:trPr>
          <w:trHeight w:val="283"/>
          <w:jc w:val="center"/>
        </w:trPr>
        <w:tc>
          <w:tcPr>
            <w:tcW w:w="2268" w:type="dxa"/>
            <w:vAlign w:val="center"/>
          </w:tcPr>
          <w:p w:rsidR="00FC315C" w:rsidRPr="00A032F8" w:rsidRDefault="00AE59C4" w:rsidP="00512BFA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BE04B5" w:rsidRPr="00A032F8">
              <w:rPr>
                <w:rFonts w:cs="Arial"/>
                <w:sz w:val="18"/>
                <w:szCs w:val="18"/>
              </w:rPr>
              <w:t>rosinec 2008</w:t>
            </w:r>
          </w:p>
        </w:tc>
        <w:tc>
          <w:tcPr>
            <w:tcW w:w="1418" w:type="dxa"/>
            <w:vAlign w:val="center"/>
          </w:tcPr>
          <w:p w:rsidR="00FC315C" w:rsidRPr="00A032F8" w:rsidRDefault="00BE04B5" w:rsidP="00512BFA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2007</w:t>
            </w:r>
            <w:r w:rsidR="00F133C2" w:rsidRPr="00A032F8">
              <w:rPr>
                <w:rFonts w:cs="Arial"/>
                <w:sz w:val="18"/>
                <w:szCs w:val="18"/>
              </w:rPr>
              <w:t>–</w:t>
            </w:r>
            <w:r w:rsidRPr="00A032F8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304" w:type="dxa"/>
            <w:vAlign w:val="center"/>
          </w:tcPr>
          <w:p w:rsidR="00FC315C" w:rsidRPr="00A032F8" w:rsidRDefault="00BE04B5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10 500</w:t>
            </w:r>
          </w:p>
        </w:tc>
        <w:tc>
          <w:tcPr>
            <w:tcW w:w="1354" w:type="dxa"/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5 700</w:t>
            </w:r>
          </w:p>
        </w:tc>
        <w:tc>
          <w:tcPr>
            <w:tcW w:w="1354" w:type="dxa"/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4 300</w:t>
            </w:r>
          </w:p>
        </w:tc>
        <w:tc>
          <w:tcPr>
            <w:tcW w:w="1355" w:type="dxa"/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500</w:t>
            </w:r>
          </w:p>
        </w:tc>
      </w:tr>
      <w:tr w:rsidR="00FC315C" w:rsidRPr="00A032F8" w:rsidTr="00810EFF">
        <w:trPr>
          <w:trHeight w:val="283"/>
          <w:jc w:val="center"/>
        </w:trPr>
        <w:tc>
          <w:tcPr>
            <w:tcW w:w="2268" w:type="dxa"/>
            <w:vAlign w:val="center"/>
          </w:tcPr>
          <w:p w:rsidR="00FC315C" w:rsidRPr="00A032F8" w:rsidRDefault="00AE59C4" w:rsidP="00512BFA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BE04B5" w:rsidRPr="00A032F8">
              <w:rPr>
                <w:rFonts w:cs="Arial"/>
                <w:sz w:val="18"/>
                <w:szCs w:val="18"/>
              </w:rPr>
              <w:t xml:space="preserve">věten 2010 </w:t>
            </w:r>
          </w:p>
        </w:tc>
        <w:tc>
          <w:tcPr>
            <w:tcW w:w="1418" w:type="dxa"/>
            <w:vAlign w:val="center"/>
          </w:tcPr>
          <w:p w:rsidR="00FC315C" w:rsidRPr="00A032F8" w:rsidRDefault="00BE04B5" w:rsidP="00512BFA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2007</w:t>
            </w:r>
            <w:r w:rsidR="00F133C2" w:rsidRPr="00A032F8">
              <w:rPr>
                <w:rFonts w:cs="Arial"/>
                <w:sz w:val="18"/>
                <w:szCs w:val="18"/>
              </w:rPr>
              <w:t>–</w:t>
            </w:r>
            <w:r w:rsidRPr="00A032F8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304" w:type="dxa"/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11 550</w:t>
            </w:r>
          </w:p>
        </w:tc>
        <w:tc>
          <w:tcPr>
            <w:tcW w:w="1354" w:type="dxa"/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7 000</w:t>
            </w:r>
          </w:p>
        </w:tc>
        <w:tc>
          <w:tcPr>
            <w:tcW w:w="1354" w:type="dxa"/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4 000</w:t>
            </w:r>
          </w:p>
        </w:tc>
        <w:tc>
          <w:tcPr>
            <w:tcW w:w="1355" w:type="dxa"/>
            <w:vAlign w:val="center"/>
          </w:tcPr>
          <w:p w:rsidR="00FC315C" w:rsidRPr="00A032F8" w:rsidRDefault="00141D91" w:rsidP="00512BFA">
            <w:pPr>
              <w:spacing w:before="20" w:after="20"/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550</w:t>
            </w:r>
          </w:p>
        </w:tc>
      </w:tr>
    </w:tbl>
    <w:p w:rsidR="00FC315C" w:rsidRPr="00A032F8" w:rsidRDefault="00BE04B5" w:rsidP="00512BFA">
      <w:pPr>
        <w:spacing w:before="40"/>
        <w:jc w:val="both"/>
        <w:rPr>
          <w:rFonts w:cs="Arial"/>
          <w:sz w:val="18"/>
          <w:szCs w:val="18"/>
        </w:rPr>
      </w:pPr>
      <w:r w:rsidRPr="006040CA">
        <w:rPr>
          <w:rFonts w:cs="Arial"/>
          <w:b/>
          <w:sz w:val="18"/>
          <w:szCs w:val="18"/>
        </w:rPr>
        <w:t>Zdroj:</w:t>
      </w:r>
      <w:r w:rsidRPr="00A032F8">
        <w:rPr>
          <w:rFonts w:cs="Arial"/>
          <w:sz w:val="18"/>
          <w:szCs w:val="18"/>
        </w:rPr>
        <w:t xml:space="preserve"> </w:t>
      </w:r>
      <w:r w:rsidR="00AE59C4">
        <w:rPr>
          <w:rFonts w:cs="Arial"/>
          <w:sz w:val="18"/>
          <w:szCs w:val="18"/>
        </w:rPr>
        <w:t>d</w:t>
      </w:r>
      <w:r w:rsidRPr="00A032F8">
        <w:rPr>
          <w:rFonts w:cs="Arial"/>
          <w:sz w:val="18"/>
          <w:szCs w:val="18"/>
        </w:rPr>
        <w:t>okumentace programu č. 129</w:t>
      </w:r>
      <w:r w:rsidR="00785380" w:rsidRPr="00A032F8">
        <w:rPr>
          <w:rFonts w:cs="Arial"/>
          <w:sz w:val="18"/>
          <w:szCs w:val="18"/>
        </w:rPr>
        <w:t xml:space="preserve"> </w:t>
      </w:r>
      <w:r w:rsidRPr="00A032F8">
        <w:rPr>
          <w:rFonts w:cs="Arial"/>
          <w:sz w:val="18"/>
          <w:szCs w:val="18"/>
        </w:rPr>
        <w:t>120.</w:t>
      </w:r>
    </w:p>
    <w:p w:rsidR="00AE59C4" w:rsidRPr="006040CA" w:rsidRDefault="00AE59C4" w:rsidP="00DD5E7E">
      <w:pPr>
        <w:ind w:left="567" w:hanging="567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Vysvětlivky:</w:t>
      </w:r>
    </w:p>
    <w:p w:rsidR="00E32A09" w:rsidRPr="00A032F8" w:rsidRDefault="00BE04B5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1)</w:t>
      </w:r>
      <w:r w:rsidRPr="00A032F8">
        <w:rPr>
          <w:rFonts w:cs="Arial"/>
          <w:sz w:val="18"/>
          <w:szCs w:val="18"/>
        </w:rPr>
        <w:t xml:space="preserve"> Úvěr od Evropské investiční banky přijatý na základě zákona č. 572/2006 Sb.</w:t>
      </w:r>
      <w:r w:rsidR="00E32A09" w:rsidRPr="00A032F8">
        <w:rPr>
          <w:rFonts w:cs="Arial"/>
          <w:sz w:val="18"/>
          <w:szCs w:val="18"/>
        </w:rPr>
        <w:t xml:space="preserve"> </w:t>
      </w:r>
    </w:p>
    <w:p w:rsidR="00BE04B5" w:rsidRPr="00A032F8" w:rsidRDefault="00BE04B5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2)</w:t>
      </w:r>
      <w:r w:rsidRPr="00A032F8">
        <w:rPr>
          <w:rFonts w:cs="Arial"/>
          <w:sz w:val="18"/>
          <w:szCs w:val="18"/>
        </w:rPr>
        <w:t xml:space="preserve"> Prostředky státního rozpočtu</w:t>
      </w:r>
      <w:r w:rsidR="006D206A" w:rsidRPr="00A032F8">
        <w:rPr>
          <w:rFonts w:cs="Arial"/>
          <w:sz w:val="18"/>
          <w:szCs w:val="18"/>
        </w:rPr>
        <w:t>, včetně výnosů z</w:t>
      </w:r>
      <w:r w:rsidR="00785380" w:rsidRPr="00A032F8">
        <w:rPr>
          <w:rFonts w:cs="Arial"/>
          <w:sz w:val="18"/>
          <w:szCs w:val="18"/>
        </w:rPr>
        <w:t xml:space="preserve"> </w:t>
      </w:r>
      <w:r w:rsidR="006D206A" w:rsidRPr="00A032F8">
        <w:rPr>
          <w:rFonts w:cs="Arial"/>
          <w:sz w:val="18"/>
          <w:szCs w:val="18"/>
        </w:rPr>
        <w:t>privatizací.</w:t>
      </w:r>
    </w:p>
    <w:p w:rsidR="00BE04B5" w:rsidRPr="00A032F8" w:rsidRDefault="00BE04B5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3)</w:t>
      </w:r>
      <w:r w:rsidRPr="00A032F8">
        <w:rPr>
          <w:rFonts w:cs="Arial"/>
          <w:sz w:val="18"/>
          <w:szCs w:val="18"/>
        </w:rPr>
        <w:t xml:space="preserve"> Vla</w:t>
      </w:r>
      <w:r w:rsidR="00F723CD">
        <w:rPr>
          <w:rFonts w:cs="Arial"/>
          <w:sz w:val="18"/>
          <w:szCs w:val="18"/>
        </w:rPr>
        <w:t>stní zdroje účastníků programu.</w:t>
      </w:r>
    </w:p>
    <w:p w:rsidR="00331BE4" w:rsidRPr="00A032F8" w:rsidRDefault="00331BE4" w:rsidP="00DB275F">
      <w:pPr>
        <w:jc w:val="both"/>
        <w:rPr>
          <w:rFonts w:cs="Arial"/>
          <w:sz w:val="22"/>
          <w:szCs w:val="22"/>
        </w:rPr>
      </w:pPr>
    </w:p>
    <w:p w:rsidR="00141D91" w:rsidRPr="006040CA" w:rsidRDefault="00141D91" w:rsidP="00DD5E7E">
      <w:pPr>
        <w:tabs>
          <w:tab w:val="left" w:pos="7938"/>
        </w:tabs>
        <w:spacing w:after="40"/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Tabulka č. 2 – Čerpání finančních prostředků z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programu č.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120</w:t>
      </w:r>
      <w:r w:rsidRPr="00A032F8">
        <w:rPr>
          <w:rFonts w:cs="Arial"/>
          <w:b/>
          <w:sz w:val="22"/>
          <w:szCs w:val="22"/>
        </w:rPr>
        <w:tab/>
      </w:r>
      <w:r w:rsidRPr="006040CA">
        <w:rPr>
          <w:rFonts w:cs="Arial"/>
          <w:b/>
          <w:sz w:val="22"/>
          <w:szCs w:val="22"/>
        </w:rPr>
        <w:t>(v mil. Kč)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361"/>
        <w:gridCol w:w="1191"/>
        <w:gridCol w:w="1191"/>
        <w:gridCol w:w="1152"/>
        <w:gridCol w:w="1020"/>
        <w:gridCol w:w="907"/>
      </w:tblGrid>
      <w:tr w:rsidR="009B5EA9" w:rsidRPr="00A032F8" w:rsidTr="00F735B8">
        <w:trPr>
          <w:jc w:val="center"/>
        </w:trPr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9B5EA9" w:rsidRPr="00A032F8" w:rsidRDefault="009B5EA9" w:rsidP="00DD5E7E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9B5EA9" w:rsidRPr="00A032F8" w:rsidRDefault="009B5EA9" w:rsidP="00DD5E7E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Rozhodnutí</w:t>
            </w:r>
            <w:r w:rsidR="00B405DA" w:rsidRPr="00A032F8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="00102B37" w:rsidRPr="00A032F8">
              <w:rPr>
                <w:rFonts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9B5EA9" w:rsidRPr="00A032F8" w:rsidRDefault="00F723CD" w:rsidP="00DD5E7E">
            <w:pPr>
              <w:spacing w:before="20" w:after="20"/>
              <w:jc w:val="center"/>
              <w:rPr>
                <w:rFonts w:cs="Arial"/>
                <w:b/>
                <w:i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Ú</w:t>
            </w:r>
            <w:r w:rsidR="00AF0DBC" w:rsidRPr="00A032F8">
              <w:rPr>
                <w:rFonts w:cs="Arial"/>
                <w:b/>
                <w:i/>
                <w:sz w:val="18"/>
                <w:szCs w:val="18"/>
              </w:rPr>
              <w:t>věr EIB</w:t>
            </w:r>
            <w:r w:rsidR="00B405DA" w:rsidRPr="00A032F8">
              <w:rPr>
                <w:rFonts w:cs="Arial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EA9" w:rsidRPr="00A032F8" w:rsidRDefault="00F723CD" w:rsidP="00DD5E7E">
            <w:pPr>
              <w:spacing w:before="20" w:after="20"/>
              <w:jc w:val="center"/>
              <w:rPr>
                <w:rFonts w:cs="Arial"/>
                <w:b/>
                <w:i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="00AF0DBC" w:rsidRPr="00A032F8">
              <w:rPr>
                <w:rFonts w:cs="Arial"/>
                <w:b/>
                <w:i/>
                <w:sz w:val="18"/>
                <w:szCs w:val="18"/>
              </w:rPr>
              <w:t>tátní rozp.</w:t>
            </w:r>
            <w:r w:rsidR="00B405DA" w:rsidRPr="00A032F8">
              <w:rPr>
                <w:rFonts w:cs="Arial"/>
                <w:b/>
                <w:i/>
                <w:sz w:val="18"/>
                <w:szCs w:val="18"/>
                <w:vertAlign w:val="superscript"/>
              </w:rPr>
              <w:t>3</w:t>
            </w:r>
            <w:r w:rsidR="00AF0DBC" w:rsidRPr="00A032F8">
              <w:rPr>
                <w:rFonts w:cs="Arial"/>
                <w:b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9B5EA9" w:rsidRPr="00A032F8" w:rsidRDefault="00F723CD" w:rsidP="00DD5E7E">
            <w:pPr>
              <w:spacing w:before="20" w:after="2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Z</w:t>
            </w:r>
            <w:r w:rsidR="003341E0" w:rsidRPr="00A032F8">
              <w:rPr>
                <w:rFonts w:cs="Arial"/>
                <w:b/>
                <w:i/>
                <w:sz w:val="18"/>
                <w:szCs w:val="18"/>
              </w:rPr>
              <w:t>bývá proplatit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EA9" w:rsidRPr="00A032F8" w:rsidRDefault="003341E0" w:rsidP="00DD5E7E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Vlastní zdroje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EA9" w:rsidRPr="00A032F8" w:rsidRDefault="003341E0" w:rsidP="00DD5E7E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3341E0" w:rsidRPr="00A032F8" w:rsidTr="00F735B8">
        <w:trPr>
          <w:jc w:val="center"/>
        </w:trPr>
        <w:tc>
          <w:tcPr>
            <w:tcW w:w="2154" w:type="dxa"/>
            <w:tcBorders>
              <w:top w:val="single" w:sz="12" w:space="0" w:color="auto"/>
            </w:tcBorders>
          </w:tcPr>
          <w:p w:rsidR="003341E0" w:rsidRPr="00A032F8" w:rsidRDefault="003341E0" w:rsidP="00DD5E7E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Program celkem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3341E0" w:rsidRPr="00A032F8" w:rsidRDefault="003341E0" w:rsidP="00DD5E7E">
            <w:pPr>
              <w:spacing w:before="20" w:after="20"/>
              <w:ind w:right="9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7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712,7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3341E0" w:rsidRPr="00A032F8" w:rsidRDefault="003341E0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4</w:t>
            </w:r>
            <w:r w:rsidR="00785380" w:rsidRPr="00A032F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i/>
                <w:sz w:val="18"/>
                <w:szCs w:val="18"/>
              </w:rPr>
              <w:t>757,6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3341E0" w:rsidRPr="00A032F8" w:rsidRDefault="003341E0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2</w:t>
            </w:r>
            <w:r w:rsidR="00785380" w:rsidRPr="00A032F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i/>
                <w:sz w:val="18"/>
                <w:szCs w:val="18"/>
              </w:rPr>
              <w:t>579,8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3341E0" w:rsidRPr="00A032F8" w:rsidRDefault="003341E0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375,3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3341E0" w:rsidRPr="00A032F8" w:rsidRDefault="003341E0" w:rsidP="00DD5E7E">
            <w:pPr>
              <w:spacing w:before="20" w:after="20"/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834,4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3341E0" w:rsidRPr="00A032F8" w:rsidRDefault="003341E0" w:rsidP="00DD5E7E">
            <w:pPr>
              <w:spacing w:before="20" w:after="20"/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8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547,1</w:t>
            </w:r>
          </w:p>
        </w:tc>
      </w:tr>
      <w:tr w:rsidR="008F3796" w:rsidRPr="00A032F8" w:rsidTr="00F735B8">
        <w:trPr>
          <w:jc w:val="center"/>
        </w:trPr>
        <w:tc>
          <w:tcPr>
            <w:tcW w:w="2154" w:type="dxa"/>
          </w:tcPr>
          <w:p w:rsidR="008F3796" w:rsidRPr="00A032F8" w:rsidRDefault="008F3796" w:rsidP="00DD5E7E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Podprogram 129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136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212,4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147,2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55,0</w:t>
            </w:r>
          </w:p>
        </w:tc>
        <w:tc>
          <w:tcPr>
            <w:tcW w:w="1152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10,2</w:t>
            </w:r>
          </w:p>
        </w:tc>
        <w:tc>
          <w:tcPr>
            <w:tcW w:w="1020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</w:tr>
      <w:tr w:rsidR="008F3796" w:rsidRPr="00A032F8" w:rsidTr="00F735B8">
        <w:trPr>
          <w:jc w:val="center"/>
        </w:trPr>
        <w:tc>
          <w:tcPr>
            <w:tcW w:w="2154" w:type="dxa"/>
          </w:tcPr>
          <w:p w:rsidR="008F3796" w:rsidRPr="00A032F8" w:rsidRDefault="008F3796" w:rsidP="00DD5E7E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Podprogram 129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36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6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894,1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4</w:t>
            </w:r>
            <w:r w:rsidR="00785380" w:rsidRPr="00A032F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i/>
                <w:sz w:val="18"/>
                <w:szCs w:val="18"/>
              </w:rPr>
              <w:t>214,6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2</w:t>
            </w:r>
            <w:r w:rsidR="00785380" w:rsidRPr="00A032F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i/>
                <w:sz w:val="18"/>
                <w:szCs w:val="18"/>
              </w:rPr>
              <w:t>343,9</w:t>
            </w:r>
          </w:p>
        </w:tc>
        <w:tc>
          <w:tcPr>
            <w:tcW w:w="1152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335,6</w:t>
            </w:r>
          </w:p>
        </w:tc>
        <w:tc>
          <w:tcPr>
            <w:tcW w:w="1020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</w:tr>
      <w:tr w:rsidR="008F3796" w:rsidRPr="00A032F8" w:rsidTr="00F735B8">
        <w:trPr>
          <w:jc w:val="center"/>
        </w:trPr>
        <w:tc>
          <w:tcPr>
            <w:tcW w:w="2154" w:type="dxa"/>
          </w:tcPr>
          <w:p w:rsidR="008F3796" w:rsidRPr="00A032F8" w:rsidRDefault="008F3796" w:rsidP="00DD5E7E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Podprogram 129 124</w:t>
            </w:r>
          </w:p>
        </w:tc>
        <w:tc>
          <w:tcPr>
            <w:tcW w:w="136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550,0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372,1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149,4</w:t>
            </w:r>
          </w:p>
        </w:tc>
        <w:tc>
          <w:tcPr>
            <w:tcW w:w="1152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28,5</w:t>
            </w:r>
          </w:p>
        </w:tc>
        <w:tc>
          <w:tcPr>
            <w:tcW w:w="1020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</w:tr>
      <w:tr w:rsidR="008F3796" w:rsidRPr="00A032F8" w:rsidTr="00F735B8">
        <w:trPr>
          <w:jc w:val="center"/>
        </w:trPr>
        <w:tc>
          <w:tcPr>
            <w:tcW w:w="2154" w:type="dxa"/>
          </w:tcPr>
          <w:p w:rsidR="008F3796" w:rsidRPr="00A032F8" w:rsidRDefault="008F3796" w:rsidP="00DD5E7E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Podprogram 129 125</w:t>
            </w:r>
          </w:p>
        </w:tc>
        <w:tc>
          <w:tcPr>
            <w:tcW w:w="136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44,5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14,7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29,7</w:t>
            </w:r>
          </w:p>
        </w:tc>
        <w:tc>
          <w:tcPr>
            <w:tcW w:w="1152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0,1</w:t>
            </w:r>
          </w:p>
        </w:tc>
        <w:tc>
          <w:tcPr>
            <w:tcW w:w="1020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</w:tr>
      <w:tr w:rsidR="008F3796" w:rsidRPr="00A032F8" w:rsidTr="00F735B8">
        <w:trPr>
          <w:jc w:val="center"/>
        </w:trPr>
        <w:tc>
          <w:tcPr>
            <w:tcW w:w="2154" w:type="dxa"/>
          </w:tcPr>
          <w:p w:rsidR="008F3796" w:rsidRPr="00A032F8" w:rsidRDefault="008F3796" w:rsidP="00DD5E7E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Podprogram 129 126</w:t>
            </w:r>
          </w:p>
        </w:tc>
        <w:tc>
          <w:tcPr>
            <w:tcW w:w="136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11,7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9,0</w:t>
            </w:r>
          </w:p>
        </w:tc>
        <w:tc>
          <w:tcPr>
            <w:tcW w:w="1191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1,8</w:t>
            </w:r>
          </w:p>
        </w:tc>
        <w:tc>
          <w:tcPr>
            <w:tcW w:w="1152" w:type="dxa"/>
          </w:tcPr>
          <w:p w:rsidR="008F3796" w:rsidRPr="00A032F8" w:rsidRDefault="008F3796" w:rsidP="00DD5E7E">
            <w:pPr>
              <w:spacing w:before="20" w:after="20"/>
              <w:ind w:right="92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0,9</w:t>
            </w:r>
          </w:p>
        </w:tc>
        <w:tc>
          <w:tcPr>
            <w:tcW w:w="1020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8F3796" w:rsidRPr="00A032F8" w:rsidRDefault="008F3796" w:rsidP="00DD5E7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9B5EA9" w:rsidRPr="00A032F8" w:rsidRDefault="009B5EA9" w:rsidP="00DD5E7E">
      <w:pPr>
        <w:spacing w:before="40"/>
        <w:jc w:val="both"/>
        <w:rPr>
          <w:rFonts w:cs="Arial"/>
          <w:sz w:val="18"/>
          <w:szCs w:val="18"/>
        </w:rPr>
      </w:pPr>
      <w:r w:rsidRPr="006040CA">
        <w:rPr>
          <w:rFonts w:cs="Arial"/>
          <w:b/>
          <w:sz w:val="18"/>
          <w:szCs w:val="18"/>
        </w:rPr>
        <w:t>Zdroj:</w:t>
      </w:r>
      <w:r w:rsidRPr="00A032F8">
        <w:rPr>
          <w:rFonts w:cs="Arial"/>
          <w:sz w:val="18"/>
          <w:szCs w:val="18"/>
        </w:rPr>
        <w:t xml:space="preserve"> </w:t>
      </w:r>
      <w:r w:rsidR="00F723CD">
        <w:rPr>
          <w:rFonts w:cs="Arial"/>
          <w:sz w:val="18"/>
          <w:szCs w:val="18"/>
        </w:rPr>
        <w:t>p</w:t>
      </w:r>
      <w:r w:rsidRPr="00A032F8">
        <w:rPr>
          <w:rFonts w:cs="Arial"/>
          <w:sz w:val="18"/>
          <w:szCs w:val="18"/>
        </w:rPr>
        <w:t xml:space="preserve">odklady </w:t>
      </w:r>
      <w:proofErr w:type="spellStart"/>
      <w:r w:rsidRPr="00A032F8">
        <w:rPr>
          <w:rFonts w:cs="Arial"/>
          <w:sz w:val="18"/>
          <w:szCs w:val="18"/>
        </w:rPr>
        <w:t>MZe</w:t>
      </w:r>
      <w:proofErr w:type="spellEnd"/>
      <w:r w:rsidRPr="00A032F8">
        <w:rPr>
          <w:rFonts w:cs="Arial"/>
          <w:sz w:val="18"/>
          <w:szCs w:val="18"/>
        </w:rPr>
        <w:t>.</w:t>
      </w:r>
    </w:p>
    <w:p w:rsidR="00F723CD" w:rsidRPr="006040CA" w:rsidRDefault="00F723CD" w:rsidP="00DD5E7E">
      <w:pPr>
        <w:ind w:left="567" w:hanging="567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Vysvětlivky:</w:t>
      </w:r>
    </w:p>
    <w:p w:rsidR="00102B37" w:rsidRPr="00A032F8" w:rsidRDefault="009B5EA9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1)</w:t>
      </w:r>
      <w:r w:rsidRPr="00A032F8">
        <w:rPr>
          <w:rFonts w:cs="Arial"/>
          <w:sz w:val="18"/>
          <w:szCs w:val="18"/>
        </w:rPr>
        <w:t xml:space="preserve"> </w:t>
      </w:r>
      <w:r w:rsidR="00102B37" w:rsidRPr="00A032F8">
        <w:rPr>
          <w:rFonts w:cs="Arial"/>
          <w:sz w:val="18"/>
          <w:szCs w:val="18"/>
        </w:rPr>
        <w:t xml:space="preserve">Maximální limity </w:t>
      </w:r>
      <w:r w:rsidR="008F3796" w:rsidRPr="00A032F8">
        <w:rPr>
          <w:rFonts w:cs="Arial"/>
          <w:sz w:val="18"/>
          <w:szCs w:val="18"/>
        </w:rPr>
        <w:t>dotací na podpořené akce</w:t>
      </w:r>
      <w:r w:rsidR="00102B37" w:rsidRPr="00A032F8">
        <w:rPr>
          <w:rFonts w:cs="Arial"/>
          <w:sz w:val="18"/>
          <w:szCs w:val="18"/>
        </w:rPr>
        <w:t xml:space="preserve"> podle </w:t>
      </w:r>
      <w:r w:rsidR="00F723CD">
        <w:rPr>
          <w:rFonts w:cs="Arial"/>
          <w:sz w:val="18"/>
          <w:szCs w:val="18"/>
        </w:rPr>
        <w:t>r</w:t>
      </w:r>
      <w:r w:rsidR="00102B37" w:rsidRPr="00A032F8">
        <w:rPr>
          <w:rFonts w:cs="Arial"/>
          <w:sz w:val="18"/>
          <w:szCs w:val="18"/>
        </w:rPr>
        <w:t>ozhodnutí o poskytnutí dotace.</w:t>
      </w:r>
    </w:p>
    <w:p w:rsidR="009B5EA9" w:rsidRPr="00A032F8" w:rsidRDefault="00102B37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2)</w:t>
      </w:r>
      <w:r w:rsidRPr="00A032F8">
        <w:rPr>
          <w:rFonts w:cs="Arial"/>
          <w:sz w:val="18"/>
          <w:szCs w:val="18"/>
        </w:rPr>
        <w:t xml:space="preserve"> </w:t>
      </w:r>
      <w:r w:rsidR="00AF0DBC" w:rsidRPr="00A032F8">
        <w:rPr>
          <w:rFonts w:cs="Arial"/>
          <w:sz w:val="18"/>
          <w:szCs w:val="18"/>
        </w:rPr>
        <w:t>Úvěr od Evropské investiční banky přijatý na základě zákona č. 572/2006 Sb.</w:t>
      </w:r>
      <w:r w:rsidR="00AA5A86" w:rsidRPr="00A032F8">
        <w:rPr>
          <w:rFonts w:cs="Arial"/>
          <w:sz w:val="18"/>
          <w:szCs w:val="18"/>
        </w:rPr>
        <w:t xml:space="preserve"> </w:t>
      </w:r>
    </w:p>
    <w:p w:rsidR="00772D75" w:rsidRPr="00A032F8" w:rsidRDefault="00102B37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3</w:t>
      </w:r>
      <w:r w:rsidR="009B5EA9" w:rsidRPr="00A032F8">
        <w:rPr>
          <w:rFonts w:cs="Arial"/>
          <w:sz w:val="18"/>
          <w:szCs w:val="18"/>
          <w:vertAlign w:val="superscript"/>
        </w:rPr>
        <w:t>)</w:t>
      </w:r>
      <w:r w:rsidR="009B5EA9" w:rsidRPr="00A032F8">
        <w:rPr>
          <w:rFonts w:cs="Arial"/>
          <w:sz w:val="18"/>
          <w:szCs w:val="18"/>
        </w:rPr>
        <w:t xml:space="preserve"> </w:t>
      </w:r>
      <w:r w:rsidR="006D206A" w:rsidRPr="00A032F8">
        <w:rPr>
          <w:rFonts w:cs="Arial"/>
          <w:sz w:val="18"/>
          <w:szCs w:val="18"/>
        </w:rPr>
        <w:t>Prostředky státního rozpočtu, včetně výnosů z</w:t>
      </w:r>
      <w:r w:rsidR="00785380" w:rsidRPr="00A032F8">
        <w:rPr>
          <w:rFonts w:cs="Arial"/>
          <w:sz w:val="18"/>
          <w:szCs w:val="18"/>
        </w:rPr>
        <w:t xml:space="preserve"> </w:t>
      </w:r>
      <w:r w:rsidR="006D206A" w:rsidRPr="00A032F8">
        <w:rPr>
          <w:rFonts w:cs="Arial"/>
          <w:sz w:val="18"/>
          <w:szCs w:val="18"/>
        </w:rPr>
        <w:t>privatizací.</w:t>
      </w:r>
    </w:p>
    <w:p w:rsidR="008F3796" w:rsidRPr="00A032F8" w:rsidRDefault="001C34AD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</w:rPr>
        <w:t xml:space="preserve">x </w:t>
      </w:r>
      <w:r w:rsidR="008F3796" w:rsidRPr="00A032F8">
        <w:rPr>
          <w:rFonts w:cs="Arial"/>
          <w:sz w:val="18"/>
          <w:szCs w:val="18"/>
        </w:rPr>
        <w:t xml:space="preserve">Údaje za podprogramy </w:t>
      </w:r>
      <w:r w:rsidR="00E32A09" w:rsidRPr="00A032F8">
        <w:rPr>
          <w:rFonts w:cs="Arial"/>
          <w:sz w:val="18"/>
          <w:szCs w:val="18"/>
        </w:rPr>
        <w:t xml:space="preserve">za celé období 2007–2010 </w:t>
      </w:r>
      <w:proofErr w:type="spellStart"/>
      <w:r w:rsidR="008F3796" w:rsidRPr="00A032F8">
        <w:rPr>
          <w:rFonts w:cs="Arial"/>
          <w:sz w:val="18"/>
          <w:szCs w:val="18"/>
        </w:rPr>
        <w:t>MZe</w:t>
      </w:r>
      <w:proofErr w:type="spellEnd"/>
      <w:r w:rsidR="008F3796" w:rsidRPr="00A032F8">
        <w:rPr>
          <w:rFonts w:cs="Arial"/>
          <w:sz w:val="18"/>
          <w:szCs w:val="18"/>
        </w:rPr>
        <w:t xml:space="preserve"> </w:t>
      </w:r>
      <w:r w:rsidR="00E32A09" w:rsidRPr="00A032F8">
        <w:rPr>
          <w:rFonts w:cs="Arial"/>
          <w:sz w:val="18"/>
          <w:szCs w:val="18"/>
        </w:rPr>
        <w:t>nepředložilo</w:t>
      </w:r>
      <w:r w:rsidR="008F3796" w:rsidRPr="00A032F8">
        <w:rPr>
          <w:rFonts w:cs="Arial"/>
          <w:sz w:val="18"/>
          <w:szCs w:val="18"/>
        </w:rPr>
        <w:t>.</w:t>
      </w:r>
    </w:p>
    <w:p w:rsidR="001402EC" w:rsidRPr="00A032F8" w:rsidRDefault="001402EC" w:rsidP="00DB275F">
      <w:pPr>
        <w:jc w:val="both"/>
        <w:rPr>
          <w:rFonts w:cs="Arial"/>
          <w:sz w:val="20"/>
          <w:szCs w:val="20"/>
        </w:rPr>
      </w:pPr>
    </w:p>
    <w:p w:rsidR="001402EC" w:rsidRPr="00A032F8" w:rsidRDefault="001402EC" w:rsidP="001402EC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Ke konci roku 2012 bylo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120 vyčerpáno </w:t>
      </w:r>
      <w:r w:rsidR="003341E0" w:rsidRPr="00A032F8">
        <w:rPr>
          <w:rFonts w:cs="Arial"/>
          <w:sz w:val="22"/>
          <w:szCs w:val="22"/>
        </w:rPr>
        <w:t>74</w:t>
      </w:r>
      <w:r w:rsidRPr="00A032F8">
        <w:rPr>
          <w:rFonts w:cs="Arial"/>
          <w:sz w:val="22"/>
          <w:szCs w:val="22"/>
        </w:rPr>
        <w:t xml:space="preserve"> % předpokládané potřeby finančních prostředků, zvýšené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květnu 2010 druhou zm</w:t>
      </w:r>
      <w:r w:rsidR="00DF0DB7" w:rsidRPr="00A032F8">
        <w:rPr>
          <w:rFonts w:cs="Arial"/>
          <w:sz w:val="22"/>
          <w:szCs w:val="22"/>
        </w:rPr>
        <w:t>ěnou dokumentace programu o </w:t>
      </w:r>
      <w:r w:rsidR="009928BA" w:rsidRPr="00A032F8">
        <w:rPr>
          <w:rFonts w:cs="Arial"/>
          <w:sz w:val="22"/>
          <w:szCs w:val="22"/>
        </w:rPr>
        <w:t>1 05</w:t>
      </w:r>
      <w:r w:rsidRPr="00A032F8">
        <w:rPr>
          <w:rFonts w:cs="Arial"/>
          <w:sz w:val="22"/>
          <w:szCs w:val="22"/>
        </w:rPr>
        <w:t>0 mil. Kč. Touto změnou byl program rozšířen o podprogram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126, byla navýšena finanční potřeba podprogramů</w:t>
      </w:r>
      <w:r w:rsidR="00CA6867" w:rsidRPr="00A032F8">
        <w:rPr>
          <w:rFonts w:cs="Arial"/>
          <w:sz w:val="22"/>
          <w:szCs w:val="22"/>
        </w:rPr>
        <w:t xml:space="preserve"> č.</w:t>
      </w:r>
      <w:r w:rsidRPr="00A032F8">
        <w:rPr>
          <w:rFonts w:cs="Arial"/>
          <w:sz w:val="22"/>
          <w:szCs w:val="22"/>
        </w:rPr>
        <w:t xml:space="preserve">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123 a</w:t>
      </w:r>
      <w:r w:rsidR="00CA6867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124 a snížena finanční potřeba po</w:t>
      </w:r>
      <w:r w:rsidR="0022430D" w:rsidRPr="00A032F8">
        <w:rPr>
          <w:rFonts w:cs="Arial"/>
          <w:sz w:val="22"/>
          <w:szCs w:val="22"/>
        </w:rPr>
        <w:t>dprogramu</w:t>
      </w:r>
      <w:r w:rsidR="00CA6867" w:rsidRPr="00A032F8">
        <w:rPr>
          <w:rFonts w:cs="Arial"/>
          <w:sz w:val="22"/>
          <w:szCs w:val="22"/>
        </w:rPr>
        <w:t xml:space="preserve"> č.</w:t>
      </w:r>
      <w:r w:rsidR="0022430D" w:rsidRPr="00A032F8">
        <w:rPr>
          <w:rFonts w:cs="Arial"/>
          <w:sz w:val="22"/>
          <w:szCs w:val="22"/>
        </w:rPr>
        <w:t xml:space="preserve"> 129 122. Současně</w:t>
      </w:r>
      <w:r w:rsidR="00DF0DB7" w:rsidRPr="00A032F8">
        <w:rPr>
          <w:rFonts w:cs="Arial"/>
          <w:sz w:val="22"/>
          <w:szCs w:val="22"/>
        </w:rPr>
        <w:t xml:space="preserve"> s tím</w:t>
      </w:r>
      <w:r w:rsidR="0022430D" w:rsidRPr="00A032F8">
        <w:rPr>
          <w:rFonts w:cs="Arial"/>
          <w:sz w:val="22"/>
          <w:szCs w:val="22"/>
        </w:rPr>
        <w:t xml:space="preserve"> byly sníženy zdroje </w:t>
      </w:r>
      <w:r w:rsidRPr="00A032F8">
        <w:rPr>
          <w:rFonts w:cs="Arial"/>
          <w:sz w:val="22"/>
          <w:szCs w:val="22"/>
        </w:rPr>
        <w:t>programu č.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130.</w:t>
      </w:r>
    </w:p>
    <w:p w:rsidR="00731802" w:rsidRPr="00A032F8" w:rsidRDefault="00731802" w:rsidP="001671F8">
      <w:pPr>
        <w:jc w:val="both"/>
        <w:rPr>
          <w:rFonts w:cs="Arial"/>
          <w:sz w:val="20"/>
          <w:szCs w:val="20"/>
        </w:rPr>
      </w:pPr>
    </w:p>
    <w:p w:rsidR="00A64C14" w:rsidRPr="00A032F8" w:rsidRDefault="00731802" w:rsidP="00731802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lastRenderedPageBreak/>
        <w:t xml:space="preserve">c) </w:t>
      </w:r>
      <w:r w:rsidR="00FC1028" w:rsidRPr="00A032F8">
        <w:rPr>
          <w:rFonts w:cs="Arial"/>
          <w:sz w:val="22"/>
          <w:szCs w:val="22"/>
        </w:rPr>
        <w:t>O zařazení akce k</w:t>
      </w:r>
      <w:r w:rsidR="00785380" w:rsidRPr="00A032F8">
        <w:rPr>
          <w:rFonts w:cs="Arial"/>
          <w:sz w:val="22"/>
          <w:szCs w:val="22"/>
        </w:rPr>
        <w:t xml:space="preserve"> </w:t>
      </w:r>
      <w:r w:rsidR="00FC1028" w:rsidRPr="00A032F8">
        <w:rPr>
          <w:rFonts w:cs="Arial"/>
          <w:sz w:val="22"/>
          <w:szCs w:val="22"/>
        </w:rPr>
        <w:t>financování z</w:t>
      </w:r>
      <w:r w:rsidR="00785380" w:rsidRPr="00A032F8">
        <w:rPr>
          <w:rFonts w:cs="Arial"/>
          <w:sz w:val="22"/>
          <w:szCs w:val="22"/>
        </w:rPr>
        <w:t xml:space="preserve"> </w:t>
      </w:r>
      <w:r w:rsidR="00FC1028" w:rsidRPr="00A032F8">
        <w:rPr>
          <w:rFonts w:cs="Arial"/>
          <w:sz w:val="22"/>
          <w:szCs w:val="22"/>
        </w:rPr>
        <w:t>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="00FC1028" w:rsidRPr="00A032F8">
        <w:rPr>
          <w:rFonts w:cs="Arial"/>
          <w:sz w:val="22"/>
          <w:szCs w:val="22"/>
        </w:rPr>
        <w:t xml:space="preserve">120 rozhodovalo </w:t>
      </w:r>
      <w:proofErr w:type="spellStart"/>
      <w:r w:rsidR="00FC1028" w:rsidRPr="00A032F8">
        <w:rPr>
          <w:rFonts w:cs="Arial"/>
          <w:sz w:val="22"/>
          <w:szCs w:val="22"/>
        </w:rPr>
        <w:t>MZe</w:t>
      </w:r>
      <w:proofErr w:type="spellEnd"/>
      <w:r w:rsidR="00FC1028" w:rsidRPr="00A032F8">
        <w:rPr>
          <w:rFonts w:cs="Arial"/>
          <w:sz w:val="22"/>
          <w:szCs w:val="22"/>
        </w:rPr>
        <w:t xml:space="preserve"> na základě posudku strategického experta a doporučení meziresortní pracovní skupiny pro koordinaci (složené ze zástupců ministerstev zemědělství, životního prostředí a financí).</w:t>
      </w:r>
      <w:r w:rsidR="00A64C14" w:rsidRPr="00A032F8">
        <w:rPr>
          <w:rFonts w:cs="Arial"/>
          <w:sz w:val="22"/>
          <w:szCs w:val="22"/>
        </w:rPr>
        <w:t xml:space="preserve"> Na činnost strategického experta uzavřelo </w:t>
      </w:r>
      <w:proofErr w:type="spellStart"/>
      <w:r w:rsidR="00A64C14" w:rsidRPr="00A032F8">
        <w:rPr>
          <w:rFonts w:cs="Arial"/>
          <w:sz w:val="22"/>
          <w:szCs w:val="22"/>
        </w:rPr>
        <w:t>MZe</w:t>
      </w:r>
      <w:proofErr w:type="spellEnd"/>
      <w:r w:rsidR="00A64C14" w:rsidRPr="00A032F8">
        <w:rPr>
          <w:rFonts w:cs="Arial"/>
          <w:sz w:val="22"/>
          <w:szCs w:val="22"/>
        </w:rPr>
        <w:t xml:space="preserve"> tři smlouvy. </w:t>
      </w:r>
    </w:p>
    <w:p w:rsidR="00A64C14" w:rsidRPr="00A032F8" w:rsidRDefault="00A64C14" w:rsidP="00731802">
      <w:pPr>
        <w:jc w:val="both"/>
        <w:rPr>
          <w:rFonts w:cs="Arial"/>
          <w:sz w:val="22"/>
          <w:szCs w:val="22"/>
        </w:rPr>
      </w:pP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První smlouvu se strategickým expertem (sdružením tvořeným dvěma vysokými školami) uzavřelo v srpnu 2005, tj. dva roky před zahájením doby realizace programu č. 129 120. Smlouvu uzavřelo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na základě veřejné soutěže o návrh, vyhlášené podle zákona č. 40/2004 Sb.</w:t>
      </w:r>
      <w:r w:rsidRPr="00A032F8">
        <w:rPr>
          <w:rStyle w:val="Znakapoznpodarou"/>
          <w:rFonts w:cs="Arial"/>
          <w:sz w:val="22"/>
          <w:szCs w:val="22"/>
        </w:rPr>
        <w:footnoteReference w:id="11"/>
      </w:r>
      <w:r w:rsidRPr="00A032F8">
        <w:rPr>
          <w:rFonts w:cs="Arial"/>
          <w:sz w:val="22"/>
          <w:szCs w:val="22"/>
        </w:rPr>
        <w:t xml:space="preserve">. V této soutěži </w:t>
      </w:r>
      <w:r w:rsidRPr="00A032F8">
        <w:rPr>
          <w:rFonts w:cs="Arial"/>
          <w:b/>
          <w:sz w:val="22"/>
          <w:szCs w:val="22"/>
        </w:rPr>
        <w:t xml:space="preserve">byla hodnocena nabídka jen jediného uchazeče, </w:t>
      </w:r>
      <w:r w:rsidRPr="00A032F8">
        <w:rPr>
          <w:rFonts w:cs="Arial"/>
          <w:sz w:val="22"/>
          <w:szCs w:val="22"/>
        </w:rPr>
        <w:t>přičemž všichni členové hodnot</w:t>
      </w:r>
      <w:r w:rsidR="00F723CD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>cí komise j</w:t>
      </w:r>
      <w:r w:rsidR="001C34AD" w:rsidRPr="00A032F8">
        <w:rPr>
          <w:rFonts w:cs="Arial"/>
          <w:sz w:val="22"/>
          <w:szCs w:val="22"/>
        </w:rPr>
        <w:t>í</w:t>
      </w:r>
      <w:r w:rsidRPr="00A032F8">
        <w:rPr>
          <w:rFonts w:cs="Arial"/>
          <w:sz w:val="22"/>
          <w:szCs w:val="22"/>
        </w:rPr>
        <w:t xml:space="preserve"> přidělili ve všech pěti kritériích plný počet 100 bodů. Strategický expert vypracoval v letech 2005 až 2007 posudky na 405 akcí</w:t>
      </w:r>
      <w:r w:rsidR="00A608A0" w:rsidRPr="00A032F8">
        <w:rPr>
          <w:rFonts w:cs="Arial"/>
          <w:sz w:val="22"/>
          <w:szCs w:val="22"/>
        </w:rPr>
        <w:t xml:space="preserve">. Akce </w:t>
      </w:r>
      <w:r w:rsidRPr="00A032F8">
        <w:rPr>
          <w:rFonts w:cs="Arial"/>
          <w:sz w:val="22"/>
          <w:szCs w:val="22"/>
        </w:rPr>
        <w:t>byly specifikovány</w:t>
      </w:r>
      <w:r w:rsidR="00A608A0" w:rsidRPr="00A032F8">
        <w:rPr>
          <w:rFonts w:cs="Arial"/>
          <w:sz w:val="22"/>
          <w:szCs w:val="22"/>
        </w:rPr>
        <w:t xml:space="preserve"> v příloze smlouvy a</w:t>
      </w:r>
      <w:r w:rsidRPr="00A032F8">
        <w:rPr>
          <w:rFonts w:cs="Arial"/>
          <w:sz w:val="22"/>
          <w:szCs w:val="22"/>
        </w:rPr>
        <w:t xml:space="preserve"> v šesti dodatcích ke smlouvě. Smluvní cena 7 179 tis. Kč byla navýšena o 19,97 % na 8 613 tis. Kč.</w:t>
      </w: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Druhou smlouvu na činnost strategického experta uzavřelo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v prosinci 2007 s </w:t>
      </w:r>
      <w:r w:rsidR="001C34AD" w:rsidRPr="00A032F8">
        <w:rPr>
          <w:rFonts w:cs="Arial"/>
          <w:sz w:val="22"/>
          <w:szCs w:val="22"/>
        </w:rPr>
        <w:t xml:space="preserve">obchodní </w:t>
      </w:r>
      <w:r w:rsidRPr="00A032F8">
        <w:rPr>
          <w:rFonts w:cs="Arial"/>
          <w:sz w:val="22"/>
          <w:szCs w:val="22"/>
        </w:rPr>
        <w:t xml:space="preserve">společností. </w:t>
      </w:r>
      <w:r w:rsidR="00A608A0" w:rsidRPr="00A032F8">
        <w:rPr>
          <w:rFonts w:cs="Arial"/>
          <w:sz w:val="22"/>
          <w:szCs w:val="22"/>
        </w:rPr>
        <w:t>Tomuto expertovi uhradilo v letech</w:t>
      </w:r>
      <w:r w:rsidR="00DE4542">
        <w:rPr>
          <w:rFonts w:cs="Arial"/>
          <w:sz w:val="22"/>
          <w:szCs w:val="22"/>
        </w:rPr>
        <w:t xml:space="preserve"> 2008 a 2009 </w:t>
      </w:r>
      <w:proofErr w:type="spellStart"/>
      <w:r w:rsidR="00DE4542">
        <w:rPr>
          <w:rFonts w:cs="Arial"/>
          <w:sz w:val="22"/>
          <w:szCs w:val="22"/>
        </w:rPr>
        <w:t>MZe</w:t>
      </w:r>
      <w:proofErr w:type="spellEnd"/>
      <w:r w:rsidR="00DE4542">
        <w:rPr>
          <w:rFonts w:cs="Arial"/>
          <w:sz w:val="22"/>
          <w:szCs w:val="22"/>
        </w:rPr>
        <w:t xml:space="preserve"> 4 </w:t>
      </w:r>
      <w:r w:rsidR="00A608A0" w:rsidRPr="00A032F8">
        <w:rPr>
          <w:rFonts w:cs="Arial"/>
          <w:sz w:val="22"/>
          <w:szCs w:val="22"/>
        </w:rPr>
        <w:t>889</w:t>
      </w:r>
      <w:r w:rsidR="00DE4542">
        <w:rPr>
          <w:rFonts w:cs="Arial"/>
          <w:sz w:val="22"/>
          <w:szCs w:val="22"/>
        </w:rPr>
        <w:t> </w:t>
      </w:r>
      <w:r w:rsidR="00A608A0" w:rsidRPr="00A032F8">
        <w:rPr>
          <w:rFonts w:cs="Arial"/>
          <w:sz w:val="22"/>
          <w:szCs w:val="22"/>
        </w:rPr>
        <w:t>tis.</w:t>
      </w:r>
      <w:r w:rsidR="00DE4542">
        <w:rPr>
          <w:rFonts w:cs="Arial"/>
          <w:sz w:val="22"/>
          <w:szCs w:val="22"/>
        </w:rPr>
        <w:t> </w:t>
      </w:r>
      <w:r w:rsidR="00A608A0" w:rsidRPr="00A032F8">
        <w:rPr>
          <w:rFonts w:cs="Arial"/>
          <w:sz w:val="22"/>
          <w:szCs w:val="22"/>
        </w:rPr>
        <w:t>Kč za vypracování posudků na 250 akcí. Akce</w:t>
      </w:r>
      <w:r w:rsidRPr="00A032F8">
        <w:rPr>
          <w:rFonts w:cs="Arial"/>
          <w:sz w:val="22"/>
          <w:szCs w:val="22"/>
        </w:rPr>
        <w:t xml:space="preserve"> byly specifikovány v sedmi dodatcích ke smlouvě. </w:t>
      </w:r>
      <w:r w:rsidRPr="00A032F8">
        <w:rPr>
          <w:rFonts w:cs="Arial"/>
          <w:b/>
          <w:sz w:val="22"/>
          <w:szCs w:val="22"/>
        </w:rPr>
        <w:t xml:space="preserve">K zadávacímu řízení na výběr tohoto experta nepředložilo </w:t>
      </w:r>
      <w:proofErr w:type="spellStart"/>
      <w:r w:rsidR="00A608A0" w:rsidRPr="00A032F8">
        <w:rPr>
          <w:rFonts w:cs="Arial"/>
          <w:b/>
          <w:sz w:val="22"/>
          <w:szCs w:val="22"/>
        </w:rPr>
        <w:t>MZe</w:t>
      </w:r>
      <w:proofErr w:type="spellEnd"/>
      <w:r w:rsidR="00A608A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žádnou dokumentaci</w:t>
      </w:r>
      <w:r w:rsidR="00F723CD">
        <w:rPr>
          <w:rFonts w:cs="Arial"/>
          <w:b/>
          <w:sz w:val="22"/>
          <w:szCs w:val="22"/>
        </w:rPr>
        <w:t>.</w:t>
      </w:r>
      <w:r w:rsidRPr="00A032F8">
        <w:rPr>
          <w:rFonts w:cs="Arial"/>
          <w:sz w:val="22"/>
          <w:szCs w:val="22"/>
        </w:rPr>
        <w:t xml:space="preserve"> </w:t>
      </w:r>
      <w:r w:rsidR="00F723CD">
        <w:rPr>
          <w:rFonts w:cs="Arial"/>
          <w:sz w:val="22"/>
          <w:szCs w:val="22"/>
        </w:rPr>
        <w:t>P</w:t>
      </w:r>
      <w:r w:rsidRPr="00A032F8">
        <w:rPr>
          <w:rFonts w:cs="Arial"/>
          <w:sz w:val="22"/>
          <w:szCs w:val="22"/>
        </w:rPr>
        <w:t>odle</w:t>
      </w:r>
      <w:r w:rsidRPr="00A032F8">
        <w:rPr>
          <w:rFonts w:cs="Arial"/>
          <w:sz w:val="22"/>
          <w:szCs w:val="22"/>
        </w:rPr>
        <w:t xml:space="preserve"> § 155 zákona č. 137/2006 Sb.</w:t>
      </w:r>
      <w:r w:rsidRPr="00A032F8">
        <w:rPr>
          <w:rStyle w:val="Znakapoznpodarou"/>
          <w:rFonts w:cs="Arial"/>
          <w:sz w:val="22"/>
          <w:szCs w:val="22"/>
        </w:rPr>
        <w:footnoteReference w:id="12"/>
      </w:r>
      <w:r w:rsidRPr="00A032F8">
        <w:rPr>
          <w:rFonts w:cs="Arial"/>
          <w:sz w:val="22"/>
          <w:szCs w:val="22"/>
        </w:rPr>
        <w:t xml:space="preserve"> má zadavatel uchovávat dokumentaci o veřejné zakázce po dobu pěti let od uzavření smlouvy nebo její změny.</w:t>
      </w: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Třetí smlouvu na činnost strategického experta uzavřelo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v září 2009 s jedním ze subjektů sdružení, s kterým uzavřelo smlouvu v srpnu 2005. Strategický expert vypracoval v letech 2009 až 2011 posudky na 110 akcí. </w:t>
      </w:r>
      <w:proofErr w:type="spellStart"/>
      <w:r w:rsidR="00B62FEF" w:rsidRPr="00A032F8">
        <w:rPr>
          <w:rFonts w:cs="Arial"/>
          <w:sz w:val="22"/>
          <w:szCs w:val="22"/>
        </w:rPr>
        <w:t>MZe</w:t>
      </w:r>
      <w:proofErr w:type="spellEnd"/>
      <w:r w:rsidR="00B62FEF" w:rsidRPr="00A032F8">
        <w:rPr>
          <w:rFonts w:cs="Arial"/>
          <w:sz w:val="22"/>
          <w:szCs w:val="22"/>
        </w:rPr>
        <w:t xml:space="preserve"> k</w:t>
      </w:r>
      <w:r w:rsidRPr="00A032F8">
        <w:rPr>
          <w:rFonts w:cs="Arial"/>
          <w:sz w:val="22"/>
          <w:szCs w:val="22"/>
        </w:rPr>
        <w:t xml:space="preserve">e smlouvě </w:t>
      </w:r>
      <w:r w:rsidR="00B62FEF" w:rsidRPr="00A032F8">
        <w:rPr>
          <w:rFonts w:cs="Arial"/>
          <w:sz w:val="22"/>
          <w:szCs w:val="22"/>
        </w:rPr>
        <w:t>uzavřelo</w:t>
      </w:r>
      <w:r w:rsidRPr="00A032F8">
        <w:rPr>
          <w:rFonts w:cs="Arial"/>
          <w:sz w:val="22"/>
          <w:szCs w:val="22"/>
        </w:rPr>
        <w:t xml:space="preserve"> dva dodatky, přičemž ve smlouvě ani v dodatcích </w:t>
      </w:r>
      <w:r w:rsidR="00B62FEF" w:rsidRPr="00A032F8">
        <w:rPr>
          <w:rFonts w:cs="Arial"/>
          <w:sz w:val="22"/>
          <w:szCs w:val="22"/>
        </w:rPr>
        <w:t>nespecifikovalo</w:t>
      </w:r>
      <w:r w:rsidRPr="00A032F8">
        <w:rPr>
          <w:rFonts w:cs="Arial"/>
          <w:sz w:val="22"/>
          <w:szCs w:val="22"/>
        </w:rPr>
        <w:t xml:space="preserve"> akce, na které měl expert posudky vypr</w:t>
      </w:r>
      <w:r w:rsidR="00DE4542">
        <w:rPr>
          <w:rFonts w:cs="Arial"/>
          <w:sz w:val="22"/>
          <w:szCs w:val="22"/>
        </w:rPr>
        <w:t>acovat. Smluvní cena 1 950 tis. </w:t>
      </w:r>
      <w:r w:rsidRPr="00A032F8">
        <w:rPr>
          <w:rFonts w:cs="Arial"/>
          <w:sz w:val="22"/>
          <w:szCs w:val="22"/>
        </w:rPr>
        <w:t xml:space="preserve">Kč byla </w:t>
      </w:r>
      <w:r w:rsidR="00B62FEF" w:rsidRPr="00A032F8">
        <w:rPr>
          <w:rFonts w:cs="Arial"/>
          <w:sz w:val="22"/>
          <w:szCs w:val="22"/>
        </w:rPr>
        <w:t>na</w:t>
      </w:r>
      <w:r w:rsidR="00DE4542">
        <w:rPr>
          <w:rFonts w:cs="Arial"/>
          <w:sz w:val="22"/>
          <w:szCs w:val="22"/>
        </w:rPr>
        <w:t>výšena o 20 % na 2 </w:t>
      </w:r>
      <w:r w:rsidRPr="00A032F8">
        <w:rPr>
          <w:rFonts w:cs="Arial"/>
          <w:sz w:val="22"/>
          <w:szCs w:val="22"/>
        </w:rPr>
        <w:t>340</w:t>
      </w:r>
      <w:r w:rsidR="00DE4542">
        <w:rPr>
          <w:rFonts w:cs="Arial"/>
          <w:sz w:val="22"/>
          <w:szCs w:val="22"/>
        </w:rPr>
        <w:t> tis. </w:t>
      </w:r>
      <w:r w:rsidRPr="00A032F8">
        <w:rPr>
          <w:rFonts w:cs="Arial"/>
          <w:sz w:val="22"/>
          <w:szCs w:val="22"/>
        </w:rPr>
        <w:t xml:space="preserve">Kč. </w:t>
      </w: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Celkem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strategickým expertům </w:t>
      </w:r>
      <w:r w:rsidR="00B62FEF" w:rsidRPr="00A032F8">
        <w:rPr>
          <w:rFonts w:cs="Arial"/>
          <w:sz w:val="22"/>
          <w:szCs w:val="22"/>
        </w:rPr>
        <w:t xml:space="preserve">uhradilo </w:t>
      </w:r>
      <w:r w:rsidR="00DE4542">
        <w:rPr>
          <w:rFonts w:cs="Arial"/>
          <w:sz w:val="22"/>
          <w:szCs w:val="22"/>
        </w:rPr>
        <w:t>15 842 tis. </w:t>
      </w:r>
      <w:r w:rsidRPr="00A032F8">
        <w:rPr>
          <w:rFonts w:cs="Arial"/>
          <w:sz w:val="22"/>
          <w:szCs w:val="22"/>
        </w:rPr>
        <w:t xml:space="preserve">Kč. Tato </w:t>
      </w:r>
      <w:r w:rsidRPr="00A032F8">
        <w:rPr>
          <w:rFonts w:cs="Arial"/>
          <w:b/>
          <w:sz w:val="22"/>
          <w:szCs w:val="22"/>
        </w:rPr>
        <w:t>cena však mohla být negativně ovlivněna průběhem zadávacích řízení na výběr strategického experta.</w:t>
      </w:r>
      <w:r w:rsidRPr="00A032F8">
        <w:rPr>
          <w:rFonts w:cs="Arial"/>
          <w:sz w:val="22"/>
          <w:szCs w:val="22"/>
        </w:rPr>
        <w:t xml:space="preserve"> Průběh zadávací</w:t>
      </w:r>
      <w:r w:rsidR="001C34AD" w:rsidRPr="00A032F8">
        <w:rPr>
          <w:rFonts w:cs="Arial"/>
          <w:sz w:val="22"/>
          <w:szCs w:val="22"/>
        </w:rPr>
        <w:t>ho</w:t>
      </w:r>
      <w:r w:rsidRPr="00A032F8">
        <w:rPr>
          <w:rFonts w:cs="Arial"/>
          <w:sz w:val="22"/>
          <w:szCs w:val="22"/>
        </w:rPr>
        <w:t xml:space="preserve"> řízení z roku 2005 nelze považovat ve vztahu k dosažení optimální ceny za korektní a zadávací řízení z roku 2007 nebylo možno ověřit.</w:t>
      </w:r>
    </w:p>
    <w:p w:rsidR="005B1875" w:rsidRPr="00A032F8" w:rsidRDefault="005B1875" w:rsidP="00731802">
      <w:pPr>
        <w:jc w:val="both"/>
        <w:rPr>
          <w:rFonts w:cs="Arial"/>
          <w:sz w:val="22"/>
          <w:szCs w:val="22"/>
        </w:rPr>
      </w:pPr>
    </w:p>
    <w:p w:rsidR="00A64C14" w:rsidRPr="00A032F8" w:rsidRDefault="00B62FEF" w:rsidP="00A64C14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Strategičtí e</w:t>
      </w:r>
      <w:r w:rsidR="00A64C14" w:rsidRPr="00A032F8">
        <w:rPr>
          <w:rFonts w:cs="Arial"/>
          <w:sz w:val="22"/>
          <w:szCs w:val="22"/>
        </w:rPr>
        <w:t>xpert</w:t>
      </w:r>
      <w:r w:rsidRPr="00A032F8">
        <w:rPr>
          <w:rFonts w:cs="Arial"/>
          <w:sz w:val="22"/>
          <w:szCs w:val="22"/>
        </w:rPr>
        <w:t>i</w:t>
      </w:r>
      <w:r w:rsidR="00A64C14" w:rsidRPr="00A032F8">
        <w:rPr>
          <w:rFonts w:cs="Arial"/>
          <w:sz w:val="22"/>
          <w:szCs w:val="22"/>
        </w:rPr>
        <w:t xml:space="preserve"> posuzoval</w:t>
      </w:r>
      <w:r w:rsidRPr="00A032F8">
        <w:rPr>
          <w:rFonts w:cs="Arial"/>
          <w:sz w:val="22"/>
          <w:szCs w:val="22"/>
        </w:rPr>
        <w:t>i</w:t>
      </w:r>
      <w:r w:rsidR="00A64C14" w:rsidRPr="00A032F8">
        <w:rPr>
          <w:rFonts w:cs="Arial"/>
          <w:sz w:val="22"/>
          <w:szCs w:val="22"/>
        </w:rPr>
        <w:t xml:space="preserve"> podle </w:t>
      </w:r>
      <w:r w:rsidR="00A64C14" w:rsidRPr="00A032F8">
        <w:rPr>
          <w:rFonts w:cs="Arial"/>
          <w:i/>
          <w:sz w:val="22"/>
          <w:szCs w:val="22"/>
        </w:rPr>
        <w:t>Metodiky pro posuzování protipovodňových opatření navržených do II. etapy programu</w:t>
      </w:r>
      <w:r w:rsidRPr="00A032F8">
        <w:rPr>
          <w:rFonts w:cs="Arial"/>
          <w:sz w:val="22"/>
          <w:szCs w:val="22"/>
        </w:rPr>
        <w:t xml:space="preserve"> </w:t>
      </w:r>
      <w:r w:rsidR="00A64C14" w:rsidRPr="00A032F8">
        <w:rPr>
          <w:rFonts w:cs="Arial"/>
          <w:sz w:val="22"/>
          <w:szCs w:val="22"/>
        </w:rPr>
        <w:t>především ekonomický dopad navrženého protipovodňového opatření (základní hodnot</w:t>
      </w:r>
      <w:r w:rsidR="00F723CD">
        <w:rPr>
          <w:rFonts w:cs="Arial"/>
          <w:sz w:val="22"/>
          <w:szCs w:val="22"/>
        </w:rPr>
        <w:t>i</w:t>
      </w:r>
      <w:r w:rsidR="00A64C14" w:rsidRPr="00A032F8">
        <w:rPr>
          <w:rFonts w:cs="Arial"/>
          <w:sz w:val="22"/>
          <w:szCs w:val="22"/>
        </w:rPr>
        <w:t>cí kritérium), jeho technické řešení a</w:t>
      </w:r>
      <w:r w:rsidR="00DA5FD2" w:rsidRPr="00A032F8">
        <w:rPr>
          <w:rFonts w:cs="Arial"/>
          <w:sz w:val="22"/>
          <w:szCs w:val="22"/>
        </w:rPr>
        <w:t> </w:t>
      </w:r>
      <w:r w:rsidR="00A64C14" w:rsidRPr="00A032F8">
        <w:rPr>
          <w:rFonts w:cs="Arial"/>
          <w:sz w:val="22"/>
          <w:szCs w:val="22"/>
        </w:rPr>
        <w:t>environmentální dopad. Návrhy akcí s ukazatelem „poměrná efektivnost</w:t>
      </w:r>
      <w:r w:rsidR="00A64C14" w:rsidRPr="00A032F8">
        <w:rPr>
          <w:rStyle w:val="Znakapoznpodarou"/>
          <w:rFonts w:cs="Arial"/>
          <w:sz w:val="22"/>
          <w:szCs w:val="22"/>
        </w:rPr>
        <w:footnoteReference w:id="13"/>
      </w:r>
      <w:r w:rsidR="00A64C14" w:rsidRPr="00A032F8">
        <w:rPr>
          <w:rFonts w:cs="Arial"/>
          <w:sz w:val="22"/>
          <w:szCs w:val="22"/>
        </w:rPr>
        <w:t>“ nižším než jedna nemají být podle metodiky podpořeny (s výjimkou staveb na území národních parků nebo přírodních rezervací).</w:t>
      </w: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</w:p>
    <w:p w:rsidR="00A64C14" w:rsidRPr="00A032F8" w:rsidRDefault="00A64C14" w:rsidP="00A64C14">
      <w:pPr>
        <w:jc w:val="both"/>
        <w:rPr>
          <w:rFonts w:cs="Arial"/>
          <w:sz w:val="22"/>
          <w:szCs w:val="22"/>
        </w:rPr>
      </w:pPr>
      <w:proofErr w:type="spellStart"/>
      <w:r w:rsidRPr="00A032F8">
        <w:rPr>
          <w:rFonts w:cs="Arial"/>
          <w:b/>
          <w:sz w:val="22"/>
          <w:szCs w:val="22"/>
        </w:rPr>
        <w:t>MZe</w:t>
      </w:r>
      <w:proofErr w:type="spellEnd"/>
      <w:r w:rsidRPr="00A032F8">
        <w:rPr>
          <w:rFonts w:cs="Arial"/>
          <w:b/>
          <w:sz w:val="22"/>
          <w:szCs w:val="22"/>
        </w:rPr>
        <w:t xml:space="preserve"> v některých případech rozhodlo </w:t>
      </w:r>
      <w:r w:rsidR="00B62FEF" w:rsidRPr="00A032F8">
        <w:rPr>
          <w:rFonts w:cs="Arial"/>
          <w:b/>
          <w:sz w:val="22"/>
          <w:szCs w:val="22"/>
        </w:rPr>
        <w:t>o</w:t>
      </w:r>
      <w:r w:rsidR="00DE4542">
        <w:rPr>
          <w:rFonts w:cs="Arial"/>
          <w:b/>
          <w:sz w:val="22"/>
          <w:szCs w:val="22"/>
        </w:rPr>
        <w:t> </w:t>
      </w:r>
      <w:r w:rsidR="00B62FEF" w:rsidRPr="00A032F8">
        <w:rPr>
          <w:rFonts w:cs="Arial"/>
          <w:b/>
          <w:sz w:val="22"/>
          <w:szCs w:val="22"/>
        </w:rPr>
        <w:t>zařazení akcí do programu</w:t>
      </w:r>
      <w:r w:rsidR="00973C77" w:rsidRPr="00A032F8">
        <w:rPr>
          <w:rFonts w:cs="Arial"/>
          <w:b/>
          <w:sz w:val="22"/>
          <w:szCs w:val="22"/>
        </w:rPr>
        <w:t xml:space="preserve"> na základě</w:t>
      </w:r>
      <w:r w:rsidR="00B62FEF" w:rsidRPr="00A032F8">
        <w:rPr>
          <w:rFonts w:cs="Arial"/>
          <w:b/>
          <w:sz w:val="22"/>
          <w:szCs w:val="22"/>
        </w:rPr>
        <w:t xml:space="preserve"> efektivnost</w:t>
      </w:r>
      <w:r w:rsidR="00973C77" w:rsidRPr="00A032F8">
        <w:rPr>
          <w:rFonts w:cs="Arial"/>
          <w:b/>
          <w:sz w:val="22"/>
          <w:szCs w:val="22"/>
        </w:rPr>
        <w:t>i, která byla vy</w:t>
      </w:r>
      <w:r w:rsidR="00B62FEF" w:rsidRPr="00A032F8">
        <w:rPr>
          <w:rFonts w:cs="Arial"/>
          <w:b/>
          <w:sz w:val="22"/>
          <w:szCs w:val="22"/>
        </w:rPr>
        <w:t>počtena z nákladů snížených o</w:t>
      </w:r>
      <w:r w:rsidR="00DE4542">
        <w:rPr>
          <w:rFonts w:cs="Arial"/>
          <w:b/>
          <w:sz w:val="22"/>
          <w:szCs w:val="22"/>
        </w:rPr>
        <w:t> </w:t>
      </w:r>
      <w:r w:rsidR="00B62FEF" w:rsidRPr="00A032F8">
        <w:rPr>
          <w:rFonts w:cs="Arial"/>
          <w:b/>
          <w:sz w:val="22"/>
          <w:szCs w:val="22"/>
        </w:rPr>
        <w:t>vlastní finanční prostředky žadatele.</w:t>
      </w:r>
      <w:r w:rsidR="00B62FEF" w:rsidRPr="00A032F8">
        <w:rPr>
          <w:rFonts w:cs="Arial"/>
          <w:sz w:val="22"/>
          <w:szCs w:val="22"/>
        </w:rPr>
        <w:t xml:space="preserve"> Tím byla dosažena hodnota poměrné efektivnos</w:t>
      </w:r>
      <w:r w:rsidR="00973C77" w:rsidRPr="00A032F8">
        <w:rPr>
          <w:rFonts w:cs="Arial"/>
          <w:sz w:val="22"/>
          <w:szCs w:val="22"/>
        </w:rPr>
        <w:t>ti větší než jedna (výpočtem z </w:t>
      </w:r>
      <w:r w:rsidR="00B62FEF" w:rsidRPr="00A032F8">
        <w:rPr>
          <w:rFonts w:cs="Arial"/>
          <w:sz w:val="22"/>
          <w:szCs w:val="22"/>
        </w:rPr>
        <w:t xml:space="preserve">celkových nákladů by byla nižší než jedna). Takto byly do programu zařazeny například akce </w:t>
      </w:r>
      <w:r w:rsidR="00B62FEF" w:rsidRPr="00A032F8">
        <w:rPr>
          <w:rFonts w:cs="Arial"/>
          <w:i/>
          <w:sz w:val="22"/>
          <w:szCs w:val="22"/>
        </w:rPr>
        <w:t>Vltava České Budějovice</w:t>
      </w:r>
      <w:r w:rsidR="00B62FEF" w:rsidRPr="00A032F8">
        <w:rPr>
          <w:rFonts w:cs="Arial"/>
          <w:sz w:val="22"/>
          <w:szCs w:val="22"/>
        </w:rPr>
        <w:t xml:space="preserve"> nebo </w:t>
      </w:r>
      <w:r w:rsidR="00B62FEF" w:rsidRPr="00A032F8">
        <w:rPr>
          <w:rFonts w:cs="Arial"/>
          <w:i/>
          <w:sz w:val="22"/>
          <w:szCs w:val="22"/>
        </w:rPr>
        <w:t>Slavkov u Brna – protipovodňová ochrana města</w:t>
      </w:r>
      <w:r w:rsidR="00B62FEF" w:rsidRPr="00A032F8">
        <w:rPr>
          <w:rFonts w:cs="Arial"/>
          <w:sz w:val="22"/>
          <w:szCs w:val="22"/>
        </w:rPr>
        <w:t xml:space="preserve">. </w:t>
      </w:r>
      <w:proofErr w:type="spellStart"/>
      <w:r w:rsidR="00B62FEF" w:rsidRPr="00A032F8">
        <w:rPr>
          <w:rFonts w:cs="Arial"/>
          <w:sz w:val="22"/>
          <w:szCs w:val="22"/>
        </w:rPr>
        <w:t>MZe</w:t>
      </w:r>
      <w:proofErr w:type="spellEnd"/>
      <w:r w:rsidR="00B62FEF" w:rsidRPr="00A032F8">
        <w:rPr>
          <w:rFonts w:cs="Arial"/>
          <w:sz w:val="22"/>
          <w:szCs w:val="22"/>
        </w:rPr>
        <w:t xml:space="preserve"> v těchto případech vycházelo z </w:t>
      </w:r>
      <w:r w:rsidRPr="00A032F8">
        <w:rPr>
          <w:rFonts w:cs="Arial"/>
          <w:sz w:val="22"/>
          <w:szCs w:val="22"/>
        </w:rPr>
        <w:t>kladného stanoviska meziresortní pracovní skupiny</w:t>
      </w:r>
      <w:r w:rsidR="00243ED7" w:rsidRPr="00A032F8">
        <w:rPr>
          <w:rFonts w:cs="Arial"/>
          <w:sz w:val="22"/>
          <w:szCs w:val="22"/>
        </w:rPr>
        <w:t>.</w:t>
      </w:r>
      <w:r w:rsidRPr="00A032F8">
        <w:rPr>
          <w:rFonts w:cs="Arial"/>
          <w:sz w:val="22"/>
          <w:szCs w:val="22"/>
        </w:rPr>
        <w:t xml:space="preserve"> </w:t>
      </w:r>
    </w:p>
    <w:p w:rsidR="004B0149" w:rsidRPr="00A032F8" w:rsidRDefault="004B0149" w:rsidP="001671F8">
      <w:pPr>
        <w:jc w:val="both"/>
        <w:rPr>
          <w:rFonts w:cs="Arial"/>
          <w:sz w:val="22"/>
          <w:szCs w:val="22"/>
        </w:rPr>
      </w:pPr>
    </w:p>
    <w:p w:rsidR="004C6238" w:rsidRPr="00A032F8" w:rsidRDefault="004B0149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1.2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Program č.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130</w:t>
      </w:r>
      <w:r w:rsidRPr="00A032F8">
        <w:rPr>
          <w:rFonts w:cs="Arial"/>
          <w:sz w:val="22"/>
          <w:szCs w:val="22"/>
        </w:rPr>
        <w:t xml:space="preserve"> </w:t>
      </w:r>
      <w:r w:rsidR="000C3566" w:rsidRPr="00A032F8">
        <w:rPr>
          <w:rFonts w:cs="Arial"/>
          <w:sz w:val="22"/>
          <w:szCs w:val="22"/>
        </w:rPr>
        <w:t xml:space="preserve">vycházel podle sdělení </w:t>
      </w:r>
      <w:proofErr w:type="spellStart"/>
      <w:r w:rsidR="000C3566" w:rsidRPr="00A032F8">
        <w:rPr>
          <w:rFonts w:cs="Arial"/>
          <w:sz w:val="22"/>
          <w:szCs w:val="22"/>
        </w:rPr>
        <w:t>MZe</w:t>
      </w:r>
      <w:proofErr w:type="spellEnd"/>
      <w:r w:rsidR="000C3566" w:rsidRPr="00A032F8">
        <w:rPr>
          <w:rFonts w:cs="Arial"/>
          <w:sz w:val="22"/>
          <w:szCs w:val="22"/>
        </w:rPr>
        <w:t xml:space="preserve"> ze zkušenosti s</w:t>
      </w:r>
      <w:r w:rsidR="00785380" w:rsidRPr="00A032F8">
        <w:rPr>
          <w:rFonts w:cs="Arial"/>
          <w:sz w:val="22"/>
          <w:szCs w:val="22"/>
        </w:rPr>
        <w:t xml:space="preserve"> </w:t>
      </w:r>
      <w:r w:rsidR="000C3566" w:rsidRPr="00A032F8">
        <w:rPr>
          <w:rFonts w:cs="Arial"/>
          <w:sz w:val="22"/>
          <w:szCs w:val="22"/>
        </w:rPr>
        <w:t>p</w:t>
      </w:r>
      <w:r w:rsidR="00E64808" w:rsidRPr="00A032F8">
        <w:rPr>
          <w:rFonts w:cs="Arial"/>
          <w:sz w:val="22"/>
          <w:szCs w:val="22"/>
        </w:rPr>
        <w:t>ředchozím programem č. 229</w:t>
      </w:r>
      <w:r w:rsidR="00785380" w:rsidRPr="00A032F8">
        <w:rPr>
          <w:rFonts w:cs="Arial"/>
          <w:sz w:val="22"/>
          <w:szCs w:val="22"/>
        </w:rPr>
        <w:t xml:space="preserve"> </w:t>
      </w:r>
      <w:r w:rsidR="00E64808" w:rsidRPr="00A032F8">
        <w:rPr>
          <w:rFonts w:cs="Arial"/>
          <w:sz w:val="22"/>
          <w:szCs w:val="22"/>
        </w:rPr>
        <w:t>210, který byl realizován v</w:t>
      </w:r>
      <w:r w:rsidR="00785380" w:rsidRPr="00A032F8">
        <w:rPr>
          <w:rFonts w:cs="Arial"/>
          <w:sz w:val="22"/>
          <w:szCs w:val="22"/>
        </w:rPr>
        <w:t xml:space="preserve"> </w:t>
      </w:r>
      <w:r w:rsidR="00E64808" w:rsidRPr="00A032F8">
        <w:rPr>
          <w:rFonts w:cs="Arial"/>
          <w:sz w:val="22"/>
          <w:szCs w:val="22"/>
        </w:rPr>
        <w:t xml:space="preserve">letech 2003 </w:t>
      </w:r>
      <w:r w:rsidR="00DB79F8" w:rsidRPr="00A032F8">
        <w:rPr>
          <w:rFonts w:cs="Arial"/>
          <w:sz w:val="22"/>
          <w:szCs w:val="22"/>
        </w:rPr>
        <w:t>až</w:t>
      </w:r>
      <w:r w:rsidR="00E64808" w:rsidRPr="00A032F8">
        <w:rPr>
          <w:rFonts w:cs="Arial"/>
          <w:sz w:val="22"/>
          <w:szCs w:val="22"/>
        </w:rPr>
        <w:t xml:space="preserve"> 2008. </w:t>
      </w:r>
      <w:proofErr w:type="spellStart"/>
      <w:r w:rsidR="009F4AA3" w:rsidRPr="00A032F8">
        <w:rPr>
          <w:rFonts w:cs="Arial"/>
          <w:sz w:val="22"/>
          <w:szCs w:val="22"/>
        </w:rPr>
        <w:t>MZe</w:t>
      </w:r>
      <w:proofErr w:type="spellEnd"/>
      <w:r w:rsidR="009F4AA3" w:rsidRPr="00A032F8">
        <w:rPr>
          <w:rFonts w:cs="Arial"/>
          <w:sz w:val="22"/>
          <w:szCs w:val="22"/>
        </w:rPr>
        <w:t xml:space="preserve"> v</w:t>
      </w:r>
      <w:r w:rsidR="00785380" w:rsidRPr="00A032F8">
        <w:rPr>
          <w:rFonts w:cs="Arial"/>
          <w:sz w:val="22"/>
          <w:szCs w:val="22"/>
        </w:rPr>
        <w:t xml:space="preserve"> </w:t>
      </w:r>
      <w:r w:rsidR="00E64808" w:rsidRPr="00A032F8">
        <w:rPr>
          <w:rFonts w:cs="Arial"/>
          <w:sz w:val="22"/>
          <w:szCs w:val="22"/>
        </w:rPr>
        <w:t>dokumentaci programu uvedlo řadu údajů o stavu rybníků a malých vodních nádrží. Tyto údaje však</w:t>
      </w:r>
      <w:r w:rsidR="00E64808" w:rsidRPr="00F723CD">
        <w:rPr>
          <w:rFonts w:cs="Arial"/>
          <w:sz w:val="22"/>
          <w:szCs w:val="22"/>
        </w:rPr>
        <w:t xml:space="preserve"> </w:t>
      </w:r>
      <w:r w:rsidR="00E64808" w:rsidRPr="00A032F8">
        <w:rPr>
          <w:rFonts w:cs="Arial"/>
          <w:sz w:val="22"/>
          <w:szCs w:val="22"/>
        </w:rPr>
        <w:lastRenderedPageBreak/>
        <w:t xml:space="preserve">vycházely </w:t>
      </w:r>
      <w:r w:rsidR="000C3566" w:rsidRPr="00A032F8">
        <w:rPr>
          <w:rFonts w:cs="Arial"/>
          <w:sz w:val="22"/>
          <w:szCs w:val="22"/>
        </w:rPr>
        <w:t>ze šetření na vybraných rybnících a malých vodních nádržích, které proběhlo v druhé polovině 90. let</w:t>
      </w:r>
      <w:r w:rsidR="00DF5E77">
        <w:rPr>
          <w:rFonts w:cs="Arial"/>
          <w:sz w:val="22"/>
          <w:szCs w:val="22"/>
        </w:rPr>
        <w:t>,</w:t>
      </w:r>
      <w:r w:rsidR="000C3566" w:rsidRPr="00A032F8">
        <w:rPr>
          <w:rFonts w:cs="Arial"/>
          <w:sz w:val="22"/>
          <w:szCs w:val="22"/>
        </w:rPr>
        <w:t xml:space="preserve"> a z</w:t>
      </w:r>
      <w:r w:rsidR="00785380" w:rsidRPr="00A032F8">
        <w:rPr>
          <w:rFonts w:cs="Arial"/>
          <w:sz w:val="22"/>
          <w:szCs w:val="22"/>
        </w:rPr>
        <w:t xml:space="preserve"> </w:t>
      </w:r>
      <w:r w:rsidR="000C3566" w:rsidRPr="00A032F8">
        <w:rPr>
          <w:rFonts w:cs="Arial"/>
          <w:sz w:val="22"/>
          <w:szCs w:val="22"/>
        </w:rPr>
        <w:t xml:space="preserve">nedokončeného </w:t>
      </w:r>
      <w:r w:rsidR="000C3566" w:rsidRPr="00A032F8">
        <w:rPr>
          <w:rFonts w:cs="Arial"/>
          <w:i/>
          <w:sz w:val="22"/>
          <w:szCs w:val="22"/>
        </w:rPr>
        <w:t>Generelu rybníků a malých vodních nádrží</w:t>
      </w:r>
      <w:r w:rsidR="000C3566" w:rsidRPr="00A032F8">
        <w:rPr>
          <w:rFonts w:cs="Arial"/>
          <w:sz w:val="22"/>
          <w:szCs w:val="22"/>
        </w:rPr>
        <w:t xml:space="preserve"> z</w:t>
      </w:r>
      <w:r w:rsidR="00785380" w:rsidRPr="00A032F8">
        <w:rPr>
          <w:rFonts w:cs="Arial"/>
          <w:sz w:val="22"/>
          <w:szCs w:val="22"/>
        </w:rPr>
        <w:t xml:space="preserve"> </w:t>
      </w:r>
      <w:r w:rsidR="000C3566" w:rsidRPr="00A032F8">
        <w:rPr>
          <w:rFonts w:cs="Arial"/>
          <w:sz w:val="22"/>
          <w:szCs w:val="22"/>
        </w:rPr>
        <w:t>let 1995</w:t>
      </w:r>
      <w:r w:rsidR="009F4AA3" w:rsidRPr="00A032F8">
        <w:rPr>
          <w:rFonts w:cs="Arial"/>
          <w:sz w:val="22"/>
          <w:szCs w:val="22"/>
        </w:rPr>
        <w:t>–</w:t>
      </w:r>
      <w:r w:rsidR="000C3566" w:rsidRPr="00A032F8">
        <w:rPr>
          <w:rFonts w:cs="Arial"/>
          <w:sz w:val="22"/>
          <w:szCs w:val="22"/>
        </w:rPr>
        <w:t>1999.</w:t>
      </w:r>
      <w:r w:rsidR="00441767" w:rsidRPr="00A032F8">
        <w:rPr>
          <w:rFonts w:cs="Arial"/>
          <w:sz w:val="22"/>
          <w:szCs w:val="22"/>
        </w:rPr>
        <w:t xml:space="preserve"> </w:t>
      </w:r>
      <w:r w:rsidR="00BA4559" w:rsidRPr="00A032F8">
        <w:rPr>
          <w:rFonts w:cs="Arial"/>
          <w:sz w:val="22"/>
          <w:szCs w:val="22"/>
        </w:rPr>
        <w:t>Dokumentaci programu schválilo Ministerstvo financí v</w:t>
      </w:r>
      <w:r w:rsidR="00785380" w:rsidRPr="00A032F8">
        <w:rPr>
          <w:rFonts w:cs="Arial"/>
          <w:sz w:val="22"/>
          <w:szCs w:val="22"/>
        </w:rPr>
        <w:t xml:space="preserve"> </w:t>
      </w:r>
      <w:r w:rsidR="00BA4559" w:rsidRPr="00A032F8">
        <w:rPr>
          <w:rFonts w:cs="Arial"/>
          <w:sz w:val="22"/>
          <w:szCs w:val="22"/>
        </w:rPr>
        <w:t>březnu 2008.</w:t>
      </w:r>
    </w:p>
    <w:p w:rsidR="00E01C18" w:rsidRPr="00A032F8" w:rsidRDefault="00E01C18" w:rsidP="001671F8">
      <w:pPr>
        <w:jc w:val="both"/>
        <w:rPr>
          <w:rFonts w:cs="Arial"/>
          <w:sz w:val="22"/>
          <w:szCs w:val="22"/>
        </w:rPr>
      </w:pPr>
    </w:p>
    <w:p w:rsidR="00B84293" w:rsidRPr="00A032F8" w:rsidRDefault="00441767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a) </w:t>
      </w:r>
      <w:r w:rsidRPr="00A032F8">
        <w:rPr>
          <w:rFonts w:cs="Arial"/>
          <w:sz w:val="22"/>
          <w:szCs w:val="22"/>
        </w:rPr>
        <w:t>Hlavními cíli programu bylo zejména zlepšení technického stavu rybničního fondu České republiky, obnova vodohospodářských funkcí rybníků a vodních nádrží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ohledem na jejich význam při snižování důsledků extrémních hydrologických situací (povodní a sucha) a</w:t>
      </w:r>
      <w:r w:rsidR="002F5A6D" w:rsidRPr="00A032F8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zvýšení bezpečnosti za povodní (prevence před nebezpečím vzniku zvláštní povodně</w:t>
      </w:r>
      <w:r w:rsidR="001E464B" w:rsidRPr="00A032F8">
        <w:rPr>
          <w:rFonts w:cs="Arial"/>
          <w:sz w:val="22"/>
          <w:szCs w:val="22"/>
          <w:vertAlign w:val="superscript"/>
        </w:rPr>
        <w:t>9</w:t>
      </w:r>
      <w:r w:rsidRPr="00A032F8">
        <w:rPr>
          <w:rFonts w:cs="Arial"/>
          <w:sz w:val="22"/>
          <w:szCs w:val="22"/>
        </w:rPr>
        <w:t>).</w:t>
      </w:r>
      <w:r w:rsidR="003730DF" w:rsidRPr="00A032F8">
        <w:rPr>
          <w:rFonts w:cs="Arial"/>
          <w:sz w:val="22"/>
          <w:szCs w:val="22"/>
        </w:rPr>
        <w:t xml:space="preserve"> </w:t>
      </w:r>
    </w:p>
    <w:p w:rsidR="00B84293" w:rsidRPr="00A032F8" w:rsidRDefault="00B84293" w:rsidP="001671F8">
      <w:pPr>
        <w:jc w:val="both"/>
        <w:rPr>
          <w:rFonts w:cs="Arial"/>
          <w:sz w:val="22"/>
          <w:szCs w:val="22"/>
        </w:rPr>
      </w:pPr>
    </w:p>
    <w:p w:rsidR="00E451DB" w:rsidRPr="00A032F8" w:rsidRDefault="003730DF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Cíle programu specifikovalo</w:t>
      </w:r>
      <w:r w:rsidR="00B84293" w:rsidRPr="00A032F8">
        <w:rPr>
          <w:rFonts w:cs="Arial"/>
          <w:sz w:val="22"/>
          <w:szCs w:val="22"/>
        </w:rPr>
        <w:t xml:space="preserve"> </w:t>
      </w:r>
      <w:proofErr w:type="spellStart"/>
      <w:r w:rsidR="001E464B" w:rsidRPr="00A032F8">
        <w:rPr>
          <w:rFonts w:cs="Arial"/>
          <w:sz w:val="22"/>
          <w:szCs w:val="22"/>
        </w:rPr>
        <w:t>MZe</w:t>
      </w:r>
      <w:proofErr w:type="spellEnd"/>
      <w:r w:rsidR="001E464B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předpoklád</w:t>
      </w:r>
      <w:r w:rsidR="00B84293" w:rsidRPr="00A032F8">
        <w:rPr>
          <w:rFonts w:cs="Arial"/>
          <w:sz w:val="22"/>
          <w:szCs w:val="22"/>
        </w:rPr>
        <w:t>anými hodnotami indikátorů a parametrů. U kontrolovaného podprogramu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="00B84293" w:rsidRPr="00A032F8">
        <w:rPr>
          <w:rFonts w:cs="Arial"/>
          <w:sz w:val="22"/>
          <w:szCs w:val="22"/>
        </w:rPr>
        <w:t>132 vymezilo čtyři indikátory a devět parametrů, přičemž ve dvou případech se indikátory a parametry, včetně jejich hodnot, shodovaly. Žádný z</w:t>
      </w:r>
      <w:r w:rsidR="00785380" w:rsidRPr="00A032F8">
        <w:rPr>
          <w:rFonts w:cs="Arial"/>
          <w:sz w:val="22"/>
          <w:szCs w:val="22"/>
        </w:rPr>
        <w:t xml:space="preserve"> </w:t>
      </w:r>
      <w:r w:rsidR="00B84293" w:rsidRPr="00A032F8">
        <w:rPr>
          <w:rFonts w:cs="Arial"/>
          <w:sz w:val="22"/>
          <w:szCs w:val="22"/>
        </w:rPr>
        <w:t>indikátorů ne</w:t>
      </w:r>
      <w:r w:rsidR="00CD5F6F" w:rsidRPr="00A032F8">
        <w:rPr>
          <w:rFonts w:cs="Arial"/>
          <w:sz w:val="22"/>
          <w:szCs w:val="22"/>
        </w:rPr>
        <w:t>bo parametrů nebyl zaměřen například</w:t>
      </w:r>
      <w:r w:rsidR="00B84293" w:rsidRPr="00A032F8">
        <w:rPr>
          <w:rFonts w:cs="Arial"/>
          <w:sz w:val="22"/>
          <w:szCs w:val="22"/>
        </w:rPr>
        <w:t xml:space="preserve"> na počet chráněných obyvatel nebo rozsah majetku, který bude realizací podprogramu ochráněn. </w:t>
      </w:r>
      <w:r w:rsidR="00CD5F6F" w:rsidRPr="00A032F8">
        <w:rPr>
          <w:rFonts w:cs="Arial"/>
          <w:b/>
          <w:sz w:val="22"/>
          <w:szCs w:val="22"/>
        </w:rPr>
        <w:t>Nebude tak možno</w:t>
      </w:r>
      <w:r w:rsidR="00A7754B" w:rsidRPr="00A032F8">
        <w:rPr>
          <w:rFonts w:cs="Arial"/>
          <w:b/>
          <w:sz w:val="22"/>
          <w:szCs w:val="22"/>
        </w:rPr>
        <w:t xml:space="preserve"> účinně</w:t>
      </w:r>
      <w:r w:rsidR="00CD5F6F" w:rsidRPr="00A032F8">
        <w:rPr>
          <w:rFonts w:cs="Arial"/>
          <w:b/>
          <w:sz w:val="22"/>
          <w:szCs w:val="22"/>
        </w:rPr>
        <w:t xml:space="preserve"> vyhodnotit přínos programu a efektivnost vynaložených finančních prostředků pro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="00CD5F6F" w:rsidRPr="00A032F8">
        <w:rPr>
          <w:rFonts w:cs="Arial"/>
          <w:b/>
          <w:sz w:val="22"/>
          <w:szCs w:val="22"/>
        </w:rPr>
        <w:t>prevenci</w:t>
      </w:r>
      <w:r w:rsidR="00B84293" w:rsidRPr="00A032F8">
        <w:rPr>
          <w:rFonts w:cs="Arial"/>
          <w:b/>
          <w:sz w:val="22"/>
          <w:szCs w:val="22"/>
        </w:rPr>
        <w:t xml:space="preserve"> před povodněmi</w:t>
      </w:r>
      <w:r w:rsidR="00CD5F6F" w:rsidRPr="00A032F8">
        <w:rPr>
          <w:rFonts w:cs="Arial"/>
          <w:b/>
          <w:sz w:val="22"/>
          <w:szCs w:val="22"/>
        </w:rPr>
        <w:t>.</w:t>
      </w:r>
      <w:r w:rsidR="00CD5F6F" w:rsidRPr="00A032F8">
        <w:rPr>
          <w:rFonts w:cs="Arial"/>
          <w:sz w:val="22"/>
          <w:szCs w:val="22"/>
        </w:rPr>
        <w:t xml:space="preserve"> Bude možno vyhodnotit pouze údaje o zvýšení zásobních nebo retenčních prostorů, o zajištění bezpečnosti díla, o počtu bezpečnostních zařízení</w:t>
      </w:r>
      <w:r w:rsidR="0021632E" w:rsidRPr="00A032F8">
        <w:rPr>
          <w:rFonts w:cs="Arial"/>
          <w:sz w:val="22"/>
          <w:szCs w:val="22"/>
        </w:rPr>
        <w:t xml:space="preserve"> přelivů</w:t>
      </w:r>
      <w:r w:rsidR="00CD5F6F" w:rsidRPr="00A032F8">
        <w:rPr>
          <w:rFonts w:cs="Arial"/>
          <w:sz w:val="22"/>
          <w:szCs w:val="22"/>
        </w:rPr>
        <w:t xml:space="preserve"> apod.</w:t>
      </w:r>
    </w:p>
    <w:p w:rsidR="00E451DB" w:rsidRPr="00A032F8" w:rsidRDefault="00E451DB" w:rsidP="001671F8">
      <w:pPr>
        <w:jc w:val="both"/>
        <w:rPr>
          <w:rFonts w:cs="Arial"/>
          <w:sz w:val="22"/>
          <w:szCs w:val="22"/>
        </w:rPr>
      </w:pPr>
    </w:p>
    <w:p w:rsidR="00DA01B2" w:rsidRPr="00A032F8" w:rsidRDefault="0086017B" w:rsidP="001671F8">
      <w:pPr>
        <w:jc w:val="both"/>
        <w:rPr>
          <w:rFonts w:cs="Arial"/>
          <w:sz w:val="22"/>
          <w:szCs w:val="22"/>
        </w:rPr>
      </w:pP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k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tomu uvedlo, že každý projekt (akce) programu je individuální a řeší konkrétní situaci</w:t>
      </w:r>
      <w:r w:rsidR="0021632E" w:rsidRPr="00A032F8">
        <w:rPr>
          <w:rFonts w:cs="Arial"/>
          <w:sz w:val="22"/>
          <w:szCs w:val="22"/>
        </w:rPr>
        <w:t xml:space="preserve"> v daném místě. Na obecné úrovni</w:t>
      </w:r>
      <w:r w:rsidRPr="00A032F8">
        <w:rPr>
          <w:rFonts w:cs="Arial"/>
          <w:sz w:val="22"/>
          <w:szCs w:val="22"/>
        </w:rPr>
        <w:t xml:space="preserve"> nelze jednoduše kvantifikovat efekt zlepšení pro každou oblast nebo hydrologické povodí. P</w:t>
      </w:r>
      <w:r w:rsidR="00283375">
        <w:rPr>
          <w:rFonts w:cs="Arial"/>
          <w:sz w:val="22"/>
          <w:szCs w:val="22"/>
        </w:rPr>
        <w:t>roto bude p</w:t>
      </w:r>
      <w:r w:rsidRPr="00A032F8">
        <w:rPr>
          <w:rFonts w:cs="Arial"/>
          <w:sz w:val="22"/>
          <w:szCs w:val="22"/>
        </w:rPr>
        <w:t>rogram po skončení posuzován počtem obnovených, rekonstruovaných či nově vybudovaných bezpečnostních přelivů a</w:t>
      </w:r>
      <w:r w:rsidR="00283375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zařízení, počtem nově vzniklých celkových prostor, objemem</w:t>
      </w:r>
      <w:r w:rsidR="00F60285" w:rsidRPr="00A032F8">
        <w:rPr>
          <w:rFonts w:cs="Arial"/>
          <w:sz w:val="22"/>
          <w:szCs w:val="22"/>
        </w:rPr>
        <w:t xml:space="preserve"> odstraněných </w:t>
      </w:r>
      <w:r w:rsidRPr="00A032F8">
        <w:rPr>
          <w:rFonts w:cs="Arial"/>
          <w:sz w:val="22"/>
          <w:szCs w:val="22"/>
        </w:rPr>
        <w:t>sedimentů apod.</w:t>
      </w:r>
      <w:r w:rsidR="00852FD0" w:rsidRPr="00A032F8">
        <w:rPr>
          <w:rFonts w:cs="Arial"/>
          <w:sz w:val="22"/>
          <w:szCs w:val="22"/>
        </w:rPr>
        <w:t xml:space="preserve"> </w:t>
      </w:r>
      <w:r w:rsidR="00FD2000" w:rsidRPr="00A032F8">
        <w:rPr>
          <w:rFonts w:cs="Arial"/>
          <w:b/>
          <w:sz w:val="22"/>
          <w:szCs w:val="22"/>
        </w:rPr>
        <w:t>Ve vztahu k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="00FD2000" w:rsidRPr="00A032F8">
        <w:rPr>
          <w:rFonts w:cs="Arial"/>
          <w:b/>
          <w:sz w:val="22"/>
          <w:szCs w:val="22"/>
        </w:rPr>
        <w:t>zabezpeč</w:t>
      </w:r>
      <w:r w:rsidR="00283375">
        <w:rPr>
          <w:rFonts w:cs="Arial"/>
          <w:b/>
          <w:sz w:val="22"/>
          <w:szCs w:val="22"/>
        </w:rPr>
        <w:t>e</w:t>
      </w:r>
      <w:r w:rsidR="00FD2000" w:rsidRPr="00A032F8">
        <w:rPr>
          <w:rFonts w:cs="Arial"/>
          <w:b/>
          <w:sz w:val="22"/>
          <w:szCs w:val="22"/>
        </w:rPr>
        <w:t>ní co nejvyšších efektů pro prevenci před povodněmi z realizace programu považuje NKÚ t</w:t>
      </w:r>
      <w:r w:rsidR="00852FD0" w:rsidRPr="00A032F8">
        <w:rPr>
          <w:rFonts w:cs="Arial"/>
          <w:b/>
          <w:sz w:val="22"/>
          <w:szCs w:val="22"/>
        </w:rPr>
        <w:t xml:space="preserve">ento přístup </w:t>
      </w:r>
      <w:r w:rsidR="00DA01B2" w:rsidRPr="00A032F8">
        <w:rPr>
          <w:rFonts w:cs="Arial"/>
          <w:b/>
          <w:sz w:val="22"/>
          <w:szCs w:val="22"/>
        </w:rPr>
        <w:t>za nedostatečný.</w:t>
      </w:r>
    </w:p>
    <w:p w:rsidR="00AE05F5" w:rsidRPr="00A032F8" w:rsidRDefault="00AE05F5" w:rsidP="001671F8">
      <w:pPr>
        <w:jc w:val="both"/>
        <w:rPr>
          <w:rFonts w:cs="Arial"/>
          <w:sz w:val="22"/>
          <w:szCs w:val="22"/>
        </w:rPr>
      </w:pPr>
    </w:p>
    <w:p w:rsidR="009A0401" w:rsidRPr="00A032F8" w:rsidRDefault="00243ED7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Z</w:t>
      </w:r>
      <w:r w:rsidR="009A0401" w:rsidRPr="00A032F8">
        <w:rPr>
          <w:rFonts w:cs="Arial"/>
          <w:sz w:val="22"/>
          <w:szCs w:val="22"/>
        </w:rPr>
        <w:t>aměření programu č. 129 130 a</w:t>
      </w:r>
      <w:r w:rsidRPr="00A032F8">
        <w:rPr>
          <w:rFonts w:cs="Arial"/>
          <w:sz w:val="22"/>
          <w:szCs w:val="22"/>
        </w:rPr>
        <w:t xml:space="preserve"> uvedená </w:t>
      </w:r>
      <w:r w:rsidR="009A0401" w:rsidRPr="00A032F8">
        <w:rPr>
          <w:rFonts w:cs="Arial"/>
          <w:sz w:val="22"/>
          <w:szCs w:val="22"/>
        </w:rPr>
        <w:t>specifi</w:t>
      </w:r>
      <w:r w:rsidRPr="00A032F8">
        <w:rPr>
          <w:rFonts w:cs="Arial"/>
          <w:sz w:val="22"/>
          <w:szCs w:val="22"/>
        </w:rPr>
        <w:t>kace</w:t>
      </w:r>
      <w:r w:rsidR="009A0401" w:rsidRPr="00A032F8">
        <w:rPr>
          <w:rFonts w:cs="Arial"/>
          <w:sz w:val="22"/>
          <w:szCs w:val="22"/>
        </w:rPr>
        <w:t xml:space="preserve"> cílů umožnily poskytovat finanční prostředky z tohoto programu i na akce, které </w:t>
      </w:r>
      <w:r w:rsidR="009A0401" w:rsidRPr="00A032F8">
        <w:rPr>
          <w:rFonts w:cs="Arial"/>
          <w:b/>
          <w:sz w:val="22"/>
          <w:szCs w:val="22"/>
        </w:rPr>
        <w:t>měly pro prevenci před povodněmi, resp. pro ochranu majetku a obyvatelstva</w:t>
      </w:r>
      <w:r w:rsidR="00F723CD">
        <w:rPr>
          <w:rFonts w:cs="Arial"/>
          <w:b/>
          <w:sz w:val="22"/>
          <w:szCs w:val="22"/>
        </w:rPr>
        <w:t>,</w:t>
      </w:r>
      <w:r w:rsidR="009A0401" w:rsidRPr="00A032F8">
        <w:rPr>
          <w:rFonts w:cs="Arial"/>
          <w:b/>
          <w:sz w:val="22"/>
          <w:szCs w:val="22"/>
        </w:rPr>
        <w:t xml:space="preserve"> jen malý nebo žádný význam</w:t>
      </w:r>
      <w:r w:rsidR="00F54942" w:rsidRPr="00A032F8">
        <w:rPr>
          <w:rFonts w:cs="Arial"/>
          <w:b/>
          <w:sz w:val="22"/>
          <w:szCs w:val="22"/>
        </w:rPr>
        <w:t>,</w:t>
      </w:r>
      <w:r w:rsidR="00F54942" w:rsidRPr="00A032F8">
        <w:rPr>
          <w:rFonts w:cs="Arial"/>
          <w:sz w:val="22"/>
          <w:szCs w:val="22"/>
        </w:rPr>
        <w:t xml:space="preserve"> j</w:t>
      </w:r>
      <w:r w:rsidR="009A0401" w:rsidRPr="00A032F8">
        <w:rPr>
          <w:rFonts w:cs="Arial"/>
          <w:sz w:val="22"/>
          <w:szCs w:val="22"/>
        </w:rPr>
        <w:t xml:space="preserve">ak </w:t>
      </w:r>
      <w:r w:rsidR="00F76551" w:rsidRPr="00A032F8">
        <w:rPr>
          <w:rFonts w:cs="Arial"/>
          <w:sz w:val="22"/>
          <w:szCs w:val="22"/>
        </w:rPr>
        <w:t>bylo zřejm</w:t>
      </w:r>
      <w:r w:rsidR="00F54942" w:rsidRPr="00A032F8">
        <w:rPr>
          <w:rFonts w:cs="Arial"/>
          <w:sz w:val="22"/>
          <w:szCs w:val="22"/>
        </w:rPr>
        <w:t>é z posudku</w:t>
      </w:r>
      <w:r w:rsidR="00AD6122" w:rsidRPr="00A032F8">
        <w:rPr>
          <w:rFonts w:cs="Arial"/>
          <w:sz w:val="22"/>
          <w:szCs w:val="22"/>
        </w:rPr>
        <w:t xml:space="preserve"> </w:t>
      </w:r>
      <w:r w:rsidR="00F54942" w:rsidRPr="00A032F8">
        <w:rPr>
          <w:bCs/>
          <w:sz w:val="22"/>
          <w:szCs w:val="22"/>
        </w:rPr>
        <w:t xml:space="preserve">vodního díla </w:t>
      </w:r>
      <w:r w:rsidR="009A0401" w:rsidRPr="00A032F8">
        <w:rPr>
          <w:rFonts w:cs="Arial"/>
          <w:sz w:val="22"/>
          <w:szCs w:val="22"/>
        </w:rPr>
        <w:t>u osmi</w:t>
      </w:r>
      <w:r w:rsidR="00560198" w:rsidRPr="00A032F8">
        <w:rPr>
          <w:rStyle w:val="Znakapoznpodarou"/>
          <w:rFonts w:cs="Arial"/>
          <w:sz w:val="22"/>
          <w:szCs w:val="22"/>
        </w:rPr>
        <w:footnoteReference w:id="14"/>
      </w:r>
      <w:r w:rsidR="009A0401" w:rsidRPr="00A032F8">
        <w:rPr>
          <w:rFonts w:cs="Arial"/>
          <w:sz w:val="22"/>
          <w:szCs w:val="22"/>
        </w:rPr>
        <w:t xml:space="preserve"> z 15 kontrolovaných akcí.</w:t>
      </w:r>
      <w:r w:rsidR="00F54942" w:rsidRPr="00A032F8">
        <w:rPr>
          <w:rFonts w:cs="Arial"/>
          <w:sz w:val="22"/>
          <w:szCs w:val="22"/>
        </w:rPr>
        <w:t xml:space="preserve"> </w:t>
      </w:r>
      <w:r w:rsidR="00560198" w:rsidRPr="00A032F8">
        <w:rPr>
          <w:rFonts w:cs="Arial"/>
          <w:sz w:val="22"/>
          <w:szCs w:val="22"/>
        </w:rPr>
        <w:t>Na t</w:t>
      </w:r>
      <w:r w:rsidR="003A0B55" w:rsidRPr="00A032F8">
        <w:rPr>
          <w:rFonts w:cs="Arial"/>
          <w:sz w:val="22"/>
          <w:szCs w:val="22"/>
        </w:rPr>
        <w:t>ěchto osm akcí</w:t>
      </w:r>
      <w:r w:rsidR="00560198" w:rsidRPr="00A032F8">
        <w:rPr>
          <w:rFonts w:cs="Arial"/>
          <w:sz w:val="22"/>
          <w:szCs w:val="22"/>
        </w:rPr>
        <w:t xml:space="preserve"> poskytlo </w:t>
      </w:r>
      <w:proofErr w:type="spellStart"/>
      <w:r w:rsidR="003A0B55" w:rsidRPr="00A032F8">
        <w:rPr>
          <w:rFonts w:cs="Arial"/>
          <w:sz w:val="22"/>
          <w:szCs w:val="22"/>
        </w:rPr>
        <w:t>MZe</w:t>
      </w:r>
      <w:proofErr w:type="spellEnd"/>
      <w:r w:rsidR="00AD6122" w:rsidRPr="00A032F8">
        <w:rPr>
          <w:rFonts w:cs="Arial"/>
          <w:sz w:val="22"/>
          <w:szCs w:val="22"/>
        </w:rPr>
        <w:t xml:space="preserve"> dotace</w:t>
      </w:r>
      <w:r w:rsidR="003A0B55" w:rsidRPr="00A032F8">
        <w:rPr>
          <w:rFonts w:cs="Arial"/>
          <w:sz w:val="22"/>
          <w:szCs w:val="22"/>
        </w:rPr>
        <w:t xml:space="preserve"> v celkové výši </w:t>
      </w:r>
      <w:r w:rsidR="00F54942" w:rsidRPr="00A032F8">
        <w:rPr>
          <w:rFonts w:cs="Arial"/>
          <w:sz w:val="22"/>
          <w:szCs w:val="22"/>
        </w:rPr>
        <w:t>111 mil. Kč.</w:t>
      </w:r>
      <w:r w:rsidR="009A0401" w:rsidRPr="00A032F8">
        <w:rPr>
          <w:rFonts w:cs="Arial"/>
          <w:sz w:val="22"/>
          <w:szCs w:val="22"/>
        </w:rPr>
        <w:t xml:space="preserve">  </w:t>
      </w:r>
    </w:p>
    <w:p w:rsidR="009A0401" w:rsidRPr="00A032F8" w:rsidRDefault="009A0401" w:rsidP="001671F8">
      <w:pPr>
        <w:jc w:val="both"/>
        <w:rPr>
          <w:rFonts w:cs="Arial"/>
          <w:sz w:val="22"/>
          <w:szCs w:val="22"/>
        </w:rPr>
      </w:pPr>
    </w:p>
    <w:p w:rsidR="00216138" w:rsidRPr="00A032F8" w:rsidRDefault="00216138" w:rsidP="0021613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b) </w:t>
      </w:r>
      <w:r w:rsidR="00FD2000" w:rsidRPr="00A032F8">
        <w:rPr>
          <w:rFonts w:cs="Arial"/>
          <w:sz w:val="22"/>
          <w:szCs w:val="22"/>
        </w:rPr>
        <w:t xml:space="preserve">Zdroje </w:t>
      </w:r>
      <w:r w:rsidR="00F60285" w:rsidRPr="00A032F8">
        <w:rPr>
          <w:rFonts w:cs="Arial"/>
          <w:sz w:val="22"/>
          <w:szCs w:val="22"/>
        </w:rPr>
        <w:t>financování programu č. 129 13</w:t>
      </w:r>
      <w:r w:rsidR="00FD2000" w:rsidRPr="00A032F8">
        <w:rPr>
          <w:rFonts w:cs="Arial"/>
          <w:sz w:val="22"/>
          <w:szCs w:val="22"/>
        </w:rPr>
        <w:t>0 vymezila vláda v</w:t>
      </w:r>
      <w:r w:rsidR="00785380" w:rsidRPr="00A032F8">
        <w:rPr>
          <w:rFonts w:cs="Arial"/>
          <w:sz w:val="22"/>
          <w:szCs w:val="22"/>
        </w:rPr>
        <w:t xml:space="preserve"> </w:t>
      </w:r>
      <w:r w:rsidR="00FD2000" w:rsidRPr="00A032F8">
        <w:rPr>
          <w:rFonts w:cs="Arial"/>
          <w:sz w:val="22"/>
          <w:szCs w:val="22"/>
        </w:rPr>
        <w:t>usnesení ze dne 15. listopadu</w:t>
      </w:r>
      <w:r w:rsidR="00F735B8" w:rsidRPr="00A032F8">
        <w:rPr>
          <w:rFonts w:cs="Arial"/>
          <w:sz w:val="22"/>
          <w:szCs w:val="22"/>
        </w:rPr>
        <w:t xml:space="preserve"> </w:t>
      </w:r>
      <w:r w:rsidR="00FD2000" w:rsidRPr="00A032F8">
        <w:rPr>
          <w:rFonts w:cs="Arial"/>
          <w:sz w:val="22"/>
          <w:szCs w:val="22"/>
        </w:rPr>
        <w:t>2006 č.</w:t>
      </w:r>
      <w:r w:rsidR="00785380" w:rsidRPr="00A032F8">
        <w:rPr>
          <w:rFonts w:cs="Arial"/>
          <w:sz w:val="22"/>
          <w:szCs w:val="22"/>
        </w:rPr>
        <w:t xml:space="preserve"> </w:t>
      </w:r>
      <w:r w:rsidR="00FD2000" w:rsidRPr="00A032F8">
        <w:rPr>
          <w:rFonts w:cs="Arial"/>
          <w:sz w:val="22"/>
          <w:szCs w:val="22"/>
        </w:rPr>
        <w:t xml:space="preserve">1304. </w:t>
      </w:r>
      <w:r w:rsidR="00C82FDF" w:rsidRPr="00A032F8">
        <w:rPr>
          <w:rFonts w:cs="Arial"/>
          <w:sz w:val="22"/>
          <w:szCs w:val="22"/>
        </w:rPr>
        <w:t>Předpokládané f</w:t>
      </w:r>
      <w:r w:rsidRPr="00A032F8">
        <w:rPr>
          <w:rFonts w:cs="Arial"/>
          <w:sz w:val="22"/>
          <w:szCs w:val="22"/>
        </w:rPr>
        <w:t>inanční parametry 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</w:t>
      </w:r>
      <w:r w:rsidR="002F295F" w:rsidRPr="00A032F8">
        <w:rPr>
          <w:rFonts w:cs="Arial"/>
          <w:sz w:val="22"/>
          <w:szCs w:val="22"/>
        </w:rPr>
        <w:t>3</w:t>
      </w:r>
      <w:r w:rsidR="0021632E" w:rsidRPr="00A032F8">
        <w:rPr>
          <w:rFonts w:cs="Arial"/>
          <w:sz w:val="22"/>
          <w:szCs w:val="22"/>
        </w:rPr>
        <w:t>0 a jeji</w:t>
      </w:r>
      <w:r w:rsidRPr="00A032F8">
        <w:rPr>
          <w:rFonts w:cs="Arial"/>
          <w:sz w:val="22"/>
          <w:szCs w:val="22"/>
        </w:rPr>
        <w:t>ch vývoj za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dobu realizace jsou uvedeny v</w:t>
      </w:r>
      <w:r w:rsidR="00785380" w:rsidRPr="00A032F8">
        <w:rPr>
          <w:rFonts w:cs="Arial"/>
          <w:sz w:val="22"/>
          <w:szCs w:val="22"/>
        </w:rPr>
        <w:t xml:space="preserve"> </w:t>
      </w:r>
      <w:r w:rsidR="00DE4542">
        <w:rPr>
          <w:rFonts w:cs="Arial"/>
          <w:sz w:val="22"/>
          <w:szCs w:val="22"/>
        </w:rPr>
        <w:t>tabulce č. </w:t>
      </w:r>
      <w:r w:rsidR="002F295F" w:rsidRPr="00A032F8">
        <w:rPr>
          <w:rFonts w:cs="Arial"/>
          <w:sz w:val="22"/>
          <w:szCs w:val="22"/>
        </w:rPr>
        <w:t>3</w:t>
      </w:r>
      <w:r w:rsidRPr="00A032F8">
        <w:rPr>
          <w:rFonts w:cs="Arial"/>
          <w:sz w:val="22"/>
          <w:szCs w:val="22"/>
        </w:rPr>
        <w:t>. Čerpání finančních prostředků</w:t>
      </w:r>
      <w:r w:rsidR="00B425B3" w:rsidRPr="00A032F8">
        <w:rPr>
          <w:rFonts w:cs="Arial"/>
          <w:sz w:val="22"/>
          <w:szCs w:val="22"/>
        </w:rPr>
        <w:t xml:space="preserve"> programu</w:t>
      </w:r>
      <w:r w:rsidRPr="00A032F8">
        <w:rPr>
          <w:rFonts w:cs="Arial"/>
          <w:sz w:val="22"/>
          <w:szCs w:val="22"/>
        </w:rPr>
        <w:t xml:space="preserve"> za roky 2007 </w:t>
      </w:r>
      <w:r w:rsidR="00B425B3" w:rsidRPr="00A032F8">
        <w:rPr>
          <w:rFonts w:cs="Arial"/>
          <w:sz w:val="22"/>
          <w:szCs w:val="22"/>
        </w:rPr>
        <w:t>až 2012 je uvedeno v</w:t>
      </w:r>
      <w:r w:rsidR="00785380" w:rsidRPr="00A032F8">
        <w:rPr>
          <w:rFonts w:cs="Arial"/>
          <w:sz w:val="22"/>
          <w:szCs w:val="22"/>
        </w:rPr>
        <w:t xml:space="preserve"> </w:t>
      </w:r>
      <w:r w:rsidR="00B425B3" w:rsidRPr="00A032F8">
        <w:rPr>
          <w:rFonts w:cs="Arial"/>
          <w:sz w:val="22"/>
          <w:szCs w:val="22"/>
        </w:rPr>
        <w:t>tabulce č.</w:t>
      </w:r>
      <w:r w:rsidR="00DE4542">
        <w:rPr>
          <w:rFonts w:cs="Arial"/>
          <w:sz w:val="22"/>
          <w:szCs w:val="22"/>
        </w:rPr>
        <w:t> </w:t>
      </w:r>
      <w:r w:rsidR="002F295F" w:rsidRPr="00A032F8">
        <w:rPr>
          <w:rFonts w:cs="Arial"/>
          <w:sz w:val="22"/>
          <w:szCs w:val="22"/>
        </w:rPr>
        <w:t>4</w:t>
      </w:r>
      <w:r w:rsidRPr="00A032F8">
        <w:rPr>
          <w:rFonts w:cs="Arial"/>
          <w:sz w:val="22"/>
          <w:szCs w:val="22"/>
        </w:rPr>
        <w:t>.</w:t>
      </w:r>
      <w:r w:rsidR="00FD2000" w:rsidRPr="00A032F8">
        <w:rPr>
          <w:rFonts w:cs="Arial"/>
          <w:sz w:val="22"/>
          <w:szCs w:val="22"/>
        </w:rPr>
        <w:t xml:space="preserve"> </w:t>
      </w:r>
    </w:p>
    <w:p w:rsidR="00216138" w:rsidRPr="00A032F8" w:rsidRDefault="00216138" w:rsidP="00216138">
      <w:pPr>
        <w:jc w:val="both"/>
        <w:rPr>
          <w:rFonts w:cs="Arial"/>
          <w:sz w:val="22"/>
          <w:szCs w:val="22"/>
        </w:rPr>
      </w:pPr>
    </w:p>
    <w:p w:rsidR="00216138" w:rsidRPr="006040CA" w:rsidRDefault="00216138" w:rsidP="00DD5E7E">
      <w:pPr>
        <w:tabs>
          <w:tab w:val="left" w:pos="7938"/>
        </w:tabs>
        <w:spacing w:after="40"/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Tabulka č. </w:t>
      </w:r>
      <w:r w:rsidR="002F295F" w:rsidRPr="00A032F8">
        <w:rPr>
          <w:rFonts w:cs="Arial"/>
          <w:b/>
          <w:sz w:val="22"/>
          <w:szCs w:val="22"/>
        </w:rPr>
        <w:t>3</w:t>
      </w:r>
      <w:r w:rsidRPr="00A032F8">
        <w:rPr>
          <w:rFonts w:cs="Arial"/>
          <w:b/>
          <w:sz w:val="22"/>
          <w:szCs w:val="22"/>
        </w:rPr>
        <w:t xml:space="preserve"> – Finanční parametry programu č.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1</w:t>
      </w:r>
      <w:r w:rsidR="002F295F" w:rsidRPr="00A032F8">
        <w:rPr>
          <w:rFonts w:cs="Arial"/>
          <w:b/>
          <w:sz w:val="22"/>
          <w:szCs w:val="22"/>
        </w:rPr>
        <w:t>3</w:t>
      </w:r>
      <w:r w:rsidRPr="00A032F8">
        <w:rPr>
          <w:rFonts w:cs="Arial"/>
          <w:b/>
          <w:sz w:val="22"/>
          <w:szCs w:val="22"/>
        </w:rPr>
        <w:t>0</w:t>
      </w:r>
      <w:r w:rsidRPr="00A032F8">
        <w:rPr>
          <w:rFonts w:cs="Arial"/>
          <w:b/>
          <w:sz w:val="22"/>
          <w:szCs w:val="22"/>
        </w:rPr>
        <w:tab/>
      </w:r>
      <w:r w:rsidRPr="006040CA">
        <w:rPr>
          <w:rFonts w:cs="Arial"/>
          <w:b/>
          <w:sz w:val="22"/>
          <w:szCs w:val="22"/>
        </w:rPr>
        <w:t>(v mil. Kč)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559"/>
        <w:gridCol w:w="1354"/>
        <w:gridCol w:w="1354"/>
        <w:gridCol w:w="1354"/>
        <w:gridCol w:w="1355"/>
      </w:tblGrid>
      <w:tr w:rsidR="00216138" w:rsidRPr="00A032F8" w:rsidTr="00DD5E7E">
        <w:trPr>
          <w:trHeight w:val="283"/>
          <w:jc w:val="center"/>
        </w:trPr>
        <w:tc>
          <w:tcPr>
            <w:tcW w:w="20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Schválení/změna dokumentace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Roky realizace</w:t>
            </w:r>
          </w:p>
        </w:tc>
        <w:tc>
          <w:tcPr>
            <w:tcW w:w="135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Celková potřeba</w:t>
            </w:r>
          </w:p>
        </w:tc>
        <w:tc>
          <w:tcPr>
            <w:tcW w:w="40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Zdroje krytí potřeby</w:t>
            </w:r>
          </w:p>
        </w:tc>
      </w:tr>
      <w:tr w:rsidR="00216138" w:rsidRPr="00A032F8" w:rsidTr="00DD5E7E">
        <w:trPr>
          <w:trHeight w:val="283"/>
          <w:jc w:val="center"/>
        </w:trPr>
        <w:tc>
          <w:tcPr>
            <w:tcW w:w="204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138" w:rsidRPr="00A032F8" w:rsidRDefault="00F723CD" w:rsidP="0028337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Ú</w:t>
            </w:r>
            <w:r w:rsidR="00216138" w:rsidRPr="00A032F8">
              <w:rPr>
                <w:rFonts w:cs="Arial"/>
                <w:b/>
                <w:sz w:val="18"/>
                <w:szCs w:val="18"/>
              </w:rPr>
              <w:t>věr EIB</w:t>
            </w:r>
            <w:r w:rsidR="00216138" w:rsidRPr="00A032F8">
              <w:rPr>
                <w:rFonts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138" w:rsidRPr="00A032F8" w:rsidRDefault="00F723CD" w:rsidP="00DD5E7E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882036" w:rsidRPr="00A032F8">
              <w:rPr>
                <w:rFonts w:cs="Arial"/>
                <w:b/>
                <w:sz w:val="18"/>
                <w:szCs w:val="18"/>
              </w:rPr>
              <w:t>tátní</w:t>
            </w:r>
            <w:r w:rsidR="00216138" w:rsidRPr="00A032F8">
              <w:rPr>
                <w:rFonts w:cs="Arial"/>
                <w:b/>
                <w:sz w:val="18"/>
                <w:szCs w:val="18"/>
              </w:rPr>
              <w:t xml:space="preserve"> rozp.</w:t>
            </w:r>
            <w:r w:rsidR="00216138" w:rsidRPr="00A032F8">
              <w:rPr>
                <w:rFonts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6138" w:rsidRPr="00A032F8" w:rsidRDefault="00F723CD" w:rsidP="00DD5E7E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="00882036" w:rsidRPr="00A032F8">
              <w:rPr>
                <w:rFonts w:cs="Arial"/>
                <w:b/>
                <w:sz w:val="18"/>
                <w:szCs w:val="18"/>
              </w:rPr>
              <w:t>lastní</w:t>
            </w:r>
            <w:r w:rsidR="00216138" w:rsidRPr="00A032F8">
              <w:rPr>
                <w:rFonts w:cs="Arial"/>
                <w:b/>
                <w:sz w:val="18"/>
                <w:szCs w:val="18"/>
              </w:rPr>
              <w:t xml:space="preserve"> zdroje</w:t>
            </w:r>
            <w:r w:rsidR="00216138" w:rsidRPr="00A032F8">
              <w:rPr>
                <w:rFonts w:cs="Arial"/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216138" w:rsidRPr="00A032F8" w:rsidTr="00DD5E7E">
        <w:trPr>
          <w:trHeight w:val="283"/>
          <w:jc w:val="center"/>
        </w:trPr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216138" w:rsidRPr="00A032F8" w:rsidRDefault="00F723CD" w:rsidP="00DD5E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2F295F" w:rsidRPr="00A032F8">
              <w:rPr>
                <w:rFonts w:cs="Arial"/>
                <w:sz w:val="18"/>
                <w:szCs w:val="18"/>
              </w:rPr>
              <w:t>řezen 2008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2007</w:t>
            </w:r>
            <w:r w:rsidR="002F5A6D" w:rsidRPr="00A032F8">
              <w:rPr>
                <w:rFonts w:cs="Arial"/>
                <w:sz w:val="18"/>
                <w:szCs w:val="18"/>
              </w:rPr>
              <w:t>–</w:t>
            </w:r>
            <w:r w:rsidRPr="00A032F8"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16138" w:rsidRPr="00A032F8" w:rsidRDefault="002F295F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5 250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16138" w:rsidRPr="00A032F8" w:rsidRDefault="006D206A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3 0</w:t>
            </w:r>
            <w:r w:rsidR="002F295F" w:rsidRPr="00A032F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216138" w:rsidRPr="00A032F8" w:rsidRDefault="006D206A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1 200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16138" w:rsidRPr="00A032F8" w:rsidRDefault="002F295F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1 050</w:t>
            </w:r>
          </w:p>
        </w:tc>
      </w:tr>
      <w:tr w:rsidR="00216138" w:rsidRPr="00A032F8" w:rsidTr="00DD5E7E">
        <w:trPr>
          <w:trHeight w:val="283"/>
          <w:jc w:val="center"/>
        </w:trPr>
        <w:tc>
          <w:tcPr>
            <w:tcW w:w="2041" w:type="dxa"/>
            <w:vAlign w:val="center"/>
          </w:tcPr>
          <w:p w:rsidR="00216138" w:rsidRPr="00A032F8" w:rsidRDefault="00F723CD" w:rsidP="00DD5E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2F295F" w:rsidRPr="00A032F8">
              <w:rPr>
                <w:rFonts w:cs="Arial"/>
                <w:sz w:val="18"/>
                <w:szCs w:val="18"/>
              </w:rPr>
              <w:t>uben</w:t>
            </w:r>
            <w:r w:rsidR="00216138" w:rsidRPr="00A032F8">
              <w:rPr>
                <w:rFonts w:cs="Arial"/>
                <w:sz w:val="18"/>
                <w:szCs w:val="18"/>
              </w:rPr>
              <w:t xml:space="preserve"> 2010 </w:t>
            </w:r>
          </w:p>
        </w:tc>
        <w:tc>
          <w:tcPr>
            <w:tcW w:w="1559" w:type="dxa"/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A032F8">
              <w:rPr>
                <w:rFonts w:cs="Arial"/>
                <w:sz w:val="18"/>
                <w:szCs w:val="18"/>
              </w:rPr>
              <w:t>2007</w:t>
            </w:r>
            <w:r w:rsidR="002F5A6D" w:rsidRPr="00A032F8">
              <w:rPr>
                <w:rFonts w:cs="Arial"/>
                <w:sz w:val="18"/>
                <w:szCs w:val="18"/>
              </w:rPr>
              <w:t>–</w:t>
            </w:r>
            <w:r w:rsidRPr="00A032F8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354" w:type="dxa"/>
            <w:vAlign w:val="center"/>
          </w:tcPr>
          <w:p w:rsidR="00216138" w:rsidRPr="00A032F8" w:rsidRDefault="002F295F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4 000</w:t>
            </w:r>
          </w:p>
        </w:tc>
        <w:tc>
          <w:tcPr>
            <w:tcW w:w="1354" w:type="dxa"/>
            <w:vAlign w:val="center"/>
          </w:tcPr>
          <w:p w:rsidR="00216138" w:rsidRPr="00A032F8" w:rsidRDefault="002F295F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 xml:space="preserve">2 </w:t>
            </w:r>
            <w:r w:rsidR="006D206A" w:rsidRPr="00A032F8">
              <w:rPr>
                <w:rFonts w:cs="Arial"/>
                <w:sz w:val="18"/>
                <w:szCs w:val="18"/>
              </w:rPr>
              <w:t>0</w:t>
            </w:r>
            <w:r w:rsidRPr="00A032F8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354" w:type="dxa"/>
            <w:vAlign w:val="center"/>
          </w:tcPr>
          <w:p w:rsidR="00216138" w:rsidRPr="00A032F8" w:rsidRDefault="006D206A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1 200</w:t>
            </w:r>
          </w:p>
        </w:tc>
        <w:tc>
          <w:tcPr>
            <w:tcW w:w="1355" w:type="dxa"/>
            <w:vAlign w:val="center"/>
          </w:tcPr>
          <w:p w:rsidR="00216138" w:rsidRPr="00A032F8" w:rsidRDefault="002F295F" w:rsidP="00DD5E7E">
            <w:pPr>
              <w:ind w:right="112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800</w:t>
            </w:r>
          </w:p>
        </w:tc>
      </w:tr>
    </w:tbl>
    <w:p w:rsidR="00216138" w:rsidRPr="00A032F8" w:rsidRDefault="00216138" w:rsidP="00DD5E7E">
      <w:pPr>
        <w:spacing w:before="40"/>
        <w:jc w:val="both"/>
        <w:rPr>
          <w:rFonts w:cs="Arial"/>
          <w:sz w:val="18"/>
          <w:szCs w:val="18"/>
        </w:rPr>
      </w:pPr>
      <w:r w:rsidRPr="006040CA">
        <w:rPr>
          <w:rFonts w:cs="Arial"/>
          <w:b/>
          <w:sz w:val="18"/>
          <w:szCs w:val="18"/>
        </w:rPr>
        <w:t>Zdroj:</w:t>
      </w:r>
      <w:r w:rsidRPr="00A032F8">
        <w:rPr>
          <w:rFonts w:cs="Arial"/>
          <w:sz w:val="18"/>
          <w:szCs w:val="18"/>
        </w:rPr>
        <w:t xml:space="preserve"> </w:t>
      </w:r>
      <w:r w:rsidR="00F723CD">
        <w:rPr>
          <w:rFonts w:cs="Arial"/>
          <w:sz w:val="18"/>
          <w:szCs w:val="18"/>
        </w:rPr>
        <w:t>d</w:t>
      </w:r>
      <w:r w:rsidRPr="00A032F8">
        <w:rPr>
          <w:rFonts w:cs="Arial"/>
          <w:sz w:val="18"/>
          <w:szCs w:val="18"/>
        </w:rPr>
        <w:t>okumentace programu č. 129</w:t>
      </w:r>
      <w:r w:rsidR="00785380" w:rsidRPr="00A032F8">
        <w:rPr>
          <w:rFonts w:cs="Arial"/>
          <w:sz w:val="18"/>
          <w:szCs w:val="18"/>
        </w:rPr>
        <w:t xml:space="preserve"> </w:t>
      </w:r>
      <w:r w:rsidRPr="00A032F8">
        <w:rPr>
          <w:rFonts w:cs="Arial"/>
          <w:sz w:val="18"/>
          <w:szCs w:val="18"/>
        </w:rPr>
        <w:t>1</w:t>
      </w:r>
      <w:r w:rsidR="002F295F" w:rsidRPr="00A032F8">
        <w:rPr>
          <w:rFonts w:cs="Arial"/>
          <w:sz w:val="18"/>
          <w:szCs w:val="18"/>
        </w:rPr>
        <w:t>3</w:t>
      </w:r>
      <w:r w:rsidRPr="00A032F8">
        <w:rPr>
          <w:rFonts w:cs="Arial"/>
          <w:sz w:val="18"/>
          <w:szCs w:val="18"/>
        </w:rPr>
        <w:t>0.</w:t>
      </w:r>
    </w:p>
    <w:p w:rsidR="00F723CD" w:rsidRPr="006040CA" w:rsidRDefault="00F723CD" w:rsidP="00DD5E7E">
      <w:pPr>
        <w:ind w:left="567" w:hanging="567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Vysvětlivky:</w:t>
      </w:r>
    </w:p>
    <w:p w:rsidR="002C475D" w:rsidRPr="00A032F8" w:rsidRDefault="002C475D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1)</w:t>
      </w:r>
      <w:r w:rsidR="00DD5E7E" w:rsidRPr="00A032F8">
        <w:rPr>
          <w:rFonts w:cs="Arial"/>
          <w:sz w:val="18"/>
          <w:szCs w:val="18"/>
        </w:rPr>
        <w:t xml:space="preserve"> </w:t>
      </w:r>
      <w:r w:rsidRPr="00A032F8">
        <w:rPr>
          <w:rFonts w:cs="Arial"/>
          <w:sz w:val="18"/>
          <w:szCs w:val="18"/>
        </w:rPr>
        <w:t>Úvěr od Evropské investiční banky přijatý na</w:t>
      </w:r>
      <w:r w:rsidR="006D206A" w:rsidRPr="00A032F8">
        <w:rPr>
          <w:rFonts w:cs="Arial"/>
          <w:sz w:val="18"/>
          <w:szCs w:val="18"/>
        </w:rPr>
        <w:t xml:space="preserve"> základě zákona č. 572/2006 Sb.</w:t>
      </w:r>
    </w:p>
    <w:p w:rsidR="002C475D" w:rsidRPr="00A032F8" w:rsidRDefault="002C475D" w:rsidP="00DD5E7E">
      <w:pPr>
        <w:tabs>
          <w:tab w:val="left" w:pos="1134"/>
        </w:tabs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2)</w:t>
      </w:r>
      <w:r w:rsidR="00DD5E7E" w:rsidRPr="00A032F8">
        <w:rPr>
          <w:rFonts w:cs="Arial"/>
          <w:sz w:val="18"/>
          <w:szCs w:val="18"/>
        </w:rPr>
        <w:t xml:space="preserve"> </w:t>
      </w:r>
      <w:r w:rsidRPr="00A032F8">
        <w:rPr>
          <w:rFonts w:cs="Arial"/>
          <w:sz w:val="18"/>
          <w:szCs w:val="18"/>
        </w:rPr>
        <w:t>Prostředky státního rozpočtu</w:t>
      </w:r>
      <w:r w:rsidR="006D206A" w:rsidRPr="00A032F8">
        <w:rPr>
          <w:rFonts w:cs="Arial"/>
          <w:sz w:val="18"/>
          <w:szCs w:val="18"/>
        </w:rPr>
        <w:t>, včetně výnosů z</w:t>
      </w:r>
      <w:r w:rsidR="00785380" w:rsidRPr="00A032F8">
        <w:rPr>
          <w:rFonts w:cs="Arial"/>
          <w:sz w:val="18"/>
          <w:szCs w:val="18"/>
        </w:rPr>
        <w:t xml:space="preserve"> </w:t>
      </w:r>
      <w:r w:rsidR="006D206A" w:rsidRPr="00A032F8">
        <w:rPr>
          <w:rFonts w:cs="Arial"/>
          <w:sz w:val="18"/>
          <w:szCs w:val="18"/>
        </w:rPr>
        <w:t>privatizací.</w:t>
      </w:r>
    </w:p>
    <w:p w:rsidR="002C475D" w:rsidRPr="00A032F8" w:rsidRDefault="002C475D" w:rsidP="00DD5E7E">
      <w:pPr>
        <w:tabs>
          <w:tab w:val="left" w:pos="1134"/>
        </w:tabs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3)</w:t>
      </w:r>
      <w:r w:rsidR="00DD5E7E" w:rsidRPr="00A032F8">
        <w:rPr>
          <w:rFonts w:cs="Arial"/>
          <w:sz w:val="18"/>
          <w:szCs w:val="18"/>
        </w:rPr>
        <w:t xml:space="preserve"> </w:t>
      </w:r>
      <w:r w:rsidRPr="00A032F8">
        <w:rPr>
          <w:rFonts w:cs="Arial"/>
          <w:sz w:val="18"/>
          <w:szCs w:val="18"/>
        </w:rPr>
        <w:t>Vlastní zdroje účastníků programu.</w:t>
      </w:r>
    </w:p>
    <w:p w:rsidR="001C34AD" w:rsidRPr="00A032F8" w:rsidRDefault="001C34AD" w:rsidP="00DD5E7E">
      <w:pPr>
        <w:jc w:val="both"/>
        <w:rPr>
          <w:rFonts w:cs="Arial"/>
          <w:sz w:val="22"/>
          <w:szCs w:val="22"/>
        </w:rPr>
      </w:pPr>
    </w:p>
    <w:p w:rsidR="001640AB" w:rsidRDefault="001640A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216138" w:rsidRPr="006040CA" w:rsidRDefault="00216138" w:rsidP="00DD5E7E">
      <w:pPr>
        <w:tabs>
          <w:tab w:val="left" w:pos="7938"/>
        </w:tabs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lastRenderedPageBreak/>
        <w:t xml:space="preserve">Tabulka č. </w:t>
      </w:r>
      <w:r w:rsidR="002F295F" w:rsidRPr="00A032F8">
        <w:rPr>
          <w:rFonts w:cs="Arial"/>
          <w:b/>
          <w:sz w:val="22"/>
          <w:szCs w:val="22"/>
        </w:rPr>
        <w:t>4</w:t>
      </w:r>
      <w:r w:rsidRPr="00A032F8">
        <w:rPr>
          <w:rFonts w:cs="Arial"/>
          <w:b/>
          <w:sz w:val="22"/>
          <w:szCs w:val="22"/>
        </w:rPr>
        <w:t xml:space="preserve"> – Čerpání finančních prostředků z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programu č.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1</w:t>
      </w:r>
      <w:r w:rsidR="002F295F" w:rsidRPr="00A032F8">
        <w:rPr>
          <w:rFonts w:cs="Arial"/>
          <w:b/>
          <w:sz w:val="22"/>
          <w:szCs w:val="22"/>
        </w:rPr>
        <w:t>3</w:t>
      </w:r>
      <w:r w:rsidRPr="00A032F8">
        <w:rPr>
          <w:rFonts w:cs="Arial"/>
          <w:b/>
          <w:sz w:val="22"/>
          <w:szCs w:val="22"/>
        </w:rPr>
        <w:t>0</w:t>
      </w:r>
      <w:r w:rsidRPr="00A032F8">
        <w:rPr>
          <w:rFonts w:cs="Arial"/>
          <w:b/>
          <w:sz w:val="22"/>
          <w:szCs w:val="22"/>
        </w:rPr>
        <w:tab/>
      </w:r>
      <w:r w:rsidRPr="006040CA">
        <w:rPr>
          <w:rFonts w:cs="Arial"/>
          <w:b/>
          <w:sz w:val="22"/>
          <w:szCs w:val="22"/>
        </w:rPr>
        <w:t>(v mil. Kč)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09"/>
        <w:gridCol w:w="1152"/>
        <w:gridCol w:w="1152"/>
        <w:gridCol w:w="1152"/>
        <w:gridCol w:w="1152"/>
        <w:gridCol w:w="1152"/>
      </w:tblGrid>
      <w:tr w:rsidR="00216138" w:rsidRPr="00A032F8" w:rsidTr="00DD5E7E">
        <w:trPr>
          <w:trHeight w:val="283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138" w:rsidRPr="00A032F8" w:rsidRDefault="00216138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138" w:rsidRPr="00A032F8" w:rsidRDefault="00882036" w:rsidP="00DD5E7E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Rozhod-nutí</w:t>
            </w:r>
            <w:r w:rsidRPr="00A032F8">
              <w:rPr>
                <w:rFonts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138" w:rsidRPr="00A032F8" w:rsidRDefault="00F723CD" w:rsidP="00DD5E7E">
            <w:pPr>
              <w:jc w:val="center"/>
              <w:rPr>
                <w:rFonts w:cs="Arial"/>
                <w:b/>
                <w:i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Ú</w:t>
            </w:r>
            <w:r w:rsidR="00882036" w:rsidRPr="00A032F8">
              <w:rPr>
                <w:rFonts w:cs="Arial"/>
                <w:b/>
                <w:i/>
                <w:sz w:val="18"/>
                <w:szCs w:val="18"/>
              </w:rPr>
              <w:t>věr EIB</w:t>
            </w:r>
            <w:r w:rsidR="00882036" w:rsidRPr="00A032F8">
              <w:rPr>
                <w:rFonts w:cs="Arial"/>
                <w:b/>
                <w:i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138" w:rsidRPr="00A032F8" w:rsidRDefault="00F723CD" w:rsidP="00DD5E7E">
            <w:pPr>
              <w:jc w:val="center"/>
              <w:rPr>
                <w:rFonts w:cs="Arial"/>
                <w:b/>
                <w:i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="00882036" w:rsidRPr="00A032F8">
              <w:rPr>
                <w:rFonts w:cs="Arial"/>
                <w:b/>
                <w:i/>
                <w:sz w:val="18"/>
                <w:szCs w:val="18"/>
              </w:rPr>
              <w:t>tátní rozp.</w:t>
            </w:r>
            <w:r w:rsidR="00882036" w:rsidRPr="00A032F8">
              <w:rPr>
                <w:rFonts w:cs="Arial"/>
                <w:b/>
                <w:i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138" w:rsidRPr="00A032F8" w:rsidRDefault="00F723CD" w:rsidP="00DD5E7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Z</w:t>
            </w:r>
            <w:r w:rsidR="00882036" w:rsidRPr="00A032F8">
              <w:rPr>
                <w:rFonts w:cs="Arial"/>
                <w:b/>
                <w:i/>
                <w:sz w:val="18"/>
                <w:szCs w:val="18"/>
              </w:rPr>
              <w:t>bývá uhradit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138" w:rsidRPr="00A032F8" w:rsidRDefault="00882036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Vlastní zdroje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138" w:rsidRPr="00A032F8" w:rsidRDefault="00882036" w:rsidP="00DD5E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32F8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22430D" w:rsidRPr="00A032F8" w:rsidTr="00DD5E7E">
        <w:trPr>
          <w:trHeight w:val="283"/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2430D" w:rsidRPr="00A032F8" w:rsidRDefault="0022430D" w:rsidP="00DD5E7E">
            <w:pPr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Program celkem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2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528,9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1</w:t>
            </w:r>
            <w:r w:rsidR="00785380" w:rsidRPr="00A032F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i/>
                <w:sz w:val="18"/>
                <w:szCs w:val="18"/>
              </w:rPr>
              <w:t>553,7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942,6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32,6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602,4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3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131,3</w:t>
            </w:r>
          </w:p>
        </w:tc>
      </w:tr>
      <w:tr w:rsidR="0022430D" w:rsidRPr="00A032F8" w:rsidTr="00DD5E7E">
        <w:trPr>
          <w:trHeight w:val="283"/>
          <w:jc w:val="center"/>
        </w:trPr>
        <w:tc>
          <w:tcPr>
            <w:tcW w:w="2268" w:type="dxa"/>
            <w:vAlign w:val="center"/>
          </w:tcPr>
          <w:p w:rsidR="0022430D" w:rsidRPr="00A032F8" w:rsidRDefault="0022430D" w:rsidP="00DD5E7E">
            <w:pPr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Podprogram 129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1009" w:type="dxa"/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2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528,9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1</w:t>
            </w:r>
            <w:r w:rsidR="00785380" w:rsidRPr="00A032F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i/>
                <w:sz w:val="18"/>
                <w:szCs w:val="18"/>
              </w:rPr>
              <w:t>553,7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942,6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32,6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602,4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3</w:t>
            </w:r>
            <w:r w:rsidR="00785380" w:rsidRPr="00A032F8">
              <w:rPr>
                <w:rFonts w:cs="Arial"/>
                <w:sz w:val="18"/>
                <w:szCs w:val="18"/>
              </w:rPr>
              <w:t xml:space="preserve"> </w:t>
            </w:r>
            <w:r w:rsidRPr="00A032F8">
              <w:rPr>
                <w:rFonts w:cs="Arial"/>
                <w:sz w:val="18"/>
                <w:szCs w:val="18"/>
              </w:rPr>
              <w:t>131,3</w:t>
            </w:r>
          </w:p>
        </w:tc>
      </w:tr>
      <w:tr w:rsidR="0022430D" w:rsidRPr="00A032F8" w:rsidTr="00DD5E7E">
        <w:trPr>
          <w:trHeight w:val="283"/>
          <w:jc w:val="center"/>
        </w:trPr>
        <w:tc>
          <w:tcPr>
            <w:tcW w:w="2268" w:type="dxa"/>
            <w:vAlign w:val="center"/>
          </w:tcPr>
          <w:p w:rsidR="0022430D" w:rsidRPr="00A032F8" w:rsidRDefault="0022430D" w:rsidP="00DD5E7E">
            <w:pPr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Podprogram 129 133</w:t>
            </w:r>
            <w:r w:rsidR="001C34AD" w:rsidRPr="00A032F8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009" w:type="dxa"/>
            <w:vAlign w:val="center"/>
          </w:tcPr>
          <w:p w:rsidR="0022430D" w:rsidRPr="00A032F8" w:rsidRDefault="0022430D" w:rsidP="00DD5E7E">
            <w:pPr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-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-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032F8">
              <w:rPr>
                <w:rFonts w:cs="Arial"/>
                <w:i/>
                <w:sz w:val="18"/>
                <w:szCs w:val="18"/>
              </w:rPr>
              <w:t>-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52" w:type="dxa"/>
            <w:vAlign w:val="center"/>
          </w:tcPr>
          <w:p w:rsidR="0022430D" w:rsidRPr="00A032F8" w:rsidRDefault="0022430D" w:rsidP="00DD5E7E">
            <w:pPr>
              <w:jc w:val="center"/>
              <w:rPr>
                <w:rFonts w:cs="Arial"/>
                <w:sz w:val="18"/>
                <w:szCs w:val="18"/>
              </w:rPr>
            </w:pPr>
            <w:r w:rsidRPr="00A032F8">
              <w:rPr>
                <w:rFonts w:cs="Arial"/>
                <w:sz w:val="18"/>
                <w:szCs w:val="18"/>
              </w:rPr>
              <w:t>-</w:t>
            </w:r>
          </w:p>
        </w:tc>
      </w:tr>
    </w:tbl>
    <w:p w:rsidR="00216138" w:rsidRPr="00A032F8" w:rsidRDefault="00216138" w:rsidP="00DD5E7E">
      <w:pPr>
        <w:spacing w:before="40"/>
        <w:jc w:val="both"/>
        <w:rPr>
          <w:rFonts w:cs="Arial"/>
          <w:sz w:val="18"/>
          <w:szCs w:val="18"/>
        </w:rPr>
      </w:pPr>
      <w:r w:rsidRPr="006040CA">
        <w:rPr>
          <w:rFonts w:cs="Arial"/>
          <w:b/>
          <w:sz w:val="18"/>
          <w:szCs w:val="18"/>
        </w:rPr>
        <w:t>Zdroj:</w:t>
      </w:r>
      <w:r w:rsidRPr="00A032F8">
        <w:rPr>
          <w:rFonts w:cs="Arial"/>
          <w:sz w:val="18"/>
          <w:szCs w:val="18"/>
        </w:rPr>
        <w:t xml:space="preserve"> </w:t>
      </w:r>
      <w:r w:rsidR="00F723CD">
        <w:rPr>
          <w:rFonts w:cs="Arial"/>
          <w:sz w:val="18"/>
          <w:szCs w:val="18"/>
        </w:rPr>
        <w:t>p</w:t>
      </w:r>
      <w:r w:rsidRPr="00A032F8">
        <w:rPr>
          <w:rFonts w:cs="Arial"/>
          <w:sz w:val="18"/>
          <w:szCs w:val="18"/>
        </w:rPr>
        <w:t xml:space="preserve">odklady </w:t>
      </w:r>
      <w:proofErr w:type="spellStart"/>
      <w:r w:rsidRPr="00A032F8">
        <w:rPr>
          <w:rFonts w:cs="Arial"/>
          <w:sz w:val="18"/>
          <w:szCs w:val="18"/>
        </w:rPr>
        <w:t>MZe</w:t>
      </w:r>
      <w:proofErr w:type="spellEnd"/>
      <w:r w:rsidRPr="00A032F8">
        <w:rPr>
          <w:rFonts w:cs="Arial"/>
          <w:sz w:val="18"/>
          <w:szCs w:val="18"/>
        </w:rPr>
        <w:t>.</w:t>
      </w:r>
    </w:p>
    <w:p w:rsidR="00F723CD" w:rsidRPr="006040CA" w:rsidRDefault="00F723CD" w:rsidP="00DD5E7E">
      <w:pPr>
        <w:ind w:left="567" w:hanging="567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Vysvětlivky:</w:t>
      </w:r>
    </w:p>
    <w:p w:rsidR="00216138" w:rsidRPr="00A032F8" w:rsidRDefault="00216138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1)</w:t>
      </w:r>
      <w:r w:rsidRPr="00A032F8">
        <w:rPr>
          <w:rFonts w:cs="Arial"/>
          <w:sz w:val="18"/>
          <w:szCs w:val="18"/>
        </w:rPr>
        <w:t xml:space="preserve"> Maximální limity </w:t>
      </w:r>
      <w:r w:rsidR="008F3796" w:rsidRPr="00A032F8">
        <w:rPr>
          <w:rFonts w:cs="Arial"/>
          <w:sz w:val="18"/>
          <w:szCs w:val="18"/>
        </w:rPr>
        <w:t>dotací na podpořené akce</w:t>
      </w:r>
      <w:r w:rsidRPr="00A032F8">
        <w:rPr>
          <w:rFonts w:cs="Arial"/>
          <w:sz w:val="18"/>
          <w:szCs w:val="18"/>
        </w:rPr>
        <w:t xml:space="preserve"> podle </w:t>
      </w:r>
      <w:r w:rsidR="00F723CD">
        <w:rPr>
          <w:rFonts w:cs="Arial"/>
          <w:sz w:val="18"/>
          <w:szCs w:val="18"/>
        </w:rPr>
        <w:t>r</w:t>
      </w:r>
      <w:r w:rsidRPr="00A032F8">
        <w:rPr>
          <w:rFonts w:cs="Arial"/>
          <w:sz w:val="18"/>
          <w:szCs w:val="18"/>
        </w:rPr>
        <w:t>ozhodnutí o poskytnutí dotace.</w:t>
      </w:r>
    </w:p>
    <w:p w:rsidR="00216138" w:rsidRPr="00A032F8" w:rsidRDefault="00216138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2)</w:t>
      </w:r>
      <w:r w:rsidR="00307F23" w:rsidRPr="00A032F8">
        <w:rPr>
          <w:rFonts w:cs="Arial"/>
          <w:sz w:val="18"/>
          <w:szCs w:val="18"/>
          <w:vertAlign w:val="superscript"/>
        </w:rPr>
        <w:t xml:space="preserve"> </w:t>
      </w:r>
      <w:r w:rsidRPr="00A032F8">
        <w:rPr>
          <w:rFonts w:cs="Arial"/>
          <w:sz w:val="18"/>
          <w:szCs w:val="18"/>
        </w:rPr>
        <w:t>Úvěr od Evropské investiční banky přijatý na základě zákona č. 572/2006 Sb.</w:t>
      </w:r>
    </w:p>
    <w:p w:rsidR="00AF1907" w:rsidRPr="00A032F8" w:rsidRDefault="00AF1907" w:rsidP="00DD5E7E">
      <w:pPr>
        <w:ind w:left="567" w:hanging="567"/>
        <w:jc w:val="both"/>
        <w:rPr>
          <w:rFonts w:cs="Arial"/>
          <w:sz w:val="18"/>
          <w:szCs w:val="18"/>
        </w:rPr>
      </w:pPr>
      <w:r w:rsidRPr="00A032F8">
        <w:rPr>
          <w:rFonts w:cs="Arial"/>
          <w:sz w:val="18"/>
          <w:szCs w:val="18"/>
          <w:vertAlign w:val="superscript"/>
        </w:rPr>
        <w:t>3)</w:t>
      </w:r>
      <w:r w:rsidR="00307F23" w:rsidRPr="00A032F8">
        <w:rPr>
          <w:rFonts w:cs="Arial"/>
          <w:sz w:val="18"/>
          <w:szCs w:val="18"/>
          <w:vertAlign w:val="superscript"/>
        </w:rPr>
        <w:t xml:space="preserve"> </w:t>
      </w:r>
      <w:r w:rsidRPr="00A032F8">
        <w:rPr>
          <w:rFonts w:cs="Arial"/>
          <w:sz w:val="18"/>
          <w:szCs w:val="18"/>
        </w:rPr>
        <w:t>Prostředky státního rozpočtu</w:t>
      </w:r>
      <w:r w:rsidR="006D206A" w:rsidRPr="00A032F8">
        <w:rPr>
          <w:rFonts w:cs="Arial"/>
          <w:sz w:val="18"/>
          <w:szCs w:val="18"/>
        </w:rPr>
        <w:t>, včetně výnosů z</w:t>
      </w:r>
      <w:r w:rsidR="00785380" w:rsidRPr="00A032F8">
        <w:rPr>
          <w:rFonts w:cs="Arial"/>
          <w:sz w:val="18"/>
          <w:szCs w:val="18"/>
        </w:rPr>
        <w:t xml:space="preserve"> </w:t>
      </w:r>
      <w:r w:rsidR="006D206A" w:rsidRPr="00A032F8">
        <w:rPr>
          <w:rFonts w:cs="Arial"/>
          <w:sz w:val="18"/>
          <w:szCs w:val="18"/>
        </w:rPr>
        <w:t>privatizací</w:t>
      </w:r>
      <w:r w:rsidRPr="00A032F8">
        <w:rPr>
          <w:rFonts w:cs="Arial"/>
          <w:sz w:val="18"/>
          <w:szCs w:val="18"/>
        </w:rPr>
        <w:t>.</w:t>
      </w:r>
    </w:p>
    <w:p w:rsidR="00216138" w:rsidRPr="00A032F8" w:rsidRDefault="001C34AD" w:rsidP="00DD5E7E">
      <w:pPr>
        <w:ind w:left="567" w:hanging="567"/>
        <w:jc w:val="both"/>
        <w:rPr>
          <w:rFonts w:cs="Arial"/>
          <w:sz w:val="20"/>
          <w:szCs w:val="20"/>
        </w:rPr>
      </w:pPr>
      <w:r w:rsidRPr="00A032F8">
        <w:rPr>
          <w:rFonts w:cs="Arial"/>
          <w:sz w:val="20"/>
          <w:szCs w:val="20"/>
          <w:vertAlign w:val="superscript"/>
        </w:rPr>
        <w:t>4)</w:t>
      </w:r>
      <w:r w:rsidRPr="00A032F8">
        <w:rPr>
          <w:rFonts w:cs="Arial"/>
          <w:sz w:val="20"/>
          <w:szCs w:val="20"/>
        </w:rPr>
        <w:t xml:space="preserve"> </w:t>
      </w:r>
      <w:r w:rsidRPr="00A032F8">
        <w:rPr>
          <w:rFonts w:cs="Arial"/>
          <w:sz w:val="18"/>
          <w:szCs w:val="18"/>
        </w:rPr>
        <w:t>Z podprogramu nebyly čerpány žádné finanční prostředky.</w:t>
      </w:r>
    </w:p>
    <w:p w:rsidR="001C34AD" w:rsidRPr="00A032F8" w:rsidRDefault="001C34AD" w:rsidP="001C34AD">
      <w:pPr>
        <w:ind w:left="993" w:hanging="1134"/>
        <w:jc w:val="both"/>
        <w:rPr>
          <w:rFonts w:cs="Arial"/>
          <w:sz w:val="22"/>
          <w:szCs w:val="22"/>
        </w:rPr>
      </w:pPr>
    </w:p>
    <w:p w:rsidR="00216138" w:rsidRPr="00A032F8" w:rsidRDefault="00216138" w:rsidP="00216138">
      <w:pPr>
        <w:jc w:val="both"/>
        <w:rPr>
          <w:rFonts w:cs="Arial"/>
          <w:sz w:val="20"/>
          <w:szCs w:val="20"/>
        </w:rPr>
      </w:pPr>
      <w:r w:rsidRPr="00A032F8">
        <w:rPr>
          <w:rFonts w:cs="Arial"/>
          <w:sz w:val="22"/>
          <w:szCs w:val="22"/>
        </w:rPr>
        <w:t>Ke konci roku 2012 bylo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programu č. 129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1</w:t>
      </w:r>
      <w:r w:rsidR="0022430D" w:rsidRPr="00A032F8">
        <w:rPr>
          <w:rFonts w:cs="Arial"/>
          <w:sz w:val="22"/>
          <w:szCs w:val="22"/>
        </w:rPr>
        <w:t>3</w:t>
      </w:r>
      <w:r w:rsidRPr="00A032F8">
        <w:rPr>
          <w:rFonts w:cs="Arial"/>
          <w:sz w:val="22"/>
          <w:szCs w:val="22"/>
        </w:rPr>
        <w:t xml:space="preserve">0 vyčerpáno </w:t>
      </w:r>
      <w:r w:rsidR="0022430D" w:rsidRPr="00A032F8">
        <w:rPr>
          <w:rFonts w:cs="Arial"/>
          <w:sz w:val="22"/>
          <w:szCs w:val="22"/>
        </w:rPr>
        <w:t>78</w:t>
      </w:r>
      <w:r w:rsidRPr="00A032F8">
        <w:rPr>
          <w:rFonts w:cs="Arial"/>
          <w:sz w:val="22"/>
          <w:szCs w:val="22"/>
        </w:rPr>
        <w:t>,</w:t>
      </w:r>
      <w:r w:rsidR="0022430D" w:rsidRPr="00A032F8">
        <w:rPr>
          <w:rFonts w:cs="Arial"/>
          <w:sz w:val="22"/>
          <w:szCs w:val="22"/>
        </w:rPr>
        <w:t>3</w:t>
      </w:r>
      <w:r w:rsidRPr="00A032F8">
        <w:rPr>
          <w:rFonts w:cs="Arial"/>
          <w:sz w:val="22"/>
          <w:szCs w:val="22"/>
        </w:rPr>
        <w:t xml:space="preserve"> % celkové předpokládané potřeby finančních prostředků </w:t>
      </w:r>
      <w:r w:rsidR="0022430D" w:rsidRPr="00A032F8">
        <w:rPr>
          <w:rFonts w:cs="Arial"/>
          <w:sz w:val="22"/>
          <w:szCs w:val="22"/>
        </w:rPr>
        <w:t>snížené</w:t>
      </w:r>
      <w:r w:rsidRPr="00A032F8">
        <w:rPr>
          <w:rFonts w:cs="Arial"/>
          <w:sz w:val="22"/>
          <w:szCs w:val="22"/>
        </w:rPr>
        <w:t xml:space="preserve"> v</w:t>
      </w:r>
      <w:r w:rsidR="00785380" w:rsidRPr="00A032F8">
        <w:rPr>
          <w:rFonts w:cs="Arial"/>
          <w:sz w:val="22"/>
          <w:szCs w:val="22"/>
        </w:rPr>
        <w:t xml:space="preserve"> </w:t>
      </w:r>
      <w:r w:rsidR="0022430D" w:rsidRPr="00A032F8">
        <w:rPr>
          <w:rFonts w:cs="Arial"/>
          <w:sz w:val="22"/>
          <w:szCs w:val="22"/>
        </w:rPr>
        <w:t>dubnu</w:t>
      </w:r>
      <w:r w:rsidRPr="00A032F8">
        <w:rPr>
          <w:rFonts w:cs="Arial"/>
          <w:sz w:val="22"/>
          <w:szCs w:val="22"/>
        </w:rPr>
        <w:t xml:space="preserve"> 2010 </w:t>
      </w:r>
      <w:r w:rsidR="0022430D" w:rsidRPr="00A032F8">
        <w:rPr>
          <w:rFonts w:cs="Arial"/>
          <w:sz w:val="22"/>
          <w:szCs w:val="22"/>
        </w:rPr>
        <w:t>změnou dokumentace programu o </w:t>
      </w:r>
      <w:r w:rsidRPr="00A032F8">
        <w:rPr>
          <w:rFonts w:cs="Arial"/>
          <w:sz w:val="22"/>
          <w:szCs w:val="22"/>
        </w:rPr>
        <w:t>1 </w:t>
      </w:r>
      <w:r w:rsidR="0022430D" w:rsidRPr="00A032F8">
        <w:rPr>
          <w:rFonts w:cs="Arial"/>
          <w:sz w:val="22"/>
          <w:szCs w:val="22"/>
        </w:rPr>
        <w:t>250</w:t>
      </w:r>
      <w:r w:rsidRPr="00A032F8">
        <w:rPr>
          <w:rFonts w:cs="Arial"/>
          <w:sz w:val="22"/>
          <w:szCs w:val="22"/>
        </w:rPr>
        <w:t xml:space="preserve"> mil. Kč.</w:t>
      </w:r>
    </w:p>
    <w:p w:rsidR="00E624ED" w:rsidRPr="00A032F8" w:rsidRDefault="00E624ED" w:rsidP="00216138">
      <w:pPr>
        <w:jc w:val="both"/>
        <w:rPr>
          <w:rFonts w:cs="Arial"/>
          <w:sz w:val="22"/>
          <w:szCs w:val="22"/>
        </w:rPr>
      </w:pPr>
    </w:p>
    <w:p w:rsidR="002F295F" w:rsidRPr="00A032F8" w:rsidRDefault="00731802" w:rsidP="002F295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c)</w:t>
      </w:r>
      <w:r w:rsidRPr="00A032F8">
        <w:rPr>
          <w:rFonts w:cs="Arial"/>
          <w:sz w:val="22"/>
          <w:szCs w:val="22"/>
        </w:rPr>
        <w:t xml:space="preserve"> </w:t>
      </w:r>
      <w:r w:rsidR="00CA647A" w:rsidRPr="00A032F8">
        <w:rPr>
          <w:rFonts w:cs="Arial"/>
          <w:sz w:val="22"/>
          <w:szCs w:val="22"/>
        </w:rPr>
        <w:t>Ž</w:t>
      </w:r>
      <w:r w:rsidRPr="00A032F8">
        <w:rPr>
          <w:rFonts w:cs="Arial"/>
          <w:sz w:val="22"/>
          <w:szCs w:val="22"/>
        </w:rPr>
        <w:t xml:space="preserve">ádosti o </w:t>
      </w:r>
      <w:r w:rsidR="00E81863" w:rsidRPr="00A032F8">
        <w:rPr>
          <w:rFonts w:cs="Arial"/>
          <w:sz w:val="22"/>
          <w:szCs w:val="22"/>
        </w:rPr>
        <w:t>zařazení akcí do programu č. 129 130</w:t>
      </w:r>
      <w:r w:rsidRPr="00A032F8">
        <w:rPr>
          <w:rFonts w:cs="Arial"/>
          <w:sz w:val="22"/>
          <w:szCs w:val="22"/>
        </w:rPr>
        <w:t xml:space="preserve"> </w:t>
      </w:r>
      <w:r w:rsidR="00FD2000" w:rsidRPr="00A032F8">
        <w:rPr>
          <w:rFonts w:cs="Arial"/>
          <w:sz w:val="22"/>
          <w:szCs w:val="22"/>
        </w:rPr>
        <w:t>posuzoval strategický expert</w:t>
      </w:r>
      <w:r w:rsidRPr="00A032F8">
        <w:rPr>
          <w:rFonts w:cs="Arial"/>
          <w:sz w:val="22"/>
          <w:szCs w:val="22"/>
        </w:rPr>
        <w:t xml:space="preserve"> </w:t>
      </w:r>
      <w:r w:rsidR="00CA647A" w:rsidRPr="00A032F8">
        <w:rPr>
          <w:rFonts w:cs="Arial"/>
          <w:sz w:val="22"/>
          <w:szCs w:val="22"/>
        </w:rPr>
        <w:t>podle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i/>
          <w:sz w:val="22"/>
          <w:szCs w:val="22"/>
        </w:rPr>
        <w:t>Metodiky pro posuzování akcí zařazených do programu 129</w:t>
      </w:r>
      <w:r w:rsidR="00785380" w:rsidRPr="00A032F8">
        <w:rPr>
          <w:rFonts w:cs="Arial"/>
          <w:i/>
          <w:sz w:val="22"/>
          <w:szCs w:val="22"/>
        </w:rPr>
        <w:t xml:space="preserve"> </w:t>
      </w:r>
      <w:r w:rsidRPr="00A032F8">
        <w:rPr>
          <w:rFonts w:cs="Arial"/>
          <w:i/>
          <w:sz w:val="22"/>
          <w:szCs w:val="22"/>
        </w:rPr>
        <w:t>130 „Podpora obnovy, odbahnění a rekonstrukce rybníků a výstavby vodních nádrží“</w:t>
      </w:r>
      <w:r w:rsidRPr="00A032F8">
        <w:rPr>
          <w:rFonts w:cs="Arial"/>
          <w:sz w:val="22"/>
          <w:szCs w:val="22"/>
        </w:rPr>
        <w:t xml:space="preserve">. </w:t>
      </w:r>
      <w:r w:rsidR="00E81863" w:rsidRPr="00A032F8">
        <w:rPr>
          <w:rFonts w:cs="Arial"/>
          <w:sz w:val="22"/>
          <w:szCs w:val="22"/>
        </w:rPr>
        <w:t>H</w:t>
      </w:r>
      <w:r w:rsidRPr="00A032F8">
        <w:rPr>
          <w:rFonts w:cs="Arial"/>
          <w:sz w:val="22"/>
          <w:szCs w:val="22"/>
        </w:rPr>
        <w:t>odnocen</w:t>
      </w:r>
      <w:r w:rsidR="00E81863" w:rsidRPr="00A032F8">
        <w:rPr>
          <w:rFonts w:cs="Arial"/>
          <w:sz w:val="22"/>
          <w:szCs w:val="22"/>
        </w:rPr>
        <w:t>y byly</w:t>
      </w:r>
      <w:r w:rsidR="00F60285" w:rsidRPr="00A032F8">
        <w:rPr>
          <w:rFonts w:cs="Arial"/>
          <w:sz w:val="22"/>
          <w:szCs w:val="22"/>
        </w:rPr>
        <w:t xml:space="preserve"> ochranný účinek transformace</w:t>
      </w:r>
      <w:r w:rsidRPr="00A032F8">
        <w:rPr>
          <w:rFonts w:cs="Arial"/>
          <w:sz w:val="22"/>
          <w:szCs w:val="22"/>
        </w:rPr>
        <w:t xml:space="preserve"> průběh</w:t>
      </w:r>
      <w:r w:rsidR="00F60285" w:rsidRPr="00A032F8">
        <w:rPr>
          <w:rFonts w:cs="Arial"/>
          <w:sz w:val="22"/>
          <w:szCs w:val="22"/>
        </w:rPr>
        <w:t>u</w:t>
      </w:r>
      <w:r w:rsidRPr="00A032F8">
        <w:rPr>
          <w:rFonts w:cs="Arial"/>
          <w:sz w:val="22"/>
          <w:szCs w:val="22"/>
        </w:rPr>
        <w:t xml:space="preserve"> povodňových vln, bezpečnost při povodních, zásobní funkce navržených akcí, ekonomické ukazatele a kvalita technického řešení. </w:t>
      </w:r>
    </w:p>
    <w:p w:rsidR="00E624ED" w:rsidRPr="00A032F8" w:rsidRDefault="00E624ED" w:rsidP="001671F8">
      <w:pPr>
        <w:jc w:val="both"/>
        <w:rPr>
          <w:rFonts w:cs="Arial"/>
          <w:sz w:val="22"/>
          <w:szCs w:val="22"/>
        </w:rPr>
      </w:pPr>
    </w:p>
    <w:p w:rsidR="00AD6122" w:rsidRPr="00A032F8" w:rsidRDefault="00474487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Smlouvu na činnost strategického experta </w:t>
      </w:r>
      <w:r w:rsidR="00000ADF" w:rsidRPr="00A032F8">
        <w:rPr>
          <w:rFonts w:cs="Arial"/>
          <w:sz w:val="22"/>
          <w:szCs w:val="22"/>
        </w:rPr>
        <w:t xml:space="preserve">uzavřelo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</w:t>
      </w:r>
      <w:r w:rsidR="003A0B55" w:rsidRPr="00A032F8">
        <w:rPr>
          <w:rFonts w:cs="Arial"/>
          <w:sz w:val="22"/>
          <w:szCs w:val="22"/>
        </w:rPr>
        <w:t>v květnu 2007 na základě soutěže o </w:t>
      </w:r>
      <w:r w:rsidR="006870EA" w:rsidRPr="00A032F8">
        <w:rPr>
          <w:rFonts w:cs="Arial"/>
          <w:sz w:val="22"/>
          <w:szCs w:val="22"/>
        </w:rPr>
        <w:t>návrh se sdružením</w:t>
      </w:r>
      <w:r w:rsidR="00AD6122" w:rsidRPr="00A032F8">
        <w:rPr>
          <w:rFonts w:cs="Arial"/>
          <w:sz w:val="22"/>
          <w:szCs w:val="22"/>
        </w:rPr>
        <w:t xml:space="preserve"> </w:t>
      </w:r>
      <w:r w:rsidR="006870EA" w:rsidRPr="00A032F8">
        <w:rPr>
          <w:rFonts w:cs="Arial"/>
          <w:sz w:val="22"/>
          <w:szCs w:val="22"/>
        </w:rPr>
        <w:t xml:space="preserve">tvořeným vysokou školou a </w:t>
      </w:r>
      <w:r w:rsidR="001C34AD" w:rsidRPr="00A032F8">
        <w:rPr>
          <w:rFonts w:cs="Arial"/>
          <w:sz w:val="22"/>
          <w:szCs w:val="22"/>
        </w:rPr>
        <w:t xml:space="preserve">obchodní </w:t>
      </w:r>
      <w:r w:rsidR="006870EA" w:rsidRPr="00A032F8">
        <w:rPr>
          <w:rFonts w:cs="Arial"/>
          <w:sz w:val="22"/>
          <w:szCs w:val="22"/>
        </w:rPr>
        <w:t>společností</w:t>
      </w:r>
      <w:r w:rsidR="00242D08" w:rsidRPr="00A032F8">
        <w:rPr>
          <w:rFonts w:cs="Arial"/>
          <w:sz w:val="22"/>
          <w:szCs w:val="22"/>
        </w:rPr>
        <w:t>. Dokumentaci</w:t>
      </w:r>
      <w:r w:rsidR="00000ADF" w:rsidRPr="00A032F8">
        <w:rPr>
          <w:rFonts w:cs="Arial"/>
          <w:sz w:val="22"/>
          <w:szCs w:val="22"/>
        </w:rPr>
        <w:t xml:space="preserve"> k</w:t>
      </w:r>
      <w:r w:rsidR="00311DAB" w:rsidRPr="00A032F8">
        <w:rPr>
          <w:rFonts w:cs="Arial"/>
          <w:sz w:val="22"/>
          <w:szCs w:val="22"/>
        </w:rPr>
        <w:t> </w:t>
      </w:r>
      <w:r w:rsidR="00000ADF" w:rsidRPr="00A032F8">
        <w:rPr>
          <w:rFonts w:cs="Arial"/>
          <w:sz w:val="22"/>
          <w:szCs w:val="22"/>
        </w:rPr>
        <w:t>této veřejné zakázce</w:t>
      </w:r>
      <w:r w:rsidR="00462588" w:rsidRPr="00A032F8">
        <w:rPr>
          <w:rFonts w:cs="Arial"/>
          <w:sz w:val="22"/>
          <w:szCs w:val="22"/>
        </w:rPr>
        <w:t xml:space="preserve"> </w:t>
      </w:r>
      <w:proofErr w:type="spellStart"/>
      <w:r w:rsidR="00462588" w:rsidRPr="00A032F8">
        <w:rPr>
          <w:rFonts w:cs="Arial"/>
          <w:sz w:val="22"/>
          <w:szCs w:val="22"/>
        </w:rPr>
        <w:t>MZe</w:t>
      </w:r>
      <w:proofErr w:type="spellEnd"/>
      <w:r w:rsidR="00000ADF" w:rsidRPr="00A032F8">
        <w:rPr>
          <w:rFonts w:cs="Arial"/>
          <w:sz w:val="22"/>
          <w:szCs w:val="22"/>
        </w:rPr>
        <w:t xml:space="preserve"> nedoložilo</w:t>
      </w:r>
      <w:r w:rsidR="00CE4C4E">
        <w:rPr>
          <w:rFonts w:cs="Arial"/>
          <w:sz w:val="22"/>
          <w:szCs w:val="22"/>
        </w:rPr>
        <w:t>.</w:t>
      </w:r>
      <w:r w:rsidR="00FE023F" w:rsidRPr="00F723CD">
        <w:rPr>
          <w:rFonts w:cs="Arial"/>
          <w:sz w:val="22"/>
          <w:szCs w:val="22"/>
        </w:rPr>
        <w:t xml:space="preserve"> </w:t>
      </w:r>
      <w:r w:rsidR="00CE4C4E">
        <w:rPr>
          <w:rFonts w:cs="Arial"/>
          <w:sz w:val="22"/>
          <w:szCs w:val="22"/>
        </w:rPr>
        <w:t>P</w:t>
      </w:r>
      <w:r w:rsidR="00FE023F" w:rsidRPr="00A032F8">
        <w:rPr>
          <w:rFonts w:cs="Arial"/>
          <w:sz w:val="22"/>
          <w:szCs w:val="22"/>
        </w:rPr>
        <w:t>odle</w:t>
      </w:r>
      <w:r w:rsidR="00FE023F" w:rsidRPr="00A032F8">
        <w:rPr>
          <w:rFonts w:cs="Arial"/>
          <w:sz w:val="22"/>
          <w:szCs w:val="22"/>
        </w:rPr>
        <w:t xml:space="preserve"> § 155 zákona č.</w:t>
      </w:r>
      <w:r w:rsidR="00785380" w:rsidRPr="00A032F8">
        <w:rPr>
          <w:rFonts w:cs="Arial"/>
          <w:sz w:val="22"/>
          <w:szCs w:val="22"/>
        </w:rPr>
        <w:t xml:space="preserve"> </w:t>
      </w:r>
      <w:r w:rsidR="00FE023F" w:rsidRPr="00A032F8">
        <w:rPr>
          <w:rFonts w:cs="Arial"/>
          <w:sz w:val="22"/>
          <w:szCs w:val="22"/>
        </w:rPr>
        <w:t>137/2006 Sb. má zadavatel uchovávat</w:t>
      </w:r>
      <w:r w:rsidR="00462588" w:rsidRPr="00A032F8">
        <w:rPr>
          <w:rFonts w:cs="Arial"/>
          <w:sz w:val="22"/>
          <w:szCs w:val="22"/>
        </w:rPr>
        <w:t xml:space="preserve"> tuto</w:t>
      </w:r>
      <w:r w:rsidR="00FE023F" w:rsidRPr="00A032F8">
        <w:rPr>
          <w:rFonts w:cs="Arial"/>
          <w:sz w:val="22"/>
          <w:szCs w:val="22"/>
        </w:rPr>
        <w:t xml:space="preserve"> dokumentaci po dobu pěti let od uzavření smlouvy nebo její změny</w:t>
      </w:r>
      <w:r w:rsidR="00CE4C4E">
        <w:rPr>
          <w:rFonts w:cs="Arial"/>
          <w:sz w:val="22"/>
          <w:szCs w:val="22"/>
        </w:rPr>
        <w:t>.</w:t>
      </w:r>
      <w:r w:rsidR="00000ADF" w:rsidRPr="00A032F8">
        <w:rPr>
          <w:rFonts w:cs="Arial"/>
          <w:sz w:val="22"/>
          <w:szCs w:val="22"/>
        </w:rPr>
        <w:t xml:space="preserve"> </w:t>
      </w:r>
      <w:proofErr w:type="spellStart"/>
      <w:r w:rsidR="003A0B55" w:rsidRPr="00A032F8">
        <w:rPr>
          <w:rFonts w:cs="Arial"/>
          <w:sz w:val="22"/>
          <w:szCs w:val="22"/>
        </w:rPr>
        <w:t>MZe</w:t>
      </w:r>
      <w:proofErr w:type="spellEnd"/>
      <w:r w:rsidR="003A0B55" w:rsidRPr="00A032F8">
        <w:rPr>
          <w:rFonts w:cs="Arial"/>
          <w:sz w:val="22"/>
          <w:szCs w:val="22"/>
        </w:rPr>
        <w:t xml:space="preserve"> uhradilo v letech 2007 až 2012 expertovi 2 495 tis. Kč</w:t>
      </w:r>
      <w:r w:rsidR="00804B21" w:rsidRPr="00A032F8">
        <w:rPr>
          <w:rFonts w:cs="Arial"/>
          <w:sz w:val="22"/>
          <w:szCs w:val="22"/>
        </w:rPr>
        <w:t xml:space="preserve"> </w:t>
      </w:r>
      <w:r w:rsidR="00E81863" w:rsidRPr="00A032F8">
        <w:rPr>
          <w:rFonts w:cs="Arial"/>
          <w:sz w:val="22"/>
          <w:szCs w:val="22"/>
        </w:rPr>
        <w:t>za posouzení 387 akcí</w:t>
      </w:r>
      <w:r w:rsidR="00FE023F" w:rsidRPr="00A032F8">
        <w:rPr>
          <w:rFonts w:cs="Arial"/>
          <w:sz w:val="22"/>
          <w:szCs w:val="22"/>
        </w:rPr>
        <w:t>.</w:t>
      </w:r>
      <w:r w:rsidR="003A0B55" w:rsidRPr="00A032F8">
        <w:rPr>
          <w:rFonts w:cs="Arial"/>
          <w:sz w:val="22"/>
          <w:szCs w:val="22"/>
        </w:rPr>
        <w:t xml:space="preserve"> </w:t>
      </w:r>
      <w:r w:rsidR="0002450C" w:rsidRPr="00A032F8">
        <w:rPr>
          <w:rFonts w:cs="Arial"/>
          <w:sz w:val="22"/>
          <w:szCs w:val="22"/>
        </w:rPr>
        <w:t xml:space="preserve"> </w:t>
      </w:r>
      <w:r w:rsidR="006870EA" w:rsidRPr="00A032F8">
        <w:rPr>
          <w:rFonts w:cs="Arial"/>
          <w:sz w:val="22"/>
          <w:szCs w:val="22"/>
        </w:rPr>
        <w:t xml:space="preserve"> </w:t>
      </w:r>
    </w:p>
    <w:p w:rsidR="00AD6122" w:rsidRPr="00A032F8" w:rsidRDefault="00AD6122" w:rsidP="001671F8">
      <w:pPr>
        <w:jc w:val="both"/>
        <w:rPr>
          <w:rFonts w:cs="Arial"/>
          <w:sz w:val="22"/>
          <w:szCs w:val="22"/>
        </w:rPr>
      </w:pPr>
    </w:p>
    <w:p w:rsidR="00FE023F" w:rsidRPr="00A032F8" w:rsidRDefault="00AD6122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V roce 2008 </w:t>
      </w:r>
      <w:r w:rsidR="00C078B0" w:rsidRPr="00A032F8">
        <w:rPr>
          <w:rFonts w:cs="Arial"/>
          <w:sz w:val="22"/>
          <w:szCs w:val="22"/>
        </w:rPr>
        <w:t xml:space="preserve">doporučila Evropská investiční banka vybrat jiného strategického experta, neboť </w:t>
      </w:r>
      <w:r w:rsidR="001C34AD" w:rsidRPr="00A032F8">
        <w:rPr>
          <w:rFonts w:cs="Arial"/>
          <w:sz w:val="22"/>
          <w:szCs w:val="22"/>
        </w:rPr>
        <w:t xml:space="preserve">obchodní </w:t>
      </w:r>
      <w:r w:rsidR="00C078B0" w:rsidRPr="00A032F8">
        <w:rPr>
          <w:rFonts w:cs="Arial"/>
          <w:sz w:val="22"/>
          <w:szCs w:val="22"/>
        </w:rPr>
        <w:t xml:space="preserve">společnost byla i zpracovatelem projektových dokumentací některých akcí. </w:t>
      </w:r>
      <w:proofErr w:type="spellStart"/>
      <w:r w:rsidR="00C078B0" w:rsidRPr="00A032F8">
        <w:rPr>
          <w:rFonts w:cs="Arial"/>
          <w:sz w:val="22"/>
          <w:szCs w:val="22"/>
        </w:rPr>
        <w:t>MZe</w:t>
      </w:r>
      <w:proofErr w:type="spellEnd"/>
      <w:r w:rsidR="00C078B0" w:rsidRPr="00A032F8">
        <w:rPr>
          <w:rFonts w:cs="Arial"/>
          <w:sz w:val="22"/>
          <w:szCs w:val="22"/>
        </w:rPr>
        <w:t xml:space="preserve"> proto vybralo na základě výzvy pěti zájemcům nového strategického experta, kterým se stal druhý </w:t>
      </w:r>
      <w:r w:rsidR="00804B21" w:rsidRPr="00A032F8">
        <w:rPr>
          <w:rFonts w:cs="Arial"/>
          <w:sz w:val="22"/>
          <w:szCs w:val="22"/>
        </w:rPr>
        <w:t>člen</w:t>
      </w:r>
      <w:r w:rsidR="00C078B0" w:rsidRPr="00A032F8">
        <w:rPr>
          <w:rFonts w:cs="Arial"/>
          <w:sz w:val="22"/>
          <w:szCs w:val="22"/>
        </w:rPr>
        <w:t xml:space="preserve"> sdružení </w:t>
      </w:r>
      <w:r w:rsidR="00CE4C4E">
        <w:rPr>
          <w:rFonts w:cs="Arial"/>
          <w:sz w:val="22"/>
          <w:szCs w:val="22"/>
        </w:rPr>
        <w:t>–</w:t>
      </w:r>
      <w:r w:rsidR="00C078B0" w:rsidRPr="00A032F8">
        <w:rPr>
          <w:rFonts w:cs="Arial"/>
          <w:sz w:val="22"/>
          <w:szCs w:val="22"/>
        </w:rPr>
        <w:t xml:space="preserve"> vysoká škola. Šlo však o formální krok, neboť nový strategický expert posuzoval jen dvě akce, za což mu </w:t>
      </w:r>
      <w:proofErr w:type="spellStart"/>
      <w:r w:rsidR="00C078B0" w:rsidRPr="00A032F8">
        <w:rPr>
          <w:rFonts w:cs="Arial"/>
          <w:sz w:val="22"/>
          <w:szCs w:val="22"/>
        </w:rPr>
        <w:t>MZe</w:t>
      </w:r>
      <w:proofErr w:type="spellEnd"/>
      <w:r w:rsidR="00C078B0" w:rsidRPr="00A032F8">
        <w:rPr>
          <w:rFonts w:cs="Arial"/>
          <w:sz w:val="22"/>
          <w:szCs w:val="22"/>
        </w:rPr>
        <w:t xml:space="preserve"> uhradilo 15 tis. Kč. </w:t>
      </w:r>
    </w:p>
    <w:p w:rsidR="001A40D3" w:rsidRPr="00A032F8" w:rsidRDefault="001A40D3" w:rsidP="001671F8">
      <w:pPr>
        <w:jc w:val="both"/>
        <w:rPr>
          <w:rFonts w:cs="Arial"/>
          <w:sz w:val="22"/>
          <w:szCs w:val="22"/>
        </w:rPr>
      </w:pPr>
    </w:p>
    <w:p w:rsidR="008A6C63" w:rsidRPr="00A032F8" w:rsidRDefault="002F295F" w:rsidP="001671F8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3</w:t>
      </w:r>
      <w:r w:rsidR="00E01C18" w:rsidRPr="00A032F8">
        <w:rPr>
          <w:rFonts w:cs="Arial"/>
          <w:b/>
          <w:sz w:val="22"/>
          <w:szCs w:val="22"/>
        </w:rPr>
        <w:t>. Příjemci dotací – účastn</w:t>
      </w:r>
      <w:r w:rsidR="007134D1" w:rsidRPr="00A032F8">
        <w:rPr>
          <w:rFonts w:cs="Arial"/>
          <w:b/>
          <w:sz w:val="22"/>
          <w:szCs w:val="22"/>
        </w:rPr>
        <w:t>íci programů č. 129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="007134D1" w:rsidRPr="00A032F8">
        <w:rPr>
          <w:rFonts w:cs="Arial"/>
          <w:b/>
          <w:sz w:val="22"/>
          <w:szCs w:val="22"/>
        </w:rPr>
        <w:t>120 a</w:t>
      </w:r>
      <w:r w:rsidR="00804B21" w:rsidRPr="00A032F8">
        <w:rPr>
          <w:rFonts w:cs="Arial"/>
          <w:b/>
          <w:sz w:val="22"/>
          <w:szCs w:val="22"/>
        </w:rPr>
        <w:t xml:space="preserve"> č.</w:t>
      </w:r>
      <w:r w:rsidR="007134D1" w:rsidRPr="00A032F8">
        <w:rPr>
          <w:rFonts w:cs="Arial"/>
          <w:b/>
          <w:sz w:val="22"/>
          <w:szCs w:val="22"/>
        </w:rPr>
        <w:t xml:space="preserve"> 129</w:t>
      </w:r>
      <w:r w:rsidR="00E01C18" w:rsidRPr="00A032F8">
        <w:rPr>
          <w:rFonts w:cs="Arial"/>
          <w:b/>
          <w:sz w:val="22"/>
          <w:szCs w:val="22"/>
        </w:rPr>
        <w:t xml:space="preserve"> 130</w:t>
      </w:r>
    </w:p>
    <w:p w:rsidR="00DB275F" w:rsidRPr="00A032F8" w:rsidRDefault="00DB275F" w:rsidP="001671F8">
      <w:pPr>
        <w:jc w:val="both"/>
        <w:rPr>
          <w:rFonts w:cs="Arial"/>
          <w:sz w:val="22"/>
          <w:szCs w:val="22"/>
        </w:rPr>
      </w:pPr>
    </w:p>
    <w:p w:rsidR="001A0BD8" w:rsidRPr="00A032F8" w:rsidRDefault="007134D1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Příjemci dotací realizovali 33 </w:t>
      </w:r>
      <w:r w:rsidR="00B941B4" w:rsidRPr="00A032F8">
        <w:rPr>
          <w:rFonts w:cs="Arial"/>
          <w:sz w:val="22"/>
          <w:szCs w:val="22"/>
        </w:rPr>
        <w:t xml:space="preserve">kontrolovaných </w:t>
      </w:r>
      <w:r w:rsidRPr="00A032F8">
        <w:rPr>
          <w:rFonts w:cs="Arial"/>
          <w:sz w:val="22"/>
          <w:szCs w:val="22"/>
        </w:rPr>
        <w:t>akcí</w:t>
      </w:r>
      <w:r w:rsidR="0002450C" w:rsidRPr="00A032F8">
        <w:rPr>
          <w:rFonts w:cs="Arial"/>
          <w:sz w:val="22"/>
          <w:szCs w:val="22"/>
        </w:rPr>
        <w:t xml:space="preserve"> o celkových nákladech 2</w:t>
      </w:r>
      <w:r w:rsidR="00785380" w:rsidRPr="00A032F8">
        <w:rPr>
          <w:rFonts w:cs="Arial"/>
          <w:sz w:val="22"/>
          <w:szCs w:val="22"/>
        </w:rPr>
        <w:t xml:space="preserve"> </w:t>
      </w:r>
      <w:r w:rsidR="001C72BF" w:rsidRPr="00A032F8">
        <w:rPr>
          <w:rFonts w:cs="Arial"/>
          <w:sz w:val="22"/>
          <w:szCs w:val="22"/>
        </w:rPr>
        <w:t>631</w:t>
      </w:r>
      <w:r w:rsidR="0002450C" w:rsidRPr="00A032F8">
        <w:rPr>
          <w:rFonts w:cs="Arial"/>
          <w:sz w:val="22"/>
          <w:szCs w:val="22"/>
        </w:rPr>
        <w:t xml:space="preserve"> </w:t>
      </w:r>
      <w:r w:rsidR="00AE05F5" w:rsidRPr="00A032F8">
        <w:rPr>
          <w:rFonts w:cs="Arial"/>
          <w:sz w:val="22"/>
          <w:szCs w:val="22"/>
        </w:rPr>
        <w:t>mil</w:t>
      </w:r>
      <w:r w:rsidR="0002450C" w:rsidRPr="00A032F8">
        <w:rPr>
          <w:rFonts w:cs="Arial"/>
          <w:sz w:val="22"/>
          <w:szCs w:val="22"/>
        </w:rPr>
        <w:t>. Kč</w:t>
      </w:r>
      <w:r w:rsidRPr="00A032F8">
        <w:rPr>
          <w:rFonts w:cs="Arial"/>
          <w:sz w:val="22"/>
          <w:szCs w:val="22"/>
        </w:rPr>
        <w:t xml:space="preserve"> s parametry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souladu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rozhodnutími o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poskytnutí dotace, resp. jejich změn</w:t>
      </w:r>
      <w:r w:rsidR="0002450C" w:rsidRPr="00A032F8">
        <w:rPr>
          <w:rFonts w:cs="Arial"/>
          <w:sz w:val="22"/>
          <w:szCs w:val="22"/>
        </w:rPr>
        <w:t>ami</w:t>
      </w:r>
      <w:r w:rsidRPr="00A032F8">
        <w:rPr>
          <w:rFonts w:cs="Arial"/>
          <w:sz w:val="22"/>
          <w:szCs w:val="22"/>
        </w:rPr>
        <w:t>.</w:t>
      </w:r>
      <w:r w:rsidR="00A504A0" w:rsidRPr="00A032F8">
        <w:rPr>
          <w:rFonts w:cs="Arial"/>
          <w:sz w:val="22"/>
          <w:szCs w:val="22"/>
        </w:rPr>
        <w:t xml:space="preserve"> Nedostatky</w:t>
      </w:r>
      <w:r w:rsidRPr="00A032F8">
        <w:rPr>
          <w:rFonts w:cs="Arial"/>
          <w:sz w:val="22"/>
          <w:szCs w:val="22"/>
        </w:rPr>
        <w:t xml:space="preserve"> </w:t>
      </w:r>
      <w:r w:rsidR="00A504A0" w:rsidRPr="00A032F8">
        <w:rPr>
          <w:rFonts w:cs="Arial"/>
          <w:sz w:val="22"/>
          <w:szCs w:val="22"/>
        </w:rPr>
        <w:t>byly zjištěny v</w:t>
      </w:r>
      <w:r w:rsidR="00785380" w:rsidRPr="00A032F8">
        <w:rPr>
          <w:rFonts w:cs="Arial"/>
          <w:sz w:val="22"/>
          <w:szCs w:val="22"/>
        </w:rPr>
        <w:t xml:space="preserve"> </w:t>
      </w:r>
      <w:r w:rsidR="00A504A0" w:rsidRPr="00A032F8">
        <w:rPr>
          <w:rFonts w:cs="Arial"/>
          <w:sz w:val="22"/>
          <w:szCs w:val="22"/>
        </w:rPr>
        <w:t>zadávacích řízeních na výběr dodavatele akcí a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jednom případě</w:t>
      </w:r>
      <w:r w:rsidR="00A504A0" w:rsidRPr="00A032F8">
        <w:rPr>
          <w:rFonts w:cs="Arial"/>
          <w:sz w:val="22"/>
          <w:szCs w:val="22"/>
        </w:rPr>
        <w:t xml:space="preserve"> i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</w:t>
      </w:r>
      <w:r w:rsidR="00785380" w:rsidRPr="00A032F8">
        <w:rPr>
          <w:rFonts w:cs="Arial"/>
          <w:sz w:val="22"/>
          <w:szCs w:val="22"/>
        </w:rPr>
        <w:t xml:space="preserve"> </w:t>
      </w:r>
      <w:r w:rsidR="00A504A0" w:rsidRPr="00A032F8">
        <w:rPr>
          <w:rFonts w:cs="Arial"/>
          <w:sz w:val="22"/>
          <w:szCs w:val="22"/>
        </w:rPr>
        <w:t>průběhu</w:t>
      </w:r>
      <w:r w:rsidR="00785380" w:rsidRPr="00A032F8">
        <w:rPr>
          <w:rFonts w:cs="Arial"/>
          <w:sz w:val="22"/>
          <w:szCs w:val="22"/>
        </w:rPr>
        <w:t xml:space="preserve"> </w:t>
      </w:r>
      <w:r w:rsidR="00A504A0" w:rsidRPr="00A032F8">
        <w:rPr>
          <w:rFonts w:cs="Arial"/>
          <w:sz w:val="22"/>
          <w:szCs w:val="22"/>
        </w:rPr>
        <w:t>přípravy</w:t>
      </w:r>
      <w:r w:rsidRPr="00A032F8">
        <w:rPr>
          <w:rFonts w:cs="Arial"/>
          <w:sz w:val="22"/>
          <w:szCs w:val="22"/>
        </w:rPr>
        <w:t xml:space="preserve"> akce.</w:t>
      </w:r>
    </w:p>
    <w:p w:rsidR="007134D1" w:rsidRPr="00A032F8" w:rsidRDefault="007134D1" w:rsidP="001671F8">
      <w:pPr>
        <w:jc w:val="both"/>
        <w:rPr>
          <w:rFonts w:cs="Arial"/>
          <w:sz w:val="22"/>
          <w:szCs w:val="22"/>
        </w:rPr>
      </w:pPr>
    </w:p>
    <w:p w:rsidR="00A504A0" w:rsidRPr="00A032F8" w:rsidRDefault="00A504A0" w:rsidP="00A504A0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3.1</w:t>
      </w:r>
      <w:r w:rsidRPr="00A032F8">
        <w:rPr>
          <w:rFonts w:cs="Arial"/>
          <w:sz w:val="22"/>
          <w:szCs w:val="22"/>
        </w:rPr>
        <w:t xml:space="preserve"> Kontrolou průběhu zadávacích řízení na výběr dodavatelů akcí bylo zjištěno:</w:t>
      </w:r>
    </w:p>
    <w:p w:rsidR="00A504A0" w:rsidRPr="00A032F8" w:rsidRDefault="00A504A0" w:rsidP="00A504A0">
      <w:pPr>
        <w:jc w:val="both"/>
        <w:rPr>
          <w:rFonts w:cs="Arial"/>
          <w:sz w:val="22"/>
          <w:szCs w:val="22"/>
        </w:rPr>
      </w:pPr>
    </w:p>
    <w:p w:rsidR="00A504A0" w:rsidRPr="00A032F8" w:rsidRDefault="00A504A0" w:rsidP="00A504A0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a) </w:t>
      </w:r>
      <w:r w:rsidRPr="00A032F8">
        <w:rPr>
          <w:rFonts w:cs="Arial"/>
          <w:sz w:val="22"/>
          <w:szCs w:val="22"/>
        </w:rPr>
        <w:t>Příjemci dotací většinou zvolili jako základní hodnot</w:t>
      </w:r>
      <w:r w:rsidR="00CE4C4E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>cí kritérium ekonomickou výhodnost nabídky. Jako dílčí hodnot</w:t>
      </w:r>
      <w:r w:rsidR="00CE4C4E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>cí kritéria stanovili</w:t>
      </w:r>
      <w:r w:rsidR="00804B21" w:rsidRPr="00A032F8">
        <w:rPr>
          <w:rFonts w:cs="Arial"/>
          <w:sz w:val="22"/>
          <w:szCs w:val="22"/>
        </w:rPr>
        <w:t xml:space="preserve"> (vedle nabídkové ceny)</w:t>
      </w:r>
      <w:r w:rsidRPr="00A032F8">
        <w:rPr>
          <w:rFonts w:cs="Arial"/>
          <w:sz w:val="22"/>
          <w:szCs w:val="22"/>
        </w:rPr>
        <w:t xml:space="preserve"> zpravidla</w:t>
      </w:r>
      <w:r w:rsidR="00804B21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výši smluvní pokuty za nedodržení termínu předání hotového díla</w:t>
      </w:r>
      <w:r w:rsidR="00D27C16" w:rsidRPr="00A032F8">
        <w:rPr>
          <w:rFonts w:cs="Arial"/>
          <w:sz w:val="22"/>
          <w:szCs w:val="22"/>
        </w:rPr>
        <w:t xml:space="preserve"> nebo za nesplnění jiných podmínek</w:t>
      </w:r>
      <w:r w:rsidRPr="00A032F8">
        <w:rPr>
          <w:rFonts w:cs="Arial"/>
          <w:sz w:val="22"/>
          <w:szCs w:val="22"/>
        </w:rPr>
        <w:t xml:space="preserve"> a</w:t>
      </w:r>
      <w:r w:rsidR="00DA5FD2" w:rsidRPr="00A032F8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délku záruční doby</w:t>
      </w:r>
      <w:r w:rsidR="00804B21" w:rsidRPr="00A032F8">
        <w:rPr>
          <w:rFonts w:cs="Arial"/>
          <w:sz w:val="22"/>
          <w:szCs w:val="22"/>
        </w:rPr>
        <w:t xml:space="preserve">, aniž by </w:t>
      </w:r>
      <w:r w:rsidRPr="00A032F8">
        <w:rPr>
          <w:rFonts w:cs="Arial"/>
          <w:sz w:val="22"/>
          <w:szCs w:val="22"/>
        </w:rPr>
        <w:t xml:space="preserve">vymezili hranice hodnot, které budou považovat za přiměřené. </w:t>
      </w:r>
      <w:r w:rsidRPr="00A032F8">
        <w:rPr>
          <w:rFonts w:cs="Arial"/>
          <w:b/>
          <w:sz w:val="22"/>
          <w:szCs w:val="22"/>
        </w:rPr>
        <w:t>Docházelo tak k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situacím, kdy</w:t>
      </w:r>
      <w:r w:rsidR="005C6FE6" w:rsidRPr="00A032F8">
        <w:rPr>
          <w:rFonts w:cs="Arial"/>
          <w:b/>
          <w:sz w:val="22"/>
          <w:szCs w:val="22"/>
        </w:rPr>
        <w:t xml:space="preserve"> někteří</w:t>
      </w:r>
      <w:r w:rsidR="00804B21" w:rsidRPr="00A032F8">
        <w:rPr>
          <w:rFonts w:cs="Arial"/>
          <w:b/>
          <w:sz w:val="22"/>
          <w:szCs w:val="22"/>
        </w:rPr>
        <w:t xml:space="preserve"> uchazeči nabízeli v těchto kritériích </w:t>
      </w:r>
      <w:r w:rsidR="005C6FE6" w:rsidRPr="00A032F8">
        <w:rPr>
          <w:rFonts w:cs="Arial"/>
          <w:b/>
          <w:sz w:val="22"/>
          <w:szCs w:val="22"/>
        </w:rPr>
        <w:t>neopodstatněně</w:t>
      </w:r>
      <w:r w:rsidR="00804B21" w:rsidRPr="00A032F8">
        <w:rPr>
          <w:rFonts w:cs="Arial"/>
          <w:b/>
          <w:sz w:val="22"/>
          <w:szCs w:val="22"/>
        </w:rPr>
        <w:t xml:space="preserve"> vysoké hodnoty</w:t>
      </w:r>
      <w:r w:rsidR="005C6FE6" w:rsidRPr="00A032F8">
        <w:rPr>
          <w:rFonts w:cs="Arial"/>
          <w:b/>
          <w:sz w:val="22"/>
          <w:szCs w:val="22"/>
        </w:rPr>
        <w:t xml:space="preserve">, což vedlo k tomu, že </w:t>
      </w:r>
      <w:r w:rsidRPr="00A032F8">
        <w:rPr>
          <w:rFonts w:cs="Arial"/>
          <w:b/>
          <w:sz w:val="22"/>
          <w:szCs w:val="22"/>
        </w:rPr>
        <w:t>jako nejvhodnější</w:t>
      </w:r>
      <w:r w:rsidR="005C6FE6" w:rsidRPr="00A032F8">
        <w:rPr>
          <w:rFonts w:cs="Arial"/>
          <w:b/>
          <w:sz w:val="22"/>
          <w:szCs w:val="22"/>
        </w:rPr>
        <w:t xml:space="preserve"> byly</w:t>
      </w:r>
      <w:r w:rsidRPr="00A032F8">
        <w:rPr>
          <w:rFonts w:cs="Arial"/>
          <w:b/>
          <w:sz w:val="22"/>
          <w:szCs w:val="22"/>
        </w:rPr>
        <w:t xml:space="preserve"> vybírány nabídky u</w:t>
      </w:r>
      <w:r w:rsidR="0083095F" w:rsidRPr="00A032F8">
        <w:rPr>
          <w:rFonts w:cs="Arial"/>
          <w:b/>
          <w:sz w:val="22"/>
          <w:szCs w:val="22"/>
        </w:rPr>
        <w:t>chazečů s</w:t>
      </w:r>
      <w:r w:rsidR="00785380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vyšší</w:t>
      </w:r>
      <w:r w:rsidR="0083095F" w:rsidRPr="00A032F8">
        <w:rPr>
          <w:rFonts w:cs="Arial"/>
          <w:b/>
          <w:sz w:val="22"/>
          <w:szCs w:val="22"/>
        </w:rPr>
        <w:t>mi cenami</w:t>
      </w:r>
      <w:r w:rsidRPr="00A032F8">
        <w:rPr>
          <w:rFonts w:cs="Arial"/>
          <w:b/>
          <w:sz w:val="22"/>
          <w:szCs w:val="22"/>
        </w:rPr>
        <w:t xml:space="preserve"> nebo </w:t>
      </w:r>
      <w:r w:rsidR="0083095F" w:rsidRPr="00A032F8">
        <w:rPr>
          <w:rFonts w:cs="Arial"/>
          <w:b/>
          <w:sz w:val="22"/>
          <w:szCs w:val="22"/>
        </w:rPr>
        <w:t>hodnot</w:t>
      </w:r>
      <w:r w:rsidR="00CE4C4E">
        <w:rPr>
          <w:rFonts w:cs="Arial"/>
          <w:b/>
          <w:sz w:val="22"/>
          <w:szCs w:val="22"/>
        </w:rPr>
        <w:t>i</w:t>
      </w:r>
      <w:r w:rsidR="0083095F" w:rsidRPr="00A032F8">
        <w:rPr>
          <w:rFonts w:cs="Arial"/>
          <w:b/>
          <w:sz w:val="22"/>
          <w:szCs w:val="22"/>
        </w:rPr>
        <w:t xml:space="preserve">cí komise přidělovala </w:t>
      </w:r>
      <w:r w:rsidRPr="00A032F8">
        <w:rPr>
          <w:rFonts w:cs="Arial"/>
          <w:b/>
          <w:sz w:val="22"/>
          <w:szCs w:val="22"/>
        </w:rPr>
        <w:t>podle</w:t>
      </w:r>
      <w:r w:rsidR="0083095F" w:rsidRPr="00A032F8">
        <w:rPr>
          <w:rFonts w:cs="Arial"/>
          <w:b/>
          <w:sz w:val="22"/>
          <w:szCs w:val="22"/>
        </w:rPr>
        <w:t xml:space="preserve"> svého</w:t>
      </w:r>
      <w:r w:rsidRPr="00A032F8">
        <w:rPr>
          <w:rFonts w:cs="Arial"/>
          <w:b/>
          <w:sz w:val="22"/>
          <w:szCs w:val="22"/>
        </w:rPr>
        <w:t xml:space="preserve"> uvážení </w:t>
      </w:r>
      <w:r w:rsidR="0083095F" w:rsidRPr="00A032F8">
        <w:rPr>
          <w:rFonts w:cs="Arial"/>
          <w:b/>
          <w:sz w:val="22"/>
          <w:szCs w:val="22"/>
        </w:rPr>
        <w:t>kritériím s</w:t>
      </w:r>
      <w:r w:rsidRPr="00A032F8">
        <w:rPr>
          <w:rFonts w:cs="Arial"/>
          <w:b/>
          <w:sz w:val="22"/>
          <w:szCs w:val="22"/>
        </w:rPr>
        <w:t xml:space="preserve"> těm</w:t>
      </w:r>
      <w:r w:rsidR="0083095F" w:rsidRPr="00A032F8">
        <w:rPr>
          <w:rFonts w:cs="Arial"/>
          <w:b/>
          <w:sz w:val="22"/>
          <w:szCs w:val="22"/>
        </w:rPr>
        <w:t>ito hodnota</w:t>
      </w:r>
      <w:r w:rsidRPr="00A032F8">
        <w:rPr>
          <w:rFonts w:cs="Arial"/>
          <w:b/>
          <w:sz w:val="22"/>
          <w:szCs w:val="22"/>
        </w:rPr>
        <w:t>m</w:t>
      </w:r>
      <w:r w:rsidR="0083095F" w:rsidRPr="00A032F8">
        <w:rPr>
          <w:rFonts w:cs="Arial"/>
          <w:b/>
          <w:sz w:val="22"/>
          <w:szCs w:val="22"/>
        </w:rPr>
        <w:t>i</w:t>
      </w:r>
      <w:r w:rsidRPr="00A032F8">
        <w:rPr>
          <w:rFonts w:cs="Arial"/>
          <w:b/>
          <w:sz w:val="22"/>
          <w:szCs w:val="22"/>
        </w:rPr>
        <w:t xml:space="preserve"> nula bodů, což omezovalo transparentnost průběhu zadávacího řízení </w:t>
      </w:r>
      <w:r w:rsidRPr="00A032F8">
        <w:rPr>
          <w:rFonts w:cs="Arial"/>
          <w:sz w:val="22"/>
          <w:szCs w:val="22"/>
        </w:rPr>
        <w:t xml:space="preserve">(§ 6 zákona č. 137/2006 Sb.).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souhlase se zahájením zadávacího řízení standardně požadovalo, aby nebyly akceptovány zcela nepřiměřené nabídky uchazečů, např. nepřiměřené lhůty, záruky, sankce. Například bylo zjištěno:</w:t>
      </w:r>
      <w:r w:rsidR="0083095F" w:rsidRPr="00A032F8">
        <w:rPr>
          <w:rFonts w:cs="Arial"/>
          <w:sz w:val="22"/>
          <w:szCs w:val="22"/>
        </w:rPr>
        <w:t xml:space="preserve"> </w:t>
      </w:r>
    </w:p>
    <w:p w:rsidR="00A504A0" w:rsidRPr="00A032F8" w:rsidRDefault="00A504A0" w:rsidP="00DD5E7E">
      <w:pPr>
        <w:jc w:val="both"/>
        <w:rPr>
          <w:rFonts w:cs="Arial"/>
          <w:sz w:val="22"/>
          <w:szCs w:val="22"/>
        </w:rPr>
      </w:pPr>
    </w:p>
    <w:p w:rsidR="00A504A0" w:rsidRPr="00A032F8" w:rsidRDefault="00A504A0" w:rsidP="002F5A6D">
      <w:pPr>
        <w:ind w:left="284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Povodí Labe stanovilo u akce </w:t>
      </w:r>
      <w:proofErr w:type="spellStart"/>
      <w:r w:rsidRPr="00A032F8">
        <w:rPr>
          <w:rFonts w:cs="Arial"/>
          <w:i/>
          <w:sz w:val="22"/>
          <w:szCs w:val="22"/>
        </w:rPr>
        <w:t>Lovosicko</w:t>
      </w:r>
      <w:proofErr w:type="spellEnd"/>
      <w:r w:rsidRPr="00A032F8">
        <w:rPr>
          <w:rFonts w:cs="Arial"/>
          <w:i/>
          <w:sz w:val="22"/>
          <w:szCs w:val="22"/>
        </w:rPr>
        <w:t xml:space="preserve"> (Píšťany-Lovosice) – protipovodňová ochrana na Q</w:t>
      </w:r>
      <w:r w:rsidRPr="00A032F8">
        <w:rPr>
          <w:rFonts w:cs="Arial"/>
          <w:i/>
          <w:sz w:val="22"/>
          <w:szCs w:val="22"/>
          <w:vertAlign w:val="subscript"/>
        </w:rPr>
        <w:t>100</w:t>
      </w:r>
      <w:r w:rsidRPr="00A032F8">
        <w:rPr>
          <w:rFonts w:cs="Arial"/>
          <w:i/>
          <w:sz w:val="22"/>
          <w:szCs w:val="22"/>
        </w:rPr>
        <w:t xml:space="preserve"> na Labi – stavební část</w:t>
      </w:r>
      <w:r w:rsidRPr="00A032F8">
        <w:rPr>
          <w:rFonts w:cs="Arial"/>
          <w:sz w:val="22"/>
          <w:szCs w:val="22"/>
        </w:rPr>
        <w:t xml:space="preserve"> jako dílčí hodnot</w:t>
      </w:r>
      <w:r w:rsidR="00CE4C4E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>cí kritérium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vahou 25 % výši smluvních pokut. Vybraný uchazeč nabídl za každý den prodlení dokončení díla smluvní pokutu ve výši 50 mil. Kč (7,1 % z nabídkové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ceny), která byla šestkrát vyšší než u uchazeče, který se umístil na druhém místě. Obdobně tomu bylo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případě smluvní pokuty za neplnění finančního plánu. Nabídková cena vybr</w:t>
      </w:r>
      <w:r w:rsidR="00DE4542">
        <w:rPr>
          <w:rFonts w:cs="Arial"/>
          <w:sz w:val="22"/>
          <w:szCs w:val="22"/>
        </w:rPr>
        <w:t>aného uchazeče byla o 47,1 mil. </w:t>
      </w:r>
      <w:r w:rsidRPr="00A032F8">
        <w:rPr>
          <w:rFonts w:cs="Arial"/>
          <w:sz w:val="22"/>
          <w:szCs w:val="22"/>
        </w:rPr>
        <w:t xml:space="preserve">Kč vyšší než cena uchazeče na druhém místě. </w:t>
      </w:r>
    </w:p>
    <w:p w:rsidR="00A504A0" w:rsidRPr="00A032F8" w:rsidRDefault="00A504A0" w:rsidP="002F5A6D">
      <w:pPr>
        <w:ind w:left="284"/>
        <w:jc w:val="both"/>
        <w:rPr>
          <w:rFonts w:cs="Arial"/>
          <w:sz w:val="22"/>
          <w:szCs w:val="22"/>
        </w:rPr>
      </w:pPr>
    </w:p>
    <w:p w:rsidR="00A504A0" w:rsidRDefault="00A504A0" w:rsidP="002F5A6D">
      <w:pPr>
        <w:ind w:left="284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Povodí Odry stanovilo u akce </w:t>
      </w:r>
      <w:r w:rsidRPr="00A032F8">
        <w:rPr>
          <w:rFonts w:cs="Arial"/>
          <w:i/>
          <w:sz w:val="22"/>
          <w:szCs w:val="22"/>
        </w:rPr>
        <w:t xml:space="preserve">Odra – Ostrava Hrušov, ochranná hráz km 12,700–14,950 </w:t>
      </w:r>
      <w:r w:rsidRPr="00A032F8">
        <w:rPr>
          <w:rFonts w:cs="Arial"/>
          <w:sz w:val="22"/>
          <w:szCs w:val="22"/>
        </w:rPr>
        <w:t>jako dílčí hodnot</w:t>
      </w:r>
      <w:r w:rsidR="00CE4C4E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>cí kritérium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vahou 25 % výši smluvních pokut a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vahou 15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% délku záruční lhůty. Vybraný uchazeč nabídl za každý den prodlení dokončení díla smluvní pokutu ve výši 3,5 mil. Kč (4,8 % z nabídkové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ceny), která byla třikrát vyšší než </w:t>
      </w:r>
      <w:r w:rsidR="00CE4C4E">
        <w:rPr>
          <w:rFonts w:cs="Arial"/>
          <w:sz w:val="22"/>
          <w:szCs w:val="22"/>
        </w:rPr>
        <w:t>u </w:t>
      </w:r>
      <w:r w:rsidRPr="00A032F8">
        <w:rPr>
          <w:rFonts w:cs="Arial"/>
          <w:sz w:val="22"/>
          <w:szCs w:val="22"/>
        </w:rPr>
        <w:t>uchazeče, který se umístil na druhém místě. U ostatních uchazečů se výše pokuty pohybovala do 1 %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nabídkové ceny. Nabídková cena vybraného uchazeče byla o</w:t>
      </w:r>
      <w:r w:rsidR="002F5A6D" w:rsidRPr="00A032F8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15</w:t>
      </w:r>
      <w:r w:rsidR="002F5A6D" w:rsidRPr="00A032F8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mil. Kč vyšší než u uchaz</w:t>
      </w:r>
      <w:r w:rsidR="00EA4D9E" w:rsidRPr="00A032F8">
        <w:rPr>
          <w:rFonts w:cs="Arial"/>
          <w:sz w:val="22"/>
          <w:szCs w:val="22"/>
        </w:rPr>
        <w:t>eče s</w:t>
      </w:r>
      <w:r w:rsidR="00785380" w:rsidRPr="00A032F8">
        <w:rPr>
          <w:rFonts w:cs="Arial"/>
          <w:sz w:val="22"/>
          <w:szCs w:val="22"/>
        </w:rPr>
        <w:t xml:space="preserve"> </w:t>
      </w:r>
      <w:r w:rsidR="00EA4D9E" w:rsidRPr="00A032F8">
        <w:rPr>
          <w:rFonts w:cs="Arial"/>
          <w:sz w:val="22"/>
          <w:szCs w:val="22"/>
        </w:rPr>
        <w:t>nejnižší nabídkovou cenou,</w:t>
      </w:r>
      <w:r w:rsidRPr="00A032F8">
        <w:rPr>
          <w:rFonts w:cs="Arial"/>
          <w:sz w:val="22"/>
          <w:szCs w:val="22"/>
        </w:rPr>
        <w:t xml:space="preserve"> který</w:t>
      </w:r>
      <w:r w:rsidR="00EA4D9E" w:rsidRPr="00A032F8">
        <w:rPr>
          <w:rFonts w:cs="Arial"/>
          <w:sz w:val="22"/>
          <w:szCs w:val="22"/>
        </w:rPr>
        <w:t xml:space="preserve"> v kritériu</w:t>
      </w:r>
      <w:r w:rsidRPr="00A032F8">
        <w:rPr>
          <w:rFonts w:cs="Arial"/>
          <w:sz w:val="22"/>
          <w:szCs w:val="22"/>
        </w:rPr>
        <w:t xml:space="preserve"> </w:t>
      </w:r>
      <w:r w:rsidR="00EA4D9E" w:rsidRPr="00A032F8">
        <w:rPr>
          <w:rFonts w:cs="Arial"/>
          <w:sz w:val="22"/>
          <w:szCs w:val="22"/>
        </w:rPr>
        <w:t>smluvní pokuty dostal za nabídnutou</w:t>
      </w:r>
      <w:r w:rsidRPr="00A032F8">
        <w:rPr>
          <w:rFonts w:cs="Arial"/>
          <w:sz w:val="22"/>
          <w:szCs w:val="22"/>
        </w:rPr>
        <w:t xml:space="preserve"> přiměřenou hodnotu nízký počet bodů. </w:t>
      </w:r>
    </w:p>
    <w:p w:rsidR="00857539" w:rsidRPr="00A032F8" w:rsidRDefault="00857539" w:rsidP="002F5A6D">
      <w:pPr>
        <w:ind w:left="284"/>
        <w:jc w:val="both"/>
        <w:rPr>
          <w:rFonts w:cs="Arial"/>
          <w:sz w:val="22"/>
          <w:szCs w:val="22"/>
        </w:rPr>
      </w:pPr>
    </w:p>
    <w:p w:rsidR="00A504A0" w:rsidRPr="00A032F8" w:rsidRDefault="00A504A0" w:rsidP="002F5A6D">
      <w:pPr>
        <w:ind w:left="284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Naproti tomu u akce </w:t>
      </w:r>
      <w:r w:rsidRPr="00A032F8">
        <w:rPr>
          <w:rFonts w:cs="Arial"/>
          <w:i/>
          <w:sz w:val="22"/>
          <w:szCs w:val="22"/>
        </w:rPr>
        <w:t xml:space="preserve">Úprava </w:t>
      </w:r>
      <w:r w:rsidR="006815FD" w:rsidRPr="00A032F8">
        <w:rPr>
          <w:rFonts w:cs="Arial"/>
          <w:i/>
          <w:sz w:val="22"/>
          <w:szCs w:val="22"/>
        </w:rPr>
        <w:t>Ondřejnice</w:t>
      </w:r>
      <w:r w:rsidRPr="00A032F8">
        <w:rPr>
          <w:rFonts w:cs="Arial"/>
          <w:i/>
          <w:sz w:val="22"/>
          <w:szCs w:val="22"/>
        </w:rPr>
        <w:t>, Stará Ves nad Ondřejnicí km 2,300–6,500</w:t>
      </w:r>
      <w:r w:rsidRPr="00A032F8">
        <w:rPr>
          <w:rFonts w:cs="Arial"/>
          <w:sz w:val="22"/>
          <w:szCs w:val="22"/>
        </w:rPr>
        <w:t xml:space="preserve"> posoudilo Povodí Odry u uchazeče smluvní pokutu za nedodržení termínu dokončení díla ve výši 1,8 mil. Kč/den (1,8 %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nabídkové ceny) jako nepřiměřenou a nepřidělilo nabídce uchazeče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tomto kritériu žádný bod. Tento uchazeč nabídl nejnižší cenu, ale z uvedeného důvodu se umístil až na třetím místě. Za reálnou výši smluvní pokuty považovalo</w:t>
      </w:r>
      <w:r w:rsidR="0021632E" w:rsidRPr="00A032F8">
        <w:rPr>
          <w:rFonts w:cs="Arial"/>
          <w:sz w:val="22"/>
          <w:szCs w:val="22"/>
        </w:rPr>
        <w:t xml:space="preserve"> P</w:t>
      </w:r>
      <w:r w:rsidR="00D27C16" w:rsidRPr="00A032F8">
        <w:rPr>
          <w:rFonts w:cs="Arial"/>
          <w:sz w:val="22"/>
          <w:szCs w:val="22"/>
        </w:rPr>
        <w:t>ovodí</w:t>
      </w:r>
      <w:r w:rsidR="0021632E" w:rsidRPr="00A032F8">
        <w:rPr>
          <w:rFonts w:cs="Arial"/>
          <w:sz w:val="22"/>
          <w:szCs w:val="22"/>
        </w:rPr>
        <w:t xml:space="preserve"> Odry</w:t>
      </w:r>
      <w:r w:rsidR="00D27C16" w:rsidRPr="00A032F8">
        <w:rPr>
          <w:rFonts w:cs="Arial"/>
          <w:sz w:val="22"/>
          <w:szCs w:val="22"/>
        </w:rPr>
        <w:t xml:space="preserve"> v</w:t>
      </w:r>
      <w:r w:rsidR="00785380" w:rsidRPr="00A032F8">
        <w:rPr>
          <w:rFonts w:cs="Arial"/>
          <w:sz w:val="22"/>
          <w:szCs w:val="22"/>
        </w:rPr>
        <w:t xml:space="preserve"> </w:t>
      </w:r>
      <w:r w:rsidR="00D27C16" w:rsidRPr="00A032F8">
        <w:rPr>
          <w:rFonts w:cs="Arial"/>
          <w:sz w:val="22"/>
          <w:szCs w:val="22"/>
        </w:rPr>
        <w:t>tomto případě</w:t>
      </w:r>
      <w:r w:rsidRPr="00A032F8">
        <w:rPr>
          <w:rFonts w:cs="Arial"/>
          <w:sz w:val="22"/>
          <w:szCs w:val="22"/>
        </w:rPr>
        <w:t xml:space="preserve"> výši do 1 %.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zadávací dokumentaci si zadavatel sice vymínil, že u zjevně nepřiměřené hodnoty může nabídce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rámci tohoto kritéria přidělit nula bodů, ale hledisko přiměřenosti nijak nevymezil. Nabídková cena vybraného uchazeče byla o 6 mil. Kč vyšší než u uchazeče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nejnižší nabídkovou cenou.  </w:t>
      </w:r>
    </w:p>
    <w:p w:rsidR="00A504A0" w:rsidRPr="00A032F8" w:rsidRDefault="00A504A0" w:rsidP="002F5A6D">
      <w:pPr>
        <w:ind w:left="284"/>
        <w:jc w:val="both"/>
        <w:rPr>
          <w:rFonts w:cs="Arial"/>
          <w:sz w:val="22"/>
          <w:szCs w:val="22"/>
        </w:rPr>
      </w:pPr>
    </w:p>
    <w:p w:rsidR="00A504A0" w:rsidRPr="00A032F8" w:rsidRDefault="00A504A0" w:rsidP="002F5A6D">
      <w:pPr>
        <w:ind w:left="284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ČRS MO Humpolec stanovil u akce </w:t>
      </w:r>
      <w:r w:rsidRPr="00A032F8">
        <w:rPr>
          <w:rFonts w:cs="Arial"/>
          <w:i/>
          <w:sz w:val="22"/>
          <w:szCs w:val="22"/>
        </w:rPr>
        <w:t>Odbahnění a opravy rybníka Mlýnský</w:t>
      </w:r>
      <w:r w:rsidRPr="00A032F8">
        <w:rPr>
          <w:rFonts w:cs="Arial"/>
          <w:sz w:val="22"/>
          <w:szCs w:val="22"/>
        </w:rPr>
        <w:t xml:space="preserve"> jako dílčí hodnot</w:t>
      </w:r>
      <w:r w:rsidR="00CE4C4E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>cí kritérium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vahou 20 % „sankce a sankční podmínky“ a s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vahou 20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% „záruka a</w:t>
      </w:r>
      <w:r w:rsidR="00AA5A72" w:rsidRPr="00A032F8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záruční podmínky“. Výše sankce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prodlení se u jednotlivých uchazečů pohybovala od 0,05</w:t>
      </w:r>
      <w:r w:rsidR="00B23974">
        <w:rPr>
          <w:rFonts w:cs="Arial"/>
          <w:sz w:val="22"/>
          <w:szCs w:val="22"/>
        </w:rPr>
        <w:t> %</w:t>
      </w:r>
      <w:r w:rsidRPr="00A032F8">
        <w:rPr>
          <w:rFonts w:cs="Arial"/>
          <w:sz w:val="22"/>
          <w:szCs w:val="22"/>
        </w:rPr>
        <w:t xml:space="preserve"> do 7,2 %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nabídkové ceny a délka záruční doby od 4 do 14 let. 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zadávací dokumentaci nebyl popis způsobu hodnocení dílčích kritérií uveden. Pro hodnocení nabídek nepoužil tento zadavatel standardní metodu hodnocení, podle které je míra splnění příslušného hodnot</w:t>
      </w:r>
      <w:r w:rsidR="00CE4C4E">
        <w:rPr>
          <w:rFonts w:cs="Arial"/>
          <w:sz w:val="22"/>
          <w:szCs w:val="22"/>
        </w:rPr>
        <w:t>i</w:t>
      </w:r>
      <w:r w:rsidRPr="00A032F8">
        <w:rPr>
          <w:rFonts w:cs="Arial"/>
          <w:sz w:val="22"/>
          <w:szCs w:val="22"/>
        </w:rPr>
        <w:t>cího kritéria vyjádřena ve vztahu k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nejvýhodnější hodnotě, resp. takto postupoval pouze u dílčího kritéria </w:t>
      </w:r>
      <w:r w:rsidR="00CE4C4E">
        <w:rPr>
          <w:rFonts w:cs="Arial"/>
          <w:sz w:val="22"/>
          <w:szCs w:val="22"/>
        </w:rPr>
        <w:t>„</w:t>
      </w:r>
      <w:r w:rsidRPr="00A032F8">
        <w:rPr>
          <w:rFonts w:cs="Arial"/>
          <w:sz w:val="22"/>
          <w:szCs w:val="22"/>
        </w:rPr>
        <w:t>výše nabídkové ceny</w:t>
      </w:r>
      <w:r w:rsidR="00CE4C4E">
        <w:rPr>
          <w:rFonts w:cs="Arial"/>
          <w:sz w:val="22"/>
          <w:szCs w:val="22"/>
        </w:rPr>
        <w:t>“</w:t>
      </w:r>
      <w:r w:rsidRPr="00A032F8">
        <w:rPr>
          <w:rFonts w:cs="Arial"/>
          <w:sz w:val="22"/>
          <w:szCs w:val="22"/>
        </w:rPr>
        <w:t xml:space="preserve">. ČRS MO Humpolec nedoložil, podle jaké metody provedl hodnocení nabídek. Při použití standardní metody hodnocení by </w:t>
      </w:r>
      <w:r w:rsidR="00CE4C4E">
        <w:rPr>
          <w:rFonts w:cs="Arial"/>
          <w:sz w:val="22"/>
          <w:szCs w:val="22"/>
        </w:rPr>
        <w:t>zvítězil</w:t>
      </w:r>
      <w:r w:rsidRPr="00A032F8">
        <w:rPr>
          <w:rFonts w:cs="Arial"/>
          <w:sz w:val="22"/>
          <w:szCs w:val="22"/>
        </w:rPr>
        <w:t xml:space="preserve"> uchazeč umístěný na druhém místě, jehož nabídková cena byla o</w:t>
      </w:r>
      <w:r w:rsidR="006040CA">
        <w:rPr>
          <w:rFonts w:cs="Arial"/>
          <w:sz w:val="22"/>
          <w:szCs w:val="22"/>
        </w:rPr>
        <w:t> </w:t>
      </w:r>
      <w:r w:rsidRPr="00A032F8">
        <w:rPr>
          <w:rFonts w:cs="Arial"/>
          <w:sz w:val="22"/>
          <w:szCs w:val="22"/>
        </w:rPr>
        <w:t>841 tis. Kč, tj. o 26 % nižší než cena vybraného uchazeče.</w:t>
      </w:r>
    </w:p>
    <w:p w:rsidR="00A504A0" w:rsidRPr="00A032F8" w:rsidRDefault="00A504A0" w:rsidP="00A504A0">
      <w:pPr>
        <w:ind w:left="142" w:hanging="142"/>
        <w:jc w:val="both"/>
        <w:rPr>
          <w:rFonts w:cs="Arial"/>
          <w:sz w:val="22"/>
          <w:szCs w:val="22"/>
        </w:rPr>
      </w:pPr>
    </w:p>
    <w:p w:rsidR="006815FD" w:rsidRPr="00A032F8" w:rsidRDefault="004F736E" w:rsidP="00A504A0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S ohledem na charakter kontrolovaných akcí </w:t>
      </w:r>
      <w:r w:rsidRPr="00A032F8">
        <w:rPr>
          <w:rFonts w:cs="Arial"/>
          <w:b/>
          <w:sz w:val="22"/>
          <w:szCs w:val="22"/>
        </w:rPr>
        <w:t>e</w:t>
      </w:r>
      <w:r w:rsidR="006815FD" w:rsidRPr="00A032F8">
        <w:rPr>
          <w:rFonts w:cs="Arial"/>
          <w:b/>
          <w:sz w:val="22"/>
          <w:szCs w:val="22"/>
        </w:rPr>
        <w:t>xistuje i pochybnost</w:t>
      </w:r>
      <w:r w:rsidR="009F26F4" w:rsidRPr="00A032F8">
        <w:rPr>
          <w:rFonts w:cs="Arial"/>
          <w:b/>
          <w:sz w:val="22"/>
          <w:szCs w:val="22"/>
        </w:rPr>
        <w:t xml:space="preserve"> o správnosti</w:t>
      </w:r>
      <w:r w:rsidRPr="00A032F8">
        <w:rPr>
          <w:rFonts w:cs="Arial"/>
          <w:b/>
          <w:sz w:val="22"/>
          <w:szCs w:val="22"/>
        </w:rPr>
        <w:t xml:space="preserve"> zvolených </w:t>
      </w:r>
      <w:r w:rsidR="006815FD" w:rsidRPr="00A032F8">
        <w:rPr>
          <w:rFonts w:cs="Arial"/>
          <w:b/>
          <w:sz w:val="22"/>
          <w:szCs w:val="22"/>
        </w:rPr>
        <w:t>dílčí</w:t>
      </w:r>
      <w:r w:rsidR="009F26F4" w:rsidRPr="00A032F8">
        <w:rPr>
          <w:rFonts w:cs="Arial"/>
          <w:b/>
          <w:sz w:val="22"/>
          <w:szCs w:val="22"/>
        </w:rPr>
        <w:t>ch</w:t>
      </w:r>
      <w:r w:rsidR="006815FD" w:rsidRPr="00A032F8">
        <w:rPr>
          <w:rFonts w:cs="Arial"/>
          <w:b/>
          <w:sz w:val="22"/>
          <w:szCs w:val="22"/>
        </w:rPr>
        <w:t xml:space="preserve"> hodnot</w:t>
      </w:r>
      <w:r w:rsidR="00CE4C4E">
        <w:rPr>
          <w:rFonts w:cs="Arial"/>
          <w:b/>
          <w:sz w:val="22"/>
          <w:szCs w:val="22"/>
        </w:rPr>
        <w:t>i</w:t>
      </w:r>
      <w:r w:rsidR="006815FD" w:rsidRPr="00A032F8">
        <w:rPr>
          <w:rFonts w:cs="Arial"/>
          <w:b/>
          <w:sz w:val="22"/>
          <w:szCs w:val="22"/>
        </w:rPr>
        <w:t>cí</w:t>
      </w:r>
      <w:r w:rsidRPr="00A032F8">
        <w:rPr>
          <w:rFonts w:cs="Arial"/>
          <w:b/>
          <w:sz w:val="22"/>
          <w:szCs w:val="22"/>
        </w:rPr>
        <w:t>ch</w:t>
      </w:r>
      <w:r w:rsidR="006815FD" w:rsidRPr="00A032F8">
        <w:rPr>
          <w:rFonts w:cs="Arial"/>
          <w:b/>
          <w:sz w:val="22"/>
          <w:szCs w:val="22"/>
        </w:rPr>
        <w:t xml:space="preserve"> kritéri</w:t>
      </w:r>
      <w:r w:rsidRPr="00A032F8">
        <w:rPr>
          <w:rFonts w:cs="Arial"/>
          <w:b/>
          <w:sz w:val="22"/>
          <w:szCs w:val="22"/>
        </w:rPr>
        <w:t xml:space="preserve">í </w:t>
      </w:r>
      <w:r w:rsidR="00BD36B0">
        <w:rPr>
          <w:rFonts w:cs="Arial"/>
          <w:b/>
          <w:sz w:val="22"/>
          <w:szCs w:val="22"/>
        </w:rPr>
        <w:t>„</w:t>
      </w:r>
      <w:r w:rsidR="006815FD" w:rsidRPr="00A032F8">
        <w:rPr>
          <w:rFonts w:cs="Arial"/>
          <w:b/>
          <w:sz w:val="22"/>
          <w:szCs w:val="22"/>
        </w:rPr>
        <w:t>výše smluvních pokut</w:t>
      </w:r>
      <w:r w:rsidR="00711FC0">
        <w:rPr>
          <w:rFonts w:cs="Arial"/>
          <w:b/>
          <w:sz w:val="22"/>
          <w:szCs w:val="22"/>
        </w:rPr>
        <w:t>“</w:t>
      </w:r>
      <w:r w:rsidR="006815FD" w:rsidRPr="00A032F8">
        <w:rPr>
          <w:rFonts w:cs="Arial"/>
          <w:b/>
          <w:sz w:val="22"/>
          <w:szCs w:val="22"/>
        </w:rPr>
        <w:t xml:space="preserve"> nebo </w:t>
      </w:r>
      <w:r w:rsidR="00711FC0">
        <w:rPr>
          <w:rFonts w:cs="Arial"/>
          <w:b/>
          <w:sz w:val="22"/>
          <w:szCs w:val="22"/>
        </w:rPr>
        <w:t>„</w:t>
      </w:r>
      <w:r w:rsidR="006815FD" w:rsidRPr="00A032F8">
        <w:rPr>
          <w:rFonts w:cs="Arial"/>
          <w:b/>
          <w:sz w:val="22"/>
          <w:szCs w:val="22"/>
        </w:rPr>
        <w:t>délka záruční doby</w:t>
      </w:r>
      <w:r w:rsidR="00711FC0">
        <w:rPr>
          <w:rFonts w:cs="Arial"/>
          <w:b/>
          <w:sz w:val="22"/>
          <w:szCs w:val="22"/>
        </w:rPr>
        <w:t>“</w:t>
      </w:r>
      <w:r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pro vyjádření ekonomické výhodnosti</w:t>
      </w:r>
      <w:r w:rsidR="009F26F4" w:rsidRPr="00A032F8">
        <w:rPr>
          <w:rFonts w:cs="Arial"/>
          <w:b/>
          <w:sz w:val="22"/>
          <w:szCs w:val="22"/>
        </w:rPr>
        <w:t xml:space="preserve"> nabídek</w:t>
      </w:r>
      <w:r w:rsidR="006C1F49" w:rsidRPr="00A032F8">
        <w:rPr>
          <w:rFonts w:cs="Arial"/>
          <w:b/>
          <w:sz w:val="22"/>
          <w:szCs w:val="22"/>
        </w:rPr>
        <w:t>.</w:t>
      </w:r>
      <w:r w:rsidRPr="00A032F8">
        <w:rPr>
          <w:rFonts w:cs="Arial"/>
          <w:sz w:val="22"/>
          <w:szCs w:val="22"/>
        </w:rPr>
        <w:t xml:space="preserve"> </w:t>
      </w:r>
    </w:p>
    <w:p w:rsidR="006C1F49" w:rsidRPr="00A032F8" w:rsidRDefault="006C1F49" w:rsidP="00A504A0">
      <w:pPr>
        <w:jc w:val="both"/>
        <w:rPr>
          <w:rFonts w:cs="Arial"/>
          <w:sz w:val="22"/>
          <w:szCs w:val="22"/>
        </w:rPr>
      </w:pPr>
    </w:p>
    <w:p w:rsidR="00A504A0" w:rsidRPr="00A032F8" w:rsidRDefault="00A504A0" w:rsidP="00A504A0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b)</w:t>
      </w:r>
      <w:r w:rsidRPr="00A032F8">
        <w:rPr>
          <w:rFonts w:cs="Arial"/>
          <w:sz w:val="22"/>
          <w:szCs w:val="22"/>
        </w:rPr>
        <w:t xml:space="preserve"> Dále bylo zjištěno, že:</w:t>
      </w:r>
    </w:p>
    <w:p w:rsidR="00A504A0" w:rsidRPr="00A032F8" w:rsidRDefault="00A504A0" w:rsidP="00810EFF">
      <w:pPr>
        <w:pStyle w:val="Odstavecseseznamem"/>
        <w:numPr>
          <w:ilvl w:val="0"/>
          <w:numId w:val="39"/>
        </w:numPr>
        <w:ind w:left="284" w:hanging="284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Jan Pokorný nedodržel podmínku </w:t>
      </w:r>
      <w:proofErr w:type="spellStart"/>
      <w:r w:rsidRPr="00A032F8">
        <w:rPr>
          <w:rFonts w:cs="Arial"/>
          <w:sz w:val="22"/>
          <w:szCs w:val="22"/>
        </w:rPr>
        <w:t>MZe</w:t>
      </w:r>
      <w:proofErr w:type="spellEnd"/>
      <w:r w:rsidRPr="00A032F8">
        <w:rPr>
          <w:rFonts w:cs="Arial"/>
          <w:sz w:val="22"/>
          <w:szCs w:val="22"/>
        </w:rPr>
        <w:t xml:space="preserve"> zadat zakázky o předpokládaných nákladech nad 2 mil. Kč formou otevřeného řízení</w:t>
      </w:r>
      <w:r w:rsidR="00BD36B0">
        <w:rPr>
          <w:rFonts w:cs="Arial"/>
          <w:sz w:val="22"/>
          <w:szCs w:val="22"/>
        </w:rPr>
        <w:t>, neboť</w:t>
      </w:r>
      <w:r w:rsidRPr="00A032F8">
        <w:rPr>
          <w:rFonts w:cs="Arial"/>
          <w:sz w:val="22"/>
          <w:szCs w:val="22"/>
        </w:rPr>
        <w:t xml:space="preserve"> zakázku na archeologický průzkum</w:t>
      </w:r>
      <w:r w:rsidR="00051390" w:rsidRPr="00A032F8">
        <w:rPr>
          <w:rFonts w:cs="Arial"/>
          <w:sz w:val="22"/>
          <w:szCs w:val="22"/>
        </w:rPr>
        <w:t xml:space="preserve"> v ceně 3,2</w:t>
      </w:r>
      <w:r w:rsidR="00DA5FD2" w:rsidRPr="00A032F8">
        <w:rPr>
          <w:rFonts w:cs="Arial"/>
          <w:sz w:val="22"/>
          <w:szCs w:val="22"/>
        </w:rPr>
        <w:t> </w:t>
      </w:r>
      <w:r w:rsidR="00051390" w:rsidRPr="00A032F8">
        <w:rPr>
          <w:rFonts w:cs="Arial"/>
          <w:sz w:val="22"/>
          <w:szCs w:val="22"/>
        </w:rPr>
        <w:t>mil. Kč</w:t>
      </w:r>
      <w:r w:rsidRPr="00A032F8">
        <w:rPr>
          <w:rFonts w:cs="Arial"/>
          <w:sz w:val="22"/>
          <w:szCs w:val="22"/>
        </w:rPr>
        <w:t xml:space="preserve"> zadal na základě výzvy více zájemcům.</w:t>
      </w:r>
    </w:p>
    <w:p w:rsidR="00A504A0" w:rsidRPr="00A032F8" w:rsidRDefault="00A504A0" w:rsidP="00810EFF">
      <w:pPr>
        <w:pStyle w:val="Odstavecseseznamem"/>
        <w:numPr>
          <w:ilvl w:val="0"/>
          <w:numId w:val="39"/>
        </w:numPr>
        <w:ind w:left="284" w:hanging="284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Povodí Vltavy realizovalo u čtyř akcí jednací řízení bez uveřejnění na vícepráce až po jejich provedení, 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toho u jedné akce nebyly splněny podmínky uvedené v § 23 zákona č. 137/2006 Sb. pro použití uvedeného druhu zadávacího řízení, neboť hodnota víceprací překročila 20 % původní ceny (činila 23 %).</w:t>
      </w:r>
    </w:p>
    <w:p w:rsidR="00A504A0" w:rsidRPr="00A032F8" w:rsidRDefault="00A504A0" w:rsidP="00810EFF">
      <w:pPr>
        <w:pStyle w:val="Odstavecseseznamem"/>
        <w:numPr>
          <w:ilvl w:val="0"/>
          <w:numId w:val="39"/>
        </w:numPr>
        <w:ind w:left="284" w:hanging="284"/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Povodí Labe stanovilo u jedné akce ve vztahu k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předmětu zakázky neúměrně vysoké kvalifikační požadavky, což mohlo vést k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omezení počtu nabídek uchazečů o tuto veřejnou zakázku a negativně</w:t>
      </w:r>
      <w:r w:rsidR="00F759AE" w:rsidRPr="00F759AE">
        <w:rPr>
          <w:rFonts w:cs="Arial"/>
          <w:sz w:val="22"/>
          <w:szCs w:val="22"/>
        </w:rPr>
        <w:t xml:space="preserve"> </w:t>
      </w:r>
      <w:r w:rsidR="00F759AE" w:rsidRPr="00A032F8">
        <w:rPr>
          <w:rFonts w:cs="Arial"/>
          <w:sz w:val="22"/>
          <w:szCs w:val="22"/>
        </w:rPr>
        <w:t>ovlivnit</w:t>
      </w:r>
      <w:r w:rsidRPr="00A032F8">
        <w:rPr>
          <w:rFonts w:cs="Arial"/>
          <w:sz w:val="22"/>
          <w:szCs w:val="22"/>
        </w:rPr>
        <w:t xml:space="preserve"> cenu zakázk</w:t>
      </w:r>
      <w:r w:rsidR="00AE05F5" w:rsidRPr="00A032F8">
        <w:rPr>
          <w:rFonts w:cs="Arial"/>
          <w:sz w:val="22"/>
          <w:szCs w:val="22"/>
        </w:rPr>
        <w:t>y</w:t>
      </w:r>
      <w:r w:rsidRPr="00A032F8">
        <w:rPr>
          <w:rFonts w:cs="Arial"/>
          <w:sz w:val="22"/>
          <w:szCs w:val="22"/>
        </w:rPr>
        <w:t xml:space="preserve">. Zadávací dokumentaci si vyzvedlo </w:t>
      </w:r>
      <w:r w:rsidRPr="00A032F8">
        <w:rPr>
          <w:rFonts w:cs="Arial"/>
          <w:sz w:val="22"/>
          <w:szCs w:val="22"/>
        </w:rPr>
        <w:lastRenderedPageBreak/>
        <w:t xml:space="preserve">27 zájemců, nabídku ve stanovené lhůtě podalo 5 uchazečů a hodnoceny byly jen </w:t>
      </w:r>
      <w:r w:rsidR="002F5A6D" w:rsidRPr="00A032F8">
        <w:rPr>
          <w:rFonts w:cs="Arial"/>
          <w:sz w:val="22"/>
          <w:szCs w:val="22"/>
        </w:rPr>
        <w:t>tři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nabídky.  </w:t>
      </w:r>
    </w:p>
    <w:p w:rsidR="00A504A0" w:rsidRPr="00A032F8" w:rsidRDefault="00A504A0" w:rsidP="001671F8">
      <w:pPr>
        <w:jc w:val="both"/>
        <w:rPr>
          <w:rFonts w:cs="Arial"/>
          <w:sz w:val="22"/>
          <w:szCs w:val="22"/>
        </w:rPr>
      </w:pPr>
    </w:p>
    <w:p w:rsidR="00A005EE" w:rsidRPr="00A032F8" w:rsidRDefault="002955AE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3.</w:t>
      </w:r>
      <w:r w:rsidR="00A504A0" w:rsidRPr="00A032F8">
        <w:rPr>
          <w:rFonts w:cs="Arial"/>
          <w:b/>
          <w:sz w:val="22"/>
          <w:szCs w:val="22"/>
        </w:rPr>
        <w:t>2</w:t>
      </w:r>
      <w:r w:rsidR="007134D1" w:rsidRPr="00A032F8">
        <w:rPr>
          <w:rFonts w:cs="Arial"/>
          <w:b/>
          <w:sz w:val="22"/>
          <w:szCs w:val="22"/>
        </w:rPr>
        <w:t xml:space="preserve"> </w:t>
      </w:r>
      <w:r w:rsidR="00E078AE" w:rsidRPr="00A032F8">
        <w:rPr>
          <w:rFonts w:cs="Arial"/>
          <w:sz w:val="22"/>
          <w:szCs w:val="22"/>
        </w:rPr>
        <w:t>Povodí Labe zahájilo v</w:t>
      </w:r>
      <w:r w:rsidR="00785380" w:rsidRPr="00A032F8">
        <w:rPr>
          <w:rFonts w:cs="Arial"/>
          <w:sz w:val="22"/>
          <w:szCs w:val="22"/>
        </w:rPr>
        <w:t xml:space="preserve"> </w:t>
      </w:r>
      <w:r w:rsidR="00E078AE" w:rsidRPr="00A032F8">
        <w:rPr>
          <w:rFonts w:cs="Arial"/>
          <w:sz w:val="22"/>
          <w:szCs w:val="22"/>
        </w:rPr>
        <w:t xml:space="preserve">roce 2010 realizaci akce </w:t>
      </w:r>
      <w:proofErr w:type="spellStart"/>
      <w:r w:rsidR="00E078AE" w:rsidRPr="00A032F8">
        <w:rPr>
          <w:rFonts w:cs="Arial"/>
          <w:i/>
          <w:sz w:val="22"/>
          <w:szCs w:val="22"/>
        </w:rPr>
        <w:t>Lovosicko</w:t>
      </w:r>
      <w:proofErr w:type="spellEnd"/>
      <w:r w:rsidR="00E078AE" w:rsidRPr="00A032F8">
        <w:rPr>
          <w:rFonts w:cs="Arial"/>
          <w:i/>
          <w:sz w:val="22"/>
          <w:szCs w:val="22"/>
        </w:rPr>
        <w:t xml:space="preserve"> (Píšťany-Lovosice) – protipovodňová ochrana na Q</w:t>
      </w:r>
      <w:r w:rsidR="00E078AE" w:rsidRPr="00A032F8">
        <w:rPr>
          <w:rFonts w:cs="Arial"/>
          <w:i/>
          <w:sz w:val="22"/>
          <w:szCs w:val="22"/>
          <w:vertAlign w:val="subscript"/>
        </w:rPr>
        <w:t>100</w:t>
      </w:r>
      <w:r w:rsidR="00E078AE" w:rsidRPr="00A032F8">
        <w:rPr>
          <w:rFonts w:cs="Arial"/>
          <w:i/>
          <w:sz w:val="22"/>
          <w:szCs w:val="22"/>
        </w:rPr>
        <w:t xml:space="preserve"> na Labi – stavební část</w:t>
      </w:r>
      <w:r w:rsidR="00E078AE" w:rsidRPr="00A032F8">
        <w:rPr>
          <w:rFonts w:cs="Arial"/>
          <w:sz w:val="22"/>
          <w:szCs w:val="22"/>
        </w:rPr>
        <w:t xml:space="preserve">. Předpokládané náklady na akci činily podle </w:t>
      </w:r>
      <w:r w:rsidR="00CE4C4E">
        <w:rPr>
          <w:rFonts w:cs="Arial"/>
          <w:sz w:val="22"/>
          <w:szCs w:val="22"/>
        </w:rPr>
        <w:t>r</w:t>
      </w:r>
      <w:r w:rsidR="00E078AE" w:rsidRPr="00D30C33">
        <w:rPr>
          <w:rFonts w:cs="Arial"/>
          <w:sz w:val="22"/>
          <w:szCs w:val="22"/>
        </w:rPr>
        <w:t>ozhodnutí</w:t>
      </w:r>
      <w:r w:rsidR="00E078AE" w:rsidRPr="0099192D">
        <w:rPr>
          <w:rFonts w:cs="Arial"/>
          <w:sz w:val="22"/>
          <w:szCs w:val="22"/>
        </w:rPr>
        <w:t xml:space="preserve"> o poskytnutí dotace</w:t>
      </w:r>
      <w:r w:rsidR="00E078AE" w:rsidRPr="00CE4C4E">
        <w:rPr>
          <w:rFonts w:cs="Arial"/>
          <w:sz w:val="22"/>
          <w:szCs w:val="22"/>
        </w:rPr>
        <w:t xml:space="preserve"> </w:t>
      </w:r>
      <w:r w:rsidR="00AB04A4" w:rsidRPr="00A032F8">
        <w:rPr>
          <w:rFonts w:cs="Arial"/>
          <w:sz w:val="22"/>
          <w:szCs w:val="22"/>
        </w:rPr>
        <w:t>705</w:t>
      </w:r>
      <w:r w:rsidR="00E078AE" w:rsidRPr="00A032F8">
        <w:rPr>
          <w:rFonts w:cs="Arial"/>
          <w:sz w:val="22"/>
          <w:szCs w:val="22"/>
        </w:rPr>
        <w:t>,</w:t>
      </w:r>
      <w:r w:rsidR="00AB04A4" w:rsidRPr="00A032F8">
        <w:rPr>
          <w:rFonts w:cs="Arial"/>
          <w:sz w:val="22"/>
          <w:szCs w:val="22"/>
        </w:rPr>
        <w:t>1</w:t>
      </w:r>
      <w:r w:rsidR="00E078AE" w:rsidRPr="00A032F8">
        <w:rPr>
          <w:rFonts w:cs="Arial"/>
          <w:sz w:val="22"/>
          <w:szCs w:val="22"/>
        </w:rPr>
        <w:t xml:space="preserve"> mil. Kč</w:t>
      </w:r>
      <w:r w:rsidR="00AB04A4" w:rsidRPr="00A032F8">
        <w:rPr>
          <w:rFonts w:cs="Arial"/>
          <w:sz w:val="22"/>
          <w:szCs w:val="22"/>
        </w:rPr>
        <w:t>, z</w:t>
      </w:r>
      <w:r w:rsidR="00785380" w:rsidRPr="00A032F8">
        <w:rPr>
          <w:rFonts w:cs="Arial"/>
          <w:sz w:val="22"/>
          <w:szCs w:val="22"/>
        </w:rPr>
        <w:t xml:space="preserve"> </w:t>
      </w:r>
      <w:r w:rsidR="00AB04A4" w:rsidRPr="00A032F8">
        <w:rPr>
          <w:rFonts w:cs="Arial"/>
          <w:sz w:val="22"/>
          <w:szCs w:val="22"/>
        </w:rPr>
        <w:t>toho dotace z</w:t>
      </w:r>
      <w:r w:rsidR="00785380" w:rsidRPr="00A032F8">
        <w:rPr>
          <w:rFonts w:cs="Arial"/>
          <w:sz w:val="22"/>
          <w:szCs w:val="22"/>
        </w:rPr>
        <w:t xml:space="preserve"> </w:t>
      </w:r>
      <w:r w:rsidR="00AB04A4" w:rsidRPr="00A032F8">
        <w:rPr>
          <w:rFonts w:cs="Arial"/>
          <w:sz w:val="22"/>
          <w:szCs w:val="22"/>
        </w:rPr>
        <w:t>programu č. 129 120 činila 649,8 mil. Kč</w:t>
      </w:r>
      <w:r w:rsidR="0002450C" w:rsidRPr="00A032F8">
        <w:rPr>
          <w:rFonts w:cs="Arial"/>
          <w:sz w:val="22"/>
          <w:szCs w:val="22"/>
        </w:rPr>
        <w:t>. T</w:t>
      </w:r>
      <w:r w:rsidR="00A005EE" w:rsidRPr="00A032F8">
        <w:rPr>
          <w:rFonts w:cs="Arial"/>
          <w:sz w:val="22"/>
          <w:szCs w:val="22"/>
        </w:rPr>
        <w:t xml:space="preserve">ermín ukončení byl stanoven na červen 2013. </w:t>
      </w:r>
      <w:r w:rsidR="00AB04A4" w:rsidRPr="00A032F8">
        <w:rPr>
          <w:rFonts w:cs="Arial"/>
          <w:sz w:val="22"/>
          <w:szCs w:val="22"/>
        </w:rPr>
        <w:t>V</w:t>
      </w:r>
      <w:r w:rsidR="00785380" w:rsidRPr="00A032F8">
        <w:rPr>
          <w:rFonts w:cs="Arial"/>
          <w:sz w:val="22"/>
          <w:szCs w:val="22"/>
        </w:rPr>
        <w:t xml:space="preserve"> </w:t>
      </w:r>
      <w:r w:rsidR="00E078AE" w:rsidRPr="00A032F8">
        <w:rPr>
          <w:rFonts w:cs="Arial"/>
          <w:sz w:val="22"/>
          <w:szCs w:val="22"/>
        </w:rPr>
        <w:t>době kontroly bylo</w:t>
      </w:r>
      <w:r w:rsidR="00527671" w:rsidRPr="00A032F8">
        <w:rPr>
          <w:rFonts w:cs="Arial"/>
          <w:sz w:val="22"/>
          <w:szCs w:val="22"/>
        </w:rPr>
        <w:t xml:space="preserve"> z dotace</w:t>
      </w:r>
      <w:r w:rsidR="00E078AE" w:rsidRPr="00A032F8">
        <w:rPr>
          <w:rFonts w:cs="Arial"/>
          <w:sz w:val="22"/>
          <w:szCs w:val="22"/>
        </w:rPr>
        <w:t xml:space="preserve"> vyčerpáno 645,8 mil. Kč</w:t>
      </w:r>
      <w:r w:rsidR="00AB04A4" w:rsidRPr="00A032F8">
        <w:rPr>
          <w:rFonts w:cs="Arial"/>
          <w:sz w:val="22"/>
          <w:szCs w:val="22"/>
        </w:rPr>
        <w:t xml:space="preserve"> a z</w:t>
      </w:r>
      <w:r w:rsidR="00785380" w:rsidRPr="00A032F8">
        <w:rPr>
          <w:rFonts w:cs="Arial"/>
          <w:sz w:val="22"/>
          <w:szCs w:val="22"/>
        </w:rPr>
        <w:t xml:space="preserve"> </w:t>
      </w:r>
      <w:r w:rsidR="00AB04A4" w:rsidRPr="00A032F8">
        <w:rPr>
          <w:rFonts w:cs="Arial"/>
          <w:sz w:val="22"/>
          <w:szCs w:val="22"/>
        </w:rPr>
        <w:t xml:space="preserve">celkové délky </w:t>
      </w:r>
      <w:r w:rsidR="00A005EE" w:rsidRPr="00A032F8">
        <w:rPr>
          <w:rFonts w:cs="Arial"/>
          <w:sz w:val="22"/>
          <w:szCs w:val="22"/>
        </w:rPr>
        <w:t>protipovodňové ochrany 6</w:t>
      </w:r>
      <w:r w:rsidR="00477687" w:rsidRPr="00A032F8">
        <w:rPr>
          <w:rFonts w:cs="Arial"/>
          <w:sz w:val="22"/>
          <w:szCs w:val="22"/>
        </w:rPr>
        <w:t xml:space="preserve"> 442 m </w:t>
      </w:r>
      <w:r w:rsidR="00786561" w:rsidRPr="00A032F8">
        <w:rPr>
          <w:rFonts w:cs="Arial"/>
          <w:sz w:val="22"/>
          <w:szCs w:val="22"/>
        </w:rPr>
        <w:t xml:space="preserve">bylo </w:t>
      </w:r>
      <w:r w:rsidR="00527671" w:rsidRPr="00A032F8">
        <w:rPr>
          <w:rFonts w:cs="Arial"/>
          <w:sz w:val="22"/>
          <w:szCs w:val="22"/>
        </w:rPr>
        <w:t>dokončeno</w:t>
      </w:r>
      <w:r w:rsidR="00477687" w:rsidRPr="00A032F8">
        <w:rPr>
          <w:rFonts w:cs="Arial"/>
          <w:sz w:val="22"/>
          <w:szCs w:val="22"/>
        </w:rPr>
        <w:t xml:space="preserve"> 6</w:t>
      </w:r>
      <w:r w:rsidR="00F759AE">
        <w:rPr>
          <w:rFonts w:cs="Arial"/>
          <w:sz w:val="22"/>
          <w:szCs w:val="22"/>
        </w:rPr>
        <w:t> </w:t>
      </w:r>
      <w:r w:rsidR="00477687" w:rsidRPr="00A032F8">
        <w:rPr>
          <w:rFonts w:cs="Arial"/>
          <w:sz w:val="22"/>
          <w:szCs w:val="22"/>
        </w:rPr>
        <w:t>34</w:t>
      </w:r>
      <w:r w:rsidR="00AB04A4" w:rsidRPr="00A032F8">
        <w:rPr>
          <w:rFonts w:cs="Arial"/>
          <w:sz w:val="22"/>
          <w:szCs w:val="22"/>
        </w:rPr>
        <w:t>8</w:t>
      </w:r>
      <w:r w:rsidR="00F759AE">
        <w:rPr>
          <w:rFonts w:cs="Arial"/>
          <w:sz w:val="22"/>
          <w:szCs w:val="22"/>
        </w:rPr>
        <w:t> </w:t>
      </w:r>
      <w:r w:rsidR="00AB04A4" w:rsidRPr="00A032F8">
        <w:rPr>
          <w:rFonts w:cs="Arial"/>
          <w:sz w:val="22"/>
          <w:szCs w:val="22"/>
        </w:rPr>
        <w:t>m.</w:t>
      </w:r>
      <w:r w:rsidR="00A005EE" w:rsidRPr="00A032F8">
        <w:rPr>
          <w:rFonts w:cs="Arial"/>
          <w:sz w:val="22"/>
          <w:szCs w:val="22"/>
        </w:rPr>
        <w:t xml:space="preserve"> Realizované práce převzalo Povodí Labe v</w:t>
      </w:r>
      <w:r w:rsidR="00785380" w:rsidRPr="00A032F8">
        <w:rPr>
          <w:rFonts w:cs="Arial"/>
          <w:sz w:val="22"/>
          <w:szCs w:val="22"/>
        </w:rPr>
        <w:t xml:space="preserve"> </w:t>
      </w:r>
      <w:r w:rsidR="00A005EE" w:rsidRPr="00A032F8">
        <w:rPr>
          <w:rFonts w:cs="Arial"/>
          <w:sz w:val="22"/>
          <w:szCs w:val="22"/>
        </w:rPr>
        <w:t xml:space="preserve">říjnu 2012. Zbylá část </w:t>
      </w:r>
      <w:r w:rsidR="00786561" w:rsidRPr="00A032F8">
        <w:rPr>
          <w:rFonts w:cs="Arial"/>
          <w:sz w:val="22"/>
          <w:szCs w:val="22"/>
        </w:rPr>
        <w:t>má být</w:t>
      </w:r>
      <w:r w:rsidR="00A005EE" w:rsidRPr="00A032F8">
        <w:rPr>
          <w:rFonts w:cs="Arial"/>
          <w:sz w:val="22"/>
          <w:szCs w:val="22"/>
        </w:rPr>
        <w:t xml:space="preserve"> řešena jako nová stavba. Důvodem byla změna trasy linie protipovodňového opatření, neboť majitel pozemku v</w:t>
      </w:r>
      <w:r w:rsidR="00785380" w:rsidRPr="00A032F8">
        <w:rPr>
          <w:rFonts w:cs="Arial"/>
          <w:sz w:val="22"/>
          <w:szCs w:val="22"/>
        </w:rPr>
        <w:t xml:space="preserve"> </w:t>
      </w:r>
      <w:r w:rsidR="00A005EE" w:rsidRPr="00A032F8">
        <w:rPr>
          <w:rFonts w:cs="Arial"/>
          <w:sz w:val="22"/>
          <w:szCs w:val="22"/>
        </w:rPr>
        <w:t>původní linii nesouhlasil se vstupem a</w:t>
      </w:r>
      <w:r w:rsidR="002F5A6D" w:rsidRPr="00A032F8">
        <w:rPr>
          <w:rFonts w:cs="Arial"/>
          <w:sz w:val="22"/>
          <w:szCs w:val="22"/>
        </w:rPr>
        <w:t> </w:t>
      </w:r>
      <w:r w:rsidR="00A005EE" w:rsidRPr="00A032F8">
        <w:rPr>
          <w:rFonts w:cs="Arial"/>
          <w:sz w:val="22"/>
          <w:szCs w:val="22"/>
        </w:rPr>
        <w:t>provedením prací na jeho pozemku.</w:t>
      </w:r>
      <w:r w:rsidR="00527671" w:rsidRPr="00A032F8">
        <w:rPr>
          <w:rFonts w:cs="Arial"/>
          <w:sz w:val="22"/>
          <w:szCs w:val="22"/>
        </w:rPr>
        <w:t xml:space="preserve"> </w:t>
      </w:r>
      <w:r w:rsidR="00A005EE" w:rsidRPr="00A032F8">
        <w:rPr>
          <w:rFonts w:cs="Arial"/>
          <w:sz w:val="22"/>
          <w:szCs w:val="22"/>
        </w:rPr>
        <w:t xml:space="preserve"> </w:t>
      </w:r>
    </w:p>
    <w:p w:rsidR="00A005EE" w:rsidRPr="00A032F8" w:rsidRDefault="00A005EE" w:rsidP="001671F8">
      <w:pPr>
        <w:jc w:val="both"/>
        <w:rPr>
          <w:rFonts w:cs="Arial"/>
          <w:sz w:val="22"/>
          <w:szCs w:val="22"/>
        </w:rPr>
      </w:pPr>
    </w:p>
    <w:p w:rsidR="00493B5B" w:rsidRPr="00A032F8" w:rsidRDefault="00A005EE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 xml:space="preserve">Podle </w:t>
      </w:r>
      <w:r w:rsidR="00786561" w:rsidRPr="00A032F8">
        <w:rPr>
          <w:rFonts w:cs="Arial"/>
          <w:sz w:val="22"/>
          <w:szCs w:val="22"/>
        </w:rPr>
        <w:t>dokumentace pro územní řízení</w:t>
      </w:r>
      <w:r w:rsidR="00527671" w:rsidRPr="00A032F8">
        <w:rPr>
          <w:rFonts w:cs="Arial"/>
          <w:sz w:val="22"/>
          <w:szCs w:val="22"/>
        </w:rPr>
        <w:t xml:space="preserve"> z</w:t>
      </w:r>
      <w:r w:rsidR="00785380" w:rsidRPr="00A032F8">
        <w:rPr>
          <w:rFonts w:cs="Arial"/>
          <w:sz w:val="22"/>
          <w:szCs w:val="22"/>
        </w:rPr>
        <w:t xml:space="preserve"> </w:t>
      </w:r>
      <w:r w:rsidR="00527671" w:rsidRPr="00A032F8">
        <w:rPr>
          <w:rFonts w:cs="Arial"/>
          <w:sz w:val="22"/>
          <w:szCs w:val="22"/>
        </w:rPr>
        <w:t>roku 2006</w:t>
      </w:r>
      <w:r w:rsidR="00786561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měla být protipovodňová ochrana realizována</w:t>
      </w:r>
      <w:r w:rsidR="00E6756B" w:rsidRPr="00A032F8">
        <w:rPr>
          <w:rFonts w:cs="Arial"/>
          <w:sz w:val="22"/>
          <w:szCs w:val="22"/>
        </w:rPr>
        <w:t xml:space="preserve"> v</w:t>
      </w:r>
      <w:r w:rsidR="00785380" w:rsidRPr="00A032F8">
        <w:rPr>
          <w:rFonts w:cs="Arial"/>
          <w:sz w:val="22"/>
          <w:szCs w:val="22"/>
        </w:rPr>
        <w:t xml:space="preserve"> </w:t>
      </w:r>
      <w:r w:rsidR="00CB7C83" w:rsidRPr="00A032F8">
        <w:rPr>
          <w:rFonts w:cs="Arial"/>
          <w:sz w:val="22"/>
          <w:szCs w:val="22"/>
        </w:rPr>
        <w:t>pěti</w:t>
      </w:r>
      <w:r w:rsidR="00E6756B" w:rsidRPr="00A032F8">
        <w:rPr>
          <w:rFonts w:cs="Arial"/>
          <w:sz w:val="22"/>
          <w:szCs w:val="22"/>
        </w:rPr>
        <w:t xml:space="preserve"> lokalitách v</w:t>
      </w:r>
      <w:r w:rsidR="00785380" w:rsidRPr="00A032F8">
        <w:rPr>
          <w:rFonts w:cs="Arial"/>
          <w:sz w:val="22"/>
          <w:szCs w:val="22"/>
        </w:rPr>
        <w:t xml:space="preserve"> </w:t>
      </w:r>
      <w:r w:rsidR="00E6756B" w:rsidRPr="00A032F8">
        <w:rPr>
          <w:rFonts w:cs="Arial"/>
          <w:sz w:val="22"/>
          <w:szCs w:val="22"/>
        </w:rPr>
        <w:t xml:space="preserve">délce </w:t>
      </w:r>
      <w:r w:rsidR="00527671" w:rsidRPr="00A032F8">
        <w:rPr>
          <w:rFonts w:cs="Arial"/>
          <w:sz w:val="22"/>
          <w:szCs w:val="22"/>
        </w:rPr>
        <w:t>8</w:t>
      </w:r>
      <w:r w:rsidR="00F759AE">
        <w:rPr>
          <w:rFonts w:cs="Arial"/>
          <w:sz w:val="22"/>
          <w:szCs w:val="22"/>
        </w:rPr>
        <w:t> </w:t>
      </w:r>
      <w:r w:rsidR="00527671" w:rsidRPr="00A032F8">
        <w:rPr>
          <w:rFonts w:cs="Arial"/>
          <w:sz w:val="22"/>
          <w:szCs w:val="22"/>
        </w:rPr>
        <w:t>1</w:t>
      </w:r>
      <w:r w:rsidR="00786561" w:rsidRPr="00A032F8">
        <w:rPr>
          <w:rFonts w:cs="Arial"/>
          <w:sz w:val="22"/>
          <w:szCs w:val="22"/>
        </w:rPr>
        <w:t>9</w:t>
      </w:r>
      <w:r w:rsidR="00527671" w:rsidRPr="00A032F8">
        <w:rPr>
          <w:rFonts w:cs="Arial"/>
          <w:sz w:val="22"/>
          <w:szCs w:val="22"/>
        </w:rPr>
        <w:t>7</w:t>
      </w:r>
      <w:r w:rsidR="00F759AE">
        <w:rPr>
          <w:rFonts w:cs="Arial"/>
          <w:sz w:val="22"/>
          <w:szCs w:val="22"/>
        </w:rPr>
        <w:t> </w:t>
      </w:r>
      <w:r w:rsidR="00734414" w:rsidRPr="00A032F8">
        <w:rPr>
          <w:rFonts w:cs="Arial"/>
          <w:sz w:val="22"/>
          <w:szCs w:val="22"/>
        </w:rPr>
        <w:t>m s</w:t>
      </w:r>
      <w:r w:rsidR="00785380" w:rsidRPr="00A032F8">
        <w:rPr>
          <w:rFonts w:cs="Arial"/>
          <w:sz w:val="22"/>
          <w:szCs w:val="22"/>
        </w:rPr>
        <w:t xml:space="preserve"> </w:t>
      </w:r>
      <w:r w:rsidR="00734414" w:rsidRPr="00A032F8">
        <w:rPr>
          <w:rFonts w:cs="Arial"/>
          <w:sz w:val="22"/>
          <w:szCs w:val="22"/>
        </w:rPr>
        <w:t xml:space="preserve">náklady </w:t>
      </w:r>
      <w:r w:rsidR="00786561" w:rsidRPr="00A032F8">
        <w:rPr>
          <w:rFonts w:cs="Arial"/>
          <w:sz w:val="22"/>
          <w:szCs w:val="22"/>
        </w:rPr>
        <w:t>631</w:t>
      </w:r>
      <w:r w:rsidR="00F759AE">
        <w:rPr>
          <w:rFonts w:cs="Arial"/>
          <w:sz w:val="22"/>
          <w:szCs w:val="22"/>
        </w:rPr>
        <w:t> </w:t>
      </w:r>
      <w:r w:rsidR="00E6756B" w:rsidRPr="00A032F8">
        <w:rPr>
          <w:rFonts w:cs="Arial"/>
          <w:sz w:val="22"/>
          <w:szCs w:val="22"/>
        </w:rPr>
        <w:t>mil.</w:t>
      </w:r>
      <w:r w:rsidR="00F759AE">
        <w:rPr>
          <w:rFonts w:cs="Arial"/>
          <w:sz w:val="22"/>
          <w:szCs w:val="22"/>
        </w:rPr>
        <w:t> </w:t>
      </w:r>
      <w:r w:rsidR="00E6756B" w:rsidRPr="00A032F8">
        <w:rPr>
          <w:rFonts w:cs="Arial"/>
          <w:sz w:val="22"/>
          <w:szCs w:val="22"/>
        </w:rPr>
        <w:t>Kč.</w:t>
      </w:r>
      <w:r w:rsidR="0002450C" w:rsidRPr="00A032F8">
        <w:rPr>
          <w:rFonts w:cs="Arial"/>
          <w:sz w:val="22"/>
          <w:szCs w:val="22"/>
        </w:rPr>
        <w:t xml:space="preserve"> V</w:t>
      </w:r>
      <w:r w:rsidR="00785380" w:rsidRPr="00A032F8">
        <w:rPr>
          <w:rFonts w:cs="Arial"/>
          <w:sz w:val="22"/>
          <w:szCs w:val="22"/>
        </w:rPr>
        <w:t xml:space="preserve"> </w:t>
      </w:r>
      <w:r w:rsidR="0002450C" w:rsidRPr="00A032F8">
        <w:rPr>
          <w:rFonts w:cs="Arial"/>
          <w:sz w:val="22"/>
          <w:szCs w:val="22"/>
        </w:rPr>
        <w:t>průběhu</w:t>
      </w:r>
      <w:r w:rsidR="00493B5B" w:rsidRPr="00A032F8">
        <w:rPr>
          <w:rFonts w:cs="Arial"/>
          <w:sz w:val="22"/>
          <w:szCs w:val="22"/>
        </w:rPr>
        <w:t xml:space="preserve"> další</w:t>
      </w:r>
      <w:r w:rsidR="00AE05F5" w:rsidRPr="00A032F8">
        <w:rPr>
          <w:rFonts w:cs="Arial"/>
          <w:sz w:val="22"/>
          <w:szCs w:val="22"/>
        </w:rPr>
        <w:t xml:space="preserve"> přípravy však byly z</w:t>
      </w:r>
      <w:r w:rsidR="00785380" w:rsidRPr="00A032F8">
        <w:rPr>
          <w:rFonts w:cs="Arial"/>
          <w:sz w:val="22"/>
          <w:szCs w:val="22"/>
        </w:rPr>
        <w:t xml:space="preserve"> </w:t>
      </w:r>
      <w:r w:rsidR="00AE05F5" w:rsidRPr="00A032F8">
        <w:rPr>
          <w:rFonts w:cs="Arial"/>
          <w:sz w:val="22"/>
          <w:szCs w:val="22"/>
        </w:rPr>
        <w:t>protipovodňové ochrany postupně vypuštěny</w:t>
      </w:r>
      <w:r w:rsidR="00493B5B" w:rsidRPr="00A032F8">
        <w:rPr>
          <w:rFonts w:cs="Arial"/>
          <w:sz w:val="22"/>
          <w:szCs w:val="22"/>
        </w:rPr>
        <w:t xml:space="preserve"> tři</w:t>
      </w:r>
      <w:r w:rsidR="00AE05F5" w:rsidRPr="00A032F8">
        <w:rPr>
          <w:rFonts w:cs="Arial"/>
          <w:sz w:val="22"/>
          <w:szCs w:val="22"/>
        </w:rPr>
        <w:t xml:space="preserve"> lokality</w:t>
      </w:r>
      <w:r w:rsidR="00493B5B" w:rsidRPr="00A032F8">
        <w:rPr>
          <w:rFonts w:cs="Arial"/>
          <w:sz w:val="22"/>
          <w:szCs w:val="22"/>
        </w:rPr>
        <w:t>. Protipovodňová opatření se tak nakonec týkala jen lokalit Lovo</w:t>
      </w:r>
      <w:r w:rsidR="00786561" w:rsidRPr="00A032F8">
        <w:rPr>
          <w:rFonts w:cs="Arial"/>
          <w:sz w:val="22"/>
          <w:szCs w:val="22"/>
        </w:rPr>
        <w:t>sice, průmyslová část a Píšťany. Měla chránit proti účinkům stoleté vody (průtok cca 4</w:t>
      </w:r>
      <w:r w:rsidR="00F759AE">
        <w:rPr>
          <w:rFonts w:cs="Arial"/>
          <w:sz w:val="22"/>
          <w:szCs w:val="22"/>
        </w:rPr>
        <w:t> </w:t>
      </w:r>
      <w:r w:rsidR="00786561" w:rsidRPr="00A032F8">
        <w:rPr>
          <w:rFonts w:cs="Arial"/>
          <w:sz w:val="22"/>
          <w:szCs w:val="22"/>
        </w:rPr>
        <w:t>415 m</w:t>
      </w:r>
      <w:r w:rsidR="00786561" w:rsidRPr="00A032F8">
        <w:rPr>
          <w:rFonts w:cs="Arial"/>
          <w:sz w:val="22"/>
          <w:szCs w:val="22"/>
          <w:vertAlign w:val="superscript"/>
        </w:rPr>
        <w:t>3</w:t>
      </w:r>
      <w:r w:rsidR="00786561" w:rsidRPr="00A032F8">
        <w:rPr>
          <w:rFonts w:cs="Arial"/>
          <w:sz w:val="22"/>
          <w:szCs w:val="22"/>
        </w:rPr>
        <w:t xml:space="preserve">/s). </w:t>
      </w:r>
    </w:p>
    <w:p w:rsidR="00E624ED" w:rsidRPr="00A032F8" w:rsidRDefault="00E624ED" w:rsidP="001671F8">
      <w:pPr>
        <w:jc w:val="both"/>
        <w:rPr>
          <w:rFonts w:cs="Arial"/>
          <w:sz w:val="22"/>
          <w:szCs w:val="22"/>
        </w:rPr>
      </w:pPr>
    </w:p>
    <w:p w:rsidR="00786561" w:rsidRPr="00A032F8" w:rsidRDefault="00477687" w:rsidP="001671F8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sz w:val="22"/>
          <w:szCs w:val="22"/>
        </w:rPr>
        <w:t>Z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 xml:space="preserve">uvedeného </w:t>
      </w:r>
      <w:r w:rsidR="00A4065E" w:rsidRPr="00A032F8">
        <w:rPr>
          <w:rFonts w:cs="Arial"/>
          <w:sz w:val="22"/>
          <w:szCs w:val="22"/>
        </w:rPr>
        <w:t>vyplývá</w:t>
      </w:r>
      <w:r w:rsidRPr="00A032F8">
        <w:rPr>
          <w:rFonts w:cs="Arial"/>
          <w:sz w:val="22"/>
          <w:szCs w:val="22"/>
        </w:rPr>
        <w:t>, že</w:t>
      </w:r>
      <w:r w:rsidRPr="00CE4C4E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v</w:t>
      </w:r>
      <w:r w:rsidR="00785380" w:rsidRPr="00A032F8">
        <w:rPr>
          <w:rFonts w:cs="Arial"/>
          <w:sz w:val="22"/>
          <w:szCs w:val="22"/>
        </w:rPr>
        <w:t xml:space="preserve"> </w:t>
      </w:r>
      <w:r w:rsidRPr="00A032F8">
        <w:rPr>
          <w:rFonts w:cs="Arial"/>
          <w:sz w:val="22"/>
          <w:szCs w:val="22"/>
        </w:rPr>
        <w:t>průběhu přípravy</w:t>
      </w:r>
      <w:r w:rsidRPr="00A032F8">
        <w:rPr>
          <w:rFonts w:cs="Arial"/>
          <w:b/>
          <w:sz w:val="22"/>
          <w:szCs w:val="22"/>
        </w:rPr>
        <w:t xml:space="preserve"> </w:t>
      </w:r>
      <w:r w:rsidR="00AF5229" w:rsidRPr="00A032F8">
        <w:rPr>
          <w:rFonts w:cs="Arial"/>
          <w:b/>
          <w:sz w:val="22"/>
          <w:szCs w:val="22"/>
        </w:rPr>
        <w:t xml:space="preserve">byly zredukovány </w:t>
      </w:r>
      <w:r w:rsidRPr="00A032F8">
        <w:rPr>
          <w:rFonts w:cs="Arial"/>
          <w:b/>
          <w:sz w:val="22"/>
          <w:szCs w:val="22"/>
        </w:rPr>
        <w:t>lokalit</w:t>
      </w:r>
      <w:r w:rsidR="00AF5229" w:rsidRPr="00A032F8">
        <w:rPr>
          <w:rFonts w:cs="Arial"/>
          <w:b/>
          <w:sz w:val="22"/>
          <w:szCs w:val="22"/>
        </w:rPr>
        <w:t>y</w:t>
      </w:r>
      <w:r w:rsidRPr="00A032F8">
        <w:rPr>
          <w:rFonts w:cs="Arial"/>
          <w:b/>
          <w:sz w:val="22"/>
          <w:szCs w:val="22"/>
        </w:rPr>
        <w:t>, kterých se protipovodňová ochrana měla týkat,</w:t>
      </w:r>
      <w:r w:rsidR="00AF5229" w:rsidRPr="00A032F8">
        <w:rPr>
          <w:rFonts w:cs="Arial"/>
          <w:b/>
          <w:sz w:val="22"/>
          <w:szCs w:val="22"/>
        </w:rPr>
        <w:t xml:space="preserve"> </w:t>
      </w:r>
      <w:r w:rsidR="00CE4C4E">
        <w:rPr>
          <w:rFonts w:cs="Arial"/>
          <w:b/>
          <w:sz w:val="22"/>
          <w:szCs w:val="22"/>
        </w:rPr>
        <w:t>dále byla</w:t>
      </w:r>
      <w:r w:rsidR="00AF5229" w:rsidRPr="00A032F8">
        <w:rPr>
          <w:rFonts w:cs="Arial"/>
          <w:b/>
          <w:sz w:val="22"/>
          <w:szCs w:val="22"/>
        </w:rPr>
        <w:t xml:space="preserve"> </w:t>
      </w:r>
      <w:r w:rsidR="00853250" w:rsidRPr="00A032F8">
        <w:rPr>
          <w:rFonts w:cs="Arial"/>
          <w:b/>
          <w:sz w:val="22"/>
          <w:szCs w:val="22"/>
        </w:rPr>
        <w:t>zkrácena délka</w:t>
      </w:r>
      <w:r w:rsidRPr="00A032F8">
        <w:rPr>
          <w:rFonts w:cs="Arial"/>
          <w:b/>
          <w:sz w:val="22"/>
          <w:szCs w:val="22"/>
        </w:rPr>
        <w:t xml:space="preserve"> ochrany proti</w:t>
      </w:r>
      <w:r w:rsidR="00786561" w:rsidRPr="00A032F8">
        <w:rPr>
          <w:rFonts w:cs="Arial"/>
          <w:b/>
          <w:sz w:val="22"/>
          <w:szCs w:val="22"/>
        </w:rPr>
        <w:t xml:space="preserve"> původnímu</w:t>
      </w:r>
      <w:r w:rsidRPr="00A032F8">
        <w:rPr>
          <w:rFonts w:cs="Arial"/>
          <w:b/>
          <w:sz w:val="22"/>
          <w:szCs w:val="22"/>
        </w:rPr>
        <w:t xml:space="preserve"> předpokladu o</w:t>
      </w:r>
      <w:r w:rsidR="00A445F6" w:rsidRPr="00A032F8">
        <w:rPr>
          <w:rFonts w:cs="Arial"/>
          <w:b/>
          <w:sz w:val="22"/>
          <w:szCs w:val="22"/>
        </w:rPr>
        <w:t xml:space="preserve"> 21 %</w:t>
      </w:r>
      <w:r w:rsidR="00853250" w:rsidRPr="00A032F8">
        <w:rPr>
          <w:rFonts w:cs="Arial"/>
          <w:b/>
          <w:sz w:val="22"/>
          <w:szCs w:val="22"/>
        </w:rPr>
        <w:t xml:space="preserve">, přičemž náklady byly zvýšeny </w:t>
      </w:r>
      <w:r w:rsidR="00A445F6" w:rsidRPr="00A032F8">
        <w:rPr>
          <w:rFonts w:cs="Arial"/>
          <w:b/>
          <w:sz w:val="22"/>
          <w:szCs w:val="22"/>
        </w:rPr>
        <w:t>o 1</w:t>
      </w:r>
      <w:r w:rsidR="00786561" w:rsidRPr="00A032F8">
        <w:rPr>
          <w:rFonts w:cs="Arial"/>
          <w:b/>
          <w:sz w:val="22"/>
          <w:szCs w:val="22"/>
        </w:rPr>
        <w:t>2</w:t>
      </w:r>
      <w:r w:rsidR="00A445F6" w:rsidRPr="00A032F8">
        <w:rPr>
          <w:rFonts w:cs="Arial"/>
          <w:b/>
          <w:sz w:val="22"/>
          <w:szCs w:val="22"/>
        </w:rPr>
        <w:t xml:space="preserve"> %.</w:t>
      </w:r>
    </w:p>
    <w:p w:rsidR="006068B1" w:rsidRPr="00A032F8" w:rsidRDefault="006068B1" w:rsidP="001671F8">
      <w:pPr>
        <w:jc w:val="both"/>
        <w:rPr>
          <w:rFonts w:cs="Arial"/>
          <w:sz w:val="22"/>
          <w:szCs w:val="22"/>
        </w:rPr>
      </w:pPr>
    </w:p>
    <w:p w:rsidR="00E01C18" w:rsidRPr="00A032F8" w:rsidRDefault="00E01C18" w:rsidP="001671F8">
      <w:pPr>
        <w:jc w:val="both"/>
        <w:rPr>
          <w:rFonts w:cs="Arial"/>
          <w:sz w:val="22"/>
          <w:szCs w:val="22"/>
        </w:rPr>
      </w:pPr>
    </w:p>
    <w:p w:rsidR="002A31B4" w:rsidRPr="00A032F8" w:rsidRDefault="009C1291" w:rsidP="00F1578B">
      <w:pPr>
        <w:jc w:val="center"/>
        <w:rPr>
          <w:rFonts w:cs="Arial"/>
        </w:rPr>
      </w:pPr>
      <w:r w:rsidRPr="00A032F8">
        <w:rPr>
          <w:rFonts w:cs="Arial"/>
          <w:b/>
        </w:rPr>
        <w:t>III. Shrnutí a vyhodnocení</w:t>
      </w:r>
    </w:p>
    <w:p w:rsidR="00CA4CC3" w:rsidRPr="00A032F8" w:rsidRDefault="00CA4CC3" w:rsidP="002041DA">
      <w:pPr>
        <w:jc w:val="both"/>
        <w:rPr>
          <w:rFonts w:cs="Arial"/>
          <w:sz w:val="22"/>
          <w:szCs w:val="22"/>
        </w:rPr>
      </w:pPr>
    </w:p>
    <w:p w:rsidR="003E3DFD" w:rsidRPr="00A032F8" w:rsidRDefault="00572525" w:rsidP="002041DA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Kontrola byla zaměřena na programy</w:t>
      </w:r>
      <w:r w:rsidR="0063442E">
        <w:rPr>
          <w:rFonts w:cs="Arial"/>
          <w:b/>
          <w:sz w:val="22"/>
          <w:szCs w:val="22"/>
        </w:rPr>
        <w:t xml:space="preserve"> č. 129 </w:t>
      </w:r>
      <w:r w:rsidR="0068158A" w:rsidRPr="00A032F8">
        <w:rPr>
          <w:rFonts w:cs="Arial"/>
          <w:b/>
          <w:sz w:val="22"/>
          <w:szCs w:val="22"/>
        </w:rPr>
        <w:t>120 a</w:t>
      </w:r>
      <w:r w:rsidR="006C1F49" w:rsidRPr="00A032F8">
        <w:rPr>
          <w:rFonts w:cs="Arial"/>
          <w:b/>
          <w:sz w:val="22"/>
          <w:szCs w:val="22"/>
        </w:rPr>
        <w:t xml:space="preserve"> č.</w:t>
      </w:r>
      <w:r w:rsidR="0063442E">
        <w:rPr>
          <w:rFonts w:cs="Arial"/>
          <w:b/>
          <w:sz w:val="22"/>
          <w:szCs w:val="22"/>
        </w:rPr>
        <w:t> 129 </w:t>
      </w:r>
      <w:r w:rsidR="0068158A" w:rsidRPr="00A032F8">
        <w:rPr>
          <w:rFonts w:cs="Arial"/>
          <w:b/>
          <w:sz w:val="22"/>
          <w:szCs w:val="22"/>
        </w:rPr>
        <w:t xml:space="preserve">130, které byly součástí projektu komplexního řešení protipovodňové ochrany České republiky. </w:t>
      </w:r>
      <w:r w:rsidR="00B00B62" w:rsidRPr="00A032F8">
        <w:rPr>
          <w:rFonts w:cs="Arial"/>
          <w:b/>
          <w:sz w:val="22"/>
          <w:szCs w:val="22"/>
        </w:rPr>
        <w:t>P</w:t>
      </w:r>
      <w:r w:rsidR="0010734A" w:rsidRPr="00A032F8">
        <w:rPr>
          <w:rFonts w:cs="Arial"/>
          <w:b/>
          <w:sz w:val="22"/>
          <w:szCs w:val="22"/>
        </w:rPr>
        <w:t xml:space="preserve">rověřováno </w:t>
      </w:r>
      <w:r w:rsidR="00B00B62" w:rsidRPr="00A032F8">
        <w:rPr>
          <w:rFonts w:cs="Arial"/>
          <w:b/>
          <w:sz w:val="22"/>
          <w:szCs w:val="22"/>
        </w:rPr>
        <w:t xml:space="preserve">bylo </w:t>
      </w:r>
      <w:r w:rsidR="0010734A" w:rsidRPr="00A032F8">
        <w:rPr>
          <w:rFonts w:cs="Arial"/>
          <w:b/>
          <w:sz w:val="22"/>
          <w:szCs w:val="22"/>
        </w:rPr>
        <w:t xml:space="preserve">plnění </w:t>
      </w:r>
      <w:r w:rsidR="00B00B62" w:rsidRPr="00A032F8">
        <w:rPr>
          <w:rFonts w:cs="Arial"/>
          <w:b/>
          <w:sz w:val="22"/>
          <w:szCs w:val="22"/>
        </w:rPr>
        <w:t>povinností</w:t>
      </w:r>
      <w:r w:rsidR="00840C41" w:rsidRPr="00A032F8">
        <w:rPr>
          <w:rFonts w:cs="Arial"/>
          <w:b/>
          <w:sz w:val="22"/>
          <w:szCs w:val="22"/>
        </w:rPr>
        <w:t xml:space="preserve"> </w:t>
      </w:r>
      <w:proofErr w:type="spellStart"/>
      <w:r w:rsidR="00840C41" w:rsidRPr="00A032F8">
        <w:rPr>
          <w:rFonts w:cs="Arial"/>
          <w:b/>
          <w:sz w:val="22"/>
          <w:szCs w:val="22"/>
        </w:rPr>
        <w:t>MZe</w:t>
      </w:r>
      <w:proofErr w:type="spellEnd"/>
      <w:r w:rsidR="00840C41" w:rsidRPr="00A032F8">
        <w:rPr>
          <w:rFonts w:cs="Arial"/>
          <w:b/>
          <w:sz w:val="22"/>
          <w:szCs w:val="22"/>
        </w:rPr>
        <w:t xml:space="preserve"> jako</w:t>
      </w:r>
      <w:r w:rsidR="0010734A" w:rsidRPr="00A032F8">
        <w:rPr>
          <w:rFonts w:cs="Arial"/>
          <w:b/>
          <w:sz w:val="22"/>
          <w:szCs w:val="22"/>
        </w:rPr>
        <w:t xml:space="preserve"> správce programů</w:t>
      </w:r>
      <w:r w:rsidRPr="00A032F8">
        <w:rPr>
          <w:rFonts w:cs="Arial"/>
          <w:b/>
          <w:sz w:val="22"/>
          <w:szCs w:val="22"/>
        </w:rPr>
        <w:t xml:space="preserve"> </w:t>
      </w:r>
      <w:r w:rsidR="0010734A" w:rsidRPr="00A032F8">
        <w:rPr>
          <w:rFonts w:cs="Arial"/>
          <w:b/>
          <w:sz w:val="22"/>
          <w:szCs w:val="22"/>
        </w:rPr>
        <w:t>a</w:t>
      </w:r>
      <w:r w:rsidR="002F5A6D" w:rsidRPr="00A032F8">
        <w:rPr>
          <w:rFonts w:cs="Arial"/>
          <w:b/>
          <w:sz w:val="22"/>
          <w:szCs w:val="22"/>
        </w:rPr>
        <w:t> </w:t>
      </w:r>
      <w:r w:rsidR="0063442E">
        <w:rPr>
          <w:rFonts w:cs="Arial"/>
          <w:b/>
          <w:sz w:val="22"/>
          <w:szCs w:val="22"/>
        </w:rPr>
        <w:t>poskytování, čerpání a </w:t>
      </w:r>
      <w:r w:rsidR="0010734A" w:rsidRPr="00A032F8">
        <w:rPr>
          <w:rFonts w:cs="Arial"/>
          <w:b/>
          <w:sz w:val="22"/>
          <w:szCs w:val="22"/>
        </w:rPr>
        <w:t>použití finančních prostředků z</w:t>
      </w:r>
      <w:r w:rsidR="0063442E">
        <w:rPr>
          <w:rFonts w:cs="Arial"/>
          <w:b/>
          <w:sz w:val="22"/>
          <w:szCs w:val="22"/>
        </w:rPr>
        <w:t> </w:t>
      </w:r>
      <w:r w:rsidR="0068158A" w:rsidRPr="00A032F8">
        <w:rPr>
          <w:rFonts w:cs="Arial"/>
          <w:b/>
          <w:sz w:val="22"/>
          <w:szCs w:val="22"/>
        </w:rPr>
        <w:t>uvedených</w:t>
      </w:r>
      <w:r w:rsidR="0010734A" w:rsidRPr="00A032F8">
        <w:rPr>
          <w:rFonts w:cs="Arial"/>
          <w:b/>
          <w:sz w:val="22"/>
          <w:szCs w:val="22"/>
        </w:rPr>
        <w:t xml:space="preserve"> programů. </w:t>
      </w:r>
      <w:r w:rsidR="0063442E">
        <w:rPr>
          <w:rFonts w:cs="Arial"/>
          <w:b/>
          <w:sz w:val="22"/>
          <w:szCs w:val="22"/>
        </w:rPr>
        <w:t>U </w:t>
      </w:r>
      <w:r w:rsidR="002E62DF" w:rsidRPr="00A032F8">
        <w:rPr>
          <w:rFonts w:cs="Arial"/>
          <w:b/>
          <w:sz w:val="22"/>
          <w:szCs w:val="22"/>
        </w:rPr>
        <w:t>příjemců finančních prostředků bylo prověřeno 33 akcí s</w:t>
      </w:r>
      <w:r w:rsidR="0063442E">
        <w:rPr>
          <w:rFonts w:cs="Arial"/>
          <w:b/>
          <w:sz w:val="22"/>
          <w:szCs w:val="22"/>
        </w:rPr>
        <w:t> </w:t>
      </w:r>
      <w:r w:rsidR="002E62DF" w:rsidRPr="00A032F8">
        <w:rPr>
          <w:rFonts w:cs="Arial"/>
          <w:b/>
          <w:sz w:val="22"/>
          <w:szCs w:val="22"/>
        </w:rPr>
        <w:t>celkovými náklady 2</w:t>
      </w:r>
      <w:r w:rsidR="0063442E">
        <w:rPr>
          <w:rFonts w:cs="Arial"/>
          <w:b/>
          <w:sz w:val="22"/>
          <w:szCs w:val="22"/>
        </w:rPr>
        <w:t> </w:t>
      </w:r>
      <w:r w:rsidR="001C72BF" w:rsidRPr="00A032F8">
        <w:rPr>
          <w:rFonts w:cs="Arial"/>
          <w:b/>
          <w:sz w:val="22"/>
          <w:szCs w:val="22"/>
        </w:rPr>
        <w:t>631</w:t>
      </w:r>
      <w:r w:rsidR="0063442E">
        <w:rPr>
          <w:rFonts w:cs="Arial"/>
          <w:b/>
          <w:sz w:val="22"/>
          <w:szCs w:val="22"/>
        </w:rPr>
        <w:t> mil. </w:t>
      </w:r>
      <w:r w:rsidR="002E62DF" w:rsidRPr="00A032F8">
        <w:rPr>
          <w:rFonts w:cs="Arial"/>
          <w:b/>
          <w:sz w:val="22"/>
          <w:szCs w:val="22"/>
        </w:rPr>
        <w:t xml:space="preserve">Kč. </w:t>
      </w:r>
    </w:p>
    <w:p w:rsidR="003E3DFD" w:rsidRPr="00A032F8" w:rsidRDefault="003E3DFD" w:rsidP="002041DA">
      <w:pPr>
        <w:jc w:val="both"/>
        <w:rPr>
          <w:rFonts w:cs="Arial"/>
          <w:b/>
          <w:sz w:val="22"/>
          <w:szCs w:val="22"/>
        </w:rPr>
      </w:pPr>
    </w:p>
    <w:p w:rsidR="008574E8" w:rsidRPr="00A032F8" w:rsidRDefault="008574E8" w:rsidP="0068158A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Zjištění ukázala, že </w:t>
      </w:r>
      <w:proofErr w:type="spellStart"/>
      <w:r w:rsidRPr="00A032F8">
        <w:rPr>
          <w:rFonts w:cs="Arial"/>
          <w:b/>
          <w:sz w:val="22"/>
          <w:szCs w:val="22"/>
        </w:rPr>
        <w:t>MZe</w:t>
      </w:r>
      <w:proofErr w:type="spellEnd"/>
      <w:r w:rsidRPr="00A032F8">
        <w:rPr>
          <w:rFonts w:cs="Arial"/>
          <w:b/>
          <w:sz w:val="22"/>
          <w:szCs w:val="22"/>
        </w:rPr>
        <w:t xml:space="preserve"> </w:t>
      </w:r>
      <w:r w:rsidR="00B1252F" w:rsidRPr="00A032F8">
        <w:rPr>
          <w:rFonts w:cs="Arial"/>
          <w:b/>
          <w:sz w:val="22"/>
          <w:szCs w:val="22"/>
        </w:rPr>
        <w:t xml:space="preserve">nezvolilo </w:t>
      </w:r>
      <w:r w:rsidRPr="00A032F8">
        <w:rPr>
          <w:rFonts w:cs="Arial"/>
          <w:b/>
          <w:sz w:val="22"/>
          <w:szCs w:val="22"/>
        </w:rPr>
        <w:t>u obou kontrolovaných programů systémový přístup a</w:t>
      </w:r>
      <w:r w:rsidR="00DE4542">
        <w:rPr>
          <w:rFonts w:cs="Arial"/>
          <w:b/>
          <w:sz w:val="22"/>
          <w:szCs w:val="22"/>
        </w:rPr>
        <w:t> </w:t>
      </w:r>
      <w:r w:rsidRPr="00A032F8">
        <w:rPr>
          <w:rFonts w:cs="Arial"/>
          <w:b/>
          <w:sz w:val="22"/>
          <w:szCs w:val="22"/>
        </w:rPr>
        <w:t xml:space="preserve">zaměřovalo se především na jednotlivé akce tak, aby vyčerpalo stanovené finanční prostředky na realizaci programů. </w:t>
      </w:r>
      <w:proofErr w:type="spellStart"/>
      <w:r w:rsidRPr="00A032F8">
        <w:rPr>
          <w:rFonts w:cs="Arial"/>
          <w:b/>
          <w:sz w:val="22"/>
          <w:szCs w:val="22"/>
        </w:rPr>
        <w:t>MZe</w:t>
      </w:r>
      <w:proofErr w:type="spellEnd"/>
      <w:r w:rsidRPr="00A032F8">
        <w:rPr>
          <w:rFonts w:cs="Arial"/>
          <w:b/>
          <w:sz w:val="22"/>
          <w:szCs w:val="22"/>
        </w:rPr>
        <w:t xml:space="preserve"> zejména: </w:t>
      </w:r>
    </w:p>
    <w:p w:rsidR="006D37A8" w:rsidRPr="00A032F8" w:rsidRDefault="005E105F" w:rsidP="00810EFF">
      <w:pPr>
        <w:pStyle w:val="Odstavecseseznamem"/>
        <w:numPr>
          <w:ilvl w:val="0"/>
          <w:numId w:val="37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n</w:t>
      </w:r>
      <w:r w:rsidR="00FE1F47" w:rsidRPr="00A032F8">
        <w:rPr>
          <w:rFonts w:cs="Arial"/>
          <w:b/>
          <w:sz w:val="22"/>
          <w:szCs w:val="22"/>
        </w:rPr>
        <w:t>ekvantifikovalo předpokládaný přínos</w:t>
      </w:r>
      <w:r w:rsidRPr="00A032F8">
        <w:rPr>
          <w:rFonts w:cs="Arial"/>
          <w:b/>
          <w:sz w:val="22"/>
          <w:szCs w:val="22"/>
        </w:rPr>
        <w:t xml:space="preserve"> z</w:t>
      </w:r>
      <w:r w:rsidR="00DE4542">
        <w:rPr>
          <w:rFonts w:cs="Arial"/>
          <w:b/>
          <w:sz w:val="22"/>
          <w:szCs w:val="22"/>
        </w:rPr>
        <w:t> </w:t>
      </w:r>
      <w:r w:rsidR="00FE1F47" w:rsidRPr="00A032F8">
        <w:rPr>
          <w:rFonts w:cs="Arial"/>
          <w:b/>
          <w:sz w:val="22"/>
          <w:szCs w:val="22"/>
        </w:rPr>
        <w:t>realizace programů pro zlepšení protipovodňové ochrany</w:t>
      </w:r>
      <w:r w:rsidR="00CE4C4E">
        <w:rPr>
          <w:rFonts w:cs="Arial"/>
          <w:b/>
          <w:sz w:val="22"/>
          <w:szCs w:val="22"/>
        </w:rPr>
        <w:t>,</w:t>
      </w:r>
      <w:r w:rsidR="00FE1F47" w:rsidRPr="00A032F8">
        <w:rPr>
          <w:rFonts w:cs="Arial"/>
          <w:b/>
          <w:sz w:val="22"/>
          <w:szCs w:val="22"/>
        </w:rPr>
        <w:t xml:space="preserve"> ani předpokládanou efektivnost finančních prostředků na realizaci programů</w:t>
      </w:r>
      <w:r w:rsidRPr="00A032F8">
        <w:rPr>
          <w:rFonts w:cs="Arial"/>
          <w:b/>
          <w:sz w:val="22"/>
          <w:szCs w:val="22"/>
        </w:rPr>
        <w:t>,</w:t>
      </w:r>
      <w:r w:rsidR="006D37A8" w:rsidRPr="00A032F8">
        <w:rPr>
          <w:rFonts w:cs="Arial"/>
          <w:b/>
          <w:sz w:val="22"/>
          <w:szCs w:val="22"/>
        </w:rPr>
        <w:t xml:space="preserve"> </w:t>
      </w:r>
    </w:p>
    <w:p w:rsidR="00C86FB4" w:rsidRPr="00A032F8" w:rsidRDefault="005E105F" w:rsidP="00810EFF">
      <w:pPr>
        <w:pStyle w:val="Odstavecseseznamem"/>
        <w:numPr>
          <w:ilvl w:val="0"/>
          <w:numId w:val="37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u</w:t>
      </w:r>
      <w:r w:rsidR="00DE4542">
        <w:rPr>
          <w:rFonts w:cs="Arial"/>
          <w:b/>
          <w:sz w:val="22"/>
          <w:szCs w:val="22"/>
        </w:rPr>
        <w:t xml:space="preserve"> programu č. </w:t>
      </w:r>
      <w:r w:rsidR="00CE6AF9" w:rsidRPr="00A032F8">
        <w:rPr>
          <w:rFonts w:cs="Arial"/>
          <w:b/>
          <w:sz w:val="22"/>
          <w:szCs w:val="22"/>
        </w:rPr>
        <w:t xml:space="preserve">129 120 sice specifikovalo cíle </w:t>
      </w:r>
      <w:r w:rsidR="004C7F10">
        <w:rPr>
          <w:rFonts w:cs="Arial"/>
          <w:b/>
          <w:sz w:val="22"/>
          <w:szCs w:val="22"/>
        </w:rPr>
        <w:t>a </w:t>
      </w:r>
      <w:r w:rsidR="00CE6AF9" w:rsidRPr="00A032F8">
        <w:rPr>
          <w:rFonts w:cs="Arial"/>
          <w:b/>
          <w:sz w:val="22"/>
          <w:szCs w:val="22"/>
        </w:rPr>
        <w:t xml:space="preserve">indikátory, ale </w:t>
      </w:r>
      <w:r w:rsidR="00C86FB4" w:rsidRPr="00A032F8">
        <w:rPr>
          <w:rFonts w:cs="Arial"/>
          <w:b/>
          <w:sz w:val="22"/>
          <w:szCs w:val="22"/>
        </w:rPr>
        <w:t>nestanovilo jejich hodnoty</w:t>
      </w:r>
      <w:r w:rsidRPr="00A032F8">
        <w:rPr>
          <w:rFonts w:cs="Arial"/>
          <w:b/>
          <w:sz w:val="22"/>
          <w:szCs w:val="22"/>
        </w:rPr>
        <w:t>, t</w:t>
      </w:r>
      <w:r w:rsidR="00C86FB4" w:rsidRPr="00A032F8">
        <w:rPr>
          <w:rFonts w:cs="Arial"/>
          <w:b/>
          <w:sz w:val="22"/>
          <w:szCs w:val="22"/>
        </w:rPr>
        <w:t>y</w:t>
      </w:r>
      <w:r w:rsidR="00CE6AF9" w:rsidRPr="00A032F8">
        <w:rPr>
          <w:rFonts w:cs="Arial"/>
          <w:b/>
          <w:sz w:val="22"/>
          <w:szCs w:val="22"/>
        </w:rPr>
        <w:t xml:space="preserve"> stanovov</w:t>
      </w:r>
      <w:r w:rsidR="00DE4542">
        <w:rPr>
          <w:rFonts w:cs="Arial"/>
          <w:b/>
          <w:sz w:val="22"/>
          <w:szCs w:val="22"/>
        </w:rPr>
        <w:t>ali sami příjemci v žádostech o </w:t>
      </w:r>
      <w:r w:rsidR="00CE6AF9" w:rsidRPr="00A032F8">
        <w:rPr>
          <w:rFonts w:cs="Arial"/>
          <w:b/>
          <w:sz w:val="22"/>
          <w:szCs w:val="22"/>
        </w:rPr>
        <w:t>posky</w:t>
      </w:r>
      <w:r w:rsidRPr="00A032F8">
        <w:rPr>
          <w:rFonts w:cs="Arial"/>
          <w:b/>
          <w:sz w:val="22"/>
          <w:szCs w:val="22"/>
        </w:rPr>
        <w:t>tnutí podpory na příslušné akce,</w:t>
      </w:r>
      <w:r w:rsidR="00CE6AF9" w:rsidRPr="00A032F8">
        <w:rPr>
          <w:rFonts w:cs="Arial"/>
          <w:b/>
          <w:sz w:val="22"/>
          <w:szCs w:val="22"/>
        </w:rPr>
        <w:t xml:space="preserve"> </w:t>
      </w:r>
    </w:p>
    <w:p w:rsidR="006D37A8" w:rsidRPr="00A032F8" w:rsidRDefault="005E105F" w:rsidP="00810EFF">
      <w:pPr>
        <w:pStyle w:val="Odstavecseseznamem"/>
        <w:numPr>
          <w:ilvl w:val="0"/>
          <w:numId w:val="37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u</w:t>
      </w:r>
      <w:r w:rsidR="00DE4542">
        <w:rPr>
          <w:rFonts w:cs="Arial"/>
          <w:b/>
          <w:sz w:val="22"/>
          <w:szCs w:val="22"/>
        </w:rPr>
        <w:t xml:space="preserve"> programu č. </w:t>
      </w:r>
      <w:r w:rsidR="00CE6AF9" w:rsidRPr="00A032F8">
        <w:rPr>
          <w:rFonts w:cs="Arial"/>
          <w:b/>
          <w:sz w:val="22"/>
          <w:szCs w:val="22"/>
        </w:rPr>
        <w:t>129</w:t>
      </w:r>
      <w:r w:rsidRPr="00A032F8">
        <w:rPr>
          <w:rFonts w:cs="Arial"/>
          <w:b/>
          <w:sz w:val="22"/>
          <w:szCs w:val="22"/>
        </w:rPr>
        <w:t> </w:t>
      </w:r>
      <w:r w:rsidR="00CE6AF9" w:rsidRPr="00A032F8">
        <w:rPr>
          <w:rFonts w:cs="Arial"/>
          <w:b/>
          <w:sz w:val="22"/>
          <w:szCs w:val="22"/>
        </w:rPr>
        <w:t>130</w:t>
      </w:r>
      <w:r w:rsidRPr="00A032F8">
        <w:rPr>
          <w:rFonts w:cs="Arial"/>
          <w:b/>
          <w:sz w:val="22"/>
          <w:szCs w:val="22"/>
        </w:rPr>
        <w:t xml:space="preserve"> </w:t>
      </w:r>
      <w:r w:rsidR="00840C41" w:rsidRPr="00A032F8">
        <w:rPr>
          <w:rFonts w:cs="Arial"/>
          <w:b/>
          <w:sz w:val="22"/>
          <w:szCs w:val="22"/>
        </w:rPr>
        <w:t>ne</w:t>
      </w:r>
      <w:r w:rsidR="00C86FB4" w:rsidRPr="00A032F8">
        <w:rPr>
          <w:rFonts w:cs="Arial"/>
          <w:b/>
          <w:sz w:val="22"/>
          <w:szCs w:val="22"/>
        </w:rPr>
        <w:t>specifikovalo</w:t>
      </w:r>
      <w:r w:rsidR="00840C41" w:rsidRPr="00A032F8">
        <w:rPr>
          <w:rFonts w:cs="Arial"/>
          <w:b/>
          <w:sz w:val="22"/>
          <w:szCs w:val="22"/>
        </w:rPr>
        <w:t xml:space="preserve"> z pohledu prevence před povodněmi cíle</w:t>
      </w:r>
      <w:r w:rsidR="00CE4C4E">
        <w:rPr>
          <w:rFonts w:cs="Arial"/>
          <w:b/>
          <w:sz w:val="22"/>
          <w:szCs w:val="22"/>
        </w:rPr>
        <w:t>,</w:t>
      </w:r>
      <w:r w:rsidR="00C86FB4" w:rsidRPr="00A032F8">
        <w:rPr>
          <w:rFonts w:cs="Arial"/>
          <w:b/>
          <w:sz w:val="22"/>
          <w:szCs w:val="22"/>
        </w:rPr>
        <w:t xml:space="preserve"> </w:t>
      </w:r>
      <w:r w:rsidR="00840C41" w:rsidRPr="00A032F8">
        <w:rPr>
          <w:rFonts w:cs="Arial"/>
          <w:b/>
          <w:sz w:val="22"/>
          <w:szCs w:val="22"/>
        </w:rPr>
        <w:t>indikátory téměř vůbec</w:t>
      </w:r>
      <w:r w:rsidR="00C86FB4" w:rsidRPr="00A032F8">
        <w:rPr>
          <w:rFonts w:cs="Arial"/>
          <w:b/>
          <w:sz w:val="22"/>
          <w:szCs w:val="22"/>
        </w:rPr>
        <w:t>.</w:t>
      </w:r>
    </w:p>
    <w:p w:rsidR="005E105F" w:rsidRPr="00A032F8" w:rsidRDefault="005E105F" w:rsidP="00264390">
      <w:pPr>
        <w:ind w:left="142" w:hanging="142"/>
        <w:jc w:val="both"/>
        <w:rPr>
          <w:rFonts w:cs="Arial"/>
          <w:b/>
          <w:sz w:val="22"/>
          <w:szCs w:val="22"/>
        </w:rPr>
      </w:pPr>
    </w:p>
    <w:p w:rsidR="003157CD" w:rsidRPr="00A032F8" w:rsidRDefault="003157CD" w:rsidP="003157CD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Nelze účinně ověřit, zda </w:t>
      </w:r>
      <w:r w:rsidR="004E0C04" w:rsidRPr="00A032F8">
        <w:rPr>
          <w:rFonts w:cs="Arial"/>
          <w:b/>
          <w:sz w:val="22"/>
          <w:szCs w:val="22"/>
        </w:rPr>
        <w:t>programy zabezpečují</w:t>
      </w:r>
      <w:r w:rsidRPr="00A032F8">
        <w:rPr>
          <w:rFonts w:cs="Arial"/>
          <w:b/>
          <w:sz w:val="22"/>
          <w:szCs w:val="22"/>
        </w:rPr>
        <w:t xml:space="preserve"> dosažení co </w:t>
      </w:r>
      <w:r w:rsidRPr="00A032F8">
        <w:rPr>
          <w:rFonts w:cs="Arial"/>
          <w:b/>
          <w:sz w:val="22"/>
          <w:szCs w:val="22"/>
        </w:rPr>
        <w:t>nejvyšší</w:t>
      </w:r>
      <w:r w:rsidR="004C7F10">
        <w:rPr>
          <w:rFonts w:cs="Arial"/>
          <w:b/>
          <w:sz w:val="22"/>
          <w:szCs w:val="22"/>
        </w:rPr>
        <w:t>ho</w:t>
      </w:r>
      <w:r w:rsidRPr="00A032F8">
        <w:rPr>
          <w:rFonts w:cs="Arial"/>
          <w:b/>
          <w:sz w:val="22"/>
          <w:szCs w:val="22"/>
        </w:rPr>
        <w:t xml:space="preserve"> efekt</w:t>
      </w:r>
      <w:r w:rsidR="004C7F10">
        <w:rPr>
          <w:rFonts w:cs="Arial"/>
          <w:b/>
          <w:sz w:val="22"/>
          <w:szCs w:val="22"/>
        </w:rPr>
        <w:t>u</w:t>
      </w:r>
      <w:bookmarkStart w:id="0" w:name="_GoBack"/>
      <w:bookmarkEnd w:id="0"/>
      <w:r w:rsidRPr="00A032F8">
        <w:rPr>
          <w:rFonts w:cs="Arial"/>
          <w:b/>
          <w:sz w:val="22"/>
          <w:szCs w:val="22"/>
        </w:rPr>
        <w:t xml:space="preserve"> pro prevenci před povodněmi</w:t>
      </w:r>
      <w:r w:rsidR="00CE4C4E">
        <w:rPr>
          <w:rFonts w:cs="Arial"/>
          <w:b/>
          <w:sz w:val="22"/>
          <w:szCs w:val="22"/>
        </w:rPr>
        <w:t>,</w:t>
      </w:r>
      <w:r w:rsidRPr="00A032F8">
        <w:rPr>
          <w:rFonts w:cs="Arial"/>
          <w:b/>
          <w:sz w:val="22"/>
          <w:szCs w:val="22"/>
        </w:rPr>
        <w:t xml:space="preserve"> ani to, jak jsou stanovené cíle naplňovány. Celkový přínos z</w:t>
      </w:r>
      <w:r w:rsidR="00A45A6B" w:rsidRPr="00A032F8">
        <w:rPr>
          <w:rFonts w:cs="Arial"/>
          <w:b/>
          <w:sz w:val="22"/>
          <w:szCs w:val="22"/>
        </w:rPr>
        <w:t> </w:t>
      </w:r>
      <w:r w:rsidR="00DE4542">
        <w:rPr>
          <w:rFonts w:cs="Arial"/>
          <w:b/>
          <w:sz w:val="22"/>
          <w:szCs w:val="22"/>
        </w:rPr>
        <w:t>realizace programu č. </w:t>
      </w:r>
      <w:r w:rsidRPr="00A032F8">
        <w:rPr>
          <w:rFonts w:cs="Arial"/>
          <w:b/>
          <w:sz w:val="22"/>
          <w:szCs w:val="22"/>
        </w:rPr>
        <w:t>129</w:t>
      </w:r>
      <w:r w:rsidR="00DE4542">
        <w:rPr>
          <w:rFonts w:cs="Arial"/>
          <w:b/>
          <w:sz w:val="22"/>
          <w:szCs w:val="22"/>
        </w:rPr>
        <w:t> </w:t>
      </w:r>
      <w:r w:rsidRPr="00A032F8">
        <w:rPr>
          <w:rFonts w:cs="Arial"/>
          <w:b/>
          <w:sz w:val="22"/>
          <w:szCs w:val="22"/>
        </w:rPr>
        <w:t xml:space="preserve">120 pro zlepšení situace protipovodňové ochrany bude možno vyhodnotit až po jeho skončení. </w:t>
      </w:r>
      <w:r w:rsidR="002F6D1C" w:rsidRPr="00A032F8">
        <w:rPr>
          <w:rFonts w:cs="Arial"/>
          <w:b/>
          <w:sz w:val="22"/>
          <w:szCs w:val="22"/>
        </w:rPr>
        <w:t xml:space="preserve">V případě programu č. 129 130 jej </w:t>
      </w:r>
      <w:r w:rsidR="00CE4C4E" w:rsidRPr="00A032F8">
        <w:rPr>
          <w:rFonts w:cs="Arial"/>
          <w:b/>
          <w:sz w:val="22"/>
          <w:szCs w:val="22"/>
        </w:rPr>
        <w:t xml:space="preserve">nebude možno </w:t>
      </w:r>
      <w:r w:rsidR="002F6D1C" w:rsidRPr="00A032F8">
        <w:rPr>
          <w:rFonts w:cs="Arial"/>
          <w:b/>
          <w:sz w:val="22"/>
          <w:szCs w:val="22"/>
        </w:rPr>
        <w:t xml:space="preserve">účinně vyhodnotit. </w:t>
      </w:r>
      <w:r w:rsidR="001C34AD" w:rsidRPr="00A032F8">
        <w:rPr>
          <w:rFonts w:cs="Arial"/>
          <w:b/>
          <w:sz w:val="22"/>
          <w:szCs w:val="22"/>
        </w:rPr>
        <w:t xml:space="preserve">Tento </w:t>
      </w:r>
      <w:r w:rsidR="002F6D1C" w:rsidRPr="00A032F8">
        <w:rPr>
          <w:rFonts w:cs="Arial"/>
          <w:b/>
          <w:sz w:val="22"/>
          <w:szCs w:val="22"/>
        </w:rPr>
        <w:t>stav nepovažuje NKÚ za</w:t>
      </w:r>
      <w:r w:rsidR="00C3460B" w:rsidRPr="00A032F8">
        <w:rPr>
          <w:rFonts w:cs="Arial"/>
          <w:b/>
          <w:sz w:val="22"/>
          <w:szCs w:val="22"/>
        </w:rPr>
        <w:t xml:space="preserve"> </w:t>
      </w:r>
      <w:r w:rsidR="002F6D1C" w:rsidRPr="00A032F8">
        <w:rPr>
          <w:rFonts w:cs="Arial"/>
          <w:b/>
          <w:sz w:val="22"/>
          <w:szCs w:val="22"/>
        </w:rPr>
        <w:t>odpovídající principům systému financování programů.</w:t>
      </w:r>
    </w:p>
    <w:p w:rsidR="003157CD" w:rsidRPr="00A032F8" w:rsidRDefault="003157CD" w:rsidP="005E105F">
      <w:pPr>
        <w:jc w:val="both"/>
        <w:rPr>
          <w:rFonts w:cs="Arial"/>
          <w:b/>
          <w:sz w:val="22"/>
          <w:szCs w:val="22"/>
        </w:rPr>
      </w:pPr>
    </w:p>
    <w:p w:rsidR="0044424F" w:rsidRPr="00A032F8" w:rsidRDefault="0044424F" w:rsidP="0044424F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V případě programu č. 129 130 umožnilo </w:t>
      </w:r>
      <w:proofErr w:type="spellStart"/>
      <w:r w:rsidRPr="00A032F8">
        <w:rPr>
          <w:rFonts w:cs="Arial"/>
          <w:b/>
          <w:sz w:val="22"/>
          <w:szCs w:val="22"/>
        </w:rPr>
        <w:t>MZe</w:t>
      </w:r>
      <w:proofErr w:type="spellEnd"/>
      <w:r w:rsidRPr="00A032F8">
        <w:rPr>
          <w:rFonts w:cs="Arial"/>
          <w:b/>
          <w:sz w:val="22"/>
          <w:szCs w:val="22"/>
        </w:rPr>
        <w:t xml:space="preserve"> zaměřením a</w:t>
      </w:r>
      <w:r w:rsidR="00CE4C4E">
        <w:rPr>
          <w:rFonts w:cs="Arial"/>
          <w:b/>
          <w:sz w:val="22"/>
          <w:szCs w:val="22"/>
        </w:rPr>
        <w:t> </w:t>
      </w:r>
      <w:r w:rsidRPr="00A032F8">
        <w:rPr>
          <w:rFonts w:cs="Arial"/>
          <w:b/>
          <w:sz w:val="22"/>
          <w:szCs w:val="22"/>
        </w:rPr>
        <w:t xml:space="preserve">specifikací cílů poskytovat </w:t>
      </w:r>
      <w:r w:rsidR="00CE4C4E" w:rsidRPr="00A032F8">
        <w:rPr>
          <w:rFonts w:cs="Arial"/>
          <w:b/>
          <w:sz w:val="22"/>
          <w:szCs w:val="22"/>
        </w:rPr>
        <w:t>z ně</w:t>
      </w:r>
      <w:r w:rsidR="00CE4C4E">
        <w:rPr>
          <w:rFonts w:cs="Arial"/>
          <w:b/>
          <w:sz w:val="22"/>
          <w:szCs w:val="22"/>
        </w:rPr>
        <w:t>ho</w:t>
      </w:r>
      <w:r w:rsidR="00CE4C4E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finanční prostředky i na akce, které měly pro prevenci před povodněmi, resp. pro ochranu majetku a obyvatelstva</w:t>
      </w:r>
      <w:r w:rsidR="00CE4C4E">
        <w:rPr>
          <w:rFonts w:cs="Arial"/>
          <w:b/>
          <w:sz w:val="22"/>
          <w:szCs w:val="22"/>
        </w:rPr>
        <w:t>,</w:t>
      </w:r>
      <w:r w:rsidRPr="00A032F8">
        <w:rPr>
          <w:rFonts w:cs="Arial"/>
          <w:b/>
          <w:sz w:val="22"/>
          <w:szCs w:val="22"/>
        </w:rPr>
        <w:t xml:space="preserve"> jen malý nebo žádný význam, jak bylo zjištěno </w:t>
      </w:r>
      <w:r w:rsidRPr="00A032F8">
        <w:rPr>
          <w:rFonts w:cs="Arial"/>
          <w:b/>
          <w:sz w:val="22"/>
          <w:szCs w:val="22"/>
        </w:rPr>
        <w:lastRenderedPageBreak/>
        <w:t>u</w:t>
      </w:r>
      <w:r w:rsidR="00DE4542">
        <w:rPr>
          <w:rFonts w:cs="Arial"/>
          <w:b/>
          <w:sz w:val="22"/>
          <w:szCs w:val="22"/>
        </w:rPr>
        <w:t> </w:t>
      </w:r>
      <w:r w:rsidRPr="00A032F8">
        <w:rPr>
          <w:rFonts w:cs="Arial"/>
          <w:b/>
          <w:sz w:val="22"/>
          <w:szCs w:val="22"/>
        </w:rPr>
        <w:t>osmi</w:t>
      </w:r>
      <w:r w:rsidR="002F6D1C" w:rsidRPr="00A032F8">
        <w:rPr>
          <w:rFonts w:cs="Arial"/>
          <w:b/>
          <w:sz w:val="22"/>
          <w:szCs w:val="22"/>
        </w:rPr>
        <w:t xml:space="preserve"> z 15 kontrolovaných akcí. Na těch</w:t>
      </w:r>
      <w:r w:rsidRPr="00A032F8">
        <w:rPr>
          <w:rFonts w:cs="Arial"/>
          <w:b/>
          <w:sz w:val="22"/>
          <w:szCs w:val="22"/>
        </w:rPr>
        <w:t>to</w:t>
      </w:r>
      <w:r w:rsidR="002F6D1C" w:rsidRPr="00A032F8">
        <w:rPr>
          <w:rFonts w:cs="Arial"/>
          <w:b/>
          <w:sz w:val="22"/>
          <w:szCs w:val="22"/>
        </w:rPr>
        <w:t xml:space="preserve"> osm akcí</w:t>
      </w:r>
      <w:r w:rsidRPr="00A032F8">
        <w:rPr>
          <w:rFonts w:cs="Arial"/>
          <w:b/>
          <w:sz w:val="22"/>
          <w:szCs w:val="22"/>
        </w:rPr>
        <w:t xml:space="preserve"> poskytlo </w:t>
      </w:r>
      <w:proofErr w:type="spellStart"/>
      <w:r w:rsidR="002F6D1C" w:rsidRPr="00A032F8">
        <w:rPr>
          <w:rFonts w:cs="Arial"/>
          <w:b/>
          <w:sz w:val="22"/>
          <w:szCs w:val="22"/>
        </w:rPr>
        <w:t>MZe</w:t>
      </w:r>
      <w:proofErr w:type="spellEnd"/>
      <w:r w:rsidR="002F6D1C" w:rsidRPr="00A032F8">
        <w:rPr>
          <w:rFonts w:cs="Arial"/>
          <w:b/>
          <w:sz w:val="22"/>
          <w:szCs w:val="22"/>
        </w:rPr>
        <w:t xml:space="preserve"> dotace</w:t>
      </w:r>
      <w:r w:rsidRPr="00A032F8">
        <w:rPr>
          <w:rFonts w:cs="Arial"/>
          <w:b/>
          <w:sz w:val="22"/>
          <w:szCs w:val="22"/>
        </w:rPr>
        <w:t xml:space="preserve"> v celkové výši 111</w:t>
      </w:r>
      <w:r w:rsidR="00DA5FD2" w:rsidRPr="00A032F8">
        <w:rPr>
          <w:rFonts w:cs="Arial"/>
          <w:b/>
          <w:sz w:val="22"/>
          <w:szCs w:val="22"/>
        </w:rPr>
        <w:t> </w:t>
      </w:r>
      <w:r w:rsidR="00DE4542">
        <w:rPr>
          <w:rFonts w:cs="Arial"/>
          <w:b/>
          <w:sz w:val="22"/>
          <w:szCs w:val="22"/>
        </w:rPr>
        <w:t>mil. </w:t>
      </w:r>
      <w:r w:rsidRPr="00A032F8">
        <w:rPr>
          <w:rFonts w:cs="Arial"/>
          <w:b/>
          <w:sz w:val="22"/>
          <w:szCs w:val="22"/>
        </w:rPr>
        <w:t>Kč.</w:t>
      </w:r>
    </w:p>
    <w:p w:rsidR="0044424F" w:rsidRPr="00A032F8" w:rsidRDefault="0044424F" w:rsidP="00264390">
      <w:pPr>
        <w:ind w:left="142" w:hanging="142"/>
        <w:jc w:val="both"/>
        <w:rPr>
          <w:rFonts w:cs="Arial"/>
          <w:sz w:val="22"/>
          <w:szCs w:val="22"/>
        </w:rPr>
      </w:pPr>
    </w:p>
    <w:p w:rsidR="0044424F" w:rsidRPr="00A032F8" w:rsidRDefault="003C0538" w:rsidP="008E10A4">
      <w:pPr>
        <w:jc w:val="both"/>
        <w:rPr>
          <w:rFonts w:cs="Arial"/>
          <w:b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>V</w:t>
      </w:r>
      <w:r w:rsidR="007D4BC5" w:rsidRPr="00A032F8">
        <w:rPr>
          <w:rFonts w:cs="Arial"/>
          <w:b/>
          <w:sz w:val="22"/>
          <w:szCs w:val="22"/>
        </w:rPr>
        <w:t> </w:t>
      </w:r>
      <w:r w:rsidRPr="00A032F8">
        <w:rPr>
          <w:rFonts w:cs="Arial"/>
          <w:b/>
          <w:sz w:val="22"/>
          <w:szCs w:val="22"/>
        </w:rPr>
        <w:t>registraci</w:t>
      </w:r>
      <w:r w:rsidR="007D4BC5" w:rsidRPr="00A032F8">
        <w:rPr>
          <w:rFonts w:cs="Arial"/>
          <w:b/>
          <w:sz w:val="22"/>
          <w:szCs w:val="22"/>
        </w:rPr>
        <w:t xml:space="preserve"> jednotlivých</w:t>
      </w:r>
      <w:r w:rsidRPr="00A032F8">
        <w:rPr>
          <w:rFonts w:cs="Arial"/>
          <w:b/>
          <w:sz w:val="22"/>
          <w:szCs w:val="22"/>
        </w:rPr>
        <w:t xml:space="preserve"> akcí do</w:t>
      </w:r>
      <w:r w:rsidR="0044424F" w:rsidRPr="00A032F8">
        <w:rPr>
          <w:rFonts w:cs="Arial"/>
          <w:b/>
          <w:sz w:val="22"/>
          <w:szCs w:val="22"/>
        </w:rPr>
        <w:t xml:space="preserve"> </w:t>
      </w:r>
      <w:r w:rsidRPr="00A032F8">
        <w:rPr>
          <w:rFonts w:cs="Arial"/>
          <w:b/>
          <w:sz w:val="22"/>
          <w:szCs w:val="22"/>
        </w:rPr>
        <w:t>programů a</w:t>
      </w:r>
      <w:r w:rsidR="00DE4542">
        <w:rPr>
          <w:rFonts w:cs="Arial"/>
          <w:b/>
          <w:sz w:val="22"/>
          <w:szCs w:val="22"/>
        </w:rPr>
        <w:t> </w:t>
      </w:r>
      <w:r w:rsidRPr="00A032F8">
        <w:rPr>
          <w:rFonts w:cs="Arial"/>
          <w:b/>
          <w:sz w:val="22"/>
          <w:szCs w:val="22"/>
        </w:rPr>
        <w:t>v</w:t>
      </w:r>
      <w:r w:rsidR="00DE4542">
        <w:rPr>
          <w:rFonts w:cs="Arial"/>
          <w:b/>
          <w:sz w:val="22"/>
          <w:szCs w:val="22"/>
        </w:rPr>
        <w:t> </w:t>
      </w:r>
      <w:r w:rsidRPr="00A032F8">
        <w:rPr>
          <w:rFonts w:cs="Arial"/>
          <w:b/>
          <w:sz w:val="22"/>
          <w:szCs w:val="22"/>
        </w:rPr>
        <w:t>poskytování finančních prostředků z </w:t>
      </w:r>
      <w:r w:rsidR="0044424F" w:rsidRPr="00A032F8">
        <w:rPr>
          <w:rFonts w:cs="Arial"/>
          <w:b/>
          <w:sz w:val="22"/>
          <w:szCs w:val="22"/>
        </w:rPr>
        <w:t>nich</w:t>
      </w:r>
      <w:r w:rsidRPr="00A032F8">
        <w:rPr>
          <w:rFonts w:cs="Arial"/>
          <w:b/>
          <w:sz w:val="22"/>
          <w:szCs w:val="22"/>
        </w:rPr>
        <w:t xml:space="preserve"> nebyly na </w:t>
      </w:r>
      <w:proofErr w:type="spellStart"/>
      <w:r w:rsidRPr="00A032F8">
        <w:rPr>
          <w:rFonts w:cs="Arial"/>
          <w:b/>
          <w:sz w:val="22"/>
          <w:szCs w:val="22"/>
        </w:rPr>
        <w:t>MZe</w:t>
      </w:r>
      <w:proofErr w:type="spellEnd"/>
      <w:r w:rsidRPr="00A032F8">
        <w:rPr>
          <w:rFonts w:cs="Arial"/>
          <w:b/>
          <w:sz w:val="22"/>
          <w:szCs w:val="22"/>
        </w:rPr>
        <w:t xml:space="preserve"> zjištěny významné nedostatky.</w:t>
      </w:r>
      <w:r w:rsidR="00146E18" w:rsidRPr="00A032F8">
        <w:rPr>
          <w:rFonts w:cs="Arial"/>
          <w:b/>
          <w:sz w:val="22"/>
          <w:szCs w:val="22"/>
        </w:rPr>
        <w:t xml:space="preserve"> </w:t>
      </w:r>
      <w:r w:rsidR="00840C41" w:rsidRPr="00A032F8">
        <w:rPr>
          <w:rFonts w:cs="Arial"/>
          <w:b/>
          <w:sz w:val="22"/>
          <w:szCs w:val="22"/>
        </w:rPr>
        <w:t>P</w:t>
      </w:r>
      <w:r w:rsidR="0044424F" w:rsidRPr="00A032F8">
        <w:rPr>
          <w:rFonts w:cs="Arial"/>
          <w:b/>
          <w:sz w:val="22"/>
          <w:szCs w:val="22"/>
        </w:rPr>
        <w:t>říjemci finančních prostředků realizovali akce v</w:t>
      </w:r>
      <w:r w:rsidR="00DE4542">
        <w:rPr>
          <w:rFonts w:cs="Arial"/>
          <w:b/>
          <w:sz w:val="22"/>
          <w:szCs w:val="22"/>
        </w:rPr>
        <w:t> </w:t>
      </w:r>
      <w:r w:rsidR="0044424F" w:rsidRPr="00A032F8">
        <w:rPr>
          <w:rFonts w:cs="Arial"/>
          <w:b/>
          <w:sz w:val="22"/>
          <w:szCs w:val="22"/>
        </w:rPr>
        <w:t>souladu s</w:t>
      </w:r>
      <w:r w:rsidR="00DE4542">
        <w:rPr>
          <w:rFonts w:cs="Arial"/>
          <w:b/>
          <w:sz w:val="22"/>
          <w:szCs w:val="22"/>
        </w:rPr>
        <w:t> </w:t>
      </w:r>
      <w:r w:rsidR="0044424F" w:rsidRPr="00A032F8">
        <w:rPr>
          <w:rFonts w:cs="Arial"/>
          <w:b/>
          <w:sz w:val="22"/>
          <w:szCs w:val="22"/>
        </w:rPr>
        <w:t>rozhodnutími o poskytnutí dotace, resp. jejich změnami.</w:t>
      </w:r>
    </w:p>
    <w:p w:rsidR="0044424F" w:rsidRPr="00A032F8" w:rsidRDefault="0044424F" w:rsidP="008E10A4">
      <w:pPr>
        <w:jc w:val="both"/>
        <w:rPr>
          <w:rFonts w:cs="Arial"/>
          <w:b/>
          <w:sz w:val="22"/>
          <w:szCs w:val="22"/>
        </w:rPr>
      </w:pPr>
    </w:p>
    <w:p w:rsidR="008E10A4" w:rsidRPr="00A032F8" w:rsidRDefault="007A368C" w:rsidP="008E10A4">
      <w:pPr>
        <w:jc w:val="both"/>
        <w:rPr>
          <w:rFonts w:cs="Arial"/>
          <w:b/>
          <w:sz w:val="22"/>
          <w:szCs w:val="22"/>
        </w:rPr>
      </w:pPr>
      <w:proofErr w:type="spellStart"/>
      <w:r w:rsidRPr="00A032F8">
        <w:rPr>
          <w:rFonts w:cs="Arial"/>
          <w:b/>
          <w:sz w:val="22"/>
          <w:szCs w:val="22"/>
        </w:rPr>
        <w:t>MZe</w:t>
      </w:r>
      <w:proofErr w:type="spellEnd"/>
      <w:r w:rsidRPr="00A032F8">
        <w:rPr>
          <w:rFonts w:cs="Arial"/>
          <w:b/>
          <w:sz w:val="22"/>
          <w:szCs w:val="22"/>
        </w:rPr>
        <w:t xml:space="preserve"> ve dvou případech nedoložilo dokumentac</w:t>
      </w:r>
      <w:r w:rsidR="00840C41" w:rsidRPr="00A032F8">
        <w:rPr>
          <w:rFonts w:cs="Arial"/>
          <w:b/>
          <w:sz w:val="22"/>
          <w:szCs w:val="22"/>
        </w:rPr>
        <w:t>i</w:t>
      </w:r>
      <w:r w:rsidR="008E10A4" w:rsidRPr="00A032F8">
        <w:rPr>
          <w:rFonts w:cs="Arial"/>
          <w:b/>
          <w:sz w:val="22"/>
          <w:szCs w:val="22"/>
        </w:rPr>
        <w:t xml:space="preserve"> k</w:t>
      </w:r>
      <w:r w:rsidR="00DE4542">
        <w:rPr>
          <w:rFonts w:cs="Arial"/>
          <w:b/>
          <w:sz w:val="22"/>
          <w:szCs w:val="22"/>
        </w:rPr>
        <w:t> </w:t>
      </w:r>
      <w:r w:rsidR="008E10A4" w:rsidRPr="00A032F8">
        <w:rPr>
          <w:rFonts w:cs="Arial"/>
          <w:b/>
          <w:sz w:val="22"/>
          <w:szCs w:val="22"/>
        </w:rPr>
        <w:t>zadávacím řízením na výběr strategického experta pro posuzování akcí</w:t>
      </w:r>
      <w:r w:rsidR="00840C41" w:rsidRPr="00A032F8">
        <w:rPr>
          <w:rFonts w:cs="Arial"/>
          <w:b/>
          <w:sz w:val="22"/>
          <w:szCs w:val="22"/>
        </w:rPr>
        <w:t xml:space="preserve"> k zařazení do programů</w:t>
      </w:r>
      <w:r w:rsidR="008E10A4" w:rsidRPr="00A032F8">
        <w:rPr>
          <w:rFonts w:cs="Arial"/>
          <w:b/>
          <w:sz w:val="22"/>
          <w:szCs w:val="22"/>
        </w:rPr>
        <w:t>. V</w:t>
      </w:r>
      <w:r w:rsidR="00DE4542">
        <w:rPr>
          <w:rFonts w:cs="Arial"/>
          <w:b/>
          <w:sz w:val="22"/>
          <w:szCs w:val="22"/>
        </w:rPr>
        <w:t> </w:t>
      </w:r>
      <w:r w:rsidR="008E10A4" w:rsidRPr="00A032F8">
        <w:rPr>
          <w:rFonts w:cs="Arial"/>
          <w:b/>
          <w:sz w:val="22"/>
          <w:szCs w:val="22"/>
        </w:rPr>
        <w:t>jednom případě neproběhl výběr</w:t>
      </w:r>
      <w:r w:rsidR="00840C41" w:rsidRPr="00A032F8">
        <w:rPr>
          <w:rFonts w:cs="Arial"/>
          <w:b/>
          <w:sz w:val="22"/>
          <w:szCs w:val="22"/>
        </w:rPr>
        <w:t xml:space="preserve"> strategického partnera</w:t>
      </w:r>
      <w:r w:rsidR="008E10A4" w:rsidRPr="00A032F8">
        <w:rPr>
          <w:rFonts w:cs="Arial"/>
          <w:b/>
          <w:sz w:val="22"/>
          <w:szCs w:val="22"/>
        </w:rPr>
        <w:t xml:space="preserve"> korektně. </w:t>
      </w:r>
    </w:p>
    <w:p w:rsidR="008E10A4" w:rsidRPr="00A032F8" w:rsidRDefault="008E10A4" w:rsidP="002041DA">
      <w:pPr>
        <w:jc w:val="both"/>
        <w:rPr>
          <w:rFonts w:cs="Arial"/>
          <w:b/>
          <w:sz w:val="22"/>
          <w:szCs w:val="22"/>
        </w:rPr>
      </w:pPr>
    </w:p>
    <w:p w:rsidR="00F013A4" w:rsidRDefault="0044424F">
      <w:pPr>
        <w:jc w:val="both"/>
        <w:rPr>
          <w:rFonts w:cs="Arial"/>
          <w:sz w:val="22"/>
          <w:szCs w:val="22"/>
        </w:rPr>
      </w:pPr>
      <w:r w:rsidRPr="00A032F8">
        <w:rPr>
          <w:rFonts w:cs="Arial"/>
          <w:b/>
          <w:sz w:val="22"/>
          <w:szCs w:val="22"/>
        </w:rPr>
        <w:t xml:space="preserve">U příjemců dotací byly </w:t>
      </w:r>
      <w:r w:rsidR="00A504A0" w:rsidRPr="00A032F8">
        <w:rPr>
          <w:rFonts w:cs="Arial"/>
          <w:b/>
          <w:sz w:val="22"/>
          <w:szCs w:val="22"/>
        </w:rPr>
        <w:t xml:space="preserve">zjištěny </w:t>
      </w:r>
      <w:r w:rsidR="00F013A4" w:rsidRPr="00A032F8">
        <w:rPr>
          <w:rFonts w:cs="Arial"/>
          <w:b/>
          <w:sz w:val="22"/>
          <w:szCs w:val="22"/>
        </w:rPr>
        <w:t xml:space="preserve">nedostatky </w:t>
      </w:r>
      <w:r w:rsidR="00A504A0" w:rsidRPr="00A032F8">
        <w:rPr>
          <w:rFonts w:cs="Arial"/>
          <w:b/>
          <w:sz w:val="22"/>
          <w:szCs w:val="22"/>
        </w:rPr>
        <w:t>v</w:t>
      </w:r>
      <w:r w:rsidR="00DE4542">
        <w:rPr>
          <w:rFonts w:cs="Arial"/>
          <w:b/>
          <w:sz w:val="22"/>
          <w:szCs w:val="22"/>
        </w:rPr>
        <w:t> </w:t>
      </w:r>
      <w:r w:rsidR="00A504A0" w:rsidRPr="00A032F8">
        <w:rPr>
          <w:rFonts w:cs="Arial"/>
          <w:b/>
          <w:sz w:val="22"/>
          <w:szCs w:val="22"/>
        </w:rPr>
        <w:t>zadávacích řízeních na výběr dodavatele akcí</w:t>
      </w:r>
      <w:r w:rsidR="009F00EB" w:rsidRPr="00A032F8">
        <w:rPr>
          <w:rFonts w:cs="Arial"/>
          <w:b/>
          <w:sz w:val="22"/>
          <w:szCs w:val="22"/>
        </w:rPr>
        <w:t>. Š</w:t>
      </w:r>
      <w:r w:rsidR="000E5CA3" w:rsidRPr="00A032F8">
        <w:rPr>
          <w:rFonts w:cs="Arial"/>
          <w:b/>
          <w:sz w:val="22"/>
          <w:szCs w:val="22"/>
        </w:rPr>
        <w:t xml:space="preserve">lo </w:t>
      </w:r>
      <w:r w:rsidR="00A504A0" w:rsidRPr="00A032F8">
        <w:rPr>
          <w:rFonts w:cs="Arial"/>
          <w:b/>
          <w:sz w:val="22"/>
          <w:szCs w:val="22"/>
        </w:rPr>
        <w:t>především o</w:t>
      </w:r>
      <w:r w:rsidR="00DE4542">
        <w:rPr>
          <w:rFonts w:cs="Arial"/>
          <w:b/>
          <w:sz w:val="22"/>
          <w:szCs w:val="22"/>
        </w:rPr>
        <w:t> </w:t>
      </w:r>
      <w:r w:rsidR="005762B6" w:rsidRPr="00A032F8">
        <w:rPr>
          <w:rFonts w:cs="Arial"/>
          <w:b/>
          <w:sz w:val="22"/>
          <w:szCs w:val="22"/>
        </w:rPr>
        <w:t>nevymezení hodnot přiměřenosti</w:t>
      </w:r>
      <w:r w:rsidR="00840C41" w:rsidRPr="00A032F8">
        <w:rPr>
          <w:rFonts w:cs="Arial"/>
          <w:b/>
          <w:sz w:val="22"/>
          <w:szCs w:val="22"/>
        </w:rPr>
        <w:t xml:space="preserve"> u</w:t>
      </w:r>
      <w:r w:rsidR="005762B6" w:rsidRPr="00A032F8">
        <w:rPr>
          <w:rFonts w:cs="Arial"/>
          <w:b/>
          <w:sz w:val="22"/>
          <w:szCs w:val="22"/>
        </w:rPr>
        <w:t xml:space="preserve"> </w:t>
      </w:r>
      <w:r w:rsidR="00A504A0" w:rsidRPr="00A032F8">
        <w:rPr>
          <w:rFonts w:cs="Arial"/>
          <w:b/>
          <w:sz w:val="22"/>
          <w:szCs w:val="22"/>
        </w:rPr>
        <w:t>dílčích hodnot</w:t>
      </w:r>
      <w:r w:rsidR="00CE4C4E">
        <w:rPr>
          <w:rFonts w:cs="Arial"/>
          <w:b/>
          <w:sz w:val="22"/>
          <w:szCs w:val="22"/>
        </w:rPr>
        <w:t>i</w:t>
      </w:r>
      <w:r w:rsidR="00A504A0" w:rsidRPr="00A032F8">
        <w:rPr>
          <w:rFonts w:cs="Arial"/>
          <w:b/>
          <w:sz w:val="22"/>
          <w:szCs w:val="22"/>
        </w:rPr>
        <w:t>cích kritérií</w:t>
      </w:r>
      <w:r w:rsidR="00233DDE" w:rsidRPr="00A032F8">
        <w:rPr>
          <w:rFonts w:cs="Arial"/>
          <w:b/>
          <w:sz w:val="22"/>
          <w:szCs w:val="22"/>
        </w:rPr>
        <w:t xml:space="preserve"> </w:t>
      </w:r>
      <w:r w:rsidR="00CE4C4E">
        <w:rPr>
          <w:rFonts w:cs="Arial"/>
          <w:b/>
          <w:sz w:val="22"/>
          <w:szCs w:val="22"/>
        </w:rPr>
        <w:t>„</w:t>
      </w:r>
      <w:r w:rsidR="00233DDE" w:rsidRPr="00A032F8">
        <w:rPr>
          <w:rFonts w:cs="Arial"/>
          <w:b/>
          <w:sz w:val="22"/>
          <w:szCs w:val="22"/>
        </w:rPr>
        <w:t>výše</w:t>
      </w:r>
      <w:r w:rsidR="000E5CA3" w:rsidRPr="00A032F8">
        <w:rPr>
          <w:rFonts w:cs="Arial"/>
          <w:b/>
          <w:sz w:val="22"/>
          <w:szCs w:val="22"/>
        </w:rPr>
        <w:t xml:space="preserve"> </w:t>
      </w:r>
      <w:r w:rsidR="005762B6" w:rsidRPr="00A032F8">
        <w:rPr>
          <w:rFonts w:cs="Arial"/>
          <w:b/>
          <w:sz w:val="22"/>
          <w:szCs w:val="22"/>
        </w:rPr>
        <w:t>smluvní</w:t>
      </w:r>
      <w:r w:rsidR="00F013A4" w:rsidRPr="00A032F8">
        <w:rPr>
          <w:rFonts w:cs="Arial"/>
          <w:b/>
          <w:sz w:val="22"/>
          <w:szCs w:val="22"/>
        </w:rPr>
        <w:t>ch</w:t>
      </w:r>
      <w:r w:rsidR="00A504A0" w:rsidRPr="00A032F8">
        <w:rPr>
          <w:rFonts w:cs="Arial"/>
          <w:b/>
          <w:sz w:val="22"/>
          <w:szCs w:val="22"/>
        </w:rPr>
        <w:t xml:space="preserve"> </w:t>
      </w:r>
      <w:r w:rsidR="00F013A4" w:rsidRPr="00A032F8">
        <w:rPr>
          <w:rFonts w:cs="Arial"/>
          <w:b/>
          <w:sz w:val="22"/>
          <w:szCs w:val="22"/>
        </w:rPr>
        <w:t>pokut</w:t>
      </w:r>
      <w:r w:rsidR="00CE4C4E">
        <w:rPr>
          <w:rFonts w:cs="Arial"/>
          <w:b/>
          <w:sz w:val="22"/>
          <w:szCs w:val="22"/>
        </w:rPr>
        <w:t>“</w:t>
      </w:r>
      <w:r w:rsidR="00A504A0" w:rsidRPr="00A032F8">
        <w:rPr>
          <w:rFonts w:cs="Arial"/>
          <w:b/>
          <w:sz w:val="22"/>
          <w:szCs w:val="22"/>
        </w:rPr>
        <w:t xml:space="preserve"> </w:t>
      </w:r>
      <w:r w:rsidR="005762B6" w:rsidRPr="00A032F8">
        <w:rPr>
          <w:rFonts w:cs="Arial"/>
          <w:b/>
          <w:sz w:val="22"/>
          <w:szCs w:val="22"/>
        </w:rPr>
        <w:t>a</w:t>
      </w:r>
      <w:r w:rsidR="00A504A0" w:rsidRPr="00A032F8">
        <w:rPr>
          <w:rFonts w:cs="Arial"/>
          <w:b/>
          <w:sz w:val="22"/>
          <w:szCs w:val="22"/>
        </w:rPr>
        <w:t xml:space="preserve"> </w:t>
      </w:r>
      <w:r w:rsidR="00CE4C4E">
        <w:rPr>
          <w:rFonts w:cs="Arial"/>
          <w:b/>
          <w:sz w:val="22"/>
          <w:szCs w:val="22"/>
        </w:rPr>
        <w:t>„</w:t>
      </w:r>
      <w:r w:rsidR="00A504A0" w:rsidRPr="00A032F8">
        <w:rPr>
          <w:rFonts w:cs="Arial"/>
          <w:b/>
          <w:sz w:val="22"/>
          <w:szCs w:val="22"/>
        </w:rPr>
        <w:t>délk</w:t>
      </w:r>
      <w:r w:rsidR="00CE4C4E">
        <w:rPr>
          <w:rFonts w:cs="Arial"/>
          <w:b/>
          <w:sz w:val="22"/>
          <w:szCs w:val="22"/>
        </w:rPr>
        <w:t>a</w:t>
      </w:r>
      <w:r w:rsidR="00A504A0" w:rsidRPr="00A032F8">
        <w:rPr>
          <w:rFonts w:cs="Arial"/>
          <w:b/>
          <w:sz w:val="22"/>
          <w:szCs w:val="22"/>
        </w:rPr>
        <w:t xml:space="preserve"> záruční dob</w:t>
      </w:r>
      <w:r w:rsidR="00CE4C4E">
        <w:rPr>
          <w:rFonts w:cs="Arial"/>
          <w:b/>
          <w:sz w:val="22"/>
          <w:szCs w:val="22"/>
        </w:rPr>
        <w:t>y“</w:t>
      </w:r>
      <w:r w:rsidR="00A504A0" w:rsidRPr="00A032F8">
        <w:rPr>
          <w:rFonts w:cs="Arial"/>
          <w:b/>
          <w:sz w:val="22"/>
          <w:szCs w:val="22"/>
        </w:rPr>
        <w:t>.</w:t>
      </w:r>
      <w:r w:rsidR="002B07E1" w:rsidRPr="00A032F8">
        <w:rPr>
          <w:rFonts w:cs="Arial"/>
          <w:b/>
          <w:sz w:val="22"/>
          <w:szCs w:val="22"/>
        </w:rPr>
        <w:t xml:space="preserve"> Někteří uchazeči tak </w:t>
      </w:r>
      <w:r w:rsidR="00DE7284">
        <w:rPr>
          <w:rFonts w:cs="Arial"/>
          <w:b/>
          <w:sz w:val="22"/>
          <w:szCs w:val="22"/>
        </w:rPr>
        <w:t>u</w:t>
      </w:r>
      <w:r w:rsidR="002B07E1" w:rsidRPr="00A032F8">
        <w:rPr>
          <w:rFonts w:cs="Arial"/>
          <w:b/>
          <w:sz w:val="22"/>
          <w:szCs w:val="22"/>
        </w:rPr>
        <w:t xml:space="preserve"> těchto kritérií nabízeli </w:t>
      </w:r>
      <w:r w:rsidR="002F6D1C" w:rsidRPr="00A032F8">
        <w:rPr>
          <w:rFonts w:cs="Arial"/>
          <w:b/>
          <w:sz w:val="22"/>
          <w:szCs w:val="22"/>
        </w:rPr>
        <w:t>neopodstatněně</w:t>
      </w:r>
      <w:r w:rsidR="002B07E1" w:rsidRPr="00A032F8">
        <w:rPr>
          <w:rFonts w:cs="Arial"/>
          <w:b/>
          <w:sz w:val="22"/>
          <w:szCs w:val="22"/>
        </w:rPr>
        <w:t xml:space="preserve"> vysoké hodnoty, </w:t>
      </w:r>
      <w:r w:rsidR="00F013A4" w:rsidRPr="00A032F8">
        <w:rPr>
          <w:rFonts w:cs="Arial"/>
          <w:b/>
          <w:sz w:val="22"/>
          <w:szCs w:val="22"/>
        </w:rPr>
        <w:t>což vedlo</w:t>
      </w:r>
      <w:r w:rsidR="00233DDE" w:rsidRPr="00A032F8">
        <w:rPr>
          <w:rFonts w:cs="Arial"/>
          <w:b/>
          <w:sz w:val="22"/>
          <w:szCs w:val="22"/>
        </w:rPr>
        <w:t xml:space="preserve"> </w:t>
      </w:r>
      <w:r w:rsidR="005762B6" w:rsidRPr="00A032F8">
        <w:rPr>
          <w:rFonts w:cs="Arial"/>
          <w:b/>
          <w:sz w:val="22"/>
          <w:szCs w:val="22"/>
        </w:rPr>
        <w:t>k</w:t>
      </w:r>
      <w:r w:rsidR="00233DDE" w:rsidRPr="00A032F8">
        <w:rPr>
          <w:rFonts w:cs="Arial"/>
          <w:b/>
          <w:sz w:val="22"/>
          <w:szCs w:val="22"/>
        </w:rPr>
        <w:t> </w:t>
      </w:r>
      <w:r w:rsidR="005762B6" w:rsidRPr="00A032F8">
        <w:rPr>
          <w:rFonts w:cs="Arial"/>
          <w:b/>
          <w:sz w:val="22"/>
          <w:szCs w:val="22"/>
        </w:rPr>
        <w:t xml:space="preserve">výběru cenově méně výhodných nabídek </w:t>
      </w:r>
      <w:r w:rsidR="00233DDE" w:rsidRPr="00A032F8">
        <w:rPr>
          <w:rFonts w:cs="Arial"/>
          <w:b/>
          <w:sz w:val="22"/>
          <w:szCs w:val="22"/>
        </w:rPr>
        <w:t>nebo k</w:t>
      </w:r>
      <w:r w:rsidR="00DE4542">
        <w:rPr>
          <w:rFonts w:cs="Arial"/>
          <w:b/>
          <w:sz w:val="22"/>
          <w:szCs w:val="22"/>
        </w:rPr>
        <w:t> </w:t>
      </w:r>
      <w:r w:rsidR="00233DDE" w:rsidRPr="00A032F8">
        <w:rPr>
          <w:rFonts w:cs="Arial"/>
          <w:b/>
          <w:sz w:val="22"/>
          <w:szCs w:val="22"/>
        </w:rPr>
        <w:t xml:space="preserve">jejich netransparentnímu hodnocení. </w:t>
      </w:r>
      <w:r w:rsidR="00DE4542">
        <w:rPr>
          <w:rFonts w:cs="Arial"/>
          <w:b/>
          <w:sz w:val="22"/>
          <w:szCs w:val="22"/>
        </w:rPr>
        <w:t>Existuje i </w:t>
      </w:r>
      <w:r w:rsidR="00F013A4" w:rsidRPr="00A032F8">
        <w:rPr>
          <w:rFonts w:cs="Arial"/>
          <w:b/>
          <w:sz w:val="22"/>
          <w:szCs w:val="22"/>
        </w:rPr>
        <w:t>pochybnost o</w:t>
      </w:r>
      <w:r w:rsidR="00DA5FD2" w:rsidRPr="00A032F8">
        <w:rPr>
          <w:rFonts w:cs="Arial"/>
          <w:b/>
          <w:sz w:val="22"/>
          <w:szCs w:val="22"/>
        </w:rPr>
        <w:t> </w:t>
      </w:r>
      <w:r w:rsidR="00F013A4" w:rsidRPr="00A032F8">
        <w:rPr>
          <w:rFonts w:cs="Arial"/>
          <w:b/>
          <w:sz w:val="22"/>
          <w:szCs w:val="22"/>
        </w:rPr>
        <w:t>správnosti</w:t>
      </w:r>
      <w:r w:rsidR="00840C41" w:rsidRPr="00A032F8">
        <w:rPr>
          <w:rFonts w:cs="Arial"/>
          <w:b/>
          <w:sz w:val="22"/>
          <w:szCs w:val="22"/>
        </w:rPr>
        <w:t xml:space="preserve"> </w:t>
      </w:r>
      <w:r w:rsidR="00DE4542">
        <w:rPr>
          <w:rFonts w:cs="Arial"/>
          <w:b/>
          <w:sz w:val="22"/>
          <w:szCs w:val="22"/>
        </w:rPr>
        <w:t>zvolených</w:t>
      </w:r>
      <w:r w:rsidR="00F013A4" w:rsidRPr="00A032F8">
        <w:rPr>
          <w:rFonts w:cs="Arial"/>
          <w:b/>
          <w:sz w:val="22"/>
          <w:szCs w:val="22"/>
        </w:rPr>
        <w:t xml:space="preserve"> dílčích hodnot</w:t>
      </w:r>
      <w:r w:rsidR="00CE4C4E">
        <w:rPr>
          <w:rFonts w:cs="Arial"/>
          <w:b/>
          <w:sz w:val="22"/>
          <w:szCs w:val="22"/>
        </w:rPr>
        <w:t>i</w:t>
      </w:r>
      <w:r w:rsidR="00F013A4" w:rsidRPr="00A032F8">
        <w:rPr>
          <w:rFonts w:cs="Arial"/>
          <w:b/>
          <w:sz w:val="22"/>
          <w:szCs w:val="22"/>
        </w:rPr>
        <w:t>cích kritérií pro vyjádření e</w:t>
      </w:r>
      <w:r w:rsidR="00DE4542">
        <w:rPr>
          <w:rFonts w:cs="Arial"/>
          <w:b/>
          <w:sz w:val="22"/>
          <w:szCs w:val="22"/>
        </w:rPr>
        <w:t>konomické výhodnosti nabídek. V </w:t>
      </w:r>
      <w:r w:rsidR="00F013A4" w:rsidRPr="00A032F8">
        <w:rPr>
          <w:rFonts w:cs="Arial"/>
          <w:b/>
          <w:sz w:val="22"/>
          <w:szCs w:val="22"/>
        </w:rPr>
        <w:t>jednom případě byly zjištěny i ne</w:t>
      </w:r>
      <w:r w:rsidR="00F013A4">
        <w:rPr>
          <w:rFonts w:cs="Arial"/>
          <w:b/>
          <w:sz w:val="22"/>
          <w:szCs w:val="22"/>
        </w:rPr>
        <w:t>dostatky</w:t>
      </w:r>
      <w:r w:rsidR="00F013A4" w:rsidRPr="009A72FE">
        <w:rPr>
          <w:rFonts w:cs="Arial"/>
          <w:b/>
          <w:sz w:val="22"/>
          <w:szCs w:val="22"/>
        </w:rPr>
        <w:t xml:space="preserve"> v</w:t>
      </w:r>
      <w:r w:rsidR="007302CF">
        <w:rPr>
          <w:rFonts w:cs="Arial"/>
          <w:b/>
          <w:sz w:val="22"/>
          <w:szCs w:val="22"/>
        </w:rPr>
        <w:t> </w:t>
      </w:r>
      <w:r w:rsidR="00F013A4" w:rsidRPr="009A72FE">
        <w:rPr>
          <w:rFonts w:cs="Arial"/>
          <w:b/>
          <w:sz w:val="22"/>
          <w:szCs w:val="22"/>
        </w:rPr>
        <w:t>přípravě akce.</w:t>
      </w:r>
      <w:r w:rsidR="00F013A4">
        <w:rPr>
          <w:rFonts w:cs="Arial"/>
          <w:b/>
          <w:sz w:val="22"/>
          <w:szCs w:val="22"/>
        </w:rPr>
        <w:t xml:space="preserve"> </w:t>
      </w:r>
    </w:p>
    <w:sectPr w:rsidR="00F013A4" w:rsidSect="00F735B8">
      <w:headerReference w:type="default" r:id="rId14"/>
      <w:footerReference w:type="default" r:id="rId15"/>
      <w:pgSz w:w="11907" w:h="16839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0C" w:rsidRDefault="0034250C">
      <w:r>
        <w:separator/>
      </w:r>
    </w:p>
  </w:endnote>
  <w:endnote w:type="continuationSeparator" w:id="0">
    <w:p w:rsidR="0034250C" w:rsidRDefault="0034250C">
      <w:r>
        <w:continuationSeparator/>
      </w:r>
    </w:p>
  </w:endnote>
  <w:endnote w:type="continuationNotice" w:id="1">
    <w:p w:rsidR="0034250C" w:rsidRDefault="00342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0C" w:rsidRPr="009A12AE" w:rsidRDefault="0034250C" w:rsidP="009A12AE">
    <w:pPr>
      <w:pStyle w:val="Zpat"/>
      <w:jc w:val="center"/>
      <w:rPr>
        <w:rFonts w:cs="Arial"/>
        <w:sz w:val="22"/>
        <w:szCs w:val="22"/>
      </w:rPr>
    </w:pPr>
    <w:r w:rsidRPr="009A12AE">
      <w:rPr>
        <w:rFonts w:cs="Arial"/>
        <w:sz w:val="22"/>
        <w:szCs w:val="22"/>
      </w:rPr>
      <w:fldChar w:fldCharType="begin"/>
    </w:r>
    <w:r w:rsidRPr="009A12AE">
      <w:rPr>
        <w:rFonts w:cs="Arial"/>
        <w:sz w:val="22"/>
        <w:szCs w:val="22"/>
      </w:rPr>
      <w:instrText xml:space="preserve"> PAGE   \* MERGEFORMAT </w:instrText>
    </w:r>
    <w:r w:rsidRPr="009A12AE">
      <w:rPr>
        <w:rFonts w:cs="Arial"/>
        <w:sz w:val="22"/>
        <w:szCs w:val="22"/>
      </w:rPr>
      <w:fldChar w:fldCharType="separate"/>
    </w:r>
    <w:r w:rsidR="00BD36B0">
      <w:rPr>
        <w:rFonts w:cs="Arial"/>
        <w:noProof/>
        <w:sz w:val="22"/>
        <w:szCs w:val="22"/>
      </w:rPr>
      <w:t>2</w:t>
    </w:r>
    <w:r w:rsidRPr="009A12AE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0C" w:rsidRDefault="0034250C">
      <w:r>
        <w:separator/>
      </w:r>
    </w:p>
  </w:footnote>
  <w:footnote w:type="continuationSeparator" w:id="0">
    <w:p w:rsidR="0034250C" w:rsidRDefault="0034250C">
      <w:r>
        <w:continuationSeparator/>
      </w:r>
    </w:p>
  </w:footnote>
  <w:footnote w:type="continuationNotice" w:id="1">
    <w:p w:rsidR="0034250C" w:rsidRDefault="0034250C"/>
  </w:footnote>
  <w:footnote w:id="2">
    <w:p w:rsidR="0034250C" w:rsidRPr="00512BFA" w:rsidRDefault="0034250C" w:rsidP="0010048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512BFA">
        <w:rPr>
          <w:rStyle w:val="Znakapoznpodarou"/>
          <w:rFonts w:cs="Arial"/>
          <w:sz w:val="18"/>
          <w:szCs w:val="18"/>
        </w:rPr>
        <w:footnoteRef/>
      </w:r>
      <w:r w:rsidRPr="00512BFA">
        <w:rPr>
          <w:rFonts w:cs="Arial"/>
          <w:sz w:val="18"/>
          <w:szCs w:val="18"/>
        </w:rPr>
        <w:tab/>
        <w:t xml:space="preserve">Zákon č. 218/2000 Sb., </w:t>
      </w:r>
      <w:r w:rsidRPr="006040CA">
        <w:rPr>
          <w:rFonts w:cs="Arial"/>
          <w:sz w:val="18"/>
          <w:szCs w:val="18"/>
        </w:rPr>
        <w:t>o rozpočtových pravidlech a o změně některých souvisejících zákonů (rozpočtová pravidla)</w:t>
      </w:r>
      <w:r w:rsidRPr="003E56B4">
        <w:rPr>
          <w:rFonts w:cs="Arial"/>
          <w:sz w:val="18"/>
          <w:szCs w:val="18"/>
        </w:rPr>
        <w:t>.</w:t>
      </w:r>
    </w:p>
  </w:footnote>
  <w:footnote w:id="3">
    <w:p w:rsidR="0034250C" w:rsidRPr="006040CA" w:rsidRDefault="0034250C" w:rsidP="0010048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512BFA">
        <w:rPr>
          <w:rStyle w:val="Znakapoznpodarou"/>
          <w:rFonts w:cs="Arial"/>
          <w:sz w:val="18"/>
          <w:szCs w:val="18"/>
        </w:rPr>
        <w:footnoteRef/>
      </w:r>
      <w:r w:rsidRPr="00512BFA">
        <w:rPr>
          <w:rFonts w:cs="Arial"/>
          <w:sz w:val="18"/>
          <w:szCs w:val="18"/>
        </w:rPr>
        <w:tab/>
      </w:r>
      <w:r w:rsidRPr="006040CA">
        <w:rPr>
          <w:rFonts w:cs="Arial"/>
          <w:sz w:val="18"/>
          <w:szCs w:val="18"/>
        </w:rPr>
        <w:t>Vyhláška č. 560/2006 Sb., o účasti státního rozpočtu na financování programů reprodukce majetku.</w:t>
      </w:r>
    </w:p>
  </w:footnote>
  <w:footnote w:id="4">
    <w:p w:rsidR="0034250C" w:rsidRPr="00512BFA" w:rsidRDefault="0034250C" w:rsidP="0010048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512BFA">
        <w:rPr>
          <w:rStyle w:val="Znakapoznpodarou"/>
          <w:rFonts w:cs="Arial"/>
          <w:sz w:val="18"/>
          <w:szCs w:val="18"/>
        </w:rPr>
        <w:footnoteRef/>
      </w:r>
      <w:r w:rsidRPr="00512BFA">
        <w:rPr>
          <w:rFonts w:cs="Arial"/>
          <w:sz w:val="18"/>
          <w:szCs w:val="18"/>
        </w:rPr>
        <w:tab/>
        <w:t xml:space="preserve">V kontrolovaném období šlo o přílohy č. 11 k zákonům č. 622/2006 Sb. a č. 360/2007 Sb. a </w:t>
      </w:r>
      <w:r>
        <w:rPr>
          <w:rFonts w:cs="Arial"/>
          <w:sz w:val="18"/>
          <w:szCs w:val="18"/>
        </w:rPr>
        <w:t xml:space="preserve">přílohy </w:t>
      </w:r>
      <w:r w:rsidRPr="00512BFA">
        <w:rPr>
          <w:rFonts w:cs="Arial"/>
          <w:sz w:val="18"/>
          <w:szCs w:val="18"/>
        </w:rPr>
        <w:t xml:space="preserve">č. 10 k zákonům č. 475/2008 Sb., č. 487/2009 Sb., č. 433/2010 Sb. a č. 455/2011 Sb. </w:t>
      </w:r>
    </w:p>
  </w:footnote>
  <w:footnote w:id="5">
    <w:p w:rsidR="0034250C" w:rsidRPr="00512BFA" w:rsidRDefault="0034250C" w:rsidP="00B2732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512BFA">
        <w:rPr>
          <w:rStyle w:val="Znakapoznpodarou"/>
          <w:rFonts w:cs="Arial"/>
          <w:sz w:val="18"/>
          <w:szCs w:val="18"/>
        </w:rPr>
        <w:footnoteRef/>
      </w:r>
      <w:r w:rsidRPr="00512BFA">
        <w:rPr>
          <w:rFonts w:cs="Arial"/>
          <w:sz w:val="18"/>
          <w:szCs w:val="18"/>
        </w:rPr>
        <w:tab/>
        <w:t>Včetně výnosů z privatizací po novele zákona č. 178/2005 Sb.</w:t>
      </w:r>
      <w:r>
        <w:rPr>
          <w:rFonts w:cs="Arial"/>
          <w:sz w:val="18"/>
          <w:szCs w:val="18"/>
        </w:rPr>
        <w:t xml:space="preserve">, </w:t>
      </w:r>
      <w:r w:rsidRPr="00AE59C4">
        <w:rPr>
          <w:rFonts w:cs="Arial"/>
          <w:sz w:val="18"/>
          <w:szCs w:val="18"/>
        </w:rPr>
        <w:t>o zrušení Fondu národního majetku České republiky a o působnosti Ministerstva financí při privatizaci majetku České republiky</w:t>
      </w:r>
      <w:r w:rsidRPr="00512BFA">
        <w:rPr>
          <w:rFonts w:cs="Arial"/>
          <w:sz w:val="18"/>
          <w:szCs w:val="18"/>
        </w:rPr>
        <w:t xml:space="preserve"> (zákon o zrušení Fondu národního majetku).</w:t>
      </w:r>
    </w:p>
  </w:footnote>
  <w:footnote w:id="6">
    <w:p w:rsidR="0034250C" w:rsidRPr="00512BFA" w:rsidRDefault="0034250C" w:rsidP="00AE59C4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512BFA">
        <w:rPr>
          <w:rStyle w:val="Znakapoznpodarou"/>
          <w:rFonts w:cs="Arial"/>
          <w:sz w:val="18"/>
          <w:szCs w:val="18"/>
        </w:rPr>
        <w:footnoteRef/>
      </w:r>
      <w:r w:rsidRPr="00512BFA">
        <w:rPr>
          <w:rFonts w:cs="Arial"/>
          <w:sz w:val="18"/>
          <w:szCs w:val="18"/>
        </w:rPr>
        <w:tab/>
        <w:t>Plán byl zpracován podle zákona č. 254/2001 Sb.</w:t>
      </w:r>
      <w:r>
        <w:rPr>
          <w:rFonts w:cs="Arial"/>
          <w:sz w:val="18"/>
          <w:szCs w:val="18"/>
        </w:rPr>
        <w:t xml:space="preserve">, </w:t>
      </w:r>
      <w:r w:rsidRPr="00AE59C4">
        <w:rPr>
          <w:rFonts w:cs="Arial"/>
          <w:sz w:val="18"/>
          <w:szCs w:val="18"/>
        </w:rPr>
        <w:t>o vodách a o změně některých zákonů</w:t>
      </w:r>
      <w:r>
        <w:rPr>
          <w:rFonts w:cs="Arial"/>
          <w:sz w:val="18"/>
          <w:szCs w:val="18"/>
        </w:rPr>
        <w:t xml:space="preserve"> </w:t>
      </w:r>
      <w:r w:rsidRPr="00AE59C4">
        <w:rPr>
          <w:rFonts w:cs="Arial"/>
          <w:sz w:val="18"/>
          <w:szCs w:val="18"/>
        </w:rPr>
        <w:t>(vodní zákon</w:t>
      </w:r>
      <w:r w:rsidRPr="00512BFA">
        <w:rPr>
          <w:rFonts w:cs="Arial"/>
          <w:sz w:val="18"/>
          <w:szCs w:val="18"/>
        </w:rPr>
        <w:t>). Byl dlouhodobou koncepcí oblasti vod se zaměřením na období 2007 až 2012. Schválen byl usnesením vlády ze dne 23. května 2007 č. 562.</w:t>
      </w:r>
    </w:p>
  </w:footnote>
  <w:footnote w:id="7">
    <w:p w:rsidR="0034250C" w:rsidRPr="00F133C2" w:rsidRDefault="0034250C" w:rsidP="00445B97">
      <w:pPr>
        <w:pStyle w:val="Textpoznpodarou"/>
        <w:ind w:left="284" w:hanging="284"/>
        <w:jc w:val="both"/>
        <w:rPr>
          <w:sz w:val="18"/>
          <w:szCs w:val="18"/>
        </w:rPr>
      </w:pPr>
      <w:r w:rsidRPr="00F133C2">
        <w:rPr>
          <w:rStyle w:val="Znakapoznpodarou"/>
          <w:sz w:val="18"/>
          <w:szCs w:val="18"/>
        </w:rPr>
        <w:footnoteRef/>
      </w:r>
      <w:r w:rsidRPr="00F133C2">
        <w:rPr>
          <w:sz w:val="18"/>
          <w:szCs w:val="18"/>
        </w:rPr>
        <w:tab/>
        <w:t>Státní podniky Povodí Labe, Povodí Vltavy, Povodí Ohře, Povodí Moravy, Povodí Odry, Lesy České republiky a bývalá organizační složka státu Zemědělská vodohospodářská správa.</w:t>
      </w:r>
    </w:p>
  </w:footnote>
  <w:footnote w:id="8">
    <w:p w:rsidR="0034250C" w:rsidRPr="00F133C2" w:rsidRDefault="0034250C" w:rsidP="0034711D">
      <w:pPr>
        <w:pStyle w:val="Textpoznpodarou"/>
        <w:ind w:left="284" w:hanging="284"/>
        <w:jc w:val="both"/>
        <w:rPr>
          <w:sz w:val="18"/>
          <w:szCs w:val="18"/>
        </w:rPr>
      </w:pPr>
      <w:r w:rsidRPr="00F133C2">
        <w:rPr>
          <w:rStyle w:val="Znakapoznpodarou"/>
          <w:sz w:val="18"/>
          <w:szCs w:val="18"/>
        </w:rPr>
        <w:footnoteRef/>
      </w:r>
      <w:r w:rsidRPr="00F133C2">
        <w:rPr>
          <w:sz w:val="18"/>
          <w:szCs w:val="18"/>
        </w:rPr>
        <w:tab/>
        <w:t>Strategický expert posuzoval každou navrhovanou akci, jeho posudek byl rozhodující pro její zařa</w:t>
      </w:r>
      <w:r>
        <w:rPr>
          <w:sz w:val="18"/>
          <w:szCs w:val="18"/>
        </w:rPr>
        <w:t xml:space="preserve">zení do programu – viz i písmeno c) </w:t>
      </w:r>
      <w:r w:rsidRPr="00F133C2">
        <w:rPr>
          <w:sz w:val="18"/>
          <w:szCs w:val="18"/>
        </w:rPr>
        <w:t xml:space="preserve">této části kontrolního závěru.  </w:t>
      </w:r>
    </w:p>
  </w:footnote>
  <w:footnote w:id="9">
    <w:p w:rsidR="0034250C" w:rsidRPr="00F133C2" w:rsidRDefault="0034250C" w:rsidP="00A36914">
      <w:pPr>
        <w:pStyle w:val="Textpoznpodarou"/>
        <w:ind w:left="284" w:hanging="284"/>
        <w:jc w:val="both"/>
        <w:rPr>
          <w:i/>
          <w:sz w:val="18"/>
          <w:szCs w:val="18"/>
        </w:rPr>
      </w:pPr>
      <w:r w:rsidRPr="00F133C2">
        <w:rPr>
          <w:rStyle w:val="Znakapoznpodarou"/>
          <w:sz w:val="18"/>
          <w:szCs w:val="18"/>
        </w:rPr>
        <w:footnoteRef/>
      </w:r>
      <w:r w:rsidRPr="00F133C2">
        <w:rPr>
          <w:sz w:val="18"/>
          <w:szCs w:val="18"/>
        </w:rPr>
        <w:tab/>
        <w:t xml:space="preserve">Usnesení vlády ze dne 15. listopadu 2006 č. 1304, </w:t>
      </w:r>
      <w:r w:rsidRPr="00F133C2">
        <w:rPr>
          <w:i/>
          <w:sz w:val="18"/>
          <w:szCs w:val="18"/>
        </w:rPr>
        <w:t>k Dokumentaci programu 129 120 Podpora prevence před povodněmi II a ke změně usnesení vlády ze dne 12. dubna 2006 č. 383 a ze dne 10. května 2006 č. 496</w:t>
      </w:r>
      <w:r w:rsidRPr="00F133C2">
        <w:rPr>
          <w:sz w:val="18"/>
          <w:szCs w:val="18"/>
        </w:rPr>
        <w:t>.</w:t>
      </w:r>
      <w:r w:rsidRPr="00F133C2">
        <w:rPr>
          <w:i/>
          <w:sz w:val="18"/>
          <w:szCs w:val="18"/>
        </w:rPr>
        <w:t xml:space="preserve"> </w:t>
      </w:r>
    </w:p>
  </w:footnote>
  <w:footnote w:id="10">
    <w:p w:rsidR="0034250C" w:rsidRPr="00F133C2" w:rsidRDefault="0034250C" w:rsidP="00995FD6">
      <w:pPr>
        <w:pStyle w:val="Textpoznpodarou"/>
        <w:ind w:left="284" w:hanging="284"/>
        <w:jc w:val="both"/>
        <w:rPr>
          <w:sz w:val="18"/>
          <w:szCs w:val="18"/>
        </w:rPr>
      </w:pPr>
      <w:r w:rsidRPr="00F133C2">
        <w:rPr>
          <w:rStyle w:val="Znakapoznpodarou"/>
          <w:sz w:val="18"/>
          <w:szCs w:val="18"/>
        </w:rPr>
        <w:footnoteRef/>
      </w:r>
      <w:r w:rsidRPr="00F133C2">
        <w:rPr>
          <w:sz w:val="18"/>
          <w:szCs w:val="18"/>
        </w:rPr>
        <w:tab/>
        <w:t>Zvláštní povodní se rozumí povodeň, způsobená poruchou či havárií (protržením) vodního díla vzdouvajícího nebo akumulujícího vodu, nebo nouzovým řešením kritické situace na vodním díle vyvolávající</w:t>
      </w:r>
      <w:r>
        <w:rPr>
          <w:sz w:val="18"/>
          <w:szCs w:val="18"/>
        </w:rPr>
        <w:t>m</w:t>
      </w:r>
      <w:r w:rsidRPr="00F133C2">
        <w:rPr>
          <w:sz w:val="18"/>
          <w:szCs w:val="18"/>
        </w:rPr>
        <w:t xml:space="preserve"> vznik krizové situace na území pod vodním dílem.</w:t>
      </w:r>
    </w:p>
  </w:footnote>
  <w:footnote w:id="11">
    <w:p w:rsidR="0034250C" w:rsidRPr="00F133C2" w:rsidRDefault="0034250C" w:rsidP="00A64C14">
      <w:pPr>
        <w:pStyle w:val="Textpoznpodarou"/>
        <w:ind w:left="284" w:hanging="284"/>
        <w:jc w:val="both"/>
        <w:rPr>
          <w:sz w:val="18"/>
          <w:szCs w:val="18"/>
        </w:rPr>
      </w:pPr>
      <w:r w:rsidRPr="00F133C2">
        <w:rPr>
          <w:rStyle w:val="Znakapoznpodarou"/>
          <w:sz w:val="18"/>
          <w:szCs w:val="18"/>
        </w:rPr>
        <w:footnoteRef/>
      </w:r>
      <w:r w:rsidRPr="00F133C2">
        <w:rPr>
          <w:sz w:val="18"/>
          <w:szCs w:val="18"/>
        </w:rPr>
        <w:tab/>
        <w:t xml:space="preserve">Zákon č. 40/2004 Sb., </w:t>
      </w:r>
      <w:r w:rsidRPr="006040CA">
        <w:rPr>
          <w:sz w:val="18"/>
          <w:szCs w:val="18"/>
        </w:rPr>
        <w:t>o veřejných zakázkách</w:t>
      </w:r>
      <w:r w:rsidRPr="00F723CD">
        <w:rPr>
          <w:sz w:val="18"/>
          <w:szCs w:val="18"/>
        </w:rPr>
        <w:t>.</w:t>
      </w:r>
    </w:p>
  </w:footnote>
  <w:footnote w:id="12">
    <w:p w:rsidR="0034250C" w:rsidRPr="00F133C2" w:rsidRDefault="0034250C" w:rsidP="00A64C14">
      <w:pPr>
        <w:pStyle w:val="Textpoznpodarou"/>
        <w:ind w:left="284" w:hanging="284"/>
        <w:jc w:val="both"/>
        <w:rPr>
          <w:sz w:val="18"/>
          <w:szCs w:val="18"/>
        </w:rPr>
      </w:pPr>
      <w:r w:rsidRPr="00F133C2">
        <w:rPr>
          <w:rStyle w:val="Znakapoznpodarou"/>
          <w:sz w:val="18"/>
          <w:szCs w:val="18"/>
        </w:rPr>
        <w:footnoteRef/>
      </w:r>
      <w:r w:rsidRPr="00F133C2">
        <w:rPr>
          <w:sz w:val="18"/>
          <w:szCs w:val="18"/>
        </w:rPr>
        <w:tab/>
        <w:t xml:space="preserve">Zákon č. 137/2006 Sb., </w:t>
      </w:r>
      <w:r w:rsidRPr="006040CA">
        <w:rPr>
          <w:sz w:val="18"/>
          <w:szCs w:val="18"/>
        </w:rPr>
        <w:t>o veřejných zakázkách</w:t>
      </w:r>
      <w:r w:rsidRPr="00F133C2">
        <w:rPr>
          <w:sz w:val="18"/>
          <w:szCs w:val="18"/>
        </w:rPr>
        <w:t>.</w:t>
      </w:r>
    </w:p>
  </w:footnote>
  <w:footnote w:id="13">
    <w:p w:rsidR="0034250C" w:rsidRPr="00F133C2" w:rsidRDefault="0034250C" w:rsidP="00A64C14">
      <w:pPr>
        <w:pStyle w:val="Textpoznpodarou"/>
        <w:ind w:left="284" w:hanging="284"/>
        <w:jc w:val="both"/>
        <w:rPr>
          <w:sz w:val="18"/>
          <w:szCs w:val="18"/>
        </w:rPr>
      </w:pPr>
      <w:r w:rsidRPr="00F133C2">
        <w:rPr>
          <w:rStyle w:val="Znakapoznpodarou"/>
          <w:sz w:val="18"/>
          <w:szCs w:val="18"/>
        </w:rPr>
        <w:footnoteRef/>
      </w:r>
      <w:r w:rsidRPr="00F133C2">
        <w:rPr>
          <w:sz w:val="18"/>
          <w:szCs w:val="18"/>
        </w:rPr>
        <w:tab/>
        <w:t>Ukazatel vyjadřuje</w:t>
      </w:r>
      <w:r>
        <w:rPr>
          <w:sz w:val="18"/>
          <w:szCs w:val="18"/>
        </w:rPr>
        <w:t xml:space="preserve"> finanční efektivnost danou</w:t>
      </w:r>
      <w:r w:rsidRPr="00F133C2">
        <w:rPr>
          <w:sz w:val="18"/>
          <w:szCs w:val="18"/>
        </w:rPr>
        <w:t xml:space="preserve"> </w:t>
      </w:r>
      <w:r>
        <w:rPr>
          <w:sz w:val="18"/>
          <w:szCs w:val="18"/>
        </w:rPr>
        <w:t>snížením</w:t>
      </w:r>
      <w:r w:rsidRPr="00F133C2">
        <w:rPr>
          <w:sz w:val="18"/>
          <w:szCs w:val="18"/>
        </w:rPr>
        <w:t xml:space="preserve"> současného rizika na jednotku nákladů na realizaci akce. Vyšší hodnota ukazatele ukazuje na vyšší zhodnocení investice.</w:t>
      </w:r>
    </w:p>
  </w:footnote>
  <w:footnote w:id="14">
    <w:p w:rsidR="0034250C" w:rsidRPr="00560198" w:rsidRDefault="0034250C" w:rsidP="00560198">
      <w:pPr>
        <w:pStyle w:val="Textpoznpodarou"/>
        <w:ind w:left="284" w:hanging="284"/>
        <w:jc w:val="both"/>
        <w:rPr>
          <w:sz w:val="18"/>
          <w:szCs w:val="18"/>
        </w:rPr>
      </w:pPr>
      <w:r w:rsidRPr="00560198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560198">
        <w:rPr>
          <w:sz w:val="18"/>
          <w:szCs w:val="18"/>
        </w:rPr>
        <w:t xml:space="preserve">Šlo </w:t>
      </w:r>
      <w:r>
        <w:rPr>
          <w:sz w:val="18"/>
          <w:szCs w:val="18"/>
        </w:rPr>
        <w:t xml:space="preserve">o akce, které se týkaly vodních děl zařazených </w:t>
      </w:r>
      <w:r w:rsidRPr="00560198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560198">
        <w:rPr>
          <w:sz w:val="18"/>
          <w:szCs w:val="18"/>
        </w:rPr>
        <w:t>pohledu</w:t>
      </w:r>
      <w:r>
        <w:rPr>
          <w:sz w:val="18"/>
          <w:szCs w:val="18"/>
        </w:rPr>
        <w:t xml:space="preserve"> výše možných škod při havárii do nejnižší IV. kategorie podle vyhlášky č. 471/2001 Sb., </w:t>
      </w:r>
      <w:r w:rsidRPr="006040CA">
        <w:rPr>
          <w:sz w:val="18"/>
          <w:szCs w:val="18"/>
        </w:rPr>
        <w:t>o technickobezpečnostním dohledu nad vodními díly</w:t>
      </w:r>
      <w:r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0C" w:rsidRDefault="003425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64649"/>
    <w:multiLevelType w:val="hybridMultilevel"/>
    <w:tmpl w:val="57F81FE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5842"/>
    <w:multiLevelType w:val="hybridMultilevel"/>
    <w:tmpl w:val="D2FE1BDA"/>
    <w:lvl w:ilvl="0" w:tplc="11C64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2C1A81"/>
    <w:multiLevelType w:val="hybridMultilevel"/>
    <w:tmpl w:val="FE6E4D18"/>
    <w:lvl w:ilvl="0" w:tplc="7C2E5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86B04"/>
    <w:multiLevelType w:val="hybridMultilevel"/>
    <w:tmpl w:val="747089B2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8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6"/>
  </w:num>
  <w:num w:numId="4">
    <w:abstractNumId w:val="11"/>
  </w:num>
  <w:num w:numId="5">
    <w:abstractNumId w:val="7"/>
  </w:num>
  <w:num w:numId="6">
    <w:abstractNumId w:val="23"/>
  </w:num>
  <w:num w:numId="7">
    <w:abstractNumId w:val="20"/>
  </w:num>
  <w:num w:numId="8">
    <w:abstractNumId w:val="25"/>
  </w:num>
  <w:num w:numId="9">
    <w:abstractNumId w:val="28"/>
  </w:num>
  <w:num w:numId="10">
    <w:abstractNumId w:val="38"/>
  </w:num>
  <w:num w:numId="11">
    <w:abstractNumId w:val="18"/>
  </w:num>
  <w:num w:numId="12">
    <w:abstractNumId w:val="30"/>
  </w:num>
  <w:num w:numId="13">
    <w:abstractNumId w:val="39"/>
  </w:num>
  <w:num w:numId="14">
    <w:abstractNumId w:val="5"/>
  </w:num>
  <w:num w:numId="15">
    <w:abstractNumId w:val="13"/>
  </w:num>
  <w:num w:numId="16">
    <w:abstractNumId w:val="19"/>
  </w:num>
  <w:num w:numId="17">
    <w:abstractNumId w:val="24"/>
  </w:num>
  <w:num w:numId="18">
    <w:abstractNumId w:val="37"/>
  </w:num>
  <w:num w:numId="19">
    <w:abstractNumId w:val="29"/>
  </w:num>
  <w:num w:numId="20">
    <w:abstractNumId w:val="0"/>
  </w:num>
  <w:num w:numId="21">
    <w:abstractNumId w:val="33"/>
  </w:num>
  <w:num w:numId="22">
    <w:abstractNumId w:val="21"/>
  </w:num>
  <w:num w:numId="23">
    <w:abstractNumId w:val="2"/>
  </w:num>
  <w:num w:numId="24">
    <w:abstractNumId w:val="12"/>
  </w:num>
  <w:num w:numId="25">
    <w:abstractNumId w:val="6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31"/>
  </w:num>
  <w:num w:numId="31">
    <w:abstractNumId w:val="15"/>
  </w:num>
  <w:num w:numId="32">
    <w:abstractNumId w:val="1"/>
  </w:num>
  <w:num w:numId="33">
    <w:abstractNumId w:val="3"/>
  </w:num>
  <w:num w:numId="34">
    <w:abstractNumId w:val="9"/>
  </w:num>
  <w:num w:numId="35">
    <w:abstractNumId w:val="16"/>
  </w:num>
  <w:num w:numId="36">
    <w:abstractNumId w:val="27"/>
  </w:num>
  <w:num w:numId="37">
    <w:abstractNumId w:val="8"/>
  </w:num>
  <w:num w:numId="38">
    <w:abstractNumId w:val="34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ADF"/>
    <w:rsid w:val="00000F96"/>
    <w:rsid w:val="00001B91"/>
    <w:rsid w:val="00002073"/>
    <w:rsid w:val="0000330E"/>
    <w:rsid w:val="000033DB"/>
    <w:rsid w:val="00003D20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113E"/>
    <w:rsid w:val="000112F9"/>
    <w:rsid w:val="00013006"/>
    <w:rsid w:val="000131C6"/>
    <w:rsid w:val="00013507"/>
    <w:rsid w:val="00014603"/>
    <w:rsid w:val="000152B0"/>
    <w:rsid w:val="0001567E"/>
    <w:rsid w:val="00015CCB"/>
    <w:rsid w:val="00015F28"/>
    <w:rsid w:val="000163B7"/>
    <w:rsid w:val="000172AE"/>
    <w:rsid w:val="00017EC7"/>
    <w:rsid w:val="00020A05"/>
    <w:rsid w:val="00020DE5"/>
    <w:rsid w:val="00021026"/>
    <w:rsid w:val="000218CA"/>
    <w:rsid w:val="000225B8"/>
    <w:rsid w:val="00023D6D"/>
    <w:rsid w:val="00023EA1"/>
    <w:rsid w:val="0002450C"/>
    <w:rsid w:val="00024A45"/>
    <w:rsid w:val="00024E81"/>
    <w:rsid w:val="000254CB"/>
    <w:rsid w:val="0002588D"/>
    <w:rsid w:val="00025A70"/>
    <w:rsid w:val="00025E01"/>
    <w:rsid w:val="00026AFA"/>
    <w:rsid w:val="00027D3C"/>
    <w:rsid w:val="00030098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482"/>
    <w:rsid w:val="000326DA"/>
    <w:rsid w:val="00033741"/>
    <w:rsid w:val="000342ED"/>
    <w:rsid w:val="000343CF"/>
    <w:rsid w:val="000343E1"/>
    <w:rsid w:val="00034844"/>
    <w:rsid w:val="00037363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91"/>
    <w:rsid w:val="00043B34"/>
    <w:rsid w:val="00043D8A"/>
    <w:rsid w:val="0004440E"/>
    <w:rsid w:val="000459C2"/>
    <w:rsid w:val="00045E0B"/>
    <w:rsid w:val="000465B1"/>
    <w:rsid w:val="00046CD6"/>
    <w:rsid w:val="00050E1F"/>
    <w:rsid w:val="00051390"/>
    <w:rsid w:val="00051EBF"/>
    <w:rsid w:val="00052837"/>
    <w:rsid w:val="00052F4A"/>
    <w:rsid w:val="000530F1"/>
    <w:rsid w:val="00054517"/>
    <w:rsid w:val="00054696"/>
    <w:rsid w:val="00054BBC"/>
    <w:rsid w:val="000550B4"/>
    <w:rsid w:val="000551FF"/>
    <w:rsid w:val="000557A5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260B"/>
    <w:rsid w:val="00063316"/>
    <w:rsid w:val="00064144"/>
    <w:rsid w:val="000641DB"/>
    <w:rsid w:val="000642CE"/>
    <w:rsid w:val="00064524"/>
    <w:rsid w:val="0006454E"/>
    <w:rsid w:val="000647BD"/>
    <w:rsid w:val="00064DEF"/>
    <w:rsid w:val="0006671D"/>
    <w:rsid w:val="00066725"/>
    <w:rsid w:val="00066D9F"/>
    <w:rsid w:val="00070408"/>
    <w:rsid w:val="0007064B"/>
    <w:rsid w:val="000706B4"/>
    <w:rsid w:val="00071622"/>
    <w:rsid w:val="00071AAF"/>
    <w:rsid w:val="00071B68"/>
    <w:rsid w:val="00071FA4"/>
    <w:rsid w:val="00072445"/>
    <w:rsid w:val="000732F3"/>
    <w:rsid w:val="00074954"/>
    <w:rsid w:val="00074A01"/>
    <w:rsid w:val="00075C06"/>
    <w:rsid w:val="00076806"/>
    <w:rsid w:val="00077196"/>
    <w:rsid w:val="00077727"/>
    <w:rsid w:val="00080987"/>
    <w:rsid w:val="00080C12"/>
    <w:rsid w:val="00081221"/>
    <w:rsid w:val="000813FB"/>
    <w:rsid w:val="0008264D"/>
    <w:rsid w:val="000828E4"/>
    <w:rsid w:val="00082FB7"/>
    <w:rsid w:val="000839E5"/>
    <w:rsid w:val="000843F6"/>
    <w:rsid w:val="00084EF4"/>
    <w:rsid w:val="00084F19"/>
    <w:rsid w:val="000855DB"/>
    <w:rsid w:val="00087183"/>
    <w:rsid w:val="00087884"/>
    <w:rsid w:val="00087A8A"/>
    <w:rsid w:val="00087ABD"/>
    <w:rsid w:val="000903FF"/>
    <w:rsid w:val="0009092D"/>
    <w:rsid w:val="00091459"/>
    <w:rsid w:val="000921E4"/>
    <w:rsid w:val="000927F6"/>
    <w:rsid w:val="0009286D"/>
    <w:rsid w:val="000928EE"/>
    <w:rsid w:val="0009336C"/>
    <w:rsid w:val="00093E2F"/>
    <w:rsid w:val="00095329"/>
    <w:rsid w:val="00095904"/>
    <w:rsid w:val="000959E9"/>
    <w:rsid w:val="00095ED9"/>
    <w:rsid w:val="0009635C"/>
    <w:rsid w:val="00096F81"/>
    <w:rsid w:val="0009709F"/>
    <w:rsid w:val="000979E8"/>
    <w:rsid w:val="000A0A28"/>
    <w:rsid w:val="000A0E63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4BE"/>
    <w:rsid w:val="000B114F"/>
    <w:rsid w:val="000B1348"/>
    <w:rsid w:val="000B1C04"/>
    <w:rsid w:val="000B25C3"/>
    <w:rsid w:val="000B2B9A"/>
    <w:rsid w:val="000B2DD6"/>
    <w:rsid w:val="000B3145"/>
    <w:rsid w:val="000B3978"/>
    <w:rsid w:val="000B3B08"/>
    <w:rsid w:val="000B49FB"/>
    <w:rsid w:val="000B5FE2"/>
    <w:rsid w:val="000B710A"/>
    <w:rsid w:val="000B7411"/>
    <w:rsid w:val="000C1234"/>
    <w:rsid w:val="000C1C55"/>
    <w:rsid w:val="000C1DFD"/>
    <w:rsid w:val="000C2190"/>
    <w:rsid w:val="000C28BB"/>
    <w:rsid w:val="000C3130"/>
    <w:rsid w:val="000C320D"/>
    <w:rsid w:val="000C3566"/>
    <w:rsid w:val="000C40E9"/>
    <w:rsid w:val="000C4C9A"/>
    <w:rsid w:val="000C5338"/>
    <w:rsid w:val="000C63AB"/>
    <w:rsid w:val="000C64AC"/>
    <w:rsid w:val="000C6DA4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202F"/>
    <w:rsid w:val="000D225C"/>
    <w:rsid w:val="000D225E"/>
    <w:rsid w:val="000D350B"/>
    <w:rsid w:val="000D62D0"/>
    <w:rsid w:val="000D6416"/>
    <w:rsid w:val="000D6EB0"/>
    <w:rsid w:val="000D6EB6"/>
    <w:rsid w:val="000D702C"/>
    <w:rsid w:val="000D7D68"/>
    <w:rsid w:val="000E04BC"/>
    <w:rsid w:val="000E1099"/>
    <w:rsid w:val="000E123D"/>
    <w:rsid w:val="000E196A"/>
    <w:rsid w:val="000E1C21"/>
    <w:rsid w:val="000E1CA1"/>
    <w:rsid w:val="000E1E4B"/>
    <w:rsid w:val="000E23CC"/>
    <w:rsid w:val="000E4219"/>
    <w:rsid w:val="000E5022"/>
    <w:rsid w:val="000E5071"/>
    <w:rsid w:val="000E53AF"/>
    <w:rsid w:val="000E5629"/>
    <w:rsid w:val="000E5967"/>
    <w:rsid w:val="000E5CA3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7CC7"/>
    <w:rsid w:val="001002B8"/>
    <w:rsid w:val="0010034C"/>
    <w:rsid w:val="0010048A"/>
    <w:rsid w:val="0010159A"/>
    <w:rsid w:val="001019FC"/>
    <w:rsid w:val="001021F7"/>
    <w:rsid w:val="0010231F"/>
    <w:rsid w:val="00102B37"/>
    <w:rsid w:val="0010304D"/>
    <w:rsid w:val="0010376B"/>
    <w:rsid w:val="00103A3A"/>
    <w:rsid w:val="00104BDC"/>
    <w:rsid w:val="00105AD0"/>
    <w:rsid w:val="00106174"/>
    <w:rsid w:val="0010688E"/>
    <w:rsid w:val="00106C00"/>
    <w:rsid w:val="00106D02"/>
    <w:rsid w:val="0010734A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5CEF"/>
    <w:rsid w:val="00115E25"/>
    <w:rsid w:val="0011637B"/>
    <w:rsid w:val="00116982"/>
    <w:rsid w:val="00117DC9"/>
    <w:rsid w:val="001208DD"/>
    <w:rsid w:val="0012129B"/>
    <w:rsid w:val="00121642"/>
    <w:rsid w:val="00121B6F"/>
    <w:rsid w:val="00122D95"/>
    <w:rsid w:val="00122F13"/>
    <w:rsid w:val="00124136"/>
    <w:rsid w:val="0012511E"/>
    <w:rsid w:val="00125B7B"/>
    <w:rsid w:val="00126303"/>
    <w:rsid w:val="001265E7"/>
    <w:rsid w:val="00126713"/>
    <w:rsid w:val="00127E65"/>
    <w:rsid w:val="001302F2"/>
    <w:rsid w:val="001325AD"/>
    <w:rsid w:val="00132A7F"/>
    <w:rsid w:val="0013397D"/>
    <w:rsid w:val="00134C4E"/>
    <w:rsid w:val="0013587A"/>
    <w:rsid w:val="00135E06"/>
    <w:rsid w:val="001360A2"/>
    <w:rsid w:val="001368E7"/>
    <w:rsid w:val="00137C8D"/>
    <w:rsid w:val="00137D95"/>
    <w:rsid w:val="001402EC"/>
    <w:rsid w:val="00140B7F"/>
    <w:rsid w:val="00140D10"/>
    <w:rsid w:val="00141355"/>
    <w:rsid w:val="001415FD"/>
    <w:rsid w:val="0014163E"/>
    <w:rsid w:val="001418C0"/>
    <w:rsid w:val="00141C97"/>
    <w:rsid w:val="00141D91"/>
    <w:rsid w:val="00141FA2"/>
    <w:rsid w:val="00141FDE"/>
    <w:rsid w:val="00142073"/>
    <w:rsid w:val="001422A6"/>
    <w:rsid w:val="001425AD"/>
    <w:rsid w:val="00142B1D"/>
    <w:rsid w:val="00143C9D"/>
    <w:rsid w:val="0014414B"/>
    <w:rsid w:val="001442C8"/>
    <w:rsid w:val="00144332"/>
    <w:rsid w:val="00144916"/>
    <w:rsid w:val="0014548A"/>
    <w:rsid w:val="001456CE"/>
    <w:rsid w:val="00145861"/>
    <w:rsid w:val="001468BA"/>
    <w:rsid w:val="00146E18"/>
    <w:rsid w:val="00147599"/>
    <w:rsid w:val="00147A69"/>
    <w:rsid w:val="00147EAF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4C4D"/>
    <w:rsid w:val="001550CC"/>
    <w:rsid w:val="0015511A"/>
    <w:rsid w:val="00155CDC"/>
    <w:rsid w:val="00155DE6"/>
    <w:rsid w:val="00156C62"/>
    <w:rsid w:val="0016027D"/>
    <w:rsid w:val="00160429"/>
    <w:rsid w:val="00160905"/>
    <w:rsid w:val="00160D42"/>
    <w:rsid w:val="00160E9D"/>
    <w:rsid w:val="00160F69"/>
    <w:rsid w:val="00161005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0AB"/>
    <w:rsid w:val="001645EF"/>
    <w:rsid w:val="00164813"/>
    <w:rsid w:val="00164E8B"/>
    <w:rsid w:val="001654D3"/>
    <w:rsid w:val="001671F8"/>
    <w:rsid w:val="001702DE"/>
    <w:rsid w:val="00170BEB"/>
    <w:rsid w:val="00171086"/>
    <w:rsid w:val="00171371"/>
    <w:rsid w:val="001715AC"/>
    <w:rsid w:val="00171A28"/>
    <w:rsid w:val="00171A41"/>
    <w:rsid w:val="001725CE"/>
    <w:rsid w:val="00172804"/>
    <w:rsid w:val="00173420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1918"/>
    <w:rsid w:val="001826FC"/>
    <w:rsid w:val="00182F04"/>
    <w:rsid w:val="00184724"/>
    <w:rsid w:val="00185411"/>
    <w:rsid w:val="00186068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A03F3"/>
    <w:rsid w:val="001A08A9"/>
    <w:rsid w:val="001A094E"/>
    <w:rsid w:val="001A0BD8"/>
    <w:rsid w:val="001A0E1F"/>
    <w:rsid w:val="001A1518"/>
    <w:rsid w:val="001A15D3"/>
    <w:rsid w:val="001A1AAC"/>
    <w:rsid w:val="001A1CBF"/>
    <w:rsid w:val="001A1F1B"/>
    <w:rsid w:val="001A3388"/>
    <w:rsid w:val="001A360C"/>
    <w:rsid w:val="001A37F7"/>
    <w:rsid w:val="001A3FD4"/>
    <w:rsid w:val="001A4061"/>
    <w:rsid w:val="001A40D3"/>
    <w:rsid w:val="001A4FFF"/>
    <w:rsid w:val="001A50E5"/>
    <w:rsid w:val="001A5628"/>
    <w:rsid w:val="001A5D01"/>
    <w:rsid w:val="001A71B5"/>
    <w:rsid w:val="001B0CFC"/>
    <w:rsid w:val="001B12AA"/>
    <w:rsid w:val="001B1A8D"/>
    <w:rsid w:val="001B2131"/>
    <w:rsid w:val="001B2A38"/>
    <w:rsid w:val="001B2B19"/>
    <w:rsid w:val="001B2B2B"/>
    <w:rsid w:val="001B2F10"/>
    <w:rsid w:val="001B5134"/>
    <w:rsid w:val="001B537D"/>
    <w:rsid w:val="001B57E8"/>
    <w:rsid w:val="001B679F"/>
    <w:rsid w:val="001B69B3"/>
    <w:rsid w:val="001B6DAD"/>
    <w:rsid w:val="001C1BE9"/>
    <w:rsid w:val="001C34AD"/>
    <w:rsid w:val="001C422A"/>
    <w:rsid w:val="001C43C9"/>
    <w:rsid w:val="001C43FA"/>
    <w:rsid w:val="001C561C"/>
    <w:rsid w:val="001C6A32"/>
    <w:rsid w:val="001C6A88"/>
    <w:rsid w:val="001C6DF9"/>
    <w:rsid w:val="001C72BF"/>
    <w:rsid w:val="001C78EE"/>
    <w:rsid w:val="001C7DEA"/>
    <w:rsid w:val="001D03FD"/>
    <w:rsid w:val="001D0FC2"/>
    <w:rsid w:val="001D37E1"/>
    <w:rsid w:val="001D61A3"/>
    <w:rsid w:val="001D727C"/>
    <w:rsid w:val="001D7DAA"/>
    <w:rsid w:val="001E1BDA"/>
    <w:rsid w:val="001E2767"/>
    <w:rsid w:val="001E31FA"/>
    <w:rsid w:val="001E41B1"/>
    <w:rsid w:val="001E464B"/>
    <w:rsid w:val="001E666E"/>
    <w:rsid w:val="001E71A6"/>
    <w:rsid w:val="001F0078"/>
    <w:rsid w:val="001F0576"/>
    <w:rsid w:val="001F071B"/>
    <w:rsid w:val="001F0D00"/>
    <w:rsid w:val="001F28F7"/>
    <w:rsid w:val="001F32ED"/>
    <w:rsid w:val="001F398B"/>
    <w:rsid w:val="001F47D9"/>
    <w:rsid w:val="001F57C1"/>
    <w:rsid w:val="001F60FB"/>
    <w:rsid w:val="001F619F"/>
    <w:rsid w:val="001F633D"/>
    <w:rsid w:val="001F6CE7"/>
    <w:rsid w:val="00201C5B"/>
    <w:rsid w:val="00201E5D"/>
    <w:rsid w:val="00202300"/>
    <w:rsid w:val="002026C0"/>
    <w:rsid w:val="00203DCE"/>
    <w:rsid w:val="00203FDA"/>
    <w:rsid w:val="002041DA"/>
    <w:rsid w:val="0020444C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5EB"/>
    <w:rsid w:val="00212868"/>
    <w:rsid w:val="00212FBB"/>
    <w:rsid w:val="0021353D"/>
    <w:rsid w:val="00216138"/>
    <w:rsid w:val="0021632E"/>
    <w:rsid w:val="002178C3"/>
    <w:rsid w:val="00220899"/>
    <w:rsid w:val="0022140D"/>
    <w:rsid w:val="00222068"/>
    <w:rsid w:val="0022207C"/>
    <w:rsid w:val="00222D47"/>
    <w:rsid w:val="002231C0"/>
    <w:rsid w:val="0022321D"/>
    <w:rsid w:val="0022430D"/>
    <w:rsid w:val="00224385"/>
    <w:rsid w:val="00225082"/>
    <w:rsid w:val="00225295"/>
    <w:rsid w:val="00225A49"/>
    <w:rsid w:val="00225AD3"/>
    <w:rsid w:val="00225AEE"/>
    <w:rsid w:val="00226524"/>
    <w:rsid w:val="002268E1"/>
    <w:rsid w:val="0022754A"/>
    <w:rsid w:val="00230AF7"/>
    <w:rsid w:val="002313A4"/>
    <w:rsid w:val="00231891"/>
    <w:rsid w:val="00233586"/>
    <w:rsid w:val="00233994"/>
    <w:rsid w:val="00233B2D"/>
    <w:rsid w:val="00233DDE"/>
    <w:rsid w:val="00234734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31A"/>
    <w:rsid w:val="002404C4"/>
    <w:rsid w:val="0024071F"/>
    <w:rsid w:val="00241158"/>
    <w:rsid w:val="0024175C"/>
    <w:rsid w:val="00242A4C"/>
    <w:rsid w:val="00242D08"/>
    <w:rsid w:val="002433C3"/>
    <w:rsid w:val="00243ED7"/>
    <w:rsid w:val="00244A9F"/>
    <w:rsid w:val="00244C66"/>
    <w:rsid w:val="00245685"/>
    <w:rsid w:val="00245B80"/>
    <w:rsid w:val="002460FB"/>
    <w:rsid w:val="00250598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AE9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1E2C"/>
    <w:rsid w:val="0026274F"/>
    <w:rsid w:val="00262AD6"/>
    <w:rsid w:val="00262B21"/>
    <w:rsid w:val="00262DF8"/>
    <w:rsid w:val="00262E38"/>
    <w:rsid w:val="002634F2"/>
    <w:rsid w:val="00263EAF"/>
    <w:rsid w:val="00264390"/>
    <w:rsid w:val="00264E84"/>
    <w:rsid w:val="00265587"/>
    <w:rsid w:val="00265970"/>
    <w:rsid w:val="00266517"/>
    <w:rsid w:val="0026712E"/>
    <w:rsid w:val="00267306"/>
    <w:rsid w:val="002675B4"/>
    <w:rsid w:val="00267B5B"/>
    <w:rsid w:val="002701B7"/>
    <w:rsid w:val="002706B5"/>
    <w:rsid w:val="00271D19"/>
    <w:rsid w:val="0027334D"/>
    <w:rsid w:val="0027368D"/>
    <w:rsid w:val="002740E9"/>
    <w:rsid w:val="0027414F"/>
    <w:rsid w:val="00274CA4"/>
    <w:rsid w:val="002752AF"/>
    <w:rsid w:val="00275A7A"/>
    <w:rsid w:val="00275B1E"/>
    <w:rsid w:val="00275C51"/>
    <w:rsid w:val="00276F6C"/>
    <w:rsid w:val="0027708C"/>
    <w:rsid w:val="0027715A"/>
    <w:rsid w:val="0027732A"/>
    <w:rsid w:val="00277434"/>
    <w:rsid w:val="0028011C"/>
    <w:rsid w:val="00280D14"/>
    <w:rsid w:val="00281932"/>
    <w:rsid w:val="0028216D"/>
    <w:rsid w:val="00283375"/>
    <w:rsid w:val="00283969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32D8"/>
    <w:rsid w:val="002935A5"/>
    <w:rsid w:val="00293C31"/>
    <w:rsid w:val="0029441E"/>
    <w:rsid w:val="002955AE"/>
    <w:rsid w:val="00295758"/>
    <w:rsid w:val="00295FE9"/>
    <w:rsid w:val="00296193"/>
    <w:rsid w:val="002961A0"/>
    <w:rsid w:val="002970F8"/>
    <w:rsid w:val="00297590"/>
    <w:rsid w:val="002975F0"/>
    <w:rsid w:val="002979E6"/>
    <w:rsid w:val="002A028B"/>
    <w:rsid w:val="002A08E4"/>
    <w:rsid w:val="002A094F"/>
    <w:rsid w:val="002A097F"/>
    <w:rsid w:val="002A0F56"/>
    <w:rsid w:val="002A1F47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7DC1"/>
    <w:rsid w:val="002B023D"/>
    <w:rsid w:val="002B0259"/>
    <w:rsid w:val="002B07E1"/>
    <w:rsid w:val="002B1B19"/>
    <w:rsid w:val="002B2032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706F"/>
    <w:rsid w:val="002B71FA"/>
    <w:rsid w:val="002B77AD"/>
    <w:rsid w:val="002B7864"/>
    <w:rsid w:val="002B7D05"/>
    <w:rsid w:val="002C052C"/>
    <w:rsid w:val="002C1910"/>
    <w:rsid w:val="002C1E06"/>
    <w:rsid w:val="002C2AC4"/>
    <w:rsid w:val="002C2D4B"/>
    <w:rsid w:val="002C321C"/>
    <w:rsid w:val="002C43D4"/>
    <w:rsid w:val="002C475D"/>
    <w:rsid w:val="002C4CBB"/>
    <w:rsid w:val="002C4CEF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E06"/>
    <w:rsid w:val="002D15C9"/>
    <w:rsid w:val="002D2772"/>
    <w:rsid w:val="002D3D19"/>
    <w:rsid w:val="002D3D44"/>
    <w:rsid w:val="002D5E03"/>
    <w:rsid w:val="002E0186"/>
    <w:rsid w:val="002E0973"/>
    <w:rsid w:val="002E0A3E"/>
    <w:rsid w:val="002E15B2"/>
    <w:rsid w:val="002E3346"/>
    <w:rsid w:val="002E35D3"/>
    <w:rsid w:val="002E3C7D"/>
    <w:rsid w:val="002E3D05"/>
    <w:rsid w:val="002E3F0E"/>
    <w:rsid w:val="002E4445"/>
    <w:rsid w:val="002E51F0"/>
    <w:rsid w:val="002E5898"/>
    <w:rsid w:val="002E5B89"/>
    <w:rsid w:val="002E62DF"/>
    <w:rsid w:val="002E7555"/>
    <w:rsid w:val="002E7D5C"/>
    <w:rsid w:val="002F0581"/>
    <w:rsid w:val="002F0F7A"/>
    <w:rsid w:val="002F1F14"/>
    <w:rsid w:val="002F1F30"/>
    <w:rsid w:val="002F2131"/>
    <w:rsid w:val="002F2767"/>
    <w:rsid w:val="002F295F"/>
    <w:rsid w:val="002F375C"/>
    <w:rsid w:val="002F39A5"/>
    <w:rsid w:val="002F3D42"/>
    <w:rsid w:val="002F564D"/>
    <w:rsid w:val="002F5868"/>
    <w:rsid w:val="002F5A6D"/>
    <w:rsid w:val="002F61D6"/>
    <w:rsid w:val="002F68DF"/>
    <w:rsid w:val="002F6A21"/>
    <w:rsid w:val="002F6B67"/>
    <w:rsid w:val="002F6D1C"/>
    <w:rsid w:val="002F70C5"/>
    <w:rsid w:val="002F71ED"/>
    <w:rsid w:val="002F723B"/>
    <w:rsid w:val="002F745A"/>
    <w:rsid w:val="002F7E73"/>
    <w:rsid w:val="003002FF"/>
    <w:rsid w:val="003007B2"/>
    <w:rsid w:val="00301A10"/>
    <w:rsid w:val="00302053"/>
    <w:rsid w:val="00302146"/>
    <w:rsid w:val="00304520"/>
    <w:rsid w:val="003059F1"/>
    <w:rsid w:val="00306F79"/>
    <w:rsid w:val="003073C5"/>
    <w:rsid w:val="0030741C"/>
    <w:rsid w:val="00307F23"/>
    <w:rsid w:val="00310BDA"/>
    <w:rsid w:val="003110B8"/>
    <w:rsid w:val="0031110D"/>
    <w:rsid w:val="00311871"/>
    <w:rsid w:val="00311DAB"/>
    <w:rsid w:val="0031325B"/>
    <w:rsid w:val="003137B1"/>
    <w:rsid w:val="00314BCF"/>
    <w:rsid w:val="00315100"/>
    <w:rsid w:val="003157CD"/>
    <w:rsid w:val="00315B4B"/>
    <w:rsid w:val="00315C2F"/>
    <w:rsid w:val="003166A9"/>
    <w:rsid w:val="0031679F"/>
    <w:rsid w:val="00316E13"/>
    <w:rsid w:val="00316F80"/>
    <w:rsid w:val="00317254"/>
    <w:rsid w:val="00320241"/>
    <w:rsid w:val="00320B18"/>
    <w:rsid w:val="00320C8C"/>
    <w:rsid w:val="003214CE"/>
    <w:rsid w:val="003217BE"/>
    <w:rsid w:val="0032182E"/>
    <w:rsid w:val="00321AF2"/>
    <w:rsid w:val="0032236E"/>
    <w:rsid w:val="003231D6"/>
    <w:rsid w:val="0032329B"/>
    <w:rsid w:val="00323725"/>
    <w:rsid w:val="00323CC7"/>
    <w:rsid w:val="00323F1A"/>
    <w:rsid w:val="003241F1"/>
    <w:rsid w:val="00325BF4"/>
    <w:rsid w:val="0032616D"/>
    <w:rsid w:val="003262A8"/>
    <w:rsid w:val="00327081"/>
    <w:rsid w:val="0033001F"/>
    <w:rsid w:val="003317CA"/>
    <w:rsid w:val="00331BE4"/>
    <w:rsid w:val="00331F06"/>
    <w:rsid w:val="003325F1"/>
    <w:rsid w:val="003329C3"/>
    <w:rsid w:val="00332DC7"/>
    <w:rsid w:val="00332FAF"/>
    <w:rsid w:val="003341E0"/>
    <w:rsid w:val="0033422D"/>
    <w:rsid w:val="00334643"/>
    <w:rsid w:val="00336063"/>
    <w:rsid w:val="00336171"/>
    <w:rsid w:val="00337293"/>
    <w:rsid w:val="003405F5"/>
    <w:rsid w:val="003409EE"/>
    <w:rsid w:val="00342486"/>
    <w:rsid w:val="0034250C"/>
    <w:rsid w:val="003432FA"/>
    <w:rsid w:val="0034365F"/>
    <w:rsid w:val="00343F6F"/>
    <w:rsid w:val="0034444D"/>
    <w:rsid w:val="0034446D"/>
    <w:rsid w:val="00344D8C"/>
    <w:rsid w:val="00345B02"/>
    <w:rsid w:val="00345C6E"/>
    <w:rsid w:val="00346154"/>
    <w:rsid w:val="00346ED1"/>
    <w:rsid w:val="0034711D"/>
    <w:rsid w:val="00347495"/>
    <w:rsid w:val="00347B32"/>
    <w:rsid w:val="00347E78"/>
    <w:rsid w:val="00347F22"/>
    <w:rsid w:val="003501FD"/>
    <w:rsid w:val="003516A8"/>
    <w:rsid w:val="00351CCE"/>
    <w:rsid w:val="00352769"/>
    <w:rsid w:val="003527E5"/>
    <w:rsid w:val="00352FDD"/>
    <w:rsid w:val="003530D9"/>
    <w:rsid w:val="003532A3"/>
    <w:rsid w:val="00353B0A"/>
    <w:rsid w:val="0035464E"/>
    <w:rsid w:val="003554C0"/>
    <w:rsid w:val="00357E3F"/>
    <w:rsid w:val="0036057B"/>
    <w:rsid w:val="003609B2"/>
    <w:rsid w:val="00361034"/>
    <w:rsid w:val="00361986"/>
    <w:rsid w:val="0036238B"/>
    <w:rsid w:val="00362B4C"/>
    <w:rsid w:val="003632BC"/>
    <w:rsid w:val="0036343D"/>
    <w:rsid w:val="00363DD0"/>
    <w:rsid w:val="00364037"/>
    <w:rsid w:val="003654BF"/>
    <w:rsid w:val="00367296"/>
    <w:rsid w:val="00367ED2"/>
    <w:rsid w:val="00367EF5"/>
    <w:rsid w:val="00370161"/>
    <w:rsid w:val="00370D8B"/>
    <w:rsid w:val="00370EEE"/>
    <w:rsid w:val="00370F52"/>
    <w:rsid w:val="003710CA"/>
    <w:rsid w:val="0037139B"/>
    <w:rsid w:val="00371A1A"/>
    <w:rsid w:val="00371B53"/>
    <w:rsid w:val="00372011"/>
    <w:rsid w:val="003730DF"/>
    <w:rsid w:val="003734EE"/>
    <w:rsid w:val="00374B2E"/>
    <w:rsid w:val="00374DED"/>
    <w:rsid w:val="00374E61"/>
    <w:rsid w:val="00375005"/>
    <w:rsid w:val="00375947"/>
    <w:rsid w:val="00376323"/>
    <w:rsid w:val="0037666E"/>
    <w:rsid w:val="003773C8"/>
    <w:rsid w:val="00377735"/>
    <w:rsid w:val="00377AB5"/>
    <w:rsid w:val="00377EF8"/>
    <w:rsid w:val="00380A3C"/>
    <w:rsid w:val="00380E69"/>
    <w:rsid w:val="00380E77"/>
    <w:rsid w:val="00381031"/>
    <w:rsid w:val="003817CB"/>
    <w:rsid w:val="00382C5D"/>
    <w:rsid w:val="00382C98"/>
    <w:rsid w:val="00382D65"/>
    <w:rsid w:val="00382FF4"/>
    <w:rsid w:val="00383DA1"/>
    <w:rsid w:val="0038550A"/>
    <w:rsid w:val="00385642"/>
    <w:rsid w:val="00386336"/>
    <w:rsid w:val="0038635C"/>
    <w:rsid w:val="00386617"/>
    <w:rsid w:val="00387A5A"/>
    <w:rsid w:val="00390646"/>
    <w:rsid w:val="00390D42"/>
    <w:rsid w:val="003913FF"/>
    <w:rsid w:val="003935E8"/>
    <w:rsid w:val="00393B90"/>
    <w:rsid w:val="00396DA8"/>
    <w:rsid w:val="00397981"/>
    <w:rsid w:val="0039799D"/>
    <w:rsid w:val="00397F99"/>
    <w:rsid w:val="003A022D"/>
    <w:rsid w:val="003A0581"/>
    <w:rsid w:val="003A0932"/>
    <w:rsid w:val="003A0B55"/>
    <w:rsid w:val="003A0EBC"/>
    <w:rsid w:val="003A142D"/>
    <w:rsid w:val="003A1A1E"/>
    <w:rsid w:val="003A27F3"/>
    <w:rsid w:val="003A2BA0"/>
    <w:rsid w:val="003A2D57"/>
    <w:rsid w:val="003A3681"/>
    <w:rsid w:val="003A4000"/>
    <w:rsid w:val="003A40C3"/>
    <w:rsid w:val="003A4481"/>
    <w:rsid w:val="003A4B8E"/>
    <w:rsid w:val="003A6650"/>
    <w:rsid w:val="003A6F58"/>
    <w:rsid w:val="003A732C"/>
    <w:rsid w:val="003A7746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D0E"/>
    <w:rsid w:val="003B789C"/>
    <w:rsid w:val="003B7AD3"/>
    <w:rsid w:val="003B7ED7"/>
    <w:rsid w:val="003C01C4"/>
    <w:rsid w:val="003C0538"/>
    <w:rsid w:val="003C0EB0"/>
    <w:rsid w:val="003C12E8"/>
    <w:rsid w:val="003C1C3D"/>
    <w:rsid w:val="003C33D4"/>
    <w:rsid w:val="003C3CE6"/>
    <w:rsid w:val="003C4D47"/>
    <w:rsid w:val="003C56C7"/>
    <w:rsid w:val="003C5C52"/>
    <w:rsid w:val="003C6486"/>
    <w:rsid w:val="003C7688"/>
    <w:rsid w:val="003D1391"/>
    <w:rsid w:val="003D27CF"/>
    <w:rsid w:val="003D4507"/>
    <w:rsid w:val="003D683E"/>
    <w:rsid w:val="003D778D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7A1"/>
    <w:rsid w:val="003E3DFD"/>
    <w:rsid w:val="003E3EED"/>
    <w:rsid w:val="003E436A"/>
    <w:rsid w:val="003E4602"/>
    <w:rsid w:val="003E56B4"/>
    <w:rsid w:val="003E60A1"/>
    <w:rsid w:val="003E61C3"/>
    <w:rsid w:val="003E64F1"/>
    <w:rsid w:val="003E67F9"/>
    <w:rsid w:val="003E6877"/>
    <w:rsid w:val="003F0277"/>
    <w:rsid w:val="003F046B"/>
    <w:rsid w:val="003F18CF"/>
    <w:rsid w:val="003F22E7"/>
    <w:rsid w:val="003F3594"/>
    <w:rsid w:val="003F38E8"/>
    <w:rsid w:val="003F4DE4"/>
    <w:rsid w:val="003F4E96"/>
    <w:rsid w:val="003F6CB9"/>
    <w:rsid w:val="003F6D77"/>
    <w:rsid w:val="003F72F2"/>
    <w:rsid w:val="003F75C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632"/>
    <w:rsid w:val="004064FE"/>
    <w:rsid w:val="004066D6"/>
    <w:rsid w:val="004072EB"/>
    <w:rsid w:val="00407431"/>
    <w:rsid w:val="0041094C"/>
    <w:rsid w:val="004118EB"/>
    <w:rsid w:val="00411CB8"/>
    <w:rsid w:val="00411DDC"/>
    <w:rsid w:val="00412A45"/>
    <w:rsid w:val="00412D07"/>
    <w:rsid w:val="00412F8F"/>
    <w:rsid w:val="004131AD"/>
    <w:rsid w:val="00413C47"/>
    <w:rsid w:val="00413F45"/>
    <w:rsid w:val="004145D4"/>
    <w:rsid w:val="00414ABF"/>
    <w:rsid w:val="00414B15"/>
    <w:rsid w:val="00414D3A"/>
    <w:rsid w:val="00415098"/>
    <w:rsid w:val="00415771"/>
    <w:rsid w:val="00416193"/>
    <w:rsid w:val="00417C8E"/>
    <w:rsid w:val="004205B3"/>
    <w:rsid w:val="0042106F"/>
    <w:rsid w:val="00421448"/>
    <w:rsid w:val="004218CB"/>
    <w:rsid w:val="00421E08"/>
    <w:rsid w:val="0042347F"/>
    <w:rsid w:val="00423D11"/>
    <w:rsid w:val="00423FF0"/>
    <w:rsid w:val="00424C2D"/>
    <w:rsid w:val="00425014"/>
    <w:rsid w:val="004254AE"/>
    <w:rsid w:val="00425BAA"/>
    <w:rsid w:val="004269FE"/>
    <w:rsid w:val="004273E3"/>
    <w:rsid w:val="00430278"/>
    <w:rsid w:val="00430F1D"/>
    <w:rsid w:val="00431190"/>
    <w:rsid w:val="0043270E"/>
    <w:rsid w:val="00432BEE"/>
    <w:rsid w:val="00433443"/>
    <w:rsid w:val="004334D9"/>
    <w:rsid w:val="00434336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56E"/>
    <w:rsid w:val="00441767"/>
    <w:rsid w:val="004420AF"/>
    <w:rsid w:val="0044225D"/>
    <w:rsid w:val="004423DF"/>
    <w:rsid w:val="0044248E"/>
    <w:rsid w:val="00443032"/>
    <w:rsid w:val="0044382A"/>
    <w:rsid w:val="00443949"/>
    <w:rsid w:val="00443C05"/>
    <w:rsid w:val="0044424F"/>
    <w:rsid w:val="00444832"/>
    <w:rsid w:val="00444854"/>
    <w:rsid w:val="00445B97"/>
    <w:rsid w:val="00446FF8"/>
    <w:rsid w:val="004476A7"/>
    <w:rsid w:val="0044798F"/>
    <w:rsid w:val="004502BA"/>
    <w:rsid w:val="004505F8"/>
    <w:rsid w:val="00452318"/>
    <w:rsid w:val="00452559"/>
    <w:rsid w:val="004528D2"/>
    <w:rsid w:val="00452A25"/>
    <w:rsid w:val="00452BDA"/>
    <w:rsid w:val="00453835"/>
    <w:rsid w:val="00453B39"/>
    <w:rsid w:val="00453D50"/>
    <w:rsid w:val="004541FF"/>
    <w:rsid w:val="00455704"/>
    <w:rsid w:val="00455A18"/>
    <w:rsid w:val="00455C05"/>
    <w:rsid w:val="004563AF"/>
    <w:rsid w:val="0045750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588"/>
    <w:rsid w:val="0046306C"/>
    <w:rsid w:val="0046326E"/>
    <w:rsid w:val="00463B09"/>
    <w:rsid w:val="0046403D"/>
    <w:rsid w:val="0046417E"/>
    <w:rsid w:val="00464DC0"/>
    <w:rsid w:val="00464E56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2692"/>
    <w:rsid w:val="0047280B"/>
    <w:rsid w:val="00473324"/>
    <w:rsid w:val="0047371F"/>
    <w:rsid w:val="00473FD7"/>
    <w:rsid w:val="0047425E"/>
    <w:rsid w:val="00474487"/>
    <w:rsid w:val="00475654"/>
    <w:rsid w:val="00477441"/>
    <w:rsid w:val="00477687"/>
    <w:rsid w:val="00477B72"/>
    <w:rsid w:val="0048021D"/>
    <w:rsid w:val="00480434"/>
    <w:rsid w:val="00480A9C"/>
    <w:rsid w:val="004826A3"/>
    <w:rsid w:val="004827C3"/>
    <w:rsid w:val="004837AA"/>
    <w:rsid w:val="00483E99"/>
    <w:rsid w:val="00485900"/>
    <w:rsid w:val="00485B34"/>
    <w:rsid w:val="00485CB1"/>
    <w:rsid w:val="00486AA2"/>
    <w:rsid w:val="00486E91"/>
    <w:rsid w:val="00487375"/>
    <w:rsid w:val="004879EE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3B5B"/>
    <w:rsid w:val="00494608"/>
    <w:rsid w:val="00494B16"/>
    <w:rsid w:val="00494FD7"/>
    <w:rsid w:val="00496AB7"/>
    <w:rsid w:val="00497D13"/>
    <w:rsid w:val="00497D33"/>
    <w:rsid w:val="004A0235"/>
    <w:rsid w:val="004A1078"/>
    <w:rsid w:val="004A1233"/>
    <w:rsid w:val="004A1725"/>
    <w:rsid w:val="004A1BA8"/>
    <w:rsid w:val="004A2CA9"/>
    <w:rsid w:val="004A4673"/>
    <w:rsid w:val="004A4AF5"/>
    <w:rsid w:val="004A5560"/>
    <w:rsid w:val="004A6B78"/>
    <w:rsid w:val="004A6E29"/>
    <w:rsid w:val="004A76A1"/>
    <w:rsid w:val="004A7D52"/>
    <w:rsid w:val="004B0149"/>
    <w:rsid w:val="004B07DF"/>
    <w:rsid w:val="004B0F26"/>
    <w:rsid w:val="004B2742"/>
    <w:rsid w:val="004B2E60"/>
    <w:rsid w:val="004B3500"/>
    <w:rsid w:val="004B4092"/>
    <w:rsid w:val="004B4192"/>
    <w:rsid w:val="004B48CE"/>
    <w:rsid w:val="004B5553"/>
    <w:rsid w:val="004B5FDA"/>
    <w:rsid w:val="004B61A5"/>
    <w:rsid w:val="004B6E5E"/>
    <w:rsid w:val="004B7281"/>
    <w:rsid w:val="004C076A"/>
    <w:rsid w:val="004C08A0"/>
    <w:rsid w:val="004C09D0"/>
    <w:rsid w:val="004C0AB6"/>
    <w:rsid w:val="004C0C18"/>
    <w:rsid w:val="004C1221"/>
    <w:rsid w:val="004C146D"/>
    <w:rsid w:val="004C2BA4"/>
    <w:rsid w:val="004C2DA2"/>
    <w:rsid w:val="004C3573"/>
    <w:rsid w:val="004C3661"/>
    <w:rsid w:val="004C3B8C"/>
    <w:rsid w:val="004C40C7"/>
    <w:rsid w:val="004C4189"/>
    <w:rsid w:val="004C4C23"/>
    <w:rsid w:val="004C4E36"/>
    <w:rsid w:val="004C5379"/>
    <w:rsid w:val="004C54FC"/>
    <w:rsid w:val="004C5EA3"/>
    <w:rsid w:val="004C6238"/>
    <w:rsid w:val="004C6991"/>
    <w:rsid w:val="004C6B00"/>
    <w:rsid w:val="004C6BC7"/>
    <w:rsid w:val="004C7B1A"/>
    <w:rsid w:val="004C7EB2"/>
    <w:rsid w:val="004C7F10"/>
    <w:rsid w:val="004D0421"/>
    <w:rsid w:val="004D0495"/>
    <w:rsid w:val="004D0A8E"/>
    <w:rsid w:val="004D0B8D"/>
    <w:rsid w:val="004D1154"/>
    <w:rsid w:val="004D2EB4"/>
    <w:rsid w:val="004D3193"/>
    <w:rsid w:val="004D3406"/>
    <w:rsid w:val="004D3796"/>
    <w:rsid w:val="004D3D5C"/>
    <w:rsid w:val="004D7280"/>
    <w:rsid w:val="004D72A8"/>
    <w:rsid w:val="004D7484"/>
    <w:rsid w:val="004E07C4"/>
    <w:rsid w:val="004E0C04"/>
    <w:rsid w:val="004E1577"/>
    <w:rsid w:val="004E1BEC"/>
    <w:rsid w:val="004E1DF2"/>
    <w:rsid w:val="004E2588"/>
    <w:rsid w:val="004E2685"/>
    <w:rsid w:val="004E2735"/>
    <w:rsid w:val="004E408D"/>
    <w:rsid w:val="004E42B9"/>
    <w:rsid w:val="004E4693"/>
    <w:rsid w:val="004E474A"/>
    <w:rsid w:val="004E4964"/>
    <w:rsid w:val="004E5B5E"/>
    <w:rsid w:val="004E5B8C"/>
    <w:rsid w:val="004E5FF9"/>
    <w:rsid w:val="004E647E"/>
    <w:rsid w:val="004E7035"/>
    <w:rsid w:val="004E71C3"/>
    <w:rsid w:val="004E725A"/>
    <w:rsid w:val="004E779A"/>
    <w:rsid w:val="004F088C"/>
    <w:rsid w:val="004F0C9A"/>
    <w:rsid w:val="004F0D80"/>
    <w:rsid w:val="004F187D"/>
    <w:rsid w:val="004F2858"/>
    <w:rsid w:val="004F54B3"/>
    <w:rsid w:val="004F566B"/>
    <w:rsid w:val="004F5F98"/>
    <w:rsid w:val="004F6F8B"/>
    <w:rsid w:val="004F7254"/>
    <w:rsid w:val="004F736E"/>
    <w:rsid w:val="004F7D98"/>
    <w:rsid w:val="005006B5"/>
    <w:rsid w:val="00500C69"/>
    <w:rsid w:val="0050124D"/>
    <w:rsid w:val="005012C0"/>
    <w:rsid w:val="005014F5"/>
    <w:rsid w:val="0050184D"/>
    <w:rsid w:val="00502D63"/>
    <w:rsid w:val="00503447"/>
    <w:rsid w:val="00503941"/>
    <w:rsid w:val="00503952"/>
    <w:rsid w:val="00503C3B"/>
    <w:rsid w:val="005040C1"/>
    <w:rsid w:val="0050428D"/>
    <w:rsid w:val="00504691"/>
    <w:rsid w:val="005056D7"/>
    <w:rsid w:val="00505A53"/>
    <w:rsid w:val="00505B30"/>
    <w:rsid w:val="0050623D"/>
    <w:rsid w:val="0050734A"/>
    <w:rsid w:val="00510023"/>
    <w:rsid w:val="00510863"/>
    <w:rsid w:val="00510E6B"/>
    <w:rsid w:val="005113AD"/>
    <w:rsid w:val="00512231"/>
    <w:rsid w:val="00512BFA"/>
    <w:rsid w:val="00512C66"/>
    <w:rsid w:val="0051333D"/>
    <w:rsid w:val="0051386E"/>
    <w:rsid w:val="00513B71"/>
    <w:rsid w:val="0051468D"/>
    <w:rsid w:val="0051494D"/>
    <w:rsid w:val="0051518E"/>
    <w:rsid w:val="0051542A"/>
    <w:rsid w:val="00517530"/>
    <w:rsid w:val="00517A19"/>
    <w:rsid w:val="005207E0"/>
    <w:rsid w:val="00521127"/>
    <w:rsid w:val="005211B2"/>
    <w:rsid w:val="00522C42"/>
    <w:rsid w:val="00522D42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7595"/>
    <w:rsid w:val="00527671"/>
    <w:rsid w:val="005276F9"/>
    <w:rsid w:val="0052771A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F52"/>
    <w:rsid w:val="0053747C"/>
    <w:rsid w:val="0053761C"/>
    <w:rsid w:val="005378B0"/>
    <w:rsid w:val="00537EB3"/>
    <w:rsid w:val="00537EFC"/>
    <w:rsid w:val="005402D7"/>
    <w:rsid w:val="00540573"/>
    <w:rsid w:val="00540E91"/>
    <w:rsid w:val="00541D5C"/>
    <w:rsid w:val="005421A2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974"/>
    <w:rsid w:val="00554650"/>
    <w:rsid w:val="00554FF2"/>
    <w:rsid w:val="0055560D"/>
    <w:rsid w:val="005559E9"/>
    <w:rsid w:val="00555A4F"/>
    <w:rsid w:val="005570BE"/>
    <w:rsid w:val="00557D62"/>
    <w:rsid w:val="00557EF0"/>
    <w:rsid w:val="00560198"/>
    <w:rsid w:val="005607B9"/>
    <w:rsid w:val="00560B85"/>
    <w:rsid w:val="0056233B"/>
    <w:rsid w:val="00562A51"/>
    <w:rsid w:val="00562B73"/>
    <w:rsid w:val="00562D96"/>
    <w:rsid w:val="00563402"/>
    <w:rsid w:val="005642F4"/>
    <w:rsid w:val="00564313"/>
    <w:rsid w:val="00564978"/>
    <w:rsid w:val="00564EBB"/>
    <w:rsid w:val="00565D6A"/>
    <w:rsid w:val="00566A8C"/>
    <w:rsid w:val="00566C7E"/>
    <w:rsid w:val="0056717F"/>
    <w:rsid w:val="00567B17"/>
    <w:rsid w:val="00570B82"/>
    <w:rsid w:val="00570E53"/>
    <w:rsid w:val="005720E6"/>
    <w:rsid w:val="005724C3"/>
    <w:rsid w:val="00572525"/>
    <w:rsid w:val="005729C7"/>
    <w:rsid w:val="00572E82"/>
    <w:rsid w:val="00572F77"/>
    <w:rsid w:val="0057357B"/>
    <w:rsid w:val="00573718"/>
    <w:rsid w:val="00574EA9"/>
    <w:rsid w:val="005753A1"/>
    <w:rsid w:val="005760AF"/>
    <w:rsid w:val="005762B6"/>
    <w:rsid w:val="00576987"/>
    <w:rsid w:val="005774CE"/>
    <w:rsid w:val="00577A7B"/>
    <w:rsid w:val="0058326E"/>
    <w:rsid w:val="00583329"/>
    <w:rsid w:val="005834B1"/>
    <w:rsid w:val="0058352B"/>
    <w:rsid w:val="005838B7"/>
    <w:rsid w:val="00583A41"/>
    <w:rsid w:val="00585028"/>
    <w:rsid w:val="0058521E"/>
    <w:rsid w:val="00586B32"/>
    <w:rsid w:val="00587679"/>
    <w:rsid w:val="0059015E"/>
    <w:rsid w:val="00590661"/>
    <w:rsid w:val="005919CC"/>
    <w:rsid w:val="005923E7"/>
    <w:rsid w:val="005926FF"/>
    <w:rsid w:val="005927B6"/>
    <w:rsid w:val="00592FDE"/>
    <w:rsid w:val="00592FE6"/>
    <w:rsid w:val="00593A13"/>
    <w:rsid w:val="005954D3"/>
    <w:rsid w:val="00596199"/>
    <w:rsid w:val="005966C3"/>
    <w:rsid w:val="005972F4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7722"/>
    <w:rsid w:val="005B009E"/>
    <w:rsid w:val="005B0A49"/>
    <w:rsid w:val="005B1875"/>
    <w:rsid w:val="005B1BC4"/>
    <w:rsid w:val="005B1D52"/>
    <w:rsid w:val="005B2922"/>
    <w:rsid w:val="005B2F76"/>
    <w:rsid w:val="005B3624"/>
    <w:rsid w:val="005B3903"/>
    <w:rsid w:val="005B4B4D"/>
    <w:rsid w:val="005B4E81"/>
    <w:rsid w:val="005B56E2"/>
    <w:rsid w:val="005B69B1"/>
    <w:rsid w:val="005C0398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6FE6"/>
    <w:rsid w:val="005C7158"/>
    <w:rsid w:val="005C75C9"/>
    <w:rsid w:val="005D0527"/>
    <w:rsid w:val="005D0641"/>
    <w:rsid w:val="005D0D84"/>
    <w:rsid w:val="005D1278"/>
    <w:rsid w:val="005D1A73"/>
    <w:rsid w:val="005D39DA"/>
    <w:rsid w:val="005D4151"/>
    <w:rsid w:val="005D5494"/>
    <w:rsid w:val="005D5691"/>
    <w:rsid w:val="005D6267"/>
    <w:rsid w:val="005D6FF9"/>
    <w:rsid w:val="005D77BD"/>
    <w:rsid w:val="005E0230"/>
    <w:rsid w:val="005E04B5"/>
    <w:rsid w:val="005E05E5"/>
    <w:rsid w:val="005E0A06"/>
    <w:rsid w:val="005E0AB8"/>
    <w:rsid w:val="005E105F"/>
    <w:rsid w:val="005E199B"/>
    <w:rsid w:val="005E1E7B"/>
    <w:rsid w:val="005E2246"/>
    <w:rsid w:val="005E2660"/>
    <w:rsid w:val="005E273B"/>
    <w:rsid w:val="005E30C8"/>
    <w:rsid w:val="005E44FA"/>
    <w:rsid w:val="005E7C04"/>
    <w:rsid w:val="005F061D"/>
    <w:rsid w:val="005F0C85"/>
    <w:rsid w:val="005F0CDE"/>
    <w:rsid w:val="005F0FFB"/>
    <w:rsid w:val="005F1E84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3B8"/>
    <w:rsid w:val="005F6C7F"/>
    <w:rsid w:val="005F7203"/>
    <w:rsid w:val="005F7753"/>
    <w:rsid w:val="006001FF"/>
    <w:rsid w:val="00601D92"/>
    <w:rsid w:val="00601E41"/>
    <w:rsid w:val="00602760"/>
    <w:rsid w:val="0060284B"/>
    <w:rsid w:val="006037AB"/>
    <w:rsid w:val="006040CA"/>
    <w:rsid w:val="0060510F"/>
    <w:rsid w:val="00605650"/>
    <w:rsid w:val="006061D6"/>
    <w:rsid w:val="006068B1"/>
    <w:rsid w:val="00607473"/>
    <w:rsid w:val="00607D7B"/>
    <w:rsid w:val="006101EC"/>
    <w:rsid w:val="00610D3B"/>
    <w:rsid w:val="00612F76"/>
    <w:rsid w:val="0061318B"/>
    <w:rsid w:val="006134F1"/>
    <w:rsid w:val="006136B6"/>
    <w:rsid w:val="006138C2"/>
    <w:rsid w:val="0061444E"/>
    <w:rsid w:val="00614EF9"/>
    <w:rsid w:val="006165E7"/>
    <w:rsid w:val="006177A1"/>
    <w:rsid w:val="00617A2C"/>
    <w:rsid w:val="0062143E"/>
    <w:rsid w:val="006229AA"/>
    <w:rsid w:val="00622F5C"/>
    <w:rsid w:val="00623A07"/>
    <w:rsid w:val="00624315"/>
    <w:rsid w:val="00624D07"/>
    <w:rsid w:val="00625684"/>
    <w:rsid w:val="00625B88"/>
    <w:rsid w:val="00625CFB"/>
    <w:rsid w:val="00625E35"/>
    <w:rsid w:val="0062715B"/>
    <w:rsid w:val="00630BAC"/>
    <w:rsid w:val="00630BDC"/>
    <w:rsid w:val="0063110C"/>
    <w:rsid w:val="006312D5"/>
    <w:rsid w:val="00631481"/>
    <w:rsid w:val="00631FF2"/>
    <w:rsid w:val="0063224C"/>
    <w:rsid w:val="00632F91"/>
    <w:rsid w:val="00633E0D"/>
    <w:rsid w:val="0063422C"/>
    <w:rsid w:val="0063442E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B55"/>
    <w:rsid w:val="00636C61"/>
    <w:rsid w:val="00636E0B"/>
    <w:rsid w:val="006373ED"/>
    <w:rsid w:val="00637493"/>
    <w:rsid w:val="00637967"/>
    <w:rsid w:val="00637B66"/>
    <w:rsid w:val="00637E06"/>
    <w:rsid w:val="006417AE"/>
    <w:rsid w:val="00641F85"/>
    <w:rsid w:val="00642731"/>
    <w:rsid w:val="00642870"/>
    <w:rsid w:val="0064383B"/>
    <w:rsid w:val="00643891"/>
    <w:rsid w:val="00643A2A"/>
    <w:rsid w:val="00644499"/>
    <w:rsid w:val="0064482E"/>
    <w:rsid w:val="006460C1"/>
    <w:rsid w:val="006462DB"/>
    <w:rsid w:val="00647767"/>
    <w:rsid w:val="00650C0C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7DF3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B65"/>
    <w:rsid w:val="00666EC5"/>
    <w:rsid w:val="00666F3C"/>
    <w:rsid w:val="00667772"/>
    <w:rsid w:val="0066790E"/>
    <w:rsid w:val="00670891"/>
    <w:rsid w:val="00671F70"/>
    <w:rsid w:val="00672956"/>
    <w:rsid w:val="006734B0"/>
    <w:rsid w:val="0067366E"/>
    <w:rsid w:val="006753D6"/>
    <w:rsid w:val="0067564A"/>
    <w:rsid w:val="00675842"/>
    <w:rsid w:val="00675E97"/>
    <w:rsid w:val="00675FD2"/>
    <w:rsid w:val="00676869"/>
    <w:rsid w:val="00676E77"/>
    <w:rsid w:val="00677DFC"/>
    <w:rsid w:val="00677F37"/>
    <w:rsid w:val="00680A9F"/>
    <w:rsid w:val="00680DEA"/>
    <w:rsid w:val="006811F6"/>
    <w:rsid w:val="0068126F"/>
    <w:rsid w:val="0068148F"/>
    <w:rsid w:val="0068158A"/>
    <w:rsid w:val="0068158B"/>
    <w:rsid w:val="006815FD"/>
    <w:rsid w:val="00681B0D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C5D"/>
    <w:rsid w:val="00686E78"/>
    <w:rsid w:val="00687035"/>
    <w:rsid w:val="00687072"/>
    <w:rsid w:val="006870EA"/>
    <w:rsid w:val="00687651"/>
    <w:rsid w:val="00687738"/>
    <w:rsid w:val="00687815"/>
    <w:rsid w:val="006879AF"/>
    <w:rsid w:val="00687F8E"/>
    <w:rsid w:val="0069058A"/>
    <w:rsid w:val="00691AF7"/>
    <w:rsid w:val="00692D9C"/>
    <w:rsid w:val="00693C56"/>
    <w:rsid w:val="00694496"/>
    <w:rsid w:val="00694B7F"/>
    <w:rsid w:val="00695257"/>
    <w:rsid w:val="00695D02"/>
    <w:rsid w:val="00695DC0"/>
    <w:rsid w:val="00695F71"/>
    <w:rsid w:val="00696759"/>
    <w:rsid w:val="0069771F"/>
    <w:rsid w:val="006A190C"/>
    <w:rsid w:val="006A4744"/>
    <w:rsid w:val="006A4F47"/>
    <w:rsid w:val="006A6CF0"/>
    <w:rsid w:val="006A7430"/>
    <w:rsid w:val="006A7447"/>
    <w:rsid w:val="006A7B8E"/>
    <w:rsid w:val="006B0092"/>
    <w:rsid w:val="006B123D"/>
    <w:rsid w:val="006B1452"/>
    <w:rsid w:val="006B1790"/>
    <w:rsid w:val="006B1946"/>
    <w:rsid w:val="006B1DC1"/>
    <w:rsid w:val="006B285F"/>
    <w:rsid w:val="006B3797"/>
    <w:rsid w:val="006B475E"/>
    <w:rsid w:val="006B4CBD"/>
    <w:rsid w:val="006B5CC1"/>
    <w:rsid w:val="006B5DE6"/>
    <w:rsid w:val="006B6130"/>
    <w:rsid w:val="006B696C"/>
    <w:rsid w:val="006B6E06"/>
    <w:rsid w:val="006B6F29"/>
    <w:rsid w:val="006B787F"/>
    <w:rsid w:val="006C155E"/>
    <w:rsid w:val="006C1F49"/>
    <w:rsid w:val="006C2094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48"/>
    <w:rsid w:val="006C664B"/>
    <w:rsid w:val="006C6EEA"/>
    <w:rsid w:val="006C6FF3"/>
    <w:rsid w:val="006C711A"/>
    <w:rsid w:val="006C7215"/>
    <w:rsid w:val="006C75E1"/>
    <w:rsid w:val="006C7992"/>
    <w:rsid w:val="006C7D39"/>
    <w:rsid w:val="006C7E76"/>
    <w:rsid w:val="006D024A"/>
    <w:rsid w:val="006D07EA"/>
    <w:rsid w:val="006D0A26"/>
    <w:rsid w:val="006D0E1E"/>
    <w:rsid w:val="006D11E2"/>
    <w:rsid w:val="006D17D9"/>
    <w:rsid w:val="006D1CC1"/>
    <w:rsid w:val="006D206A"/>
    <w:rsid w:val="006D37A8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318F"/>
    <w:rsid w:val="006E3703"/>
    <w:rsid w:val="006E4676"/>
    <w:rsid w:val="006E52AF"/>
    <w:rsid w:val="006E5D2E"/>
    <w:rsid w:val="006E61F3"/>
    <w:rsid w:val="006E6B7E"/>
    <w:rsid w:val="006E74AD"/>
    <w:rsid w:val="006E7724"/>
    <w:rsid w:val="006E79D1"/>
    <w:rsid w:val="006F055A"/>
    <w:rsid w:val="006F0733"/>
    <w:rsid w:val="006F0A85"/>
    <w:rsid w:val="006F1468"/>
    <w:rsid w:val="006F1605"/>
    <w:rsid w:val="006F1FF7"/>
    <w:rsid w:val="006F2FFF"/>
    <w:rsid w:val="006F3A71"/>
    <w:rsid w:val="006F3F3F"/>
    <w:rsid w:val="006F4053"/>
    <w:rsid w:val="006F4786"/>
    <w:rsid w:val="006F47BA"/>
    <w:rsid w:val="006F5CA0"/>
    <w:rsid w:val="006F5F53"/>
    <w:rsid w:val="006F69D6"/>
    <w:rsid w:val="006F6BA9"/>
    <w:rsid w:val="006F77E2"/>
    <w:rsid w:val="007000AC"/>
    <w:rsid w:val="00701076"/>
    <w:rsid w:val="00701276"/>
    <w:rsid w:val="0070196F"/>
    <w:rsid w:val="00701AF0"/>
    <w:rsid w:val="00703E8A"/>
    <w:rsid w:val="00704509"/>
    <w:rsid w:val="007062DB"/>
    <w:rsid w:val="0070699C"/>
    <w:rsid w:val="00706B0D"/>
    <w:rsid w:val="00706EDD"/>
    <w:rsid w:val="00707737"/>
    <w:rsid w:val="007077E9"/>
    <w:rsid w:val="00710ED3"/>
    <w:rsid w:val="0071110D"/>
    <w:rsid w:val="00711FC0"/>
    <w:rsid w:val="007134D1"/>
    <w:rsid w:val="00714162"/>
    <w:rsid w:val="00714812"/>
    <w:rsid w:val="00714EE0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2439"/>
    <w:rsid w:val="007227A3"/>
    <w:rsid w:val="00722DE9"/>
    <w:rsid w:val="00723950"/>
    <w:rsid w:val="00723983"/>
    <w:rsid w:val="007249AC"/>
    <w:rsid w:val="0072524F"/>
    <w:rsid w:val="007261F2"/>
    <w:rsid w:val="007302CF"/>
    <w:rsid w:val="0073131D"/>
    <w:rsid w:val="00731802"/>
    <w:rsid w:val="0073196A"/>
    <w:rsid w:val="00731B0C"/>
    <w:rsid w:val="00731D56"/>
    <w:rsid w:val="0073317A"/>
    <w:rsid w:val="0073329F"/>
    <w:rsid w:val="00733A39"/>
    <w:rsid w:val="00733B11"/>
    <w:rsid w:val="00734414"/>
    <w:rsid w:val="00734578"/>
    <w:rsid w:val="00734C2E"/>
    <w:rsid w:val="0073599E"/>
    <w:rsid w:val="00735E7A"/>
    <w:rsid w:val="007362A7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5FAC"/>
    <w:rsid w:val="0074618B"/>
    <w:rsid w:val="00746908"/>
    <w:rsid w:val="00746DF4"/>
    <w:rsid w:val="007477ED"/>
    <w:rsid w:val="007506FC"/>
    <w:rsid w:val="007508EA"/>
    <w:rsid w:val="00750CE3"/>
    <w:rsid w:val="0075155A"/>
    <w:rsid w:val="007527B9"/>
    <w:rsid w:val="007530C6"/>
    <w:rsid w:val="00754418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68F3"/>
    <w:rsid w:val="00766C04"/>
    <w:rsid w:val="00766F80"/>
    <w:rsid w:val="00766FAF"/>
    <w:rsid w:val="007677F9"/>
    <w:rsid w:val="00767971"/>
    <w:rsid w:val="0077108F"/>
    <w:rsid w:val="00772362"/>
    <w:rsid w:val="00772D75"/>
    <w:rsid w:val="007731C0"/>
    <w:rsid w:val="00774FD1"/>
    <w:rsid w:val="0077539F"/>
    <w:rsid w:val="00775A4B"/>
    <w:rsid w:val="00776040"/>
    <w:rsid w:val="00776523"/>
    <w:rsid w:val="00780745"/>
    <w:rsid w:val="00781014"/>
    <w:rsid w:val="007816A1"/>
    <w:rsid w:val="0078175A"/>
    <w:rsid w:val="00781AD5"/>
    <w:rsid w:val="0078265F"/>
    <w:rsid w:val="0078374C"/>
    <w:rsid w:val="00784232"/>
    <w:rsid w:val="007847A7"/>
    <w:rsid w:val="00785380"/>
    <w:rsid w:val="00785E9B"/>
    <w:rsid w:val="00786561"/>
    <w:rsid w:val="007905C9"/>
    <w:rsid w:val="00790DA6"/>
    <w:rsid w:val="0079312A"/>
    <w:rsid w:val="0079344E"/>
    <w:rsid w:val="007939F2"/>
    <w:rsid w:val="007948FA"/>
    <w:rsid w:val="007956E7"/>
    <w:rsid w:val="00796C4C"/>
    <w:rsid w:val="00797103"/>
    <w:rsid w:val="007A0D4D"/>
    <w:rsid w:val="007A20EE"/>
    <w:rsid w:val="007A35C4"/>
    <w:rsid w:val="007A368C"/>
    <w:rsid w:val="007A387D"/>
    <w:rsid w:val="007A3B72"/>
    <w:rsid w:val="007A516F"/>
    <w:rsid w:val="007A5196"/>
    <w:rsid w:val="007A57ED"/>
    <w:rsid w:val="007A5CE0"/>
    <w:rsid w:val="007A6634"/>
    <w:rsid w:val="007A67F8"/>
    <w:rsid w:val="007A6C55"/>
    <w:rsid w:val="007A7F4A"/>
    <w:rsid w:val="007B05B5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286"/>
    <w:rsid w:val="007B68CC"/>
    <w:rsid w:val="007B6CC8"/>
    <w:rsid w:val="007B78BD"/>
    <w:rsid w:val="007B7A9C"/>
    <w:rsid w:val="007C0203"/>
    <w:rsid w:val="007C0573"/>
    <w:rsid w:val="007C13EB"/>
    <w:rsid w:val="007C18B4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7F32"/>
    <w:rsid w:val="007D006F"/>
    <w:rsid w:val="007D00E0"/>
    <w:rsid w:val="007D10FE"/>
    <w:rsid w:val="007D1AAC"/>
    <w:rsid w:val="007D24DA"/>
    <w:rsid w:val="007D3BDE"/>
    <w:rsid w:val="007D427E"/>
    <w:rsid w:val="007D4BC5"/>
    <w:rsid w:val="007D6A4A"/>
    <w:rsid w:val="007D6DC4"/>
    <w:rsid w:val="007D7508"/>
    <w:rsid w:val="007D7C50"/>
    <w:rsid w:val="007E0756"/>
    <w:rsid w:val="007E1976"/>
    <w:rsid w:val="007E1980"/>
    <w:rsid w:val="007E3210"/>
    <w:rsid w:val="007E33E4"/>
    <w:rsid w:val="007E382B"/>
    <w:rsid w:val="007E4515"/>
    <w:rsid w:val="007E4E7C"/>
    <w:rsid w:val="007E681F"/>
    <w:rsid w:val="007E6ACA"/>
    <w:rsid w:val="007E7695"/>
    <w:rsid w:val="007F0283"/>
    <w:rsid w:val="007F08E3"/>
    <w:rsid w:val="007F1ED9"/>
    <w:rsid w:val="007F31DA"/>
    <w:rsid w:val="007F3BC0"/>
    <w:rsid w:val="007F3FE2"/>
    <w:rsid w:val="007F47F5"/>
    <w:rsid w:val="007F718D"/>
    <w:rsid w:val="007F7E38"/>
    <w:rsid w:val="00801731"/>
    <w:rsid w:val="0080248B"/>
    <w:rsid w:val="00802614"/>
    <w:rsid w:val="00803A70"/>
    <w:rsid w:val="00804518"/>
    <w:rsid w:val="0080487E"/>
    <w:rsid w:val="00804B21"/>
    <w:rsid w:val="0080513F"/>
    <w:rsid w:val="0080593D"/>
    <w:rsid w:val="00806E1B"/>
    <w:rsid w:val="008075BE"/>
    <w:rsid w:val="00810B35"/>
    <w:rsid w:val="00810C83"/>
    <w:rsid w:val="00810EFF"/>
    <w:rsid w:val="008110EB"/>
    <w:rsid w:val="008110F7"/>
    <w:rsid w:val="00811182"/>
    <w:rsid w:val="008117B2"/>
    <w:rsid w:val="00811833"/>
    <w:rsid w:val="0081188F"/>
    <w:rsid w:val="008121BE"/>
    <w:rsid w:val="0081264C"/>
    <w:rsid w:val="00813008"/>
    <w:rsid w:val="008137B3"/>
    <w:rsid w:val="00813F25"/>
    <w:rsid w:val="00814D33"/>
    <w:rsid w:val="00814EDD"/>
    <w:rsid w:val="00816029"/>
    <w:rsid w:val="0081614C"/>
    <w:rsid w:val="00816894"/>
    <w:rsid w:val="00816933"/>
    <w:rsid w:val="00817AC6"/>
    <w:rsid w:val="00817AE6"/>
    <w:rsid w:val="00817F11"/>
    <w:rsid w:val="00820060"/>
    <w:rsid w:val="0082071B"/>
    <w:rsid w:val="008207B5"/>
    <w:rsid w:val="00820B56"/>
    <w:rsid w:val="00820E5E"/>
    <w:rsid w:val="00820F12"/>
    <w:rsid w:val="0082126D"/>
    <w:rsid w:val="008216FE"/>
    <w:rsid w:val="00821D98"/>
    <w:rsid w:val="00822BB3"/>
    <w:rsid w:val="00822F87"/>
    <w:rsid w:val="00823B2D"/>
    <w:rsid w:val="00824476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7934"/>
    <w:rsid w:val="0083095F"/>
    <w:rsid w:val="00830BDF"/>
    <w:rsid w:val="00830CA0"/>
    <w:rsid w:val="00832192"/>
    <w:rsid w:val="008324C9"/>
    <w:rsid w:val="00833ED1"/>
    <w:rsid w:val="0083582D"/>
    <w:rsid w:val="00836B00"/>
    <w:rsid w:val="00837499"/>
    <w:rsid w:val="00837D4C"/>
    <w:rsid w:val="00837F48"/>
    <w:rsid w:val="00840771"/>
    <w:rsid w:val="008409FA"/>
    <w:rsid w:val="00840C41"/>
    <w:rsid w:val="00840DED"/>
    <w:rsid w:val="0084142C"/>
    <w:rsid w:val="00841BA1"/>
    <w:rsid w:val="00842297"/>
    <w:rsid w:val="008425D8"/>
    <w:rsid w:val="00842C0B"/>
    <w:rsid w:val="008437A8"/>
    <w:rsid w:val="00843ADC"/>
    <w:rsid w:val="00844463"/>
    <w:rsid w:val="0084483E"/>
    <w:rsid w:val="00844C99"/>
    <w:rsid w:val="008453ED"/>
    <w:rsid w:val="00845EEE"/>
    <w:rsid w:val="008500C4"/>
    <w:rsid w:val="008501F9"/>
    <w:rsid w:val="00851217"/>
    <w:rsid w:val="008516EF"/>
    <w:rsid w:val="00852643"/>
    <w:rsid w:val="00852FD0"/>
    <w:rsid w:val="00853250"/>
    <w:rsid w:val="008534E4"/>
    <w:rsid w:val="0085415B"/>
    <w:rsid w:val="00854741"/>
    <w:rsid w:val="00854D3B"/>
    <w:rsid w:val="00855E50"/>
    <w:rsid w:val="00856AE5"/>
    <w:rsid w:val="00856D75"/>
    <w:rsid w:val="0085708B"/>
    <w:rsid w:val="008574E8"/>
    <w:rsid w:val="00857539"/>
    <w:rsid w:val="008578CD"/>
    <w:rsid w:val="00857B15"/>
    <w:rsid w:val="0086017B"/>
    <w:rsid w:val="00860DC3"/>
    <w:rsid w:val="00861C9F"/>
    <w:rsid w:val="008632A6"/>
    <w:rsid w:val="0086390D"/>
    <w:rsid w:val="00864DC3"/>
    <w:rsid w:val="00864ECB"/>
    <w:rsid w:val="008666C6"/>
    <w:rsid w:val="00867B06"/>
    <w:rsid w:val="00870936"/>
    <w:rsid w:val="008712C1"/>
    <w:rsid w:val="00871332"/>
    <w:rsid w:val="008727C7"/>
    <w:rsid w:val="00872CE1"/>
    <w:rsid w:val="0087328F"/>
    <w:rsid w:val="008732AA"/>
    <w:rsid w:val="0087343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1899"/>
    <w:rsid w:val="00882036"/>
    <w:rsid w:val="00882518"/>
    <w:rsid w:val="008828A0"/>
    <w:rsid w:val="00883218"/>
    <w:rsid w:val="00883F9B"/>
    <w:rsid w:val="0088486D"/>
    <w:rsid w:val="00885045"/>
    <w:rsid w:val="00885097"/>
    <w:rsid w:val="00885946"/>
    <w:rsid w:val="00885A29"/>
    <w:rsid w:val="00886699"/>
    <w:rsid w:val="00886EE9"/>
    <w:rsid w:val="0088709D"/>
    <w:rsid w:val="00890076"/>
    <w:rsid w:val="008905E0"/>
    <w:rsid w:val="008911E4"/>
    <w:rsid w:val="00893184"/>
    <w:rsid w:val="008931C9"/>
    <w:rsid w:val="00893379"/>
    <w:rsid w:val="00893535"/>
    <w:rsid w:val="00894660"/>
    <w:rsid w:val="00894886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318B"/>
    <w:rsid w:val="008A5649"/>
    <w:rsid w:val="008A6084"/>
    <w:rsid w:val="008A6C63"/>
    <w:rsid w:val="008A6D36"/>
    <w:rsid w:val="008A702A"/>
    <w:rsid w:val="008A7203"/>
    <w:rsid w:val="008B074B"/>
    <w:rsid w:val="008B085A"/>
    <w:rsid w:val="008B2EB8"/>
    <w:rsid w:val="008B3092"/>
    <w:rsid w:val="008B3266"/>
    <w:rsid w:val="008B35D4"/>
    <w:rsid w:val="008B4684"/>
    <w:rsid w:val="008B503C"/>
    <w:rsid w:val="008B5262"/>
    <w:rsid w:val="008B54A0"/>
    <w:rsid w:val="008B55D7"/>
    <w:rsid w:val="008B611E"/>
    <w:rsid w:val="008B646A"/>
    <w:rsid w:val="008B72CB"/>
    <w:rsid w:val="008B7405"/>
    <w:rsid w:val="008C0580"/>
    <w:rsid w:val="008C0685"/>
    <w:rsid w:val="008C090E"/>
    <w:rsid w:val="008C0A0C"/>
    <w:rsid w:val="008C1077"/>
    <w:rsid w:val="008C11F0"/>
    <w:rsid w:val="008C1D9F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65E"/>
    <w:rsid w:val="008C71A2"/>
    <w:rsid w:val="008C72EC"/>
    <w:rsid w:val="008D06D2"/>
    <w:rsid w:val="008D1DB8"/>
    <w:rsid w:val="008D2496"/>
    <w:rsid w:val="008D2E5B"/>
    <w:rsid w:val="008D3C28"/>
    <w:rsid w:val="008D464C"/>
    <w:rsid w:val="008D4821"/>
    <w:rsid w:val="008D496B"/>
    <w:rsid w:val="008D505D"/>
    <w:rsid w:val="008D568F"/>
    <w:rsid w:val="008D628C"/>
    <w:rsid w:val="008D64F9"/>
    <w:rsid w:val="008E0901"/>
    <w:rsid w:val="008E10A4"/>
    <w:rsid w:val="008E1B8F"/>
    <w:rsid w:val="008E1EE5"/>
    <w:rsid w:val="008E2949"/>
    <w:rsid w:val="008E2BC9"/>
    <w:rsid w:val="008E4B95"/>
    <w:rsid w:val="008E5422"/>
    <w:rsid w:val="008E6536"/>
    <w:rsid w:val="008E71B4"/>
    <w:rsid w:val="008E7491"/>
    <w:rsid w:val="008F0017"/>
    <w:rsid w:val="008F0DDE"/>
    <w:rsid w:val="008F1361"/>
    <w:rsid w:val="008F245A"/>
    <w:rsid w:val="008F25C8"/>
    <w:rsid w:val="008F2B10"/>
    <w:rsid w:val="008F2DEC"/>
    <w:rsid w:val="008F3676"/>
    <w:rsid w:val="008F3757"/>
    <w:rsid w:val="008F3794"/>
    <w:rsid w:val="008F3796"/>
    <w:rsid w:val="008F3F86"/>
    <w:rsid w:val="008F4458"/>
    <w:rsid w:val="008F5167"/>
    <w:rsid w:val="008F6808"/>
    <w:rsid w:val="008F6B69"/>
    <w:rsid w:val="009004DB"/>
    <w:rsid w:val="0090060E"/>
    <w:rsid w:val="00900FA8"/>
    <w:rsid w:val="00901164"/>
    <w:rsid w:val="009013C1"/>
    <w:rsid w:val="00902843"/>
    <w:rsid w:val="0090325B"/>
    <w:rsid w:val="00903288"/>
    <w:rsid w:val="00903D12"/>
    <w:rsid w:val="0090533A"/>
    <w:rsid w:val="00905B1E"/>
    <w:rsid w:val="00905C0B"/>
    <w:rsid w:val="00906E55"/>
    <w:rsid w:val="0090746C"/>
    <w:rsid w:val="009078EF"/>
    <w:rsid w:val="0091051D"/>
    <w:rsid w:val="00910D55"/>
    <w:rsid w:val="009111DA"/>
    <w:rsid w:val="00911B42"/>
    <w:rsid w:val="00912D0D"/>
    <w:rsid w:val="00913104"/>
    <w:rsid w:val="009136EF"/>
    <w:rsid w:val="00913DA4"/>
    <w:rsid w:val="00914BF8"/>
    <w:rsid w:val="009154CD"/>
    <w:rsid w:val="00915F86"/>
    <w:rsid w:val="0091678E"/>
    <w:rsid w:val="00917B99"/>
    <w:rsid w:val="00917C21"/>
    <w:rsid w:val="00917E99"/>
    <w:rsid w:val="00920574"/>
    <w:rsid w:val="0092090D"/>
    <w:rsid w:val="00920C5D"/>
    <w:rsid w:val="0092161B"/>
    <w:rsid w:val="00922431"/>
    <w:rsid w:val="00922983"/>
    <w:rsid w:val="00922C87"/>
    <w:rsid w:val="00923283"/>
    <w:rsid w:val="0092344D"/>
    <w:rsid w:val="00924C13"/>
    <w:rsid w:val="00924EAF"/>
    <w:rsid w:val="00924ECB"/>
    <w:rsid w:val="00926207"/>
    <w:rsid w:val="009267D1"/>
    <w:rsid w:val="00926E74"/>
    <w:rsid w:val="00927207"/>
    <w:rsid w:val="00927DD9"/>
    <w:rsid w:val="0093035C"/>
    <w:rsid w:val="00930613"/>
    <w:rsid w:val="009319C5"/>
    <w:rsid w:val="00931BD8"/>
    <w:rsid w:val="00933300"/>
    <w:rsid w:val="009341DC"/>
    <w:rsid w:val="0093472F"/>
    <w:rsid w:val="00934FB4"/>
    <w:rsid w:val="00935502"/>
    <w:rsid w:val="009355AD"/>
    <w:rsid w:val="0094111C"/>
    <w:rsid w:val="009413DF"/>
    <w:rsid w:val="00941EA2"/>
    <w:rsid w:val="00942077"/>
    <w:rsid w:val="0094307C"/>
    <w:rsid w:val="00944526"/>
    <w:rsid w:val="00944ECF"/>
    <w:rsid w:val="00945AB1"/>
    <w:rsid w:val="00946BE2"/>
    <w:rsid w:val="00947143"/>
    <w:rsid w:val="009476B5"/>
    <w:rsid w:val="00947A5E"/>
    <w:rsid w:val="00950B5D"/>
    <w:rsid w:val="00951EAE"/>
    <w:rsid w:val="0095209D"/>
    <w:rsid w:val="0095213B"/>
    <w:rsid w:val="00952224"/>
    <w:rsid w:val="00952490"/>
    <w:rsid w:val="009527A5"/>
    <w:rsid w:val="00952FBC"/>
    <w:rsid w:val="0095318B"/>
    <w:rsid w:val="00953D0A"/>
    <w:rsid w:val="0095401D"/>
    <w:rsid w:val="009540B0"/>
    <w:rsid w:val="009569A7"/>
    <w:rsid w:val="00956B22"/>
    <w:rsid w:val="0095777D"/>
    <w:rsid w:val="00960242"/>
    <w:rsid w:val="009619F0"/>
    <w:rsid w:val="009619FE"/>
    <w:rsid w:val="009623B6"/>
    <w:rsid w:val="00963178"/>
    <w:rsid w:val="009633AA"/>
    <w:rsid w:val="009643EC"/>
    <w:rsid w:val="0096484B"/>
    <w:rsid w:val="00964FA6"/>
    <w:rsid w:val="0096718D"/>
    <w:rsid w:val="009672DC"/>
    <w:rsid w:val="009676A0"/>
    <w:rsid w:val="00971964"/>
    <w:rsid w:val="00971AF8"/>
    <w:rsid w:val="00971C25"/>
    <w:rsid w:val="0097250A"/>
    <w:rsid w:val="00972B03"/>
    <w:rsid w:val="00972E21"/>
    <w:rsid w:val="00972E84"/>
    <w:rsid w:val="00973081"/>
    <w:rsid w:val="00973C77"/>
    <w:rsid w:val="0097699F"/>
    <w:rsid w:val="009777CF"/>
    <w:rsid w:val="00977EDB"/>
    <w:rsid w:val="00977EE4"/>
    <w:rsid w:val="00977FBC"/>
    <w:rsid w:val="009801C9"/>
    <w:rsid w:val="00980595"/>
    <w:rsid w:val="009808CA"/>
    <w:rsid w:val="00982AF5"/>
    <w:rsid w:val="009832E5"/>
    <w:rsid w:val="00983786"/>
    <w:rsid w:val="009847DC"/>
    <w:rsid w:val="00984AC1"/>
    <w:rsid w:val="00986619"/>
    <w:rsid w:val="00986728"/>
    <w:rsid w:val="009868A7"/>
    <w:rsid w:val="0098792A"/>
    <w:rsid w:val="00990CA5"/>
    <w:rsid w:val="00990D6E"/>
    <w:rsid w:val="009910C0"/>
    <w:rsid w:val="00991331"/>
    <w:rsid w:val="0099192D"/>
    <w:rsid w:val="009928A3"/>
    <w:rsid w:val="009928BA"/>
    <w:rsid w:val="0099292A"/>
    <w:rsid w:val="00992EA9"/>
    <w:rsid w:val="00994AC1"/>
    <w:rsid w:val="0099546D"/>
    <w:rsid w:val="009959D3"/>
    <w:rsid w:val="00995C8D"/>
    <w:rsid w:val="00995E6A"/>
    <w:rsid w:val="00995F6C"/>
    <w:rsid w:val="00995FD6"/>
    <w:rsid w:val="00997866"/>
    <w:rsid w:val="009A00DD"/>
    <w:rsid w:val="009A0401"/>
    <w:rsid w:val="009A06F7"/>
    <w:rsid w:val="009A1173"/>
    <w:rsid w:val="009A11D0"/>
    <w:rsid w:val="009A1212"/>
    <w:rsid w:val="009A12AE"/>
    <w:rsid w:val="009A33DA"/>
    <w:rsid w:val="009A4A40"/>
    <w:rsid w:val="009A4F6D"/>
    <w:rsid w:val="009A54F1"/>
    <w:rsid w:val="009A557B"/>
    <w:rsid w:val="009A5821"/>
    <w:rsid w:val="009A5AA7"/>
    <w:rsid w:val="009A670E"/>
    <w:rsid w:val="009A72FE"/>
    <w:rsid w:val="009B029C"/>
    <w:rsid w:val="009B1811"/>
    <w:rsid w:val="009B1A55"/>
    <w:rsid w:val="009B1FC5"/>
    <w:rsid w:val="009B2541"/>
    <w:rsid w:val="009B2A5D"/>
    <w:rsid w:val="009B4BE6"/>
    <w:rsid w:val="009B5407"/>
    <w:rsid w:val="009B5435"/>
    <w:rsid w:val="009B575C"/>
    <w:rsid w:val="009B5EA9"/>
    <w:rsid w:val="009B5F69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637"/>
    <w:rsid w:val="009C1D01"/>
    <w:rsid w:val="009C20CC"/>
    <w:rsid w:val="009C2BEC"/>
    <w:rsid w:val="009C368F"/>
    <w:rsid w:val="009C4C95"/>
    <w:rsid w:val="009C4EE5"/>
    <w:rsid w:val="009C5448"/>
    <w:rsid w:val="009C6725"/>
    <w:rsid w:val="009C680D"/>
    <w:rsid w:val="009C6DDD"/>
    <w:rsid w:val="009C7D11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61EE"/>
    <w:rsid w:val="009E65E3"/>
    <w:rsid w:val="009E660A"/>
    <w:rsid w:val="009E71FE"/>
    <w:rsid w:val="009F00EB"/>
    <w:rsid w:val="009F0167"/>
    <w:rsid w:val="009F04BC"/>
    <w:rsid w:val="009F0BE1"/>
    <w:rsid w:val="009F1684"/>
    <w:rsid w:val="009F26F4"/>
    <w:rsid w:val="009F356F"/>
    <w:rsid w:val="009F36AD"/>
    <w:rsid w:val="009F3A73"/>
    <w:rsid w:val="009F3FFB"/>
    <w:rsid w:val="009F439A"/>
    <w:rsid w:val="009F4AA3"/>
    <w:rsid w:val="009F4D8D"/>
    <w:rsid w:val="009F53BD"/>
    <w:rsid w:val="009F550C"/>
    <w:rsid w:val="009F57C8"/>
    <w:rsid w:val="009F63B2"/>
    <w:rsid w:val="009F6942"/>
    <w:rsid w:val="009F71E1"/>
    <w:rsid w:val="00A005EE"/>
    <w:rsid w:val="00A008E8"/>
    <w:rsid w:val="00A00905"/>
    <w:rsid w:val="00A01409"/>
    <w:rsid w:val="00A01CC1"/>
    <w:rsid w:val="00A032F8"/>
    <w:rsid w:val="00A03D23"/>
    <w:rsid w:val="00A04ABD"/>
    <w:rsid w:val="00A04C83"/>
    <w:rsid w:val="00A04EA5"/>
    <w:rsid w:val="00A051A6"/>
    <w:rsid w:val="00A05690"/>
    <w:rsid w:val="00A05DD3"/>
    <w:rsid w:val="00A06675"/>
    <w:rsid w:val="00A10C16"/>
    <w:rsid w:val="00A11898"/>
    <w:rsid w:val="00A120FB"/>
    <w:rsid w:val="00A127FC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1B6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7672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D62"/>
    <w:rsid w:val="00A3616A"/>
    <w:rsid w:val="00A3653C"/>
    <w:rsid w:val="00A36914"/>
    <w:rsid w:val="00A36950"/>
    <w:rsid w:val="00A37278"/>
    <w:rsid w:val="00A3741A"/>
    <w:rsid w:val="00A400E1"/>
    <w:rsid w:val="00A4065E"/>
    <w:rsid w:val="00A410FB"/>
    <w:rsid w:val="00A41A09"/>
    <w:rsid w:val="00A427F9"/>
    <w:rsid w:val="00A428D5"/>
    <w:rsid w:val="00A42B46"/>
    <w:rsid w:val="00A42EFA"/>
    <w:rsid w:val="00A4301B"/>
    <w:rsid w:val="00A43D61"/>
    <w:rsid w:val="00A445F6"/>
    <w:rsid w:val="00A45A6B"/>
    <w:rsid w:val="00A45FB6"/>
    <w:rsid w:val="00A46081"/>
    <w:rsid w:val="00A4691B"/>
    <w:rsid w:val="00A47EBA"/>
    <w:rsid w:val="00A47FFA"/>
    <w:rsid w:val="00A504A0"/>
    <w:rsid w:val="00A5142F"/>
    <w:rsid w:val="00A51932"/>
    <w:rsid w:val="00A52229"/>
    <w:rsid w:val="00A524C8"/>
    <w:rsid w:val="00A53BD6"/>
    <w:rsid w:val="00A53D94"/>
    <w:rsid w:val="00A551AC"/>
    <w:rsid w:val="00A552E4"/>
    <w:rsid w:val="00A5596A"/>
    <w:rsid w:val="00A55A29"/>
    <w:rsid w:val="00A561CE"/>
    <w:rsid w:val="00A5633F"/>
    <w:rsid w:val="00A5641B"/>
    <w:rsid w:val="00A56775"/>
    <w:rsid w:val="00A56A18"/>
    <w:rsid w:val="00A6023B"/>
    <w:rsid w:val="00A608A0"/>
    <w:rsid w:val="00A61A50"/>
    <w:rsid w:val="00A63108"/>
    <w:rsid w:val="00A6388A"/>
    <w:rsid w:val="00A63AD2"/>
    <w:rsid w:val="00A63CDA"/>
    <w:rsid w:val="00A63EB5"/>
    <w:rsid w:val="00A6456A"/>
    <w:rsid w:val="00A64C14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D2A"/>
    <w:rsid w:val="00A7209C"/>
    <w:rsid w:val="00A729AF"/>
    <w:rsid w:val="00A729F7"/>
    <w:rsid w:val="00A73374"/>
    <w:rsid w:val="00A7403F"/>
    <w:rsid w:val="00A741F2"/>
    <w:rsid w:val="00A74B17"/>
    <w:rsid w:val="00A7525E"/>
    <w:rsid w:val="00A7607E"/>
    <w:rsid w:val="00A7754B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87F27"/>
    <w:rsid w:val="00A9032C"/>
    <w:rsid w:val="00A90AA9"/>
    <w:rsid w:val="00A9126B"/>
    <w:rsid w:val="00A91550"/>
    <w:rsid w:val="00A91777"/>
    <w:rsid w:val="00A919B2"/>
    <w:rsid w:val="00A91BB7"/>
    <w:rsid w:val="00A92204"/>
    <w:rsid w:val="00A927F1"/>
    <w:rsid w:val="00A93399"/>
    <w:rsid w:val="00A946D0"/>
    <w:rsid w:val="00A95018"/>
    <w:rsid w:val="00A9515E"/>
    <w:rsid w:val="00AA023A"/>
    <w:rsid w:val="00AA0639"/>
    <w:rsid w:val="00AA0D62"/>
    <w:rsid w:val="00AA12FB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A72"/>
    <w:rsid w:val="00AA5A86"/>
    <w:rsid w:val="00AA5CC6"/>
    <w:rsid w:val="00AA7044"/>
    <w:rsid w:val="00AA7239"/>
    <w:rsid w:val="00AA7D06"/>
    <w:rsid w:val="00AA7D36"/>
    <w:rsid w:val="00AA7F82"/>
    <w:rsid w:val="00AB04A4"/>
    <w:rsid w:val="00AB25D0"/>
    <w:rsid w:val="00AB3E19"/>
    <w:rsid w:val="00AB4D59"/>
    <w:rsid w:val="00AB55F9"/>
    <w:rsid w:val="00AB6614"/>
    <w:rsid w:val="00AB662B"/>
    <w:rsid w:val="00AB6A9C"/>
    <w:rsid w:val="00AB7D51"/>
    <w:rsid w:val="00AB7D98"/>
    <w:rsid w:val="00AC0903"/>
    <w:rsid w:val="00AC0A12"/>
    <w:rsid w:val="00AC0F4F"/>
    <w:rsid w:val="00AC1136"/>
    <w:rsid w:val="00AC161B"/>
    <w:rsid w:val="00AC16A4"/>
    <w:rsid w:val="00AC19AB"/>
    <w:rsid w:val="00AC2755"/>
    <w:rsid w:val="00AC2BC3"/>
    <w:rsid w:val="00AC3133"/>
    <w:rsid w:val="00AC32E7"/>
    <w:rsid w:val="00AC3338"/>
    <w:rsid w:val="00AC33D2"/>
    <w:rsid w:val="00AC3750"/>
    <w:rsid w:val="00AC3842"/>
    <w:rsid w:val="00AC4496"/>
    <w:rsid w:val="00AC45DF"/>
    <w:rsid w:val="00AC47F7"/>
    <w:rsid w:val="00AC6184"/>
    <w:rsid w:val="00AC7AE9"/>
    <w:rsid w:val="00AC7E07"/>
    <w:rsid w:val="00AD25B0"/>
    <w:rsid w:val="00AD2E20"/>
    <w:rsid w:val="00AD3995"/>
    <w:rsid w:val="00AD39A2"/>
    <w:rsid w:val="00AD47DD"/>
    <w:rsid w:val="00AD4B4E"/>
    <w:rsid w:val="00AD4B83"/>
    <w:rsid w:val="00AD6122"/>
    <w:rsid w:val="00AD62A2"/>
    <w:rsid w:val="00AD6E24"/>
    <w:rsid w:val="00AE05F5"/>
    <w:rsid w:val="00AE0984"/>
    <w:rsid w:val="00AE1799"/>
    <w:rsid w:val="00AE19E9"/>
    <w:rsid w:val="00AE2095"/>
    <w:rsid w:val="00AE26A2"/>
    <w:rsid w:val="00AE28B1"/>
    <w:rsid w:val="00AE28EB"/>
    <w:rsid w:val="00AE2A95"/>
    <w:rsid w:val="00AE2F24"/>
    <w:rsid w:val="00AE3C96"/>
    <w:rsid w:val="00AE5206"/>
    <w:rsid w:val="00AE5248"/>
    <w:rsid w:val="00AE59C4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0DBC"/>
    <w:rsid w:val="00AF1325"/>
    <w:rsid w:val="00AF1340"/>
    <w:rsid w:val="00AF1459"/>
    <w:rsid w:val="00AF1907"/>
    <w:rsid w:val="00AF1B7F"/>
    <w:rsid w:val="00AF22E3"/>
    <w:rsid w:val="00AF258E"/>
    <w:rsid w:val="00AF3197"/>
    <w:rsid w:val="00AF3280"/>
    <w:rsid w:val="00AF375C"/>
    <w:rsid w:val="00AF3B03"/>
    <w:rsid w:val="00AF4C84"/>
    <w:rsid w:val="00AF4C9B"/>
    <w:rsid w:val="00AF4DE8"/>
    <w:rsid w:val="00AF5033"/>
    <w:rsid w:val="00AF5169"/>
    <w:rsid w:val="00AF5229"/>
    <w:rsid w:val="00AF5CC7"/>
    <w:rsid w:val="00AF5D3E"/>
    <w:rsid w:val="00AF6858"/>
    <w:rsid w:val="00AF6CB6"/>
    <w:rsid w:val="00AF6CF7"/>
    <w:rsid w:val="00AF749B"/>
    <w:rsid w:val="00AF7B5D"/>
    <w:rsid w:val="00B00307"/>
    <w:rsid w:val="00B00891"/>
    <w:rsid w:val="00B00949"/>
    <w:rsid w:val="00B00B62"/>
    <w:rsid w:val="00B01014"/>
    <w:rsid w:val="00B0169E"/>
    <w:rsid w:val="00B01889"/>
    <w:rsid w:val="00B02275"/>
    <w:rsid w:val="00B02657"/>
    <w:rsid w:val="00B03363"/>
    <w:rsid w:val="00B03872"/>
    <w:rsid w:val="00B03FD1"/>
    <w:rsid w:val="00B06538"/>
    <w:rsid w:val="00B07C9D"/>
    <w:rsid w:val="00B104F1"/>
    <w:rsid w:val="00B1070F"/>
    <w:rsid w:val="00B10E04"/>
    <w:rsid w:val="00B116F9"/>
    <w:rsid w:val="00B119DA"/>
    <w:rsid w:val="00B11C91"/>
    <w:rsid w:val="00B12444"/>
    <w:rsid w:val="00B1252F"/>
    <w:rsid w:val="00B1294A"/>
    <w:rsid w:val="00B129E8"/>
    <w:rsid w:val="00B13230"/>
    <w:rsid w:val="00B13304"/>
    <w:rsid w:val="00B14069"/>
    <w:rsid w:val="00B143B3"/>
    <w:rsid w:val="00B145FC"/>
    <w:rsid w:val="00B1476B"/>
    <w:rsid w:val="00B14EBE"/>
    <w:rsid w:val="00B15C49"/>
    <w:rsid w:val="00B1694C"/>
    <w:rsid w:val="00B1705E"/>
    <w:rsid w:val="00B17DD0"/>
    <w:rsid w:val="00B17E3C"/>
    <w:rsid w:val="00B20265"/>
    <w:rsid w:val="00B20B8A"/>
    <w:rsid w:val="00B21368"/>
    <w:rsid w:val="00B21520"/>
    <w:rsid w:val="00B21ABA"/>
    <w:rsid w:val="00B21ED4"/>
    <w:rsid w:val="00B21F67"/>
    <w:rsid w:val="00B22532"/>
    <w:rsid w:val="00B22B40"/>
    <w:rsid w:val="00B23974"/>
    <w:rsid w:val="00B24319"/>
    <w:rsid w:val="00B24337"/>
    <w:rsid w:val="00B24BDD"/>
    <w:rsid w:val="00B25853"/>
    <w:rsid w:val="00B2732A"/>
    <w:rsid w:val="00B27432"/>
    <w:rsid w:val="00B27B29"/>
    <w:rsid w:val="00B27B2D"/>
    <w:rsid w:val="00B3011F"/>
    <w:rsid w:val="00B3037B"/>
    <w:rsid w:val="00B30CAC"/>
    <w:rsid w:val="00B31491"/>
    <w:rsid w:val="00B315AF"/>
    <w:rsid w:val="00B324BD"/>
    <w:rsid w:val="00B332A6"/>
    <w:rsid w:val="00B33386"/>
    <w:rsid w:val="00B3415C"/>
    <w:rsid w:val="00B34FED"/>
    <w:rsid w:val="00B356C1"/>
    <w:rsid w:val="00B35884"/>
    <w:rsid w:val="00B3604B"/>
    <w:rsid w:val="00B36068"/>
    <w:rsid w:val="00B36517"/>
    <w:rsid w:val="00B36868"/>
    <w:rsid w:val="00B36872"/>
    <w:rsid w:val="00B36F71"/>
    <w:rsid w:val="00B374DF"/>
    <w:rsid w:val="00B3766B"/>
    <w:rsid w:val="00B37A03"/>
    <w:rsid w:val="00B37E03"/>
    <w:rsid w:val="00B404FF"/>
    <w:rsid w:val="00B405DA"/>
    <w:rsid w:val="00B4097F"/>
    <w:rsid w:val="00B40CBB"/>
    <w:rsid w:val="00B41527"/>
    <w:rsid w:val="00B416F4"/>
    <w:rsid w:val="00B425B3"/>
    <w:rsid w:val="00B43C85"/>
    <w:rsid w:val="00B43DF6"/>
    <w:rsid w:val="00B43F83"/>
    <w:rsid w:val="00B442FD"/>
    <w:rsid w:val="00B44791"/>
    <w:rsid w:val="00B44B4E"/>
    <w:rsid w:val="00B44C6B"/>
    <w:rsid w:val="00B44F8C"/>
    <w:rsid w:val="00B450C6"/>
    <w:rsid w:val="00B46D2B"/>
    <w:rsid w:val="00B4766E"/>
    <w:rsid w:val="00B50D31"/>
    <w:rsid w:val="00B50D62"/>
    <w:rsid w:val="00B51775"/>
    <w:rsid w:val="00B51B3E"/>
    <w:rsid w:val="00B5464E"/>
    <w:rsid w:val="00B547E8"/>
    <w:rsid w:val="00B547F8"/>
    <w:rsid w:val="00B555D6"/>
    <w:rsid w:val="00B56634"/>
    <w:rsid w:val="00B56953"/>
    <w:rsid w:val="00B57F3E"/>
    <w:rsid w:val="00B6033F"/>
    <w:rsid w:val="00B60343"/>
    <w:rsid w:val="00B60B57"/>
    <w:rsid w:val="00B60CEB"/>
    <w:rsid w:val="00B614E8"/>
    <w:rsid w:val="00B6268E"/>
    <w:rsid w:val="00B62D4B"/>
    <w:rsid w:val="00B62FEF"/>
    <w:rsid w:val="00B637DD"/>
    <w:rsid w:val="00B638D6"/>
    <w:rsid w:val="00B639E6"/>
    <w:rsid w:val="00B63B13"/>
    <w:rsid w:val="00B63C59"/>
    <w:rsid w:val="00B6413C"/>
    <w:rsid w:val="00B6517F"/>
    <w:rsid w:val="00B65500"/>
    <w:rsid w:val="00B664DA"/>
    <w:rsid w:val="00B666B6"/>
    <w:rsid w:val="00B667E8"/>
    <w:rsid w:val="00B71185"/>
    <w:rsid w:val="00B71532"/>
    <w:rsid w:val="00B72579"/>
    <w:rsid w:val="00B734E8"/>
    <w:rsid w:val="00B73897"/>
    <w:rsid w:val="00B73C95"/>
    <w:rsid w:val="00B73E87"/>
    <w:rsid w:val="00B740A4"/>
    <w:rsid w:val="00B74221"/>
    <w:rsid w:val="00B746A9"/>
    <w:rsid w:val="00B74D55"/>
    <w:rsid w:val="00B7569D"/>
    <w:rsid w:val="00B75D2E"/>
    <w:rsid w:val="00B75F16"/>
    <w:rsid w:val="00B77201"/>
    <w:rsid w:val="00B809F8"/>
    <w:rsid w:val="00B81DEB"/>
    <w:rsid w:val="00B82C95"/>
    <w:rsid w:val="00B831A1"/>
    <w:rsid w:val="00B83771"/>
    <w:rsid w:val="00B83A62"/>
    <w:rsid w:val="00B83ECD"/>
    <w:rsid w:val="00B84034"/>
    <w:rsid w:val="00B84293"/>
    <w:rsid w:val="00B8504F"/>
    <w:rsid w:val="00B8667B"/>
    <w:rsid w:val="00B867F7"/>
    <w:rsid w:val="00B869DE"/>
    <w:rsid w:val="00B86F5C"/>
    <w:rsid w:val="00B874EA"/>
    <w:rsid w:val="00B90DB2"/>
    <w:rsid w:val="00B919F3"/>
    <w:rsid w:val="00B91A8A"/>
    <w:rsid w:val="00B941B4"/>
    <w:rsid w:val="00B94668"/>
    <w:rsid w:val="00B947A2"/>
    <w:rsid w:val="00B94B65"/>
    <w:rsid w:val="00B95CFE"/>
    <w:rsid w:val="00B96307"/>
    <w:rsid w:val="00B965AE"/>
    <w:rsid w:val="00B96B55"/>
    <w:rsid w:val="00B96CBA"/>
    <w:rsid w:val="00B977CF"/>
    <w:rsid w:val="00B97828"/>
    <w:rsid w:val="00B97EC5"/>
    <w:rsid w:val="00BA1E84"/>
    <w:rsid w:val="00BA1FCB"/>
    <w:rsid w:val="00BA2038"/>
    <w:rsid w:val="00BA25A7"/>
    <w:rsid w:val="00BA2948"/>
    <w:rsid w:val="00BA2CC3"/>
    <w:rsid w:val="00BA30CE"/>
    <w:rsid w:val="00BA33DD"/>
    <w:rsid w:val="00BA4119"/>
    <w:rsid w:val="00BA449C"/>
    <w:rsid w:val="00BA4559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C0A0C"/>
    <w:rsid w:val="00BC24EC"/>
    <w:rsid w:val="00BC2904"/>
    <w:rsid w:val="00BC296A"/>
    <w:rsid w:val="00BC3CD5"/>
    <w:rsid w:val="00BC3F4A"/>
    <w:rsid w:val="00BC407B"/>
    <w:rsid w:val="00BC49D1"/>
    <w:rsid w:val="00BC4F19"/>
    <w:rsid w:val="00BC585A"/>
    <w:rsid w:val="00BC5B22"/>
    <w:rsid w:val="00BC5BBB"/>
    <w:rsid w:val="00BC5BD1"/>
    <w:rsid w:val="00BC6A61"/>
    <w:rsid w:val="00BC6E7B"/>
    <w:rsid w:val="00BC75EC"/>
    <w:rsid w:val="00BC7805"/>
    <w:rsid w:val="00BD031F"/>
    <w:rsid w:val="00BD1315"/>
    <w:rsid w:val="00BD1470"/>
    <w:rsid w:val="00BD2316"/>
    <w:rsid w:val="00BD3289"/>
    <w:rsid w:val="00BD36B0"/>
    <w:rsid w:val="00BD377C"/>
    <w:rsid w:val="00BD3C9A"/>
    <w:rsid w:val="00BD403A"/>
    <w:rsid w:val="00BD413F"/>
    <w:rsid w:val="00BD45CA"/>
    <w:rsid w:val="00BD4C23"/>
    <w:rsid w:val="00BD55CB"/>
    <w:rsid w:val="00BD5BDC"/>
    <w:rsid w:val="00BD5D56"/>
    <w:rsid w:val="00BD61AE"/>
    <w:rsid w:val="00BD630D"/>
    <w:rsid w:val="00BD66A1"/>
    <w:rsid w:val="00BD7124"/>
    <w:rsid w:val="00BD736B"/>
    <w:rsid w:val="00BD737D"/>
    <w:rsid w:val="00BD743C"/>
    <w:rsid w:val="00BE015B"/>
    <w:rsid w:val="00BE046B"/>
    <w:rsid w:val="00BE04B5"/>
    <w:rsid w:val="00BE0BB4"/>
    <w:rsid w:val="00BE0E92"/>
    <w:rsid w:val="00BE1CD3"/>
    <w:rsid w:val="00BE217C"/>
    <w:rsid w:val="00BE25B9"/>
    <w:rsid w:val="00BE2612"/>
    <w:rsid w:val="00BE2954"/>
    <w:rsid w:val="00BE2AA4"/>
    <w:rsid w:val="00BE376A"/>
    <w:rsid w:val="00BE3799"/>
    <w:rsid w:val="00BE38AC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154E"/>
    <w:rsid w:val="00BF1CA4"/>
    <w:rsid w:val="00BF2FE2"/>
    <w:rsid w:val="00BF3DB8"/>
    <w:rsid w:val="00BF4996"/>
    <w:rsid w:val="00BF6099"/>
    <w:rsid w:val="00BF6129"/>
    <w:rsid w:val="00BF7E75"/>
    <w:rsid w:val="00C00405"/>
    <w:rsid w:val="00C04CDB"/>
    <w:rsid w:val="00C0546A"/>
    <w:rsid w:val="00C05BCF"/>
    <w:rsid w:val="00C05F41"/>
    <w:rsid w:val="00C066D8"/>
    <w:rsid w:val="00C078B0"/>
    <w:rsid w:val="00C10ECE"/>
    <w:rsid w:val="00C11055"/>
    <w:rsid w:val="00C1134F"/>
    <w:rsid w:val="00C12CB7"/>
    <w:rsid w:val="00C14FAF"/>
    <w:rsid w:val="00C151B7"/>
    <w:rsid w:val="00C152B8"/>
    <w:rsid w:val="00C1579C"/>
    <w:rsid w:val="00C16FF4"/>
    <w:rsid w:val="00C20BB3"/>
    <w:rsid w:val="00C21610"/>
    <w:rsid w:val="00C21781"/>
    <w:rsid w:val="00C226D7"/>
    <w:rsid w:val="00C22AC8"/>
    <w:rsid w:val="00C22BF9"/>
    <w:rsid w:val="00C23B4D"/>
    <w:rsid w:val="00C23E01"/>
    <w:rsid w:val="00C24D9B"/>
    <w:rsid w:val="00C25482"/>
    <w:rsid w:val="00C25556"/>
    <w:rsid w:val="00C25E2B"/>
    <w:rsid w:val="00C268B2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C9F"/>
    <w:rsid w:val="00C332E7"/>
    <w:rsid w:val="00C33C54"/>
    <w:rsid w:val="00C33C67"/>
    <w:rsid w:val="00C345E4"/>
    <w:rsid w:val="00C3460B"/>
    <w:rsid w:val="00C34A52"/>
    <w:rsid w:val="00C34D6A"/>
    <w:rsid w:val="00C35155"/>
    <w:rsid w:val="00C3522D"/>
    <w:rsid w:val="00C359F0"/>
    <w:rsid w:val="00C35D93"/>
    <w:rsid w:val="00C36336"/>
    <w:rsid w:val="00C37159"/>
    <w:rsid w:val="00C374E1"/>
    <w:rsid w:val="00C37B67"/>
    <w:rsid w:val="00C400E9"/>
    <w:rsid w:val="00C406B4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681"/>
    <w:rsid w:val="00C44978"/>
    <w:rsid w:val="00C455BF"/>
    <w:rsid w:val="00C45925"/>
    <w:rsid w:val="00C461FB"/>
    <w:rsid w:val="00C465F9"/>
    <w:rsid w:val="00C466ED"/>
    <w:rsid w:val="00C46AC0"/>
    <w:rsid w:val="00C47091"/>
    <w:rsid w:val="00C470F0"/>
    <w:rsid w:val="00C47254"/>
    <w:rsid w:val="00C4774E"/>
    <w:rsid w:val="00C478A4"/>
    <w:rsid w:val="00C4794F"/>
    <w:rsid w:val="00C479A3"/>
    <w:rsid w:val="00C50670"/>
    <w:rsid w:val="00C50A91"/>
    <w:rsid w:val="00C50C26"/>
    <w:rsid w:val="00C52231"/>
    <w:rsid w:val="00C52569"/>
    <w:rsid w:val="00C52898"/>
    <w:rsid w:val="00C52F0D"/>
    <w:rsid w:val="00C53016"/>
    <w:rsid w:val="00C5410C"/>
    <w:rsid w:val="00C5500D"/>
    <w:rsid w:val="00C5505E"/>
    <w:rsid w:val="00C5592C"/>
    <w:rsid w:val="00C55A92"/>
    <w:rsid w:val="00C55E70"/>
    <w:rsid w:val="00C56F36"/>
    <w:rsid w:val="00C57425"/>
    <w:rsid w:val="00C577FA"/>
    <w:rsid w:val="00C602FB"/>
    <w:rsid w:val="00C61166"/>
    <w:rsid w:val="00C6168C"/>
    <w:rsid w:val="00C61C6C"/>
    <w:rsid w:val="00C62235"/>
    <w:rsid w:val="00C63352"/>
    <w:rsid w:val="00C63CA7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A91"/>
    <w:rsid w:val="00C67BE1"/>
    <w:rsid w:val="00C70B3A"/>
    <w:rsid w:val="00C71265"/>
    <w:rsid w:val="00C71CD7"/>
    <w:rsid w:val="00C71CF5"/>
    <w:rsid w:val="00C7201B"/>
    <w:rsid w:val="00C73F00"/>
    <w:rsid w:val="00C740B1"/>
    <w:rsid w:val="00C74C83"/>
    <w:rsid w:val="00C75C46"/>
    <w:rsid w:val="00C75FC0"/>
    <w:rsid w:val="00C76256"/>
    <w:rsid w:val="00C76537"/>
    <w:rsid w:val="00C76F9D"/>
    <w:rsid w:val="00C77661"/>
    <w:rsid w:val="00C7778D"/>
    <w:rsid w:val="00C77A99"/>
    <w:rsid w:val="00C77B0D"/>
    <w:rsid w:val="00C80F06"/>
    <w:rsid w:val="00C82495"/>
    <w:rsid w:val="00C82621"/>
    <w:rsid w:val="00C82F60"/>
    <w:rsid w:val="00C82FDF"/>
    <w:rsid w:val="00C83066"/>
    <w:rsid w:val="00C831B6"/>
    <w:rsid w:val="00C83966"/>
    <w:rsid w:val="00C83F96"/>
    <w:rsid w:val="00C85617"/>
    <w:rsid w:val="00C85ABF"/>
    <w:rsid w:val="00C85D9A"/>
    <w:rsid w:val="00C85FF3"/>
    <w:rsid w:val="00C8672F"/>
    <w:rsid w:val="00C86DEA"/>
    <w:rsid w:val="00C86FB4"/>
    <w:rsid w:val="00C8749E"/>
    <w:rsid w:val="00C90227"/>
    <w:rsid w:val="00C91216"/>
    <w:rsid w:val="00C9126E"/>
    <w:rsid w:val="00C93533"/>
    <w:rsid w:val="00C93CE7"/>
    <w:rsid w:val="00C967D1"/>
    <w:rsid w:val="00C96A43"/>
    <w:rsid w:val="00C979D8"/>
    <w:rsid w:val="00CA00F8"/>
    <w:rsid w:val="00CA0B25"/>
    <w:rsid w:val="00CA131D"/>
    <w:rsid w:val="00CA18AC"/>
    <w:rsid w:val="00CA1B35"/>
    <w:rsid w:val="00CA2D27"/>
    <w:rsid w:val="00CA301C"/>
    <w:rsid w:val="00CA30D6"/>
    <w:rsid w:val="00CA3A21"/>
    <w:rsid w:val="00CA4CC3"/>
    <w:rsid w:val="00CA5C8F"/>
    <w:rsid w:val="00CA5E93"/>
    <w:rsid w:val="00CA5FD8"/>
    <w:rsid w:val="00CA60A2"/>
    <w:rsid w:val="00CA647A"/>
    <w:rsid w:val="00CA6518"/>
    <w:rsid w:val="00CA67FD"/>
    <w:rsid w:val="00CA6867"/>
    <w:rsid w:val="00CA6DB2"/>
    <w:rsid w:val="00CA73A4"/>
    <w:rsid w:val="00CA787B"/>
    <w:rsid w:val="00CB04B2"/>
    <w:rsid w:val="00CB061C"/>
    <w:rsid w:val="00CB2B98"/>
    <w:rsid w:val="00CB2D83"/>
    <w:rsid w:val="00CB31B2"/>
    <w:rsid w:val="00CB38CF"/>
    <w:rsid w:val="00CB4450"/>
    <w:rsid w:val="00CB4EE1"/>
    <w:rsid w:val="00CB514A"/>
    <w:rsid w:val="00CB55AF"/>
    <w:rsid w:val="00CB5BFA"/>
    <w:rsid w:val="00CB5E8A"/>
    <w:rsid w:val="00CB6902"/>
    <w:rsid w:val="00CB6F14"/>
    <w:rsid w:val="00CB7C83"/>
    <w:rsid w:val="00CC17AE"/>
    <w:rsid w:val="00CC1D97"/>
    <w:rsid w:val="00CC2532"/>
    <w:rsid w:val="00CC4753"/>
    <w:rsid w:val="00CC479A"/>
    <w:rsid w:val="00CC4E1C"/>
    <w:rsid w:val="00CC59FB"/>
    <w:rsid w:val="00CC5F10"/>
    <w:rsid w:val="00CC6193"/>
    <w:rsid w:val="00CC6BC7"/>
    <w:rsid w:val="00CC6C16"/>
    <w:rsid w:val="00CC6C2B"/>
    <w:rsid w:val="00CC76A9"/>
    <w:rsid w:val="00CC7709"/>
    <w:rsid w:val="00CC7A76"/>
    <w:rsid w:val="00CC7A77"/>
    <w:rsid w:val="00CD0075"/>
    <w:rsid w:val="00CD0FDF"/>
    <w:rsid w:val="00CD1357"/>
    <w:rsid w:val="00CD163E"/>
    <w:rsid w:val="00CD17F8"/>
    <w:rsid w:val="00CD1D0A"/>
    <w:rsid w:val="00CD2295"/>
    <w:rsid w:val="00CD33C4"/>
    <w:rsid w:val="00CD38D3"/>
    <w:rsid w:val="00CD3938"/>
    <w:rsid w:val="00CD3B88"/>
    <w:rsid w:val="00CD4DB8"/>
    <w:rsid w:val="00CD5388"/>
    <w:rsid w:val="00CD5C6C"/>
    <w:rsid w:val="00CD5F6F"/>
    <w:rsid w:val="00CD60C0"/>
    <w:rsid w:val="00CD6700"/>
    <w:rsid w:val="00CD70A7"/>
    <w:rsid w:val="00CD787B"/>
    <w:rsid w:val="00CD7AE6"/>
    <w:rsid w:val="00CD7F4A"/>
    <w:rsid w:val="00CE0261"/>
    <w:rsid w:val="00CE1045"/>
    <w:rsid w:val="00CE1192"/>
    <w:rsid w:val="00CE1CB7"/>
    <w:rsid w:val="00CE3288"/>
    <w:rsid w:val="00CE3568"/>
    <w:rsid w:val="00CE3F00"/>
    <w:rsid w:val="00CE409D"/>
    <w:rsid w:val="00CE4955"/>
    <w:rsid w:val="00CE4C4E"/>
    <w:rsid w:val="00CE4F4A"/>
    <w:rsid w:val="00CE51C2"/>
    <w:rsid w:val="00CE5939"/>
    <w:rsid w:val="00CE615B"/>
    <w:rsid w:val="00CE6695"/>
    <w:rsid w:val="00CE6AF9"/>
    <w:rsid w:val="00CE764E"/>
    <w:rsid w:val="00CE7FCF"/>
    <w:rsid w:val="00CF0EE2"/>
    <w:rsid w:val="00CF11CF"/>
    <w:rsid w:val="00CF1289"/>
    <w:rsid w:val="00CF16CB"/>
    <w:rsid w:val="00CF1ACA"/>
    <w:rsid w:val="00CF44B3"/>
    <w:rsid w:val="00CF4560"/>
    <w:rsid w:val="00CF4930"/>
    <w:rsid w:val="00CF54EC"/>
    <w:rsid w:val="00CF5E40"/>
    <w:rsid w:val="00CF62CF"/>
    <w:rsid w:val="00CF6FB0"/>
    <w:rsid w:val="00CF72AE"/>
    <w:rsid w:val="00CF7D7A"/>
    <w:rsid w:val="00D005A6"/>
    <w:rsid w:val="00D00670"/>
    <w:rsid w:val="00D0132F"/>
    <w:rsid w:val="00D01C2E"/>
    <w:rsid w:val="00D01FE3"/>
    <w:rsid w:val="00D02485"/>
    <w:rsid w:val="00D039F9"/>
    <w:rsid w:val="00D04971"/>
    <w:rsid w:val="00D05440"/>
    <w:rsid w:val="00D0582E"/>
    <w:rsid w:val="00D05ADB"/>
    <w:rsid w:val="00D10AAD"/>
    <w:rsid w:val="00D10BDA"/>
    <w:rsid w:val="00D11351"/>
    <w:rsid w:val="00D1139F"/>
    <w:rsid w:val="00D115EB"/>
    <w:rsid w:val="00D124AF"/>
    <w:rsid w:val="00D127B4"/>
    <w:rsid w:val="00D12ECA"/>
    <w:rsid w:val="00D13C51"/>
    <w:rsid w:val="00D14196"/>
    <w:rsid w:val="00D14707"/>
    <w:rsid w:val="00D14E0B"/>
    <w:rsid w:val="00D14FB8"/>
    <w:rsid w:val="00D15759"/>
    <w:rsid w:val="00D15835"/>
    <w:rsid w:val="00D16452"/>
    <w:rsid w:val="00D16A5D"/>
    <w:rsid w:val="00D16C09"/>
    <w:rsid w:val="00D175FA"/>
    <w:rsid w:val="00D176CC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968"/>
    <w:rsid w:val="00D2608A"/>
    <w:rsid w:val="00D2651A"/>
    <w:rsid w:val="00D2697F"/>
    <w:rsid w:val="00D270EC"/>
    <w:rsid w:val="00D27B09"/>
    <w:rsid w:val="00D27C16"/>
    <w:rsid w:val="00D27D61"/>
    <w:rsid w:val="00D30A1A"/>
    <w:rsid w:val="00D30C33"/>
    <w:rsid w:val="00D3109E"/>
    <w:rsid w:val="00D31312"/>
    <w:rsid w:val="00D327E3"/>
    <w:rsid w:val="00D32ECF"/>
    <w:rsid w:val="00D337CE"/>
    <w:rsid w:val="00D33B6D"/>
    <w:rsid w:val="00D33F7F"/>
    <w:rsid w:val="00D34218"/>
    <w:rsid w:val="00D344B2"/>
    <w:rsid w:val="00D35484"/>
    <w:rsid w:val="00D35AF7"/>
    <w:rsid w:val="00D36366"/>
    <w:rsid w:val="00D36547"/>
    <w:rsid w:val="00D36F5B"/>
    <w:rsid w:val="00D37ADD"/>
    <w:rsid w:val="00D37B0A"/>
    <w:rsid w:val="00D37C79"/>
    <w:rsid w:val="00D40E6B"/>
    <w:rsid w:val="00D41E85"/>
    <w:rsid w:val="00D422B0"/>
    <w:rsid w:val="00D425B9"/>
    <w:rsid w:val="00D42DDB"/>
    <w:rsid w:val="00D449FD"/>
    <w:rsid w:val="00D4548B"/>
    <w:rsid w:val="00D45997"/>
    <w:rsid w:val="00D46525"/>
    <w:rsid w:val="00D469C0"/>
    <w:rsid w:val="00D47645"/>
    <w:rsid w:val="00D50408"/>
    <w:rsid w:val="00D50902"/>
    <w:rsid w:val="00D50BDC"/>
    <w:rsid w:val="00D52251"/>
    <w:rsid w:val="00D5262C"/>
    <w:rsid w:val="00D52757"/>
    <w:rsid w:val="00D52A61"/>
    <w:rsid w:val="00D52F55"/>
    <w:rsid w:val="00D52FA1"/>
    <w:rsid w:val="00D5332E"/>
    <w:rsid w:val="00D534B5"/>
    <w:rsid w:val="00D535DB"/>
    <w:rsid w:val="00D53A27"/>
    <w:rsid w:val="00D54236"/>
    <w:rsid w:val="00D56265"/>
    <w:rsid w:val="00D57D86"/>
    <w:rsid w:val="00D57D9E"/>
    <w:rsid w:val="00D6070B"/>
    <w:rsid w:val="00D6118C"/>
    <w:rsid w:val="00D62779"/>
    <w:rsid w:val="00D629EA"/>
    <w:rsid w:val="00D641EB"/>
    <w:rsid w:val="00D64ECB"/>
    <w:rsid w:val="00D653C5"/>
    <w:rsid w:val="00D6567D"/>
    <w:rsid w:val="00D659A1"/>
    <w:rsid w:val="00D65EF1"/>
    <w:rsid w:val="00D66B1F"/>
    <w:rsid w:val="00D67E02"/>
    <w:rsid w:val="00D711D8"/>
    <w:rsid w:val="00D7173B"/>
    <w:rsid w:val="00D7204E"/>
    <w:rsid w:val="00D72257"/>
    <w:rsid w:val="00D728B8"/>
    <w:rsid w:val="00D729D5"/>
    <w:rsid w:val="00D73F03"/>
    <w:rsid w:val="00D741C2"/>
    <w:rsid w:val="00D759F1"/>
    <w:rsid w:val="00D761EE"/>
    <w:rsid w:val="00D76B4E"/>
    <w:rsid w:val="00D77226"/>
    <w:rsid w:val="00D8170D"/>
    <w:rsid w:val="00D81EC8"/>
    <w:rsid w:val="00D84514"/>
    <w:rsid w:val="00D847D0"/>
    <w:rsid w:val="00D84BFD"/>
    <w:rsid w:val="00D84E21"/>
    <w:rsid w:val="00D861CD"/>
    <w:rsid w:val="00D86C17"/>
    <w:rsid w:val="00D872D2"/>
    <w:rsid w:val="00D87357"/>
    <w:rsid w:val="00D90608"/>
    <w:rsid w:val="00D90A53"/>
    <w:rsid w:val="00D920FB"/>
    <w:rsid w:val="00D922F1"/>
    <w:rsid w:val="00D9248A"/>
    <w:rsid w:val="00D9353A"/>
    <w:rsid w:val="00D9375D"/>
    <w:rsid w:val="00D93A38"/>
    <w:rsid w:val="00D94131"/>
    <w:rsid w:val="00D95CF6"/>
    <w:rsid w:val="00D9622C"/>
    <w:rsid w:val="00D9629F"/>
    <w:rsid w:val="00D97542"/>
    <w:rsid w:val="00DA01B2"/>
    <w:rsid w:val="00DA0328"/>
    <w:rsid w:val="00DA0443"/>
    <w:rsid w:val="00DA05B3"/>
    <w:rsid w:val="00DA23FC"/>
    <w:rsid w:val="00DA2589"/>
    <w:rsid w:val="00DA2782"/>
    <w:rsid w:val="00DA2BEF"/>
    <w:rsid w:val="00DA401C"/>
    <w:rsid w:val="00DA427E"/>
    <w:rsid w:val="00DA42A9"/>
    <w:rsid w:val="00DA51D8"/>
    <w:rsid w:val="00DA5232"/>
    <w:rsid w:val="00DA5FD2"/>
    <w:rsid w:val="00DA75DB"/>
    <w:rsid w:val="00DA780C"/>
    <w:rsid w:val="00DA7998"/>
    <w:rsid w:val="00DA7AF8"/>
    <w:rsid w:val="00DA7B97"/>
    <w:rsid w:val="00DB0142"/>
    <w:rsid w:val="00DB01EC"/>
    <w:rsid w:val="00DB0BBB"/>
    <w:rsid w:val="00DB1189"/>
    <w:rsid w:val="00DB1DB6"/>
    <w:rsid w:val="00DB23ED"/>
    <w:rsid w:val="00DB2515"/>
    <w:rsid w:val="00DB275F"/>
    <w:rsid w:val="00DB3727"/>
    <w:rsid w:val="00DB44A6"/>
    <w:rsid w:val="00DB528D"/>
    <w:rsid w:val="00DB5B26"/>
    <w:rsid w:val="00DB5E62"/>
    <w:rsid w:val="00DB6644"/>
    <w:rsid w:val="00DB66DB"/>
    <w:rsid w:val="00DB7327"/>
    <w:rsid w:val="00DB79F8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D5E7E"/>
    <w:rsid w:val="00DD68F8"/>
    <w:rsid w:val="00DE1471"/>
    <w:rsid w:val="00DE189A"/>
    <w:rsid w:val="00DE1BB2"/>
    <w:rsid w:val="00DE2042"/>
    <w:rsid w:val="00DE2194"/>
    <w:rsid w:val="00DE2AB6"/>
    <w:rsid w:val="00DE400F"/>
    <w:rsid w:val="00DE44F7"/>
    <w:rsid w:val="00DE4542"/>
    <w:rsid w:val="00DE4962"/>
    <w:rsid w:val="00DE5B80"/>
    <w:rsid w:val="00DE5DE4"/>
    <w:rsid w:val="00DE6583"/>
    <w:rsid w:val="00DE709F"/>
    <w:rsid w:val="00DE7284"/>
    <w:rsid w:val="00DE7313"/>
    <w:rsid w:val="00DE774A"/>
    <w:rsid w:val="00DF0D66"/>
    <w:rsid w:val="00DF0DB7"/>
    <w:rsid w:val="00DF0E3D"/>
    <w:rsid w:val="00DF1A4B"/>
    <w:rsid w:val="00DF21A4"/>
    <w:rsid w:val="00DF23F1"/>
    <w:rsid w:val="00DF2922"/>
    <w:rsid w:val="00DF3B01"/>
    <w:rsid w:val="00DF43F9"/>
    <w:rsid w:val="00DF458D"/>
    <w:rsid w:val="00DF4A4A"/>
    <w:rsid w:val="00DF519A"/>
    <w:rsid w:val="00DF5E77"/>
    <w:rsid w:val="00DF5FBE"/>
    <w:rsid w:val="00DF61D0"/>
    <w:rsid w:val="00DF6C8A"/>
    <w:rsid w:val="00DF715D"/>
    <w:rsid w:val="00DF76D1"/>
    <w:rsid w:val="00DF7A18"/>
    <w:rsid w:val="00DF7DCC"/>
    <w:rsid w:val="00E0012D"/>
    <w:rsid w:val="00E00326"/>
    <w:rsid w:val="00E00B9C"/>
    <w:rsid w:val="00E014C0"/>
    <w:rsid w:val="00E0152A"/>
    <w:rsid w:val="00E0192D"/>
    <w:rsid w:val="00E01C18"/>
    <w:rsid w:val="00E038D0"/>
    <w:rsid w:val="00E03FB5"/>
    <w:rsid w:val="00E04842"/>
    <w:rsid w:val="00E0496B"/>
    <w:rsid w:val="00E05DB7"/>
    <w:rsid w:val="00E0637B"/>
    <w:rsid w:val="00E06505"/>
    <w:rsid w:val="00E0680E"/>
    <w:rsid w:val="00E06933"/>
    <w:rsid w:val="00E06BAF"/>
    <w:rsid w:val="00E06BC9"/>
    <w:rsid w:val="00E078AE"/>
    <w:rsid w:val="00E101AC"/>
    <w:rsid w:val="00E10EB5"/>
    <w:rsid w:val="00E1223C"/>
    <w:rsid w:val="00E14167"/>
    <w:rsid w:val="00E15335"/>
    <w:rsid w:val="00E1611B"/>
    <w:rsid w:val="00E16312"/>
    <w:rsid w:val="00E16B59"/>
    <w:rsid w:val="00E16FEC"/>
    <w:rsid w:val="00E17D38"/>
    <w:rsid w:val="00E20656"/>
    <w:rsid w:val="00E20780"/>
    <w:rsid w:val="00E218BA"/>
    <w:rsid w:val="00E21A9E"/>
    <w:rsid w:val="00E21DBE"/>
    <w:rsid w:val="00E22683"/>
    <w:rsid w:val="00E232AE"/>
    <w:rsid w:val="00E23372"/>
    <w:rsid w:val="00E238EC"/>
    <w:rsid w:val="00E24A16"/>
    <w:rsid w:val="00E24DEA"/>
    <w:rsid w:val="00E24EE7"/>
    <w:rsid w:val="00E252F0"/>
    <w:rsid w:val="00E25F2A"/>
    <w:rsid w:val="00E2783C"/>
    <w:rsid w:val="00E3003E"/>
    <w:rsid w:val="00E3022B"/>
    <w:rsid w:val="00E306DA"/>
    <w:rsid w:val="00E3124F"/>
    <w:rsid w:val="00E316D9"/>
    <w:rsid w:val="00E32A09"/>
    <w:rsid w:val="00E32E67"/>
    <w:rsid w:val="00E330C5"/>
    <w:rsid w:val="00E33560"/>
    <w:rsid w:val="00E3413B"/>
    <w:rsid w:val="00E347E7"/>
    <w:rsid w:val="00E353E9"/>
    <w:rsid w:val="00E3589F"/>
    <w:rsid w:val="00E35F3B"/>
    <w:rsid w:val="00E36EA9"/>
    <w:rsid w:val="00E40299"/>
    <w:rsid w:val="00E40F41"/>
    <w:rsid w:val="00E41393"/>
    <w:rsid w:val="00E43879"/>
    <w:rsid w:val="00E44044"/>
    <w:rsid w:val="00E441BF"/>
    <w:rsid w:val="00E451DB"/>
    <w:rsid w:val="00E4592C"/>
    <w:rsid w:val="00E47864"/>
    <w:rsid w:val="00E47BD0"/>
    <w:rsid w:val="00E47DAC"/>
    <w:rsid w:val="00E501A6"/>
    <w:rsid w:val="00E501EB"/>
    <w:rsid w:val="00E5076A"/>
    <w:rsid w:val="00E50DBB"/>
    <w:rsid w:val="00E50E83"/>
    <w:rsid w:val="00E51414"/>
    <w:rsid w:val="00E52403"/>
    <w:rsid w:val="00E534FF"/>
    <w:rsid w:val="00E55777"/>
    <w:rsid w:val="00E56B33"/>
    <w:rsid w:val="00E56C37"/>
    <w:rsid w:val="00E60643"/>
    <w:rsid w:val="00E60CD7"/>
    <w:rsid w:val="00E61322"/>
    <w:rsid w:val="00E61F75"/>
    <w:rsid w:val="00E624ED"/>
    <w:rsid w:val="00E636AB"/>
    <w:rsid w:val="00E643C2"/>
    <w:rsid w:val="00E64808"/>
    <w:rsid w:val="00E64C3E"/>
    <w:rsid w:val="00E64E56"/>
    <w:rsid w:val="00E6576C"/>
    <w:rsid w:val="00E65F0D"/>
    <w:rsid w:val="00E666D7"/>
    <w:rsid w:val="00E6756B"/>
    <w:rsid w:val="00E679D3"/>
    <w:rsid w:val="00E70AE1"/>
    <w:rsid w:val="00E70C20"/>
    <w:rsid w:val="00E70D73"/>
    <w:rsid w:val="00E71169"/>
    <w:rsid w:val="00E711F0"/>
    <w:rsid w:val="00E71D09"/>
    <w:rsid w:val="00E7374D"/>
    <w:rsid w:val="00E73D04"/>
    <w:rsid w:val="00E745B4"/>
    <w:rsid w:val="00E7461B"/>
    <w:rsid w:val="00E7484B"/>
    <w:rsid w:val="00E750A5"/>
    <w:rsid w:val="00E761A1"/>
    <w:rsid w:val="00E76BCC"/>
    <w:rsid w:val="00E7793F"/>
    <w:rsid w:val="00E77F8B"/>
    <w:rsid w:val="00E80EAC"/>
    <w:rsid w:val="00E811CA"/>
    <w:rsid w:val="00E81863"/>
    <w:rsid w:val="00E81B68"/>
    <w:rsid w:val="00E81FD0"/>
    <w:rsid w:val="00E823CA"/>
    <w:rsid w:val="00E826FF"/>
    <w:rsid w:val="00E8284D"/>
    <w:rsid w:val="00E82BD9"/>
    <w:rsid w:val="00E83082"/>
    <w:rsid w:val="00E83F2D"/>
    <w:rsid w:val="00E83F55"/>
    <w:rsid w:val="00E841DA"/>
    <w:rsid w:val="00E846ED"/>
    <w:rsid w:val="00E84760"/>
    <w:rsid w:val="00E8476C"/>
    <w:rsid w:val="00E856C5"/>
    <w:rsid w:val="00E86030"/>
    <w:rsid w:val="00E86DD1"/>
    <w:rsid w:val="00E876E4"/>
    <w:rsid w:val="00E90DE0"/>
    <w:rsid w:val="00E928DA"/>
    <w:rsid w:val="00E93D31"/>
    <w:rsid w:val="00E94DEB"/>
    <w:rsid w:val="00E950BB"/>
    <w:rsid w:val="00E95263"/>
    <w:rsid w:val="00E95A51"/>
    <w:rsid w:val="00E96D01"/>
    <w:rsid w:val="00E973CA"/>
    <w:rsid w:val="00E97504"/>
    <w:rsid w:val="00EA04E4"/>
    <w:rsid w:val="00EA0A7C"/>
    <w:rsid w:val="00EA0C40"/>
    <w:rsid w:val="00EA1C34"/>
    <w:rsid w:val="00EA20F1"/>
    <w:rsid w:val="00EA2978"/>
    <w:rsid w:val="00EA2F88"/>
    <w:rsid w:val="00EA3450"/>
    <w:rsid w:val="00EA437D"/>
    <w:rsid w:val="00EA4D9E"/>
    <w:rsid w:val="00EA4EE5"/>
    <w:rsid w:val="00EA5879"/>
    <w:rsid w:val="00EA5895"/>
    <w:rsid w:val="00EA5C4C"/>
    <w:rsid w:val="00EA6ABD"/>
    <w:rsid w:val="00EA7311"/>
    <w:rsid w:val="00EA7784"/>
    <w:rsid w:val="00EA7A80"/>
    <w:rsid w:val="00EB06C3"/>
    <w:rsid w:val="00EB0B3A"/>
    <w:rsid w:val="00EB102E"/>
    <w:rsid w:val="00EB29FE"/>
    <w:rsid w:val="00EB2E1E"/>
    <w:rsid w:val="00EB2F66"/>
    <w:rsid w:val="00EB3012"/>
    <w:rsid w:val="00EB3E72"/>
    <w:rsid w:val="00EB54FC"/>
    <w:rsid w:val="00EB6414"/>
    <w:rsid w:val="00EB643C"/>
    <w:rsid w:val="00EB6C92"/>
    <w:rsid w:val="00EB6E9A"/>
    <w:rsid w:val="00EB718C"/>
    <w:rsid w:val="00EB7472"/>
    <w:rsid w:val="00EB757A"/>
    <w:rsid w:val="00EB7667"/>
    <w:rsid w:val="00EC03AB"/>
    <w:rsid w:val="00EC0BF9"/>
    <w:rsid w:val="00EC12B7"/>
    <w:rsid w:val="00EC2E5B"/>
    <w:rsid w:val="00EC321D"/>
    <w:rsid w:val="00EC3531"/>
    <w:rsid w:val="00EC3FF3"/>
    <w:rsid w:val="00EC438F"/>
    <w:rsid w:val="00EC45EB"/>
    <w:rsid w:val="00EC48D1"/>
    <w:rsid w:val="00EC5A39"/>
    <w:rsid w:val="00EC5E74"/>
    <w:rsid w:val="00EC6532"/>
    <w:rsid w:val="00EC6D5D"/>
    <w:rsid w:val="00EC71CC"/>
    <w:rsid w:val="00EC71E5"/>
    <w:rsid w:val="00EC7404"/>
    <w:rsid w:val="00EC7ECE"/>
    <w:rsid w:val="00ED0A9A"/>
    <w:rsid w:val="00ED13C7"/>
    <w:rsid w:val="00ED1871"/>
    <w:rsid w:val="00ED1A4B"/>
    <w:rsid w:val="00ED1C10"/>
    <w:rsid w:val="00ED1DAC"/>
    <w:rsid w:val="00ED2717"/>
    <w:rsid w:val="00ED2CAF"/>
    <w:rsid w:val="00ED2DAA"/>
    <w:rsid w:val="00ED3218"/>
    <w:rsid w:val="00ED32B8"/>
    <w:rsid w:val="00ED3581"/>
    <w:rsid w:val="00ED3A9B"/>
    <w:rsid w:val="00ED44B0"/>
    <w:rsid w:val="00ED4951"/>
    <w:rsid w:val="00ED6065"/>
    <w:rsid w:val="00ED63EC"/>
    <w:rsid w:val="00ED6A52"/>
    <w:rsid w:val="00ED701C"/>
    <w:rsid w:val="00ED7815"/>
    <w:rsid w:val="00EE03E5"/>
    <w:rsid w:val="00EE05C0"/>
    <w:rsid w:val="00EE0737"/>
    <w:rsid w:val="00EE0CAD"/>
    <w:rsid w:val="00EE206D"/>
    <w:rsid w:val="00EE28AB"/>
    <w:rsid w:val="00EE300F"/>
    <w:rsid w:val="00EE3AAE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23B6"/>
    <w:rsid w:val="00EF3356"/>
    <w:rsid w:val="00EF33BE"/>
    <w:rsid w:val="00EF37FB"/>
    <w:rsid w:val="00EF3FDC"/>
    <w:rsid w:val="00EF40A5"/>
    <w:rsid w:val="00EF4214"/>
    <w:rsid w:val="00EF4EE1"/>
    <w:rsid w:val="00EF57CE"/>
    <w:rsid w:val="00EF5AB2"/>
    <w:rsid w:val="00EF6409"/>
    <w:rsid w:val="00EF658A"/>
    <w:rsid w:val="00EF690E"/>
    <w:rsid w:val="00EF73D4"/>
    <w:rsid w:val="00EF791F"/>
    <w:rsid w:val="00EF7998"/>
    <w:rsid w:val="00EF7A22"/>
    <w:rsid w:val="00EF7CC1"/>
    <w:rsid w:val="00F0086F"/>
    <w:rsid w:val="00F013A4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5AD"/>
    <w:rsid w:val="00F04602"/>
    <w:rsid w:val="00F05BAB"/>
    <w:rsid w:val="00F060B8"/>
    <w:rsid w:val="00F062AB"/>
    <w:rsid w:val="00F0674E"/>
    <w:rsid w:val="00F07CBF"/>
    <w:rsid w:val="00F07E79"/>
    <w:rsid w:val="00F107C8"/>
    <w:rsid w:val="00F10B18"/>
    <w:rsid w:val="00F10C36"/>
    <w:rsid w:val="00F1226D"/>
    <w:rsid w:val="00F126A3"/>
    <w:rsid w:val="00F12763"/>
    <w:rsid w:val="00F133C2"/>
    <w:rsid w:val="00F13AFC"/>
    <w:rsid w:val="00F13EB3"/>
    <w:rsid w:val="00F13F08"/>
    <w:rsid w:val="00F14678"/>
    <w:rsid w:val="00F14CF1"/>
    <w:rsid w:val="00F14F12"/>
    <w:rsid w:val="00F1578B"/>
    <w:rsid w:val="00F15893"/>
    <w:rsid w:val="00F15CBB"/>
    <w:rsid w:val="00F1755B"/>
    <w:rsid w:val="00F20438"/>
    <w:rsid w:val="00F20FEC"/>
    <w:rsid w:val="00F216C6"/>
    <w:rsid w:val="00F229AB"/>
    <w:rsid w:val="00F2334B"/>
    <w:rsid w:val="00F242C4"/>
    <w:rsid w:val="00F2491C"/>
    <w:rsid w:val="00F24E37"/>
    <w:rsid w:val="00F251A9"/>
    <w:rsid w:val="00F2523C"/>
    <w:rsid w:val="00F25282"/>
    <w:rsid w:val="00F2548A"/>
    <w:rsid w:val="00F26123"/>
    <w:rsid w:val="00F26336"/>
    <w:rsid w:val="00F264C3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3763"/>
    <w:rsid w:val="00F441B7"/>
    <w:rsid w:val="00F45495"/>
    <w:rsid w:val="00F46FA3"/>
    <w:rsid w:val="00F477AF"/>
    <w:rsid w:val="00F47B42"/>
    <w:rsid w:val="00F47F8D"/>
    <w:rsid w:val="00F50043"/>
    <w:rsid w:val="00F52A59"/>
    <w:rsid w:val="00F52B30"/>
    <w:rsid w:val="00F52D8B"/>
    <w:rsid w:val="00F53749"/>
    <w:rsid w:val="00F54616"/>
    <w:rsid w:val="00F54942"/>
    <w:rsid w:val="00F54B05"/>
    <w:rsid w:val="00F557C3"/>
    <w:rsid w:val="00F559D1"/>
    <w:rsid w:val="00F5630D"/>
    <w:rsid w:val="00F56708"/>
    <w:rsid w:val="00F56712"/>
    <w:rsid w:val="00F56EA2"/>
    <w:rsid w:val="00F56F50"/>
    <w:rsid w:val="00F57AFD"/>
    <w:rsid w:val="00F57CC9"/>
    <w:rsid w:val="00F57EC4"/>
    <w:rsid w:val="00F60285"/>
    <w:rsid w:val="00F6029F"/>
    <w:rsid w:val="00F618C5"/>
    <w:rsid w:val="00F63232"/>
    <w:rsid w:val="00F63C24"/>
    <w:rsid w:val="00F63DFE"/>
    <w:rsid w:val="00F641BE"/>
    <w:rsid w:val="00F65334"/>
    <w:rsid w:val="00F65B68"/>
    <w:rsid w:val="00F65BAD"/>
    <w:rsid w:val="00F6615F"/>
    <w:rsid w:val="00F67157"/>
    <w:rsid w:val="00F6780B"/>
    <w:rsid w:val="00F67B77"/>
    <w:rsid w:val="00F710A0"/>
    <w:rsid w:val="00F71216"/>
    <w:rsid w:val="00F71757"/>
    <w:rsid w:val="00F71ABB"/>
    <w:rsid w:val="00F723CD"/>
    <w:rsid w:val="00F72B96"/>
    <w:rsid w:val="00F72BB7"/>
    <w:rsid w:val="00F72CD7"/>
    <w:rsid w:val="00F72E25"/>
    <w:rsid w:val="00F734B3"/>
    <w:rsid w:val="00F735B8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59AE"/>
    <w:rsid w:val="00F762FA"/>
    <w:rsid w:val="00F76551"/>
    <w:rsid w:val="00F771D5"/>
    <w:rsid w:val="00F7725C"/>
    <w:rsid w:val="00F77D60"/>
    <w:rsid w:val="00F803C0"/>
    <w:rsid w:val="00F80489"/>
    <w:rsid w:val="00F817A0"/>
    <w:rsid w:val="00F82A8E"/>
    <w:rsid w:val="00F82E95"/>
    <w:rsid w:val="00F83456"/>
    <w:rsid w:val="00F83628"/>
    <w:rsid w:val="00F83875"/>
    <w:rsid w:val="00F83D7F"/>
    <w:rsid w:val="00F843D3"/>
    <w:rsid w:val="00F847A5"/>
    <w:rsid w:val="00F84D77"/>
    <w:rsid w:val="00F866AD"/>
    <w:rsid w:val="00F87171"/>
    <w:rsid w:val="00F87DAF"/>
    <w:rsid w:val="00F87E05"/>
    <w:rsid w:val="00F87FA1"/>
    <w:rsid w:val="00F91080"/>
    <w:rsid w:val="00F92D19"/>
    <w:rsid w:val="00F930B6"/>
    <w:rsid w:val="00F9384D"/>
    <w:rsid w:val="00F94A2A"/>
    <w:rsid w:val="00F956E6"/>
    <w:rsid w:val="00F96407"/>
    <w:rsid w:val="00F966DF"/>
    <w:rsid w:val="00F96874"/>
    <w:rsid w:val="00F9704E"/>
    <w:rsid w:val="00F97721"/>
    <w:rsid w:val="00F97CD4"/>
    <w:rsid w:val="00FA023A"/>
    <w:rsid w:val="00FA0DE0"/>
    <w:rsid w:val="00FA15FD"/>
    <w:rsid w:val="00FA34D5"/>
    <w:rsid w:val="00FA3896"/>
    <w:rsid w:val="00FA4994"/>
    <w:rsid w:val="00FA5199"/>
    <w:rsid w:val="00FA5E8A"/>
    <w:rsid w:val="00FA6BB1"/>
    <w:rsid w:val="00FA6FD7"/>
    <w:rsid w:val="00FA7508"/>
    <w:rsid w:val="00FA7EDB"/>
    <w:rsid w:val="00FB0E34"/>
    <w:rsid w:val="00FB0EAF"/>
    <w:rsid w:val="00FB2DE2"/>
    <w:rsid w:val="00FB4389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1028"/>
    <w:rsid w:val="00FC315C"/>
    <w:rsid w:val="00FC3EDF"/>
    <w:rsid w:val="00FC4453"/>
    <w:rsid w:val="00FC4679"/>
    <w:rsid w:val="00FC4981"/>
    <w:rsid w:val="00FC6653"/>
    <w:rsid w:val="00FD008B"/>
    <w:rsid w:val="00FD0C3C"/>
    <w:rsid w:val="00FD0E12"/>
    <w:rsid w:val="00FD140C"/>
    <w:rsid w:val="00FD1762"/>
    <w:rsid w:val="00FD2000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E015D"/>
    <w:rsid w:val="00FE023F"/>
    <w:rsid w:val="00FE0E7A"/>
    <w:rsid w:val="00FE190B"/>
    <w:rsid w:val="00FE1F47"/>
    <w:rsid w:val="00FE218F"/>
    <w:rsid w:val="00FE2DDD"/>
    <w:rsid w:val="00FE3C3F"/>
    <w:rsid w:val="00FE3D8E"/>
    <w:rsid w:val="00FE3F3A"/>
    <w:rsid w:val="00FE4629"/>
    <w:rsid w:val="00FE490F"/>
    <w:rsid w:val="00FE517A"/>
    <w:rsid w:val="00FE5F1E"/>
    <w:rsid w:val="00FE6954"/>
    <w:rsid w:val="00FE6A6E"/>
    <w:rsid w:val="00FE6B87"/>
    <w:rsid w:val="00FF2154"/>
    <w:rsid w:val="00FF2716"/>
    <w:rsid w:val="00FF32F9"/>
    <w:rsid w:val="00FF340F"/>
    <w:rsid w:val="00FF344D"/>
    <w:rsid w:val="00FF554B"/>
    <w:rsid w:val="00FF5DE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AC5C-E535-4DBF-8B67-3BF7B6F12FEB}"/>
</file>

<file path=customXml/itemProps2.xml><?xml version="1.0" encoding="utf-8"?>
<ds:datastoreItem xmlns:ds="http://schemas.openxmlformats.org/officeDocument/2006/customXml" ds:itemID="{33424813-BCAE-4070-A402-708FD548160A}"/>
</file>

<file path=customXml/itemProps3.xml><?xml version="1.0" encoding="utf-8"?>
<ds:datastoreItem xmlns:ds="http://schemas.openxmlformats.org/officeDocument/2006/customXml" ds:itemID="{5D7E050D-00C3-4B6B-9F5D-419DD3B7F70B}"/>
</file>

<file path=customXml/itemProps4.xml><?xml version="1.0" encoding="utf-8"?>
<ds:datastoreItem xmlns:ds="http://schemas.openxmlformats.org/officeDocument/2006/customXml" ds:itemID="{2B46DEC1-C94E-4241-81BF-AB22F1B22E10}"/>
</file>

<file path=customXml/itemProps5.xml><?xml version="1.0" encoding="utf-8"?>
<ds:datastoreItem xmlns:ds="http://schemas.openxmlformats.org/officeDocument/2006/customXml" ds:itemID="{26D5EEF6-8AE1-42C4-968B-F873C39FD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4155</Words>
  <Characters>24516</Characters>
  <Application>Microsoft Office Word</Application>
  <DocSecurity>0</DocSecurity>
  <Lines>204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12/27</dc:title>
  <dc:creator>HLUSICKOVA</dc:creator>
  <cp:lastModifiedBy>GREŠOVÁ Romana</cp:lastModifiedBy>
  <cp:revision>2</cp:revision>
  <cp:lastPrinted>2013-07-29T10:33:00Z</cp:lastPrinted>
  <dcterms:created xsi:type="dcterms:W3CDTF">2013-08-09T10:05:00Z</dcterms:created>
  <dcterms:modified xsi:type="dcterms:W3CDTF">2013-08-09T10:05:00Z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12/27-NKU30/439/13</vt:lpwstr>
  </property>
  <property fmtid="{D5CDD505-2E9C-101B-9397-08002B2CF9AE}" pid="3" name="SZ_Spis_Pisemnost">
    <vt:lpwstr>12/27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*B000183046*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13-9786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/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/>
  </property>
  <property fmtid="{D5CDD505-2E9C-101B-9397-08002B2CF9AE}" pid="20" name="DatumPoriz_Pisemnost">
    <vt:lpwstr>26.6.2013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Romana Grešová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