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1F" w:rsidRPr="003E52AE" w:rsidRDefault="00EB68AF" w:rsidP="008908A8">
      <w:pPr>
        <w:jc w:val="center"/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noProof/>
          <w:sz w:val="22"/>
          <w:lang w:eastAsia="cs-CZ"/>
        </w:rPr>
        <w:drawing>
          <wp:anchor distT="0" distB="0" distL="114300" distR="114300" simplePos="0" relativeHeight="251657728" behindDoc="0" locked="0" layoutInCell="1" allowOverlap="1" wp14:anchorId="010D4880" wp14:editId="75A303E7">
            <wp:simplePos x="0" y="0"/>
            <wp:positionH relativeFrom="column">
              <wp:posOffset>2523490</wp:posOffset>
            </wp:positionH>
            <wp:positionV relativeFrom="paragraph">
              <wp:posOffset>-267970</wp:posOffset>
            </wp:positionV>
            <wp:extent cx="791210" cy="559435"/>
            <wp:effectExtent l="0" t="0" r="889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1F" w:rsidRPr="003E52AE" w:rsidRDefault="005D3E1F" w:rsidP="008908A8">
      <w:pPr>
        <w:jc w:val="center"/>
        <w:rPr>
          <w:rFonts w:ascii="Arial" w:hAnsi="Arial" w:cs="Arial"/>
          <w:b/>
          <w:sz w:val="22"/>
        </w:rPr>
      </w:pPr>
    </w:p>
    <w:p w:rsidR="005D3E1F" w:rsidRPr="003E52AE" w:rsidRDefault="005D3E1F" w:rsidP="008908A8">
      <w:pPr>
        <w:jc w:val="center"/>
        <w:rPr>
          <w:rFonts w:ascii="Arial" w:hAnsi="Arial" w:cs="Arial"/>
          <w:b/>
          <w:sz w:val="22"/>
        </w:rPr>
      </w:pPr>
    </w:p>
    <w:p w:rsidR="005D3E1F" w:rsidRPr="003E52AE" w:rsidRDefault="005D3E1F" w:rsidP="008908A8">
      <w:pPr>
        <w:jc w:val="center"/>
        <w:rPr>
          <w:rFonts w:ascii="Arial" w:hAnsi="Arial" w:cs="Arial"/>
          <w:b/>
          <w:sz w:val="28"/>
          <w:szCs w:val="28"/>
        </w:rPr>
      </w:pPr>
      <w:r w:rsidRPr="003E52AE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8908A8" w:rsidRPr="003E52AE" w:rsidRDefault="008908A8" w:rsidP="008908A8">
      <w:pPr>
        <w:jc w:val="center"/>
        <w:rPr>
          <w:rFonts w:ascii="Arial" w:hAnsi="Arial" w:cs="Arial"/>
          <w:b/>
          <w:sz w:val="22"/>
        </w:rPr>
      </w:pPr>
    </w:p>
    <w:p w:rsidR="005D3E1F" w:rsidRPr="003E52AE" w:rsidRDefault="005D3E1F" w:rsidP="008908A8">
      <w:pPr>
        <w:jc w:val="center"/>
        <w:rPr>
          <w:rFonts w:ascii="Arial" w:hAnsi="Arial" w:cs="Arial"/>
          <w:b/>
          <w:sz w:val="28"/>
          <w:szCs w:val="28"/>
        </w:rPr>
      </w:pPr>
      <w:r w:rsidRPr="003E52AE">
        <w:rPr>
          <w:rFonts w:ascii="Arial" w:hAnsi="Arial" w:cs="Arial"/>
          <w:b/>
          <w:sz w:val="28"/>
          <w:szCs w:val="28"/>
        </w:rPr>
        <w:t>12/</w:t>
      </w:r>
      <w:r w:rsidR="00EB7254" w:rsidRPr="003E52AE">
        <w:rPr>
          <w:rFonts w:ascii="Arial" w:hAnsi="Arial" w:cs="Arial"/>
          <w:b/>
          <w:sz w:val="28"/>
          <w:szCs w:val="28"/>
        </w:rPr>
        <w:t>36</w:t>
      </w:r>
    </w:p>
    <w:p w:rsidR="008908A8" w:rsidRPr="003E52AE" w:rsidRDefault="008908A8" w:rsidP="008908A8">
      <w:pPr>
        <w:jc w:val="center"/>
        <w:rPr>
          <w:rFonts w:ascii="Arial" w:hAnsi="Arial" w:cs="Arial"/>
          <w:b/>
          <w:sz w:val="22"/>
        </w:rPr>
      </w:pPr>
    </w:p>
    <w:p w:rsidR="008917A7" w:rsidRPr="003E52AE" w:rsidRDefault="008917A7" w:rsidP="008908A8">
      <w:pPr>
        <w:jc w:val="center"/>
        <w:rPr>
          <w:rFonts w:ascii="Arial" w:hAnsi="Arial" w:cs="Arial"/>
          <w:b/>
          <w:sz w:val="28"/>
          <w:szCs w:val="28"/>
        </w:rPr>
      </w:pPr>
      <w:r w:rsidRPr="003E52AE">
        <w:rPr>
          <w:rFonts w:ascii="Arial" w:hAnsi="Arial" w:cs="Arial"/>
          <w:b/>
          <w:sz w:val="28"/>
          <w:szCs w:val="28"/>
        </w:rPr>
        <w:t>Peněžní prostředky použité na pořízení a provoz systému datových schránek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Kontrolní akce byla zařazena do plánu kontrolní činnosti Nejvyššího kontrolního úřadu (dále též „NKÚ“) na</w:t>
      </w:r>
      <w:r w:rsidR="008917A7" w:rsidRPr="003E52AE">
        <w:rPr>
          <w:rFonts w:ascii="Arial" w:hAnsi="Arial" w:cs="Arial"/>
          <w:sz w:val="22"/>
        </w:rPr>
        <w:t xml:space="preserve"> rok 2012 pod číslem 12/36</w:t>
      </w:r>
      <w:r w:rsidRPr="003E52AE">
        <w:rPr>
          <w:rFonts w:ascii="Arial" w:hAnsi="Arial" w:cs="Arial"/>
          <w:sz w:val="22"/>
        </w:rPr>
        <w:t xml:space="preserve">. Kontrolní akci řídil a kontrolní závěr vypracoval člen NKÚ Ing. Zdeněk </w:t>
      </w:r>
      <w:proofErr w:type="spellStart"/>
      <w:r w:rsidRPr="003E52AE">
        <w:rPr>
          <w:rFonts w:ascii="Arial" w:hAnsi="Arial" w:cs="Arial"/>
          <w:sz w:val="22"/>
        </w:rPr>
        <w:t>Brandt</w:t>
      </w:r>
      <w:proofErr w:type="spellEnd"/>
      <w:r w:rsidRPr="003E52AE">
        <w:rPr>
          <w:rFonts w:ascii="Arial" w:hAnsi="Arial" w:cs="Arial"/>
          <w:sz w:val="22"/>
        </w:rPr>
        <w:t>.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</w:p>
    <w:p w:rsidR="008917A7" w:rsidRPr="003E52AE" w:rsidRDefault="008917A7" w:rsidP="008908A8">
      <w:pPr>
        <w:rPr>
          <w:rFonts w:ascii="Arial" w:eastAsia="Calibri" w:hAnsi="Arial" w:cs="Arial"/>
          <w:sz w:val="22"/>
        </w:rPr>
      </w:pPr>
      <w:r w:rsidRPr="003E52AE">
        <w:rPr>
          <w:rFonts w:ascii="Arial" w:eastAsia="Calibri" w:hAnsi="Arial" w:cs="Arial"/>
          <w:sz w:val="22"/>
        </w:rPr>
        <w:t>Cílem kontroly bylo prověřit hospodaření s peněžními</w:t>
      </w:r>
      <w:r w:rsidR="00442F50" w:rsidRPr="003E52AE">
        <w:rPr>
          <w:rFonts w:ascii="Arial" w:eastAsia="Calibri" w:hAnsi="Arial" w:cs="Arial"/>
          <w:sz w:val="22"/>
        </w:rPr>
        <w:t xml:space="preserve"> prostředky státního rozpočtu a </w:t>
      </w:r>
      <w:r w:rsidRPr="003E52AE">
        <w:rPr>
          <w:rFonts w:ascii="Arial" w:eastAsia="Calibri" w:hAnsi="Arial" w:cs="Arial"/>
          <w:sz w:val="22"/>
        </w:rPr>
        <w:t>Evropské unie vynaloženými na pořízení a provoz systému datových schránek, včetně vyhodnocení přínosů jeho zavedení.</w:t>
      </w:r>
    </w:p>
    <w:p w:rsidR="00442F50" w:rsidRPr="003E52AE" w:rsidRDefault="00442F50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Kontrola byla prováděna </w:t>
      </w:r>
      <w:r w:rsidR="0055678B" w:rsidRPr="003E52AE">
        <w:rPr>
          <w:rFonts w:ascii="Arial" w:hAnsi="Arial" w:cs="Arial"/>
          <w:sz w:val="22"/>
        </w:rPr>
        <w:t>v </w:t>
      </w:r>
      <w:r w:rsidRPr="003E52AE">
        <w:rPr>
          <w:rFonts w:ascii="Arial" w:hAnsi="Arial" w:cs="Arial"/>
          <w:sz w:val="22"/>
        </w:rPr>
        <w:t xml:space="preserve">době od </w:t>
      </w:r>
      <w:r w:rsidR="008917A7" w:rsidRPr="003E52AE">
        <w:rPr>
          <w:rFonts w:ascii="Arial" w:hAnsi="Arial" w:cs="Arial"/>
          <w:sz w:val="22"/>
        </w:rPr>
        <w:t>prosince 2012 do května</w:t>
      </w:r>
      <w:r w:rsidR="00791B7B" w:rsidRPr="003E52AE">
        <w:rPr>
          <w:rFonts w:ascii="Arial" w:hAnsi="Arial" w:cs="Arial"/>
          <w:sz w:val="22"/>
        </w:rPr>
        <w:t xml:space="preserve"> </w:t>
      </w:r>
      <w:r w:rsidR="008917A7" w:rsidRPr="003E52AE">
        <w:rPr>
          <w:rFonts w:ascii="Arial" w:hAnsi="Arial" w:cs="Arial"/>
          <w:sz w:val="22"/>
        </w:rPr>
        <w:t>2013</w:t>
      </w:r>
      <w:r w:rsidRPr="003E52AE">
        <w:rPr>
          <w:rFonts w:ascii="Arial" w:hAnsi="Arial" w:cs="Arial"/>
          <w:sz w:val="22"/>
        </w:rPr>
        <w:t>.</w:t>
      </w:r>
    </w:p>
    <w:p w:rsidR="00442F50" w:rsidRPr="003E52AE" w:rsidRDefault="00442F50" w:rsidP="008908A8">
      <w:pPr>
        <w:rPr>
          <w:rFonts w:ascii="Arial" w:hAnsi="Arial" w:cs="Arial"/>
          <w:sz w:val="22"/>
        </w:rPr>
      </w:pPr>
    </w:p>
    <w:p w:rsidR="008917A7" w:rsidRPr="003E52AE" w:rsidRDefault="008917A7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Kontrolovaným obdobím byly roky 2008 až 2012, v případě věcných souvislostí i období předcházející či následující.</w:t>
      </w:r>
    </w:p>
    <w:p w:rsidR="00442F50" w:rsidRPr="003E52AE" w:rsidRDefault="00442F50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Kontrolované osoby: </w:t>
      </w:r>
    </w:p>
    <w:p w:rsidR="00AF17A5" w:rsidRPr="003E52AE" w:rsidRDefault="008917A7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Ministerstvo vnitra</w:t>
      </w:r>
      <w:r w:rsidR="00AF17A5" w:rsidRPr="003E52AE">
        <w:rPr>
          <w:rFonts w:ascii="Arial" w:hAnsi="Arial" w:cs="Arial"/>
          <w:sz w:val="22"/>
        </w:rPr>
        <w:t>;</w:t>
      </w:r>
      <w:r w:rsidRPr="003E52AE">
        <w:rPr>
          <w:rFonts w:ascii="Arial" w:hAnsi="Arial" w:cs="Arial"/>
          <w:sz w:val="22"/>
        </w:rPr>
        <w:t xml:space="preserve"> </w:t>
      </w:r>
    </w:p>
    <w:p w:rsidR="005D3E1F" w:rsidRPr="003E52AE" w:rsidRDefault="008917A7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Česká pošta</w:t>
      </w:r>
      <w:r w:rsidR="000B10DD" w:rsidRPr="003E52AE">
        <w:rPr>
          <w:rFonts w:ascii="Arial" w:hAnsi="Arial" w:cs="Arial"/>
          <w:sz w:val="22"/>
        </w:rPr>
        <w:t>,</w:t>
      </w:r>
      <w:r w:rsidRPr="003E52AE">
        <w:rPr>
          <w:rFonts w:ascii="Arial" w:hAnsi="Arial" w:cs="Arial"/>
          <w:sz w:val="22"/>
        </w:rPr>
        <w:t xml:space="preserve"> s.</w:t>
      </w:r>
      <w:r w:rsidR="00995D10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p.</w:t>
      </w:r>
    </w:p>
    <w:p w:rsidR="00442F50" w:rsidRPr="003E52AE" w:rsidRDefault="00442F50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Námitky proti kon</w:t>
      </w:r>
      <w:r w:rsidR="00545760" w:rsidRPr="003E52AE">
        <w:rPr>
          <w:rFonts w:ascii="Arial" w:hAnsi="Arial" w:cs="Arial"/>
          <w:sz w:val="22"/>
        </w:rPr>
        <w:t>trolnímu protokolu, které podalo</w:t>
      </w:r>
      <w:r w:rsidRPr="003E52AE">
        <w:rPr>
          <w:rFonts w:ascii="Arial" w:hAnsi="Arial" w:cs="Arial"/>
          <w:sz w:val="22"/>
        </w:rPr>
        <w:t xml:space="preserve"> </w:t>
      </w:r>
      <w:r w:rsidR="00545760" w:rsidRPr="003E52AE">
        <w:rPr>
          <w:rFonts w:ascii="Arial" w:hAnsi="Arial" w:cs="Arial"/>
          <w:sz w:val="22"/>
        </w:rPr>
        <w:t>Ministerstvo vnitra</w:t>
      </w:r>
      <w:r w:rsidRPr="003E52AE">
        <w:rPr>
          <w:rFonts w:ascii="Arial" w:hAnsi="Arial" w:cs="Arial"/>
          <w:sz w:val="22"/>
        </w:rPr>
        <w:t>, byly vypořádány vedoucím skupiny kontrolujících rozhodnutím o</w:t>
      </w:r>
      <w:r w:rsidR="00AD7533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námitkách.</w:t>
      </w:r>
    </w:p>
    <w:p w:rsidR="005710A1" w:rsidRPr="003E52AE" w:rsidRDefault="005710A1" w:rsidP="008908A8">
      <w:pPr>
        <w:rPr>
          <w:rFonts w:ascii="Arial" w:hAnsi="Arial" w:cs="Arial"/>
          <w:b/>
          <w:i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  <w:proofErr w:type="gramStart"/>
      <w:r w:rsidRPr="003E52AE">
        <w:rPr>
          <w:rFonts w:ascii="Arial" w:hAnsi="Arial" w:cs="Arial"/>
          <w:b/>
          <w:i/>
          <w:sz w:val="22"/>
        </w:rPr>
        <w:t>K o l e g i u m   N K Ú</w:t>
      </w:r>
      <w:r w:rsidRPr="003E52AE">
        <w:rPr>
          <w:rFonts w:ascii="Arial" w:hAnsi="Arial" w:cs="Arial"/>
          <w:sz w:val="22"/>
        </w:rPr>
        <w:t xml:space="preserve">   na</w:t>
      </w:r>
      <w:proofErr w:type="gramEnd"/>
      <w:r w:rsidRPr="003E52AE">
        <w:rPr>
          <w:rFonts w:ascii="Arial" w:hAnsi="Arial" w:cs="Arial"/>
          <w:sz w:val="22"/>
        </w:rPr>
        <w:t xml:space="preserve"> svém</w:t>
      </w:r>
      <w:r w:rsidR="00A43B3F" w:rsidRPr="003E52AE">
        <w:rPr>
          <w:rFonts w:ascii="Arial" w:hAnsi="Arial" w:cs="Arial"/>
          <w:sz w:val="22"/>
        </w:rPr>
        <w:t xml:space="preserve"> </w:t>
      </w:r>
      <w:r w:rsidR="0033711E" w:rsidRPr="003E52AE">
        <w:rPr>
          <w:rFonts w:ascii="Arial" w:hAnsi="Arial" w:cs="Arial"/>
          <w:sz w:val="22"/>
        </w:rPr>
        <w:t>XI</w:t>
      </w:r>
      <w:r w:rsidR="00963934" w:rsidRPr="003E52AE">
        <w:rPr>
          <w:rFonts w:ascii="Arial" w:hAnsi="Arial" w:cs="Arial"/>
          <w:sz w:val="22"/>
        </w:rPr>
        <w:t>V</w:t>
      </w:r>
      <w:r w:rsidR="0033711E" w:rsidRPr="003E52AE">
        <w:rPr>
          <w:rFonts w:ascii="Arial" w:hAnsi="Arial" w:cs="Arial"/>
          <w:sz w:val="22"/>
        </w:rPr>
        <w:t xml:space="preserve">. </w:t>
      </w:r>
      <w:r w:rsidRPr="003E52AE">
        <w:rPr>
          <w:rFonts w:ascii="Arial" w:hAnsi="Arial" w:cs="Arial"/>
          <w:sz w:val="22"/>
        </w:rPr>
        <w:t>zasedání, konaném dne</w:t>
      </w:r>
      <w:r w:rsidR="0033711E" w:rsidRPr="003E52AE">
        <w:rPr>
          <w:rFonts w:ascii="Arial" w:hAnsi="Arial" w:cs="Arial"/>
          <w:sz w:val="22"/>
        </w:rPr>
        <w:t xml:space="preserve"> </w:t>
      </w:r>
      <w:r w:rsidR="00963934" w:rsidRPr="003E52AE">
        <w:rPr>
          <w:rFonts w:ascii="Arial" w:hAnsi="Arial" w:cs="Arial"/>
          <w:sz w:val="22"/>
        </w:rPr>
        <w:t>26</w:t>
      </w:r>
      <w:r w:rsidR="0033711E" w:rsidRPr="003E52AE">
        <w:rPr>
          <w:rFonts w:ascii="Arial" w:hAnsi="Arial" w:cs="Arial"/>
          <w:sz w:val="22"/>
        </w:rPr>
        <w:t xml:space="preserve">. </w:t>
      </w:r>
      <w:r w:rsidR="00963934" w:rsidRPr="003E52AE">
        <w:rPr>
          <w:rFonts w:ascii="Arial" w:hAnsi="Arial" w:cs="Arial"/>
          <w:sz w:val="22"/>
        </w:rPr>
        <w:t>srpna</w:t>
      </w:r>
      <w:r w:rsidR="0033711E" w:rsidRPr="003E52AE">
        <w:rPr>
          <w:rFonts w:ascii="Arial" w:hAnsi="Arial" w:cs="Arial"/>
          <w:sz w:val="22"/>
        </w:rPr>
        <w:t xml:space="preserve"> 2013</w:t>
      </w:r>
      <w:r w:rsidRPr="003E52AE">
        <w:rPr>
          <w:rFonts w:ascii="Arial" w:hAnsi="Arial" w:cs="Arial"/>
          <w:sz w:val="22"/>
        </w:rPr>
        <w:t>,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  <w:proofErr w:type="gramStart"/>
      <w:r w:rsidRPr="003E52AE">
        <w:rPr>
          <w:rFonts w:ascii="Arial" w:hAnsi="Arial" w:cs="Arial"/>
          <w:b/>
          <w:i/>
          <w:sz w:val="22"/>
        </w:rPr>
        <w:t>s c h v á l i l o</w:t>
      </w:r>
      <w:r w:rsidRPr="003E52AE">
        <w:rPr>
          <w:rFonts w:ascii="Arial" w:hAnsi="Arial" w:cs="Arial"/>
          <w:sz w:val="22"/>
        </w:rPr>
        <w:t xml:space="preserve">   usnesením č.</w:t>
      </w:r>
      <w:proofErr w:type="gramEnd"/>
      <w:r w:rsidRPr="003E52AE">
        <w:rPr>
          <w:rFonts w:ascii="Arial" w:hAnsi="Arial" w:cs="Arial"/>
          <w:sz w:val="22"/>
        </w:rPr>
        <w:t xml:space="preserve"> </w:t>
      </w:r>
      <w:r w:rsidR="007B2029" w:rsidRPr="003E52AE">
        <w:rPr>
          <w:rFonts w:ascii="Arial" w:hAnsi="Arial" w:cs="Arial"/>
          <w:sz w:val="22"/>
        </w:rPr>
        <w:t>5</w:t>
      </w:r>
      <w:r w:rsidR="0033711E" w:rsidRPr="003E52AE">
        <w:rPr>
          <w:rFonts w:ascii="Arial" w:hAnsi="Arial" w:cs="Arial"/>
          <w:sz w:val="22"/>
        </w:rPr>
        <w:t>/XI</w:t>
      </w:r>
      <w:r w:rsidR="00963934" w:rsidRPr="003E52AE">
        <w:rPr>
          <w:rFonts w:ascii="Arial" w:hAnsi="Arial" w:cs="Arial"/>
          <w:sz w:val="22"/>
        </w:rPr>
        <w:t>V</w:t>
      </w:r>
      <w:r w:rsidR="00545760" w:rsidRPr="003E52AE">
        <w:rPr>
          <w:rFonts w:ascii="Arial" w:hAnsi="Arial" w:cs="Arial"/>
          <w:sz w:val="22"/>
        </w:rPr>
        <w:t>/</w:t>
      </w:r>
      <w:r w:rsidR="00F02FB6" w:rsidRPr="003E52AE">
        <w:rPr>
          <w:rFonts w:ascii="Arial" w:hAnsi="Arial" w:cs="Arial"/>
          <w:sz w:val="22"/>
        </w:rPr>
        <w:t>2</w:t>
      </w:r>
      <w:r w:rsidR="00545760" w:rsidRPr="003E52AE">
        <w:rPr>
          <w:rFonts w:ascii="Arial" w:hAnsi="Arial" w:cs="Arial"/>
          <w:sz w:val="22"/>
        </w:rPr>
        <w:t>01</w:t>
      </w:r>
      <w:r w:rsidR="00F02FB6" w:rsidRPr="003E52AE">
        <w:rPr>
          <w:rFonts w:ascii="Arial" w:hAnsi="Arial" w:cs="Arial"/>
          <w:sz w:val="22"/>
        </w:rPr>
        <w:t>3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  <w:proofErr w:type="gramStart"/>
      <w:r w:rsidRPr="003E52AE">
        <w:rPr>
          <w:rFonts w:ascii="Arial" w:hAnsi="Arial" w:cs="Arial"/>
          <w:b/>
          <w:i/>
          <w:sz w:val="22"/>
        </w:rPr>
        <w:t>k o n t r o l n í</w:t>
      </w:r>
      <w:r w:rsidRPr="003E52AE">
        <w:rPr>
          <w:rFonts w:ascii="Arial" w:hAnsi="Arial" w:cs="Arial"/>
          <w:sz w:val="22"/>
        </w:rPr>
        <w:t xml:space="preserve">   </w:t>
      </w:r>
      <w:r w:rsidRPr="003E52AE">
        <w:rPr>
          <w:rFonts w:ascii="Arial" w:hAnsi="Arial" w:cs="Arial"/>
          <w:b/>
          <w:i/>
          <w:sz w:val="22"/>
        </w:rPr>
        <w:t>z á v ě r</w:t>
      </w:r>
      <w:r w:rsidRPr="003E52AE">
        <w:rPr>
          <w:rFonts w:ascii="Arial" w:hAnsi="Arial" w:cs="Arial"/>
          <w:sz w:val="22"/>
        </w:rPr>
        <w:t xml:space="preserve">   </w:t>
      </w:r>
      <w:r w:rsidR="0055678B" w:rsidRPr="003E52AE">
        <w:rPr>
          <w:rFonts w:ascii="Arial" w:hAnsi="Arial" w:cs="Arial"/>
          <w:sz w:val="22"/>
        </w:rPr>
        <w:t>v </w:t>
      </w:r>
      <w:r w:rsidRPr="003E52AE">
        <w:rPr>
          <w:rFonts w:ascii="Arial" w:hAnsi="Arial" w:cs="Arial"/>
          <w:sz w:val="22"/>
        </w:rPr>
        <w:t>tomto</w:t>
      </w:r>
      <w:proofErr w:type="gramEnd"/>
      <w:r w:rsidRPr="003E52AE">
        <w:rPr>
          <w:rFonts w:ascii="Arial" w:hAnsi="Arial" w:cs="Arial"/>
          <w:sz w:val="22"/>
        </w:rPr>
        <w:t xml:space="preserve"> znění:</w:t>
      </w:r>
    </w:p>
    <w:p w:rsidR="004B3194" w:rsidRPr="003E52AE" w:rsidRDefault="004B3194" w:rsidP="008908A8">
      <w:pPr>
        <w:rPr>
          <w:rFonts w:ascii="Arial" w:hAnsi="Arial" w:cs="Arial"/>
          <w:b/>
          <w:sz w:val="22"/>
        </w:rPr>
      </w:pPr>
    </w:p>
    <w:p w:rsidR="00CA7452" w:rsidRPr="003E52AE" w:rsidRDefault="00CA7452" w:rsidP="008908A8">
      <w:pPr>
        <w:rPr>
          <w:rFonts w:ascii="Arial" w:hAnsi="Arial" w:cs="Arial"/>
          <w:b/>
          <w:sz w:val="22"/>
        </w:rPr>
      </w:pPr>
    </w:p>
    <w:p w:rsidR="005D3E1F" w:rsidRPr="003E52AE" w:rsidRDefault="005D3E1F" w:rsidP="005D3E1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3E52AE">
        <w:rPr>
          <w:rFonts w:ascii="Arial" w:hAnsi="Arial" w:cs="Arial"/>
          <w:b/>
          <w:szCs w:val="24"/>
        </w:rPr>
        <w:t xml:space="preserve">I. </w:t>
      </w:r>
      <w:r w:rsidR="00AE5435" w:rsidRPr="003E52AE">
        <w:rPr>
          <w:rFonts w:ascii="Arial" w:hAnsi="Arial" w:cs="Arial"/>
          <w:b/>
          <w:szCs w:val="24"/>
        </w:rPr>
        <w:t>Ú</w:t>
      </w:r>
      <w:r w:rsidRPr="003E52AE">
        <w:rPr>
          <w:rFonts w:ascii="Arial" w:hAnsi="Arial" w:cs="Arial"/>
          <w:b/>
          <w:szCs w:val="24"/>
        </w:rPr>
        <w:t>vod</w:t>
      </w:r>
    </w:p>
    <w:p w:rsidR="004B3194" w:rsidRPr="003E52AE" w:rsidRDefault="004B3194" w:rsidP="008908A8">
      <w:pPr>
        <w:rPr>
          <w:rFonts w:ascii="Arial" w:hAnsi="Arial" w:cs="Arial"/>
          <w:sz w:val="22"/>
        </w:rPr>
      </w:pPr>
    </w:p>
    <w:p w:rsidR="00AD3284" w:rsidRPr="003E52AE" w:rsidRDefault="00205FCF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bCs/>
          <w:sz w:val="22"/>
        </w:rPr>
        <w:t>Ministerstvo vnitra</w:t>
      </w:r>
      <w:r w:rsidRPr="003E52AE">
        <w:rPr>
          <w:rFonts w:ascii="Arial" w:hAnsi="Arial" w:cs="Arial"/>
          <w:b/>
          <w:bCs/>
          <w:sz w:val="22"/>
        </w:rPr>
        <w:t xml:space="preserve"> </w:t>
      </w:r>
      <w:r w:rsidRPr="003E52AE">
        <w:rPr>
          <w:rFonts w:ascii="Arial" w:hAnsi="Arial" w:cs="Arial"/>
          <w:sz w:val="22"/>
        </w:rPr>
        <w:t>(dále také „MV“) je ústředním orgánem státní správy pro vnitřní věci, mimo jiné pro archivnictví a spisovou službu, oblast elektronického podpisu a oblast informačních systémů veřejné správy.</w:t>
      </w:r>
      <w:r w:rsidRPr="003E52AE">
        <w:rPr>
          <w:rFonts w:ascii="Arial" w:hAnsi="Arial" w:cs="Arial"/>
          <w:bCs/>
          <w:sz w:val="22"/>
        </w:rPr>
        <w:t xml:space="preserve"> MV je</w:t>
      </w:r>
      <w:r w:rsidRPr="003E52AE">
        <w:rPr>
          <w:rFonts w:ascii="Arial" w:hAnsi="Arial" w:cs="Arial"/>
          <w:sz w:val="22"/>
        </w:rPr>
        <w:t xml:space="preserve"> organizační složkou státu a účetní jednotkou. MV je správcem kapitoly státního rozpočtu 314 </w:t>
      </w:r>
      <w:r w:rsidR="00C62165" w:rsidRPr="003E52AE">
        <w:rPr>
          <w:rFonts w:ascii="Arial" w:hAnsi="Arial" w:cs="Arial"/>
          <w:sz w:val="22"/>
        </w:rPr>
        <w:t>–</w:t>
      </w:r>
      <w:r w:rsidRPr="003E52AE">
        <w:rPr>
          <w:rFonts w:ascii="Arial" w:hAnsi="Arial" w:cs="Arial"/>
          <w:sz w:val="22"/>
        </w:rPr>
        <w:t xml:space="preserve"> </w:t>
      </w:r>
      <w:r w:rsidRPr="00811BB2">
        <w:rPr>
          <w:rFonts w:ascii="Arial" w:hAnsi="Arial" w:cs="Arial"/>
          <w:i/>
          <w:sz w:val="22"/>
        </w:rPr>
        <w:t>Ministerstvo vnitra</w:t>
      </w:r>
      <w:r w:rsidRPr="003E52AE">
        <w:rPr>
          <w:rFonts w:ascii="Arial" w:hAnsi="Arial" w:cs="Arial"/>
          <w:sz w:val="22"/>
        </w:rPr>
        <w:t>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AD3284" w:rsidRDefault="00385932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MV je zřizovatelem a správcem datových schránek</w:t>
      </w:r>
      <w:r w:rsidR="00826234" w:rsidRPr="003E52AE">
        <w:rPr>
          <w:rFonts w:ascii="Arial" w:hAnsi="Arial" w:cs="Arial"/>
          <w:sz w:val="22"/>
        </w:rPr>
        <w:t xml:space="preserve"> (dále také „DS“)</w:t>
      </w:r>
      <w:r w:rsidR="007552F3" w:rsidRPr="003E52AE">
        <w:rPr>
          <w:rFonts w:ascii="Arial" w:hAnsi="Arial" w:cs="Arial"/>
          <w:sz w:val="22"/>
        </w:rPr>
        <w:t xml:space="preserve"> </w:t>
      </w:r>
      <w:r w:rsidR="00826234" w:rsidRPr="003E52AE">
        <w:rPr>
          <w:rFonts w:ascii="Arial" w:hAnsi="Arial" w:cs="Arial"/>
          <w:sz w:val="22"/>
        </w:rPr>
        <w:t>a správcem informačního systému datových schránek</w:t>
      </w:r>
      <w:r w:rsidR="003509DA" w:rsidRPr="003E52AE">
        <w:rPr>
          <w:rFonts w:ascii="Arial" w:hAnsi="Arial" w:cs="Arial"/>
          <w:sz w:val="22"/>
        </w:rPr>
        <w:t>,</w:t>
      </w:r>
      <w:r w:rsidRPr="003E52AE">
        <w:rPr>
          <w:rFonts w:ascii="Arial" w:hAnsi="Arial" w:cs="Arial"/>
          <w:sz w:val="22"/>
        </w:rPr>
        <w:t xml:space="preserve"> </w:t>
      </w:r>
      <w:r w:rsidR="003509DA" w:rsidRPr="003E52AE">
        <w:rPr>
          <w:rFonts w:ascii="Arial" w:hAnsi="Arial" w:cs="Arial"/>
          <w:sz w:val="22"/>
        </w:rPr>
        <w:t xml:space="preserve">který obsahuje informace o </w:t>
      </w:r>
      <w:r w:rsidR="007552F3" w:rsidRPr="003E52AE">
        <w:rPr>
          <w:rFonts w:ascii="Arial" w:hAnsi="Arial" w:cs="Arial"/>
          <w:sz w:val="22"/>
        </w:rPr>
        <w:t>DS</w:t>
      </w:r>
      <w:r w:rsidR="003509DA" w:rsidRPr="003E52AE">
        <w:rPr>
          <w:rFonts w:ascii="Arial" w:hAnsi="Arial" w:cs="Arial"/>
          <w:sz w:val="22"/>
        </w:rPr>
        <w:t xml:space="preserve"> a jejich uživatelích</w:t>
      </w:r>
      <w:r w:rsidR="00AD3284" w:rsidRPr="003E52AE">
        <w:rPr>
          <w:rFonts w:ascii="Arial" w:hAnsi="Arial" w:cs="Arial"/>
          <w:sz w:val="22"/>
        </w:rPr>
        <w:t>.</w:t>
      </w:r>
      <w:r w:rsidR="003509DA" w:rsidRPr="003E52AE">
        <w:rPr>
          <w:rFonts w:ascii="Arial" w:hAnsi="Arial" w:cs="Arial"/>
          <w:sz w:val="22"/>
        </w:rPr>
        <w:t xml:space="preserve"> </w:t>
      </w:r>
      <w:r w:rsidR="00EE03E5" w:rsidRPr="003E52AE">
        <w:rPr>
          <w:rFonts w:ascii="Arial" w:hAnsi="Arial" w:cs="Arial"/>
          <w:sz w:val="22"/>
        </w:rPr>
        <w:t>Informační systém datových schránek je informačním systémem veřejné správy ve smyslu zákona č. 365/2000 Sb.</w:t>
      </w:r>
      <w:r w:rsidR="00EE03E5" w:rsidRPr="003E52AE">
        <w:rPr>
          <w:rStyle w:val="Znakapoznpodarou"/>
          <w:rFonts w:ascii="Arial" w:hAnsi="Arial" w:cs="Arial"/>
          <w:sz w:val="22"/>
        </w:rPr>
        <w:footnoteReference w:id="2"/>
      </w:r>
    </w:p>
    <w:p w:rsidR="00B03358" w:rsidRPr="003E52AE" w:rsidRDefault="00B03358" w:rsidP="008908A8">
      <w:pPr>
        <w:rPr>
          <w:rFonts w:ascii="Arial" w:hAnsi="Arial" w:cs="Arial"/>
          <w:sz w:val="22"/>
        </w:rPr>
      </w:pPr>
    </w:p>
    <w:p w:rsidR="00292D08" w:rsidRPr="003E52AE" w:rsidRDefault="00741CE8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lastRenderedPageBreak/>
        <w:t xml:space="preserve">DS </w:t>
      </w:r>
      <w:r w:rsidR="003753A3" w:rsidRPr="003E52AE">
        <w:rPr>
          <w:rFonts w:ascii="Arial" w:hAnsi="Arial" w:cs="Arial"/>
          <w:sz w:val="22"/>
        </w:rPr>
        <w:t>jsou</w:t>
      </w:r>
      <w:r w:rsidRPr="003E52AE">
        <w:rPr>
          <w:rFonts w:ascii="Arial" w:hAnsi="Arial" w:cs="Arial"/>
          <w:sz w:val="22"/>
        </w:rPr>
        <w:t xml:space="preserve"> elektronick</w:t>
      </w:r>
      <w:r w:rsidR="003753A3" w:rsidRPr="003E52AE">
        <w:rPr>
          <w:rFonts w:ascii="Arial" w:hAnsi="Arial" w:cs="Arial"/>
          <w:sz w:val="22"/>
        </w:rPr>
        <w:t>á</w:t>
      </w:r>
      <w:r w:rsidRPr="003E52AE">
        <w:rPr>
          <w:rFonts w:ascii="Arial" w:hAnsi="Arial" w:cs="Arial"/>
          <w:sz w:val="22"/>
        </w:rPr>
        <w:t xml:space="preserve"> úložiště, kter</w:t>
      </w:r>
      <w:r w:rsidR="003753A3" w:rsidRPr="003E52AE">
        <w:rPr>
          <w:rFonts w:ascii="Arial" w:hAnsi="Arial" w:cs="Arial"/>
          <w:sz w:val="22"/>
        </w:rPr>
        <w:t>á</w:t>
      </w:r>
      <w:r w:rsidRPr="003E52AE">
        <w:rPr>
          <w:rFonts w:ascii="Arial" w:hAnsi="Arial" w:cs="Arial"/>
          <w:sz w:val="22"/>
        </w:rPr>
        <w:t xml:space="preserve"> j</w:t>
      </w:r>
      <w:r w:rsidR="003753A3" w:rsidRPr="003E52AE">
        <w:rPr>
          <w:rFonts w:ascii="Arial" w:hAnsi="Arial" w:cs="Arial"/>
          <w:sz w:val="22"/>
        </w:rPr>
        <w:t>sou</w:t>
      </w:r>
      <w:r w:rsidRPr="003E52AE">
        <w:rPr>
          <w:rFonts w:ascii="Arial" w:hAnsi="Arial" w:cs="Arial"/>
          <w:sz w:val="22"/>
        </w:rPr>
        <w:t xml:space="preserve"> určen</w:t>
      </w:r>
      <w:r w:rsidR="003753A3" w:rsidRPr="003E52AE">
        <w:rPr>
          <w:rFonts w:ascii="Arial" w:hAnsi="Arial" w:cs="Arial"/>
          <w:sz w:val="22"/>
        </w:rPr>
        <w:t>a</w:t>
      </w:r>
      <w:r w:rsidRPr="003E52AE">
        <w:rPr>
          <w:rFonts w:ascii="Arial" w:hAnsi="Arial" w:cs="Arial"/>
          <w:sz w:val="22"/>
        </w:rPr>
        <w:t xml:space="preserve"> k doručování orgány veřejné moci (dále také „OVM“), </w:t>
      </w:r>
      <w:r w:rsidR="009D5752" w:rsidRPr="003E52AE">
        <w:rPr>
          <w:rFonts w:ascii="Arial" w:hAnsi="Arial" w:cs="Arial"/>
          <w:sz w:val="22"/>
        </w:rPr>
        <w:t xml:space="preserve">k </w:t>
      </w:r>
      <w:r w:rsidRPr="003E52AE">
        <w:rPr>
          <w:rFonts w:ascii="Arial" w:hAnsi="Arial" w:cs="Arial"/>
          <w:sz w:val="22"/>
        </w:rPr>
        <w:t>provádění úkonů vůči OVM a dodávání dokumentů fyzických osob, podnikajících fyzických osob a právnických osob.</w:t>
      </w:r>
      <w:r w:rsidR="007D053F" w:rsidRPr="003E52AE">
        <w:rPr>
          <w:rFonts w:ascii="Arial" w:hAnsi="Arial" w:cs="Arial"/>
          <w:sz w:val="22"/>
        </w:rPr>
        <w:t xml:space="preserve"> Dle zákona č. 300/2008 Sb.</w:t>
      </w:r>
      <w:r w:rsidR="007D053F" w:rsidRPr="003E52AE">
        <w:rPr>
          <w:rStyle w:val="Znakapoznpodarou"/>
          <w:rFonts w:ascii="Arial" w:hAnsi="Arial" w:cs="Arial"/>
          <w:sz w:val="22"/>
        </w:rPr>
        <w:footnoteReference w:id="3"/>
      </w:r>
      <w:r w:rsidR="007D053F" w:rsidRPr="003E52AE">
        <w:rPr>
          <w:rFonts w:ascii="Arial" w:hAnsi="Arial" w:cs="Arial"/>
          <w:sz w:val="22"/>
        </w:rPr>
        <w:t xml:space="preserve"> se </w:t>
      </w:r>
      <w:r w:rsidR="00087009">
        <w:rPr>
          <w:rFonts w:ascii="Arial" w:hAnsi="Arial" w:cs="Arial"/>
          <w:sz w:val="22"/>
        </w:rPr>
        <w:t xml:space="preserve">pod pojmem </w:t>
      </w:r>
      <w:r w:rsidR="007D053F" w:rsidRPr="003E52AE">
        <w:rPr>
          <w:rFonts w:ascii="Arial" w:hAnsi="Arial" w:cs="Arial"/>
          <w:sz w:val="22"/>
        </w:rPr>
        <w:t>OVM rozumí</w:t>
      </w:r>
      <w:r w:rsidR="009D5752" w:rsidRPr="003E52AE">
        <w:rPr>
          <w:rFonts w:ascii="Arial" w:hAnsi="Arial" w:cs="Arial"/>
          <w:sz w:val="22"/>
        </w:rPr>
        <w:t xml:space="preserve"> s</w:t>
      </w:r>
      <w:r w:rsidR="00FD2A3E" w:rsidRPr="003E52AE">
        <w:rPr>
          <w:rFonts w:ascii="Arial" w:hAnsi="Arial" w:cs="Arial"/>
          <w:sz w:val="22"/>
        </w:rPr>
        <w:t>tátní orgány, orgány územních samosprávných celků, Pozemkov</w:t>
      </w:r>
      <w:r w:rsidR="00292D08" w:rsidRPr="003E52AE">
        <w:rPr>
          <w:rFonts w:ascii="Arial" w:hAnsi="Arial" w:cs="Arial"/>
          <w:sz w:val="22"/>
        </w:rPr>
        <w:t>ý</w:t>
      </w:r>
      <w:r w:rsidR="00FD2A3E" w:rsidRPr="003E52AE">
        <w:rPr>
          <w:rFonts w:ascii="Arial" w:hAnsi="Arial" w:cs="Arial"/>
          <w:sz w:val="22"/>
        </w:rPr>
        <w:t xml:space="preserve"> fond České republiky a jin</w:t>
      </w:r>
      <w:r w:rsidR="00292D08" w:rsidRPr="003E52AE">
        <w:rPr>
          <w:rFonts w:ascii="Arial" w:hAnsi="Arial" w:cs="Arial"/>
          <w:sz w:val="22"/>
        </w:rPr>
        <w:t>é</w:t>
      </w:r>
      <w:r w:rsidR="00FD2A3E" w:rsidRPr="003E52AE">
        <w:rPr>
          <w:rFonts w:ascii="Arial" w:hAnsi="Arial" w:cs="Arial"/>
          <w:sz w:val="22"/>
        </w:rPr>
        <w:t xml:space="preserve"> státní fond</w:t>
      </w:r>
      <w:r w:rsidR="00292D08" w:rsidRPr="003E52AE">
        <w:rPr>
          <w:rFonts w:ascii="Arial" w:hAnsi="Arial" w:cs="Arial"/>
          <w:sz w:val="22"/>
        </w:rPr>
        <w:t>y</w:t>
      </w:r>
      <w:r w:rsidR="00FD2A3E" w:rsidRPr="003E52AE">
        <w:rPr>
          <w:rFonts w:ascii="Arial" w:hAnsi="Arial" w:cs="Arial"/>
          <w:sz w:val="22"/>
        </w:rPr>
        <w:t>, zdravotní pojišťovn</w:t>
      </w:r>
      <w:r w:rsidR="00292D08" w:rsidRPr="003E52AE">
        <w:rPr>
          <w:rFonts w:ascii="Arial" w:hAnsi="Arial" w:cs="Arial"/>
          <w:sz w:val="22"/>
        </w:rPr>
        <w:t>y</w:t>
      </w:r>
      <w:r w:rsidR="00FD2A3E" w:rsidRPr="003E52AE">
        <w:rPr>
          <w:rFonts w:ascii="Arial" w:hAnsi="Arial" w:cs="Arial"/>
          <w:sz w:val="22"/>
        </w:rPr>
        <w:t>, Česk</w:t>
      </w:r>
      <w:r w:rsidR="00292D08" w:rsidRPr="003E52AE">
        <w:rPr>
          <w:rFonts w:ascii="Arial" w:hAnsi="Arial" w:cs="Arial"/>
          <w:sz w:val="22"/>
        </w:rPr>
        <w:t>ý</w:t>
      </w:r>
      <w:r w:rsidR="00FD2A3E" w:rsidRPr="003E52AE">
        <w:rPr>
          <w:rFonts w:ascii="Arial" w:hAnsi="Arial" w:cs="Arial"/>
          <w:sz w:val="22"/>
        </w:rPr>
        <w:t xml:space="preserve"> rozhlas, Česk</w:t>
      </w:r>
      <w:r w:rsidR="00292D08" w:rsidRPr="003E52AE">
        <w:rPr>
          <w:rFonts w:ascii="Arial" w:hAnsi="Arial" w:cs="Arial"/>
          <w:sz w:val="22"/>
        </w:rPr>
        <w:t>á</w:t>
      </w:r>
      <w:r w:rsidR="00FD2A3E" w:rsidRPr="003E52AE">
        <w:rPr>
          <w:rFonts w:ascii="Arial" w:hAnsi="Arial" w:cs="Arial"/>
          <w:sz w:val="22"/>
        </w:rPr>
        <w:t xml:space="preserve"> televize, samosprávn</w:t>
      </w:r>
      <w:r w:rsidR="00292D08" w:rsidRPr="003E52AE">
        <w:rPr>
          <w:rFonts w:ascii="Arial" w:hAnsi="Arial" w:cs="Arial"/>
          <w:sz w:val="22"/>
        </w:rPr>
        <w:t>é</w:t>
      </w:r>
      <w:r w:rsidR="00FD2A3E" w:rsidRPr="003E52AE">
        <w:rPr>
          <w:rFonts w:ascii="Arial" w:hAnsi="Arial" w:cs="Arial"/>
          <w:sz w:val="22"/>
        </w:rPr>
        <w:t xml:space="preserve"> komor</w:t>
      </w:r>
      <w:r w:rsidR="00292D08" w:rsidRPr="003E52AE">
        <w:rPr>
          <w:rFonts w:ascii="Arial" w:hAnsi="Arial" w:cs="Arial"/>
          <w:sz w:val="22"/>
        </w:rPr>
        <w:t>y</w:t>
      </w:r>
      <w:r w:rsidR="00FD2A3E" w:rsidRPr="003E52AE">
        <w:rPr>
          <w:rFonts w:ascii="Arial" w:hAnsi="Arial" w:cs="Arial"/>
          <w:sz w:val="22"/>
        </w:rPr>
        <w:t xml:space="preserve"> zřízen</w:t>
      </w:r>
      <w:r w:rsidR="00292D08" w:rsidRPr="003E52AE">
        <w:rPr>
          <w:rFonts w:ascii="Arial" w:hAnsi="Arial" w:cs="Arial"/>
          <w:sz w:val="22"/>
        </w:rPr>
        <w:t>é</w:t>
      </w:r>
      <w:r w:rsidR="00FD2A3E" w:rsidRPr="003E52AE">
        <w:rPr>
          <w:rFonts w:ascii="Arial" w:hAnsi="Arial" w:cs="Arial"/>
          <w:sz w:val="22"/>
        </w:rPr>
        <w:t xml:space="preserve"> zákonem, notář</w:t>
      </w:r>
      <w:r w:rsidR="00292D08" w:rsidRPr="003E52AE">
        <w:rPr>
          <w:rFonts w:ascii="Arial" w:hAnsi="Arial" w:cs="Arial"/>
          <w:sz w:val="22"/>
        </w:rPr>
        <w:t>i</w:t>
      </w:r>
      <w:r w:rsidR="00FD2A3E" w:rsidRPr="003E52AE">
        <w:rPr>
          <w:rFonts w:ascii="Arial" w:hAnsi="Arial" w:cs="Arial"/>
          <w:sz w:val="22"/>
        </w:rPr>
        <w:t xml:space="preserve"> a soudní exekuto</w:t>
      </w:r>
      <w:r w:rsidR="00292D08" w:rsidRPr="003E52AE">
        <w:rPr>
          <w:rFonts w:ascii="Arial" w:hAnsi="Arial" w:cs="Arial"/>
          <w:sz w:val="22"/>
        </w:rPr>
        <w:t>ři.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205FCF" w:rsidRPr="003E52AE" w:rsidRDefault="00087009" w:rsidP="008908A8">
      <w:pPr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</w:rPr>
        <w:t>Z</w:t>
      </w:r>
      <w:r w:rsidR="007D053F" w:rsidRPr="003E52AE">
        <w:rPr>
          <w:rFonts w:ascii="Arial" w:hAnsi="Arial" w:cs="Arial"/>
          <w:sz w:val="22"/>
        </w:rPr>
        <w:t xml:space="preserve">ákon </w:t>
      </w:r>
      <w:r>
        <w:rPr>
          <w:rFonts w:ascii="Arial" w:hAnsi="Arial" w:cs="Arial"/>
          <w:sz w:val="22"/>
        </w:rPr>
        <w:t xml:space="preserve">č. 300/2008 Sb. </w:t>
      </w:r>
      <w:r w:rsidR="007D053F" w:rsidRPr="003E52AE">
        <w:rPr>
          <w:rFonts w:ascii="Arial" w:hAnsi="Arial" w:cs="Arial"/>
          <w:sz w:val="22"/>
        </w:rPr>
        <w:t>upravuje</w:t>
      </w:r>
      <w:r>
        <w:rPr>
          <w:rFonts w:ascii="Arial" w:hAnsi="Arial" w:cs="Arial"/>
          <w:sz w:val="22"/>
        </w:rPr>
        <w:t xml:space="preserve"> také</w:t>
      </w:r>
      <w:r w:rsidR="007D053F" w:rsidRPr="003E52AE">
        <w:rPr>
          <w:rFonts w:ascii="Arial" w:hAnsi="Arial" w:cs="Arial"/>
          <w:sz w:val="22"/>
        </w:rPr>
        <w:t xml:space="preserve"> legislativní rámec pro po</w:t>
      </w:r>
      <w:r w:rsidR="003753A3" w:rsidRPr="003E52AE">
        <w:rPr>
          <w:rFonts w:ascii="Arial" w:hAnsi="Arial" w:cs="Arial"/>
          <w:sz w:val="22"/>
        </w:rPr>
        <w:t>u</w:t>
      </w:r>
      <w:r w:rsidR="007D053F" w:rsidRPr="003E52AE">
        <w:rPr>
          <w:rFonts w:ascii="Arial" w:hAnsi="Arial" w:cs="Arial"/>
          <w:sz w:val="22"/>
        </w:rPr>
        <w:t>žívání DS.</w:t>
      </w:r>
      <w:r>
        <w:rPr>
          <w:rFonts w:ascii="Arial" w:hAnsi="Arial" w:cs="Arial"/>
          <w:sz w:val="22"/>
        </w:rPr>
        <w:t xml:space="preserve"> </w:t>
      </w:r>
      <w:r w:rsidR="00205FCF" w:rsidRPr="003E52AE">
        <w:rPr>
          <w:rFonts w:ascii="Arial" w:hAnsi="Arial" w:cs="Arial"/>
          <w:sz w:val="22"/>
        </w:rPr>
        <w:t xml:space="preserve">Provozovatelem </w:t>
      </w:r>
      <w:r w:rsidR="00385932" w:rsidRPr="003E52AE">
        <w:rPr>
          <w:rFonts w:ascii="Arial" w:hAnsi="Arial" w:cs="Arial"/>
          <w:sz w:val="22"/>
        </w:rPr>
        <w:t xml:space="preserve">informačního systému </w:t>
      </w:r>
      <w:r w:rsidR="00205FCF" w:rsidRPr="003E52AE">
        <w:rPr>
          <w:rFonts w:ascii="Arial" w:hAnsi="Arial" w:cs="Arial"/>
          <w:sz w:val="22"/>
        </w:rPr>
        <w:t xml:space="preserve">DS </w:t>
      </w:r>
      <w:r w:rsidR="00385932" w:rsidRPr="003E52AE">
        <w:rPr>
          <w:rFonts w:ascii="Arial" w:hAnsi="Arial" w:cs="Arial"/>
          <w:sz w:val="22"/>
        </w:rPr>
        <w:t>může být</w:t>
      </w:r>
      <w:r w:rsidR="00205FCF" w:rsidRPr="003E52AE">
        <w:rPr>
          <w:rFonts w:ascii="Arial" w:hAnsi="Arial" w:cs="Arial"/>
          <w:sz w:val="22"/>
        </w:rPr>
        <w:t xml:space="preserve"> podle </w:t>
      </w:r>
      <w:r w:rsidR="00091D8B">
        <w:rPr>
          <w:rFonts w:ascii="Arial" w:hAnsi="Arial" w:cs="Arial"/>
          <w:sz w:val="22"/>
        </w:rPr>
        <w:t xml:space="preserve">tohoto </w:t>
      </w:r>
      <w:r w:rsidR="00205FCF" w:rsidRPr="003E52AE">
        <w:rPr>
          <w:rFonts w:ascii="Arial" w:hAnsi="Arial" w:cs="Arial"/>
          <w:sz w:val="22"/>
        </w:rPr>
        <w:t xml:space="preserve">zákona </w:t>
      </w:r>
      <w:r w:rsidR="00385932" w:rsidRPr="003E52AE">
        <w:rPr>
          <w:rFonts w:ascii="Arial" w:hAnsi="Arial" w:cs="Arial"/>
          <w:sz w:val="22"/>
        </w:rPr>
        <w:t xml:space="preserve">pouze </w:t>
      </w:r>
      <w:r w:rsidR="00205FCF" w:rsidRPr="003E52AE">
        <w:rPr>
          <w:rFonts w:ascii="Arial" w:hAnsi="Arial" w:cs="Arial"/>
          <w:sz w:val="22"/>
        </w:rPr>
        <w:t>držitel poštovní licence</w:t>
      </w:r>
      <w:r w:rsidR="00385932" w:rsidRPr="003E52AE">
        <w:rPr>
          <w:rFonts w:ascii="Arial" w:hAnsi="Arial" w:cs="Arial"/>
          <w:sz w:val="22"/>
        </w:rPr>
        <w:t>.</w:t>
      </w:r>
      <w:r w:rsidR="00205FCF" w:rsidRPr="003E52AE">
        <w:rPr>
          <w:rFonts w:ascii="Arial" w:hAnsi="Arial" w:cs="Arial"/>
          <w:sz w:val="22"/>
        </w:rPr>
        <w:t xml:space="preserve"> </w:t>
      </w:r>
      <w:r w:rsidR="00385932" w:rsidRPr="003E52AE">
        <w:rPr>
          <w:rFonts w:ascii="Arial" w:hAnsi="Arial" w:cs="Arial"/>
          <w:sz w:val="22"/>
        </w:rPr>
        <w:t xml:space="preserve">V současnosti </w:t>
      </w:r>
      <w:r w:rsidR="00205FCF" w:rsidRPr="003E52AE">
        <w:rPr>
          <w:rFonts w:ascii="Arial" w:hAnsi="Arial" w:cs="Arial"/>
          <w:sz w:val="22"/>
        </w:rPr>
        <w:t xml:space="preserve">je </w:t>
      </w:r>
      <w:r w:rsidR="00AD3284" w:rsidRPr="003E52AE">
        <w:rPr>
          <w:rFonts w:ascii="Arial" w:hAnsi="Arial" w:cs="Arial"/>
          <w:sz w:val="22"/>
        </w:rPr>
        <w:t xml:space="preserve">jediným </w:t>
      </w:r>
      <w:r w:rsidR="00385932" w:rsidRPr="003E52AE">
        <w:rPr>
          <w:rFonts w:ascii="Arial" w:hAnsi="Arial" w:cs="Arial"/>
          <w:sz w:val="22"/>
        </w:rPr>
        <w:t>držitel</w:t>
      </w:r>
      <w:r w:rsidR="00AD3284" w:rsidRPr="003E52AE">
        <w:rPr>
          <w:rFonts w:ascii="Arial" w:hAnsi="Arial" w:cs="Arial"/>
          <w:sz w:val="22"/>
        </w:rPr>
        <w:t>em</w:t>
      </w:r>
      <w:r w:rsidR="00385932" w:rsidRPr="003E52AE">
        <w:rPr>
          <w:rFonts w:ascii="Arial" w:hAnsi="Arial" w:cs="Arial"/>
          <w:sz w:val="22"/>
        </w:rPr>
        <w:t xml:space="preserve"> poštovní licence</w:t>
      </w:r>
      <w:r w:rsidR="00AD3284" w:rsidRPr="003E52AE">
        <w:rPr>
          <w:rFonts w:ascii="Arial" w:hAnsi="Arial" w:cs="Arial"/>
          <w:sz w:val="22"/>
        </w:rPr>
        <w:t xml:space="preserve"> v ČR</w:t>
      </w:r>
      <w:r w:rsidR="00385932" w:rsidRPr="003E52AE">
        <w:rPr>
          <w:rFonts w:ascii="Arial" w:hAnsi="Arial" w:cs="Arial"/>
          <w:sz w:val="22"/>
        </w:rPr>
        <w:t xml:space="preserve"> </w:t>
      </w:r>
      <w:r w:rsidR="00205FCF" w:rsidRPr="003E52AE">
        <w:rPr>
          <w:rFonts w:ascii="Arial" w:hAnsi="Arial" w:cs="Arial"/>
          <w:sz w:val="22"/>
        </w:rPr>
        <w:t>Česká pošta, s. p.</w:t>
      </w:r>
      <w:r w:rsidR="00091D8B">
        <w:rPr>
          <w:rFonts w:ascii="Arial" w:hAnsi="Arial" w:cs="Arial"/>
          <w:sz w:val="22"/>
        </w:rPr>
        <w:t>,</w:t>
      </w:r>
      <w:r w:rsidR="00205FCF" w:rsidRPr="003E52AE">
        <w:rPr>
          <w:rFonts w:ascii="Arial" w:hAnsi="Arial" w:cs="Arial"/>
          <w:sz w:val="22"/>
        </w:rPr>
        <w:t xml:space="preserve"> (dále také „ČP“)</w:t>
      </w:r>
      <w:r w:rsidR="009B4B7E" w:rsidRPr="003E52AE">
        <w:rPr>
          <w:rFonts w:ascii="Arial" w:hAnsi="Arial" w:cs="Arial"/>
          <w:sz w:val="22"/>
        </w:rPr>
        <w:t>,</w:t>
      </w:r>
      <w:r w:rsidR="00205FCF" w:rsidRPr="003E52AE">
        <w:rPr>
          <w:rFonts w:ascii="Arial" w:hAnsi="Arial" w:cs="Arial"/>
          <w:sz w:val="22"/>
        </w:rPr>
        <w:t xml:space="preserve"> </w:t>
      </w:r>
      <w:r w:rsidR="00AD3284" w:rsidRPr="003E52AE">
        <w:rPr>
          <w:rFonts w:ascii="Arial" w:hAnsi="Arial" w:cs="Arial"/>
          <w:sz w:val="22"/>
          <w:lang w:eastAsia="cs-CZ"/>
        </w:rPr>
        <w:t>která je</w:t>
      </w:r>
      <w:r w:rsidR="00205FCF" w:rsidRPr="003E52AE">
        <w:rPr>
          <w:rFonts w:ascii="Arial" w:hAnsi="Arial" w:cs="Arial"/>
          <w:sz w:val="22"/>
          <w:lang w:eastAsia="cs-CZ"/>
        </w:rPr>
        <w:t xml:space="preserve"> státním podnikem a jejím zakladatelem je MV.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205FCF" w:rsidRPr="003E52AE" w:rsidRDefault="00205FCF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Kontrolou bylo prověřováno, zda peněžní prostředky použité na zavedení a provoz </w:t>
      </w:r>
      <w:r w:rsidR="00A94D5C" w:rsidRPr="003E52AE">
        <w:rPr>
          <w:rFonts w:ascii="Arial" w:hAnsi="Arial" w:cs="Arial"/>
          <w:sz w:val="22"/>
        </w:rPr>
        <w:t>systému DS</w:t>
      </w:r>
      <w:r w:rsidRPr="003E52AE">
        <w:rPr>
          <w:rFonts w:ascii="Arial" w:hAnsi="Arial" w:cs="Arial"/>
          <w:sz w:val="22"/>
        </w:rPr>
        <w:t xml:space="preserve"> byly využity účelně a hospodárně a zda a v jaké míře bylo dosaženo požadovaných cílů.</w:t>
      </w:r>
    </w:p>
    <w:p w:rsidR="007F6A10" w:rsidRPr="003E52AE" w:rsidRDefault="007F6A10" w:rsidP="008908A8">
      <w:pPr>
        <w:rPr>
          <w:rFonts w:ascii="Arial" w:hAnsi="Arial" w:cs="Arial"/>
          <w:b/>
          <w:sz w:val="22"/>
        </w:rPr>
      </w:pPr>
    </w:p>
    <w:p w:rsidR="005D3E1F" w:rsidRPr="003E52AE" w:rsidRDefault="005D3E1F" w:rsidP="008908A8">
      <w:pPr>
        <w:pStyle w:val="Zkladntextodsazen2"/>
        <w:spacing w:after="0" w:line="240" w:lineRule="auto"/>
        <w:ind w:left="624" w:hanging="624"/>
        <w:rPr>
          <w:rFonts w:ascii="Arial" w:hAnsi="Arial" w:cs="Arial"/>
          <w:sz w:val="18"/>
          <w:szCs w:val="18"/>
        </w:rPr>
      </w:pPr>
      <w:r w:rsidRPr="003E52AE">
        <w:rPr>
          <w:rFonts w:ascii="Arial" w:hAnsi="Arial" w:cs="Arial"/>
          <w:b/>
          <w:sz w:val="18"/>
          <w:szCs w:val="18"/>
        </w:rPr>
        <w:t>Pozn.:</w:t>
      </w:r>
      <w:r w:rsidRPr="003E52AE">
        <w:rPr>
          <w:rFonts w:ascii="Arial" w:hAnsi="Arial" w:cs="Arial"/>
          <w:sz w:val="18"/>
          <w:szCs w:val="18"/>
        </w:rPr>
        <w:tab/>
        <w:t xml:space="preserve">Všechny právní předpisy uváděné </w:t>
      </w:r>
      <w:r w:rsidR="0055678B" w:rsidRPr="003E52AE">
        <w:rPr>
          <w:rFonts w:ascii="Arial" w:hAnsi="Arial" w:cs="Arial"/>
          <w:sz w:val="18"/>
          <w:szCs w:val="18"/>
        </w:rPr>
        <w:t>v </w:t>
      </w:r>
      <w:r w:rsidRPr="003E52AE">
        <w:rPr>
          <w:rFonts w:ascii="Arial" w:hAnsi="Arial" w:cs="Arial"/>
          <w:sz w:val="18"/>
          <w:szCs w:val="18"/>
        </w:rPr>
        <w:t>tomto kontrolním závěru jsou aplikovány ve znění účinném pro kontrolované období.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rPr>
          <w:rFonts w:ascii="Arial" w:hAnsi="Arial" w:cs="Arial"/>
          <w:sz w:val="22"/>
        </w:rPr>
      </w:pPr>
    </w:p>
    <w:p w:rsidR="005D3E1F" w:rsidRPr="003E52AE" w:rsidRDefault="005D3E1F" w:rsidP="008908A8">
      <w:pPr>
        <w:jc w:val="center"/>
        <w:rPr>
          <w:rFonts w:ascii="Arial" w:hAnsi="Arial" w:cs="Arial"/>
          <w:b/>
          <w:szCs w:val="24"/>
        </w:rPr>
      </w:pPr>
      <w:r w:rsidRPr="003E52AE">
        <w:rPr>
          <w:rFonts w:ascii="Arial" w:hAnsi="Arial" w:cs="Arial"/>
          <w:b/>
          <w:szCs w:val="24"/>
        </w:rPr>
        <w:t>II. Skutečnosti zjištěné při kontrole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  <w:bookmarkStart w:id="0" w:name="_GoBack"/>
      <w:bookmarkEnd w:id="0"/>
    </w:p>
    <w:p w:rsidR="005D3E1F" w:rsidRPr="003E52AE" w:rsidRDefault="0012210F" w:rsidP="008908A8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 xml:space="preserve">1. </w:t>
      </w:r>
      <w:r w:rsidR="005D3E1F" w:rsidRPr="003E52AE">
        <w:rPr>
          <w:rFonts w:ascii="Arial" w:hAnsi="Arial" w:cs="Arial"/>
          <w:b/>
          <w:sz w:val="22"/>
        </w:rPr>
        <w:t xml:space="preserve">Ministerstvo </w:t>
      </w:r>
      <w:r w:rsidR="004B6952" w:rsidRPr="003E52AE">
        <w:rPr>
          <w:rFonts w:ascii="Arial" w:hAnsi="Arial" w:cs="Arial"/>
          <w:b/>
          <w:sz w:val="22"/>
        </w:rPr>
        <w:t>vnitra</w:t>
      </w:r>
    </w:p>
    <w:p w:rsidR="005D3E1F" w:rsidRPr="003E52AE" w:rsidRDefault="005D3E1F" w:rsidP="008908A8">
      <w:pPr>
        <w:rPr>
          <w:rFonts w:ascii="Arial" w:hAnsi="Arial" w:cs="Arial"/>
          <w:sz w:val="22"/>
        </w:rPr>
      </w:pPr>
    </w:p>
    <w:p w:rsidR="0016196F" w:rsidRPr="003E52AE" w:rsidRDefault="0016196F" w:rsidP="008908A8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 xml:space="preserve">1.1 </w:t>
      </w:r>
      <w:r w:rsidR="00A90A68" w:rsidRPr="003E52AE">
        <w:rPr>
          <w:rFonts w:ascii="Arial" w:hAnsi="Arial" w:cs="Arial"/>
          <w:b/>
          <w:sz w:val="22"/>
        </w:rPr>
        <w:t>Příprava projektu DS</w:t>
      </w:r>
    </w:p>
    <w:p w:rsidR="00220412" w:rsidRPr="003E52AE" w:rsidRDefault="00220412" w:rsidP="00890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D3284" w:rsidRPr="003E52AE" w:rsidRDefault="00AD3284" w:rsidP="008908A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</w:rPr>
      </w:pPr>
      <w:r w:rsidRPr="003E52AE">
        <w:rPr>
          <w:rFonts w:ascii="Arial" w:hAnsi="Arial" w:cs="Arial"/>
          <w:sz w:val="22"/>
        </w:rPr>
        <w:t xml:space="preserve">MV bylo dle usnesení vlády ze dne 25. </w:t>
      </w:r>
      <w:r w:rsidR="00AA3E2E" w:rsidRPr="003E52AE">
        <w:rPr>
          <w:rFonts w:ascii="Arial" w:hAnsi="Arial" w:cs="Arial"/>
          <w:sz w:val="22"/>
        </w:rPr>
        <w:t>února</w:t>
      </w:r>
      <w:r w:rsidRPr="003E52AE">
        <w:rPr>
          <w:rFonts w:ascii="Arial" w:hAnsi="Arial" w:cs="Arial"/>
          <w:sz w:val="22"/>
        </w:rPr>
        <w:t xml:space="preserve"> 2008 č. 157 pověřeno vypracováním konečného znění vládního návrhu zákona č. 300/2008 Sb.</w:t>
      </w:r>
      <w:r w:rsidR="008263CF" w:rsidRPr="003E52AE">
        <w:rPr>
          <w:rFonts w:ascii="Arial" w:hAnsi="Arial" w:cs="Arial"/>
          <w:sz w:val="22"/>
        </w:rPr>
        <w:t xml:space="preserve">, </w:t>
      </w:r>
      <w:r w:rsidR="00AA3E2E" w:rsidRPr="003E52AE">
        <w:rPr>
          <w:rFonts w:ascii="Arial" w:hAnsi="Arial" w:cs="Arial"/>
          <w:sz w:val="22"/>
        </w:rPr>
        <w:t>který byl schválen dne 17. července</w:t>
      </w:r>
      <w:r w:rsidR="008263CF" w:rsidRPr="003E52AE">
        <w:rPr>
          <w:rFonts w:ascii="Arial" w:hAnsi="Arial" w:cs="Arial"/>
          <w:sz w:val="22"/>
        </w:rPr>
        <w:t xml:space="preserve"> 2008 s účinností od 1. </w:t>
      </w:r>
      <w:r w:rsidR="00AA3E2E" w:rsidRPr="003E52AE">
        <w:rPr>
          <w:rFonts w:ascii="Arial" w:hAnsi="Arial" w:cs="Arial"/>
          <w:sz w:val="22"/>
        </w:rPr>
        <w:t>července</w:t>
      </w:r>
      <w:r w:rsidR="008263CF" w:rsidRPr="003E52AE">
        <w:rPr>
          <w:rFonts w:ascii="Arial" w:hAnsi="Arial" w:cs="Arial"/>
          <w:sz w:val="22"/>
        </w:rPr>
        <w:t xml:space="preserve"> 2009.</w:t>
      </w:r>
    </w:p>
    <w:p w:rsidR="00220412" w:rsidRPr="003E52AE" w:rsidRDefault="00220412" w:rsidP="008908A8">
      <w:pPr>
        <w:rPr>
          <w:rFonts w:ascii="Arial" w:hAnsi="Arial" w:cs="Arial"/>
          <w:sz w:val="22"/>
        </w:rPr>
      </w:pPr>
    </w:p>
    <w:p w:rsidR="00AD3284" w:rsidRPr="003E52AE" w:rsidRDefault="0016196F" w:rsidP="008908A8">
      <w:pPr>
        <w:rPr>
          <w:rFonts w:ascii="Arial" w:hAnsi="Arial" w:cs="Arial"/>
          <w:i/>
          <w:sz w:val="22"/>
        </w:rPr>
      </w:pPr>
      <w:r w:rsidRPr="003E52AE">
        <w:rPr>
          <w:rFonts w:ascii="Arial" w:hAnsi="Arial" w:cs="Arial"/>
          <w:sz w:val="22"/>
        </w:rPr>
        <w:t>Kontrolou NKÚ bylo prověřováno, zda v</w:t>
      </w:r>
      <w:r w:rsidR="00454C91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období</w:t>
      </w:r>
      <w:r w:rsidR="00454C91" w:rsidRPr="003E52AE">
        <w:rPr>
          <w:rFonts w:ascii="Arial" w:hAnsi="Arial" w:cs="Arial"/>
          <w:sz w:val="22"/>
        </w:rPr>
        <w:t xml:space="preserve"> před zavedením systému DS</w:t>
      </w:r>
      <w:r w:rsidRPr="003E52AE">
        <w:rPr>
          <w:rFonts w:ascii="Arial" w:hAnsi="Arial" w:cs="Arial"/>
          <w:sz w:val="22"/>
        </w:rPr>
        <w:t xml:space="preserve"> provedlo MV </w:t>
      </w:r>
      <w:r w:rsidR="002B2A26" w:rsidRPr="003E52AE">
        <w:rPr>
          <w:rFonts w:ascii="Arial" w:hAnsi="Arial" w:cs="Arial"/>
          <w:sz w:val="22"/>
        </w:rPr>
        <w:t xml:space="preserve">úkony směřující k zavedení </w:t>
      </w:r>
      <w:r w:rsidR="005E1760">
        <w:rPr>
          <w:rFonts w:ascii="Arial" w:hAnsi="Arial" w:cs="Arial"/>
          <w:sz w:val="22"/>
        </w:rPr>
        <w:t xml:space="preserve">tohoto </w:t>
      </w:r>
      <w:r w:rsidR="002B2A26" w:rsidRPr="003E52AE">
        <w:rPr>
          <w:rFonts w:ascii="Arial" w:hAnsi="Arial" w:cs="Arial"/>
          <w:sz w:val="22"/>
        </w:rPr>
        <w:t>systému hospodárným a účelným způsobem</w:t>
      </w:r>
      <w:r w:rsidR="0011234C" w:rsidRPr="003E52AE">
        <w:rPr>
          <w:rFonts w:ascii="Arial" w:hAnsi="Arial" w:cs="Arial"/>
          <w:sz w:val="22"/>
        </w:rPr>
        <w:t>, a to zejména</w:t>
      </w:r>
      <w:r w:rsidR="00D902AB" w:rsidRPr="003E52AE">
        <w:rPr>
          <w:rFonts w:ascii="Arial" w:hAnsi="Arial" w:cs="Arial"/>
          <w:sz w:val="22"/>
        </w:rPr>
        <w:t>:</w:t>
      </w:r>
    </w:p>
    <w:p w:rsidR="0016196F" w:rsidRPr="003E52AE" w:rsidRDefault="002B2A26" w:rsidP="00220412">
      <w:pPr>
        <w:pStyle w:val="Odstavecseseznamem"/>
        <w:numPr>
          <w:ilvl w:val="0"/>
          <w:numId w:val="20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t xml:space="preserve">Vypracování </w:t>
      </w:r>
      <w:r w:rsidR="0016196F" w:rsidRPr="003E52AE">
        <w:rPr>
          <w:rFonts w:ascii="Arial" w:hAnsi="Arial" w:cs="Arial"/>
          <w:sz w:val="22"/>
          <w:lang w:val="cs-CZ"/>
        </w:rPr>
        <w:t>analýz</w:t>
      </w:r>
      <w:r w:rsidRPr="003E52AE">
        <w:rPr>
          <w:rFonts w:ascii="Arial" w:hAnsi="Arial" w:cs="Arial"/>
          <w:sz w:val="22"/>
          <w:lang w:val="cs-CZ"/>
        </w:rPr>
        <w:t>y</w:t>
      </w:r>
      <w:r w:rsidR="0016196F" w:rsidRPr="003E52AE">
        <w:rPr>
          <w:rFonts w:ascii="Arial" w:hAnsi="Arial" w:cs="Arial"/>
          <w:sz w:val="22"/>
          <w:lang w:val="cs-CZ"/>
        </w:rPr>
        <w:t xml:space="preserve"> potřeb </w:t>
      </w:r>
      <w:r w:rsidR="00ED55F8" w:rsidRPr="003E52AE">
        <w:rPr>
          <w:rFonts w:ascii="Arial" w:hAnsi="Arial" w:cs="Arial"/>
          <w:sz w:val="22"/>
          <w:lang w:val="cs-CZ"/>
        </w:rPr>
        <w:t>OVM</w:t>
      </w:r>
    </w:p>
    <w:p w:rsidR="00804D10" w:rsidRPr="003E52AE" w:rsidRDefault="0016196F" w:rsidP="0022041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MV nedoložilo kontrole NKÚ provedení analýzy potřeb budoucích uživatelů DS. Cíle, kterých mělo být zavedením systému DS dosaženo, tak byly definovány především ustanoveními zákona č. 300/2008 Sb. bez toho, že by si MV stanovilo kritéria pro hodnocení míry jejich dosažení.</w:t>
      </w:r>
    </w:p>
    <w:p w:rsidR="0016196F" w:rsidRPr="003E52AE" w:rsidRDefault="00804D10" w:rsidP="0022041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t>S</w:t>
      </w:r>
      <w:r w:rsidR="00AD3284" w:rsidRPr="003E52AE">
        <w:rPr>
          <w:rFonts w:ascii="Arial" w:hAnsi="Arial" w:cs="Arial"/>
          <w:sz w:val="22"/>
          <w:lang w:val="cs-CZ"/>
        </w:rPr>
        <w:t>tanoven</w:t>
      </w:r>
      <w:r w:rsidRPr="003E52AE">
        <w:rPr>
          <w:rFonts w:ascii="Arial" w:hAnsi="Arial" w:cs="Arial"/>
          <w:sz w:val="22"/>
          <w:lang w:val="cs-CZ"/>
        </w:rPr>
        <w:t>í</w:t>
      </w:r>
      <w:r w:rsidR="00AD3284" w:rsidRPr="003E52AE">
        <w:rPr>
          <w:rFonts w:ascii="Arial" w:hAnsi="Arial" w:cs="Arial"/>
          <w:sz w:val="22"/>
          <w:lang w:val="cs-CZ"/>
        </w:rPr>
        <w:t xml:space="preserve"> finanční</w:t>
      </w:r>
      <w:r w:rsidRPr="003E52AE">
        <w:rPr>
          <w:rFonts w:ascii="Arial" w:hAnsi="Arial" w:cs="Arial"/>
          <w:sz w:val="22"/>
          <w:lang w:val="cs-CZ"/>
        </w:rPr>
        <w:t>ho</w:t>
      </w:r>
      <w:r w:rsidR="00AD3284" w:rsidRPr="003E52AE">
        <w:rPr>
          <w:rFonts w:ascii="Arial" w:hAnsi="Arial" w:cs="Arial"/>
          <w:sz w:val="22"/>
          <w:lang w:val="cs-CZ"/>
        </w:rPr>
        <w:t xml:space="preserve"> rámc</w:t>
      </w:r>
      <w:r w:rsidRPr="003E52AE">
        <w:rPr>
          <w:rFonts w:ascii="Arial" w:hAnsi="Arial" w:cs="Arial"/>
          <w:sz w:val="22"/>
          <w:lang w:val="cs-CZ"/>
        </w:rPr>
        <w:t>e</w:t>
      </w:r>
      <w:r w:rsidR="00AD3284" w:rsidRPr="003E52AE">
        <w:rPr>
          <w:rFonts w:ascii="Arial" w:hAnsi="Arial" w:cs="Arial"/>
          <w:sz w:val="22"/>
          <w:lang w:val="cs-CZ"/>
        </w:rPr>
        <w:t xml:space="preserve"> pro zavedení a provoz systému DS</w:t>
      </w:r>
    </w:p>
    <w:p w:rsidR="006C6A0D" w:rsidRPr="003E52AE" w:rsidRDefault="006C6A0D" w:rsidP="00220412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MV nestanovilo pevný finanční rámec zavedení a provozu systému DS. V důvodové zprávě k</w:t>
      </w:r>
      <w:r w:rsidR="00FC5F0C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zákonu</w:t>
      </w:r>
      <w:r w:rsidR="00FC5F0C" w:rsidRPr="003E52AE">
        <w:rPr>
          <w:rFonts w:ascii="Arial" w:hAnsi="Arial" w:cs="Arial"/>
          <w:sz w:val="22"/>
        </w:rPr>
        <w:t xml:space="preserve"> č. 300/2008 Sb.</w:t>
      </w:r>
      <w:r w:rsidRPr="003E52AE">
        <w:rPr>
          <w:rFonts w:ascii="Arial" w:hAnsi="Arial" w:cs="Arial"/>
          <w:sz w:val="22"/>
        </w:rPr>
        <w:t xml:space="preserve"> uvedlo, že náklady na vybudování informačního systému </w:t>
      </w:r>
      <w:r w:rsidR="00355728" w:rsidRPr="003E52AE">
        <w:rPr>
          <w:rFonts w:ascii="Arial" w:hAnsi="Arial" w:cs="Arial"/>
          <w:sz w:val="22"/>
        </w:rPr>
        <w:t>DS</w:t>
      </w:r>
      <w:r w:rsidRPr="003E52AE">
        <w:rPr>
          <w:rFonts w:ascii="Arial" w:hAnsi="Arial" w:cs="Arial"/>
          <w:sz w:val="22"/>
        </w:rPr>
        <w:t xml:space="preserve">, rozeslání přístupových údajů, vybavení konverzních míst odpovídající technikou a první rok provozu systému DS </w:t>
      </w:r>
      <w:r w:rsidR="005E1760">
        <w:rPr>
          <w:rFonts w:ascii="Arial" w:hAnsi="Arial" w:cs="Arial"/>
          <w:sz w:val="22"/>
        </w:rPr>
        <w:t xml:space="preserve">by </w:t>
      </w:r>
      <w:r w:rsidRPr="003E52AE">
        <w:rPr>
          <w:rFonts w:ascii="Arial" w:hAnsi="Arial" w:cs="Arial"/>
          <w:sz w:val="22"/>
        </w:rPr>
        <w:t>měly být 1</w:t>
      </w:r>
      <w:r w:rsidR="00F5686D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4</w:t>
      </w:r>
      <w:r w:rsidR="00F5686D" w:rsidRPr="003E52AE">
        <w:rPr>
          <w:rFonts w:ascii="Arial" w:hAnsi="Arial" w:cs="Arial"/>
          <w:sz w:val="22"/>
        </w:rPr>
        <w:t>00</w:t>
      </w:r>
      <w:r w:rsidRPr="003E52AE">
        <w:rPr>
          <w:rFonts w:ascii="Arial" w:hAnsi="Arial" w:cs="Arial"/>
          <w:sz w:val="22"/>
        </w:rPr>
        <w:t> m</w:t>
      </w:r>
      <w:r w:rsidR="00F5686D" w:rsidRPr="003E52AE">
        <w:rPr>
          <w:rFonts w:ascii="Arial" w:hAnsi="Arial" w:cs="Arial"/>
          <w:sz w:val="22"/>
        </w:rPr>
        <w:t>il</w:t>
      </w:r>
      <w:r w:rsidRPr="003E52AE">
        <w:rPr>
          <w:rFonts w:ascii="Arial" w:hAnsi="Arial" w:cs="Arial"/>
          <w:sz w:val="22"/>
        </w:rPr>
        <w:t>. Kč. MV nedoložilo, jakým způsobem uvedenou částku stanovilo.</w:t>
      </w:r>
    </w:p>
    <w:p w:rsidR="002B2A26" w:rsidRPr="003E52AE" w:rsidRDefault="00804D10" w:rsidP="0022041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t>V</w:t>
      </w:r>
      <w:r w:rsidR="002B2A26" w:rsidRPr="003E52AE">
        <w:rPr>
          <w:rFonts w:ascii="Arial" w:hAnsi="Arial" w:cs="Arial"/>
          <w:sz w:val="22"/>
          <w:lang w:val="cs-CZ"/>
        </w:rPr>
        <w:t>yčíslen</w:t>
      </w:r>
      <w:r w:rsidRPr="003E52AE">
        <w:rPr>
          <w:rFonts w:ascii="Arial" w:hAnsi="Arial" w:cs="Arial"/>
          <w:sz w:val="22"/>
          <w:lang w:val="cs-CZ"/>
        </w:rPr>
        <w:t>í</w:t>
      </w:r>
      <w:r w:rsidR="002B2A26" w:rsidRPr="003E52AE">
        <w:rPr>
          <w:rFonts w:ascii="Arial" w:hAnsi="Arial" w:cs="Arial"/>
          <w:sz w:val="22"/>
          <w:lang w:val="cs-CZ"/>
        </w:rPr>
        <w:t xml:space="preserve"> předpokládan</w:t>
      </w:r>
      <w:r w:rsidRPr="003E52AE">
        <w:rPr>
          <w:rFonts w:ascii="Arial" w:hAnsi="Arial" w:cs="Arial"/>
          <w:sz w:val="22"/>
          <w:lang w:val="cs-CZ"/>
        </w:rPr>
        <w:t>ých</w:t>
      </w:r>
      <w:r w:rsidR="002B2A26" w:rsidRPr="003E52AE">
        <w:rPr>
          <w:rFonts w:ascii="Arial" w:hAnsi="Arial" w:cs="Arial"/>
          <w:sz w:val="22"/>
          <w:lang w:val="cs-CZ"/>
        </w:rPr>
        <w:t xml:space="preserve"> úspor uživatelů DS</w:t>
      </w:r>
    </w:p>
    <w:p w:rsidR="00636DAE" w:rsidRPr="003E52AE" w:rsidRDefault="0016196F" w:rsidP="00220412">
      <w:pPr>
        <w:ind w:left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Předpokládané úspory, které měly vzniknout uživatelům </w:t>
      </w:r>
      <w:r w:rsidR="006C6A0D" w:rsidRPr="003E52AE">
        <w:rPr>
          <w:rFonts w:ascii="Arial" w:hAnsi="Arial" w:cs="Arial"/>
          <w:sz w:val="22"/>
        </w:rPr>
        <w:t>DS</w:t>
      </w:r>
      <w:r w:rsidRPr="003E52AE">
        <w:rPr>
          <w:rFonts w:ascii="Arial" w:hAnsi="Arial" w:cs="Arial"/>
          <w:sz w:val="22"/>
        </w:rPr>
        <w:t xml:space="preserve"> po jejich zavedení, </w:t>
      </w:r>
      <w:r w:rsidR="00025485" w:rsidRPr="003E52AE">
        <w:rPr>
          <w:rFonts w:ascii="Arial" w:hAnsi="Arial" w:cs="Arial"/>
          <w:sz w:val="22"/>
        </w:rPr>
        <w:t>byly vyčísleny</w:t>
      </w:r>
      <w:r w:rsidRPr="003E52AE">
        <w:rPr>
          <w:rFonts w:ascii="Arial" w:hAnsi="Arial" w:cs="Arial"/>
          <w:sz w:val="22"/>
        </w:rPr>
        <w:t xml:space="preserve"> ve studii proveditelnosti z dubna 2009</w:t>
      </w:r>
      <w:r w:rsidR="006C6A0D" w:rsidRPr="003E52AE">
        <w:rPr>
          <w:rFonts w:ascii="Arial" w:hAnsi="Arial" w:cs="Arial"/>
          <w:sz w:val="22"/>
        </w:rPr>
        <w:t xml:space="preserve">. </w:t>
      </w:r>
      <w:r w:rsidRPr="003E52AE">
        <w:rPr>
          <w:rFonts w:ascii="Arial" w:hAnsi="Arial" w:cs="Arial"/>
          <w:sz w:val="22"/>
        </w:rPr>
        <w:t>V </w:t>
      </w:r>
      <w:r w:rsidR="00476EEF" w:rsidRPr="003E52AE">
        <w:rPr>
          <w:rFonts w:ascii="Arial" w:hAnsi="Arial" w:cs="Arial"/>
          <w:sz w:val="22"/>
        </w:rPr>
        <w:t>části studie</w:t>
      </w:r>
      <w:r w:rsidRPr="003E52AE">
        <w:rPr>
          <w:rFonts w:ascii="Arial" w:hAnsi="Arial" w:cs="Arial"/>
          <w:sz w:val="22"/>
        </w:rPr>
        <w:t xml:space="preserve"> věnované hodnocení efektivity a udržitelnosti projektu bylo mj. uvedeno, že celkový socioekonomický přínos </w:t>
      </w:r>
      <w:r w:rsidR="006C6A0D" w:rsidRPr="003E52AE">
        <w:rPr>
          <w:rFonts w:ascii="Arial" w:hAnsi="Arial" w:cs="Arial"/>
          <w:sz w:val="22"/>
        </w:rPr>
        <w:t>za období 2009 až 2014</w:t>
      </w:r>
      <w:r w:rsidR="00683425" w:rsidRPr="003E52AE">
        <w:rPr>
          <w:rFonts w:ascii="Arial" w:hAnsi="Arial" w:cs="Arial"/>
          <w:sz w:val="22"/>
        </w:rPr>
        <w:t xml:space="preserve"> (tj. 5,5 roku)</w:t>
      </w:r>
      <w:r w:rsidR="006C6A0D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 xml:space="preserve">představuje </w:t>
      </w:r>
      <w:r w:rsidR="006C6A0D" w:rsidRPr="003E52AE">
        <w:rPr>
          <w:rFonts w:ascii="Arial" w:hAnsi="Arial" w:cs="Arial"/>
          <w:sz w:val="22"/>
        </w:rPr>
        <w:t xml:space="preserve">částku ve výši </w:t>
      </w:r>
      <w:r w:rsidRPr="003E52AE">
        <w:rPr>
          <w:rFonts w:ascii="Arial" w:hAnsi="Arial" w:cs="Arial"/>
          <w:sz w:val="22"/>
        </w:rPr>
        <w:t>3</w:t>
      </w:r>
      <w:r w:rsidR="0050482F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02</w:t>
      </w:r>
      <w:r w:rsidR="0050482F" w:rsidRPr="003E52AE">
        <w:rPr>
          <w:rFonts w:ascii="Arial" w:hAnsi="Arial" w:cs="Arial"/>
          <w:sz w:val="22"/>
        </w:rPr>
        <w:t>0</w:t>
      </w:r>
      <w:r w:rsidRPr="003E52AE">
        <w:rPr>
          <w:rFonts w:ascii="Arial" w:hAnsi="Arial" w:cs="Arial"/>
          <w:sz w:val="22"/>
        </w:rPr>
        <w:t xml:space="preserve"> m</w:t>
      </w:r>
      <w:r w:rsidR="00F5686D" w:rsidRPr="003E52AE">
        <w:rPr>
          <w:rFonts w:ascii="Arial" w:hAnsi="Arial" w:cs="Arial"/>
          <w:sz w:val="22"/>
        </w:rPr>
        <w:t>il</w:t>
      </w:r>
      <w:r w:rsidRPr="003E52AE">
        <w:rPr>
          <w:rFonts w:ascii="Arial" w:hAnsi="Arial" w:cs="Arial"/>
          <w:sz w:val="22"/>
        </w:rPr>
        <w:t xml:space="preserve">. Kč, což </w:t>
      </w:r>
      <w:r w:rsidR="005E1760">
        <w:rPr>
          <w:rFonts w:ascii="Arial" w:hAnsi="Arial" w:cs="Arial"/>
          <w:sz w:val="22"/>
        </w:rPr>
        <w:t xml:space="preserve">v průměru </w:t>
      </w:r>
      <w:r w:rsidRPr="003E52AE">
        <w:rPr>
          <w:rFonts w:ascii="Arial" w:hAnsi="Arial" w:cs="Arial"/>
          <w:sz w:val="22"/>
        </w:rPr>
        <w:t>představuje</w:t>
      </w:r>
      <w:r w:rsidR="005E1760">
        <w:rPr>
          <w:rFonts w:ascii="Arial" w:hAnsi="Arial" w:cs="Arial"/>
          <w:sz w:val="22"/>
        </w:rPr>
        <w:t xml:space="preserve"> roční</w:t>
      </w:r>
      <w:r w:rsidRPr="003E52AE">
        <w:rPr>
          <w:rFonts w:ascii="Arial" w:hAnsi="Arial" w:cs="Arial"/>
          <w:sz w:val="22"/>
        </w:rPr>
        <w:t xml:space="preserve"> přínos </w:t>
      </w:r>
      <w:r w:rsidR="0050482F" w:rsidRPr="003E52AE">
        <w:rPr>
          <w:rFonts w:ascii="Arial" w:hAnsi="Arial" w:cs="Arial"/>
          <w:sz w:val="22"/>
        </w:rPr>
        <w:t>550</w:t>
      </w:r>
      <w:r w:rsidRPr="003E52AE">
        <w:rPr>
          <w:rFonts w:ascii="Arial" w:hAnsi="Arial" w:cs="Arial"/>
          <w:sz w:val="22"/>
        </w:rPr>
        <w:t xml:space="preserve"> m</w:t>
      </w:r>
      <w:r w:rsidR="00F5686D" w:rsidRPr="003E52AE">
        <w:rPr>
          <w:rFonts w:ascii="Arial" w:hAnsi="Arial" w:cs="Arial"/>
          <w:sz w:val="22"/>
        </w:rPr>
        <w:t>il</w:t>
      </w:r>
      <w:r w:rsidRPr="003E52AE">
        <w:rPr>
          <w:rFonts w:ascii="Arial" w:hAnsi="Arial" w:cs="Arial"/>
          <w:sz w:val="22"/>
        </w:rPr>
        <w:t>. Kč.</w:t>
      </w:r>
    </w:p>
    <w:p w:rsidR="00804D10" w:rsidRPr="003E52AE" w:rsidRDefault="00804D10" w:rsidP="00220412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lastRenderedPageBreak/>
        <w:t>Soulad zavedení systému DS</w:t>
      </w:r>
      <w:r w:rsidR="00220412" w:rsidRPr="003E52AE">
        <w:rPr>
          <w:rFonts w:ascii="Arial" w:hAnsi="Arial" w:cs="Arial"/>
          <w:sz w:val="22"/>
          <w:lang w:val="cs-CZ"/>
        </w:rPr>
        <w:t xml:space="preserve"> </w:t>
      </w:r>
      <w:r w:rsidRPr="003E52AE">
        <w:rPr>
          <w:rFonts w:ascii="Arial" w:hAnsi="Arial" w:cs="Arial"/>
          <w:sz w:val="22"/>
          <w:lang w:val="cs-CZ"/>
        </w:rPr>
        <w:t>s vládní strategií</w:t>
      </w:r>
      <w:r w:rsidRPr="003E52AE">
        <w:rPr>
          <w:rStyle w:val="Znakapoznpodarou"/>
          <w:rFonts w:ascii="Arial" w:hAnsi="Arial"/>
          <w:sz w:val="22"/>
          <w:lang w:val="cs-CZ"/>
        </w:rPr>
        <w:footnoteReference w:id="4"/>
      </w:r>
    </w:p>
    <w:p w:rsidR="00804D10" w:rsidRDefault="00636DAE" w:rsidP="00220412">
      <w:pPr>
        <w:ind w:left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bCs/>
          <w:iCs/>
          <w:sz w:val="22"/>
        </w:rPr>
        <w:t xml:space="preserve">Příprava </w:t>
      </w:r>
      <w:r w:rsidR="00813A8B" w:rsidRPr="003E52AE">
        <w:rPr>
          <w:rFonts w:ascii="Arial" w:hAnsi="Arial" w:cs="Arial"/>
          <w:bCs/>
          <w:iCs/>
          <w:sz w:val="22"/>
        </w:rPr>
        <w:t xml:space="preserve">zavádění </w:t>
      </w:r>
      <w:r w:rsidRPr="003E52AE">
        <w:rPr>
          <w:rFonts w:ascii="Arial" w:hAnsi="Arial" w:cs="Arial"/>
          <w:bCs/>
          <w:iCs/>
          <w:sz w:val="22"/>
        </w:rPr>
        <w:t>systému DS byl</w:t>
      </w:r>
      <w:r w:rsidR="00813A8B" w:rsidRPr="003E52AE">
        <w:rPr>
          <w:rFonts w:ascii="Arial" w:hAnsi="Arial" w:cs="Arial"/>
          <w:bCs/>
          <w:iCs/>
          <w:sz w:val="22"/>
        </w:rPr>
        <w:t>a</w:t>
      </w:r>
      <w:r w:rsidRPr="003E52AE">
        <w:rPr>
          <w:rFonts w:ascii="Arial" w:hAnsi="Arial" w:cs="Arial"/>
          <w:bCs/>
          <w:iCs/>
          <w:sz w:val="22"/>
        </w:rPr>
        <w:t xml:space="preserve"> v souladu s vládní strategií</w:t>
      </w:r>
      <w:r w:rsidR="00FA619A" w:rsidRPr="003E52AE">
        <w:rPr>
          <w:rFonts w:ascii="Arial" w:hAnsi="Arial" w:cs="Arial"/>
          <w:bCs/>
          <w:iCs/>
          <w:sz w:val="22"/>
        </w:rPr>
        <w:t>, jejímž základním</w:t>
      </w:r>
      <w:r w:rsidR="00FA619A" w:rsidRPr="003E52AE">
        <w:rPr>
          <w:rFonts w:ascii="Arial" w:hAnsi="Arial" w:cs="Arial"/>
          <w:sz w:val="22"/>
        </w:rPr>
        <w:t xml:space="preserve"> cílem bylo transformovat a zjednodušit postupy používané ve veřejné správě proto, aby mohly </w:t>
      </w:r>
      <w:r w:rsidR="005E1760">
        <w:rPr>
          <w:rFonts w:ascii="Arial" w:hAnsi="Arial" w:cs="Arial"/>
          <w:sz w:val="22"/>
        </w:rPr>
        <w:t xml:space="preserve">být více </w:t>
      </w:r>
      <w:r w:rsidR="00FA619A" w:rsidRPr="003E52AE">
        <w:rPr>
          <w:rFonts w:ascii="Arial" w:hAnsi="Arial" w:cs="Arial"/>
          <w:sz w:val="22"/>
        </w:rPr>
        <w:t>využív</w:t>
      </w:r>
      <w:r w:rsidR="005E1760">
        <w:rPr>
          <w:rFonts w:ascii="Arial" w:hAnsi="Arial" w:cs="Arial"/>
          <w:sz w:val="22"/>
        </w:rPr>
        <w:t>ány</w:t>
      </w:r>
      <w:r w:rsidR="00FA619A" w:rsidRPr="003E52AE">
        <w:rPr>
          <w:rFonts w:ascii="Arial" w:hAnsi="Arial" w:cs="Arial"/>
          <w:sz w:val="22"/>
        </w:rPr>
        <w:t xml:space="preserve"> moderní komunikační a informační technologi</w:t>
      </w:r>
      <w:r w:rsidR="00813A8B" w:rsidRPr="003E52AE">
        <w:rPr>
          <w:rFonts w:ascii="Arial" w:hAnsi="Arial" w:cs="Arial"/>
          <w:sz w:val="22"/>
        </w:rPr>
        <w:t>e</w:t>
      </w:r>
      <w:r w:rsidR="00FA619A" w:rsidRPr="003E52AE">
        <w:rPr>
          <w:rFonts w:ascii="Arial" w:hAnsi="Arial" w:cs="Arial"/>
          <w:sz w:val="22"/>
        </w:rPr>
        <w:t>.</w:t>
      </w:r>
    </w:p>
    <w:p w:rsidR="00B03358" w:rsidRPr="003E52AE" w:rsidRDefault="00B03358" w:rsidP="00220412">
      <w:pPr>
        <w:ind w:left="284"/>
        <w:rPr>
          <w:rFonts w:ascii="Arial" w:hAnsi="Arial" w:cs="Arial"/>
          <w:sz w:val="22"/>
        </w:rPr>
      </w:pPr>
    </w:p>
    <w:p w:rsidR="004817FF" w:rsidRPr="003E52AE" w:rsidRDefault="004817FF" w:rsidP="008908A8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 xml:space="preserve">1.2 </w:t>
      </w:r>
      <w:r w:rsidR="005D5018" w:rsidRPr="003E52AE">
        <w:rPr>
          <w:rFonts w:ascii="Arial" w:hAnsi="Arial" w:cs="Arial"/>
          <w:b/>
          <w:sz w:val="22"/>
        </w:rPr>
        <w:t>R</w:t>
      </w:r>
      <w:r w:rsidRPr="003E52AE">
        <w:rPr>
          <w:rFonts w:ascii="Arial" w:hAnsi="Arial" w:cs="Arial"/>
          <w:b/>
          <w:sz w:val="22"/>
        </w:rPr>
        <w:t>ealizac</w:t>
      </w:r>
      <w:r w:rsidR="005D5018" w:rsidRPr="003E52AE">
        <w:rPr>
          <w:rFonts w:ascii="Arial" w:hAnsi="Arial" w:cs="Arial"/>
          <w:b/>
          <w:sz w:val="22"/>
        </w:rPr>
        <w:t>e</w:t>
      </w:r>
      <w:r w:rsidRPr="003E52AE">
        <w:rPr>
          <w:rFonts w:ascii="Arial" w:hAnsi="Arial" w:cs="Arial"/>
          <w:b/>
          <w:sz w:val="22"/>
        </w:rPr>
        <w:t xml:space="preserve"> projektu DS</w:t>
      </w:r>
    </w:p>
    <w:p w:rsidR="00220412" w:rsidRPr="003E52AE" w:rsidRDefault="00220412" w:rsidP="008908A8">
      <w:pPr>
        <w:rPr>
          <w:rFonts w:ascii="Arial" w:hAnsi="Arial" w:cs="Arial"/>
          <w:sz w:val="22"/>
        </w:rPr>
      </w:pPr>
    </w:p>
    <w:p w:rsidR="00783DAC" w:rsidRPr="00811BB2" w:rsidRDefault="00783DAC" w:rsidP="008908A8">
      <w:pPr>
        <w:rPr>
          <w:rFonts w:ascii="Arial" w:hAnsi="Arial" w:cs="Arial"/>
          <w:b/>
          <w:sz w:val="22"/>
        </w:rPr>
      </w:pPr>
      <w:r w:rsidRPr="00811BB2">
        <w:rPr>
          <w:rFonts w:ascii="Arial" w:hAnsi="Arial" w:cs="Arial"/>
          <w:b/>
          <w:sz w:val="22"/>
        </w:rPr>
        <w:t xml:space="preserve">Výběr dodavatelů </w:t>
      </w:r>
      <w:r w:rsidR="00785011" w:rsidRPr="00811BB2">
        <w:rPr>
          <w:rFonts w:ascii="Arial" w:hAnsi="Arial" w:cs="Arial"/>
          <w:b/>
          <w:sz w:val="22"/>
        </w:rPr>
        <w:t>a smluvní zabezpečení</w:t>
      </w:r>
    </w:p>
    <w:p w:rsidR="00220412" w:rsidRPr="003E52AE" w:rsidRDefault="00220412" w:rsidP="008908A8">
      <w:pPr>
        <w:rPr>
          <w:rFonts w:ascii="Arial" w:hAnsi="Arial" w:cs="Arial"/>
          <w:sz w:val="22"/>
        </w:rPr>
      </w:pPr>
    </w:p>
    <w:p w:rsidR="003E2B1E" w:rsidRPr="003E52AE" w:rsidRDefault="003E2B1E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MV použilo při výběru </w:t>
      </w:r>
      <w:r w:rsidR="00785011" w:rsidRPr="003E52AE">
        <w:rPr>
          <w:rFonts w:ascii="Arial" w:hAnsi="Arial" w:cs="Arial"/>
          <w:sz w:val="22"/>
        </w:rPr>
        <w:t>provozovatele</w:t>
      </w:r>
      <w:r w:rsidR="00F476D8" w:rsidRPr="003E52AE">
        <w:rPr>
          <w:rFonts w:ascii="Arial" w:hAnsi="Arial" w:cs="Arial"/>
          <w:sz w:val="22"/>
        </w:rPr>
        <w:t xml:space="preserve"> DS</w:t>
      </w:r>
      <w:r w:rsidR="00785011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jednací řízení bez u</w:t>
      </w:r>
      <w:r w:rsidR="00AA3E2E" w:rsidRPr="003E52AE">
        <w:rPr>
          <w:rFonts w:ascii="Arial" w:hAnsi="Arial" w:cs="Arial"/>
          <w:sz w:val="22"/>
        </w:rPr>
        <w:t>veřejnění (dále také „JŘBU“), a </w:t>
      </w:r>
      <w:r w:rsidRPr="003E52AE">
        <w:rPr>
          <w:rFonts w:ascii="Arial" w:hAnsi="Arial" w:cs="Arial"/>
          <w:sz w:val="22"/>
        </w:rPr>
        <w:t>to s ohledem na skutečnost, že zákon č. 300/2008 Sb. stanoví, že provozovatelem systému DS m</w:t>
      </w:r>
      <w:r w:rsidR="00076AB2" w:rsidRPr="003E52AE">
        <w:rPr>
          <w:rFonts w:ascii="Arial" w:hAnsi="Arial" w:cs="Arial"/>
          <w:sz w:val="22"/>
        </w:rPr>
        <w:t>ůže</w:t>
      </w:r>
      <w:r w:rsidRPr="003E52AE">
        <w:rPr>
          <w:rFonts w:ascii="Arial" w:hAnsi="Arial" w:cs="Arial"/>
          <w:sz w:val="22"/>
        </w:rPr>
        <w:t xml:space="preserve"> být pouze držitel poštovní licence. V době realizace projektu DS byla </w:t>
      </w:r>
      <w:r w:rsidR="00AA3E2E" w:rsidRPr="003E52AE">
        <w:rPr>
          <w:rFonts w:ascii="Arial" w:hAnsi="Arial" w:cs="Arial"/>
          <w:sz w:val="22"/>
        </w:rPr>
        <w:t>a </w:t>
      </w:r>
      <w:r w:rsidR="00076AB2" w:rsidRPr="003E52AE">
        <w:rPr>
          <w:rFonts w:ascii="Arial" w:hAnsi="Arial" w:cs="Arial"/>
          <w:sz w:val="22"/>
        </w:rPr>
        <w:t xml:space="preserve">stále je </w:t>
      </w:r>
      <w:r w:rsidRPr="003E52AE">
        <w:rPr>
          <w:rFonts w:ascii="Arial" w:hAnsi="Arial" w:cs="Arial"/>
          <w:sz w:val="22"/>
        </w:rPr>
        <w:t>takovým</w:t>
      </w:r>
      <w:r w:rsidR="00076AB2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 xml:space="preserve">subjektem </w:t>
      </w:r>
      <w:r w:rsidR="00076AB2" w:rsidRPr="003E52AE">
        <w:rPr>
          <w:rFonts w:ascii="Arial" w:hAnsi="Arial" w:cs="Arial"/>
          <w:sz w:val="22"/>
        </w:rPr>
        <w:t xml:space="preserve">v ČR </w:t>
      </w:r>
      <w:r w:rsidRPr="003E52AE">
        <w:rPr>
          <w:rFonts w:ascii="Arial" w:hAnsi="Arial" w:cs="Arial"/>
          <w:sz w:val="22"/>
        </w:rPr>
        <w:t>pouze ČP</w:t>
      </w:r>
      <w:r w:rsidR="00CF226D" w:rsidRPr="003E52AE">
        <w:rPr>
          <w:rFonts w:ascii="Arial" w:hAnsi="Arial" w:cs="Arial"/>
          <w:sz w:val="22"/>
        </w:rPr>
        <w:t>.</w:t>
      </w:r>
    </w:p>
    <w:p w:rsidR="00220412" w:rsidRPr="003E52AE" w:rsidRDefault="00220412" w:rsidP="008908A8">
      <w:pPr>
        <w:rPr>
          <w:rFonts w:ascii="Arial" w:hAnsi="Arial" w:cs="Arial"/>
          <w:sz w:val="22"/>
        </w:rPr>
      </w:pPr>
    </w:p>
    <w:p w:rsidR="00230813" w:rsidRPr="003E52AE" w:rsidRDefault="00230813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MV se v rámci JŘBU omezilo pouze na přijetí nabídky a posouzení, zda nabídka obsah</w:t>
      </w:r>
      <w:r w:rsidR="005E1760">
        <w:rPr>
          <w:rFonts w:ascii="Arial" w:hAnsi="Arial" w:cs="Arial"/>
          <w:sz w:val="22"/>
        </w:rPr>
        <w:t>uje</w:t>
      </w:r>
      <w:r w:rsidRPr="003E52AE">
        <w:rPr>
          <w:rFonts w:ascii="Arial" w:hAnsi="Arial" w:cs="Arial"/>
          <w:sz w:val="22"/>
        </w:rPr>
        <w:t xml:space="preserve"> veškeré náležitosti dle zákona č. 137/2006 Sb.</w:t>
      </w:r>
      <w:r w:rsidRPr="003E52AE">
        <w:rPr>
          <w:rStyle w:val="Znakapoznpodarou"/>
          <w:rFonts w:ascii="Arial" w:hAnsi="Arial"/>
          <w:sz w:val="22"/>
        </w:rPr>
        <w:footnoteReference w:id="5"/>
      </w:r>
      <w:r w:rsidR="004C36E0" w:rsidRPr="003E52AE">
        <w:rPr>
          <w:rFonts w:ascii="Arial" w:hAnsi="Arial" w:cs="Arial"/>
          <w:sz w:val="22"/>
        </w:rPr>
        <w:t>.</w:t>
      </w:r>
      <w:r w:rsidRPr="003E52AE">
        <w:rPr>
          <w:rFonts w:ascii="Arial" w:hAnsi="Arial" w:cs="Arial"/>
          <w:sz w:val="22"/>
        </w:rPr>
        <w:t xml:space="preserve"> </w:t>
      </w:r>
    </w:p>
    <w:p w:rsidR="00220412" w:rsidRPr="003E52AE" w:rsidRDefault="00220412" w:rsidP="008908A8">
      <w:pPr>
        <w:rPr>
          <w:rFonts w:ascii="Arial" w:hAnsi="Arial" w:cs="Arial"/>
          <w:sz w:val="22"/>
        </w:rPr>
      </w:pPr>
    </w:p>
    <w:p w:rsidR="00B826E4" w:rsidRPr="003E52AE" w:rsidRDefault="006036C5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Na základě uvedeného výběrového řízení uzavřelo MV dne 27. </w:t>
      </w:r>
      <w:r w:rsidR="00AA3E2E" w:rsidRPr="003E52AE">
        <w:rPr>
          <w:rFonts w:ascii="Arial" w:hAnsi="Arial" w:cs="Arial"/>
          <w:sz w:val="22"/>
        </w:rPr>
        <w:t>února</w:t>
      </w:r>
      <w:r w:rsidR="00220412" w:rsidRPr="003E52AE">
        <w:rPr>
          <w:rFonts w:ascii="Arial" w:hAnsi="Arial" w:cs="Arial"/>
          <w:sz w:val="22"/>
        </w:rPr>
        <w:t xml:space="preserve"> </w:t>
      </w:r>
      <w:r w:rsidR="00AA3E2E" w:rsidRPr="003E52AE">
        <w:rPr>
          <w:rFonts w:ascii="Arial" w:hAnsi="Arial" w:cs="Arial"/>
          <w:sz w:val="22"/>
        </w:rPr>
        <w:t xml:space="preserve">2009 s ČP </w:t>
      </w:r>
      <w:r w:rsidR="00335520">
        <w:rPr>
          <w:rFonts w:ascii="Arial" w:hAnsi="Arial" w:cs="Arial"/>
          <w:sz w:val="22"/>
        </w:rPr>
        <w:t>s</w:t>
      </w:r>
      <w:r w:rsidR="00AA3E2E" w:rsidRPr="003E52AE">
        <w:rPr>
          <w:rFonts w:ascii="Arial" w:hAnsi="Arial" w:cs="Arial"/>
          <w:sz w:val="22"/>
        </w:rPr>
        <w:t>mlouvu o </w:t>
      </w:r>
      <w:r w:rsidRPr="003E52AE">
        <w:rPr>
          <w:rFonts w:ascii="Arial" w:hAnsi="Arial" w:cs="Arial"/>
          <w:sz w:val="22"/>
        </w:rPr>
        <w:t>poskytování služeb provozovatele informačního systému datových schránek (dále také „Smlouva“). Smlouva byla uzavřena na dobu určitou, a to do 30. </w:t>
      </w:r>
      <w:r w:rsidR="00530561" w:rsidRPr="003E52AE">
        <w:rPr>
          <w:rFonts w:ascii="Arial" w:hAnsi="Arial" w:cs="Arial"/>
          <w:sz w:val="22"/>
        </w:rPr>
        <w:t>června</w:t>
      </w:r>
      <w:r w:rsidR="00220412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2014. Předmětem Smlouvy byly závazky ČP, které spočívaly zejména v po</w:t>
      </w:r>
      <w:r w:rsidR="00530561" w:rsidRPr="003E52AE">
        <w:rPr>
          <w:rFonts w:ascii="Arial" w:hAnsi="Arial" w:cs="Arial"/>
          <w:sz w:val="22"/>
        </w:rPr>
        <w:t>skytování základních, dalších a </w:t>
      </w:r>
      <w:r w:rsidRPr="003E52AE">
        <w:rPr>
          <w:rFonts w:ascii="Arial" w:hAnsi="Arial" w:cs="Arial"/>
          <w:sz w:val="22"/>
        </w:rPr>
        <w:t>dodatkových služeb v souvislosti se zřízením a provozováním systému DS.</w:t>
      </w:r>
      <w:r w:rsidR="00C76FC6" w:rsidRPr="003E52AE">
        <w:rPr>
          <w:rFonts w:ascii="Arial" w:hAnsi="Arial" w:cs="Arial"/>
          <w:sz w:val="22"/>
        </w:rPr>
        <w:t xml:space="preserve"> Ve </w:t>
      </w:r>
      <w:r w:rsidR="00D46354" w:rsidRPr="003E52AE">
        <w:rPr>
          <w:rFonts w:ascii="Arial" w:hAnsi="Arial" w:cs="Arial"/>
          <w:sz w:val="22"/>
        </w:rPr>
        <w:t>S</w:t>
      </w:r>
      <w:r w:rsidR="00C76FC6" w:rsidRPr="003E52AE">
        <w:rPr>
          <w:rFonts w:ascii="Arial" w:hAnsi="Arial" w:cs="Arial"/>
          <w:sz w:val="22"/>
        </w:rPr>
        <w:t>mlouvě nebyla stanovena pevná cena a výše odměny byla závislá především na počtu odeslaných zpráv, jak vyplývá z tabulek č. 1 a 2.</w:t>
      </w:r>
      <w:r w:rsidRPr="003E52AE">
        <w:rPr>
          <w:rFonts w:ascii="Arial" w:hAnsi="Arial" w:cs="Arial"/>
          <w:sz w:val="22"/>
        </w:rPr>
        <w:t xml:space="preserve"> Podle Smlouvy bylo MV mj. kdykoliv po dobu trvání </w:t>
      </w:r>
      <w:r w:rsidR="00814C63" w:rsidRPr="003E52AE">
        <w:rPr>
          <w:rFonts w:ascii="Arial" w:hAnsi="Arial" w:cs="Arial"/>
          <w:sz w:val="22"/>
        </w:rPr>
        <w:t>S</w:t>
      </w:r>
      <w:r w:rsidRPr="003E52AE">
        <w:rPr>
          <w:rFonts w:ascii="Arial" w:hAnsi="Arial" w:cs="Arial"/>
          <w:sz w:val="22"/>
        </w:rPr>
        <w:t>mlouvy oprávněno vyzvat ČP k úplatnému poskytnutí výhradní převoditelné licence pro území České republiky k softwar</w:t>
      </w:r>
      <w:r w:rsidR="00335520">
        <w:rPr>
          <w:rFonts w:ascii="Arial" w:hAnsi="Arial" w:cs="Arial"/>
          <w:sz w:val="22"/>
        </w:rPr>
        <w:t>u</w:t>
      </w:r>
      <w:r w:rsidRPr="003E52AE">
        <w:rPr>
          <w:rFonts w:ascii="Arial" w:hAnsi="Arial" w:cs="Arial"/>
          <w:sz w:val="22"/>
        </w:rPr>
        <w:t xml:space="preserve"> a databázím vytvořeným pro účely zajištění poskytování služeb systému DS.</w:t>
      </w:r>
    </w:p>
    <w:p w:rsidR="00220412" w:rsidRPr="003E52AE" w:rsidRDefault="00220412" w:rsidP="008908A8">
      <w:pPr>
        <w:rPr>
          <w:rFonts w:ascii="Arial" w:hAnsi="Arial" w:cs="Arial"/>
          <w:sz w:val="22"/>
        </w:rPr>
      </w:pPr>
    </w:p>
    <w:p w:rsidR="00530561" w:rsidRPr="003E52AE" w:rsidRDefault="006036C5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Ke Smlouvě bylo v období do února 2013 postupně uzavřeno 8 dodatků</w:t>
      </w:r>
      <w:r w:rsidR="00C76FC6" w:rsidRPr="003E52AE">
        <w:rPr>
          <w:rFonts w:ascii="Arial" w:hAnsi="Arial" w:cs="Arial"/>
          <w:sz w:val="22"/>
        </w:rPr>
        <w:t xml:space="preserve">, přičemž </w:t>
      </w:r>
      <w:r w:rsidR="00335520">
        <w:rPr>
          <w:rFonts w:ascii="Arial" w:hAnsi="Arial" w:cs="Arial"/>
          <w:sz w:val="22"/>
        </w:rPr>
        <w:t xml:space="preserve">čtyři </w:t>
      </w:r>
      <w:r w:rsidR="00C76FC6" w:rsidRPr="003E52AE">
        <w:rPr>
          <w:rFonts w:ascii="Arial" w:hAnsi="Arial" w:cs="Arial"/>
          <w:sz w:val="22"/>
        </w:rPr>
        <w:t>z</w:t>
      </w:r>
      <w:r w:rsidR="007B2029" w:rsidRPr="003E52AE">
        <w:rPr>
          <w:rFonts w:ascii="Arial" w:hAnsi="Arial" w:cs="Arial"/>
          <w:sz w:val="22"/>
        </w:rPr>
        <w:t> </w:t>
      </w:r>
      <w:r w:rsidR="00C76FC6" w:rsidRPr="003E52AE">
        <w:rPr>
          <w:rFonts w:ascii="Arial" w:hAnsi="Arial" w:cs="Arial"/>
          <w:sz w:val="22"/>
        </w:rPr>
        <w:t>nich</w:t>
      </w:r>
      <w:r w:rsidR="00335520">
        <w:rPr>
          <w:rFonts w:ascii="Arial" w:hAnsi="Arial" w:cs="Arial"/>
          <w:sz w:val="22"/>
        </w:rPr>
        <w:t xml:space="preserve"> </w:t>
      </w:r>
      <w:r w:rsidR="00C76FC6" w:rsidRPr="003E52AE">
        <w:rPr>
          <w:rFonts w:ascii="Arial" w:hAnsi="Arial" w:cs="Arial"/>
          <w:sz w:val="22"/>
        </w:rPr>
        <w:t>měly dopad na smluvní cenu</w:t>
      </w:r>
      <w:r w:rsidR="006F5E6E" w:rsidRPr="003E52AE">
        <w:rPr>
          <w:rFonts w:ascii="Arial" w:hAnsi="Arial" w:cs="Arial"/>
          <w:sz w:val="22"/>
        </w:rPr>
        <w:t>.</w:t>
      </w:r>
      <w:r w:rsidR="00762DA2" w:rsidRPr="003E52AE">
        <w:rPr>
          <w:rFonts w:ascii="Arial" w:hAnsi="Arial" w:cs="Arial"/>
          <w:sz w:val="22"/>
        </w:rPr>
        <w:t xml:space="preserve"> </w:t>
      </w:r>
      <w:r w:rsidR="00C2337D" w:rsidRPr="003E52AE">
        <w:rPr>
          <w:rFonts w:ascii="Arial" w:hAnsi="Arial" w:cs="Arial"/>
          <w:sz w:val="22"/>
        </w:rPr>
        <w:t>Dodatky zvýšily</w:t>
      </w:r>
      <w:r w:rsidR="005126DF" w:rsidRPr="003E52AE">
        <w:rPr>
          <w:rFonts w:ascii="Arial" w:hAnsi="Arial" w:cs="Arial"/>
          <w:sz w:val="22"/>
        </w:rPr>
        <w:t xml:space="preserve"> do konce roku 2012</w:t>
      </w:r>
      <w:r w:rsidR="00C2337D" w:rsidRPr="003E52AE">
        <w:rPr>
          <w:rFonts w:ascii="Arial" w:hAnsi="Arial" w:cs="Arial"/>
          <w:sz w:val="22"/>
        </w:rPr>
        <w:t xml:space="preserve"> cenu </w:t>
      </w:r>
      <w:r w:rsidR="005126DF" w:rsidRPr="003E52AE">
        <w:rPr>
          <w:rFonts w:ascii="Arial" w:hAnsi="Arial" w:cs="Arial"/>
          <w:sz w:val="22"/>
        </w:rPr>
        <w:t>minimálně o</w:t>
      </w:r>
      <w:r w:rsidR="007B2029" w:rsidRPr="003E52AE">
        <w:rPr>
          <w:rFonts w:ascii="Arial" w:hAnsi="Arial" w:cs="Arial"/>
          <w:sz w:val="22"/>
        </w:rPr>
        <w:t> </w:t>
      </w:r>
      <w:r w:rsidR="008263CF" w:rsidRPr="003E52AE">
        <w:rPr>
          <w:rFonts w:ascii="Arial" w:hAnsi="Arial" w:cs="Arial"/>
          <w:sz w:val="22"/>
        </w:rPr>
        <w:t>382</w:t>
      </w:r>
      <w:r w:rsidR="005C66EB">
        <w:rPr>
          <w:rFonts w:ascii="Arial" w:hAnsi="Arial" w:cs="Arial"/>
          <w:sz w:val="22"/>
        </w:rPr>
        <w:t> </w:t>
      </w:r>
      <w:r w:rsidR="008263CF" w:rsidRPr="003E52AE">
        <w:rPr>
          <w:rFonts w:ascii="Arial" w:hAnsi="Arial" w:cs="Arial"/>
          <w:sz w:val="22"/>
        </w:rPr>
        <w:t>mil.</w:t>
      </w:r>
      <w:r w:rsidR="005C66EB">
        <w:rPr>
          <w:rFonts w:ascii="Arial" w:hAnsi="Arial" w:cs="Arial"/>
          <w:sz w:val="22"/>
        </w:rPr>
        <w:t> </w:t>
      </w:r>
      <w:r w:rsidR="00C2337D" w:rsidRPr="003E52AE">
        <w:rPr>
          <w:rFonts w:ascii="Arial" w:hAnsi="Arial" w:cs="Arial"/>
          <w:sz w:val="22"/>
        </w:rPr>
        <w:t>Kč</w:t>
      </w:r>
      <w:r w:rsidR="008263CF" w:rsidRPr="003E52AE">
        <w:rPr>
          <w:rFonts w:ascii="Arial" w:hAnsi="Arial" w:cs="Arial"/>
          <w:sz w:val="22"/>
        </w:rPr>
        <w:t xml:space="preserve"> bez DPH</w:t>
      </w:r>
      <w:r w:rsidR="00AF17A5" w:rsidRPr="003E52AE">
        <w:rPr>
          <w:rFonts w:ascii="Arial" w:hAnsi="Arial" w:cs="Arial"/>
          <w:sz w:val="22"/>
        </w:rPr>
        <w:t>:</w:t>
      </w:r>
    </w:p>
    <w:p w:rsidR="00FD0FF6" w:rsidRPr="003E52AE" w:rsidRDefault="005126DF" w:rsidP="00811BB2">
      <w:pPr>
        <w:pStyle w:val="Odstavecseseznamem"/>
        <w:numPr>
          <w:ilvl w:val="0"/>
          <w:numId w:val="20"/>
        </w:numPr>
        <w:ind w:left="284" w:hanging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  <w:lang w:val="cs-CZ"/>
        </w:rPr>
        <w:t xml:space="preserve">Dodatek č. 2 </w:t>
      </w:r>
      <w:r w:rsidR="009C18AB" w:rsidRPr="003E52AE">
        <w:rPr>
          <w:rFonts w:ascii="Arial" w:hAnsi="Arial" w:cs="Arial"/>
          <w:sz w:val="22"/>
          <w:lang w:val="cs-CZ"/>
        </w:rPr>
        <w:t>–</w:t>
      </w:r>
      <w:r w:rsidRPr="003E52AE">
        <w:rPr>
          <w:rFonts w:ascii="Arial" w:hAnsi="Arial" w:cs="Arial"/>
          <w:i/>
          <w:sz w:val="22"/>
          <w:lang w:val="cs-CZ"/>
        </w:rPr>
        <w:t xml:space="preserve"> </w:t>
      </w:r>
      <w:r w:rsidR="00783DAC" w:rsidRPr="003E52AE">
        <w:rPr>
          <w:rFonts w:ascii="Arial" w:hAnsi="Arial" w:cs="Arial"/>
          <w:i/>
          <w:sz w:val="22"/>
          <w:lang w:val="cs-CZ"/>
        </w:rPr>
        <w:t>Zajištění úprav poskytování služeb informačního systému datových schránek</w:t>
      </w:r>
      <w:r w:rsidR="00E5050B" w:rsidRPr="003E52AE">
        <w:rPr>
          <w:rFonts w:ascii="Arial" w:hAnsi="Arial" w:cs="Arial"/>
          <w:i/>
          <w:sz w:val="22"/>
          <w:lang w:val="cs-CZ"/>
        </w:rPr>
        <w:t xml:space="preserve"> a navýšení paušální platby</w:t>
      </w:r>
      <w:r w:rsidR="00783DAC" w:rsidRPr="003E52AE">
        <w:rPr>
          <w:rFonts w:ascii="Arial" w:hAnsi="Arial" w:cs="Arial"/>
          <w:i/>
          <w:sz w:val="22"/>
          <w:lang w:val="cs-CZ"/>
        </w:rPr>
        <w:t xml:space="preserve"> </w:t>
      </w:r>
      <w:r w:rsidR="00BC1D40" w:rsidRPr="003E52AE">
        <w:rPr>
          <w:rFonts w:ascii="Arial" w:hAnsi="Arial" w:cs="Arial"/>
          <w:i/>
          <w:sz w:val="22"/>
          <w:lang w:val="cs-CZ"/>
        </w:rPr>
        <w:t>– rok 2011</w:t>
      </w:r>
      <w:r w:rsidR="005B5D7A" w:rsidRPr="003E52AE">
        <w:rPr>
          <w:rFonts w:ascii="Arial" w:hAnsi="Arial" w:cs="Arial"/>
          <w:sz w:val="22"/>
          <w:lang w:val="cs-CZ"/>
        </w:rPr>
        <w:t xml:space="preserve"> uzavřelo </w:t>
      </w:r>
      <w:r w:rsidR="009C18AB" w:rsidRPr="003E52AE">
        <w:rPr>
          <w:rFonts w:ascii="Arial" w:hAnsi="Arial" w:cs="Arial"/>
          <w:sz w:val="22"/>
          <w:lang w:val="cs-CZ"/>
        </w:rPr>
        <w:t xml:space="preserve">MV </w:t>
      </w:r>
      <w:r w:rsidR="005B5D7A" w:rsidRPr="003E52AE">
        <w:rPr>
          <w:rFonts w:ascii="Arial" w:hAnsi="Arial" w:cs="Arial"/>
          <w:sz w:val="22"/>
          <w:lang w:val="cs-CZ"/>
        </w:rPr>
        <w:t>dne 9. </w:t>
      </w:r>
      <w:r w:rsidR="00530561" w:rsidRPr="003E52AE">
        <w:rPr>
          <w:rFonts w:ascii="Arial" w:hAnsi="Arial" w:cs="Arial"/>
          <w:sz w:val="22"/>
          <w:lang w:val="cs-CZ"/>
        </w:rPr>
        <w:t>listopadu</w:t>
      </w:r>
      <w:r w:rsidR="00220412" w:rsidRPr="003E52AE">
        <w:rPr>
          <w:rFonts w:ascii="Arial" w:hAnsi="Arial" w:cs="Arial"/>
          <w:sz w:val="22"/>
          <w:lang w:val="cs-CZ"/>
        </w:rPr>
        <w:t xml:space="preserve"> </w:t>
      </w:r>
      <w:r w:rsidR="005B5D7A" w:rsidRPr="003E52AE">
        <w:rPr>
          <w:rFonts w:ascii="Arial" w:hAnsi="Arial" w:cs="Arial"/>
          <w:sz w:val="22"/>
          <w:lang w:val="cs-CZ"/>
        </w:rPr>
        <w:t>2010</w:t>
      </w:r>
      <w:r w:rsidR="00FD0FF6" w:rsidRPr="003E52AE">
        <w:rPr>
          <w:rFonts w:ascii="Arial" w:hAnsi="Arial" w:cs="Arial"/>
          <w:sz w:val="22"/>
          <w:lang w:val="cs-CZ"/>
        </w:rPr>
        <w:t>. Předmětem dodatku bylo navýšení paušální odměny z</w:t>
      </w:r>
      <w:r w:rsidR="00AF17A5" w:rsidRPr="003E52AE">
        <w:rPr>
          <w:rFonts w:ascii="Arial" w:hAnsi="Arial" w:cs="Arial"/>
          <w:sz w:val="22"/>
          <w:lang w:val="cs-CZ"/>
        </w:rPr>
        <w:t>a provozování systému DS o 19,2 </w:t>
      </w:r>
      <w:r w:rsidR="00FD0FF6" w:rsidRPr="003E52AE">
        <w:rPr>
          <w:rFonts w:ascii="Arial" w:hAnsi="Arial" w:cs="Arial"/>
          <w:sz w:val="22"/>
          <w:lang w:val="cs-CZ"/>
        </w:rPr>
        <w:t>mil.</w:t>
      </w:r>
      <w:r w:rsidR="00AF17A5" w:rsidRPr="003E52AE">
        <w:rPr>
          <w:rFonts w:ascii="Arial" w:hAnsi="Arial" w:cs="Arial"/>
          <w:sz w:val="22"/>
          <w:lang w:val="cs-CZ"/>
        </w:rPr>
        <w:t> </w:t>
      </w:r>
      <w:r w:rsidR="00FD0FF6" w:rsidRPr="003E52AE">
        <w:rPr>
          <w:rFonts w:ascii="Arial" w:hAnsi="Arial" w:cs="Arial"/>
          <w:sz w:val="22"/>
          <w:lang w:val="cs-CZ"/>
        </w:rPr>
        <w:t>Kč bez DPH a poskytnutí jednorázové odměny za úpravu systému DS ve výši 238</w:t>
      </w:r>
      <w:r w:rsidR="00FA159C" w:rsidRPr="003E52AE">
        <w:rPr>
          <w:rFonts w:ascii="Arial" w:hAnsi="Arial" w:cs="Arial"/>
          <w:sz w:val="22"/>
          <w:lang w:val="cs-CZ"/>
        </w:rPr>
        <w:t> </w:t>
      </w:r>
      <w:r w:rsidR="00FD0FF6" w:rsidRPr="003E52AE">
        <w:rPr>
          <w:rFonts w:ascii="Arial" w:hAnsi="Arial" w:cs="Arial"/>
          <w:sz w:val="22"/>
          <w:lang w:val="cs-CZ"/>
        </w:rPr>
        <w:t>mil. Kč bez DPH.</w:t>
      </w:r>
    </w:p>
    <w:p w:rsidR="00762DA2" w:rsidRPr="003E52AE" w:rsidRDefault="005126DF" w:rsidP="00811BB2">
      <w:pPr>
        <w:pStyle w:val="Odstavecseseznamem"/>
        <w:numPr>
          <w:ilvl w:val="0"/>
          <w:numId w:val="20"/>
        </w:numPr>
        <w:ind w:left="284" w:hanging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  <w:lang w:val="cs-CZ"/>
        </w:rPr>
        <w:t xml:space="preserve">Dodatek č. 4 </w:t>
      </w:r>
      <w:r w:rsidR="009C18AB" w:rsidRPr="003E52AE">
        <w:rPr>
          <w:rFonts w:ascii="Arial" w:hAnsi="Arial" w:cs="Arial"/>
          <w:sz w:val="22"/>
          <w:lang w:val="cs-CZ"/>
        </w:rPr>
        <w:t>–</w:t>
      </w:r>
      <w:r w:rsidRPr="003E52AE">
        <w:rPr>
          <w:rFonts w:ascii="Arial" w:hAnsi="Arial" w:cs="Arial"/>
          <w:i/>
          <w:sz w:val="22"/>
          <w:lang w:val="cs-CZ"/>
        </w:rPr>
        <w:t xml:space="preserve"> </w:t>
      </w:r>
      <w:r w:rsidR="00783DAC" w:rsidRPr="003E52AE">
        <w:rPr>
          <w:rFonts w:ascii="Arial" w:hAnsi="Arial" w:cs="Arial"/>
          <w:i/>
          <w:sz w:val="22"/>
          <w:lang w:val="cs-CZ"/>
        </w:rPr>
        <w:t>Zajištění úprav poskytování služeb informačního systému datových schránek – rok 2012</w:t>
      </w:r>
      <w:r w:rsidR="00743502" w:rsidRPr="003E52AE">
        <w:rPr>
          <w:rFonts w:ascii="Arial" w:hAnsi="Arial" w:cs="Arial"/>
          <w:sz w:val="22"/>
          <w:lang w:val="cs-CZ"/>
        </w:rPr>
        <w:t xml:space="preserve"> uzavřelo </w:t>
      </w:r>
      <w:r w:rsidR="009C18AB" w:rsidRPr="003E52AE">
        <w:rPr>
          <w:rFonts w:ascii="Arial" w:hAnsi="Arial" w:cs="Arial"/>
          <w:sz w:val="22"/>
          <w:lang w:val="cs-CZ"/>
        </w:rPr>
        <w:t xml:space="preserve">MV </w:t>
      </w:r>
      <w:r w:rsidR="00743502" w:rsidRPr="003E52AE">
        <w:rPr>
          <w:rFonts w:ascii="Arial" w:hAnsi="Arial" w:cs="Arial"/>
          <w:sz w:val="22"/>
          <w:lang w:val="cs-CZ"/>
        </w:rPr>
        <w:t xml:space="preserve">dne </w:t>
      </w:r>
      <w:r w:rsidR="0004039D" w:rsidRPr="003E52AE">
        <w:rPr>
          <w:rFonts w:ascii="Arial" w:hAnsi="Arial" w:cs="Arial"/>
          <w:sz w:val="22"/>
          <w:lang w:val="cs-CZ"/>
        </w:rPr>
        <w:t>24. </w:t>
      </w:r>
      <w:r w:rsidR="002C2FC6" w:rsidRPr="003E52AE">
        <w:rPr>
          <w:rFonts w:ascii="Arial" w:hAnsi="Arial" w:cs="Arial"/>
          <w:sz w:val="22"/>
          <w:lang w:val="cs-CZ"/>
        </w:rPr>
        <w:t>listopadu</w:t>
      </w:r>
      <w:r w:rsidR="00220412" w:rsidRPr="003E52AE">
        <w:rPr>
          <w:rFonts w:ascii="Arial" w:hAnsi="Arial" w:cs="Arial"/>
          <w:sz w:val="22"/>
          <w:lang w:val="cs-CZ"/>
        </w:rPr>
        <w:t xml:space="preserve"> </w:t>
      </w:r>
      <w:r w:rsidR="0004039D" w:rsidRPr="003E52AE">
        <w:rPr>
          <w:rFonts w:ascii="Arial" w:hAnsi="Arial" w:cs="Arial"/>
          <w:sz w:val="22"/>
          <w:lang w:val="cs-CZ"/>
        </w:rPr>
        <w:t>2011</w:t>
      </w:r>
      <w:r w:rsidR="00762DA2" w:rsidRPr="003E52AE">
        <w:rPr>
          <w:rFonts w:ascii="Arial" w:hAnsi="Arial" w:cs="Arial"/>
          <w:sz w:val="22"/>
          <w:lang w:val="cs-CZ"/>
        </w:rPr>
        <w:t xml:space="preserve">. Předmětem </w:t>
      </w:r>
      <w:r w:rsidR="0004039D" w:rsidRPr="003E52AE">
        <w:rPr>
          <w:rFonts w:ascii="Arial" w:hAnsi="Arial" w:cs="Arial"/>
          <w:sz w:val="22"/>
          <w:lang w:val="cs-CZ"/>
        </w:rPr>
        <w:t>d</w:t>
      </w:r>
      <w:r w:rsidR="00762DA2" w:rsidRPr="003E52AE">
        <w:rPr>
          <w:rFonts w:ascii="Arial" w:hAnsi="Arial" w:cs="Arial"/>
          <w:sz w:val="22"/>
          <w:lang w:val="cs-CZ"/>
        </w:rPr>
        <w:t xml:space="preserve">odatku byla implementace funkčních úprav programového vybavení z důvodu novelizace zákona č. 300/2008 Sb. související se změnou práv a povinností </w:t>
      </w:r>
      <w:r w:rsidR="00553454" w:rsidRPr="003E52AE">
        <w:rPr>
          <w:rFonts w:ascii="Arial" w:hAnsi="Arial" w:cs="Arial"/>
          <w:sz w:val="22"/>
          <w:lang w:val="cs-CZ"/>
        </w:rPr>
        <w:t>s</w:t>
      </w:r>
      <w:r w:rsidR="00762DA2" w:rsidRPr="003E52AE">
        <w:rPr>
          <w:rFonts w:ascii="Arial" w:hAnsi="Arial" w:cs="Arial"/>
          <w:sz w:val="22"/>
          <w:lang w:val="cs-CZ"/>
        </w:rPr>
        <w:t xml:space="preserve">právce a </w:t>
      </w:r>
      <w:r w:rsidR="00553454" w:rsidRPr="003E52AE">
        <w:rPr>
          <w:rFonts w:ascii="Arial" w:hAnsi="Arial" w:cs="Arial"/>
          <w:sz w:val="22"/>
          <w:lang w:val="cs-CZ"/>
        </w:rPr>
        <w:t>p</w:t>
      </w:r>
      <w:r w:rsidR="00762DA2" w:rsidRPr="003E52AE">
        <w:rPr>
          <w:rFonts w:ascii="Arial" w:hAnsi="Arial" w:cs="Arial"/>
          <w:sz w:val="22"/>
          <w:lang w:val="cs-CZ"/>
        </w:rPr>
        <w:t xml:space="preserve">rovozovatele </w:t>
      </w:r>
      <w:r w:rsidR="0004039D" w:rsidRPr="003E52AE">
        <w:rPr>
          <w:rFonts w:ascii="Arial" w:hAnsi="Arial" w:cs="Arial"/>
          <w:sz w:val="22"/>
          <w:lang w:val="cs-CZ"/>
        </w:rPr>
        <w:t xml:space="preserve">systému </w:t>
      </w:r>
      <w:r w:rsidR="00762DA2" w:rsidRPr="003E52AE">
        <w:rPr>
          <w:rFonts w:ascii="Arial" w:hAnsi="Arial" w:cs="Arial"/>
          <w:sz w:val="22"/>
          <w:lang w:val="cs-CZ"/>
        </w:rPr>
        <w:t>DS. Smluvní cena byla navýšena poskytnutím jednorázové odměny za úpravu poskytovaných služeb ve výši 12</w:t>
      </w:r>
      <w:r w:rsidR="009C18AB" w:rsidRPr="003E52AE">
        <w:rPr>
          <w:rFonts w:ascii="Arial" w:hAnsi="Arial" w:cs="Arial"/>
          <w:sz w:val="22"/>
          <w:lang w:val="cs-CZ"/>
        </w:rPr>
        <w:t>5 mil. </w:t>
      </w:r>
      <w:r w:rsidR="00762DA2" w:rsidRPr="003E52AE">
        <w:rPr>
          <w:rFonts w:ascii="Arial" w:hAnsi="Arial" w:cs="Arial"/>
          <w:sz w:val="22"/>
          <w:lang w:val="cs-CZ"/>
        </w:rPr>
        <w:t>Kč bez DPH.</w:t>
      </w:r>
    </w:p>
    <w:p w:rsidR="00762DA2" w:rsidRPr="003E52AE" w:rsidRDefault="005126DF" w:rsidP="00811BB2">
      <w:pPr>
        <w:pStyle w:val="Odstavecseseznamem"/>
        <w:numPr>
          <w:ilvl w:val="0"/>
          <w:numId w:val="20"/>
        </w:numPr>
        <w:ind w:left="284" w:hanging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  <w:lang w:val="cs-CZ"/>
        </w:rPr>
        <w:t xml:space="preserve">Dodatek č. 7 </w:t>
      </w:r>
      <w:r w:rsidR="009C18AB" w:rsidRPr="003E52AE">
        <w:rPr>
          <w:rFonts w:ascii="Arial" w:hAnsi="Arial" w:cs="Arial"/>
          <w:sz w:val="22"/>
          <w:lang w:val="cs-CZ"/>
        </w:rPr>
        <w:t>–</w:t>
      </w:r>
      <w:r w:rsidRPr="003E52AE">
        <w:rPr>
          <w:rFonts w:ascii="Arial" w:hAnsi="Arial" w:cs="Arial"/>
          <w:i/>
          <w:sz w:val="22"/>
          <w:lang w:val="cs-CZ"/>
        </w:rPr>
        <w:t xml:space="preserve"> </w:t>
      </w:r>
      <w:r w:rsidR="00783DAC" w:rsidRPr="003E52AE">
        <w:rPr>
          <w:rFonts w:ascii="Arial" w:hAnsi="Arial" w:cs="Arial"/>
          <w:i/>
          <w:sz w:val="22"/>
          <w:lang w:val="cs-CZ"/>
        </w:rPr>
        <w:t>Publikace rejstříkových dat na portálu veřejné správy</w:t>
      </w:r>
      <w:r w:rsidR="00D36D5C" w:rsidRPr="003E52AE">
        <w:rPr>
          <w:rFonts w:ascii="Arial" w:hAnsi="Arial" w:cs="Arial"/>
          <w:sz w:val="22"/>
          <w:lang w:val="cs-CZ"/>
        </w:rPr>
        <w:t xml:space="preserve"> uzavřelo </w:t>
      </w:r>
      <w:r w:rsidR="009C18AB" w:rsidRPr="003E52AE">
        <w:rPr>
          <w:rFonts w:ascii="Arial" w:hAnsi="Arial" w:cs="Arial"/>
          <w:sz w:val="22"/>
          <w:lang w:val="cs-CZ"/>
        </w:rPr>
        <w:t xml:space="preserve">MV </w:t>
      </w:r>
      <w:r w:rsidR="00D36D5C" w:rsidRPr="003E52AE">
        <w:rPr>
          <w:rFonts w:ascii="Arial" w:hAnsi="Arial" w:cs="Arial"/>
          <w:sz w:val="22"/>
          <w:lang w:val="cs-CZ"/>
        </w:rPr>
        <w:t xml:space="preserve">dne </w:t>
      </w:r>
      <w:r w:rsidR="00762DA2" w:rsidRPr="003E52AE">
        <w:rPr>
          <w:rFonts w:ascii="Arial" w:hAnsi="Arial" w:cs="Arial"/>
          <w:sz w:val="22"/>
          <w:lang w:val="cs-CZ"/>
        </w:rPr>
        <w:t>30. </w:t>
      </w:r>
      <w:r w:rsidR="00A82AAD" w:rsidRPr="003E52AE">
        <w:rPr>
          <w:rFonts w:ascii="Arial" w:hAnsi="Arial" w:cs="Arial"/>
          <w:sz w:val="22"/>
          <w:lang w:val="cs-CZ"/>
        </w:rPr>
        <w:t>ledna</w:t>
      </w:r>
      <w:r w:rsidR="00220412" w:rsidRPr="003E52AE">
        <w:rPr>
          <w:rFonts w:ascii="Arial" w:hAnsi="Arial" w:cs="Arial"/>
          <w:sz w:val="22"/>
          <w:lang w:val="cs-CZ"/>
        </w:rPr>
        <w:t xml:space="preserve"> </w:t>
      </w:r>
      <w:r w:rsidR="00762DA2" w:rsidRPr="003E52AE">
        <w:rPr>
          <w:rFonts w:ascii="Arial" w:hAnsi="Arial" w:cs="Arial"/>
          <w:sz w:val="22"/>
          <w:lang w:val="cs-CZ"/>
        </w:rPr>
        <w:t xml:space="preserve">2013. Předmětem </w:t>
      </w:r>
      <w:r w:rsidR="0004039D" w:rsidRPr="003E52AE">
        <w:rPr>
          <w:rFonts w:ascii="Arial" w:hAnsi="Arial" w:cs="Arial"/>
          <w:sz w:val="22"/>
          <w:lang w:val="cs-CZ"/>
        </w:rPr>
        <w:t>d</w:t>
      </w:r>
      <w:r w:rsidR="00762DA2" w:rsidRPr="003E52AE">
        <w:rPr>
          <w:rFonts w:ascii="Arial" w:hAnsi="Arial" w:cs="Arial"/>
          <w:sz w:val="22"/>
          <w:lang w:val="cs-CZ"/>
        </w:rPr>
        <w:t xml:space="preserve">odatku bylo zajištění publikace (zveřejňování) rejstříkových dat na </w:t>
      </w:r>
      <w:r w:rsidR="0004039D" w:rsidRPr="003E52AE">
        <w:rPr>
          <w:rFonts w:ascii="Arial" w:hAnsi="Arial" w:cs="Arial"/>
          <w:sz w:val="22"/>
          <w:lang w:val="cs-CZ"/>
        </w:rPr>
        <w:t>portálu veřejné správy</w:t>
      </w:r>
      <w:r w:rsidR="00762DA2" w:rsidRPr="003E52AE">
        <w:rPr>
          <w:rFonts w:ascii="Arial" w:hAnsi="Arial" w:cs="Arial"/>
          <w:sz w:val="22"/>
          <w:lang w:val="cs-CZ"/>
        </w:rPr>
        <w:t xml:space="preserve">. Za zajištění úpravy služeb </w:t>
      </w:r>
      <w:r w:rsidR="00CB4D2B" w:rsidRPr="003E52AE">
        <w:rPr>
          <w:rFonts w:ascii="Arial" w:hAnsi="Arial" w:cs="Arial"/>
          <w:sz w:val="22"/>
          <w:lang w:val="cs-CZ"/>
        </w:rPr>
        <w:t>dohodly</w:t>
      </w:r>
      <w:r w:rsidR="00762DA2" w:rsidRPr="003E52AE">
        <w:rPr>
          <w:rFonts w:ascii="Arial" w:hAnsi="Arial" w:cs="Arial"/>
          <w:sz w:val="22"/>
          <w:lang w:val="cs-CZ"/>
        </w:rPr>
        <w:t xml:space="preserve"> MV a ČP </w:t>
      </w:r>
      <w:r w:rsidR="00CB4D2B" w:rsidRPr="003E52AE">
        <w:rPr>
          <w:rFonts w:ascii="Arial" w:hAnsi="Arial" w:cs="Arial"/>
          <w:sz w:val="22"/>
          <w:lang w:val="cs-CZ"/>
        </w:rPr>
        <w:t xml:space="preserve">smluvní </w:t>
      </w:r>
      <w:r w:rsidR="00762DA2" w:rsidRPr="003E52AE">
        <w:rPr>
          <w:rFonts w:ascii="Arial" w:hAnsi="Arial" w:cs="Arial"/>
          <w:sz w:val="22"/>
          <w:lang w:val="cs-CZ"/>
        </w:rPr>
        <w:t>cenu ve výši 5</w:t>
      </w:r>
      <w:r w:rsidR="009C18AB" w:rsidRPr="003E52AE">
        <w:rPr>
          <w:rFonts w:ascii="Arial" w:hAnsi="Arial" w:cs="Arial"/>
          <w:sz w:val="22"/>
          <w:lang w:val="cs-CZ"/>
        </w:rPr>
        <w:t>,4</w:t>
      </w:r>
      <w:r w:rsidR="00762DA2" w:rsidRPr="003E52AE">
        <w:rPr>
          <w:rFonts w:ascii="Arial" w:hAnsi="Arial" w:cs="Arial"/>
          <w:sz w:val="22"/>
          <w:lang w:val="cs-CZ"/>
        </w:rPr>
        <w:t> </w:t>
      </w:r>
      <w:r w:rsidR="009C18AB" w:rsidRPr="003E52AE">
        <w:rPr>
          <w:rFonts w:ascii="Arial" w:hAnsi="Arial" w:cs="Arial"/>
          <w:sz w:val="22"/>
          <w:lang w:val="cs-CZ"/>
        </w:rPr>
        <w:t>mil.</w:t>
      </w:r>
      <w:r w:rsidR="00762DA2" w:rsidRPr="003E52AE">
        <w:rPr>
          <w:rFonts w:ascii="Arial" w:hAnsi="Arial" w:cs="Arial"/>
          <w:sz w:val="22"/>
          <w:lang w:val="cs-CZ"/>
        </w:rPr>
        <w:t> Kč bez DPH.</w:t>
      </w:r>
    </w:p>
    <w:p w:rsidR="00762DA2" w:rsidRPr="003E52AE" w:rsidRDefault="005126DF" w:rsidP="00811BB2">
      <w:pPr>
        <w:pStyle w:val="Odstavecseseznamem"/>
        <w:numPr>
          <w:ilvl w:val="0"/>
          <w:numId w:val="20"/>
        </w:numPr>
        <w:ind w:left="284" w:hanging="284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  <w:lang w:val="cs-CZ"/>
        </w:rPr>
        <w:t xml:space="preserve">Dodatek č. 8 </w:t>
      </w:r>
      <w:r w:rsidR="009C18AB" w:rsidRPr="003E52AE">
        <w:rPr>
          <w:rFonts w:ascii="Arial" w:hAnsi="Arial" w:cs="Arial"/>
          <w:sz w:val="22"/>
          <w:lang w:val="cs-CZ"/>
        </w:rPr>
        <w:t>–</w:t>
      </w:r>
      <w:r w:rsidRPr="003E52AE">
        <w:rPr>
          <w:rFonts w:ascii="Arial" w:hAnsi="Arial" w:cs="Arial"/>
          <w:i/>
          <w:sz w:val="22"/>
          <w:lang w:val="cs-CZ"/>
        </w:rPr>
        <w:t xml:space="preserve"> </w:t>
      </w:r>
      <w:r w:rsidR="00783DAC" w:rsidRPr="003E52AE">
        <w:rPr>
          <w:rFonts w:ascii="Arial" w:hAnsi="Arial" w:cs="Arial"/>
          <w:i/>
          <w:sz w:val="22"/>
          <w:lang w:val="cs-CZ"/>
        </w:rPr>
        <w:t xml:space="preserve">Provozování Informačního systému datových schránek </w:t>
      </w:r>
      <w:r w:rsidR="0004039D" w:rsidRPr="003E52AE">
        <w:rPr>
          <w:rFonts w:ascii="Arial" w:hAnsi="Arial" w:cs="Arial"/>
          <w:i/>
          <w:sz w:val="22"/>
          <w:lang w:val="cs-CZ"/>
        </w:rPr>
        <w:t xml:space="preserve">v období </w:t>
      </w:r>
      <w:r w:rsidR="00783DAC" w:rsidRPr="003E52AE">
        <w:rPr>
          <w:rFonts w:ascii="Arial" w:hAnsi="Arial" w:cs="Arial"/>
          <w:i/>
          <w:sz w:val="22"/>
          <w:lang w:val="cs-CZ"/>
        </w:rPr>
        <w:t>2013 – 2017</w:t>
      </w:r>
      <w:r w:rsidR="00544621" w:rsidRPr="003E52AE">
        <w:rPr>
          <w:rFonts w:ascii="Arial" w:hAnsi="Arial" w:cs="Arial"/>
          <w:sz w:val="22"/>
          <w:lang w:val="cs-CZ"/>
        </w:rPr>
        <w:t xml:space="preserve"> uzavřelo </w:t>
      </w:r>
      <w:r w:rsidR="009C18AB" w:rsidRPr="003E52AE">
        <w:rPr>
          <w:rFonts w:ascii="Arial" w:hAnsi="Arial" w:cs="Arial"/>
          <w:sz w:val="22"/>
          <w:lang w:val="cs-CZ"/>
        </w:rPr>
        <w:t xml:space="preserve">MV </w:t>
      </w:r>
      <w:r w:rsidR="00544621" w:rsidRPr="003E52AE">
        <w:rPr>
          <w:rFonts w:ascii="Arial" w:hAnsi="Arial" w:cs="Arial"/>
          <w:sz w:val="22"/>
          <w:lang w:val="cs-CZ"/>
        </w:rPr>
        <w:t xml:space="preserve">dne </w:t>
      </w:r>
      <w:r w:rsidR="00592D99" w:rsidRPr="003E52AE">
        <w:rPr>
          <w:rFonts w:ascii="Arial" w:hAnsi="Arial" w:cs="Arial"/>
          <w:sz w:val="22"/>
          <w:lang w:val="cs-CZ"/>
        </w:rPr>
        <w:t>5. </w:t>
      </w:r>
      <w:r w:rsidR="00A82AAD" w:rsidRPr="003E52AE">
        <w:rPr>
          <w:rFonts w:ascii="Arial" w:hAnsi="Arial" w:cs="Arial"/>
          <w:sz w:val="22"/>
          <w:lang w:val="cs-CZ"/>
        </w:rPr>
        <w:t>února</w:t>
      </w:r>
      <w:r w:rsidR="00220412" w:rsidRPr="003E52AE">
        <w:rPr>
          <w:rFonts w:ascii="Arial" w:hAnsi="Arial" w:cs="Arial"/>
          <w:sz w:val="22"/>
          <w:lang w:val="cs-CZ"/>
        </w:rPr>
        <w:t xml:space="preserve"> </w:t>
      </w:r>
      <w:r w:rsidR="00592D99" w:rsidRPr="003E52AE">
        <w:rPr>
          <w:rFonts w:ascii="Arial" w:hAnsi="Arial" w:cs="Arial"/>
          <w:sz w:val="22"/>
          <w:lang w:val="cs-CZ"/>
        </w:rPr>
        <w:t>2013.</w:t>
      </w:r>
      <w:r w:rsidR="00762DA2" w:rsidRPr="003E52AE">
        <w:rPr>
          <w:rFonts w:ascii="Arial" w:hAnsi="Arial" w:cs="Arial"/>
          <w:sz w:val="22"/>
          <w:lang w:val="cs-CZ"/>
        </w:rPr>
        <w:t xml:space="preserve"> </w:t>
      </w:r>
      <w:r w:rsidR="00A9300D" w:rsidRPr="003E52AE">
        <w:rPr>
          <w:rFonts w:ascii="Arial" w:hAnsi="Arial" w:cs="Arial"/>
          <w:sz w:val="22"/>
          <w:lang w:val="cs-CZ"/>
        </w:rPr>
        <w:t xml:space="preserve">Dodatkem došlo ke změně systému úhrady za provoz DS </w:t>
      </w:r>
      <w:r w:rsidR="00762DA2" w:rsidRPr="003E52AE">
        <w:rPr>
          <w:rFonts w:ascii="Arial" w:hAnsi="Arial" w:cs="Arial"/>
          <w:sz w:val="22"/>
          <w:lang w:val="cs-CZ"/>
        </w:rPr>
        <w:t xml:space="preserve">(odměna za provozování </w:t>
      </w:r>
      <w:r w:rsidR="00B62722" w:rsidRPr="003E52AE">
        <w:rPr>
          <w:rFonts w:ascii="Arial" w:hAnsi="Arial" w:cs="Arial"/>
          <w:sz w:val="22"/>
          <w:lang w:val="cs-CZ"/>
        </w:rPr>
        <w:t xml:space="preserve">systému </w:t>
      </w:r>
      <w:r w:rsidR="00762DA2" w:rsidRPr="003E52AE">
        <w:rPr>
          <w:rFonts w:ascii="Arial" w:hAnsi="Arial" w:cs="Arial"/>
          <w:sz w:val="22"/>
          <w:lang w:val="cs-CZ"/>
        </w:rPr>
        <w:t xml:space="preserve">DS, odměna za odeslání zprávy a poplatek </w:t>
      </w:r>
      <w:r w:rsidR="00762DA2" w:rsidRPr="003E52AE">
        <w:rPr>
          <w:rFonts w:ascii="Arial" w:hAnsi="Arial" w:cs="Arial"/>
          <w:sz w:val="22"/>
          <w:lang w:val="cs-CZ"/>
        </w:rPr>
        <w:lastRenderedPageBreak/>
        <w:t>za zřízení přístupu)</w:t>
      </w:r>
      <w:r w:rsidR="00A9300D" w:rsidRPr="003E52AE">
        <w:rPr>
          <w:rFonts w:ascii="Arial" w:hAnsi="Arial" w:cs="Arial"/>
          <w:sz w:val="22"/>
          <w:lang w:val="cs-CZ"/>
        </w:rPr>
        <w:t xml:space="preserve">. Od roku 2013 platí MV </w:t>
      </w:r>
      <w:r w:rsidR="00AB70E5" w:rsidRPr="003E52AE">
        <w:rPr>
          <w:rFonts w:ascii="Arial" w:hAnsi="Arial" w:cs="Arial"/>
          <w:sz w:val="22"/>
          <w:lang w:val="cs-CZ"/>
        </w:rPr>
        <w:t xml:space="preserve">za provoz DS </w:t>
      </w:r>
      <w:r w:rsidR="00A9300D" w:rsidRPr="003E52AE">
        <w:rPr>
          <w:rFonts w:ascii="Arial" w:hAnsi="Arial" w:cs="Arial"/>
          <w:sz w:val="22"/>
          <w:lang w:val="cs-CZ"/>
        </w:rPr>
        <w:t>paušální odměnu ČP</w:t>
      </w:r>
      <w:r w:rsidR="00762DA2" w:rsidRPr="003E52AE">
        <w:rPr>
          <w:rFonts w:ascii="Arial" w:hAnsi="Arial" w:cs="Arial"/>
          <w:sz w:val="22"/>
          <w:lang w:val="cs-CZ"/>
        </w:rPr>
        <w:t xml:space="preserve"> ve v</w:t>
      </w:r>
      <w:r w:rsidR="00A82AAD" w:rsidRPr="003E52AE">
        <w:rPr>
          <w:rFonts w:ascii="Arial" w:hAnsi="Arial" w:cs="Arial"/>
          <w:sz w:val="22"/>
          <w:lang w:val="cs-CZ"/>
        </w:rPr>
        <w:t>ýši 500 mil. Kč bez DPH za rok.</w:t>
      </w:r>
    </w:p>
    <w:p w:rsidR="00D03221" w:rsidRPr="003E52AE" w:rsidRDefault="00D03221" w:rsidP="008908A8">
      <w:pPr>
        <w:rPr>
          <w:rFonts w:ascii="Arial" w:hAnsi="Arial" w:cs="Arial"/>
          <w:sz w:val="22"/>
        </w:rPr>
      </w:pPr>
    </w:p>
    <w:p w:rsidR="00D03221" w:rsidRPr="003E52AE" w:rsidRDefault="00D03221" w:rsidP="008908A8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 xml:space="preserve">1.3 </w:t>
      </w:r>
      <w:r w:rsidR="005D31CE" w:rsidRPr="003E52AE">
        <w:rPr>
          <w:rFonts w:ascii="Arial" w:hAnsi="Arial" w:cs="Arial"/>
          <w:b/>
          <w:sz w:val="22"/>
        </w:rPr>
        <w:t>P</w:t>
      </w:r>
      <w:r w:rsidRPr="003E52AE">
        <w:rPr>
          <w:rFonts w:ascii="Arial" w:hAnsi="Arial" w:cs="Arial"/>
          <w:b/>
          <w:sz w:val="22"/>
        </w:rPr>
        <w:t>rovoz</w:t>
      </w:r>
      <w:r w:rsidR="005D31CE" w:rsidRPr="003E52AE">
        <w:rPr>
          <w:rFonts w:ascii="Arial" w:hAnsi="Arial" w:cs="Arial"/>
          <w:b/>
          <w:sz w:val="22"/>
        </w:rPr>
        <w:t xml:space="preserve"> a financování</w:t>
      </w:r>
      <w:r w:rsidRPr="003E52AE">
        <w:rPr>
          <w:rFonts w:ascii="Arial" w:hAnsi="Arial" w:cs="Arial"/>
          <w:b/>
          <w:sz w:val="22"/>
        </w:rPr>
        <w:t xml:space="preserve"> </w:t>
      </w:r>
      <w:r w:rsidR="00462F0F" w:rsidRPr="003E52AE">
        <w:rPr>
          <w:rFonts w:ascii="Arial" w:hAnsi="Arial" w:cs="Arial"/>
          <w:b/>
          <w:sz w:val="22"/>
        </w:rPr>
        <w:t xml:space="preserve">systému </w:t>
      </w:r>
      <w:r w:rsidRPr="003E52AE">
        <w:rPr>
          <w:rFonts w:ascii="Arial" w:hAnsi="Arial" w:cs="Arial"/>
          <w:b/>
          <w:sz w:val="22"/>
        </w:rPr>
        <w:t>DS</w:t>
      </w:r>
    </w:p>
    <w:p w:rsidR="00220412" w:rsidRPr="003E52AE" w:rsidRDefault="00220412" w:rsidP="008908A8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D03221" w:rsidRPr="003E52AE" w:rsidRDefault="00D03221" w:rsidP="00220412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>1.3.1</w:t>
      </w:r>
      <w:r w:rsidR="00220412" w:rsidRPr="003E52AE">
        <w:rPr>
          <w:rFonts w:ascii="Arial" w:hAnsi="Arial" w:cs="Arial"/>
          <w:b/>
          <w:sz w:val="22"/>
        </w:rPr>
        <w:t xml:space="preserve"> </w:t>
      </w:r>
      <w:r w:rsidR="00E410AF" w:rsidRPr="003E52AE">
        <w:rPr>
          <w:rFonts w:ascii="Arial" w:hAnsi="Arial" w:cs="Arial"/>
          <w:b/>
          <w:sz w:val="22"/>
        </w:rPr>
        <w:t>Náklady na provoz systému DS</w:t>
      </w:r>
    </w:p>
    <w:p w:rsidR="00220412" w:rsidRPr="003E52AE" w:rsidRDefault="00220412" w:rsidP="008908A8">
      <w:pPr>
        <w:widowControl w:val="0"/>
        <w:rPr>
          <w:rFonts w:ascii="Arial" w:hAnsi="Arial" w:cs="Arial"/>
          <w:sz w:val="22"/>
        </w:rPr>
      </w:pPr>
    </w:p>
    <w:p w:rsidR="00630BD6" w:rsidRPr="003E52AE" w:rsidRDefault="00630BD6" w:rsidP="008908A8">
      <w:pPr>
        <w:widowControl w:val="0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S účinností od 1. </w:t>
      </w:r>
      <w:r w:rsidR="00A82AAD" w:rsidRPr="003E52AE">
        <w:rPr>
          <w:rFonts w:ascii="Arial" w:hAnsi="Arial" w:cs="Arial"/>
          <w:sz w:val="22"/>
        </w:rPr>
        <w:t>července</w:t>
      </w:r>
      <w:r w:rsidRPr="003E52AE">
        <w:rPr>
          <w:rFonts w:ascii="Arial" w:hAnsi="Arial" w:cs="Arial"/>
          <w:sz w:val="22"/>
        </w:rPr>
        <w:t xml:space="preserve"> 2009 hradil stát náklady spojené s provozováním systému </w:t>
      </w:r>
      <w:r w:rsidR="00032B89" w:rsidRPr="003E52AE">
        <w:rPr>
          <w:rFonts w:ascii="Arial" w:hAnsi="Arial" w:cs="Arial"/>
          <w:sz w:val="22"/>
        </w:rPr>
        <w:t xml:space="preserve">DS </w:t>
      </w:r>
      <w:r w:rsidR="00335520">
        <w:rPr>
          <w:rFonts w:ascii="Arial" w:hAnsi="Arial" w:cs="Arial"/>
          <w:sz w:val="22"/>
        </w:rPr>
        <w:t>ze státního rozpočtu, a to</w:t>
      </w:r>
      <w:r w:rsidR="00335520" w:rsidRPr="00335520">
        <w:rPr>
          <w:rFonts w:ascii="Arial" w:hAnsi="Arial" w:cs="Arial"/>
          <w:sz w:val="22"/>
        </w:rPr>
        <w:t xml:space="preserve"> </w:t>
      </w:r>
      <w:r w:rsidR="00335520" w:rsidRPr="003E52AE">
        <w:rPr>
          <w:rFonts w:ascii="Arial" w:hAnsi="Arial" w:cs="Arial"/>
          <w:sz w:val="22"/>
        </w:rPr>
        <w:t>z prostředků</w:t>
      </w:r>
      <w:r w:rsidRPr="003E52AE">
        <w:rPr>
          <w:rFonts w:ascii="Arial" w:hAnsi="Arial" w:cs="Arial"/>
          <w:sz w:val="22"/>
        </w:rPr>
        <w:t xml:space="preserve"> vyčleněných podle návrhu </w:t>
      </w:r>
      <w:r w:rsidR="00032B89" w:rsidRPr="003E52AE">
        <w:rPr>
          <w:rFonts w:ascii="Arial" w:hAnsi="Arial" w:cs="Arial"/>
          <w:sz w:val="22"/>
        </w:rPr>
        <w:t>MV</w:t>
      </w:r>
      <w:r w:rsidRPr="003E52AE">
        <w:rPr>
          <w:rFonts w:ascii="Arial" w:hAnsi="Arial" w:cs="Arial"/>
          <w:sz w:val="22"/>
        </w:rPr>
        <w:t xml:space="preserve"> pro stanovený účel </w:t>
      </w:r>
      <w:r w:rsidR="00335520">
        <w:rPr>
          <w:rFonts w:ascii="Arial" w:hAnsi="Arial" w:cs="Arial"/>
          <w:sz w:val="22"/>
        </w:rPr>
        <w:t>z</w:t>
      </w:r>
      <w:r w:rsidR="00155A71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kapitol</w:t>
      </w:r>
      <w:r w:rsidR="00335520">
        <w:rPr>
          <w:rFonts w:ascii="Arial" w:hAnsi="Arial" w:cs="Arial"/>
          <w:sz w:val="22"/>
        </w:rPr>
        <w:t>y</w:t>
      </w:r>
      <w:r w:rsidRPr="003E52AE">
        <w:rPr>
          <w:rFonts w:ascii="Arial" w:hAnsi="Arial" w:cs="Arial"/>
          <w:sz w:val="22"/>
        </w:rPr>
        <w:t xml:space="preserve"> </w:t>
      </w:r>
      <w:r w:rsidR="00D225FB" w:rsidRPr="00811BB2">
        <w:rPr>
          <w:rFonts w:ascii="Arial" w:hAnsi="Arial" w:cs="Arial"/>
          <w:i/>
          <w:sz w:val="22"/>
        </w:rPr>
        <w:t>V</w:t>
      </w:r>
      <w:r w:rsidRPr="00811BB2">
        <w:rPr>
          <w:rFonts w:ascii="Arial" w:hAnsi="Arial" w:cs="Arial"/>
          <w:i/>
          <w:sz w:val="22"/>
        </w:rPr>
        <w:t>šeobecná pokladní správa</w:t>
      </w:r>
      <w:r w:rsidR="00032B89" w:rsidRPr="003E52AE">
        <w:rPr>
          <w:rFonts w:ascii="Arial" w:hAnsi="Arial" w:cs="Arial"/>
          <w:sz w:val="22"/>
        </w:rPr>
        <w:t>.</w:t>
      </w:r>
      <w:r w:rsidR="00B56E3D" w:rsidRPr="003E52AE">
        <w:rPr>
          <w:rFonts w:ascii="Arial" w:hAnsi="Arial" w:cs="Arial"/>
          <w:sz w:val="22"/>
        </w:rPr>
        <w:t xml:space="preserve"> Přehled celkových nákladů v jednotlivých letech je uveden v tabulce č. 1.</w:t>
      </w:r>
    </w:p>
    <w:p w:rsidR="00220412" w:rsidRPr="003E52AE" w:rsidRDefault="00220412" w:rsidP="008908A8">
      <w:pPr>
        <w:widowControl w:val="0"/>
        <w:rPr>
          <w:rFonts w:ascii="Arial" w:hAnsi="Arial" w:cs="Arial"/>
          <w:sz w:val="22"/>
        </w:rPr>
      </w:pPr>
    </w:p>
    <w:p w:rsidR="00F84A6A" w:rsidRPr="003E52AE" w:rsidRDefault="00B62722" w:rsidP="008908A8">
      <w:pPr>
        <w:widowControl w:val="0"/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MV uhradilo ČP v kontrolovaném období, tj. za roky 2009 až 2012</w:t>
      </w:r>
      <w:r w:rsidR="00D225FB">
        <w:rPr>
          <w:rFonts w:ascii="Arial" w:hAnsi="Arial" w:cs="Arial"/>
          <w:sz w:val="22"/>
        </w:rPr>
        <w:t>,</w:t>
      </w:r>
      <w:r w:rsidRPr="003E52AE">
        <w:rPr>
          <w:rFonts w:ascii="Arial" w:hAnsi="Arial" w:cs="Arial"/>
          <w:sz w:val="22"/>
        </w:rPr>
        <w:t xml:space="preserve"> za zavedení a provoz </w:t>
      </w:r>
      <w:r w:rsidR="0045730F" w:rsidRPr="003E52AE">
        <w:rPr>
          <w:rFonts w:ascii="Arial" w:hAnsi="Arial" w:cs="Arial"/>
          <w:sz w:val="22"/>
        </w:rPr>
        <w:t xml:space="preserve">systému </w:t>
      </w:r>
      <w:r w:rsidRPr="003E52AE">
        <w:rPr>
          <w:rFonts w:ascii="Arial" w:hAnsi="Arial" w:cs="Arial"/>
          <w:sz w:val="22"/>
        </w:rPr>
        <w:t>DS celkem 2 924 </w:t>
      </w:r>
      <w:r w:rsidR="00F84A6A" w:rsidRPr="003E52AE">
        <w:rPr>
          <w:rFonts w:ascii="Arial" w:hAnsi="Arial" w:cs="Arial"/>
          <w:sz w:val="22"/>
        </w:rPr>
        <w:t>mil.</w:t>
      </w:r>
      <w:r w:rsidRPr="003E52AE">
        <w:rPr>
          <w:rFonts w:ascii="Arial" w:hAnsi="Arial" w:cs="Arial"/>
          <w:sz w:val="22"/>
        </w:rPr>
        <w:t> Kč vč. DPH</w:t>
      </w:r>
      <w:r w:rsidR="0045730F" w:rsidRPr="003E52AE">
        <w:rPr>
          <w:rFonts w:ascii="Arial" w:hAnsi="Arial" w:cs="Arial"/>
          <w:sz w:val="22"/>
        </w:rPr>
        <w:t>.</w:t>
      </w:r>
      <w:r w:rsidRPr="003E52AE">
        <w:rPr>
          <w:rFonts w:ascii="Arial" w:hAnsi="Arial" w:cs="Arial"/>
          <w:sz w:val="22"/>
        </w:rPr>
        <w:t xml:space="preserve"> Částka zahrnuje i </w:t>
      </w:r>
      <w:r w:rsidR="0045730F" w:rsidRPr="003E52AE">
        <w:rPr>
          <w:rFonts w:ascii="Arial" w:hAnsi="Arial" w:cs="Arial"/>
          <w:sz w:val="22"/>
        </w:rPr>
        <w:t>náklady n</w:t>
      </w:r>
      <w:r w:rsidRPr="003E52AE">
        <w:rPr>
          <w:rFonts w:ascii="Arial" w:hAnsi="Arial" w:cs="Arial"/>
          <w:sz w:val="22"/>
        </w:rPr>
        <w:t xml:space="preserve">a úpravu </w:t>
      </w:r>
      <w:r w:rsidR="00D225FB">
        <w:rPr>
          <w:rFonts w:ascii="Arial" w:hAnsi="Arial" w:cs="Arial"/>
          <w:sz w:val="22"/>
        </w:rPr>
        <w:t>funkcí</w:t>
      </w:r>
      <w:r w:rsidRPr="003E52AE">
        <w:rPr>
          <w:rFonts w:ascii="Arial" w:hAnsi="Arial" w:cs="Arial"/>
          <w:sz w:val="22"/>
        </w:rPr>
        <w:t xml:space="preserve"> </w:t>
      </w:r>
      <w:r w:rsidR="0045730F" w:rsidRPr="003E52AE">
        <w:rPr>
          <w:rFonts w:ascii="Arial" w:hAnsi="Arial" w:cs="Arial"/>
          <w:sz w:val="22"/>
        </w:rPr>
        <w:t xml:space="preserve">systému </w:t>
      </w:r>
      <w:r w:rsidRPr="003E52AE">
        <w:rPr>
          <w:rFonts w:ascii="Arial" w:hAnsi="Arial" w:cs="Arial"/>
          <w:sz w:val="22"/>
        </w:rPr>
        <w:t>DS v letech 2010 a 2011</w:t>
      </w:r>
      <w:r w:rsidR="0045730F" w:rsidRPr="003E52AE">
        <w:rPr>
          <w:rFonts w:ascii="Arial" w:hAnsi="Arial" w:cs="Arial"/>
          <w:sz w:val="22"/>
        </w:rPr>
        <w:t xml:space="preserve"> na základě </w:t>
      </w:r>
      <w:r w:rsidR="006C3FE7" w:rsidRPr="003E52AE">
        <w:rPr>
          <w:rFonts w:ascii="Arial" w:hAnsi="Arial" w:cs="Arial"/>
          <w:sz w:val="22"/>
        </w:rPr>
        <w:t>d</w:t>
      </w:r>
      <w:r w:rsidR="0045730F" w:rsidRPr="003E52AE">
        <w:rPr>
          <w:rFonts w:ascii="Arial" w:hAnsi="Arial" w:cs="Arial"/>
          <w:sz w:val="22"/>
        </w:rPr>
        <w:t>odatků č. 2 a 4 ke Smlouvě</w:t>
      </w:r>
      <w:r w:rsidRPr="003E52AE">
        <w:rPr>
          <w:rFonts w:ascii="Arial" w:hAnsi="Arial" w:cs="Arial"/>
          <w:sz w:val="22"/>
        </w:rPr>
        <w:t>.</w:t>
      </w:r>
    </w:p>
    <w:p w:rsidR="00B257F3" w:rsidRPr="003E52AE" w:rsidRDefault="00B257F3" w:rsidP="008908A8">
      <w:pPr>
        <w:widowControl w:val="0"/>
        <w:rPr>
          <w:rFonts w:ascii="Arial" w:hAnsi="Arial" w:cs="Arial"/>
          <w:sz w:val="22"/>
        </w:rPr>
      </w:pPr>
    </w:p>
    <w:p w:rsidR="00121B05" w:rsidRPr="00811BB2" w:rsidRDefault="00121B05" w:rsidP="00220412">
      <w:pPr>
        <w:pStyle w:val="Odstavecseseznamem"/>
        <w:tabs>
          <w:tab w:val="left" w:pos="7371"/>
        </w:tabs>
        <w:spacing w:after="40"/>
        <w:ind w:left="0"/>
        <w:contextualSpacing w:val="0"/>
        <w:rPr>
          <w:rFonts w:ascii="Arial" w:hAnsi="Arial" w:cs="Arial"/>
          <w:b/>
          <w:sz w:val="22"/>
          <w:lang w:val="cs-CZ"/>
        </w:rPr>
      </w:pPr>
      <w:r w:rsidRPr="00811BB2">
        <w:rPr>
          <w:rFonts w:ascii="Arial" w:eastAsia="Calibri" w:hAnsi="Arial" w:cs="Arial"/>
          <w:b/>
          <w:sz w:val="22"/>
          <w:lang w:val="cs-CZ"/>
        </w:rPr>
        <w:t xml:space="preserve">Tabulka č. </w:t>
      </w:r>
      <w:r w:rsidR="00E64654" w:rsidRPr="00811BB2">
        <w:rPr>
          <w:rFonts w:ascii="Arial" w:eastAsia="Calibri" w:hAnsi="Arial" w:cs="Arial"/>
          <w:b/>
          <w:sz w:val="22"/>
          <w:lang w:val="cs-CZ"/>
        </w:rPr>
        <w:t>1</w:t>
      </w:r>
      <w:r w:rsidRPr="00811BB2">
        <w:rPr>
          <w:rFonts w:ascii="Arial" w:eastAsia="Calibri" w:hAnsi="Arial" w:cs="Arial"/>
          <w:b/>
          <w:sz w:val="22"/>
          <w:lang w:val="cs-CZ"/>
        </w:rPr>
        <w:t xml:space="preserve"> </w:t>
      </w:r>
      <w:r w:rsidR="00EB531B" w:rsidRPr="00811BB2">
        <w:rPr>
          <w:rFonts w:ascii="Arial" w:eastAsia="Calibri" w:hAnsi="Arial" w:cs="Arial"/>
          <w:b/>
          <w:sz w:val="22"/>
          <w:lang w:val="cs-CZ"/>
        </w:rPr>
        <w:t>–</w:t>
      </w:r>
      <w:r w:rsidRPr="00811BB2">
        <w:rPr>
          <w:rFonts w:ascii="Arial" w:eastAsia="Calibri" w:hAnsi="Arial" w:cs="Arial"/>
          <w:b/>
          <w:sz w:val="22"/>
          <w:lang w:val="cs-CZ"/>
        </w:rPr>
        <w:t xml:space="preserve"> Celkové náklady na provoz </w:t>
      </w:r>
      <w:r w:rsidR="0045730F" w:rsidRPr="00811BB2">
        <w:rPr>
          <w:rFonts w:ascii="Arial" w:eastAsia="Calibri" w:hAnsi="Arial" w:cs="Arial"/>
          <w:b/>
          <w:sz w:val="22"/>
          <w:lang w:val="cs-CZ"/>
        </w:rPr>
        <w:t xml:space="preserve">systému </w:t>
      </w:r>
      <w:r w:rsidR="00EB531B" w:rsidRPr="00811BB2">
        <w:rPr>
          <w:rFonts w:ascii="Arial" w:eastAsia="Calibri" w:hAnsi="Arial" w:cs="Arial"/>
          <w:b/>
          <w:sz w:val="22"/>
          <w:lang w:val="cs-CZ"/>
        </w:rPr>
        <w:t>DS v letech 2009</w:t>
      </w:r>
      <w:r w:rsidR="006C3FE7" w:rsidRPr="00811BB2">
        <w:rPr>
          <w:rFonts w:ascii="Arial" w:eastAsia="Calibri" w:hAnsi="Arial" w:cs="Arial"/>
          <w:b/>
          <w:sz w:val="22"/>
          <w:lang w:val="cs-CZ"/>
        </w:rPr>
        <w:t>–</w:t>
      </w:r>
      <w:r w:rsidRPr="00811BB2">
        <w:rPr>
          <w:rFonts w:ascii="Arial" w:eastAsia="Calibri" w:hAnsi="Arial" w:cs="Arial"/>
          <w:b/>
          <w:sz w:val="22"/>
          <w:lang w:val="cs-CZ"/>
        </w:rPr>
        <w:t>2012</w:t>
      </w:r>
      <w:r w:rsidR="006C3FE7" w:rsidRPr="00811BB2">
        <w:rPr>
          <w:rFonts w:ascii="Arial" w:eastAsia="Calibri" w:hAnsi="Arial" w:cs="Arial"/>
          <w:b/>
          <w:sz w:val="22"/>
          <w:lang w:val="cs-CZ"/>
        </w:rPr>
        <w:t xml:space="preserve"> </w:t>
      </w:r>
      <w:r w:rsidR="00AF17A5" w:rsidRPr="003E52AE">
        <w:rPr>
          <w:rFonts w:ascii="Arial" w:eastAsia="Calibri" w:hAnsi="Arial" w:cs="Arial"/>
          <w:b/>
          <w:sz w:val="22"/>
          <w:lang w:val="cs-CZ"/>
        </w:rPr>
        <w:tab/>
      </w:r>
      <w:r w:rsidR="006C3FE7" w:rsidRPr="00811BB2">
        <w:rPr>
          <w:rFonts w:ascii="Arial" w:eastAsia="Calibri" w:hAnsi="Arial" w:cs="Arial"/>
          <w:b/>
          <w:sz w:val="22"/>
          <w:lang w:val="cs-CZ"/>
        </w:rPr>
        <w:t>(v</w:t>
      </w:r>
      <w:r w:rsidR="00AF17A5" w:rsidRPr="003E52AE">
        <w:rPr>
          <w:rFonts w:ascii="Arial" w:eastAsia="Calibri" w:hAnsi="Arial" w:cs="Arial"/>
          <w:b/>
          <w:sz w:val="22"/>
          <w:lang w:val="cs-CZ"/>
        </w:rPr>
        <w:t> </w:t>
      </w:r>
      <w:r w:rsidR="006C3FE7" w:rsidRPr="00811BB2">
        <w:rPr>
          <w:rFonts w:ascii="Arial" w:eastAsia="Calibri" w:hAnsi="Arial" w:cs="Arial"/>
          <w:b/>
          <w:sz w:val="22"/>
          <w:lang w:val="cs-CZ"/>
        </w:rPr>
        <w:t>Kč</w:t>
      </w:r>
      <w:r w:rsidR="00AF17A5" w:rsidRPr="003E52AE">
        <w:rPr>
          <w:rFonts w:ascii="Arial" w:eastAsia="Calibri" w:hAnsi="Arial" w:cs="Arial"/>
          <w:b/>
          <w:sz w:val="22"/>
          <w:lang w:val="cs-CZ"/>
        </w:rPr>
        <w:t> vč. </w:t>
      </w:r>
      <w:r w:rsidR="006C3FE7" w:rsidRPr="00811BB2">
        <w:rPr>
          <w:rFonts w:ascii="Arial" w:eastAsia="Calibri" w:hAnsi="Arial" w:cs="Arial"/>
          <w:b/>
          <w:sz w:val="22"/>
          <w:lang w:val="cs-CZ"/>
        </w:rPr>
        <w:t>DPH)</w:t>
      </w:r>
    </w:p>
    <w:tbl>
      <w:tblPr>
        <w:tblW w:w="90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644"/>
        <w:gridCol w:w="1740"/>
        <w:gridCol w:w="1580"/>
        <w:gridCol w:w="1701"/>
      </w:tblGrid>
      <w:tr w:rsidR="00121B05" w:rsidRPr="003E52AE" w:rsidTr="00220412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121B05" w:rsidRPr="00811BB2" w:rsidRDefault="00121B05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21B05" w:rsidRPr="00811BB2" w:rsidRDefault="00121B05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Poplatek za zřízení přístupu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121B05" w:rsidRPr="00335520" w:rsidRDefault="00121B05" w:rsidP="00CE43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Odměna za provozování </w:t>
            </w:r>
            <w:r w:rsidR="0045730F"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systému </w:t>
            </w: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DS </w:t>
            </w:r>
            <w:r w:rsidR="0045730F"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+ </w:t>
            </w:r>
            <w:r w:rsidR="00CE43ED" w:rsidRPr="003E52AE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o</w:t>
            </w:r>
            <w:r w:rsidRPr="0033552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dměna za transakce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21B05" w:rsidRPr="00335520" w:rsidRDefault="00121B05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3552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Odměna celkem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121B05" w:rsidRPr="00335520" w:rsidRDefault="00121B05" w:rsidP="00CE43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3552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Dodatky ke Smlouvě</w:t>
            </w:r>
            <w:r w:rsidR="006C3FE7" w:rsidRPr="0033552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CE43ED" w:rsidRPr="003E52AE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č. 2 a </w:t>
            </w:r>
            <w:r w:rsidRPr="0033552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21B05" w:rsidRPr="00335520" w:rsidRDefault="00121B05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35520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Celkové náklady</w:t>
            </w:r>
          </w:p>
        </w:tc>
      </w:tr>
      <w:tr w:rsidR="00121B05" w:rsidRPr="003E52AE" w:rsidTr="00220412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52 925 576,60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153 005 053,18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205 930 629,78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205 930 629,78</w:t>
            </w:r>
          </w:p>
        </w:tc>
      </w:tr>
      <w:tr w:rsidR="00121B05" w:rsidRPr="003E52AE" w:rsidTr="0022041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13 609 224,20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689 483 865,40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703 093 089,60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285 600 000,00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988 693 089,60</w:t>
            </w:r>
          </w:p>
        </w:tc>
      </w:tr>
      <w:tr w:rsidR="00121B05" w:rsidRPr="003E52AE" w:rsidTr="0022041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13 482 818,00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762 669 940,80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776 152 758,80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149 931 345,60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926 084 104,40</w:t>
            </w:r>
          </w:p>
        </w:tc>
      </w:tr>
      <w:tr w:rsidR="00121B05" w:rsidRPr="003E52AE" w:rsidTr="0022041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10 636 385,00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793 045 536,00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803 681 921,00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803 681 921,00</w:t>
            </w:r>
          </w:p>
        </w:tc>
      </w:tr>
      <w:tr w:rsidR="00121B05" w:rsidRPr="003E52AE" w:rsidTr="00220412">
        <w:trPr>
          <w:trHeight w:val="28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811BB2" w:rsidRDefault="00AF17A5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90 654 003,80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2 398 204 395,38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2 488 858 399,18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435 531 345,60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05" w:rsidRPr="003E52AE" w:rsidRDefault="00121B05" w:rsidP="00220412">
            <w:pPr>
              <w:ind w:right="5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2 924 389 744,78</w:t>
            </w:r>
          </w:p>
        </w:tc>
      </w:tr>
    </w:tbl>
    <w:p w:rsidR="00121B05" w:rsidRPr="003E52AE" w:rsidRDefault="00121B05" w:rsidP="00B257F3">
      <w:pPr>
        <w:pStyle w:val="Odstavecseseznamem"/>
        <w:spacing w:before="40"/>
        <w:ind w:left="0"/>
        <w:contextualSpacing w:val="0"/>
        <w:rPr>
          <w:rFonts w:ascii="Arial" w:hAnsi="Arial" w:cs="Arial"/>
          <w:i/>
          <w:sz w:val="22"/>
          <w:lang w:val="cs-CZ"/>
        </w:rPr>
      </w:pPr>
      <w:r w:rsidRPr="003E52AE">
        <w:rPr>
          <w:rFonts w:ascii="Arial" w:hAnsi="Arial" w:cs="Arial"/>
          <w:b/>
          <w:color w:val="000000"/>
          <w:sz w:val="18"/>
          <w:szCs w:val="18"/>
          <w:lang w:val="cs-CZ" w:eastAsia="cs-CZ"/>
        </w:rPr>
        <w:t>Zdroj:</w:t>
      </w:r>
      <w:r w:rsidRPr="003E52AE">
        <w:rPr>
          <w:rFonts w:ascii="Arial" w:hAnsi="Arial" w:cs="Arial"/>
          <w:color w:val="000000"/>
          <w:sz w:val="18"/>
          <w:szCs w:val="18"/>
          <w:lang w:val="cs-CZ" w:eastAsia="cs-CZ"/>
        </w:rPr>
        <w:t xml:space="preserve"> ČP</w:t>
      </w:r>
      <w:r w:rsidR="00EB531B" w:rsidRPr="003E52AE">
        <w:rPr>
          <w:rFonts w:ascii="Arial" w:hAnsi="Arial" w:cs="Arial"/>
          <w:color w:val="000000"/>
          <w:sz w:val="18"/>
          <w:szCs w:val="18"/>
          <w:lang w:val="cs-CZ" w:eastAsia="cs-CZ"/>
        </w:rPr>
        <w:t>.</w:t>
      </w:r>
    </w:p>
    <w:p w:rsidR="00B257F3" w:rsidRPr="003E52AE" w:rsidRDefault="00B257F3" w:rsidP="008908A8">
      <w:pPr>
        <w:pStyle w:val="Odstavecseseznamem"/>
        <w:ind w:left="0"/>
        <w:contextualSpacing w:val="0"/>
        <w:rPr>
          <w:rFonts w:ascii="Arial" w:hAnsi="Arial" w:cs="Arial"/>
          <w:bCs/>
          <w:iCs/>
          <w:sz w:val="22"/>
          <w:lang w:val="cs-CZ"/>
        </w:rPr>
      </w:pPr>
    </w:p>
    <w:p w:rsidR="004C5348" w:rsidRPr="003E52AE" w:rsidRDefault="00464873" w:rsidP="008908A8">
      <w:pPr>
        <w:pStyle w:val="Odstavecseseznamem"/>
        <w:ind w:left="0"/>
        <w:contextualSpacing w:val="0"/>
        <w:rPr>
          <w:rFonts w:ascii="Arial" w:hAnsi="Arial" w:cs="Arial"/>
          <w:i/>
          <w:sz w:val="22"/>
          <w:lang w:val="cs-CZ"/>
        </w:rPr>
      </w:pPr>
      <w:r w:rsidRPr="003E52AE">
        <w:rPr>
          <w:rFonts w:ascii="Arial" w:hAnsi="Arial" w:cs="Arial"/>
          <w:b/>
          <w:bCs/>
          <w:iCs/>
          <w:sz w:val="22"/>
          <w:lang w:val="cs-CZ"/>
        </w:rPr>
        <w:t>Smluvní podmínky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 </w:t>
      </w:r>
      <w:r w:rsidR="001D2F22" w:rsidRPr="003E52AE">
        <w:rPr>
          <w:rFonts w:ascii="Arial" w:hAnsi="Arial" w:cs="Arial"/>
          <w:bCs/>
          <w:iCs/>
          <w:sz w:val="22"/>
          <w:lang w:val="cs-CZ"/>
        </w:rPr>
        <w:t xml:space="preserve">sice </w:t>
      </w:r>
      <w:r w:rsidR="00742B77" w:rsidRPr="003E52AE">
        <w:rPr>
          <w:rFonts w:ascii="Arial" w:hAnsi="Arial" w:cs="Arial"/>
          <w:b/>
          <w:bCs/>
          <w:iCs/>
          <w:sz w:val="22"/>
          <w:lang w:val="cs-CZ"/>
        </w:rPr>
        <w:t xml:space="preserve">umožňovaly </w:t>
      </w:r>
      <w:r w:rsidRPr="003E52AE">
        <w:rPr>
          <w:rFonts w:ascii="Arial" w:hAnsi="Arial" w:cs="Arial"/>
          <w:b/>
          <w:bCs/>
          <w:iCs/>
          <w:sz w:val="22"/>
          <w:lang w:val="cs-CZ"/>
        </w:rPr>
        <w:t>snížení ceny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 za transakci </w:t>
      </w:r>
      <w:r w:rsidR="00B56C42" w:rsidRPr="003E52AE">
        <w:rPr>
          <w:rFonts w:ascii="Arial" w:hAnsi="Arial" w:cs="Arial"/>
          <w:bCs/>
          <w:iCs/>
          <w:sz w:val="22"/>
          <w:lang w:val="cs-CZ"/>
        </w:rPr>
        <w:t xml:space="preserve">o 1,68 Kč bez DPH </w:t>
      </w:r>
      <w:r w:rsidRPr="003E52AE">
        <w:rPr>
          <w:rFonts w:ascii="Arial" w:hAnsi="Arial" w:cs="Arial"/>
          <w:bCs/>
          <w:iCs/>
          <w:sz w:val="22"/>
          <w:lang w:val="cs-CZ"/>
        </w:rPr>
        <w:t>po překročení stanovených hraničních počtů transakcí</w:t>
      </w:r>
      <w:r w:rsidR="00742B77" w:rsidRPr="003E52AE">
        <w:rPr>
          <w:rFonts w:ascii="Arial" w:hAnsi="Arial" w:cs="Arial"/>
          <w:bCs/>
          <w:iCs/>
          <w:sz w:val="22"/>
          <w:lang w:val="cs-CZ"/>
        </w:rPr>
        <w:t xml:space="preserve"> (počet transakcí od zahájení provozu)</w:t>
      </w:r>
      <w:r w:rsidR="00B56C42" w:rsidRPr="003E52AE">
        <w:rPr>
          <w:rFonts w:ascii="Arial" w:hAnsi="Arial" w:cs="Arial"/>
          <w:bCs/>
          <w:iCs/>
          <w:sz w:val="22"/>
          <w:lang w:val="cs-CZ"/>
        </w:rPr>
        <w:t>, tj.</w:t>
      </w:r>
      <w:r w:rsidR="005C66EB">
        <w:rPr>
          <w:rFonts w:ascii="Arial" w:hAnsi="Arial" w:cs="Arial"/>
          <w:bCs/>
          <w:iCs/>
          <w:sz w:val="22"/>
          <w:lang w:val="cs-CZ"/>
        </w:rPr>
        <w:t> </w:t>
      </w:r>
      <w:r w:rsidR="00742B77" w:rsidRPr="003E52AE">
        <w:rPr>
          <w:rFonts w:ascii="Arial" w:hAnsi="Arial" w:cs="Arial"/>
          <w:b/>
          <w:bCs/>
          <w:iCs/>
          <w:sz w:val="22"/>
          <w:lang w:val="cs-CZ"/>
        </w:rPr>
        <w:t xml:space="preserve">při překročení </w:t>
      </w:r>
      <w:r w:rsidR="00B56C42" w:rsidRPr="003E52AE">
        <w:rPr>
          <w:rFonts w:ascii="Arial" w:hAnsi="Arial" w:cs="Arial"/>
          <w:b/>
          <w:bCs/>
          <w:iCs/>
          <w:sz w:val="22"/>
          <w:lang w:val="cs-CZ"/>
        </w:rPr>
        <w:t xml:space="preserve">33 mil. transakcí a 66 mil. </w:t>
      </w:r>
      <w:r w:rsidR="00F62105" w:rsidRPr="003E52AE">
        <w:rPr>
          <w:rFonts w:ascii="Arial" w:hAnsi="Arial" w:cs="Arial"/>
          <w:b/>
          <w:bCs/>
          <w:iCs/>
          <w:sz w:val="22"/>
          <w:lang w:val="cs-CZ"/>
        </w:rPr>
        <w:t>t</w:t>
      </w:r>
      <w:r w:rsidR="00B56C42" w:rsidRPr="003E52AE">
        <w:rPr>
          <w:rFonts w:ascii="Arial" w:hAnsi="Arial" w:cs="Arial"/>
          <w:b/>
          <w:bCs/>
          <w:iCs/>
          <w:sz w:val="22"/>
          <w:lang w:val="cs-CZ"/>
        </w:rPr>
        <w:t>ransakc</w:t>
      </w:r>
      <w:r w:rsidR="00B56C42" w:rsidRPr="00811BB2">
        <w:rPr>
          <w:rFonts w:ascii="Arial" w:hAnsi="Arial" w:cs="Arial"/>
          <w:b/>
          <w:bCs/>
          <w:iCs/>
          <w:sz w:val="22"/>
          <w:lang w:val="cs-CZ"/>
        </w:rPr>
        <w:t>í</w:t>
      </w:r>
      <w:r w:rsidR="001D2F22" w:rsidRPr="00811BB2">
        <w:rPr>
          <w:rFonts w:ascii="Arial" w:hAnsi="Arial" w:cs="Arial"/>
          <w:b/>
          <w:bCs/>
          <w:iCs/>
          <w:sz w:val="22"/>
          <w:lang w:val="cs-CZ"/>
        </w:rPr>
        <w:t>,</w:t>
      </w:r>
      <w:r w:rsidR="001D2F22" w:rsidRPr="003E52AE">
        <w:rPr>
          <w:rFonts w:ascii="Arial" w:hAnsi="Arial" w:cs="Arial"/>
          <w:bCs/>
          <w:iCs/>
          <w:sz w:val="22"/>
          <w:lang w:val="cs-CZ"/>
        </w:rPr>
        <w:t xml:space="preserve"> byly však nastaveny tak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, že </w:t>
      </w:r>
      <w:r w:rsidRPr="003E52AE">
        <w:rPr>
          <w:rFonts w:ascii="Arial" w:hAnsi="Arial" w:cs="Arial"/>
          <w:b/>
          <w:bCs/>
          <w:iCs/>
          <w:sz w:val="22"/>
          <w:lang w:val="cs-CZ"/>
        </w:rPr>
        <w:t>ČP mohla fakturovat původní cenu za transakci i po překročení limitu počtu transakcí až do konce čtvrtlet</w:t>
      </w:r>
      <w:r w:rsidR="00D12F43">
        <w:rPr>
          <w:rFonts w:ascii="Arial" w:hAnsi="Arial" w:cs="Arial"/>
          <w:b/>
          <w:bCs/>
          <w:iCs/>
          <w:sz w:val="22"/>
          <w:lang w:val="cs-CZ"/>
        </w:rPr>
        <w:t>í</w:t>
      </w:r>
      <w:r w:rsidRPr="00D12F43">
        <w:rPr>
          <w:rFonts w:ascii="Arial" w:hAnsi="Arial" w:cs="Arial"/>
          <w:b/>
          <w:bCs/>
          <w:iCs/>
          <w:sz w:val="22"/>
          <w:lang w:val="cs-CZ"/>
        </w:rPr>
        <w:t>,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 ve kterém k překročení limitu došlo. </w:t>
      </w:r>
      <w:r w:rsidR="00B3037C" w:rsidRPr="003E52AE">
        <w:rPr>
          <w:rFonts w:ascii="Arial" w:hAnsi="Arial" w:cs="Arial"/>
          <w:bCs/>
          <w:iCs/>
          <w:sz w:val="22"/>
          <w:lang w:val="cs-CZ"/>
        </w:rPr>
        <w:t>MV</w:t>
      </w:r>
      <w:r w:rsidR="003735B0" w:rsidRPr="003E52AE">
        <w:rPr>
          <w:rFonts w:ascii="Arial" w:hAnsi="Arial" w:cs="Arial"/>
          <w:sz w:val="22"/>
          <w:lang w:val="cs-CZ"/>
        </w:rPr>
        <w:t xml:space="preserve"> tak </w:t>
      </w:r>
      <w:r w:rsidR="00B3037C" w:rsidRPr="003E52AE">
        <w:rPr>
          <w:rFonts w:ascii="Arial" w:hAnsi="Arial" w:cs="Arial"/>
          <w:sz w:val="22"/>
          <w:lang w:val="cs-CZ"/>
        </w:rPr>
        <w:t xml:space="preserve">hradilo ČP faktury </w:t>
      </w:r>
      <w:r w:rsidR="003735B0" w:rsidRPr="003E52AE">
        <w:rPr>
          <w:rFonts w:ascii="Arial" w:hAnsi="Arial" w:cs="Arial"/>
          <w:sz w:val="22"/>
          <w:lang w:val="cs-CZ"/>
        </w:rPr>
        <w:t>vždy v nejvyšší přípustné částce</w:t>
      </w:r>
      <w:r w:rsidR="00742B77" w:rsidRPr="003E52AE">
        <w:rPr>
          <w:rFonts w:ascii="Arial" w:hAnsi="Arial" w:cs="Arial"/>
          <w:sz w:val="22"/>
          <w:lang w:val="cs-CZ"/>
        </w:rPr>
        <w:t>.</w:t>
      </w:r>
      <w:r w:rsidR="003735B0" w:rsidRPr="003E52AE">
        <w:rPr>
          <w:rFonts w:ascii="Arial" w:hAnsi="Arial" w:cs="Arial"/>
          <w:sz w:val="22"/>
          <w:lang w:val="cs-CZ"/>
        </w:rPr>
        <w:t xml:space="preserve"> </w:t>
      </w:r>
      <w:r w:rsidR="00742B77" w:rsidRPr="003E52AE">
        <w:rPr>
          <w:rFonts w:ascii="Arial" w:hAnsi="Arial" w:cs="Arial"/>
          <w:sz w:val="22"/>
          <w:lang w:val="cs-CZ"/>
        </w:rPr>
        <w:t>O</w:t>
      </w:r>
      <w:r w:rsidR="003735B0" w:rsidRPr="003E52AE">
        <w:rPr>
          <w:rFonts w:ascii="Arial" w:hAnsi="Arial" w:cs="Arial"/>
          <w:sz w:val="22"/>
          <w:lang w:val="cs-CZ"/>
        </w:rPr>
        <w:t> možnosti účtování nižší ceny za transakci</w:t>
      </w:r>
      <w:r w:rsidR="00742B77" w:rsidRPr="003E52AE">
        <w:rPr>
          <w:rFonts w:ascii="Arial" w:hAnsi="Arial" w:cs="Arial"/>
          <w:sz w:val="22"/>
          <w:lang w:val="cs-CZ"/>
        </w:rPr>
        <w:t xml:space="preserve"> již v okamžiku překročení </w:t>
      </w:r>
      <w:r w:rsidR="00093ACE" w:rsidRPr="003E52AE">
        <w:rPr>
          <w:rFonts w:ascii="Arial" w:hAnsi="Arial" w:cs="Arial"/>
          <w:sz w:val="22"/>
          <w:lang w:val="cs-CZ"/>
        </w:rPr>
        <w:t xml:space="preserve">limitu </w:t>
      </w:r>
      <w:r w:rsidR="00742B77" w:rsidRPr="003E52AE">
        <w:rPr>
          <w:rFonts w:ascii="Arial" w:hAnsi="Arial" w:cs="Arial"/>
          <w:sz w:val="22"/>
          <w:lang w:val="cs-CZ"/>
        </w:rPr>
        <w:t>MV</w:t>
      </w:r>
      <w:r w:rsidR="003735B0" w:rsidRPr="003E52AE">
        <w:rPr>
          <w:rFonts w:ascii="Arial" w:hAnsi="Arial" w:cs="Arial"/>
          <w:sz w:val="22"/>
          <w:lang w:val="cs-CZ"/>
        </w:rPr>
        <w:t xml:space="preserve"> s ČP nejednalo</w:t>
      </w:r>
      <w:r w:rsidR="000E116A" w:rsidRPr="003E52AE">
        <w:rPr>
          <w:rFonts w:ascii="Arial" w:hAnsi="Arial" w:cs="Arial"/>
          <w:sz w:val="22"/>
          <w:lang w:val="cs-CZ"/>
        </w:rPr>
        <w:t xml:space="preserve">, a to ani při následných úpravách </w:t>
      </w:r>
      <w:r w:rsidR="00D12F43">
        <w:rPr>
          <w:rFonts w:ascii="Arial" w:hAnsi="Arial" w:cs="Arial"/>
          <w:sz w:val="22"/>
          <w:lang w:val="cs-CZ"/>
        </w:rPr>
        <w:t>S</w:t>
      </w:r>
      <w:r w:rsidR="000E116A" w:rsidRPr="003E52AE">
        <w:rPr>
          <w:rFonts w:ascii="Arial" w:hAnsi="Arial" w:cs="Arial"/>
          <w:sz w:val="22"/>
          <w:lang w:val="cs-CZ"/>
        </w:rPr>
        <w:t>mlouvy.</w:t>
      </w:r>
      <w:r w:rsidR="00155A71">
        <w:rPr>
          <w:rFonts w:ascii="Arial" w:hAnsi="Arial" w:cs="Arial"/>
          <w:sz w:val="22"/>
          <w:lang w:val="cs-CZ"/>
        </w:rPr>
        <w:t xml:space="preserve"> Tabulka č. </w:t>
      </w:r>
      <w:r w:rsidR="004C5348" w:rsidRPr="003E52AE">
        <w:rPr>
          <w:rFonts w:ascii="Arial" w:hAnsi="Arial" w:cs="Arial"/>
          <w:sz w:val="22"/>
          <w:lang w:val="cs-CZ"/>
        </w:rPr>
        <w:t xml:space="preserve">2 uvádí průměrné náklady na transakci v jednotlivých letech provozu systému DS. </w:t>
      </w:r>
    </w:p>
    <w:p w:rsidR="00B257F3" w:rsidRPr="003E52AE" w:rsidRDefault="00B257F3" w:rsidP="008908A8">
      <w:pPr>
        <w:pStyle w:val="Odstavecseseznamem"/>
        <w:ind w:left="0"/>
        <w:contextualSpacing w:val="0"/>
        <w:rPr>
          <w:rFonts w:ascii="Arial" w:hAnsi="Arial" w:cs="Arial"/>
          <w:bCs/>
          <w:iCs/>
          <w:sz w:val="22"/>
          <w:lang w:val="cs-CZ"/>
        </w:rPr>
      </w:pPr>
    </w:p>
    <w:p w:rsidR="00464873" w:rsidRPr="003E52AE" w:rsidRDefault="00464873" w:rsidP="008908A8">
      <w:pPr>
        <w:pStyle w:val="Odstavecseseznamem"/>
        <w:ind w:left="0"/>
        <w:contextualSpacing w:val="0"/>
        <w:rPr>
          <w:rFonts w:ascii="Arial" w:hAnsi="Arial" w:cs="Arial"/>
          <w:bCs/>
          <w:iCs/>
          <w:sz w:val="22"/>
          <w:lang w:val="cs-CZ"/>
        </w:rPr>
      </w:pPr>
      <w:r w:rsidRPr="003E52AE">
        <w:rPr>
          <w:rFonts w:ascii="Arial" w:hAnsi="Arial" w:cs="Arial"/>
          <w:bCs/>
          <w:iCs/>
          <w:sz w:val="22"/>
          <w:lang w:val="cs-CZ"/>
        </w:rPr>
        <w:t xml:space="preserve">K překročení </w:t>
      </w:r>
      <w:r w:rsidR="00F84A6A" w:rsidRPr="003E52AE">
        <w:rPr>
          <w:rFonts w:ascii="Arial" w:hAnsi="Arial" w:cs="Arial"/>
          <w:bCs/>
          <w:iCs/>
          <w:sz w:val="22"/>
          <w:lang w:val="cs-CZ"/>
        </w:rPr>
        <w:t xml:space="preserve">hraničních </w:t>
      </w:r>
      <w:r w:rsidRPr="003E52AE">
        <w:rPr>
          <w:rFonts w:ascii="Arial" w:hAnsi="Arial" w:cs="Arial"/>
          <w:bCs/>
          <w:iCs/>
          <w:sz w:val="22"/>
          <w:lang w:val="cs-CZ"/>
        </w:rPr>
        <w:t>počt</w:t>
      </w:r>
      <w:r w:rsidR="00F84A6A" w:rsidRPr="003E52AE">
        <w:rPr>
          <w:rFonts w:ascii="Arial" w:hAnsi="Arial" w:cs="Arial"/>
          <w:bCs/>
          <w:iCs/>
          <w:sz w:val="22"/>
          <w:lang w:val="cs-CZ"/>
        </w:rPr>
        <w:t>ů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 transakcí došlo dvakrát, </w:t>
      </w:r>
      <w:r w:rsidR="00341982" w:rsidRPr="003E52AE">
        <w:rPr>
          <w:rFonts w:ascii="Arial" w:hAnsi="Arial" w:cs="Arial"/>
          <w:bCs/>
          <w:iCs/>
          <w:sz w:val="22"/>
          <w:lang w:val="cs-CZ"/>
        </w:rPr>
        <w:t xml:space="preserve">a to </w:t>
      </w:r>
      <w:r w:rsidRPr="003E52AE">
        <w:rPr>
          <w:rFonts w:ascii="Arial" w:hAnsi="Arial" w:cs="Arial"/>
          <w:bCs/>
          <w:iCs/>
          <w:sz w:val="22"/>
          <w:lang w:val="cs-CZ"/>
        </w:rPr>
        <w:t>v </w:t>
      </w:r>
      <w:r w:rsidR="00F84A6A" w:rsidRPr="003E52AE">
        <w:rPr>
          <w:rFonts w:ascii="Arial" w:hAnsi="Arial" w:cs="Arial"/>
          <w:bCs/>
          <w:iCs/>
          <w:sz w:val="22"/>
          <w:lang w:val="cs-CZ"/>
        </w:rPr>
        <w:t>prvním</w:t>
      </w:r>
      <w:r w:rsidR="0005364B">
        <w:rPr>
          <w:rFonts w:ascii="Arial" w:hAnsi="Arial" w:cs="Arial"/>
          <w:bCs/>
          <w:iCs/>
          <w:sz w:val="22"/>
          <w:lang w:val="cs-CZ"/>
        </w:rPr>
        <w:t xml:space="preserve"> </w:t>
      </w:r>
      <w:r w:rsidR="00F80FD3" w:rsidRPr="003E52AE">
        <w:rPr>
          <w:rFonts w:ascii="Arial" w:hAnsi="Arial" w:cs="Arial"/>
          <w:bCs/>
          <w:iCs/>
          <w:sz w:val="22"/>
          <w:lang w:val="cs-CZ"/>
        </w:rPr>
        <w:t>čtvrtletí roku 2011 a </w:t>
      </w:r>
      <w:r w:rsidR="00B3037C" w:rsidRPr="003E52AE">
        <w:rPr>
          <w:rFonts w:ascii="Arial" w:hAnsi="Arial" w:cs="Arial"/>
          <w:bCs/>
          <w:iCs/>
          <w:sz w:val="22"/>
          <w:lang w:val="cs-CZ"/>
        </w:rPr>
        <w:t>v</w:t>
      </w:r>
      <w:r w:rsidR="00AC1BD4" w:rsidRPr="003E52AE">
        <w:rPr>
          <w:rFonts w:ascii="Arial" w:hAnsi="Arial" w:cs="Arial"/>
          <w:bCs/>
          <w:iCs/>
          <w:sz w:val="22"/>
          <w:lang w:val="cs-CZ"/>
        </w:rPr>
        <w:t> </w:t>
      </w:r>
      <w:r w:rsidR="00F84A6A" w:rsidRPr="003E52AE">
        <w:rPr>
          <w:rFonts w:ascii="Arial" w:hAnsi="Arial" w:cs="Arial"/>
          <w:bCs/>
          <w:iCs/>
          <w:sz w:val="22"/>
          <w:lang w:val="cs-CZ"/>
        </w:rPr>
        <w:t>prvním</w:t>
      </w:r>
      <w:r w:rsidR="00B3037C" w:rsidRPr="003E52AE">
        <w:rPr>
          <w:rFonts w:ascii="Arial" w:hAnsi="Arial" w:cs="Arial"/>
          <w:bCs/>
          <w:iCs/>
          <w:sz w:val="22"/>
          <w:lang w:val="cs-CZ"/>
        </w:rPr>
        <w:t xml:space="preserve"> čtvrtletí 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roku 2012. </w:t>
      </w:r>
      <w:r w:rsidR="00B3037C" w:rsidRPr="003E52AE">
        <w:rPr>
          <w:rFonts w:ascii="Arial" w:hAnsi="Arial" w:cs="Arial"/>
          <w:bCs/>
          <w:iCs/>
          <w:sz w:val="22"/>
          <w:lang w:val="cs-CZ"/>
        </w:rPr>
        <w:t xml:space="preserve">MV uhradilo ČP 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v původní ceně celkem 7 224 483 transakcí, což v celkovém </w:t>
      </w:r>
      <w:r w:rsidR="007A6500" w:rsidRPr="003E52AE">
        <w:rPr>
          <w:rFonts w:ascii="Arial" w:hAnsi="Arial" w:cs="Arial"/>
          <w:bCs/>
          <w:iCs/>
          <w:sz w:val="22"/>
          <w:lang w:val="cs-CZ"/>
        </w:rPr>
        <w:t>peněžním vyjádření</w:t>
      </w:r>
      <w:r w:rsidRPr="003E52AE">
        <w:rPr>
          <w:rFonts w:ascii="Arial" w:hAnsi="Arial" w:cs="Arial"/>
          <w:bCs/>
          <w:iCs/>
          <w:sz w:val="22"/>
          <w:lang w:val="cs-CZ"/>
        </w:rPr>
        <w:t xml:space="preserve"> činilo o 12 137 131,44 Kč bez DPH víc, než kdyby byla bezprostředně po dosaž</w:t>
      </w:r>
      <w:r w:rsidR="0099546F" w:rsidRPr="003E52AE">
        <w:rPr>
          <w:rFonts w:ascii="Arial" w:hAnsi="Arial" w:cs="Arial"/>
          <w:bCs/>
          <w:iCs/>
          <w:sz w:val="22"/>
          <w:lang w:val="cs-CZ"/>
        </w:rPr>
        <w:t>ení hraničního počtu transakcí</w:t>
      </w:r>
      <w:r w:rsidR="00D12F43">
        <w:rPr>
          <w:rFonts w:ascii="Arial" w:hAnsi="Arial" w:cs="Arial"/>
          <w:bCs/>
          <w:iCs/>
          <w:sz w:val="22"/>
          <w:lang w:val="cs-CZ"/>
        </w:rPr>
        <w:t xml:space="preserve"> fakturována nižší cena</w:t>
      </w:r>
      <w:r w:rsidR="0099546F" w:rsidRPr="003E52AE">
        <w:rPr>
          <w:rFonts w:ascii="Arial" w:hAnsi="Arial" w:cs="Arial"/>
          <w:bCs/>
          <w:iCs/>
          <w:sz w:val="22"/>
          <w:lang w:val="cs-CZ"/>
        </w:rPr>
        <w:t>.</w:t>
      </w:r>
    </w:p>
    <w:p w:rsidR="0099546F" w:rsidRPr="003E52AE" w:rsidRDefault="0099546F" w:rsidP="008908A8">
      <w:pPr>
        <w:pStyle w:val="Odstavecseseznamem"/>
        <w:ind w:left="0"/>
        <w:contextualSpacing w:val="0"/>
        <w:rPr>
          <w:rFonts w:ascii="Arial" w:hAnsi="Arial" w:cs="Arial"/>
          <w:bCs/>
          <w:iCs/>
          <w:sz w:val="22"/>
          <w:lang w:val="cs-CZ"/>
        </w:rPr>
      </w:pPr>
    </w:p>
    <w:p w:rsidR="00121B05" w:rsidRPr="00811BB2" w:rsidRDefault="00121B05" w:rsidP="00220412">
      <w:pPr>
        <w:pStyle w:val="Odstavecseseznamem"/>
        <w:tabs>
          <w:tab w:val="left" w:pos="7371"/>
        </w:tabs>
        <w:spacing w:after="40"/>
        <w:ind w:left="0"/>
        <w:contextualSpacing w:val="0"/>
        <w:rPr>
          <w:rFonts w:ascii="Arial" w:hAnsi="Arial" w:cs="Arial"/>
          <w:b/>
          <w:sz w:val="22"/>
          <w:lang w:val="cs-CZ"/>
        </w:rPr>
      </w:pPr>
      <w:r w:rsidRPr="00811BB2">
        <w:rPr>
          <w:rFonts w:ascii="Arial" w:hAnsi="Arial" w:cs="Arial"/>
          <w:b/>
          <w:sz w:val="22"/>
          <w:lang w:val="cs-CZ"/>
        </w:rPr>
        <w:t xml:space="preserve">Tabulka č. </w:t>
      </w:r>
      <w:r w:rsidR="00E64654" w:rsidRPr="00811BB2">
        <w:rPr>
          <w:rFonts w:ascii="Arial" w:hAnsi="Arial" w:cs="Arial"/>
          <w:b/>
          <w:sz w:val="22"/>
          <w:lang w:val="cs-CZ"/>
        </w:rPr>
        <w:t>2</w:t>
      </w:r>
      <w:r w:rsidRPr="00811BB2">
        <w:rPr>
          <w:rFonts w:ascii="Arial" w:hAnsi="Arial" w:cs="Arial"/>
          <w:b/>
          <w:sz w:val="22"/>
          <w:lang w:val="cs-CZ"/>
        </w:rPr>
        <w:t xml:space="preserve"> – Průměrn</w:t>
      </w:r>
      <w:r w:rsidR="0024746B" w:rsidRPr="00811BB2">
        <w:rPr>
          <w:rFonts w:ascii="Arial" w:hAnsi="Arial" w:cs="Arial"/>
          <w:b/>
          <w:sz w:val="22"/>
          <w:lang w:val="cs-CZ"/>
        </w:rPr>
        <w:t>é</w:t>
      </w:r>
      <w:r w:rsidRPr="00811BB2">
        <w:rPr>
          <w:rFonts w:ascii="Arial" w:hAnsi="Arial" w:cs="Arial"/>
          <w:b/>
          <w:sz w:val="22"/>
          <w:lang w:val="cs-CZ"/>
        </w:rPr>
        <w:t xml:space="preserve"> </w:t>
      </w:r>
      <w:r w:rsidR="0024746B" w:rsidRPr="00811BB2">
        <w:rPr>
          <w:rFonts w:ascii="Arial" w:hAnsi="Arial" w:cs="Arial"/>
          <w:b/>
          <w:sz w:val="22"/>
          <w:lang w:val="cs-CZ"/>
        </w:rPr>
        <w:t>náklady n</w:t>
      </w:r>
      <w:r w:rsidRPr="00811BB2">
        <w:rPr>
          <w:rFonts w:ascii="Arial" w:hAnsi="Arial" w:cs="Arial"/>
          <w:b/>
          <w:sz w:val="22"/>
          <w:lang w:val="cs-CZ"/>
        </w:rPr>
        <w:t>a transakci v jednotlivých letech</w:t>
      </w:r>
      <w:r w:rsidR="006C3FE7" w:rsidRPr="00811BB2">
        <w:rPr>
          <w:rFonts w:ascii="Arial" w:hAnsi="Arial" w:cs="Arial"/>
          <w:b/>
          <w:sz w:val="22"/>
          <w:lang w:val="cs-CZ"/>
        </w:rPr>
        <w:t xml:space="preserve"> </w:t>
      </w:r>
      <w:r w:rsidR="002A4BC3" w:rsidRPr="003E52AE">
        <w:rPr>
          <w:rFonts w:ascii="Arial" w:hAnsi="Arial" w:cs="Arial"/>
          <w:b/>
          <w:sz w:val="22"/>
          <w:lang w:val="cs-CZ"/>
        </w:rPr>
        <w:tab/>
      </w:r>
      <w:r w:rsidR="006C3FE7" w:rsidRPr="00811BB2">
        <w:rPr>
          <w:rFonts w:ascii="Arial" w:eastAsia="Calibri" w:hAnsi="Arial" w:cs="Arial"/>
          <w:b/>
          <w:sz w:val="22"/>
          <w:lang w:val="cs-CZ"/>
        </w:rPr>
        <w:t>(v Kč vč. DPH)</w:t>
      </w:r>
    </w:p>
    <w:tbl>
      <w:tblPr>
        <w:tblW w:w="907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2551"/>
        <w:gridCol w:w="2268"/>
      </w:tblGrid>
      <w:tr w:rsidR="00B225CA" w:rsidRPr="003E52AE" w:rsidTr="00B257F3">
        <w:trPr>
          <w:trHeight w:val="283"/>
          <w:jc w:val="center"/>
        </w:trPr>
        <w:tc>
          <w:tcPr>
            <w:tcW w:w="1417" w:type="dxa"/>
            <w:shd w:val="clear" w:color="000000" w:fill="D9D9D9" w:themeFill="background1" w:themeFillShade="D9"/>
            <w:vAlign w:val="center"/>
            <w:hideMark/>
          </w:tcPr>
          <w:p w:rsidR="00B225CA" w:rsidRPr="00811BB2" w:rsidRDefault="00B225CA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2835" w:type="dxa"/>
            <w:shd w:val="clear" w:color="000000" w:fill="D9D9D9" w:themeFill="background1" w:themeFillShade="D9"/>
            <w:vAlign w:val="center"/>
            <w:hideMark/>
          </w:tcPr>
          <w:p w:rsidR="00B225CA" w:rsidRPr="00811BB2" w:rsidRDefault="00B225CA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Celkové náklady </w:t>
            </w:r>
            <w:r w:rsidR="00F84A6A"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n</w:t>
            </w: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a provoz systému DS</w:t>
            </w:r>
          </w:p>
        </w:tc>
        <w:tc>
          <w:tcPr>
            <w:tcW w:w="2551" w:type="dxa"/>
            <w:shd w:val="clear" w:color="000000" w:fill="D9D9D9" w:themeFill="background1" w:themeFillShade="D9"/>
            <w:vAlign w:val="center"/>
            <w:hideMark/>
          </w:tcPr>
          <w:p w:rsidR="00B225CA" w:rsidRPr="00811BB2" w:rsidRDefault="00B225CA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Počet transakcí</w:t>
            </w:r>
          </w:p>
          <w:p w:rsidR="00B225CA" w:rsidRPr="00811BB2" w:rsidRDefault="00B225CA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(v daném roce)</w:t>
            </w: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  <w:hideMark/>
          </w:tcPr>
          <w:p w:rsidR="00B225CA" w:rsidRPr="00811BB2" w:rsidRDefault="00B225CA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811BB2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Průměrná cena za transakci</w:t>
            </w:r>
          </w:p>
        </w:tc>
      </w:tr>
      <w:tr w:rsidR="00B225CA" w:rsidRPr="003E52AE" w:rsidTr="00B257F3">
        <w:trPr>
          <w:trHeight w:val="283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B225CA" w:rsidRPr="003E52AE" w:rsidRDefault="00B225CA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205 930 629,78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2 623 336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78,50</w:t>
            </w:r>
          </w:p>
        </w:tc>
      </w:tr>
      <w:tr w:rsidR="00B225CA" w:rsidRPr="003E52AE" w:rsidTr="00B257F3">
        <w:trPr>
          <w:trHeight w:val="283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B225CA" w:rsidRPr="003E52AE" w:rsidRDefault="00B225CA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988 693 089,60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27 550 696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35,89</w:t>
            </w:r>
          </w:p>
        </w:tc>
      </w:tr>
      <w:tr w:rsidR="00B225CA" w:rsidRPr="003E52AE" w:rsidTr="00B257F3">
        <w:trPr>
          <w:trHeight w:val="283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B225CA" w:rsidRPr="003E52AE" w:rsidRDefault="00B225CA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926 084 104,40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34 920 869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26,52</w:t>
            </w:r>
          </w:p>
        </w:tc>
      </w:tr>
      <w:tr w:rsidR="00B225CA" w:rsidRPr="003E52AE" w:rsidTr="00B257F3">
        <w:trPr>
          <w:trHeight w:val="283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B225CA" w:rsidRPr="003E52AE" w:rsidRDefault="00B225CA" w:rsidP="00890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803 681 921,00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45 425 041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17,69</w:t>
            </w:r>
          </w:p>
        </w:tc>
      </w:tr>
      <w:tr w:rsidR="00B225CA" w:rsidRPr="003E52AE" w:rsidTr="00B257F3">
        <w:trPr>
          <w:trHeight w:val="283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B225CA" w:rsidRPr="00811BB2" w:rsidRDefault="002A4BC3" w:rsidP="008908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2 924 389 744,78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110 519 942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25CA" w:rsidRPr="003E52AE" w:rsidRDefault="00B225CA" w:rsidP="00B257F3">
            <w:pPr>
              <w:ind w:right="21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E52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26,46</w:t>
            </w:r>
          </w:p>
        </w:tc>
      </w:tr>
    </w:tbl>
    <w:p w:rsidR="00121B05" w:rsidRPr="003E52AE" w:rsidRDefault="003D4FC5" w:rsidP="00B257F3">
      <w:pPr>
        <w:pStyle w:val="Odstavecseseznamem"/>
        <w:spacing w:before="40"/>
        <w:ind w:left="567" w:hanging="567"/>
        <w:contextualSpacing w:val="0"/>
        <w:rPr>
          <w:rFonts w:ascii="Arial" w:hAnsi="Arial" w:cs="Arial"/>
          <w:sz w:val="18"/>
          <w:szCs w:val="18"/>
          <w:lang w:val="cs-CZ"/>
        </w:rPr>
      </w:pPr>
      <w:r w:rsidRPr="003E52AE">
        <w:rPr>
          <w:rFonts w:ascii="Arial" w:hAnsi="Arial" w:cs="Arial"/>
          <w:b/>
          <w:sz w:val="18"/>
          <w:szCs w:val="18"/>
          <w:lang w:val="cs-CZ"/>
        </w:rPr>
        <w:t>Zdroj:</w:t>
      </w:r>
      <w:r w:rsidR="00B257F3" w:rsidRPr="003E52AE">
        <w:rPr>
          <w:rFonts w:ascii="Arial" w:hAnsi="Arial" w:cs="Arial"/>
          <w:sz w:val="18"/>
          <w:szCs w:val="18"/>
          <w:lang w:val="cs-CZ"/>
        </w:rPr>
        <w:tab/>
      </w:r>
      <w:r w:rsidR="00121B05" w:rsidRPr="003E52AE">
        <w:rPr>
          <w:rFonts w:ascii="Arial" w:hAnsi="Arial" w:cs="Arial"/>
          <w:sz w:val="18"/>
          <w:szCs w:val="18"/>
          <w:lang w:val="cs-CZ"/>
        </w:rPr>
        <w:t xml:space="preserve">ČP, </w:t>
      </w:r>
      <w:r w:rsidR="00CE43ED" w:rsidRPr="003E52AE">
        <w:rPr>
          <w:rFonts w:ascii="Arial" w:hAnsi="Arial" w:cs="Arial"/>
          <w:sz w:val="18"/>
          <w:szCs w:val="18"/>
          <w:lang w:val="cs-CZ"/>
        </w:rPr>
        <w:t>p</w:t>
      </w:r>
      <w:r w:rsidR="00121B05" w:rsidRPr="003E52AE">
        <w:rPr>
          <w:rFonts w:ascii="Arial" w:hAnsi="Arial" w:cs="Arial"/>
          <w:sz w:val="18"/>
          <w:szCs w:val="18"/>
          <w:lang w:val="cs-CZ"/>
        </w:rPr>
        <w:t xml:space="preserve">ravidelné měsíční zprávy o provozu </w:t>
      </w:r>
      <w:r w:rsidR="004B044D" w:rsidRPr="003E52AE">
        <w:rPr>
          <w:rFonts w:ascii="Arial" w:hAnsi="Arial" w:cs="Arial"/>
          <w:sz w:val="18"/>
          <w:szCs w:val="18"/>
          <w:lang w:val="cs-CZ"/>
        </w:rPr>
        <w:t xml:space="preserve">systému </w:t>
      </w:r>
      <w:r w:rsidR="00121B05" w:rsidRPr="003E52AE">
        <w:rPr>
          <w:rFonts w:ascii="Arial" w:hAnsi="Arial" w:cs="Arial"/>
          <w:sz w:val="18"/>
          <w:szCs w:val="18"/>
          <w:lang w:val="cs-CZ"/>
        </w:rPr>
        <w:t>DS</w:t>
      </w:r>
      <w:r w:rsidR="0099546F" w:rsidRPr="003E52AE">
        <w:rPr>
          <w:rFonts w:ascii="Arial" w:hAnsi="Arial" w:cs="Arial"/>
          <w:sz w:val="18"/>
          <w:szCs w:val="18"/>
          <w:lang w:val="cs-CZ"/>
        </w:rPr>
        <w:t>.</w:t>
      </w:r>
    </w:p>
    <w:p w:rsidR="00121B05" w:rsidRDefault="00121B05" w:rsidP="00B257F3">
      <w:pPr>
        <w:pStyle w:val="Odstavecseseznamem"/>
        <w:ind w:left="567" w:hanging="567"/>
        <w:contextualSpacing w:val="0"/>
        <w:rPr>
          <w:rFonts w:ascii="Arial" w:hAnsi="Arial" w:cs="Arial"/>
          <w:sz w:val="18"/>
          <w:szCs w:val="18"/>
          <w:lang w:val="cs-CZ"/>
        </w:rPr>
      </w:pPr>
      <w:r w:rsidRPr="003E52AE">
        <w:rPr>
          <w:rFonts w:ascii="Arial" w:hAnsi="Arial" w:cs="Arial"/>
          <w:b/>
          <w:sz w:val="18"/>
          <w:szCs w:val="18"/>
          <w:lang w:val="cs-CZ"/>
        </w:rPr>
        <w:t>Pozn.:</w:t>
      </w:r>
      <w:r w:rsidR="00B257F3" w:rsidRPr="003E52AE">
        <w:rPr>
          <w:rFonts w:ascii="Arial" w:hAnsi="Arial" w:cs="Arial"/>
          <w:sz w:val="18"/>
          <w:szCs w:val="18"/>
          <w:lang w:val="cs-CZ"/>
        </w:rPr>
        <w:tab/>
      </w:r>
      <w:r w:rsidRPr="003E52AE">
        <w:rPr>
          <w:rFonts w:ascii="Arial" w:hAnsi="Arial" w:cs="Arial"/>
          <w:sz w:val="18"/>
          <w:szCs w:val="18"/>
          <w:lang w:val="cs-CZ"/>
        </w:rPr>
        <w:t xml:space="preserve">Počet transakcí je celkovým počtem realizovaných transakcí dle měsíčních zpráv o provozu </w:t>
      </w:r>
      <w:r w:rsidR="004B044D" w:rsidRPr="003E52AE">
        <w:rPr>
          <w:rFonts w:ascii="Arial" w:hAnsi="Arial" w:cs="Arial"/>
          <w:sz w:val="18"/>
          <w:szCs w:val="18"/>
          <w:lang w:val="cs-CZ"/>
        </w:rPr>
        <w:t xml:space="preserve">systému </w:t>
      </w:r>
      <w:r w:rsidRPr="003E52AE">
        <w:rPr>
          <w:rFonts w:ascii="Arial" w:hAnsi="Arial" w:cs="Arial"/>
          <w:sz w:val="18"/>
          <w:szCs w:val="18"/>
          <w:lang w:val="cs-CZ"/>
        </w:rPr>
        <w:t>DS</w:t>
      </w:r>
      <w:r w:rsidR="0099546F" w:rsidRPr="003E52AE">
        <w:rPr>
          <w:rFonts w:ascii="Arial" w:hAnsi="Arial" w:cs="Arial"/>
          <w:sz w:val="18"/>
          <w:szCs w:val="18"/>
          <w:lang w:val="cs-CZ"/>
        </w:rPr>
        <w:t>.</w:t>
      </w:r>
    </w:p>
    <w:p w:rsidR="00D12F43" w:rsidRPr="003E52AE" w:rsidRDefault="00D12F43" w:rsidP="00D12F43">
      <w:pPr>
        <w:pStyle w:val="Odstavecseseznamem"/>
        <w:ind w:left="567"/>
        <w:contextualSpacing w:val="0"/>
        <w:rPr>
          <w:rFonts w:ascii="Arial" w:hAnsi="Arial" w:cs="Arial"/>
          <w:sz w:val="18"/>
          <w:szCs w:val="18"/>
          <w:lang w:val="cs-CZ"/>
        </w:rPr>
      </w:pPr>
      <w:r w:rsidRPr="003E52AE">
        <w:rPr>
          <w:rFonts w:ascii="Arial" w:hAnsi="Arial" w:cs="Arial"/>
          <w:sz w:val="18"/>
          <w:szCs w:val="18"/>
          <w:lang w:val="cs-CZ"/>
        </w:rPr>
        <w:lastRenderedPageBreak/>
        <w:t>Průměrná cena transakce byla vypočtena NKÚ jako podíl celkových nákladů na provoz systému DS a počtu transakcí v daném kalendářním roce.</w:t>
      </w:r>
    </w:p>
    <w:p w:rsidR="00D12F43" w:rsidRPr="003E52AE" w:rsidRDefault="00D12F43" w:rsidP="008908A8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D03221" w:rsidRPr="003E52AE" w:rsidRDefault="00D03221" w:rsidP="00B257F3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>1.3.</w:t>
      </w:r>
      <w:r w:rsidR="00630BD6" w:rsidRPr="003E52AE">
        <w:rPr>
          <w:rFonts w:ascii="Arial" w:hAnsi="Arial" w:cs="Arial"/>
          <w:b/>
          <w:sz w:val="22"/>
        </w:rPr>
        <w:t>2</w:t>
      </w:r>
      <w:r w:rsidR="00B257F3" w:rsidRPr="003E52AE">
        <w:rPr>
          <w:rFonts w:ascii="Arial" w:hAnsi="Arial" w:cs="Arial"/>
          <w:b/>
          <w:sz w:val="22"/>
        </w:rPr>
        <w:t xml:space="preserve"> </w:t>
      </w:r>
      <w:r w:rsidR="00032B89" w:rsidRPr="003E52AE">
        <w:rPr>
          <w:rFonts w:ascii="Arial" w:hAnsi="Arial" w:cs="Arial"/>
          <w:b/>
          <w:sz w:val="22"/>
        </w:rPr>
        <w:t>Ostatní zjištění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B84085" w:rsidRPr="00811BB2" w:rsidRDefault="00EB7522" w:rsidP="008908A8">
      <w:pPr>
        <w:rPr>
          <w:rFonts w:ascii="Arial" w:hAnsi="Arial" w:cs="Arial"/>
          <w:b/>
          <w:sz w:val="22"/>
        </w:rPr>
      </w:pPr>
      <w:r w:rsidRPr="00811BB2">
        <w:rPr>
          <w:rFonts w:ascii="Arial" w:hAnsi="Arial" w:cs="Arial"/>
          <w:b/>
          <w:sz w:val="22"/>
        </w:rPr>
        <w:t>L</w:t>
      </w:r>
      <w:r w:rsidR="00032B89" w:rsidRPr="00811BB2">
        <w:rPr>
          <w:rFonts w:ascii="Arial" w:hAnsi="Arial" w:cs="Arial"/>
          <w:b/>
          <w:sz w:val="22"/>
        </w:rPr>
        <w:t>icence</w:t>
      </w:r>
      <w:r w:rsidR="00EF2EA2" w:rsidRPr="00811BB2">
        <w:rPr>
          <w:rFonts w:ascii="Arial" w:hAnsi="Arial" w:cs="Arial"/>
          <w:b/>
          <w:sz w:val="22"/>
        </w:rPr>
        <w:t xml:space="preserve"> k softwar</w:t>
      </w:r>
      <w:r w:rsidR="00D12F43">
        <w:rPr>
          <w:rFonts w:ascii="Arial" w:hAnsi="Arial" w:cs="Arial"/>
          <w:b/>
          <w:sz w:val="22"/>
        </w:rPr>
        <w:t>u</w:t>
      </w:r>
      <w:r w:rsidR="00EF2EA2" w:rsidRPr="00811BB2">
        <w:rPr>
          <w:rFonts w:ascii="Arial" w:hAnsi="Arial" w:cs="Arial"/>
          <w:b/>
          <w:sz w:val="22"/>
        </w:rPr>
        <w:t xml:space="preserve"> a databázím systému DS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AC3578" w:rsidRPr="003E52AE" w:rsidRDefault="001B50F6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V podmínkách udržitelnosti</w:t>
      </w:r>
      <w:r w:rsidR="00F84A6A" w:rsidRPr="003E52AE">
        <w:rPr>
          <w:rFonts w:ascii="Arial" w:hAnsi="Arial" w:cs="Arial"/>
          <w:sz w:val="22"/>
        </w:rPr>
        <w:t xml:space="preserve"> uvedených v projektu spojeném se zaváděním systému DS</w:t>
      </w:r>
      <w:r w:rsidRPr="003E52AE">
        <w:rPr>
          <w:rFonts w:ascii="Arial" w:hAnsi="Arial" w:cs="Arial"/>
          <w:sz w:val="22"/>
        </w:rPr>
        <w:t xml:space="preserve"> si MV stanovilo </w:t>
      </w:r>
      <w:r w:rsidR="008A53CE" w:rsidRPr="003E52AE">
        <w:rPr>
          <w:rFonts w:ascii="Arial" w:hAnsi="Arial" w:cs="Arial"/>
          <w:sz w:val="22"/>
        </w:rPr>
        <w:t>n</w:t>
      </w:r>
      <w:r w:rsidR="00B84085" w:rsidRPr="003E52AE">
        <w:rPr>
          <w:rFonts w:ascii="Arial" w:hAnsi="Arial" w:cs="Arial"/>
          <w:sz w:val="22"/>
        </w:rPr>
        <w:t xml:space="preserve">ákup licence s termínem do 30. </w:t>
      </w:r>
      <w:r w:rsidR="00E20AFC" w:rsidRPr="003E52AE">
        <w:rPr>
          <w:rFonts w:ascii="Arial" w:hAnsi="Arial" w:cs="Arial"/>
          <w:sz w:val="22"/>
        </w:rPr>
        <w:t>června</w:t>
      </w:r>
      <w:r w:rsidR="00B84085" w:rsidRPr="003E52AE">
        <w:rPr>
          <w:rFonts w:ascii="Arial" w:hAnsi="Arial" w:cs="Arial"/>
          <w:sz w:val="22"/>
        </w:rPr>
        <w:t xml:space="preserve"> 2009 </w:t>
      </w:r>
      <w:r w:rsidR="00F25200" w:rsidRPr="003E52AE">
        <w:rPr>
          <w:rFonts w:ascii="Arial" w:hAnsi="Arial" w:cs="Arial"/>
          <w:sz w:val="22"/>
        </w:rPr>
        <w:t>jako prvotní fáz</w:t>
      </w:r>
      <w:r w:rsidR="00D12F43">
        <w:rPr>
          <w:rFonts w:ascii="Arial" w:hAnsi="Arial" w:cs="Arial"/>
          <w:sz w:val="22"/>
        </w:rPr>
        <w:t>i</w:t>
      </w:r>
      <w:r w:rsidR="00F25200" w:rsidRPr="003E52AE">
        <w:rPr>
          <w:rFonts w:ascii="Arial" w:hAnsi="Arial" w:cs="Arial"/>
          <w:sz w:val="22"/>
        </w:rPr>
        <w:t xml:space="preserve"> projektu pro zajištění </w:t>
      </w:r>
      <w:r w:rsidR="00B84085" w:rsidRPr="003E52AE">
        <w:rPr>
          <w:rFonts w:ascii="Arial" w:hAnsi="Arial" w:cs="Arial"/>
          <w:sz w:val="22"/>
        </w:rPr>
        <w:t xml:space="preserve">jeho </w:t>
      </w:r>
      <w:r w:rsidR="00F25200" w:rsidRPr="003E52AE">
        <w:rPr>
          <w:rFonts w:ascii="Arial" w:hAnsi="Arial" w:cs="Arial"/>
          <w:sz w:val="22"/>
        </w:rPr>
        <w:t xml:space="preserve">udržitelnosti v případě demonopolizace poštovních služeb. </w:t>
      </w:r>
      <w:r w:rsidR="00B8672D" w:rsidRPr="003E52AE">
        <w:rPr>
          <w:rFonts w:ascii="Arial" w:hAnsi="Arial" w:cs="Arial"/>
          <w:sz w:val="22"/>
        </w:rPr>
        <w:t xml:space="preserve">V době </w:t>
      </w:r>
      <w:r w:rsidR="00941916" w:rsidRPr="003E52AE">
        <w:rPr>
          <w:rFonts w:ascii="Arial" w:hAnsi="Arial" w:cs="Arial"/>
          <w:sz w:val="22"/>
        </w:rPr>
        <w:t>ukončení kontroly NKÚ byla</w:t>
      </w:r>
      <w:r w:rsidR="00B8672D" w:rsidRPr="003E52AE">
        <w:rPr>
          <w:rFonts w:ascii="Arial" w:hAnsi="Arial" w:cs="Arial"/>
          <w:sz w:val="22"/>
        </w:rPr>
        <w:t xml:space="preserve"> držitelem licence ČP, která odkoupila licenci od dodavatele dne 21. </w:t>
      </w:r>
      <w:r w:rsidR="00E20AFC" w:rsidRPr="003E52AE">
        <w:rPr>
          <w:rFonts w:ascii="Arial" w:hAnsi="Arial" w:cs="Arial"/>
          <w:sz w:val="22"/>
        </w:rPr>
        <w:t>prosince</w:t>
      </w:r>
      <w:r w:rsidR="00B8672D" w:rsidRPr="003E52AE">
        <w:rPr>
          <w:rFonts w:ascii="Arial" w:hAnsi="Arial" w:cs="Arial"/>
          <w:sz w:val="22"/>
        </w:rPr>
        <w:t> 2012, a to na základě požadavku MV, které vyzvalo ČP k odkoupení licence na základě úkolu z usnesení vlády ze dne 14.</w:t>
      </w:r>
      <w:r w:rsidR="00714B5F" w:rsidRPr="003E52AE">
        <w:rPr>
          <w:rFonts w:ascii="Arial" w:hAnsi="Arial" w:cs="Arial"/>
          <w:sz w:val="22"/>
        </w:rPr>
        <w:t> </w:t>
      </w:r>
      <w:r w:rsidR="008B21C8" w:rsidRPr="003E52AE">
        <w:rPr>
          <w:rFonts w:ascii="Arial" w:hAnsi="Arial" w:cs="Arial"/>
          <w:sz w:val="22"/>
        </w:rPr>
        <w:t>listopadu</w:t>
      </w:r>
      <w:r w:rsidR="00714B5F" w:rsidRPr="003E52AE">
        <w:rPr>
          <w:rFonts w:ascii="Arial" w:hAnsi="Arial" w:cs="Arial"/>
          <w:sz w:val="22"/>
        </w:rPr>
        <w:t> </w:t>
      </w:r>
      <w:r w:rsidR="00B8672D" w:rsidRPr="003E52AE">
        <w:rPr>
          <w:rFonts w:ascii="Arial" w:hAnsi="Arial" w:cs="Arial"/>
          <w:sz w:val="22"/>
        </w:rPr>
        <w:t>2012 č. 833</w:t>
      </w:r>
      <w:r w:rsidR="008A53CE" w:rsidRPr="003E52AE">
        <w:rPr>
          <w:rFonts w:ascii="Arial" w:hAnsi="Arial" w:cs="Arial"/>
          <w:sz w:val="22"/>
        </w:rPr>
        <w:t>.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F25200" w:rsidRPr="003E52AE" w:rsidRDefault="00D12F43" w:rsidP="008908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MV d</w:t>
      </w:r>
      <w:r w:rsidR="00656754" w:rsidRPr="003E52AE">
        <w:rPr>
          <w:rFonts w:ascii="Arial" w:hAnsi="Arial" w:cs="Arial"/>
          <w:sz w:val="22"/>
        </w:rPr>
        <w:t xml:space="preserve">o doby ukončení kontroly NKÚ licenci nepořídilo a nevyčerpalo </w:t>
      </w:r>
      <w:r w:rsidR="001E12DB" w:rsidRPr="003E52AE">
        <w:rPr>
          <w:rFonts w:ascii="Arial" w:hAnsi="Arial" w:cs="Arial"/>
          <w:sz w:val="22"/>
        </w:rPr>
        <w:t>z </w:t>
      </w:r>
      <w:r w:rsidR="001E12DB" w:rsidRPr="00811BB2">
        <w:rPr>
          <w:rFonts w:ascii="Arial" w:hAnsi="Arial" w:cs="Arial"/>
          <w:i/>
          <w:sz w:val="22"/>
        </w:rPr>
        <w:t>Integrovaného operačního programu</w:t>
      </w:r>
      <w:r w:rsidR="001E12DB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 xml:space="preserve">prostředky </w:t>
      </w:r>
      <w:r w:rsidR="001E12DB" w:rsidRPr="003E52AE">
        <w:rPr>
          <w:rFonts w:ascii="Arial" w:hAnsi="Arial" w:cs="Arial"/>
          <w:sz w:val="22"/>
        </w:rPr>
        <w:t>ve výši 142,8 mil. Kč</w:t>
      </w:r>
      <w:r w:rsidRPr="00D12F43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určené k nákupu licence</w:t>
      </w:r>
      <w:r w:rsidR="001E12DB" w:rsidRPr="003E52AE">
        <w:rPr>
          <w:rFonts w:ascii="Arial" w:hAnsi="Arial" w:cs="Arial"/>
          <w:sz w:val="22"/>
        </w:rPr>
        <w:t>.</w:t>
      </w:r>
      <w:r w:rsidR="00F25200" w:rsidRPr="003E52AE">
        <w:rPr>
          <w:rFonts w:ascii="Arial" w:hAnsi="Arial" w:cs="Arial"/>
          <w:sz w:val="22"/>
        </w:rPr>
        <w:t xml:space="preserve"> </w:t>
      </w:r>
      <w:r w:rsidR="001E12DB" w:rsidRPr="003E52AE">
        <w:rPr>
          <w:rFonts w:ascii="Arial" w:hAnsi="Arial" w:cs="Arial"/>
          <w:sz w:val="22"/>
        </w:rPr>
        <w:t>Nepořízením licence vzniklo riziko, že v</w:t>
      </w:r>
      <w:r w:rsidR="00F25200" w:rsidRPr="003E52AE">
        <w:rPr>
          <w:rFonts w:ascii="Arial" w:hAnsi="Arial" w:cs="Arial"/>
          <w:sz w:val="22"/>
        </w:rPr>
        <w:t xml:space="preserve"> případě liberalizace poštovního trhu </w:t>
      </w:r>
      <w:r w:rsidR="00B84085" w:rsidRPr="003E52AE">
        <w:rPr>
          <w:rFonts w:ascii="Arial" w:hAnsi="Arial" w:cs="Arial"/>
          <w:sz w:val="22"/>
        </w:rPr>
        <w:t xml:space="preserve">bude mít </w:t>
      </w:r>
      <w:r w:rsidR="001E12DB" w:rsidRPr="003E52AE">
        <w:rPr>
          <w:rFonts w:ascii="Arial" w:hAnsi="Arial" w:cs="Arial"/>
          <w:sz w:val="22"/>
        </w:rPr>
        <w:t xml:space="preserve">MV </w:t>
      </w:r>
      <w:r w:rsidR="00B84085" w:rsidRPr="003E52AE">
        <w:rPr>
          <w:rFonts w:ascii="Arial" w:hAnsi="Arial" w:cs="Arial"/>
          <w:sz w:val="22"/>
        </w:rPr>
        <w:t>ztížené podmínky</w:t>
      </w:r>
      <w:r w:rsidR="00F25200" w:rsidRPr="003E52AE">
        <w:rPr>
          <w:rFonts w:ascii="Arial" w:hAnsi="Arial" w:cs="Arial"/>
          <w:sz w:val="22"/>
        </w:rPr>
        <w:t xml:space="preserve"> výběru dodavatele.</w:t>
      </w:r>
      <w:r w:rsidR="001E12DB" w:rsidRPr="003E52AE">
        <w:rPr>
          <w:rFonts w:ascii="Arial" w:hAnsi="Arial" w:cs="Arial"/>
          <w:sz w:val="22"/>
        </w:rPr>
        <w:t xml:space="preserve"> Další rizika mohou nastat v případě privatizace ČP.</w:t>
      </w:r>
    </w:p>
    <w:p w:rsidR="000A705C" w:rsidRPr="003E52AE" w:rsidRDefault="000A705C" w:rsidP="008908A8">
      <w:pPr>
        <w:rPr>
          <w:rFonts w:ascii="Arial" w:hAnsi="Arial" w:cs="Arial"/>
          <w:bCs/>
          <w:iCs/>
          <w:sz w:val="22"/>
        </w:rPr>
      </w:pPr>
    </w:p>
    <w:p w:rsidR="000A705C" w:rsidRPr="00811BB2" w:rsidRDefault="004817FF" w:rsidP="008908A8">
      <w:pPr>
        <w:rPr>
          <w:rFonts w:ascii="Arial" w:hAnsi="Arial" w:cs="Arial"/>
          <w:b/>
          <w:bCs/>
          <w:iCs/>
          <w:sz w:val="22"/>
        </w:rPr>
      </w:pPr>
      <w:r w:rsidRPr="00811BB2">
        <w:rPr>
          <w:rFonts w:ascii="Arial" w:hAnsi="Arial" w:cs="Arial"/>
          <w:b/>
          <w:bCs/>
          <w:iCs/>
          <w:sz w:val="22"/>
        </w:rPr>
        <w:t>Úhrada datových zpráv</w:t>
      </w:r>
      <w:r w:rsidR="001A37CD" w:rsidRPr="00811BB2">
        <w:rPr>
          <w:rFonts w:ascii="Arial" w:hAnsi="Arial" w:cs="Arial"/>
          <w:b/>
          <w:bCs/>
          <w:iCs/>
          <w:sz w:val="22"/>
        </w:rPr>
        <w:t xml:space="preserve"> </w:t>
      </w:r>
      <w:r w:rsidR="00EA076B" w:rsidRPr="00811BB2">
        <w:rPr>
          <w:rFonts w:ascii="Arial" w:hAnsi="Arial" w:cs="Arial"/>
          <w:b/>
          <w:bCs/>
          <w:iCs/>
          <w:sz w:val="22"/>
        </w:rPr>
        <w:t>některý</w:t>
      </w:r>
      <w:r w:rsidR="002C2C38" w:rsidRPr="00811BB2">
        <w:rPr>
          <w:rFonts w:ascii="Arial" w:hAnsi="Arial" w:cs="Arial"/>
          <w:b/>
          <w:bCs/>
          <w:iCs/>
          <w:sz w:val="22"/>
        </w:rPr>
        <w:t>m</w:t>
      </w:r>
      <w:r w:rsidR="00EA076B" w:rsidRPr="00811BB2">
        <w:rPr>
          <w:rFonts w:ascii="Arial" w:hAnsi="Arial" w:cs="Arial"/>
          <w:b/>
          <w:bCs/>
          <w:iCs/>
          <w:sz w:val="22"/>
        </w:rPr>
        <w:t xml:space="preserve"> skupin</w:t>
      </w:r>
      <w:r w:rsidR="002C2C38" w:rsidRPr="00811BB2">
        <w:rPr>
          <w:rFonts w:ascii="Arial" w:hAnsi="Arial" w:cs="Arial"/>
          <w:b/>
          <w:bCs/>
          <w:iCs/>
          <w:sz w:val="22"/>
        </w:rPr>
        <w:t>ám</w:t>
      </w:r>
      <w:r w:rsidR="00EA076B" w:rsidRPr="00811BB2">
        <w:rPr>
          <w:rFonts w:ascii="Arial" w:hAnsi="Arial" w:cs="Arial"/>
          <w:b/>
          <w:bCs/>
          <w:iCs/>
          <w:sz w:val="22"/>
        </w:rPr>
        <w:t xml:space="preserve"> </w:t>
      </w:r>
      <w:r w:rsidR="001A37CD" w:rsidRPr="00811BB2">
        <w:rPr>
          <w:rFonts w:ascii="Arial" w:hAnsi="Arial" w:cs="Arial"/>
          <w:b/>
          <w:bCs/>
          <w:iCs/>
          <w:sz w:val="22"/>
        </w:rPr>
        <w:t>OVM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4817FF" w:rsidRPr="003E52AE" w:rsidRDefault="004817FF" w:rsidP="008908A8">
      <w:pPr>
        <w:rPr>
          <w:rFonts w:ascii="Arial" w:hAnsi="Arial" w:cs="Arial"/>
          <w:bCs/>
          <w:sz w:val="22"/>
          <w:lang w:eastAsia="cs-CZ"/>
        </w:rPr>
      </w:pPr>
      <w:r w:rsidRPr="003E52AE">
        <w:rPr>
          <w:rFonts w:ascii="Arial" w:hAnsi="Arial" w:cs="Arial"/>
          <w:sz w:val="22"/>
        </w:rPr>
        <w:t xml:space="preserve">Zákon č. 300/2008 Sb. umožnil hradit ze státního rozpočtu náklady </w:t>
      </w:r>
      <w:r w:rsidR="008340E3" w:rsidRPr="003E52AE">
        <w:rPr>
          <w:rFonts w:ascii="Arial" w:hAnsi="Arial" w:cs="Arial"/>
          <w:sz w:val="22"/>
        </w:rPr>
        <w:t>vyjmenovaným OVM</w:t>
      </w:r>
      <w:r w:rsidR="007964DC" w:rsidRPr="003E52AE">
        <w:rPr>
          <w:rStyle w:val="Znakapoznpodarou"/>
          <w:rFonts w:ascii="Arial" w:hAnsi="Arial"/>
          <w:sz w:val="22"/>
        </w:rPr>
        <w:footnoteReference w:id="6"/>
      </w:r>
      <w:r w:rsidR="00D12F43" w:rsidRPr="00D12F43">
        <w:rPr>
          <w:rFonts w:ascii="Arial" w:hAnsi="Arial" w:cs="Arial"/>
          <w:sz w:val="22"/>
        </w:rPr>
        <w:t xml:space="preserve"> </w:t>
      </w:r>
      <w:r w:rsidR="00D12F43" w:rsidRPr="003E52AE">
        <w:rPr>
          <w:rFonts w:ascii="Arial" w:hAnsi="Arial" w:cs="Arial"/>
          <w:sz w:val="22"/>
        </w:rPr>
        <w:t>za odeslané datové zprávy</w:t>
      </w:r>
      <w:r w:rsidR="008B21C8" w:rsidRPr="003E52AE">
        <w:rPr>
          <w:rFonts w:ascii="Arial" w:hAnsi="Arial" w:cs="Arial"/>
          <w:sz w:val="22"/>
        </w:rPr>
        <w:t>.</w:t>
      </w:r>
      <w:r w:rsidR="008340E3" w:rsidRPr="003E52AE">
        <w:rPr>
          <w:rFonts w:ascii="Arial" w:hAnsi="Arial" w:cs="Arial"/>
          <w:sz w:val="22"/>
        </w:rPr>
        <w:t xml:space="preserve"> Mezi </w:t>
      </w:r>
      <w:r w:rsidR="0045468F" w:rsidRPr="003E52AE">
        <w:rPr>
          <w:rFonts w:ascii="Arial" w:hAnsi="Arial" w:cs="Arial"/>
          <w:sz w:val="22"/>
        </w:rPr>
        <w:t xml:space="preserve">těmito </w:t>
      </w:r>
      <w:r w:rsidR="008340E3" w:rsidRPr="003E52AE">
        <w:rPr>
          <w:rFonts w:ascii="Arial" w:hAnsi="Arial" w:cs="Arial"/>
          <w:sz w:val="22"/>
        </w:rPr>
        <w:t xml:space="preserve">OVM </w:t>
      </w:r>
      <w:r w:rsidR="0045468F" w:rsidRPr="003E52AE">
        <w:rPr>
          <w:rFonts w:ascii="Arial" w:hAnsi="Arial" w:cs="Arial"/>
          <w:sz w:val="22"/>
        </w:rPr>
        <w:t>jsou</w:t>
      </w:r>
      <w:r w:rsidR="00D12F43">
        <w:rPr>
          <w:rFonts w:ascii="Arial" w:hAnsi="Arial" w:cs="Arial"/>
          <w:sz w:val="22"/>
        </w:rPr>
        <w:t xml:space="preserve"> i notáři a </w:t>
      </w:r>
      <w:r w:rsidR="0045468F" w:rsidRPr="003E52AE">
        <w:rPr>
          <w:rFonts w:ascii="Arial" w:hAnsi="Arial" w:cs="Arial"/>
          <w:sz w:val="22"/>
        </w:rPr>
        <w:t xml:space="preserve">soudní </w:t>
      </w:r>
      <w:r w:rsidR="008340E3" w:rsidRPr="003E52AE">
        <w:rPr>
          <w:rFonts w:ascii="Arial" w:hAnsi="Arial" w:cs="Arial"/>
          <w:sz w:val="22"/>
        </w:rPr>
        <w:t>exekutoři</w:t>
      </w:r>
      <w:r w:rsidR="0045468F" w:rsidRPr="003E52AE">
        <w:rPr>
          <w:rFonts w:ascii="Arial" w:hAnsi="Arial" w:cs="Arial"/>
          <w:sz w:val="22"/>
        </w:rPr>
        <w:t xml:space="preserve">. Na </w:t>
      </w:r>
      <w:r w:rsidR="009B113E" w:rsidRPr="003E52AE">
        <w:rPr>
          <w:rFonts w:ascii="Arial" w:hAnsi="Arial" w:cs="Arial"/>
          <w:sz w:val="22"/>
        </w:rPr>
        <w:t>ně připadalo</w:t>
      </w:r>
      <w:r w:rsidR="0045468F" w:rsidRPr="003E52AE">
        <w:rPr>
          <w:rFonts w:ascii="Arial" w:hAnsi="Arial" w:cs="Arial"/>
          <w:sz w:val="22"/>
        </w:rPr>
        <w:t xml:space="preserve"> v období leden 2010 až prosinec 2012 </w:t>
      </w:r>
      <w:r w:rsidR="009B113E" w:rsidRPr="003E52AE">
        <w:rPr>
          <w:rFonts w:ascii="Arial" w:hAnsi="Arial" w:cs="Arial"/>
          <w:sz w:val="22"/>
        </w:rPr>
        <w:t xml:space="preserve">přibližně 40 % odeslaných </w:t>
      </w:r>
      <w:r w:rsidR="00941916" w:rsidRPr="003E52AE">
        <w:rPr>
          <w:rFonts w:ascii="Arial" w:hAnsi="Arial" w:cs="Arial"/>
          <w:sz w:val="22"/>
        </w:rPr>
        <w:t>datových zpráv</w:t>
      </w:r>
      <w:r w:rsidR="009B113E" w:rsidRPr="003E52AE">
        <w:rPr>
          <w:rFonts w:ascii="Arial" w:hAnsi="Arial" w:cs="Arial"/>
          <w:sz w:val="22"/>
        </w:rPr>
        <w:t xml:space="preserve">, což představuje výdaje ze </w:t>
      </w:r>
      <w:r w:rsidR="00D12F43">
        <w:rPr>
          <w:rFonts w:ascii="Arial" w:hAnsi="Arial" w:cs="Arial"/>
          <w:sz w:val="22"/>
        </w:rPr>
        <w:t>státního rozpočtu</w:t>
      </w:r>
      <w:r w:rsidR="009B113E" w:rsidRPr="003E52AE">
        <w:rPr>
          <w:rFonts w:ascii="Arial" w:hAnsi="Arial" w:cs="Arial"/>
          <w:sz w:val="22"/>
        </w:rPr>
        <w:t xml:space="preserve"> ve výši více než</w:t>
      </w:r>
      <w:r w:rsidR="0045468F" w:rsidRPr="003E52AE">
        <w:rPr>
          <w:rFonts w:ascii="Arial" w:hAnsi="Arial" w:cs="Arial"/>
          <w:sz w:val="22"/>
        </w:rPr>
        <w:t xml:space="preserve"> </w:t>
      </w:r>
      <w:r w:rsidR="0045468F" w:rsidRPr="003E52AE">
        <w:rPr>
          <w:rFonts w:ascii="Arial" w:hAnsi="Arial" w:cs="Arial"/>
          <w:bCs/>
          <w:sz w:val="22"/>
          <w:lang w:eastAsia="cs-CZ"/>
        </w:rPr>
        <w:t>623 </w:t>
      </w:r>
      <w:r w:rsidR="009B113E" w:rsidRPr="003E52AE">
        <w:rPr>
          <w:rFonts w:ascii="Arial" w:hAnsi="Arial" w:cs="Arial"/>
          <w:bCs/>
          <w:sz w:val="22"/>
          <w:lang w:eastAsia="cs-CZ"/>
        </w:rPr>
        <w:t>mil.</w:t>
      </w:r>
      <w:r w:rsidR="0045468F" w:rsidRPr="003E52AE">
        <w:rPr>
          <w:rFonts w:ascii="Arial" w:hAnsi="Arial" w:cs="Arial"/>
          <w:bCs/>
          <w:sz w:val="22"/>
          <w:lang w:eastAsia="cs-CZ"/>
        </w:rPr>
        <w:t xml:space="preserve"> Kč</w:t>
      </w:r>
      <w:r w:rsidR="0045468F" w:rsidRPr="003E52AE">
        <w:rPr>
          <w:rFonts w:ascii="Arial" w:hAnsi="Arial" w:cs="Arial"/>
          <w:sz w:val="22"/>
        </w:rPr>
        <w:t>.</w:t>
      </w:r>
      <w:r w:rsidRPr="003E52AE">
        <w:rPr>
          <w:rFonts w:ascii="Arial" w:hAnsi="Arial" w:cs="Arial"/>
          <w:sz w:val="22"/>
        </w:rPr>
        <w:t xml:space="preserve"> </w:t>
      </w:r>
      <w:r w:rsidR="00A04144" w:rsidRPr="003E52AE">
        <w:rPr>
          <w:rFonts w:ascii="Arial" w:hAnsi="Arial" w:cs="Arial"/>
          <w:bCs/>
          <w:sz w:val="22"/>
          <w:lang w:eastAsia="cs-CZ"/>
        </w:rPr>
        <w:t xml:space="preserve">Princip úhrady nákladů </w:t>
      </w:r>
      <w:r w:rsidR="00D12F43">
        <w:rPr>
          <w:rFonts w:ascii="Arial" w:hAnsi="Arial" w:cs="Arial"/>
          <w:bCs/>
          <w:sz w:val="22"/>
          <w:lang w:eastAsia="cs-CZ"/>
        </w:rPr>
        <w:t>za</w:t>
      </w:r>
      <w:r w:rsidR="00A04144" w:rsidRPr="003E52AE">
        <w:rPr>
          <w:rFonts w:ascii="Arial" w:hAnsi="Arial" w:cs="Arial"/>
          <w:bCs/>
          <w:sz w:val="22"/>
          <w:lang w:eastAsia="cs-CZ"/>
        </w:rPr>
        <w:t xml:space="preserve"> užívání DS těmito subjekty d</w:t>
      </w:r>
      <w:r w:rsidR="00761496" w:rsidRPr="003E52AE">
        <w:rPr>
          <w:rFonts w:ascii="Arial" w:hAnsi="Arial" w:cs="Arial"/>
          <w:bCs/>
          <w:sz w:val="22"/>
          <w:lang w:eastAsia="cs-CZ"/>
        </w:rPr>
        <w:t>a</w:t>
      </w:r>
      <w:r w:rsidR="00A04144" w:rsidRPr="003E52AE">
        <w:rPr>
          <w:rFonts w:ascii="Arial" w:hAnsi="Arial" w:cs="Arial"/>
          <w:bCs/>
          <w:sz w:val="22"/>
          <w:lang w:eastAsia="cs-CZ"/>
        </w:rPr>
        <w:t>ný zákonem se nezměnil</w:t>
      </w:r>
      <w:r w:rsidR="00155A71">
        <w:rPr>
          <w:rFonts w:ascii="Arial" w:hAnsi="Arial" w:cs="Arial"/>
          <w:bCs/>
          <w:sz w:val="22"/>
          <w:lang w:eastAsia="cs-CZ"/>
        </w:rPr>
        <w:t>. Odměna stanovená v dodatku č. </w:t>
      </w:r>
      <w:r w:rsidR="00A04144" w:rsidRPr="003E52AE">
        <w:rPr>
          <w:rFonts w:ascii="Arial" w:hAnsi="Arial" w:cs="Arial"/>
          <w:bCs/>
          <w:sz w:val="22"/>
          <w:lang w:eastAsia="cs-CZ"/>
        </w:rPr>
        <w:t>8 ke Smlouvě, kterým byla stanovena paušální odměna ČP ve výši 500 mil. Kč</w:t>
      </w:r>
      <w:r w:rsidR="00761496" w:rsidRPr="003E52AE">
        <w:rPr>
          <w:rFonts w:ascii="Arial" w:hAnsi="Arial" w:cs="Arial"/>
          <w:bCs/>
          <w:sz w:val="22"/>
          <w:lang w:eastAsia="cs-CZ"/>
        </w:rPr>
        <w:t>,</w:t>
      </w:r>
      <w:r w:rsidR="00A04144" w:rsidRPr="003E52AE">
        <w:rPr>
          <w:rFonts w:ascii="Arial" w:hAnsi="Arial" w:cs="Arial"/>
          <w:bCs/>
          <w:sz w:val="22"/>
          <w:lang w:eastAsia="cs-CZ"/>
        </w:rPr>
        <w:t xml:space="preserve"> nadále zahrnuje i </w:t>
      </w:r>
      <w:r w:rsidR="00D12F43">
        <w:rPr>
          <w:rFonts w:ascii="Arial" w:hAnsi="Arial" w:cs="Arial"/>
          <w:bCs/>
          <w:sz w:val="22"/>
          <w:lang w:eastAsia="cs-CZ"/>
        </w:rPr>
        <w:t>úhrady</w:t>
      </w:r>
      <w:r w:rsidR="00A04144" w:rsidRPr="003E52AE">
        <w:rPr>
          <w:rFonts w:ascii="Arial" w:hAnsi="Arial" w:cs="Arial"/>
          <w:bCs/>
          <w:sz w:val="22"/>
          <w:lang w:eastAsia="cs-CZ"/>
        </w:rPr>
        <w:t xml:space="preserve"> za provozování DS uvedených subjektů. </w:t>
      </w:r>
    </w:p>
    <w:p w:rsidR="007760C0" w:rsidRPr="003E52AE" w:rsidRDefault="007760C0" w:rsidP="008908A8">
      <w:pPr>
        <w:rPr>
          <w:rFonts w:ascii="Arial" w:hAnsi="Arial" w:cs="Arial"/>
          <w:bCs/>
          <w:iCs/>
          <w:sz w:val="22"/>
        </w:rPr>
      </w:pPr>
    </w:p>
    <w:p w:rsidR="004D270A" w:rsidRPr="003E52AE" w:rsidRDefault="004D270A" w:rsidP="008908A8">
      <w:pPr>
        <w:rPr>
          <w:rFonts w:ascii="Arial" w:hAnsi="Arial" w:cs="Arial"/>
          <w:b/>
          <w:bCs/>
          <w:iCs/>
          <w:sz w:val="22"/>
        </w:rPr>
      </w:pPr>
      <w:r w:rsidRPr="003E52AE">
        <w:rPr>
          <w:rFonts w:ascii="Arial" w:hAnsi="Arial" w:cs="Arial"/>
          <w:b/>
          <w:bCs/>
          <w:iCs/>
          <w:sz w:val="22"/>
        </w:rPr>
        <w:t xml:space="preserve">1.4 Hodnocení dosažení </w:t>
      </w:r>
      <w:r w:rsidR="00F57BAD" w:rsidRPr="003E52AE">
        <w:rPr>
          <w:rFonts w:ascii="Arial" w:hAnsi="Arial" w:cs="Arial"/>
          <w:b/>
          <w:bCs/>
          <w:iCs/>
          <w:sz w:val="22"/>
        </w:rPr>
        <w:t>přínosů</w:t>
      </w:r>
    </w:p>
    <w:p w:rsidR="00B257F3" w:rsidRPr="003E52AE" w:rsidRDefault="00B257F3" w:rsidP="008908A8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</w:p>
    <w:p w:rsidR="00282CF6" w:rsidRPr="003E52AE" w:rsidRDefault="00282CF6" w:rsidP="008908A8">
      <w:pPr>
        <w:pStyle w:val="Odstavecseseznamem"/>
        <w:ind w:left="0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t xml:space="preserve">MV hodnotilo při realizaci projektu </w:t>
      </w:r>
      <w:r w:rsidR="003106AF" w:rsidRPr="003E52AE">
        <w:rPr>
          <w:rFonts w:ascii="Arial" w:hAnsi="Arial" w:cs="Arial"/>
          <w:sz w:val="22"/>
          <w:lang w:val="cs-CZ"/>
        </w:rPr>
        <w:t xml:space="preserve">zavádění </w:t>
      </w:r>
      <w:r w:rsidRPr="003E52AE">
        <w:rPr>
          <w:rFonts w:ascii="Arial" w:hAnsi="Arial" w:cs="Arial"/>
          <w:sz w:val="22"/>
          <w:lang w:val="cs-CZ"/>
        </w:rPr>
        <w:t>systému DS dva parametry, a to:</w:t>
      </w:r>
    </w:p>
    <w:p w:rsidR="00AE42F2" w:rsidRPr="003E52AE" w:rsidRDefault="00282CF6" w:rsidP="00811BB2">
      <w:pPr>
        <w:pStyle w:val="Odstavecseseznamem"/>
        <w:numPr>
          <w:ilvl w:val="0"/>
          <w:numId w:val="21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t>„</w:t>
      </w:r>
      <w:r w:rsidR="003E52AE">
        <w:rPr>
          <w:rFonts w:ascii="Arial" w:hAnsi="Arial" w:cs="Arial"/>
          <w:sz w:val="22"/>
          <w:lang w:val="cs-CZ"/>
        </w:rPr>
        <w:t>s</w:t>
      </w:r>
      <w:r w:rsidRPr="003E52AE">
        <w:rPr>
          <w:rFonts w:ascii="Arial" w:hAnsi="Arial" w:cs="Arial"/>
          <w:sz w:val="22"/>
          <w:lang w:val="cs-CZ"/>
        </w:rPr>
        <w:t>nížení administrativního zatížení“ s cílovou hodnotou 75 %</w:t>
      </w:r>
      <w:r w:rsidR="00AE42F2" w:rsidRPr="003E52AE">
        <w:rPr>
          <w:rFonts w:ascii="Arial" w:hAnsi="Arial" w:cs="Arial"/>
          <w:sz w:val="22"/>
          <w:lang w:val="cs-CZ"/>
        </w:rPr>
        <w:t>.</w:t>
      </w:r>
    </w:p>
    <w:p w:rsidR="00AE42F2" w:rsidRPr="00811BB2" w:rsidRDefault="00AE42F2" w:rsidP="00D12F43">
      <w:pPr>
        <w:ind w:left="284"/>
        <w:rPr>
          <w:rFonts w:ascii="Arial" w:hAnsi="Arial" w:cs="Arial"/>
          <w:sz w:val="22"/>
        </w:rPr>
      </w:pPr>
      <w:r w:rsidRPr="00811BB2">
        <w:rPr>
          <w:rFonts w:ascii="Arial" w:hAnsi="Arial" w:cs="Arial"/>
          <w:sz w:val="22"/>
        </w:rPr>
        <w:t xml:space="preserve">Dosažení tohoto parametru opíralo </w:t>
      </w:r>
      <w:r w:rsidR="00D12F43">
        <w:rPr>
          <w:rFonts w:ascii="Arial" w:hAnsi="Arial" w:cs="Arial"/>
          <w:sz w:val="22"/>
        </w:rPr>
        <w:t xml:space="preserve">MV </w:t>
      </w:r>
      <w:r w:rsidR="00762F3F" w:rsidRPr="00811BB2">
        <w:rPr>
          <w:rFonts w:ascii="Arial" w:hAnsi="Arial" w:cs="Arial"/>
          <w:sz w:val="22"/>
        </w:rPr>
        <w:t xml:space="preserve">pouze </w:t>
      </w:r>
      <w:r w:rsidRPr="00811BB2">
        <w:rPr>
          <w:rFonts w:ascii="Arial" w:hAnsi="Arial" w:cs="Arial"/>
          <w:sz w:val="22"/>
        </w:rPr>
        <w:t>o konstatování, že došlo ke snížení počtu papírových obálek, což mělo svědčit o přechodu na elektronické vyřizování administrativy.</w:t>
      </w:r>
      <w:r w:rsidR="00EB3717" w:rsidRPr="00811BB2">
        <w:rPr>
          <w:rFonts w:ascii="Arial" w:hAnsi="Arial" w:cs="Arial"/>
          <w:sz w:val="22"/>
        </w:rPr>
        <w:t xml:space="preserve"> MV nedoložilo uvedené skutečnosti relevantními doklady.</w:t>
      </w:r>
      <w:r w:rsidRPr="00811BB2">
        <w:rPr>
          <w:rFonts w:ascii="Arial" w:hAnsi="Arial" w:cs="Arial"/>
          <w:sz w:val="22"/>
        </w:rPr>
        <w:t xml:space="preserve"> Současně mělo docházet ke </w:t>
      </w:r>
      <w:r w:rsidR="00D12F43">
        <w:rPr>
          <w:rFonts w:ascii="Arial" w:hAnsi="Arial" w:cs="Arial"/>
          <w:sz w:val="22"/>
        </w:rPr>
        <w:t>snižování</w:t>
      </w:r>
      <w:r w:rsidRPr="00811BB2">
        <w:rPr>
          <w:rFonts w:ascii="Arial" w:hAnsi="Arial" w:cs="Arial"/>
          <w:sz w:val="22"/>
        </w:rPr>
        <w:t xml:space="preserve"> nákladů na doručování úředních dokumentů.</w:t>
      </w:r>
      <w:r w:rsidR="000B690E" w:rsidRPr="00811BB2">
        <w:rPr>
          <w:rFonts w:ascii="Arial" w:hAnsi="Arial" w:cs="Arial"/>
          <w:sz w:val="22"/>
        </w:rPr>
        <w:t xml:space="preserve"> Z takto stanoveného kritéria nelze objektivně stanovit</w:t>
      </w:r>
      <w:r w:rsidR="008A53CE" w:rsidRPr="00811BB2">
        <w:rPr>
          <w:rFonts w:ascii="Arial" w:hAnsi="Arial" w:cs="Arial"/>
          <w:sz w:val="22"/>
        </w:rPr>
        <w:t>,</w:t>
      </w:r>
      <w:r w:rsidR="000B690E" w:rsidRPr="00811BB2">
        <w:rPr>
          <w:rFonts w:ascii="Arial" w:hAnsi="Arial" w:cs="Arial"/>
          <w:sz w:val="22"/>
        </w:rPr>
        <w:t xml:space="preserve"> zda došlo ke snížení administrativní náročnosti</w:t>
      </w:r>
      <w:r w:rsidR="003E52AE" w:rsidRPr="00811BB2">
        <w:rPr>
          <w:rFonts w:ascii="Arial" w:hAnsi="Arial" w:cs="Arial"/>
          <w:sz w:val="22"/>
        </w:rPr>
        <w:t>;</w:t>
      </w:r>
    </w:p>
    <w:p w:rsidR="00F57BAD" w:rsidRPr="003E52AE" w:rsidRDefault="00282CF6" w:rsidP="00811BB2">
      <w:pPr>
        <w:pStyle w:val="Odstavecseseznamem"/>
        <w:numPr>
          <w:ilvl w:val="0"/>
          <w:numId w:val="21"/>
        </w:numPr>
        <w:ind w:left="284" w:hanging="284"/>
        <w:contextualSpacing w:val="0"/>
        <w:rPr>
          <w:rFonts w:ascii="Arial" w:hAnsi="Arial" w:cs="Arial"/>
          <w:sz w:val="22"/>
          <w:lang w:val="cs-CZ"/>
        </w:rPr>
      </w:pPr>
      <w:r w:rsidRPr="003E52AE">
        <w:rPr>
          <w:rFonts w:ascii="Arial" w:hAnsi="Arial" w:cs="Arial"/>
          <w:sz w:val="22"/>
          <w:lang w:val="cs-CZ"/>
        </w:rPr>
        <w:t>„</w:t>
      </w:r>
      <w:r w:rsidR="003E52AE">
        <w:rPr>
          <w:rFonts w:ascii="Arial" w:hAnsi="Arial" w:cs="Arial"/>
          <w:sz w:val="22"/>
          <w:lang w:val="cs-CZ"/>
        </w:rPr>
        <w:t>p</w:t>
      </w:r>
      <w:r w:rsidRPr="003E52AE">
        <w:rPr>
          <w:rFonts w:ascii="Arial" w:hAnsi="Arial" w:cs="Arial"/>
          <w:sz w:val="22"/>
          <w:lang w:val="cs-CZ"/>
        </w:rPr>
        <w:t>odíl úřadů státní správy využívajících sdílenou komunikační infrastrukturu veřejné správy“ s cílovou hodnotou 100 %.</w:t>
      </w:r>
    </w:p>
    <w:p w:rsidR="00AE42F2" w:rsidRPr="00811BB2" w:rsidRDefault="00AE42F2" w:rsidP="00D12F43">
      <w:pPr>
        <w:ind w:left="284"/>
        <w:rPr>
          <w:rFonts w:ascii="Arial" w:hAnsi="Arial" w:cs="Arial"/>
          <w:sz w:val="22"/>
        </w:rPr>
      </w:pPr>
      <w:r w:rsidRPr="00811BB2">
        <w:rPr>
          <w:rFonts w:ascii="Arial" w:hAnsi="Arial" w:cs="Arial"/>
          <w:sz w:val="22"/>
        </w:rPr>
        <w:t xml:space="preserve">Dosažení tohoto parametru dávalo </w:t>
      </w:r>
      <w:r w:rsidR="00D12F43">
        <w:rPr>
          <w:rFonts w:ascii="Arial" w:hAnsi="Arial" w:cs="Arial"/>
          <w:sz w:val="22"/>
        </w:rPr>
        <w:t xml:space="preserve">MV </w:t>
      </w:r>
      <w:r w:rsidRPr="00811BB2">
        <w:rPr>
          <w:rFonts w:ascii="Arial" w:hAnsi="Arial" w:cs="Arial"/>
          <w:sz w:val="22"/>
        </w:rPr>
        <w:t xml:space="preserve">do souvislosti se zřízením DS </w:t>
      </w:r>
      <w:r w:rsidR="00EB3717" w:rsidRPr="00811BB2">
        <w:rPr>
          <w:rFonts w:ascii="Arial" w:hAnsi="Arial" w:cs="Arial"/>
          <w:sz w:val="22"/>
        </w:rPr>
        <w:t>subjektům, pro které bylo zřízení DS povinné ze zákona č. 300/2008 Sb., a to OVM.</w:t>
      </w:r>
      <w:r w:rsidRPr="00811BB2">
        <w:rPr>
          <w:rFonts w:ascii="Arial" w:hAnsi="Arial" w:cs="Arial"/>
          <w:sz w:val="22"/>
        </w:rPr>
        <w:t xml:space="preserve"> Samotné zřízení DS však nijak nevypovídá o skutečném využívání sdílené infrastruktury.</w:t>
      </w:r>
    </w:p>
    <w:p w:rsidR="00B257F3" w:rsidRPr="003E52AE" w:rsidRDefault="00B257F3" w:rsidP="008908A8">
      <w:pPr>
        <w:rPr>
          <w:rFonts w:ascii="Arial" w:hAnsi="Arial" w:cs="Arial"/>
          <w:bCs/>
          <w:iCs/>
          <w:sz w:val="22"/>
        </w:rPr>
      </w:pPr>
    </w:p>
    <w:p w:rsidR="000B62B3" w:rsidRPr="003E52AE" w:rsidRDefault="00EB3717" w:rsidP="008908A8">
      <w:pPr>
        <w:rPr>
          <w:rFonts w:ascii="Arial" w:hAnsi="Arial" w:cs="Arial"/>
          <w:bCs/>
          <w:iCs/>
          <w:sz w:val="22"/>
        </w:rPr>
      </w:pPr>
      <w:r w:rsidRPr="003E52AE">
        <w:rPr>
          <w:rFonts w:ascii="Arial" w:hAnsi="Arial" w:cs="Arial"/>
          <w:bCs/>
          <w:iCs/>
          <w:sz w:val="22"/>
        </w:rPr>
        <w:t xml:space="preserve">MV se nezabývalo vyhodnocováním nákladů a úspor, které měly v souvislosti se zavedením a provozem DS </w:t>
      </w:r>
      <w:r w:rsidR="00D12F43">
        <w:rPr>
          <w:rFonts w:ascii="Arial" w:hAnsi="Arial" w:cs="Arial"/>
          <w:bCs/>
          <w:iCs/>
          <w:sz w:val="22"/>
        </w:rPr>
        <w:t xml:space="preserve">vzniknout </w:t>
      </w:r>
      <w:r w:rsidRPr="003E52AE">
        <w:rPr>
          <w:rFonts w:ascii="Arial" w:hAnsi="Arial" w:cs="Arial"/>
          <w:bCs/>
          <w:iCs/>
          <w:sz w:val="22"/>
        </w:rPr>
        <w:t>jejich uživatelům. MV tyto úspory nesledovalo ani ve svém vlastním resortu. Kontrol</w:t>
      </w:r>
      <w:r w:rsidR="005E5E31" w:rsidRPr="003E52AE">
        <w:rPr>
          <w:rFonts w:ascii="Arial" w:hAnsi="Arial" w:cs="Arial"/>
          <w:bCs/>
          <w:iCs/>
          <w:sz w:val="22"/>
        </w:rPr>
        <w:t>e</w:t>
      </w:r>
      <w:r w:rsidRPr="003E52AE">
        <w:rPr>
          <w:rFonts w:ascii="Arial" w:hAnsi="Arial" w:cs="Arial"/>
          <w:bCs/>
          <w:iCs/>
          <w:sz w:val="22"/>
        </w:rPr>
        <w:t xml:space="preserve"> NKÚ tak </w:t>
      </w:r>
      <w:r w:rsidR="00BD1DE8" w:rsidRPr="003E52AE">
        <w:rPr>
          <w:rFonts w:ascii="Arial" w:hAnsi="Arial" w:cs="Arial"/>
          <w:bCs/>
          <w:iCs/>
          <w:sz w:val="22"/>
        </w:rPr>
        <w:t xml:space="preserve">nebyly předloženy podklady, na jejichž základě by bylo </w:t>
      </w:r>
      <w:r w:rsidRPr="003E52AE">
        <w:rPr>
          <w:rFonts w:ascii="Arial" w:hAnsi="Arial" w:cs="Arial"/>
          <w:bCs/>
          <w:iCs/>
          <w:sz w:val="22"/>
        </w:rPr>
        <w:t xml:space="preserve">možné vyhodnotit, zda provozování systému DS přineslo předpokládané úspory, které měly podle odhadu uvedeného v důvodové zprávě k návrhu zákona č. 300/2008 Sb. </w:t>
      </w:r>
      <w:r w:rsidR="00481B94" w:rsidRPr="003E52AE">
        <w:rPr>
          <w:rFonts w:ascii="Arial" w:hAnsi="Arial" w:cs="Arial"/>
          <w:bCs/>
          <w:iCs/>
          <w:sz w:val="22"/>
        </w:rPr>
        <w:t>dosahovat několika miliard.</w:t>
      </w:r>
    </w:p>
    <w:p w:rsidR="00B257F3" w:rsidRPr="003E52AE" w:rsidRDefault="00B257F3" w:rsidP="008908A8">
      <w:pPr>
        <w:rPr>
          <w:rFonts w:ascii="Arial" w:hAnsi="Arial" w:cs="Arial"/>
          <w:bCs/>
          <w:iCs/>
          <w:sz w:val="22"/>
        </w:rPr>
      </w:pPr>
    </w:p>
    <w:p w:rsidR="00AE42F2" w:rsidRPr="003E52AE" w:rsidRDefault="00AE42F2" w:rsidP="008908A8">
      <w:pPr>
        <w:rPr>
          <w:rFonts w:ascii="Arial" w:hAnsi="Arial" w:cs="Arial"/>
          <w:bCs/>
          <w:iCs/>
          <w:sz w:val="22"/>
        </w:rPr>
      </w:pPr>
      <w:r w:rsidRPr="003E52AE">
        <w:rPr>
          <w:rFonts w:ascii="Arial" w:hAnsi="Arial" w:cs="Arial"/>
          <w:bCs/>
          <w:iCs/>
          <w:sz w:val="22"/>
        </w:rPr>
        <w:lastRenderedPageBreak/>
        <w:t>MV nedoložilo, že zavedení a provozování systému DS vedlo k předpokládaným přínosům v podobě zkrácení řízení u OVM a zefektivnění výkonu činností OVM.</w:t>
      </w:r>
      <w:r w:rsidR="000B690E" w:rsidRPr="003E52AE">
        <w:rPr>
          <w:rFonts w:ascii="Arial" w:hAnsi="Arial" w:cs="Arial"/>
          <w:bCs/>
          <w:iCs/>
          <w:sz w:val="22"/>
        </w:rPr>
        <w:t xml:space="preserve"> MV nestanovilo dostatečná kritéria</w:t>
      </w:r>
      <w:r w:rsidR="006B2FE8" w:rsidRPr="003E52AE">
        <w:rPr>
          <w:rFonts w:ascii="Arial" w:hAnsi="Arial" w:cs="Arial"/>
          <w:bCs/>
          <w:iCs/>
          <w:sz w:val="22"/>
        </w:rPr>
        <w:t>,</w:t>
      </w:r>
      <w:r w:rsidR="000B690E" w:rsidRPr="003E52AE">
        <w:rPr>
          <w:rFonts w:ascii="Arial" w:hAnsi="Arial" w:cs="Arial"/>
          <w:bCs/>
          <w:iCs/>
          <w:sz w:val="22"/>
        </w:rPr>
        <w:t xml:space="preserve"> na </w:t>
      </w:r>
      <w:r w:rsidR="006B2FE8" w:rsidRPr="003E52AE">
        <w:rPr>
          <w:rFonts w:ascii="Arial" w:hAnsi="Arial" w:cs="Arial"/>
          <w:bCs/>
          <w:iCs/>
          <w:sz w:val="22"/>
        </w:rPr>
        <w:t xml:space="preserve">jejichž </w:t>
      </w:r>
      <w:r w:rsidR="000B690E" w:rsidRPr="003E52AE">
        <w:rPr>
          <w:rFonts w:ascii="Arial" w:hAnsi="Arial" w:cs="Arial"/>
          <w:bCs/>
          <w:iCs/>
          <w:sz w:val="22"/>
        </w:rPr>
        <w:t>základě by bylo možn</w:t>
      </w:r>
      <w:r w:rsidR="00FA2083">
        <w:rPr>
          <w:rFonts w:ascii="Arial" w:hAnsi="Arial" w:cs="Arial"/>
          <w:bCs/>
          <w:iCs/>
          <w:sz w:val="22"/>
        </w:rPr>
        <w:t>é</w:t>
      </w:r>
      <w:r w:rsidR="000B690E" w:rsidRPr="003E52AE">
        <w:rPr>
          <w:rFonts w:ascii="Arial" w:hAnsi="Arial" w:cs="Arial"/>
          <w:bCs/>
          <w:iCs/>
          <w:sz w:val="22"/>
        </w:rPr>
        <w:t xml:space="preserve"> objektivně vyhodnotit stupeň dosažení </w:t>
      </w:r>
      <w:r w:rsidR="00524D36" w:rsidRPr="003E52AE">
        <w:rPr>
          <w:rFonts w:ascii="Arial" w:hAnsi="Arial" w:cs="Arial"/>
          <w:bCs/>
          <w:iCs/>
          <w:sz w:val="22"/>
        </w:rPr>
        <w:t xml:space="preserve">předpokládaných přínosů a </w:t>
      </w:r>
      <w:r w:rsidR="000B690E" w:rsidRPr="003E52AE">
        <w:rPr>
          <w:rFonts w:ascii="Arial" w:hAnsi="Arial" w:cs="Arial"/>
          <w:bCs/>
          <w:iCs/>
          <w:sz w:val="22"/>
        </w:rPr>
        <w:t>požadovaných cílů.</w:t>
      </w:r>
    </w:p>
    <w:p w:rsidR="00B257F3" w:rsidRPr="003E52AE" w:rsidRDefault="00B257F3" w:rsidP="008908A8">
      <w:pPr>
        <w:rPr>
          <w:rFonts w:ascii="Arial" w:hAnsi="Arial" w:cs="Arial"/>
          <w:bCs/>
          <w:iCs/>
          <w:sz w:val="22"/>
        </w:rPr>
      </w:pPr>
    </w:p>
    <w:p w:rsidR="00BE0F0C" w:rsidRPr="003E52AE" w:rsidRDefault="00BE0F0C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MV </w:t>
      </w:r>
      <w:r w:rsidR="00FA2083">
        <w:rPr>
          <w:rFonts w:ascii="Arial" w:hAnsi="Arial" w:cs="Arial"/>
          <w:sz w:val="22"/>
        </w:rPr>
        <w:t>při kontrole doložilo</w:t>
      </w:r>
      <w:r w:rsidRPr="003E52AE">
        <w:rPr>
          <w:rFonts w:ascii="Arial" w:hAnsi="Arial" w:cs="Arial"/>
          <w:sz w:val="22"/>
        </w:rPr>
        <w:t>, že v roce 2012 se uskutečnilo celkem 45 425 041 transakcí.</w:t>
      </w:r>
      <w:r w:rsidR="00062976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 xml:space="preserve">V tom je obsaženo 17 216 052 transakcí specifických skupin </w:t>
      </w:r>
      <w:r w:rsidR="00062976" w:rsidRPr="003E52AE">
        <w:rPr>
          <w:rFonts w:ascii="Arial" w:hAnsi="Arial" w:cs="Arial"/>
          <w:sz w:val="22"/>
        </w:rPr>
        <w:t xml:space="preserve">OVM </w:t>
      </w:r>
      <w:r w:rsidR="00F324C3" w:rsidRPr="003E52AE">
        <w:rPr>
          <w:rFonts w:ascii="Arial" w:hAnsi="Arial" w:cs="Arial"/>
          <w:sz w:val="22"/>
        </w:rPr>
        <w:t>(exekutoři a </w:t>
      </w:r>
      <w:r w:rsidRPr="003E52AE">
        <w:rPr>
          <w:rFonts w:ascii="Arial" w:hAnsi="Arial" w:cs="Arial"/>
          <w:sz w:val="22"/>
        </w:rPr>
        <w:t xml:space="preserve">notáři), </w:t>
      </w:r>
      <w:r w:rsidR="00FA2083">
        <w:rPr>
          <w:rFonts w:ascii="Arial" w:hAnsi="Arial" w:cs="Arial"/>
          <w:sz w:val="22"/>
        </w:rPr>
        <w:t>což znamená</w:t>
      </w:r>
      <w:r w:rsidR="00BC68CE" w:rsidRPr="003E52AE">
        <w:rPr>
          <w:rFonts w:ascii="Arial" w:hAnsi="Arial" w:cs="Arial"/>
          <w:sz w:val="22"/>
        </w:rPr>
        <w:t xml:space="preserve">, že státní orgány a </w:t>
      </w:r>
      <w:r w:rsidRPr="003E52AE">
        <w:rPr>
          <w:rFonts w:ascii="Arial" w:hAnsi="Arial" w:cs="Arial"/>
          <w:sz w:val="22"/>
        </w:rPr>
        <w:t>ostatní OVM tak odeslaly v roce 2012 celkem 28 208 989 datových zpráv.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BE0F0C" w:rsidRPr="003E52AE" w:rsidRDefault="00BE0F0C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 xml:space="preserve">Za předpokladu, že v roce 2013 bude odeslán stejný počet datových zpráv </w:t>
      </w:r>
      <w:r w:rsidR="00913BF6" w:rsidRPr="003E52AE">
        <w:rPr>
          <w:rFonts w:ascii="Arial" w:hAnsi="Arial" w:cs="Arial"/>
          <w:sz w:val="22"/>
        </w:rPr>
        <w:t>státních orgánů</w:t>
      </w:r>
      <w:r w:rsidR="00F324C3" w:rsidRPr="003E52AE">
        <w:rPr>
          <w:rFonts w:ascii="Arial" w:hAnsi="Arial" w:cs="Arial"/>
          <w:sz w:val="22"/>
        </w:rPr>
        <w:t xml:space="preserve"> a </w:t>
      </w:r>
      <w:r w:rsidR="00913BF6" w:rsidRPr="003E52AE">
        <w:rPr>
          <w:rFonts w:ascii="Arial" w:hAnsi="Arial" w:cs="Arial"/>
          <w:sz w:val="22"/>
        </w:rPr>
        <w:t xml:space="preserve">ostatních OVM jako v roce 2012 </w:t>
      </w:r>
      <w:r w:rsidRPr="003E52AE">
        <w:rPr>
          <w:rFonts w:ascii="Arial" w:hAnsi="Arial" w:cs="Arial"/>
          <w:sz w:val="22"/>
        </w:rPr>
        <w:t>a MV bude za tuto službu poskytovat ČP paušální odměnu 500</w:t>
      </w:r>
      <w:r w:rsidR="00913BF6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mil.</w:t>
      </w:r>
      <w:r w:rsidR="00913BF6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 xml:space="preserve">Kč bez DPH za rok, bude poplatek za jednu </w:t>
      </w:r>
      <w:r w:rsidR="00913BF6" w:rsidRPr="003E52AE">
        <w:rPr>
          <w:rFonts w:ascii="Arial" w:hAnsi="Arial" w:cs="Arial"/>
          <w:sz w:val="22"/>
        </w:rPr>
        <w:t xml:space="preserve">odeslanou </w:t>
      </w:r>
      <w:r w:rsidRPr="003E52AE">
        <w:rPr>
          <w:rFonts w:ascii="Arial" w:hAnsi="Arial" w:cs="Arial"/>
          <w:sz w:val="22"/>
        </w:rPr>
        <w:t>datovou zprávu činit 17,72</w:t>
      </w:r>
      <w:r w:rsidR="00913BF6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Kč bez DPH. Skutečné náklady spojené s odeslání</w:t>
      </w:r>
      <w:r w:rsidR="002A32D2" w:rsidRPr="003E52AE">
        <w:rPr>
          <w:rFonts w:ascii="Arial" w:hAnsi="Arial" w:cs="Arial"/>
          <w:sz w:val="22"/>
        </w:rPr>
        <w:t>m datové zprávy jsou však u </w:t>
      </w:r>
      <w:r w:rsidRPr="003E52AE">
        <w:rPr>
          <w:rFonts w:ascii="Arial" w:hAnsi="Arial" w:cs="Arial"/>
          <w:sz w:val="22"/>
        </w:rPr>
        <w:t>uživatelů datových schránek vyšší o náklady vynaložené například na zpracování zpráv, technické vybavení a jeho provoz a údržbu.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BE0F0C" w:rsidRPr="003E52AE" w:rsidRDefault="00BE0F0C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Aby bylo dosaženo předpokládané úspory 500 mil. Kč (jak uvádí MV ve studii proveditelnosti), musely by náklady na poštovné před zave</w:t>
      </w:r>
      <w:r w:rsidR="002A32D2" w:rsidRPr="003E52AE">
        <w:rPr>
          <w:rFonts w:ascii="Arial" w:hAnsi="Arial" w:cs="Arial"/>
          <w:sz w:val="22"/>
        </w:rPr>
        <w:t>dením datových schránek činit u </w:t>
      </w:r>
      <w:r w:rsidRPr="003E52AE">
        <w:rPr>
          <w:rFonts w:ascii="Arial" w:hAnsi="Arial" w:cs="Arial"/>
          <w:sz w:val="22"/>
        </w:rPr>
        <w:t xml:space="preserve">uživatelů DS </w:t>
      </w:r>
      <w:r w:rsidR="00AF2E1C" w:rsidRPr="003E52AE">
        <w:rPr>
          <w:rFonts w:ascii="Arial" w:hAnsi="Arial" w:cs="Arial"/>
          <w:sz w:val="22"/>
        </w:rPr>
        <w:t>minimálně</w:t>
      </w:r>
      <w:r w:rsidRPr="003E52AE">
        <w:rPr>
          <w:rFonts w:ascii="Arial" w:hAnsi="Arial" w:cs="Arial"/>
          <w:sz w:val="22"/>
        </w:rPr>
        <w:t xml:space="preserve"> 1 000 mil. Kč za rok. MV však před zavedením DS nezkoumalo náklady budoucích uživatelů na poštovné a související náklady</w:t>
      </w:r>
      <w:r w:rsidR="004A5FD4" w:rsidRPr="003E52AE">
        <w:rPr>
          <w:rFonts w:ascii="Arial" w:hAnsi="Arial" w:cs="Arial"/>
          <w:sz w:val="22"/>
        </w:rPr>
        <w:t>, proto nelze vyhodnotit</w:t>
      </w:r>
      <w:r w:rsidRPr="003E52AE">
        <w:rPr>
          <w:rFonts w:ascii="Arial" w:hAnsi="Arial" w:cs="Arial"/>
          <w:sz w:val="22"/>
        </w:rPr>
        <w:t xml:space="preserve"> dosažení předpokládaných úspor.</w:t>
      </w:r>
    </w:p>
    <w:p w:rsidR="004D270A" w:rsidRPr="003E52AE" w:rsidRDefault="004D270A" w:rsidP="008908A8">
      <w:pPr>
        <w:rPr>
          <w:rFonts w:ascii="Arial" w:hAnsi="Arial" w:cs="Arial"/>
          <w:bCs/>
          <w:iCs/>
          <w:sz w:val="22"/>
        </w:rPr>
      </w:pPr>
    </w:p>
    <w:p w:rsidR="00780F5B" w:rsidRPr="003E52AE" w:rsidRDefault="00780F5B" w:rsidP="008908A8">
      <w:pPr>
        <w:pStyle w:val="Odstavecseseznamem"/>
        <w:ind w:left="0"/>
        <w:contextualSpacing w:val="0"/>
        <w:rPr>
          <w:rFonts w:ascii="Arial" w:hAnsi="Arial" w:cs="Arial"/>
          <w:b/>
          <w:szCs w:val="24"/>
          <w:lang w:val="cs-CZ"/>
        </w:rPr>
      </w:pPr>
      <w:r w:rsidRPr="003E52AE">
        <w:rPr>
          <w:rFonts w:ascii="Arial" w:hAnsi="Arial" w:cs="Arial"/>
          <w:b/>
          <w:szCs w:val="24"/>
          <w:lang w:val="cs-CZ"/>
        </w:rPr>
        <w:t>2. Česká pošta</w:t>
      </w:r>
      <w:r w:rsidR="00995D10" w:rsidRPr="003E52AE">
        <w:rPr>
          <w:rFonts w:ascii="Arial" w:hAnsi="Arial" w:cs="Arial"/>
          <w:b/>
          <w:szCs w:val="24"/>
          <w:lang w:val="cs-CZ"/>
        </w:rPr>
        <w:t>,</w:t>
      </w:r>
      <w:r w:rsidRPr="003E52AE">
        <w:rPr>
          <w:rFonts w:ascii="Arial" w:hAnsi="Arial" w:cs="Arial"/>
          <w:b/>
          <w:szCs w:val="24"/>
          <w:lang w:val="cs-CZ"/>
        </w:rPr>
        <w:t xml:space="preserve"> s. p.</w:t>
      </w:r>
    </w:p>
    <w:p w:rsidR="00B257F3" w:rsidRPr="003E52AE" w:rsidRDefault="00B257F3" w:rsidP="008908A8">
      <w:pPr>
        <w:shd w:val="clear" w:color="auto" w:fill="FFFFFF"/>
        <w:rPr>
          <w:rFonts w:ascii="Arial" w:hAnsi="Arial" w:cs="Arial"/>
          <w:bCs/>
          <w:sz w:val="22"/>
        </w:rPr>
      </w:pPr>
    </w:p>
    <w:p w:rsidR="0016196F" w:rsidRPr="003E52AE" w:rsidRDefault="003C34D0" w:rsidP="008908A8">
      <w:pPr>
        <w:shd w:val="clear" w:color="auto" w:fill="FFFFFF"/>
        <w:rPr>
          <w:rFonts w:ascii="Arial" w:hAnsi="Arial" w:cs="Arial"/>
          <w:bCs/>
          <w:sz w:val="22"/>
        </w:rPr>
      </w:pPr>
      <w:r w:rsidRPr="003E52AE">
        <w:rPr>
          <w:rFonts w:ascii="Arial" w:hAnsi="Arial" w:cs="Arial"/>
          <w:bCs/>
          <w:sz w:val="22"/>
        </w:rPr>
        <w:t>ČP jako jediný držitel poštovní licence na území ČR zajišťovala provoz systému DS na základě p</w:t>
      </w:r>
      <w:r w:rsidR="0016196F" w:rsidRPr="003E52AE">
        <w:rPr>
          <w:rFonts w:ascii="Arial" w:hAnsi="Arial" w:cs="Arial"/>
          <w:bCs/>
          <w:sz w:val="22"/>
        </w:rPr>
        <w:t>ožadavk</w:t>
      </w:r>
      <w:r w:rsidRPr="003E52AE">
        <w:rPr>
          <w:rFonts w:ascii="Arial" w:hAnsi="Arial" w:cs="Arial"/>
          <w:bCs/>
          <w:sz w:val="22"/>
        </w:rPr>
        <w:t>u</w:t>
      </w:r>
      <w:r w:rsidR="0016196F" w:rsidRPr="003E52AE">
        <w:rPr>
          <w:rFonts w:ascii="Arial" w:hAnsi="Arial" w:cs="Arial"/>
          <w:bCs/>
          <w:sz w:val="22"/>
        </w:rPr>
        <w:t xml:space="preserve"> zákona č. 300/2008 Sb</w:t>
      </w:r>
      <w:r w:rsidRPr="003E52AE">
        <w:rPr>
          <w:rFonts w:ascii="Arial" w:hAnsi="Arial" w:cs="Arial"/>
          <w:bCs/>
          <w:sz w:val="22"/>
        </w:rPr>
        <w:t xml:space="preserve">. </w:t>
      </w:r>
      <w:r w:rsidR="00E6352E" w:rsidRPr="003E52AE">
        <w:rPr>
          <w:rFonts w:ascii="Arial" w:hAnsi="Arial" w:cs="Arial"/>
          <w:bCs/>
          <w:sz w:val="22"/>
        </w:rPr>
        <w:t>Většinu činností pro z</w:t>
      </w:r>
      <w:r w:rsidR="0016196F" w:rsidRPr="003E52AE">
        <w:rPr>
          <w:rFonts w:ascii="Arial" w:hAnsi="Arial" w:cs="Arial"/>
          <w:bCs/>
          <w:sz w:val="22"/>
        </w:rPr>
        <w:t>ajištění služeb spojených s provozem DS řešila ČP smluvně</w:t>
      </w:r>
      <w:r w:rsidR="00A75D9D" w:rsidRPr="003E52AE">
        <w:rPr>
          <w:rFonts w:ascii="Arial" w:hAnsi="Arial" w:cs="Arial"/>
          <w:bCs/>
          <w:sz w:val="22"/>
        </w:rPr>
        <w:t xml:space="preserve"> prostřednictvím subdodavatelů</w:t>
      </w:r>
      <w:r w:rsidRPr="003E52AE">
        <w:rPr>
          <w:rFonts w:ascii="Arial" w:hAnsi="Arial" w:cs="Arial"/>
          <w:bCs/>
          <w:sz w:val="22"/>
        </w:rPr>
        <w:t>.</w:t>
      </w:r>
    </w:p>
    <w:p w:rsidR="0016196F" w:rsidRPr="003E52AE" w:rsidRDefault="0016196F" w:rsidP="008908A8">
      <w:pPr>
        <w:rPr>
          <w:rFonts w:ascii="Arial" w:hAnsi="Arial" w:cs="Arial"/>
          <w:sz w:val="22"/>
        </w:rPr>
      </w:pPr>
    </w:p>
    <w:p w:rsidR="0016196F" w:rsidRPr="003E52AE" w:rsidRDefault="0016196F" w:rsidP="008908A8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>2.</w:t>
      </w:r>
      <w:r w:rsidR="00C161A5" w:rsidRPr="003E52AE">
        <w:rPr>
          <w:rFonts w:ascii="Arial" w:hAnsi="Arial" w:cs="Arial"/>
          <w:b/>
          <w:sz w:val="22"/>
        </w:rPr>
        <w:t>1</w:t>
      </w:r>
      <w:r w:rsidR="00963A9F" w:rsidRPr="003E52AE">
        <w:rPr>
          <w:rFonts w:ascii="Arial" w:hAnsi="Arial" w:cs="Arial"/>
          <w:b/>
          <w:sz w:val="22"/>
        </w:rPr>
        <w:t xml:space="preserve"> Výběr dodavatelů a smluvní zabezpečení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E60525" w:rsidRPr="003E52AE" w:rsidRDefault="00E60525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ČP při zadávání zakázek postupovala jako sektorový zadavatel podle zákona č. 137/2006 Sb.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E60525" w:rsidRPr="003E52AE" w:rsidRDefault="00355D61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ČP uzavřela k zajištění provozu systému DS celkem 44 smluv</w:t>
      </w:r>
      <w:r w:rsidR="000C1917" w:rsidRPr="003E52AE">
        <w:rPr>
          <w:rFonts w:ascii="Arial" w:hAnsi="Arial" w:cs="Arial"/>
          <w:sz w:val="22"/>
        </w:rPr>
        <w:t xml:space="preserve"> v celkovém objemu finančního plnění 3</w:t>
      </w:r>
      <w:r w:rsidR="00F5686D" w:rsidRPr="003E52AE">
        <w:rPr>
          <w:rFonts w:ascii="Arial" w:hAnsi="Arial" w:cs="Arial"/>
          <w:sz w:val="22"/>
        </w:rPr>
        <w:t xml:space="preserve"> </w:t>
      </w:r>
      <w:r w:rsidR="000C1917" w:rsidRPr="003E52AE">
        <w:rPr>
          <w:rFonts w:ascii="Arial" w:hAnsi="Arial" w:cs="Arial"/>
          <w:sz w:val="22"/>
        </w:rPr>
        <w:t>778 m</w:t>
      </w:r>
      <w:r w:rsidR="00F5686D" w:rsidRPr="003E52AE">
        <w:rPr>
          <w:rFonts w:ascii="Arial" w:hAnsi="Arial" w:cs="Arial"/>
          <w:sz w:val="22"/>
        </w:rPr>
        <w:t>il</w:t>
      </w:r>
      <w:r w:rsidR="000C1917" w:rsidRPr="003E52AE">
        <w:rPr>
          <w:rFonts w:ascii="Arial" w:hAnsi="Arial" w:cs="Arial"/>
          <w:sz w:val="22"/>
        </w:rPr>
        <w:t>. Kč bez DPH</w:t>
      </w:r>
      <w:r w:rsidRPr="003E52AE">
        <w:rPr>
          <w:rFonts w:ascii="Arial" w:hAnsi="Arial" w:cs="Arial"/>
          <w:sz w:val="22"/>
        </w:rPr>
        <w:t xml:space="preserve">. NKÚ zkontroloval 6 smluv </w:t>
      </w:r>
      <w:r w:rsidR="0045614B" w:rsidRPr="003E52AE">
        <w:rPr>
          <w:rFonts w:ascii="Arial" w:hAnsi="Arial" w:cs="Arial"/>
          <w:sz w:val="22"/>
        </w:rPr>
        <w:t xml:space="preserve">uzavřených s hlavním dodavatelem </w:t>
      </w:r>
      <w:r w:rsidRPr="003E52AE">
        <w:rPr>
          <w:rFonts w:ascii="Arial" w:hAnsi="Arial" w:cs="Arial"/>
          <w:sz w:val="22"/>
        </w:rPr>
        <w:t>o celkovém objemu 3</w:t>
      </w:r>
      <w:r w:rsidR="00F5686D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50</w:t>
      </w:r>
      <w:r w:rsidR="00503EE8" w:rsidRPr="003E52AE">
        <w:rPr>
          <w:rFonts w:ascii="Arial" w:hAnsi="Arial" w:cs="Arial"/>
          <w:sz w:val="22"/>
        </w:rPr>
        <w:t>5</w:t>
      </w:r>
      <w:r w:rsidRPr="003E52AE">
        <w:rPr>
          <w:rFonts w:ascii="Arial" w:hAnsi="Arial" w:cs="Arial"/>
          <w:sz w:val="22"/>
        </w:rPr>
        <w:t> </w:t>
      </w:r>
      <w:r w:rsidR="00503EE8" w:rsidRPr="003E52AE">
        <w:rPr>
          <w:rFonts w:ascii="Arial" w:hAnsi="Arial" w:cs="Arial"/>
          <w:sz w:val="22"/>
        </w:rPr>
        <w:t>m</w:t>
      </w:r>
      <w:r w:rsidR="00F5686D" w:rsidRPr="003E52AE">
        <w:rPr>
          <w:rFonts w:ascii="Arial" w:hAnsi="Arial" w:cs="Arial"/>
          <w:sz w:val="22"/>
        </w:rPr>
        <w:t>il</w:t>
      </w:r>
      <w:r w:rsidR="00503EE8" w:rsidRPr="003E52AE">
        <w:rPr>
          <w:rFonts w:ascii="Arial" w:hAnsi="Arial" w:cs="Arial"/>
          <w:sz w:val="22"/>
        </w:rPr>
        <w:t xml:space="preserve">. </w:t>
      </w:r>
      <w:r w:rsidRPr="003E52AE">
        <w:rPr>
          <w:rFonts w:ascii="Arial" w:hAnsi="Arial" w:cs="Arial"/>
          <w:sz w:val="22"/>
        </w:rPr>
        <w:t>Kč bez DPH, tedy 9</w:t>
      </w:r>
      <w:r w:rsidR="00D67704" w:rsidRPr="003E52AE">
        <w:rPr>
          <w:rFonts w:ascii="Arial" w:hAnsi="Arial" w:cs="Arial"/>
          <w:sz w:val="22"/>
        </w:rPr>
        <w:t>2</w:t>
      </w:r>
      <w:r w:rsidRPr="003E52AE">
        <w:rPr>
          <w:rFonts w:ascii="Arial" w:hAnsi="Arial" w:cs="Arial"/>
          <w:sz w:val="22"/>
        </w:rPr>
        <w:t>,</w:t>
      </w:r>
      <w:r w:rsidR="00D67704" w:rsidRPr="003E52AE">
        <w:rPr>
          <w:rFonts w:ascii="Arial" w:hAnsi="Arial" w:cs="Arial"/>
          <w:sz w:val="22"/>
        </w:rPr>
        <w:t>8</w:t>
      </w:r>
      <w:r w:rsidRPr="003E52AE">
        <w:rPr>
          <w:rFonts w:ascii="Arial" w:hAnsi="Arial" w:cs="Arial"/>
          <w:sz w:val="22"/>
        </w:rPr>
        <w:t xml:space="preserve"> % </w:t>
      </w:r>
      <w:r w:rsidR="00CA3EEC" w:rsidRPr="003E52AE">
        <w:rPr>
          <w:rFonts w:ascii="Arial" w:hAnsi="Arial" w:cs="Arial"/>
          <w:sz w:val="22"/>
        </w:rPr>
        <w:t>z celkového objemu finančního plnění</w:t>
      </w:r>
      <w:r w:rsidR="00D67704" w:rsidRPr="003E52AE">
        <w:rPr>
          <w:rFonts w:ascii="Arial" w:hAnsi="Arial" w:cs="Arial"/>
          <w:sz w:val="22"/>
        </w:rPr>
        <w:t>.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A46F2E" w:rsidRPr="003E52AE" w:rsidRDefault="00A46F2E" w:rsidP="008908A8">
      <w:pPr>
        <w:pStyle w:val="normlnmezera"/>
        <w:tabs>
          <w:tab w:val="left" w:pos="709"/>
        </w:tabs>
        <w:spacing w:before="0"/>
        <w:rPr>
          <w:rFonts w:cs="Arial"/>
          <w:bCs/>
          <w:szCs w:val="22"/>
        </w:rPr>
      </w:pPr>
      <w:r w:rsidRPr="003E52AE">
        <w:rPr>
          <w:rFonts w:cs="Arial"/>
        </w:rPr>
        <w:t xml:space="preserve">ČP použila při výběru </w:t>
      </w:r>
      <w:r w:rsidR="0045614B" w:rsidRPr="003E52AE">
        <w:rPr>
          <w:rFonts w:cs="Arial"/>
        </w:rPr>
        <w:t xml:space="preserve">hlavního </w:t>
      </w:r>
      <w:r w:rsidRPr="003E52AE">
        <w:rPr>
          <w:rFonts w:cs="Arial"/>
        </w:rPr>
        <w:t xml:space="preserve">dodavatele </w:t>
      </w:r>
      <w:r w:rsidR="00A75D9D" w:rsidRPr="003E52AE">
        <w:rPr>
          <w:rFonts w:cs="Arial"/>
        </w:rPr>
        <w:t>soutěž o návrh</w:t>
      </w:r>
      <w:r w:rsidR="00FA2083">
        <w:rPr>
          <w:rFonts w:cs="Arial"/>
        </w:rPr>
        <w:t xml:space="preserve"> projekt</w:t>
      </w:r>
      <w:r w:rsidR="00811BB2">
        <w:rPr>
          <w:rFonts w:cs="Arial"/>
        </w:rPr>
        <w:t>u</w:t>
      </w:r>
      <w:r w:rsidR="00A75D9D" w:rsidRPr="003E52AE">
        <w:rPr>
          <w:rFonts w:cs="Arial"/>
        </w:rPr>
        <w:t xml:space="preserve"> </w:t>
      </w:r>
      <w:r w:rsidRPr="00811BB2">
        <w:rPr>
          <w:rFonts w:cs="Arial"/>
          <w:i/>
        </w:rPr>
        <w:t>Řešení a zabezpečení provozu systému datových schránek dle vládního návrhu zá</w:t>
      </w:r>
      <w:r w:rsidR="00546FD4" w:rsidRPr="00811BB2">
        <w:rPr>
          <w:rFonts w:cs="Arial"/>
          <w:i/>
        </w:rPr>
        <w:t>kona o elektronických úkonech a </w:t>
      </w:r>
      <w:r w:rsidRPr="00811BB2">
        <w:rPr>
          <w:rFonts w:cs="Arial"/>
          <w:i/>
        </w:rPr>
        <w:t>autorizované konverzi dokumentů</w:t>
      </w:r>
      <w:r w:rsidRPr="003E52AE">
        <w:rPr>
          <w:rFonts w:cs="Arial"/>
        </w:rPr>
        <w:t>.</w:t>
      </w:r>
      <w:r w:rsidR="00FA2083">
        <w:rPr>
          <w:rFonts w:cs="Arial"/>
        </w:rPr>
        <w:t xml:space="preserve"> </w:t>
      </w:r>
      <w:r w:rsidRPr="003E52AE">
        <w:rPr>
          <w:rFonts w:cs="Arial"/>
        </w:rPr>
        <w:t xml:space="preserve">Předmětem soutěže o návrh bylo vypracování vlastního návrhu řešení systému datových schránek a vypracování návrhu na provoz systému datových schránek za respektování zákona </w:t>
      </w:r>
      <w:r w:rsidR="00C977F8" w:rsidRPr="003E52AE">
        <w:rPr>
          <w:rFonts w:cs="Arial"/>
        </w:rPr>
        <w:t>č. 300/2008 Sb.</w:t>
      </w:r>
      <w:r w:rsidR="007A17F0" w:rsidRPr="003E52AE">
        <w:rPr>
          <w:rFonts w:cs="Arial"/>
        </w:rPr>
        <w:t xml:space="preserve"> a zákona č. 365/2000 Sb</w:t>
      </w:r>
      <w:r w:rsidRPr="003E52AE">
        <w:rPr>
          <w:rFonts w:cs="Arial"/>
        </w:rPr>
        <w:t xml:space="preserve">. </w:t>
      </w:r>
      <w:r w:rsidRPr="003E52AE">
        <w:rPr>
          <w:rFonts w:cs="Arial"/>
          <w:szCs w:val="22"/>
        </w:rPr>
        <w:t>ČP</w:t>
      </w:r>
      <w:r w:rsidRPr="003E52AE">
        <w:rPr>
          <w:rFonts w:cs="Arial"/>
          <w:bCs/>
          <w:szCs w:val="22"/>
        </w:rPr>
        <w:t xml:space="preserve"> deklarovala v soutěžní dokumentaci</w:t>
      </w:r>
      <w:r w:rsidR="00A75D9D" w:rsidRPr="003E52AE">
        <w:rPr>
          <w:rFonts w:cs="Arial"/>
          <w:bCs/>
          <w:szCs w:val="22"/>
        </w:rPr>
        <w:t xml:space="preserve"> a v oznámení o veřejné soutěži</w:t>
      </w:r>
      <w:r w:rsidRPr="003E52AE">
        <w:rPr>
          <w:rFonts w:cs="Arial"/>
          <w:bCs/>
          <w:szCs w:val="22"/>
        </w:rPr>
        <w:t xml:space="preserve">, že zakázku na služby navazující na tuto soutěž zadá vybranému nebo jednomu z více vybraných účastníků </w:t>
      </w:r>
      <w:r w:rsidR="00A75D9D" w:rsidRPr="003E52AE">
        <w:rPr>
          <w:rFonts w:cs="Arial"/>
          <w:bCs/>
          <w:szCs w:val="22"/>
        </w:rPr>
        <w:t>této</w:t>
      </w:r>
      <w:r w:rsidRPr="003E52AE">
        <w:rPr>
          <w:rFonts w:cs="Arial"/>
          <w:bCs/>
          <w:szCs w:val="22"/>
        </w:rPr>
        <w:t xml:space="preserve"> soutěže, resp. že zadá navazující </w:t>
      </w:r>
      <w:r w:rsidR="00FA2083">
        <w:rPr>
          <w:rFonts w:cs="Arial"/>
          <w:bCs/>
          <w:szCs w:val="22"/>
        </w:rPr>
        <w:t>veřejnou zakázku</w:t>
      </w:r>
      <w:r w:rsidRPr="003E52AE">
        <w:rPr>
          <w:rFonts w:cs="Arial"/>
          <w:bCs/>
          <w:szCs w:val="22"/>
        </w:rPr>
        <w:t xml:space="preserve"> na služby v JŘBU dle § 23 odst. 6 zákona č. 137/2006</w:t>
      </w:r>
      <w:r w:rsidR="007A17F0" w:rsidRPr="003E52AE">
        <w:rPr>
          <w:rFonts w:cs="Arial"/>
          <w:bCs/>
          <w:szCs w:val="22"/>
        </w:rPr>
        <w:t> </w:t>
      </w:r>
      <w:r w:rsidRPr="003E52AE">
        <w:rPr>
          <w:rFonts w:cs="Arial"/>
          <w:bCs/>
          <w:szCs w:val="22"/>
        </w:rPr>
        <w:t>Sb</w:t>
      </w:r>
      <w:r w:rsidR="007A17F0" w:rsidRPr="003E52AE">
        <w:rPr>
          <w:rFonts w:cs="Arial"/>
          <w:bCs/>
          <w:szCs w:val="22"/>
        </w:rPr>
        <w:t>.</w:t>
      </w:r>
    </w:p>
    <w:p w:rsidR="00B257F3" w:rsidRPr="003E52AE" w:rsidRDefault="00B257F3" w:rsidP="008908A8">
      <w:pPr>
        <w:pStyle w:val="normlnmezera"/>
        <w:tabs>
          <w:tab w:val="left" w:pos="709"/>
        </w:tabs>
        <w:spacing w:before="0"/>
        <w:rPr>
          <w:rFonts w:cs="Arial"/>
          <w:bCs/>
          <w:szCs w:val="22"/>
        </w:rPr>
      </w:pPr>
    </w:p>
    <w:p w:rsidR="0016196F" w:rsidRPr="003E52AE" w:rsidRDefault="00A46F2E" w:rsidP="008908A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5"/>
        <w:rPr>
          <w:rFonts w:ascii="Arial" w:hAnsi="Arial" w:cs="Arial"/>
          <w:color w:val="000000"/>
          <w:sz w:val="22"/>
        </w:rPr>
      </w:pPr>
      <w:r w:rsidRPr="003E52AE">
        <w:rPr>
          <w:rFonts w:ascii="Arial" w:hAnsi="Arial" w:cs="Arial"/>
          <w:sz w:val="22"/>
        </w:rPr>
        <w:t>Na základě uvedeného výběrového řízení uzavřela ČP d</w:t>
      </w:r>
      <w:r w:rsidR="0016196F" w:rsidRPr="003E52AE">
        <w:rPr>
          <w:rFonts w:ascii="Arial" w:hAnsi="Arial" w:cs="Arial"/>
          <w:sz w:val="22"/>
        </w:rPr>
        <w:t xml:space="preserve">ne 30. </w:t>
      </w:r>
      <w:r w:rsidR="00546FD4" w:rsidRPr="003E52AE">
        <w:rPr>
          <w:rFonts w:ascii="Arial" w:hAnsi="Arial" w:cs="Arial"/>
          <w:sz w:val="22"/>
        </w:rPr>
        <w:t>ledna</w:t>
      </w:r>
      <w:r w:rsidR="0016196F" w:rsidRPr="003E52AE">
        <w:rPr>
          <w:rFonts w:ascii="Arial" w:hAnsi="Arial" w:cs="Arial"/>
          <w:sz w:val="22"/>
        </w:rPr>
        <w:t xml:space="preserve"> 2009 </w:t>
      </w:r>
      <w:r w:rsidRPr="003E52AE">
        <w:rPr>
          <w:rFonts w:ascii="Arial" w:hAnsi="Arial" w:cs="Arial"/>
          <w:sz w:val="22"/>
        </w:rPr>
        <w:t xml:space="preserve">s vybraným </w:t>
      </w:r>
      <w:r w:rsidR="00EA2CAD" w:rsidRPr="003E52AE">
        <w:rPr>
          <w:rFonts w:ascii="Arial" w:hAnsi="Arial" w:cs="Arial"/>
          <w:sz w:val="22"/>
        </w:rPr>
        <w:t xml:space="preserve">hlavním </w:t>
      </w:r>
      <w:r w:rsidRPr="003E52AE">
        <w:rPr>
          <w:rFonts w:ascii="Arial" w:hAnsi="Arial" w:cs="Arial"/>
          <w:sz w:val="22"/>
        </w:rPr>
        <w:t>dodavate</w:t>
      </w:r>
      <w:r w:rsidR="00093413" w:rsidRPr="003E52AE">
        <w:rPr>
          <w:rFonts w:ascii="Arial" w:hAnsi="Arial" w:cs="Arial"/>
          <w:sz w:val="22"/>
        </w:rPr>
        <w:t>le</w:t>
      </w:r>
      <w:r w:rsidRPr="003E52AE">
        <w:rPr>
          <w:rFonts w:ascii="Arial" w:hAnsi="Arial" w:cs="Arial"/>
          <w:sz w:val="22"/>
        </w:rPr>
        <w:t xml:space="preserve">m </w:t>
      </w:r>
      <w:r w:rsidR="0016196F" w:rsidRPr="003E52AE">
        <w:rPr>
          <w:rFonts w:ascii="Arial" w:hAnsi="Arial" w:cs="Arial"/>
          <w:sz w:val="22"/>
        </w:rPr>
        <w:t xml:space="preserve">smlouvu o zajištění provozu </w:t>
      </w:r>
      <w:r w:rsidRPr="003E52AE">
        <w:rPr>
          <w:rFonts w:ascii="Arial" w:hAnsi="Arial" w:cs="Arial"/>
          <w:sz w:val="22"/>
        </w:rPr>
        <w:t xml:space="preserve">systému </w:t>
      </w:r>
      <w:r w:rsidR="0016196F" w:rsidRPr="003E52AE">
        <w:rPr>
          <w:rFonts w:ascii="Arial" w:hAnsi="Arial" w:cs="Arial"/>
          <w:sz w:val="22"/>
        </w:rPr>
        <w:t>DS</w:t>
      </w:r>
      <w:r w:rsidRPr="003E52AE">
        <w:rPr>
          <w:rFonts w:ascii="Arial" w:hAnsi="Arial" w:cs="Arial"/>
          <w:sz w:val="22"/>
        </w:rPr>
        <w:t>,</w:t>
      </w:r>
      <w:r w:rsidR="0016196F" w:rsidRPr="003E52AE">
        <w:rPr>
          <w:rFonts w:ascii="Arial" w:hAnsi="Arial" w:cs="Arial"/>
          <w:sz w:val="22"/>
        </w:rPr>
        <w:t xml:space="preserve"> </w:t>
      </w:r>
      <w:r w:rsidR="0016196F" w:rsidRPr="003E52AE">
        <w:rPr>
          <w:rFonts w:ascii="Arial" w:hAnsi="Arial" w:cs="Arial"/>
          <w:color w:val="000000"/>
          <w:sz w:val="22"/>
        </w:rPr>
        <w:t>a to na dobu určitou do 30. </w:t>
      </w:r>
      <w:r w:rsidR="00546FD4" w:rsidRPr="003E52AE">
        <w:rPr>
          <w:rFonts w:ascii="Arial" w:hAnsi="Arial" w:cs="Arial"/>
          <w:color w:val="000000"/>
          <w:sz w:val="22"/>
        </w:rPr>
        <w:t>června</w:t>
      </w:r>
      <w:r w:rsidR="0016196F" w:rsidRPr="003E52AE">
        <w:rPr>
          <w:rFonts w:ascii="Arial" w:hAnsi="Arial" w:cs="Arial"/>
          <w:color w:val="000000"/>
          <w:sz w:val="22"/>
        </w:rPr>
        <w:t> 2014.</w:t>
      </w:r>
    </w:p>
    <w:p w:rsidR="00B257F3" w:rsidRPr="003E52AE" w:rsidRDefault="00B257F3" w:rsidP="008908A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5"/>
        <w:rPr>
          <w:rFonts w:ascii="Arial" w:hAnsi="Arial" w:cs="Arial"/>
          <w:color w:val="000000"/>
          <w:sz w:val="22"/>
        </w:rPr>
      </w:pPr>
    </w:p>
    <w:p w:rsidR="0016196F" w:rsidRPr="003E52AE" w:rsidRDefault="006F7D4B" w:rsidP="008908A8">
      <w:pPr>
        <w:rPr>
          <w:rFonts w:ascii="Arial" w:hAnsi="Arial" w:cs="Arial"/>
          <w:bCs/>
          <w:sz w:val="22"/>
        </w:rPr>
      </w:pPr>
      <w:r w:rsidRPr="003E52AE">
        <w:rPr>
          <w:rFonts w:ascii="Arial" w:hAnsi="Arial" w:cs="Arial"/>
          <w:bCs/>
          <w:sz w:val="22"/>
        </w:rPr>
        <w:lastRenderedPageBreak/>
        <w:t xml:space="preserve">Po uzavření smlouvy mezi </w:t>
      </w:r>
      <w:r w:rsidR="0016196F" w:rsidRPr="003E52AE">
        <w:rPr>
          <w:rFonts w:ascii="Arial" w:hAnsi="Arial" w:cs="Arial"/>
          <w:bCs/>
          <w:sz w:val="22"/>
        </w:rPr>
        <w:t xml:space="preserve">ČP </w:t>
      </w:r>
      <w:r w:rsidRPr="003E52AE">
        <w:rPr>
          <w:rFonts w:ascii="Arial" w:hAnsi="Arial" w:cs="Arial"/>
          <w:bCs/>
          <w:sz w:val="22"/>
        </w:rPr>
        <w:t xml:space="preserve">a </w:t>
      </w:r>
      <w:r w:rsidR="0045614B" w:rsidRPr="003E52AE">
        <w:rPr>
          <w:rFonts w:ascii="Arial" w:hAnsi="Arial" w:cs="Arial"/>
          <w:bCs/>
          <w:sz w:val="22"/>
        </w:rPr>
        <w:t xml:space="preserve">hlavním </w:t>
      </w:r>
      <w:r w:rsidRPr="003E52AE">
        <w:rPr>
          <w:rFonts w:ascii="Arial" w:hAnsi="Arial" w:cs="Arial"/>
          <w:bCs/>
          <w:sz w:val="22"/>
        </w:rPr>
        <w:t xml:space="preserve">dodavatelem uzavřela ČP dne 27. </w:t>
      </w:r>
      <w:r w:rsidR="00546FD4" w:rsidRPr="003E52AE">
        <w:rPr>
          <w:rFonts w:ascii="Arial" w:hAnsi="Arial" w:cs="Arial"/>
          <w:bCs/>
          <w:sz w:val="22"/>
        </w:rPr>
        <w:t>února</w:t>
      </w:r>
      <w:r w:rsidRPr="003E52AE">
        <w:rPr>
          <w:rFonts w:ascii="Arial" w:hAnsi="Arial" w:cs="Arial"/>
          <w:bCs/>
          <w:sz w:val="22"/>
        </w:rPr>
        <w:t xml:space="preserve"> 2009 </w:t>
      </w:r>
      <w:r w:rsidR="00814C63" w:rsidRPr="003E52AE">
        <w:rPr>
          <w:rFonts w:ascii="Arial" w:hAnsi="Arial" w:cs="Arial"/>
          <w:bCs/>
          <w:sz w:val="22"/>
        </w:rPr>
        <w:t>S</w:t>
      </w:r>
      <w:r w:rsidRPr="003E52AE">
        <w:rPr>
          <w:rFonts w:ascii="Arial" w:hAnsi="Arial" w:cs="Arial"/>
          <w:bCs/>
          <w:sz w:val="22"/>
        </w:rPr>
        <w:t>mlouvu s MV na zajištění služeb spojených s provozem systému DS, v</w:t>
      </w:r>
      <w:r w:rsidR="00007644" w:rsidRPr="003E52AE">
        <w:rPr>
          <w:rFonts w:ascii="Arial" w:hAnsi="Arial" w:cs="Arial"/>
          <w:sz w:val="22"/>
        </w:rPr>
        <w:t xml:space="preserve">iz část </w:t>
      </w:r>
      <w:r w:rsidRPr="003E52AE">
        <w:rPr>
          <w:rFonts w:ascii="Arial" w:hAnsi="Arial" w:cs="Arial"/>
          <w:sz w:val="22"/>
        </w:rPr>
        <w:t>1.2</w:t>
      </w:r>
      <w:r w:rsidR="00007644" w:rsidRPr="003E52AE">
        <w:rPr>
          <w:rFonts w:ascii="Arial" w:hAnsi="Arial" w:cs="Arial"/>
          <w:sz w:val="22"/>
        </w:rPr>
        <w:t xml:space="preserve"> </w:t>
      </w:r>
      <w:r w:rsidR="005923D0" w:rsidRPr="003E52AE">
        <w:rPr>
          <w:rFonts w:ascii="Arial" w:hAnsi="Arial" w:cs="Arial"/>
          <w:sz w:val="22"/>
        </w:rPr>
        <w:t>tohoto k</w:t>
      </w:r>
      <w:r w:rsidR="00FC069F" w:rsidRPr="003E52AE">
        <w:rPr>
          <w:rFonts w:ascii="Arial" w:hAnsi="Arial" w:cs="Arial"/>
          <w:sz w:val="22"/>
        </w:rPr>
        <w:t>ontrolního závěru</w:t>
      </w:r>
      <w:r w:rsidR="00F753B8" w:rsidRPr="003E52AE">
        <w:rPr>
          <w:rFonts w:ascii="Arial" w:hAnsi="Arial" w:cs="Arial"/>
          <w:sz w:val="22"/>
        </w:rPr>
        <w:t>.</w:t>
      </w:r>
    </w:p>
    <w:p w:rsidR="00E60525" w:rsidRPr="003E52AE" w:rsidRDefault="00E60525" w:rsidP="008908A8">
      <w:pPr>
        <w:rPr>
          <w:rFonts w:ascii="Arial" w:hAnsi="Arial" w:cs="Arial"/>
          <w:sz w:val="22"/>
        </w:rPr>
      </w:pPr>
    </w:p>
    <w:p w:rsidR="00E60525" w:rsidRPr="003E52AE" w:rsidRDefault="00131961" w:rsidP="008908A8">
      <w:pPr>
        <w:rPr>
          <w:rFonts w:ascii="Arial" w:hAnsi="Arial" w:cs="Arial"/>
          <w:b/>
          <w:sz w:val="22"/>
        </w:rPr>
      </w:pPr>
      <w:r w:rsidRPr="003E52AE">
        <w:rPr>
          <w:rFonts w:ascii="Arial" w:hAnsi="Arial" w:cs="Arial"/>
          <w:b/>
          <w:sz w:val="22"/>
        </w:rPr>
        <w:t>2.2 Ostatní zjištění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FA0D9C" w:rsidRPr="003E52AE" w:rsidRDefault="00131961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Vývoj nákladů na provoz systému DS, a to jak externích, tak vlastních nákladů ČP</w:t>
      </w:r>
      <w:r w:rsidR="00FA2083">
        <w:rPr>
          <w:rFonts w:ascii="Arial" w:hAnsi="Arial" w:cs="Arial"/>
          <w:sz w:val="22"/>
        </w:rPr>
        <w:t>,</w:t>
      </w:r>
      <w:r w:rsidRPr="003E52AE">
        <w:rPr>
          <w:rFonts w:ascii="Arial" w:hAnsi="Arial" w:cs="Arial"/>
          <w:sz w:val="22"/>
        </w:rPr>
        <w:t xml:space="preserve"> a tržeb za provoz systému DS uvádí tabulka č. 3.</w:t>
      </w:r>
    </w:p>
    <w:p w:rsidR="00B257F3" w:rsidRPr="003E52AE" w:rsidRDefault="00B257F3" w:rsidP="008908A8">
      <w:pPr>
        <w:rPr>
          <w:rFonts w:ascii="Arial" w:hAnsi="Arial" w:cs="Arial"/>
          <w:sz w:val="22"/>
        </w:rPr>
      </w:pPr>
    </w:p>
    <w:p w:rsidR="00681D64" w:rsidRPr="003E52AE" w:rsidRDefault="00681D64" w:rsidP="008908A8">
      <w:pPr>
        <w:rPr>
          <w:rFonts w:ascii="Arial" w:hAnsi="Arial" w:cs="Arial"/>
          <w:color w:val="000000"/>
          <w:sz w:val="22"/>
        </w:rPr>
      </w:pPr>
      <w:r w:rsidRPr="003E52AE">
        <w:rPr>
          <w:rFonts w:ascii="Arial" w:hAnsi="Arial" w:cs="Arial"/>
          <w:sz w:val="22"/>
        </w:rPr>
        <w:t>Na zvýšen</w:t>
      </w:r>
      <w:r w:rsidR="00245D72" w:rsidRPr="003E52AE">
        <w:rPr>
          <w:rFonts w:ascii="Arial" w:hAnsi="Arial" w:cs="Arial"/>
          <w:sz w:val="22"/>
        </w:rPr>
        <w:t>ých</w:t>
      </w:r>
      <w:r w:rsidRPr="003E52AE">
        <w:rPr>
          <w:rFonts w:ascii="Arial" w:hAnsi="Arial" w:cs="Arial"/>
          <w:sz w:val="22"/>
        </w:rPr>
        <w:t xml:space="preserve"> </w:t>
      </w:r>
      <w:r w:rsidR="00245D72" w:rsidRPr="003E52AE">
        <w:rPr>
          <w:rFonts w:ascii="Arial" w:hAnsi="Arial" w:cs="Arial"/>
          <w:sz w:val="22"/>
        </w:rPr>
        <w:t>tržbách</w:t>
      </w:r>
      <w:r w:rsidRPr="003E52AE">
        <w:rPr>
          <w:rFonts w:ascii="Arial" w:hAnsi="Arial" w:cs="Arial"/>
          <w:sz w:val="22"/>
        </w:rPr>
        <w:t xml:space="preserve"> v roce 2010 se kromě vyššího počtu transakcí podílela především úprava systému DS na základě dodatku č. 2 </w:t>
      </w:r>
      <w:r w:rsidR="00FA2083">
        <w:rPr>
          <w:rFonts w:ascii="Arial" w:hAnsi="Arial" w:cs="Arial"/>
          <w:sz w:val="22"/>
        </w:rPr>
        <w:t>S</w:t>
      </w:r>
      <w:r w:rsidRPr="003E52AE">
        <w:rPr>
          <w:rFonts w:ascii="Arial" w:hAnsi="Arial" w:cs="Arial"/>
          <w:sz w:val="22"/>
        </w:rPr>
        <w:t>mlouvy. Ú</w:t>
      </w:r>
      <w:r w:rsidRPr="003E52AE">
        <w:rPr>
          <w:rFonts w:ascii="Arial" w:hAnsi="Arial" w:cs="Arial"/>
          <w:bCs/>
          <w:iCs/>
          <w:sz w:val="22"/>
        </w:rPr>
        <w:t xml:space="preserve">pravu systému DS realizovala </w:t>
      </w:r>
      <w:r w:rsidRPr="003E52AE">
        <w:rPr>
          <w:rFonts w:ascii="Arial" w:hAnsi="Arial" w:cs="Arial"/>
          <w:sz w:val="22"/>
        </w:rPr>
        <w:t>ČP</w:t>
      </w:r>
      <w:r w:rsidRPr="003E52AE">
        <w:rPr>
          <w:rFonts w:ascii="Arial" w:hAnsi="Arial" w:cs="Arial"/>
          <w:bCs/>
          <w:iCs/>
          <w:sz w:val="22"/>
        </w:rPr>
        <w:t xml:space="preserve"> prostřednictvím dodavatele. Dodavatel vyfakturoval </w:t>
      </w:r>
      <w:r w:rsidRPr="003E52AE">
        <w:rPr>
          <w:rFonts w:ascii="Arial" w:hAnsi="Arial" w:cs="Arial"/>
          <w:sz w:val="22"/>
        </w:rPr>
        <w:t>ČP</w:t>
      </w:r>
      <w:r w:rsidRPr="003E52AE">
        <w:rPr>
          <w:rFonts w:ascii="Arial" w:hAnsi="Arial" w:cs="Arial"/>
          <w:bCs/>
          <w:iCs/>
          <w:sz w:val="22"/>
        </w:rPr>
        <w:t xml:space="preserve"> za </w:t>
      </w:r>
      <w:r w:rsidR="00FA2083">
        <w:rPr>
          <w:rFonts w:ascii="Arial" w:hAnsi="Arial" w:cs="Arial"/>
          <w:bCs/>
          <w:iCs/>
          <w:sz w:val="22"/>
        </w:rPr>
        <w:t>příslušnou</w:t>
      </w:r>
      <w:r w:rsidRPr="003E52AE">
        <w:rPr>
          <w:rFonts w:ascii="Arial" w:hAnsi="Arial" w:cs="Arial"/>
          <w:bCs/>
          <w:iCs/>
          <w:sz w:val="22"/>
        </w:rPr>
        <w:t xml:space="preserve"> služb</w:t>
      </w:r>
      <w:r w:rsidR="00FA2083">
        <w:rPr>
          <w:rFonts w:ascii="Arial" w:hAnsi="Arial" w:cs="Arial"/>
          <w:bCs/>
          <w:iCs/>
          <w:sz w:val="22"/>
        </w:rPr>
        <w:t>u</w:t>
      </w:r>
      <w:r w:rsidRPr="003E52AE">
        <w:rPr>
          <w:rFonts w:ascii="Arial" w:hAnsi="Arial" w:cs="Arial"/>
          <w:bCs/>
          <w:iCs/>
          <w:sz w:val="22"/>
        </w:rPr>
        <w:t xml:space="preserve"> částku </w:t>
      </w:r>
      <w:r w:rsidRPr="003E52AE">
        <w:rPr>
          <w:rFonts w:ascii="Arial" w:hAnsi="Arial" w:cs="Arial"/>
          <w:color w:val="000000"/>
          <w:sz w:val="22"/>
        </w:rPr>
        <w:t xml:space="preserve">108 013 560 Kč vč. DPH. </w:t>
      </w:r>
      <w:r w:rsidRPr="003E52AE">
        <w:rPr>
          <w:rFonts w:ascii="Arial" w:hAnsi="Arial" w:cs="Arial"/>
          <w:sz w:val="22"/>
        </w:rPr>
        <w:t>ČP</w:t>
      </w:r>
      <w:r w:rsidRPr="003E52AE">
        <w:rPr>
          <w:rFonts w:ascii="Arial" w:hAnsi="Arial" w:cs="Arial"/>
          <w:color w:val="000000"/>
          <w:sz w:val="22"/>
        </w:rPr>
        <w:t xml:space="preserve"> následně fakturovala v souvislosti s touto službou MV částku </w:t>
      </w:r>
      <w:r w:rsidR="008908A8" w:rsidRPr="003E52AE">
        <w:rPr>
          <w:rFonts w:ascii="Arial" w:hAnsi="Arial" w:cs="Arial"/>
          <w:color w:val="000000"/>
          <w:sz w:val="22"/>
        </w:rPr>
        <w:t>ve výši 285 600 000 Kč vč. DPH.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131961" w:rsidRPr="00811BB2" w:rsidRDefault="00131961" w:rsidP="00220412">
      <w:pPr>
        <w:tabs>
          <w:tab w:val="left" w:pos="7371"/>
        </w:tabs>
        <w:spacing w:after="40"/>
        <w:rPr>
          <w:rFonts w:ascii="Arial" w:hAnsi="Arial" w:cs="Arial"/>
          <w:b/>
          <w:sz w:val="22"/>
        </w:rPr>
      </w:pPr>
      <w:r w:rsidRPr="00811BB2">
        <w:rPr>
          <w:rFonts w:ascii="Arial" w:hAnsi="Arial" w:cs="Arial"/>
          <w:b/>
          <w:sz w:val="22"/>
        </w:rPr>
        <w:t xml:space="preserve">Tabulka </w:t>
      </w:r>
      <w:r w:rsidR="00E754B6" w:rsidRPr="00811BB2">
        <w:rPr>
          <w:rFonts w:ascii="Arial" w:hAnsi="Arial" w:cs="Arial"/>
          <w:b/>
          <w:sz w:val="22"/>
        </w:rPr>
        <w:t>č. 3</w:t>
      </w:r>
      <w:r w:rsidR="00546FD4" w:rsidRPr="00811BB2">
        <w:rPr>
          <w:rFonts w:ascii="Arial" w:hAnsi="Arial" w:cs="Arial"/>
          <w:b/>
          <w:sz w:val="22"/>
        </w:rPr>
        <w:t xml:space="preserve"> –</w:t>
      </w:r>
      <w:r w:rsidRPr="00811BB2">
        <w:rPr>
          <w:rFonts w:ascii="Arial" w:hAnsi="Arial" w:cs="Arial"/>
          <w:b/>
          <w:sz w:val="22"/>
        </w:rPr>
        <w:t xml:space="preserve"> Přehled nákladů a výnosů Č</w:t>
      </w:r>
      <w:r w:rsidR="00FA0D9C" w:rsidRPr="00811BB2">
        <w:rPr>
          <w:rFonts w:ascii="Arial" w:hAnsi="Arial" w:cs="Arial"/>
          <w:b/>
          <w:sz w:val="22"/>
        </w:rPr>
        <w:t>P</w:t>
      </w:r>
      <w:r w:rsidRPr="00811BB2">
        <w:rPr>
          <w:rFonts w:ascii="Arial" w:hAnsi="Arial" w:cs="Arial"/>
          <w:b/>
          <w:sz w:val="22"/>
        </w:rPr>
        <w:t xml:space="preserve"> </w:t>
      </w:r>
      <w:r w:rsidR="00741AC8" w:rsidRPr="00811BB2">
        <w:rPr>
          <w:rFonts w:ascii="Arial" w:hAnsi="Arial" w:cs="Arial"/>
          <w:b/>
          <w:sz w:val="22"/>
        </w:rPr>
        <w:t>n</w:t>
      </w:r>
      <w:r w:rsidRPr="00811BB2">
        <w:rPr>
          <w:rFonts w:ascii="Arial" w:hAnsi="Arial" w:cs="Arial"/>
          <w:b/>
          <w:sz w:val="22"/>
        </w:rPr>
        <w:t xml:space="preserve">a provoz </w:t>
      </w:r>
      <w:r w:rsidR="00FA0D9C" w:rsidRPr="00811BB2">
        <w:rPr>
          <w:rFonts w:ascii="Arial" w:hAnsi="Arial" w:cs="Arial"/>
          <w:b/>
          <w:sz w:val="22"/>
        </w:rPr>
        <w:t xml:space="preserve">systému </w:t>
      </w:r>
      <w:r w:rsidRPr="00811BB2">
        <w:rPr>
          <w:rFonts w:ascii="Arial" w:hAnsi="Arial" w:cs="Arial"/>
          <w:b/>
          <w:sz w:val="22"/>
        </w:rPr>
        <w:t>DS</w:t>
      </w:r>
      <w:r w:rsidR="00FA0D9C" w:rsidRPr="00811BB2">
        <w:rPr>
          <w:rFonts w:ascii="Arial" w:hAnsi="Arial" w:cs="Arial"/>
          <w:b/>
          <w:sz w:val="22"/>
        </w:rPr>
        <w:t xml:space="preserve"> </w:t>
      </w:r>
      <w:r w:rsidR="002A4BC3" w:rsidRPr="003E52AE">
        <w:rPr>
          <w:rFonts w:ascii="Arial" w:hAnsi="Arial" w:cs="Arial"/>
          <w:b/>
          <w:sz w:val="22"/>
        </w:rPr>
        <w:tab/>
      </w:r>
      <w:r w:rsidR="00FA0D9C" w:rsidRPr="00811BB2">
        <w:rPr>
          <w:rFonts w:ascii="Arial" w:hAnsi="Arial" w:cs="Arial"/>
          <w:b/>
          <w:sz w:val="22"/>
        </w:rPr>
        <w:t xml:space="preserve">(v </w:t>
      </w:r>
      <w:r w:rsidRPr="00811BB2">
        <w:rPr>
          <w:rFonts w:ascii="Arial" w:hAnsi="Arial" w:cs="Arial"/>
          <w:b/>
          <w:sz w:val="22"/>
        </w:rPr>
        <w:t>Kč</w:t>
      </w:r>
      <w:r w:rsidR="00FA0D9C" w:rsidRPr="00811BB2">
        <w:rPr>
          <w:rFonts w:ascii="Arial" w:hAnsi="Arial" w:cs="Arial"/>
          <w:b/>
          <w:sz w:val="22"/>
        </w:rPr>
        <w:t xml:space="preserve"> bez DPH)</w:t>
      </w:r>
    </w:p>
    <w:tbl>
      <w:tblPr>
        <w:tblW w:w="904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1417"/>
        <w:gridCol w:w="1474"/>
        <w:gridCol w:w="1474"/>
        <w:gridCol w:w="1417"/>
        <w:gridCol w:w="881"/>
      </w:tblGrid>
      <w:tr w:rsidR="00F9788D" w:rsidRPr="003E52AE" w:rsidTr="00B257F3">
        <w:trPr>
          <w:trHeight w:val="28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B2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8908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Externí náklady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8908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Vykázané náklady čp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8908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Celkové náklady na provoz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8908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Celkové tržby za provoz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B2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Rozdíl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88D" w:rsidRPr="00FA2083" w:rsidRDefault="002A4BC3" w:rsidP="002A4B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083">
              <w:rPr>
                <w:rFonts w:ascii="Arial" w:hAnsi="Arial" w:cs="Arial"/>
                <w:b/>
                <w:bCs/>
                <w:sz w:val="18"/>
                <w:szCs w:val="18"/>
              </w:rPr>
              <w:t>Rozdíl</w:t>
            </w:r>
          </w:p>
        </w:tc>
      </w:tr>
      <w:tr w:rsidR="00F9788D" w:rsidRPr="003E52AE" w:rsidTr="00B257F3">
        <w:trPr>
          <w:trHeight w:val="28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Cs/>
                <w:sz w:val="18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116 007 932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58 430 967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174 438 899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177 342 246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2 903 347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2</w:t>
            </w:r>
            <w:r w:rsidR="002A4BC3" w:rsidRPr="003E52AE">
              <w:rPr>
                <w:rFonts w:ascii="Arial" w:hAnsi="Arial" w:cs="Arial"/>
                <w:sz w:val="18"/>
                <w:szCs w:val="18"/>
              </w:rPr>
              <w:t> %</w:t>
            </w:r>
          </w:p>
        </w:tc>
      </w:tr>
      <w:tr w:rsidR="00F9788D" w:rsidRPr="003E52AE" w:rsidTr="00B257F3">
        <w:trPr>
          <w:trHeight w:val="28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Cs/>
                <w:sz w:val="18"/>
                <w:szCs w:val="1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559 698 116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26 234 079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585 932 195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825 082 738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239 150 543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41</w:t>
            </w:r>
            <w:r w:rsidR="002A4BC3" w:rsidRPr="003E52AE">
              <w:rPr>
                <w:rFonts w:ascii="Arial" w:hAnsi="Arial" w:cs="Arial"/>
                <w:sz w:val="18"/>
                <w:szCs w:val="18"/>
              </w:rPr>
              <w:t> %</w:t>
            </w:r>
          </w:p>
        </w:tc>
      </w:tr>
      <w:tr w:rsidR="00F9788D" w:rsidRPr="003E52AE" w:rsidTr="00B257F3">
        <w:trPr>
          <w:trHeight w:val="28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599 272 061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52 585 326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651 857 387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773 004 018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121 146 631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19</w:t>
            </w:r>
            <w:r w:rsidR="002A4BC3" w:rsidRPr="003E52AE">
              <w:rPr>
                <w:rFonts w:ascii="Arial" w:hAnsi="Arial" w:cs="Arial"/>
                <w:sz w:val="18"/>
                <w:szCs w:val="18"/>
              </w:rPr>
              <w:t> %</w:t>
            </w:r>
          </w:p>
        </w:tc>
      </w:tr>
      <w:tr w:rsidR="00F9788D" w:rsidRPr="003E52AE" w:rsidTr="00B257F3">
        <w:trPr>
          <w:trHeight w:val="28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480 493 148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70 821 000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551 314 148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670 723 291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119 409 143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8D" w:rsidRPr="003E52AE" w:rsidRDefault="00F9788D" w:rsidP="00B257F3">
            <w:pPr>
              <w:ind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52AE">
              <w:rPr>
                <w:rFonts w:ascii="Arial" w:hAnsi="Arial" w:cs="Arial"/>
                <w:sz w:val="18"/>
                <w:szCs w:val="18"/>
              </w:rPr>
              <w:t>22</w:t>
            </w:r>
            <w:r w:rsidR="002A4BC3" w:rsidRPr="003E52AE">
              <w:rPr>
                <w:rFonts w:ascii="Arial" w:hAnsi="Arial" w:cs="Arial"/>
                <w:sz w:val="18"/>
                <w:szCs w:val="18"/>
              </w:rPr>
              <w:t> %</w:t>
            </w:r>
          </w:p>
        </w:tc>
      </w:tr>
      <w:tr w:rsidR="00F9788D" w:rsidRPr="003E52AE" w:rsidTr="00B257F3">
        <w:trPr>
          <w:trHeight w:val="28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/>
                <w:bCs/>
                <w:sz w:val="18"/>
                <w:szCs w:val="18"/>
              </w:rPr>
              <w:t>1 755 471 257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ind w:right="9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/>
                <w:bCs/>
                <w:sz w:val="18"/>
                <w:szCs w:val="18"/>
              </w:rPr>
              <w:t>208 071 372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/>
                <w:bCs/>
                <w:sz w:val="18"/>
                <w:szCs w:val="18"/>
              </w:rPr>
              <w:t>1 963 542 629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ind w:right="9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/>
                <w:bCs/>
                <w:sz w:val="18"/>
                <w:szCs w:val="18"/>
              </w:rPr>
              <w:t>2 446 152 293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ind w:right="9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2AE">
              <w:rPr>
                <w:rFonts w:ascii="Arial" w:hAnsi="Arial" w:cs="Arial"/>
                <w:b/>
                <w:bCs/>
                <w:sz w:val="18"/>
                <w:szCs w:val="18"/>
              </w:rPr>
              <w:t>482 609 664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788D" w:rsidRPr="003E52AE" w:rsidRDefault="00F9788D" w:rsidP="00B257F3">
            <w:pPr>
              <w:ind w:right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788D" w:rsidRPr="003E52AE" w:rsidRDefault="00F9788D" w:rsidP="00B257F3">
      <w:pPr>
        <w:pStyle w:val="Podtitul"/>
        <w:numPr>
          <w:ilvl w:val="0"/>
          <w:numId w:val="0"/>
        </w:numPr>
        <w:spacing w:before="40" w:line="240" w:lineRule="auto"/>
        <w:rPr>
          <w:rStyle w:val="Zdraznnintenzivn"/>
          <w:rFonts w:ascii="Arial" w:hAnsi="Arial" w:cs="Arial"/>
          <w:b w:val="0"/>
          <w:color w:val="auto"/>
          <w:spacing w:val="0"/>
          <w:sz w:val="18"/>
          <w:szCs w:val="18"/>
        </w:rPr>
      </w:pPr>
      <w:r w:rsidRPr="003E52AE">
        <w:rPr>
          <w:rStyle w:val="Zdraznnintenzivn"/>
          <w:rFonts w:ascii="Arial" w:hAnsi="Arial" w:cs="Arial"/>
          <w:color w:val="auto"/>
          <w:spacing w:val="0"/>
          <w:sz w:val="18"/>
          <w:szCs w:val="18"/>
        </w:rPr>
        <w:t>Zdroj:</w:t>
      </w:r>
      <w:r w:rsidRPr="003E52AE">
        <w:rPr>
          <w:rStyle w:val="Zdraznnintenzivn"/>
          <w:rFonts w:ascii="Arial" w:hAnsi="Arial" w:cs="Arial"/>
          <w:b w:val="0"/>
          <w:color w:val="auto"/>
          <w:spacing w:val="0"/>
          <w:sz w:val="18"/>
          <w:szCs w:val="18"/>
        </w:rPr>
        <w:t xml:space="preserve"> </w:t>
      </w:r>
      <w:r w:rsidR="00503EE8" w:rsidRPr="003E52AE">
        <w:rPr>
          <w:rStyle w:val="Zdraznnintenzivn"/>
          <w:rFonts w:ascii="Arial" w:hAnsi="Arial" w:cs="Arial"/>
          <w:b w:val="0"/>
          <w:color w:val="auto"/>
          <w:spacing w:val="0"/>
          <w:sz w:val="18"/>
          <w:szCs w:val="18"/>
        </w:rPr>
        <w:t>ČP</w:t>
      </w:r>
      <w:r w:rsidR="00546FD4" w:rsidRPr="003E52AE">
        <w:rPr>
          <w:rStyle w:val="Zdraznnintenzivn"/>
          <w:rFonts w:ascii="Arial" w:hAnsi="Arial" w:cs="Arial"/>
          <w:b w:val="0"/>
          <w:color w:val="auto"/>
          <w:spacing w:val="0"/>
          <w:sz w:val="18"/>
          <w:szCs w:val="18"/>
        </w:rPr>
        <w:t>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A32AE3" w:rsidRPr="003E52AE" w:rsidRDefault="00FA2083" w:rsidP="008908A8">
      <w:pPr>
        <w:pStyle w:val="Podtitul"/>
        <w:numPr>
          <w:ilvl w:val="0"/>
          <w:numId w:val="0"/>
        </w:numPr>
        <w:spacing w:line="240" w:lineRule="auto"/>
        <w:jc w:val="both"/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</w:pPr>
      <w:r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Ve vztahu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k </w:t>
      </w:r>
      <w:r w:rsidR="00C977F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tržbám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byly zejména v prvním roce provozu vysoké </w:t>
      </w:r>
      <w:r w:rsidR="00847F8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celkové 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náklady</w:t>
      </w:r>
      <w:r w:rsidR="006B763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.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V</w:t>
      </w:r>
      <w:r w:rsidR="00C977F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 dalším roce se tržby prudce zvýšily a dále potom klesaly</w:t>
      </w:r>
      <w:r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;</w:t>
      </w:r>
      <w:r w:rsidR="00C977F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</w:t>
      </w:r>
      <w:r w:rsidR="00847F8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celkové 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náklady </w:t>
      </w:r>
      <w:r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se pohybovaly</w:t>
      </w:r>
      <w:r w:rsidR="008908A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okolo 600 mil. 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Kč. </w:t>
      </w:r>
      <w:r w:rsidR="006B7638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Rozdíl tržeb a nákladů </w:t>
      </w:r>
      <w:r w:rsidR="00131961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se neustálil, </w:t>
      </w:r>
      <w:r w:rsidR="009D7192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za celé kontrolované období činil 25</w:t>
      </w:r>
      <w:r w:rsidR="005E520A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 </w:t>
      </w:r>
      <w:r w:rsidR="009D7192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%.</w:t>
      </w:r>
    </w:p>
    <w:p w:rsidR="008908A8" w:rsidRPr="003E52AE" w:rsidRDefault="008908A8" w:rsidP="008908A8"/>
    <w:p w:rsidR="00546FD4" w:rsidRPr="003E52AE" w:rsidRDefault="00A32AE3" w:rsidP="008908A8">
      <w:pPr>
        <w:pStyle w:val="Podtitul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Cs/>
          <w:i w:val="0"/>
          <w:iCs w:val="0"/>
          <w:color w:val="auto"/>
          <w:spacing w:val="0"/>
          <w:sz w:val="22"/>
          <w:szCs w:val="22"/>
        </w:rPr>
      </w:pPr>
      <w:r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Od roku 2013 platí MV paušální odměnu ČP ve výši 500 mil. Kč bez DPH za rok</w:t>
      </w:r>
      <w:r w:rsidR="00CA5444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(viz kapitola 1.2 </w:t>
      </w:r>
      <w:r w:rsidR="005923D0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tohoto k</w:t>
      </w:r>
      <w:r w:rsidR="00CA5444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ontrolního závěru)</w:t>
      </w:r>
      <w:r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. ČP </w:t>
      </w:r>
      <w:r w:rsidR="0055592E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hradí </w:t>
      </w:r>
      <w:r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na základě smluvního ujednání s</w:t>
      </w:r>
      <w:r w:rsidR="00BB7C49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vému</w:t>
      </w:r>
      <w:r w:rsidR="00FA2083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</w:t>
      </w:r>
      <w:r w:rsidR="00FC03BC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hlavním</w:t>
      </w:r>
      <w:r w:rsidR="00BB7C49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u</w:t>
      </w:r>
      <w:r w:rsidR="00FC03BC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dodavatel</w:t>
      </w:r>
      <w:r w:rsidR="00BB7C49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i</w:t>
      </w:r>
      <w:r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 xml:space="preserve"> částku 415 mil.</w:t>
      </w:r>
      <w:r w:rsidR="00BB7C49"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 </w:t>
      </w:r>
      <w:r w:rsidRPr="003E52AE">
        <w:rPr>
          <w:rStyle w:val="Zdraznnintenzivn"/>
          <w:rFonts w:ascii="Arial" w:hAnsi="Arial" w:cs="Arial"/>
          <w:b w:val="0"/>
          <w:color w:val="auto"/>
          <w:spacing w:val="0"/>
          <w:sz w:val="22"/>
          <w:szCs w:val="22"/>
        </w:rPr>
        <w:t>Kč bez DPH za rok.</w:t>
      </w:r>
    </w:p>
    <w:p w:rsidR="00546FD4" w:rsidRPr="003E52AE" w:rsidRDefault="00546FD4" w:rsidP="008908A8">
      <w:pPr>
        <w:rPr>
          <w:rFonts w:ascii="Arial" w:hAnsi="Arial" w:cs="Arial"/>
          <w:sz w:val="22"/>
        </w:rPr>
      </w:pP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546FD4" w:rsidRPr="003E52AE" w:rsidRDefault="0016196F" w:rsidP="008908A8">
      <w:pPr>
        <w:jc w:val="center"/>
        <w:rPr>
          <w:rFonts w:ascii="Arial" w:hAnsi="Arial" w:cs="Arial"/>
          <w:b/>
          <w:szCs w:val="24"/>
        </w:rPr>
      </w:pPr>
      <w:r w:rsidRPr="003E52AE">
        <w:rPr>
          <w:rFonts w:ascii="Arial" w:hAnsi="Arial" w:cs="Arial"/>
          <w:b/>
          <w:szCs w:val="24"/>
        </w:rPr>
        <w:t>I</w:t>
      </w:r>
      <w:r w:rsidR="00E6723D" w:rsidRPr="003E52AE">
        <w:rPr>
          <w:rFonts w:ascii="Arial" w:hAnsi="Arial" w:cs="Arial"/>
          <w:b/>
          <w:szCs w:val="24"/>
        </w:rPr>
        <w:t>II</w:t>
      </w:r>
      <w:r w:rsidRPr="003E52AE">
        <w:rPr>
          <w:rFonts w:ascii="Arial" w:hAnsi="Arial" w:cs="Arial"/>
          <w:b/>
          <w:szCs w:val="24"/>
        </w:rPr>
        <w:t>. Shrnutí</w:t>
      </w:r>
      <w:r w:rsidR="00546FD4" w:rsidRPr="003E52AE">
        <w:rPr>
          <w:rFonts w:ascii="Arial" w:hAnsi="Arial" w:cs="Arial"/>
          <w:b/>
          <w:szCs w:val="24"/>
        </w:rPr>
        <w:t xml:space="preserve"> a vyhodnocení</w:t>
      </w:r>
    </w:p>
    <w:p w:rsidR="00546FD4" w:rsidRPr="003E52AE" w:rsidRDefault="00546FD4" w:rsidP="008908A8">
      <w:pPr>
        <w:rPr>
          <w:rFonts w:ascii="Arial" w:hAnsi="Arial" w:cs="Arial"/>
          <w:sz w:val="22"/>
        </w:rPr>
      </w:pPr>
    </w:p>
    <w:p w:rsidR="00A86451" w:rsidRPr="003E52AE" w:rsidRDefault="0066718D" w:rsidP="008908A8">
      <w:pPr>
        <w:rPr>
          <w:rFonts w:ascii="Arial" w:hAnsi="Arial" w:cs="Arial"/>
          <w:bCs/>
          <w:iCs/>
          <w:sz w:val="22"/>
        </w:rPr>
      </w:pPr>
      <w:r w:rsidRPr="003E52AE">
        <w:rPr>
          <w:rFonts w:ascii="Arial" w:hAnsi="Arial" w:cs="Arial"/>
          <w:sz w:val="22"/>
        </w:rPr>
        <w:t>Ministerstvo vnitra</w:t>
      </w:r>
      <w:r w:rsidR="00A86451" w:rsidRPr="003E52AE">
        <w:rPr>
          <w:rFonts w:ascii="Arial" w:hAnsi="Arial" w:cs="Arial"/>
          <w:bCs/>
          <w:iCs/>
          <w:sz w:val="22"/>
        </w:rPr>
        <w:t xml:space="preserve"> při zřízení a provozování systému </w:t>
      </w:r>
      <w:r w:rsidR="00FD1C4C" w:rsidRPr="003E52AE">
        <w:rPr>
          <w:rFonts w:ascii="Arial" w:hAnsi="Arial" w:cs="Arial"/>
          <w:bCs/>
          <w:iCs/>
          <w:sz w:val="22"/>
        </w:rPr>
        <w:t>datových schránek</w:t>
      </w:r>
      <w:r w:rsidR="00A86451" w:rsidRPr="003E52AE">
        <w:rPr>
          <w:rFonts w:ascii="Arial" w:hAnsi="Arial" w:cs="Arial"/>
          <w:bCs/>
          <w:iCs/>
          <w:sz w:val="22"/>
        </w:rPr>
        <w:t xml:space="preserve"> a informačního systému DS </w:t>
      </w:r>
      <w:r w:rsidR="004C65EA" w:rsidRPr="003E52AE">
        <w:rPr>
          <w:rFonts w:ascii="Arial" w:hAnsi="Arial" w:cs="Arial"/>
          <w:bCs/>
          <w:iCs/>
          <w:sz w:val="22"/>
        </w:rPr>
        <w:t xml:space="preserve">sice </w:t>
      </w:r>
      <w:r w:rsidR="00A86451" w:rsidRPr="003E52AE">
        <w:rPr>
          <w:rFonts w:ascii="Arial" w:hAnsi="Arial" w:cs="Arial"/>
          <w:bCs/>
          <w:iCs/>
          <w:sz w:val="22"/>
        </w:rPr>
        <w:t>naplnilo požadavky zákona č. 300/2008 Sb.</w:t>
      </w:r>
      <w:r w:rsidR="007B2029" w:rsidRPr="003E52AE">
        <w:rPr>
          <w:rFonts w:ascii="Arial" w:hAnsi="Arial" w:cs="Arial"/>
          <w:bCs/>
          <w:iCs/>
          <w:sz w:val="22"/>
        </w:rPr>
        <w:t xml:space="preserve">, když </w:t>
      </w:r>
      <w:r w:rsidR="004C65EA" w:rsidRPr="003E52AE">
        <w:rPr>
          <w:rFonts w:ascii="Arial" w:hAnsi="Arial" w:cs="Arial"/>
          <w:bCs/>
          <w:iCs/>
          <w:sz w:val="22"/>
        </w:rPr>
        <w:t>p</w:t>
      </w:r>
      <w:r w:rsidR="00A86451" w:rsidRPr="003E52AE">
        <w:rPr>
          <w:rFonts w:ascii="Arial" w:hAnsi="Arial" w:cs="Arial"/>
          <w:bCs/>
          <w:iCs/>
          <w:sz w:val="22"/>
        </w:rPr>
        <w:t>rovozováním systému DS pověřilo Českou poštu, s.</w:t>
      </w:r>
      <w:r w:rsidR="00995D10" w:rsidRPr="003E52AE">
        <w:rPr>
          <w:rFonts w:ascii="Arial" w:hAnsi="Arial" w:cs="Arial"/>
          <w:bCs/>
          <w:iCs/>
          <w:sz w:val="22"/>
        </w:rPr>
        <w:t> </w:t>
      </w:r>
      <w:r w:rsidR="00A86451" w:rsidRPr="003E52AE">
        <w:rPr>
          <w:rFonts w:ascii="Arial" w:hAnsi="Arial" w:cs="Arial"/>
          <w:bCs/>
          <w:iCs/>
          <w:sz w:val="22"/>
        </w:rPr>
        <w:t xml:space="preserve">p., která je </w:t>
      </w:r>
      <w:r w:rsidR="00932427" w:rsidRPr="003E52AE">
        <w:rPr>
          <w:rFonts w:ascii="Arial" w:hAnsi="Arial" w:cs="Arial"/>
          <w:bCs/>
          <w:iCs/>
          <w:sz w:val="22"/>
        </w:rPr>
        <w:t>jedin</w:t>
      </w:r>
      <w:r w:rsidR="00A44D89">
        <w:rPr>
          <w:rFonts w:ascii="Arial" w:hAnsi="Arial" w:cs="Arial"/>
          <w:bCs/>
          <w:iCs/>
          <w:sz w:val="22"/>
        </w:rPr>
        <w:t>ým</w:t>
      </w:r>
      <w:r w:rsidR="00932427" w:rsidRPr="003E52AE">
        <w:rPr>
          <w:rFonts w:ascii="Arial" w:hAnsi="Arial" w:cs="Arial"/>
          <w:bCs/>
          <w:iCs/>
          <w:sz w:val="22"/>
        </w:rPr>
        <w:t xml:space="preserve"> </w:t>
      </w:r>
      <w:r w:rsidR="00A86451" w:rsidRPr="003E52AE">
        <w:rPr>
          <w:rFonts w:ascii="Arial" w:hAnsi="Arial" w:cs="Arial"/>
          <w:bCs/>
          <w:iCs/>
          <w:sz w:val="22"/>
        </w:rPr>
        <w:t>držitel</w:t>
      </w:r>
      <w:r w:rsidR="00A44D89">
        <w:rPr>
          <w:rFonts w:ascii="Arial" w:hAnsi="Arial" w:cs="Arial"/>
          <w:bCs/>
          <w:iCs/>
          <w:sz w:val="22"/>
        </w:rPr>
        <w:t>em</w:t>
      </w:r>
      <w:r w:rsidR="00A86451" w:rsidRPr="003E52AE">
        <w:rPr>
          <w:rFonts w:ascii="Arial" w:hAnsi="Arial" w:cs="Arial"/>
          <w:bCs/>
          <w:iCs/>
          <w:sz w:val="22"/>
        </w:rPr>
        <w:t xml:space="preserve"> poštovní licence</w:t>
      </w:r>
      <w:r w:rsidR="00137892" w:rsidRPr="003E52AE">
        <w:rPr>
          <w:rFonts w:ascii="Arial" w:hAnsi="Arial" w:cs="Arial"/>
          <w:bCs/>
          <w:iCs/>
          <w:sz w:val="22"/>
        </w:rPr>
        <w:t xml:space="preserve"> na území ČR</w:t>
      </w:r>
      <w:r w:rsidR="00A44D89">
        <w:rPr>
          <w:rFonts w:ascii="Arial" w:hAnsi="Arial" w:cs="Arial"/>
          <w:bCs/>
          <w:iCs/>
          <w:sz w:val="22"/>
        </w:rPr>
        <w:t>,</w:t>
      </w:r>
      <w:r w:rsidR="004C65EA" w:rsidRPr="003E52AE">
        <w:rPr>
          <w:rFonts w:ascii="Arial" w:hAnsi="Arial" w:cs="Arial"/>
          <w:bCs/>
          <w:iCs/>
          <w:sz w:val="22"/>
        </w:rPr>
        <w:t xml:space="preserve"> </w:t>
      </w:r>
      <w:r w:rsidR="00A44D89">
        <w:rPr>
          <w:rFonts w:ascii="Arial" w:hAnsi="Arial" w:cs="Arial"/>
          <w:bCs/>
          <w:iCs/>
          <w:sz w:val="22"/>
        </w:rPr>
        <w:t>a</w:t>
      </w:r>
      <w:r w:rsidR="007B2029" w:rsidRPr="003E52AE">
        <w:rPr>
          <w:rFonts w:ascii="Arial" w:hAnsi="Arial" w:cs="Arial"/>
          <w:bCs/>
          <w:iCs/>
          <w:sz w:val="22"/>
        </w:rPr>
        <w:t xml:space="preserve">však </w:t>
      </w:r>
      <w:r w:rsidR="004C65EA" w:rsidRPr="003E52AE">
        <w:rPr>
          <w:rFonts w:ascii="Arial" w:hAnsi="Arial" w:cs="Arial"/>
          <w:bCs/>
          <w:iCs/>
          <w:sz w:val="22"/>
        </w:rPr>
        <w:t xml:space="preserve">provoz systému DS zajišťuje </w:t>
      </w:r>
      <w:r w:rsidR="007B2029" w:rsidRPr="003E52AE">
        <w:rPr>
          <w:rFonts w:ascii="Arial" w:hAnsi="Arial" w:cs="Arial"/>
          <w:bCs/>
          <w:iCs/>
          <w:sz w:val="22"/>
        </w:rPr>
        <w:t xml:space="preserve">ČP </w:t>
      </w:r>
      <w:r w:rsidR="004C65EA" w:rsidRPr="003E52AE">
        <w:rPr>
          <w:rFonts w:ascii="Arial" w:hAnsi="Arial" w:cs="Arial"/>
          <w:bCs/>
          <w:iCs/>
          <w:sz w:val="22"/>
        </w:rPr>
        <w:t xml:space="preserve">prostřednictvím </w:t>
      </w:r>
      <w:r w:rsidR="00A648DD" w:rsidRPr="003E52AE">
        <w:rPr>
          <w:rFonts w:ascii="Arial" w:hAnsi="Arial" w:cs="Arial"/>
          <w:bCs/>
          <w:iCs/>
          <w:sz w:val="22"/>
        </w:rPr>
        <w:t>hlavního dodavatele</w:t>
      </w:r>
      <w:r w:rsidR="004C65EA" w:rsidRPr="003E52AE">
        <w:rPr>
          <w:rFonts w:ascii="Arial" w:hAnsi="Arial" w:cs="Arial"/>
          <w:bCs/>
          <w:iCs/>
          <w:sz w:val="22"/>
        </w:rPr>
        <w:t>, kterým je soukromý subjekt.</w:t>
      </w:r>
    </w:p>
    <w:p w:rsidR="008908A8" w:rsidRPr="003E52AE" w:rsidRDefault="008908A8" w:rsidP="008908A8">
      <w:pPr>
        <w:rPr>
          <w:rFonts w:ascii="Arial" w:hAnsi="Arial" w:cs="Arial"/>
          <w:bCs/>
          <w:iCs/>
          <w:sz w:val="22"/>
        </w:rPr>
      </w:pPr>
    </w:p>
    <w:p w:rsidR="00B01FB5" w:rsidRPr="003E52AE" w:rsidRDefault="00B01FB5" w:rsidP="008908A8">
      <w:pPr>
        <w:pStyle w:val="normlnmezera"/>
        <w:tabs>
          <w:tab w:val="left" w:pos="709"/>
        </w:tabs>
        <w:spacing w:before="0"/>
        <w:rPr>
          <w:rFonts w:cs="Arial"/>
        </w:rPr>
      </w:pPr>
      <w:r w:rsidRPr="003E52AE">
        <w:rPr>
          <w:rFonts w:cs="Arial"/>
          <w:szCs w:val="22"/>
        </w:rPr>
        <w:t xml:space="preserve">Celkové náklady </w:t>
      </w:r>
      <w:r w:rsidR="00CD5CF1" w:rsidRPr="003E52AE">
        <w:rPr>
          <w:rFonts w:cs="Arial"/>
          <w:szCs w:val="22"/>
        </w:rPr>
        <w:t xml:space="preserve">vynaložené ze státního rozpočtu </w:t>
      </w:r>
      <w:r w:rsidRPr="003E52AE">
        <w:rPr>
          <w:rFonts w:cs="Arial"/>
          <w:szCs w:val="22"/>
        </w:rPr>
        <w:t xml:space="preserve">na pořízení a provoz </w:t>
      </w:r>
      <w:r w:rsidRPr="003E52AE">
        <w:rPr>
          <w:rFonts w:cs="Arial"/>
          <w:bCs/>
          <w:iCs/>
          <w:szCs w:val="22"/>
        </w:rPr>
        <w:t xml:space="preserve">datových schránek </w:t>
      </w:r>
      <w:r w:rsidRPr="003E52AE">
        <w:rPr>
          <w:rFonts w:cs="Arial"/>
          <w:szCs w:val="22"/>
        </w:rPr>
        <w:t>v období 2009 až 2012 činily 2</w:t>
      </w:r>
      <w:r w:rsidR="00F5686D" w:rsidRPr="003E52AE">
        <w:rPr>
          <w:rFonts w:cs="Arial"/>
          <w:szCs w:val="22"/>
        </w:rPr>
        <w:t xml:space="preserve"> </w:t>
      </w:r>
      <w:r w:rsidRPr="003E52AE">
        <w:rPr>
          <w:rFonts w:cs="Arial"/>
          <w:szCs w:val="22"/>
        </w:rPr>
        <w:t>924 m</w:t>
      </w:r>
      <w:r w:rsidR="00F5686D" w:rsidRPr="003E52AE">
        <w:rPr>
          <w:rFonts w:cs="Arial"/>
          <w:szCs w:val="22"/>
        </w:rPr>
        <w:t>il</w:t>
      </w:r>
      <w:r w:rsidRPr="003E52AE">
        <w:rPr>
          <w:rFonts w:cs="Arial"/>
          <w:szCs w:val="22"/>
        </w:rPr>
        <w:t xml:space="preserve">. Kč. K 31. </w:t>
      </w:r>
      <w:r w:rsidR="00546FD4" w:rsidRPr="003E52AE">
        <w:rPr>
          <w:rFonts w:cs="Arial"/>
          <w:szCs w:val="22"/>
        </w:rPr>
        <w:t>prosinci</w:t>
      </w:r>
      <w:r w:rsidRPr="003E52AE">
        <w:rPr>
          <w:rFonts w:cs="Arial"/>
          <w:szCs w:val="22"/>
        </w:rPr>
        <w:t xml:space="preserve"> 2012 bylo zřízeno celkem 504</w:t>
      </w:r>
      <w:r w:rsidR="008908A8" w:rsidRPr="003E52AE">
        <w:rPr>
          <w:rFonts w:cs="Arial"/>
          <w:szCs w:val="22"/>
        </w:rPr>
        <w:t> </w:t>
      </w:r>
      <w:r w:rsidRPr="003E52AE">
        <w:rPr>
          <w:rFonts w:cs="Arial"/>
          <w:szCs w:val="22"/>
        </w:rPr>
        <w:t>207</w:t>
      </w:r>
      <w:r w:rsidR="008908A8" w:rsidRPr="003E52AE">
        <w:rPr>
          <w:rFonts w:cs="Arial"/>
          <w:szCs w:val="22"/>
        </w:rPr>
        <w:t> </w:t>
      </w:r>
      <w:r w:rsidRPr="003E52AE">
        <w:rPr>
          <w:rFonts w:cs="Arial"/>
          <w:szCs w:val="22"/>
        </w:rPr>
        <w:t xml:space="preserve">datových schránek. </w:t>
      </w:r>
      <w:r w:rsidR="00913BF6" w:rsidRPr="003E52AE">
        <w:rPr>
          <w:rFonts w:cs="Arial"/>
          <w:szCs w:val="22"/>
        </w:rPr>
        <w:t xml:space="preserve">Od 1. ledna 2013 činí roční náklady na provoz DS </w:t>
      </w:r>
      <w:r w:rsidR="00CD5CF1" w:rsidRPr="003E52AE">
        <w:rPr>
          <w:rFonts w:cs="Arial"/>
          <w:szCs w:val="22"/>
        </w:rPr>
        <w:t xml:space="preserve">hrazené ze státního rozpočtu </w:t>
      </w:r>
      <w:r w:rsidR="00913BF6" w:rsidRPr="003E52AE">
        <w:rPr>
          <w:rFonts w:cs="Arial"/>
          <w:szCs w:val="22"/>
        </w:rPr>
        <w:t>5</w:t>
      </w:r>
      <w:r w:rsidR="00F5686D" w:rsidRPr="003E52AE">
        <w:rPr>
          <w:rFonts w:cs="Arial"/>
          <w:szCs w:val="22"/>
        </w:rPr>
        <w:t>00</w:t>
      </w:r>
      <w:r w:rsidR="00913BF6" w:rsidRPr="003E52AE">
        <w:rPr>
          <w:rFonts w:cs="Arial"/>
          <w:szCs w:val="22"/>
        </w:rPr>
        <w:t> m</w:t>
      </w:r>
      <w:r w:rsidR="00F5686D" w:rsidRPr="003E52AE">
        <w:rPr>
          <w:rFonts w:cs="Arial"/>
          <w:szCs w:val="22"/>
        </w:rPr>
        <w:t>il</w:t>
      </w:r>
      <w:r w:rsidR="008908A8" w:rsidRPr="003E52AE">
        <w:rPr>
          <w:rFonts w:cs="Arial"/>
          <w:szCs w:val="22"/>
        </w:rPr>
        <w:t>. </w:t>
      </w:r>
      <w:r w:rsidR="00913BF6" w:rsidRPr="003E52AE">
        <w:rPr>
          <w:rFonts w:cs="Arial"/>
          <w:szCs w:val="22"/>
        </w:rPr>
        <w:t xml:space="preserve">Kč bez DPH. </w:t>
      </w:r>
      <w:r w:rsidRPr="003E52AE">
        <w:rPr>
          <w:rFonts w:cs="Arial"/>
          <w:szCs w:val="22"/>
        </w:rPr>
        <w:t xml:space="preserve">V roce 2012 uskutečnily </w:t>
      </w:r>
      <w:r w:rsidR="00913BF6" w:rsidRPr="003E52AE">
        <w:rPr>
          <w:rFonts w:cs="Arial"/>
          <w:szCs w:val="22"/>
        </w:rPr>
        <w:t xml:space="preserve">státní orgány a ostatní </w:t>
      </w:r>
      <w:r w:rsidRPr="003E52AE">
        <w:rPr>
          <w:rFonts w:cs="Arial"/>
          <w:szCs w:val="22"/>
        </w:rPr>
        <w:t xml:space="preserve">OVM celkem </w:t>
      </w:r>
      <w:r w:rsidRPr="003E52AE">
        <w:rPr>
          <w:rFonts w:cs="Arial"/>
        </w:rPr>
        <w:t xml:space="preserve">28 208 989 </w:t>
      </w:r>
      <w:r w:rsidRPr="003E52AE">
        <w:rPr>
          <w:rFonts w:cs="Arial"/>
          <w:szCs w:val="22"/>
        </w:rPr>
        <w:t>transakcí</w:t>
      </w:r>
      <w:r w:rsidR="00CD5CF1" w:rsidRPr="003E52AE">
        <w:rPr>
          <w:rFonts w:cs="Arial"/>
          <w:szCs w:val="22"/>
        </w:rPr>
        <w:t xml:space="preserve"> (datových zpráv)</w:t>
      </w:r>
      <w:r w:rsidRPr="003E52AE">
        <w:rPr>
          <w:rFonts w:cs="Arial"/>
          <w:szCs w:val="22"/>
        </w:rPr>
        <w:t xml:space="preserve">. </w:t>
      </w:r>
      <w:r w:rsidR="00CD5CF1" w:rsidRPr="003E52AE">
        <w:rPr>
          <w:rFonts w:cs="Arial"/>
        </w:rPr>
        <w:t>Za předpokladu, že v roce 2013 bude odeslán stejný počet datových zpráv státních orgánů a ostatních OVM jako v roce 2012, bude poplatek za jednu odeslanou datovou zprávu činit 17,72 Kč bez DPH.</w:t>
      </w:r>
    </w:p>
    <w:p w:rsidR="008908A8" w:rsidRPr="003E52AE" w:rsidRDefault="008908A8" w:rsidP="008908A8">
      <w:pPr>
        <w:pStyle w:val="normlnmezera"/>
        <w:tabs>
          <w:tab w:val="left" w:pos="709"/>
        </w:tabs>
        <w:spacing w:before="0"/>
        <w:rPr>
          <w:rFonts w:cs="Arial"/>
        </w:rPr>
      </w:pPr>
    </w:p>
    <w:p w:rsidR="00A86451" w:rsidRPr="003E52AE" w:rsidRDefault="0066718D" w:rsidP="008908A8">
      <w:pPr>
        <w:rPr>
          <w:rFonts w:ascii="Arial" w:hAnsi="Arial" w:cs="Arial"/>
          <w:bCs/>
          <w:iCs/>
          <w:sz w:val="22"/>
        </w:rPr>
      </w:pPr>
      <w:r w:rsidRPr="003E52AE">
        <w:rPr>
          <w:rFonts w:ascii="Arial" w:hAnsi="Arial" w:cs="Arial"/>
          <w:sz w:val="22"/>
        </w:rPr>
        <w:t>Ministerstvo vnitra</w:t>
      </w:r>
      <w:r w:rsidRPr="003E52AE">
        <w:rPr>
          <w:rFonts w:ascii="Arial" w:hAnsi="Arial" w:cs="Arial"/>
          <w:bCs/>
          <w:iCs/>
          <w:sz w:val="22"/>
        </w:rPr>
        <w:t xml:space="preserve"> </w:t>
      </w:r>
      <w:r w:rsidR="00A86451" w:rsidRPr="003E52AE">
        <w:rPr>
          <w:rFonts w:ascii="Arial" w:hAnsi="Arial" w:cs="Arial"/>
          <w:bCs/>
          <w:iCs/>
          <w:sz w:val="22"/>
        </w:rPr>
        <w:t xml:space="preserve">se nezabývalo vyhodnocováním nákladů a úspor, které měly v souvislosti se zavedením a provozem </w:t>
      </w:r>
      <w:r w:rsidR="00FD1C4C" w:rsidRPr="003E52AE">
        <w:rPr>
          <w:rFonts w:ascii="Arial" w:hAnsi="Arial" w:cs="Arial"/>
          <w:bCs/>
          <w:iCs/>
          <w:sz w:val="22"/>
        </w:rPr>
        <w:t xml:space="preserve">datových schránek </w:t>
      </w:r>
      <w:r w:rsidR="00A44D89">
        <w:rPr>
          <w:rFonts w:ascii="Arial" w:hAnsi="Arial" w:cs="Arial"/>
          <w:bCs/>
          <w:iCs/>
          <w:sz w:val="22"/>
        </w:rPr>
        <w:t>vzniknout</w:t>
      </w:r>
      <w:r w:rsidR="00A86451" w:rsidRPr="003E52AE">
        <w:rPr>
          <w:rFonts w:ascii="Arial" w:hAnsi="Arial" w:cs="Arial"/>
          <w:bCs/>
          <w:iCs/>
          <w:sz w:val="22"/>
        </w:rPr>
        <w:t xml:space="preserve"> jejich uživatelům. MV tyto úspory nesledovalo ani ve svém vlastním resortu. Kontrol</w:t>
      </w:r>
      <w:r w:rsidR="00741AC8" w:rsidRPr="003E52AE">
        <w:rPr>
          <w:rFonts w:ascii="Arial" w:hAnsi="Arial" w:cs="Arial"/>
          <w:bCs/>
          <w:iCs/>
          <w:sz w:val="22"/>
        </w:rPr>
        <w:t>e</w:t>
      </w:r>
      <w:r w:rsidR="00A86451" w:rsidRPr="003E52AE">
        <w:rPr>
          <w:rFonts w:ascii="Arial" w:hAnsi="Arial" w:cs="Arial"/>
          <w:bCs/>
          <w:iCs/>
          <w:sz w:val="22"/>
        </w:rPr>
        <w:t xml:space="preserve"> NKÚ tak nebyl</w:t>
      </w:r>
      <w:r w:rsidR="00741AC8" w:rsidRPr="003E52AE">
        <w:rPr>
          <w:rFonts w:ascii="Arial" w:hAnsi="Arial" w:cs="Arial"/>
          <w:bCs/>
          <w:iCs/>
          <w:sz w:val="22"/>
        </w:rPr>
        <w:t xml:space="preserve">y MV předloženy </w:t>
      </w:r>
      <w:r w:rsidR="00741AC8" w:rsidRPr="003E52AE">
        <w:rPr>
          <w:rFonts w:ascii="Arial" w:hAnsi="Arial" w:cs="Arial"/>
          <w:bCs/>
          <w:iCs/>
          <w:sz w:val="22"/>
        </w:rPr>
        <w:lastRenderedPageBreak/>
        <w:t>podklady, na jejichž základě by bylo</w:t>
      </w:r>
      <w:r w:rsidR="00A86451" w:rsidRPr="003E52AE">
        <w:rPr>
          <w:rFonts w:ascii="Arial" w:hAnsi="Arial" w:cs="Arial"/>
          <w:bCs/>
          <w:iCs/>
          <w:sz w:val="22"/>
        </w:rPr>
        <w:t xml:space="preserve"> možné vyhodnotit, zda provozování systému DS přineslo předpokládané úspory, které měly </w:t>
      </w:r>
      <w:r w:rsidR="006B2FE8" w:rsidRPr="003E52AE">
        <w:rPr>
          <w:rFonts w:ascii="Arial" w:hAnsi="Arial" w:cs="Arial"/>
          <w:bCs/>
          <w:iCs/>
          <w:sz w:val="22"/>
        </w:rPr>
        <w:t xml:space="preserve">u uživatelů DS </w:t>
      </w:r>
      <w:r w:rsidR="00B33563" w:rsidRPr="003E52AE">
        <w:rPr>
          <w:rFonts w:ascii="Arial" w:hAnsi="Arial" w:cs="Arial"/>
          <w:bCs/>
          <w:iCs/>
          <w:sz w:val="22"/>
        </w:rPr>
        <w:t>podle odhadu uvedeného v </w:t>
      </w:r>
      <w:r w:rsidR="00A86451" w:rsidRPr="003E52AE">
        <w:rPr>
          <w:rFonts w:ascii="Arial" w:hAnsi="Arial" w:cs="Arial"/>
          <w:bCs/>
          <w:iCs/>
          <w:sz w:val="22"/>
        </w:rPr>
        <w:t xml:space="preserve">důvodové zprávě k návrhu zákona č. 300/2008 Sb. dosahovat </w:t>
      </w:r>
      <w:r w:rsidR="006B2FE8" w:rsidRPr="003E52AE">
        <w:rPr>
          <w:rFonts w:ascii="Arial" w:hAnsi="Arial" w:cs="Arial"/>
          <w:bCs/>
          <w:iCs/>
          <w:sz w:val="22"/>
        </w:rPr>
        <w:t>několika miliard Kč</w:t>
      </w:r>
      <w:r w:rsidR="00A86451" w:rsidRPr="003E52AE">
        <w:rPr>
          <w:rFonts w:ascii="Arial" w:hAnsi="Arial" w:cs="Arial"/>
          <w:bCs/>
          <w:iCs/>
          <w:sz w:val="22"/>
        </w:rPr>
        <w:t>.</w:t>
      </w:r>
    </w:p>
    <w:p w:rsidR="008908A8" w:rsidRPr="003E52AE" w:rsidRDefault="008908A8" w:rsidP="008908A8">
      <w:pPr>
        <w:rPr>
          <w:rFonts w:ascii="Arial" w:hAnsi="Arial" w:cs="Arial"/>
          <w:bCs/>
          <w:iCs/>
          <w:sz w:val="22"/>
        </w:rPr>
      </w:pPr>
    </w:p>
    <w:p w:rsidR="00A86451" w:rsidRPr="003E52AE" w:rsidRDefault="00DA3226" w:rsidP="008908A8">
      <w:pPr>
        <w:rPr>
          <w:rFonts w:ascii="Arial" w:hAnsi="Arial" w:cs="Arial"/>
          <w:bCs/>
          <w:iCs/>
          <w:sz w:val="22"/>
        </w:rPr>
      </w:pPr>
      <w:r w:rsidRPr="003E52AE">
        <w:rPr>
          <w:rFonts w:ascii="Arial" w:hAnsi="Arial" w:cs="Arial"/>
          <w:sz w:val="22"/>
        </w:rPr>
        <w:t>Ministerstvo vnitra</w:t>
      </w:r>
      <w:r w:rsidRPr="003E52AE">
        <w:rPr>
          <w:rFonts w:ascii="Arial" w:hAnsi="Arial" w:cs="Arial"/>
          <w:bCs/>
          <w:iCs/>
          <w:sz w:val="22"/>
        </w:rPr>
        <w:t xml:space="preserve"> </w:t>
      </w:r>
      <w:r w:rsidR="00A006FE" w:rsidRPr="003E52AE">
        <w:rPr>
          <w:rFonts w:ascii="Arial" w:hAnsi="Arial" w:cs="Arial"/>
          <w:bCs/>
          <w:iCs/>
          <w:sz w:val="22"/>
        </w:rPr>
        <w:t>objektivně nevyhodnotilo</w:t>
      </w:r>
      <w:r w:rsidR="00A86451" w:rsidRPr="003E52AE">
        <w:rPr>
          <w:rFonts w:ascii="Arial" w:hAnsi="Arial" w:cs="Arial"/>
          <w:bCs/>
          <w:iCs/>
          <w:sz w:val="22"/>
        </w:rPr>
        <w:t xml:space="preserve">, </w:t>
      </w:r>
      <w:r w:rsidR="00A006FE" w:rsidRPr="003E52AE">
        <w:rPr>
          <w:rFonts w:ascii="Arial" w:hAnsi="Arial" w:cs="Arial"/>
          <w:bCs/>
          <w:iCs/>
          <w:sz w:val="22"/>
        </w:rPr>
        <w:t>zda</w:t>
      </w:r>
      <w:r w:rsidR="00A86451" w:rsidRPr="003E52AE">
        <w:rPr>
          <w:rFonts w:ascii="Arial" w:hAnsi="Arial" w:cs="Arial"/>
          <w:bCs/>
          <w:iCs/>
          <w:sz w:val="22"/>
        </w:rPr>
        <w:t xml:space="preserve"> zavedení systému </w:t>
      </w:r>
      <w:r w:rsidR="00FD1C4C" w:rsidRPr="003E52AE">
        <w:rPr>
          <w:rFonts w:ascii="Arial" w:hAnsi="Arial" w:cs="Arial"/>
          <w:bCs/>
          <w:iCs/>
          <w:sz w:val="22"/>
        </w:rPr>
        <w:t xml:space="preserve">datových schránek </w:t>
      </w:r>
      <w:r w:rsidR="00A86451" w:rsidRPr="003E52AE">
        <w:rPr>
          <w:rFonts w:ascii="Arial" w:hAnsi="Arial" w:cs="Arial"/>
          <w:bCs/>
          <w:iCs/>
          <w:sz w:val="22"/>
        </w:rPr>
        <w:t xml:space="preserve">vedlo k předpokládaným přínosům v podobě zkrácení řízení u </w:t>
      </w:r>
      <w:r w:rsidR="00512382" w:rsidRPr="003E52AE">
        <w:rPr>
          <w:rFonts w:ascii="Arial" w:hAnsi="Arial" w:cs="Arial"/>
          <w:bCs/>
          <w:iCs/>
          <w:sz w:val="22"/>
        </w:rPr>
        <w:t>orgánů veřejné moci</w:t>
      </w:r>
      <w:r w:rsidR="00A86451" w:rsidRPr="003E52AE">
        <w:rPr>
          <w:rFonts w:ascii="Arial" w:hAnsi="Arial" w:cs="Arial"/>
          <w:bCs/>
          <w:iCs/>
          <w:sz w:val="22"/>
        </w:rPr>
        <w:t xml:space="preserve"> a zefektivnění výkonu</w:t>
      </w:r>
      <w:r w:rsidR="00512382" w:rsidRPr="003E52AE">
        <w:rPr>
          <w:rFonts w:ascii="Arial" w:hAnsi="Arial" w:cs="Arial"/>
          <w:bCs/>
          <w:iCs/>
          <w:sz w:val="22"/>
        </w:rPr>
        <w:t xml:space="preserve"> jejich</w:t>
      </w:r>
      <w:r w:rsidR="00A86451" w:rsidRPr="003E52AE">
        <w:rPr>
          <w:rFonts w:ascii="Arial" w:hAnsi="Arial" w:cs="Arial"/>
          <w:bCs/>
          <w:iCs/>
          <w:sz w:val="22"/>
        </w:rPr>
        <w:t xml:space="preserve"> činností</w:t>
      </w:r>
      <w:r w:rsidR="00512382" w:rsidRPr="003E52AE">
        <w:rPr>
          <w:rFonts w:ascii="Arial" w:hAnsi="Arial" w:cs="Arial"/>
          <w:bCs/>
          <w:iCs/>
          <w:sz w:val="22"/>
        </w:rPr>
        <w:t>.</w:t>
      </w:r>
    </w:p>
    <w:p w:rsidR="008908A8" w:rsidRPr="003E52AE" w:rsidRDefault="008908A8" w:rsidP="008908A8">
      <w:pPr>
        <w:rPr>
          <w:rFonts w:ascii="Arial" w:hAnsi="Arial" w:cs="Arial"/>
          <w:bCs/>
          <w:iCs/>
          <w:sz w:val="22"/>
        </w:rPr>
      </w:pPr>
    </w:p>
    <w:p w:rsidR="00C12525" w:rsidRPr="003E52AE" w:rsidRDefault="00C12525" w:rsidP="008908A8">
      <w:pPr>
        <w:pStyle w:val="normlnmezera"/>
        <w:tabs>
          <w:tab w:val="left" w:pos="709"/>
        </w:tabs>
        <w:spacing w:before="0"/>
        <w:rPr>
          <w:rFonts w:cs="Arial"/>
          <w:szCs w:val="22"/>
        </w:rPr>
      </w:pPr>
      <w:r w:rsidRPr="003E52AE">
        <w:rPr>
          <w:rFonts w:cs="Arial"/>
          <w:szCs w:val="22"/>
        </w:rPr>
        <w:t>Ministerstvo vnitra</w:t>
      </w:r>
      <w:r w:rsidRPr="003E52AE">
        <w:rPr>
          <w:rFonts w:cs="Arial"/>
          <w:bCs/>
          <w:iCs/>
          <w:szCs w:val="22"/>
        </w:rPr>
        <w:t xml:space="preserve"> uzavřelo s</w:t>
      </w:r>
      <w:r w:rsidRPr="003E52AE">
        <w:rPr>
          <w:rFonts w:cs="Arial"/>
          <w:szCs w:val="22"/>
        </w:rPr>
        <w:t> Českou poštou, s.</w:t>
      </w:r>
      <w:r w:rsidR="00995D10" w:rsidRPr="003E52AE">
        <w:rPr>
          <w:rFonts w:cs="Arial"/>
          <w:szCs w:val="22"/>
        </w:rPr>
        <w:t> </w:t>
      </w:r>
      <w:r w:rsidRPr="003E52AE">
        <w:rPr>
          <w:rFonts w:cs="Arial"/>
          <w:szCs w:val="22"/>
        </w:rPr>
        <w:t xml:space="preserve">p., </w:t>
      </w:r>
      <w:r w:rsidR="00335520">
        <w:rPr>
          <w:rFonts w:cs="Arial"/>
          <w:szCs w:val="22"/>
        </w:rPr>
        <w:t>s</w:t>
      </w:r>
      <w:r w:rsidRPr="003E52AE">
        <w:rPr>
          <w:rFonts w:cs="Arial"/>
          <w:szCs w:val="22"/>
        </w:rPr>
        <w:t>mlouvu</w:t>
      </w:r>
      <w:r w:rsidR="00F71629" w:rsidRPr="003E52AE">
        <w:rPr>
          <w:rFonts w:cs="Arial"/>
          <w:szCs w:val="22"/>
        </w:rPr>
        <w:t>,</w:t>
      </w:r>
      <w:r w:rsidR="007B2029" w:rsidRPr="003E52AE">
        <w:rPr>
          <w:rFonts w:cs="Arial"/>
          <w:szCs w:val="22"/>
        </w:rPr>
        <w:t xml:space="preserve"> která neobsahuje </w:t>
      </w:r>
      <w:r w:rsidR="00F71629" w:rsidRPr="003E52AE">
        <w:rPr>
          <w:rFonts w:cs="Arial"/>
          <w:szCs w:val="22"/>
        </w:rPr>
        <w:t xml:space="preserve">povinnost </w:t>
      </w:r>
      <w:r w:rsidRPr="003E52AE">
        <w:rPr>
          <w:rFonts w:cs="Arial"/>
          <w:szCs w:val="22"/>
        </w:rPr>
        <w:t>nastav</w:t>
      </w:r>
      <w:r w:rsidR="00A44D89">
        <w:rPr>
          <w:rFonts w:cs="Arial"/>
          <w:szCs w:val="22"/>
        </w:rPr>
        <w:t>it</w:t>
      </w:r>
      <w:r w:rsidRPr="003E52AE">
        <w:rPr>
          <w:rFonts w:cs="Arial"/>
          <w:szCs w:val="22"/>
        </w:rPr>
        <w:t xml:space="preserve"> nižší cen</w:t>
      </w:r>
      <w:r w:rsidR="00A44D89">
        <w:rPr>
          <w:rFonts w:cs="Arial"/>
          <w:szCs w:val="22"/>
        </w:rPr>
        <w:t>u</w:t>
      </w:r>
      <w:r w:rsidRPr="003E52AE">
        <w:rPr>
          <w:rFonts w:cs="Arial"/>
          <w:szCs w:val="22"/>
        </w:rPr>
        <w:t xml:space="preserve"> za transakci bezprostředně po překročení hraničního počtu transakcí, ale až od prvního dne následujícího čtvrtletí. MV tak uhradilo</w:t>
      </w:r>
      <w:r w:rsidRPr="003E52AE">
        <w:rPr>
          <w:rFonts w:cs="Arial"/>
          <w:bCs/>
          <w:iCs/>
        </w:rPr>
        <w:t xml:space="preserve"> </w:t>
      </w:r>
      <w:r w:rsidR="00F71629" w:rsidRPr="003E52AE">
        <w:rPr>
          <w:rFonts w:cs="Arial"/>
          <w:bCs/>
          <w:iCs/>
        </w:rPr>
        <w:t xml:space="preserve">navíc </w:t>
      </w:r>
      <w:r w:rsidRPr="003E52AE">
        <w:rPr>
          <w:rFonts w:cs="Arial"/>
          <w:bCs/>
          <w:iCs/>
        </w:rPr>
        <w:t>12 mil. Kč bez DPH</w:t>
      </w:r>
      <w:r w:rsidRPr="003E52AE">
        <w:rPr>
          <w:rFonts w:cs="Arial"/>
          <w:szCs w:val="22"/>
        </w:rPr>
        <w:t>.</w:t>
      </w:r>
    </w:p>
    <w:p w:rsidR="008908A8" w:rsidRPr="003E52AE" w:rsidRDefault="008908A8" w:rsidP="008908A8">
      <w:pPr>
        <w:pStyle w:val="normlnmezera"/>
        <w:tabs>
          <w:tab w:val="left" w:pos="709"/>
        </w:tabs>
        <w:spacing w:before="0"/>
        <w:rPr>
          <w:rFonts w:cs="Arial"/>
          <w:szCs w:val="22"/>
        </w:rPr>
      </w:pPr>
    </w:p>
    <w:p w:rsidR="00061094" w:rsidRPr="003E52AE" w:rsidRDefault="00061094" w:rsidP="008908A8">
      <w:pPr>
        <w:pStyle w:val="normlnmezera"/>
        <w:tabs>
          <w:tab w:val="left" w:pos="709"/>
        </w:tabs>
        <w:spacing w:before="0"/>
        <w:rPr>
          <w:rFonts w:cs="Arial"/>
        </w:rPr>
      </w:pPr>
      <w:r w:rsidRPr="003E52AE">
        <w:rPr>
          <w:rFonts w:cs="Arial"/>
          <w:szCs w:val="22"/>
        </w:rPr>
        <w:t>Do doby ukončení kontroly NKÚ Ministerstvo vnitra nepořídilo licenc</w:t>
      </w:r>
      <w:r w:rsidR="00A44D89">
        <w:rPr>
          <w:rFonts w:cs="Arial"/>
          <w:szCs w:val="22"/>
        </w:rPr>
        <w:t>e</w:t>
      </w:r>
      <w:r w:rsidRPr="003E52AE">
        <w:rPr>
          <w:rFonts w:cs="Arial"/>
          <w:szCs w:val="22"/>
        </w:rPr>
        <w:t xml:space="preserve"> k softwar</w:t>
      </w:r>
      <w:r w:rsidR="00A44D89">
        <w:rPr>
          <w:rFonts w:cs="Arial"/>
          <w:szCs w:val="22"/>
        </w:rPr>
        <w:t>u a </w:t>
      </w:r>
      <w:r w:rsidRPr="003E52AE">
        <w:rPr>
          <w:rFonts w:cs="Arial"/>
          <w:szCs w:val="22"/>
        </w:rPr>
        <w:t xml:space="preserve">databázím systému DS, udržitelnost </w:t>
      </w:r>
      <w:r w:rsidRPr="003E52AE">
        <w:rPr>
          <w:rFonts w:cs="Arial"/>
        </w:rPr>
        <w:t xml:space="preserve">systému DS </w:t>
      </w:r>
      <w:r w:rsidRPr="003E52AE">
        <w:rPr>
          <w:rFonts w:cs="Arial"/>
          <w:szCs w:val="22"/>
        </w:rPr>
        <w:t xml:space="preserve">je tak zatím zajištěna pouze na smluvním základě mezi MV a ČP do konce roku 2017. </w:t>
      </w:r>
      <w:r w:rsidRPr="003E52AE">
        <w:rPr>
          <w:rFonts w:cs="Arial"/>
        </w:rPr>
        <w:t>V případě liberalizace poštovního trhu tak vznikne riziko, že MV bude mít ztížené podmínky výběru dodavatele. Další rizika mohou nastat v případě privatizace ČP.</w:t>
      </w:r>
    </w:p>
    <w:p w:rsidR="008908A8" w:rsidRPr="003E52AE" w:rsidRDefault="008908A8" w:rsidP="008908A8">
      <w:pPr>
        <w:pStyle w:val="normlnmezera"/>
        <w:tabs>
          <w:tab w:val="left" w:pos="709"/>
        </w:tabs>
        <w:spacing w:before="0"/>
        <w:rPr>
          <w:rFonts w:cs="Arial"/>
          <w:szCs w:val="22"/>
        </w:rPr>
      </w:pPr>
    </w:p>
    <w:p w:rsidR="0093107C" w:rsidRPr="003E52AE" w:rsidRDefault="00821172" w:rsidP="008908A8">
      <w:pPr>
        <w:rPr>
          <w:rFonts w:ascii="Arial" w:hAnsi="Arial" w:cs="Arial"/>
          <w:bCs/>
          <w:sz w:val="22"/>
          <w:lang w:eastAsia="cs-CZ"/>
        </w:rPr>
      </w:pPr>
      <w:r w:rsidRPr="003E52AE">
        <w:rPr>
          <w:rFonts w:ascii="Arial" w:hAnsi="Arial" w:cs="Arial"/>
          <w:sz w:val="22"/>
        </w:rPr>
        <w:t xml:space="preserve">Zákon č. 300/2008 Sb. zahrnul do kategorie </w:t>
      </w:r>
      <w:r w:rsidR="00DA3226" w:rsidRPr="003E52AE">
        <w:rPr>
          <w:rFonts w:ascii="Arial" w:hAnsi="Arial" w:cs="Arial"/>
          <w:sz w:val="22"/>
        </w:rPr>
        <w:t>orgánů veřejné moci</w:t>
      </w:r>
      <w:r w:rsidRPr="003E52AE">
        <w:rPr>
          <w:rFonts w:ascii="Arial" w:hAnsi="Arial" w:cs="Arial"/>
          <w:sz w:val="22"/>
        </w:rPr>
        <w:t xml:space="preserve"> i subjekty jako notáře </w:t>
      </w:r>
      <w:r w:rsidR="00702221" w:rsidRPr="003E52AE">
        <w:rPr>
          <w:rFonts w:ascii="Arial" w:hAnsi="Arial" w:cs="Arial"/>
          <w:sz w:val="22"/>
        </w:rPr>
        <w:t>a</w:t>
      </w:r>
      <w:r w:rsidR="008C06BA" w:rsidRPr="003E52AE">
        <w:rPr>
          <w:rFonts w:ascii="Arial" w:hAnsi="Arial" w:cs="Arial"/>
          <w:sz w:val="22"/>
        </w:rPr>
        <w:t> </w:t>
      </w:r>
      <w:r w:rsidR="00913BF6" w:rsidRPr="003E52AE">
        <w:rPr>
          <w:rFonts w:ascii="Arial" w:hAnsi="Arial" w:cs="Arial"/>
          <w:sz w:val="22"/>
        </w:rPr>
        <w:t xml:space="preserve">soudní </w:t>
      </w:r>
      <w:r w:rsidRPr="003E52AE">
        <w:rPr>
          <w:rFonts w:ascii="Arial" w:hAnsi="Arial" w:cs="Arial"/>
          <w:sz w:val="22"/>
        </w:rPr>
        <w:t xml:space="preserve">exekutory. </w:t>
      </w:r>
      <w:r w:rsidR="00FD1C4C" w:rsidRPr="003E52AE">
        <w:rPr>
          <w:rFonts w:ascii="Arial" w:hAnsi="Arial" w:cs="Arial"/>
          <w:sz w:val="22"/>
        </w:rPr>
        <w:t>Ministerstvo vnitra</w:t>
      </w:r>
      <w:r w:rsidR="00FD1C4C" w:rsidRPr="003E52AE">
        <w:rPr>
          <w:rFonts w:ascii="Arial" w:hAnsi="Arial" w:cs="Arial"/>
          <w:bCs/>
          <w:iCs/>
          <w:sz w:val="22"/>
        </w:rPr>
        <w:t xml:space="preserve"> </w:t>
      </w:r>
      <w:r w:rsidR="0093107C" w:rsidRPr="003E52AE">
        <w:rPr>
          <w:rFonts w:ascii="Arial" w:hAnsi="Arial" w:cs="Arial"/>
          <w:sz w:val="22"/>
        </w:rPr>
        <w:t xml:space="preserve">uhradilo </w:t>
      </w:r>
      <w:r w:rsidR="00A44D89" w:rsidRPr="003E52AE">
        <w:rPr>
          <w:rFonts w:ascii="Arial" w:hAnsi="Arial" w:cs="Arial"/>
          <w:sz w:val="22"/>
        </w:rPr>
        <w:t xml:space="preserve">v kontrolovaném období </w:t>
      </w:r>
      <w:r w:rsidR="0093107C" w:rsidRPr="003E52AE">
        <w:rPr>
          <w:rFonts w:ascii="Arial" w:hAnsi="Arial" w:cs="Arial"/>
          <w:sz w:val="22"/>
        </w:rPr>
        <w:t xml:space="preserve">za transakce těchto subjektů </w:t>
      </w:r>
      <w:r w:rsidR="00FA5C10" w:rsidRPr="003E52AE">
        <w:rPr>
          <w:rFonts w:ascii="Arial" w:hAnsi="Arial" w:cs="Arial"/>
          <w:sz w:val="22"/>
        </w:rPr>
        <w:t xml:space="preserve">více než </w:t>
      </w:r>
      <w:r w:rsidR="0093107C" w:rsidRPr="003E52AE">
        <w:rPr>
          <w:rFonts w:ascii="Arial" w:hAnsi="Arial" w:cs="Arial"/>
          <w:bCs/>
          <w:sz w:val="22"/>
          <w:lang w:eastAsia="cs-CZ"/>
        </w:rPr>
        <w:t>623 </w:t>
      </w:r>
      <w:r w:rsidR="00FA5C10" w:rsidRPr="003E52AE">
        <w:rPr>
          <w:rFonts w:ascii="Arial" w:hAnsi="Arial" w:cs="Arial"/>
          <w:bCs/>
          <w:sz w:val="22"/>
          <w:lang w:eastAsia="cs-CZ"/>
        </w:rPr>
        <w:t>mil.</w:t>
      </w:r>
      <w:r w:rsidR="0093107C" w:rsidRPr="003E52AE">
        <w:rPr>
          <w:rFonts w:ascii="Arial" w:hAnsi="Arial" w:cs="Arial"/>
          <w:bCs/>
          <w:sz w:val="22"/>
          <w:lang w:eastAsia="cs-CZ"/>
        </w:rPr>
        <w:t xml:space="preserve"> Kč. </w:t>
      </w:r>
      <w:r w:rsidR="00DE32BA" w:rsidRPr="003E52AE">
        <w:rPr>
          <w:rFonts w:ascii="Arial" w:hAnsi="Arial" w:cs="Arial"/>
          <w:bCs/>
          <w:sz w:val="22"/>
          <w:lang w:eastAsia="cs-CZ"/>
        </w:rPr>
        <w:t xml:space="preserve">Princip úhrady nákladů za užívání DS těmito subjekty </w:t>
      </w:r>
      <w:r w:rsidR="00A44D89">
        <w:rPr>
          <w:rFonts w:ascii="Arial" w:hAnsi="Arial" w:cs="Arial"/>
          <w:bCs/>
          <w:sz w:val="22"/>
          <w:lang w:eastAsia="cs-CZ"/>
        </w:rPr>
        <w:t>(</w:t>
      </w:r>
      <w:r w:rsidR="00DE32BA" w:rsidRPr="003E52AE">
        <w:rPr>
          <w:rFonts w:ascii="Arial" w:hAnsi="Arial" w:cs="Arial"/>
          <w:bCs/>
          <w:sz w:val="22"/>
          <w:lang w:eastAsia="cs-CZ"/>
        </w:rPr>
        <w:t>daný zákonem</w:t>
      </w:r>
      <w:r w:rsidR="00A44D89">
        <w:rPr>
          <w:rFonts w:ascii="Arial" w:hAnsi="Arial" w:cs="Arial"/>
          <w:bCs/>
          <w:sz w:val="22"/>
          <w:lang w:eastAsia="cs-CZ"/>
        </w:rPr>
        <w:t>)</w:t>
      </w:r>
      <w:r w:rsidR="00DE32BA" w:rsidRPr="003E52AE">
        <w:rPr>
          <w:rFonts w:ascii="Arial" w:hAnsi="Arial" w:cs="Arial"/>
          <w:bCs/>
          <w:sz w:val="22"/>
          <w:lang w:eastAsia="cs-CZ"/>
        </w:rPr>
        <w:t xml:space="preserve"> se nezměnil ani po změně způsobu platby </w:t>
      </w:r>
      <w:r w:rsidR="00A44D89">
        <w:rPr>
          <w:rFonts w:ascii="Arial" w:hAnsi="Arial" w:cs="Arial"/>
          <w:bCs/>
          <w:sz w:val="22"/>
          <w:lang w:eastAsia="cs-CZ"/>
        </w:rPr>
        <w:t xml:space="preserve">za služby ČP, kdy byla zavedena </w:t>
      </w:r>
      <w:r w:rsidR="00DE32BA" w:rsidRPr="003E52AE">
        <w:rPr>
          <w:rFonts w:ascii="Arial" w:hAnsi="Arial" w:cs="Arial"/>
          <w:bCs/>
          <w:sz w:val="22"/>
          <w:lang w:eastAsia="cs-CZ"/>
        </w:rPr>
        <w:t>úhrada formou paušálního ročního poplatku ve výši 5</w:t>
      </w:r>
      <w:r w:rsidR="00F5686D" w:rsidRPr="003E52AE">
        <w:rPr>
          <w:rFonts w:ascii="Arial" w:hAnsi="Arial" w:cs="Arial"/>
          <w:bCs/>
          <w:sz w:val="22"/>
          <w:lang w:eastAsia="cs-CZ"/>
        </w:rPr>
        <w:t>00 mil</w:t>
      </w:r>
      <w:r w:rsidR="00DE32BA" w:rsidRPr="003E52AE">
        <w:rPr>
          <w:rFonts w:ascii="Arial" w:hAnsi="Arial" w:cs="Arial"/>
          <w:bCs/>
          <w:sz w:val="22"/>
          <w:lang w:eastAsia="cs-CZ"/>
        </w:rPr>
        <w:t>. Kč</w:t>
      </w:r>
      <w:r w:rsidR="00A44D89">
        <w:rPr>
          <w:rFonts w:ascii="Arial" w:hAnsi="Arial" w:cs="Arial"/>
          <w:bCs/>
          <w:sz w:val="22"/>
          <w:lang w:eastAsia="cs-CZ"/>
        </w:rPr>
        <w:t>. Náklady na provoz DS notářů a </w:t>
      </w:r>
      <w:r w:rsidR="00DE32BA" w:rsidRPr="003E52AE">
        <w:rPr>
          <w:rFonts w:ascii="Arial" w:hAnsi="Arial" w:cs="Arial"/>
          <w:bCs/>
          <w:sz w:val="22"/>
          <w:lang w:eastAsia="cs-CZ"/>
        </w:rPr>
        <w:t>soudních exekutorů jsou hrazeny v rámci tohoto paušálního poplatku z</w:t>
      </w:r>
      <w:r w:rsidR="00913BF6" w:rsidRPr="003E52AE">
        <w:rPr>
          <w:rFonts w:ascii="Arial" w:hAnsi="Arial" w:cs="Arial"/>
          <w:bCs/>
          <w:sz w:val="22"/>
          <w:lang w:eastAsia="cs-CZ"/>
        </w:rPr>
        <w:t xml:space="preserve"> prostředků státního rozpočtu</w:t>
      </w:r>
      <w:r w:rsidR="00DE32BA" w:rsidRPr="003E52AE">
        <w:rPr>
          <w:rFonts w:ascii="Arial" w:hAnsi="Arial" w:cs="Arial"/>
          <w:bCs/>
          <w:sz w:val="22"/>
          <w:lang w:eastAsia="cs-CZ"/>
        </w:rPr>
        <w:t>.</w:t>
      </w:r>
    </w:p>
    <w:p w:rsidR="008908A8" w:rsidRPr="003E52AE" w:rsidRDefault="008908A8" w:rsidP="008908A8">
      <w:pPr>
        <w:rPr>
          <w:rFonts w:ascii="Arial" w:hAnsi="Arial" w:cs="Arial"/>
          <w:bCs/>
          <w:sz w:val="22"/>
          <w:lang w:eastAsia="cs-CZ"/>
        </w:rPr>
      </w:pPr>
    </w:p>
    <w:p w:rsidR="00334E08" w:rsidRPr="003E52AE" w:rsidRDefault="00061094" w:rsidP="008908A8">
      <w:pPr>
        <w:rPr>
          <w:rFonts w:ascii="Arial" w:hAnsi="Arial" w:cs="Arial"/>
          <w:color w:val="000000"/>
          <w:sz w:val="22"/>
        </w:rPr>
      </w:pPr>
      <w:r w:rsidRPr="003E52AE">
        <w:rPr>
          <w:rFonts w:ascii="Arial" w:hAnsi="Arial" w:cs="Arial"/>
          <w:sz w:val="22"/>
        </w:rPr>
        <w:t>Zákon č. 300/2008 Sb. umož</w:t>
      </w:r>
      <w:r w:rsidR="00B44A85" w:rsidRPr="003E52AE">
        <w:rPr>
          <w:rFonts w:ascii="Arial" w:hAnsi="Arial" w:cs="Arial"/>
          <w:sz w:val="22"/>
        </w:rPr>
        <w:t>n</w:t>
      </w:r>
      <w:r w:rsidR="003F346B" w:rsidRPr="003E52AE">
        <w:rPr>
          <w:rFonts w:ascii="Arial" w:hAnsi="Arial" w:cs="Arial"/>
          <w:sz w:val="22"/>
        </w:rPr>
        <w:t>il</w:t>
      </w:r>
      <w:r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bCs/>
          <w:iCs/>
          <w:sz w:val="22"/>
        </w:rPr>
        <w:t>České poště, s.</w:t>
      </w:r>
      <w:r w:rsidR="00995D10" w:rsidRPr="003E52AE">
        <w:rPr>
          <w:rFonts w:ascii="Arial" w:hAnsi="Arial" w:cs="Arial"/>
          <w:bCs/>
          <w:iCs/>
          <w:sz w:val="22"/>
        </w:rPr>
        <w:t> </w:t>
      </w:r>
      <w:r w:rsidRPr="003E52AE">
        <w:rPr>
          <w:rFonts w:ascii="Arial" w:hAnsi="Arial" w:cs="Arial"/>
          <w:bCs/>
          <w:iCs/>
          <w:sz w:val="22"/>
        </w:rPr>
        <w:t>p., která je jedin</w:t>
      </w:r>
      <w:r w:rsidR="00A44D89">
        <w:rPr>
          <w:rFonts w:ascii="Arial" w:hAnsi="Arial" w:cs="Arial"/>
          <w:bCs/>
          <w:iCs/>
          <w:sz w:val="22"/>
        </w:rPr>
        <w:t>ým</w:t>
      </w:r>
      <w:r w:rsidRPr="003E52AE">
        <w:rPr>
          <w:rFonts w:ascii="Arial" w:hAnsi="Arial" w:cs="Arial"/>
          <w:bCs/>
          <w:iCs/>
          <w:sz w:val="22"/>
        </w:rPr>
        <w:t xml:space="preserve"> držitel</w:t>
      </w:r>
      <w:r w:rsidR="00A44D89">
        <w:rPr>
          <w:rFonts w:ascii="Arial" w:hAnsi="Arial" w:cs="Arial"/>
          <w:bCs/>
          <w:iCs/>
          <w:sz w:val="22"/>
        </w:rPr>
        <w:t>em</w:t>
      </w:r>
      <w:r w:rsidRPr="003E52AE">
        <w:rPr>
          <w:rFonts w:ascii="Arial" w:hAnsi="Arial" w:cs="Arial"/>
          <w:bCs/>
          <w:iCs/>
          <w:sz w:val="22"/>
        </w:rPr>
        <w:t xml:space="preserve"> poštovní licence na území ČR, vystupovat vůči MV </w:t>
      </w:r>
      <w:r w:rsidR="00A44D89">
        <w:rPr>
          <w:rFonts w:ascii="Arial" w:hAnsi="Arial" w:cs="Arial"/>
          <w:bCs/>
          <w:iCs/>
          <w:sz w:val="22"/>
        </w:rPr>
        <w:t>v</w:t>
      </w:r>
      <w:r w:rsidRPr="003E52AE">
        <w:rPr>
          <w:rFonts w:ascii="Arial" w:hAnsi="Arial" w:cs="Arial"/>
          <w:bCs/>
          <w:iCs/>
          <w:sz w:val="22"/>
        </w:rPr>
        <w:t> pozic</w:t>
      </w:r>
      <w:r w:rsidR="00A44D89">
        <w:rPr>
          <w:rFonts w:ascii="Arial" w:hAnsi="Arial" w:cs="Arial"/>
          <w:bCs/>
          <w:iCs/>
          <w:sz w:val="22"/>
        </w:rPr>
        <w:t>i</w:t>
      </w:r>
      <w:r w:rsidRPr="003E52AE">
        <w:rPr>
          <w:rFonts w:ascii="Arial" w:hAnsi="Arial" w:cs="Arial"/>
          <w:bCs/>
          <w:iCs/>
          <w:sz w:val="22"/>
        </w:rPr>
        <w:t xml:space="preserve"> jediného možného dodavatele. Tato situace ČP zvýhod</w:t>
      </w:r>
      <w:r w:rsidR="00B44A85" w:rsidRPr="003E52AE">
        <w:rPr>
          <w:rFonts w:ascii="Arial" w:hAnsi="Arial" w:cs="Arial"/>
          <w:bCs/>
          <w:iCs/>
          <w:sz w:val="22"/>
        </w:rPr>
        <w:t>nila</w:t>
      </w:r>
      <w:r w:rsidRPr="003E52AE">
        <w:rPr>
          <w:rFonts w:ascii="Arial" w:hAnsi="Arial" w:cs="Arial"/>
          <w:bCs/>
          <w:iCs/>
          <w:sz w:val="22"/>
        </w:rPr>
        <w:t xml:space="preserve"> při </w:t>
      </w:r>
      <w:r w:rsidR="00334E08" w:rsidRPr="003E52AE">
        <w:rPr>
          <w:rFonts w:ascii="Arial" w:hAnsi="Arial" w:cs="Arial"/>
          <w:bCs/>
          <w:iCs/>
          <w:sz w:val="22"/>
        </w:rPr>
        <w:t xml:space="preserve">uzavírání smluv s MV. </w:t>
      </w:r>
      <w:r w:rsidR="00334E08" w:rsidRPr="003E52AE">
        <w:rPr>
          <w:rFonts w:ascii="Arial" w:hAnsi="Arial" w:cs="Arial"/>
          <w:sz w:val="22"/>
        </w:rPr>
        <w:t>Ministerstvo vnitra t</w:t>
      </w:r>
      <w:r w:rsidR="00A44D89">
        <w:rPr>
          <w:rFonts w:ascii="Arial" w:hAnsi="Arial" w:cs="Arial"/>
          <w:sz w:val="22"/>
        </w:rPr>
        <w:t>ak uzavřelo s </w:t>
      </w:r>
      <w:r w:rsidR="00995D10" w:rsidRPr="003E52AE">
        <w:rPr>
          <w:rFonts w:ascii="Arial" w:hAnsi="Arial" w:cs="Arial"/>
          <w:sz w:val="22"/>
        </w:rPr>
        <w:t>Českou poštou, s. </w:t>
      </w:r>
      <w:r w:rsidR="00334E08" w:rsidRPr="003E52AE">
        <w:rPr>
          <w:rFonts w:ascii="Arial" w:hAnsi="Arial" w:cs="Arial"/>
          <w:sz w:val="22"/>
        </w:rPr>
        <w:t>p.</w:t>
      </w:r>
      <w:r w:rsidR="00995D10" w:rsidRPr="003E52AE">
        <w:rPr>
          <w:rFonts w:ascii="Arial" w:hAnsi="Arial" w:cs="Arial"/>
          <w:sz w:val="22"/>
        </w:rPr>
        <w:t>,</w:t>
      </w:r>
      <w:r w:rsidR="00334E08" w:rsidRPr="003E52AE">
        <w:rPr>
          <w:rFonts w:ascii="Arial" w:hAnsi="Arial" w:cs="Arial"/>
          <w:sz w:val="22"/>
        </w:rPr>
        <w:t xml:space="preserve"> </w:t>
      </w:r>
      <w:r w:rsidR="00335520">
        <w:rPr>
          <w:rFonts w:ascii="Arial" w:hAnsi="Arial" w:cs="Arial"/>
          <w:sz w:val="22"/>
        </w:rPr>
        <w:t>s</w:t>
      </w:r>
      <w:r w:rsidR="00334E08" w:rsidRPr="003E52AE">
        <w:rPr>
          <w:rFonts w:ascii="Arial" w:hAnsi="Arial" w:cs="Arial"/>
          <w:sz w:val="22"/>
        </w:rPr>
        <w:t xml:space="preserve">mlouvu a několik dodatků k této </w:t>
      </w:r>
      <w:r w:rsidR="00335520">
        <w:rPr>
          <w:rFonts w:ascii="Arial" w:hAnsi="Arial" w:cs="Arial"/>
          <w:sz w:val="22"/>
        </w:rPr>
        <w:t>s</w:t>
      </w:r>
      <w:r w:rsidR="00334E08" w:rsidRPr="003E52AE">
        <w:rPr>
          <w:rFonts w:ascii="Arial" w:hAnsi="Arial" w:cs="Arial"/>
          <w:sz w:val="22"/>
        </w:rPr>
        <w:t>mlouvě</w:t>
      </w:r>
      <w:r w:rsidR="00E26357" w:rsidRPr="003E52AE">
        <w:rPr>
          <w:rFonts w:ascii="Arial" w:hAnsi="Arial" w:cs="Arial"/>
          <w:sz w:val="22"/>
        </w:rPr>
        <w:t xml:space="preserve"> takovým způsobem, který </w:t>
      </w:r>
      <w:r w:rsidR="00A44D89">
        <w:rPr>
          <w:rFonts w:ascii="Arial" w:hAnsi="Arial" w:cs="Arial"/>
          <w:sz w:val="22"/>
        </w:rPr>
        <w:t xml:space="preserve">ministerstvu </w:t>
      </w:r>
      <w:r w:rsidR="00E26357" w:rsidRPr="003E52AE">
        <w:rPr>
          <w:rFonts w:ascii="Arial" w:hAnsi="Arial" w:cs="Arial"/>
          <w:sz w:val="22"/>
        </w:rPr>
        <w:t>neumožňoval ovlivnit výši fakturované ceny služeb</w:t>
      </w:r>
      <w:r w:rsidR="00B44A85" w:rsidRPr="003E52AE">
        <w:rPr>
          <w:rFonts w:ascii="Arial" w:hAnsi="Arial" w:cs="Arial"/>
          <w:sz w:val="22"/>
        </w:rPr>
        <w:t>.</w:t>
      </w:r>
      <w:r w:rsidR="00334E08" w:rsidRPr="003E52AE">
        <w:rPr>
          <w:rFonts w:ascii="Arial" w:hAnsi="Arial" w:cs="Arial"/>
          <w:sz w:val="22"/>
        </w:rPr>
        <w:t xml:space="preserve"> </w:t>
      </w:r>
      <w:r w:rsidR="00334E08" w:rsidRPr="003E52AE">
        <w:rPr>
          <w:rFonts w:ascii="Arial" w:hAnsi="Arial" w:cs="Arial"/>
          <w:bCs/>
          <w:iCs/>
          <w:sz w:val="22"/>
        </w:rPr>
        <w:t xml:space="preserve">Například </w:t>
      </w:r>
      <w:r w:rsidR="00E26357" w:rsidRPr="003E52AE">
        <w:rPr>
          <w:rFonts w:ascii="Arial" w:hAnsi="Arial" w:cs="Arial"/>
          <w:bCs/>
          <w:iCs/>
          <w:sz w:val="22"/>
        </w:rPr>
        <w:t xml:space="preserve">podle </w:t>
      </w:r>
      <w:r w:rsidR="00334E08" w:rsidRPr="003E52AE">
        <w:rPr>
          <w:rFonts w:ascii="Arial" w:hAnsi="Arial" w:cs="Arial"/>
          <w:bCs/>
          <w:iCs/>
          <w:sz w:val="22"/>
        </w:rPr>
        <w:t>dodatk</w:t>
      </w:r>
      <w:r w:rsidR="00E26357" w:rsidRPr="003E52AE">
        <w:rPr>
          <w:rFonts w:ascii="Arial" w:hAnsi="Arial" w:cs="Arial"/>
          <w:bCs/>
          <w:iCs/>
          <w:sz w:val="22"/>
        </w:rPr>
        <w:t>u</w:t>
      </w:r>
      <w:r w:rsidR="00334E08" w:rsidRPr="003E52AE">
        <w:rPr>
          <w:rFonts w:ascii="Arial" w:hAnsi="Arial" w:cs="Arial"/>
          <w:bCs/>
          <w:iCs/>
          <w:sz w:val="22"/>
        </w:rPr>
        <w:t xml:space="preserve"> č.</w:t>
      </w:r>
      <w:r w:rsidR="005C66EB">
        <w:rPr>
          <w:rFonts w:ascii="Arial" w:hAnsi="Arial" w:cs="Arial"/>
          <w:bCs/>
          <w:iCs/>
          <w:sz w:val="22"/>
        </w:rPr>
        <w:t> </w:t>
      </w:r>
      <w:r w:rsidR="00334E08" w:rsidRPr="003E52AE">
        <w:rPr>
          <w:rFonts w:ascii="Arial" w:hAnsi="Arial" w:cs="Arial"/>
          <w:bCs/>
          <w:iCs/>
          <w:sz w:val="22"/>
        </w:rPr>
        <w:t xml:space="preserve">2 </w:t>
      </w:r>
      <w:r w:rsidR="00335520">
        <w:rPr>
          <w:rFonts w:ascii="Arial" w:hAnsi="Arial" w:cs="Arial"/>
          <w:bCs/>
          <w:iCs/>
          <w:sz w:val="22"/>
        </w:rPr>
        <w:t>ke s</w:t>
      </w:r>
      <w:r w:rsidR="00334E08" w:rsidRPr="003E52AE">
        <w:rPr>
          <w:rFonts w:ascii="Arial" w:hAnsi="Arial" w:cs="Arial"/>
          <w:bCs/>
          <w:iCs/>
          <w:sz w:val="22"/>
        </w:rPr>
        <w:t>mlouv</w:t>
      </w:r>
      <w:r w:rsidR="00335520">
        <w:rPr>
          <w:rFonts w:ascii="Arial" w:hAnsi="Arial" w:cs="Arial"/>
          <w:bCs/>
          <w:iCs/>
          <w:sz w:val="22"/>
        </w:rPr>
        <w:t>ě</w:t>
      </w:r>
      <w:r w:rsidR="00334E08" w:rsidRPr="003E52AE">
        <w:rPr>
          <w:rFonts w:ascii="Arial" w:hAnsi="Arial" w:cs="Arial"/>
          <w:bCs/>
          <w:iCs/>
          <w:sz w:val="22"/>
        </w:rPr>
        <w:t xml:space="preserve"> ČP v rámci úpravy systému DS v roce 2010 vyfakturovala MV částku ve výši 285 600 000 Kč vč. DPH, tj. </w:t>
      </w:r>
      <w:r w:rsidR="00334E08" w:rsidRPr="003E52AE">
        <w:rPr>
          <w:rFonts w:ascii="Arial" w:hAnsi="Arial" w:cs="Arial"/>
          <w:color w:val="000000"/>
          <w:sz w:val="22"/>
        </w:rPr>
        <w:t xml:space="preserve">o 140 269 739 Kč více, než činily náklady ČP. Výše fakturované částky </w:t>
      </w:r>
      <w:r w:rsidR="00334E08" w:rsidRPr="003E52AE">
        <w:rPr>
          <w:rFonts w:ascii="Arial" w:hAnsi="Arial" w:cs="Arial"/>
          <w:sz w:val="22"/>
        </w:rPr>
        <w:t>ČP</w:t>
      </w:r>
      <w:r w:rsidR="00334E08" w:rsidRPr="003E52AE">
        <w:rPr>
          <w:rFonts w:ascii="Arial" w:hAnsi="Arial" w:cs="Arial"/>
          <w:color w:val="000000"/>
          <w:sz w:val="22"/>
        </w:rPr>
        <w:t xml:space="preserve"> vůči MV tak činila téměř dvojnásobek skutečně vynaložených nákladů.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C12525" w:rsidRPr="003E52AE" w:rsidRDefault="00C12525" w:rsidP="008908A8">
      <w:pPr>
        <w:rPr>
          <w:rFonts w:ascii="Arial" w:hAnsi="Arial" w:cs="Arial"/>
          <w:sz w:val="22"/>
        </w:rPr>
      </w:pPr>
      <w:r w:rsidRPr="003E52AE">
        <w:rPr>
          <w:rFonts w:ascii="Arial" w:hAnsi="Arial" w:cs="Arial"/>
          <w:sz w:val="22"/>
        </w:rPr>
        <w:t>V letech 2009 až 2012 činily celkové příjmy České pošty, s.</w:t>
      </w:r>
      <w:r w:rsidR="00995D10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 xml:space="preserve">p., z provozu systému </w:t>
      </w:r>
      <w:r w:rsidRPr="003E52AE">
        <w:rPr>
          <w:rFonts w:ascii="Arial" w:hAnsi="Arial" w:cs="Arial"/>
          <w:bCs/>
          <w:iCs/>
          <w:sz w:val="22"/>
        </w:rPr>
        <w:t xml:space="preserve">datových schránek </w:t>
      </w:r>
      <w:r w:rsidRPr="003E52AE">
        <w:rPr>
          <w:rFonts w:ascii="Arial" w:hAnsi="Arial" w:cs="Arial"/>
          <w:sz w:val="22"/>
        </w:rPr>
        <w:t>orgánů veřejné moci 2</w:t>
      </w:r>
      <w:r w:rsidR="00F5686D" w:rsidRPr="003E52AE">
        <w:rPr>
          <w:rFonts w:ascii="Arial" w:hAnsi="Arial" w:cs="Arial"/>
          <w:sz w:val="22"/>
        </w:rPr>
        <w:t xml:space="preserve"> </w:t>
      </w:r>
      <w:r w:rsidRPr="003E52AE">
        <w:rPr>
          <w:rFonts w:ascii="Arial" w:hAnsi="Arial" w:cs="Arial"/>
          <w:sz w:val="22"/>
        </w:rPr>
        <w:t>446 m</w:t>
      </w:r>
      <w:r w:rsidR="00F5686D" w:rsidRPr="003E52AE">
        <w:rPr>
          <w:rFonts w:ascii="Arial" w:hAnsi="Arial" w:cs="Arial"/>
          <w:sz w:val="22"/>
        </w:rPr>
        <w:t>il</w:t>
      </w:r>
      <w:r w:rsidRPr="003E52AE">
        <w:rPr>
          <w:rFonts w:ascii="Arial" w:hAnsi="Arial" w:cs="Arial"/>
          <w:sz w:val="22"/>
        </w:rPr>
        <w:t>. Kč, celkové náklady ČP činily 1</w:t>
      </w:r>
      <w:r w:rsidR="008908A8" w:rsidRPr="003E52AE">
        <w:rPr>
          <w:rFonts w:ascii="Arial" w:hAnsi="Arial" w:cs="Arial"/>
          <w:sz w:val="22"/>
        </w:rPr>
        <w:t> </w:t>
      </w:r>
      <w:r w:rsidRPr="003E52AE">
        <w:rPr>
          <w:rFonts w:ascii="Arial" w:hAnsi="Arial" w:cs="Arial"/>
          <w:sz w:val="22"/>
        </w:rPr>
        <w:t>964 m</w:t>
      </w:r>
      <w:r w:rsidR="00F5686D" w:rsidRPr="003E52AE">
        <w:rPr>
          <w:rFonts w:ascii="Arial" w:hAnsi="Arial" w:cs="Arial"/>
          <w:sz w:val="22"/>
        </w:rPr>
        <w:t>il</w:t>
      </w:r>
      <w:r w:rsidR="008908A8" w:rsidRPr="003E52AE">
        <w:rPr>
          <w:rFonts w:ascii="Arial" w:hAnsi="Arial" w:cs="Arial"/>
          <w:sz w:val="22"/>
        </w:rPr>
        <w:t>. Kč.</w:t>
      </w:r>
    </w:p>
    <w:p w:rsidR="008908A8" w:rsidRPr="003E52AE" w:rsidRDefault="008908A8" w:rsidP="008908A8">
      <w:pPr>
        <w:rPr>
          <w:rFonts w:ascii="Arial" w:hAnsi="Arial" w:cs="Arial"/>
          <w:sz w:val="22"/>
        </w:rPr>
      </w:pPr>
    </w:p>
    <w:p w:rsidR="00B16B13" w:rsidRPr="003E52AE" w:rsidRDefault="00B16B13" w:rsidP="008908A8">
      <w:pPr>
        <w:pStyle w:val="Podtitul"/>
        <w:numPr>
          <w:ilvl w:val="0"/>
          <w:numId w:val="0"/>
        </w:numPr>
        <w:spacing w:line="240" w:lineRule="auto"/>
        <w:jc w:val="both"/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</w:pPr>
      <w:r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Od roku 2013 jsou příjmy z provozu systému datových schránek orgánů veřejné moci plynoucí Č</w:t>
      </w:r>
      <w:r w:rsidR="00A44D89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eské poště, s. p.,</w:t>
      </w:r>
      <w:r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 xml:space="preserve"> ze státního rozpočtu 500 mil. Kč bez DPH za rok. ČP </w:t>
      </w:r>
      <w:r w:rsidR="00A44D89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bude hradit</w:t>
      </w:r>
      <w:r w:rsidR="002F53EA"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na základě smluvního ujednání svému</w:t>
      </w:r>
      <w:r w:rsidR="008908A8"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hlavnímu dodavateli částku 415 mil. Kč bez DPH za rok, tj. 83</w:t>
      </w:r>
      <w:r w:rsidR="008908A8"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 </w:t>
      </w:r>
      <w:r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%</w:t>
      </w:r>
      <w:r w:rsidR="002F53EA"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 xml:space="preserve"> z této částky</w:t>
      </w:r>
      <w:r w:rsidRPr="003E52AE">
        <w:rPr>
          <w:rFonts w:ascii="Arial" w:hAnsi="Arial" w:cs="Arial"/>
          <w:i w:val="0"/>
          <w:iCs w:val="0"/>
          <w:color w:val="auto"/>
          <w:spacing w:val="0"/>
          <w:sz w:val="22"/>
          <w:szCs w:val="22"/>
        </w:rPr>
        <w:t>.</w:t>
      </w:r>
    </w:p>
    <w:sectPr w:rsidR="00B16B13" w:rsidRPr="003E52AE" w:rsidSect="001D6E7B">
      <w:headerReference w:type="default" r:id="rId14"/>
      <w:footerReference w:type="default" r:id="rId15"/>
      <w:pgSz w:w="11906" w:h="16838"/>
      <w:pgMar w:top="1417" w:right="1417" w:bottom="1417" w:left="1417" w:header="708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B2" w:rsidRDefault="00811BB2" w:rsidP="005D3E1F">
      <w:r>
        <w:separator/>
      </w:r>
    </w:p>
  </w:endnote>
  <w:endnote w:type="continuationSeparator" w:id="0">
    <w:p w:rsidR="00811BB2" w:rsidRDefault="00811BB2" w:rsidP="005D3E1F">
      <w:r>
        <w:continuationSeparator/>
      </w:r>
    </w:p>
  </w:endnote>
  <w:endnote w:type="continuationNotice" w:id="1">
    <w:p w:rsidR="005C66EB" w:rsidRDefault="005C6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B2" w:rsidRPr="00494FF1" w:rsidRDefault="00811BB2" w:rsidP="001D6E7B">
    <w:pPr>
      <w:pStyle w:val="Zpat"/>
      <w:jc w:val="center"/>
      <w:rPr>
        <w:rFonts w:ascii="Arial" w:hAnsi="Arial" w:cs="Arial"/>
        <w:sz w:val="22"/>
      </w:rPr>
    </w:pPr>
    <w:r w:rsidRPr="00494FF1">
      <w:rPr>
        <w:rFonts w:ascii="Arial" w:hAnsi="Arial" w:cs="Arial"/>
        <w:sz w:val="22"/>
      </w:rPr>
      <w:fldChar w:fldCharType="begin"/>
    </w:r>
    <w:r w:rsidRPr="00494FF1">
      <w:rPr>
        <w:rFonts w:ascii="Arial" w:hAnsi="Arial" w:cs="Arial"/>
        <w:sz w:val="22"/>
      </w:rPr>
      <w:instrText xml:space="preserve"> PAGE   \* MERGEFORMAT </w:instrText>
    </w:r>
    <w:r w:rsidRPr="00494FF1">
      <w:rPr>
        <w:rFonts w:ascii="Arial" w:hAnsi="Arial" w:cs="Arial"/>
        <w:sz w:val="22"/>
      </w:rPr>
      <w:fldChar w:fldCharType="separate"/>
    </w:r>
    <w:r w:rsidR="00B03358">
      <w:rPr>
        <w:rFonts w:ascii="Arial" w:hAnsi="Arial" w:cs="Arial"/>
        <w:noProof/>
        <w:sz w:val="22"/>
      </w:rPr>
      <w:t>8</w:t>
    </w:r>
    <w:r w:rsidRPr="00494FF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B2" w:rsidRDefault="00811BB2" w:rsidP="005D3E1F">
      <w:r>
        <w:separator/>
      </w:r>
    </w:p>
  </w:footnote>
  <w:footnote w:type="continuationSeparator" w:id="0">
    <w:p w:rsidR="00811BB2" w:rsidRDefault="00811BB2" w:rsidP="005D3E1F">
      <w:r>
        <w:continuationSeparator/>
      </w:r>
    </w:p>
  </w:footnote>
  <w:footnote w:type="continuationNotice" w:id="1">
    <w:p w:rsidR="005C66EB" w:rsidRDefault="005C66EB"/>
  </w:footnote>
  <w:footnote w:id="2">
    <w:p w:rsidR="00811BB2" w:rsidRPr="008908A8" w:rsidRDefault="00811BB2" w:rsidP="008908A8">
      <w:pPr>
        <w:ind w:left="142" w:hanging="142"/>
        <w:rPr>
          <w:rFonts w:ascii="Arial" w:hAnsi="Arial" w:cs="Arial"/>
          <w:sz w:val="18"/>
          <w:szCs w:val="18"/>
        </w:rPr>
      </w:pPr>
      <w:r w:rsidRPr="008908A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8908A8">
        <w:rPr>
          <w:rFonts w:ascii="Arial" w:hAnsi="Arial" w:cs="Arial"/>
          <w:sz w:val="18"/>
          <w:szCs w:val="18"/>
        </w:rPr>
        <w:t>Zákon č. 365/2000 Sb., o informačních systémech veřejné správy a o změně některých dalších zákonů.</w:t>
      </w:r>
    </w:p>
  </w:footnote>
  <w:footnote w:id="3">
    <w:p w:rsidR="00811BB2" w:rsidRPr="00220412" w:rsidRDefault="00811BB2" w:rsidP="0022041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2041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220412">
        <w:rPr>
          <w:rFonts w:ascii="Arial" w:hAnsi="Arial" w:cs="Arial"/>
          <w:sz w:val="18"/>
          <w:szCs w:val="18"/>
        </w:rPr>
        <w:t>Zákon č. 300/2008 Sb., o elektronických úkonech a autorizované konverzi dokumentů.</w:t>
      </w:r>
    </w:p>
  </w:footnote>
  <w:footnote w:id="4">
    <w:p w:rsidR="00811BB2" w:rsidRPr="00220412" w:rsidRDefault="00811BB2" w:rsidP="00220412">
      <w:pPr>
        <w:pStyle w:val="Normln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2041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811BB2">
        <w:rPr>
          <w:rFonts w:ascii="Arial" w:hAnsi="Arial" w:cs="Arial"/>
          <w:i/>
          <w:sz w:val="18"/>
          <w:szCs w:val="18"/>
        </w:rPr>
        <w:t xml:space="preserve">Efektivní veřejná správa a přátelské veřejné služby </w:t>
      </w:r>
      <w:r w:rsidRPr="00220412">
        <w:rPr>
          <w:rFonts w:ascii="Arial" w:hAnsi="Arial" w:cs="Arial"/>
          <w:sz w:val="18"/>
          <w:szCs w:val="18"/>
        </w:rPr>
        <w:t>je vládní strategie. Jejím cílem je zajistit koordinovaný a</w:t>
      </w:r>
      <w:r w:rsidR="005C66EB">
        <w:rPr>
          <w:rFonts w:ascii="Arial" w:hAnsi="Arial" w:cs="Arial"/>
          <w:sz w:val="18"/>
          <w:szCs w:val="18"/>
        </w:rPr>
        <w:t> </w:t>
      </w:r>
      <w:r w:rsidRPr="00220412">
        <w:rPr>
          <w:rFonts w:ascii="Arial" w:hAnsi="Arial" w:cs="Arial"/>
          <w:sz w:val="18"/>
          <w:szCs w:val="18"/>
        </w:rPr>
        <w:t xml:space="preserve">efektivní způsob zlepšování veřejné správy a veřejných služeb s využitím prostředků ze </w:t>
      </w:r>
      <w:r>
        <w:rPr>
          <w:rFonts w:ascii="Arial" w:hAnsi="Arial" w:cs="Arial"/>
          <w:sz w:val="18"/>
          <w:szCs w:val="18"/>
        </w:rPr>
        <w:t>s</w:t>
      </w:r>
      <w:r w:rsidRPr="00220412">
        <w:rPr>
          <w:rFonts w:ascii="Arial" w:hAnsi="Arial" w:cs="Arial"/>
          <w:sz w:val="18"/>
          <w:szCs w:val="18"/>
        </w:rPr>
        <w:t>trukturálních fondů v programovém období 2007–2013.</w:t>
      </w:r>
    </w:p>
  </w:footnote>
  <w:footnote w:id="5">
    <w:p w:rsidR="00811BB2" w:rsidRPr="00220412" w:rsidRDefault="00811BB2" w:rsidP="0022041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22041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220412">
        <w:rPr>
          <w:rFonts w:ascii="Arial" w:hAnsi="Arial" w:cs="Arial"/>
          <w:sz w:val="18"/>
          <w:szCs w:val="18"/>
        </w:rPr>
        <w:t>Zákon č. 137/2006 Sb., o veřejných zakázkách.</w:t>
      </w:r>
    </w:p>
  </w:footnote>
  <w:footnote w:id="6">
    <w:p w:rsidR="00811BB2" w:rsidRPr="00B257F3" w:rsidRDefault="00811BB2" w:rsidP="00B257F3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B257F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B257F3">
        <w:rPr>
          <w:rFonts w:ascii="Arial" w:hAnsi="Arial" w:cs="Arial"/>
          <w:sz w:val="18"/>
          <w:szCs w:val="18"/>
        </w:rPr>
        <w:t xml:space="preserve">Výčet OVM viz část I. </w:t>
      </w:r>
      <w:r>
        <w:rPr>
          <w:rFonts w:ascii="Arial" w:hAnsi="Arial" w:cs="Arial"/>
          <w:sz w:val="18"/>
          <w:szCs w:val="18"/>
        </w:rPr>
        <w:t>tohoto kontrolního závěru</w:t>
      </w:r>
      <w:r w:rsidRPr="00B257F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B" w:rsidRDefault="005C66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C5"/>
    <w:multiLevelType w:val="hybridMultilevel"/>
    <w:tmpl w:val="212AB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DA5"/>
    <w:multiLevelType w:val="hybridMultilevel"/>
    <w:tmpl w:val="42E81C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65E85"/>
    <w:multiLevelType w:val="hybridMultilevel"/>
    <w:tmpl w:val="A4EA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6291"/>
    <w:multiLevelType w:val="hybridMultilevel"/>
    <w:tmpl w:val="3360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4FFA"/>
    <w:multiLevelType w:val="hybridMultilevel"/>
    <w:tmpl w:val="BFCED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1857"/>
    <w:multiLevelType w:val="hybridMultilevel"/>
    <w:tmpl w:val="A5986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3790"/>
    <w:multiLevelType w:val="hybridMultilevel"/>
    <w:tmpl w:val="9126DBE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912DB7"/>
    <w:multiLevelType w:val="hybridMultilevel"/>
    <w:tmpl w:val="FB768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4EF5"/>
    <w:multiLevelType w:val="hybridMultilevel"/>
    <w:tmpl w:val="AED005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F206B"/>
    <w:multiLevelType w:val="hybridMultilevel"/>
    <w:tmpl w:val="9EB06E98"/>
    <w:lvl w:ilvl="0" w:tplc="D244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218B"/>
    <w:multiLevelType w:val="hybridMultilevel"/>
    <w:tmpl w:val="1DC8C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45E50"/>
    <w:multiLevelType w:val="hybridMultilevel"/>
    <w:tmpl w:val="B436F3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C7B8F"/>
    <w:multiLevelType w:val="hybridMultilevel"/>
    <w:tmpl w:val="C89C8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3D77"/>
    <w:multiLevelType w:val="hybridMultilevel"/>
    <w:tmpl w:val="AB960E48"/>
    <w:lvl w:ilvl="0" w:tplc="A7285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E17CD"/>
    <w:multiLevelType w:val="hybridMultilevel"/>
    <w:tmpl w:val="7B62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93F5B"/>
    <w:multiLevelType w:val="hybridMultilevel"/>
    <w:tmpl w:val="B2AE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6011"/>
    <w:multiLevelType w:val="hybridMultilevel"/>
    <w:tmpl w:val="DD3CFB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C6D97"/>
    <w:multiLevelType w:val="hybridMultilevel"/>
    <w:tmpl w:val="E5CC86E8"/>
    <w:lvl w:ilvl="0" w:tplc="D244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65DC4"/>
    <w:multiLevelType w:val="hybridMultilevel"/>
    <w:tmpl w:val="0EF06F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45536"/>
    <w:multiLevelType w:val="hybridMultilevel"/>
    <w:tmpl w:val="5BEA8B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DF5BED"/>
    <w:multiLevelType w:val="hybridMultilevel"/>
    <w:tmpl w:val="C1068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3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6"/>
  </w:num>
  <w:num w:numId="13">
    <w:abstractNumId w:val="12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D"/>
    <w:rsid w:val="000024C2"/>
    <w:rsid w:val="00007644"/>
    <w:rsid w:val="00012069"/>
    <w:rsid w:val="00017646"/>
    <w:rsid w:val="00023D95"/>
    <w:rsid w:val="00025485"/>
    <w:rsid w:val="00025A36"/>
    <w:rsid w:val="00032B89"/>
    <w:rsid w:val="0003337A"/>
    <w:rsid w:val="00035331"/>
    <w:rsid w:val="0004039D"/>
    <w:rsid w:val="00041694"/>
    <w:rsid w:val="0005364B"/>
    <w:rsid w:val="00060C04"/>
    <w:rsid w:val="00061094"/>
    <w:rsid w:val="00062976"/>
    <w:rsid w:val="00062FC2"/>
    <w:rsid w:val="000668CC"/>
    <w:rsid w:val="00076AB2"/>
    <w:rsid w:val="00087009"/>
    <w:rsid w:val="00091D8B"/>
    <w:rsid w:val="00093413"/>
    <w:rsid w:val="00093ACE"/>
    <w:rsid w:val="00093D8B"/>
    <w:rsid w:val="000A014A"/>
    <w:rsid w:val="000A5124"/>
    <w:rsid w:val="000A705C"/>
    <w:rsid w:val="000B10DD"/>
    <w:rsid w:val="000B3D41"/>
    <w:rsid w:val="000B62B3"/>
    <w:rsid w:val="000B690E"/>
    <w:rsid w:val="000B6EAF"/>
    <w:rsid w:val="000B7685"/>
    <w:rsid w:val="000C1917"/>
    <w:rsid w:val="000C378D"/>
    <w:rsid w:val="000C4027"/>
    <w:rsid w:val="000C4441"/>
    <w:rsid w:val="000D2105"/>
    <w:rsid w:val="000E116A"/>
    <w:rsid w:val="000F6820"/>
    <w:rsid w:val="000F7D07"/>
    <w:rsid w:val="0011234C"/>
    <w:rsid w:val="00121B05"/>
    <w:rsid w:val="0012210F"/>
    <w:rsid w:val="00130979"/>
    <w:rsid w:val="00131961"/>
    <w:rsid w:val="00137892"/>
    <w:rsid w:val="001526E9"/>
    <w:rsid w:val="00152FC3"/>
    <w:rsid w:val="00155A71"/>
    <w:rsid w:val="0016196F"/>
    <w:rsid w:val="001775CA"/>
    <w:rsid w:val="001846A5"/>
    <w:rsid w:val="00185ABD"/>
    <w:rsid w:val="00186C85"/>
    <w:rsid w:val="00187630"/>
    <w:rsid w:val="00191D34"/>
    <w:rsid w:val="00192A80"/>
    <w:rsid w:val="0019385E"/>
    <w:rsid w:val="001A06C4"/>
    <w:rsid w:val="001A37CD"/>
    <w:rsid w:val="001B2812"/>
    <w:rsid w:val="001B50F6"/>
    <w:rsid w:val="001B54B2"/>
    <w:rsid w:val="001C2165"/>
    <w:rsid w:val="001C259B"/>
    <w:rsid w:val="001C694D"/>
    <w:rsid w:val="001C7739"/>
    <w:rsid w:val="001D2F22"/>
    <w:rsid w:val="001D5075"/>
    <w:rsid w:val="001D692A"/>
    <w:rsid w:val="001D6E7B"/>
    <w:rsid w:val="001E0F4E"/>
    <w:rsid w:val="001E12DB"/>
    <w:rsid w:val="001E4AA8"/>
    <w:rsid w:val="001F3A2E"/>
    <w:rsid w:val="00202368"/>
    <w:rsid w:val="00205FCF"/>
    <w:rsid w:val="00212CFF"/>
    <w:rsid w:val="002168B5"/>
    <w:rsid w:val="002172FD"/>
    <w:rsid w:val="002200C6"/>
    <w:rsid w:val="00220412"/>
    <w:rsid w:val="00230813"/>
    <w:rsid w:val="00230D78"/>
    <w:rsid w:val="00231A09"/>
    <w:rsid w:val="00234CED"/>
    <w:rsid w:val="0023555F"/>
    <w:rsid w:val="00245D72"/>
    <w:rsid w:val="0024746B"/>
    <w:rsid w:val="00251989"/>
    <w:rsid w:val="002529C0"/>
    <w:rsid w:val="00257DE8"/>
    <w:rsid w:val="002636CA"/>
    <w:rsid w:val="00263E7B"/>
    <w:rsid w:val="00277D7D"/>
    <w:rsid w:val="00282CF6"/>
    <w:rsid w:val="00292D08"/>
    <w:rsid w:val="002A32D2"/>
    <w:rsid w:val="002A4BC3"/>
    <w:rsid w:val="002A703B"/>
    <w:rsid w:val="002B216E"/>
    <w:rsid w:val="002B2A26"/>
    <w:rsid w:val="002C1DD3"/>
    <w:rsid w:val="002C2C38"/>
    <w:rsid w:val="002C2FC6"/>
    <w:rsid w:val="002C6387"/>
    <w:rsid w:val="002C74FB"/>
    <w:rsid w:val="002E54EB"/>
    <w:rsid w:val="002E5F79"/>
    <w:rsid w:val="002F0045"/>
    <w:rsid w:val="002F3369"/>
    <w:rsid w:val="002F53EA"/>
    <w:rsid w:val="003063FE"/>
    <w:rsid w:val="00310362"/>
    <w:rsid w:val="003106AF"/>
    <w:rsid w:val="003110A6"/>
    <w:rsid w:val="00311F62"/>
    <w:rsid w:val="00317F50"/>
    <w:rsid w:val="00320BB4"/>
    <w:rsid w:val="003272C1"/>
    <w:rsid w:val="00330436"/>
    <w:rsid w:val="00334E08"/>
    <w:rsid w:val="00335520"/>
    <w:rsid w:val="0033711E"/>
    <w:rsid w:val="00340BD7"/>
    <w:rsid w:val="00341982"/>
    <w:rsid w:val="0034495F"/>
    <w:rsid w:val="003509DA"/>
    <w:rsid w:val="0035177D"/>
    <w:rsid w:val="00351B63"/>
    <w:rsid w:val="003527CE"/>
    <w:rsid w:val="00353E61"/>
    <w:rsid w:val="00355728"/>
    <w:rsid w:val="003558D9"/>
    <w:rsid w:val="00355D61"/>
    <w:rsid w:val="00363046"/>
    <w:rsid w:val="003735B0"/>
    <w:rsid w:val="003738A2"/>
    <w:rsid w:val="003753A3"/>
    <w:rsid w:val="0037773C"/>
    <w:rsid w:val="0038025D"/>
    <w:rsid w:val="003824E5"/>
    <w:rsid w:val="00382CDD"/>
    <w:rsid w:val="00383D8C"/>
    <w:rsid w:val="00384FD4"/>
    <w:rsid w:val="00385932"/>
    <w:rsid w:val="0038754F"/>
    <w:rsid w:val="00393798"/>
    <w:rsid w:val="003A1D01"/>
    <w:rsid w:val="003A50C5"/>
    <w:rsid w:val="003B19F1"/>
    <w:rsid w:val="003B1DAD"/>
    <w:rsid w:val="003B2076"/>
    <w:rsid w:val="003B65F4"/>
    <w:rsid w:val="003C0180"/>
    <w:rsid w:val="003C1B0D"/>
    <w:rsid w:val="003C34D0"/>
    <w:rsid w:val="003D0DE9"/>
    <w:rsid w:val="003D1968"/>
    <w:rsid w:val="003D3ACE"/>
    <w:rsid w:val="003D3B0C"/>
    <w:rsid w:val="003D4FC5"/>
    <w:rsid w:val="003E2B1E"/>
    <w:rsid w:val="003E52AE"/>
    <w:rsid w:val="003F15C5"/>
    <w:rsid w:val="003F346B"/>
    <w:rsid w:val="00405769"/>
    <w:rsid w:val="00413BFD"/>
    <w:rsid w:val="00413FFF"/>
    <w:rsid w:val="00416473"/>
    <w:rsid w:val="0042244E"/>
    <w:rsid w:val="004252CB"/>
    <w:rsid w:val="00427DCA"/>
    <w:rsid w:val="0043013C"/>
    <w:rsid w:val="00442F50"/>
    <w:rsid w:val="00443C71"/>
    <w:rsid w:val="0045468F"/>
    <w:rsid w:val="00454C91"/>
    <w:rsid w:val="0045614B"/>
    <w:rsid w:val="0045730F"/>
    <w:rsid w:val="00462262"/>
    <w:rsid w:val="00462F0F"/>
    <w:rsid w:val="00463DC6"/>
    <w:rsid w:val="00464873"/>
    <w:rsid w:val="00473479"/>
    <w:rsid w:val="00476EEF"/>
    <w:rsid w:val="004817FF"/>
    <w:rsid w:val="00481B94"/>
    <w:rsid w:val="00482BDA"/>
    <w:rsid w:val="0049237F"/>
    <w:rsid w:val="00495779"/>
    <w:rsid w:val="004A58BE"/>
    <w:rsid w:val="004A5FD4"/>
    <w:rsid w:val="004A7885"/>
    <w:rsid w:val="004B044D"/>
    <w:rsid w:val="004B3194"/>
    <w:rsid w:val="004B58B2"/>
    <w:rsid w:val="004B6952"/>
    <w:rsid w:val="004C36E0"/>
    <w:rsid w:val="004C48A9"/>
    <w:rsid w:val="004C5348"/>
    <w:rsid w:val="004C65EA"/>
    <w:rsid w:val="004C6FFE"/>
    <w:rsid w:val="004D270A"/>
    <w:rsid w:val="004D5512"/>
    <w:rsid w:val="004E1139"/>
    <w:rsid w:val="004E25D7"/>
    <w:rsid w:val="004E3B69"/>
    <w:rsid w:val="004F7EEA"/>
    <w:rsid w:val="00503EE8"/>
    <w:rsid w:val="0050482F"/>
    <w:rsid w:val="00512382"/>
    <w:rsid w:val="005126DF"/>
    <w:rsid w:val="00524C33"/>
    <w:rsid w:val="00524D36"/>
    <w:rsid w:val="00530561"/>
    <w:rsid w:val="0053724B"/>
    <w:rsid w:val="00544621"/>
    <w:rsid w:val="00545760"/>
    <w:rsid w:val="00546F6B"/>
    <w:rsid w:val="00546FD4"/>
    <w:rsid w:val="00553454"/>
    <w:rsid w:val="0055592E"/>
    <w:rsid w:val="0055678B"/>
    <w:rsid w:val="00563799"/>
    <w:rsid w:val="0057069F"/>
    <w:rsid w:val="005710A1"/>
    <w:rsid w:val="0057267A"/>
    <w:rsid w:val="00580A2C"/>
    <w:rsid w:val="00587FA9"/>
    <w:rsid w:val="005920A7"/>
    <w:rsid w:val="005923D0"/>
    <w:rsid w:val="00592D99"/>
    <w:rsid w:val="005969D9"/>
    <w:rsid w:val="005A121B"/>
    <w:rsid w:val="005B2B15"/>
    <w:rsid w:val="005B5D7A"/>
    <w:rsid w:val="005C6271"/>
    <w:rsid w:val="005C66EB"/>
    <w:rsid w:val="005D10F7"/>
    <w:rsid w:val="005D31CE"/>
    <w:rsid w:val="005D3E1F"/>
    <w:rsid w:val="005D5018"/>
    <w:rsid w:val="005E1760"/>
    <w:rsid w:val="005E520A"/>
    <w:rsid w:val="005E5E31"/>
    <w:rsid w:val="005E5F73"/>
    <w:rsid w:val="005F5896"/>
    <w:rsid w:val="005F649F"/>
    <w:rsid w:val="00602BC2"/>
    <w:rsid w:val="006036C5"/>
    <w:rsid w:val="00604DB5"/>
    <w:rsid w:val="00606A3E"/>
    <w:rsid w:val="00613CE6"/>
    <w:rsid w:val="006145D5"/>
    <w:rsid w:val="00630BD6"/>
    <w:rsid w:val="00636DAE"/>
    <w:rsid w:val="00647FD5"/>
    <w:rsid w:val="006565D5"/>
    <w:rsid w:val="00656754"/>
    <w:rsid w:val="00660644"/>
    <w:rsid w:val="006622E7"/>
    <w:rsid w:val="006624FD"/>
    <w:rsid w:val="0066718D"/>
    <w:rsid w:val="00671C05"/>
    <w:rsid w:val="00672A00"/>
    <w:rsid w:val="00681D64"/>
    <w:rsid w:val="0068341C"/>
    <w:rsid w:val="00683425"/>
    <w:rsid w:val="00691C40"/>
    <w:rsid w:val="006924E7"/>
    <w:rsid w:val="006934E8"/>
    <w:rsid w:val="006B055F"/>
    <w:rsid w:val="006B2FE8"/>
    <w:rsid w:val="006B7638"/>
    <w:rsid w:val="006C3FE7"/>
    <w:rsid w:val="006C6A0D"/>
    <w:rsid w:val="006F2F3C"/>
    <w:rsid w:val="006F4322"/>
    <w:rsid w:val="006F584F"/>
    <w:rsid w:val="006F5E6E"/>
    <w:rsid w:val="006F7D4B"/>
    <w:rsid w:val="00700FFD"/>
    <w:rsid w:val="00702022"/>
    <w:rsid w:val="00702221"/>
    <w:rsid w:val="007064CB"/>
    <w:rsid w:val="00714B5F"/>
    <w:rsid w:val="00715F83"/>
    <w:rsid w:val="0072083A"/>
    <w:rsid w:val="00720C4E"/>
    <w:rsid w:val="00723E4A"/>
    <w:rsid w:val="00727ECE"/>
    <w:rsid w:val="00730DF5"/>
    <w:rsid w:val="007376C8"/>
    <w:rsid w:val="00741AC8"/>
    <w:rsid w:val="00741CE8"/>
    <w:rsid w:val="007422D2"/>
    <w:rsid w:val="00742B77"/>
    <w:rsid w:val="00743502"/>
    <w:rsid w:val="00744053"/>
    <w:rsid w:val="00744395"/>
    <w:rsid w:val="007468EE"/>
    <w:rsid w:val="00751329"/>
    <w:rsid w:val="00752E02"/>
    <w:rsid w:val="007552F3"/>
    <w:rsid w:val="00761496"/>
    <w:rsid w:val="0076247D"/>
    <w:rsid w:val="00762A82"/>
    <w:rsid w:val="00762DA2"/>
    <w:rsid w:val="00762F3F"/>
    <w:rsid w:val="00774DC7"/>
    <w:rsid w:val="007760C0"/>
    <w:rsid w:val="00780F5B"/>
    <w:rsid w:val="00783DAC"/>
    <w:rsid w:val="00785011"/>
    <w:rsid w:val="00786987"/>
    <w:rsid w:val="007873E6"/>
    <w:rsid w:val="00791B7B"/>
    <w:rsid w:val="007964DC"/>
    <w:rsid w:val="007A0BD7"/>
    <w:rsid w:val="007A17F0"/>
    <w:rsid w:val="007A2D16"/>
    <w:rsid w:val="007A6500"/>
    <w:rsid w:val="007B027B"/>
    <w:rsid w:val="007B0C66"/>
    <w:rsid w:val="007B1482"/>
    <w:rsid w:val="007B2029"/>
    <w:rsid w:val="007B347D"/>
    <w:rsid w:val="007B688E"/>
    <w:rsid w:val="007C2056"/>
    <w:rsid w:val="007C50BC"/>
    <w:rsid w:val="007C5CEE"/>
    <w:rsid w:val="007D053F"/>
    <w:rsid w:val="007D07E6"/>
    <w:rsid w:val="007D2DEC"/>
    <w:rsid w:val="007E0AE6"/>
    <w:rsid w:val="007E1FF3"/>
    <w:rsid w:val="007E66B2"/>
    <w:rsid w:val="007F6A10"/>
    <w:rsid w:val="00804D10"/>
    <w:rsid w:val="00804FEB"/>
    <w:rsid w:val="00811BB2"/>
    <w:rsid w:val="00813A8B"/>
    <w:rsid w:val="00814C63"/>
    <w:rsid w:val="00821172"/>
    <w:rsid w:val="0082562A"/>
    <w:rsid w:val="00826234"/>
    <w:rsid w:val="008263CF"/>
    <w:rsid w:val="0083185E"/>
    <w:rsid w:val="008340E3"/>
    <w:rsid w:val="00847F88"/>
    <w:rsid w:val="00850552"/>
    <w:rsid w:val="00861A57"/>
    <w:rsid w:val="00863A11"/>
    <w:rsid w:val="00867C55"/>
    <w:rsid w:val="008733DE"/>
    <w:rsid w:val="008745E5"/>
    <w:rsid w:val="008806FA"/>
    <w:rsid w:val="00883A3B"/>
    <w:rsid w:val="008908A8"/>
    <w:rsid w:val="008917A7"/>
    <w:rsid w:val="008A0AD6"/>
    <w:rsid w:val="008A3D29"/>
    <w:rsid w:val="008A53CE"/>
    <w:rsid w:val="008B21C8"/>
    <w:rsid w:val="008B2DC5"/>
    <w:rsid w:val="008B32AF"/>
    <w:rsid w:val="008B7E45"/>
    <w:rsid w:val="008C06BA"/>
    <w:rsid w:val="008C17C9"/>
    <w:rsid w:val="008C1BBC"/>
    <w:rsid w:val="008C2A6B"/>
    <w:rsid w:val="008C34D3"/>
    <w:rsid w:val="008D1426"/>
    <w:rsid w:val="008D421A"/>
    <w:rsid w:val="008D5389"/>
    <w:rsid w:val="008D5C45"/>
    <w:rsid w:val="008D6332"/>
    <w:rsid w:val="008E4016"/>
    <w:rsid w:val="008E669D"/>
    <w:rsid w:val="008F0543"/>
    <w:rsid w:val="008F33C8"/>
    <w:rsid w:val="0090595B"/>
    <w:rsid w:val="00913055"/>
    <w:rsid w:val="00913BF6"/>
    <w:rsid w:val="00920046"/>
    <w:rsid w:val="00920533"/>
    <w:rsid w:val="00921BE0"/>
    <w:rsid w:val="009249D5"/>
    <w:rsid w:val="00927C01"/>
    <w:rsid w:val="0093107C"/>
    <w:rsid w:val="00931508"/>
    <w:rsid w:val="00932427"/>
    <w:rsid w:val="009352BF"/>
    <w:rsid w:val="00936A0B"/>
    <w:rsid w:val="00940E4B"/>
    <w:rsid w:val="00941916"/>
    <w:rsid w:val="00947FF8"/>
    <w:rsid w:val="00961ABB"/>
    <w:rsid w:val="00962A71"/>
    <w:rsid w:val="00963934"/>
    <w:rsid w:val="00963A9F"/>
    <w:rsid w:val="00973DA4"/>
    <w:rsid w:val="0098085D"/>
    <w:rsid w:val="00982489"/>
    <w:rsid w:val="009946D6"/>
    <w:rsid w:val="0099546F"/>
    <w:rsid w:val="009958DC"/>
    <w:rsid w:val="00995D10"/>
    <w:rsid w:val="00997085"/>
    <w:rsid w:val="009A315C"/>
    <w:rsid w:val="009A5554"/>
    <w:rsid w:val="009A5BE7"/>
    <w:rsid w:val="009B113E"/>
    <w:rsid w:val="009B2D9B"/>
    <w:rsid w:val="009B4B7E"/>
    <w:rsid w:val="009C0EEE"/>
    <w:rsid w:val="009C1193"/>
    <w:rsid w:val="009C18AB"/>
    <w:rsid w:val="009C6F9D"/>
    <w:rsid w:val="009C74BE"/>
    <w:rsid w:val="009D0FEA"/>
    <w:rsid w:val="009D5752"/>
    <w:rsid w:val="009D6A7B"/>
    <w:rsid w:val="009D7192"/>
    <w:rsid w:val="009E169E"/>
    <w:rsid w:val="009E5E2A"/>
    <w:rsid w:val="009E6C14"/>
    <w:rsid w:val="009E74C4"/>
    <w:rsid w:val="009F0C15"/>
    <w:rsid w:val="009F20C4"/>
    <w:rsid w:val="00A006FE"/>
    <w:rsid w:val="00A02354"/>
    <w:rsid w:val="00A04144"/>
    <w:rsid w:val="00A07C21"/>
    <w:rsid w:val="00A105F8"/>
    <w:rsid w:val="00A119B3"/>
    <w:rsid w:val="00A12F92"/>
    <w:rsid w:val="00A17F59"/>
    <w:rsid w:val="00A259B7"/>
    <w:rsid w:val="00A32AE3"/>
    <w:rsid w:val="00A43B3F"/>
    <w:rsid w:val="00A44D89"/>
    <w:rsid w:val="00A46F2E"/>
    <w:rsid w:val="00A554DF"/>
    <w:rsid w:val="00A61B9D"/>
    <w:rsid w:val="00A648DD"/>
    <w:rsid w:val="00A66B60"/>
    <w:rsid w:val="00A75D9D"/>
    <w:rsid w:val="00A82AAD"/>
    <w:rsid w:val="00A86451"/>
    <w:rsid w:val="00A90A68"/>
    <w:rsid w:val="00A9300D"/>
    <w:rsid w:val="00A94D5C"/>
    <w:rsid w:val="00A966A2"/>
    <w:rsid w:val="00AA3045"/>
    <w:rsid w:val="00AA3E2E"/>
    <w:rsid w:val="00AB505D"/>
    <w:rsid w:val="00AB637F"/>
    <w:rsid w:val="00AB70E5"/>
    <w:rsid w:val="00AC11DA"/>
    <w:rsid w:val="00AC1BD4"/>
    <w:rsid w:val="00AC30C5"/>
    <w:rsid w:val="00AC3578"/>
    <w:rsid w:val="00AC73E9"/>
    <w:rsid w:val="00AD3284"/>
    <w:rsid w:val="00AD4ABB"/>
    <w:rsid w:val="00AD6D2B"/>
    <w:rsid w:val="00AD7533"/>
    <w:rsid w:val="00AE42F2"/>
    <w:rsid w:val="00AE5435"/>
    <w:rsid w:val="00AF17A5"/>
    <w:rsid w:val="00AF2E1C"/>
    <w:rsid w:val="00AF7940"/>
    <w:rsid w:val="00B01FB5"/>
    <w:rsid w:val="00B02C13"/>
    <w:rsid w:val="00B03358"/>
    <w:rsid w:val="00B04908"/>
    <w:rsid w:val="00B10386"/>
    <w:rsid w:val="00B137EB"/>
    <w:rsid w:val="00B16B13"/>
    <w:rsid w:val="00B225CA"/>
    <w:rsid w:val="00B257F3"/>
    <w:rsid w:val="00B266C5"/>
    <w:rsid w:val="00B3037C"/>
    <w:rsid w:val="00B33563"/>
    <w:rsid w:val="00B4478E"/>
    <w:rsid w:val="00B44A85"/>
    <w:rsid w:val="00B501B6"/>
    <w:rsid w:val="00B56C42"/>
    <w:rsid w:val="00B56E3D"/>
    <w:rsid w:val="00B62722"/>
    <w:rsid w:val="00B826E4"/>
    <w:rsid w:val="00B84085"/>
    <w:rsid w:val="00B8672D"/>
    <w:rsid w:val="00B86C13"/>
    <w:rsid w:val="00B8723C"/>
    <w:rsid w:val="00B94D26"/>
    <w:rsid w:val="00B956F5"/>
    <w:rsid w:val="00BA2AF8"/>
    <w:rsid w:val="00BA425C"/>
    <w:rsid w:val="00BA7B68"/>
    <w:rsid w:val="00BB747C"/>
    <w:rsid w:val="00BB7C49"/>
    <w:rsid w:val="00BC1D40"/>
    <w:rsid w:val="00BC5FF8"/>
    <w:rsid w:val="00BC68CE"/>
    <w:rsid w:val="00BD1DE8"/>
    <w:rsid w:val="00BE0F0C"/>
    <w:rsid w:val="00BE2674"/>
    <w:rsid w:val="00C03742"/>
    <w:rsid w:val="00C05872"/>
    <w:rsid w:val="00C12525"/>
    <w:rsid w:val="00C161A5"/>
    <w:rsid w:val="00C20D61"/>
    <w:rsid w:val="00C2337D"/>
    <w:rsid w:val="00C26616"/>
    <w:rsid w:val="00C314EB"/>
    <w:rsid w:val="00C3199B"/>
    <w:rsid w:val="00C3398F"/>
    <w:rsid w:val="00C463DD"/>
    <w:rsid w:val="00C507CC"/>
    <w:rsid w:val="00C5334D"/>
    <w:rsid w:val="00C57656"/>
    <w:rsid w:val="00C62165"/>
    <w:rsid w:val="00C6222D"/>
    <w:rsid w:val="00C64A4F"/>
    <w:rsid w:val="00C72FEC"/>
    <w:rsid w:val="00C76FC6"/>
    <w:rsid w:val="00C772BB"/>
    <w:rsid w:val="00C903B2"/>
    <w:rsid w:val="00C977F8"/>
    <w:rsid w:val="00CA3EEC"/>
    <w:rsid w:val="00CA514F"/>
    <w:rsid w:val="00CA5444"/>
    <w:rsid w:val="00CA7452"/>
    <w:rsid w:val="00CB24A7"/>
    <w:rsid w:val="00CB4D2B"/>
    <w:rsid w:val="00CC1C36"/>
    <w:rsid w:val="00CC4F77"/>
    <w:rsid w:val="00CC7F3B"/>
    <w:rsid w:val="00CD5CF1"/>
    <w:rsid w:val="00CD5E63"/>
    <w:rsid w:val="00CD697E"/>
    <w:rsid w:val="00CE43ED"/>
    <w:rsid w:val="00CF11E7"/>
    <w:rsid w:val="00CF226D"/>
    <w:rsid w:val="00CF333E"/>
    <w:rsid w:val="00CF58A0"/>
    <w:rsid w:val="00CF7522"/>
    <w:rsid w:val="00D02D14"/>
    <w:rsid w:val="00D03221"/>
    <w:rsid w:val="00D12F43"/>
    <w:rsid w:val="00D1798C"/>
    <w:rsid w:val="00D225FB"/>
    <w:rsid w:val="00D34F51"/>
    <w:rsid w:val="00D35D5A"/>
    <w:rsid w:val="00D36D5C"/>
    <w:rsid w:val="00D42AD1"/>
    <w:rsid w:val="00D46354"/>
    <w:rsid w:val="00D53C83"/>
    <w:rsid w:val="00D57D9F"/>
    <w:rsid w:val="00D67704"/>
    <w:rsid w:val="00D77EF2"/>
    <w:rsid w:val="00D902AB"/>
    <w:rsid w:val="00D95D66"/>
    <w:rsid w:val="00DA3226"/>
    <w:rsid w:val="00DA4ABC"/>
    <w:rsid w:val="00DB5F3F"/>
    <w:rsid w:val="00DC4019"/>
    <w:rsid w:val="00DD174E"/>
    <w:rsid w:val="00DD1DC3"/>
    <w:rsid w:val="00DD73A6"/>
    <w:rsid w:val="00DE32BA"/>
    <w:rsid w:val="00DF0FC6"/>
    <w:rsid w:val="00E00CC7"/>
    <w:rsid w:val="00E05A22"/>
    <w:rsid w:val="00E20433"/>
    <w:rsid w:val="00E20AFC"/>
    <w:rsid w:val="00E254F8"/>
    <w:rsid w:val="00E26357"/>
    <w:rsid w:val="00E27D93"/>
    <w:rsid w:val="00E410AF"/>
    <w:rsid w:val="00E453B0"/>
    <w:rsid w:val="00E5025C"/>
    <w:rsid w:val="00E5050B"/>
    <w:rsid w:val="00E514D9"/>
    <w:rsid w:val="00E60525"/>
    <w:rsid w:val="00E6352E"/>
    <w:rsid w:val="00E64654"/>
    <w:rsid w:val="00E6723D"/>
    <w:rsid w:val="00E677D4"/>
    <w:rsid w:val="00E70837"/>
    <w:rsid w:val="00E754B6"/>
    <w:rsid w:val="00E76499"/>
    <w:rsid w:val="00E7710E"/>
    <w:rsid w:val="00E90F15"/>
    <w:rsid w:val="00EA076B"/>
    <w:rsid w:val="00EA2CAD"/>
    <w:rsid w:val="00EA4A53"/>
    <w:rsid w:val="00EA5EA5"/>
    <w:rsid w:val="00EB343C"/>
    <w:rsid w:val="00EB3717"/>
    <w:rsid w:val="00EB531B"/>
    <w:rsid w:val="00EB68AF"/>
    <w:rsid w:val="00EB7254"/>
    <w:rsid w:val="00EB7522"/>
    <w:rsid w:val="00EC0C89"/>
    <w:rsid w:val="00EC4846"/>
    <w:rsid w:val="00EC4A08"/>
    <w:rsid w:val="00ED16F8"/>
    <w:rsid w:val="00ED186C"/>
    <w:rsid w:val="00ED3EBB"/>
    <w:rsid w:val="00ED55F8"/>
    <w:rsid w:val="00EE03E5"/>
    <w:rsid w:val="00EE09B0"/>
    <w:rsid w:val="00EE4D45"/>
    <w:rsid w:val="00EF2766"/>
    <w:rsid w:val="00EF2EA2"/>
    <w:rsid w:val="00F00499"/>
    <w:rsid w:val="00F02FB6"/>
    <w:rsid w:val="00F038E2"/>
    <w:rsid w:val="00F12DAC"/>
    <w:rsid w:val="00F177CB"/>
    <w:rsid w:val="00F25200"/>
    <w:rsid w:val="00F31A53"/>
    <w:rsid w:val="00F324C3"/>
    <w:rsid w:val="00F4000C"/>
    <w:rsid w:val="00F450CB"/>
    <w:rsid w:val="00F476D8"/>
    <w:rsid w:val="00F51713"/>
    <w:rsid w:val="00F54FF7"/>
    <w:rsid w:val="00F5686D"/>
    <w:rsid w:val="00F57BAD"/>
    <w:rsid w:val="00F62105"/>
    <w:rsid w:val="00F66271"/>
    <w:rsid w:val="00F71629"/>
    <w:rsid w:val="00F753B8"/>
    <w:rsid w:val="00F776D6"/>
    <w:rsid w:val="00F80FD3"/>
    <w:rsid w:val="00F811B3"/>
    <w:rsid w:val="00F84A6A"/>
    <w:rsid w:val="00F91DFB"/>
    <w:rsid w:val="00F962F9"/>
    <w:rsid w:val="00F9788D"/>
    <w:rsid w:val="00FA00F3"/>
    <w:rsid w:val="00FA0D9C"/>
    <w:rsid w:val="00FA159C"/>
    <w:rsid w:val="00FA2083"/>
    <w:rsid w:val="00FA3CEF"/>
    <w:rsid w:val="00FA4340"/>
    <w:rsid w:val="00FA471C"/>
    <w:rsid w:val="00FA5C10"/>
    <w:rsid w:val="00FA619A"/>
    <w:rsid w:val="00FB00BE"/>
    <w:rsid w:val="00FC03BC"/>
    <w:rsid w:val="00FC069C"/>
    <w:rsid w:val="00FC069F"/>
    <w:rsid w:val="00FC5F0C"/>
    <w:rsid w:val="00FD0FF6"/>
    <w:rsid w:val="00FD1C4C"/>
    <w:rsid w:val="00FD2A3E"/>
    <w:rsid w:val="00FD579B"/>
    <w:rsid w:val="00FD6A54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E1F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A10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Nadpis pro KZ"/>
    <w:basedOn w:val="Normln"/>
    <w:uiPriority w:val="34"/>
    <w:qFormat/>
    <w:rsid w:val="005D3E1F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5D3E1F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5D3E1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E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3E1F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5D3E1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E1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D3E1F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43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432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FA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C5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C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C5CE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C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5C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"/>
    <w:rsid w:val="007F6A10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7F6A10"/>
    <w:pPr>
      <w:spacing w:after="120"/>
    </w:pPr>
    <w:rPr>
      <w:rFonts w:ascii="Arial" w:hAnsi="Arial" w:cs="Arial"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68E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468EE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7468EE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780F5B"/>
    <w:pPr>
      <w:spacing w:after="300"/>
      <w:contextualSpacing/>
      <w:jc w:val="left"/>
    </w:pPr>
    <w:rPr>
      <w:rFonts w:ascii="Arial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780F5B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character" w:styleId="Zdraznnintenzivn">
    <w:name w:val="Intense Emphasis"/>
    <w:uiPriority w:val="21"/>
    <w:qFormat/>
    <w:rsid w:val="00780F5B"/>
    <w:rPr>
      <w:b/>
      <w:bCs/>
      <w:i/>
      <w:iCs/>
      <w:color w:val="4F81BD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0F5B"/>
    <w:pPr>
      <w:numPr>
        <w:ilvl w:val="1"/>
      </w:numPr>
      <w:spacing w:line="260" w:lineRule="exact"/>
      <w:jc w:val="left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link w:val="Podtitul"/>
    <w:uiPriority w:val="11"/>
    <w:rsid w:val="00780F5B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normlnmezera">
    <w:name w:val="normální mezera"/>
    <w:basedOn w:val="Normln"/>
    <w:qFormat/>
    <w:rsid w:val="00780F5B"/>
    <w:pPr>
      <w:spacing w:before="120"/>
    </w:pPr>
    <w:rPr>
      <w:rFonts w:ascii="Arial" w:hAnsi="Arial"/>
      <w:sz w:val="22"/>
      <w:szCs w:val="24"/>
    </w:rPr>
  </w:style>
  <w:style w:type="paragraph" w:customStyle="1" w:styleId="Default">
    <w:name w:val="Default"/>
    <w:rsid w:val="00720C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691C40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nhideWhenUsed/>
    <w:rsid w:val="001A06C4"/>
    <w:pPr>
      <w:spacing w:before="100" w:beforeAutospacing="1" w:after="100" w:afterAutospacing="1"/>
      <w:jc w:val="left"/>
    </w:pPr>
    <w:rPr>
      <w:szCs w:val="24"/>
      <w:lang w:eastAsia="cs-CZ"/>
    </w:rPr>
  </w:style>
  <w:style w:type="paragraph" w:styleId="Revize">
    <w:name w:val="Revision"/>
    <w:hidden/>
    <w:uiPriority w:val="99"/>
    <w:semiHidden/>
    <w:rsid w:val="00335520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E1F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A10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Nadpis pro KZ"/>
    <w:basedOn w:val="Normln"/>
    <w:uiPriority w:val="34"/>
    <w:qFormat/>
    <w:rsid w:val="005D3E1F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5D3E1F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5D3E1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E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3E1F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5D3E1F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E1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D3E1F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43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432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FA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C5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C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C5CE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C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5C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"/>
    <w:rsid w:val="007F6A10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7F6A10"/>
    <w:pPr>
      <w:spacing w:after="120"/>
    </w:pPr>
    <w:rPr>
      <w:rFonts w:ascii="Arial" w:hAnsi="Arial" w:cs="Arial"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68E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468EE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7468EE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780F5B"/>
    <w:pPr>
      <w:spacing w:after="300"/>
      <w:contextualSpacing/>
      <w:jc w:val="left"/>
    </w:pPr>
    <w:rPr>
      <w:rFonts w:ascii="Arial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780F5B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character" w:styleId="Zdraznnintenzivn">
    <w:name w:val="Intense Emphasis"/>
    <w:uiPriority w:val="21"/>
    <w:qFormat/>
    <w:rsid w:val="00780F5B"/>
    <w:rPr>
      <w:b/>
      <w:bCs/>
      <w:i/>
      <w:iCs/>
      <w:color w:val="4F81BD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0F5B"/>
    <w:pPr>
      <w:numPr>
        <w:ilvl w:val="1"/>
      </w:numPr>
      <w:spacing w:line="260" w:lineRule="exact"/>
      <w:jc w:val="left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link w:val="Podtitul"/>
    <w:uiPriority w:val="11"/>
    <w:rsid w:val="00780F5B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normlnmezera">
    <w:name w:val="normální mezera"/>
    <w:basedOn w:val="Normln"/>
    <w:qFormat/>
    <w:rsid w:val="00780F5B"/>
    <w:pPr>
      <w:spacing w:before="120"/>
    </w:pPr>
    <w:rPr>
      <w:rFonts w:ascii="Arial" w:hAnsi="Arial"/>
      <w:sz w:val="22"/>
      <w:szCs w:val="24"/>
    </w:rPr>
  </w:style>
  <w:style w:type="paragraph" w:customStyle="1" w:styleId="Default">
    <w:name w:val="Default"/>
    <w:rsid w:val="00720C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691C40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ormlnweb">
    <w:name w:val="Normal (Web)"/>
    <w:basedOn w:val="Normln"/>
    <w:unhideWhenUsed/>
    <w:rsid w:val="001A06C4"/>
    <w:pPr>
      <w:spacing w:before="100" w:beforeAutospacing="1" w:after="100" w:afterAutospacing="1"/>
      <w:jc w:val="left"/>
    </w:pPr>
    <w:rPr>
      <w:szCs w:val="24"/>
      <w:lang w:eastAsia="cs-CZ"/>
    </w:rPr>
  </w:style>
  <w:style w:type="paragraph" w:styleId="Revize">
    <w:name w:val="Revision"/>
    <w:hidden/>
    <w:uiPriority w:val="99"/>
    <w:semiHidden/>
    <w:rsid w:val="00335520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9939-6805-469F-9AA7-972B9D491935}"/>
</file>

<file path=customXml/itemProps2.xml><?xml version="1.0" encoding="utf-8"?>
<ds:datastoreItem xmlns:ds="http://schemas.openxmlformats.org/officeDocument/2006/customXml" ds:itemID="{0D43598B-D4D8-4DD5-B4CE-68339DACB558}"/>
</file>

<file path=customXml/itemProps3.xml><?xml version="1.0" encoding="utf-8"?>
<ds:datastoreItem xmlns:ds="http://schemas.openxmlformats.org/officeDocument/2006/customXml" ds:itemID="{A3DA5C7E-6EB2-48BC-A5FA-582EF6B7C9F2}"/>
</file>

<file path=customXml/itemProps4.xml><?xml version="1.0" encoding="utf-8"?>
<ds:datastoreItem xmlns:ds="http://schemas.openxmlformats.org/officeDocument/2006/customXml" ds:itemID="{1320B342-FB99-4AEE-8415-544A871F412E}"/>
</file>

<file path=customXml/itemProps5.xml><?xml version="1.0" encoding="utf-8"?>
<ds:datastoreItem xmlns:ds="http://schemas.openxmlformats.org/officeDocument/2006/customXml" ds:itemID="{54C9C9F8-81A3-49F6-815D-89CBBBF60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3226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12/07</vt:lpstr>
    </vt:vector>
  </TitlesOfParts>
  <Company>NKU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12/36</dc:title>
  <dc:creator>Brandt Zdeněk;Pouska Václav;Vraný Václav</dc:creator>
  <cp:lastModifiedBy>POKORNÁ Jana</cp:lastModifiedBy>
  <cp:revision>3</cp:revision>
  <cp:lastPrinted>2013-09-03T10:25:00Z</cp:lastPrinted>
  <dcterms:created xsi:type="dcterms:W3CDTF">2013-09-04T09:41:00Z</dcterms:created>
  <dcterms:modified xsi:type="dcterms:W3CDTF">2013-09-04T09:53:00Z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12/07-NKU30/1153/12</vt:lpwstr>
  </property>
  <property fmtid="{D5CDD505-2E9C-101B-9397-08002B2CF9AE}" pid="4" name="SZ_Spis_Pisemnost">
    <vt:lpwstr>12/07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*B000166545*</vt:lpwstr>
  </property>
  <property fmtid="{D5CDD505-2E9C-101B-9397-08002B2CF9AE}" pid="8" name="EC_Pisemnost">
    <vt:lpwstr>12-15194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/>
  </property>
  <property fmtid="{D5CDD505-2E9C-101B-9397-08002B2CF9AE}" pid="17" name="Vec_Pisemnost">
    <vt:lpwstr>Kontrolní závěr 12/07 do připomínek </vt:lpwstr>
  </property>
  <property fmtid="{D5CDD505-2E9C-101B-9397-08002B2CF9AE}" pid="18" name="DatumPoriz_Pisemnost">
    <vt:lpwstr>8.11.2012</vt:lpwstr>
  </property>
  <property fmtid="{D5CDD505-2E9C-101B-9397-08002B2CF9AE}" pid="19" name="Contact_PostaOdes_All">
    <vt:lpwstr/>
  </property>
</Properties>
</file>