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2EBA" w14:textId="77777777" w:rsidR="00A63E64" w:rsidRDefault="00A63E64" w:rsidP="007241D6">
      <w:pPr>
        <w:spacing w:after="0" w:line="240" w:lineRule="auto"/>
        <w:jc w:val="center"/>
        <w:rPr>
          <w:rFonts w:cs="Arial"/>
          <w:b/>
          <w:bCs/>
          <w:szCs w:val="2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32B2F71" wp14:editId="532B2F72">
            <wp:simplePos x="0" y="0"/>
            <wp:positionH relativeFrom="column">
              <wp:posOffset>2518410</wp:posOffset>
            </wp:positionH>
            <wp:positionV relativeFrom="paragraph">
              <wp:posOffset>23495</wp:posOffset>
            </wp:positionV>
            <wp:extent cx="790575" cy="558800"/>
            <wp:effectExtent l="0" t="0" r="9525" b="0"/>
            <wp:wrapTopAndBottom/>
            <wp:docPr id="1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32B2EBB" w14:textId="77777777" w:rsidR="00A63E64" w:rsidRDefault="00A63E64" w:rsidP="007241D6">
      <w:pPr>
        <w:spacing w:after="0" w:line="240" w:lineRule="auto"/>
        <w:jc w:val="center"/>
        <w:rPr>
          <w:rFonts w:cs="Arial"/>
          <w:b/>
          <w:bCs/>
          <w:szCs w:val="22"/>
        </w:rPr>
      </w:pPr>
    </w:p>
    <w:p w14:paraId="532B2EBC" w14:textId="77777777" w:rsidR="00A63E64" w:rsidRPr="00412B65" w:rsidRDefault="00A63E64" w:rsidP="007241D6">
      <w:pPr>
        <w:spacing w:after="0" w:line="240" w:lineRule="auto"/>
        <w:jc w:val="center"/>
        <w:rPr>
          <w:b/>
        </w:rPr>
      </w:pPr>
    </w:p>
    <w:p w14:paraId="532B2EBD" w14:textId="77777777" w:rsidR="00A63E64" w:rsidRPr="007241D6" w:rsidRDefault="00A63E64" w:rsidP="007241D6">
      <w:pPr>
        <w:spacing w:after="0" w:line="240" w:lineRule="auto"/>
        <w:jc w:val="center"/>
        <w:rPr>
          <w:b/>
          <w:sz w:val="28"/>
          <w:szCs w:val="28"/>
        </w:rPr>
      </w:pPr>
      <w:r w:rsidRPr="007241D6">
        <w:rPr>
          <w:b/>
          <w:sz w:val="28"/>
          <w:szCs w:val="28"/>
        </w:rPr>
        <w:t>Kontrolní závěr z kontrolní akce</w:t>
      </w:r>
    </w:p>
    <w:p w14:paraId="532B2EBE" w14:textId="77777777" w:rsidR="007241D6" w:rsidRPr="007241D6" w:rsidRDefault="007241D6" w:rsidP="007241D6">
      <w:pPr>
        <w:spacing w:after="0" w:line="240" w:lineRule="auto"/>
        <w:jc w:val="center"/>
        <w:rPr>
          <w:b/>
          <w:szCs w:val="22"/>
        </w:rPr>
      </w:pPr>
    </w:p>
    <w:p w14:paraId="532B2EBF" w14:textId="77777777" w:rsidR="00A63E64" w:rsidRPr="007241D6" w:rsidRDefault="00A63E64" w:rsidP="007241D6">
      <w:pPr>
        <w:spacing w:after="0" w:line="240" w:lineRule="auto"/>
        <w:jc w:val="center"/>
        <w:rPr>
          <w:b/>
          <w:sz w:val="28"/>
          <w:szCs w:val="28"/>
        </w:rPr>
      </w:pPr>
      <w:r w:rsidRPr="007241D6">
        <w:rPr>
          <w:b/>
          <w:sz w:val="28"/>
          <w:szCs w:val="28"/>
        </w:rPr>
        <w:t>13/15</w:t>
      </w:r>
    </w:p>
    <w:p w14:paraId="532B2EC0" w14:textId="77777777" w:rsidR="007241D6" w:rsidRPr="007241D6" w:rsidRDefault="007241D6" w:rsidP="007241D6">
      <w:pPr>
        <w:spacing w:after="0" w:line="240" w:lineRule="auto"/>
        <w:jc w:val="center"/>
        <w:rPr>
          <w:b/>
          <w:szCs w:val="22"/>
        </w:rPr>
      </w:pPr>
    </w:p>
    <w:p w14:paraId="532B2EC1" w14:textId="77777777" w:rsidR="00A63E64" w:rsidRPr="007241D6" w:rsidRDefault="00A63E64" w:rsidP="007241D6">
      <w:pPr>
        <w:spacing w:after="0" w:line="240" w:lineRule="auto"/>
        <w:jc w:val="center"/>
        <w:rPr>
          <w:b/>
          <w:sz w:val="28"/>
          <w:szCs w:val="28"/>
        </w:rPr>
      </w:pPr>
      <w:r w:rsidRPr="007241D6">
        <w:rPr>
          <w:b/>
          <w:sz w:val="28"/>
          <w:szCs w:val="28"/>
        </w:rPr>
        <w:t>Správa odvodů za porušení rozpočtové kázně</w:t>
      </w:r>
    </w:p>
    <w:p w14:paraId="532B2EC2" w14:textId="77777777" w:rsidR="00A63E64" w:rsidRDefault="00A63E64" w:rsidP="007241D6">
      <w:pPr>
        <w:spacing w:after="0" w:line="240" w:lineRule="auto"/>
        <w:rPr>
          <w:szCs w:val="22"/>
        </w:rPr>
      </w:pPr>
    </w:p>
    <w:p w14:paraId="532B2EC3" w14:textId="77777777" w:rsidR="007241D6" w:rsidRPr="007241D6" w:rsidRDefault="007241D6" w:rsidP="007241D6">
      <w:pPr>
        <w:spacing w:after="0" w:line="240" w:lineRule="auto"/>
        <w:rPr>
          <w:szCs w:val="22"/>
        </w:rPr>
      </w:pPr>
    </w:p>
    <w:p w14:paraId="532B2EC4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spacing w:val="-2"/>
          <w:szCs w:val="22"/>
        </w:rPr>
        <w:t xml:space="preserve">Kontrolní akce byla zařazena do plánu kontrolní činnosti Nejvyššího kontrolního úřadu </w:t>
      </w:r>
      <w:r>
        <w:rPr>
          <w:rFonts w:cs="Arial"/>
          <w:szCs w:val="22"/>
        </w:rPr>
        <w:t>(dále jen „NKÚ“) na rok 2013 pod číslem 13/15. Kontrolní akci řídila a</w:t>
      </w:r>
      <w:r w:rsidR="002516F1">
        <w:rPr>
          <w:rFonts w:cs="Arial"/>
          <w:szCs w:val="22"/>
        </w:rPr>
        <w:t> </w:t>
      </w:r>
      <w:r>
        <w:rPr>
          <w:rFonts w:cs="Arial"/>
          <w:szCs w:val="22"/>
        </w:rPr>
        <w:t>kontrolní závěr vypracovala členka NKÚ Mgr.</w:t>
      </w:r>
      <w:r w:rsidR="002516F1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Zdeňka Profeldová. </w:t>
      </w:r>
    </w:p>
    <w:p w14:paraId="532B2EC5" w14:textId="77777777" w:rsidR="007241D6" w:rsidRDefault="007241D6" w:rsidP="007241D6">
      <w:pPr>
        <w:spacing w:after="0" w:line="240" w:lineRule="auto"/>
        <w:rPr>
          <w:rFonts w:cs="Arial"/>
          <w:szCs w:val="22"/>
        </w:rPr>
      </w:pPr>
    </w:p>
    <w:p w14:paraId="532B2EC6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Cílem kontroly bylo prověřit plnění a</w:t>
      </w:r>
      <w:r w:rsidR="002516F1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účinnost opatření k odstranění nedostatků zjištěných při </w:t>
      </w:r>
      <w:r w:rsidRPr="00644DA3">
        <w:rPr>
          <w:rFonts w:cs="Arial"/>
          <w:szCs w:val="22"/>
        </w:rPr>
        <w:t>správě odvodů za porušení rozpočtové kázně</w:t>
      </w:r>
      <w:r>
        <w:rPr>
          <w:rFonts w:cs="Arial"/>
          <w:szCs w:val="22"/>
        </w:rPr>
        <w:t>.</w:t>
      </w:r>
    </w:p>
    <w:p w14:paraId="532B2EC7" w14:textId="77777777" w:rsidR="007241D6" w:rsidRDefault="007241D6" w:rsidP="007241D6">
      <w:pPr>
        <w:spacing w:after="0" w:line="240" w:lineRule="auto"/>
        <w:rPr>
          <w:rFonts w:cs="Arial"/>
          <w:szCs w:val="22"/>
        </w:rPr>
      </w:pPr>
    </w:p>
    <w:p w14:paraId="532B2EC8" w14:textId="77777777" w:rsidR="000F29D0" w:rsidRDefault="000F29D0" w:rsidP="000F29D0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Kontrola byla prováděna od dubna do července 2013. </w:t>
      </w:r>
      <w:r>
        <w:rPr>
          <w:rFonts w:cs="Arial"/>
          <w:spacing w:val="-2"/>
          <w:szCs w:val="22"/>
        </w:rPr>
        <w:t xml:space="preserve">Kontrolováno bylo období od počátku roku 2011 do 1. čtvrtletí 2013, v případě věcných </w:t>
      </w:r>
      <w:r>
        <w:rPr>
          <w:rFonts w:cs="Arial"/>
          <w:szCs w:val="22"/>
        </w:rPr>
        <w:t>souvislostí i období předcházející nebo následující.</w:t>
      </w:r>
    </w:p>
    <w:p w14:paraId="532B2EC9" w14:textId="77777777" w:rsidR="000665F0" w:rsidRDefault="000665F0" w:rsidP="000F29D0">
      <w:pPr>
        <w:spacing w:after="0" w:line="240" w:lineRule="auto"/>
        <w:rPr>
          <w:rFonts w:cs="Arial"/>
          <w:szCs w:val="22"/>
        </w:rPr>
      </w:pPr>
    </w:p>
    <w:p w14:paraId="532B2ECA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Kontrolované osoby:</w:t>
      </w:r>
    </w:p>
    <w:p w14:paraId="532B2ECB" w14:textId="77777777" w:rsidR="003F1A92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Ministerstvo financí</w:t>
      </w:r>
      <w:r w:rsidR="003F1A92">
        <w:rPr>
          <w:rFonts w:cs="Arial"/>
          <w:szCs w:val="22"/>
        </w:rPr>
        <w:t>;</w:t>
      </w:r>
      <w:r>
        <w:rPr>
          <w:rFonts w:cs="Arial"/>
          <w:szCs w:val="22"/>
        </w:rPr>
        <w:t xml:space="preserve"> </w:t>
      </w:r>
    </w:p>
    <w:p w14:paraId="532B2ECC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Generální finanční ředitelství.</w:t>
      </w:r>
    </w:p>
    <w:p w14:paraId="532B2ECD" w14:textId="77777777" w:rsidR="007241D6" w:rsidRDefault="007241D6" w:rsidP="007241D6">
      <w:pPr>
        <w:spacing w:after="0" w:line="240" w:lineRule="auto"/>
        <w:rPr>
          <w:rFonts w:cs="Arial"/>
          <w:szCs w:val="22"/>
        </w:rPr>
      </w:pPr>
    </w:p>
    <w:p w14:paraId="532B2ECE" w14:textId="77777777" w:rsidR="00A63E64" w:rsidRDefault="00A63E64" w:rsidP="007241D6">
      <w:pPr>
        <w:spacing w:after="0" w:line="240" w:lineRule="auto"/>
        <w:rPr>
          <w:rFonts w:cs="Arial"/>
        </w:rPr>
      </w:pPr>
      <w:r>
        <w:rPr>
          <w:rFonts w:cs="Arial"/>
          <w:szCs w:val="22"/>
        </w:rPr>
        <w:t>Námitky proti kontrolnímu protokolu, které podaly Ministerstv</w:t>
      </w:r>
      <w:r w:rsidR="002516F1">
        <w:rPr>
          <w:rFonts w:cs="Arial"/>
          <w:szCs w:val="22"/>
        </w:rPr>
        <w:t>o financí a </w:t>
      </w:r>
      <w:r>
        <w:rPr>
          <w:rFonts w:cs="Arial"/>
          <w:szCs w:val="22"/>
        </w:rPr>
        <w:t>Generální finanční ředitelství, byly vypořádány vedoucími skupi</w:t>
      </w:r>
      <w:r w:rsidR="002516F1">
        <w:rPr>
          <w:rFonts w:cs="Arial"/>
          <w:szCs w:val="22"/>
        </w:rPr>
        <w:t>n kontrolujících rozhodnutími o </w:t>
      </w:r>
      <w:r>
        <w:rPr>
          <w:rFonts w:cs="Arial"/>
          <w:szCs w:val="22"/>
        </w:rPr>
        <w:t xml:space="preserve">námitkách. </w:t>
      </w:r>
      <w:r w:rsidR="002516F1">
        <w:t>Odvolání proti rozhodnutí o </w:t>
      </w:r>
      <w:r w:rsidRPr="00412B65">
        <w:t xml:space="preserve">námitkách podané </w:t>
      </w:r>
      <w:r w:rsidR="007F073F">
        <w:t>Ministerstvem financí</w:t>
      </w:r>
      <w:r w:rsidRPr="00412B65">
        <w:t xml:space="preserve"> bylo vypořádáno usnesením Kolegia NKÚ.</w:t>
      </w:r>
    </w:p>
    <w:p w14:paraId="532B2ECF" w14:textId="77777777" w:rsidR="00A63E64" w:rsidRDefault="00A63E64" w:rsidP="007241D6">
      <w:pPr>
        <w:spacing w:after="0" w:line="240" w:lineRule="auto"/>
        <w:rPr>
          <w:rFonts w:cs="Arial"/>
        </w:rPr>
      </w:pPr>
    </w:p>
    <w:p w14:paraId="532B2ED0" w14:textId="77777777" w:rsidR="00A63E64" w:rsidRPr="003C3ED9" w:rsidRDefault="00A63E64" w:rsidP="007241D6">
      <w:pPr>
        <w:pStyle w:val="Zkladntext"/>
        <w:spacing w:after="0" w:line="240" w:lineRule="auto"/>
        <w:rPr>
          <w:rFonts w:cs="Arial"/>
          <w:szCs w:val="22"/>
        </w:rPr>
      </w:pPr>
      <w:r>
        <w:rPr>
          <w:rFonts w:cs="Arial"/>
          <w:b/>
          <w:i/>
          <w:szCs w:val="22"/>
        </w:rPr>
        <w:t>K o l e g i u m   N K Ú</w:t>
      </w:r>
      <w:r>
        <w:rPr>
          <w:rFonts w:cs="Arial"/>
          <w:szCs w:val="22"/>
        </w:rPr>
        <w:t xml:space="preserve"> </w:t>
      </w:r>
      <w:r w:rsidR="003F1A9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na </w:t>
      </w:r>
      <w:r w:rsidRPr="003C3ED9">
        <w:rPr>
          <w:rFonts w:cs="Arial"/>
          <w:szCs w:val="22"/>
        </w:rPr>
        <w:t xml:space="preserve">svém </w:t>
      </w:r>
      <w:r w:rsidR="00677457">
        <w:rPr>
          <w:rFonts w:cs="Arial"/>
          <w:szCs w:val="22"/>
        </w:rPr>
        <w:t xml:space="preserve">XVII. </w:t>
      </w:r>
      <w:r>
        <w:rPr>
          <w:rFonts w:cs="Arial"/>
          <w:szCs w:val="22"/>
        </w:rPr>
        <w:t xml:space="preserve">zasedání, konaném </w:t>
      </w:r>
      <w:r w:rsidRPr="003C3ED9">
        <w:rPr>
          <w:rFonts w:cs="Arial"/>
          <w:szCs w:val="22"/>
        </w:rPr>
        <w:t xml:space="preserve">dne </w:t>
      </w:r>
      <w:r w:rsidR="00677457">
        <w:rPr>
          <w:rFonts w:cs="Arial"/>
          <w:szCs w:val="22"/>
        </w:rPr>
        <w:t>14.</w:t>
      </w:r>
      <w:r w:rsidR="002516F1">
        <w:rPr>
          <w:rFonts w:cs="Arial"/>
          <w:szCs w:val="22"/>
        </w:rPr>
        <w:t> </w:t>
      </w:r>
      <w:r w:rsidR="00677457">
        <w:rPr>
          <w:rFonts w:cs="Arial"/>
          <w:szCs w:val="22"/>
        </w:rPr>
        <w:t xml:space="preserve">října </w:t>
      </w:r>
      <w:r w:rsidRPr="003C3ED9">
        <w:rPr>
          <w:rFonts w:cs="Arial"/>
          <w:szCs w:val="22"/>
        </w:rPr>
        <w:t>2013,</w:t>
      </w:r>
    </w:p>
    <w:p w14:paraId="532B2ED1" w14:textId="77777777" w:rsidR="00A63E64" w:rsidRPr="003C3ED9" w:rsidRDefault="00A63E64" w:rsidP="007241D6">
      <w:pPr>
        <w:spacing w:after="0" w:line="240" w:lineRule="auto"/>
        <w:rPr>
          <w:rFonts w:cs="Arial"/>
          <w:szCs w:val="22"/>
          <w:shd w:val="clear" w:color="auto" w:fill="FFFF00"/>
        </w:rPr>
      </w:pPr>
      <w:r w:rsidRPr="003C3ED9">
        <w:rPr>
          <w:rFonts w:cs="Arial"/>
          <w:b/>
          <w:i/>
          <w:szCs w:val="22"/>
        </w:rPr>
        <w:t>s c h v á l i l o</w:t>
      </w:r>
      <w:r w:rsidRPr="003C3ED9">
        <w:rPr>
          <w:rFonts w:cs="Arial"/>
          <w:szCs w:val="22"/>
        </w:rPr>
        <w:t xml:space="preserve">   usnesením č. </w:t>
      </w:r>
      <w:r w:rsidR="00934442">
        <w:rPr>
          <w:rFonts w:cs="Arial"/>
          <w:szCs w:val="22"/>
        </w:rPr>
        <w:t>6</w:t>
      </w:r>
      <w:r>
        <w:rPr>
          <w:rFonts w:cs="Arial"/>
          <w:szCs w:val="22"/>
        </w:rPr>
        <w:t>/</w:t>
      </w:r>
      <w:r w:rsidR="00677457">
        <w:rPr>
          <w:rFonts w:cs="Arial"/>
          <w:szCs w:val="22"/>
        </w:rPr>
        <w:t>XVII</w:t>
      </w:r>
      <w:r>
        <w:rPr>
          <w:rFonts w:cs="Arial"/>
          <w:szCs w:val="22"/>
        </w:rPr>
        <w:t>/2013</w:t>
      </w:r>
    </w:p>
    <w:p w14:paraId="532B2ED2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b/>
          <w:i/>
          <w:szCs w:val="22"/>
        </w:rPr>
        <w:t>k o n t r o l n í   z á v ě r</w:t>
      </w:r>
      <w:r>
        <w:rPr>
          <w:rFonts w:cs="Arial"/>
          <w:szCs w:val="22"/>
        </w:rPr>
        <w:t xml:space="preserve">   v tomto znění:</w:t>
      </w:r>
    </w:p>
    <w:p w14:paraId="532B2ED3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</w:p>
    <w:p w14:paraId="532B2ED4" w14:textId="77777777" w:rsidR="007241D6" w:rsidRDefault="007241D6" w:rsidP="007241D6">
      <w:pPr>
        <w:spacing w:after="0" w:line="240" w:lineRule="auto"/>
        <w:rPr>
          <w:rFonts w:cs="Arial"/>
          <w:szCs w:val="22"/>
        </w:rPr>
      </w:pPr>
    </w:p>
    <w:p w14:paraId="532B2ED5" w14:textId="77777777" w:rsidR="00A63E64" w:rsidRPr="007241D6" w:rsidRDefault="007241D6" w:rsidP="007241D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I. </w:t>
      </w:r>
      <w:r w:rsidR="00A63E64" w:rsidRPr="007241D6">
        <w:rPr>
          <w:b/>
          <w:sz w:val="24"/>
        </w:rPr>
        <w:t>Úvod</w:t>
      </w:r>
    </w:p>
    <w:p w14:paraId="532B2ED6" w14:textId="77777777" w:rsidR="007241D6" w:rsidRDefault="007241D6" w:rsidP="007241D6">
      <w:pPr>
        <w:spacing w:after="0" w:line="240" w:lineRule="auto"/>
        <w:rPr>
          <w:rFonts w:cs="Arial"/>
          <w:szCs w:val="22"/>
        </w:rPr>
      </w:pPr>
    </w:p>
    <w:p w14:paraId="532B2ED7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 w:rsidRPr="00367FC1">
        <w:rPr>
          <w:rFonts w:cs="Arial"/>
          <w:szCs w:val="22"/>
        </w:rPr>
        <w:t>Kontrol</w:t>
      </w:r>
      <w:r>
        <w:rPr>
          <w:rFonts w:cs="Arial"/>
          <w:szCs w:val="22"/>
        </w:rPr>
        <w:t>ní akcí</w:t>
      </w:r>
      <w:r w:rsidR="002516F1">
        <w:rPr>
          <w:rFonts w:cs="Arial"/>
          <w:szCs w:val="22"/>
        </w:rPr>
        <w:t xml:space="preserve"> NKÚ č. </w:t>
      </w:r>
      <w:r w:rsidRPr="00367FC1">
        <w:rPr>
          <w:rFonts w:cs="Arial"/>
          <w:szCs w:val="22"/>
        </w:rPr>
        <w:t>10/08</w:t>
      </w:r>
      <w:r w:rsidR="000F29D0">
        <w:rPr>
          <w:rFonts w:cs="Arial"/>
          <w:szCs w:val="22"/>
        </w:rPr>
        <w:t> –</w:t>
      </w:r>
      <w:r w:rsidRPr="00367FC1">
        <w:rPr>
          <w:rFonts w:cs="Arial"/>
          <w:szCs w:val="22"/>
        </w:rPr>
        <w:t xml:space="preserve"> </w:t>
      </w:r>
      <w:r w:rsidRPr="0063098E">
        <w:rPr>
          <w:rFonts w:cs="Arial"/>
          <w:i/>
          <w:szCs w:val="22"/>
        </w:rPr>
        <w:t>Správa odvodů za porušení rozpočtové kázně</w:t>
      </w:r>
      <w:r>
        <w:rPr>
          <w:rFonts w:cs="Arial"/>
          <w:szCs w:val="22"/>
        </w:rPr>
        <w:t>, jejíž</w:t>
      </w:r>
      <w:r w:rsidRPr="00367FC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kontrolní závěr byl Kolegiem </w:t>
      </w:r>
      <w:r w:rsidR="00A45FA5">
        <w:rPr>
          <w:rFonts w:cs="Arial"/>
          <w:szCs w:val="22"/>
        </w:rPr>
        <w:t>NKÚ schválen dne 31. </w:t>
      </w:r>
      <w:r>
        <w:rPr>
          <w:rFonts w:cs="Arial"/>
          <w:szCs w:val="22"/>
        </w:rPr>
        <w:t>ledna 2011 a</w:t>
      </w:r>
      <w:r w:rsidR="00A45FA5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zveřejněn </w:t>
      </w:r>
      <w:r w:rsidR="000F29D0">
        <w:rPr>
          <w:rFonts w:cs="Arial"/>
          <w:szCs w:val="22"/>
        </w:rPr>
        <w:t>v částce 1/2011</w:t>
      </w:r>
      <w:r>
        <w:rPr>
          <w:rFonts w:cs="Arial"/>
          <w:szCs w:val="22"/>
        </w:rPr>
        <w:t xml:space="preserve"> </w:t>
      </w:r>
      <w:r w:rsidRPr="0063098E">
        <w:rPr>
          <w:rFonts w:cs="Arial"/>
          <w:i/>
          <w:szCs w:val="22"/>
        </w:rPr>
        <w:t>Věstníku NKÚ</w:t>
      </w:r>
      <w:r>
        <w:rPr>
          <w:rFonts w:cs="Arial"/>
          <w:szCs w:val="22"/>
        </w:rPr>
        <w:t xml:space="preserve">, </w:t>
      </w:r>
      <w:r w:rsidRPr="00367FC1">
        <w:rPr>
          <w:rFonts w:cs="Arial"/>
          <w:szCs w:val="22"/>
        </w:rPr>
        <w:t xml:space="preserve">byly zjištěny systémové nedostatky negativně ovlivňující efektivnost kontrolované oblasti. Vláda ČR vzala kontrolní závěr na vědomí, avšak nepřijala žádná opatření. Kontrolní výbor Poslanecké sněmovny </w:t>
      </w:r>
      <w:r w:rsidR="000F29D0">
        <w:rPr>
          <w:rFonts w:cs="Arial"/>
          <w:szCs w:val="22"/>
        </w:rPr>
        <w:t xml:space="preserve">Parlamentu </w:t>
      </w:r>
      <w:r w:rsidRPr="00367FC1">
        <w:rPr>
          <w:rFonts w:cs="Arial"/>
          <w:szCs w:val="22"/>
        </w:rPr>
        <w:t xml:space="preserve">ČR (dále </w:t>
      </w:r>
      <w:r w:rsidR="000F29D0">
        <w:rPr>
          <w:rFonts w:cs="Arial"/>
          <w:szCs w:val="22"/>
        </w:rPr>
        <w:t>jen</w:t>
      </w:r>
      <w:r w:rsidRPr="00367FC1">
        <w:rPr>
          <w:rFonts w:cs="Arial"/>
          <w:szCs w:val="22"/>
        </w:rPr>
        <w:t xml:space="preserve"> „Kontrolní výbor“) ke kontrolnímu závěru z </w:t>
      </w:r>
      <w:r>
        <w:rPr>
          <w:rFonts w:cs="Arial"/>
          <w:szCs w:val="22"/>
        </w:rPr>
        <w:t>kontrolní akce</w:t>
      </w:r>
      <w:r w:rsidRPr="00367FC1">
        <w:rPr>
          <w:rFonts w:cs="Arial"/>
          <w:szCs w:val="22"/>
        </w:rPr>
        <w:t xml:space="preserve"> č.</w:t>
      </w:r>
      <w:r w:rsidR="00A45FA5">
        <w:rPr>
          <w:rFonts w:cs="Arial"/>
          <w:szCs w:val="22"/>
        </w:rPr>
        <w:t> </w:t>
      </w:r>
      <w:r w:rsidRPr="00367FC1">
        <w:rPr>
          <w:rFonts w:cs="Arial"/>
          <w:szCs w:val="22"/>
        </w:rPr>
        <w:t>10/08 přijal usnesení č.</w:t>
      </w:r>
      <w:r w:rsidR="00A45FA5">
        <w:rPr>
          <w:rFonts w:cs="Arial"/>
          <w:szCs w:val="22"/>
        </w:rPr>
        <w:t> </w:t>
      </w:r>
      <w:r w:rsidRPr="00367FC1">
        <w:rPr>
          <w:rFonts w:cs="Arial"/>
          <w:szCs w:val="22"/>
        </w:rPr>
        <w:t>87 ze dne 7.</w:t>
      </w:r>
      <w:r w:rsidR="00A45FA5">
        <w:rPr>
          <w:rFonts w:cs="Arial"/>
          <w:szCs w:val="22"/>
        </w:rPr>
        <w:t> </w:t>
      </w:r>
      <w:r>
        <w:rPr>
          <w:rFonts w:cs="Arial"/>
          <w:szCs w:val="22"/>
        </w:rPr>
        <w:t>června</w:t>
      </w:r>
      <w:r w:rsidRPr="00367FC1">
        <w:rPr>
          <w:rFonts w:cs="Arial"/>
          <w:szCs w:val="22"/>
        </w:rPr>
        <w:t xml:space="preserve"> 2011 </w:t>
      </w:r>
      <w:r>
        <w:rPr>
          <w:rFonts w:cs="Arial"/>
          <w:szCs w:val="22"/>
        </w:rPr>
        <w:t xml:space="preserve">(dále jen „usnesení č. 87“) </w:t>
      </w:r>
      <w:r w:rsidR="00A45FA5">
        <w:rPr>
          <w:rFonts w:cs="Arial"/>
          <w:szCs w:val="22"/>
        </w:rPr>
        <w:t>a</w:t>
      </w:r>
      <w:r w:rsidR="002F2D1C">
        <w:rPr>
          <w:rFonts w:cs="Arial"/>
          <w:szCs w:val="22"/>
        </w:rPr>
        <w:t> </w:t>
      </w:r>
      <w:r w:rsidR="00A45FA5">
        <w:rPr>
          <w:rFonts w:cs="Arial"/>
          <w:szCs w:val="22"/>
        </w:rPr>
        <w:t>usnesení č. </w:t>
      </w:r>
      <w:r w:rsidRPr="00367FC1">
        <w:rPr>
          <w:rFonts w:cs="Arial"/>
          <w:szCs w:val="22"/>
        </w:rPr>
        <w:t>97 ze dne 13.</w:t>
      </w:r>
      <w:r w:rsidR="00A45FA5">
        <w:rPr>
          <w:rFonts w:cs="Arial"/>
          <w:szCs w:val="22"/>
        </w:rPr>
        <w:t> </w:t>
      </w:r>
      <w:r>
        <w:rPr>
          <w:rFonts w:cs="Arial"/>
          <w:szCs w:val="22"/>
        </w:rPr>
        <w:t>října</w:t>
      </w:r>
      <w:r w:rsidRPr="00367FC1">
        <w:rPr>
          <w:rFonts w:cs="Arial"/>
          <w:szCs w:val="22"/>
        </w:rPr>
        <w:t xml:space="preserve"> 2011 </w:t>
      </w:r>
      <w:r w:rsidR="00A45FA5">
        <w:rPr>
          <w:rFonts w:cs="Arial"/>
          <w:szCs w:val="22"/>
        </w:rPr>
        <w:t>(dále jen „usnesení č. </w:t>
      </w:r>
      <w:r>
        <w:rPr>
          <w:rFonts w:cs="Arial"/>
          <w:szCs w:val="22"/>
        </w:rPr>
        <w:t xml:space="preserve">97“) </w:t>
      </w:r>
      <w:r w:rsidR="00A45FA5">
        <w:rPr>
          <w:rFonts w:cs="Arial"/>
          <w:szCs w:val="22"/>
        </w:rPr>
        <w:t>a </w:t>
      </w:r>
      <w:r w:rsidRPr="00367FC1">
        <w:rPr>
          <w:rFonts w:cs="Arial"/>
          <w:szCs w:val="22"/>
        </w:rPr>
        <w:t xml:space="preserve">požádal ministra financí, aby </w:t>
      </w:r>
      <w:r>
        <w:rPr>
          <w:rFonts w:cs="Arial"/>
          <w:szCs w:val="22"/>
        </w:rPr>
        <w:t xml:space="preserve">Ministerstvo financí (dále </w:t>
      </w:r>
      <w:r w:rsidR="000F29D0">
        <w:rPr>
          <w:rFonts w:cs="Arial"/>
          <w:szCs w:val="22"/>
        </w:rPr>
        <w:t>jen</w:t>
      </w:r>
      <w:r>
        <w:rPr>
          <w:rFonts w:cs="Arial"/>
          <w:szCs w:val="22"/>
        </w:rPr>
        <w:t xml:space="preserve"> „</w:t>
      </w:r>
      <w:r w:rsidRPr="00367FC1">
        <w:rPr>
          <w:rFonts w:cs="Arial"/>
          <w:szCs w:val="22"/>
        </w:rPr>
        <w:t>MF</w:t>
      </w:r>
      <w:r>
        <w:rPr>
          <w:rFonts w:cs="Arial"/>
          <w:szCs w:val="22"/>
        </w:rPr>
        <w:t>“)</w:t>
      </w:r>
      <w:r w:rsidR="00A45FA5">
        <w:rPr>
          <w:rFonts w:cs="Arial"/>
          <w:szCs w:val="22"/>
        </w:rPr>
        <w:t xml:space="preserve"> v </w:t>
      </w:r>
      <w:r w:rsidRPr="00367FC1">
        <w:rPr>
          <w:rFonts w:cs="Arial"/>
          <w:szCs w:val="22"/>
        </w:rPr>
        <w:t>průběhu roku 2012 zpracovalo a</w:t>
      </w:r>
      <w:r>
        <w:rPr>
          <w:rFonts w:cs="Arial"/>
          <w:szCs w:val="22"/>
        </w:rPr>
        <w:t> </w:t>
      </w:r>
      <w:r w:rsidRPr="00367FC1">
        <w:rPr>
          <w:rFonts w:cs="Arial"/>
          <w:szCs w:val="22"/>
        </w:rPr>
        <w:t>předložilo návrh na zefektivnění systému správy odvodů za porušení rozpočtové kázně a</w:t>
      </w:r>
      <w:r>
        <w:rPr>
          <w:rFonts w:cs="Arial"/>
          <w:szCs w:val="22"/>
        </w:rPr>
        <w:t> </w:t>
      </w:r>
      <w:r w:rsidRPr="00367FC1">
        <w:rPr>
          <w:rFonts w:cs="Arial"/>
          <w:szCs w:val="22"/>
        </w:rPr>
        <w:t>navrhl</w:t>
      </w:r>
      <w:r w:rsidR="007241D6">
        <w:rPr>
          <w:rFonts w:cs="Arial"/>
          <w:szCs w:val="22"/>
        </w:rPr>
        <w:t>o příslušné legislativní změny.</w:t>
      </w:r>
    </w:p>
    <w:p w14:paraId="532B2ED8" w14:textId="77777777" w:rsidR="007241D6" w:rsidRPr="00E42DAD" w:rsidRDefault="007241D6" w:rsidP="007241D6">
      <w:pPr>
        <w:spacing w:after="0" w:line="240" w:lineRule="auto"/>
        <w:rPr>
          <w:rFonts w:cs="Arial"/>
          <w:szCs w:val="22"/>
        </w:rPr>
      </w:pPr>
    </w:p>
    <w:p w14:paraId="532B2ED9" w14:textId="2E30997C" w:rsidR="00A63E64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O</w:t>
      </w:r>
      <w:r w:rsidR="00A45FA5">
        <w:rPr>
          <w:rFonts w:cs="Arial"/>
          <w:szCs w:val="22"/>
        </w:rPr>
        <w:t>d 1. </w:t>
      </w:r>
      <w:r w:rsidRPr="000E7BFE">
        <w:rPr>
          <w:rFonts w:cs="Arial"/>
          <w:szCs w:val="22"/>
        </w:rPr>
        <w:t xml:space="preserve">ledna 2011 vykonávají správu odvodů za porušení rozpočtové kázně a penále orgány </w:t>
      </w:r>
      <w:r w:rsidR="00A45FA5">
        <w:rPr>
          <w:rFonts w:cs="Arial"/>
          <w:szCs w:val="22"/>
        </w:rPr>
        <w:t>finanční správy podle zákona č. </w:t>
      </w:r>
      <w:r w:rsidRPr="000E7BFE">
        <w:rPr>
          <w:rFonts w:cs="Arial"/>
          <w:szCs w:val="22"/>
        </w:rPr>
        <w:t>280/2009 Sb.</w:t>
      </w:r>
      <w:r w:rsidRPr="000E7BFE">
        <w:rPr>
          <w:rStyle w:val="Znakapoznpodarou"/>
          <w:rFonts w:cs="Arial"/>
          <w:szCs w:val="22"/>
        </w:rPr>
        <w:footnoteReference w:id="1"/>
      </w:r>
      <w:r w:rsidRPr="000E7BFE">
        <w:rPr>
          <w:rFonts w:cs="Arial"/>
          <w:szCs w:val="22"/>
        </w:rPr>
        <w:t xml:space="preserve"> Od 1.</w:t>
      </w:r>
      <w:r w:rsidR="00A45FA5">
        <w:rPr>
          <w:rFonts w:cs="Arial"/>
          <w:szCs w:val="22"/>
        </w:rPr>
        <w:t> </w:t>
      </w:r>
      <w:r>
        <w:rPr>
          <w:rFonts w:cs="Arial"/>
          <w:szCs w:val="22"/>
        </w:rPr>
        <w:t>března</w:t>
      </w:r>
      <w:r w:rsidRPr="000E7BFE">
        <w:rPr>
          <w:rFonts w:cs="Arial"/>
          <w:szCs w:val="22"/>
        </w:rPr>
        <w:t xml:space="preserve"> 2011 může podle </w:t>
      </w:r>
      <w:r>
        <w:rPr>
          <w:rFonts w:cs="Arial"/>
          <w:szCs w:val="22"/>
        </w:rPr>
        <w:t>ustanovení § 44a zákona č.</w:t>
      </w:r>
      <w:r w:rsidR="00A45FA5">
        <w:rPr>
          <w:rFonts w:cs="Arial"/>
          <w:szCs w:val="22"/>
        </w:rPr>
        <w:t> </w:t>
      </w:r>
      <w:r>
        <w:rPr>
          <w:rFonts w:cs="Arial"/>
          <w:szCs w:val="22"/>
        </w:rPr>
        <w:t>218/2000 Sb.</w:t>
      </w:r>
      <w:r>
        <w:rPr>
          <w:rStyle w:val="Znakapoznpodarou"/>
          <w:rFonts w:cs="Arial"/>
          <w:szCs w:val="22"/>
        </w:rPr>
        <w:footnoteReference w:id="2"/>
      </w:r>
      <w:r w:rsidRPr="000E7BFE">
        <w:rPr>
          <w:rFonts w:cs="Arial"/>
          <w:szCs w:val="22"/>
        </w:rPr>
        <w:t xml:space="preserve"> Generální finanční </w:t>
      </w:r>
      <w:r w:rsidR="00A45FA5">
        <w:rPr>
          <w:rFonts w:cs="Arial"/>
          <w:szCs w:val="22"/>
        </w:rPr>
        <w:t>ředitelství (dále také „GFŘ“) z </w:t>
      </w:r>
      <w:r w:rsidRPr="000E7BFE">
        <w:rPr>
          <w:rFonts w:cs="Arial"/>
          <w:szCs w:val="22"/>
        </w:rPr>
        <w:t>důvodů hodných zvláštního zřetele zcela nebo zčásti prominout odvod za poruše</w:t>
      </w:r>
      <w:r>
        <w:rPr>
          <w:rFonts w:cs="Arial"/>
          <w:szCs w:val="22"/>
        </w:rPr>
        <w:t>ní rozpočtové kázně nebo penále</w:t>
      </w:r>
      <w:r w:rsidRPr="000E7BFE">
        <w:rPr>
          <w:rFonts w:cs="Arial"/>
          <w:szCs w:val="22"/>
        </w:rPr>
        <w:t>, s</w:t>
      </w:r>
      <w:r w:rsidR="00A45FA5">
        <w:rPr>
          <w:rFonts w:cs="Arial"/>
          <w:szCs w:val="22"/>
        </w:rPr>
        <w:t> </w:t>
      </w:r>
      <w:r w:rsidRPr="000E7BFE">
        <w:rPr>
          <w:rFonts w:cs="Arial"/>
          <w:szCs w:val="22"/>
        </w:rPr>
        <w:t>výjimkou odvodu neoprávněně použitých nebo zadržených peněžních prostředků definovaných v</w:t>
      </w:r>
      <w:r>
        <w:rPr>
          <w:rFonts w:cs="Arial"/>
          <w:szCs w:val="22"/>
        </w:rPr>
        <w:t xml:space="preserve"> </w:t>
      </w:r>
      <w:r w:rsidRPr="000E7BFE">
        <w:rPr>
          <w:rFonts w:cs="Arial"/>
          <w:szCs w:val="22"/>
        </w:rPr>
        <w:t>ustanovení §</w:t>
      </w:r>
      <w:r w:rsidR="00A45FA5">
        <w:rPr>
          <w:rFonts w:cs="Arial"/>
          <w:szCs w:val="22"/>
        </w:rPr>
        <w:t> </w:t>
      </w:r>
      <w:r w:rsidRPr="000E7BFE">
        <w:rPr>
          <w:rFonts w:cs="Arial"/>
          <w:szCs w:val="22"/>
        </w:rPr>
        <w:t>44 odst.</w:t>
      </w:r>
      <w:r w:rsidR="00A45FA5">
        <w:rPr>
          <w:rFonts w:cs="Arial"/>
          <w:szCs w:val="22"/>
        </w:rPr>
        <w:t> </w:t>
      </w:r>
      <w:r w:rsidRPr="000E7BFE">
        <w:rPr>
          <w:rFonts w:cs="Arial"/>
          <w:szCs w:val="22"/>
        </w:rPr>
        <w:t>2 písm. a) a b). GFŘ se podílí na přípravě návrhů právních předpisů a</w:t>
      </w:r>
      <w:r w:rsidR="00A45FA5">
        <w:rPr>
          <w:rFonts w:cs="Arial"/>
          <w:szCs w:val="22"/>
        </w:rPr>
        <w:t> </w:t>
      </w:r>
      <w:r w:rsidRPr="000E7BFE">
        <w:rPr>
          <w:rFonts w:cs="Arial"/>
          <w:szCs w:val="22"/>
        </w:rPr>
        <w:t>vede</w:t>
      </w:r>
      <w:r w:rsidRPr="006A358D">
        <w:rPr>
          <w:rFonts w:cs="Arial"/>
          <w:szCs w:val="22"/>
        </w:rPr>
        <w:t xml:space="preserve"> informační systém </w:t>
      </w:r>
      <w:r w:rsidRPr="0063098E">
        <w:rPr>
          <w:rFonts w:cs="Arial"/>
          <w:i/>
          <w:szCs w:val="22"/>
        </w:rPr>
        <w:t>Centrální evidence dotací z</w:t>
      </w:r>
      <w:r w:rsidR="00A45FA5" w:rsidRPr="0063098E">
        <w:rPr>
          <w:rFonts w:cs="Arial"/>
          <w:i/>
          <w:szCs w:val="22"/>
        </w:rPr>
        <w:t> </w:t>
      </w:r>
      <w:r w:rsidRPr="0063098E">
        <w:rPr>
          <w:rFonts w:cs="Arial"/>
          <w:i/>
          <w:szCs w:val="22"/>
        </w:rPr>
        <w:t>ro</w:t>
      </w:r>
      <w:r w:rsidR="00A45FA5" w:rsidRPr="0063098E">
        <w:rPr>
          <w:rFonts w:cs="Arial"/>
          <w:i/>
          <w:szCs w:val="22"/>
        </w:rPr>
        <w:t>zpočtu</w:t>
      </w:r>
      <w:r w:rsidR="00A45FA5">
        <w:rPr>
          <w:rFonts w:cs="Arial"/>
          <w:szCs w:val="22"/>
        </w:rPr>
        <w:t xml:space="preserve"> (dále také „IS CEDR“), v </w:t>
      </w:r>
      <w:r w:rsidRPr="006A358D">
        <w:rPr>
          <w:rFonts w:cs="Arial"/>
          <w:szCs w:val="22"/>
        </w:rPr>
        <w:t>němž zpracovává údaje o</w:t>
      </w:r>
      <w:r w:rsidR="00A45FA5">
        <w:rPr>
          <w:rFonts w:cs="Arial"/>
          <w:szCs w:val="22"/>
        </w:rPr>
        <w:t> </w:t>
      </w:r>
      <w:r w:rsidRPr="006A358D">
        <w:rPr>
          <w:rFonts w:cs="Arial"/>
          <w:szCs w:val="22"/>
        </w:rPr>
        <w:t>dotacích, návratných finančních výpomocí</w:t>
      </w:r>
      <w:r>
        <w:rPr>
          <w:rFonts w:cs="Arial"/>
          <w:szCs w:val="22"/>
        </w:rPr>
        <w:t>ch</w:t>
      </w:r>
      <w:r w:rsidR="00A45FA5">
        <w:rPr>
          <w:rFonts w:cs="Arial"/>
          <w:szCs w:val="22"/>
        </w:rPr>
        <w:t xml:space="preserve"> a </w:t>
      </w:r>
      <w:r w:rsidRPr="006A358D">
        <w:rPr>
          <w:rFonts w:cs="Arial"/>
          <w:szCs w:val="22"/>
        </w:rPr>
        <w:t>dalších transferech poskytovaných ze státního rozpočtu, státních fon</w:t>
      </w:r>
      <w:r w:rsidR="00A45FA5">
        <w:rPr>
          <w:rFonts w:cs="Arial"/>
          <w:szCs w:val="22"/>
        </w:rPr>
        <w:t>dů, státních finančních aktiv a </w:t>
      </w:r>
      <w:r w:rsidRPr="006A358D">
        <w:rPr>
          <w:rFonts w:cs="Arial"/>
          <w:szCs w:val="22"/>
        </w:rPr>
        <w:t>Národního fondu (dále jen „dotace“).</w:t>
      </w:r>
    </w:p>
    <w:p w14:paraId="532B2EDA" w14:textId="77777777" w:rsidR="007241D6" w:rsidRPr="006A358D" w:rsidRDefault="007241D6" w:rsidP="007241D6">
      <w:pPr>
        <w:spacing w:after="0" w:line="240" w:lineRule="auto"/>
        <w:rPr>
          <w:rFonts w:cs="Arial"/>
          <w:szCs w:val="22"/>
        </w:rPr>
      </w:pPr>
    </w:p>
    <w:p w14:paraId="532B2EDB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 w:rsidRPr="006A358D">
        <w:rPr>
          <w:rFonts w:cs="Arial"/>
          <w:szCs w:val="22"/>
        </w:rPr>
        <w:t xml:space="preserve">Tato kontrolní akce prověřovala, zda se efektivita správy odvodů za porušení </w:t>
      </w:r>
      <w:r>
        <w:rPr>
          <w:rFonts w:cs="Arial"/>
          <w:szCs w:val="22"/>
        </w:rPr>
        <w:t>rozpočtové kázně zvýšila a</w:t>
      </w:r>
      <w:r w:rsidR="00A45FA5">
        <w:rPr>
          <w:rFonts w:cs="Arial"/>
          <w:szCs w:val="22"/>
        </w:rPr>
        <w:t> </w:t>
      </w:r>
      <w:r>
        <w:rPr>
          <w:rFonts w:cs="Arial"/>
          <w:szCs w:val="22"/>
        </w:rPr>
        <w:t>jak MF a GFŘ reagoval</w:t>
      </w:r>
      <w:r w:rsidR="000F29D0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na zjištění NKÚ a</w:t>
      </w:r>
      <w:r w:rsidR="00A45FA5">
        <w:rPr>
          <w:rFonts w:cs="Arial"/>
          <w:szCs w:val="22"/>
        </w:rPr>
        <w:t> </w:t>
      </w:r>
      <w:r w:rsidR="007241D6">
        <w:rPr>
          <w:rFonts w:cs="Arial"/>
          <w:szCs w:val="22"/>
        </w:rPr>
        <w:t>doporučení Kontrolního výboru.</w:t>
      </w:r>
    </w:p>
    <w:p w14:paraId="532B2EDC" w14:textId="77777777" w:rsidR="007241D6" w:rsidRDefault="007241D6" w:rsidP="007241D6">
      <w:pPr>
        <w:spacing w:after="0" w:line="240" w:lineRule="auto"/>
        <w:rPr>
          <w:rFonts w:cs="Arial"/>
          <w:szCs w:val="22"/>
        </w:rPr>
      </w:pPr>
    </w:p>
    <w:p w14:paraId="532B2EDD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Kontrole NKÚ bylo podrobeno 236 spisů </w:t>
      </w:r>
      <w:r w:rsidR="000F29D0">
        <w:rPr>
          <w:rFonts w:cs="Arial"/>
          <w:szCs w:val="22"/>
        </w:rPr>
        <w:t xml:space="preserve">k případům </w:t>
      </w:r>
      <w:r>
        <w:rPr>
          <w:rFonts w:cs="Arial"/>
          <w:szCs w:val="22"/>
        </w:rPr>
        <w:t>promíjení odvodů za porušení rozpočtové kázně a</w:t>
      </w:r>
      <w:r w:rsidR="00677457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penále </w:t>
      </w:r>
      <w:r w:rsidR="007241D6">
        <w:rPr>
          <w:rFonts w:cs="Arial"/>
          <w:szCs w:val="22"/>
        </w:rPr>
        <w:t>(dále také „kontrolní vzorek“).</w:t>
      </w:r>
    </w:p>
    <w:p w14:paraId="532B2EDE" w14:textId="77777777" w:rsidR="007241D6" w:rsidRPr="006A358D" w:rsidRDefault="007241D6" w:rsidP="007241D6">
      <w:pPr>
        <w:spacing w:after="0" w:line="240" w:lineRule="auto"/>
        <w:rPr>
          <w:rFonts w:cs="Arial"/>
          <w:szCs w:val="22"/>
        </w:rPr>
      </w:pPr>
    </w:p>
    <w:p w14:paraId="532B2EDF" w14:textId="77777777" w:rsidR="00A63E64" w:rsidRDefault="00A63E64" w:rsidP="007241D6">
      <w:pPr>
        <w:spacing w:after="0" w:line="240" w:lineRule="auto"/>
        <w:ind w:left="567" w:hanging="567"/>
        <w:rPr>
          <w:rFonts w:cs="Arial"/>
          <w:sz w:val="18"/>
          <w:szCs w:val="18"/>
        </w:rPr>
      </w:pPr>
      <w:r w:rsidRPr="0063098E">
        <w:rPr>
          <w:b/>
          <w:sz w:val="18"/>
        </w:rPr>
        <w:t>Pozn.:</w:t>
      </w:r>
      <w:r w:rsidRPr="00BC1452">
        <w:rPr>
          <w:rFonts w:cs="Arial"/>
          <w:sz w:val="18"/>
          <w:szCs w:val="18"/>
        </w:rPr>
        <w:tab/>
      </w:r>
      <w:r w:rsidRPr="00A41C38">
        <w:rPr>
          <w:rFonts w:cs="Arial"/>
          <w:sz w:val="18"/>
          <w:szCs w:val="18"/>
        </w:rPr>
        <w:t xml:space="preserve">Všechny právní předpisy uváděné </w:t>
      </w:r>
      <w:r>
        <w:rPr>
          <w:rFonts w:cs="Arial"/>
          <w:sz w:val="18"/>
          <w:szCs w:val="18"/>
        </w:rPr>
        <w:t xml:space="preserve">v </w:t>
      </w:r>
      <w:r w:rsidRPr="00A41C38">
        <w:rPr>
          <w:rFonts w:cs="Arial"/>
          <w:sz w:val="18"/>
          <w:szCs w:val="18"/>
        </w:rPr>
        <w:t xml:space="preserve">tomto kontrolním závěru jsou aplikovány ve znění </w:t>
      </w:r>
      <w:r>
        <w:rPr>
          <w:rFonts w:cs="Arial"/>
          <w:sz w:val="18"/>
          <w:szCs w:val="18"/>
        </w:rPr>
        <w:t>účinném pro kontrolované období.</w:t>
      </w:r>
    </w:p>
    <w:p w14:paraId="532B2EE0" w14:textId="77777777" w:rsidR="00A63E64" w:rsidRDefault="00A63E64" w:rsidP="007241D6">
      <w:pPr>
        <w:spacing w:after="0" w:line="240" w:lineRule="auto"/>
        <w:rPr>
          <w:rFonts w:cs="Arial"/>
          <w:szCs w:val="22"/>
        </w:rPr>
      </w:pPr>
    </w:p>
    <w:p w14:paraId="532B2EE1" w14:textId="77777777" w:rsidR="007241D6" w:rsidRPr="007241D6" w:rsidRDefault="007241D6" w:rsidP="007241D6">
      <w:pPr>
        <w:spacing w:after="0" w:line="240" w:lineRule="auto"/>
        <w:rPr>
          <w:rFonts w:cs="Arial"/>
          <w:szCs w:val="22"/>
        </w:rPr>
      </w:pPr>
    </w:p>
    <w:p w14:paraId="532B2EE2" w14:textId="77777777" w:rsidR="00A63E64" w:rsidRPr="007241D6" w:rsidRDefault="007241D6" w:rsidP="007241D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II. </w:t>
      </w:r>
      <w:r w:rsidR="00A63E64" w:rsidRPr="007241D6">
        <w:rPr>
          <w:b/>
          <w:sz w:val="24"/>
        </w:rPr>
        <w:t>Skutečnosti zjištěné při kontrole</w:t>
      </w:r>
      <w:bookmarkStart w:id="0" w:name="_MON_1413104824"/>
      <w:bookmarkStart w:id="1" w:name="_MON_1413104837"/>
      <w:bookmarkEnd w:id="0"/>
      <w:bookmarkEnd w:id="1"/>
    </w:p>
    <w:p w14:paraId="532B2EE3" w14:textId="77777777" w:rsidR="00A63E64" w:rsidRPr="007241D6" w:rsidRDefault="00A63E64" w:rsidP="007241D6">
      <w:pPr>
        <w:pStyle w:val="Odstavecseseznamem"/>
        <w:spacing w:after="0" w:line="240" w:lineRule="auto"/>
        <w:ind w:left="0"/>
        <w:contextualSpacing w:val="0"/>
        <w:rPr>
          <w:rFonts w:cs="Arial"/>
          <w:szCs w:val="22"/>
        </w:rPr>
      </w:pPr>
    </w:p>
    <w:p w14:paraId="532B2EE4" w14:textId="77777777" w:rsidR="00A63E64" w:rsidRPr="007241D6" w:rsidRDefault="00A63E64" w:rsidP="007241D6">
      <w:pPr>
        <w:spacing w:after="0" w:line="240" w:lineRule="auto"/>
        <w:rPr>
          <w:rFonts w:cs="Arial"/>
          <w:b/>
          <w:color w:val="000000" w:themeColor="text1"/>
          <w:szCs w:val="22"/>
        </w:rPr>
      </w:pPr>
      <w:r w:rsidRPr="007241D6">
        <w:rPr>
          <w:rFonts w:cs="Arial"/>
          <w:b/>
          <w:color w:val="000000" w:themeColor="text1"/>
          <w:szCs w:val="22"/>
        </w:rPr>
        <w:t>Kontrola použití dotací a vyměření odvodu a penále</w:t>
      </w:r>
    </w:p>
    <w:p w14:paraId="532B2EE5" w14:textId="77777777" w:rsidR="007241D6" w:rsidRDefault="007241D6" w:rsidP="007241D6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EE6" w14:textId="77777777" w:rsidR="00A63E64" w:rsidRDefault="00A63E64" w:rsidP="007241D6">
      <w:pPr>
        <w:spacing w:after="0" w:line="240" w:lineRule="auto"/>
        <w:rPr>
          <w:rFonts w:cs="Arial"/>
          <w:color w:val="000000" w:themeColor="text1"/>
          <w:szCs w:val="22"/>
        </w:rPr>
      </w:pPr>
      <w:r w:rsidRPr="007241D6">
        <w:rPr>
          <w:rFonts w:cs="Arial"/>
          <w:color w:val="000000" w:themeColor="text1"/>
          <w:szCs w:val="22"/>
        </w:rPr>
        <w:t>Použití dotací kontrolují poskytovatelé dotací a</w:t>
      </w:r>
      <w:r w:rsidR="00A45FA5">
        <w:rPr>
          <w:rFonts w:cs="Arial"/>
          <w:color w:val="000000" w:themeColor="text1"/>
          <w:szCs w:val="22"/>
        </w:rPr>
        <w:t xml:space="preserve"> další subjekty podle zákona č. </w:t>
      </w:r>
      <w:r w:rsidRPr="007241D6">
        <w:rPr>
          <w:rFonts w:cs="Arial"/>
          <w:color w:val="000000" w:themeColor="text1"/>
          <w:szCs w:val="22"/>
        </w:rPr>
        <w:t>320/2001 Sb.</w:t>
      </w:r>
      <w:r w:rsidRPr="007241D6">
        <w:rPr>
          <w:rFonts w:cs="Arial"/>
          <w:color w:val="000000" w:themeColor="text1"/>
          <w:szCs w:val="22"/>
          <w:vertAlign w:val="superscript"/>
        </w:rPr>
        <w:footnoteReference w:id="3"/>
      </w:r>
      <w:r w:rsidRPr="007241D6">
        <w:rPr>
          <w:rFonts w:cs="Arial"/>
          <w:color w:val="000000" w:themeColor="text1"/>
          <w:szCs w:val="22"/>
        </w:rPr>
        <w:t xml:space="preserve"> a</w:t>
      </w:r>
      <w:r w:rsidR="00A45FA5">
        <w:rPr>
          <w:rFonts w:cs="Arial"/>
          <w:color w:val="000000" w:themeColor="text1"/>
          <w:szCs w:val="22"/>
        </w:rPr>
        <w:t> </w:t>
      </w:r>
      <w:r w:rsidRPr="007241D6">
        <w:rPr>
          <w:rFonts w:cs="Arial"/>
          <w:color w:val="000000" w:themeColor="text1"/>
          <w:szCs w:val="22"/>
        </w:rPr>
        <w:t>případné nedostatky oznamují orgánům finanční správy. Orgány finanční správy provádějí vlastní daňové kontroly či místní šetření podle zákona č.</w:t>
      </w:r>
      <w:r w:rsidR="00A45FA5">
        <w:rPr>
          <w:rFonts w:cs="Arial"/>
          <w:color w:val="000000" w:themeColor="text1"/>
          <w:szCs w:val="22"/>
        </w:rPr>
        <w:t> </w:t>
      </w:r>
      <w:r w:rsidRPr="007241D6">
        <w:rPr>
          <w:rFonts w:cs="Arial"/>
          <w:color w:val="000000" w:themeColor="text1"/>
          <w:szCs w:val="22"/>
        </w:rPr>
        <w:t>280/2009 Sb. Pouze orgány finanční správy jsou oprávněny vyměřit v</w:t>
      </w:r>
      <w:r w:rsidR="00A45FA5">
        <w:rPr>
          <w:rFonts w:cs="Arial"/>
          <w:color w:val="000000" w:themeColor="text1"/>
          <w:szCs w:val="22"/>
        </w:rPr>
        <w:t> </w:t>
      </w:r>
      <w:r w:rsidRPr="007241D6">
        <w:rPr>
          <w:rFonts w:cs="Arial"/>
          <w:color w:val="000000" w:themeColor="text1"/>
          <w:szCs w:val="22"/>
        </w:rPr>
        <w:t>řádném daňovém řízení za po</w:t>
      </w:r>
      <w:r w:rsidR="00A45FA5">
        <w:rPr>
          <w:rFonts w:cs="Arial"/>
          <w:color w:val="000000" w:themeColor="text1"/>
          <w:szCs w:val="22"/>
        </w:rPr>
        <w:t>rušení rozpočtové kázně odvod a </w:t>
      </w:r>
      <w:r w:rsidRPr="007241D6">
        <w:rPr>
          <w:rFonts w:cs="Arial"/>
          <w:color w:val="000000" w:themeColor="text1"/>
          <w:szCs w:val="22"/>
        </w:rPr>
        <w:t>penále podle ustanovení §</w:t>
      </w:r>
      <w:r w:rsidR="00A45FA5">
        <w:rPr>
          <w:rFonts w:cs="Arial"/>
          <w:color w:val="000000" w:themeColor="text1"/>
          <w:szCs w:val="22"/>
        </w:rPr>
        <w:t> </w:t>
      </w:r>
      <w:r w:rsidRPr="007241D6">
        <w:rPr>
          <w:rFonts w:cs="Arial"/>
          <w:color w:val="000000" w:themeColor="text1"/>
          <w:szCs w:val="22"/>
        </w:rPr>
        <w:t>44a odst.</w:t>
      </w:r>
      <w:r w:rsidR="00A45FA5">
        <w:rPr>
          <w:rFonts w:cs="Arial"/>
          <w:color w:val="000000" w:themeColor="text1"/>
          <w:szCs w:val="22"/>
        </w:rPr>
        <w:t> </w:t>
      </w:r>
      <w:r w:rsidRPr="007241D6">
        <w:rPr>
          <w:rFonts w:cs="Arial"/>
          <w:color w:val="000000" w:themeColor="text1"/>
          <w:szCs w:val="22"/>
        </w:rPr>
        <w:t>4 zákona č.</w:t>
      </w:r>
      <w:r w:rsidR="00A45FA5">
        <w:rPr>
          <w:rFonts w:cs="Arial"/>
          <w:color w:val="000000" w:themeColor="text1"/>
          <w:szCs w:val="22"/>
        </w:rPr>
        <w:t> </w:t>
      </w:r>
      <w:r w:rsidRPr="007241D6">
        <w:rPr>
          <w:rFonts w:cs="Arial"/>
          <w:color w:val="000000" w:themeColor="text1"/>
          <w:szCs w:val="22"/>
        </w:rPr>
        <w:t>218/2000 Sb. Stejné skutečnosti tak prověřuje několik orgánů státní správy.</w:t>
      </w:r>
    </w:p>
    <w:p w14:paraId="532B2EE7" w14:textId="77777777" w:rsidR="007241D6" w:rsidRPr="007241D6" w:rsidRDefault="007241D6" w:rsidP="007241D6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EE8" w14:textId="77777777" w:rsidR="00A63E64" w:rsidRDefault="00A63E64" w:rsidP="007241D6">
      <w:pPr>
        <w:spacing w:after="0" w:line="240" w:lineRule="auto"/>
        <w:rPr>
          <w:rFonts w:cs="Arial"/>
          <w:color w:val="000000" w:themeColor="text1"/>
          <w:szCs w:val="22"/>
        </w:rPr>
      </w:pPr>
      <w:r w:rsidRPr="007241D6">
        <w:rPr>
          <w:rFonts w:cs="Arial"/>
          <w:color w:val="000000" w:themeColor="text1"/>
          <w:szCs w:val="22"/>
        </w:rPr>
        <w:t>Počet kontrol provedených orgány finanční správy v lete</w:t>
      </w:r>
      <w:r w:rsidR="00A45FA5">
        <w:rPr>
          <w:rFonts w:cs="Arial"/>
          <w:color w:val="000000" w:themeColor="text1"/>
          <w:szCs w:val="22"/>
        </w:rPr>
        <w:t>ch 2011 a 2012 poklesl cca o 30 </w:t>
      </w:r>
      <w:r w:rsidRPr="007241D6">
        <w:rPr>
          <w:rFonts w:cs="Arial"/>
          <w:color w:val="000000" w:themeColor="text1"/>
          <w:szCs w:val="22"/>
        </w:rPr>
        <w:t>% proti ročnímu průměru z</w:t>
      </w:r>
      <w:r w:rsidR="00A45FA5">
        <w:rPr>
          <w:rFonts w:cs="Arial"/>
          <w:color w:val="000000" w:themeColor="text1"/>
          <w:szCs w:val="22"/>
        </w:rPr>
        <w:t> </w:t>
      </w:r>
      <w:r w:rsidRPr="007241D6">
        <w:rPr>
          <w:rFonts w:cs="Arial"/>
          <w:color w:val="000000" w:themeColor="text1"/>
          <w:szCs w:val="22"/>
        </w:rPr>
        <w:t xml:space="preserve">let 2006–2009, což </w:t>
      </w:r>
      <w:r w:rsidR="0087044A" w:rsidRPr="007241D6">
        <w:rPr>
          <w:rFonts w:cs="Arial"/>
          <w:color w:val="000000" w:themeColor="text1"/>
          <w:szCs w:val="22"/>
        </w:rPr>
        <w:t xml:space="preserve">odpovídá snižujícímu se </w:t>
      </w:r>
      <w:r w:rsidRPr="007241D6">
        <w:rPr>
          <w:rFonts w:cs="Arial"/>
          <w:color w:val="000000" w:themeColor="text1"/>
          <w:szCs w:val="22"/>
        </w:rPr>
        <w:t>objem</w:t>
      </w:r>
      <w:r w:rsidR="0087044A" w:rsidRPr="007241D6">
        <w:rPr>
          <w:rFonts w:cs="Arial"/>
          <w:color w:val="000000" w:themeColor="text1"/>
          <w:szCs w:val="22"/>
        </w:rPr>
        <w:t>u</w:t>
      </w:r>
      <w:r w:rsidRPr="007241D6">
        <w:rPr>
          <w:rFonts w:cs="Arial"/>
          <w:color w:val="000000" w:themeColor="text1"/>
          <w:szCs w:val="22"/>
        </w:rPr>
        <w:t xml:space="preserve"> poskytnutých finančních prostředků. </w:t>
      </w:r>
    </w:p>
    <w:p w14:paraId="532B2EE9" w14:textId="77777777" w:rsidR="007241D6" w:rsidRPr="007241D6" w:rsidRDefault="007241D6" w:rsidP="007241D6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EEA" w14:textId="77777777" w:rsidR="00A63E64" w:rsidRPr="0063098E" w:rsidRDefault="00A63E64" w:rsidP="003F1A92">
      <w:pPr>
        <w:tabs>
          <w:tab w:val="left" w:pos="7938"/>
        </w:tabs>
        <w:spacing w:after="40" w:line="240" w:lineRule="auto"/>
        <w:rPr>
          <w:rFonts w:cs="Arial"/>
          <w:b/>
          <w:szCs w:val="22"/>
        </w:rPr>
      </w:pPr>
      <w:r w:rsidRPr="0063098E">
        <w:rPr>
          <w:b/>
        </w:rPr>
        <w:t>Tabulka č. 1 – Statistika správy odvodů za porušení rozpočtové kázně</w:t>
      </w:r>
      <w:r w:rsidRPr="0063098E">
        <w:rPr>
          <w:rFonts w:cs="Arial"/>
          <w:b/>
          <w:szCs w:val="22"/>
        </w:rPr>
        <w:tab/>
        <w:t>(</w:t>
      </w:r>
      <w:r w:rsidRPr="0063098E">
        <w:rPr>
          <w:b/>
        </w:rPr>
        <w:t>v</w:t>
      </w:r>
      <w:r w:rsidRPr="0063098E">
        <w:rPr>
          <w:rFonts w:cs="Arial"/>
          <w:b/>
          <w:szCs w:val="22"/>
        </w:rPr>
        <w:t xml:space="preserve"> </w:t>
      </w:r>
      <w:r w:rsidRPr="0063098E">
        <w:rPr>
          <w:b/>
        </w:rPr>
        <w:t>tis. Kč</w:t>
      </w:r>
      <w:r w:rsidRPr="0063098E">
        <w:rPr>
          <w:rFonts w:cs="Arial"/>
          <w:b/>
          <w:szCs w:val="22"/>
        </w:rPr>
        <w:t>)</w:t>
      </w:r>
    </w:p>
    <w:tbl>
      <w:tblPr>
        <w:tblStyle w:val="Mkatabulky"/>
        <w:tblW w:w="9013" w:type="dxa"/>
        <w:jc w:val="center"/>
        <w:tblLook w:val="04A0" w:firstRow="1" w:lastRow="0" w:firstColumn="1" w:lastColumn="0" w:noHBand="0" w:noVBand="1"/>
      </w:tblPr>
      <w:tblGrid>
        <w:gridCol w:w="3345"/>
        <w:gridCol w:w="1417"/>
        <w:gridCol w:w="1417"/>
        <w:gridCol w:w="1417"/>
        <w:gridCol w:w="1417"/>
      </w:tblGrid>
      <w:tr w:rsidR="007241D6" w:rsidRPr="007241D6" w14:paraId="532B2EF0" w14:textId="77777777" w:rsidTr="007241D6">
        <w:trPr>
          <w:trHeight w:val="283"/>
          <w:jc w:val="center"/>
        </w:trPr>
        <w:tc>
          <w:tcPr>
            <w:tcW w:w="3345" w:type="dxa"/>
            <w:vAlign w:val="center"/>
          </w:tcPr>
          <w:p w14:paraId="532B2EEB" w14:textId="77777777" w:rsidR="007241D6" w:rsidRPr="007241D6" w:rsidRDefault="007241D6" w:rsidP="007241D6">
            <w:pPr>
              <w:tabs>
                <w:tab w:val="left" w:pos="8080"/>
              </w:tabs>
              <w:spacing w:after="0"/>
              <w:jc w:val="center"/>
              <w:rPr>
                <w:sz w:val="18"/>
                <w:szCs w:val="18"/>
              </w:rPr>
            </w:pPr>
            <w:bookmarkStart w:id="2" w:name="_MON_1439643628"/>
            <w:bookmarkStart w:id="3" w:name="_MON_1439644155"/>
            <w:bookmarkStart w:id="4" w:name="_MON_1439644535"/>
            <w:bookmarkStart w:id="5" w:name="_MON_1439873537"/>
            <w:bookmarkStart w:id="6" w:name="_MON_1439873674"/>
            <w:bookmarkStart w:id="7" w:name="_MON_1439873816"/>
            <w:bookmarkStart w:id="8" w:name="_MON_1439874471"/>
            <w:bookmarkStart w:id="9" w:name="_MON_1439874492"/>
            <w:bookmarkStart w:id="10" w:name="_MON_1441178522"/>
            <w:bookmarkStart w:id="11" w:name="_MON_1441178566"/>
            <w:bookmarkStart w:id="12" w:name="_MON_1439874507"/>
            <w:bookmarkStart w:id="13" w:name="_MON_1439874556"/>
            <w:bookmarkStart w:id="14" w:name="_MON_1439874576"/>
            <w:bookmarkStart w:id="15" w:name="_MON_1439633191"/>
            <w:bookmarkStart w:id="16" w:name="_MON_1439642662"/>
            <w:bookmarkStart w:id="17" w:name="_MON_1439966719"/>
            <w:bookmarkStart w:id="18" w:name="_MON_1439966742"/>
            <w:bookmarkStart w:id="19" w:name="_MON_1439967343"/>
            <w:bookmarkStart w:id="20" w:name="_MON_1439967354"/>
            <w:bookmarkStart w:id="21" w:name="_MON_1439967419"/>
            <w:bookmarkStart w:id="22" w:name="_MON_1439967580"/>
            <w:bookmarkStart w:id="23" w:name="_MON_1439643528"/>
            <w:bookmarkStart w:id="24" w:name="_MON_1439973563"/>
            <w:bookmarkStart w:id="25" w:name="_MON_1439973706"/>
            <w:bookmarkStart w:id="26" w:name="_MON_1439973731"/>
            <w:bookmarkStart w:id="27" w:name="_MON_1439973751"/>
            <w:bookmarkStart w:id="28" w:name="_MON_1437458277"/>
            <w:bookmarkStart w:id="29" w:name="_MON_1439633317"/>
            <w:bookmarkStart w:id="30" w:name="_MON_1439620493"/>
            <w:bookmarkStart w:id="31" w:name="_MON_143962054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1417" w:type="dxa"/>
            <w:vAlign w:val="center"/>
          </w:tcPr>
          <w:p w14:paraId="532B2EEC" w14:textId="77777777" w:rsidR="007241D6" w:rsidRPr="007241D6" w:rsidRDefault="007241D6" w:rsidP="007241D6">
            <w:pPr>
              <w:tabs>
                <w:tab w:val="left" w:pos="8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7241D6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1417" w:type="dxa"/>
            <w:vAlign w:val="center"/>
          </w:tcPr>
          <w:p w14:paraId="532B2EED" w14:textId="77777777" w:rsidR="007241D6" w:rsidRPr="007241D6" w:rsidRDefault="007241D6" w:rsidP="007241D6">
            <w:pPr>
              <w:tabs>
                <w:tab w:val="left" w:pos="8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7241D6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1417" w:type="dxa"/>
            <w:vAlign w:val="center"/>
          </w:tcPr>
          <w:p w14:paraId="532B2EEE" w14:textId="77777777" w:rsidR="007241D6" w:rsidRPr="007241D6" w:rsidRDefault="000F29D0" w:rsidP="000F29D0">
            <w:pPr>
              <w:tabs>
                <w:tab w:val="left" w:pos="8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 čtvrtletí </w:t>
            </w:r>
            <w:r w:rsidR="007241D6" w:rsidRPr="007241D6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417" w:type="dxa"/>
            <w:vAlign w:val="center"/>
          </w:tcPr>
          <w:p w14:paraId="532B2EEF" w14:textId="77777777" w:rsidR="007241D6" w:rsidRPr="007241D6" w:rsidRDefault="007241D6" w:rsidP="003F1A92">
            <w:pPr>
              <w:tabs>
                <w:tab w:val="left" w:pos="80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7241D6">
              <w:rPr>
                <w:b/>
                <w:sz w:val="18"/>
                <w:szCs w:val="18"/>
              </w:rPr>
              <w:t>2011</w:t>
            </w:r>
            <w:r w:rsidR="003F1A92">
              <w:rPr>
                <w:b/>
                <w:sz w:val="18"/>
                <w:szCs w:val="18"/>
              </w:rPr>
              <w:t>–</w:t>
            </w:r>
            <w:r w:rsidRPr="007241D6">
              <w:rPr>
                <w:b/>
                <w:sz w:val="18"/>
                <w:szCs w:val="18"/>
              </w:rPr>
              <w:t>2013</w:t>
            </w:r>
          </w:p>
        </w:tc>
      </w:tr>
      <w:tr w:rsidR="007241D6" w:rsidRPr="007241D6" w14:paraId="532B2EF6" w14:textId="77777777" w:rsidTr="007241D6">
        <w:trPr>
          <w:trHeight w:val="283"/>
          <w:jc w:val="center"/>
        </w:trPr>
        <w:tc>
          <w:tcPr>
            <w:tcW w:w="3345" w:type="dxa"/>
            <w:vAlign w:val="center"/>
          </w:tcPr>
          <w:p w14:paraId="532B2EF1" w14:textId="77777777" w:rsidR="007241D6" w:rsidRPr="007241D6" w:rsidRDefault="007241D6" w:rsidP="007241D6">
            <w:pPr>
              <w:tabs>
                <w:tab w:val="left" w:pos="8080"/>
              </w:tabs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Pravomocně vyměřený odvod a penále</w:t>
            </w:r>
          </w:p>
        </w:tc>
        <w:tc>
          <w:tcPr>
            <w:tcW w:w="1417" w:type="dxa"/>
            <w:vAlign w:val="center"/>
          </w:tcPr>
          <w:p w14:paraId="532B2EF2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6 855 962</w:t>
            </w:r>
          </w:p>
        </w:tc>
        <w:tc>
          <w:tcPr>
            <w:tcW w:w="1417" w:type="dxa"/>
            <w:vAlign w:val="center"/>
          </w:tcPr>
          <w:p w14:paraId="532B2EF3" w14:textId="77777777" w:rsidR="007241D6" w:rsidRPr="007241D6" w:rsidRDefault="008365B9" w:rsidP="008365B9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5 767 772</w:t>
            </w:r>
          </w:p>
        </w:tc>
        <w:tc>
          <w:tcPr>
            <w:tcW w:w="1417" w:type="dxa"/>
            <w:vAlign w:val="center"/>
          </w:tcPr>
          <w:p w14:paraId="532B2EF4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919 120</w:t>
            </w:r>
          </w:p>
        </w:tc>
        <w:tc>
          <w:tcPr>
            <w:tcW w:w="1417" w:type="dxa"/>
            <w:vAlign w:val="center"/>
          </w:tcPr>
          <w:p w14:paraId="532B2EF5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13 542 </w:t>
            </w:r>
            <w:r w:rsidR="007241D6">
              <w:rPr>
                <w:sz w:val="18"/>
                <w:szCs w:val="18"/>
              </w:rPr>
              <w:t>854</w:t>
            </w:r>
          </w:p>
        </w:tc>
      </w:tr>
      <w:tr w:rsidR="007241D6" w:rsidRPr="007241D6" w14:paraId="532B2EFC" w14:textId="77777777" w:rsidTr="007241D6">
        <w:trPr>
          <w:trHeight w:val="283"/>
          <w:jc w:val="center"/>
        </w:trPr>
        <w:tc>
          <w:tcPr>
            <w:tcW w:w="3345" w:type="dxa"/>
            <w:vAlign w:val="center"/>
          </w:tcPr>
          <w:p w14:paraId="532B2EF7" w14:textId="77777777" w:rsidR="007241D6" w:rsidRPr="007241D6" w:rsidRDefault="007241D6" w:rsidP="007241D6">
            <w:pPr>
              <w:tabs>
                <w:tab w:val="left" w:pos="8080"/>
              </w:tabs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Prominutý odvod a penále</w:t>
            </w:r>
          </w:p>
        </w:tc>
        <w:tc>
          <w:tcPr>
            <w:tcW w:w="1417" w:type="dxa"/>
            <w:vAlign w:val="center"/>
          </w:tcPr>
          <w:p w14:paraId="532B2EF8" w14:textId="77777777" w:rsidR="007241D6" w:rsidRPr="007241D6" w:rsidRDefault="008365B9" w:rsidP="008365B9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4 482 045</w:t>
            </w:r>
          </w:p>
        </w:tc>
        <w:tc>
          <w:tcPr>
            <w:tcW w:w="1417" w:type="dxa"/>
            <w:vAlign w:val="center"/>
          </w:tcPr>
          <w:p w14:paraId="532B2EF9" w14:textId="77777777" w:rsidR="007241D6" w:rsidRPr="007241D6" w:rsidRDefault="008365B9" w:rsidP="008365B9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4 510 312</w:t>
            </w:r>
          </w:p>
        </w:tc>
        <w:tc>
          <w:tcPr>
            <w:tcW w:w="1417" w:type="dxa"/>
            <w:vAlign w:val="center"/>
          </w:tcPr>
          <w:p w14:paraId="532B2EFA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848 766</w:t>
            </w:r>
          </w:p>
        </w:tc>
        <w:tc>
          <w:tcPr>
            <w:tcW w:w="1417" w:type="dxa"/>
            <w:vAlign w:val="center"/>
          </w:tcPr>
          <w:p w14:paraId="532B2EFB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9 841 123</w:t>
            </w:r>
          </w:p>
        </w:tc>
      </w:tr>
      <w:tr w:rsidR="007241D6" w:rsidRPr="007241D6" w14:paraId="532B2F02" w14:textId="77777777" w:rsidTr="007241D6">
        <w:trPr>
          <w:trHeight w:val="283"/>
          <w:jc w:val="center"/>
        </w:trPr>
        <w:tc>
          <w:tcPr>
            <w:tcW w:w="3345" w:type="dxa"/>
            <w:vAlign w:val="center"/>
          </w:tcPr>
          <w:p w14:paraId="532B2EFD" w14:textId="77777777" w:rsidR="007241D6" w:rsidRPr="007241D6" w:rsidRDefault="007241D6" w:rsidP="000F29D0">
            <w:pPr>
              <w:tabs>
                <w:tab w:val="left" w:pos="8080"/>
              </w:tabs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Prominuto</w:t>
            </w:r>
            <w:r w:rsidR="000F29D0">
              <w:rPr>
                <w:sz w:val="18"/>
                <w:szCs w:val="18"/>
              </w:rPr>
              <w:t xml:space="preserve"> z vyměřené částky</w:t>
            </w:r>
          </w:p>
        </w:tc>
        <w:tc>
          <w:tcPr>
            <w:tcW w:w="1417" w:type="dxa"/>
            <w:vAlign w:val="center"/>
          </w:tcPr>
          <w:p w14:paraId="532B2EFE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3F1A9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14:paraId="532B2EFF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3F1A9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14:paraId="532B2F00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3F1A9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14:paraId="532B2F01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3F1A9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%</w:t>
            </w:r>
          </w:p>
        </w:tc>
      </w:tr>
      <w:tr w:rsidR="007241D6" w:rsidRPr="007241D6" w14:paraId="532B2F08" w14:textId="77777777" w:rsidTr="007241D6">
        <w:trPr>
          <w:trHeight w:val="283"/>
          <w:jc w:val="center"/>
        </w:trPr>
        <w:tc>
          <w:tcPr>
            <w:tcW w:w="3345" w:type="dxa"/>
            <w:vAlign w:val="center"/>
          </w:tcPr>
          <w:p w14:paraId="532B2F03" w14:textId="77777777" w:rsidR="007241D6" w:rsidRPr="007241D6" w:rsidRDefault="007241D6" w:rsidP="000F29D0">
            <w:pPr>
              <w:tabs>
                <w:tab w:val="left" w:pos="8080"/>
              </w:tabs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Uhrazen</w:t>
            </w:r>
            <w:r w:rsidR="000F29D0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 odvod</w:t>
            </w:r>
            <w:r w:rsidR="000F29D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a penále</w:t>
            </w:r>
          </w:p>
        </w:tc>
        <w:tc>
          <w:tcPr>
            <w:tcW w:w="1417" w:type="dxa"/>
            <w:vAlign w:val="center"/>
          </w:tcPr>
          <w:p w14:paraId="532B2F04" w14:textId="77777777" w:rsidR="007241D6" w:rsidRPr="007241D6" w:rsidRDefault="008365B9" w:rsidP="008365B9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763 326</w:t>
            </w:r>
          </w:p>
        </w:tc>
        <w:tc>
          <w:tcPr>
            <w:tcW w:w="1417" w:type="dxa"/>
            <w:vAlign w:val="center"/>
          </w:tcPr>
          <w:p w14:paraId="532B2F05" w14:textId="77777777" w:rsidR="007241D6" w:rsidRPr="007241D6" w:rsidRDefault="008365B9" w:rsidP="008365B9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559 697</w:t>
            </w:r>
          </w:p>
        </w:tc>
        <w:tc>
          <w:tcPr>
            <w:tcW w:w="1417" w:type="dxa"/>
            <w:vAlign w:val="center"/>
          </w:tcPr>
          <w:p w14:paraId="532B2F06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145 232</w:t>
            </w:r>
          </w:p>
        </w:tc>
        <w:tc>
          <w:tcPr>
            <w:tcW w:w="1417" w:type="dxa"/>
            <w:vAlign w:val="center"/>
          </w:tcPr>
          <w:p w14:paraId="532B2F07" w14:textId="77777777" w:rsidR="007241D6" w:rsidRPr="007241D6" w:rsidRDefault="008365B9" w:rsidP="007241D6">
            <w:pPr>
              <w:tabs>
                <w:tab w:val="left" w:pos="8080"/>
              </w:tabs>
              <w:spacing w:after="0"/>
              <w:ind w:right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1 468 255</w:t>
            </w:r>
          </w:p>
        </w:tc>
      </w:tr>
    </w:tbl>
    <w:p w14:paraId="532B2F09" w14:textId="77777777" w:rsidR="00A63E64" w:rsidRPr="008365B9" w:rsidRDefault="00A63E64" w:rsidP="008365B9">
      <w:pPr>
        <w:spacing w:before="40" w:after="0" w:line="240" w:lineRule="auto"/>
        <w:rPr>
          <w:rFonts w:cs="Arial"/>
          <w:sz w:val="18"/>
          <w:szCs w:val="18"/>
        </w:rPr>
      </w:pPr>
      <w:r w:rsidRPr="00764E05">
        <w:rPr>
          <w:rFonts w:cs="Arial"/>
          <w:b/>
          <w:sz w:val="18"/>
          <w:szCs w:val="18"/>
        </w:rPr>
        <w:t>Zdroj:</w:t>
      </w:r>
      <w:r w:rsidRPr="00B23BBC">
        <w:rPr>
          <w:rFonts w:cs="Arial"/>
          <w:sz w:val="18"/>
          <w:szCs w:val="18"/>
        </w:rPr>
        <w:t xml:space="preserve"> </w:t>
      </w:r>
      <w:r w:rsidRPr="00B23BBC">
        <w:rPr>
          <w:rFonts w:cs="Arial"/>
          <w:bCs/>
          <w:sz w:val="18"/>
          <w:szCs w:val="18"/>
        </w:rPr>
        <w:t>IS CEDR II</w:t>
      </w:r>
      <w:r>
        <w:rPr>
          <w:rFonts w:cs="Arial"/>
          <w:bCs/>
          <w:sz w:val="18"/>
          <w:szCs w:val="18"/>
        </w:rPr>
        <w:t>, IS ADIS</w:t>
      </w:r>
      <w:r w:rsidR="00A45FA5">
        <w:rPr>
          <w:rFonts w:cs="Arial"/>
          <w:bCs/>
          <w:sz w:val="18"/>
          <w:szCs w:val="18"/>
        </w:rPr>
        <w:t>.</w:t>
      </w:r>
      <w:r w:rsidRPr="008365B9">
        <w:rPr>
          <w:rFonts w:cs="Arial"/>
          <w:sz w:val="18"/>
          <w:szCs w:val="18"/>
        </w:rPr>
        <w:t xml:space="preserve"> </w:t>
      </w:r>
    </w:p>
    <w:p w14:paraId="532B2F0A" w14:textId="77777777" w:rsidR="00A63E64" w:rsidRDefault="00A63E64" w:rsidP="00A63E64">
      <w:pPr>
        <w:spacing w:after="0" w:line="240" w:lineRule="auto"/>
        <w:ind w:left="567" w:hanging="567"/>
        <w:rPr>
          <w:rFonts w:cs="Arial"/>
          <w:sz w:val="18"/>
          <w:szCs w:val="18"/>
        </w:rPr>
      </w:pPr>
      <w:r w:rsidRPr="0063098E">
        <w:rPr>
          <w:rFonts w:cs="Arial"/>
          <w:b/>
          <w:sz w:val="18"/>
          <w:szCs w:val="18"/>
        </w:rPr>
        <w:t>Pozn.</w:t>
      </w:r>
      <w:r w:rsidR="003F1A92">
        <w:rPr>
          <w:rFonts w:cs="Arial"/>
          <w:b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 w:rsidR="003F1A92">
        <w:rPr>
          <w:rFonts w:cs="Arial"/>
          <w:sz w:val="18"/>
          <w:szCs w:val="18"/>
        </w:rPr>
        <w:t>V</w:t>
      </w:r>
      <w:r>
        <w:rPr>
          <w:rFonts w:cs="Arial"/>
          <w:sz w:val="18"/>
          <w:szCs w:val="18"/>
        </w:rPr>
        <w:t>ztah mezi vyměřeným a prominutým odvodem a penále je</w:t>
      </w:r>
      <w:r w:rsidRPr="00B23BBC">
        <w:rPr>
          <w:rFonts w:cs="Arial"/>
          <w:sz w:val="18"/>
          <w:szCs w:val="18"/>
        </w:rPr>
        <w:t xml:space="preserve"> vlivem časového posunu mezi vym</w:t>
      </w:r>
      <w:r>
        <w:rPr>
          <w:rFonts w:cs="Arial"/>
          <w:sz w:val="18"/>
          <w:szCs w:val="18"/>
        </w:rPr>
        <w:t>ěřením a</w:t>
      </w:r>
      <w:r w:rsidR="00677457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>prominutím porovnatelný jen omezeně.</w:t>
      </w:r>
    </w:p>
    <w:p w14:paraId="532B2F0B" w14:textId="77777777" w:rsidR="007241D6" w:rsidRPr="008365B9" w:rsidRDefault="007241D6" w:rsidP="008365B9">
      <w:pPr>
        <w:spacing w:after="0" w:line="240" w:lineRule="auto"/>
        <w:rPr>
          <w:rFonts w:cs="Arial"/>
          <w:szCs w:val="22"/>
        </w:rPr>
      </w:pPr>
    </w:p>
    <w:p w14:paraId="532B2F0C" w14:textId="77777777" w:rsidR="00A63E64" w:rsidRDefault="00B71E24" w:rsidP="008365B9">
      <w:pPr>
        <w:spacing w:after="0" w:line="240" w:lineRule="auto"/>
        <w:rPr>
          <w:rFonts w:cs="Arial"/>
          <w:color w:val="000000"/>
          <w:szCs w:val="22"/>
          <w:lang w:eastAsia="en-US"/>
        </w:rPr>
      </w:pPr>
      <w:r w:rsidRPr="008365B9">
        <w:rPr>
          <w:rFonts w:cs="Arial"/>
          <w:color w:val="000000"/>
          <w:szCs w:val="22"/>
          <w:lang w:eastAsia="en-US"/>
        </w:rPr>
        <w:t xml:space="preserve">Na duplicitu kontrol podle zákonů </w:t>
      </w:r>
      <w:r w:rsidR="00A45FA5">
        <w:rPr>
          <w:rFonts w:cs="Arial"/>
          <w:color w:val="000000"/>
          <w:szCs w:val="22"/>
          <w:lang w:eastAsia="en-US"/>
        </w:rPr>
        <w:t>č. 320/2001 Sb. a č. </w:t>
      </w:r>
      <w:r w:rsidRPr="008365B9">
        <w:rPr>
          <w:rFonts w:cs="Arial"/>
          <w:color w:val="000000"/>
          <w:szCs w:val="22"/>
          <w:lang w:eastAsia="en-US"/>
        </w:rPr>
        <w:t xml:space="preserve">280/2009 Sb. upozornil i </w:t>
      </w:r>
      <w:r w:rsidR="00A63E64" w:rsidRPr="008365B9">
        <w:rPr>
          <w:rFonts w:cs="Arial"/>
          <w:color w:val="000000"/>
          <w:szCs w:val="22"/>
          <w:lang w:eastAsia="en-US"/>
        </w:rPr>
        <w:t xml:space="preserve">Kontrolní výbor </w:t>
      </w:r>
      <w:r w:rsidRPr="008365B9">
        <w:rPr>
          <w:rFonts w:cs="Arial"/>
          <w:color w:val="000000"/>
          <w:szCs w:val="22"/>
          <w:lang w:eastAsia="en-US"/>
        </w:rPr>
        <w:t>a</w:t>
      </w:r>
      <w:r w:rsidR="00A45FA5">
        <w:rPr>
          <w:rFonts w:cs="Arial"/>
          <w:color w:val="000000"/>
          <w:szCs w:val="22"/>
          <w:lang w:eastAsia="en-US"/>
        </w:rPr>
        <w:t> </w:t>
      </w:r>
      <w:r w:rsidRPr="008365B9">
        <w:rPr>
          <w:rFonts w:cs="Arial"/>
          <w:color w:val="000000"/>
          <w:szCs w:val="22"/>
          <w:lang w:eastAsia="en-US"/>
        </w:rPr>
        <w:t xml:space="preserve">navrhl zařazení kontroly dotací </w:t>
      </w:r>
      <w:r w:rsidR="00A45FA5">
        <w:rPr>
          <w:rFonts w:cs="Arial"/>
          <w:color w:val="000000"/>
          <w:szCs w:val="22"/>
          <w:lang w:eastAsia="en-US"/>
        </w:rPr>
        <w:t>do novely zákona o </w:t>
      </w:r>
      <w:r w:rsidR="00A63E64" w:rsidRPr="008365B9">
        <w:rPr>
          <w:rFonts w:cs="Arial"/>
          <w:color w:val="000000"/>
          <w:szCs w:val="22"/>
          <w:lang w:eastAsia="en-US"/>
        </w:rPr>
        <w:t>finanční kontrole</w:t>
      </w:r>
      <w:r w:rsidR="00A45FA5">
        <w:rPr>
          <w:rFonts w:cs="Arial"/>
          <w:color w:val="000000"/>
          <w:szCs w:val="22"/>
          <w:lang w:eastAsia="en-US"/>
        </w:rPr>
        <w:t xml:space="preserve"> a </w:t>
      </w:r>
      <w:r w:rsidRPr="008365B9">
        <w:rPr>
          <w:rFonts w:cs="Arial"/>
          <w:color w:val="000000"/>
          <w:szCs w:val="22"/>
          <w:lang w:eastAsia="en-US"/>
        </w:rPr>
        <w:t>zvážení možnosti procesního postupu podle</w:t>
      </w:r>
      <w:r w:rsidR="00A63E64" w:rsidRPr="008365B9">
        <w:rPr>
          <w:rFonts w:cs="Arial"/>
          <w:i/>
          <w:color w:val="000000"/>
          <w:szCs w:val="22"/>
          <w:lang w:eastAsia="en-US"/>
        </w:rPr>
        <w:t xml:space="preserve"> </w:t>
      </w:r>
      <w:r w:rsidR="00A63E64" w:rsidRPr="008365B9">
        <w:rPr>
          <w:rFonts w:cs="Arial"/>
          <w:color w:val="000000"/>
          <w:szCs w:val="22"/>
          <w:lang w:eastAsia="en-US"/>
        </w:rPr>
        <w:t>správního řádu</w:t>
      </w:r>
      <w:r w:rsidRPr="008365B9">
        <w:rPr>
          <w:rFonts w:cs="Arial"/>
          <w:color w:val="000000"/>
          <w:szCs w:val="22"/>
          <w:lang w:eastAsia="en-US"/>
        </w:rPr>
        <w:t>.</w:t>
      </w:r>
    </w:p>
    <w:p w14:paraId="532B2F0D" w14:textId="77777777" w:rsidR="008365B9" w:rsidRPr="008365B9" w:rsidRDefault="008365B9" w:rsidP="008365B9">
      <w:pPr>
        <w:spacing w:after="0" w:line="240" w:lineRule="auto"/>
        <w:rPr>
          <w:rFonts w:cs="Arial"/>
          <w:color w:val="000000"/>
          <w:szCs w:val="22"/>
          <w:lang w:eastAsia="en-US"/>
        </w:rPr>
      </w:pPr>
    </w:p>
    <w:p w14:paraId="532B2F0E" w14:textId="77777777" w:rsidR="00A63E64" w:rsidRDefault="00A63E64" w:rsidP="008365B9">
      <w:pPr>
        <w:spacing w:after="0" w:line="240" w:lineRule="auto"/>
        <w:rPr>
          <w:rFonts w:cs="Arial"/>
          <w:szCs w:val="22"/>
        </w:rPr>
      </w:pPr>
      <w:r w:rsidRPr="008365B9">
        <w:rPr>
          <w:rFonts w:cs="Arial"/>
          <w:color w:val="000000"/>
          <w:szCs w:val="22"/>
          <w:lang w:eastAsia="en-US"/>
        </w:rPr>
        <w:t xml:space="preserve">GFŘ v roce 2011 předložilo MF návrh na úpravu právních předpisů </w:t>
      </w:r>
      <w:r w:rsidRPr="008365B9">
        <w:rPr>
          <w:rFonts w:cs="Arial"/>
          <w:szCs w:val="22"/>
        </w:rPr>
        <w:t>pro ukládání sankcí za administrativní pochybení a</w:t>
      </w:r>
      <w:r w:rsidR="00A45FA5">
        <w:rPr>
          <w:rFonts w:cs="Arial"/>
          <w:szCs w:val="22"/>
        </w:rPr>
        <w:t> </w:t>
      </w:r>
      <w:r w:rsidRPr="008365B9">
        <w:rPr>
          <w:rFonts w:cs="Arial"/>
          <w:szCs w:val="22"/>
        </w:rPr>
        <w:t>méně závažné porušení povinností</w:t>
      </w:r>
      <w:r w:rsidR="000F29D0">
        <w:rPr>
          <w:rFonts w:cs="Arial"/>
          <w:szCs w:val="22"/>
        </w:rPr>
        <w:t>.</w:t>
      </w:r>
      <w:r w:rsidRPr="008365B9">
        <w:rPr>
          <w:rFonts w:cs="Arial"/>
          <w:szCs w:val="22"/>
        </w:rPr>
        <w:t xml:space="preserve"> </w:t>
      </w:r>
      <w:r w:rsidR="000F29D0">
        <w:rPr>
          <w:rFonts w:cs="Arial"/>
          <w:szCs w:val="22"/>
        </w:rPr>
        <w:t>Tento návrh</w:t>
      </w:r>
      <w:r w:rsidRPr="008365B9">
        <w:rPr>
          <w:rFonts w:cs="Arial"/>
          <w:szCs w:val="22"/>
        </w:rPr>
        <w:t xml:space="preserve"> předpokládal, že sankce by byla vyměřována na základě výsledků kontrol prováděných podle zákona č. 320/20</w:t>
      </w:r>
      <w:r w:rsidR="00A45FA5">
        <w:rPr>
          <w:rFonts w:cs="Arial"/>
          <w:szCs w:val="22"/>
        </w:rPr>
        <w:t>01 Sb. postupem podle zákona č. </w:t>
      </w:r>
      <w:r w:rsidRPr="008365B9">
        <w:rPr>
          <w:rFonts w:cs="Arial"/>
          <w:szCs w:val="22"/>
        </w:rPr>
        <w:t>500/2004</w:t>
      </w:r>
      <w:r w:rsidR="00A45FA5">
        <w:rPr>
          <w:rFonts w:cs="Arial"/>
          <w:szCs w:val="22"/>
        </w:rPr>
        <w:t> </w:t>
      </w:r>
      <w:r w:rsidRPr="008365B9">
        <w:rPr>
          <w:rFonts w:cs="Arial"/>
          <w:szCs w:val="22"/>
        </w:rPr>
        <w:t>Sb.</w:t>
      </w:r>
      <w:r w:rsidRPr="008365B9">
        <w:rPr>
          <w:rStyle w:val="Znakapoznpodarou"/>
          <w:rFonts w:cs="Arial"/>
          <w:szCs w:val="22"/>
        </w:rPr>
        <w:footnoteReference w:id="4"/>
      </w:r>
      <w:r w:rsidRPr="008365B9">
        <w:rPr>
          <w:rFonts w:cs="Arial"/>
          <w:szCs w:val="22"/>
        </w:rPr>
        <w:t xml:space="preserve"> Odvod podle zákona č. 218/2000 Sb. by byl vyměřován pouze v případech, kdy nedošlo ke splnění účelu, na který</w:t>
      </w:r>
      <w:r w:rsidR="00A45FA5">
        <w:rPr>
          <w:rFonts w:cs="Arial"/>
          <w:szCs w:val="22"/>
        </w:rPr>
        <w:t xml:space="preserve"> byly prostředky poskytnuty</w:t>
      </w:r>
      <w:r w:rsidR="000F29D0">
        <w:rPr>
          <w:rFonts w:cs="Arial"/>
          <w:szCs w:val="22"/>
        </w:rPr>
        <w:t>, anebo v případech</w:t>
      </w:r>
      <w:r w:rsidRPr="008365B9">
        <w:rPr>
          <w:rFonts w:cs="Arial"/>
          <w:szCs w:val="22"/>
        </w:rPr>
        <w:t xml:space="preserve"> postihu organizačních složek státu za ztrátu, která byla jejich pochybením způsobena státnímu rozpočtu. Podle návrhu by se podle zákona č. 280/2009 Sb. postupovalo pouze při placení a</w:t>
      </w:r>
      <w:r w:rsidR="00A45FA5">
        <w:rPr>
          <w:rFonts w:cs="Arial"/>
          <w:szCs w:val="22"/>
        </w:rPr>
        <w:t> </w:t>
      </w:r>
      <w:r w:rsidRPr="008365B9">
        <w:rPr>
          <w:rFonts w:cs="Arial"/>
          <w:szCs w:val="22"/>
        </w:rPr>
        <w:t>vymáhání sankcí.</w:t>
      </w:r>
    </w:p>
    <w:p w14:paraId="532B2F0F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10" w14:textId="77777777" w:rsidR="00A63E64" w:rsidRDefault="00A63E64" w:rsidP="008365B9">
      <w:pPr>
        <w:spacing w:after="0" w:line="240" w:lineRule="auto"/>
        <w:rPr>
          <w:rFonts w:cs="Arial"/>
          <w:szCs w:val="22"/>
        </w:rPr>
      </w:pPr>
      <w:r w:rsidRPr="008365B9">
        <w:rPr>
          <w:rFonts w:cs="Arial"/>
          <w:szCs w:val="22"/>
        </w:rPr>
        <w:t>MF uvedené návrhy GFŘ do návrhů novel příslušných právních předpisů nezapracovalo.</w:t>
      </w:r>
    </w:p>
    <w:p w14:paraId="532B2F11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12" w14:textId="77777777" w:rsidR="00A63E64" w:rsidRDefault="00A45FA5" w:rsidP="008365B9">
      <w:pPr>
        <w:spacing w:after="0" w:line="240" w:lineRule="auto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>S účinností zákona č. </w:t>
      </w:r>
      <w:r w:rsidR="00A63E64" w:rsidRPr="008365B9">
        <w:rPr>
          <w:rFonts w:cs="Arial"/>
          <w:color w:val="000000"/>
          <w:szCs w:val="22"/>
          <w:lang w:eastAsia="en-US"/>
        </w:rPr>
        <w:t>280/2009 Sb. může správce daně použít po</w:t>
      </w:r>
      <w:r>
        <w:rPr>
          <w:rFonts w:cs="Arial"/>
          <w:color w:val="000000"/>
          <w:szCs w:val="22"/>
          <w:lang w:eastAsia="en-US"/>
        </w:rPr>
        <w:t>dle § </w:t>
      </w:r>
      <w:r w:rsidR="00A63E64" w:rsidRPr="008365B9">
        <w:rPr>
          <w:rFonts w:cs="Arial"/>
          <w:color w:val="000000"/>
          <w:szCs w:val="22"/>
          <w:lang w:eastAsia="en-US"/>
        </w:rPr>
        <w:t>93 jako důkazní prostředky v</w:t>
      </w:r>
      <w:r>
        <w:rPr>
          <w:rFonts w:cs="Arial"/>
          <w:color w:val="000000"/>
          <w:szCs w:val="22"/>
          <w:lang w:eastAsia="en-US"/>
        </w:rPr>
        <w:t> </w:t>
      </w:r>
      <w:r w:rsidR="00A63E64" w:rsidRPr="008365B9">
        <w:rPr>
          <w:rFonts w:cs="Arial"/>
          <w:color w:val="000000"/>
          <w:szCs w:val="22"/>
          <w:lang w:eastAsia="en-US"/>
        </w:rPr>
        <w:t>daňovém řízení i</w:t>
      </w:r>
      <w:r>
        <w:rPr>
          <w:rFonts w:cs="Arial"/>
          <w:color w:val="000000"/>
          <w:szCs w:val="22"/>
          <w:lang w:eastAsia="en-US"/>
        </w:rPr>
        <w:t> </w:t>
      </w:r>
      <w:r w:rsidR="00A63E64" w:rsidRPr="008365B9">
        <w:rPr>
          <w:rFonts w:cs="Arial"/>
          <w:color w:val="000000"/>
          <w:szCs w:val="22"/>
          <w:lang w:eastAsia="en-US"/>
        </w:rPr>
        <w:t>veškeré podklady předané mu jinými orgány veřejné moci, které tyto orgány získaly v</w:t>
      </w:r>
      <w:r>
        <w:rPr>
          <w:rFonts w:cs="Arial"/>
          <w:color w:val="000000"/>
          <w:szCs w:val="22"/>
          <w:lang w:eastAsia="en-US"/>
        </w:rPr>
        <w:t> </w:t>
      </w:r>
      <w:r w:rsidR="00A63E64" w:rsidRPr="008365B9">
        <w:rPr>
          <w:rFonts w:cs="Arial"/>
          <w:color w:val="000000"/>
          <w:szCs w:val="22"/>
          <w:lang w:eastAsia="en-US"/>
        </w:rPr>
        <w:t>jimi vedených řízeních</w:t>
      </w:r>
      <w:r>
        <w:rPr>
          <w:rFonts w:cs="Arial"/>
          <w:color w:val="000000"/>
          <w:szCs w:val="22"/>
          <w:lang w:eastAsia="en-US"/>
        </w:rPr>
        <w:t>, tedy i podklady získané v </w:t>
      </w:r>
      <w:r w:rsidR="00A63E64" w:rsidRPr="008365B9">
        <w:rPr>
          <w:rFonts w:cs="Arial"/>
          <w:color w:val="000000"/>
          <w:szCs w:val="22"/>
          <w:lang w:eastAsia="en-US"/>
        </w:rPr>
        <w:t>rámci veřejnosprávních kontrol. Toto oprávnění však klade značné nároky</w:t>
      </w:r>
      <w:r>
        <w:rPr>
          <w:rFonts w:cs="Arial"/>
          <w:color w:val="000000"/>
          <w:szCs w:val="22"/>
          <w:lang w:eastAsia="en-US"/>
        </w:rPr>
        <w:t xml:space="preserve"> na kvalitu a </w:t>
      </w:r>
      <w:r w:rsidR="00A63E64" w:rsidRPr="008365B9">
        <w:rPr>
          <w:rFonts w:cs="Arial"/>
          <w:color w:val="000000"/>
          <w:szCs w:val="22"/>
          <w:lang w:eastAsia="en-US"/>
        </w:rPr>
        <w:t xml:space="preserve">úplnost podkladů získaných od příslušných orgánů provádějících kontrolu. Protože za správnost vyměření odvodu je </w:t>
      </w:r>
      <w:r>
        <w:rPr>
          <w:rFonts w:cs="Arial"/>
          <w:color w:val="000000"/>
          <w:szCs w:val="22"/>
          <w:lang w:eastAsia="en-US"/>
        </w:rPr>
        <w:t>i </w:t>
      </w:r>
      <w:r w:rsidR="00A63E64" w:rsidRPr="008365B9">
        <w:rPr>
          <w:rFonts w:cs="Arial"/>
          <w:color w:val="000000"/>
          <w:szCs w:val="22"/>
          <w:lang w:eastAsia="en-US"/>
        </w:rPr>
        <w:t>nadále zodpovědný správce daně, předané skutečnosti opětovně ověřuje a</w:t>
      </w:r>
      <w:r>
        <w:rPr>
          <w:rFonts w:cs="Arial"/>
          <w:color w:val="000000"/>
          <w:szCs w:val="22"/>
          <w:lang w:eastAsia="en-US"/>
        </w:rPr>
        <w:t> </w:t>
      </w:r>
      <w:r w:rsidR="00A63E64" w:rsidRPr="008365B9">
        <w:rPr>
          <w:rFonts w:cs="Arial"/>
          <w:color w:val="000000"/>
          <w:szCs w:val="22"/>
          <w:lang w:eastAsia="en-US"/>
        </w:rPr>
        <w:t>doplňuje v daňové kontrole</w:t>
      </w:r>
      <w:r w:rsidR="008365B9">
        <w:rPr>
          <w:rFonts w:cs="Arial"/>
          <w:color w:val="000000"/>
          <w:szCs w:val="22"/>
          <w:lang w:eastAsia="en-US"/>
        </w:rPr>
        <w:t>.</w:t>
      </w:r>
    </w:p>
    <w:p w14:paraId="532B2F13" w14:textId="77777777" w:rsidR="008365B9" w:rsidRPr="008365B9" w:rsidRDefault="008365B9" w:rsidP="008365B9">
      <w:pPr>
        <w:spacing w:after="0" w:line="240" w:lineRule="auto"/>
        <w:rPr>
          <w:rFonts w:cs="Arial"/>
          <w:color w:val="000000"/>
          <w:szCs w:val="22"/>
          <w:lang w:eastAsia="en-US"/>
        </w:rPr>
      </w:pPr>
    </w:p>
    <w:p w14:paraId="532B2F14" w14:textId="77777777" w:rsidR="00A63E64" w:rsidRPr="008365B9" w:rsidRDefault="007F073F" w:rsidP="008365B9">
      <w:pPr>
        <w:spacing w:after="0" w:line="240" w:lineRule="auto"/>
        <w:rPr>
          <w:rFonts w:cs="Arial"/>
          <w:b/>
          <w:szCs w:val="22"/>
        </w:rPr>
      </w:pPr>
      <w:r w:rsidRPr="008365B9">
        <w:rPr>
          <w:rFonts w:cs="Arial"/>
          <w:b/>
          <w:szCs w:val="22"/>
        </w:rPr>
        <w:t>M</w:t>
      </w:r>
      <w:r w:rsidR="00A63E64" w:rsidRPr="008365B9">
        <w:rPr>
          <w:rFonts w:cs="Arial"/>
          <w:b/>
          <w:szCs w:val="22"/>
        </w:rPr>
        <w:t>éně závažná porušení podmínek poskytnutí dotace</w:t>
      </w:r>
    </w:p>
    <w:p w14:paraId="532B2F15" w14:textId="77777777" w:rsidR="008365B9" w:rsidRDefault="008365B9" w:rsidP="008365B9">
      <w:pPr>
        <w:spacing w:after="0" w:line="240" w:lineRule="auto"/>
        <w:rPr>
          <w:rFonts w:cs="Arial"/>
          <w:bCs/>
          <w:szCs w:val="22"/>
        </w:rPr>
      </w:pPr>
    </w:p>
    <w:p w14:paraId="532B2F16" w14:textId="77777777" w:rsidR="0087044A" w:rsidRDefault="00A63E64" w:rsidP="008365B9">
      <w:pPr>
        <w:spacing w:after="0" w:line="240" w:lineRule="auto"/>
        <w:rPr>
          <w:rFonts w:cs="Arial"/>
          <w:bCs/>
          <w:szCs w:val="22"/>
        </w:rPr>
      </w:pPr>
      <w:r w:rsidRPr="008365B9">
        <w:rPr>
          <w:rFonts w:cs="Arial"/>
          <w:bCs/>
          <w:szCs w:val="22"/>
        </w:rPr>
        <w:t>Výši vyměřen</w:t>
      </w:r>
      <w:r w:rsidR="00A45FA5">
        <w:rPr>
          <w:rFonts w:cs="Arial"/>
          <w:bCs/>
          <w:szCs w:val="22"/>
        </w:rPr>
        <w:t>ého odvodu a penále ovlivňuje i </w:t>
      </w:r>
      <w:r w:rsidRPr="008365B9">
        <w:rPr>
          <w:rFonts w:cs="Arial"/>
          <w:bCs/>
          <w:szCs w:val="22"/>
        </w:rPr>
        <w:t>využití možnosti stanovit v</w:t>
      </w:r>
      <w:r w:rsidR="00A45FA5">
        <w:rPr>
          <w:rFonts w:cs="Arial"/>
          <w:bCs/>
          <w:szCs w:val="22"/>
        </w:rPr>
        <w:t> </w:t>
      </w:r>
      <w:r w:rsidRPr="008365B9">
        <w:rPr>
          <w:rFonts w:cs="Arial"/>
          <w:bCs/>
          <w:szCs w:val="22"/>
        </w:rPr>
        <w:t>rozhodnutí o poskytnutí dotace podmínky, jejichž porušení bude posuzováno jako méně závažné porušení rozpočtové kázně</w:t>
      </w:r>
      <w:r w:rsidR="00A45FA5">
        <w:rPr>
          <w:rFonts w:cs="Arial"/>
          <w:bCs/>
          <w:szCs w:val="22"/>
        </w:rPr>
        <w:t>. Kontrolou NKÚ č. </w:t>
      </w:r>
      <w:r w:rsidRPr="008365B9">
        <w:rPr>
          <w:rFonts w:cs="Arial"/>
          <w:bCs/>
          <w:szCs w:val="22"/>
        </w:rPr>
        <w:t xml:space="preserve">10/08 bylo zjištěno, že tato možnost byla poskytovateli využívána minimálně. </w:t>
      </w:r>
      <w:r w:rsidR="0087044A" w:rsidRPr="008365B9">
        <w:rPr>
          <w:rFonts w:cs="Arial"/>
          <w:bCs/>
          <w:szCs w:val="22"/>
        </w:rPr>
        <w:t>Tuto otázku posuzoval i</w:t>
      </w:r>
      <w:r w:rsidR="00E76042" w:rsidRPr="008365B9">
        <w:rPr>
          <w:rFonts w:cs="Arial"/>
          <w:bCs/>
          <w:szCs w:val="22"/>
        </w:rPr>
        <w:t xml:space="preserve"> </w:t>
      </w:r>
      <w:r w:rsidRPr="008365B9">
        <w:rPr>
          <w:rFonts w:cs="Arial"/>
          <w:bCs/>
          <w:szCs w:val="22"/>
        </w:rPr>
        <w:t xml:space="preserve">Kontrolní výbor </w:t>
      </w:r>
      <w:r w:rsidR="00E76042" w:rsidRPr="008365B9">
        <w:rPr>
          <w:rFonts w:cs="Arial"/>
          <w:bCs/>
          <w:szCs w:val="22"/>
        </w:rPr>
        <w:t>a</w:t>
      </w:r>
      <w:r w:rsidR="00A45FA5">
        <w:rPr>
          <w:rFonts w:cs="Arial"/>
          <w:bCs/>
          <w:szCs w:val="22"/>
        </w:rPr>
        <w:t> </w:t>
      </w:r>
      <w:r w:rsidR="00E76042" w:rsidRPr="008365B9">
        <w:rPr>
          <w:rFonts w:cs="Arial"/>
          <w:bCs/>
          <w:szCs w:val="22"/>
        </w:rPr>
        <w:t>doporučil</w:t>
      </w:r>
      <w:r w:rsidRPr="008365B9">
        <w:rPr>
          <w:rFonts w:cs="Arial"/>
          <w:bCs/>
          <w:szCs w:val="22"/>
        </w:rPr>
        <w:t xml:space="preserve"> MF, aby </w:t>
      </w:r>
      <w:r w:rsidR="00E76042" w:rsidRPr="008365B9">
        <w:rPr>
          <w:rFonts w:cs="Arial"/>
          <w:bCs/>
          <w:szCs w:val="22"/>
        </w:rPr>
        <w:t>zvážilo</w:t>
      </w:r>
      <w:r w:rsidR="007F073F" w:rsidRPr="008365B9">
        <w:rPr>
          <w:rFonts w:cs="Arial"/>
          <w:bCs/>
          <w:szCs w:val="22"/>
        </w:rPr>
        <w:t>, zda</w:t>
      </w:r>
      <w:r w:rsidR="00E76042" w:rsidRPr="008365B9">
        <w:rPr>
          <w:rFonts w:cs="Arial"/>
          <w:bCs/>
          <w:szCs w:val="22"/>
        </w:rPr>
        <w:t xml:space="preserve"> možnost </w:t>
      </w:r>
      <w:r w:rsidRPr="008365B9">
        <w:rPr>
          <w:rFonts w:cs="Arial"/>
          <w:bCs/>
          <w:szCs w:val="22"/>
        </w:rPr>
        <w:t>stanovit v</w:t>
      </w:r>
      <w:r w:rsidR="00A45FA5">
        <w:rPr>
          <w:rFonts w:cs="Arial"/>
          <w:bCs/>
          <w:szCs w:val="22"/>
        </w:rPr>
        <w:t> </w:t>
      </w:r>
      <w:r w:rsidRPr="008365B9">
        <w:rPr>
          <w:rFonts w:cs="Arial"/>
          <w:bCs/>
          <w:szCs w:val="22"/>
        </w:rPr>
        <w:t>rozhodnutí o</w:t>
      </w:r>
      <w:r w:rsidR="00A45FA5">
        <w:rPr>
          <w:rFonts w:cs="Arial"/>
          <w:bCs/>
          <w:szCs w:val="22"/>
        </w:rPr>
        <w:t> </w:t>
      </w:r>
      <w:r w:rsidRPr="008365B9">
        <w:rPr>
          <w:rFonts w:cs="Arial"/>
          <w:bCs/>
          <w:szCs w:val="22"/>
        </w:rPr>
        <w:t>přiznání dotace podmínky, jejichž porušení bude posuzováno jako méně závažné porušení rozpočtové kázně</w:t>
      </w:r>
      <w:r w:rsidR="007F073F" w:rsidRPr="008365B9">
        <w:rPr>
          <w:rFonts w:cs="Arial"/>
          <w:bCs/>
          <w:szCs w:val="22"/>
        </w:rPr>
        <w:t>, nezměnit na povinnost.</w:t>
      </w:r>
    </w:p>
    <w:p w14:paraId="532B2F17" w14:textId="77777777" w:rsidR="008365B9" w:rsidRPr="008365B9" w:rsidRDefault="008365B9" w:rsidP="008365B9">
      <w:pPr>
        <w:spacing w:after="0" w:line="240" w:lineRule="auto"/>
        <w:rPr>
          <w:rFonts w:cs="Arial"/>
          <w:bCs/>
          <w:szCs w:val="22"/>
        </w:rPr>
      </w:pPr>
    </w:p>
    <w:p w14:paraId="532B2F18" w14:textId="77777777" w:rsidR="00E76042" w:rsidRDefault="00E76042" w:rsidP="008365B9">
      <w:pPr>
        <w:spacing w:after="0" w:line="240" w:lineRule="auto"/>
        <w:rPr>
          <w:rFonts w:cs="Arial"/>
          <w:bCs/>
          <w:szCs w:val="22"/>
        </w:rPr>
      </w:pPr>
      <w:r w:rsidRPr="008365B9">
        <w:rPr>
          <w:rFonts w:cs="Arial"/>
          <w:bCs/>
          <w:szCs w:val="22"/>
        </w:rPr>
        <w:t>Právní úprava v zákoně č.</w:t>
      </w:r>
      <w:r w:rsidR="00A45FA5">
        <w:rPr>
          <w:rFonts w:cs="Arial"/>
          <w:bCs/>
          <w:szCs w:val="22"/>
        </w:rPr>
        <w:t> </w:t>
      </w:r>
      <w:r w:rsidRPr="008365B9">
        <w:rPr>
          <w:rFonts w:cs="Arial"/>
          <w:bCs/>
          <w:szCs w:val="22"/>
        </w:rPr>
        <w:t>218/2000 Sb. je taková, že poskytovatel</w:t>
      </w:r>
      <w:r w:rsidR="007F073F" w:rsidRPr="008365B9">
        <w:rPr>
          <w:rFonts w:cs="Arial"/>
          <w:bCs/>
          <w:szCs w:val="22"/>
        </w:rPr>
        <w:t xml:space="preserve"> rozhoduje</w:t>
      </w:r>
      <w:r w:rsidRPr="008365B9">
        <w:rPr>
          <w:rFonts w:cs="Arial"/>
          <w:bCs/>
          <w:szCs w:val="22"/>
        </w:rPr>
        <w:t xml:space="preserve">, zda stanoví podmínky, jejichž porušení bude považováno za méně závažné porušení rozpočtové kázně. </w:t>
      </w:r>
      <w:r w:rsidR="0087044A" w:rsidRPr="008365B9">
        <w:rPr>
          <w:rFonts w:cs="Arial"/>
          <w:bCs/>
          <w:szCs w:val="22"/>
        </w:rPr>
        <w:t xml:space="preserve">I tato </w:t>
      </w:r>
      <w:r w:rsidR="000F29D0">
        <w:rPr>
          <w:rFonts w:cs="Arial"/>
          <w:bCs/>
          <w:szCs w:val="22"/>
        </w:rPr>
        <w:t>kontrolní akce</w:t>
      </w:r>
      <w:r w:rsidR="0087044A" w:rsidRPr="008365B9">
        <w:rPr>
          <w:rFonts w:cs="Arial"/>
          <w:bCs/>
          <w:szCs w:val="22"/>
        </w:rPr>
        <w:t xml:space="preserve"> NKÚ prokázala, že </w:t>
      </w:r>
      <w:r w:rsidR="000F29D0">
        <w:rPr>
          <w:rFonts w:cs="Arial"/>
          <w:bCs/>
          <w:szCs w:val="22"/>
        </w:rPr>
        <w:t>zmíněnou</w:t>
      </w:r>
      <w:r w:rsidR="0087044A" w:rsidRPr="008365B9">
        <w:rPr>
          <w:rFonts w:cs="Arial"/>
          <w:bCs/>
          <w:szCs w:val="22"/>
        </w:rPr>
        <w:t xml:space="preserve"> možnost</w:t>
      </w:r>
      <w:r w:rsidRPr="008365B9">
        <w:rPr>
          <w:rFonts w:cs="Arial"/>
          <w:bCs/>
          <w:szCs w:val="22"/>
        </w:rPr>
        <w:t xml:space="preserve"> </w:t>
      </w:r>
      <w:r w:rsidR="007F073F" w:rsidRPr="008365B9">
        <w:rPr>
          <w:rFonts w:cs="Arial"/>
          <w:bCs/>
          <w:szCs w:val="22"/>
        </w:rPr>
        <w:t>poskytovatelé využívají</w:t>
      </w:r>
      <w:r w:rsidR="008365B9">
        <w:rPr>
          <w:rFonts w:cs="Arial"/>
          <w:bCs/>
          <w:szCs w:val="22"/>
        </w:rPr>
        <w:t xml:space="preserve"> minimálně.</w:t>
      </w:r>
    </w:p>
    <w:p w14:paraId="532B2F19" w14:textId="77777777" w:rsidR="008365B9" w:rsidRPr="008365B9" w:rsidRDefault="008365B9" w:rsidP="008365B9">
      <w:pPr>
        <w:spacing w:after="0" w:line="240" w:lineRule="auto"/>
        <w:rPr>
          <w:rFonts w:cs="Arial"/>
          <w:bCs/>
          <w:szCs w:val="22"/>
        </w:rPr>
      </w:pPr>
    </w:p>
    <w:p w14:paraId="532B2F1A" w14:textId="77777777" w:rsidR="00A63E64" w:rsidRDefault="00A63E64" w:rsidP="008365B9">
      <w:pPr>
        <w:spacing w:after="0" w:line="240" w:lineRule="auto"/>
        <w:rPr>
          <w:rFonts w:cs="Arial"/>
          <w:color w:val="000000"/>
          <w:szCs w:val="22"/>
          <w:lang w:eastAsia="en-US"/>
        </w:rPr>
      </w:pPr>
      <w:r w:rsidRPr="008365B9">
        <w:rPr>
          <w:rFonts w:cs="Arial"/>
          <w:color w:val="000000"/>
          <w:szCs w:val="22"/>
          <w:lang w:eastAsia="en-US"/>
        </w:rPr>
        <w:t>V l</w:t>
      </w:r>
      <w:r w:rsidR="00A45FA5">
        <w:rPr>
          <w:rFonts w:cs="Arial"/>
          <w:color w:val="000000"/>
          <w:szCs w:val="22"/>
          <w:lang w:eastAsia="en-US"/>
        </w:rPr>
        <w:t>etech 2011 až 2013 (stav k 31. </w:t>
      </w:r>
      <w:r w:rsidRPr="008365B9">
        <w:rPr>
          <w:rFonts w:cs="Arial"/>
          <w:color w:val="000000"/>
          <w:szCs w:val="22"/>
          <w:lang w:eastAsia="en-US"/>
        </w:rPr>
        <w:t>březnu) byl pouze v 19 případech kontrolního vzorku vyměřen odvod za méně závažné porušení rozpočtové kázně ve výši stanovené dle §</w:t>
      </w:r>
      <w:r w:rsidR="00A45FA5">
        <w:rPr>
          <w:rFonts w:cs="Arial"/>
          <w:color w:val="000000"/>
          <w:szCs w:val="22"/>
          <w:lang w:eastAsia="en-US"/>
        </w:rPr>
        <w:t> 44a odst. </w:t>
      </w:r>
      <w:r w:rsidRPr="008365B9">
        <w:rPr>
          <w:rFonts w:cs="Arial"/>
          <w:color w:val="000000"/>
          <w:szCs w:val="22"/>
          <w:lang w:eastAsia="en-US"/>
        </w:rPr>
        <w:t>4 písm. a) zákona č.</w:t>
      </w:r>
      <w:r w:rsidR="00A45FA5">
        <w:rPr>
          <w:rFonts w:cs="Arial"/>
          <w:color w:val="000000"/>
          <w:szCs w:val="22"/>
          <w:lang w:eastAsia="en-US"/>
        </w:rPr>
        <w:t> </w:t>
      </w:r>
      <w:r w:rsidRPr="008365B9">
        <w:rPr>
          <w:rFonts w:cs="Arial"/>
          <w:color w:val="000000"/>
          <w:szCs w:val="22"/>
          <w:lang w:eastAsia="en-US"/>
        </w:rPr>
        <w:t>218/2000 Sb.</w:t>
      </w:r>
    </w:p>
    <w:p w14:paraId="532B2F1B" w14:textId="77777777" w:rsidR="008365B9" w:rsidRPr="008365B9" w:rsidRDefault="008365B9" w:rsidP="008365B9">
      <w:pPr>
        <w:spacing w:after="0" w:line="240" w:lineRule="auto"/>
        <w:rPr>
          <w:rFonts w:cs="Arial"/>
          <w:color w:val="000000"/>
          <w:szCs w:val="22"/>
          <w:lang w:eastAsia="en-US"/>
        </w:rPr>
      </w:pPr>
    </w:p>
    <w:p w14:paraId="532B2F1C" w14:textId="77777777" w:rsidR="00A63E64" w:rsidRDefault="00A45FA5" w:rsidP="008365B9">
      <w:pPr>
        <w:spacing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Stále tak přetrvává stav, kdy i </w:t>
      </w:r>
      <w:r w:rsidR="00A63E64" w:rsidRPr="008365B9">
        <w:rPr>
          <w:rFonts w:cs="Arial"/>
          <w:bCs/>
          <w:szCs w:val="22"/>
        </w:rPr>
        <w:t>porušení podmínek spočívající v</w:t>
      </w:r>
      <w:r>
        <w:rPr>
          <w:rFonts w:cs="Arial"/>
          <w:bCs/>
          <w:szCs w:val="22"/>
        </w:rPr>
        <w:t> </w:t>
      </w:r>
      <w:r w:rsidR="00A63E64" w:rsidRPr="008365B9">
        <w:rPr>
          <w:rFonts w:cs="Arial"/>
          <w:bCs/>
          <w:szCs w:val="22"/>
        </w:rPr>
        <w:t>administrativním pochybení (např. nedodržení lhůt)</w:t>
      </w:r>
      <w:r>
        <w:rPr>
          <w:rFonts w:cs="Arial"/>
          <w:bCs/>
          <w:szCs w:val="22"/>
        </w:rPr>
        <w:t>, které v </w:t>
      </w:r>
      <w:r w:rsidR="00A63E64" w:rsidRPr="008365B9">
        <w:rPr>
          <w:rFonts w:cs="Arial"/>
          <w:bCs/>
          <w:szCs w:val="22"/>
        </w:rPr>
        <w:t>rozhodnutí o</w:t>
      </w:r>
      <w:r>
        <w:rPr>
          <w:rFonts w:cs="Arial"/>
          <w:bCs/>
          <w:szCs w:val="22"/>
        </w:rPr>
        <w:t> </w:t>
      </w:r>
      <w:r w:rsidR="00A63E64" w:rsidRPr="008365B9">
        <w:rPr>
          <w:rFonts w:cs="Arial"/>
          <w:bCs/>
          <w:szCs w:val="22"/>
        </w:rPr>
        <w:t>poskytnutí dotace nebylo vyčleněno jako méně závažné, bylo</w:t>
      </w:r>
      <w:r>
        <w:rPr>
          <w:rFonts w:cs="Arial"/>
          <w:bCs/>
          <w:szCs w:val="22"/>
        </w:rPr>
        <w:t xml:space="preserve"> sankcionováno odvodem a </w:t>
      </w:r>
      <w:r w:rsidR="00A63E64" w:rsidRPr="008365B9">
        <w:rPr>
          <w:rFonts w:cs="Arial"/>
          <w:bCs/>
          <w:szCs w:val="22"/>
        </w:rPr>
        <w:t xml:space="preserve">penále v celkové výši poskytnuté dotace. </w:t>
      </w:r>
      <w:r>
        <w:rPr>
          <w:rFonts w:cs="Arial"/>
          <w:bCs/>
          <w:szCs w:val="22"/>
        </w:rPr>
        <w:t>Takto vyměřen</w:t>
      </w:r>
      <w:r w:rsidR="000F29D0">
        <w:rPr>
          <w:rFonts w:cs="Arial"/>
          <w:bCs/>
          <w:szCs w:val="22"/>
        </w:rPr>
        <w:t>é</w:t>
      </w:r>
      <w:r>
        <w:rPr>
          <w:rFonts w:cs="Arial"/>
          <w:bCs/>
          <w:szCs w:val="22"/>
        </w:rPr>
        <w:t xml:space="preserve"> odvod</w:t>
      </w:r>
      <w:r w:rsidR="000F29D0">
        <w:rPr>
          <w:rFonts w:cs="Arial"/>
          <w:bCs/>
          <w:szCs w:val="22"/>
        </w:rPr>
        <w:t>y</w:t>
      </w:r>
      <w:r>
        <w:rPr>
          <w:rFonts w:cs="Arial"/>
          <w:bCs/>
          <w:szCs w:val="22"/>
        </w:rPr>
        <w:t xml:space="preserve"> i </w:t>
      </w:r>
      <w:r w:rsidR="00E76042" w:rsidRPr="008365B9">
        <w:rPr>
          <w:rFonts w:cs="Arial"/>
          <w:bCs/>
          <w:szCs w:val="22"/>
        </w:rPr>
        <w:t xml:space="preserve">penále zvyšují objem </w:t>
      </w:r>
      <w:r>
        <w:rPr>
          <w:rFonts w:cs="Arial"/>
          <w:bCs/>
          <w:szCs w:val="22"/>
        </w:rPr>
        <w:t>jak vyměřených</w:t>
      </w:r>
      <w:r w:rsidR="000F29D0">
        <w:rPr>
          <w:rFonts w:cs="Arial"/>
          <w:bCs/>
          <w:szCs w:val="22"/>
        </w:rPr>
        <w:t>,</w:t>
      </w:r>
      <w:r>
        <w:rPr>
          <w:rFonts w:cs="Arial"/>
          <w:bCs/>
          <w:szCs w:val="22"/>
        </w:rPr>
        <w:t xml:space="preserve"> tak i </w:t>
      </w:r>
      <w:r w:rsidR="00244E8D" w:rsidRPr="008365B9">
        <w:rPr>
          <w:rFonts w:cs="Arial"/>
          <w:bCs/>
          <w:szCs w:val="22"/>
        </w:rPr>
        <w:t>prominutých odvodů a</w:t>
      </w:r>
      <w:r w:rsidR="00677457" w:rsidRPr="008365B9">
        <w:rPr>
          <w:rFonts w:cs="Arial"/>
          <w:bCs/>
          <w:szCs w:val="22"/>
        </w:rPr>
        <w:t> </w:t>
      </w:r>
      <w:r w:rsidR="00244E8D" w:rsidRPr="008365B9">
        <w:rPr>
          <w:rFonts w:cs="Arial"/>
          <w:bCs/>
          <w:szCs w:val="22"/>
        </w:rPr>
        <w:t>penále a nemají žádný dopad na příjmy státního rozpočtu.</w:t>
      </w:r>
    </w:p>
    <w:p w14:paraId="532B2F1D" w14:textId="77777777" w:rsidR="008365B9" w:rsidRPr="008365B9" w:rsidRDefault="008365B9" w:rsidP="008365B9">
      <w:pPr>
        <w:spacing w:after="0" w:line="240" w:lineRule="auto"/>
        <w:rPr>
          <w:rFonts w:cs="Arial"/>
          <w:bCs/>
          <w:szCs w:val="22"/>
        </w:rPr>
      </w:pPr>
    </w:p>
    <w:p w14:paraId="532B2F1E" w14:textId="77777777" w:rsidR="00A63E64" w:rsidRPr="008365B9" w:rsidRDefault="00A63E64" w:rsidP="008365B9">
      <w:pPr>
        <w:spacing w:after="0" w:line="240" w:lineRule="auto"/>
        <w:rPr>
          <w:rFonts w:cs="Arial"/>
          <w:b/>
          <w:szCs w:val="22"/>
        </w:rPr>
      </w:pPr>
      <w:r w:rsidRPr="008365B9">
        <w:rPr>
          <w:rFonts w:cs="Arial"/>
          <w:b/>
          <w:szCs w:val="22"/>
        </w:rPr>
        <w:t xml:space="preserve">Hospodárnost uložené sankce </w:t>
      </w:r>
    </w:p>
    <w:p w14:paraId="532B2F1F" w14:textId="77777777" w:rsid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0" w14:textId="77777777" w:rsidR="00A63E64" w:rsidRDefault="00A63E64" w:rsidP="008365B9">
      <w:pPr>
        <w:spacing w:after="0" w:line="240" w:lineRule="auto"/>
        <w:rPr>
          <w:rFonts w:cs="Arial"/>
          <w:szCs w:val="22"/>
        </w:rPr>
      </w:pPr>
      <w:r w:rsidRPr="008365B9">
        <w:rPr>
          <w:rFonts w:cs="Arial"/>
          <w:szCs w:val="22"/>
        </w:rPr>
        <w:t>Podle ustanovení §</w:t>
      </w:r>
      <w:r w:rsidR="00A45FA5">
        <w:rPr>
          <w:rFonts w:cs="Arial"/>
          <w:szCs w:val="22"/>
        </w:rPr>
        <w:t> 44a odst. 4 písm. b) zákona č. </w:t>
      </w:r>
      <w:r w:rsidRPr="008365B9">
        <w:rPr>
          <w:rFonts w:cs="Arial"/>
          <w:szCs w:val="22"/>
        </w:rPr>
        <w:t>218/2000 Sb. účinného od 30. prosince</w:t>
      </w:r>
      <w:r w:rsidR="008365B9">
        <w:rPr>
          <w:rFonts w:cs="Arial"/>
          <w:szCs w:val="22"/>
        </w:rPr>
        <w:t xml:space="preserve"> </w:t>
      </w:r>
      <w:r w:rsidRPr="008365B9">
        <w:rPr>
          <w:rFonts w:cs="Arial"/>
          <w:szCs w:val="22"/>
        </w:rPr>
        <w:t>2011 při stanovení částky odvodu za porušení rozpočt</w:t>
      </w:r>
      <w:r w:rsidR="008365B9">
        <w:rPr>
          <w:rFonts w:cs="Arial"/>
          <w:szCs w:val="22"/>
        </w:rPr>
        <w:t>ové kázně vezme finanční úřad v </w:t>
      </w:r>
      <w:r w:rsidRPr="008365B9">
        <w:rPr>
          <w:rFonts w:cs="Arial"/>
          <w:szCs w:val="22"/>
        </w:rPr>
        <w:t>úvahu závažnost porušení povinnosti, jeho vliv na dosažení cíle dotace a hospodárnost uložené sankce. Definice hospodárnosti uložení sankce není právním předpisem upravena a</w:t>
      </w:r>
      <w:r w:rsidR="008365B9">
        <w:rPr>
          <w:rFonts w:cs="Arial"/>
          <w:szCs w:val="22"/>
        </w:rPr>
        <w:t> </w:t>
      </w:r>
      <w:r w:rsidRPr="008365B9">
        <w:rPr>
          <w:rFonts w:cs="Arial"/>
          <w:szCs w:val="22"/>
        </w:rPr>
        <w:t>MF jako předkladatel novely záko</w:t>
      </w:r>
      <w:r w:rsidR="008365B9">
        <w:rPr>
          <w:rFonts w:cs="Arial"/>
          <w:szCs w:val="22"/>
        </w:rPr>
        <w:t>na tuto formulaci nevysvětlilo.</w:t>
      </w:r>
    </w:p>
    <w:p w14:paraId="532B2F21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2" w14:textId="77777777" w:rsidR="008365B9" w:rsidRDefault="00A63E64" w:rsidP="008365B9">
      <w:pPr>
        <w:spacing w:after="0" w:line="240" w:lineRule="auto"/>
        <w:rPr>
          <w:rFonts w:cs="Arial"/>
          <w:szCs w:val="22"/>
        </w:rPr>
      </w:pPr>
      <w:r w:rsidRPr="008365B9">
        <w:rPr>
          <w:rFonts w:cs="Arial"/>
          <w:szCs w:val="22"/>
        </w:rPr>
        <w:lastRenderedPageBreak/>
        <w:t>Právní úprava pro aplikaci slovního spojení „hospodárnost uložené sankce“ neposkytuje jednoznačný výklad</w:t>
      </w:r>
      <w:r w:rsidR="000F29D0">
        <w:rPr>
          <w:rFonts w:cs="Arial"/>
          <w:szCs w:val="22"/>
        </w:rPr>
        <w:t>,</w:t>
      </w:r>
      <w:r w:rsidR="00654C3C">
        <w:rPr>
          <w:rFonts w:cs="Arial"/>
          <w:szCs w:val="22"/>
        </w:rPr>
        <w:t xml:space="preserve"> a </w:t>
      </w:r>
      <w:r w:rsidRPr="008365B9">
        <w:rPr>
          <w:rFonts w:cs="Arial"/>
          <w:szCs w:val="22"/>
        </w:rPr>
        <w:t>otevírá tak cestu k</w:t>
      </w:r>
      <w:r w:rsidR="00654C3C">
        <w:rPr>
          <w:rFonts w:cs="Arial"/>
          <w:szCs w:val="22"/>
        </w:rPr>
        <w:t> </w:t>
      </w:r>
      <w:r w:rsidRPr="008365B9">
        <w:rPr>
          <w:rFonts w:cs="Arial"/>
          <w:szCs w:val="22"/>
        </w:rPr>
        <w:t xml:space="preserve">napadení vyměřeného odvodu </w:t>
      </w:r>
      <w:r w:rsidR="00654C3C">
        <w:rPr>
          <w:rFonts w:cs="Arial"/>
          <w:szCs w:val="22"/>
        </w:rPr>
        <w:t>opravnými prostředky</w:t>
      </w:r>
      <w:r w:rsidR="000F29D0">
        <w:rPr>
          <w:rFonts w:cs="Arial"/>
          <w:szCs w:val="22"/>
        </w:rPr>
        <w:t>,</w:t>
      </w:r>
      <w:r w:rsidR="00654C3C">
        <w:rPr>
          <w:rFonts w:cs="Arial"/>
          <w:szCs w:val="22"/>
        </w:rPr>
        <w:t xml:space="preserve"> případně i </w:t>
      </w:r>
      <w:r w:rsidRPr="008365B9">
        <w:rPr>
          <w:rFonts w:cs="Arial"/>
          <w:szCs w:val="22"/>
        </w:rPr>
        <w:t>soudní cestou.</w:t>
      </w:r>
    </w:p>
    <w:p w14:paraId="532B2F23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4" w14:textId="77777777" w:rsidR="00A63E64" w:rsidRPr="008365B9" w:rsidRDefault="00A63E64" w:rsidP="008365B9">
      <w:pPr>
        <w:spacing w:after="0" w:line="240" w:lineRule="auto"/>
        <w:rPr>
          <w:rFonts w:cs="Arial"/>
          <w:b/>
          <w:szCs w:val="22"/>
        </w:rPr>
      </w:pPr>
      <w:r w:rsidRPr="008365B9">
        <w:rPr>
          <w:rFonts w:cs="Arial"/>
          <w:b/>
          <w:szCs w:val="22"/>
        </w:rPr>
        <w:t xml:space="preserve">Důvody pro prominutí odvodu a penále </w:t>
      </w:r>
    </w:p>
    <w:p w14:paraId="532B2F25" w14:textId="77777777" w:rsid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6" w14:textId="77777777" w:rsidR="00A63E64" w:rsidRDefault="00654C3C" w:rsidP="008365B9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Při </w:t>
      </w:r>
      <w:r w:rsidR="000F29D0">
        <w:rPr>
          <w:rFonts w:cs="Arial"/>
          <w:szCs w:val="22"/>
        </w:rPr>
        <w:t>kontrolní akci</w:t>
      </w:r>
      <w:r>
        <w:rPr>
          <w:rFonts w:cs="Arial"/>
          <w:szCs w:val="22"/>
        </w:rPr>
        <w:t xml:space="preserve"> NKÚ č. </w:t>
      </w:r>
      <w:r w:rsidR="00A63E64" w:rsidRPr="008365B9">
        <w:rPr>
          <w:rFonts w:cs="Arial"/>
          <w:szCs w:val="22"/>
        </w:rPr>
        <w:t>10/08 bylo zjištěno, že v letech 2006–2009 bylo v</w:t>
      </w:r>
      <w:r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>průměru 90</w:t>
      </w:r>
      <w:r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>% objemu vyměřených odvodů a</w:t>
      </w:r>
      <w:r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>penále prominuto. Podle právní úpravy mohlo MF prominout odvod i penále z</w:t>
      </w:r>
      <w:r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 xml:space="preserve">důvodů hodných zvláštního zřetele, aniž </w:t>
      </w:r>
      <w:r w:rsidR="000F29D0">
        <w:rPr>
          <w:rFonts w:cs="Arial"/>
          <w:szCs w:val="22"/>
        </w:rPr>
        <w:t xml:space="preserve">by </w:t>
      </w:r>
      <w:r w:rsidR="00A63E64" w:rsidRPr="008365B9">
        <w:rPr>
          <w:rFonts w:cs="Arial"/>
          <w:szCs w:val="22"/>
        </w:rPr>
        <w:t>byla uvedena jejich definice.</w:t>
      </w:r>
    </w:p>
    <w:p w14:paraId="532B2F27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8" w14:textId="77777777" w:rsidR="00A63E64" w:rsidRDefault="00244E8D" w:rsidP="008365B9">
      <w:pPr>
        <w:spacing w:after="0" w:line="240" w:lineRule="auto"/>
        <w:rPr>
          <w:rFonts w:cs="Arial"/>
          <w:szCs w:val="22"/>
        </w:rPr>
      </w:pPr>
      <w:r w:rsidRPr="008365B9">
        <w:rPr>
          <w:rFonts w:cs="Arial"/>
          <w:szCs w:val="22"/>
        </w:rPr>
        <w:t xml:space="preserve">K požadavku na zpřesnění pojmu „důvody hodné zvláštního zřetele“ se připojil i </w:t>
      </w:r>
      <w:r w:rsidR="00A63E64" w:rsidRPr="008365B9">
        <w:rPr>
          <w:rFonts w:cs="Arial"/>
          <w:szCs w:val="22"/>
        </w:rPr>
        <w:t xml:space="preserve">Kontrolní výbor </w:t>
      </w:r>
      <w:r w:rsidR="00654C3C">
        <w:rPr>
          <w:rFonts w:cs="Arial"/>
          <w:szCs w:val="22"/>
        </w:rPr>
        <w:t>a požádal MF o </w:t>
      </w:r>
      <w:r w:rsidR="00A63E64" w:rsidRPr="008365B9">
        <w:rPr>
          <w:rFonts w:cs="Arial"/>
          <w:szCs w:val="22"/>
        </w:rPr>
        <w:t>zapracování relevantních důvodů pro prominutí odvodu a penále a</w:t>
      </w:r>
      <w:r w:rsidR="00677457" w:rsidRPr="008365B9"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>definice pojmu „důvody hodné zvláštního zřetele“ do příslušných právních předpisů. Netransparentnost promíjení odvodů byla kritizována i</w:t>
      </w:r>
      <w:r w:rsidR="00654C3C"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>ze strany Evropské komise</w:t>
      </w:r>
      <w:r w:rsidR="00A63E64" w:rsidRPr="008365B9">
        <w:rPr>
          <w:rStyle w:val="Znakapoznpodarou"/>
          <w:rFonts w:cs="Arial"/>
          <w:szCs w:val="22"/>
        </w:rPr>
        <w:footnoteReference w:id="5"/>
      </w:r>
      <w:r w:rsidR="008365B9">
        <w:rPr>
          <w:rFonts w:cs="Arial"/>
          <w:szCs w:val="22"/>
        </w:rPr>
        <w:t>.</w:t>
      </w:r>
    </w:p>
    <w:p w14:paraId="532B2F29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A" w14:textId="4DF48B3F" w:rsidR="00A63E64" w:rsidRDefault="00A63E64" w:rsidP="008365B9">
      <w:pPr>
        <w:spacing w:after="0" w:line="240" w:lineRule="auto"/>
        <w:rPr>
          <w:rFonts w:cs="Arial"/>
          <w:szCs w:val="22"/>
        </w:rPr>
      </w:pPr>
      <w:r w:rsidRPr="008365B9">
        <w:rPr>
          <w:rFonts w:cs="Arial"/>
          <w:szCs w:val="22"/>
        </w:rPr>
        <w:t>MF předložilo vládě návrh</w:t>
      </w:r>
      <w:r w:rsidRPr="008365B9">
        <w:rPr>
          <w:rFonts w:cs="Arial"/>
          <w:color w:val="FF0000"/>
          <w:szCs w:val="22"/>
        </w:rPr>
        <w:t xml:space="preserve"> </w:t>
      </w:r>
      <w:r w:rsidRPr="008365B9">
        <w:rPr>
          <w:rFonts w:cs="Arial"/>
          <w:szCs w:val="22"/>
        </w:rPr>
        <w:t>novely zákona č.</w:t>
      </w:r>
      <w:r w:rsidR="00654C3C">
        <w:rPr>
          <w:rFonts w:cs="Arial"/>
          <w:szCs w:val="22"/>
        </w:rPr>
        <w:t> </w:t>
      </w:r>
      <w:r w:rsidRPr="008365B9">
        <w:rPr>
          <w:rFonts w:cs="Arial"/>
          <w:szCs w:val="22"/>
        </w:rPr>
        <w:t>218/2000 Sb.</w:t>
      </w:r>
      <w:r w:rsidRPr="008365B9">
        <w:rPr>
          <w:rStyle w:val="Znakapoznpodarou"/>
          <w:rFonts w:cs="Arial"/>
          <w:szCs w:val="22"/>
        </w:rPr>
        <w:footnoteReference w:id="6"/>
      </w:r>
      <w:r w:rsidRPr="008365B9">
        <w:rPr>
          <w:rFonts w:cs="Arial"/>
          <w:szCs w:val="22"/>
        </w:rPr>
        <w:t xml:space="preserve">, podle které by mohlo GFŘ promíjet odvody prostředků dotace obsahující prostředky </w:t>
      </w:r>
      <w:r w:rsidR="00654C3C">
        <w:rPr>
          <w:rFonts w:cs="Arial"/>
          <w:szCs w:val="22"/>
        </w:rPr>
        <w:t>od Evropské unie jen v </w:t>
      </w:r>
      <w:r w:rsidRPr="008365B9">
        <w:rPr>
          <w:rFonts w:cs="Arial"/>
          <w:szCs w:val="22"/>
        </w:rPr>
        <w:t xml:space="preserve">případě porušení zapříčiněných </w:t>
      </w:r>
      <w:r w:rsidR="00632B2B">
        <w:rPr>
          <w:rFonts w:cs="Arial"/>
          <w:szCs w:val="22"/>
        </w:rPr>
        <w:t>živelní</w:t>
      </w:r>
      <w:r w:rsidRPr="008365B9">
        <w:rPr>
          <w:rFonts w:cs="Arial"/>
          <w:szCs w:val="22"/>
        </w:rPr>
        <w:t xml:space="preserve"> pohromou, pochybením či nes</w:t>
      </w:r>
      <w:r w:rsidR="00654C3C">
        <w:rPr>
          <w:rFonts w:cs="Arial"/>
          <w:szCs w:val="22"/>
        </w:rPr>
        <w:t>oučinnost</w:t>
      </w:r>
      <w:r w:rsidR="00D11397">
        <w:rPr>
          <w:rFonts w:cs="Arial"/>
          <w:szCs w:val="22"/>
        </w:rPr>
        <w:t>í</w:t>
      </w:r>
      <w:r w:rsidR="00654C3C">
        <w:rPr>
          <w:rFonts w:cs="Arial"/>
          <w:szCs w:val="22"/>
        </w:rPr>
        <w:t xml:space="preserve"> poskytovatele nebo v </w:t>
      </w:r>
      <w:r w:rsidRPr="008365B9">
        <w:rPr>
          <w:rFonts w:cs="Arial"/>
          <w:szCs w:val="22"/>
        </w:rPr>
        <w:t>případě fyzické osoby při ohrožení výživy této osoby nebo osob na n</w:t>
      </w:r>
      <w:r w:rsidR="00632B2B">
        <w:rPr>
          <w:rFonts w:cs="Arial"/>
          <w:szCs w:val="22"/>
        </w:rPr>
        <w:t>i</w:t>
      </w:r>
      <w:r w:rsidRPr="008365B9">
        <w:rPr>
          <w:rFonts w:cs="Arial"/>
          <w:szCs w:val="22"/>
        </w:rPr>
        <w:t xml:space="preserve"> výživou odkázaných. MF návrh odůvodnilo potřebou jednoznačného stanovení podmínek pro promíjení </w:t>
      </w:r>
      <w:r w:rsidR="00654C3C">
        <w:rPr>
          <w:rFonts w:cs="Arial"/>
          <w:szCs w:val="22"/>
        </w:rPr>
        <w:t>a výjimečností promíjení odvodů a </w:t>
      </w:r>
      <w:r w:rsidRPr="008365B9">
        <w:rPr>
          <w:rFonts w:cs="Arial"/>
          <w:szCs w:val="22"/>
        </w:rPr>
        <w:t>penále</w:t>
      </w:r>
      <w:r w:rsidR="008365B9">
        <w:rPr>
          <w:rFonts w:cs="Arial"/>
          <w:szCs w:val="22"/>
        </w:rPr>
        <w:t>.</w:t>
      </w:r>
    </w:p>
    <w:p w14:paraId="532B2F2B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C" w14:textId="77777777" w:rsidR="00A63E64" w:rsidRDefault="00A63E64" w:rsidP="008365B9">
      <w:pPr>
        <w:spacing w:after="0" w:line="240" w:lineRule="auto"/>
        <w:rPr>
          <w:rFonts w:cs="Arial"/>
          <w:szCs w:val="22"/>
        </w:rPr>
      </w:pPr>
      <w:r w:rsidRPr="008365B9">
        <w:rPr>
          <w:rFonts w:cs="Arial"/>
          <w:szCs w:val="22"/>
        </w:rPr>
        <w:t>Právní</w:t>
      </w:r>
      <w:r w:rsidR="00654C3C">
        <w:rPr>
          <w:rFonts w:cs="Arial"/>
          <w:szCs w:val="22"/>
        </w:rPr>
        <w:t xml:space="preserve"> úprava pro promíjení odvodů a </w:t>
      </w:r>
      <w:r w:rsidRPr="008365B9">
        <w:rPr>
          <w:rFonts w:cs="Arial"/>
          <w:szCs w:val="22"/>
        </w:rPr>
        <w:t xml:space="preserve">penále </w:t>
      </w:r>
      <w:r w:rsidR="00632B2B">
        <w:rPr>
          <w:rFonts w:cs="Arial"/>
          <w:szCs w:val="22"/>
        </w:rPr>
        <w:t xml:space="preserve">nebyla </w:t>
      </w:r>
      <w:r w:rsidRPr="008365B9">
        <w:rPr>
          <w:rFonts w:cs="Arial"/>
          <w:szCs w:val="22"/>
        </w:rPr>
        <w:t xml:space="preserve">do dne ukončení této </w:t>
      </w:r>
      <w:r w:rsidR="00654C3C">
        <w:rPr>
          <w:rFonts w:cs="Arial"/>
          <w:szCs w:val="22"/>
        </w:rPr>
        <w:t>kontrolní akce změněna a </w:t>
      </w:r>
      <w:r w:rsidRPr="008365B9">
        <w:rPr>
          <w:rFonts w:cs="Arial"/>
          <w:szCs w:val="22"/>
        </w:rPr>
        <w:t>v</w:t>
      </w:r>
      <w:r w:rsidR="00654C3C">
        <w:rPr>
          <w:rFonts w:cs="Arial"/>
          <w:szCs w:val="22"/>
        </w:rPr>
        <w:t> případě odvodů u </w:t>
      </w:r>
      <w:r w:rsidRPr="008365B9">
        <w:rPr>
          <w:rFonts w:cs="Arial"/>
          <w:szCs w:val="22"/>
        </w:rPr>
        <w:t>prostředků poskytnutých ze státního rozpočtu MF ani žádnou novelu právní úpravy nepředložilo.</w:t>
      </w:r>
    </w:p>
    <w:p w14:paraId="532B2F2D" w14:textId="77777777" w:rsidR="008365B9" w:rsidRPr="008365B9" w:rsidRDefault="008365B9" w:rsidP="008365B9">
      <w:pPr>
        <w:spacing w:after="0" w:line="240" w:lineRule="auto"/>
        <w:rPr>
          <w:rFonts w:cs="Arial"/>
          <w:szCs w:val="22"/>
        </w:rPr>
      </w:pPr>
    </w:p>
    <w:p w14:paraId="532B2F2E" w14:textId="77777777" w:rsidR="00A63E64" w:rsidRPr="008365B9" w:rsidRDefault="00632B2B" w:rsidP="008365B9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V kontrolovaném období</w:t>
      </w:r>
      <w:r w:rsidR="00A63E64" w:rsidRPr="008365B9">
        <w:rPr>
          <w:rFonts w:cs="Arial"/>
          <w:szCs w:val="22"/>
        </w:rPr>
        <w:t xml:space="preserve"> bylo prominuto 73</w:t>
      </w:r>
      <w:r w:rsidR="00654C3C"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>% pravomocně vyměřeného odvodu a penále. Ke snížení procenta prominutého odvodu a</w:t>
      </w:r>
      <w:r w:rsidR="00654C3C">
        <w:rPr>
          <w:rFonts w:cs="Arial"/>
          <w:szCs w:val="22"/>
        </w:rPr>
        <w:t> </w:t>
      </w:r>
      <w:r w:rsidR="00A63E64" w:rsidRPr="008365B9">
        <w:rPr>
          <w:rFonts w:cs="Arial"/>
          <w:szCs w:val="22"/>
        </w:rPr>
        <w:t>penále došlo zejména přísnějším posuzováním žádostí ze strany GFŘ. Důvod</w:t>
      </w:r>
      <w:r>
        <w:rPr>
          <w:rFonts w:cs="Arial"/>
          <w:szCs w:val="22"/>
        </w:rPr>
        <w:t>em</w:t>
      </w:r>
      <w:r w:rsidR="00A63E64" w:rsidRPr="008365B9">
        <w:rPr>
          <w:rFonts w:cs="Arial"/>
          <w:szCs w:val="22"/>
        </w:rPr>
        <w:t xml:space="preserve"> pro </w:t>
      </w:r>
      <w:r w:rsidR="00A63E64" w:rsidRPr="008365B9">
        <w:rPr>
          <w:rFonts w:cs="Arial"/>
          <w:bCs/>
          <w:szCs w:val="22"/>
        </w:rPr>
        <w:t>prominutí odvodů a</w:t>
      </w:r>
      <w:r w:rsidR="00654C3C">
        <w:rPr>
          <w:rFonts w:cs="Arial"/>
          <w:bCs/>
          <w:szCs w:val="22"/>
        </w:rPr>
        <w:t> </w:t>
      </w:r>
      <w:r w:rsidR="00A63E64" w:rsidRPr="008365B9">
        <w:rPr>
          <w:rFonts w:cs="Arial"/>
          <w:bCs/>
          <w:szCs w:val="22"/>
        </w:rPr>
        <w:t xml:space="preserve">penále </w:t>
      </w:r>
      <w:r>
        <w:rPr>
          <w:rFonts w:cs="Arial"/>
          <w:bCs/>
          <w:szCs w:val="22"/>
        </w:rPr>
        <w:t>byly dle úpravy obsažené v pokynech</w:t>
      </w:r>
      <w:r w:rsidR="00A63E64" w:rsidRPr="008365B9">
        <w:rPr>
          <w:rFonts w:cs="Arial"/>
          <w:bCs/>
          <w:szCs w:val="22"/>
        </w:rPr>
        <w:t xml:space="preserve"> GFŘ řady D</w:t>
      </w:r>
      <w:r>
        <w:rPr>
          <w:rFonts w:cs="Arial"/>
          <w:bCs/>
          <w:szCs w:val="22"/>
        </w:rPr>
        <w:t>,</w:t>
      </w:r>
      <w:r w:rsidR="00A63E64" w:rsidRPr="008365B9">
        <w:rPr>
          <w:rFonts w:cs="Arial"/>
          <w:bCs/>
          <w:szCs w:val="22"/>
        </w:rPr>
        <w:t xml:space="preserve"> resp. </w:t>
      </w:r>
      <w:r>
        <w:rPr>
          <w:rFonts w:cs="Arial"/>
          <w:bCs/>
          <w:szCs w:val="22"/>
        </w:rPr>
        <w:t>v </w:t>
      </w:r>
      <w:r w:rsidR="00A63E64" w:rsidRPr="008365B9">
        <w:rPr>
          <w:rFonts w:cs="Arial"/>
          <w:bCs/>
          <w:szCs w:val="22"/>
        </w:rPr>
        <w:t>rozhodnutí generálního ředitele</w:t>
      </w:r>
      <w:r>
        <w:rPr>
          <w:rFonts w:cs="Arial"/>
          <w:bCs/>
          <w:szCs w:val="22"/>
        </w:rPr>
        <w:t>,</w:t>
      </w:r>
      <w:r w:rsidR="00A63E64" w:rsidRPr="008365B9">
        <w:rPr>
          <w:rFonts w:cs="Arial"/>
          <w:bCs/>
          <w:szCs w:val="22"/>
        </w:rPr>
        <w:t xml:space="preserve"> </w:t>
      </w:r>
      <w:r w:rsidR="008365B9">
        <w:rPr>
          <w:rFonts w:cs="Arial"/>
          <w:bCs/>
          <w:szCs w:val="22"/>
        </w:rPr>
        <w:t>(dále jen „</w:t>
      </w:r>
      <w:r>
        <w:rPr>
          <w:rFonts w:cs="Arial"/>
          <w:bCs/>
          <w:szCs w:val="22"/>
        </w:rPr>
        <w:t>p</w:t>
      </w:r>
      <w:r w:rsidR="008365B9">
        <w:rPr>
          <w:rFonts w:cs="Arial"/>
          <w:bCs/>
          <w:szCs w:val="22"/>
        </w:rPr>
        <w:t xml:space="preserve">okyny GFŘ“) </w:t>
      </w:r>
      <w:r>
        <w:rPr>
          <w:rFonts w:cs="Arial"/>
          <w:bCs/>
          <w:szCs w:val="22"/>
        </w:rPr>
        <w:t>následující případy</w:t>
      </w:r>
      <w:r w:rsidR="008365B9">
        <w:rPr>
          <w:rFonts w:cs="Arial"/>
          <w:bCs/>
          <w:szCs w:val="22"/>
        </w:rPr>
        <w:t>:</w:t>
      </w:r>
    </w:p>
    <w:p w14:paraId="532B2F2F" w14:textId="77777777" w:rsidR="00A63E64" w:rsidRPr="00251AA9" w:rsidRDefault="00A63E64" w:rsidP="008365B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</w:pPr>
      <w:r w:rsidRPr="00251AA9">
        <w:t>důvody hodné zvláštního zřetele (prokázané chyby poskytovatele, nesoučinnost poskytovatele, živeln</w:t>
      </w:r>
      <w:r w:rsidR="00632B2B">
        <w:t>í</w:t>
      </w:r>
      <w:r w:rsidRPr="00251AA9">
        <w:t xml:space="preserve"> katastrofy, státem změněné či zapříčiněné situace, v</w:t>
      </w:r>
      <w:r w:rsidR="00654C3C">
        <w:t> </w:t>
      </w:r>
      <w:r w:rsidRPr="00251AA9">
        <w:t xml:space="preserve">případě fyzické osoby ohrožení výživy žadatele nebo </w:t>
      </w:r>
      <w:r w:rsidR="00632B2B">
        <w:t>na něj odkázaných</w:t>
      </w:r>
      <w:r w:rsidRPr="00251AA9">
        <w:t xml:space="preserve"> osob),</w:t>
      </w:r>
    </w:p>
    <w:p w14:paraId="532B2F30" w14:textId="77777777" w:rsidR="00A63E64" w:rsidRPr="008365B9" w:rsidRDefault="00632B2B" w:rsidP="008365B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b/>
        </w:rPr>
      </w:pPr>
      <w:r>
        <w:t xml:space="preserve">některé </w:t>
      </w:r>
      <w:r w:rsidR="00A63E64" w:rsidRPr="00251AA9">
        <w:t>typy porušení rozpočtové kázně (např. neoprávněné rozdělení veřejné zakázky, nesplnění vkladu vlastních zdrojů).</w:t>
      </w:r>
    </w:p>
    <w:p w14:paraId="532B2F31" w14:textId="77777777" w:rsidR="008365B9" w:rsidRPr="008365B9" w:rsidRDefault="008365B9" w:rsidP="008365B9">
      <w:pPr>
        <w:spacing w:after="0" w:line="240" w:lineRule="auto"/>
      </w:pPr>
    </w:p>
    <w:p w14:paraId="532B2F32" w14:textId="77777777" w:rsidR="00A63E64" w:rsidRDefault="00A63E64" w:rsidP="008365B9">
      <w:pPr>
        <w:spacing w:after="0" w:line="240" w:lineRule="auto"/>
      </w:pPr>
      <w:r w:rsidRPr="008365B9">
        <w:t xml:space="preserve">U kontrolního vzorku bylo zjištěno, že GFŘ </w:t>
      </w:r>
      <w:r w:rsidR="00934442" w:rsidRPr="008365B9">
        <w:t xml:space="preserve">vyhovělo </w:t>
      </w:r>
      <w:r w:rsidR="00654C3C">
        <w:t>10 </w:t>
      </w:r>
      <w:r w:rsidRPr="008365B9">
        <w:t>% žádostí z důvodu tzv. výjimečného případu – tedy z</w:t>
      </w:r>
      <w:r w:rsidR="00654C3C">
        <w:t> </w:t>
      </w:r>
      <w:r w:rsidRPr="008365B9">
        <w:t>důvodů hodných zvláštního zřetele.</w:t>
      </w:r>
    </w:p>
    <w:p w14:paraId="532B2F33" w14:textId="77777777" w:rsidR="008365B9" w:rsidRPr="008365B9" w:rsidRDefault="008365B9" w:rsidP="008365B9">
      <w:pPr>
        <w:spacing w:after="0" w:line="240" w:lineRule="auto"/>
      </w:pPr>
    </w:p>
    <w:p w14:paraId="532B2F34" w14:textId="77777777" w:rsidR="00A63E64" w:rsidRPr="008365B9" w:rsidRDefault="00A63E64" w:rsidP="008365B9">
      <w:pPr>
        <w:spacing w:after="0" w:line="240" w:lineRule="auto"/>
        <w:rPr>
          <w:b/>
        </w:rPr>
      </w:pPr>
      <w:r w:rsidRPr="008365B9">
        <w:rPr>
          <w:b/>
        </w:rPr>
        <w:t xml:space="preserve">Aplikace </w:t>
      </w:r>
      <w:r w:rsidR="00632B2B">
        <w:rPr>
          <w:b/>
        </w:rPr>
        <w:t>p</w:t>
      </w:r>
      <w:r w:rsidRPr="008365B9">
        <w:rPr>
          <w:b/>
        </w:rPr>
        <w:t xml:space="preserve">okynů GFŘ pro promíjení </w:t>
      </w:r>
    </w:p>
    <w:p w14:paraId="532B2F35" w14:textId="77777777" w:rsidR="008365B9" w:rsidRDefault="008365B9" w:rsidP="008365B9">
      <w:pPr>
        <w:spacing w:after="0" w:line="240" w:lineRule="auto"/>
        <w:rPr>
          <w:bCs/>
        </w:rPr>
      </w:pPr>
    </w:p>
    <w:p w14:paraId="532B2F36" w14:textId="77777777" w:rsidR="00A63E64" w:rsidRPr="008365B9" w:rsidRDefault="00632B2B" w:rsidP="008365B9">
      <w:pPr>
        <w:spacing w:after="0" w:line="240" w:lineRule="auto"/>
        <w:rPr>
          <w:bCs/>
        </w:rPr>
      </w:pPr>
      <w:r>
        <w:rPr>
          <w:bCs/>
        </w:rPr>
        <w:t>Kontrolní akcí</w:t>
      </w:r>
      <w:r w:rsidR="00A63E64" w:rsidRPr="008365B9">
        <w:rPr>
          <w:bCs/>
        </w:rPr>
        <w:t xml:space="preserve"> NKÚ </w:t>
      </w:r>
      <w:r w:rsidR="007E41EF" w:rsidRPr="008365B9">
        <w:rPr>
          <w:bCs/>
        </w:rPr>
        <w:t xml:space="preserve">č. </w:t>
      </w:r>
      <w:r w:rsidR="00A63E64" w:rsidRPr="008365B9">
        <w:rPr>
          <w:bCs/>
        </w:rPr>
        <w:t>10/08 bylo zjištěno, že k</w:t>
      </w:r>
      <w:r w:rsidR="00654C3C">
        <w:rPr>
          <w:bCs/>
        </w:rPr>
        <w:t>ritéria pro prominutí odvodu a </w:t>
      </w:r>
      <w:r w:rsidR="00A63E64" w:rsidRPr="008365B9">
        <w:rPr>
          <w:bCs/>
        </w:rPr>
        <w:t xml:space="preserve">penále byla stanovena pouze veřejně nedostupnou vnitřní </w:t>
      </w:r>
      <w:r>
        <w:t>s</w:t>
      </w:r>
      <w:r w:rsidR="00A63E64" w:rsidRPr="008365B9">
        <w:t>měrnicí MF</w:t>
      </w:r>
      <w:r w:rsidR="00A63E64" w:rsidRPr="008365B9">
        <w:rPr>
          <w:bCs/>
        </w:rPr>
        <w:t xml:space="preserve">, což negativně ovlivňovalo rovné postavení žadatelů </w:t>
      </w:r>
      <w:r w:rsidR="00654C3C">
        <w:rPr>
          <w:bCs/>
        </w:rPr>
        <w:t>a </w:t>
      </w:r>
      <w:r w:rsidR="00A63E64" w:rsidRPr="008365B9">
        <w:rPr>
          <w:bCs/>
        </w:rPr>
        <w:t xml:space="preserve">transparentnost řízení. </w:t>
      </w:r>
    </w:p>
    <w:p w14:paraId="532B2F37" w14:textId="77777777" w:rsidR="00A63E64" w:rsidRPr="008365B9" w:rsidRDefault="00A63E64" w:rsidP="008365B9">
      <w:pPr>
        <w:spacing w:after="0" w:line="240" w:lineRule="auto"/>
        <w:rPr>
          <w:bCs/>
        </w:rPr>
      </w:pPr>
    </w:p>
    <w:p w14:paraId="532B2F38" w14:textId="77777777" w:rsidR="00A63E64" w:rsidRPr="008365B9" w:rsidRDefault="00654C3C" w:rsidP="008365B9">
      <w:pPr>
        <w:spacing w:after="0" w:line="240" w:lineRule="auto"/>
        <w:rPr>
          <w:bCs/>
        </w:rPr>
      </w:pPr>
      <w:r>
        <w:rPr>
          <w:bCs/>
        </w:rPr>
        <w:t>Od 1. </w:t>
      </w:r>
      <w:r w:rsidR="00A63E64" w:rsidRPr="008365B9">
        <w:rPr>
          <w:bCs/>
        </w:rPr>
        <w:t>března 2011 vydalo</w:t>
      </w:r>
      <w:r w:rsidR="00632B2B" w:rsidRPr="00632B2B">
        <w:rPr>
          <w:bCs/>
        </w:rPr>
        <w:t xml:space="preserve"> </w:t>
      </w:r>
      <w:r w:rsidR="00632B2B" w:rsidRPr="008365B9">
        <w:rPr>
          <w:bCs/>
        </w:rPr>
        <w:t>GFŘ</w:t>
      </w:r>
      <w:r w:rsidR="00A63E64" w:rsidRPr="008365B9">
        <w:rPr>
          <w:bCs/>
        </w:rPr>
        <w:t xml:space="preserve"> čtyři </w:t>
      </w:r>
      <w:r w:rsidR="00632B2B">
        <w:rPr>
          <w:bCs/>
        </w:rPr>
        <w:t>p</w:t>
      </w:r>
      <w:r w:rsidR="00A63E64" w:rsidRPr="008365B9">
        <w:rPr>
          <w:bCs/>
        </w:rPr>
        <w:t xml:space="preserve">okyny pro promíjení, které byly veřejně dostupné. Jednotlivé </w:t>
      </w:r>
      <w:r w:rsidR="00632B2B">
        <w:rPr>
          <w:bCs/>
        </w:rPr>
        <w:t>p</w:t>
      </w:r>
      <w:r w:rsidR="00A63E64" w:rsidRPr="008365B9">
        <w:rPr>
          <w:bCs/>
        </w:rPr>
        <w:t xml:space="preserve">okyny GFŘ měnily výši sazby (procento) prominutí nebo neprominutí odvodu. GFŘ posuzovalo </w:t>
      </w:r>
      <w:r>
        <w:rPr>
          <w:bCs/>
        </w:rPr>
        <w:t>žádosti o prominutí odvodů a </w:t>
      </w:r>
      <w:r w:rsidR="00A63E64" w:rsidRPr="008365B9">
        <w:rPr>
          <w:bCs/>
        </w:rPr>
        <w:t xml:space="preserve">penále podle </w:t>
      </w:r>
      <w:r w:rsidR="00632B2B">
        <w:rPr>
          <w:bCs/>
        </w:rPr>
        <w:t>p</w:t>
      </w:r>
      <w:r w:rsidR="00A63E64" w:rsidRPr="008365B9">
        <w:rPr>
          <w:bCs/>
        </w:rPr>
        <w:t>okynu GFŘ účinného ke dni</w:t>
      </w:r>
      <w:r>
        <w:rPr>
          <w:bCs/>
        </w:rPr>
        <w:t xml:space="preserve"> vydání rozhodnutí o </w:t>
      </w:r>
      <w:r w:rsidR="0087044A" w:rsidRPr="008365B9">
        <w:rPr>
          <w:bCs/>
        </w:rPr>
        <w:t>prominutí.</w:t>
      </w:r>
      <w:r w:rsidR="00A63E64" w:rsidRPr="008365B9">
        <w:rPr>
          <w:bCs/>
        </w:rPr>
        <w:t xml:space="preserve"> Žadatelé o prominutí tak neměli právní jistotu, podle </w:t>
      </w:r>
      <w:r w:rsidR="00632B2B">
        <w:rPr>
          <w:bCs/>
        </w:rPr>
        <w:t>kterého</w:t>
      </w:r>
      <w:r w:rsidR="00A63E64" w:rsidRPr="008365B9">
        <w:rPr>
          <w:bCs/>
        </w:rPr>
        <w:t xml:space="preserve"> </w:t>
      </w:r>
      <w:r w:rsidR="00632B2B">
        <w:rPr>
          <w:bCs/>
        </w:rPr>
        <w:t>p</w:t>
      </w:r>
      <w:r w:rsidR="00A63E64" w:rsidRPr="008365B9">
        <w:rPr>
          <w:bCs/>
        </w:rPr>
        <w:t>okynu GFŘ bude jejich žádost posuzována.</w:t>
      </w:r>
    </w:p>
    <w:p w14:paraId="532B2F39" w14:textId="77777777" w:rsidR="00A63E64" w:rsidRPr="008365B9" w:rsidRDefault="00A63E64" w:rsidP="008365B9">
      <w:pPr>
        <w:spacing w:after="0" w:line="240" w:lineRule="auto"/>
        <w:rPr>
          <w:bCs/>
        </w:rPr>
      </w:pPr>
    </w:p>
    <w:p w14:paraId="532B2F3A" w14:textId="77777777" w:rsidR="00A63E64" w:rsidRPr="008365B9" w:rsidRDefault="00632B2B" w:rsidP="008365B9">
      <w:pPr>
        <w:spacing w:after="0" w:line="240" w:lineRule="auto"/>
      </w:pPr>
      <w:r>
        <w:t>NKÚ n</w:t>
      </w:r>
      <w:r w:rsidR="00A63E64" w:rsidRPr="008365B9">
        <w:t xml:space="preserve">a kontrolním vzorku ověřil, že nejméně ve dvou případech </w:t>
      </w:r>
      <w:r w:rsidRPr="008365B9">
        <w:t xml:space="preserve">byl </w:t>
      </w:r>
      <w:r w:rsidR="00A63E64" w:rsidRPr="008365B9">
        <w:t xml:space="preserve">tento postup v neprospěch žadatele, kterému byla </w:t>
      </w:r>
      <w:r w:rsidR="00654C3C">
        <w:t>prominuta nižší částka odvodu a </w:t>
      </w:r>
      <w:r w:rsidR="00A63E64" w:rsidRPr="008365B9">
        <w:t>penále</w:t>
      </w:r>
      <w:r>
        <w:t>,</w:t>
      </w:r>
      <w:r w:rsidR="00A63E64" w:rsidRPr="008365B9">
        <w:t xml:space="preserve"> než mohl očeká</w:t>
      </w:r>
      <w:r w:rsidR="00654C3C">
        <w:t>vat podle pokynu GFŘ účinného v době podání žádosti. Z </w:t>
      </w:r>
      <w:r w:rsidR="00A63E64" w:rsidRPr="008365B9">
        <w:t xml:space="preserve">rozhodnutí o prominutí navíc není zřejmé, podle </w:t>
      </w:r>
      <w:r>
        <w:t>kterého</w:t>
      </w:r>
      <w:r w:rsidR="00A63E64" w:rsidRPr="008365B9">
        <w:t xml:space="preserve"> pokynu GFŘ rozhodovalo.</w:t>
      </w:r>
    </w:p>
    <w:p w14:paraId="532B2F3B" w14:textId="77777777" w:rsidR="00677457" w:rsidRPr="008365B9" w:rsidRDefault="00677457" w:rsidP="008365B9">
      <w:pPr>
        <w:spacing w:after="0" w:line="240" w:lineRule="auto"/>
      </w:pPr>
    </w:p>
    <w:p w14:paraId="532B2F3C" w14:textId="77777777" w:rsidR="00A63E64" w:rsidRDefault="00A63E64" w:rsidP="008365B9">
      <w:pPr>
        <w:spacing w:after="0" w:line="240" w:lineRule="auto"/>
      </w:pPr>
      <w:r w:rsidRPr="008365B9">
        <w:t>V pěti případech NKÚ zjistil, že GFŘ použilo u</w:t>
      </w:r>
      <w:r w:rsidR="00654C3C">
        <w:t> prominutí odvodů a </w:t>
      </w:r>
      <w:r w:rsidRPr="008365B9">
        <w:t xml:space="preserve">penále nesprávná kritéria pokynů GFŘ. Důvodem byla skutečnost, že aplikovaný pokyn GFŘ byl příliš konkrétní, </w:t>
      </w:r>
      <w:r w:rsidR="00632B2B">
        <w:t>přičemž</w:t>
      </w:r>
      <w:r w:rsidRPr="008365B9">
        <w:t xml:space="preserve"> zjištěné porušení rozpočtové kázně neodpovídalo uvedeným definicím. GFŘ proto podřadilo porušení pod jiný</w:t>
      </w:r>
      <w:r w:rsidR="008365B9">
        <w:t xml:space="preserve"> typ porušení rozpočtové kázně.</w:t>
      </w:r>
    </w:p>
    <w:p w14:paraId="532B2F3D" w14:textId="77777777" w:rsidR="008365B9" w:rsidRPr="008365B9" w:rsidRDefault="008365B9" w:rsidP="008365B9">
      <w:pPr>
        <w:spacing w:after="0" w:line="240" w:lineRule="auto"/>
      </w:pPr>
    </w:p>
    <w:p w14:paraId="532B2F3E" w14:textId="77777777" w:rsidR="00A63E64" w:rsidRDefault="00E96849" w:rsidP="008365B9">
      <w:pPr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 deseti případů</w:t>
      </w:r>
      <w:r w:rsidR="00A63E64" w:rsidRPr="008365B9">
        <w:rPr>
          <w:rFonts w:eastAsiaTheme="minorHAnsi"/>
          <w:lang w:eastAsia="en-US"/>
        </w:rPr>
        <w:t>, k</w:t>
      </w:r>
      <w:r w:rsidR="00654C3C">
        <w:rPr>
          <w:rFonts w:eastAsiaTheme="minorHAnsi"/>
          <w:lang w:eastAsia="en-US"/>
        </w:rPr>
        <w:t>dy žadatelé odůvodnili žádost o prominutí odvodu a penále ohrožením výživy, GFŘ v </w:t>
      </w:r>
      <w:r w:rsidR="00A63E64" w:rsidRPr="008365B9">
        <w:rPr>
          <w:rFonts w:eastAsiaTheme="minorHAnsi"/>
          <w:lang w:eastAsia="en-US"/>
        </w:rPr>
        <w:t>osmi případech vyhověl</w:t>
      </w:r>
      <w:r>
        <w:rPr>
          <w:rFonts w:eastAsiaTheme="minorHAnsi"/>
          <w:lang w:eastAsia="en-US"/>
        </w:rPr>
        <w:t>o</w:t>
      </w:r>
      <w:r w:rsidR="00A63E64" w:rsidRPr="008365B9">
        <w:rPr>
          <w:rFonts w:eastAsiaTheme="minorHAnsi"/>
          <w:lang w:eastAsia="en-US"/>
        </w:rPr>
        <w:t>, aniž by požádal</w:t>
      </w:r>
      <w:r>
        <w:rPr>
          <w:rFonts w:eastAsiaTheme="minorHAnsi"/>
          <w:lang w:eastAsia="en-US"/>
        </w:rPr>
        <w:t>o</w:t>
      </w:r>
      <w:r w:rsidR="00A63E64" w:rsidRPr="008365B9">
        <w:rPr>
          <w:rFonts w:eastAsiaTheme="minorHAnsi"/>
          <w:lang w:eastAsia="en-US"/>
        </w:rPr>
        <w:t xml:space="preserve"> o</w:t>
      </w:r>
      <w:r w:rsidR="00654C3C">
        <w:rPr>
          <w:rFonts w:eastAsiaTheme="minorHAnsi"/>
          <w:lang w:eastAsia="en-US"/>
        </w:rPr>
        <w:t> </w:t>
      </w:r>
      <w:r w:rsidR="00A63E64" w:rsidRPr="008365B9">
        <w:rPr>
          <w:rFonts w:eastAsiaTheme="minorHAnsi"/>
          <w:lang w:eastAsia="en-US"/>
        </w:rPr>
        <w:t xml:space="preserve">doložení </w:t>
      </w:r>
      <w:r w:rsidR="00654C3C">
        <w:rPr>
          <w:rFonts w:eastAsiaTheme="minorHAnsi"/>
          <w:lang w:eastAsia="en-US"/>
        </w:rPr>
        <w:t>tvrzení o </w:t>
      </w:r>
      <w:r w:rsidR="00D44E65" w:rsidRPr="008365B9">
        <w:rPr>
          <w:rFonts w:eastAsiaTheme="minorHAnsi"/>
          <w:lang w:eastAsia="en-US"/>
        </w:rPr>
        <w:t>ohrožení výživy</w:t>
      </w:r>
      <w:r w:rsidR="00A63E64" w:rsidRPr="008365B9">
        <w:rPr>
          <w:rFonts w:eastAsiaTheme="minorHAnsi"/>
          <w:lang w:eastAsia="en-US"/>
        </w:rPr>
        <w:t>. Naopak v</w:t>
      </w:r>
      <w:r w:rsidR="00654C3C">
        <w:rPr>
          <w:rFonts w:eastAsiaTheme="minorHAnsi"/>
          <w:lang w:eastAsia="en-US"/>
        </w:rPr>
        <w:t> </w:t>
      </w:r>
      <w:r w:rsidR="00A63E64" w:rsidRPr="008365B9">
        <w:rPr>
          <w:rFonts w:eastAsiaTheme="minorHAnsi"/>
          <w:lang w:eastAsia="en-US"/>
        </w:rPr>
        <w:t>jednom případě, kdy žádosti nebylo vyhověno</w:t>
      </w:r>
      <w:r>
        <w:rPr>
          <w:rFonts w:eastAsiaTheme="minorHAnsi"/>
          <w:lang w:eastAsia="en-US"/>
        </w:rPr>
        <w:t>,</w:t>
      </w:r>
      <w:r w:rsidR="00A63E64" w:rsidRPr="008365B9">
        <w:rPr>
          <w:rFonts w:eastAsiaTheme="minorHAnsi"/>
          <w:lang w:eastAsia="en-US"/>
        </w:rPr>
        <w:t xml:space="preserve"> a</w:t>
      </w:r>
      <w:r w:rsidR="00654C3C">
        <w:rPr>
          <w:rFonts w:eastAsiaTheme="minorHAnsi"/>
          <w:lang w:eastAsia="en-US"/>
        </w:rPr>
        <w:t> </w:t>
      </w:r>
      <w:r w:rsidR="00A63E64" w:rsidRPr="008365B9">
        <w:rPr>
          <w:rFonts w:eastAsiaTheme="minorHAnsi"/>
          <w:lang w:eastAsia="en-US"/>
        </w:rPr>
        <w:t>ve druhém</w:t>
      </w:r>
      <w:r>
        <w:rPr>
          <w:rFonts w:eastAsiaTheme="minorHAnsi"/>
          <w:lang w:eastAsia="en-US"/>
        </w:rPr>
        <w:t xml:space="preserve"> případě</w:t>
      </w:r>
      <w:r w:rsidR="00A63E64" w:rsidRPr="008365B9">
        <w:rPr>
          <w:rFonts w:eastAsiaTheme="minorHAnsi"/>
          <w:lang w:eastAsia="en-US"/>
        </w:rPr>
        <w:t>, kdy bylo vyhověno částečně, nebyly důvody hodné z</w:t>
      </w:r>
      <w:r w:rsidR="00654C3C">
        <w:rPr>
          <w:rFonts w:eastAsiaTheme="minorHAnsi"/>
          <w:lang w:eastAsia="en-US"/>
        </w:rPr>
        <w:t>vláštního zřetele spočívající v </w:t>
      </w:r>
      <w:r w:rsidR="00A63E64" w:rsidRPr="008365B9">
        <w:rPr>
          <w:rFonts w:eastAsiaTheme="minorHAnsi"/>
          <w:lang w:eastAsia="en-US"/>
        </w:rPr>
        <w:t>ohro</w:t>
      </w:r>
      <w:r w:rsidR="00D44E65" w:rsidRPr="008365B9">
        <w:rPr>
          <w:rFonts w:eastAsiaTheme="minorHAnsi"/>
          <w:lang w:eastAsia="en-US"/>
        </w:rPr>
        <w:t>žení výživy žadatele zohledněny, ačkoli byly doloženy.</w:t>
      </w:r>
    </w:p>
    <w:p w14:paraId="532B2F3F" w14:textId="77777777" w:rsidR="008365B9" w:rsidRPr="008365B9" w:rsidRDefault="008365B9" w:rsidP="008365B9">
      <w:pPr>
        <w:spacing w:after="0" w:line="240" w:lineRule="auto"/>
        <w:rPr>
          <w:rFonts w:eastAsiaTheme="minorHAnsi"/>
          <w:lang w:eastAsia="en-US"/>
        </w:rPr>
      </w:pPr>
    </w:p>
    <w:p w14:paraId="532B2F40" w14:textId="77777777" w:rsidR="00A63E64" w:rsidRPr="008365B9" w:rsidRDefault="00A63E64" w:rsidP="008365B9">
      <w:pPr>
        <w:spacing w:after="0" w:line="240" w:lineRule="auto"/>
      </w:pPr>
      <w:r w:rsidRPr="008365B9">
        <w:rPr>
          <w:b/>
        </w:rPr>
        <w:t>Komise pro posuzování žádost</w:t>
      </w:r>
      <w:r w:rsidR="00E96849">
        <w:rPr>
          <w:b/>
        </w:rPr>
        <w:t>í</w:t>
      </w:r>
      <w:r w:rsidRPr="008365B9">
        <w:rPr>
          <w:b/>
        </w:rPr>
        <w:t xml:space="preserve"> o prominutí </w:t>
      </w:r>
    </w:p>
    <w:p w14:paraId="532B2F41" w14:textId="77777777" w:rsidR="008365B9" w:rsidRDefault="008365B9" w:rsidP="008365B9">
      <w:pPr>
        <w:spacing w:after="0" w:line="240" w:lineRule="auto"/>
      </w:pPr>
    </w:p>
    <w:p w14:paraId="532B2F42" w14:textId="77777777" w:rsidR="00A63E64" w:rsidRPr="008365B9" w:rsidRDefault="00D44E65" w:rsidP="008365B9">
      <w:pPr>
        <w:spacing w:after="0" w:line="240" w:lineRule="auto"/>
      </w:pPr>
      <w:r w:rsidRPr="008365B9">
        <w:t xml:space="preserve">NKÚ v kontrolní akci </w:t>
      </w:r>
      <w:r w:rsidR="00654C3C">
        <w:t>č. 10/08 upozornil i </w:t>
      </w:r>
      <w:r w:rsidRPr="008365B9">
        <w:t>na skutečnost, že celý rozhodovací proces o</w:t>
      </w:r>
      <w:r w:rsidR="00654C3C">
        <w:t> uložení odvodu a </w:t>
      </w:r>
      <w:r w:rsidRPr="008365B9">
        <w:t>penále a</w:t>
      </w:r>
      <w:r w:rsidR="00654C3C">
        <w:t> případně i </w:t>
      </w:r>
      <w:r w:rsidRPr="008365B9">
        <w:t xml:space="preserve">prominutí probíhá bez vlivu nebo spolupráce ze strany poskytovatelů. Stejným problémem se zabýval i </w:t>
      </w:r>
      <w:r w:rsidR="00A63E64" w:rsidRPr="008365B9">
        <w:t>Kontrolní výbor</w:t>
      </w:r>
      <w:r w:rsidRPr="008365B9">
        <w:t>, který doporučoval účast poskytovatelů v činnosti komise pro posuzování žádostí o</w:t>
      </w:r>
      <w:r w:rsidR="00654C3C">
        <w:t> </w:t>
      </w:r>
      <w:r w:rsidRPr="008365B9">
        <w:t>prominutí.</w:t>
      </w:r>
      <w:r w:rsidR="00A63E64" w:rsidRPr="008365B9">
        <w:t xml:space="preserve"> </w:t>
      </w:r>
    </w:p>
    <w:p w14:paraId="532B2F43" w14:textId="77777777" w:rsidR="00A63E64" w:rsidRPr="008365B9" w:rsidRDefault="00A63E64" w:rsidP="008365B9">
      <w:pPr>
        <w:spacing w:after="0" w:line="240" w:lineRule="auto"/>
      </w:pPr>
    </w:p>
    <w:p w14:paraId="532B2F44" w14:textId="77777777" w:rsidR="00A63E64" w:rsidRDefault="00A63E64" w:rsidP="008365B9">
      <w:pPr>
        <w:spacing w:after="0" w:line="240" w:lineRule="auto"/>
      </w:pPr>
      <w:r w:rsidRPr="008365B9">
        <w:t>Tuto oblast upravilo GFŘ pouze interními pokyny. Se zapojením poskytovatelů peněžních prostředků do činnosti komise GFŘ nepočítá. Komise je</w:t>
      </w:r>
      <w:r w:rsidR="008365B9">
        <w:t xml:space="preserve"> složena ze zástupců MF a GFŘ.</w:t>
      </w:r>
    </w:p>
    <w:p w14:paraId="532B2F45" w14:textId="77777777" w:rsidR="008365B9" w:rsidRPr="008365B9" w:rsidRDefault="008365B9" w:rsidP="008365B9">
      <w:pPr>
        <w:spacing w:after="0" w:line="240" w:lineRule="auto"/>
      </w:pPr>
    </w:p>
    <w:p w14:paraId="532B2F46" w14:textId="77777777" w:rsidR="00A63E64" w:rsidRDefault="00A63E64" w:rsidP="008365B9">
      <w:pPr>
        <w:spacing w:after="0" w:line="240" w:lineRule="auto"/>
      </w:pPr>
      <w:r w:rsidRPr="008365B9">
        <w:t>Doporučení komise není pro GFŘ závazné. Pro jednání komise připravilo GFŘ návrh rozhodnutí, který komise buď doporučila, případně doporučila jiné</w:t>
      </w:r>
      <w:r w:rsidR="00E96849" w:rsidRPr="00E96849">
        <w:t xml:space="preserve"> </w:t>
      </w:r>
      <w:r w:rsidR="00E96849" w:rsidRPr="008365B9">
        <w:t>řešení</w:t>
      </w:r>
      <w:r w:rsidRPr="008365B9">
        <w:t xml:space="preserve">. Na základě jakých skutečností komise své doporučení vydala, nelze </w:t>
      </w:r>
      <w:r w:rsidR="00E96849">
        <w:t>kontrolou</w:t>
      </w:r>
      <w:r w:rsidRPr="008365B9">
        <w:t xml:space="preserve"> ověřit, neboť zápisy z</w:t>
      </w:r>
      <w:r w:rsidR="00654C3C">
        <w:t> </w:t>
      </w:r>
      <w:r w:rsidRPr="008365B9">
        <w:t xml:space="preserve">jednání komise žádné podklady ani důvody pro doporučení vydané komisí neobsahují. Rozhodnutí GFŘ </w:t>
      </w:r>
      <w:r w:rsidR="00654C3C">
        <w:t>v </w:t>
      </w:r>
      <w:r w:rsidRPr="008365B9">
        <w:t>kontrolovaných případech respektovalo doporučení komise.</w:t>
      </w:r>
    </w:p>
    <w:p w14:paraId="532B2F47" w14:textId="77777777" w:rsidR="008365B9" w:rsidRPr="008365B9" w:rsidRDefault="008365B9" w:rsidP="008365B9">
      <w:pPr>
        <w:spacing w:after="0" w:line="240" w:lineRule="auto"/>
      </w:pPr>
    </w:p>
    <w:p w14:paraId="532B2F48" w14:textId="77777777" w:rsidR="00A63E64" w:rsidRPr="008365B9" w:rsidRDefault="00A63E64" w:rsidP="008365B9">
      <w:pPr>
        <w:spacing w:after="0" w:line="240" w:lineRule="auto"/>
      </w:pPr>
      <w:r w:rsidRPr="008365B9">
        <w:rPr>
          <w:b/>
        </w:rPr>
        <w:t xml:space="preserve">Lhůta pro vydání rozhodnutí GFŘ </w:t>
      </w:r>
    </w:p>
    <w:p w14:paraId="532B2F49" w14:textId="77777777" w:rsidR="008365B9" w:rsidRDefault="008365B9" w:rsidP="008365B9">
      <w:pPr>
        <w:spacing w:after="0" w:line="240" w:lineRule="auto"/>
      </w:pPr>
    </w:p>
    <w:p w14:paraId="532B2F4A" w14:textId="77777777" w:rsidR="00042CDA" w:rsidRDefault="00541203" w:rsidP="008365B9">
      <w:pPr>
        <w:spacing w:after="0" w:line="240" w:lineRule="auto"/>
      </w:pPr>
      <w:r w:rsidRPr="008365B9">
        <w:t>Od k</w:t>
      </w:r>
      <w:r w:rsidR="00D44E65" w:rsidRPr="008365B9">
        <w:t>ontrolní akce č.</w:t>
      </w:r>
      <w:r w:rsidR="00654C3C">
        <w:t> </w:t>
      </w:r>
      <w:r w:rsidR="00D44E65" w:rsidRPr="008365B9">
        <w:t xml:space="preserve">10/08 </w:t>
      </w:r>
      <w:r w:rsidRPr="008365B9">
        <w:t>došlo k zásadní úpravě daňového řízení. Přestal platit zákon č.</w:t>
      </w:r>
      <w:r w:rsidR="00677457" w:rsidRPr="008365B9">
        <w:t> </w:t>
      </w:r>
      <w:r w:rsidRPr="008365B9">
        <w:t>337/1992 Sb.</w:t>
      </w:r>
      <w:r w:rsidRPr="008365B9">
        <w:rPr>
          <w:rStyle w:val="Znakapoznpodarou"/>
          <w:rFonts w:cs="Arial"/>
          <w:color w:val="000000" w:themeColor="text1"/>
          <w:szCs w:val="22"/>
        </w:rPr>
        <w:footnoteReference w:id="7"/>
      </w:r>
      <w:r w:rsidRPr="008365B9">
        <w:t xml:space="preserve"> a</w:t>
      </w:r>
      <w:r w:rsidR="00654C3C">
        <w:t> nabyl účinnosti zákon č. </w:t>
      </w:r>
      <w:r w:rsidRPr="008365B9">
        <w:t xml:space="preserve">280/2009 Sb. </w:t>
      </w:r>
      <w:r w:rsidR="00E96849">
        <w:t>Kontrolní akce</w:t>
      </w:r>
      <w:r w:rsidRPr="008365B9">
        <w:t xml:space="preserve"> NKÚ se zaměřila i</w:t>
      </w:r>
      <w:r w:rsidR="00654C3C">
        <w:t> </w:t>
      </w:r>
      <w:r w:rsidRPr="008365B9">
        <w:t xml:space="preserve">na </w:t>
      </w:r>
      <w:r w:rsidR="00E96849">
        <w:t>lhůty, v jakých</w:t>
      </w:r>
      <w:r w:rsidR="00654C3C">
        <w:t xml:space="preserve"> GFŘ žádosti </w:t>
      </w:r>
      <w:r w:rsidR="00E96849">
        <w:t>o </w:t>
      </w:r>
      <w:r w:rsidR="00654C3C">
        <w:t>prominutí odvodu a </w:t>
      </w:r>
      <w:r w:rsidRPr="008365B9">
        <w:t>penále řeší.</w:t>
      </w:r>
    </w:p>
    <w:p w14:paraId="532B2F4B" w14:textId="77777777" w:rsidR="008365B9" w:rsidRPr="008365B9" w:rsidRDefault="008365B9" w:rsidP="008365B9">
      <w:pPr>
        <w:spacing w:after="0" w:line="240" w:lineRule="auto"/>
      </w:pPr>
    </w:p>
    <w:p w14:paraId="532B2F4C" w14:textId="77777777" w:rsidR="00A63E64" w:rsidRDefault="00042CDA" w:rsidP="008365B9">
      <w:pPr>
        <w:spacing w:after="0" w:line="240" w:lineRule="auto"/>
      </w:pPr>
      <w:r w:rsidRPr="008365B9">
        <w:t xml:space="preserve">Lhůta pro rozhodnutí není v zákoně explicitně upravena, avšak </w:t>
      </w:r>
      <w:r w:rsidR="00A63E64" w:rsidRPr="008365B9">
        <w:t>současná právní úprava v</w:t>
      </w:r>
      <w:r w:rsidR="00677457" w:rsidRPr="008365B9">
        <w:t> </w:t>
      </w:r>
      <w:r w:rsidR="00A63E64" w:rsidRPr="008365B9">
        <w:t>§</w:t>
      </w:r>
      <w:r w:rsidR="00677457" w:rsidRPr="008365B9">
        <w:t> </w:t>
      </w:r>
      <w:r w:rsidR="00A63E64" w:rsidRPr="008365B9">
        <w:t>38 zákona č.</w:t>
      </w:r>
      <w:r w:rsidR="00654C3C">
        <w:t> </w:t>
      </w:r>
      <w:r w:rsidR="00A63E64" w:rsidRPr="008365B9">
        <w:t xml:space="preserve">280/2009 Sb. poskytuje daňovým subjektům ochranu před nečinností správce daně. Lhůta obvyklá pro vydání rozhodnutí byla upravena </w:t>
      </w:r>
      <w:r w:rsidR="00E96849">
        <w:t xml:space="preserve">veřejně dostupným </w:t>
      </w:r>
      <w:r w:rsidR="00A63E64" w:rsidRPr="008365B9">
        <w:t xml:space="preserve">interním pokynem MF na šest měsíců. </w:t>
      </w:r>
    </w:p>
    <w:p w14:paraId="532B2F4D" w14:textId="77777777" w:rsidR="008365B9" w:rsidRPr="008365B9" w:rsidRDefault="008365B9" w:rsidP="008365B9">
      <w:pPr>
        <w:spacing w:after="0" w:line="240" w:lineRule="auto"/>
      </w:pPr>
    </w:p>
    <w:p w14:paraId="532B2F4E" w14:textId="77777777" w:rsidR="00A63E64" w:rsidRDefault="00A63E64" w:rsidP="008365B9">
      <w:pPr>
        <w:spacing w:after="0" w:line="240" w:lineRule="auto"/>
      </w:pPr>
      <w:r w:rsidRPr="008365B9">
        <w:t xml:space="preserve">Žádosti o prominutí podávají daňové subjekty místně příslušnému finančnímu úřadu, </w:t>
      </w:r>
      <w:r w:rsidR="00654C3C">
        <w:t>který doplní spisový materiál o </w:t>
      </w:r>
      <w:r w:rsidRPr="008365B9">
        <w:t>své stanovisko a</w:t>
      </w:r>
      <w:r w:rsidR="00654C3C">
        <w:t> </w:t>
      </w:r>
      <w:r w:rsidRPr="008365B9">
        <w:t>postoupí k</w:t>
      </w:r>
      <w:r w:rsidR="00654C3C">
        <w:t> </w:t>
      </w:r>
      <w:r w:rsidRPr="008365B9">
        <w:t>vyřízení GFŘ, které zpracuje návrh rozhodnutí a</w:t>
      </w:r>
      <w:r w:rsidR="00654C3C">
        <w:t> požádá o </w:t>
      </w:r>
      <w:r w:rsidRPr="008365B9">
        <w:t>vyjádření komisi. Poté vydá rozhodnutí. Na kontrolním vzorku bylo zjištěno, že celý tento proces trval v</w:t>
      </w:r>
      <w:r w:rsidR="00654C3C">
        <w:t> </w:t>
      </w:r>
      <w:r w:rsidR="00E96849">
        <w:t xml:space="preserve">kontrolovaném </w:t>
      </w:r>
      <w:r w:rsidRPr="008365B9">
        <w:t>období průměrně 142 dnů.</w:t>
      </w:r>
    </w:p>
    <w:p w14:paraId="532B2F4F" w14:textId="77777777" w:rsidR="008365B9" w:rsidRPr="008365B9" w:rsidRDefault="008365B9" w:rsidP="008365B9">
      <w:pPr>
        <w:spacing w:after="0" w:line="240" w:lineRule="auto"/>
      </w:pPr>
    </w:p>
    <w:p w14:paraId="532B2F50" w14:textId="77777777" w:rsidR="00A63E64" w:rsidRDefault="00A63E64" w:rsidP="008365B9">
      <w:pPr>
        <w:spacing w:after="0" w:line="240" w:lineRule="auto"/>
      </w:pPr>
      <w:r w:rsidRPr="008365B9">
        <w:t>Ve srovnání například s</w:t>
      </w:r>
      <w:r w:rsidR="00654C3C">
        <w:t> </w:t>
      </w:r>
      <w:r w:rsidRPr="008365B9">
        <w:t xml:space="preserve">obecnou lhůtou pro vydání </w:t>
      </w:r>
      <w:r w:rsidR="00541203" w:rsidRPr="008365B9">
        <w:t xml:space="preserve">správního rozhodnutí </w:t>
      </w:r>
      <w:r w:rsidRPr="008365B9">
        <w:t>stanovenou zákonem č. 500/2004 S</w:t>
      </w:r>
      <w:r w:rsidR="00654C3C">
        <w:t>b. jsou lhůty při rozhodování o </w:t>
      </w:r>
      <w:r w:rsidRPr="008365B9">
        <w:t>pr</w:t>
      </w:r>
      <w:r w:rsidR="00654C3C">
        <w:t>ominutí v </w:t>
      </w:r>
      <w:r w:rsidR="008365B9">
        <w:t>daňovém řízení delší.</w:t>
      </w:r>
    </w:p>
    <w:p w14:paraId="532B2F51" w14:textId="77777777" w:rsidR="008365B9" w:rsidRDefault="008365B9" w:rsidP="008365B9">
      <w:pPr>
        <w:spacing w:after="0" w:line="240" w:lineRule="auto"/>
      </w:pPr>
    </w:p>
    <w:p w14:paraId="532B2F52" w14:textId="77777777" w:rsidR="0063098E" w:rsidRPr="008365B9" w:rsidRDefault="0063098E" w:rsidP="008365B9">
      <w:pPr>
        <w:spacing w:after="0" w:line="240" w:lineRule="auto"/>
      </w:pPr>
    </w:p>
    <w:p w14:paraId="532B2F53" w14:textId="77777777" w:rsidR="00A63E64" w:rsidRPr="008365B9" w:rsidRDefault="00A63E64" w:rsidP="008365B9">
      <w:pPr>
        <w:spacing w:after="0" w:line="240" w:lineRule="auto"/>
        <w:rPr>
          <w:b/>
        </w:rPr>
      </w:pPr>
      <w:r w:rsidRPr="008365B9">
        <w:rPr>
          <w:b/>
        </w:rPr>
        <w:lastRenderedPageBreak/>
        <w:t>Pokyny Evropské komise</w:t>
      </w:r>
    </w:p>
    <w:p w14:paraId="532B2F54" w14:textId="77777777" w:rsidR="008365B9" w:rsidRDefault="008365B9" w:rsidP="008365B9">
      <w:pPr>
        <w:spacing w:after="0" w:line="240" w:lineRule="auto"/>
      </w:pPr>
    </w:p>
    <w:p w14:paraId="532B2F55" w14:textId="77777777" w:rsidR="00A63E64" w:rsidRDefault="00A63E64" w:rsidP="008365B9">
      <w:pPr>
        <w:spacing w:after="0" w:line="240" w:lineRule="auto"/>
      </w:pPr>
      <w:r w:rsidRPr="008365B9">
        <w:t xml:space="preserve">Sankce za porušení dotačních pravidel upravují </w:t>
      </w:r>
      <w:r w:rsidRPr="0063098E">
        <w:rPr>
          <w:i/>
        </w:rPr>
        <w:t>Pokyny ke stanovení finančních oprav, které se použijí pro výdaje spolufinancované ze strukturálních fondů a</w:t>
      </w:r>
      <w:r w:rsidR="00654C3C" w:rsidRPr="0063098E">
        <w:rPr>
          <w:i/>
        </w:rPr>
        <w:t> </w:t>
      </w:r>
      <w:r w:rsidRPr="0063098E">
        <w:rPr>
          <w:i/>
        </w:rPr>
        <w:t>Fondu soudržnosti v případě nedodržení pravidel pro veřejné zakázky</w:t>
      </w:r>
      <w:r w:rsidRPr="008365B9">
        <w:rPr>
          <w:bCs/>
          <w:vertAlign w:val="superscript"/>
        </w:rPr>
        <w:footnoteReference w:id="8"/>
      </w:r>
      <w:r w:rsidR="00E96849">
        <w:t xml:space="preserve">, </w:t>
      </w:r>
      <w:r w:rsidR="00E96849" w:rsidRPr="008365B9">
        <w:t>COCOF 07/0037/03</w:t>
      </w:r>
      <w:r w:rsidR="00E96849">
        <w:t>,</w:t>
      </w:r>
      <w:r w:rsidRPr="008365B9">
        <w:rPr>
          <w:bCs/>
          <w:vertAlign w:val="superscript"/>
        </w:rPr>
        <w:t xml:space="preserve"> </w:t>
      </w:r>
      <w:r w:rsidRPr="008365B9">
        <w:t>(dále také „pokyn COCOF“) vydané Evropskou komisí. Pokyn COCOF obsahuje typ nesrovnalosti</w:t>
      </w:r>
      <w:r w:rsidRPr="008365B9">
        <w:rPr>
          <w:rStyle w:val="Znakapoznpodarou"/>
          <w:rFonts w:cs="Arial"/>
          <w:color w:val="000000" w:themeColor="text1"/>
          <w:szCs w:val="22"/>
        </w:rPr>
        <w:footnoteReference w:id="9"/>
      </w:r>
      <w:r w:rsidRPr="008365B9">
        <w:t xml:space="preserve"> a </w:t>
      </w:r>
      <w:r w:rsidR="008365B9">
        <w:t>doporučenou opravu (sazbu).</w:t>
      </w:r>
    </w:p>
    <w:p w14:paraId="532B2F56" w14:textId="77777777" w:rsidR="008365B9" w:rsidRPr="008365B9" w:rsidRDefault="008365B9" w:rsidP="008365B9">
      <w:pPr>
        <w:spacing w:after="0" w:line="240" w:lineRule="auto"/>
      </w:pPr>
    </w:p>
    <w:p w14:paraId="532B2F57" w14:textId="77777777" w:rsidR="00A63E64" w:rsidRDefault="00A63E64" w:rsidP="008365B9">
      <w:pPr>
        <w:spacing w:after="0" w:line="240" w:lineRule="auto"/>
      </w:pPr>
      <w:r w:rsidRPr="008365B9">
        <w:t>Pokud orgány členských států</w:t>
      </w:r>
      <w:r w:rsidR="00E96849" w:rsidRPr="00E96849">
        <w:t xml:space="preserve"> </w:t>
      </w:r>
      <w:r w:rsidR="00E96849" w:rsidRPr="008365B9">
        <w:t>zjistí při kontrolách</w:t>
      </w:r>
      <w:r w:rsidR="00E96849" w:rsidRPr="00E96849">
        <w:t xml:space="preserve"> </w:t>
      </w:r>
      <w:r w:rsidR="00E96849" w:rsidRPr="008365B9">
        <w:t>nesrovnalosti</w:t>
      </w:r>
      <w:r w:rsidRPr="008365B9">
        <w:t>, jsou povinny provést nezbytné opravy. Evropská komise doporučuje, aby členské státy uplatňovaly stejná kritéria a</w:t>
      </w:r>
      <w:r w:rsidR="00654C3C">
        <w:t> </w:t>
      </w:r>
      <w:r w:rsidRPr="008365B9">
        <w:t>sazby i</w:t>
      </w:r>
      <w:r w:rsidR="00654C3C">
        <w:t> </w:t>
      </w:r>
      <w:r w:rsidRPr="008365B9">
        <w:t xml:space="preserve">pro nesrovnalosti zjištěné při ostatních typech kontrol, </w:t>
      </w:r>
      <w:r w:rsidR="00654C3C">
        <w:t>prováděných členskými státy</w:t>
      </w:r>
      <w:r w:rsidR="00E96849">
        <w:t>,</w:t>
      </w:r>
      <w:r w:rsidR="00654C3C">
        <w:t xml:space="preserve"> a </w:t>
      </w:r>
      <w:r w:rsidRPr="008365B9">
        <w:t>nevylučuje ani použití přísnějších opatření. Finanční opravy se provádějí zrušením celého nebo části poskytnutého příspěvku EU.</w:t>
      </w:r>
    </w:p>
    <w:p w14:paraId="532B2F58" w14:textId="77777777" w:rsidR="008365B9" w:rsidRPr="008365B9" w:rsidRDefault="008365B9" w:rsidP="008365B9">
      <w:pPr>
        <w:spacing w:after="0" w:line="240" w:lineRule="auto"/>
      </w:pPr>
    </w:p>
    <w:p w14:paraId="532B2F59" w14:textId="77777777" w:rsidR="00A63E64" w:rsidRDefault="00A63E64" w:rsidP="008365B9">
      <w:pPr>
        <w:spacing w:after="0" w:line="240" w:lineRule="auto"/>
      </w:pPr>
      <w:r w:rsidRPr="008365B9">
        <w:t>Pokyn COCOF</w:t>
      </w:r>
      <w:r w:rsidRPr="008365B9" w:rsidDel="001814A0">
        <w:t xml:space="preserve"> </w:t>
      </w:r>
      <w:r w:rsidRPr="008365B9">
        <w:t>se týká vyměření výše odvodu</w:t>
      </w:r>
      <w:r w:rsidR="00E96849">
        <w:t>,</w:t>
      </w:r>
      <w:r w:rsidRPr="008365B9">
        <w:t xml:space="preserve"> a nikoliv </w:t>
      </w:r>
      <w:r w:rsidR="00654C3C">
        <w:t>jeho prominutí, byl zohledněn v </w:t>
      </w:r>
      <w:r w:rsidRPr="008365B9">
        <w:t xml:space="preserve">čl. II písm. </w:t>
      </w:r>
      <w:r w:rsidR="003F1A92">
        <w:t>a)</w:t>
      </w:r>
      <w:r w:rsidRPr="008365B9">
        <w:t xml:space="preserve"> bod 4</w:t>
      </w:r>
      <w:r w:rsidR="003F1A92">
        <w:t>,</w:t>
      </w:r>
      <w:r w:rsidRPr="008365B9">
        <w:t xml:space="preserve"> resp. čl. II bod 4</w:t>
      </w:r>
      <w:r w:rsidR="003F1A92">
        <w:t>,</w:t>
      </w:r>
      <w:r w:rsidRPr="008365B9">
        <w:t xml:space="preserve"> </w:t>
      </w:r>
      <w:r w:rsidR="003F1A92">
        <w:t>p</w:t>
      </w:r>
      <w:r w:rsidRPr="008365B9">
        <w:t xml:space="preserve">okynu č. GFŘ-D-9 a GFŘ-D-11, kde </w:t>
      </w:r>
      <w:r w:rsidR="000F634C">
        <w:t>však</w:t>
      </w:r>
      <w:r w:rsidRPr="008365B9">
        <w:t xml:space="preserve"> upravuje </w:t>
      </w:r>
      <w:r w:rsidR="008365B9">
        <w:t>oblast promíjení odvodu.</w:t>
      </w:r>
    </w:p>
    <w:p w14:paraId="532B2F5A" w14:textId="77777777" w:rsidR="008365B9" w:rsidRPr="008365B9" w:rsidRDefault="008365B9" w:rsidP="008365B9">
      <w:pPr>
        <w:spacing w:after="0" w:line="240" w:lineRule="auto"/>
        <w:rPr>
          <w:bCs/>
        </w:rPr>
      </w:pPr>
    </w:p>
    <w:p w14:paraId="532B2F5B" w14:textId="77777777" w:rsidR="00A63E64" w:rsidRPr="008365B9" w:rsidRDefault="00A63E64" w:rsidP="008365B9">
      <w:pPr>
        <w:spacing w:after="0" w:line="240" w:lineRule="auto"/>
        <w:rPr>
          <w:b/>
        </w:rPr>
      </w:pPr>
      <w:r w:rsidRPr="008365B9">
        <w:rPr>
          <w:b/>
        </w:rPr>
        <w:t>Personální zajištění a výdaje na správu odvodů a penále</w:t>
      </w:r>
    </w:p>
    <w:p w14:paraId="532B2F5C" w14:textId="77777777" w:rsidR="008365B9" w:rsidRDefault="008365B9" w:rsidP="008365B9">
      <w:pPr>
        <w:spacing w:after="0" w:line="240" w:lineRule="auto"/>
      </w:pPr>
    </w:p>
    <w:p w14:paraId="532B2F5D" w14:textId="77777777" w:rsidR="00A63E64" w:rsidRDefault="00A63E64" w:rsidP="008365B9">
      <w:pPr>
        <w:spacing w:after="0" w:line="240" w:lineRule="auto"/>
      </w:pPr>
      <w:r w:rsidRPr="008365B9">
        <w:t>Správu odvodů za porušení rozpočtové kázně v období 2006–2009 zajišťovalo průměrně 590 zaměstnanců územních finančních orgánů a</w:t>
      </w:r>
      <w:r w:rsidR="00654C3C">
        <w:t> MF a </w:t>
      </w:r>
      <w:r w:rsidR="000F634C">
        <w:t xml:space="preserve">průměrně </w:t>
      </w:r>
      <w:r w:rsidRPr="008365B9">
        <w:t xml:space="preserve">byly vynaloženy roční výdaje </w:t>
      </w:r>
      <w:r w:rsidR="000F634C">
        <w:t xml:space="preserve">ve výši </w:t>
      </w:r>
      <w:r w:rsidRPr="008365B9">
        <w:rPr>
          <w:bCs/>
        </w:rPr>
        <w:t>303</w:t>
      </w:r>
      <w:r w:rsidR="00654C3C">
        <w:rPr>
          <w:bCs/>
        </w:rPr>
        <w:t> 628 </w:t>
      </w:r>
      <w:r w:rsidR="00654C3C">
        <w:t>tis. </w:t>
      </w:r>
      <w:r w:rsidR="008365B9">
        <w:t>Kč.</w:t>
      </w:r>
    </w:p>
    <w:p w14:paraId="532B2F5E" w14:textId="77777777" w:rsidR="008365B9" w:rsidRPr="008365B9" w:rsidRDefault="008365B9" w:rsidP="008365B9">
      <w:pPr>
        <w:spacing w:after="0" w:line="240" w:lineRule="auto"/>
      </w:pPr>
    </w:p>
    <w:p w14:paraId="532B2F5F" w14:textId="77777777" w:rsidR="00A63E64" w:rsidRPr="008365B9" w:rsidRDefault="00A63E64" w:rsidP="008365B9">
      <w:pPr>
        <w:spacing w:after="0" w:line="240" w:lineRule="auto"/>
      </w:pPr>
      <w:r w:rsidRPr="008365B9">
        <w:t>V letech 2011–2012 zajišťovalo správu odvodů za porušení rozpočtové kázně průměrně 507</w:t>
      </w:r>
      <w:r w:rsidR="00764E05" w:rsidRPr="008365B9">
        <w:t> </w:t>
      </w:r>
      <w:r w:rsidRPr="008365B9">
        <w:t>zaměstnanců finanční správy a</w:t>
      </w:r>
      <w:r w:rsidR="00654C3C">
        <w:t> </w:t>
      </w:r>
      <w:r w:rsidRPr="008365B9">
        <w:t xml:space="preserve">průměrné roční výdaje činily </w:t>
      </w:r>
      <w:r w:rsidRPr="008365B9">
        <w:rPr>
          <w:bCs/>
        </w:rPr>
        <w:t>281</w:t>
      </w:r>
      <w:r w:rsidR="00654C3C">
        <w:rPr>
          <w:bCs/>
        </w:rPr>
        <w:t> </w:t>
      </w:r>
      <w:r w:rsidRPr="008365B9">
        <w:rPr>
          <w:bCs/>
        </w:rPr>
        <w:t>016</w:t>
      </w:r>
      <w:r w:rsidR="00654C3C">
        <w:rPr>
          <w:bCs/>
        </w:rPr>
        <w:t> </w:t>
      </w:r>
      <w:r w:rsidR="00654C3C">
        <w:t>tis. </w:t>
      </w:r>
      <w:r w:rsidRPr="008365B9">
        <w:t>Kč</w:t>
      </w:r>
      <w:r w:rsidRPr="008365B9">
        <w:rPr>
          <w:rStyle w:val="Znakapoznpodarou"/>
          <w:rFonts w:cs="Arial"/>
          <w:color w:val="000000" w:themeColor="text1"/>
          <w:szCs w:val="22"/>
        </w:rPr>
        <w:footnoteReference w:id="10"/>
      </w:r>
      <w:r w:rsidRPr="008365B9">
        <w:t xml:space="preserve">. </w:t>
      </w:r>
    </w:p>
    <w:p w14:paraId="532B2F60" w14:textId="77777777" w:rsidR="00A63E64" w:rsidRDefault="00A63E64" w:rsidP="008365B9">
      <w:pPr>
        <w:spacing w:after="0" w:line="240" w:lineRule="auto"/>
      </w:pPr>
    </w:p>
    <w:p w14:paraId="532B2F61" w14:textId="77777777" w:rsidR="008365B9" w:rsidRPr="008365B9" w:rsidRDefault="008365B9" w:rsidP="008365B9">
      <w:pPr>
        <w:spacing w:after="0" w:line="240" w:lineRule="auto"/>
      </w:pPr>
    </w:p>
    <w:p w14:paraId="532B2F62" w14:textId="77777777" w:rsidR="00A63E64" w:rsidRPr="008365B9" w:rsidRDefault="00A63E64" w:rsidP="008365B9">
      <w:pPr>
        <w:jc w:val="center"/>
        <w:rPr>
          <w:b/>
          <w:sz w:val="24"/>
        </w:rPr>
      </w:pPr>
      <w:r w:rsidRPr="008365B9">
        <w:rPr>
          <w:b/>
          <w:sz w:val="24"/>
        </w:rPr>
        <w:t>III. Shrnutí a vyhodnocení</w:t>
      </w:r>
    </w:p>
    <w:p w14:paraId="532B2F63" w14:textId="77777777" w:rsidR="008365B9" w:rsidRDefault="008365B9" w:rsidP="008365B9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F64" w14:textId="77777777" w:rsidR="00A63E64" w:rsidRDefault="00A63E64" w:rsidP="008365B9">
      <w:pPr>
        <w:spacing w:after="0" w:line="240" w:lineRule="auto"/>
        <w:rPr>
          <w:rFonts w:cs="Arial"/>
          <w:color w:val="000000" w:themeColor="text1"/>
          <w:szCs w:val="22"/>
        </w:rPr>
      </w:pPr>
      <w:r w:rsidRPr="008365B9">
        <w:rPr>
          <w:rFonts w:cs="Arial"/>
          <w:color w:val="000000" w:themeColor="text1"/>
          <w:szCs w:val="22"/>
        </w:rPr>
        <w:t>V kontrolovaném období byly finančními úřa</w:t>
      </w:r>
      <w:r w:rsidR="00654C3C">
        <w:rPr>
          <w:rFonts w:cs="Arial"/>
          <w:color w:val="000000" w:themeColor="text1"/>
          <w:szCs w:val="22"/>
        </w:rPr>
        <w:t>dy pravomocně vyměřeny odvody a penále v celkové hodnotě 13 </w:t>
      </w:r>
      <w:r w:rsidRPr="008365B9">
        <w:rPr>
          <w:rFonts w:cs="Arial"/>
          <w:color w:val="000000" w:themeColor="text1"/>
          <w:szCs w:val="22"/>
        </w:rPr>
        <w:t>542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854</w:t>
      </w:r>
      <w:r w:rsidR="00654C3C">
        <w:rPr>
          <w:rFonts w:cs="Arial"/>
          <w:color w:val="000000" w:themeColor="text1"/>
          <w:szCs w:val="22"/>
        </w:rPr>
        <w:t> tis. </w:t>
      </w:r>
      <w:r w:rsidRPr="008365B9">
        <w:rPr>
          <w:rFonts w:cs="Arial"/>
          <w:color w:val="000000" w:themeColor="text1"/>
          <w:szCs w:val="22"/>
        </w:rPr>
        <w:t xml:space="preserve">Kč, přičemž </w:t>
      </w:r>
      <w:r w:rsidR="00514676" w:rsidRPr="008365B9">
        <w:rPr>
          <w:rFonts w:cs="Arial"/>
          <w:color w:val="000000" w:themeColor="text1"/>
          <w:szCs w:val="22"/>
        </w:rPr>
        <w:t xml:space="preserve">bylo </w:t>
      </w:r>
      <w:r w:rsidRPr="008365B9">
        <w:rPr>
          <w:rFonts w:cs="Arial"/>
          <w:color w:val="000000" w:themeColor="text1"/>
          <w:szCs w:val="22"/>
        </w:rPr>
        <w:t>prominuto 9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841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123</w:t>
      </w:r>
      <w:r w:rsidR="00654C3C">
        <w:rPr>
          <w:rFonts w:cs="Arial"/>
          <w:color w:val="000000" w:themeColor="text1"/>
          <w:szCs w:val="22"/>
        </w:rPr>
        <w:t> tis. </w:t>
      </w:r>
      <w:r w:rsidRPr="008365B9">
        <w:rPr>
          <w:rFonts w:cs="Arial"/>
          <w:color w:val="000000" w:themeColor="text1"/>
          <w:szCs w:val="22"/>
        </w:rPr>
        <w:t xml:space="preserve">Kč </w:t>
      </w:r>
      <w:r w:rsidR="00514676">
        <w:rPr>
          <w:rFonts w:cs="Arial"/>
          <w:color w:val="000000" w:themeColor="text1"/>
          <w:szCs w:val="22"/>
        </w:rPr>
        <w:t>a u</w:t>
      </w:r>
      <w:r w:rsidRPr="008365B9">
        <w:rPr>
          <w:rFonts w:cs="Arial"/>
          <w:color w:val="000000" w:themeColor="text1"/>
          <w:szCs w:val="22"/>
        </w:rPr>
        <w:t>hrazeno 1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468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255</w:t>
      </w:r>
      <w:r w:rsidR="00654C3C">
        <w:rPr>
          <w:rFonts w:cs="Arial"/>
          <w:color w:val="000000" w:themeColor="text1"/>
          <w:szCs w:val="22"/>
        </w:rPr>
        <w:t> tis. Kč</w:t>
      </w:r>
      <w:r w:rsidR="00514676">
        <w:rPr>
          <w:rFonts w:cs="Arial"/>
          <w:color w:val="000000" w:themeColor="text1"/>
          <w:szCs w:val="22"/>
        </w:rPr>
        <w:t>.</w:t>
      </w:r>
      <w:r w:rsidR="00654C3C">
        <w:rPr>
          <w:rFonts w:cs="Arial"/>
          <w:color w:val="000000" w:themeColor="text1"/>
          <w:szCs w:val="22"/>
        </w:rPr>
        <w:t xml:space="preserve"> </w:t>
      </w:r>
      <w:r w:rsidR="00514676">
        <w:rPr>
          <w:rFonts w:cs="Arial"/>
          <w:color w:val="000000" w:themeColor="text1"/>
          <w:szCs w:val="22"/>
        </w:rPr>
        <w:t>O</w:t>
      </w:r>
      <w:r w:rsidRPr="008365B9">
        <w:rPr>
          <w:rFonts w:cs="Arial"/>
          <w:color w:val="000000" w:themeColor="text1"/>
          <w:szCs w:val="22"/>
        </w:rPr>
        <w:t>rgány fin</w:t>
      </w:r>
      <w:r w:rsidR="00654C3C">
        <w:rPr>
          <w:rFonts w:cs="Arial"/>
          <w:color w:val="000000" w:themeColor="text1"/>
          <w:szCs w:val="22"/>
        </w:rPr>
        <w:t xml:space="preserve">anční správy na správu odvodů </w:t>
      </w:r>
      <w:r w:rsidR="00514676">
        <w:rPr>
          <w:rFonts w:cs="Arial"/>
          <w:color w:val="000000" w:themeColor="text1"/>
          <w:szCs w:val="22"/>
        </w:rPr>
        <w:t>v letech</w:t>
      </w:r>
      <w:r w:rsidRPr="008365B9">
        <w:rPr>
          <w:rFonts w:cs="Arial"/>
          <w:color w:val="000000" w:themeColor="text1"/>
          <w:szCs w:val="22"/>
        </w:rPr>
        <w:t xml:space="preserve"> 2011 a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2</w:t>
      </w:r>
      <w:r w:rsidR="008365B9">
        <w:rPr>
          <w:rFonts w:cs="Arial"/>
          <w:color w:val="000000" w:themeColor="text1"/>
          <w:szCs w:val="22"/>
        </w:rPr>
        <w:t xml:space="preserve">012 vynaložily </w:t>
      </w:r>
      <w:r w:rsidR="00514676">
        <w:rPr>
          <w:rFonts w:cs="Arial"/>
          <w:color w:val="000000" w:themeColor="text1"/>
          <w:szCs w:val="22"/>
        </w:rPr>
        <w:t xml:space="preserve">celkem </w:t>
      </w:r>
      <w:r w:rsidR="008365B9">
        <w:rPr>
          <w:rFonts w:cs="Arial"/>
          <w:color w:val="000000" w:themeColor="text1"/>
          <w:szCs w:val="22"/>
        </w:rPr>
        <w:t>562</w:t>
      </w:r>
      <w:r w:rsidR="00654C3C">
        <w:rPr>
          <w:rFonts w:cs="Arial"/>
          <w:color w:val="000000" w:themeColor="text1"/>
          <w:szCs w:val="22"/>
        </w:rPr>
        <w:t> </w:t>
      </w:r>
      <w:r w:rsidR="008365B9">
        <w:rPr>
          <w:rFonts w:cs="Arial"/>
          <w:color w:val="000000" w:themeColor="text1"/>
          <w:szCs w:val="22"/>
        </w:rPr>
        <w:t>032</w:t>
      </w:r>
      <w:r w:rsidR="00654C3C">
        <w:rPr>
          <w:rFonts w:cs="Arial"/>
          <w:color w:val="000000" w:themeColor="text1"/>
          <w:szCs w:val="22"/>
        </w:rPr>
        <w:t> tis. </w:t>
      </w:r>
      <w:r w:rsidR="008365B9">
        <w:rPr>
          <w:rFonts w:cs="Arial"/>
          <w:color w:val="000000" w:themeColor="text1"/>
          <w:szCs w:val="22"/>
        </w:rPr>
        <w:t>Kč.</w:t>
      </w:r>
    </w:p>
    <w:p w14:paraId="532B2F65" w14:textId="77777777" w:rsidR="008365B9" w:rsidRPr="008365B9" w:rsidRDefault="008365B9" w:rsidP="008365B9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F66" w14:textId="77777777" w:rsidR="00A63E64" w:rsidRDefault="00A63E64" w:rsidP="008365B9">
      <w:pPr>
        <w:spacing w:after="0" w:line="240" w:lineRule="auto"/>
        <w:rPr>
          <w:rFonts w:cs="Arial"/>
          <w:color w:val="000000" w:themeColor="text1"/>
          <w:szCs w:val="22"/>
        </w:rPr>
      </w:pPr>
      <w:r w:rsidRPr="008365B9">
        <w:rPr>
          <w:rFonts w:cs="Arial"/>
          <w:color w:val="000000" w:themeColor="text1"/>
          <w:szCs w:val="22"/>
        </w:rPr>
        <w:t>Obecné předpisy upravující postupy správních orgánů</w:t>
      </w:r>
      <w:r w:rsidR="00514676">
        <w:rPr>
          <w:rFonts w:cs="Arial"/>
          <w:color w:val="000000" w:themeColor="text1"/>
          <w:szCs w:val="22"/>
        </w:rPr>
        <w:t>,</w:t>
      </w:r>
      <w:r w:rsidRPr="008365B9">
        <w:rPr>
          <w:rFonts w:cs="Arial"/>
          <w:color w:val="000000" w:themeColor="text1"/>
          <w:szCs w:val="22"/>
        </w:rPr>
        <w:t xml:space="preserve"> např. zákon č.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 xml:space="preserve">500/2004 Sb. </w:t>
      </w:r>
      <w:r w:rsidR="00514676">
        <w:rPr>
          <w:rFonts w:cs="Arial"/>
          <w:color w:val="000000" w:themeColor="text1"/>
          <w:szCs w:val="22"/>
        </w:rPr>
        <w:t xml:space="preserve">nebo </w:t>
      </w:r>
      <w:r w:rsidRPr="008365B9">
        <w:rPr>
          <w:rFonts w:cs="Arial"/>
          <w:color w:val="000000" w:themeColor="text1"/>
          <w:szCs w:val="22"/>
        </w:rPr>
        <w:t>zákon č.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280/2009 Sb.</w:t>
      </w:r>
      <w:r w:rsidR="00514676">
        <w:rPr>
          <w:rFonts w:cs="Arial"/>
          <w:color w:val="000000" w:themeColor="text1"/>
          <w:szCs w:val="22"/>
        </w:rPr>
        <w:t>,</w:t>
      </w:r>
      <w:r w:rsidRPr="008365B9">
        <w:rPr>
          <w:rFonts w:cs="Arial"/>
          <w:color w:val="000000" w:themeColor="text1"/>
          <w:szCs w:val="22"/>
        </w:rPr>
        <w:t xml:space="preserve"> kladou důraz na hospodárnost postupu při výkonu státní </w:t>
      </w:r>
      <w:r w:rsidR="00654C3C">
        <w:rPr>
          <w:rFonts w:cs="Arial"/>
          <w:color w:val="000000" w:themeColor="text1"/>
          <w:szCs w:val="22"/>
        </w:rPr>
        <w:t>správy. NKÚ v kontrolní akci č. </w:t>
      </w:r>
      <w:r w:rsidRPr="008365B9">
        <w:rPr>
          <w:rFonts w:cs="Arial"/>
          <w:color w:val="000000" w:themeColor="text1"/>
          <w:szCs w:val="22"/>
        </w:rPr>
        <w:t>10/08 zjistil, že MF prominulo 90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% vyměřených odvodů a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penále. Tato kontrolní akce zjistila,</w:t>
      </w:r>
      <w:r w:rsidR="00654C3C">
        <w:rPr>
          <w:rFonts w:cs="Arial"/>
          <w:color w:val="000000" w:themeColor="text1"/>
          <w:szCs w:val="22"/>
        </w:rPr>
        <w:t xml:space="preserve"> že došlo ke zlepšení situace a </w:t>
      </w:r>
      <w:r w:rsidRPr="008365B9">
        <w:rPr>
          <w:rFonts w:cs="Arial"/>
          <w:color w:val="000000" w:themeColor="text1"/>
          <w:szCs w:val="22"/>
        </w:rPr>
        <w:t>GFŘ prominulo 73</w:t>
      </w:r>
      <w:r w:rsidR="00654C3C">
        <w:rPr>
          <w:rFonts w:cs="Arial"/>
          <w:color w:val="000000" w:themeColor="text1"/>
          <w:szCs w:val="22"/>
        </w:rPr>
        <w:t> % vyměřeného odvodu a </w:t>
      </w:r>
      <w:r w:rsidRPr="008365B9">
        <w:rPr>
          <w:rFonts w:cs="Arial"/>
          <w:color w:val="000000" w:themeColor="text1"/>
          <w:szCs w:val="22"/>
        </w:rPr>
        <w:t>penále. Ke snížení prominuté částky sice došlo, ale nelze konstatovat, že je oblast správy odvodů za porušen</w:t>
      </w:r>
      <w:r w:rsidR="00654C3C">
        <w:rPr>
          <w:rFonts w:cs="Arial"/>
          <w:color w:val="000000" w:themeColor="text1"/>
          <w:szCs w:val="22"/>
        </w:rPr>
        <w:t>í rozpočtové kázně hospodárná a </w:t>
      </w:r>
      <w:r w:rsidRPr="008365B9">
        <w:rPr>
          <w:rFonts w:cs="Arial"/>
          <w:color w:val="000000" w:themeColor="text1"/>
          <w:szCs w:val="22"/>
        </w:rPr>
        <w:t>efektivní.</w:t>
      </w:r>
    </w:p>
    <w:p w14:paraId="532B2F67" w14:textId="77777777" w:rsidR="008365B9" w:rsidRPr="008365B9" w:rsidRDefault="008365B9" w:rsidP="008365B9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F68" w14:textId="77777777" w:rsidR="00A63E64" w:rsidRDefault="00A63E64" w:rsidP="008365B9">
      <w:pPr>
        <w:spacing w:after="0" w:line="240" w:lineRule="auto"/>
        <w:rPr>
          <w:rFonts w:cs="Arial"/>
          <w:color w:val="000000" w:themeColor="text1"/>
          <w:szCs w:val="22"/>
        </w:rPr>
      </w:pPr>
      <w:r w:rsidRPr="008365B9">
        <w:rPr>
          <w:rFonts w:cs="Arial"/>
          <w:color w:val="000000" w:themeColor="text1"/>
          <w:szCs w:val="22"/>
        </w:rPr>
        <w:t>Celý systém je stále zatížen velkou administrativní náročností zatěžu</w:t>
      </w:r>
      <w:r w:rsidR="00654C3C">
        <w:rPr>
          <w:rFonts w:cs="Arial"/>
          <w:color w:val="000000" w:themeColor="text1"/>
          <w:szCs w:val="22"/>
        </w:rPr>
        <w:t>jící nejen státní správu, ale i </w:t>
      </w:r>
      <w:r w:rsidRPr="008365B9">
        <w:rPr>
          <w:rFonts w:cs="Arial"/>
          <w:color w:val="000000" w:themeColor="text1"/>
          <w:szCs w:val="22"/>
        </w:rPr>
        <w:t xml:space="preserve">samotné příjemce dotací. </w:t>
      </w:r>
      <w:r w:rsidR="00514676">
        <w:rPr>
          <w:rFonts w:cs="Arial"/>
          <w:color w:val="000000" w:themeColor="text1"/>
          <w:szCs w:val="22"/>
        </w:rPr>
        <w:t xml:space="preserve">Duplicitní kontroly, vyměřování </w:t>
      </w:r>
      <w:r w:rsidR="00654C3C">
        <w:rPr>
          <w:rFonts w:cs="Arial"/>
          <w:color w:val="000000" w:themeColor="text1"/>
          <w:szCs w:val="22"/>
        </w:rPr>
        <w:t>odvodu a </w:t>
      </w:r>
      <w:r w:rsidRPr="008365B9">
        <w:rPr>
          <w:rFonts w:cs="Arial"/>
          <w:color w:val="000000" w:themeColor="text1"/>
          <w:szCs w:val="22"/>
        </w:rPr>
        <w:t>penále,</w:t>
      </w:r>
      <w:r w:rsidR="00654C3C">
        <w:rPr>
          <w:rFonts w:cs="Arial"/>
          <w:color w:val="000000" w:themeColor="text1"/>
          <w:szCs w:val="22"/>
        </w:rPr>
        <w:t xml:space="preserve"> sledování úhrady, stanoviska a vyjádření k žádost</w:t>
      </w:r>
      <w:r w:rsidR="00514676">
        <w:rPr>
          <w:rFonts w:cs="Arial"/>
          <w:color w:val="000000" w:themeColor="text1"/>
          <w:szCs w:val="22"/>
        </w:rPr>
        <w:t>em</w:t>
      </w:r>
      <w:r w:rsidR="00654C3C">
        <w:rPr>
          <w:rFonts w:cs="Arial"/>
          <w:color w:val="000000" w:themeColor="text1"/>
          <w:szCs w:val="22"/>
        </w:rPr>
        <w:t xml:space="preserve"> o prominutí, rozhodování o </w:t>
      </w:r>
      <w:r w:rsidRPr="008365B9">
        <w:rPr>
          <w:rFonts w:cs="Arial"/>
          <w:color w:val="000000" w:themeColor="text1"/>
          <w:szCs w:val="22"/>
        </w:rPr>
        <w:t xml:space="preserve">posečkání platby, návrhy předkládané komisi, doporučení komise </w:t>
      </w:r>
      <w:r w:rsidR="00514676">
        <w:rPr>
          <w:rFonts w:cs="Arial"/>
          <w:color w:val="000000" w:themeColor="text1"/>
          <w:szCs w:val="22"/>
        </w:rPr>
        <w:t>a </w:t>
      </w:r>
      <w:r w:rsidRPr="008365B9">
        <w:rPr>
          <w:rFonts w:cs="Arial"/>
          <w:color w:val="000000" w:themeColor="text1"/>
          <w:szCs w:val="22"/>
        </w:rPr>
        <w:t>konečné rozhodování o</w:t>
      </w:r>
      <w:r w:rsidR="00677457" w:rsidRPr="008365B9">
        <w:rPr>
          <w:rFonts w:cs="Arial"/>
          <w:color w:val="000000" w:themeColor="text1"/>
          <w:szCs w:val="22"/>
        </w:rPr>
        <w:t> </w:t>
      </w:r>
      <w:r w:rsidR="00654C3C">
        <w:rPr>
          <w:rFonts w:cs="Arial"/>
          <w:color w:val="000000" w:themeColor="text1"/>
          <w:szCs w:val="22"/>
        </w:rPr>
        <w:t>prominutí</w:t>
      </w:r>
      <w:r w:rsidR="00514676">
        <w:rPr>
          <w:rFonts w:cs="Arial"/>
          <w:color w:val="000000" w:themeColor="text1"/>
          <w:szCs w:val="22"/>
        </w:rPr>
        <w:t xml:space="preserve"> představují </w:t>
      </w:r>
      <w:r w:rsidRPr="008365B9">
        <w:rPr>
          <w:rFonts w:cs="Arial"/>
          <w:color w:val="000000" w:themeColor="text1"/>
          <w:szCs w:val="22"/>
        </w:rPr>
        <w:t>velice zdlouhav</w:t>
      </w:r>
      <w:r w:rsidR="00514676">
        <w:rPr>
          <w:rFonts w:cs="Arial"/>
          <w:color w:val="000000" w:themeColor="text1"/>
          <w:szCs w:val="22"/>
        </w:rPr>
        <w:t>é</w:t>
      </w:r>
      <w:r w:rsidRPr="008365B9">
        <w:rPr>
          <w:rFonts w:cs="Arial"/>
          <w:color w:val="000000" w:themeColor="text1"/>
          <w:szCs w:val="22"/>
        </w:rPr>
        <w:t xml:space="preserve"> a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finančně i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personálně náročn</w:t>
      </w:r>
      <w:r w:rsidR="00514676">
        <w:rPr>
          <w:rFonts w:cs="Arial"/>
          <w:color w:val="000000" w:themeColor="text1"/>
          <w:szCs w:val="22"/>
        </w:rPr>
        <w:t>é</w:t>
      </w:r>
      <w:r w:rsidRPr="008365B9">
        <w:rPr>
          <w:rFonts w:cs="Arial"/>
          <w:color w:val="000000" w:themeColor="text1"/>
          <w:szCs w:val="22"/>
        </w:rPr>
        <w:t xml:space="preserve"> proces</w:t>
      </w:r>
      <w:r w:rsidR="00514676">
        <w:rPr>
          <w:rFonts w:cs="Arial"/>
          <w:color w:val="000000" w:themeColor="text1"/>
          <w:szCs w:val="22"/>
        </w:rPr>
        <w:t>y</w:t>
      </w:r>
      <w:r w:rsidRPr="008365B9">
        <w:rPr>
          <w:rFonts w:cs="Arial"/>
          <w:color w:val="000000" w:themeColor="text1"/>
          <w:szCs w:val="22"/>
        </w:rPr>
        <w:t xml:space="preserve">. </w:t>
      </w:r>
      <w:r w:rsidR="0087044A" w:rsidRPr="008365B9">
        <w:rPr>
          <w:rFonts w:cs="Arial"/>
          <w:color w:val="000000" w:themeColor="text1"/>
          <w:szCs w:val="22"/>
        </w:rPr>
        <w:t xml:space="preserve">Právní nejistota </w:t>
      </w:r>
      <w:r w:rsidR="0087044A" w:rsidRPr="008365B9">
        <w:rPr>
          <w:rFonts w:cs="Arial"/>
          <w:color w:val="000000" w:themeColor="text1"/>
          <w:szCs w:val="22"/>
        </w:rPr>
        <w:lastRenderedPageBreak/>
        <w:t xml:space="preserve">příjemců dotací </w:t>
      </w:r>
      <w:r w:rsidR="00514676">
        <w:rPr>
          <w:rFonts w:cs="Arial"/>
          <w:color w:val="000000" w:themeColor="text1"/>
          <w:szCs w:val="22"/>
        </w:rPr>
        <w:t xml:space="preserve">ve věci </w:t>
      </w:r>
      <w:r w:rsidR="0087044A" w:rsidRPr="008365B9">
        <w:rPr>
          <w:rFonts w:cs="Arial"/>
          <w:color w:val="000000" w:themeColor="text1"/>
          <w:szCs w:val="22"/>
        </w:rPr>
        <w:t>rozhodnutí o</w:t>
      </w:r>
      <w:r w:rsidR="00654C3C">
        <w:rPr>
          <w:rFonts w:cs="Arial"/>
          <w:color w:val="000000" w:themeColor="text1"/>
          <w:szCs w:val="22"/>
        </w:rPr>
        <w:t> </w:t>
      </w:r>
      <w:r w:rsidR="0087044A" w:rsidRPr="008365B9">
        <w:rPr>
          <w:rFonts w:cs="Arial"/>
          <w:color w:val="000000" w:themeColor="text1"/>
          <w:szCs w:val="22"/>
        </w:rPr>
        <w:t>jejich žádosti o prominutí (</w:t>
      </w:r>
      <w:r w:rsidR="00514676">
        <w:rPr>
          <w:rFonts w:cs="Arial"/>
          <w:color w:val="000000" w:themeColor="text1"/>
          <w:szCs w:val="22"/>
        </w:rPr>
        <w:t xml:space="preserve">kdy čekací doba dosahuje </w:t>
      </w:r>
      <w:r w:rsidR="0087044A" w:rsidRPr="008365B9">
        <w:rPr>
          <w:rFonts w:cs="Arial"/>
          <w:color w:val="000000" w:themeColor="text1"/>
          <w:szCs w:val="22"/>
        </w:rPr>
        <w:t xml:space="preserve">téměř půl roku) může mít výrazně negativní dopad </w:t>
      </w:r>
      <w:r w:rsidR="00514676">
        <w:rPr>
          <w:rFonts w:cs="Arial"/>
          <w:color w:val="000000" w:themeColor="text1"/>
          <w:szCs w:val="22"/>
        </w:rPr>
        <w:t>na</w:t>
      </w:r>
      <w:r w:rsidR="0087044A" w:rsidRPr="008365B9">
        <w:rPr>
          <w:rFonts w:cs="Arial"/>
          <w:color w:val="000000" w:themeColor="text1"/>
          <w:szCs w:val="22"/>
        </w:rPr>
        <w:t xml:space="preserve"> jejich činnost.</w:t>
      </w:r>
    </w:p>
    <w:p w14:paraId="532B2F69" w14:textId="77777777" w:rsidR="008365B9" w:rsidRPr="008365B9" w:rsidRDefault="008365B9" w:rsidP="008365B9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F6A" w14:textId="77777777" w:rsidR="00A63E64" w:rsidRDefault="00A63E64" w:rsidP="008365B9">
      <w:pPr>
        <w:spacing w:after="0" w:line="240" w:lineRule="auto"/>
        <w:rPr>
          <w:rFonts w:cs="Arial"/>
          <w:color w:val="000000" w:themeColor="text1"/>
          <w:szCs w:val="22"/>
        </w:rPr>
      </w:pPr>
      <w:r w:rsidRPr="008365B9">
        <w:rPr>
          <w:rFonts w:cs="Arial"/>
          <w:color w:val="000000" w:themeColor="text1"/>
          <w:szCs w:val="22"/>
        </w:rPr>
        <w:t>Podle zákona č.</w:t>
      </w:r>
      <w:r w:rsidR="00654C3C">
        <w:rPr>
          <w:rFonts w:cs="Arial"/>
          <w:color w:val="000000" w:themeColor="text1"/>
          <w:szCs w:val="22"/>
        </w:rPr>
        <w:t> 218/2000 Sb. lze odvod a </w:t>
      </w:r>
      <w:r w:rsidRPr="008365B9">
        <w:rPr>
          <w:rFonts w:cs="Arial"/>
          <w:color w:val="000000" w:themeColor="text1"/>
          <w:szCs w:val="22"/>
        </w:rPr>
        <w:t xml:space="preserve">penále prominout </w:t>
      </w:r>
      <w:r w:rsidR="00514676">
        <w:rPr>
          <w:rFonts w:cs="Arial"/>
          <w:color w:val="000000" w:themeColor="text1"/>
          <w:szCs w:val="22"/>
        </w:rPr>
        <w:t>„</w:t>
      </w:r>
      <w:r w:rsidRPr="0063098E">
        <w:rPr>
          <w:rFonts w:cs="Arial"/>
          <w:i/>
          <w:color w:val="000000" w:themeColor="text1"/>
          <w:szCs w:val="22"/>
        </w:rPr>
        <w:t>z</w:t>
      </w:r>
      <w:r w:rsidR="00654C3C" w:rsidRPr="0063098E">
        <w:rPr>
          <w:rFonts w:cs="Arial"/>
          <w:i/>
          <w:color w:val="000000" w:themeColor="text1"/>
          <w:szCs w:val="22"/>
        </w:rPr>
        <w:t> </w:t>
      </w:r>
      <w:r w:rsidRPr="0063098E">
        <w:rPr>
          <w:rFonts w:cs="Arial"/>
          <w:i/>
          <w:color w:val="000000" w:themeColor="text1"/>
          <w:szCs w:val="22"/>
        </w:rPr>
        <w:t>důvod</w:t>
      </w:r>
      <w:r w:rsidR="00514676" w:rsidRPr="0063098E">
        <w:rPr>
          <w:rFonts w:cs="Arial"/>
          <w:i/>
          <w:color w:val="000000" w:themeColor="text1"/>
          <w:szCs w:val="22"/>
        </w:rPr>
        <w:t>ů</w:t>
      </w:r>
      <w:r w:rsidRPr="0063098E">
        <w:rPr>
          <w:rFonts w:cs="Arial"/>
          <w:i/>
          <w:color w:val="000000" w:themeColor="text1"/>
          <w:szCs w:val="22"/>
        </w:rPr>
        <w:t xml:space="preserve"> hodných zvláštního zřetele</w:t>
      </w:r>
      <w:r w:rsidR="00514676">
        <w:rPr>
          <w:rFonts w:cs="Arial"/>
          <w:color w:val="000000" w:themeColor="text1"/>
          <w:szCs w:val="22"/>
        </w:rPr>
        <w:t>“</w:t>
      </w:r>
      <w:r w:rsidRPr="008365B9">
        <w:rPr>
          <w:rFonts w:cs="Arial"/>
          <w:color w:val="000000" w:themeColor="text1"/>
          <w:szCs w:val="22"/>
        </w:rPr>
        <w:t>. Stále vysoké proce</w:t>
      </w:r>
      <w:r w:rsidR="00654C3C">
        <w:rPr>
          <w:rFonts w:cs="Arial"/>
          <w:color w:val="000000" w:themeColor="text1"/>
          <w:szCs w:val="22"/>
        </w:rPr>
        <w:t>nto prominutého objemu odvod</w:t>
      </w:r>
      <w:r w:rsidR="00514676">
        <w:rPr>
          <w:rFonts w:cs="Arial"/>
          <w:color w:val="000000" w:themeColor="text1"/>
          <w:szCs w:val="22"/>
        </w:rPr>
        <w:t>ů</w:t>
      </w:r>
      <w:r w:rsidR="00654C3C">
        <w:rPr>
          <w:rFonts w:cs="Arial"/>
          <w:color w:val="000000" w:themeColor="text1"/>
          <w:szCs w:val="22"/>
        </w:rPr>
        <w:t xml:space="preserve"> a </w:t>
      </w:r>
      <w:r w:rsidRPr="008365B9">
        <w:rPr>
          <w:rFonts w:cs="Arial"/>
          <w:color w:val="000000" w:themeColor="text1"/>
          <w:szCs w:val="22"/>
        </w:rPr>
        <w:t>penále svědčí o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tom, že je nutn</w:t>
      </w:r>
      <w:r w:rsidR="00514676">
        <w:rPr>
          <w:rFonts w:cs="Arial"/>
          <w:color w:val="000000" w:themeColor="text1"/>
          <w:szCs w:val="22"/>
        </w:rPr>
        <w:t>é</w:t>
      </w:r>
      <w:r w:rsidRPr="008365B9">
        <w:rPr>
          <w:rFonts w:cs="Arial"/>
          <w:color w:val="000000" w:themeColor="text1"/>
          <w:szCs w:val="22"/>
        </w:rPr>
        <w:t xml:space="preserve"> přehodnotit sankční ustanovení v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zákoně č.</w:t>
      </w:r>
      <w:r w:rsidR="00654C3C">
        <w:rPr>
          <w:rFonts w:cs="Arial"/>
          <w:color w:val="000000" w:themeColor="text1"/>
          <w:szCs w:val="22"/>
        </w:rPr>
        <w:t> 218/2000 Sb. a </w:t>
      </w:r>
      <w:r w:rsidRPr="008365B9">
        <w:rPr>
          <w:rFonts w:cs="Arial"/>
          <w:color w:val="000000" w:themeColor="text1"/>
          <w:szCs w:val="22"/>
        </w:rPr>
        <w:t>zároveň precizněji rozlišit závažnost pochybení.</w:t>
      </w:r>
    </w:p>
    <w:p w14:paraId="532B2F6B" w14:textId="77777777" w:rsidR="008365B9" w:rsidRPr="008365B9" w:rsidRDefault="008365B9" w:rsidP="008365B9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F6C" w14:textId="77777777" w:rsidR="00A63E64" w:rsidRDefault="00A63E64" w:rsidP="008365B9">
      <w:pPr>
        <w:spacing w:after="0" w:line="240" w:lineRule="auto"/>
        <w:rPr>
          <w:rFonts w:cs="Arial"/>
          <w:color w:val="000000" w:themeColor="text1"/>
          <w:szCs w:val="22"/>
        </w:rPr>
      </w:pPr>
      <w:r w:rsidRPr="008365B9">
        <w:rPr>
          <w:rFonts w:cs="Arial"/>
          <w:color w:val="000000" w:themeColor="text1"/>
          <w:szCs w:val="22"/>
        </w:rPr>
        <w:t xml:space="preserve">Přijaté novely dotčených právních předpisů jsou dílčími změnami, které </w:t>
      </w:r>
      <w:r w:rsidR="00514676">
        <w:rPr>
          <w:rFonts w:cs="Arial"/>
          <w:color w:val="000000" w:themeColor="text1"/>
          <w:szCs w:val="22"/>
        </w:rPr>
        <w:t>nemají zásadní vliv</w:t>
      </w:r>
      <w:r w:rsidRPr="008365B9">
        <w:rPr>
          <w:rFonts w:cs="Arial"/>
          <w:color w:val="000000" w:themeColor="text1"/>
          <w:szCs w:val="22"/>
        </w:rPr>
        <w:t xml:space="preserve"> na oblast vyměř</w:t>
      </w:r>
      <w:r w:rsidR="00514676">
        <w:rPr>
          <w:rFonts w:cs="Arial"/>
          <w:color w:val="000000" w:themeColor="text1"/>
          <w:szCs w:val="22"/>
        </w:rPr>
        <w:t>ová</w:t>
      </w:r>
      <w:r w:rsidRPr="008365B9">
        <w:rPr>
          <w:rFonts w:cs="Arial"/>
          <w:color w:val="000000" w:themeColor="text1"/>
          <w:szCs w:val="22"/>
        </w:rPr>
        <w:t>ní odvod</w:t>
      </w:r>
      <w:r w:rsidR="00514676">
        <w:rPr>
          <w:rFonts w:cs="Arial"/>
          <w:color w:val="000000" w:themeColor="text1"/>
          <w:szCs w:val="22"/>
        </w:rPr>
        <w:t>ů</w:t>
      </w:r>
      <w:r w:rsidRPr="008365B9">
        <w:rPr>
          <w:rFonts w:cs="Arial"/>
          <w:color w:val="000000" w:themeColor="text1"/>
          <w:szCs w:val="22"/>
        </w:rPr>
        <w:t xml:space="preserve"> a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následné promíjení</w:t>
      </w:r>
      <w:r w:rsidR="00514676">
        <w:rPr>
          <w:rFonts w:cs="Arial"/>
          <w:color w:val="000000" w:themeColor="text1"/>
          <w:szCs w:val="22"/>
        </w:rPr>
        <w:t>,</w:t>
      </w:r>
      <w:r w:rsidRPr="008365B9">
        <w:rPr>
          <w:rFonts w:cs="Arial"/>
          <w:color w:val="000000" w:themeColor="text1"/>
          <w:szCs w:val="22"/>
        </w:rPr>
        <w:t xml:space="preserve"> a</w:t>
      </w:r>
      <w:r w:rsidR="00654C3C">
        <w:rPr>
          <w:rFonts w:cs="Arial"/>
          <w:color w:val="000000" w:themeColor="text1"/>
          <w:szCs w:val="22"/>
        </w:rPr>
        <w:t> tedy nevedou k </w:t>
      </w:r>
      <w:r w:rsidRPr="008365B9">
        <w:rPr>
          <w:rFonts w:cs="Arial"/>
          <w:color w:val="000000" w:themeColor="text1"/>
          <w:szCs w:val="22"/>
        </w:rPr>
        <w:t>zefektivnění správy odvodů za porušení rozpočtové kázně. Zvýšený výnos je důsledk</w:t>
      </w:r>
      <w:r w:rsidR="008365B9">
        <w:rPr>
          <w:rFonts w:cs="Arial"/>
          <w:color w:val="000000" w:themeColor="text1"/>
          <w:szCs w:val="22"/>
        </w:rPr>
        <w:t>em přísnějšího rozhodování GFŘ.</w:t>
      </w:r>
    </w:p>
    <w:p w14:paraId="532B2F6D" w14:textId="77777777" w:rsidR="008365B9" w:rsidRPr="008365B9" w:rsidRDefault="008365B9" w:rsidP="008365B9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F6E" w14:textId="77777777" w:rsidR="00A63E64" w:rsidRDefault="00A63E64" w:rsidP="008365B9">
      <w:pPr>
        <w:spacing w:after="0" w:line="240" w:lineRule="auto"/>
        <w:rPr>
          <w:rFonts w:cs="Arial"/>
          <w:color w:val="000000" w:themeColor="text1"/>
          <w:szCs w:val="22"/>
        </w:rPr>
      </w:pPr>
      <w:r w:rsidRPr="008365B9">
        <w:rPr>
          <w:rFonts w:cs="Arial"/>
          <w:color w:val="000000" w:themeColor="text1"/>
          <w:szCs w:val="22"/>
        </w:rPr>
        <w:t>Uvádění méně závažných porušení rozpočtové kázně je i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nadále na vůli poskytovatelů dotací</w:t>
      </w:r>
      <w:r w:rsidR="00514676">
        <w:rPr>
          <w:rFonts w:cs="Arial"/>
          <w:color w:val="000000" w:themeColor="text1"/>
          <w:szCs w:val="22"/>
        </w:rPr>
        <w:t>.</w:t>
      </w:r>
      <w:r w:rsidRPr="008365B9">
        <w:rPr>
          <w:rFonts w:cs="Arial"/>
          <w:color w:val="000000" w:themeColor="text1"/>
          <w:szCs w:val="22"/>
        </w:rPr>
        <w:t xml:space="preserve"> </w:t>
      </w:r>
      <w:r w:rsidR="00514676">
        <w:rPr>
          <w:rFonts w:cs="Arial"/>
          <w:color w:val="000000" w:themeColor="text1"/>
          <w:szCs w:val="22"/>
        </w:rPr>
        <w:t>„D</w:t>
      </w:r>
      <w:r w:rsidRPr="008365B9">
        <w:rPr>
          <w:rFonts w:cs="Arial"/>
          <w:color w:val="000000" w:themeColor="text1"/>
          <w:szCs w:val="22"/>
        </w:rPr>
        <w:t>ůvody hodné zvláštního zřetele</w:t>
      </w:r>
      <w:r w:rsidR="00514676">
        <w:rPr>
          <w:rFonts w:cs="Arial"/>
          <w:color w:val="000000" w:themeColor="text1"/>
          <w:szCs w:val="22"/>
        </w:rPr>
        <w:t>“</w:t>
      </w:r>
      <w:r w:rsidRPr="008365B9">
        <w:rPr>
          <w:rFonts w:cs="Arial"/>
          <w:color w:val="000000" w:themeColor="text1"/>
          <w:szCs w:val="22"/>
        </w:rPr>
        <w:t xml:space="preserve"> nebyly definovány v </w:t>
      </w:r>
      <w:r w:rsidR="00514676">
        <w:rPr>
          <w:rFonts w:cs="Arial"/>
          <w:color w:val="000000" w:themeColor="text1"/>
          <w:szCs w:val="22"/>
        </w:rPr>
        <w:t xml:space="preserve">žádném </w:t>
      </w:r>
      <w:r w:rsidRPr="008365B9">
        <w:rPr>
          <w:rFonts w:cs="Arial"/>
          <w:color w:val="000000" w:themeColor="text1"/>
          <w:szCs w:val="22"/>
        </w:rPr>
        <w:t>právním předpisu. Přetrvává situace, kdy jsou zobecněny typy porušení rozpočtové kázně a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u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nich je stanoveno procento prominutí nebo neprominutí. Za současného stavu je promíjení odvodů a</w:t>
      </w:r>
      <w:r w:rsidR="00654C3C">
        <w:rPr>
          <w:rFonts w:cs="Arial"/>
          <w:color w:val="000000" w:themeColor="text1"/>
          <w:szCs w:val="22"/>
        </w:rPr>
        <w:t> </w:t>
      </w:r>
      <w:r w:rsidRPr="008365B9">
        <w:rPr>
          <w:rFonts w:cs="Arial"/>
          <w:color w:val="000000" w:themeColor="text1"/>
          <w:szCs w:val="22"/>
        </w:rPr>
        <w:t>pe</w:t>
      </w:r>
      <w:r w:rsidR="008365B9">
        <w:rPr>
          <w:rFonts w:cs="Arial"/>
          <w:color w:val="000000" w:themeColor="text1"/>
          <w:szCs w:val="22"/>
        </w:rPr>
        <w:t>nále obtížně kontrolovatelné.</w:t>
      </w:r>
    </w:p>
    <w:p w14:paraId="532B2F6F" w14:textId="77777777" w:rsidR="008365B9" w:rsidRPr="008365B9" w:rsidRDefault="008365B9" w:rsidP="008365B9">
      <w:pPr>
        <w:spacing w:after="0" w:line="240" w:lineRule="auto"/>
        <w:rPr>
          <w:rFonts w:cs="Arial"/>
          <w:color w:val="000000" w:themeColor="text1"/>
          <w:szCs w:val="22"/>
        </w:rPr>
      </w:pPr>
    </w:p>
    <w:p w14:paraId="532B2F70" w14:textId="17D71C63" w:rsidR="007600F7" w:rsidRPr="008365B9" w:rsidRDefault="00A63E64" w:rsidP="008365B9">
      <w:pPr>
        <w:spacing w:after="0" w:line="240" w:lineRule="auto"/>
        <w:rPr>
          <w:rFonts w:cs="Arial"/>
          <w:color w:val="000000" w:themeColor="text1"/>
          <w:szCs w:val="22"/>
        </w:rPr>
      </w:pPr>
      <w:r w:rsidRPr="008365B9">
        <w:rPr>
          <w:rFonts w:cs="Arial"/>
          <w:color w:val="000000" w:themeColor="text1"/>
          <w:szCs w:val="22"/>
        </w:rPr>
        <w:t xml:space="preserve">Transparentnost </w:t>
      </w:r>
      <w:r w:rsidR="00514676">
        <w:rPr>
          <w:rFonts w:cs="Arial"/>
          <w:color w:val="000000" w:themeColor="text1"/>
          <w:szCs w:val="22"/>
        </w:rPr>
        <w:t xml:space="preserve">procesu </w:t>
      </w:r>
      <w:r w:rsidRPr="008365B9">
        <w:rPr>
          <w:rFonts w:cs="Arial"/>
          <w:color w:val="000000" w:themeColor="text1"/>
          <w:szCs w:val="22"/>
        </w:rPr>
        <w:t xml:space="preserve">promíjení </w:t>
      </w:r>
      <w:r w:rsidR="00514676">
        <w:rPr>
          <w:rFonts w:cs="Arial"/>
          <w:color w:val="000000" w:themeColor="text1"/>
          <w:szCs w:val="22"/>
        </w:rPr>
        <w:t xml:space="preserve">odvodů a penále </w:t>
      </w:r>
      <w:r w:rsidRPr="008365B9">
        <w:rPr>
          <w:rFonts w:cs="Arial"/>
          <w:color w:val="000000" w:themeColor="text1"/>
          <w:szCs w:val="22"/>
        </w:rPr>
        <w:t>byla zvýšena jen omezeně</w:t>
      </w:r>
      <w:r w:rsidR="00514676">
        <w:rPr>
          <w:rFonts w:cs="Arial"/>
          <w:color w:val="000000" w:themeColor="text1"/>
          <w:szCs w:val="22"/>
        </w:rPr>
        <w:t>.</w:t>
      </w:r>
      <w:r w:rsidRPr="008365B9">
        <w:rPr>
          <w:rFonts w:cs="Arial"/>
          <w:color w:val="000000" w:themeColor="text1"/>
          <w:szCs w:val="22"/>
        </w:rPr>
        <w:t xml:space="preserve"> </w:t>
      </w:r>
      <w:r w:rsidR="00514676">
        <w:rPr>
          <w:rFonts w:cs="Arial"/>
          <w:color w:val="000000" w:themeColor="text1"/>
          <w:szCs w:val="22"/>
        </w:rPr>
        <w:t>N</w:t>
      </w:r>
      <w:r w:rsidRPr="008365B9">
        <w:rPr>
          <w:rFonts w:cs="Arial"/>
          <w:color w:val="000000" w:themeColor="text1"/>
          <w:szCs w:val="22"/>
        </w:rPr>
        <w:t xml:space="preserve">egativně </w:t>
      </w:r>
      <w:r w:rsidR="00514676">
        <w:rPr>
          <w:rFonts w:cs="Arial"/>
          <w:color w:val="000000" w:themeColor="text1"/>
          <w:szCs w:val="22"/>
        </w:rPr>
        <w:t>ji ovlivňuje</w:t>
      </w:r>
      <w:r w:rsidRPr="008365B9">
        <w:rPr>
          <w:rFonts w:cs="Arial"/>
          <w:color w:val="000000" w:themeColor="text1"/>
          <w:szCs w:val="22"/>
        </w:rPr>
        <w:t xml:space="preserve"> </w:t>
      </w:r>
      <w:r w:rsidR="00042CDA" w:rsidRPr="008365B9">
        <w:rPr>
          <w:rFonts w:cs="Arial"/>
          <w:color w:val="000000" w:themeColor="text1"/>
          <w:szCs w:val="22"/>
        </w:rPr>
        <w:t>fakt, že doporučení komise ne</w:t>
      </w:r>
      <w:r w:rsidR="00D11397">
        <w:rPr>
          <w:rFonts w:cs="Arial"/>
          <w:color w:val="000000" w:themeColor="text1"/>
          <w:szCs w:val="22"/>
        </w:rPr>
        <w:t>jsou</w:t>
      </w:r>
      <w:r w:rsidR="00042CDA" w:rsidRPr="008365B9">
        <w:rPr>
          <w:rFonts w:cs="Arial"/>
          <w:color w:val="000000" w:themeColor="text1"/>
          <w:szCs w:val="22"/>
        </w:rPr>
        <w:t xml:space="preserve"> odůvod</w:t>
      </w:r>
      <w:r w:rsidR="00881A17">
        <w:rPr>
          <w:rFonts w:cs="Arial"/>
          <w:color w:val="000000" w:themeColor="text1"/>
          <w:szCs w:val="22"/>
        </w:rPr>
        <w:t>ňována,</w:t>
      </w:r>
      <w:r w:rsidR="00042CDA" w:rsidRPr="008365B9">
        <w:rPr>
          <w:rFonts w:cs="Arial"/>
          <w:color w:val="000000" w:themeColor="text1"/>
          <w:szCs w:val="22"/>
        </w:rPr>
        <w:t xml:space="preserve"> a</w:t>
      </w:r>
      <w:r w:rsidR="00654C3C">
        <w:rPr>
          <w:rFonts w:cs="Arial"/>
          <w:color w:val="000000" w:themeColor="text1"/>
          <w:szCs w:val="22"/>
        </w:rPr>
        <w:t> </w:t>
      </w:r>
      <w:r w:rsidR="00042CDA" w:rsidRPr="008365B9">
        <w:rPr>
          <w:rFonts w:cs="Arial"/>
          <w:color w:val="000000" w:themeColor="text1"/>
          <w:szCs w:val="22"/>
        </w:rPr>
        <w:t xml:space="preserve">dále skutečnost, že ani důvody pro prominutí </w:t>
      </w:r>
      <w:r w:rsidR="00881A17">
        <w:rPr>
          <w:rFonts w:cs="Arial"/>
          <w:color w:val="000000" w:themeColor="text1"/>
          <w:szCs w:val="22"/>
        </w:rPr>
        <w:t>dosud nebyly</w:t>
      </w:r>
      <w:r w:rsidR="00042CDA" w:rsidRPr="008365B9">
        <w:rPr>
          <w:rFonts w:cs="Arial"/>
          <w:color w:val="000000" w:themeColor="text1"/>
          <w:szCs w:val="22"/>
        </w:rPr>
        <w:t xml:space="preserve"> přesně definov</w:t>
      </w:r>
      <w:bookmarkStart w:id="32" w:name="_GoBack"/>
      <w:bookmarkEnd w:id="32"/>
      <w:r w:rsidR="00042CDA" w:rsidRPr="008365B9">
        <w:rPr>
          <w:rFonts w:cs="Arial"/>
          <w:color w:val="000000" w:themeColor="text1"/>
          <w:szCs w:val="22"/>
        </w:rPr>
        <w:t>ány.</w:t>
      </w:r>
    </w:p>
    <w:sectPr w:rsidR="007600F7" w:rsidRPr="008365B9" w:rsidSect="007241D6">
      <w:footerReference w:type="default" r:id="rId13"/>
      <w:pgSz w:w="11905" w:h="16837"/>
      <w:pgMar w:top="1418" w:right="1418" w:bottom="1418" w:left="1418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2F75" w14:textId="77777777" w:rsidR="0063098E" w:rsidRDefault="0063098E" w:rsidP="00A63E64">
      <w:pPr>
        <w:spacing w:after="0" w:line="240" w:lineRule="auto"/>
      </w:pPr>
      <w:r>
        <w:separator/>
      </w:r>
    </w:p>
  </w:endnote>
  <w:endnote w:type="continuationSeparator" w:id="0">
    <w:p w14:paraId="532B2F76" w14:textId="77777777" w:rsidR="0063098E" w:rsidRDefault="0063098E" w:rsidP="00A6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B2F77" w14:textId="77777777" w:rsidR="0063098E" w:rsidRDefault="0063098E" w:rsidP="007241D6">
    <w:pPr>
      <w:pStyle w:val="Zpat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D1139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2F73" w14:textId="77777777" w:rsidR="0063098E" w:rsidRDefault="0063098E" w:rsidP="00A63E64">
      <w:pPr>
        <w:spacing w:after="0" w:line="240" w:lineRule="auto"/>
      </w:pPr>
      <w:r>
        <w:separator/>
      </w:r>
    </w:p>
  </w:footnote>
  <w:footnote w:type="continuationSeparator" w:id="0">
    <w:p w14:paraId="532B2F74" w14:textId="77777777" w:rsidR="0063098E" w:rsidRDefault="0063098E" w:rsidP="00A63E64">
      <w:pPr>
        <w:spacing w:after="0" w:line="240" w:lineRule="auto"/>
      </w:pPr>
      <w:r>
        <w:continuationSeparator/>
      </w:r>
    </w:p>
  </w:footnote>
  <w:footnote w:id="1">
    <w:p w14:paraId="532B2F78" w14:textId="77777777" w:rsidR="0063098E" w:rsidRPr="00D15743" w:rsidRDefault="0063098E" w:rsidP="00A63E64">
      <w:pPr>
        <w:pStyle w:val="Textpoznpodarou"/>
        <w:spacing w:after="0" w:line="240" w:lineRule="auto"/>
        <w:ind w:left="284" w:hanging="284"/>
        <w:rPr>
          <w:rFonts w:cs="Arial"/>
          <w:sz w:val="18"/>
          <w:szCs w:val="18"/>
        </w:rPr>
      </w:pPr>
      <w:r w:rsidRPr="00D15743">
        <w:rPr>
          <w:rStyle w:val="Znakapoznpodarou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D15743">
        <w:rPr>
          <w:rFonts w:cs="Arial"/>
          <w:sz w:val="18"/>
          <w:szCs w:val="18"/>
        </w:rPr>
        <w:t>Zákon č. 280/2009 Sb., daňový řád</w:t>
      </w:r>
      <w:r>
        <w:rPr>
          <w:rFonts w:cs="Arial"/>
          <w:sz w:val="18"/>
          <w:szCs w:val="18"/>
        </w:rPr>
        <w:t>.</w:t>
      </w:r>
    </w:p>
  </w:footnote>
  <w:footnote w:id="2">
    <w:p w14:paraId="532B2F79" w14:textId="77777777" w:rsidR="0063098E" w:rsidRPr="008365B9" w:rsidRDefault="0063098E" w:rsidP="008365B9">
      <w:pPr>
        <w:pStyle w:val="Textpoznpodarou"/>
        <w:spacing w:after="0" w:line="240" w:lineRule="auto"/>
        <w:ind w:left="284" w:hanging="284"/>
        <w:rPr>
          <w:rFonts w:cs="Arial"/>
          <w:sz w:val="18"/>
          <w:szCs w:val="18"/>
        </w:rPr>
      </w:pPr>
      <w:r w:rsidRPr="008365B9">
        <w:rPr>
          <w:rStyle w:val="Znakapoznpodarou"/>
          <w:rFonts w:cs="Arial"/>
          <w:sz w:val="18"/>
          <w:szCs w:val="18"/>
        </w:rPr>
        <w:footnoteRef/>
      </w:r>
      <w:r w:rsidRPr="008365B9">
        <w:rPr>
          <w:rFonts w:cs="Arial"/>
          <w:sz w:val="18"/>
          <w:szCs w:val="18"/>
        </w:rPr>
        <w:tab/>
        <w:t>Zákon č. 218/2000 Sb., o rozpočtových pravidlech a</w:t>
      </w:r>
      <w:r>
        <w:rPr>
          <w:rFonts w:cs="Arial"/>
          <w:sz w:val="18"/>
          <w:szCs w:val="18"/>
        </w:rPr>
        <w:t> </w:t>
      </w:r>
      <w:r w:rsidRPr="008365B9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> </w:t>
      </w:r>
      <w:r w:rsidRPr="008365B9">
        <w:rPr>
          <w:rFonts w:cs="Arial"/>
          <w:sz w:val="18"/>
          <w:szCs w:val="18"/>
        </w:rPr>
        <w:t>změně některých souvisejících zákonů (rozpočtová pravidla).</w:t>
      </w:r>
    </w:p>
  </w:footnote>
  <w:footnote w:id="3">
    <w:p w14:paraId="532B2F7A" w14:textId="77777777" w:rsidR="0063098E" w:rsidRPr="008365B9" w:rsidRDefault="0063098E" w:rsidP="008365B9">
      <w:pPr>
        <w:pStyle w:val="Textpoznpodarou"/>
        <w:spacing w:after="0" w:line="240" w:lineRule="auto"/>
        <w:ind w:left="284" w:hanging="284"/>
        <w:rPr>
          <w:rFonts w:cs="Arial"/>
          <w:sz w:val="18"/>
          <w:szCs w:val="18"/>
        </w:rPr>
      </w:pPr>
      <w:r w:rsidRPr="008365B9">
        <w:rPr>
          <w:rStyle w:val="Znakapoznpodarou"/>
          <w:rFonts w:cs="Arial"/>
          <w:sz w:val="18"/>
          <w:szCs w:val="18"/>
        </w:rPr>
        <w:footnoteRef/>
      </w:r>
      <w:r w:rsidRPr="008365B9">
        <w:rPr>
          <w:rFonts w:cs="Arial"/>
          <w:sz w:val="18"/>
          <w:szCs w:val="18"/>
        </w:rPr>
        <w:tab/>
        <w:t>Zákon č. 320/2001 Sb., o finanční kontrole ve veřejné sprá</w:t>
      </w:r>
      <w:r>
        <w:rPr>
          <w:rFonts w:cs="Arial"/>
          <w:sz w:val="18"/>
          <w:szCs w:val="18"/>
        </w:rPr>
        <w:t>vě a o </w:t>
      </w:r>
      <w:r w:rsidRPr="008365B9">
        <w:rPr>
          <w:rFonts w:cs="Arial"/>
          <w:sz w:val="18"/>
          <w:szCs w:val="18"/>
        </w:rPr>
        <w:t>změně některých zákonů (zákon o</w:t>
      </w:r>
      <w:r>
        <w:rPr>
          <w:rFonts w:cs="Arial"/>
          <w:sz w:val="18"/>
          <w:szCs w:val="18"/>
        </w:rPr>
        <w:t> </w:t>
      </w:r>
      <w:r w:rsidRPr="008365B9">
        <w:rPr>
          <w:rFonts w:cs="Arial"/>
          <w:sz w:val="18"/>
          <w:szCs w:val="18"/>
        </w:rPr>
        <w:t>finanční kontrole).</w:t>
      </w:r>
    </w:p>
  </w:footnote>
  <w:footnote w:id="4">
    <w:p w14:paraId="532B2F7B" w14:textId="77777777" w:rsidR="0063098E" w:rsidRPr="00D15743" w:rsidRDefault="0063098E" w:rsidP="00A63E64">
      <w:pPr>
        <w:pStyle w:val="Textpoznpodarou"/>
        <w:spacing w:after="0" w:line="240" w:lineRule="auto"/>
        <w:ind w:left="284" w:hanging="284"/>
        <w:rPr>
          <w:sz w:val="18"/>
          <w:szCs w:val="18"/>
        </w:rPr>
      </w:pPr>
      <w:r w:rsidRPr="00D15743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D15743">
        <w:rPr>
          <w:sz w:val="18"/>
          <w:szCs w:val="18"/>
        </w:rPr>
        <w:t>Zákon č. 500/2004 Sb., správní řád</w:t>
      </w:r>
      <w:r>
        <w:rPr>
          <w:sz w:val="18"/>
          <w:szCs w:val="18"/>
        </w:rPr>
        <w:t>.</w:t>
      </w:r>
    </w:p>
  </w:footnote>
  <w:footnote w:id="5">
    <w:p w14:paraId="532B2F7C" w14:textId="77777777" w:rsidR="0063098E" w:rsidRPr="008365B9" w:rsidRDefault="0063098E" w:rsidP="008365B9">
      <w:pPr>
        <w:spacing w:after="0" w:line="240" w:lineRule="auto"/>
        <w:ind w:left="284" w:hanging="284"/>
        <w:rPr>
          <w:rFonts w:cs="Arial"/>
          <w:sz w:val="18"/>
          <w:szCs w:val="18"/>
        </w:rPr>
      </w:pPr>
      <w:r w:rsidRPr="008365B9">
        <w:rPr>
          <w:rStyle w:val="Znakapoznpodarou"/>
          <w:rFonts w:cs="Arial"/>
          <w:sz w:val="18"/>
          <w:szCs w:val="18"/>
        </w:rPr>
        <w:footnoteRef/>
      </w:r>
      <w:r w:rsidRPr="008365B9">
        <w:rPr>
          <w:rFonts w:cs="Arial"/>
          <w:sz w:val="18"/>
          <w:szCs w:val="18"/>
        </w:rPr>
        <w:tab/>
      </w:r>
      <w:r w:rsidRPr="0063098E">
        <w:rPr>
          <w:rFonts w:cs="Arial"/>
          <w:i/>
          <w:sz w:val="18"/>
          <w:szCs w:val="18"/>
        </w:rPr>
        <w:t>Akční plán pro zlepšení fungování řídících a kontrolních systémů pro strukturální fondy v České republice</w:t>
      </w:r>
      <w:r>
        <w:rPr>
          <w:rFonts w:cs="Arial"/>
          <w:sz w:val="18"/>
          <w:szCs w:val="18"/>
        </w:rPr>
        <w:t>,</w:t>
      </w:r>
      <w:r w:rsidRPr="008365B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</w:t>
      </w:r>
      <w:r w:rsidRPr="008365B9">
        <w:rPr>
          <w:rFonts w:cs="Arial"/>
          <w:sz w:val="18"/>
          <w:szCs w:val="18"/>
        </w:rPr>
        <w:t>ůvodová zpráva k návrhu novely zákona č. 218/2000 Sb.</w:t>
      </w:r>
    </w:p>
  </w:footnote>
  <w:footnote w:id="6">
    <w:p w14:paraId="532B2F7D" w14:textId="77777777" w:rsidR="0063098E" w:rsidRPr="008365B9" w:rsidRDefault="0063098E" w:rsidP="008365B9">
      <w:pPr>
        <w:spacing w:after="0" w:line="240" w:lineRule="auto"/>
        <w:ind w:left="284" w:hanging="284"/>
        <w:rPr>
          <w:rFonts w:cs="Arial"/>
          <w:sz w:val="18"/>
          <w:szCs w:val="18"/>
        </w:rPr>
      </w:pPr>
      <w:r w:rsidRPr="008365B9">
        <w:rPr>
          <w:rStyle w:val="Znakapoznpodarou"/>
          <w:rFonts w:cs="Arial"/>
          <w:sz w:val="18"/>
          <w:szCs w:val="18"/>
        </w:rPr>
        <w:footnoteRef/>
      </w:r>
      <w:r w:rsidRPr="008365B9">
        <w:rPr>
          <w:rFonts w:cs="Arial"/>
          <w:sz w:val="18"/>
          <w:szCs w:val="18"/>
        </w:rPr>
        <w:tab/>
        <w:t>Čj. MF-25219/2013/11-1104 – vláda návrh schválila 9. srpna 2013 usnesením č. 585.</w:t>
      </w:r>
    </w:p>
  </w:footnote>
  <w:footnote w:id="7">
    <w:p w14:paraId="532B2F7E" w14:textId="77777777" w:rsidR="0063098E" w:rsidRPr="008365B9" w:rsidRDefault="0063098E" w:rsidP="008365B9">
      <w:pPr>
        <w:pStyle w:val="Textpoznpodarou"/>
        <w:spacing w:after="0" w:line="240" w:lineRule="auto"/>
        <w:ind w:left="284" w:hanging="284"/>
        <w:rPr>
          <w:sz w:val="18"/>
          <w:szCs w:val="18"/>
        </w:rPr>
      </w:pPr>
      <w:r w:rsidRPr="008365B9">
        <w:rPr>
          <w:rStyle w:val="Znakapoznpodarou"/>
          <w:sz w:val="18"/>
          <w:szCs w:val="18"/>
        </w:rPr>
        <w:footnoteRef/>
      </w:r>
      <w:r w:rsidRPr="008365B9">
        <w:rPr>
          <w:sz w:val="18"/>
          <w:szCs w:val="18"/>
        </w:rPr>
        <w:tab/>
        <w:t>Zákon č. 337/1992 Sb., o správě daní a poplatků.</w:t>
      </w:r>
    </w:p>
  </w:footnote>
  <w:footnote w:id="8">
    <w:p w14:paraId="532B2F7F" w14:textId="77777777" w:rsidR="0063098E" w:rsidRPr="008365B9" w:rsidRDefault="0063098E" w:rsidP="008365B9">
      <w:pPr>
        <w:pStyle w:val="Textpoznpodarou"/>
        <w:spacing w:after="0" w:line="240" w:lineRule="auto"/>
        <w:ind w:left="284" w:hanging="284"/>
        <w:rPr>
          <w:sz w:val="18"/>
          <w:szCs w:val="18"/>
        </w:rPr>
      </w:pPr>
      <w:r w:rsidRPr="008365B9">
        <w:rPr>
          <w:rStyle w:val="Znakypropoznmkupodarou"/>
          <w:sz w:val="18"/>
          <w:szCs w:val="18"/>
        </w:rPr>
        <w:footnoteRef/>
      </w:r>
      <w:r w:rsidRPr="008365B9">
        <w:rPr>
          <w:sz w:val="18"/>
          <w:szCs w:val="18"/>
        </w:rPr>
        <w:tab/>
        <w:t xml:space="preserve">Pro programová období 2000–2006 a 2007–2013. </w:t>
      </w:r>
    </w:p>
  </w:footnote>
  <w:footnote w:id="9">
    <w:p w14:paraId="532B2F80" w14:textId="77777777" w:rsidR="0063098E" w:rsidRPr="008365B9" w:rsidRDefault="0063098E" w:rsidP="008365B9">
      <w:pPr>
        <w:pStyle w:val="Textpoznpodarou"/>
        <w:spacing w:after="0" w:line="240" w:lineRule="auto"/>
        <w:ind w:left="284" w:hanging="284"/>
        <w:rPr>
          <w:sz w:val="18"/>
          <w:szCs w:val="18"/>
        </w:rPr>
      </w:pPr>
      <w:r w:rsidRPr="008365B9">
        <w:rPr>
          <w:rStyle w:val="Znakapoznpodarou"/>
          <w:sz w:val="18"/>
          <w:szCs w:val="18"/>
        </w:rPr>
        <w:footnoteRef/>
      </w:r>
      <w:r w:rsidRPr="008365B9">
        <w:rPr>
          <w:sz w:val="18"/>
          <w:szCs w:val="18"/>
        </w:rPr>
        <w:tab/>
        <w:t>Nesrovnalostí se rozumí jakékoliv porušení právního předpisu Společenství vyplývající z</w:t>
      </w:r>
      <w:r>
        <w:rPr>
          <w:sz w:val="18"/>
          <w:szCs w:val="18"/>
        </w:rPr>
        <w:t> </w:t>
      </w:r>
      <w:r w:rsidRPr="008365B9">
        <w:rPr>
          <w:sz w:val="18"/>
          <w:szCs w:val="18"/>
        </w:rPr>
        <w:t>jednání nebo opom</w:t>
      </w:r>
      <w:r>
        <w:rPr>
          <w:sz w:val="18"/>
          <w:szCs w:val="18"/>
        </w:rPr>
        <w:t>e</w:t>
      </w:r>
      <w:r w:rsidRPr="008365B9">
        <w:rPr>
          <w:sz w:val="18"/>
          <w:szCs w:val="18"/>
        </w:rPr>
        <w:t>nutí hospodářského subjektu, v</w:t>
      </w:r>
      <w:r>
        <w:rPr>
          <w:sz w:val="18"/>
          <w:szCs w:val="18"/>
        </w:rPr>
        <w:t> </w:t>
      </w:r>
      <w:r w:rsidRPr="008365B9">
        <w:rPr>
          <w:sz w:val="18"/>
          <w:szCs w:val="18"/>
        </w:rPr>
        <w:t>důsledku kterého je nebo by mohl být poškozen souhrnný rozpočet Společenství nebo rozpo</w:t>
      </w:r>
      <w:r>
        <w:rPr>
          <w:sz w:val="18"/>
          <w:szCs w:val="18"/>
        </w:rPr>
        <w:t>čty Společenstvím spravované, a </w:t>
      </w:r>
      <w:r w:rsidRPr="008365B9">
        <w:rPr>
          <w:sz w:val="18"/>
          <w:szCs w:val="18"/>
        </w:rPr>
        <w:t>to buď snížením nebo ztrátou příjm</w:t>
      </w:r>
      <w:r>
        <w:rPr>
          <w:sz w:val="18"/>
          <w:szCs w:val="18"/>
        </w:rPr>
        <w:t>ů</w:t>
      </w:r>
      <w:r w:rsidRPr="008365B9">
        <w:rPr>
          <w:sz w:val="18"/>
          <w:szCs w:val="18"/>
        </w:rPr>
        <w:t xml:space="preserve"> z</w:t>
      </w:r>
      <w:r>
        <w:rPr>
          <w:sz w:val="18"/>
          <w:szCs w:val="18"/>
        </w:rPr>
        <w:t> </w:t>
      </w:r>
      <w:r w:rsidRPr="008365B9">
        <w:rPr>
          <w:sz w:val="18"/>
          <w:szCs w:val="18"/>
        </w:rPr>
        <w:t>vlastních zdrojů vybíraných přímo ve prospěch Společenství nebo</w:t>
      </w:r>
      <w:r>
        <w:rPr>
          <w:sz w:val="18"/>
          <w:szCs w:val="18"/>
        </w:rPr>
        <w:t xml:space="preserve"> formou neoprávněného výdaje. Zdroj: Pokyn COCOF.</w:t>
      </w:r>
    </w:p>
  </w:footnote>
  <w:footnote w:id="10">
    <w:p w14:paraId="532B2F81" w14:textId="77777777" w:rsidR="0063098E" w:rsidRPr="008365B9" w:rsidRDefault="0063098E" w:rsidP="008365B9">
      <w:pPr>
        <w:pStyle w:val="Textpoznpodarou"/>
        <w:ind w:left="284" w:hanging="284"/>
        <w:rPr>
          <w:sz w:val="18"/>
          <w:szCs w:val="18"/>
        </w:rPr>
      </w:pPr>
      <w:r w:rsidRPr="008365B9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8365B9">
        <w:rPr>
          <w:sz w:val="18"/>
          <w:szCs w:val="18"/>
        </w:rPr>
        <w:t xml:space="preserve">Zdroj: vlastní výpočet NKÚ a </w:t>
      </w:r>
      <w:r>
        <w:rPr>
          <w:sz w:val="18"/>
          <w:szCs w:val="18"/>
        </w:rPr>
        <w:t>z</w:t>
      </w:r>
      <w:r w:rsidRPr="008365B9">
        <w:rPr>
          <w:sz w:val="18"/>
          <w:szCs w:val="18"/>
        </w:rPr>
        <w:t xml:space="preserve">ávěrečný účet kapitoly </w:t>
      </w:r>
      <w:r w:rsidRPr="00514676">
        <w:rPr>
          <w:sz w:val="18"/>
          <w:szCs w:val="18"/>
        </w:rPr>
        <w:t>MF</w:t>
      </w:r>
      <w:r w:rsidRPr="008365B9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CE7"/>
    <w:multiLevelType w:val="hybridMultilevel"/>
    <w:tmpl w:val="11FC3226"/>
    <w:lvl w:ilvl="0" w:tplc="5BC06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0EDC"/>
    <w:multiLevelType w:val="hybridMultilevel"/>
    <w:tmpl w:val="6CB4C706"/>
    <w:lvl w:ilvl="0" w:tplc="87343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E52EA"/>
    <w:multiLevelType w:val="hybridMultilevel"/>
    <w:tmpl w:val="5AA4AF8A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64"/>
    <w:rsid w:val="00042CDA"/>
    <w:rsid w:val="000665F0"/>
    <w:rsid w:val="000F29D0"/>
    <w:rsid w:val="000F634C"/>
    <w:rsid w:val="001233C6"/>
    <w:rsid w:val="0023241F"/>
    <w:rsid w:val="00244E8D"/>
    <w:rsid w:val="002516F1"/>
    <w:rsid w:val="00282262"/>
    <w:rsid w:val="002F2D1C"/>
    <w:rsid w:val="00302F85"/>
    <w:rsid w:val="003F1A92"/>
    <w:rsid w:val="00514676"/>
    <w:rsid w:val="00541203"/>
    <w:rsid w:val="0063098E"/>
    <w:rsid w:val="00632B2B"/>
    <w:rsid w:val="00654C3C"/>
    <w:rsid w:val="00677457"/>
    <w:rsid w:val="007241D6"/>
    <w:rsid w:val="007600F7"/>
    <w:rsid w:val="00764E05"/>
    <w:rsid w:val="00765C92"/>
    <w:rsid w:val="007E41EF"/>
    <w:rsid w:val="007F073F"/>
    <w:rsid w:val="008365B9"/>
    <w:rsid w:val="0086263C"/>
    <w:rsid w:val="0087044A"/>
    <w:rsid w:val="00881A17"/>
    <w:rsid w:val="00934442"/>
    <w:rsid w:val="009A7AF1"/>
    <w:rsid w:val="009E3EE4"/>
    <w:rsid w:val="00A45FA5"/>
    <w:rsid w:val="00A63E64"/>
    <w:rsid w:val="00B71E24"/>
    <w:rsid w:val="00BE5D1C"/>
    <w:rsid w:val="00CA7FF7"/>
    <w:rsid w:val="00D11397"/>
    <w:rsid w:val="00D204F3"/>
    <w:rsid w:val="00D44E65"/>
    <w:rsid w:val="00D96423"/>
    <w:rsid w:val="00DA35BB"/>
    <w:rsid w:val="00E76042"/>
    <w:rsid w:val="00E96849"/>
    <w:rsid w:val="00EC7C79"/>
    <w:rsid w:val="00F919C4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2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E64"/>
    <w:pPr>
      <w:suppressAutoHyphens/>
      <w:spacing w:before="0" w:after="12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63E64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E64"/>
    <w:rPr>
      <w:rFonts w:ascii="Arial" w:eastAsia="Times New Roman" w:hAnsi="Arial" w:cs="Calibri"/>
      <w:b/>
      <w:bCs/>
      <w:szCs w:val="24"/>
      <w:u w:val="single"/>
      <w:lang w:eastAsia="ar-SA"/>
    </w:rPr>
  </w:style>
  <w:style w:type="character" w:customStyle="1" w:styleId="Znakypropoznmkupodarou">
    <w:name w:val="Znaky pro poznámku pod čarou"/>
    <w:rsid w:val="00A63E64"/>
    <w:rPr>
      <w:vertAlign w:val="superscript"/>
    </w:rPr>
  </w:style>
  <w:style w:type="character" w:styleId="Znakapoznpodarou">
    <w:name w:val="footnote reference"/>
    <w:semiHidden/>
    <w:rsid w:val="00A63E64"/>
    <w:rPr>
      <w:vertAlign w:val="superscript"/>
    </w:rPr>
  </w:style>
  <w:style w:type="paragraph" w:styleId="Zkladntext">
    <w:name w:val="Body Text"/>
    <w:basedOn w:val="Normln"/>
    <w:link w:val="ZkladntextChar"/>
    <w:semiHidden/>
    <w:rsid w:val="00A63E64"/>
    <w:pPr>
      <w:spacing w:line="36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A63E64"/>
    <w:rPr>
      <w:rFonts w:ascii="Arial" w:eastAsia="Times New Roman" w:hAnsi="Arial" w:cs="Calibri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A63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E64"/>
    <w:rPr>
      <w:rFonts w:ascii="Arial" w:eastAsia="Times New Roman" w:hAnsi="Arial" w:cs="Calibri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63E64"/>
    <w:pPr>
      <w:jc w:val="center"/>
    </w:pPr>
    <w:rPr>
      <w:b/>
      <w:bCs/>
      <w:spacing w:val="20"/>
    </w:rPr>
  </w:style>
  <w:style w:type="character" w:customStyle="1" w:styleId="NzevChar">
    <w:name w:val="Název Char"/>
    <w:basedOn w:val="Standardnpsmoodstavce"/>
    <w:link w:val="Nzev"/>
    <w:rsid w:val="00A63E64"/>
    <w:rPr>
      <w:rFonts w:ascii="Arial" w:eastAsia="Times New Roman" w:hAnsi="Arial" w:cs="Calibri"/>
      <w:b/>
      <w:bCs/>
      <w:spacing w:val="20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A63E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3E64"/>
    <w:rPr>
      <w:rFonts w:ascii="Arial" w:eastAsia="Times New Roman" w:hAnsi="Arial" w:cs="Calibri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63E64"/>
    <w:pPr>
      <w:ind w:left="720"/>
      <w:contextualSpacing/>
    </w:pPr>
  </w:style>
  <w:style w:type="paragraph" w:customStyle="1" w:styleId="Protokol">
    <w:name w:val="Protokol"/>
    <w:basedOn w:val="Normln"/>
    <w:link w:val="ProtokolChar"/>
    <w:qFormat/>
    <w:rsid w:val="00A63E64"/>
    <w:rPr>
      <w:rFonts w:cs="Arial"/>
    </w:rPr>
  </w:style>
  <w:style w:type="character" w:customStyle="1" w:styleId="ProtokolChar">
    <w:name w:val="Protokol Char"/>
    <w:link w:val="Protokol"/>
    <w:rsid w:val="00A63E64"/>
    <w:rPr>
      <w:rFonts w:ascii="Arial" w:eastAsia="Times New Roman" w:hAnsi="Arial" w:cs="Arial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3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63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7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457"/>
    <w:rPr>
      <w:rFonts w:ascii="Arial" w:eastAsia="Times New Roman" w:hAnsi="Arial" w:cs="Calibri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05"/>
    <w:rPr>
      <w:rFonts w:ascii="Tahoma" w:eastAsia="Times New Roman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7241D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F1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A92"/>
    <w:rPr>
      <w:rFonts w:ascii="Arial" w:eastAsia="Times New Roman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A92"/>
    <w:rPr>
      <w:rFonts w:ascii="Arial" w:eastAsia="Times New Roman" w:hAnsi="Arial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E64"/>
    <w:pPr>
      <w:suppressAutoHyphens/>
      <w:spacing w:before="0" w:after="12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63E64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E64"/>
    <w:rPr>
      <w:rFonts w:ascii="Arial" w:eastAsia="Times New Roman" w:hAnsi="Arial" w:cs="Calibri"/>
      <w:b/>
      <w:bCs/>
      <w:szCs w:val="24"/>
      <w:u w:val="single"/>
      <w:lang w:eastAsia="ar-SA"/>
    </w:rPr>
  </w:style>
  <w:style w:type="character" w:customStyle="1" w:styleId="Znakypropoznmkupodarou">
    <w:name w:val="Znaky pro poznámku pod čarou"/>
    <w:rsid w:val="00A63E64"/>
    <w:rPr>
      <w:vertAlign w:val="superscript"/>
    </w:rPr>
  </w:style>
  <w:style w:type="character" w:styleId="Znakapoznpodarou">
    <w:name w:val="footnote reference"/>
    <w:semiHidden/>
    <w:rsid w:val="00A63E64"/>
    <w:rPr>
      <w:vertAlign w:val="superscript"/>
    </w:rPr>
  </w:style>
  <w:style w:type="paragraph" w:styleId="Zkladntext">
    <w:name w:val="Body Text"/>
    <w:basedOn w:val="Normln"/>
    <w:link w:val="ZkladntextChar"/>
    <w:semiHidden/>
    <w:rsid w:val="00A63E64"/>
    <w:pPr>
      <w:spacing w:line="36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A63E64"/>
    <w:rPr>
      <w:rFonts w:ascii="Arial" w:eastAsia="Times New Roman" w:hAnsi="Arial" w:cs="Calibri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A63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E64"/>
    <w:rPr>
      <w:rFonts w:ascii="Arial" w:eastAsia="Times New Roman" w:hAnsi="Arial" w:cs="Calibri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63E64"/>
    <w:pPr>
      <w:jc w:val="center"/>
    </w:pPr>
    <w:rPr>
      <w:b/>
      <w:bCs/>
      <w:spacing w:val="20"/>
    </w:rPr>
  </w:style>
  <w:style w:type="character" w:customStyle="1" w:styleId="NzevChar">
    <w:name w:val="Název Char"/>
    <w:basedOn w:val="Standardnpsmoodstavce"/>
    <w:link w:val="Nzev"/>
    <w:rsid w:val="00A63E64"/>
    <w:rPr>
      <w:rFonts w:ascii="Arial" w:eastAsia="Times New Roman" w:hAnsi="Arial" w:cs="Calibri"/>
      <w:b/>
      <w:bCs/>
      <w:spacing w:val="20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A63E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3E64"/>
    <w:rPr>
      <w:rFonts w:ascii="Arial" w:eastAsia="Times New Roman" w:hAnsi="Arial" w:cs="Calibri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63E64"/>
    <w:pPr>
      <w:ind w:left="720"/>
      <w:contextualSpacing/>
    </w:pPr>
  </w:style>
  <w:style w:type="paragraph" w:customStyle="1" w:styleId="Protokol">
    <w:name w:val="Protokol"/>
    <w:basedOn w:val="Normln"/>
    <w:link w:val="ProtokolChar"/>
    <w:qFormat/>
    <w:rsid w:val="00A63E64"/>
    <w:rPr>
      <w:rFonts w:cs="Arial"/>
    </w:rPr>
  </w:style>
  <w:style w:type="character" w:customStyle="1" w:styleId="ProtokolChar">
    <w:name w:val="Protokol Char"/>
    <w:link w:val="Protokol"/>
    <w:rsid w:val="00A63E64"/>
    <w:rPr>
      <w:rFonts w:ascii="Arial" w:eastAsia="Times New Roman" w:hAnsi="Arial" w:cs="Arial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3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63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77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457"/>
    <w:rPr>
      <w:rFonts w:ascii="Arial" w:eastAsia="Times New Roman" w:hAnsi="Arial" w:cs="Calibri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05"/>
    <w:rPr>
      <w:rFonts w:ascii="Tahoma" w:eastAsia="Times New Roman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7241D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F1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A92"/>
    <w:rPr>
      <w:rFonts w:ascii="Arial" w:eastAsia="Times New Roman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A92"/>
    <w:rPr>
      <w:rFonts w:ascii="Arial" w:eastAsia="Times New Roman" w:hAnsi="Arial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6FECF-9308-4869-97AC-0B5721D2139E}"/>
</file>

<file path=customXml/itemProps2.xml><?xml version="1.0" encoding="utf-8"?>
<ds:datastoreItem xmlns:ds="http://schemas.openxmlformats.org/officeDocument/2006/customXml" ds:itemID="{B3B1C2A5-A2DF-49C3-88C3-9E30EF336533}"/>
</file>

<file path=customXml/itemProps3.xml><?xml version="1.0" encoding="utf-8"?>
<ds:datastoreItem xmlns:ds="http://schemas.openxmlformats.org/officeDocument/2006/customXml" ds:itemID="{3BC553E1-B22E-41B1-898A-95D9D54DBBAD}"/>
</file>

<file path=customXml/itemProps4.xml><?xml version="1.0" encoding="utf-8"?>
<ds:datastoreItem xmlns:ds="http://schemas.openxmlformats.org/officeDocument/2006/customXml" ds:itemID="{93A6E0A5-07C9-4987-A6CB-4532E3FA0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2630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13/15</dc:title>
  <dc:creator>PROFELDOVÁ Zdeňka</dc:creator>
  <cp:lastModifiedBy>KOKRDA Daniel</cp:lastModifiedBy>
  <cp:revision>4</cp:revision>
  <cp:lastPrinted>2013-10-23T13:12:00Z</cp:lastPrinted>
  <dcterms:created xsi:type="dcterms:W3CDTF">2013-10-25T06:39:00Z</dcterms:created>
  <dcterms:modified xsi:type="dcterms:W3CDTF">2013-12-03T08:06:00Z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