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B8B" w:rsidRPr="0077232E" w:rsidRDefault="00AC4B8B" w:rsidP="0077232E">
      <w:pPr>
        <w:ind w:firstLine="0"/>
        <w:jc w:val="center"/>
        <w:rPr>
          <w:rFonts w:cs="Arial"/>
          <w:b/>
          <w:color w:val="000000"/>
          <w:szCs w:val="22"/>
        </w:rPr>
      </w:pPr>
      <w:r w:rsidRPr="0077232E">
        <w:rPr>
          <w:rFonts w:cs="Arial"/>
          <w:b/>
          <w:noProof/>
          <w:color w:val="000000"/>
          <w:szCs w:val="22"/>
          <w:lang w:eastAsia="cs-CZ"/>
        </w:rPr>
        <w:drawing>
          <wp:anchor distT="0" distB="0" distL="114300" distR="114300" simplePos="0" relativeHeight="251658240" behindDoc="0" locked="0" layoutInCell="1" allowOverlap="1" wp14:anchorId="6A67C487" wp14:editId="29EB5852">
            <wp:simplePos x="0" y="0"/>
            <wp:positionH relativeFrom="column">
              <wp:posOffset>2481580</wp:posOffset>
            </wp:positionH>
            <wp:positionV relativeFrom="paragraph">
              <wp:posOffset>-4445</wp:posOffset>
            </wp:positionV>
            <wp:extent cx="800100" cy="57150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5715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C4B8B" w:rsidRDefault="00AC4B8B" w:rsidP="0077232E">
      <w:pPr>
        <w:ind w:firstLine="0"/>
        <w:jc w:val="center"/>
        <w:rPr>
          <w:rFonts w:cs="Arial"/>
          <w:b/>
          <w:color w:val="000000"/>
          <w:szCs w:val="22"/>
        </w:rPr>
      </w:pPr>
    </w:p>
    <w:p w:rsidR="0077232E" w:rsidRPr="0077232E" w:rsidRDefault="0077232E" w:rsidP="0077232E">
      <w:pPr>
        <w:ind w:firstLine="0"/>
        <w:jc w:val="center"/>
        <w:rPr>
          <w:rFonts w:cs="Arial"/>
          <w:b/>
          <w:color w:val="000000"/>
          <w:szCs w:val="22"/>
        </w:rPr>
      </w:pPr>
    </w:p>
    <w:p w:rsidR="00AC4B8B" w:rsidRPr="00A11C04" w:rsidRDefault="00AC4B8B" w:rsidP="003E0FDC">
      <w:pPr>
        <w:ind w:firstLine="0"/>
        <w:jc w:val="center"/>
        <w:rPr>
          <w:rFonts w:cs="Arial"/>
          <w:b/>
          <w:color w:val="000000"/>
          <w:sz w:val="28"/>
          <w:szCs w:val="28"/>
        </w:rPr>
      </w:pPr>
      <w:r w:rsidRPr="00A11C04">
        <w:rPr>
          <w:rFonts w:cs="Arial"/>
          <w:b/>
          <w:color w:val="000000"/>
          <w:sz w:val="28"/>
          <w:szCs w:val="28"/>
        </w:rPr>
        <w:t>Kontrolní závěr z kontrolní akce</w:t>
      </w:r>
    </w:p>
    <w:p w:rsidR="00AC4B8B" w:rsidRPr="003E0FDC" w:rsidRDefault="00AC4B8B" w:rsidP="003E0FDC">
      <w:pPr>
        <w:ind w:firstLine="0"/>
        <w:jc w:val="center"/>
        <w:rPr>
          <w:rFonts w:cs="Arial"/>
          <w:color w:val="000000"/>
          <w:sz w:val="24"/>
        </w:rPr>
      </w:pPr>
    </w:p>
    <w:p w:rsidR="00AC4B8B" w:rsidRPr="00A11C04" w:rsidRDefault="00AC4B8B" w:rsidP="003E0FDC">
      <w:pPr>
        <w:ind w:firstLine="0"/>
        <w:jc w:val="center"/>
        <w:rPr>
          <w:rFonts w:cs="Arial"/>
          <w:b/>
          <w:color w:val="000000"/>
          <w:sz w:val="28"/>
          <w:szCs w:val="28"/>
        </w:rPr>
      </w:pPr>
      <w:r w:rsidRPr="00A11C04">
        <w:rPr>
          <w:rFonts w:cs="Arial"/>
          <w:b/>
          <w:color w:val="000000"/>
          <w:sz w:val="28"/>
          <w:szCs w:val="28"/>
        </w:rPr>
        <w:t>1</w:t>
      </w:r>
      <w:r w:rsidR="00A10441" w:rsidRPr="00A11C04">
        <w:rPr>
          <w:rFonts w:cs="Arial"/>
          <w:b/>
          <w:color w:val="000000"/>
          <w:sz w:val="28"/>
          <w:szCs w:val="28"/>
        </w:rPr>
        <w:t>3</w:t>
      </w:r>
      <w:r w:rsidRPr="00A11C04">
        <w:rPr>
          <w:rFonts w:cs="Arial"/>
          <w:b/>
          <w:color w:val="000000"/>
          <w:sz w:val="28"/>
          <w:szCs w:val="28"/>
        </w:rPr>
        <w:t>/</w:t>
      </w:r>
      <w:r w:rsidR="00A10441" w:rsidRPr="00A11C04">
        <w:rPr>
          <w:rFonts w:cs="Arial"/>
          <w:b/>
          <w:color w:val="000000"/>
          <w:sz w:val="28"/>
          <w:szCs w:val="28"/>
        </w:rPr>
        <w:t>19</w:t>
      </w:r>
    </w:p>
    <w:p w:rsidR="00AC4B8B" w:rsidRPr="003E0FDC" w:rsidRDefault="00AC4B8B" w:rsidP="003E0FDC">
      <w:pPr>
        <w:ind w:firstLine="0"/>
        <w:jc w:val="center"/>
        <w:rPr>
          <w:rFonts w:cs="Arial"/>
          <w:color w:val="000000"/>
          <w:sz w:val="24"/>
        </w:rPr>
      </w:pPr>
    </w:p>
    <w:p w:rsidR="00AC4B8B" w:rsidRPr="00A11C04" w:rsidRDefault="00A10441" w:rsidP="003E0FDC">
      <w:pPr>
        <w:ind w:firstLine="0"/>
        <w:jc w:val="center"/>
        <w:rPr>
          <w:rFonts w:cs="Arial"/>
          <w:b/>
          <w:bCs/>
          <w:color w:val="000000"/>
          <w:sz w:val="28"/>
          <w:szCs w:val="28"/>
        </w:rPr>
      </w:pPr>
      <w:r w:rsidRPr="00A11C04">
        <w:rPr>
          <w:rFonts w:cs="Arial"/>
          <w:b/>
          <w:bCs/>
          <w:color w:val="000000"/>
          <w:sz w:val="28"/>
          <w:szCs w:val="28"/>
        </w:rPr>
        <w:t xml:space="preserve">Závěrečný účet kapitoly státního rozpočtu </w:t>
      </w:r>
      <w:r w:rsidR="00A11C04" w:rsidRPr="00A11C04">
        <w:rPr>
          <w:rFonts w:cs="Arial"/>
          <w:b/>
          <w:bCs/>
          <w:color w:val="000000"/>
          <w:sz w:val="28"/>
          <w:szCs w:val="28"/>
        </w:rPr>
        <w:br/>
      </w:r>
      <w:r w:rsidRPr="00D71574">
        <w:rPr>
          <w:rFonts w:cs="Arial"/>
          <w:b/>
          <w:bCs/>
          <w:i/>
          <w:color w:val="000000"/>
          <w:sz w:val="28"/>
          <w:szCs w:val="28"/>
        </w:rPr>
        <w:t>Ministerstvo pro místní rozvoj</w:t>
      </w:r>
      <w:r w:rsidRPr="00A11C04">
        <w:rPr>
          <w:rFonts w:cs="Arial"/>
          <w:b/>
          <w:bCs/>
          <w:color w:val="000000"/>
          <w:sz w:val="28"/>
          <w:szCs w:val="28"/>
        </w:rPr>
        <w:t xml:space="preserve"> za rok 2012, účetní závěrka </w:t>
      </w:r>
      <w:r w:rsidR="00A11C04" w:rsidRPr="00A11C04">
        <w:rPr>
          <w:rFonts w:cs="Arial"/>
          <w:b/>
          <w:bCs/>
          <w:color w:val="000000"/>
          <w:sz w:val="28"/>
          <w:szCs w:val="28"/>
        </w:rPr>
        <w:br/>
      </w:r>
      <w:r w:rsidRPr="00A11C04">
        <w:rPr>
          <w:rFonts w:cs="Arial"/>
          <w:b/>
          <w:bCs/>
          <w:color w:val="000000"/>
          <w:sz w:val="28"/>
          <w:szCs w:val="28"/>
        </w:rPr>
        <w:t>a</w:t>
      </w:r>
      <w:r w:rsidR="00A11C04" w:rsidRPr="00A11C04">
        <w:rPr>
          <w:rFonts w:cs="Arial"/>
          <w:b/>
          <w:bCs/>
          <w:color w:val="000000"/>
          <w:sz w:val="28"/>
          <w:szCs w:val="28"/>
        </w:rPr>
        <w:t> </w:t>
      </w:r>
      <w:r w:rsidRPr="00A11C04">
        <w:rPr>
          <w:rFonts w:cs="Arial"/>
          <w:b/>
          <w:bCs/>
          <w:color w:val="000000"/>
          <w:sz w:val="28"/>
          <w:szCs w:val="28"/>
        </w:rPr>
        <w:t>finanční výkazy Ministerstva pro místní rozvoj za rok 2012</w:t>
      </w:r>
    </w:p>
    <w:p w:rsidR="00AC4B8B" w:rsidRPr="00F935DC" w:rsidRDefault="00AC4B8B" w:rsidP="0077232E">
      <w:pPr>
        <w:ind w:firstLine="0"/>
        <w:rPr>
          <w:rFonts w:cs="Arial"/>
          <w:color w:val="000000"/>
        </w:rPr>
      </w:pPr>
    </w:p>
    <w:p w:rsidR="00AC4B8B" w:rsidRPr="00F935DC" w:rsidRDefault="00AC4B8B" w:rsidP="0077232E">
      <w:pPr>
        <w:ind w:firstLine="0"/>
        <w:rPr>
          <w:rFonts w:cs="Arial"/>
          <w:color w:val="000000"/>
        </w:rPr>
      </w:pPr>
    </w:p>
    <w:p w:rsidR="00AC4B8B" w:rsidRPr="00F935DC" w:rsidRDefault="00AC4B8B" w:rsidP="00355106">
      <w:pPr>
        <w:ind w:firstLine="0"/>
        <w:rPr>
          <w:rFonts w:cs="Arial"/>
          <w:color w:val="000000"/>
        </w:rPr>
      </w:pPr>
      <w:r w:rsidRPr="00F935DC">
        <w:rPr>
          <w:rFonts w:cs="Arial"/>
          <w:color w:val="000000"/>
        </w:rPr>
        <w:t>Kontrolní akce byla zařazena do plánu kontrolní činnosti Nejvyššího kontrolního úřadu (dále jen „NKÚ“) na rok 201</w:t>
      </w:r>
      <w:r w:rsidR="00A10441">
        <w:rPr>
          <w:rFonts w:cs="Arial"/>
          <w:color w:val="000000"/>
        </w:rPr>
        <w:t>3</w:t>
      </w:r>
      <w:r w:rsidRPr="00F935DC">
        <w:rPr>
          <w:rFonts w:cs="Arial"/>
          <w:color w:val="000000"/>
        </w:rPr>
        <w:t xml:space="preserve"> pod číslem 1</w:t>
      </w:r>
      <w:r w:rsidR="00A10441">
        <w:rPr>
          <w:rFonts w:cs="Arial"/>
          <w:color w:val="000000"/>
        </w:rPr>
        <w:t>3</w:t>
      </w:r>
      <w:r w:rsidRPr="00F935DC">
        <w:rPr>
          <w:rFonts w:cs="Arial"/>
          <w:color w:val="000000"/>
        </w:rPr>
        <w:t>/</w:t>
      </w:r>
      <w:r w:rsidR="00A10441">
        <w:rPr>
          <w:rFonts w:cs="Arial"/>
          <w:color w:val="000000"/>
        </w:rPr>
        <w:t>19</w:t>
      </w:r>
      <w:r w:rsidRPr="00F935DC">
        <w:rPr>
          <w:rFonts w:cs="Arial"/>
          <w:color w:val="000000"/>
        </w:rPr>
        <w:t xml:space="preserve">. Kontrolní akci řídil a kontrolní závěr vypracoval člen NKÚ Ing. </w:t>
      </w:r>
      <w:r w:rsidR="00A10441">
        <w:rPr>
          <w:rFonts w:cs="Arial"/>
          <w:color w:val="000000"/>
        </w:rPr>
        <w:t>Daniel Reisiegel, MPA</w:t>
      </w:r>
      <w:r w:rsidRPr="00F935DC">
        <w:rPr>
          <w:rFonts w:cs="Arial"/>
          <w:color w:val="000000"/>
        </w:rPr>
        <w:t>.</w:t>
      </w:r>
    </w:p>
    <w:p w:rsidR="009F5A5E" w:rsidRDefault="009F5A5E" w:rsidP="00355106">
      <w:pPr>
        <w:ind w:firstLine="0"/>
        <w:rPr>
          <w:rFonts w:cs="Arial"/>
          <w:color w:val="000000"/>
        </w:rPr>
      </w:pPr>
    </w:p>
    <w:p w:rsidR="00A10441" w:rsidRPr="00740533" w:rsidRDefault="007F14CC" w:rsidP="002827AC">
      <w:pPr>
        <w:pStyle w:val="Normlnodsazen"/>
        <w:spacing w:line="240" w:lineRule="auto"/>
        <w:ind w:firstLine="0"/>
      </w:pPr>
      <w:r w:rsidRPr="00F935DC">
        <w:rPr>
          <w:rFonts w:cs="Arial"/>
          <w:color w:val="000000"/>
        </w:rPr>
        <w:t xml:space="preserve">Cílem kontroly bylo </w:t>
      </w:r>
      <w:r>
        <w:rPr>
          <w:rFonts w:cs="Arial"/>
          <w:color w:val="000000"/>
        </w:rPr>
        <w:t>p</w:t>
      </w:r>
      <w:r w:rsidRPr="007F14CC">
        <w:rPr>
          <w:rFonts w:cs="Arial"/>
          <w:noProof/>
          <w:color w:val="000000"/>
          <w:szCs w:val="22"/>
        </w:rPr>
        <w:t>rověřit</w:t>
      </w:r>
      <w:r w:rsidR="00A10441">
        <w:rPr>
          <w:rFonts w:cs="Arial"/>
          <w:noProof/>
          <w:color w:val="000000"/>
          <w:szCs w:val="22"/>
        </w:rPr>
        <w:t xml:space="preserve">, </w:t>
      </w:r>
      <w:r w:rsidR="00A10441">
        <w:t>zda Ministerstvo pro místní rozvoj při sestavení závěrečného účtu</w:t>
      </w:r>
      <w:r w:rsidR="00035D9B">
        <w:t>,</w:t>
      </w:r>
      <w:r w:rsidR="00A10441">
        <w:t xml:space="preserve"> při vedení účetnictví a sestavení účetní závěrky</w:t>
      </w:r>
      <w:r w:rsidR="00B93BDD">
        <w:t xml:space="preserve"> (dále také „ÚZ“)</w:t>
      </w:r>
      <w:r w:rsidR="00A10441">
        <w:t xml:space="preserve"> a finančních výkazů za rok 2012 postupovalo v souladu s příslušnými právními předpisy.</w:t>
      </w:r>
    </w:p>
    <w:p w:rsidR="00A10441" w:rsidRDefault="00A10441" w:rsidP="007F14CC">
      <w:pPr>
        <w:ind w:firstLine="0"/>
        <w:rPr>
          <w:rFonts w:cs="Arial"/>
          <w:noProof/>
          <w:color w:val="000000"/>
          <w:szCs w:val="22"/>
        </w:rPr>
      </w:pPr>
    </w:p>
    <w:p w:rsidR="00AC4B8B" w:rsidRDefault="00AC4B8B" w:rsidP="00355106">
      <w:pPr>
        <w:ind w:firstLine="0"/>
        <w:rPr>
          <w:rFonts w:cs="Arial"/>
          <w:color w:val="000000"/>
        </w:rPr>
      </w:pPr>
      <w:r w:rsidRPr="00F935DC">
        <w:rPr>
          <w:rFonts w:cs="Arial"/>
          <w:color w:val="000000"/>
        </w:rPr>
        <w:t>Kontrolovaným obdobím byl rok 201</w:t>
      </w:r>
      <w:r w:rsidR="00A10441">
        <w:rPr>
          <w:rFonts w:cs="Arial"/>
          <w:color w:val="000000"/>
        </w:rPr>
        <w:t>2</w:t>
      </w:r>
      <w:r w:rsidR="00380E23">
        <w:rPr>
          <w:rFonts w:cs="Arial"/>
          <w:color w:val="000000"/>
        </w:rPr>
        <w:t xml:space="preserve"> </w:t>
      </w:r>
      <w:r w:rsidR="00A10441" w:rsidRPr="00740533">
        <w:t>a související skutečnosti z předcházejících let</w:t>
      </w:r>
      <w:r w:rsidR="00A10441">
        <w:t xml:space="preserve">, popřípadě z roku 2013 </w:t>
      </w:r>
      <w:r w:rsidRPr="00F935DC">
        <w:rPr>
          <w:rFonts w:cs="Arial"/>
          <w:color w:val="000000"/>
        </w:rPr>
        <w:t>do doby ukončení kontroly.</w:t>
      </w:r>
    </w:p>
    <w:p w:rsidR="00A10441" w:rsidRDefault="00A10441" w:rsidP="00355106">
      <w:pPr>
        <w:ind w:firstLine="0"/>
        <w:rPr>
          <w:rFonts w:cs="Arial"/>
          <w:color w:val="000000"/>
        </w:rPr>
      </w:pPr>
    </w:p>
    <w:p w:rsidR="00AC4B8B" w:rsidRPr="00F935DC" w:rsidRDefault="00AC4B8B" w:rsidP="00355106">
      <w:pPr>
        <w:ind w:firstLine="0"/>
        <w:rPr>
          <w:rFonts w:cs="Arial"/>
          <w:color w:val="000000"/>
        </w:rPr>
      </w:pPr>
      <w:r w:rsidRPr="00F935DC">
        <w:rPr>
          <w:rFonts w:cs="Arial"/>
          <w:color w:val="000000"/>
        </w:rPr>
        <w:t xml:space="preserve">Kontrola byla prováděna </w:t>
      </w:r>
      <w:r w:rsidR="00F33867">
        <w:rPr>
          <w:rFonts w:cs="Arial"/>
          <w:color w:val="000000"/>
        </w:rPr>
        <w:t>v </w:t>
      </w:r>
      <w:r w:rsidRPr="00F935DC">
        <w:rPr>
          <w:rFonts w:cs="Arial"/>
          <w:color w:val="000000"/>
        </w:rPr>
        <w:t xml:space="preserve">době od </w:t>
      </w:r>
      <w:r w:rsidR="005C0E75">
        <w:rPr>
          <w:rFonts w:cs="Arial"/>
          <w:color w:val="000000"/>
        </w:rPr>
        <w:t>května</w:t>
      </w:r>
      <w:r w:rsidR="00E35E3E">
        <w:rPr>
          <w:rFonts w:cs="Arial"/>
          <w:color w:val="000000"/>
        </w:rPr>
        <w:t xml:space="preserve"> do října roku</w:t>
      </w:r>
      <w:r w:rsidRPr="00F935DC">
        <w:rPr>
          <w:rFonts w:cs="Arial"/>
          <w:color w:val="000000"/>
        </w:rPr>
        <w:t xml:space="preserve"> 201</w:t>
      </w:r>
      <w:r w:rsidR="005C0E75">
        <w:rPr>
          <w:rFonts w:cs="Arial"/>
          <w:color w:val="000000"/>
        </w:rPr>
        <w:t>3</w:t>
      </w:r>
      <w:r w:rsidRPr="00F935DC">
        <w:rPr>
          <w:rFonts w:cs="Arial"/>
          <w:color w:val="000000"/>
        </w:rPr>
        <w:t>.</w:t>
      </w: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F935DC" w:rsidRDefault="00AC4B8B" w:rsidP="00355106">
      <w:pPr>
        <w:ind w:firstLine="0"/>
        <w:rPr>
          <w:rFonts w:cs="Arial"/>
          <w:color w:val="000000"/>
        </w:rPr>
      </w:pPr>
      <w:r w:rsidRPr="00F935DC">
        <w:rPr>
          <w:rFonts w:cs="Arial"/>
          <w:color w:val="000000"/>
        </w:rPr>
        <w:t>Kontrolovan</w:t>
      </w:r>
      <w:r>
        <w:rPr>
          <w:rFonts w:cs="Arial"/>
          <w:color w:val="000000"/>
        </w:rPr>
        <w:t>á</w:t>
      </w:r>
      <w:r w:rsidRPr="00F935DC">
        <w:rPr>
          <w:rFonts w:cs="Arial"/>
          <w:color w:val="000000"/>
        </w:rPr>
        <w:t xml:space="preserve"> osob</w:t>
      </w:r>
      <w:r>
        <w:rPr>
          <w:rFonts w:cs="Arial"/>
          <w:color w:val="000000"/>
        </w:rPr>
        <w:t>a</w:t>
      </w:r>
      <w:r w:rsidRPr="00F935DC">
        <w:rPr>
          <w:rFonts w:cs="Arial"/>
          <w:color w:val="000000"/>
        </w:rPr>
        <w:t>:</w:t>
      </w:r>
    </w:p>
    <w:p w:rsidR="00AC4B8B" w:rsidRPr="00F935DC" w:rsidRDefault="005C0E75" w:rsidP="009F5A5E">
      <w:pPr>
        <w:tabs>
          <w:tab w:val="left" w:pos="284"/>
        </w:tabs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Ministerstvo pro místní rozvoj</w:t>
      </w:r>
      <w:r w:rsidR="00AC4B8B" w:rsidRPr="00F935DC">
        <w:rPr>
          <w:rFonts w:cs="Arial"/>
          <w:color w:val="000000"/>
        </w:rPr>
        <w:t xml:space="preserve"> (dále také „</w:t>
      </w:r>
      <w:r>
        <w:rPr>
          <w:rFonts w:cs="Arial"/>
          <w:color w:val="000000"/>
        </w:rPr>
        <w:t>MMR</w:t>
      </w:r>
      <w:r w:rsidR="00AC4B8B" w:rsidRPr="00F935DC">
        <w:rPr>
          <w:rFonts w:cs="Arial"/>
          <w:color w:val="000000"/>
        </w:rPr>
        <w:t>“).</w:t>
      </w: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F935DC" w:rsidRDefault="00AC4B8B" w:rsidP="00355106">
      <w:pPr>
        <w:ind w:firstLine="0"/>
        <w:rPr>
          <w:rFonts w:cs="Arial"/>
          <w:i/>
          <w:color w:val="000000"/>
        </w:rPr>
      </w:pPr>
      <w:r w:rsidRPr="00F935DC">
        <w:rPr>
          <w:rFonts w:cs="Arial"/>
          <w:color w:val="000000"/>
        </w:rPr>
        <w:t>Námitky proti kontrolnímu protokolu, které</w:t>
      </w:r>
      <w:r w:rsidR="00C67D69">
        <w:rPr>
          <w:rFonts w:cs="Arial"/>
          <w:color w:val="000000"/>
        </w:rPr>
        <w:t xml:space="preserve"> </w:t>
      </w:r>
      <w:r w:rsidRPr="00F935DC">
        <w:rPr>
          <w:rFonts w:cs="Arial"/>
          <w:color w:val="000000"/>
        </w:rPr>
        <w:t>podal</w:t>
      </w:r>
      <w:r w:rsidR="005C0E75">
        <w:rPr>
          <w:rFonts w:cs="Arial"/>
          <w:color w:val="000000"/>
        </w:rPr>
        <w:t>o</w:t>
      </w:r>
      <w:r w:rsidR="00C67D69">
        <w:rPr>
          <w:rFonts w:cs="Arial"/>
          <w:color w:val="000000"/>
        </w:rPr>
        <w:t xml:space="preserve"> </w:t>
      </w:r>
      <w:r w:rsidR="005C0E75">
        <w:rPr>
          <w:rFonts w:cs="Arial"/>
          <w:color w:val="000000"/>
        </w:rPr>
        <w:t>MMR</w:t>
      </w:r>
      <w:r w:rsidRPr="00F935DC">
        <w:rPr>
          <w:rFonts w:cs="Arial"/>
          <w:color w:val="000000"/>
        </w:rPr>
        <w:t xml:space="preserve">, byly vypořádány vedoucím skupiny kontrolujících rozhodnutím o námitkách. </w:t>
      </w:r>
      <w:r w:rsidRPr="009F5A5E">
        <w:rPr>
          <w:rFonts w:cs="Arial"/>
          <w:color w:val="000000"/>
        </w:rPr>
        <w:t>Odvolání</w:t>
      </w:r>
      <w:r w:rsidR="00E531BB">
        <w:rPr>
          <w:rFonts w:cs="Arial"/>
          <w:color w:val="000000"/>
        </w:rPr>
        <w:t>,</w:t>
      </w:r>
      <w:r w:rsidR="00C67D69">
        <w:rPr>
          <w:rFonts w:cs="Arial"/>
          <w:color w:val="000000"/>
        </w:rPr>
        <w:t xml:space="preserve"> </w:t>
      </w:r>
      <w:r w:rsidR="00E531BB" w:rsidRPr="009F5A5E">
        <w:rPr>
          <w:rFonts w:cs="Arial"/>
          <w:color w:val="000000"/>
        </w:rPr>
        <w:t xml:space="preserve">které </w:t>
      </w:r>
      <w:r w:rsidR="005C0E75">
        <w:rPr>
          <w:rFonts w:cs="Arial"/>
          <w:color w:val="000000"/>
        </w:rPr>
        <w:t>MMR</w:t>
      </w:r>
      <w:r w:rsidR="00E531BB" w:rsidRPr="009F5A5E">
        <w:rPr>
          <w:rFonts w:cs="Arial"/>
          <w:color w:val="000000"/>
        </w:rPr>
        <w:t xml:space="preserve"> podal</w:t>
      </w:r>
      <w:r w:rsidR="005C0E75">
        <w:rPr>
          <w:rFonts w:cs="Arial"/>
          <w:color w:val="000000"/>
        </w:rPr>
        <w:t>o</w:t>
      </w:r>
      <w:r w:rsidR="00C67D69">
        <w:rPr>
          <w:rFonts w:cs="Arial"/>
          <w:color w:val="000000"/>
        </w:rPr>
        <w:t xml:space="preserve"> </w:t>
      </w:r>
      <w:r w:rsidRPr="009F5A5E">
        <w:rPr>
          <w:rFonts w:cs="Arial"/>
          <w:color w:val="000000"/>
        </w:rPr>
        <w:t>proti rozhodnutí o</w:t>
      </w:r>
      <w:r w:rsidR="00E531BB">
        <w:rPr>
          <w:rFonts w:cs="Arial"/>
          <w:color w:val="000000"/>
        </w:rPr>
        <w:t> </w:t>
      </w:r>
      <w:r w:rsidRPr="009F5A5E">
        <w:rPr>
          <w:rFonts w:cs="Arial"/>
          <w:color w:val="000000"/>
        </w:rPr>
        <w:t>námitkách, bylo vypořádáno usnesením Kolegia NKÚ.</w:t>
      </w: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EE41C8" w:rsidRDefault="00AC4B8B" w:rsidP="009F5A5E">
      <w:pPr>
        <w:ind w:firstLine="0"/>
        <w:rPr>
          <w:rFonts w:cs="Arial"/>
          <w:color w:val="000000"/>
        </w:rPr>
      </w:pPr>
      <w:r w:rsidRPr="00EE41C8">
        <w:rPr>
          <w:rFonts w:cs="Arial"/>
          <w:b/>
          <w:i/>
          <w:color w:val="000000"/>
          <w:spacing w:val="60"/>
        </w:rPr>
        <w:t>Kolegium</w:t>
      </w:r>
      <w:r w:rsidR="00C67D69">
        <w:rPr>
          <w:rFonts w:cs="Arial"/>
          <w:b/>
          <w:i/>
          <w:color w:val="000000"/>
          <w:spacing w:val="60"/>
        </w:rPr>
        <w:t xml:space="preserve"> </w:t>
      </w:r>
      <w:proofErr w:type="gramStart"/>
      <w:r w:rsidRPr="00EE41C8">
        <w:rPr>
          <w:rFonts w:cs="Arial"/>
          <w:b/>
          <w:i/>
          <w:color w:val="000000"/>
          <w:spacing w:val="60"/>
        </w:rPr>
        <w:t>NKÚ</w:t>
      </w:r>
      <w:r w:rsidRPr="00EE41C8">
        <w:rPr>
          <w:rFonts w:cs="Arial"/>
          <w:color w:val="000000"/>
        </w:rPr>
        <w:t xml:space="preserve">   na</w:t>
      </w:r>
      <w:proofErr w:type="gramEnd"/>
      <w:r w:rsidRPr="00EE41C8">
        <w:rPr>
          <w:rFonts w:cs="Arial"/>
          <w:color w:val="000000"/>
        </w:rPr>
        <w:t xml:space="preserve"> svém </w:t>
      </w:r>
      <w:r w:rsidR="00380E23">
        <w:rPr>
          <w:rFonts w:cs="Arial"/>
          <w:color w:val="000000"/>
        </w:rPr>
        <w:t xml:space="preserve">VII. </w:t>
      </w:r>
      <w:r w:rsidRPr="00EE41C8">
        <w:rPr>
          <w:rFonts w:cs="Arial"/>
          <w:color w:val="000000"/>
        </w:rPr>
        <w:t>zasedání, konaném dne</w:t>
      </w:r>
      <w:r w:rsidR="00380E23">
        <w:rPr>
          <w:rFonts w:cs="Arial"/>
          <w:color w:val="000000"/>
        </w:rPr>
        <w:t xml:space="preserve"> 31. </w:t>
      </w:r>
      <w:r w:rsidR="003E0FDC">
        <w:rPr>
          <w:rFonts w:cs="Arial"/>
          <w:color w:val="000000"/>
        </w:rPr>
        <w:t xml:space="preserve">března </w:t>
      </w:r>
      <w:r w:rsidRPr="00EE41C8">
        <w:rPr>
          <w:rFonts w:cs="Arial"/>
          <w:color w:val="000000"/>
        </w:rPr>
        <w:t>201</w:t>
      </w:r>
      <w:r w:rsidR="00EE41C8">
        <w:rPr>
          <w:rFonts w:cs="Arial"/>
          <w:color w:val="000000"/>
        </w:rPr>
        <w:t>4</w:t>
      </w:r>
      <w:r w:rsidRPr="00EE41C8">
        <w:rPr>
          <w:rFonts w:cs="Arial"/>
          <w:color w:val="000000"/>
        </w:rPr>
        <w:t>,</w:t>
      </w:r>
    </w:p>
    <w:p w:rsidR="00AC4B8B" w:rsidRPr="00EE41C8" w:rsidRDefault="00AC4B8B" w:rsidP="009F5A5E">
      <w:pPr>
        <w:ind w:firstLine="0"/>
        <w:rPr>
          <w:rFonts w:cs="Arial"/>
          <w:color w:val="000000"/>
        </w:rPr>
      </w:pPr>
      <w:proofErr w:type="gramStart"/>
      <w:r w:rsidRPr="00EE41C8">
        <w:rPr>
          <w:rFonts w:cs="Arial"/>
          <w:b/>
          <w:i/>
          <w:color w:val="000000"/>
          <w:spacing w:val="60"/>
        </w:rPr>
        <w:t>schválilo</w:t>
      </w:r>
      <w:r w:rsidR="004D307C" w:rsidRPr="00EE41C8">
        <w:rPr>
          <w:rFonts w:cs="Arial"/>
          <w:color w:val="000000"/>
        </w:rPr>
        <w:t xml:space="preserve">   </w:t>
      </w:r>
      <w:r w:rsidRPr="00EE41C8">
        <w:rPr>
          <w:rFonts w:cs="Arial"/>
          <w:color w:val="000000"/>
        </w:rPr>
        <w:t>usnesením</w:t>
      </w:r>
      <w:proofErr w:type="gramEnd"/>
      <w:r w:rsidRPr="00EE41C8">
        <w:rPr>
          <w:rFonts w:cs="Arial"/>
          <w:color w:val="000000"/>
        </w:rPr>
        <w:t xml:space="preserve"> č</w:t>
      </w:r>
      <w:r w:rsidR="005779F4">
        <w:rPr>
          <w:rFonts w:cs="Arial"/>
          <w:color w:val="000000"/>
        </w:rPr>
        <w:t>. 6</w:t>
      </w:r>
      <w:r w:rsidRPr="00EE41C8">
        <w:rPr>
          <w:rFonts w:cs="Arial"/>
          <w:color w:val="000000"/>
        </w:rPr>
        <w:t>/</w:t>
      </w:r>
      <w:r w:rsidR="00380E23">
        <w:rPr>
          <w:rFonts w:cs="Arial"/>
          <w:color w:val="000000"/>
        </w:rPr>
        <w:t>VII</w:t>
      </w:r>
      <w:r w:rsidRPr="00EE41C8">
        <w:rPr>
          <w:rFonts w:cs="Arial"/>
          <w:color w:val="000000"/>
        </w:rPr>
        <w:t>/201</w:t>
      </w:r>
      <w:r w:rsidR="00EE41C8">
        <w:rPr>
          <w:rFonts w:cs="Arial"/>
          <w:color w:val="000000"/>
        </w:rPr>
        <w:t>4</w:t>
      </w:r>
    </w:p>
    <w:p w:rsidR="00AC4B8B" w:rsidRPr="00F935DC" w:rsidRDefault="00AC4B8B" w:rsidP="009F5A5E">
      <w:pPr>
        <w:ind w:firstLine="0"/>
        <w:rPr>
          <w:rFonts w:cs="Arial"/>
          <w:color w:val="000000"/>
        </w:rPr>
      </w:pPr>
      <w:r w:rsidRPr="00EE41C8">
        <w:rPr>
          <w:rFonts w:cs="Arial"/>
          <w:b/>
          <w:i/>
          <w:color w:val="000000"/>
          <w:spacing w:val="60"/>
        </w:rPr>
        <w:t>kontrolní</w:t>
      </w:r>
      <w:r w:rsidR="00C67D69">
        <w:rPr>
          <w:rFonts w:cs="Arial"/>
          <w:b/>
          <w:i/>
          <w:color w:val="000000"/>
          <w:spacing w:val="60"/>
        </w:rPr>
        <w:t xml:space="preserve"> </w:t>
      </w:r>
      <w:proofErr w:type="gramStart"/>
      <w:r w:rsidRPr="00EE41C8">
        <w:rPr>
          <w:rFonts w:cs="Arial"/>
          <w:b/>
          <w:i/>
          <w:color w:val="000000"/>
          <w:spacing w:val="60"/>
        </w:rPr>
        <w:t>závěr</w:t>
      </w:r>
      <w:r w:rsidR="004D307C" w:rsidRPr="00EE41C8">
        <w:rPr>
          <w:rFonts w:cs="Arial"/>
          <w:color w:val="000000"/>
        </w:rPr>
        <w:t xml:space="preserve">   </w:t>
      </w:r>
      <w:r w:rsidR="00F33867" w:rsidRPr="00EE41C8">
        <w:rPr>
          <w:rFonts w:cs="Arial"/>
          <w:color w:val="000000"/>
        </w:rPr>
        <w:t>v </w:t>
      </w:r>
      <w:r w:rsidRPr="00EE41C8">
        <w:rPr>
          <w:rFonts w:cs="Arial"/>
          <w:color w:val="000000"/>
        </w:rPr>
        <w:t>tomto</w:t>
      </w:r>
      <w:proofErr w:type="gramEnd"/>
      <w:r w:rsidRPr="00EE41C8">
        <w:rPr>
          <w:rFonts w:cs="Arial"/>
          <w:color w:val="000000"/>
        </w:rPr>
        <w:t xml:space="preserve"> znění:</w:t>
      </w: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F935DC" w:rsidRDefault="00AC4B8B" w:rsidP="00755A67">
      <w:pPr>
        <w:ind w:firstLine="0"/>
        <w:rPr>
          <w:rFonts w:cs="Arial"/>
          <w:color w:val="000000"/>
        </w:rPr>
      </w:pPr>
    </w:p>
    <w:p w:rsidR="00AC4B8B" w:rsidRPr="003E0FDC" w:rsidRDefault="003E0FDC" w:rsidP="00755A67">
      <w:pPr>
        <w:ind w:firstLine="0"/>
        <w:jc w:val="center"/>
        <w:rPr>
          <w:rFonts w:cs="Arial"/>
          <w:b/>
          <w:color w:val="000000"/>
          <w:sz w:val="24"/>
        </w:rPr>
      </w:pPr>
      <w:r>
        <w:rPr>
          <w:rFonts w:cs="Arial"/>
          <w:b/>
          <w:color w:val="000000"/>
          <w:sz w:val="24"/>
        </w:rPr>
        <w:t xml:space="preserve">I. </w:t>
      </w:r>
      <w:r w:rsidR="00AC4B8B" w:rsidRPr="003E0FDC">
        <w:rPr>
          <w:rFonts w:cs="Arial"/>
          <w:b/>
          <w:color w:val="000000"/>
          <w:sz w:val="24"/>
        </w:rPr>
        <w:t>Úvod</w:t>
      </w:r>
    </w:p>
    <w:p w:rsidR="00EE41C8" w:rsidRDefault="00EE41C8" w:rsidP="00EE41C8">
      <w:pPr>
        <w:ind w:firstLine="0"/>
        <w:rPr>
          <w:rFonts w:cs="Arial"/>
          <w:bCs/>
          <w:szCs w:val="22"/>
        </w:rPr>
      </w:pPr>
    </w:p>
    <w:p w:rsidR="00EE41C8" w:rsidRDefault="00EE41C8" w:rsidP="00EE41C8">
      <w:pPr>
        <w:ind w:firstLine="0"/>
        <w:rPr>
          <w:rFonts w:cs="Arial"/>
          <w:szCs w:val="22"/>
        </w:rPr>
      </w:pPr>
      <w:r w:rsidRPr="00EE41C8">
        <w:rPr>
          <w:rFonts w:cs="Arial"/>
          <w:bCs/>
          <w:szCs w:val="22"/>
        </w:rPr>
        <w:t>Ministerstvo pro místní rozvoj</w:t>
      </w:r>
      <w:r w:rsidR="00C67D69">
        <w:rPr>
          <w:rFonts w:cs="Arial"/>
          <w:bCs/>
          <w:szCs w:val="22"/>
        </w:rPr>
        <w:t xml:space="preserve"> </w:t>
      </w:r>
      <w:r w:rsidRPr="00EE41C8">
        <w:rPr>
          <w:rFonts w:cs="Arial"/>
          <w:szCs w:val="22"/>
        </w:rPr>
        <w:t>bylo zřízeno zákonem č. 272/1996 Sb., kterým se provádějí některá opatření v soustavě ústředních orgánů státní správy České republiky a kterým se mění a doplňuje zákon České národní rady č. 2/1969 Sb., o zřízení ministerstev a jiných ústředních orgánů státní správy České republiky, ve znění pozdějších předpisů, a mění a</w:t>
      </w:r>
      <w:r w:rsidR="003E0FDC">
        <w:rPr>
          <w:rFonts w:cs="Arial"/>
          <w:szCs w:val="22"/>
        </w:rPr>
        <w:t> </w:t>
      </w:r>
      <w:r w:rsidRPr="00EE41C8">
        <w:rPr>
          <w:rFonts w:cs="Arial"/>
          <w:szCs w:val="22"/>
        </w:rPr>
        <w:t xml:space="preserve">doplňuje zákon č. 97/1993 Sb., o působnosti Správy státních hmotných rezerv, s účinností od 1. listopadu 1996. </w:t>
      </w:r>
    </w:p>
    <w:p w:rsidR="002827AC" w:rsidRPr="00EE41C8" w:rsidRDefault="002827AC" w:rsidP="00EE41C8">
      <w:pPr>
        <w:ind w:firstLine="0"/>
        <w:rPr>
          <w:rFonts w:cs="Arial"/>
          <w:szCs w:val="22"/>
        </w:rPr>
      </w:pPr>
    </w:p>
    <w:p w:rsidR="00EE41C8" w:rsidRDefault="00EE41C8" w:rsidP="002827AC">
      <w:pPr>
        <w:ind w:firstLine="0"/>
        <w:rPr>
          <w:rFonts w:cs="Arial"/>
          <w:szCs w:val="22"/>
        </w:rPr>
      </w:pPr>
      <w:r w:rsidRPr="00EE41C8">
        <w:rPr>
          <w:rFonts w:cs="Arial"/>
          <w:szCs w:val="22"/>
        </w:rPr>
        <w:t>MMR</w:t>
      </w:r>
      <w:r w:rsidR="002827AC">
        <w:rPr>
          <w:rFonts w:cs="Arial"/>
          <w:szCs w:val="22"/>
        </w:rPr>
        <w:t xml:space="preserve"> je</w:t>
      </w:r>
      <w:r w:rsidRPr="00EE41C8">
        <w:rPr>
          <w:rFonts w:cs="Arial"/>
          <w:szCs w:val="22"/>
        </w:rPr>
        <w:t xml:space="preserve"> ústředním orgánem státní správy ve věcech regionální politiky, politiky bydlení, rozvoje domovního a bytového fondu a pro věci nájmu bytů a nebytových prostor, územního </w:t>
      </w:r>
      <w:r w:rsidRPr="00EE41C8">
        <w:rPr>
          <w:rFonts w:cs="Arial"/>
          <w:szCs w:val="22"/>
        </w:rPr>
        <w:lastRenderedPageBreak/>
        <w:t>plánování a stavebního řádu, vyvlastnění, investiční politiky, cestovního ruchu a</w:t>
      </w:r>
      <w:r w:rsidR="003E0FDC">
        <w:rPr>
          <w:rFonts w:cs="Arial"/>
          <w:szCs w:val="22"/>
        </w:rPr>
        <w:t> </w:t>
      </w:r>
      <w:r w:rsidRPr="00EE41C8">
        <w:rPr>
          <w:rFonts w:cs="Arial"/>
          <w:szCs w:val="22"/>
        </w:rPr>
        <w:t>pohřebnic</w:t>
      </w:r>
      <w:r w:rsidRPr="0077232E">
        <w:rPr>
          <w:rFonts w:cs="Arial"/>
          <w:szCs w:val="22"/>
        </w:rPr>
        <w:t>tví.</w:t>
      </w:r>
    </w:p>
    <w:p w:rsidR="0077232E" w:rsidRPr="0077232E" w:rsidRDefault="0077232E" w:rsidP="002827AC">
      <w:pPr>
        <w:ind w:firstLine="0"/>
        <w:rPr>
          <w:rFonts w:cs="Arial"/>
          <w:szCs w:val="22"/>
        </w:rPr>
      </w:pPr>
    </w:p>
    <w:p w:rsidR="002827AC" w:rsidRDefault="002827AC" w:rsidP="00D142C0">
      <w:pPr>
        <w:pStyle w:val="Default"/>
        <w:jc w:val="both"/>
        <w:rPr>
          <w:sz w:val="22"/>
          <w:szCs w:val="22"/>
        </w:rPr>
      </w:pPr>
      <w:r>
        <w:rPr>
          <w:sz w:val="22"/>
          <w:szCs w:val="22"/>
        </w:rPr>
        <w:t>MMR je organizační složkou státu</w:t>
      </w:r>
      <w:r w:rsidR="00D142C0">
        <w:rPr>
          <w:sz w:val="22"/>
          <w:szCs w:val="22"/>
        </w:rPr>
        <w:t xml:space="preserve"> (dále také „OSS“), samostatnou účetní jednotkou a</w:t>
      </w:r>
      <w:r w:rsidR="003E0FDC">
        <w:rPr>
          <w:sz w:val="22"/>
          <w:szCs w:val="22"/>
        </w:rPr>
        <w:t> </w:t>
      </w:r>
      <w:r w:rsidR="00D142C0">
        <w:rPr>
          <w:sz w:val="22"/>
          <w:szCs w:val="22"/>
        </w:rPr>
        <w:t xml:space="preserve">správcem rozpočtové kapitoly 317 – </w:t>
      </w:r>
      <w:r w:rsidR="00D142C0" w:rsidRPr="00A1159A">
        <w:rPr>
          <w:i/>
          <w:sz w:val="22"/>
          <w:szCs w:val="22"/>
        </w:rPr>
        <w:t>Ministerstvo pro místní rozvoj</w:t>
      </w:r>
      <w:r w:rsidR="00D142C0">
        <w:rPr>
          <w:sz w:val="22"/>
          <w:szCs w:val="22"/>
        </w:rPr>
        <w:t xml:space="preserve"> (dále také „kapitola MMR“).</w:t>
      </w:r>
    </w:p>
    <w:p w:rsidR="0077232E" w:rsidRPr="0077232E" w:rsidRDefault="0077232E" w:rsidP="0077232E">
      <w:pPr>
        <w:ind w:firstLine="0"/>
        <w:rPr>
          <w:rFonts w:cs="Arial"/>
          <w:color w:val="000000" w:themeColor="text1"/>
          <w:szCs w:val="22"/>
        </w:rPr>
      </w:pPr>
    </w:p>
    <w:p w:rsidR="00A1159A" w:rsidRDefault="008762AF" w:rsidP="0077232E">
      <w:pPr>
        <w:ind w:firstLine="0"/>
        <w:rPr>
          <w:rFonts w:cs="Arial"/>
          <w:color w:val="000000" w:themeColor="text1"/>
          <w:szCs w:val="22"/>
        </w:rPr>
      </w:pPr>
      <w:r w:rsidRPr="0077232E">
        <w:rPr>
          <w:rFonts w:eastAsia="Calibri" w:cs="Arial"/>
          <w:color w:val="000000" w:themeColor="text1"/>
          <w:szCs w:val="22"/>
        </w:rPr>
        <w:t>Tato k</w:t>
      </w:r>
      <w:r w:rsidR="00A1159A" w:rsidRPr="0077232E">
        <w:rPr>
          <w:rFonts w:eastAsia="Calibri" w:cs="Arial"/>
          <w:color w:val="000000" w:themeColor="text1"/>
          <w:szCs w:val="22"/>
        </w:rPr>
        <w:t>ontrol</w:t>
      </w:r>
      <w:r w:rsidRPr="0077232E">
        <w:rPr>
          <w:rFonts w:eastAsia="Calibri" w:cs="Arial"/>
          <w:color w:val="000000" w:themeColor="text1"/>
          <w:szCs w:val="22"/>
        </w:rPr>
        <w:t xml:space="preserve">ní akce byla zaměřena </w:t>
      </w:r>
      <w:r w:rsidR="00A1159A" w:rsidRPr="0077232E">
        <w:rPr>
          <w:rFonts w:eastAsia="Calibri" w:cs="Arial"/>
          <w:color w:val="000000" w:themeColor="text1"/>
          <w:szCs w:val="22"/>
        </w:rPr>
        <w:t>zejména na správnost, úplnost, průkaznost a</w:t>
      </w:r>
      <w:r w:rsidR="003E0FDC" w:rsidRPr="0077232E">
        <w:rPr>
          <w:rFonts w:eastAsia="Calibri" w:cs="Arial"/>
          <w:color w:val="000000" w:themeColor="text1"/>
          <w:szCs w:val="22"/>
        </w:rPr>
        <w:t> </w:t>
      </w:r>
      <w:r w:rsidR="00A1159A" w:rsidRPr="0077232E">
        <w:rPr>
          <w:rFonts w:eastAsia="Calibri" w:cs="Arial"/>
          <w:color w:val="000000" w:themeColor="text1"/>
          <w:szCs w:val="22"/>
        </w:rPr>
        <w:t>srozumitelnost vedení účetnictví a na dodržení uspořádání, označení a obsahového vymezení položek účetní závěrky</w:t>
      </w:r>
      <w:r w:rsidR="00391326" w:rsidRPr="0077232E">
        <w:rPr>
          <w:rFonts w:eastAsia="Calibri" w:cs="Arial"/>
          <w:color w:val="000000" w:themeColor="text1"/>
          <w:szCs w:val="22"/>
        </w:rPr>
        <w:t xml:space="preserve"> MMR sestavené k 31. </w:t>
      </w:r>
      <w:r w:rsidR="00380E23" w:rsidRPr="0077232E">
        <w:rPr>
          <w:rFonts w:eastAsia="Calibri" w:cs="Arial"/>
          <w:color w:val="000000" w:themeColor="text1"/>
          <w:szCs w:val="22"/>
        </w:rPr>
        <w:t xml:space="preserve">prosinci </w:t>
      </w:r>
      <w:r w:rsidR="00391326" w:rsidRPr="0077232E">
        <w:rPr>
          <w:rFonts w:eastAsia="Calibri" w:cs="Arial"/>
          <w:color w:val="000000" w:themeColor="text1"/>
          <w:szCs w:val="22"/>
        </w:rPr>
        <w:t>2012</w:t>
      </w:r>
      <w:r w:rsidR="00A1159A" w:rsidRPr="0077232E">
        <w:rPr>
          <w:rFonts w:eastAsia="Calibri" w:cs="Arial"/>
          <w:color w:val="000000" w:themeColor="text1"/>
          <w:szCs w:val="22"/>
        </w:rPr>
        <w:t>. Rovněž b</w:t>
      </w:r>
      <w:r w:rsidR="00C27669" w:rsidRPr="0077232E">
        <w:rPr>
          <w:rFonts w:eastAsia="Calibri" w:cs="Arial"/>
          <w:color w:val="000000" w:themeColor="text1"/>
          <w:szCs w:val="22"/>
        </w:rPr>
        <w:t>yla</w:t>
      </w:r>
      <w:r w:rsidR="00A1159A" w:rsidRPr="0077232E">
        <w:rPr>
          <w:rFonts w:eastAsia="Calibri" w:cs="Arial"/>
          <w:color w:val="000000" w:themeColor="text1"/>
          <w:szCs w:val="22"/>
        </w:rPr>
        <w:t xml:space="preserve"> ověřována správnost používaných účetních metod</w:t>
      </w:r>
      <w:r w:rsidR="00770B21">
        <w:rPr>
          <w:rFonts w:eastAsia="Calibri" w:cs="Arial"/>
          <w:color w:val="000000" w:themeColor="text1"/>
          <w:szCs w:val="22"/>
        </w:rPr>
        <w:t xml:space="preserve"> </w:t>
      </w:r>
      <w:r w:rsidR="00A1159A" w:rsidRPr="0077232E">
        <w:rPr>
          <w:rFonts w:eastAsia="Calibri" w:cs="Arial"/>
          <w:color w:val="000000" w:themeColor="text1"/>
          <w:szCs w:val="22"/>
        </w:rPr>
        <w:t>a ostatních podmínek vedení účetnictví stanovených novými prováděcími právními předpisy s účinností pro kontrolované období.</w:t>
      </w:r>
      <w:r w:rsidR="00C67D69" w:rsidRPr="0077232E">
        <w:rPr>
          <w:rFonts w:eastAsia="Calibri" w:cs="Arial"/>
          <w:color w:val="000000" w:themeColor="text1"/>
          <w:szCs w:val="22"/>
        </w:rPr>
        <w:t xml:space="preserve"> </w:t>
      </w:r>
      <w:r w:rsidR="00E824B0" w:rsidRPr="0077232E">
        <w:rPr>
          <w:rFonts w:eastAsia="Calibri" w:cs="Arial"/>
          <w:color w:val="000000" w:themeColor="text1"/>
          <w:szCs w:val="22"/>
        </w:rPr>
        <w:t>Zvýšená p</w:t>
      </w:r>
      <w:r w:rsidR="00447402" w:rsidRPr="0077232E">
        <w:rPr>
          <w:rFonts w:cs="Arial"/>
          <w:color w:val="000000" w:themeColor="text1"/>
          <w:szCs w:val="22"/>
        </w:rPr>
        <w:t>ozornost byla věnována účetní metodě odpisování dlouhodobého majetku, kter</w:t>
      </w:r>
      <w:r w:rsidR="00977F56">
        <w:rPr>
          <w:rFonts w:cs="Arial"/>
          <w:color w:val="000000" w:themeColor="text1"/>
          <w:szCs w:val="22"/>
        </w:rPr>
        <w:t>é</w:t>
      </w:r>
      <w:r w:rsidR="00447402" w:rsidRPr="0077232E">
        <w:rPr>
          <w:rFonts w:cs="Arial"/>
          <w:color w:val="000000" w:themeColor="text1"/>
          <w:szCs w:val="22"/>
        </w:rPr>
        <w:t xml:space="preserve"> organizační složky státu provedly poprvé v účetní závěrce sestavené k 31. prosinci 2011</w:t>
      </w:r>
      <w:r w:rsidR="00B97CC7" w:rsidRPr="0077232E">
        <w:rPr>
          <w:rFonts w:cs="Arial"/>
          <w:color w:val="000000" w:themeColor="text1"/>
          <w:szCs w:val="22"/>
        </w:rPr>
        <w:t>.</w:t>
      </w:r>
    </w:p>
    <w:p w:rsidR="0077232E" w:rsidRPr="0077232E" w:rsidRDefault="0077232E" w:rsidP="0077232E">
      <w:pPr>
        <w:ind w:firstLine="0"/>
        <w:rPr>
          <w:rFonts w:eastAsia="Calibri" w:cs="Arial"/>
          <w:color w:val="000000" w:themeColor="text1"/>
          <w:szCs w:val="22"/>
        </w:rPr>
      </w:pPr>
    </w:p>
    <w:p w:rsidR="00A1159A" w:rsidRDefault="00A1159A" w:rsidP="0077232E">
      <w:pPr>
        <w:ind w:firstLine="0"/>
        <w:rPr>
          <w:rFonts w:eastAsia="Calibri" w:cs="Arial"/>
          <w:color w:val="000000" w:themeColor="text1"/>
          <w:szCs w:val="22"/>
        </w:rPr>
      </w:pPr>
      <w:r w:rsidRPr="0077232E">
        <w:rPr>
          <w:rFonts w:eastAsia="Calibri" w:cs="Arial"/>
          <w:color w:val="000000" w:themeColor="text1"/>
          <w:szCs w:val="22"/>
        </w:rPr>
        <w:t xml:space="preserve">Vzhledem k tomu, že tato kontrolní akce </w:t>
      </w:r>
      <w:r w:rsidR="00C27669" w:rsidRPr="0077232E">
        <w:rPr>
          <w:rFonts w:eastAsia="Calibri" w:cs="Arial"/>
          <w:color w:val="000000" w:themeColor="text1"/>
          <w:szCs w:val="22"/>
        </w:rPr>
        <w:t>byla</w:t>
      </w:r>
      <w:r w:rsidR="00B93BDD" w:rsidRPr="0077232E">
        <w:rPr>
          <w:rFonts w:eastAsia="Calibri" w:cs="Arial"/>
          <w:color w:val="000000" w:themeColor="text1"/>
          <w:szCs w:val="22"/>
        </w:rPr>
        <w:t xml:space="preserve"> u této kontrolované osoby</w:t>
      </w:r>
      <w:r w:rsidRPr="0077232E">
        <w:rPr>
          <w:rFonts w:eastAsia="Calibri" w:cs="Arial"/>
          <w:color w:val="000000" w:themeColor="text1"/>
          <w:szCs w:val="22"/>
        </w:rPr>
        <w:t xml:space="preserve"> první kontrolou typu finanční audit po 1.</w:t>
      </w:r>
      <w:r w:rsidR="00D700D9" w:rsidRPr="0077232E">
        <w:rPr>
          <w:rFonts w:eastAsia="Calibri" w:cs="Arial"/>
          <w:color w:val="000000" w:themeColor="text1"/>
          <w:szCs w:val="22"/>
        </w:rPr>
        <w:t> lednu </w:t>
      </w:r>
      <w:r w:rsidRPr="0077232E">
        <w:rPr>
          <w:rFonts w:eastAsia="Calibri" w:cs="Arial"/>
          <w:color w:val="000000" w:themeColor="text1"/>
          <w:szCs w:val="22"/>
        </w:rPr>
        <w:t xml:space="preserve">2010, kdy </w:t>
      </w:r>
      <w:r w:rsidR="00977F56">
        <w:rPr>
          <w:rFonts w:eastAsia="Calibri" w:cs="Arial"/>
          <w:color w:val="000000" w:themeColor="text1"/>
          <w:szCs w:val="22"/>
        </w:rPr>
        <w:t>nabyly účinnosti</w:t>
      </w:r>
      <w:r w:rsidRPr="0077232E">
        <w:rPr>
          <w:rFonts w:eastAsia="Calibri" w:cs="Arial"/>
          <w:color w:val="000000" w:themeColor="text1"/>
          <w:szCs w:val="22"/>
        </w:rPr>
        <w:t xml:space="preserve"> nové právní předpisy pro oblast účetnictví, b</w:t>
      </w:r>
      <w:r w:rsidR="00C27669" w:rsidRPr="0077232E">
        <w:rPr>
          <w:rFonts w:eastAsia="Calibri" w:cs="Arial"/>
          <w:color w:val="000000" w:themeColor="text1"/>
          <w:szCs w:val="22"/>
        </w:rPr>
        <w:t>yla</w:t>
      </w:r>
      <w:r w:rsidRPr="0077232E">
        <w:rPr>
          <w:rFonts w:eastAsia="Calibri" w:cs="Arial"/>
          <w:color w:val="000000" w:themeColor="text1"/>
          <w:szCs w:val="22"/>
        </w:rPr>
        <w:t xml:space="preserve"> prověřena také správnost nastavení počátečních stavů účtů účetního období 2010 (ve vazbě na převodový můstek a na provedenou inventarizaci roku 2009). </w:t>
      </w:r>
    </w:p>
    <w:p w:rsidR="0077232E" w:rsidRPr="0077232E" w:rsidRDefault="0077232E" w:rsidP="0077232E">
      <w:pPr>
        <w:ind w:firstLine="0"/>
        <w:rPr>
          <w:rFonts w:eastAsia="Calibri" w:cs="Arial"/>
          <w:color w:val="000000" w:themeColor="text1"/>
          <w:szCs w:val="22"/>
        </w:rPr>
      </w:pPr>
    </w:p>
    <w:p w:rsidR="00A1159A" w:rsidRPr="0077232E" w:rsidRDefault="00A1159A" w:rsidP="0077232E">
      <w:pPr>
        <w:ind w:firstLine="0"/>
        <w:rPr>
          <w:rFonts w:eastAsia="Calibri" w:cs="Arial"/>
          <w:color w:val="000000" w:themeColor="text1"/>
          <w:szCs w:val="22"/>
        </w:rPr>
      </w:pPr>
      <w:r w:rsidRPr="0077232E">
        <w:rPr>
          <w:rFonts w:eastAsia="Calibri" w:cs="Arial"/>
          <w:color w:val="000000" w:themeColor="text1"/>
          <w:szCs w:val="22"/>
        </w:rPr>
        <w:t>V rámci finančních výkazů se kontrola zaměř</w:t>
      </w:r>
      <w:r w:rsidR="00C27669" w:rsidRPr="0077232E">
        <w:rPr>
          <w:rFonts w:eastAsia="Calibri" w:cs="Arial"/>
          <w:color w:val="000000" w:themeColor="text1"/>
          <w:szCs w:val="22"/>
        </w:rPr>
        <w:t>ila</w:t>
      </w:r>
      <w:r w:rsidRPr="0077232E">
        <w:rPr>
          <w:rFonts w:eastAsia="Calibri" w:cs="Arial"/>
          <w:color w:val="000000" w:themeColor="text1"/>
          <w:szCs w:val="22"/>
        </w:rPr>
        <w:t xml:space="preserve"> zejména na způsob, termíny a rozsah údajů předkládaných pro hodnocení plnění státního rozpočtu a na dodržení rozpočtové skladby. U</w:t>
      </w:r>
      <w:r w:rsidR="003E0FDC" w:rsidRPr="0077232E">
        <w:rPr>
          <w:rFonts w:eastAsia="Calibri" w:cs="Arial"/>
          <w:color w:val="000000" w:themeColor="text1"/>
          <w:szCs w:val="22"/>
        </w:rPr>
        <w:t> </w:t>
      </w:r>
      <w:r w:rsidRPr="0077232E">
        <w:rPr>
          <w:rFonts w:eastAsia="Calibri" w:cs="Arial"/>
          <w:color w:val="000000" w:themeColor="text1"/>
          <w:szCs w:val="22"/>
        </w:rPr>
        <w:t xml:space="preserve">závěrečného účtu </w:t>
      </w:r>
      <w:r w:rsidR="00C27669" w:rsidRPr="0077232E">
        <w:rPr>
          <w:rFonts w:eastAsia="Calibri" w:cs="Arial"/>
          <w:color w:val="000000" w:themeColor="text1"/>
          <w:szCs w:val="22"/>
        </w:rPr>
        <w:t>bylo posouzeno</w:t>
      </w:r>
      <w:r w:rsidRPr="0077232E">
        <w:rPr>
          <w:rFonts w:eastAsia="Calibri" w:cs="Arial"/>
          <w:color w:val="000000" w:themeColor="text1"/>
          <w:szCs w:val="22"/>
        </w:rPr>
        <w:t>, zda poskytuje všechny předepsané informace dle právního předpisu.</w:t>
      </w:r>
    </w:p>
    <w:p w:rsidR="00995C74" w:rsidRPr="0077232E" w:rsidRDefault="00995C74" w:rsidP="0077232E">
      <w:pPr>
        <w:ind w:firstLine="0"/>
        <w:rPr>
          <w:rFonts w:cs="Arial"/>
          <w:color w:val="000000" w:themeColor="text1"/>
          <w:szCs w:val="22"/>
        </w:rPr>
      </w:pPr>
    </w:p>
    <w:p w:rsidR="00D55C84" w:rsidRDefault="00447402" w:rsidP="00164D44">
      <w:pPr>
        <w:ind w:firstLine="0"/>
        <w:rPr>
          <w:rFonts w:cs="Arial"/>
          <w:color w:val="000000"/>
        </w:rPr>
      </w:pPr>
      <w:bookmarkStart w:id="0" w:name="_Toc279409352"/>
      <w:r>
        <w:rPr>
          <w:rFonts w:cs="Arial"/>
          <w:color w:val="000000"/>
        </w:rPr>
        <w:t>P</w:t>
      </w:r>
      <w:r w:rsidR="00AC4B8B" w:rsidRPr="00017E0A">
        <w:rPr>
          <w:rFonts w:cs="Arial"/>
          <w:color w:val="000000"/>
        </w:rPr>
        <w:t>oložky</w:t>
      </w:r>
      <w:r w:rsidR="00D55C84">
        <w:rPr>
          <w:rFonts w:cs="Arial"/>
          <w:color w:val="000000"/>
        </w:rPr>
        <w:t xml:space="preserve"> účetní závěrky a finančních výkazů</w:t>
      </w:r>
      <w:r w:rsidR="00C67D69">
        <w:rPr>
          <w:rFonts w:cs="Arial"/>
          <w:color w:val="000000"/>
        </w:rPr>
        <w:t xml:space="preserve"> </w:t>
      </w:r>
      <w:r w:rsidR="00F33867">
        <w:rPr>
          <w:rFonts w:cs="Arial"/>
          <w:color w:val="000000"/>
        </w:rPr>
        <w:t>k </w:t>
      </w:r>
      <w:r w:rsidR="00AC4B8B" w:rsidRPr="00017E0A">
        <w:rPr>
          <w:rFonts w:cs="Arial"/>
          <w:color w:val="000000"/>
        </w:rPr>
        <w:t xml:space="preserve">podrobnému testování byly </w:t>
      </w:r>
      <w:r w:rsidR="00F07B3A" w:rsidRPr="00017E0A">
        <w:rPr>
          <w:rFonts w:cs="Arial"/>
          <w:color w:val="000000"/>
        </w:rPr>
        <w:t>vyb</w:t>
      </w:r>
      <w:r>
        <w:rPr>
          <w:rFonts w:cs="Arial"/>
          <w:color w:val="000000"/>
        </w:rPr>
        <w:t>í</w:t>
      </w:r>
      <w:r w:rsidR="00F07B3A" w:rsidRPr="00017E0A">
        <w:rPr>
          <w:rFonts w:cs="Arial"/>
          <w:color w:val="000000"/>
        </w:rPr>
        <w:t>rány</w:t>
      </w:r>
      <w:r w:rsidR="00C67D69">
        <w:rPr>
          <w:rFonts w:cs="Arial"/>
          <w:color w:val="000000"/>
        </w:rPr>
        <w:t xml:space="preserve"> </w:t>
      </w:r>
      <w:r w:rsidR="00F33867">
        <w:rPr>
          <w:rFonts w:cs="Arial"/>
          <w:color w:val="000000"/>
        </w:rPr>
        <w:t>v </w:t>
      </w:r>
      <w:r w:rsidR="00AC4B8B" w:rsidRPr="00017E0A">
        <w:rPr>
          <w:rFonts w:cs="Arial"/>
          <w:color w:val="000000"/>
        </w:rPr>
        <w:t xml:space="preserve">návaznosti na jejich </w:t>
      </w:r>
      <w:r w:rsidR="00D55C84">
        <w:rPr>
          <w:rFonts w:cs="Arial"/>
          <w:color w:val="000000"/>
        </w:rPr>
        <w:t>významnost a s ohledem na</w:t>
      </w:r>
      <w:r>
        <w:rPr>
          <w:rFonts w:cs="Arial"/>
          <w:color w:val="000000"/>
        </w:rPr>
        <w:t xml:space="preserve"> identifikované</w:t>
      </w:r>
      <w:r w:rsidR="00D55C84">
        <w:rPr>
          <w:rFonts w:cs="Arial"/>
          <w:color w:val="000000"/>
        </w:rPr>
        <w:t xml:space="preserve"> riziko. </w:t>
      </w:r>
    </w:p>
    <w:p w:rsidR="00447402" w:rsidRDefault="00447402" w:rsidP="00164D44">
      <w:pPr>
        <w:ind w:firstLine="0"/>
        <w:rPr>
          <w:rFonts w:cs="Arial"/>
          <w:color w:val="000000"/>
        </w:rPr>
      </w:pPr>
    </w:p>
    <w:bookmarkEnd w:id="0"/>
    <w:p w:rsidR="001A1086" w:rsidRDefault="00D54265" w:rsidP="0077232E">
      <w:pPr>
        <w:ind w:left="567" w:hanging="567"/>
        <w:jc w:val="left"/>
        <w:rPr>
          <w:rFonts w:cs="Arial"/>
          <w:color w:val="000000"/>
          <w:sz w:val="18"/>
          <w:szCs w:val="18"/>
        </w:rPr>
      </w:pPr>
      <w:r w:rsidRPr="0077232E">
        <w:rPr>
          <w:rFonts w:cs="Arial"/>
          <w:b/>
          <w:color w:val="000000"/>
          <w:sz w:val="18"/>
          <w:szCs w:val="18"/>
        </w:rPr>
        <w:t>Pozn.:</w:t>
      </w:r>
      <w:r w:rsidR="00380E23">
        <w:rPr>
          <w:rFonts w:cs="Arial"/>
          <w:color w:val="000000"/>
          <w:sz w:val="18"/>
          <w:szCs w:val="18"/>
        </w:rPr>
        <w:tab/>
      </w:r>
      <w:r w:rsidRPr="00164D44">
        <w:rPr>
          <w:rFonts w:cs="Arial"/>
          <w:color w:val="000000"/>
          <w:sz w:val="18"/>
          <w:szCs w:val="18"/>
        </w:rPr>
        <w:t>Všechny právní předpisy uvedené v tomto kontrolním závěru jsou aplikovány ve znění účinném pro kontrolované období.</w:t>
      </w:r>
    </w:p>
    <w:p w:rsidR="00504797" w:rsidRPr="003E0FDC" w:rsidRDefault="00504797" w:rsidP="00187FC0">
      <w:pPr>
        <w:ind w:left="652" w:hanging="652"/>
        <w:jc w:val="left"/>
        <w:rPr>
          <w:rFonts w:cs="Arial"/>
          <w:color w:val="000000"/>
          <w:szCs w:val="22"/>
        </w:rPr>
      </w:pPr>
    </w:p>
    <w:p w:rsidR="00504797" w:rsidRPr="003E0FDC" w:rsidRDefault="00504797" w:rsidP="00187FC0">
      <w:pPr>
        <w:ind w:left="652" w:hanging="652"/>
        <w:jc w:val="left"/>
        <w:rPr>
          <w:rFonts w:cs="Arial"/>
          <w:color w:val="000000"/>
          <w:szCs w:val="22"/>
        </w:rPr>
      </w:pPr>
    </w:p>
    <w:p w:rsidR="00AC4B8B" w:rsidRPr="00A91338" w:rsidRDefault="00AC4B8B" w:rsidP="00AC4B8B">
      <w:pPr>
        <w:jc w:val="center"/>
        <w:rPr>
          <w:rFonts w:cs="Arial"/>
          <w:b/>
          <w:color w:val="000000"/>
          <w:sz w:val="24"/>
        </w:rPr>
      </w:pPr>
      <w:r w:rsidRPr="00A91338">
        <w:rPr>
          <w:rFonts w:cs="Arial"/>
          <w:b/>
          <w:color w:val="000000"/>
          <w:sz w:val="24"/>
        </w:rPr>
        <w:t>II. Skutečnosti zjištěné při kontrole</w:t>
      </w:r>
    </w:p>
    <w:p w:rsidR="00AC4B8B" w:rsidRPr="0077232E" w:rsidRDefault="00AC4B8B" w:rsidP="0077232E">
      <w:pPr>
        <w:ind w:firstLine="0"/>
        <w:rPr>
          <w:rFonts w:cs="Arial"/>
          <w:color w:val="000000"/>
          <w:szCs w:val="22"/>
        </w:rPr>
      </w:pPr>
    </w:p>
    <w:p w:rsidR="001A1086" w:rsidRPr="0077232E" w:rsidRDefault="00B87E1C" w:rsidP="0077232E">
      <w:pPr>
        <w:ind w:firstLine="0"/>
        <w:rPr>
          <w:b/>
        </w:rPr>
      </w:pPr>
      <w:r w:rsidRPr="0077232E">
        <w:rPr>
          <w:b/>
        </w:rPr>
        <w:t xml:space="preserve">1. </w:t>
      </w:r>
      <w:r w:rsidR="00AC4B8B" w:rsidRPr="0077232E">
        <w:rPr>
          <w:b/>
        </w:rPr>
        <w:t xml:space="preserve">Účetní závěrka </w:t>
      </w:r>
      <w:r w:rsidR="00822B97" w:rsidRPr="0077232E">
        <w:rPr>
          <w:b/>
        </w:rPr>
        <w:t xml:space="preserve">MMR </w:t>
      </w:r>
      <w:r w:rsidR="00F33867" w:rsidRPr="0077232E">
        <w:rPr>
          <w:b/>
        </w:rPr>
        <w:t>k </w:t>
      </w:r>
      <w:r w:rsidR="00AC4B8B" w:rsidRPr="0077232E">
        <w:rPr>
          <w:b/>
        </w:rPr>
        <w:t>31. prosinci 201</w:t>
      </w:r>
      <w:r w:rsidR="00822B97" w:rsidRPr="0077232E">
        <w:rPr>
          <w:b/>
        </w:rPr>
        <w:t>2</w:t>
      </w:r>
    </w:p>
    <w:p w:rsidR="00AC4B8B" w:rsidRPr="00F935DC" w:rsidRDefault="00AC4B8B" w:rsidP="0077232E">
      <w:pPr>
        <w:ind w:firstLine="0"/>
        <w:rPr>
          <w:rFonts w:cs="Arial"/>
          <w:color w:val="000000"/>
        </w:rPr>
      </w:pPr>
    </w:p>
    <w:p w:rsidR="00AC4B8B" w:rsidRDefault="00B87E1C" w:rsidP="0077232E">
      <w:pPr>
        <w:tabs>
          <w:tab w:val="right" w:pos="9072"/>
        </w:tabs>
        <w:spacing w:after="40"/>
        <w:ind w:left="1622" w:hanging="1622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Tabulka č. 1 – </w:t>
      </w:r>
      <w:r w:rsidR="00822B97">
        <w:rPr>
          <w:rFonts w:cs="Arial"/>
          <w:b/>
          <w:color w:val="000000"/>
        </w:rPr>
        <w:t xml:space="preserve">Základní údaje účetní závěrky </w:t>
      </w:r>
      <w:r w:rsidR="0007381F">
        <w:rPr>
          <w:rFonts w:cs="Arial"/>
          <w:b/>
          <w:color w:val="000000"/>
        </w:rPr>
        <w:t>MMR k 31. prosinci 2012</w:t>
      </w:r>
      <w:r w:rsidR="0007381F">
        <w:rPr>
          <w:rFonts w:cs="Arial"/>
          <w:b/>
          <w:color w:val="000000"/>
        </w:rPr>
        <w:tab/>
      </w:r>
      <w:r w:rsidR="00AC4B8B" w:rsidRPr="004823CA">
        <w:rPr>
          <w:rFonts w:cs="Arial"/>
          <w:b/>
          <w:color w:val="000000"/>
        </w:rPr>
        <w:t>(</w:t>
      </w:r>
      <w:r w:rsidR="00F33867">
        <w:rPr>
          <w:rFonts w:cs="Arial"/>
          <w:b/>
          <w:color w:val="000000"/>
        </w:rPr>
        <w:t>v </w:t>
      </w:r>
      <w:r w:rsidR="00AC4B8B" w:rsidRPr="004823CA">
        <w:rPr>
          <w:rFonts w:cs="Arial"/>
          <w:b/>
          <w:color w:val="000000"/>
        </w:rPr>
        <w:t>Kč)</w:t>
      </w:r>
    </w:p>
    <w:tbl>
      <w:tblPr>
        <w:tblW w:w="4895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86"/>
        <w:gridCol w:w="5331"/>
      </w:tblGrid>
      <w:tr w:rsidR="00C37870" w:rsidRPr="0077232E" w:rsidTr="0077232E">
        <w:trPr>
          <w:trHeight w:val="283"/>
          <w:jc w:val="center"/>
        </w:trPr>
        <w:tc>
          <w:tcPr>
            <w:tcW w:w="20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Ukazatel</w:t>
            </w:r>
          </w:p>
        </w:tc>
        <w:tc>
          <w:tcPr>
            <w:tcW w:w="295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Účetní hodnota</w:t>
            </w:r>
          </w:p>
        </w:tc>
      </w:tr>
      <w:tr w:rsidR="00C37870" w:rsidRPr="0077232E" w:rsidTr="0077232E">
        <w:trPr>
          <w:trHeight w:val="283"/>
          <w:jc w:val="center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Aktiva (netto)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70" w:rsidRPr="0077232E" w:rsidRDefault="00C37870" w:rsidP="0077232E">
            <w:pPr>
              <w:ind w:right="1708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8 888 238 190,49</w:t>
            </w:r>
          </w:p>
        </w:tc>
      </w:tr>
      <w:tr w:rsidR="00C37870" w:rsidRPr="0077232E" w:rsidTr="0077232E">
        <w:trPr>
          <w:trHeight w:val="283"/>
          <w:jc w:val="center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Pasiva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70" w:rsidRPr="0077232E" w:rsidRDefault="00C37870" w:rsidP="0077232E">
            <w:pPr>
              <w:ind w:right="1708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8 888 238 190,49</w:t>
            </w:r>
          </w:p>
        </w:tc>
      </w:tr>
      <w:tr w:rsidR="00C37870" w:rsidRPr="0077232E" w:rsidTr="0077232E">
        <w:trPr>
          <w:trHeight w:val="283"/>
          <w:jc w:val="center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70" w:rsidRPr="0077232E" w:rsidRDefault="00C37870" w:rsidP="0077232E">
            <w:pPr>
              <w:ind w:right="1708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20 808 632 824,60</w:t>
            </w:r>
          </w:p>
        </w:tc>
      </w:tr>
      <w:tr w:rsidR="00C37870" w:rsidRPr="0077232E" w:rsidTr="0077232E">
        <w:trPr>
          <w:trHeight w:val="283"/>
          <w:jc w:val="center"/>
        </w:trPr>
        <w:tc>
          <w:tcPr>
            <w:tcW w:w="2044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37870" w:rsidRPr="0077232E" w:rsidRDefault="00C37870" w:rsidP="0077232E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Výnosy</w:t>
            </w:r>
          </w:p>
        </w:tc>
        <w:tc>
          <w:tcPr>
            <w:tcW w:w="295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37870" w:rsidRPr="0077232E" w:rsidRDefault="00C37870" w:rsidP="0077232E">
            <w:pPr>
              <w:ind w:right="1708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16 314 849 672,00</w:t>
            </w:r>
          </w:p>
        </w:tc>
      </w:tr>
    </w:tbl>
    <w:p w:rsidR="00C37870" w:rsidRPr="003E0FDC" w:rsidRDefault="00F35867" w:rsidP="0077232E">
      <w:pPr>
        <w:tabs>
          <w:tab w:val="right" w:pos="9072"/>
        </w:tabs>
        <w:spacing w:before="40"/>
        <w:ind w:left="1622" w:hanging="1622"/>
        <w:rPr>
          <w:rFonts w:cs="Arial"/>
          <w:color w:val="000000"/>
          <w:sz w:val="18"/>
          <w:szCs w:val="18"/>
        </w:rPr>
      </w:pPr>
      <w:r w:rsidRPr="00D700D9">
        <w:rPr>
          <w:rFonts w:cs="Arial"/>
          <w:b/>
          <w:color w:val="000000"/>
          <w:sz w:val="18"/>
          <w:szCs w:val="18"/>
        </w:rPr>
        <w:t>Zdroj</w:t>
      </w:r>
      <w:r w:rsidRPr="00977F56">
        <w:rPr>
          <w:rFonts w:cs="Arial"/>
          <w:b/>
          <w:color w:val="000000"/>
          <w:sz w:val="18"/>
          <w:szCs w:val="18"/>
        </w:rPr>
        <w:t>:</w:t>
      </w:r>
      <w:r w:rsidRPr="003E0FDC">
        <w:rPr>
          <w:rFonts w:cs="Arial"/>
          <w:color w:val="000000"/>
          <w:sz w:val="18"/>
          <w:szCs w:val="18"/>
        </w:rPr>
        <w:t xml:space="preserve"> účetní závěrka MMR k 31. prosinci 2012</w:t>
      </w:r>
      <w:r w:rsidR="00977F56">
        <w:rPr>
          <w:rFonts w:cs="Arial"/>
          <w:color w:val="000000"/>
          <w:sz w:val="18"/>
          <w:szCs w:val="18"/>
        </w:rPr>
        <w:t>.</w:t>
      </w:r>
    </w:p>
    <w:p w:rsidR="00C37870" w:rsidRPr="0077232E" w:rsidRDefault="00C37870" w:rsidP="0007381F">
      <w:pPr>
        <w:tabs>
          <w:tab w:val="right" w:pos="9072"/>
        </w:tabs>
        <w:ind w:left="1622" w:hanging="1622"/>
        <w:rPr>
          <w:rFonts w:cs="Arial"/>
          <w:color w:val="000000"/>
        </w:rPr>
      </w:pPr>
    </w:p>
    <w:p w:rsidR="00C37870" w:rsidRDefault="00A62461" w:rsidP="0077232E">
      <w:pPr>
        <w:tabs>
          <w:tab w:val="right" w:pos="9072"/>
        </w:tabs>
        <w:spacing w:after="40"/>
        <w:ind w:left="1622" w:hanging="1622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t xml:space="preserve">Tabulka č. 2 – Údaje za běžné období z výkazu </w:t>
      </w:r>
      <w:r w:rsidR="00977F56">
        <w:rPr>
          <w:rFonts w:cs="Arial"/>
          <w:b/>
          <w:color w:val="000000"/>
        </w:rPr>
        <w:t>r</w:t>
      </w:r>
      <w:r>
        <w:rPr>
          <w:rFonts w:cs="Arial"/>
          <w:b/>
          <w:color w:val="000000"/>
        </w:rPr>
        <w:t xml:space="preserve">ozvaha k 31. </w:t>
      </w:r>
      <w:r w:rsidR="00EF4690">
        <w:rPr>
          <w:rFonts w:cs="Arial"/>
          <w:b/>
          <w:color w:val="000000"/>
        </w:rPr>
        <w:t>p</w:t>
      </w:r>
      <w:r>
        <w:rPr>
          <w:rFonts w:cs="Arial"/>
          <w:b/>
          <w:color w:val="000000"/>
        </w:rPr>
        <w:t>rosinci 2012</w:t>
      </w:r>
      <w:r w:rsidR="003E0FDC">
        <w:rPr>
          <w:rFonts w:cs="Arial"/>
          <w:b/>
          <w:color w:val="000000"/>
        </w:rPr>
        <w:tab/>
      </w:r>
      <w:r w:rsidR="00F35867" w:rsidRPr="004823CA">
        <w:rPr>
          <w:rFonts w:cs="Arial"/>
          <w:b/>
          <w:color w:val="000000"/>
        </w:rPr>
        <w:t>(</w:t>
      </w:r>
      <w:r w:rsidR="00F35867">
        <w:rPr>
          <w:rFonts w:cs="Arial"/>
          <w:b/>
          <w:color w:val="000000"/>
        </w:rPr>
        <w:t>v </w:t>
      </w:r>
      <w:r w:rsidR="00F35867" w:rsidRPr="004823CA">
        <w:rPr>
          <w:rFonts w:cs="Arial"/>
          <w:b/>
          <w:color w:val="000000"/>
        </w:rPr>
        <w:t>Kč)</w:t>
      </w:r>
    </w:p>
    <w:tbl>
      <w:tblPr>
        <w:tblW w:w="9068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0"/>
        <w:gridCol w:w="1560"/>
        <w:gridCol w:w="1580"/>
        <w:gridCol w:w="1469"/>
        <w:gridCol w:w="1559"/>
        <w:gridCol w:w="1540"/>
      </w:tblGrid>
      <w:tr w:rsidR="001252A0" w:rsidRPr="0077232E" w:rsidTr="0077232E">
        <w:trPr>
          <w:trHeight w:val="283"/>
          <w:jc w:val="center"/>
        </w:trPr>
        <w:tc>
          <w:tcPr>
            <w:tcW w:w="45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Aktiva (v netto hodnotě)</w:t>
            </w:r>
          </w:p>
        </w:tc>
        <w:tc>
          <w:tcPr>
            <w:tcW w:w="456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Pasiva</w:t>
            </w:r>
          </w:p>
        </w:tc>
      </w:tr>
      <w:tr w:rsidR="001252A0" w:rsidRPr="0077232E" w:rsidTr="0077232E">
        <w:trPr>
          <w:trHeight w:val="28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Stálá aktiva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Oběžná aktiva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Aktiva celkem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Vlastní kapitál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Cizí zdroje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252A0" w:rsidRPr="0077232E" w:rsidRDefault="001252A0" w:rsidP="001252A0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Pasiva celkem</w:t>
            </w:r>
          </w:p>
        </w:tc>
      </w:tr>
      <w:tr w:rsidR="001252A0" w:rsidRPr="0077232E" w:rsidTr="0077232E">
        <w:trPr>
          <w:trHeight w:val="283"/>
          <w:jc w:val="center"/>
        </w:trPr>
        <w:tc>
          <w:tcPr>
            <w:tcW w:w="13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841 685 670,54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8 046 552 519,95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8 888 238 190,49</w:t>
            </w:r>
          </w:p>
        </w:tc>
        <w:tc>
          <w:tcPr>
            <w:tcW w:w="14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7 310 913 772,37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1 577 324 418,12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252A0" w:rsidRPr="0077232E" w:rsidRDefault="001252A0" w:rsidP="0077232E">
            <w:pPr>
              <w:ind w:right="57" w:firstLine="0"/>
              <w:jc w:val="right"/>
              <w:rPr>
                <w:rFonts w:cs="Arial"/>
                <w:color w:val="000000"/>
                <w:sz w:val="16"/>
                <w:szCs w:val="16"/>
                <w:lang w:eastAsia="cs-CZ"/>
              </w:rPr>
            </w:pPr>
            <w:r w:rsidRPr="0077232E">
              <w:rPr>
                <w:rFonts w:cs="Arial"/>
                <w:color w:val="000000"/>
                <w:sz w:val="16"/>
                <w:szCs w:val="16"/>
                <w:lang w:eastAsia="cs-CZ"/>
              </w:rPr>
              <w:t>8 888 238 190,49</w:t>
            </w:r>
          </w:p>
        </w:tc>
      </w:tr>
    </w:tbl>
    <w:p w:rsidR="001252A0" w:rsidRPr="003E0FDC" w:rsidRDefault="00F35867" w:rsidP="0077232E">
      <w:pPr>
        <w:tabs>
          <w:tab w:val="right" w:pos="9072"/>
        </w:tabs>
        <w:spacing w:before="40"/>
        <w:ind w:left="1622" w:hanging="1622"/>
        <w:rPr>
          <w:rFonts w:cs="Arial"/>
          <w:color w:val="000000"/>
          <w:sz w:val="18"/>
          <w:szCs w:val="18"/>
        </w:rPr>
      </w:pPr>
      <w:r w:rsidRPr="00D700D9">
        <w:rPr>
          <w:rFonts w:cs="Arial"/>
          <w:b/>
          <w:color w:val="000000"/>
          <w:sz w:val="18"/>
          <w:szCs w:val="18"/>
        </w:rPr>
        <w:t>Zdroj</w:t>
      </w:r>
      <w:r w:rsidRPr="00977F56">
        <w:rPr>
          <w:rFonts w:cs="Arial"/>
          <w:b/>
          <w:color w:val="000000"/>
          <w:sz w:val="18"/>
          <w:szCs w:val="18"/>
        </w:rPr>
        <w:t>:</w:t>
      </w:r>
      <w:r w:rsidRPr="003E0FDC">
        <w:rPr>
          <w:rFonts w:cs="Arial"/>
          <w:color w:val="000000"/>
          <w:sz w:val="18"/>
          <w:szCs w:val="18"/>
        </w:rPr>
        <w:t xml:space="preserve"> účetní závěrka MMR k 31. prosinci 2012</w:t>
      </w:r>
      <w:r w:rsidR="00977F56">
        <w:rPr>
          <w:rFonts w:cs="Arial"/>
          <w:color w:val="000000"/>
          <w:sz w:val="18"/>
          <w:szCs w:val="18"/>
        </w:rPr>
        <w:t>.</w:t>
      </w:r>
    </w:p>
    <w:p w:rsidR="003E0FDC" w:rsidRPr="003E0FDC" w:rsidRDefault="003E0FDC" w:rsidP="0007381F">
      <w:pPr>
        <w:tabs>
          <w:tab w:val="right" w:pos="9072"/>
        </w:tabs>
        <w:ind w:left="1622" w:hanging="1622"/>
        <w:rPr>
          <w:rFonts w:cs="Arial"/>
          <w:color w:val="000000"/>
          <w:sz w:val="20"/>
          <w:szCs w:val="20"/>
        </w:rPr>
      </w:pPr>
    </w:p>
    <w:p w:rsidR="00977F56" w:rsidRDefault="00977F56">
      <w:pPr>
        <w:ind w:firstLine="0"/>
        <w:jc w:val="left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br w:type="page"/>
      </w:r>
    </w:p>
    <w:p w:rsidR="00F35867" w:rsidRDefault="00F35867" w:rsidP="0077232E">
      <w:pPr>
        <w:tabs>
          <w:tab w:val="right" w:pos="9072"/>
        </w:tabs>
        <w:spacing w:after="40"/>
        <w:ind w:left="1622" w:hanging="1622"/>
        <w:rPr>
          <w:rFonts w:cs="Arial"/>
          <w:b/>
          <w:color w:val="000000"/>
        </w:rPr>
      </w:pPr>
      <w:r>
        <w:rPr>
          <w:rFonts w:cs="Arial"/>
          <w:b/>
          <w:color w:val="000000"/>
        </w:rPr>
        <w:lastRenderedPageBreak/>
        <w:t>Tabulka č. 3 – Údaje za běžné období z </w:t>
      </w:r>
      <w:r w:rsidR="00977F56">
        <w:rPr>
          <w:rFonts w:cs="Arial"/>
          <w:b/>
          <w:color w:val="000000"/>
        </w:rPr>
        <w:t>v</w:t>
      </w:r>
      <w:r>
        <w:rPr>
          <w:rFonts w:cs="Arial"/>
          <w:b/>
          <w:color w:val="000000"/>
        </w:rPr>
        <w:t>ýkazu zisku a ztráty k 31. prosinci 2012</w:t>
      </w:r>
      <w:r w:rsidR="003E0FDC">
        <w:rPr>
          <w:rFonts w:cs="Arial"/>
          <w:b/>
          <w:color w:val="000000"/>
        </w:rPr>
        <w:tab/>
      </w:r>
      <w:r w:rsidRPr="004823CA">
        <w:rPr>
          <w:rFonts w:cs="Arial"/>
          <w:b/>
          <w:color w:val="000000"/>
        </w:rPr>
        <w:t>(</w:t>
      </w:r>
      <w:r>
        <w:rPr>
          <w:rFonts w:cs="Arial"/>
          <w:b/>
          <w:color w:val="000000"/>
        </w:rPr>
        <w:t>v </w:t>
      </w:r>
      <w:r w:rsidRPr="004823CA">
        <w:rPr>
          <w:rFonts w:cs="Arial"/>
          <w:b/>
          <w:color w:val="000000"/>
        </w:rPr>
        <w:t>Kč)</w:t>
      </w:r>
    </w:p>
    <w:tbl>
      <w:tblPr>
        <w:tblW w:w="491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59"/>
        <w:gridCol w:w="2276"/>
        <w:gridCol w:w="4417"/>
      </w:tblGrid>
      <w:tr w:rsidR="00F35867" w:rsidRPr="0077232E" w:rsidTr="0077232E">
        <w:trPr>
          <w:trHeight w:val="283"/>
          <w:jc w:val="center"/>
        </w:trPr>
        <w:tc>
          <w:tcPr>
            <w:tcW w:w="13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35867" w:rsidRPr="0077232E" w:rsidRDefault="00F35867" w:rsidP="00F3586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Náklady</w:t>
            </w:r>
          </w:p>
        </w:tc>
        <w:tc>
          <w:tcPr>
            <w:tcW w:w="125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35867" w:rsidRPr="0077232E" w:rsidRDefault="00F35867" w:rsidP="00F3586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Výnosy</w:t>
            </w:r>
          </w:p>
        </w:tc>
        <w:tc>
          <w:tcPr>
            <w:tcW w:w="244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F35867" w:rsidRPr="0077232E" w:rsidRDefault="00F35867" w:rsidP="00F3586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Výsledek hospodaření po zdanění</w:t>
            </w:r>
          </w:p>
        </w:tc>
      </w:tr>
      <w:tr w:rsidR="00F35867" w:rsidRPr="0077232E" w:rsidTr="0077232E">
        <w:trPr>
          <w:trHeight w:val="283"/>
          <w:jc w:val="center"/>
        </w:trPr>
        <w:tc>
          <w:tcPr>
            <w:tcW w:w="130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5867" w:rsidRPr="0077232E" w:rsidRDefault="00F35867" w:rsidP="00F3586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20 808 632 824,60</w:t>
            </w:r>
          </w:p>
        </w:tc>
        <w:tc>
          <w:tcPr>
            <w:tcW w:w="125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67" w:rsidRPr="0077232E" w:rsidRDefault="00F35867" w:rsidP="00F35867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16 314 849 672,00</w:t>
            </w:r>
          </w:p>
        </w:tc>
        <w:tc>
          <w:tcPr>
            <w:tcW w:w="244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5867" w:rsidRPr="0077232E" w:rsidRDefault="00F35867" w:rsidP="0077232E">
            <w:pPr>
              <w:ind w:right="627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7232E">
              <w:rPr>
                <w:rFonts w:cs="Arial"/>
                <w:color w:val="000000"/>
                <w:sz w:val="18"/>
                <w:szCs w:val="18"/>
                <w:lang w:eastAsia="cs-CZ"/>
              </w:rPr>
              <w:t>-4 493 783 152,60</w:t>
            </w:r>
          </w:p>
        </w:tc>
      </w:tr>
    </w:tbl>
    <w:p w:rsidR="001252A0" w:rsidRDefault="00E44639" w:rsidP="0077232E">
      <w:pPr>
        <w:tabs>
          <w:tab w:val="right" w:pos="9072"/>
        </w:tabs>
        <w:spacing w:before="40"/>
        <w:ind w:left="1622" w:hanging="1622"/>
        <w:rPr>
          <w:rFonts w:cs="Arial"/>
          <w:color w:val="000000"/>
          <w:sz w:val="18"/>
          <w:szCs w:val="18"/>
        </w:rPr>
      </w:pPr>
      <w:r w:rsidRPr="00D700D9">
        <w:rPr>
          <w:rFonts w:cs="Arial"/>
          <w:b/>
          <w:color w:val="000000"/>
          <w:sz w:val="18"/>
          <w:szCs w:val="18"/>
        </w:rPr>
        <w:t>Zdroj</w:t>
      </w:r>
      <w:r w:rsidRPr="00977F56">
        <w:rPr>
          <w:rFonts w:cs="Arial"/>
          <w:b/>
          <w:color w:val="000000"/>
          <w:sz w:val="18"/>
          <w:szCs w:val="18"/>
        </w:rPr>
        <w:t>:</w:t>
      </w:r>
      <w:r w:rsidRPr="003E0FDC">
        <w:rPr>
          <w:rFonts w:cs="Arial"/>
          <w:color w:val="000000"/>
          <w:sz w:val="18"/>
          <w:szCs w:val="18"/>
        </w:rPr>
        <w:t xml:space="preserve"> účetní závěrka MMR k 31. prosinci 2012</w:t>
      </w:r>
      <w:r w:rsidR="00977F56">
        <w:rPr>
          <w:rFonts w:cs="Arial"/>
          <w:color w:val="000000"/>
          <w:sz w:val="18"/>
          <w:szCs w:val="18"/>
        </w:rPr>
        <w:t>.</w:t>
      </w:r>
    </w:p>
    <w:p w:rsidR="003E0FDC" w:rsidRPr="007113E1" w:rsidRDefault="003E0FDC" w:rsidP="007113E1">
      <w:pPr>
        <w:tabs>
          <w:tab w:val="right" w:pos="9072"/>
        </w:tabs>
        <w:ind w:firstLine="0"/>
        <w:rPr>
          <w:rFonts w:cs="Arial"/>
          <w:color w:val="000000"/>
          <w:szCs w:val="22"/>
        </w:rPr>
      </w:pPr>
    </w:p>
    <w:p w:rsidR="00380E23" w:rsidRDefault="008E492A" w:rsidP="007113E1">
      <w:pPr>
        <w:tabs>
          <w:tab w:val="right" w:pos="9072"/>
        </w:tabs>
        <w:spacing w:after="40"/>
        <w:ind w:left="1622" w:hanging="1622"/>
        <w:rPr>
          <w:rFonts w:cs="Arial"/>
          <w:b/>
          <w:color w:val="000000"/>
          <w:szCs w:val="22"/>
        </w:rPr>
      </w:pPr>
      <w:r w:rsidRPr="003E0FDC">
        <w:rPr>
          <w:rFonts w:cs="Arial"/>
          <w:b/>
          <w:color w:val="000000"/>
          <w:szCs w:val="22"/>
        </w:rPr>
        <w:t>Tabulka č. 4 –</w:t>
      </w:r>
      <w:r w:rsidR="00D700D9">
        <w:rPr>
          <w:rFonts w:cs="Arial"/>
          <w:b/>
          <w:color w:val="000000"/>
          <w:szCs w:val="22"/>
        </w:rPr>
        <w:tab/>
      </w:r>
      <w:r w:rsidR="00835E94" w:rsidRPr="003E0FDC">
        <w:rPr>
          <w:rFonts w:cs="Arial"/>
          <w:b/>
          <w:color w:val="000000"/>
          <w:szCs w:val="22"/>
        </w:rPr>
        <w:t>Vybrané ú</w:t>
      </w:r>
      <w:r w:rsidRPr="003E0FDC">
        <w:rPr>
          <w:rFonts w:cs="Arial"/>
          <w:b/>
          <w:color w:val="000000"/>
          <w:szCs w:val="22"/>
        </w:rPr>
        <w:t>daje za běžné období z </w:t>
      </w:r>
      <w:r w:rsidR="000E518C">
        <w:rPr>
          <w:rFonts w:cs="Arial"/>
          <w:b/>
          <w:color w:val="000000"/>
          <w:szCs w:val="22"/>
        </w:rPr>
        <w:t>p</w:t>
      </w:r>
      <w:r w:rsidRPr="003E0FDC">
        <w:rPr>
          <w:rFonts w:cs="Arial"/>
          <w:b/>
          <w:color w:val="000000"/>
          <w:szCs w:val="22"/>
        </w:rPr>
        <w:t xml:space="preserve">řílohy k 31. prosinci 2012, část </w:t>
      </w:r>
      <w:proofErr w:type="gramStart"/>
      <w:r w:rsidRPr="003E0FDC">
        <w:rPr>
          <w:rFonts w:cs="Arial"/>
          <w:b/>
          <w:color w:val="000000"/>
          <w:szCs w:val="22"/>
        </w:rPr>
        <w:t>A.4</w:t>
      </w:r>
      <w:proofErr w:type="gramEnd"/>
    </w:p>
    <w:p w:rsidR="008E492A" w:rsidRPr="003E0FDC" w:rsidRDefault="00380E23" w:rsidP="008E492A">
      <w:pPr>
        <w:tabs>
          <w:tab w:val="right" w:pos="9072"/>
        </w:tabs>
        <w:ind w:left="1622" w:hanging="1622"/>
        <w:rPr>
          <w:rFonts w:cs="Arial"/>
          <w:b/>
          <w:color w:val="000000"/>
          <w:szCs w:val="22"/>
        </w:rPr>
      </w:pPr>
      <w:r>
        <w:rPr>
          <w:rFonts w:cs="Arial"/>
          <w:b/>
          <w:color w:val="000000"/>
          <w:szCs w:val="22"/>
        </w:rPr>
        <w:tab/>
      </w:r>
      <w:r w:rsidR="003E0FDC" w:rsidRPr="003E0FDC">
        <w:rPr>
          <w:rFonts w:cs="Arial"/>
          <w:b/>
          <w:color w:val="000000"/>
          <w:szCs w:val="22"/>
        </w:rPr>
        <w:tab/>
      </w:r>
      <w:r w:rsidR="008E492A" w:rsidRPr="003E0FDC">
        <w:rPr>
          <w:rFonts w:cs="Arial"/>
          <w:b/>
          <w:color w:val="000000"/>
          <w:szCs w:val="22"/>
        </w:rPr>
        <w:t>(v Kč)</w:t>
      </w:r>
    </w:p>
    <w:tbl>
      <w:tblPr>
        <w:tblW w:w="4924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158"/>
        <w:gridCol w:w="1912"/>
      </w:tblGrid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Podrozvahové účty</w:t>
            </w:r>
          </w:p>
        </w:tc>
        <w:tc>
          <w:tcPr>
            <w:tcW w:w="105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Účetní hodnota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P.I.1.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Jiný drobný dlouhodobý nehmotný majetek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51 164,40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P.I.2.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Jiný drobný dlouhodobý hmotný majetek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4 902 627,51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P.I.3.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Ostatní majetek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9 511 183 746,00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P.II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.1.</w:t>
            </w:r>
            <w:r w:rsidR="000E518C">
              <w:rPr>
                <w:rFonts w:cs="Arial"/>
                <w:color w:val="000000"/>
                <w:sz w:val="18"/>
                <w:szCs w:val="18"/>
                <w:lang w:eastAsia="cs-CZ"/>
              </w:rPr>
              <w:t xml:space="preserve"> </w:t>
            </w: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Vyřazené pohledávky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1 554 282,40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P.VI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.5. Krátkodobé podmíněné závazky z nástrojů spolufinancovaných ze zahraničí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279 961 904,74</w:t>
            </w:r>
          </w:p>
        </w:tc>
      </w:tr>
      <w:tr w:rsidR="00AC697F" w:rsidRPr="007113E1" w:rsidTr="007113E1">
        <w:trPr>
          <w:trHeight w:val="283"/>
          <w:jc w:val="center"/>
        </w:trPr>
        <w:tc>
          <w:tcPr>
            <w:tcW w:w="394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C697F" w:rsidRPr="007113E1" w:rsidRDefault="00AC697F" w:rsidP="00AC697F">
            <w:pPr>
              <w:ind w:firstLine="0"/>
              <w:jc w:val="lef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proofErr w:type="gramStart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P.VI</w:t>
            </w:r>
            <w:proofErr w:type="gramEnd"/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.6. Dlouhodobé podmíněné závazky z nástrojů spolufinancovaných ze zahraničí</w:t>
            </w:r>
          </w:p>
        </w:tc>
        <w:tc>
          <w:tcPr>
            <w:tcW w:w="105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C697F" w:rsidRPr="007113E1" w:rsidRDefault="00AC697F" w:rsidP="007113E1">
            <w:pPr>
              <w:ind w:right="6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6 818 908 670,43</w:t>
            </w:r>
          </w:p>
        </w:tc>
      </w:tr>
    </w:tbl>
    <w:p w:rsidR="00AC697F" w:rsidRPr="003E0FDC" w:rsidRDefault="00AC697F" w:rsidP="007113E1">
      <w:pPr>
        <w:tabs>
          <w:tab w:val="right" w:pos="9072"/>
        </w:tabs>
        <w:spacing w:before="40"/>
        <w:ind w:firstLine="0"/>
        <w:rPr>
          <w:rFonts w:cs="Arial"/>
          <w:color w:val="000000"/>
          <w:sz w:val="18"/>
          <w:szCs w:val="18"/>
        </w:rPr>
      </w:pPr>
      <w:r w:rsidRPr="00D700D9">
        <w:rPr>
          <w:rFonts w:cs="Arial"/>
          <w:b/>
          <w:color w:val="000000"/>
          <w:sz w:val="18"/>
          <w:szCs w:val="18"/>
        </w:rPr>
        <w:t>Zdroj</w:t>
      </w:r>
      <w:r w:rsidRPr="00977F56">
        <w:rPr>
          <w:rFonts w:cs="Arial"/>
          <w:b/>
          <w:color w:val="000000"/>
          <w:sz w:val="18"/>
          <w:szCs w:val="18"/>
        </w:rPr>
        <w:t>:</w:t>
      </w:r>
      <w:r w:rsidRPr="003E0FDC">
        <w:rPr>
          <w:rFonts w:cs="Arial"/>
          <w:color w:val="000000"/>
          <w:sz w:val="18"/>
          <w:szCs w:val="18"/>
        </w:rPr>
        <w:t xml:space="preserve"> účetní závěrka MMR k 31. prosinci 2012</w:t>
      </w:r>
      <w:r w:rsidR="00977F56">
        <w:rPr>
          <w:rFonts w:cs="Arial"/>
          <w:color w:val="000000"/>
          <w:sz w:val="18"/>
          <w:szCs w:val="18"/>
        </w:rPr>
        <w:t>.</w:t>
      </w:r>
    </w:p>
    <w:p w:rsidR="00AC697F" w:rsidRPr="007113E1" w:rsidRDefault="00AC697F" w:rsidP="008E492A">
      <w:pPr>
        <w:tabs>
          <w:tab w:val="right" w:pos="9072"/>
        </w:tabs>
        <w:ind w:left="1622" w:hanging="1622"/>
        <w:rPr>
          <w:rFonts w:cs="Arial"/>
          <w:color w:val="000000"/>
        </w:rPr>
      </w:pPr>
    </w:p>
    <w:p w:rsidR="001A1086" w:rsidRPr="007113E1" w:rsidRDefault="00B87E1C" w:rsidP="007113E1">
      <w:pPr>
        <w:ind w:firstLine="0"/>
        <w:rPr>
          <w:b/>
        </w:rPr>
      </w:pPr>
      <w:r w:rsidRPr="007113E1">
        <w:rPr>
          <w:b/>
        </w:rPr>
        <w:t>1.</w:t>
      </w:r>
      <w:r w:rsidR="00835E94" w:rsidRPr="007113E1">
        <w:rPr>
          <w:b/>
        </w:rPr>
        <w:t>1</w:t>
      </w:r>
      <w:r w:rsidR="003068DE" w:rsidRPr="007113E1">
        <w:rPr>
          <w:b/>
        </w:rPr>
        <w:t xml:space="preserve"> </w:t>
      </w:r>
      <w:r w:rsidR="00C86688" w:rsidRPr="007113E1">
        <w:rPr>
          <w:b/>
        </w:rPr>
        <w:t xml:space="preserve">Nesprávnosti </w:t>
      </w:r>
      <w:r w:rsidR="00F33867" w:rsidRPr="007113E1">
        <w:rPr>
          <w:b/>
        </w:rPr>
        <w:t>v </w:t>
      </w:r>
      <w:r w:rsidR="00C86688" w:rsidRPr="007113E1">
        <w:rPr>
          <w:b/>
        </w:rPr>
        <w:t>účetní závěrce a</w:t>
      </w:r>
      <w:r w:rsidR="00977F56">
        <w:rPr>
          <w:b/>
        </w:rPr>
        <w:t> jejich</w:t>
      </w:r>
      <w:r w:rsidR="00C86688" w:rsidRPr="007113E1">
        <w:rPr>
          <w:b/>
        </w:rPr>
        <w:t xml:space="preserve"> hlavní příčiny</w:t>
      </w:r>
    </w:p>
    <w:p w:rsidR="00AC4B8B" w:rsidRDefault="00AC4B8B" w:rsidP="000E518C">
      <w:pPr>
        <w:ind w:firstLine="0"/>
        <w:rPr>
          <w:rFonts w:cs="Arial"/>
          <w:color w:val="000000"/>
        </w:rPr>
      </w:pPr>
    </w:p>
    <w:p w:rsidR="00035D9B" w:rsidRDefault="004161A9" w:rsidP="000E518C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 xml:space="preserve">V účetní závěrce MMR sestavené k 31. </w:t>
      </w:r>
      <w:r w:rsidR="00FD0FDF">
        <w:rPr>
          <w:rFonts w:cs="Arial"/>
          <w:color w:val="000000"/>
        </w:rPr>
        <w:t>p</w:t>
      </w:r>
      <w:r>
        <w:rPr>
          <w:rFonts w:cs="Arial"/>
          <w:color w:val="000000"/>
        </w:rPr>
        <w:t xml:space="preserve">rosinci 2012 </w:t>
      </w:r>
      <w:r w:rsidR="00E50870">
        <w:rPr>
          <w:rFonts w:cs="Arial"/>
          <w:color w:val="000000"/>
        </w:rPr>
        <w:t xml:space="preserve">byla </w:t>
      </w:r>
      <w:r>
        <w:rPr>
          <w:rFonts w:cs="Arial"/>
          <w:color w:val="000000"/>
        </w:rPr>
        <w:t xml:space="preserve">v údajích za běžné účetní období zjištěna celková nesprávnost ve výši </w:t>
      </w:r>
      <w:r w:rsidR="00581C7E">
        <w:rPr>
          <w:rFonts w:cs="Arial"/>
          <w:color w:val="000000"/>
        </w:rPr>
        <w:t>25,5</w:t>
      </w:r>
      <w:r w:rsidR="00FD0FDF">
        <w:rPr>
          <w:rFonts w:cs="Arial"/>
          <w:color w:val="000000"/>
        </w:rPr>
        <w:t xml:space="preserve"> mld. Kč.</w:t>
      </w:r>
    </w:p>
    <w:p w:rsidR="000E518C" w:rsidRDefault="000E518C" w:rsidP="000E518C">
      <w:pPr>
        <w:ind w:firstLine="0"/>
        <w:rPr>
          <w:rFonts w:eastAsia="Calibri" w:cs="Arial"/>
          <w:szCs w:val="22"/>
        </w:rPr>
      </w:pPr>
    </w:p>
    <w:p w:rsidR="00FD0FDF" w:rsidRDefault="00DC1A85" w:rsidP="000E518C">
      <w:pPr>
        <w:ind w:firstLine="0"/>
        <w:rPr>
          <w:rFonts w:cs="Arial"/>
          <w:color w:val="000000"/>
        </w:rPr>
      </w:pPr>
      <w:r w:rsidRPr="00F935DC">
        <w:rPr>
          <w:rFonts w:cs="Arial"/>
          <w:color w:val="000000"/>
        </w:rPr>
        <w:t xml:space="preserve">Na celkové nesprávnosti </w:t>
      </w:r>
      <w:r w:rsidR="00FD0FDF">
        <w:rPr>
          <w:rFonts w:cs="Arial"/>
          <w:color w:val="000000"/>
        </w:rPr>
        <w:t xml:space="preserve">se podílelo nadhodnocení a podhodnocení zůstatků jednotlivých položek </w:t>
      </w:r>
      <w:r w:rsidR="003B2295">
        <w:rPr>
          <w:rFonts w:cs="Arial"/>
          <w:color w:val="000000"/>
        </w:rPr>
        <w:t>r</w:t>
      </w:r>
      <w:r w:rsidR="00FD0FDF">
        <w:rPr>
          <w:rFonts w:cs="Arial"/>
          <w:color w:val="000000"/>
        </w:rPr>
        <w:t>ozvah</w:t>
      </w:r>
      <w:r w:rsidR="00835E94">
        <w:rPr>
          <w:rFonts w:cs="Arial"/>
          <w:color w:val="000000"/>
        </w:rPr>
        <w:t>y</w:t>
      </w:r>
      <w:r w:rsidR="00FD0FDF">
        <w:rPr>
          <w:rFonts w:cs="Arial"/>
          <w:color w:val="000000"/>
        </w:rPr>
        <w:t xml:space="preserve">, </w:t>
      </w:r>
      <w:r w:rsidR="003B2295">
        <w:rPr>
          <w:rFonts w:cs="Arial"/>
          <w:color w:val="000000"/>
        </w:rPr>
        <w:t>v</w:t>
      </w:r>
      <w:r w:rsidR="00FD0FDF">
        <w:rPr>
          <w:rFonts w:cs="Arial"/>
          <w:color w:val="000000"/>
        </w:rPr>
        <w:t xml:space="preserve">ýkazu zisku a ztráty, </w:t>
      </w:r>
      <w:r w:rsidR="003B2295">
        <w:rPr>
          <w:rFonts w:cs="Arial"/>
          <w:color w:val="000000"/>
        </w:rPr>
        <w:t>p</w:t>
      </w:r>
      <w:r w:rsidR="000755A1">
        <w:rPr>
          <w:rFonts w:cs="Arial"/>
          <w:color w:val="000000"/>
        </w:rPr>
        <w:t>řehledu o peněžních tocích</w:t>
      </w:r>
      <w:r w:rsidR="00C67D69">
        <w:rPr>
          <w:rFonts w:cs="Arial"/>
          <w:color w:val="000000"/>
        </w:rPr>
        <w:t xml:space="preserve"> </w:t>
      </w:r>
      <w:r w:rsidR="00FD0FDF">
        <w:rPr>
          <w:rFonts w:cs="Arial"/>
          <w:color w:val="000000"/>
        </w:rPr>
        <w:t xml:space="preserve">a </w:t>
      </w:r>
      <w:r w:rsidR="003B2295">
        <w:rPr>
          <w:rFonts w:cs="Arial"/>
          <w:color w:val="000000"/>
        </w:rPr>
        <w:t>p</w:t>
      </w:r>
      <w:r w:rsidR="00FD0FDF">
        <w:rPr>
          <w:rFonts w:cs="Arial"/>
          <w:color w:val="000000"/>
        </w:rPr>
        <w:t xml:space="preserve">řílohy v důsledku toho, že MMR v roce 2012 porušilo právní předpisy upravující účetnictví a účetní výkaznictví OSS.  </w:t>
      </w:r>
    </w:p>
    <w:p w:rsidR="00035D9B" w:rsidRDefault="00035D9B" w:rsidP="00336B17">
      <w:pPr>
        <w:ind w:firstLine="0"/>
        <w:rPr>
          <w:rFonts w:cs="Arial"/>
          <w:color w:val="000000"/>
        </w:rPr>
      </w:pPr>
    </w:p>
    <w:p w:rsidR="00FD0FDF" w:rsidRDefault="00FD0FDF" w:rsidP="00336B17">
      <w:pPr>
        <w:ind w:firstLine="0"/>
        <w:rPr>
          <w:rFonts w:cs="Arial"/>
          <w:color w:val="000000"/>
        </w:rPr>
      </w:pPr>
      <w:r>
        <w:rPr>
          <w:rFonts w:cs="Arial"/>
          <w:color w:val="000000"/>
        </w:rPr>
        <w:t>Nesprávnosti byly identifikovány dle jednotlivých položek ÚZ s ohledem na jejich obsahové vymezení podle ustanovení § 4 zákona</w:t>
      </w:r>
      <w:r w:rsidR="00B93BDD">
        <w:rPr>
          <w:rFonts w:cs="Arial"/>
          <w:color w:val="000000"/>
        </w:rPr>
        <w:t xml:space="preserve"> č. 563/1991 Sb., </w:t>
      </w:r>
      <w:r>
        <w:rPr>
          <w:rFonts w:cs="Arial"/>
          <w:color w:val="000000"/>
        </w:rPr>
        <w:t>o účetnictví</w:t>
      </w:r>
      <w:r w:rsidR="00E50870">
        <w:rPr>
          <w:rFonts w:cs="Arial"/>
          <w:color w:val="000000"/>
        </w:rPr>
        <w:t>,</w:t>
      </w:r>
      <w:r>
        <w:rPr>
          <w:rFonts w:cs="Arial"/>
          <w:color w:val="000000"/>
        </w:rPr>
        <w:t xml:space="preserve"> a podle vyhlášky č.</w:t>
      </w:r>
      <w:r w:rsidR="003101A3">
        <w:rPr>
          <w:rFonts w:cs="Arial"/>
          <w:color w:val="000000"/>
        </w:rPr>
        <w:t> </w:t>
      </w:r>
      <w:r>
        <w:rPr>
          <w:rFonts w:cs="Arial"/>
          <w:color w:val="000000"/>
        </w:rPr>
        <w:t xml:space="preserve">410/2009 Sb. </w:t>
      </w:r>
    </w:p>
    <w:p w:rsidR="00FD0FDF" w:rsidRDefault="00FD0FDF" w:rsidP="00336B17">
      <w:pPr>
        <w:ind w:firstLine="0"/>
        <w:rPr>
          <w:rFonts w:cs="Arial"/>
          <w:color w:val="000000"/>
        </w:rPr>
      </w:pPr>
    </w:p>
    <w:p w:rsidR="001A1086" w:rsidRPr="007113E1" w:rsidRDefault="00B87E1C" w:rsidP="007113E1">
      <w:pPr>
        <w:ind w:firstLine="0"/>
        <w:rPr>
          <w:b/>
        </w:rPr>
      </w:pPr>
      <w:r w:rsidRPr="007113E1">
        <w:rPr>
          <w:b/>
        </w:rPr>
        <w:t>1.</w:t>
      </w:r>
      <w:r w:rsidR="00835E94" w:rsidRPr="007113E1">
        <w:rPr>
          <w:b/>
        </w:rPr>
        <w:t>1</w:t>
      </w:r>
      <w:r w:rsidRPr="007113E1">
        <w:rPr>
          <w:b/>
        </w:rPr>
        <w:t xml:space="preserve">.1 </w:t>
      </w:r>
      <w:r w:rsidR="008D2D3A" w:rsidRPr="007113E1">
        <w:rPr>
          <w:b/>
        </w:rPr>
        <w:t>Správnost a úplnost účetnictví</w:t>
      </w:r>
    </w:p>
    <w:p w:rsidR="00AC4B8B" w:rsidRDefault="00AC4B8B" w:rsidP="007113E1">
      <w:pPr>
        <w:ind w:firstLine="0"/>
      </w:pPr>
    </w:p>
    <w:p w:rsidR="001A1086" w:rsidRDefault="00FD0FDF" w:rsidP="00AD786B">
      <w:pPr>
        <w:ind w:firstLine="0"/>
      </w:pPr>
      <w:r>
        <w:t xml:space="preserve">MMR </w:t>
      </w:r>
      <w:r w:rsidR="00C86688">
        <w:t>nevedl</w:t>
      </w:r>
      <w:r>
        <w:t>o</w:t>
      </w:r>
      <w:r w:rsidR="00C67D69">
        <w:t xml:space="preserve"> </w:t>
      </w:r>
      <w:r w:rsidR="00F33867">
        <w:t>v </w:t>
      </w:r>
      <w:r w:rsidR="00C86688">
        <w:t>roce 201</w:t>
      </w:r>
      <w:r>
        <w:t>2</w:t>
      </w:r>
      <w:r w:rsidR="00C86688">
        <w:t xml:space="preserve"> správné a úplné účetnictví ve</w:t>
      </w:r>
      <w:r w:rsidR="005873B9">
        <w:t xml:space="preserve"> smyslu zákona o účetnictví a </w:t>
      </w:r>
      <w:r w:rsidR="00C86688">
        <w:t xml:space="preserve">dalších právních předpisů, neboť </w:t>
      </w:r>
      <w:r w:rsidR="00F33867">
        <w:t>v </w:t>
      </w:r>
      <w:r w:rsidR="00C86688">
        <w:t>některých případech nedodržel</w:t>
      </w:r>
      <w:r>
        <w:t>o</w:t>
      </w:r>
      <w:r w:rsidR="00C86688">
        <w:t xml:space="preserve"> obsahové vymezení položek ÚZ dle vyhlášky č. 410/2009 Sb. </w:t>
      </w:r>
      <w:r w:rsidR="008D2D3A" w:rsidRPr="00C86688">
        <w:t xml:space="preserve">Nedostatky byly zjištěny zejména </w:t>
      </w:r>
      <w:r w:rsidR="00F33867">
        <w:t>v </w:t>
      </w:r>
      <w:r w:rsidR="008D2D3A" w:rsidRPr="00C86688">
        <w:t>následujících případech</w:t>
      </w:r>
      <w:r>
        <w:t>:</w:t>
      </w:r>
    </w:p>
    <w:p w:rsidR="001A1086" w:rsidRDefault="001A1086" w:rsidP="00AD786B">
      <w:pPr>
        <w:ind w:firstLine="0"/>
      </w:pPr>
    </w:p>
    <w:p w:rsidR="00BF1AEE" w:rsidRPr="007113E1" w:rsidRDefault="00B87E1C" w:rsidP="007113E1">
      <w:pPr>
        <w:ind w:firstLine="0"/>
        <w:rPr>
          <w:b/>
        </w:rPr>
      </w:pPr>
      <w:r w:rsidRPr="007113E1">
        <w:rPr>
          <w:b/>
        </w:rPr>
        <w:t>1.</w:t>
      </w:r>
      <w:r w:rsidR="00835E94" w:rsidRPr="007113E1">
        <w:rPr>
          <w:b/>
        </w:rPr>
        <w:t>1</w:t>
      </w:r>
      <w:r w:rsidRPr="007113E1">
        <w:rPr>
          <w:b/>
        </w:rPr>
        <w:t>.1.1</w:t>
      </w:r>
      <w:r w:rsidR="007F4286" w:rsidRPr="007113E1">
        <w:rPr>
          <w:b/>
        </w:rPr>
        <w:t xml:space="preserve"> </w:t>
      </w:r>
      <w:r w:rsidR="00BB0BBA" w:rsidRPr="007113E1">
        <w:rPr>
          <w:b/>
        </w:rPr>
        <w:t>Transfery</w:t>
      </w:r>
      <w:r w:rsidR="00F91804" w:rsidRPr="007113E1">
        <w:rPr>
          <w:b/>
        </w:rPr>
        <w:t xml:space="preserve"> spolufinancované ze zahraničí</w:t>
      </w:r>
    </w:p>
    <w:p w:rsidR="007113E1" w:rsidRPr="007113E1" w:rsidRDefault="007113E1" w:rsidP="007113E1">
      <w:pPr>
        <w:ind w:firstLine="0"/>
        <w:outlineLvl w:val="4"/>
        <w:rPr>
          <w:bCs/>
          <w:szCs w:val="26"/>
        </w:rPr>
      </w:pPr>
    </w:p>
    <w:p w:rsidR="007D69A8" w:rsidRPr="007D69A8" w:rsidRDefault="00205107" w:rsidP="007113E1">
      <w:pPr>
        <w:ind w:firstLine="0"/>
        <w:outlineLvl w:val="4"/>
        <w:rPr>
          <w:b/>
          <w:bCs/>
          <w:szCs w:val="26"/>
        </w:rPr>
      </w:pPr>
      <w:r>
        <w:rPr>
          <w:b/>
          <w:bCs/>
          <w:szCs w:val="26"/>
        </w:rPr>
        <w:t xml:space="preserve">Zúčtování zálohy na transfery </w:t>
      </w:r>
      <w:r w:rsidR="00754092">
        <w:rPr>
          <w:b/>
          <w:bCs/>
          <w:szCs w:val="26"/>
        </w:rPr>
        <w:t>u</w:t>
      </w:r>
      <w:r w:rsidR="003E0FDC">
        <w:rPr>
          <w:b/>
          <w:bCs/>
          <w:szCs w:val="26"/>
        </w:rPr>
        <w:t> </w:t>
      </w:r>
      <w:r w:rsidR="00754092">
        <w:rPr>
          <w:b/>
          <w:bCs/>
          <w:szCs w:val="26"/>
        </w:rPr>
        <w:t>prostředků</w:t>
      </w:r>
      <w:r w:rsidR="007D69A8" w:rsidRPr="007D69A8">
        <w:rPr>
          <w:b/>
          <w:bCs/>
          <w:szCs w:val="26"/>
        </w:rPr>
        <w:t xml:space="preserve"> poskytnut</w:t>
      </w:r>
      <w:r w:rsidR="00754092">
        <w:rPr>
          <w:b/>
          <w:bCs/>
          <w:szCs w:val="26"/>
        </w:rPr>
        <w:t>ých</w:t>
      </w:r>
      <w:r w:rsidR="007D69A8" w:rsidRPr="007D69A8">
        <w:rPr>
          <w:b/>
          <w:bCs/>
          <w:szCs w:val="26"/>
        </w:rPr>
        <w:t xml:space="preserve"> v rámci ROP, OP PK a</w:t>
      </w:r>
      <w:r w:rsidR="00496B7A">
        <w:rPr>
          <w:b/>
          <w:bCs/>
          <w:szCs w:val="26"/>
        </w:rPr>
        <w:t> </w:t>
      </w:r>
      <w:r w:rsidR="007D69A8" w:rsidRPr="007D69A8">
        <w:rPr>
          <w:b/>
          <w:bCs/>
          <w:szCs w:val="26"/>
        </w:rPr>
        <w:t>OP</w:t>
      </w:r>
      <w:r w:rsidR="00496B7A">
        <w:rPr>
          <w:b/>
          <w:bCs/>
          <w:szCs w:val="26"/>
        </w:rPr>
        <w:t> </w:t>
      </w:r>
      <w:r w:rsidR="007D69A8" w:rsidRPr="007D69A8">
        <w:rPr>
          <w:b/>
          <w:bCs/>
          <w:szCs w:val="26"/>
        </w:rPr>
        <w:t>PA</w:t>
      </w:r>
    </w:p>
    <w:p w:rsidR="00AD11CE" w:rsidRDefault="00AD11CE" w:rsidP="007113E1">
      <w:pPr>
        <w:ind w:firstLine="0"/>
        <w:rPr>
          <w:rFonts w:cs="Arial"/>
          <w:szCs w:val="22"/>
        </w:rPr>
      </w:pPr>
    </w:p>
    <w:p w:rsidR="00522708" w:rsidRDefault="00AD11CE" w:rsidP="007113E1">
      <w:pPr>
        <w:ind w:firstLine="0"/>
        <w:rPr>
          <w:rFonts w:eastAsia="Calibri" w:cs="Arial"/>
          <w:bCs/>
          <w:iCs/>
          <w:szCs w:val="22"/>
        </w:rPr>
      </w:pPr>
      <w:r w:rsidRPr="00D2165F">
        <w:rPr>
          <w:rFonts w:cs="Arial"/>
          <w:color w:val="000000"/>
          <w:spacing w:val="-2"/>
        </w:rPr>
        <w:t>MMR o prostředcích</w:t>
      </w:r>
      <w:r w:rsidR="00C67D69">
        <w:rPr>
          <w:rFonts w:cs="Arial"/>
          <w:color w:val="000000"/>
          <w:spacing w:val="-2"/>
        </w:rPr>
        <w:t xml:space="preserve"> </w:t>
      </w:r>
      <w:r w:rsidRPr="003125E7">
        <w:rPr>
          <w:rFonts w:cs="Arial"/>
          <w:bCs/>
          <w:iCs/>
          <w:szCs w:val="22"/>
        </w:rPr>
        <w:t xml:space="preserve">poskytnutých v rámci </w:t>
      </w:r>
      <w:r w:rsidR="003B2295">
        <w:rPr>
          <w:rFonts w:cs="Arial"/>
          <w:bCs/>
          <w:iCs/>
          <w:szCs w:val="22"/>
        </w:rPr>
        <w:t>r</w:t>
      </w:r>
      <w:r w:rsidR="009A6C16">
        <w:rPr>
          <w:rFonts w:cs="Arial"/>
          <w:bCs/>
          <w:iCs/>
          <w:szCs w:val="22"/>
        </w:rPr>
        <w:t>egionálních operačních programů (dále jen „</w:t>
      </w:r>
      <w:r w:rsidRPr="003125E7">
        <w:rPr>
          <w:rFonts w:cs="Arial"/>
          <w:bCs/>
          <w:iCs/>
          <w:szCs w:val="22"/>
        </w:rPr>
        <w:t>ROP</w:t>
      </w:r>
      <w:r w:rsidR="009A6C16">
        <w:rPr>
          <w:rFonts w:cs="Arial"/>
          <w:bCs/>
          <w:iCs/>
          <w:szCs w:val="22"/>
        </w:rPr>
        <w:t>“)</w:t>
      </w:r>
      <w:r w:rsidRPr="003125E7">
        <w:rPr>
          <w:rFonts w:cs="Arial"/>
          <w:bCs/>
          <w:iCs/>
          <w:szCs w:val="22"/>
        </w:rPr>
        <w:t>,</w:t>
      </w:r>
      <w:r w:rsidR="009A6C16">
        <w:rPr>
          <w:rFonts w:cs="Arial"/>
          <w:bCs/>
          <w:iCs/>
          <w:szCs w:val="22"/>
        </w:rPr>
        <w:t xml:space="preserve"> </w:t>
      </w:r>
      <w:r w:rsidR="003B2295">
        <w:rPr>
          <w:rFonts w:cs="Arial"/>
          <w:bCs/>
          <w:iCs/>
          <w:szCs w:val="22"/>
        </w:rPr>
        <w:t>o</w:t>
      </w:r>
      <w:r w:rsidR="009A6C16">
        <w:rPr>
          <w:rFonts w:cs="Arial"/>
          <w:bCs/>
          <w:iCs/>
          <w:szCs w:val="22"/>
        </w:rPr>
        <w:t xml:space="preserve">peračních programů </w:t>
      </w:r>
      <w:r w:rsidR="009A6C16" w:rsidRPr="00D71574">
        <w:rPr>
          <w:rFonts w:cs="Arial"/>
          <w:bCs/>
          <w:i/>
          <w:iCs/>
          <w:szCs w:val="22"/>
        </w:rPr>
        <w:t>Praha</w:t>
      </w:r>
      <w:r w:rsidR="000E1A2B">
        <w:rPr>
          <w:rFonts w:cs="Arial"/>
          <w:bCs/>
          <w:i/>
          <w:iCs/>
          <w:szCs w:val="22"/>
        </w:rPr>
        <w:t> –</w:t>
      </w:r>
      <w:r w:rsidR="009A6C16" w:rsidRPr="00D71574">
        <w:rPr>
          <w:rFonts w:cs="Arial"/>
          <w:bCs/>
          <w:i/>
          <w:iCs/>
          <w:szCs w:val="22"/>
        </w:rPr>
        <w:t xml:space="preserve"> Konkurenceschopnost</w:t>
      </w:r>
      <w:r w:rsidR="00C67D69">
        <w:rPr>
          <w:rFonts w:cs="Arial"/>
          <w:bCs/>
          <w:iCs/>
          <w:szCs w:val="22"/>
        </w:rPr>
        <w:t xml:space="preserve"> </w:t>
      </w:r>
      <w:r w:rsidR="0009478B">
        <w:rPr>
          <w:rFonts w:cs="Arial"/>
          <w:bCs/>
          <w:iCs/>
          <w:szCs w:val="22"/>
        </w:rPr>
        <w:t>(dále jen „</w:t>
      </w:r>
      <w:r w:rsidRPr="003125E7">
        <w:rPr>
          <w:rFonts w:cs="Arial"/>
          <w:bCs/>
          <w:iCs/>
          <w:szCs w:val="22"/>
        </w:rPr>
        <w:t>OP PK</w:t>
      </w:r>
      <w:r w:rsidR="0009478B">
        <w:rPr>
          <w:rFonts w:cs="Arial"/>
          <w:bCs/>
          <w:iCs/>
          <w:szCs w:val="22"/>
        </w:rPr>
        <w:t>“)</w:t>
      </w:r>
      <w:r w:rsidRPr="003125E7">
        <w:rPr>
          <w:rFonts w:cs="Arial"/>
          <w:bCs/>
          <w:iCs/>
          <w:szCs w:val="22"/>
        </w:rPr>
        <w:t xml:space="preserve"> a</w:t>
      </w:r>
      <w:r w:rsidR="0009478B">
        <w:rPr>
          <w:rFonts w:cs="Arial"/>
          <w:bCs/>
          <w:iCs/>
          <w:szCs w:val="22"/>
        </w:rPr>
        <w:t xml:space="preserve"> </w:t>
      </w:r>
      <w:r w:rsidR="0009478B" w:rsidRPr="00D71574">
        <w:rPr>
          <w:rFonts w:cs="Arial"/>
          <w:bCs/>
          <w:i/>
          <w:iCs/>
          <w:szCs w:val="22"/>
        </w:rPr>
        <w:t>Praha</w:t>
      </w:r>
      <w:r w:rsidR="000E1A2B">
        <w:rPr>
          <w:rFonts w:cs="Arial"/>
          <w:bCs/>
          <w:i/>
          <w:iCs/>
          <w:szCs w:val="22"/>
        </w:rPr>
        <w:t> –</w:t>
      </w:r>
      <w:r w:rsidR="0009478B" w:rsidRPr="00D71574">
        <w:rPr>
          <w:rFonts w:cs="Arial"/>
          <w:bCs/>
          <w:i/>
          <w:iCs/>
          <w:szCs w:val="22"/>
        </w:rPr>
        <w:t xml:space="preserve"> Adaptabilita</w:t>
      </w:r>
      <w:r w:rsidR="0009478B">
        <w:rPr>
          <w:rFonts w:cs="Arial"/>
          <w:bCs/>
          <w:iCs/>
          <w:szCs w:val="22"/>
        </w:rPr>
        <w:t xml:space="preserve"> (dále jen „</w:t>
      </w:r>
      <w:r w:rsidRPr="003125E7">
        <w:rPr>
          <w:rFonts w:cs="Arial"/>
          <w:bCs/>
          <w:iCs/>
          <w:szCs w:val="22"/>
        </w:rPr>
        <w:t>OP PA</w:t>
      </w:r>
      <w:r w:rsidR="0009478B">
        <w:rPr>
          <w:rFonts w:cs="Arial"/>
          <w:bCs/>
          <w:iCs/>
          <w:szCs w:val="22"/>
        </w:rPr>
        <w:t>“)</w:t>
      </w:r>
      <w:r w:rsidRPr="003125E7">
        <w:rPr>
          <w:rFonts w:cs="Arial"/>
          <w:bCs/>
          <w:iCs/>
          <w:szCs w:val="22"/>
        </w:rPr>
        <w:t xml:space="preserve"> formou dotace určené k finančnímu vypořádání účtovalo</w:t>
      </w:r>
      <w:r w:rsidR="00C67D69">
        <w:rPr>
          <w:rFonts w:cs="Arial"/>
          <w:bCs/>
          <w:iCs/>
          <w:szCs w:val="22"/>
        </w:rPr>
        <w:t xml:space="preserve"> </w:t>
      </w:r>
      <w:r w:rsidR="00B54555">
        <w:rPr>
          <w:rFonts w:cs="Arial"/>
          <w:bCs/>
          <w:iCs/>
          <w:szCs w:val="22"/>
        </w:rPr>
        <w:t xml:space="preserve">ve smyslu </w:t>
      </w:r>
      <w:r>
        <w:rPr>
          <w:rFonts w:cs="Arial"/>
          <w:bCs/>
          <w:iCs/>
          <w:szCs w:val="22"/>
        </w:rPr>
        <w:t>ČÚS č. 703</w:t>
      </w:r>
      <w:r w:rsidR="00DC09C2">
        <w:rPr>
          <w:rFonts w:cs="Arial"/>
          <w:bCs/>
          <w:iCs/>
          <w:szCs w:val="22"/>
        </w:rPr>
        <w:t xml:space="preserve"> – </w:t>
      </w:r>
      <w:r w:rsidR="00DC09C2" w:rsidRPr="00D71574">
        <w:rPr>
          <w:rFonts w:cs="Arial"/>
          <w:bCs/>
          <w:i/>
          <w:iCs/>
          <w:szCs w:val="22"/>
        </w:rPr>
        <w:t>Transfery</w:t>
      </w:r>
      <w:r w:rsidR="00DC09C2">
        <w:rPr>
          <w:rFonts w:cs="Arial"/>
          <w:bCs/>
          <w:iCs/>
          <w:szCs w:val="22"/>
        </w:rPr>
        <w:t xml:space="preserve"> (dále jen ČÚS č. 703)</w:t>
      </w:r>
      <w:r w:rsidRPr="003125E7">
        <w:rPr>
          <w:rFonts w:cs="Arial"/>
          <w:bCs/>
          <w:iCs/>
          <w:szCs w:val="22"/>
        </w:rPr>
        <w:t xml:space="preserve"> jako poskytovatel transferu</w:t>
      </w:r>
      <w:r>
        <w:rPr>
          <w:rFonts w:cs="Arial"/>
          <w:bCs/>
          <w:iCs/>
          <w:szCs w:val="22"/>
        </w:rPr>
        <w:t xml:space="preserve">. </w:t>
      </w:r>
      <w:r w:rsidRPr="00496B7A">
        <w:rPr>
          <w:rFonts w:cs="Arial"/>
          <w:b/>
          <w:bCs/>
          <w:iCs/>
          <w:szCs w:val="22"/>
        </w:rPr>
        <w:t>ČÚS</w:t>
      </w:r>
      <w:r w:rsidR="00496B7A">
        <w:rPr>
          <w:rFonts w:cs="Arial"/>
          <w:b/>
          <w:bCs/>
          <w:iCs/>
          <w:szCs w:val="22"/>
        </w:rPr>
        <w:t> </w:t>
      </w:r>
      <w:r w:rsidRPr="00496B7A">
        <w:rPr>
          <w:rFonts w:cs="Arial"/>
          <w:b/>
          <w:bCs/>
          <w:iCs/>
          <w:szCs w:val="22"/>
        </w:rPr>
        <w:t>č.</w:t>
      </w:r>
      <w:r w:rsidR="00205107" w:rsidRPr="00496B7A">
        <w:rPr>
          <w:rFonts w:cs="Arial"/>
          <w:b/>
          <w:bCs/>
          <w:iCs/>
          <w:szCs w:val="22"/>
        </w:rPr>
        <w:t> </w:t>
      </w:r>
      <w:r w:rsidRPr="00496B7A">
        <w:rPr>
          <w:rFonts w:cs="Arial"/>
          <w:b/>
          <w:bCs/>
          <w:iCs/>
          <w:szCs w:val="22"/>
        </w:rPr>
        <w:t xml:space="preserve">703 stanovil pro poskytovatele postupy účtování, které však MMR </w:t>
      </w:r>
      <w:r w:rsidR="00B54555" w:rsidRPr="00496B7A">
        <w:rPr>
          <w:rFonts w:cs="Arial"/>
          <w:b/>
          <w:bCs/>
          <w:iCs/>
          <w:szCs w:val="22"/>
        </w:rPr>
        <w:t xml:space="preserve">v případě </w:t>
      </w:r>
      <w:r w:rsidR="00C43565" w:rsidRPr="00496B7A">
        <w:rPr>
          <w:rFonts w:cs="Arial"/>
          <w:b/>
          <w:bCs/>
          <w:iCs/>
          <w:szCs w:val="22"/>
        </w:rPr>
        <w:t xml:space="preserve">účtování o </w:t>
      </w:r>
      <w:r w:rsidR="00B54555" w:rsidRPr="00496B7A">
        <w:rPr>
          <w:rFonts w:cs="Arial"/>
          <w:b/>
          <w:bCs/>
          <w:iCs/>
          <w:szCs w:val="22"/>
        </w:rPr>
        <w:t>transfer</w:t>
      </w:r>
      <w:r w:rsidR="00C43565" w:rsidRPr="00496B7A">
        <w:rPr>
          <w:rFonts w:cs="Arial"/>
          <w:b/>
          <w:bCs/>
          <w:iCs/>
          <w:szCs w:val="22"/>
        </w:rPr>
        <w:t>ech</w:t>
      </w:r>
      <w:r w:rsidR="00B54555" w:rsidRPr="00496B7A">
        <w:rPr>
          <w:rFonts w:cs="Arial"/>
          <w:b/>
          <w:bCs/>
          <w:iCs/>
          <w:szCs w:val="22"/>
        </w:rPr>
        <w:t xml:space="preserve"> určených </w:t>
      </w:r>
      <w:r w:rsidR="003B2295">
        <w:rPr>
          <w:rFonts w:cs="Arial"/>
          <w:b/>
          <w:bCs/>
          <w:iCs/>
          <w:szCs w:val="22"/>
        </w:rPr>
        <w:t>r</w:t>
      </w:r>
      <w:r w:rsidR="00B54555" w:rsidRPr="00496B7A">
        <w:rPr>
          <w:rFonts w:cs="Arial"/>
          <w:b/>
          <w:bCs/>
          <w:iCs/>
          <w:szCs w:val="22"/>
        </w:rPr>
        <w:t>ozhodnu</w:t>
      </w:r>
      <w:r w:rsidR="00C43565" w:rsidRPr="00496B7A">
        <w:rPr>
          <w:rFonts w:cs="Arial"/>
          <w:b/>
          <w:bCs/>
          <w:iCs/>
          <w:szCs w:val="22"/>
        </w:rPr>
        <w:t>t</w:t>
      </w:r>
      <w:r w:rsidR="00B54555" w:rsidRPr="00496B7A">
        <w:rPr>
          <w:rFonts w:cs="Arial"/>
          <w:b/>
          <w:bCs/>
          <w:iCs/>
          <w:szCs w:val="22"/>
        </w:rPr>
        <w:t>ím o poskytnutí dotace k finančnímu vypořádání</w:t>
      </w:r>
      <w:r w:rsidR="00ED4977" w:rsidRPr="00496B7A">
        <w:rPr>
          <w:rFonts w:cs="Arial"/>
          <w:b/>
          <w:bCs/>
          <w:iCs/>
          <w:szCs w:val="22"/>
        </w:rPr>
        <w:t xml:space="preserve"> dle vyhlášky č. 52/2008 Sb.</w:t>
      </w:r>
      <w:r w:rsidRPr="00496B7A">
        <w:rPr>
          <w:rFonts w:cs="Arial"/>
          <w:b/>
          <w:bCs/>
          <w:iCs/>
          <w:szCs w:val="22"/>
        </w:rPr>
        <w:t xml:space="preserve"> nedodrželo</w:t>
      </w:r>
      <w:r w:rsidR="00E20869" w:rsidRPr="00496B7A">
        <w:rPr>
          <w:rFonts w:cs="Arial"/>
          <w:b/>
          <w:bCs/>
          <w:iCs/>
          <w:szCs w:val="22"/>
        </w:rPr>
        <w:t xml:space="preserve">, když ke dni 31. </w:t>
      </w:r>
      <w:r w:rsidR="00D264C0" w:rsidRPr="00496B7A">
        <w:rPr>
          <w:rFonts w:cs="Arial"/>
          <w:b/>
          <w:bCs/>
          <w:iCs/>
          <w:szCs w:val="22"/>
        </w:rPr>
        <w:t xml:space="preserve">prosince </w:t>
      </w:r>
      <w:r w:rsidR="00E20869" w:rsidRPr="00496B7A">
        <w:rPr>
          <w:rFonts w:cs="Arial"/>
          <w:b/>
          <w:bCs/>
          <w:iCs/>
          <w:szCs w:val="22"/>
        </w:rPr>
        <w:t xml:space="preserve">2012 zúčtovalo poskytnuté zálohy na transfery </w:t>
      </w:r>
      <w:r w:rsidR="00801534" w:rsidRPr="00496B7A">
        <w:rPr>
          <w:rFonts w:cs="Arial"/>
          <w:b/>
          <w:szCs w:val="22"/>
        </w:rPr>
        <w:t>na základě</w:t>
      </w:r>
      <w:r w:rsidR="00C67D69" w:rsidRPr="00496B7A">
        <w:rPr>
          <w:rFonts w:cs="Arial"/>
          <w:b/>
          <w:szCs w:val="22"/>
        </w:rPr>
        <w:t xml:space="preserve"> </w:t>
      </w:r>
      <w:r w:rsidR="00801534" w:rsidRPr="00496B7A">
        <w:rPr>
          <w:rFonts w:eastAsia="Calibri" w:cs="Arial"/>
          <w:b/>
          <w:bCs/>
          <w:iCs/>
          <w:szCs w:val="22"/>
        </w:rPr>
        <w:t xml:space="preserve">dokladů, které neprokazovaly </w:t>
      </w:r>
      <w:r w:rsidR="00801534" w:rsidRPr="00496B7A">
        <w:rPr>
          <w:rFonts w:eastAsia="Calibri" w:cs="Arial"/>
          <w:b/>
          <w:bCs/>
          <w:iCs/>
          <w:szCs w:val="22"/>
        </w:rPr>
        <w:lastRenderedPageBreak/>
        <w:t>skutečnosti, o kterých bylo účtováno</w:t>
      </w:r>
      <w:r w:rsidR="00EE0BF6" w:rsidRPr="00496B7A">
        <w:rPr>
          <w:rStyle w:val="Znakapoznpodarou"/>
          <w:rFonts w:eastAsia="Calibri" w:cs="Arial"/>
          <w:b/>
          <w:bCs/>
          <w:iCs/>
          <w:szCs w:val="22"/>
        </w:rPr>
        <w:footnoteReference w:id="1"/>
      </w:r>
      <w:r w:rsidR="00525DA7" w:rsidRPr="00546D86">
        <w:rPr>
          <w:rFonts w:cs="Arial"/>
          <w:b/>
          <w:bCs/>
          <w:iCs/>
          <w:szCs w:val="22"/>
        </w:rPr>
        <w:t>.</w:t>
      </w:r>
      <w:r w:rsidR="0088121B" w:rsidRPr="00496B7A">
        <w:rPr>
          <w:rFonts w:cs="Arial"/>
          <w:b/>
          <w:bCs/>
          <w:i/>
          <w:iCs/>
          <w:szCs w:val="22"/>
        </w:rPr>
        <w:t xml:space="preserve"> </w:t>
      </w:r>
      <w:r w:rsidR="00522708" w:rsidRPr="00496B7A">
        <w:rPr>
          <w:rFonts w:eastAsia="Calibri" w:cs="Arial"/>
          <w:b/>
          <w:bCs/>
          <w:iCs/>
          <w:szCs w:val="22"/>
        </w:rPr>
        <w:t xml:space="preserve">Zvoleným způsobem účtování MMR </w:t>
      </w:r>
      <w:r w:rsidR="00DC09C2" w:rsidRPr="00496B7A">
        <w:rPr>
          <w:rFonts w:eastAsia="Calibri" w:cs="Arial"/>
          <w:b/>
          <w:bCs/>
          <w:iCs/>
          <w:szCs w:val="22"/>
        </w:rPr>
        <w:t>podhodnotilo v ÚZ vykázané zálohy k </w:t>
      </w:r>
      <w:r w:rsidR="00496B7A" w:rsidRPr="00496B7A">
        <w:rPr>
          <w:rFonts w:eastAsia="Calibri" w:cs="Arial"/>
          <w:b/>
          <w:bCs/>
          <w:iCs/>
          <w:szCs w:val="22"/>
        </w:rPr>
        <w:t xml:space="preserve">vyúčtování </w:t>
      </w:r>
      <w:r w:rsidR="00496B7A" w:rsidRPr="00496B7A">
        <w:rPr>
          <w:rFonts w:cs="Arial"/>
          <w:b/>
          <w:bCs/>
          <w:i/>
          <w:iCs/>
        </w:rPr>
        <w:t xml:space="preserve">o </w:t>
      </w:r>
      <w:r w:rsidR="00496B7A" w:rsidRPr="007F4286">
        <w:rPr>
          <w:rFonts w:cs="Arial"/>
          <w:b/>
          <w:bCs/>
          <w:iCs/>
        </w:rPr>
        <w:t>14,66</w:t>
      </w:r>
      <w:r w:rsidR="00522708" w:rsidRPr="007F4286">
        <w:rPr>
          <w:rFonts w:eastAsia="Calibri" w:cs="Arial"/>
          <w:b/>
          <w:bCs/>
          <w:iCs/>
          <w:szCs w:val="22"/>
        </w:rPr>
        <w:t xml:space="preserve"> mld. Kč</w:t>
      </w:r>
      <w:r w:rsidR="00522708" w:rsidRPr="00496B7A">
        <w:rPr>
          <w:rFonts w:eastAsia="Calibri" w:cs="Arial"/>
          <w:b/>
          <w:bCs/>
          <w:iCs/>
          <w:szCs w:val="22"/>
        </w:rPr>
        <w:t>.</w:t>
      </w:r>
      <w:r w:rsidR="00522708">
        <w:rPr>
          <w:rFonts w:eastAsia="Calibri" w:cs="Arial"/>
          <w:bCs/>
          <w:iCs/>
          <w:szCs w:val="22"/>
        </w:rPr>
        <w:t xml:space="preserve">  </w:t>
      </w:r>
    </w:p>
    <w:p w:rsidR="00380E23" w:rsidRPr="00CD4508" w:rsidRDefault="00380E23" w:rsidP="007113E1">
      <w:pPr>
        <w:ind w:firstLine="0"/>
        <w:rPr>
          <w:rFonts w:cs="Arial"/>
          <w:szCs w:val="22"/>
        </w:rPr>
      </w:pPr>
    </w:p>
    <w:p w:rsidR="008201C0" w:rsidRPr="008201C0" w:rsidRDefault="008201C0" w:rsidP="007113E1">
      <w:pPr>
        <w:ind w:firstLine="0"/>
        <w:outlineLvl w:val="4"/>
        <w:rPr>
          <w:b/>
          <w:bCs/>
          <w:szCs w:val="26"/>
        </w:rPr>
      </w:pPr>
      <w:r w:rsidRPr="008201C0">
        <w:rPr>
          <w:b/>
          <w:bCs/>
          <w:szCs w:val="26"/>
        </w:rPr>
        <w:t>Neúčtování o dlouhodobých poskytnutých zálohách – prostředky poskytnuté v rámci IOP</w:t>
      </w:r>
    </w:p>
    <w:p w:rsidR="00BF4C1E" w:rsidRPr="007113E1" w:rsidRDefault="00BF4C1E" w:rsidP="007113E1">
      <w:pPr>
        <w:suppressAutoHyphens/>
        <w:ind w:firstLine="0"/>
        <w:rPr>
          <w:rFonts w:cs="Arial"/>
          <w:bCs/>
          <w:iCs/>
          <w:color w:val="000000" w:themeColor="text1"/>
        </w:rPr>
      </w:pPr>
    </w:p>
    <w:p w:rsidR="008D033B" w:rsidRPr="007113E1" w:rsidRDefault="00BF4C1E" w:rsidP="007113E1">
      <w:pPr>
        <w:ind w:firstLine="0"/>
        <w:rPr>
          <w:rFonts w:cs="Arial"/>
          <w:color w:val="000000" w:themeColor="text1"/>
          <w:szCs w:val="22"/>
        </w:rPr>
      </w:pPr>
      <w:r w:rsidRPr="007113E1">
        <w:rPr>
          <w:rFonts w:cs="Arial"/>
          <w:color w:val="000000" w:themeColor="text1"/>
          <w:szCs w:val="22"/>
        </w:rPr>
        <w:t>MMR o prostředcích poskytnutých v</w:t>
      </w:r>
      <w:r w:rsidR="00C62F8C" w:rsidRPr="007113E1">
        <w:rPr>
          <w:rFonts w:cs="Arial"/>
          <w:color w:val="000000" w:themeColor="text1"/>
          <w:szCs w:val="22"/>
        </w:rPr>
        <w:t> </w:t>
      </w:r>
      <w:r w:rsidRPr="007113E1">
        <w:rPr>
          <w:rFonts w:cs="Arial"/>
          <w:color w:val="000000" w:themeColor="text1"/>
          <w:szCs w:val="22"/>
        </w:rPr>
        <w:t>rámci</w:t>
      </w:r>
      <w:r w:rsidR="00C62F8C" w:rsidRPr="007113E1">
        <w:rPr>
          <w:rFonts w:cs="Arial"/>
          <w:color w:val="000000" w:themeColor="text1"/>
          <w:szCs w:val="22"/>
        </w:rPr>
        <w:t xml:space="preserve"> </w:t>
      </w:r>
      <w:r w:rsidR="00C62F8C" w:rsidRPr="00D71574">
        <w:rPr>
          <w:rFonts w:cs="Arial"/>
          <w:i/>
          <w:color w:val="000000" w:themeColor="text1"/>
          <w:szCs w:val="22"/>
        </w:rPr>
        <w:t>Integrovaného operačního programu</w:t>
      </w:r>
      <w:r w:rsidR="00C62F8C" w:rsidRPr="007113E1">
        <w:rPr>
          <w:rFonts w:cs="Arial"/>
          <w:color w:val="000000" w:themeColor="text1"/>
          <w:szCs w:val="22"/>
        </w:rPr>
        <w:t xml:space="preserve"> (dále jen </w:t>
      </w:r>
      <w:r w:rsidR="00755A67" w:rsidRPr="007113E1">
        <w:rPr>
          <w:rFonts w:cs="Arial"/>
          <w:color w:val="000000" w:themeColor="text1"/>
          <w:szCs w:val="22"/>
        </w:rPr>
        <w:t>„</w:t>
      </w:r>
      <w:r w:rsidRPr="007113E1">
        <w:rPr>
          <w:rFonts w:cs="Arial"/>
          <w:color w:val="000000" w:themeColor="text1"/>
          <w:szCs w:val="22"/>
        </w:rPr>
        <w:t>IOP</w:t>
      </w:r>
      <w:r w:rsidR="00C62F8C" w:rsidRPr="007113E1">
        <w:rPr>
          <w:rFonts w:cs="Arial"/>
          <w:color w:val="000000" w:themeColor="text1"/>
          <w:szCs w:val="22"/>
        </w:rPr>
        <w:t>“)</w:t>
      </w:r>
      <w:r w:rsidR="0088121B" w:rsidRPr="007113E1">
        <w:rPr>
          <w:rFonts w:cs="Arial"/>
          <w:color w:val="000000" w:themeColor="text1"/>
          <w:szCs w:val="22"/>
        </w:rPr>
        <w:t xml:space="preserve"> </w:t>
      </w:r>
      <w:r w:rsidRPr="007113E1">
        <w:rPr>
          <w:rFonts w:cs="Arial"/>
          <w:color w:val="000000" w:themeColor="text1"/>
          <w:szCs w:val="22"/>
        </w:rPr>
        <w:t xml:space="preserve">účtovalo </w:t>
      </w:r>
      <w:r w:rsidR="00ED4977" w:rsidRPr="007113E1">
        <w:rPr>
          <w:rFonts w:cs="Arial"/>
          <w:color w:val="000000" w:themeColor="text1"/>
          <w:szCs w:val="22"/>
        </w:rPr>
        <w:t xml:space="preserve">ve smyslu </w:t>
      </w:r>
      <w:r w:rsidRPr="007113E1">
        <w:rPr>
          <w:rFonts w:cs="Arial"/>
          <w:color w:val="000000" w:themeColor="text1"/>
          <w:szCs w:val="22"/>
        </w:rPr>
        <w:t>ČÚS č. 703 jako poskytovatel transferu</w:t>
      </w:r>
      <w:r w:rsidR="00FB6613" w:rsidRPr="007113E1">
        <w:rPr>
          <w:rFonts w:cs="Arial"/>
          <w:color w:val="000000" w:themeColor="text1"/>
          <w:szCs w:val="22"/>
        </w:rPr>
        <w:t>. Postupy účtování pro poskytovatele transferu určeného k finančnímu vypořádání stanovené v ČÚS č. 703 však MMR nedodrželo</w:t>
      </w:r>
      <w:r w:rsidRPr="007113E1">
        <w:rPr>
          <w:rFonts w:cs="Arial"/>
          <w:color w:val="000000" w:themeColor="text1"/>
          <w:szCs w:val="22"/>
        </w:rPr>
        <w:t xml:space="preserve">, </w:t>
      </w:r>
      <w:r w:rsidR="00FB6613" w:rsidRPr="007113E1">
        <w:rPr>
          <w:rFonts w:cs="Arial"/>
          <w:color w:val="000000" w:themeColor="text1"/>
          <w:szCs w:val="22"/>
        </w:rPr>
        <w:t xml:space="preserve">když </w:t>
      </w:r>
      <w:r w:rsidR="00C121E6" w:rsidRPr="007113E1">
        <w:rPr>
          <w:rFonts w:cs="Arial"/>
          <w:color w:val="000000" w:themeColor="text1"/>
          <w:szCs w:val="22"/>
        </w:rPr>
        <w:t xml:space="preserve">k 31. </w:t>
      </w:r>
      <w:r w:rsidR="00D264C0" w:rsidRPr="007113E1">
        <w:rPr>
          <w:rFonts w:cs="Arial"/>
          <w:color w:val="000000" w:themeColor="text1"/>
          <w:szCs w:val="22"/>
        </w:rPr>
        <w:t xml:space="preserve">prosinci </w:t>
      </w:r>
      <w:r w:rsidR="00C121E6" w:rsidRPr="007113E1">
        <w:rPr>
          <w:rFonts w:cs="Arial"/>
          <w:color w:val="000000" w:themeColor="text1"/>
          <w:szCs w:val="22"/>
        </w:rPr>
        <w:t xml:space="preserve">2012 </w:t>
      </w:r>
      <w:r w:rsidR="00FB6613" w:rsidRPr="007113E1">
        <w:rPr>
          <w:rFonts w:cs="Arial"/>
          <w:color w:val="000000" w:themeColor="text1"/>
          <w:szCs w:val="22"/>
        </w:rPr>
        <w:t>o poskytnutých peněžních prostředcích Státnímu fondu rozvoje bydlení</w:t>
      </w:r>
      <w:r w:rsidR="00ED4977" w:rsidRPr="007113E1">
        <w:rPr>
          <w:rFonts w:cs="Arial"/>
          <w:color w:val="000000" w:themeColor="text1"/>
          <w:szCs w:val="22"/>
        </w:rPr>
        <w:t xml:space="preserve">, které byly dle </w:t>
      </w:r>
      <w:r w:rsidR="001507CD">
        <w:rPr>
          <w:rFonts w:cs="Arial"/>
          <w:color w:val="000000" w:themeColor="text1"/>
          <w:szCs w:val="22"/>
        </w:rPr>
        <w:t>r</w:t>
      </w:r>
      <w:r w:rsidR="00ED4977" w:rsidRPr="007113E1">
        <w:rPr>
          <w:rFonts w:cs="Arial"/>
          <w:color w:val="000000" w:themeColor="text1"/>
          <w:szCs w:val="22"/>
        </w:rPr>
        <w:t>ozhodnu</w:t>
      </w:r>
      <w:r w:rsidR="00C121E6" w:rsidRPr="007113E1">
        <w:rPr>
          <w:rFonts w:cs="Arial"/>
          <w:color w:val="000000" w:themeColor="text1"/>
          <w:szCs w:val="22"/>
        </w:rPr>
        <w:t>t</w:t>
      </w:r>
      <w:r w:rsidR="00ED4977" w:rsidRPr="007113E1">
        <w:rPr>
          <w:rFonts w:cs="Arial"/>
          <w:color w:val="000000" w:themeColor="text1"/>
          <w:szCs w:val="22"/>
        </w:rPr>
        <w:t>í o poskytnutí dotace určené k finančnímu vypořád</w:t>
      </w:r>
      <w:r w:rsidR="00C121E6" w:rsidRPr="007113E1">
        <w:rPr>
          <w:rFonts w:cs="Arial"/>
          <w:color w:val="000000" w:themeColor="text1"/>
          <w:szCs w:val="22"/>
        </w:rPr>
        <w:t>á</w:t>
      </w:r>
      <w:r w:rsidR="00ED4977" w:rsidRPr="007113E1">
        <w:rPr>
          <w:rFonts w:cs="Arial"/>
          <w:color w:val="000000" w:themeColor="text1"/>
          <w:szCs w:val="22"/>
        </w:rPr>
        <w:t>ní dle vyhlášky č. 52/2008 Sb.,</w:t>
      </w:r>
      <w:r w:rsidR="00FB6613" w:rsidRPr="007113E1">
        <w:rPr>
          <w:rFonts w:cs="Arial"/>
          <w:color w:val="000000" w:themeColor="text1"/>
          <w:szCs w:val="22"/>
        </w:rPr>
        <w:t xml:space="preserve"> neúčtovalo jako</w:t>
      </w:r>
      <w:r w:rsidR="00591EDD" w:rsidRPr="007113E1">
        <w:rPr>
          <w:rFonts w:cs="Arial"/>
          <w:color w:val="000000" w:themeColor="text1"/>
          <w:szCs w:val="22"/>
        </w:rPr>
        <w:t xml:space="preserve"> o dlouhodobé poskytnuté záloze </w:t>
      </w:r>
      <w:r w:rsidR="008D033B" w:rsidRPr="007113E1">
        <w:rPr>
          <w:rFonts w:cs="Arial"/>
          <w:bCs/>
          <w:iCs/>
          <w:color w:val="000000" w:themeColor="text1"/>
        </w:rPr>
        <w:t xml:space="preserve">prostřednictvím účtu </w:t>
      </w:r>
      <w:r w:rsidR="008D033B" w:rsidRPr="00D71574">
        <w:rPr>
          <w:rFonts w:cs="Arial"/>
          <w:bCs/>
          <w:iCs/>
          <w:color w:val="000000" w:themeColor="text1"/>
        </w:rPr>
        <w:t xml:space="preserve">471 </w:t>
      </w:r>
      <w:r w:rsidR="003E0FDC" w:rsidRPr="00D71574">
        <w:rPr>
          <w:rFonts w:cs="Arial"/>
          <w:bCs/>
          <w:iCs/>
          <w:color w:val="000000" w:themeColor="text1"/>
        </w:rPr>
        <w:t>–</w:t>
      </w:r>
      <w:r w:rsidR="008D033B" w:rsidRPr="007113E1">
        <w:rPr>
          <w:rFonts w:cs="Arial"/>
          <w:bCs/>
          <w:i/>
          <w:iCs/>
          <w:color w:val="000000" w:themeColor="text1"/>
        </w:rPr>
        <w:t xml:space="preserve"> Dlouhodobé poskytnuté zálohy na transfery</w:t>
      </w:r>
      <w:r w:rsidR="00591EDD" w:rsidRPr="00D71574">
        <w:rPr>
          <w:rStyle w:val="Znakapoznpodarou"/>
          <w:rFonts w:cs="Arial"/>
          <w:bCs/>
          <w:iCs/>
          <w:color w:val="000000" w:themeColor="text1"/>
        </w:rPr>
        <w:footnoteReference w:id="2"/>
      </w:r>
      <w:r w:rsidR="00591EDD" w:rsidRPr="00D71574">
        <w:rPr>
          <w:rFonts w:cs="Arial"/>
          <w:bCs/>
          <w:iCs/>
          <w:color w:val="000000" w:themeColor="text1"/>
        </w:rPr>
        <w:t xml:space="preserve">, </w:t>
      </w:r>
      <w:r w:rsidR="00591EDD" w:rsidRPr="007113E1">
        <w:rPr>
          <w:rFonts w:cs="Arial"/>
          <w:bCs/>
          <w:iCs/>
          <w:color w:val="000000" w:themeColor="text1"/>
        </w:rPr>
        <w:t>ačkoliv poskytnutý transfer nebyl k rozvahovému dni finančně vypořádán</w:t>
      </w:r>
      <w:r w:rsidR="00496B7A" w:rsidRPr="007113E1">
        <w:rPr>
          <w:rFonts w:cs="Arial"/>
          <w:bCs/>
          <w:iCs/>
          <w:color w:val="000000" w:themeColor="text1"/>
        </w:rPr>
        <w:t>.</w:t>
      </w:r>
      <w:r w:rsidR="00591EDD" w:rsidRPr="007113E1">
        <w:rPr>
          <w:rFonts w:cs="Arial"/>
          <w:bCs/>
          <w:iCs/>
          <w:color w:val="000000" w:themeColor="text1"/>
        </w:rPr>
        <w:t xml:space="preserve"> </w:t>
      </w:r>
      <w:r w:rsidR="00522708" w:rsidRPr="007113E1">
        <w:rPr>
          <w:rFonts w:eastAsia="Calibri" w:cs="Arial"/>
          <w:bCs/>
          <w:iCs/>
          <w:color w:val="000000" w:themeColor="text1"/>
          <w:szCs w:val="22"/>
        </w:rPr>
        <w:t xml:space="preserve">Zvoleným způsobem účtování MMR podhodnotilo zůstatek účtu </w:t>
      </w:r>
      <w:r w:rsidR="00522708" w:rsidRPr="00D71574">
        <w:rPr>
          <w:rFonts w:cs="Arial"/>
          <w:bCs/>
          <w:iCs/>
          <w:color w:val="000000" w:themeColor="text1"/>
        </w:rPr>
        <w:t xml:space="preserve">471 </w:t>
      </w:r>
      <w:r w:rsidR="003E0FDC" w:rsidRPr="00D71574">
        <w:rPr>
          <w:rFonts w:cs="Arial"/>
          <w:bCs/>
          <w:iCs/>
          <w:color w:val="000000" w:themeColor="text1"/>
        </w:rPr>
        <w:t>–</w:t>
      </w:r>
      <w:r w:rsidR="00522708" w:rsidRPr="00D71574">
        <w:rPr>
          <w:rFonts w:cs="Arial"/>
          <w:bCs/>
          <w:iCs/>
          <w:color w:val="000000" w:themeColor="text1"/>
        </w:rPr>
        <w:t xml:space="preserve"> </w:t>
      </w:r>
      <w:r w:rsidR="00522708" w:rsidRPr="007113E1">
        <w:rPr>
          <w:rFonts w:cs="Arial"/>
          <w:bCs/>
          <w:i/>
          <w:iCs/>
          <w:color w:val="000000" w:themeColor="text1"/>
        </w:rPr>
        <w:t>Dlouhodobé poskytnuté zálohy na transfery</w:t>
      </w:r>
      <w:r w:rsidR="00522708" w:rsidRPr="007113E1">
        <w:rPr>
          <w:rFonts w:eastAsia="Calibri" w:cs="Arial"/>
          <w:bCs/>
          <w:iCs/>
          <w:color w:val="000000" w:themeColor="text1"/>
          <w:szCs w:val="22"/>
        </w:rPr>
        <w:t xml:space="preserve"> </w:t>
      </w:r>
      <w:r w:rsidR="00496B7A" w:rsidRPr="007113E1">
        <w:rPr>
          <w:rFonts w:eastAsia="Calibri" w:cs="Arial"/>
          <w:bCs/>
          <w:iCs/>
          <w:color w:val="000000" w:themeColor="text1"/>
          <w:szCs w:val="22"/>
        </w:rPr>
        <w:t>o </w:t>
      </w:r>
      <w:r w:rsidR="00522708" w:rsidRPr="007113E1">
        <w:rPr>
          <w:rFonts w:eastAsia="Calibri" w:cs="Arial"/>
          <w:bCs/>
          <w:iCs/>
          <w:color w:val="000000" w:themeColor="text1"/>
          <w:szCs w:val="22"/>
        </w:rPr>
        <w:t>609,87</w:t>
      </w:r>
      <w:r w:rsidR="00496B7A" w:rsidRPr="007113E1">
        <w:rPr>
          <w:rFonts w:eastAsia="Calibri" w:cs="Arial"/>
          <w:bCs/>
          <w:iCs/>
          <w:color w:val="000000" w:themeColor="text1"/>
          <w:szCs w:val="22"/>
        </w:rPr>
        <w:t> </w:t>
      </w:r>
      <w:r w:rsidR="00522708" w:rsidRPr="007113E1">
        <w:rPr>
          <w:rFonts w:eastAsia="Calibri" w:cs="Arial"/>
          <w:bCs/>
          <w:iCs/>
          <w:color w:val="000000" w:themeColor="text1"/>
          <w:szCs w:val="22"/>
        </w:rPr>
        <w:t>mil.</w:t>
      </w:r>
      <w:r w:rsidR="00496B7A" w:rsidRPr="007113E1">
        <w:rPr>
          <w:rFonts w:eastAsia="Calibri" w:cs="Arial"/>
          <w:bCs/>
          <w:iCs/>
          <w:color w:val="000000" w:themeColor="text1"/>
          <w:szCs w:val="22"/>
        </w:rPr>
        <w:t> </w:t>
      </w:r>
      <w:r w:rsidR="00522708" w:rsidRPr="007113E1">
        <w:rPr>
          <w:rFonts w:eastAsia="Calibri" w:cs="Arial"/>
          <w:bCs/>
          <w:iCs/>
          <w:color w:val="000000" w:themeColor="text1"/>
          <w:szCs w:val="22"/>
        </w:rPr>
        <w:t>Kč.</w:t>
      </w:r>
    </w:p>
    <w:p w:rsidR="008D033B" w:rsidRPr="007113E1" w:rsidRDefault="008D033B" w:rsidP="007113E1">
      <w:pPr>
        <w:autoSpaceDE w:val="0"/>
        <w:autoSpaceDN w:val="0"/>
        <w:adjustRightInd w:val="0"/>
        <w:ind w:firstLine="0"/>
        <w:rPr>
          <w:rFonts w:eastAsia="Dutch801AT-Roman" w:cs="Arial"/>
          <w:i/>
          <w:color w:val="000000" w:themeColor="text1"/>
        </w:rPr>
      </w:pPr>
    </w:p>
    <w:p w:rsidR="009852BF" w:rsidRPr="007113E1" w:rsidRDefault="009852BF" w:rsidP="007113E1">
      <w:pPr>
        <w:ind w:firstLine="0"/>
        <w:rPr>
          <w:b/>
        </w:rPr>
      </w:pPr>
      <w:r w:rsidRPr="007113E1">
        <w:rPr>
          <w:b/>
        </w:rPr>
        <w:t xml:space="preserve">Prostředky refundované z rozpočtu EU </w:t>
      </w:r>
      <w:r w:rsidR="003E0FDC" w:rsidRPr="007113E1">
        <w:rPr>
          <w:b/>
        </w:rPr>
        <w:t>–</w:t>
      </w:r>
      <w:r w:rsidR="00C67D69" w:rsidRPr="007113E1">
        <w:rPr>
          <w:b/>
        </w:rPr>
        <w:t xml:space="preserve"> </w:t>
      </w:r>
      <w:r w:rsidR="00D17E0F" w:rsidRPr="007113E1">
        <w:rPr>
          <w:b/>
        </w:rPr>
        <w:t>ú</w:t>
      </w:r>
      <w:r w:rsidRPr="007113E1">
        <w:rPr>
          <w:b/>
        </w:rPr>
        <w:t>čtování o přijatém investičním transferu v rámci OP TP</w:t>
      </w:r>
      <w:r w:rsidR="00432E25" w:rsidRPr="007113E1">
        <w:rPr>
          <w:b/>
        </w:rPr>
        <w:tab/>
      </w:r>
      <w:r w:rsidR="00432E25" w:rsidRPr="007113E1">
        <w:rPr>
          <w:b/>
        </w:rPr>
        <w:tab/>
      </w:r>
    </w:p>
    <w:p w:rsidR="00432E25" w:rsidRPr="007113E1" w:rsidRDefault="00432E25" w:rsidP="007113E1">
      <w:pPr>
        <w:ind w:firstLine="0"/>
        <w:rPr>
          <w:color w:val="000000" w:themeColor="text1"/>
          <w:lang w:eastAsia="cs-CZ"/>
        </w:rPr>
      </w:pPr>
    </w:p>
    <w:p w:rsidR="00AC4A3F" w:rsidRDefault="00A43BC8" w:rsidP="007113E1">
      <w:pPr>
        <w:ind w:firstLine="0"/>
        <w:rPr>
          <w:rFonts w:eastAsia="Calibri" w:cs="Arial"/>
          <w:bCs/>
          <w:i/>
          <w:iCs/>
          <w:szCs w:val="22"/>
        </w:rPr>
      </w:pPr>
      <w:r w:rsidRPr="007113E1">
        <w:rPr>
          <w:rFonts w:eastAsia="Calibri" w:cs="Arial"/>
          <w:bCs/>
          <w:iCs/>
          <w:color w:val="000000" w:themeColor="text1"/>
          <w:szCs w:val="22"/>
        </w:rPr>
        <w:t>MMR o in</w:t>
      </w:r>
      <w:r w:rsidRPr="00A43BC8">
        <w:rPr>
          <w:rFonts w:eastAsia="Calibri" w:cs="Arial"/>
          <w:bCs/>
          <w:iCs/>
          <w:szCs w:val="22"/>
        </w:rPr>
        <w:t>vestičním transferu</w:t>
      </w:r>
      <w:r w:rsidR="00B22AD6">
        <w:rPr>
          <w:rFonts w:eastAsia="Calibri" w:cs="Arial"/>
          <w:bCs/>
          <w:iCs/>
          <w:szCs w:val="22"/>
        </w:rPr>
        <w:t xml:space="preserve">, který v rámci </w:t>
      </w:r>
      <w:r w:rsidR="001507CD">
        <w:rPr>
          <w:rFonts w:eastAsia="Calibri" w:cs="Arial"/>
          <w:bCs/>
          <w:iCs/>
          <w:szCs w:val="22"/>
        </w:rPr>
        <w:t>o</w:t>
      </w:r>
      <w:r w:rsidR="006617E2">
        <w:rPr>
          <w:rFonts w:eastAsia="Calibri" w:cs="Arial"/>
          <w:bCs/>
          <w:iCs/>
          <w:szCs w:val="22"/>
        </w:rPr>
        <w:t xml:space="preserve">peračního programu </w:t>
      </w:r>
      <w:r w:rsidR="006617E2" w:rsidRPr="00D71574">
        <w:rPr>
          <w:rFonts w:eastAsia="Calibri" w:cs="Arial"/>
          <w:bCs/>
          <w:i/>
          <w:iCs/>
          <w:szCs w:val="22"/>
        </w:rPr>
        <w:t>Technická pomoc</w:t>
      </w:r>
      <w:r w:rsidR="006617E2">
        <w:rPr>
          <w:rFonts w:eastAsia="Calibri" w:cs="Arial"/>
          <w:bCs/>
          <w:iCs/>
          <w:szCs w:val="22"/>
        </w:rPr>
        <w:t xml:space="preserve"> (dále jen „</w:t>
      </w:r>
      <w:r w:rsidR="00B22AD6">
        <w:rPr>
          <w:rFonts w:eastAsia="Calibri" w:cs="Arial"/>
          <w:bCs/>
          <w:iCs/>
          <w:szCs w:val="22"/>
        </w:rPr>
        <w:t>OP TP</w:t>
      </w:r>
      <w:r w:rsidR="006617E2">
        <w:rPr>
          <w:rFonts w:eastAsia="Calibri" w:cs="Arial"/>
          <w:bCs/>
          <w:iCs/>
          <w:szCs w:val="22"/>
        </w:rPr>
        <w:t>“)</w:t>
      </w:r>
      <w:r w:rsidR="00B22AD6">
        <w:rPr>
          <w:rFonts w:eastAsia="Calibri" w:cs="Arial"/>
          <w:bCs/>
          <w:iCs/>
          <w:szCs w:val="22"/>
        </w:rPr>
        <w:t xml:space="preserve"> přijalo jako konečný příjemce, neúčtovalo postupem stanoveným ČÚS č. 703</w:t>
      </w:r>
      <w:r w:rsidRPr="002F2EF3">
        <w:rPr>
          <w:rFonts w:eastAsia="Calibri" w:cs="Arial"/>
          <w:bCs/>
          <w:iCs/>
          <w:szCs w:val="22"/>
        </w:rPr>
        <w:t xml:space="preserve">, </w:t>
      </w:r>
      <w:r w:rsidR="003A143B" w:rsidRPr="002F2EF3">
        <w:rPr>
          <w:rFonts w:eastAsia="Calibri" w:cs="Arial"/>
          <w:bCs/>
          <w:szCs w:val="18"/>
        </w:rPr>
        <w:t xml:space="preserve">neboť o přijatém investičním transferu </w:t>
      </w:r>
      <w:proofErr w:type="gramStart"/>
      <w:r w:rsidR="003A143B" w:rsidRPr="002F2EF3">
        <w:rPr>
          <w:rFonts w:eastAsia="Calibri" w:cs="Arial"/>
          <w:bCs/>
          <w:szCs w:val="18"/>
        </w:rPr>
        <w:t>účtovalo</w:t>
      </w:r>
      <w:proofErr w:type="gramEnd"/>
      <w:r w:rsidR="003A143B" w:rsidRPr="002F2EF3">
        <w:rPr>
          <w:rFonts w:eastAsia="Calibri" w:cs="Arial"/>
          <w:bCs/>
          <w:szCs w:val="18"/>
        </w:rPr>
        <w:t xml:space="preserve"> na stranu </w:t>
      </w:r>
      <w:proofErr w:type="gramStart"/>
      <w:r w:rsidR="003A143B" w:rsidRPr="00D71574">
        <w:rPr>
          <w:rFonts w:eastAsia="Calibri" w:cs="Arial"/>
          <w:bCs/>
          <w:i/>
          <w:szCs w:val="18"/>
        </w:rPr>
        <w:t>D</w:t>
      </w:r>
      <w:r w:rsidR="00A758AF" w:rsidRPr="00D71574">
        <w:rPr>
          <w:rFonts w:eastAsia="Calibri" w:cs="Arial"/>
          <w:bCs/>
          <w:i/>
          <w:szCs w:val="18"/>
        </w:rPr>
        <w:t>AL</w:t>
      </w:r>
      <w:proofErr w:type="gramEnd"/>
      <w:r w:rsidR="003A143B" w:rsidRPr="002F2EF3">
        <w:rPr>
          <w:rFonts w:eastAsia="Calibri" w:cs="Arial"/>
          <w:bCs/>
          <w:szCs w:val="18"/>
        </w:rPr>
        <w:t xml:space="preserve"> účtu </w:t>
      </w:r>
      <w:r w:rsidR="003A143B" w:rsidRPr="00D71574">
        <w:rPr>
          <w:rFonts w:eastAsia="Calibri" w:cs="Arial"/>
          <w:bCs/>
          <w:szCs w:val="18"/>
        </w:rPr>
        <w:t xml:space="preserve">671 – </w:t>
      </w:r>
      <w:r w:rsidR="003A143B" w:rsidRPr="002F2EF3">
        <w:rPr>
          <w:rFonts w:eastAsia="Calibri" w:cs="Arial"/>
          <w:bCs/>
          <w:i/>
          <w:szCs w:val="18"/>
        </w:rPr>
        <w:t>Výnosy vybraných ústředních vládních institucí z transferů</w:t>
      </w:r>
      <w:r w:rsidR="003A143B" w:rsidRPr="002F2EF3">
        <w:rPr>
          <w:rFonts w:eastAsia="Calibri" w:cs="Arial"/>
          <w:bCs/>
          <w:szCs w:val="18"/>
        </w:rPr>
        <w:t xml:space="preserve"> namísto účtu </w:t>
      </w:r>
      <w:r w:rsidR="003A143B" w:rsidRPr="00D71574">
        <w:rPr>
          <w:rFonts w:eastAsia="Calibri" w:cs="Arial"/>
          <w:bCs/>
          <w:szCs w:val="18"/>
        </w:rPr>
        <w:t xml:space="preserve">401 – </w:t>
      </w:r>
      <w:r w:rsidR="003A143B" w:rsidRPr="002F2EF3">
        <w:rPr>
          <w:rFonts w:eastAsia="Calibri" w:cs="Arial"/>
          <w:bCs/>
          <w:i/>
          <w:szCs w:val="18"/>
        </w:rPr>
        <w:t>Jmění účetní jednotky</w:t>
      </w:r>
      <w:r w:rsidR="003A143B" w:rsidRPr="002F2EF3">
        <w:rPr>
          <w:rFonts w:eastAsia="Calibri" w:cs="Arial"/>
          <w:bCs/>
          <w:szCs w:val="18"/>
        </w:rPr>
        <w:t xml:space="preserve">. </w:t>
      </w:r>
      <w:r w:rsidR="003A143B" w:rsidRPr="002F2EF3">
        <w:rPr>
          <w:rFonts w:eastAsia="Calibri" w:cs="Arial"/>
          <w:bCs/>
          <w:iCs/>
          <w:szCs w:val="22"/>
        </w:rPr>
        <w:t>Tí</w:t>
      </w:r>
      <w:r w:rsidRPr="002F2EF3">
        <w:rPr>
          <w:rFonts w:eastAsia="Calibri" w:cs="Arial"/>
          <w:bCs/>
          <w:iCs/>
          <w:szCs w:val="22"/>
        </w:rPr>
        <w:t xml:space="preserve">mto postupem </w:t>
      </w:r>
      <w:r w:rsidR="003A143B" w:rsidRPr="002F2EF3">
        <w:rPr>
          <w:rFonts w:eastAsia="Calibri" w:cs="Arial"/>
          <w:bCs/>
          <w:iCs/>
          <w:szCs w:val="22"/>
        </w:rPr>
        <w:t xml:space="preserve">MMR nadhodnotilo </w:t>
      </w:r>
      <w:r w:rsidR="00835E94">
        <w:rPr>
          <w:rFonts w:eastAsia="Calibri" w:cs="Arial"/>
          <w:bCs/>
          <w:iCs/>
          <w:szCs w:val="22"/>
        </w:rPr>
        <w:t xml:space="preserve">zůstatek </w:t>
      </w:r>
      <w:r w:rsidR="003A143B" w:rsidRPr="002F2EF3">
        <w:rPr>
          <w:rFonts w:eastAsia="Calibri" w:cs="Arial"/>
          <w:bCs/>
          <w:iCs/>
          <w:szCs w:val="22"/>
        </w:rPr>
        <w:t>účt</w:t>
      </w:r>
      <w:r w:rsidR="00835E94">
        <w:rPr>
          <w:rFonts w:eastAsia="Calibri" w:cs="Arial"/>
          <w:bCs/>
          <w:iCs/>
          <w:szCs w:val="22"/>
        </w:rPr>
        <w:t>u</w:t>
      </w:r>
      <w:r w:rsidR="007F4286">
        <w:rPr>
          <w:rFonts w:eastAsia="Calibri" w:cs="Arial"/>
          <w:bCs/>
          <w:iCs/>
          <w:szCs w:val="22"/>
        </w:rPr>
        <w:t xml:space="preserve"> </w:t>
      </w:r>
      <w:r w:rsidR="003A143B" w:rsidRPr="00D71574">
        <w:rPr>
          <w:rFonts w:eastAsia="Calibri" w:cs="Arial"/>
          <w:bCs/>
          <w:iCs/>
          <w:szCs w:val="22"/>
        </w:rPr>
        <w:t xml:space="preserve">671 </w:t>
      </w:r>
      <w:r w:rsidR="003A143B" w:rsidRPr="00D71574">
        <w:rPr>
          <w:rFonts w:eastAsia="Calibri" w:cs="Arial"/>
          <w:bCs/>
          <w:szCs w:val="18"/>
        </w:rPr>
        <w:t xml:space="preserve">– </w:t>
      </w:r>
      <w:r w:rsidR="003A143B" w:rsidRPr="002F2EF3">
        <w:rPr>
          <w:rFonts w:eastAsia="Calibri" w:cs="Arial"/>
          <w:bCs/>
          <w:i/>
          <w:szCs w:val="18"/>
        </w:rPr>
        <w:t>Výnosy vybraných ústředních vládních institucí z transferů</w:t>
      </w:r>
      <w:r w:rsidR="003A143B" w:rsidRPr="002F2EF3">
        <w:rPr>
          <w:rFonts w:eastAsia="Calibri" w:cs="Arial"/>
          <w:bCs/>
          <w:iCs/>
          <w:szCs w:val="22"/>
        </w:rPr>
        <w:t xml:space="preserve"> a podhodnotilo zůstatek účtu </w:t>
      </w:r>
      <w:r w:rsidR="003A143B" w:rsidRPr="00D71574">
        <w:rPr>
          <w:rFonts w:cs="Arial"/>
          <w:bCs/>
          <w:iCs/>
        </w:rPr>
        <w:t xml:space="preserve">401 – </w:t>
      </w:r>
      <w:r w:rsidR="003A143B" w:rsidRPr="002F2EF3">
        <w:rPr>
          <w:rFonts w:cs="Arial"/>
          <w:bCs/>
          <w:i/>
          <w:iCs/>
        </w:rPr>
        <w:t xml:space="preserve">Jmění účetní jednotky </w:t>
      </w:r>
      <w:r w:rsidR="003A143B" w:rsidRPr="002F2EF3">
        <w:rPr>
          <w:rFonts w:eastAsia="Calibri" w:cs="Arial"/>
          <w:bCs/>
          <w:iCs/>
          <w:szCs w:val="22"/>
        </w:rPr>
        <w:t xml:space="preserve">o </w:t>
      </w:r>
      <w:r w:rsidR="00DD6065">
        <w:rPr>
          <w:rFonts w:eastAsia="Calibri" w:cs="Arial"/>
          <w:bCs/>
          <w:iCs/>
          <w:szCs w:val="22"/>
        </w:rPr>
        <w:t xml:space="preserve">částku </w:t>
      </w:r>
      <w:r w:rsidR="003A143B" w:rsidRPr="002F2EF3">
        <w:rPr>
          <w:rFonts w:eastAsia="Calibri" w:cs="Arial"/>
          <w:bCs/>
          <w:iCs/>
          <w:szCs w:val="22"/>
        </w:rPr>
        <w:t>21,6</w:t>
      </w:r>
      <w:r w:rsidR="003E0FDC">
        <w:rPr>
          <w:rFonts w:eastAsia="Calibri" w:cs="Arial"/>
          <w:bCs/>
          <w:iCs/>
          <w:szCs w:val="22"/>
        </w:rPr>
        <w:t> </w:t>
      </w:r>
      <w:r w:rsidR="003A143B" w:rsidRPr="002F2EF3">
        <w:rPr>
          <w:rFonts w:eastAsia="Calibri" w:cs="Arial"/>
          <w:bCs/>
          <w:iCs/>
          <w:szCs w:val="22"/>
        </w:rPr>
        <w:t xml:space="preserve">mil. Kč a současně o stejnou částku nadhodnotilo </w:t>
      </w:r>
      <w:r w:rsidR="006617E2">
        <w:rPr>
          <w:rFonts w:eastAsia="Calibri" w:cs="Arial"/>
          <w:bCs/>
          <w:iCs/>
          <w:szCs w:val="22"/>
        </w:rPr>
        <w:t xml:space="preserve">zůstatek </w:t>
      </w:r>
      <w:r w:rsidR="003A143B" w:rsidRPr="002F2EF3">
        <w:rPr>
          <w:rFonts w:eastAsia="Calibri" w:cs="Arial"/>
          <w:bCs/>
          <w:iCs/>
          <w:szCs w:val="22"/>
        </w:rPr>
        <w:t>účt</w:t>
      </w:r>
      <w:r w:rsidR="006617E2">
        <w:rPr>
          <w:rFonts w:eastAsia="Calibri" w:cs="Arial"/>
          <w:bCs/>
          <w:iCs/>
          <w:szCs w:val="22"/>
        </w:rPr>
        <w:t>u</w:t>
      </w:r>
      <w:r w:rsidR="007F4286">
        <w:rPr>
          <w:rFonts w:eastAsia="Calibri" w:cs="Arial"/>
          <w:bCs/>
          <w:iCs/>
          <w:szCs w:val="22"/>
        </w:rPr>
        <w:t xml:space="preserve"> </w:t>
      </w:r>
      <w:r w:rsidR="003A143B" w:rsidRPr="00D71574">
        <w:rPr>
          <w:rFonts w:eastAsia="Calibri" w:cs="Arial"/>
          <w:bCs/>
          <w:iCs/>
          <w:szCs w:val="22"/>
        </w:rPr>
        <w:t xml:space="preserve">493 – </w:t>
      </w:r>
      <w:r w:rsidR="003A143B" w:rsidRPr="002F2EF3">
        <w:rPr>
          <w:rFonts w:eastAsia="Calibri" w:cs="Arial"/>
          <w:bCs/>
          <w:i/>
          <w:iCs/>
          <w:szCs w:val="22"/>
        </w:rPr>
        <w:t xml:space="preserve">Výsledek hospodaření běžného účetního období. </w:t>
      </w:r>
    </w:p>
    <w:p w:rsidR="003E0FDC" w:rsidRPr="007113E1" w:rsidRDefault="003E0FDC" w:rsidP="00DD6065">
      <w:pPr>
        <w:suppressAutoHyphens/>
        <w:ind w:firstLine="0"/>
        <w:rPr>
          <w:rFonts w:cs="Arial"/>
          <w:color w:val="000000"/>
          <w:spacing w:val="-2"/>
        </w:rPr>
      </w:pPr>
    </w:p>
    <w:p w:rsidR="00762CBC" w:rsidRDefault="00835E94" w:rsidP="00DD6065">
      <w:pPr>
        <w:suppressAutoHyphens/>
        <w:ind w:firstLine="0"/>
        <w:rPr>
          <w:rFonts w:cs="Arial"/>
          <w:b/>
          <w:color w:val="000000"/>
          <w:spacing w:val="-2"/>
        </w:rPr>
      </w:pPr>
      <w:r>
        <w:rPr>
          <w:rFonts w:cs="Arial"/>
          <w:b/>
          <w:color w:val="000000"/>
          <w:spacing w:val="-2"/>
        </w:rPr>
        <w:t>1</w:t>
      </w:r>
      <w:r w:rsidR="00762CBC" w:rsidRPr="00BF1AEE">
        <w:rPr>
          <w:rFonts w:cs="Arial"/>
          <w:b/>
          <w:color w:val="000000"/>
          <w:spacing w:val="-2"/>
        </w:rPr>
        <w:t>.1.1.</w:t>
      </w:r>
      <w:r w:rsidR="00762CBC">
        <w:rPr>
          <w:rFonts w:cs="Arial"/>
          <w:b/>
          <w:color w:val="000000"/>
          <w:spacing w:val="-2"/>
        </w:rPr>
        <w:t>2 Národní transfery</w:t>
      </w:r>
    </w:p>
    <w:p w:rsidR="00DD6065" w:rsidRDefault="00DD6065" w:rsidP="00DD6065">
      <w:pPr>
        <w:suppressAutoHyphens/>
        <w:ind w:firstLine="0"/>
        <w:rPr>
          <w:rFonts w:cs="Arial"/>
          <w:szCs w:val="22"/>
        </w:rPr>
      </w:pPr>
    </w:p>
    <w:p w:rsidR="00DD6065" w:rsidRDefault="00DD6065" w:rsidP="00DD6065">
      <w:pPr>
        <w:suppressAutoHyphens/>
        <w:ind w:firstLine="0"/>
        <w:rPr>
          <w:rFonts w:cs="Arial"/>
          <w:b/>
          <w:szCs w:val="22"/>
        </w:rPr>
      </w:pPr>
      <w:r w:rsidRPr="00DD6065">
        <w:rPr>
          <w:rFonts w:cs="Arial"/>
          <w:b/>
          <w:szCs w:val="22"/>
        </w:rPr>
        <w:t xml:space="preserve">Neúčtování o podmíněných závazcích </w:t>
      </w:r>
    </w:p>
    <w:p w:rsidR="00002055" w:rsidRPr="007113E1" w:rsidRDefault="00002055" w:rsidP="00DD6065">
      <w:pPr>
        <w:suppressAutoHyphens/>
        <w:ind w:firstLine="0"/>
        <w:rPr>
          <w:rFonts w:cs="Arial"/>
          <w:szCs w:val="22"/>
        </w:rPr>
      </w:pPr>
    </w:p>
    <w:p w:rsidR="00DD6065" w:rsidRDefault="00002055" w:rsidP="00DD6065">
      <w:pPr>
        <w:suppressAutoHyphens/>
        <w:ind w:firstLine="0"/>
        <w:rPr>
          <w:rFonts w:eastAsia="Calibri" w:cs="Arial"/>
          <w:iCs/>
          <w:szCs w:val="22"/>
        </w:rPr>
      </w:pPr>
      <w:r w:rsidRPr="00F962C0">
        <w:rPr>
          <w:rFonts w:eastAsia="Calibri" w:cs="Arial"/>
          <w:iCs/>
          <w:szCs w:val="22"/>
        </w:rPr>
        <w:t>MMR v roce 2012</w:t>
      </w:r>
      <w:r w:rsidR="0037396E" w:rsidRPr="00F962C0">
        <w:rPr>
          <w:rFonts w:eastAsia="Calibri" w:cs="Arial"/>
          <w:iCs/>
          <w:szCs w:val="22"/>
        </w:rPr>
        <w:t xml:space="preserve"> neúčtovalo</w:t>
      </w:r>
      <w:r w:rsidR="00C67D69">
        <w:rPr>
          <w:rFonts w:eastAsia="Calibri" w:cs="Arial"/>
          <w:iCs/>
          <w:szCs w:val="22"/>
        </w:rPr>
        <w:t xml:space="preserve"> </w:t>
      </w:r>
      <w:r w:rsidR="0037396E" w:rsidRPr="00F962C0">
        <w:rPr>
          <w:rFonts w:eastAsia="Calibri" w:cs="Arial"/>
          <w:iCs/>
          <w:szCs w:val="22"/>
        </w:rPr>
        <w:t xml:space="preserve">dle ČÚS č. 701 a </w:t>
      </w:r>
      <w:r w:rsidR="00C367A2" w:rsidRPr="00F962C0">
        <w:rPr>
          <w:rFonts w:eastAsia="Calibri" w:cs="Arial"/>
          <w:iCs/>
          <w:szCs w:val="22"/>
        </w:rPr>
        <w:t xml:space="preserve">dle </w:t>
      </w:r>
      <w:r w:rsidR="0037396E" w:rsidRPr="00F962C0">
        <w:rPr>
          <w:rFonts w:eastAsia="Calibri" w:cs="Arial"/>
          <w:iCs/>
          <w:szCs w:val="22"/>
        </w:rPr>
        <w:t xml:space="preserve">ČÚS č. 703 </w:t>
      </w:r>
      <w:r w:rsidR="00FE4EF0" w:rsidRPr="00F962C0">
        <w:rPr>
          <w:rFonts w:eastAsia="Calibri" w:cs="Arial"/>
          <w:iCs/>
          <w:szCs w:val="22"/>
        </w:rPr>
        <w:t xml:space="preserve">na příslušných podrozvahových účtech </w:t>
      </w:r>
      <w:r w:rsidRPr="00F962C0">
        <w:rPr>
          <w:rFonts w:eastAsia="Calibri" w:cs="Arial"/>
          <w:iCs/>
          <w:szCs w:val="22"/>
        </w:rPr>
        <w:t>o podmíněných závazcích plynoucích z </w:t>
      </w:r>
      <w:r w:rsidR="001507CD">
        <w:rPr>
          <w:rFonts w:eastAsia="Calibri" w:cs="Arial"/>
          <w:iCs/>
          <w:szCs w:val="22"/>
        </w:rPr>
        <w:t>r</w:t>
      </w:r>
      <w:r w:rsidRPr="00F962C0">
        <w:rPr>
          <w:rFonts w:eastAsia="Calibri" w:cs="Arial"/>
          <w:iCs/>
          <w:szCs w:val="22"/>
        </w:rPr>
        <w:t>ozhodnutí o poskytnutí dotace v rámci programového financování akcí financovaných zcela z národních zdrojů</w:t>
      </w:r>
      <w:r w:rsidR="00FE4EF0" w:rsidRPr="00F962C0">
        <w:rPr>
          <w:rFonts w:eastAsia="Calibri" w:cs="Arial"/>
          <w:iCs/>
          <w:szCs w:val="22"/>
        </w:rPr>
        <w:t>.</w:t>
      </w:r>
    </w:p>
    <w:p w:rsidR="007113E1" w:rsidRDefault="007113E1" w:rsidP="00DD6065">
      <w:pPr>
        <w:suppressAutoHyphens/>
        <w:ind w:firstLine="0"/>
        <w:rPr>
          <w:rFonts w:eastAsia="Calibri" w:cs="Arial"/>
          <w:iCs/>
          <w:szCs w:val="22"/>
        </w:rPr>
      </w:pPr>
    </w:p>
    <w:p w:rsidR="0089096A" w:rsidRDefault="00A62330" w:rsidP="00A62330">
      <w:pPr>
        <w:suppressAutoHyphens/>
        <w:ind w:firstLine="0"/>
        <w:rPr>
          <w:rFonts w:eastAsia="Calibri" w:cs="Arial"/>
          <w:bCs/>
          <w:iCs/>
          <w:szCs w:val="22"/>
        </w:rPr>
      </w:pPr>
      <w:r w:rsidRPr="00A62330">
        <w:rPr>
          <w:rFonts w:eastAsia="Calibri" w:cs="Arial"/>
          <w:bCs/>
          <w:iCs/>
          <w:szCs w:val="22"/>
        </w:rPr>
        <w:t xml:space="preserve">MMR neúčtovalo o krátkodobém podmíněném závazku z titulu </w:t>
      </w:r>
      <w:r w:rsidR="001507CD">
        <w:rPr>
          <w:rFonts w:eastAsia="Calibri" w:cs="Arial"/>
          <w:bCs/>
          <w:iCs/>
          <w:szCs w:val="22"/>
        </w:rPr>
        <w:t>r</w:t>
      </w:r>
      <w:r w:rsidRPr="00A62330">
        <w:rPr>
          <w:rFonts w:eastAsia="Calibri" w:cs="Arial"/>
          <w:bCs/>
          <w:iCs/>
          <w:szCs w:val="22"/>
        </w:rPr>
        <w:t xml:space="preserve">ozhodnutí o poskytnutí dotace </w:t>
      </w:r>
      <w:r>
        <w:rPr>
          <w:rFonts w:eastAsia="Calibri" w:cs="Arial"/>
          <w:bCs/>
          <w:iCs/>
          <w:szCs w:val="22"/>
        </w:rPr>
        <w:t xml:space="preserve">na financování akce </w:t>
      </w:r>
      <w:r w:rsidRPr="00D71574">
        <w:rPr>
          <w:rFonts w:cs="Arial"/>
          <w:bCs/>
          <w:i/>
          <w:iCs/>
        </w:rPr>
        <w:t>Raspenava – oprava lávek a mostů, povodeň 08/2010</w:t>
      </w:r>
      <w:r w:rsidRPr="00307B5A">
        <w:rPr>
          <w:rFonts w:cs="Arial"/>
          <w:bCs/>
          <w:iCs/>
        </w:rPr>
        <w:t xml:space="preserve"> realizované v </w:t>
      </w:r>
      <w:r w:rsidRPr="00D638A2">
        <w:rPr>
          <w:rFonts w:cs="Arial"/>
          <w:bCs/>
          <w:iCs/>
        </w:rPr>
        <w:t xml:space="preserve">rámci </w:t>
      </w:r>
      <w:r w:rsidRPr="00D638A2">
        <w:rPr>
          <w:rFonts w:cs="Arial"/>
          <w:bCs/>
          <w:iCs/>
          <w:lang w:eastAsia="ar-SA"/>
        </w:rPr>
        <w:t>podprogramu</w:t>
      </w:r>
      <w:r w:rsidR="00C67D69">
        <w:rPr>
          <w:rFonts w:cs="Arial"/>
          <w:bCs/>
          <w:iCs/>
          <w:lang w:eastAsia="ar-SA"/>
        </w:rPr>
        <w:t xml:space="preserve"> </w:t>
      </w:r>
      <w:r w:rsidRPr="00D71574">
        <w:rPr>
          <w:rFonts w:cs="Arial"/>
          <w:bCs/>
          <w:i/>
          <w:iCs/>
          <w:lang w:eastAsia="ar-SA"/>
        </w:rPr>
        <w:t>Obnova obecního a krajského majetku postiženého živelní pohromou v roce 2010</w:t>
      </w:r>
      <w:r>
        <w:rPr>
          <w:rFonts w:cs="Arial"/>
          <w:bCs/>
          <w:iCs/>
          <w:lang w:eastAsia="ar-SA"/>
        </w:rPr>
        <w:t>.</w:t>
      </w:r>
      <w:r w:rsidR="00C941B3">
        <w:rPr>
          <w:rFonts w:cs="Arial"/>
          <w:bCs/>
          <w:iCs/>
          <w:lang w:eastAsia="ar-SA"/>
        </w:rPr>
        <w:t xml:space="preserve"> Tímto postupem MMR k 31. </w:t>
      </w:r>
      <w:r w:rsidR="00D264C0">
        <w:rPr>
          <w:rFonts w:cs="Arial"/>
          <w:bCs/>
          <w:iCs/>
          <w:lang w:eastAsia="ar-SA"/>
        </w:rPr>
        <w:t xml:space="preserve">prosinci </w:t>
      </w:r>
      <w:r w:rsidR="00C941B3">
        <w:rPr>
          <w:rFonts w:cs="Arial"/>
          <w:bCs/>
          <w:iCs/>
          <w:lang w:eastAsia="ar-SA"/>
        </w:rPr>
        <w:t xml:space="preserve">2012 podhodnotilo zůstatek </w:t>
      </w:r>
      <w:r w:rsidR="00C941B3" w:rsidRPr="00C941B3">
        <w:rPr>
          <w:rFonts w:cs="Arial"/>
          <w:bCs/>
          <w:iCs/>
        </w:rPr>
        <w:t xml:space="preserve">účtu </w:t>
      </w:r>
      <w:r w:rsidR="00C941B3" w:rsidRPr="00D71574">
        <w:rPr>
          <w:rFonts w:cs="Arial"/>
          <w:bCs/>
          <w:iCs/>
        </w:rPr>
        <w:t xml:space="preserve">973 – </w:t>
      </w:r>
      <w:r w:rsidR="00C941B3" w:rsidRPr="00B5728E">
        <w:rPr>
          <w:rFonts w:cs="Arial"/>
          <w:bCs/>
          <w:i/>
          <w:iCs/>
        </w:rPr>
        <w:t>Krátkodobé podmíněné závazky z jiných smluv</w:t>
      </w:r>
      <w:r w:rsidR="00C941B3" w:rsidRPr="00C941B3">
        <w:rPr>
          <w:rFonts w:cs="Arial"/>
          <w:bCs/>
          <w:iCs/>
        </w:rPr>
        <w:t xml:space="preserve"> o částku </w:t>
      </w:r>
      <w:r w:rsidR="00C941B3" w:rsidRPr="00C941B3">
        <w:rPr>
          <w:rFonts w:eastAsia="Calibri" w:cs="Arial"/>
          <w:bCs/>
          <w:iCs/>
          <w:szCs w:val="22"/>
        </w:rPr>
        <w:t>55</w:t>
      </w:r>
      <w:r w:rsidR="00C941B3">
        <w:rPr>
          <w:rFonts w:eastAsia="Calibri" w:cs="Arial"/>
          <w:bCs/>
          <w:iCs/>
          <w:szCs w:val="22"/>
        </w:rPr>
        <w:t>,</w:t>
      </w:r>
      <w:r w:rsidR="00C941B3" w:rsidRPr="00C941B3">
        <w:rPr>
          <w:rFonts w:eastAsia="Calibri" w:cs="Arial"/>
          <w:bCs/>
          <w:iCs/>
          <w:szCs w:val="22"/>
        </w:rPr>
        <w:t>9</w:t>
      </w:r>
      <w:r w:rsidR="00C941B3">
        <w:rPr>
          <w:rFonts w:eastAsia="Calibri" w:cs="Arial"/>
          <w:bCs/>
          <w:iCs/>
          <w:szCs w:val="22"/>
        </w:rPr>
        <w:t xml:space="preserve"> mil. Kč</w:t>
      </w:r>
      <w:r w:rsidR="00C941B3" w:rsidRPr="00C941B3">
        <w:rPr>
          <w:rFonts w:eastAsia="Calibri" w:cs="Arial"/>
          <w:bCs/>
          <w:iCs/>
          <w:szCs w:val="22"/>
        </w:rPr>
        <w:t>.</w:t>
      </w:r>
    </w:p>
    <w:p w:rsidR="00226A1C" w:rsidRDefault="00226A1C" w:rsidP="00E55A7D">
      <w:pPr>
        <w:ind w:firstLine="0"/>
        <w:jc w:val="left"/>
        <w:rPr>
          <w:rFonts w:eastAsia="Calibri" w:cs="Arial"/>
          <w:bCs/>
          <w:iCs/>
          <w:szCs w:val="22"/>
        </w:rPr>
      </w:pPr>
    </w:p>
    <w:p w:rsidR="00C941B3" w:rsidRPr="007113E1" w:rsidRDefault="00C941B3" w:rsidP="007113E1">
      <w:pPr>
        <w:ind w:firstLine="0"/>
        <w:rPr>
          <w:b/>
        </w:rPr>
      </w:pPr>
      <w:r w:rsidRPr="007113E1">
        <w:rPr>
          <w:b/>
        </w:rPr>
        <w:t>1.</w:t>
      </w:r>
      <w:r w:rsidR="00835E94" w:rsidRPr="007113E1">
        <w:rPr>
          <w:b/>
        </w:rPr>
        <w:t>1</w:t>
      </w:r>
      <w:r w:rsidRPr="007113E1">
        <w:rPr>
          <w:b/>
        </w:rPr>
        <w:t>.1.</w:t>
      </w:r>
      <w:r w:rsidR="00BB1B8F">
        <w:rPr>
          <w:b/>
        </w:rPr>
        <w:t>3</w:t>
      </w:r>
      <w:r w:rsidRPr="007113E1">
        <w:rPr>
          <w:b/>
        </w:rPr>
        <w:t xml:space="preserve"> </w:t>
      </w:r>
      <w:r w:rsidR="00835E94" w:rsidRPr="007113E1">
        <w:rPr>
          <w:b/>
        </w:rPr>
        <w:t>Dlouhodobý m</w:t>
      </w:r>
      <w:r w:rsidRPr="007113E1">
        <w:rPr>
          <w:b/>
        </w:rPr>
        <w:t>ajetek</w:t>
      </w:r>
    </w:p>
    <w:p w:rsidR="00C941B3" w:rsidRDefault="00C941B3" w:rsidP="007113E1">
      <w:pPr>
        <w:ind w:firstLine="0"/>
      </w:pPr>
    </w:p>
    <w:p w:rsidR="00C941B3" w:rsidRDefault="001D1DC4" w:rsidP="00C941B3">
      <w:pPr>
        <w:ind w:firstLine="0"/>
        <w:rPr>
          <w:b/>
        </w:rPr>
      </w:pPr>
      <w:r>
        <w:rPr>
          <w:b/>
        </w:rPr>
        <w:t>Softwarové l</w:t>
      </w:r>
      <w:r w:rsidR="00C941B3" w:rsidRPr="00C941B3">
        <w:rPr>
          <w:b/>
        </w:rPr>
        <w:t>icence k</w:t>
      </w:r>
      <w:r w:rsidR="00984B38">
        <w:rPr>
          <w:b/>
        </w:rPr>
        <w:t> </w:t>
      </w:r>
      <w:r w:rsidR="00C941B3" w:rsidRPr="00C941B3">
        <w:rPr>
          <w:b/>
        </w:rPr>
        <w:t>MSC</w:t>
      </w:r>
    </w:p>
    <w:p w:rsidR="00984B38" w:rsidRDefault="00984B38" w:rsidP="00C941B3">
      <w:pPr>
        <w:ind w:firstLine="0"/>
        <w:rPr>
          <w:b/>
        </w:rPr>
      </w:pPr>
    </w:p>
    <w:p w:rsidR="000C598F" w:rsidRDefault="00C10094" w:rsidP="002559E4">
      <w:pPr>
        <w:ind w:firstLine="0"/>
        <w:rPr>
          <w:rFonts w:cs="Arial"/>
          <w:bCs/>
          <w:iCs/>
          <w:szCs w:val="22"/>
        </w:rPr>
      </w:pPr>
      <w:r w:rsidRPr="00C10094">
        <w:rPr>
          <w:rFonts w:cs="Arial"/>
          <w:bCs/>
          <w:iCs/>
          <w:szCs w:val="22"/>
        </w:rPr>
        <w:t>MMR</w:t>
      </w:r>
      <w:r>
        <w:rPr>
          <w:rFonts w:cs="Arial"/>
          <w:bCs/>
          <w:iCs/>
          <w:szCs w:val="22"/>
        </w:rPr>
        <w:t xml:space="preserve"> v roce 2012 pořídilo</w:t>
      </w:r>
      <w:r w:rsidRPr="00C10094">
        <w:rPr>
          <w:rFonts w:cs="Arial"/>
          <w:szCs w:val="22"/>
        </w:rPr>
        <w:t xml:space="preserve"> licence vztahující se k provozu informačního systému MSC 2007</w:t>
      </w:r>
      <w:r w:rsidR="001D1DC4">
        <w:rPr>
          <w:rStyle w:val="Znakapoznpodarou"/>
          <w:rFonts w:cs="Arial"/>
          <w:szCs w:val="22"/>
        </w:rPr>
        <w:footnoteReference w:id="3"/>
      </w:r>
      <w:r w:rsidRPr="00C10094">
        <w:rPr>
          <w:rFonts w:cs="Arial"/>
          <w:szCs w:val="22"/>
        </w:rPr>
        <w:t xml:space="preserve"> a </w:t>
      </w:r>
      <w:r>
        <w:rPr>
          <w:rFonts w:cs="Arial"/>
          <w:szCs w:val="22"/>
        </w:rPr>
        <w:t xml:space="preserve">spolu s nimi </w:t>
      </w:r>
      <w:r w:rsidRPr="00C10094">
        <w:rPr>
          <w:rFonts w:cs="Arial"/>
          <w:szCs w:val="22"/>
        </w:rPr>
        <w:t>služby představující podpory</w:t>
      </w:r>
      <w:r w:rsidR="00E35E3E">
        <w:rPr>
          <w:rFonts w:cs="Arial"/>
          <w:szCs w:val="22"/>
        </w:rPr>
        <w:t xml:space="preserve"> těchto</w:t>
      </w:r>
      <w:r w:rsidRPr="00C10094">
        <w:rPr>
          <w:rFonts w:cs="Arial"/>
          <w:szCs w:val="22"/>
        </w:rPr>
        <w:t xml:space="preserve"> licencí</w:t>
      </w:r>
      <w:r>
        <w:rPr>
          <w:rFonts w:cs="Arial"/>
          <w:szCs w:val="22"/>
        </w:rPr>
        <w:t xml:space="preserve">. Tyto </w:t>
      </w:r>
      <w:r>
        <w:rPr>
          <w:rFonts w:cs="Arial"/>
          <w:bCs/>
          <w:iCs/>
          <w:szCs w:val="22"/>
        </w:rPr>
        <w:t>k 31.</w:t>
      </w:r>
      <w:r w:rsidR="00D264C0">
        <w:rPr>
          <w:rFonts w:cs="Arial"/>
          <w:bCs/>
          <w:iCs/>
          <w:szCs w:val="22"/>
        </w:rPr>
        <w:t xml:space="preserve"> prosinci </w:t>
      </w:r>
      <w:r>
        <w:rPr>
          <w:rFonts w:cs="Arial"/>
          <w:bCs/>
          <w:iCs/>
          <w:szCs w:val="22"/>
        </w:rPr>
        <w:t xml:space="preserve">2012 vykázalo na účtu </w:t>
      </w:r>
      <w:r w:rsidRPr="00D71574">
        <w:rPr>
          <w:rFonts w:cs="Arial"/>
          <w:bCs/>
          <w:iCs/>
          <w:szCs w:val="22"/>
        </w:rPr>
        <w:t xml:space="preserve">019 – </w:t>
      </w:r>
      <w:r w:rsidRPr="006A6288">
        <w:rPr>
          <w:rFonts w:cs="Arial"/>
          <w:bCs/>
          <w:i/>
          <w:iCs/>
          <w:szCs w:val="22"/>
        </w:rPr>
        <w:t>Ostatní dlouhodobý nehmotný majetek</w:t>
      </w:r>
      <w:r>
        <w:rPr>
          <w:rFonts w:cs="Arial"/>
          <w:bCs/>
          <w:iCs/>
          <w:szCs w:val="22"/>
        </w:rPr>
        <w:t>, ačkoliv se jednalo o</w:t>
      </w:r>
      <w:r w:rsidR="00141C95">
        <w:rPr>
          <w:rFonts w:cs="Arial"/>
          <w:bCs/>
          <w:iCs/>
          <w:szCs w:val="22"/>
        </w:rPr>
        <w:t xml:space="preserve"> majetek povahy</w:t>
      </w:r>
      <w:r>
        <w:rPr>
          <w:rFonts w:cs="Arial"/>
          <w:bCs/>
          <w:iCs/>
          <w:szCs w:val="22"/>
        </w:rPr>
        <w:t xml:space="preserve"> </w:t>
      </w:r>
      <w:r>
        <w:rPr>
          <w:rFonts w:cs="Arial"/>
          <w:bCs/>
          <w:iCs/>
          <w:szCs w:val="22"/>
        </w:rPr>
        <w:lastRenderedPageBreak/>
        <w:t>software a služby související s</w:t>
      </w:r>
      <w:r w:rsidR="00141C95">
        <w:rPr>
          <w:rFonts w:cs="Arial"/>
          <w:bCs/>
          <w:iCs/>
          <w:szCs w:val="22"/>
        </w:rPr>
        <w:t> </w:t>
      </w:r>
      <w:r>
        <w:rPr>
          <w:rFonts w:cs="Arial"/>
          <w:bCs/>
          <w:iCs/>
          <w:szCs w:val="22"/>
        </w:rPr>
        <w:t>podporou</w:t>
      </w:r>
      <w:r w:rsidR="00141C95">
        <w:rPr>
          <w:rFonts w:cs="Arial"/>
          <w:bCs/>
          <w:iCs/>
          <w:szCs w:val="22"/>
        </w:rPr>
        <w:t xml:space="preserve"> tohoto</w:t>
      </w:r>
      <w:r>
        <w:rPr>
          <w:rFonts w:cs="Arial"/>
          <w:bCs/>
          <w:iCs/>
          <w:szCs w:val="22"/>
        </w:rPr>
        <w:t xml:space="preserve"> softwar</w:t>
      </w:r>
      <w:r w:rsidR="00141C95">
        <w:rPr>
          <w:rFonts w:cs="Arial"/>
          <w:bCs/>
          <w:iCs/>
          <w:szCs w:val="22"/>
        </w:rPr>
        <w:t>e</w:t>
      </w:r>
      <w:r>
        <w:rPr>
          <w:rFonts w:cs="Arial"/>
          <w:bCs/>
          <w:iCs/>
          <w:szCs w:val="22"/>
        </w:rPr>
        <w:t xml:space="preserve">. K takto pořízenému majetku nebyly v roce 2012 vytvořeny odpisy. </w:t>
      </w:r>
    </w:p>
    <w:p w:rsidR="00380E23" w:rsidRDefault="00380E23" w:rsidP="002559E4">
      <w:pPr>
        <w:ind w:firstLine="0"/>
        <w:rPr>
          <w:rFonts w:cs="Arial"/>
          <w:bCs/>
          <w:iCs/>
          <w:szCs w:val="22"/>
        </w:rPr>
      </w:pPr>
    </w:p>
    <w:p w:rsidR="002D0BD7" w:rsidRPr="00C53D33" w:rsidRDefault="000C598F" w:rsidP="00E55A7D">
      <w:pPr>
        <w:ind w:firstLine="0"/>
        <w:rPr>
          <w:b/>
        </w:rPr>
      </w:pPr>
      <w:r w:rsidRPr="00E35E3E">
        <w:rPr>
          <w:rFonts w:cs="Arial"/>
          <w:bCs/>
          <w:iCs/>
          <w:szCs w:val="22"/>
        </w:rPr>
        <w:t>MMR o</w:t>
      </w:r>
      <w:r w:rsidR="002C2CDE" w:rsidRPr="00E35E3E">
        <w:rPr>
          <w:rFonts w:cs="Arial"/>
          <w:bCs/>
          <w:iCs/>
          <w:szCs w:val="22"/>
        </w:rPr>
        <w:t xml:space="preserve"> zařazení majetku</w:t>
      </w:r>
      <w:r w:rsidRPr="00E35E3E">
        <w:rPr>
          <w:rFonts w:cs="Arial"/>
          <w:bCs/>
          <w:iCs/>
          <w:szCs w:val="22"/>
        </w:rPr>
        <w:t xml:space="preserve"> charakteru software</w:t>
      </w:r>
      <w:r w:rsidR="00C67D69">
        <w:rPr>
          <w:rFonts w:cs="Arial"/>
          <w:bCs/>
          <w:iCs/>
          <w:szCs w:val="22"/>
        </w:rPr>
        <w:t xml:space="preserve"> </w:t>
      </w:r>
      <w:r w:rsidRPr="00E35E3E">
        <w:rPr>
          <w:rFonts w:cs="Arial"/>
          <w:bCs/>
          <w:iCs/>
          <w:szCs w:val="22"/>
        </w:rPr>
        <w:t>účtovalo</w:t>
      </w:r>
      <w:r w:rsidR="00E35E3E" w:rsidRPr="00E35E3E">
        <w:rPr>
          <w:rFonts w:cs="Arial"/>
          <w:bCs/>
          <w:iCs/>
          <w:szCs w:val="22"/>
        </w:rPr>
        <w:t xml:space="preserve"> obd</w:t>
      </w:r>
      <w:r w:rsidR="001C12E8">
        <w:rPr>
          <w:rFonts w:cs="Arial"/>
          <w:bCs/>
          <w:iCs/>
          <w:szCs w:val="22"/>
        </w:rPr>
        <w:t>obně i v přechozích letech, tj. </w:t>
      </w:r>
      <w:r w:rsidR="00E35E3E" w:rsidRPr="00E35E3E">
        <w:rPr>
          <w:rFonts w:cs="Arial"/>
          <w:bCs/>
          <w:iCs/>
          <w:szCs w:val="22"/>
        </w:rPr>
        <w:t>zařazovalo majetek povahy software</w:t>
      </w:r>
      <w:r w:rsidR="00C67D69">
        <w:rPr>
          <w:rFonts w:cs="Arial"/>
          <w:bCs/>
          <w:iCs/>
          <w:szCs w:val="22"/>
        </w:rPr>
        <w:t xml:space="preserve"> </w:t>
      </w:r>
      <w:r w:rsidR="002C2CDE" w:rsidRPr="00E35E3E">
        <w:rPr>
          <w:rFonts w:cs="Arial"/>
          <w:bCs/>
          <w:iCs/>
          <w:szCs w:val="22"/>
        </w:rPr>
        <w:t>na nesprávný</w:t>
      </w:r>
      <w:r w:rsidRPr="00E35E3E">
        <w:rPr>
          <w:rFonts w:cs="Arial"/>
          <w:bCs/>
          <w:iCs/>
          <w:szCs w:val="22"/>
        </w:rPr>
        <w:t xml:space="preserve"> majetkový</w:t>
      </w:r>
      <w:r w:rsidR="002C2CDE" w:rsidRPr="00E35E3E">
        <w:rPr>
          <w:rFonts w:cs="Arial"/>
          <w:bCs/>
          <w:iCs/>
          <w:szCs w:val="22"/>
        </w:rPr>
        <w:t xml:space="preserve"> účet</w:t>
      </w:r>
      <w:r w:rsidR="00C67D69">
        <w:rPr>
          <w:rFonts w:cs="Arial"/>
          <w:bCs/>
          <w:iCs/>
          <w:szCs w:val="22"/>
        </w:rPr>
        <w:t xml:space="preserve"> </w:t>
      </w:r>
      <w:r w:rsidR="00141C95" w:rsidRPr="00E35E3E">
        <w:rPr>
          <w:rFonts w:cs="Arial"/>
          <w:bCs/>
          <w:iCs/>
          <w:szCs w:val="22"/>
        </w:rPr>
        <w:t>i před</w:t>
      </w:r>
      <w:r w:rsidR="00E35E3E" w:rsidRPr="00E35E3E">
        <w:rPr>
          <w:rFonts w:cs="Arial"/>
          <w:bCs/>
          <w:iCs/>
          <w:szCs w:val="22"/>
        </w:rPr>
        <w:t xml:space="preserve"> rokem 2012</w:t>
      </w:r>
      <w:r w:rsidR="002C2CDE" w:rsidRPr="00E35E3E">
        <w:rPr>
          <w:rFonts w:cs="Arial"/>
          <w:bCs/>
          <w:iCs/>
          <w:szCs w:val="22"/>
        </w:rPr>
        <w:t>.</w:t>
      </w:r>
      <w:r w:rsidR="002C2CDE">
        <w:rPr>
          <w:rFonts w:cs="Arial"/>
          <w:bCs/>
          <w:iCs/>
          <w:szCs w:val="22"/>
        </w:rPr>
        <w:t xml:space="preserve"> Tímto postupem MMR k 31. </w:t>
      </w:r>
      <w:r w:rsidR="00D264C0">
        <w:rPr>
          <w:rFonts w:cs="Arial"/>
          <w:bCs/>
          <w:iCs/>
          <w:szCs w:val="22"/>
        </w:rPr>
        <w:t xml:space="preserve">prosinci </w:t>
      </w:r>
      <w:r w:rsidR="002C2CDE">
        <w:rPr>
          <w:rFonts w:cs="Arial"/>
          <w:bCs/>
          <w:iCs/>
          <w:szCs w:val="22"/>
        </w:rPr>
        <w:t xml:space="preserve">2012 nadhodnotilo zůstatek účtu </w:t>
      </w:r>
      <w:r w:rsidR="002C2CDE" w:rsidRPr="00D71574">
        <w:rPr>
          <w:rFonts w:cs="Arial"/>
          <w:bCs/>
          <w:iCs/>
          <w:szCs w:val="22"/>
        </w:rPr>
        <w:t>019</w:t>
      </w:r>
      <w:r w:rsidR="002D0BD7" w:rsidRPr="00D71574">
        <w:rPr>
          <w:rFonts w:cs="Arial"/>
          <w:bCs/>
          <w:iCs/>
          <w:szCs w:val="22"/>
        </w:rPr>
        <w:t xml:space="preserve"> – </w:t>
      </w:r>
      <w:r w:rsidR="002D0BD7" w:rsidRPr="002D0BD7">
        <w:rPr>
          <w:rFonts w:cs="Arial"/>
          <w:bCs/>
          <w:i/>
          <w:iCs/>
          <w:szCs w:val="22"/>
        </w:rPr>
        <w:t>Ostatní dlouhodobý nehmotný majetek</w:t>
      </w:r>
      <w:r w:rsidR="002C2CDE">
        <w:rPr>
          <w:rFonts w:cs="Arial"/>
          <w:bCs/>
          <w:iCs/>
          <w:szCs w:val="22"/>
        </w:rPr>
        <w:t xml:space="preserve"> v netto hodnotě o 80,5 mil. Kč</w:t>
      </w:r>
      <w:r w:rsidR="002D0BD7">
        <w:rPr>
          <w:rFonts w:cs="Arial"/>
          <w:bCs/>
          <w:iCs/>
          <w:szCs w:val="22"/>
        </w:rPr>
        <w:t xml:space="preserve">, </w:t>
      </w:r>
      <w:r w:rsidR="002C2CDE">
        <w:rPr>
          <w:rFonts w:cs="Arial"/>
          <w:bCs/>
          <w:iCs/>
          <w:szCs w:val="22"/>
        </w:rPr>
        <w:t xml:space="preserve">podhodnotilo zůstatek účtu </w:t>
      </w:r>
      <w:r w:rsidR="002C2CDE" w:rsidRPr="00D71574">
        <w:rPr>
          <w:rFonts w:cs="Arial"/>
          <w:bCs/>
          <w:iCs/>
          <w:szCs w:val="22"/>
        </w:rPr>
        <w:t>013</w:t>
      </w:r>
      <w:r w:rsidR="002D0BD7" w:rsidRPr="00D71574">
        <w:rPr>
          <w:rFonts w:cs="Arial"/>
          <w:bCs/>
          <w:iCs/>
          <w:szCs w:val="22"/>
        </w:rPr>
        <w:t xml:space="preserve"> </w:t>
      </w:r>
      <w:r w:rsidR="001507CD" w:rsidRPr="00D71574">
        <w:rPr>
          <w:rFonts w:cs="Arial"/>
          <w:bCs/>
          <w:iCs/>
          <w:szCs w:val="22"/>
        </w:rPr>
        <w:t>–</w:t>
      </w:r>
      <w:r w:rsidR="002D0BD7" w:rsidRPr="00D71574">
        <w:rPr>
          <w:rFonts w:cs="Arial"/>
          <w:bCs/>
          <w:iCs/>
          <w:szCs w:val="22"/>
        </w:rPr>
        <w:t xml:space="preserve"> </w:t>
      </w:r>
      <w:r w:rsidR="002D0BD7" w:rsidRPr="000C598F">
        <w:rPr>
          <w:rFonts w:cs="Arial"/>
          <w:bCs/>
          <w:i/>
          <w:iCs/>
          <w:szCs w:val="22"/>
        </w:rPr>
        <w:t>Software</w:t>
      </w:r>
      <w:r w:rsidR="002C2CDE">
        <w:rPr>
          <w:rFonts w:cs="Arial"/>
          <w:bCs/>
          <w:iCs/>
          <w:szCs w:val="22"/>
        </w:rPr>
        <w:t xml:space="preserve"> v netto hodnotě </w:t>
      </w:r>
      <w:r w:rsidR="006A6288">
        <w:rPr>
          <w:rFonts w:cs="Arial"/>
          <w:bCs/>
          <w:iCs/>
          <w:szCs w:val="22"/>
        </w:rPr>
        <w:t xml:space="preserve">o </w:t>
      </w:r>
      <w:r w:rsidR="002D0BD7">
        <w:rPr>
          <w:rFonts w:cs="Arial"/>
          <w:bCs/>
          <w:iCs/>
          <w:szCs w:val="22"/>
        </w:rPr>
        <w:t>30,</w:t>
      </w:r>
      <w:r w:rsidR="00924880">
        <w:rPr>
          <w:rFonts w:cs="Arial"/>
          <w:bCs/>
          <w:iCs/>
          <w:szCs w:val="22"/>
        </w:rPr>
        <w:t>6</w:t>
      </w:r>
      <w:r w:rsidR="002D0BD7">
        <w:rPr>
          <w:rFonts w:cs="Arial"/>
          <w:bCs/>
          <w:iCs/>
          <w:szCs w:val="22"/>
        </w:rPr>
        <w:t xml:space="preserve"> mil. Kč</w:t>
      </w:r>
      <w:r w:rsidR="00C67D69">
        <w:rPr>
          <w:rFonts w:cs="Arial"/>
          <w:bCs/>
          <w:iCs/>
          <w:szCs w:val="22"/>
        </w:rPr>
        <w:t xml:space="preserve"> </w:t>
      </w:r>
      <w:r w:rsidR="00907F8E" w:rsidRPr="002B4DA2">
        <w:rPr>
          <w:rFonts w:cs="Arial"/>
          <w:bCs/>
          <w:iCs/>
          <w:szCs w:val="22"/>
        </w:rPr>
        <w:t>a zároveň t</w:t>
      </w:r>
      <w:r w:rsidRPr="002B4DA2">
        <w:rPr>
          <w:rFonts w:cs="Arial"/>
          <w:bCs/>
          <w:iCs/>
          <w:szCs w:val="22"/>
        </w:rPr>
        <w:t>ato</w:t>
      </w:r>
      <w:r w:rsidR="002D0BD7" w:rsidRPr="002B4DA2">
        <w:rPr>
          <w:rFonts w:cs="Arial"/>
          <w:bCs/>
          <w:iCs/>
          <w:szCs w:val="22"/>
        </w:rPr>
        <w:t xml:space="preserve"> nesprávnost</w:t>
      </w:r>
      <w:r w:rsidR="00907F8E" w:rsidRPr="002B4DA2">
        <w:rPr>
          <w:rFonts w:cs="Arial"/>
          <w:bCs/>
          <w:iCs/>
          <w:szCs w:val="22"/>
        </w:rPr>
        <w:t xml:space="preserve"> měla vliv i na výši odpisů </w:t>
      </w:r>
      <w:r w:rsidR="002B4DA2" w:rsidRPr="002B4DA2">
        <w:rPr>
          <w:rFonts w:cs="Arial"/>
          <w:bCs/>
          <w:iCs/>
          <w:szCs w:val="22"/>
        </w:rPr>
        <w:t xml:space="preserve">vykázaných </w:t>
      </w:r>
      <w:r w:rsidR="00907F8E" w:rsidRPr="002B4DA2">
        <w:rPr>
          <w:rFonts w:cs="Arial"/>
          <w:bCs/>
          <w:iCs/>
          <w:szCs w:val="22"/>
        </w:rPr>
        <w:t xml:space="preserve">na účtu </w:t>
      </w:r>
      <w:r w:rsidR="00907F8E" w:rsidRPr="00D71574">
        <w:rPr>
          <w:rFonts w:cs="Arial"/>
          <w:bCs/>
          <w:iCs/>
          <w:szCs w:val="22"/>
        </w:rPr>
        <w:t>551</w:t>
      </w:r>
      <w:r w:rsidR="002B4DA2" w:rsidRPr="00D71574">
        <w:rPr>
          <w:rFonts w:cs="Arial"/>
          <w:bCs/>
          <w:iCs/>
          <w:szCs w:val="22"/>
        </w:rPr>
        <w:t xml:space="preserve"> – </w:t>
      </w:r>
      <w:r w:rsidR="002B4DA2" w:rsidRPr="002B4DA2">
        <w:rPr>
          <w:rFonts w:cs="Arial"/>
          <w:bCs/>
          <w:i/>
          <w:iCs/>
          <w:szCs w:val="22"/>
        </w:rPr>
        <w:t>Odpisy dlouhodobého majetku</w:t>
      </w:r>
      <w:r w:rsidR="00907F8E" w:rsidRPr="002B4DA2">
        <w:rPr>
          <w:rFonts w:cs="Arial"/>
          <w:bCs/>
          <w:iCs/>
          <w:szCs w:val="22"/>
        </w:rPr>
        <w:t>, které MMR podhodnotilo</w:t>
      </w:r>
      <w:r w:rsidR="002B4DA2" w:rsidRPr="002B4DA2">
        <w:rPr>
          <w:rFonts w:cs="Arial"/>
          <w:bCs/>
          <w:iCs/>
          <w:szCs w:val="22"/>
        </w:rPr>
        <w:t xml:space="preserve"> o</w:t>
      </w:r>
      <w:r w:rsidR="003E0FDC">
        <w:rPr>
          <w:rFonts w:cs="Arial"/>
          <w:bCs/>
          <w:iCs/>
          <w:szCs w:val="22"/>
        </w:rPr>
        <w:t> </w:t>
      </w:r>
      <w:r w:rsidR="00907F8E" w:rsidRPr="002B4DA2">
        <w:rPr>
          <w:rFonts w:cs="Arial"/>
          <w:bCs/>
          <w:iCs/>
          <w:szCs w:val="22"/>
        </w:rPr>
        <w:t>3,1</w:t>
      </w:r>
      <w:r w:rsidR="003E0FDC">
        <w:rPr>
          <w:rFonts w:cs="Arial"/>
          <w:bCs/>
          <w:iCs/>
          <w:szCs w:val="22"/>
        </w:rPr>
        <w:t> </w:t>
      </w:r>
      <w:r w:rsidR="00907F8E" w:rsidRPr="002B4DA2">
        <w:rPr>
          <w:rFonts w:cs="Arial"/>
          <w:bCs/>
          <w:iCs/>
          <w:szCs w:val="22"/>
        </w:rPr>
        <w:t>mil.</w:t>
      </w:r>
      <w:r w:rsidR="003E0FDC">
        <w:rPr>
          <w:rFonts w:cs="Arial"/>
          <w:bCs/>
          <w:iCs/>
          <w:szCs w:val="22"/>
        </w:rPr>
        <w:t> </w:t>
      </w:r>
      <w:r w:rsidR="00907F8E" w:rsidRPr="002B4DA2">
        <w:rPr>
          <w:rFonts w:cs="Arial"/>
          <w:bCs/>
          <w:iCs/>
          <w:szCs w:val="22"/>
        </w:rPr>
        <w:t xml:space="preserve">Kč. </w:t>
      </w:r>
      <w:r w:rsidR="002B4DA2">
        <w:rPr>
          <w:rFonts w:cs="Arial"/>
          <w:bCs/>
          <w:iCs/>
          <w:szCs w:val="22"/>
        </w:rPr>
        <w:t xml:space="preserve">Současně </w:t>
      </w:r>
      <w:r w:rsidR="00907F8E" w:rsidRPr="002B4DA2">
        <w:rPr>
          <w:rFonts w:cs="Arial"/>
          <w:bCs/>
          <w:iCs/>
          <w:szCs w:val="22"/>
        </w:rPr>
        <w:t xml:space="preserve">byla ovlivněna výše oprávek </w:t>
      </w:r>
      <w:r w:rsidR="00907F8E">
        <w:rPr>
          <w:rFonts w:cs="Arial"/>
          <w:bCs/>
          <w:iCs/>
          <w:szCs w:val="22"/>
        </w:rPr>
        <w:t>vykázaná n</w:t>
      </w:r>
      <w:r w:rsidR="002D0BD7">
        <w:rPr>
          <w:rFonts w:cs="Arial"/>
          <w:bCs/>
          <w:iCs/>
          <w:szCs w:val="22"/>
        </w:rPr>
        <w:t xml:space="preserve">a účtu </w:t>
      </w:r>
      <w:r w:rsidR="002D0BD7" w:rsidRPr="00D71574">
        <w:rPr>
          <w:rFonts w:cs="Arial"/>
          <w:bCs/>
          <w:iCs/>
          <w:szCs w:val="22"/>
        </w:rPr>
        <w:t>406</w:t>
      </w:r>
      <w:r w:rsidR="002B4DA2" w:rsidRPr="00D71574">
        <w:rPr>
          <w:rFonts w:cs="Arial"/>
          <w:bCs/>
          <w:iCs/>
          <w:szCs w:val="22"/>
        </w:rPr>
        <w:t xml:space="preserve"> – </w:t>
      </w:r>
      <w:r w:rsidR="002B4DA2" w:rsidRPr="002B4DA2">
        <w:rPr>
          <w:rFonts w:cs="Arial"/>
          <w:bCs/>
          <w:i/>
          <w:iCs/>
          <w:szCs w:val="22"/>
        </w:rPr>
        <w:t>Oceňovací rozdíly při prvotním použití metody</w:t>
      </w:r>
      <w:r w:rsidR="002B4DA2">
        <w:rPr>
          <w:rStyle w:val="Znakapoznpodarou"/>
          <w:rFonts w:cs="Arial"/>
          <w:bCs/>
          <w:iCs/>
          <w:szCs w:val="22"/>
        </w:rPr>
        <w:footnoteReference w:id="4"/>
      </w:r>
      <w:r w:rsidR="00907F8E">
        <w:rPr>
          <w:rFonts w:cs="Arial"/>
          <w:bCs/>
          <w:iCs/>
          <w:szCs w:val="22"/>
        </w:rPr>
        <w:t xml:space="preserve">, které MMR nadhodnotilo o 53 mil. Kč. </w:t>
      </w:r>
      <w:r w:rsidR="00895761">
        <w:rPr>
          <w:rFonts w:cs="Arial"/>
          <w:bCs/>
          <w:iCs/>
          <w:szCs w:val="22"/>
        </w:rPr>
        <w:t xml:space="preserve">Zároveň </w:t>
      </w:r>
      <w:r w:rsidR="00907F8E">
        <w:rPr>
          <w:rFonts w:cs="Arial"/>
          <w:bCs/>
          <w:iCs/>
          <w:szCs w:val="22"/>
        </w:rPr>
        <w:t xml:space="preserve">byl </w:t>
      </w:r>
      <w:r w:rsidR="002B4DA2">
        <w:rPr>
          <w:rFonts w:cs="Arial"/>
          <w:bCs/>
          <w:iCs/>
          <w:szCs w:val="22"/>
        </w:rPr>
        <w:t xml:space="preserve">vlivem nesprávného postupu </w:t>
      </w:r>
      <w:r w:rsidR="00907F8E">
        <w:rPr>
          <w:rFonts w:cs="Arial"/>
          <w:bCs/>
          <w:iCs/>
          <w:szCs w:val="22"/>
        </w:rPr>
        <w:t>podhodnocen</w:t>
      </w:r>
      <w:r w:rsidR="002B4DA2">
        <w:rPr>
          <w:rFonts w:cs="Arial"/>
          <w:bCs/>
          <w:iCs/>
          <w:szCs w:val="22"/>
        </w:rPr>
        <w:t xml:space="preserve"> i</w:t>
      </w:r>
      <w:r w:rsidR="002D0BD7">
        <w:rPr>
          <w:rFonts w:cs="Arial"/>
          <w:bCs/>
          <w:iCs/>
          <w:szCs w:val="22"/>
        </w:rPr>
        <w:t xml:space="preserve"> účet </w:t>
      </w:r>
      <w:r w:rsidR="002D0BD7" w:rsidRPr="00D71574">
        <w:rPr>
          <w:rFonts w:cs="Arial"/>
          <w:bCs/>
          <w:iCs/>
          <w:szCs w:val="22"/>
        </w:rPr>
        <w:t xml:space="preserve">518 – </w:t>
      </w:r>
      <w:r w:rsidR="002D0BD7" w:rsidRPr="002B4DA2">
        <w:rPr>
          <w:rFonts w:cs="Arial"/>
          <w:bCs/>
          <w:i/>
          <w:iCs/>
          <w:szCs w:val="22"/>
        </w:rPr>
        <w:t>Ostatní služby</w:t>
      </w:r>
      <w:r w:rsidR="00907F8E">
        <w:rPr>
          <w:rFonts w:cs="Arial"/>
          <w:bCs/>
          <w:iCs/>
          <w:szCs w:val="22"/>
        </w:rPr>
        <w:t xml:space="preserve"> o 122 tis</w:t>
      </w:r>
      <w:r w:rsidR="0027335D">
        <w:rPr>
          <w:rFonts w:cs="Arial"/>
          <w:bCs/>
          <w:iCs/>
          <w:szCs w:val="22"/>
        </w:rPr>
        <w:t>.</w:t>
      </w:r>
      <w:r w:rsidR="00907F8E">
        <w:rPr>
          <w:rFonts w:cs="Arial"/>
          <w:bCs/>
          <w:iCs/>
          <w:szCs w:val="22"/>
        </w:rPr>
        <w:t xml:space="preserve"> Kč.</w:t>
      </w:r>
    </w:p>
    <w:p w:rsidR="00141C95" w:rsidRPr="007113E1" w:rsidRDefault="00141C95" w:rsidP="00C941B3">
      <w:pPr>
        <w:ind w:firstLine="0"/>
      </w:pPr>
    </w:p>
    <w:p w:rsidR="00C941B3" w:rsidRDefault="00C941B3" w:rsidP="00C941B3">
      <w:pPr>
        <w:ind w:firstLine="0"/>
        <w:rPr>
          <w:b/>
        </w:rPr>
      </w:pPr>
      <w:r>
        <w:rPr>
          <w:b/>
        </w:rPr>
        <w:t xml:space="preserve">Majetek nesplňující cenové hranice </w:t>
      </w:r>
      <w:r w:rsidR="00841556">
        <w:rPr>
          <w:b/>
        </w:rPr>
        <w:t xml:space="preserve">stanovené </w:t>
      </w:r>
      <w:r>
        <w:rPr>
          <w:b/>
        </w:rPr>
        <w:t>ve vyhlášce č. 410/2009 Sb.</w:t>
      </w:r>
    </w:p>
    <w:p w:rsidR="00C941B3" w:rsidRPr="007113E1" w:rsidRDefault="00C941B3" w:rsidP="00C941B3">
      <w:pPr>
        <w:ind w:firstLine="0"/>
      </w:pPr>
    </w:p>
    <w:p w:rsidR="005F2D83" w:rsidRDefault="002D0BD7" w:rsidP="00C941B3">
      <w:pPr>
        <w:ind w:firstLine="0"/>
      </w:pPr>
      <w:r w:rsidRPr="002D0BD7">
        <w:t>Na základě analýzy položek</w:t>
      </w:r>
      <w:r w:rsidR="000547BA">
        <w:t xml:space="preserve"> v majetkové evidenci MMR k 31. </w:t>
      </w:r>
      <w:r w:rsidR="00D264C0">
        <w:t xml:space="preserve">prosinci </w:t>
      </w:r>
      <w:r w:rsidR="000547BA">
        <w:t>2012 bylo zjištěno, že MMR na majetkových účtech</w:t>
      </w:r>
      <w:r w:rsidR="007F4286">
        <w:t xml:space="preserve"> </w:t>
      </w:r>
      <w:r w:rsidR="00835E94" w:rsidRPr="00D71574">
        <w:t>022</w:t>
      </w:r>
      <w:r w:rsidR="00111498" w:rsidRPr="00D71574">
        <w:t xml:space="preserve"> – </w:t>
      </w:r>
      <w:r w:rsidR="00111498" w:rsidRPr="00111498">
        <w:rPr>
          <w:i/>
        </w:rPr>
        <w:t>Samostatné movité věci a soubory movitých věcí</w:t>
      </w:r>
      <w:r w:rsidR="00835E94" w:rsidRPr="00D71574">
        <w:t>, 028</w:t>
      </w:r>
      <w:r w:rsidR="00111498" w:rsidRPr="00D71574">
        <w:t xml:space="preserve"> – </w:t>
      </w:r>
      <w:r w:rsidR="00111498" w:rsidRPr="00111498">
        <w:rPr>
          <w:i/>
        </w:rPr>
        <w:t>Drobný dlouhodobý hmotný majetek</w:t>
      </w:r>
      <w:r w:rsidR="00835E94" w:rsidRPr="00111498">
        <w:rPr>
          <w:i/>
        </w:rPr>
        <w:t xml:space="preserve"> </w:t>
      </w:r>
      <w:r w:rsidR="00835E94" w:rsidRPr="00D71574">
        <w:t>a 902</w:t>
      </w:r>
      <w:r w:rsidR="00111498" w:rsidRPr="00D71574">
        <w:t xml:space="preserve"> – </w:t>
      </w:r>
      <w:r w:rsidR="00111498" w:rsidRPr="00111498">
        <w:rPr>
          <w:i/>
        </w:rPr>
        <w:t>Jiný drobný</w:t>
      </w:r>
      <w:r w:rsidR="00111498">
        <w:rPr>
          <w:i/>
        </w:rPr>
        <w:t xml:space="preserve"> dlouhodobý hmotný majetek</w:t>
      </w:r>
      <w:r w:rsidR="000547BA">
        <w:t xml:space="preserve"> vykazovalo položky, které svým oceněním nesplňovaly cenovou hranici danou vyhláškou č.</w:t>
      </w:r>
      <w:r w:rsidR="00AC4A3F">
        <w:t> </w:t>
      </w:r>
      <w:r w:rsidR="000547BA">
        <w:t xml:space="preserve">410/2009 Sb. MMR na majetkových účtech nesprávně vykázalo majetek v celkové netto hodnotě </w:t>
      </w:r>
      <w:r w:rsidR="005F2D83">
        <w:t>6 mil. Kč</w:t>
      </w:r>
      <w:r w:rsidR="000547BA">
        <w:t>. Uvedená nesprávnost měla vliv i na výši odpisů</w:t>
      </w:r>
      <w:r w:rsidR="00C67D69">
        <w:t xml:space="preserve"> </w:t>
      </w:r>
      <w:r w:rsidR="006D57D8" w:rsidRPr="002B4DA2">
        <w:rPr>
          <w:rFonts w:cs="Arial"/>
          <w:bCs/>
          <w:iCs/>
          <w:szCs w:val="22"/>
        </w:rPr>
        <w:t xml:space="preserve">vykázaných na účtu </w:t>
      </w:r>
      <w:r w:rsidR="006D57D8" w:rsidRPr="00D71574">
        <w:rPr>
          <w:rFonts w:cs="Arial"/>
          <w:bCs/>
          <w:iCs/>
          <w:szCs w:val="22"/>
        </w:rPr>
        <w:t xml:space="preserve">551 – </w:t>
      </w:r>
      <w:r w:rsidR="006D57D8" w:rsidRPr="002B4DA2">
        <w:rPr>
          <w:rFonts w:cs="Arial"/>
          <w:bCs/>
          <w:i/>
          <w:iCs/>
          <w:szCs w:val="22"/>
        </w:rPr>
        <w:t>Odpisy dlouhodobého majetku</w:t>
      </w:r>
      <w:r w:rsidR="006D57D8">
        <w:rPr>
          <w:rFonts w:cs="Arial"/>
          <w:bCs/>
          <w:i/>
          <w:iCs/>
          <w:szCs w:val="22"/>
        </w:rPr>
        <w:t>,</w:t>
      </w:r>
      <w:r w:rsidR="006D57D8">
        <w:t xml:space="preserve"> které MMR</w:t>
      </w:r>
      <w:r w:rsidR="00C67D69">
        <w:t xml:space="preserve"> </w:t>
      </w:r>
      <w:r w:rsidR="006D57D8">
        <w:t xml:space="preserve">nadhodnotilo o </w:t>
      </w:r>
      <w:r w:rsidR="00924880">
        <w:t>47</w:t>
      </w:r>
      <w:r w:rsidR="006D57D8">
        <w:t xml:space="preserve"> tis</w:t>
      </w:r>
      <w:r w:rsidR="0027335D">
        <w:t>.</w:t>
      </w:r>
      <w:r w:rsidR="006D57D8">
        <w:t xml:space="preserve"> Kč a</w:t>
      </w:r>
      <w:r w:rsidR="00C67D69">
        <w:t xml:space="preserve"> </w:t>
      </w:r>
      <w:r w:rsidR="00895761">
        <w:t xml:space="preserve">na výši </w:t>
      </w:r>
      <w:r w:rsidR="005F2D83">
        <w:t>oprávek</w:t>
      </w:r>
      <w:r w:rsidR="00C67D69">
        <w:t xml:space="preserve"> </w:t>
      </w:r>
      <w:r w:rsidR="006D57D8">
        <w:rPr>
          <w:rFonts w:cs="Arial"/>
          <w:bCs/>
          <w:iCs/>
          <w:szCs w:val="22"/>
        </w:rPr>
        <w:t xml:space="preserve">vykázaných na účtu </w:t>
      </w:r>
      <w:r w:rsidR="006D57D8" w:rsidRPr="00D71574">
        <w:rPr>
          <w:rFonts w:cs="Arial"/>
          <w:bCs/>
          <w:iCs/>
          <w:szCs w:val="22"/>
        </w:rPr>
        <w:t xml:space="preserve">406 – </w:t>
      </w:r>
      <w:r w:rsidR="006D57D8" w:rsidRPr="002B4DA2">
        <w:rPr>
          <w:rFonts w:cs="Arial"/>
          <w:bCs/>
          <w:i/>
          <w:iCs/>
          <w:szCs w:val="22"/>
        </w:rPr>
        <w:t>Oceňovací rozdíly při prvotním použití metody</w:t>
      </w:r>
      <w:r w:rsidR="006D57D8">
        <w:t xml:space="preserve">, které </w:t>
      </w:r>
      <w:r w:rsidR="00E17192">
        <w:t xml:space="preserve">MMR </w:t>
      </w:r>
      <w:r w:rsidR="006D57D8">
        <w:t>nadhodnotilo o 347 tis</w:t>
      </w:r>
      <w:r w:rsidR="0027335D">
        <w:t>.</w:t>
      </w:r>
      <w:r w:rsidR="006D57D8">
        <w:t xml:space="preserve"> Kč.</w:t>
      </w:r>
    </w:p>
    <w:p w:rsidR="006F4E25" w:rsidRDefault="006F4E25" w:rsidP="00C941B3">
      <w:pPr>
        <w:ind w:firstLine="0"/>
      </w:pPr>
    </w:p>
    <w:p w:rsidR="006F4E25" w:rsidRDefault="006F4E25" w:rsidP="006F4E25">
      <w:pPr>
        <w:ind w:firstLine="0"/>
        <w:rPr>
          <w:b/>
        </w:rPr>
      </w:pPr>
      <w:r w:rsidRPr="00266C8E">
        <w:rPr>
          <w:b/>
        </w:rPr>
        <w:t>Položky majetku účtované do nákladů</w:t>
      </w:r>
    </w:p>
    <w:p w:rsidR="006F4E25" w:rsidRPr="007113E1" w:rsidRDefault="006F4E25" w:rsidP="007113E1">
      <w:pPr>
        <w:ind w:firstLine="0"/>
      </w:pPr>
    </w:p>
    <w:p w:rsidR="00B92298" w:rsidRDefault="006F4E25" w:rsidP="007113E1">
      <w:pPr>
        <w:ind w:firstLine="0"/>
      </w:pPr>
      <w:r w:rsidRPr="00B651A7">
        <w:t xml:space="preserve">MMR </w:t>
      </w:r>
      <w:r>
        <w:t xml:space="preserve">v roce 2012 pořídilo </w:t>
      </w:r>
      <w:r w:rsidRPr="00B651A7">
        <w:t>dlouhodob</w:t>
      </w:r>
      <w:r>
        <w:t>ý</w:t>
      </w:r>
      <w:r w:rsidRPr="00B651A7">
        <w:t xml:space="preserve"> nehmotn</w:t>
      </w:r>
      <w:r>
        <w:t>ý</w:t>
      </w:r>
      <w:r w:rsidRPr="00B651A7">
        <w:t xml:space="preserve"> majet</w:t>
      </w:r>
      <w:r>
        <w:t>e</w:t>
      </w:r>
      <w:r w:rsidRPr="00B651A7">
        <w:t xml:space="preserve">k </w:t>
      </w:r>
      <w:r w:rsidR="007F4286">
        <w:t xml:space="preserve">– </w:t>
      </w:r>
      <w:r w:rsidRPr="00B651A7">
        <w:t>koncepci přípravy digitalizace územních stavebních a dalších vybraných řízení a postupů podle stavebního zákona</w:t>
      </w:r>
      <w:r w:rsidR="00841556">
        <w:t xml:space="preserve"> –</w:t>
      </w:r>
      <w:r w:rsidRPr="00B651A7">
        <w:t xml:space="preserve"> představující autorské dílo </w:t>
      </w:r>
      <w:r w:rsidRPr="00B92298">
        <w:t>využitelné jako podklad pro další činnosti ministerstva</w:t>
      </w:r>
      <w:r>
        <w:t xml:space="preserve">. MMR však tento majetek vykázalo jako náklad na účtu </w:t>
      </w:r>
      <w:r w:rsidRPr="00D71574">
        <w:t xml:space="preserve">518 – </w:t>
      </w:r>
      <w:r w:rsidRPr="00EC4276">
        <w:rPr>
          <w:i/>
        </w:rPr>
        <w:t>Ostatní služby</w:t>
      </w:r>
      <w:r>
        <w:t>. MMR tímto postupem k 31. </w:t>
      </w:r>
      <w:r w:rsidR="00D264C0">
        <w:t xml:space="preserve">prosinci </w:t>
      </w:r>
      <w:r>
        <w:t xml:space="preserve">2012 podhodnotilo zůstatek účtu </w:t>
      </w:r>
      <w:r w:rsidRPr="00D71574">
        <w:rPr>
          <w:rFonts w:cs="Arial"/>
          <w:bCs/>
          <w:iCs/>
          <w:szCs w:val="22"/>
        </w:rPr>
        <w:t>019</w:t>
      </w:r>
      <w:r w:rsidRPr="00841556">
        <w:rPr>
          <w:rFonts w:cs="Arial"/>
          <w:bCs/>
          <w:iCs/>
          <w:szCs w:val="22"/>
        </w:rPr>
        <w:t xml:space="preserve"> – </w:t>
      </w:r>
      <w:r w:rsidRPr="009A688D">
        <w:rPr>
          <w:rFonts w:cs="Arial"/>
          <w:bCs/>
          <w:i/>
          <w:iCs/>
          <w:szCs w:val="22"/>
        </w:rPr>
        <w:t>Ostatní dlouhodobý nehmotný majetek</w:t>
      </w:r>
      <w:r>
        <w:t xml:space="preserve"> v netto hodnotě o 41,</w:t>
      </w:r>
      <w:r w:rsidR="00FE39C3">
        <w:t>9</w:t>
      </w:r>
      <w:r>
        <w:t xml:space="preserve"> mil. Kč a nadhodnotilo zůstatek účtu </w:t>
      </w:r>
      <w:r w:rsidRPr="00D71574">
        <w:t xml:space="preserve">518 – </w:t>
      </w:r>
      <w:r w:rsidRPr="00EC4276">
        <w:rPr>
          <w:i/>
        </w:rPr>
        <w:t>Ostatní služby</w:t>
      </w:r>
      <w:r>
        <w:t xml:space="preserve"> o</w:t>
      </w:r>
      <w:r w:rsidR="003E0FDC">
        <w:t> </w:t>
      </w:r>
      <w:r>
        <w:t>42,3</w:t>
      </w:r>
      <w:r w:rsidR="003E0FDC">
        <w:t> </w:t>
      </w:r>
      <w:r>
        <w:t>mil.</w:t>
      </w:r>
      <w:r w:rsidR="003E0FDC">
        <w:t> </w:t>
      </w:r>
      <w:r>
        <w:t xml:space="preserve">Kč. </w:t>
      </w:r>
      <w:r w:rsidRPr="005D4411">
        <w:t>Uvedená nesprávnost měla vliv i na výši odpisů</w:t>
      </w:r>
      <w:r w:rsidR="00C85F83" w:rsidRPr="005D4411">
        <w:t xml:space="preserve">, které </w:t>
      </w:r>
      <w:r w:rsidR="00124DC1" w:rsidRPr="005D4411">
        <w:t>MMR podhodnotilo</w:t>
      </w:r>
      <w:r w:rsidR="00C85F83" w:rsidRPr="005D4411">
        <w:t xml:space="preserve"> o</w:t>
      </w:r>
      <w:r w:rsidR="003E0FDC">
        <w:t> </w:t>
      </w:r>
      <w:r w:rsidR="00C85F83" w:rsidRPr="005D4411">
        <w:t>441 tis</w:t>
      </w:r>
      <w:r w:rsidR="0027335D">
        <w:t>.</w:t>
      </w:r>
      <w:r w:rsidR="00C85F83" w:rsidRPr="005D4411">
        <w:t xml:space="preserve"> Kč</w:t>
      </w:r>
      <w:r w:rsidRPr="005D4411">
        <w:t>.</w:t>
      </w:r>
    </w:p>
    <w:p w:rsidR="007113E1" w:rsidRDefault="007113E1" w:rsidP="007113E1">
      <w:pPr>
        <w:ind w:firstLine="0"/>
      </w:pPr>
    </w:p>
    <w:p w:rsidR="006F4E25" w:rsidRDefault="00B92298" w:rsidP="007113E1">
      <w:pPr>
        <w:ind w:firstLine="0"/>
        <w:rPr>
          <w:rFonts w:cs="Arial"/>
          <w:bCs/>
          <w:iCs/>
          <w:szCs w:val="22"/>
        </w:rPr>
      </w:pPr>
      <w:r>
        <w:t xml:space="preserve">Zároveň se pochybení promítlo i do </w:t>
      </w:r>
      <w:r w:rsidR="00841556">
        <w:rPr>
          <w:rFonts w:cs="Arial"/>
        </w:rPr>
        <w:t>v</w:t>
      </w:r>
      <w:r w:rsidRPr="009348F9">
        <w:rPr>
          <w:rFonts w:cs="Arial"/>
        </w:rPr>
        <w:t xml:space="preserve">ýkazu pro hodnocení plnění rozpočtu </w:t>
      </w:r>
      <w:r w:rsidR="005761DE" w:rsidRPr="002862D2">
        <w:rPr>
          <w:lang w:eastAsia="cs-CZ"/>
        </w:rPr>
        <w:t xml:space="preserve">správců kapitol, organizačních složek státu a státních fondů </w:t>
      </w:r>
      <w:r w:rsidRPr="009348F9">
        <w:rPr>
          <w:rFonts w:cs="Arial"/>
        </w:rPr>
        <w:t>k 31.</w:t>
      </w:r>
      <w:r w:rsidR="00D264C0">
        <w:rPr>
          <w:rFonts w:cs="Arial"/>
        </w:rPr>
        <w:t> prosinci</w:t>
      </w:r>
      <w:r w:rsidR="00F6597D">
        <w:rPr>
          <w:rFonts w:cs="Arial"/>
        </w:rPr>
        <w:t xml:space="preserve"> </w:t>
      </w:r>
      <w:r w:rsidRPr="009348F9">
        <w:rPr>
          <w:rFonts w:cs="Arial"/>
        </w:rPr>
        <w:t>2012</w:t>
      </w:r>
      <w:r>
        <w:rPr>
          <w:rFonts w:cs="Arial"/>
        </w:rPr>
        <w:t xml:space="preserve">, ve kterém byla vlivem skutečností popsaných výše nadhodnocena </w:t>
      </w:r>
      <w:r w:rsidRPr="00B92298">
        <w:rPr>
          <w:rFonts w:cs="Arial"/>
          <w:bCs/>
          <w:iCs/>
          <w:szCs w:val="22"/>
        </w:rPr>
        <w:t>rozpočtová položka</w:t>
      </w:r>
      <w:r w:rsidR="00174E2F">
        <w:rPr>
          <w:rFonts w:cs="Arial"/>
          <w:bCs/>
          <w:iCs/>
          <w:szCs w:val="22"/>
        </w:rPr>
        <w:t xml:space="preserve"> (dále také „RP“)</w:t>
      </w:r>
      <w:r w:rsidR="007F4286">
        <w:rPr>
          <w:rFonts w:cs="Arial"/>
          <w:bCs/>
          <w:iCs/>
          <w:szCs w:val="22"/>
        </w:rPr>
        <w:t xml:space="preserve"> </w:t>
      </w:r>
      <w:r w:rsidRPr="00D71574">
        <w:rPr>
          <w:rFonts w:cs="Arial"/>
          <w:bCs/>
          <w:iCs/>
          <w:szCs w:val="22"/>
        </w:rPr>
        <w:t xml:space="preserve">5169 – </w:t>
      </w:r>
      <w:r w:rsidRPr="00B92298">
        <w:rPr>
          <w:rFonts w:cs="Arial"/>
          <w:bCs/>
          <w:i/>
          <w:iCs/>
          <w:szCs w:val="22"/>
        </w:rPr>
        <w:t>Nákup ostatních služeb</w:t>
      </w:r>
      <w:r w:rsidRPr="00B92298">
        <w:rPr>
          <w:rFonts w:cs="Arial"/>
          <w:bCs/>
          <w:iCs/>
          <w:szCs w:val="22"/>
        </w:rPr>
        <w:t xml:space="preserve"> a</w:t>
      </w:r>
      <w:r w:rsidR="00380E23">
        <w:rPr>
          <w:rFonts w:cs="Arial"/>
          <w:bCs/>
          <w:iCs/>
          <w:szCs w:val="22"/>
        </w:rPr>
        <w:t> </w:t>
      </w:r>
      <w:r w:rsidRPr="00B92298">
        <w:rPr>
          <w:rFonts w:cs="Arial"/>
          <w:bCs/>
          <w:iCs/>
          <w:szCs w:val="22"/>
        </w:rPr>
        <w:t xml:space="preserve">podhodnocena </w:t>
      </w:r>
      <w:r w:rsidR="00174E2F">
        <w:rPr>
          <w:rFonts w:cs="Arial"/>
          <w:bCs/>
          <w:iCs/>
          <w:szCs w:val="22"/>
        </w:rPr>
        <w:t xml:space="preserve">RP </w:t>
      </w:r>
      <w:r w:rsidRPr="00D71574">
        <w:rPr>
          <w:rFonts w:cs="Arial"/>
          <w:bCs/>
          <w:iCs/>
          <w:szCs w:val="22"/>
        </w:rPr>
        <w:t xml:space="preserve">6119 – </w:t>
      </w:r>
      <w:r w:rsidRPr="00B92298">
        <w:rPr>
          <w:rFonts w:cs="Arial"/>
          <w:bCs/>
          <w:i/>
          <w:iCs/>
          <w:szCs w:val="22"/>
        </w:rPr>
        <w:t xml:space="preserve">Ostatní nákupy dlouhodobého nehmotného majetku </w:t>
      </w:r>
      <w:r w:rsidRPr="00B92298">
        <w:rPr>
          <w:rFonts w:cs="Arial"/>
          <w:bCs/>
          <w:iCs/>
          <w:szCs w:val="22"/>
        </w:rPr>
        <w:t>o</w:t>
      </w:r>
      <w:r w:rsidR="00380E23">
        <w:rPr>
          <w:rFonts w:cs="Arial"/>
          <w:bCs/>
          <w:iCs/>
          <w:szCs w:val="22"/>
        </w:rPr>
        <w:t> </w:t>
      </w:r>
      <w:r w:rsidRPr="00B92298">
        <w:rPr>
          <w:rFonts w:cs="Arial"/>
          <w:bCs/>
          <w:iCs/>
          <w:szCs w:val="22"/>
        </w:rPr>
        <w:t>42,3</w:t>
      </w:r>
      <w:r w:rsidR="00380E23">
        <w:rPr>
          <w:rFonts w:cs="Arial"/>
          <w:bCs/>
          <w:iCs/>
          <w:szCs w:val="22"/>
        </w:rPr>
        <w:t> </w:t>
      </w:r>
      <w:r w:rsidRPr="00B92298">
        <w:rPr>
          <w:rFonts w:cs="Arial"/>
          <w:bCs/>
          <w:iCs/>
          <w:szCs w:val="22"/>
        </w:rPr>
        <w:t>mil.</w:t>
      </w:r>
      <w:r w:rsidR="00380E23">
        <w:rPr>
          <w:rFonts w:cs="Arial"/>
          <w:bCs/>
          <w:iCs/>
          <w:szCs w:val="22"/>
        </w:rPr>
        <w:t> </w:t>
      </w:r>
      <w:r w:rsidRPr="00B92298">
        <w:rPr>
          <w:rFonts w:cs="Arial"/>
          <w:bCs/>
          <w:iCs/>
          <w:szCs w:val="22"/>
        </w:rPr>
        <w:t>Kč</w:t>
      </w:r>
      <w:r>
        <w:rPr>
          <w:rFonts w:cs="Arial"/>
          <w:bCs/>
          <w:iCs/>
          <w:szCs w:val="22"/>
        </w:rPr>
        <w:t xml:space="preserve"> a současně nadhodnocen </w:t>
      </w:r>
      <w:r w:rsidRPr="00B92298">
        <w:rPr>
          <w:rFonts w:cs="Arial"/>
          <w:bCs/>
          <w:iCs/>
          <w:szCs w:val="22"/>
        </w:rPr>
        <w:t xml:space="preserve">rozpočtový paragraf </w:t>
      </w:r>
      <w:r w:rsidRPr="00D71574">
        <w:rPr>
          <w:rFonts w:cs="Arial"/>
          <w:bCs/>
          <w:iCs/>
          <w:szCs w:val="22"/>
        </w:rPr>
        <w:t xml:space="preserve">3691 – </w:t>
      </w:r>
      <w:r w:rsidRPr="00B92298">
        <w:rPr>
          <w:rFonts w:cs="Arial"/>
          <w:bCs/>
          <w:i/>
          <w:iCs/>
          <w:szCs w:val="22"/>
        </w:rPr>
        <w:t>Mezinárodní spolupráce v oblasti bydlení, komunálních služeb a územního rozvoje</w:t>
      </w:r>
      <w:r>
        <w:rPr>
          <w:rFonts w:cs="Arial"/>
          <w:bCs/>
          <w:iCs/>
          <w:szCs w:val="22"/>
        </w:rPr>
        <w:t xml:space="preserve"> a</w:t>
      </w:r>
      <w:r w:rsidR="003101A3">
        <w:rPr>
          <w:rFonts w:cs="Arial"/>
          <w:bCs/>
          <w:iCs/>
          <w:szCs w:val="22"/>
        </w:rPr>
        <w:t> </w:t>
      </w:r>
      <w:r>
        <w:rPr>
          <w:rFonts w:cs="Arial"/>
          <w:bCs/>
          <w:iCs/>
          <w:szCs w:val="22"/>
        </w:rPr>
        <w:t xml:space="preserve">podhodnocen </w:t>
      </w:r>
      <w:r w:rsidRPr="00B92298">
        <w:rPr>
          <w:rFonts w:cs="Arial"/>
          <w:bCs/>
          <w:iCs/>
          <w:szCs w:val="22"/>
        </w:rPr>
        <w:t xml:space="preserve">rozpočtový paragraf </w:t>
      </w:r>
      <w:r w:rsidRPr="00D71574">
        <w:rPr>
          <w:rFonts w:cs="Arial"/>
          <w:bCs/>
          <w:iCs/>
          <w:szCs w:val="22"/>
        </w:rPr>
        <w:t xml:space="preserve">3661 – </w:t>
      </w:r>
      <w:r w:rsidRPr="00E26F03">
        <w:rPr>
          <w:rFonts w:cs="Arial"/>
          <w:bCs/>
          <w:i/>
          <w:iCs/>
          <w:szCs w:val="22"/>
        </w:rPr>
        <w:t>Činnost ústředního orgánu státní správy v oblasti bydlení, komunálních služeb a územního rozvoje</w:t>
      </w:r>
      <w:r>
        <w:rPr>
          <w:rFonts w:cs="Arial"/>
          <w:bCs/>
          <w:iCs/>
          <w:szCs w:val="22"/>
        </w:rPr>
        <w:t xml:space="preserve"> o</w:t>
      </w:r>
      <w:r w:rsidR="00D264C0">
        <w:rPr>
          <w:rFonts w:cs="Arial"/>
          <w:bCs/>
          <w:iCs/>
          <w:szCs w:val="22"/>
        </w:rPr>
        <w:t> </w:t>
      </w:r>
      <w:r>
        <w:rPr>
          <w:rFonts w:cs="Arial"/>
          <w:bCs/>
          <w:iCs/>
          <w:szCs w:val="22"/>
        </w:rPr>
        <w:t>42,3 mil. Kč.</w:t>
      </w:r>
    </w:p>
    <w:p w:rsidR="00DE1C40" w:rsidRPr="00B92298" w:rsidRDefault="00DE1C40" w:rsidP="00380E23">
      <w:pPr>
        <w:ind w:firstLine="0"/>
      </w:pPr>
    </w:p>
    <w:p w:rsidR="003A0465" w:rsidRDefault="00837E25" w:rsidP="003A0465">
      <w:pPr>
        <w:ind w:firstLine="0"/>
        <w:rPr>
          <w:b/>
        </w:rPr>
      </w:pPr>
      <w:r w:rsidRPr="00266C8E">
        <w:rPr>
          <w:b/>
        </w:rPr>
        <w:t xml:space="preserve">Nesprávné zobrazení </w:t>
      </w:r>
      <w:r w:rsidR="003A0465" w:rsidRPr="00266C8E">
        <w:rPr>
          <w:b/>
        </w:rPr>
        <w:t>nákladů souvisejících s</w:t>
      </w:r>
      <w:r w:rsidR="00C67D69">
        <w:rPr>
          <w:b/>
        </w:rPr>
        <w:t> </w:t>
      </w:r>
      <w:r w:rsidR="003A0465" w:rsidRPr="00266C8E">
        <w:rPr>
          <w:b/>
        </w:rPr>
        <w:t>pořízením</w:t>
      </w:r>
      <w:r w:rsidR="00C67D69">
        <w:rPr>
          <w:b/>
        </w:rPr>
        <w:t xml:space="preserve"> </w:t>
      </w:r>
      <w:r w:rsidR="003A0465" w:rsidRPr="00266C8E">
        <w:rPr>
          <w:b/>
        </w:rPr>
        <w:t>majetku</w:t>
      </w:r>
    </w:p>
    <w:p w:rsidR="003A0465" w:rsidRPr="007113E1" w:rsidRDefault="003A0465" w:rsidP="003A0465">
      <w:pPr>
        <w:ind w:firstLine="0"/>
      </w:pPr>
    </w:p>
    <w:p w:rsidR="003A0465" w:rsidRDefault="003A0465" w:rsidP="00F6597D">
      <w:pPr>
        <w:ind w:firstLine="0"/>
      </w:pPr>
      <w:r w:rsidRPr="004C6884">
        <w:rPr>
          <w:rFonts w:cs="Arial"/>
          <w:szCs w:val="22"/>
        </w:rPr>
        <w:t xml:space="preserve">MMR </w:t>
      </w:r>
      <w:r w:rsidR="00837E25">
        <w:rPr>
          <w:rFonts w:cs="Arial"/>
          <w:szCs w:val="22"/>
        </w:rPr>
        <w:t xml:space="preserve">v roce 2012 </w:t>
      </w:r>
      <w:r w:rsidRPr="004C6884">
        <w:rPr>
          <w:rFonts w:cs="Arial"/>
          <w:szCs w:val="22"/>
        </w:rPr>
        <w:t xml:space="preserve">účtovalo </w:t>
      </w:r>
      <w:r w:rsidR="00837E25">
        <w:rPr>
          <w:rFonts w:cs="Arial"/>
          <w:szCs w:val="22"/>
        </w:rPr>
        <w:t xml:space="preserve">o </w:t>
      </w:r>
      <w:r w:rsidR="00F91804">
        <w:rPr>
          <w:rFonts w:cs="Arial"/>
          <w:szCs w:val="22"/>
        </w:rPr>
        <w:t>výdajích</w:t>
      </w:r>
      <w:r w:rsidRPr="004C6884">
        <w:rPr>
          <w:rFonts w:cs="Arial"/>
          <w:szCs w:val="22"/>
        </w:rPr>
        <w:t xml:space="preserve"> související</w:t>
      </w:r>
      <w:r w:rsidR="00837E25">
        <w:rPr>
          <w:rFonts w:cs="Arial"/>
          <w:szCs w:val="22"/>
        </w:rPr>
        <w:t>ch</w:t>
      </w:r>
      <w:r w:rsidRPr="004C6884">
        <w:rPr>
          <w:rFonts w:cs="Arial"/>
          <w:szCs w:val="22"/>
        </w:rPr>
        <w:t xml:space="preserve"> s vývojem Národního elektronického nástroje (</w:t>
      </w:r>
      <w:r w:rsidR="00F6597D">
        <w:rPr>
          <w:rFonts w:cs="Arial"/>
          <w:szCs w:val="22"/>
        </w:rPr>
        <w:t>dále také „</w:t>
      </w:r>
      <w:r w:rsidRPr="004C6884">
        <w:rPr>
          <w:rFonts w:cs="Arial"/>
          <w:szCs w:val="22"/>
        </w:rPr>
        <w:t>NEN</w:t>
      </w:r>
      <w:r w:rsidR="00F6597D">
        <w:rPr>
          <w:rFonts w:cs="Arial"/>
          <w:szCs w:val="22"/>
        </w:rPr>
        <w:t>“</w:t>
      </w:r>
      <w:r w:rsidRPr="004C6884">
        <w:rPr>
          <w:rFonts w:cs="Arial"/>
          <w:szCs w:val="22"/>
        </w:rPr>
        <w:t>)</w:t>
      </w:r>
      <w:r w:rsidR="00837E25">
        <w:rPr>
          <w:rFonts w:cs="Arial"/>
          <w:szCs w:val="22"/>
        </w:rPr>
        <w:t xml:space="preserve"> prostřednictvím účtu </w:t>
      </w:r>
      <w:r w:rsidR="00837E25" w:rsidRPr="00D71574">
        <w:t xml:space="preserve">518 – </w:t>
      </w:r>
      <w:r w:rsidR="00837E25" w:rsidRPr="00837E25">
        <w:rPr>
          <w:i/>
        </w:rPr>
        <w:t>Ostatní služby</w:t>
      </w:r>
      <w:r w:rsidRPr="004C6884">
        <w:rPr>
          <w:rFonts w:cs="Arial"/>
          <w:szCs w:val="22"/>
        </w:rPr>
        <w:t xml:space="preserve">, přestože tyto </w:t>
      </w:r>
      <w:r w:rsidR="00F91804">
        <w:rPr>
          <w:rFonts w:cs="Arial"/>
          <w:szCs w:val="22"/>
        </w:rPr>
        <w:t>výdaje</w:t>
      </w:r>
      <w:r w:rsidRPr="004C6884">
        <w:rPr>
          <w:rFonts w:cs="Arial"/>
          <w:szCs w:val="22"/>
        </w:rPr>
        <w:t xml:space="preserve"> v souladu s</w:t>
      </w:r>
      <w:r w:rsidR="003E0FDC">
        <w:rPr>
          <w:rFonts w:cs="Arial"/>
          <w:szCs w:val="22"/>
        </w:rPr>
        <w:t> </w:t>
      </w:r>
      <w:r w:rsidRPr="00B04340">
        <w:rPr>
          <w:rFonts w:cs="Arial"/>
          <w:szCs w:val="22"/>
        </w:rPr>
        <w:t>vyhlášk</w:t>
      </w:r>
      <w:r w:rsidR="00837E25">
        <w:rPr>
          <w:rFonts w:cs="Arial"/>
          <w:szCs w:val="22"/>
        </w:rPr>
        <w:t>ou</w:t>
      </w:r>
      <w:r w:rsidRPr="00B04340">
        <w:rPr>
          <w:rFonts w:cs="Arial"/>
          <w:szCs w:val="22"/>
        </w:rPr>
        <w:t xml:space="preserve"> č. 410/2009 Sb. souvise</w:t>
      </w:r>
      <w:r w:rsidR="00837E25">
        <w:rPr>
          <w:rFonts w:cs="Arial"/>
          <w:szCs w:val="22"/>
        </w:rPr>
        <w:t>ly</w:t>
      </w:r>
      <w:r w:rsidRPr="00B04340">
        <w:rPr>
          <w:rFonts w:cs="Arial"/>
          <w:szCs w:val="22"/>
        </w:rPr>
        <w:t xml:space="preserve"> s pořízením dlouhodobého nehmotného majetku informačního systému (NEN)</w:t>
      </w:r>
      <w:r w:rsidR="00837E25">
        <w:rPr>
          <w:rFonts w:cs="Arial"/>
          <w:szCs w:val="22"/>
        </w:rPr>
        <w:t>, byly vynaloženy</w:t>
      </w:r>
      <w:r w:rsidRPr="00B04340">
        <w:rPr>
          <w:rFonts w:cs="Arial"/>
          <w:szCs w:val="22"/>
        </w:rPr>
        <w:t xml:space="preserve"> v rámci realizace projektu </w:t>
      </w:r>
      <w:r w:rsidRPr="00D71574">
        <w:rPr>
          <w:rFonts w:cs="Arial"/>
          <w:i/>
          <w:szCs w:val="22"/>
        </w:rPr>
        <w:t xml:space="preserve">Národní </w:t>
      </w:r>
      <w:r w:rsidRPr="00D71574">
        <w:rPr>
          <w:rFonts w:cs="Arial"/>
          <w:i/>
          <w:szCs w:val="22"/>
        </w:rPr>
        <w:lastRenderedPageBreak/>
        <w:t>infrastruktury pro elektronické zadávání veřejných zakázek</w:t>
      </w:r>
      <w:r w:rsidRPr="00B04340">
        <w:rPr>
          <w:rFonts w:cs="Arial"/>
          <w:szCs w:val="22"/>
        </w:rPr>
        <w:t xml:space="preserve"> (NIPEZ)</w:t>
      </w:r>
      <w:r w:rsidR="00837E25">
        <w:rPr>
          <w:rFonts w:cs="Arial"/>
          <w:szCs w:val="22"/>
        </w:rPr>
        <w:t xml:space="preserve"> a měly</w:t>
      </w:r>
      <w:r w:rsidRPr="00B04340">
        <w:rPr>
          <w:rFonts w:cs="Arial"/>
          <w:szCs w:val="22"/>
        </w:rPr>
        <w:t xml:space="preserve"> být účtov</w:t>
      </w:r>
      <w:r w:rsidR="00F6597D">
        <w:rPr>
          <w:rFonts w:cs="Arial"/>
          <w:szCs w:val="22"/>
        </w:rPr>
        <w:t>ány</w:t>
      </w:r>
      <w:r w:rsidRPr="00B04340">
        <w:rPr>
          <w:rFonts w:cs="Arial"/>
          <w:szCs w:val="22"/>
        </w:rPr>
        <w:t xml:space="preserve"> jako součást ocenění majetku a do okamžiku uvedení dlouhodobého majetku do stavu způsobilého k užívání vykázány v účetní závěrce MMR na účtu </w:t>
      </w:r>
      <w:r w:rsidRPr="00D71574">
        <w:rPr>
          <w:rFonts w:cs="Arial"/>
          <w:szCs w:val="22"/>
        </w:rPr>
        <w:t>041</w:t>
      </w:r>
      <w:r w:rsidRPr="00F6597D">
        <w:rPr>
          <w:rFonts w:cs="Arial"/>
          <w:szCs w:val="22"/>
        </w:rPr>
        <w:t xml:space="preserve"> – </w:t>
      </w:r>
      <w:r w:rsidRPr="00B04340">
        <w:rPr>
          <w:rFonts w:cs="Arial"/>
          <w:i/>
          <w:szCs w:val="22"/>
        </w:rPr>
        <w:t>Nedokončený dlouhodobý nehmotný majetek</w:t>
      </w:r>
      <w:r w:rsidRPr="00B04340">
        <w:rPr>
          <w:rFonts w:cs="Arial"/>
          <w:szCs w:val="22"/>
        </w:rPr>
        <w:t>.</w:t>
      </w:r>
      <w:r w:rsidR="00837E25">
        <w:rPr>
          <w:rFonts w:cs="Arial"/>
          <w:szCs w:val="22"/>
        </w:rPr>
        <w:t xml:space="preserve"> Tímto postupem MMR nadhodnotilo účet </w:t>
      </w:r>
      <w:r w:rsidR="00837E25" w:rsidRPr="00D71574">
        <w:t xml:space="preserve">518 – </w:t>
      </w:r>
      <w:r w:rsidR="00837E25" w:rsidRPr="00837E25">
        <w:rPr>
          <w:i/>
        </w:rPr>
        <w:t>Ostatní služby</w:t>
      </w:r>
      <w:r w:rsidR="00837E25">
        <w:rPr>
          <w:rFonts w:cs="Arial"/>
          <w:szCs w:val="22"/>
        </w:rPr>
        <w:t xml:space="preserve"> a podhodnotilo zůstatek účtu </w:t>
      </w:r>
      <w:r w:rsidR="00837E25" w:rsidRPr="00D71574">
        <w:t xml:space="preserve">041 – </w:t>
      </w:r>
      <w:r w:rsidR="00837E25" w:rsidRPr="00837E25">
        <w:rPr>
          <w:i/>
        </w:rPr>
        <w:t>Nedokončený dlouhodobý nehmotný majetek</w:t>
      </w:r>
      <w:r w:rsidR="00C67D69">
        <w:rPr>
          <w:i/>
        </w:rPr>
        <w:t xml:space="preserve"> </w:t>
      </w:r>
      <w:r w:rsidR="00837E25" w:rsidRPr="00837E25">
        <w:t>o</w:t>
      </w:r>
      <w:r w:rsidR="003E0FDC">
        <w:t> </w:t>
      </w:r>
      <w:r w:rsidR="00F6597D">
        <w:t>29,89 mil. Kč.</w:t>
      </w:r>
    </w:p>
    <w:p w:rsidR="00F6597D" w:rsidRDefault="00F6597D" w:rsidP="00F6597D">
      <w:pPr>
        <w:ind w:firstLine="0"/>
      </w:pPr>
    </w:p>
    <w:p w:rsidR="00967970" w:rsidRPr="00E7597E" w:rsidRDefault="00B92298" w:rsidP="00F6597D">
      <w:pPr>
        <w:ind w:firstLine="0"/>
        <w:rPr>
          <w:rFonts w:cs="Arial"/>
          <w:bCs/>
          <w:i/>
          <w:iCs/>
          <w:szCs w:val="22"/>
        </w:rPr>
      </w:pPr>
      <w:r>
        <w:t xml:space="preserve">Zároveň se pochybení promítlo i do </w:t>
      </w:r>
      <w:r w:rsidR="00F6597D">
        <w:rPr>
          <w:rFonts w:cs="Arial"/>
        </w:rPr>
        <w:t>v</w:t>
      </w:r>
      <w:r w:rsidRPr="009348F9">
        <w:rPr>
          <w:rFonts w:cs="Arial"/>
        </w:rPr>
        <w:t>ýkazu pro hodnocení plnění rozpočtu k 31.</w:t>
      </w:r>
      <w:r w:rsidR="00F6597D">
        <w:rPr>
          <w:rFonts w:cs="Arial"/>
        </w:rPr>
        <w:t xml:space="preserve"> prosinci </w:t>
      </w:r>
      <w:r w:rsidRPr="009348F9">
        <w:rPr>
          <w:rFonts w:cs="Arial"/>
        </w:rPr>
        <w:t>2012</w:t>
      </w:r>
      <w:r>
        <w:rPr>
          <w:rFonts w:cs="Arial"/>
        </w:rPr>
        <w:t xml:space="preserve">, ve kterém byla vlivem </w:t>
      </w:r>
      <w:r w:rsidR="00967970">
        <w:rPr>
          <w:rFonts w:cs="Arial"/>
        </w:rPr>
        <w:t xml:space="preserve">uvedených </w:t>
      </w:r>
      <w:r>
        <w:rPr>
          <w:rFonts w:cs="Arial"/>
        </w:rPr>
        <w:t xml:space="preserve">skutečností </w:t>
      </w:r>
      <w:r w:rsidR="00967970">
        <w:rPr>
          <w:rFonts w:cs="Arial"/>
        </w:rPr>
        <w:t>n</w:t>
      </w:r>
      <w:r>
        <w:rPr>
          <w:rFonts w:cs="Arial"/>
        </w:rPr>
        <w:t xml:space="preserve">adhodnocena </w:t>
      </w:r>
      <w:r w:rsidR="00174E2F">
        <w:rPr>
          <w:rFonts w:cs="Arial"/>
        </w:rPr>
        <w:t>RP</w:t>
      </w:r>
      <w:r w:rsidR="00DE1C40">
        <w:rPr>
          <w:rFonts w:cs="Arial"/>
        </w:rPr>
        <w:t xml:space="preserve"> </w:t>
      </w:r>
      <w:r w:rsidR="00967970" w:rsidRPr="00D71574">
        <w:rPr>
          <w:rFonts w:cs="Arial"/>
          <w:szCs w:val="22"/>
        </w:rPr>
        <w:t xml:space="preserve">5166 – </w:t>
      </w:r>
      <w:r w:rsidR="00967970" w:rsidRPr="00967970">
        <w:rPr>
          <w:rFonts w:cs="Arial"/>
          <w:i/>
          <w:szCs w:val="22"/>
        </w:rPr>
        <w:t>Konzultační, poradenské a právní služby</w:t>
      </w:r>
      <w:r w:rsidR="00C67D69">
        <w:rPr>
          <w:rFonts w:cs="Arial"/>
          <w:i/>
          <w:szCs w:val="22"/>
        </w:rPr>
        <w:t xml:space="preserve"> </w:t>
      </w:r>
      <w:r w:rsidR="00E7597E" w:rsidRPr="00E7597E">
        <w:rPr>
          <w:rFonts w:cs="Arial"/>
          <w:szCs w:val="22"/>
        </w:rPr>
        <w:t>o 29,89 mil. Kč</w:t>
      </w:r>
      <w:r w:rsidR="00C67D69">
        <w:rPr>
          <w:rFonts w:cs="Arial"/>
          <w:szCs w:val="22"/>
        </w:rPr>
        <w:t xml:space="preserve"> </w:t>
      </w:r>
      <w:r w:rsidR="00967970" w:rsidRPr="00E7597E">
        <w:rPr>
          <w:rFonts w:cs="Arial"/>
          <w:bCs/>
          <w:i/>
          <w:iCs/>
          <w:szCs w:val="22"/>
        </w:rPr>
        <w:t>a</w:t>
      </w:r>
      <w:r w:rsidR="00C67D69">
        <w:rPr>
          <w:rFonts w:cs="Arial"/>
          <w:bCs/>
          <w:i/>
          <w:iCs/>
          <w:szCs w:val="22"/>
        </w:rPr>
        <w:t xml:space="preserve"> </w:t>
      </w:r>
      <w:r w:rsidR="00E7597E" w:rsidRPr="00E7597E">
        <w:rPr>
          <w:rFonts w:cs="Arial"/>
          <w:bCs/>
          <w:iCs/>
          <w:szCs w:val="22"/>
        </w:rPr>
        <w:t>současně nadhodnocen</w:t>
      </w:r>
      <w:r w:rsidR="00C67D69">
        <w:rPr>
          <w:rFonts w:cs="Arial"/>
          <w:bCs/>
          <w:iCs/>
          <w:szCs w:val="22"/>
        </w:rPr>
        <w:t xml:space="preserve"> </w:t>
      </w:r>
      <w:r w:rsidR="00E7597E" w:rsidRPr="00B92298">
        <w:rPr>
          <w:rFonts w:cs="Arial"/>
          <w:bCs/>
          <w:iCs/>
          <w:szCs w:val="22"/>
        </w:rPr>
        <w:t>rozpočtový paragraf</w:t>
      </w:r>
      <w:r w:rsidR="00C67D69">
        <w:rPr>
          <w:rFonts w:cs="Arial"/>
          <w:bCs/>
          <w:iCs/>
          <w:szCs w:val="22"/>
        </w:rPr>
        <w:t xml:space="preserve"> </w:t>
      </w:r>
      <w:r w:rsidR="00E7597E" w:rsidRPr="00D71574">
        <w:rPr>
          <w:rFonts w:cs="Arial"/>
          <w:bCs/>
          <w:iCs/>
          <w:szCs w:val="22"/>
        </w:rPr>
        <w:t xml:space="preserve">3691 – </w:t>
      </w:r>
      <w:r w:rsidR="00E7597E" w:rsidRPr="00E7597E">
        <w:rPr>
          <w:rFonts w:cs="Arial"/>
          <w:bCs/>
          <w:i/>
          <w:iCs/>
          <w:szCs w:val="22"/>
        </w:rPr>
        <w:t>Mezinárodní spolupráce v oblasti bydlení, komunálních služeb a</w:t>
      </w:r>
      <w:r w:rsidR="00D264C0">
        <w:rPr>
          <w:rFonts w:cs="Arial"/>
          <w:bCs/>
          <w:i/>
          <w:iCs/>
          <w:szCs w:val="22"/>
        </w:rPr>
        <w:t> </w:t>
      </w:r>
      <w:r w:rsidR="00E7597E" w:rsidRPr="00E7597E">
        <w:rPr>
          <w:rFonts w:cs="Arial"/>
          <w:bCs/>
          <w:i/>
          <w:iCs/>
          <w:szCs w:val="22"/>
        </w:rPr>
        <w:t>územního rozvoje</w:t>
      </w:r>
      <w:r w:rsidR="00C67D69">
        <w:rPr>
          <w:rFonts w:cs="Arial"/>
          <w:bCs/>
          <w:i/>
          <w:iCs/>
          <w:szCs w:val="22"/>
        </w:rPr>
        <w:t xml:space="preserve"> </w:t>
      </w:r>
      <w:r w:rsidR="00316D1A" w:rsidRPr="00316D1A">
        <w:rPr>
          <w:rFonts w:cs="Arial"/>
          <w:bCs/>
          <w:iCs/>
          <w:szCs w:val="22"/>
        </w:rPr>
        <w:t>o</w:t>
      </w:r>
      <w:r w:rsidR="003E0FDC">
        <w:rPr>
          <w:rFonts w:cs="Arial"/>
          <w:bCs/>
          <w:iCs/>
          <w:szCs w:val="22"/>
        </w:rPr>
        <w:t> </w:t>
      </w:r>
      <w:r w:rsidR="00316D1A" w:rsidRPr="00316D1A">
        <w:rPr>
          <w:rFonts w:cs="Arial"/>
          <w:bCs/>
          <w:iCs/>
          <w:szCs w:val="22"/>
        </w:rPr>
        <w:t>56,2 mil. Kč</w:t>
      </w:r>
      <w:r w:rsidR="00C67D69">
        <w:rPr>
          <w:rFonts w:cs="Arial"/>
          <w:bCs/>
          <w:iCs/>
          <w:szCs w:val="22"/>
        </w:rPr>
        <w:t xml:space="preserve"> </w:t>
      </w:r>
      <w:r w:rsidR="00E7597E" w:rsidRPr="00316D1A">
        <w:rPr>
          <w:rFonts w:cs="Arial"/>
          <w:bCs/>
          <w:iCs/>
          <w:szCs w:val="22"/>
        </w:rPr>
        <w:t>a</w:t>
      </w:r>
      <w:r w:rsidR="00C67D69">
        <w:rPr>
          <w:rFonts w:cs="Arial"/>
          <w:bCs/>
          <w:iCs/>
          <w:szCs w:val="22"/>
        </w:rPr>
        <w:t xml:space="preserve"> </w:t>
      </w:r>
      <w:r w:rsidR="00316D1A" w:rsidRPr="00316D1A">
        <w:rPr>
          <w:rFonts w:cs="Arial"/>
          <w:bCs/>
          <w:iCs/>
          <w:szCs w:val="22"/>
        </w:rPr>
        <w:t>o stejnou částku</w:t>
      </w:r>
      <w:r w:rsidR="00C67D69">
        <w:rPr>
          <w:rFonts w:cs="Arial"/>
          <w:bCs/>
          <w:iCs/>
          <w:szCs w:val="22"/>
        </w:rPr>
        <w:t xml:space="preserve"> </w:t>
      </w:r>
      <w:r w:rsidR="00E7597E" w:rsidRPr="00E7597E">
        <w:rPr>
          <w:rFonts w:cs="Arial"/>
          <w:bCs/>
          <w:iCs/>
          <w:szCs w:val="22"/>
        </w:rPr>
        <w:t>podhodnocen</w:t>
      </w:r>
      <w:r w:rsidR="00C67D69">
        <w:rPr>
          <w:rFonts w:cs="Arial"/>
          <w:bCs/>
          <w:iCs/>
          <w:szCs w:val="22"/>
        </w:rPr>
        <w:t xml:space="preserve"> </w:t>
      </w:r>
      <w:r w:rsidR="00E7597E" w:rsidRPr="00E7597E">
        <w:rPr>
          <w:rFonts w:cs="Arial"/>
          <w:bCs/>
          <w:iCs/>
          <w:szCs w:val="22"/>
        </w:rPr>
        <w:t xml:space="preserve">rozpočtový paragraf </w:t>
      </w:r>
      <w:r w:rsidR="00E7597E" w:rsidRPr="00D71574">
        <w:rPr>
          <w:rFonts w:cs="Arial"/>
          <w:bCs/>
          <w:iCs/>
          <w:szCs w:val="22"/>
        </w:rPr>
        <w:t xml:space="preserve">3661 – </w:t>
      </w:r>
      <w:r w:rsidR="00E7597E" w:rsidRPr="00E7597E">
        <w:rPr>
          <w:rFonts w:cs="Arial"/>
          <w:bCs/>
          <w:i/>
          <w:iCs/>
          <w:szCs w:val="22"/>
        </w:rPr>
        <w:t>Činnost ústředního orgánu státní správy v oblasti bydlení, komunálních služeb a</w:t>
      </w:r>
      <w:r w:rsidR="00D264C0">
        <w:rPr>
          <w:rFonts w:cs="Arial"/>
          <w:bCs/>
          <w:i/>
          <w:iCs/>
          <w:szCs w:val="22"/>
        </w:rPr>
        <w:t> </w:t>
      </w:r>
      <w:r w:rsidR="00E7597E" w:rsidRPr="00E7597E">
        <w:rPr>
          <w:rFonts w:cs="Arial"/>
          <w:bCs/>
          <w:i/>
          <w:iCs/>
          <w:szCs w:val="22"/>
        </w:rPr>
        <w:t>územního rozvoje</w:t>
      </w:r>
      <w:r w:rsidR="00E7597E">
        <w:rPr>
          <w:rFonts w:cs="Arial"/>
          <w:bCs/>
          <w:iCs/>
          <w:szCs w:val="22"/>
        </w:rPr>
        <w:t>.</w:t>
      </w:r>
    </w:p>
    <w:p w:rsidR="003A0465" w:rsidRPr="007113E1" w:rsidRDefault="003A0465" w:rsidP="007113E1">
      <w:pPr>
        <w:ind w:firstLine="0"/>
      </w:pPr>
    </w:p>
    <w:p w:rsidR="00C941B3" w:rsidRDefault="00C941B3" w:rsidP="00C941B3">
      <w:pPr>
        <w:ind w:firstLine="0"/>
        <w:rPr>
          <w:b/>
        </w:rPr>
      </w:pPr>
      <w:r>
        <w:rPr>
          <w:b/>
        </w:rPr>
        <w:t xml:space="preserve">Neoceněné bezúplatně nabyté licence </w:t>
      </w:r>
    </w:p>
    <w:p w:rsidR="00193E13" w:rsidRPr="007113E1" w:rsidRDefault="00193E13" w:rsidP="00C941B3">
      <w:pPr>
        <w:ind w:firstLine="0"/>
      </w:pPr>
    </w:p>
    <w:p w:rsidR="00193E13" w:rsidRPr="00193E13" w:rsidRDefault="00193E13" w:rsidP="00193E13">
      <w:pPr>
        <w:ind w:firstLine="0"/>
        <w:rPr>
          <w:rFonts w:cs="Arial"/>
          <w:bCs/>
          <w:iCs/>
          <w:szCs w:val="22"/>
        </w:rPr>
      </w:pPr>
      <w:r w:rsidRPr="00193E13">
        <w:rPr>
          <w:rFonts w:cs="Arial"/>
          <w:bCs/>
          <w:iCs/>
          <w:szCs w:val="22"/>
        </w:rPr>
        <w:t xml:space="preserve">Ministerstvu byly na základě uzavření smlouvy o postoupení licence ke dni 1. </w:t>
      </w:r>
      <w:r w:rsidR="00D264C0">
        <w:rPr>
          <w:rFonts w:cs="Arial"/>
          <w:bCs/>
          <w:iCs/>
          <w:szCs w:val="22"/>
        </w:rPr>
        <w:t>ledn</w:t>
      </w:r>
      <w:r w:rsidR="00907EA6">
        <w:rPr>
          <w:rFonts w:cs="Arial"/>
          <w:bCs/>
          <w:iCs/>
          <w:szCs w:val="22"/>
        </w:rPr>
        <w:t>a</w:t>
      </w:r>
      <w:r w:rsidR="00D264C0">
        <w:rPr>
          <w:rFonts w:cs="Arial"/>
          <w:bCs/>
          <w:iCs/>
          <w:szCs w:val="22"/>
        </w:rPr>
        <w:t xml:space="preserve"> </w:t>
      </w:r>
      <w:r w:rsidRPr="00193E13">
        <w:rPr>
          <w:rFonts w:cs="Arial"/>
          <w:bCs/>
          <w:iCs/>
          <w:szCs w:val="22"/>
        </w:rPr>
        <w:t>2011</w:t>
      </w:r>
      <w:r w:rsidR="00E55A7D">
        <w:rPr>
          <w:rFonts w:cs="Arial"/>
          <w:bCs/>
          <w:iCs/>
          <w:szCs w:val="22"/>
        </w:rPr>
        <w:t xml:space="preserve"> </w:t>
      </w:r>
      <w:r w:rsidRPr="00193E13">
        <w:rPr>
          <w:rFonts w:cs="Arial"/>
          <w:bCs/>
          <w:iCs/>
          <w:szCs w:val="22"/>
        </w:rPr>
        <w:t xml:space="preserve">Centrem pro regionální rozvoj ČR bezúplatně postoupeny licence k softwarovým produktům MONIT a BENEFIT. Takto nabytý dlouhodobý nehmotný majetek MMR </w:t>
      </w:r>
      <w:proofErr w:type="gramStart"/>
      <w:r w:rsidRPr="00193E13">
        <w:rPr>
          <w:rFonts w:cs="Arial"/>
          <w:bCs/>
          <w:iCs/>
          <w:szCs w:val="22"/>
        </w:rPr>
        <w:t>neocenilo</w:t>
      </w:r>
      <w:proofErr w:type="gramEnd"/>
      <w:r w:rsidRPr="00193E13">
        <w:rPr>
          <w:rFonts w:cs="Arial"/>
          <w:bCs/>
          <w:iCs/>
          <w:szCs w:val="22"/>
        </w:rPr>
        <w:t xml:space="preserve"> </w:t>
      </w:r>
      <w:r w:rsidR="00907EA6">
        <w:rPr>
          <w:rFonts w:cs="Arial"/>
          <w:bCs/>
          <w:iCs/>
          <w:szCs w:val="22"/>
        </w:rPr>
        <w:t xml:space="preserve">ani </w:t>
      </w:r>
      <w:proofErr w:type="gramStart"/>
      <w:r w:rsidRPr="00193E13">
        <w:rPr>
          <w:rFonts w:cs="Arial"/>
          <w:bCs/>
          <w:iCs/>
          <w:szCs w:val="22"/>
        </w:rPr>
        <w:t>nevykázalo</w:t>
      </w:r>
      <w:proofErr w:type="gramEnd"/>
      <w:r w:rsidRPr="00193E13">
        <w:rPr>
          <w:rFonts w:cs="Arial"/>
          <w:bCs/>
          <w:iCs/>
          <w:szCs w:val="22"/>
        </w:rPr>
        <w:t xml:space="preserve"> v účetní</w:t>
      </w:r>
      <w:r w:rsidR="00907EA6">
        <w:rPr>
          <w:rFonts w:cs="Arial"/>
          <w:bCs/>
          <w:iCs/>
          <w:szCs w:val="22"/>
        </w:rPr>
        <w:t>ch</w:t>
      </w:r>
      <w:r w:rsidRPr="00193E13">
        <w:rPr>
          <w:rFonts w:cs="Arial"/>
          <w:bCs/>
          <w:iCs/>
          <w:szCs w:val="22"/>
        </w:rPr>
        <w:t xml:space="preserve"> závěr</w:t>
      </w:r>
      <w:r w:rsidR="00907EA6">
        <w:rPr>
          <w:rFonts w:cs="Arial"/>
          <w:bCs/>
          <w:iCs/>
          <w:szCs w:val="22"/>
        </w:rPr>
        <w:t>kách</w:t>
      </w:r>
      <w:r w:rsidRPr="00193E13">
        <w:rPr>
          <w:rFonts w:cs="Arial"/>
          <w:bCs/>
          <w:iCs/>
          <w:szCs w:val="22"/>
        </w:rPr>
        <w:t xml:space="preserve"> sestaven</w:t>
      </w:r>
      <w:r w:rsidR="00907EA6">
        <w:rPr>
          <w:rFonts w:cs="Arial"/>
          <w:bCs/>
          <w:iCs/>
          <w:szCs w:val="22"/>
        </w:rPr>
        <w:t>ých</w:t>
      </w:r>
      <w:r w:rsidRPr="00193E13">
        <w:rPr>
          <w:rFonts w:cs="Arial"/>
          <w:bCs/>
          <w:iCs/>
          <w:szCs w:val="22"/>
        </w:rPr>
        <w:t xml:space="preserve"> k 31. </w:t>
      </w:r>
      <w:r w:rsidR="00D264C0">
        <w:rPr>
          <w:rFonts w:cs="Arial"/>
          <w:bCs/>
          <w:iCs/>
          <w:szCs w:val="22"/>
        </w:rPr>
        <w:t xml:space="preserve">prosinci </w:t>
      </w:r>
      <w:r w:rsidR="001B471D">
        <w:rPr>
          <w:rFonts w:cs="Arial"/>
          <w:bCs/>
          <w:iCs/>
          <w:szCs w:val="22"/>
        </w:rPr>
        <w:t xml:space="preserve">2011 a </w:t>
      </w:r>
      <w:r w:rsidRPr="00193E13">
        <w:rPr>
          <w:rFonts w:cs="Arial"/>
          <w:bCs/>
          <w:iCs/>
          <w:szCs w:val="22"/>
        </w:rPr>
        <w:t xml:space="preserve">2012. </w:t>
      </w:r>
      <w:r>
        <w:t xml:space="preserve">Tato skutečnost měla vliv na zůstatek účtu </w:t>
      </w:r>
      <w:r w:rsidRPr="00D71574">
        <w:t xml:space="preserve">013 – </w:t>
      </w:r>
      <w:r w:rsidRPr="00925376">
        <w:rPr>
          <w:i/>
        </w:rPr>
        <w:t>Software</w:t>
      </w:r>
      <w:r>
        <w:t xml:space="preserve"> a </w:t>
      </w:r>
      <w:r w:rsidRPr="00D71574">
        <w:t xml:space="preserve">401 – </w:t>
      </w:r>
      <w:r w:rsidRPr="00925376">
        <w:rPr>
          <w:i/>
        </w:rPr>
        <w:t>Jmění účetní jednotky</w:t>
      </w:r>
      <w:r>
        <w:t xml:space="preserve">. </w:t>
      </w:r>
    </w:p>
    <w:p w:rsidR="00193E13" w:rsidRPr="007113E1" w:rsidRDefault="00193E13" w:rsidP="00C941B3">
      <w:pPr>
        <w:ind w:firstLine="0"/>
      </w:pPr>
    </w:p>
    <w:p w:rsidR="00C941B3" w:rsidRDefault="00C941B3" w:rsidP="00C941B3">
      <w:pPr>
        <w:ind w:firstLine="0"/>
        <w:rPr>
          <w:b/>
        </w:rPr>
      </w:pPr>
      <w:r>
        <w:rPr>
          <w:b/>
        </w:rPr>
        <w:t xml:space="preserve">Neúčtování o odpisech u majetku pořízeného během roku 2012 </w:t>
      </w:r>
    </w:p>
    <w:p w:rsidR="000D76AD" w:rsidRPr="007113E1" w:rsidRDefault="000D76AD" w:rsidP="00C941B3">
      <w:pPr>
        <w:ind w:firstLine="0"/>
      </w:pPr>
    </w:p>
    <w:p w:rsidR="000D76AD" w:rsidRPr="00F207E9" w:rsidRDefault="000D76AD" w:rsidP="000D76AD">
      <w:pPr>
        <w:ind w:firstLine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 xml:space="preserve">MMR k 31. </w:t>
      </w:r>
      <w:r w:rsidR="00D264C0">
        <w:rPr>
          <w:rFonts w:cs="Arial"/>
          <w:bCs/>
          <w:iCs/>
          <w:szCs w:val="22"/>
        </w:rPr>
        <w:t xml:space="preserve">prosinci </w:t>
      </w:r>
      <w:r>
        <w:rPr>
          <w:rFonts w:cs="Arial"/>
          <w:bCs/>
          <w:iCs/>
          <w:szCs w:val="22"/>
        </w:rPr>
        <w:t>2012 nezaúčtovalo odpisy k</w:t>
      </w:r>
      <w:r w:rsidR="00F207E9">
        <w:rPr>
          <w:rFonts w:cs="Arial"/>
          <w:bCs/>
          <w:iCs/>
          <w:szCs w:val="22"/>
        </w:rPr>
        <w:t> </w:t>
      </w:r>
      <w:r>
        <w:rPr>
          <w:rFonts w:cs="Arial"/>
          <w:bCs/>
          <w:iCs/>
          <w:szCs w:val="22"/>
        </w:rPr>
        <w:t>majetku</w:t>
      </w:r>
      <w:r w:rsidR="00F207E9">
        <w:rPr>
          <w:rFonts w:cs="Arial"/>
          <w:bCs/>
          <w:iCs/>
          <w:szCs w:val="22"/>
        </w:rPr>
        <w:t xml:space="preserve"> v hodnotě </w:t>
      </w:r>
      <w:r w:rsidR="00F207E9" w:rsidRPr="0019787E">
        <w:rPr>
          <w:rFonts w:cs="Arial"/>
          <w:bCs/>
          <w:iCs/>
          <w:szCs w:val="22"/>
        </w:rPr>
        <w:t>69</w:t>
      </w:r>
      <w:r w:rsidR="00F207E9">
        <w:rPr>
          <w:rFonts w:cs="Arial"/>
          <w:bCs/>
          <w:iCs/>
          <w:szCs w:val="22"/>
        </w:rPr>
        <w:t xml:space="preserve">,4 mil. Kč, který pořídilo v roce 2012. Tímto postupem nadhodnotilo zůstatek účtu </w:t>
      </w:r>
      <w:r w:rsidR="00F207E9" w:rsidRPr="00D71574">
        <w:rPr>
          <w:rFonts w:cs="Arial"/>
          <w:bCs/>
          <w:iCs/>
          <w:szCs w:val="22"/>
        </w:rPr>
        <w:t xml:space="preserve">013 – </w:t>
      </w:r>
      <w:r w:rsidR="00F207E9" w:rsidRPr="001C08EB">
        <w:rPr>
          <w:rFonts w:cs="Arial"/>
          <w:bCs/>
          <w:i/>
          <w:iCs/>
          <w:szCs w:val="22"/>
        </w:rPr>
        <w:t>Software</w:t>
      </w:r>
      <w:r w:rsidR="00F207E9">
        <w:rPr>
          <w:rFonts w:cs="Arial"/>
          <w:bCs/>
          <w:iCs/>
          <w:szCs w:val="22"/>
        </w:rPr>
        <w:t xml:space="preserve"> v netto hodnotě</w:t>
      </w:r>
      <w:r w:rsidR="00C924A6">
        <w:rPr>
          <w:rFonts w:cs="Arial"/>
          <w:bCs/>
          <w:iCs/>
          <w:szCs w:val="22"/>
        </w:rPr>
        <w:t xml:space="preserve"> o</w:t>
      </w:r>
      <w:r w:rsidR="003E0FDC">
        <w:rPr>
          <w:rFonts w:cs="Arial"/>
          <w:bCs/>
          <w:iCs/>
          <w:szCs w:val="22"/>
        </w:rPr>
        <w:t> </w:t>
      </w:r>
      <w:r w:rsidR="00F207E9">
        <w:rPr>
          <w:rFonts w:cs="Arial"/>
          <w:bCs/>
          <w:iCs/>
          <w:szCs w:val="22"/>
        </w:rPr>
        <w:t>6,1 mil. Kč</w:t>
      </w:r>
      <w:r w:rsidR="00C62BDF">
        <w:rPr>
          <w:rFonts w:cs="Arial"/>
          <w:bCs/>
          <w:iCs/>
          <w:szCs w:val="22"/>
        </w:rPr>
        <w:t xml:space="preserve"> a</w:t>
      </w:r>
      <w:r w:rsidR="00F207E9">
        <w:rPr>
          <w:rFonts w:cs="Arial"/>
          <w:bCs/>
          <w:iCs/>
          <w:szCs w:val="22"/>
        </w:rPr>
        <w:t xml:space="preserve"> nadhodnotilo zůstatek účtu </w:t>
      </w:r>
      <w:r w:rsidR="00F207E9" w:rsidRPr="00D71574">
        <w:rPr>
          <w:rFonts w:cs="Arial"/>
          <w:bCs/>
          <w:iCs/>
          <w:szCs w:val="22"/>
        </w:rPr>
        <w:t xml:space="preserve">022 – </w:t>
      </w:r>
      <w:r w:rsidR="00F207E9" w:rsidRPr="00C62BDF">
        <w:rPr>
          <w:rFonts w:cs="Arial"/>
          <w:i/>
          <w:iCs/>
          <w:szCs w:val="22"/>
        </w:rPr>
        <w:t>Samostatné movité věci a soubory movitých věcí</w:t>
      </w:r>
      <w:r w:rsidR="00F207E9">
        <w:rPr>
          <w:rFonts w:cs="Arial"/>
          <w:iCs/>
          <w:szCs w:val="22"/>
        </w:rPr>
        <w:t xml:space="preserve"> v netto hodnotě</w:t>
      </w:r>
      <w:r w:rsidR="00C924A6">
        <w:rPr>
          <w:rFonts w:cs="Arial"/>
          <w:iCs/>
          <w:szCs w:val="22"/>
        </w:rPr>
        <w:t xml:space="preserve"> o</w:t>
      </w:r>
      <w:r w:rsidR="00F207E9">
        <w:rPr>
          <w:rFonts w:cs="Arial"/>
          <w:iCs/>
          <w:szCs w:val="22"/>
        </w:rPr>
        <w:t xml:space="preserve"> 3,2 mil. Kč. Tato nesprávnost ovlivnila i výši odpisů</w:t>
      </w:r>
      <w:r w:rsidR="0027335D">
        <w:rPr>
          <w:rFonts w:cs="Arial"/>
          <w:iCs/>
          <w:szCs w:val="22"/>
        </w:rPr>
        <w:t xml:space="preserve"> vykázaných na účtu </w:t>
      </w:r>
      <w:r w:rsidR="0027335D" w:rsidRPr="00D71574">
        <w:rPr>
          <w:rFonts w:cs="Arial"/>
          <w:iCs/>
          <w:szCs w:val="22"/>
        </w:rPr>
        <w:t>551</w:t>
      </w:r>
      <w:r w:rsidR="00C67D69" w:rsidRPr="00D71574">
        <w:rPr>
          <w:rFonts w:cs="Arial"/>
          <w:iCs/>
          <w:szCs w:val="22"/>
        </w:rPr>
        <w:t xml:space="preserve"> </w:t>
      </w:r>
      <w:r w:rsidR="0027335D" w:rsidRPr="00D71574">
        <w:rPr>
          <w:rFonts w:cs="Arial"/>
          <w:bCs/>
          <w:iCs/>
          <w:szCs w:val="22"/>
        </w:rPr>
        <w:t xml:space="preserve">– </w:t>
      </w:r>
      <w:r w:rsidR="0027335D" w:rsidRPr="002B4DA2">
        <w:rPr>
          <w:rFonts w:cs="Arial"/>
          <w:bCs/>
          <w:i/>
          <w:iCs/>
          <w:szCs w:val="22"/>
        </w:rPr>
        <w:t>Odpisy dlouhodobého majetku</w:t>
      </w:r>
      <w:r w:rsidR="00C924A6">
        <w:rPr>
          <w:rFonts w:cs="Arial"/>
          <w:iCs/>
          <w:szCs w:val="22"/>
        </w:rPr>
        <w:t>, které MMR podhodnotilo</w:t>
      </w:r>
      <w:r w:rsidR="00F207E9">
        <w:rPr>
          <w:rFonts w:cs="Arial"/>
          <w:iCs/>
          <w:szCs w:val="22"/>
        </w:rPr>
        <w:t xml:space="preserve"> o</w:t>
      </w:r>
      <w:r w:rsidR="00D264C0">
        <w:rPr>
          <w:rFonts w:cs="Arial"/>
          <w:iCs/>
          <w:szCs w:val="22"/>
        </w:rPr>
        <w:t> </w:t>
      </w:r>
      <w:r w:rsidR="00F207E9">
        <w:rPr>
          <w:rFonts w:cs="Arial"/>
          <w:iCs/>
          <w:szCs w:val="22"/>
        </w:rPr>
        <w:t>9,3</w:t>
      </w:r>
      <w:r w:rsidR="00D264C0">
        <w:rPr>
          <w:rFonts w:cs="Arial"/>
          <w:iCs/>
          <w:szCs w:val="22"/>
        </w:rPr>
        <w:t> </w:t>
      </w:r>
      <w:r w:rsidR="00F207E9">
        <w:rPr>
          <w:rFonts w:cs="Arial"/>
          <w:iCs/>
          <w:szCs w:val="22"/>
        </w:rPr>
        <w:t>mil.</w:t>
      </w:r>
      <w:r w:rsidR="00D264C0">
        <w:rPr>
          <w:rFonts w:cs="Arial"/>
          <w:iCs/>
          <w:szCs w:val="22"/>
        </w:rPr>
        <w:t> </w:t>
      </w:r>
      <w:r w:rsidR="00F207E9">
        <w:rPr>
          <w:rFonts w:cs="Arial"/>
          <w:iCs/>
          <w:szCs w:val="22"/>
        </w:rPr>
        <w:t>Kč.</w:t>
      </w:r>
    </w:p>
    <w:p w:rsidR="00C941B3" w:rsidRPr="007113E1" w:rsidRDefault="00C941B3" w:rsidP="00C941B3">
      <w:pPr>
        <w:ind w:firstLine="0"/>
      </w:pPr>
    </w:p>
    <w:p w:rsidR="00C941B3" w:rsidRDefault="00C941B3" w:rsidP="00C941B3">
      <w:pPr>
        <w:ind w:firstLine="0"/>
        <w:rPr>
          <w:b/>
        </w:rPr>
      </w:pPr>
      <w:r>
        <w:rPr>
          <w:b/>
        </w:rPr>
        <w:t xml:space="preserve">Zařazení majetku </w:t>
      </w:r>
      <w:r w:rsidR="00193E13">
        <w:rPr>
          <w:b/>
        </w:rPr>
        <w:t xml:space="preserve">IS NEN do užívání </w:t>
      </w:r>
      <w:r>
        <w:rPr>
          <w:b/>
        </w:rPr>
        <w:t xml:space="preserve">před stavem </w:t>
      </w:r>
      <w:r w:rsidR="00811154">
        <w:rPr>
          <w:b/>
        </w:rPr>
        <w:t>způsobilým k</w:t>
      </w:r>
      <w:r w:rsidR="00A24224">
        <w:rPr>
          <w:b/>
        </w:rPr>
        <w:t> </w:t>
      </w:r>
      <w:r w:rsidR="00811154">
        <w:rPr>
          <w:b/>
        </w:rPr>
        <w:t>užívání</w:t>
      </w:r>
    </w:p>
    <w:p w:rsidR="00A24224" w:rsidRPr="007113E1" w:rsidRDefault="00A24224" w:rsidP="00C941B3">
      <w:pPr>
        <w:ind w:firstLine="0"/>
      </w:pPr>
    </w:p>
    <w:p w:rsidR="00A24224" w:rsidRPr="00FE509C" w:rsidRDefault="00A24224" w:rsidP="00FE509C">
      <w:pPr>
        <w:ind w:firstLine="0"/>
      </w:pPr>
      <w:r w:rsidRPr="004C6884">
        <w:rPr>
          <w:rFonts w:cs="Arial"/>
          <w:szCs w:val="22"/>
        </w:rPr>
        <w:t xml:space="preserve">Ministerstvo zařadilo </w:t>
      </w:r>
      <w:r w:rsidR="00FE509C" w:rsidRPr="004C6884">
        <w:rPr>
          <w:rFonts w:cs="Arial"/>
          <w:szCs w:val="22"/>
        </w:rPr>
        <w:t xml:space="preserve">informační systém </w:t>
      </w:r>
      <w:r w:rsidR="00FE509C" w:rsidRPr="00D71574">
        <w:rPr>
          <w:rFonts w:cs="Arial"/>
          <w:i/>
          <w:szCs w:val="22"/>
        </w:rPr>
        <w:t>Národní elektronický nástroj</w:t>
      </w:r>
      <w:r w:rsidR="00FE509C" w:rsidRPr="004C6884">
        <w:rPr>
          <w:rFonts w:cs="Arial"/>
          <w:szCs w:val="22"/>
        </w:rPr>
        <w:t xml:space="preserve"> </w:t>
      </w:r>
      <w:r w:rsidRPr="004C6884">
        <w:rPr>
          <w:rFonts w:cs="Arial"/>
          <w:szCs w:val="22"/>
        </w:rPr>
        <w:t>do užívání již v roce 2012, ačkoliv nebyl plně dokončen</w:t>
      </w:r>
      <w:r w:rsidR="00FE509C">
        <w:rPr>
          <w:rFonts w:cs="Arial"/>
          <w:szCs w:val="22"/>
        </w:rPr>
        <w:t xml:space="preserve"> a</w:t>
      </w:r>
      <w:r w:rsidRPr="004C6884">
        <w:rPr>
          <w:rFonts w:cs="Arial"/>
          <w:szCs w:val="22"/>
        </w:rPr>
        <w:t xml:space="preserve"> nebyl uveden </w:t>
      </w:r>
      <w:r w:rsidR="007113E1">
        <w:rPr>
          <w:rFonts w:cs="Arial"/>
          <w:szCs w:val="22"/>
        </w:rPr>
        <w:t>do stavu způsobilého k užívání.</w:t>
      </w:r>
      <w:r w:rsidR="00907EA6">
        <w:rPr>
          <w:rFonts w:cs="Arial"/>
          <w:szCs w:val="22"/>
        </w:rPr>
        <w:t xml:space="preserve"> </w:t>
      </w:r>
      <w:r w:rsidR="00FE509C">
        <w:t xml:space="preserve">V důsledku této skutečnosti MMR k 31. </w:t>
      </w:r>
      <w:r w:rsidR="00D264C0">
        <w:t xml:space="preserve">prosinci </w:t>
      </w:r>
      <w:r w:rsidR="00FE509C">
        <w:t xml:space="preserve">2012 podhodnotilo zůstatek účtu </w:t>
      </w:r>
      <w:r w:rsidR="00FE509C" w:rsidRPr="00D71574">
        <w:t xml:space="preserve">041 – </w:t>
      </w:r>
      <w:r w:rsidR="00FE509C" w:rsidRPr="00FE509C">
        <w:rPr>
          <w:i/>
        </w:rPr>
        <w:t>Nedokončený dlouhodobý nehmotný majetek</w:t>
      </w:r>
      <w:r w:rsidR="00C67D69">
        <w:rPr>
          <w:i/>
        </w:rPr>
        <w:t xml:space="preserve"> </w:t>
      </w:r>
      <w:r w:rsidR="00FE509C">
        <w:t xml:space="preserve">a </w:t>
      </w:r>
      <w:r w:rsidR="00FE509C" w:rsidRPr="00FE509C">
        <w:t xml:space="preserve">nadhodnotilo </w:t>
      </w:r>
      <w:r w:rsidR="00FE509C">
        <w:t>zůstatek</w:t>
      </w:r>
      <w:r w:rsidR="00FE509C" w:rsidRPr="00FE509C">
        <w:rPr>
          <w:bCs/>
        </w:rPr>
        <w:t xml:space="preserve"> účtu </w:t>
      </w:r>
      <w:r w:rsidR="00FE509C" w:rsidRPr="00D71574">
        <w:rPr>
          <w:bCs/>
        </w:rPr>
        <w:t xml:space="preserve">013 – </w:t>
      </w:r>
      <w:r w:rsidR="00FE509C" w:rsidRPr="00FE509C">
        <w:rPr>
          <w:bCs/>
          <w:i/>
        </w:rPr>
        <w:t>Software</w:t>
      </w:r>
      <w:r w:rsidR="00C67D69">
        <w:rPr>
          <w:bCs/>
          <w:i/>
        </w:rPr>
        <w:t xml:space="preserve"> </w:t>
      </w:r>
      <w:r w:rsidR="00FE509C" w:rsidRPr="00FE509C">
        <w:t>o</w:t>
      </w:r>
      <w:r w:rsidR="003E0FDC">
        <w:t> </w:t>
      </w:r>
      <w:r w:rsidR="00FE509C" w:rsidRPr="00FE509C">
        <w:rPr>
          <w:bCs/>
        </w:rPr>
        <w:t>9</w:t>
      </w:r>
      <w:r w:rsidR="00FE509C">
        <w:rPr>
          <w:bCs/>
        </w:rPr>
        <w:t>,7 mil.</w:t>
      </w:r>
      <w:r w:rsidR="00C67D69">
        <w:rPr>
          <w:bCs/>
        </w:rPr>
        <w:t xml:space="preserve"> </w:t>
      </w:r>
      <w:r w:rsidR="00FE509C" w:rsidRPr="00FE509C">
        <w:t>Kč</w:t>
      </w:r>
      <w:r w:rsidR="00FE509C">
        <w:t xml:space="preserve"> a zároveň podhodnotilo zůstatek účtu </w:t>
      </w:r>
      <w:r w:rsidR="00FE509C" w:rsidRPr="00D71574">
        <w:t>042</w:t>
      </w:r>
      <w:r w:rsidR="00C67D69" w:rsidRPr="00D71574">
        <w:t xml:space="preserve"> </w:t>
      </w:r>
      <w:r w:rsidR="00FE509C" w:rsidRPr="00D71574">
        <w:t xml:space="preserve">– </w:t>
      </w:r>
      <w:r w:rsidR="00FE509C" w:rsidRPr="00FE509C">
        <w:rPr>
          <w:i/>
        </w:rPr>
        <w:t>Nedokončený dlouhodobý hmotný majetek</w:t>
      </w:r>
      <w:r w:rsidR="00C67D69">
        <w:rPr>
          <w:i/>
        </w:rPr>
        <w:t xml:space="preserve"> </w:t>
      </w:r>
      <w:r w:rsidR="00FE509C" w:rsidRPr="00FE509C">
        <w:t>a nadhodnotilo</w:t>
      </w:r>
      <w:r w:rsidR="00C67D69">
        <w:t xml:space="preserve"> </w:t>
      </w:r>
      <w:r w:rsidR="00FE509C" w:rsidRPr="00FE509C">
        <w:rPr>
          <w:bCs/>
        </w:rPr>
        <w:t>zůstatek</w:t>
      </w:r>
      <w:r w:rsidR="00C67D69">
        <w:rPr>
          <w:bCs/>
        </w:rPr>
        <w:t xml:space="preserve"> </w:t>
      </w:r>
      <w:r w:rsidR="00FE509C" w:rsidRPr="00FE509C">
        <w:rPr>
          <w:bCs/>
        </w:rPr>
        <w:t xml:space="preserve">účtu </w:t>
      </w:r>
      <w:r w:rsidR="00FE509C" w:rsidRPr="00D71574">
        <w:rPr>
          <w:bCs/>
        </w:rPr>
        <w:t xml:space="preserve">022 – </w:t>
      </w:r>
      <w:r w:rsidR="00FE509C" w:rsidRPr="00FE509C">
        <w:rPr>
          <w:bCs/>
          <w:i/>
        </w:rPr>
        <w:t>Samostatné movité věci a soubory movitých věcí</w:t>
      </w:r>
      <w:r w:rsidR="00FE509C">
        <w:rPr>
          <w:i/>
        </w:rPr>
        <w:t xml:space="preserve"> o </w:t>
      </w:r>
      <w:r w:rsidR="00FE509C" w:rsidRPr="00FE509C">
        <w:t xml:space="preserve">16,6 mil. Kč. </w:t>
      </w:r>
    </w:p>
    <w:p w:rsidR="00193E13" w:rsidRPr="00FE509C" w:rsidRDefault="00193E13" w:rsidP="007113E1">
      <w:pPr>
        <w:ind w:firstLine="0"/>
      </w:pPr>
    </w:p>
    <w:p w:rsidR="00811154" w:rsidRPr="007113E1" w:rsidRDefault="00811154" w:rsidP="007113E1">
      <w:pPr>
        <w:ind w:firstLine="0"/>
        <w:rPr>
          <w:b/>
        </w:rPr>
      </w:pPr>
      <w:r w:rsidRPr="007113E1">
        <w:rPr>
          <w:b/>
        </w:rPr>
        <w:t>1.</w:t>
      </w:r>
      <w:r w:rsidR="00211884" w:rsidRPr="007113E1">
        <w:rPr>
          <w:b/>
        </w:rPr>
        <w:t>1</w:t>
      </w:r>
      <w:r w:rsidRPr="007113E1">
        <w:rPr>
          <w:b/>
        </w:rPr>
        <w:t>.1.</w:t>
      </w:r>
      <w:r w:rsidR="00BB1B8F">
        <w:rPr>
          <w:b/>
        </w:rPr>
        <w:t>4</w:t>
      </w:r>
      <w:r w:rsidRPr="007113E1">
        <w:rPr>
          <w:b/>
        </w:rPr>
        <w:t xml:space="preserve"> Pohledávky a závazky</w:t>
      </w:r>
    </w:p>
    <w:p w:rsidR="00811154" w:rsidRDefault="00811154" w:rsidP="007113E1">
      <w:pPr>
        <w:ind w:firstLine="0"/>
      </w:pPr>
    </w:p>
    <w:p w:rsidR="00811154" w:rsidRDefault="00811154" w:rsidP="00811154">
      <w:pPr>
        <w:ind w:firstLine="0"/>
        <w:rPr>
          <w:b/>
        </w:rPr>
      </w:pPr>
      <w:r w:rsidRPr="00811154">
        <w:rPr>
          <w:b/>
        </w:rPr>
        <w:t>Pohledávky z</w:t>
      </w:r>
      <w:r w:rsidR="005F2D83">
        <w:rPr>
          <w:b/>
        </w:rPr>
        <w:t> </w:t>
      </w:r>
      <w:r w:rsidRPr="00811154">
        <w:rPr>
          <w:b/>
        </w:rPr>
        <w:t>pronájmu</w:t>
      </w:r>
    </w:p>
    <w:p w:rsidR="005F2D83" w:rsidRPr="007113E1" w:rsidRDefault="005F2D83" w:rsidP="00811154">
      <w:pPr>
        <w:ind w:firstLine="0"/>
      </w:pPr>
    </w:p>
    <w:p w:rsidR="005F2D83" w:rsidRDefault="005F2D83" w:rsidP="00D9489F">
      <w:pPr>
        <w:ind w:firstLine="0"/>
        <w:rPr>
          <w:rFonts w:cs="Arial"/>
        </w:rPr>
      </w:pPr>
      <w:r>
        <w:t xml:space="preserve">Na vybraném vzorku dokladů a z inventurního soupisu k 31. </w:t>
      </w:r>
      <w:r w:rsidR="00D264C0">
        <w:t xml:space="preserve">prosinci </w:t>
      </w:r>
      <w:r>
        <w:t xml:space="preserve">2012 bylo zjištěno, že </w:t>
      </w:r>
      <w:r w:rsidRPr="001D0036">
        <w:t xml:space="preserve">MMR v roce </w:t>
      </w:r>
      <w:r>
        <w:t>2012 účtovalo o pohledávkách plynoucích z</w:t>
      </w:r>
      <w:r w:rsidR="00C67D69">
        <w:t> </w:t>
      </w:r>
      <w:r>
        <w:t>pronájmu</w:t>
      </w:r>
      <w:r w:rsidR="00C67D69">
        <w:t xml:space="preserve"> </w:t>
      </w:r>
      <w:r>
        <w:rPr>
          <w:rFonts w:cs="Arial"/>
        </w:rPr>
        <w:t>prostřednictvím</w:t>
      </w:r>
      <w:r w:rsidRPr="00C84669">
        <w:rPr>
          <w:rFonts w:cs="Arial"/>
        </w:rPr>
        <w:t xml:space="preserve"> účtu </w:t>
      </w:r>
      <w:r w:rsidR="007113E1" w:rsidRPr="00D71574">
        <w:rPr>
          <w:rFonts w:cs="Arial"/>
        </w:rPr>
        <w:t>315 </w:t>
      </w:r>
      <w:r w:rsidRPr="00D71574">
        <w:rPr>
          <w:rFonts w:cs="Arial"/>
        </w:rPr>
        <w:t xml:space="preserve">– </w:t>
      </w:r>
      <w:r w:rsidRPr="00C84669">
        <w:rPr>
          <w:rFonts w:cs="Arial"/>
          <w:i/>
        </w:rPr>
        <w:t>Jiné pohledávky z hlavní činnosti</w:t>
      </w:r>
      <w:r w:rsidRPr="00C84669">
        <w:rPr>
          <w:rFonts w:cs="Arial"/>
        </w:rPr>
        <w:t>, ačkoliv</w:t>
      </w:r>
      <w:r w:rsidR="00D9489F">
        <w:rPr>
          <w:rFonts w:cs="Arial"/>
        </w:rPr>
        <w:t xml:space="preserve"> se jednalo o pohledávk</w:t>
      </w:r>
      <w:r w:rsidR="00623A28">
        <w:rPr>
          <w:rFonts w:cs="Arial"/>
        </w:rPr>
        <w:t>y</w:t>
      </w:r>
      <w:r w:rsidR="00D9489F">
        <w:rPr>
          <w:rFonts w:cs="Arial"/>
        </w:rPr>
        <w:t xml:space="preserve"> v oblasti soukromoprávních vztahů. MMR tímto postupem k 31. </w:t>
      </w:r>
      <w:r w:rsidR="00D264C0">
        <w:rPr>
          <w:rFonts w:cs="Arial"/>
        </w:rPr>
        <w:t xml:space="preserve">prosinci </w:t>
      </w:r>
      <w:r w:rsidR="00D9489F">
        <w:rPr>
          <w:rFonts w:cs="Arial"/>
        </w:rPr>
        <w:t xml:space="preserve">2012 nadhodnotilo zůstatek účtu </w:t>
      </w:r>
      <w:r w:rsidR="00D9489F" w:rsidRPr="00D71574">
        <w:rPr>
          <w:rFonts w:cs="Arial"/>
        </w:rPr>
        <w:t xml:space="preserve">315 – </w:t>
      </w:r>
      <w:r w:rsidR="00D9489F" w:rsidRPr="00C84669">
        <w:rPr>
          <w:rFonts w:cs="Arial"/>
          <w:i/>
        </w:rPr>
        <w:t>Jiné pohledávky z hlavní činnosti</w:t>
      </w:r>
      <w:r w:rsidR="00D9489F">
        <w:rPr>
          <w:rFonts w:cs="Arial"/>
        </w:rPr>
        <w:t xml:space="preserve"> a podhodnotilo zůstatek účtu </w:t>
      </w:r>
      <w:r w:rsidR="00D9489F" w:rsidRPr="00D71574">
        <w:rPr>
          <w:rFonts w:cs="Arial"/>
        </w:rPr>
        <w:t xml:space="preserve">311 </w:t>
      </w:r>
      <w:r w:rsidR="00226A1C" w:rsidRPr="00D71574">
        <w:rPr>
          <w:rFonts w:cs="Arial"/>
        </w:rPr>
        <w:t>–</w:t>
      </w:r>
      <w:r w:rsidR="00D9489F" w:rsidRPr="00D71574">
        <w:rPr>
          <w:rFonts w:cs="Arial"/>
        </w:rPr>
        <w:t xml:space="preserve"> </w:t>
      </w:r>
      <w:r w:rsidR="00D9489F" w:rsidRPr="00623A28">
        <w:rPr>
          <w:rFonts w:cs="Arial"/>
          <w:i/>
        </w:rPr>
        <w:t>Odběratelé</w:t>
      </w:r>
      <w:r w:rsidR="00D9489F">
        <w:rPr>
          <w:rFonts w:cs="Arial"/>
        </w:rPr>
        <w:t xml:space="preserve"> o 4,3 mil. Kč. </w:t>
      </w:r>
    </w:p>
    <w:p w:rsidR="00D264C0" w:rsidRPr="007113E1" w:rsidRDefault="00D264C0" w:rsidP="00D9489F">
      <w:pPr>
        <w:ind w:firstLine="0"/>
        <w:rPr>
          <w:rFonts w:cs="Arial"/>
          <w:bCs/>
          <w:iCs/>
          <w:szCs w:val="22"/>
        </w:rPr>
      </w:pPr>
    </w:p>
    <w:p w:rsidR="00907EA6" w:rsidRDefault="00907EA6">
      <w:pPr>
        <w:ind w:firstLine="0"/>
        <w:jc w:val="left"/>
        <w:rPr>
          <w:b/>
        </w:rPr>
      </w:pPr>
      <w:r>
        <w:rPr>
          <w:b/>
        </w:rPr>
        <w:br w:type="page"/>
      </w:r>
    </w:p>
    <w:p w:rsidR="00811154" w:rsidRDefault="00811154" w:rsidP="00811154">
      <w:pPr>
        <w:ind w:firstLine="0"/>
        <w:rPr>
          <w:b/>
        </w:rPr>
      </w:pPr>
      <w:r w:rsidRPr="00811154">
        <w:rPr>
          <w:b/>
        </w:rPr>
        <w:lastRenderedPageBreak/>
        <w:t>Závazky vůči zaměstnancům</w:t>
      </w:r>
    </w:p>
    <w:p w:rsidR="00DD4CAA" w:rsidRPr="007113E1" w:rsidRDefault="00DD4CAA" w:rsidP="00811154">
      <w:pPr>
        <w:ind w:firstLine="0"/>
      </w:pPr>
    </w:p>
    <w:p w:rsidR="00DD4CAA" w:rsidRDefault="00DD4CAA" w:rsidP="00DD4CAA">
      <w:pPr>
        <w:ind w:firstLine="0"/>
        <w:rPr>
          <w:rFonts w:cs="Arial"/>
        </w:rPr>
      </w:pPr>
      <w:r>
        <w:rPr>
          <w:rFonts w:cs="Arial"/>
        </w:rPr>
        <w:t>MMR</w:t>
      </w:r>
      <w:r w:rsidRPr="00AF66F2">
        <w:rPr>
          <w:rFonts w:cs="Arial"/>
        </w:rPr>
        <w:t xml:space="preserve"> účtoval</w:t>
      </w:r>
      <w:r>
        <w:rPr>
          <w:rFonts w:cs="Arial"/>
        </w:rPr>
        <w:t>o</w:t>
      </w:r>
      <w:r w:rsidRPr="00AF66F2">
        <w:rPr>
          <w:rFonts w:cs="Arial"/>
        </w:rPr>
        <w:t xml:space="preserve"> o </w:t>
      </w:r>
      <w:r>
        <w:rPr>
          <w:rFonts w:cs="Arial"/>
        </w:rPr>
        <w:t xml:space="preserve">závazcích z mezd vyplácených bezhotovostně </w:t>
      </w:r>
      <w:r w:rsidRPr="00AF66F2">
        <w:rPr>
          <w:rFonts w:cs="Arial"/>
        </w:rPr>
        <w:t xml:space="preserve">prostřednictvím nesprávného účtu </w:t>
      </w:r>
      <w:r w:rsidRPr="00D71574">
        <w:rPr>
          <w:rFonts w:cs="Arial"/>
        </w:rPr>
        <w:t xml:space="preserve">333 – </w:t>
      </w:r>
      <w:r w:rsidRPr="00AF66F2">
        <w:rPr>
          <w:rFonts w:cs="Arial"/>
          <w:i/>
        </w:rPr>
        <w:t>Jiné závazky vůči zaměstnancům</w:t>
      </w:r>
      <w:r w:rsidRPr="00AF66F2">
        <w:rPr>
          <w:rFonts w:cs="Arial"/>
        </w:rPr>
        <w:t>, ačkoliv</w:t>
      </w:r>
      <w:r>
        <w:rPr>
          <w:rFonts w:cs="Arial"/>
        </w:rPr>
        <w:t xml:space="preserve"> mělo v souladu </w:t>
      </w:r>
      <w:r w:rsidRPr="00AF66F2">
        <w:rPr>
          <w:rFonts w:cs="Arial"/>
        </w:rPr>
        <w:t>s vyhláškou č.</w:t>
      </w:r>
      <w:r w:rsidR="00174E2F">
        <w:rPr>
          <w:rFonts w:cs="Arial"/>
        </w:rPr>
        <w:t> </w:t>
      </w:r>
      <w:r w:rsidRPr="00AF66F2">
        <w:rPr>
          <w:rFonts w:cs="Arial"/>
        </w:rPr>
        <w:t xml:space="preserve">410/2009 Sb. zaúčtovat </w:t>
      </w:r>
      <w:r>
        <w:rPr>
          <w:rFonts w:cs="Arial"/>
        </w:rPr>
        <w:t>závazky vůči svým zaměstnancům z titulu mezd n</w:t>
      </w:r>
      <w:r w:rsidRPr="00AF66F2">
        <w:rPr>
          <w:rFonts w:cs="Arial"/>
        </w:rPr>
        <w:t xml:space="preserve">a stranu </w:t>
      </w:r>
      <w:r w:rsidR="00A758AF" w:rsidRPr="00D71574">
        <w:rPr>
          <w:rFonts w:cs="Arial"/>
          <w:i/>
        </w:rPr>
        <w:t>DAL</w:t>
      </w:r>
      <w:r w:rsidRPr="00AF66F2">
        <w:rPr>
          <w:rFonts w:cs="Arial"/>
        </w:rPr>
        <w:t xml:space="preserve"> účtu </w:t>
      </w:r>
      <w:r w:rsidRPr="00D71574">
        <w:rPr>
          <w:rFonts w:cs="Arial"/>
        </w:rPr>
        <w:t xml:space="preserve">331 – </w:t>
      </w:r>
      <w:r w:rsidRPr="00AF66F2">
        <w:rPr>
          <w:rFonts w:cs="Arial"/>
          <w:i/>
        </w:rPr>
        <w:t>Zaměstnanci</w:t>
      </w:r>
      <w:r>
        <w:rPr>
          <w:rFonts w:cs="Arial"/>
          <w:i/>
        </w:rPr>
        <w:t xml:space="preserve">. </w:t>
      </w:r>
      <w:r w:rsidRPr="00B651A7">
        <w:rPr>
          <w:rFonts w:cs="Arial"/>
        </w:rPr>
        <w:t>MMR zvoleným postupem nadhodnotilo zůstatek účtu</w:t>
      </w:r>
      <w:r w:rsidR="00380E23">
        <w:rPr>
          <w:rFonts w:cs="Arial"/>
        </w:rPr>
        <w:t xml:space="preserve"> </w:t>
      </w:r>
      <w:r w:rsidRPr="00D71574">
        <w:rPr>
          <w:rFonts w:cs="Arial"/>
        </w:rPr>
        <w:t xml:space="preserve">333 – </w:t>
      </w:r>
      <w:r w:rsidRPr="00AF66F2">
        <w:rPr>
          <w:rFonts w:cs="Arial"/>
          <w:i/>
        </w:rPr>
        <w:t>Jiné závazky vůči zaměstnancům</w:t>
      </w:r>
      <w:r>
        <w:rPr>
          <w:rFonts w:cs="Arial"/>
          <w:i/>
        </w:rPr>
        <w:t xml:space="preserve"> a </w:t>
      </w:r>
      <w:r w:rsidRPr="00B651A7">
        <w:rPr>
          <w:rFonts w:cs="Arial"/>
        </w:rPr>
        <w:t>podhodnotilo zůstatek účtu</w:t>
      </w:r>
      <w:r>
        <w:rPr>
          <w:rFonts w:cs="Arial"/>
          <w:i/>
        </w:rPr>
        <w:t xml:space="preserve"> </w:t>
      </w:r>
      <w:r w:rsidRPr="00D71574">
        <w:rPr>
          <w:rFonts w:cs="Arial"/>
        </w:rPr>
        <w:t xml:space="preserve">331 – </w:t>
      </w:r>
      <w:r>
        <w:rPr>
          <w:rFonts w:cs="Arial"/>
          <w:i/>
        </w:rPr>
        <w:t xml:space="preserve">Zaměstnanci </w:t>
      </w:r>
      <w:r w:rsidRPr="00B651A7">
        <w:rPr>
          <w:rFonts w:cs="Arial"/>
        </w:rPr>
        <w:t>o 16,5 mil. Kč</w:t>
      </w:r>
      <w:r>
        <w:rPr>
          <w:rFonts w:cs="Arial"/>
          <w:i/>
        </w:rPr>
        <w:t>.</w:t>
      </w:r>
    </w:p>
    <w:p w:rsidR="00811154" w:rsidRPr="00811154" w:rsidRDefault="00811154" w:rsidP="007113E1">
      <w:pPr>
        <w:ind w:firstLine="0"/>
      </w:pPr>
    </w:p>
    <w:p w:rsidR="006D73D4" w:rsidRPr="007113E1" w:rsidRDefault="006D73D4" w:rsidP="007113E1">
      <w:pPr>
        <w:ind w:firstLine="0"/>
        <w:rPr>
          <w:b/>
        </w:rPr>
      </w:pPr>
      <w:r w:rsidRPr="007113E1">
        <w:rPr>
          <w:b/>
        </w:rPr>
        <w:t>1.</w:t>
      </w:r>
      <w:r w:rsidR="00211884" w:rsidRPr="007113E1">
        <w:rPr>
          <w:b/>
        </w:rPr>
        <w:t>1</w:t>
      </w:r>
      <w:r w:rsidRPr="007113E1">
        <w:rPr>
          <w:b/>
        </w:rPr>
        <w:t>.1.</w:t>
      </w:r>
      <w:r w:rsidR="00BB1B8F">
        <w:rPr>
          <w:b/>
        </w:rPr>
        <w:t>5</w:t>
      </w:r>
      <w:r w:rsidRPr="007113E1">
        <w:rPr>
          <w:b/>
        </w:rPr>
        <w:t xml:space="preserve"> Náklady </w:t>
      </w:r>
    </w:p>
    <w:p w:rsidR="009D3529" w:rsidRDefault="009D3529" w:rsidP="007113E1">
      <w:pPr>
        <w:ind w:firstLine="0"/>
      </w:pPr>
    </w:p>
    <w:p w:rsidR="009D3529" w:rsidRPr="009D3529" w:rsidRDefault="00E23EA4" w:rsidP="009D3529">
      <w:pPr>
        <w:ind w:firstLine="0"/>
        <w:rPr>
          <w:b/>
        </w:rPr>
      </w:pPr>
      <w:r>
        <w:rPr>
          <w:b/>
        </w:rPr>
        <w:t>Nezobrazení nákladů do období, s nímž časově</w:t>
      </w:r>
      <w:r w:rsidR="00211884">
        <w:rPr>
          <w:b/>
        </w:rPr>
        <w:t xml:space="preserve"> a věcně</w:t>
      </w:r>
      <w:r>
        <w:rPr>
          <w:b/>
        </w:rPr>
        <w:t xml:space="preserve"> souvisejí</w:t>
      </w:r>
    </w:p>
    <w:p w:rsidR="00C941B3" w:rsidRPr="007113E1" w:rsidRDefault="00C941B3" w:rsidP="00C941B3">
      <w:pPr>
        <w:ind w:firstLine="0"/>
      </w:pPr>
    </w:p>
    <w:p w:rsidR="006D7A51" w:rsidRPr="006D7A51" w:rsidRDefault="006D7A51" w:rsidP="006D7A51">
      <w:pPr>
        <w:ind w:firstLine="0"/>
        <w:rPr>
          <w:rFonts w:cs="Arial"/>
          <w:szCs w:val="22"/>
        </w:rPr>
      </w:pPr>
      <w:r w:rsidRPr="006D7A51">
        <w:rPr>
          <w:rFonts w:cs="Arial"/>
          <w:szCs w:val="22"/>
        </w:rPr>
        <w:t>MMR nezaúčtovalo faktury ve výši 2</w:t>
      </w:r>
      <w:r>
        <w:rPr>
          <w:rFonts w:cs="Arial"/>
          <w:szCs w:val="22"/>
        </w:rPr>
        <w:t xml:space="preserve">,5 mil. </w:t>
      </w:r>
      <w:r w:rsidRPr="006D7A51">
        <w:rPr>
          <w:rFonts w:cs="Arial"/>
          <w:szCs w:val="22"/>
        </w:rPr>
        <w:t>Kč za služby za měsíc prosinec 2011 do správného účetního období, přestože uvedená plnění v jednotlivém případě přesahovala hladinu významnosti, kterou si MMR pro časové rozlišení stanovilo ve svém vnitřním předpisu.</w:t>
      </w:r>
      <w:r w:rsidR="00C67D69">
        <w:rPr>
          <w:rFonts w:cs="Arial"/>
          <w:szCs w:val="22"/>
        </w:rPr>
        <w:t xml:space="preserve"> </w:t>
      </w:r>
      <w:r w:rsidRPr="00B46D7E">
        <w:t>Obdobné případy byly nalezeny na počátku účetního období 2013, které mělo MMR zobrazit jako náklad časově a věcně související s účetním obdobím roku 2012.</w:t>
      </w:r>
    </w:p>
    <w:p w:rsidR="006D73D4" w:rsidRPr="007113E1" w:rsidRDefault="006D73D4" w:rsidP="003E0FDC">
      <w:pPr>
        <w:ind w:firstLine="0"/>
      </w:pPr>
    </w:p>
    <w:p w:rsidR="006D73D4" w:rsidRPr="007113E1" w:rsidRDefault="006D73D4" w:rsidP="007113E1">
      <w:pPr>
        <w:ind w:firstLine="0"/>
        <w:rPr>
          <w:b/>
        </w:rPr>
      </w:pPr>
      <w:r w:rsidRPr="007113E1">
        <w:rPr>
          <w:b/>
        </w:rPr>
        <w:t>1.</w:t>
      </w:r>
      <w:r w:rsidR="00746DD1" w:rsidRPr="007113E1">
        <w:rPr>
          <w:b/>
        </w:rPr>
        <w:t>1</w:t>
      </w:r>
      <w:r w:rsidRPr="007113E1">
        <w:rPr>
          <w:b/>
        </w:rPr>
        <w:t>.1.</w:t>
      </w:r>
      <w:r w:rsidR="00BB1B8F">
        <w:rPr>
          <w:b/>
        </w:rPr>
        <w:t>6</w:t>
      </w:r>
      <w:r w:rsidRPr="007113E1">
        <w:rPr>
          <w:b/>
        </w:rPr>
        <w:t xml:space="preserve"> Podrozvaha</w:t>
      </w:r>
    </w:p>
    <w:p w:rsidR="006D73D4" w:rsidRPr="007113E1" w:rsidRDefault="006D73D4" w:rsidP="00C941B3">
      <w:pPr>
        <w:ind w:firstLine="0"/>
      </w:pPr>
    </w:p>
    <w:p w:rsidR="006D73D4" w:rsidRDefault="003E2AE8" w:rsidP="00C941B3">
      <w:pPr>
        <w:ind w:firstLine="0"/>
        <w:rPr>
          <w:b/>
        </w:rPr>
      </w:pPr>
      <w:r>
        <w:rPr>
          <w:b/>
        </w:rPr>
        <w:t>Nesprávné vykázání zástavních práv</w:t>
      </w:r>
    </w:p>
    <w:p w:rsidR="003E2AE8" w:rsidRPr="007113E1" w:rsidRDefault="003E2AE8" w:rsidP="00C941B3">
      <w:pPr>
        <w:ind w:firstLine="0"/>
      </w:pPr>
    </w:p>
    <w:p w:rsidR="003E2AE8" w:rsidRPr="00AE552D" w:rsidRDefault="003E2AE8" w:rsidP="00174E2F">
      <w:pPr>
        <w:ind w:firstLine="0"/>
        <w:rPr>
          <w:rFonts w:cs="Arial"/>
          <w:color w:val="000000" w:themeColor="text1"/>
        </w:rPr>
      </w:pPr>
      <w:r w:rsidRPr="00AE552D">
        <w:rPr>
          <w:rFonts w:cs="Arial"/>
          <w:color w:val="000000" w:themeColor="text1"/>
        </w:rPr>
        <w:t>MMR</w:t>
      </w:r>
      <w:r w:rsidR="007C7211">
        <w:rPr>
          <w:rFonts w:cs="Arial"/>
          <w:color w:val="000000" w:themeColor="text1"/>
        </w:rPr>
        <w:t xml:space="preserve"> v </w:t>
      </w:r>
      <w:r w:rsidR="00B82A22">
        <w:rPr>
          <w:rFonts w:cs="Arial"/>
          <w:color w:val="000000" w:themeColor="text1"/>
        </w:rPr>
        <w:t>p</w:t>
      </w:r>
      <w:r w:rsidR="007C7211">
        <w:rPr>
          <w:rFonts w:cs="Arial"/>
          <w:color w:val="000000" w:themeColor="text1"/>
        </w:rPr>
        <w:t>říloze účetní závěrky</w:t>
      </w:r>
      <w:r w:rsidRPr="00AE552D">
        <w:rPr>
          <w:rFonts w:cs="Arial"/>
          <w:color w:val="000000" w:themeColor="text1"/>
        </w:rPr>
        <w:t xml:space="preserve"> k 31. </w:t>
      </w:r>
      <w:r w:rsidR="00D264C0">
        <w:rPr>
          <w:rFonts w:cs="Arial"/>
          <w:color w:val="000000" w:themeColor="text1"/>
        </w:rPr>
        <w:t xml:space="preserve">prosinci </w:t>
      </w:r>
      <w:r w:rsidRPr="00AE552D">
        <w:rPr>
          <w:rFonts w:cs="Arial"/>
          <w:color w:val="000000" w:themeColor="text1"/>
        </w:rPr>
        <w:t xml:space="preserve">2012 vykázalo zástavní práva z titulu poskytnutých investičních dotací na účtu </w:t>
      </w:r>
      <w:r w:rsidRPr="00D71574">
        <w:rPr>
          <w:rFonts w:cs="Arial"/>
          <w:color w:val="000000" w:themeColor="text1"/>
        </w:rPr>
        <w:t xml:space="preserve">903 – </w:t>
      </w:r>
      <w:r w:rsidRPr="00243EFA">
        <w:rPr>
          <w:rFonts w:cs="Arial"/>
          <w:i/>
          <w:color w:val="000000" w:themeColor="text1"/>
        </w:rPr>
        <w:t>Ostatní majetek</w:t>
      </w:r>
      <w:r w:rsidRPr="00AE552D">
        <w:rPr>
          <w:rFonts w:cs="Arial"/>
          <w:color w:val="000000" w:themeColor="text1"/>
        </w:rPr>
        <w:t>, ačkoliv</w:t>
      </w:r>
      <w:r w:rsidR="00AE552D" w:rsidRPr="00AE552D">
        <w:rPr>
          <w:rFonts w:cs="Arial"/>
          <w:color w:val="000000" w:themeColor="text1"/>
        </w:rPr>
        <w:t xml:space="preserve"> v souladu s vyhláškou č.</w:t>
      </w:r>
      <w:r w:rsidR="00226A1C">
        <w:rPr>
          <w:rFonts w:cs="Arial"/>
          <w:color w:val="000000" w:themeColor="text1"/>
        </w:rPr>
        <w:t> </w:t>
      </w:r>
      <w:r w:rsidR="00AE552D" w:rsidRPr="00AE552D">
        <w:rPr>
          <w:rFonts w:cs="Arial"/>
          <w:color w:val="000000" w:themeColor="text1"/>
        </w:rPr>
        <w:t>410/2009</w:t>
      </w:r>
      <w:r w:rsidR="00226A1C">
        <w:rPr>
          <w:rFonts w:cs="Arial"/>
          <w:color w:val="000000" w:themeColor="text1"/>
        </w:rPr>
        <w:t> </w:t>
      </w:r>
      <w:r w:rsidR="00AE552D" w:rsidRPr="00AE552D">
        <w:rPr>
          <w:rFonts w:cs="Arial"/>
          <w:color w:val="000000" w:themeColor="text1"/>
        </w:rPr>
        <w:t xml:space="preserve">Sb. měla být zástavní práva vykázána na účtu </w:t>
      </w:r>
      <w:r w:rsidR="00AE552D" w:rsidRPr="00D71574">
        <w:rPr>
          <w:rFonts w:cs="Arial"/>
          <w:bCs/>
          <w:iCs/>
          <w:szCs w:val="22"/>
        </w:rPr>
        <w:t xml:space="preserve">945 – </w:t>
      </w:r>
      <w:r w:rsidR="00AE552D" w:rsidRPr="00AE552D">
        <w:rPr>
          <w:rFonts w:cs="Arial"/>
          <w:bCs/>
          <w:i/>
          <w:iCs/>
          <w:szCs w:val="22"/>
        </w:rPr>
        <w:t xml:space="preserve">Dlouhodobé </w:t>
      </w:r>
      <w:r w:rsidR="00AE552D" w:rsidRPr="00AE552D">
        <w:rPr>
          <w:bCs/>
          <w:i/>
          <w:iCs/>
          <w:szCs w:val="22"/>
        </w:rPr>
        <w:t>podmíněné úhrady pohledávek z přijatých zajištění</w:t>
      </w:r>
      <w:r w:rsidR="00AE552D" w:rsidRPr="00D71574">
        <w:rPr>
          <w:bCs/>
          <w:iCs/>
          <w:szCs w:val="22"/>
        </w:rPr>
        <w:t>.</w:t>
      </w:r>
      <w:r w:rsidR="00AE552D">
        <w:rPr>
          <w:bCs/>
          <w:i/>
          <w:iCs/>
          <w:szCs w:val="22"/>
        </w:rPr>
        <w:t xml:space="preserve"> </w:t>
      </w:r>
      <w:r w:rsidRPr="00AE552D">
        <w:rPr>
          <w:rFonts w:cs="Arial"/>
          <w:szCs w:val="22"/>
        </w:rPr>
        <w:t xml:space="preserve">MMR dále neúčtovalo o </w:t>
      </w:r>
      <w:r w:rsidRPr="00AE552D">
        <w:rPr>
          <w:rFonts w:cs="Arial"/>
        </w:rPr>
        <w:t>zástavních právech z titulu poskytnutých investičních dotací v plné výši, která vyplývala z uzavřených zástavních smluv,</w:t>
      </w:r>
      <w:r w:rsidR="001B471D">
        <w:rPr>
          <w:rFonts w:cs="Arial"/>
        </w:rPr>
        <w:t xml:space="preserve"> a</w:t>
      </w:r>
      <w:r w:rsidRPr="00AE552D">
        <w:rPr>
          <w:rFonts w:cs="Arial"/>
        </w:rPr>
        <w:t xml:space="preserve"> ve svém účetnictví zobrazilo částku o 1</w:t>
      </w:r>
      <w:r w:rsidR="00243EFA">
        <w:rPr>
          <w:rFonts w:cs="Arial"/>
        </w:rPr>
        <w:t>,</w:t>
      </w:r>
      <w:r w:rsidRPr="00AE552D">
        <w:rPr>
          <w:rFonts w:cs="Arial"/>
        </w:rPr>
        <w:t>28</w:t>
      </w:r>
      <w:r w:rsidR="00243EFA">
        <w:rPr>
          <w:rFonts w:cs="Arial"/>
        </w:rPr>
        <w:t xml:space="preserve"> mil. Kč</w:t>
      </w:r>
      <w:r w:rsidRPr="00AE552D">
        <w:rPr>
          <w:rFonts w:cs="Arial"/>
        </w:rPr>
        <w:t xml:space="preserve"> nižší. </w:t>
      </w:r>
      <w:r w:rsidR="00243EFA">
        <w:rPr>
          <w:rFonts w:cs="Arial"/>
        </w:rPr>
        <w:t xml:space="preserve">MMR tímto </w:t>
      </w:r>
      <w:r w:rsidR="00926BD9">
        <w:rPr>
          <w:rFonts w:cs="Arial"/>
        </w:rPr>
        <w:t>zobrazením</w:t>
      </w:r>
      <w:r w:rsidR="00243EFA">
        <w:rPr>
          <w:rFonts w:cs="Arial"/>
        </w:rPr>
        <w:t xml:space="preserve"> nadhodnotilo zůstatek účtu </w:t>
      </w:r>
      <w:r w:rsidR="00243EFA" w:rsidRPr="00D71574">
        <w:rPr>
          <w:rFonts w:cs="Arial"/>
          <w:color w:val="000000" w:themeColor="text1"/>
        </w:rPr>
        <w:t xml:space="preserve">903 – </w:t>
      </w:r>
      <w:r w:rsidR="00243EFA" w:rsidRPr="00243EFA">
        <w:rPr>
          <w:rFonts w:cs="Arial"/>
          <w:i/>
          <w:color w:val="000000" w:themeColor="text1"/>
        </w:rPr>
        <w:t>Ostatní majetek</w:t>
      </w:r>
      <w:r w:rsidR="00C67D69">
        <w:rPr>
          <w:rFonts w:cs="Arial"/>
          <w:i/>
          <w:color w:val="000000" w:themeColor="text1"/>
        </w:rPr>
        <w:t xml:space="preserve"> </w:t>
      </w:r>
      <w:r w:rsidR="00243EFA" w:rsidRPr="00243EFA">
        <w:rPr>
          <w:rFonts w:cs="Arial"/>
          <w:color w:val="000000" w:themeColor="text1"/>
        </w:rPr>
        <w:t>o 9,511 mld. Kč</w:t>
      </w:r>
      <w:r w:rsidR="00243EFA">
        <w:rPr>
          <w:rFonts w:cs="Arial"/>
          <w:i/>
          <w:color w:val="000000" w:themeColor="text1"/>
        </w:rPr>
        <w:t xml:space="preserve"> a</w:t>
      </w:r>
      <w:r w:rsidR="00D264C0">
        <w:rPr>
          <w:rFonts w:cs="Arial"/>
          <w:i/>
          <w:color w:val="000000" w:themeColor="text1"/>
        </w:rPr>
        <w:t> </w:t>
      </w:r>
      <w:r w:rsidR="00243EFA">
        <w:rPr>
          <w:rFonts w:cs="Arial"/>
        </w:rPr>
        <w:t xml:space="preserve">podhodnotilo zůstatek účtu </w:t>
      </w:r>
      <w:r w:rsidR="00243EFA" w:rsidRPr="00D71574">
        <w:rPr>
          <w:rFonts w:cs="Arial"/>
        </w:rPr>
        <w:t>945</w:t>
      </w:r>
      <w:r w:rsidR="00C67D69" w:rsidRPr="00D71574">
        <w:rPr>
          <w:rFonts w:cs="Arial"/>
        </w:rPr>
        <w:t xml:space="preserve"> </w:t>
      </w:r>
      <w:r w:rsidR="00243EFA" w:rsidRPr="00D71574">
        <w:rPr>
          <w:rFonts w:cs="Arial"/>
          <w:bCs/>
          <w:iCs/>
          <w:szCs w:val="22"/>
        </w:rPr>
        <w:t xml:space="preserve">– </w:t>
      </w:r>
      <w:r w:rsidR="00243EFA" w:rsidRPr="00AE552D">
        <w:rPr>
          <w:rFonts w:cs="Arial"/>
          <w:bCs/>
          <w:i/>
          <w:iCs/>
          <w:szCs w:val="22"/>
        </w:rPr>
        <w:t xml:space="preserve">Dlouhodobé </w:t>
      </w:r>
      <w:r w:rsidR="00243EFA" w:rsidRPr="00AE552D">
        <w:rPr>
          <w:bCs/>
          <w:i/>
          <w:iCs/>
          <w:szCs w:val="22"/>
        </w:rPr>
        <w:t>podmíněné úhrady pohledávek z přijatých zajištění</w:t>
      </w:r>
      <w:r w:rsidR="00C67D69">
        <w:rPr>
          <w:bCs/>
          <w:i/>
          <w:iCs/>
          <w:szCs w:val="22"/>
        </w:rPr>
        <w:t xml:space="preserve"> </w:t>
      </w:r>
      <w:r w:rsidR="00243EFA" w:rsidRPr="00243EFA">
        <w:rPr>
          <w:bCs/>
          <w:iCs/>
          <w:szCs w:val="22"/>
        </w:rPr>
        <w:t>o</w:t>
      </w:r>
      <w:r w:rsidR="00243EFA">
        <w:rPr>
          <w:bCs/>
          <w:iCs/>
          <w:szCs w:val="22"/>
        </w:rPr>
        <w:t xml:space="preserve"> 9,512</w:t>
      </w:r>
      <w:r w:rsidR="00C67D69">
        <w:rPr>
          <w:bCs/>
          <w:iCs/>
          <w:szCs w:val="22"/>
        </w:rPr>
        <w:t xml:space="preserve"> </w:t>
      </w:r>
      <w:r w:rsidR="00243EFA">
        <w:rPr>
          <w:bCs/>
          <w:iCs/>
          <w:szCs w:val="22"/>
        </w:rPr>
        <w:t xml:space="preserve">mld. Kč. </w:t>
      </w:r>
    </w:p>
    <w:p w:rsidR="003E2AE8" w:rsidRPr="007113E1" w:rsidRDefault="003E2AE8" w:rsidP="00C941B3">
      <w:pPr>
        <w:ind w:firstLine="0"/>
      </w:pPr>
    </w:p>
    <w:p w:rsidR="006D73D4" w:rsidRDefault="006D73D4" w:rsidP="00C941B3">
      <w:pPr>
        <w:ind w:firstLine="0"/>
        <w:rPr>
          <w:b/>
        </w:rPr>
      </w:pPr>
      <w:r>
        <w:rPr>
          <w:b/>
        </w:rPr>
        <w:t>Neúčtování o podmíněných pohledávkách z uzavřených nájemních smluv</w:t>
      </w:r>
    </w:p>
    <w:p w:rsidR="007113E1" w:rsidRDefault="007113E1" w:rsidP="007113E1">
      <w:pPr>
        <w:ind w:firstLine="0"/>
        <w:rPr>
          <w:rFonts w:cs="Arial"/>
          <w:szCs w:val="22"/>
          <w:lang w:eastAsia="cs-CZ"/>
        </w:rPr>
      </w:pPr>
    </w:p>
    <w:p w:rsidR="00E67883" w:rsidRDefault="00C924A6" w:rsidP="007113E1">
      <w:pPr>
        <w:ind w:firstLine="0"/>
        <w:rPr>
          <w:bCs/>
          <w:iCs/>
        </w:rPr>
      </w:pPr>
      <w:r w:rsidRPr="00926BD9">
        <w:rPr>
          <w:rFonts w:cs="Arial"/>
          <w:szCs w:val="22"/>
          <w:lang w:eastAsia="cs-CZ"/>
        </w:rPr>
        <w:t xml:space="preserve">Na vybraném vzorku nájemních smluv platných a účinných v roce 2012 bylo zjištěno, že MMR v roce 2012 </w:t>
      </w:r>
      <w:r w:rsidR="00E67883" w:rsidRPr="00926BD9">
        <w:rPr>
          <w:rFonts w:cs="Arial"/>
          <w:szCs w:val="22"/>
          <w:lang w:eastAsia="cs-CZ"/>
        </w:rPr>
        <w:t>ne</w:t>
      </w:r>
      <w:r w:rsidRPr="00926BD9">
        <w:rPr>
          <w:rFonts w:cs="Arial"/>
          <w:szCs w:val="22"/>
          <w:lang w:eastAsia="cs-CZ"/>
        </w:rPr>
        <w:t>účtovalo o dlouhodobých podmíněných pohledávkách</w:t>
      </w:r>
      <w:r w:rsidR="00E67883" w:rsidRPr="00926BD9">
        <w:rPr>
          <w:rFonts w:cs="Arial"/>
          <w:szCs w:val="22"/>
          <w:lang w:eastAsia="cs-CZ"/>
        </w:rPr>
        <w:t xml:space="preserve"> vyplývajících z uzavřených nájemních smluv, z kterých v souladu s vyhláškou č. 410/2009 Sb. </w:t>
      </w:r>
      <w:r w:rsidRPr="00926BD9">
        <w:rPr>
          <w:rFonts w:cs="Arial"/>
          <w:szCs w:val="22"/>
          <w:lang w:eastAsia="cs-CZ"/>
        </w:rPr>
        <w:t>plynula</w:t>
      </w:r>
      <w:r w:rsidR="00E67883" w:rsidRPr="00926BD9">
        <w:rPr>
          <w:rFonts w:cs="Arial"/>
          <w:szCs w:val="22"/>
          <w:lang w:eastAsia="cs-CZ"/>
        </w:rPr>
        <w:t xml:space="preserve"> MMR </w:t>
      </w:r>
      <w:r w:rsidRPr="00926BD9">
        <w:rPr>
          <w:rFonts w:cs="Arial"/>
          <w:szCs w:val="22"/>
          <w:lang w:eastAsia="cs-CZ"/>
        </w:rPr>
        <w:t xml:space="preserve">povinnost účtovat o podmíněné pohledávce. </w:t>
      </w:r>
      <w:r w:rsidR="00E67883" w:rsidRPr="00926BD9">
        <w:rPr>
          <w:rFonts w:cs="Arial"/>
          <w:szCs w:val="22"/>
          <w:lang w:eastAsia="cs-CZ"/>
        </w:rPr>
        <w:t xml:space="preserve">MMR tímto </w:t>
      </w:r>
      <w:r w:rsidR="00E67883" w:rsidRPr="00926BD9">
        <w:rPr>
          <w:color w:val="000000"/>
          <w:szCs w:val="22"/>
        </w:rPr>
        <w:t xml:space="preserve">podhodnotilo zůstatek účtu </w:t>
      </w:r>
      <w:r w:rsidR="00E67883" w:rsidRPr="00D71574">
        <w:rPr>
          <w:color w:val="000000"/>
          <w:szCs w:val="22"/>
        </w:rPr>
        <w:t xml:space="preserve">934 – </w:t>
      </w:r>
      <w:r w:rsidR="00E67883" w:rsidRPr="00926BD9">
        <w:rPr>
          <w:i/>
          <w:color w:val="000000"/>
          <w:szCs w:val="22"/>
        </w:rPr>
        <w:t>Dlouhodobé podmíněné pohledávky z jiných smluv</w:t>
      </w:r>
      <w:r w:rsidR="00E67883" w:rsidRPr="00926BD9">
        <w:rPr>
          <w:color w:val="000000"/>
          <w:szCs w:val="22"/>
        </w:rPr>
        <w:t xml:space="preserve"> o </w:t>
      </w:r>
      <w:r w:rsidR="00E67883" w:rsidRPr="00926BD9">
        <w:rPr>
          <w:bCs/>
          <w:iCs/>
        </w:rPr>
        <w:t>144,4 mil. Kč.</w:t>
      </w:r>
    </w:p>
    <w:p w:rsidR="00AC4A3F" w:rsidRDefault="00AC4A3F" w:rsidP="003E0FDC">
      <w:pPr>
        <w:ind w:firstLine="0"/>
        <w:rPr>
          <w:bCs/>
          <w:iCs/>
        </w:rPr>
      </w:pPr>
    </w:p>
    <w:p w:rsidR="006D73D4" w:rsidRDefault="006D73D4" w:rsidP="00C941B3">
      <w:pPr>
        <w:ind w:firstLine="0"/>
        <w:contextualSpacing/>
        <w:rPr>
          <w:b/>
        </w:rPr>
      </w:pPr>
      <w:r>
        <w:rPr>
          <w:b/>
        </w:rPr>
        <w:t xml:space="preserve">Neúčtování o podmíněných závazcích z uzavřených smluv s dodavateli </w:t>
      </w:r>
    </w:p>
    <w:p w:rsidR="009D3529" w:rsidRPr="007113E1" w:rsidRDefault="009D3529" w:rsidP="00C941B3">
      <w:pPr>
        <w:ind w:firstLine="0"/>
      </w:pPr>
    </w:p>
    <w:p w:rsidR="00926BD9" w:rsidRDefault="00926BD9" w:rsidP="00926BD9">
      <w:pPr>
        <w:autoSpaceDE w:val="0"/>
        <w:autoSpaceDN w:val="0"/>
        <w:adjustRightInd w:val="0"/>
        <w:ind w:firstLine="0"/>
        <w:contextualSpacing/>
        <w:rPr>
          <w:color w:val="000000"/>
          <w:szCs w:val="22"/>
        </w:rPr>
      </w:pPr>
      <w:r w:rsidRPr="00C02D89">
        <w:rPr>
          <w:rFonts w:cs="Arial"/>
          <w:szCs w:val="22"/>
          <w:lang w:eastAsia="cs-CZ"/>
        </w:rPr>
        <w:t>Na vzorku vybraných smluv</w:t>
      </w:r>
      <w:r>
        <w:rPr>
          <w:rFonts w:cs="Arial"/>
          <w:szCs w:val="22"/>
          <w:lang w:eastAsia="cs-CZ"/>
        </w:rPr>
        <w:t xml:space="preserve"> platných a účinných v roce 2012, které MMR uzavřelo se svými dodavateli v kontrolovaném období či v předchozích účetních obdobích, </w:t>
      </w:r>
      <w:r w:rsidRPr="00C02D89">
        <w:rPr>
          <w:rFonts w:cs="Arial"/>
          <w:szCs w:val="22"/>
          <w:lang w:eastAsia="cs-CZ"/>
        </w:rPr>
        <w:t xml:space="preserve">bylo </w:t>
      </w:r>
      <w:r w:rsidR="00A74166">
        <w:rPr>
          <w:rFonts w:cs="Arial"/>
          <w:szCs w:val="22"/>
          <w:lang w:eastAsia="cs-CZ"/>
        </w:rPr>
        <w:t xml:space="preserve">zjištěno, že ministerstvo neúčtovalo </w:t>
      </w:r>
      <w:r w:rsidRPr="00C02D89">
        <w:rPr>
          <w:rFonts w:cs="Arial"/>
          <w:szCs w:val="22"/>
          <w:lang w:eastAsia="cs-CZ"/>
        </w:rPr>
        <w:t>o dlouhodobých podmíněných závazcích</w:t>
      </w:r>
      <w:r w:rsidR="00C67D69">
        <w:rPr>
          <w:rFonts w:cs="Arial"/>
          <w:szCs w:val="22"/>
          <w:lang w:eastAsia="cs-CZ"/>
        </w:rPr>
        <w:t xml:space="preserve"> </w:t>
      </w:r>
      <w:r w:rsidR="00423D72">
        <w:rPr>
          <w:rFonts w:cs="Arial"/>
          <w:szCs w:val="22"/>
          <w:lang w:eastAsia="cs-CZ"/>
        </w:rPr>
        <w:t xml:space="preserve">z nich </w:t>
      </w:r>
      <w:r>
        <w:rPr>
          <w:rFonts w:cs="Arial"/>
          <w:szCs w:val="22"/>
          <w:lang w:eastAsia="cs-CZ"/>
        </w:rPr>
        <w:t>plynoucích</w:t>
      </w:r>
      <w:r w:rsidR="00423D72">
        <w:rPr>
          <w:rFonts w:cs="Arial"/>
          <w:szCs w:val="22"/>
          <w:lang w:eastAsia="cs-CZ"/>
        </w:rPr>
        <w:t>, ačkoliv</w:t>
      </w:r>
      <w:r w:rsidR="00C67D69">
        <w:rPr>
          <w:rFonts w:cs="Arial"/>
          <w:szCs w:val="22"/>
          <w:lang w:eastAsia="cs-CZ"/>
        </w:rPr>
        <w:t xml:space="preserve"> </w:t>
      </w:r>
      <w:r w:rsidR="0024202A">
        <w:rPr>
          <w:rFonts w:cs="Arial"/>
          <w:szCs w:val="22"/>
          <w:lang w:eastAsia="cs-CZ"/>
        </w:rPr>
        <w:t xml:space="preserve">v souladu s </w:t>
      </w:r>
      <w:r w:rsidR="0024202A" w:rsidRPr="00926BD9">
        <w:rPr>
          <w:rFonts w:cs="Arial"/>
          <w:szCs w:val="22"/>
          <w:lang w:eastAsia="cs-CZ"/>
        </w:rPr>
        <w:t>vyhláškou č. 410/2009 Sb.</w:t>
      </w:r>
      <w:r w:rsidR="0024202A">
        <w:rPr>
          <w:rFonts w:cs="Arial"/>
          <w:szCs w:val="22"/>
          <w:lang w:eastAsia="cs-CZ"/>
        </w:rPr>
        <w:t xml:space="preserve"> MMR</w:t>
      </w:r>
      <w:r w:rsidR="00423D72">
        <w:rPr>
          <w:rFonts w:cs="Arial"/>
          <w:szCs w:val="22"/>
          <w:lang w:eastAsia="cs-CZ"/>
        </w:rPr>
        <w:t xml:space="preserve"> z uzavřených smluv plynula</w:t>
      </w:r>
      <w:r w:rsidR="0024202A">
        <w:rPr>
          <w:rFonts w:cs="Arial"/>
          <w:szCs w:val="22"/>
          <w:lang w:eastAsia="cs-CZ"/>
        </w:rPr>
        <w:t xml:space="preserve"> povinnost účtovat o</w:t>
      </w:r>
      <w:r w:rsidR="003E0FDC">
        <w:rPr>
          <w:rFonts w:cs="Arial"/>
          <w:szCs w:val="22"/>
          <w:lang w:eastAsia="cs-CZ"/>
        </w:rPr>
        <w:t> </w:t>
      </w:r>
      <w:r w:rsidR="0024202A">
        <w:rPr>
          <w:rFonts w:cs="Arial"/>
          <w:szCs w:val="22"/>
          <w:lang w:eastAsia="cs-CZ"/>
        </w:rPr>
        <w:t xml:space="preserve">podmíněných závazcích. MMR tím podhodnotilo zůstatek účtu </w:t>
      </w:r>
      <w:r w:rsidR="0024202A" w:rsidRPr="00D71574">
        <w:rPr>
          <w:color w:val="000000"/>
          <w:szCs w:val="22"/>
        </w:rPr>
        <w:t xml:space="preserve">974 – </w:t>
      </w:r>
      <w:r w:rsidR="0024202A" w:rsidRPr="0024202A">
        <w:rPr>
          <w:i/>
          <w:color w:val="000000"/>
          <w:szCs w:val="22"/>
        </w:rPr>
        <w:t xml:space="preserve">Dlouhodobé podmíněné závazky z jiných smluv </w:t>
      </w:r>
      <w:r w:rsidR="0024202A" w:rsidRPr="0024202A">
        <w:rPr>
          <w:color w:val="000000"/>
          <w:szCs w:val="22"/>
        </w:rPr>
        <w:t>o 189 mil. Kč</w:t>
      </w:r>
      <w:r w:rsidR="00B82A22">
        <w:rPr>
          <w:color w:val="000000"/>
          <w:szCs w:val="22"/>
        </w:rPr>
        <w:t>.</w:t>
      </w:r>
    </w:p>
    <w:p w:rsidR="00D264C0" w:rsidRDefault="00D264C0" w:rsidP="00926BD9">
      <w:pPr>
        <w:autoSpaceDE w:val="0"/>
        <w:autoSpaceDN w:val="0"/>
        <w:adjustRightInd w:val="0"/>
        <w:ind w:firstLine="0"/>
        <w:contextualSpacing/>
        <w:rPr>
          <w:color w:val="000000"/>
          <w:szCs w:val="22"/>
        </w:rPr>
      </w:pPr>
    </w:p>
    <w:p w:rsidR="00F02EC5" w:rsidRPr="009E0368" w:rsidRDefault="00F02EC5" w:rsidP="00F02EC5">
      <w:pPr>
        <w:ind w:firstLine="0"/>
        <w:jc w:val="left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Nez</w:t>
      </w:r>
      <w:r w:rsidRPr="009E0368">
        <w:rPr>
          <w:rFonts w:cs="Arial"/>
          <w:b/>
          <w:bCs/>
          <w:iCs/>
        </w:rPr>
        <w:t>obrazení podmíněných závazků ze soudních sporů</w:t>
      </w:r>
    </w:p>
    <w:p w:rsidR="00F02EC5" w:rsidRDefault="00F02EC5" w:rsidP="00F02EC5">
      <w:pPr>
        <w:ind w:firstLine="0"/>
        <w:jc w:val="left"/>
        <w:rPr>
          <w:rFonts w:cs="Arial"/>
          <w:bCs/>
          <w:iCs/>
        </w:rPr>
      </w:pPr>
    </w:p>
    <w:p w:rsidR="003068DE" w:rsidRDefault="00F02EC5" w:rsidP="00F02EC5">
      <w:pPr>
        <w:ind w:firstLine="0"/>
        <w:rPr>
          <w:rFonts w:cs="Arial"/>
          <w:bCs/>
          <w:iCs/>
          <w:szCs w:val="22"/>
        </w:rPr>
      </w:pPr>
      <w:r>
        <w:rPr>
          <w:rFonts w:cs="Arial"/>
          <w:bCs/>
          <w:iCs/>
          <w:szCs w:val="22"/>
        </w:rPr>
        <w:t>Na vzorku vybraných soudních sporů, ve kterých bylo MMR stranou žalovanou, bylo zjištěno, že MMR neúčtovalo o podmíněném závazku z titulu soudních sporů, ačkoliv v</w:t>
      </w:r>
      <w:r w:rsidRPr="008C04EB">
        <w:rPr>
          <w:rFonts w:cs="Arial"/>
          <w:bCs/>
          <w:iCs/>
          <w:szCs w:val="22"/>
        </w:rPr>
        <w:t xml:space="preserve">ybrané soudní spory splňovaly podmínku významnosti stanovenou vnitřním předpisem </w:t>
      </w:r>
      <w:r>
        <w:rPr>
          <w:rFonts w:cs="Arial"/>
          <w:bCs/>
          <w:iCs/>
          <w:szCs w:val="22"/>
        </w:rPr>
        <w:t>ministerstva</w:t>
      </w:r>
      <w:r w:rsidRPr="008C04EB">
        <w:rPr>
          <w:rFonts w:cs="Arial"/>
          <w:bCs/>
          <w:iCs/>
          <w:szCs w:val="22"/>
        </w:rPr>
        <w:t>.</w:t>
      </w:r>
    </w:p>
    <w:p w:rsidR="00380E23" w:rsidRDefault="00380E23" w:rsidP="00F02EC5">
      <w:pPr>
        <w:ind w:firstLine="0"/>
        <w:rPr>
          <w:rFonts w:cs="Arial"/>
          <w:bCs/>
          <w:iCs/>
          <w:szCs w:val="22"/>
        </w:rPr>
      </w:pPr>
    </w:p>
    <w:p w:rsidR="007C7211" w:rsidRDefault="007C7211" w:rsidP="00380E23">
      <w:pPr>
        <w:ind w:firstLine="0"/>
        <w:jc w:val="left"/>
        <w:rPr>
          <w:rFonts w:cs="Arial"/>
          <w:b/>
          <w:szCs w:val="22"/>
          <w:lang w:eastAsia="cs-CZ"/>
        </w:rPr>
      </w:pPr>
      <w:r w:rsidRPr="007C7211">
        <w:rPr>
          <w:rFonts w:cs="Arial"/>
          <w:b/>
          <w:szCs w:val="22"/>
          <w:lang w:eastAsia="cs-CZ"/>
        </w:rPr>
        <w:lastRenderedPageBreak/>
        <w:t>1.</w:t>
      </w:r>
      <w:r w:rsidR="00746DD1">
        <w:rPr>
          <w:rFonts w:cs="Arial"/>
          <w:b/>
          <w:szCs w:val="22"/>
          <w:lang w:eastAsia="cs-CZ"/>
        </w:rPr>
        <w:t>1</w:t>
      </w:r>
      <w:r w:rsidRPr="007C7211">
        <w:rPr>
          <w:rFonts w:cs="Arial"/>
          <w:b/>
          <w:szCs w:val="22"/>
          <w:lang w:eastAsia="cs-CZ"/>
        </w:rPr>
        <w:t>.1.</w:t>
      </w:r>
      <w:r w:rsidR="00BB1B8F">
        <w:rPr>
          <w:rFonts w:cs="Arial"/>
          <w:b/>
          <w:szCs w:val="22"/>
          <w:lang w:eastAsia="cs-CZ"/>
        </w:rPr>
        <w:t>7</w:t>
      </w:r>
      <w:r w:rsidRPr="007C7211">
        <w:rPr>
          <w:rFonts w:cs="Arial"/>
          <w:b/>
          <w:szCs w:val="22"/>
          <w:lang w:eastAsia="cs-CZ"/>
        </w:rPr>
        <w:t xml:space="preserve"> Přehled o peněžních tocích</w:t>
      </w:r>
    </w:p>
    <w:p w:rsidR="006D7A51" w:rsidRPr="007113E1" w:rsidRDefault="006D7A51" w:rsidP="007C7211">
      <w:pPr>
        <w:autoSpaceDE w:val="0"/>
        <w:autoSpaceDN w:val="0"/>
        <w:adjustRightInd w:val="0"/>
        <w:ind w:firstLine="0"/>
        <w:rPr>
          <w:rFonts w:cs="Arial"/>
          <w:szCs w:val="22"/>
          <w:lang w:eastAsia="cs-CZ"/>
        </w:rPr>
      </w:pPr>
    </w:p>
    <w:p w:rsidR="00574E01" w:rsidRDefault="006D7A51" w:rsidP="00A92378">
      <w:pPr>
        <w:ind w:firstLine="0"/>
        <w:rPr>
          <w:bCs/>
          <w:iCs/>
        </w:rPr>
      </w:pPr>
      <w:r w:rsidRPr="00574E01">
        <w:rPr>
          <w:rFonts w:cs="Arial"/>
          <w:szCs w:val="22"/>
          <w:lang w:eastAsia="cs-CZ"/>
        </w:rPr>
        <w:t xml:space="preserve">V Přehledu o peněžních tocích vykázalo MMR na </w:t>
      </w:r>
      <w:proofErr w:type="gramStart"/>
      <w:r w:rsidRPr="00574E01">
        <w:rPr>
          <w:rFonts w:cs="Arial"/>
          <w:szCs w:val="22"/>
          <w:lang w:eastAsia="cs-CZ"/>
        </w:rPr>
        <w:t>položce</w:t>
      </w:r>
      <w:r w:rsidR="003068DE">
        <w:rPr>
          <w:rFonts w:cs="Arial"/>
          <w:szCs w:val="22"/>
          <w:lang w:eastAsia="cs-CZ"/>
        </w:rPr>
        <w:t xml:space="preserve"> </w:t>
      </w:r>
      <w:proofErr w:type="spellStart"/>
      <w:r w:rsidR="00574E01" w:rsidRPr="00574E01">
        <w:rPr>
          <w:bCs/>
          <w:i/>
          <w:iCs/>
        </w:rPr>
        <w:t>B.I</w:t>
      </w:r>
      <w:proofErr w:type="spellEnd"/>
      <w:r w:rsidR="00574E01" w:rsidRPr="00574E01">
        <w:rPr>
          <w:bCs/>
          <w:i/>
          <w:iCs/>
        </w:rPr>
        <w:t xml:space="preserve"> Výdaje</w:t>
      </w:r>
      <w:proofErr w:type="gramEnd"/>
      <w:r w:rsidR="00574E01" w:rsidRPr="00574E01">
        <w:rPr>
          <w:bCs/>
          <w:i/>
          <w:iCs/>
        </w:rPr>
        <w:t xml:space="preserve"> na pořízení dlouhodobých aktiv</w:t>
      </w:r>
      <w:r w:rsidR="00574E01" w:rsidRPr="00A2795A">
        <w:rPr>
          <w:bCs/>
          <w:iCs/>
        </w:rPr>
        <w:t xml:space="preserve"> rovněž výdaje na investiční transfery v celkové částce 23</w:t>
      </w:r>
      <w:r w:rsidR="00574E01">
        <w:rPr>
          <w:bCs/>
          <w:iCs/>
        </w:rPr>
        <w:t xml:space="preserve">,94 mil. </w:t>
      </w:r>
      <w:r w:rsidR="00574E01" w:rsidRPr="00A2795A">
        <w:rPr>
          <w:bCs/>
          <w:iCs/>
        </w:rPr>
        <w:t>Kč</w:t>
      </w:r>
      <w:r w:rsidR="00574E01">
        <w:rPr>
          <w:bCs/>
          <w:iCs/>
        </w:rPr>
        <w:t xml:space="preserve">, ačkoliv </w:t>
      </w:r>
      <w:r w:rsidR="00211884">
        <w:rPr>
          <w:bCs/>
          <w:iCs/>
        </w:rPr>
        <w:t xml:space="preserve">tyto výdaje </w:t>
      </w:r>
      <w:r w:rsidR="00574E01">
        <w:rPr>
          <w:bCs/>
          <w:iCs/>
        </w:rPr>
        <w:t>d</w:t>
      </w:r>
      <w:r w:rsidR="00574E01" w:rsidRPr="00A2795A">
        <w:rPr>
          <w:bCs/>
          <w:iCs/>
        </w:rPr>
        <w:t>le obsahové náplně na položku</w:t>
      </w:r>
      <w:r w:rsidR="003E048D">
        <w:rPr>
          <w:bCs/>
          <w:iCs/>
        </w:rPr>
        <w:t xml:space="preserve"> </w:t>
      </w:r>
      <w:proofErr w:type="spellStart"/>
      <w:r w:rsidR="00B41EF6" w:rsidRPr="00B41EF6">
        <w:rPr>
          <w:bCs/>
          <w:i/>
          <w:iCs/>
        </w:rPr>
        <w:t>B.I</w:t>
      </w:r>
      <w:proofErr w:type="spellEnd"/>
      <w:r w:rsidR="00574E01" w:rsidRPr="001C12E8">
        <w:rPr>
          <w:bCs/>
          <w:iCs/>
        </w:rPr>
        <w:t xml:space="preserve"> </w:t>
      </w:r>
      <w:r w:rsidR="00574E01">
        <w:rPr>
          <w:bCs/>
          <w:iCs/>
        </w:rPr>
        <w:t>nepatří.</w:t>
      </w:r>
    </w:p>
    <w:p w:rsidR="007113E1" w:rsidRPr="00A92378" w:rsidRDefault="007113E1" w:rsidP="00A92378">
      <w:pPr>
        <w:ind w:firstLine="0"/>
        <w:rPr>
          <w:rFonts w:cs="Arial"/>
          <w:szCs w:val="22"/>
        </w:rPr>
      </w:pPr>
    </w:p>
    <w:p w:rsidR="00B70CA0" w:rsidRDefault="00665F3E" w:rsidP="002862D2">
      <w:pPr>
        <w:ind w:firstLine="0"/>
        <w:rPr>
          <w:rFonts w:cs="Arial"/>
          <w:b/>
          <w:szCs w:val="22"/>
        </w:rPr>
      </w:pPr>
      <w:r w:rsidRPr="006A36D6">
        <w:rPr>
          <w:rFonts w:cs="Arial"/>
          <w:b/>
          <w:szCs w:val="22"/>
          <w:lang w:eastAsia="cs-CZ"/>
        </w:rPr>
        <w:t>1.</w:t>
      </w:r>
      <w:r w:rsidR="00746DD1">
        <w:rPr>
          <w:rFonts w:cs="Arial"/>
          <w:b/>
          <w:szCs w:val="22"/>
          <w:lang w:eastAsia="cs-CZ"/>
        </w:rPr>
        <w:t>2</w:t>
      </w:r>
      <w:r w:rsidRPr="006A36D6">
        <w:rPr>
          <w:rFonts w:cs="Arial"/>
          <w:b/>
          <w:szCs w:val="22"/>
          <w:lang w:eastAsia="cs-CZ"/>
        </w:rPr>
        <w:t xml:space="preserve"> </w:t>
      </w:r>
      <w:r w:rsidR="00F91804" w:rsidRPr="00C665F5">
        <w:rPr>
          <w:rFonts w:cs="Arial"/>
          <w:b/>
          <w:szCs w:val="22"/>
        </w:rPr>
        <w:t>Části účetní závěrky, které nejsou jednoznačně upraveny právními předpisy</w:t>
      </w:r>
    </w:p>
    <w:p w:rsidR="00665F3E" w:rsidRPr="007113E1" w:rsidRDefault="00665F3E" w:rsidP="007C7211">
      <w:pPr>
        <w:autoSpaceDE w:val="0"/>
        <w:autoSpaceDN w:val="0"/>
        <w:adjustRightInd w:val="0"/>
        <w:ind w:firstLine="0"/>
        <w:rPr>
          <w:rFonts w:cs="Arial"/>
          <w:szCs w:val="22"/>
          <w:lang w:eastAsia="cs-CZ"/>
        </w:rPr>
      </w:pPr>
    </w:p>
    <w:p w:rsidR="00B70CA0" w:rsidRDefault="00F91804" w:rsidP="002862D2">
      <w:pPr>
        <w:ind w:firstLine="0"/>
        <w:rPr>
          <w:rFonts w:cs="Arial"/>
          <w:b/>
          <w:szCs w:val="22"/>
        </w:rPr>
      </w:pPr>
      <w:r w:rsidRPr="00C665F5">
        <w:rPr>
          <w:rFonts w:cs="Arial"/>
          <w:b/>
          <w:szCs w:val="22"/>
        </w:rPr>
        <w:t>1.2.1 Transfery spolufinancované ze zahraničí</w:t>
      </w:r>
    </w:p>
    <w:p w:rsidR="00B70CA0" w:rsidRPr="007113E1" w:rsidRDefault="00B70CA0" w:rsidP="002862D2">
      <w:pPr>
        <w:ind w:firstLine="0"/>
        <w:rPr>
          <w:rFonts w:cs="Arial"/>
          <w:szCs w:val="22"/>
        </w:rPr>
      </w:pPr>
    </w:p>
    <w:p w:rsidR="00B70CA0" w:rsidRDefault="00F91804" w:rsidP="002862D2">
      <w:pPr>
        <w:ind w:firstLine="0"/>
        <w:rPr>
          <w:rFonts w:cs="Arial"/>
          <w:bCs/>
          <w:szCs w:val="22"/>
        </w:rPr>
      </w:pPr>
      <w:r w:rsidRPr="00C665F5">
        <w:rPr>
          <w:rFonts w:cs="Arial"/>
          <w:bCs/>
          <w:szCs w:val="22"/>
        </w:rPr>
        <w:t xml:space="preserve">Účtování a vykazování účetních případů týkajících se poskytování peněžních prostředků státního rozpočtu na předfinancování výdajů, které mají být kryty prostředky z rozpočtu EU, není ČÚS č. 703 jednoznačně </w:t>
      </w:r>
      <w:r w:rsidR="008B41FF">
        <w:rPr>
          <w:rFonts w:cs="Arial"/>
          <w:bCs/>
          <w:szCs w:val="22"/>
        </w:rPr>
        <w:t>upraveno</w:t>
      </w:r>
      <w:r w:rsidRPr="00C665F5">
        <w:rPr>
          <w:rFonts w:cs="Arial"/>
          <w:bCs/>
          <w:szCs w:val="22"/>
        </w:rPr>
        <w:t>, tj. není jednoznačně stanoveno, zda má být vybraná účetní jednotka v případě účtování transferů spolufinancovaných z EU v roli poskytovatele a příjemce, či v roli zprostředkovatele.</w:t>
      </w:r>
    </w:p>
    <w:p w:rsidR="00F91804" w:rsidRPr="00C665F5" w:rsidRDefault="00F91804" w:rsidP="007113E1">
      <w:pPr>
        <w:ind w:firstLine="0"/>
        <w:rPr>
          <w:rFonts w:cs="Arial"/>
          <w:bCs/>
          <w:szCs w:val="22"/>
        </w:rPr>
      </w:pPr>
    </w:p>
    <w:p w:rsidR="00B70CA0" w:rsidRDefault="00F91804" w:rsidP="002862D2">
      <w:pPr>
        <w:ind w:firstLine="0"/>
        <w:rPr>
          <w:rFonts w:cs="Arial"/>
          <w:b/>
          <w:bCs/>
          <w:szCs w:val="22"/>
        </w:rPr>
      </w:pPr>
      <w:r w:rsidRPr="00C665F5">
        <w:rPr>
          <w:rFonts w:cs="Arial"/>
          <w:b/>
          <w:bCs/>
          <w:szCs w:val="22"/>
        </w:rPr>
        <w:t>1.2.2 Přehled o změnách vlastního kapitálu</w:t>
      </w:r>
    </w:p>
    <w:p w:rsidR="00B70CA0" w:rsidRPr="007113E1" w:rsidRDefault="00B70CA0" w:rsidP="002862D2">
      <w:pPr>
        <w:ind w:firstLine="0"/>
        <w:rPr>
          <w:rFonts w:cs="Arial"/>
          <w:bCs/>
          <w:szCs w:val="22"/>
        </w:rPr>
      </w:pPr>
    </w:p>
    <w:p w:rsidR="00B70CA0" w:rsidRDefault="00F91804" w:rsidP="002862D2">
      <w:pPr>
        <w:ind w:firstLine="0"/>
        <w:rPr>
          <w:rFonts w:cs="Arial"/>
          <w:bCs/>
          <w:szCs w:val="22"/>
        </w:rPr>
      </w:pPr>
      <w:r w:rsidRPr="00C665F5">
        <w:rPr>
          <w:rFonts w:cs="Arial"/>
          <w:bCs/>
          <w:szCs w:val="22"/>
        </w:rPr>
        <w:t>Nejasn</w:t>
      </w:r>
      <w:r>
        <w:rPr>
          <w:rFonts w:cs="Arial"/>
          <w:bCs/>
          <w:szCs w:val="22"/>
        </w:rPr>
        <w:t xml:space="preserve">é znění </w:t>
      </w:r>
      <w:r w:rsidRPr="00C665F5">
        <w:rPr>
          <w:rFonts w:cs="Arial"/>
          <w:bCs/>
          <w:szCs w:val="22"/>
        </w:rPr>
        <w:t>vyhlášky č. 410/2009 Sb. v oblasti naplnění údajů o „zvýšení stavu“ či</w:t>
      </w:r>
      <w:r w:rsidR="001C12E8">
        <w:rPr>
          <w:rFonts w:cs="Arial"/>
          <w:bCs/>
          <w:szCs w:val="22"/>
        </w:rPr>
        <w:t xml:space="preserve"> </w:t>
      </w:r>
      <w:r w:rsidRPr="00C665F5">
        <w:rPr>
          <w:rFonts w:cs="Arial"/>
          <w:bCs/>
          <w:szCs w:val="22"/>
        </w:rPr>
        <w:t xml:space="preserve">„snížení stavu“ </w:t>
      </w:r>
      <w:proofErr w:type="gramStart"/>
      <w:r w:rsidRPr="00C665F5">
        <w:rPr>
          <w:rFonts w:cs="Arial"/>
          <w:bCs/>
          <w:szCs w:val="22"/>
        </w:rPr>
        <w:t xml:space="preserve">položek </w:t>
      </w:r>
      <w:r w:rsidRPr="00C665F5">
        <w:rPr>
          <w:rFonts w:cs="Arial"/>
          <w:bCs/>
          <w:i/>
          <w:szCs w:val="22"/>
        </w:rPr>
        <w:t>B.</w:t>
      </w:r>
      <w:r w:rsidRPr="001C12E8">
        <w:rPr>
          <w:rFonts w:cs="Arial"/>
          <w:bCs/>
          <w:szCs w:val="22"/>
        </w:rPr>
        <w:t xml:space="preserve"> </w:t>
      </w:r>
      <w:r w:rsidRPr="00C665F5">
        <w:rPr>
          <w:rFonts w:cs="Arial"/>
          <w:bCs/>
          <w:szCs w:val="22"/>
        </w:rPr>
        <w:t xml:space="preserve">a </w:t>
      </w:r>
      <w:r w:rsidRPr="00C665F5">
        <w:rPr>
          <w:rFonts w:cs="Arial"/>
          <w:bCs/>
          <w:i/>
          <w:szCs w:val="22"/>
        </w:rPr>
        <w:t xml:space="preserve">D. </w:t>
      </w:r>
      <w:r w:rsidR="00594696">
        <w:rPr>
          <w:rFonts w:cs="Arial"/>
          <w:bCs/>
          <w:szCs w:val="22"/>
        </w:rPr>
        <w:t>p</w:t>
      </w:r>
      <w:r w:rsidRPr="00C665F5">
        <w:rPr>
          <w:rFonts w:cs="Arial"/>
          <w:bCs/>
          <w:szCs w:val="22"/>
        </w:rPr>
        <w:t>řehledu</w:t>
      </w:r>
      <w:proofErr w:type="gramEnd"/>
      <w:r w:rsidRPr="00C665F5">
        <w:rPr>
          <w:rFonts w:cs="Arial"/>
          <w:bCs/>
          <w:szCs w:val="22"/>
        </w:rPr>
        <w:t xml:space="preserve"> o změnách vlastního kapitálu vede k možnému používání různých způsobů pro naplnění údajů o „zvýšení stavu“ a „snížení stavu“ uvedených položek</w:t>
      </w:r>
      <w:r w:rsidR="00FF2E26">
        <w:rPr>
          <w:rFonts w:cs="Arial"/>
          <w:bCs/>
          <w:szCs w:val="22"/>
        </w:rPr>
        <w:t xml:space="preserve"> </w:t>
      </w:r>
      <w:r w:rsidRPr="00C665F5">
        <w:rPr>
          <w:rFonts w:cs="Arial"/>
          <w:bCs/>
          <w:szCs w:val="22"/>
        </w:rPr>
        <w:t xml:space="preserve">přehledu. </w:t>
      </w:r>
      <w:r w:rsidRPr="00C665F5">
        <w:rPr>
          <w:rFonts w:cs="Arial"/>
          <w:b/>
          <w:bCs/>
          <w:szCs w:val="22"/>
        </w:rPr>
        <w:t>Postup použitý MMR</w:t>
      </w:r>
      <w:r w:rsidRPr="00C665F5">
        <w:rPr>
          <w:rFonts w:cs="Arial"/>
          <w:bCs/>
          <w:szCs w:val="22"/>
        </w:rPr>
        <w:t xml:space="preserve"> při naplňování těchto položek </w:t>
      </w:r>
      <w:r w:rsidRPr="00C665F5">
        <w:rPr>
          <w:rFonts w:cs="Arial"/>
          <w:b/>
          <w:bCs/>
          <w:szCs w:val="22"/>
        </w:rPr>
        <w:t>nebyl jednotný</w:t>
      </w:r>
      <w:r w:rsidRPr="00C665F5">
        <w:rPr>
          <w:rFonts w:cs="Arial"/>
          <w:bCs/>
          <w:szCs w:val="22"/>
        </w:rPr>
        <w:t xml:space="preserve">, neboť jiným způsobem přistoupilo k naplnění údajů u položky </w:t>
      </w:r>
      <w:r w:rsidRPr="00C665F5">
        <w:rPr>
          <w:rFonts w:cs="Arial"/>
          <w:bCs/>
          <w:i/>
          <w:szCs w:val="22"/>
        </w:rPr>
        <w:t>B.</w:t>
      </w:r>
      <w:r w:rsidRPr="001C12E8">
        <w:rPr>
          <w:rFonts w:cs="Arial"/>
          <w:bCs/>
          <w:szCs w:val="22"/>
        </w:rPr>
        <w:t xml:space="preserve"> </w:t>
      </w:r>
      <w:proofErr w:type="gramStart"/>
      <w:r w:rsidRPr="00C665F5">
        <w:rPr>
          <w:rFonts w:cs="Arial"/>
          <w:bCs/>
          <w:szCs w:val="22"/>
        </w:rPr>
        <w:t>než</w:t>
      </w:r>
      <w:proofErr w:type="gramEnd"/>
      <w:r w:rsidRPr="00C665F5">
        <w:rPr>
          <w:rFonts w:cs="Arial"/>
          <w:bCs/>
          <w:szCs w:val="22"/>
        </w:rPr>
        <w:t xml:space="preserve"> k naplnění údajů u položky </w:t>
      </w:r>
      <w:r w:rsidRPr="00C665F5">
        <w:rPr>
          <w:rFonts w:cs="Arial"/>
          <w:bCs/>
          <w:i/>
          <w:szCs w:val="22"/>
        </w:rPr>
        <w:t>D.</w:t>
      </w:r>
      <w:r w:rsidRPr="001C12E8">
        <w:rPr>
          <w:rFonts w:cs="Arial"/>
          <w:bCs/>
          <w:szCs w:val="22"/>
        </w:rPr>
        <w:t>,</w:t>
      </w:r>
      <w:r w:rsidRPr="00C665F5">
        <w:rPr>
          <w:rFonts w:cs="Arial"/>
          <w:bCs/>
          <w:i/>
          <w:szCs w:val="22"/>
        </w:rPr>
        <w:t xml:space="preserve"> </w:t>
      </w:r>
      <w:r w:rsidRPr="00C665F5">
        <w:rPr>
          <w:rFonts w:cs="Arial"/>
          <w:bCs/>
          <w:szCs w:val="22"/>
        </w:rPr>
        <w:t xml:space="preserve">přestože jejich náplň </w:t>
      </w:r>
      <w:r w:rsidR="008B41FF" w:rsidRPr="00C665F5">
        <w:rPr>
          <w:rFonts w:cs="Arial"/>
          <w:bCs/>
          <w:szCs w:val="22"/>
        </w:rPr>
        <w:t xml:space="preserve">je vymezena </w:t>
      </w:r>
      <w:r w:rsidRPr="00C665F5">
        <w:rPr>
          <w:rFonts w:cs="Arial"/>
          <w:bCs/>
          <w:szCs w:val="22"/>
        </w:rPr>
        <w:t>ve vyhlášce č. 410/2009 Sb. shodně.</w:t>
      </w:r>
    </w:p>
    <w:p w:rsidR="00F5734D" w:rsidRPr="007113E1" w:rsidRDefault="00F5734D" w:rsidP="007C7211">
      <w:pPr>
        <w:autoSpaceDE w:val="0"/>
        <w:autoSpaceDN w:val="0"/>
        <w:adjustRightInd w:val="0"/>
        <w:ind w:firstLine="0"/>
        <w:rPr>
          <w:rFonts w:cs="Arial"/>
          <w:szCs w:val="22"/>
          <w:lang w:eastAsia="cs-CZ"/>
        </w:rPr>
      </w:pPr>
    </w:p>
    <w:p w:rsidR="001C36E7" w:rsidRPr="007113E1" w:rsidRDefault="001C36E7" w:rsidP="007113E1">
      <w:pPr>
        <w:ind w:firstLine="0"/>
        <w:rPr>
          <w:b/>
        </w:rPr>
      </w:pPr>
      <w:r w:rsidRPr="007113E1">
        <w:rPr>
          <w:b/>
        </w:rPr>
        <w:t>2. Finanční výkazy MMR za rok 2012</w:t>
      </w:r>
    </w:p>
    <w:p w:rsidR="001C36E7" w:rsidRDefault="001C36E7" w:rsidP="007113E1">
      <w:pPr>
        <w:ind w:firstLine="0"/>
        <w:rPr>
          <w:lang w:eastAsia="cs-CZ"/>
        </w:rPr>
      </w:pPr>
    </w:p>
    <w:p w:rsidR="001C36E7" w:rsidRDefault="001C36E7" w:rsidP="001C36E7">
      <w:pPr>
        <w:ind w:firstLine="0"/>
        <w:rPr>
          <w:rFonts w:cs="Arial"/>
          <w:szCs w:val="22"/>
        </w:rPr>
      </w:pPr>
      <w:r w:rsidRPr="000E71A1">
        <w:rPr>
          <w:lang w:eastAsia="cs-CZ"/>
        </w:rPr>
        <w:t xml:space="preserve">V průběhu kontroly byl ověřován také </w:t>
      </w:r>
      <w:r w:rsidR="008B41FF">
        <w:rPr>
          <w:lang w:eastAsia="cs-CZ"/>
        </w:rPr>
        <w:t>v</w:t>
      </w:r>
      <w:r w:rsidRPr="000E71A1">
        <w:rPr>
          <w:lang w:eastAsia="cs-CZ"/>
        </w:rPr>
        <w:t>ýkaz pro hodnocení plnění rozpočtu</w:t>
      </w:r>
      <w:r w:rsidR="005761DE">
        <w:rPr>
          <w:lang w:eastAsia="cs-CZ"/>
        </w:rPr>
        <w:t>.</w:t>
      </w:r>
      <w:r>
        <w:rPr>
          <w:lang w:eastAsia="cs-CZ"/>
        </w:rPr>
        <w:t xml:space="preserve"> </w:t>
      </w:r>
    </w:p>
    <w:p w:rsidR="0052110C" w:rsidRDefault="0052110C" w:rsidP="007113E1">
      <w:pPr>
        <w:ind w:firstLine="0"/>
      </w:pPr>
    </w:p>
    <w:p w:rsidR="008D157D" w:rsidRDefault="008D157D" w:rsidP="007113E1">
      <w:pPr>
        <w:tabs>
          <w:tab w:val="right" w:pos="9072"/>
        </w:tabs>
        <w:spacing w:after="40"/>
        <w:ind w:firstLine="0"/>
        <w:rPr>
          <w:rFonts w:cs="Arial"/>
          <w:b/>
          <w:color w:val="000000"/>
        </w:rPr>
      </w:pPr>
      <w:r w:rsidRPr="00F935DC">
        <w:rPr>
          <w:rFonts w:cs="Arial"/>
          <w:b/>
          <w:color w:val="000000"/>
        </w:rPr>
        <w:t xml:space="preserve">Tabulka č. </w:t>
      </w:r>
      <w:r w:rsidR="004C2E94">
        <w:rPr>
          <w:rFonts w:cs="Arial"/>
          <w:b/>
          <w:color w:val="000000"/>
        </w:rPr>
        <w:t>5</w:t>
      </w:r>
      <w:r w:rsidR="00C67D69">
        <w:rPr>
          <w:rFonts w:cs="Arial"/>
          <w:b/>
          <w:color w:val="000000"/>
        </w:rPr>
        <w:t xml:space="preserve"> </w:t>
      </w:r>
      <w:r w:rsidRPr="00F935DC">
        <w:rPr>
          <w:rFonts w:cs="Arial"/>
          <w:b/>
          <w:color w:val="000000"/>
        </w:rPr>
        <w:t xml:space="preserve">– Údaje </w:t>
      </w:r>
      <w:r w:rsidR="00F33867">
        <w:rPr>
          <w:rFonts w:cs="Arial"/>
          <w:b/>
          <w:color w:val="000000"/>
        </w:rPr>
        <w:t>z </w:t>
      </w:r>
      <w:r w:rsidR="008B41FF">
        <w:rPr>
          <w:rFonts w:cs="Arial"/>
          <w:b/>
          <w:color w:val="000000"/>
        </w:rPr>
        <w:t>v</w:t>
      </w:r>
      <w:r w:rsidRPr="00F935DC">
        <w:rPr>
          <w:rFonts w:cs="Arial"/>
          <w:b/>
          <w:color w:val="000000"/>
        </w:rPr>
        <w:t>ýkaz</w:t>
      </w:r>
      <w:r>
        <w:rPr>
          <w:rFonts w:cs="Arial"/>
          <w:b/>
          <w:color w:val="000000"/>
        </w:rPr>
        <w:t xml:space="preserve">u pro hodnocení plnění rozpočtu </w:t>
      </w:r>
      <w:r w:rsidR="00B32632">
        <w:rPr>
          <w:rFonts w:cs="Arial"/>
          <w:b/>
          <w:color w:val="000000"/>
        </w:rPr>
        <w:tab/>
      </w:r>
      <w:r w:rsidRPr="007B6FEA">
        <w:rPr>
          <w:rFonts w:cs="Arial"/>
          <w:b/>
          <w:color w:val="000000"/>
        </w:rPr>
        <w:t>(</w:t>
      </w:r>
      <w:r w:rsidR="00F33867">
        <w:rPr>
          <w:rFonts w:cs="Arial"/>
          <w:b/>
          <w:color w:val="000000"/>
        </w:rPr>
        <w:t>v </w:t>
      </w:r>
      <w:r w:rsidRPr="007B6FEA">
        <w:rPr>
          <w:rFonts w:cs="Arial"/>
          <w:b/>
          <w:color w:val="000000"/>
        </w:rPr>
        <w:t>Kč)</w:t>
      </w:r>
    </w:p>
    <w:tbl>
      <w:tblPr>
        <w:tblW w:w="9053" w:type="dxa"/>
        <w:jc w:val="center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47"/>
        <w:gridCol w:w="2495"/>
        <w:gridCol w:w="1916"/>
        <w:gridCol w:w="2495"/>
      </w:tblGrid>
      <w:tr w:rsidR="001C36E7" w:rsidRPr="007113E1" w:rsidTr="007113E1">
        <w:trPr>
          <w:trHeight w:val="283"/>
          <w:jc w:val="center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noWrap/>
            <w:vAlign w:val="center"/>
            <w:hideMark/>
          </w:tcPr>
          <w:p w:rsidR="001C36E7" w:rsidRPr="007113E1" w:rsidRDefault="001C36E7" w:rsidP="001C36E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Rozpočtové příjmy</w:t>
            </w:r>
          </w:p>
        </w:tc>
        <w:tc>
          <w:tcPr>
            <w:tcW w:w="0" w:type="auto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2DCDB"/>
            <w:noWrap/>
            <w:vAlign w:val="center"/>
            <w:hideMark/>
          </w:tcPr>
          <w:p w:rsidR="001C36E7" w:rsidRPr="007113E1" w:rsidRDefault="001C36E7" w:rsidP="001C36E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Rozpočtové výdaje</w:t>
            </w:r>
          </w:p>
        </w:tc>
      </w:tr>
      <w:tr w:rsidR="001C36E7" w:rsidRPr="007113E1" w:rsidTr="007113E1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36E7" w:rsidRPr="007113E1" w:rsidRDefault="001C36E7" w:rsidP="001C36E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 xml:space="preserve">Rozpočet po změnách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36E7" w:rsidRPr="007113E1" w:rsidRDefault="001C36E7" w:rsidP="001C36E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Výsledek od počátku roku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36E7" w:rsidRPr="007113E1" w:rsidRDefault="001C36E7" w:rsidP="001C36E7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Konečný rozpočet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DCDB"/>
            <w:vAlign w:val="center"/>
            <w:hideMark/>
          </w:tcPr>
          <w:p w:rsidR="001C36E7" w:rsidRPr="007113E1" w:rsidRDefault="001C36E7" w:rsidP="008B41FF">
            <w:pPr>
              <w:ind w:firstLine="0"/>
              <w:jc w:val="center"/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b/>
                <w:bCs/>
                <w:color w:val="000000"/>
                <w:sz w:val="18"/>
                <w:szCs w:val="18"/>
                <w:lang w:eastAsia="cs-CZ"/>
              </w:rPr>
              <w:t>Výsledek od počátku roku</w:t>
            </w:r>
          </w:p>
        </w:tc>
      </w:tr>
      <w:tr w:rsidR="001C36E7" w:rsidRPr="007113E1" w:rsidTr="007113E1">
        <w:trPr>
          <w:trHeight w:val="283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7113E1" w:rsidRDefault="001C36E7" w:rsidP="007113E1">
            <w:pPr>
              <w:ind w:right="17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25 047 563 065,00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7113E1" w:rsidRDefault="001C36E7" w:rsidP="007113E1">
            <w:pPr>
              <w:ind w:right="17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12 364 106 922,27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7113E1" w:rsidRDefault="001C36E7" w:rsidP="007113E1">
            <w:pPr>
              <w:ind w:right="17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31 985 378 032,18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C36E7" w:rsidRPr="007113E1" w:rsidRDefault="001C36E7" w:rsidP="007113E1">
            <w:pPr>
              <w:ind w:right="179" w:firstLine="0"/>
              <w:jc w:val="right"/>
              <w:rPr>
                <w:rFonts w:cs="Arial"/>
                <w:color w:val="000000"/>
                <w:sz w:val="18"/>
                <w:szCs w:val="18"/>
                <w:lang w:eastAsia="cs-CZ"/>
              </w:rPr>
            </w:pPr>
            <w:r w:rsidRPr="007113E1">
              <w:rPr>
                <w:rFonts w:cs="Arial"/>
                <w:color w:val="000000"/>
                <w:sz w:val="18"/>
                <w:szCs w:val="18"/>
                <w:lang w:eastAsia="cs-CZ"/>
              </w:rPr>
              <w:t>20 209 858 249,35</w:t>
            </w:r>
          </w:p>
        </w:tc>
      </w:tr>
    </w:tbl>
    <w:p w:rsidR="001C36E7" w:rsidRPr="003E0FDC" w:rsidRDefault="001C36E7" w:rsidP="007113E1">
      <w:pPr>
        <w:tabs>
          <w:tab w:val="right" w:pos="9072"/>
        </w:tabs>
        <w:spacing w:before="40"/>
        <w:ind w:firstLine="0"/>
        <w:rPr>
          <w:rFonts w:cs="Arial"/>
          <w:color w:val="000000"/>
          <w:sz w:val="18"/>
          <w:szCs w:val="18"/>
        </w:rPr>
      </w:pPr>
      <w:r w:rsidRPr="00226A1C">
        <w:rPr>
          <w:rFonts w:cs="Arial"/>
          <w:b/>
          <w:color w:val="000000"/>
          <w:sz w:val="18"/>
          <w:szCs w:val="18"/>
        </w:rPr>
        <w:t>Zdroj</w:t>
      </w:r>
      <w:r w:rsidRPr="008B41FF">
        <w:rPr>
          <w:rFonts w:cs="Arial"/>
          <w:b/>
          <w:color w:val="000000"/>
          <w:sz w:val="18"/>
          <w:szCs w:val="18"/>
        </w:rPr>
        <w:t>:</w:t>
      </w:r>
      <w:r w:rsidRPr="003E0FDC">
        <w:rPr>
          <w:rFonts w:cs="Arial"/>
          <w:color w:val="000000"/>
          <w:sz w:val="18"/>
          <w:szCs w:val="18"/>
        </w:rPr>
        <w:t xml:space="preserve"> </w:t>
      </w:r>
      <w:r w:rsidR="008B41FF">
        <w:rPr>
          <w:rFonts w:cs="Arial"/>
          <w:color w:val="000000"/>
          <w:sz w:val="18"/>
          <w:szCs w:val="18"/>
        </w:rPr>
        <w:t>v</w:t>
      </w:r>
      <w:r w:rsidRPr="003E0FDC">
        <w:rPr>
          <w:rFonts w:cs="Arial"/>
          <w:color w:val="000000"/>
          <w:sz w:val="18"/>
          <w:szCs w:val="18"/>
        </w:rPr>
        <w:t>ýkaz pro hodnocení plnění rozpočtu za rok 2012</w:t>
      </w:r>
      <w:r w:rsidR="008B41FF">
        <w:rPr>
          <w:rFonts w:cs="Arial"/>
          <w:color w:val="000000"/>
          <w:sz w:val="18"/>
          <w:szCs w:val="18"/>
        </w:rPr>
        <w:t>.</w:t>
      </w:r>
    </w:p>
    <w:p w:rsidR="003E0FDC" w:rsidRDefault="003E0FDC" w:rsidP="007113E1">
      <w:pPr>
        <w:ind w:firstLine="0"/>
      </w:pPr>
    </w:p>
    <w:p w:rsidR="001C36E7" w:rsidRPr="007113E1" w:rsidRDefault="001C36E7" w:rsidP="007113E1">
      <w:pPr>
        <w:ind w:firstLine="0"/>
        <w:rPr>
          <w:b/>
        </w:rPr>
      </w:pPr>
      <w:r w:rsidRPr="007113E1">
        <w:rPr>
          <w:b/>
        </w:rPr>
        <w:t>2.1 Právní předpisy</w:t>
      </w:r>
      <w:r w:rsidR="00C67D69" w:rsidRPr="007113E1">
        <w:rPr>
          <w:b/>
        </w:rPr>
        <w:t xml:space="preserve"> </w:t>
      </w:r>
      <w:r w:rsidR="00131853" w:rsidRPr="007113E1">
        <w:rPr>
          <w:b/>
        </w:rPr>
        <w:t>v roce 2012 pro</w:t>
      </w:r>
      <w:r w:rsidRPr="007113E1">
        <w:rPr>
          <w:b/>
        </w:rPr>
        <w:t> oblast finančního výkaznictví OSS</w:t>
      </w:r>
    </w:p>
    <w:p w:rsidR="001C36E7" w:rsidRPr="00FB51B7" w:rsidRDefault="001C36E7" w:rsidP="007113E1">
      <w:pPr>
        <w:ind w:firstLine="0"/>
      </w:pPr>
    </w:p>
    <w:p w:rsidR="001C36E7" w:rsidRDefault="001C36E7" w:rsidP="001C36E7">
      <w:pPr>
        <w:ind w:firstLine="0"/>
      </w:pPr>
      <w:r>
        <w:t>Finanční výkazy byly v roce 2012 upraveny zejména zákonem č. 218/200</w:t>
      </w:r>
      <w:r w:rsidR="00BA0613">
        <w:t>0</w:t>
      </w:r>
      <w:r>
        <w:t xml:space="preserve"> Sb., o</w:t>
      </w:r>
      <w:r w:rsidR="003E0FDC">
        <w:t> </w:t>
      </w:r>
      <w:r>
        <w:t xml:space="preserve">rozpočtových pravidlech a o změně některých souvisejících zákonů (rozpočtová pravidla), vyhláškou č. 323/2002 Sb., o rozpočtové skladbě, a vyhláškou č. 449/2009 Sb., o způsobu, termínech a rozsahu údajů předkládaných pro hodnocení plnění státního rozpočtu, rozpočtů státních fondů, rozpočtů územních samosprávných celků, rozpočtů dobrovolných svazků obcí a rozpočtů regionálních rad regionů soudržnosti.  </w:t>
      </w:r>
    </w:p>
    <w:p w:rsidR="001C36E7" w:rsidRDefault="001C36E7" w:rsidP="007113E1">
      <w:pPr>
        <w:ind w:firstLine="0"/>
      </w:pPr>
    </w:p>
    <w:p w:rsidR="001C36E7" w:rsidRPr="007113E1" w:rsidRDefault="001C36E7" w:rsidP="007113E1">
      <w:pPr>
        <w:ind w:firstLine="0"/>
        <w:rPr>
          <w:b/>
        </w:rPr>
      </w:pPr>
      <w:r w:rsidRPr="007113E1">
        <w:rPr>
          <w:b/>
        </w:rPr>
        <w:t xml:space="preserve">2.2 Nesprávnosti ve </w:t>
      </w:r>
      <w:r w:rsidR="008B41FF">
        <w:rPr>
          <w:b/>
        </w:rPr>
        <w:t>v</w:t>
      </w:r>
      <w:r w:rsidRPr="007113E1">
        <w:rPr>
          <w:b/>
        </w:rPr>
        <w:t xml:space="preserve">ýkazu pro hodnocení plnění rozpočtu  </w:t>
      </w:r>
    </w:p>
    <w:p w:rsidR="001C36E7" w:rsidRDefault="001C36E7" w:rsidP="00B32632">
      <w:pPr>
        <w:tabs>
          <w:tab w:val="right" w:pos="9072"/>
        </w:tabs>
        <w:ind w:firstLine="0"/>
        <w:rPr>
          <w:rFonts w:cs="Arial"/>
          <w:i/>
          <w:color w:val="000000"/>
          <w:szCs w:val="22"/>
        </w:rPr>
      </w:pPr>
    </w:p>
    <w:p w:rsidR="00667232" w:rsidRDefault="007C7211" w:rsidP="00667232">
      <w:pPr>
        <w:ind w:firstLine="0"/>
        <w:rPr>
          <w:rFonts w:eastAsia="Calibri" w:cs="Arial"/>
          <w:szCs w:val="22"/>
        </w:rPr>
      </w:pPr>
      <w:r>
        <w:rPr>
          <w:rFonts w:cs="Arial"/>
          <w:color w:val="000000"/>
        </w:rPr>
        <w:t>V </w:t>
      </w:r>
      <w:r w:rsidRPr="00F935DC">
        <w:rPr>
          <w:rFonts w:cs="Arial"/>
          <w:color w:val="000000"/>
        </w:rPr>
        <w:t xml:space="preserve">případě příjmů a výdajů uvedených ve </w:t>
      </w:r>
      <w:r w:rsidR="008B41FF">
        <w:rPr>
          <w:rFonts w:cs="Arial"/>
          <w:color w:val="000000"/>
        </w:rPr>
        <w:t>v</w:t>
      </w:r>
      <w:r w:rsidRPr="00F935DC">
        <w:rPr>
          <w:rFonts w:cs="Arial"/>
          <w:color w:val="000000"/>
        </w:rPr>
        <w:t xml:space="preserve">ýkazu pro hodnocení plnění rozpočtu byla </w:t>
      </w:r>
      <w:r>
        <w:rPr>
          <w:rFonts w:cs="Arial"/>
          <w:color w:val="000000"/>
        </w:rPr>
        <w:t xml:space="preserve">na vybraném vzorku </w:t>
      </w:r>
      <w:r w:rsidRPr="00017E0A">
        <w:rPr>
          <w:rFonts w:cs="Arial"/>
          <w:color w:val="000000"/>
        </w:rPr>
        <w:t xml:space="preserve">kontrolována správnost jejich </w:t>
      </w:r>
      <w:r w:rsidR="00241AB5">
        <w:rPr>
          <w:rFonts w:cs="Arial"/>
          <w:color w:val="000000"/>
        </w:rPr>
        <w:t xml:space="preserve">zatřídění na </w:t>
      </w:r>
      <w:r w:rsidRPr="00017E0A">
        <w:rPr>
          <w:rFonts w:cs="Arial"/>
          <w:color w:val="000000"/>
        </w:rPr>
        <w:t>položk</w:t>
      </w:r>
      <w:r w:rsidR="00241AB5">
        <w:rPr>
          <w:rFonts w:cs="Arial"/>
          <w:color w:val="000000"/>
        </w:rPr>
        <w:t>y</w:t>
      </w:r>
      <w:r w:rsidR="00C67D69">
        <w:rPr>
          <w:rFonts w:cs="Arial"/>
          <w:color w:val="000000"/>
        </w:rPr>
        <w:t xml:space="preserve"> </w:t>
      </w:r>
      <w:r w:rsidR="00D137D5">
        <w:rPr>
          <w:rFonts w:cs="Arial"/>
          <w:color w:val="000000"/>
        </w:rPr>
        <w:t xml:space="preserve">a paragrafy </w:t>
      </w:r>
      <w:r w:rsidRPr="00017E0A">
        <w:rPr>
          <w:rFonts w:cs="Arial"/>
          <w:color w:val="000000"/>
        </w:rPr>
        <w:t>rozpočtové skladby dle vyhlášky č. 323/2002 Sb.</w:t>
      </w:r>
      <w:r w:rsidR="00C67D69">
        <w:rPr>
          <w:rFonts w:cs="Arial"/>
          <w:color w:val="000000"/>
        </w:rPr>
        <w:t xml:space="preserve"> </w:t>
      </w:r>
      <w:r>
        <w:rPr>
          <w:rFonts w:cs="Arial"/>
          <w:color w:val="000000"/>
          <w:szCs w:val="22"/>
        </w:rPr>
        <w:t>V tomto výkazu byla zjištěna celková nesprávnost ve výši 16,8 mld. Kč</w:t>
      </w:r>
      <w:r w:rsidR="00C67D69">
        <w:rPr>
          <w:rFonts w:cs="Arial"/>
          <w:color w:val="000000"/>
          <w:szCs w:val="22"/>
        </w:rPr>
        <w:t xml:space="preserve"> </w:t>
      </w:r>
      <w:r w:rsidR="00667232">
        <w:rPr>
          <w:rFonts w:eastAsia="Calibri" w:cs="Arial"/>
          <w:szCs w:val="22"/>
        </w:rPr>
        <w:t xml:space="preserve">spočívající v chybném zatřídění </w:t>
      </w:r>
      <w:r w:rsidR="00667232" w:rsidRPr="005B3489">
        <w:rPr>
          <w:rFonts w:eastAsia="Calibri" w:cs="Arial"/>
          <w:szCs w:val="22"/>
        </w:rPr>
        <w:t>výdajů</w:t>
      </w:r>
      <w:r w:rsidR="00C67D69">
        <w:rPr>
          <w:rFonts w:eastAsia="Calibri" w:cs="Arial"/>
          <w:szCs w:val="22"/>
        </w:rPr>
        <w:t xml:space="preserve"> </w:t>
      </w:r>
      <w:r w:rsidR="00667232" w:rsidRPr="005B3489">
        <w:rPr>
          <w:rFonts w:eastAsia="Calibri" w:cs="Arial"/>
          <w:szCs w:val="22"/>
        </w:rPr>
        <w:t>poskytnutých národním subjektům v rámci projektů spolufinancovaných z</w:t>
      </w:r>
      <w:r w:rsidR="00667232">
        <w:rPr>
          <w:rFonts w:eastAsia="Calibri" w:cs="Arial"/>
          <w:szCs w:val="22"/>
        </w:rPr>
        <w:t> </w:t>
      </w:r>
      <w:r w:rsidR="00667232" w:rsidRPr="005B3489">
        <w:rPr>
          <w:rFonts w:eastAsia="Calibri" w:cs="Arial"/>
          <w:szCs w:val="22"/>
        </w:rPr>
        <w:t>EU</w:t>
      </w:r>
      <w:r w:rsidR="00667232">
        <w:rPr>
          <w:rFonts w:eastAsia="Calibri" w:cs="Arial"/>
          <w:szCs w:val="22"/>
        </w:rPr>
        <w:t>, přičemž celková částka výdajů vykázaná za rok 2012 činila 20,2 mld. Kč.</w:t>
      </w:r>
    </w:p>
    <w:p w:rsidR="00667232" w:rsidRDefault="00667232" w:rsidP="00667232">
      <w:pPr>
        <w:ind w:firstLine="0"/>
        <w:rPr>
          <w:rFonts w:eastAsia="Calibri" w:cs="Arial"/>
          <w:szCs w:val="22"/>
        </w:rPr>
      </w:pPr>
    </w:p>
    <w:p w:rsidR="00667232" w:rsidRDefault="00667232" w:rsidP="008B41FF">
      <w:pPr>
        <w:ind w:firstLine="0"/>
        <w:rPr>
          <w:rFonts w:eastAsia="Calibri" w:cs="Arial"/>
          <w:szCs w:val="22"/>
        </w:rPr>
      </w:pPr>
      <w:r w:rsidRPr="00740A85">
        <w:rPr>
          <w:rFonts w:eastAsia="Calibri" w:cs="Arial"/>
          <w:szCs w:val="22"/>
        </w:rPr>
        <w:lastRenderedPageBreak/>
        <w:t xml:space="preserve">Nejvýznamněji se na celkové nesprávnosti </w:t>
      </w:r>
      <w:r w:rsidR="008B41FF">
        <w:rPr>
          <w:rFonts w:eastAsia="Calibri" w:cs="Arial"/>
          <w:szCs w:val="22"/>
        </w:rPr>
        <w:t>popsané</w:t>
      </w:r>
      <w:r w:rsidRPr="00740A85">
        <w:rPr>
          <w:rFonts w:eastAsia="Calibri" w:cs="Arial"/>
          <w:szCs w:val="22"/>
        </w:rPr>
        <w:t xml:space="preserve"> v předchozím odstavci podílela nesprávnost </w:t>
      </w:r>
      <w:r w:rsidRPr="003A3D06">
        <w:rPr>
          <w:rFonts w:eastAsia="Calibri" w:cs="Arial"/>
          <w:szCs w:val="22"/>
        </w:rPr>
        <w:t xml:space="preserve">ve výši 16,68 mld. Kč </w:t>
      </w:r>
      <w:r>
        <w:rPr>
          <w:rFonts w:eastAsia="Calibri" w:cs="Arial"/>
          <w:szCs w:val="22"/>
        </w:rPr>
        <w:t xml:space="preserve">představující chybné zatřídění výdajů </w:t>
      </w:r>
      <w:r w:rsidRPr="005B3489">
        <w:rPr>
          <w:rFonts w:eastAsia="Calibri" w:cs="Arial"/>
          <w:szCs w:val="22"/>
        </w:rPr>
        <w:t>na transfery spolufinancované z EU poskytované formou dotací</w:t>
      </w:r>
      <w:r>
        <w:rPr>
          <w:rFonts w:eastAsia="Calibri" w:cs="Arial"/>
          <w:szCs w:val="22"/>
        </w:rPr>
        <w:t>, které byly zatříděny</w:t>
      </w:r>
      <w:r w:rsidRPr="005B3489">
        <w:rPr>
          <w:rFonts w:eastAsia="Calibri" w:cs="Arial"/>
          <w:szCs w:val="22"/>
        </w:rPr>
        <w:t xml:space="preserve"> jako výdaj</w:t>
      </w:r>
      <w:r>
        <w:rPr>
          <w:rFonts w:eastAsia="Calibri" w:cs="Arial"/>
          <w:szCs w:val="22"/>
        </w:rPr>
        <w:t>e</w:t>
      </w:r>
      <w:r w:rsidRPr="005B3489">
        <w:rPr>
          <w:rFonts w:eastAsia="Calibri" w:cs="Arial"/>
          <w:szCs w:val="22"/>
        </w:rPr>
        <w:t xml:space="preserve"> na mezinárodní spolupráci v oblasti bydlení, komunálních služeb a územního rozvoje pod rozpočtovým paragrafem 3691 – </w:t>
      </w:r>
      <w:r w:rsidRPr="00D71574">
        <w:rPr>
          <w:rFonts w:eastAsia="Calibri" w:cs="Arial"/>
          <w:i/>
          <w:szCs w:val="22"/>
        </w:rPr>
        <w:t>Mezinárodní spolupráce v oblasti bydlení, komunálních služeb a územního rozvoje</w:t>
      </w:r>
      <w:r w:rsidRPr="005B3489">
        <w:rPr>
          <w:rFonts w:eastAsia="Calibri" w:cs="Arial"/>
          <w:szCs w:val="22"/>
        </w:rPr>
        <w:t xml:space="preserve">, přestože se jednalo o výdaje ve prospěch národních subjektů, které měly být zatříděny pod rozpočtovým paragrafem 3661 – </w:t>
      </w:r>
      <w:r w:rsidRPr="00D71574">
        <w:rPr>
          <w:rFonts w:eastAsia="Calibri" w:cs="Arial"/>
          <w:i/>
          <w:szCs w:val="22"/>
        </w:rPr>
        <w:t>Činnost ústředního orgánu státní správy v oblasti bydlení, komunálních služeb a územního rozvoje</w:t>
      </w:r>
      <w:r>
        <w:rPr>
          <w:rFonts w:eastAsia="Calibri" w:cs="Arial"/>
          <w:szCs w:val="22"/>
        </w:rPr>
        <w:t xml:space="preserve">. </w:t>
      </w:r>
    </w:p>
    <w:p w:rsidR="008B41FF" w:rsidRDefault="008B41FF" w:rsidP="008B41FF">
      <w:pPr>
        <w:ind w:firstLine="0"/>
        <w:rPr>
          <w:rFonts w:eastAsia="Calibri" w:cs="Arial"/>
          <w:szCs w:val="22"/>
        </w:rPr>
      </w:pPr>
    </w:p>
    <w:p w:rsidR="001A1086" w:rsidRPr="007113E1" w:rsidRDefault="001F5837" w:rsidP="008B41FF">
      <w:pPr>
        <w:ind w:firstLine="0"/>
        <w:rPr>
          <w:b/>
        </w:rPr>
      </w:pPr>
      <w:r w:rsidRPr="007113E1">
        <w:rPr>
          <w:b/>
        </w:rPr>
        <w:t xml:space="preserve">3. </w:t>
      </w:r>
      <w:r w:rsidR="006D73D4" w:rsidRPr="007113E1">
        <w:rPr>
          <w:b/>
        </w:rPr>
        <w:t>Závěrečný účet</w:t>
      </w:r>
    </w:p>
    <w:p w:rsidR="00BD75EA" w:rsidRDefault="00BD75EA" w:rsidP="008B41FF">
      <w:pPr>
        <w:ind w:firstLine="0"/>
        <w:rPr>
          <w:lang w:eastAsia="cs-CZ"/>
        </w:rPr>
      </w:pPr>
    </w:p>
    <w:p w:rsidR="00BD75EA" w:rsidRPr="00BD75EA" w:rsidRDefault="00BD75EA" w:rsidP="008B41FF">
      <w:pPr>
        <w:ind w:firstLine="0"/>
        <w:rPr>
          <w:lang w:eastAsia="cs-CZ"/>
        </w:rPr>
      </w:pPr>
      <w:r>
        <w:rPr>
          <w:lang w:eastAsia="cs-CZ"/>
        </w:rPr>
        <w:t>Závěrečný účet kapitoly MMR byl zpracován v rozsahu stanoveném vyhláškou č.</w:t>
      </w:r>
      <w:r w:rsidR="00322F58">
        <w:rPr>
          <w:lang w:eastAsia="cs-CZ"/>
        </w:rPr>
        <w:t> </w:t>
      </w:r>
      <w:r>
        <w:rPr>
          <w:lang w:eastAsia="cs-CZ"/>
        </w:rPr>
        <w:t>419/2001</w:t>
      </w:r>
      <w:r w:rsidR="003101A3">
        <w:rPr>
          <w:lang w:eastAsia="cs-CZ"/>
        </w:rPr>
        <w:t> </w:t>
      </w:r>
      <w:r>
        <w:rPr>
          <w:lang w:eastAsia="cs-CZ"/>
        </w:rPr>
        <w:t xml:space="preserve">Sb., o rozsahu, struktuře a termínech údajů předkládaných pro vypracování návrhu státního závěrečného účtu a o rozsahu a termínech sestavení návrhů závěrečných účtů kapitol státního rozpočtu, a obsahoval povinné číselné sestavy a tabulkové přílohy. Vyhláška č. 419/2001 Sb. byla v průběhu roku 2012 novelizována. V průvodní zprávě byly zjištěny nedostatky oproti požadavkům vyhlášky č. 419/2001 Sb., které neměly zásadní vliv na vypovídací schopnost závěrečného účtu.   </w:t>
      </w:r>
    </w:p>
    <w:p w:rsidR="009E0368" w:rsidRDefault="009E0368" w:rsidP="00F02EC5">
      <w:pPr>
        <w:ind w:firstLine="0"/>
        <w:jc w:val="left"/>
        <w:rPr>
          <w:rFonts w:cs="Arial"/>
          <w:bCs/>
          <w:szCs w:val="22"/>
          <w:lang w:eastAsia="cs-CZ"/>
        </w:rPr>
      </w:pPr>
    </w:p>
    <w:p w:rsidR="006D73D4" w:rsidRDefault="00746DD1" w:rsidP="007113E1">
      <w:pPr>
        <w:ind w:firstLine="0"/>
        <w:rPr>
          <w:rFonts w:cs="Arial"/>
          <w:b/>
          <w:bCs/>
          <w:iCs/>
        </w:rPr>
      </w:pPr>
      <w:r>
        <w:rPr>
          <w:rFonts w:cs="Arial"/>
          <w:b/>
          <w:bCs/>
          <w:iCs/>
        </w:rPr>
        <w:t>4</w:t>
      </w:r>
      <w:r w:rsidR="006D73D4" w:rsidRPr="00BF6AC0">
        <w:rPr>
          <w:rFonts w:cs="Arial"/>
          <w:b/>
          <w:bCs/>
          <w:iCs/>
        </w:rPr>
        <w:t>. Porušení rozpočtové kázně</w:t>
      </w:r>
      <w:r w:rsidR="00BF6AC0">
        <w:rPr>
          <w:rFonts w:cs="Arial"/>
          <w:b/>
          <w:bCs/>
          <w:iCs/>
        </w:rPr>
        <w:t xml:space="preserve"> – záštita ministra</w:t>
      </w:r>
    </w:p>
    <w:p w:rsidR="00BF6AC0" w:rsidRPr="007113E1" w:rsidRDefault="00BF6AC0" w:rsidP="007113E1">
      <w:pPr>
        <w:ind w:firstLine="0"/>
        <w:rPr>
          <w:rFonts w:cs="Arial"/>
          <w:bCs/>
          <w:iCs/>
        </w:rPr>
      </w:pPr>
    </w:p>
    <w:p w:rsidR="00955251" w:rsidRPr="00030EB3" w:rsidRDefault="00955251" w:rsidP="00955251">
      <w:pPr>
        <w:ind w:firstLine="0"/>
        <w:rPr>
          <w:b/>
        </w:rPr>
      </w:pPr>
      <w:r w:rsidRPr="00030EB3">
        <w:rPr>
          <w:b/>
        </w:rPr>
        <w:t>MMR pod tzv. záštitou ministra poskytlo peněžní prostředky v celkové výši 3,2 mil</w:t>
      </w:r>
      <w:r w:rsidR="00D264C0">
        <w:rPr>
          <w:b/>
        </w:rPr>
        <w:t>.</w:t>
      </w:r>
      <w:r w:rsidRPr="00030EB3">
        <w:rPr>
          <w:b/>
        </w:rPr>
        <w:t xml:space="preserve"> Kč způsobem, který zákony ČR organizačním složkám státu neumožňují</w:t>
      </w:r>
      <w:r w:rsidR="00030EB3" w:rsidRPr="00030EB3">
        <w:rPr>
          <w:b/>
        </w:rPr>
        <w:t xml:space="preserve">, čímž porušilo </w:t>
      </w:r>
      <w:r w:rsidR="00030EB3" w:rsidRPr="00030EB3">
        <w:rPr>
          <w:rFonts w:cs="Arial"/>
          <w:b/>
          <w:lang w:eastAsia="cs-CZ"/>
        </w:rPr>
        <w:t>§</w:t>
      </w:r>
      <w:r w:rsidR="00104942">
        <w:rPr>
          <w:rFonts w:cs="Arial"/>
          <w:b/>
          <w:lang w:eastAsia="cs-CZ"/>
        </w:rPr>
        <w:t> </w:t>
      </w:r>
      <w:r w:rsidR="00030EB3" w:rsidRPr="00030EB3">
        <w:rPr>
          <w:rFonts w:cs="Arial"/>
          <w:b/>
          <w:lang w:eastAsia="cs-CZ"/>
        </w:rPr>
        <w:t>9 odst. 1 a § 14 odst. 1 zákona č. 219/2000 Sb. a</w:t>
      </w:r>
      <w:r w:rsidR="00030EB3" w:rsidRPr="00030EB3">
        <w:rPr>
          <w:b/>
        </w:rPr>
        <w:t xml:space="preserve"> ve smyslu § 44 odst. 1 písm. a) zákona č. 218/2000 Sb. se tím dopustilo porušení rozpočtové kázně. </w:t>
      </w:r>
    </w:p>
    <w:p w:rsidR="00030EB3" w:rsidRDefault="00030EB3" w:rsidP="00955251">
      <w:pPr>
        <w:ind w:firstLine="0"/>
        <w:rPr>
          <w:color w:val="000000"/>
        </w:rPr>
      </w:pPr>
    </w:p>
    <w:p w:rsidR="007E06C9" w:rsidRPr="007113E1" w:rsidRDefault="001810CB" w:rsidP="007E06C9">
      <w:pPr>
        <w:ind w:firstLine="0"/>
        <w:rPr>
          <w:rFonts w:cs="Arial"/>
          <w:bCs/>
          <w:iCs/>
          <w:color w:val="000000" w:themeColor="text1"/>
          <w:szCs w:val="22"/>
          <w:u w:val="single"/>
        </w:rPr>
      </w:pPr>
      <w:r w:rsidRPr="007113E1">
        <w:rPr>
          <w:color w:val="000000" w:themeColor="text1"/>
        </w:rPr>
        <w:t>Ověřením doklad</w:t>
      </w:r>
      <w:r w:rsidR="001B471D" w:rsidRPr="007113E1">
        <w:rPr>
          <w:color w:val="000000" w:themeColor="text1"/>
        </w:rPr>
        <w:t>ů</w:t>
      </w:r>
      <w:r w:rsidRPr="007113E1">
        <w:rPr>
          <w:color w:val="000000" w:themeColor="text1"/>
        </w:rPr>
        <w:t xml:space="preserve"> bylo zjištěno, že MMR v kontrolovaném období účtovalo o</w:t>
      </w:r>
      <w:r w:rsidR="003E0FDC" w:rsidRPr="007113E1">
        <w:rPr>
          <w:color w:val="000000" w:themeColor="text1"/>
        </w:rPr>
        <w:t> </w:t>
      </w:r>
      <w:r w:rsidRPr="007113E1">
        <w:rPr>
          <w:color w:val="000000" w:themeColor="text1"/>
        </w:rPr>
        <w:t>prostředcích vynaložených na tzv. záštitu ministra</w:t>
      </w:r>
      <w:r w:rsidR="007E06C9" w:rsidRPr="007113E1">
        <w:rPr>
          <w:color w:val="000000" w:themeColor="text1"/>
        </w:rPr>
        <w:t xml:space="preserve"> na účtu </w:t>
      </w:r>
      <w:r w:rsidR="007E06C9" w:rsidRPr="00D71574">
        <w:rPr>
          <w:color w:val="000000" w:themeColor="text1"/>
        </w:rPr>
        <w:t xml:space="preserve">543 – </w:t>
      </w:r>
      <w:r w:rsidR="007E06C9" w:rsidRPr="007113E1">
        <w:rPr>
          <w:i/>
          <w:color w:val="000000" w:themeColor="text1"/>
        </w:rPr>
        <w:t xml:space="preserve">Dary. </w:t>
      </w:r>
      <w:r w:rsidR="0014714A" w:rsidRPr="007113E1">
        <w:rPr>
          <w:color w:val="000000" w:themeColor="text1"/>
        </w:rPr>
        <w:t>Dle ustanovení § 49 od</w:t>
      </w:r>
      <w:r w:rsidR="00615C3D" w:rsidRPr="007113E1">
        <w:rPr>
          <w:color w:val="000000" w:themeColor="text1"/>
        </w:rPr>
        <w:t>s</w:t>
      </w:r>
      <w:r w:rsidR="0014714A" w:rsidRPr="007113E1">
        <w:rPr>
          <w:color w:val="000000" w:themeColor="text1"/>
        </w:rPr>
        <w:t>t. 5</w:t>
      </w:r>
      <w:r w:rsidR="008B41FF">
        <w:rPr>
          <w:color w:val="000000" w:themeColor="text1"/>
        </w:rPr>
        <w:t xml:space="preserve"> </w:t>
      </w:r>
      <w:r w:rsidR="006A474D" w:rsidRPr="007113E1">
        <w:rPr>
          <w:color w:val="000000" w:themeColor="text1"/>
        </w:rPr>
        <w:t xml:space="preserve">zákona č. 218/2000 Sb. </w:t>
      </w:r>
      <w:r w:rsidR="00615C3D" w:rsidRPr="007113E1">
        <w:rPr>
          <w:color w:val="000000" w:themeColor="text1"/>
        </w:rPr>
        <w:t>však organizační složky státu mohou poskytovat peněžní dary pouze z fondu kulturních a sociálních potřeb.</w:t>
      </w:r>
      <w:r w:rsidR="008B41FF">
        <w:rPr>
          <w:color w:val="000000" w:themeColor="text1"/>
        </w:rPr>
        <w:t xml:space="preserve"> </w:t>
      </w:r>
      <w:r w:rsidR="007E06C9" w:rsidRPr="007113E1">
        <w:rPr>
          <w:color w:val="000000" w:themeColor="text1"/>
        </w:rPr>
        <w:t xml:space="preserve">Z věcné podstaty případů vyplývá, že vynaložení peněžních prostředků odpovídalo poskytnutí dotace, avšak bez dotačního titulu a bez dodržení právních předpisů upravujících poskytování dotací. </w:t>
      </w:r>
    </w:p>
    <w:p w:rsidR="007E06C9" w:rsidRPr="007113E1" w:rsidRDefault="007E06C9" w:rsidP="00030EB3">
      <w:pPr>
        <w:ind w:firstLine="0"/>
        <w:rPr>
          <w:i/>
          <w:color w:val="000000" w:themeColor="text1"/>
        </w:rPr>
      </w:pPr>
    </w:p>
    <w:p w:rsidR="003068DE" w:rsidRPr="007113E1" w:rsidRDefault="00030EB3" w:rsidP="00030EB3">
      <w:pPr>
        <w:ind w:firstLine="0"/>
        <w:rPr>
          <w:color w:val="000000" w:themeColor="text1"/>
        </w:rPr>
      </w:pPr>
      <w:r w:rsidRPr="007113E1">
        <w:rPr>
          <w:color w:val="000000" w:themeColor="text1"/>
        </w:rPr>
        <w:t>MMR u pořadatelů jednotlivých akcí</w:t>
      </w:r>
      <w:r w:rsidR="00C878D4" w:rsidRPr="007113E1">
        <w:rPr>
          <w:color w:val="000000" w:themeColor="text1"/>
        </w:rPr>
        <w:t>, v </w:t>
      </w:r>
      <w:r w:rsidR="008B41FF">
        <w:rPr>
          <w:color w:val="000000" w:themeColor="text1"/>
        </w:rPr>
        <w:t xml:space="preserve">jejichž </w:t>
      </w:r>
      <w:r w:rsidR="00C878D4" w:rsidRPr="007113E1">
        <w:rPr>
          <w:color w:val="000000" w:themeColor="text1"/>
        </w:rPr>
        <w:t>rámci byla tzv. záštita ministra poskytována,</w:t>
      </w:r>
      <w:r w:rsidRPr="007113E1">
        <w:rPr>
          <w:color w:val="000000" w:themeColor="text1"/>
        </w:rPr>
        <w:t xml:space="preserve"> objednávalo blíže nespecifikované služby spojené s přípravami akce, případně podíl na zajištění průběhu nebo organizace akce, či podíl na nákladech akce. MMR však za vynaložené peněžní prostředky neobdrželo žádné plnění a uvedené služby nebyly vynaloženy na jeho činnost. Prostředky byly vynaloženy ve prospěch občanských sdružení, obcí, obchodních společností a obecně prospěšné společnosti.</w:t>
      </w:r>
    </w:p>
    <w:p w:rsidR="00380E23" w:rsidRPr="007113E1" w:rsidRDefault="00380E23">
      <w:pPr>
        <w:ind w:firstLine="0"/>
        <w:jc w:val="left"/>
        <w:rPr>
          <w:color w:val="000000" w:themeColor="text1"/>
        </w:rPr>
      </w:pPr>
    </w:p>
    <w:p w:rsidR="00380E23" w:rsidRDefault="00380E23">
      <w:pPr>
        <w:ind w:firstLine="0"/>
        <w:jc w:val="left"/>
      </w:pPr>
    </w:p>
    <w:p w:rsidR="00AC4B8B" w:rsidRPr="00F935DC" w:rsidRDefault="00AC4B8B" w:rsidP="003E0FDC">
      <w:pPr>
        <w:ind w:firstLine="0"/>
        <w:jc w:val="center"/>
        <w:rPr>
          <w:rFonts w:cs="Arial"/>
          <w:b/>
          <w:color w:val="000000"/>
          <w:sz w:val="24"/>
        </w:rPr>
      </w:pPr>
      <w:r w:rsidRPr="00F935DC">
        <w:rPr>
          <w:rFonts w:cs="Arial"/>
          <w:b/>
          <w:color w:val="000000"/>
          <w:sz w:val="24"/>
        </w:rPr>
        <w:t>III. Shrnutí a vyhodnocení</w:t>
      </w:r>
    </w:p>
    <w:p w:rsidR="00AC4B8B" w:rsidRPr="00F935DC" w:rsidRDefault="00AC4B8B" w:rsidP="007113E1">
      <w:pPr>
        <w:ind w:firstLine="0"/>
        <w:rPr>
          <w:rFonts w:cs="Arial"/>
          <w:color w:val="000000"/>
        </w:rPr>
      </w:pPr>
    </w:p>
    <w:p w:rsidR="00BB200F" w:rsidRPr="007113E1" w:rsidRDefault="00BB200F" w:rsidP="007113E1">
      <w:pPr>
        <w:ind w:firstLine="0"/>
        <w:rPr>
          <w:b/>
        </w:rPr>
      </w:pPr>
      <w:r w:rsidRPr="007113E1">
        <w:rPr>
          <w:b/>
        </w:rPr>
        <w:t>Správnost, úplnost a průkaznost údajů v účetní závěrce a finančních výkazech MMR</w:t>
      </w:r>
    </w:p>
    <w:p w:rsidR="00BB200F" w:rsidRPr="007113E1" w:rsidRDefault="00BB200F" w:rsidP="007113E1">
      <w:pPr>
        <w:ind w:firstLine="0"/>
      </w:pPr>
    </w:p>
    <w:p w:rsidR="0041506B" w:rsidRPr="007113E1" w:rsidRDefault="00BB200F" w:rsidP="007113E1">
      <w:pPr>
        <w:ind w:firstLine="0"/>
      </w:pPr>
      <w:r w:rsidRPr="007113E1">
        <w:t>Kontrolou bylo prověřeno, zda MMR při sestavení závěrečného účtu a při vedení účetnictví a</w:t>
      </w:r>
      <w:r w:rsidR="003E0FDC" w:rsidRPr="007113E1">
        <w:t> </w:t>
      </w:r>
      <w:r w:rsidRPr="007113E1">
        <w:t>sestavení účetní závěrky a finančních výkazů za rok 2012 postupovalo v souladu s příslušnými právními předpisy.</w:t>
      </w:r>
    </w:p>
    <w:p w:rsidR="0041506B" w:rsidRPr="007113E1" w:rsidRDefault="0041506B" w:rsidP="007113E1">
      <w:pPr>
        <w:ind w:firstLine="0"/>
      </w:pPr>
    </w:p>
    <w:p w:rsidR="00600C37" w:rsidRDefault="00600C37" w:rsidP="00600C37">
      <w:pPr>
        <w:ind w:firstLine="0"/>
        <w:rPr>
          <w:lang w:eastAsia="cs-CZ"/>
        </w:rPr>
      </w:pPr>
      <w:r>
        <w:rPr>
          <w:lang w:eastAsia="cs-CZ"/>
        </w:rPr>
        <w:t xml:space="preserve">MMR v roce 2012 nevedlo správné účetnictví ve smyslu § 8 odst. 2 zákona o účetnictví v oblasti účtování o </w:t>
      </w:r>
      <w:r w:rsidR="007E509C">
        <w:rPr>
          <w:lang w:eastAsia="cs-CZ"/>
        </w:rPr>
        <w:t xml:space="preserve">dlouhodobém </w:t>
      </w:r>
      <w:r w:rsidR="004C5CB8">
        <w:rPr>
          <w:lang w:eastAsia="cs-CZ"/>
        </w:rPr>
        <w:t xml:space="preserve">hmotném a nehmotném </w:t>
      </w:r>
      <w:r w:rsidR="007E509C">
        <w:rPr>
          <w:lang w:eastAsia="cs-CZ"/>
        </w:rPr>
        <w:t>majetku</w:t>
      </w:r>
      <w:r w:rsidR="004C5CB8">
        <w:rPr>
          <w:lang w:eastAsia="cs-CZ"/>
        </w:rPr>
        <w:t xml:space="preserve">, </w:t>
      </w:r>
      <w:r w:rsidR="004C5CB8" w:rsidRPr="006A5125">
        <w:rPr>
          <w:lang w:eastAsia="cs-CZ"/>
        </w:rPr>
        <w:t>o transferech spolufinancovaných ze zahraničí,</w:t>
      </w:r>
      <w:r w:rsidR="004C5CB8">
        <w:rPr>
          <w:lang w:eastAsia="cs-CZ"/>
        </w:rPr>
        <w:t xml:space="preserve"> o zástavních</w:t>
      </w:r>
      <w:r w:rsidR="00C66BB6">
        <w:rPr>
          <w:lang w:eastAsia="cs-CZ"/>
        </w:rPr>
        <w:t xml:space="preserve"> právech z poskytnutých investičních dotací či o závazcích vůči zaměstnancům z titulu mezd</w:t>
      </w:r>
      <w:r w:rsidR="00E20A49">
        <w:rPr>
          <w:lang w:eastAsia="cs-CZ"/>
        </w:rPr>
        <w:t>.</w:t>
      </w:r>
    </w:p>
    <w:p w:rsidR="00600C37" w:rsidRDefault="00600C37" w:rsidP="00600C37">
      <w:pPr>
        <w:ind w:firstLine="0"/>
        <w:rPr>
          <w:lang w:eastAsia="cs-CZ"/>
        </w:rPr>
      </w:pPr>
    </w:p>
    <w:p w:rsidR="00024642" w:rsidRDefault="00600C37" w:rsidP="007113E1">
      <w:pPr>
        <w:ind w:firstLine="0"/>
        <w:rPr>
          <w:lang w:eastAsia="cs-CZ"/>
        </w:rPr>
      </w:pPr>
      <w:r>
        <w:rPr>
          <w:lang w:eastAsia="cs-CZ"/>
        </w:rPr>
        <w:lastRenderedPageBreak/>
        <w:t>Úplné účetnictví ve smyslu § 8 odst. 3 zákona o účetnictví nevedlo</w:t>
      </w:r>
      <w:r w:rsidR="008B41FF" w:rsidRPr="008B41FF">
        <w:rPr>
          <w:lang w:eastAsia="cs-CZ"/>
        </w:rPr>
        <w:t xml:space="preserve"> </w:t>
      </w:r>
      <w:r w:rsidR="008B41FF">
        <w:rPr>
          <w:lang w:eastAsia="cs-CZ"/>
        </w:rPr>
        <w:t>MMR</w:t>
      </w:r>
      <w:r>
        <w:rPr>
          <w:lang w:eastAsia="cs-CZ"/>
        </w:rPr>
        <w:t xml:space="preserve"> v oblasti účtování o</w:t>
      </w:r>
      <w:r w:rsidR="003E0FDC">
        <w:rPr>
          <w:lang w:eastAsia="cs-CZ"/>
        </w:rPr>
        <w:t> </w:t>
      </w:r>
      <w:r w:rsidR="00C66BB6">
        <w:rPr>
          <w:lang w:eastAsia="cs-CZ"/>
        </w:rPr>
        <w:t>bezúplatně nabytých licencích k IS MONIT a IS BENEFIT, o odpisech majetku pořízeného v průběhu roku 2012</w:t>
      </w:r>
      <w:r w:rsidR="0095082F">
        <w:rPr>
          <w:lang w:eastAsia="cs-CZ"/>
        </w:rPr>
        <w:t>,</w:t>
      </w:r>
      <w:r w:rsidR="00C66BB6">
        <w:rPr>
          <w:lang w:eastAsia="cs-CZ"/>
        </w:rPr>
        <w:t xml:space="preserve"> v</w:t>
      </w:r>
      <w:r w:rsidR="0095082F">
        <w:rPr>
          <w:lang w:eastAsia="cs-CZ"/>
        </w:rPr>
        <w:t> </w:t>
      </w:r>
      <w:r w:rsidR="00C66BB6">
        <w:rPr>
          <w:lang w:eastAsia="cs-CZ"/>
        </w:rPr>
        <w:t>oblasti dlouhodobých podmíněných pohledávek a</w:t>
      </w:r>
      <w:r w:rsidR="008B41FF">
        <w:rPr>
          <w:lang w:eastAsia="cs-CZ"/>
        </w:rPr>
        <w:t> </w:t>
      </w:r>
      <w:r w:rsidR="00C66BB6">
        <w:rPr>
          <w:lang w:eastAsia="cs-CZ"/>
        </w:rPr>
        <w:t>závazků</w:t>
      </w:r>
      <w:r w:rsidR="00E20A49">
        <w:rPr>
          <w:lang w:eastAsia="cs-CZ"/>
        </w:rPr>
        <w:t xml:space="preserve"> z uzavřených smluv</w:t>
      </w:r>
      <w:r w:rsidR="0095082F">
        <w:rPr>
          <w:lang w:eastAsia="cs-CZ"/>
        </w:rPr>
        <w:t xml:space="preserve"> a v oblasti podmíněných závazků </w:t>
      </w:r>
      <w:r w:rsidR="0064147A">
        <w:rPr>
          <w:lang w:eastAsia="cs-CZ"/>
        </w:rPr>
        <w:t>u</w:t>
      </w:r>
      <w:r w:rsidR="0095082F">
        <w:rPr>
          <w:lang w:eastAsia="cs-CZ"/>
        </w:rPr>
        <w:t xml:space="preserve"> národních transferů</w:t>
      </w:r>
      <w:r w:rsidR="00C66BB6">
        <w:rPr>
          <w:lang w:eastAsia="cs-CZ"/>
        </w:rPr>
        <w:t>.</w:t>
      </w:r>
    </w:p>
    <w:p w:rsidR="008C756C" w:rsidRDefault="008C756C" w:rsidP="007113E1">
      <w:pPr>
        <w:ind w:firstLine="0"/>
        <w:rPr>
          <w:lang w:eastAsia="cs-CZ"/>
        </w:rPr>
      </w:pPr>
    </w:p>
    <w:p w:rsidR="00131853" w:rsidRPr="004C4E35" w:rsidRDefault="00131853" w:rsidP="007113E1">
      <w:pPr>
        <w:ind w:firstLine="0"/>
        <w:rPr>
          <w:rFonts w:eastAsia="Calibri" w:cs="Arial"/>
          <w:szCs w:val="22"/>
        </w:rPr>
      </w:pPr>
      <w:r w:rsidRPr="004C4E35">
        <w:rPr>
          <w:rFonts w:eastAsia="Calibri" w:cs="Arial"/>
          <w:szCs w:val="22"/>
        </w:rPr>
        <w:t>Při kontrole byly zjištěny významné nesprávnosti:</w:t>
      </w:r>
    </w:p>
    <w:p w:rsidR="0048346E" w:rsidRPr="00496B7A" w:rsidRDefault="00131853" w:rsidP="007113E1">
      <w:pPr>
        <w:numPr>
          <w:ilvl w:val="0"/>
          <w:numId w:val="40"/>
        </w:numPr>
        <w:ind w:left="284" w:hanging="284"/>
        <w:rPr>
          <w:rFonts w:cs="Arial"/>
        </w:rPr>
      </w:pPr>
      <w:r w:rsidRPr="0048346E">
        <w:rPr>
          <w:rFonts w:eastAsia="Calibri" w:cs="Arial"/>
          <w:szCs w:val="22"/>
        </w:rPr>
        <w:t xml:space="preserve">ve výkazu </w:t>
      </w:r>
      <w:r w:rsidR="008B41FF">
        <w:rPr>
          <w:rFonts w:eastAsia="Calibri" w:cs="Arial"/>
          <w:b/>
          <w:szCs w:val="22"/>
        </w:rPr>
        <w:t>r</w:t>
      </w:r>
      <w:r w:rsidRPr="0048346E">
        <w:rPr>
          <w:rFonts w:eastAsia="Calibri" w:cs="Arial"/>
          <w:b/>
          <w:szCs w:val="22"/>
        </w:rPr>
        <w:t>ozvaha</w:t>
      </w:r>
      <w:r w:rsidRPr="0048346E">
        <w:rPr>
          <w:rFonts w:eastAsia="Calibri" w:cs="Arial"/>
          <w:szCs w:val="22"/>
        </w:rPr>
        <w:t xml:space="preserve">, </w:t>
      </w:r>
      <w:r w:rsidR="00594696">
        <w:rPr>
          <w:rFonts w:eastAsia="Calibri" w:cs="Arial"/>
          <w:szCs w:val="22"/>
        </w:rPr>
        <w:t xml:space="preserve">kde </w:t>
      </w:r>
      <w:r w:rsidRPr="0048346E">
        <w:rPr>
          <w:rFonts w:eastAsia="Calibri" w:cs="Arial"/>
          <w:szCs w:val="22"/>
        </w:rPr>
        <w:t>nejvýznamnější</w:t>
      </w:r>
      <w:r w:rsidR="008B41FF">
        <w:rPr>
          <w:rFonts w:eastAsia="Calibri" w:cs="Arial"/>
          <w:szCs w:val="22"/>
        </w:rPr>
        <w:t xml:space="preserve"> nesprávností</w:t>
      </w:r>
      <w:r w:rsidRPr="0048346E">
        <w:rPr>
          <w:rFonts w:eastAsia="Calibri" w:cs="Arial"/>
          <w:szCs w:val="22"/>
        </w:rPr>
        <w:t xml:space="preserve"> jsou </w:t>
      </w:r>
      <w:r w:rsidRPr="0048346E">
        <w:rPr>
          <w:rFonts w:cs="Arial"/>
        </w:rPr>
        <w:t>nevykázání nevypořádaných záloh na transfery v rámci ROP, OP PK</w:t>
      </w:r>
      <w:r w:rsidR="008B41FF">
        <w:rPr>
          <w:rFonts w:cs="Arial"/>
        </w:rPr>
        <w:t xml:space="preserve"> a OP PA ve výši přesahující 14 </w:t>
      </w:r>
      <w:r w:rsidRPr="0048346E">
        <w:rPr>
          <w:rFonts w:cs="Arial"/>
        </w:rPr>
        <w:t>mld.</w:t>
      </w:r>
      <w:r w:rsidR="008B41FF">
        <w:rPr>
          <w:rFonts w:cs="Arial"/>
        </w:rPr>
        <w:t> </w:t>
      </w:r>
      <w:r w:rsidRPr="0048346E">
        <w:rPr>
          <w:rFonts w:cs="Arial"/>
        </w:rPr>
        <w:t>Kč a</w:t>
      </w:r>
      <w:r w:rsidR="00B83CF1">
        <w:rPr>
          <w:rFonts w:cs="Arial"/>
        </w:rPr>
        <w:t> </w:t>
      </w:r>
      <w:r w:rsidRPr="0048346E">
        <w:rPr>
          <w:rFonts w:cs="Arial"/>
        </w:rPr>
        <w:t xml:space="preserve">nevykázání nevypořádaných záloh na transfery v rámci IOP </w:t>
      </w:r>
      <w:r w:rsidRPr="0048346E">
        <w:rPr>
          <w:rFonts w:cs="Arial"/>
          <w:iCs/>
        </w:rPr>
        <w:t>ve výši</w:t>
      </w:r>
      <w:r w:rsidR="00B8710D" w:rsidRPr="0048346E">
        <w:rPr>
          <w:rFonts w:cs="Arial"/>
          <w:iCs/>
        </w:rPr>
        <w:t xml:space="preserve"> </w:t>
      </w:r>
      <w:r w:rsidR="008B41FF">
        <w:rPr>
          <w:rFonts w:cs="Arial"/>
        </w:rPr>
        <w:t>více než 600 </w:t>
      </w:r>
      <w:r w:rsidRPr="0048346E">
        <w:rPr>
          <w:rFonts w:cs="Arial"/>
        </w:rPr>
        <w:t>m</w:t>
      </w:r>
      <w:r w:rsidR="008B41FF">
        <w:rPr>
          <w:rFonts w:cs="Arial"/>
        </w:rPr>
        <w:t>il. </w:t>
      </w:r>
      <w:r w:rsidRPr="0048346E">
        <w:rPr>
          <w:rFonts w:cs="Arial"/>
        </w:rPr>
        <w:t>Kč</w:t>
      </w:r>
      <w:r w:rsidR="0048346E">
        <w:rPr>
          <w:rFonts w:eastAsia="Calibri" w:cs="Arial"/>
          <w:szCs w:val="22"/>
        </w:rPr>
        <w:t>,</w:t>
      </w:r>
    </w:p>
    <w:p w:rsidR="000C78A0" w:rsidRPr="0048346E" w:rsidRDefault="00131853" w:rsidP="007113E1">
      <w:pPr>
        <w:numPr>
          <w:ilvl w:val="0"/>
          <w:numId w:val="40"/>
        </w:numPr>
        <w:ind w:left="284" w:hanging="284"/>
        <w:rPr>
          <w:rFonts w:cs="Arial"/>
        </w:rPr>
      </w:pPr>
      <w:r w:rsidRPr="0048346E">
        <w:rPr>
          <w:rFonts w:eastAsia="Calibri" w:cs="Arial"/>
          <w:szCs w:val="22"/>
        </w:rPr>
        <w:t>v </w:t>
      </w:r>
      <w:r w:rsidR="008B41FF">
        <w:rPr>
          <w:rFonts w:eastAsia="Calibri" w:cs="Arial"/>
          <w:b/>
          <w:szCs w:val="22"/>
        </w:rPr>
        <w:t>p</w:t>
      </w:r>
      <w:r w:rsidRPr="0048346E">
        <w:rPr>
          <w:rFonts w:eastAsia="Calibri" w:cs="Arial"/>
          <w:b/>
          <w:szCs w:val="22"/>
        </w:rPr>
        <w:t>říloze</w:t>
      </w:r>
      <w:r w:rsidRPr="0048346E">
        <w:rPr>
          <w:rFonts w:eastAsia="Calibri" w:cs="Arial"/>
          <w:szCs w:val="22"/>
        </w:rPr>
        <w:t>,</w:t>
      </w:r>
      <w:r w:rsidR="0048346E">
        <w:rPr>
          <w:rFonts w:eastAsia="Calibri" w:cs="Arial"/>
          <w:szCs w:val="22"/>
        </w:rPr>
        <w:t xml:space="preserve"> </w:t>
      </w:r>
      <w:r w:rsidR="00594696">
        <w:rPr>
          <w:rFonts w:eastAsia="Calibri" w:cs="Arial"/>
          <w:szCs w:val="22"/>
        </w:rPr>
        <w:t xml:space="preserve">kde </w:t>
      </w:r>
      <w:r w:rsidRPr="0048346E">
        <w:rPr>
          <w:rFonts w:eastAsia="Calibri" w:cs="Arial"/>
          <w:szCs w:val="22"/>
        </w:rPr>
        <w:t xml:space="preserve">nejvýznamnější </w:t>
      </w:r>
      <w:r w:rsidR="008B41FF">
        <w:rPr>
          <w:rFonts w:eastAsia="Calibri" w:cs="Arial"/>
          <w:szCs w:val="22"/>
        </w:rPr>
        <w:t xml:space="preserve">nesprávností </w:t>
      </w:r>
      <w:r w:rsidRPr="0048346E">
        <w:rPr>
          <w:rFonts w:eastAsia="Calibri" w:cs="Arial"/>
          <w:szCs w:val="22"/>
        </w:rPr>
        <w:t>j</w:t>
      </w:r>
      <w:r w:rsidR="00443D32" w:rsidRPr="0048346E">
        <w:rPr>
          <w:rFonts w:eastAsia="Calibri" w:cs="Arial"/>
          <w:szCs w:val="22"/>
        </w:rPr>
        <w:t xml:space="preserve">e </w:t>
      </w:r>
      <w:r w:rsidRPr="0048346E">
        <w:rPr>
          <w:rFonts w:cs="Arial"/>
        </w:rPr>
        <w:t xml:space="preserve">nesprávné zobrazení zástavních práv z titulu poskytnutých investičních dotací ve výši 9,5 mld. </w:t>
      </w:r>
      <w:r w:rsidR="0048346E" w:rsidRPr="0048346E">
        <w:rPr>
          <w:rFonts w:cs="Arial"/>
        </w:rPr>
        <w:t>Kč</w:t>
      </w:r>
      <w:r w:rsidR="0048346E">
        <w:rPr>
          <w:rFonts w:cs="Arial"/>
        </w:rPr>
        <w:t>.</w:t>
      </w:r>
    </w:p>
    <w:p w:rsidR="00131853" w:rsidRDefault="00131853" w:rsidP="007113E1">
      <w:pPr>
        <w:ind w:firstLine="0"/>
        <w:rPr>
          <w:rFonts w:cs="Arial"/>
        </w:rPr>
      </w:pPr>
    </w:p>
    <w:p w:rsidR="00241AB5" w:rsidRDefault="0099635E" w:rsidP="00241AB5">
      <w:pPr>
        <w:ind w:firstLine="0"/>
      </w:pPr>
      <w:r w:rsidRPr="004C4E35">
        <w:rPr>
          <w:rFonts w:eastAsia="Calibri" w:cs="Arial"/>
          <w:szCs w:val="22"/>
        </w:rPr>
        <w:t xml:space="preserve">Pro posouzení spolehlivosti účetní závěrky </w:t>
      </w:r>
      <w:r w:rsidRPr="005D6767">
        <w:rPr>
          <w:rFonts w:eastAsia="Calibri" w:cs="Arial"/>
          <w:b/>
          <w:szCs w:val="22"/>
        </w:rPr>
        <w:t>byla stanovena významnost (</w:t>
      </w:r>
      <w:proofErr w:type="spellStart"/>
      <w:r w:rsidRPr="005D6767">
        <w:rPr>
          <w:rFonts w:eastAsia="Calibri" w:cs="Arial"/>
          <w:b/>
          <w:szCs w:val="22"/>
        </w:rPr>
        <w:t>materialita</w:t>
      </w:r>
      <w:proofErr w:type="spellEnd"/>
      <w:r w:rsidRPr="005D6767">
        <w:rPr>
          <w:rFonts w:eastAsia="Calibri" w:cs="Arial"/>
          <w:b/>
          <w:szCs w:val="22"/>
        </w:rPr>
        <w:t>)</w:t>
      </w:r>
      <w:r w:rsidR="00391326">
        <w:rPr>
          <w:rStyle w:val="Znakapoznpodarou"/>
          <w:rFonts w:eastAsia="Calibri" w:cs="Arial"/>
          <w:b/>
          <w:szCs w:val="22"/>
        </w:rPr>
        <w:footnoteReference w:id="5"/>
      </w:r>
      <w:r w:rsidR="00BB1B8F" w:rsidRPr="00BB1B8F">
        <w:rPr>
          <w:rFonts w:eastAsia="Calibri" w:cs="Arial"/>
          <w:szCs w:val="22"/>
        </w:rPr>
        <w:t>,</w:t>
      </w:r>
      <w:r w:rsidRPr="00BB1B8F">
        <w:rPr>
          <w:rFonts w:eastAsia="Calibri" w:cs="Arial"/>
          <w:szCs w:val="22"/>
        </w:rPr>
        <w:t xml:space="preserve"> </w:t>
      </w:r>
      <w:bookmarkStart w:id="1" w:name="_GoBack"/>
      <w:bookmarkEnd w:id="1"/>
      <w:r w:rsidRPr="004C4E35">
        <w:rPr>
          <w:rFonts w:eastAsia="Calibri" w:cs="Arial"/>
          <w:szCs w:val="22"/>
        </w:rPr>
        <w:t>tj.</w:t>
      </w:r>
      <w:r w:rsidR="00015FC7">
        <w:rPr>
          <w:rFonts w:eastAsia="Calibri" w:cs="Arial"/>
          <w:szCs w:val="22"/>
        </w:rPr>
        <w:t> </w:t>
      </w:r>
      <w:r w:rsidRPr="004C4E35">
        <w:rPr>
          <w:rFonts w:eastAsia="Calibri" w:cs="Arial"/>
          <w:szCs w:val="22"/>
        </w:rPr>
        <w:t xml:space="preserve">hodnota nesprávností, u kterých je možné přiměřeně očekávat, že jednotlivě nebo v součtu ovlivní ekonomická rozhodnutí uživatelů účetní závěrky, </w:t>
      </w:r>
      <w:r w:rsidRPr="005D6767">
        <w:rPr>
          <w:rFonts w:eastAsia="Calibri" w:cs="Arial"/>
          <w:b/>
          <w:szCs w:val="22"/>
        </w:rPr>
        <w:t>ve výši 400 mil. Kč</w:t>
      </w:r>
      <w:r w:rsidRPr="008B41FF">
        <w:rPr>
          <w:rFonts w:eastAsia="Calibri" w:cs="Arial"/>
          <w:b/>
          <w:szCs w:val="22"/>
        </w:rPr>
        <w:t>.</w:t>
      </w:r>
      <w:r w:rsidR="008B41FF">
        <w:rPr>
          <w:rFonts w:eastAsia="Calibri" w:cs="Arial"/>
          <w:b/>
          <w:szCs w:val="22"/>
        </w:rPr>
        <w:t xml:space="preserve"> </w:t>
      </w:r>
      <w:r w:rsidR="00241AB5" w:rsidRPr="005D6767">
        <w:rPr>
          <w:rFonts w:eastAsia="Calibri" w:cs="Arial"/>
          <w:b/>
          <w:szCs w:val="22"/>
        </w:rPr>
        <w:t>Celková částka nesprávností</w:t>
      </w:r>
      <w:r w:rsidR="00241AB5" w:rsidRPr="004C4E35">
        <w:rPr>
          <w:rFonts w:eastAsia="Calibri" w:cs="Arial"/>
          <w:szCs w:val="22"/>
        </w:rPr>
        <w:t xml:space="preserve">, které byly v průběhu kontroly zjištěny, </w:t>
      </w:r>
      <w:r w:rsidR="00241AB5" w:rsidRPr="005D6767">
        <w:rPr>
          <w:b/>
        </w:rPr>
        <w:t>byla vyčíslena ve výši</w:t>
      </w:r>
      <w:r w:rsidR="006317E9">
        <w:rPr>
          <w:b/>
        </w:rPr>
        <w:t xml:space="preserve"> </w:t>
      </w:r>
      <w:r w:rsidR="00241AB5" w:rsidRPr="005D6767">
        <w:rPr>
          <w:b/>
        </w:rPr>
        <w:t>25,5 mld. Kč</w:t>
      </w:r>
      <w:r w:rsidR="00241AB5" w:rsidRPr="008B41FF">
        <w:rPr>
          <w:b/>
        </w:rPr>
        <w:t>.</w:t>
      </w:r>
    </w:p>
    <w:p w:rsidR="00256955" w:rsidRDefault="00256955" w:rsidP="00241AB5">
      <w:pPr>
        <w:ind w:firstLine="0"/>
      </w:pPr>
    </w:p>
    <w:p w:rsidR="00256955" w:rsidRDefault="00DE7862" w:rsidP="00241AB5">
      <w:pPr>
        <w:ind w:firstLine="0"/>
      </w:pPr>
      <w:r>
        <w:rPr>
          <w:b/>
        </w:rPr>
        <w:t>Transfery</w:t>
      </w:r>
      <w:r w:rsidR="00E13884">
        <w:rPr>
          <w:b/>
        </w:rPr>
        <w:t xml:space="preserve"> spolufinancované z</w:t>
      </w:r>
      <w:r w:rsidR="003068DE">
        <w:rPr>
          <w:b/>
        </w:rPr>
        <w:t>e zahraničí</w:t>
      </w:r>
      <w:r>
        <w:rPr>
          <w:b/>
        </w:rPr>
        <w:t xml:space="preserve"> </w:t>
      </w:r>
    </w:p>
    <w:p w:rsidR="00241AB5" w:rsidRPr="004C4E35" w:rsidRDefault="00241AB5" w:rsidP="007113E1">
      <w:pPr>
        <w:ind w:firstLine="0"/>
        <w:rPr>
          <w:rFonts w:cs="Arial"/>
        </w:rPr>
      </w:pPr>
    </w:p>
    <w:p w:rsidR="00B8277A" w:rsidRPr="00496B7A" w:rsidRDefault="00B8277A" w:rsidP="005C2C19">
      <w:pPr>
        <w:ind w:firstLine="0"/>
        <w:rPr>
          <w:rFonts w:cs="Arial"/>
          <w:b/>
        </w:rPr>
      </w:pPr>
      <w:r>
        <w:rPr>
          <w:rFonts w:cs="Arial"/>
        </w:rPr>
        <w:t xml:space="preserve">Účtování a vykazování účetních případů týkajících se poskytování peněžních prostředků státního rozpočtu na předfinancování výdajů, které mají být kryty prostředky z rozpočtu EU, </w:t>
      </w:r>
      <w:r w:rsidR="0014714A">
        <w:rPr>
          <w:rFonts w:cs="Arial"/>
        </w:rPr>
        <w:t>je</w:t>
      </w:r>
      <w:r>
        <w:rPr>
          <w:rFonts w:cs="Arial"/>
        </w:rPr>
        <w:t xml:space="preserve"> zatíženo nejasnostmi</w:t>
      </w:r>
      <w:r w:rsidR="003068DE">
        <w:rPr>
          <w:rFonts w:cs="Arial"/>
        </w:rPr>
        <w:t xml:space="preserve"> </w:t>
      </w:r>
      <w:r w:rsidR="0027748F">
        <w:rPr>
          <w:rFonts w:cs="Arial"/>
        </w:rPr>
        <w:t>a</w:t>
      </w:r>
      <w:r>
        <w:rPr>
          <w:rFonts w:cs="Arial"/>
        </w:rPr>
        <w:t> nejednoznačnostmi při aplikaci ČÚS č. 703, tj. není jednoznačně stanoveno, zda má být vybraná účetní jednotka v případě účtování transferů spolufinancovaných z EU v roli poskytovatele a příjemce, či v roli zprostředkovatele. Přitom informace o těchto účetních případech jsou v účetní závěrce M</w:t>
      </w:r>
      <w:r w:rsidR="00F31376">
        <w:rPr>
          <w:rFonts w:cs="Arial"/>
        </w:rPr>
        <w:t>MR</w:t>
      </w:r>
      <w:r>
        <w:rPr>
          <w:rFonts w:cs="Arial"/>
        </w:rPr>
        <w:t xml:space="preserve"> významné.</w:t>
      </w:r>
      <w:r w:rsidR="00344A43">
        <w:rPr>
          <w:rFonts w:cs="Arial"/>
        </w:rPr>
        <w:t xml:space="preserve"> </w:t>
      </w:r>
      <w:r w:rsidR="00344A43" w:rsidRPr="00496B7A">
        <w:rPr>
          <w:rFonts w:cs="Arial"/>
          <w:b/>
        </w:rPr>
        <w:t xml:space="preserve">Různé výklady </w:t>
      </w:r>
      <w:r w:rsidR="0048346E">
        <w:rPr>
          <w:rFonts w:cs="Arial"/>
          <w:b/>
        </w:rPr>
        <w:t xml:space="preserve">ČÚS </w:t>
      </w:r>
      <w:r w:rsidR="008B41FF">
        <w:rPr>
          <w:rFonts w:cs="Arial"/>
          <w:b/>
        </w:rPr>
        <w:t>č. </w:t>
      </w:r>
      <w:r w:rsidR="0048346E">
        <w:rPr>
          <w:rFonts w:cs="Arial"/>
          <w:b/>
        </w:rPr>
        <w:t xml:space="preserve">703 </w:t>
      </w:r>
      <w:r w:rsidR="00344A43" w:rsidRPr="00496B7A">
        <w:rPr>
          <w:rFonts w:cs="Arial"/>
          <w:b/>
        </w:rPr>
        <w:t xml:space="preserve">mohou vést k významně odlišnému zobrazení skutečností v účetní závěrce. Z toho důvodu není možné </w:t>
      </w:r>
      <w:r w:rsidR="008B41FF" w:rsidRPr="00496B7A">
        <w:rPr>
          <w:rFonts w:cs="Arial"/>
          <w:b/>
        </w:rPr>
        <w:t xml:space="preserve">vyjádřit </w:t>
      </w:r>
      <w:r w:rsidR="00344A43" w:rsidRPr="00496B7A">
        <w:rPr>
          <w:rFonts w:cs="Arial"/>
          <w:b/>
        </w:rPr>
        <w:t>se ke spolehlivosti účetní závěrky MMR k 31.</w:t>
      </w:r>
      <w:r w:rsidR="00380E23">
        <w:rPr>
          <w:rFonts w:cs="Arial"/>
          <w:b/>
        </w:rPr>
        <w:t> </w:t>
      </w:r>
      <w:r w:rsidR="00E55A7D">
        <w:rPr>
          <w:rFonts w:cs="Arial"/>
          <w:b/>
        </w:rPr>
        <w:t xml:space="preserve">prosinci </w:t>
      </w:r>
      <w:r w:rsidR="00344A43" w:rsidRPr="00496B7A">
        <w:rPr>
          <w:rFonts w:cs="Arial"/>
          <w:b/>
        </w:rPr>
        <w:t>2012</w:t>
      </w:r>
      <w:r w:rsidR="00DB569E">
        <w:rPr>
          <w:rStyle w:val="Znakapoznpodarou"/>
          <w:rFonts w:cs="Arial"/>
          <w:b/>
        </w:rPr>
        <w:footnoteReference w:id="6"/>
      </w:r>
      <w:r w:rsidR="00344A43" w:rsidRPr="00496B7A">
        <w:rPr>
          <w:rFonts w:cs="Arial"/>
          <w:b/>
        </w:rPr>
        <w:t>.</w:t>
      </w:r>
    </w:p>
    <w:p w:rsidR="004726B6" w:rsidRPr="007113E1" w:rsidRDefault="004726B6" w:rsidP="002862D2">
      <w:pPr>
        <w:ind w:firstLine="0"/>
        <w:rPr>
          <w:rFonts w:cs="Arial"/>
          <w:bCs/>
          <w:iCs/>
          <w:szCs w:val="22"/>
        </w:rPr>
      </w:pPr>
    </w:p>
    <w:p w:rsidR="003353FD" w:rsidRPr="008A77F9" w:rsidRDefault="003B4A20" w:rsidP="002862D2">
      <w:pPr>
        <w:ind w:firstLine="0"/>
        <w:rPr>
          <w:rFonts w:cs="Arial"/>
          <w:b/>
          <w:bCs/>
          <w:iCs/>
          <w:szCs w:val="22"/>
        </w:rPr>
      </w:pPr>
      <w:r>
        <w:rPr>
          <w:rFonts w:cs="Arial"/>
          <w:b/>
          <w:bCs/>
          <w:iCs/>
          <w:szCs w:val="22"/>
        </w:rPr>
        <w:t>Současně</w:t>
      </w:r>
      <w:r w:rsidR="00344A43">
        <w:rPr>
          <w:rFonts w:cs="Arial"/>
          <w:b/>
          <w:bCs/>
          <w:iCs/>
          <w:szCs w:val="22"/>
        </w:rPr>
        <w:t xml:space="preserve"> je </w:t>
      </w:r>
      <w:r>
        <w:rPr>
          <w:rFonts w:cs="Arial"/>
          <w:b/>
          <w:bCs/>
          <w:iCs/>
          <w:szCs w:val="22"/>
        </w:rPr>
        <w:t>však</w:t>
      </w:r>
      <w:r w:rsidR="003353FD">
        <w:rPr>
          <w:rFonts w:cs="Arial"/>
          <w:b/>
          <w:bCs/>
          <w:iCs/>
          <w:szCs w:val="22"/>
        </w:rPr>
        <w:t xml:space="preserve"> </w:t>
      </w:r>
      <w:r w:rsidR="00344A43">
        <w:rPr>
          <w:rFonts w:cs="Arial"/>
          <w:b/>
          <w:bCs/>
          <w:iCs/>
          <w:szCs w:val="22"/>
        </w:rPr>
        <w:t xml:space="preserve">třeba </w:t>
      </w:r>
      <w:r w:rsidR="003353FD">
        <w:rPr>
          <w:rFonts w:cs="Arial"/>
          <w:b/>
          <w:bCs/>
          <w:iCs/>
          <w:szCs w:val="22"/>
        </w:rPr>
        <w:t>upozor</w:t>
      </w:r>
      <w:r w:rsidR="00344A43">
        <w:rPr>
          <w:rFonts w:cs="Arial"/>
          <w:b/>
          <w:bCs/>
          <w:iCs/>
          <w:szCs w:val="22"/>
        </w:rPr>
        <w:t>nit</w:t>
      </w:r>
      <w:r w:rsidR="003353FD">
        <w:rPr>
          <w:rFonts w:cs="Arial"/>
          <w:b/>
          <w:bCs/>
          <w:iCs/>
          <w:szCs w:val="22"/>
        </w:rPr>
        <w:t xml:space="preserve"> na skutečnost, že v rámci kontroly byly zjištěny významné nesprávnosti, které mnohonásobně překročily stanovenou hladinu významnosti</w:t>
      </w:r>
      <w:r w:rsidR="00DB569E">
        <w:rPr>
          <w:rFonts w:cs="Arial"/>
          <w:b/>
          <w:bCs/>
          <w:iCs/>
          <w:szCs w:val="22"/>
        </w:rPr>
        <w:t xml:space="preserve"> a za jiných okolností</w:t>
      </w:r>
      <w:r w:rsidR="00DB569E">
        <w:rPr>
          <w:rStyle w:val="Znakapoznpodarou"/>
          <w:rFonts w:cs="Arial"/>
          <w:b/>
          <w:bCs/>
          <w:iCs/>
          <w:szCs w:val="22"/>
        </w:rPr>
        <w:footnoteReference w:id="7"/>
      </w:r>
      <w:r w:rsidR="00DB569E">
        <w:rPr>
          <w:rFonts w:cs="Arial"/>
          <w:b/>
          <w:bCs/>
          <w:iCs/>
          <w:szCs w:val="22"/>
        </w:rPr>
        <w:t xml:space="preserve"> by vedly k modifikovanému výroku.</w:t>
      </w:r>
    </w:p>
    <w:p w:rsidR="00EB6EDD" w:rsidRPr="007113E1" w:rsidRDefault="00EB6EDD" w:rsidP="005C2C19">
      <w:pPr>
        <w:ind w:firstLine="0"/>
        <w:rPr>
          <w:rFonts w:cs="Arial"/>
          <w:bCs/>
        </w:rPr>
      </w:pPr>
    </w:p>
    <w:p w:rsidR="000819A0" w:rsidRDefault="00950DBD" w:rsidP="00247B03">
      <w:pPr>
        <w:ind w:firstLine="0"/>
        <w:rPr>
          <w:b/>
        </w:rPr>
      </w:pPr>
      <w:r w:rsidRPr="008660DD">
        <w:rPr>
          <w:b/>
        </w:rPr>
        <w:t xml:space="preserve">Přehled o změnách vlastního kapitálu </w:t>
      </w:r>
    </w:p>
    <w:p w:rsidR="003130D3" w:rsidRDefault="003130D3" w:rsidP="00247B03">
      <w:pPr>
        <w:ind w:firstLine="0"/>
        <w:rPr>
          <w:rFonts w:cs="Arial"/>
          <w:szCs w:val="22"/>
        </w:rPr>
      </w:pPr>
    </w:p>
    <w:p w:rsidR="00950DBD" w:rsidRDefault="00950DBD" w:rsidP="00B83CF1">
      <w:pPr>
        <w:ind w:firstLine="0"/>
        <w:rPr>
          <w:rFonts w:cs="Arial"/>
          <w:szCs w:val="22"/>
        </w:rPr>
      </w:pPr>
      <w:r>
        <w:rPr>
          <w:rFonts w:cs="Arial"/>
          <w:szCs w:val="22"/>
        </w:rPr>
        <w:t>Nejasn</w:t>
      </w:r>
      <w:r w:rsidR="005779F4">
        <w:rPr>
          <w:rFonts w:cs="Arial"/>
          <w:szCs w:val="22"/>
        </w:rPr>
        <w:t xml:space="preserve">é znění </w:t>
      </w:r>
      <w:r w:rsidRPr="00FE0770">
        <w:rPr>
          <w:rFonts w:cs="Arial"/>
          <w:szCs w:val="22"/>
        </w:rPr>
        <w:t>vyhlášky č. 410/2009 Sb. v</w:t>
      </w:r>
      <w:r>
        <w:rPr>
          <w:rFonts w:cs="Arial"/>
          <w:szCs w:val="22"/>
        </w:rPr>
        <w:t xml:space="preserve"> oblasti způsobu naplnění </w:t>
      </w:r>
      <w:proofErr w:type="gramStart"/>
      <w:r>
        <w:rPr>
          <w:rFonts w:cs="Arial"/>
          <w:szCs w:val="22"/>
        </w:rPr>
        <w:t xml:space="preserve">položek </w:t>
      </w:r>
      <w:r w:rsidRPr="00376A1A">
        <w:rPr>
          <w:rFonts w:cs="Arial"/>
          <w:i/>
        </w:rPr>
        <w:t>B.</w:t>
      </w:r>
      <w:r w:rsidRPr="001C12E8">
        <w:rPr>
          <w:rFonts w:cs="Arial"/>
        </w:rPr>
        <w:t xml:space="preserve"> </w:t>
      </w:r>
      <w:r w:rsidRPr="00E44AFF">
        <w:rPr>
          <w:rFonts w:cs="Arial"/>
        </w:rPr>
        <w:t>a</w:t>
      </w:r>
      <w:r w:rsidR="003E0FDC">
        <w:rPr>
          <w:rFonts w:cs="Arial"/>
        </w:rPr>
        <w:t> </w:t>
      </w:r>
      <w:r w:rsidRPr="00376A1A">
        <w:rPr>
          <w:rFonts w:cs="Arial"/>
          <w:i/>
        </w:rPr>
        <w:t>D.</w:t>
      </w:r>
      <w:r w:rsidR="006609C8" w:rsidRPr="001C12E8">
        <w:rPr>
          <w:rFonts w:cs="Arial"/>
        </w:rPr>
        <w:t xml:space="preserve"> </w:t>
      </w:r>
      <w:r w:rsidR="008B41FF">
        <w:rPr>
          <w:rFonts w:cs="Arial"/>
        </w:rPr>
        <w:t>p</w:t>
      </w:r>
      <w:r>
        <w:rPr>
          <w:rFonts w:cs="Arial"/>
          <w:szCs w:val="22"/>
        </w:rPr>
        <w:t>řehledu</w:t>
      </w:r>
      <w:proofErr w:type="gramEnd"/>
      <w:r>
        <w:rPr>
          <w:rFonts w:cs="Arial"/>
          <w:szCs w:val="22"/>
        </w:rPr>
        <w:t xml:space="preserve"> o změnách vlastního kapitálu</w:t>
      </w:r>
      <w:r w:rsidR="00313B61">
        <w:rPr>
          <w:rFonts w:cs="Arial"/>
          <w:szCs w:val="22"/>
        </w:rPr>
        <w:t xml:space="preserve">, která vede </w:t>
      </w:r>
      <w:r w:rsidR="00104942">
        <w:rPr>
          <w:rFonts w:cs="Arial"/>
          <w:szCs w:val="22"/>
        </w:rPr>
        <w:t>k možnosti různých způsobů naplnění údajů o</w:t>
      </w:r>
      <w:r w:rsidR="00B83CF1">
        <w:rPr>
          <w:rFonts w:cs="Arial"/>
          <w:szCs w:val="22"/>
        </w:rPr>
        <w:t> </w:t>
      </w:r>
      <w:r w:rsidR="00104942">
        <w:rPr>
          <w:rFonts w:cs="Arial"/>
          <w:szCs w:val="22"/>
        </w:rPr>
        <w:t xml:space="preserve">„zvýšení stavu“ a „snížení stavu“ </w:t>
      </w:r>
      <w:r w:rsidR="00507340">
        <w:rPr>
          <w:rFonts w:cs="Arial"/>
          <w:szCs w:val="22"/>
        </w:rPr>
        <w:t xml:space="preserve">těchto </w:t>
      </w:r>
      <w:r w:rsidR="00104942">
        <w:rPr>
          <w:rFonts w:cs="Arial"/>
          <w:szCs w:val="22"/>
        </w:rPr>
        <w:t>položek</w:t>
      </w:r>
      <w:r w:rsidR="0038367A">
        <w:rPr>
          <w:rFonts w:cs="Arial"/>
          <w:szCs w:val="22"/>
        </w:rPr>
        <w:t>,</w:t>
      </w:r>
      <w:r w:rsidR="00AC50DA">
        <w:rPr>
          <w:rFonts w:cs="Arial"/>
          <w:szCs w:val="22"/>
        </w:rPr>
        <w:t xml:space="preserve"> neumožňuje posouzení správnosti sestavení tohoto výkazu</w:t>
      </w:r>
      <w:r w:rsidR="00104942">
        <w:rPr>
          <w:rFonts w:cs="Arial"/>
          <w:szCs w:val="22"/>
        </w:rPr>
        <w:t xml:space="preserve"> a</w:t>
      </w:r>
      <w:r w:rsidR="00C67D69">
        <w:rPr>
          <w:rFonts w:cs="Arial"/>
          <w:szCs w:val="22"/>
        </w:rPr>
        <w:t xml:space="preserve"> </w:t>
      </w:r>
      <w:r>
        <w:rPr>
          <w:rFonts w:cs="Arial"/>
          <w:szCs w:val="22"/>
        </w:rPr>
        <w:t>způsobuje</w:t>
      </w:r>
      <w:r w:rsidR="00FE0770">
        <w:rPr>
          <w:rFonts w:cs="Arial"/>
          <w:szCs w:val="22"/>
        </w:rPr>
        <w:t xml:space="preserve"> též</w:t>
      </w:r>
      <w:r>
        <w:rPr>
          <w:rFonts w:cs="Arial"/>
          <w:szCs w:val="22"/>
        </w:rPr>
        <w:t xml:space="preserve"> riziko nesrovnatelnosti údajů a jejich další nepoužitelnosti v rámci posuzování údajů vybraných účetních jednotek.</w:t>
      </w:r>
      <w:r w:rsidR="008B41FF">
        <w:rPr>
          <w:rFonts w:cs="Arial"/>
          <w:szCs w:val="22"/>
        </w:rPr>
        <w:t xml:space="preserve"> </w:t>
      </w:r>
      <w:r w:rsidR="00E16355">
        <w:rPr>
          <w:rFonts w:cs="Arial"/>
          <w:szCs w:val="22"/>
        </w:rPr>
        <w:t>I p</w:t>
      </w:r>
      <w:r w:rsidR="001810CB" w:rsidRPr="007E06C9">
        <w:rPr>
          <w:rFonts w:cs="Arial"/>
          <w:szCs w:val="22"/>
        </w:rPr>
        <w:t xml:space="preserve">řes tuto </w:t>
      </w:r>
      <w:r w:rsidR="007E06C9">
        <w:rPr>
          <w:rFonts w:cs="Arial"/>
          <w:szCs w:val="22"/>
        </w:rPr>
        <w:t>nejasnost</w:t>
      </w:r>
      <w:r w:rsidR="001810CB" w:rsidRPr="007E06C9">
        <w:rPr>
          <w:rFonts w:cs="Arial"/>
          <w:szCs w:val="22"/>
        </w:rPr>
        <w:t xml:space="preserve"> mělo MMR při naplnění </w:t>
      </w:r>
      <w:proofErr w:type="gramStart"/>
      <w:r w:rsidR="00CE1F70">
        <w:rPr>
          <w:rFonts w:cs="Arial"/>
          <w:szCs w:val="22"/>
        </w:rPr>
        <w:t xml:space="preserve">položek </w:t>
      </w:r>
      <w:r w:rsidR="00CE1F70" w:rsidRPr="00376A1A">
        <w:rPr>
          <w:rFonts w:cs="Arial"/>
          <w:i/>
        </w:rPr>
        <w:t>B.</w:t>
      </w:r>
      <w:r w:rsidR="00CE1F70" w:rsidRPr="001C12E8">
        <w:rPr>
          <w:rFonts w:cs="Arial"/>
        </w:rPr>
        <w:t xml:space="preserve"> </w:t>
      </w:r>
      <w:r w:rsidR="00CE1F70" w:rsidRPr="00E44AFF">
        <w:rPr>
          <w:rFonts w:cs="Arial"/>
        </w:rPr>
        <w:t xml:space="preserve">a </w:t>
      </w:r>
      <w:r w:rsidR="00CE1F70" w:rsidRPr="00376A1A">
        <w:rPr>
          <w:rFonts w:cs="Arial"/>
          <w:i/>
        </w:rPr>
        <w:t>D.</w:t>
      </w:r>
      <w:r w:rsidR="00743C9D" w:rsidRPr="001C12E8">
        <w:rPr>
          <w:rFonts w:cs="Arial"/>
        </w:rPr>
        <w:t xml:space="preserve"> </w:t>
      </w:r>
      <w:r w:rsidR="008B41FF">
        <w:rPr>
          <w:rFonts w:cs="Arial"/>
        </w:rPr>
        <w:t>p</w:t>
      </w:r>
      <w:r w:rsidR="00CE1F70">
        <w:rPr>
          <w:rFonts w:cs="Arial"/>
          <w:szCs w:val="22"/>
        </w:rPr>
        <w:t>řehledu</w:t>
      </w:r>
      <w:proofErr w:type="gramEnd"/>
      <w:r w:rsidR="00CE1F70">
        <w:rPr>
          <w:rFonts w:cs="Arial"/>
          <w:szCs w:val="22"/>
        </w:rPr>
        <w:t xml:space="preserve"> o změnách vlastního kapitálu</w:t>
      </w:r>
      <w:r w:rsidR="00C67D69">
        <w:rPr>
          <w:rFonts w:cs="Arial"/>
          <w:szCs w:val="22"/>
        </w:rPr>
        <w:t xml:space="preserve"> </w:t>
      </w:r>
      <w:r w:rsidR="001810CB" w:rsidRPr="007E06C9">
        <w:rPr>
          <w:rFonts w:cs="Arial"/>
          <w:szCs w:val="22"/>
        </w:rPr>
        <w:t>postupovat jednotně.</w:t>
      </w:r>
    </w:p>
    <w:p w:rsidR="006317E9" w:rsidRDefault="006317E9" w:rsidP="00247B03">
      <w:pPr>
        <w:ind w:firstLine="0"/>
        <w:rPr>
          <w:rFonts w:cs="Arial"/>
          <w:szCs w:val="22"/>
        </w:rPr>
      </w:pPr>
    </w:p>
    <w:p w:rsidR="00E07A82" w:rsidRDefault="00E07A82" w:rsidP="00247B03">
      <w:pPr>
        <w:ind w:firstLine="0"/>
        <w:rPr>
          <w:rFonts w:cs="Arial"/>
          <w:szCs w:val="22"/>
        </w:rPr>
      </w:pPr>
    </w:p>
    <w:p w:rsidR="00E07A82" w:rsidRDefault="00E07A82" w:rsidP="00247B03">
      <w:pPr>
        <w:ind w:firstLine="0"/>
        <w:rPr>
          <w:rFonts w:cs="Arial"/>
          <w:szCs w:val="22"/>
        </w:rPr>
      </w:pPr>
    </w:p>
    <w:p w:rsidR="00E07A82" w:rsidRDefault="00E07A82" w:rsidP="00247B03">
      <w:pPr>
        <w:ind w:firstLine="0"/>
        <w:rPr>
          <w:rFonts w:cs="Arial"/>
          <w:szCs w:val="22"/>
        </w:rPr>
      </w:pPr>
    </w:p>
    <w:p w:rsidR="00C97A11" w:rsidRDefault="00C97A11" w:rsidP="00247B03">
      <w:pPr>
        <w:ind w:firstLine="0"/>
        <w:rPr>
          <w:b/>
        </w:rPr>
      </w:pPr>
      <w:r w:rsidRPr="00C97A11">
        <w:rPr>
          <w:b/>
        </w:rPr>
        <w:lastRenderedPageBreak/>
        <w:t>Celková nesprávnost ve finančních výkazech</w:t>
      </w:r>
    </w:p>
    <w:p w:rsidR="003130D3" w:rsidRDefault="003130D3" w:rsidP="00247B03">
      <w:pPr>
        <w:ind w:firstLine="0"/>
        <w:rPr>
          <w:rFonts w:eastAsia="Calibri" w:cs="Arial"/>
          <w:szCs w:val="22"/>
        </w:rPr>
      </w:pPr>
    </w:p>
    <w:p w:rsidR="00C97A11" w:rsidRDefault="008B41FF" w:rsidP="00247B03">
      <w:pPr>
        <w:ind w:firstLine="0"/>
        <w:rPr>
          <w:rFonts w:eastAsia="Calibri" w:cs="Arial"/>
          <w:szCs w:val="22"/>
        </w:rPr>
      </w:pPr>
      <w:r>
        <w:rPr>
          <w:rFonts w:eastAsia="Calibri" w:cs="Arial"/>
          <w:szCs w:val="22"/>
        </w:rPr>
        <w:t>V</w:t>
      </w:r>
      <w:r w:rsidR="00C97A11" w:rsidRPr="009D4D95">
        <w:rPr>
          <w:rFonts w:eastAsia="Calibri" w:cs="Arial"/>
          <w:szCs w:val="22"/>
        </w:rPr>
        <w:t> části I. a II.</w:t>
      </w:r>
      <w:r w:rsidR="00C97A11">
        <w:rPr>
          <w:rFonts w:eastAsia="Calibri" w:cs="Arial"/>
          <w:szCs w:val="22"/>
        </w:rPr>
        <w:t xml:space="preserve"> </w:t>
      </w:r>
      <w:r>
        <w:rPr>
          <w:rFonts w:eastAsia="Calibri" w:cs="Arial"/>
          <w:szCs w:val="22"/>
        </w:rPr>
        <w:t xml:space="preserve">výkazu pro hodnocení plnění rozpočtu </w:t>
      </w:r>
      <w:r w:rsidR="00C97A11">
        <w:rPr>
          <w:rFonts w:eastAsia="Calibri" w:cs="Arial"/>
          <w:szCs w:val="22"/>
        </w:rPr>
        <w:t xml:space="preserve">sestaveného k 31. </w:t>
      </w:r>
      <w:r w:rsidR="00D264C0">
        <w:rPr>
          <w:rFonts w:eastAsia="Calibri" w:cs="Arial"/>
          <w:szCs w:val="22"/>
        </w:rPr>
        <w:t xml:space="preserve">prosinci </w:t>
      </w:r>
      <w:r w:rsidR="00C97A11">
        <w:rPr>
          <w:rFonts w:eastAsia="Calibri" w:cs="Arial"/>
          <w:szCs w:val="22"/>
        </w:rPr>
        <w:t xml:space="preserve">2012 byla </w:t>
      </w:r>
      <w:r w:rsidR="001810CB">
        <w:rPr>
          <w:rFonts w:eastAsia="Calibri" w:cs="Arial"/>
          <w:szCs w:val="22"/>
        </w:rPr>
        <w:t xml:space="preserve">z celkových výdajů 20,2 mld. Kč </w:t>
      </w:r>
      <w:r w:rsidR="00C97A11">
        <w:rPr>
          <w:rFonts w:eastAsia="Calibri" w:cs="Arial"/>
          <w:szCs w:val="22"/>
        </w:rPr>
        <w:t xml:space="preserve">zjištěna celková nesprávnost ve výši 16,8 mld. Kč spočívající v chybném zatřídění </w:t>
      </w:r>
      <w:r w:rsidR="00C97A11" w:rsidRPr="005B3489">
        <w:rPr>
          <w:rFonts w:eastAsia="Calibri" w:cs="Arial"/>
          <w:szCs w:val="22"/>
        </w:rPr>
        <w:t>výdajů</w:t>
      </w:r>
      <w:r w:rsidR="00C67D69">
        <w:rPr>
          <w:rFonts w:eastAsia="Calibri" w:cs="Arial"/>
          <w:szCs w:val="22"/>
        </w:rPr>
        <w:t xml:space="preserve"> </w:t>
      </w:r>
      <w:r w:rsidR="00C97A11" w:rsidRPr="005B3489">
        <w:rPr>
          <w:rFonts w:eastAsia="Calibri" w:cs="Arial"/>
          <w:szCs w:val="22"/>
        </w:rPr>
        <w:t>poskytnutých národním subjektům v rámci projektů spolufinancovaných z</w:t>
      </w:r>
      <w:r w:rsidR="001810CB">
        <w:rPr>
          <w:rFonts w:eastAsia="Calibri" w:cs="Arial"/>
          <w:szCs w:val="22"/>
        </w:rPr>
        <w:t> </w:t>
      </w:r>
      <w:r w:rsidR="00C97A11" w:rsidRPr="005B3489">
        <w:rPr>
          <w:rFonts w:eastAsia="Calibri" w:cs="Arial"/>
          <w:szCs w:val="22"/>
        </w:rPr>
        <w:t>EU</w:t>
      </w:r>
      <w:r w:rsidR="001810CB">
        <w:rPr>
          <w:rFonts w:eastAsia="Calibri" w:cs="Arial"/>
          <w:szCs w:val="22"/>
        </w:rPr>
        <w:t xml:space="preserve">. </w:t>
      </w:r>
    </w:p>
    <w:p w:rsidR="003130D3" w:rsidRDefault="003130D3" w:rsidP="00247B03">
      <w:pPr>
        <w:ind w:firstLine="0"/>
        <w:rPr>
          <w:rFonts w:eastAsia="Calibri" w:cs="Arial"/>
          <w:szCs w:val="22"/>
        </w:rPr>
      </w:pPr>
    </w:p>
    <w:p w:rsidR="00C97A11" w:rsidRPr="00C97A11" w:rsidRDefault="00C97A11" w:rsidP="00247B03">
      <w:pPr>
        <w:ind w:firstLine="0"/>
        <w:rPr>
          <w:rFonts w:eastAsia="Calibri" w:cs="Arial"/>
          <w:b/>
          <w:szCs w:val="22"/>
        </w:rPr>
      </w:pPr>
      <w:r w:rsidRPr="00C97A11">
        <w:rPr>
          <w:rFonts w:cs="Arial"/>
          <w:b/>
        </w:rPr>
        <w:t xml:space="preserve">Výkaz pro hodnocení plnění rozpočtu nebyl sestaven v souladu s příslušnými právními předpisy. </w:t>
      </w:r>
    </w:p>
    <w:p w:rsidR="00C97A11" w:rsidRPr="003130D3" w:rsidRDefault="00C97A11" w:rsidP="00247B03">
      <w:pPr>
        <w:ind w:firstLine="0"/>
        <w:rPr>
          <w:rFonts w:eastAsia="Calibri" w:cs="Arial"/>
          <w:szCs w:val="22"/>
        </w:rPr>
      </w:pPr>
    </w:p>
    <w:p w:rsidR="0068428D" w:rsidRDefault="00E20A49" w:rsidP="00247B03">
      <w:pPr>
        <w:tabs>
          <w:tab w:val="right" w:pos="9072"/>
        </w:tabs>
        <w:ind w:firstLine="0"/>
        <w:rPr>
          <w:rFonts w:cs="Arial"/>
          <w:b/>
          <w:color w:val="000000"/>
        </w:rPr>
      </w:pPr>
      <w:r w:rsidRPr="00E20A49">
        <w:rPr>
          <w:rFonts w:cs="Arial"/>
          <w:b/>
          <w:color w:val="000000"/>
        </w:rPr>
        <w:t>Porušení rozpočtové kázně</w:t>
      </w:r>
    </w:p>
    <w:p w:rsidR="00E20A49" w:rsidRPr="003F75AD" w:rsidRDefault="00E20A49" w:rsidP="00247B03">
      <w:pPr>
        <w:tabs>
          <w:tab w:val="right" w:pos="9072"/>
        </w:tabs>
        <w:ind w:firstLine="0"/>
        <w:rPr>
          <w:rFonts w:cs="Arial"/>
          <w:color w:val="000000"/>
        </w:rPr>
      </w:pPr>
    </w:p>
    <w:p w:rsidR="00E20A49" w:rsidRDefault="00E20A49" w:rsidP="00247B03">
      <w:pPr>
        <w:ind w:firstLine="0"/>
      </w:pPr>
      <w:r w:rsidRPr="003F75AD">
        <w:t xml:space="preserve">MMR se v roce 2012 </w:t>
      </w:r>
      <w:r w:rsidR="008B41FF" w:rsidRPr="003F75AD">
        <w:t xml:space="preserve">dopustilo </w:t>
      </w:r>
      <w:r w:rsidRPr="003F75AD">
        <w:t>ve smyslu §</w:t>
      </w:r>
      <w:r w:rsidR="000C6A13">
        <w:t> </w:t>
      </w:r>
      <w:r w:rsidRPr="003F75AD">
        <w:t>44 odst. 1 písm. a) zákona č. 218/2000 Sb.</w:t>
      </w:r>
      <w:r w:rsidR="003F75AD" w:rsidRPr="003F75AD">
        <w:t xml:space="preserve"> </w:t>
      </w:r>
      <w:r w:rsidRPr="003F75AD">
        <w:t>porušení rozpočtové kázně</w:t>
      </w:r>
      <w:r w:rsidR="003F75AD" w:rsidRPr="003F75AD">
        <w:t xml:space="preserve"> ve výši 3,2 mil. Kč tím, že pod tzv. záštitou ministra poskytlo tyto peněžní prostředky způsobem, který zákony ČR organizačním složkám státu neumožňují.</w:t>
      </w:r>
    </w:p>
    <w:p w:rsidR="00E20A49" w:rsidRPr="003130D3" w:rsidRDefault="00E20A49" w:rsidP="00247B03">
      <w:pPr>
        <w:ind w:firstLine="0"/>
      </w:pPr>
    </w:p>
    <w:p w:rsidR="00E20A49" w:rsidRDefault="00E20A49" w:rsidP="00247B03">
      <w:pPr>
        <w:tabs>
          <w:tab w:val="right" w:pos="9072"/>
        </w:tabs>
        <w:ind w:firstLine="0"/>
        <w:rPr>
          <w:rFonts w:cs="Arial"/>
          <w:b/>
          <w:color w:val="000000"/>
        </w:rPr>
      </w:pPr>
      <w:r w:rsidRPr="00E20A49">
        <w:rPr>
          <w:rFonts w:cs="Arial"/>
          <w:b/>
          <w:color w:val="000000"/>
        </w:rPr>
        <w:t>Závěrečný účet</w:t>
      </w:r>
    </w:p>
    <w:p w:rsidR="00E20A49" w:rsidRPr="003130D3" w:rsidRDefault="00E20A49" w:rsidP="00247B03">
      <w:pPr>
        <w:tabs>
          <w:tab w:val="right" w:pos="9072"/>
        </w:tabs>
        <w:ind w:firstLine="0"/>
        <w:rPr>
          <w:rFonts w:cs="Arial"/>
          <w:color w:val="000000"/>
        </w:rPr>
      </w:pPr>
    </w:p>
    <w:p w:rsidR="00E20A49" w:rsidRPr="00BD75EA" w:rsidRDefault="00E20A49" w:rsidP="00247B03">
      <w:pPr>
        <w:ind w:firstLine="0"/>
        <w:rPr>
          <w:lang w:eastAsia="cs-CZ"/>
        </w:rPr>
      </w:pPr>
      <w:r>
        <w:rPr>
          <w:lang w:eastAsia="cs-CZ"/>
        </w:rPr>
        <w:t>Závěrečný účet kapitoly MMR byl zpracován v rozsahu stanoveném vyhláškou č.</w:t>
      </w:r>
      <w:r w:rsidR="00507340">
        <w:rPr>
          <w:lang w:eastAsia="cs-CZ"/>
        </w:rPr>
        <w:t> </w:t>
      </w:r>
      <w:r>
        <w:rPr>
          <w:lang w:eastAsia="cs-CZ"/>
        </w:rPr>
        <w:t>419/2001</w:t>
      </w:r>
      <w:r w:rsidR="003101A3">
        <w:rPr>
          <w:lang w:eastAsia="cs-CZ"/>
        </w:rPr>
        <w:t> </w:t>
      </w:r>
      <w:r>
        <w:rPr>
          <w:lang w:eastAsia="cs-CZ"/>
        </w:rPr>
        <w:t xml:space="preserve">Sb. a obsahoval povinné číselné sestavy a tabulkové přílohy. V průvodní zprávě byly zjištěny nedostatky oproti požadavkům vyhlášky č. 419/2001 Sb., </w:t>
      </w:r>
      <w:r w:rsidR="008B41FF">
        <w:rPr>
          <w:lang w:eastAsia="cs-CZ"/>
        </w:rPr>
        <w:t>a</w:t>
      </w:r>
      <w:r>
        <w:rPr>
          <w:lang w:eastAsia="cs-CZ"/>
        </w:rPr>
        <w:t>však</w:t>
      </w:r>
      <w:r w:rsidR="008B41FF">
        <w:rPr>
          <w:lang w:eastAsia="cs-CZ"/>
        </w:rPr>
        <w:t xml:space="preserve"> tyto nedostatky</w:t>
      </w:r>
      <w:r>
        <w:rPr>
          <w:lang w:eastAsia="cs-CZ"/>
        </w:rPr>
        <w:t xml:space="preserve"> neměly zásadní vliv na vypovídací schopnost závěrečného účtu.</w:t>
      </w:r>
    </w:p>
    <w:sectPr w:rsidR="00E20A49" w:rsidRPr="00BD75EA" w:rsidSect="0077232E">
      <w:footerReference w:type="default" r:id="rId13"/>
      <w:headerReference w:type="first" r:id="rId14"/>
      <w:pgSz w:w="11906" w:h="16838" w:code="9"/>
      <w:pgMar w:top="1418" w:right="1418" w:bottom="1418" w:left="1418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74" w:rsidRDefault="00D71574">
      <w:r>
        <w:separator/>
      </w:r>
    </w:p>
  </w:endnote>
  <w:endnote w:type="continuationSeparator" w:id="0">
    <w:p w:rsidR="00D71574" w:rsidRDefault="00D715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Dutch801AT-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63241550"/>
      <w:docPartObj>
        <w:docPartGallery w:val="Page Numbers (Bottom of Page)"/>
        <w:docPartUnique/>
      </w:docPartObj>
    </w:sdtPr>
    <w:sdtEndPr/>
    <w:sdtContent>
      <w:p w:rsidR="00D71574" w:rsidRDefault="00D71574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1B8F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74" w:rsidRDefault="00D71574">
      <w:r>
        <w:separator/>
      </w:r>
    </w:p>
  </w:footnote>
  <w:footnote w:type="continuationSeparator" w:id="0">
    <w:p w:rsidR="00D71574" w:rsidRDefault="00D71574">
      <w:r>
        <w:continuationSeparator/>
      </w:r>
    </w:p>
  </w:footnote>
  <w:footnote w:id="1">
    <w:p w:rsidR="00D71574" w:rsidRPr="003E0FDC" w:rsidRDefault="00D71574" w:rsidP="003E0FDC">
      <w:pPr>
        <w:pStyle w:val="Textpoznpodarou"/>
        <w:ind w:left="284" w:hanging="284"/>
        <w:rPr>
          <w:sz w:val="18"/>
          <w:szCs w:val="18"/>
        </w:rPr>
      </w:pPr>
      <w:r w:rsidRPr="003E0FD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>
        <w:rPr>
          <w:rFonts w:eastAsia="Calibri" w:cs="Arial"/>
          <w:bCs/>
          <w:iCs/>
          <w:sz w:val="18"/>
          <w:szCs w:val="18"/>
        </w:rPr>
        <w:t>N</w:t>
      </w:r>
      <w:r w:rsidRPr="003E0FDC">
        <w:rPr>
          <w:rFonts w:eastAsia="Calibri" w:cs="Arial"/>
          <w:bCs/>
          <w:iCs/>
          <w:sz w:val="18"/>
          <w:szCs w:val="18"/>
        </w:rPr>
        <w:t xml:space="preserve">eboť MMR k 31. </w:t>
      </w:r>
      <w:r>
        <w:rPr>
          <w:rFonts w:eastAsia="Calibri" w:cs="Arial"/>
          <w:bCs/>
          <w:iCs/>
          <w:sz w:val="18"/>
          <w:szCs w:val="18"/>
        </w:rPr>
        <w:t xml:space="preserve">prosinci </w:t>
      </w:r>
      <w:r w:rsidRPr="003E0FDC">
        <w:rPr>
          <w:rFonts w:eastAsia="Calibri" w:cs="Arial"/>
          <w:bCs/>
          <w:iCs/>
          <w:sz w:val="18"/>
          <w:szCs w:val="18"/>
        </w:rPr>
        <w:t>2012</w:t>
      </w:r>
      <w:r>
        <w:rPr>
          <w:rFonts w:eastAsia="Calibri" w:cs="Arial"/>
          <w:bCs/>
          <w:iCs/>
          <w:sz w:val="18"/>
          <w:szCs w:val="18"/>
        </w:rPr>
        <w:t>,</w:t>
      </w:r>
      <w:r w:rsidRPr="003E0FDC">
        <w:rPr>
          <w:rFonts w:eastAsia="Calibri" w:cs="Arial"/>
          <w:bCs/>
          <w:iCs/>
          <w:sz w:val="18"/>
          <w:szCs w:val="18"/>
        </w:rPr>
        <w:t xml:space="preserve"> resp. k okamžiku uzavření účetních knih nemělo </w:t>
      </w:r>
      <w:r w:rsidRPr="003E0FDC">
        <w:rPr>
          <w:rFonts w:cs="Arial"/>
          <w:sz w:val="18"/>
          <w:szCs w:val="18"/>
        </w:rPr>
        <w:t xml:space="preserve">podklady prokazující </w:t>
      </w:r>
      <w:r w:rsidRPr="003E0FDC">
        <w:rPr>
          <w:rFonts w:cs="Arial"/>
          <w:bCs/>
          <w:iCs/>
          <w:sz w:val="18"/>
          <w:szCs w:val="18"/>
        </w:rPr>
        <w:t>výši skutečně čerpané dotace.</w:t>
      </w:r>
    </w:p>
  </w:footnote>
  <w:footnote w:id="2">
    <w:p w:rsidR="00D71574" w:rsidRPr="003E0FDC" w:rsidRDefault="00D71574" w:rsidP="003E0FDC">
      <w:pPr>
        <w:pStyle w:val="Textpoznpodarou"/>
        <w:ind w:left="284" w:hanging="284"/>
        <w:rPr>
          <w:sz w:val="18"/>
          <w:szCs w:val="18"/>
        </w:rPr>
      </w:pPr>
      <w:r w:rsidRPr="003E0FD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3E0FDC">
        <w:rPr>
          <w:sz w:val="18"/>
          <w:szCs w:val="18"/>
        </w:rPr>
        <w:t xml:space="preserve">V tomto případě byla záloha vypořádána v období delším než jeden rok. </w:t>
      </w:r>
    </w:p>
  </w:footnote>
  <w:footnote w:id="3">
    <w:p w:rsidR="00D71574" w:rsidRPr="003E0FDC" w:rsidRDefault="00D71574" w:rsidP="003E0FDC">
      <w:pPr>
        <w:pStyle w:val="Textpoznpodarou"/>
        <w:ind w:left="284" w:hanging="284"/>
        <w:rPr>
          <w:sz w:val="18"/>
          <w:szCs w:val="18"/>
        </w:rPr>
      </w:pPr>
      <w:r w:rsidRPr="003E0FDC">
        <w:rPr>
          <w:rStyle w:val="Znakapoznpodarou"/>
          <w:sz w:val="18"/>
          <w:szCs w:val="18"/>
        </w:rPr>
        <w:footnoteRef/>
      </w:r>
      <w:r>
        <w:rPr>
          <w:bCs/>
          <w:iCs/>
          <w:sz w:val="18"/>
          <w:szCs w:val="18"/>
        </w:rPr>
        <w:tab/>
        <w:t>I</w:t>
      </w:r>
      <w:r w:rsidRPr="003E0FDC">
        <w:rPr>
          <w:bCs/>
          <w:iCs/>
          <w:sz w:val="18"/>
          <w:szCs w:val="18"/>
        </w:rPr>
        <w:t>nformační systém pro monitorování programů a projektů spolufinancovaných ze strukturálních fondů programového období 2007–2013.</w:t>
      </w:r>
    </w:p>
  </w:footnote>
  <w:footnote w:id="4">
    <w:p w:rsidR="00D71574" w:rsidRPr="003E0FDC" w:rsidRDefault="00D71574" w:rsidP="003E0FDC">
      <w:pPr>
        <w:pStyle w:val="Textpoznpodarou"/>
        <w:ind w:left="284" w:hanging="284"/>
        <w:rPr>
          <w:sz w:val="18"/>
          <w:szCs w:val="18"/>
        </w:rPr>
      </w:pPr>
      <w:r w:rsidRPr="003E0FDC">
        <w:rPr>
          <w:rStyle w:val="Znakapoznpodarou"/>
          <w:sz w:val="18"/>
          <w:szCs w:val="18"/>
        </w:rPr>
        <w:footnoteRef/>
      </w:r>
      <w:r>
        <w:rPr>
          <w:sz w:val="18"/>
          <w:szCs w:val="18"/>
        </w:rPr>
        <w:tab/>
      </w:r>
      <w:r w:rsidRPr="003E0FDC">
        <w:rPr>
          <w:sz w:val="18"/>
          <w:szCs w:val="18"/>
        </w:rPr>
        <w:t xml:space="preserve">V souvislosti se zavedením účetní metody odpisování k 31. </w:t>
      </w:r>
      <w:r>
        <w:rPr>
          <w:sz w:val="18"/>
          <w:szCs w:val="18"/>
        </w:rPr>
        <w:t xml:space="preserve">prosinci </w:t>
      </w:r>
      <w:r w:rsidRPr="003E0FDC">
        <w:rPr>
          <w:sz w:val="18"/>
          <w:szCs w:val="18"/>
        </w:rPr>
        <w:t xml:space="preserve">2011 byla hodnota oprávek k odpisovanému majetku do účetnictví promítnuta prostřednictvím účtu </w:t>
      </w:r>
      <w:r w:rsidRPr="00D71574">
        <w:rPr>
          <w:sz w:val="18"/>
          <w:szCs w:val="18"/>
        </w:rPr>
        <w:t xml:space="preserve">406 – </w:t>
      </w:r>
      <w:r w:rsidRPr="003E0FDC">
        <w:rPr>
          <w:i/>
          <w:sz w:val="18"/>
          <w:szCs w:val="18"/>
        </w:rPr>
        <w:t>Oceňovací rozdíly při prvotním použití metody</w:t>
      </w:r>
      <w:r w:rsidRPr="003E0FDC">
        <w:rPr>
          <w:sz w:val="18"/>
          <w:szCs w:val="18"/>
        </w:rPr>
        <w:t>.</w:t>
      </w:r>
    </w:p>
  </w:footnote>
  <w:footnote w:id="5">
    <w:p w:rsidR="00D71574" w:rsidRPr="00015FC7" w:rsidRDefault="00D71574" w:rsidP="00380E23">
      <w:pPr>
        <w:pStyle w:val="Textpoznpodarou"/>
        <w:ind w:left="284" w:hanging="284"/>
        <w:rPr>
          <w:sz w:val="18"/>
          <w:szCs w:val="18"/>
        </w:rPr>
      </w:pPr>
      <w:r w:rsidRPr="00015FC7">
        <w:rPr>
          <w:rStyle w:val="Znakapoznpodarou"/>
          <w:sz w:val="18"/>
          <w:szCs w:val="18"/>
        </w:rPr>
        <w:footnoteRef/>
      </w:r>
      <w:r w:rsidRPr="00015FC7">
        <w:rPr>
          <w:sz w:val="18"/>
          <w:szCs w:val="18"/>
        </w:rPr>
        <w:tab/>
        <w:t>Hladina významnosti na úrovni účetní závěrky byla stanovena v souladu s dlouhodobě uplatňovaným postupem NKÚ pro posuzování spolehlivosti účetních závěrek organizačních složek státu vycházející z</w:t>
      </w:r>
      <w:r>
        <w:rPr>
          <w:sz w:val="18"/>
          <w:szCs w:val="18"/>
        </w:rPr>
        <w:t> </w:t>
      </w:r>
      <w:r w:rsidRPr="00015FC7">
        <w:rPr>
          <w:sz w:val="18"/>
          <w:szCs w:val="18"/>
        </w:rPr>
        <w:t>mezinárodní uznávané nejlepší praxe</w:t>
      </w:r>
      <w:r>
        <w:rPr>
          <w:sz w:val="18"/>
          <w:szCs w:val="18"/>
        </w:rPr>
        <w:t xml:space="preserve"> </w:t>
      </w:r>
      <w:r w:rsidRPr="00015FC7">
        <w:rPr>
          <w:sz w:val="18"/>
          <w:szCs w:val="18"/>
        </w:rPr>
        <w:t>na úrovni 2 % z celkových nákladů MMR k 31. prosinci 2012.</w:t>
      </w:r>
    </w:p>
  </w:footnote>
  <w:footnote w:id="6">
    <w:p w:rsidR="00D71574" w:rsidRPr="00015FC7" w:rsidRDefault="00D71574" w:rsidP="00380E23">
      <w:pPr>
        <w:pStyle w:val="Textpoznpodarou"/>
        <w:ind w:left="284" w:hanging="284"/>
        <w:rPr>
          <w:sz w:val="18"/>
          <w:szCs w:val="18"/>
        </w:rPr>
      </w:pPr>
      <w:r w:rsidRPr="00015FC7">
        <w:rPr>
          <w:rStyle w:val="Znakapoznpodarou"/>
          <w:sz w:val="18"/>
          <w:szCs w:val="18"/>
        </w:rPr>
        <w:footnoteRef/>
      </w:r>
      <w:r w:rsidRPr="00015FC7">
        <w:rPr>
          <w:sz w:val="18"/>
          <w:szCs w:val="18"/>
        </w:rPr>
        <w:tab/>
        <w:t xml:space="preserve">NKÚ na problematiku nejednoznačnosti předpisů pro účetnictví upozorňuje již od roku 2011 </w:t>
      </w:r>
      <w:r>
        <w:rPr>
          <w:sz w:val="18"/>
          <w:szCs w:val="18"/>
        </w:rPr>
        <w:t>(</w:t>
      </w:r>
      <w:r w:rsidRPr="00015FC7">
        <w:rPr>
          <w:sz w:val="18"/>
          <w:szCs w:val="18"/>
        </w:rPr>
        <w:t xml:space="preserve">viz kontrolní závěry např. z kontrolních akcí </w:t>
      </w:r>
      <w:r>
        <w:rPr>
          <w:sz w:val="18"/>
          <w:szCs w:val="18"/>
        </w:rPr>
        <w:t>č. </w:t>
      </w:r>
      <w:r w:rsidRPr="00015FC7">
        <w:rPr>
          <w:sz w:val="18"/>
          <w:szCs w:val="18"/>
        </w:rPr>
        <w:t xml:space="preserve">10/20, 11/29, 12/14, 12/15, 12/28 </w:t>
      </w:r>
      <w:r>
        <w:rPr>
          <w:sz w:val="18"/>
          <w:szCs w:val="18"/>
        </w:rPr>
        <w:t>a </w:t>
      </w:r>
      <w:r w:rsidRPr="00015FC7">
        <w:rPr>
          <w:sz w:val="18"/>
          <w:szCs w:val="18"/>
        </w:rPr>
        <w:t>12/30</w:t>
      </w:r>
      <w:r>
        <w:rPr>
          <w:sz w:val="18"/>
          <w:szCs w:val="18"/>
        </w:rPr>
        <w:t>).</w:t>
      </w:r>
    </w:p>
  </w:footnote>
  <w:footnote w:id="7">
    <w:p w:rsidR="00D71574" w:rsidRPr="00015FC7" w:rsidRDefault="00D71574" w:rsidP="00380E23">
      <w:pPr>
        <w:pStyle w:val="Textpoznpodarou"/>
        <w:ind w:left="284" w:hanging="284"/>
        <w:rPr>
          <w:sz w:val="18"/>
          <w:szCs w:val="18"/>
        </w:rPr>
      </w:pPr>
      <w:r w:rsidRPr="00015FC7">
        <w:rPr>
          <w:rStyle w:val="Znakapoznpodarou"/>
          <w:sz w:val="18"/>
          <w:szCs w:val="18"/>
        </w:rPr>
        <w:footnoteRef/>
      </w:r>
      <w:r w:rsidRPr="00015FC7">
        <w:rPr>
          <w:sz w:val="18"/>
          <w:szCs w:val="18"/>
        </w:rPr>
        <w:tab/>
        <w:t>S</w:t>
      </w:r>
      <w:r w:rsidRPr="00015FC7">
        <w:rPr>
          <w:rFonts w:cs="Arial"/>
          <w:bCs/>
          <w:iCs/>
          <w:sz w:val="18"/>
          <w:szCs w:val="18"/>
        </w:rPr>
        <w:t>ituace, kdy by vyhodnocení správnosti účtování a vykázání transferů spolufinancovaných ze zahraničí nebylo znemožněno nejednoznačností předpisů pro účetnictví</w:t>
      </w:r>
      <w:r>
        <w:rPr>
          <w:rFonts w:cs="Arial"/>
          <w:bCs/>
          <w:iCs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1574" w:rsidRPr="0077232E" w:rsidRDefault="00D71574" w:rsidP="0077232E">
    <w:pPr>
      <w:pStyle w:val="Zhlav"/>
      <w:tabs>
        <w:tab w:val="clear" w:pos="4536"/>
      </w:tabs>
      <w:rPr>
        <w:color w:val="FFFFFF" w:themeColor="background1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3"/>
    <w:multiLevelType w:val="singleLevel"/>
    <w:tmpl w:val="7BD07520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0C3A9212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2180A6D"/>
    <w:multiLevelType w:val="hybridMultilevel"/>
    <w:tmpl w:val="2DA8F77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8F7EEA"/>
    <w:multiLevelType w:val="hybridMultilevel"/>
    <w:tmpl w:val="415CE80C"/>
    <w:lvl w:ilvl="0" w:tplc="0405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4">
    <w:nsid w:val="19662035"/>
    <w:multiLevelType w:val="hybridMultilevel"/>
    <w:tmpl w:val="E2F0D1AE"/>
    <w:lvl w:ilvl="0" w:tplc="02AA803C">
      <w:start w:val="30"/>
      <w:numFmt w:val="bullet"/>
      <w:lvlText w:val="•"/>
      <w:lvlJc w:val="left"/>
      <w:pPr>
        <w:ind w:left="644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>
    <w:nsid w:val="1F867EDE"/>
    <w:multiLevelType w:val="hybridMultilevel"/>
    <w:tmpl w:val="6372A67E"/>
    <w:lvl w:ilvl="0" w:tplc="0405000B">
      <w:start w:val="1"/>
      <w:numFmt w:val="bullet"/>
      <w:lvlText w:val=""/>
      <w:lvlJc w:val="left"/>
      <w:pPr>
        <w:ind w:left="125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6">
    <w:nsid w:val="20756443"/>
    <w:multiLevelType w:val="hybridMultilevel"/>
    <w:tmpl w:val="56042760"/>
    <w:lvl w:ilvl="0" w:tplc="0405000B">
      <w:start w:val="1"/>
      <w:numFmt w:val="bullet"/>
      <w:lvlText w:val=""/>
      <w:lvlJc w:val="left"/>
      <w:pPr>
        <w:ind w:left="9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2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4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6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88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0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2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4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65" w:hanging="360"/>
      </w:pPr>
      <w:rPr>
        <w:rFonts w:ascii="Wingdings" w:hAnsi="Wingdings" w:hint="default"/>
      </w:rPr>
    </w:lvl>
  </w:abstractNum>
  <w:abstractNum w:abstractNumId="7">
    <w:nsid w:val="20D421C1"/>
    <w:multiLevelType w:val="hybridMultilevel"/>
    <w:tmpl w:val="7AF803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3C16619"/>
    <w:multiLevelType w:val="hybridMultilevel"/>
    <w:tmpl w:val="9910A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BECACA0">
      <w:start w:val="3"/>
      <w:numFmt w:val="bullet"/>
      <w:lvlText w:val="-"/>
      <w:lvlJc w:val="left"/>
      <w:pPr>
        <w:ind w:left="2160" w:hanging="360"/>
      </w:pPr>
      <w:rPr>
        <w:rFonts w:ascii="Arial" w:eastAsia="Times New Roman" w:hAnsi="Arial" w:cs="Arial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3F40F2C"/>
    <w:multiLevelType w:val="hybridMultilevel"/>
    <w:tmpl w:val="9DD0E6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AA0ED7"/>
    <w:multiLevelType w:val="hybridMultilevel"/>
    <w:tmpl w:val="BCF69AF6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D9E0D34"/>
    <w:multiLevelType w:val="hybridMultilevel"/>
    <w:tmpl w:val="9F6446FC"/>
    <w:lvl w:ilvl="0" w:tplc="0D000C2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19" w:hanging="360"/>
      </w:pPr>
    </w:lvl>
    <w:lvl w:ilvl="2" w:tplc="0405001B" w:tentative="1">
      <w:start w:val="1"/>
      <w:numFmt w:val="lowerRoman"/>
      <w:lvlText w:val="%3."/>
      <w:lvlJc w:val="right"/>
      <w:pPr>
        <w:ind w:left="2339" w:hanging="180"/>
      </w:pPr>
    </w:lvl>
    <w:lvl w:ilvl="3" w:tplc="0405000F" w:tentative="1">
      <w:start w:val="1"/>
      <w:numFmt w:val="decimal"/>
      <w:lvlText w:val="%4."/>
      <w:lvlJc w:val="left"/>
      <w:pPr>
        <w:ind w:left="3059" w:hanging="360"/>
      </w:pPr>
    </w:lvl>
    <w:lvl w:ilvl="4" w:tplc="04050019" w:tentative="1">
      <w:start w:val="1"/>
      <w:numFmt w:val="lowerLetter"/>
      <w:lvlText w:val="%5."/>
      <w:lvlJc w:val="left"/>
      <w:pPr>
        <w:ind w:left="3779" w:hanging="360"/>
      </w:pPr>
    </w:lvl>
    <w:lvl w:ilvl="5" w:tplc="0405001B" w:tentative="1">
      <w:start w:val="1"/>
      <w:numFmt w:val="lowerRoman"/>
      <w:lvlText w:val="%6."/>
      <w:lvlJc w:val="right"/>
      <w:pPr>
        <w:ind w:left="4499" w:hanging="180"/>
      </w:pPr>
    </w:lvl>
    <w:lvl w:ilvl="6" w:tplc="0405000F" w:tentative="1">
      <w:start w:val="1"/>
      <w:numFmt w:val="decimal"/>
      <w:lvlText w:val="%7."/>
      <w:lvlJc w:val="left"/>
      <w:pPr>
        <w:ind w:left="5219" w:hanging="360"/>
      </w:pPr>
    </w:lvl>
    <w:lvl w:ilvl="7" w:tplc="04050019" w:tentative="1">
      <w:start w:val="1"/>
      <w:numFmt w:val="lowerLetter"/>
      <w:lvlText w:val="%8."/>
      <w:lvlJc w:val="left"/>
      <w:pPr>
        <w:ind w:left="5939" w:hanging="360"/>
      </w:pPr>
    </w:lvl>
    <w:lvl w:ilvl="8" w:tplc="0405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2">
    <w:nsid w:val="49366CB2"/>
    <w:multiLevelType w:val="multilevel"/>
    <w:tmpl w:val="652831CE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tabs>
          <w:tab w:val="num" w:pos="1440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3">
    <w:nsid w:val="50186F03"/>
    <w:multiLevelType w:val="hybridMultilevel"/>
    <w:tmpl w:val="2DA217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08D6EE2"/>
    <w:multiLevelType w:val="hybridMultilevel"/>
    <w:tmpl w:val="E3362316"/>
    <w:lvl w:ilvl="0" w:tplc="0405000B">
      <w:start w:val="1"/>
      <w:numFmt w:val="bullet"/>
      <w:lvlText w:val=""/>
      <w:lvlJc w:val="left"/>
      <w:pPr>
        <w:ind w:left="1778" w:hanging="360"/>
      </w:pPr>
      <w:rPr>
        <w:rFonts w:ascii="Wingdings" w:hAnsi="Wingdings" w:hint="default"/>
        <w:color w:val="auto"/>
      </w:rPr>
    </w:lvl>
    <w:lvl w:ilvl="1" w:tplc="04050003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5">
    <w:nsid w:val="520D7957"/>
    <w:multiLevelType w:val="hybridMultilevel"/>
    <w:tmpl w:val="E6F029BA"/>
    <w:lvl w:ilvl="0" w:tplc="040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2154892"/>
    <w:multiLevelType w:val="hybridMultilevel"/>
    <w:tmpl w:val="9D984B1A"/>
    <w:lvl w:ilvl="0" w:tplc="4C14E8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5A56AAD"/>
    <w:multiLevelType w:val="hybridMultilevel"/>
    <w:tmpl w:val="98D805C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94D1805"/>
    <w:multiLevelType w:val="hybridMultilevel"/>
    <w:tmpl w:val="5290EF6A"/>
    <w:lvl w:ilvl="0" w:tplc="E1CE5622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193620"/>
    <w:multiLevelType w:val="hybridMultilevel"/>
    <w:tmpl w:val="5356660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21E67D7"/>
    <w:multiLevelType w:val="hybridMultilevel"/>
    <w:tmpl w:val="D6E831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56C2144"/>
    <w:multiLevelType w:val="multilevel"/>
    <w:tmpl w:val="DA069336"/>
    <w:lvl w:ilvl="0">
      <w:start w:val="1"/>
      <w:numFmt w:val="upperRoman"/>
      <w:lvlText w:val="%1."/>
      <w:lvlJc w:val="left"/>
      <w:pPr>
        <w:ind w:left="125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5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59" w:hanging="720"/>
      </w:pPr>
      <w:rPr>
        <w:rFonts w:hint="default"/>
      </w:rPr>
    </w:lvl>
    <w:lvl w:ilvl="3">
      <w:start w:val="6"/>
      <w:numFmt w:val="decimal"/>
      <w:isLgl/>
      <w:lvlText w:val="%1.%2.%3.%4."/>
      <w:lvlJc w:val="left"/>
      <w:pPr>
        <w:ind w:left="161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1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7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3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39" w:hanging="1800"/>
      </w:pPr>
      <w:rPr>
        <w:rFonts w:hint="default"/>
      </w:rPr>
    </w:lvl>
  </w:abstractNum>
  <w:abstractNum w:abstractNumId="22">
    <w:nsid w:val="65C874DC"/>
    <w:multiLevelType w:val="hybridMultilevel"/>
    <w:tmpl w:val="D73EEA3E"/>
    <w:lvl w:ilvl="0" w:tplc="0405000B">
      <w:start w:val="1"/>
      <w:numFmt w:val="bullet"/>
      <w:lvlText w:val=""/>
      <w:lvlJc w:val="left"/>
      <w:pPr>
        <w:ind w:left="13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0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2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9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80" w:hanging="360"/>
      </w:pPr>
      <w:rPr>
        <w:rFonts w:ascii="Wingdings" w:hAnsi="Wingdings" w:hint="default"/>
      </w:rPr>
    </w:lvl>
  </w:abstractNum>
  <w:abstractNum w:abstractNumId="23">
    <w:nsid w:val="68A72059"/>
    <w:multiLevelType w:val="hybridMultilevel"/>
    <w:tmpl w:val="69CEA122"/>
    <w:lvl w:ilvl="0" w:tplc="0405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4">
    <w:nsid w:val="6AF4726F"/>
    <w:multiLevelType w:val="hybridMultilevel"/>
    <w:tmpl w:val="EAE293A8"/>
    <w:lvl w:ilvl="0" w:tplc="142A0F5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B4E5223"/>
    <w:multiLevelType w:val="hybridMultilevel"/>
    <w:tmpl w:val="9EAA8CB8"/>
    <w:lvl w:ilvl="0" w:tplc="04050001">
      <w:start w:val="1"/>
      <w:numFmt w:val="bullet"/>
      <w:lvlText w:val=""/>
      <w:lvlJc w:val="left"/>
      <w:pPr>
        <w:ind w:left="125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26">
    <w:nsid w:val="6D2574AC"/>
    <w:multiLevelType w:val="hybridMultilevel"/>
    <w:tmpl w:val="7D5CA91A"/>
    <w:lvl w:ilvl="0" w:tplc="040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70914BBF"/>
    <w:multiLevelType w:val="multilevel"/>
    <w:tmpl w:val="D8DAB40E"/>
    <w:lvl w:ilvl="0">
      <w:start w:val="1"/>
      <w:numFmt w:val="decimal"/>
      <w:pStyle w:val="Nadpis1"/>
      <w:lvlText w:val="%1."/>
      <w:lvlJc w:val="left"/>
      <w:pPr>
        <w:tabs>
          <w:tab w:val="num" w:pos="432"/>
        </w:tabs>
        <w:ind w:left="432" w:hanging="432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sz w:val="22"/>
        <w:szCs w:val="22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1004"/>
        </w:tabs>
        <w:ind w:left="1004" w:hanging="720"/>
      </w:pPr>
      <w:rPr>
        <w:rFonts w:hint="default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Nadpis4"/>
      <w:isLgl/>
      <w:lvlText w:val="%1.%2.%3.%4"/>
      <w:lvlJc w:val="left"/>
      <w:pPr>
        <w:tabs>
          <w:tab w:val="num" w:pos="1574"/>
        </w:tabs>
        <w:ind w:left="1574" w:hanging="864"/>
      </w:pPr>
      <w:rPr>
        <w:rFonts w:hint="default"/>
        <w:i w:val="0"/>
      </w:rPr>
    </w:lvl>
    <w:lvl w:ilvl="4">
      <w:start w:val="1"/>
      <w:numFmt w:val="decimal"/>
      <w:pStyle w:val="Nadpis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>
    <w:nsid w:val="77472205"/>
    <w:multiLevelType w:val="hybridMultilevel"/>
    <w:tmpl w:val="7EAE67E6"/>
    <w:lvl w:ilvl="0" w:tplc="04050001">
      <w:start w:val="1"/>
      <w:numFmt w:val="bullet"/>
      <w:lvlText w:val=""/>
      <w:lvlJc w:val="left"/>
      <w:pPr>
        <w:ind w:left="121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29">
    <w:nsid w:val="79160D51"/>
    <w:multiLevelType w:val="multilevel"/>
    <w:tmpl w:val="900E0EA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27"/>
  </w:num>
  <w:num w:numId="2">
    <w:abstractNumId w:val="12"/>
  </w:num>
  <w:num w:numId="3">
    <w:abstractNumId w:val="1"/>
  </w:num>
  <w:num w:numId="4">
    <w:abstractNumId w:val="0"/>
  </w:num>
  <w:num w:numId="5">
    <w:abstractNumId w:val="10"/>
  </w:num>
  <w:num w:numId="6">
    <w:abstractNumId w:val="18"/>
  </w:num>
  <w:num w:numId="7">
    <w:abstractNumId w:val="15"/>
  </w:num>
  <w:num w:numId="8">
    <w:abstractNumId w:val="9"/>
  </w:num>
  <w:num w:numId="9">
    <w:abstractNumId w:val="16"/>
  </w:num>
  <w:num w:numId="10">
    <w:abstractNumId w:val="13"/>
  </w:num>
  <w:num w:numId="11">
    <w:abstractNumId w:val="7"/>
  </w:num>
  <w:num w:numId="12">
    <w:abstractNumId w:val="6"/>
  </w:num>
  <w:num w:numId="13">
    <w:abstractNumId w:val="4"/>
  </w:num>
  <w:num w:numId="14">
    <w:abstractNumId w:val="23"/>
  </w:num>
  <w:num w:numId="15">
    <w:abstractNumId w:val="27"/>
  </w:num>
  <w:num w:numId="16">
    <w:abstractNumId w:val="27"/>
  </w:num>
  <w:num w:numId="17">
    <w:abstractNumId w:val="22"/>
  </w:num>
  <w:num w:numId="18">
    <w:abstractNumId w:val="27"/>
  </w:num>
  <w:num w:numId="19">
    <w:abstractNumId w:val="27"/>
  </w:num>
  <w:num w:numId="20">
    <w:abstractNumId w:val="27"/>
  </w:num>
  <w:num w:numId="21">
    <w:abstractNumId w:val="29"/>
  </w:num>
  <w:num w:numId="22">
    <w:abstractNumId w:val="27"/>
  </w:num>
  <w:num w:numId="23">
    <w:abstractNumId w:val="27"/>
  </w:num>
  <w:num w:numId="24">
    <w:abstractNumId w:val="27"/>
  </w:num>
  <w:num w:numId="25">
    <w:abstractNumId w:val="27"/>
  </w:num>
  <w:num w:numId="2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</w:num>
  <w:num w:numId="28">
    <w:abstractNumId w:val="27"/>
  </w:num>
  <w:num w:numId="29">
    <w:abstractNumId w:val="27"/>
  </w:num>
  <w:num w:numId="30">
    <w:abstractNumId w:val="27"/>
  </w:num>
  <w:num w:numId="31">
    <w:abstractNumId w:val="27"/>
  </w:num>
  <w:num w:numId="32">
    <w:abstractNumId w:val="8"/>
  </w:num>
  <w:num w:numId="33">
    <w:abstractNumId w:val="3"/>
  </w:num>
  <w:num w:numId="34">
    <w:abstractNumId w:val="21"/>
  </w:num>
  <w:num w:numId="35">
    <w:abstractNumId w:val="14"/>
  </w:num>
  <w:num w:numId="36">
    <w:abstractNumId w:val="2"/>
  </w:num>
  <w:num w:numId="37">
    <w:abstractNumId w:val="11"/>
  </w:num>
  <w:num w:numId="38">
    <w:abstractNumId w:val="26"/>
  </w:num>
  <w:num w:numId="39">
    <w:abstractNumId w:val="17"/>
  </w:num>
  <w:num w:numId="40">
    <w:abstractNumId w:val="20"/>
  </w:num>
  <w:num w:numId="41">
    <w:abstractNumId w:val="28"/>
  </w:num>
  <w:num w:numId="42">
    <w:abstractNumId w:val="19"/>
  </w:num>
  <w:num w:numId="43">
    <w:abstractNumId w:val="5"/>
  </w:num>
  <w:num w:numId="44">
    <w:abstractNumId w:val="24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0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80E"/>
    <w:rsid w:val="00000848"/>
    <w:rsid w:val="00000AC6"/>
    <w:rsid w:val="00000F36"/>
    <w:rsid w:val="000011BB"/>
    <w:rsid w:val="00001F76"/>
    <w:rsid w:val="00002055"/>
    <w:rsid w:val="00003125"/>
    <w:rsid w:val="00003E25"/>
    <w:rsid w:val="000044CA"/>
    <w:rsid w:val="00004A8B"/>
    <w:rsid w:val="00004BFA"/>
    <w:rsid w:val="00005F34"/>
    <w:rsid w:val="000062EA"/>
    <w:rsid w:val="00006B9C"/>
    <w:rsid w:val="00006DFC"/>
    <w:rsid w:val="00006FDF"/>
    <w:rsid w:val="000071A7"/>
    <w:rsid w:val="00007D01"/>
    <w:rsid w:val="00007F12"/>
    <w:rsid w:val="0001171B"/>
    <w:rsid w:val="00011886"/>
    <w:rsid w:val="00012AB8"/>
    <w:rsid w:val="00012B40"/>
    <w:rsid w:val="00012FEE"/>
    <w:rsid w:val="000147CE"/>
    <w:rsid w:val="0001486F"/>
    <w:rsid w:val="0001588F"/>
    <w:rsid w:val="00015FC7"/>
    <w:rsid w:val="00016195"/>
    <w:rsid w:val="000163AE"/>
    <w:rsid w:val="00017CA1"/>
    <w:rsid w:val="00017E0A"/>
    <w:rsid w:val="00017FBB"/>
    <w:rsid w:val="0002012A"/>
    <w:rsid w:val="00021FDB"/>
    <w:rsid w:val="00023910"/>
    <w:rsid w:val="0002407A"/>
    <w:rsid w:val="00024642"/>
    <w:rsid w:val="0002485A"/>
    <w:rsid w:val="00024A1B"/>
    <w:rsid w:val="00025171"/>
    <w:rsid w:val="00025352"/>
    <w:rsid w:val="00025534"/>
    <w:rsid w:val="00025538"/>
    <w:rsid w:val="0002590D"/>
    <w:rsid w:val="00025B69"/>
    <w:rsid w:val="00026402"/>
    <w:rsid w:val="00026CAD"/>
    <w:rsid w:val="00030840"/>
    <w:rsid w:val="000309F2"/>
    <w:rsid w:val="00030D4F"/>
    <w:rsid w:val="00030EB3"/>
    <w:rsid w:val="00031077"/>
    <w:rsid w:val="00031386"/>
    <w:rsid w:val="00031468"/>
    <w:rsid w:val="000330E1"/>
    <w:rsid w:val="00034188"/>
    <w:rsid w:val="00034271"/>
    <w:rsid w:val="00035D10"/>
    <w:rsid w:val="00035D9B"/>
    <w:rsid w:val="00036B11"/>
    <w:rsid w:val="00040409"/>
    <w:rsid w:val="00040B79"/>
    <w:rsid w:val="00040FFE"/>
    <w:rsid w:val="000428B9"/>
    <w:rsid w:val="000428FF"/>
    <w:rsid w:val="00042F1C"/>
    <w:rsid w:val="000432BD"/>
    <w:rsid w:val="00043724"/>
    <w:rsid w:val="00043EBD"/>
    <w:rsid w:val="00043F0D"/>
    <w:rsid w:val="0004408F"/>
    <w:rsid w:val="00044130"/>
    <w:rsid w:val="000451FA"/>
    <w:rsid w:val="0004557A"/>
    <w:rsid w:val="000458E8"/>
    <w:rsid w:val="000460F9"/>
    <w:rsid w:val="00046A35"/>
    <w:rsid w:val="00047AD9"/>
    <w:rsid w:val="00047ADD"/>
    <w:rsid w:val="000501DB"/>
    <w:rsid w:val="0005033A"/>
    <w:rsid w:val="00051C3E"/>
    <w:rsid w:val="0005224E"/>
    <w:rsid w:val="00052A56"/>
    <w:rsid w:val="00052E48"/>
    <w:rsid w:val="000533C5"/>
    <w:rsid w:val="000536A0"/>
    <w:rsid w:val="00053945"/>
    <w:rsid w:val="00053DCA"/>
    <w:rsid w:val="00054690"/>
    <w:rsid w:val="000547BA"/>
    <w:rsid w:val="00054D79"/>
    <w:rsid w:val="0005558A"/>
    <w:rsid w:val="00056E49"/>
    <w:rsid w:val="000602B0"/>
    <w:rsid w:val="00060903"/>
    <w:rsid w:val="00060918"/>
    <w:rsid w:val="0006105A"/>
    <w:rsid w:val="000611D8"/>
    <w:rsid w:val="00061529"/>
    <w:rsid w:val="00063048"/>
    <w:rsid w:val="00064336"/>
    <w:rsid w:val="000644A3"/>
    <w:rsid w:val="0006471F"/>
    <w:rsid w:val="00065310"/>
    <w:rsid w:val="00065359"/>
    <w:rsid w:val="000658FF"/>
    <w:rsid w:val="00065E20"/>
    <w:rsid w:val="00065EE0"/>
    <w:rsid w:val="0006634D"/>
    <w:rsid w:val="000669E0"/>
    <w:rsid w:val="00066B07"/>
    <w:rsid w:val="0006722F"/>
    <w:rsid w:val="000676F9"/>
    <w:rsid w:val="00070284"/>
    <w:rsid w:val="000703E5"/>
    <w:rsid w:val="0007054D"/>
    <w:rsid w:val="00070E28"/>
    <w:rsid w:val="000716F9"/>
    <w:rsid w:val="00071AF6"/>
    <w:rsid w:val="00071E2F"/>
    <w:rsid w:val="00071FDE"/>
    <w:rsid w:val="00072479"/>
    <w:rsid w:val="0007381F"/>
    <w:rsid w:val="00073903"/>
    <w:rsid w:val="000740C9"/>
    <w:rsid w:val="00074F21"/>
    <w:rsid w:val="000755A1"/>
    <w:rsid w:val="00075CB7"/>
    <w:rsid w:val="000765C6"/>
    <w:rsid w:val="00077F37"/>
    <w:rsid w:val="0008157D"/>
    <w:rsid w:val="000819A0"/>
    <w:rsid w:val="00082100"/>
    <w:rsid w:val="00082B06"/>
    <w:rsid w:val="000832FA"/>
    <w:rsid w:val="00085DAC"/>
    <w:rsid w:val="000862E0"/>
    <w:rsid w:val="000868B5"/>
    <w:rsid w:val="00086B24"/>
    <w:rsid w:val="00086D36"/>
    <w:rsid w:val="00087DAE"/>
    <w:rsid w:val="00090342"/>
    <w:rsid w:val="000906F7"/>
    <w:rsid w:val="000916CF"/>
    <w:rsid w:val="00091C31"/>
    <w:rsid w:val="00093908"/>
    <w:rsid w:val="00093B2C"/>
    <w:rsid w:val="000945EC"/>
    <w:rsid w:val="0009478B"/>
    <w:rsid w:val="00094831"/>
    <w:rsid w:val="0009535C"/>
    <w:rsid w:val="00095943"/>
    <w:rsid w:val="00096260"/>
    <w:rsid w:val="000975DE"/>
    <w:rsid w:val="000A01A8"/>
    <w:rsid w:val="000A05CA"/>
    <w:rsid w:val="000A0E0D"/>
    <w:rsid w:val="000A3A1A"/>
    <w:rsid w:val="000A3B04"/>
    <w:rsid w:val="000A4289"/>
    <w:rsid w:val="000A6631"/>
    <w:rsid w:val="000A6736"/>
    <w:rsid w:val="000A67A2"/>
    <w:rsid w:val="000A6EA5"/>
    <w:rsid w:val="000A72B1"/>
    <w:rsid w:val="000B083D"/>
    <w:rsid w:val="000B0E4B"/>
    <w:rsid w:val="000B2076"/>
    <w:rsid w:val="000B29F9"/>
    <w:rsid w:val="000B2AA7"/>
    <w:rsid w:val="000B355F"/>
    <w:rsid w:val="000B4925"/>
    <w:rsid w:val="000B4A76"/>
    <w:rsid w:val="000B5AC8"/>
    <w:rsid w:val="000B5E69"/>
    <w:rsid w:val="000B68EC"/>
    <w:rsid w:val="000B6CE3"/>
    <w:rsid w:val="000C0F66"/>
    <w:rsid w:val="000C1C10"/>
    <w:rsid w:val="000C2DDF"/>
    <w:rsid w:val="000C30EE"/>
    <w:rsid w:val="000C3134"/>
    <w:rsid w:val="000C3B81"/>
    <w:rsid w:val="000C42A5"/>
    <w:rsid w:val="000C4547"/>
    <w:rsid w:val="000C4E07"/>
    <w:rsid w:val="000C598F"/>
    <w:rsid w:val="000C654A"/>
    <w:rsid w:val="000C6A13"/>
    <w:rsid w:val="000C6CE1"/>
    <w:rsid w:val="000C78A0"/>
    <w:rsid w:val="000D02F8"/>
    <w:rsid w:val="000D056C"/>
    <w:rsid w:val="000D058B"/>
    <w:rsid w:val="000D1DE5"/>
    <w:rsid w:val="000D319F"/>
    <w:rsid w:val="000D44CE"/>
    <w:rsid w:val="000D4B28"/>
    <w:rsid w:val="000D50BD"/>
    <w:rsid w:val="000D51AD"/>
    <w:rsid w:val="000D53F4"/>
    <w:rsid w:val="000D66D8"/>
    <w:rsid w:val="000D69A6"/>
    <w:rsid w:val="000D6C36"/>
    <w:rsid w:val="000D76AD"/>
    <w:rsid w:val="000D7D64"/>
    <w:rsid w:val="000D7E53"/>
    <w:rsid w:val="000E0816"/>
    <w:rsid w:val="000E0956"/>
    <w:rsid w:val="000E0972"/>
    <w:rsid w:val="000E0989"/>
    <w:rsid w:val="000E0CCE"/>
    <w:rsid w:val="000E15B2"/>
    <w:rsid w:val="000E181A"/>
    <w:rsid w:val="000E1A2B"/>
    <w:rsid w:val="000E1BB5"/>
    <w:rsid w:val="000E2896"/>
    <w:rsid w:val="000E38F9"/>
    <w:rsid w:val="000E4AB1"/>
    <w:rsid w:val="000E518C"/>
    <w:rsid w:val="000E71A1"/>
    <w:rsid w:val="000E7276"/>
    <w:rsid w:val="000E7AEB"/>
    <w:rsid w:val="000E7FA4"/>
    <w:rsid w:val="000F18A6"/>
    <w:rsid w:val="000F2101"/>
    <w:rsid w:val="000F2EA5"/>
    <w:rsid w:val="000F2EC0"/>
    <w:rsid w:val="000F3664"/>
    <w:rsid w:val="000F3707"/>
    <w:rsid w:val="000F397B"/>
    <w:rsid w:val="000F3B7F"/>
    <w:rsid w:val="000F412C"/>
    <w:rsid w:val="000F4D0B"/>
    <w:rsid w:val="000F5EC6"/>
    <w:rsid w:val="000F6227"/>
    <w:rsid w:val="000F7390"/>
    <w:rsid w:val="000F7689"/>
    <w:rsid w:val="000F7DB3"/>
    <w:rsid w:val="000F7EA7"/>
    <w:rsid w:val="0010041F"/>
    <w:rsid w:val="00100455"/>
    <w:rsid w:val="00101F81"/>
    <w:rsid w:val="00102A31"/>
    <w:rsid w:val="00102A96"/>
    <w:rsid w:val="00102FA6"/>
    <w:rsid w:val="00103E68"/>
    <w:rsid w:val="00103FEB"/>
    <w:rsid w:val="00104942"/>
    <w:rsid w:val="00104BA0"/>
    <w:rsid w:val="00104C96"/>
    <w:rsid w:val="0010503D"/>
    <w:rsid w:val="0010529C"/>
    <w:rsid w:val="00105ADB"/>
    <w:rsid w:val="00106DFD"/>
    <w:rsid w:val="00107733"/>
    <w:rsid w:val="0010795F"/>
    <w:rsid w:val="00107B32"/>
    <w:rsid w:val="00107F58"/>
    <w:rsid w:val="00107F8D"/>
    <w:rsid w:val="00110EAD"/>
    <w:rsid w:val="00111498"/>
    <w:rsid w:val="00111717"/>
    <w:rsid w:val="001122AE"/>
    <w:rsid w:val="001123CD"/>
    <w:rsid w:val="00112D14"/>
    <w:rsid w:val="00113A8D"/>
    <w:rsid w:val="00114388"/>
    <w:rsid w:val="001157C9"/>
    <w:rsid w:val="00115989"/>
    <w:rsid w:val="001159AD"/>
    <w:rsid w:val="00116112"/>
    <w:rsid w:val="0011620A"/>
    <w:rsid w:val="00116413"/>
    <w:rsid w:val="00117269"/>
    <w:rsid w:val="001173C7"/>
    <w:rsid w:val="00117535"/>
    <w:rsid w:val="00120A07"/>
    <w:rsid w:val="00120B4B"/>
    <w:rsid w:val="00120BC3"/>
    <w:rsid w:val="00121825"/>
    <w:rsid w:val="00122581"/>
    <w:rsid w:val="00122ACC"/>
    <w:rsid w:val="0012318C"/>
    <w:rsid w:val="00123276"/>
    <w:rsid w:val="00123D6E"/>
    <w:rsid w:val="00123F6F"/>
    <w:rsid w:val="00124404"/>
    <w:rsid w:val="00124468"/>
    <w:rsid w:val="00124DC1"/>
    <w:rsid w:val="001252A0"/>
    <w:rsid w:val="00125528"/>
    <w:rsid w:val="00125C42"/>
    <w:rsid w:val="00126014"/>
    <w:rsid w:val="001271D0"/>
    <w:rsid w:val="00127BDC"/>
    <w:rsid w:val="0013037E"/>
    <w:rsid w:val="00130591"/>
    <w:rsid w:val="0013084E"/>
    <w:rsid w:val="00131226"/>
    <w:rsid w:val="00131853"/>
    <w:rsid w:val="00131D36"/>
    <w:rsid w:val="0013243D"/>
    <w:rsid w:val="0013245B"/>
    <w:rsid w:val="00132728"/>
    <w:rsid w:val="00132EA9"/>
    <w:rsid w:val="0013302A"/>
    <w:rsid w:val="001333F7"/>
    <w:rsid w:val="00133511"/>
    <w:rsid w:val="00133C95"/>
    <w:rsid w:val="00134D66"/>
    <w:rsid w:val="00135172"/>
    <w:rsid w:val="00135776"/>
    <w:rsid w:val="0013689C"/>
    <w:rsid w:val="0013720C"/>
    <w:rsid w:val="00137A5E"/>
    <w:rsid w:val="00140EE2"/>
    <w:rsid w:val="00141C95"/>
    <w:rsid w:val="001420C9"/>
    <w:rsid w:val="001439C0"/>
    <w:rsid w:val="00143B45"/>
    <w:rsid w:val="00143C34"/>
    <w:rsid w:val="0014464B"/>
    <w:rsid w:val="00144B6C"/>
    <w:rsid w:val="00144F0D"/>
    <w:rsid w:val="00146525"/>
    <w:rsid w:val="001466EB"/>
    <w:rsid w:val="001469DA"/>
    <w:rsid w:val="0014714A"/>
    <w:rsid w:val="00147406"/>
    <w:rsid w:val="001478D6"/>
    <w:rsid w:val="00147BD0"/>
    <w:rsid w:val="00150342"/>
    <w:rsid w:val="001503E4"/>
    <w:rsid w:val="001507CD"/>
    <w:rsid w:val="00152049"/>
    <w:rsid w:val="0015227F"/>
    <w:rsid w:val="00152BA4"/>
    <w:rsid w:val="00152E20"/>
    <w:rsid w:val="00153206"/>
    <w:rsid w:val="00153C1A"/>
    <w:rsid w:val="00154638"/>
    <w:rsid w:val="0015489B"/>
    <w:rsid w:val="0015491A"/>
    <w:rsid w:val="00154C29"/>
    <w:rsid w:val="00155131"/>
    <w:rsid w:val="00156264"/>
    <w:rsid w:val="001569A4"/>
    <w:rsid w:val="00157A09"/>
    <w:rsid w:val="00157AA4"/>
    <w:rsid w:val="00157B2B"/>
    <w:rsid w:val="001617C3"/>
    <w:rsid w:val="00162554"/>
    <w:rsid w:val="001628AA"/>
    <w:rsid w:val="00162FFC"/>
    <w:rsid w:val="0016329B"/>
    <w:rsid w:val="001632CB"/>
    <w:rsid w:val="0016377F"/>
    <w:rsid w:val="00163A2A"/>
    <w:rsid w:val="00163AAD"/>
    <w:rsid w:val="001646DB"/>
    <w:rsid w:val="00164850"/>
    <w:rsid w:val="00164D44"/>
    <w:rsid w:val="00165757"/>
    <w:rsid w:val="00166684"/>
    <w:rsid w:val="00166D6C"/>
    <w:rsid w:val="001676DD"/>
    <w:rsid w:val="00167955"/>
    <w:rsid w:val="00167A97"/>
    <w:rsid w:val="00167E59"/>
    <w:rsid w:val="00170660"/>
    <w:rsid w:val="00170E58"/>
    <w:rsid w:val="001725DD"/>
    <w:rsid w:val="0017280A"/>
    <w:rsid w:val="0017288F"/>
    <w:rsid w:val="00172B9F"/>
    <w:rsid w:val="00172F3E"/>
    <w:rsid w:val="0017319A"/>
    <w:rsid w:val="0017337C"/>
    <w:rsid w:val="001746BA"/>
    <w:rsid w:val="00174E2F"/>
    <w:rsid w:val="001753BA"/>
    <w:rsid w:val="00175D92"/>
    <w:rsid w:val="00175DE1"/>
    <w:rsid w:val="0017662F"/>
    <w:rsid w:val="0018004D"/>
    <w:rsid w:val="0018078C"/>
    <w:rsid w:val="00180CEC"/>
    <w:rsid w:val="00180ED6"/>
    <w:rsid w:val="001810CB"/>
    <w:rsid w:val="001811F6"/>
    <w:rsid w:val="00181A62"/>
    <w:rsid w:val="00181CBB"/>
    <w:rsid w:val="0018252B"/>
    <w:rsid w:val="00182635"/>
    <w:rsid w:val="00184605"/>
    <w:rsid w:val="0018471F"/>
    <w:rsid w:val="00184CD8"/>
    <w:rsid w:val="00186F97"/>
    <w:rsid w:val="0018705B"/>
    <w:rsid w:val="00187FC0"/>
    <w:rsid w:val="00190C26"/>
    <w:rsid w:val="00192333"/>
    <w:rsid w:val="00192665"/>
    <w:rsid w:val="001929EF"/>
    <w:rsid w:val="00192FF4"/>
    <w:rsid w:val="001938DE"/>
    <w:rsid w:val="00193E13"/>
    <w:rsid w:val="00194A7D"/>
    <w:rsid w:val="00194B18"/>
    <w:rsid w:val="00195215"/>
    <w:rsid w:val="0019539A"/>
    <w:rsid w:val="0019594B"/>
    <w:rsid w:val="00196B81"/>
    <w:rsid w:val="00196F0D"/>
    <w:rsid w:val="001A00C8"/>
    <w:rsid w:val="001A0959"/>
    <w:rsid w:val="001A1086"/>
    <w:rsid w:val="001A22D1"/>
    <w:rsid w:val="001A26B8"/>
    <w:rsid w:val="001A310A"/>
    <w:rsid w:val="001A325D"/>
    <w:rsid w:val="001A3723"/>
    <w:rsid w:val="001A46C9"/>
    <w:rsid w:val="001A4D86"/>
    <w:rsid w:val="001A5014"/>
    <w:rsid w:val="001A675E"/>
    <w:rsid w:val="001A77E3"/>
    <w:rsid w:val="001B1012"/>
    <w:rsid w:val="001B174D"/>
    <w:rsid w:val="001B272F"/>
    <w:rsid w:val="001B28AE"/>
    <w:rsid w:val="001B2D5B"/>
    <w:rsid w:val="001B2F27"/>
    <w:rsid w:val="001B3717"/>
    <w:rsid w:val="001B376E"/>
    <w:rsid w:val="001B3A11"/>
    <w:rsid w:val="001B3D07"/>
    <w:rsid w:val="001B3E7A"/>
    <w:rsid w:val="001B4654"/>
    <w:rsid w:val="001B471D"/>
    <w:rsid w:val="001B49AF"/>
    <w:rsid w:val="001B4DD4"/>
    <w:rsid w:val="001B4F83"/>
    <w:rsid w:val="001B535E"/>
    <w:rsid w:val="001B586E"/>
    <w:rsid w:val="001B7509"/>
    <w:rsid w:val="001B7FA7"/>
    <w:rsid w:val="001B7FCA"/>
    <w:rsid w:val="001B7FCD"/>
    <w:rsid w:val="001C0A4C"/>
    <w:rsid w:val="001C12E8"/>
    <w:rsid w:val="001C183B"/>
    <w:rsid w:val="001C36E7"/>
    <w:rsid w:val="001C4B13"/>
    <w:rsid w:val="001C4E88"/>
    <w:rsid w:val="001C6A2E"/>
    <w:rsid w:val="001C7013"/>
    <w:rsid w:val="001C705A"/>
    <w:rsid w:val="001C7EA7"/>
    <w:rsid w:val="001D08B8"/>
    <w:rsid w:val="001D1BA7"/>
    <w:rsid w:val="001D1DC4"/>
    <w:rsid w:val="001D2A87"/>
    <w:rsid w:val="001D3868"/>
    <w:rsid w:val="001D46DE"/>
    <w:rsid w:val="001D51AD"/>
    <w:rsid w:val="001D5E40"/>
    <w:rsid w:val="001D60F4"/>
    <w:rsid w:val="001D62C6"/>
    <w:rsid w:val="001D69C2"/>
    <w:rsid w:val="001D6C5C"/>
    <w:rsid w:val="001D7211"/>
    <w:rsid w:val="001D7968"/>
    <w:rsid w:val="001D7F01"/>
    <w:rsid w:val="001E0CAD"/>
    <w:rsid w:val="001E17EE"/>
    <w:rsid w:val="001E187F"/>
    <w:rsid w:val="001E1E67"/>
    <w:rsid w:val="001E1ECF"/>
    <w:rsid w:val="001E2392"/>
    <w:rsid w:val="001E3877"/>
    <w:rsid w:val="001E4512"/>
    <w:rsid w:val="001E4CFE"/>
    <w:rsid w:val="001E5875"/>
    <w:rsid w:val="001E6D86"/>
    <w:rsid w:val="001E718C"/>
    <w:rsid w:val="001E789A"/>
    <w:rsid w:val="001E7961"/>
    <w:rsid w:val="001F0A03"/>
    <w:rsid w:val="001F121D"/>
    <w:rsid w:val="001F15BB"/>
    <w:rsid w:val="001F1B81"/>
    <w:rsid w:val="001F27C0"/>
    <w:rsid w:val="001F3327"/>
    <w:rsid w:val="001F4C26"/>
    <w:rsid w:val="001F4E2F"/>
    <w:rsid w:val="001F4E33"/>
    <w:rsid w:val="001F518B"/>
    <w:rsid w:val="001F5837"/>
    <w:rsid w:val="001F5BC4"/>
    <w:rsid w:val="001F666C"/>
    <w:rsid w:val="001F7B49"/>
    <w:rsid w:val="00200951"/>
    <w:rsid w:val="00200BCF"/>
    <w:rsid w:val="00201021"/>
    <w:rsid w:val="002013F3"/>
    <w:rsid w:val="00202197"/>
    <w:rsid w:val="00205107"/>
    <w:rsid w:val="00206151"/>
    <w:rsid w:val="002063FB"/>
    <w:rsid w:val="0020649E"/>
    <w:rsid w:val="00206787"/>
    <w:rsid w:val="0020732D"/>
    <w:rsid w:val="00207BF6"/>
    <w:rsid w:val="002104F5"/>
    <w:rsid w:val="00211884"/>
    <w:rsid w:val="00211BF8"/>
    <w:rsid w:val="00212A34"/>
    <w:rsid w:val="00212B9C"/>
    <w:rsid w:val="002139DD"/>
    <w:rsid w:val="00213BF6"/>
    <w:rsid w:val="00214BC4"/>
    <w:rsid w:val="002155EC"/>
    <w:rsid w:val="00216405"/>
    <w:rsid w:val="0021692F"/>
    <w:rsid w:val="00216ACC"/>
    <w:rsid w:val="002173F5"/>
    <w:rsid w:val="00217466"/>
    <w:rsid w:val="00217786"/>
    <w:rsid w:val="00217817"/>
    <w:rsid w:val="00220523"/>
    <w:rsid w:val="002207CD"/>
    <w:rsid w:val="0022087A"/>
    <w:rsid w:val="00220D45"/>
    <w:rsid w:val="00220E57"/>
    <w:rsid w:val="0022133C"/>
    <w:rsid w:val="002221B1"/>
    <w:rsid w:val="00222752"/>
    <w:rsid w:val="0022347D"/>
    <w:rsid w:val="00224215"/>
    <w:rsid w:val="00224637"/>
    <w:rsid w:val="00224CDC"/>
    <w:rsid w:val="00224E83"/>
    <w:rsid w:val="00224F08"/>
    <w:rsid w:val="00225E84"/>
    <w:rsid w:val="00225FEB"/>
    <w:rsid w:val="0022668C"/>
    <w:rsid w:val="002269BF"/>
    <w:rsid w:val="00226A1C"/>
    <w:rsid w:val="00227268"/>
    <w:rsid w:val="002273E5"/>
    <w:rsid w:val="00230859"/>
    <w:rsid w:val="00231793"/>
    <w:rsid w:val="00232674"/>
    <w:rsid w:val="00233357"/>
    <w:rsid w:val="00235596"/>
    <w:rsid w:val="0023636A"/>
    <w:rsid w:val="002364BD"/>
    <w:rsid w:val="0023661A"/>
    <w:rsid w:val="00236CA0"/>
    <w:rsid w:val="00237808"/>
    <w:rsid w:val="002378B5"/>
    <w:rsid w:val="002379E3"/>
    <w:rsid w:val="00237B3F"/>
    <w:rsid w:val="0024014E"/>
    <w:rsid w:val="002401D5"/>
    <w:rsid w:val="002402D6"/>
    <w:rsid w:val="00240910"/>
    <w:rsid w:val="00240A13"/>
    <w:rsid w:val="00240E82"/>
    <w:rsid w:val="00241AB5"/>
    <w:rsid w:val="00241CA7"/>
    <w:rsid w:val="00241D1F"/>
    <w:rsid w:val="00241FF5"/>
    <w:rsid w:val="0024202A"/>
    <w:rsid w:val="002426A5"/>
    <w:rsid w:val="00243EFA"/>
    <w:rsid w:val="00244EB9"/>
    <w:rsid w:val="002450BF"/>
    <w:rsid w:val="0024682D"/>
    <w:rsid w:val="00246A12"/>
    <w:rsid w:val="00246F26"/>
    <w:rsid w:val="00247519"/>
    <w:rsid w:val="00247B03"/>
    <w:rsid w:val="0025161F"/>
    <w:rsid w:val="00252F73"/>
    <w:rsid w:val="002537D4"/>
    <w:rsid w:val="0025410C"/>
    <w:rsid w:val="002553B0"/>
    <w:rsid w:val="0025552C"/>
    <w:rsid w:val="002559E4"/>
    <w:rsid w:val="002561ED"/>
    <w:rsid w:val="00256257"/>
    <w:rsid w:val="00256955"/>
    <w:rsid w:val="00256A85"/>
    <w:rsid w:val="00256CD2"/>
    <w:rsid w:val="00260D52"/>
    <w:rsid w:val="00262487"/>
    <w:rsid w:val="00263DDC"/>
    <w:rsid w:val="00264798"/>
    <w:rsid w:val="00266096"/>
    <w:rsid w:val="00266C8E"/>
    <w:rsid w:val="00267872"/>
    <w:rsid w:val="002701DA"/>
    <w:rsid w:val="00270439"/>
    <w:rsid w:val="00271003"/>
    <w:rsid w:val="002711A8"/>
    <w:rsid w:val="00271613"/>
    <w:rsid w:val="002716C1"/>
    <w:rsid w:val="00271B05"/>
    <w:rsid w:val="00272461"/>
    <w:rsid w:val="00272474"/>
    <w:rsid w:val="00272478"/>
    <w:rsid w:val="00272812"/>
    <w:rsid w:val="0027335D"/>
    <w:rsid w:val="002737A7"/>
    <w:rsid w:val="00274146"/>
    <w:rsid w:val="002747B1"/>
    <w:rsid w:val="00274C01"/>
    <w:rsid w:val="00274C93"/>
    <w:rsid w:val="00275F4C"/>
    <w:rsid w:val="00276669"/>
    <w:rsid w:val="0027684E"/>
    <w:rsid w:val="00276D6A"/>
    <w:rsid w:val="0027748F"/>
    <w:rsid w:val="002778FA"/>
    <w:rsid w:val="00280260"/>
    <w:rsid w:val="00280843"/>
    <w:rsid w:val="00281244"/>
    <w:rsid w:val="0028149B"/>
    <w:rsid w:val="0028162F"/>
    <w:rsid w:val="002827AC"/>
    <w:rsid w:val="00282ADD"/>
    <w:rsid w:val="0028320A"/>
    <w:rsid w:val="00283EB2"/>
    <w:rsid w:val="00285176"/>
    <w:rsid w:val="00285630"/>
    <w:rsid w:val="002857A8"/>
    <w:rsid w:val="00285B83"/>
    <w:rsid w:val="002862D2"/>
    <w:rsid w:val="002865D5"/>
    <w:rsid w:val="00287134"/>
    <w:rsid w:val="0029036D"/>
    <w:rsid w:val="00290C4D"/>
    <w:rsid w:val="00290EBF"/>
    <w:rsid w:val="002916EE"/>
    <w:rsid w:val="00291CB1"/>
    <w:rsid w:val="002924A0"/>
    <w:rsid w:val="00293DDC"/>
    <w:rsid w:val="00294898"/>
    <w:rsid w:val="00294EFA"/>
    <w:rsid w:val="002964BA"/>
    <w:rsid w:val="0029769E"/>
    <w:rsid w:val="002A01FF"/>
    <w:rsid w:val="002A0D9F"/>
    <w:rsid w:val="002A14A1"/>
    <w:rsid w:val="002A155D"/>
    <w:rsid w:val="002A20F8"/>
    <w:rsid w:val="002A2179"/>
    <w:rsid w:val="002A34DC"/>
    <w:rsid w:val="002A3510"/>
    <w:rsid w:val="002A3587"/>
    <w:rsid w:val="002A4415"/>
    <w:rsid w:val="002A44BF"/>
    <w:rsid w:val="002A45C0"/>
    <w:rsid w:val="002A4AB4"/>
    <w:rsid w:val="002A534C"/>
    <w:rsid w:val="002A5EA8"/>
    <w:rsid w:val="002A6954"/>
    <w:rsid w:val="002A76A7"/>
    <w:rsid w:val="002B0FA0"/>
    <w:rsid w:val="002B1EF7"/>
    <w:rsid w:val="002B4DA2"/>
    <w:rsid w:val="002B53AB"/>
    <w:rsid w:val="002B7C02"/>
    <w:rsid w:val="002C01D9"/>
    <w:rsid w:val="002C0DC3"/>
    <w:rsid w:val="002C0FBE"/>
    <w:rsid w:val="002C1143"/>
    <w:rsid w:val="002C1D80"/>
    <w:rsid w:val="002C236E"/>
    <w:rsid w:val="002C2CDE"/>
    <w:rsid w:val="002C2D3A"/>
    <w:rsid w:val="002C3D2E"/>
    <w:rsid w:val="002C3EE9"/>
    <w:rsid w:val="002C5B00"/>
    <w:rsid w:val="002C5E93"/>
    <w:rsid w:val="002C6DA6"/>
    <w:rsid w:val="002C79FC"/>
    <w:rsid w:val="002D0BD0"/>
    <w:rsid w:val="002D0BD7"/>
    <w:rsid w:val="002D2A75"/>
    <w:rsid w:val="002D2ADC"/>
    <w:rsid w:val="002D3B9F"/>
    <w:rsid w:val="002D3F5F"/>
    <w:rsid w:val="002D4345"/>
    <w:rsid w:val="002D4B20"/>
    <w:rsid w:val="002D4B5A"/>
    <w:rsid w:val="002D5274"/>
    <w:rsid w:val="002D6B73"/>
    <w:rsid w:val="002D6DE0"/>
    <w:rsid w:val="002D764D"/>
    <w:rsid w:val="002D7A07"/>
    <w:rsid w:val="002D7D63"/>
    <w:rsid w:val="002E0EEE"/>
    <w:rsid w:val="002E14B8"/>
    <w:rsid w:val="002E1A50"/>
    <w:rsid w:val="002E1E3F"/>
    <w:rsid w:val="002E2511"/>
    <w:rsid w:val="002E26CC"/>
    <w:rsid w:val="002E3684"/>
    <w:rsid w:val="002E3923"/>
    <w:rsid w:val="002E41E8"/>
    <w:rsid w:val="002E422C"/>
    <w:rsid w:val="002E5510"/>
    <w:rsid w:val="002E65B3"/>
    <w:rsid w:val="002E6C66"/>
    <w:rsid w:val="002F138A"/>
    <w:rsid w:val="002F1D05"/>
    <w:rsid w:val="002F1F25"/>
    <w:rsid w:val="002F29CF"/>
    <w:rsid w:val="002F2EF3"/>
    <w:rsid w:val="002F2FA7"/>
    <w:rsid w:val="002F30FD"/>
    <w:rsid w:val="002F346F"/>
    <w:rsid w:val="002F365D"/>
    <w:rsid w:val="002F38BA"/>
    <w:rsid w:val="002F434A"/>
    <w:rsid w:val="002F49E5"/>
    <w:rsid w:val="002F52B6"/>
    <w:rsid w:val="002F55B1"/>
    <w:rsid w:val="002F583B"/>
    <w:rsid w:val="002F59E6"/>
    <w:rsid w:val="002F600F"/>
    <w:rsid w:val="002F6A39"/>
    <w:rsid w:val="002F7765"/>
    <w:rsid w:val="002F79CD"/>
    <w:rsid w:val="00300122"/>
    <w:rsid w:val="00300716"/>
    <w:rsid w:val="00301CEE"/>
    <w:rsid w:val="003022C4"/>
    <w:rsid w:val="003024FA"/>
    <w:rsid w:val="003030DC"/>
    <w:rsid w:val="003039C6"/>
    <w:rsid w:val="0030446D"/>
    <w:rsid w:val="00304D66"/>
    <w:rsid w:val="003051F6"/>
    <w:rsid w:val="003068DE"/>
    <w:rsid w:val="003101A3"/>
    <w:rsid w:val="00310765"/>
    <w:rsid w:val="00310F65"/>
    <w:rsid w:val="00311B47"/>
    <w:rsid w:val="003120B3"/>
    <w:rsid w:val="003130D3"/>
    <w:rsid w:val="00313B61"/>
    <w:rsid w:val="00313FE6"/>
    <w:rsid w:val="0031406E"/>
    <w:rsid w:val="00314519"/>
    <w:rsid w:val="00314AD8"/>
    <w:rsid w:val="00314BB3"/>
    <w:rsid w:val="00315228"/>
    <w:rsid w:val="0031598B"/>
    <w:rsid w:val="00315FB5"/>
    <w:rsid w:val="003161C7"/>
    <w:rsid w:val="00316318"/>
    <w:rsid w:val="003164D4"/>
    <w:rsid w:val="00316D1A"/>
    <w:rsid w:val="0031734C"/>
    <w:rsid w:val="003177FA"/>
    <w:rsid w:val="00317F6E"/>
    <w:rsid w:val="003205C2"/>
    <w:rsid w:val="00321999"/>
    <w:rsid w:val="00321F53"/>
    <w:rsid w:val="00322F58"/>
    <w:rsid w:val="00322F9C"/>
    <w:rsid w:val="003245FA"/>
    <w:rsid w:val="00324D7C"/>
    <w:rsid w:val="0032535A"/>
    <w:rsid w:val="00325EE0"/>
    <w:rsid w:val="0032692C"/>
    <w:rsid w:val="00327CB1"/>
    <w:rsid w:val="003317E8"/>
    <w:rsid w:val="00331968"/>
    <w:rsid w:val="00332017"/>
    <w:rsid w:val="00332055"/>
    <w:rsid w:val="003323FD"/>
    <w:rsid w:val="00332B82"/>
    <w:rsid w:val="00333BDE"/>
    <w:rsid w:val="00333C30"/>
    <w:rsid w:val="0033488E"/>
    <w:rsid w:val="00334F18"/>
    <w:rsid w:val="003351D7"/>
    <w:rsid w:val="0033532D"/>
    <w:rsid w:val="003353F3"/>
    <w:rsid w:val="003353FD"/>
    <w:rsid w:val="00336B17"/>
    <w:rsid w:val="00336C6A"/>
    <w:rsid w:val="00340030"/>
    <w:rsid w:val="003420A1"/>
    <w:rsid w:val="0034238A"/>
    <w:rsid w:val="003436D4"/>
    <w:rsid w:val="00344A43"/>
    <w:rsid w:val="00347C62"/>
    <w:rsid w:val="00347D2F"/>
    <w:rsid w:val="003500BD"/>
    <w:rsid w:val="0035058E"/>
    <w:rsid w:val="00350FAD"/>
    <w:rsid w:val="00351507"/>
    <w:rsid w:val="003515CE"/>
    <w:rsid w:val="00351A27"/>
    <w:rsid w:val="0035218B"/>
    <w:rsid w:val="0035312F"/>
    <w:rsid w:val="00354502"/>
    <w:rsid w:val="0035465C"/>
    <w:rsid w:val="003549BD"/>
    <w:rsid w:val="00355106"/>
    <w:rsid w:val="0035513C"/>
    <w:rsid w:val="00356A06"/>
    <w:rsid w:val="00357128"/>
    <w:rsid w:val="0035744C"/>
    <w:rsid w:val="003578AA"/>
    <w:rsid w:val="00357A63"/>
    <w:rsid w:val="00360398"/>
    <w:rsid w:val="003608D9"/>
    <w:rsid w:val="00361305"/>
    <w:rsid w:val="003621B4"/>
    <w:rsid w:val="003622B9"/>
    <w:rsid w:val="00362626"/>
    <w:rsid w:val="0036521C"/>
    <w:rsid w:val="00365616"/>
    <w:rsid w:val="00365D3B"/>
    <w:rsid w:val="00366455"/>
    <w:rsid w:val="003664AB"/>
    <w:rsid w:val="003668DD"/>
    <w:rsid w:val="003669DF"/>
    <w:rsid w:val="00367096"/>
    <w:rsid w:val="00367779"/>
    <w:rsid w:val="00370558"/>
    <w:rsid w:val="0037096C"/>
    <w:rsid w:val="00371BB5"/>
    <w:rsid w:val="00372189"/>
    <w:rsid w:val="003722D8"/>
    <w:rsid w:val="003737C9"/>
    <w:rsid w:val="0037396E"/>
    <w:rsid w:val="0037446F"/>
    <w:rsid w:val="00375254"/>
    <w:rsid w:val="00375526"/>
    <w:rsid w:val="00375BE7"/>
    <w:rsid w:val="00375C36"/>
    <w:rsid w:val="003765A2"/>
    <w:rsid w:val="003768E0"/>
    <w:rsid w:val="003770F2"/>
    <w:rsid w:val="00377D32"/>
    <w:rsid w:val="00380E23"/>
    <w:rsid w:val="00380EBB"/>
    <w:rsid w:val="00380F21"/>
    <w:rsid w:val="00380F62"/>
    <w:rsid w:val="003814EC"/>
    <w:rsid w:val="003817D9"/>
    <w:rsid w:val="00381D3A"/>
    <w:rsid w:val="00381ED2"/>
    <w:rsid w:val="00382484"/>
    <w:rsid w:val="00382975"/>
    <w:rsid w:val="00382B5D"/>
    <w:rsid w:val="0038337B"/>
    <w:rsid w:val="0038367A"/>
    <w:rsid w:val="00383801"/>
    <w:rsid w:val="0038389A"/>
    <w:rsid w:val="003838FE"/>
    <w:rsid w:val="00383DBE"/>
    <w:rsid w:val="00384A7B"/>
    <w:rsid w:val="0038670B"/>
    <w:rsid w:val="003879E4"/>
    <w:rsid w:val="00391326"/>
    <w:rsid w:val="00394D51"/>
    <w:rsid w:val="003975B5"/>
    <w:rsid w:val="00397FDC"/>
    <w:rsid w:val="003A0405"/>
    <w:rsid w:val="003A0465"/>
    <w:rsid w:val="003A0AAD"/>
    <w:rsid w:val="003A0C93"/>
    <w:rsid w:val="003A1126"/>
    <w:rsid w:val="003A143B"/>
    <w:rsid w:val="003A222D"/>
    <w:rsid w:val="003A303B"/>
    <w:rsid w:val="003A3EDE"/>
    <w:rsid w:val="003A41BA"/>
    <w:rsid w:val="003A5020"/>
    <w:rsid w:val="003A5081"/>
    <w:rsid w:val="003A561B"/>
    <w:rsid w:val="003A5640"/>
    <w:rsid w:val="003A6D99"/>
    <w:rsid w:val="003A7301"/>
    <w:rsid w:val="003A740E"/>
    <w:rsid w:val="003A7D23"/>
    <w:rsid w:val="003B0B0E"/>
    <w:rsid w:val="003B1440"/>
    <w:rsid w:val="003B1DAC"/>
    <w:rsid w:val="003B2295"/>
    <w:rsid w:val="003B2367"/>
    <w:rsid w:val="003B3CAE"/>
    <w:rsid w:val="003B43FD"/>
    <w:rsid w:val="003B457E"/>
    <w:rsid w:val="003B4A20"/>
    <w:rsid w:val="003B4C18"/>
    <w:rsid w:val="003B5509"/>
    <w:rsid w:val="003B56B4"/>
    <w:rsid w:val="003B5FA7"/>
    <w:rsid w:val="003B7953"/>
    <w:rsid w:val="003C05D0"/>
    <w:rsid w:val="003C12C5"/>
    <w:rsid w:val="003C2EBC"/>
    <w:rsid w:val="003C3782"/>
    <w:rsid w:val="003C378E"/>
    <w:rsid w:val="003C407C"/>
    <w:rsid w:val="003C4620"/>
    <w:rsid w:val="003C54AF"/>
    <w:rsid w:val="003C5645"/>
    <w:rsid w:val="003C6540"/>
    <w:rsid w:val="003C6557"/>
    <w:rsid w:val="003C6BC2"/>
    <w:rsid w:val="003C7866"/>
    <w:rsid w:val="003C790A"/>
    <w:rsid w:val="003D1101"/>
    <w:rsid w:val="003D23A4"/>
    <w:rsid w:val="003D3B65"/>
    <w:rsid w:val="003D4BCA"/>
    <w:rsid w:val="003D6187"/>
    <w:rsid w:val="003D62B5"/>
    <w:rsid w:val="003D658C"/>
    <w:rsid w:val="003D68F3"/>
    <w:rsid w:val="003D7611"/>
    <w:rsid w:val="003E048D"/>
    <w:rsid w:val="003E0C9A"/>
    <w:rsid w:val="003E0FDC"/>
    <w:rsid w:val="003E1D1C"/>
    <w:rsid w:val="003E2AE8"/>
    <w:rsid w:val="003E30C3"/>
    <w:rsid w:val="003E5657"/>
    <w:rsid w:val="003E5EDD"/>
    <w:rsid w:val="003E6BF8"/>
    <w:rsid w:val="003F0DB4"/>
    <w:rsid w:val="003F13AC"/>
    <w:rsid w:val="003F1B10"/>
    <w:rsid w:val="003F1FED"/>
    <w:rsid w:val="003F2A75"/>
    <w:rsid w:val="003F31FC"/>
    <w:rsid w:val="003F49F3"/>
    <w:rsid w:val="003F4DAA"/>
    <w:rsid w:val="003F75AD"/>
    <w:rsid w:val="00400684"/>
    <w:rsid w:val="004011C6"/>
    <w:rsid w:val="00401480"/>
    <w:rsid w:val="004015A7"/>
    <w:rsid w:val="00401F4C"/>
    <w:rsid w:val="0040222D"/>
    <w:rsid w:val="00402705"/>
    <w:rsid w:val="00403870"/>
    <w:rsid w:val="00403B3F"/>
    <w:rsid w:val="00404857"/>
    <w:rsid w:val="004053CD"/>
    <w:rsid w:val="004056A5"/>
    <w:rsid w:val="00405868"/>
    <w:rsid w:val="004060A2"/>
    <w:rsid w:val="00406548"/>
    <w:rsid w:val="0040750F"/>
    <w:rsid w:val="004075DE"/>
    <w:rsid w:val="00407CC8"/>
    <w:rsid w:val="00410FFA"/>
    <w:rsid w:val="00411AD3"/>
    <w:rsid w:val="004121CE"/>
    <w:rsid w:val="004135F1"/>
    <w:rsid w:val="0041364A"/>
    <w:rsid w:val="00413903"/>
    <w:rsid w:val="004142A6"/>
    <w:rsid w:val="00414EAF"/>
    <w:rsid w:val="00415031"/>
    <w:rsid w:val="0041506B"/>
    <w:rsid w:val="004161A9"/>
    <w:rsid w:val="00416572"/>
    <w:rsid w:val="00416CA7"/>
    <w:rsid w:val="00417455"/>
    <w:rsid w:val="00417589"/>
    <w:rsid w:val="004179EF"/>
    <w:rsid w:val="004204D0"/>
    <w:rsid w:val="00420565"/>
    <w:rsid w:val="004210B3"/>
    <w:rsid w:val="00421101"/>
    <w:rsid w:val="004216F9"/>
    <w:rsid w:val="0042180F"/>
    <w:rsid w:val="00421866"/>
    <w:rsid w:val="00422102"/>
    <w:rsid w:val="00423D72"/>
    <w:rsid w:val="00424FD0"/>
    <w:rsid w:val="00425252"/>
    <w:rsid w:val="00425296"/>
    <w:rsid w:val="0042589F"/>
    <w:rsid w:val="004259B1"/>
    <w:rsid w:val="0042689F"/>
    <w:rsid w:val="004317F1"/>
    <w:rsid w:val="00432663"/>
    <w:rsid w:val="004327D9"/>
    <w:rsid w:val="00432E25"/>
    <w:rsid w:val="004350F4"/>
    <w:rsid w:val="004354D5"/>
    <w:rsid w:val="00435DA4"/>
    <w:rsid w:val="004373D8"/>
    <w:rsid w:val="00437FF4"/>
    <w:rsid w:val="00440532"/>
    <w:rsid w:val="00440827"/>
    <w:rsid w:val="004411AB"/>
    <w:rsid w:val="004429B9"/>
    <w:rsid w:val="004429E7"/>
    <w:rsid w:val="00443345"/>
    <w:rsid w:val="00443D32"/>
    <w:rsid w:val="00443E08"/>
    <w:rsid w:val="004444EB"/>
    <w:rsid w:val="00444A24"/>
    <w:rsid w:val="00444D20"/>
    <w:rsid w:val="00444E38"/>
    <w:rsid w:val="00445E64"/>
    <w:rsid w:val="00445E70"/>
    <w:rsid w:val="0044644A"/>
    <w:rsid w:val="004464C8"/>
    <w:rsid w:val="004466E9"/>
    <w:rsid w:val="00447402"/>
    <w:rsid w:val="00447C4B"/>
    <w:rsid w:val="004507DD"/>
    <w:rsid w:val="00450B96"/>
    <w:rsid w:val="00451D33"/>
    <w:rsid w:val="0045291C"/>
    <w:rsid w:val="00452A92"/>
    <w:rsid w:val="004536C0"/>
    <w:rsid w:val="00453881"/>
    <w:rsid w:val="0045406C"/>
    <w:rsid w:val="004541AF"/>
    <w:rsid w:val="004542DA"/>
    <w:rsid w:val="00454532"/>
    <w:rsid w:val="00455027"/>
    <w:rsid w:val="00455AD5"/>
    <w:rsid w:val="00455C95"/>
    <w:rsid w:val="00456912"/>
    <w:rsid w:val="0045719E"/>
    <w:rsid w:val="00457577"/>
    <w:rsid w:val="00460213"/>
    <w:rsid w:val="00460A33"/>
    <w:rsid w:val="004614F5"/>
    <w:rsid w:val="00461E49"/>
    <w:rsid w:val="00462240"/>
    <w:rsid w:val="0046241F"/>
    <w:rsid w:val="00462EA4"/>
    <w:rsid w:val="00463D5E"/>
    <w:rsid w:val="0046450A"/>
    <w:rsid w:val="00466B00"/>
    <w:rsid w:val="0046756F"/>
    <w:rsid w:val="00467D65"/>
    <w:rsid w:val="00470F45"/>
    <w:rsid w:val="00471C38"/>
    <w:rsid w:val="00472333"/>
    <w:rsid w:val="004726B6"/>
    <w:rsid w:val="004729E9"/>
    <w:rsid w:val="00472DD4"/>
    <w:rsid w:val="004737E7"/>
    <w:rsid w:val="004739E5"/>
    <w:rsid w:val="00473CDF"/>
    <w:rsid w:val="00476BC6"/>
    <w:rsid w:val="004770B7"/>
    <w:rsid w:val="0047726E"/>
    <w:rsid w:val="0047792A"/>
    <w:rsid w:val="00477CA1"/>
    <w:rsid w:val="00480657"/>
    <w:rsid w:val="004807D9"/>
    <w:rsid w:val="00480A7A"/>
    <w:rsid w:val="00480A98"/>
    <w:rsid w:val="00480D18"/>
    <w:rsid w:val="004826FD"/>
    <w:rsid w:val="00482A13"/>
    <w:rsid w:val="00482D05"/>
    <w:rsid w:val="0048346E"/>
    <w:rsid w:val="004837FF"/>
    <w:rsid w:val="00483AFC"/>
    <w:rsid w:val="00484267"/>
    <w:rsid w:val="00485346"/>
    <w:rsid w:val="004853C1"/>
    <w:rsid w:val="004867CA"/>
    <w:rsid w:val="00487610"/>
    <w:rsid w:val="00487B23"/>
    <w:rsid w:val="0049007C"/>
    <w:rsid w:val="00490BE6"/>
    <w:rsid w:val="00491192"/>
    <w:rsid w:val="00491541"/>
    <w:rsid w:val="00491953"/>
    <w:rsid w:val="0049201A"/>
    <w:rsid w:val="004920D9"/>
    <w:rsid w:val="0049235A"/>
    <w:rsid w:val="0049290C"/>
    <w:rsid w:val="00493034"/>
    <w:rsid w:val="004935E2"/>
    <w:rsid w:val="0049377F"/>
    <w:rsid w:val="00493799"/>
    <w:rsid w:val="00494320"/>
    <w:rsid w:val="0049459C"/>
    <w:rsid w:val="00494B73"/>
    <w:rsid w:val="00494D4A"/>
    <w:rsid w:val="004956D3"/>
    <w:rsid w:val="00495B32"/>
    <w:rsid w:val="00495F11"/>
    <w:rsid w:val="0049602D"/>
    <w:rsid w:val="00496AA1"/>
    <w:rsid w:val="00496B7A"/>
    <w:rsid w:val="00497A96"/>
    <w:rsid w:val="00497BEF"/>
    <w:rsid w:val="004A0E5C"/>
    <w:rsid w:val="004A274B"/>
    <w:rsid w:val="004A276D"/>
    <w:rsid w:val="004A3BBB"/>
    <w:rsid w:val="004A3D2E"/>
    <w:rsid w:val="004A3EEF"/>
    <w:rsid w:val="004A4191"/>
    <w:rsid w:val="004A429C"/>
    <w:rsid w:val="004A4456"/>
    <w:rsid w:val="004A44EB"/>
    <w:rsid w:val="004A4719"/>
    <w:rsid w:val="004A48B8"/>
    <w:rsid w:val="004A5AE4"/>
    <w:rsid w:val="004A6098"/>
    <w:rsid w:val="004A6A32"/>
    <w:rsid w:val="004A6ED3"/>
    <w:rsid w:val="004A737B"/>
    <w:rsid w:val="004B0CFE"/>
    <w:rsid w:val="004B112F"/>
    <w:rsid w:val="004B1682"/>
    <w:rsid w:val="004B23EB"/>
    <w:rsid w:val="004B28C7"/>
    <w:rsid w:val="004B388A"/>
    <w:rsid w:val="004B43E8"/>
    <w:rsid w:val="004B4D51"/>
    <w:rsid w:val="004B4EBE"/>
    <w:rsid w:val="004B5257"/>
    <w:rsid w:val="004B57A8"/>
    <w:rsid w:val="004B5837"/>
    <w:rsid w:val="004B5D1E"/>
    <w:rsid w:val="004B643C"/>
    <w:rsid w:val="004B74B7"/>
    <w:rsid w:val="004B7548"/>
    <w:rsid w:val="004B79B9"/>
    <w:rsid w:val="004C0036"/>
    <w:rsid w:val="004C028D"/>
    <w:rsid w:val="004C052B"/>
    <w:rsid w:val="004C0580"/>
    <w:rsid w:val="004C147D"/>
    <w:rsid w:val="004C2DB5"/>
    <w:rsid w:val="004C2E94"/>
    <w:rsid w:val="004C5680"/>
    <w:rsid w:val="004C5881"/>
    <w:rsid w:val="004C5CB8"/>
    <w:rsid w:val="004C6DC6"/>
    <w:rsid w:val="004C74A1"/>
    <w:rsid w:val="004C74B5"/>
    <w:rsid w:val="004C7E64"/>
    <w:rsid w:val="004D062A"/>
    <w:rsid w:val="004D0799"/>
    <w:rsid w:val="004D0821"/>
    <w:rsid w:val="004D0DBC"/>
    <w:rsid w:val="004D1128"/>
    <w:rsid w:val="004D1817"/>
    <w:rsid w:val="004D1A77"/>
    <w:rsid w:val="004D1EE8"/>
    <w:rsid w:val="004D2C43"/>
    <w:rsid w:val="004D307C"/>
    <w:rsid w:val="004D3474"/>
    <w:rsid w:val="004D3778"/>
    <w:rsid w:val="004D3DBC"/>
    <w:rsid w:val="004D53A1"/>
    <w:rsid w:val="004D5885"/>
    <w:rsid w:val="004D5EF5"/>
    <w:rsid w:val="004D6982"/>
    <w:rsid w:val="004D6CFB"/>
    <w:rsid w:val="004D7FD1"/>
    <w:rsid w:val="004E08DA"/>
    <w:rsid w:val="004E1F47"/>
    <w:rsid w:val="004E1F7D"/>
    <w:rsid w:val="004E27C4"/>
    <w:rsid w:val="004E3626"/>
    <w:rsid w:val="004E40ED"/>
    <w:rsid w:val="004E6127"/>
    <w:rsid w:val="004E64DA"/>
    <w:rsid w:val="004E6B73"/>
    <w:rsid w:val="004E6DDA"/>
    <w:rsid w:val="004E6FCD"/>
    <w:rsid w:val="004E76E4"/>
    <w:rsid w:val="004E77A4"/>
    <w:rsid w:val="004E7C38"/>
    <w:rsid w:val="004F02D3"/>
    <w:rsid w:val="004F0E9C"/>
    <w:rsid w:val="004F1101"/>
    <w:rsid w:val="004F165C"/>
    <w:rsid w:val="004F2411"/>
    <w:rsid w:val="004F257B"/>
    <w:rsid w:val="004F3BE6"/>
    <w:rsid w:val="004F3F1B"/>
    <w:rsid w:val="004F3F3B"/>
    <w:rsid w:val="004F4127"/>
    <w:rsid w:val="004F5B3E"/>
    <w:rsid w:val="004F5BE2"/>
    <w:rsid w:val="004F600C"/>
    <w:rsid w:val="004F6803"/>
    <w:rsid w:val="004F6E21"/>
    <w:rsid w:val="004F7CAF"/>
    <w:rsid w:val="004F7DF5"/>
    <w:rsid w:val="005002EA"/>
    <w:rsid w:val="00500ABA"/>
    <w:rsid w:val="00501D7E"/>
    <w:rsid w:val="00502FDB"/>
    <w:rsid w:val="00503004"/>
    <w:rsid w:val="005041A5"/>
    <w:rsid w:val="0050420B"/>
    <w:rsid w:val="00504749"/>
    <w:rsid w:val="00504750"/>
    <w:rsid w:val="00504797"/>
    <w:rsid w:val="005050D1"/>
    <w:rsid w:val="005059DF"/>
    <w:rsid w:val="005067D5"/>
    <w:rsid w:val="00507048"/>
    <w:rsid w:val="00507340"/>
    <w:rsid w:val="005073E1"/>
    <w:rsid w:val="00507E54"/>
    <w:rsid w:val="00510D53"/>
    <w:rsid w:val="00511D64"/>
    <w:rsid w:val="00513397"/>
    <w:rsid w:val="00513887"/>
    <w:rsid w:val="005148E8"/>
    <w:rsid w:val="00514B9F"/>
    <w:rsid w:val="00514D93"/>
    <w:rsid w:val="00515C8C"/>
    <w:rsid w:val="00516720"/>
    <w:rsid w:val="0052042F"/>
    <w:rsid w:val="005207E2"/>
    <w:rsid w:val="0052110C"/>
    <w:rsid w:val="00521EF4"/>
    <w:rsid w:val="0052229E"/>
    <w:rsid w:val="00522708"/>
    <w:rsid w:val="00522744"/>
    <w:rsid w:val="00523912"/>
    <w:rsid w:val="00523C09"/>
    <w:rsid w:val="00523F6D"/>
    <w:rsid w:val="005246A2"/>
    <w:rsid w:val="00524DB0"/>
    <w:rsid w:val="005254B8"/>
    <w:rsid w:val="00525BAB"/>
    <w:rsid w:val="00525DA7"/>
    <w:rsid w:val="005267A6"/>
    <w:rsid w:val="00526B89"/>
    <w:rsid w:val="00527050"/>
    <w:rsid w:val="005274F9"/>
    <w:rsid w:val="0053095A"/>
    <w:rsid w:val="005315E6"/>
    <w:rsid w:val="00532091"/>
    <w:rsid w:val="00532534"/>
    <w:rsid w:val="0053286A"/>
    <w:rsid w:val="00532B12"/>
    <w:rsid w:val="00532D03"/>
    <w:rsid w:val="00533C43"/>
    <w:rsid w:val="00535223"/>
    <w:rsid w:val="0053545A"/>
    <w:rsid w:val="005355C9"/>
    <w:rsid w:val="00535A80"/>
    <w:rsid w:val="005368B3"/>
    <w:rsid w:val="00537D80"/>
    <w:rsid w:val="00540075"/>
    <w:rsid w:val="00540496"/>
    <w:rsid w:val="005413F6"/>
    <w:rsid w:val="0054146D"/>
    <w:rsid w:val="0054210C"/>
    <w:rsid w:val="00542605"/>
    <w:rsid w:val="0054260B"/>
    <w:rsid w:val="00542682"/>
    <w:rsid w:val="00542842"/>
    <w:rsid w:val="00542A82"/>
    <w:rsid w:val="005435D3"/>
    <w:rsid w:val="00544740"/>
    <w:rsid w:val="005448BD"/>
    <w:rsid w:val="005459B5"/>
    <w:rsid w:val="00546BCF"/>
    <w:rsid w:val="00546D86"/>
    <w:rsid w:val="005504DF"/>
    <w:rsid w:val="00550761"/>
    <w:rsid w:val="005514BF"/>
    <w:rsid w:val="00551616"/>
    <w:rsid w:val="005526D3"/>
    <w:rsid w:val="005529F6"/>
    <w:rsid w:val="005536E4"/>
    <w:rsid w:val="005547FB"/>
    <w:rsid w:val="00554844"/>
    <w:rsid w:val="005548A9"/>
    <w:rsid w:val="0055679F"/>
    <w:rsid w:val="005572F4"/>
    <w:rsid w:val="00557EAA"/>
    <w:rsid w:val="005602C8"/>
    <w:rsid w:val="00560D2A"/>
    <w:rsid w:val="00562C73"/>
    <w:rsid w:val="005632F1"/>
    <w:rsid w:val="00563DB1"/>
    <w:rsid w:val="00563E98"/>
    <w:rsid w:val="00564134"/>
    <w:rsid w:val="005642A8"/>
    <w:rsid w:val="00565BA2"/>
    <w:rsid w:val="00566D15"/>
    <w:rsid w:val="00570599"/>
    <w:rsid w:val="0057194B"/>
    <w:rsid w:val="00571B6F"/>
    <w:rsid w:val="00571D60"/>
    <w:rsid w:val="00571DCD"/>
    <w:rsid w:val="00571E8C"/>
    <w:rsid w:val="005725E4"/>
    <w:rsid w:val="00572D06"/>
    <w:rsid w:val="005733D8"/>
    <w:rsid w:val="00573C19"/>
    <w:rsid w:val="00573F16"/>
    <w:rsid w:val="00574E01"/>
    <w:rsid w:val="0057544A"/>
    <w:rsid w:val="00575964"/>
    <w:rsid w:val="00575D06"/>
    <w:rsid w:val="0057600B"/>
    <w:rsid w:val="005761DE"/>
    <w:rsid w:val="005762D2"/>
    <w:rsid w:val="0057638E"/>
    <w:rsid w:val="005774F8"/>
    <w:rsid w:val="005779F4"/>
    <w:rsid w:val="0058110B"/>
    <w:rsid w:val="0058180E"/>
    <w:rsid w:val="00581C7E"/>
    <w:rsid w:val="0058228B"/>
    <w:rsid w:val="0058230B"/>
    <w:rsid w:val="00583188"/>
    <w:rsid w:val="00583865"/>
    <w:rsid w:val="00584312"/>
    <w:rsid w:val="0058468A"/>
    <w:rsid w:val="00585C6D"/>
    <w:rsid w:val="00586167"/>
    <w:rsid w:val="005861AF"/>
    <w:rsid w:val="00587232"/>
    <w:rsid w:val="0058726B"/>
    <w:rsid w:val="005873B9"/>
    <w:rsid w:val="005875B7"/>
    <w:rsid w:val="00591068"/>
    <w:rsid w:val="005916D5"/>
    <w:rsid w:val="00591EDD"/>
    <w:rsid w:val="0059257E"/>
    <w:rsid w:val="0059258F"/>
    <w:rsid w:val="0059351B"/>
    <w:rsid w:val="00593C3F"/>
    <w:rsid w:val="00594696"/>
    <w:rsid w:val="00594E1C"/>
    <w:rsid w:val="005951E6"/>
    <w:rsid w:val="0059581B"/>
    <w:rsid w:val="00595ADF"/>
    <w:rsid w:val="00596ECB"/>
    <w:rsid w:val="00597503"/>
    <w:rsid w:val="00597923"/>
    <w:rsid w:val="005A245E"/>
    <w:rsid w:val="005A2625"/>
    <w:rsid w:val="005A27F3"/>
    <w:rsid w:val="005A319B"/>
    <w:rsid w:val="005A33E8"/>
    <w:rsid w:val="005A36ED"/>
    <w:rsid w:val="005A3853"/>
    <w:rsid w:val="005A5876"/>
    <w:rsid w:val="005A61FA"/>
    <w:rsid w:val="005A6DF7"/>
    <w:rsid w:val="005A6EB4"/>
    <w:rsid w:val="005A75AC"/>
    <w:rsid w:val="005A7846"/>
    <w:rsid w:val="005B0480"/>
    <w:rsid w:val="005B0EA0"/>
    <w:rsid w:val="005B10EA"/>
    <w:rsid w:val="005B11B7"/>
    <w:rsid w:val="005B176D"/>
    <w:rsid w:val="005B221B"/>
    <w:rsid w:val="005B2297"/>
    <w:rsid w:val="005B29FA"/>
    <w:rsid w:val="005B3244"/>
    <w:rsid w:val="005B38C4"/>
    <w:rsid w:val="005B4613"/>
    <w:rsid w:val="005B4871"/>
    <w:rsid w:val="005B4E37"/>
    <w:rsid w:val="005B5E5C"/>
    <w:rsid w:val="005B650D"/>
    <w:rsid w:val="005B6B1E"/>
    <w:rsid w:val="005B6CC0"/>
    <w:rsid w:val="005B733C"/>
    <w:rsid w:val="005B75CA"/>
    <w:rsid w:val="005C0A4F"/>
    <w:rsid w:val="005C0E75"/>
    <w:rsid w:val="005C1910"/>
    <w:rsid w:val="005C2182"/>
    <w:rsid w:val="005C2C19"/>
    <w:rsid w:val="005C2DA2"/>
    <w:rsid w:val="005C2E30"/>
    <w:rsid w:val="005C2F2B"/>
    <w:rsid w:val="005C2FFE"/>
    <w:rsid w:val="005C323B"/>
    <w:rsid w:val="005C5A07"/>
    <w:rsid w:val="005C5B78"/>
    <w:rsid w:val="005C6273"/>
    <w:rsid w:val="005C6326"/>
    <w:rsid w:val="005C6E7A"/>
    <w:rsid w:val="005C723C"/>
    <w:rsid w:val="005C7309"/>
    <w:rsid w:val="005D0BD0"/>
    <w:rsid w:val="005D1A4C"/>
    <w:rsid w:val="005D1BF3"/>
    <w:rsid w:val="005D22AE"/>
    <w:rsid w:val="005D3075"/>
    <w:rsid w:val="005D377E"/>
    <w:rsid w:val="005D4411"/>
    <w:rsid w:val="005D44AF"/>
    <w:rsid w:val="005D4784"/>
    <w:rsid w:val="005D579C"/>
    <w:rsid w:val="005D6767"/>
    <w:rsid w:val="005D79C0"/>
    <w:rsid w:val="005E0D6F"/>
    <w:rsid w:val="005E12C9"/>
    <w:rsid w:val="005E3392"/>
    <w:rsid w:val="005E351D"/>
    <w:rsid w:val="005E3647"/>
    <w:rsid w:val="005E4245"/>
    <w:rsid w:val="005E4C29"/>
    <w:rsid w:val="005E4D1F"/>
    <w:rsid w:val="005E5795"/>
    <w:rsid w:val="005E5BEB"/>
    <w:rsid w:val="005E5DF2"/>
    <w:rsid w:val="005E5E3F"/>
    <w:rsid w:val="005E6323"/>
    <w:rsid w:val="005F1685"/>
    <w:rsid w:val="005F19AE"/>
    <w:rsid w:val="005F19B6"/>
    <w:rsid w:val="005F1E9E"/>
    <w:rsid w:val="005F2D83"/>
    <w:rsid w:val="005F31C2"/>
    <w:rsid w:val="005F323B"/>
    <w:rsid w:val="005F3FEF"/>
    <w:rsid w:val="005F4165"/>
    <w:rsid w:val="005F469F"/>
    <w:rsid w:val="005F5355"/>
    <w:rsid w:val="005F660B"/>
    <w:rsid w:val="005F6958"/>
    <w:rsid w:val="00600C37"/>
    <w:rsid w:val="00600CA2"/>
    <w:rsid w:val="0060202E"/>
    <w:rsid w:val="006023A6"/>
    <w:rsid w:val="00603CD0"/>
    <w:rsid w:val="00603D6F"/>
    <w:rsid w:val="00603F36"/>
    <w:rsid w:val="00604904"/>
    <w:rsid w:val="00606294"/>
    <w:rsid w:val="006063D3"/>
    <w:rsid w:val="006070B7"/>
    <w:rsid w:val="006079EC"/>
    <w:rsid w:val="00607CCC"/>
    <w:rsid w:val="00607E9A"/>
    <w:rsid w:val="00610965"/>
    <w:rsid w:val="006118C0"/>
    <w:rsid w:val="00611AF6"/>
    <w:rsid w:val="00611F10"/>
    <w:rsid w:val="00612B8B"/>
    <w:rsid w:val="00612CFF"/>
    <w:rsid w:val="00612FA8"/>
    <w:rsid w:val="00614017"/>
    <w:rsid w:val="006146A8"/>
    <w:rsid w:val="00615C3D"/>
    <w:rsid w:val="00615FBC"/>
    <w:rsid w:val="00616738"/>
    <w:rsid w:val="00616B95"/>
    <w:rsid w:val="00617466"/>
    <w:rsid w:val="00617481"/>
    <w:rsid w:val="0061761A"/>
    <w:rsid w:val="00620536"/>
    <w:rsid w:val="00620922"/>
    <w:rsid w:val="00620983"/>
    <w:rsid w:val="00620D08"/>
    <w:rsid w:val="00621C12"/>
    <w:rsid w:val="0062258B"/>
    <w:rsid w:val="00622590"/>
    <w:rsid w:val="00622E15"/>
    <w:rsid w:val="00622F86"/>
    <w:rsid w:val="0062302A"/>
    <w:rsid w:val="006235EA"/>
    <w:rsid w:val="006236E5"/>
    <w:rsid w:val="00623A28"/>
    <w:rsid w:val="006241F1"/>
    <w:rsid w:val="00625086"/>
    <w:rsid w:val="00625639"/>
    <w:rsid w:val="006258DA"/>
    <w:rsid w:val="00625FCD"/>
    <w:rsid w:val="0062617E"/>
    <w:rsid w:val="00627E74"/>
    <w:rsid w:val="00630377"/>
    <w:rsid w:val="00630A67"/>
    <w:rsid w:val="006317E9"/>
    <w:rsid w:val="0063191C"/>
    <w:rsid w:val="00632026"/>
    <w:rsid w:val="006324D1"/>
    <w:rsid w:val="00633603"/>
    <w:rsid w:val="00637435"/>
    <w:rsid w:val="006375C2"/>
    <w:rsid w:val="00637C6F"/>
    <w:rsid w:val="00637D25"/>
    <w:rsid w:val="00640BD9"/>
    <w:rsid w:val="00640F7B"/>
    <w:rsid w:val="0064147A"/>
    <w:rsid w:val="006423BA"/>
    <w:rsid w:val="0064275C"/>
    <w:rsid w:val="0064352C"/>
    <w:rsid w:val="0064372C"/>
    <w:rsid w:val="00643743"/>
    <w:rsid w:val="00644233"/>
    <w:rsid w:val="0064472B"/>
    <w:rsid w:val="00644B81"/>
    <w:rsid w:val="006504CA"/>
    <w:rsid w:val="006507BB"/>
    <w:rsid w:val="00653931"/>
    <w:rsid w:val="00653A09"/>
    <w:rsid w:val="006541F3"/>
    <w:rsid w:val="00654803"/>
    <w:rsid w:val="006556A9"/>
    <w:rsid w:val="00655705"/>
    <w:rsid w:val="006560E6"/>
    <w:rsid w:val="0065646B"/>
    <w:rsid w:val="006564A5"/>
    <w:rsid w:val="00656904"/>
    <w:rsid w:val="00656D51"/>
    <w:rsid w:val="00657EFA"/>
    <w:rsid w:val="00657FE5"/>
    <w:rsid w:val="006609C8"/>
    <w:rsid w:val="00660BCF"/>
    <w:rsid w:val="006617E2"/>
    <w:rsid w:val="00661846"/>
    <w:rsid w:val="006627EB"/>
    <w:rsid w:val="00663F80"/>
    <w:rsid w:val="00665793"/>
    <w:rsid w:val="00665D7C"/>
    <w:rsid w:val="00665F3E"/>
    <w:rsid w:val="0066603E"/>
    <w:rsid w:val="00666B92"/>
    <w:rsid w:val="00667232"/>
    <w:rsid w:val="006673FE"/>
    <w:rsid w:val="0066746A"/>
    <w:rsid w:val="0066784B"/>
    <w:rsid w:val="00667ED4"/>
    <w:rsid w:val="00667F22"/>
    <w:rsid w:val="0067086C"/>
    <w:rsid w:val="00670AE9"/>
    <w:rsid w:val="0067304E"/>
    <w:rsid w:val="00673C71"/>
    <w:rsid w:val="006742E4"/>
    <w:rsid w:val="00674D57"/>
    <w:rsid w:val="006760EA"/>
    <w:rsid w:val="00677AC9"/>
    <w:rsid w:val="00677E1B"/>
    <w:rsid w:val="00680D7C"/>
    <w:rsid w:val="00680E89"/>
    <w:rsid w:val="0068127A"/>
    <w:rsid w:val="006822C3"/>
    <w:rsid w:val="00683029"/>
    <w:rsid w:val="0068321E"/>
    <w:rsid w:val="006832FA"/>
    <w:rsid w:val="00683828"/>
    <w:rsid w:val="00683950"/>
    <w:rsid w:val="00683E2F"/>
    <w:rsid w:val="00683EAE"/>
    <w:rsid w:val="0068428D"/>
    <w:rsid w:val="00684A72"/>
    <w:rsid w:val="00685B76"/>
    <w:rsid w:val="00686451"/>
    <w:rsid w:val="006864A6"/>
    <w:rsid w:val="0068696C"/>
    <w:rsid w:val="00686D59"/>
    <w:rsid w:val="00687818"/>
    <w:rsid w:val="00687889"/>
    <w:rsid w:val="006907D5"/>
    <w:rsid w:val="006907FD"/>
    <w:rsid w:val="00690F02"/>
    <w:rsid w:val="00692145"/>
    <w:rsid w:val="00692CB1"/>
    <w:rsid w:val="006938C2"/>
    <w:rsid w:val="00693926"/>
    <w:rsid w:val="00694703"/>
    <w:rsid w:val="00694D94"/>
    <w:rsid w:val="00695DEB"/>
    <w:rsid w:val="00696303"/>
    <w:rsid w:val="00696780"/>
    <w:rsid w:val="006967DE"/>
    <w:rsid w:val="00697496"/>
    <w:rsid w:val="006A0297"/>
    <w:rsid w:val="006A049D"/>
    <w:rsid w:val="006A0F16"/>
    <w:rsid w:val="006A1944"/>
    <w:rsid w:val="006A219C"/>
    <w:rsid w:val="006A36D6"/>
    <w:rsid w:val="006A474D"/>
    <w:rsid w:val="006A5125"/>
    <w:rsid w:val="006A6288"/>
    <w:rsid w:val="006A6FCD"/>
    <w:rsid w:val="006B08DA"/>
    <w:rsid w:val="006B0C43"/>
    <w:rsid w:val="006B0F12"/>
    <w:rsid w:val="006B1079"/>
    <w:rsid w:val="006B1D6A"/>
    <w:rsid w:val="006B1F36"/>
    <w:rsid w:val="006B2CB6"/>
    <w:rsid w:val="006B36FE"/>
    <w:rsid w:val="006B3812"/>
    <w:rsid w:val="006B3BE5"/>
    <w:rsid w:val="006B443B"/>
    <w:rsid w:val="006B47CC"/>
    <w:rsid w:val="006B4AED"/>
    <w:rsid w:val="006B4F11"/>
    <w:rsid w:val="006B516B"/>
    <w:rsid w:val="006B5422"/>
    <w:rsid w:val="006B54DA"/>
    <w:rsid w:val="006B6291"/>
    <w:rsid w:val="006B684D"/>
    <w:rsid w:val="006B7A43"/>
    <w:rsid w:val="006B7CF6"/>
    <w:rsid w:val="006B7D4F"/>
    <w:rsid w:val="006C0725"/>
    <w:rsid w:val="006C0D9D"/>
    <w:rsid w:val="006C12CE"/>
    <w:rsid w:val="006C194A"/>
    <w:rsid w:val="006C1A93"/>
    <w:rsid w:val="006C1ABE"/>
    <w:rsid w:val="006C2048"/>
    <w:rsid w:val="006C2C8B"/>
    <w:rsid w:val="006C2DC8"/>
    <w:rsid w:val="006C304E"/>
    <w:rsid w:val="006C4081"/>
    <w:rsid w:val="006C4218"/>
    <w:rsid w:val="006C4422"/>
    <w:rsid w:val="006C4B46"/>
    <w:rsid w:val="006C4FD3"/>
    <w:rsid w:val="006C564C"/>
    <w:rsid w:val="006C5F48"/>
    <w:rsid w:val="006C6330"/>
    <w:rsid w:val="006C6F8A"/>
    <w:rsid w:val="006D0192"/>
    <w:rsid w:val="006D03D7"/>
    <w:rsid w:val="006D122E"/>
    <w:rsid w:val="006D1681"/>
    <w:rsid w:val="006D218A"/>
    <w:rsid w:val="006D236A"/>
    <w:rsid w:val="006D2FD2"/>
    <w:rsid w:val="006D57D8"/>
    <w:rsid w:val="006D5F8C"/>
    <w:rsid w:val="006D6186"/>
    <w:rsid w:val="006D6325"/>
    <w:rsid w:val="006D7103"/>
    <w:rsid w:val="006D73D4"/>
    <w:rsid w:val="006D77B5"/>
    <w:rsid w:val="006D7823"/>
    <w:rsid w:val="006D7A51"/>
    <w:rsid w:val="006E031B"/>
    <w:rsid w:val="006E0674"/>
    <w:rsid w:val="006E0ECD"/>
    <w:rsid w:val="006E0FC2"/>
    <w:rsid w:val="006E1296"/>
    <w:rsid w:val="006E190B"/>
    <w:rsid w:val="006E1B0B"/>
    <w:rsid w:val="006E2E8F"/>
    <w:rsid w:val="006E2F17"/>
    <w:rsid w:val="006E3D6A"/>
    <w:rsid w:val="006E42A2"/>
    <w:rsid w:val="006E4C0B"/>
    <w:rsid w:val="006E50C6"/>
    <w:rsid w:val="006E5827"/>
    <w:rsid w:val="006E5FCC"/>
    <w:rsid w:val="006E6AB1"/>
    <w:rsid w:val="006E6E8E"/>
    <w:rsid w:val="006E722C"/>
    <w:rsid w:val="006E7354"/>
    <w:rsid w:val="006E73DA"/>
    <w:rsid w:val="006F07E3"/>
    <w:rsid w:val="006F0B2C"/>
    <w:rsid w:val="006F0CCE"/>
    <w:rsid w:val="006F120D"/>
    <w:rsid w:val="006F318E"/>
    <w:rsid w:val="006F33F0"/>
    <w:rsid w:val="006F3CC2"/>
    <w:rsid w:val="006F4E25"/>
    <w:rsid w:val="006F558D"/>
    <w:rsid w:val="006F6D26"/>
    <w:rsid w:val="006F70E6"/>
    <w:rsid w:val="006F73AF"/>
    <w:rsid w:val="007001DD"/>
    <w:rsid w:val="00701060"/>
    <w:rsid w:val="007015FB"/>
    <w:rsid w:val="00701B19"/>
    <w:rsid w:val="00701E58"/>
    <w:rsid w:val="0070291A"/>
    <w:rsid w:val="0070366F"/>
    <w:rsid w:val="00703898"/>
    <w:rsid w:val="00703913"/>
    <w:rsid w:val="007043C7"/>
    <w:rsid w:val="00705C40"/>
    <w:rsid w:val="007076A4"/>
    <w:rsid w:val="0070795F"/>
    <w:rsid w:val="007079A0"/>
    <w:rsid w:val="00707E6B"/>
    <w:rsid w:val="00710282"/>
    <w:rsid w:val="00710A30"/>
    <w:rsid w:val="00710D1C"/>
    <w:rsid w:val="007113E1"/>
    <w:rsid w:val="00711887"/>
    <w:rsid w:val="00712557"/>
    <w:rsid w:val="00712831"/>
    <w:rsid w:val="00712F78"/>
    <w:rsid w:val="00713F7D"/>
    <w:rsid w:val="00713FEC"/>
    <w:rsid w:val="007140F8"/>
    <w:rsid w:val="00714255"/>
    <w:rsid w:val="00715BD7"/>
    <w:rsid w:val="00715E1B"/>
    <w:rsid w:val="007164B0"/>
    <w:rsid w:val="0071688C"/>
    <w:rsid w:val="007177A8"/>
    <w:rsid w:val="007179B6"/>
    <w:rsid w:val="00717CBB"/>
    <w:rsid w:val="00717F80"/>
    <w:rsid w:val="0072145C"/>
    <w:rsid w:val="007219C8"/>
    <w:rsid w:val="007225CF"/>
    <w:rsid w:val="007231C9"/>
    <w:rsid w:val="00723328"/>
    <w:rsid w:val="00723A8C"/>
    <w:rsid w:val="00723F70"/>
    <w:rsid w:val="007250F1"/>
    <w:rsid w:val="00725168"/>
    <w:rsid w:val="00725E80"/>
    <w:rsid w:val="00726AF1"/>
    <w:rsid w:val="007271FD"/>
    <w:rsid w:val="007273ED"/>
    <w:rsid w:val="00727D36"/>
    <w:rsid w:val="007304F1"/>
    <w:rsid w:val="00730767"/>
    <w:rsid w:val="00732439"/>
    <w:rsid w:val="0073390D"/>
    <w:rsid w:val="0073501D"/>
    <w:rsid w:val="00736251"/>
    <w:rsid w:val="00736AE6"/>
    <w:rsid w:val="00736CC3"/>
    <w:rsid w:val="0073701B"/>
    <w:rsid w:val="007408FA"/>
    <w:rsid w:val="007419EF"/>
    <w:rsid w:val="00741A47"/>
    <w:rsid w:val="00741F1B"/>
    <w:rsid w:val="007423A4"/>
    <w:rsid w:val="007424A1"/>
    <w:rsid w:val="0074252F"/>
    <w:rsid w:val="00742573"/>
    <w:rsid w:val="007426B7"/>
    <w:rsid w:val="00742DC6"/>
    <w:rsid w:val="00743861"/>
    <w:rsid w:val="0074393F"/>
    <w:rsid w:val="00743C9D"/>
    <w:rsid w:val="00744221"/>
    <w:rsid w:val="007446E9"/>
    <w:rsid w:val="00744F3D"/>
    <w:rsid w:val="00745396"/>
    <w:rsid w:val="00745764"/>
    <w:rsid w:val="007465E3"/>
    <w:rsid w:val="00746DD1"/>
    <w:rsid w:val="00750D9E"/>
    <w:rsid w:val="007519DC"/>
    <w:rsid w:val="00752005"/>
    <w:rsid w:val="007535AC"/>
    <w:rsid w:val="00753AFD"/>
    <w:rsid w:val="00753E0B"/>
    <w:rsid w:val="00754092"/>
    <w:rsid w:val="00754850"/>
    <w:rsid w:val="00754E23"/>
    <w:rsid w:val="007551B3"/>
    <w:rsid w:val="0075549C"/>
    <w:rsid w:val="007557A6"/>
    <w:rsid w:val="00755A25"/>
    <w:rsid w:val="00755A67"/>
    <w:rsid w:val="007567A7"/>
    <w:rsid w:val="00756A32"/>
    <w:rsid w:val="00756E13"/>
    <w:rsid w:val="00757129"/>
    <w:rsid w:val="007572E3"/>
    <w:rsid w:val="00757AC8"/>
    <w:rsid w:val="00757F22"/>
    <w:rsid w:val="007629B1"/>
    <w:rsid w:val="00762B9A"/>
    <w:rsid w:val="00762CBC"/>
    <w:rsid w:val="007638B3"/>
    <w:rsid w:val="007641D2"/>
    <w:rsid w:val="00764919"/>
    <w:rsid w:val="00764E49"/>
    <w:rsid w:val="00764F3C"/>
    <w:rsid w:val="0076505D"/>
    <w:rsid w:val="00765693"/>
    <w:rsid w:val="007658CE"/>
    <w:rsid w:val="00765A17"/>
    <w:rsid w:val="00766578"/>
    <w:rsid w:val="0076693A"/>
    <w:rsid w:val="00766C07"/>
    <w:rsid w:val="00767570"/>
    <w:rsid w:val="00767D84"/>
    <w:rsid w:val="00770B21"/>
    <w:rsid w:val="00771F61"/>
    <w:rsid w:val="00771FB1"/>
    <w:rsid w:val="0077232E"/>
    <w:rsid w:val="007738D1"/>
    <w:rsid w:val="00773BED"/>
    <w:rsid w:val="00773C35"/>
    <w:rsid w:val="00773E4D"/>
    <w:rsid w:val="0077428F"/>
    <w:rsid w:val="00774627"/>
    <w:rsid w:val="00774665"/>
    <w:rsid w:val="00774EBB"/>
    <w:rsid w:val="00775450"/>
    <w:rsid w:val="007756F2"/>
    <w:rsid w:val="00775D87"/>
    <w:rsid w:val="00776907"/>
    <w:rsid w:val="00776D2C"/>
    <w:rsid w:val="00776D93"/>
    <w:rsid w:val="00777093"/>
    <w:rsid w:val="007779E0"/>
    <w:rsid w:val="0078087E"/>
    <w:rsid w:val="00780E10"/>
    <w:rsid w:val="00781259"/>
    <w:rsid w:val="00782ED4"/>
    <w:rsid w:val="00783AE0"/>
    <w:rsid w:val="00783F15"/>
    <w:rsid w:val="00784198"/>
    <w:rsid w:val="007859DD"/>
    <w:rsid w:val="0078637D"/>
    <w:rsid w:val="00787023"/>
    <w:rsid w:val="00787296"/>
    <w:rsid w:val="00787908"/>
    <w:rsid w:val="0079094B"/>
    <w:rsid w:val="00790E0D"/>
    <w:rsid w:val="0079116C"/>
    <w:rsid w:val="007921ED"/>
    <w:rsid w:val="00792DAF"/>
    <w:rsid w:val="00793654"/>
    <w:rsid w:val="007936C4"/>
    <w:rsid w:val="00793D95"/>
    <w:rsid w:val="00794AD7"/>
    <w:rsid w:val="00794BCC"/>
    <w:rsid w:val="00794C37"/>
    <w:rsid w:val="007952D9"/>
    <w:rsid w:val="00795FF7"/>
    <w:rsid w:val="00796013"/>
    <w:rsid w:val="00796F23"/>
    <w:rsid w:val="00797BCE"/>
    <w:rsid w:val="00797FE0"/>
    <w:rsid w:val="007A037D"/>
    <w:rsid w:val="007A04B6"/>
    <w:rsid w:val="007A0A2D"/>
    <w:rsid w:val="007A0C4F"/>
    <w:rsid w:val="007A16CE"/>
    <w:rsid w:val="007A1E90"/>
    <w:rsid w:val="007A2CFA"/>
    <w:rsid w:val="007A2F2F"/>
    <w:rsid w:val="007A3F79"/>
    <w:rsid w:val="007A40A0"/>
    <w:rsid w:val="007A46DB"/>
    <w:rsid w:val="007A4A6D"/>
    <w:rsid w:val="007A4A89"/>
    <w:rsid w:val="007A4B46"/>
    <w:rsid w:val="007A57EC"/>
    <w:rsid w:val="007A6B31"/>
    <w:rsid w:val="007A6EFB"/>
    <w:rsid w:val="007A77D7"/>
    <w:rsid w:val="007A7994"/>
    <w:rsid w:val="007B0825"/>
    <w:rsid w:val="007B0B6B"/>
    <w:rsid w:val="007B2613"/>
    <w:rsid w:val="007B3331"/>
    <w:rsid w:val="007B351B"/>
    <w:rsid w:val="007B40E6"/>
    <w:rsid w:val="007B4274"/>
    <w:rsid w:val="007B4520"/>
    <w:rsid w:val="007B4629"/>
    <w:rsid w:val="007B47F2"/>
    <w:rsid w:val="007B480D"/>
    <w:rsid w:val="007B4CE3"/>
    <w:rsid w:val="007B5704"/>
    <w:rsid w:val="007B6CE3"/>
    <w:rsid w:val="007B6FBD"/>
    <w:rsid w:val="007B7E64"/>
    <w:rsid w:val="007C03CB"/>
    <w:rsid w:val="007C0E6B"/>
    <w:rsid w:val="007C18DB"/>
    <w:rsid w:val="007C1A39"/>
    <w:rsid w:val="007C231A"/>
    <w:rsid w:val="007C2F6A"/>
    <w:rsid w:val="007C2FA5"/>
    <w:rsid w:val="007C3380"/>
    <w:rsid w:val="007C3916"/>
    <w:rsid w:val="007C4490"/>
    <w:rsid w:val="007C465B"/>
    <w:rsid w:val="007C4C23"/>
    <w:rsid w:val="007C6E64"/>
    <w:rsid w:val="007C7211"/>
    <w:rsid w:val="007C73F4"/>
    <w:rsid w:val="007C7A1E"/>
    <w:rsid w:val="007D0578"/>
    <w:rsid w:val="007D0F35"/>
    <w:rsid w:val="007D1B88"/>
    <w:rsid w:val="007D1D96"/>
    <w:rsid w:val="007D2073"/>
    <w:rsid w:val="007D3737"/>
    <w:rsid w:val="007D37E9"/>
    <w:rsid w:val="007D3C81"/>
    <w:rsid w:val="007D4E49"/>
    <w:rsid w:val="007D549E"/>
    <w:rsid w:val="007D569E"/>
    <w:rsid w:val="007D68E7"/>
    <w:rsid w:val="007D69A8"/>
    <w:rsid w:val="007D6BB8"/>
    <w:rsid w:val="007D7B88"/>
    <w:rsid w:val="007D7E10"/>
    <w:rsid w:val="007E01DC"/>
    <w:rsid w:val="007E0201"/>
    <w:rsid w:val="007E06C9"/>
    <w:rsid w:val="007E0C54"/>
    <w:rsid w:val="007E26C6"/>
    <w:rsid w:val="007E2F80"/>
    <w:rsid w:val="007E3B88"/>
    <w:rsid w:val="007E402D"/>
    <w:rsid w:val="007E4855"/>
    <w:rsid w:val="007E509C"/>
    <w:rsid w:val="007E5A89"/>
    <w:rsid w:val="007E6722"/>
    <w:rsid w:val="007E6C5A"/>
    <w:rsid w:val="007E75E8"/>
    <w:rsid w:val="007F01FA"/>
    <w:rsid w:val="007F0E80"/>
    <w:rsid w:val="007F11C6"/>
    <w:rsid w:val="007F14CC"/>
    <w:rsid w:val="007F37DF"/>
    <w:rsid w:val="007F3F84"/>
    <w:rsid w:val="007F4286"/>
    <w:rsid w:val="007F5738"/>
    <w:rsid w:val="007F69C2"/>
    <w:rsid w:val="007F7B97"/>
    <w:rsid w:val="007F7BCF"/>
    <w:rsid w:val="007F7D7D"/>
    <w:rsid w:val="00800215"/>
    <w:rsid w:val="00801534"/>
    <w:rsid w:val="00802FDD"/>
    <w:rsid w:val="00803768"/>
    <w:rsid w:val="0080491E"/>
    <w:rsid w:val="0080510A"/>
    <w:rsid w:val="00805223"/>
    <w:rsid w:val="00806419"/>
    <w:rsid w:val="00806CD5"/>
    <w:rsid w:val="00807AC3"/>
    <w:rsid w:val="00810073"/>
    <w:rsid w:val="008101B9"/>
    <w:rsid w:val="00810246"/>
    <w:rsid w:val="00810347"/>
    <w:rsid w:val="0081056D"/>
    <w:rsid w:val="00810A92"/>
    <w:rsid w:val="008110BB"/>
    <w:rsid w:val="00811154"/>
    <w:rsid w:val="00811371"/>
    <w:rsid w:val="008117C3"/>
    <w:rsid w:val="00811D46"/>
    <w:rsid w:val="00811F63"/>
    <w:rsid w:val="0081335D"/>
    <w:rsid w:val="00813E32"/>
    <w:rsid w:val="008147F8"/>
    <w:rsid w:val="00814BF4"/>
    <w:rsid w:val="00816112"/>
    <w:rsid w:val="00816302"/>
    <w:rsid w:val="00816344"/>
    <w:rsid w:val="00816470"/>
    <w:rsid w:val="00816666"/>
    <w:rsid w:val="008166BC"/>
    <w:rsid w:val="00817D96"/>
    <w:rsid w:val="008201C0"/>
    <w:rsid w:val="008204A8"/>
    <w:rsid w:val="008207D4"/>
    <w:rsid w:val="00820858"/>
    <w:rsid w:val="008224F4"/>
    <w:rsid w:val="0082282A"/>
    <w:rsid w:val="00822B97"/>
    <w:rsid w:val="008233D6"/>
    <w:rsid w:val="00824565"/>
    <w:rsid w:val="00825462"/>
    <w:rsid w:val="00825AB6"/>
    <w:rsid w:val="0082646A"/>
    <w:rsid w:val="00826AFF"/>
    <w:rsid w:val="008275EC"/>
    <w:rsid w:val="00827A4F"/>
    <w:rsid w:val="00827B43"/>
    <w:rsid w:val="008303AE"/>
    <w:rsid w:val="008303E6"/>
    <w:rsid w:val="0083158F"/>
    <w:rsid w:val="00831AAC"/>
    <w:rsid w:val="00832676"/>
    <w:rsid w:val="00832F04"/>
    <w:rsid w:val="0083322E"/>
    <w:rsid w:val="00833762"/>
    <w:rsid w:val="008339D6"/>
    <w:rsid w:val="00833E89"/>
    <w:rsid w:val="00833E9D"/>
    <w:rsid w:val="00835259"/>
    <w:rsid w:val="00835E94"/>
    <w:rsid w:val="00836679"/>
    <w:rsid w:val="00836691"/>
    <w:rsid w:val="00836946"/>
    <w:rsid w:val="00836C96"/>
    <w:rsid w:val="0083725C"/>
    <w:rsid w:val="00837500"/>
    <w:rsid w:val="00837B40"/>
    <w:rsid w:val="00837E25"/>
    <w:rsid w:val="00837EBA"/>
    <w:rsid w:val="00840B5B"/>
    <w:rsid w:val="00841363"/>
    <w:rsid w:val="00841556"/>
    <w:rsid w:val="0084171F"/>
    <w:rsid w:val="00841994"/>
    <w:rsid w:val="00842E67"/>
    <w:rsid w:val="0084507E"/>
    <w:rsid w:val="00845F06"/>
    <w:rsid w:val="0084617B"/>
    <w:rsid w:val="00846C70"/>
    <w:rsid w:val="00847297"/>
    <w:rsid w:val="0085015B"/>
    <w:rsid w:val="008501EF"/>
    <w:rsid w:val="0085020D"/>
    <w:rsid w:val="00851095"/>
    <w:rsid w:val="00851E44"/>
    <w:rsid w:val="0085207C"/>
    <w:rsid w:val="0085217F"/>
    <w:rsid w:val="00853301"/>
    <w:rsid w:val="00853B2A"/>
    <w:rsid w:val="008543F9"/>
    <w:rsid w:val="00854A2F"/>
    <w:rsid w:val="00854EEC"/>
    <w:rsid w:val="008570E0"/>
    <w:rsid w:val="00860F3E"/>
    <w:rsid w:val="00861142"/>
    <w:rsid w:val="008614DF"/>
    <w:rsid w:val="00861761"/>
    <w:rsid w:val="0086283D"/>
    <w:rsid w:val="00863F54"/>
    <w:rsid w:val="00863FBF"/>
    <w:rsid w:val="0086571C"/>
    <w:rsid w:val="00865B82"/>
    <w:rsid w:val="00866043"/>
    <w:rsid w:val="008660DD"/>
    <w:rsid w:val="0087043C"/>
    <w:rsid w:val="00871A00"/>
    <w:rsid w:val="00871F4F"/>
    <w:rsid w:val="00873320"/>
    <w:rsid w:val="008733F0"/>
    <w:rsid w:val="00873866"/>
    <w:rsid w:val="0087418B"/>
    <w:rsid w:val="00874368"/>
    <w:rsid w:val="00874A16"/>
    <w:rsid w:val="008762AF"/>
    <w:rsid w:val="008805FB"/>
    <w:rsid w:val="00880B43"/>
    <w:rsid w:val="00880C41"/>
    <w:rsid w:val="00880C63"/>
    <w:rsid w:val="00880CD6"/>
    <w:rsid w:val="00880D4F"/>
    <w:rsid w:val="0088121B"/>
    <w:rsid w:val="00881249"/>
    <w:rsid w:val="008813B4"/>
    <w:rsid w:val="008825FB"/>
    <w:rsid w:val="00882C0D"/>
    <w:rsid w:val="00883D8A"/>
    <w:rsid w:val="0088411B"/>
    <w:rsid w:val="00884489"/>
    <w:rsid w:val="0088511A"/>
    <w:rsid w:val="00885306"/>
    <w:rsid w:val="00885488"/>
    <w:rsid w:val="00885EC4"/>
    <w:rsid w:val="00886220"/>
    <w:rsid w:val="00886D51"/>
    <w:rsid w:val="00887F02"/>
    <w:rsid w:val="008903B3"/>
    <w:rsid w:val="0089047A"/>
    <w:rsid w:val="0089096A"/>
    <w:rsid w:val="00891317"/>
    <w:rsid w:val="00891C30"/>
    <w:rsid w:val="00891D56"/>
    <w:rsid w:val="0089229E"/>
    <w:rsid w:val="0089237F"/>
    <w:rsid w:val="00892A2F"/>
    <w:rsid w:val="00893658"/>
    <w:rsid w:val="008939C1"/>
    <w:rsid w:val="00894835"/>
    <w:rsid w:val="0089508F"/>
    <w:rsid w:val="00895761"/>
    <w:rsid w:val="00895AE6"/>
    <w:rsid w:val="00895D91"/>
    <w:rsid w:val="008962B2"/>
    <w:rsid w:val="00897E40"/>
    <w:rsid w:val="008A013C"/>
    <w:rsid w:val="008A0394"/>
    <w:rsid w:val="008A08AD"/>
    <w:rsid w:val="008A0B31"/>
    <w:rsid w:val="008A0E45"/>
    <w:rsid w:val="008A1154"/>
    <w:rsid w:val="008A141D"/>
    <w:rsid w:val="008A21F6"/>
    <w:rsid w:val="008A3D98"/>
    <w:rsid w:val="008A44FD"/>
    <w:rsid w:val="008A4F39"/>
    <w:rsid w:val="008A6091"/>
    <w:rsid w:val="008A6652"/>
    <w:rsid w:val="008A6A41"/>
    <w:rsid w:val="008B0C80"/>
    <w:rsid w:val="008B2060"/>
    <w:rsid w:val="008B2106"/>
    <w:rsid w:val="008B2449"/>
    <w:rsid w:val="008B3224"/>
    <w:rsid w:val="008B3F19"/>
    <w:rsid w:val="008B3FBB"/>
    <w:rsid w:val="008B41FF"/>
    <w:rsid w:val="008B46B3"/>
    <w:rsid w:val="008B46CF"/>
    <w:rsid w:val="008B6397"/>
    <w:rsid w:val="008B656D"/>
    <w:rsid w:val="008B669A"/>
    <w:rsid w:val="008B6EC1"/>
    <w:rsid w:val="008B77C5"/>
    <w:rsid w:val="008B7FEC"/>
    <w:rsid w:val="008C02D9"/>
    <w:rsid w:val="008C030F"/>
    <w:rsid w:val="008C033E"/>
    <w:rsid w:val="008C08A4"/>
    <w:rsid w:val="008C1E35"/>
    <w:rsid w:val="008C1F72"/>
    <w:rsid w:val="008C384F"/>
    <w:rsid w:val="008C3E59"/>
    <w:rsid w:val="008C4040"/>
    <w:rsid w:val="008C5496"/>
    <w:rsid w:val="008C6629"/>
    <w:rsid w:val="008C68AC"/>
    <w:rsid w:val="008C6BCD"/>
    <w:rsid w:val="008C751A"/>
    <w:rsid w:val="008C756C"/>
    <w:rsid w:val="008C7615"/>
    <w:rsid w:val="008C78AC"/>
    <w:rsid w:val="008C7DE2"/>
    <w:rsid w:val="008D033B"/>
    <w:rsid w:val="008D1025"/>
    <w:rsid w:val="008D1238"/>
    <w:rsid w:val="008D157D"/>
    <w:rsid w:val="008D1B8D"/>
    <w:rsid w:val="008D2ADE"/>
    <w:rsid w:val="008D2D3A"/>
    <w:rsid w:val="008D2D49"/>
    <w:rsid w:val="008D3354"/>
    <w:rsid w:val="008D34E0"/>
    <w:rsid w:val="008D3514"/>
    <w:rsid w:val="008D3A71"/>
    <w:rsid w:val="008D3C37"/>
    <w:rsid w:val="008D4695"/>
    <w:rsid w:val="008D50EC"/>
    <w:rsid w:val="008D5C1D"/>
    <w:rsid w:val="008D5D8D"/>
    <w:rsid w:val="008D6252"/>
    <w:rsid w:val="008D6871"/>
    <w:rsid w:val="008D6EAB"/>
    <w:rsid w:val="008D72EF"/>
    <w:rsid w:val="008D7658"/>
    <w:rsid w:val="008E0403"/>
    <w:rsid w:val="008E0A3B"/>
    <w:rsid w:val="008E0AD3"/>
    <w:rsid w:val="008E14F0"/>
    <w:rsid w:val="008E1809"/>
    <w:rsid w:val="008E185B"/>
    <w:rsid w:val="008E1D46"/>
    <w:rsid w:val="008E2079"/>
    <w:rsid w:val="008E208D"/>
    <w:rsid w:val="008E26C7"/>
    <w:rsid w:val="008E31C0"/>
    <w:rsid w:val="008E492A"/>
    <w:rsid w:val="008E4DFC"/>
    <w:rsid w:val="008E5B54"/>
    <w:rsid w:val="008E6EA6"/>
    <w:rsid w:val="008E7D21"/>
    <w:rsid w:val="008E7EEF"/>
    <w:rsid w:val="008F0E17"/>
    <w:rsid w:val="008F0F0A"/>
    <w:rsid w:val="008F1674"/>
    <w:rsid w:val="008F2B0F"/>
    <w:rsid w:val="008F2D08"/>
    <w:rsid w:val="008F306A"/>
    <w:rsid w:val="008F34F1"/>
    <w:rsid w:val="008F37BD"/>
    <w:rsid w:val="008F3B3A"/>
    <w:rsid w:val="008F41C4"/>
    <w:rsid w:val="008F430F"/>
    <w:rsid w:val="008F5023"/>
    <w:rsid w:val="008F5BF6"/>
    <w:rsid w:val="008F60BE"/>
    <w:rsid w:val="008F741C"/>
    <w:rsid w:val="008F7536"/>
    <w:rsid w:val="008F786F"/>
    <w:rsid w:val="00900C0B"/>
    <w:rsid w:val="00900C97"/>
    <w:rsid w:val="00900C9E"/>
    <w:rsid w:val="00900F6E"/>
    <w:rsid w:val="0090151C"/>
    <w:rsid w:val="00901570"/>
    <w:rsid w:val="009023CA"/>
    <w:rsid w:val="00902546"/>
    <w:rsid w:val="0090290E"/>
    <w:rsid w:val="009031B4"/>
    <w:rsid w:val="00903F73"/>
    <w:rsid w:val="00904314"/>
    <w:rsid w:val="009049FE"/>
    <w:rsid w:val="00905843"/>
    <w:rsid w:val="00905AA6"/>
    <w:rsid w:val="00905B38"/>
    <w:rsid w:val="00905EA3"/>
    <w:rsid w:val="00906069"/>
    <w:rsid w:val="00907164"/>
    <w:rsid w:val="0090777D"/>
    <w:rsid w:val="00907EA6"/>
    <w:rsid w:val="00907F8E"/>
    <w:rsid w:val="00910581"/>
    <w:rsid w:val="00910C66"/>
    <w:rsid w:val="00910FCD"/>
    <w:rsid w:val="00912857"/>
    <w:rsid w:val="00912BB5"/>
    <w:rsid w:val="0091520F"/>
    <w:rsid w:val="0091568B"/>
    <w:rsid w:val="009159C5"/>
    <w:rsid w:val="00916498"/>
    <w:rsid w:val="009164CF"/>
    <w:rsid w:val="00917508"/>
    <w:rsid w:val="00917608"/>
    <w:rsid w:val="009177D6"/>
    <w:rsid w:val="00917BBC"/>
    <w:rsid w:val="009202B3"/>
    <w:rsid w:val="0092124D"/>
    <w:rsid w:val="00921808"/>
    <w:rsid w:val="00922888"/>
    <w:rsid w:val="00923716"/>
    <w:rsid w:val="0092444D"/>
    <w:rsid w:val="00924540"/>
    <w:rsid w:val="00924880"/>
    <w:rsid w:val="00925685"/>
    <w:rsid w:val="0092659A"/>
    <w:rsid w:val="00926BD9"/>
    <w:rsid w:val="00930BEF"/>
    <w:rsid w:val="00930C34"/>
    <w:rsid w:val="00930D4E"/>
    <w:rsid w:val="00933186"/>
    <w:rsid w:val="0093346B"/>
    <w:rsid w:val="00933BC1"/>
    <w:rsid w:val="00933BF9"/>
    <w:rsid w:val="0093454C"/>
    <w:rsid w:val="009345F0"/>
    <w:rsid w:val="00935C29"/>
    <w:rsid w:val="009401B2"/>
    <w:rsid w:val="0094061C"/>
    <w:rsid w:val="00940764"/>
    <w:rsid w:val="00940861"/>
    <w:rsid w:val="00940BC6"/>
    <w:rsid w:val="00940F00"/>
    <w:rsid w:val="009412D5"/>
    <w:rsid w:val="00941A83"/>
    <w:rsid w:val="00941B2E"/>
    <w:rsid w:val="00941EAB"/>
    <w:rsid w:val="0094202F"/>
    <w:rsid w:val="00942096"/>
    <w:rsid w:val="0094302C"/>
    <w:rsid w:val="0094406C"/>
    <w:rsid w:val="009446B8"/>
    <w:rsid w:val="00944759"/>
    <w:rsid w:val="009450F1"/>
    <w:rsid w:val="009453DF"/>
    <w:rsid w:val="00945A40"/>
    <w:rsid w:val="00946335"/>
    <w:rsid w:val="00946C9B"/>
    <w:rsid w:val="00947A24"/>
    <w:rsid w:val="009502A5"/>
    <w:rsid w:val="0095082F"/>
    <w:rsid w:val="00950A71"/>
    <w:rsid w:val="00950BB7"/>
    <w:rsid w:val="00950D0A"/>
    <w:rsid w:val="00950DBD"/>
    <w:rsid w:val="00950E62"/>
    <w:rsid w:val="009510EE"/>
    <w:rsid w:val="00951824"/>
    <w:rsid w:val="0095280E"/>
    <w:rsid w:val="009536DB"/>
    <w:rsid w:val="009536FC"/>
    <w:rsid w:val="00953AAB"/>
    <w:rsid w:val="00953C7F"/>
    <w:rsid w:val="009541C7"/>
    <w:rsid w:val="00955251"/>
    <w:rsid w:val="0095527A"/>
    <w:rsid w:val="009559D3"/>
    <w:rsid w:val="00955CE4"/>
    <w:rsid w:val="009567D7"/>
    <w:rsid w:val="00956847"/>
    <w:rsid w:val="009602C8"/>
    <w:rsid w:val="00960645"/>
    <w:rsid w:val="00960EB7"/>
    <w:rsid w:val="00960FF4"/>
    <w:rsid w:val="00961162"/>
    <w:rsid w:val="0096135E"/>
    <w:rsid w:val="009622EF"/>
    <w:rsid w:val="00962EB2"/>
    <w:rsid w:val="00963286"/>
    <w:rsid w:val="00965E2F"/>
    <w:rsid w:val="00965F35"/>
    <w:rsid w:val="00966001"/>
    <w:rsid w:val="00967275"/>
    <w:rsid w:val="00967970"/>
    <w:rsid w:val="00970248"/>
    <w:rsid w:val="00970E9E"/>
    <w:rsid w:val="0097193C"/>
    <w:rsid w:val="00971B49"/>
    <w:rsid w:val="00972CA7"/>
    <w:rsid w:val="009730EB"/>
    <w:rsid w:val="009732EB"/>
    <w:rsid w:val="00973724"/>
    <w:rsid w:val="00973B78"/>
    <w:rsid w:val="00973F65"/>
    <w:rsid w:val="00973F73"/>
    <w:rsid w:val="00974D2D"/>
    <w:rsid w:val="009750E9"/>
    <w:rsid w:val="00975537"/>
    <w:rsid w:val="00975F0D"/>
    <w:rsid w:val="00976583"/>
    <w:rsid w:val="00976C52"/>
    <w:rsid w:val="00976F13"/>
    <w:rsid w:val="00976F9A"/>
    <w:rsid w:val="009779C8"/>
    <w:rsid w:val="00977F56"/>
    <w:rsid w:val="00980CF6"/>
    <w:rsid w:val="00981335"/>
    <w:rsid w:val="00981521"/>
    <w:rsid w:val="00981B5E"/>
    <w:rsid w:val="009828B2"/>
    <w:rsid w:val="0098298D"/>
    <w:rsid w:val="0098333D"/>
    <w:rsid w:val="00984079"/>
    <w:rsid w:val="00984638"/>
    <w:rsid w:val="00984B38"/>
    <w:rsid w:val="009852BF"/>
    <w:rsid w:val="00985A5F"/>
    <w:rsid w:val="00985F70"/>
    <w:rsid w:val="0098622B"/>
    <w:rsid w:val="00986F2C"/>
    <w:rsid w:val="00987556"/>
    <w:rsid w:val="0098763D"/>
    <w:rsid w:val="009876BB"/>
    <w:rsid w:val="00990FEC"/>
    <w:rsid w:val="00991788"/>
    <w:rsid w:val="00991935"/>
    <w:rsid w:val="00991BC3"/>
    <w:rsid w:val="00991EFA"/>
    <w:rsid w:val="00992D1F"/>
    <w:rsid w:val="00993269"/>
    <w:rsid w:val="00993493"/>
    <w:rsid w:val="009936A6"/>
    <w:rsid w:val="00993A3A"/>
    <w:rsid w:val="009943FA"/>
    <w:rsid w:val="00994968"/>
    <w:rsid w:val="00994FBF"/>
    <w:rsid w:val="00995C74"/>
    <w:rsid w:val="0099635E"/>
    <w:rsid w:val="00996A7D"/>
    <w:rsid w:val="009976D3"/>
    <w:rsid w:val="00997E6E"/>
    <w:rsid w:val="009A0F96"/>
    <w:rsid w:val="009A1B8F"/>
    <w:rsid w:val="009A1D1B"/>
    <w:rsid w:val="009A1ECA"/>
    <w:rsid w:val="009A2828"/>
    <w:rsid w:val="009A34F6"/>
    <w:rsid w:val="009A3664"/>
    <w:rsid w:val="009A37A5"/>
    <w:rsid w:val="009A5C25"/>
    <w:rsid w:val="009A5E9C"/>
    <w:rsid w:val="009A6282"/>
    <w:rsid w:val="009A6C16"/>
    <w:rsid w:val="009A7B18"/>
    <w:rsid w:val="009B0308"/>
    <w:rsid w:val="009B0F27"/>
    <w:rsid w:val="009B1141"/>
    <w:rsid w:val="009B1348"/>
    <w:rsid w:val="009B195C"/>
    <w:rsid w:val="009B1D93"/>
    <w:rsid w:val="009B25E9"/>
    <w:rsid w:val="009B321D"/>
    <w:rsid w:val="009B4823"/>
    <w:rsid w:val="009B4B0B"/>
    <w:rsid w:val="009B4F26"/>
    <w:rsid w:val="009B5718"/>
    <w:rsid w:val="009B5E24"/>
    <w:rsid w:val="009B5F37"/>
    <w:rsid w:val="009B6263"/>
    <w:rsid w:val="009B7144"/>
    <w:rsid w:val="009B71D7"/>
    <w:rsid w:val="009B7592"/>
    <w:rsid w:val="009C02B0"/>
    <w:rsid w:val="009C0414"/>
    <w:rsid w:val="009C1619"/>
    <w:rsid w:val="009C18CD"/>
    <w:rsid w:val="009C253B"/>
    <w:rsid w:val="009C2662"/>
    <w:rsid w:val="009C2C7F"/>
    <w:rsid w:val="009C2EF0"/>
    <w:rsid w:val="009C312E"/>
    <w:rsid w:val="009C36D3"/>
    <w:rsid w:val="009C3808"/>
    <w:rsid w:val="009C38B9"/>
    <w:rsid w:val="009C3ADB"/>
    <w:rsid w:val="009C4068"/>
    <w:rsid w:val="009C5D3A"/>
    <w:rsid w:val="009C694F"/>
    <w:rsid w:val="009C6D40"/>
    <w:rsid w:val="009D1560"/>
    <w:rsid w:val="009D1691"/>
    <w:rsid w:val="009D1B4F"/>
    <w:rsid w:val="009D2326"/>
    <w:rsid w:val="009D2840"/>
    <w:rsid w:val="009D2949"/>
    <w:rsid w:val="009D2BFA"/>
    <w:rsid w:val="009D3529"/>
    <w:rsid w:val="009D3A84"/>
    <w:rsid w:val="009D4C98"/>
    <w:rsid w:val="009D4D7E"/>
    <w:rsid w:val="009D5793"/>
    <w:rsid w:val="009D57E3"/>
    <w:rsid w:val="009D5F2D"/>
    <w:rsid w:val="009D6BD7"/>
    <w:rsid w:val="009D7AF6"/>
    <w:rsid w:val="009E0368"/>
    <w:rsid w:val="009E0A03"/>
    <w:rsid w:val="009E1409"/>
    <w:rsid w:val="009E3A52"/>
    <w:rsid w:val="009E3B88"/>
    <w:rsid w:val="009E42D1"/>
    <w:rsid w:val="009E42D5"/>
    <w:rsid w:val="009E456F"/>
    <w:rsid w:val="009E4BF8"/>
    <w:rsid w:val="009E58E4"/>
    <w:rsid w:val="009E5C2F"/>
    <w:rsid w:val="009E655C"/>
    <w:rsid w:val="009E662D"/>
    <w:rsid w:val="009E7814"/>
    <w:rsid w:val="009E7A6C"/>
    <w:rsid w:val="009E7C20"/>
    <w:rsid w:val="009F0531"/>
    <w:rsid w:val="009F0CAF"/>
    <w:rsid w:val="009F0E0C"/>
    <w:rsid w:val="009F167E"/>
    <w:rsid w:val="009F2254"/>
    <w:rsid w:val="009F231C"/>
    <w:rsid w:val="009F2AB7"/>
    <w:rsid w:val="009F2CE5"/>
    <w:rsid w:val="009F2E42"/>
    <w:rsid w:val="009F3385"/>
    <w:rsid w:val="009F36ED"/>
    <w:rsid w:val="009F4B03"/>
    <w:rsid w:val="009F4BFB"/>
    <w:rsid w:val="009F4D1E"/>
    <w:rsid w:val="009F4FE3"/>
    <w:rsid w:val="009F5102"/>
    <w:rsid w:val="009F540A"/>
    <w:rsid w:val="009F59B1"/>
    <w:rsid w:val="009F5A5E"/>
    <w:rsid w:val="009F6513"/>
    <w:rsid w:val="009F6D86"/>
    <w:rsid w:val="009F6E11"/>
    <w:rsid w:val="009F7864"/>
    <w:rsid w:val="00A00AB8"/>
    <w:rsid w:val="00A01511"/>
    <w:rsid w:val="00A01F87"/>
    <w:rsid w:val="00A02C9E"/>
    <w:rsid w:val="00A05D2B"/>
    <w:rsid w:val="00A05D42"/>
    <w:rsid w:val="00A06B0B"/>
    <w:rsid w:val="00A06E3E"/>
    <w:rsid w:val="00A076F8"/>
    <w:rsid w:val="00A10441"/>
    <w:rsid w:val="00A10553"/>
    <w:rsid w:val="00A10737"/>
    <w:rsid w:val="00A10CDF"/>
    <w:rsid w:val="00A1159A"/>
    <w:rsid w:val="00A11C04"/>
    <w:rsid w:val="00A11D1B"/>
    <w:rsid w:val="00A11E4C"/>
    <w:rsid w:val="00A12074"/>
    <w:rsid w:val="00A121FE"/>
    <w:rsid w:val="00A1272B"/>
    <w:rsid w:val="00A12F62"/>
    <w:rsid w:val="00A13062"/>
    <w:rsid w:val="00A136A4"/>
    <w:rsid w:val="00A1393A"/>
    <w:rsid w:val="00A14429"/>
    <w:rsid w:val="00A14A24"/>
    <w:rsid w:val="00A15341"/>
    <w:rsid w:val="00A156DC"/>
    <w:rsid w:val="00A15CC3"/>
    <w:rsid w:val="00A15E5C"/>
    <w:rsid w:val="00A165AB"/>
    <w:rsid w:val="00A16DB1"/>
    <w:rsid w:val="00A171F6"/>
    <w:rsid w:val="00A17405"/>
    <w:rsid w:val="00A17549"/>
    <w:rsid w:val="00A17617"/>
    <w:rsid w:val="00A20434"/>
    <w:rsid w:val="00A20A6A"/>
    <w:rsid w:val="00A20BE0"/>
    <w:rsid w:val="00A21BB9"/>
    <w:rsid w:val="00A21ED6"/>
    <w:rsid w:val="00A220BF"/>
    <w:rsid w:val="00A2234A"/>
    <w:rsid w:val="00A22EF3"/>
    <w:rsid w:val="00A23D90"/>
    <w:rsid w:val="00A24224"/>
    <w:rsid w:val="00A262F4"/>
    <w:rsid w:val="00A2639A"/>
    <w:rsid w:val="00A26514"/>
    <w:rsid w:val="00A26B74"/>
    <w:rsid w:val="00A2785B"/>
    <w:rsid w:val="00A279BA"/>
    <w:rsid w:val="00A27AE8"/>
    <w:rsid w:val="00A3236C"/>
    <w:rsid w:val="00A32B2D"/>
    <w:rsid w:val="00A32D5A"/>
    <w:rsid w:val="00A331C5"/>
    <w:rsid w:val="00A332A0"/>
    <w:rsid w:val="00A3338A"/>
    <w:rsid w:val="00A33B5D"/>
    <w:rsid w:val="00A34D8E"/>
    <w:rsid w:val="00A350FB"/>
    <w:rsid w:val="00A36E0D"/>
    <w:rsid w:val="00A407F1"/>
    <w:rsid w:val="00A407FB"/>
    <w:rsid w:val="00A4212E"/>
    <w:rsid w:val="00A42F5D"/>
    <w:rsid w:val="00A430C3"/>
    <w:rsid w:val="00A4363F"/>
    <w:rsid w:val="00A4392B"/>
    <w:rsid w:val="00A43BC8"/>
    <w:rsid w:val="00A444E9"/>
    <w:rsid w:val="00A447DA"/>
    <w:rsid w:val="00A455F5"/>
    <w:rsid w:val="00A46270"/>
    <w:rsid w:val="00A4654B"/>
    <w:rsid w:val="00A46695"/>
    <w:rsid w:val="00A4696E"/>
    <w:rsid w:val="00A46BFD"/>
    <w:rsid w:val="00A46C65"/>
    <w:rsid w:val="00A473C1"/>
    <w:rsid w:val="00A473C5"/>
    <w:rsid w:val="00A4757D"/>
    <w:rsid w:val="00A47AD8"/>
    <w:rsid w:val="00A50C3C"/>
    <w:rsid w:val="00A51691"/>
    <w:rsid w:val="00A51801"/>
    <w:rsid w:val="00A51B20"/>
    <w:rsid w:val="00A51BF4"/>
    <w:rsid w:val="00A52C8E"/>
    <w:rsid w:val="00A52D4C"/>
    <w:rsid w:val="00A542A8"/>
    <w:rsid w:val="00A5509D"/>
    <w:rsid w:val="00A555F1"/>
    <w:rsid w:val="00A56B50"/>
    <w:rsid w:val="00A6017C"/>
    <w:rsid w:val="00A609D2"/>
    <w:rsid w:val="00A61215"/>
    <w:rsid w:val="00A617CE"/>
    <w:rsid w:val="00A61D77"/>
    <w:rsid w:val="00A620E4"/>
    <w:rsid w:val="00A62330"/>
    <w:rsid w:val="00A62461"/>
    <w:rsid w:val="00A62D5F"/>
    <w:rsid w:val="00A631F2"/>
    <w:rsid w:val="00A64082"/>
    <w:rsid w:val="00A64CE3"/>
    <w:rsid w:val="00A65668"/>
    <w:rsid w:val="00A66CF0"/>
    <w:rsid w:val="00A67754"/>
    <w:rsid w:val="00A677DE"/>
    <w:rsid w:val="00A67B44"/>
    <w:rsid w:val="00A7021D"/>
    <w:rsid w:val="00A72C98"/>
    <w:rsid w:val="00A73CD6"/>
    <w:rsid w:val="00A74166"/>
    <w:rsid w:val="00A746AE"/>
    <w:rsid w:val="00A748F0"/>
    <w:rsid w:val="00A74AC0"/>
    <w:rsid w:val="00A75508"/>
    <w:rsid w:val="00A758AF"/>
    <w:rsid w:val="00A761C5"/>
    <w:rsid w:val="00A761FB"/>
    <w:rsid w:val="00A767DE"/>
    <w:rsid w:val="00A7681C"/>
    <w:rsid w:val="00A80AC8"/>
    <w:rsid w:val="00A81165"/>
    <w:rsid w:val="00A82868"/>
    <w:rsid w:val="00A8301D"/>
    <w:rsid w:val="00A835C3"/>
    <w:rsid w:val="00A8411E"/>
    <w:rsid w:val="00A84731"/>
    <w:rsid w:val="00A84B16"/>
    <w:rsid w:val="00A84D24"/>
    <w:rsid w:val="00A85ADC"/>
    <w:rsid w:val="00A865FE"/>
    <w:rsid w:val="00A86666"/>
    <w:rsid w:val="00A86769"/>
    <w:rsid w:val="00A86849"/>
    <w:rsid w:val="00A86BCF"/>
    <w:rsid w:val="00A87462"/>
    <w:rsid w:val="00A87D0F"/>
    <w:rsid w:val="00A90557"/>
    <w:rsid w:val="00A90B67"/>
    <w:rsid w:val="00A90C9A"/>
    <w:rsid w:val="00A91338"/>
    <w:rsid w:val="00A91B3F"/>
    <w:rsid w:val="00A92378"/>
    <w:rsid w:val="00A923F8"/>
    <w:rsid w:val="00A92E0C"/>
    <w:rsid w:val="00A935B5"/>
    <w:rsid w:val="00A935D0"/>
    <w:rsid w:val="00A94A91"/>
    <w:rsid w:val="00A94F7D"/>
    <w:rsid w:val="00A95276"/>
    <w:rsid w:val="00A95A88"/>
    <w:rsid w:val="00A97906"/>
    <w:rsid w:val="00A97BC4"/>
    <w:rsid w:val="00A97D71"/>
    <w:rsid w:val="00AA086B"/>
    <w:rsid w:val="00AA0DA7"/>
    <w:rsid w:val="00AA148B"/>
    <w:rsid w:val="00AA266F"/>
    <w:rsid w:val="00AA2940"/>
    <w:rsid w:val="00AA2E51"/>
    <w:rsid w:val="00AA38F5"/>
    <w:rsid w:val="00AA3E57"/>
    <w:rsid w:val="00AA40B9"/>
    <w:rsid w:val="00AA4176"/>
    <w:rsid w:val="00AA4DEC"/>
    <w:rsid w:val="00AA51E3"/>
    <w:rsid w:val="00AA5BEA"/>
    <w:rsid w:val="00AA5E94"/>
    <w:rsid w:val="00AA5FE1"/>
    <w:rsid w:val="00AA6218"/>
    <w:rsid w:val="00AA6619"/>
    <w:rsid w:val="00AA6D9F"/>
    <w:rsid w:val="00AA6F93"/>
    <w:rsid w:val="00AA6FF1"/>
    <w:rsid w:val="00AA76D3"/>
    <w:rsid w:val="00AB0BF8"/>
    <w:rsid w:val="00AB11B8"/>
    <w:rsid w:val="00AB1811"/>
    <w:rsid w:val="00AB1BB3"/>
    <w:rsid w:val="00AB2585"/>
    <w:rsid w:val="00AB2A03"/>
    <w:rsid w:val="00AB2A54"/>
    <w:rsid w:val="00AB2F5F"/>
    <w:rsid w:val="00AB3106"/>
    <w:rsid w:val="00AB54F3"/>
    <w:rsid w:val="00AB5A2D"/>
    <w:rsid w:val="00AB5CD3"/>
    <w:rsid w:val="00AB5F39"/>
    <w:rsid w:val="00AB6A2E"/>
    <w:rsid w:val="00AB6A43"/>
    <w:rsid w:val="00AB6C6B"/>
    <w:rsid w:val="00AB70E2"/>
    <w:rsid w:val="00AC094D"/>
    <w:rsid w:val="00AC1CEE"/>
    <w:rsid w:val="00AC1DD9"/>
    <w:rsid w:val="00AC2003"/>
    <w:rsid w:val="00AC2348"/>
    <w:rsid w:val="00AC3C98"/>
    <w:rsid w:val="00AC4295"/>
    <w:rsid w:val="00AC43B3"/>
    <w:rsid w:val="00AC45C6"/>
    <w:rsid w:val="00AC4A3F"/>
    <w:rsid w:val="00AC4B8B"/>
    <w:rsid w:val="00AC50DA"/>
    <w:rsid w:val="00AC5BDC"/>
    <w:rsid w:val="00AC639D"/>
    <w:rsid w:val="00AC697F"/>
    <w:rsid w:val="00AC763A"/>
    <w:rsid w:val="00AC78DA"/>
    <w:rsid w:val="00AC7C59"/>
    <w:rsid w:val="00AD080C"/>
    <w:rsid w:val="00AD0AF9"/>
    <w:rsid w:val="00AD0EB0"/>
    <w:rsid w:val="00AD11CE"/>
    <w:rsid w:val="00AD1713"/>
    <w:rsid w:val="00AD1B19"/>
    <w:rsid w:val="00AD1F2B"/>
    <w:rsid w:val="00AD3108"/>
    <w:rsid w:val="00AD3532"/>
    <w:rsid w:val="00AD37FC"/>
    <w:rsid w:val="00AD4135"/>
    <w:rsid w:val="00AD49C5"/>
    <w:rsid w:val="00AD4C5C"/>
    <w:rsid w:val="00AD4F60"/>
    <w:rsid w:val="00AD514D"/>
    <w:rsid w:val="00AD52E2"/>
    <w:rsid w:val="00AD66A0"/>
    <w:rsid w:val="00AD786B"/>
    <w:rsid w:val="00AE1493"/>
    <w:rsid w:val="00AE3A81"/>
    <w:rsid w:val="00AE3B42"/>
    <w:rsid w:val="00AE4AEB"/>
    <w:rsid w:val="00AE4F32"/>
    <w:rsid w:val="00AE51C2"/>
    <w:rsid w:val="00AE552D"/>
    <w:rsid w:val="00AE6238"/>
    <w:rsid w:val="00AE63A1"/>
    <w:rsid w:val="00AE64B0"/>
    <w:rsid w:val="00AE652F"/>
    <w:rsid w:val="00AE736E"/>
    <w:rsid w:val="00AE7CA5"/>
    <w:rsid w:val="00AF0696"/>
    <w:rsid w:val="00AF2CDB"/>
    <w:rsid w:val="00AF3DA1"/>
    <w:rsid w:val="00AF40C2"/>
    <w:rsid w:val="00AF44D8"/>
    <w:rsid w:val="00AF46B5"/>
    <w:rsid w:val="00AF507D"/>
    <w:rsid w:val="00AF67D1"/>
    <w:rsid w:val="00AF6F3E"/>
    <w:rsid w:val="00AF7227"/>
    <w:rsid w:val="00AF7465"/>
    <w:rsid w:val="00AF7A26"/>
    <w:rsid w:val="00B005C3"/>
    <w:rsid w:val="00B00BF3"/>
    <w:rsid w:val="00B024B8"/>
    <w:rsid w:val="00B0271E"/>
    <w:rsid w:val="00B03051"/>
    <w:rsid w:val="00B03B56"/>
    <w:rsid w:val="00B03D78"/>
    <w:rsid w:val="00B0413F"/>
    <w:rsid w:val="00B041AB"/>
    <w:rsid w:val="00B0543E"/>
    <w:rsid w:val="00B06481"/>
    <w:rsid w:val="00B06632"/>
    <w:rsid w:val="00B06884"/>
    <w:rsid w:val="00B0744F"/>
    <w:rsid w:val="00B07900"/>
    <w:rsid w:val="00B079A5"/>
    <w:rsid w:val="00B07E5A"/>
    <w:rsid w:val="00B108A7"/>
    <w:rsid w:val="00B11E4E"/>
    <w:rsid w:val="00B13147"/>
    <w:rsid w:val="00B137A1"/>
    <w:rsid w:val="00B14E30"/>
    <w:rsid w:val="00B15EB1"/>
    <w:rsid w:val="00B16D8D"/>
    <w:rsid w:val="00B16ECF"/>
    <w:rsid w:val="00B16EF5"/>
    <w:rsid w:val="00B200B0"/>
    <w:rsid w:val="00B207C9"/>
    <w:rsid w:val="00B20899"/>
    <w:rsid w:val="00B20EE7"/>
    <w:rsid w:val="00B21D7D"/>
    <w:rsid w:val="00B21F81"/>
    <w:rsid w:val="00B22678"/>
    <w:rsid w:val="00B22A59"/>
    <w:rsid w:val="00B22AD6"/>
    <w:rsid w:val="00B23657"/>
    <w:rsid w:val="00B23722"/>
    <w:rsid w:val="00B242BA"/>
    <w:rsid w:val="00B244F1"/>
    <w:rsid w:val="00B2487B"/>
    <w:rsid w:val="00B24952"/>
    <w:rsid w:val="00B24A8A"/>
    <w:rsid w:val="00B24B2D"/>
    <w:rsid w:val="00B252B3"/>
    <w:rsid w:val="00B25702"/>
    <w:rsid w:val="00B26E3C"/>
    <w:rsid w:val="00B27CA1"/>
    <w:rsid w:val="00B3016A"/>
    <w:rsid w:val="00B30FB1"/>
    <w:rsid w:val="00B31114"/>
    <w:rsid w:val="00B31339"/>
    <w:rsid w:val="00B32632"/>
    <w:rsid w:val="00B327D1"/>
    <w:rsid w:val="00B344B3"/>
    <w:rsid w:val="00B34551"/>
    <w:rsid w:val="00B34766"/>
    <w:rsid w:val="00B34D32"/>
    <w:rsid w:val="00B35357"/>
    <w:rsid w:val="00B35D88"/>
    <w:rsid w:val="00B37771"/>
    <w:rsid w:val="00B403DB"/>
    <w:rsid w:val="00B412C6"/>
    <w:rsid w:val="00B416CE"/>
    <w:rsid w:val="00B4170B"/>
    <w:rsid w:val="00B41EF6"/>
    <w:rsid w:val="00B425A0"/>
    <w:rsid w:val="00B43CA5"/>
    <w:rsid w:val="00B43EBF"/>
    <w:rsid w:val="00B4408B"/>
    <w:rsid w:val="00B45064"/>
    <w:rsid w:val="00B45A09"/>
    <w:rsid w:val="00B465DF"/>
    <w:rsid w:val="00B468F2"/>
    <w:rsid w:val="00B46B1A"/>
    <w:rsid w:val="00B477B2"/>
    <w:rsid w:val="00B506DE"/>
    <w:rsid w:val="00B508DF"/>
    <w:rsid w:val="00B50AEE"/>
    <w:rsid w:val="00B51AB4"/>
    <w:rsid w:val="00B52276"/>
    <w:rsid w:val="00B52CF5"/>
    <w:rsid w:val="00B52EF7"/>
    <w:rsid w:val="00B52FB2"/>
    <w:rsid w:val="00B5354A"/>
    <w:rsid w:val="00B54555"/>
    <w:rsid w:val="00B54B27"/>
    <w:rsid w:val="00B54BA8"/>
    <w:rsid w:val="00B551AC"/>
    <w:rsid w:val="00B55C1C"/>
    <w:rsid w:val="00B55CAB"/>
    <w:rsid w:val="00B55EE5"/>
    <w:rsid w:val="00B56431"/>
    <w:rsid w:val="00B5728E"/>
    <w:rsid w:val="00B578B0"/>
    <w:rsid w:val="00B626F7"/>
    <w:rsid w:val="00B635A2"/>
    <w:rsid w:val="00B638CB"/>
    <w:rsid w:val="00B64178"/>
    <w:rsid w:val="00B651A7"/>
    <w:rsid w:val="00B67679"/>
    <w:rsid w:val="00B67FCA"/>
    <w:rsid w:val="00B7008E"/>
    <w:rsid w:val="00B70B2F"/>
    <w:rsid w:val="00B70CA0"/>
    <w:rsid w:val="00B7152C"/>
    <w:rsid w:val="00B71918"/>
    <w:rsid w:val="00B720D2"/>
    <w:rsid w:val="00B72643"/>
    <w:rsid w:val="00B72EFE"/>
    <w:rsid w:val="00B7318F"/>
    <w:rsid w:val="00B739DE"/>
    <w:rsid w:val="00B7440D"/>
    <w:rsid w:val="00B76BDA"/>
    <w:rsid w:val="00B775DA"/>
    <w:rsid w:val="00B77C39"/>
    <w:rsid w:val="00B77EA0"/>
    <w:rsid w:val="00B80DAA"/>
    <w:rsid w:val="00B80E05"/>
    <w:rsid w:val="00B81517"/>
    <w:rsid w:val="00B818D6"/>
    <w:rsid w:val="00B82739"/>
    <w:rsid w:val="00B8275D"/>
    <w:rsid w:val="00B8277A"/>
    <w:rsid w:val="00B82A22"/>
    <w:rsid w:val="00B83452"/>
    <w:rsid w:val="00B8360A"/>
    <w:rsid w:val="00B83956"/>
    <w:rsid w:val="00B83CF1"/>
    <w:rsid w:val="00B84F40"/>
    <w:rsid w:val="00B84F8B"/>
    <w:rsid w:val="00B86410"/>
    <w:rsid w:val="00B8710D"/>
    <w:rsid w:val="00B87267"/>
    <w:rsid w:val="00B8787B"/>
    <w:rsid w:val="00B87ABD"/>
    <w:rsid w:val="00B87E1C"/>
    <w:rsid w:val="00B90961"/>
    <w:rsid w:val="00B90980"/>
    <w:rsid w:val="00B91054"/>
    <w:rsid w:val="00B91114"/>
    <w:rsid w:val="00B9167C"/>
    <w:rsid w:val="00B92298"/>
    <w:rsid w:val="00B922F3"/>
    <w:rsid w:val="00B9269A"/>
    <w:rsid w:val="00B93AE3"/>
    <w:rsid w:val="00B93BDD"/>
    <w:rsid w:val="00B944AB"/>
    <w:rsid w:val="00B949B5"/>
    <w:rsid w:val="00B95B08"/>
    <w:rsid w:val="00B95D74"/>
    <w:rsid w:val="00B965F1"/>
    <w:rsid w:val="00B974ED"/>
    <w:rsid w:val="00B97CC7"/>
    <w:rsid w:val="00B97CE9"/>
    <w:rsid w:val="00B97DA8"/>
    <w:rsid w:val="00BA0613"/>
    <w:rsid w:val="00BA1119"/>
    <w:rsid w:val="00BA1A9E"/>
    <w:rsid w:val="00BA1B7B"/>
    <w:rsid w:val="00BA2509"/>
    <w:rsid w:val="00BA359E"/>
    <w:rsid w:val="00BA3B5E"/>
    <w:rsid w:val="00BA53C5"/>
    <w:rsid w:val="00BA7A57"/>
    <w:rsid w:val="00BB0075"/>
    <w:rsid w:val="00BB0BBA"/>
    <w:rsid w:val="00BB1301"/>
    <w:rsid w:val="00BB13E2"/>
    <w:rsid w:val="00BB189A"/>
    <w:rsid w:val="00BB1B8F"/>
    <w:rsid w:val="00BB1BAF"/>
    <w:rsid w:val="00BB1E51"/>
    <w:rsid w:val="00BB200F"/>
    <w:rsid w:val="00BB26F8"/>
    <w:rsid w:val="00BB32CB"/>
    <w:rsid w:val="00BB3BA5"/>
    <w:rsid w:val="00BB4426"/>
    <w:rsid w:val="00BB4756"/>
    <w:rsid w:val="00BB4844"/>
    <w:rsid w:val="00BB4C82"/>
    <w:rsid w:val="00BB5290"/>
    <w:rsid w:val="00BB52F4"/>
    <w:rsid w:val="00BB6F3C"/>
    <w:rsid w:val="00BC00FF"/>
    <w:rsid w:val="00BC098B"/>
    <w:rsid w:val="00BC0A21"/>
    <w:rsid w:val="00BC1503"/>
    <w:rsid w:val="00BC2B59"/>
    <w:rsid w:val="00BC2B97"/>
    <w:rsid w:val="00BC2D79"/>
    <w:rsid w:val="00BC314E"/>
    <w:rsid w:val="00BC323B"/>
    <w:rsid w:val="00BC3606"/>
    <w:rsid w:val="00BC3D0B"/>
    <w:rsid w:val="00BC3DE7"/>
    <w:rsid w:val="00BC4235"/>
    <w:rsid w:val="00BC49B1"/>
    <w:rsid w:val="00BC5B34"/>
    <w:rsid w:val="00BC6026"/>
    <w:rsid w:val="00BC642C"/>
    <w:rsid w:val="00BC6C83"/>
    <w:rsid w:val="00BC6EAA"/>
    <w:rsid w:val="00BC717D"/>
    <w:rsid w:val="00BC753C"/>
    <w:rsid w:val="00BC7FB3"/>
    <w:rsid w:val="00BD03D6"/>
    <w:rsid w:val="00BD0660"/>
    <w:rsid w:val="00BD0FE4"/>
    <w:rsid w:val="00BD1025"/>
    <w:rsid w:val="00BD10B8"/>
    <w:rsid w:val="00BD114A"/>
    <w:rsid w:val="00BD18FC"/>
    <w:rsid w:val="00BD1A7C"/>
    <w:rsid w:val="00BD238F"/>
    <w:rsid w:val="00BD2A73"/>
    <w:rsid w:val="00BD3107"/>
    <w:rsid w:val="00BD32A5"/>
    <w:rsid w:val="00BD342C"/>
    <w:rsid w:val="00BD3AE8"/>
    <w:rsid w:val="00BD3E0A"/>
    <w:rsid w:val="00BD4E1D"/>
    <w:rsid w:val="00BD5C5E"/>
    <w:rsid w:val="00BD75EA"/>
    <w:rsid w:val="00BE01B2"/>
    <w:rsid w:val="00BE0443"/>
    <w:rsid w:val="00BE0614"/>
    <w:rsid w:val="00BE1665"/>
    <w:rsid w:val="00BE1896"/>
    <w:rsid w:val="00BE1F5E"/>
    <w:rsid w:val="00BE23CC"/>
    <w:rsid w:val="00BE27A1"/>
    <w:rsid w:val="00BE2823"/>
    <w:rsid w:val="00BE2F0B"/>
    <w:rsid w:val="00BE3B09"/>
    <w:rsid w:val="00BE3D72"/>
    <w:rsid w:val="00BE3DFF"/>
    <w:rsid w:val="00BE4569"/>
    <w:rsid w:val="00BE4CBE"/>
    <w:rsid w:val="00BE4E33"/>
    <w:rsid w:val="00BE557B"/>
    <w:rsid w:val="00BE5D9E"/>
    <w:rsid w:val="00BE6507"/>
    <w:rsid w:val="00BE6D51"/>
    <w:rsid w:val="00BE73F4"/>
    <w:rsid w:val="00BE7EC2"/>
    <w:rsid w:val="00BF038D"/>
    <w:rsid w:val="00BF0704"/>
    <w:rsid w:val="00BF07E1"/>
    <w:rsid w:val="00BF0A0C"/>
    <w:rsid w:val="00BF1AEE"/>
    <w:rsid w:val="00BF1CB4"/>
    <w:rsid w:val="00BF204A"/>
    <w:rsid w:val="00BF211D"/>
    <w:rsid w:val="00BF2670"/>
    <w:rsid w:val="00BF2A9B"/>
    <w:rsid w:val="00BF2B60"/>
    <w:rsid w:val="00BF4313"/>
    <w:rsid w:val="00BF4C1E"/>
    <w:rsid w:val="00BF54A7"/>
    <w:rsid w:val="00BF5E18"/>
    <w:rsid w:val="00BF623E"/>
    <w:rsid w:val="00BF651E"/>
    <w:rsid w:val="00BF6AC0"/>
    <w:rsid w:val="00BF70AA"/>
    <w:rsid w:val="00BF757B"/>
    <w:rsid w:val="00BF763A"/>
    <w:rsid w:val="00C00542"/>
    <w:rsid w:val="00C00930"/>
    <w:rsid w:val="00C019E4"/>
    <w:rsid w:val="00C01D69"/>
    <w:rsid w:val="00C01E55"/>
    <w:rsid w:val="00C01E5F"/>
    <w:rsid w:val="00C01E72"/>
    <w:rsid w:val="00C02210"/>
    <w:rsid w:val="00C03CDE"/>
    <w:rsid w:val="00C046B0"/>
    <w:rsid w:val="00C04B39"/>
    <w:rsid w:val="00C05F61"/>
    <w:rsid w:val="00C07321"/>
    <w:rsid w:val="00C07EDD"/>
    <w:rsid w:val="00C10094"/>
    <w:rsid w:val="00C1026D"/>
    <w:rsid w:val="00C106B0"/>
    <w:rsid w:val="00C108E1"/>
    <w:rsid w:val="00C113C4"/>
    <w:rsid w:val="00C11776"/>
    <w:rsid w:val="00C118E6"/>
    <w:rsid w:val="00C11C7B"/>
    <w:rsid w:val="00C121E6"/>
    <w:rsid w:val="00C12BDD"/>
    <w:rsid w:val="00C130F2"/>
    <w:rsid w:val="00C13D76"/>
    <w:rsid w:val="00C13DA0"/>
    <w:rsid w:val="00C1430C"/>
    <w:rsid w:val="00C14430"/>
    <w:rsid w:val="00C147AC"/>
    <w:rsid w:val="00C14A9F"/>
    <w:rsid w:val="00C14AB8"/>
    <w:rsid w:val="00C14F80"/>
    <w:rsid w:val="00C1566B"/>
    <w:rsid w:val="00C15B41"/>
    <w:rsid w:val="00C15D05"/>
    <w:rsid w:val="00C162A6"/>
    <w:rsid w:val="00C16883"/>
    <w:rsid w:val="00C172A0"/>
    <w:rsid w:val="00C17345"/>
    <w:rsid w:val="00C176F0"/>
    <w:rsid w:val="00C17A87"/>
    <w:rsid w:val="00C17F8B"/>
    <w:rsid w:val="00C20A67"/>
    <w:rsid w:val="00C2117D"/>
    <w:rsid w:val="00C21824"/>
    <w:rsid w:val="00C21C0C"/>
    <w:rsid w:val="00C2209E"/>
    <w:rsid w:val="00C222B2"/>
    <w:rsid w:val="00C22801"/>
    <w:rsid w:val="00C23419"/>
    <w:rsid w:val="00C243B5"/>
    <w:rsid w:val="00C244D3"/>
    <w:rsid w:val="00C24797"/>
    <w:rsid w:val="00C2535B"/>
    <w:rsid w:val="00C256B8"/>
    <w:rsid w:val="00C25E1F"/>
    <w:rsid w:val="00C268A1"/>
    <w:rsid w:val="00C26D33"/>
    <w:rsid w:val="00C2752C"/>
    <w:rsid w:val="00C27669"/>
    <w:rsid w:val="00C30006"/>
    <w:rsid w:val="00C30365"/>
    <w:rsid w:val="00C30471"/>
    <w:rsid w:val="00C3096E"/>
    <w:rsid w:val="00C30A07"/>
    <w:rsid w:val="00C31444"/>
    <w:rsid w:val="00C319CC"/>
    <w:rsid w:val="00C327F9"/>
    <w:rsid w:val="00C33012"/>
    <w:rsid w:val="00C33631"/>
    <w:rsid w:val="00C34415"/>
    <w:rsid w:val="00C35517"/>
    <w:rsid w:val="00C367A2"/>
    <w:rsid w:val="00C36ABC"/>
    <w:rsid w:val="00C36C92"/>
    <w:rsid w:val="00C36DF5"/>
    <w:rsid w:val="00C371C5"/>
    <w:rsid w:val="00C37870"/>
    <w:rsid w:val="00C37D6F"/>
    <w:rsid w:val="00C40540"/>
    <w:rsid w:val="00C41121"/>
    <w:rsid w:val="00C41BEA"/>
    <w:rsid w:val="00C41FA4"/>
    <w:rsid w:val="00C42C24"/>
    <w:rsid w:val="00C4355B"/>
    <w:rsid w:val="00C43565"/>
    <w:rsid w:val="00C43887"/>
    <w:rsid w:val="00C442F0"/>
    <w:rsid w:val="00C50487"/>
    <w:rsid w:val="00C5167C"/>
    <w:rsid w:val="00C5168F"/>
    <w:rsid w:val="00C526E8"/>
    <w:rsid w:val="00C52ABE"/>
    <w:rsid w:val="00C53C0F"/>
    <w:rsid w:val="00C545AA"/>
    <w:rsid w:val="00C55DD8"/>
    <w:rsid w:val="00C560AB"/>
    <w:rsid w:val="00C56868"/>
    <w:rsid w:val="00C568CE"/>
    <w:rsid w:val="00C56C64"/>
    <w:rsid w:val="00C56D27"/>
    <w:rsid w:val="00C573D4"/>
    <w:rsid w:val="00C5756C"/>
    <w:rsid w:val="00C60585"/>
    <w:rsid w:val="00C6127C"/>
    <w:rsid w:val="00C61704"/>
    <w:rsid w:val="00C62666"/>
    <w:rsid w:val="00C62BDF"/>
    <w:rsid w:val="00C62F8C"/>
    <w:rsid w:val="00C63193"/>
    <w:rsid w:val="00C63BC3"/>
    <w:rsid w:val="00C63C50"/>
    <w:rsid w:val="00C64267"/>
    <w:rsid w:val="00C65790"/>
    <w:rsid w:val="00C65792"/>
    <w:rsid w:val="00C65F0C"/>
    <w:rsid w:val="00C66294"/>
    <w:rsid w:val="00C666CF"/>
    <w:rsid w:val="00C667A3"/>
    <w:rsid w:val="00C66B35"/>
    <w:rsid w:val="00C66BB6"/>
    <w:rsid w:val="00C66D9F"/>
    <w:rsid w:val="00C66F5F"/>
    <w:rsid w:val="00C67046"/>
    <w:rsid w:val="00C67A83"/>
    <w:rsid w:val="00C67D69"/>
    <w:rsid w:val="00C70C5A"/>
    <w:rsid w:val="00C71092"/>
    <w:rsid w:val="00C71167"/>
    <w:rsid w:val="00C720B0"/>
    <w:rsid w:val="00C74A32"/>
    <w:rsid w:val="00C74DD2"/>
    <w:rsid w:val="00C758F0"/>
    <w:rsid w:val="00C75D7B"/>
    <w:rsid w:val="00C76449"/>
    <w:rsid w:val="00C76BED"/>
    <w:rsid w:val="00C80171"/>
    <w:rsid w:val="00C81D8B"/>
    <w:rsid w:val="00C81F42"/>
    <w:rsid w:val="00C82D22"/>
    <w:rsid w:val="00C846AA"/>
    <w:rsid w:val="00C85217"/>
    <w:rsid w:val="00C8533A"/>
    <w:rsid w:val="00C85707"/>
    <w:rsid w:val="00C85F83"/>
    <w:rsid w:val="00C85FA7"/>
    <w:rsid w:val="00C8616B"/>
    <w:rsid w:val="00C86688"/>
    <w:rsid w:val="00C8779C"/>
    <w:rsid w:val="00C878D4"/>
    <w:rsid w:val="00C9000B"/>
    <w:rsid w:val="00C90348"/>
    <w:rsid w:val="00C91188"/>
    <w:rsid w:val="00C913EB"/>
    <w:rsid w:val="00C91EE1"/>
    <w:rsid w:val="00C924A6"/>
    <w:rsid w:val="00C924D0"/>
    <w:rsid w:val="00C930CB"/>
    <w:rsid w:val="00C941B3"/>
    <w:rsid w:val="00C9494F"/>
    <w:rsid w:val="00C94C9E"/>
    <w:rsid w:val="00C94CD6"/>
    <w:rsid w:val="00C95729"/>
    <w:rsid w:val="00C95CBC"/>
    <w:rsid w:val="00C96D3B"/>
    <w:rsid w:val="00C973D5"/>
    <w:rsid w:val="00C97A11"/>
    <w:rsid w:val="00CA059F"/>
    <w:rsid w:val="00CA128D"/>
    <w:rsid w:val="00CA22E6"/>
    <w:rsid w:val="00CA258C"/>
    <w:rsid w:val="00CA27AC"/>
    <w:rsid w:val="00CA3244"/>
    <w:rsid w:val="00CA3D87"/>
    <w:rsid w:val="00CA4A13"/>
    <w:rsid w:val="00CA4ADD"/>
    <w:rsid w:val="00CA4CDD"/>
    <w:rsid w:val="00CA4EA7"/>
    <w:rsid w:val="00CA4EC1"/>
    <w:rsid w:val="00CA70AE"/>
    <w:rsid w:val="00CA7B39"/>
    <w:rsid w:val="00CB00D0"/>
    <w:rsid w:val="00CB020C"/>
    <w:rsid w:val="00CB0D71"/>
    <w:rsid w:val="00CB1766"/>
    <w:rsid w:val="00CB23AD"/>
    <w:rsid w:val="00CB4117"/>
    <w:rsid w:val="00CB49AB"/>
    <w:rsid w:val="00CB5168"/>
    <w:rsid w:val="00CB5408"/>
    <w:rsid w:val="00CB5577"/>
    <w:rsid w:val="00CB5596"/>
    <w:rsid w:val="00CB5BC0"/>
    <w:rsid w:val="00CB61E8"/>
    <w:rsid w:val="00CB6AFE"/>
    <w:rsid w:val="00CB6D19"/>
    <w:rsid w:val="00CB7360"/>
    <w:rsid w:val="00CC0110"/>
    <w:rsid w:val="00CC0162"/>
    <w:rsid w:val="00CC03DA"/>
    <w:rsid w:val="00CC0B27"/>
    <w:rsid w:val="00CC10F5"/>
    <w:rsid w:val="00CC1342"/>
    <w:rsid w:val="00CC1393"/>
    <w:rsid w:val="00CC2871"/>
    <w:rsid w:val="00CC2B7E"/>
    <w:rsid w:val="00CC2BEE"/>
    <w:rsid w:val="00CC362E"/>
    <w:rsid w:val="00CC38C7"/>
    <w:rsid w:val="00CC3E2D"/>
    <w:rsid w:val="00CC42D4"/>
    <w:rsid w:val="00CC4756"/>
    <w:rsid w:val="00CC4B26"/>
    <w:rsid w:val="00CC4CC3"/>
    <w:rsid w:val="00CC5332"/>
    <w:rsid w:val="00CC5452"/>
    <w:rsid w:val="00CC5CF5"/>
    <w:rsid w:val="00CC60DD"/>
    <w:rsid w:val="00CC62CF"/>
    <w:rsid w:val="00CC65D5"/>
    <w:rsid w:val="00CC7B5D"/>
    <w:rsid w:val="00CC7DCC"/>
    <w:rsid w:val="00CC7EEE"/>
    <w:rsid w:val="00CD0456"/>
    <w:rsid w:val="00CD0A89"/>
    <w:rsid w:val="00CD343D"/>
    <w:rsid w:val="00CD3539"/>
    <w:rsid w:val="00CD3DEB"/>
    <w:rsid w:val="00CD4508"/>
    <w:rsid w:val="00CD485B"/>
    <w:rsid w:val="00CD4ED1"/>
    <w:rsid w:val="00CD5266"/>
    <w:rsid w:val="00CD56A4"/>
    <w:rsid w:val="00CD5740"/>
    <w:rsid w:val="00CD5921"/>
    <w:rsid w:val="00CD5960"/>
    <w:rsid w:val="00CD6320"/>
    <w:rsid w:val="00CD6ED3"/>
    <w:rsid w:val="00CD7988"/>
    <w:rsid w:val="00CE0436"/>
    <w:rsid w:val="00CE158A"/>
    <w:rsid w:val="00CE18C6"/>
    <w:rsid w:val="00CE1E74"/>
    <w:rsid w:val="00CE1F70"/>
    <w:rsid w:val="00CE2294"/>
    <w:rsid w:val="00CE2AED"/>
    <w:rsid w:val="00CE2BC0"/>
    <w:rsid w:val="00CE337B"/>
    <w:rsid w:val="00CE3950"/>
    <w:rsid w:val="00CE3AA4"/>
    <w:rsid w:val="00CE3FA3"/>
    <w:rsid w:val="00CE51C7"/>
    <w:rsid w:val="00CE66E4"/>
    <w:rsid w:val="00CE6EE9"/>
    <w:rsid w:val="00CE7C6D"/>
    <w:rsid w:val="00CF1F6B"/>
    <w:rsid w:val="00CF21A6"/>
    <w:rsid w:val="00CF2B31"/>
    <w:rsid w:val="00CF3B65"/>
    <w:rsid w:val="00CF4257"/>
    <w:rsid w:val="00CF5692"/>
    <w:rsid w:val="00CF6549"/>
    <w:rsid w:val="00CF67CF"/>
    <w:rsid w:val="00CF759B"/>
    <w:rsid w:val="00CF7768"/>
    <w:rsid w:val="00CF78B9"/>
    <w:rsid w:val="00D00D81"/>
    <w:rsid w:val="00D011B8"/>
    <w:rsid w:val="00D012E7"/>
    <w:rsid w:val="00D0180E"/>
    <w:rsid w:val="00D02661"/>
    <w:rsid w:val="00D03A8F"/>
    <w:rsid w:val="00D05136"/>
    <w:rsid w:val="00D07CF5"/>
    <w:rsid w:val="00D10585"/>
    <w:rsid w:val="00D10B93"/>
    <w:rsid w:val="00D10F9D"/>
    <w:rsid w:val="00D112A2"/>
    <w:rsid w:val="00D1175A"/>
    <w:rsid w:val="00D11D37"/>
    <w:rsid w:val="00D12391"/>
    <w:rsid w:val="00D129A5"/>
    <w:rsid w:val="00D13013"/>
    <w:rsid w:val="00D13118"/>
    <w:rsid w:val="00D1357F"/>
    <w:rsid w:val="00D13596"/>
    <w:rsid w:val="00D13662"/>
    <w:rsid w:val="00D137D5"/>
    <w:rsid w:val="00D13956"/>
    <w:rsid w:val="00D13B9C"/>
    <w:rsid w:val="00D142C0"/>
    <w:rsid w:val="00D150A1"/>
    <w:rsid w:val="00D153BC"/>
    <w:rsid w:val="00D1589F"/>
    <w:rsid w:val="00D15A48"/>
    <w:rsid w:val="00D17E0F"/>
    <w:rsid w:val="00D20521"/>
    <w:rsid w:val="00D20DC6"/>
    <w:rsid w:val="00D212A9"/>
    <w:rsid w:val="00D2165F"/>
    <w:rsid w:val="00D22553"/>
    <w:rsid w:val="00D2343D"/>
    <w:rsid w:val="00D23957"/>
    <w:rsid w:val="00D245E5"/>
    <w:rsid w:val="00D24AEA"/>
    <w:rsid w:val="00D252DE"/>
    <w:rsid w:val="00D260CA"/>
    <w:rsid w:val="00D264C0"/>
    <w:rsid w:val="00D26583"/>
    <w:rsid w:val="00D27392"/>
    <w:rsid w:val="00D27814"/>
    <w:rsid w:val="00D32CCB"/>
    <w:rsid w:val="00D334CD"/>
    <w:rsid w:val="00D33A14"/>
    <w:rsid w:val="00D340A1"/>
    <w:rsid w:val="00D364BF"/>
    <w:rsid w:val="00D36C5A"/>
    <w:rsid w:val="00D3725E"/>
    <w:rsid w:val="00D37431"/>
    <w:rsid w:val="00D40741"/>
    <w:rsid w:val="00D41107"/>
    <w:rsid w:val="00D411C0"/>
    <w:rsid w:val="00D4120C"/>
    <w:rsid w:val="00D41519"/>
    <w:rsid w:val="00D41B57"/>
    <w:rsid w:val="00D41BD5"/>
    <w:rsid w:val="00D41D9E"/>
    <w:rsid w:val="00D42B6A"/>
    <w:rsid w:val="00D444D3"/>
    <w:rsid w:val="00D461E1"/>
    <w:rsid w:val="00D46AB6"/>
    <w:rsid w:val="00D4772C"/>
    <w:rsid w:val="00D47748"/>
    <w:rsid w:val="00D50503"/>
    <w:rsid w:val="00D54265"/>
    <w:rsid w:val="00D55405"/>
    <w:rsid w:val="00D5561C"/>
    <w:rsid w:val="00D55C84"/>
    <w:rsid w:val="00D57239"/>
    <w:rsid w:val="00D573D7"/>
    <w:rsid w:val="00D57C2D"/>
    <w:rsid w:val="00D57D66"/>
    <w:rsid w:val="00D6186B"/>
    <w:rsid w:val="00D61B54"/>
    <w:rsid w:val="00D632B3"/>
    <w:rsid w:val="00D6338C"/>
    <w:rsid w:val="00D63637"/>
    <w:rsid w:val="00D64DD5"/>
    <w:rsid w:val="00D64EAF"/>
    <w:rsid w:val="00D65135"/>
    <w:rsid w:val="00D66B79"/>
    <w:rsid w:val="00D67600"/>
    <w:rsid w:val="00D700D9"/>
    <w:rsid w:val="00D7033D"/>
    <w:rsid w:val="00D711EF"/>
    <w:rsid w:val="00D71574"/>
    <w:rsid w:val="00D71A50"/>
    <w:rsid w:val="00D748C0"/>
    <w:rsid w:val="00D74A81"/>
    <w:rsid w:val="00D75327"/>
    <w:rsid w:val="00D757D4"/>
    <w:rsid w:val="00D75D2C"/>
    <w:rsid w:val="00D764D7"/>
    <w:rsid w:val="00D769EB"/>
    <w:rsid w:val="00D77211"/>
    <w:rsid w:val="00D77282"/>
    <w:rsid w:val="00D80B44"/>
    <w:rsid w:val="00D80B74"/>
    <w:rsid w:val="00D80FC1"/>
    <w:rsid w:val="00D81F86"/>
    <w:rsid w:val="00D82021"/>
    <w:rsid w:val="00D82836"/>
    <w:rsid w:val="00D82D60"/>
    <w:rsid w:val="00D8465E"/>
    <w:rsid w:val="00D8559F"/>
    <w:rsid w:val="00D85814"/>
    <w:rsid w:val="00D85C96"/>
    <w:rsid w:val="00D8624F"/>
    <w:rsid w:val="00D863CE"/>
    <w:rsid w:val="00D86833"/>
    <w:rsid w:val="00D86860"/>
    <w:rsid w:val="00D86AFC"/>
    <w:rsid w:val="00D91827"/>
    <w:rsid w:val="00D91ACA"/>
    <w:rsid w:val="00D91E16"/>
    <w:rsid w:val="00D92521"/>
    <w:rsid w:val="00D92B88"/>
    <w:rsid w:val="00D92F03"/>
    <w:rsid w:val="00D93827"/>
    <w:rsid w:val="00D9417F"/>
    <w:rsid w:val="00D94768"/>
    <w:rsid w:val="00D9489F"/>
    <w:rsid w:val="00D95EF5"/>
    <w:rsid w:val="00D96CFF"/>
    <w:rsid w:val="00D97B1E"/>
    <w:rsid w:val="00D97DDE"/>
    <w:rsid w:val="00DA0A51"/>
    <w:rsid w:val="00DA2970"/>
    <w:rsid w:val="00DA2FDD"/>
    <w:rsid w:val="00DA68B4"/>
    <w:rsid w:val="00DA6CE8"/>
    <w:rsid w:val="00DA6E91"/>
    <w:rsid w:val="00DA73D7"/>
    <w:rsid w:val="00DB003E"/>
    <w:rsid w:val="00DB1599"/>
    <w:rsid w:val="00DB3067"/>
    <w:rsid w:val="00DB49EA"/>
    <w:rsid w:val="00DB4F0A"/>
    <w:rsid w:val="00DB4FC0"/>
    <w:rsid w:val="00DB569E"/>
    <w:rsid w:val="00DB5A4C"/>
    <w:rsid w:val="00DB5E6D"/>
    <w:rsid w:val="00DB5F3D"/>
    <w:rsid w:val="00DB5F4E"/>
    <w:rsid w:val="00DB689E"/>
    <w:rsid w:val="00DB6DC0"/>
    <w:rsid w:val="00DC026A"/>
    <w:rsid w:val="00DC09C2"/>
    <w:rsid w:val="00DC11E8"/>
    <w:rsid w:val="00DC1938"/>
    <w:rsid w:val="00DC1A85"/>
    <w:rsid w:val="00DC1E0B"/>
    <w:rsid w:val="00DC2C67"/>
    <w:rsid w:val="00DC393F"/>
    <w:rsid w:val="00DC5442"/>
    <w:rsid w:val="00DC553E"/>
    <w:rsid w:val="00DC5807"/>
    <w:rsid w:val="00DC65FA"/>
    <w:rsid w:val="00DC78E6"/>
    <w:rsid w:val="00DD1892"/>
    <w:rsid w:val="00DD2E97"/>
    <w:rsid w:val="00DD3C28"/>
    <w:rsid w:val="00DD4A5D"/>
    <w:rsid w:val="00DD4C6C"/>
    <w:rsid w:val="00DD4CAA"/>
    <w:rsid w:val="00DD4DBA"/>
    <w:rsid w:val="00DD6065"/>
    <w:rsid w:val="00DD6165"/>
    <w:rsid w:val="00DD63A6"/>
    <w:rsid w:val="00DD7E9D"/>
    <w:rsid w:val="00DE0397"/>
    <w:rsid w:val="00DE063A"/>
    <w:rsid w:val="00DE100B"/>
    <w:rsid w:val="00DE106C"/>
    <w:rsid w:val="00DE1C40"/>
    <w:rsid w:val="00DE1CE3"/>
    <w:rsid w:val="00DE32E6"/>
    <w:rsid w:val="00DE378B"/>
    <w:rsid w:val="00DE3D85"/>
    <w:rsid w:val="00DE3F2F"/>
    <w:rsid w:val="00DE42B9"/>
    <w:rsid w:val="00DE46E9"/>
    <w:rsid w:val="00DE473C"/>
    <w:rsid w:val="00DE49FB"/>
    <w:rsid w:val="00DE5016"/>
    <w:rsid w:val="00DE523B"/>
    <w:rsid w:val="00DE55CC"/>
    <w:rsid w:val="00DE577E"/>
    <w:rsid w:val="00DE6D60"/>
    <w:rsid w:val="00DE7085"/>
    <w:rsid w:val="00DE7120"/>
    <w:rsid w:val="00DE7485"/>
    <w:rsid w:val="00DE7862"/>
    <w:rsid w:val="00DE7A36"/>
    <w:rsid w:val="00DF0014"/>
    <w:rsid w:val="00DF0359"/>
    <w:rsid w:val="00DF0445"/>
    <w:rsid w:val="00DF17EE"/>
    <w:rsid w:val="00DF19B9"/>
    <w:rsid w:val="00DF2847"/>
    <w:rsid w:val="00DF2BBE"/>
    <w:rsid w:val="00DF334D"/>
    <w:rsid w:val="00DF4B0C"/>
    <w:rsid w:val="00DF588B"/>
    <w:rsid w:val="00DF5B12"/>
    <w:rsid w:val="00DF5E0B"/>
    <w:rsid w:val="00DF6B84"/>
    <w:rsid w:val="00DF7530"/>
    <w:rsid w:val="00DF7BEB"/>
    <w:rsid w:val="00E004B0"/>
    <w:rsid w:val="00E01130"/>
    <w:rsid w:val="00E012BF"/>
    <w:rsid w:val="00E01831"/>
    <w:rsid w:val="00E01FDC"/>
    <w:rsid w:val="00E02F72"/>
    <w:rsid w:val="00E036D4"/>
    <w:rsid w:val="00E038B5"/>
    <w:rsid w:val="00E043D2"/>
    <w:rsid w:val="00E04847"/>
    <w:rsid w:val="00E04AD3"/>
    <w:rsid w:val="00E05373"/>
    <w:rsid w:val="00E056FF"/>
    <w:rsid w:val="00E05F5F"/>
    <w:rsid w:val="00E06985"/>
    <w:rsid w:val="00E06ACA"/>
    <w:rsid w:val="00E06EFD"/>
    <w:rsid w:val="00E07A82"/>
    <w:rsid w:val="00E1157F"/>
    <w:rsid w:val="00E1314E"/>
    <w:rsid w:val="00E13884"/>
    <w:rsid w:val="00E1414D"/>
    <w:rsid w:val="00E14674"/>
    <w:rsid w:val="00E149AC"/>
    <w:rsid w:val="00E15828"/>
    <w:rsid w:val="00E15D2D"/>
    <w:rsid w:val="00E16355"/>
    <w:rsid w:val="00E16BE6"/>
    <w:rsid w:val="00E17011"/>
    <w:rsid w:val="00E17192"/>
    <w:rsid w:val="00E20869"/>
    <w:rsid w:val="00E20A49"/>
    <w:rsid w:val="00E211E0"/>
    <w:rsid w:val="00E216ED"/>
    <w:rsid w:val="00E2172D"/>
    <w:rsid w:val="00E219D3"/>
    <w:rsid w:val="00E222C7"/>
    <w:rsid w:val="00E22B62"/>
    <w:rsid w:val="00E235B8"/>
    <w:rsid w:val="00E236F7"/>
    <w:rsid w:val="00E23E72"/>
    <w:rsid w:val="00E23EA4"/>
    <w:rsid w:val="00E2429C"/>
    <w:rsid w:val="00E24BC3"/>
    <w:rsid w:val="00E25514"/>
    <w:rsid w:val="00E25739"/>
    <w:rsid w:val="00E25BDE"/>
    <w:rsid w:val="00E25F63"/>
    <w:rsid w:val="00E26F03"/>
    <w:rsid w:val="00E30975"/>
    <w:rsid w:val="00E32027"/>
    <w:rsid w:val="00E32037"/>
    <w:rsid w:val="00E32198"/>
    <w:rsid w:val="00E33340"/>
    <w:rsid w:val="00E3335F"/>
    <w:rsid w:val="00E34089"/>
    <w:rsid w:val="00E344F4"/>
    <w:rsid w:val="00E35019"/>
    <w:rsid w:val="00E35E3E"/>
    <w:rsid w:val="00E379C4"/>
    <w:rsid w:val="00E37AEF"/>
    <w:rsid w:val="00E37F69"/>
    <w:rsid w:val="00E405E1"/>
    <w:rsid w:val="00E40AF8"/>
    <w:rsid w:val="00E40C6B"/>
    <w:rsid w:val="00E40E26"/>
    <w:rsid w:val="00E42157"/>
    <w:rsid w:val="00E441BE"/>
    <w:rsid w:val="00E44639"/>
    <w:rsid w:val="00E4467E"/>
    <w:rsid w:val="00E446F0"/>
    <w:rsid w:val="00E44A6A"/>
    <w:rsid w:val="00E44BBB"/>
    <w:rsid w:val="00E45586"/>
    <w:rsid w:val="00E458AC"/>
    <w:rsid w:val="00E4635B"/>
    <w:rsid w:val="00E468AB"/>
    <w:rsid w:val="00E46ABC"/>
    <w:rsid w:val="00E50870"/>
    <w:rsid w:val="00E50E95"/>
    <w:rsid w:val="00E50EB3"/>
    <w:rsid w:val="00E50EE2"/>
    <w:rsid w:val="00E511C2"/>
    <w:rsid w:val="00E521B0"/>
    <w:rsid w:val="00E52234"/>
    <w:rsid w:val="00E531BB"/>
    <w:rsid w:val="00E53E03"/>
    <w:rsid w:val="00E543D5"/>
    <w:rsid w:val="00E5514B"/>
    <w:rsid w:val="00E55A7D"/>
    <w:rsid w:val="00E55C1F"/>
    <w:rsid w:val="00E55C24"/>
    <w:rsid w:val="00E55D88"/>
    <w:rsid w:val="00E560B9"/>
    <w:rsid w:val="00E564BC"/>
    <w:rsid w:val="00E56711"/>
    <w:rsid w:val="00E56A9D"/>
    <w:rsid w:val="00E56FBF"/>
    <w:rsid w:val="00E570B6"/>
    <w:rsid w:val="00E576C7"/>
    <w:rsid w:val="00E57876"/>
    <w:rsid w:val="00E57B59"/>
    <w:rsid w:val="00E60B7D"/>
    <w:rsid w:val="00E61000"/>
    <w:rsid w:val="00E61278"/>
    <w:rsid w:val="00E61310"/>
    <w:rsid w:val="00E6157F"/>
    <w:rsid w:val="00E61759"/>
    <w:rsid w:val="00E637EC"/>
    <w:rsid w:val="00E66BE5"/>
    <w:rsid w:val="00E67883"/>
    <w:rsid w:val="00E67AA1"/>
    <w:rsid w:val="00E700AE"/>
    <w:rsid w:val="00E701AC"/>
    <w:rsid w:val="00E71531"/>
    <w:rsid w:val="00E71DE3"/>
    <w:rsid w:val="00E724F0"/>
    <w:rsid w:val="00E72572"/>
    <w:rsid w:val="00E72B72"/>
    <w:rsid w:val="00E7305E"/>
    <w:rsid w:val="00E74161"/>
    <w:rsid w:val="00E7479F"/>
    <w:rsid w:val="00E7597E"/>
    <w:rsid w:val="00E76258"/>
    <w:rsid w:val="00E76272"/>
    <w:rsid w:val="00E771C1"/>
    <w:rsid w:val="00E77B10"/>
    <w:rsid w:val="00E77B97"/>
    <w:rsid w:val="00E803F2"/>
    <w:rsid w:val="00E80571"/>
    <w:rsid w:val="00E810E9"/>
    <w:rsid w:val="00E824B0"/>
    <w:rsid w:val="00E82DCC"/>
    <w:rsid w:val="00E83701"/>
    <w:rsid w:val="00E84BF6"/>
    <w:rsid w:val="00E85278"/>
    <w:rsid w:val="00E863BA"/>
    <w:rsid w:val="00E865A8"/>
    <w:rsid w:val="00E87551"/>
    <w:rsid w:val="00E875B7"/>
    <w:rsid w:val="00E905DA"/>
    <w:rsid w:val="00E91355"/>
    <w:rsid w:val="00E916CD"/>
    <w:rsid w:val="00E918D2"/>
    <w:rsid w:val="00E91B2F"/>
    <w:rsid w:val="00E91CDD"/>
    <w:rsid w:val="00E93545"/>
    <w:rsid w:val="00E93FAC"/>
    <w:rsid w:val="00E946C9"/>
    <w:rsid w:val="00E948AC"/>
    <w:rsid w:val="00E94E22"/>
    <w:rsid w:val="00E954BA"/>
    <w:rsid w:val="00E95DC6"/>
    <w:rsid w:val="00E96228"/>
    <w:rsid w:val="00E96E14"/>
    <w:rsid w:val="00EA0F31"/>
    <w:rsid w:val="00EA0F71"/>
    <w:rsid w:val="00EA100B"/>
    <w:rsid w:val="00EA1EA1"/>
    <w:rsid w:val="00EA2412"/>
    <w:rsid w:val="00EA34ED"/>
    <w:rsid w:val="00EA51BF"/>
    <w:rsid w:val="00EA73BE"/>
    <w:rsid w:val="00EA79A4"/>
    <w:rsid w:val="00EA7A2A"/>
    <w:rsid w:val="00EA7D59"/>
    <w:rsid w:val="00EA7D6F"/>
    <w:rsid w:val="00EB0A4B"/>
    <w:rsid w:val="00EB0D74"/>
    <w:rsid w:val="00EB0F25"/>
    <w:rsid w:val="00EB227B"/>
    <w:rsid w:val="00EB22A0"/>
    <w:rsid w:val="00EB260B"/>
    <w:rsid w:val="00EB3322"/>
    <w:rsid w:val="00EB4378"/>
    <w:rsid w:val="00EB4432"/>
    <w:rsid w:val="00EB4C39"/>
    <w:rsid w:val="00EB6EDD"/>
    <w:rsid w:val="00EB7756"/>
    <w:rsid w:val="00EC0541"/>
    <w:rsid w:val="00EC0F9C"/>
    <w:rsid w:val="00EC12D9"/>
    <w:rsid w:val="00EC1E14"/>
    <w:rsid w:val="00EC3333"/>
    <w:rsid w:val="00EC3451"/>
    <w:rsid w:val="00EC3A5D"/>
    <w:rsid w:val="00EC4276"/>
    <w:rsid w:val="00EC48AB"/>
    <w:rsid w:val="00EC4CAB"/>
    <w:rsid w:val="00EC5E4E"/>
    <w:rsid w:val="00EC7EA1"/>
    <w:rsid w:val="00ED078E"/>
    <w:rsid w:val="00ED0ACE"/>
    <w:rsid w:val="00ED1E40"/>
    <w:rsid w:val="00ED484F"/>
    <w:rsid w:val="00ED4977"/>
    <w:rsid w:val="00ED4F70"/>
    <w:rsid w:val="00ED5301"/>
    <w:rsid w:val="00ED5420"/>
    <w:rsid w:val="00ED5EDF"/>
    <w:rsid w:val="00ED62B2"/>
    <w:rsid w:val="00ED7B54"/>
    <w:rsid w:val="00EE09E1"/>
    <w:rsid w:val="00EE0BF6"/>
    <w:rsid w:val="00EE1854"/>
    <w:rsid w:val="00EE237C"/>
    <w:rsid w:val="00EE28D7"/>
    <w:rsid w:val="00EE2A58"/>
    <w:rsid w:val="00EE3232"/>
    <w:rsid w:val="00EE41C8"/>
    <w:rsid w:val="00EE53BB"/>
    <w:rsid w:val="00EE5DDD"/>
    <w:rsid w:val="00EE6164"/>
    <w:rsid w:val="00EE70C6"/>
    <w:rsid w:val="00EE7275"/>
    <w:rsid w:val="00EF01D9"/>
    <w:rsid w:val="00EF0981"/>
    <w:rsid w:val="00EF1129"/>
    <w:rsid w:val="00EF1AD1"/>
    <w:rsid w:val="00EF35A2"/>
    <w:rsid w:val="00EF35E7"/>
    <w:rsid w:val="00EF3D87"/>
    <w:rsid w:val="00EF3EBA"/>
    <w:rsid w:val="00EF465B"/>
    <w:rsid w:val="00EF4690"/>
    <w:rsid w:val="00EF5130"/>
    <w:rsid w:val="00EF531B"/>
    <w:rsid w:val="00EF5440"/>
    <w:rsid w:val="00EF6576"/>
    <w:rsid w:val="00EF74D3"/>
    <w:rsid w:val="00F00447"/>
    <w:rsid w:val="00F01974"/>
    <w:rsid w:val="00F01B58"/>
    <w:rsid w:val="00F02634"/>
    <w:rsid w:val="00F02EC5"/>
    <w:rsid w:val="00F03386"/>
    <w:rsid w:val="00F03551"/>
    <w:rsid w:val="00F05B00"/>
    <w:rsid w:val="00F06D88"/>
    <w:rsid w:val="00F06E41"/>
    <w:rsid w:val="00F0700B"/>
    <w:rsid w:val="00F07B3A"/>
    <w:rsid w:val="00F07E22"/>
    <w:rsid w:val="00F10400"/>
    <w:rsid w:val="00F10576"/>
    <w:rsid w:val="00F10F99"/>
    <w:rsid w:val="00F111B1"/>
    <w:rsid w:val="00F122A1"/>
    <w:rsid w:val="00F147E5"/>
    <w:rsid w:val="00F1580E"/>
    <w:rsid w:val="00F15878"/>
    <w:rsid w:val="00F16620"/>
    <w:rsid w:val="00F171C0"/>
    <w:rsid w:val="00F17921"/>
    <w:rsid w:val="00F17D47"/>
    <w:rsid w:val="00F203C1"/>
    <w:rsid w:val="00F20666"/>
    <w:rsid w:val="00F207E9"/>
    <w:rsid w:val="00F215AF"/>
    <w:rsid w:val="00F22138"/>
    <w:rsid w:val="00F237CE"/>
    <w:rsid w:val="00F24078"/>
    <w:rsid w:val="00F24978"/>
    <w:rsid w:val="00F24F62"/>
    <w:rsid w:val="00F25BC4"/>
    <w:rsid w:val="00F25E67"/>
    <w:rsid w:val="00F264E4"/>
    <w:rsid w:val="00F26C54"/>
    <w:rsid w:val="00F30392"/>
    <w:rsid w:val="00F30D92"/>
    <w:rsid w:val="00F31376"/>
    <w:rsid w:val="00F319A0"/>
    <w:rsid w:val="00F31FF6"/>
    <w:rsid w:val="00F321B0"/>
    <w:rsid w:val="00F323D0"/>
    <w:rsid w:val="00F32B76"/>
    <w:rsid w:val="00F33867"/>
    <w:rsid w:val="00F33D5D"/>
    <w:rsid w:val="00F34ECE"/>
    <w:rsid w:val="00F35867"/>
    <w:rsid w:val="00F369BE"/>
    <w:rsid w:val="00F36C06"/>
    <w:rsid w:val="00F36D22"/>
    <w:rsid w:val="00F42061"/>
    <w:rsid w:val="00F4221C"/>
    <w:rsid w:val="00F43745"/>
    <w:rsid w:val="00F43F57"/>
    <w:rsid w:val="00F440D7"/>
    <w:rsid w:val="00F449AD"/>
    <w:rsid w:val="00F449F2"/>
    <w:rsid w:val="00F46F1D"/>
    <w:rsid w:val="00F47A00"/>
    <w:rsid w:val="00F50D8B"/>
    <w:rsid w:val="00F515FB"/>
    <w:rsid w:val="00F51C8A"/>
    <w:rsid w:val="00F51E24"/>
    <w:rsid w:val="00F523FB"/>
    <w:rsid w:val="00F5241D"/>
    <w:rsid w:val="00F528A7"/>
    <w:rsid w:val="00F52B1A"/>
    <w:rsid w:val="00F52D65"/>
    <w:rsid w:val="00F53E94"/>
    <w:rsid w:val="00F54417"/>
    <w:rsid w:val="00F54570"/>
    <w:rsid w:val="00F54AC6"/>
    <w:rsid w:val="00F54DCB"/>
    <w:rsid w:val="00F54FB8"/>
    <w:rsid w:val="00F56160"/>
    <w:rsid w:val="00F56771"/>
    <w:rsid w:val="00F57340"/>
    <w:rsid w:val="00F5734D"/>
    <w:rsid w:val="00F5752F"/>
    <w:rsid w:val="00F606B3"/>
    <w:rsid w:val="00F60F23"/>
    <w:rsid w:val="00F61CC8"/>
    <w:rsid w:val="00F64024"/>
    <w:rsid w:val="00F649A5"/>
    <w:rsid w:val="00F6597D"/>
    <w:rsid w:val="00F65FEC"/>
    <w:rsid w:val="00F67C7E"/>
    <w:rsid w:val="00F705B0"/>
    <w:rsid w:val="00F709E8"/>
    <w:rsid w:val="00F73F52"/>
    <w:rsid w:val="00F74128"/>
    <w:rsid w:val="00F74537"/>
    <w:rsid w:val="00F752BF"/>
    <w:rsid w:val="00F76272"/>
    <w:rsid w:val="00F76B99"/>
    <w:rsid w:val="00F76C6A"/>
    <w:rsid w:val="00F77C69"/>
    <w:rsid w:val="00F77D2A"/>
    <w:rsid w:val="00F77E50"/>
    <w:rsid w:val="00F77E84"/>
    <w:rsid w:val="00F77EA7"/>
    <w:rsid w:val="00F804F7"/>
    <w:rsid w:val="00F80610"/>
    <w:rsid w:val="00F814EE"/>
    <w:rsid w:val="00F815C0"/>
    <w:rsid w:val="00F817FA"/>
    <w:rsid w:val="00F829C1"/>
    <w:rsid w:val="00F84765"/>
    <w:rsid w:val="00F84C7D"/>
    <w:rsid w:val="00F84F54"/>
    <w:rsid w:val="00F853EC"/>
    <w:rsid w:val="00F85EA7"/>
    <w:rsid w:val="00F8600A"/>
    <w:rsid w:val="00F861F7"/>
    <w:rsid w:val="00F86B2C"/>
    <w:rsid w:val="00F874BA"/>
    <w:rsid w:val="00F87A42"/>
    <w:rsid w:val="00F91695"/>
    <w:rsid w:val="00F916C2"/>
    <w:rsid w:val="00F91804"/>
    <w:rsid w:val="00F91A31"/>
    <w:rsid w:val="00F93837"/>
    <w:rsid w:val="00F93DBE"/>
    <w:rsid w:val="00F94C6F"/>
    <w:rsid w:val="00F9504F"/>
    <w:rsid w:val="00F962C0"/>
    <w:rsid w:val="00F977A8"/>
    <w:rsid w:val="00F97C8E"/>
    <w:rsid w:val="00FA02DE"/>
    <w:rsid w:val="00FA11B1"/>
    <w:rsid w:val="00FA1346"/>
    <w:rsid w:val="00FA1618"/>
    <w:rsid w:val="00FA214A"/>
    <w:rsid w:val="00FA2531"/>
    <w:rsid w:val="00FA311E"/>
    <w:rsid w:val="00FA3936"/>
    <w:rsid w:val="00FA5383"/>
    <w:rsid w:val="00FA5EE9"/>
    <w:rsid w:val="00FA6EE0"/>
    <w:rsid w:val="00FA73BB"/>
    <w:rsid w:val="00FB0392"/>
    <w:rsid w:val="00FB0A32"/>
    <w:rsid w:val="00FB373A"/>
    <w:rsid w:val="00FB3F96"/>
    <w:rsid w:val="00FB51B7"/>
    <w:rsid w:val="00FB557F"/>
    <w:rsid w:val="00FB6613"/>
    <w:rsid w:val="00FB6CF7"/>
    <w:rsid w:val="00FB7EFC"/>
    <w:rsid w:val="00FC01C9"/>
    <w:rsid w:val="00FC03AE"/>
    <w:rsid w:val="00FC1769"/>
    <w:rsid w:val="00FC1987"/>
    <w:rsid w:val="00FC3857"/>
    <w:rsid w:val="00FC3E4A"/>
    <w:rsid w:val="00FC416C"/>
    <w:rsid w:val="00FC53D0"/>
    <w:rsid w:val="00FC6F4C"/>
    <w:rsid w:val="00FD03A9"/>
    <w:rsid w:val="00FD08B6"/>
    <w:rsid w:val="00FD0FDF"/>
    <w:rsid w:val="00FD10A3"/>
    <w:rsid w:val="00FD1C89"/>
    <w:rsid w:val="00FD2DFA"/>
    <w:rsid w:val="00FD3AC2"/>
    <w:rsid w:val="00FD4651"/>
    <w:rsid w:val="00FD56DA"/>
    <w:rsid w:val="00FD57A1"/>
    <w:rsid w:val="00FD5DC9"/>
    <w:rsid w:val="00FE02FC"/>
    <w:rsid w:val="00FE0770"/>
    <w:rsid w:val="00FE0963"/>
    <w:rsid w:val="00FE0EED"/>
    <w:rsid w:val="00FE1878"/>
    <w:rsid w:val="00FE1C4F"/>
    <w:rsid w:val="00FE25EF"/>
    <w:rsid w:val="00FE2CED"/>
    <w:rsid w:val="00FE3926"/>
    <w:rsid w:val="00FE39C3"/>
    <w:rsid w:val="00FE42CA"/>
    <w:rsid w:val="00FE4EF0"/>
    <w:rsid w:val="00FE509C"/>
    <w:rsid w:val="00FE5A60"/>
    <w:rsid w:val="00FE6D78"/>
    <w:rsid w:val="00FE76CD"/>
    <w:rsid w:val="00FE78D2"/>
    <w:rsid w:val="00FE7F58"/>
    <w:rsid w:val="00FF0101"/>
    <w:rsid w:val="00FF02DF"/>
    <w:rsid w:val="00FF0469"/>
    <w:rsid w:val="00FF2AEE"/>
    <w:rsid w:val="00FF2E26"/>
    <w:rsid w:val="00FF2F05"/>
    <w:rsid w:val="00FF31C2"/>
    <w:rsid w:val="00FF4263"/>
    <w:rsid w:val="00FF426C"/>
    <w:rsid w:val="00FF5135"/>
    <w:rsid w:val="00FF58BE"/>
    <w:rsid w:val="00FF6E3D"/>
    <w:rsid w:val="00FF75FA"/>
    <w:rsid w:val="00FF7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D3A"/>
    <w:pPr>
      <w:ind w:firstLine="539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1B6F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1B6F"/>
    <w:pPr>
      <w:keepNext/>
      <w:numPr>
        <w:ilvl w:val="1"/>
        <w:numId w:val="1"/>
      </w:numPr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4B388A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388A"/>
    <w:pPr>
      <w:keepNext/>
      <w:numPr>
        <w:ilvl w:val="3"/>
        <w:numId w:val="1"/>
      </w:numPr>
      <w:tabs>
        <w:tab w:val="left" w:leader="dot" w:pos="567"/>
      </w:tabs>
      <w:spacing w:before="240"/>
      <w:jc w:val="left"/>
      <w:outlineLvl w:val="3"/>
    </w:pPr>
    <w:rPr>
      <w:rFonts w:cs="Arial"/>
      <w:b/>
      <w:sz w:val="24"/>
    </w:rPr>
  </w:style>
  <w:style w:type="paragraph" w:styleId="Nadpis5">
    <w:name w:val="heading 5"/>
    <w:basedOn w:val="Normln"/>
    <w:next w:val="Normln"/>
    <w:qFormat/>
    <w:rsid w:val="00571B6F"/>
    <w:pPr>
      <w:numPr>
        <w:ilvl w:val="4"/>
        <w:numId w:val="1"/>
      </w:numPr>
      <w:spacing w:before="240" w:after="60"/>
      <w:outlineLvl w:val="4"/>
    </w:pPr>
    <w:rPr>
      <w:b/>
      <w:bCs/>
      <w:szCs w:val="26"/>
    </w:rPr>
  </w:style>
  <w:style w:type="paragraph" w:styleId="Nadpis6">
    <w:name w:val="heading 6"/>
    <w:basedOn w:val="Normln"/>
    <w:next w:val="Normln"/>
    <w:qFormat/>
    <w:rsid w:val="00571B6F"/>
    <w:pPr>
      <w:numPr>
        <w:ilvl w:val="5"/>
        <w:numId w:val="2"/>
      </w:numPr>
      <w:spacing w:before="240" w:after="60"/>
      <w:outlineLvl w:val="5"/>
    </w:pPr>
    <w:rPr>
      <w:b/>
      <w:bCs/>
      <w:i/>
      <w:iCs/>
      <w:szCs w:val="22"/>
    </w:rPr>
  </w:style>
  <w:style w:type="paragraph" w:styleId="Nadpis7">
    <w:name w:val="heading 7"/>
    <w:basedOn w:val="Normln"/>
    <w:next w:val="Normln"/>
    <w:qFormat/>
    <w:rsid w:val="00571B6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1B6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71B6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B6F"/>
  </w:style>
  <w:style w:type="paragraph" w:styleId="Zhlav">
    <w:name w:val="header"/>
    <w:basedOn w:val="Normln"/>
    <w:link w:val="ZhlavChar"/>
    <w:semiHidden/>
    <w:rsid w:val="00571B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1B6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71B6F"/>
    <w:rPr>
      <w:color w:val="0000FF"/>
      <w:u w:val="single"/>
    </w:rPr>
  </w:style>
  <w:style w:type="character" w:styleId="slostrnky">
    <w:name w:val="page number"/>
    <w:basedOn w:val="Standardnpsmoodstavce"/>
    <w:semiHidden/>
    <w:rsid w:val="00571B6F"/>
  </w:style>
  <w:style w:type="character" w:styleId="Sledovanodkaz">
    <w:name w:val="FollowedHyperlink"/>
    <w:basedOn w:val="Standardnpsmoodstavce"/>
    <w:semiHidden/>
    <w:rsid w:val="00571B6F"/>
    <w:rPr>
      <w:color w:val="800080"/>
      <w:u w:val="single"/>
    </w:rPr>
  </w:style>
  <w:style w:type="paragraph" w:styleId="Zkladntext">
    <w:name w:val="Body Text"/>
    <w:basedOn w:val="Normln"/>
    <w:semiHidden/>
    <w:rsid w:val="00571B6F"/>
    <w:rPr>
      <w:rFonts w:cs="Arial"/>
      <w:i/>
    </w:rPr>
  </w:style>
  <w:style w:type="paragraph" w:styleId="Zkladntextodsazen">
    <w:name w:val="Body Text Indent"/>
    <w:basedOn w:val="Normln"/>
    <w:link w:val="ZkladntextodsazenChar"/>
    <w:semiHidden/>
    <w:rsid w:val="00571B6F"/>
    <w:pPr>
      <w:spacing w:after="120"/>
      <w:ind w:firstLine="720"/>
    </w:pPr>
  </w:style>
  <w:style w:type="paragraph" w:styleId="Textpoznpodarou">
    <w:name w:val="footnote text"/>
    <w:basedOn w:val="Normln"/>
    <w:link w:val="TextpoznpodarouChar"/>
    <w:uiPriority w:val="99"/>
    <w:rsid w:val="00571B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71B6F"/>
    <w:rPr>
      <w:vertAlign w:val="superscript"/>
    </w:rPr>
  </w:style>
  <w:style w:type="paragraph" w:customStyle="1" w:styleId="BodyText31">
    <w:name w:val="Body Text 31"/>
    <w:basedOn w:val="Normln"/>
    <w:rsid w:val="00571B6F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Zkladntext2">
    <w:name w:val="Body Text 2"/>
    <w:basedOn w:val="Normln"/>
    <w:semiHidden/>
    <w:rsid w:val="00571B6F"/>
    <w:rPr>
      <w:rFonts w:cs="Arial"/>
      <w:lang w:eastAsia="cs-CZ"/>
    </w:rPr>
  </w:style>
  <w:style w:type="paragraph" w:styleId="Zkladntext3">
    <w:name w:val="Body Text 3"/>
    <w:basedOn w:val="Normln"/>
    <w:semiHidden/>
    <w:rsid w:val="00571B6F"/>
    <w:rPr>
      <w:rFonts w:cs="Arial"/>
      <w:lang w:eastAsia="cs-CZ"/>
    </w:rPr>
  </w:style>
  <w:style w:type="paragraph" w:customStyle="1" w:styleId="citace">
    <w:name w:val="citace"/>
    <w:basedOn w:val="Normln"/>
    <w:next w:val="Normln"/>
    <w:rsid w:val="00571B6F"/>
    <w:pPr>
      <w:spacing w:after="120"/>
      <w:ind w:firstLine="720"/>
    </w:pPr>
    <w:rPr>
      <w:i/>
    </w:rPr>
  </w:style>
  <w:style w:type="paragraph" w:styleId="Zkladntextodsazen2">
    <w:name w:val="Body Text Indent 2"/>
    <w:basedOn w:val="Normln"/>
    <w:semiHidden/>
    <w:rsid w:val="00571B6F"/>
    <w:pPr>
      <w:ind w:left="470" w:firstLine="180"/>
    </w:pPr>
    <w:rPr>
      <w:b/>
      <w:bCs/>
      <w:sz w:val="20"/>
    </w:rPr>
  </w:style>
  <w:style w:type="paragraph" w:styleId="Zkladntextodsazen3">
    <w:name w:val="Body Text Indent 3"/>
    <w:basedOn w:val="Normln"/>
    <w:semiHidden/>
    <w:rsid w:val="00571B6F"/>
    <w:pPr>
      <w:ind w:firstLine="720"/>
    </w:pPr>
  </w:style>
  <w:style w:type="paragraph" w:styleId="Nzev">
    <w:name w:val="Title"/>
    <w:basedOn w:val="Normln"/>
    <w:link w:val="NzevChar"/>
    <w:uiPriority w:val="10"/>
    <w:qFormat/>
    <w:rsid w:val="00571B6F"/>
    <w:pPr>
      <w:jc w:val="center"/>
    </w:pPr>
    <w:rPr>
      <w:b/>
      <w:bCs/>
      <w:sz w:val="28"/>
    </w:rPr>
  </w:style>
  <w:style w:type="paragraph" w:styleId="Citt">
    <w:name w:val="Quote"/>
    <w:basedOn w:val="Normln"/>
    <w:next w:val="Normln"/>
    <w:link w:val="CittChar"/>
    <w:qFormat/>
    <w:rsid w:val="00571B6F"/>
    <w:pPr>
      <w:spacing w:before="120" w:after="120"/>
    </w:pPr>
    <w:rPr>
      <w:i/>
      <w:iCs/>
    </w:rPr>
  </w:style>
  <w:style w:type="paragraph" w:customStyle="1" w:styleId="Normln0">
    <w:name w:val="Norm‡ln’"/>
    <w:rsid w:val="00571B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ulek">
    <w:name w:val="caption"/>
    <w:basedOn w:val="Normln"/>
    <w:next w:val="Normln"/>
    <w:uiPriority w:val="35"/>
    <w:qFormat/>
    <w:rsid w:val="00571B6F"/>
    <w:pPr>
      <w:spacing w:before="120" w:after="120"/>
      <w:ind w:firstLine="0"/>
      <w:jc w:val="left"/>
    </w:pPr>
    <w:rPr>
      <w:rFonts w:cs="Arial"/>
      <w:b/>
      <w:bCs/>
      <w:sz w:val="20"/>
      <w:szCs w:val="20"/>
    </w:rPr>
  </w:style>
  <w:style w:type="paragraph" w:customStyle="1" w:styleId="xl23">
    <w:name w:val="xl23"/>
    <w:basedOn w:val="Normln"/>
    <w:rsid w:val="00571B6F"/>
    <w:pPr>
      <w:spacing w:before="100" w:beforeAutospacing="1" w:after="100" w:afterAutospacing="1"/>
      <w:ind w:firstLine="0"/>
    </w:pPr>
    <w:rPr>
      <w:rFonts w:ascii="Times New Roman" w:eastAsia="Arial Unicode MS" w:hAnsi="Times New Roman"/>
      <w:sz w:val="24"/>
      <w:lang w:eastAsia="cs-CZ"/>
    </w:rPr>
  </w:style>
  <w:style w:type="character" w:styleId="Zvraznn">
    <w:name w:val="Emphasis"/>
    <w:basedOn w:val="Standardnpsmoodstavce"/>
    <w:qFormat/>
    <w:rsid w:val="00571B6F"/>
    <w:rPr>
      <w:i/>
      <w:iCs/>
    </w:rPr>
  </w:style>
  <w:style w:type="paragraph" w:customStyle="1" w:styleId="Styl1">
    <w:name w:val="Styl1"/>
    <w:basedOn w:val="Nadpis5"/>
    <w:rsid w:val="00571B6F"/>
  </w:style>
  <w:style w:type="paragraph" w:styleId="Rozloendokumentu">
    <w:name w:val="Document Map"/>
    <w:basedOn w:val="Normln"/>
    <w:semiHidden/>
    <w:rsid w:val="00571B6F"/>
    <w:pPr>
      <w:shd w:val="clear" w:color="auto" w:fill="000080"/>
    </w:pPr>
    <w:rPr>
      <w:rFonts w:ascii="Tahoma" w:hAnsi="Tahoma" w:cs="Tahoma"/>
    </w:rPr>
  </w:style>
  <w:style w:type="paragraph" w:styleId="Seznamsodrkami">
    <w:name w:val="List Bullet"/>
    <w:basedOn w:val="Normln"/>
    <w:autoRedefine/>
    <w:semiHidden/>
    <w:rsid w:val="00AF67D1"/>
    <w:pPr>
      <w:numPr>
        <w:numId w:val="3"/>
      </w:numPr>
      <w:jc w:val="left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9B0308"/>
    <w:rPr>
      <w:rFonts w:ascii="Arial" w:hAnsi="Arial"/>
      <w:b/>
      <w:bCs/>
      <w:sz w:val="28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559D3"/>
    <w:rPr>
      <w:rFonts w:ascii="Arial" w:hAnsi="Arial"/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7D4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05F34"/>
    <w:rPr>
      <w:rFonts w:ascii="Tahoma" w:hAnsi="Tahoma" w:cs="Tahoma"/>
      <w:sz w:val="16"/>
      <w:szCs w:val="16"/>
    </w:rPr>
  </w:style>
  <w:style w:type="paragraph" w:styleId="Seznamsodrkami2">
    <w:name w:val="List Bullet 2"/>
    <w:basedOn w:val="Normln"/>
    <w:uiPriority w:val="99"/>
    <w:semiHidden/>
    <w:unhideWhenUsed/>
    <w:rsid w:val="007D6BB8"/>
    <w:pPr>
      <w:numPr>
        <w:numId w:val="4"/>
      </w:numPr>
      <w:contextualSpacing/>
    </w:p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5F19B6"/>
    <w:pPr>
      <w:ind w:left="720"/>
      <w:contextualSpacing/>
    </w:pPr>
  </w:style>
  <w:style w:type="paragraph" w:styleId="Normlnodsazen">
    <w:name w:val="Normal Indent"/>
    <w:basedOn w:val="Normln"/>
    <w:uiPriority w:val="99"/>
    <w:rsid w:val="00526B89"/>
    <w:pPr>
      <w:spacing w:line="360" w:lineRule="auto"/>
      <w:ind w:firstLine="72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793"/>
    <w:rPr>
      <w:rFonts w:ascii="Arial" w:hAnsi="Arial"/>
      <w:lang w:eastAsia="en-US"/>
    </w:rPr>
  </w:style>
  <w:style w:type="character" w:customStyle="1" w:styleId="Nadpis3Char">
    <w:name w:val="Nadpis 3 Char"/>
    <w:basedOn w:val="Standardnpsmoodstavce"/>
    <w:link w:val="Nadpis3"/>
    <w:rsid w:val="004B388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NormlnKZ">
    <w:name w:val="Normální KZ"/>
    <w:basedOn w:val="Normln"/>
    <w:uiPriority w:val="99"/>
    <w:rsid w:val="007C4C23"/>
    <w:pPr>
      <w:spacing w:after="120"/>
      <w:ind w:firstLine="425"/>
    </w:pPr>
    <w:rPr>
      <w:rFonts w:ascii="Times New Roman" w:hAnsi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F977A8"/>
    <w:rPr>
      <w:rFonts w:ascii="Arial" w:hAnsi="Arial"/>
      <w:b/>
      <w:bCs/>
      <w:sz w:val="32"/>
    </w:rPr>
  </w:style>
  <w:style w:type="character" w:customStyle="1" w:styleId="Nadpis2Char">
    <w:name w:val="Nadpis 2 Char"/>
    <w:basedOn w:val="Standardnpsmoodstavce"/>
    <w:link w:val="Nadpis2"/>
    <w:rsid w:val="00F977A8"/>
    <w:rPr>
      <w:rFonts w:ascii="Arial" w:hAnsi="Arial" w:cs="Arial"/>
      <w:b/>
      <w:sz w:val="28"/>
      <w:szCs w:val="24"/>
      <w:lang w:eastAsia="en-US"/>
    </w:rPr>
  </w:style>
  <w:style w:type="character" w:customStyle="1" w:styleId="CittChar">
    <w:name w:val="Citát Char"/>
    <w:basedOn w:val="Standardnpsmoodstavce"/>
    <w:link w:val="Citt"/>
    <w:rsid w:val="00F977A8"/>
    <w:rPr>
      <w:rFonts w:ascii="Arial" w:hAnsi="Arial"/>
      <w:i/>
      <w:iCs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6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5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58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583"/>
    <w:rPr>
      <w:rFonts w:ascii="Arial" w:hAnsi="Arial"/>
      <w:b/>
      <w:bCs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55C9"/>
    <w:rPr>
      <w:rFonts w:ascii="Arial" w:hAnsi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rsid w:val="00322F9C"/>
    <w:pPr>
      <w:ind w:left="720" w:firstLine="0"/>
      <w:jc w:val="left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224F4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224F4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224F4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224F4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224F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224F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224F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224F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224F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8166BC"/>
    <w:rPr>
      <w:rFonts w:ascii="Arial" w:hAnsi="Arial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14BF4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27A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1F5BC4"/>
    <w:rPr>
      <w:rFonts w:ascii="Arial" w:hAnsi="Arial"/>
      <w:sz w:val="22"/>
      <w:szCs w:val="24"/>
      <w:lang w:eastAsia="en-US"/>
    </w:rPr>
  </w:style>
  <w:style w:type="paragraph" w:styleId="Bezmezer">
    <w:name w:val="No Spacing"/>
    <w:aliases w:val="KP,Bez mezer1,No Spacing"/>
    <w:basedOn w:val="Normln"/>
    <w:uiPriority w:val="1"/>
    <w:qFormat/>
    <w:rsid w:val="00B651A7"/>
    <w:pPr>
      <w:spacing w:after="120"/>
      <w:ind w:firstLine="567"/>
    </w:pPr>
    <w:rPr>
      <w:rFonts w:cs="Arial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semiHidden="0" w:uiPriority="35" w:unhideWhenUsed="0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D2D3A"/>
    <w:pPr>
      <w:ind w:firstLine="539"/>
      <w:jc w:val="both"/>
    </w:pPr>
    <w:rPr>
      <w:rFonts w:ascii="Arial" w:hAnsi="Arial"/>
      <w:sz w:val="22"/>
      <w:szCs w:val="24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571B6F"/>
    <w:pPr>
      <w:keepNext/>
      <w:numPr>
        <w:numId w:val="1"/>
      </w:numPr>
      <w:overflowPunct w:val="0"/>
      <w:autoSpaceDE w:val="0"/>
      <w:autoSpaceDN w:val="0"/>
      <w:adjustRightInd w:val="0"/>
      <w:textAlignment w:val="baseline"/>
      <w:outlineLvl w:val="0"/>
    </w:pPr>
    <w:rPr>
      <w:b/>
      <w:bCs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71B6F"/>
    <w:pPr>
      <w:keepNext/>
      <w:numPr>
        <w:ilvl w:val="1"/>
        <w:numId w:val="1"/>
      </w:numPr>
      <w:outlineLvl w:val="1"/>
    </w:pPr>
    <w:rPr>
      <w:rFonts w:cs="Arial"/>
      <w:b/>
      <w:sz w:val="28"/>
    </w:rPr>
  </w:style>
  <w:style w:type="paragraph" w:styleId="Nadpis3">
    <w:name w:val="heading 3"/>
    <w:basedOn w:val="Normln"/>
    <w:next w:val="Normln"/>
    <w:link w:val="Nadpis3Char"/>
    <w:qFormat/>
    <w:rsid w:val="004B388A"/>
    <w:pPr>
      <w:keepNext/>
      <w:numPr>
        <w:ilvl w:val="2"/>
        <w:numId w:val="1"/>
      </w:numPr>
      <w:outlineLvl w:val="2"/>
    </w:pPr>
    <w:rPr>
      <w:rFonts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4B388A"/>
    <w:pPr>
      <w:keepNext/>
      <w:numPr>
        <w:ilvl w:val="3"/>
        <w:numId w:val="1"/>
      </w:numPr>
      <w:tabs>
        <w:tab w:val="left" w:leader="dot" w:pos="567"/>
      </w:tabs>
      <w:spacing w:before="240"/>
      <w:jc w:val="left"/>
      <w:outlineLvl w:val="3"/>
    </w:pPr>
    <w:rPr>
      <w:rFonts w:cs="Arial"/>
      <w:b/>
      <w:sz w:val="24"/>
    </w:rPr>
  </w:style>
  <w:style w:type="paragraph" w:styleId="Nadpis5">
    <w:name w:val="heading 5"/>
    <w:basedOn w:val="Normln"/>
    <w:next w:val="Normln"/>
    <w:qFormat/>
    <w:rsid w:val="00571B6F"/>
    <w:pPr>
      <w:numPr>
        <w:ilvl w:val="4"/>
        <w:numId w:val="1"/>
      </w:numPr>
      <w:spacing w:before="240" w:after="60"/>
      <w:outlineLvl w:val="4"/>
    </w:pPr>
    <w:rPr>
      <w:b/>
      <w:bCs/>
      <w:szCs w:val="26"/>
    </w:rPr>
  </w:style>
  <w:style w:type="paragraph" w:styleId="Nadpis6">
    <w:name w:val="heading 6"/>
    <w:basedOn w:val="Normln"/>
    <w:next w:val="Normln"/>
    <w:qFormat/>
    <w:rsid w:val="00571B6F"/>
    <w:pPr>
      <w:numPr>
        <w:ilvl w:val="5"/>
        <w:numId w:val="2"/>
      </w:numPr>
      <w:spacing w:before="240" w:after="60"/>
      <w:outlineLvl w:val="5"/>
    </w:pPr>
    <w:rPr>
      <w:b/>
      <w:bCs/>
      <w:i/>
      <w:iCs/>
      <w:szCs w:val="22"/>
    </w:rPr>
  </w:style>
  <w:style w:type="paragraph" w:styleId="Nadpis7">
    <w:name w:val="heading 7"/>
    <w:basedOn w:val="Normln"/>
    <w:next w:val="Normln"/>
    <w:qFormat/>
    <w:rsid w:val="00571B6F"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rsid w:val="00571B6F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rsid w:val="00571B6F"/>
    <w:pPr>
      <w:numPr>
        <w:ilvl w:val="8"/>
        <w:numId w:val="1"/>
      </w:numPr>
      <w:spacing w:before="240" w:after="60"/>
      <w:outlineLvl w:val="8"/>
    </w:pPr>
    <w:rPr>
      <w:rFonts w:cs="Arial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571B6F"/>
  </w:style>
  <w:style w:type="paragraph" w:styleId="Zhlav">
    <w:name w:val="header"/>
    <w:basedOn w:val="Normln"/>
    <w:link w:val="ZhlavChar"/>
    <w:semiHidden/>
    <w:rsid w:val="00571B6F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571B6F"/>
    <w:pPr>
      <w:tabs>
        <w:tab w:val="center" w:pos="4536"/>
        <w:tab w:val="right" w:pos="9072"/>
      </w:tabs>
    </w:pPr>
  </w:style>
  <w:style w:type="character" w:styleId="Hypertextovodkaz">
    <w:name w:val="Hyperlink"/>
    <w:basedOn w:val="Standardnpsmoodstavce"/>
    <w:uiPriority w:val="99"/>
    <w:rsid w:val="00571B6F"/>
    <w:rPr>
      <w:color w:val="0000FF"/>
      <w:u w:val="single"/>
    </w:rPr>
  </w:style>
  <w:style w:type="character" w:styleId="slostrnky">
    <w:name w:val="page number"/>
    <w:basedOn w:val="Standardnpsmoodstavce"/>
    <w:semiHidden/>
    <w:rsid w:val="00571B6F"/>
  </w:style>
  <w:style w:type="character" w:styleId="Sledovanodkaz">
    <w:name w:val="FollowedHyperlink"/>
    <w:basedOn w:val="Standardnpsmoodstavce"/>
    <w:semiHidden/>
    <w:rsid w:val="00571B6F"/>
    <w:rPr>
      <w:color w:val="800080"/>
      <w:u w:val="single"/>
    </w:rPr>
  </w:style>
  <w:style w:type="paragraph" w:styleId="Zkladntext">
    <w:name w:val="Body Text"/>
    <w:basedOn w:val="Normln"/>
    <w:semiHidden/>
    <w:rsid w:val="00571B6F"/>
    <w:rPr>
      <w:rFonts w:cs="Arial"/>
      <w:i/>
    </w:rPr>
  </w:style>
  <w:style w:type="paragraph" w:styleId="Zkladntextodsazen">
    <w:name w:val="Body Text Indent"/>
    <w:basedOn w:val="Normln"/>
    <w:link w:val="ZkladntextodsazenChar"/>
    <w:semiHidden/>
    <w:rsid w:val="00571B6F"/>
    <w:pPr>
      <w:spacing w:after="120"/>
      <w:ind w:firstLine="720"/>
    </w:pPr>
  </w:style>
  <w:style w:type="paragraph" w:styleId="Textpoznpodarou">
    <w:name w:val="footnote text"/>
    <w:basedOn w:val="Normln"/>
    <w:link w:val="TextpoznpodarouChar"/>
    <w:uiPriority w:val="99"/>
    <w:rsid w:val="00571B6F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571B6F"/>
    <w:rPr>
      <w:vertAlign w:val="superscript"/>
    </w:rPr>
  </w:style>
  <w:style w:type="paragraph" w:customStyle="1" w:styleId="BodyText31">
    <w:name w:val="Body Text 31"/>
    <w:basedOn w:val="Normln"/>
    <w:rsid w:val="00571B6F"/>
    <w:pPr>
      <w:overflowPunct w:val="0"/>
      <w:autoSpaceDE w:val="0"/>
      <w:autoSpaceDN w:val="0"/>
      <w:adjustRightInd w:val="0"/>
      <w:textAlignment w:val="baseline"/>
    </w:pPr>
    <w:rPr>
      <w:szCs w:val="20"/>
      <w:lang w:eastAsia="cs-CZ"/>
    </w:rPr>
  </w:style>
  <w:style w:type="paragraph" w:styleId="Zkladntext2">
    <w:name w:val="Body Text 2"/>
    <w:basedOn w:val="Normln"/>
    <w:semiHidden/>
    <w:rsid w:val="00571B6F"/>
    <w:rPr>
      <w:rFonts w:cs="Arial"/>
      <w:lang w:eastAsia="cs-CZ"/>
    </w:rPr>
  </w:style>
  <w:style w:type="paragraph" w:styleId="Zkladntext3">
    <w:name w:val="Body Text 3"/>
    <w:basedOn w:val="Normln"/>
    <w:semiHidden/>
    <w:rsid w:val="00571B6F"/>
    <w:rPr>
      <w:rFonts w:cs="Arial"/>
      <w:lang w:eastAsia="cs-CZ"/>
    </w:rPr>
  </w:style>
  <w:style w:type="paragraph" w:customStyle="1" w:styleId="citace">
    <w:name w:val="citace"/>
    <w:basedOn w:val="Normln"/>
    <w:next w:val="Normln"/>
    <w:rsid w:val="00571B6F"/>
    <w:pPr>
      <w:spacing w:after="120"/>
      <w:ind w:firstLine="720"/>
    </w:pPr>
    <w:rPr>
      <w:i/>
    </w:rPr>
  </w:style>
  <w:style w:type="paragraph" w:styleId="Zkladntextodsazen2">
    <w:name w:val="Body Text Indent 2"/>
    <w:basedOn w:val="Normln"/>
    <w:semiHidden/>
    <w:rsid w:val="00571B6F"/>
    <w:pPr>
      <w:ind w:left="470" w:firstLine="180"/>
    </w:pPr>
    <w:rPr>
      <w:b/>
      <w:bCs/>
      <w:sz w:val="20"/>
    </w:rPr>
  </w:style>
  <w:style w:type="paragraph" w:styleId="Zkladntextodsazen3">
    <w:name w:val="Body Text Indent 3"/>
    <w:basedOn w:val="Normln"/>
    <w:semiHidden/>
    <w:rsid w:val="00571B6F"/>
    <w:pPr>
      <w:ind w:firstLine="720"/>
    </w:pPr>
  </w:style>
  <w:style w:type="paragraph" w:styleId="Nzev">
    <w:name w:val="Title"/>
    <w:basedOn w:val="Normln"/>
    <w:link w:val="NzevChar"/>
    <w:uiPriority w:val="10"/>
    <w:qFormat/>
    <w:rsid w:val="00571B6F"/>
    <w:pPr>
      <w:jc w:val="center"/>
    </w:pPr>
    <w:rPr>
      <w:b/>
      <w:bCs/>
      <w:sz w:val="28"/>
    </w:rPr>
  </w:style>
  <w:style w:type="paragraph" w:styleId="Citt">
    <w:name w:val="Quote"/>
    <w:basedOn w:val="Normln"/>
    <w:next w:val="Normln"/>
    <w:link w:val="CittChar"/>
    <w:qFormat/>
    <w:rsid w:val="00571B6F"/>
    <w:pPr>
      <w:spacing w:before="120" w:after="120"/>
    </w:pPr>
    <w:rPr>
      <w:i/>
      <w:iCs/>
    </w:rPr>
  </w:style>
  <w:style w:type="paragraph" w:customStyle="1" w:styleId="Normln0">
    <w:name w:val="Norm‡ln’"/>
    <w:rsid w:val="00571B6F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itulek">
    <w:name w:val="caption"/>
    <w:basedOn w:val="Normln"/>
    <w:next w:val="Normln"/>
    <w:uiPriority w:val="35"/>
    <w:qFormat/>
    <w:rsid w:val="00571B6F"/>
    <w:pPr>
      <w:spacing w:before="120" w:after="120"/>
      <w:ind w:firstLine="0"/>
      <w:jc w:val="left"/>
    </w:pPr>
    <w:rPr>
      <w:rFonts w:cs="Arial"/>
      <w:b/>
      <w:bCs/>
      <w:sz w:val="20"/>
      <w:szCs w:val="20"/>
    </w:rPr>
  </w:style>
  <w:style w:type="paragraph" w:customStyle="1" w:styleId="xl23">
    <w:name w:val="xl23"/>
    <w:basedOn w:val="Normln"/>
    <w:rsid w:val="00571B6F"/>
    <w:pPr>
      <w:spacing w:before="100" w:beforeAutospacing="1" w:after="100" w:afterAutospacing="1"/>
      <w:ind w:firstLine="0"/>
    </w:pPr>
    <w:rPr>
      <w:rFonts w:ascii="Times New Roman" w:eastAsia="Arial Unicode MS" w:hAnsi="Times New Roman"/>
      <w:sz w:val="24"/>
      <w:lang w:eastAsia="cs-CZ"/>
    </w:rPr>
  </w:style>
  <w:style w:type="character" w:styleId="Zvraznn">
    <w:name w:val="Emphasis"/>
    <w:basedOn w:val="Standardnpsmoodstavce"/>
    <w:qFormat/>
    <w:rsid w:val="00571B6F"/>
    <w:rPr>
      <w:i/>
      <w:iCs/>
    </w:rPr>
  </w:style>
  <w:style w:type="paragraph" w:customStyle="1" w:styleId="Styl1">
    <w:name w:val="Styl1"/>
    <w:basedOn w:val="Nadpis5"/>
    <w:rsid w:val="00571B6F"/>
  </w:style>
  <w:style w:type="paragraph" w:styleId="Rozloendokumentu">
    <w:name w:val="Document Map"/>
    <w:basedOn w:val="Normln"/>
    <w:semiHidden/>
    <w:rsid w:val="00571B6F"/>
    <w:pPr>
      <w:shd w:val="clear" w:color="auto" w:fill="000080"/>
    </w:pPr>
    <w:rPr>
      <w:rFonts w:ascii="Tahoma" w:hAnsi="Tahoma" w:cs="Tahoma"/>
    </w:rPr>
  </w:style>
  <w:style w:type="paragraph" w:styleId="Seznamsodrkami">
    <w:name w:val="List Bullet"/>
    <w:basedOn w:val="Normln"/>
    <w:autoRedefine/>
    <w:semiHidden/>
    <w:rsid w:val="00AF67D1"/>
    <w:pPr>
      <w:numPr>
        <w:numId w:val="3"/>
      </w:numPr>
      <w:jc w:val="left"/>
    </w:pPr>
    <w:rPr>
      <w:rFonts w:ascii="Times New Roman" w:hAnsi="Times New Roman"/>
      <w:sz w:val="24"/>
    </w:rPr>
  </w:style>
  <w:style w:type="character" w:customStyle="1" w:styleId="NzevChar">
    <w:name w:val="Název Char"/>
    <w:basedOn w:val="Standardnpsmoodstavce"/>
    <w:link w:val="Nzev"/>
    <w:uiPriority w:val="10"/>
    <w:locked/>
    <w:rsid w:val="009B0308"/>
    <w:rPr>
      <w:rFonts w:ascii="Arial" w:hAnsi="Arial"/>
      <w:b/>
      <w:bCs/>
      <w:sz w:val="28"/>
      <w:szCs w:val="24"/>
      <w:lang w:eastAsia="en-US"/>
    </w:rPr>
  </w:style>
  <w:style w:type="character" w:customStyle="1" w:styleId="ZhlavChar">
    <w:name w:val="Záhlaví Char"/>
    <w:basedOn w:val="Standardnpsmoodstavce"/>
    <w:link w:val="Zhlav"/>
    <w:semiHidden/>
    <w:locked/>
    <w:rsid w:val="009559D3"/>
    <w:rPr>
      <w:rFonts w:ascii="Arial" w:hAnsi="Arial"/>
      <w:sz w:val="22"/>
      <w:szCs w:val="24"/>
      <w:lang w:eastAsia="en-US"/>
    </w:rPr>
  </w:style>
  <w:style w:type="table" w:styleId="Mkatabulky">
    <w:name w:val="Table Grid"/>
    <w:basedOn w:val="Normlntabulka"/>
    <w:uiPriority w:val="59"/>
    <w:rsid w:val="007D4E4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005F34"/>
    <w:rPr>
      <w:rFonts w:ascii="Tahoma" w:hAnsi="Tahoma" w:cs="Tahoma"/>
      <w:sz w:val="16"/>
      <w:szCs w:val="16"/>
    </w:rPr>
  </w:style>
  <w:style w:type="paragraph" w:styleId="Seznamsodrkami2">
    <w:name w:val="List Bullet 2"/>
    <w:basedOn w:val="Normln"/>
    <w:uiPriority w:val="99"/>
    <w:semiHidden/>
    <w:unhideWhenUsed/>
    <w:rsid w:val="007D6BB8"/>
    <w:pPr>
      <w:numPr>
        <w:numId w:val="4"/>
      </w:numPr>
      <w:contextualSpacing/>
    </w:pPr>
  </w:style>
  <w:style w:type="paragraph" w:styleId="Odstavecseseznamem">
    <w:name w:val="List Paragraph"/>
    <w:aliases w:val="Nadpis pro KZ"/>
    <w:basedOn w:val="Normln"/>
    <w:link w:val="OdstavecseseznamemChar"/>
    <w:uiPriority w:val="34"/>
    <w:qFormat/>
    <w:rsid w:val="005F19B6"/>
    <w:pPr>
      <w:ind w:left="720"/>
      <w:contextualSpacing/>
    </w:pPr>
  </w:style>
  <w:style w:type="paragraph" w:styleId="Normlnodsazen">
    <w:name w:val="Normal Indent"/>
    <w:basedOn w:val="Normln"/>
    <w:uiPriority w:val="99"/>
    <w:rsid w:val="00526B89"/>
    <w:pPr>
      <w:spacing w:line="360" w:lineRule="auto"/>
      <w:ind w:firstLine="720"/>
    </w:p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9D5793"/>
    <w:rPr>
      <w:rFonts w:ascii="Arial" w:hAnsi="Arial"/>
      <w:lang w:eastAsia="en-US"/>
    </w:rPr>
  </w:style>
  <w:style w:type="character" w:customStyle="1" w:styleId="Nadpis3Char">
    <w:name w:val="Nadpis 3 Char"/>
    <w:basedOn w:val="Standardnpsmoodstavce"/>
    <w:link w:val="Nadpis3"/>
    <w:rsid w:val="004B388A"/>
    <w:rPr>
      <w:rFonts w:ascii="Arial" w:hAnsi="Arial" w:cs="Arial"/>
      <w:b/>
      <w:bCs/>
      <w:sz w:val="26"/>
      <w:szCs w:val="26"/>
      <w:lang w:eastAsia="en-US"/>
    </w:rPr>
  </w:style>
  <w:style w:type="paragraph" w:customStyle="1" w:styleId="NormlnKZ">
    <w:name w:val="Normální KZ"/>
    <w:basedOn w:val="Normln"/>
    <w:uiPriority w:val="99"/>
    <w:rsid w:val="007C4C23"/>
    <w:pPr>
      <w:spacing w:after="120"/>
      <w:ind w:firstLine="425"/>
    </w:pPr>
    <w:rPr>
      <w:rFonts w:ascii="Times New Roman" w:hAnsi="Times New Roman"/>
      <w:lang w:eastAsia="cs-CZ"/>
    </w:rPr>
  </w:style>
  <w:style w:type="character" w:customStyle="1" w:styleId="Nadpis1Char">
    <w:name w:val="Nadpis 1 Char"/>
    <w:basedOn w:val="Standardnpsmoodstavce"/>
    <w:link w:val="Nadpis1"/>
    <w:rsid w:val="00F977A8"/>
    <w:rPr>
      <w:rFonts w:ascii="Arial" w:hAnsi="Arial"/>
      <w:b/>
      <w:bCs/>
      <w:sz w:val="32"/>
    </w:rPr>
  </w:style>
  <w:style w:type="character" w:customStyle="1" w:styleId="Nadpis2Char">
    <w:name w:val="Nadpis 2 Char"/>
    <w:basedOn w:val="Standardnpsmoodstavce"/>
    <w:link w:val="Nadpis2"/>
    <w:rsid w:val="00F977A8"/>
    <w:rPr>
      <w:rFonts w:ascii="Arial" w:hAnsi="Arial" w:cs="Arial"/>
      <w:b/>
      <w:sz w:val="28"/>
      <w:szCs w:val="24"/>
      <w:lang w:eastAsia="en-US"/>
    </w:rPr>
  </w:style>
  <w:style w:type="character" w:customStyle="1" w:styleId="CittChar">
    <w:name w:val="Citát Char"/>
    <w:basedOn w:val="Standardnpsmoodstavce"/>
    <w:link w:val="Citt"/>
    <w:rsid w:val="00F977A8"/>
    <w:rPr>
      <w:rFonts w:ascii="Arial" w:hAnsi="Arial"/>
      <w:i/>
      <w:iCs/>
      <w:sz w:val="22"/>
      <w:szCs w:val="24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D2658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2658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D26583"/>
    <w:rPr>
      <w:rFonts w:ascii="Arial" w:hAnsi="Arial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2658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26583"/>
    <w:rPr>
      <w:rFonts w:ascii="Arial" w:hAnsi="Arial"/>
      <w:b/>
      <w:bCs/>
      <w:lang w:eastAsia="en-US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5355C9"/>
    <w:rPr>
      <w:rFonts w:ascii="Arial" w:hAnsi="Arial"/>
      <w:sz w:val="22"/>
      <w:szCs w:val="24"/>
      <w:lang w:eastAsia="en-US"/>
    </w:rPr>
  </w:style>
  <w:style w:type="paragraph" w:customStyle="1" w:styleId="Odstavecseseznamem1">
    <w:name w:val="Odstavec se seznamem1"/>
    <w:basedOn w:val="Normln"/>
    <w:rsid w:val="00322F9C"/>
    <w:pPr>
      <w:ind w:left="720" w:firstLine="0"/>
      <w:jc w:val="left"/>
    </w:pPr>
    <w:rPr>
      <w:rFonts w:ascii="Times New Roman" w:hAnsi="Times New Roman"/>
      <w:sz w:val="24"/>
      <w:lang w:eastAsia="cs-CZ"/>
    </w:rPr>
  </w:style>
  <w:style w:type="paragraph" w:styleId="Obsah1">
    <w:name w:val="toc 1"/>
    <w:basedOn w:val="Normln"/>
    <w:next w:val="Normln"/>
    <w:autoRedefine/>
    <w:uiPriority w:val="39"/>
    <w:unhideWhenUsed/>
    <w:rsid w:val="008224F4"/>
    <w:pPr>
      <w:spacing w:before="360"/>
      <w:jc w:val="left"/>
    </w:pPr>
    <w:rPr>
      <w:rFonts w:asciiTheme="majorHAnsi" w:hAnsiTheme="majorHAnsi"/>
      <w:b/>
      <w:bCs/>
      <w:caps/>
      <w:sz w:val="24"/>
    </w:rPr>
  </w:style>
  <w:style w:type="paragraph" w:styleId="Obsah2">
    <w:name w:val="toc 2"/>
    <w:basedOn w:val="Normln"/>
    <w:next w:val="Normln"/>
    <w:autoRedefine/>
    <w:uiPriority w:val="39"/>
    <w:unhideWhenUsed/>
    <w:rsid w:val="008224F4"/>
    <w:pPr>
      <w:spacing w:before="240"/>
      <w:jc w:val="left"/>
    </w:pPr>
    <w:rPr>
      <w:rFonts w:asciiTheme="minorHAnsi" w:hAnsiTheme="minorHAnsi" w:cstheme="minorHAnsi"/>
      <w:b/>
      <w:bCs/>
      <w:sz w:val="20"/>
      <w:szCs w:val="20"/>
    </w:rPr>
  </w:style>
  <w:style w:type="paragraph" w:styleId="Obsah3">
    <w:name w:val="toc 3"/>
    <w:basedOn w:val="Normln"/>
    <w:next w:val="Normln"/>
    <w:autoRedefine/>
    <w:uiPriority w:val="39"/>
    <w:unhideWhenUsed/>
    <w:rsid w:val="008224F4"/>
    <w:pPr>
      <w:ind w:left="220"/>
      <w:jc w:val="left"/>
    </w:pPr>
    <w:rPr>
      <w:rFonts w:asciiTheme="minorHAnsi" w:hAnsiTheme="minorHAnsi" w:cstheme="minorHAnsi"/>
      <w:sz w:val="20"/>
      <w:szCs w:val="20"/>
    </w:rPr>
  </w:style>
  <w:style w:type="paragraph" w:styleId="Obsah4">
    <w:name w:val="toc 4"/>
    <w:basedOn w:val="Normln"/>
    <w:next w:val="Normln"/>
    <w:autoRedefine/>
    <w:uiPriority w:val="39"/>
    <w:unhideWhenUsed/>
    <w:rsid w:val="008224F4"/>
    <w:pPr>
      <w:ind w:left="440"/>
      <w:jc w:val="left"/>
    </w:pPr>
    <w:rPr>
      <w:rFonts w:asciiTheme="minorHAnsi" w:hAnsiTheme="minorHAnsi" w:cstheme="minorHAnsi"/>
      <w:sz w:val="20"/>
      <w:szCs w:val="20"/>
    </w:rPr>
  </w:style>
  <w:style w:type="paragraph" w:styleId="Obsah5">
    <w:name w:val="toc 5"/>
    <w:basedOn w:val="Normln"/>
    <w:next w:val="Normln"/>
    <w:autoRedefine/>
    <w:uiPriority w:val="39"/>
    <w:unhideWhenUsed/>
    <w:rsid w:val="008224F4"/>
    <w:pPr>
      <w:ind w:left="660"/>
      <w:jc w:val="left"/>
    </w:pPr>
    <w:rPr>
      <w:rFonts w:asciiTheme="minorHAnsi" w:hAnsiTheme="minorHAnsi" w:cstheme="minorHAnsi"/>
      <w:sz w:val="20"/>
      <w:szCs w:val="20"/>
    </w:rPr>
  </w:style>
  <w:style w:type="paragraph" w:styleId="Obsah6">
    <w:name w:val="toc 6"/>
    <w:basedOn w:val="Normln"/>
    <w:next w:val="Normln"/>
    <w:autoRedefine/>
    <w:uiPriority w:val="39"/>
    <w:unhideWhenUsed/>
    <w:rsid w:val="008224F4"/>
    <w:pPr>
      <w:ind w:left="880"/>
      <w:jc w:val="left"/>
    </w:pPr>
    <w:rPr>
      <w:rFonts w:asciiTheme="minorHAnsi" w:hAnsiTheme="minorHAnsi" w:cstheme="minorHAnsi"/>
      <w:sz w:val="20"/>
      <w:szCs w:val="20"/>
    </w:rPr>
  </w:style>
  <w:style w:type="paragraph" w:styleId="Obsah7">
    <w:name w:val="toc 7"/>
    <w:basedOn w:val="Normln"/>
    <w:next w:val="Normln"/>
    <w:autoRedefine/>
    <w:uiPriority w:val="39"/>
    <w:unhideWhenUsed/>
    <w:rsid w:val="008224F4"/>
    <w:pPr>
      <w:ind w:left="1100"/>
      <w:jc w:val="left"/>
    </w:pPr>
    <w:rPr>
      <w:rFonts w:asciiTheme="minorHAnsi" w:hAnsiTheme="minorHAnsi" w:cstheme="minorHAnsi"/>
      <w:sz w:val="20"/>
      <w:szCs w:val="20"/>
    </w:rPr>
  </w:style>
  <w:style w:type="paragraph" w:styleId="Obsah8">
    <w:name w:val="toc 8"/>
    <w:basedOn w:val="Normln"/>
    <w:next w:val="Normln"/>
    <w:autoRedefine/>
    <w:uiPriority w:val="39"/>
    <w:unhideWhenUsed/>
    <w:rsid w:val="008224F4"/>
    <w:pPr>
      <w:ind w:left="1320"/>
      <w:jc w:val="left"/>
    </w:pPr>
    <w:rPr>
      <w:rFonts w:asciiTheme="minorHAnsi" w:hAnsiTheme="minorHAnsi" w:cstheme="minorHAnsi"/>
      <w:sz w:val="20"/>
      <w:szCs w:val="20"/>
    </w:rPr>
  </w:style>
  <w:style w:type="paragraph" w:styleId="Obsah9">
    <w:name w:val="toc 9"/>
    <w:basedOn w:val="Normln"/>
    <w:next w:val="Normln"/>
    <w:autoRedefine/>
    <w:uiPriority w:val="39"/>
    <w:unhideWhenUsed/>
    <w:rsid w:val="008224F4"/>
    <w:pPr>
      <w:ind w:left="1540"/>
      <w:jc w:val="left"/>
    </w:pPr>
    <w:rPr>
      <w:rFonts w:asciiTheme="minorHAnsi" w:hAnsiTheme="minorHAnsi" w:cstheme="minorHAnsi"/>
      <w:sz w:val="20"/>
      <w:szCs w:val="20"/>
    </w:rPr>
  </w:style>
  <w:style w:type="paragraph" w:styleId="Revize">
    <w:name w:val="Revision"/>
    <w:hidden/>
    <w:uiPriority w:val="99"/>
    <w:semiHidden/>
    <w:rsid w:val="008166BC"/>
    <w:rPr>
      <w:rFonts w:ascii="Arial" w:hAnsi="Arial"/>
      <w:sz w:val="22"/>
      <w:szCs w:val="24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14BF4"/>
    <w:rPr>
      <w:rFonts w:ascii="Arial" w:hAnsi="Arial"/>
      <w:sz w:val="22"/>
      <w:szCs w:val="24"/>
      <w:lang w:eastAsia="en-US"/>
    </w:rPr>
  </w:style>
  <w:style w:type="paragraph" w:customStyle="1" w:styleId="Default">
    <w:name w:val="Default"/>
    <w:rsid w:val="002827AC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customStyle="1" w:styleId="OdstavecseseznamemChar">
    <w:name w:val="Odstavec se seznamem Char"/>
    <w:aliases w:val="Nadpis pro KZ Char"/>
    <w:link w:val="Odstavecseseznamem"/>
    <w:uiPriority w:val="34"/>
    <w:rsid w:val="001F5BC4"/>
    <w:rPr>
      <w:rFonts w:ascii="Arial" w:hAnsi="Arial"/>
      <w:sz w:val="22"/>
      <w:szCs w:val="24"/>
      <w:lang w:eastAsia="en-US"/>
    </w:rPr>
  </w:style>
  <w:style w:type="paragraph" w:styleId="Bezmezer">
    <w:name w:val="No Spacing"/>
    <w:aliases w:val="KP,Bez mezer1,No Spacing"/>
    <w:basedOn w:val="Normln"/>
    <w:uiPriority w:val="1"/>
    <w:qFormat/>
    <w:rsid w:val="00B651A7"/>
    <w:pPr>
      <w:spacing w:after="120"/>
      <w:ind w:firstLine="567"/>
    </w:pPr>
    <w:rPr>
      <w:rFonts w:cs="Arial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6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8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95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8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4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95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47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2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2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2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6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6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6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9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29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0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4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7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8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9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9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7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1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5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36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9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1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3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8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4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53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94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5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48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0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8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2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7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8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3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2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2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1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7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4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44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5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3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9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6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6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2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3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1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0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1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3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1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8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9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0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0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2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7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6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6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9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6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90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2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7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2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46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84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6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4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6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F7A625AE9F5AB4A939F92BCAA7FEC02" ma:contentTypeVersion="1" ma:contentTypeDescription="Vytvoří nový dokument" ma:contentTypeScope="" ma:versionID="09736fd4d2dc7a7ec8b641ae14df0e5a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91a41dfb025b41eb9943aabee43187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um zahájení plánování" ma:description="Datum zahájení plánování je sloupec webu, který vytvořila funkce Publikování. Používá se k zadání data a času, od kterého se tato stránka začne návštěvníkům webu zobrazovat." ma:internalName="PublishingStartDate">
      <xsd:simpleType>
        <xsd:restriction base="dms:Unknown"/>
      </xsd:simpleType>
    </xsd:element>
    <xsd:element name="PublishingExpirationDate" ma:index="9" nillable="true" ma:displayName="Datum ukončení plánování" ma:description="Datum ukončení plánování je sloupec webu, který vytvořila funkce Publikování. Používá se k zadání data a času, od kterého se tato stránka už nebude návštěvníkům webu zobrazovat.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A966ECC-5D9F-41C6-83EF-2F93D2760675}"/>
</file>

<file path=customXml/itemProps2.xml><?xml version="1.0" encoding="utf-8"?>
<ds:datastoreItem xmlns:ds="http://schemas.openxmlformats.org/officeDocument/2006/customXml" ds:itemID="{2BF9B2FC-8DB8-41CB-9E4D-A918892ED06B}"/>
</file>

<file path=customXml/itemProps3.xml><?xml version="1.0" encoding="utf-8"?>
<ds:datastoreItem xmlns:ds="http://schemas.openxmlformats.org/officeDocument/2006/customXml" ds:itemID="{DB997A88-C224-4955-A3B3-3D36E0F386FA}"/>
</file>

<file path=customXml/itemProps4.xml><?xml version="1.0" encoding="utf-8"?>
<ds:datastoreItem xmlns:ds="http://schemas.openxmlformats.org/officeDocument/2006/customXml" ds:itemID="{7DF23BE7-6F5A-4A01-B4A1-44699F6010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4231</Words>
  <Characters>24797</Characters>
  <Application>Microsoft Office Word</Application>
  <DocSecurity>0</DocSecurity>
  <Lines>206</Lines>
  <Paragraphs>57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Název odboru</vt:lpstr>
      <vt:lpstr>Název odboru</vt:lpstr>
    </vt:vector>
  </TitlesOfParts>
  <Company>NKU</Company>
  <LinksUpToDate>false</LinksUpToDate>
  <CharactersWithSpaces>28971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Kontrolní závěr z kontrolní akce NKÚ č. 13/19</dc:title>
  <dc:creator>SEDLÁŘOVÁ Halka</dc:creator>
  <cp:lastModifiedBy>GREŠOVÁ Romana</cp:lastModifiedBy>
  <cp:revision>6</cp:revision>
  <cp:lastPrinted>2014-03-31T12:06:00Z</cp:lastPrinted>
  <dcterms:created xsi:type="dcterms:W3CDTF">2014-04-03T10:59:00Z</dcterms:created>
  <dcterms:modified xsi:type="dcterms:W3CDTF">2014-04-23T12:04:00Z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J">
    <vt:lpwstr>11/26-NKU460/105/12</vt:lpwstr>
  </property>
  <property fmtid="{D5CDD505-2E9C-101B-9397-08002B2CF9AE}" pid="3" name="SZ_Spis_Pisemnost">
    <vt:lpwstr>11/26</vt:lpwstr>
  </property>
  <property fmtid="{D5CDD505-2E9C-101B-9397-08002B2CF9AE}" pid="4" name="DisplayName_SpisovyUzel_PoziceZodpo_Pisemnost">
    <vt:lpwstr>Odbor VI.</vt:lpwstr>
  </property>
  <property fmtid="{D5CDD505-2E9C-101B-9397-08002B2CF9AE}" pid="5" name="Zkratka_SpisovyUzel_PoziceZodpo_Pisemnost">
    <vt:lpwstr>460</vt:lpwstr>
  </property>
  <property fmtid="{D5CDD505-2E9C-101B-9397-08002B2CF9AE}" pid="6" name="Key_BarCode_Pisemnost">
    <vt:lpwstr>*B000153788*</vt:lpwstr>
  </property>
  <property fmtid="{D5CDD505-2E9C-101B-9397-08002B2CF9AE}" pid="7" name="DisplayName_CisloObalky_PostaOdes">
    <vt:lpwstr>{DisplayName_CisloObalky_PostaOdes}</vt:lpwstr>
  </property>
  <property fmtid="{D5CDD505-2E9C-101B-9397-08002B2CF9AE}" pid="8" name="EC_Pisemnost">
    <vt:lpwstr>12-5987</vt:lpwstr>
  </property>
  <property fmtid="{D5CDD505-2E9C-101B-9397-08002B2CF9AE}" pid="9" name="Odkaz">
    <vt:lpwstr>odkaz</vt:lpwstr>
  </property>
  <property fmtid="{D5CDD505-2E9C-101B-9397-08002B2CF9AE}" pid="10" name="SkartacniZnakLhuta_PisemnostZnak">
    <vt:lpwstr>/0</vt:lpwstr>
  </property>
  <property fmtid="{D5CDD505-2E9C-101B-9397-08002B2CF9AE}" pid="11" name="CJ_Spis_Pisemnost">
    <vt:lpwstr>CJ/SPIS/ROK</vt:lpwstr>
  </property>
  <property fmtid="{D5CDD505-2E9C-101B-9397-08002B2CF9AE}" pid="12" name="UserName_PisemnostTypZpristupneniInformaciZOSZ_Pisemnost">
    <vt:lpwstr>ZOSZ_UserName</vt:lpwstr>
  </property>
  <property fmtid="{D5CDD505-2E9C-101B-9397-08002B2CF9AE}" pid="13" name="Password_PisemnostTypZpristupneniInformaciZOSZ_Pisemnost">
    <vt:lpwstr>ZOSZ_Password</vt:lpwstr>
  </property>
  <property fmtid="{D5CDD505-2E9C-101B-9397-08002B2CF9AE}" pid="14" name="DatumPlatnosti_PisemnostTypZpristupneniInformaciZOSZ_Pisemnost">
    <vt:lpwstr>ZOSZ_DatumPlatnosti</vt:lpwstr>
  </property>
  <property fmtid="{D5CDD505-2E9C-101B-9397-08002B2CF9AE}" pid="15" name="TEST">
    <vt:lpwstr>testovací pole</vt:lpwstr>
  </property>
  <property fmtid="{D5CDD505-2E9C-101B-9397-08002B2CF9AE}" pid="16" name="PocetListu_Pisemnost">
    <vt:lpwstr/>
  </property>
  <property fmtid="{D5CDD505-2E9C-101B-9397-08002B2CF9AE}" pid="17" name="Vec_Pisemnost">
    <vt:lpwstr>Kontrolní protokol 11-26 ČSSZ</vt:lpwstr>
  </property>
  <property fmtid="{D5CDD505-2E9C-101B-9397-08002B2CF9AE}" pid="18" name="DatumPoriz_Pisemnost">
    <vt:lpwstr>25.4.2012</vt:lpwstr>
  </property>
  <property fmtid="{D5CDD505-2E9C-101B-9397-08002B2CF9AE}" pid="19" name="Contact_PostaOdes_All">
    <vt:lpwstr/>
  </property>
  <property fmtid="{D5CDD505-2E9C-101B-9397-08002B2CF9AE}" pid="20" name="ContentTypeId">
    <vt:lpwstr>0x0101002F7A625AE9F5AB4A939F92BCAA7FEC02</vt:lpwstr>
  </property>
</Properties>
</file>