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8C" w:rsidRPr="0044068C" w:rsidRDefault="0044068C" w:rsidP="002F7A04">
      <w:pPr>
        <w:pStyle w:val="Nadpis9"/>
        <w:spacing w:before="0" w:after="0"/>
        <w:jc w:val="center"/>
        <w:rPr>
          <w:rFonts w:ascii="Arial" w:hAnsi="Arial" w:cs="Arial"/>
          <w:b/>
          <w:color w:val="000000" w:themeColor="text1"/>
        </w:rPr>
      </w:pPr>
      <w:r w:rsidRPr="0044068C">
        <w:rPr>
          <w:rFonts w:ascii="Arial" w:hAnsi="Arial" w:cs="Arial"/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5D394424" wp14:editId="78F7FC0E">
            <wp:simplePos x="0" y="0"/>
            <wp:positionH relativeFrom="column">
              <wp:align>center</wp:align>
            </wp:positionH>
            <wp:positionV relativeFrom="paragraph">
              <wp:posOffset>-162560</wp:posOffset>
            </wp:positionV>
            <wp:extent cx="791210" cy="559435"/>
            <wp:effectExtent l="0" t="0" r="8890" b="0"/>
            <wp:wrapTopAndBottom/>
            <wp:docPr id="2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E7A" w:rsidRPr="0044068C" w:rsidRDefault="00F51E7A" w:rsidP="002F7A04">
      <w:pPr>
        <w:pStyle w:val="Nadpis9"/>
        <w:spacing w:before="0" w:after="0"/>
        <w:jc w:val="center"/>
        <w:rPr>
          <w:rFonts w:ascii="Arial" w:hAnsi="Arial" w:cs="Arial"/>
          <w:b/>
          <w:color w:val="000000" w:themeColor="text1"/>
        </w:rPr>
      </w:pPr>
    </w:p>
    <w:p w:rsidR="00F51E7A" w:rsidRPr="0044068C" w:rsidRDefault="00F51E7A" w:rsidP="002F7A04">
      <w:pPr>
        <w:pStyle w:val="Nadpis9"/>
        <w:spacing w:before="0" w:after="0"/>
        <w:jc w:val="center"/>
        <w:rPr>
          <w:rFonts w:ascii="Arial" w:hAnsi="Arial" w:cs="Arial"/>
          <w:b/>
          <w:color w:val="000000" w:themeColor="text1"/>
        </w:rPr>
      </w:pPr>
    </w:p>
    <w:p w:rsidR="00F51E7A" w:rsidRPr="0044068C" w:rsidRDefault="00F51E7A" w:rsidP="0044068C">
      <w:pPr>
        <w:pStyle w:val="Nadpis9"/>
        <w:spacing w:before="0"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4068C">
        <w:rPr>
          <w:rFonts w:ascii="Arial" w:hAnsi="Arial" w:cs="Arial"/>
          <w:b/>
          <w:color w:val="000000" w:themeColor="text1"/>
          <w:sz w:val="28"/>
          <w:szCs w:val="28"/>
        </w:rPr>
        <w:t>Kontrolní závěr z kontrolní akce</w:t>
      </w:r>
    </w:p>
    <w:p w:rsidR="00CB23B1" w:rsidRPr="0044068C" w:rsidRDefault="00CB23B1" w:rsidP="0044068C">
      <w:pPr>
        <w:jc w:val="center"/>
        <w:rPr>
          <w:rFonts w:cs="Arial"/>
          <w:color w:val="000000" w:themeColor="text1"/>
          <w:sz w:val="22"/>
          <w:szCs w:val="22"/>
        </w:rPr>
      </w:pPr>
    </w:p>
    <w:p w:rsidR="00F51E7A" w:rsidRPr="0044068C" w:rsidRDefault="00F51E7A" w:rsidP="0044068C">
      <w:pPr>
        <w:ind w:right="68"/>
        <w:jc w:val="center"/>
        <w:rPr>
          <w:rFonts w:cs="Arial"/>
          <w:b/>
          <w:bCs/>
          <w:color w:val="000000" w:themeColor="text1"/>
          <w:sz w:val="28"/>
          <w:szCs w:val="28"/>
        </w:rPr>
      </w:pPr>
      <w:r w:rsidRPr="0044068C">
        <w:rPr>
          <w:rFonts w:cs="Arial"/>
          <w:b/>
          <w:bCs/>
          <w:color w:val="000000" w:themeColor="text1"/>
          <w:sz w:val="28"/>
          <w:szCs w:val="28"/>
        </w:rPr>
        <w:t>13/32</w:t>
      </w:r>
    </w:p>
    <w:p w:rsidR="00CB23B1" w:rsidRPr="0044068C" w:rsidRDefault="00CB23B1" w:rsidP="0044068C">
      <w:pPr>
        <w:ind w:right="68"/>
        <w:jc w:val="center"/>
        <w:rPr>
          <w:rFonts w:cs="Arial"/>
          <w:b/>
          <w:bCs/>
          <w:color w:val="000000" w:themeColor="text1"/>
          <w:sz w:val="22"/>
          <w:szCs w:val="22"/>
        </w:rPr>
      </w:pPr>
    </w:p>
    <w:p w:rsidR="0067650B" w:rsidRPr="0044068C" w:rsidRDefault="0067650B" w:rsidP="0044068C">
      <w:pPr>
        <w:jc w:val="center"/>
        <w:rPr>
          <w:rFonts w:cs="Arial"/>
          <w:b/>
          <w:color w:val="000000" w:themeColor="text1"/>
          <w:sz w:val="28"/>
          <w:szCs w:val="28"/>
        </w:rPr>
      </w:pPr>
      <w:r w:rsidRPr="0044068C">
        <w:rPr>
          <w:rFonts w:cs="Arial"/>
          <w:b/>
          <w:color w:val="000000" w:themeColor="text1"/>
          <w:sz w:val="28"/>
          <w:szCs w:val="28"/>
        </w:rPr>
        <w:t>Peněžní prostředky určené na rozvoj cestovního ruchu</w:t>
      </w:r>
    </w:p>
    <w:p w:rsidR="00F51E7A" w:rsidRPr="002F7A04" w:rsidRDefault="00F51E7A" w:rsidP="002F7A04">
      <w:pPr>
        <w:rPr>
          <w:rFonts w:cs="Arial"/>
          <w:color w:val="000000" w:themeColor="text1"/>
          <w:sz w:val="22"/>
          <w:szCs w:val="22"/>
        </w:rPr>
      </w:pPr>
    </w:p>
    <w:p w:rsidR="00F51E7A" w:rsidRPr="002F7A04" w:rsidRDefault="00F51E7A" w:rsidP="002F7A04">
      <w:pPr>
        <w:rPr>
          <w:rFonts w:cs="Arial"/>
          <w:color w:val="000000" w:themeColor="text1"/>
          <w:sz w:val="22"/>
          <w:szCs w:val="22"/>
        </w:rPr>
      </w:pPr>
    </w:p>
    <w:p w:rsidR="00F51E7A" w:rsidRPr="00F91757" w:rsidRDefault="00F51E7A" w:rsidP="002F7A04">
      <w:pPr>
        <w:pStyle w:val="Zkladn"/>
        <w:spacing w:before="0"/>
        <w:rPr>
          <w:rFonts w:cs="Arial"/>
          <w:color w:val="000000" w:themeColor="text1"/>
          <w:sz w:val="22"/>
          <w:szCs w:val="22"/>
        </w:rPr>
      </w:pPr>
      <w:r w:rsidRPr="002F7A04">
        <w:rPr>
          <w:rFonts w:cs="Arial"/>
          <w:color w:val="000000" w:themeColor="text1"/>
          <w:sz w:val="22"/>
          <w:szCs w:val="22"/>
        </w:rPr>
        <w:t>Kontrolní akce byla zařazena do plánu kontrolní činnosti Nejvyššího kontrolního úřadu (dále jen „NKÚ“) na rok 201</w:t>
      </w:r>
      <w:r w:rsidR="0067650B" w:rsidRPr="002F7A04">
        <w:rPr>
          <w:rFonts w:cs="Arial"/>
          <w:color w:val="000000" w:themeColor="text1"/>
          <w:sz w:val="22"/>
          <w:szCs w:val="22"/>
        </w:rPr>
        <w:t>3</w:t>
      </w:r>
      <w:r w:rsidRPr="002F7A04">
        <w:rPr>
          <w:rFonts w:cs="Arial"/>
          <w:color w:val="000000" w:themeColor="text1"/>
          <w:sz w:val="22"/>
          <w:szCs w:val="22"/>
        </w:rPr>
        <w:t xml:space="preserve"> pod číslem 1</w:t>
      </w:r>
      <w:r w:rsidR="0067650B" w:rsidRPr="002F7A04">
        <w:rPr>
          <w:rFonts w:cs="Arial"/>
          <w:color w:val="000000" w:themeColor="text1"/>
          <w:sz w:val="22"/>
          <w:szCs w:val="22"/>
        </w:rPr>
        <w:t>3</w:t>
      </w:r>
      <w:r w:rsidRPr="002F7A04">
        <w:rPr>
          <w:rFonts w:cs="Arial"/>
          <w:color w:val="000000" w:themeColor="text1"/>
          <w:sz w:val="22"/>
          <w:szCs w:val="22"/>
        </w:rPr>
        <w:t>/</w:t>
      </w:r>
      <w:r w:rsidR="0067650B" w:rsidRPr="002F7A04">
        <w:rPr>
          <w:rFonts w:cs="Arial"/>
          <w:color w:val="000000" w:themeColor="text1"/>
          <w:sz w:val="22"/>
          <w:szCs w:val="22"/>
        </w:rPr>
        <w:t>32</w:t>
      </w:r>
      <w:r w:rsidRPr="002F7A04">
        <w:rPr>
          <w:rFonts w:cs="Arial"/>
          <w:color w:val="000000" w:themeColor="text1"/>
          <w:sz w:val="22"/>
          <w:szCs w:val="22"/>
        </w:rPr>
        <w:t>. Kontrolní akci řídil a kontrolní závěr vypracoval člen NKÚ Ing. </w:t>
      </w:r>
      <w:r w:rsidR="0067650B" w:rsidRPr="002F7A04">
        <w:rPr>
          <w:rFonts w:cs="Arial"/>
          <w:color w:val="000000" w:themeColor="text1"/>
          <w:sz w:val="22"/>
          <w:szCs w:val="22"/>
        </w:rPr>
        <w:t>Pavel Hrnčíř</w:t>
      </w:r>
      <w:r w:rsidRPr="002F7A04">
        <w:rPr>
          <w:rFonts w:cs="Arial"/>
          <w:color w:val="000000" w:themeColor="text1"/>
          <w:sz w:val="22"/>
          <w:szCs w:val="22"/>
        </w:rPr>
        <w:t>.</w:t>
      </w:r>
    </w:p>
    <w:p w:rsidR="00F51E7A" w:rsidRPr="002F7A04" w:rsidRDefault="00F51E7A" w:rsidP="002F7A04">
      <w:pPr>
        <w:pStyle w:val="Zkladn"/>
        <w:spacing w:before="0"/>
        <w:rPr>
          <w:rFonts w:cs="Arial"/>
          <w:color w:val="000000" w:themeColor="text1"/>
          <w:sz w:val="22"/>
          <w:szCs w:val="22"/>
        </w:rPr>
      </w:pPr>
    </w:p>
    <w:p w:rsidR="0067650B" w:rsidRPr="002F7A04" w:rsidRDefault="00F51E7A" w:rsidP="002F7A04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lang w:val="cs-CZ"/>
        </w:rPr>
      </w:pPr>
      <w:r w:rsidRPr="002F7A04">
        <w:rPr>
          <w:rFonts w:ascii="Arial" w:hAnsi="Arial" w:cs="Arial"/>
          <w:color w:val="000000" w:themeColor="text1"/>
          <w:sz w:val="22"/>
          <w:szCs w:val="22"/>
          <w:lang w:val="cs-CZ"/>
        </w:rPr>
        <w:t>Cílem kontroly bylo</w:t>
      </w:r>
      <w:r w:rsidR="0067650B" w:rsidRPr="002F7A04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prověřit poskytování, čerpání a užití peněžních prostředků určených na rozvoj cestovního ruchu.</w:t>
      </w:r>
    </w:p>
    <w:p w:rsidR="00F51E7A" w:rsidRPr="002F7A04" w:rsidRDefault="00F51E7A" w:rsidP="002F7A04">
      <w:pPr>
        <w:pStyle w:val="Zkladntextodsazen"/>
        <w:spacing w:after="0"/>
        <w:ind w:left="0"/>
        <w:jc w:val="both"/>
        <w:rPr>
          <w:rFonts w:cs="Arial"/>
          <w:color w:val="000000" w:themeColor="text1"/>
          <w:sz w:val="22"/>
          <w:szCs w:val="22"/>
        </w:rPr>
      </w:pPr>
    </w:p>
    <w:p w:rsidR="00F51E7A" w:rsidRPr="002F7A04" w:rsidRDefault="00F51E7A" w:rsidP="002F7A04">
      <w:pPr>
        <w:pStyle w:val="Zkladntextodsazen"/>
        <w:spacing w:after="0"/>
        <w:ind w:left="0"/>
        <w:jc w:val="both"/>
        <w:rPr>
          <w:rFonts w:cs="Arial"/>
          <w:color w:val="000000" w:themeColor="text1"/>
          <w:sz w:val="22"/>
          <w:szCs w:val="22"/>
        </w:rPr>
      </w:pPr>
      <w:r w:rsidRPr="002F7A04">
        <w:rPr>
          <w:rFonts w:cs="Arial"/>
          <w:color w:val="000000" w:themeColor="text1"/>
          <w:sz w:val="22"/>
          <w:szCs w:val="22"/>
        </w:rPr>
        <w:t>Kontrolováno bylo období od roku 2007 do roku</w:t>
      </w:r>
      <w:r w:rsidR="0067650B" w:rsidRPr="002F7A04">
        <w:rPr>
          <w:rFonts w:cs="Arial"/>
          <w:color w:val="000000" w:themeColor="text1"/>
          <w:sz w:val="22"/>
          <w:szCs w:val="22"/>
        </w:rPr>
        <w:t xml:space="preserve"> 2013</w:t>
      </w:r>
      <w:r w:rsidRPr="002F7A04">
        <w:rPr>
          <w:rFonts w:cs="Arial"/>
          <w:color w:val="000000" w:themeColor="text1"/>
          <w:sz w:val="22"/>
          <w:szCs w:val="22"/>
        </w:rPr>
        <w:t xml:space="preserve">, v případě věcných souvislostí i období předcházející a následující. Kontrola byla prováděna od </w:t>
      </w:r>
      <w:r w:rsidR="0067650B" w:rsidRPr="002F7A04">
        <w:rPr>
          <w:rFonts w:cs="Arial"/>
          <w:color w:val="000000" w:themeColor="text1"/>
          <w:sz w:val="22"/>
          <w:szCs w:val="22"/>
        </w:rPr>
        <w:t>září</w:t>
      </w:r>
      <w:r w:rsidRPr="002F7A04">
        <w:rPr>
          <w:rFonts w:cs="Arial"/>
          <w:color w:val="000000" w:themeColor="text1"/>
          <w:sz w:val="22"/>
          <w:szCs w:val="22"/>
        </w:rPr>
        <w:t xml:space="preserve"> 201</w:t>
      </w:r>
      <w:r w:rsidR="0067650B" w:rsidRPr="002F7A04">
        <w:rPr>
          <w:rFonts w:cs="Arial"/>
          <w:color w:val="000000" w:themeColor="text1"/>
          <w:sz w:val="22"/>
          <w:szCs w:val="22"/>
        </w:rPr>
        <w:t>3</w:t>
      </w:r>
      <w:r w:rsidRPr="002F7A04">
        <w:rPr>
          <w:rFonts w:cs="Arial"/>
          <w:color w:val="000000" w:themeColor="text1"/>
          <w:sz w:val="22"/>
          <w:szCs w:val="22"/>
        </w:rPr>
        <w:t xml:space="preserve"> do </w:t>
      </w:r>
      <w:r w:rsidR="0067650B" w:rsidRPr="002F7A04">
        <w:rPr>
          <w:rFonts w:cs="Arial"/>
          <w:color w:val="000000" w:themeColor="text1"/>
          <w:sz w:val="22"/>
          <w:szCs w:val="22"/>
        </w:rPr>
        <w:t>března</w:t>
      </w:r>
      <w:r w:rsidRPr="002F7A04">
        <w:rPr>
          <w:rFonts w:cs="Arial"/>
          <w:color w:val="000000" w:themeColor="text1"/>
          <w:sz w:val="22"/>
          <w:szCs w:val="22"/>
        </w:rPr>
        <w:t xml:space="preserve"> 201</w:t>
      </w:r>
      <w:r w:rsidR="00FC5662" w:rsidRPr="002F7A04">
        <w:rPr>
          <w:rFonts w:cs="Arial"/>
          <w:color w:val="000000" w:themeColor="text1"/>
          <w:sz w:val="22"/>
          <w:szCs w:val="22"/>
        </w:rPr>
        <w:t>4</w:t>
      </w:r>
      <w:r w:rsidRPr="002F7A04">
        <w:rPr>
          <w:rFonts w:cs="Arial"/>
          <w:color w:val="000000" w:themeColor="text1"/>
          <w:sz w:val="22"/>
          <w:szCs w:val="22"/>
        </w:rPr>
        <w:t>.</w:t>
      </w:r>
    </w:p>
    <w:p w:rsidR="00F51E7A" w:rsidRPr="002F7A04" w:rsidRDefault="00F51E7A" w:rsidP="002F7A04">
      <w:pPr>
        <w:pStyle w:val="Zkladn"/>
        <w:spacing w:before="0"/>
        <w:rPr>
          <w:rFonts w:cs="Arial"/>
          <w:color w:val="000000" w:themeColor="text1"/>
          <w:sz w:val="22"/>
          <w:szCs w:val="22"/>
        </w:rPr>
      </w:pPr>
    </w:p>
    <w:p w:rsidR="00F51E7A" w:rsidRPr="002F7A04" w:rsidRDefault="00F51E7A" w:rsidP="002F7A04">
      <w:pPr>
        <w:pStyle w:val="Zkladn"/>
        <w:spacing w:before="0"/>
        <w:rPr>
          <w:rFonts w:cs="Arial"/>
          <w:color w:val="000000" w:themeColor="text1"/>
          <w:sz w:val="22"/>
          <w:szCs w:val="22"/>
        </w:rPr>
      </w:pPr>
      <w:r w:rsidRPr="002F7A04">
        <w:rPr>
          <w:rFonts w:cs="Arial"/>
          <w:color w:val="000000" w:themeColor="text1"/>
          <w:sz w:val="22"/>
          <w:szCs w:val="22"/>
        </w:rPr>
        <w:t>Kontrolované osoby:</w:t>
      </w:r>
    </w:p>
    <w:p w:rsidR="0067650B" w:rsidRPr="002F7A04" w:rsidRDefault="0067650B" w:rsidP="002F7A04">
      <w:pPr>
        <w:jc w:val="both"/>
        <w:rPr>
          <w:rFonts w:cs="Arial"/>
          <w:color w:val="000000" w:themeColor="text1"/>
          <w:sz w:val="22"/>
          <w:szCs w:val="22"/>
        </w:rPr>
      </w:pPr>
    </w:p>
    <w:p w:rsidR="0067650B" w:rsidRPr="002F7A04" w:rsidRDefault="0067650B" w:rsidP="002F7A04">
      <w:pPr>
        <w:jc w:val="both"/>
        <w:rPr>
          <w:rFonts w:cs="Arial"/>
          <w:color w:val="000000" w:themeColor="text1"/>
          <w:sz w:val="22"/>
          <w:szCs w:val="22"/>
        </w:rPr>
      </w:pPr>
      <w:r w:rsidRPr="002F7A04">
        <w:rPr>
          <w:rFonts w:cs="Arial"/>
          <w:color w:val="000000" w:themeColor="text1"/>
          <w:sz w:val="22"/>
          <w:szCs w:val="22"/>
        </w:rPr>
        <w:t>Ministerstvo pro místní rozvoj (dále jen „MMR“);</w:t>
      </w:r>
    </w:p>
    <w:p w:rsidR="0067650B" w:rsidRPr="002F7A04" w:rsidRDefault="0067650B" w:rsidP="002F7A04">
      <w:pPr>
        <w:jc w:val="both"/>
        <w:rPr>
          <w:rFonts w:cs="Arial"/>
          <w:color w:val="000000" w:themeColor="text1"/>
          <w:sz w:val="22"/>
          <w:szCs w:val="22"/>
        </w:rPr>
      </w:pPr>
      <w:r w:rsidRPr="002F7A04">
        <w:rPr>
          <w:rFonts w:cs="Arial"/>
          <w:color w:val="000000" w:themeColor="text1"/>
          <w:sz w:val="22"/>
          <w:szCs w:val="22"/>
        </w:rPr>
        <w:t xml:space="preserve">Regionální rada regionu soudržnosti Jihovýchod, Brno; </w:t>
      </w:r>
    </w:p>
    <w:p w:rsidR="0067650B" w:rsidRPr="002F7A04" w:rsidRDefault="0067650B" w:rsidP="002F7A04">
      <w:pPr>
        <w:jc w:val="both"/>
        <w:rPr>
          <w:rFonts w:cs="Arial"/>
          <w:color w:val="000000" w:themeColor="text1"/>
          <w:sz w:val="22"/>
          <w:szCs w:val="22"/>
        </w:rPr>
      </w:pPr>
      <w:r w:rsidRPr="002F7A04">
        <w:rPr>
          <w:rFonts w:cs="Arial"/>
          <w:color w:val="000000" w:themeColor="text1"/>
          <w:sz w:val="22"/>
          <w:szCs w:val="22"/>
        </w:rPr>
        <w:t xml:space="preserve">Regionální rada regionu soudržnosti Jihozápad, České Budějovice; </w:t>
      </w:r>
    </w:p>
    <w:p w:rsidR="0067650B" w:rsidRPr="002F7A04" w:rsidRDefault="0067650B" w:rsidP="002F7A04">
      <w:pPr>
        <w:jc w:val="both"/>
        <w:rPr>
          <w:rFonts w:cs="Arial"/>
          <w:color w:val="000000" w:themeColor="text1"/>
          <w:sz w:val="22"/>
          <w:szCs w:val="22"/>
        </w:rPr>
      </w:pPr>
      <w:r w:rsidRPr="002F7A04">
        <w:rPr>
          <w:rFonts w:cs="Arial"/>
          <w:color w:val="000000" w:themeColor="text1"/>
          <w:sz w:val="22"/>
          <w:szCs w:val="22"/>
        </w:rPr>
        <w:t xml:space="preserve">Regionální rada regionu soudržnosti Severovýchod, Hradec Králové; </w:t>
      </w:r>
    </w:p>
    <w:p w:rsidR="0067650B" w:rsidRPr="002F7A04" w:rsidRDefault="0067650B" w:rsidP="002F7A04">
      <w:pPr>
        <w:jc w:val="both"/>
        <w:rPr>
          <w:rFonts w:cs="Arial"/>
          <w:color w:val="000000" w:themeColor="text1"/>
          <w:sz w:val="22"/>
          <w:szCs w:val="22"/>
        </w:rPr>
      </w:pPr>
      <w:r w:rsidRPr="002F7A04">
        <w:rPr>
          <w:rFonts w:cs="Arial"/>
          <w:color w:val="000000" w:themeColor="text1"/>
          <w:sz w:val="22"/>
          <w:szCs w:val="22"/>
        </w:rPr>
        <w:t>Regionální rada regionu soudržnosti Střední Morava, Olomouc</w:t>
      </w:r>
      <w:r w:rsidR="00465459">
        <w:rPr>
          <w:rFonts w:cs="Arial"/>
          <w:color w:val="000000" w:themeColor="text1"/>
          <w:sz w:val="22"/>
          <w:szCs w:val="22"/>
        </w:rPr>
        <w:t>,</w:t>
      </w:r>
    </w:p>
    <w:p w:rsidR="0067650B" w:rsidRPr="002F7A04" w:rsidRDefault="0067650B" w:rsidP="002F7A04">
      <w:pPr>
        <w:ind w:left="709" w:hanging="709"/>
        <w:rPr>
          <w:rFonts w:cs="Arial"/>
          <w:noProof/>
          <w:color w:val="000000" w:themeColor="text1"/>
          <w:sz w:val="22"/>
          <w:szCs w:val="22"/>
        </w:rPr>
      </w:pPr>
    </w:p>
    <w:p w:rsidR="0067650B" w:rsidRPr="002F7A04" w:rsidRDefault="0067650B" w:rsidP="002F7A04">
      <w:pPr>
        <w:ind w:left="709" w:hanging="709"/>
        <w:rPr>
          <w:rFonts w:cs="Arial"/>
          <w:color w:val="000000" w:themeColor="text1"/>
          <w:sz w:val="20"/>
          <w:szCs w:val="20"/>
        </w:rPr>
      </w:pPr>
      <w:r w:rsidRPr="002F7A04">
        <w:rPr>
          <w:rFonts w:cs="Arial"/>
          <w:noProof/>
          <w:color w:val="000000" w:themeColor="text1"/>
          <w:sz w:val="22"/>
          <w:szCs w:val="22"/>
        </w:rPr>
        <w:t>a vybraní příjemci peněžních prostředků:</w:t>
      </w:r>
      <w:r w:rsidRPr="002F7A04">
        <w:rPr>
          <w:rFonts w:cs="Arial"/>
          <w:color w:val="000000" w:themeColor="text1"/>
          <w:sz w:val="20"/>
          <w:szCs w:val="20"/>
        </w:rPr>
        <w:t xml:space="preserve"> </w:t>
      </w:r>
    </w:p>
    <w:p w:rsidR="00D93A5F" w:rsidRPr="002F7A04" w:rsidRDefault="00D93A5F" w:rsidP="002F7A04">
      <w:pPr>
        <w:jc w:val="both"/>
        <w:rPr>
          <w:rFonts w:cs="Arial"/>
          <w:color w:val="000000" w:themeColor="text1"/>
          <w:sz w:val="22"/>
          <w:szCs w:val="22"/>
        </w:rPr>
      </w:pPr>
      <w:r w:rsidRPr="002F7A04">
        <w:rPr>
          <w:rFonts w:cs="Arial"/>
          <w:color w:val="000000" w:themeColor="text1"/>
          <w:sz w:val="22"/>
          <w:szCs w:val="22"/>
        </w:rPr>
        <w:t xml:space="preserve">Česká centrála cestovního ruchu – </w:t>
      </w:r>
      <w:proofErr w:type="spellStart"/>
      <w:r w:rsidRPr="002F7A04">
        <w:rPr>
          <w:rFonts w:cs="Arial"/>
          <w:color w:val="000000" w:themeColor="text1"/>
          <w:sz w:val="22"/>
          <w:szCs w:val="22"/>
        </w:rPr>
        <w:t>CzechTourism</w:t>
      </w:r>
      <w:proofErr w:type="spellEnd"/>
      <w:r w:rsidRPr="002F7A04">
        <w:rPr>
          <w:rFonts w:cs="Arial"/>
          <w:color w:val="000000" w:themeColor="text1"/>
          <w:sz w:val="22"/>
          <w:szCs w:val="22"/>
        </w:rPr>
        <w:t>, Praha (dále jen „</w:t>
      </w:r>
      <w:proofErr w:type="spellStart"/>
      <w:r w:rsidRPr="002F7A04">
        <w:rPr>
          <w:rFonts w:cs="Arial"/>
          <w:color w:val="000000" w:themeColor="text1"/>
          <w:sz w:val="22"/>
          <w:szCs w:val="22"/>
        </w:rPr>
        <w:t>CzechTourism</w:t>
      </w:r>
      <w:proofErr w:type="spellEnd"/>
      <w:r w:rsidRPr="002F7A04">
        <w:rPr>
          <w:rFonts w:cs="Arial"/>
          <w:color w:val="000000" w:themeColor="text1"/>
          <w:sz w:val="22"/>
          <w:szCs w:val="22"/>
        </w:rPr>
        <w:t>“);</w:t>
      </w:r>
    </w:p>
    <w:p w:rsidR="0067650B" w:rsidRPr="002F7A04" w:rsidRDefault="0067650B" w:rsidP="002F7A04">
      <w:pPr>
        <w:rPr>
          <w:rFonts w:cs="Arial"/>
          <w:color w:val="000000" w:themeColor="text1"/>
          <w:sz w:val="22"/>
          <w:szCs w:val="22"/>
        </w:rPr>
      </w:pPr>
      <w:r w:rsidRPr="002F7A04">
        <w:rPr>
          <w:rFonts w:cs="Arial"/>
          <w:color w:val="000000" w:themeColor="text1"/>
          <w:sz w:val="22"/>
          <w:szCs w:val="22"/>
        </w:rPr>
        <w:t>statutární město Brno</w:t>
      </w:r>
      <w:r w:rsidR="00BC0D11" w:rsidRPr="002F7A04">
        <w:rPr>
          <w:rFonts w:cs="Arial"/>
          <w:color w:val="000000" w:themeColor="text1"/>
          <w:sz w:val="22"/>
          <w:szCs w:val="22"/>
        </w:rPr>
        <w:t>;</w:t>
      </w:r>
    </w:p>
    <w:p w:rsidR="0067650B" w:rsidRPr="002F7A04" w:rsidRDefault="0067650B" w:rsidP="002F7A04">
      <w:pPr>
        <w:rPr>
          <w:rFonts w:cs="Arial"/>
          <w:color w:val="000000" w:themeColor="text1"/>
          <w:sz w:val="22"/>
          <w:szCs w:val="22"/>
        </w:rPr>
      </w:pPr>
      <w:r w:rsidRPr="002F7A04">
        <w:rPr>
          <w:rFonts w:cs="Arial"/>
          <w:color w:val="000000" w:themeColor="text1"/>
          <w:sz w:val="22"/>
          <w:szCs w:val="22"/>
        </w:rPr>
        <w:t>město Luhačovice</w:t>
      </w:r>
      <w:r w:rsidR="00BC0D11" w:rsidRPr="002F7A04">
        <w:rPr>
          <w:rFonts w:cs="Arial"/>
          <w:color w:val="000000" w:themeColor="text1"/>
          <w:sz w:val="22"/>
          <w:szCs w:val="22"/>
        </w:rPr>
        <w:t>;</w:t>
      </w:r>
    </w:p>
    <w:p w:rsidR="0067650B" w:rsidRPr="002F7A04" w:rsidRDefault="0067650B" w:rsidP="002F7A04">
      <w:pPr>
        <w:rPr>
          <w:rFonts w:cs="Arial"/>
          <w:color w:val="000000" w:themeColor="text1"/>
          <w:sz w:val="22"/>
          <w:szCs w:val="22"/>
        </w:rPr>
      </w:pPr>
      <w:r w:rsidRPr="002F7A04">
        <w:rPr>
          <w:rFonts w:cs="Arial"/>
          <w:color w:val="000000" w:themeColor="text1"/>
          <w:sz w:val="22"/>
          <w:szCs w:val="22"/>
        </w:rPr>
        <w:t>město Třebíč</w:t>
      </w:r>
      <w:r w:rsidR="00BC0D11" w:rsidRPr="002F7A04">
        <w:rPr>
          <w:rFonts w:cs="Arial"/>
          <w:color w:val="000000" w:themeColor="text1"/>
          <w:sz w:val="22"/>
          <w:szCs w:val="22"/>
        </w:rPr>
        <w:t>;</w:t>
      </w:r>
    </w:p>
    <w:p w:rsidR="0067650B" w:rsidRPr="002F7A04" w:rsidRDefault="0067650B" w:rsidP="002F7A04">
      <w:pPr>
        <w:rPr>
          <w:rFonts w:cs="Arial"/>
          <w:color w:val="000000" w:themeColor="text1"/>
          <w:sz w:val="22"/>
          <w:szCs w:val="22"/>
        </w:rPr>
      </w:pPr>
      <w:r w:rsidRPr="002F7A04">
        <w:rPr>
          <w:rFonts w:cs="Arial"/>
          <w:color w:val="000000" w:themeColor="text1"/>
          <w:sz w:val="22"/>
          <w:szCs w:val="22"/>
        </w:rPr>
        <w:t>město Žirovnice</w:t>
      </w:r>
      <w:r w:rsidR="00BC0D11" w:rsidRPr="002F7A04">
        <w:rPr>
          <w:rFonts w:cs="Arial"/>
          <w:color w:val="000000" w:themeColor="text1"/>
          <w:sz w:val="22"/>
          <w:szCs w:val="22"/>
        </w:rPr>
        <w:t>;</w:t>
      </w:r>
    </w:p>
    <w:p w:rsidR="0067650B" w:rsidRPr="002F7A04" w:rsidRDefault="0067650B" w:rsidP="002F7A04">
      <w:pPr>
        <w:rPr>
          <w:rFonts w:cs="Arial"/>
          <w:color w:val="000000" w:themeColor="text1"/>
          <w:sz w:val="22"/>
          <w:szCs w:val="22"/>
        </w:rPr>
      </w:pPr>
      <w:r w:rsidRPr="002F7A04">
        <w:rPr>
          <w:rFonts w:cs="Arial"/>
          <w:color w:val="000000" w:themeColor="text1"/>
          <w:sz w:val="22"/>
          <w:szCs w:val="22"/>
        </w:rPr>
        <w:t>ZOO Dvůr Králové a.s.</w:t>
      </w:r>
      <w:r w:rsidR="00465459">
        <w:rPr>
          <w:rFonts w:cs="Arial"/>
          <w:color w:val="000000" w:themeColor="text1"/>
          <w:sz w:val="22"/>
          <w:szCs w:val="22"/>
        </w:rPr>
        <w:t>,</w:t>
      </w:r>
      <w:r w:rsidRPr="002F7A04">
        <w:rPr>
          <w:rFonts w:cs="Arial"/>
          <w:color w:val="000000" w:themeColor="text1"/>
          <w:sz w:val="22"/>
          <w:szCs w:val="22"/>
        </w:rPr>
        <w:t xml:space="preserve"> Dvůr Králové nad Labem</w:t>
      </w:r>
      <w:r w:rsidR="00BC0D11" w:rsidRPr="002F7A04">
        <w:rPr>
          <w:rFonts w:cs="Arial"/>
          <w:color w:val="000000" w:themeColor="text1"/>
          <w:sz w:val="22"/>
          <w:szCs w:val="22"/>
        </w:rPr>
        <w:t>;</w:t>
      </w:r>
    </w:p>
    <w:p w:rsidR="0067650B" w:rsidRPr="002F7A04" w:rsidRDefault="0067650B" w:rsidP="002F7A04">
      <w:pPr>
        <w:rPr>
          <w:rFonts w:cs="Arial"/>
          <w:color w:val="000000" w:themeColor="text1"/>
          <w:sz w:val="22"/>
          <w:szCs w:val="22"/>
        </w:rPr>
      </w:pPr>
      <w:r w:rsidRPr="002F7A04">
        <w:rPr>
          <w:rFonts w:cs="Arial"/>
          <w:color w:val="000000" w:themeColor="text1"/>
          <w:sz w:val="22"/>
          <w:szCs w:val="22"/>
        </w:rPr>
        <w:t>K3 SPORT, s.r.o., Olomouc</w:t>
      </w:r>
      <w:r w:rsidR="00BC0D11" w:rsidRPr="002F7A04">
        <w:rPr>
          <w:rFonts w:cs="Arial"/>
          <w:color w:val="000000" w:themeColor="text1"/>
          <w:sz w:val="22"/>
          <w:szCs w:val="22"/>
        </w:rPr>
        <w:t>;</w:t>
      </w:r>
    </w:p>
    <w:p w:rsidR="0067650B" w:rsidRPr="002F7A04" w:rsidRDefault="0067650B" w:rsidP="002F7A04">
      <w:pPr>
        <w:rPr>
          <w:rFonts w:cs="Arial"/>
          <w:color w:val="000000" w:themeColor="text1"/>
          <w:sz w:val="22"/>
          <w:szCs w:val="22"/>
        </w:rPr>
      </w:pPr>
      <w:r w:rsidRPr="002F7A04">
        <w:rPr>
          <w:rFonts w:cs="Arial"/>
          <w:color w:val="000000" w:themeColor="text1"/>
          <w:sz w:val="22"/>
          <w:szCs w:val="22"/>
        </w:rPr>
        <w:t>Malý zámeček, s.r.o., Herálec</w:t>
      </w:r>
      <w:r w:rsidR="00BC0D11" w:rsidRPr="002F7A04">
        <w:rPr>
          <w:rFonts w:cs="Arial"/>
          <w:color w:val="000000" w:themeColor="text1"/>
          <w:sz w:val="22"/>
          <w:szCs w:val="22"/>
        </w:rPr>
        <w:t>;</w:t>
      </w:r>
    </w:p>
    <w:p w:rsidR="0067650B" w:rsidRPr="002F7A04" w:rsidRDefault="0067650B" w:rsidP="002F7A04">
      <w:pPr>
        <w:rPr>
          <w:rFonts w:cs="Arial"/>
          <w:color w:val="000000" w:themeColor="text1"/>
          <w:sz w:val="22"/>
          <w:szCs w:val="22"/>
        </w:rPr>
      </w:pPr>
      <w:r w:rsidRPr="002F7A04">
        <w:rPr>
          <w:rFonts w:cs="Arial"/>
          <w:color w:val="000000" w:themeColor="text1"/>
          <w:sz w:val="22"/>
          <w:szCs w:val="22"/>
        </w:rPr>
        <w:t>ŽLTC s.r.o., Brno</w:t>
      </w:r>
      <w:r w:rsidR="00BC0D11" w:rsidRPr="002F7A04">
        <w:rPr>
          <w:rFonts w:cs="Arial"/>
          <w:color w:val="000000" w:themeColor="text1"/>
          <w:sz w:val="22"/>
          <w:szCs w:val="22"/>
        </w:rPr>
        <w:t>;</w:t>
      </w:r>
    </w:p>
    <w:p w:rsidR="0067650B" w:rsidRPr="002F7A04" w:rsidRDefault="0067650B" w:rsidP="002F7A04">
      <w:pPr>
        <w:rPr>
          <w:rFonts w:cs="Arial"/>
          <w:color w:val="000000" w:themeColor="text1"/>
          <w:sz w:val="22"/>
          <w:szCs w:val="22"/>
        </w:rPr>
      </w:pPr>
      <w:r w:rsidRPr="002F7A04">
        <w:rPr>
          <w:rFonts w:cs="Arial"/>
          <w:color w:val="000000" w:themeColor="text1"/>
          <w:sz w:val="22"/>
          <w:szCs w:val="22"/>
        </w:rPr>
        <w:t>Biskupství plzeňské, Plzeň</w:t>
      </w:r>
      <w:r w:rsidR="00BC0D11" w:rsidRPr="002F7A04">
        <w:rPr>
          <w:rFonts w:cs="Arial"/>
          <w:color w:val="000000" w:themeColor="text1"/>
          <w:sz w:val="22"/>
          <w:szCs w:val="22"/>
        </w:rPr>
        <w:t>;</w:t>
      </w:r>
    </w:p>
    <w:p w:rsidR="0067650B" w:rsidRPr="002F7A04" w:rsidRDefault="0067650B" w:rsidP="002F7A04">
      <w:pPr>
        <w:rPr>
          <w:rFonts w:cs="Arial"/>
          <w:color w:val="000000" w:themeColor="text1"/>
          <w:sz w:val="22"/>
          <w:szCs w:val="22"/>
        </w:rPr>
      </w:pPr>
      <w:r w:rsidRPr="002F7A04">
        <w:rPr>
          <w:rFonts w:cs="Arial"/>
          <w:color w:val="000000" w:themeColor="text1"/>
          <w:sz w:val="22"/>
          <w:szCs w:val="22"/>
        </w:rPr>
        <w:t>Sportovní klub Nové Město na Moravě</w:t>
      </w:r>
      <w:r w:rsidR="00BC0D11" w:rsidRPr="002F7A04">
        <w:rPr>
          <w:rFonts w:cs="Arial"/>
          <w:color w:val="000000" w:themeColor="text1"/>
          <w:sz w:val="22"/>
          <w:szCs w:val="22"/>
        </w:rPr>
        <w:t>;</w:t>
      </w:r>
    </w:p>
    <w:p w:rsidR="0067650B" w:rsidRPr="002F7A04" w:rsidRDefault="0067650B" w:rsidP="002F7A04">
      <w:pPr>
        <w:tabs>
          <w:tab w:val="center" w:pos="6300"/>
        </w:tabs>
        <w:rPr>
          <w:rFonts w:cs="Arial"/>
          <w:color w:val="000000" w:themeColor="text1"/>
          <w:sz w:val="22"/>
          <w:szCs w:val="22"/>
        </w:rPr>
      </w:pPr>
      <w:r w:rsidRPr="002F7A04">
        <w:rPr>
          <w:rFonts w:cs="Arial"/>
          <w:color w:val="000000" w:themeColor="text1"/>
          <w:sz w:val="22"/>
          <w:szCs w:val="22"/>
        </w:rPr>
        <w:t xml:space="preserve">Nadace </w:t>
      </w:r>
      <w:proofErr w:type="spellStart"/>
      <w:r w:rsidRPr="002F7A04">
        <w:rPr>
          <w:rFonts w:cs="Arial"/>
          <w:color w:val="000000" w:themeColor="text1"/>
          <w:sz w:val="22"/>
          <w:szCs w:val="22"/>
        </w:rPr>
        <w:t>Tomistoma</w:t>
      </w:r>
      <w:proofErr w:type="spellEnd"/>
      <w:r w:rsidRPr="002F7A04">
        <w:rPr>
          <w:rFonts w:cs="Arial"/>
          <w:color w:val="000000" w:themeColor="text1"/>
          <w:sz w:val="22"/>
          <w:szCs w:val="22"/>
        </w:rPr>
        <w:t>, Protivín</w:t>
      </w:r>
      <w:r w:rsidR="00BC0D11" w:rsidRPr="002F7A04">
        <w:rPr>
          <w:rFonts w:cs="Arial"/>
          <w:color w:val="000000" w:themeColor="text1"/>
          <w:sz w:val="22"/>
          <w:szCs w:val="22"/>
        </w:rPr>
        <w:t>.</w:t>
      </w:r>
    </w:p>
    <w:p w:rsidR="00F51E7A" w:rsidRPr="002F7A04" w:rsidRDefault="00F51E7A" w:rsidP="002F7A04">
      <w:pPr>
        <w:ind w:right="70"/>
        <w:jc w:val="both"/>
        <w:rPr>
          <w:rFonts w:cs="Arial"/>
          <w:color w:val="000000" w:themeColor="text1"/>
          <w:sz w:val="22"/>
          <w:szCs w:val="22"/>
        </w:rPr>
      </w:pPr>
    </w:p>
    <w:p w:rsidR="00F51E7A" w:rsidRPr="002F7A04" w:rsidRDefault="00F51E7A" w:rsidP="002F7A04">
      <w:pPr>
        <w:pStyle w:val="Zkladn"/>
        <w:spacing w:before="0"/>
        <w:rPr>
          <w:rFonts w:cs="Arial"/>
          <w:color w:val="000000" w:themeColor="text1"/>
          <w:sz w:val="22"/>
          <w:szCs w:val="22"/>
        </w:rPr>
      </w:pPr>
      <w:r w:rsidRPr="002F7A04">
        <w:rPr>
          <w:rFonts w:cs="Arial"/>
          <w:color w:val="000000" w:themeColor="text1"/>
          <w:sz w:val="22"/>
          <w:szCs w:val="22"/>
        </w:rPr>
        <w:t>Námitky proti kon</w:t>
      </w:r>
      <w:r w:rsidR="0067650B" w:rsidRPr="002F7A04">
        <w:rPr>
          <w:rFonts w:cs="Arial"/>
          <w:color w:val="000000" w:themeColor="text1"/>
          <w:sz w:val="22"/>
          <w:szCs w:val="22"/>
        </w:rPr>
        <w:t>trolnímu protokolu, které podala Regionální rada regionu soudržnosti Severovýchod, Hradec Králové, byly vypořádány vedoucí</w:t>
      </w:r>
      <w:r w:rsidRPr="002F7A04">
        <w:rPr>
          <w:rFonts w:cs="Arial"/>
          <w:color w:val="000000" w:themeColor="text1"/>
          <w:sz w:val="22"/>
          <w:szCs w:val="22"/>
        </w:rPr>
        <w:t xml:space="preserve"> skupin</w:t>
      </w:r>
      <w:r w:rsidR="0067650B" w:rsidRPr="002F7A04">
        <w:rPr>
          <w:rFonts w:cs="Arial"/>
          <w:color w:val="000000" w:themeColor="text1"/>
          <w:sz w:val="22"/>
          <w:szCs w:val="22"/>
        </w:rPr>
        <w:t>y kontrolujících rozhodnutím</w:t>
      </w:r>
      <w:r w:rsidRPr="002F7A04">
        <w:rPr>
          <w:rFonts w:cs="Arial"/>
          <w:color w:val="000000" w:themeColor="text1"/>
          <w:sz w:val="22"/>
          <w:szCs w:val="22"/>
        </w:rPr>
        <w:t xml:space="preserve"> o námitkách. Odvolání</w:t>
      </w:r>
      <w:r w:rsidR="0067650B" w:rsidRPr="002F7A04">
        <w:rPr>
          <w:rFonts w:cs="Arial"/>
          <w:color w:val="000000" w:themeColor="text1"/>
          <w:sz w:val="22"/>
          <w:szCs w:val="22"/>
        </w:rPr>
        <w:t xml:space="preserve"> Regionální rad</w:t>
      </w:r>
      <w:r w:rsidR="00465459">
        <w:rPr>
          <w:rFonts w:cs="Arial"/>
          <w:color w:val="000000" w:themeColor="text1"/>
          <w:sz w:val="22"/>
          <w:szCs w:val="22"/>
        </w:rPr>
        <w:t>y</w:t>
      </w:r>
      <w:r w:rsidR="0067650B" w:rsidRPr="002F7A04">
        <w:rPr>
          <w:rFonts w:cs="Arial"/>
          <w:color w:val="000000" w:themeColor="text1"/>
          <w:sz w:val="22"/>
          <w:szCs w:val="22"/>
        </w:rPr>
        <w:t xml:space="preserve"> regionu soudržnosti Severovýchod, Hradec Králové</w:t>
      </w:r>
      <w:r w:rsidR="00CE0A3E">
        <w:rPr>
          <w:rFonts w:cs="Arial"/>
          <w:color w:val="000000" w:themeColor="text1"/>
          <w:sz w:val="22"/>
          <w:szCs w:val="22"/>
        </w:rPr>
        <w:t>,</w:t>
      </w:r>
      <w:r w:rsidR="00775BD1" w:rsidRPr="002F7A04">
        <w:rPr>
          <w:rFonts w:cs="Arial"/>
          <w:color w:val="000000" w:themeColor="text1"/>
          <w:sz w:val="22"/>
          <w:szCs w:val="22"/>
        </w:rPr>
        <w:t xml:space="preserve"> bylo</w:t>
      </w:r>
      <w:r w:rsidRPr="002F7A04">
        <w:rPr>
          <w:rFonts w:cs="Arial"/>
          <w:color w:val="000000" w:themeColor="text1"/>
          <w:sz w:val="22"/>
          <w:szCs w:val="22"/>
        </w:rPr>
        <w:t xml:space="preserve"> vypořádán</w:t>
      </w:r>
      <w:r w:rsidR="00775BD1" w:rsidRPr="002F7A04">
        <w:rPr>
          <w:rFonts w:cs="Arial"/>
          <w:color w:val="000000" w:themeColor="text1"/>
          <w:sz w:val="22"/>
          <w:szCs w:val="22"/>
        </w:rPr>
        <w:t>o usnesením</w:t>
      </w:r>
      <w:r w:rsidRPr="002F7A04">
        <w:rPr>
          <w:rFonts w:cs="Arial"/>
          <w:color w:val="000000" w:themeColor="text1"/>
          <w:sz w:val="22"/>
          <w:szCs w:val="22"/>
        </w:rPr>
        <w:t xml:space="preserve"> Kolegia NKÚ. </w:t>
      </w:r>
    </w:p>
    <w:p w:rsidR="00F51E7A" w:rsidRPr="002F7A04" w:rsidRDefault="00F51E7A" w:rsidP="002F7A04">
      <w:pPr>
        <w:ind w:right="70"/>
        <w:jc w:val="both"/>
        <w:rPr>
          <w:rFonts w:cs="Arial"/>
          <w:color w:val="000000" w:themeColor="text1"/>
          <w:sz w:val="22"/>
          <w:szCs w:val="22"/>
        </w:rPr>
      </w:pPr>
    </w:p>
    <w:p w:rsidR="00F51E7A" w:rsidRPr="002F7A04" w:rsidRDefault="00F51E7A" w:rsidP="002F7A04">
      <w:pPr>
        <w:ind w:right="70"/>
        <w:jc w:val="both"/>
        <w:rPr>
          <w:rFonts w:cs="Arial"/>
          <w:color w:val="000000" w:themeColor="text1"/>
          <w:sz w:val="22"/>
          <w:szCs w:val="22"/>
        </w:rPr>
      </w:pPr>
    </w:p>
    <w:p w:rsidR="00F51E7A" w:rsidRPr="002F7A04" w:rsidRDefault="00F51E7A" w:rsidP="002F7A04">
      <w:pPr>
        <w:ind w:right="70"/>
        <w:jc w:val="both"/>
        <w:rPr>
          <w:rFonts w:cs="Arial"/>
          <w:color w:val="000000" w:themeColor="text1"/>
          <w:sz w:val="22"/>
          <w:szCs w:val="22"/>
        </w:rPr>
      </w:pPr>
      <w:proofErr w:type="gramStart"/>
      <w:r w:rsidRPr="00B11C5E">
        <w:rPr>
          <w:rFonts w:cs="Arial"/>
          <w:b/>
          <w:bCs/>
          <w:i/>
          <w:iCs/>
          <w:color w:val="000000" w:themeColor="text1"/>
          <w:sz w:val="22"/>
          <w:szCs w:val="22"/>
        </w:rPr>
        <w:t>K o l e g i u m</w:t>
      </w:r>
      <w:r w:rsidRPr="00B11C5E">
        <w:rPr>
          <w:rFonts w:cs="Arial"/>
          <w:i/>
          <w:color w:val="000000" w:themeColor="text1"/>
          <w:sz w:val="22"/>
          <w:szCs w:val="22"/>
        </w:rPr>
        <w:t xml:space="preserve">   </w:t>
      </w:r>
      <w:r w:rsidRPr="00B11C5E">
        <w:rPr>
          <w:rFonts w:cs="Arial"/>
          <w:b/>
          <w:bCs/>
          <w:i/>
          <w:iCs/>
          <w:color w:val="000000" w:themeColor="text1"/>
          <w:sz w:val="22"/>
          <w:szCs w:val="22"/>
        </w:rPr>
        <w:t>N K Ú</w:t>
      </w:r>
      <w:r w:rsidRPr="002F7A04">
        <w:rPr>
          <w:rFonts w:cs="Arial"/>
          <w:b/>
          <w:bCs/>
          <w:iCs/>
          <w:color w:val="000000" w:themeColor="text1"/>
          <w:sz w:val="22"/>
          <w:szCs w:val="22"/>
        </w:rPr>
        <w:t xml:space="preserve">   </w:t>
      </w:r>
      <w:r w:rsidRPr="002F7A04">
        <w:rPr>
          <w:rFonts w:cs="Arial"/>
          <w:color w:val="000000" w:themeColor="text1"/>
          <w:sz w:val="22"/>
          <w:szCs w:val="22"/>
        </w:rPr>
        <w:t>na</w:t>
      </w:r>
      <w:proofErr w:type="gramEnd"/>
      <w:r w:rsidRPr="002F7A04">
        <w:rPr>
          <w:rFonts w:cs="Arial"/>
          <w:color w:val="000000" w:themeColor="text1"/>
          <w:sz w:val="22"/>
          <w:szCs w:val="22"/>
        </w:rPr>
        <w:t xml:space="preserve"> svém </w:t>
      </w:r>
      <w:r w:rsidR="006739AD" w:rsidRPr="002F7A04">
        <w:rPr>
          <w:rFonts w:cs="Arial"/>
          <w:color w:val="000000" w:themeColor="text1"/>
          <w:sz w:val="22"/>
          <w:szCs w:val="22"/>
        </w:rPr>
        <w:t>XII.</w:t>
      </w:r>
      <w:r w:rsidRPr="002F7A04">
        <w:rPr>
          <w:rFonts w:cs="Arial"/>
          <w:color w:val="000000" w:themeColor="text1"/>
          <w:sz w:val="22"/>
          <w:szCs w:val="22"/>
        </w:rPr>
        <w:t xml:space="preserve"> zasedání, konaném dne </w:t>
      </w:r>
      <w:r w:rsidR="006739AD" w:rsidRPr="002F7A04">
        <w:rPr>
          <w:rFonts w:cs="Arial"/>
          <w:color w:val="000000" w:themeColor="text1"/>
          <w:sz w:val="22"/>
          <w:szCs w:val="22"/>
        </w:rPr>
        <w:t xml:space="preserve">30. června </w:t>
      </w:r>
      <w:r w:rsidR="00775BD1" w:rsidRPr="002F7A04">
        <w:rPr>
          <w:rFonts w:cs="Arial"/>
          <w:color w:val="000000" w:themeColor="text1"/>
          <w:sz w:val="22"/>
          <w:szCs w:val="22"/>
        </w:rPr>
        <w:t>2014</w:t>
      </w:r>
      <w:r w:rsidRPr="002F7A04">
        <w:rPr>
          <w:rFonts w:cs="Arial"/>
          <w:color w:val="000000" w:themeColor="text1"/>
          <w:sz w:val="22"/>
          <w:szCs w:val="22"/>
        </w:rPr>
        <w:t xml:space="preserve">, </w:t>
      </w:r>
    </w:p>
    <w:p w:rsidR="00F51E7A" w:rsidRPr="002F7A04" w:rsidRDefault="00F51E7A" w:rsidP="002F7A04">
      <w:pPr>
        <w:ind w:right="68"/>
        <w:jc w:val="both"/>
        <w:rPr>
          <w:rFonts w:cs="Arial"/>
          <w:color w:val="000000" w:themeColor="text1"/>
          <w:sz w:val="22"/>
          <w:szCs w:val="22"/>
        </w:rPr>
      </w:pPr>
      <w:proofErr w:type="gramStart"/>
      <w:r w:rsidRPr="00B11C5E">
        <w:rPr>
          <w:rFonts w:cs="Arial"/>
          <w:b/>
          <w:bCs/>
          <w:i/>
          <w:iCs/>
          <w:color w:val="000000" w:themeColor="text1"/>
          <w:sz w:val="22"/>
          <w:szCs w:val="22"/>
        </w:rPr>
        <w:t>s c h v á l i l o</w:t>
      </w:r>
      <w:r w:rsidRPr="002F7A04">
        <w:rPr>
          <w:rFonts w:cs="Arial"/>
          <w:color w:val="000000" w:themeColor="text1"/>
          <w:sz w:val="22"/>
          <w:szCs w:val="22"/>
        </w:rPr>
        <w:t xml:space="preserve">   usnesením č.</w:t>
      </w:r>
      <w:proofErr w:type="gramEnd"/>
      <w:r w:rsidRPr="002F7A04">
        <w:rPr>
          <w:rFonts w:cs="Arial"/>
          <w:color w:val="000000" w:themeColor="text1"/>
          <w:sz w:val="22"/>
          <w:szCs w:val="22"/>
        </w:rPr>
        <w:t xml:space="preserve"> </w:t>
      </w:r>
      <w:r w:rsidR="00FC2A07" w:rsidRPr="002F7A04">
        <w:rPr>
          <w:rFonts w:cs="Arial"/>
          <w:color w:val="000000" w:themeColor="text1"/>
          <w:sz w:val="22"/>
          <w:szCs w:val="22"/>
        </w:rPr>
        <w:t>4</w:t>
      </w:r>
      <w:r w:rsidR="00BC0D11" w:rsidRPr="002F7A04">
        <w:rPr>
          <w:rFonts w:cs="Arial"/>
          <w:color w:val="000000" w:themeColor="text1"/>
          <w:sz w:val="22"/>
          <w:szCs w:val="22"/>
        </w:rPr>
        <w:t>/</w:t>
      </w:r>
      <w:r w:rsidR="006739AD" w:rsidRPr="002F7A04">
        <w:rPr>
          <w:rFonts w:cs="Arial"/>
          <w:color w:val="000000" w:themeColor="text1"/>
          <w:sz w:val="22"/>
          <w:szCs w:val="22"/>
        </w:rPr>
        <w:t>XII</w:t>
      </w:r>
      <w:r w:rsidR="00775BD1" w:rsidRPr="002F7A04">
        <w:rPr>
          <w:rFonts w:cs="Arial"/>
          <w:color w:val="000000" w:themeColor="text1"/>
          <w:sz w:val="22"/>
          <w:szCs w:val="22"/>
        </w:rPr>
        <w:t>/2014</w:t>
      </w:r>
      <w:r w:rsidRPr="002F7A04">
        <w:rPr>
          <w:rFonts w:cs="Arial"/>
          <w:color w:val="000000" w:themeColor="text1"/>
          <w:sz w:val="22"/>
          <w:szCs w:val="22"/>
        </w:rPr>
        <w:t xml:space="preserve"> </w:t>
      </w:r>
    </w:p>
    <w:p w:rsidR="00CB23B1" w:rsidRPr="002F7A04" w:rsidRDefault="00F51E7A" w:rsidP="0044068C">
      <w:pPr>
        <w:ind w:right="70"/>
        <w:jc w:val="both"/>
        <w:rPr>
          <w:rFonts w:cs="Arial"/>
          <w:color w:val="000000" w:themeColor="text1"/>
        </w:rPr>
      </w:pPr>
      <w:proofErr w:type="gramStart"/>
      <w:r w:rsidRPr="00B11C5E">
        <w:rPr>
          <w:rFonts w:cs="Arial"/>
          <w:b/>
          <w:bCs/>
          <w:i/>
          <w:iCs/>
          <w:color w:val="000000" w:themeColor="text1"/>
          <w:sz w:val="22"/>
          <w:szCs w:val="22"/>
        </w:rPr>
        <w:t>k o n t r o l n í   z á v ě r</w:t>
      </w:r>
      <w:r w:rsidRPr="002F7A04">
        <w:rPr>
          <w:rFonts w:cs="Arial"/>
          <w:color w:val="000000" w:themeColor="text1"/>
          <w:sz w:val="22"/>
          <w:szCs w:val="22"/>
        </w:rPr>
        <w:t xml:space="preserve">   v tomto</w:t>
      </w:r>
      <w:proofErr w:type="gramEnd"/>
      <w:r w:rsidRPr="002F7A04">
        <w:rPr>
          <w:rFonts w:cs="Arial"/>
          <w:color w:val="000000" w:themeColor="text1"/>
          <w:sz w:val="22"/>
          <w:szCs w:val="22"/>
        </w:rPr>
        <w:t xml:space="preserve"> znění:</w:t>
      </w:r>
      <w:r w:rsidR="00CB23B1" w:rsidRPr="002F7A04">
        <w:rPr>
          <w:rFonts w:cs="Arial"/>
          <w:color w:val="000000" w:themeColor="text1"/>
        </w:rPr>
        <w:br w:type="page"/>
      </w:r>
    </w:p>
    <w:p w:rsidR="00F51E7A" w:rsidRPr="002F7A04" w:rsidRDefault="005A2E16" w:rsidP="002F7A04">
      <w:pPr>
        <w:ind w:left="360"/>
        <w:jc w:val="center"/>
        <w:rPr>
          <w:rFonts w:cs="Arial"/>
          <w:b/>
          <w:color w:val="000000" w:themeColor="text1"/>
        </w:rPr>
      </w:pPr>
      <w:r w:rsidRPr="002F7A04">
        <w:rPr>
          <w:rFonts w:cs="Arial"/>
          <w:b/>
          <w:color w:val="000000" w:themeColor="text1"/>
        </w:rPr>
        <w:lastRenderedPageBreak/>
        <w:t xml:space="preserve">I. </w:t>
      </w:r>
      <w:r w:rsidR="00F51E7A" w:rsidRPr="002F7A04">
        <w:rPr>
          <w:rFonts w:cs="Arial"/>
          <w:b/>
          <w:color w:val="000000" w:themeColor="text1"/>
        </w:rPr>
        <w:t>Úvod</w:t>
      </w:r>
    </w:p>
    <w:p w:rsidR="001779D5" w:rsidRPr="0044068C" w:rsidRDefault="001779D5" w:rsidP="0044068C">
      <w:pPr>
        <w:jc w:val="both"/>
        <w:rPr>
          <w:rFonts w:cs="Arial"/>
          <w:color w:val="000000" w:themeColor="text1"/>
          <w:sz w:val="22"/>
          <w:szCs w:val="22"/>
        </w:rPr>
      </w:pPr>
    </w:p>
    <w:p w:rsidR="00942354" w:rsidRDefault="001779D5" w:rsidP="0044068C">
      <w:pPr>
        <w:pStyle w:val="Zkladntext3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F7A04">
        <w:rPr>
          <w:rFonts w:ascii="Arial" w:hAnsi="Arial" w:cs="Arial"/>
          <w:color w:val="000000" w:themeColor="text1"/>
          <w:sz w:val="22"/>
          <w:szCs w:val="22"/>
        </w:rPr>
        <w:t>Kontrola byla zaměřena na plnění úlohy MMR v oblasti cest</w:t>
      </w:r>
      <w:r w:rsidR="0044068C">
        <w:rPr>
          <w:rFonts w:ascii="Arial" w:hAnsi="Arial" w:cs="Arial"/>
          <w:color w:val="000000" w:themeColor="text1"/>
          <w:sz w:val="22"/>
          <w:szCs w:val="22"/>
        </w:rPr>
        <w:t>ovního ruchu a na poskytování a </w:t>
      </w:r>
      <w:r w:rsidRPr="002F7A04">
        <w:rPr>
          <w:rFonts w:ascii="Arial" w:hAnsi="Arial" w:cs="Arial"/>
          <w:color w:val="000000" w:themeColor="text1"/>
          <w:sz w:val="22"/>
          <w:szCs w:val="22"/>
        </w:rPr>
        <w:t>čerpání podpory cestovního ruchu</w:t>
      </w:r>
      <w:r w:rsidR="00127897" w:rsidRPr="002F7A04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="004C71E1" w:rsidRPr="00EB18B3">
        <w:rPr>
          <w:rFonts w:ascii="Arial" w:hAnsi="Arial" w:cs="Arial"/>
          <w:i/>
          <w:color w:val="000000" w:themeColor="text1"/>
          <w:sz w:val="22"/>
          <w:szCs w:val="22"/>
        </w:rPr>
        <w:t>Národního programu podpory cestovního ruchu</w:t>
      </w:r>
      <w:r w:rsidR="004654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064A3">
        <w:rPr>
          <w:rFonts w:ascii="Arial" w:hAnsi="Arial" w:cs="Arial"/>
          <w:color w:val="000000" w:themeColor="text1"/>
          <w:sz w:val="22"/>
          <w:szCs w:val="22"/>
        </w:rPr>
        <w:t>(</w:t>
      </w:r>
      <w:r w:rsidR="004C71E1" w:rsidRPr="002F7A04">
        <w:rPr>
          <w:rFonts w:ascii="Arial" w:hAnsi="Arial" w:cs="Arial"/>
          <w:color w:val="000000" w:themeColor="text1"/>
          <w:sz w:val="22"/>
          <w:szCs w:val="22"/>
        </w:rPr>
        <w:t>evidenční číslo 117</w:t>
      </w:r>
      <w:r w:rsidR="00F064A3">
        <w:rPr>
          <w:rFonts w:ascii="Arial" w:hAnsi="Arial" w:cs="Arial"/>
          <w:color w:val="000000" w:themeColor="text1"/>
          <w:sz w:val="22"/>
          <w:szCs w:val="22"/>
        </w:rPr>
        <w:t> </w:t>
      </w:r>
      <w:r w:rsidR="004C71E1" w:rsidRPr="002F7A04">
        <w:rPr>
          <w:rFonts w:ascii="Arial" w:hAnsi="Arial" w:cs="Arial"/>
          <w:color w:val="000000" w:themeColor="text1"/>
          <w:sz w:val="22"/>
          <w:szCs w:val="22"/>
        </w:rPr>
        <w:t>710</w:t>
      </w:r>
      <w:r w:rsidR="00F064A3">
        <w:rPr>
          <w:rFonts w:ascii="Arial" w:hAnsi="Arial" w:cs="Arial"/>
          <w:color w:val="000000" w:themeColor="text1"/>
          <w:sz w:val="22"/>
          <w:szCs w:val="22"/>
        </w:rPr>
        <w:t xml:space="preserve">), </w:t>
      </w:r>
      <w:r w:rsidR="0044068C">
        <w:rPr>
          <w:rFonts w:ascii="Arial" w:hAnsi="Arial" w:cs="Arial"/>
          <w:color w:val="000000" w:themeColor="text1"/>
          <w:sz w:val="22"/>
          <w:szCs w:val="22"/>
        </w:rPr>
        <w:t>z </w:t>
      </w:r>
      <w:r w:rsidR="00127897" w:rsidRPr="00EB18B3">
        <w:rPr>
          <w:rFonts w:ascii="Arial" w:hAnsi="Arial" w:cs="Arial"/>
          <w:i/>
          <w:color w:val="000000" w:themeColor="text1"/>
          <w:sz w:val="22"/>
          <w:szCs w:val="22"/>
        </w:rPr>
        <w:t>Integrovaného oper</w:t>
      </w:r>
      <w:r w:rsidR="00D5472A" w:rsidRPr="00EB18B3">
        <w:rPr>
          <w:rFonts w:ascii="Arial" w:hAnsi="Arial" w:cs="Arial"/>
          <w:i/>
          <w:color w:val="000000" w:themeColor="text1"/>
          <w:sz w:val="22"/>
          <w:szCs w:val="22"/>
        </w:rPr>
        <w:t>ačního programu</w:t>
      </w:r>
      <w:r w:rsidR="004C71E1" w:rsidRPr="002F7A04">
        <w:rPr>
          <w:rFonts w:ascii="Arial" w:hAnsi="Arial" w:cs="Arial"/>
          <w:color w:val="000000" w:themeColor="text1"/>
          <w:sz w:val="22"/>
          <w:szCs w:val="22"/>
        </w:rPr>
        <w:t xml:space="preserve"> a</w:t>
      </w:r>
      <w:r w:rsidRPr="002F7A04">
        <w:rPr>
          <w:rFonts w:ascii="Arial" w:hAnsi="Arial" w:cs="Arial"/>
          <w:color w:val="000000" w:themeColor="text1"/>
          <w:sz w:val="22"/>
          <w:szCs w:val="22"/>
        </w:rPr>
        <w:t xml:space="preserve"> čtyř </w:t>
      </w:r>
      <w:r w:rsidR="004A2880">
        <w:rPr>
          <w:rFonts w:ascii="Arial" w:hAnsi="Arial" w:cs="Arial"/>
          <w:color w:val="000000" w:themeColor="text1"/>
          <w:sz w:val="22"/>
          <w:szCs w:val="22"/>
        </w:rPr>
        <w:t>r</w:t>
      </w:r>
      <w:r w:rsidR="00127897" w:rsidRPr="002F7A04">
        <w:rPr>
          <w:rFonts w:ascii="Arial" w:hAnsi="Arial" w:cs="Arial"/>
          <w:color w:val="000000" w:themeColor="text1"/>
          <w:sz w:val="22"/>
          <w:szCs w:val="22"/>
        </w:rPr>
        <w:t>egionálních operačních programů</w:t>
      </w:r>
      <w:r w:rsidRPr="002F7A0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4068C" w:rsidRPr="002F7A04" w:rsidRDefault="0044068C" w:rsidP="0044068C">
      <w:pPr>
        <w:pStyle w:val="Zkladntext3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264B5" w:rsidRDefault="00AC7833" w:rsidP="0044068C">
      <w:pPr>
        <w:pStyle w:val="Zkladntext3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F7A04">
        <w:rPr>
          <w:rFonts w:ascii="Arial" w:hAnsi="Arial" w:cs="Arial"/>
          <w:color w:val="000000" w:themeColor="text1"/>
          <w:sz w:val="22"/>
          <w:szCs w:val="22"/>
        </w:rPr>
        <w:t>MMR je podle ustanovení § 14 zákona č. 2/1969 Sb., o zřízení ministerstev a jiných ústředních orgánů státní správy České republiky</w:t>
      </w:r>
      <w:r w:rsidR="004A2880">
        <w:rPr>
          <w:rFonts w:ascii="Arial" w:hAnsi="Arial" w:cs="Arial"/>
          <w:color w:val="000000" w:themeColor="text1"/>
          <w:sz w:val="22"/>
          <w:szCs w:val="22"/>
        </w:rPr>
        <w:t>,</w:t>
      </w:r>
      <w:r w:rsidRPr="002F7A04">
        <w:rPr>
          <w:rFonts w:ascii="Arial" w:hAnsi="Arial" w:cs="Arial"/>
          <w:color w:val="000000" w:themeColor="text1"/>
          <w:sz w:val="22"/>
          <w:szCs w:val="22"/>
        </w:rPr>
        <w:t xml:space="preserve"> ústředním orgánem státní správy mimo jiné pro věci cestovního ruchu.</w:t>
      </w:r>
      <w:r w:rsidR="00FC62EE" w:rsidRPr="002F7A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42354" w:rsidRPr="002F7A04">
        <w:rPr>
          <w:rFonts w:ascii="Arial" w:hAnsi="Arial" w:cs="Arial"/>
          <w:color w:val="000000" w:themeColor="text1"/>
          <w:sz w:val="22"/>
          <w:szCs w:val="22"/>
        </w:rPr>
        <w:t xml:space="preserve">MMR </w:t>
      </w:r>
      <w:r w:rsidR="00E24142" w:rsidRPr="002F7A04">
        <w:rPr>
          <w:rFonts w:ascii="Arial" w:hAnsi="Arial" w:cs="Arial"/>
          <w:color w:val="000000" w:themeColor="text1"/>
          <w:sz w:val="22"/>
          <w:szCs w:val="22"/>
        </w:rPr>
        <w:t xml:space="preserve">zpracovalo </w:t>
      </w:r>
      <w:r w:rsidRPr="00EB18B3">
        <w:rPr>
          <w:rFonts w:ascii="Arial" w:hAnsi="Arial" w:cs="Arial"/>
          <w:i/>
          <w:color w:val="000000" w:themeColor="text1"/>
          <w:sz w:val="22"/>
          <w:szCs w:val="22"/>
        </w:rPr>
        <w:t>Koncepci státní politiky cestovního ruchu v České republice na období let 2007 až 2013</w:t>
      </w:r>
      <w:r w:rsidRPr="002F7A04">
        <w:rPr>
          <w:rFonts w:ascii="Arial" w:hAnsi="Arial" w:cs="Arial"/>
          <w:color w:val="000000" w:themeColor="text1"/>
          <w:sz w:val="22"/>
          <w:szCs w:val="22"/>
        </w:rPr>
        <w:t xml:space="preserve"> (dále </w:t>
      </w:r>
      <w:r w:rsidR="00AB2AAC" w:rsidRPr="002F7A04">
        <w:rPr>
          <w:rFonts w:ascii="Arial" w:hAnsi="Arial" w:cs="Arial"/>
          <w:color w:val="000000" w:themeColor="text1"/>
          <w:sz w:val="22"/>
          <w:szCs w:val="22"/>
        </w:rPr>
        <w:t>také</w:t>
      </w:r>
      <w:r w:rsidRPr="002F7A04">
        <w:rPr>
          <w:rFonts w:ascii="Arial" w:hAnsi="Arial" w:cs="Arial"/>
          <w:color w:val="000000" w:themeColor="text1"/>
          <w:sz w:val="22"/>
          <w:szCs w:val="22"/>
        </w:rPr>
        <w:t xml:space="preserve"> „Koncepce 2007–2013</w:t>
      </w:r>
      <w:r w:rsidR="004A2880">
        <w:rPr>
          <w:rFonts w:ascii="Arial" w:hAnsi="Arial" w:cs="Arial"/>
          <w:color w:val="000000" w:themeColor="text1"/>
          <w:sz w:val="22"/>
          <w:szCs w:val="22"/>
        </w:rPr>
        <w:t>“</w:t>
      </w:r>
      <w:r w:rsidRPr="002F7A04">
        <w:rPr>
          <w:rFonts w:ascii="Arial" w:hAnsi="Arial" w:cs="Arial"/>
          <w:color w:val="000000" w:themeColor="text1"/>
          <w:sz w:val="22"/>
          <w:szCs w:val="22"/>
        </w:rPr>
        <w:t>), která byla schválena usnesením</w:t>
      </w:r>
      <w:r w:rsidR="004511BB" w:rsidRPr="002F7A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C2817" w:rsidRPr="002F7A04">
        <w:rPr>
          <w:rFonts w:ascii="Arial" w:hAnsi="Arial" w:cs="Arial"/>
          <w:color w:val="000000" w:themeColor="text1"/>
          <w:sz w:val="22"/>
          <w:szCs w:val="22"/>
        </w:rPr>
        <w:t xml:space="preserve">vlády </w:t>
      </w:r>
      <w:r w:rsidR="004511BB" w:rsidRPr="002F7A04">
        <w:rPr>
          <w:rFonts w:ascii="Arial" w:hAnsi="Arial" w:cs="Arial"/>
          <w:color w:val="000000" w:themeColor="text1"/>
          <w:sz w:val="22"/>
          <w:szCs w:val="22"/>
        </w:rPr>
        <w:t>č. 1239/2007</w:t>
      </w:r>
      <w:r w:rsidR="004511BB" w:rsidRPr="002F7A04">
        <w:rPr>
          <w:rStyle w:val="Znakapoznpodarou"/>
          <w:rFonts w:ascii="Arial" w:hAnsi="Arial" w:cs="Arial"/>
          <w:color w:val="000000" w:themeColor="text1"/>
          <w:sz w:val="22"/>
          <w:szCs w:val="22"/>
        </w:rPr>
        <w:footnoteReference w:id="1"/>
      </w:r>
      <w:r w:rsidR="004511BB" w:rsidRPr="002F7A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F7A04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Pr="00EB18B3">
        <w:rPr>
          <w:rFonts w:ascii="Arial" w:hAnsi="Arial" w:cs="Arial"/>
          <w:i/>
          <w:color w:val="000000" w:themeColor="text1"/>
          <w:sz w:val="22"/>
          <w:szCs w:val="22"/>
        </w:rPr>
        <w:t>Koncepci stá</w:t>
      </w:r>
      <w:r w:rsidR="0044068C" w:rsidRPr="00EB18B3">
        <w:rPr>
          <w:rFonts w:ascii="Arial" w:hAnsi="Arial" w:cs="Arial"/>
          <w:i/>
          <w:color w:val="000000" w:themeColor="text1"/>
          <w:sz w:val="22"/>
          <w:szCs w:val="22"/>
        </w:rPr>
        <w:t>tní politiky cestovního ruchu v </w:t>
      </w:r>
      <w:r w:rsidRPr="00EB18B3">
        <w:rPr>
          <w:rFonts w:ascii="Arial" w:hAnsi="Arial" w:cs="Arial"/>
          <w:i/>
          <w:color w:val="000000" w:themeColor="text1"/>
          <w:sz w:val="22"/>
          <w:szCs w:val="22"/>
        </w:rPr>
        <w:t>České republice na období 2014–2020</w:t>
      </w:r>
      <w:r w:rsidRPr="002F7A04">
        <w:rPr>
          <w:rFonts w:ascii="Arial" w:hAnsi="Arial" w:cs="Arial"/>
          <w:color w:val="000000" w:themeColor="text1"/>
          <w:sz w:val="22"/>
          <w:szCs w:val="22"/>
        </w:rPr>
        <w:t xml:space="preserve"> (dále </w:t>
      </w:r>
      <w:r w:rsidR="00AB2AAC" w:rsidRPr="002F7A04">
        <w:rPr>
          <w:rFonts w:ascii="Arial" w:hAnsi="Arial" w:cs="Arial"/>
          <w:color w:val="000000" w:themeColor="text1"/>
          <w:sz w:val="22"/>
          <w:szCs w:val="22"/>
        </w:rPr>
        <w:t>také</w:t>
      </w:r>
      <w:r w:rsidRPr="002F7A04">
        <w:rPr>
          <w:rFonts w:ascii="Arial" w:hAnsi="Arial" w:cs="Arial"/>
          <w:color w:val="000000" w:themeColor="text1"/>
          <w:sz w:val="22"/>
          <w:szCs w:val="22"/>
        </w:rPr>
        <w:t xml:space="preserve"> „Koncepce 2014–2020“), která byla schválena usnesením </w:t>
      </w:r>
      <w:r w:rsidR="004511BB" w:rsidRPr="002F7A04">
        <w:rPr>
          <w:rFonts w:ascii="Arial" w:hAnsi="Arial" w:cs="Arial"/>
          <w:color w:val="000000" w:themeColor="text1"/>
          <w:sz w:val="22"/>
          <w:szCs w:val="22"/>
        </w:rPr>
        <w:t>č. 220/2013</w:t>
      </w:r>
      <w:r w:rsidR="004511BB" w:rsidRPr="00B11C5E">
        <w:rPr>
          <w:rStyle w:val="Znakapoznpodarou"/>
          <w:rFonts w:ascii="Arial" w:hAnsi="Arial" w:cs="Arial"/>
          <w:color w:val="000000" w:themeColor="text1"/>
          <w:sz w:val="22"/>
          <w:szCs w:val="22"/>
        </w:rPr>
        <w:footnoteReference w:id="2"/>
      </w:r>
      <w:r w:rsidRPr="00B11C5E">
        <w:rPr>
          <w:rFonts w:ascii="Arial" w:hAnsi="Arial" w:cs="Arial"/>
          <w:color w:val="000000" w:themeColor="text1"/>
          <w:sz w:val="22"/>
          <w:szCs w:val="22"/>
        </w:rPr>
        <w:t>.</w:t>
      </w:r>
      <w:r w:rsidRPr="002F7A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44068C" w:rsidRPr="002F7A04" w:rsidRDefault="0044068C" w:rsidP="0044068C">
      <w:pPr>
        <w:pStyle w:val="Zkladntext3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42354" w:rsidRDefault="00A264B5" w:rsidP="0044068C">
      <w:pPr>
        <w:pStyle w:val="Zkladntext3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F7A04">
        <w:rPr>
          <w:rFonts w:ascii="Arial" w:hAnsi="Arial" w:cs="Arial"/>
          <w:color w:val="000000" w:themeColor="text1"/>
          <w:sz w:val="22"/>
          <w:szCs w:val="22"/>
        </w:rPr>
        <w:t xml:space="preserve">MMR je správcem </w:t>
      </w:r>
      <w:r w:rsidR="00C07137" w:rsidRPr="002F7A04">
        <w:rPr>
          <w:rFonts w:ascii="Arial" w:hAnsi="Arial" w:cs="Arial"/>
          <w:color w:val="000000" w:themeColor="text1"/>
          <w:sz w:val="22"/>
          <w:szCs w:val="22"/>
        </w:rPr>
        <w:t>N</w:t>
      </w:r>
      <w:r w:rsidRPr="002F7A04">
        <w:rPr>
          <w:rFonts w:ascii="Arial" w:hAnsi="Arial" w:cs="Arial"/>
          <w:color w:val="000000" w:themeColor="text1"/>
          <w:sz w:val="22"/>
          <w:szCs w:val="22"/>
        </w:rPr>
        <w:t xml:space="preserve">árodního programu </w:t>
      </w:r>
      <w:r w:rsidR="00C07137" w:rsidRPr="002F7A04">
        <w:rPr>
          <w:rFonts w:ascii="Arial" w:hAnsi="Arial" w:cs="Arial"/>
          <w:color w:val="000000" w:themeColor="text1"/>
          <w:sz w:val="22"/>
          <w:szCs w:val="22"/>
        </w:rPr>
        <w:t>podpory cestovního ruchu</w:t>
      </w:r>
      <w:r w:rsidRPr="002F7A04">
        <w:rPr>
          <w:rFonts w:ascii="Arial" w:hAnsi="Arial" w:cs="Arial"/>
          <w:color w:val="000000" w:themeColor="text1"/>
          <w:sz w:val="22"/>
          <w:szCs w:val="22"/>
        </w:rPr>
        <w:t>, jehož plánovaná potřeba pro období 2010 až 2017 z prostř</w:t>
      </w:r>
      <w:r w:rsidR="0044068C">
        <w:rPr>
          <w:rFonts w:ascii="Arial" w:hAnsi="Arial" w:cs="Arial"/>
          <w:color w:val="000000" w:themeColor="text1"/>
          <w:sz w:val="22"/>
          <w:szCs w:val="22"/>
        </w:rPr>
        <w:t>edků státního rozpočtu činí 331 mil. </w:t>
      </w:r>
      <w:r w:rsidRPr="002F7A04">
        <w:rPr>
          <w:rFonts w:ascii="Arial" w:hAnsi="Arial" w:cs="Arial"/>
          <w:color w:val="000000" w:themeColor="text1"/>
          <w:sz w:val="22"/>
          <w:szCs w:val="22"/>
        </w:rPr>
        <w:t>Kč.</w:t>
      </w:r>
      <w:r w:rsidR="007A57FF" w:rsidRPr="002F7A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5472A" w:rsidRPr="002F7A04">
        <w:rPr>
          <w:rFonts w:ascii="Arial" w:hAnsi="Arial" w:cs="Arial"/>
          <w:color w:val="000000" w:themeColor="text1"/>
          <w:sz w:val="22"/>
          <w:szCs w:val="22"/>
        </w:rPr>
        <w:t>MMR je říd</w:t>
      </w:r>
      <w:r w:rsidR="004A2880">
        <w:rPr>
          <w:rFonts w:ascii="Arial" w:hAnsi="Arial" w:cs="Arial"/>
          <w:color w:val="000000" w:themeColor="text1"/>
          <w:sz w:val="22"/>
          <w:szCs w:val="22"/>
        </w:rPr>
        <w:t>i</w:t>
      </w:r>
      <w:r w:rsidR="00D5472A" w:rsidRPr="002F7A04">
        <w:rPr>
          <w:rFonts w:ascii="Arial" w:hAnsi="Arial" w:cs="Arial"/>
          <w:color w:val="000000" w:themeColor="text1"/>
          <w:sz w:val="22"/>
          <w:szCs w:val="22"/>
        </w:rPr>
        <w:t xml:space="preserve">cím orgánem </w:t>
      </w:r>
      <w:r w:rsidR="00D5472A" w:rsidRPr="00EB18B3">
        <w:rPr>
          <w:rFonts w:ascii="Arial" w:hAnsi="Arial" w:cs="Arial"/>
          <w:i/>
          <w:color w:val="000000" w:themeColor="text1"/>
          <w:sz w:val="22"/>
          <w:szCs w:val="22"/>
        </w:rPr>
        <w:t>Integrovaného operačního programu</w:t>
      </w:r>
      <w:r w:rsidR="00FC5662" w:rsidRPr="002F7A04">
        <w:rPr>
          <w:rFonts w:ascii="Arial" w:hAnsi="Arial" w:cs="Arial"/>
          <w:color w:val="000000" w:themeColor="text1"/>
          <w:sz w:val="22"/>
          <w:szCs w:val="22"/>
        </w:rPr>
        <w:t xml:space="preserve"> (dále také „IOP“)</w:t>
      </w:r>
      <w:r w:rsidR="00FC62EE" w:rsidRPr="002F7A04">
        <w:rPr>
          <w:rFonts w:ascii="Arial" w:hAnsi="Arial" w:cs="Arial"/>
          <w:color w:val="000000" w:themeColor="text1"/>
          <w:sz w:val="22"/>
          <w:szCs w:val="22"/>
        </w:rPr>
        <w:t>, kde v rámci prioritních os 4a a 4b</w:t>
      </w:r>
      <w:r w:rsidR="00F737B0" w:rsidRPr="002F7A04">
        <w:rPr>
          <w:rStyle w:val="Znakapoznpodarou"/>
          <w:rFonts w:ascii="Arial" w:hAnsi="Arial" w:cs="Arial"/>
          <w:color w:val="000000" w:themeColor="text1"/>
          <w:sz w:val="22"/>
          <w:szCs w:val="22"/>
        </w:rPr>
        <w:footnoteReference w:id="3"/>
      </w:r>
      <w:r w:rsidR="00E24142" w:rsidRPr="002F7A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739AD" w:rsidRPr="002F7A04">
        <w:rPr>
          <w:rFonts w:ascii="Arial" w:hAnsi="Arial" w:cs="Arial"/>
          <w:color w:val="000000" w:themeColor="text1"/>
          <w:sz w:val="22"/>
          <w:szCs w:val="22"/>
        </w:rPr>
        <w:t>–</w:t>
      </w:r>
      <w:r w:rsidR="00E24142" w:rsidRPr="002F7A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24142" w:rsidRPr="00EB18B3">
        <w:rPr>
          <w:rFonts w:ascii="Arial" w:hAnsi="Arial" w:cs="Arial"/>
          <w:i/>
          <w:color w:val="000000" w:themeColor="text1"/>
          <w:sz w:val="22"/>
          <w:szCs w:val="22"/>
        </w:rPr>
        <w:t>Národní podpora cestovního ruchu</w:t>
      </w:r>
      <w:r w:rsidR="00AA19CD" w:rsidRPr="002F7A04">
        <w:rPr>
          <w:rFonts w:ascii="Arial" w:hAnsi="Arial" w:cs="Arial"/>
          <w:color w:val="000000" w:themeColor="text1"/>
          <w:sz w:val="22"/>
          <w:szCs w:val="22"/>
        </w:rPr>
        <w:t xml:space="preserve"> bylo alokováno pro období 2007 až 2013 celkem </w:t>
      </w:r>
      <w:r w:rsidR="00FC62EE" w:rsidRPr="002F7A04">
        <w:rPr>
          <w:rFonts w:ascii="Arial" w:hAnsi="Arial" w:cs="Arial"/>
          <w:color w:val="000000" w:themeColor="text1"/>
          <w:sz w:val="22"/>
          <w:szCs w:val="22"/>
        </w:rPr>
        <w:t>1</w:t>
      </w:r>
      <w:r w:rsidR="00284A64" w:rsidRPr="002F7A04">
        <w:rPr>
          <w:rFonts w:ascii="Arial" w:hAnsi="Arial" w:cs="Arial"/>
          <w:color w:val="000000" w:themeColor="text1"/>
          <w:sz w:val="22"/>
          <w:szCs w:val="22"/>
        </w:rPr>
        <w:t> </w:t>
      </w:r>
      <w:r w:rsidR="00FC62EE" w:rsidRPr="002F7A04">
        <w:rPr>
          <w:rFonts w:ascii="Arial" w:hAnsi="Arial" w:cs="Arial"/>
          <w:color w:val="000000" w:themeColor="text1"/>
          <w:sz w:val="22"/>
          <w:szCs w:val="22"/>
        </w:rPr>
        <w:t>73</w:t>
      </w:r>
      <w:r w:rsidR="00284A64" w:rsidRPr="002F7A04">
        <w:rPr>
          <w:rFonts w:ascii="Arial" w:hAnsi="Arial" w:cs="Arial"/>
          <w:color w:val="000000" w:themeColor="text1"/>
          <w:sz w:val="22"/>
          <w:szCs w:val="22"/>
        </w:rPr>
        <w:t>0 mil.</w:t>
      </w:r>
      <w:r w:rsidR="00AA19CD" w:rsidRPr="002F7A04">
        <w:rPr>
          <w:rFonts w:ascii="Arial" w:hAnsi="Arial" w:cs="Arial"/>
          <w:color w:val="000000" w:themeColor="text1"/>
          <w:sz w:val="22"/>
          <w:szCs w:val="22"/>
        </w:rPr>
        <w:t xml:space="preserve"> Kč z prostředků </w:t>
      </w:r>
      <w:r w:rsidR="00AA19CD" w:rsidRPr="00EB18B3">
        <w:rPr>
          <w:rFonts w:ascii="Arial" w:hAnsi="Arial" w:cs="Arial"/>
          <w:i/>
          <w:color w:val="000000" w:themeColor="text1"/>
          <w:sz w:val="22"/>
          <w:szCs w:val="22"/>
        </w:rPr>
        <w:t>Evropského fondu pro regionální rozvoj</w:t>
      </w:r>
      <w:r w:rsidR="008C2817" w:rsidRPr="002F7A04">
        <w:rPr>
          <w:rFonts w:ascii="Arial" w:hAnsi="Arial" w:cs="Arial"/>
          <w:color w:val="000000" w:themeColor="text1"/>
          <w:sz w:val="22"/>
          <w:szCs w:val="22"/>
        </w:rPr>
        <w:t xml:space="preserve"> (dále také „ERDF“)</w:t>
      </w:r>
      <w:r w:rsidR="0001624C" w:rsidRPr="002F7A04">
        <w:rPr>
          <w:rFonts w:ascii="Arial" w:hAnsi="Arial" w:cs="Arial"/>
          <w:color w:val="000000" w:themeColor="text1"/>
          <w:sz w:val="22"/>
          <w:szCs w:val="22"/>
        </w:rPr>
        <w:t>, přitom podíl</w:t>
      </w:r>
      <w:r w:rsidR="00AA19CD" w:rsidRPr="002F7A04">
        <w:rPr>
          <w:rFonts w:ascii="Arial" w:hAnsi="Arial" w:cs="Arial"/>
          <w:color w:val="000000" w:themeColor="text1"/>
          <w:sz w:val="22"/>
          <w:szCs w:val="22"/>
        </w:rPr>
        <w:t xml:space="preserve"> spolufinancování </w:t>
      </w:r>
      <w:r w:rsidR="006672A1" w:rsidRPr="002F7A04">
        <w:rPr>
          <w:rFonts w:ascii="Arial" w:hAnsi="Arial" w:cs="Arial"/>
          <w:color w:val="000000" w:themeColor="text1"/>
          <w:sz w:val="22"/>
          <w:szCs w:val="22"/>
        </w:rPr>
        <w:t>z p</w:t>
      </w:r>
      <w:r w:rsidR="002D20C1" w:rsidRPr="002F7A04">
        <w:rPr>
          <w:rFonts w:ascii="Arial" w:hAnsi="Arial" w:cs="Arial"/>
          <w:color w:val="000000" w:themeColor="text1"/>
          <w:sz w:val="22"/>
          <w:szCs w:val="22"/>
        </w:rPr>
        <w:t xml:space="preserve">rostředků státního rozpočtu </w:t>
      </w:r>
      <w:r w:rsidR="0001624C" w:rsidRPr="002F7A04">
        <w:rPr>
          <w:rFonts w:ascii="Arial" w:hAnsi="Arial" w:cs="Arial"/>
          <w:color w:val="000000" w:themeColor="text1"/>
          <w:sz w:val="22"/>
          <w:szCs w:val="22"/>
        </w:rPr>
        <w:t>činí</w:t>
      </w:r>
      <w:r w:rsidR="002D20C1" w:rsidRPr="002F7A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A19CD" w:rsidRPr="002F7A04">
        <w:rPr>
          <w:rFonts w:ascii="Arial" w:hAnsi="Arial" w:cs="Arial"/>
          <w:color w:val="000000" w:themeColor="text1"/>
          <w:sz w:val="22"/>
          <w:szCs w:val="22"/>
        </w:rPr>
        <w:t>305</w:t>
      </w:r>
      <w:r w:rsidR="006672A1" w:rsidRPr="002F7A04">
        <w:rPr>
          <w:rFonts w:ascii="Arial" w:hAnsi="Arial" w:cs="Arial"/>
          <w:color w:val="000000" w:themeColor="text1"/>
          <w:sz w:val="22"/>
          <w:szCs w:val="22"/>
        </w:rPr>
        <w:t>,</w:t>
      </w:r>
      <w:r w:rsidR="00AA19CD" w:rsidRPr="002F7A04">
        <w:rPr>
          <w:rFonts w:ascii="Arial" w:hAnsi="Arial" w:cs="Arial"/>
          <w:color w:val="000000" w:themeColor="text1"/>
          <w:sz w:val="22"/>
          <w:szCs w:val="22"/>
        </w:rPr>
        <w:t>6</w:t>
      </w:r>
      <w:r w:rsidR="006672A1" w:rsidRPr="002F7A04">
        <w:rPr>
          <w:rFonts w:ascii="Arial" w:hAnsi="Arial" w:cs="Arial"/>
          <w:color w:val="000000" w:themeColor="text1"/>
          <w:sz w:val="22"/>
          <w:szCs w:val="22"/>
        </w:rPr>
        <w:t xml:space="preserve"> mil. </w:t>
      </w:r>
      <w:r w:rsidR="00AA19CD" w:rsidRPr="002F7A04">
        <w:rPr>
          <w:rFonts w:ascii="Arial" w:hAnsi="Arial" w:cs="Arial"/>
          <w:color w:val="000000" w:themeColor="text1"/>
          <w:sz w:val="22"/>
          <w:szCs w:val="22"/>
        </w:rPr>
        <w:t xml:space="preserve">Kč. </w:t>
      </w:r>
    </w:p>
    <w:p w:rsidR="0044068C" w:rsidRPr="002F7A04" w:rsidRDefault="0044068C" w:rsidP="0044068C">
      <w:pPr>
        <w:pStyle w:val="Zkladntext3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E55AA" w:rsidRDefault="007E55AA" w:rsidP="0044068C">
      <w:pPr>
        <w:pStyle w:val="Zkladntext3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F7A04">
        <w:rPr>
          <w:rFonts w:ascii="Arial" w:hAnsi="Arial" w:cs="Arial"/>
          <w:color w:val="000000" w:themeColor="text1"/>
          <w:sz w:val="22"/>
          <w:szCs w:val="22"/>
        </w:rPr>
        <w:t xml:space="preserve">Propagace České republiky jako destinace cestovního ruchu je hlavní úlohou státní příspěvkové organizace </w:t>
      </w:r>
      <w:proofErr w:type="spellStart"/>
      <w:r w:rsidRPr="002F7A04">
        <w:rPr>
          <w:rFonts w:ascii="Arial" w:hAnsi="Arial" w:cs="Arial"/>
          <w:color w:val="000000" w:themeColor="text1"/>
          <w:sz w:val="22"/>
          <w:szCs w:val="22"/>
        </w:rPr>
        <w:t>CzechTourism</w:t>
      </w:r>
      <w:proofErr w:type="spellEnd"/>
      <w:r w:rsidRPr="002F7A04">
        <w:rPr>
          <w:rFonts w:ascii="Arial" w:hAnsi="Arial" w:cs="Arial"/>
          <w:color w:val="000000" w:themeColor="text1"/>
          <w:sz w:val="22"/>
          <w:szCs w:val="22"/>
        </w:rPr>
        <w:t xml:space="preserve">, jejímž zřizovatelem je MMR. Příspěvek </w:t>
      </w:r>
      <w:r w:rsidR="007A57FF" w:rsidRPr="002F7A04">
        <w:rPr>
          <w:rFonts w:ascii="Arial" w:hAnsi="Arial" w:cs="Arial"/>
          <w:color w:val="000000" w:themeColor="text1"/>
          <w:sz w:val="22"/>
          <w:szCs w:val="22"/>
        </w:rPr>
        <w:t xml:space="preserve">pro </w:t>
      </w:r>
      <w:proofErr w:type="spellStart"/>
      <w:r w:rsidR="007A57FF" w:rsidRPr="002F7A04">
        <w:rPr>
          <w:rFonts w:ascii="Arial" w:hAnsi="Arial" w:cs="Arial"/>
          <w:color w:val="000000" w:themeColor="text1"/>
          <w:sz w:val="22"/>
          <w:szCs w:val="22"/>
        </w:rPr>
        <w:t>CzechTourism</w:t>
      </w:r>
      <w:proofErr w:type="spellEnd"/>
      <w:r w:rsidRPr="002F7A04">
        <w:rPr>
          <w:rFonts w:ascii="Arial" w:hAnsi="Arial" w:cs="Arial"/>
          <w:color w:val="000000" w:themeColor="text1"/>
          <w:sz w:val="22"/>
          <w:szCs w:val="22"/>
        </w:rPr>
        <w:t xml:space="preserve"> z prostředků státního rozpočtu činil v letech 2007 až 2013 celkem 2</w:t>
      </w:r>
      <w:r w:rsidR="00CB23B1" w:rsidRPr="002F7A04">
        <w:rPr>
          <w:rFonts w:ascii="Arial" w:hAnsi="Arial" w:cs="Arial"/>
          <w:color w:val="000000" w:themeColor="text1"/>
          <w:sz w:val="22"/>
          <w:szCs w:val="22"/>
        </w:rPr>
        <w:t> </w:t>
      </w:r>
      <w:r w:rsidRPr="002F7A04">
        <w:rPr>
          <w:rFonts w:ascii="Arial" w:hAnsi="Arial" w:cs="Arial"/>
          <w:color w:val="000000" w:themeColor="text1"/>
          <w:sz w:val="22"/>
          <w:szCs w:val="22"/>
        </w:rPr>
        <w:t>700</w:t>
      </w:r>
      <w:r w:rsidR="00CB23B1" w:rsidRPr="002F7A04">
        <w:rPr>
          <w:rFonts w:ascii="Arial" w:hAnsi="Arial" w:cs="Arial"/>
          <w:color w:val="000000" w:themeColor="text1"/>
          <w:sz w:val="22"/>
          <w:szCs w:val="22"/>
        </w:rPr>
        <w:t> </w:t>
      </w:r>
      <w:r w:rsidR="0044068C">
        <w:rPr>
          <w:rFonts w:ascii="Arial" w:hAnsi="Arial" w:cs="Arial"/>
          <w:color w:val="000000" w:themeColor="text1"/>
          <w:sz w:val="22"/>
          <w:szCs w:val="22"/>
        </w:rPr>
        <w:t>mil. </w:t>
      </w:r>
      <w:r w:rsidRPr="002F7A04">
        <w:rPr>
          <w:rFonts w:ascii="Arial" w:hAnsi="Arial" w:cs="Arial"/>
          <w:color w:val="000000" w:themeColor="text1"/>
          <w:sz w:val="22"/>
          <w:szCs w:val="22"/>
        </w:rPr>
        <w:t>Kč</w:t>
      </w:r>
      <w:r w:rsidRPr="002F7A04">
        <w:rPr>
          <w:rStyle w:val="Znakapoznpodarou"/>
          <w:rFonts w:ascii="Arial" w:hAnsi="Arial" w:cs="Arial"/>
          <w:color w:val="000000" w:themeColor="text1"/>
          <w:sz w:val="22"/>
          <w:szCs w:val="22"/>
        </w:rPr>
        <w:footnoteReference w:id="4"/>
      </w:r>
      <w:r w:rsidRPr="002F7A04">
        <w:rPr>
          <w:rFonts w:ascii="Arial" w:hAnsi="Arial" w:cs="Arial"/>
          <w:color w:val="000000" w:themeColor="text1"/>
          <w:sz w:val="22"/>
          <w:szCs w:val="22"/>
        </w:rPr>
        <w:t xml:space="preserve">. Kontrola se zaměřila na </w:t>
      </w:r>
      <w:proofErr w:type="spellStart"/>
      <w:r w:rsidRPr="002F7A04">
        <w:rPr>
          <w:rFonts w:ascii="Arial" w:hAnsi="Arial" w:cs="Arial"/>
          <w:color w:val="000000" w:themeColor="text1"/>
          <w:sz w:val="22"/>
          <w:szCs w:val="22"/>
        </w:rPr>
        <w:t>CzechTourism</w:t>
      </w:r>
      <w:proofErr w:type="spellEnd"/>
      <w:r w:rsidRPr="002F7A04">
        <w:rPr>
          <w:rFonts w:ascii="Arial" w:hAnsi="Arial" w:cs="Arial"/>
          <w:color w:val="000000" w:themeColor="text1"/>
          <w:sz w:val="22"/>
          <w:szCs w:val="22"/>
        </w:rPr>
        <w:t xml:space="preserve"> jako příjemce dotace z </w:t>
      </w:r>
      <w:r w:rsidRPr="00EB18B3">
        <w:rPr>
          <w:rFonts w:ascii="Arial" w:hAnsi="Arial" w:cs="Arial"/>
          <w:i/>
          <w:color w:val="000000" w:themeColor="text1"/>
          <w:sz w:val="22"/>
          <w:szCs w:val="22"/>
        </w:rPr>
        <w:t>Integrovaného operačního programu</w:t>
      </w:r>
      <w:r w:rsidRPr="002F7A0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4068C" w:rsidRPr="002F7A04" w:rsidRDefault="0044068C" w:rsidP="0044068C">
      <w:pPr>
        <w:pStyle w:val="Zkladntext3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42354" w:rsidRDefault="00E24142" w:rsidP="0044068C">
      <w:pPr>
        <w:pStyle w:val="Zkladntext3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F7A04">
        <w:rPr>
          <w:rFonts w:ascii="Arial" w:hAnsi="Arial" w:cs="Arial"/>
          <w:color w:val="000000" w:themeColor="text1"/>
          <w:sz w:val="22"/>
          <w:szCs w:val="22"/>
        </w:rPr>
        <w:t xml:space="preserve">V kontrolovaných </w:t>
      </w:r>
      <w:r w:rsidR="00F8471A" w:rsidRPr="002F7A04">
        <w:rPr>
          <w:rFonts w:ascii="Arial" w:hAnsi="Arial" w:cs="Arial"/>
          <w:color w:val="000000" w:themeColor="text1"/>
          <w:sz w:val="22"/>
          <w:szCs w:val="22"/>
        </w:rPr>
        <w:t>čtyř</w:t>
      </w:r>
      <w:r w:rsidRPr="002F7A04">
        <w:rPr>
          <w:rFonts w:ascii="Arial" w:hAnsi="Arial" w:cs="Arial"/>
          <w:color w:val="000000" w:themeColor="text1"/>
          <w:sz w:val="22"/>
          <w:szCs w:val="22"/>
        </w:rPr>
        <w:t>ech</w:t>
      </w:r>
      <w:r w:rsidR="00F8471A" w:rsidRPr="002F7A04">
        <w:rPr>
          <w:rFonts w:ascii="Arial" w:hAnsi="Arial" w:cs="Arial"/>
          <w:color w:val="000000" w:themeColor="text1"/>
          <w:sz w:val="22"/>
          <w:szCs w:val="22"/>
        </w:rPr>
        <w:t xml:space="preserve"> regionálních </w:t>
      </w:r>
      <w:r w:rsidRPr="002F7A04">
        <w:rPr>
          <w:rFonts w:ascii="Arial" w:hAnsi="Arial" w:cs="Arial"/>
          <w:color w:val="000000" w:themeColor="text1"/>
          <w:sz w:val="22"/>
          <w:szCs w:val="22"/>
        </w:rPr>
        <w:t>operačních programech</w:t>
      </w:r>
      <w:r w:rsidR="00FC5662" w:rsidRPr="002F7A04">
        <w:rPr>
          <w:rFonts w:ascii="Arial" w:hAnsi="Arial" w:cs="Arial"/>
          <w:color w:val="000000" w:themeColor="text1"/>
          <w:sz w:val="22"/>
          <w:szCs w:val="22"/>
        </w:rPr>
        <w:t xml:space="preserve"> (dále také „ROP“)</w:t>
      </w:r>
      <w:r w:rsidR="00127897" w:rsidRPr="002F7A04">
        <w:rPr>
          <w:rFonts w:ascii="Arial" w:hAnsi="Arial" w:cs="Arial"/>
          <w:color w:val="000000" w:themeColor="text1"/>
          <w:sz w:val="22"/>
          <w:szCs w:val="22"/>
        </w:rPr>
        <w:t>, jejichž říd</w:t>
      </w:r>
      <w:r w:rsidR="00465459">
        <w:rPr>
          <w:rFonts w:ascii="Arial" w:hAnsi="Arial" w:cs="Arial"/>
          <w:color w:val="000000" w:themeColor="text1"/>
          <w:sz w:val="22"/>
          <w:szCs w:val="22"/>
        </w:rPr>
        <w:t>i</w:t>
      </w:r>
      <w:r w:rsidR="00127897" w:rsidRPr="002F7A04">
        <w:rPr>
          <w:rFonts w:ascii="Arial" w:hAnsi="Arial" w:cs="Arial"/>
          <w:color w:val="000000" w:themeColor="text1"/>
          <w:sz w:val="22"/>
          <w:szCs w:val="22"/>
        </w:rPr>
        <w:t xml:space="preserve">cími orgány jsou </w:t>
      </w:r>
      <w:r w:rsidR="004A2880">
        <w:rPr>
          <w:rFonts w:ascii="Arial" w:hAnsi="Arial" w:cs="Arial"/>
          <w:color w:val="000000" w:themeColor="text1"/>
          <w:sz w:val="22"/>
          <w:szCs w:val="22"/>
        </w:rPr>
        <w:t>r</w:t>
      </w:r>
      <w:r w:rsidR="00127897" w:rsidRPr="002F7A04">
        <w:rPr>
          <w:rFonts w:ascii="Arial" w:hAnsi="Arial" w:cs="Arial"/>
          <w:color w:val="000000" w:themeColor="text1"/>
          <w:sz w:val="22"/>
          <w:szCs w:val="22"/>
        </w:rPr>
        <w:t>egionální rady regionů soudržnosti</w:t>
      </w:r>
      <w:r w:rsidR="00850D88" w:rsidRPr="002F7A04">
        <w:rPr>
          <w:rFonts w:ascii="Arial" w:hAnsi="Arial" w:cs="Arial"/>
          <w:color w:val="000000" w:themeColor="text1"/>
          <w:sz w:val="22"/>
          <w:szCs w:val="22"/>
        </w:rPr>
        <w:t xml:space="preserve"> Jihovýchod, Jihozápad, Severovýchod a Střední Morava</w:t>
      </w:r>
      <w:r w:rsidR="00127897" w:rsidRPr="002F7A04">
        <w:rPr>
          <w:rFonts w:ascii="Arial" w:hAnsi="Arial" w:cs="Arial"/>
          <w:color w:val="000000" w:themeColor="text1"/>
          <w:sz w:val="22"/>
          <w:szCs w:val="22"/>
        </w:rPr>
        <w:t>,</w:t>
      </w:r>
      <w:r w:rsidRPr="002F7A04">
        <w:rPr>
          <w:rFonts w:ascii="Arial" w:hAnsi="Arial" w:cs="Arial"/>
          <w:color w:val="000000" w:themeColor="text1"/>
          <w:sz w:val="22"/>
          <w:szCs w:val="22"/>
        </w:rPr>
        <w:t xml:space="preserve"> bylo na podporu cestovního ruchu</w:t>
      </w:r>
      <w:r w:rsidR="006672A1" w:rsidRPr="002F7A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8471A" w:rsidRPr="002F7A04">
        <w:rPr>
          <w:rFonts w:ascii="Arial" w:hAnsi="Arial" w:cs="Arial"/>
          <w:color w:val="000000" w:themeColor="text1"/>
          <w:sz w:val="22"/>
          <w:szCs w:val="22"/>
        </w:rPr>
        <w:t xml:space="preserve">pro období 2007 až 2013 </w:t>
      </w:r>
      <w:r w:rsidR="00850D88" w:rsidRPr="002F7A04">
        <w:rPr>
          <w:rFonts w:ascii="Arial" w:hAnsi="Arial" w:cs="Arial"/>
          <w:color w:val="000000" w:themeColor="text1"/>
          <w:sz w:val="22"/>
          <w:szCs w:val="22"/>
        </w:rPr>
        <w:t xml:space="preserve">alokováno celkem </w:t>
      </w:r>
      <w:r w:rsidR="00D14535" w:rsidRPr="002F7A04">
        <w:rPr>
          <w:rFonts w:ascii="Arial" w:hAnsi="Arial" w:cs="Arial"/>
          <w:color w:val="000000" w:themeColor="text1"/>
          <w:sz w:val="22"/>
          <w:szCs w:val="22"/>
        </w:rPr>
        <w:t>15 548</w:t>
      </w:r>
      <w:r w:rsidR="00AD0D96" w:rsidRPr="002F7A04">
        <w:rPr>
          <w:rFonts w:ascii="Arial" w:hAnsi="Arial" w:cs="Arial"/>
          <w:color w:val="000000" w:themeColor="text1"/>
          <w:sz w:val="22"/>
          <w:szCs w:val="22"/>
        </w:rPr>
        <w:t xml:space="preserve"> mil. </w:t>
      </w:r>
      <w:r w:rsidR="00D14535" w:rsidRPr="002F7A04">
        <w:rPr>
          <w:rFonts w:ascii="Arial" w:hAnsi="Arial" w:cs="Arial"/>
          <w:color w:val="000000" w:themeColor="text1"/>
          <w:sz w:val="22"/>
          <w:szCs w:val="22"/>
        </w:rPr>
        <w:t>Kč</w:t>
      </w:r>
      <w:r w:rsidR="00D14535" w:rsidRPr="002F7A04">
        <w:rPr>
          <w:rStyle w:val="Znakapoznpodarou"/>
          <w:rFonts w:ascii="Arial" w:hAnsi="Arial" w:cs="Arial"/>
          <w:color w:val="000000" w:themeColor="text1"/>
          <w:sz w:val="22"/>
          <w:szCs w:val="22"/>
        </w:rPr>
        <w:footnoteReference w:id="5"/>
      </w:r>
      <w:r w:rsidR="00AD0D96" w:rsidRPr="002F7A0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4068C" w:rsidRPr="002F7A04" w:rsidRDefault="0044068C" w:rsidP="0044068C">
      <w:pPr>
        <w:pStyle w:val="Zkladntext3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42354" w:rsidRPr="002F7A04" w:rsidRDefault="00850D88" w:rsidP="0044068C">
      <w:pPr>
        <w:pStyle w:val="Zkladntext3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F7A04">
        <w:rPr>
          <w:rFonts w:ascii="Arial" w:hAnsi="Arial" w:cs="Arial"/>
          <w:color w:val="000000" w:themeColor="text1"/>
          <w:sz w:val="22"/>
          <w:szCs w:val="22"/>
        </w:rPr>
        <w:t>O</w:t>
      </w:r>
      <w:r w:rsidR="00942354" w:rsidRPr="002F7A04">
        <w:rPr>
          <w:rFonts w:ascii="Arial" w:hAnsi="Arial" w:cs="Arial"/>
          <w:color w:val="000000" w:themeColor="text1"/>
          <w:sz w:val="22"/>
          <w:szCs w:val="22"/>
        </w:rPr>
        <w:t xml:space="preserve">d roku 2007 do doby ukončení kontroly </w:t>
      </w:r>
      <w:r w:rsidRPr="002F7A04">
        <w:rPr>
          <w:rFonts w:ascii="Arial" w:hAnsi="Arial" w:cs="Arial"/>
          <w:color w:val="000000" w:themeColor="text1"/>
          <w:sz w:val="22"/>
          <w:szCs w:val="22"/>
        </w:rPr>
        <w:t xml:space="preserve">bylo celkem </w:t>
      </w:r>
      <w:r w:rsidR="00924677" w:rsidRPr="002F7A04">
        <w:rPr>
          <w:rFonts w:ascii="Arial" w:hAnsi="Arial" w:cs="Arial"/>
          <w:color w:val="000000" w:themeColor="text1"/>
          <w:sz w:val="22"/>
          <w:szCs w:val="22"/>
        </w:rPr>
        <w:t>proplaceno</w:t>
      </w:r>
      <w:r w:rsidR="004A2880">
        <w:rPr>
          <w:rFonts w:ascii="Arial" w:hAnsi="Arial" w:cs="Arial"/>
          <w:color w:val="000000" w:themeColor="text1"/>
          <w:sz w:val="22"/>
          <w:szCs w:val="22"/>
        </w:rPr>
        <w:t xml:space="preserve"> v rámci </w:t>
      </w:r>
      <w:r w:rsidR="000C6AEE" w:rsidRPr="002F7A04">
        <w:rPr>
          <w:rFonts w:ascii="Arial" w:hAnsi="Arial" w:cs="Arial"/>
          <w:color w:val="000000" w:themeColor="text1"/>
          <w:sz w:val="22"/>
          <w:szCs w:val="22"/>
        </w:rPr>
        <w:t xml:space="preserve">uvedených programů </w:t>
      </w:r>
      <w:r w:rsidR="00942354" w:rsidRPr="002F7A04">
        <w:rPr>
          <w:rFonts w:ascii="Arial" w:hAnsi="Arial" w:cs="Arial"/>
          <w:color w:val="000000" w:themeColor="text1"/>
          <w:sz w:val="22"/>
          <w:szCs w:val="22"/>
        </w:rPr>
        <w:t xml:space="preserve">na podporu cestovního ruchu </w:t>
      </w:r>
      <w:r w:rsidR="007E55AA" w:rsidRPr="002F7A04">
        <w:rPr>
          <w:rFonts w:ascii="Arial" w:hAnsi="Arial" w:cs="Arial"/>
          <w:color w:val="000000" w:themeColor="text1"/>
          <w:sz w:val="22"/>
          <w:szCs w:val="22"/>
        </w:rPr>
        <w:t>celkem 10</w:t>
      </w:r>
      <w:r w:rsidR="007A57FF" w:rsidRPr="002F7A04">
        <w:rPr>
          <w:rFonts w:ascii="Arial" w:hAnsi="Arial" w:cs="Arial"/>
          <w:color w:val="000000" w:themeColor="text1"/>
          <w:sz w:val="22"/>
          <w:szCs w:val="22"/>
        </w:rPr>
        <w:t> 643</w:t>
      </w:r>
      <w:r w:rsidR="007E55AA" w:rsidRPr="002F7A04">
        <w:rPr>
          <w:rFonts w:ascii="Arial" w:hAnsi="Arial" w:cs="Arial"/>
          <w:color w:val="000000" w:themeColor="text1"/>
          <w:sz w:val="22"/>
          <w:szCs w:val="22"/>
        </w:rPr>
        <w:t xml:space="preserve"> mil. Kč, z toho </w:t>
      </w:r>
      <w:r w:rsidR="00924677" w:rsidRPr="002F7A04">
        <w:rPr>
          <w:rFonts w:ascii="Arial" w:hAnsi="Arial" w:cs="Arial"/>
          <w:color w:val="000000" w:themeColor="text1"/>
          <w:sz w:val="22"/>
          <w:szCs w:val="22"/>
        </w:rPr>
        <w:t>9</w:t>
      </w:r>
      <w:r w:rsidR="007A57FF" w:rsidRPr="002F7A04">
        <w:rPr>
          <w:rFonts w:ascii="Arial" w:hAnsi="Arial" w:cs="Arial"/>
          <w:color w:val="000000" w:themeColor="text1"/>
          <w:sz w:val="22"/>
          <w:szCs w:val="22"/>
        </w:rPr>
        <w:t> </w:t>
      </w:r>
      <w:r w:rsidR="00924677" w:rsidRPr="002F7A04">
        <w:rPr>
          <w:rFonts w:ascii="Arial" w:hAnsi="Arial" w:cs="Arial"/>
          <w:color w:val="000000" w:themeColor="text1"/>
          <w:sz w:val="22"/>
          <w:szCs w:val="22"/>
        </w:rPr>
        <w:t>20</w:t>
      </w:r>
      <w:r w:rsidR="007A57FF" w:rsidRPr="002F7A04">
        <w:rPr>
          <w:rFonts w:ascii="Arial" w:hAnsi="Arial" w:cs="Arial"/>
          <w:color w:val="000000" w:themeColor="text1"/>
          <w:sz w:val="22"/>
          <w:szCs w:val="22"/>
        </w:rPr>
        <w:t xml:space="preserve">2 </w:t>
      </w:r>
      <w:r w:rsidR="00924677" w:rsidRPr="002F7A04">
        <w:rPr>
          <w:rFonts w:ascii="Arial" w:hAnsi="Arial" w:cs="Arial"/>
          <w:color w:val="000000" w:themeColor="text1"/>
          <w:sz w:val="22"/>
          <w:szCs w:val="22"/>
        </w:rPr>
        <w:t xml:space="preserve">mil. Kč </w:t>
      </w:r>
      <w:r w:rsidR="00942354" w:rsidRPr="002F7A04">
        <w:rPr>
          <w:rFonts w:ascii="Arial" w:hAnsi="Arial" w:cs="Arial"/>
          <w:color w:val="000000" w:themeColor="text1"/>
          <w:sz w:val="22"/>
          <w:szCs w:val="22"/>
        </w:rPr>
        <w:t xml:space="preserve">z prostředků </w:t>
      </w:r>
      <w:r w:rsidR="00942354" w:rsidRPr="00EB18B3">
        <w:rPr>
          <w:rFonts w:ascii="Arial" w:hAnsi="Arial" w:cs="Arial"/>
          <w:i/>
          <w:color w:val="000000" w:themeColor="text1"/>
          <w:sz w:val="22"/>
          <w:szCs w:val="22"/>
        </w:rPr>
        <w:t>Evropského fondu pro regionální rozvoj</w:t>
      </w:r>
      <w:r w:rsidR="00942354" w:rsidRPr="002F7A04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r w:rsidR="00924677" w:rsidRPr="002F7A04">
        <w:rPr>
          <w:rFonts w:ascii="Arial" w:hAnsi="Arial" w:cs="Arial"/>
          <w:color w:val="000000" w:themeColor="text1"/>
          <w:sz w:val="22"/>
          <w:szCs w:val="22"/>
        </w:rPr>
        <w:t>1 441</w:t>
      </w:r>
      <w:r w:rsidR="00465459">
        <w:rPr>
          <w:rFonts w:ascii="Arial" w:hAnsi="Arial" w:cs="Arial"/>
          <w:color w:val="000000" w:themeColor="text1"/>
          <w:sz w:val="22"/>
          <w:szCs w:val="22"/>
        </w:rPr>
        <w:t> </w:t>
      </w:r>
      <w:r w:rsidR="00924677" w:rsidRPr="002F7A04">
        <w:rPr>
          <w:rFonts w:ascii="Arial" w:hAnsi="Arial" w:cs="Arial"/>
          <w:color w:val="000000" w:themeColor="text1"/>
          <w:sz w:val="22"/>
          <w:szCs w:val="22"/>
        </w:rPr>
        <w:t>mil. Kč</w:t>
      </w:r>
      <w:r w:rsidR="00942354" w:rsidRPr="002F7A04">
        <w:rPr>
          <w:rFonts w:ascii="Arial" w:hAnsi="Arial" w:cs="Arial"/>
          <w:color w:val="000000" w:themeColor="text1"/>
          <w:sz w:val="22"/>
          <w:szCs w:val="22"/>
        </w:rPr>
        <w:t xml:space="preserve"> z</w:t>
      </w:r>
      <w:r w:rsidR="00832A6E" w:rsidRPr="002F7A04">
        <w:rPr>
          <w:rFonts w:ascii="Arial" w:hAnsi="Arial" w:cs="Arial"/>
          <w:color w:val="000000" w:themeColor="text1"/>
          <w:sz w:val="22"/>
          <w:szCs w:val="22"/>
        </w:rPr>
        <w:t> národních zdrojů</w:t>
      </w:r>
      <w:r w:rsidR="00942354" w:rsidRPr="002F7A0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550A8" w:rsidRPr="0044068C" w:rsidRDefault="00A550A8" w:rsidP="0044068C">
      <w:pPr>
        <w:pStyle w:val="Zkladntext3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4068C" w:rsidRPr="0044068C" w:rsidRDefault="0044068C" w:rsidP="0044068C">
      <w:pPr>
        <w:pStyle w:val="Zkladntext3"/>
        <w:spacing w:after="0"/>
        <w:ind w:left="1418" w:hanging="141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4068C" w:rsidRPr="0044068C" w:rsidRDefault="0044068C" w:rsidP="0044068C">
      <w:pPr>
        <w:pStyle w:val="Zkladntext3"/>
        <w:spacing w:after="0"/>
        <w:ind w:left="1418" w:hanging="141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4068C" w:rsidRPr="0044068C" w:rsidRDefault="0044068C" w:rsidP="0044068C">
      <w:pPr>
        <w:pStyle w:val="Zkladntext3"/>
        <w:spacing w:after="0"/>
        <w:ind w:left="1418" w:hanging="141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4068C" w:rsidRPr="0044068C" w:rsidRDefault="0044068C" w:rsidP="0044068C">
      <w:pPr>
        <w:pStyle w:val="Zkladntext3"/>
        <w:spacing w:after="0"/>
        <w:ind w:left="1418" w:hanging="141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4068C" w:rsidRDefault="0044068C" w:rsidP="0044068C">
      <w:pPr>
        <w:pStyle w:val="Zkladntext3"/>
        <w:spacing w:after="0"/>
        <w:ind w:left="1418" w:hanging="141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11C5E" w:rsidRDefault="00B11C5E" w:rsidP="0044068C">
      <w:pPr>
        <w:pStyle w:val="Zkladntext3"/>
        <w:spacing w:after="0"/>
        <w:ind w:left="1418" w:hanging="141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B18B3" w:rsidRDefault="00EB18B3">
      <w:pPr>
        <w:spacing w:after="200" w:line="276" w:lineRule="auto"/>
        <w:rPr>
          <w:rFonts w:cs="Arial"/>
          <w:b/>
          <w:color w:val="000000" w:themeColor="text1"/>
          <w:sz w:val="22"/>
          <w:szCs w:val="22"/>
          <w:lang w:eastAsia="en-US"/>
        </w:rPr>
      </w:pPr>
      <w:r>
        <w:rPr>
          <w:rFonts w:cs="Arial"/>
          <w:b/>
          <w:color w:val="000000" w:themeColor="text1"/>
          <w:sz w:val="22"/>
          <w:szCs w:val="22"/>
        </w:rPr>
        <w:br w:type="page"/>
      </w:r>
    </w:p>
    <w:p w:rsidR="003B25B7" w:rsidRDefault="00B11C5E" w:rsidP="0044097C">
      <w:pPr>
        <w:pStyle w:val="Zkladntext3"/>
        <w:tabs>
          <w:tab w:val="right" w:pos="8647"/>
        </w:tabs>
        <w:spacing w:after="0"/>
        <w:ind w:left="1134" w:hanging="1134"/>
        <w:rPr>
          <w:rFonts w:ascii="Arial" w:hAnsi="Arial" w:cs="Arial"/>
          <w:b/>
          <w:color w:val="000000" w:themeColor="text1"/>
          <w:sz w:val="22"/>
          <w:szCs w:val="22"/>
        </w:rPr>
      </w:pPr>
      <w:r w:rsidRPr="002F7A04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Graf č. 1 – </w:t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2F7A04">
        <w:rPr>
          <w:rFonts w:ascii="Arial" w:hAnsi="Arial" w:cs="Arial"/>
          <w:b/>
          <w:color w:val="000000" w:themeColor="text1"/>
          <w:sz w:val="22"/>
          <w:szCs w:val="22"/>
        </w:rPr>
        <w:t>Stav čerpání peněžních prostředků alokovaných na cestovní ruch u kontrolovaných programů k únoru 2014</w:t>
      </w:r>
      <w:r w:rsidR="0044097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4097C">
        <w:rPr>
          <w:rFonts w:ascii="Arial" w:hAnsi="Arial" w:cs="Arial"/>
          <w:b/>
          <w:color w:val="000000" w:themeColor="text1"/>
          <w:sz w:val="22"/>
          <w:szCs w:val="22"/>
        </w:rPr>
        <w:tab/>
        <w:t>(v mil. Kč)</w:t>
      </w:r>
    </w:p>
    <w:p w:rsidR="00940E7D" w:rsidRDefault="00940E7D" w:rsidP="00940E7D">
      <w:pPr>
        <w:pStyle w:val="Zkladntext3"/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70790B11" wp14:editId="6EAA6F34">
            <wp:extent cx="5971430" cy="269233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494" cy="2695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557D" w:rsidRDefault="00D3557D" w:rsidP="009C5B79">
      <w:pPr>
        <w:pStyle w:val="Zkladntext3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E57FE" w:rsidRPr="00B11C5E" w:rsidRDefault="00BE57FE" w:rsidP="00B11C5E">
      <w:pPr>
        <w:pStyle w:val="Zkladntext3"/>
        <w:spacing w:after="0"/>
        <w:ind w:left="1418" w:hanging="141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51E7A" w:rsidRPr="002F7A04" w:rsidRDefault="00F51E7A" w:rsidP="002F7A04">
      <w:pPr>
        <w:ind w:left="360"/>
        <w:jc w:val="center"/>
        <w:rPr>
          <w:rFonts w:cs="Arial"/>
          <w:b/>
          <w:color w:val="000000" w:themeColor="text1"/>
          <w:sz w:val="22"/>
          <w:szCs w:val="22"/>
        </w:rPr>
      </w:pPr>
      <w:r w:rsidRPr="002F7A04">
        <w:rPr>
          <w:rFonts w:cs="Arial"/>
          <w:b/>
          <w:color w:val="000000" w:themeColor="text1"/>
        </w:rPr>
        <w:t>II. Skutečnosti zjištěné při kontrole</w:t>
      </w:r>
    </w:p>
    <w:p w:rsidR="00F51E7A" w:rsidRPr="002F7A04" w:rsidRDefault="00F51E7A" w:rsidP="00D3557D">
      <w:pPr>
        <w:jc w:val="both"/>
        <w:rPr>
          <w:rFonts w:cs="Arial"/>
          <w:b/>
          <w:color w:val="000000" w:themeColor="text1"/>
          <w:sz w:val="22"/>
          <w:szCs w:val="22"/>
        </w:rPr>
      </w:pPr>
    </w:p>
    <w:p w:rsidR="003939CA" w:rsidRPr="00D3557D" w:rsidRDefault="00D3557D" w:rsidP="00D3557D">
      <w:pPr>
        <w:autoSpaceDE w:val="0"/>
        <w:autoSpaceDN w:val="0"/>
        <w:ind w:right="23"/>
        <w:jc w:val="both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 xml:space="preserve">1. </w:t>
      </w:r>
      <w:r w:rsidR="005A67C9" w:rsidRPr="00D3557D">
        <w:rPr>
          <w:rFonts w:cs="Arial"/>
          <w:b/>
          <w:color w:val="000000" w:themeColor="text1"/>
          <w:sz w:val="22"/>
          <w:szCs w:val="22"/>
        </w:rPr>
        <w:t>Činnost MMR jako orgánu státní správy pro věci cestovního ruchu</w:t>
      </w:r>
    </w:p>
    <w:p w:rsidR="00D3557D" w:rsidRPr="00D3557D" w:rsidRDefault="00D3557D" w:rsidP="002F7A04">
      <w:pPr>
        <w:jc w:val="both"/>
        <w:rPr>
          <w:rFonts w:cs="Arial"/>
          <w:bCs/>
          <w:color w:val="000000" w:themeColor="text1"/>
          <w:sz w:val="22"/>
          <w:szCs w:val="22"/>
        </w:rPr>
      </w:pPr>
    </w:p>
    <w:p w:rsidR="008F735D" w:rsidRPr="002F7A04" w:rsidRDefault="008E7D98" w:rsidP="002F7A04">
      <w:pPr>
        <w:jc w:val="both"/>
        <w:rPr>
          <w:rFonts w:cs="Arial"/>
          <w:b/>
          <w:bCs/>
          <w:color w:val="000000" w:themeColor="text1"/>
          <w:sz w:val="22"/>
          <w:szCs w:val="22"/>
        </w:rPr>
      </w:pPr>
      <w:r w:rsidRPr="002F7A04">
        <w:rPr>
          <w:rFonts w:cs="Arial"/>
          <w:b/>
          <w:bCs/>
          <w:color w:val="000000" w:themeColor="text1"/>
          <w:sz w:val="22"/>
          <w:szCs w:val="22"/>
        </w:rPr>
        <w:t>R</w:t>
      </w:r>
      <w:r w:rsidR="00080355" w:rsidRPr="002F7A04">
        <w:rPr>
          <w:rFonts w:cs="Arial"/>
          <w:b/>
          <w:bCs/>
          <w:color w:val="000000" w:themeColor="text1"/>
          <w:sz w:val="22"/>
          <w:szCs w:val="22"/>
        </w:rPr>
        <w:t xml:space="preserve">ealizace opatření </w:t>
      </w:r>
      <w:r w:rsidR="00080355" w:rsidRPr="002F7A04">
        <w:rPr>
          <w:rFonts w:cs="Arial"/>
          <w:b/>
          <w:color w:val="000000" w:themeColor="text1"/>
          <w:sz w:val="22"/>
          <w:szCs w:val="22"/>
        </w:rPr>
        <w:t>koncepce státní politiky cestovního ruchu</w:t>
      </w:r>
      <w:r w:rsidR="00E50EFC" w:rsidRPr="002F7A04">
        <w:rPr>
          <w:rFonts w:cs="Arial"/>
          <w:b/>
          <w:color w:val="000000" w:themeColor="text1"/>
          <w:sz w:val="22"/>
          <w:szCs w:val="22"/>
        </w:rPr>
        <w:t xml:space="preserve"> a tomu odpovídající finanční podpora</w:t>
      </w:r>
      <w:r w:rsidR="00080355" w:rsidRPr="002F7A04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="00D06F6A">
        <w:rPr>
          <w:rFonts w:cs="Arial"/>
          <w:b/>
          <w:bCs/>
          <w:color w:val="000000" w:themeColor="text1"/>
          <w:sz w:val="22"/>
          <w:szCs w:val="22"/>
        </w:rPr>
        <w:t>nejsou</w:t>
      </w:r>
      <w:r w:rsidR="00080355" w:rsidRPr="002F7A04">
        <w:rPr>
          <w:rFonts w:cs="Arial"/>
          <w:b/>
          <w:bCs/>
          <w:color w:val="000000" w:themeColor="text1"/>
          <w:sz w:val="22"/>
          <w:szCs w:val="22"/>
        </w:rPr>
        <w:t xml:space="preserve"> uceleně koordinován</w:t>
      </w:r>
      <w:r w:rsidR="00D06F6A">
        <w:rPr>
          <w:rFonts w:cs="Arial"/>
          <w:b/>
          <w:bCs/>
          <w:color w:val="000000" w:themeColor="text1"/>
          <w:sz w:val="22"/>
          <w:szCs w:val="22"/>
        </w:rPr>
        <w:t>y</w:t>
      </w:r>
      <w:r w:rsidRPr="002F7A04">
        <w:rPr>
          <w:rFonts w:cs="Arial"/>
          <w:b/>
          <w:bCs/>
          <w:color w:val="000000" w:themeColor="text1"/>
          <w:sz w:val="22"/>
          <w:szCs w:val="22"/>
        </w:rPr>
        <w:t xml:space="preserve">. </w:t>
      </w:r>
      <w:r w:rsidR="00A84F07" w:rsidRPr="002F7A04">
        <w:rPr>
          <w:rFonts w:cs="Arial"/>
          <w:b/>
          <w:bCs/>
          <w:color w:val="000000" w:themeColor="text1"/>
          <w:sz w:val="22"/>
          <w:szCs w:val="22"/>
        </w:rPr>
        <w:t xml:space="preserve">Přestože je </w:t>
      </w:r>
      <w:r w:rsidR="00080355" w:rsidRPr="002F7A04">
        <w:rPr>
          <w:rFonts w:cs="Arial"/>
          <w:b/>
          <w:bCs/>
          <w:color w:val="000000" w:themeColor="text1"/>
          <w:sz w:val="22"/>
          <w:szCs w:val="22"/>
        </w:rPr>
        <w:t>MMR</w:t>
      </w:r>
      <w:r w:rsidR="00565B5F" w:rsidRPr="002F7A04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="00E46DDE" w:rsidRPr="002F7A04">
        <w:rPr>
          <w:rFonts w:cs="Arial"/>
          <w:b/>
          <w:bCs/>
          <w:color w:val="000000" w:themeColor="text1"/>
          <w:sz w:val="22"/>
          <w:szCs w:val="22"/>
        </w:rPr>
        <w:t>ústřední</w:t>
      </w:r>
      <w:r w:rsidR="00565B5F" w:rsidRPr="002F7A04">
        <w:rPr>
          <w:rFonts w:cs="Arial"/>
          <w:b/>
          <w:bCs/>
          <w:color w:val="000000" w:themeColor="text1"/>
          <w:sz w:val="22"/>
          <w:szCs w:val="22"/>
        </w:rPr>
        <w:t>m</w:t>
      </w:r>
      <w:r w:rsidR="00E46DDE" w:rsidRPr="002F7A04">
        <w:rPr>
          <w:rFonts w:cs="Arial"/>
          <w:b/>
          <w:bCs/>
          <w:color w:val="000000" w:themeColor="text1"/>
          <w:sz w:val="22"/>
          <w:szCs w:val="22"/>
        </w:rPr>
        <w:t xml:space="preserve"> orgán</w:t>
      </w:r>
      <w:r w:rsidR="00565B5F" w:rsidRPr="002F7A04">
        <w:rPr>
          <w:rFonts w:cs="Arial"/>
          <w:b/>
          <w:bCs/>
          <w:color w:val="000000" w:themeColor="text1"/>
          <w:sz w:val="22"/>
          <w:szCs w:val="22"/>
        </w:rPr>
        <w:t>em</w:t>
      </w:r>
      <w:r w:rsidR="00E46DDE" w:rsidRPr="002F7A04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="005A67C9" w:rsidRPr="002F7A04">
        <w:rPr>
          <w:rFonts w:cs="Arial"/>
          <w:b/>
          <w:bCs/>
          <w:color w:val="000000" w:themeColor="text1"/>
          <w:sz w:val="22"/>
          <w:szCs w:val="22"/>
        </w:rPr>
        <w:t xml:space="preserve">státní správy </w:t>
      </w:r>
      <w:r w:rsidR="00E46DDE" w:rsidRPr="002F7A04">
        <w:rPr>
          <w:rFonts w:cs="Arial"/>
          <w:b/>
          <w:bCs/>
          <w:color w:val="000000" w:themeColor="text1"/>
          <w:sz w:val="22"/>
          <w:szCs w:val="22"/>
        </w:rPr>
        <w:t>pro věci cestovního ruchu</w:t>
      </w:r>
      <w:r w:rsidR="00565B5F" w:rsidRPr="002F7A04">
        <w:rPr>
          <w:rFonts w:cs="Arial"/>
          <w:b/>
          <w:bCs/>
          <w:color w:val="000000" w:themeColor="text1"/>
          <w:sz w:val="22"/>
          <w:szCs w:val="22"/>
        </w:rPr>
        <w:t>,</w:t>
      </w:r>
      <w:r w:rsidR="00E46DDE" w:rsidRPr="002F7A04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="00A84F07" w:rsidRPr="002F7A04">
        <w:rPr>
          <w:rFonts w:cs="Arial"/>
          <w:b/>
          <w:bCs/>
          <w:color w:val="000000" w:themeColor="text1"/>
          <w:sz w:val="22"/>
          <w:szCs w:val="22"/>
        </w:rPr>
        <w:t xml:space="preserve">nemá </w:t>
      </w:r>
      <w:r w:rsidR="00080355" w:rsidRPr="002F7A04">
        <w:rPr>
          <w:rFonts w:cs="Arial"/>
          <w:b/>
          <w:bCs/>
          <w:color w:val="000000" w:themeColor="text1"/>
          <w:sz w:val="22"/>
          <w:szCs w:val="22"/>
        </w:rPr>
        <w:t>k tomu dostatečné nástroje</w:t>
      </w:r>
      <w:r w:rsidRPr="002F7A04">
        <w:rPr>
          <w:rFonts w:cs="Arial"/>
          <w:b/>
          <w:bCs/>
          <w:color w:val="000000" w:themeColor="text1"/>
          <w:sz w:val="22"/>
          <w:szCs w:val="22"/>
        </w:rPr>
        <w:t>.</w:t>
      </w:r>
      <w:r w:rsidR="00080355" w:rsidRPr="002F7A04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</w:p>
    <w:p w:rsidR="00B11C5E" w:rsidRDefault="00B11C5E" w:rsidP="002F7A04">
      <w:pPr>
        <w:jc w:val="both"/>
        <w:rPr>
          <w:rFonts w:cs="Arial"/>
          <w:color w:val="000000" w:themeColor="text1"/>
          <w:sz w:val="22"/>
          <w:szCs w:val="22"/>
        </w:rPr>
      </w:pPr>
    </w:p>
    <w:p w:rsidR="00820931" w:rsidRPr="002F7A04" w:rsidRDefault="00997543" w:rsidP="002F7A04">
      <w:pPr>
        <w:jc w:val="both"/>
        <w:rPr>
          <w:rFonts w:cs="Arial"/>
          <w:color w:val="000000" w:themeColor="text1"/>
          <w:sz w:val="22"/>
          <w:szCs w:val="22"/>
        </w:rPr>
      </w:pPr>
      <w:r w:rsidRPr="002F7A04">
        <w:rPr>
          <w:rFonts w:cs="Arial"/>
          <w:color w:val="000000" w:themeColor="text1"/>
          <w:sz w:val="22"/>
          <w:szCs w:val="22"/>
        </w:rPr>
        <w:t>Podle Koncepce 2007–2013 a jejího prováděcího dokumentu se kraje měly podílet na realizaci většiny opatření a aktivit státní politiky cestovního r</w:t>
      </w:r>
      <w:r w:rsidR="00C272F1" w:rsidRPr="002F7A04">
        <w:rPr>
          <w:rFonts w:cs="Arial"/>
          <w:color w:val="000000" w:themeColor="text1"/>
          <w:sz w:val="22"/>
          <w:szCs w:val="22"/>
        </w:rPr>
        <w:t>uchu, a to přímo jako garanti a </w:t>
      </w:r>
      <w:r w:rsidRPr="002F7A04">
        <w:rPr>
          <w:rFonts w:cs="Arial"/>
          <w:color w:val="000000" w:themeColor="text1"/>
          <w:sz w:val="22"/>
          <w:szCs w:val="22"/>
        </w:rPr>
        <w:t xml:space="preserve">realizátoři, nebo na realizaci měly alespoň spolupracovat. Tvorba a realizace koncepce rozvoje cestovního ruchu na území krajů spadá do samostatné působnosti krajů. Vláda </w:t>
      </w:r>
      <w:r w:rsidR="00251830" w:rsidRPr="002F7A04">
        <w:rPr>
          <w:rFonts w:cs="Arial"/>
          <w:color w:val="000000" w:themeColor="text1"/>
          <w:sz w:val="22"/>
          <w:szCs w:val="22"/>
        </w:rPr>
        <w:t>svým usnesením</w:t>
      </w:r>
      <w:r w:rsidR="00251830" w:rsidRPr="002F7A04">
        <w:rPr>
          <w:rFonts w:cs="Arial"/>
          <w:color w:val="000000" w:themeColor="text1"/>
          <w:sz w:val="22"/>
          <w:szCs w:val="22"/>
          <w:vertAlign w:val="superscript"/>
        </w:rPr>
        <w:t>1</w:t>
      </w:r>
      <w:r w:rsidR="00251830" w:rsidRPr="002F7A04">
        <w:rPr>
          <w:rFonts w:cs="Arial"/>
          <w:color w:val="000000" w:themeColor="text1"/>
          <w:sz w:val="22"/>
          <w:szCs w:val="22"/>
        </w:rPr>
        <w:t xml:space="preserve"> </w:t>
      </w:r>
      <w:r w:rsidRPr="002F7A04">
        <w:rPr>
          <w:rFonts w:cs="Arial"/>
          <w:color w:val="000000" w:themeColor="text1"/>
          <w:sz w:val="22"/>
          <w:szCs w:val="22"/>
        </w:rPr>
        <w:t>doporučila hejtmanům spolupracovat</w:t>
      </w:r>
      <w:r w:rsidR="00E26A50" w:rsidRPr="002F7A04">
        <w:rPr>
          <w:rFonts w:cs="Arial"/>
          <w:color w:val="000000" w:themeColor="text1"/>
          <w:sz w:val="22"/>
          <w:szCs w:val="22"/>
        </w:rPr>
        <w:t xml:space="preserve"> </w:t>
      </w:r>
      <w:r w:rsidRPr="002F7A04">
        <w:rPr>
          <w:rFonts w:cs="Arial"/>
          <w:color w:val="000000" w:themeColor="text1"/>
          <w:sz w:val="22"/>
          <w:szCs w:val="22"/>
        </w:rPr>
        <w:t>a koncepci státní p</w:t>
      </w:r>
      <w:r w:rsidR="00C272F1" w:rsidRPr="002F7A04">
        <w:rPr>
          <w:rFonts w:cs="Arial"/>
          <w:color w:val="000000" w:themeColor="text1"/>
          <w:sz w:val="22"/>
          <w:szCs w:val="22"/>
        </w:rPr>
        <w:t>olitiky využít pro zpracování a </w:t>
      </w:r>
      <w:r w:rsidRPr="002F7A04">
        <w:rPr>
          <w:rFonts w:cs="Arial"/>
          <w:color w:val="000000" w:themeColor="text1"/>
          <w:sz w:val="22"/>
          <w:szCs w:val="22"/>
        </w:rPr>
        <w:t xml:space="preserve">aktualizaci krajských programů rozvoje cestovního ruchu a dalších souvisejících strategických dokumentů. Zajištění vazby státní politiky cestovního ruchu na koncepce rozvoje cestovního ruchu na území krajů a realizace jejích opatření tak bylo pro kraje dobrovolné. </w:t>
      </w:r>
    </w:p>
    <w:p w:rsidR="008F735D" w:rsidRPr="002F7A04" w:rsidRDefault="008F735D" w:rsidP="002F7A04">
      <w:pPr>
        <w:autoSpaceDE w:val="0"/>
        <w:autoSpaceDN w:val="0"/>
        <w:ind w:right="23"/>
        <w:jc w:val="both"/>
        <w:rPr>
          <w:rFonts w:cs="Arial"/>
          <w:color w:val="000000" w:themeColor="text1"/>
          <w:sz w:val="22"/>
          <w:szCs w:val="22"/>
        </w:rPr>
      </w:pPr>
    </w:p>
    <w:p w:rsidR="00D676F9" w:rsidRPr="002F7A04" w:rsidRDefault="00D676F9" w:rsidP="002F7A04">
      <w:pPr>
        <w:autoSpaceDE w:val="0"/>
        <w:autoSpaceDN w:val="0"/>
        <w:ind w:right="23"/>
        <w:jc w:val="both"/>
        <w:rPr>
          <w:rFonts w:cs="Arial"/>
          <w:bCs/>
          <w:color w:val="000000" w:themeColor="text1"/>
          <w:sz w:val="22"/>
          <w:szCs w:val="22"/>
        </w:rPr>
      </w:pPr>
      <w:r w:rsidRPr="002F7A04">
        <w:rPr>
          <w:rFonts w:cs="Arial"/>
          <w:color w:val="000000" w:themeColor="text1"/>
          <w:sz w:val="22"/>
          <w:szCs w:val="22"/>
        </w:rPr>
        <w:t>Koncepce 2007–2013 byla realizována</w:t>
      </w:r>
      <w:r w:rsidR="007A57FF" w:rsidRPr="002F7A04">
        <w:rPr>
          <w:rFonts w:cs="Arial"/>
          <w:color w:val="000000" w:themeColor="text1"/>
          <w:sz w:val="22"/>
          <w:szCs w:val="22"/>
        </w:rPr>
        <w:t xml:space="preserve"> mimo jiné </w:t>
      </w:r>
      <w:r w:rsidR="00DB74AC" w:rsidRPr="002F7A04">
        <w:rPr>
          <w:rFonts w:cs="Arial"/>
          <w:color w:val="000000" w:themeColor="text1"/>
          <w:sz w:val="22"/>
          <w:szCs w:val="22"/>
        </w:rPr>
        <w:t xml:space="preserve">i </w:t>
      </w:r>
      <w:r w:rsidR="007A57FF" w:rsidRPr="002F7A04">
        <w:rPr>
          <w:rFonts w:cs="Arial"/>
          <w:color w:val="000000" w:themeColor="text1"/>
          <w:sz w:val="22"/>
          <w:szCs w:val="22"/>
        </w:rPr>
        <w:t>programy, které MMR</w:t>
      </w:r>
      <w:r w:rsidRPr="002F7A04">
        <w:rPr>
          <w:rFonts w:cs="Arial"/>
          <w:color w:val="000000" w:themeColor="text1"/>
          <w:sz w:val="22"/>
          <w:szCs w:val="22"/>
        </w:rPr>
        <w:t xml:space="preserve"> </w:t>
      </w:r>
      <w:r w:rsidR="007A57FF" w:rsidRPr="002F7A04">
        <w:rPr>
          <w:rFonts w:cs="Arial"/>
          <w:color w:val="000000" w:themeColor="text1"/>
          <w:sz w:val="22"/>
          <w:szCs w:val="22"/>
        </w:rPr>
        <w:t xml:space="preserve">neřídí ani nespravuje </w:t>
      </w:r>
      <w:r w:rsidR="00BC0D11" w:rsidRPr="002F7A04">
        <w:rPr>
          <w:rFonts w:cs="Arial"/>
          <w:color w:val="000000" w:themeColor="text1"/>
          <w:sz w:val="22"/>
          <w:szCs w:val="22"/>
        </w:rPr>
        <w:t>–</w:t>
      </w:r>
      <w:r w:rsidR="007A57FF" w:rsidRPr="002F7A04">
        <w:rPr>
          <w:rFonts w:cs="Arial"/>
          <w:color w:val="000000" w:themeColor="text1"/>
          <w:sz w:val="22"/>
          <w:szCs w:val="22"/>
        </w:rPr>
        <w:t xml:space="preserve"> </w:t>
      </w:r>
      <w:r w:rsidR="00011D15">
        <w:rPr>
          <w:rFonts w:cs="Arial"/>
          <w:color w:val="000000" w:themeColor="text1"/>
          <w:sz w:val="22"/>
          <w:szCs w:val="22"/>
        </w:rPr>
        <w:t>jedná se o </w:t>
      </w:r>
      <w:r w:rsidR="007A57FF" w:rsidRPr="002F7A04">
        <w:rPr>
          <w:rFonts w:cs="Arial"/>
          <w:color w:val="000000" w:themeColor="text1"/>
          <w:sz w:val="22"/>
          <w:szCs w:val="22"/>
        </w:rPr>
        <w:t>nejméně pět operačních programů, sedm regionálních operačních programů a</w:t>
      </w:r>
      <w:r w:rsidR="00CB23B1" w:rsidRPr="002F7A04">
        <w:rPr>
          <w:rFonts w:cs="Arial"/>
          <w:color w:val="000000" w:themeColor="text1"/>
          <w:sz w:val="22"/>
          <w:szCs w:val="22"/>
        </w:rPr>
        <w:t> </w:t>
      </w:r>
      <w:r w:rsidR="007A57FF" w:rsidRPr="002F7A04">
        <w:rPr>
          <w:rFonts w:cs="Arial"/>
          <w:color w:val="000000" w:themeColor="text1"/>
          <w:sz w:val="22"/>
          <w:szCs w:val="22"/>
        </w:rPr>
        <w:t>další nástroje financované</w:t>
      </w:r>
      <w:r w:rsidRPr="002F7A04">
        <w:rPr>
          <w:rFonts w:cs="Arial"/>
          <w:color w:val="000000" w:themeColor="text1"/>
          <w:sz w:val="22"/>
          <w:szCs w:val="22"/>
        </w:rPr>
        <w:t xml:space="preserve"> ze státního rozpočtu nebo fondů Evropské unie</w:t>
      </w:r>
      <w:r w:rsidR="007A57FF" w:rsidRPr="002F7A04">
        <w:rPr>
          <w:rFonts w:cs="Arial"/>
          <w:color w:val="000000" w:themeColor="text1"/>
          <w:sz w:val="22"/>
          <w:szCs w:val="22"/>
        </w:rPr>
        <w:t xml:space="preserve">. </w:t>
      </w:r>
      <w:r w:rsidRPr="002F7A04">
        <w:rPr>
          <w:rFonts w:cs="Arial"/>
          <w:color w:val="000000" w:themeColor="text1"/>
          <w:sz w:val="22"/>
          <w:szCs w:val="22"/>
        </w:rPr>
        <w:t>MMR nemělo u</w:t>
      </w:r>
      <w:r w:rsidR="00CB23B1" w:rsidRPr="002F7A04">
        <w:rPr>
          <w:rFonts w:cs="Arial"/>
          <w:color w:val="000000" w:themeColor="text1"/>
          <w:sz w:val="22"/>
          <w:szCs w:val="22"/>
        </w:rPr>
        <w:t> </w:t>
      </w:r>
      <w:r w:rsidRPr="002F7A04">
        <w:rPr>
          <w:rFonts w:cs="Arial"/>
          <w:color w:val="000000" w:themeColor="text1"/>
          <w:sz w:val="22"/>
          <w:szCs w:val="22"/>
        </w:rPr>
        <w:t>těchto programů a nástrojů žádný vliv na stanovení jejich alokace či rozpočtu ani na skutečné výdaje v souvislosti s podporou rozvoje cestovního ruchu. Ne</w:t>
      </w:r>
      <w:r w:rsidR="00D7612A" w:rsidRPr="002F7A04">
        <w:rPr>
          <w:rFonts w:cs="Arial"/>
          <w:color w:val="000000" w:themeColor="text1"/>
          <w:sz w:val="22"/>
          <w:szCs w:val="22"/>
        </w:rPr>
        <w:t>mohlo ovlivnit</w:t>
      </w:r>
      <w:r w:rsidRPr="002F7A04">
        <w:rPr>
          <w:rFonts w:cs="Arial"/>
          <w:color w:val="000000" w:themeColor="text1"/>
          <w:sz w:val="22"/>
          <w:szCs w:val="22"/>
        </w:rPr>
        <w:t xml:space="preserve"> zaměření opatření a aktivit těchto programů a nástrojů a podmínek čerpání podpory z těchto programů a nástrojů. Z pohledu jejich vazby na plnění opatření koncepce státní politiky cestovního ruchu je MMR mohlo jen připomínkovat, a to </w:t>
      </w:r>
      <w:r w:rsidR="00011D15">
        <w:rPr>
          <w:rFonts w:cs="Arial"/>
          <w:color w:val="000000" w:themeColor="text1"/>
          <w:sz w:val="22"/>
          <w:szCs w:val="22"/>
        </w:rPr>
        <w:t xml:space="preserve">pouze </w:t>
      </w:r>
      <w:r w:rsidRPr="002F7A04">
        <w:rPr>
          <w:rFonts w:cs="Arial"/>
          <w:color w:val="000000" w:themeColor="text1"/>
          <w:sz w:val="22"/>
          <w:szCs w:val="22"/>
        </w:rPr>
        <w:t xml:space="preserve">v případech, </w:t>
      </w:r>
      <w:r w:rsidR="00011D15">
        <w:rPr>
          <w:rFonts w:cs="Arial"/>
          <w:color w:val="000000" w:themeColor="text1"/>
          <w:sz w:val="22"/>
          <w:szCs w:val="22"/>
        </w:rPr>
        <w:t>kdy</w:t>
      </w:r>
      <w:r w:rsidRPr="002F7A04">
        <w:rPr>
          <w:rFonts w:cs="Arial"/>
          <w:color w:val="000000" w:themeColor="text1"/>
          <w:sz w:val="22"/>
          <w:szCs w:val="22"/>
        </w:rPr>
        <w:t xml:space="preserve"> bylo připomínkovým místem. </w:t>
      </w:r>
      <w:r w:rsidRPr="002F7A04">
        <w:rPr>
          <w:rFonts w:cs="Arial"/>
          <w:bCs/>
          <w:color w:val="000000" w:themeColor="text1"/>
          <w:sz w:val="22"/>
          <w:szCs w:val="22"/>
        </w:rPr>
        <w:t xml:space="preserve">Vláda uložila jednotlivým ministrům spolupracovat na realizaci opatření, k čemuž měla sloužit </w:t>
      </w:r>
      <w:r w:rsidR="00011D15">
        <w:rPr>
          <w:rFonts w:cs="Arial"/>
          <w:bCs/>
          <w:color w:val="000000" w:themeColor="text1"/>
          <w:sz w:val="22"/>
          <w:szCs w:val="22"/>
        </w:rPr>
        <w:t>m</w:t>
      </w:r>
      <w:r w:rsidRPr="002F7A04">
        <w:rPr>
          <w:rFonts w:cs="Arial"/>
          <w:bCs/>
          <w:color w:val="000000" w:themeColor="text1"/>
          <w:sz w:val="22"/>
          <w:szCs w:val="22"/>
        </w:rPr>
        <w:t xml:space="preserve">ezirezortní koordinační komise pro cestovní ruch zřízená již v roce 2004. Ta však nekoordinovala </w:t>
      </w:r>
      <w:r w:rsidRPr="002F7A04">
        <w:rPr>
          <w:rFonts w:cs="Arial"/>
          <w:color w:val="000000" w:themeColor="text1"/>
          <w:sz w:val="22"/>
          <w:szCs w:val="22"/>
        </w:rPr>
        <w:t>věcné zaměření ani finanční zajištění podpory cestovního ruchu z jednotlivých programů.</w:t>
      </w:r>
      <w:r w:rsidRPr="002F7A04">
        <w:rPr>
          <w:rFonts w:cs="Arial"/>
          <w:bCs/>
          <w:color w:val="000000" w:themeColor="text1"/>
          <w:sz w:val="22"/>
          <w:szCs w:val="22"/>
        </w:rPr>
        <w:t xml:space="preserve"> Jednání komise byla převážn</w:t>
      </w:r>
      <w:r w:rsidR="00DB74AC" w:rsidRPr="002F7A04">
        <w:rPr>
          <w:rFonts w:cs="Arial"/>
          <w:bCs/>
          <w:color w:val="000000" w:themeColor="text1"/>
          <w:sz w:val="22"/>
          <w:szCs w:val="22"/>
        </w:rPr>
        <w:t xml:space="preserve">ě informativního charakteru, </w:t>
      </w:r>
      <w:r w:rsidRPr="002F7A04">
        <w:rPr>
          <w:rFonts w:cs="Arial"/>
          <w:color w:val="000000" w:themeColor="text1"/>
          <w:sz w:val="22"/>
          <w:szCs w:val="22"/>
        </w:rPr>
        <w:t xml:space="preserve">pro členy komise </w:t>
      </w:r>
      <w:r w:rsidR="004A2880">
        <w:rPr>
          <w:rFonts w:cs="Arial"/>
          <w:color w:val="000000" w:themeColor="text1"/>
          <w:sz w:val="22"/>
          <w:szCs w:val="22"/>
        </w:rPr>
        <w:t xml:space="preserve">z nich </w:t>
      </w:r>
      <w:r w:rsidRPr="002F7A04">
        <w:rPr>
          <w:rFonts w:cs="Arial"/>
          <w:color w:val="000000" w:themeColor="text1"/>
          <w:sz w:val="22"/>
          <w:szCs w:val="22"/>
        </w:rPr>
        <w:t xml:space="preserve">nevyplývaly žádné úkoly. </w:t>
      </w:r>
      <w:r w:rsidRPr="002F7A04">
        <w:rPr>
          <w:rFonts w:cs="Arial"/>
          <w:bCs/>
          <w:color w:val="000000" w:themeColor="text1"/>
          <w:sz w:val="22"/>
          <w:szCs w:val="22"/>
        </w:rPr>
        <w:t>V letech 2008, 2009, 2011 a</w:t>
      </w:r>
      <w:r w:rsidR="00712CBB">
        <w:rPr>
          <w:rFonts w:cs="Arial"/>
          <w:bCs/>
          <w:color w:val="000000" w:themeColor="text1"/>
          <w:sz w:val="22"/>
          <w:szCs w:val="22"/>
        </w:rPr>
        <w:t> </w:t>
      </w:r>
      <w:r w:rsidRPr="002F7A04">
        <w:rPr>
          <w:rFonts w:cs="Arial"/>
          <w:bCs/>
          <w:color w:val="000000" w:themeColor="text1"/>
          <w:sz w:val="22"/>
          <w:szCs w:val="22"/>
        </w:rPr>
        <w:t xml:space="preserve">2013 komise nezasedala vůbec. </w:t>
      </w:r>
    </w:p>
    <w:p w:rsidR="00CB23B1" w:rsidRPr="002F7A04" w:rsidRDefault="00CB23B1" w:rsidP="002F7A04">
      <w:pPr>
        <w:rPr>
          <w:rFonts w:cs="Arial"/>
          <w:color w:val="000000" w:themeColor="text1"/>
          <w:sz w:val="22"/>
          <w:szCs w:val="22"/>
        </w:rPr>
      </w:pPr>
    </w:p>
    <w:p w:rsidR="008F735D" w:rsidRDefault="008F735D" w:rsidP="002F7A04">
      <w:pPr>
        <w:autoSpaceDE w:val="0"/>
        <w:autoSpaceDN w:val="0"/>
        <w:ind w:right="23"/>
        <w:jc w:val="both"/>
        <w:rPr>
          <w:rFonts w:cs="Arial"/>
          <w:color w:val="000000" w:themeColor="text1"/>
          <w:sz w:val="22"/>
          <w:szCs w:val="22"/>
        </w:rPr>
      </w:pPr>
      <w:r w:rsidRPr="002F7A04">
        <w:rPr>
          <w:rFonts w:cs="Arial"/>
          <w:color w:val="000000" w:themeColor="text1"/>
          <w:sz w:val="22"/>
          <w:szCs w:val="22"/>
        </w:rPr>
        <w:lastRenderedPageBreak/>
        <w:t>MMR v nové koncepci pro období 2014–2020 uvádí řadu principů a potřebných opatření, které by měly ovlivnit chování subjektů v cestovním ruchu</w:t>
      </w:r>
      <w:r w:rsidR="00011D15">
        <w:rPr>
          <w:rFonts w:cs="Arial"/>
          <w:color w:val="000000" w:themeColor="text1"/>
          <w:sz w:val="22"/>
          <w:szCs w:val="22"/>
        </w:rPr>
        <w:t>,</w:t>
      </w:r>
      <w:r w:rsidRPr="002F7A04">
        <w:rPr>
          <w:rFonts w:cs="Arial"/>
          <w:color w:val="000000" w:themeColor="text1"/>
          <w:sz w:val="22"/>
          <w:szCs w:val="22"/>
        </w:rPr>
        <w:t xml:space="preserve"> a řadu prováděcích dokumentů, které by měly být vytvořeny. Vyjma vazby koncepcí krajů a státu v oblasti cestovního ruchu, která by měla být řešena zákonem o cestovním ruchu, ale</w:t>
      </w:r>
      <w:r w:rsidR="00D0123A" w:rsidRPr="002F7A04">
        <w:rPr>
          <w:rFonts w:cs="Arial"/>
          <w:color w:val="000000" w:themeColor="text1"/>
          <w:sz w:val="22"/>
          <w:szCs w:val="22"/>
        </w:rPr>
        <w:t xml:space="preserve"> nevyplývá</w:t>
      </w:r>
      <w:r w:rsidRPr="002F7A04">
        <w:rPr>
          <w:rFonts w:cs="Arial"/>
          <w:color w:val="000000" w:themeColor="text1"/>
          <w:sz w:val="22"/>
          <w:szCs w:val="22"/>
        </w:rPr>
        <w:t>, jak bude zajištěno, aby příslušné subjekty byly povinny dodržovat tyto principy a realizovat opatření koncepce a</w:t>
      </w:r>
      <w:r w:rsidR="00CB23B1" w:rsidRPr="002F7A04">
        <w:rPr>
          <w:rFonts w:cs="Arial"/>
          <w:color w:val="000000" w:themeColor="text1"/>
          <w:sz w:val="22"/>
          <w:szCs w:val="22"/>
        </w:rPr>
        <w:t> </w:t>
      </w:r>
      <w:r w:rsidRPr="002F7A04">
        <w:rPr>
          <w:rFonts w:cs="Arial"/>
          <w:color w:val="000000" w:themeColor="text1"/>
          <w:sz w:val="22"/>
          <w:szCs w:val="22"/>
        </w:rPr>
        <w:t xml:space="preserve">jejích prováděcích dokumentů. Výši prostředků potřebných na realizaci této </w:t>
      </w:r>
      <w:r w:rsidR="00224AC3" w:rsidRPr="002F7A04">
        <w:rPr>
          <w:rFonts w:cs="Arial"/>
          <w:color w:val="000000" w:themeColor="text1"/>
          <w:sz w:val="22"/>
          <w:szCs w:val="22"/>
        </w:rPr>
        <w:t xml:space="preserve">nové koncepce </w:t>
      </w:r>
      <w:r w:rsidR="00011D15">
        <w:rPr>
          <w:rFonts w:cs="Arial"/>
          <w:color w:val="000000" w:themeColor="text1"/>
          <w:sz w:val="22"/>
          <w:szCs w:val="22"/>
        </w:rPr>
        <w:t xml:space="preserve">MMR </w:t>
      </w:r>
      <w:r w:rsidR="00224AC3" w:rsidRPr="002F7A04">
        <w:rPr>
          <w:rFonts w:cs="Arial"/>
          <w:color w:val="000000" w:themeColor="text1"/>
          <w:sz w:val="22"/>
          <w:szCs w:val="22"/>
        </w:rPr>
        <w:t>odhadlo na 21 000 mil.</w:t>
      </w:r>
      <w:r w:rsidRPr="002F7A04">
        <w:rPr>
          <w:rFonts w:cs="Arial"/>
          <w:color w:val="000000" w:themeColor="text1"/>
          <w:sz w:val="22"/>
          <w:szCs w:val="22"/>
        </w:rPr>
        <w:t xml:space="preserve"> Kč.</w:t>
      </w:r>
    </w:p>
    <w:p w:rsidR="00D3557D" w:rsidRPr="002F7A04" w:rsidRDefault="00D3557D" w:rsidP="002F7A04">
      <w:pPr>
        <w:autoSpaceDE w:val="0"/>
        <w:autoSpaceDN w:val="0"/>
        <w:ind w:right="23"/>
        <w:jc w:val="both"/>
        <w:rPr>
          <w:rFonts w:cs="Arial"/>
          <w:color w:val="000000" w:themeColor="text1"/>
          <w:sz w:val="22"/>
          <w:szCs w:val="22"/>
        </w:rPr>
      </w:pPr>
    </w:p>
    <w:p w:rsidR="008F735D" w:rsidRPr="002F7A04" w:rsidRDefault="008F735D" w:rsidP="00011D15">
      <w:pPr>
        <w:jc w:val="both"/>
        <w:rPr>
          <w:rFonts w:cs="Arial"/>
          <w:color w:val="000000" w:themeColor="text1"/>
          <w:sz w:val="22"/>
          <w:szCs w:val="22"/>
        </w:rPr>
      </w:pPr>
      <w:r w:rsidRPr="002F7A04">
        <w:rPr>
          <w:rFonts w:cs="Arial"/>
          <w:b/>
          <w:color w:val="000000" w:themeColor="text1"/>
          <w:sz w:val="22"/>
          <w:szCs w:val="22"/>
        </w:rPr>
        <w:t>MMR nemá dostatečný přehled, kolik prostředků a z jakých zdrojů bylo na podporu cestovního ruchu v minulosti vynaloženo.</w:t>
      </w:r>
      <w:r w:rsidR="00CF08B1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2F7A04">
        <w:rPr>
          <w:rFonts w:cs="Arial"/>
          <w:color w:val="000000" w:themeColor="text1"/>
          <w:sz w:val="22"/>
          <w:szCs w:val="22"/>
        </w:rPr>
        <w:t>Jen</w:t>
      </w:r>
      <w:r w:rsidR="00363AA7" w:rsidRPr="002F7A04">
        <w:rPr>
          <w:rFonts w:cs="Arial"/>
          <w:color w:val="000000" w:themeColor="text1"/>
          <w:sz w:val="22"/>
          <w:szCs w:val="22"/>
        </w:rPr>
        <w:t xml:space="preserve"> některé z</w:t>
      </w:r>
      <w:r w:rsidRPr="002F7A04">
        <w:rPr>
          <w:rFonts w:cs="Arial"/>
          <w:color w:val="000000" w:themeColor="text1"/>
          <w:sz w:val="22"/>
          <w:szCs w:val="22"/>
        </w:rPr>
        <w:t xml:space="preserve"> prog</w:t>
      </w:r>
      <w:r w:rsidR="00C07137" w:rsidRPr="002F7A04">
        <w:rPr>
          <w:rFonts w:cs="Arial"/>
          <w:color w:val="000000" w:themeColor="text1"/>
          <w:sz w:val="22"/>
          <w:szCs w:val="22"/>
        </w:rPr>
        <w:t>ramů realizujících Koncepci 2007</w:t>
      </w:r>
      <w:r w:rsidR="00CB23B1" w:rsidRPr="002F7A04">
        <w:rPr>
          <w:rFonts w:cs="Arial"/>
          <w:color w:val="000000" w:themeColor="text1"/>
          <w:sz w:val="22"/>
          <w:szCs w:val="22"/>
        </w:rPr>
        <w:t>–</w:t>
      </w:r>
      <w:r w:rsidRPr="002F7A04">
        <w:rPr>
          <w:rFonts w:cs="Arial"/>
          <w:color w:val="000000" w:themeColor="text1"/>
          <w:sz w:val="22"/>
          <w:szCs w:val="22"/>
        </w:rPr>
        <w:t>20</w:t>
      </w:r>
      <w:r w:rsidR="00C07137" w:rsidRPr="002F7A04">
        <w:rPr>
          <w:rFonts w:cs="Arial"/>
          <w:color w:val="000000" w:themeColor="text1"/>
          <w:sz w:val="22"/>
          <w:szCs w:val="22"/>
        </w:rPr>
        <w:t>13</w:t>
      </w:r>
      <w:r w:rsidR="00D0123A" w:rsidRPr="002F7A04">
        <w:rPr>
          <w:rFonts w:cs="Arial"/>
          <w:color w:val="000000" w:themeColor="text1"/>
          <w:sz w:val="22"/>
          <w:szCs w:val="22"/>
        </w:rPr>
        <w:t xml:space="preserve"> obsahují</w:t>
      </w:r>
      <w:r w:rsidRPr="002F7A04">
        <w:rPr>
          <w:rFonts w:cs="Arial"/>
          <w:color w:val="000000" w:themeColor="text1"/>
          <w:sz w:val="22"/>
          <w:szCs w:val="22"/>
        </w:rPr>
        <w:t xml:space="preserve"> opatření zaměřená přímo na cestovní ruch. Opatření, aktivity a projekty ostatních programů se rozvoje cestovního ruchu do určité míry dotýkají. </w:t>
      </w:r>
      <w:r w:rsidRPr="002F7A04">
        <w:rPr>
          <w:rFonts w:cs="Arial"/>
          <w:bCs/>
          <w:color w:val="000000" w:themeColor="text1"/>
          <w:sz w:val="22"/>
          <w:szCs w:val="22"/>
        </w:rPr>
        <w:t xml:space="preserve">Ve zprávě o plnění koncepce, kterou předložilo vládě, </w:t>
      </w:r>
      <w:r w:rsidR="00011D15" w:rsidRPr="002F7A04">
        <w:rPr>
          <w:rFonts w:cs="Arial"/>
          <w:bCs/>
          <w:color w:val="000000" w:themeColor="text1"/>
          <w:sz w:val="22"/>
          <w:szCs w:val="22"/>
        </w:rPr>
        <w:t xml:space="preserve">MMR </w:t>
      </w:r>
      <w:r w:rsidRPr="002F7A04">
        <w:rPr>
          <w:rFonts w:cs="Arial"/>
          <w:bCs/>
          <w:color w:val="000000" w:themeColor="text1"/>
          <w:sz w:val="22"/>
          <w:szCs w:val="22"/>
        </w:rPr>
        <w:t>uvedlo, že od konce roku 2007 do června 2013 v oblasti cestovního ruchu bylo podpořeno přes 4 </w:t>
      </w:r>
      <w:r w:rsidR="00021DA8" w:rsidRPr="002F7A04">
        <w:rPr>
          <w:rFonts w:cs="Arial"/>
          <w:bCs/>
          <w:color w:val="000000" w:themeColor="text1"/>
          <w:sz w:val="22"/>
          <w:szCs w:val="22"/>
        </w:rPr>
        <w:t>500 projektů s celkovou</w:t>
      </w:r>
      <w:r w:rsidR="00224AC3" w:rsidRPr="002F7A04">
        <w:rPr>
          <w:rFonts w:cs="Arial"/>
          <w:bCs/>
          <w:color w:val="000000" w:themeColor="text1"/>
          <w:sz w:val="22"/>
          <w:szCs w:val="22"/>
        </w:rPr>
        <w:t xml:space="preserve"> dotací přes 49</w:t>
      </w:r>
      <w:r w:rsidR="00712CBB">
        <w:rPr>
          <w:rFonts w:cs="Arial"/>
          <w:bCs/>
          <w:color w:val="000000" w:themeColor="text1"/>
          <w:sz w:val="22"/>
          <w:szCs w:val="22"/>
        </w:rPr>
        <w:t> </w:t>
      </w:r>
      <w:r w:rsidR="00224AC3" w:rsidRPr="002F7A04">
        <w:rPr>
          <w:rFonts w:cs="Arial"/>
          <w:bCs/>
          <w:color w:val="000000" w:themeColor="text1"/>
          <w:sz w:val="22"/>
          <w:szCs w:val="22"/>
        </w:rPr>
        <w:t>000</w:t>
      </w:r>
      <w:r w:rsidR="00712CBB">
        <w:rPr>
          <w:rFonts w:cs="Arial"/>
          <w:bCs/>
          <w:color w:val="000000" w:themeColor="text1"/>
          <w:sz w:val="22"/>
          <w:szCs w:val="22"/>
        </w:rPr>
        <w:t> </w:t>
      </w:r>
      <w:r w:rsidR="00224AC3" w:rsidRPr="002F7A04">
        <w:rPr>
          <w:rFonts w:cs="Arial"/>
          <w:bCs/>
          <w:color w:val="000000" w:themeColor="text1"/>
          <w:sz w:val="22"/>
          <w:szCs w:val="22"/>
        </w:rPr>
        <w:t>mil.</w:t>
      </w:r>
      <w:r w:rsidR="00712CBB">
        <w:rPr>
          <w:rFonts w:cs="Arial"/>
          <w:bCs/>
          <w:color w:val="000000" w:themeColor="text1"/>
          <w:sz w:val="22"/>
          <w:szCs w:val="22"/>
        </w:rPr>
        <w:t> </w:t>
      </w:r>
      <w:r w:rsidRPr="002F7A04">
        <w:rPr>
          <w:rFonts w:cs="Arial"/>
          <w:bCs/>
          <w:color w:val="000000" w:themeColor="text1"/>
          <w:sz w:val="22"/>
          <w:szCs w:val="22"/>
        </w:rPr>
        <w:t>Kč.</w:t>
      </w:r>
      <w:r w:rsidR="00D0123A" w:rsidRPr="002F7A04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Pr="002F7A04">
        <w:rPr>
          <w:rFonts w:cs="Arial"/>
          <w:bCs/>
          <w:color w:val="000000" w:themeColor="text1"/>
          <w:sz w:val="22"/>
          <w:szCs w:val="22"/>
        </w:rPr>
        <w:t xml:space="preserve">MMR uvedený počet projektů a výši dotace převzalo z analýzy dat monitorovacích systémů, kterou zadalo zpracovat externí firmě za úhradu ve výši 470 tis. Kč. </w:t>
      </w:r>
      <w:r w:rsidR="006E59A6" w:rsidRPr="002F7A04">
        <w:rPr>
          <w:rFonts w:cs="Arial"/>
          <w:bCs/>
          <w:color w:val="000000" w:themeColor="text1"/>
          <w:sz w:val="22"/>
          <w:szCs w:val="22"/>
        </w:rPr>
        <w:t xml:space="preserve">Míra zaměření těchto </w:t>
      </w:r>
      <w:r w:rsidR="0030140A" w:rsidRPr="002F7A04">
        <w:rPr>
          <w:rFonts w:cs="Arial"/>
          <w:bCs/>
          <w:color w:val="000000" w:themeColor="text1"/>
          <w:sz w:val="22"/>
          <w:szCs w:val="22"/>
        </w:rPr>
        <w:t xml:space="preserve">projektů na </w:t>
      </w:r>
      <w:r w:rsidR="006E59A6" w:rsidRPr="002F7A04">
        <w:rPr>
          <w:rFonts w:cs="Arial"/>
          <w:bCs/>
          <w:color w:val="000000" w:themeColor="text1"/>
          <w:sz w:val="22"/>
          <w:szCs w:val="22"/>
        </w:rPr>
        <w:t xml:space="preserve">rozvoj cestovního ruchu je neprůkazná a obtížně zjistitelná. </w:t>
      </w:r>
      <w:r w:rsidR="008C1771" w:rsidRPr="002F7A04">
        <w:rPr>
          <w:rFonts w:cs="Arial"/>
          <w:bCs/>
          <w:color w:val="000000" w:themeColor="text1"/>
          <w:sz w:val="22"/>
          <w:szCs w:val="22"/>
        </w:rPr>
        <w:t xml:space="preserve">Dle zjištění </w:t>
      </w:r>
      <w:r w:rsidR="00086E23" w:rsidRPr="002F7A04">
        <w:rPr>
          <w:rFonts w:cs="Arial"/>
          <w:bCs/>
          <w:color w:val="000000" w:themeColor="text1"/>
          <w:sz w:val="22"/>
          <w:szCs w:val="22"/>
        </w:rPr>
        <w:t>NKÚ</w:t>
      </w:r>
      <w:r w:rsidR="0030140A" w:rsidRPr="002F7A04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Pr="002F7A04">
        <w:rPr>
          <w:rFonts w:cs="Arial"/>
          <w:bCs/>
          <w:color w:val="000000" w:themeColor="text1"/>
          <w:sz w:val="22"/>
          <w:szCs w:val="22"/>
        </w:rPr>
        <w:t xml:space="preserve">do </w:t>
      </w:r>
      <w:r w:rsidR="0030140A" w:rsidRPr="002F7A04">
        <w:rPr>
          <w:rFonts w:cs="Arial"/>
          <w:bCs/>
          <w:color w:val="000000" w:themeColor="text1"/>
          <w:sz w:val="22"/>
          <w:szCs w:val="22"/>
        </w:rPr>
        <w:t>uvedené</w:t>
      </w:r>
      <w:r w:rsidR="002D44CB" w:rsidRPr="002F7A04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30140A" w:rsidRPr="002F7A04">
        <w:rPr>
          <w:rFonts w:cs="Arial"/>
          <w:bCs/>
          <w:color w:val="000000" w:themeColor="text1"/>
          <w:sz w:val="22"/>
          <w:szCs w:val="22"/>
        </w:rPr>
        <w:t xml:space="preserve">zprávy MMR </w:t>
      </w:r>
      <w:r w:rsidRPr="002F7A04">
        <w:rPr>
          <w:rFonts w:cs="Arial"/>
          <w:bCs/>
          <w:color w:val="000000" w:themeColor="text1"/>
          <w:sz w:val="22"/>
          <w:szCs w:val="22"/>
        </w:rPr>
        <w:t xml:space="preserve">nezahrnulo vyčerpaný příspěvek </w:t>
      </w:r>
      <w:proofErr w:type="spellStart"/>
      <w:r w:rsidRPr="002F7A04">
        <w:rPr>
          <w:rFonts w:cs="Arial"/>
          <w:bCs/>
          <w:color w:val="000000" w:themeColor="text1"/>
          <w:sz w:val="22"/>
          <w:szCs w:val="22"/>
        </w:rPr>
        <w:t>CzechTourismu</w:t>
      </w:r>
      <w:proofErr w:type="spellEnd"/>
      <w:r w:rsidRPr="002F7A04">
        <w:rPr>
          <w:rFonts w:cs="Arial"/>
          <w:bCs/>
          <w:color w:val="000000" w:themeColor="text1"/>
          <w:sz w:val="22"/>
          <w:szCs w:val="22"/>
        </w:rPr>
        <w:t xml:space="preserve"> z prostředků státního rozpočtu</w:t>
      </w:r>
      <w:r w:rsidR="0030140A" w:rsidRPr="002F7A04">
        <w:rPr>
          <w:rFonts w:cs="Arial"/>
          <w:bCs/>
          <w:color w:val="000000" w:themeColor="text1"/>
          <w:sz w:val="22"/>
          <w:szCs w:val="22"/>
        </w:rPr>
        <w:t xml:space="preserve"> ve výši 2 700 mil. Kč</w:t>
      </w:r>
      <w:r w:rsidRPr="002F7A04">
        <w:rPr>
          <w:rFonts w:cs="Arial"/>
          <w:bCs/>
          <w:color w:val="000000" w:themeColor="text1"/>
          <w:sz w:val="22"/>
          <w:szCs w:val="22"/>
        </w:rPr>
        <w:t xml:space="preserve"> ani dotace poskytované nevládním neziskovým organizacím na cestovní ruch, které činily v</w:t>
      </w:r>
      <w:r w:rsidR="00712CBB">
        <w:rPr>
          <w:rFonts w:cs="Arial"/>
          <w:bCs/>
          <w:color w:val="000000" w:themeColor="text1"/>
          <w:sz w:val="22"/>
          <w:szCs w:val="22"/>
        </w:rPr>
        <w:t> letech 2007 až 2013 celkem 935 </w:t>
      </w:r>
      <w:r w:rsidRPr="002F7A04">
        <w:rPr>
          <w:rFonts w:cs="Arial"/>
          <w:bCs/>
          <w:color w:val="000000" w:themeColor="text1"/>
          <w:sz w:val="22"/>
          <w:szCs w:val="22"/>
        </w:rPr>
        <w:t>mil.</w:t>
      </w:r>
      <w:r w:rsidR="00712CBB">
        <w:rPr>
          <w:rFonts w:cs="Arial"/>
          <w:bCs/>
          <w:color w:val="000000" w:themeColor="text1"/>
          <w:sz w:val="22"/>
          <w:szCs w:val="22"/>
        </w:rPr>
        <w:t> </w:t>
      </w:r>
      <w:r w:rsidRPr="002F7A04">
        <w:rPr>
          <w:rFonts w:cs="Arial"/>
          <w:bCs/>
          <w:color w:val="000000" w:themeColor="text1"/>
          <w:sz w:val="22"/>
          <w:szCs w:val="22"/>
        </w:rPr>
        <w:t>Kč.</w:t>
      </w:r>
    </w:p>
    <w:p w:rsidR="008F735D" w:rsidRPr="002F7A04" w:rsidRDefault="008F735D" w:rsidP="002F7A04">
      <w:pPr>
        <w:pStyle w:val="Odstavecseseznamem"/>
        <w:ind w:left="0"/>
        <w:contextualSpacing w:val="0"/>
        <w:jc w:val="both"/>
        <w:rPr>
          <w:rFonts w:cs="Arial"/>
          <w:bCs/>
          <w:color w:val="000000" w:themeColor="text1"/>
          <w:sz w:val="22"/>
          <w:szCs w:val="22"/>
        </w:rPr>
      </w:pPr>
    </w:p>
    <w:p w:rsidR="005B4412" w:rsidRPr="002F7A04" w:rsidRDefault="00245804" w:rsidP="00011D15">
      <w:pPr>
        <w:jc w:val="both"/>
        <w:rPr>
          <w:rFonts w:cs="Arial"/>
          <w:bCs/>
          <w:color w:val="000000" w:themeColor="text1"/>
          <w:sz w:val="22"/>
          <w:szCs w:val="22"/>
        </w:rPr>
      </w:pPr>
      <w:r w:rsidRPr="002F7A04">
        <w:rPr>
          <w:rFonts w:cs="Arial"/>
          <w:b/>
          <w:bCs/>
          <w:color w:val="000000" w:themeColor="text1"/>
          <w:sz w:val="22"/>
          <w:szCs w:val="22"/>
        </w:rPr>
        <w:t xml:space="preserve">MMR nestanovilo </w:t>
      </w:r>
      <w:r w:rsidR="005B4412" w:rsidRPr="002F7A04">
        <w:rPr>
          <w:rFonts w:cs="Arial"/>
          <w:b/>
          <w:bCs/>
          <w:color w:val="000000" w:themeColor="text1"/>
          <w:sz w:val="22"/>
          <w:szCs w:val="22"/>
        </w:rPr>
        <w:t xml:space="preserve">očekávanou míru naplnění </w:t>
      </w:r>
      <w:r w:rsidR="00621921" w:rsidRPr="002F7A04">
        <w:rPr>
          <w:rFonts w:cs="Arial"/>
          <w:b/>
          <w:bCs/>
          <w:color w:val="000000" w:themeColor="text1"/>
          <w:sz w:val="22"/>
          <w:szCs w:val="22"/>
        </w:rPr>
        <w:t>cílů</w:t>
      </w:r>
      <w:r w:rsidR="002747D7" w:rsidRPr="002F7A04">
        <w:rPr>
          <w:rFonts w:cs="Arial"/>
          <w:b/>
          <w:bCs/>
          <w:color w:val="000000" w:themeColor="text1"/>
          <w:sz w:val="22"/>
          <w:szCs w:val="22"/>
        </w:rPr>
        <w:t xml:space="preserve"> Koncepce 2007–2013</w:t>
      </w:r>
      <w:r w:rsidR="00011D15">
        <w:rPr>
          <w:rFonts w:cs="Arial"/>
          <w:b/>
          <w:bCs/>
          <w:color w:val="000000" w:themeColor="text1"/>
          <w:sz w:val="22"/>
          <w:szCs w:val="22"/>
        </w:rPr>
        <w:t>,</w:t>
      </w:r>
      <w:r w:rsidR="002747D7" w:rsidRPr="002F7A04">
        <w:rPr>
          <w:rFonts w:cs="Arial"/>
          <w:b/>
          <w:bCs/>
          <w:color w:val="000000" w:themeColor="text1"/>
          <w:sz w:val="22"/>
          <w:szCs w:val="22"/>
        </w:rPr>
        <w:t xml:space="preserve"> a</w:t>
      </w:r>
      <w:r w:rsidRPr="002F7A04">
        <w:rPr>
          <w:rFonts w:cs="Arial"/>
          <w:b/>
          <w:bCs/>
          <w:color w:val="000000" w:themeColor="text1"/>
          <w:sz w:val="22"/>
          <w:szCs w:val="22"/>
        </w:rPr>
        <w:t xml:space="preserve"> ne</w:t>
      </w:r>
      <w:r w:rsidR="002747D7" w:rsidRPr="002F7A04">
        <w:rPr>
          <w:rFonts w:cs="Arial"/>
          <w:b/>
          <w:bCs/>
          <w:color w:val="000000" w:themeColor="text1"/>
          <w:sz w:val="22"/>
          <w:szCs w:val="22"/>
        </w:rPr>
        <w:t xml:space="preserve">mohlo ji tak </w:t>
      </w:r>
      <w:r w:rsidRPr="002F7A04">
        <w:rPr>
          <w:rFonts w:cs="Arial"/>
          <w:b/>
          <w:bCs/>
          <w:color w:val="000000" w:themeColor="text1"/>
          <w:sz w:val="22"/>
          <w:szCs w:val="22"/>
        </w:rPr>
        <w:t>porovnat se skutečností</w:t>
      </w:r>
      <w:r w:rsidR="00D705DE" w:rsidRPr="002F7A04">
        <w:rPr>
          <w:rFonts w:cs="Arial"/>
          <w:b/>
          <w:bCs/>
          <w:color w:val="000000" w:themeColor="text1"/>
          <w:sz w:val="22"/>
          <w:szCs w:val="22"/>
        </w:rPr>
        <w:t>.</w:t>
      </w:r>
      <w:r w:rsidR="00C272F1" w:rsidRPr="002F7A04">
        <w:rPr>
          <w:rFonts w:cs="Arial"/>
          <w:b/>
          <w:bCs/>
          <w:color w:val="000000" w:themeColor="text1"/>
          <w:sz w:val="22"/>
          <w:szCs w:val="22"/>
        </w:rPr>
        <w:t xml:space="preserve"> Výkonnost cestovního ruchu přitom stagnovala nebo dokonce klesala.</w:t>
      </w:r>
      <w:r w:rsidR="00CF08B1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="005B4412" w:rsidRPr="002F7A04">
        <w:rPr>
          <w:rFonts w:cs="Arial"/>
          <w:bCs/>
          <w:color w:val="000000" w:themeColor="text1"/>
          <w:sz w:val="22"/>
          <w:szCs w:val="22"/>
        </w:rPr>
        <w:t>Hlavními záměry priorit Koncepce 2007</w:t>
      </w:r>
      <w:r w:rsidR="001D7686" w:rsidRPr="002F7A04">
        <w:rPr>
          <w:rFonts w:cs="Arial"/>
          <w:bCs/>
          <w:color w:val="000000" w:themeColor="text1"/>
          <w:sz w:val="22"/>
          <w:szCs w:val="22"/>
        </w:rPr>
        <w:t>–</w:t>
      </w:r>
      <w:r w:rsidR="005B4412" w:rsidRPr="002F7A04">
        <w:rPr>
          <w:rFonts w:cs="Arial"/>
          <w:bCs/>
          <w:color w:val="000000" w:themeColor="text1"/>
          <w:sz w:val="22"/>
          <w:szCs w:val="22"/>
        </w:rPr>
        <w:t>2013 bylo výrazné rozšíření a</w:t>
      </w:r>
      <w:r w:rsidR="00712CBB">
        <w:rPr>
          <w:rFonts w:cs="Arial"/>
          <w:bCs/>
          <w:color w:val="000000" w:themeColor="text1"/>
          <w:sz w:val="22"/>
          <w:szCs w:val="22"/>
        </w:rPr>
        <w:t> </w:t>
      </w:r>
      <w:r w:rsidR="005B4412" w:rsidRPr="002F7A04">
        <w:rPr>
          <w:rFonts w:cs="Arial"/>
          <w:bCs/>
          <w:color w:val="000000" w:themeColor="text1"/>
          <w:sz w:val="22"/>
          <w:szCs w:val="22"/>
        </w:rPr>
        <w:t>zkvalitnění nabídky moderních turistických produktů a programů, podpora malého a</w:t>
      </w:r>
      <w:r w:rsidR="00712CBB">
        <w:rPr>
          <w:rFonts w:cs="Arial"/>
          <w:bCs/>
          <w:color w:val="000000" w:themeColor="text1"/>
          <w:sz w:val="22"/>
          <w:szCs w:val="22"/>
        </w:rPr>
        <w:t> </w:t>
      </w:r>
      <w:r w:rsidR="005B4412" w:rsidRPr="002F7A04">
        <w:rPr>
          <w:rFonts w:cs="Arial"/>
          <w:bCs/>
          <w:color w:val="000000" w:themeColor="text1"/>
          <w:sz w:val="22"/>
          <w:szCs w:val="22"/>
        </w:rPr>
        <w:t>středního podnikání v cestovním ruchu, prodloužení délky pobytu turistů, růst příjmů z cestovního ruchu, výrazné zkvalitnění a</w:t>
      </w:r>
      <w:r w:rsidR="00712CBB">
        <w:rPr>
          <w:rFonts w:cs="Arial"/>
          <w:bCs/>
          <w:color w:val="000000" w:themeColor="text1"/>
          <w:sz w:val="22"/>
          <w:szCs w:val="22"/>
        </w:rPr>
        <w:t> </w:t>
      </w:r>
      <w:r w:rsidR="005B4412" w:rsidRPr="002F7A04">
        <w:rPr>
          <w:rFonts w:cs="Arial"/>
          <w:bCs/>
          <w:color w:val="000000" w:themeColor="text1"/>
          <w:sz w:val="22"/>
          <w:szCs w:val="22"/>
        </w:rPr>
        <w:t xml:space="preserve">rozšíření nabídky infrastruktury cestovního ruchu, výrazné zkvalitnění nabídky kulturního dědictví a přírodního bohatství pro cestovní ruch, zvýšení zaměstnanosti a životní úrovně místního obyvatelstva, zvýšení konkurenceschopnosti regionální nabídky cestovního ruchu, zvýšení konkurenceschopnosti cestovního ruchu, zvýšení zahraniční pobytové návštěvnosti a zvyšování kvalifikace lidských zdrojů v cestovním ruchu. Očekávanou míru zvýšení uvedených oblastí však MMR nestanovilo. </w:t>
      </w:r>
    </w:p>
    <w:p w:rsidR="004E575D" w:rsidRPr="002F7A04" w:rsidRDefault="004E575D" w:rsidP="002F7A04">
      <w:pPr>
        <w:autoSpaceDE w:val="0"/>
        <w:autoSpaceDN w:val="0"/>
        <w:jc w:val="both"/>
        <w:rPr>
          <w:rFonts w:cs="Arial"/>
          <w:bCs/>
          <w:color w:val="000000" w:themeColor="text1"/>
          <w:sz w:val="22"/>
          <w:szCs w:val="22"/>
        </w:rPr>
      </w:pPr>
    </w:p>
    <w:p w:rsidR="009B3AF4" w:rsidRPr="002F7A04" w:rsidRDefault="00551E04" w:rsidP="002F7A04">
      <w:pPr>
        <w:autoSpaceDE w:val="0"/>
        <w:autoSpaceDN w:val="0"/>
        <w:jc w:val="both"/>
        <w:rPr>
          <w:rFonts w:cs="Arial"/>
          <w:bCs/>
          <w:color w:val="000000" w:themeColor="text1"/>
          <w:sz w:val="22"/>
          <w:szCs w:val="22"/>
        </w:rPr>
      </w:pPr>
      <w:r w:rsidRPr="002F7A04">
        <w:rPr>
          <w:rFonts w:cs="Arial"/>
          <w:bCs/>
          <w:color w:val="000000" w:themeColor="text1"/>
          <w:sz w:val="22"/>
          <w:szCs w:val="22"/>
        </w:rPr>
        <w:t>MMR stanovilo jako strategické cíle Koncepce 2007–2013</w:t>
      </w:r>
      <w:r w:rsidR="009B3AF4" w:rsidRPr="002F7A04">
        <w:rPr>
          <w:rFonts w:cs="Arial"/>
          <w:bCs/>
          <w:color w:val="000000" w:themeColor="text1"/>
          <w:sz w:val="22"/>
          <w:szCs w:val="22"/>
        </w:rPr>
        <w:t>:</w:t>
      </w:r>
    </w:p>
    <w:p w:rsidR="009B3AF4" w:rsidRPr="00D3557D" w:rsidRDefault="00551E04" w:rsidP="00D3557D">
      <w:pPr>
        <w:pStyle w:val="Odstavecseseznamem"/>
        <w:numPr>
          <w:ilvl w:val="0"/>
          <w:numId w:val="24"/>
        </w:numPr>
        <w:autoSpaceDE w:val="0"/>
        <w:autoSpaceDN w:val="0"/>
        <w:ind w:left="284" w:hanging="284"/>
        <w:jc w:val="both"/>
        <w:rPr>
          <w:rFonts w:cs="Arial"/>
          <w:iCs/>
          <w:color w:val="000000" w:themeColor="text1"/>
          <w:sz w:val="22"/>
          <w:szCs w:val="22"/>
        </w:rPr>
      </w:pPr>
      <w:r w:rsidRPr="00176A44">
        <w:rPr>
          <w:rFonts w:cs="Arial"/>
          <w:iCs/>
          <w:color w:val="000000" w:themeColor="text1"/>
          <w:sz w:val="22"/>
          <w:szCs w:val="22"/>
        </w:rPr>
        <w:t>posílení postavení cestovního ruchu v národním hospodářství</w:t>
      </w:r>
      <w:r w:rsidRPr="00D3557D">
        <w:rPr>
          <w:rFonts w:cs="Arial"/>
          <w:iCs/>
          <w:color w:val="000000" w:themeColor="text1"/>
          <w:sz w:val="22"/>
          <w:szCs w:val="22"/>
        </w:rPr>
        <w:t xml:space="preserve"> </w:t>
      </w:r>
      <w:r w:rsidR="00011D15">
        <w:rPr>
          <w:rFonts w:cs="Arial"/>
          <w:iCs/>
          <w:color w:val="000000" w:themeColor="text1"/>
          <w:sz w:val="22"/>
          <w:szCs w:val="22"/>
        </w:rPr>
        <w:t xml:space="preserve">– </w:t>
      </w:r>
      <w:r w:rsidRPr="00D3557D">
        <w:rPr>
          <w:rFonts w:cs="Arial"/>
          <w:iCs/>
          <w:color w:val="000000" w:themeColor="text1"/>
          <w:sz w:val="22"/>
          <w:szCs w:val="22"/>
        </w:rPr>
        <w:t xml:space="preserve">měřeno růstem absolutní výše HDP vytvořeného cestovním ruchem, zvýšením zaměstnanosti v cestovním ruchu; </w:t>
      </w:r>
    </w:p>
    <w:p w:rsidR="009B3AF4" w:rsidRPr="00D3557D" w:rsidRDefault="00551E04" w:rsidP="00D3557D">
      <w:pPr>
        <w:pStyle w:val="Odstavecseseznamem"/>
        <w:numPr>
          <w:ilvl w:val="0"/>
          <w:numId w:val="24"/>
        </w:numPr>
        <w:autoSpaceDE w:val="0"/>
        <w:autoSpaceDN w:val="0"/>
        <w:ind w:left="284" w:hanging="284"/>
        <w:jc w:val="both"/>
        <w:rPr>
          <w:rFonts w:cs="Arial"/>
          <w:iCs/>
          <w:color w:val="000000" w:themeColor="text1"/>
          <w:sz w:val="22"/>
          <w:szCs w:val="22"/>
        </w:rPr>
      </w:pPr>
      <w:r w:rsidRPr="00176A44">
        <w:rPr>
          <w:rFonts w:cs="Arial"/>
          <w:iCs/>
          <w:color w:val="000000" w:themeColor="text1"/>
          <w:sz w:val="22"/>
          <w:szCs w:val="22"/>
        </w:rPr>
        <w:t>růst konkurenceschopnosti cestovního ruchu České republiky v evropském prostoru</w:t>
      </w:r>
      <w:r w:rsidR="00011D15">
        <w:rPr>
          <w:rFonts w:cs="Arial"/>
          <w:iCs/>
          <w:color w:val="000000" w:themeColor="text1"/>
          <w:sz w:val="22"/>
          <w:szCs w:val="22"/>
        </w:rPr>
        <w:t> –</w:t>
      </w:r>
      <w:r w:rsidRPr="00D3557D">
        <w:rPr>
          <w:rFonts w:cs="Arial"/>
          <w:i/>
          <w:iCs/>
          <w:color w:val="000000" w:themeColor="text1"/>
          <w:sz w:val="22"/>
          <w:szCs w:val="22"/>
        </w:rPr>
        <w:t xml:space="preserve"> </w:t>
      </w:r>
      <w:r w:rsidRPr="00D3557D">
        <w:rPr>
          <w:rFonts w:cs="Arial"/>
          <w:iCs/>
          <w:color w:val="000000" w:themeColor="text1"/>
          <w:sz w:val="22"/>
          <w:szCs w:val="22"/>
        </w:rPr>
        <w:t>měřený růstem výdajů zahraničn</w:t>
      </w:r>
      <w:r w:rsidR="009B3AF4" w:rsidRPr="00D3557D">
        <w:rPr>
          <w:rFonts w:cs="Arial"/>
          <w:iCs/>
          <w:color w:val="000000" w:themeColor="text1"/>
          <w:sz w:val="22"/>
          <w:szCs w:val="22"/>
        </w:rPr>
        <w:t>ích turistů v České republice</w:t>
      </w:r>
      <w:r w:rsidR="00914542" w:rsidRPr="00D3557D">
        <w:rPr>
          <w:rFonts w:cs="Arial"/>
          <w:iCs/>
          <w:color w:val="000000" w:themeColor="text1"/>
          <w:sz w:val="22"/>
          <w:szCs w:val="22"/>
        </w:rPr>
        <w:t>;</w:t>
      </w:r>
      <w:r w:rsidR="009B3AF4" w:rsidRPr="00D3557D">
        <w:rPr>
          <w:rFonts w:cs="Arial"/>
          <w:iCs/>
          <w:color w:val="000000" w:themeColor="text1"/>
          <w:sz w:val="22"/>
          <w:szCs w:val="22"/>
        </w:rPr>
        <w:t xml:space="preserve"> </w:t>
      </w:r>
    </w:p>
    <w:p w:rsidR="009B3AF4" w:rsidRPr="00D3557D" w:rsidRDefault="00551E04" w:rsidP="00D3557D">
      <w:pPr>
        <w:pStyle w:val="Odstavecseseznamem"/>
        <w:numPr>
          <w:ilvl w:val="0"/>
          <w:numId w:val="24"/>
        </w:numPr>
        <w:autoSpaceDE w:val="0"/>
        <w:autoSpaceDN w:val="0"/>
        <w:ind w:left="284" w:hanging="284"/>
        <w:jc w:val="both"/>
        <w:rPr>
          <w:rFonts w:cs="Arial"/>
          <w:iCs/>
          <w:color w:val="000000" w:themeColor="text1"/>
          <w:sz w:val="22"/>
          <w:szCs w:val="22"/>
        </w:rPr>
      </w:pPr>
      <w:r w:rsidRPr="00176A44">
        <w:rPr>
          <w:rFonts w:cs="Arial"/>
          <w:iCs/>
          <w:color w:val="000000" w:themeColor="text1"/>
          <w:sz w:val="22"/>
          <w:szCs w:val="22"/>
        </w:rPr>
        <w:t>růst objemu pobytového cestovního ruchu v České republice</w:t>
      </w:r>
      <w:r w:rsidRPr="00D3557D">
        <w:rPr>
          <w:rFonts w:cs="Arial"/>
          <w:iCs/>
          <w:color w:val="000000" w:themeColor="text1"/>
          <w:sz w:val="22"/>
          <w:szCs w:val="22"/>
        </w:rPr>
        <w:t xml:space="preserve"> včetně růstu objemu domácího cestovního ruchu.</w:t>
      </w:r>
      <w:r w:rsidR="00621921" w:rsidRPr="00D3557D">
        <w:rPr>
          <w:rFonts w:cs="Arial"/>
          <w:iCs/>
          <w:color w:val="000000" w:themeColor="text1"/>
          <w:sz w:val="22"/>
          <w:szCs w:val="22"/>
        </w:rPr>
        <w:t xml:space="preserve"> </w:t>
      </w:r>
    </w:p>
    <w:p w:rsidR="00D3557D" w:rsidRDefault="00D3557D" w:rsidP="002F7A04">
      <w:pPr>
        <w:autoSpaceDE w:val="0"/>
        <w:autoSpaceDN w:val="0"/>
        <w:jc w:val="both"/>
        <w:rPr>
          <w:rFonts w:cs="Arial"/>
          <w:color w:val="000000" w:themeColor="text1"/>
          <w:sz w:val="22"/>
          <w:szCs w:val="22"/>
        </w:rPr>
      </w:pPr>
    </w:p>
    <w:p w:rsidR="00551E04" w:rsidRPr="002F7A04" w:rsidRDefault="00621921" w:rsidP="002F7A04">
      <w:pPr>
        <w:autoSpaceDE w:val="0"/>
        <w:autoSpaceDN w:val="0"/>
        <w:jc w:val="both"/>
        <w:rPr>
          <w:rFonts w:cs="Arial"/>
          <w:iCs/>
          <w:color w:val="000000" w:themeColor="text1"/>
          <w:sz w:val="22"/>
          <w:szCs w:val="22"/>
        </w:rPr>
      </w:pPr>
      <w:r w:rsidRPr="002F7A04">
        <w:rPr>
          <w:rFonts w:cs="Arial"/>
          <w:color w:val="000000" w:themeColor="text1"/>
          <w:sz w:val="22"/>
          <w:szCs w:val="22"/>
        </w:rPr>
        <w:t>Očekávanou výši růstu hodnot statistických ukazatelů uvedených v Koncepci 2007</w:t>
      </w:r>
      <w:r w:rsidR="001D7686" w:rsidRPr="002F7A04">
        <w:rPr>
          <w:rFonts w:cs="Arial"/>
          <w:color w:val="000000" w:themeColor="text1"/>
          <w:sz w:val="22"/>
          <w:szCs w:val="22"/>
        </w:rPr>
        <w:t>–</w:t>
      </w:r>
      <w:r w:rsidRPr="002F7A04">
        <w:rPr>
          <w:rFonts w:cs="Arial"/>
          <w:color w:val="000000" w:themeColor="text1"/>
          <w:sz w:val="22"/>
          <w:szCs w:val="22"/>
        </w:rPr>
        <w:t>2013 MMR nevyčíslilo</w:t>
      </w:r>
      <w:r w:rsidR="00011D15">
        <w:rPr>
          <w:rFonts w:cs="Arial"/>
          <w:color w:val="000000" w:themeColor="text1"/>
          <w:sz w:val="22"/>
          <w:szCs w:val="22"/>
        </w:rPr>
        <w:t>,</w:t>
      </w:r>
      <w:r w:rsidRPr="002F7A04">
        <w:rPr>
          <w:rFonts w:cs="Arial"/>
          <w:color w:val="000000" w:themeColor="text1"/>
          <w:sz w:val="22"/>
          <w:szCs w:val="22"/>
        </w:rPr>
        <w:t xml:space="preserve"> a tudíž ji nebude moci porovnat se skutečností. Na plnění hodnot těchto ukazatelů </w:t>
      </w:r>
      <w:r w:rsidR="0025510C" w:rsidRPr="002F7A04">
        <w:rPr>
          <w:rFonts w:cs="Arial"/>
          <w:color w:val="000000" w:themeColor="text1"/>
          <w:sz w:val="22"/>
          <w:szCs w:val="22"/>
        </w:rPr>
        <w:t xml:space="preserve">ale </w:t>
      </w:r>
      <w:r w:rsidRPr="002F7A04">
        <w:rPr>
          <w:rFonts w:cs="Arial"/>
          <w:color w:val="000000" w:themeColor="text1"/>
          <w:sz w:val="22"/>
          <w:szCs w:val="22"/>
        </w:rPr>
        <w:t>mají vliv i jiné faktory než programy a nástroje realizující koncepci.</w:t>
      </w:r>
      <w:r w:rsidR="009B3AF4" w:rsidRPr="002F7A04">
        <w:rPr>
          <w:rFonts w:cs="Arial"/>
          <w:color w:val="000000" w:themeColor="text1"/>
          <w:sz w:val="22"/>
          <w:szCs w:val="22"/>
        </w:rPr>
        <w:t xml:space="preserve"> </w:t>
      </w:r>
      <w:r w:rsidR="009B3AF4" w:rsidRPr="002F7A04">
        <w:rPr>
          <w:rFonts w:cs="Arial"/>
          <w:iCs/>
          <w:color w:val="000000" w:themeColor="text1"/>
          <w:sz w:val="22"/>
          <w:szCs w:val="22"/>
        </w:rPr>
        <w:t xml:space="preserve">Podle údajů </w:t>
      </w:r>
      <w:r w:rsidR="00011D15">
        <w:rPr>
          <w:rFonts w:cs="Arial"/>
          <w:iCs/>
          <w:color w:val="000000" w:themeColor="text1"/>
          <w:sz w:val="22"/>
          <w:szCs w:val="22"/>
        </w:rPr>
        <w:t>s</w:t>
      </w:r>
      <w:r w:rsidR="009B3AF4" w:rsidRPr="002F7A04">
        <w:rPr>
          <w:rFonts w:cs="Arial"/>
          <w:iCs/>
          <w:color w:val="000000" w:themeColor="text1"/>
          <w:sz w:val="22"/>
          <w:szCs w:val="22"/>
        </w:rPr>
        <w:t>atelitního účtu cestovního ruchu</w:t>
      </w:r>
      <w:r w:rsidR="00F96A95" w:rsidRPr="002F7A04">
        <w:rPr>
          <w:rStyle w:val="Znakapoznpodarou"/>
          <w:rFonts w:cs="Arial"/>
          <w:iCs/>
          <w:color w:val="000000" w:themeColor="text1"/>
          <w:sz w:val="22"/>
          <w:szCs w:val="22"/>
        </w:rPr>
        <w:footnoteReference w:id="6"/>
      </w:r>
      <w:r w:rsidR="009B3AF4" w:rsidRPr="002F7A04">
        <w:rPr>
          <w:rFonts w:cs="Arial"/>
          <w:iCs/>
          <w:color w:val="000000" w:themeColor="text1"/>
          <w:sz w:val="22"/>
          <w:szCs w:val="22"/>
        </w:rPr>
        <w:t xml:space="preserve"> měl vývoj hodnot těchto ukazatelů v letech 2007 až 2011 převážně stagnující či klesající tendenci.</w:t>
      </w:r>
    </w:p>
    <w:p w:rsidR="009B3AF4" w:rsidRPr="002F7A04" w:rsidRDefault="009B3AF4" w:rsidP="002F7A04">
      <w:pPr>
        <w:jc w:val="both"/>
        <w:rPr>
          <w:rFonts w:cs="Arial"/>
          <w:color w:val="000000" w:themeColor="text1"/>
          <w:sz w:val="22"/>
          <w:szCs w:val="22"/>
        </w:rPr>
      </w:pPr>
    </w:p>
    <w:p w:rsidR="00245804" w:rsidRPr="002F7A04" w:rsidRDefault="00621921" w:rsidP="002F7A04">
      <w:pPr>
        <w:jc w:val="both"/>
        <w:rPr>
          <w:rFonts w:cs="Arial"/>
          <w:color w:val="000000" w:themeColor="text1"/>
          <w:sz w:val="22"/>
          <w:szCs w:val="22"/>
        </w:rPr>
      </w:pPr>
      <w:r w:rsidRPr="002F7A04">
        <w:rPr>
          <w:rFonts w:cs="Arial"/>
          <w:color w:val="000000" w:themeColor="text1"/>
          <w:sz w:val="22"/>
          <w:szCs w:val="22"/>
        </w:rPr>
        <w:t xml:space="preserve">Pokles výkonnosti cestovního ruchu a jeho přínosu pro růst národního hospodářství od roku 2007 potvrzuje </w:t>
      </w:r>
      <w:r w:rsidR="00011D15">
        <w:rPr>
          <w:rFonts w:cs="Arial"/>
          <w:color w:val="000000" w:themeColor="text1"/>
          <w:sz w:val="22"/>
          <w:szCs w:val="22"/>
        </w:rPr>
        <w:t>z</w:t>
      </w:r>
      <w:r w:rsidRPr="002F7A04">
        <w:rPr>
          <w:rFonts w:cs="Arial"/>
          <w:color w:val="000000" w:themeColor="text1"/>
          <w:sz w:val="22"/>
          <w:szCs w:val="22"/>
        </w:rPr>
        <w:t>práva o plnění Koncepce 20</w:t>
      </w:r>
      <w:r w:rsidR="00561110">
        <w:rPr>
          <w:rFonts w:cs="Arial"/>
          <w:color w:val="000000" w:themeColor="text1"/>
          <w:sz w:val="22"/>
          <w:szCs w:val="22"/>
        </w:rPr>
        <w:t>07–2013 za období 7/2011–</w:t>
      </w:r>
      <w:r w:rsidRPr="002F7A04">
        <w:rPr>
          <w:rFonts w:cs="Arial"/>
          <w:color w:val="000000" w:themeColor="text1"/>
          <w:sz w:val="22"/>
          <w:szCs w:val="22"/>
        </w:rPr>
        <w:t>6/2013</w:t>
      </w:r>
      <w:r w:rsidR="000065DA" w:rsidRPr="002F7A04">
        <w:rPr>
          <w:rFonts w:cs="Arial"/>
          <w:color w:val="000000" w:themeColor="text1"/>
          <w:sz w:val="22"/>
          <w:szCs w:val="22"/>
        </w:rPr>
        <w:t>, kterou MMR</w:t>
      </w:r>
      <w:r w:rsidRPr="002F7A04">
        <w:rPr>
          <w:rFonts w:cs="Arial"/>
          <w:color w:val="000000" w:themeColor="text1"/>
          <w:sz w:val="22"/>
          <w:szCs w:val="22"/>
        </w:rPr>
        <w:t xml:space="preserve"> předl</w:t>
      </w:r>
      <w:r w:rsidR="000065DA" w:rsidRPr="002F7A04">
        <w:rPr>
          <w:rFonts w:cs="Arial"/>
          <w:color w:val="000000" w:themeColor="text1"/>
          <w:sz w:val="22"/>
          <w:szCs w:val="22"/>
        </w:rPr>
        <w:t>ožilo k informaci vládě</w:t>
      </w:r>
      <w:r w:rsidRPr="002F7A04">
        <w:rPr>
          <w:rFonts w:cs="Arial"/>
          <w:color w:val="000000" w:themeColor="text1"/>
          <w:sz w:val="22"/>
          <w:szCs w:val="22"/>
        </w:rPr>
        <w:t xml:space="preserve">. Rovněž podle </w:t>
      </w:r>
      <w:r w:rsidRPr="00176A44">
        <w:rPr>
          <w:rFonts w:cs="Arial"/>
          <w:i/>
          <w:color w:val="000000" w:themeColor="text1"/>
          <w:sz w:val="22"/>
          <w:szCs w:val="22"/>
        </w:rPr>
        <w:t>Hodnocení dopadů regulace (RIA)</w:t>
      </w:r>
      <w:r w:rsidRPr="002F7A04">
        <w:rPr>
          <w:rFonts w:cs="Arial"/>
          <w:color w:val="000000" w:themeColor="text1"/>
          <w:sz w:val="22"/>
          <w:szCs w:val="22"/>
        </w:rPr>
        <w:t xml:space="preserve"> </w:t>
      </w:r>
      <w:r w:rsidRPr="002F7A04">
        <w:rPr>
          <w:rFonts w:cs="Arial"/>
          <w:color w:val="000000" w:themeColor="text1"/>
          <w:sz w:val="22"/>
          <w:szCs w:val="22"/>
        </w:rPr>
        <w:lastRenderedPageBreak/>
        <w:t>k věcnému záměru zákona o podpoře rozvoje cestovního ruc</w:t>
      </w:r>
      <w:r w:rsidR="000065DA" w:rsidRPr="002F7A04">
        <w:rPr>
          <w:rFonts w:cs="Arial"/>
          <w:color w:val="000000" w:themeColor="text1"/>
          <w:sz w:val="22"/>
          <w:szCs w:val="22"/>
        </w:rPr>
        <w:t>hu k říjnu 2013 dlouhodobě klesá</w:t>
      </w:r>
      <w:r w:rsidRPr="002F7A04">
        <w:rPr>
          <w:rFonts w:cs="Arial"/>
          <w:color w:val="000000" w:themeColor="text1"/>
          <w:sz w:val="22"/>
          <w:szCs w:val="22"/>
        </w:rPr>
        <w:t xml:space="preserve"> podíl cestovního ruchu na makroekonomických ukazatelích, kladné saldo bilance cestovního ruch</w:t>
      </w:r>
      <w:r w:rsidR="000065DA" w:rsidRPr="002F7A04">
        <w:rPr>
          <w:rFonts w:cs="Arial"/>
          <w:color w:val="000000" w:themeColor="text1"/>
          <w:sz w:val="22"/>
          <w:szCs w:val="22"/>
        </w:rPr>
        <w:t xml:space="preserve">u se dlouhodobě snižuje, klesá </w:t>
      </w:r>
      <w:r w:rsidRPr="002F7A04">
        <w:rPr>
          <w:rFonts w:cs="Arial"/>
          <w:color w:val="000000" w:themeColor="text1"/>
          <w:sz w:val="22"/>
          <w:szCs w:val="22"/>
        </w:rPr>
        <w:t>počet zaměstnaných osob v cestovním ruchu a dlouhodobě se snižuje i finanční přínos cestovního ruchu pro veřejné rozpočty.</w:t>
      </w:r>
    </w:p>
    <w:p w:rsidR="00621921" w:rsidRPr="002F7A04" w:rsidRDefault="00621921" w:rsidP="002F7A04">
      <w:pPr>
        <w:jc w:val="both"/>
        <w:rPr>
          <w:rFonts w:cs="Arial"/>
          <w:b/>
          <w:color w:val="000000" w:themeColor="text1"/>
          <w:sz w:val="22"/>
          <w:szCs w:val="22"/>
        </w:rPr>
      </w:pPr>
    </w:p>
    <w:p w:rsidR="009B3AF4" w:rsidRPr="002F7A04" w:rsidRDefault="005702F9" w:rsidP="002F7A04">
      <w:pPr>
        <w:pStyle w:val="Odstavecseseznamem"/>
        <w:ind w:left="0"/>
        <w:contextualSpacing w:val="0"/>
        <w:jc w:val="both"/>
        <w:rPr>
          <w:rFonts w:cs="Arial"/>
          <w:color w:val="000000" w:themeColor="text1"/>
          <w:sz w:val="22"/>
          <w:szCs w:val="22"/>
        </w:rPr>
      </w:pPr>
      <w:r w:rsidRPr="002F7A04">
        <w:rPr>
          <w:rFonts w:cs="Arial"/>
          <w:bCs/>
          <w:color w:val="000000" w:themeColor="text1"/>
          <w:sz w:val="22"/>
          <w:szCs w:val="22"/>
        </w:rPr>
        <w:t>Podle usnesení vlády č. 1239/2007</w:t>
      </w:r>
      <w:r w:rsidR="00F10170" w:rsidRPr="002F7A04">
        <w:rPr>
          <w:rFonts w:cs="Arial"/>
          <w:bCs/>
          <w:color w:val="000000" w:themeColor="text1"/>
          <w:sz w:val="20"/>
          <w:szCs w:val="20"/>
          <w:vertAlign w:val="superscript"/>
        </w:rPr>
        <w:t>1</w:t>
      </w:r>
      <w:r w:rsidRPr="002F7A04">
        <w:rPr>
          <w:rFonts w:cs="Arial"/>
          <w:bCs/>
          <w:color w:val="000000" w:themeColor="text1"/>
          <w:sz w:val="22"/>
          <w:szCs w:val="22"/>
        </w:rPr>
        <w:t xml:space="preserve"> bylo ministru pro místní rozvoj ve spolupráci s dalšími ministerstvy a ČSÚ uloženo předkládat vládě vždy do 30. června každého druhého kalendářního roku, počínaje rokem 2009, zprávu o plnění Koncepce 2007–2013. </w:t>
      </w:r>
      <w:r w:rsidRPr="002F7A04">
        <w:rPr>
          <w:rFonts w:cs="Arial"/>
          <w:color w:val="000000" w:themeColor="text1"/>
          <w:sz w:val="22"/>
          <w:szCs w:val="22"/>
        </w:rPr>
        <w:t>MMR zpracovalo tři zprávy o plnění Koncepce 2007</w:t>
      </w:r>
      <w:r w:rsidR="001D7686" w:rsidRPr="002F7A04">
        <w:rPr>
          <w:rFonts w:cs="Arial"/>
          <w:color w:val="000000" w:themeColor="text1"/>
          <w:sz w:val="22"/>
          <w:szCs w:val="22"/>
        </w:rPr>
        <w:t>–</w:t>
      </w:r>
      <w:r w:rsidRPr="002F7A04">
        <w:rPr>
          <w:rFonts w:cs="Arial"/>
          <w:color w:val="000000" w:themeColor="text1"/>
          <w:sz w:val="22"/>
          <w:szCs w:val="22"/>
        </w:rPr>
        <w:t xml:space="preserve">2013, které předložilo vládě pro informaci. </w:t>
      </w:r>
      <w:r w:rsidR="009B3AF4" w:rsidRPr="002F7A04">
        <w:rPr>
          <w:rFonts w:cs="Arial"/>
          <w:color w:val="000000" w:themeColor="text1"/>
          <w:sz w:val="22"/>
          <w:szCs w:val="22"/>
        </w:rPr>
        <w:t>Uvedlo zde pouze neúplný</w:t>
      </w:r>
      <w:r w:rsidR="00985500" w:rsidRPr="002F7A04">
        <w:rPr>
          <w:rFonts w:cs="Arial"/>
          <w:color w:val="000000" w:themeColor="text1"/>
          <w:sz w:val="22"/>
          <w:szCs w:val="22"/>
        </w:rPr>
        <w:t xml:space="preserve"> </w:t>
      </w:r>
      <w:r w:rsidRPr="002F7A04">
        <w:rPr>
          <w:rFonts w:cs="Arial"/>
          <w:color w:val="000000" w:themeColor="text1"/>
          <w:sz w:val="22"/>
          <w:szCs w:val="22"/>
        </w:rPr>
        <w:t>poč</w:t>
      </w:r>
      <w:r w:rsidR="009B3AF4" w:rsidRPr="002F7A04">
        <w:rPr>
          <w:rFonts w:cs="Arial"/>
          <w:color w:val="000000" w:themeColor="text1"/>
          <w:sz w:val="22"/>
          <w:szCs w:val="22"/>
        </w:rPr>
        <w:t>et</w:t>
      </w:r>
      <w:r w:rsidRPr="002F7A04">
        <w:rPr>
          <w:rFonts w:cs="Arial"/>
          <w:color w:val="000000" w:themeColor="text1"/>
          <w:sz w:val="22"/>
          <w:szCs w:val="22"/>
        </w:rPr>
        <w:t xml:space="preserve"> realizovaných projektů a výše dotací zj</w:t>
      </w:r>
      <w:r w:rsidR="003E7EA9" w:rsidRPr="002F7A04">
        <w:rPr>
          <w:rFonts w:cs="Arial"/>
          <w:color w:val="000000" w:themeColor="text1"/>
          <w:sz w:val="22"/>
          <w:szCs w:val="22"/>
        </w:rPr>
        <w:t>ištěných externí firmou a popis</w:t>
      </w:r>
      <w:r w:rsidR="00011D15">
        <w:rPr>
          <w:rFonts w:cs="Arial"/>
          <w:color w:val="000000" w:themeColor="text1"/>
          <w:sz w:val="22"/>
          <w:szCs w:val="22"/>
        </w:rPr>
        <w:t>,</w:t>
      </w:r>
      <w:r w:rsidRPr="002F7A04">
        <w:rPr>
          <w:rFonts w:cs="Arial"/>
          <w:color w:val="000000" w:themeColor="text1"/>
          <w:sz w:val="22"/>
          <w:szCs w:val="22"/>
        </w:rPr>
        <w:t xml:space="preserve"> kým a jakým způsobem jsou opatření realizov</w:t>
      </w:r>
      <w:r w:rsidR="00EC0B84" w:rsidRPr="002F7A04">
        <w:rPr>
          <w:rFonts w:cs="Arial"/>
          <w:color w:val="000000" w:themeColor="text1"/>
          <w:sz w:val="22"/>
          <w:szCs w:val="22"/>
        </w:rPr>
        <w:t>ána</w:t>
      </w:r>
      <w:r w:rsidR="009B3AF4" w:rsidRPr="002F7A04">
        <w:rPr>
          <w:rFonts w:cs="Arial"/>
          <w:color w:val="000000" w:themeColor="text1"/>
          <w:sz w:val="22"/>
          <w:szCs w:val="22"/>
        </w:rPr>
        <w:t>.</w:t>
      </w:r>
      <w:r w:rsidR="00DB74AC" w:rsidRPr="002F7A04">
        <w:rPr>
          <w:rFonts w:cs="Arial"/>
          <w:color w:val="000000" w:themeColor="text1"/>
          <w:sz w:val="22"/>
          <w:szCs w:val="22"/>
        </w:rPr>
        <w:t xml:space="preserve"> </w:t>
      </w:r>
      <w:r w:rsidR="004E575D" w:rsidRPr="002F7A04">
        <w:rPr>
          <w:rFonts w:cs="Arial"/>
          <w:color w:val="000000" w:themeColor="text1"/>
          <w:sz w:val="22"/>
          <w:szCs w:val="22"/>
        </w:rPr>
        <w:t>Přesto v</w:t>
      </w:r>
      <w:r w:rsidR="00CC2D1B" w:rsidRPr="002F7A04">
        <w:rPr>
          <w:rFonts w:cs="Arial"/>
          <w:color w:val="000000" w:themeColor="text1"/>
          <w:sz w:val="22"/>
          <w:szCs w:val="22"/>
        </w:rPr>
        <w:t> nové Koncepci 2014–</w:t>
      </w:r>
      <w:r w:rsidR="00DB74AC" w:rsidRPr="002F7A04">
        <w:rPr>
          <w:rFonts w:cs="Arial"/>
          <w:color w:val="000000" w:themeColor="text1"/>
          <w:sz w:val="22"/>
          <w:szCs w:val="22"/>
        </w:rPr>
        <w:t xml:space="preserve">2020 MMR identifikovalo nedostatky v podpoře cestovního ruchu, kterých by se </w:t>
      </w:r>
      <w:r w:rsidR="00B41A27" w:rsidRPr="002F7A04">
        <w:rPr>
          <w:rFonts w:cs="Arial"/>
          <w:color w:val="000000" w:themeColor="text1"/>
          <w:sz w:val="22"/>
          <w:szCs w:val="22"/>
        </w:rPr>
        <w:t>mělo</w:t>
      </w:r>
      <w:r w:rsidR="00DB74AC" w:rsidRPr="002F7A04">
        <w:rPr>
          <w:rFonts w:cs="Arial"/>
          <w:color w:val="000000" w:themeColor="text1"/>
          <w:sz w:val="22"/>
          <w:szCs w:val="22"/>
        </w:rPr>
        <w:t xml:space="preserve"> vyvarovat.</w:t>
      </w:r>
    </w:p>
    <w:p w:rsidR="009B3AF4" w:rsidRPr="002F7A04" w:rsidRDefault="009B3AF4" w:rsidP="002F7A04">
      <w:pPr>
        <w:pStyle w:val="Odstavecseseznamem"/>
        <w:ind w:left="0"/>
        <w:contextualSpacing w:val="0"/>
        <w:jc w:val="both"/>
        <w:rPr>
          <w:rFonts w:cs="Arial"/>
          <w:color w:val="000000" w:themeColor="text1"/>
          <w:sz w:val="22"/>
          <w:szCs w:val="22"/>
        </w:rPr>
      </w:pPr>
    </w:p>
    <w:p w:rsidR="008F735D" w:rsidRPr="00D3557D" w:rsidRDefault="00D3557D" w:rsidP="00D3557D">
      <w:pPr>
        <w:jc w:val="both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2</w:t>
      </w:r>
      <w:r w:rsidRPr="00721BDD">
        <w:rPr>
          <w:rFonts w:cs="Arial"/>
          <w:b/>
          <w:color w:val="000000" w:themeColor="text1"/>
          <w:sz w:val="22"/>
          <w:szCs w:val="22"/>
        </w:rPr>
        <w:t xml:space="preserve">. </w:t>
      </w:r>
      <w:r w:rsidR="008F735D" w:rsidRPr="00721BDD">
        <w:rPr>
          <w:rFonts w:cs="Arial"/>
          <w:b/>
          <w:color w:val="000000" w:themeColor="text1"/>
          <w:sz w:val="22"/>
          <w:szCs w:val="22"/>
        </w:rPr>
        <w:t>Národní program podpory cestovního ruchu</w:t>
      </w:r>
    </w:p>
    <w:p w:rsidR="008F735D" w:rsidRPr="002F7A04" w:rsidRDefault="008F735D" w:rsidP="002F7A04">
      <w:pPr>
        <w:pStyle w:val="Odstavecseseznamem"/>
        <w:ind w:left="0"/>
        <w:contextualSpacing w:val="0"/>
        <w:jc w:val="both"/>
        <w:rPr>
          <w:rFonts w:cs="Arial"/>
          <w:bCs/>
          <w:color w:val="000000" w:themeColor="text1"/>
          <w:sz w:val="22"/>
          <w:szCs w:val="22"/>
        </w:rPr>
      </w:pPr>
    </w:p>
    <w:p w:rsidR="00E11584" w:rsidRPr="002F7A04" w:rsidRDefault="006E59A6" w:rsidP="002F7A04">
      <w:pPr>
        <w:pStyle w:val="Odstavecseseznamem"/>
        <w:ind w:left="0"/>
        <w:contextualSpacing w:val="0"/>
        <w:jc w:val="both"/>
        <w:rPr>
          <w:rFonts w:cs="Arial"/>
          <w:bCs/>
          <w:color w:val="000000" w:themeColor="text1"/>
          <w:sz w:val="22"/>
          <w:szCs w:val="22"/>
        </w:rPr>
      </w:pPr>
      <w:r w:rsidRPr="00176A44">
        <w:rPr>
          <w:rFonts w:cs="Arial"/>
          <w:bCs/>
          <w:i/>
          <w:color w:val="000000" w:themeColor="text1"/>
          <w:sz w:val="22"/>
          <w:szCs w:val="22"/>
        </w:rPr>
        <w:t>Národní program podpory cestovního ruchu</w:t>
      </w:r>
      <w:r w:rsidRPr="002F7A04">
        <w:rPr>
          <w:rFonts w:cs="Arial"/>
          <w:bCs/>
          <w:color w:val="000000" w:themeColor="text1"/>
          <w:sz w:val="22"/>
          <w:szCs w:val="22"/>
        </w:rPr>
        <w:t xml:space="preserve"> měl být jedním z nástrojů implementace Koncepce 2007–2013. </w:t>
      </w:r>
      <w:r w:rsidR="00E11584" w:rsidRPr="002F7A04">
        <w:rPr>
          <w:rFonts w:cs="Arial"/>
          <w:bCs/>
          <w:color w:val="000000" w:themeColor="text1"/>
          <w:sz w:val="22"/>
          <w:szCs w:val="22"/>
        </w:rPr>
        <w:t xml:space="preserve">Hlavním cílem </w:t>
      </w:r>
      <w:r w:rsidR="00B06316" w:rsidRPr="00176A44">
        <w:rPr>
          <w:rFonts w:cs="Arial"/>
          <w:bCs/>
          <w:i/>
          <w:color w:val="000000" w:themeColor="text1"/>
          <w:sz w:val="22"/>
          <w:szCs w:val="22"/>
        </w:rPr>
        <w:t>N</w:t>
      </w:r>
      <w:r w:rsidR="00E11584" w:rsidRPr="00176A44">
        <w:rPr>
          <w:rFonts w:cs="Arial"/>
          <w:bCs/>
          <w:i/>
          <w:color w:val="000000" w:themeColor="text1"/>
          <w:sz w:val="22"/>
          <w:szCs w:val="22"/>
        </w:rPr>
        <w:t xml:space="preserve">árodního programu podpory cestovního ruchu </w:t>
      </w:r>
      <w:r w:rsidR="00E11584" w:rsidRPr="002F7A04">
        <w:rPr>
          <w:rFonts w:cs="Arial"/>
          <w:bCs/>
          <w:color w:val="000000" w:themeColor="text1"/>
          <w:sz w:val="22"/>
          <w:szCs w:val="22"/>
        </w:rPr>
        <w:t>bylo vytvořit nástroj, který efektivním způsobem přispěje k rozvoji cestovního ruchu</w:t>
      </w:r>
      <w:r w:rsidR="00563545" w:rsidRPr="002F7A04">
        <w:rPr>
          <w:rFonts w:cs="Arial"/>
          <w:bCs/>
          <w:color w:val="000000" w:themeColor="text1"/>
          <w:sz w:val="22"/>
          <w:szCs w:val="22"/>
        </w:rPr>
        <w:t>.</w:t>
      </w:r>
    </w:p>
    <w:p w:rsidR="00E11584" w:rsidRPr="002F7A04" w:rsidRDefault="00E11584" w:rsidP="002F7A04">
      <w:pPr>
        <w:jc w:val="both"/>
        <w:rPr>
          <w:rFonts w:cs="Arial"/>
          <w:bCs/>
          <w:color w:val="000000" w:themeColor="text1"/>
          <w:sz w:val="22"/>
          <w:szCs w:val="22"/>
        </w:rPr>
      </w:pPr>
    </w:p>
    <w:p w:rsidR="00E11584" w:rsidRPr="002F7A04" w:rsidRDefault="006B0AA5" w:rsidP="00721BDD">
      <w:pPr>
        <w:tabs>
          <w:tab w:val="right" w:pos="9072"/>
        </w:tabs>
        <w:spacing w:after="40"/>
        <w:ind w:left="1531" w:hanging="1531"/>
        <w:rPr>
          <w:rFonts w:cs="Arial"/>
          <w:bCs/>
          <w:color w:val="000000" w:themeColor="text1"/>
          <w:sz w:val="22"/>
          <w:szCs w:val="22"/>
        </w:rPr>
      </w:pPr>
      <w:r w:rsidRPr="002F7A04">
        <w:rPr>
          <w:rFonts w:cs="Arial"/>
          <w:b/>
          <w:bCs/>
          <w:color w:val="000000" w:themeColor="text1"/>
          <w:sz w:val="22"/>
          <w:szCs w:val="22"/>
        </w:rPr>
        <w:t>Tabulka č. 1 –</w:t>
      </w:r>
      <w:r w:rsidR="00721BDD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="00BC0D11" w:rsidRPr="002F7A04">
        <w:rPr>
          <w:rFonts w:cs="Arial"/>
          <w:b/>
          <w:bCs/>
          <w:color w:val="000000" w:themeColor="text1"/>
          <w:sz w:val="22"/>
          <w:szCs w:val="22"/>
        </w:rPr>
        <w:t>P</w:t>
      </w:r>
      <w:r w:rsidRPr="002F7A04">
        <w:rPr>
          <w:rFonts w:cs="Arial"/>
          <w:b/>
          <w:bCs/>
          <w:color w:val="000000" w:themeColor="text1"/>
          <w:sz w:val="22"/>
          <w:szCs w:val="22"/>
        </w:rPr>
        <w:t>řehled rozpočtu a č</w:t>
      </w:r>
      <w:r w:rsidR="00E11584" w:rsidRPr="002F7A04">
        <w:rPr>
          <w:rFonts w:cs="Arial"/>
          <w:b/>
          <w:bCs/>
          <w:color w:val="000000" w:themeColor="text1"/>
          <w:sz w:val="22"/>
          <w:szCs w:val="22"/>
        </w:rPr>
        <w:t xml:space="preserve">erpání prostředků </w:t>
      </w:r>
      <w:r w:rsidR="00B06316" w:rsidRPr="00176A44">
        <w:rPr>
          <w:rFonts w:cs="Arial"/>
          <w:b/>
          <w:bCs/>
          <w:i/>
          <w:color w:val="000000" w:themeColor="text1"/>
          <w:sz w:val="22"/>
          <w:szCs w:val="22"/>
        </w:rPr>
        <w:t>N</w:t>
      </w:r>
      <w:r w:rsidR="00E11584" w:rsidRPr="00176A44">
        <w:rPr>
          <w:rFonts w:cs="Arial"/>
          <w:b/>
          <w:bCs/>
          <w:i/>
          <w:color w:val="000000" w:themeColor="text1"/>
          <w:sz w:val="22"/>
          <w:szCs w:val="22"/>
        </w:rPr>
        <w:t xml:space="preserve">árodního programu podpory </w:t>
      </w:r>
      <w:r w:rsidR="00E11584" w:rsidRPr="00E84030">
        <w:rPr>
          <w:rFonts w:cs="Arial"/>
          <w:b/>
          <w:bCs/>
          <w:i/>
          <w:color w:val="000000" w:themeColor="text1"/>
          <w:sz w:val="22"/>
          <w:szCs w:val="22"/>
        </w:rPr>
        <w:t>c</w:t>
      </w:r>
      <w:r w:rsidR="00E11584" w:rsidRPr="00176A44">
        <w:rPr>
          <w:rFonts w:cs="Arial"/>
          <w:b/>
          <w:bCs/>
          <w:i/>
          <w:color w:val="000000" w:themeColor="text1"/>
          <w:sz w:val="22"/>
          <w:szCs w:val="22"/>
        </w:rPr>
        <w:t>estovního ruchu</w:t>
      </w:r>
      <w:r w:rsidR="00E11584" w:rsidRPr="002F7A04">
        <w:rPr>
          <w:rFonts w:cs="Arial"/>
          <w:b/>
          <w:bCs/>
          <w:color w:val="000000" w:themeColor="text1"/>
          <w:sz w:val="22"/>
          <w:szCs w:val="22"/>
        </w:rPr>
        <w:tab/>
      </w:r>
      <w:r w:rsidR="00BC0D11" w:rsidRPr="00176A44">
        <w:rPr>
          <w:rFonts w:cs="Arial"/>
          <w:b/>
          <w:bCs/>
          <w:color w:val="000000" w:themeColor="text1"/>
          <w:sz w:val="22"/>
          <w:szCs w:val="22"/>
        </w:rPr>
        <w:t>(</w:t>
      </w:r>
      <w:r w:rsidR="00E11584" w:rsidRPr="00176A44">
        <w:rPr>
          <w:rFonts w:cs="Arial"/>
          <w:b/>
          <w:bCs/>
          <w:color w:val="000000" w:themeColor="text1"/>
          <w:sz w:val="22"/>
          <w:szCs w:val="22"/>
        </w:rPr>
        <w:t>v mil. Kč</w:t>
      </w:r>
      <w:r w:rsidR="00BC0D11" w:rsidRPr="00176A44">
        <w:rPr>
          <w:rFonts w:cs="Arial"/>
          <w:b/>
          <w:bCs/>
          <w:color w:val="000000" w:themeColor="text1"/>
          <w:sz w:val="22"/>
          <w:szCs w:val="22"/>
        </w:rPr>
        <w:t>)</w:t>
      </w:r>
    </w:p>
    <w:tbl>
      <w:tblPr>
        <w:tblW w:w="90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981"/>
        <w:gridCol w:w="1072"/>
        <w:gridCol w:w="1884"/>
        <w:gridCol w:w="1156"/>
        <w:gridCol w:w="2105"/>
      </w:tblGrid>
      <w:tr w:rsidR="002F7A04" w:rsidRPr="002F7A04" w:rsidTr="00721BDD">
        <w:trPr>
          <w:trHeight w:val="284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E11584" w:rsidRPr="00176A44" w:rsidRDefault="00E11584" w:rsidP="002F7A04">
            <w:pPr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E11584" w:rsidRPr="00176A44" w:rsidRDefault="00E11584" w:rsidP="002F7A04">
            <w:pPr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176A4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Schválený rozpočet na začátku roku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11584" w:rsidRPr="00176A44" w:rsidRDefault="00D3557D" w:rsidP="002F7A04">
            <w:pPr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176A4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Upravený rozpočet*</w:t>
            </w:r>
          </w:p>
        </w:tc>
        <w:tc>
          <w:tcPr>
            <w:tcW w:w="1884" w:type="dxa"/>
            <w:vAlign w:val="center"/>
          </w:tcPr>
          <w:p w:rsidR="00E11584" w:rsidRPr="00176A44" w:rsidRDefault="00E11584" w:rsidP="00011D15">
            <w:pPr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176A4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Výše dotace podle </w:t>
            </w:r>
            <w:r w:rsidR="00011D15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Pr="00176A4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ozhodnutí</w:t>
            </w:r>
          </w:p>
        </w:tc>
        <w:tc>
          <w:tcPr>
            <w:tcW w:w="1156" w:type="dxa"/>
            <w:vAlign w:val="center"/>
          </w:tcPr>
          <w:p w:rsidR="00E11584" w:rsidRPr="00176A44" w:rsidRDefault="00E11584" w:rsidP="00D3557D">
            <w:pPr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176A4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Skutečné čerpání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11584" w:rsidRPr="00176A44" w:rsidRDefault="00E11584" w:rsidP="002F7A04">
            <w:pPr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176A4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Počet realizovaných akcí v roce</w:t>
            </w:r>
          </w:p>
        </w:tc>
      </w:tr>
      <w:tr w:rsidR="002F7A04" w:rsidRPr="002F7A04" w:rsidTr="00721BDD">
        <w:trPr>
          <w:trHeight w:val="284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E11584" w:rsidRPr="002F7A04" w:rsidRDefault="00E11584" w:rsidP="002F7A04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bCs/>
                <w:color w:val="000000" w:themeColor="text1"/>
                <w:sz w:val="18"/>
                <w:szCs w:val="18"/>
              </w:rPr>
              <w:t>2010</w:t>
            </w:r>
          </w:p>
        </w:tc>
        <w:tc>
          <w:tcPr>
            <w:tcW w:w="1981" w:type="dxa"/>
            <w:vAlign w:val="center"/>
          </w:tcPr>
          <w:p w:rsidR="00E11584" w:rsidRPr="002F7A04" w:rsidRDefault="00E11584" w:rsidP="00F91757">
            <w:pPr>
              <w:ind w:right="754"/>
              <w:jc w:val="right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11584" w:rsidRPr="002F7A04" w:rsidRDefault="00E11584" w:rsidP="00D3557D">
            <w:pPr>
              <w:ind w:right="114"/>
              <w:jc w:val="right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bCs/>
                <w:color w:val="000000" w:themeColor="text1"/>
                <w:sz w:val="18"/>
                <w:szCs w:val="18"/>
              </w:rPr>
              <w:t>80</w:t>
            </w:r>
            <w:r w:rsidR="00F91757">
              <w:rPr>
                <w:rFonts w:cs="Arial"/>
                <w:bCs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884" w:type="dxa"/>
            <w:vAlign w:val="center"/>
          </w:tcPr>
          <w:p w:rsidR="00E11584" w:rsidRPr="002F7A04" w:rsidRDefault="00E11584" w:rsidP="00D3557D">
            <w:pPr>
              <w:ind w:right="587"/>
              <w:jc w:val="right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bCs/>
                <w:color w:val="000000" w:themeColor="text1"/>
                <w:sz w:val="18"/>
                <w:szCs w:val="18"/>
              </w:rPr>
              <w:t>64,33</w:t>
            </w:r>
          </w:p>
        </w:tc>
        <w:tc>
          <w:tcPr>
            <w:tcW w:w="1156" w:type="dxa"/>
            <w:vAlign w:val="center"/>
          </w:tcPr>
          <w:p w:rsidR="00E11584" w:rsidRPr="002F7A04" w:rsidRDefault="00E11584" w:rsidP="00D3557D">
            <w:pPr>
              <w:ind w:right="264"/>
              <w:jc w:val="right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bCs/>
                <w:color w:val="000000" w:themeColor="text1"/>
                <w:sz w:val="18"/>
                <w:szCs w:val="18"/>
              </w:rPr>
              <w:t>64,32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11584" w:rsidRPr="002F7A04" w:rsidRDefault="00E11584" w:rsidP="00D3557D">
            <w:pPr>
              <w:ind w:right="742"/>
              <w:jc w:val="right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bCs/>
                <w:color w:val="000000" w:themeColor="text1"/>
                <w:sz w:val="18"/>
                <w:szCs w:val="18"/>
              </w:rPr>
              <w:t>36</w:t>
            </w:r>
          </w:p>
        </w:tc>
      </w:tr>
      <w:tr w:rsidR="002F7A04" w:rsidRPr="002F7A04" w:rsidTr="00721BDD">
        <w:trPr>
          <w:trHeight w:val="284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E11584" w:rsidRPr="002F7A04" w:rsidRDefault="00E11584" w:rsidP="002F7A04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bCs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1981" w:type="dxa"/>
            <w:vAlign w:val="center"/>
          </w:tcPr>
          <w:p w:rsidR="00E11584" w:rsidRPr="002F7A04" w:rsidRDefault="00E11584" w:rsidP="00F91757">
            <w:pPr>
              <w:ind w:right="754"/>
              <w:jc w:val="right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bCs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11584" w:rsidRPr="002F7A04" w:rsidRDefault="00E11584" w:rsidP="00D3557D">
            <w:pPr>
              <w:ind w:right="114"/>
              <w:jc w:val="right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bCs/>
                <w:color w:val="000000" w:themeColor="text1"/>
                <w:sz w:val="18"/>
                <w:szCs w:val="18"/>
              </w:rPr>
              <w:t>72</w:t>
            </w:r>
            <w:r w:rsidR="00F91757">
              <w:rPr>
                <w:rFonts w:cs="Arial"/>
                <w:bCs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884" w:type="dxa"/>
            <w:vAlign w:val="center"/>
          </w:tcPr>
          <w:p w:rsidR="00E11584" w:rsidRPr="002F7A04" w:rsidRDefault="00E11584" w:rsidP="00D3557D">
            <w:pPr>
              <w:ind w:right="587"/>
              <w:jc w:val="right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bCs/>
                <w:color w:val="000000" w:themeColor="text1"/>
                <w:sz w:val="18"/>
                <w:szCs w:val="18"/>
              </w:rPr>
              <w:t>68,69</w:t>
            </w:r>
          </w:p>
        </w:tc>
        <w:tc>
          <w:tcPr>
            <w:tcW w:w="1156" w:type="dxa"/>
            <w:vAlign w:val="center"/>
          </w:tcPr>
          <w:p w:rsidR="00E11584" w:rsidRPr="002F7A04" w:rsidRDefault="00E11584" w:rsidP="00D3557D">
            <w:pPr>
              <w:ind w:right="264"/>
              <w:jc w:val="right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bCs/>
                <w:color w:val="000000" w:themeColor="text1"/>
                <w:sz w:val="18"/>
                <w:szCs w:val="18"/>
              </w:rPr>
              <w:t>68,69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11584" w:rsidRPr="002F7A04" w:rsidRDefault="00E11584" w:rsidP="00D3557D">
            <w:pPr>
              <w:ind w:right="742"/>
              <w:jc w:val="right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bCs/>
                <w:color w:val="000000" w:themeColor="text1"/>
                <w:sz w:val="18"/>
                <w:szCs w:val="18"/>
              </w:rPr>
              <w:t>42</w:t>
            </w:r>
          </w:p>
        </w:tc>
      </w:tr>
      <w:tr w:rsidR="002F7A04" w:rsidRPr="002F7A04" w:rsidTr="00721BDD">
        <w:trPr>
          <w:trHeight w:val="284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E11584" w:rsidRPr="002F7A04" w:rsidRDefault="00E11584" w:rsidP="002F7A04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bCs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1981" w:type="dxa"/>
            <w:vAlign w:val="center"/>
          </w:tcPr>
          <w:p w:rsidR="00E11584" w:rsidRPr="002F7A04" w:rsidRDefault="00E11584" w:rsidP="00F91757">
            <w:pPr>
              <w:ind w:right="754"/>
              <w:jc w:val="right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11584" w:rsidRPr="002F7A04" w:rsidRDefault="00E11584" w:rsidP="00D3557D">
            <w:pPr>
              <w:ind w:right="114"/>
              <w:jc w:val="right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bCs/>
                <w:color w:val="000000" w:themeColor="text1"/>
                <w:sz w:val="18"/>
                <w:szCs w:val="18"/>
              </w:rPr>
              <w:t>53,99</w:t>
            </w:r>
          </w:p>
        </w:tc>
        <w:tc>
          <w:tcPr>
            <w:tcW w:w="1884" w:type="dxa"/>
            <w:vAlign w:val="center"/>
          </w:tcPr>
          <w:p w:rsidR="00E11584" w:rsidRPr="002F7A04" w:rsidRDefault="00E11584" w:rsidP="00D3557D">
            <w:pPr>
              <w:ind w:right="587"/>
              <w:jc w:val="right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bCs/>
                <w:color w:val="000000" w:themeColor="text1"/>
                <w:sz w:val="18"/>
                <w:szCs w:val="18"/>
              </w:rPr>
              <w:t>48,07</w:t>
            </w:r>
          </w:p>
        </w:tc>
        <w:tc>
          <w:tcPr>
            <w:tcW w:w="1156" w:type="dxa"/>
            <w:vAlign w:val="center"/>
          </w:tcPr>
          <w:p w:rsidR="00E11584" w:rsidRPr="002F7A04" w:rsidRDefault="00E11584" w:rsidP="00D3557D">
            <w:pPr>
              <w:ind w:right="264"/>
              <w:jc w:val="right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bCs/>
                <w:color w:val="000000" w:themeColor="text1"/>
                <w:sz w:val="18"/>
                <w:szCs w:val="18"/>
              </w:rPr>
              <w:t>48,05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11584" w:rsidRPr="002F7A04" w:rsidRDefault="00E11584" w:rsidP="00D3557D">
            <w:pPr>
              <w:ind w:right="742"/>
              <w:jc w:val="right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bCs/>
                <w:color w:val="000000" w:themeColor="text1"/>
                <w:sz w:val="18"/>
                <w:szCs w:val="18"/>
              </w:rPr>
              <w:t>35</w:t>
            </w:r>
          </w:p>
        </w:tc>
      </w:tr>
      <w:tr w:rsidR="002F7A04" w:rsidRPr="002F7A04" w:rsidTr="00721BDD">
        <w:trPr>
          <w:trHeight w:val="284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E11584" w:rsidRPr="002F7A04" w:rsidRDefault="00E11584" w:rsidP="002F7A04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bCs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981" w:type="dxa"/>
            <w:vAlign w:val="center"/>
          </w:tcPr>
          <w:p w:rsidR="00E11584" w:rsidRPr="002F7A04" w:rsidRDefault="00E11584" w:rsidP="00F91757">
            <w:pPr>
              <w:ind w:right="754"/>
              <w:jc w:val="right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11584" w:rsidRPr="002F7A04" w:rsidRDefault="00E11584" w:rsidP="00D3557D">
            <w:pPr>
              <w:ind w:right="114"/>
              <w:jc w:val="right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bCs/>
                <w:color w:val="000000" w:themeColor="text1"/>
                <w:sz w:val="18"/>
                <w:szCs w:val="18"/>
              </w:rPr>
              <w:t>55,95</w:t>
            </w:r>
          </w:p>
        </w:tc>
        <w:tc>
          <w:tcPr>
            <w:tcW w:w="1884" w:type="dxa"/>
            <w:vAlign w:val="center"/>
          </w:tcPr>
          <w:p w:rsidR="00E11584" w:rsidRPr="002F7A04" w:rsidRDefault="00E11584" w:rsidP="00D3557D">
            <w:pPr>
              <w:ind w:right="587"/>
              <w:jc w:val="right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bCs/>
                <w:color w:val="000000" w:themeColor="text1"/>
                <w:sz w:val="18"/>
                <w:szCs w:val="18"/>
              </w:rPr>
              <w:t>50,12</w:t>
            </w:r>
          </w:p>
        </w:tc>
        <w:tc>
          <w:tcPr>
            <w:tcW w:w="1156" w:type="dxa"/>
            <w:vAlign w:val="center"/>
          </w:tcPr>
          <w:p w:rsidR="00E11584" w:rsidRPr="002F7A04" w:rsidRDefault="00E11584" w:rsidP="00D3557D">
            <w:pPr>
              <w:ind w:right="264"/>
              <w:jc w:val="right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bCs/>
                <w:color w:val="000000" w:themeColor="text1"/>
                <w:sz w:val="18"/>
                <w:szCs w:val="18"/>
              </w:rPr>
              <w:t>50,10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11584" w:rsidRPr="002F7A04" w:rsidRDefault="00E11584" w:rsidP="00D3557D">
            <w:pPr>
              <w:ind w:right="742"/>
              <w:jc w:val="right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bCs/>
                <w:color w:val="000000" w:themeColor="text1"/>
                <w:sz w:val="18"/>
                <w:szCs w:val="18"/>
              </w:rPr>
              <w:t>31</w:t>
            </w:r>
          </w:p>
        </w:tc>
      </w:tr>
      <w:tr w:rsidR="002F7A04" w:rsidRPr="00F91757" w:rsidTr="00721BDD">
        <w:trPr>
          <w:trHeight w:val="284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E11584" w:rsidRPr="00176A44" w:rsidRDefault="00E11584" w:rsidP="002F7A04">
            <w:pPr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176A4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Celkem</w:t>
            </w:r>
          </w:p>
        </w:tc>
        <w:tc>
          <w:tcPr>
            <w:tcW w:w="1981" w:type="dxa"/>
            <w:vAlign w:val="center"/>
          </w:tcPr>
          <w:p w:rsidR="00E11584" w:rsidRPr="00176A44" w:rsidRDefault="00E11584" w:rsidP="00F91757">
            <w:pPr>
              <w:ind w:right="754"/>
              <w:jc w:val="right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176A4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282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11584" w:rsidRPr="00176A44" w:rsidRDefault="00E11584" w:rsidP="00D3557D">
            <w:pPr>
              <w:ind w:right="114"/>
              <w:jc w:val="right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176A4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261,94</w:t>
            </w:r>
          </w:p>
        </w:tc>
        <w:tc>
          <w:tcPr>
            <w:tcW w:w="1884" w:type="dxa"/>
            <w:vAlign w:val="center"/>
          </w:tcPr>
          <w:p w:rsidR="00E11584" w:rsidRPr="00176A44" w:rsidRDefault="00E11584" w:rsidP="00D3557D">
            <w:pPr>
              <w:ind w:right="587"/>
              <w:jc w:val="right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176A4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231,21</w:t>
            </w:r>
          </w:p>
        </w:tc>
        <w:tc>
          <w:tcPr>
            <w:tcW w:w="1156" w:type="dxa"/>
            <w:vAlign w:val="center"/>
          </w:tcPr>
          <w:p w:rsidR="00E11584" w:rsidRPr="00176A44" w:rsidRDefault="00E11584" w:rsidP="00D3557D">
            <w:pPr>
              <w:ind w:right="264"/>
              <w:jc w:val="right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176A4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231,16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11584" w:rsidRPr="00176A44" w:rsidRDefault="00E11584" w:rsidP="00D3557D">
            <w:pPr>
              <w:ind w:right="742"/>
              <w:jc w:val="right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176A4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144</w:t>
            </w:r>
          </w:p>
        </w:tc>
      </w:tr>
    </w:tbl>
    <w:p w:rsidR="00B06316" w:rsidRPr="00D3557D" w:rsidRDefault="00B06316" w:rsidP="00B06316">
      <w:pPr>
        <w:spacing w:before="40"/>
        <w:jc w:val="both"/>
        <w:rPr>
          <w:rFonts w:cs="Arial"/>
          <w:bCs/>
          <w:color w:val="000000" w:themeColor="text1"/>
          <w:sz w:val="18"/>
          <w:szCs w:val="18"/>
        </w:rPr>
      </w:pPr>
      <w:r w:rsidRPr="00D3557D">
        <w:rPr>
          <w:rFonts w:cs="Arial"/>
          <w:b/>
          <w:bCs/>
          <w:color w:val="000000" w:themeColor="text1"/>
          <w:sz w:val="18"/>
          <w:szCs w:val="18"/>
        </w:rPr>
        <w:t>Zdroj:</w:t>
      </w:r>
      <w:r w:rsidRPr="00D3557D">
        <w:rPr>
          <w:rFonts w:cs="Arial"/>
          <w:bCs/>
          <w:color w:val="000000" w:themeColor="text1"/>
          <w:sz w:val="18"/>
          <w:szCs w:val="18"/>
        </w:rPr>
        <w:t xml:space="preserve"> MMR.</w:t>
      </w:r>
    </w:p>
    <w:p w:rsidR="00E11584" w:rsidRPr="00D3557D" w:rsidRDefault="00D3557D" w:rsidP="00B06316">
      <w:pPr>
        <w:jc w:val="both"/>
        <w:rPr>
          <w:rFonts w:cs="Arial"/>
          <w:bCs/>
          <w:color w:val="000000" w:themeColor="text1"/>
          <w:sz w:val="18"/>
          <w:szCs w:val="18"/>
        </w:rPr>
      </w:pPr>
      <w:r w:rsidRPr="00D3557D">
        <w:rPr>
          <w:rFonts w:cs="Arial"/>
          <w:bCs/>
          <w:color w:val="000000" w:themeColor="text1"/>
          <w:sz w:val="18"/>
          <w:szCs w:val="18"/>
        </w:rPr>
        <w:t>*</w:t>
      </w:r>
      <w:r w:rsidR="00E11584" w:rsidRPr="00D3557D">
        <w:rPr>
          <w:rFonts w:cs="Arial"/>
          <w:bCs/>
          <w:color w:val="000000" w:themeColor="text1"/>
          <w:sz w:val="18"/>
          <w:szCs w:val="18"/>
        </w:rPr>
        <w:t xml:space="preserve"> </w:t>
      </w:r>
      <w:r w:rsidR="00B06316">
        <w:rPr>
          <w:rFonts w:cs="Arial"/>
          <w:bCs/>
          <w:color w:val="000000" w:themeColor="text1"/>
          <w:sz w:val="18"/>
          <w:szCs w:val="18"/>
        </w:rPr>
        <w:t>V</w:t>
      </w:r>
      <w:r w:rsidR="00E11584" w:rsidRPr="00D3557D">
        <w:rPr>
          <w:rFonts w:cs="Arial"/>
          <w:bCs/>
          <w:color w:val="000000" w:themeColor="text1"/>
          <w:sz w:val="18"/>
          <w:szCs w:val="18"/>
        </w:rPr>
        <w:t>četně nároku nespotřebovaných výdajů</w:t>
      </w:r>
      <w:r w:rsidR="00B06316">
        <w:rPr>
          <w:rFonts w:cs="Arial"/>
          <w:bCs/>
          <w:color w:val="000000" w:themeColor="text1"/>
          <w:sz w:val="18"/>
          <w:szCs w:val="18"/>
        </w:rPr>
        <w:t>.</w:t>
      </w:r>
    </w:p>
    <w:p w:rsidR="00D3557D" w:rsidRPr="00D3557D" w:rsidRDefault="00D3557D" w:rsidP="002F7A04">
      <w:pPr>
        <w:jc w:val="both"/>
        <w:rPr>
          <w:rFonts w:cs="Arial"/>
          <w:color w:val="000000" w:themeColor="text1"/>
          <w:sz w:val="22"/>
          <w:szCs w:val="22"/>
        </w:rPr>
      </w:pPr>
    </w:p>
    <w:p w:rsidR="00B51D32" w:rsidRPr="002F7A04" w:rsidRDefault="00E726AA" w:rsidP="002F7A04">
      <w:pPr>
        <w:jc w:val="both"/>
        <w:rPr>
          <w:rFonts w:cs="Arial"/>
          <w:color w:val="000000" w:themeColor="text1"/>
          <w:sz w:val="22"/>
          <w:szCs w:val="22"/>
        </w:rPr>
      </w:pPr>
      <w:r w:rsidRPr="002F7A04">
        <w:rPr>
          <w:rFonts w:cs="Arial"/>
          <w:b/>
          <w:color w:val="000000" w:themeColor="text1"/>
          <w:sz w:val="22"/>
          <w:szCs w:val="22"/>
        </w:rPr>
        <w:t xml:space="preserve">MMR nesledovalo, zda výsledky programu </w:t>
      </w:r>
      <w:r w:rsidR="00B17251" w:rsidRPr="002F7A04">
        <w:rPr>
          <w:rFonts w:cs="Arial"/>
          <w:b/>
          <w:color w:val="000000" w:themeColor="text1"/>
          <w:sz w:val="22"/>
          <w:szCs w:val="22"/>
        </w:rPr>
        <w:t xml:space="preserve">skutečně </w:t>
      </w:r>
      <w:r w:rsidR="008C1771" w:rsidRPr="002F7A04">
        <w:rPr>
          <w:rFonts w:cs="Arial"/>
          <w:b/>
          <w:color w:val="000000" w:themeColor="text1"/>
          <w:sz w:val="22"/>
          <w:szCs w:val="22"/>
        </w:rPr>
        <w:t>naplňují zadaný cíl</w:t>
      </w:r>
      <w:r w:rsidR="00A21AB9">
        <w:rPr>
          <w:rFonts w:cs="Arial"/>
          <w:b/>
          <w:color w:val="000000" w:themeColor="text1"/>
          <w:sz w:val="22"/>
          <w:szCs w:val="22"/>
        </w:rPr>
        <w:t>.</w:t>
      </w:r>
      <w:r w:rsidR="008C1771" w:rsidRPr="002F7A04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895258" w:rsidRPr="002F7A04">
        <w:rPr>
          <w:rFonts w:cs="Arial"/>
          <w:bCs/>
          <w:color w:val="000000" w:themeColor="text1"/>
          <w:sz w:val="22"/>
          <w:szCs w:val="22"/>
        </w:rPr>
        <w:t xml:space="preserve">Program měl zpřístupnit </w:t>
      </w:r>
      <w:r w:rsidR="009B3AF4" w:rsidRPr="002F7A04">
        <w:rPr>
          <w:rFonts w:cs="Arial"/>
          <w:bCs/>
          <w:color w:val="000000" w:themeColor="text1"/>
          <w:sz w:val="22"/>
          <w:szCs w:val="22"/>
        </w:rPr>
        <w:t>aktivity spojené s cestováním i </w:t>
      </w:r>
      <w:r w:rsidR="00895258" w:rsidRPr="002F7A04">
        <w:rPr>
          <w:rFonts w:cs="Arial"/>
          <w:bCs/>
          <w:color w:val="000000" w:themeColor="text1"/>
          <w:sz w:val="22"/>
          <w:szCs w:val="22"/>
        </w:rPr>
        <w:t xml:space="preserve">znevýhodněným skupinám obyvatel (rodinám s dětmi, mládeži, studentům, seniorům, </w:t>
      </w:r>
      <w:r w:rsidR="00011D15">
        <w:rPr>
          <w:rFonts w:cs="Arial"/>
          <w:bCs/>
          <w:color w:val="000000" w:themeColor="text1"/>
          <w:sz w:val="22"/>
          <w:szCs w:val="22"/>
        </w:rPr>
        <w:t>hend</w:t>
      </w:r>
      <w:r w:rsidR="00830ABA">
        <w:rPr>
          <w:rFonts w:cs="Arial"/>
          <w:bCs/>
          <w:color w:val="000000" w:themeColor="text1"/>
          <w:sz w:val="22"/>
          <w:szCs w:val="22"/>
        </w:rPr>
        <w:t>ikepovaným</w:t>
      </w:r>
      <w:r w:rsidR="00895258" w:rsidRPr="002F7A04">
        <w:rPr>
          <w:rFonts w:cs="Arial"/>
          <w:bCs/>
          <w:color w:val="000000" w:themeColor="text1"/>
          <w:sz w:val="22"/>
          <w:szCs w:val="22"/>
        </w:rPr>
        <w:t xml:space="preserve"> osobám). </w:t>
      </w:r>
      <w:r w:rsidR="00751972" w:rsidRPr="002F7A04">
        <w:rPr>
          <w:rFonts w:cs="Arial"/>
          <w:bCs/>
          <w:color w:val="000000" w:themeColor="text1"/>
          <w:sz w:val="22"/>
          <w:szCs w:val="22"/>
        </w:rPr>
        <w:t>MMR</w:t>
      </w:r>
      <w:r w:rsidR="00E45990" w:rsidRPr="002F7A04">
        <w:rPr>
          <w:rFonts w:cs="Arial"/>
          <w:bCs/>
          <w:color w:val="000000" w:themeColor="text1"/>
          <w:sz w:val="22"/>
          <w:szCs w:val="22"/>
        </w:rPr>
        <w:t xml:space="preserve"> v rámci programu</w:t>
      </w:r>
      <w:r w:rsidR="00751972" w:rsidRPr="002F7A04">
        <w:rPr>
          <w:rFonts w:cs="Arial"/>
          <w:bCs/>
          <w:color w:val="000000" w:themeColor="text1"/>
          <w:sz w:val="22"/>
          <w:szCs w:val="22"/>
        </w:rPr>
        <w:t xml:space="preserve"> např. podpořilo</w:t>
      </w:r>
      <w:r w:rsidR="00B51D32" w:rsidRPr="002F7A04">
        <w:rPr>
          <w:rFonts w:cs="Arial"/>
          <w:bCs/>
          <w:color w:val="000000" w:themeColor="text1"/>
          <w:sz w:val="22"/>
          <w:szCs w:val="22"/>
        </w:rPr>
        <w:t xml:space="preserve"> dotací 1,224 mil. Kč zřízení půjčov</w:t>
      </w:r>
      <w:r w:rsidR="00E45990" w:rsidRPr="002F7A04">
        <w:rPr>
          <w:rFonts w:cs="Arial"/>
          <w:bCs/>
          <w:color w:val="000000" w:themeColor="text1"/>
          <w:sz w:val="22"/>
          <w:szCs w:val="22"/>
        </w:rPr>
        <w:t xml:space="preserve">ny osobních transportérů </w:t>
      </w:r>
      <w:proofErr w:type="spellStart"/>
      <w:r w:rsidR="00E45990" w:rsidRPr="002F7A04">
        <w:rPr>
          <w:rFonts w:cs="Arial"/>
          <w:bCs/>
          <w:color w:val="000000" w:themeColor="text1"/>
          <w:sz w:val="22"/>
          <w:szCs w:val="22"/>
        </w:rPr>
        <w:t>Segway</w:t>
      </w:r>
      <w:proofErr w:type="spellEnd"/>
      <w:r w:rsidR="00B51D32" w:rsidRPr="002F7A04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3924A1" w:rsidRPr="002F7A04">
        <w:rPr>
          <w:rFonts w:cs="Arial"/>
          <w:bCs/>
          <w:color w:val="000000" w:themeColor="text1"/>
          <w:sz w:val="22"/>
          <w:szCs w:val="22"/>
        </w:rPr>
        <w:t xml:space="preserve">a </w:t>
      </w:r>
      <w:r w:rsidR="00B51D32" w:rsidRPr="002F7A04">
        <w:rPr>
          <w:rFonts w:cs="Arial"/>
          <w:bCs/>
          <w:color w:val="000000" w:themeColor="text1"/>
          <w:sz w:val="22"/>
          <w:szCs w:val="22"/>
        </w:rPr>
        <w:t>dotací 0,955 mil. Kč v</w:t>
      </w:r>
      <w:r w:rsidR="00830ABA">
        <w:rPr>
          <w:rFonts w:cs="Arial"/>
          <w:bCs/>
          <w:color w:val="000000" w:themeColor="text1"/>
          <w:sz w:val="22"/>
          <w:szCs w:val="22"/>
        </w:rPr>
        <w:t xml:space="preserve">ybudování půjčovny </w:t>
      </w:r>
      <w:proofErr w:type="spellStart"/>
      <w:r w:rsidR="00830ABA">
        <w:rPr>
          <w:rFonts w:cs="Arial"/>
          <w:bCs/>
          <w:color w:val="000000" w:themeColor="text1"/>
          <w:sz w:val="22"/>
          <w:szCs w:val="22"/>
        </w:rPr>
        <w:t>elektrokol</w:t>
      </w:r>
      <w:proofErr w:type="spellEnd"/>
      <w:r w:rsidR="00830ABA">
        <w:rPr>
          <w:rFonts w:cs="Arial"/>
          <w:bCs/>
          <w:color w:val="000000" w:themeColor="text1"/>
          <w:sz w:val="22"/>
          <w:szCs w:val="22"/>
        </w:rPr>
        <w:t xml:space="preserve"> a </w:t>
      </w:r>
      <w:r w:rsidR="00B51D32" w:rsidRPr="002F7A04">
        <w:rPr>
          <w:rFonts w:cs="Arial"/>
          <w:bCs/>
          <w:color w:val="000000" w:themeColor="text1"/>
          <w:sz w:val="22"/>
          <w:szCs w:val="22"/>
        </w:rPr>
        <w:t>dětských elektrických vozítek</w:t>
      </w:r>
      <w:r w:rsidR="003924A1" w:rsidRPr="002F7A04">
        <w:rPr>
          <w:rFonts w:cs="Arial"/>
          <w:bCs/>
          <w:color w:val="000000" w:themeColor="text1"/>
          <w:sz w:val="22"/>
          <w:szCs w:val="22"/>
        </w:rPr>
        <w:t xml:space="preserve">. </w:t>
      </w:r>
      <w:r w:rsidR="00E45990" w:rsidRPr="002F7A04">
        <w:rPr>
          <w:rFonts w:cs="Arial"/>
          <w:bCs/>
          <w:color w:val="000000" w:themeColor="text1"/>
          <w:sz w:val="22"/>
          <w:szCs w:val="22"/>
        </w:rPr>
        <w:t>MMR také poskytlo</w:t>
      </w:r>
      <w:r w:rsidR="003924A1" w:rsidRPr="002F7A04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B51D32" w:rsidRPr="002F7A04">
        <w:rPr>
          <w:rFonts w:cs="Arial"/>
          <w:bCs/>
          <w:color w:val="000000" w:themeColor="text1"/>
          <w:sz w:val="22"/>
          <w:szCs w:val="22"/>
        </w:rPr>
        <w:t>d</w:t>
      </w:r>
      <w:r w:rsidR="00E45990" w:rsidRPr="002F7A04">
        <w:rPr>
          <w:rFonts w:cs="Arial"/>
          <w:bCs/>
          <w:color w:val="000000" w:themeColor="text1"/>
          <w:sz w:val="22"/>
          <w:szCs w:val="22"/>
        </w:rPr>
        <w:t>otaci</w:t>
      </w:r>
      <w:r w:rsidR="00751972" w:rsidRPr="002F7A04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E45990" w:rsidRPr="002F7A04">
        <w:rPr>
          <w:rFonts w:cs="Arial"/>
          <w:bCs/>
          <w:color w:val="000000" w:themeColor="text1"/>
          <w:sz w:val="22"/>
          <w:szCs w:val="22"/>
        </w:rPr>
        <w:t xml:space="preserve">ve výši </w:t>
      </w:r>
      <w:r w:rsidR="00EF4ACA" w:rsidRPr="002F7A04">
        <w:rPr>
          <w:rFonts w:cs="Arial"/>
          <w:bCs/>
          <w:color w:val="000000" w:themeColor="text1"/>
          <w:sz w:val="22"/>
          <w:szCs w:val="22"/>
        </w:rPr>
        <w:t>2,246</w:t>
      </w:r>
      <w:r w:rsidR="00751972" w:rsidRPr="002F7A04">
        <w:rPr>
          <w:rFonts w:cs="Arial"/>
          <w:bCs/>
          <w:color w:val="000000" w:themeColor="text1"/>
          <w:sz w:val="22"/>
          <w:szCs w:val="22"/>
        </w:rPr>
        <w:t xml:space="preserve"> mil. Kč</w:t>
      </w:r>
      <w:r w:rsidR="00E45990" w:rsidRPr="002F7A04">
        <w:rPr>
          <w:rFonts w:cs="Arial"/>
          <w:bCs/>
          <w:color w:val="000000" w:themeColor="text1"/>
          <w:sz w:val="22"/>
          <w:szCs w:val="22"/>
        </w:rPr>
        <w:t xml:space="preserve"> na pořízení automobilu pro sedm</w:t>
      </w:r>
      <w:r w:rsidR="00751972" w:rsidRPr="002F7A04">
        <w:rPr>
          <w:rFonts w:cs="Arial"/>
          <w:bCs/>
          <w:color w:val="000000" w:themeColor="text1"/>
          <w:sz w:val="22"/>
          <w:szCs w:val="22"/>
        </w:rPr>
        <w:t xml:space="preserve"> osob pro potřeby přepravy návštěvníků hotelu z řa</w:t>
      </w:r>
      <w:r w:rsidR="00B51D32" w:rsidRPr="002F7A04">
        <w:rPr>
          <w:rFonts w:cs="Arial"/>
          <w:bCs/>
          <w:color w:val="000000" w:themeColor="text1"/>
          <w:sz w:val="22"/>
          <w:szCs w:val="22"/>
        </w:rPr>
        <w:t xml:space="preserve">d seniorů a osob s omezením, </w:t>
      </w:r>
      <w:r w:rsidR="00751972" w:rsidRPr="002F7A04">
        <w:rPr>
          <w:rFonts w:cs="Arial"/>
          <w:bCs/>
          <w:color w:val="000000" w:themeColor="text1"/>
          <w:sz w:val="22"/>
          <w:szCs w:val="22"/>
        </w:rPr>
        <w:t xml:space="preserve">potisk auta, reklamu v tisku, organizaci </w:t>
      </w:r>
      <w:proofErr w:type="spellStart"/>
      <w:r w:rsidR="00751972" w:rsidRPr="002F7A04">
        <w:rPr>
          <w:rFonts w:cs="Arial"/>
          <w:bCs/>
          <w:color w:val="000000" w:themeColor="text1"/>
          <w:sz w:val="22"/>
          <w:szCs w:val="22"/>
        </w:rPr>
        <w:t>presstripu</w:t>
      </w:r>
      <w:proofErr w:type="spellEnd"/>
      <w:r w:rsidR="00751972" w:rsidRPr="002F7A04">
        <w:rPr>
          <w:rFonts w:cs="Arial"/>
          <w:bCs/>
          <w:color w:val="000000" w:themeColor="text1"/>
          <w:sz w:val="22"/>
          <w:szCs w:val="22"/>
        </w:rPr>
        <w:t>, prezentaci na veletr</w:t>
      </w:r>
      <w:r w:rsidR="00335BE6" w:rsidRPr="002F7A04">
        <w:rPr>
          <w:rFonts w:cs="Arial"/>
          <w:bCs/>
          <w:color w:val="000000" w:themeColor="text1"/>
          <w:sz w:val="22"/>
          <w:szCs w:val="22"/>
        </w:rPr>
        <w:t>zích, software pro registraci a </w:t>
      </w:r>
      <w:r w:rsidR="00751972" w:rsidRPr="002F7A04">
        <w:rPr>
          <w:rFonts w:cs="Arial"/>
          <w:bCs/>
          <w:color w:val="000000" w:themeColor="text1"/>
          <w:sz w:val="22"/>
          <w:szCs w:val="22"/>
        </w:rPr>
        <w:t xml:space="preserve">koordinaci návštěvnických aktivit, kulinářských prezentací, vydání letáků, brožur a knih, </w:t>
      </w:r>
      <w:proofErr w:type="spellStart"/>
      <w:r w:rsidR="00751972" w:rsidRPr="002F7A04">
        <w:rPr>
          <w:rFonts w:cs="Arial"/>
          <w:bCs/>
          <w:color w:val="000000" w:themeColor="text1"/>
          <w:sz w:val="22"/>
          <w:szCs w:val="22"/>
        </w:rPr>
        <w:t>videoprezentací</w:t>
      </w:r>
      <w:proofErr w:type="spellEnd"/>
      <w:r w:rsidR="00751972" w:rsidRPr="002F7A04">
        <w:rPr>
          <w:rFonts w:cs="Arial"/>
          <w:bCs/>
          <w:color w:val="000000" w:themeColor="text1"/>
          <w:sz w:val="22"/>
          <w:szCs w:val="22"/>
        </w:rPr>
        <w:t xml:space="preserve">. Ze závěrečného hodnocení akce </w:t>
      </w:r>
      <w:r w:rsidR="00B51D32" w:rsidRPr="002F7A04">
        <w:rPr>
          <w:rFonts w:cs="Arial"/>
          <w:bCs/>
          <w:color w:val="000000" w:themeColor="text1"/>
          <w:sz w:val="22"/>
          <w:szCs w:val="22"/>
        </w:rPr>
        <w:t xml:space="preserve">ale </w:t>
      </w:r>
      <w:r w:rsidR="00751972" w:rsidRPr="002F7A04">
        <w:rPr>
          <w:rFonts w:cs="Arial"/>
          <w:bCs/>
          <w:color w:val="000000" w:themeColor="text1"/>
          <w:sz w:val="22"/>
          <w:szCs w:val="22"/>
        </w:rPr>
        <w:t xml:space="preserve">nebylo jasné, do jaké míry byly realizované aktivity </w:t>
      </w:r>
      <w:r w:rsidR="00B51D32" w:rsidRPr="002F7A04">
        <w:rPr>
          <w:rFonts w:cs="Arial"/>
          <w:bCs/>
          <w:color w:val="000000" w:themeColor="text1"/>
          <w:sz w:val="22"/>
          <w:szCs w:val="22"/>
        </w:rPr>
        <w:t xml:space="preserve">skutečně </w:t>
      </w:r>
      <w:r w:rsidR="00751972" w:rsidRPr="002F7A04">
        <w:rPr>
          <w:rFonts w:cs="Arial"/>
          <w:bCs/>
          <w:color w:val="000000" w:themeColor="text1"/>
          <w:sz w:val="22"/>
          <w:szCs w:val="22"/>
        </w:rPr>
        <w:t>zaměřeny na cílovou skupinu.</w:t>
      </w:r>
      <w:r w:rsidR="00B51D32" w:rsidRPr="002F7A04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B51D32" w:rsidRPr="002F7A04">
        <w:rPr>
          <w:rFonts w:cs="Arial"/>
          <w:color w:val="000000" w:themeColor="text1"/>
          <w:sz w:val="22"/>
          <w:szCs w:val="22"/>
        </w:rPr>
        <w:t>Po závěrečném vyhodnocení akcí nebyli příjemci podpory povinni informovat MMR o tom, jak dodržují podmínky udržitelnosti akcí</w:t>
      </w:r>
      <w:r w:rsidR="00830ABA">
        <w:rPr>
          <w:rFonts w:cs="Arial"/>
          <w:color w:val="000000" w:themeColor="text1"/>
          <w:sz w:val="22"/>
          <w:szCs w:val="22"/>
        </w:rPr>
        <w:t>,</w:t>
      </w:r>
      <w:r w:rsidR="00C534D2" w:rsidRPr="002F7A04">
        <w:rPr>
          <w:rFonts w:cs="Arial"/>
          <w:color w:val="000000" w:themeColor="text1"/>
          <w:sz w:val="22"/>
          <w:szCs w:val="22"/>
        </w:rPr>
        <w:t xml:space="preserve"> a</w:t>
      </w:r>
      <w:r w:rsidR="00B51D32" w:rsidRPr="002F7A04">
        <w:rPr>
          <w:rFonts w:cs="Arial"/>
          <w:color w:val="000000" w:themeColor="text1"/>
          <w:sz w:val="22"/>
          <w:szCs w:val="22"/>
        </w:rPr>
        <w:t xml:space="preserve"> MMR </w:t>
      </w:r>
      <w:r w:rsidR="00992B3C" w:rsidRPr="002F7A04">
        <w:rPr>
          <w:rFonts w:cs="Arial"/>
          <w:color w:val="000000" w:themeColor="text1"/>
          <w:sz w:val="22"/>
          <w:szCs w:val="22"/>
        </w:rPr>
        <w:t>tuto skutečnost</w:t>
      </w:r>
      <w:r w:rsidR="00B51D32" w:rsidRPr="002F7A04">
        <w:rPr>
          <w:rFonts w:cs="Arial"/>
          <w:color w:val="000000" w:themeColor="text1"/>
          <w:sz w:val="22"/>
          <w:szCs w:val="22"/>
        </w:rPr>
        <w:t xml:space="preserve"> </w:t>
      </w:r>
      <w:r w:rsidR="00E45990" w:rsidRPr="002F7A04">
        <w:rPr>
          <w:rFonts w:cs="Arial"/>
          <w:color w:val="000000" w:themeColor="text1"/>
          <w:sz w:val="22"/>
          <w:szCs w:val="22"/>
        </w:rPr>
        <w:t xml:space="preserve">následně </w:t>
      </w:r>
      <w:r w:rsidR="00B51D32" w:rsidRPr="002F7A04">
        <w:rPr>
          <w:rFonts w:cs="Arial"/>
          <w:color w:val="000000" w:themeColor="text1"/>
          <w:sz w:val="22"/>
          <w:szCs w:val="22"/>
        </w:rPr>
        <w:t xml:space="preserve">neověřovalo. </w:t>
      </w:r>
    </w:p>
    <w:p w:rsidR="009A4B03" w:rsidRPr="002F7A04" w:rsidRDefault="009A4B03" w:rsidP="002F7A04">
      <w:pPr>
        <w:jc w:val="both"/>
        <w:rPr>
          <w:rFonts w:cs="Arial"/>
          <w:color w:val="000000" w:themeColor="text1"/>
          <w:sz w:val="22"/>
          <w:szCs w:val="22"/>
        </w:rPr>
      </w:pPr>
    </w:p>
    <w:p w:rsidR="006816B4" w:rsidRPr="002F7A04" w:rsidRDefault="00F41D1F" w:rsidP="002F7A04">
      <w:pPr>
        <w:jc w:val="both"/>
        <w:rPr>
          <w:rFonts w:cs="Arial"/>
          <w:bCs/>
          <w:color w:val="000000" w:themeColor="text1"/>
          <w:sz w:val="22"/>
          <w:szCs w:val="22"/>
        </w:rPr>
      </w:pPr>
      <w:r w:rsidRPr="002F7A04">
        <w:rPr>
          <w:rFonts w:cs="Arial"/>
          <w:b/>
          <w:bCs/>
          <w:color w:val="000000" w:themeColor="text1"/>
          <w:sz w:val="22"/>
          <w:szCs w:val="22"/>
        </w:rPr>
        <w:t>Hodnocení kvality žádostí a finančního a ekonomického zdraví akcí</w:t>
      </w:r>
      <w:r w:rsidR="000D0E10" w:rsidRPr="002F7A04">
        <w:rPr>
          <w:rFonts w:cs="Arial"/>
          <w:b/>
          <w:bCs/>
          <w:color w:val="000000" w:themeColor="text1"/>
          <w:sz w:val="22"/>
          <w:szCs w:val="22"/>
        </w:rPr>
        <w:t xml:space="preserve"> v rámci </w:t>
      </w:r>
      <w:r w:rsidR="000D0E10" w:rsidRPr="00176A44">
        <w:rPr>
          <w:rFonts w:cs="Arial"/>
          <w:b/>
          <w:i/>
          <w:color w:val="000000" w:themeColor="text1"/>
          <w:sz w:val="22"/>
          <w:szCs w:val="22"/>
        </w:rPr>
        <w:t>Národní</w:t>
      </w:r>
      <w:r w:rsidR="007D7DA6" w:rsidRPr="00176A44">
        <w:rPr>
          <w:rFonts w:cs="Arial"/>
          <w:b/>
          <w:i/>
          <w:color w:val="000000" w:themeColor="text1"/>
          <w:sz w:val="22"/>
          <w:szCs w:val="22"/>
        </w:rPr>
        <w:t>ho</w:t>
      </w:r>
      <w:r w:rsidR="000D0E10" w:rsidRPr="00176A44">
        <w:rPr>
          <w:rFonts w:cs="Arial"/>
          <w:b/>
          <w:i/>
          <w:color w:val="000000" w:themeColor="text1"/>
          <w:sz w:val="22"/>
          <w:szCs w:val="22"/>
        </w:rPr>
        <w:t xml:space="preserve"> programu podpory cestovního ruchu</w:t>
      </w:r>
      <w:r w:rsidR="000D0E10" w:rsidRPr="002F7A04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0D0E10" w:rsidRPr="002F7A04">
        <w:rPr>
          <w:rFonts w:cs="Arial"/>
          <w:b/>
          <w:bCs/>
          <w:color w:val="000000" w:themeColor="text1"/>
          <w:sz w:val="22"/>
          <w:szCs w:val="22"/>
        </w:rPr>
        <w:t>mělo vysoce subjektivní charakter</w:t>
      </w:r>
      <w:r w:rsidR="00D705DE" w:rsidRPr="002F7A04">
        <w:rPr>
          <w:rFonts w:cs="Arial"/>
          <w:b/>
          <w:bCs/>
          <w:color w:val="000000" w:themeColor="text1"/>
          <w:sz w:val="22"/>
          <w:szCs w:val="22"/>
        </w:rPr>
        <w:t>.</w:t>
      </w:r>
      <w:r w:rsidR="000D0E10" w:rsidRPr="002F7A04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="000D0E10" w:rsidRPr="002F7A04">
        <w:rPr>
          <w:rFonts w:cs="Arial"/>
          <w:bCs/>
          <w:color w:val="000000" w:themeColor="text1"/>
          <w:sz w:val="22"/>
          <w:szCs w:val="22"/>
        </w:rPr>
        <w:t>MMR použilo pro hodnocení žádostí v letech 2010 až 2013 sedm hodnotitelů, kterým za to uhradilo 999</w:t>
      </w:r>
      <w:r w:rsidR="00A21AB9">
        <w:rPr>
          <w:rFonts w:cs="Arial"/>
          <w:bCs/>
          <w:color w:val="000000" w:themeColor="text1"/>
          <w:sz w:val="22"/>
          <w:szCs w:val="22"/>
        </w:rPr>
        <w:t> </w:t>
      </w:r>
      <w:r w:rsidR="000D0E10" w:rsidRPr="002F7A04">
        <w:rPr>
          <w:rFonts w:cs="Arial"/>
          <w:bCs/>
          <w:color w:val="000000" w:themeColor="text1"/>
          <w:sz w:val="22"/>
          <w:szCs w:val="22"/>
        </w:rPr>
        <w:t>tis.</w:t>
      </w:r>
      <w:r w:rsidR="00A21AB9">
        <w:rPr>
          <w:rFonts w:cs="Arial"/>
          <w:bCs/>
          <w:color w:val="000000" w:themeColor="text1"/>
          <w:sz w:val="22"/>
          <w:szCs w:val="22"/>
        </w:rPr>
        <w:t> </w:t>
      </w:r>
      <w:r w:rsidR="000D0E10" w:rsidRPr="002F7A04">
        <w:rPr>
          <w:rFonts w:cs="Arial"/>
          <w:bCs/>
          <w:color w:val="000000" w:themeColor="text1"/>
          <w:sz w:val="22"/>
          <w:szCs w:val="22"/>
        </w:rPr>
        <w:t>Kč</w:t>
      </w:r>
      <w:r w:rsidR="00231399" w:rsidRPr="002F7A04">
        <w:rPr>
          <w:rFonts w:cs="Arial"/>
          <w:bCs/>
          <w:color w:val="000000" w:themeColor="text1"/>
          <w:sz w:val="22"/>
          <w:szCs w:val="22"/>
        </w:rPr>
        <w:t>.</w:t>
      </w:r>
      <w:r w:rsidR="00E73805" w:rsidRPr="002F7A04">
        <w:rPr>
          <w:rFonts w:cs="Arial"/>
          <w:bCs/>
          <w:color w:val="000000" w:themeColor="text1"/>
          <w:sz w:val="22"/>
          <w:szCs w:val="22"/>
        </w:rPr>
        <w:t xml:space="preserve"> Přestože podle metodiky hodnocení žádostí měli být hodnotitelé nezávislí na hodnocených projektech, MMR tuto povinnost hodnotitelům nestanovilo. </w:t>
      </w:r>
      <w:r w:rsidR="00EF19A5" w:rsidRPr="002F7A04">
        <w:rPr>
          <w:rFonts w:cs="Arial"/>
          <w:bCs/>
          <w:color w:val="000000" w:themeColor="text1"/>
          <w:sz w:val="22"/>
          <w:szCs w:val="22"/>
        </w:rPr>
        <w:t>Hodnotitele</w:t>
      </w:r>
      <w:r w:rsidR="00E73805" w:rsidRPr="002F7A04">
        <w:rPr>
          <w:rFonts w:cs="Arial"/>
          <w:bCs/>
          <w:color w:val="000000" w:themeColor="text1"/>
          <w:sz w:val="22"/>
          <w:szCs w:val="22"/>
        </w:rPr>
        <w:t xml:space="preserve"> pouze zavázalo, že musí zachovávat mlčenlivost v souvislosti s hodnocením. MMR stanovilo pro hodnocení žádostí o podporu kritéria</w:t>
      </w:r>
      <w:r w:rsidR="00AE051B" w:rsidRPr="002F7A04">
        <w:rPr>
          <w:rFonts w:cs="Arial"/>
          <w:bCs/>
          <w:color w:val="000000" w:themeColor="text1"/>
          <w:sz w:val="22"/>
          <w:szCs w:val="22"/>
        </w:rPr>
        <w:t xml:space="preserve"> (</w:t>
      </w:r>
      <w:r w:rsidR="00E73805" w:rsidRPr="002F7A04">
        <w:rPr>
          <w:rFonts w:cs="Arial"/>
          <w:bCs/>
          <w:color w:val="000000" w:themeColor="text1"/>
          <w:sz w:val="22"/>
          <w:szCs w:val="22"/>
        </w:rPr>
        <w:t>pot</w:t>
      </w:r>
      <w:r w:rsidR="00AE051B" w:rsidRPr="002F7A04">
        <w:rPr>
          <w:rFonts w:cs="Arial"/>
          <w:bCs/>
          <w:color w:val="000000" w:themeColor="text1"/>
          <w:sz w:val="22"/>
          <w:szCs w:val="22"/>
        </w:rPr>
        <w:t>řebnost akce pro cílové skupiny</w:t>
      </w:r>
      <w:r w:rsidR="00E73805" w:rsidRPr="002F7A04">
        <w:rPr>
          <w:rFonts w:cs="Arial"/>
          <w:bCs/>
          <w:color w:val="000000" w:themeColor="text1"/>
          <w:sz w:val="22"/>
          <w:szCs w:val="22"/>
        </w:rPr>
        <w:t>,</w:t>
      </w:r>
      <w:r w:rsidR="00A57C64" w:rsidRPr="002F7A04">
        <w:rPr>
          <w:rFonts w:cs="Arial"/>
          <w:bCs/>
          <w:color w:val="000000" w:themeColor="text1"/>
          <w:sz w:val="22"/>
          <w:szCs w:val="22"/>
        </w:rPr>
        <w:t xml:space="preserve"> komplexnost, </w:t>
      </w:r>
      <w:r w:rsidR="00AE051B" w:rsidRPr="002F7A04">
        <w:rPr>
          <w:rFonts w:cs="Arial"/>
          <w:bCs/>
          <w:color w:val="000000" w:themeColor="text1"/>
          <w:sz w:val="22"/>
          <w:szCs w:val="22"/>
        </w:rPr>
        <w:t>reálnost</w:t>
      </w:r>
      <w:r w:rsidR="00EF4ACA" w:rsidRPr="002F7A04">
        <w:rPr>
          <w:rFonts w:cs="Arial"/>
          <w:bCs/>
          <w:color w:val="000000" w:themeColor="text1"/>
          <w:sz w:val="22"/>
          <w:szCs w:val="22"/>
        </w:rPr>
        <w:t>,</w:t>
      </w:r>
      <w:r w:rsidR="00A57C64" w:rsidRPr="002F7A04">
        <w:rPr>
          <w:rFonts w:cs="Arial"/>
          <w:bCs/>
          <w:color w:val="000000" w:themeColor="text1"/>
          <w:sz w:val="22"/>
          <w:szCs w:val="22"/>
        </w:rPr>
        <w:t xml:space="preserve"> dlouhodobá udržitelnost akce, zohlednění rizik, </w:t>
      </w:r>
      <w:r w:rsidR="00AE051B" w:rsidRPr="002F7A04">
        <w:rPr>
          <w:rFonts w:cs="Arial"/>
          <w:bCs/>
          <w:color w:val="000000" w:themeColor="text1"/>
          <w:sz w:val="22"/>
          <w:szCs w:val="22"/>
        </w:rPr>
        <w:t>reáln</w:t>
      </w:r>
      <w:r w:rsidR="00A57C64" w:rsidRPr="002F7A04">
        <w:rPr>
          <w:rFonts w:cs="Arial"/>
          <w:bCs/>
          <w:color w:val="000000" w:themeColor="text1"/>
          <w:sz w:val="22"/>
          <w:szCs w:val="22"/>
        </w:rPr>
        <w:t>ost a</w:t>
      </w:r>
      <w:r w:rsidR="00D26BD3" w:rsidRPr="002F7A04">
        <w:rPr>
          <w:rFonts w:cs="Arial"/>
          <w:bCs/>
          <w:color w:val="000000" w:themeColor="text1"/>
          <w:sz w:val="22"/>
          <w:szCs w:val="22"/>
        </w:rPr>
        <w:t> </w:t>
      </w:r>
      <w:r w:rsidR="00A57C64" w:rsidRPr="002F7A04">
        <w:rPr>
          <w:rFonts w:cs="Arial"/>
          <w:bCs/>
          <w:color w:val="000000" w:themeColor="text1"/>
          <w:sz w:val="22"/>
          <w:szCs w:val="22"/>
        </w:rPr>
        <w:t>hospodárnost rozpočtu</w:t>
      </w:r>
      <w:r w:rsidR="00EF19A5" w:rsidRPr="002F7A04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EF19A5" w:rsidRPr="002F7A04">
        <w:rPr>
          <w:rFonts w:cs="Arial"/>
          <w:bCs/>
          <w:color w:val="000000" w:themeColor="text1"/>
          <w:sz w:val="22"/>
          <w:szCs w:val="22"/>
        </w:rPr>
        <w:lastRenderedPageBreak/>
        <w:t>apod.</w:t>
      </w:r>
      <w:r w:rsidR="00A57C64" w:rsidRPr="002F7A04">
        <w:rPr>
          <w:rFonts w:cs="Arial"/>
          <w:bCs/>
          <w:color w:val="000000" w:themeColor="text1"/>
          <w:sz w:val="22"/>
          <w:szCs w:val="22"/>
        </w:rPr>
        <w:t>)</w:t>
      </w:r>
      <w:r w:rsidR="00AE051B" w:rsidRPr="002F7A04">
        <w:rPr>
          <w:rFonts w:cs="Arial"/>
          <w:bCs/>
          <w:color w:val="000000" w:themeColor="text1"/>
          <w:sz w:val="22"/>
          <w:szCs w:val="22"/>
        </w:rPr>
        <w:t xml:space="preserve">, </w:t>
      </w:r>
      <w:r w:rsidR="00E73805" w:rsidRPr="002F7A04">
        <w:rPr>
          <w:rFonts w:cs="Arial"/>
          <w:bCs/>
          <w:color w:val="000000" w:themeColor="text1"/>
          <w:sz w:val="22"/>
          <w:szCs w:val="22"/>
        </w:rPr>
        <w:t xml:space="preserve">u nichž mohla žádost získat příslušný stanovený maximální počet bodů. Hodnotitelé při hodnocení žádostí vycházeli z podnikatelského záměru předkládaného žadateli a míru </w:t>
      </w:r>
      <w:r w:rsidR="00A57C64" w:rsidRPr="002F7A04">
        <w:rPr>
          <w:rFonts w:cs="Arial"/>
          <w:bCs/>
          <w:color w:val="000000" w:themeColor="text1"/>
          <w:sz w:val="22"/>
          <w:szCs w:val="22"/>
        </w:rPr>
        <w:t>splnění kritérií</w:t>
      </w:r>
      <w:r w:rsidR="00E73805" w:rsidRPr="002F7A04">
        <w:rPr>
          <w:rFonts w:cs="Arial"/>
          <w:bCs/>
          <w:color w:val="000000" w:themeColor="text1"/>
          <w:sz w:val="22"/>
          <w:szCs w:val="22"/>
        </w:rPr>
        <w:t xml:space="preserve"> a příslušný počet bodů stanovili podle svého úsudku. </w:t>
      </w:r>
      <w:r w:rsidR="00D67185" w:rsidRPr="002F7A04">
        <w:rPr>
          <w:rFonts w:cs="Arial"/>
          <w:bCs/>
          <w:color w:val="000000" w:themeColor="text1"/>
          <w:sz w:val="22"/>
          <w:szCs w:val="22"/>
        </w:rPr>
        <w:t>Posouzení krité</w:t>
      </w:r>
      <w:r w:rsidR="00A57C64" w:rsidRPr="002F7A04">
        <w:rPr>
          <w:rFonts w:cs="Arial"/>
          <w:bCs/>
          <w:color w:val="000000" w:themeColor="text1"/>
          <w:sz w:val="22"/>
          <w:szCs w:val="22"/>
        </w:rPr>
        <w:t>rií</w:t>
      </w:r>
      <w:r w:rsidR="006816B4" w:rsidRPr="002F7A04">
        <w:rPr>
          <w:rFonts w:cs="Arial"/>
          <w:bCs/>
          <w:color w:val="000000" w:themeColor="text1"/>
          <w:sz w:val="22"/>
          <w:szCs w:val="22"/>
        </w:rPr>
        <w:t xml:space="preserve"> od jednotlivých hodnotitelů se </w:t>
      </w:r>
      <w:r w:rsidR="005E778E" w:rsidRPr="002F7A04">
        <w:rPr>
          <w:rFonts w:cs="Arial"/>
          <w:bCs/>
          <w:color w:val="000000" w:themeColor="text1"/>
          <w:sz w:val="22"/>
          <w:szCs w:val="22"/>
        </w:rPr>
        <w:t xml:space="preserve">v některých případech </w:t>
      </w:r>
      <w:r w:rsidR="006816B4" w:rsidRPr="002F7A04">
        <w:rPr>
          <w:rFonts w:cs="Arial"/>
          <w:bCs/>
          <w:color w:val="000000" w:themeColor="text1"/>
          <w:sz w:val="22"/>
          <w:szCs w:val="22"/>
        </w:rPr>
        <w:t>významně lišilo</w:t>
      </w:r>
      <w:r w:rsidR="005E778E" w:rsidRPr="002F7A04">
        <w:rPr>
          <w:rFonts w:cs="Arial"/>
          <w:bCs/>
          <w:color w:val="000000" w:themeColor="text1"/>
          <w:sz w:val="22"/>
          <w:szCs w:val="22"/>
        </w:rPr>
        <w:t>.</w:t>
      </w:r>
    </w:p>
    <w:p w:rsidR="005E778E" w:rsidRPr="002F7A04" w:rsidRDefault="005E778E" w:rsidP="002F7A04">
      <w:pPr>
        <w:jc w:val="both"/>
        <w:rPr>
          <w:rFonts w:cs="Arial"/>
          <w:bCs/>
          <w:color w:val="000000" w:themeColor="text1"/>
          <w:sz w:val="22"/>
          <w:szCs w:val="22"/>
        </w:rPr>
      </w:pPr>
    </w:p>
    <w:p w:rsidR="00D67185" w:rsidRPr="002F7A04" w:rsidRDefault="005E778E" w:rsidP="00176A44">
      <w:pPr>
        <w:jc w:val="both"/>
        <w:rPr>
          <w:rFonts w:cs="Arial"/>
          <w:bCs/>
          <w:color w:val="000000" w:themeColor="text1"/>
          <w:sz w:val="22"/>
          <w:szCs w:val="22"/>
        </w:rPr>
      </w:pPr>
      <w:r w:rsidRPr="002F7A04">
        <w:rPr>
          <w:rFonts w:cs="Arial"/>
          <w:b/>
          <w:bCs/>
          <w:color w:val="000000" w:themeColor="text1"/>
          <w:sz w:val="22"/>
          <w:szCs w:val="22"/>
        </w:rPr>
        <w:t>MMR</w:t>
      </w:r>
      <w:r w:rsidR="00E20374" w:rsidRPr="002F7A04">
        <w:rPr>
          <w:rFonts w:cs="Arial"/>
          <w:b/>
          <w:bCs/>
          <w:color w:val="000000" w:themeColor="text1"/>
          <w:sz w:val="22"/>
          <w:szCs w:val="22"/>
        </w:rPr>
        <w:t xml:space="preserve"> nestanovilo vypovídající</w:t>
      </w:r>
      <w:r w:rsidRPr="002F7A04">
        <w:rPr>
          <w:rFonts w:cs="Arial"/>
          <w:b/>
          <w:bCs/>
          <w:color w:val="000000" w:themeColor="text1"/>
          <w:sz w:val="22"/>
          <w:szCs w:val="22"/>
        </w:rPr>
        <w:t xml:space="preserve"> ukazatele pro v</w:t>
      </w:r>
      <w:r w:rsidR="008219B0" w:rsidRPr="002F7A04">
        <w:rPr>
          <w:rFonts w:cs="Arial"/>
          <w:b/>
          <w:bCs/>
          <w:color w:val="000000" w:themeColor="text1"/>
          <w:sz w:val="22"/>
          <w:szCs w:val="22"/>
        </w:rPr>
        <w:t>yhodnocení plnění cílů</w:t>
      </w:r>
      <w:r w:rsidR="00845395" w:rsidRPr="002F7A04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="008219B0" w:rsidRPr="00176A44">
        <w:rPr>
          <w:rFonts w:cs="Arial"/>
          <w:b/>
          <w:i/>
          <w:color w:val="000000" w:themeColor="text1"/>
          <w:sz w:val="22"/>
          <w:szCs w:val="22"/>
        </w:rPr>
        <w:t>Národního programu podpory cestovního ruchu</w:t>
      </w:r>
      <w:r w:rsidR="00AB40FD">
        <w:rPr>
          <w:rFonts w:cs="Arial"/>
          <w:b/>
          <w:color w:val="000000" w:themeColor="text1"/>
          <w:sz w:val="22"/>
          <w:szCs w:val="22"/>
        </w:rPr>
        <w:t>.</w:t>
      </w:r>
      <w:r w:rsidR="00ED28EA" w:rsidRPr="002F7A04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="00D67185" w:rsidRPr="002F7A04">
        <w:rPr>
          <w:rFonts w:cs="Arial"/>
          <w:color w:val="000000" w:themeColor="text1"/>
          <w:sz w:val="22"/>
          <w:szCs w:val="22"/>
        </w:rPr>
        <w:t>MMR hodnot</w:t>
      </w:r>
      <w:r w:rsidR="00ED28EA" w:rsidRPr="002F7A04">
        <w:rPr>
          <w:rFonts w:cs="Arial"/>
          <w:color w:val="000000" w:themeColor="text1"/>
          <w:sz w:val="22"/>
          <w:szCs w:val="22"/>
        </w:rPr>
        <w:t>í program</w:t>
      </w:r>
      <w:r w:rsidR="00E20374" w:rsidRPr="002F7A04">
        <w:rPr>
          <w:rFonts w:cs="Arial"/>
          <w:color w:val="000000" w:themeColor="text1"/>
          <w:sz w:val="22"/>
          <w:szCs w:val="22"/>
        </w:rPr>
        <w:t xml:space="preserve"> formálně</w:t>
      </w:r>
      <w:r w:rsidR="00ED28EA" w:rsidRPr="002F7A04">
        <w:rPr>
          <w:rFonts w:cs="Arial"/>
          <w:color w:val="000000" w:themeColor="text1"/>
          <w:sz w:val="22"/>
          <w:szCs w:val="22"/>
        </w:rPr>
        <w:t xml:space="preserve"> </w:t>
      </w:r>
      <w:r w:rsidR="000C4D4B" w:rsidRPr="002F7A04">
        <w:rPr>
          <w:rFonts w:cs="Arial"/>
          <w:color w:val="000000" w:themeColor="text1"/>
          <w:sz w:val="22"/>
          <w:szCs w:val="22"/>
        </w:rPr>
        <w:t xml:space="preserve">počtem </w:t>
      </w:r>
      <w:r w:rsidR="00ED28EA" w:rsidRPr="002F7A04">
        <w:rPr>
          <w:rFonts w:cs="Arial"/>
          <w:color w:val="000000" w:themeColor="text1"/>
          <w:sz w:val="22"/>
          <w:szCs w:val="22"/>
        </w:rPr>
        <w:t xml:space="preserve">zpracovaných </w:t>
      </w:r>
      <w:r w:rsidR="000C4D4B" w:rsidRPr="002F7A04">
        <w:rPr>
          <w:rFonts w:cs="Arial"/>
          <w:color w:val="000000" w:themeColor="text1"/>
          <w:sz w:val="22"/>
          <w:szCs w:val="22"/>
        </w:rPr>
        <w:t>analýz, mark</w:t>
      </w:r>
      <w:r w:rsidR="00ED28EA" w:rsidRPr="002F7A04">
        <w:rPr>
          <w:rFonts w:cs="Arial"/>
          <w:color w:val="000000" w:themeColor="text1"/>
          <w:sz w:val="22"/>
          <w:szCs w:val="22"/>
        </w:rPr>
        <w:t xml:space="preserve">etingových plánů, nákupů služeb, </w:t>
      </w:r>
      <w:r w:rsidR="000C4D4B" w:rsidRPr="002F7A04">
        <w:rPr>
          <w:rFonts w:cs="Arial"/>
          <w:color w:val="000000" w:themeColor="text1"/>
          <w:sz w:val="22"/>
          <w:szCs w:val="22"/>
        </w:rPr>
        <w:t>veletrhů, seminářů, kampaní, tiskových medií, pořízené projekční techniky, webových stránek, bezbariérových přístu</w:t>
      </w:r>
      <w:r w:rsidR="00ED28EA" w:rsidRPr="002F7A04">
        <w:rPr>
          <w:rFonts w:cs="Arial"/>
          <w:color w:val="000000" w:themeColor="text1"/>
          <w:sz w:val="22"/>
          <w:szCs w:val="22"/>
        </w:rPr>
        <w:t>pů,</w:t>
      </w:r>
      <w:r w:rsidR="000C4D4B" w:rsidRPr="002F7A04">
        <w:rPr>
          <w:rFonts w:cs="Arial"/>
          <w:color w:val="000000" w:themeColor="text1"/>
          <w:sz w:val="22"/>
          <w:szCs w:val="22"/>
        </w:rPr>
        <w:t xml:space="preserve"> hřišť, dětských koutků</w:t>
      </w:r>
      <w:r w:rsidR="00ED28EA" w:rsidRPr="002F7A04">
        <w:rPr>
          <w:rFonts w:cs="Arial"/>
          <w:color w:val="000000" w:themeColor="text1"/>
          <w:sz w:val="22"/>
          <w:szCs w:val="22"/>
        </w:rPr>
        <w:t xml:space="preserve"> apod.</w:t>
      </w:r>
      <w:r w:rsidR="00D67185" w:rsidRPr="002F7A04">
        <w:rPr>
          <w:rFonts w:cs="Arial"/>
          <w:color w:val="000000" w:themeColor="text1"/>
          <w:sz w:val="22"/>
          <w:szCs w:val="22"/>
        </w:rPr>
        <w:t xml:space="preserve"> </w:t>
      </w:r>
      <w:r w:rsidR="00E20374" w:rsidRPr="002F7A04">
        <w:rPr>
          <w:rFonts w:cs="Arial"/>
          <w:color w:val="000000" w:themeColor="text1"/>
          <w:sz w:val="22"/>
          <w:szCs w:val="22"/>
        </w:rPr>
        <w:t>Vypovídající ukazatele přínosů</w:t>
      </w:r>
      <w:r w:rsidR="00D67185" w:rsidRPr="002F7A04">
        <w:rPr>
          <w:rFonts w:cs="Arial"/>
          <w:color w:val="000000" w:themeColor="text1"/>
          <w:sz w:val="22"/>
          <w:szCs w:val="22"/>
        </w:rPr>
        <w:t xml:space="preserve"> pro rozvoj cestovního ruchu nestanovilo. Bude tak velmi obtížné vyhodnotit, zda </w:t>
      </w:r>
      <w:r w:rsidR="00CF2E07" w:rsidRPr="002F7A04">
        <w:rPr>
          <w:rFonts w:cs="Arial"/>
          <w:color w:val="000000" w:themeColor="text1"/>
          <w:sz w:val="22"/>
          <w:szCs w:val="22"/>
        </w:rPr>
        <w:t xml:space="preserve">a </w:t>
      </w:r>
      <w:r w:rsidR="00D67185" w:rsidRPr="002F7A04">
        <w:rPr>
          <w:rFonts w:cs="Arial"/>
          <w:color w:val="000000" w:themeColor="text1"/>
          <w:sz w:val="22"/>
          <w:szCs w:val="22"/>
        </w:rPr>
        <w:t>popř. jakou měrou při</w:t>
      </w:r>
      <w:r w:rsidR="00ED28EA" w:rsidRPr="002F7A04">
        <w:rPr>
          <w:rFonts w:cs="Arial"/>
          <w:color w:val="000000" w:themeColor="text1"/>
          <w:sz w:val="22"/>
          <w:szCs w:val="22"/>
        </w:rPr>
        <w:t>spěla podpora</w:t>
      </w:r>
      <w:r w:rsidR="00D67185" w:rsidRPr="002F7A04">
        <w:rPr>
          <w:rFonts w:cs="Arial"/>
          <w:color w:val="000000" w:themeColor="text1"/>
          <w:sz w:val="22"/>
          <w:szCs w:val="22"/>
        </w:rPr>
        <w:t xml:space="preserve"> k naplnění stanovených cílů programu</w:t>
      </w:r>
      <w:r w:rsidR="000C4D4B" w:rsidRPr="002F7A04">
        <w:rPr>
          <w:rFonts w:cs="Arial"/>
          <w:color w:val="000000" w:themeColor="text1"/>
          <w:sz w:val="22"/>
          <w:szCs w:val="22"/>
        </w:rPr>
        <w:t xml:space="preserve">, </w:t>
      </w:r>
      <w:r w:rsidR="003404BC" w:rsidRPr="002F7A04">
        <w:rPr>
          <w:rFonts w:cs="Arial"/>
          <w:color w:val="000000" w:themeColor="text1"/>
          <w:sz w:val="22"/>
          <w:szCs w:val="22"/>
        </w:rPr>
        <w:t>kterými</w:t>
      </w:r>
      <w:r w:rsidR="00CF2E07" w:rsidRPr="002F7A04">
        <w:rPr>
          <w:rFonts w:cs="Arial"/>
          <w:color w:val="000000" w:themeColor="text1"/>
          <w:sz w:val="22"/>
          <w:szCs w:val="22"/>
        </w:rPr>
        <w:t xml:space="preserve"> jsou</w:t>
      </w:r>
      <w:r w:rsidR="00EA5D54">
        <w:rPr>
          <w:rFonts w:cs="Arial"/>
          <w:color w:val="000000" w:themeColor="text1"/>
          <w:sz w:val="22"/>
          <w:szCs w:val="22"/>
        </w:rPr>
        <w:t>:</w:t>
      </w:r>
      <w:r w:rsidR="00D67185" w:rsidRPr="002F7A04">
        <w:rPr>
          <w:rFonts w:cs="Arial"/>
          <w:color w:val="000000" w:themeColor="text1"/>
          <w:sz w:val="22"/>
          <w:szCs w:val="22"/>
        </w:rPr>
        <w:t xml:space="preserve"> zvýšení příjmů stát</w:t>
      </w:r>
      <w:r w:rsidR="00BF3F0F" w:rsidRPr="002F7A04">
        <w:rPr>
          <w:rFonts w:cs="Arial"/>
          <w:color w:val="000000" w:themeColor="text1"/>
          <w:sz w:val="22"/>
          <w:szCs w:val="22"/>
        </w:rPr>
        <w:t xml:space="preserve">ního a místních rozpočtů, </w:t>
      </w:r>
      <w:r w:rsidR="00D67185" w:rsidRPr="002F7A04">
        <w:rPr>
          <w:rFonts w:cs="Arial"/>
          <w:color w:val="000000" w:themeColor="text1"/>
          <w:sz w:val="22"/>
          <w:szCs w:val="22"/>
        </w:rPr>
        <w:t>uvolnění nevyužitého</w:t>
      </w:r>
      <w:r w:rsidR="00BF3F0F" w:rsidRPr="002F7A04">
        <w:rPr>
          <w:rFonts w:cs="Arial"/>
          <w:color w:val="000000" w:themeColor="text1"/>
          <w:sz w:val="22"/>
          <w:szCs w:val="22"/>
        </w:rPr>
        <w:t xml:space="preserve"> potenciálu cestovního ruchu, </w:t>
      </w:r>
      <w:r w:rsidR="00D67185" w:rsidRPr="002F7A04">
        <w:rPr>
          <w:rFonts w:cs="Arial"/>
          <w:color w:val="000000" w:themeColor="text1"/>
          <w:sz w:val="22"/>
          <w:szCs w:val="22"/>
        </w:rPr>
        <w:t>z</w:t>
      </w:r>
      <w:r w:rsidR="00D67185" w:rsidRPr="002F7A04">
        <w:rPr>
          <w:rFonts w:cs="Arial"/>
          <w:bCs/>
          <w:color w:val="000000" w:themeColor="text1"/>
          <w:sz w:val="22"/>
          <w:szCs w:val="22"/>
        </w:rPr>
        <w:t>achování zaměstnanosti</w:t>
      </w:r>
      <w:r w:rsidR="00BF3F0F" w:rsidRPr="002F7A04">
        <w:rPr>
          <w:rFonts w:cs="Arial"/>
          <w:bCs/>
          <w:color w:val="000000" w:themeColor="text1"/>
          <w:sz w:val="22"/>
          <w:szCs w:val="22"/>
        </w:rPr>
        <w:t xml:space="preserve"> v oblasti cestovního ruchu a </w:t>
      </w:r>
      <w:r w:rsidR="00D67185" w:rsidRPr="002F7A04">
        <w:rPr>
          <w:rFonts w:cs="Arial"/>
          <w:bCs/>
          <w:color w:val="000000" w:themeColor="text1"/>
          <w:sz w:val="22"/>
          <w:szCs w:val="22"/>
        </w:rPr>
        <w:t>vytvoření podmínek pro zajištění pracovních míst v podnicích cestovního ruchu</w:t>
      </w:r>
      <w:r w:rsidR="000C4D4B" w:rsidRPr="002F7A04">
        <w:rPr>
          <w:rFonts w:cs="Arial"/>
          <w:bCs/>
          <w:color w:val="000000" w:themeColor="text1"/>
          <w:sz w:val="22"/>
          <w:szCs w:val="22"/>
        </w:rPr>
        <w:t xml:space="preserve">, </w:t>
      </w:r>
      <w:r w:rsidR="00D67185" w:rsidRPr="002F7A04">
        <w:rPr>
          <w:rFonts w:cs="Arial"/>
          <w:bCs/>
          <w:color w:val="000000" w:themeColor="text1"/>
          <w:sz w:val="22"/>
          <w:szCs w:val="22"/>
        </w:rPr>
        <w:t>začlenění nových cílových skupin do aktivit cestovního ruchu, pro které je účast na cestovním ruchu obtížná.</w:t>
      </w:r>
    </w:p>
    <w:p w:rsidR="00E73805" w:rsidRPr="002F7A04" w:rsidRDefault="00E73805" w:rsidP="00D3557D">
      <w:pPr>
        <w:jc w:val="both"/>
        <w:rPr>
          <w:rFonts w:cs="Arial"/>
          <w:bCs/>
          <w:color w:val="000000" w:themeColor="text1"/>
          <w:sz w:val="22"/>
          <w:szCs w:val="22"/>
        </w:rPr>
      </w:pPr>
    </w:p>
    <w:p w:rsidR="0094759A" w:rsidRPr="00D3557D" w:rsidRDefault="00D3557D" w:rsidP="00D3557D">
      <w:pPr>
        <w:jc w:val="both"/>
        <w:rPr>
          <w:rFonts w:cs="Arial"/>
          <w:b/>
          <w:bCs/>
          <w:color w:val="000000" w:themeColor="text1"/>
          <w:sz w:val="22"/>
          <w:szCs w:val="22"/>
        </w:rPr>
      </w:pPr>
      <w:r>
        <w:rPr>
          <w:rFonts w:cs="Arial"/>
          <w:b/>
          <w:bCs/>
          <w:color w:val="000000" w:themeColor="text1"/>
          <w:sz w:val="22"/>
          <w:szCs w:val="22"/>
        </w:rPr>
        <w:t xml:space="preserve">3. </w:t>
      </w:r>
      <w:r w:rsidR="0094759A" w:rsidRPr="00D3557D">
        <w:rPr>
          <w:rFonts w:cs="Arial"/>
          <w:b/>
          <w:bCs/>
          <w:color w:val="000000" w:themeColor="text1"/>
          <w:sz w:val="22"/>
          <w:szCs w:val="22"/>
        </w:rPr>
        <w:t xml:space="preserve">Podpora </w:t>
      </w:r>
      <w:r w:rsidR="00A264B5" w:rsidRPr="00D3557D">
        <w:rPr>
          <w:rFonts w:cs="Arial"/>
          <w:b/>
          <w:bCs/>
          <w:color w:val="000000" w:themeColor="text1"/>
          <w:sz w:val="22"/>
          <w:szCs w:val="22"/>
        </w:rPr>
        <w:t>cestovního ruchu z </w:t>
      </w:r>
      <w:r w:rsidR="00A264B5" w:rsidRPr="00176A44">
        <w:rPr>
          <w:rFonts w:cs="Arial"/>
          <w:b/>
          <w:bCs/>
          <w:i/>
          <w:color w:val="000000" w:themeColor="text1"/>
          <w:sz w:val="22"/>
          <w:szCs w:val="22"/>
        </w:rPr>
        <w:t>Integrovaného operačního programu</w:t>
      </w:r>
    </w:p>
    <w:p w:rsidR="00963CFF" w:rsidRPr="002F7A04" w:rsidRDefault="00963CFF" w:rsidP="00D3557D">
      <w:pPr>
        <w:jc w:val="both"/>
        <w:rPr>
          <w:rFonts w:cs="Arial"/>
          <w:bCs/>
          <w:color w:val="000000" w:themeColor="text1"/>
          <w:sz w:val="22"/>
          <w:szCs w:val="22"/>
        </w:rPr>
      </w:pPr>
    </w:p>
    <w:p w:rsidR="00D53FC3" w:rsidRPr="002F7A04" w:rsidRDefault="00D53FC3" w:rsidP="002F7A04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2"/>
          <w:szCs w:val="22"/>
        </w:rPr>
      </w:pPr>
      <w:r w:rsidRPr="002F7A04">
        <w:rPr>
          <w:rFonts w:cs="Arial"/>
          <w:color w:val="000000" w:themeColor="text1"/>
          <w:sz w:val="22"/>
          <w:szCs w:val="22"/>
        </w:rPr>
        <w:t>P</w:t>
      </w:r>
      <w:r w:rsidR="00D5472A" w:rsidRPr="002F7A04">
        <w:rPr>
          <w:rFonts w:cs="Arial"/>
          <w:color w:val="000000" w:themeColor="text1"/>
          <w:sz w:val="22"/>
          <w:szCs w:val="22"/>
        </w:rPr>
        <w:t>odpora cestovního ruchu je</w:t>
      </w:r>
      <w:r w:rsidRPr="002F7A04">
        <w:rPr>
          <w:rFonts w:cs="Arial"/>
          <w:color w:val="000000" w:themeColor="text1"/>
          <w:sz w:val="22"/>
          <w:szCs w:val="22"/>
        </w:rPr>
        <w:t xml:space="preserve"> poskytována v rámci </w:t>
      </w:r>
      <w:r w:rsidR="00C968B2" w:rsidRPr="002F7A04">
        <w:rPr>
          <w:rFonts w:cs="Arial"/>
          <w:color w:val="000000" w:themeColor="text1"/>
          <w:sz w:val="22"/>
          <w:szCs w:val="22"/>
        </w:rPr>
        <w:t xml:space="preserve">dvou </w:t>
      </w:r>
      <w:r w:rsidRPr="002F7A04">
        <w:rPr>
          <w:rFonts w:cs="Arial"/>
          <w:color w:val="000000" w:themeColor="text1"/>
          <w:sz w:val="22"/>
          <w:szCs w:val="22"/>
        </w:rPr>
        <w:t xml:space="preserve">prioritních os </w:t>
      </w:r>
      <w:r w:rsidR="00C968B2" w:rsidRPr="002F7A04">
        <w:rPr>
          <w:rFonts w:cs="Arial"/>
          <w:color w:val="000000" w:themeColor="text1"/>
          <w:sz w:val="22"/>
          <w:szCs w:val="22"/>
        </w:rPr>
        <w:t xml:space="preserve">s </w:t>
      </w:r>
      <w:r w:rsidRPr="002F7A04">
        <w:rPr>
          <w:rFonts w:cs="Arial"/>
          <w:color w:val="000000" w:themeColor="text1"/>
          <w:sz w:val="22"/>
          <w:szCs w:val="22"/>
        </w:rPr>
        <w:t>národní</w:t>
      </w:r>
      <w:r w:rsidR="00C968B2" w:rsidRPr="002F7A04">
        <w:rPr>
          <w:rFonts w:cs="Arial"/>
          <w:color w:val="000000" w:themeColor="text1"/>
          <w:sz w:val="22"/>
          <w:szCs w:val="22"/>
        </w:rPr>
        <w:t>m</w:t>
      </w:r>
      <w:r w:rsidRPr="002F7A04">
        <w:rPr>
          <w:rFonts w:cs="Arial"/>
          <w:color w:val="000000" w:themeColor="text1"/>
          <w:sz w:val="22"/>
          <w:szCs w:val="22"/>
        </w:rPr>
        <w:t xml:space="preserve"> a</w:t>
      </w:r>
      <w:r w:rsidR="00623CD6" w:rsidRPr="002F7A04">
        <w:rPr>
          <w:rFonts w:cs="Arial"/>
          <w:color w:val="000000" w:themeColor="text1"/>
          <w:sz w:val="22"/>
          <w:szCs w:val="22"/>
        </w:rPr>
        <w:t> </w:t>
      </w:r>
      <w:r w:rsidRPr="002F7A04">
        <w:rPr>
          <w:rFonts w:cs="Arial"/>
          <w:color w:val="000000" w:themeColor="text1"/>
          <w:sz w:val="22"/>
          <w:szCs w:val="22"/>
        </w:rPr>
        <w:t>systémový</w:t>
      </w:r>
      <w:r w:rsidR="00C968B2" w:rsidRPr="002F7A04">
        <w:rPr>
          <w:rFonts w:cs="Arial"/>
          <w:color w:val="000000" w:themeColor="text1"/>
          <w:sz w:val="22"/>
          <w:szCs w:val="22"/>
        </w:rPr>
        <w:t>m</w:t>
      </w:r>
      <w:r w:rsidR="00F176CC" w:rsidRPr="002F7A04">
        <w:rPr>
          <w:rFonts w:cs="Arial"/>
          <w:color w:val="000000" w:themeColor="text1"/>
          <w:sz w:val="22"/>
          <w:szCs w:val="22"/>
        </w:rPr>
        <w:t xml:space="preserve"> zaměřením</w:t>
      </w:r>
      <w:r w:rsidRPr="002F7A04">
        <w:rPr>
          <w:rFonts w:cs="Arial"/>
          <w:color w:val="000000" w:themeColor="text1"/>
          <w:sz w:val="22"/>
          <w:szCs w:val="22"/>
        </w:rPr>
        <w:t>. Příjemci podpory jsou organizační složky státu a jimi zři</w:t>
      </w:r>
      <w:r w:rsidR="00C968B2" w:rsidRPr="002F7A04">
        <w:rPr>
          <w:rFonts w:cs="Arial"/>
          <w:color w:val="000000" w:themeColor="text1"/>
          <w:sz w:val="22"/>
          <w:szCs w:val="22"/>
        </w:rPr>
        <w:t>zované příspěvkové organizace, nestátní neziskové organizace</w:t>
      </w:r>
      <w:r w:rsidRPr="002F7A04">
        <w:rPr>
          <w:rFonts w:cs="Arial"/>
          <w:color w:val="000000" w:themeColor="text1"/>
          <w:sz w:val="22"/>
          <w:szCs w:val="22"/>
        </w:rPr>
        <w:t xml:space="preserve"> a zájmová sdružení právnických osob s celorepublikovou působností v cestovním ruchu. Zprostředkujícím subjektem je Centrum pro regionální rozvoj ČR.</w:t>
      </w:r>
      <w:r w:rsidR="00F176CC" w:rsidRPr="002F7A04">
        <w:rPr>
          <w:rFonts w:cs="Arial"/>
          <w:color w:val="000000" w:themeColor="text1"/>
          <w:sz w:val="22"/>
          <w:szCs w:val="22"/>
        </w:rPr>
        <w:t xml:space="preserve"> </w:t>
      </w:r>
      <w:r w:rsidR="00F176CC" w:rsidRPr="002F7A04">
        <w:rPr>
          <w:rFonts w:cs="Arial"/>
          <w:bCs/>
          <w:color w:val="000000" w:themeColor="text1"/>
          <w:sz w:val="22"/>
          <w:szCs w:val="22"/>
        </w:rPr>
        <w:t xml:space="preserve">Podpora je zaměřena na </w:t>
      </w:r>
      <w:r w:rsidR="00F176CC" w:rsidRPr="002F7A04">
        <w:rPr>
          <w:rFonts w:cs="Arial"/>
          <w:color w:val="000000" w:themeColor="text1"/>
          <w:sz w:val="22"/>
          <w:szCs w:val="22"/>
        </w:rPr>
        <w:t>zavedení národního informačního portálu, národních a mezinárodních standardů ve službách cestovního ruchu</w:t>
      </w:r>
      <w:r w:rsidR="007D7DA6" w:rsidRPr="002F7A04">
        <w:rPr>
          <w:rFonts w:cs="Arial"/>
          <w:color w:val="000000" w:themeColor="text1"/>
          <w:sz w:val="22"/>
          <w:szCs w:val="22"/>
        </w:rPr>
        <w:t>,</w:t>
      </w:r>
      <w:r w:rsidR="00F176CC" w:rsidRPr="002F7A04">
        <w:rPr>
          <w:rFonts w:cs="Arial"/>
          <w:color w:val="000000" w:themeColor="text1"/>
          <w:sz w:val="22"/>
          <w:szCs w:val="22"/>
        </w:rPr>
        <w:t xml:space="preserve"> marketing, prezentaci a propagaci kulturního a přírodního bohatství, kulturního průmyslu a</w:t>
      </w:r>
      <w:r w:rsidR="00623CD6" w:rsidRPr="002F7A04">
        <w:rPr>
          <w:rFonts w:cs="Arial"/>
          <w:color w:val="000000" w:themeColor="text1"/>
          <w:sz w:val="22"/>
          <w:szCs w:val="22"/>
        </w:rPr>
        <w:t> </w:t>
      </w:r>
      <w:r w:rsidR="00F176CC" w:rsidRPr="002F7A04">
        <w:rPr>
          <w:rFonts w:cs="Arial"/>
          <w:color w:val="000000" w:themeColor="text1"/>
          <w:sz w:val="22"/>
          <w:szCs w:val="22"/>
        </w:rPr>
        <w:t>služeb s využitím pro cestovní ruch na národní úrovni a prezentaci ČR jako destinace cestovního ruchu.</w:t>
      </w:r>
    </w:p>
    <w:p w:rsidR="00452AC9" w:rsidRPr="002F7A04" w:rsidRDefault="00452AC9" w:rsidP="002F7A04">
      <w:pPr>
        <w:jc w:val="both"/>
        <w:rPr>
          <w:rFonts w:cs="Arial"/>
          <w:color w:val="000000" w:themeColor="text1"/>
          <w:sz w:val="22"/>
          <w:szCs w:val="22"/>
        </w:rPr>
      </w:pPr>
    </w:p>
    <w:p w:rsidR="00452AC9" w:rsidRPr="002F7A04" w:rsidRDefault="00452AC9" w:rsidP="00474747">
      <w:pPr>
        <w:tabs>
          <w:tab w:val="right" w:pos="9072"/>
        </w:tabs>
        <w:spacing w:after="40"/>
        <w:ind w:left="1531" w:hanging="1531"/>
        <w:rPr>
          <w:rFonts w:cs="Arial"/>
          <w:color w:val="000000" w:themeColor="text1"/>
          <w:sz w:val="22"/>
          <w:szCs w:val="22"/>
        </w:rPr>
      </w:pPr>
      <w:r w:rsidRPr="002F7A04">
        <w:rPr>
          <w:rFonts w:cs="Arial"/>
          <w:b/>
          <w:color w:val="000000" w:themeColor="text1"/>
          <w:sz w:val="22"/>
          <w:szCs w:val="22"/>
        </w:rPr>
        <w:t xml:space="preserve">Tabulka č. 2 </w:t>
      </w:r>
      <w:r w:rsidR="00BC0D11" w:rsidRPr="002F7A04">
        <w:rPr>
          <w:rFonts w:cs="Arial"/>
          <w:b/>
          <w:color w:val="000000" w:themeColor="text1"/>
          <w:sz w:val="22"/>
          <w:szCs w:val="22"/>
        </w:rPr>
        <w:t>–</w:t>
      </w:r>
      <w:r w:rsidRPr="002F7A04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BC0D11" w:rsidRPr="002F7A04">
        <w:rPr>
          <w:rFonts w:cs="Arial"/>
          <w:b/>
          <w:color w:val="000000" w:themeColor="text1"/>
          <w:sz w:val="22"/>
          <w:szCs w:val="22"/>
        </w:rPr>
        <w:t>P</w:t>
      </w:r>
      <w:r w:rsidRPr="002F7A04">
        <w:rPr>
          <w:rFonts w:cs="Arial"/>
          <w:b/>
          <w:color w:val="000000" w:themeColor="text1"/>
          <w:sz w:val="22"/>
          <w:szCs w:val="22"/>
        </w:rPr>
        <w:t>řehled alokace a čerpání prostředků národní podpory cestovního ruchu z</w:t>
      </w:r>
      <w:r w:rsidR="00623CD6" w:rsidRPr="002F7A04">
        <w:rPr>
          <w:rFonts w:cs="Arial"/>
          <w:b/>
          <w:color w:val="000000" w:themeColor="text1"/>
          <w:sz w:val="22"/>
          <w:szCs w:val="22"/>
        </w:rPr>
        <w:t> </w:t>
      </w:r>
      <w:r w:rsidRPr="00176A44">
        <w:rPr>
          <w:rFonts w:cs="Arial"/>
          <w:b/>
          <w:i/>
          <w:color w:val="000000" w:themeColor="text1"/>
          <w:sz w:val="22"/>
          <w:szCs w:val="22"/>
        </w:rPr>
        <w:t>Integrovaného operačního programu</w:t>
      </w:r>
      <w:r w:rsidR="00D3557D">
        <w:rPr>
          <w:rFonts w:cs="Arial"/>
          <w:b/>
          <w:color w:val="000000" w:themeColor="text1"/>
          <w:sz w:val="22"/>
          <w:szCs w:val="22"/>
        </w:rPr>
        <w:tab/>
      </w:r>
      <w:r w:rsidR="00BC0D11" w:rsidRPr="00176A44">
        <w:rPr>
          <w:rFonts w:cs="Arial"/>
          <w:b/>
          <w:color w:val="000000" w:themeColor="text1"/>
          <w:sz w:val="22"/>
          <w:szCs w:val="22"/>
        </w:rPr>
        <w:t>(</w:t>
      </w:r>
      <w:r w:rsidRPr="00176A44">
        <w:rPr>
          <w:rFonts w:cs="Arial"/>
          <w:b/>
          <w:color w:val="000000" w:themeColor="text1"/>
          <w:sz w:val="22"/>
          <w:szCs w:val="22"/>
        </w:rPr>
        <w:t>v mil. Kč</w:t>
      </w:r>
      <w:r w:rsidR="00BC0D11" w:rsidRPr="00176A44">
        <w:rPr>
          <w:rFonts w:cs="Arial"/>
          <w:b/>
          <w:color w:val="000000" w:themeColor="text1"/>
          <w:sz w:val="22"/>
          <w:szCs w:val="22"/>
        </w:rPr>
        <w:t>)</w:t>
      </w:r>
    </w:p>
    <w:tbl>
      <w:tblPr>
        <w:tblW w:w="4879" w:type="pct"/>
        <w:jc w:val="center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"/>
        <w:gridCol w:w="1293"/>
        <w:gridCol w:w="1297"/>
        <w:gridCol w:w="1547"/>
        <w:gridCol w:w="1550"/>
        <w:gridCol w:w="1236"/>
        <w:gridCol w:w="1233"/>
      </w:tblGrid>
      <w:tr w:rsidR="002F7A04" w:rsidRPr="00D3557D" w:rsidTr="00EA5D54">
        <w:trPr>
          <w:trHeight w:val="283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52AC9" w:rsidRPr="00176A44" w:rsidRDefault="00452AC9" w:rsidP="00D3557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176A44">
              <w:rPr>
                <w:rFonts w:cs="Arial"/>
                <w:b/>
                <w:color w:val="000000" w:themeColor="text1"/>
                <w:sz w:val="18"/>
                <w:szCs w:val="18"/>
              </w:rPr>
              <w:t>Prioritní osa</w:t>
            </w:r>
          </w:p>
        </w:tc>
        <w:tc>
          <w:tcPr>
            <w:tcW w:w="1440" w:type="pct"/>
            <w:gridSpan w:val="2"/>
            <w:shd w:val="clear" w:color="auto" w:fill="auto"/>
            <w:vAlign w:val="center"/>
          </w:tcPr>
          <w:p w:rsidR="00452AC9" w:rsidRPr="00176A44" w:rsidRDefault="00B06316" w:rsidP="00B0631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A</w:t>
            </w:r>
            <w:r w:rsidR="00452AC9" w:rsidRPr="00176A44">
              <w:rPr>
                <w:rFonts w:cs="Arial"/>
                <w:b/>
                <w:color w:val="000000" w:themeColor="text1"/>
                <w:sz w:val="18"/>
                <w:szCs w:val="18"/>
              </w:rPr>
              <w:t>lokace</w:t>
            </w:r>
            <w:r w:rsidR="00D3557D" w:rsidRPr="00176A4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452AC9" w:rsidRPr="00176A44">
              <w:rPr>
                <w:rFonts w:cs="Arial"/>
                <w:b/>
                <w:color w:val="000000" w:themeColor="text1"/>
                <w:sz w:val="18"/>
                <w:szCs w:val="18"/>
              </w:rPr>
              <w:t>2007–2013</w:t>
            </w:r>
          </w:p>
        </w:tc>
        <w:tc>
          <w:tcPr>
            <w:tcW w:w="1719" w:type="pct"/>
            <w:gridSpan w:val="2"/>
            <w:shd w:val="clear" w:color="auto" w:fill="auto"/>
            <w:vAlign w:val="center"/>
          </w:tcPr>
          <w:p w:rsidR="00452AC9" w:rsidRPr="00176A44" w:rsidRDefault="00452AC9" w:rsidP="00B0631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176A4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Poskytnuté prostředky podle </w:t>
            </w:r>
            <w:r w:rsidR="00B06316">
              <w:rPr>
                <w:rFonts w:cs="Arial"/>
                <w:b/>
                <w:color w:val="000000" w:themeColor="text1"/>
                <w:sz w:val="18"/>
                <w:szCs w:val="18"/>
              </w:rPr>
              <w:t>r</w:t>
            </w:r>
            <w:r w:rsidRPr="00176A44">
              <w:rPr>
                <w:rFonts w:cs="Arial"/>
                <w:b/>
                <w:color w:val="000000" w:themeColor="text1"/>
                <w:sz w:val="18"/>
                <w:szCs w:val="18"/>
              </w:rPr>
              <w:t>ozhodnutí o poskytnutí dotace</w:t>
            </w:r>
          </w:p>
        </w:tc>
        <w:tc>
          <w:tcPr>
            <w:tcW w:w="1372" w:type="pct"/>
            <w:gridSpan w:val="2"/>
            <w:vAlign w:val="center"/>
          </w:tcPr>
          <w:p w:rsidR="00452AC9" w:rsidRPr="00176A44" w:rsidRDefault="00452AC9" w:rsidP="00D3557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176A44">
              <w:rPr>
                <w:rFonts w:cs="Arial"/>
                <w:b/>
                <w:color w:val="000000" w:themeColor="text1"/>
                <w:sz w:val="18"/>
                <w:szCs w:val="18"/>
              </w:rPr>
              <w:t>Proplaceno příjemcům podpory</w:t>
            </w:r>
          </w:p>
        </w:tc>
      </w:tr>
      <w:tr w:rsidR="00EA5D54" w:rsidRPr="00D3557D" w:rsidTr="00EA5D54">
        <w:trPr>
          <w:trHeight w:val="283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52AC9" w:rsidRPr="00D3557D" w:rsidRDefault="00452AC9" w:rsidP="00D3557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452AC9" w:rsidRPr="00D3557D" w:rsidRDefault="00452AC9" w:rsidP="002F7A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557D">
              <w:rPr>
                <w:rFonts w:cs="Arial"/>
                <w:color w:val="000000" w:themeColor="text1"/>
                <w:sz w:val="18"/>
                <w:szCs w:val="18"/>
              </w:rPr>
              <w:t>ERDF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452AC9" w:rsidRPr="00D3557D" w:rsidRDefault="00452AC9" w:rsidP="002F7A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557D">
              <w:rPr>
                <w:rFonts w:cs="Arial"/>
                <w:color w:val="000000" w:themeColor="text1"/>
                <w:sz w:val="18"/>
                <w:szCs w:val="18"/>
              </w:rPr>
              <w:t>SR</w:t>
            </w:r>
            <w:r w:rsidR="00230789" w:rsidRPr="00D3557D">
              <w:rPr>
                <w:rStyle w:val="Znakapoznpodarou"/>
                <w:rFonts w:cs="Arial"/>
                <w:color w:val="000000" w:themeColor="text1"/>
                <w:sz w:val="18"/>
                <w:szCs w:val="18"/>
              </w:rPr>
              <w:footnoteReference w:id="7"/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452AC9" w:rsidRPr="00D3557D" w:rsidRDefault="00452AC9" w:rsidP="002F7A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557D">
              <w:rPr>
                <w:rFonts w:cs="Arial"/>
                <w:color w:val="000000" w:themeColor="text1"/>
                <w:sz w:val="18"/>
                <w:szCs w:val="18"/>
              </w:rPr>
              <w:t>ERDF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452AC9" w:rsidRPr="00D3557D" w:rsidRDefault="00452AC9" w:rsidP="002F7A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</w:pPr>
            <w:r w:rsidRPr="00D3557D">
              <w:rPr>
                <w:rFonts w:cs="Arial"/>
                <w:color w:val="000000" w:themeColor="text1"/>
                <w:sz w:val="18"/>
                <w:szCs w:val="18"/>
              </w:rPr>
              <w:t>SR</w:t>
            </w:r>
            <w:r w:rsidR="00A30550" w:rsidRPr="00D3557D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687" w:type="pct"/>
            <w:vAlign w:val="center"/>
          </w:tcPr>
          <w:p w:rsidR="00452AC9" w:rsidRPr="00D3557D" w:rsidRDefault="00452AC9" w:rsidP="002F7A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557D">
              <w:rPr>
                <w:rFonts w:cs="Arial"/>
                <w:color w:val="000000" w:themeColor="text1"/>
                <w:sz w:val="18"/>
                <w:szCs w:val="18"/>
              </w:rPr>
              <w:t>ERDF</w:t>
            </w:r>
          </w:p>
        </w:tc>
        <w:tc>
          <w:tcPr>
            <w:tcW w:w="685" w:type="pct"/>
            <w:vAlign w:val="center"/>
          </w:tcPr>
          <w:p w:rsidR="00452AC9" w:rsidRPr="00D3557D" w:rsidRDefault="00452AC9" w:rsidP="002F7A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</w:pPr>
            <w:r w:rsidRPr="00D3557D">
              <w:rPr>
                <w:rFonts w:cs="Arial"/>
                <w:color w:val="000000" w:themeColor="text1"/>
                <w:sz w:val="18"/>
                <w:szCs w:val="18"/>
              </w:rPr>
              <w:t>SR</w:t>
            </w:r>
            <w:r w:rsidR="00A30550" w:rsidRPr="00D3557D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7</w:t>
            </w:r>
          </w:p>
        </w:tc>
      </w:tr>
      <w:tr w:rsidR="00EA5D54" w:rsidRPr="00D3557D" w:rsidTr="00EA5D54">
        <w:trPr>
          <w:trHeight w:val="283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52AC9" w:rsidRPr="00D3557D" w:rsidRDefault="00452AC9" w:rsidP="00D3557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557D">
              <w:rPr>
                <w:rFonts w:cs="Arial"/>
                <w:color w:val="000000" w:themeColor="text1"/>
                <w:sz w:val="18"/>
                <w:szCs w:val="18"/>
              </w:rPr>
              <w:t>4a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52AC9" w:rsidRPr="00D3557D" w:rsidRDefault="00452AC9" w:rsidP="00D3557D">
            <w:pPr>
              <w:autoSpaceDE w:val="0"/>
              <w:autoSpaceDN w:val="0"/>
              <w:adjustRightInd w:val="0"/>
              <w:ind w:right="271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D3557D">
              <w:rPr>
                <w:rFonts w:cs="Arial"/>
                <w:color w:val="000000" w:themeColor="text1"/>
                <w:sz w:val="18"/>
                <w:szCs w:val="18"/>
              </w:rPr>
              <w:t>1 608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452AC9" w:rsidRPr="00D3557D" w:rsidRDefault="00452AC9" w:rsidP="00D3557D">
            <w:pPr>
              <w:autoSpaceDE w:val="0"/>
              <w:autoSpaceDN w:val="0"/>
              <w:adjustRightInd w:val="0"/>
              <w:ind w:right="271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D3557D">
              <w:rPr>
                <w:rFonts w:cs="Arial"/>
                <w:color w:val="000000" w:themeColor="text1"/>
                <w:sz w:val="18"/>
                <w:szCs w:val="18"/>
              </w:rPr>
              <w:t>284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452AC9" w:rsidRPr="00D3557D" w:rsidRDefault="00452AC9" w:rsidP="00D3557D">
            <w:pPr>
              <w:autoSpaceDE w:val="0"/>
              <w:autoSpaceDN w:val="0"/>
              <w:adjustRightInd w:val="0"/>
              <w:ind w:right="271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D3557D">
              <w:rPr>
                <w:rFonts w:cs="Arial"/>
                <w:color w:val="000000" w:themeColor="text1"/>
                <w:sz w:val="18"/>
                <w:szCs w:val="18"/>
              </w:rPr>
              <w:t>1 438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452AC9" w:rsidRPr="00D3557D" w:rsidRDefault="00452AC9" w:rsidP="00D3557D">
            <w:pPr>
              <w:autoSpaceDE w:val="0"/>
              <w:autoSpaceDN w:val="0"/>
              <w:adjustRightInd w:val="0"/>
              <w:ind w:right="271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D3557D">
              <w:rPr>
                <w:rFonts w:cs="Arial"/>
                <w:color w:val="000000" w:themeColor="text1"/>
                <w:sz w:val="18"/>
                <w:szCs w:val="18"/>
              </w:rPr>
              <w:t>254</w:t>
            </w:r>
          </w:p>
        </w:tc>
        <w:tc>
          <w:tcPr>
            <w:tcW w:w="687" w:type="pct"/>
            <w:vAlign w:val="center"/>
          </w:tcPr>
          <w:p w:rsidR="00452AC9" w:rsidRPr="00D3557D" w:rsidRDefault="00452AC9" w:rsidP="00D3557D">
            <w:pPr>
              <w:autoSpaceDE w:val="0"/>
              <w:autoSpaceDN w:val="0"/>
              <w:adjustRightInd w:val="0"/>
              <w:ind w:right="271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D3557D">
              <w:rPr>
                <w:rFonts w:cs="Arial"/>
                <w:color w:val="000000" w:themeColor="text1"/>
                <w:sz w:val="18"/>
                <w:szCs w:val="18"/>
              </w:rPr>
              <w:t>696</w:t>
            </w:r>
          </w:p>
        </w:tc>
        <w:tc>
          <w:tcPr>
            <w:tcW w:w="685" w:type="pct"/>
            <w:vAlign w:val="center"/>
          </w:tcPr>
          <w:p w:rsidR="00452AC9" w:rsidRPr="00D3557D" w:rsidRDefault="00452AC9" w:rsidP="00D3557D">
            <w:pPr>
              <w:autoSpaceDE w:val="0"/>
              <w:autoSpaceDN w:val="0"/>
              <w:adjustRightInd w:val="0"/>
              <w:ind w:right="271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D3557D">
              <w:rPr>
                <w:rFonts w:cs="Arial"/>
                <w:color w:val="000000" w:themeColor="text1"/>
                <w:sz w:val="18"/>
                <w:szCs w:val="18"/>
              </w:rPr>
              <w:t>123</w:t>
            </w:r>
          </w:p>
        </w:tc>
      </w:tr>
      <w:tr w:rsidR="00EA5D54" w:rsidRPr="00D3557D" w:rsidTr="00EA5D54">
        <w:trPr>
          <w:trHeight w:val="283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52AC9" w:rsidRPr="00D3557D" w:rsidRDefault="00452AC9" w:rsidP="00D3557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557D">
              <w:rPr>
                <w:rFonts w:cs="Arial"/>
                <w:color w:val="000000" w:themeColor="text1"/>
                <w:sz w:val="18"/>
                <w:szCs w:val="18"/>
              </w:rPr>
              <w:t>4b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52AC9" w:rsidRPr="00D3557D" w:rsidRDefault="00452AC9" w:rsidP="00D3557D">
            <w:pPr>
              <w:autoSpaceDE w:val="0"/>
              <w:autoSpaceDN w:val="0"/>
              <w:adjustRightInd w:val="0"/>
              <w:ind w:right="271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D3557D">
              <w:rPr>
                <w:rFonts w:cs="Arial"/>
                <w:color w:val="000000" w:themeColor="text1"/>
                <w:sz w:val="18"/>
                <w:szCs w:val="18"/>
              </w:rPr>
              <w:t>124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452AC9" w:rsidRPr="00D3557D" w:rsidRDefault="00452AC9" w:rsidP="00D3557D">
            <w:pPr>
              <w:autoSpaceDE w:val="0"/>
              <w:autoSpaceDN w:val="0"/>
              <w:adjustRightInd w:val="0"/>
              <w:ind w:right="271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D3557D">
              <w:rPr>
                <w:rFonts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452AC9" w:rsidRPr="00D3557D" w:rsidRDefault="00452AC9" w:rsidP="00D3557D">
            <w:pPr>
              <w:autoSpaceDE w:val="0"/>
              <w:autoSpaceDN w:val="0"/>
              <w:adjustRightInd w:val="0"/>
              <w:ind w:right="271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D3557D">
              <w:rPr>
                <w:rFonts w:cs="Arial"/>
                <w:color w:val="000000" w:themeColor="text1"/>
                <w:sz w:val="18"/>
                <w:szCs w:val="18"/>
              </w:rPr>
              <w:t>111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452AC9" w:rsidRPr="00D3557D" w:rsidRDefault="00452AC9" w:rsidP="00D3557D">
            <w:pPr>
              <w:autoSpaceDE w:val="0"/>
              <w:autoSpaceDN w:val="0"/>
              <w:adjustRightInd w:val="0"/>
              <w:ind w:right="271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D3557D">
              <w:rPr>
                <w:rFonts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687" w:type="pct"/>
            <w:vAlign w:val="center"/>
          </w:tcPr>
          <w:p w:rsidR="00452AC9" w:rsidRPr="00D3557D" w:rsidRDefault="00452AC9" w:rsidP="00D3557D">
            <w:pPr>
              <w:autoSpaceDE w:val="0"/>
              <w:autoSpaceDN w:val="0"/>
              <w:adjustRightInd w:val="0"/>
              <w:ind w:right="271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D3557D">
              <w:rPr>
                <w:rFonts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685" w:type="pct"/>
            <w:vAlign w:val="center"/>
          </w:tcPr>
          <w:p w:rsidR="00452AC9" w:rsidRPr="00D3557D" w:rsidRDefault="00452AC9" w:rsidP="00D3557D">
            <w:pPr>
              <w:autoSpaceDE w:val="0"/>
              <w:autoSpaceDN w:val="0"/>
              <w:adjustRightInd w:val="0"/>
              <w:ind w:right="271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D3557D">
              <w:rPr>
                <w:rFonts w:cs="Arial"/>
                <w:color w:val="000000" w:themeColor="text1"/>
                <w:sz w:val="18"/>
                <w:szCs w:val="18"/>
              </w:rPr>
              <w:t>9</w:t>
            </w:r>
          </w:p>
        </w:tc>
      </w:tr>
      <w:tr w:rsidR="00EA5D54" w:rsidRPr="00F91757" w:rsidTr="00EA5D54">
        <w:trPr>
          <w:trHeight w:val="283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52AC9" w:rsidRPr="00176A44" w:rsidRDefault="00452AC9" w:rsidP="00D3557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176A44">
              <w:rPr>
                <w:rFonts w:cs="Arial"/>
                <w:b/>
                <w:color w:val="000000" w:themeColor="text1"/>
                <w:sz w:val="18"/>
                <w:szCs w:val="18"/>
              </w:rPr>
              <w:t>Celkem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52AC9" w:rsidRPr="00176A44" w:rsidRDefault="00452AC9" w:rsidP="00D3557D">
            <w:pPr>
              <w:autoSpaceDE w:val="0"/>
              <w:autoSpaceDN w:val="0"/>
              <w:adjustRightInd w:val="0"/>
              <w:ind w:right="271"/>
              <w:jc w:val="right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176A44">
              <w:rPr>
                <w:rFonts w:cs="Arial"/>
                <w:b/>
                <w:color w:val="000000" w:themeColor="text1"/>
                <w:sz w:val="18"/>
                <w:szCs w:val="18"/>
              </w:rPr>
              <w:t>1 732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452AC9" w:rsidRPr="00176A44" w:rsidRDefault="00452AC9" w:rsidP="00D3557D">
            <w:pPr>
              <w:autoSpaceDE w:val="0"/>
              <w:autoSpaceDN w:val="0"/>
              <w:adjustRightInd w:val="0"/>
              <w:ind w:right="271"/>
              <w:jc w:val="right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176A44">
              <w:rPr>
                <w:rFonts w:cs="Arial"/>
                <w:b/>
                <w:color w:val="000000" w:themeColor="text1"/>
                <w:sz w:val="18"/>
                <w:szCs w:val="18"/>
              </w:rPr>
              <w:t>306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452AC9" w:rsidRPr="00176A44" w:rsidRDefault="00452AC9" w:rsidP="00D3557D">
            <w:pPr>
              <w:autoSpaceDE w:val="0"/>
              <w:autoSpaceDN w:val="0"/>
              <w:adjustRightInd w:val="0"/>
              <w:ind w:right="271"/>
              <w:jc w:val="right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176A44">
              <w:rPr>
                <w:rFonts w:cs="Arial"/>
                <w:b/>
                <w:color w:val="000000" w:themeColor="text1"/>
                <w:sz w:val="18"/>
                <w:szCs w:val="18"/>
              </w:rPr>
              <w:t>1 549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452AC9" w:rsidRPr="00176A44" w:rsidRDefault="00452AC9" w:rsidP="00D3557D">
            <w:pPr>
              <w:autoSpaceDE w:val="0"/>
              <w:autoSpaceDN w:val="0"/>
              <w:adjustRightInd w:val="0"/>
              <w:ind w:right="271"/>
              <w:jc w:val="right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176A44">
              <w:rPr>
                <w:rFonts w:cs="Arial"/>
                <w:b/>
                <w:color w:val="000000" w:themeColor="text1"/>
                <w:sz w:val="18"/>
                <w:szCs w:val="18"/>
              </w:rPr>
              <w:t>273</w:t>
            </w:r>
          </w:p>
        </w:tc>
        <w:tc>
          <w:tcPr>
            <w:tcW w:w="687" w:type="pct"/>
            <w:vAlign w:val="center"/>
          </w:tcPr>
          <w:p w:rsidR="00452AC9" w:rsidRPr="00176A44" w:rsidRDefault="00452AC9" w:rsidP="00D3557D">
            <w:pPr>
              <w:autoSpaceDE w:val="0"/>
              <w:autoSpaceDN w:val="0"/>
              <w:adjustRightInd w:val="0"/>
              <w:ind w:right="271"/>
              <w:jc w:val="right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176A44">
              <w:rPr>
                <w:rFonts w:cs="Arial"/>
                <w:b/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685" w:type="pct"/>
            <w:vAlign w:val="center"/>
          </w:tcPr>
          <w:p w:rsidR="00452AC9" w:rsidRPr="00176A44" w:rsidRDefault="00452AC9" w:rsidP="00D3557D">
            <w:pPr>
              <w:autoSpaceDE w:val="0"/>
              <w:autoSpaceDN w:val="0"/>
              <w:adjustRightInd w:val="0"/>
              <w:ind w:right="271"/>
              <w:jc w:val="right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176A44">
              <w:rPr>
                <w:rFonts w:cs="Arial"/>
                <w:b/>
                <w:color w:val="000000" w:themeColor="text1"/>
                <w:sz w:val="18"/>
                <w:szCs w:val="18"/>
              </w:rPr>
              <w:t>132</w:t>
            </w:r>
          </w:p>
        </w:tc>
      </w:tr>
    </w:tbl>
    <w:p w:rsidR="0046499C" w:rsidRPr="002F7A04" w:rsidRDefault="0046499C" w:rsidP="00D3557D">
      <w:pPr>
        <w:spacing w:before="40"/>
        <w:jc w:val="both"/>
        <w:rPr>
          <w:rFonts w:cs="Arial"/>
          <w:color w:val="000000" w:themeColor="text1"/>
          <w:sz w:val="18"/>
          <w:szCs w:val="18"/>
        </w:rPr>
      </w:pPr>
      <w:r w:rsidRPr="002F7A04">
        <w:rPr>
          <w:rFonts w:cs="Arial"/>
          <w:b/>
          <w:color w:val="000000" w:themeColor="text1"/>
          <w:sz w:val="18"/>
          <w:szCs w:val="18"/>
        </w:rPr>
        <w:t>Zdroj:</w:t>
      </w:r>
      <w:r w:rsidRPr="002F7A04">
        <w:rPr>
          <w:rFonts w:cs="Arial"/>
          <w:color w:val="000000" w:themeColor="text1"/>
          <w:sz w:val="18"/>
          <w:szCs w:val="18"/>
        </w:rPr>
        <w:t xml:space="preserve"> MMR</w:t>
      </w:r>
      <w:r w:rsidR="00335BE6" w:rsidRPr="002F7A04">
        <w:rPr>
          <w:rFonts w:cs="Arial"/>
          <w:color w:val="000000" w:themeColor="text1"/>
          <w:sz w:val="18"/>
          <w:szCs w:val="18"/>
        </w:rPr>
        <w:t>.</w:t>
      </w:r>
    </w:p>
    <w:p w:rsidR="00D3557D" w:rsidRDefault="00D3557D" w:rsidP="002F7A04">
      <w:pPr>
        <w:pStyle w:val="Odstavecseseznamem"/>
        <w:ind w:left="0"/>
        <w:contextualSpacing w:val="0"/>
        <w:jc w:val="both"/>
        <w:rPr>
          <w:rFonts w:cs="Arial"/>
          <w:bCs/>
          <w:color w:val="000000" w:themeColor="text1"/>
          <w:sz w:val="22"/>
          <w:szCs w:val="22"/>
        </w:rPr>
      </w:pPr>
    </w:p>
    <w:p w:rsidR="00820931" w:rsidRDefault="00820931" w:rsidP="002F7A04">
      <w:pPr>
        <w:pStyle w:val="Odstavecseseznamem"/>
        <w:ind w:left="0"/>
        <w:contextualSpacing w:val="0"/>
        <w:jc w:val="both"/>
        <w:rPr>
          <w:rFonts w:cs="Arial"/>
          <w:bCs/>
          <w:color w:val="000000" w:themeColor="text1"/>
          <w:sz w:val="22"/>
          <w:szCs w:val="22"/>
        </w:rPr>
      </w:pPr>
      <w:r w:rsidRPr="002F7A04">
        <w:rPr>
          <w:rFonts w:cs="Arial"/>
          <w:bCs/>
          <w:color w:val="000000" w:themeColor="text1"/>
          <w:sz w:val="22"/>
          <w:szCs w:val="22"/>
        </w:rPr>
        <w:t xml:space="preserve">Kontrola se zaměřila na </w:t>
      </w:r>
      <w:r w:rsidR="00661EBF" w:rsidRPr="002F7A04">
        <w:rPr>
          <w:rFonts w:cs="Arial"/>
          <w:bCs/>
          <w:color w:val="000000" w:themeColor="text1"/>
          <w:sz w:val="22"/>
          <w:szCs w:val="22"/>
        </w:rPr>
        <w:t>sedm</w:t>
      </w:r>
      <w:r w:rsidRPr="002F7A04">
        <w:rPr>
          <w:rFonts w:cs="Arial"/>
          <w:bCs/>
          <w:color w:val="000000" w:themeColor="text1"/>
          <w:sz w:val="22"/>
          <w:szCs w:val="22"/>
        </w:rPr>
        <w:t xml:space="preserve"> projekt</w:t>
      </w:r>
      <w:r w:rsidR="00661EBF" w:rsidRPr="002F7A04">
        <w:rPr>
          <w:rFonts w:cs="Arial"/>
          <w:bCs/>
          <w:color w:val="000000" w:themeColor="text1"/>
          <w:sz w:val="22"/>
          <w:szCs w:val="22"/>
        </w:rPr>
        <w:t>ů</w:t>
      </w:r>
      <w:r w:rsidRPr="002F7A04">
        <w:rPr>
          <w:rFonts w:cs="Arial"/>
          <w:bCs/>
          <w:color w:val="000000" w:themeColor="text1"/>
          <w:sz w:val="22"/>
          <w:szCs w:val="22"/>
        </w:rPr>
        <w:t xml:space="preserve"> s celkovými finančními potřebami ve výši </w:t>
      </w:r>
      <w:r w:rsidR="005E778E" w:rsidRPr="002F7A04">
        <w:rPr>
          <w:rFonts w:cs="Arial"/>
          <w:bCs/>
          <w:color w:val="000000" w:themeColor="text1"/>
          <w:sz w:val="22"/>
          <w:szCs w:val="22"/>
        </w:rPr>
        <w:t>580</w:t>
      </w:r>
      <w:r w:rsidR="00EF4ACA" w:rsidRPr="002F7A04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DC5DBC" w:rsidRPr="002F7A04">
        <w:rPr>
          <w:rFonts w:cs="Arial"/>
          <w:bCs/>
          <w:color w:val="000000" w:themeColor="text1"/>
          <w:sz w:val="22"/>
          <w:szCs w:val="22"/>
        </w:rPr>
        <w:t>mil. Kč</w:t>
      </w:r>
      <w:r w:rsidRPr="002F7A04">
        <w:rPr>
          <w:rFonts w:cs="Arial"/>
          <w:bCs/>
          <w:color w:val="000000" w:themeColor="text1"/>
          <w:sz w:val="22"/>
          <w:szCs w:val="22"/>
        </w:rPr>
        <w:t>, z </w:t>
      </w:r>
      <w:r w:rsidR="00EA5D54">
        <w:rPr>
          <w:rFonts w:cs="Arial"/>
          <w:bCs/>
          <w:color w:val="000000" w:themeColor="text1"/>
          <w:sz w:val="22"/>
          <w:szCs w:val="22"/>
        </w:rPr>
        <w:t>nichž</w:t>
      </w:r>
      <w:r w:rsidRPr="002F7A04">
        <w:rPr>
          <w:rFonts w:cs="Arial"/>
          <w:bCs/>
          <w:color w:val="000000" w:themeColor="text1"/>
          <w:sz w:val="22"/>
          <w:szCs w:val="22"/>
        </w:rPr>
        <w:t xml:space="preserve"> tři projekty byly realizovány </w:t>
      </w:r>
      <w:proofErr w:type="spellStart"/>
      <w:r w:rsidR="00661EBF" w:rsidRPr="002F7A04">
        <w:rPr>
          <w:rFonts w:cs="Arial"/>
          <w:bCs/>
          <w:color w:val="000000" w:themeColor="text1"/>
          <w:sz w:val="22"/>
          <w:szCs w:val="22"/>
        </w:rPr>
        <w:t>CzechTourismem</w:t>
      </w:r>
      <w:proofErr w:type="spellEnd"/>
      <w:r w:rsidR="00661EBF" w:rsidRPr="002F7A04">
        <w:rPr>
          <w:rFonts w:cs="Arial"/>
          <w:bCs/>
          <w:color w:val="000000" w:themeColor="text1"/>
          <w:sz w:val="22"/>
          <w:szCs w:val="22"/>
        </w:rPr>
        <w:t xml:space="preserve"> a čtyři</w:t>
      </w:r>
      <w:r w:rsidRPr="002F7A04">
        <w:rPr>
          <w:rFonts w:cs="Arial"/>
          <w:bCs/>
          <w:color w:val="000000" w:themeColor="text1"/>
          <w:sz w:val="22"/>
          <w:szCs w:val="22"/>
        </w:rPr>
        <w:t xml:space="preserve"> projekt</w:t>
      </w:r>
      <w:r w:rsidR="00661EBF" w:rsidRPr="002F7A04">
        <w:rPr>
          <w:rFonts w:cs="Arial"/>
          <w:bCs/>
          <w:color w:val="000000" w:themeColor="text1"/>
          <w:sz w:val="22"/>
          <w:szCs w:val="22"/>
        </w:rPr>
        <w:t>y</w:t>
      </w:r>
      <w:r w:rsidRPr="002F7A04">
        <w:rPr>
          <w:rFonts w:cs="Arial"/>
          <w:bCs/>
          <w:color w:val="000000" w:themeColor="text1"/>
          <w:sz w:val="22"/>
          <w:szCs w:val="22"/>
        </w:rPr>
        <w:t xml:space="preserve"> realizovalo MMR</w:t>
      </w:r>
      <w:r w:rsidR="005E778E" w:rsidRPr="002F7A04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EA5D54">
        <w:rPr>
          <w:rFonts w:cs="Arial"/>
          <w:bCs/>
          <w:color w:val="000000" w:themeColor="text1"/>
          <w:sz w:val="22"/>
          <w:szCs w:val="22"/>
        </w:rPr>
        <w:t>(</w:t>
      </w:r>
      <w:r w:rsidR="00474747">
        <w:rPr>
          <w:rFonts w:cs="Arial"/>
          <w:bCs/>
          <w:color w:val="000000" w:themeColor="text1"/>
          <w:sz w:val="22"/>
          <w:szCs w:val="22"/>
        </w:rPr>
        <w:t>viz </w:t>
      </w:r>
      <w:r w:rsidR="005E778E" w:rsidRPr="002F7A04">
        <w:rPr>
          <w:rFonts w:cs="Arial"/>
          <w:bCs/>
          <w:color w:val="000000" w:themeColor="text1"/>
          <w:sz w:val="22"/>
          <w:szCs w:val="22"/>
        </w:rPr>
        <w:t>příloha</w:t>
      </w:r>
      <w:r w:rsidR="00EA5D54">
        <w:rPr>
          <w:rFonts w:cs="Arial"/>
          <w:bCs/>
          <w:color w:val="000000" w:themeColor="text1"/>
          <w:sz w:val="22"/>
          <w:szCs w:val="22"/>
        </w:rPr>
        <w:t>)</w:t>
      </w:r>
      <w:r w:rsidRPr="002F7A04">
        <w:rPr>
          <w:rFonts w:cs="Arial"/>
          <w:bCs/>
          <w:color w:val="000000" w:themeColor="text1"/>
          <w:sz w:val="22"/>
          <w:szCs w:val="22"/>
        </w:rPr>
        <w:t>.</w:t>
      </w:r>
      <w:r w:rsidRPr="002F7A04">
        <w:rPr>
          <w:rFonts w:cs="Arial"/>
          <w:color w:val="000000" w:themeColor="text1"/>
          <w:sz w:val="22"/>
          <w:szCs w:val="22"/>
        </w:rPr>
        <w:t xml:space="preserve"> U dalšího projektu realizovaného </w:t>
      </w:r>
      <w:proofErr w:type="spellStart"/>
      <w:r w:rsidRPr="002F7A04">
        <w:rPr>
          <w:rFonts w:cs="Arial"/>
          <w:color w:val="000000" w:themeColor="text1"/>
          <w:sz w:val="22"/>
          <w:szCs w:val="22"/>
        </w:rPr>
        <w:t>CzechTourismem</w:t>
      </w:r>
      <w:proofErr w:type="spellEnd"/>
      <w:r w:rsidRPr="002F7A04">
        <w:rPr>
          <w:rFonts w:cs="Arial"/>
          <w:color w:val="000000" w:themeColor="text1"/>
          <w:sz w:val="22"/>
          <w:szCs w:val="22"/>
        </w:rPr>
        <w:t xml:space="preserve"> </w:t>
      </w:r>
      <w:r w:rsidR="00EA5D54">
        <w:rPr>
          <w:rFonts w:cs="Arial"/>
          <w:color w:val="000000" w:themeColor="text1"/>
          <w:sz w:val="22"/>
          <w:szCs w:val="22"/>
        </w:rPr>
        <w:t xml:space="preserve">s názvem </w:t>
      </w:r>
      <w:r w:rsidRPr="00176A44">
        <w:rPr>
          <w:rFonts w:cs="Arial"/>
          <w:bCs/>
          <w:i/>
          <w:color w:val="000000" w:themeColor="text1"/>
          <w:sz w:val="22"/>
          <w:szCs w:val="22"/>
        </w:rPr>
        <w:t>Zavedení národního informačního portálu cestovního ruchu s podporou call centra</w:t>
      </w:r>
      <w:r w:rsidRPr="002F7A04">
        <w:rPr>
          <w:rFonts w:cs="Arial"/>
          <w:bCs/>
          <w:color w:val="000000" w:themeColor="text1"/>
          <w:sz w:val="22"/>
          <w:szCs w:val="22"/>
        </w:rPr>
        <w:t xml:space="preserve"> byl ověřen jen stav jeho realizace.</w:t>
      </w:r>
    </w:p>
    <w:p w:rsidR="002F7A04" w:rsidRPr="002F7A04" w:rsidRDefault="002F7A04" w:rsidP="002F7A04">
      <w:pPr>
        <w:pStyle w:val="Odstavecseseznamem"/>
        <w:ind w:left="0"/>
        <w:contextualSpacing w:val="0"/>
        <w:jc w:val="both"/>
        <w:rPr>
          <w:rFonts w:cs="Arial"/>
          <w:bCs/>
          <w:color w:val="000000" w:themeColor="text1"/>
          <w:sz w:val="22"/>
          <w:szCs w:val="22"/>
        </w:rPr>
      </w:pPr>
    </w:p>
    <w:p w:rsidR="005A67C9" w:rsidRPr="002F7A04" w:rsidRDefault="00D93A5F" w:rsidP="002F7A04">
      <w:pPr>
        <w:jc w:val="both"/>
        <w:rPr>
          <w:rFonts w:cs="Arial"/>
          <w:b/>
          <w:bCs/>
          <w:color w:val="000000" w:themeColor="text1"/>
          <w:sz w:val="22"/>
          <w:szCs w:val="22"/>
        </w:rPr>
      </w:pPr>
      <w:r w:rsidRPr="002F7A04">
        <w:rPr>
          <w:rFonts w:cs="Arial"/>
          <w:b/>
          <w:bCs/>
          <w:color w:val="000000" w:themeColor="text1"/>
          <w:sz w:val="22"/>
          <w:szCs w:val="22"/>
        </w:rPr>
        <w:t>Nedostatky zjištěné u příjemců podpory</w:t>
      </w:r>
      <w:r w:rsidR="00D10DB0" w:rsidRPr="002F7A04">
        <w:rPr>
          <w:rFonts w:cs="Arial"/>
          <w:b/>
          <w:bCs/>
          <w:color w:val="000000" w:themeColor="text1"/>
          <w:sz w:val="22"/>
          <w:szCs w:val="22"/>
        </w:rPr>
        <w:t xml:space="preserve"> z </w:t>
      </w:r>
      <w:r w:rsidR="00D10DB0" w:rsidRPr="00176A44">
        <w:rPr>
          <w:rFonts w:cs="Arial"/>
          <w:b/>
          <w:bCs/>
          <w:i/>
          <w:color w:val="000000" w:themeColor="text1"/>
          <w:sz w:val="22"/>
          <w:szCs w:val="22"/>
        </w:rPr>
        <w:t>Integrovaného operačního programu</w:t>
      </w:r>
    </w:p>
    <w:p w:rsidR="00D93A5F" w:rsidRPr="002F7A04" w:rsidRDefault="00D93A5F" w:rsidP="002F7A04">
      <w:pPr>
        <w:jc w:val="both"/>
        <w:rPr>
          <w:rFonts w:cs="Arial"/>
          <w:bCs/>
          <w:color w:val="000000" w:themeColor="text1"/>
          <w:sz w:val="22"/>
          <w:szCs w:val="22"/>
        </w:rPr>
      </w:pPr>
    </w:p>
    <w:p w:rsidR="00C63050" w:rsidRDefault="00765A07" w:rsidP="00176A44">
      <w:pPr>
        <w:jc w:val="both"/>
        <w:rPr>
          <w:rFonts w:cs="Arial"/>
          <w:color w:val="000000" w:themeColor="text1"/>
          <w:sz w:val="22"/>
          <w:szCs w:val="22"/>
        </w:rPr>
      </w:pPr>
      <w:r w:rsidRPr="00176A44">
        <w:rPr>
          <w:rFonts w:cs="Arial"/>
          <w:bCs/>
          <w:color w:val="000000" w:themeColor="text1"/>
          <w:sz w:val="22"/>
          <w:szCs w:val="22"/>
        </w:rPr>
        <w:t>Projekty</w:t>
      </w:r>
      <w:r w:rsidR="00157525" w:rsidRPr="00176A44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AC09C9" w:rsidRPr="00176A44">
        <w:rPr>
          <w:rFonts w:cs="Arial"/>
          <w:i/>
          <w:color w:val="000000" w:themeColor="text1"/>
          <w:sz w:val="22"/>
          <w:szCs w:val="22"/>
        </w:rPr>
        <w:t>Upevnění postavení České republiky a její konkurenceschopnosti v cestovním ruch</w:t>
      </w:r>
      <w:r w:rsidR="00AC09C9" w:rsidRPr="00176A44">
        <w:rPr>
          <w:rFonts w:cs="Arial"/>
          <w:color w:val="000000" w:themeColor="text1"/>
          <w:sz w:val="22"/>
          <w:szCs w:val="22"/>
        </w:rPr>
        <w:t xml:space="preserve">u, </w:t>
      </w:r>
      <w:proofErr w:type="spellStart"/>
      <w:r w:rsidR="00AC09C9" w:rsidRPr="00176A44">
        <w:rPr>
          <w:rFonts w:cs="Arial"/>
          <w:i/>
          <w:color w:val="000000" w:themeColor="text1"/>
          <w:sz w:val="22"/>
          <w:szCs w:val="22"/>
        </w:rPr>
        <w:t>Rebranding</w:t>
      </w:r>
      <w:proofErr w:type="spellEnd"/>
      <w:r w:rsidR="00AC09C9" w:rsidRPr="00176A44">
        <w:rPr>
          <w:rFonts w:cs="Arial"/>
          <w:i/>
          <w:color w:val="000000" w:themeColor="text1"/>
          <w:sz w:val="22"/>
          <w:szCs w:val="22"/>
        </w:rPr>
        <w:t xml:space="preserve"> a marketingová podpora příjezdového cestovního</w:t>
      </w:r>
      <w:r w:rsidR="00180B0A" w:rsidRPr="00176A44">
        <w:rPr>
          <w:rFonts w:cs="Arial"/>
          <w:i/>
          <w:color w:val="000000" w:themeColor="text1"/>
          <w:sz w:val="22"/>
          <w:szCs w:val="22"/>
        </w:rPr>
        <w:t xml:space="preserve"> ruchu</w:t>
      </w:r>
      <w:r w:rsidR="00180B0A" w:rsidRPr="00176A44">
        <w:rPr>
          <w:rFonts w:cs="Arial"/>
          <w:color w:val="000000" w:themeColor="text1"/>
          <w:sz w:val="22"/>
          <w:szCs w:val="22"/>
        </w:rPr>
        <w:t xml:space="preserve"> a</w:t>
      </w:r>
      <w:r w:rsidR="00553DAD">
        <w:rPr>
          <w:rFonts w:cs="Arial"/>
          <w:color w:val="000000" w:themeColor="text1"/>
          <w:sz w:val="22"/>
          <w:szCs w:val="22"/>
        </w:rPr>
        <w:t> </w:t>
      </w:r>
      <w:r w:rsidR="00180B0A" w:rsidRPr="00176A44">
        <w:rPr>
          <w:rFonts w:cs="Arial"/>
          <w:i/>
          <w:color w:val="000000" w:themeColor="text1"/>
          <w:sz w:val="22"/>
          <w:szCs w:val="22"/>
        </w:rPr>
        <w:t>Čes</w:t>
      </w:r>
      <w:r w:rsidRPr="00176A44">
        <w:rPr>
          <w:rFonts w:cs="Arial"/>
          <w:i/>
          <w:color w:val="000000" w:themeColor="text1"/>
          <w:sz w:val="22"/>
          <w:szCs w:val="22"/>
        </w:rPr>
        <w:t>ko chutná skvěle</w:t>
      </w:r>
      <w:r w:rsidR="00EA5D54" w:rsidRPr="00176A44">
        <w:rPr>
          <w:rFonts w:cs="Arial"/>
          <w:color w:val="000000" w:themeColor="text1"/>
          <w:sz w:val="22"/>
          <w:szCs w:val="22"/>
        </w:rPr>
        <w:t>,</w:t>
      </w:r>
      <w:r w:rsidRPr="00176A44">
        <w:rPr>
          <w:rFonts w:cs="Arial"/>
          <w:color w:val="000000" w:themeColor="text1"/>
          <w:sz w:val="22"/>
          <w:szCs w:val="22"/>
        </w:rPr>
        <w:t xml:space="preserve"> realizované </w:t>
      </w:r>
      <w:proofErr w:type="spellStart"/>
      <w:r w:rsidR="00180B0A" w:rsidRPr="00176A44">
        <w:rPr>
          <w:rFonts w:cs="Arial"/>
          <w:color w:val="000000" w:themeColor="text1"/>
          <w:sz w:val="22"/>
          <w:szCs w:val="22"/>
        </w:rPr>
        <w:t>CzechTourismem</w:t>
      </w:r>
      <w:proofErr w:type="spellEnd"/>
      <w:r w:rsidR="00EA5D54" w:rsidRPr="00176A44">
        <w:rPr>
          <w:rFonts w:cs="Arial"/>
          <w:color w:val="000000" w:themeColor="text1"/>
          <w:sz w:val="22"/>
          <w:szCs w:val="22"/>
        </w:rPr>
        <w:t>,</w:t>
      </w:r>
      <w:r w:rsidR="00180B0A" w:rsidRPr="00176A44">
        <w:rPr>
          <w:rFonts w:cs="Arial"/>
          <w:color w:val="000000" w:themeColor="text1"/>
          <w:sz w:val="22"/>
          <w:szCs w:val="22"/>
        </w:rPr>
        <w:t xml:space="preserve"> </w:t>
      </w:r>
      <w:r w:rsidRPr="00176A44">
        <w:rPr>
          <w:rFonts w:cs="Arial"/>
          <w:b/>
          <w:color w:val="000000" w:themeColor="text1"/>
          <w:sz w:val="22"/>
          <w:szCs w:val="22"/>
        </w:rPr>
        <w:t>nebyly dostatečně připraveny</w:t>
      </w:r>
      <w:r w:rsidR="004A7F82" w:rsidRPr="00176A44">
        <w:rPr>
          <w:rFonts w:cs="Arial"/>
          <w:color w:val="000000" w:themeColor="text1"/>
          <w:sz w:val="22"/>
          <w:szCs w:val="22"/>
        </w:rPr>
        <w:t xml:space="preserve">. </w:t>
      </w:r>
      <w:proofErr w:type="spellStart"/>
      <w:r w:rsidR="004A7F82" w:rsidRPr="00176A44">
        <w:rPr>
          <w:rFonts w:cs="Arial"/>
          <w:color w:val="000000" w:themeColor="text1"/>
          <w:sz w:val="22"/>
          <w:szCs w:val="22"/>
        </w:rPr>
        <w:t>CzechT</w:t>
      </w:r>
      <w:r w:rsidRPr="00176A44">
        <w:rPr>
          <w:rFonts w:cs="Arial"/>
          <w:color w:val="000000" w:themeColor="text1"/>
          <w:sz w:val="22"/>
          <w:szCs w:val="22"/>
        </w:rPr>
        <w:t>ourism</w:t>
      </w:r>
      <w:proofErr w:type="spellEnd"/>
      <w:r w:rsidRPr="00176A44">
        <w:rPr>
          <w:rFonts w:cs="Arial"/>
          <w:color w:val="000000" w:themeColor="text1"/>
          <w:sz w:val="22"/>
          <w:szCs w:val="22"/>
        </w:rPr>
        <w:t xml:space="preserve"> v průběhu realizace měnil aktivity projektů, strukturu jejich rozpočtu, </w:t>
      </w:r>
      <w:r w:rsidR="00C63050" w:rsidRPr="00176A44">
        <w:rPr>
          <w:rFonts w:cs="Arial"/>
          <w:color w:val="000000" w:themeColor="text1"/>
          <w:sz w:val="22"/>
          <w:szCs w:val="22"/>
        </w:rPr>
        <w:t xml:space="preserve">zadávací řízení, </w:t>
      </w:r>
      <w:r w:rsidRPr="00176A44">
        <w:rPr>
          <w:rFonts w:cs="Arial"/>
          <w:color w:val="000000" w:themeColor="text1"/>
          <w:sz w:val="22"/>
          <w:szCs w:val="22"/>
        </w:rPr>
        <w:t>cílové hodnoty indikátorů a t</w:t>
      </w:r>
      <w:r w:rsidR="004A7F82" w:rsidRPr="00176A44">
        <w:rPr>
          <w:rFonts w:cs="Arial"/>
          <w:color w:val="000000" w:themeColor="text1"/>
          <w:sz w:val="22"/>
          <w:szCs w:val="22"/>
        </w:rPr>
        <w:t>e</w:t>
      </w:r>
      <w:r w:rsidRPr="00176A44">
        <w:rPr>
          <w:rFonts w:cs="Arial"/>
          <w:color w:val="000000" w:themeColor="text1"/>
          <w:sz w:val="22"/>
          <w:szCs w:val="22"/>
        </w:rPr>
        <w:t>rmín</w:t>
      </w:r>
      <w:r w:rsidR="00EA5D54" w:rsidRPr="00176A44">
        <w:rPr>
          <w:rFonts w:cs="Arial"/>
          <w:color w:val="000000" w:themeColor="text1"/>
          <w:sz w:val="22"/>
          <w:szCs w:val="22"/>
        </w:rPr>
        <w:t>y</w:t>
      </w:r>
      <w:r w:rsidRPr="00176A44">
        <w:rPr>
          <w:rFonts w:cs="Arial"/>
          <w:color w:val="000000" w:themeColor="text1"/>
          <w:sz w:val="22"/>
          <w:szCs w:val="22"/>
        </w:rPr>
        <w:t xml:space="preserve"> dokončení realizace.</w:t>
      </w:r>
      <w:r w:rsidR="00BC3135" w:rsidRPr="00176A44">
        <w:rPr>
          <w:rFonts w:cs="Arial"/>
          <w:color w:val="000000" w:themeColor="text1"/>
          <w:sz w:val="22"/>
          <w:szCs w:val="22"/>
        </w:rPr>
        <w:t xml:space="preserve"> Cílem projektů byl růst rozvoje cestovního </w:t>
      </w:r>
      <w:r w:rsidR="00BC3135" w:rsidRPr="00176A44">
        <w:rPr>
          <w:rFonts w:cs="Arial"/>
          <w:color w:val="000000" w:themeColor="text1"/>
          <w:sz w:val="22"/>
          <w:szCs w:val="22"/>
        </w:rPr>
        <w:lastRenderedPageBreak/>
        <w:t>ruchu,</w:t>
      </w:r>
      <w:r w:rsidR="004A7F82" w:rsidRPr="00176A44">
        <w:rPr>
          <w:rFonts w:cs="Arial"/>
          <w:color w:val="000000" w:themeColor="text1"/>
          <w:sz w:val="22"/>
          <w:szCs w:val="22"/>
        </w:rPr>
        <w:t xml:space="preserve"> </w:t>
      </w:r>
      <w:r w:rsidR="00BC3135" w:rsidRPr="00176A44">
        <w:rPr>
          <w:rFonts w:cs="Arial"/>
          <w:color w:val="000000" w:themeColor="text1"/>
          <w:sz w:val="22"/>
          <w:szCs w:val="22"/>
        </w:rPr>
        <w:t>vytvoření podmínek pro zvýšení příjezdového cestovního ruchu, růst konkurenceschopnosti a zaměstnanosti v cestovním ruchu.</w:t>
      </w:r>
      <w:r w:rsidR="00C63050" w:rsidRPr="00176A44">
        <w:rPr>
          <w:rFonts w:cs="Arial"/>
          <w:color w:val="000000" w:themeColor="text1"/>
          <w:sz w:val="22"/>
          <w:szCs w:val="22"/>
        </w:rPr>
        <w:t xml:space="preserve"> </w:t>
      </w:r>
      <w:r w:rsidR="00AE0055" w:rsidRPr="00176A44">
        <w:rPr>
          <w:rFonts w:cs="Arial"/>
          <w:b/>
          <w:color w:val="000000" w:themeColor="text1"/>
          <w:sz w:val="22"/>
          <w:szCs w:val="22"/>
        </w:rPr>
        <w:t>Pro</w:t>
      </w:r>
      <w:r w:rsidR="00335BE6" w:rsidRPr="00176A44">
        <w:rPr>
          <w:rFonts w:cs="Arial"/>
          <w:b/>
          <w:color w:val="000000" w:themeColor="text1"/>
          <w:sz w:val="22"/>
          <w:szCs w:val="22"/>
        </w:rPr>
        <w:t xml:space="preserve"> hodnocení těchto cílů </w:t>
      </w:r>
      <w:proofErr w:type="spellStart"/>
      <w:r w:rsidR="00AE0055" w:rsidRPr="00176A44">
        <w:rPr>
          <w:rFonts w:cs="Arial"/>
          <w:b/>
          <w:color w:val="000000" w:themeColor="text1"/>
          <w:sz w:val="22"/>
          <w:szCs w:val="22"/>
        </w:rPr>
        <w:t>CzechTourism</w:t>
      </w:r>
      <w:proofErr w:type="spellEnd"/>
      <w:r w:rsidR="00AE0055" w:rsidRPr="00176A44">
        <w:rPr>
          <w:rFonts w:cs="Arial"/>
          <w:b/>
          <w:color w:val="000000" w:themeColor="text1"/>
          <w:sz w:val="22"/>
          <w:szCs w:val="22"/>
        </w:rPr>
        <w:t xml:space="preserve"> nestanovil odpovídající ukazatele</w:t>
      </w:r>
      <w:r w:rsidR="006A687C" w:rsidRPr="00176A44">
        <w:rPr>
          <w:rFonts w:cs="Arial"/>
          <w:color w:val="000000" w:themeColor="text1"/>
          <w:sz w:val="22"/>
          <w:szCs w:val="22"/>
        </w:rPr>
        <w:t xml:space="preserve"> a </w:t>
      </w:r>
      <w:r w:rsidR="00AE0055" w:rsidRPr="00176A44">
        <w:rPr>
          <w:rFonts w:cs="Arial"/>
          <w:color w:val="000000" w:themeColor="text1"/>
          <w:sz w:val="22"/>
          <w:szCs w:val="22"/>
        </w:rPr>
        <w:t>projekty hodnot</w:t>
      </w:r>
      <w:r w:rsidR="008A097A" w:rsidRPr="00176A44">
        <w:rPr>
          <w:rFonts w:cs="Arial"/>
          <w:color w:val="000000" w:themeColor="text1"/>
          <w:sz w:val="22"/>
          <w:szCs w:val="22"/>
        </w:rPr>
        <w:t>il počtem kampaní a</w:t>
      </w:r>
      <w:r w:rsidR="00553DAD">
        <w:rPr>
          <w:rFonts w:cs="Arial"/>
          <w:color w:val="000000" w:themeColor="text1"/>
          <w:sz w:val="22"/>
          <w:szCs w:val="22"/>
        </w:rPr>
        <w:t> </w:t>
      </w:r>
      <w:r w:rsidR="00AE0055" w:rsidRPr="00176A44">
        <w:rPr>
          <w:rFonts w:cs="Arial"/>
          <w:color w:val="000000" w:themeColor="text1"/>
          <w:sz w:val="22"/>
          <w:szCs w:val="22"/>
        </w:rPr>
        <w:t>marketingových produktů.</w:t>
      </w:r>
      <w:r w:rsidR="008A097A" w:rsidRPr="00176A44">
        <w:rPr>
          <w:rFonts w:cs="Arial"/>
          <w:color w:val="000000" w:themeColor="text1"/>
          <w:sz w:val="22"/>
          <w:szCs w:val="22"/>
        </w:rPr>
        <w:t xml:space="preserve"> Z </w:t>
      </w:r>
      <w:r w:rsidR="00AC6E7D" w:rsidRPr="00176A44">
        <w:rPr>
          <w:rFonts w:cs="Arial"/>
          <w:color w:val="000000" w:themeColor="text1"/>
          <w:sz w:val="22"/>
          <w:szCs w:val="22"/>
        </w:rPr>
        <w:t>průzkumu</w:t>
      </w:r>
      <w:r w:rsidR="008A097A" w:rsidRPr="00176A44">
        <w:rPr>
          <w:rFonts w:cs="Arial"/>
          <w:color w:val="000000" w:themeColor="text1"/>
          <w:sz w:val="22"/>
          <w:szCs w:val="22"/>
        </w:rPr>
        <w:t xml:space="preserve"> zadaného </w:t>
      </w:r>
      <w:proofErr w:type="spellStart"/>
      <w:r w:rsidR="008A097A" w:rsidRPr="00176A44">
        <w:rPr>
          <w:rFonts w:cs="Arial"/>
          <w:color w:val="000000" w:themeColor="text1"/>
          <w:sz w:val="22"/>
          <w:szCs w:val="22"/>
        </w:rPr>
        <w:t>CzechTourismem</w:t>
      </w:r>
      <w:proofErr w:type="spellEnd"/>
      <w:r w:rsidR="00EA275A" w:rsidRPr="00176A44">
        <w:rPr>
          <w:rFonts w:cs="Arial"/>
          <w:color w:val="000000" w:themeColor="text1"/>
          <w:sz w:val="22"/>
          <w:szCs w:val="22"/>
        </w:rPr>
        <w:t xml:space="preserve"> zaměřeného na to, </w:t>
      </w:r>
      <w:r w:rsidR="00AC6E7D" w:rsidRPr="00176A44">
        <w:rPr>
          <w:rFonts w:cs="Arial"/>
          <w:color w:val="000000" w:themeColor="text1"/>
          <w:sz w:val="22"/>
          <w:szCs w:val="22"/>
        </w:rPr>
        <w:t>jak turisté</w:t>
      </w:r>
      <w:r w:rsidR="008A097A" w:rsidRPr="00176A44">
        <w:rPr>
          <w:rFonts w:cs="Arial"/>
          <w:color w:val="000000" w:themeColor="text1"/>
          <w:sz w:val="22"/>
          <w:szCs w:val="22"/>
        </w:rPr>
        <w:t xml:space="preserve"> reagují na kampaň na webových </w:t>
      </w:r>
      <w:r w:rsidR="00AC6E7D" w:rsidRPr="00176A44">
        <w:rPr>
          <w:rFonts w:cs="Arial"/>
          <w:color w:val="000000" w:themeColor="text1"/>
          <w:sz w:val="22"/>
          <w:szCs w:val="22"/>
        </w:rPr>
        <w:t>stránkách a billboardech</w:t>
      </w:r>
      <w:r w:rsidR="008A097A" w:rsidRPr="00176A44">
        <w:rPr>
          <w:rFonts w:cs="Arial"/>
          <w:bCs/>
          <w:color w:val="000000" w:themeColor="text1"/>
          <w:sz w:val="22"/>
          <w:szCs w:val="22"/>
        </w:rPr>
        <w:t xml:space="preserve"> v rámci projektu </w:t>
      </w:r>
      <w:r w:rsidR="008A097A" w:rsidRPr="00176A44">
        <w:rPr>
          <w:rFonts w:cs="Arial"/>
          <w:i/>
          <w:color w:val="000000" w:themeColor="text1"/>
          <w:sz w:val="22"/>
          <w:szCs w:val="22"/>
        </w:rPr>
        <w:t>Upevnění postavení České republiky a její konkurenceschopnosti v cestovním ruchu</w:t>
      </w:r>
      <w:r w:rsidR="008A097A" w:rsidRPr="00176A44">
        <w:rPr>
          <w:rFonts w:cs="Arial"/>
          <w:color w:val="000000" w:themeColor="text1"/>
          <w:sz w:val="22"/>
          <w:szCs w:val="22"/>
        </w:rPr>
        <w:t>,</w:t>
      </w:r>
      <w:r w:rsidR="00AC6E7D" w:rsidRPr="00176A44">
        <w:rPr>
          <w:rFonts w:cs="Arial"/>
          <w:color w:val="000000" w:themeColor="text1"/>
          <w:sz w:val="22"/>
          <w:szCs w:val="22"/>
        </w:rPr>
        <w:t xml:space="preserve"> vyplynulo, že turistům nebylo jasné, zda se jedná o Českou republiku, informace byly nepřehledné, nejasné a turisté nevěděli</w:t>
      </w:r>
      <w:r w:rsidR="00EA5D54" w:rsidRPr="00176A44">
        <w:rPr>
          <w:rFonts w:cs="Arial"/>
          <w:color w:val="000000" w:themeColor="text1"/>
          <w:sz w:val="22"/>
          <w:szCs w:val="22"/>
        </w:rPr>
        <w:t>,</w:t>
      </w:r>
      <w:r w:rsidR="00AC6E7D" w:rsidRPr="00176A44">
        <w:rPr>
          <w:rFonts w:cs="Arial"/>
          <w:color w:val="000000" w:themeColor="text1"/>
          <w:sz w:val="22"/>
          <w:szCs w:val="22"/>
        </w:rPr>
        <w:t xml:space="preserve"> kam se obrátit pro jejich upřesnění.</w:t>
      </w:r>
    </w:p>
    <w:p w:rsidR="00D23FA5" w:rsidRPr="00176A44" w:rsidRDefault="00D23FA5" w:rsidP="00176A44">
      <w:pPr>
        <w:jc w:val="both"/>
        <w:rPr>
          <w:rFonts w:cs="Arial"/>
          <w:color w:val="000000" w:themeColor="text1"/>
          <w:sz w:val="22"/>
          <w:szCs w:val="22"/>
        </w:rPr>
      </w:pPr>
    </w:p>
    <w:p w:rsidR="00820931" w:rsidRPr="00176A44" w:rsidRDefault="001839FB" w:rsidP="00176A44">
      <w:pPr>
        <w:autoSpaceDE w:val="0"/>
        <w:autoSpaceDN w:val="0"/>
        <w:jc w:val="both"/>
        <w:rPr>
          <w:rFonts w:cs="Arial"/>
          <w:b/>
          <w:bCs/>
          <w:color w:val="000000" w:themeColor="text1"/>
          <w:sz w:val="22"/>
          <w:szCs w:val="22"/>
        </w:rPr>
      </w:pPr>
      <w:r w:rsidRPr="00176A44">
        <w:rPr>
          <w:rFonts w:cs="Arial"/>
          <w:b/>
          <w:color w:val="000000" w:themeColor="text1"/>
          <w:sz w:val="22"/>
          <w:szCs w:val="22"/>
        </w:rPr>
        <w:t>Projekt</w:t>
      </w:r>
      <w:r w:rsidR="006550B8" w:rsidRPr="00176A44">
        <w:rPr>
          <w:rFonts w:cs="Arial"/>
          <w:b/>
          <w:color w:val="000000" w:themeColor="text1"/>
          <w:sz w:val="22"/>
          <w:szCs w:val="22"/>
        </w:rPr>
        <w:t xml:space="preserve"> z</w:t>
      </w:r>
      <w:r w:rsidR="006550B8" w:rsidRPr="00176A44">
        <w:rPr>
          <w:rFonts w:cs="Arial"/>
          <w:b/>
          <w:bCs/>
          <w:color w:val="000000" w:themeColor="text1"/>
          <w:sz w:val="22"/>
          <w:szCs w:val="22"/>
        </w:rPr>
        <w:t>avedení národního informačního portálu cestovního ruchu j</w:t>
      </w:r>
      <w:r w:rsidRPr="00176A44">
        <w:rPr>
          <w:rFonts w:cs="Arial"/>
          <w:b/>
          <w:bCs/>
          <w:color w:val="000000" w:themeColor="text1"/>
          <w:sz w:val="22"/>
          <w:szCs w:val="22"/>
        </w:rPr>
        <w:t>e zpožděn</w:t>
      </w:r>
      <w:r w:rsidR="008F52B2" w:rsidRPr="00176A44">
        <w:rPr>
          <w:rFonts w:cs="Arial"/>
          <w:b/>
          <w:bCs/>
          <w:color w:val="000000" w:themeColor="text1"/>
          <w:sz w:val="22"/>
          <w:szCs w:val="22"/>
        </w:rPr>
        <w:t>, což může vést k</w:t>
      </w:r>
      <w:r w:rsidR="001C78B0" w:rsidRPr="00176A44">
        <w:rPr>
          <w:rFonts w:cs="Arial"/>
          <w:b/>
          <w:bCs/>
          <w:color w:val="000000" w:themeColor="text1"/>
          <w:sz w:val="22"/>
          <w:szCs w:val="22"/>
        </w:rPr>
        <w:t> </w:t>
      </w:r>
      <w:r w:rsidR="00A7478C" w:rsidRPr="00176A44">
        <w:rPr>
          <w:rFonts w:cs="Arial"/>
          <w:b/>
          <w:bCs/>
          <w:color w:val="000000" w:themeColor="text1"/>
          <w:sz w:val="22"/>
          <w:szCs w:val="22"/>
        </w:rPr>
        <w:t>ohrožení realizace tohoto projektu</w:t>
      </w:r>
      <w:r w:rsidR="00D705DE" w:rsidRPr="00176A44">
        <w:rPr>
          <w:rFonts w:cs="Arial"/>
          <w:b/>
          <w:bCs/>
          <w:color w:val="000000" w:themeColor="text1"/>
          <w:sz w:val="22"/>
          <w:szCs w:val="22"/>
        </w:rPr>
        <w:t>.</w:t>
      </w:r>
    </w:p>
    <w:p w:rsidR="006550B8" w:rsidRDefault="006550B8" w:rsidP="00D23FA5">
      <w:pPr>
        <w:autoSpaceDE w:val="0"/>
        <w:autoSpaceDN w:val="0"/>
        <w:jc w:val="both"/>
        <w:rPr>
          <w:rFonts w:cs="Arial"/>
          <w:bCs/>
          <w:color w:val="000000" w:themeColor="text1"/>
          <w:sz w:val="22"/>
          <w:szCs w:val="22"/>
        </w:rPr>
      </w:pPr>
      <w:r w:rsidRPr="00EA5D54">
        <w:rPr>
          <w:rFonts w:cs="Arial"/>
          <w:bCs/>
          <w:color w:val="000000" w:themeColor="text1"/>
          <w:sz w:val="22"/>
          <w:szCs w:val="22"/>
        </w:rPr>
        <w:t xml:space="preserve">Vytvoření jednotného informačního systému cestovního ruchu bylo </w:t>
      </w:r>
      <w:r w:rsidR="001C3F57" w:rsidRPr="00EA5D54">
        <w:rPr>
          <w:rFonts w:cs="Arial"/>
          <w:bCs/>
          <w:color w:val="000000" w:themeColor="text1"/>
          <w:sz w:val="22"/>
          <w:szCs w:val="22"/>
        </w:rPr>
        <w:t xml:space="preserve">naplánováno </w:t>
      </w:r>
      <w:r w:rsidRPr="00EA5D54">
        <w:rPr>
          <w:rFonts w:cs="Arial"/>
          <w:bCs/>
          <w:color w:val="000000" w:themeColor="text1"/>
          <w:sz w:val="22"/>
          <w:szCs w:val="22"/>
        </w:rPr>
        <w:t xml:space="preserve">opatřením </w:t>
      </w:r>
      <w:r w:rsidRPr="00176A44">
        <w:rPr>
          <w:rFonts w:cs="Arial"/>
          <w:bCs/>
          <w:i/>
          <w:color w:val="000000" w:themeColor="text1"/>
          <w:sz w:val="22"/>
          <w:szCs w:val="22"/>
        </w:rPr>
        <w:t>Koncepce státní politiky cestovního ruchu</w:t>
      </w:r>
      <w:r w:rsidRPr="00EA5D54">
        <w:rPr>
          <w:rFonts w:cs="Arial"/>
          <w:bCs/>
          <w:color w:val="000000" w:themeColor="text1"/>
          <w:sz w:val="22"/>
          <w:szCs w:val="22"/>
        </w:rPr>
        <w:t xml:space="preserve"> z roku 1999 a </w:t>
      </w:r>
      <w:r w:rsidRPr="00176A44">
        <w:rPr>
          <w:rFonts w:cs="Arial"/>
          <w:bCs/>
          <w:i/>
          <w:color w:val="000000" w:themeColor="text1"/>
          <w:sz w:val="22"/>
          <w:szCs w:val="22"/>
        </w:rPr>
        <w:t>Koncepce státní politiky cestovního ruchu na období 2002–2007</w:t>
      </w:r>
      <w:r w:rsidRPr="00EA5D54">
        <w:rPr>
          <w:rFonts w:cs="Arial"/>
          <w:bCs/>
          <w:color w:val="000000" w:themeColor="text1"/>
          <w:sz w:val="22"/>
          <w:szCs w:val="22"/>
        </w:rPr>
        <w:t xml:space="preserve">. </w:t>
      </w:r>
      <w:r w:rsidR="00636D90" w:rsidRPr="00EA5D54">
        <w:rPr>
          <w:rFonts w:cs="Arial"/>
          <w:bCs/>
          <w:color w:val="000000" w:themeColor="text1"/>
          <w:sz w:val="22"/>
          <w:szCs w:val="22"/>
        </w:rPr>
        <w:t>Již k</w:t>
      </w:r>
      <w:r w:rsidRPr="00EA5D54">
        <w:rPr>
          <w:rFonts w:cs="Arial"/>
          <w:color w:val="000000" w:themeColor="text1"/>
          <w:sz w:val="22"/>
          <w:szCs w:val="22"/>
        </w:rPr>
        <w:t xml:space="preserve">ontrolní závěr NKÚ z kontrolní akce </w:t>
      </w:r>
      <w:r w:rsidRPr="00EA5D54">
        <w:rPr>
          <w:rFonts w:cs="Arial"/>
          <w:bCs/>
          <w:color w:val="000000" w:themeColor="text1"/>
          <w:sz w:val="22"/>
          <w:szCs w:val="22"/>
        </w:rPr>
        <w:t>07/23</w:t>
      </w:r>
      <w:r w:rsidR="00C02436" w:rsidRPr="002F7A04">
        <w:rPr>
          <w:rStyle w:val="Znakapoznpodarou"/>
          <w:rFonts w:cs="Arial"/>
          <w:bCs/>
          <w:color w:val="000000" w:themeColor="text1"/>
          <w:sz w:val="22"/>
          <w:szCs w:val="22"/>
        </w:rPr>
        <w:footnoteReference w:id="8"/>
      </w:r>
      <w:r w:rsidRPr="00EA5D54">
        <w:rPr>
          <w:rFonts w:cs="Arial"/>
          <w:bCs/>
          <w:color w:val="000000" w:themeColor="text1"/>
          <w:sz w:val="22"/>
          <w:szCs w:val="22"/>
        </w:rPr>
        <w:t xml:space="preserve"> poukazoval na to, že tento projekt nebyl realizován, přestože koncepce s ním </w:t>
      </w:r>
      <w:r w:rsidR="00EA5D54">
        <w:rPr>
          <w:rFonts w:cs="Arial"/>
          <w:bCs/>
          <w:color w:val="000000" w:themeColor="text1"/>
          <w:sz w:val="22"/>
          <w:szCs w:val="22"/>
        </w:rPr>
        <w:t>počítaly</w:t>
      </w:r>
      <w:r w:rsidRPr="00EA5D54">
        <w:rPr>
          <w:rFonts w:cs="Arial"/>
          <w:bCs/>
          <w:color w:val="000000" w:themeColor="text1"/>
          <w:sz w:val="22"/>
          <w:szCs w:val="22"/>
        </w:rPr>
        <w:t xml:space="preserve">. Zavedení </w:t>
      </w:r>
      <w:r w:rsidR="00EA5D54">
        <w:rPr>
          <w:rFonts w:cs="Arial"/>
          <w:bCs/>
          <w:color w:val="000000" w:themeColor="text1"/>
          <w:sz w:val="22"/>
          <w:szCs w:val="22"/>
        </w:rPr>
        <w:t>n</w:t>
      </w:r>
      <w:r w:rsidRPr="00EA5D54">
        <w:rPr>
          <w:rFonts w:cs="Arial"/>
          <w:bCs/>
          <w:color w:val="000000" w:themeColor="text1"/>
          <w:sz w:val="22"/>
          <w:szCs w:val="22"/>
        </w:rPr>
        <w:t>árodního informačního a rezervačního systému cestovního ruchu a</w:t>
      </w:r>
      <w:r w:rsidR="00623CD6" w:rsidRPr="00EA5D54">
        <w:rPr>
          <w:rFonts w:cs="Arial"/>
          <w:bCs/>
          <w:color w:val="000000" w:themeColor="text1"/>
          <w:sz w:val="22"/>
          <w:szCs w:val="22"/>
        </w:rPr>
        <w:t> </w:t>
      </w:r>
      <w:r w:rsidRPr="00EA5D54">
        <w:rPr>
          <w:rFonts w:cs="Arial"/>
          <w:bCs/>
          <w:color w:val="000000" w:themeColor="text1"/>
          <w:sz w:val="22"/>
          <w:szCs w:val="22"/>
        </w:rPr>
        <w:t xml:space="preserve">napojení na evropský informační portál cestovního ruchu bylo </w:t>
      </w:r>
      <w:r w:rsidR="00636D90" w:rsidRPr="00EA5D54">
        <w:rPr>
          <w:rFonts w:cs="Arial"/>
          <w:bCs/>
          <w:color w:val="000000" w:themeColor="text1"/>
          <w:sz w:val="22"/>
          <w:szCs w:val="22"/>
        </w:rPr>
        <w:t xml:space="preserve">i </w:t>
      </w:r>
      <w:r w:rsidRPr="00EA5D54">
        <w:rPr>
          <w:rFonts w:cs="Arial"/>
          <w:bCs/>
          <w:color w:val="000000" w:themeColor="text1"/>
          <w:sz w:val="22"/>
          <w:szCs w:val="22"/>
        </w:rPr>
        <w:t>jednou z aktivit Koncepce 2007–2013.</w:t>
      </w:r>
      <w:r w:rsidR="00636D90" w:rsidRPr="00EA5D54">
        <w:rPr>
          <w:rFonts w:cs="Arial"/>
          <w:bCs/>
          <w:color w:val="000000" w:themeColor="text1"/>
          <w:sz w:val="22"/>
          <w:szCs w:val="22"/>
        </w:rPr>
        <w:t xml:space="preserve"> Projekt začal realizovat </w:t>
      </w:r>
      <w:proofErr w:type="spellStart"/>
      <w:r w:rsidR="00636D90" w:rsidRPr="00EA5D54">
        <w:rPr>
          <w:rFonts w:cs="Arial"/>
          <w:bCs/>
          <w:color w:val="000000" w:themeColor="text1"/>
          <w:sz w:val="22"/>
          <w:szCs w:val="22"/>
        </w:rPr>
        <w:t>CzechTourism</w:t>
      </w:r>
      <w:proofErr w:type="spellEnd"/>
      <w:r w:rsidR="00636D90" w:rsidRPr="00EA5D54">
        <w:rPr>
          <w:rFonts w:cs="Arial"/>
          <w:bCs/>
          <w:color w:val="000000" w:themeColor="text1"/>
          <w:sz w:val="22"/>
          <w:szCs w:val="22"/>
        </w:rPr>
        <w:t xml:space="preserve"> s podporou ve výši 139</w:t>
      </w:r>
      <w:r w:rsidR="0040367D" w:rsidRPr="00EA5D54">
        <w:rPr>
          <w:rFonts w:cs="Arial"/>
          <w:bCs/>
          <w:color w:val="000000" w:themeColor="text1"/>
          <w:sz w:val="22"/>
          <w:szCs w:val="22"/>
        </w:rPr>
        <w:t> </w:t>
      </w:r>
      <w:r w:rsidR="00636D90" w:rsidRPr="00EA5D54">
        <w:rPr>
          <w:rFonts w:cs="Arial"/>
          <w:bCs/>
          <w:color w:val="000000" w:themeColor="text1"/>
          <w:sz w:val="22"/>
          <w:szCs w:val="22"/>
        </w:rPr>
        <w:t>mil.</w:t>
      </w:r>
      <w:r w:rsidR="0040367D" w:rsidRPr="00EA5D54">
        <w:rPr>
          <w:rFonts w:cs="Arial"/>
          <w:bCs/>
          <w:color w:val="000000" w:themeColor="text1"/>
          <w:sz w:val="22"/>
          <w:szCs w:val="22"/>
        </w:rPr>
        <w:t> </w:t>
      </w:r>
      <w:r w:rsidR="00636D90" w:rsidRPr="00EA5D54">
        <w:rPr>
          <w:rFonts w:cs="Arial"/>
          <w:bCs/>
          <w:color w:val="000000" w:themeColor="text1"/>
          <w:sz w:val="22"/>
          <w:szCs w:val="22"/>
        </w:rPr>
        <w:t xml:space="preserve">Kč z prostředků Evropské unie a státního rozpočtu v rámci </w:t>
      </w:r>
      <w:r w:rsidR="00636D90" w:rsidRPr="00176A44">
        <w:rPr>
          <w:rFonts w:cs="Arial"/>
          <w:bCs/>
          <w:i/>
          <w:color w:val="000000" w:themeColor="text1"/>
          <w:sz w:val="22"/>
          <w:szCs w:val="22"/>
        </w:rPr>
        <w:t>Integrovaného operačního programu</w:t>
      </w:r>
      <w:r w:rsidR="00636D90" w:rsidRPr="00EA5D54">
        <w:rPr>
          <w:rFonts w:cs="Arial"/>
          <w:bCs/>
          <w:color w:val="000000" w:themeColor="text1"/>
          <w:sz w:val="22"/>
          <w:szCs w:val="22"/>
        </w:rPr>
        <w:t>.</w:t>
      </w:r>
      <w:r w:rsidR="001839FB" w:rsidRPr="00EA5D54">
        <w:rPr>
          <w:rFonts w:cs="Arial"/>
          <w:bCs/>
          <w:color w:val="000000" w:themeColor="text1"/>
          <w:sz w:val="22"/>
          <w:szCs w:val="22"/>
        </w:rPr>
        <w:t xml:space="preserve"> Pravidla programu však umožňují </w:t>
      </w:r>
      <w:r w:rsidR="00636D90" w:rsidRPr="00EA5D54">
        <w:rPr>
          <w:rFonts w:cs="Arial"/>
          <w:bCs/>
          <w:color w:val="000000" w:themeColor="text1"/>
          <w:sz w:val="22"/>
          <w:szCs w:val="22"/>
        </w:rPr>
        <w:t>realizovat jen informační systém</w:t>
      </w:r>
      <w:r w:rsidR="005E778E" w:rsidRPr="00EA5D54">
        <w:rPr>
          <w:rFonts w:cs="Arial"/>
          <w:bCs/>
          <w:color w:val="000000" w:themeColor="text1"/>
          <w:sz w:val="22"/>
          <w:szCs w:val="22"/>
        </w:rPr>
        <w:t xml:space="preserve"> bez rezervačního</w:t>
      </w:r>
      <w:r w:rsidR="001839FB" w:rsidRPr="00D23FA5">
        <w:rPr>
          <w:rFonts w:cs="Arial"/>
          <w:bCs/>
          <w:color w:val="000000" w:themeColor="text1"/>
          <w:sz w:val="22"/>
          <w:szCs w:val="22"/>
        </w:rPr>
        <w:t>.</w:t>
      </w:r>
      <w:r w:rsidR="00636D90" w:rsidRPr="00D23FA5">
        <w:rPr>
          <w:rFonts w:cs="Arial"/>
          <w:bCs/>
          <w:color w:val="000000" w:themeColor="text1"/>
          <w:sz w:val="22"/>
          <w:szCs w:val="22"/>
        </w:rPr>
        <w:t xml:space="preserve"> Přestože projekt </w:t>
      </w:r>
      <w:r w:rsidR="00A43708" w:rsidRPr="00D23FA5">
        <w:rPr>
          <w:rFonts w:cs="Arial"/>
          <w:bCs/>
          <w:color w:val="000000" w:themeColor="text1"/>
          <w:sz w:val="22"/>
          <w:szCs w:val="22"/>
        </w:rPr>
        <w:t xml:space="preserve">je realizován od roku 2012 a </w:t>
      </w:r>
      <w:r w:rsidR="00636D90" w:rsidRPr="00D23FA5">
        <w:rPr>
          <w:rFonts w:cs="Arial"/>
          <w:bCs/>
          <w:color w:val="000000" w:themeColor="text1"/>
          <w:sz w:val="22"/>
          <w:szCs w:val="22"/>
        </w:rPr>
        <w:t>má být ukončen v červnu 2015, bylo k únoru 2014</w:t>
      </w:r>
      <w:r w:rsidR="001839FB" w:rsidRPr="00D23FA5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636D90" w:rsidRPr="00D23FA5">
        <w:rPr>
          <w:rFonts w:cs="Arial"/>
          <w:bCs/>
          <w:color w:val="000000" w:themeColor="text1"/>
          <w:sz w:val="22"/>
          <w:szCs w:val="22"/>
        </w:rPr>
        <w:t>proplaceno jen 9</w:t>
      </w:r>
      <w:r w:rsidR="00EA5D54">
        <w:rPr>
          <w:rFonts w:cs="Arial"/>
          <w:bCs/>
          <w:color w:val="000000" w:themeColor="text1"/>
          <w:sz w:val="22"/>
          <w:szCs w:val="22"/>
        </w:rPr>
        <w:t> </w:t>
      </w:r>
      <w:r w:rsidR="00636D90" w:rsidRPr="00EA5D54">
        <w:rPr>
          <w:rFonts w:cs="Arial"/>
          <w:bCs/>
          <w:color w:val="000000" w:themeColor="text1"/>
          <w:sz w:val="22"/>
          <w:szCs w:val="22"/>
        </w:rPr>
        <w:t xml:space="preserve">% z alokovaných prostředků. </w:t>
      </w:r>
    </w:p>
    <w:p w:rsidR="00D23FA5" w:rsidRPr="00EA5D54" w:rsidRDefault="00D23FA5" w:rsidP="00D23FA5">
      <w:pPr>
        <w:autoSpaceDE w:val="0"/>
        <w:autoSpaceDN w:val="0"/>
        <w:jc w:val="both"/>
        <w:rPr>
          <w:rFonts w:cs="Arial"/>
          <w:bCs/>
          <w:color w:val="000000" w:themeColor="text1"/>
          <w:sz w:val="22"/>
          <w:szCs w:val="22"/>
        </w:rPr>
      </w:pPr>
    </w:p>
    <w:p w:rsidR="003C2DC2" w:rsidRPr="00176A44" w:rsidRDefault="00603CBD" w:rsidP="00176A44">
      <w:pPr>
        <w:jc w:val="both"/>
        <w:rPr>
          <w:rFonts w:cs="Arial"/>
          <w:b/>
          <w:bCs/>
          <w:color w:val="000000" w:themeColor="text1"/>
          <w:sz w:val="22"/>
          <w:szCs w:val="22"/>
        </w:rPr>
      </w:pPr>
      <w:r w:rsidRPr="00176A44">
        <w:rPr>
          <w:rFonts w:cs="Arial"/>
          <w:b/>
          <w:bCs/>
          <w:color w:val="000000" w:themeColor="text1"/>
          <w:sz w:val="22"/>
          <w:szCs w:val="22"/>
        </w:rPr>
        <w:t>MMR při</w:t>
      </w:r>
      <w:r w:rsidR="001C3F57" w:rsidRPr="00176A44">
        <w:rPr>
          <w:rFonts w:cs="Arial"/>
          <w:b/>
          <w:bCs/>
          <w:color w:val="000000" w:themeColor="text1"/>
          <w:sz w:val="22"/>
          <w:szCs w:val="22"/>
        </w:rPr>
        <w:t xml:space="preserve"> přípravě a realizaci projektu </w:t>
      </w:r>
      <w:r w:rsidR="001C3F57" w:rsidRPr="00176A44">
        <w:rPr>
          <w:rFonts w:cs="Arial"/>
          <w:b/>
          <w:bCs/>
          <w:i/>
          <w:color w:val="000000" w:themeColor="text1"/>
          <w:sz w:val="22"/>
          <w:szCs w:val="22"/>
        </w:rPr>
        <w:t>N</w:t>
      </w:r>
      <w:r w:rsidRPr="00176A44">
        <w:rPr>
          <w:rFonts w:cs="Arial"/>
          <w:b/>
          <w:bCs/>
          <w:i/>
          <w:color w:val="000000" w:themeColor="text1"/>
          <w:sz w:val="22"/>
          <w:szCs w:val="22"/>
        </w:rPr>
        <w:t>árodní systém kvality služeb cestovního ruchu v České republice</w:t>
      </w:r>
      <w:r w:rsidRPr="00176A44">
        <w:rPr>
          <w:rFonts w:cs="Arial"/>
          <w:b/>
          <w:bCs/>
          <w:color w:val="000000" w:themeColor="text1"/>
          <w:sz w:val="22"/>
          <w:szCs w:val="22"/>
        </w:rPr>
        <w:t xml:space="preserve"> u části vynaložených prostředků nezajist</w:t>
      </w:r>
      <w:r w:rsidR="00CF2E07" w:rsidRPr="00176A44">
        <w:rPr>
          <w:rFonts w:cs="Arial"/>
          <w:b/>
          <w:bCs/>
          <w:color w:val="000000" w:themeColor="text1"/>
          <w:sz w:val="22"/>
          <w:szCs w:val="22"/>
        </w:rPr>
        <w:t>ilo dostatečnou efektivnost případně</w:t>
      </w:r>
      <w:r w:rsidRPr="00176A44">
        <w:rPr>
          <w:rFonts w:cs="Arial"/>
          <w:b/>
          <w:bCs/>
          <w:color w:val="000000" w:themeColor="text1"/>
          <w:sz w:val="22"/>
          <w:szCs w:val="22"/>
        </w:rPr>
        <w:t xml:space="preserve"> hospodárnost. </w:t>
      </w:r>
      <w:r w:rsidR="005859FA" w:rsidRPr="00176A44">
        <w:rPr>
          <w:rFonts w:cs="Arial"/>
          <w:b/>
          <w:bCs/>
          <w:color w:val="000000" w:themeColor="text1"/>
          <w:sz w:val="22"/>
          <w:szCs w:val="22"/>
        </w:rPr>
        <w:t xml:space="preserve">Nelze vyloučit riziko, </w:t>
      </w:r>
      <w:r w:rsidR="003C2DC2" w:rsidRPr="00176A44">
        <w:rPr>
          <w:rFonts w:cs="Arial"/>
          <w:b/>
          <w:bCs/>
          <w:color w:val="000000" w:themeColor="text1"/>
          <w:sz w:val="22"/>
          <w:szCs w:val="22"/>
        </w:rPr>
        <w:t xml:space="preserve">že MMR nebude schopno zajistit zdroje financování dalšího rozvoje a inovace </w:t>
      </w:r>
      <w:r w:rsidR="001C3F57" w:rsidRPr="00D23FA5">
        <w:rPr>
          <w:rFonts w:cs="Arial"/>
          <w:b/>
          <w:bCs/>
          <w:color w:val="000000" w:themeColor="text1"/>
          <w:sz w:val="22"/>
          <w:szCs w:val="22"/>
        </w:rPr>
        <w:t xml:space="preserve">tohoto </w:t>
      </w:r>
      <w:r w:rsidR="003C2DC2" w:rsidRPr="00D23FA5">
        <w:rPr>
          <w:rFonts w:cs="Arial"/>
          <w:b/>
          <w:bCs/>
          <w:color w:val="000000" w:themeColor="text1"/>
          <w:sz w:val="22"/>
          <w:szCs w:val="22"/>
        </w:rPr>
        <w:t>systému.</w:t>
      </w:r>
    </w:p>
    <w:p w:rsidR="00D23FA5" w:rsidRDefault="00D23FA5" w:rsidP="00D23FA5">
      <w:pPr>
        <w:pStyle w:val="Odstavecseseznamem"/>
        <w:ind w:left="0"/>
        <w:contextualSpacing w:val="0"/>
        <w:jc w:val="both"/>
        <w:rPr>
          <w:rFonts w:cs="Arial"/>
          <w:bCs/>
          <w:color w:val="000000" w:themeColor="text1"/>
          <w:sz w:val="22"/>
          <w:szCs w:val="22"/>
        </w:rPr>
      </w:pPr>
    </w:p>
    <w:p w:rsidR="003C2DC2" w:rsidRPr="00D23FA5" w:rsidRDefault="00A43708" w:rsidP="00D23FA5">
      <w:pPr>
        <w:pStyle w:val="Odstavecseseznamem"/>
        <w:ind w:left="0"/>
        <w:contextualSpacing w:val="0"/>
        <w:jc w:val="both"/>
        <w:rPr>
          <w:rFonts w:cs="Arial"/>
          <w:bCs/>
          <w:color w:val="000000" w:themeColor="text1"/>
          <w:sz w:val="22"/>
          <w:szCs w:val="22"/>
        </w:rPr>
      </w:pPr>
      <w:r w:rsidRPr="00EA5D54">
        <w:rPr>
          <w:rFonts w:cs="Arial"/>
          <w:bCs/>
          <w:color w:val="000000" w:themeColor="text1"/>
          <w:sz w:val="22"/>
          <w:szCs w:val="22"/>
        </w:rPr>
        <w:t xml:space="preserve">MMR začalo </w:t>
      </w:r>
      <w:r w:rsidR="00FE0688" w:rsidRPr="00EA5D54">
        <w:rPr>
          <w:rFonts w:cs="Arial"/>
          <w:bCs/>
          <w:color w:val="000000" w:themeColor="text1"/>
          <w:sz w:val="22"/>
          <w:szCs w:val="22"/>
        </w:rPr>
        <w:t xml:space="preserve">v roce 2009 </w:t>
      </w:r>
      <w:r w:rsidRPr="00EA5D54">
        <w:rPr>
          <w:rFonts w:cs="Arial"/>
          <w:bCs/>
          <w:color w:val="000000" w:themeColor="text1"/>
          <w:sz w:val="22"/>
          <w:szCs w:val="22"/>
        </w:rPr>
        <w:t xml:space="preserve">realizovat systém kvality služeb cestovního ruchu třemi projekty </w:t>
      </w:r>
      <w:r w:rsidR="00252D2D" w:rsidRPr="00EA5D54">
        <w:rPr>
          <w:rFonts w:cs="Arial"/>
          <w:bCs/>
          <w:color w:val="000000" w:themeColor="text1"/>
          <w:sz w:val="22"/>
          <w:szCs w:val="22"/>
        </w:rPr>
        <w:t>s finanční potřebou ve výši 142 mil. Kč z</w:t>
      </w:r>
      <w:r w:rsidRPr="00EA5D54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Pr="00176A44">
        <w:rPr>
          <w:rFonts w:cs="Arial"/>
          <w:bCs/>
          <w:i/>
          <w:color w:val="000000" w:themeColor="text1"/>
          <w:sz w:val="22"/>
          <w:szCs w:val="22"/>
        </w:rPr>
        <w:t>Integrovaného operačního programu</w:t>
      </w:r>
      <w:r w:rsidRPr="00EA5D54">
        <w:rPr>
          <w:rFonts w:cs="Arial"/>
          <w:bCs/>
          <w:color w:val="000000" w:themeColor="text1"/>
          <w:sz w:val="22"/>
          <w:szCs w:val="22"/>
        </w:rPr>
        <w:t xml:space="preserve">, </w:t>
      </w:r>
      <w:r w:rsidR="00FE0688" w:rsidRPr="00EA5D54">
        <w:rPr>
          <w:rFonts w:cs="Arial"/>
          <w:bCs/>
          <w:color w:val="000000" w:themeColor="text1"/>
          <w:sz w:val="22"/>
          <w:szCs w:val="22"/>
        </w:rPr>
        <w:t>kde bylo zároveň říd</w:t>
      </w:r>
      <w:r w:rsidR="00EA5D54">
        <w:rPr>
          <w:rFonts w:cs="Arial"/>
          <w:bCs/>
          <w:color w:val="000000" w:themeColor="text1"/>
          <w:sz w:val="22"/>
          <w:szCs w:val="22"/>
        </w:rPr>
        <w:t>i</w:t>
      </w:r>
      <w:r w:rsidR="00FE0688" w:rsidRPr="00EA5D54">
        <w:rPr>
          <w:rFonts w:cs="Arial"/>
          <w:bCs/>
          <w:color w:val="000000" w:themeColor="text1"/>
          <w:sz w:val="22"/>
          <w:szCs w:val="22"/>
        </w:rPr>
        <w:t xml:space="preserve">cím orgánem programu i příjemcem prostředků z tohoto programu. Protože ale projekty </w:t>
      </w:r>
      <w:r w:rsidR="00EA5D54" w:rsidRPr="00EA5D54">
        <w:rPr>
          <w:rFonts w:cs="Arial"/>
          <w:bCs/>
          <w:color w:val="000000" w:themeColor="text1"/>
          <w:sz w:val="22"/>
          <w:szCs w:val="22"/>
        </w:rPr>
        <w:t>připravilo</w:t>
      </w:r>
      <w:r w:rsidR="00EA5D54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FE0688" w:rsidRPr="00EA5D54">
        <w:rPr>
          <w:rFonts w:cs="Arial"/>
          <w:bCs/>
          <w:color w:val="000000" w:themeColor="text1"/>
          <w:sz w:val="22"/>
          <w:szCs w:val="22"/>
        </w:rPr>
        <w:t xml:space="preserve">nedostatečně, </w:t>
      </w:r>
      <w:r w:rsidR="001C3F57" w:rsidRPr="00EA5D54">
        <w:rPr>
          <w:rFonts w:cs="Arial"/>
          <w:bCs/>
          <w:color w:val="000000" w:themeColor="text1"/>
          <w:sz w:val="22"/>
          <w:szCs w:val="22"/>
        </w:rPr>
        <w:t xml:space="preserve">po uhrazení 11,8 mil. Kč je předčasně </w:t>
      </w:r>
      <w:r w:rsidR="00FE0688" w:rsidRPr="00EA5D54">
        <w:rPr>
          <w:rFonts w:cs="Arial"/>
          <w:bCs/>
          <w:color w:val="000000" w:themeColor="text1"/>
          <w:sz w:val="22"/>
          <w:szCs w:val="22"/>
        </w:rPr>
        <w:t>ukon</w:t>
      </w:r>
      <w:r w:rsidR="00B22129" w:rsidRPr="00EA5D54">
        <w:rPr>
          <w:rFonts w:cs="Arial"/>
          <w:bCs/>
          <w:color w:val="000000" w:themeColor="text1"/>
          <w:sz w:val="22"/>
          <w:szCs w:val="22"/>
        </w:rPr>
        <w:t>čilo</w:t>
      </w:r>
      <w:r w:rsidR="001C3F57" w:rsidRPr="00EA5D54">
        <w:rPr>
          <w:rFonts w:cs="Arial"/>
          <w:bCs/>
          <w:color w:val="000000" w:themeColor="text1"/>
          <w:sz w:val="22"/>
          <w:szCs w:val="22"/>
        </w:rPr>
        <w:t xml:space="preserve">. Přestože </w:t>
      </w:r>
      <w:r w:rsidR="00FE0688" w:rsidRPr="00EA5D54">
        <w:rPr>
          <w:rFonts w:cs="Arial"/>
          <w:bCs/>
          <w:color w:val="000000" w:themeColor="text1"/>
          <w:sz w:val="22"/>
          <w:szCs w:val="22"/>
        </w:rPr>
        <w:t xml:space="preserve">část výdajů ve výši 6,4 mil. Kč zahrnulo do nového projektu </w:t>
      </w:r>
      <w:r w:rsidR="00FE0688" w:rsidRPr="00176A44">
        <w:rPr>
          <w:rFonts w:cs="Arial"/>
          <w:bCs/>
          <w:i/>
          <w:color w:val="000000" w:themeColor="text1"/>
          <w:sz w:val="22"/>
          <w:szCs w:val="22"/>
        </w:rPr>
        <w:t>Národní systém kvality služeb cestovního ruchu v České republice</w:t>
      </w:r>
      <w:r w:rsidR="00FE0688" w:rsidRPr="00EA5D54">
        <w:rPr>
          <w:rFonts w:cs="Arial"/>
          <w:bCs/>
          <w:color w:val="000000" w:themeColor="text1"/>
          <w:sz w:val="22"/>
          <w:szCs w:val="22"/>
        </w:rPr>
        <w:t xml:space="preserve">, </w:t>
      </w:r>
      <w:r w:rsidR="00B22129" w:rsidRPr="00EA5D54">
        <w:rPr>
          <w:rFonts w:cs="Arial"/>
          <w:bCs/>
          <w:color w:val="000000" w:themeColor="text1"/>
          <w:sz w:val="22"/>
          <w:szCs w:val="22"/>
        </w:rPr>
        <w:t>popsaný postup nedostatečné přípravy, částečné realizace a předčasného ukončení projektů nezajišťuje co nejvyšší efekt z</w:t>
      </w:r>
      <w:r w:rsidR="00856AFF" w:rsidRPr="00D23FA5">
        <w:rPr>
          <w:rFonts w:cs="Arial"/>
          <w:bCs/>
          <w:color w:val="000000" w:themeColor="text1"/>
          <w:sz w:val="22"/>
          <w:szCs w:val="22"/>
        </w:rPr>
        <w:t> prostředků vynaložených na uvedené tři projekty</w:t>
      </w:r>
      <w:r w:rsidR="00B22129" w:rsidRPr="00D23FA5">
        <w:rPr>
          <w:rFonts w:cs="Arial"/>
          <w:bCs/>
          <w:color w:val="000000" w:themeColor="text1"/>
          <w:sz w:val="22"/>
          <w:szCs w:val="22"/>
        </w:rPr>
        <w:t>.</w:t>
      </w:r>
    </w:p>
    <w:p w:rsidR="00125D24" w:rsidRDefault="00125D24" w:rsidP="00D23FA5">
      <w:pPr>
        <w:jc w:val="both"/>
        <w:rPr>
          <w:rFonts w:cs="Arial"/>
          <w:bCs/>
          <w:color w:val="000000" w:themeColor="text1"/>
          <w:sz w:val="22"/>
          <w:szCs w:val="22"/>
        </w:rPr>
      </w:pPr>
    </w:p>
    <w:p w:rsidR="007E01A5" w:rsidRDefault="0022667A" w:rsidP="00D23FA5">
      <w:pPr>
        <w:jc w:val="both"/>
        <w:rPr>
          <w:rFonts w:cs="Arial"/>
          <w:bCs/>
          <w:color w:val="000000" w:themeColor="text1"/>
          <w:sz w:val="22"/>
          <w:szCs w:val="22"/>
        </w:rPr>
      </w:pPr>
      <w:r w:rsidRPr="002F7A04">
        <w:rPr>
          <w:rFonts w:cs="Arial"/>
          <w:bCs/>
          <w:color w:val="000000" w:themeColor="text1"/>
          <w:sz w:val="22"/>
          <w:szCs w:val="22"/>
        </w:rPr>
        <w:t>P</w:t>
      </w:r>
      <w:r w:rsidR="00A1272A" w:rsidRPr="002F7A04">
        <w:rPr>
          <w:rFonts w:cs="Arial"/>
          <w:bCs/>
          <w:color w:val="000000" w:themeColor="text1"/>
          <w:sz w:val="22"/>
          <w:szCs w:val="22"/>
        </w:rPr>
        <w:t>rojekt</w:t>
      </w:r>
      <w:r w:rsidR="00922FE8" w:rsidRPr="002F7A04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A1272A" w:rsidRPr="00176A44">
        <w:rPr>
          <w:rFonts w:cs="Arial"/>
          <w:bCs/>
          <w:i/>
          <w:color w:val="000000" w:themeColor="text1"/>
          <w:sz w:val="22"/>
          <w:szCs w:val="22"/>
        </w:rPr>
        <w:t>Národní systém kvality služeb cestovního ruchu v České republice</w:t>
      </w:r>
      <w:r w:rsidR="00A1272A" w:rsidRPr="002F7A04">
        <w:rPr>
          <w:rFonts w:cs="Arial"/>
          <w:bCs/>
          <w:color w:val="000000" w:themeColor="text1"/>
          <w:sz w:val="22"/>
          <w:szCs w:val="22"/>
        </w:rPr>
        <w:t xml:space="preserve"> zahrnuje vytvoření českého standardu kvality služeb cestovního ruchu, značky kvality</w:t>
      </w:r>
      <w:r w:rsidR="00672950" w:rsidRPr="002F7A04">
        <w:rPr>
          <w:rFonts w:cs="Arial"/>
          <w:bCs/>
          <w:color w:val="000000" w:themeColor="text1"/>
          <w:sz w:val="22"/>
          <w:szCs w:val="22"/>
        </w:rPr>
        <w:t xml:space="preserve">, </w:t>
      </w:r>
      <w:r w:rsidR="00A1272A" w:rsidRPr="002F7A04">
        <w:rPr>
          <w:rFonts w:cs="Arial"/>
          <w:bCs/>
          <w:color w:val="000000" w:themeColor="text1"/>
          <w:sz w:val="22"/>
          <w:szCs w:val="22"/>
        </w:rPr>
        <w:t>marketingového názvu</w:t>
      </w:r>
      <w:r w:rsidR="00672950" w:rsidRPr="002F7A04">
        <w:rPr>
          <w:rFonts w:cs="Arial"/>
          <w:bCs/>
          <w:color w:val="000000" w:themeColor="text1"/>
          <w:sz w:val="22"/>
          <w:szCs w:val="22"/>
        </w:rPr>
        <w:t>,</w:t>
      </w:r>
      <w:r w:rsidR="00A1272A" w:rsidRPr="002F7A04">
        <w:rPr>
          <w:rFonts w:cs="Arial"/>
          <w:bCs/>
          <w:color w:val="000000" w:themeColor="text1"/>
          <w:sz w:val="22"/>
          <w:szCs w:val="22"/>
        </w:rPr>
        <w:t xml:space="preserve"> vzdělá</w:t>
      </w:r>
      <w:r w:rsidR="00672950" w:rsidRPr="002F7A04">
        <w:rPr>
          <w:rFonts w:cs="Arial"/>
          <w:bCs/>
          <w:color w:val="000000" w:themeColor="text1"/>
          <w:sz w:val="22"/>
          <w:szCs w:val="22"/>
        </w:rPr>
        <w:t>vacích kurzů a jejich realizaci a</w:t>
      </w:r>
      <w:r w:rsidR="00A1272A" w:rsidRPr="002F7A04">
        <w:rPr>
          <w:rFonts w:cs="Arial"/>
          <w:bCs/>
          <w:color w:val="000000" w:themeColor="text1"/>
          <w:sz w:val="22"/>
          <w:szCs w:val="22"/>
        </w:rPr>
        <w:t xml:space="preserve"> ins</w:t>
      </w:r>
      <w:r w:rsidR="00672950" w:rsidRPr="002F7A04">
        <w:rPr>
          <w:rFonts w:cs="Arial"/>
          <w:bCs/>
          <w:color w:val="000000" w:themeColor="text1"/>
          <w:sz w:val="22"/>
          <w:szCs w:val="22"/>
        </w:rPr>
        <w:t xml:space="preserve">titucionální zabezpečení </w:t>
      </w:r>
      <w:r w:rsidR="00A1272A" w:rsidRPr="002F7A04">
        <w:rPr>
          <w:rFonts w:cs="Arial"/>
          <w:bCs/>
          <w:color w:val="000000" w:themeColor="text1"/>
          <w:sz w:val="22"/>
          <w:szCs w:val="22"/>
        </w:rPr>
        <w:t>prostřednictv</w:t>
      </w:r>
      <w:r w:rsidR="00672950" w:rsidRPr="002F7A04">
        <w:rPr>
          <w:rFonts w:cs="Arial"/>
          <w:bCs/>
          <w:color w:val="000000" w:themeColor="text1"/>
          <w:sz w:val="22"/>
          <w:szCs w:val="22"/>
        </w:rPr>
        <w:t>ím specializovaného pracoviště</w:t>
      </w:r>
      <w:r w:rsidR="00A1272A" w:rsidRPr="002F7A04">
        <w:rPr>
          <w:rFonts w:cs="Arial"/>
          <w:bCs/>
          <w:color w:val="000000" w:themeColor="text1"/>
          <w:sz w:val="22"/>
          <w:szCs w:val="22"/>
        </w:rPr>
        <w:t>.</w:t>
      </w:r>
      <w:r w:rsidR="00672950" w:rsidRPr="002F7A04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A1272A" w:rsidRPr="002F7A04">
        <w:rPr>
          <w:rFonts w:cs="Arial"/>
          <w:bCs/>
          <w:color w:val="000000" w:themeColor="text1"/>
          <w:sz w:val="22"/>
          <w:szCs w:val="22"/>
        </w:rPr>
        <w:t xml:space="preserve">Cílem </w:t>
      </w:r>
      <w:r w:rsidR="001C3F57" w:rsidRPr="002F7A04">
        <w:rPr>
          <w:rFonts w:cs="Arial"/>
          <w:bCs/>
          <w:color w:val="000000" w:themeColor="text1"/>
          <w:sz w:val="22"/>
          <w:szCs w:val="22"/>
        </w:rPr>
        <w:t xml:space="preserve">této </w:t>
      </w:r>
      <w:r w:rsidR="00A1272A" w:rsidRPr="002F7A04">
        <w:rPr>
          <w:rFonts w:cs="Arial"/>
          <w:bCs/>
          <w:color w:val="000000" w:themeColor="text1"/>
          <w:sz w:val="22"/>
          <w:szCs w:val="22"/>
        </w:rPr>
        <w:t xml:space="preserve">certifikace je </w:t>
      </w:r>
      <w:r w:rsidR="00CD3435" w:rsidRPr="002F7A04">
        <w:rPr>
          <w:rFonts w:cs="Arial"/>
          <w:bCs/>
          <w:color w:val="000000" w:themeColor="text1"/>
          <w:sz w:val="22"/>
          <w:szCs w:val="22"/>
        </w:rPr>
        <w:t xml:space="preserve">prozatím </w:t>
      </w:r>
      <w:r w:rsidR="00672950" w:rsidRPr="002F7A04">
        <w:rPr>
          <w:rFonts w:cs="Arial"/>
          <w:bCs/>
          <w:color w:val="000000" w:themeColor="text1"/>
          <w:sz w:val="22"/>
          <w:szCs w:val="22"/>
        </w:rPr>
        <w:t xml:space="preserve">bezplatné </w:t>
      </w:r>
      <w:r w:rsidR="00A1272A" w:rsidRPr="002F7A04">
        <w:rPr>
          <w:rFonts w:cs="Arial"/>
          <w:bCs/>
          <w:color w:val="000000" w:themeColor="text1"/>
          <w:sz w:val="22"/>
          <w:szCs w:val="22"/>
        </w:rPr>
        <w:t>ověření výsledků dosažených zúčastněnými subjekty v oblasti zvyšování k</w:t>
      </w:r>
      <w:r w:rsidR="00672950" w:rsidRPr="002F7A04">
        <w:rPr>
          <w:rFonts w:cs="Arial"/>
          <w:bCs/>
          <w:color w:val="000000" w:themeColor="text1"/>
          <w:sz w:val="22"/>
          <w:szCs w:val="22"/>
        </w:rPr>
        <w:t>vality služeb v cestovním ruchu</w:t>
      </w:r>
      <w:r w:rsidR="00A1272A" w:rsidRPr="002F7A04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672950" w:rsidRPr="002F7A04">
        <w:rPr>
          <w:rFonts w:cs="Arial"/>
          <w:bCs/>
          <w:color w:val="000000" w:themeColor="text1"/>
          <w:sz w:val="22"/>
          <w:szCs w:val="22"/>
        </w:rPr>
        <w:t>a</w:t>
      </w:r>
      <w:r w:rsidR="00194CDD">
        <w:rPr>
          <w:rFonts w:cs="Arial"/>
          <w:bCs/>
          <w:color w:val="000000" w:themeColor="text1"/>
          <w:sz w:val="22"/>
          <w:szCs w:val="22"/>
        </w:rPr>
        <w:t> </w:t>
      </w:r>
      <w:r w:rsidR="00672950" w:rsidRPr="002F7A04">
        <w:rPr>
          <w:rFonts w:cs="Arial"/>
          <w:bCs/>
          <w:color w:val="000000" w:themeColor="text1"/>
          <w:sz w:val="22"/>
          <w:szCs w:val="22"/>
        </w:rPr>
        <w:t>udělení značky</w:t>
      </w:r>
      <w:r w:rsidR="00C56A52" w:rsidRPr="002F7A04">
        <w:rPr>
          <w:rFonts w:cs="Arial"/>
          <w:bCs/>
          <w:color w:val="000000" w:themeColor="text1"/>
          <w:sz w:val="22"/>
          <w:szCs w:val="22"/>
        </w:rPr>
        <w:t xml:space="preserve"> kvality, což má být </w:t>
      </w:r>
      <w:r w:rsidR="00CD3435" w:rsidRPr="002F7A04">
        <w:rPr>
          <w:rFonts w:cs="Arial"/>
          <w:bCs/>
          <w:color w:val="000000" w:themeColor="text1"/>
          <w:sz w:val="22"/>
          <w:szCs w:val="22"/>
        </w:rPr>
        <w:t>následně zpoplatněno.</w:t>
      </w:r>
      <w:r w:rsidR="004D59FB" w:rsidRPr="002F7A04">
        <w:rPr>
          <w:rFonts w:cs="Arial"/>
          <w:bCs/>
          <w:color w:val="000000" w:themeColor="text1"/>
          <w:sz w:val="22"/>
          <w:szCs w:val="22"/>
        </w:rPr>
        <w:t xml:space="preserve"> MMR sice předpokládá dobudování, další rozvoj a inovace systému, ale zdroj financování k tomu nemá zatím zajištěn. </w:t>
      </w:r>
      <w:r w:rsidR="00C56A52" w:rsidRPr="002F7A04">
        <w:rPr>
          <w:rFonts w:cs="Arial"/>
          <w:bCs/>
          <w:color w:val="000000" w:themeColor="text1"/>
          <w:sz w:val="22"/>
          <w:szCs w:val="22"/>
        </w:rPr>
        <w:t xml:space="preserve">Podle </w:t>
      </w:r>
      <w:r w:rsidR="00487C98" w:rsidRPr="002F7A04">
        <w:rPr>
          <w:rFonts w:cs="Arial"/>
          <w:bCs/>
          <w:color w:val="000000" w:themeColor="text1"/>
          <w:sz w:val="22"/>
          <w:szCs w:val="22"/>
        </w:rPr>
        <w:t xml:space="preserve">MMR </w:t>
      </w:r>
      <w:r w:rsidR="00C56A52" w:rsidRPr="002F7A04">
        <w:rPr>
          <w:rFonts w:cs="Arial"/>
          <w:bCs/>
          <w:color w:val="000000" w:themeColor="text1"/>
          <w:sz w:val="22"/>
          <w:szCs w:val="22"/>
        </w:rPr>
        <w:t xml:space="preserve">bylo </w:t>
      </w:r>
      <w:r w:rsidR="004D59FB" w:rsidRPr="002F7A04">
        <w:rPr>
          <w:rFonts w:cs="Arial"/>
          <w:bCs/>
          <w:color w:val="000000" w:themeColor="text1"/>
          <w:sz w:val="22"/>
          <w:szCs w:val="22"/>
        </w:rPr>
        <w:t>k</w:t>
      </w:r>
      <w:r w:rsidR="00EF4ACA" w:rsidRPr="002F7A04">
        <w:rPr>
          <w:rFonts w:cs="Arial"/>
          <w:bCs/>
          <w:color w:val="000000" w:themeColor="text1"/>
          <w:sz w:val="22"/>
          <w:szCs w:val="22"/>
        </w:rPr>
        <w:t> </w:t>
      </w:r>
      <w:r w:rsidR="004D59FB" w:rsidRPr="002F7A04">
        <w:rPr>
          <w:rFonts w:cs="Arial"/>
          <w:bCs/>
          <w:color w:val="000000" w:themeColor="text1"/>
          <w:sz w:val="22"/>
          <w:szCs w:val="22"/>
        </w:rPr>
        <w:t xml:space="preserve">únoru 2014 </w:t>
      </w:r>
      <w:r w:rsidR="007E01A5" w:rsidRPr="002F7A04">
        <w:rPr>
          <w:rFonts w:cs="Arial"/>
          <w:bCs/>
          <w:color w:val="000000" w:themeColor="text1"/>
          <w:sz w:val="22"/>
          <w:szCs w:val="22"/>
        </w:rPr>
        <w:t xml:space="preserve">z plánovaných 2 280 subjektů </w:t>
      </w:r>
      <w:r w:rsidR="004D59FB" w:rsidRPr="002F7A04">
        <w:rPr>
          <w:rFonts w:cs="Arial"/>
          <w:bCs/>
          <w:color w:val="000000" w:themeColor="text1"/>
          <w:sz w:val="22"/>
          <w:szCs w:val="22"/>
        </w:rPr>
        <w:t>celkem 643 subjektů klasifikováno a certifikováno</w:t>
      </w:r>
      <w:r w:rsidR="009C39B3" w:rsidRPr="002F7A04">
        <w:rPr>
          <w:rFonts w:cs="Arial"/>
          <w:bCs/>
          <w:color w:val="000000" w:themeColor="text1"/>
          <w:sz w:val="22"/>
          <w:szCs w:val="22"/>
        </w:rPr>
        <w:t>, ale u</w:t>
      </w:r>
      <w:r w:rsidR="004D59FB" w:rsidRPr="002F7A04">
        <w:rPr>
          <w:rFonts w:cs="Arial"/>
          <w:bCs/>
          <w:color w:val="000000" w:themeColor="text1"/>
          <w:sz w:val="22"/>
          <w:szCs w:val="22"/>
        </w:rPr>
        <w:t>kazatel „počet nově klasifikovaných a</w:t>
      </w:r>
      <w:r w:rsidR="0040367D" w:rsidRPr="002F7A04">
        <w:rPr>
          <w:rFonts w:cs="Arial"/>
          <w:bCs/>
          <w:color w:val="000000" w:themeColor="text1"/>
          <w:sz w:val="22"/>
          <w:szCs w:val="22"/>
        </w:rPr>
        <w:t> </w:t>
      </w:r>
      <w:r w:rsidR="004D59FB" w:rsidRPr="002F7A04">
        <w:rPr>
          <w:rFonts w:cs="Arial"/>
          <w:bCs/>
          <w:color w:val="000000" w:themeColor="text1"/>
          <w:sz w:val="22"/>
          <w:szCs w:val="22"/>
        </w:rPr>
        <w:t>certifikovaných subjektů v</w:t>
      </w:r>
      <w:r w:rsidR="009C39B3" w:rsidRPr="002F7A04">
        <w:rPr>
          <w:rFonts w:cs="Arial"/>
          <w:bCs/>
          <w:color w:val="000000" w:themeColor="text1"/>
          <w:sz w:val="22"/>
          <w:szCs w:val="22"/>
        </w:rPr>
        <w:t xml:space="preserve"> oblasti cestovního ruchu“ </w:t>
      </w:r>
      <w:r w:rsidR="004D59FB" w:rsidRPr="002F7A04">
        <w:rPr>
          <w:rFonts w:cs="Arial"/>
          <w:bCs/>
          <w:color w:val="000000" w:themeColor="text1"/>
          <w:sz w:val="22"/>
          <w:szCs w:val="22"/>
        </w:rPr>
        <w:t xml:space="preserve">nic nevypovídá o počtu subjektů, které získaly značku kvality služeb. </w:t>
      </w:r>
      <w:r w:rsidR="00C56A52" w:rsidRPr="002F7A04">
        <w:rPr>
          <w:rFonts w:cs="Arial"/>
          <w:bCs/>
          <w:color w:val="000000" w:themeColor="text1"/>
          <w:sz w:val="22"/>
          <w:szCs w:val="22"/>
        </w:rPr>
        <w:t>Přestože projekt má být ukončen v červnu 2015, z</w:t>
      </w:r>
      <w:r w:rsidR="004D59FB" w:rsidRPr="002F7A04">
        <w:rPr>
          <w:rFonts w:cs="Arial"/>
          <w:bCs/>
          <w:color w:val="000000" w:themeColor="text1"/>
          <w:sz w:val="22"/>
          <w:szCs w:val="22"/>
        </w:rPr>
        <w:t>načku českého systému kvality služeb získalo zatím jen 12 subjektů.</w:t>
      </w:r>
      <w:r w:rsidR="007E01A5" w:rsidRPr="002F7A04">
        <w:rPr>
          <w:rFonts w:cs="Arial"/>
          <w:bCs/>
          <w:color w:val="000000" w:themeColor="text1"/>
          <w:sz w:val="22"/>
          <w:szCs w:val="22"/>
        </w:rPr>
        <w:t xml:space="preserve"> </w:t>
      </w:r>
    </w:p>
    <w:p w:rsidR="00D23FA5" w:rsidRPr="002F7A04" w:rsidRDefault="00D23FA5" w:rsidP="00D23FA5">
      <w:pPr>
        <w:jc w:val="both"/>
        <w:rPr>
          <w:rFonts w:cs="Arial"/>
          <w:bCs/>
          <w:color w:val="000000" w:themeColor="text1"/>
          <w:sz w:val="22"/>
          <w:szCs w:val="22"/>
        </w:rPr>
      </w:pPr>
    </w:p>
    <w:p w:rsidR="007E01A5" w:rsidRPr="002F7A04" w:rsidRDefault="00C56A52" w:rsidP="00D23FA5">
      <w:pPr>
        <w:jc w:val="both"/>
        <w:rPr>
          <w:rFonts w:cs="Arial"/>
          <w:bCs/>
          <w:color w:val="000000" w:themeColor="text1"/>
          <w:sz w:val="22"/>
          <w:szCs w:val="22"/>
        </w:rPr>
      </w:pPr>
      <w:r w:rsidRPr="002F7A04">
        <w:rPr>
          <w:rFonts w:cs="Arial"/>
          <w:bCs/>
          <w:color w:val="000000" w:themeColor="text1"/>
          <w:sz w:val="22"/>
          <w:szCs w:val="22"/>
        </w:rPr>
        <w:lastRenderedPageBreak/>
        <w:t xml:space="preserve">Z celkových </w:t>
      </w:r>
      <w:r w:rsidR="007E01A5" w:rsidRPr="002F7A04">
        <w:rPr>
          <w:rFonts w:cs="Arial"/>
          <w:bCs/>
          <w:color w:val="000000" w:themeColor="text1"/>
          <w:sz w:val="22"/>
          <w:szCs w:val="22"/>
        </w:rPr>
        <w:t>95 mil. Kč</w:t>
      </w:r>
      <w:r w:rsidRPr="002F7A04">
        <w:rPr>
          <w:rFonts w:cs="Arial"/>
          <w:bCs/>
          <w:color w:val="000000" w:themeColor="text1"/>
          <w:sz w:val="22"/>
          <w:szCs w:val="22"/>
        </w:rPr>
        <w:t xml:space="preserve"> bylo k únoru 2014 </w:t>
      </w:r>
      <w:r w:rsidR="007E01A5" w:rsidRPr="002F7A04">
        <w:rPr>
          <w:rFonts w:cs="Arial"/>
          <w:bCs/>
          <w:color w:val="000000" w:themeColor="text1"/>
          <w:sz w:val="22"/>
          <w:szCs w:val="22"/>
        </w:rPr>
        <w:t>proplaceno na t</w:t>
      </w:r>
      <w:r w:rsidR="00CF2E07" w:rsidRPr="002F7A04">
        <w:rPr>
          <w:rFonts w:cs="Arial"/>
          <w:bCs/>
          <w:color w:val="000000" w:themeColor="text1"/>
          <w:sz w:val="22"/>
          <w:szCs w:val="22"/>
        </w:rPr>
        <w:t xml:space="preserve">ento projekt 41 mil. Kč. MMR proplatilo mimo jiné </w:t>
      </w:r>
      <w:r w:rsidR="00B41A27" w:rsidRPr="002F7A04">
        <w:rPr>
          <w:rFonts w:cs="Arial"/>
          <w:bCs/>
          <w:color w:val="000000" w:themeColor="text1"/>
          <w:sz w:val="22"/>
          <w:szCs w:val="22"/>
        </w:rPr>
        <w:t xml:space="preserve">i výdaje </w:t>
      </w:r>
      <w:r w:rsidR="00CF2E07" w:rsidRPr="002F7A04">
        <w:rPr>
          <w:rFonts w:cs="Arial"/>
          <w:bCs/>
          <w:color w:val="000000" w:themeColor="text1"/>
          <w:sz w:val="22"/>
          <w:szCs w:val="22"/>
        </w:rPr>
        <w:t xml:space="preserve">externí firmě </w:t>
      </w:r>
      <w:r w:rsidR="007E01A5" w:rsidRPr="002F7A04">
        <w:rPr>
          <w:rFonts w:cs="Arial"/>
          <w:bCs/>
          <w:color w:val="000000" w:themeColor="text1"/>
          <w:sz w:val="22"/>
          <w:szCs w:val="22"/>
        </w:rPr>
        <w:t>za právní poradenství za účelem tvorby zadávací dokumentace (definování předmětu, hodnotících kritérií, st</w:t>
      </w:r>
      <w:r w:rsidR="00D23FA5">
        <w:rPr>
          <w:rFonts w:cs="Arial"/>
          <w:bCs/>
          <w:color w:val="000000" w:themeColor="text1"/>
          <w:sz w:val="22"/>
          <w:szCs w:val="22"/>
        </w:rPr>
        <w:t>anovení předpokládané hodnoty a </w:t>
      </w:r>
      <w:r w:rsidR="007E01A5" w:rsidRPr="002F7A04">
        <w:rPr>
          <w:rFonts w:cs="Arial"/>
          <w:bCs/>
          <w:color w:val="000000" w:themeColor="text1"/>
          <w:sz w:val="22"/>
          <w:szCs w:val="22"/>
        </w:rPr>
        <w:t xml:space="preserve">její odůvodnění) a za hodnocení uchazečů </w:t>
      </w:r>
      <w:r w:rsidR="00893827" w:rsidRPr="002F7A04">
        <w:rPr>
          <w:rFonts w:cs="Arial"/>
          <w:bCs/>
          <w:color w:val="000000" w:themeColor="text1"/>
          <w:sz w:val="22"/>
          <w:szCs w:val="22"/>
        </w:rPr>
        <w:t>veřejných zakázek</w:t>
      </w:r>
      <w:r w:rsidR="00CF2E07" w:rsidRPr="002F7A04">
        <w:rPr>
          <w:rFonts w:cs="Arial"/>
          <w:bCs/>
          <w:color w:val="000000" w:themeColor="text1"/>
          <w:sz w:val="22"/>
          <w:szCs w:val="22"/>
        </w:rPr>
        <w:t xml:space="preserve">, ačkoliv </w:t>
      </w:r>
      <w:r w:rsidR="007E01A5" w:rsidRPr="002F7A04">
        <w:rPr>
          <w:rFonts w:cs="Arial"/>
          <w:color w:val="000000" w:themeColor="text1"/>
          <w:sz w:val="22"/>
          <w:szCs w:val="22"/>
        </w:rPr>
        <w:t>provádí metodické řízení procesu zadávání veřejných zakázek a podílí se na přípravě souvisejících právních norem.</w:t>
      </w:r>
      <w:r w:rsidR="007E01A5" w:rsidRPr="002F7A04">
        <w:rPr>
          <w:rFonts w:cs="Arial"/>
          <w:bCs/>
          <w:color w:val="000000" w:themeColor="text1"/>
          <w:sz w:val="22"/>
          <w:szCs w:val="22"/>
        </w:rPr>
        <w:t xml:space="preserve"> Součástí organizační struktury MMR byl odbor veřejného investování, který měl zabezpečovat metodickou a konzultační činnost vůči zadavatelům včetně stanovisek určených útvarům ministerstva</w:t>
      </w:r>
      <w:r w:rsidR="007E01A5" w:rsidRPr="002F7A04">
        <w:rPr>
          <w:rFonts w:cs="Arial"/>
          <w:color w:val="000000" w:themeColor="text1"/>
          <w:sz w:val="22"/>
          <w:szCs w:val="22"/>
        </w:rPr>
        <w:t xml:space="preserve"> k postupům při zadávání veřejných zakázek. </w:t>
      </w:r>
      <w:r w:rsidR="007E01A5" w:rsidRPr="002F7A04">
        <w:rPr>
          <w:rFonts w:cs="Arial"/>
          <w:bCs/>
          <w:color w:val="000000" w:themeColor="text1"/>
          <w:sz w:val="22"/>
          <w:szCs w:val="22"/>
        </w:rPr>
        <w:t xml:space="preserve">Kromě toho pro </w:t>
      </w:r>
      <w:r w:rsidR="00893827" w:rsidRPr="002F7A04">
        <w:rPr>
          <w:rFonts w:cs="Arial"/>
          <w:bCs/>
          <w:color w:val="000000" w:themeColor="text1"/>
          <w:sz w:val="22"/>
          <w:szCs w:val="22"/>
        </w:rPr>
        <w:t>uvedený projekt</w:t>
      </w:r>
      <w:r w:rsidR="007E01A5" w:rsidRPr="002F7A04">
        <w:rPr>
          <w:rFonts w:cs="Arial"/>
          <w:bCs/>
          <w:color w:val="000000" w:themeColor="text1"/>
          <w:sz w:val="22"/>
          <w:szCs w:val="22"/>
        </w:rPr>
        <w:t xml:space="preserve"> vytvořilo pětičlenný projektový tým,</w:t>
      </w:r>
      <w:r w:rsidR="00F94C99" w:rsidRPr="002F7A04">
        <w:rPr>
          <w:rFonts w:cs="Arial"/>
          <w:bCs/>
          <w:color w:val="000000" w:themeColor="text1"/>
          <w:sz w:val="22"/>
          <w:szCs w:val="22"/>
        </w:rPr>
        <w:t xml:space="preserve"> jehož dva členové měli</w:t>
      </w:r>
      <w:r w:rsidR="00893827" w:rsidRPr="002F7A04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7E01A5" w:rsidRPr="002F7A04">
        <w:rPr>
          <w:rFonts w:cs="Arial"/>
          <w:bCs/>
          <w:color w:val="000000" w:themeColor="text1"/>
          <w:sz w:val="22"/>
          <w:szCs w:val="22"/>
        </w:rPr>
        <w:t xml:space="preserve">zajišťovat přípravu a realizaci veřejných zakázek </w:t>
      </w:r>
      <w:r w:rsidR="00893827" w:rsidRPr="002F7A04">
        <w:rPr>
          <w:rFonts w:cs="Arial"/>
          <w:bCs/>
          <w:color w:val="000000" w:themeColor="text1"/>
          <w:sz w:val="22"/>
          <w:szCs w:val="22"/>
        </w:rPr>
        <w:t xml:space="preserve">včetně </w:t>
      </w:r>
      <w:r w:rsidR="007E01A5" w:rsidRPr="002F7A04">
        <w:rPr>
          <w:rFonts w:cs="Arial"/>
          <w:bCs/>
          <w:color w:val="000000" w:themeColor="text1"/>
          <w:sz w:val="22"/>
          <w:szCs w:val="22"/>
        </w:rPr>
        <w:t>dokumentac</w:t>
      </w:r>
      <w:r w:rsidR="00893827" w:rsidRPr="002F7A04">
        <w:rPr>
          <w:rFonts w:cs="Arial"/>
          <w:bCs/>
          <w:color w:val="000000" w:themeColor="text1"/>
          <w:sz w:val="22"/>
          <w:szCs w:val="22"/>
        </w:rPr>
        <w:t>e</w:t>
      </w:r>
      <w:r w:rsidR="007E01A5" w:rsidRPr="002F7A04">
        <w:rPr>
          <w:rFonts w:cs="Arial"/>
          <w:bCs/>
          <w:color w:val="000000" w:themeColor="text1"/>
          <w:sz w:val="22"/>
          <w:szCs w:val="22"/>
        </w:rPr>
        <w:t xml:space="preserve"> zadávacích řízení</w:t>
      </w:r>
      <w:r w:rsidR="00893827" w:rsidRPr="002F7A04">
        <w:rPr>
          <w:rFonts w:cs="Arial"/>
          <w:bCs/>
          <w:color w:val="000000" w:themeColor="text1"/>
          <w:sz w:val="22"/>
          <w:szCs w:val="22"/>
        </w:rPr>
        <w:t>.</w:t>
      </w:r>
      <w:r w:rsidR="007E01A5" w:rsidRPr="002F7A04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CF2E07" w:rsidRPr="002F7A04">
        <w:rPr>
          <w:rFonts w:cs="Arial"/>
          <w:bCs/>
          <w:color w:val="000000" w:themeColor="text1"/>
          <w:sz w:val="22"/>
          <w:szCs w:val="22"/>
        </w:rPr>
        <w:t>MMR tak nehospodárně vynaložilo 230 tis. Kč.</w:t>
      </w:r>
    </w:p>
    <w:p w:rsidR="004D59FB" w:rsidRPr="002F7A04" w:rsidRDefault="004D59FB" w:rsidP="002F7A04">
      <w:pPr>
        <w:jc w:val="both"/>
        <w:rPr>
          <w:rFonts w:cs="Arial"/>
          <w:bCs/>
          <w:color w:val="000000" w:themeColor="text1"/>
          <w:sz w:val="22"/>
          <w:szCs w:val="22"/>
        </w:rPr>
      </w:pPr>
    </w:p>
    <w:p w:rsidR="00F176CC" w:rsidRPr="002F7A04" w:rsidRDefault="002F7A04" w:rsidP="002F7A04">
      <w:pPr>
        <w:jc w:val="both"/>
        <w:rPr>
          <w:rFonts w:cs="Arial"/>
          <w:b/>
          <w:bCs/>
          <w:color w:val="000000" w:themeColor="text1"/>
          <w:sz w:val="22"/>
          <w:szCs w:val="22"/>
        </w:rPr>
      </w:pPr>
      <w:r>
        <w:rPr>
          <w:rFonts w:cs="Arial"/>
          <w:b/>
          <w:bCs/>
          <w:color w:val="000000" w:themeColor="text1"/>
          <w:sz w:val="22"/>
          <w:szCs w:val="22"/>
        </w:rPr>
        <w:t xml:space="preserve">4. </w:t>
      </w:r>
      <w:r w:rsidR="00A264B5" w:rsidRPr="002F7A04">
        <w:rPr>
          <w:rFonts w:cs="Arial"/>
          <w:b/>
          <w:bCs/>
          <w:color w:val="000000" w:themeColor="text1"/>
          <w:sz w:val="22"/>
          <w:szCs w:val="22"/>
        </w:rPr>
        <w:t xml:space="preserve">Podpora cestovního ruchu z vybraných </w:t>
      </w:r>
      <w:r w:rsidR="00B06316">
        <w:rPr>
          <w:rFonts w:cs="Arial"/>
          <w:b/>
          <w:bCs/>
          <w:color w:val="000000" w:themeColor="text1"/>
          <w:sz w:val="22"/>
          <w:szCs w:val="22"/>
        </w:rPr>
        <w:t>r</w:t>
      </w:r>
      <w:r w:rsidR="00A264B5" w:rsidRPr="002F7A04">
        <w:rPr>
          <w:rFonts w:cs="Arial"/>
          <w:b/>
          <w:bCs/>
          <w:color w:val="000000" w:themeColor="text1"/>
          <w:sz w:val="22"/>
          <w:szCs w:val="22"/>
        </w:rPr>
        <w:t>egionálních operačních programů</w:t>
      </w:r>
    </w:p>
    <w:p w:rsidR="00F176CC" w:rsidRPr="002F7A04" w:rsidRDefault="00F176CC" w:rsidP="002F7A04">
      <w:pPr>
        <w:jc w:val="both"/>
        <w:rPr>
          <w:rFonts w:cs="Arial"/>
          <w:bCs/>
          <w:color w:val="000000" w:themeColor="text1"/>
          <w:sz w:val="22"/>
          <w:szCs w:val="22"/>
        </w:rPr>
      </w:pPr>
    </w:p>
    <w:p w:rsidR="008A3E55" w:rsidRPr="002F7A04" w:rsidRDefault="00D10DB0" w:rsidP="002F7A04">
      <w:pPr>
        <w:jc w:val="both"/>
        <w:rPr>
          <w:rFonts w:cs="Arial"/>
          <w:bCs/>
          <w:color w:val="000000" w:themeColor="text1"/>
          <w:sz w:val="22"/>
          <w:szCs w:val="22"/>
        </w:rPr>
      </w:pPr>
      <w:r w:rsidRPr="002F7A04">
        <w:rPr>
          <w:rFonts w:cs="Arial"/>
          <w:bCs/>
          <w:color w:val="000000" w:themeColor="text1"/>
          <w:sz w:val="22"/>
          <w:szCs w:val="22"/>
        </w:rPr>
        <w:t>U čtyř vybraných regionálních operačních programů byla podpora cestovního ruchu poskytována v rámci samostatných prioritních os.</w:t>
      </w:r>
      <w:r w:rsidR="00A264B5" w:rsidRPr="002F7A04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Pr="002F7A04">
        <w:rPr>
          <w:rFonts w:cs="Arial"/>
          <w:bCs/>
          <w:color w:val="000000" w:themeColor="text1"/>
          <w:sz w:val="22"/>
          <w:szCs w:val="22"/>
        </w:rPr>
        <w:t>Podpora byla zaměřena převážně na rozvoj infrastruktury včetně revitalizace památek a kulturního dědictví, rozvoj služ</w:t>
      </w:r>
      <w:r w:rsidR="00BE3A7A" w:rsidRPr="002F7A04">
        <w:rPr>
          <w:rFonts w:cs="Arial"/>
          <w:bCs/>
          <w:color w:val="000000" w:themeColor="text1"/>
          <w:sz w:val="22"/>
          <w:szCs w:val="22"/>
        </w:rPr>
        <w:t>eb a</w:t>
      </w:r>
      <w:r w:rsidR="0040367D" w:rsidRPr="002F7A04">
        <w:rPr>
          <w:rFonts w:cs="Arial"/>
          <w:bCs/>
          <w:color w:val="000000" w:themeColor="text1"/>
          <w:sz w:val="22"/>
          <w:szCs w:val="22"/>
        </w:rPr>
        <w:t> </w:t>
      </w:r>
      <w:r w:rsidR="00BE3A7A" w:rsidRPr="002F7A04">
        <w:rPr>
          <w:rFonts w:cs="Arial"/>
          <w:bCs/>
          <w:color w:val="000000" w:themeColor="text1"/>
          <w:sz w:val="22"/>
          <w:szCs w:val="22"/>
        </w:rPr>
        <w:t>marketingu</w:t>
      </w:r>
      <w:r w:rsidR="00CE7DBE" w:rsidRPr="002F7A04">
        <w:rPr>
          <w:rFonts w:cs="Arial"/>
          <w:bCs/>
          <w:color w:val="000000" w:themeColor="text1"/>
          <w:sz w:val="22"/>
          <w:szCs w:val="22"/>
        </w:rPr>
        <w:t xml:space="preserve">, </w:t>
      </w:r>
      <w:r w:rsidR="00CE7DBE" w:rsidRPr="002F7A04">
        <w:rPr>
          <w:rFonts w:cs="Arial"/>
          <w:color w:val="000000" w:themeColor="text1"/>
          <w:sz w:val="22"/>
          <w:szCs w:val="22"/>
        </w:rPr>
        <w:t>zavádění ICT v oblasti řízení a propagaci cestovního ruchu</w:t>
      </w:r>
      <w:r w:rsidRPr="002F7A04">
        <w:rPr>
          <w:rFonts w:cs="Arial"/>
          <w:bCs/>
          <w:color w:val="000000" w:themeColor="text1"/>
          <w:sz w:val="22"/>
          <w:szCs w:val="22"/>
        </w:rPr>
        <w:t>.</w:t>
      </w:r>
      <w:r w:rsidR="00CE7DBE" w:rsidRPr="002F7A04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BE3A7A" w:rsidRPr="002F7A04">
        <w:rPr>
          <w:rFonts w:cs="Arial"/>
          <w:bCs/>
          <w:color w:val="000000" w:themeColor="text1"/>
          <w:sz w:val="22"/>
          <w:szCs w:val="22"/>
        </w:rPr>
        <w:t xml:space="preserve">Cílem podpory bylo </w:t>
      </w:r>
      <w:r w:rsidR="00BE3A7A" w:rsidRPr="002F7A04">
        <w:rPr>
          <w:rFonts w:cs="Arial"/>
          <w:color w:val="000000" w:themeColor="text1"/>
          <w:sz w:val="22"/>
          <w:szCs w:val="22"/>
        </w:rPr>
        <w:t>zlepšení atraktivnosti regionu, zvýšení efektivnosti využití přírodního a kulturního potenciálu regionu, zvýšení podílu cestovního ruchu na hospodářské prosperitě regionu, zvýšení konkurenceschopnosti a další rozvoj cestovního ruchu v regionu. Očekávanou míru naplnění těchto cílů regionální rady ale nestanovily.</w:t>
      </w:r>
      <w:r w:rsidR="00BE3A7A" w:rsidRPr="002F7A04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CE7DBE" w:rsidRPr="002F7A04">
        <w:rPr>
          <w:rFonts w:cs="Arial"/>
          <w:bCs/>
          <w:color w:val="000000" w:themeColor="text1"/>
          <w:sz w:val="22"/>
          <w:szCs w:val="22"/>
        </w:rPr>
        <w:t>Přínosy p</w:t>
      </w:r>
      <w:r w:rsidR="004D3B92" w:rsidRPr="002F7A04">
        <w:rPr>
          <w:rFonts w:cs="Arial"/>
          <w:bCs/>
          <w:color w:val="000000" w:themeColor="text1"/>
          <w:sz w:val="22"/>
          <w:szCs w:val="22"/>
        </w:rPr>
        <w:t>odpory hodnotily počtem projektů, počtem vybudovaných či zrekonstruovaných ubytovacích zařízení, informačních center, stezek, parkovacích míst, památkových objektů, počtem přístupů na internet, účastí na veletrzích, počtem nově vytvořených pracovních míst</w:t>
      </w:r>
      <w:r w:rsidR="00CE7DBE" w:rsidRPr="002F7A04">
        <w:rPr>
          <w:rFonts w:cs="Arial"/>
          <w:bCs/>
          <w:color w:val="000000" w:themeColor="text1"/>
          <w:sz w:val="22"/>
          <w:szCs w:val="22"/>
        </w:rPr>
        <w:t>, poč</w:t>
      </w:r>
      <w:r w:rsidR="008A3E55" w:rsidRPr="002F7A04">
        <w:rPr>
          <w:rFonts w:cs="Arial"/>
          <w:bCs/>
          <w:color w:val="000000" w:themeColor="text1"/>
          <w:sz w:val="22"/>
          <w:szCs w:val="22"/>
        </w:rPr>
        <w:t>t</w:t>
      </w:r>
      <w:r w:rsidR="00CE7DBE" w:rsidRPr="002F7A04">
        <w:rPr>
          <w:rFonts w:cs="Arial"/>
          <w:bCs/>
          <w:color w:val="000000" w:themeColor="text1"/>
          <w:sz w:val="22"/>
          <w:szCs w:val="22"/>
        </w:rPr>
        <w:t>em</w:t>
      </w:r>
      <w:r w:rsidR="008A3E55" w:rsidRPr="002F7A04">
        <w:rPr>
          <w:rFonts w:cs="Arial"/>
          <w:bCs/>
          <w:color w:val="000000" w:themeColor="text1"/>
          <w:sz w:val="22"/>
          <w:szCs w:val="22"/>
        </w:rPr>
        <w:t xml:space="preserve"> přenocování návštěvníků </w:t>
      </w:r>
      <w:r w:rsidR="00CE7DBE" w:rsidRPr="002F7A04">
        <w:rPr>
          <w:rFonts w:cs="Arial"/>
          <w:bCs/>
          <w:color w:val="000000" w:themeColor="text1"/>
          <w:sz w:val="22"/>
          <w:szCs w:val="22"/>
        </w:rPr>
        <w:t>v regionu, p</w:t>
      </w:r>
      <w:r w:rsidR="008F6E82" w:rsidRPr="002F7A04">
        <w:rPr>
          <w:rFonts w:eastAsia="Batang" w:cs="Arial"/>
          <w:color w:val="000000" w:themeColor="text1"/>
          <w:sz w:val="22"/>
          <w:szCs w:val="22"/>
          <w:lang w:eastAsia="ko-KR"/>
        </w:rPr>
        <w:t>odíl</w:t>
      </w:r>
      <w:r w:rsidR="00CE7DBE" w:rsidRPr="002F7A04">
        <w:rPr>
          <w:rFonts w:eastAsia="Batang" w:cs="Arial"/>
          <w:color w:val="000000" w:themeColor="text1"/>
          <w:sz w:val="22"/>
          <w:szCs w:val="22"/>
          <w:lang w:eastAsia="ko-KR"/>
        </w:rPr>
        <w:t>em</w:t>
      </w:r>
      <w:r w:rsidR="008F6E82" w:rsidRPr="002F7A04">
        <w:rPr>
          <w:rFonts w:eastAsia="Batang" w:cs="Arial"/>
          <w:color w:val="000000" w:themeColor="text1"/>
          <w:sz w:val="22"/>
          <w:szCs w:val="22"/>
          <w:lang w:eastAsia="ko-KR"/>
        </w:rPr>
        <w:t xml:space="preserve"> návštěvnosti hostů v ubytovacích zařízeních regionu na návštěvnosti ČR</w:t>
      </w:r>
      <w:r w:rsidR="00CE7DBE" w:rsidRPr="002F7A04">
        <w:rPr>
          <w:rFonts w:eastAsia="Batang" w:cs="Arial"/>
          <w:color w:val="000000" w:themeColor="text1"/>
          <w:sz w:val="22"/>
          <w:szCs w:val="22"/>
          <w:lang w:eastAsia="ko-KR"/>
        </w:rPr>
        <w:t>, v</w:t>
      </w:r>
      <w:r w:rsidR="004A24F1" w:rsidRPr="002F7A04">
        <w:rPr>
          <w:rFonts w:cs="Arial"/>
          <w:color w:val="000000" w:themeColor="text1"/>
          <w:sz w:val="22"/>
          <w:szCs w:val="22"/>
        </w:rPr>
        <w:t>yužití</w:t>
      </w:r>
      <w:r w:rsidR="00CE7DBE" w:rsidRPr="002F7A04">
        <w:rPr>
          <w:rFonts w:cs="Arial"/>
          <w:color w:val="000000" w:themeColor="text1"/>
          <w:sz w:val="22"/>
          <w:szCs w:val="22"/>
        </w:rPr>
        <w:t>m</w:t>
      </w:r>
      <w:r w:rsidR="004A24F1" w:rsidRPr="002F7A04">
        <w:rPr>
          <w:rFonts w:cs="Arial"/>
          <w:color w:val="000000" w:themeColor="text1"/>
          <w:sz w:val="22"/>
          <w:szCs w:val="22"/>
        </w:rPr>
        <w:t xml:space="preserve"> kapacity ubytovacíc</w:t>
      </w:r>
      <w:r w:rsidR="00CE7DBE" w:rsidRPr="002F7A04">
        <w:rPr>
          <w:rFonts w:cs="Arial"/>
          <w:color w:val="000000" w:themeColor="text1"/>
          <w:sz w:val="22"/>
          <w:szCs w:val="22"/>
        </w:rPr>
        <w:t xml:space="preserve">h zařízení apod. </w:t>
      </w:r>
    </w:p>
    <w:p w:rsidR="0022667A" w:rsidRPr="002F7A04" w:rsidRDefault="0022667A" w:rsidP="002F7A04">
      <w:pPr>
        <w:jc w:val="both"/>
        <w:rPr>
          <w:rFonts w:cs="Arial"/>
          <w:bCs/>
          <w:color w:val="000000" w:themeColor="text1"/>
          <w:sz w:val="22"/>
          <w:szCs w:val="22"/>
        </w:rPr>
      </w:pPr>
    </w:p>
    <w:p w:rsidR="002F7A04" w:rsidRDefault="0022667A" w:rsidP="002F7A04">
      <w:pPr>
        <w:jc w:val="both"/>
        <w:rPr>
          <w:rFonts w:cs="Arial"/>
          <w:bCs/>
          <w:color w:val="000000" w:themeColor="text1"/>
          <w:sz w:val="22"/>
          <w:szCs w:val="22"/>
        </w:rPr>
      </w:pPr>
      <w:r w:rsidRPr="002F7A04">
        <w:rPr>
          <w:rFonts w:cs="Arial"/>
          <w:bCs/>
          <w:color w:val="000000" w:themeColor="text1"/>
          <w:sz w:val="22"/>
          <w:szCs w:val="22"/>
        </w:rPr>
        <w:t>V rámci čtyř regionálních operačních programů se kontrola zaměřila na 13 projektů, které realizovalo 11 příjemců</w:t>
      </w:r>
      <w:r w:rsidR="00D23FA5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Pr="002F7A04">
        <w:rPr>
          <w:rFonts w:cs="Arial"/>
          <w:bCs/>
          <w:color w:val="000000" w:themeColor="text1"/>
          <w:sz w:val="22"/>
          <w:szCs w:val="22"/>
        </w:rPr>
        <w:t>dotace</w:t>
      </w:r>
      <w:r w:rsidR="00D23FA5">
        <w:rPr>
          <w:rFonts w:cs="Arial"/>
          <w:bCs/>
          <w:color w:val="000000" w:themeColor="text1"/>
          <w:sz w:val="22"/>
          <w:szCs w:val="22"/>
        </w:rPr>
        <w:t>,</w:t>
      </w:r>
      <w:r w:rsidRPr="002F7A04">
        <w:rPr>
          <w:rFonts w:cs="Arial"/>
          <w:bCs/>
          <w:color w:val="000000" w:themeColor="text1"/>
          <w:sz w:val="22"/>
          <w:szCs w:val="22"/>
        </w:rPr>
        <w:t xml:space="preserve"> s celkovými finančními potřebami ve výši </w:t>
      </w:r>
      <w:r w:rsidR="00A963C5" w:rsidRPr="002F7A04">
        <w:rPr>
          <w:rFonts w:cs="Arial"/>
          <w:bCs/>
          <w:color w:val="000000" w:themeColor="text1"/>
          <w:sz w:val="22"/>
          <w:szCs w:val="22"/>
        </w:rPr>
        <w:t>954</w:t>
      </w:r>
      <w:r w:rsidR="00B56DD4" w:rsidRPr="002F7A04">
        <w:rPr>
          <w:rFonts w:cs="Arial"/>
          <w:bCs/>
          <w:color w:val="000000" w:themeColor="text1"/>
          <w:sz w:val="22"/>
          <w:szCs w:val="22"/>
        </w:rPr>
        <w:t xml:space="preserve"> mil. Kč</w:t>
      </w:r>
      <w:r w:rsidRPr="002F7A04">
        <w:rPr>
          <w:rFonts w:cs="Arial"/>
          <w:bCs/>
          <w:color w:val="000000" w:themeColor="text1"/>
          <w:sz w:val="22"/>
          <w:szCs w:val="22"/>
        </w:rPr>
        <w:t>, z toho dotace</w:t>
      </w:r>
      <w:r w:rsidR="00B56DD4" w:rsidRPr="002F7A04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Pr="002F7A04">
        <w:rPr>
          <w:rFonts w:cs="Arial"/>
          <w:bCs/>
          <w:color w:val="000000" w:themeColor="text1"/>
          <w:sz w:val="22"/>
          <w:szCs w:val="22"/>
        </w:rPr>
        <w:t xml:space="preserve">z prostředků </w:t>
      </w:r>
      <w:r w:rsidRPr="00176A44">
        <w:rPr>
          <w:rFonts w:cs="Arial"/>
          <w:bCs/>
          <w:i/>
          <w:color w:val="000000" w:themeColor="text1"/>
          <w:sz w:val="22"/>
          <w:szCs w:val="22"/>
        </w:rPr>
        <w:t>Evropského fondu pro regionální rozvoj</w:t>
      </w:r>
      <w:r w:rsidRPr="002F7A04">
        <w:rPr>
          <w:rFonts w:cs="Arial"/>
          <w:bCs/>
          <w:color w:val="000000" w:themeColor="text1"/>
          <w:sz w:val="22"/>
          <w:szCs w:val="22"/>
        </w:rPr>
        <w:t xml:space="preserve"> a z národních zdrojů činila </w:t>
      </w:r>
      <w:r w:rsidR="00A963C5" w:rsidRPr="002F7A04">
        <w:rPr>
          <w:rFonts w:cs="Arial"/>
          <w:bCs/>
          <w:color w:val="000000" w:themeColor="text1"/>
          <w:sz w:val="22"/>
          <w:szCs w:val="22"/>
        </w:rPr>
        <w:t>600</w:t>
      </w:r>
      <w:r w:rsidR="0040367D" w:rsidRPr="002F7A04">
        <w:rPr>
          <w:rFonts w:cs="Arial"/>
          <w:bCs/>
          <w:color w:val="000000" w:themeColor="text1"/>
          <w:sz w:val="22"/>
          <w:szCs w:val="22"/>
        </w:rPr>
        <w:t> </w:t>
      </w:r>
      <w:r w:rsidR="00B56DD4" w:rsidRPr="002F7A04">
        <w:rPr>
          <w:rFonts w:cs="Arial"/>
          <w:bCs/>
          <w:color w:val="000000" w:themeColor="text1"/>
          <w:sz w:val="22"/>
          <w:szCs w:val="22"/>
        </w:rPr>
        <w:t>mil. Kč</w:t>
      </w:r>
      <w:r w:rsidR="00A963C5" w:rsidRPr="002F7A04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D23FA5">
        <w:rPr>
          <w:rFonts w:cs="Arial"/>
          <w:bCs/>
          <w:color w:val="000000" w:themeColor="text1"/>
          <w:sz w:val="22"/>
          <w:szCs w:val="22"/>
        </w:rPr>
        <w:t>(</w:t>
      </w:r>
      <w:r w:rsidR="00A963C5" w:rsidRPr="002F7A04">
        <w:rPr>
          <w:rFonts w:cs="Arial"/>
          <w:bCs/>
          <w:color w:val="000000" w:themeColor="text1"/>
          <w:sz w:val="22"/>
          <w:szCs w:val="22"/>
        </w:rPr>
        <w:t>viz příloha</w:t>
      </w:r>
      <w:r w:rsidR="00D23FA5">
        <w:rPr>
          <w:rFonts w:cs="Arial"/>
          <w:bCs/>
          <w:color w:val="000000" w:themeColor="text1"/>
          <w:sz w:val="22"/>
          <w:szCs w:val="22"/>
        </w:rPr>
        <w:t>)</w:t>
      </w:r>
      <w:r w:rsidRPr="002F7A04">
        <w:rPr>
          <w:rFonts w:cs="Arial"/>
          <w:bCs/>
          <w:color w:val="000000" w:themeColor="text1"/>
          <w:sz w:val="22"/>
          <w:szCs w:val="22"/>
        </w:rPr>
        <w:t>.</w:t>
      </w:r>
      <w:r w:rsidR="00127F41" w:rsidRPr="002F7A04">
        <w:rPr>
          <w:rFonts w:cs="Arial"/>
          <w:bCs/>
          <w:color w:val="000000" w:themeColor="text1"/>
          <w:sz w:val="22"/>
          <w:szCs w:val="22"/>
        </w:rPr>
        <w:t xml:space="preserve"> Zjištěn</w:t>
      </w:r>
      <w:r w:rsidR="001C3F57" w:rsidRPr="002F7A04">
        <w:rPr>
          <w:rFonts w:cs="Arial"/>
          <w:bCs/>
          <w:color w:val="000000" w:themeColor="text1"/>
          <w:sz w:val="22"/>
          <w:szCs w:val="22"/>
        </w:rPr>
        <w:t>é nedostatky u příjemců podpory se týkaly</w:t>
      </w:r>
      <w:r w:rsidR="00127F41" w:rsidRPr="002F7A04">
        <w:rPr>
          <w:rFonts w:cs="Arial"/>
          <w:bCs/>
          <w:color w:val="000000" w:themeColor="text1"/>
          <w:sz w:val="22"/>
          <w:szCs w:val="22"/>
        </w:rPr>
        <w:t xml:space="preserve"> převážně oblasti zadávání a re</w:t>
      </w:r>
      <w:r w:rsidR="001C3F57" w:rsidRPr="002F7A04">
        <w:rPr>
          <w:rFonts w:cs="Arial"/>
          <w:bCs/>
          <w:color w:val="000000" w:themeColor="text1"/>
          <w:sz w:val="22"/>
          <w:szCs w:val="22"/>
        </w:rPr>
        <w:t>alizace veřejných zakázek a měly</w:t>
      </w:r>
      <w:r w:rsidR="00127F41" w:rsidRPr="002F7A04">
        <w:rPr>
          <w:rFonts w:cs="Arial"/>
          <w:bCs/>
          <w:color w:val="000000" w:themeColor="text1"/>
          <w:sz w:val="22"/>
          <w:szCs w:val="22"/>
        </w:rPr>
        <w:t xml:space="preserve"> formální nebo méně významný charakter.</w:t>
      </w:r>
    </w:p>
    <w:p w:rsidR="0022667A" w:rsidRPr="002F7A04" w:rsidRDefault="0022667A" w:rsidP="002F7A04">
      <w:pPr>
        <w:jc w:val="both"/>
        <w:rPr>
          <w:rFonts w:cs="Arial"/>
          <w:bCs/>
          <w:color w:val="000000" w:themeColor="text1"/>
          <w:sz w:val="22"/>
          <w:szCs w:val="22"/>
        </w:rPr>
      </w:pPr>
    </w:p>
    <w:p w:rsidR="00BC0D11" w:rsidRPr="002F7A04" w:rsidRDefault="00BC0D11" w:rsidP="002F7A04">
      <w:pPr>
        <w:jc w:val="both"/>
        <w:rPr>
          <w:rFonts w:cs="Arial"/>
          <w:color w:val="000000" w:themeColor="text1"/>
          <w:sz w:val="22"/>
          <w:szCs w:val="22"/>
        </w:rPr>
      </w:pPr>
    </w:p>
    <w:p w:rsidR="00F51E7A" w:rsidRPr="002F7A04" w:rsidRDefault="00F51E7A" w:rsidP="002F7A04">
      <w:pPr>
        <w:jc w:val="center"/>
        <w:rPr>
          <w:rFonts w:cs="Arial"/>
          <w:color w:val="000000" w:themeColor="text1"/>
        </w:rPr>
      </w:pPr>
      <w:r w:rsidRPr="002F7A04">
        <w:rPr>
          <w:rFonts w:cs="Arial"/>
          <w:b/>
          <w:color w:val="000000" w:themeColor="text1"/>
        </w:rPr>
        <w:t>III. Shrnutí a vyhodnocení</w:t>
      </w:r>
    </w:p>
    <w:p w:rsidR="0054490F" w:rsidRPr="002F7A04" w:rsidRDefault="0054490F" w:rsidP="002F7A04">
      <w:pPr>
        <w:pStyle w:val="Odstavecseseznamem"/>
        <w:ind w:left="0"/>
        <w:contextualSpacing w:val="0"/>
        <w:jc w:val="both"/>
        <w:rPr>
          <w:rFonts w:cs="Arial"/>
          <w:color w:val="000000" w:themeColor="text1"/>
        </w:rPr>
      </w:pPr>
    </w:p>
    <w:p w:rsidR="00306FFA" w:rsidRPr="002F7A04" w:rsidRDefault="005509EC" w:rsidP="002F7A04">
      <w:pPr>
        <w:pStyle w:val="Odstavecseseznamem"/>
        <w:ind w:left="0"/>
        <w:contextualSpacing w:val="0"/>
        <w:jc w:val="both"/>
        <w:rPr>
          <w:rFonts w:cs="Arial"/>
          <w:color w:val="000000" w:themeColor="text1"/>
          <w:sz w:val="22"/>
          <w:szCs w:val="22"/>
        </w:rPr>
      </w:pPr>
      <w:r w:rsidRPr="002F7A04">
        <w:rPr>
          <w:rFonts w:cs="Arial"/>
          <w:color w:val="000000" w:themeColor="text1"/>
          <w:sz w:val="22"/>
          <w:szCs w:val="22"/>
        </w:rPr>
        <w:t xml:space="preserve">MMR ve schválené Koncepci 2007–2013 stanovilo strategické cíle spočívající v posílení cestovního ruchu v národním hospodářství, ale nestanovilo očekávanou míru naplnění těchto cílů. </w:t>
      </w:r>
      <w:r w:rsidR="00306FFA" w:rsidRPr="002F7A04">
        <w:rPr>
          <w:rFonts w:cs="Arial"/>
          <w:color w:val="000000" w:themeColor="text1"/>
          <w:sz w:val="22"/>
          <w:szCs w:val="22"/>
        </w:rPr>
        <w:t>MMR vykázalo, že od konce roku 2007 do června 2013 bylo na podporu cestovního ruchu vynaloženo nejméně 49 000 mil. Kč z prostředků fondů Evropské unie a národních zdrojů v rámci různých programů a nástrojů. Výkonnost cestovního ruchu přitom stagnovala nebo klesala.</w:t>
      </w:r>
    </w:p>
    <w:p w:rsidR="00306FFA" w:rsidRPr="002F7A04" w:rsidRDefault="00306FFA" w:rsidP="002F7A04">
      <w:pPr>
        <w:pStyle w:val="Odstavecseseznamem"/>
        <w:ind w:left="0"/>
        <w:contextualSpacing w:val="0"/>
        <w:jc w:val="both"/>
        <w:rPr>
          <w:rFonts w:cs="Arial"/>
          <w:color w:val="000000" w:themeColor="text1"/>
          <w:sz w:val="22"/>
          <w:szCs w:val="22"/>
        </w:rPr>
      </w:pPr>
    </w:p>
    <w:p w:rsidR="00D03C19" w:rsidRPr="002F7A04" w:rsidRDefault="00946216" w:rsidP="002F7A04">
      <w:pPr>
        <w:pStyle w:val="Odstavecseseznamem"/>
        <w:ind w:left="0"/>
        <w:contextualSpacing w:val="0"/>
        <w:jc w:val="both"/>
        <w:rPr>
          <w:rFonts w:cs="Arial"/>
          <w:color w:val="000000" w:themeColor="text1"/>
          <w:sz w:val="22"/>
          <w:szCs w:val="22"/>
        </w:rPr>
      </w:pPr>
      <w:r w:rsidRPr="002F7A04">
        <w:rPr>
          <w:rFonts w:cs="Arial"/>
          <w:color w:val="000000" w:themeColor="text1"/>
          <w:sz w:val="22"/>
          <w:szCs w:val="22"/>
        </w:rPr>
        <w:t>Systém poskytování a hodnocení podpory cestovního ruchu nezajišťuje, aby podpor</w:t>
      </w:r>
      <w:r w:rsidR="00780B95" w:rsidRPr="002F7A04">
        <w:rPr>
          <w:rFonts w:cs="Arial"/>
          <w:color w:val="000000" w:themeColor="text1"/>
          <w:sz w:val="22"/>
          <w:szCs w:val="22"/>
        </w:rPr>
        <w:t>a</w:t>
      </w:r>
      <w:r w:rsidRPr="002F7A04">
        <w:rPr>
          <w:rFonts w:cs="Arial"/>
          <w:color w:val="000000" w:themeColor="text1"/>
          <w:sz w:val="22"/>
          <w:szCs w:val="22"/>
        </w:rPr>
        <w:t xml:space="preserve"> cestovního ruchu byla průkazně a uceleně</w:t>
      </w:r>
      <w:r w:rsidR="008F03CF" w:rsidRPr="002F7A04">
        <w:rPr>
          <w:rFonts w:cs="Arial"/>
          <w:color w:val="000000" w:themeColor="text1"/>
          <w:sz w:val="22"/>
          <w:szCs w:val="22"/>
        </w:rPr>
        <w:t xml:space="preserve"> koordinována a</w:t>
      </w:r>
      <w:r w:rsidR="00481C83" w:rsidRPr="002F7A04">
        <w:rPr>
          <w:rFonts w:cs="Arial"/>
          <w:color w:val="000000" w:themeColor="text1"/>
          <w:sz w:val="22"/>
          <w:szCs w:val="22"/>
        </w:rPr>
        <w:t xml:space="preserve"> monitorována a aby zaměření a </w:t>
      </w:r>
      <w:r w:rsidRPr="002F7A04">
        <w:rPr>
          <w:rFonts w:cs="Arial"/>
          <w:color w:val="000000" w:themeColor="text1"/>
          <w:sz w:val="22"/>
          <w:szCs w:val="22"/>
        </w:rPr>
        <w:t>výše podpory cestovního ruchu byly stanoveny na základě průkazného a uceleného vyhodnocení přínosů již poskytnuté podpory v minulých letech. MMR k takovému monitorování a hodnocení nemá dostatečné nástroje.</w:t>
      </w:r>
      <w:r w:rsidR="00424DD9" w:rsidRPr="002F7A04">
        <w:rPr>
          <w:rFonts w:cs="Arial"/>
          <w:color w:val="000000" w:themeColor="text1"/>
          <w:sz w:val="22"/>
          <w:szCs w:val="22"/>
        </w:rPr>
        <w:t xml:space="preserve"> Přínosy podpory pro rozvoj cestovního ruchu </w:t>
      </w:r>
      <w:r w:rsidR="004449EC" w:rsidRPr="002F7A04">
        <w:rPr>
          <w:rFonts w:cs="Arial"/>
          <w:color w:val="000000" w:themeColor="text1"/>
          <w:sz w:val="22"/>
          <w:szCs w:val="22"/>
        </w:rPr>
        <w:t xml:space="preserve">však </w:t>
      </w:r>
      <w:r w:rsidR="00176E0C" w:rsidRPr="002F7A04">
        <w:rPr>
          <w:rFonts w:cs="Arial"/>
          <w:color w:val="000000" w:themeColor="text1"/>
          <w:sz w:val="22"/>
          <w:szCs w:val="22"/>
        </w:rPr>
        <w:t>nesledovali</w:t>
      </w:r>
      <w:r w:rsidR="00B06316">
        <w:rPr>
          <w:rFonts w:cs="Arial"/>
          <w:color w:val="000000" w:themeColor="text1"/>
          <w:sz w:val="22"/>
          <w:szCs w:val="22"/>
        </w:rPr>
        <w:t xml:space="preserve"> </w:t>
      </w:r>
      <w:r w:rsidR="00B06316" w:rsidRPr="002F7A04">
        <w:rPr>
          <w:rFonts w:cs="Arial"/>
          <w:color w:val="000000" w:themeColor="text1"/>
          <w:sz w:val="22"/>
          <w:szCs w:val="22"/>
        </w:rPr>
        <w:t>dostatečně</w:t>
      </w:r>
      <w:r w:rsidR="00176E0C" w:rsidRPr="002F7A04">
        <w:rPr>
          <w:rFonts w:cs="Arial"/>
          <w:color w:val="000000" w:themeColor="text1"/>
          <w:sz w:val="22"/>
          <w:szCs w:val="22"/>
        </w:rPr>
        <w:t xml:space="preserve"> ani sami kontrolovaní poskytovatelé podpory</w:t>
      </w:r>
      <w:r w:rsidR="00B06316">
        <w:rPr>
          <w:rFonts w:cs="Arial"/>
          <w:color w:val="000000" w:themeColor="text1"/>
          <w:sz w:val="22"/>
          <w:szCs w:val="22"/>
        </w:rPr>
        <w:t>,</w:t>
      </w:r>
      <w:r w:rsidR="00176E0C" w:rsidRPr="002F7A04">
        <w:rPr>
          <w:rFonts w:cs="Arial"/>
          <w:color w:val="000000" w:themeColor="text1"/>
          <w:sz w:val="22"/>
          <w:szCs w:val="22"/>
        </w:rPr>
        <w:t xml:space="preserve"> tj. MMR </w:t>
      </w:r>
      <w:r w:rsidR="00481C83" w:rsidRPr="002F7A04">
        <w:rPr>
          <w:rFonts w:cs="Arial"/>
          <w:color w:val="000000" w:themeColor="text1"/>
          <w:sz w:val="22"/>
          <w:szCs w:val="22"/>
        </w:rPr>
        <w:t>u </w:t>
      </w:r>
      <w:r w:rsidR="004449EC" w:rsidRPr="00176A44">
        <w:rPr>
          <w:rFonts w:cs="Arial"/>
          <w:i/>
          <w:color w:val="000000" w:themeColor="text1"/>
          <w:sz w:val="22"/>
          <w:szCs w:val="22"/>
        </w:rPr>
        <w:t>Národního programu podpory cestovního ruchu</w:t>
      </w:r>
      <w:r w:rsidR="004449EC" w:rsidRPr="002F7A04">
        <w:rPr>
          <w:rFonts w:cs="Arial"/>
          <w:color w:val="000000" w:themeColor="text1"/>
          <w:sz w:val="22"/>
          <w:szCs w:val="22"/>
        </w:rPr>
        <w:t xml:space="preserve"> a </w:t>
      </w:r>
      <w:r w:rsidR="004449EC" w:rsidRPr="00176A44">
        <w:rPr>
          <w:rFonts w:cs="Arial"/>
          <w:i/>
          <w:color w:val="000000" w:themeColor="text1"/>
          <w:sz w:val="22"/>
          <w:szCs w:val="22"/>
        </w:rPr>
        <w:t>Integrovaného operačního programu</w:t>
      </w:r>
      <w:r w:rsidR="00481C83" w:rsidRPr="002F7A04">
        <w:rPr>
          <w:rFonts w:cs="Arial"/>
          <w:color w:val="000000" w:themeColor="text1"/>
          <w:sz w:val="22"/>
          <w:szCs w:val="22"/>
        </w:rPr>
        <w:t xml:space="preserve"> a </w:t>
      </w:r>
      <w:r w:rsidR="00176E0C" w:rsidRPr="002F7A04">
        <w:rPr>
          <w:rFonts w:cs="Arial"/>
          <w:color w:val="000000" w:themeColor="text1"/>
          <w:sz w:val="22"/>
          <w:szCs w:val="22"/>
        </w:rPr>
        <w:t xml:space="preserve">čtyři </w:t>
      </w:r>
      <w:r w:rsidR="004449EC" w:rsidRPr="002F7A04">
        <w:rPr>
          <w:rFonts w:cs="Arial"/>
          <w:color w:val="000000" w:themeColor="text1"/>
          <w:sz w:val="22"/>
          <w:szCs w:val="22"/>
        </w:rPr>
        <w:t>regionální rady u</w:t>
      </w:r>
      <w:r w:rsidR="00176E0C" w:rsidRPr="002F7A04">
        <w:rPr>
          <w:rFonts w:cs="Arial"/>
          <w:color w:val="000000" w:themeColor="text1"/>
          <w:sz w:val="22"/>
          <w:szCs w:val="22"/>
        </w:rPr>
        <w:t xml:space="preserve"> </w:t>
      </w:r>
      <w:r w:rsidR="00424DD9" w:rsidRPr="002F7A04">
        <w:rPr>
          <w:rFonts w:cs="Arial"/>
          <w:color w:val="000000" w:themeColor="text1"/>
          <w:sz w:val="22"/>
          <w:szCs w:val="22"/>
        </w:rPr>
        <w:t>regionálních operačních programů</w:t>
      </w:r>
      <w:r w:rsidR="00176E0C" w:rsidRPr="002F7A04">
        <w:rPr>
          <w:rFonts w:cs="Arial"/>
          <w:color w:val="000000" w:themeColor="text1"/>
          <w:sz w:val="22"/>
          <w:szCs w:val="22"/>
        </w:rPr>
        <w:t>.</w:t>
      </w:r>
      <w:r w:rsidR="00C272F1" w:rsidRPr="002F7A04">
        <w:rPr>
          <w:rFonts w:cs="Arial"/>
          <w:color w:val="000000" w:themeColor="text1"/>
          <w:sz w:val="22"/>
          <w:szCs w:val="22"/>
        </w:rPr>
        <w:t xml:space="preserve"> </w:t>
      </w:r>
    </w:p>
    <w:p w:rsidR="000E0A43" w:rsidRPr="002F7A04" w:rsidRDefault="000E0A43" w:rsidP="002F7A04">
      <w:pPr>
        <w:pStyle w:val="Odstavecseseznamem"/>
        <w:ind w:left="0"/>
        <w:contextualSpacing w:val="0"/>
        <w:jc w:val="both"/>
        <w:rPr>
          <w:rFonts w:cs="Arial"/>
          <w:color w:val="000000" w:themeColor="text1"/>
          <w:sz w:val="22"/>
          <w:szCs w:val="22"/>
        </w:rPr>
      </w:pPr>
    </w:p>
    <w:p w:rsidR="00561110" w:rsidRDefault="00561110">
      <w:pPr>
        <w:spacing w:after="200" w:line="276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br w:type="page"/>
      </w:r>
    </w:p>
    <w:p w:rsidR="008F03CF" w:rsidRPr="002F7A04" w:rsidRDefault="00117516" w:rsidP="002F7A04">
      <w:pPr>
        <w:pStyle w:val="Odstavecseseznamem"/>
        <w:ind w:left="0"/>
        <w:contextualSpacing w:val="0"/>
        <w:jc w:val="both"/>
        <w:rPr>
          <w:rFonts w:cs="Arial"/>
          <w:color w:val="000000" w:themeColor="text1"/>
          <w:sz w:val="22"/>
          <w:szCs w:val="22"/>
        </w:rPr>
      </w:pPr>
      <w:r w:rsidRPr="002F7A04">
        <w:rPr>
          <w:rFonts w:cs="Arial"/>
          <w:color w:val="000000" w:themeColor="text1"/>
          <w:sz w:val="22"/>
          <w:szCs w:val="22"/>
        </w:rPr>
        <w:lastRenderedPageBreak/>
        <w:t>Hodnocení žádostí o podporu z </w:t>
      </w:r>
      <w:r w:rsidRPr="00176A44">
        <w:rPr>
          <w:rFonts w:cs="Arial"/>
          <w:i/>
          <w:color w:val="000000" w:themeColor="text1"/>
          <w:sz w:val="22"/>
          <w:szCs w:val="22"/>
        </w:rPr>
        <w:t>Národního programu podpory cestovního ruchu</w:t>
      </w:r>
      <w:r w:rsidRPr="002F7A04">
        <w:rPr>
          <w:rFonts w:cs="Arial"/>
          <w:color w:val="000000" w:themeColor="text1"/>
          <w:sz w:val="22"/>
          <w:szCs w:val="22"/>
        </w:rPr>
        <w:t xml:space="preserve"> </w:t>
      </w:r>
      <w:r w:rsidR="00C534D2" w:rsidRPr="002F7A04">
        <w:rPr>
          <w:rFonts w:cs="Arial"/>
          <w:color w:val="000000" w:themeColor="text1"/>
          <w:sz w:val="22"/>
          <w:szCs w:val="22"/>
        </w:rPr>
        <w:t xml:space="preserve">bylo vysoce subjektivní. Program měl zpřístupnit cestovní ruch znevýhodněným skupinám obyvatel (rodinám s dětmi, mládeži, seniorům, </w:t>
      </w:r>
      <w:r w:rsidR="002B11F8">
        <w:rPr>
          <w:rFonts w:cs="Arial"/>
          <w:color w:val="000000" w:themeColor="text1"/>
          <w:sz w:val="22"/>
          <w:szCs w:val="22"/>
        </w:rPr>
        <w:t>hendikepovaným</w:t>
      </w:r>
      <w:r w:rsidR="00C534D2" w:rsidRPr="002F7A04">
        <w:rPr>
          <w:rFonts w:cs="Arial"/>
          <w:color w:val="000000" w:themeColor="text1"/>
          <w:sz w:val="22"/>
          <w:szCs w:val="22"/>
        </w:rPr>
        <w:t xml:space="preserve"> osobám</w:t>
      </w:r>
      <w:r w:rsidR="005652D5" w:rsidRPr="002F7A04">
        <w:rPr>
          <w:rFonts w:cs="Arial"/>
          <w:color w:val="000000" w:themeColor="text1"/>
          <w:sz w:val="22"/>
          <w:szCs w:val="22"/>
        </w:rPr>
        <w:t xml:space="preserve"> apod.</w:t>
      </w:r>
      <w:r w:rsidR="00986CED" w:rsidRPr="002F7A04">
        <w:rPr>
          <w:rFonts w:cs="Arial"/>
          <w:color w:val="000000" w:themeColor="text1"/>
          <w:sz w:val="22"/>
          <w:szCs w:val="22"/>
        </w:rPr>
        <w:t xml:space="preserve">), MMR </w:t>
      </w:r>
      <w:r w:rsidR="00C534D2" w:rsidRPr="002F7A04">
        <w:rPr>
          <w:rFonts w:cs="Arial"/>
          <w:color w:val="000000" w:themeColor="text1"/>
          <w:sz w:val="22"/>
          <w:szCs w:val="22"/>
        </w:rPr>
        <w:t xml:space="preserve">ale </w:t>
      </w:r>
      <w:r w:rsidR="00E726AA" w:rsidRPr="002F7A04">
        <w:rPr>
          <w:rFonts w:cs="Arial"/>
          <w:color w:val="000000" w:themeColor="text1"/>
          <w:sz w:val="22"/>
          <w:szCs w:val="22"/>
        </w:rPr>
        <w:t>nesledovalo</w:t>
      </w:r>
      <w:r w:rsidR="00C534D2" w:rsidRPr="002F7A04">
        <w:rPr>
          <w:rFonts w:cs="Arial"/>
          <w:color w:val="000000" w:themeColor="text1"/>
          <w:sz w:val="22"/>
          <w:szCs w:val="22"/>
        </w:rPr>
        <w:t xml:space="preserve">, zda </w:t>
      </w:r>
      <w:r w:rsidR="00D03C19" w:rsidRPr="002F7A04">
        <w:rPr>
          <w:rFonts w:cs="Arial"/>
          <w:color w:val="000000" w:themeColor="text1"/>
          <w:sz w:val="22"/>
          <w:szCs w:val="22"/>
        </w:rPr>
        <w:t xml:space="preserve">realizované </w:t>
      </w:r>
      <w:r w:rsidR="00C534D2" w:rsidRPr="002F7A04">
        <w:rPr>
          <w:rFonts w:cs="Arial"/>
          <w:color w:val="000000" w:themeColor="text1"/>
          <w:sz w:val="22"/>
          <w:szCs w:val="22"/>
        </w:rPr>
        <w:t xml:space="preserve">projekty uvedenému cíli </w:t>
      </w:r>
      <w:r w:rsidR="00B17251" w:rsidRPr="002F7A04">
        <w:rPr>
          <w:rFonts w:cs="Arial"/>
          <w:color w:val="000000" w:themeColor="text1"/>
          <w:sz w:val="22"/>
          <w:szCs w:val="22"/>
        </w:rPr>
        <w:t xml:space="preserve">skutečně </w:t>
      </w:r>
      <w:r w:rsidR="00C534D2" w:rsidRPr="002F7A04">
        <w:rPr>
          <w:rFonts w:cs="Arial"/>
          <w:color w:val="000000" w:themeColor="text1"/>
          <w:sz w:val="22"/>
          <w:szCs w:val="22"/>
        </w:rPr>
        <w:t xml:space="preserve">slouží. </w:t>
      </w:r>
    </w:p>
    <w:p w:rsidR="00424DD9" w:rsidRPr="002F7A04" w:rsidRDefault="00424DD9" w:rsidP="002F7A04">
      <w:pPr>
        <w:pStyle w:val="Odstavecseseznamem"/>
        <w:ind w:left="0"/>
        <w:contextualSpacing w:val="0"/>
        <w:jc w:val="both"/>
        <w:rPr>
          <w:rFonts w:cs="Arial"/>
          <w:color w:val="000000" w:themeColor="text1"/>
          <w:sz w:val="22"/>
          <w:szCs w:val="22"/>
        </w:rPr>
      </w:pPr>
    </w:p>
    <w:p w:rsidR="00507B71" w:rsidRPr="002F7A04" w:rsidRDefault="00661EBF" w:rsidP="002F7A04">
      <w:pPr>
        <w:jc w:val="both"/>
        <w:rPr>
          <w:rFonts w:cs="Arial"/>
          <w:color w:val="000000" w:themeColor="text1"/>
          <w:sz w:val="22"/>
          <w:szCs w:val="22"/>
          <w:lang w:val="x-none"/>
        </w:rPr>
      </w:pPr>
      <w:r w:rsidRPr="002F7A04">
        <w:rPr>
          <w:rFonts w:cs="Arial"/>
          <w:color w:val="000000" w:themeColor="text1"/>
          <w:sz w:val="22"/>
          <w:szCs w:val="22"/>
        </w:rPr>
        <w:t>Z celkových sedmi kontrolovaných projektů z </w:t>
      </w:r>
      <w:r w:rsidRPr="00176A44">
        <w:rPr>
          <w:rFonts w:cs="Arial"/>
          <w:i/>
          <w:color w:val="000000" w:themeColor="text1"/>
          <w:sz w:val="22"/>
          <w:szCs w:val="22"/>
        </w:rPr>
        <w:t>Integro</w:t>
      </w:r>
      <w:r w:rsidR="005652D5" w:rsidRPr="00176A44">
        <w:rPr>
          <w:rFonts w:cs="Arial"/>
          <w:i/>
          <w:color w:val="000000" w:themeColor="text1"/>
          <w:sz w:val="22"/>
          <w:szCs w:val="22"/>
        </w:rPr>
        <w:t>vaného operačního programu</w:t>
      </w:r>
      <w:r w:rsidR="003F7E53" w:rsidRPr="002F7A04">
        <w:rPr>
          <w:rFonts w:cs="Arial"/>
          <w:color w:val="000000" w:themeColor="text1"/>
          <w:sz w:val="22"/>
          <w:szCs w:val="22"/>
        </w:rPr>
        <w:t>, jehož říd</w:t>
      </w:r>
      <w:r w:rsidR="00B06316">
        <w:rPr>
          <w:rFonts w:cs="Arial"/>
          <w:color w:val="000000" w:themeColor="text1"/>
          <w:sz w:val="22"/>
          <w:szCs w:val="22"/>
        </w:rPr>
        <w:t>i</w:t>
      </w:r>
      <w:r w:rsidR="003F7E53" w:rsidRPr="002F7A04">
        <w:rPr>
          <w:rFonts w:cs="Arial"/>
          <w:color w:val="000000" w:themeColor="text1"/>
          <w:sz w:val="22"/>
          <w:szCs w:val="22"/>
        </w:rPr>
        <w:t>cím orgánem je MMR,</w:t>
      </w:r>
      <w:r w:rsidR="005652D5" w:rsidRPr="002F7A04">
        <w:rPr>
          <w:rFonts w:cs="Arial"/>
          <w:color w:val="000000" w:themeColor="text1"/>
          <w:sz w:val="22"/>
          <w:szCs w:val="22"/>
        </w:rPr>
        <w:t xml:space="preserve"> </w:t>
      </w:r>
      <w:r w:rsidRPr="002F7A04">
        <w:rPr>
          <w:rFonts w:cs="Arial"/>
          <w:color w:val="000000" w:themeColor="text1"/>
          <w:sz w:val="22"/>
          <w:szCs w:val="22"/>
        </w:rPr>
        <w:t>bylo šest nedostatečně připraveno</w:t>
      </w:r>
      <w:r w:rsidR="00FD7E39" w:rsidRPr="002F7A04">
        <w:rPr>
          <w:rFonts w:cs="Arial"/>
          <w:color w:val="000000" w:themeColor="text1"/>
          <w:sz w:val="22"/>
          <w:szCs w:val="22"/>
        </w:rPr>
        <w:t xml:space="preserve">, což u </w:t>
      </w:r>
      <w:r w:rsidRPr="002F7A04">
        <w:rPr>
          <w:rFonts w:cs="Arial"/>
          <w:color w:val="000000" w:themeColor="text1"/>
          <w:sz w:val="22"/>
          <w:szCs w:val="22"/>
        </w:rPr>
        <w:t>tří</w:t>
      </w:r>
      <w:r w:rsidR="00FD7E39" w:rsidRPr="002F7A04">
        <w:rPr>
          <w:rFonts w:cs="Arial"/>
          <w:color w:val="000000" w:themeColor="text1"/>
          <w:sz w:val="22"/>
          <w:szCs w:val="22"/>
        </w:rPr>
        <w:t xml:space="preserve"> z nich vedlo</w:t>
      </w:r>
      <w:r w:rsidRPr="002F7A04">
        <w:rPr>
          <w:rFonts w:cs="Arial"/>
          <w:color w:val="000000" w:themeColor="text1"/>
          <w:sz w:val="22"/>
          <w:szCs w:val="22"/>
        </w:rPr>
        <w:t xml:space="preserve"> k jejich předčasnému ukončení. </w:t>
      </w:r>
      <w:r w:rsidR="008166A1" w:rsidRPr="002F7A04">
        <w:rPr>
          <w:rFonts w:cs="Arial"/>
          <w:color w:val="000000" w:themeColor="text1"/>
          <w:sz w:val="22"/>
          <w:szCs w:val="22"/>
        </w:rPr>
        <w:t>Nebyla tak zajištěn</w:t>
      </w:r>
      <w:r w:rsidR="00B06316">
        <w:rPr>
          <w:rFonts w:cs="Arial"/>
          <w:color w:val="000000" w:themeColor="text1"/>
          <w:sz w:val="22"/>
          <w:szCs w:val="22"/>
        </w:rPr>
        <w:t>a</w:t>
      </w:r>
      <w:r w:rsidR="008166A1" w:rsidRPr="002F7A04">
        <w:rPr>
          <w:rFonts w:cs="Arial"/>
          <w:color w:val="000000" w:themeColor="text1"/>
          <w:sz w:val="22"/>
          <w:szCs w:val="22"/>
        </w:rPr>
        <w:t xml:space="preserve"> </w:t>
      </w:r>
      <w:r w:rsidR="00FC2A07" w:rsidRPr="002F7A04">
        <w:rPr>
          <w:rFonts w:cs="Arial"/>
          <w:color w:val="000000" w:themeColor="text1"/>
          <w:sz w:val="22"/>
          <w:szCs w:val="22"/>
        </w:rPr>
        <w:t xml:space="preserve">dostatečná efektivnost vložených prostředků. </w:t>
      </w:r>
      <w:r w:rsidR="003F7E53" w:rsidRPr="002F7A04">
        <w:rPr>
          <w:rFonts w:cs="Arial"/>
          <w:color w:val="000000" w:themeColor="text1"/>
          <w:sz w:val="22"/>
          <w:szCs w:val="22"/>
        </w:rPr>
        <w:t>Realizace</w:t>
      </w:r>
      <w:r w:rsidR="00507B71" w:rsidRPr="002F7A04">
        <w:rPr>
          <w:rFonts w:cs="Arial"/>
          <w:color w:val="000000" w:themeColor="text1"/>
          <w:sz w:val="22"/>
          <w:szCs w:val="22"/>
        </w:rPr>
        <w:t xml:space="preserve"> projektu národního informačního portálu cestovního ruchu </w:t>
      </w:r>
      <w:r w:rsidR="003F7E53" w:rsidRPr="002F7A04">
        <w:rPr>
          <w:rFonts w:cs="Arial"/>
          <w:color w:val="000000" w:themeColor="text1"/>
          <w:sz w:val="22"/>
          <w:szCs w:val="22"/>
        </w:rPr>
        <w:t>byla zahájena</w:t>
      </w:r>
      <w:r w:rsidR="00507B71" w:rsidRPr="002F7A04">
        <w:rPr>
          <w:rFonts w:cs="Arial"/>
          <w:color w:val="000000" w:themeColor="text1"/>
          <w:sz w:val="22"/>
          <w:szCs w:val="22"/>
        </w:rPr>
        <w:t xml:space="preserve"> až v roce 2012, přestože s ním </w:t>
      </w:r>
      <w:r w:rsidR="00A02863">
        <w:rPr>
          <w:rFonts w:cs="Arial"/>
          <w:color w:val="000000" w:themeColor="text1"/>
          <w:sz w:val="22"/>
          <w:szCs w:val="22"/>
        </w:rPr>
        <w:t xml:space="preserve">počítaly </w:t>
      </w:r>
      <w:r w:rsidR="00507B71" w:rsidRPr="002F7A04">
        <w:rPr>
          <w:rFonts w:cs="Arial"/>
          <w:color w:val="000000" w:themeColor="text1"/>
          <w:sz w:val="22"/>
          <w:szCs w:val="22"/>
        </w:rPr>
        <w:t xml:space="preserve">koncepce cestovního ruchu už od roku 1999. Vzhledem k tomu, že na něj bylo z alokovaných prostředků vyčerpáno k únoru 2014 jen 9 %, </w:t>
      </w:r>
      <w:r w:rsidR="00127F41" w:rsidRPr="002F7A04">
        <w:rPr>
          <w:rFonts w:cs="Arial"/>
          <w:color w:val="000000" w:themeColor="text1"/>
          <w:sz w:val="22"/>
          <w:szCs w:val="22"/>
        </w:rPr>
        <w:t>nelze vyloučit ohrožení realizace tohoto projektu.</w:t>
      </w:r>
      <w:bookmarkStart w:id="0" w:name="_GoBack"/>
      <w:bookmarkEnd w:id="0"/>
    </w:p>
    <w:p w:rsidR="00127F41" w:rsidRPr="002F7A04" w:rsidRDefault="00127F41" w:rsidP="002F7A04">
      <w:pPr>
        <w:pStyle w:val="Odstavecseseznamem"/>
        <w:ind w:left="0"/>
        <w:contextualSpacing w:val="0"/>
        <w:jc w:val="both"/>
        <w:rPr>
          <w:rFonts w:cs="Arial"/>
          <w:color w:val="000000" w:themeColor="text1"/>
          <w:sz w:val="22"/>
          <w:szCs w:val="22"/>
        </w:rPr>
      </w:pPr>
    </w:p>
    <w:p w:rsidR="00424DD9" w:rsidRPr="002F7A04" w:rsidRDefault="002E28CC" w:rsidP="002F7A04">
      <w:pPr>
        <w:pStyle w:val="Odstavecseseznamem"/>
        <w:ind w:left="0"/>
        <w:contextualSpacing w:val="0"/>
        <w:jc w:val="both"/>
        <w:rPr>
          <w:rFonts w:cs="Arial"/>
          <w:color w:val="000000" w:themeColor="text1"/>
          <w:sz w:val="22"/>
          <w:szCs w:val="22"/>
        </w:rPr>
      </w:pPr>
      <w:r w:rsidRPr="002F7A04">
        <w:rPr>
          <w:rFonts w:cs="Arial"/>
          <w:color w:val="000000" w:themeColor="text1"/>
          <w:sz w:val="22"/>
          <w:szCs w:val="22"/>
        </w:rPr>
        <w:t>Projekt národního systému kvality služeb cestovního ruchu s alokací 95 mil. Kč má být ukončen v červnu 2015, přitom značku kvality služeb zatím zís</w:t>
      </w:r>
      <w:r w:rsidR="00F72288" w:rsidRPr="002F7A04">
        <w:rPr>
          <w:rFonts w:cs="Arial"/>
          <w:color w:val="000000" w:themeColor="text1"/>
          <w:sz w:val="22"/>
          <w:szCs w:val="22"/>
        </w:rPr>
        <w:t xml:space="preserve">kalo jen 12 subjektů. V případě </w:t>
      </w:r>
      <w:r w:rsidR="005652D5" w:rsidRPr="002F7A04">
        <w:rPr>
          <w:rFonts w:cs="Arial"/>
          <w:color w:val="000000" w:themeColor="text1"/>
          <w:sz w:val="22"/>
          <w:szCs w:val="22"/>
        </w:rPr>
        <w:t xml:space="preserve">následného </w:t>
      </w:r>
      <w:r w:rsidR="00F72288" w:rsidRPr="002F7A04">
        <w:rPr>
          <w:rFonts w:cs="Arial"/>
          <w:color w:val="000000" w:themeColor="text1"/>
          <w:sz w:val="22"/>
          <w:szCs w:val="22"/>
        </w:rPr>
        <w:t>zpoplatnění</w:t>
      </w:r>
      <w:r w:rsidR="005652D5" w:rsidRPr="002F7A04">
        <w:rPr>
          <w:rFonts w:cs="Arial"/>
          <w:color w:val="000000" w:themeColor="text1"/>
          <w:sz w:val="22"/>
          <w:szCs w:val="22"/>
        </w:rPr>
        <w:t xml:space="preserve"> vstupu do systému</w:t>
      </w:r>
      <w:r w:rsidR="00F72288" w:rsidRPr="002F7A04">
        <w:rPr>
          <w:rFonts w:cs="Arial"/>
          <w:color w:val="000000" w:themeColor="text1"/>
          <w:sz w:val="22"/>
          <w:szCs w:val="22"/>
        </w:rPr>
        <w:t>, s</w:t>
      </w:r>
      <w:r w:rsidR="00CC0095" w:rsidRPr="002F7A04">
        <w:rPr>
          <w:rFonts w:cs="Arial"/>
          <w:color w:val="000000" w:themeColor="text1"/>
          <w:sz w:val="22"/>
          <w:szCs w:val="22"/>
        </w:rPr>
        <w:t>e</w:t>
      </w:r>
      <w:r w:rsidR="002F7A04">
        <w:rPr>
          <w:rFonts w:cs="Arial"/>
          <w:color w:val="000000" w:themeColor="text1"/>
          <w:sz w:val="22"/>
          <w:szCs w:val="22"/>
        </w:rPr>
        <w:t xml:space="preserve"> </w:t>
      </w:r>
      <w:r w:rsidR="00F72288" w:rsidRPr="002F7A04">
        <w:rPr>
          <w:rFonts w:cs="Arial"/>
          <w:color w:val="000000" w:themeColor="text1"/>
          <w:sz w:val="22"/>
          <w:szCs w:val="22"/>
        </w:rPr>
        <w:t>kterým MMR</w:t>
      </w:r>
      <w:r w:rsidR="00B06316">
        <w:rPr>
          <w:rFonts w:cs="Arial"/>
          <w:color w:val="000000" w:themeColor="text1"/>
          <w:sz w:val="22"/>
          <w:szCs w:val="22"/>
        </w:rPr>
        <w:t xml:space="preserve"> do budoucna</w:t>
      </w:r>
      <w:r w:rsidR="00F72288" w:rsidRPr="002F7A04">
        <w:rPr>
          <w:rFonts w:cs="Arial"/>
          <w:color w:val="000000" w:themeColor="text1"/>
          <w:sz w:val="22"/>
          <w:szCs w:val="22"/>
        </w:rPr>
        <w:t xml:space="preserve"> </w:t>
      </w:r>
      <w:r w:rsidR="00B06316">
        <w:rPr>
          <w:rFonts w:cs="Arial"/>
          <w:color w:val="000000" w:themeColor="text1"/>
          <w:sz w:val="22"/>
          <w:szCs w:val="22"/>
        </w:rPr>
        <w:t>počítá</w:t>
      </w:r>
      <w:r w:rsidR="00F72288" w:rsidRPr="002F7A04">
        <w:rPr>
          <w:rFonts w:cs="Arial"/>
          <w:color w:val="000000" w:themeColor="text1"/>
          <w:sz w:val="22"/>
          <w:szCs w:val="22"/>
        </w:rPr>
        <w:t>, se zájem o</w:t>
      </w:r>
      <w:r w:rsidR="0040367D" w:rsidRPr="002F7A04">
        <w:rPr>
          <w:rFonts w:cs="Arial"/>
          <w:color w:val="000000" w:themeColor="text1"/>
          <w:sz w:val="22"/>
          <w:szCs w:val="22"/>
        </w:rPr>
        <w:t> </w:t>
      </w:r>
      <w:r w:rsidR="00F72288" w:rsidRPr="002F7A04">
        <w:rPr>
          <w:rFonts w:cs="Arial"/>
          <w:color w:val="000000" w:themeColor="text1"/>
          <w:sz w:val="22"/>
          <w:szCs w:val="22"/>
        </w:rPr>
        <w:t>získání značky může ještě snížit.</w:t>
      </w:r>
      <w:r w:rsidRPr="002F7A04">
        <w:rPr>
          <w:rFonts w:cs="Arial"/>
          <w:color w:val="000000" w:themeColor="text1"/>
          <w:sz w:val="22"/>
          <w:szCs w:val="22"/>
        </w:rPr>
        <w:t xml:space="preserve"> </w:t>
      </w:r>
      <w:r w:rsidR="00F72288" w:rsidRPr="002F7A04">
        <w:rPr>
          <w:rFonts w:cs="Arial"/>
          <w:color w:val="000000" w:themeColor="text1"/>
          <w:sz w:val="22"/>
          <w:szCs w:val="22"/>
        </w:rPr>
        <w:t>MMR v rámci tohoto</w:t>
      </w:r>
      <w:r w:rsidR="00194CDD">
        <w:rPr>
          <w:rFonts w:cs="Arial"/>
          <w:color w:val="000000" w:themeColor="text1"/>
          <w:sz w:val="22"/>
          <w:szCs w:val="22"/>
        </w:rPr>
        <w:t xml:space="preserve"> projektu uhradilo i </w:t>
      </w:r>
      <w:r w:rsidR="00F72288" w:rsidRPr="002F7A04">
        <w:rPr>
          <w:rFonts w:cs="Arial"/>
          <w:color w:val="000000" w:themeColor="text1"/>
          <w:sz w:val="22"/>
          <w:szCs w:val="22"/>
        </w:rPr>
        <w:t>230</w:t>
      </w:r>
      <w:r w:rsidR="00194CDD">
        <w:rPr>
          <w:rFonts w:cs="Arial"/>
          <w:color w:val="000000" w:themeColor="text1"/>
          <w:sz w:val="22"/>
          <w:szCs w:val="22"/>
        </w:rPr>
        <w:t> </w:t>
      </w:r>
      <w:r w:rsidR="00F72288" w:rsidRPr="002F7A04">
        <w:rPr>
          <w:rFonts w:cs="Arial"/>
          <w:color w:val="000000" w:themeColor="text1"/>
          <w:sz w:val="22"/>
          <w:szCs w:val="22"/>
        </w:rPr>
        <w:t>tis.</w:t>
      </w:r>
      <w:r w:rsidR="00194CDD">
        <w:rPr>
          <w:rFonts w:cs="Arial"/>
          <w:color w:val="000000" w:themeColor="text1"/>
          <w:sz w:val="22"/>
          <w:szCs w:val="22"/>
        </w:rPr>
        <w:t> </w:t>
      </w:r>
      <w:r w:rsidR="00F72288" w:rsidRPr="002F7A04">
        <w:rPr>
          <w:rFonts w:cs="Arial"/>
          <w:color w:val="000000" w:themeColor="text1"/>
          <w:sz w:val="22"/>
          <w:szCs w:val="22"/>
        </w:rPr>
        <w:t>Kč externí firmě za poradenství při zadá</w:t>
      </w:r>
      <w:r w:rsidR="00B06316">
        <w:rPr>
          <w:rFonts w:cs="Arial"/>
          <w:color w:val="000000" w:themeColor="text1"/>
          <w:sz w:val="22"/>
          <w:szCs w:val="22"/>
        </w:rPr>
        <w:t>vá</w:t>
      </w:r>
      <w:r w:rsidR="00F72288" w:rsidRPr="002F7A04">
        <w:rPr>
          <w:rFonts w:cs="Arial"/>
          <w:color w:val="000000" w:themeColor="text1"/>
          <w:sz w:val="22"/>
          <w:szCs w:val="22"/>
        </w:rPr>
        <w:t xml:space="preserve">ní a hodnocení veřejných zakázek, přestože </w:t>
      </w:r>
      <w:r w:rsidR="005652D5" w:rsidRPr="002F7A04">
        <w:rPr>
          <w:rFonts w:cs="Arial"/>
          <w:color w:val="000000" w:themeColor="text1"/>
          <w:sz w:val="22"/>
          <w:szCs w:val="22"/>
        </w:rPr>
        <w:t xml:space="preserve">MMR </w:t>
      </w:r>
      <w:r w:rsidR="004E575D" w:rsidRPr="002F7A04">
        <w:rPr>
          <w:rFonts w:cs="Arial"/>
          <w:color w:val="000000" w:themeColor="text1"/>
          <w:sz w:val="22"/>
          <w:szCs w:val="22"/>
        </w:rPr>
        <w:t xml:space="preserve">připravuje právní normy </w:t>
      </w:r>
      <w:r w:rsidR="0029220A" w:rsidRPr="002F7A04">
        <w:rPr>
          <w:rFonts w:cs="Arial"/>
          <w:color w:val="000000" w:themeColor="text1"/>
          <w:sz w:val="22"/>
          <w:szCs w:val="22"/>
        </w:rPr>
        <w:t xml:space="preserve">a </w:t>
      </w:r>
      <w:r w:rsidR="00F72288" w:rsidRPr="002F7A04">
        <w:rPr>
          <w:rFonts w:cs="Arial"/>
          <w:color w:val="000000" w:themeColor="text1"/>
          <w:sz w:val="22"/>
          <w:szCs w:val="22"/>
        </w:rPr>
        <w:t xml:space="preserve">metodicky </w:t>
      </w:r>
      <w:r w:rsidR="004E575D" w:rsidRPr="002F7A04">
        <w:rPr>
          <w:rFonts w:cs="Arial"/>
          <w:color w:val="000000" w:themeColor="text1"/>
          <w:sz w:val="22"/>
          <w:szCs w:val="22"/>
        </w:rPr>
        <w:t>řídí zadávání veřejných zakázek a</w:t>
      </w:r>
      <w:r w:rsidR="009F2FB3">
        <w:rPr>
          <w:rFonts w:cs="Arial"/>
          <w:color w:val="000000" w:themeColor="text1"/>
          <w:sz w:val="22"/>
          <w:szCs w:val="22"/>
        </w:rPr>
        <w:t> </w:t>
      </w:r>
      <w:r w:rsidR="004E575D" w:rsidRPr="002F7A04">
        <w:rPr>
          <w:rFonts w:cs="Arial"/>
          <w:color w:val="000000" w:themeColor="text1"/>
          <w:sz w:val="22"/>
          <w:szCs w:val="22"/>
        </w:rPr>
        <w:t>v organizační struktuře má pro tuto oblast vytvořeny podmínky.</w:t>
      </w:r>
    </w:p>
    <w:p w:rsidR="007137EC" w:rsidRPr="002F7A04" w:rsidRDefault="007137EC" w:rsidP="002F7A04">
      <w:pPr>
        <w:pStyle w:val="Odstavecseseznamem"/>
        <w:ind w:left="0"/>
        <w:contextualSpacing w:val="0"/>
        <w:jc w:val="both"/>
        <w:rPr>
          <w:rFonts w:cs="Arial"/>
          <w:color w:val="000000" w:themeColor="text1"/>
          <w:sz w:val="22"/>
          <w:szCs w:val="22"/>
        </w:rPr>
      </w:pPr>
    </w:p>
    <w:p w:rsidR="00482DC9" w:rsidRPr="002F7A04" w:rsidRDefault="00482DC9" w:rsidP="002F7A04">
      <w:pPr>
        <w:pStyle w:val="Odstavecseseznamem"/>
        <w:ind w:left="0"/>
        <w:contextualSpacing w:val="0"/>
        <w:jc w:val="both"/>
        <w:rPr>
          <w:rFonts w:cs="Arial"/>
          <w:color w:val="000000" w:themeColor="text1"/>
          <w:sz w:val="22"/>
          <w:szCs w:val="22"/>
        </w:rPr>
      </w:pPr>
    </w:p>
    <w:p w:rsidR="00A550A8" w:rsidRPr="002F7A04" w:rsidRDefault="00A550A8" w:rsidP="002F7A04">
      <w:pPr>
        <w:rPr>
          <w:rFonts w:cs="Arial"/>
          <w:color w:val="000000" w:themeColor="text1"/>
          <w:sz w:val="22"/>
          <w:szCs w:val="22"/>
        </w:rPr>
      </w:pPr>
      <w:r w:rsidRPr="002F7A04">
        <w:rPr>
          <w:rFonts w:cs="Arial"/>
          <w:color w:val="000000" w:themeColor="text1"/>
          <w:sz w:val="22"/>
          <w:szCs w:val="22"/>
        </w:rPr>
        <w:br w:type="page"/>
      </w:r>
    </w:p>
    <w:p w:rsidR="007137EC" w:rsidRPr="00176A44" w:rsidRDefault="007137EC" w:rsidP="002F7A04">
      <w:pPr>
        <w:pStyle w:val="Odstavecseseznamem"/>
        <w:ind w:left="0"/>
        <w:contextualSpacing w:val="0"/>
        <w:jc w:val="right"/>
        <w:rPr>
          <w:rFonts w:cs="Arial"/>
          <w:b/>
          <w:color w:val="000000" w:themeColor="text1"/>
          <w:sz w:val="22"/>
          <w:szCs w:val="22"/>
        </w:rPr>
      </w:pPr>
      <w:r w:rsidRPr="00176A44">
        <w:rPr>
          <w:rFonts w:cs="Arial"/>
          <w:b/>
          <w:color w:val="000000" w:themeColor="text1"/>
          <w:sz w:val="22"/>
          <w:szCs w:val="22"/>
        </w:rPr>
        <w:lastRenderedPageBreak/>
        <w:t>Příloha</w:t>
      </w:r>
    </w:p>
    <w:p w:rsidR="00577F6E" w:rsidRPr="002F7A04" w:rsidRDefault="00577F6E" w:rsidP="002F7A04">
      <w:pPr>
        <w:rPr>
          <w:rFonts w:cs="Arial"/>
          <w:b/>
          <w:color w:val="000000" w:themeColor="text1"/>
          <w:sz w:val="20"/>
          <w:szCs w:val="20"/>
        </w:rPr>
      </w:pPr>
    </w:p>
    <w:p w:rsidR="00482DC9" w:rsidRPr="002F7A04" w:rsidRDefault="00482DC9" w:rsidP="002F7A04">
      <w:pPr>
        <w:tabs>
          <w:tab w:val="right" w:pos="9072"/>
        </w:tabs>
        <w:spacing w:after="40"/>
        <w:rPr>
          <w:rFonts w:cs="Arial"/>
          <w:b/>
          <w:color w:val="000000" w:themeColor="text1"/>
        </w:rPr>
      </w:pPr>
      <w:r w:rsidRPr="002F7A04">
        <w:rPr>
          <w:rFonts w:cs="Arial"/>
          <w:b/>
          <w:color w:val="000000" w:themeColor="text1"/>
        </w:rPr>
        <w:t>Přehled projektů podrobených kontrole NKÚ</w:t>
      </w:r>
      <w:r w:rsidRPr="002F7A04">
        <w:rPr>
          <w:rFonts w:cs="Arial"/>
          <w:b/>
          <w:color w:val="000000" w:themeColor="text1"/>
        </w:rPr>
        <w:tab/>
      </w:r>
      <w:r w:rsidR="00BC0D11" w:rsidRPr="002F7A04">
        <w:rPr>
          <w:rFonts w:cs="Arial"/>
          <w:b/>
          <w:color w:val="000000" w:themeColor="text1"/>
        </w:rPr>
        <w:t>(</w:t>
      </w:r>
      <w:r w:rsidRPr="002F7A04">
        <w:rPr>
          <w:rFonts w:cs="Arial"/>
          <w:b/>
          <w:color w:val="000000" w:themeColor="text1"/>
        </w:rPr>
        <w:t>v Kč</w:t>
      </w:r>
      <w:r w:rsidR="00BC0D11" w:rsidRPr="002F7A04">
        <w:rPr>
          <w:rFonts w:cs="Arial"/>
          <w:b/>
          <w:color w:val="000000" w:themeColor="text1"/>
        </w:rPr>
        <w:t>)</w:t>
      </w:r>
    </w:p>
    <w:tbl>
      <w:tblPr>
        <w:tblStyle w:val="Mkatabulky"/>
        <w:tblW w:w="92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57"/>
        <w:gridCol w:w="3740"/>
        <w:gridCol w:w="2006"/>
        <w:gridCol w:w="1396"/>
      </w:tblGrid>
      <w:tr w:rsidR="002F7A04" w:rsidRPr="002F7A04" w:rsidTr="004707C4">
        <w:trPr>
          <w:trHeight w:val="283"/>
          <w:jc w:val="center"/>
        </w:trPr>
        <w:tc>
          <w:tcPr>
            <w:tcW w:w="21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2DC9" w:rsidRPr="002F7A04" w:rsidRDefault="00482DC9" w:rsidP="002F7A04">
            <w:pPr>
              <w:spacing w:before="20" w:after="2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b/>
                <w:color w:val="000000" w:themeColor="text1"/>
                <w:sz w:val="18"/>
                <w:szCs w:val="18"/>
              </w:rPr>
              <w:t>Název příjemce</w:t>
            </w:r>
          </w:p>
        </w:tc>
        <w:tc>
          <w:tcPr>
            <w:tcW w:w="3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2DC9" w:rsidRPr="002F7A04" w:rsidRDefault="00482DC9" w:rsidP="002F7A04">
            <w:pPr>
              <w:spacing w:before="20" w:after="2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b/>
                <w:color w:val="000000" w:themeColor="text1"/>
                <w:sz w:val="18"/>
                <w:szCs w:val="18"/>
              </w:rPr>
              <w:t>Název projektu</w:t>
            </w:r>
          </w:p>
        </w:tc>
        <w:tc>
          <w:tcPr>
            <w:tcW w:w="2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2DC9" w:rsidRPr="002F7A04" w:rsidRDefault="00482DC9" w:rsidP="00484D6C">
            <w:pPr>
              <w:spacing w:before="20" w:after="2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b/>
                <w:color w:val="000000" w:themeColor="text1"/>
                <w:sz w:val="18"/>
                <w:szCs w:val="18"/>
              </w:rPr>
              <w:t>Výše podpory podle</w:t>
            </w:r>
            <w:r w:rsidR="002F7A0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484D6C">
              <w:rPr>
                <w:rFonts w:cs="Arial"/>
                <w:b/>
                <w:color w:val="000000" w:themeColor="text1"/>
                <w:sz w:val="18"/>
                <w:szCs w:val="18"/>
              </w:rPr>
              <w:t>r</w:t>
            </w:r>
            <w:r w:rsidRPr="002F7A04">
              <w:rPr>
                <w:rFonts w:cs="Arial"/>
                <w:b/>
                <w:color w:val="000000" w:themeColor="text1"/>
                <w:sz w:val="18"/>
                <w:szCs w:val="18"/>
              </w:rPr>
              <w:t>ozhodnutí/</w:t>
            </w:r>
            <w:r w:rsidR="00484D6C">
              <w:rPr>
                <w:rFonts w:cs="Arial"/>
                <w:b/>
                <w:color w:val="000000" w:themeColor="text1"/>
                <w:sz w:val="18"/>
                <w:szCs w:val="18"/>
              </w:rPr>
              <w:t>s</w:t>
            </w:r>
            <w:r w:rsidRPr="002F7A04">
              <w:rPr>
                <w:rFonts w:cs="Arial"/>
                <w:b/>
                <w:color w:val="000000" w:themeColor="text1"/>
                <w:sz w:val="18"/>
                <w:szCs w:val="18"/>
              </w:rPr>
              <w:t>mlouvy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2DC9" w:rsidRPr="002F7A04" w:rsidRDefault="00482DC9" w:rsidP="002F7A04">
            <w:pPr>
              <w:spacing w:before="20" w:after="2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b/>
                <w:color w:val="000000" w:themeColor="text1"/>
                <w:sz w:val="18"/>
                <w:szCs w:val="18"/>
              </w:rPr>
              <w:t>Proplaceno</w:t>
            </w:r>
            <w:r w:rsidR="002F7A0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F7A04">
              <w:rPr>
                <w:rFonts w:cs="Arial"/>
                <w:b/>
                <w:color w:val="000000" w:themeColor="text1"/>
                <w:sz w:val="18"/>
                <w:szCs w:val="18"/>
              </w:rPr>
              <w:t>k únoru 2014</w:t>
            </w:r>
          </w:p>
        </w:tc>
      </w:tr>
      <w:tr w:rsidR="002F7A04" w:rsidRPr="002F7A04" w:rsidTr="004707C4">
        <w:trPr>
          <w:trHeight w:val="283"/>
          <w:jc w:val="center"/>
        </w:trPr>
        <w:tc>
          <w:tcPr>
            <w:tcW w:w="9299" w:type="dxa"/>
            <w:gridSpan w:val="4"/>
            <w:tcBorders>
              <w:top w:val="single" w:sz="12" w:space="0" w:color="auto"/>
            </w:tcBorders>
            <w:vAlign w:val="center"/>
          </w:tcPr>
          <w:p w:rsidR="00482DC9" w:rsidRPr="002F7A04" w:rsidRDefault="00482DC9" w:rsidP="002F7A04">
            <w:pPr>
              <w:spacing w:before="20" w:after="2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b/>
                <w:color w:val="000000" w:themeColor="text1"/>
                <w:sz w:val="18"/>
                <w:szCs w:val="18"/>
              </w:rPr>
              <w:t>Regionální operační programy</w:t>
            </w:r>
          </w:p>
        </w:tc>
      </w:tr>
      <w:tr w:rsidR="002F7A04" w:rsidRPr="002F7A04" w:rsidTr="004707C4">
        <w:trPr>
          <w:trHeight w:val="283"/>
          <w:jc w:val="center"/>
        </w:trPr>
        <w:tc>
          <w:tcPr>
            <w:tcW w:w="2157" w:type="dxa"/>
            <w:tcBorders>
              <w:top w:val="single" w:sz="12" w:space="0" w:color="auto"/>
            </w:tcBorders>
            <w:vAlign w:val="center"/>
          </w:tcPr>
          <w:p w:rsidR="00482DC9" w:rsidRPr="002F7A04" w:rsidRDefault="00482DC9" w:rsidP="002F7A04">
            <w:pPr>
              <w:spacing w:before="20" w:after="20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 xml:space="preserve">Nadace </w:t>
            </w:r>
            <w:proofErr w:type="spellStart"/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T</w:t>
            </w:r>
            <w:r w:rsidR="00BC0D11" w:rsidRPr="002F7A04">
              <w:rPr>
                <w:rFonts w:cs="Arial"/>
                <w:color w:val="000000" w:themeColor="text1"/>
                <w:sz w:val="18"/>
                <w:szCs w:val="18"/>
              </w:rPr>
              <w:t>omistoma</w:t>
            </w:r>
            <w:proofErr w:type="spellEnd"/>
          </w:p>
        </w:tc>
        <w:tc>
          <w:tcPr>
            <w:tcW w:w="3740" w:type="dxa"/>
            <w:tcBorders>
              <w:top w:val="single" w:sz="12" w:space="0" w:color="auto"/>
            </w:tcBorders>
            <w:vAlign w:val="center"/>
          </w:tcPr>
          <w:p w:rsidR="00482DC9" w:rsidRPr="002F7A04" w:rsidRDefault="00482DC9" w:rsidP="002F7A04">
            <w:pPr>
              <w:spacing w:before="20" w:after="20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Rekonstrukce hospodářského stavení na krokodýlí zoo</w:t>
            </w:r>
          </w:p>
        </w:tc>
        <w:tc>
          <w:tcPr>
            <w:tcW w:w="2006" w:type="dxa"/>
            <w:tcBorders>
              <w:top w:val="single" w:sz="12" w:space="0" w:color="auto"/>
            </w:tcBorders>
            <w:vAlign w:val="center"/>
          </w:tcPr>
          <w:p w:rsidR="00482DC9" w:rsidRPr="002F7A04" w:rsidRDefault="00482DC9" w:rsidP="004707C4">
            <w:pPr>
              <w:spacing w:before="20" w:after="20"/>
              <w:ind w:right="342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34 600 </w:t>
            </w:r>
            <w:r w:rsidR="001A0BE2" w:rsidRPr="002F7A04">
              <w:rPr>
                <w:rFonts w:cs="Arial"/>
                <w:color w:val="000000" w:themeColor="text1"/>
                <w:sz w:val="18"/>
                <w:szCs w:val="18"/>
              </w:rPr>
              <w:t>934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vAlign w:val="center"/>
          </w:tcPr>
          <w:p w:rsidR="00482DC9" w:rsidRPr="002F7A04" w:rsidRDefault="00482DC9" w:rsidP="00B11C5E">
            <w:pPr>
              <w:spacing w:before="20" w:after="20"/>
              <w:ind w:right="179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30 580 104</w:t>
            </w:r>
          </w:p>
        </w:tc>
      </w:tr>
      <w:tr w:rsidR="002F7A04" w:rsidRPr="002F7A04" w:rsidTr="004707C4">
        <w:trPr>
          <w:trHeight w:val="283"/>
          <w:jc w:val="center"/>
        </w:trPr>
        <w:tc>
          <w:tcPr>
            <w:tcW w:w="2157" w:type="dxa"/>
            <w:vAlign w:val="center"/>
          </w:tcPr>
          <w:p w:rsidR="00482DC9" w:rsidRPr="002F7A04" w:rsidRDefault="00482DC9" w:rsidP="002F7A04">
            <w:pPr>
              <w:spacing w:before="20" w:after="20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Biskupství plzeňské</w:t>
            </w:r>
          </w:p>
        </w:tc>
        <w:tc>
          <w:tcPr>
            <w:tcW w:w="3740" w:type="dxa"/>
            <w:vAlign w:val="center"/>
          </w:tcPr>
          <w:p w:rsidR="00482DC9" w:rsidRPr="002F7A04" w:rsidRDefault="00482DC9" w:rsidP="002F7A04">
            <w:pPr>
              <w:spacing w:before="20" w:after="20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Revitalizace objektu Františkánského kláštera v Plzni a zřízení muzea církevního umění Plzeňské diecéze</w:t>
            </w:r>
          </w:p>
        </w:tc>
        <w:tc>
          <w:tcPr>
            <w:tcW w:w="2006" w:type="dxa"/>
            <w:vAlign w:val="center"/>
          </w:tcPr>
          <w:p w:rsidR="00482DC9" w:rsidRPr="002F7A04" w:rsidRDefault="00482DC9" w:rsidP="004707C4">
            <w:pPr>
              <w:spacing w:before="20" w:after="20"/>
              <w:ind w:right="342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34 597 481</w:t>
            </w:r>
          </w:p>
        </w:tc>
        <w:tc>
          <w:tcPr>
            <w:tcW w:w="1396" w:type="dxa"/>
            <w:vAlign w:val="center"/>
          </w:tcPr>
          <w:p w:rsidR="00482DC9" w:rsidRPr="002F7A04" w:rsidRDefault="00482DC9" w:rsidP="00B11C5E">
            <w:pPr>
              <w:spacing w:before="20" w:after="20"/>
              <w:ind w:right="179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34 377 838</w:t>
            </w:r>
          </w:p>
        </w:tc>
      </w:tr>
      <w:tr w:rsidR="002F7A04" w:rsidRPr="002F7A04" w:rsidTr="004707C4">
        <w:trPr>
          <w:trHeight w:val="283"/>
          <w:jc w:val="center"/>
        </w:trPr>
        <w:tc>
          <w:tcPr>
            <w:tcW w:w="2157" w:type="dxa"/>
            <w:vAlign w:val="center"/>
          </w:tcPr>
          <w:p w:rsidR="00482DC9" w:rsidRPr="002F7A04" w:rsidRDefault="00482DC9" w:rsidP="002F7A04">
            <w:pPr>
              <w:spacing w:before="20" w:after="20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ŽLTC s.r.o.</w:t>
            </w:r>
          </w:p>
        </w:tc>
        <w:tc>
          <w:tcPr>
            <w:tcW w:w="3740" w:type="dxa"/>
            <w:vAlign w:val="center"/>
          </w:tcPr>
          <w:p w:rsidR="00482DC9" w:rsidRPr="002F7A04" w:rsidRDefault="00482DC9" w:rsidP="002F7A04">
            <w:pPr>
              <w:spacing w:before="20" w:after="20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 xml:space="preserve">Sportovní hotel </w:t>
            </w:r>
            <w:proofErr w:type="spellStart"/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Garni</w:t>
            </w:r>
            <w:proofErr w:type="spellEnd"/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 xml:space="preserve">*** </w:t>
            </w:r>
            <w:r w:rsidR="002F7A04">
              <w:rPr>
                <w:rFonts w:cs="Arial"/>
                <w:color w:val="000000" w:themeColor="text1"/>
                <w:sz w:val="18"/>
                <w:szCs w:val="18"/>
              </w:rPr>
              <w:t>–</w:t>
            </w: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 xml:space="preserve"> Brno-Židenice</w:t>
            </w:r>
          </w:p>
        </w:tc>
        <w:tc>
          <w:tcPr>
            <w:tcW w:w="2006" w:type="dxa"/>
            <w:vAlign w:val="center"/>
          </w:tcPr>
          <w:p w:rsidR="00482DC9" w:rsidRPr="002F7A04" w:rsidRDefault="00482DC9" w:rsidP="004707C4">
            <w:pPr>
              <w:spacing w:before="20" w:after="20"/>
              <w:ind w:right="342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14 956 542</w:t>
            </w:r>
          </w:p>
        </w:tc>
        <w:tc>
          <w:tcPr>
            <w:tcW w:w="1396" w:type="dxa"/>
            <w:vAlign w:val="center"/>
          </w:tcPr>
          <w:p w:rsidR="00482DC9" w:rsidRPr="002F7A04" w:rsidRDefault="00482DC9" w:rsidP="00B11C5E">
            <w:pPr>
              <w:spacing w:before="20" w:after="20"/>
              <w:ind w:right="179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14 885 009</w:t>
            </w:r>
          </w:p>
        </w:tc>
      </w:tr>
      <w:tr w:rsidR="002F7A04" w:rsidRPr="002F7A04" w:rsidTr="004707C4">
        <w:trPr>
          <w:trHeight w:val="283"/>
          <w:jc w:val="center"/>
        </w:trPr>
        <w:tc>
          <w:tcPr>
            <w:tcW w:w="2157" w:type="dxa"/>
            <w:vMerge w:val="restart"/>
            <w:vAlign w:val="center"/>
          </w:tcPr>
          <w:p w:rsidR="00482DC9" w:rsidRPr="002F7A04" w:rsidRDefault="00484D6C" w:rsidP="002F7A04">
            <w:pPr>
              <w:spacing w:before="20" w:after="2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S</w:t>
            </w:r>
            <w:r w:rsidR="00482DC9" w:rsidRPr="002F7A04">
              <w:rPr>
                <w:rFonts w:cs="Arial"/>
                <w:color w:val="000000" w:themeColor="text1"/>
                <w:sz w:val="18"/>
                <w:szCs w:val="18"/>
              </w:rPr>
              <w:t>tatutární město Brno</w:t>
            </w:r>
          </w:p>
        </w:tc>
        <w:tc>
          <w:tcPr>
            <w:tcW w:w="3740" w:type="dxa"/>
            <w:vAlign w:val="center"/>
          </w:tcPr>
          <w:p w:rsidR="00482DC9" w:rsidRPr="002F7A04" w:rsidRDefault="00482DC9" w:rsidP="002F7A04">
            <w:pPr>
              <w:spacing w:before="20" w:after="20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Zpřístupnění brněnského podzemí</w:t>
            </w:r>
          </w:p>
        </w:tc>
        <w:tc>
          <w:tcPr>
            <w:tcW w:w="2006" w:type="dxa"/>
            <w:vAlign w:val="center"/>
          </w:tcPr>
          <w:p w:rsidR="00482DC9" w:rsidRPr="002F7A04" w:rsidRDefault="00482DC9" w:rsidP="004707C4">
            <w:pPr>
              <w:spacing w:before="20" w:after="20"/>
              <w:ind w:right="342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59 413 770</w:t>
            </w:r>
          </w:p>
        </w:tc>
        <w:tc>
          <w:tcPr>
            <w:tcW w:w="1396" w:type="dxa"/>
            <w:vAlign w:val="center"/>
          </w:tcPr>
          <w:p w:rsidR="00482DC9" w:rsidRPr="002F7A04" w:rsidRDefault="00482DC9" w:rsidP="00B11C5E">
            <w:pPr>
              <w:spacing w:before="20" w:after="20"/>
              <w:ind w:right="179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59 392 449</w:t>
            </w:r>
          </w:p>
        </w:tc>
      </w:tr>
      <w:tr w:rsidR="002F7A04" w:rsidRPr="002F7A04" w:rsidTr="004707C4">
        <w:trPr>
          <w:trHeight w:val="283"/>
          <w:jc w:val="center"/>
        </w:trPr>
        <w:tc>
          <w:tcPr>
            <w:tcW w:w="2157" w:type="dxa"/>
            <w:vMerge/>
            <w:vAlign w:val="center"/>
          </w:tcPr>
          <w:p w:rsidR="00482DC9" w:rsidRPr="002F7A04" w:rsidRDefault="00482DC9" w:rsidP="002F7A04">
            <w:pPr>
              <w:spacing w:before="20" w:after="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40" w:type="dxa"/>
            <w:vAlign w:val="center"/>
          </w:tcPr>
          <w:p w:rsidR="00482DC9" w:rsidRPr="002F7A04" w:rsidRDefault="00482DC9" w:rsidP="002F7A04">
            <w:pPr>
              <w:spacing w:before="20" w:after="20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Kostnice u sv. Jakuba</w:t>
            </w:r>
          </w:p>
        </w:tc>
        <w:tc>
          <w:tcPr>
            <w:tcW w:w="2006" w:type="dxa"/>
            <w:vAlign w:val="center"/>
          </w:tcPr>
          <w:p w:rsidR="00482DC9" w:rsidRPr="002F7A04" w:rsidRDefault="00482DC9" w:rsidP="004707C4">
            <w:pPr>
              <w:spacing w:before="20" w:after="20"/>
              <w:ind w:right="342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12 565 769</w:t>
            </w:r>
          </w:p>
        </w:tc>
        <w:tc>
          <w:tcPr>
            <w:tcW w:w="1396" w:type="dxa"/>
            <w:vAlign w:val="center"/>
          </w:tcPr>
          <w:p w:rsidR="00482DC9" w:rsidRPr="002F7A04" w:rsidRDefault="00482DC9" w:rsidP="00B11C5E">
            <w:pPr>
              <w:spacing w:before="20" w:after="20"/>
              <w:ind w:right="179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10 951 771</w:t>
            </w:r>
          </w:p>
        </w:tc>
      </w:tr>
      <w:tr w:rsidR="002F7A04" w:rsidRPr="002F7A04" w:rsidTr="004707C4">
        <w:trPr>
          <w:trHeight w:val="283"/>
          <w:jc w:val="center"/>
        </w:trPr>
        <w:tc>
          <w:tcPr>
            <w:tcW w:w="2157" w:type="dxa"/>
            <w:vAlign w:val="center"/>
          </w:tcPr>
          <w:p w:rsidR="00482DC9" w:rsidRPr="002F7A04" w:rsidRDefault="00482DC9" w:rsidP="002F7A04">
            <w:pPr>
              <w:tabs>
                <w:tab w:val="right" w:pos="3011"/>
              </w:tabs>
              <w:spacing w:before="20" w:after="20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K3 SPORT, s.r.o.</w:t>
            </w:r>
          </w:p>
        </w:tc>
        <w:tc>
          <w:tcPr>
            <w:tcW w:w="3740" w:type="dxa"/>
            <w:vAlign w:val="center"/>
          </w:tcPr>
          <w:p w:rsidR="00482DC9" w:rsidRPr="002F7A04" w:rsidRDefault="00482DC9" w:rsidP="002F7A04">
            <w:pPr>
              <w:spacing w:before="20" w:after="20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Vybudování sportovně-rekreačního areálu „Kouty“</w:t>
            </w:r>
          </w:p>
        </w:tc>
        <w:tc>
          <w:tcPr>
            <w:tcW w:w="2006" w:type="dxa"/>
            <w:vAlign w:val="center"/>
          </w:tcPr>
          <w:p w:rsidR="00482DC9" w:rsidRPr="002F7A04" w:rsidRDefault="001A0BE2" w:rsidP="004707C4">
            <w:pPr>
              <w:spacing w:before="20" w:after="20"/>
              <w:ind w:right="342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100 000 000</w:t>
            </w:r>
          </w:p>
        </w:tc>
        <w:tc>
          <w:tcPr>
            <w:tcW w:w="1396" w:type="dxa"/>
            <w:vAlign w:val="center"/>
          </w:tcPr>
          <w:p w:rsidR="00482DC9" w:rsidRPr="002F7A04" w:rsidRDefault="00482DC9" w:rsidP="00B11C5E">
            <w:pPr>
              <w:spacing w:before="20" w:after="20"/>
              <w:ind w:right="179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99 870 451</w:t>
            </w:r>
          </w:p>
        </w:tc>
      </w:tr>
      <w:tr w:rsidR="002F7A04" w:rsidRPr="002F7A04" w:rsidTr="004707C4">
        <w:trPr>
          <w:trHeight w:val="283"/>
          <w:jc w:val="center"/>
        </w:trPr>
        <w:tc>
          <w:tcPr>
            <w:tcW w:w="2157" w:type="dxa"/>
            <w:vAlign w:val="center"/>
          </w:tcPr>
          <w:p w:rsidR="00482DC9" w:rsidRPr="002F7A04" w:rsidRDefault="00484D6C" w:rsidP="002F7A04">
            <w:pPr>
              <w:spacing w:before="20" w:after="2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M</w:t>
            </w:r>
            <w:r w:rsidR="00482DC9" w:rsidRPr="002F7A04">
              <w:rPr>
                <w:rFonts w:cs="Arial"/>
                <w:color w:val="000000" w:themeColor="text1"/>
                <w:sz w:val="18"/>
                <w:szCs w:val="18"/>
              </w:rPr>
              <w:t>ěsto Luhačovice</w:t>
            </w:r>
          </w:p>
        </w:tc>
        <w:tc>
          <w:tcPr>
            <w:tcW w:w="3740" w:type="dxa"/>
            <w:vAlign w:val="center"/>
          </w:tcPr>
          <w:p w:rsidR="00482DC9" w:rsidRPr="002F7A04" w:rsidRDefault="00482DC9" w:rsidP="002F7A04">
            <w:pPr>
              <w:spacing w:before="20" w:after="20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Městská plovárna Luhačovice</w:t>
            </w:r>
          </w:p>
        </w:tc>
        <w:tc>
          <w:tcPr>
            <w:tcW w:w="2006" w:type="dxa"/>
            <w:vAlign w:val="center"/>
          </w:tcPr>
          <w:p w:rsidR="00482DC9" w:rsidRPr="002F7A04" w:rsidRDefault="00482DC9" w:rsidP="004707C4">
            <w:pPr>
              <w:spacing w:before="20" w:after="20"/>
              <w:ind w:right="342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81 563 751</w:t>
            </w:r>
          </w:p>
        </w:tc>
        <w:tc>
          <w:tcPr>
            <w:tcW w:w="1396" w:type="dxa"/>
            <w:vAlign w:val="center"/>
          </w:tcPr>
          <w:p w:rsidR="00482DC9" w:rsidRPr="002F7A04" w:rsidRDefault="00482DC9" w:rsidP="00B11C5E">
            <w:pPr>
              <w:spacing w:before="20" w:after="20"/>
              <w:ind w:right="179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81 563 751</w:t>
            </w:r>
          </w:p>
        </w:tc>
      </w:tr>
      <w:tr w:rsidR="002F7A04" w:rsidRPr="002F7A04" w:rsidTr="004707C4">
        <w:trPr>
          <w:trHeight w:val="283"/>
          <w:jc w:val="center"/>
        </w:trPr>
        <w:tc>
          <w:tcPr>
            <w:tcW w:w="2157" w:type="dxa"/>
            <w:vMerge w:val="restart"/>
            <w:vAlign w:val="center"/>
          </w:tcPr>
          <w:p w:rsidR="00482DC9" w:rsidRPr="002F7A04" w:rsidRDefault="00482DC9" w:rsidP="002F7A04">
            <w:pPr>
              <w:spacing w:before="20" w:after="20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ZOO Dvůr Králové, a.s.</w:t>
            </w:r>
          </w:p>
        </w:tc>
        <w:tc>
          <w:tcPr>
            <w:tcW w:w="3740" w:type="dxa"/>
            <w:vAlign w:val="center"/>
          </w:tcPr>
          <w:p w:rsidR="00482DC9" w:rsidRPr="002F7A04" w:rsidRDefault="00482DC9" w:rsidP="002F7A04">
            <w:pPr>
              <w:spacing w:before="20" w:after="20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Safari Kemp</w:t>
            </w:r>
          </w:p>
        </w:tc>
        <w:tc>
          <w:tcPr>
            <w:tcW w:w="2006" w:type="dxa"/>
            <w:vAlign w:val="center"/>
          </w:tcPr>
          <w:p w:rsidR="00482DC9" w:rsidRPr="002F7A04" w:rsidRDefault="00482DC9" w:rsidP="004707C4">
            <w:pPr>
              <w:spacing w:before="20" w:after="20"/>
              <w:ind w:right="342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29 851 566</w:t>
            </w:r>
          </w:p>
        </w:tc>
        <w:tc>
          <w:tcPr>
            <w:tcW w:w="1396" w:type="dxa"/>
            <w:vAlign w:val="center"/>
          </w:tcPr>
          <w:p w:rsidR="00482DC9" w:rsidRPr="002F7A04" w:rsidRDefault="00482DC9" w:rsidP="00B11C5E">
            <w:pPr>
              <w:spacing w:before="20" w:after="20"/>
              <w:ind w:right="179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25 806 011</w:t>
            </w:r>
          </w:p>
        </w:tc>
      </w:tr>
      <w:tr w:rsidR="002F7A04" w:rsidRPr="002F7A04" w:rsidTr="004707C4">
        <w:trPr>
          <w:trHeight w:val="283"/>
          <w:jc w:val="center"/>
        </w:trPr>
        <w:tc>
          <w:tcPr>
            <w:tcW w:w="2157" w:type="dxa"/>
            <w:vMerge/>
            <w:vAlign w:val="center"/>
          </w:tcPr>
          <w:p w:rsidR="00482DC9" w:rsidRPr="002F7A04" w:rsidRDefault="00482DC9" w:rsidP="002F7A04">
            <w:pPr>
              <w:spacing w:before="20" w:after="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40" w:type="dxa"/>
            <w:vAlign w:val="center"/>
          </w:tcPr>
          <w:p w:rsidR="00482DC9" w:rsidRPr="002F7A04" w:rsidRDefault="00482DC9" w:rsidP="002F7A04">
            <w:pPr>
              <w:spacing w:before="20" w:after="20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Turistický cíl – Pavilon goril</w:t>
            </w:r>
          </w:p>
        </w:tc>
        <w:tc>
          <w:tcPr>
            <w:tcW w:w="2006" w:type="dxa"/>
            <w:vAlign w:val="center"/>
          </w:tcPr>
          <w:p w:rsidR="00482DC9" w:rsidRPr="002F7A04" w:rsidRDefault="00482DC9" w:rsidP="004707C4">
            <w:pPr>
              <w:spacing w:before="20" w:after="20"/>
              <w:ind w:right="342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19 276 900</w:t>
            </w:r>
          </w:p>
        </w:tc>
        <w:tc>
          <w:tcPr>
            <w:tcW w:w="1396" w:type="dxa"/>
            <w:vAlign w:val="center"/>
          </w:tcPr>
          <w:p w:rsidR="00482DC9" w:rsidRPr="002F7A04" w:rsidRDefault="00482DC9" w:rsidP="00B11C5E">
            <w:pPr>
              <w:spacing w:before="20" w:after="20"/>
              <w:ind w:right="179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19 276 900</w:t>
            </w:r>
          </w:p>
        </w:tc>
      </w:tr>
      <w:tr w:rsidR="002F7A04" w:rsidRPr="002F7A04" w:rsidTr="004707C4">
        <w:trPr>
          <w:trHeight w:val="283"/>
          <w:jc w:val="center"/>
        </w:trPr>
        <w:tc>
          <w:tcPr>
            <w:tcW w:w="2157" w:type="dxa"/>
            <w:vAlign w:val="center"/>
          </w:tcPr>
          <w:p w:rsidR="00482DC9" w:rsidRPr="002F7A04" w:rsidRDefault="00484D6C" w:rsidP="002F7A04">
            <w:pPr>
              <w:spacing w:before="20" w:after="2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M</w:t>
            </w:r>
            <w:r w:rsidR="00482DC9" w:rsidRPr="002F7A04">
              <w:rPr>
                <w:rFonts w:cs="Arial"/>
                <w:color w:val="000000" w:themeColor="text1"/>
                <w:sz w:val="18"/>
                <w:szCs w:val="18"/>
              </w:rPr>
              <w:t>ěsto Třebíč</w:t>
            </w:r>
          </w:p>
        </w:tc>
        <w:tc>
          <w:tcPr>
            <w:tcW w:w="3740" w:type="dxa"/>
            <w:vAlign w:val="center"/>
          </w:tcPr>
          <w:p w:rsidR="00482DC9" w:rsidRPr="002F7A04" w:rsidRDefault="00482DC9" w:rsidP="002F7A04">
            <w:pPr>
              <w:spacing w:before="20" w:after="20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Rekonstrukce objektu Předzámčí</w:t>
            </w:r>
            <w:r w:rsidR="002F7A04">
              <w:rPr>
                <w:rFonts w:cs="Arial"/>
                <w:color w:val="000000" w:themeColor="text1"/>
                <w:sz w:val="18"/>
                <w:szCs w:val="18"/>
              </w:rPr>
              <w:t xml:space="preserve"> s novou interaktivní expozicí –</w:t>
            </w: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 xml:space="preserve"> Vnímání všemi smysly</w:t>
            </w:r>
          </w:p>
        </w:tc>
        <w:tc>
          <w:tcPr>
            <w:tcW w:w="2006" w:type="dxa"/>
            <w:vAlign w:val="center"/>
          </w:tcPr>
          <w:p w:rsidR="00482DC9" w:rsidRPr="002F7A04" w:rsidRDefault="00482DC9" w:rsidP="004707C4">
            <w:pPr>
              <w:spacing w:before="20" w:after="20"/>
              <w:ind w:right="342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37 356 954</w:t>
            </w:r>
          </w:p>
        </w:tc>
        <w:tc>
          <w:tcPr>
            <w:tcW w:w="1396" w:type="dxa"/>
            <w:vAlign w:val="center"/>
          </w:tcPr>
          <w:p w:rsidR="00482DC9" w:rsidRPr="002F7A04" w:rsidRDefault="00482DC9" w:rsidP="00B11C5E">
            <w:pPr>
              <w:spacing w:before="20" w:after="20"/>
              <w:ind w:right="179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26 629 279</w:t>
            </w:r>
          </w:p>
        </w:tc>
      </w:tr>
      <w:tr w:rsidR="002F7A04" w:rsidRPr="002F7A04" w:rsidTr="004707C4">
        <w:trPr>
          <w:trHeight w:val="283"/>
          <w:jc w:val="center"/>
        </w:trPr>
        <w:tc>
          <w:tcPr>
            <w:tcW w:w="2157" w:type="dxa"/>
            <w:vAlign w:val="center"/>
          </w:tcPr>
          <w:p w:rsidR="00482DC9" w:rsidRPr="002F7A04" w:rsidRDefault="00482DC9" w:rsidP="002F7A04">
            <w:pPr>
              <w:spacing w:before="20" w:after="20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 xml:space="preserve">Sportovní klub Nové </w:t>
            </w:r>
            <w:r w:rsidR="00BC0D11" w:rsidRPr="002F7A04">
              <w:rPr>
                <w:rFonts w:cs="Arial"/>
                <w:color w:val="000000" w:themeColor="text1"/>
                <w:sz w:val="18"/>
                <w:szCs w:val="18"/>
              </w:rPr>
              <w:t>M</w:t>
            </w: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ěsto na Moravě</w:t>
            </w:r>
          </w:p>
        </w:tc>
        <w:tc>
          <w:tcPr>
            <w:tcW w:w="3740" w:type="dxa"/>
            <w:vAlign w:val="center"/>
          </w:tcPr>
          <w:p w:rsidR="00482DC9" w:rsidRPr="002F7A04" w:rsidRDefault="00482DC9" w:rsidP="002F7A04">
            <w:pPr>
              <w:spacing w:before="20" w:after="20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Rozšíření běžeckých tras na Novoměstsku</w:t>
            </w:r>
          </w:p>
        </w:tc>
        <w:tc>
          <w:tcPr>
            <w:tcW w:w="2006" w:type="dxa"/>
            <w:vAlign w:val="center"/>
          </w:tcPr>
          <w:p w:rsidR="00482DC9" w:rsidRPr="002F7A04" w:rsidRDefault="00482DC9" w:rsidP="004707C4">
            <w:pPr>
              <w:spacing w:before="20" w:after="20"/>
              <w:ind w:right="342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98 242 835</w:t>
            </w:r>
          </w:p>
        </w:tc>
        <w:tc>
          <w:tcPr>
            <w:tcW w:w="1396" w:type="dxa"/>
            <w:vAlign w:val="center"/>
          </w:tcPr>
          <w:p w:rsidR="00482DC9" w:rsidRPr="002F7A04" w:rsidRDefault="00482DC9" w:rsidP="00B11C5E">
            <w:pPr>
              <w:spacing w:before="20" w:after="20"/>
              <w:ind w:right="179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74 673 930</w:t>
            </w:r>
          </w:p>
        </w:tc>
      </w:tr>
      <w:tr w:rsidR="002F7A04" w:rsidRPr="002F7A04" w:rsidTr="004707C4">
        <w:trPr>
          <w:trHeight w:val="283"/>
          <w:jc w:val="center"/>
        </w:trPr>
        <w:tc>
          <w:tcPr>
            <w:tcW w:w="2157" w:type="dxa"/>
            <w:vAlign w:val="center"/>
          </w:tcPr>
          <w:p w:rsidR="00482DC9" w:rsidRPr="002F7A04" w:rsidRDefault="00482DC9" w:rsidP="002F7A04">
            <w:pPr>
              <w:spacing w:before="20" w:after="20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Malý zámeček, s.r.o.</w:t>
            </w:r>
          </w:p>
        </w:tc>
        <w:tc>
          <w:tcPr>
            <w:tcW w:w="3740" w:type="dxa"/>
            <w:vAlign w:val="center"/>
          </w:tcPr>
          <w:p w:rsidR="00482DC9" w:rsidRPr="002F7A04" w:rsidRDefault="00482DC9" w:rsidP="002F7A04">
            <w:pPr>
              <w:spacing w:before="20" w:after="20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Zámek Herálec</w:t>
            </w:r>
          </w:p>
        </w:tc>
        <w:tc>
          <w:tcPr>
            <w:tcW w:w="2006" w:type="dxa"/>
            <w:vAlign w:val="center"/>
          </w:tcPr>
          <w:p w:rsidR="00482DC9" w:rsidRPr="002F7A04" w:rsidRDefault="00482DC9" w:rsidP="004707C4">
            <w:pPr>
              <w:spacing w:before="20" w:after="20"/>
              <w:ind w:right="342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49 738 551</w:t>
            </w:r>
          </w:p>
        </w:tc>
        <w:tc>
          <w:tcPr>
            <w:tcW w:w="1396" w:type="dxa"/>
            <w:vAlign w:val="center"/>
          </w:tcPr>
          <w:p w:rsidR="00482DC9" w:rsidRPr="002F7A04" w:rsidRDefault="00482DC9" w:rsidP="00B11C5E">
            <w:pPr>
              <w:spacing w:before="20" w:after="20"/>
              <w:ind w:right="179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49 195 281</w:t>
            </w:r>
          </w:p>
        </w:tc>
      </w:tr>
      <w:tr w:rsidR="002F7A04" w:rsidRPr="002F7A04" w:rsidTr="004707C4">
        <w:trPr>
          <w:trHeight w:val="283"/>
          <w:jc w:val="center"/>
        </w:trPr>
        <w:tc>
          <w:tcPr>
            <w:tcW w:w="2157" w:type="dxa"/>
            <w:vAlign w:val="center"/>
          </w:tcPr>
          <w:p w:rsidR="00482DC9" w:rsidRPr="002F7A04" w:rsidRDefault="00484D6C" w:rsidP="002F7A04">
            <w:pPr>
              <w:spacing w:before="20" w:after="2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M</w:t>
            </w:r>
            <w:r w:rsidR="00482DC9" w:rsidRPr="002F7A04">
              <w:rPr>
                <w:rFonts w:cs="Arial"/>
                <w:color w:val="000000" w:themeColor="text1"/>
                <w:sz w:val="18"/>
                <w:szCs w:val="18"/>
              </w:rPr>
              <w:t>ěsto Žirovnice</w:t>
            </w:r>
          </w:p>
        </w:tc>
        <w:tc>
          <w:tcPr>
            <w:tcW w:w="3740" w:type="dxa"/>
            <w:vAlign w:val="center"/>
          </w:tcPr>
          <w:p w:rsidR="00482DC9" w:rsidRPr="002F7A04" w:rsidRDefault="00482DC9" w:rsidP="002F7A04">
            <w:pPr>
              <w:spacing w:before="20" w:after="20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Revitalizace zámeckého pivovaru – Knoflíkářské muzeum</w:t>
            </w:r>
          </w:p>
        </w:tc>
        <w:tc>
          <w:tcPr>
            <w:tcW w:w="2006" w:type="dxa"/>
            <w:vAlign w:val="center"/>
          </w:tcPr>
          <w:p w:rsidR="00482DC9" w:rsidRPr="002F7A04" w:rsidRDefault="00482DC9" w:rsidP="004707C4">
            <w:pPr>
              <w:spacing w:before="20" w:after="20"/>
              <w:ind w:right="342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27 681 665</w:t>
            </w:r>
          </w:p>
        </w:tc>
        <w:tc>
          <w:tcPr>
            <w:tcW w:w="1396" w:type="dxa"/>
            <w:vAlign w:val="center"/>
          </w:tcPr>
          <w:p w:rsidR="00482DC9" w:rsidRPr="002F7A04" w:rsidRDefault="00482DC9" w:rsidP="00B11C5E">
            <w:pPr>
              <w:spacing w:before="20" w:after="20"/>
              <w:ind w:right="179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27 681 665</w:t>
            </w:r>
          </w:p>
        </w:tc>
      </w:tr>
      <w:tr w:rsidR="002F7A04" w:rsidRPr="002F7A04" w:rsidTr="004707C4">
        <w:trPr>
          <w:trHeight w:val="283"/>
          <w:jc w:val="center"/>
        </w:trPr>
        <w:tc>
          <w:tcPr>
            <w:tcW w:w="9299" w:type="dxa"/>
            <w:gridSpan w:val="4"/>
            <w:tcBorders>
              <w:bottom w:val="single" w:sz="4" w:space="0" w:color="auto"/>
            </w:tcBorders>
            <w:vAlign w:val="center"/>
          </w:tcPr>
          <w:p w:rsidR="002F7A04" w:rsidRPr="00176A44" w:rsidRDefault="002F7A04" w:rsidP="004707C4">
            <w:pPr>
              <w:spacing w:before="20" w:after="20"/>
              <w:ind w:right="342"/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176A44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>Integrovaný operační program</w:t>
            </w:r>
          </w:p>
        </w:tc>
      </w:tr>
      <w:tr w:rsidR="002F7A04" w:rsidRPr="002F7A04" w:rsidTr="004707C4">
        <w:trPr>
          <w:trHeight w:val="283"/>
          <w:jc w:val="center"/>
        </w:trPr>
        <w:tc>
          <w:tcPr>
            <w:tcW w:w="2157" w:type="dxa"/>
            <w:vMerge w:val="restart"/>
            <w:tcBorders>
              <w:bottom w:val="single" w:sz="4" w:space="0" w:color="auto"/>
            </w:tcBorders>
            <w:vAlign w:val="center"/>
          </w:tcPr>
          <w:p w:rsidR="00482DC9" w:rsidRPr="002F7A04" w:rsidRDefault="00482DC9" w:rsidP="002F7A04">
            <w:pPr>
              <w:spacing w:before="20" w:after="20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MMR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:rsidR="00482DC9" w:rsidRPr="002F7A04" w:rsidRDefault="00482DC9" w:rsidP="002F7A04">
            <w:pPr>
              <w:spacing w:before="20" w:after="20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Zlepšení kvality služeb turistických informačních center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482DC9" w:rsidRPr="002F7A04" w:rsidRDefault="00482DC9" w:rsidP="004707C4">
            <w:pPr>
              <w:spacing w:before="20" w:after="20"/>
              <w:ind w:right="342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25 500 000</w:t>
            </w:r>
          </w:p>
        </w:tc>
        <w:tc>
          <w:tcPr>
            <w:tcW w:w="1396" w:type="dxa"/>
            <w:vMerge w:val="restart"/>
            <w:tcBorders>
              <w:bottom w:val="single" w:sz="4" w:space="0" w:color="auto"/>
            </w:tcBorders>
            <w:vAlign w:val="center"/>
          </w:tcPr>
          <w:p w:rsidR="00482DC9" w:rsidRPr="002F7A04" w:rsidRDefault="00D46C5A" w:rsidP="00B11C5E">
            <w:pPr>
              <w:spacing w:before="20" w:after="20"/>
              <w:ind w:right="125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11 801</w:t>
            </w:r>
            <w:r w:rsidR="00B11C5E">
              <w:rPr>
                <w:rFonts w:cs="Arial"/>
                <w:color w:val="000000" w:themeColor="text1"/>
                <w:sz w:val="18"/>
                <w:szCs w:val="18"/>
              </w:rPr>
              <w:t> </w:t>
            </w: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139</w:t>
            </w:r>
            <w:r w:rsidR="00B11C5E">
              <w:rPr>
                <w:rFonts w:cs="Arial"/>
                <w:color w:val="000000" w:themeColor="text1"/>
                <w:sz w:val="18"/>
                <w:szCs w:val="18"/>
              </w:rPr>
              <w:t>*</w:t>
            </w:r>
          </w:p>
        </w:tc>
      </w:tr>
      <w:tr w:rsidR="002F7A04" w:rsidRPr="002F7A04" w:rsidTr="004707C4">
        <w:trPr>
          <w:trHeight w:val="283"/>
          <w:jc w:val="center"/>
        </w:trPr>
        <w:tc>
          <w:tcPr>
            <w:tcW w:w="2157" w:type="dxa"/>
            <w:vMerge/>
            <w:tcBorders>
              <w:bottom w:val="single" w:sz="4" w:space="0" w:color="auto"/>
            </w:tcBorders>
            <w:vAlign w:val="center"/>
          </w:tcPr>
          <w:p w:rsidR="00482DC9" w:rsidRPr="002F7A04" w:rsidRDefault="00482DC9" w:rsidP="002F7A04">
            <w:pPr>
              <w:spacing w:before="20" w:after="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:rsidR="00482DC9" w:rsidRPr="002F7A04" w:rsidRDefault="00482DC9" w:rsidP="002F7A04">
            <w:pPr>
              <w:spacing w:before="20" w:after="20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Kvalita služeb v segmentu venkovského cestovního ruchu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482DC9" w:rsidRPr="002F7A04" w:rsidRDefault="00482DC9" w:rsidP="004707C4">
            <w:pPr>
              <w:spacing w:before="20" w:after="20"/>
              <w:ind w:right="342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37 780 000</w:t>
            </w:r>
          </w:p>
        </w:tc>
        <w:tc>
          <w:tcPr>
            <w:tcW w:w="1396" w:type="dxa"/>
            <w:vMerge/>
            <w:tcBorders>
              <w:bottom w:val="single" w:sz="4" w:space="0" w:color="auto"/>
            </w:tcBorders>
            <w:vAlign w:val="center"/>
          </w:tcPr>
          <w:p w:rsidR="00482DC9" w:rsidRPr="002F7A04" w:rsidRDefault="00482DC9" w:rsidP="00B11C5E">
            <w:pPr>
              <w:spacing w:before="20" w:after="20"/>
              <w:ind w:right="179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2F7A04" w:rsidRPr="002F7A04" w:rsidTr="004707C4">
        <w:trPr>
          <w:trHeight w:val="283"/>
          <w:jc w:val="center"/>
        </w:trPr>
        <w:tc>
          <w:tcPr>
            <w:tcW w:w="2157" w:type="dxa"/>
            <w:vMerge/>
            <w:tcBorders>
              <w:bottom w:val="single" w:sz="12" w:space="0" w:color="auto"/>
            </w:tcBorders>
            <w:vAlign w:val="center"/>
          </w:tcPr>
          <w:p w:rsidR="00482DC9" w:rsidRPr="002F7A04" w:rsidRDefault="00482DC9" w:rsidP="002F7A04">
            <w:pPr>
              <w:spacing w:before="20" w:after="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:rsidR="00482DC9" w:rsidRPr="002F7A04" w:rsidRDefault="00482DC9" w:rsidP="002F7A04">
            <w:pPr>
              <w:spacing w:before="20" w:after="20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Zavádění národních standardů kvality ve vybraných sektorech cestovního ruchu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482DC9" w:rsidRPr="002F7A04" w:rsidRDefault="00482DC9" w:rsidP="004707C4">
            <w:pPr>
              <w:spacing w:before="20" w:after="20"/>
              <w:ind w:right="342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78 499 000</w:t>
            </w:r>
          </w:p>
        </w:tc>
        <w:tc>
          <w:tcPr>
            <w:tcW w:w="1396" w:type="dxa"/>
            <w:vMerge/>
            <w:tcBorders>
              <w:bottom w:val="single" w:sz="4" w:space="0" w:color="auto"/>
            </w:tcBorders>
            <w:vAlign w:val="center"/>
          </w:tcPr>
          <w:p w:rsidR="00482DC9" w:rsidRPr="002F7A04" w:rsidRDefault="00482DC9" w:rsidP="00B11C5E">
            <w:pPr>
              <w:spacing w:before="20" w:after="20"/>
              <w:ind w:right="179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2F7A04" w:rsidRPr="002F7A04" w:rsidTr="004707C4">
        <w:trPr>
          <w:trHeight w:val="283"/>
          <w:jc w:val="center"/>
        </w:trPr>
        <w:tc>
          <w:tcPr>
            <w:tcW w:w="2157" w:type="dxa"/>
            <w:vMerge/>
            <w:vAlign w:val="center"/>
          </w:tcPr>
          <w:p w:rsidR="00482DC9" w:rsidRPr="002F7A04" w:rsidRDefault="00482DC9" w:rsidP="002F7A04">
            <w:pPr>
              <w:spacing w:before="20" w:after="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DC9" w:rsidRPr="002F7A04" w:rsidRDefault="00482DC9" w:rsidP="002F7A04">
            <w:pPr>
              <w:spacing w:before="20" w:after="20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Národní systém kvality služeb cestovního ruchu v České republice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DC9" w:rsidRPr="002F7A04" w:rsidRDefault="00482DC9" w:rsidP="004707C4">
            <w:pPr>
              <w:spacing w:before="20" w:after="20"/>
              <w:ind w:right="342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95 145 449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DC9" w:rsidRPr="002F7A04" w:rsidRDefault="00482DC9" w:rsidP="00B11C5E">
            <w:pPr>
              <w:spacing w:before="20" w:after="20"/>
              <w:ind w:right="179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41 177 418</w:t>
            </w:r>
          </w:p>
        </w:tc>
      </w:tr>
      <w:tr w:rsidR="002F7A04" w:rsidRPr="002F7A04" w:rsidTr="004707C4">
        <w:trPr>
          <w:trHeight w:val="283"/>
          <w:jc w:val="center"/>
        </w:trPr>
        <w:tc>
          <w:tcPr>
            <w:tcW w:w="2157" w:type="dxa"/>
            <w:vMerge w:val="restart"/>
            <w:vAlign w:val="center"/>
          </w:tcPr>
          <w:p w:rsidR="00482DC9" w:rsidRPr="002F7A04" w:rsidRDefault="00482DC9" w:rsidP="002F7A04">
            <w:pPr>
              <w:spacing w:before="20" w:after="20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CzechTourism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</w:tcBorders>
            <w:vAlign w:val="center"/>
          </w:tcPr>
          <w:p w:rsidR="00482DC9" w:rsidRPr="002F7A04" w:rsidRDefault="00482DC9" w:rsidP="002F7A04">
            <w:pPr>
              <w:spacing w:before="20" w:after="20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Upevn</w:t>
            </w:r>
            <w:r w:rsidR="002F7A04">
              <w:rPr>
                <w:rFonts w:cs="Arial"/>
                <w:color w:val="000000" w:themeColor="text1"/>
                <w:sz w:val="18"/>
                <w:szCs w:val="18"/>
              </w:rPr>
              <w:t>ění postavení České republiky a </w:t>
            </w: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její konkurenceschopnosti v cestovním ruchu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vAlign w:val="center"/>
          </w:tcPr>
          <w:p w:rsidR="00482DC9" w:rsidRPr="002F7A04" w:rsidRDefault="00482DC9" w:rsidP="004707C4">
            <w:pPr>
              <w:spacing w:before="20" w:after="20"/>
              <w:ind w:right="342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81 047 933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482DC9" w:rsidRPr="002F7A04" w:rsidRDefault="00482DC9" w:rsidP="00B11C5E">
            <w:pPr>
              <w:spacing w:before="20" w:after="20"/>
              <w:ind w:right="179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68 230 006</w:t>
            </w:r>
          </w:p>
        </w:tc>
      </w:tr>
      <w:tr w:rsidR="002F7A04" w:rsidRPr="002F7A04" w:rsidTr="004707C4">
        <w:trPr>
          <w:trHeight w:val="283"/>
          <w:jc w:val="center"/>
        </w:trPr>
        <w:tc>
          <w:tcPr>
            <w:tcW w:w="2157" w:type="dxa"/>
            <w:vMerge/>
            <w:vAlign w:val="center"/>
          </w:tcPr>
          <w:p w:rsidR="00482DC9" w:rsidRPr="002F7A04" w:rsidRDefault="00482DC9" w:rsidP="002F7A04">
            <w:pPr>
              <w:spacing w:before="20" w:after="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40" w:type="dxa"/>
            <w:vAlign w:val="center"/>
          </w:tcPr>
          <w:p w:rsidR="00482DC9" w:rsidRPr="002F7A04" w:rsidRDefault="00482DC9" w:rsidP="002F7A04">
            <w:pPr>
              <w:spacing w:before="20" w:after="20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Rebranding</w:t>
            </w:r>
            <w:proofErr w:type="spellEnd"/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 xml:space="preserve"> a marketingová podpora příjezdového cestovního ruchu</w:t>
            </w:r>
          </w:p>
        </w:tc>
        <w:tc>
          <w:tcPr>
            <w:tcW w:w="2006" w:type="dxa"/>
            <w:vAlign w:val="center"/>
          </w:tcPr>
          <w:p w:rsidR="00482DC9" w:rsidRPr="002F7A04" w:rsidRDefault="00482DC9" w:rsidP="004707C4">
            <w:pPr>
              <w:spacing w:before="20" w:after="20"/>
              <w:ind w:right="342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232 807 000</w:t>
            </w:r>
          </w:p>
        </w:tc>
        <w:tc>
          <w:tcPr>
            <w:tcW w:w="1396" w:type="dxa"/>
            <w:vAlign w:val="center"/>
          </w:tcPr>
          <w:p w:rsidR="00482DC9" w:rsidRPr="002F7A04" w:rsidRDefault="00482DC9" w:rsidP="00B11C5E">
            <w:pPr>
              <w:spacing w:before="20" w:after="20"/>
              <w:ind w:right="179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64 448 345</w:t>
            </w:r>
          </w:p>
        </w:tc>
      </w:tr>
      <w:tr w:rsidR="002F7A04" w:rsidRPr="002F7A04" w:rsidTr="004707C4">
        <w:trPr>
          <w:trHeight w:val="283"/>
          <w:jc w:val="center"/>
        </w:trPr>
        <w:tc>
          <w:tcPr>
            <w:tcW w:w="2157" w:type="dxa"/>
            <w:vMerge/>
            <w:vAlign w:val="center"/>
          </w:tcPr>
          <w:p w:rsidR="00482DC9" w:rsidRPr="002F7A04" w:rsidRDefault="00482DC9" w:rsidP="002F7A04">
            <w:pPr>
              <w:spacing w:before="20" w:after="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40" w:type="dxa"/>
            <w:vAlign w:val="center"/>
          </w:tcPr>
          <w:p w:rsidR="00482DC9" w:rsidRPr="002F7A04" w:rsidRDefault="00482DC9" w:rsidP="002F7A04">
            <w:pPr>
              <w:spacing w:before="20" w:after="20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Česko chutná skvěle</w:t>
            </w:r>
          </w:p>
        </w:tc>
        <w:tc>
          <w:tcPr>
            <w:tcW w:w="2006" w:type="dxa"/>
            <w:vAlign w:val="center"/>
          </w:tcPr>
          <w:p w:rsidR="00482DC9" w:rsidRPr="002F7A04" w:rsidRDefault="00482DC9" w:rsidP="004707C4">
            <w:pPr>
              <w:spacing w:before="20" w:after="20"/>
              <w:ind w:right="342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29 573 650</w:t>
            </w:r>
          </w:p>
        </w:tc>
        <w:tc>
          <w:tcPr>
            <w:tcW w:w="1396" w:type="dxa"/>
            <w:vAlign w:val="center"/>
          </w:tcPr>
          <w:p w:rsidR="00482DC9" w:rsidRPr="002F7A04" w:rsidRDefault="00482DC9" w:rsidP="00B11C5E">
            <w:pPr>
              <w:spacing w:before="20" w:after="20"/>
              <w:ind w:right="179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2F7A04" w:rsidRPr="002F7A04" w:rsidTr="004707C4">
        <w:trPr>
          <w:trHeight w:val="283"/>
          <w:jc w:val="center"/>
        </w:trPr>
        <w:tc>
          <w:tcPr>
            <w:tcW w:w="21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2DC9" w:rsidRPr="002F7A04" w:rsidRDefault="00482DC9" w:rsidP="002F7A04">
            <w:pPr>
              <w:spacing w:before="20" w:after="2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b/>
                <w:color w:val="000000" w:themeColor="text1"/>
                <w:sz w:val="18"/>
                <w:szCs w:val="18"/>
              </w:rPr>
              <w:t>Celkem</w:t>
            </w:r>
          </w:p>
        </w:tc>
        <w:tc>
          <w:tcPr>
            <w:tcW w:w="3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2DC9" w:rsidRPr="002F7A04" w:rsidRDefault="00482DC9" w:rsidP="002F7A04">
            <w:pPr>
              <w:spacing w:before="20" w:after="2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2DC9" w:rsidRPr="002F7A04" w:rsidRDefault="001A0BE2" w:rsidP="004707C4">
            <w:pPr>
              <w:spacing w:before="20" w:after="20"/>
              <w:ind w:right="342"/>
              <w:jc w:val="right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b/>
                <w:color w:val="000000" w:themeColor="text1"/>
                <w:sz w:val="18"/>
                <w:szCs w:val="18"/>
              </w:rPr>
              <w:t>1 180 199 750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2DC9" w:rsidRPr="002F7A04" w:rsidRDefault="00482DC9" w:rsidP="00B11C5E">
            <w:pPr>
              <w:spacing w:before="20" w:after="20"/>
              <w:ind w:right="179"/>
              <w:jc w:val="right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2F7A04">
              <w:rPr>
                <w:rFonts w:cs="Arial"/>
                <w:b/>
                <w:color w:val="000000" w:themeColor="text1"/>
                <w:sz w:val="18"/>
                <w:szCs w:val="18"/>
              </w:rPr>
              <w:t>740 541 347</w:t>
            </w:r>
          </w:p>
        </w:tc>
      </w:tr>
    </w:tbl>
    <w:p w:rsidR="00482DC9" w:rsidRPr="002F7A04" w:rsidRDefault="00482DC9" w:rsidP="002F7A04">
      <w:pPr>
        <w:spacing w:before="40"/>
        <w:rPr>
          <w:rFonts w:cs="Arial"/>
          <w:color w:val="000000" w:themeColor="text1"/>
          <w:sz w:val="18"/>
          <w:szCs w:val="18"/>
        </w:rPr>
      </w:pPr>
      <w:r w:rsidRPr="002F7A04">
        <w:rPr>
          <w:rFonts w:cs="Arial"/>
          <w:b/>
          <w:color w:val="000000" w:themeColor="text1"/>
          <w:sz w:val="18"/>
          <w:szCs w:val="18"/>
        </w:rPr>
        <w:t>Zdroj:</w:t>
      </w:r>
      <w:r w:rsidRPr="002F7A04">
        <w:rPr>
          <w:rFonts w:cs="Arial"/>
          <w:color w:val="000000" w:themeColor="text1"/>
          <w:sz w:val="18"/>
          <w:szCs w:val="18"/>
        </w:rPr>
        <w:t xml:space="preserve"> kontrolní protokoly NKÚ u příjemců podpory</w:t>
      </w:r>
      <w:r w:rsidR="00481C83" w:rsidRPr="002F7A04">
        <w:rPr>
          <w:rFonts w:cs="Arial"/>
          <w:color w:val="000000" w:themeColor="text1"/>
          <w:sz w:val="18"/>
          <w:szCs w:val="18"/>
        </w:rPr>
        <w:t>.</w:t>
      </w:r>
    </w:p>
    <w:p w:rsidR="00482DC9" w:rsidRPr="002F7A04" w:rsidRDefault="00B11C5E" w:rsidP="002F7A04">
      <w:pPr>
        <w:ind w:left="284" w:hanging="284"/>
        <w:jc w:val="both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>*</w:t>
      </w:r>
      <w:r w:rsidR="002F7A04">
        <w:rPr>
          <w:rFonts w:cs="Arial"/>
          <w:color w:val="000000" w:themeColor="text1"/>
          <w:sz w:val="18"/>
          <w:szCs w:val="18"/>
        </w:rPr>
        <w:tab/>
      </w:r>
      <w:r w:rsidR="00B06316">
        <w:rPr>
          <w:rFonts w:cs="Arial"/>
          <w:color w:val="000000" w:themeColor="text1"/>
          <w:sz w:val="18"/>
          <w:szCs w:val="18"/>
        </w:rPr>
        <w:t>V</w:t>
      </w:r>
      <w:r w:rsidR="00482DC9" w:rsidRPr="002F7A04">
        <w:rPr>
          <w:rFonts w:cs="Arial"/>
          <w:color w:val="000000" w:themeColor="text1"/>
          <w:sz w:val="18"/>
          <w:szCs w:val="18"/>
        </w:rPr>
        <w:t xml:space="preserve"> tom zahrnuta částka 6 359 215 Kč, která byla převedena do projektu </w:t>
      </w:r>
      <w:r w:rsidR="00482DC9" w:rsidRPr="00176A44">
        <w:rPr>
          <w:rFonts w:cs="Arial"/>
          <w:i/>
          <w:color w:val="000000" w:themeColor="text1"/>
          <w:sz w:val="18"/>
          <w:szCs w:val="18"/>
        </w:rPr>
        <w:t>Národní systém kvality služeb cestovního ruchu v České republice</w:t>
      </w:r>
      <w:r w:rsidR="00481C83" w:rsidRPr="002F7A04">
        <w:rPr>
          <w:rFonts w:cs="Arial"/>
          <w:color w:val="000000" w:themeColor="text1"/>
          <w:sz w:val="18"/>
          <w:szCs w:val="18"/>
        </w:rPr>
        <w:t>.</w:t>
      </w:r>
    </w:p>
    <w:sectPr w:rsidR="00482DC9" w:rsidRPr="002F7A04" w:rsidSect="005143E7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E7D" w:rsidRDefault="00940E7D" w:rsidP="00703977">
      <w:r>
        <w:separator/>
      </w:r>
    </w:p>
  </w:endnote>
  <w:endnote w:type="continuationSeparator" w:id="0">
    <w:p w:rsidR="00940E7D" w:rsidRDefault="00940E7D" w:rsidP="0070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FCHLL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64975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940E7D" w:rsidRPr="005A2E16" w:rsidRDefault="00940E7D">
        <w:pPr>
          <w:pStyle w:val="Zpat"/>
          <w:jc w:val="center"/>
          <w:rPr>
            <w:sz w:val="22"/>
            <w:szCs w:val="22"/>
          </w:rPr>
        </w:pPr>
        <w:r w:rsidRPr="005A2E16">
          <w:rPr>
            <w:sz w:val="22"/>
            <w:szCs w:val="22"/>
          </w:rPr>
          <w:fldChar w:fldCharType="begin"/>
        </w:r>
        <w:r w:rsidRPr="005A2E16">
          <w:rPr>
            <w:sz w:val="22"/>
            <w:szCs w:val="22"/>
          </w:rPr>
          <w:instrText>PAGE   \* MERGEFORMAT</w:instrText>
        </w:r>
        <w:r w:rsidRPr="005A2E16">
          <w:rPr>
            <w:sz w:val="22"/>
            <w:szCs w:val="22"/>
          </w:rPr>
          <w:fldChar w:fldCharType="separate"/>
        </w:r>
        <w:r w:rsidR="00A02863">
          <w:rPr>
            <w:noProof/>
            <w:sz w:val="22"/>
            <w:szCs w:val="22"/>
          </w:rPr>
          <w:t>9</w:t>
        </w:r>
        <w:r w:rsidRPr="005A2E16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E7D" w:rsidRDefault="00940E7D" w:rsidP="00703977">
      <w:r>
        <w:separator/>
      </w:r>
    </w:p>
  </w:footnote>
  <w:footnote w:type="continuationSeparator" w:id="0">
    <w:p w:rsidR="00940E7D" w:rsidRDefault="00940E7D" w:rsidP="00703977">
      <w:r>
        <w:continuationSeparator/>
      </w:r>
    </w:p>
  </w:footnote>
  <w:footnote w:id="1">
    <w:p w:rsidR="00940E7D" w:rsidRPr="00D3557D" w:rsidRDefault="00940E7D" w:rsidP="00BC0D11">
      <w:pPr>
        <w:ind w:left="284" w:hanging="284"/>
        <w:jc w:val="both"/>
        <w:rPr>
          <w:rFonts w:cs="Arial"/>
          <w:sz w:val="18"/>
          <w:szCs w:val="18"/>
        </w:rPr>
      </w:pPr>
      <w:r w:rsidRPr="00D3557D">
        <w:rPr>
          <w:rStyle w:val="Znakapoznpodarou"/>
          <w:rFonts w:cs="Arial"/>
          <w:sz w:val="18"/>
          <w:szCs w:val="18"/>
        </w:rPr>
        <w:footnoteRef/>
      </w:r>
      <w:r w:rsidRPr="00D3557D">
        <w:rPr>
          <w:rFonts w:cs="Arial"/>
          <w:sz w:val="18"/>
          <w:szCs w:val="18"/>
        </w:rPr>
        <w:tab/>
        <w:t xml:space="preserve">Usnesení vlády ČR ze dne 7. listopadu 2007 č. 1239, </w:t>
      </w:r>
      <w:r w:rsidRPr="00EB18B3">
        <w:rPr>
          <w:rFonts w:cs="Arial"/>
          <w:i/>
          <w:sz w:val="18"/>
          <w:szCs w:val="18"/>
        </w:rPr>
        <w:t>o Koncepci státní politiky cestovního ruchu v České republice na období let 2007 až 2013</w:t>
      </w:r>
      <w:r w:rsidRPr="00D3557D">
        <w:rPr>
          <w:rFonts w:cs="Arial"/>
          <w:sz w:val="18"/>
          <w:szCs w:val="18"/>
        </w:rPr>
        <w:t>.</w:t>
      </w:r>
    </w:p>
  </w:footnote>
  <w:footnote w:id="2">
    <w:p w:rsidR="00940E7D" w:rsidRPr="00D3557D" w:rsidRDefault="00940E7D" w:rsidP="00BC0D11">
      <w:pPr>
        <w:pStyle w:val="Textpoznpodarou"/>
        <w:ind w:left="284" w:hanging="284"/>
        <w:jc w:val="both"/>
        <w:rPr>
          <w:rFonts w:cs="Arial"/>
          <w:sz w:val="18"/>
          <w:szCs w:val="18"/>
        </w:rPr>
      </w:pPr>
      <w:r w:rsidRPr="00D3557D">
        <w:rPr>
          <w:rStyle w:val="Znakapoznpodarou"/>
          <w:rFonts w:cs="Arial"/>
          <w:sz w:val="18"/>
          <w:szCs w:val="18"/>
        </w:rPr>
        <w:footnoteRef/>
      </w:r>
      <w:r w:rsidRPr="00D3557D">
        <w:rPr>
          <w:rFonts w:cs="Arial"/>
          <w:sz w:val="18"/>
          <w:szCs w:val="18"/>
        </w:rPr>
        <w:tab/>
        <w:t>Usnesení vlády ČR ze dne 27. března 2013 č. 220</w:t>
      </w:r>
      <w:r>
        <w:rPr>
          <w:rFonts w:cs="Arial"/>
          <w:sz w:val="18"/>
          <w:szCs w:val="18"/>
        </w:rPr>
        <w:t>,</w:t>
      </w:r>
      <w:r w:rsidRPr="00D3557D">
        <w:rPr>
          <w:rFonts w:cs="Arial"/>
          <w:sz w:val="18"/>
          <w:szCs w:val="18"/>
        </w:rPr>
        <w:t xml:space="preserve"> </w:t>
      </w:r>
      <w:r w:rsidRPr="00EB18B3">
        <w:rPr>
          <w:rFonts w:cs="Arial"/>
          <w:i/>
          <w:sz w:val="18"/>
          <w:szCs w:val="18"/>
        </w:rPr>
        <w:t>o Koncepci státní politiky cestovního ruchu v České republice na období 2014–2020</w:t>
      </w:r>
      <w:r w:rsidRPr="00D3557D">
        <w:rPr>
          <w:rFonts w:cs="Arial"/>
          <w:sz w:val="18"/>
          <w:szCs w:val="18"/>
        </w:rPr>
        <w:t>.</w:t>
      </w:r>
    </w:p>
  </w:footnote>
  <w:footnote w:id="3">
    <w:p w:rsidR="00940E7D" w:rsidRPr="00D3557D" w:rsidRDefault="00940E7D" w:rsidP="00BC0D11">
      <w:pPr>
        <w:pStyle w:val="Textpoznpodarou"/>
        <w:ind w:left="284" w:hanging="284"/>
        <w:jc w:val="both"/>
        <w:rPr>
          <w:rFonts w:cs="Arial"/>
          <w:sz w:val="18"/>
          <w:szCs w:val="18"/>
        </w:rPr>
      </w:pPr>
      <w:r w:rsidRPr="00D3557D">
        <w:rPr>
          <w:rStyle w:val="Znakapoznpodarou"/>
          <w:rFonts w:cs="Arial"/>
          <w:sz w:val="18"/>
          <w:szCs w:val="18"/>
        </w:rPr>
        <w:footnoteRef/>
      </w:r>
      <w:r w:rsidRPr="00D3557D">
        <w:rPr>
          <w:rFonts w:cs="Arial"/>
          <w:sz w:val="18"/>
          <w:szCs w:val="18"/>
        </w:rPr>
        <w:tab/>
        <w:t xml:space="preserve">Podpora cestovního ruchu je z IOP poskytována odděleně pro </w:t>
      </w:r>
      <w:r>
        <w:rPr>
          <w:rFonts w:cs="Arial"/>
          <w:sz w:val="18"/>
          <w:szCs w:val="18"/>
        </w:rPr>
        <w:t>c</w:t>
      </w:r>
      <w:r w:rsidRPr="00D3557D">
        <w:rPr>
          <w:rFonts w:cs="Arial"/>
          <w:sz w:val="18"/>
          <w:szCs w:val="18"/>
        </w:rPr>
        <w:t xml:space="preserve">íl </w:t>
      </w:r>
      <w:r w:rsidRPr="00EB18B3">
        <w:rPr>
          <w:rFonts w:cs="Arial"/>
          <w:i/>
          <w:sz w:val="18"/>
          <w:szCs w:val="18"/>
        </w:rPr>
        <w:t>Konvergence</w:t>
      </w:r>
      <w:r w:rsidRPr="00D3557D">
        <w:rPr>
          <w:rFonts w:cs="Arial"/>
          <w:sz w:val="18"/>
          <w:szCs w:val="18"/>
        </w:rPr>
        <w:t xml:space="preserve"> – prioritní osa </w:t>
      </w:r>
      <w:r w:rsidRPr="00EB18B3">
        <w:rPr>
          <w:rFonts w:cs="Arial"/>
          <w:sz w:val="18"/>
          <w:szCs w:val="18"/>
        </w:rPr>
        <w:t>4a</w:t>
      </w:r>
      <w:r>
        <w:rPr>
          <w:rFonts w:cs="Arial"/>
          <w:sz w:val="18"/>
          <w:szCs w:val="18"/>
        </w:rPr>
        <w:t> –</w:t>
      </w:r>
      <w:r w:rsidRPr="00EB18B3">
        <w:rPr>
          <w:rFonts w:cs="Arial"/>
          <w:sz w:val="18"/>
          <w:szCs w:val="18"/>
        </w:rPr>
        <w:t xml:space="preserve"> a pro </w:t>
      </w:r>
      <w:r>
        <w:rPr>
          <w:rFonts w:cs="Arial"/>
          <w:sz w:val="18"/>
          <w:szCs w:val="18"/>
        </w:rPr>
        <w:t>c</w:t>
      </w:r>
      <w:r w:rsidRPr="00EB18B3">
        <w:rPr>
          <w:rFonts w:cs="Arial"/>
          <w:sz w:val="18"/>
          <w:szCs w:val="18"/>
        </w:rPr>
        <w:t>íl</w:t>
      </w:r>
      <w:r w:rsidRPr="00D3557D">
        <w:rPr>
          <w:rFonts w:cs="Arial"/>
          <w:i/>
          <w:sz w:val="18"/>
          <w:szCs w:val="18"/>
        </w:rPr>
        <w:t xml:space="preserve"> </w:t>
      </w:r>
      <w:r w:rsidRPr="00EB18B3">
        <w:rPr>
          <w:rFonts w:cs="Arial"/>
          <w:i/>
          <w:sz w:val="18"/>
          <w:szCs w:val="18"/>
        </w:rPr>
        <w:t>Regionální konkurenceschopnost a zaměstnanost</w:t>
      </w:r>
      <w:r w:rsidRPr="00D3557D">
        <w:rPr>
          <w:rFonts w:cs="Arial"/>
          <w:sz w:val="18"/>
          <w:szCs w:val="18"/>
        </w:rPr>
        <w:t xml:space="preserve"> – prioritní osa 4b. Peněžní prostředky jsou pro oba cíle odděleny, proto jsou stejné aktivity </w:t>
      </w:r>
      <w:r w:rsidRPr="00EB18B3">
        <w:rPr>
          <w:rFonts w:cs="Arial"/>
          <w:i/>
          <w:sz w:val="18"/>
          <w:szCs w:val="18"/>
        </w:rPr>
        <w:t>Integrovaného operačního programu</w:t>
      </w:r>
      <w:r w:rsidRPr="00D3557D">
        <w:rPr>
          <w:rFonts w:cs="Arial"/>
          <w:sz w:val="18"/>
          <w:szCs w:val="18"/>
        </w:rPr>
        <w:t xml:space="preserve"> realizovány prostřednictvím vždy dvou oddělených párových projektů. V tomto kontrolním závěru jsou příslušné párové projekty uvedeny jako jeden projekt.</w:t>
      </w:r>
    </w:p>
  </w:footnote>
  <w:footnote w:id="4">
    <w:p w:rsidR="00940E7D" w:rsidRPr="00D3557D" w:rsidRDefault="00940E7D" w:rsidP="00BC0D11">
      <w:pPr>
        <w:pStyle w:val="Textpoznpodarou"/>
        <w:ind w:left="284" w:hanging="284"/>
        <w:jc w:val="both"/>
        <w:rPr>
          <w:rFonts w:cs="Arial"/>
          <w:sz w:val="18"/>
          <w:szCs w:val="18"/>
        </w:rPr>
      </w:pPr>
      <w:r w:rsidRPr="00D3557D">
        <w:rPr>
          <w:rStyle w:val="Znakapoznpodarou"/>
          <w:rFonts w:cs="Arial"/>
          <w:sz w:val="18"/>
          <w:szCs w:val="18"/>
        </w:rPr>
        <w:footnoteRef/>
      </w:r>
      <w:r w:rsidRPr="00D3557D">
        <w:rPr>
          <w:rFonts w:cs="Arial"/>
          <w:sz w:val="18"/>
          <w:szCs w:val="18"/>
        </w:rPr>
        <w:tab/>
        <w:t>Z</w:t>
      </w:r>
      <w:r w:rsidRPr="00D3557D">
        <w:rPr>
          <w:rFonts w:cs="Arial"/>
          <w:bCs/>
          <w:sz w:val="18"/>
          <w:szCs w:val="18"/>
        </w:rPr>
        <w:t>a rok 2013 byl vzat údaj z upraveného rozpočtu.</w:t>
      </w:r>
    </w:p>
  </w:footnote>
  <w:footnote w:id="5">
    <w:p w:rsidR="00940E7D" w:rsidRPr="00D3557D" w:rsidRDefault="00940E7D" w:rsidP="00DB74AC">
      <w:pPr>
        <w:pStyle w:val="Textpoznpodarou"/>
        <w:ind w:left="284" w:hanging="284"/>
        <w:jc w:val="both"/>
        <w:rPr>
          <w:rStyle w:val="Znakapoznpodarou"/>
          <w:rFonts w:cs="Arial"/>
          <w:sz w:val="18"/>
          <w:szCs w:val="18"/>
          <w:vertAlign w:val="baseline"/>
        </w:rPr>
      </w:pPr>
      <w:r w:rsidRPr="00D3557D">
        <w:rPr>
          <w:rStyle w:val="Znakapoznpodarou"/>
          <w:rFonts w:cs="Arial"/>
          <w:sz w:val="18"/>
          <w:szCs w:val="18"/>
        </w:rPr>
        <w:footnoteRef/>
      </w:r>
      <w:r w:rsidRPr="00D3557D">
        <w:rPr>
          <w:rFonts w:cs="Arial"/>
          <w:sz w:val="18"/>
          <w:szCs w:val="18"/>
        </w:rPr>
        <w:tab/>
        <w:t>Pro regionální operační programy byl použit kurz 26 Kč/€.</w:t>
      </w:r>
    </w:p>
  </w:footnote>
  <w:footnote w:id="6">
    <w:p w:rsidR="00940E7D" w:rsidRPr="00D3557D" w:rsidRDefault="00940E7D" w:rsidP="00BC0D11">
      <w:pPr>
        <w:autoSpaceDE w:val="0"/>
        <w:autoSpaceDN w:val="0"/>
        <w:adjustRightInd w:val="0"/>
        <w:ind w:left="284" w:hanging="284"/>
        <w:jc w:val="both"/>
        <w:rPr>
          <w:rFonts w:cs="Arial"/>
          <w:sz w:val="18"/>
          <w:szCs w:val="18"/>
        </w:rPr>
      </w:pPr>
      <w:r w:rsidRPr="00D3557D">
        <w:rPr>
          <w:rStyle w:val="Znakapoznpodarou"/>
          <w:rFonts w:cs="Arial"/>
          <w:sz w:val="18"/>
          <w:szCs w:val="18"/>
        </w:rPr>
        <w:footnoteRef/>
      </w:r>
      <w:r w:rsidRPr="00D3557D">
        <w:rPr>
          <w:rFonts w:cs="Arial"/>
          <w:sz w:val="18"/>
          <w:szCs w:val="18"/>
        </w:rPr>
        <w:tab/>
      </w:r>
      <w:r w:rsidRPr="00D3557D">
        <w:rPr>
          <w:rFonts w:eastAsiaTheme="minorHAnsi" w:cs="Arial"/>
          <w:sz w:val="18"/>
          <w:szCs w:val="18"/>
          <w:lang w:eastAsia="en-US"/>
        </w:rPr>
        <w:t>Satelitní účet cestovního ruchu zpracovává Český statistický úřad</w:t>
      </w:r>
      <w:r>
        <w:rPr>
          <w:rFonts w:eastAsiaTheme="minorHAnsi" w:cs="Arial"/>
          <w:sz w:val="18"/>
          <w:szCs w:val="18"/>
          <w:lang w:eastAsia="en-US"/>
        </w:rPr>
        <w:t>; poskytuje informace a data o </w:t>
      </w:r>
      <w:r w:rsidRPr="00D3557D">
        <w:rPr>
          <w:rFonts w:eastAsiaTheme="minorHAnsi" w:cs="Arial"/>
          <w:sz w:val="18"/>
          <w:szCs w:val="18"/>
          <w:lang w:eastAsia="en-US"/>
        </w:rPr>
        <w:t>ekonomickém postavení odvětví cestovního ruchu.</w:t>
      </w:r>
    </w:p>
  </w:footnote>
  <w:footnote w:id="7">
    <w:p w:rsidR="00940E7D" w:rsidRPr="002F7A04" w:rsidRDefault="00940E7D" w:rsidP="002F7A04">
      <w:pPr>
        <w:pStyle w:val="Textpoznpodarou"/>
        <w:ind w:left="284" w:hanging="284"/>
        <w:rPr>
          <w:rFonts w:cs="Arial"/>
          <w:sz w:val="18"/>
          <w:szCs w:val="18"/>
        </w:rPr>
      </w:pPr>
      <w:r w:rsidRPr="002F7A04">
        <w:rPr>
          <w:rStyle w:val="Znakapoznpodarou"/>
          <w:rFonts w:cs="Arial"/>
          <w:sz w:val="18"/>
          <w:szCs w:val="18"/>
        </w:rPr>
        <w:footnoteRef/>
      </w:r>
      <w:r>
        <w:rPr>
          <w:rFonts w:cs="Arial"/>
          <w:sz w:val="18"/>
          <w:szCs w:val="18"/>
        </w:rPr>
        <w:tab/>
      </w:r>
      <w:r w:rsidRPr="002F7A04">
        <w:rPr>
          <w:rFonts w:cs="Arial"/>
          <w:sz w:val="18"/>
          <w:szCs w:val="18"/>
        </w:rPr>
        <w:t xml:space="preserve">SR – peněžní prostředky </w:t>
      </w:r>
      <w:r>
        <w:rPr>
          <w:rFonts w:cs="Arial"/>
          <w:sz w:val="18"/>
          <w:szCs w:val="18"/>
        </w:rPr>
        <w:t>s</w:t>
      </w:r>
      <w:r w:rsidRPr="002F7A04">
        <w:rPr>
          <w:rFonts w:cs="Arial"/>
          <w:sz w:val="18"/>
          <w:szCs w:val="18"/>
        </w:rPr>
        <w:t>tátního rozpočtu.</w:t>
      </w:r>
    </w:p>
  </w:footnote>
  <w:footnote w:id="8">
    <w:p w:rsidR="00940E7D" w:rsidRPr="002F7A04" w:rsidRDefault="00940E7D" w:rsidP="005A2E16">
      <w:pPr>
        <w:ind w:left="284" w:hanging="284"/>
        <w:jc w:val="both"/>
        <w:rPr>
          <w:rFonts w:cs="Arial"/>
          <w:sz w:val="18"/>
          <w:szCs w:val="18"/>
        </w:rPr>
      </w:pPr>
      <w:r w:rsidRPr="002F7A04">
        <w:rPr>
          <w:rStyle w:val="Znakapoznpodarou"/>
          <w:rFonts w:cs="Arial"/>
          <w:sz w:val="18"/>
          <w:szCs w:val="18"/>
        </w:rPr>
        <w:footnoteRef/>
      </w:r>
      <w:r w:rsidRPr="002F7A04">
        <w:rPr>
          <w:rFonts w:cs="Arial"/>
          <w:sz w:val="18"/>
          <w:szCs w:val="18"/>
        </w:rPr>
        <w:tab/>
        <w:t>Kontrolní závěr z kontrolní akce č. 07/23</w:t>
      </w:r>
      <w:r>
        <w:rPr>
          <w:rFonts w:cs="Arial"/>
          <w:sz w:val="18"/>
          <w:szCs w:val="18"/>
        </w:rPr>
        <w:t xml:space="preserve"> –</w:t>
      </w:r>
      <w:r w:rsidRPr="002F7A04">
        <w:rPr>
          <w:rFonts w:cs="Arial"/>
          <w:sz w:val="18"/>
          <w:szCs w:val="18"/>
        </w:rPr>
        <w:t xml:space="preserve"> </w:t>
      </w:r>
      <w:r w:rsidRPr="00176A44">
        <w:rPr>
          <w:rFonts w:cs="Arial"/>
          <w:i/>
          <w:sz w:val="18"/>
          <w:szCs w:val="18"/>
        </w:rPr>
        <w:t xml:space="preserve">Finanční prostředky určené v rámci </w:t>
      </w:r>
      <w:r w:rsidRPr="00176A44">
        <w:rPr>
          <w:rFonts w:cs="Arial"/>
          <w:i/>
          <w:iCs/>
          <w:sz w:val="18"/>
          <w:szCs w:val="18"/>
        </w:rPr>
        <w:t>Společného regionálního operačního programu</w:t>
      </w:r>
      <w:r w:rsidRPr="00176A44">
        <w:rPr>
          <w:rFonts w:cs="Arial"/>
          <w:i/>
          <w:sz w:val="18"/>
          <w:szCs w:val="18"/>
        </w:rPr>
        <w:t xml:space="preserve"> na rozvoj cestovního ruchu a na regeneraci a revitalizaci vybraných měst</w:t>
      </w:r>
      <w:r w:rsidRPr="002F7A04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(</w:t>
      </w:r>
      <w:r w:rsidRPr="002F7A04">
        <w:rPr>
          <w:rFonts w:cs="Arial"/>
          <w:sz w:val="18"/>
          <w:szCs w:val="18"/>
        </w:rPr>
        <w:t>zveřejněn v</w:t>
      </w:r>
      <w:r>
        <w:rPr>
          <w:rFonts w:cs="Arial"/>
          <w:sz w:val="18"/>
          <w:szCs w:val="18"/>
        </w:rPr>
        <w:t> </w:t>
      </w:r>
      <w:r w:rsidRPr="002F7A04">
        <w:rPr>
          <w:rFonts w:cs="Arial"/>
          <w:sz w:val="18"/>
          <w:szCs w:val="18"/>
        </w:rPr>
        <w:t xml:space="preserve">částce 2/2008 </w:t>
      </w:r>
      <w:r w:rsidRPr="00176A44">
        <w:rPr>
          <w:rFonts w:cs="Arial"/>
          <w:i/>
          <w:sz w:val="18"/>
          <w:szCs w:val="18"/>
        </w:rPr>
        <w:t>Věstníku NKÚ</w:t>
      </w:r>
      <w:r>
        <w:rPr>
          <w:rFonts w:cs="Arial"/>
          <w:sz w:val="18"/>
          <w:szCs w:val="18"/>
        </w:rPr>
        <w:t>)</w:t>
      </w:r>
      <w:r w:rsidRPr="002F7A04">
        <w:rPr>
          <w:rFonts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883"/>
    <w:multiLevelType w:val="hybridMultilevel"/>
    <w:tmpl w:val="9A4CED6A"/>
    <w:lvl w:ilvl="0" w:tplc="8C3C7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F25CA"/>
    <w:multiLevelType w:val="hybridMultilevel"/>
    <w:tmpl w:val="02F235E8"/>
    <w:lvl w:ilvl="0" w:tplc="D52209CE">
      <w:start w:val="3"/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11696"/>
    <w:multiLevelType w:val="hybridMultilevel"/>
    <w:tmpl w:val="707E0E8A"/>
    <w:lvl w:ilvl="0" w:tplc="2E2CC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35735"/>
    <w:multiLevelType w:val="hybridMultilevel"/>
    <w:tmpl w:val="C80E3792"/>
    <w:lvl w:ilvl="0" w:tplc="2E2CC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05A3C"/>
    <w:multiLevelType w:val="hybridMultilevel"/>
    <w:tmpl w:val="EAD6B7AC"/>
    <w:lvl w:ilvl="0" w:tplc="40E4FF6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151B6"/>
    <w:multiLevelType w:val="hybridMultilevel"/>
    <w:tmpl w:val="8FF2B4DC"/>
    <w:lvl w:ilvl="0" w:tplc="40E4FF6C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79E363E"/>
    <w:multiLevelType w:val="hybridMultilevel"/>
    <w:tmpl w:val="0ACEFDF8"/>
    <w:lvl w:ilvl="0" w:tplc="2F9485D0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17F83137"/>
    <w:multiLevelType w:val="hybridMultilevel"/>
    <w:tmpl w:val="C7A8209E"/>
    <w:lvl w:ilvl="0" w:tplc="8C3C7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80B35"/>
    <w:multiLevelType w:val="multilevel"/>
    <w:tmpl w:val="57A6E7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C305BDE"/>
    <w:multiLevelType w:val="hybridMultilevel"/>
    <w:tmpl w:val="EE921A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85D82"/>
    <w:multiLevelType w:val="hybridMultilevel"/>
    <w:tmpl w:val="48240E3C"/>
    <w:lvl w:ilvl="0" w:tplc="BE7AC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A735B"/>
    <w:multiLevelType w:val="hybridMultilevel"/>
    <w:tmpl w:val="2014F23E"/>
    <w:lvl w:ilvl="0" w:tplc="2E2CC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17DA7"/>
    <w:multiLevelType w:val="hybridMultilevel"/>
    <w:tmpl w:val="C4708D74"/>
    <w:lvl w:ilvl="0" w:tplc="FEF829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76374"/>
    <w:multiLevelType w:val="hybridMultilevel"/>
    <w:tmpl w:val="75EA176E"/>
    <w:lvl w:ilvl="0" w:tplc="2E2CC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D372D"/>
    <w:multiLevelType w:val="hybridMultilevel"/>
    <w:tmpl w:val="EB944D48"/>
    <w:lvl w:ilvl="0" w:tplc="2E2CC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90C3E"/>
    <w:multiLevelType w:val="hybridMultilevel"/>
    <w:tmpl w:val="C3D4200C"/>
    <w:lvl w:ilvl="0" w:tplc="5D224C5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57310"/>
    <w:multiLevelType w:val="hybridMultilevel"/>
    <w:tmpl w:val="00144FE8"/>
    <w:lvl w:ilvl="0" w:tplc="8C3C7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622CF"/>
    <w:multiLevelType w:val="hybridMultilevel"/>
    <w:tmpl w:val="324013CA"/>
    <w:lvl w:ilvl="0" w:tplc="8C3C7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858AB"/>
    <w:multiLevelType w:val="multilevel"/>
    <w:tmpl w:val="BC2A4588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800"/>
      </w:pPr>
      <w:rPr>
        <w:rFonts w:hint="default"/>
      </w:rPr>
    </w:lvl>
  </w:abstractNum>
  <w:abstractNum w:abstractNumId="19">
    <w:nsid w:val="6A004A06"/>
    <w:multiLevelType w:val="multilevel"/>
    <w:tmpl w:val="BC2A4588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800"/>
      </w:pPr>
      <w:rPr>
        <w:rFonts w:hint="default"/>
      </w:rPr>
    </w:lvl>
  </w:abstractNum>
  <w:abstractNum w:abstractNumId="20">
    <w:nsid w:val="6A854652"/>
    <w:multiLevelType w:val="hybridMultilevel"/>
    <w:tmpl w:val="E796FE14"/>
    <w:lvl w:ilvl="0" w:tplc="8C3C7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D47A2"/>
    <w:multiLevelType w:val="multilevel"/>
    <w:tmpl w:val="BC2A4588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800"/>
      </w:pPr>
      <w:rPr>
        <w:rFonts w:hint="default"/>
      </w:rPr>
    </w:lvl>
  </w:abstractNum>
  <w:abstractNum w:abstractNumId="22">
    <w:nsid w:val="6EA33276"/>
    <w:multiLevelType w:val="multilevel"/>
    <w:tmpl w:val="BC2A4588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800"/>
      </w:pPr>
      <w:rPr>
        <w:rFonts w:hint="default"/>
      </w:rPr>
    </w:lvl>
  </w:abstractNum>
  <w:abstractNum w:abstractNumId="23">
    <w:nsid w:val="76AD17ED"/>
    <w:multiLevelType w:val="hybridMultilevel"/>
    <w:tmpl w:val="286C3C54"/>
    <w:lvl w:ilvl="0" w:tplc="108AD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575D7"/>
    <w:multiLevelType w:val="hybridMultilevel"/>
    <w:tmpl w:val="E0D25FE0"/>
    <w:lvl w:ilvl="0" w:tplc="58DAF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1"/>
  </w:num>
  <w:num w:numId="4">
    <w:abstractNumId w:val="0"/>
  </w:num>
  <w:num w:numId="5">
    <w:abstractNumId w:val="8"/>
  </w:num>
  <w:num w:numId="6">
    <w:abstractNumId w:val="13"/>
  </w:num>
  <w:num w:numId="7">
    <w:abstractNumId w:val="14"/>
  </w:num>
  <w:num w:numId="8">
    <w:abstractNumId w:val="9"/>
  </w:num>
  <w:num w:numId="9">
    <w:abstractNumId w:val="21"/>
  </w:num>
  <w:num w:numId="10">
    <w:abstractNumId w:val="19"/>
  </w:num>
  <w:num w:numId="11">
    <w:abstractNumId w:val="2"/>
  </w:num>
  <w:num w:numId="12">
    <w:abstractNumId w:val="6"/>
  </w:num>
  <w:num w:numId="13">
    <w:abstractNumId w:val="18"/>
  </w:num>
  <w:num w:numId="14">
    <w:abstractNumId w:val="5"/>
  </w:num>
  <w:num w:numId="15">
    <w:abstractNumId w:val="4"/>
  </w:num>
  <w:num w:numId="16">
    <w:abstractNumId w:val="12"/>
  </w:num>
  <w:num w:numId="17">
    <w:abstractNumId w:val="16"/>
  </w:num>
  <w:num w:numId="18">
    <w:abstractNumId w:val="3"/>
  </w:num>
  <w:num w:numId="19">
    <w:abstractNumId w:val="7"/>
  </w:num>
  <w:num w:numId="20">
    <w:abstractNumId w:val="20"/>
  </w:num>
  <w:num w:numId="21">
    <w:abstractNumId w:val="24"/>
  </w:num>
  <w:num w:numId="22">
    <w:abstractNumId w:val="22"/>
  </w:num>
  <w:num w:numId="23">
    <w:abstractNumId w:val="15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7A"/>
    <w:rsid w:val="000065DA"/>
    <w:rsid w:val="00010D65"/>
    <w:rsid w:val="00011D15"/>
    <w:rsid w:val="0001624C"/>
    <w:rsid w:val="00021DA8"/>
    <w:rsid w:val="00054672"/>
    <w:rsid w:val="0006626E"/>
    <w:rsid w:val="00070C1F"/>
    <w:rsid w:val="000717F0"/>
    <w:rsid w:val="00080355"/>
    <w:rsid w:val="00081EA2"/>
    <w:rsid w:val="00086E23"/>
    <w:rsid w:val="000C4998"/>
    <w:rsid w:val="000C4D4B"/>
    <w:rsid w:val="000C6AEE"/>
    <w:rsid w:val="000D0E10"/>
    <w:rsid w:val="000E0A43"/>
    <w:rsid w:val="00101508"/>
    <w:rsid w:val="00117516"/>
    <w:rsid w:val="00123A73"/>
    <w:rsid w:val="00125D24"/>
    <w:rsid w:val="00127897"/>
    <w:rsid w:val="00127F41"/>
    <w:rsid w:val="00157525"/>
    <w:rsid w:val="00170982"/>
    <w:rsid w:val="00176A44"/>
    <w:rsid w:val="00176E0C"/>
    <w:rsid w:val="001779D5"/>
    <w:rsid w:val="00180B0A"/>
    <w:rsid w:val="001831E2"/>
    <w:rsid w:val="001839FB"/>
    <w:rsid w:val="00185A8C"/>
    <w:rsid w:val="00194CDD"/>
    <w:rsid w:val="001A0BE2"/>
    <w:rsid w:val="001A50CB"/>
    <w:rsid w:val="001B2D41"/>
    <w:rsid w:val="001C23DE"/>
    <w:rsid w:val="001C3F57"/>
    <w:rsid w:val="001C78B0"/>
    <w:rsid w:val="001D7686"/>
    <w:rsid w:val="00200B31"/>
    <w:rsid w:val="00203A0A"/>
    <w:rsid w:val="00210E49"/>
    <w:rsid w:val="0022098C"/>
    <w:rsid w:val="00224AC3"/>
    <w:rsid w:val="0022667A"/>
    <w:rsid w:val="00230789"/>
    <w:rsid w:val="00231399"/>
    <w:rsid w:val="00245804"/>
    <w:rsid w:val="00251830"/>
    <w:rsid w:val="00252D2D"/>
    <w:rsid w:val="0025510C"/>
    <w:rsid w:val="002670E5"/>
    <w:rsid w:val="00271E01"/>
    <w:rsid w:val="002747D7"/>
    <w:rsid w:val="00284A64"/>
    <w:rsid w:val="0029220A"/>
    <w:rsid w:val="002971DC"/>
    <w:rsid w:val="002B11F8"/>
    <w:rsid w:val="002C283F"/>
    <w:rsid w:val="002D1FEB"/>
    <w:rsid w:val="002D20C1"/>
    <w:rsid w:val="002D44CB"/>
    <w:rsid w:val="002E28CC"/>
    <w:rsid w:val="002E434F"/>
    <w:rsid w:val="002F27E9"/>
    <w:rsid w:val="002F536C"/>
    <w:rsid w:val="002F6224"/>
    <w:rsid w:val="002F7A04"/>
    <w:rsid w:val="0030140A"/>
    <w:rsid w:val="003024D6"/>
    <w:rsid w:val="00306FFA"/>
    <w:rsid w:val="00307EC9"/>
    <w:rsid w:val="003101C6"/>
    <w:rsid w:val="00310572"/>
    <w:rsid w:val="00327D0B"/>
    <w:rsid w:val="00335BE6"/>
    <w:rsid w:val="00335E99"/>
    <w:rsid w:val="003404BC"/>
    <w:rsid w:val="003543AB"/>
    <w:rsid w:val="00363AA7"/>
    <w:rsid w:val="0038322F"/>
    <w:rsid w:val="003924A1"/>
    <w:rsid w:val="003939CA"/>
    <w:rsid w:val="00396021"/>
    <w:rsid w:val="00396779"/>
    <w:rsid w:val="003A2B77"/>
    <w:rsid w:val="003A6399"/>
    <w:rsid w:val="003A6D7F"/>
    <w:rsid w:val="003B25B7"/>
    <w:rsid w:val="003B604C"/>
    <w:rsid w:val="003C2DC2"/>
    <w:rsid w:val="003D0D1E"/>
    <w:rsid w:val="003E1891"/>
    <w:rsid w:val="003E7EA9"/>
    <w:rsid w:val="003F7E53"/>
    <w:rsid w:val="0040367D"/>
    <w:rsid w:val="00406133"/>
    <w:rsid w:val="004147FA"/>
    <w:rsid w:val="00424DD9"/>
    <w:rsid w:val="00427E12"/>
    <w:rsid w:val="00435CBB"/>
    <w:rsid w:val="0044068C"/>
    <w:rsid w:val="0044097C"/>
    <w:rsid w:val="00440C55"/>
    <w:rsid w:val="004449EC"/>
    <w:rsid w:val="004511BB"/>
    <w:rsid w:val="00451446"/>
    <w:rsid w:val="00452AC9"/>
    <w:rsid w:val="00457746"/>
    <w:rsid w:val="0046339B"/>
    <w:rsid w:val="0046499C"/>
    <w:rsid w:val="00465459"/>
    <w:rsid w:val="004707C4"/>
    <w:rsid w:val="00474747"/>
    <w:rsid w:val="00475482"/>
    <w:rsid w:val="00481C83"/>
    <w:rsid w:val="00482DC9"/>
    <w:rsid w:val="00484D30"/>
    <w:rsid w:val="00484D6C"/>
    <w:rsid w:val="00487C98"/>
    <w:rsid w:val="00497FE4"/>
    <w:rsid w:val="004A03BA"/>
    <w:rsid w:val="004A24F1"/>
    <w:rsid w:val="004A2880"/>
    <w:rsid w:val="004A7F82"/>
    <w:rsid w:val="004C42AC"/>
    <w:rsid w:val="004C71E1"/>
    <w:rsid w:val="004D3B92"/>
    <w:rsid w:val="004D59FB"/>
    <w:rsid w:val="004E575D"/>
    <w:rsid w:val="004F6147"/>
    <w:rsid w:val="005001C7"/>
    <w:rsid w:val="00507B71"/>
    <w:rsid w:val="005143E7"/>
    <w:rsid w:val="00525360"/>
    <w:rsid w:val="005379DE"/>
    <w:rsid w:val="0054490F"/>
    <w:rsid w:val="005509EC"/>
    <w:rsid w:val="00551E04"/>
    <w:rsid w:val="00553DAD"/>
    <w:rsid w:val="00561110"/>
    <w:rsid w:val="00563545"/>
    <w:rsid w:val="00563CCC"/>
    <w:rsid w:val="005652D5"/>
    <w:rsid w:val="00565B5F"/>
    <w:rsid w:val="005702F9"/>
    <w:rsid w:val="00577F6E"/>
    <w:rsid w:val="005859FA"/>
    <w:rsid w:val="00595A44"/>
    <w:rsid w:val="005A2E16"/>
    <w:rsid w:val="005A67C9"/>
    <w:rsid w:val="005B4412"/>
    <w:rsid w:val="005C2663"/>
    <w:rsid w:val="005D5A54"/>
    <w:rsid w:val="005E047A"/>
    <w:rsid w:val="005E778E"/>
    <w:rsid w:val="005F1A79"/>
    <w:rsid w:val="005F65B7"/>
    <w:rsid w:val="00601A38"/>
    <w:rsid w:val="00603CBD"/>
    <w:rsid w:val="00621921"/>
    <w:rsid w:val="00622EE7"/>
    <w:rsid w:val="00623CD6"/>
    <w:rsid w:val="00624FA1"/>
    <w:rsid w:val="006268CE"/>
    <w:rsid w:val="00636D90"/>
    <w:rsid w:val="006372E8"/>
    <w:rsid w:val="006550B8"/>
    <w:rsid w:val="006559B7"/>
    <w:rsid w:val="00655E28"/>
    <w:rsid w:val="00661EBF"/>
    <w:rsid w:val="006672A1"/>
    <w:rsid w:val="00672950"/>
    <w:rsid w:val="006739AD"/>
    <w:rsid w:val="0067650B"/>
    <w:rsid w:val="00677918"/>
    <w:rsid w:val="006816B4"/>
    <w:rsid w:val="00683865"/>
    <w:rsid w:val="006A687C"/>
    <w:rsid w:val="006B0AA5"/>
    <w:rsid w:val="006B0D2F"/>
    <w:rsid w:val="006B5F17"/>
    <w:rsid w:val="006E59A6"/>
    <w:rsid w:val="006F2957"/>
    <w:rsid w:val="00703977"/>
    <w:rsid w:val="0071233C"/>
    <w:rsid w:val="00712CBB"/>
    <w:rsid w:val="007137EC"/>
    <w:rsid w:val="00721BDD"/>
    <w:rsid w:val="00734C90"/>
    <w:rsid w:val="00736D58"/>
    <w:rsid w:val="007379D7"/>
    <w:rsid w:val="0074714A"/>
    <w:rsid w:val="00751972"/>
    <w:rsid w:val="00756406"/>
    <w:rsid w:val="00765A07"/>
    <w:rsid w:val="00775BD1"/>
    <w:rsid w:val="00780B95"/>
    <w:rsid w:val="00797770"/>
    <w:rsid w:val="007A57FF"/>
    <w:rsid w:val="007C1907"/>
    <w:rsid w:val="007D7DA6"/>
    <w:rsid w:val="007E01A5"/>
    <w:rsid w:val="007E55AA"/>
    <w:rsid w:val="007F445A"/>
    <w:rsid w:val="008052BD"/>
    <w:rsid w:val="008166A1"/>
    <w:rsid w:val="00820931"/>
    <w:rsid w:val="008219B0"/>
    <w:rsid w:val="00830ABA"/>
    <w:rsid w:val="00832A6E"/>
    <w:rsid w:val="00845395"/>
    <w:rsid w:val="00850D88"/>
    <w:rsid w:val="00856AFF"/>
    <w:rsid w:val="00860721"/>
    <w:rsid w:val="00870A39"/>
    <w:rsid w:val="008718B1"/>
    <w:rsid w:val="0088399E"/>
    <w:rsid w:val="00893827"/>
    <w:rsid w:val="00895258"/>
    <w:rsid w:val="008A097A"/>
    <w:rsid w:val="008A3E55"/>
    <w:rsid w:val="008C1771"/>
    <w:rsid w:val="008C2817"/>
    <w:rsid w:val="008D69D9"/>
    <w:rsid w:val="008E4429"/>
    <w:rsid w:val="008E7D98"/>
    <w:rsid w:val="008F03CF"/>
    <w:rsid w:val="008F05F7"/>
    <w:rsid w:val="008F52B2"/>
    <w:rsid w:val="008F6E82"/>
    <w:rsid w:val="008F735D"/>
    <w:rsid w:val="00911C2C"/>
    <w:rsid w:val="00914542"/>
    <w:rsid w:val="00921916"/>
    <w:rsid w:val="00922FE8"/>
    <w:rsid w:val="00924677"/>
    <w:rsid w:val="00940E7D"/>
    <w:rsid w:val="00942354"/>
    <w:rsid w:val="00946216"/>
    <w:rsid w:val="00946D0C"/>
    <w:rsid w:val="0094759A"/>
    <w:rsid w:val="00955217"/>
    <w:rsid w:val="00963CFF"/>
    <w:rsid w:val="009736BB"/>
    <w:rsid w:val="00985500"/>
    <w:rsid w:val="00986CED"/>
    <w:rsid w:val="00992B3C"/>
    <w:rsid w:val="00995E3E"/>
    <w:rsid w:val="00997543"/>
    <w:rsid w:val="009A4B03"/>
    <w:rsid w:val="009A4C3D"/>
    <w:rsid w:val="009A6048"/>
    <w:rsid w:val="009B3AF4"/>
    <w:rsid w:val="009C39B3"/>
    <w:rsid w:val="009C5B79"/>
    <w:rsid w:val="009D063A"/>
    <w:rsid w:val="009E1615"/>
    <w:rsid w:val="009E21D9"/>
    <w:rsid w:val="009F2FB3"/>
    <w:rsid w:val="009F6269"/>
    <w:rsid w:val="00A02863"/>
    <w:rsid w:val="00A1272A"/>
    <w:rsid w:val="00A21AB9"/>
    <w:rsid w:val="00A264B5"/>
    <w:rsid w:val="00A30550"/>
    <w:rsid w:val="00A35066"/>
    <w:rsid w:val="00A43708"/>
    <w:rsid w:val="00A44F7D"/>
    <w:rsid w:val="00A457F2"/>
    <w:rsid w:val="00A53E01"/>
    <w:rsid w:val="00A54852"/>
    <w:rsid w:val="00A550A8"/>
    <w:rsid w:val="00A57C64"/>
    <w:rsid w:val="00A7478C"/>
    <w:rsid w:val="00A74965"/>
    <w:rsid w:val="00A81994"/>
    <w:rsid w:val="00A84F07"/>
    <w:rsid w:val="00A94AC9"/>
    <w:rsid w:val="00A963C5"/>
    <w:rsid w:val="00A97C5F"/>
    <w:rsid w:val="00AA19CD"/>
    <w:rsid w:val="00AB2AAC"/>
    <w:rsid w:val="00AB40FD"/>
    <w:rsid w:val="00AC09C9"/>
    <w:rsid w:val="00AC3E6E"/>
    <w:rsid w:val="00AC5F2E"/>
    <w:rsid w:val="00AC6E7D"/>
    <w:rsid w:val="00AC7833"/>
    <w:rsid w:val="00AD0D96"/>
    <w:rsid w:val="00AD4252"/>
    <w:rsid w:val="00AE0055"/>
    <w:rsid w:val="00AE051B"/>
    <w:rsid w:val="00AF543F"/>
    <w:rsid w:val="00B022D0"/>
    <w:rsid w:val="00B0288C"/>
    <w:rsid w:val="00B06316"/>
    <w:rsid w:val="00B11C5E"/>
    <w:rsid w:val="00B14DCC"/>
    <w:rsid w:val="00B17251"/>
    <w:rsid w:val="00B22129"/>
    <w:rsid w:val="00B27038"/>
    <w:rsid w:val="00B41A27"/>
    <w:rsid w:val="00B4744C"/>
    <w:rsid w:val="00B51D32"/>
    <w:rsid w:val="00B56DD4"/>
    <w:rsid w:val="00B8702D"/>
    <w:rsid w:val="00BC0D11"/>
    <w:rsid w:val="00BC27E0"/>
    <w:rsid w:val="00BC3135"/>
    <w:rsid w:val="00BC4B5F"/>
    <w:rsid w:val="00BD116E"/>
    <w:rsid w:val="00BE3A7A"/>
    <w:rsid w:val="00BE57FE"/>
    <w:rsid w:val="00BE71F5"/>
    <w:rsid w:val="00BF3F0F"/>
    <w:rsid w:val="00C02436"/>
    <w:rsid w:val="00C04B8A"/>
    <w:rsid w:val="00C07137"/>
    <w:rsid w:val="00C272F1"/>
    <w:rsid w:val="00C534D2"/>
    <w:rsid w:val="00C56A52"/>
    <w:rsid w:val="00C63050"/>
    <w:rsid w:val="00C90BAB"/>
    <w:rsid w:val="00C968B2"/>
    <w:rsid w:val="00CA12AD"/>
    <w:rsid w:val="00CB23B1"/>
    <w:rsid w:val="00CB65B9"/>
    <w:rsid w:val="00CC0095"/>
    <w:rsid w:val="00CC2D1B"/>
    <w:rsid w:val="00CC507A"/>
    <w:rsid w:val="00CC75FD"/>
    <w:rsid w:val="00CD00E7"/>
    <w:rsid w:val="00CD3435"/>
    <w:rsid w:val="00CE0A3E"/>
    <w:rsid w:val="00CE7DBE"/>
    <w:rsid w:val="00CF08B1"/>
    <w:rsid w:val="00CF2E07"/>
    <w:rsid w:val="00D004ED"/>
    <w:rsid w:val="00D0123A"/>
    <w:rsid w:val="00D03C19"/>
    <w:rsid w:val="00D05C15"/>
    <w:rsid w:val="00D06F6A"/>
    <w:rsid w:val="00D10DB0"/>
    <w:rsid w:val="00D12914"/>
    <w:rsid w:val="00D14535"/>
    <w:rsid w:val="00D23FA5"/>
    <w:rsid w:val="00D26BD3"/>
    <w:rsid w:val="00D26C68"/>
    <w:rsid w:val="00D318D9"/>
    <w:rsid w:val="00D354F8"/>
    <w:rsid w:val="00D3557D"/>
    <w:rsid w:val="00D46C5A"/>
    <w:rsid w:val="00D46F1B"/>
    <w:rsid w:val="00D53FC3"/>
    <w:rsid w:val="00D5472A"/>
    <w:rsid w:val="00D64130"/>
    <w:rsid w:val="00D67185"/>
    <w:rsid w:val="00D676F9"/>
    <w:rsid w:val="00D705DE"/>
    <w:rsid w:val="00D7612A"/>
    <w:rsid w:val="00D93A5F"/>
    <w:rsid w:val="00D965A8"/>
    <w:rsid w:val="00DB74AC"/>
    <w:rsid w:val="00DC5DBC"/>
    <w:rsid w:val="00DE358E"/>
    <w:rsid w:val="00DE66ED"/>
    <w:rsid w:val="00DF176C"/>
    <w:rsid w:val="00DF1B12"/>
    <w:rsid w:val="00E11584"/>
    <w:rsid w:val="00E20374"/>
    <w:rsid w:val="00E206E6"/>
    <w:rsid w:val="00E20A5B"/>
    <w:rsid w:val="00E24142"/>
    <w:rsid w:val="00E26A50"/>
    <w:rsid w:val="00E27977"/>
    <w:rsid w:val="00E45990"/>
    <w:rsid w:val="00E46DDE"/>
    <w:rsid w:val="00E50AC2"/>
    <w:rsid w:val="00E50EFC"/>
    <w:rsid w:val="00E726AA"/>
    <w:rsid w:val="00E73805"/>
    <w:rsid w:val="00E84030"/>
    <w:rsid w:val="00E84B7F"/>
    <w:rsid w:val="00EA275A"/>
    <w:rsid w:val="00EA5D54"/>
    <w:rsid w:val="00EB06E4"/>
    <w:rsid w:val="00EB18B3"/>
    <w:rsid w:val="00EB245D"/>
    <w:rsid w:val="00EB3669"/>
    <w:rsid w:val="00EC0B84"/>
    <w:rsid w:val="00ED28EA"/>
    <w:rsid w:val="00ED438E"/>
    <w:rsid w:val="00ED4D32"/>
    <w:rsid w:val="00ED5104"/>
    <w:rsid w:val="00ED6FE2"/>
    <w:rsid w:val="00EE1FF0"/>
    <w:rsid w:val="00EF19A5"/>
    <w:rsid w:val="00EF4ACA"/>
    <w:rsid w:val="00F064A3"/>
    <w:rsid w:val="00F0690B"/>
    <w:rsid w:val="00F10170"/>
    <w:rsid w:val="00F144BE"/>
    <w:rsid w:val="00F176CC"/>
    <w:rsid w:val="00F368A2"/>
    <w:rsid w:val="00F41D1F"/>
    <w:rsid w:val="00F46345"/>
    <w:rsid w:val="00F51E7A"/>
    <w:rsid w:val="00F55EB6"/>
    <w:rsid w:val="00F62B98"/>
    <w:rsid w:val="00F639A3"/>
    <w:rsid w:val="00F72288"/>
    <w:rsid w:val="00F73213"/>
    <w:rsid w:val="00F73391"/>
    <w:rsid w:val="00F737B0"/>
    <w:rsid w:val="00F8471A"/>
    <w:rsid w:val="00F90FF5"/>
    <w:rsid w:val="00F91757"/>
    <w:rsid w:val="00F94C99"/>
    <w:rsid w:val="00F96A95"/>
    <w:rsid w:val="00FC2A07"/>
    <w:rsid w:val="00FC5662"/>
    <w:rsid w:val="00FC62EE"/>
    <w:rsid w:val="00FD299C"/>
    <w:rsid w:val="00FD7E39"/>
    <w:rsid w:val="00FE068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E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26B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26B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9">
    <w:name w:val="heading 9"/>
    <w:basedOn w:val="Normln"/>
    <w:next w:val="Normln"/>
    <w:link w:val="Nadpis9Char"/>
    <w:qFormat/>
    <w:rsid w:val="00F51E7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F51E7A"/>
    <w:rPr>
      <w:rFonts w:ascii="Cambria" w:eastAsia="Times New Roman" w:hAnsi="Cambria" w:cs="Times New Roman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F51E7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F51E7A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Zkladn">
    <w:name w:val="Základní"/>
    <w:basedOn w:val="Normln"/>
    <w:rsid w:val="00F51E7A"/>
    <w:pPr>
      <w:spacing w:before="120"/>
      <w:jc w:val="both"/>
    </w:pPr>
    <w:rPr>
      <w:lang w:eastAsia="en-US"/>
    </w:rPr>
  </w:style>
  <w:style w:type="paragraph" w:styleId="Odstavecseseznamem">
    <w:name w:val="List Paragraph"/>
    <w:aliases w:val="Nadpis pro KZ,odrážky"/>
    <w:basedOn w:val="Normln"/>
    <w:link w:val="OdstavecseseznamemChar"/>
    <w:uiPriority w:val="34"/>
    <w:qFormat/>
    <w:rsid w:val="00F51E7A"/>
    <w:pPr>
      <w:ind w:left="720"/>
      <w:contextualSpacing/>
    </w:pPr>
  </w:style>
  <w:style w:type="paragraph" w:customStyle="1" w:styleId="Default">
    <w:name w:val="Default"/>
    <w:rsid w:val="0067650B"/>
    <w:pPr>
      <w:autoSpaceDE w:val="0"/>
      <w:autoSpaceDN w:val="0"/>
      <w:adjustRightInd w:val="0"/>
      <w:spacing w:after="0" w:line="240" w:lineRule="auto"/>
    </w:pPr>
    <w:rPr>
      <w:rFonts w:ascii="KFCHLL+Verdana" w:eastAsia="Times New Roman" w:hAnsi="KFCHLL+Verdana" w:cs="Times New Roman"/>
      <w:color w:val="000000"/>
      <w:sz w:val="24"/>
      <w:szCs w:val="24"/>
      <w:lang w:val="en-US"/>
    </w:rPr>
  </w:style>
  <w:style w:type="paragraph" w:styleId="Zkladntext3">
    <w:name w:val="Body Text 3"/>
    <w:basedOn w:val="Normln"/>
    <w:link w:val="Zkladntext3Char"/>
    <w:unhideWhenUsed/>
    <w:rsid w:val="001779D5"/>
    <w:pPr>
      <w:spacing w:after="120"/>
    </w:pPr>
    <w:rPr>
      <w:rFonts w:ascii="Times New Roman" w:hAnsi="Times New Roman"/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link w:val="Zkladntext3"/>
    <w:rsid w:val="001779D5"/>
    <w:rPr>
      <w:rFonts w:ascii="Times New Roman" w:eastAsia="Times New Roman" w:hAnsi="Times New Roman" w:cs="Times New Roman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03977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03977"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70397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3E6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3E6E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C3E6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18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8B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5F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5F17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5F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5F17"/>
    <w:rPr>
      <w:rFonts w:ascii="Arial" w:eastAsia="Times New Roman" w:hAnsi="Arial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E5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55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55AA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5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55AA"/>
    <w:rPr>
      <w:rFonts w:ascii="Arial" w:eastAsia="Times New Roman" w:hAnsi="Arial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48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26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26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26BD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dstavecseseznamemChar">
    <w:name w:val="Odstavec se seznamem Char"/>
    <w:aliases w:val="Nadpis pro KZ Char,odrážky Char"/>
    <w:link w:val="Odstavecseseznamem"/>
    <w:uiPriority w:val="34"/>
    <w:rsid w:val="00FC2A07"/>
    <w:rPr>
      <w:rFonts w:ascii="Arial" w:eastAsia="Times New Roman" w:hAnsi="Arial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E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26B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26B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9">
    <w:name w:val="heading 9"/>
    <w:basedOn w:val="Normln"/>
    <w:next w:val="Normln"/>
    <w:link w:val="Nadpis9Char"/>
    <w:qFormat/>
    <w:rsid w:val="00F51E7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F51E7A"/>
    <w:rPr>
      <w:rFonts w:ascii="Cambria" w:eastAsia="Times New Roman" w:hAnsi="Cambria" w:cs="Times New Roman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F51E7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F51E7A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Zkladn">
    <w:name w:val="Základní"/>
    <w:basedOn w:val="Normln"/>
    <w:rsid w:val="00F51E7A"/>
    <w:pPr>
      <w:spacing w:before="120"/>
      <w:jc w:val="both"/>
    </w:pPr>
    <w:rPr>
      <w:lang w:eastAsia="en-US"/>
    </w:rPr>
  </w:style>
  <w:style w:type="paragraph" w:styleId="Odstavecseseznamem">
    <w:name w:val="List Paragraph"/>
    <w:aliases w:val="Nadpis pro KZ,odrážky"/>
    <w:basedOn w:val="Normln"/>
    <w:link w:val="OdstavecseseznamemChar"/>
    <w:uiPriority w:val="34"/>
    <w:qFormat/>
    <w:rsid w:val="00F51E7A"/>
    <w:pPr>
      <w:ind w:left="720"/>
      <w:contextualSpacing/>
    </w:pPr>
  </w:style>
  <w:style w:type="paragraph" w:customStyle="1" w:styleId="Default">
    <w:name w:val="Default"/>
    <w:rsid w:val="0067650B"/>
    <w:pPr>
      <w:autoSpaceDE w:val="0"/>
      <w:autoSpaceDN w:val="0"/>
      <w:adjustRightInd w:val="0"/>
      <w:spacing w:after="0" w:line="240" w:lineRule="auto"/>
    </w:pPr>
    <w:rPr>
      <w:rFonts w:ascii="KFCHLL+Verdana" w:eastAsia="Times New Roman" w:hAnsi="KFCHLL+Verdana" w:cs="Times New Roman"/>
      <w:color w:val="000000"/>
      <w:sz w:val="24"/>
      <w:szCs w:val="24"/>
      <w:lang w:val="en-US"/>
    </w:rPr>
  </w:style>
  <w:style w:type="paragraph" w:styleId="Zkladntext3">
    <w:name w:val="Body Text 3"/>
    <w:basedOn w:val="Normln"/>
    <w:link w:val="Zkladntext3Char"/>
    <w:unhideWhenUsed/>
    <w:rsid w:val="001779D5"/>
    <w:pPr>
      <w:spacing w:after="120"/>
    </w:pPr>
    <w:rPr>
      <w:rFonts w:ascii="Times New Roman" w:hAnsi="Times New Roman"/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link w:val="Zkladntext3"/>
    <w:rsid w:val="001779D5"/>
    <w:rPr>
      <w:rFonts w:ascii="Times New Roman" w:eastAsia="Times New Roman" w:hAnsi="Times New Roman" w:cs="Times New Roman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03977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03977"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70397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3E6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3E6E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C3E6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18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8B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5F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5F17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5F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5F17"/>
    <w:rPr>
      <w:rFonts w:ascii="Arial" w:eastAsia="Times New Roman" w:hAnsi="Arial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E5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55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55AA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5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55AA"/>
    <w:rPr>
      <w:rFonts w:ascii="Arial" w:eastAsia="Times New Roman" w:hAnsi="Arial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48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26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26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26BD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dstavecseseznamemChar">
    <w:name w:val="Odstavec se seznamem Char"/>
    <w:aliases w:val="Nadpis pro KZ Char,odrážky Char"/>
    <w:link w:val="Odstavecseseznamem"/>
    <w:uiPriority w:val="34"/>
    <w:rsid w:val="00FC2A07"/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6145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6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3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FE1D7C-D414-4CF2-9944-E9896199D6D4}"/>
</file>

<file path=customXml/itemProps2.xml><?xml version="1.0" encoding="utf-8"?>
<ds:datastoreItem xmlns:ds="http://schemas.openxmlformats.org/officeDocument/2006/customXml" ds:itemID="{6300C033-26F0-4815-A3F7-F77F386C7B5A}"/>
</file>

<file path=customXml/itemProps3.xml><?xml version="1.0" encoding="utf-8"?>
<ds:datastoreItem xmlns:ds="http://schemas.openxmlformats.org/officeDocument/2006/customXml" ds:itemID="{8EBAA965-0B07-45F3-A23A-36F88006A75E}"/>
</file>

<file path=customXml/itemProps4.xml><?xml version="1.0" encoding="utf-8"?>
<ds:datastoreItem xmlns:ds="http://schemas.openxmlformats.org/officeDocument/2006/customXml" ds:itemID="{70C3F173-60D5-43CB-9157-C85300CB87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4008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27603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13/32</dc:title>
  <dc:creator>BOLERAZKÁ Blanka</dc:creator>
  <cp:lastModifiedBy>POKORNÁ Jana</cp:lastModifiedBy>
  <cp:revision>17</cp:revision>
  <cp:lastPrinted>2014-07-01T06:01:00Z</cp:lastPrinted>
  <dcterms:created xsi:type="dcterms:W3CDTF">2014-07-03T10:17:00Z</dcterms:created>
  <dcterms:modified xsi:type="dcterms:W3CDTF">2014-07-10T07:54:00Z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